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312C6" w:rsidRPr="00D01DCF" w14:paraId="0490F1D3" w14:textId="77777777" w:rsidTr="006658D5">
        <w:tc>
          <w:tcPr>
            <w:tcW w:w="4513" w:type="dxa"/>
            <w:tcBorders>
              <w:bottom w:val="single" w:sz="4" w:space="0" w:color="auto"/>
            </w:tcBorders>
            <w:tcMar>
              <w:bottom w:w="170" w:type="dxa"/>
            </w:tcMar>
          </w:tcPr>
          <w:p w14:paraId="5384624E" w14:textId="77777777" w:rsidR="00A312C6" w:rsidRPr="00D01DCF" w:rsidRDefault="00A312C6" w:rsidP="006658D5">
            <w:bookmarkStart w:id="0" w:name="TitleOfDoc"/>
            <w:bookmarkEnd w:id="0"/>
          </w:p>
        </w:tc>
        <w:tc>
          <w:tcPr>
            <w:tcW w:w="4337" w:type="dxa"/>
            <w:tcBorders>
              <w:bottom w:val="single" w:sz="4" w:space="0" w:color="auto"/>
            </w:tcBorders>
            <w:tcMar>
              <w:left w:w="0" w:type="dxa"/>
              <w:right w:w="0" w:type="dxa"/>
            </w:tcMar>
          </w:tcPr>
          <w:p w14:paraId="18BC3017" w14:textId="77777777" w:rsidR="00A312C6" w:rsidRPr="00D01DCF" w:rsidRDefault="00A312C6" w:rsidP="006658D5">
            <w:r w:rsidRPr="00D01DCF">
              <w:rPr>
                <w:noProof/>
                <w:lang w:val="en-US"/>
              </w:rPr>
              <w:drawing>
                <wp:inline distT="0" distB="0" distL="0" distR="0" wp14:anchorId="4E09B009" wp14:editId="64B31FA9">
                  <wp:extent cx="1856740" cy="1323975"/>
                  <wp:effectExtent l="0" t="0" r="0" b="9525"/>
                  <wp:docPr id="9" name="Picture 9"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068DAF76" w14:textId="77777777" w:rsidR="00A312C6" w:rsidRPr="00D01DCF" w:rsidRDefault="00A312C6" w:rsidP="006658D5">
            <w:pPr>
              <w:jc w:val="right"/>
            </w:pPr>
            <w:r w:rsidRPr="00D01DCF">
              <w:rPr>
                <w:b/>
                <w:sz w:val="40"/>
                <w:szCs w:val="40"/>
              </w:rPr>
              <w:t>F</w:t>
            </w:r>
          </w:p>
        </w:tc>
      </w:tr>
      <w:tr w:rsidR="00A312C6" w:rsidRPr="00D01DCF" w14:paraId="7681B61A" w14:textId="77777777" w:rsidTr="006658D5">
        <w:trPr>
          <w:trHeight w:hRule="exact" w:val="357"/>
        </w:trPr>
        <w:tc>
          <w:tcPr>
            <w:tcW w:w="9356" w:type="dxa"/>
            <w:gridSpan w:val="3"/>
            <w:tcBorders>
              <w:top w:val="single" w:sz="4" w:space="0" w:color="auto"/>
            </w:tcBorders>
            <w:tcMar>
              <w:top w:w="170" w:type="dxa"/>
              <w:left w:w="0" w:type="dxa"/>
              <w:right w:w="0" w:type="dxa"/>
            </w:tcMar>
            <w:vAlign w:val="bottom"/>
          </w:tcPr>
          <w:p w14:paraId="4799E8B8" w14:textId="77777777" w:rsidR="00A312C6" w:rsidRPr="00D01DCF" w:rsidRDefault="00A312C6" w:rsidP="006658D5">
            <w:pPr>
              <w:jc w:val="right"/>
              <w:rPr>
                <w:rFonts w:ascii="Arial Black" w:hAnsi="Arial Black"/>
                <w:caps/>
                <w:sz w:val="15"/>
              </w:rPr>
            </w:pPr>
            <w:r w:rsidRPr="00D01DCF">
              <w:rPr>
                <w:rFonts w:ascii="Arial Black" w:hAnsi="Arial Black"/>
                <w:caps/>
                <w:sz w:val="15"/>
              </w:rPr>
              <w:t>WO/PBC/26/</w:t>
            </w:r>
            <w:bookmarkStart w:id="1" w:name="Code"/>
            <w:bookmarkEnd w:id="1"/>
            <w:r w:rsidRPr="00D01DCF">
              <w:rPr>
                <w:rFonts w:ascii="Arial Black" w:hAnsi="Arial Black"/>
                <w:caps/>
                <w:sz w:val="15"/>
              </w:rPr>
              <w:t>2</w:t>
            </w:r>
          </w:p>
        </w:tc>
      </w:tr>
      <w:tr w:rsidR="00A312C6" w:rsidRPr="00D01DCF" w14:paraId="0CDB7947" w14:textId="77777777" w:rsidTr="006658D5">
        <w:trPr>
          <w:trHeight w:hRule="exact" w:val="170"/>
        </w:trPr>
        <w:tc>
          <w:tcPr>
            <w:tcW w:w="9356" w:type="dxa"/>
            <w:gridSpan w:val="3"/>
            <w:noWrap/>
            <w:tcMar>
              <w:left w:w="0" w:type="dxa"/>
              <w:right w:w="0" w:type="dxa"/>
            </w:tcMar>
            <w:vAlign w:val="bottom"/>
          </w:tcPr>
          <w:p w14:paraId="69340CC9" w14:textId="77777777" w:rsidR="00A312C6" w:rsidRPr="00D01DCF" w:rsidRDefault="00A312C6" w:rsidP="006658D5">
            <w:pPr>
              <w:jc w:val="right"/>
              <w:rPr>
                <w:rFonts w:ascii="Arial Black" w:hAnsi="Arial Black"/>
                <w:caps/>
                <w:sz w:val="15"/>
              </w:rPr>
            </w:pPr>
            <w:r w:rsidRPr="00D01DCF">
              <w:rPr>
                <w:rFonts w:ascii="Arial Black" w:hAnsi="Arial Black"/>
                <w:caps/>
                <w:sz w:val="15"/>
              </w:rPr>
              <w:t>ORIGINAL</w:t>
            </w:r>
            <w:r>
              <w:rPr>
                <w:rFonts w:ascii="Arial Black" w:hAnsi="Arial Black"/>
                <w:caps/>
                <w:sz w:val="15"/>
              </w:rPr>
              <w:t> :</w:t>
            </w:r>
            <w:r w:rsidRPr="00D01DCF">
              <w:rPr>
                <w:rFonts w:ascii="Arial Black" w:hAnsi="Arial Black"/>
                <w:caps/>
                <w:sz w:val="15"/>
              </w:rPr>
              <w:t xml:space="preserve"> </w:t>
            </w:r>
            <w:bookmarkStart w:id="2" w:name="Original"/>
            <w:bookmarkEnd w:id="2"/>
            <w:r w:rsidRPr="00D01DCF">
              <w:rPr>
                <w:rFonts w:ascii="Arial Black" w:hAnsi="Arial Black"/>
                <w:caps/>
                <w:sz w:val="15"/>
              </w:rPr>
              <w:t xml:space="preserve">anglais </w:t>
            </w:r>
          </w:p>
        </w:tc>
      </w:tr>
      <w:tr w:rsidR="00A312C6" w:rsidRPr="00D01DCF" w14:paraId="5181A078" w14:textId="77777777" w:rsidTr="006658D5">
        <w:trPr>
          <w:trHeight w:hRule="exact" w:val="198"/>
        </w:trPr>
        <w:tc>
          <w:tcPr>
            <w:tcW w:w="9356" w:type="dxa"/>
            <w:gridSpan w:val="3"/>
            <w:tcMar>
              <w:left w:w="0" w:type="dxa"/>
              <w:right w:w="0" w:type="dxa"/>
            </w:tcMar>
            <w:vAlign w:val="bottom"/>
          </w:tcPr>
          <w:p w14:paraId="5AC84EBD" w14:textId="77777777" w:rsidR="00A312C6" w:rsidRPr="00D01DCF" w:rsidRDefault="00A312C6" w:rsidP="006658D5">
            <w:pPr>
              <w:jc w:val="right"/>
              <w:rPr>
                <w:rFonts w:ascii="Arial Black" w:hAnsi="Arial Black"/>
                <w:caps/>
                <w:sz w:val="15"/>
              </w:rPr>
            </w:pPr>
            <w:r w:rsidRPr="00D01DCF">
              <w:rPr>
                <w:rFonts w:ascii="Arial Black" w:hAnsi="Arial Black"/>
                <w:caps/>
                <w:sz w:val="15"/>
              </w:rPr>
              <w:t>DATE</w:t>
            </w:r>
            <w:r>
              <w:rPr>
                <w:rFonts w:ascii="Arial Black" w:hAnsi="Arial Black"/>
                <w:caps/>
                <w:sz w:val="15"/>
              </w:rPr>
              <w:t> :</w:t>
            </w:r>
            <w:r w:rsidRPr="00D01DCF">
              <w:rPr>
                <w:rFonts w:ascii="Arial Black" w:hAnsi="Arial Black"/>
                <w:caps/>
                <w:sz w:val="15"/>
              </w:rPr>
              <w:t xml:space="preserve"> </w:t>
            </w:r>
            <w:bookmarkStart w:id="3" w:name="Date"/>
            <w:bookmarkEnd w:id="3"/>
            <w:r w:rsidRPr="00D01DCF">
              <w:rPr>
                <w:rFonts w:ascii="Arial Black" w:hAnsi="Arial Black"/>
                <w:caps/>
                <w:sz w:val="15"/>
              </w:rPr>
              <w:t xml:space="preserve">15 mai 2017 </w:t>
            </w:r>
          </w:p>
        </w:tc>
      </w:tr>
    </w:tbl>
    <w:p w14:paraId="74F60670" w14:textId="77777777" w:rsidR="00A312C6" w:rsidRPr="00D01DCF" w:rsidRDefault="00A312C6" w:rsidP="00A312C6"/>
    <w:p w14:paraId="1D61F7A4" w14:textId="77777777" w:rsidR="00A312C6" w:rsidRPr="00D01DCF" w:rsidRDefault="00A312C6" w:rsidP="00A312C6"/>
    <w:p w14:paraId="52661948" w14:textId="77777777" w:rsidR="00A312C6" w:rsidRPr="00D01DCF" w:rsidRDefault="00A312C6" w:rsidP="00A312C6"/>
    <w:p w14:paraId="31E4BCAB" w14:textId="77777777" w:rsidR="00A312C6" w:rsidRPr="00D01DCF" w:rsidRDefault="00A312C6" w:rsidP="00A312C6"/>
    <w:p w14:paraId="2F26B9F9" w14:textId="77777777" w:rsidR="00A312C6" w:rsidRPr="00D01DCF" w:rsidRDefault="00A312C6" w:rsidP="00A312C6"/>
    <w:p w14:paraId="7BB954BA" w14:textId="77777777" w:rsidR="00A312C6" w:rsidRPr="00D01DCF" w:rsidRDefault="00A312C6" w:rsidP="00A312C6">
      <w:pPr>
        <w:rPr>
          <w:b/>
          <w:sz w:val="28"/>
          <w:szCs w:val="28"/>
        </w:rPr>
      </w:pPr>
      <w:r w:rsidRPr="00D01DCF">
        <w:rPr>
          <w:b/>
          <w:sz w:val="28"/>
          <w:szCs w:val="28"/>
        </w:rPr>
        <w:t>Comité du programme et budget</w:t>
      </w:r>
    </w:p>
    <w:p w14:paraId="0FF46A85" w14:textId="77777777" w:rsidR="00A312C6" w:rsidRPr="00D01DCF" w:rsidRDefault="00A312C6" w:rsidP="00A312C6"/>
    <w:p w14:paraId="2EA7290A" w14:textId="77777777" w:rsidR="00A312C6" w:rsidRPr="00D01DCF" w:rsidRDefault="00A312C6" w:rsidP="00A312C6"/>
    <w:p w14:paraId="5DDE2B5D" w14:textId="77777777" w:rsidR="00A312C6" w:rsidRPr="00D01DCF" w:rsidRDefault="00A312C6" w:rsidP="00A312C6">
      <w:pPr>
        <w:rPr>
          <w:b/>
          <w:sz w:val="24"/>
          <w:szCs w:val="24"/>
        </w:rPr>
      </w:pPr>
      <w:r w:rsidRPr="00D01DCF">
        <w:rPr>
          <w:b/>
          <w:sz w:val="24"/>
          <w:szCs w:val="24"/>
        </w:rPr>
        <w:t>Vingt</w:t>
      </w:r>
      <w:r>
        <w:rPr>
          <w:b/>
          <w:sz w:val="24"/>
          <w:szCs w:val="24"/>
        </w:rPr>
        <w:noBreakHyphen/>
      </w:r>
      <w:r w:rsidRPr="00D01DCF">
        <w:rPr>
          <w:b/>
          <w:sz w:val="24"/>
          <w:szCs w:val="24"/>
        </w:rPr>
        <w:t>six</w:t>
      </w:r>
      <w:r>
        <w:rPr>
          <w:b/>
          <w:sz w:val="24"/>
          <w:szCs w:val="24"/>
        </w:rPr>
        <w:t>ième session</w:t>
      </w:r>
    </w:p>
    <w:p w14:paraId="2F327A9C" w14:textId="77777777" w:rsidR="00A312C6" w:rsidRPr="00D01DCF" w:rsidRDefault="00A312C6" w:rsidP="00A312C6">
      <w:pPr>
        <w:rPr>
          <w:b/>
          <w:sz w:val="24"/>
          <w:szCs w:val="24"/>
        </w:rPr>
      </w:pPr>
      <w:r w:rsidRPr="00D01DCF">
        <w:rPr>
          <w:b/>
          <w:sz w:val="24"/>
          <w:szCs w:val="24"/>
        </w:rPr>
        <w:t>Genève, 10 – 14</w:t>
      </w:r>
      <w:r>
        <w:rPr>
          <w:b/>
          <w:sz w:val="24"/>
          <w:szCs w:val="24"/>
        </w:rPr>
        <w:t> </w:t>
      </w:r>
      <w:r w:rsidRPr="00D01DCF">
        <w:rPr>
          <w:b/>
          <w:sz w:val="24"/>
          <w:szCs w:val="24"/>
        </w:rPr>
        <w:t>juillet</w:t>
      </w:r>
      <w:r>
        <w:rPr>
          <w:b/>
          <w:sz w:val="24"/>
          <w:szCs w:val="24"/>
        </w:rPr>
        <w:t> </w:t>
      </w:r>
      <w:r w:rsidRPr="00D01DCF">
        <w:rPr>
          <w:b/>
          <w:sz w:val="24"/>
          <w:szCs w:val="24"/>
        </w:rPr>
        <w:t>2017</w:t>
      </w:r>
    </w:p>
    <w:p w14:paraId="3E9674C2" w14:textId="77777777" w:rsidR="00A312C6" w:rsidRPr="00D01DCF" w:rsidRDefault="00A312C6" w:rsidP="00A312C6"/>
    <w:p w14:paraId="2D0A1842" w14:textId="77777777" w:rsidR="00A312C6" w:rsidRPr="00D01DCF" w:rsidRDefault="00A312C6" w:rsidP="00A312C6"/>
    <w:p w14:paraId="77517763" w14:textId="77777777" w:rsidR="00A312C6" w:rsidRPr="00D01DCF" w:rsidRDefault="00A312C6" w:rsidP="00A312C6"/>
    <w:p w14:paraId="0B5E01E3" w14:textId="77777777" w:rsidR="00A312C6" w:rsidRPr="00D01DCF" w:rsidRDefault="00A312C6" w:rsidP="00A312C6">
      <w:pPr>
        <w:rPr>
          <w:caps/>
          <w:sz w:val="24"/>
        </w:rPr>
      </w:pPr>
      <w:r w:rsidRPr="00D01DCF">
        <w:rPr>
          <w:caps/>
          <w:sz w:val="24"/>
        </w:rPr>
        <w:t>Rapport sur l</w:t>
      </w:r>
      <w:r>
        <w:rPr>
          <w:caps/>
          <w:sz w:val="24"/>
        </w:rPr>
        <w:t>’</w:t>
      </w:r>
      <w:r w:rsidRPr="00D01DCF">
        <w:rPr>
          <w:caps/>
          <w:sz w:val="24"/>
        </w:rPr>
        <w:t>exécution du programme en</w:t>
      </w:r>
      <w:r>
        <w:rPr>
          <w:caps/>
          <w:sz w:val="24"/>
        </w:rPr>
        <w:t> </w:t>
      </w:r>
      <w:r w:rsidRPr="00D01DCF">
        <w:rPr>
          <w:caps/>
          <w:sz w:val="24"/>
        </w:rPr>
        <w:t>2016</w:t>
      </w:r>
    </w:p>
    <w:p w14:paraId="307B0AC0" w14:textId="77777777" w:rsidR="00A312C6" w:rsidRPr="00D01DCF" w:rsidRDefault="00A312C6" w:rsidP="00A312C6"/>
    <w:p w14:paraId="7B5844CF" w14:textId="77777777" w:rsidR="00A312C6" w:rsidRPr="00D01DCF" w:rsidRDefault="00A312C6" w:rsidP="00A312C6">
      <w:pPr>
        <w:rPr>
          <w:i/>
        </w:rPr>
      </w:pPr>
      <w:bookmarkStart w:id="4" w:name="Prepared"/>
      <w:bookmarkEnd w:id="4"/>
      <w:r w:rsidRPr="00D01DCF">
        <w:rPr>
          <w:i/>
        </w:rPr>
        <w:t>présenté par le Directeur général</w:t>
      </w:r>
    </w:p>
    <w:p w14:paraId="0454A9F8" w14:textId="77777777" w:rsidR="00A312C6" w:rsidRPr="00D01DCF" w:rsidRDefault="00A312C6" w:rsidP="00A312C6"/>
    <w:p w14:paraId="3F0950CE" w14:textId="77777777" w:rsidR="00A312C6" w:rsidRPr="00D01DCF" w:rsidRDefault="00A312C6" w:rsidP="00A312C6"/>
    <w:p w14:paraId="636DD423" w14:textId="77777777" w:rsidR="00A312C6" w:rsidRPr="00D01DCF" w:rsidRDefault="00A312C6" w:rsidP="00A312C6"/>
    <w:p w14:paraId="077032BD" w14:textId="77777777" w:rsidR="00A312C6" w:rsidRPr="00D01DCF" w:rsidRDefault="00A312C6" w:rsidP="00A312C6"/>
    <w:p w14:paraId="76571EF9" w14:textId="77777777" w:rsidR="00A312C6" w:rsidRDefault="00A312C6" w:rsidP="00A312C6">
      <w:pPr>
        <w:pStyle w:val="ONUMFS"/>
        <w:numPr>
          <w:ilvl w:val="0"/>
          <w:numId w:val="44"/>
        </w:numPr>
      </w:pPr>
      <w:r w:rsidRPr="00D01DCF">
        <w:t>Le Rapport sur l</w:t>
      </w:r>
      <w:r>
        <w:t>’</w:t>
      </w:r>
      <w:r w:rsidRPr="00D01DCF">
        <w:t>exécution du programme en</w:t>
      </w:r>
      <w:r>
        <w:t> </w:t>
      </w:r>
      <w:r w:rsidRPr="00D01DCF">
        <w:t>2016 a été établi conformément au cadre de gestion de l</w:t>
      </w:r>
      <w:r>
        <w:t>’</w:t>
      </w:r>
      <w:r w:rsidRPr="00D01DCF">
        <w:t>OMPI axée sur les résultats</w:t>
      </w:r>
      <w:r>
        <w:t xml:space="preserve">.  </w:t>
      </w:r>
      <w:r w:rsidRPr="00D01DCF">
        <w:t>Il repose sur les critères d</w:t>
      </w:r>
      <w:r>
        <w:t>’</w:t>
      </w:r>
      <w:r w:rsidRPr="00D01DCF">
        <w:t>exécution établis dans le programme et budget pour l</w:t>
      </w:r>
      <w:r>
        <w:t>’</w:t>
      </w:r>
      <w:r w:rsidRPr="00D01DCF">
        <w:t>exercice biennal</w:t>
      </w:r>
      <w:r>
        <w:t> </w:t>
      </w:r>
      <w:r w:rsidRPr="00D01DCF">
        <w:t>2016</w:t>
      </w:r>
      <w:r>
        <w:noBreakHyphen/>
      </w:r>
      <w:r w:rsidRPr="00D01DCF">
        <w:t>2017 approuvé par les assemblées des États membres de l</w:t>
      </w:r>
      <w:r>
        <w:t>’</w:t>
      </w:r>
      <w:r w:rsidRPr="00D01DCF">
        <w:t>OMPI en octobre</w:t>
      </w:r>
      <w:r>
        <w:t> </w:t>
      </w:r>
      <w:r w:rsidRPr="00D01DCF">
        <w:t>2015 (publication n° 360F/PB16/17).  Le rapport donne un aperçu des progrès accomplis en</w:t>
      </w:r>
      <w:r>
        <w:t> </w:t>
      </w:r>
      <w:r w:rsidRPr="00D01DCF">
        <w:t>2016 dans la réalisation des résultats escomptés pour l</w:t>
      </w:r>
      <w:r>
        <w:t>’</w:t>
      </w:r>
      <w:r w:rsidRPr="00D01DCF">
        <w:t>exercice biennal</w:t>
      </w:r>
      <w:r>
        <w:t> </w:t>
      </w:r>
      <w:r w:rsidRPr="00D01DCF">
        <w:t>2016</w:t>
      </w:r>
      <w:r>
        <w:noBreakHyphen/>
      </w:r>
      <w:r w:rsidRPr="00D01DCF">
        <w:t>2017.</w:t>
      </w:r>
    </w:p>
    <w:p w14:paraId="20372F10" w14:textId="4787640B" w:rsidR="00556813" w:rsidRPr="00D01DCF" w:rsidRDefault="00556813" w:rsidP="00A312C6">
      <w:pPr>
        <w:pStyle w:val="ONUMFS"/>
        <w:numPr>
          <w:ilvl w:val="0"/>
          <w:numId w:val="44"/>
        </w:numPr>
      </w:pPr>
      <w:r>
        <w:t>Le paragraphe de décision ci</w:t>
      </w:r>
      <w:r>
        <w:noBreakHyphen/>
        <w:t>après est proposé.</w:t>
      </w:r>
    </w:p>
    <w:p w14:paraId="074C3E02" w14:textId="1DCD49EA" w:rsidR="00A312C6" w:rsidRPr="00D01DCF" w:rsidRDefault="00A312C6" w:rsidP="00A312C6">
      <w:pPr>
        <w:pStyle w:val="ONUMFS"/>
        <w:numPr>
          <w:ilvl w:val="0"/>
          <w:numId w:val="44"/>
        </w:numPr>
        <w:ind w:left="5533"/>
        <w:rPr>
          <w:i/>
        </w:rPr>
      </w:pPr>
      <w:r w:rsidRPr="00D01DCF">
        <w:rPr>
          <w:i/>
        </w:rPr>
        <w:t>Le Comité du programme et budget (PBC), après avoir examiné le rapport sur l</w:t>
      </w:r>
      <w:r>
        <w:rPr>
          <w:i/>
        </w:rPr>
        <w:t>’</w:t>
      </w:r>
      <w:r w:rsidRPr="00D01DCF">
        <w:rPr>
          <w:i/>
        </w:rPr>
        <w:t>exécution du programme en</w:t>
      </w:r>
      <w:r>
        <w:rPr>
          <w:i/>
        </w:rPr>
        <w:t> </w:t>
      </w:r>
      <w:r w:rsidRPr="00D01DCF">
        <w:rPr>
          <w:i/>
        </w:rPr>
        <w:t>2016 (document WO/PBC/26/2) et tenant compte de son caractère d</w:t>
      </w:r>
      <w:r>
        <w:rPr>
          <w:i/>
        </w:rPr>
        <w:t>’</w:t>
      </w:r>
      <w:r w:rsidRPr="00D01DCF">
        <w:rPr>
          <w:i/>
        </w:rPr>
        <w:t>auto</w:t>
      </w:r>
      <w:r>
        <w:rPr>
          <w:i/>
        </w:rPr>
        <w:noBreakHyphen/>
        <w:t>é</w:t>
      </w:r>
      <w:r w:rsidRPr="00D01DCF">
        <w:rPr>
          <w:i/>
        </w:rPr>
        <w:t>valuation du Secrétariat, a recommandé que les assemblées de l</w:t>
      </w:r>
      <w:r>
        <w:rPr>
          <w:i/>
        </w:rPr>
        <w:t>’</w:t>
      </w:r>
      <w:r w:rsidRPr="00D01DCF">
        <w:rPr>
          <w:i/>
        </w:rPr>
        <w:t>OMPI prennent acte des progrès accomplis par les programmes en</w:t>
      </w:r>
      <w:r>
        <w:rPr>
          <w:i/>
        </w:rPr>
        <w:t> </w:t>
      </w:r>
      <w:r w:rsidRPr="00D01DCF">
        <w:rPr>
          <w:i/>
        </w:rPr>
        <w:t>2016 dans la réalisation des résultats escomptés.</w:t>
      </w:r>
    </w:p>
    <w:p w14:paraId="12F37678" w14:textId="77777777" w:rsidR="00A312C6" w:rsidRPr="00D01DCF" w:rsidRDefault="00A312C6" w:rsidP="00A312C6">
      <w:pPr>
        <w:pStyle w:val="Endofdocument-Annex"/>
        <w:rPr>
          <w:lang w:val="fr-FR"/>
        </w:rPr>
      </w:pPr>
    </w:p>
    <w:p w14:paraId="2114A5B9" w14:textId="77777777" w:rsidR="00A312C6" w:rsidRPr="00D01DCF" w:rsidRDefault="00A312C6" w:rsidP="00A312C6">
      <w:pPr>
        <w:pStyle w:val="Endofdocument-Annex"/>
        <w:rPr>
          <w:lang w:val="fr-FR"/>
        </w:rPr>
      </w:pPr>
    </w:p>
    <w:p w14:paraId="302672AA" w14:textId="3D967A6A" w:rsidR="00A312C6" w:rsidRDefault="00A312C6" w:rsidP="00A312C6">
      <w:pPr>
        <w:pStyle w:val="Endofdocument-Annex"/>
        <w:rPr>
          <w:rFonts w:asciiTheme="minorBidi" w:hAnsiTheme="minorBidi" w:cstheme="minorBidi"/>
          <w:lang w:val="fr-FR"/>
        </w:rPr>
      </w:pPr>
      <w:r w:rsidRPr="00D01DCF">
        <w:rPr>
          <w:rFonts w:asciiTheme="minorBidi" w:hAnsiTheme="minorBidi" w:cstheme="minorBidi"/>
          <w:lang w:val="fr-FR"/>
        </w:rPr>
        <w:t>[Le Rapport sur l</w:t>
      </w:r>
      <w:r>
        <w:rPr>
          <w:rFonts w:asciiTheme="minorBidi" w:hAnsiTheme="minorBidi" w:cstheme="minorBidi"/>
          <w:lang w:val="fr-FR"/>
        </w:rPr>
        <w:t>’</w:t>
      </w:r>
      <w:r w:rsidRPr="00D01DCF">
        <w:rPr>
          <w:rFonts w:asciiTheme="minorBidi" w:hAnsiTheme="minorBidi" w:cstheme="minorBidi"/>
          <w:lang w:val="fr-FR"/>
        </w:rPr>
        <w:t>exécution du</w:t>
      </w:r>
      <w:r>
        <w:rPr>
          <w:rFonts w:asciiTheme="minorBidi" w:hAnsiTheme="minorBidi" w:cstheme="minorBidi"/>
          <w:lang w:val="fr-FR"/>
        </w:rPr>
        <w:t> </w:t>
      </w:r>
      <w:r w:rsidRPr="00D01DCF">
        <w:rPr>
          <w:rFonts w:asciiTheme="minorBidi" w:hAnsiTheme="minorBidi" w:cstheme="minorBidi"/>
          <w:lang w:val="fr-FR"/>
        </w:rPr>
        <w:t>programme en</w:t>
      </w:r>
      <w:r>
        <w:rPr>
          <w:rFonts w:asciiTheme="minorBidi" w:hAnsiTheme="minorBidi" w:cstheme="minorBidi"/>
          <w:lang w:val="fr-FR"/>
        </w:rPr>
        <w:t> </w:t>
      </w:r>
      <w:r w:rsidRPr="00D01DCF">
        <w:rPr>
          <w:rFonts w:asciiTheme="minorBidi" w:hAnsiTheme="minorBidi" w:cstheme="minorBidi"/>
          <w:lang w:val="fr-FR"/>
        </w:rPr>
        <w:t>2016 suit]</w:t>
      </w:r>
    </w:p>
    <w:p w14:paraId="50E2FB9D" w14:textId="77777777" w:rsidR="00A312C6" w:rsidRDefault="00A312C6">
      <w:pPr>
        <w:rPr>
          <w:rFonts w:asciiTheme="minorBidi" w:eastAsia="SimSun" w:hAnsiTheme="minorBidi" w:cstheme="minorBidi"/>
          <w:lang w:eastAsia="zh-CN"/>
        </w:rPr>
      </w:pPr>
      <w:r>
        <w:rPr>
          <w:rFonts w:asciiTheme="minorBidi" w:hAnsiTheme="minorBidi" w:cstheme="minorBidi"/>
        </w:rPr>
        <w:br w:type="page"/>
      </w:r>
    </w:p>
    <w:p w14:paraId="496EE00F" w14:textId="77777777" w:rsidR="00A312C6" w:rsidRPr="00D01DCF" w:rsidRDefault="00A312C6" w:rsidP="00A312C6">
      <w:pPr>
        <w:pStyle w:val="Endofdocument-Annex"/>
        <w:rPr>
          <w:rFonts w:asciiTheme="minorBidi" w:hAnsiTheme="minorBidi" w:cstheme="minorBidi"/>
          <w:lang w:val="fr-FR"/>
        </w:rPr>
      </w:pPr>
    </w:p>
    <w:p w14:paraId="1D324271" w14:textId="77777777" w:rsidR="00A312C6" w:rsidRDefault="00A312C6" w:rsidP="00FF3362">
      <w:pPr>
        <w:keepNext/>
        <w:tabs>
          <w:tab w:val="left" w:pos="2268"/>
          <w:tab w:val="right" w:pos="9072"/>
        </w:tabs>
        <w:outlineLvl w:val="1"/>
        <w:rPr>
          <w:b/>
          <w:bCs/>
          <w:iCs/>
          <w:caps/>
          <w:szCs w:val="28"/>
        </w:rPr>
        <w:sectPr w:rsidR="00A312C6" w:rsidSect="00A312C6">
          <w:footerReference w:type="even" r:id="rId10"/>
          <w:pgSz w:w="11907" w:h="16840" w:code="9"/>
          <w:pgMar w:top="567" w:right="1134" w:bottom="1418" w:left="1418" w:header="510" w:footer="1021" w:gutter="0"/>
          <w:cols w:space="720"/>
          <w:titlePg/>
          <w:docGrid w:linePitch="299"/>
        </w:sectPr>
      </w:pPr>
    </w:p>
    <w:p w14:paraId="2AD8C297" w14:textId="77777777" w:rsidR="00A312C6" w:rsidRPr="00A312C6" w:rsidRDefault="00A312C6" w:rsidP="00A312C6">
      <w:pPr>
        <w:jc w:val="center"/>
        <w:rPr>
          <w:b/>
          <w:caps/>
        </w:rPr>
      </w:pPr>
      <w:r w:rsidRPr="00A312C6">
        <w:rPr>
          <w:b/>
          <w:caps/>
        </w:rPr>
        <w:lastRenderedPageBreak/>
        <w:t>Rapport sur l’exécution du programme en 2016</w:t>
      </w:r>
    </w:p>
    <w:p w14:paraId="240CE849" w14:textId="77777777" w:rsidR="00A312C6" w:rsidRPr="00A312C6" w:rsidRDefault="00A312C6" w:rsidP="00A312C6">
      <w:pPr>
        <w:jc w:val="center"/>
        <w:rPr>
          <w:b/>
          <w:caps/>
        </w:rPr>
      </w:pPr>
    </w:p>
    <w:p w14:paraId="1E380FAA" w14:textId="77777777" w:rsidR="00A312C6" w:rsidRDefault="00A312C6" w:rsidP="00A312C6">
      <w:pPr>
        <w:jc w:val="center"/>
        <w:rPr>
          <w:b/>
          <w:caps/>
        </w:rPr>
      </w:pPr>
    </w:p>
    <w:p w14:paraId="0EA99CBD" w14:textId="31961EF9" w:rsidR="00A312C6" w:rsidRPr="00A312C6" w:rsidRDefault="00A312C6" w:rsidP="00A312C6">
      <w:pPr>
        <w:jc w:val="center"/>
        <w:rPr>
          <w:caps/>
        </w:rPr>
      </w:pPr>
      <w:r w:rsidRPr="00A312C6">
        <w:rPr>
          <w:caps/>
        </w:rPr>
        <w:t>Table des matières</w:t>
      </w:r>
    </w:p>
    <w:p w14:paraId="1BEEC206" w14:textId="77777777" w:rsidR="00A312C6" w:rsidRDefault="00A312C6" w:rsidP="00A312C6"/>
    <w:p w14:paraId="54C51423" w14:textId="77777777" w:rsidR="009761D3" w:rsidRDefault="009761D3">
      <w:pPr>
        <w:pStyle w:val="TOC1"/>
        <w:rPr>
          <w:rFonts w:asciiTheme="minorHAnsi" w:eastAsiaTheme="minorEastAsia" w:hAnsiTheme="minorHAnsi" w:cstheme="minorBidi"/>
          <w:b w:val="0"/>
          <w:caps w:val="0"/>
          <w:noProof/>
          <w:szCs w:val="22"/>
          <w:lang w:eastAsia="fr-FR"/>
        </w:rPr>
      </w:pPr>
      <w:r>
        <w:fldChar w:fldCharType="begin"/>
      </w:r>
      <w:r>
        <w:instrText xml:space="preserve"> TOC \o "1-1" \t "Heading 2;2;Heading 3;3;Heading 5;4;Style Heading 3 + Bold No underline;3;Style Heading 2 + 14 pt Auto;2;Style Style Heading 3 + (Complex) Italic + (Latin) 12 pt;3;Style Heading 3 + (Complex) Italic;3;Style Heading 4;3" </w:instrText>
      </w:r>
      <w:r>
        <w:fldChar w:fldCharType="separate"/>
      </w:r>
      <w:r>
        <w:rPr>
          <w:noProof/>
        </w:rPr>
        <w:t>I.</w:t>
      </w:r>
      <w:r>
        <w:rPr>
          <w:rFonts w:asciiTheme="minorHAnsi" w:eastAsiaTheme="minorEastAsia" w:hAnsiTheme="minorHAnsi" w:cstheme="minorBidi"/>
          <w:b w:val="0"/>
          <w:caps w:val="0"/>
          <w:noProof/>
          <w:szCs w:val="22"/>
          <w:lang w:eastAsia="fr-FR"/>
        </w:rPr>
        <w:tab/>
      </w:r>
      <w:r>
        <w:rPr>
          <w:noProof/>
        </w:rPr>
        <w:t>Introduction</w:t>
      </w:r>
      <w:r>
        <w:rPr>
          <w:noProof/>
        </w:rPr>
        <w:tab/>
      </w:r>
      <w:r>
        <w:rPr>
          <w:noProof/>
        </w:rPr>
        <w:fldChar w:fldCharType="begin"/>
      </w:r>
      <w:r>
        <w:rPr>
          <w:noProof/>
        </w:rPr>
        <w:instrText xml:space="preserve"> PAGEREF _Toc482774584 \h </w:instrText>
      </w:r>
      <w:r>
        <w:rPr>
          <w:noProof/>
        </w:rPr>
      </w:r>
      <w:r>
        <w:rPr>
          <w:noProof/>
        </w:rPr>
        <w:fldChar w:fldCharType="separate"/>
      </w:r>
      <w:r w:rsidR="001E3776">
        <w:rPr>
          <w:noProof/>
        </w:rPr>
        <w:t>3</w:t>
      </w:r>
      <w:r>
        <w:rPr>
          <w:noProof/>
        </w:rPr>
        <w:fldChar w:fldCharType="end"/>
      </w:r>
    </w:p>
    <w:p w14:paraId="27A26433" w14:textId="77777777" w:rsidR="009761D3" w:rsidRDefault="009761D3">
      <w:pPr>
        <w:pStyle w:val="TOC1"/>
        <w:rPr>
          <w:rFonts w:asciiTheme="minorHAnsi" w:eastAsiaTheme="minorEastAsia" w:hAnsiTheme="minorHAnsi" w:cstheme="minorBidi"/>
          <w:b w:val="0"/>
          <w:caps w:val="0"/>
          <w:noProof/>
          <w:szCs w:val="22"/>
          <w:lang w:eastAsia="fr-FR"/>
        </w:rPr>
      </w:pPr>
      <w:r>
        <w:rPr>
          <w:noProof/>
        </w:rPr>
        <w:t>II.</w:t>
      </w:r>
      <w:r>
        <w:rPr>
          <w:rFonts w:asciiTheme="minorHAnsi" w:eastAsiaTheme="minorEastAsia" w:hAnsiTheme="minorHAnsi" w:cstheme="minorBidi"/>
          <w:b w:val="0"/>
          <w:caps w:val="0"/>
          <w:noProof/>
          <w:szCs w:val="22"/>
          <w:lang w:eastAsia="fr-FR"/>
        </w:rPr>
        <w:tab/>
      </w:r>
      <w:r>
        <w:rPr>
          <w:noProof/>
        </w:rPr>
        <w:t>Résumé des faits saillants de 2016</w:t>
      </w:r>
      <w:r>
        <w:rPr>
          <w:noProof/>
        </w:rPr>
        <w:tab/>
      </w:r>
      <w:r>
        <w:rPr>
          <w:noProof/>
        </w:rPr>
        <w:fldChar w:fldCharType="begin"/>
      </w:r>
      <w:r>
        <w:rPr>
          <w:noProof/>
        </w:rPr>
        <w:instrText xml:space="preserve"> PAGEREF _Toc482774585 \h </w:instrText>
      </w:r>
      <w:r>
        <w:rPr>
          <w:noProof/>
        </w:rPr>
      </w:r>
      <w:r>
        <w:rPr>
          <w:noProof/>
        </w:rPr>
        <w:fldChar w:fldCharType="separate"/>
      </w:r>
      <w:r w:rsidR="001E3776">
        <w:rPr>
          <w:noProof/>
        </w:rPr>
        <w:t>4</w:t>
      </w:r>
      <w:r>
        <w:rPr>
          <w:noProof/>
        </w:rPr>
        <w:fldChar w:fldCharType="end"/>
      </w:r>
    </w:p>
    <w:p w14:paraId="1BEAB812" w14:textId="77777777" w:rsidR="009761D3" w:rsidRDefault="009761D3">
      <w:pPr>
        <w:pStyle w:val="TOC1"/>
        <w:rPr>
          <w:rFonts w:asciiTheme="minorHAnsi" w:eastAsiaTheme="minorEastAsia" w:hAnsiTheme="minorHAnsi" w:cstheme="minorBidi"/>
          <w:b w:val="0"/>
          <w:caps w:val="0"/>
          <w:noProof/>
          <w:szCs w:val="22"/>
          <w:lang w:eastAsia="fr-FR"/>
        </w:rPr>
      </w:pPr>
      <w:r>
        <w:rPr>
          <w:noProof/>
        </w:rPr>
        <w:t>III.</w:t>
      </w:r>
      <w:r>
        <w:rPr>
          <w:rFonts w:asciiTheme="minorHAnsi" w:eastAsiaTheme="minorEastAsia" w:hAnsiTheme="minorHAnsi" w:cstheme="minorBidi"/>
          <w:b w:val="0"/>
          <w:caps w:val="0"/>
          <w:noProof/>
          <w:szCs w:val="22"/>
          <w:lang w:eastAsia="fr-FR"/>
        </w:rPr>
        <w:tab/>
      </w:r>
      <w:r>
        <w:rPr>
          <w:noProof/>
        </w:rPr>
        <w:t>Rapport sur la mise en œuvre des mesures de maîtrise des coûts en 2016</w:t>
      </w:r>
      <w:r>
        <w:rPr>
          <w:noProof/>
        </w:rPr>
        <w:tab/>
      </w:r>
      <w:r>
        <w:rPr>
          <w:noProof/>
        </w:rPr>
        <w:fldChar w:fldCharType="begin"/>
      </w:r>
      <w:r>
        <w:rPr>
          <w:noProof/>
        </w:rPr>
        <w:instrText xml:space="preserve"> PAGEREF _Toc482774586 \h </w:instrText>
      </w:r>
      <w:r>
        <w:rPr>
          <w:noProof/>
        </w:rPr>
      </w:r>
      <w:r>
        <w:rPr>
          <w:noProof/>
        </w:rPr>
        <w:fldChar w:fldCharType="separate"/>
      </w:r>
      <w:r w:rsidR="001E3776">
        <w:rPr>
          <w:noProof/>
        </w:rPr>
        <w:t>23</w:t>
      </w:r>
      <w:r>
        <w:rPr>
          <w:noProof/>
        </w:rPr>
        <w:fldChar w:fldCharType="end"/>
      </w:r>
    </w:p>
    <w:p w14:paraId="16A43F37" w14:textId="77777777" w:rsidR="009761D3" w:rsidRDefault="009761D3">
      <w:pPr>
        <w:pStyle w:val="TOC1"/>
        <w:rPr>
          <w:rFonts w:asciiTheme="minorHAnsi" w:eastAsiaTheme="minorEastAsia" w:hAnsiTheme="minorHAnsi" w:cstheme="minorBidi"/>
          <w:b w:val="0"/>
          <w:caps w:val="0"/>
          <w:noProof/>
          <w:szCs w:val="22"/>
          <w:lang w:eastAsia="fr-FR"/>
        </w:rPr>
      </w:pPr>
      <w:r>
        <w:rPr>
          <w:noProof/>
        </w:rPr>
        <w:t>IV.</w:t>
      </w:r>
      <w:r>
        <w:rPr>
          <w:rFonts w:asciiTheme="minorHAnsi" w:eastAsiaTheme="minorEastAsia" w:hAnsiTheme="minorHAnsi" w:cstheme="minorBidi"/>
          <w:b w:val="0"/>
          <w:caps w:val="0"/>
          <w:noProof/>
          <w:szCs w:val="22"/>
          <w:lang w:eastAsia="fr-FR"/>
        </w:rPr>
        <w:tab/>
      </w:r>
      <w:r>
        <w:rPr>
          <w:noProof/>
        </w:rPr>
        <w:t>Aperçu des progrès réalisés en 2016 par objectif stratégique</w:t>
      </w:r>
      <w:r>
        <w:rPr>
          <w:noProof/>
        </w:rPr>
        <w:tab/>
      </w:r>
      <w:r>
        <w:rPr>
          <w:noProof/>
        </w:rPr>
        <w:fldChar w:fldCharType="begin"/>
      </w:r>
      <w:r>
        <w:rPr>
          <w:noProof/>
        </w:rPr>
        <w:instrText xml:space="preserve"> PAGEREF _Toc482774587 \h </w:instrText>
      </w:r>
      <w:r>
        <w:rPr>
          <w:noProof/>
        </w:rPr>
      </w:r>
      <w:r>
        <w:rPr>
          <w:noProof/>
        </w:rPr>
        <w:fldChar w:fldCharType="separate"/>
      </w:r>
      <w:r w:rsidR="001E3776">
        <w:rPr>
          <w:noProof/>
        </w:rPr>
        <w:t>28</w:t>
      </w:r>
      <w:r>
        <w:rPr>
          <w:noProof/>
        </w:rPr>
        <w:fldChar w:fldCharType="end"/>
      </w:r>
    </w:p>
    <w:p w14:paraId="3619EF0F"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I</w:t>
      </w:r>
      <w:r>
        <w:rPr>
          <w:noProof/>
        </w:rPr>
        <w:tab/>
      </w:r>
      <w:r>
        <w:rPr>
          <w:noProof/>
        </w:rPr>
        <w:fldChar w:fldCharType="begin"/>
      </w:r>
      <w:r>
        <w:rPr>
          <w:noProof/>
        </w:rPr>
        <w:instrText xml:space="preserve"> PAGEREF _Toc482774588 \h </w:instrText>
      </w:r>
      <w:r>
        <w:rPr>
          <w:noProof/>
        </w:rPr>
      </w:r>
      <w:r>
        <w:rPr>
          <w:noProof/>
        </w:rPr>
        <w:fldChar w:fldCharType="separate"/>
      </w:r>
      <w:r w:rsidR="001E3776">
        <w:rPr>
          <w:noProof/>
        </w:rPr>
        <w:t>28</w:t>
      </w:r>
      <w:r>
        <w:rPr>
          <w:noProof/>
        </w:rPr>
        <w:fldChar w:fldCharType="end"/>
      </w:r>
    </w:p>
    <w:p w14:paraId="1BF4D045" w14:textId="77777777" w:rsidR="009761D3" w:rsidRDefault="009761D3">
      <w:pPr>
        <w:pStyle w:val="TOC3"/>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rPr>
          <w:rtl/>
        </w:rPr>
        <w:t>‏</w:t>
      </w:r>
      <w:r>
        <w:t>Droit des brevets</w:t>
      </w:r>
      <w:r>
        <w:tab/>
      </w:r>
      <w:r>
        <w:fldChar w:fldCharType="begin"/>
      </w:r>
      <w:r>
        <w:instrText xml:space="preserve"> PAGEREF _Toc482774589 \h </w:instrText>
      </w:r>
      <w:r>
        <w:fldChar w:fldCharType="separate"/>
      </w:r>
      <w:r w:rsidR="001E3776">
        <w:t>31</w:t>
      </w:r>
      <w:r>
        <w:fldChar w:fldCharType="end"/>
      </w:r>
    </w:p>
    <w:p w14:paraId="19E694ED" w14:textId="77777777" w:rsidR="009761D3" w:rsidRDefault="009761D3">
      <w:pPr>
        <w:pStyle w:val="TOC3"/>
        <w:rPr>
          <w:rFonts w:asciiTheme="minorHAnsi" w:eastAsiaTheme="minorEastAsia" w:hAnsiTheme="minorHAnsi" w:cstheme="minorBidi"/>
          <w:caps w:val="0"/>
          <w:sz w:val="22"/>
          <w:szCs w:val="22"/>
          <w:lang w:eastAsia="fr-FR"/>
        </w:rPr>
      </w:pPr>
      <w:r>
        <w:t>Programme 2</w:t>
      </w:r>
      <w:r>
        <w:rPr>
          <w:rFonts w:asciiTheme="minorHAnsi" w:eastAsiaTheme="minorEastAsia" w:hAnsiTheme="minorHAnsi" w:cstheme="minorBidi"/>
          <w:caps w:val="0"/>
          <w:sz w:val="22"/>
          <w:szCs w:val="22"/>
          <w:lang w:eastAsia="fr-FR"/>
        </w:rPr>
        <w:tab/>
      </w:r>
      <w:r>
        <w:rPr>
          <w:rtl/>
        </w:rPr>
        <w:t>‏</w:t>
      </w:r>
      <w:r>
        <w:t>Marques, dessins et modèles industriels et indications géographiques</w:t>
      </w:r>
      <w:r>
        <w:tab/>
      </w:r>
      <w:r>
        <w:fldChar w:fldCharType="begin"/>
      </w:r>
      <w:r>
        <w:instrText xml:space="preserve"> PAGEREF _Toc482774590 \h </w:instrText>
      </w:r>
      <w:r>
        <w:fldChar w:fldCharType="separate"/>
      </w:r>
      <w:r w:rsidR="001E3776">
        <w:t>34</w:t>
      </w:r>
      <w:r>
        <w:fldChar w:fldCharType="end"/>
      </w:r>
    </w:p>
    <w:p w14:paraId="3DEC01DE" w14:textId="77777777" w:rsidR="009761D3" w:rsidRDefault="009761D3">
      <w:pPr>
        <w:pStyle w:val="TOC3"/>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_Toc482774591 \h </w:instrText>
      </w:r>
      <w:r>
        <w:fldChar w:fldCharType="separate"/>
      </w:r>
      <w:r w:rsidR="001E3776">
        <w:t>38</w:t>
      </w:r>
      <w:r>
        <w:fldChar w:fldCharType="end"/>
      </w:r>
    </w:p>
    <w:p w14:paraId="22107D37" w14:textId="77777777" w:rsidR="009761D3" w:rsidRDefault="009761D3">
      <w:pPr>
        <w:pStyle w:val="TOC3"/>
        <w:rPr>
          <w:rFonts w:asciiTheme="minorHAnsi" w:eastAsiaTheme="minorEastAsia" w:hAnsiTheme="minorHAnsi" w:cstheme="minorBidi"/>
          <w:caps w:val="0"/>
          <w:sz w:val="22"/>
          <w:szCs w:val="22"/>
          <w:lang w:eastAsia="fr-FR"/>
        </w:rPr>
      </w:pPr>
      <w:r>
        <w:t>Programme 4</w:t>
      </w:r>
      <w:r>
        <w:rPr>
          <w:rFonts w:asciiTheme="minorHAnsi" w:eastAsiaTheme="minorEastAsia" w:hAnsiTheme="minorHAnsi" w:cstheme="minorBidi"/>
          <w:caps w:val="0"/>
          <w:sz w:val="22"/>
          <w:szCs w:val="22"/>
          <w:lang w:eastAsia="fr-FR"/>
        </w:rPr>
        <w:tab/>
      </w:r>
      <w:r>
        <w:t>Savoirs traditionnels, expressions culturelles traditionnelles et ressources génétiques</w:t>
      </w:r>
      <w:r>
        <w:tab/>
      </w:r>
      <w:r>
        <w:fldChar w:fldCharType="begin"/>
      </w:r>
      <w:r>
        <w:instrText xml:space="preserve"> PAGEREF _Toc482774592 \h </w:instrText>
      </w:r>
      <w:r>
        <w:fldChar w:fldCharType="separate"/>
      </w:r>
      <w:r w:rsidR="001E3776">
        <w:t>44</w:t>
      </w:r>
      <w:r>
        <w:fldChar w:fldCharType="end"/>
      </w:r>
    </w:p>
    <w:p w14:paraId="6DA0591B"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II</w:t>
      </w:r>
      <w:r>
        <w:rPr>
          <w:noProof/>
        </w:rPr>
        <w:tab/>
      </w:r>
      <w:r>
        <w:rPr>
          <w:noProof/>
        </w:rPr>
        <w:fldChar w:fldCharType="begin"/>
      </w:r>
      <w:r>
        <w:rPr>
          <w:noProof/>
        </w:rPr>
        <w:instrText xml:space="preserve"> PAGEREF _Toc482774593 \h </w:instrText>
      </w:r>
      <w:r>
        <w:rPr>
          <w:noProof/>
        </w:rPr>
      </w:r>
      <w:r>
        <w:rPr>
          <w:noProof/>
        </w:rPr>
        <w:fldChar w:fldCharType="separate"/>
      </w:r>
      <w:r w:rsidR="001E3776">
        <w:rPr>
          <w:noProof/>
        </w:rPr>
        <w:t>47</w:t>
      </w:r>
      <w:r>
        <w:rPr>
          <w:noProof/>
        </w:rPr>
        <w:fldChar w:fldCharType="end"/>
      </w:r>
    </w:p>
    <w:p w14:paraId="3B874E81" w14:textId="77777777" w:rsidR="009761D3" w:rsidRDefault="009761D3">
      <w:pPr>
        <w:pStyle w:val="TOC3"/>
      </w:pPr>
      <w:r w:rsidRPr="00EC077E">
        <w:rPr>
          <w:rFonts w:eastAsia="SimSun"/>
          <w:lang w:eastAsia="zh-CN"/>
        </w:rPr>
        <w:t>Programme 5</w:t>
      </w:r>
      <w:r>
        <w:rPr>
          <w:rFonts w:asciiTheme="minorHAnsi" w:eastAsiaTheme="minorEastAsia" w:hAnsiTheme="minorHAnsi" w:cstheme="minorBidi"/>
          <w:caps w:val="0"/>
          <w:sz w:val="22"/>
          <w:szCs w:val="22"/>
          <w:lang w:eastAsia="fr-FR"/>
        </w:rPr>
        <w:tab/>
      </w:r>
      <w:r w:rsidRPr="00EC077E">
        <w:rPr>
          <w:rFonts w:eastAsia="SimSun"/>
          <w:lang w:eastAsia="zh-CN"/>
        </w:rPr>
        <w:t>Système du PCT</w:t>
      </w:r>
      <w:r>
        <w:tab/>
      </w:r>
      <w:r>
        <w:fldChar w:fldCharType="begin"/>
      </w:r>
      <w:r>
        <w:instrText xml:space="preserve"> PAGEREF _Toc482774594 \h </w:instrText>
      </w:r>
      <w:r>
        <w:fldChar w:fldCharType="separate"/>
      </w:r>
      <w:r w:rsidR="001E3776">
        <w:t>51</w:t>
      </w:r>
      <w:r>
        <w:fldChar w:fldCharType="end"/>
      </w:r>
    </w:p>
    <w:p w14:paraId="36F8A27D" w14:textId="4D3047A1" w:rsidR="00E73DAD" w:rsidRPr="00E73DAD" w:rsidRDefault="00E73DAD" w:rsidP="00E73DAD">
      <w:pPr>
        <w:pStyle w:val="TOC4"/>
        <w:rPr>
          <w:rStyle w:val="Hyperlink"/>
          <w:rFonts w:asciiTheme="minorBidi" w:hAnsiTheme="minorBidi" w:cstheme="minorBidi"/>
          <w:iCs/>
          <w:caps w:val="0"/>
          <w:noProof/>
          <w:color w:val="auto"/>
          <w:sz w:val="20"/>
          <w:szCs w:val="20"/>
          <w:u w:val="none"/>
        </w:rPr>
      </w:pPr>
      <w:r w:rsidRPr="00E73DAD">
        <w:rPr>
          <w:rStyle w:val="Hyperlink"/>
          <w:rFonts w:asciiTheme="minorBidi" w:hAnsiTheme="minorBidi" w:cstheme="minorBidi"/>
          <w:iCs/>
          <w:caps w:val="0"/>
          <w:noProof/>
          <w:color w:val="auto"/>
          <w:sz w:val="20"/>
          <w:szCs w:val="20"/>
          <w:u w:val="none"/>
        </w:rPr>
        <w:t xml:space="preserve">Programme 5 Annexe : </w:t>
      </w:r>
      <w:r w:rsidRPr="00E73DAD">
        <w:rPr>
          <w:rStyle w:val="Hyperlink"/>
          <w:rFonts w:asciiTheme="minorBidi" w:hAnsiTheme="minorBidi" w:cstheme="minorBidi"/>
          <w:iCs/>
          <w:caps w:val="0"/>
          <w:noProof/>
          <w:color w:val="auto"/>
          <w:sz w:val="20"/>
          <w:szCs w:val="20"/>
          <w:u w:val="none"/>
        </w:rPr>
        <w:tab/>
        <w:t>Indicateurs relatifs aux opérations du PCT……………………………..56</w:t>
      </w:r>
    </w:p>
    <w:p w14:paraId="50DB81B4" w14:textId="77777777" w:rsidR="009761D3" w:rsidRDefault="009761D3">
      <w:pPr>
        <w:pStyle w:val="TOC3"/>
      </w:pPr>
      <w:r>
        <w:t>Programme 6</w:t>
      </w:r>
      <w:r>
        <w:rPr>
          <w:rFonts w:asciiTheme="minorHAnsi" w:eastAsiaTheme="minorEastAsia" w:hAnsiTheme="minorHAnsi" w:cstheme="minorBidi"/>
          <w:caps w:val="0"/>
          <w:sz w:val="22"/>
          <w:szCs w:val="22"/>
          <w:lang w:eastAsia="fr-FR"/>
        </w:rPr>
        <w:tab/>
      </w:r>
      <w:r>
        <w:t>Système de Madrid</w:t>
      </w:r>
      <w:r>
        <w:tab/>
      </w:r>
      <w:r>
        <w:fldChar w:fldCharType="begin"/>
      </w:r>
      <w:r>
        <w:instrText xml:space="preserve"> PAGEREF _Toc482774595 \h </w:instrText>
      </w:r>
      <w:r>
        <w:fldChar w:fldCharType="separate"/>
      </w:r>
      <w:r w:rsidR="001E3776">
        <w:t>69</w:t>
      </w:r>
      <w:r>
        <w:fldChar w:fldCharType="end"/>
      </w:r>
    </w:p>
    <w:p w14:paraId="5038D177" w14:textId="46739CBA" w:rsidR="00E73DAD" w:rsidRPr="00E73DAD" w:rsidRDefault="00E73DAD" w:rsidP="00E73DAD">
      <w:pPr>
        <w:pStyle w:val="TOC4"/>
        <w:rPr>
          <w:rStyle w:val="Hyperlink"/>
          <w:rFonts w:asciiTheme="minorBidi" w:hAnsiTheme="minorBidi" w:cstheme="minorBidi"/>
          <w:iCs/>
          <w:caps w:val="0"/>
          <w:noProof/>
          <w:color w:val="auto"/>
          <w:sz w:val="20"/>
          <w:szCs w:val="20"/>
          <w:u w:val="none"/>
        </w:rPr>
      </w:pPr>
      <w:r w:rsidRPr="00E73DAD">
        <w:rPr>
          <w:rStyle w:val="Hyperlink"/>
          <w:rFonts w:asciiTheme="minorBidi" w:hAnsiTheme="minorBidi" w:cstheme="minorBidi"/>
          <w:iCs/>
          <w:caps w:val="0"/>
          <w:noProof/>
          <w:color w:val="auto"/>
          <w:sz w:val="20"/>
          <w:szCs w:val="20"/>
          <w:u w:val="none"/>
        </w:rPr>
        <w:t xml:space="preserve">Programme 6 Annexe : </w:t>
      </w:r>
      <w:r w:rsidRPr="00E73DAD">
        <w:rPr>
          <w:rStyle w:val="Hyperlink"/>
          <w:rFonts w:asciiTheme="minorBidi" w:hAnsiTheme="minorBidi" w:cstheme="minorBidi"/>
          <w:iCs/>
          <w:caps w:val="0"/>
          <w:noProof/>
          <w:color w:val="auto"/>
          <w:sz w:val="20"/>
          <w:szCs w:val="20"/>
          <w:u w:val="none"/>
        </w:rPr>
        <w:tab/>
        <w:t>Indicateurs relatifs aux opérations du système de Madrid……………75</w:t>
      </w:r>
    </w:p>
    <w:p w14:paraId="100BC43D" w14:textId="77777777" w:rsidR="009761D3" w:rsidRDefault="009761D3">
      <w:pPr>
        <w:pStyle w:val="TOC3"/>
      </w:pPr>
      <w:r>
        <w:t>Programme 31</w:t>
      </w:r>
      <w:r>
        <w:rPr>
          <w:rFonts w:asciiTheme="minorHAnsi" w:eastAsiaTheme="minorEastAsia" w:hAnsiTheme="minorHAnsi" w:cstheme="minorBidi"/>
          <w:caps w:val="0"/>
          <w:sz w:val="22"/>
          <w:szCs w:val="22"/>
          <w:lang w:eastAsia="fr-FR"/>
        </w:rPr>
        <w:tab/>
      </w:r>
      <w:r>
        <w:t>Système de La Haye</w:t>
      </w:r>
      <w:r>
        <w:tab/>
      </w:r>
      <w:r>
        <w:fldChar w:fldCharType="begin"/>
      </w:r>
      <w:r>
        <w:instrText xml:space="preserve"> PAGEREF _Toc482774596 \h </w:instrText>
      </w:r>
      <w:r>
        <w:fldChar w:fldCharType="separate"/>
      </w:r>
      <w:r w:rsidR="001E3776">
        <w:t>94</w:t>
      </w:r>
      <w:r>
        <w:fldChar w:fldCharType="end"/>
      </w:r>
    </w:p>
    <w:p w14:paraId="2EC8A43D" w14:textId="68BBDFEA" w:rsidR="00E73DAD" w:rsidRPr="00E73DAD" w:rsidRDefault="00E73DAD" w:rsidP="00E73DAD">
      <w:pPr>
        <w:pStyle w:val="TOC4"/>
        <w:rPr>
          <w:rStyle w:val="Hyperlink"/>
          <w:rFonts w:asciiTheme="minorBidi" w:hAnsiTheme="minorBidi" w:cstheme="minorBidi"/>
          <w:iCs/>
          <w:caps w:val="0"/>
          <w:noProof/>
          <w:color w:val="auto"/>
          <w:sz w:val="20"/>
          <w:szCs w:val="20"/>
          <w:u w:val="none"/>
        </w:rPr>
      </w:pPr>
      <w:r w:rsidRPr="00E73DAD">
        <w:rPr>
          <w:rStyle w:val="Hyperlink"/>
          <w:rFonts w:asciiTheme="minorBidi" w:hAnsiTheme="minorBidi" w:cstheme="minorBidi"/>
          <w:iCs/>
          <w:caps w:val="0"/>
          <w:noProof/>
          <w:color w:val="auto"/>
          <w:sz w:val="20"/>
          <w:szCs w:val="20"/>
          <w:u w:val="none"/>
        </w:rPr>
        <w:t xml:space="preserve">Programme 31 Annexe : </w:t>
      </w:r>
      <w:r w:rsidRPr="00E73DAD">
        <w:rPr>
          <w:rStyle w:val="Hyperlink"/>
          <w:rFonts w:asciiTheme="minorBidi" w:hAnsiTheme="minorBidi" w:cstheme="minorBidi"/>
          <w:iCs/>
          <w:caps w:val="0"/>
          <w:noProof/>
          <w:color w:val="auto"/>
          <w:sz w:val="20"/>
          <w:szCs w:val="20"/>
          <w:u w:val="none"/>
        </w:rPr>
        <w:tab/>
        <w:t>Indicateurs relatifs aux opérations du système de La Haye………….96</w:t>
      </w:r>
    </w:p>
    <w:p w14:paraId="2E741694" w14:textId="77777777" w:rsidR="009761D3" w:rsidRDefault="009761D3">
      <w:pPr>
        <w:pStyle w:val="TOC3"/>
        <w:rPr>
          <w:rFonts w:asciiTheme="minorHAnsi" w:eastAsiaTheme="minorEastAsia" w:hAnsiTheme="minorHAnsi" w:cstheme="minorBidi"/>
          <w:caps w:val="0"/>
          <w:sz w:val="22"/>
          <w:szCs w:val="22"/>
          <w:lang w:eastAsia="fr-FR"/>
        </w:rPr>
      </w:pPr>
      <w:r>
        <w:t>Programme 32</w:t>
      </w:r>
      <w:r>
        <w:rPr>
          <w:rFonts w:asciiTheme="minorHAnsi" w:eastAsiaTheme="minorEastAsia" w:hAnsiTheme="minorHAnsi" w:cstheme="minorBidi"/>
          <w:caps w:val="0"/>
          <w:sz w:val="22"/>
          <w:szCs w:val="22"/>
          <w:lang w:eastAsia="fr-FR"/>
        </w:rPr>
        <w:tab/>
      </w:r>
      <w:r>
        <w:t>Système de Lisbonne</w:t>
      </w:r>
      <w:r>
        <w:tab/>
      </w:r>
      <w:r>
        <w:fldChar w:fldCharType="begin"/>
      </w:r>
      <w:r>
        <w:instrText xml:space="preserve"> PAGEREF _Toc482774597 \h </w:instrText>
      </w:r>
      <w:r>
        <w:fldChar w:fldCharType="separate"/>
      </w:r>
      <w:r w:rsidR="001E3776">
        <w:t>107</w:t>
      </w:r>
      <w:r>
        <w:fldChar w:fldCharType="end"/>
      </w:r>
    </w:p>
    <w:p w14:paraId="3692EB02" w14:textId="77777777" w:rsidR="009761D3" w:rsidRDefault="009761D3">
      <w:pPr>
        <w:pStyle w:val="TOC3"/>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t>Centre d’arbitrage et de médiation de l’OMPI</w:t>
      </w:r>
      <w:r>
        <w:tab/>
      </w:r>
      <w:r>
        <w:fldChar w:fldCharType="begin"/>
      </w:r>
      <w:r>
        <w:instrText xml:space="preserve"> PAGEREF _Toc482774598 \h </w:instrText>
      </w:r>
      <w:r>
        <w:fldChar w:fldCharType="separate"/>
      </w:r>
      <w:r w:rsidR="001E3776">
        <w:t>110</w:t>
      </w:r>
      <w:r>
        <w:fldChar w:fldCharType="end"/>
      </w:r>
    </w:p>
    <w:p w14:paraId="3D4E6AE4"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III</w:t>
      </w:r>
      <w:r>
        <w:rPr>
          <w:noProof/>
        </w:rPr>
        <w:tab/>
      </w:r>
      <w:r>
        <w:rPr>
          <w:noProof/>
        </w:rPr>
        <w:fldChar w:fldCharType="begin"/>
      </w:r>
      <w:r>
        <w:rPr>
          <w:noProof/>
        </w:rPr>
        <w:instrText xml:space="preserve"> PAGEREF _Toc482774599 \h </w:instrText>
      </w:r>
      <w:r>
        <w:rPr>
          <w:noProof/>
        </w:rPr>
      </w:r>
      <w:r>
        <w:rPr>
          <w:noProof/>
        </w:rPr>
        <w:fldChar w:fldCharType="separate"/>
      </w:r>
      <w:r w:rsidR="001E3776">
        <w:rPr>
          <w:noProof/>
        </w:rPr>
        <w:t>114</w:t>
      </w:r>
      <w:r>
        <w:rPr>
          <w:noProof/>
        </w:rPr>
        <w:fldChar w:fldCharType="end"/>
      </w:r>
    </w:p>
    <w:p w14:paraId="04678B64" w14:textId="77777777" w:rsidR="009761D3" w:rsidRDefault="009761D3">
      <w:pPr>
        <w:pStyle w:val="TOC3"/>
        <w:rPr>
          <w:rFonts w:asciiTheme="minorHAnsi" w:eastAsiaTheme="minorEastAsia" w:hAnsiTheme="minorHAnsi" w:cstheme="minorBidi"/>
          <w:caps w:val="0"/>
          <w:sz w:val="22"/>
          <w:szCs w:val="22"/>
          <w:lang w:eastAsia="fr-FR"/>
        </w:rPr>
      </w:pPr>
      <w:r>
        <w:t>Programme 8</w:t>
      </w:r>
      <w:r>
        <w:rPr>
          <w:rFonts w:asciiTheme="minorHAnsi" w:eastAsiaTheme="minorEastAsia" w:hAnsiTheme="minorHAnsi" w:cstheme="minorBidi"/>
          <w:caps w:val="0"/>
          <w:sz w:val="22"/>
          <w:szCs w:val="22"/>
          <w:lang w:eastAsia="fr-FR"/>
        </w:rPr>
        <w:tab/>
      </w:r>
      <w:r>
        <w:t>Coordination du Plan d’action pour le développement</w:t>
      </w:r>
      <w:r>
        <w:tab/>
      </w:r>
      <w:r>
        <w:fldChar w:fldCharType="begin"/>
      </w:r>
      <w:r>
        <w:instrText xml:space="preserve"> PAGEREF _Toc482774600 \h </w:instrText>
      </w:r>
      <w:r>
        <w:fldChar w:fldCharType="separate"/>
      </w:r>
      <w:r w:rsidR="001E3776">
        <w:t>118</w:t>
      </w:r>
      <w:r>
        <w:fldChar w:fldCharType="end"/>
      </w:r>
    </w:p>
    <w:p w14:paraId="135B37A6" w14:textId="77777777" w:rsidR="009761D3" w:rsidRDefault="009761D3">
      <w:pPr>
        <w:pStyle w:val="TOC3"/>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d’Amérique latine et des Caraïbes, pays les moins avancés</w:t>
      </w:r>
      <w:r>
        <w:tab/>
      </w:r>
      <w:r>
        <w:fldChar w:fldCharType="begin"/>
      </w:r>
      <w:r>
        <w:instrText xml:space="preserve"> PAGEREF _Toc482774601 \h </w:instrText>
      </w:r>
      <w:r>
        <w:fldChar w:fldCharType="separate"/>
      </w:r>
      <w:r w:rsidR="001E3776">
        <w:t>121</w:t>
      </w:r>
      <w:r>
        <w:fldChar w:fldCharType="end"/>
      </w:r>
    </w:p>
    <w:p w14:paraId="2D729740" w14:textId="77777777" w:rsidR="009761D3" w:rsidRDefault="009761D3">
      <w:pPr>
        <w:pStyle w:val="TOC3"/>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Pays en transition et pays développés</w:t>
      </w:r>
      <w:r>
        <w:tab/>
      </w:r>
      <w:r>
        <w:fldChar w:fldCharType="begin"/>
      </w:r>
      <w:r>
        <w:instrText xml:space="preserve"> PAGEREF _Toc482774602 \h </w:instrText>
      </w:r>
      <w:r>
        <w:fldChar w:fldCharType="separate"/>
      </w:r>
      <w:r w:rsidR="001E3776">
        <w:t>132</w:t>
      </w:r>
      <w:r>
        <w:fldChar w:fldCharType="end"/>
      </w:r>
    </w:p>
    <w:p w14:paraId="202131B7" w14:textId="77777777" w:rsidR="009761D3" w:rsidRDefault="009761D3">
      <w:pPr>
        <w:pStyle w:val="TOC3"/>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_Toc482774603 \h </w:instrText>
      </w:r>
      <w:r>
        <w:fldChar w:fldCharType="separate"/>
      </w:r>
      <w:r w:rsidR="001E3776">
        <w:t>138</w:t>
      </w:r>
      <w:r>
        <w:fldChar w:fldCharType="end"/>
      </w:r>
    </w:p>
    <w:p w14:paraId="347D0D8D" w14:textId="77777777" w:rsidR="009761D3" w:rsidRDefault="009761D3">
      <w:pPr>
        <w:pStyle w:val="TOC3"/>
        <w:rPr>
          <w:rFonts w:asciiTheme="minorHAnsi" w:eastAsiaTheme="minorEastAsia" w:hAnsiTheme="minorHAnsi" w:cstheme="minorBidi"/>
          <w:caps w:val="0"/>
          <w:sz w:val="22"/>
          <w:szCs w:val="22"/>
          <w:lang w:eastAsia="fr-FR"/>
        </w:rPr>
      </w:pPr>
      <w:r w:rsidRPr="00EC077E">
        <w:rPr>
          <w:color w:val="000000"/>
        </w:rPr>
        <w:t>P</w:t>
      </w:r>
      <w:r>
        <w:t>rogramme 30</w:t>
      </w:r>
      <w:r>
        <w:rPr>
          <w:rFonts w:asciiTheme="minorHAnsi" w:eastAsiaTheme="minorEastAsia" w:hAnsiTheme="minorHAnsi" w:cstheme="minorBidi"/>
          <w:caps w:val="0"/>
          <w:sz w:val="22"/>
          <w:szCs w:val="22"/>
          <w:lang w:eastAsia="fr-FR"/>
        </w:rPr>
        <w:tab/>
      </w:r>
      <w:r>
        <w:t>Appui aux petites et moyennes entreprises (PME) et à la création d’entreprises</w:t>
      </w:r>
      <w:r>
        <w:tab/>
      </w:r>
      <w:r>
        <w:fldChar w:fldCharType="begin"/>
      </w:r>
      <w:r>
        <w:instrText xml:space="preserve"> PAGEREF _Toc482774604 \h </w:instrText>
      </w:r>
      <w:r>
        <w:fldChar w:fldCharType="separate"/>
      </w:r>
      <w:r w:rsidR="001E3776">
        <w:t>141</w:t>
      </w:r>
      <w:r>
        <w:fldChar w:fldCharType="end"/>
      </w:r>
    </w:p>
    <w:p w14:paraId="3C7DAC6B"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IV</w:t>
      </w:r>
      <w:r>
        <w:rPr>
          <w:noProof/>
        </w:rPr>
        <w:tab/>
      </w:r>
      <w:r>
        <w:rPr>
          <w:noProof/>
        </w:rPr>
        <w:fldChar w:fldCharType="begin"/>
      </w:r>
      <w:r>
        <w:rPr>
          <w:noProof/>
        </w:rPr>
        <w:instrText xml:space="preserve"> PAGEREF _Toc482774605 \h </w:instrText>
      </w:r>
      <w:r>
        <w:rPr>
          <w:noProof/>
        </w:rPr>
      </w:r>
      <w:r>
        <w:rPr>
          <w:noProof/>
        </w:rPr>
        <w:fldChar w:fldCharType="separate"/>
      </w:r>
      <w:r w:rsidR="001E3776">
        <w:rPr>
          <w:noProof/>
        </w:rPr>
        <w:t>146</w:t>
      </w:r>
      <w:r>
        <w:rPr>
          <w:noProof/>
        </w:rPr>
        <w:fldChar w:fldCharType="end"/>
      </w:r>
    </w:p>
    <w:p w14:paraId="3C4C68AD" w14:textId="77777777" w:rsidR="009761D3" w:rsidRDefault="009761D3">
      <w:pPr>
        <w:pStyle w:val="TOC3"/>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_Toc482774606 \h </w:instrText>
      </w:r>
      <w:r>
        <w:fldChar w:fldCharType="separate"/>
      </w:r>
      <w:r w:rsidR="001E3776">
        <w:t>149</w:t>
      </w:r>
      <w:r>
        <w:fldChar w:fldCharType="end"/>
      </w:r>
    </w:p>
    <w:p w14:paraId="5A588C96" w14:textId="77777777" w:rsidR="009761D3" w:rsidRDefault="009761D3">
      <w:pPr>
        <w:pStyle w:val="TOC3"/>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Bases de données mondiales</w:t>
      </w:r>
      <w:r>
        <w:tab/>
      </w:r>
      <w:r>
        <w:fldChar w:fldCharType="begin"/>
      </w:r>
      <w:r>
        <w:instrText xml:space="preserve"> PAGEREF _Toc482774607 \h </w:instrText>
      </w:r>
      <w:r>
        <w:fldChar w:fldCharType="separate"/>
      </w:r>
      <w:r w:rsidR="001E3776">
        <w:t>152</w:t>
      </w:r>
      <w:r>
        <w:fldChar w:fldCharType="end"/>
      </w:r>
    </w:p>
    <w:p w14:paraId="12164B3C" w14:textId="77777777" w:rsidR="009761D3" w:rsidRDefault="009761D3">
      <w:pPr>
        <w:pStyle w:val="TOC3"/>
        <w:rPr>
          <w:rFonts w:asciiTheme="minorHAnsi" w:eastAsiaTheme="minorEastAsia" w:hAnsiTheme="minorHAnsi" w:cstheme="minorBidi"/>
          <w:caps w:val="0"/>
          <w:sz w:val="22"/>
          <w:szCs w:val="22"/>
          <w:lang w:eastAsia="fr-FR"/>
        </w:rPr>
      </w:pPr>
      <w:r>
        <w:t>Programme 14</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_Toc482774608 \h </w:instrText>
      </w:r>
      <w:r>
        <w:fldChar w:fldCharType="separate"/>
      </w:r>
      <w:r w:rsidR="001E3776">
        <w:t>155</w:t>
      </w:r>
      <w:r>
        <w:fldChar w:fldCharType="end"/>
      </w:r>
    </w:p>
    <w:p w14:paraId="7C50F01F" w14:textId="77777777" w:rsidR="009761D3" w:rsidRDefault="009761D3">
      <w:pPr>
        <w:pStyle w:val="TOC3"/>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_Toc482774609 \h </w:instrText>
      </w:r>
      <w:r>
        <w:fldChar w:fldCharType="separate"/>
      </w:r>
      <w:r w:rsidR="001E3776">
        <w:t>159</w:t>
      </w:r>
      <w:r>
        <w:fldChar w:fldCharType="end"/>
      </w:r>
    </w:p>
    <w:p w14:paraId="4818BF5C"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V</w:t>
      </w:r>
      <w:r>
        <w:rPr>
          <w:noProof/>
        </w:rPr>
        <w:tab/>
      </w:r>
      <w:r>
        <w:rPr>
          <w:noProof/>
        </w:rPr>
        <w:fldChar w:fldCharType="begin"/>
      </w:r>
      <w:r>
        <w:rPr>
          <w:noProof/>
        </w:rPr>
        <w:instrText xml:space="preserve"> PAGEREF _Toc482774610 \h </w:instrText>
      </w:r>
      <w:r>
        <w:rPr>
          <w:noProof/>
        </w:rPr>
      </w:r>
      <w:r>
        <w:rPr>
          <w:noProof/>
        </w:rPr>
        <w:fldChar w:fldCharType="separate"/>
      </w:r>
      <w:r w:rsidR="001E3776">
        <w:rPr>
          <w:noProof/>
        </w:rPr>
        <w:t>162</w:t>
      </w:r>
      <w:r>
        <w:rPr>
          <w:noProof/>
        </w:rPr>
        <w:fldChar w:fldCharType="end"/>
      </w:r>
    </w:p>
    <w:p w14:paraId="78720E0D" w14:textId="77777777" w:rsidR="009761D3" w:rsidRDefault="009761D3">
      <w:pPr>
        <w:pStyle w:val="TOC3"/>
        <w:rPr>
          <w:rFonts w:asciiTheme="minorHAnsi" w:eastAsiaTheme="minorEastAsia" w:hAnsiTheme="minorHAnsi" w:cstheme="minorBidi"/>
          <w:caps w:val="0"/>
          <w:sz w:val="22"/>
          <w:szCs w:val="22"/>
          <w:lang w:eastAsia="fr-FR"/>
        </w:rPr>
      </w:pPr>
      <w:r w:rsidRPr="00EC077E">
        <w:rPr>
          <w:rFonts w:eastAsia="SimSun"/>
          <w:lang w:eastAsia="zh-CN"/>
        </w:rPr>
        <w:t>Programme 16</w:t>
      </w:r>
      <w:r>
        <w:rPr>
          <w:rFonts w:asciiTheme="minorHAnsi" w:eastAsiaTheme="minorEastAsia" w:hAnsiTheme="minorHAnsi" w:cstheme="minorBidi"/>
          <w:caps w:val="0"/>
          <w:sz w:val="22"/>
          <w:szCs w:val="22"/>
          <w:lang w:eastAsia="fr-FR"/>
        </w:rPr>
        <w:tab/>
      </w:r>
      <w:r w:rsidRPr="00EC077E">
        <w:rPr>
          <w:rFonts w:eastAsia="SimSun"/>
          <w:lang w:eastAsia="zh-CN"/>
        </w:rPr>
        <w:t>Économie et statistiques</w:t>
      </w:r>
      <w:r>
        <w:tab/>
      </w:r>
      <w:r>
        <w:fldChar w:fldCharType="begin"/>
      </w:r>
      <w:r>
        <w:instrText xml:space="preserve"> PAGEREF _Toc482774611 \h </w:instrText>
      </w:r>
      <w:r>
        <w:fldChar w:fldCharType="separate"/>
      </w:r>
      <w:r w:rsidR="001E3776">
        <w:t>163</w:t>
      </w:r>
      <w:r>
        <w:fldChar w:fldCharType="end"/>
      </w:r>
    </w:p>
    <w:p w14:paraId="4A91FC90"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VI</w:t>
      </w:r>
      <w:r>
        <w:rPr>
          <w:noProof/>
        </w:rPr>
        <w:tab/>
      </w:r>
      <w:r>
        <w:rPr>
          <w:noProof/>
        </w:rPr>
        <w:fldChar w:fldCharType="begin"/>
      </w:r>
      <w:r>
        <w:rPr>
          <w:noProof/>
        </w:rPr>
        <w:instrText xml:space="preserve"> PAGEREF _Toc482774612 \h </w:instrText>
      </w:r>
      <w:r>
        <w:rPr>
          <w:noProof/>
        </w:rPr>
      </w:r>
      <w:r>
        <w:rPr>
          <w:noProof/>
        </w:rPr>
        <w:fldChar w:fldCharType="separate"/>
      </w:r>
      <w:r w:rsidR="001E3776">
        <w:rPr>
          <w:noProof/>
        </w:rPr>
        <w:t>166</w:t>
      </w:r>
      <w:r>
        <w:rPr>
          <w:noProof/>
        </w:rPr>
        <w:fldChar w:fldCharType="end"/>
      </w:r>
    </w:p>
    <w:p w14:paraId="5D92F31B" w14:textId="77777777" w:rsidR="009761D3" w:rsidRDefault="009761D3">
      <w:pPr>
        <w:pStyle w:val="TOC3"/>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_Toc482774613 \h </w:instrText>
      </w:r>
      <w:r>
        <w:fldChar w:fldCharType="separate"/>
      </w:r>
      <w:r w:rsidR="001E3776">
        <w:t>167</w:t>
      </w:r>
      <w:r>
        <w:fldChar w:fldCharType="end"/>
      </w:r>
    </w:p>
    <w:p w14:paraId="7DB6F8EE" w14:textId="77777777" w:rsidR="00275BCC" w:rsidRDefault="00275BCC">
      <w:pPr>
        <w:pStyle w:val="TOC2"/>
        <w:rPr>
          <w:noProof/>
        </w:rPr>
      </w:pPr>
    </w:p>
    <w:p w14:paraId="698547FF" w14:textId="77777777" w:rsidR="009761D3" w:rsidRDefault="009761D3">
      <w:pPr>
        <w:pStyle w:val="TOC2"/>
        <w:rPr>
          <w:rFonts w:asciiTheme="minorHAnsi" w:eastAsiaTheme="minorEastAsia" w:hAnsiTheme="minorHAnsi" w:cstheme="minorBidi"/>
          <w:caps w:val="0"/>
          <w:noProof/>
          <w:szCs w:val="22"/>
          <w:lang w:eastAsia="fr-FR"/>
        </w:rPr>
      </w:pPr>
      <w:r>
        <w:rPr>
          <w:noProof/>
        </w:rPr>
        <w:lastRenderedPageBreak/>
        <w:t>Objectif stratégique VII</w:t>
      </w:r>
      <w:r>
        <w:rPr>
          <w:noProof/>
        </w:rPr>
        <w:tab/>
      </w:r>
      <w:r>
        <w:rPr>
          <w:noProof/>
        </w:rPr>
        <w:fldChar w:fldCharType="begin"/>
      </w:r>
      <w:r>
        <w:rPr>
          <w:noProof/>
        </w:rPr>
        <w:instrText xml:space="preserve"> PAGEREF _Toc482774614 \h </w:instrText>
      </w:r>
      <w:r>
        <w:rPr>
          <w:noProof/>
        </w:rPr>
      </w:r>
      <w:r>
        <w:rPr>
          <w:noProof/>
        </w:rPr>
        <w:fldChar w:fldCharType="separate"/>
      </w:r>
      <w:r w:rsidR="001E3776">
        <w:rPr>
          <w:noProof/>
        </w:rPr>
        <w:t>171</w:t>
      </w:r>
      <w:r>
        <w:rPr>
          <w:noProof/>
        </w:rPr>
        <w:fldChar w:fldCharType="end"/>
      </w:r>
    </w:p>
    <w:p w14:paraId="3927DEC6" w14:textId="77777777" w:rsidR="009761D3" w:rsidRDefault="009761D3">
      <w:pPr>
        <w:pStyle w:val="TOC3"/>
        <w:rPr>
          <w:rFonts w:asciiTheme="minorHAnsi" w:eastAsiaTheme="minorEastAsia" w:hAnsiTheme="minorHAnsi" w:cstheme="minorBidi"/>
          <w:caps w:val="0"/>
          <w:sz w:val="22"/>
          <w:szCs w:val="22"/>
          <w:lang w:eastAsia="fr-FR"/>
        </w:rPr>
      </w:pPr>
      <w:r>
        <w:t>Programme 18</w:t>
      </w:r>
      <w:r>
        <w:rPr>
          <w:rFonts w:asciiTheme="minorHAnsi" w:eastAsiaTheme="minorEastAsia" w:hAnsiTheme="minorHAnsi" w:cstheme="minorBidi"/>
          <w:caps w:val="0"/>
          <w:sz w:val="22"/>
          <w:szCs w:val="22"/>
          <w:lang w:eastAsia="fr-FR"/>
        </w:rPr>
        <w:tab/>
      </w:r>
      <w:r>
        <w:rPr>
          <w:rtl/>
        </w:rPr>
        <w:t>‏</w:t>
      </w:r>
      <w:r>
        <w:t>Propriété intellectuelle et défis mondiaux</w:t>
      </w:r>
      <w:r>
        <w:tab/>
      </w:r>
      <w:r>
        <w:fldChar w:fldCharType="begin"/>
      </w:r>
      <w:r>
        <w:instrText xml:space="preserve"> PAGEREF _Toc482774615 \h </w:instrText>
      </w:r>
      <w:r>
        <w:fldChar w:fldCharType="separate"/>
      </w:r>
      <w:r w:rsidR="001E3776">
        <w:t>172</w:t>
      </w:r>
      <w:r>
        <w:fldChar w:fldCharType="end"/>
      </w:r>
    </w:p>
    <w:p w14:paraId="499A234D"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VIII</w:t>
      </w:r>
      <w:r>
        <w:rPr>
          <w:noProof/>
        </w:rPr>
        <w:tab/>
      </w:r>
      <w:r>
        <w:rPr>
          <w:noProof/>
        </w:rPr>
        <w:fldChar w:fldCharType="begin"/>
      </w:r>
      <w:r>
        <w:rPr>
          <w:noProof/>
        </w:rPr>
        <w:instrText xml:space="preserve"> PAGEREF _Toc482774616 \h </w:instrText>
      </w:r>
      <w:r>
        <w:rPr>
          <w:noProof/>
        </w:rPr>
      </w:r>
      <w:r>
        <w:rPr>
          <w:noProof/>
        </w:rPr>
        <w:fldChar w:fldCharType="separate"/>
      </w:r>
      <w:r w:rsidR="001E3776">
        <w:rPr>
          <w:noProof/>
        </w:rPr>
        <w:t>177</w:t>
      </w:r>
      <w:r>
        <w:rPr>
          <w:noProof/>
        </w:rPr>
        <w:fldChar w:fldCharType="end"/>
      </w:r>
    </w:p>
    <w:p w14:paraId="394924DA" w14:textId="77777777" w:rsidR="009761D3" w:rsidRDefault="009761D3">
      <w:pPr>
        <w:pStyle w:val="TOC3"/>
        <w:rPr>
          <w:rFonts w:asciiTheme="minorHAnsi" w:eastAsiaTheme="minorEastAsia" w:hAnsiTheme="minorHAnsi" w:cstheme="minorBidi"/>
          <w:caps w:val="0"/>
          <w:sz w:val="22"/>
          <w:szCs w:val="22"/>
          <w:lang w:eastAsia="fr-FR"/>
        </w:rPr>
      </w:pPr>
      <w:r w:rsidRPr="00EC077E">
        <w:rPr>
          <w:color w:val="000000"/>
        </w:rPr>
        <w:t>P</w:t>
      </w:r>
      <w:r>
        <w:t>rogramme 19</w:t>
      </w:r>
      <w:r>
        <w:rPr>
          <w:rFonts w:asciiTheme="minorHAnsi" w:eastAsiaTheme="minorEastAsia" w:hAnsiTheme="minorHAnsi" w:cstheme="minorBidi"/>
          <w:caps w:val="0"/>
          <w:sz w:val="22"/>
          <w:szCs w:val="22"/>
          <w:lang w:eastAsia="fr-FR"/>
        </w:rPr>
        <w:tab/>
      </w:r>
      <w:r>
        <w:rPr>
          <w:rtl/>
        </w:rPr>
        <w:t>‏</w:t>
      </w:r>
      <w:r>
        <w:t>Communications</w:t>
      </w:r>
      <w:r>
        <w:tab/>
      </w:r>
      <w:r>
        <w:fldChar w:fldCharType="begin"/>
      </w:r>
      <w:r>
        <w:instrText xml:space="preserve"> PAGEREF _Toc482774617 \h </w:instrText>
      </w:r>
      <w:r>
        <w:fldChar w:fldCharType="separate"/>
      </w:r>
      <w:r w:rsidR="001E3776">
        <w:t>179</w:t>
      </w:r>
      <w:r>
        <w:fldChar w:fldCharType="end"/>
      </w:r>
    </w:p>
    <w:p w14:paraId="46179DE8" w14:textId="77777777" w:rsidR="009761D3" w:rsidRDefault="009761D3">
      <w:pPr>
        <w:pStyle w:val="TOC3"/>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_Toc482774618 \h </w:instrText>
      </w:r>
      <w:r>
        <w:fldChar w:fldCharType="separate"/>
      </w:r>
      <w:r w:rsidR="001E3776">
        <w:t>184</w:t>
      </w:r>
      <w:r>
        <w:fldChar w:fldCharType="end"/>
      </w:r>
    </w:p>
    <w:p w14:paraId="1311978A" w14:textId="77777777" w:rsidR="009761D3" w:rsidRDefault="009761D3">
      <w:pPr>
        <w:pStyle w:val="TOC2"/>
        <w:rPr>
          <w:rFonts w:asciiTheme="minorHAnsi" w:eastAsiaTheme="minorEastAsia" w:hAnsiTheme="minorHAnsi" w:cstheme="minorBidi"/>
          <w:caps w:val="0"/>
          <w:noProof/>
          <w:szCs w:val="22"/>
          <w:lang w:eastAsia="fr-FR"/>
        </w:rPr>
      </w:pPr>
      <w:r>
        <w:rPr>
          <w:noProof/>
        </w:rPr>
        <w:t>Objectif stratégique IX</w:t>
      </w:r>
      <w:r>
        <w:rPr>
          <w:noProof/>
        </w:rPr>
        <w:tab/>
      </w:r>
      <w:r>
        <w:rPr>
          <w:noProof/>
        </w:rPr>
        <w:fldChar w:fldCharType="begin"/>
      </w:r>
      <w:r>
        <w:rPr>
          <w:noProof/>
        </w:rPr>
        <w:instrText xml:space="preserve"> PAGEREF _Toc482774619 \h </w:instrText>
      </w:r>
      <w:r>
        <w:rPr>
          <w:noProof/>
        </w:rPr>
      </w:r>
      <w:r>
        <w:rPr>
          <w:noProof/>
        </w:rPr>
        <w:fldChar w:fldCharType="separate"/>
      </w:r>
      <w:r w:rsidR="001E3776">
        <w:rPr>
          <w:noProof/>
        </w:rPr>
        <w:t>196</w:t>
      </w:r>
      <w:r>
        <w:rPr>
          <w:noProof/>
        </w:rPr>
        <w:fldChar w:fldCharType="end"/>
      </w:r>
    </w:p>
    <w:p w14:paraId="24EF3CD6" w14:textId="77777777" w:rsidR="009761D3" w:rsidRDefault="009761D3">
      <w:pPr>
        <w:pStyle w:val="TOC3"/>
        <w:rPr>
          <w:rFonts w:asciiTheme="minorHAnsi" w:eastAsiaTheme="minorEastAsia" w:hAnsiTheme="minorHAnsi" w:cstheme="minorBidi"/>
          <w:caps w:val="0"/>
          <w:sz w:val="22"/>
          <w:szCs w:val="22"/>
          <w:lang w:eastAsia="fr-FR"/>
        </w:rPr>
      </w:pPr>
      <w:r w:rsidRPr="00EC077E">
        <w:rPr>
          <w:color w:val="000000"/>
        </w:rPr>
        <w:t>P</w:t>
      </w:r>
      <w:r>
        <w:t>rogramme 21</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_Toc482774620 \h </w:instrText>
      </w:r>
      <w:r>
        <w:fldChar w:fldCharType="separate"/>
      </w:r>
      <w:r w:rsidR="001E3776">
        <w:t>201</w:t>
      </w:r>
      <w:r>
        <w:fldChar w:fldCharType="end"/>
      </w:r>
    </w:p>
    <w:p w14:paraId="08FD9DF6" w14:textId="77777777" w:rsidR="009761D3" w:rsidRDefault="009761D3">
      <w:pPr>
        <w:pStyle w:val="TOC3"/>
        <w:rPr>
          <w:rFonts w:asciiTheme="minorHAnsi" w:eastAsiaTheme="minorEastAsia" w:hAnsiTheme="minorHAnsi" w:cstheme="minorBidi"/>
          <w:caps w:val="0"/>
          <w:sz w:val="22"/>
          <w:szCs w:val="22"/>
          <w:lang w:eastAsia="fr-FR"/>
        </w:rPr>
      </w:pPr>
      <w:r>
        <w:t>Programme 22</w:t>
      </w:r>
      <w:r>
        <w:rPr>
          <w:rFonts w:asciiTheme="minorHAnsi" w:eastAsiaTheme="minorEastAsia" w:hAnsiTheme="minorHAnsi" w:cstheme="minorBidi"/>
          <w:caps w:val="0"/>
          <w:sz w:val="22"/>
          <w:szCs w:val="22"/>
          <w:lang w:eastAsia="fr-FR"/>
        </w:rPr>
        <w:tab/>
      </w:r>
      <w:r>
        <w:rPr>
          <w:rtl/>
        </w:rPr>
        <w:t>‏</w:t>
      </w:r>
      <w:r>
        <w:t>Gestion des programmes et des ressources</w:t>
      </w:r>
      <w:r>
        <w:tab/>
      </w:r>
      <w:r>
        <w:fldChar w:fldCharType="begin"/>
      </w:r>
      <w:r>
        <w:instrText xml:space="preserve"> PAGEREF _Toc482774621 \h </w:instrText>
      </w:r>
      <w:r>
        <w:fldChar w:fldCharType="separate"/>
      </w:r>
      <w:r w:rsidR="001E3776">
        <w:t>206</w:t>
      </w:r>
      <w:r>
        <w:fldChar w:fldCharType="end"/>
      </w:r>
    </w:p>
    <w:p w14:paraId="04A18D09" w14:textId="77777777" w:rsidR="009761D3" w:rsidRDefault="009761D3">
      <w:pPr>
        <w:pStyle w:val="TOC3"/>
        <w:rPr>
          <w:rFonts w:asciiTheme="minorHAnsi" w:eastAsiaTheme="minorEastAsia" w:hAnsiTheme="minorHAnsi" w:cstheme="minorBidi"/>
          <w:caps w:val="0"/>
          <w:sz w:val="22"/>
          <w:szCs w:val="22"/>
          <w:lang w:eastAsia="fr-FR"/>
        </w:rPr>
      </w:pPr>
      <w:r>
        <w:t>Programme 23</w:t>
      </w:r>
      <w:r>
        <w:rPr>
          <w:rFonts w:asciiTheme="minorHAnsi" w:eastAsiaTheme="minorEastAsia" w:hAnsiTheme="minorHAnsi" w:cstheme="minorBidi"/>
          <w:caps w:val="0"/>
          <w:sz w:val="22"/>
          <w:szCs w:val="22"/>
          <w:lang w:eastAsia="fr-FR"/>
        </w:rPr>
        <w:tab/>
      </w:r>
      <w:r>
        <w:rPr>
          <w:rtl/>
        </w:rPr>
        <w:t>‏</w:t>
      </w:r>
      <w:r>
        <w:t>Gestion et mise en valeur des ressources humaines</w:t>
      </w:r>
      <w:r>
        <w:tab/>
      </w:r>
      <w:r>
        <w:fldChar w:fldCharType="begin"/>
      </w:r>
      <w:r>
        <w:instrText xml:space="preserve"> PAGEREF _Toc482774622 \h </w:instrText>
      </w:r>
      <w:r>
        <w:fldChar w:fldCharType="separate"/>
      </w:r>
      <w:r w:rsidR="001E3776">
        <w:t>212</w:t>
      </w:r>
      <w:r>
        <w:fldChar w:fldCharType="end"/>
      </w:r>
    </w:p>
    <w:p w14:paraId="44AC3B41" w14:textId="77777777" w:rsidR="009761D3" w:rsidRDefault="009761D3">
      <w:pPr>
        <w:pStyle w:val="TOC3"/>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_Toc482774623 \h </w:instrText>
      </w:r>
      <w:r>
        <w:fldChar w:fldCharType="separate"/>
      </w:r>
      <w:r w:rsidR="001E3776">
        <w:t>218</w:t>
      </w:r>
      <w:r>
        <w:fldChar w:fldCharType="end"/>
      </w:r>
    </w:p>
    <w:p w14:paraId="1E6A142B" w14:textId="77777777" w:rsidR="009761D3" w:rsidRDefault="009761D3">
      <w:pPr>
        <w:pStyle w:val="TOC3"/>
        <w:rPr>
          <w:rFonts w:asciiTheme="minorHAnsi" w:eastAsiaTheme="minorEastAsia" w:hAnsiTheme="minorHAnsi" w:cstheme="minorBidi"/>
          <w:caps w:val="0"/>
          <w:sz w:val="22"/>
          <w:szCs w:val="22"/>
          <w:lang w:eastAsia="fr-FR"/>
        </w:rPr>
      </w:pPr>
      <w:r w:rsidRPr="00EC077E">
        <w:rPr>
          <w:color w:val="000000"/>
        </w:rPr>
        <w:t>P</w:t>
      </w:r>
      <w:r>
        <w:t>rogramme 25</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_Toc482774624 \h </w:instrText>
      </w:r>
      <w:r>
        <w:fldChar w:fldCharType="separate"/>
      </w:r>
      <w:r w:rsidR="001E3776">
        <w:t>224</w:t>
      </w:r>
      <w:r>
        <w:fldChar w:fldCharType="end"/>
      </w:r>
    </w:p>
    <w:p w14:paraId="66946A25" w14:textId="77777777" w:rsidR="009761D3" w:rsidRDefault="009761D3">
      <w:pPr>
        <w:pStyle w:val="TOC3"/>
        <w:rPr>
          <w:rFonts w:asciiTheme="minorHAnsi" w:eastAsiaTheme="minorEastAsia" w:hAnsiTheme="minorHAnsi" w:cstheme="minorBidi"/>
          <w:caps w:val="0"/>
          <w:sz w:val="22"/>
          <w:szCs w:val="22"/>
          <w:lang w:eastAsia="fr-FR"/>
        </w:rPr>
      </w:pPr>
      <w:r w:rsidRPr="00EC077E">
        <w:rPr>
          <w:color w:val="000000"/>
        </w:rPr>
        <w:t>P</w:t>
      </w:r>
      <w:r>
        <w:t>rogramme 26</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_Toc482774625 \h </w:instrText>
      </w:r>
      <w:r>
        <w:fldChar w:fldCharType="separate"/>
      </w:r>
      <w:r w:rsidR="001E3776">
        <w:t>228</w:t>
      </w:r>
      <w:r>
        <w:fldChar w:fldCharType="end"/>
      </w:r>
    </w:p>
    <w:p w14:paraId="66B8F3F1" w14:textId="77777777" w:rsidR="009761D3" w:rsidRDefault="009761D3">
      <w:pPr>
        <w:pStyle w:val="TOC3"/>
        <w:rPr>
          <w:rFonts w:asciiTheme="minorHAnsi" w:eastAsiaTheme="minorEastAsia" w:hAnsiTheme="minorHAnsi" w:cstheme="minorBidi"/>
          <w:caps w:val="0"/>
          <w:sz w:val="22"/>
          <w:szCs w:val="22"/>
          <w:lang w:eastAsia="fr-FR"/>
        </w:rPr>
      </w:pPr>
      <w:r w:rsidRPr="00EC077E">
        <w:rPr>
          <w:color w:val="000000"/>
        </w:rPr>
        <w:t>P</w:t>
      </w:r>
      <w:r>
        <w:t>rogramme 27</w:t>
      </w:r>
      <w:r>
        <w:rPr>
          <w:rFonts w:asciiTheme="minorHAnsi" w:eastAsiaTheme="minorEastAsia" w:hAnsiTheme="minorHAnsi" w:cstheme="minorBidi"/>
          <w:caps w:val="0"/>
          <w:sz w:val="22"/>
          <w:szCs w:val="22"/>
          <w:lang w:eastAsia="fr-FR"/>
        </w:rPr>
        <w:tab/>
      </w:r>
      <w:r>
        <w:t>Services de conférence et services linguistiques</w:t>
      </w:r>
      <w:r>
        <w:tab/>
      </w:r>
      <w:r>
        <w:fldChar w:fldCharType="begin"/>
      </w:r>
      <w:r>
        <w:instrText xml:space="preserve"> PAGEREF _Toc482774626 \h </w:instrText>
      </w:r>
      <w:r>
        <w:fldChar w:fldCharType="separate"/>
      </w:r>
      <w:r w:rsidR="001E3776">
        <w:t>231</w:t>
      </w:r>
      <w:r>
        <w:fldChar w:fldCharType="end"/>
      </w:r>
    </w:p>
    <w:p w14:paraId="607350F8" w14:textId="77777777" w:rsidR="009761D3" w:rsidRDefault="009761D3">
      <w:pPr>
        <w:pStyle w:val="TOC3"/>
        <w:rPr>
          <w:rFonts w:asciiTheme="minorHAnsi" w:eastAsiaTheme="minorEastAsia" w:hAnsiTheme="minorHAnsi" w:cstheme="minorBidi"/>
          <w:caps w:val="0"/>
          <w:sz w:val="22"/>
          <w:szCs w:val="22"/>
          <w:lang w:eastAsia="fr-FR"/>
        </w:rPr>
      </w:pPr>
      <w:r w:rsidRPr="00EC077E">
        <w:rPr>
          <w:color w:val="000000"/>
        </w:rPr>
        <w:t>P</w:t>
      </w:r>
      <w:r>
        <w:t>rogramme 28</w:t>
      </w:r>
      <w:r>
        <w:rPr>
          <w:rFonts w:asciiTheme="minorHAnsi" w:eastAsiaTheme="minorEastAsia" w:hAnsiTheme="minorHAnsi" w:cstheme="minorBidi"/>
          <w:caps w:val="0"/>
          <w:sz w:val="22"/>
          <w:szCs w:val="22"/>
          <w:lang w:eastAsia="fr-FR"/>
        </w:rPr>
        <w:tab/>
      </w:r>
      <w:r>
        <w:t>Sécurité des informations, des biens et des personnes</w:t>
      </w:r>
      <w:r>
        <w:tab/>
      </w:r>
      <w:r>
        <w:fldChar w:fldCharType="begin"/>
      </w:r>
      <w:r>
        <w:instrText xml:space="preserve"> PAGEREF _Toc482774627 \h </w:instrText>
      </w:r>
      <w:r>
        <w:fldChar w:fldCharType="separate"/>
      </w:r>
      <w:r w:rsidR="001E3776">
        <w:t>234</w:t>
      </w:r>
      <w:r>
        <w:fldChar w:fldCharType="end"/>
      </w:r>
    </w:p>
    <w:p w14:paraId="42F633ED" w14:textId="77777777" w:rsidR="009761D3" w:rsidRDefault="009761D3">
      <w:pPr>
        <w:pStyle w:val="TOC1"/>
        <w:rPr>
          <w:rFonts w:asciiTheme="minorHAnsi" w:eastAsiaTheme="minorEastAsia" w:hAnsiTheme="minorHAnsi" w:cstheme="minorBidi"/>
          <w:b w:val="0"/>
          <w:caps w:val="0"/>
          <w:noProof/>
          <w:szCs w:val="22"/>
          <w:lang w:eastAsia="fr-FR"/>
        </w:rPr>
      </w:pPr>
      <w:r>
        <w:rPr>
          <w:noProof/>
        </w:rPr>
        <w:t>V.</w:t>
      </w:r>
      <w:r>
        <w:rPr>
          <w:rFonts w:asciiTheme="minorHAnsi" w:eastAsiaTheme="minorEastAsia" w:hAnsiTheme="minorHAnsi" w:cstheme="minorBidi"/>
          <w:b w:val="0"/>
          <w:caps w:val="0"/>
          <w:noProof/>
          <w:szCs w:val="22"/>
          <w:lang w:eastAsia="fr-FR"/>
        </w:rPr>
        <w:tab/>
      </w:r>
      <w:r>
        <w:rPr>
          <w:noProof/>
        </w:rPr>
        <w:t>Appendices</w:t>
      </w:r>
      <w:r>
        <w:rPr>
          <w:noProof/>
        </w:rPr>
        <w:tab/>
      </w:r>
      <w:r>
        <w:rPr>
          <w:noProof/>
        </w:rPr>
        <w:fldChar w:fldCharType="begin"/>
      </w:r>
      <w:r>
        <w:rPr>
          <w:noProof/>
        </w:rPr>
        <w:instrText xml:space="preserve"> PAGEREF _Toc482774628 \h </w:instrText>
      </w:r>
      <w:r>
        <w:rPr>
          <w:noProof/>
        </w:rPr>
      </w:r>
      <w:r>
        <w:rPr>
          <w:noProof/>
        </w:rPr>
        <w:fldChar w:fldCharType="separate"/>
      </w:r>
      <w:r w:rsidR="001E3776">
        <w:rPr>
          <w:noProof/>
        </w:rPr>
        <w:t>238</w:t>
      </w:r>
      <w:r>
        <w:rPr>
          <w:noProof/>
        </w:rPr>
        <w:fldChar w:fldCharType="end"/>
      </w:r>
    </w:p>
    <w:p w14:paraId="7A32F245" w14:textId="6C3F9CFD" w:rsidR="009761D3" w:rsidRDefault="009761D3" w:rsidP="004730CB">
      <w:pPr>
        <w:pStyle w:val="TOC3"/>
        <w:rPr>
          <w:rFonts w:asciiTheme="minorHAnsi" w:eastAsiaTheme="minorEastAsia" w:hAnsiTheme="minorHAnsi" w:cstheme="minorBidi"/>
          <w:caps w:val="0"/>
          <w:sz w:val="22"/>
          <w:szCs w:val="22"/>
          <w:lang w:eastAsia="fr-FR"/>
        </w:rPr>
      </w:pPr>
      <w:r>
        <w:t>Appendice I</w:t>
      </w:r>
      <w:r>
        <w:rPr>
          <w:rFonts w:asciiTheme="minorHAnsi" w:eastAsiaTheme="minorEastAsia" w:hAnsiTheme="minorHAnsi" w:cstheme="minorBidi"/>
          <w:caps w:val="0"/>
          <w:sz w:val="22"/>
          <w:szCs w:val="22"/>
          <w:lang w:eastAsia="fr-FR"/>
        </w:rPr>
        <w:tab/>
      </w:r>
      <w:r>
        <w:t>Répartition de l’évaluation des résultats par programme</w:t>
      </w:r>
      <w:r>
        <w:tab/>
      </w:r>
      <w:r>
        <w:fldChar w:fldCharType="begin"/>
      </w:r>
      <w:r>
        <w:instrText xml:space="preserve"> PAGEREF _Toc482774629 \h </w:instrText>
      </w:r>
      <w:r>
        <w:fldChar w:fldCharType="separate"/>
      </w:r>
      <w:r w:rsidR="001E3776">
        <w:t>238</w:t>
      </w:r>
      <w:r>
        <w:fldChar w:fldCharType="end"/>
      </w:r>
    </w:p>
    <w:p w14:paraId="0F8545D8" w14:textId="571F7104" w:rsidR="009761D3" w:rsidRDefault="009761D3" w:rsidP="004730CB">
      <w:pPr>
        <w:pStyle w:val="TOC3"/>
        <w:rPr>
          <w:rFonts w:asciiTheme="minorHAnsi" w:eastAsiaTheme="minorEastAsia" w:hAnsiTheme="minorHAnsi" w:cstheme="minorBidi"/>
          <w:caps w:val="0"/>
          <w:sz w:val="22"/>
          <w:szCs w:val="22"/>
          <w:lang w:eastAsia="fr-FR"/>
        </w:rPr>
      </w:pPr>
      <w:r>
        <w:rPr>
          <w:lang w:eastAsia="zh-CN"/>
        </w:rPr>
        <w:t>Appendice II</w:t>
      </w:r>
      <w:r>
        <w:rPr>
          <w:rFonts w:asciiTheme="minorHAnsi" w:eastAsiaTheme="minorEastAsia" w:hAnsiTheme="minorHAnsi" w:cstheme="minorBidi"/>
          <w:caps w:val="0"/>
          <w:sz w:val="22"/>
          <w:szCs w:val="22"/>
          <w:lang w:eastAsia="fr-FR"/>
        </w:rPr>
        <w:tab/>
      </w:r>
      <w:r w:rsidRPr="00EC077E">
        <w:rPr>
          <w:bCs/>
        </w:rPr>
        <w:t>Mise en œuvre des fonds fiduciaires 2016</w:t>
      </w:r>
      <w:r>
        <w:tab/>
      </w:r>
      <w:r>
        <w:fldChar w:fldCharType="begin"/>
      </w:r>
      <w:r>
        <w:instrText xml:space="preserve"> PAGEREF _Toc482774630 \h </w:instrText>
      </w:r>
      <w:r>
        <w:fldChar w:fldCharType="separate"/>
      </w:r>
      <w:r w:rsidR="001E3776">
        <w:t>240</w:t>
      </w:r>
      <w:r>
        <w:fldChar w:fldCharType="end"/>
      </w:r>
    </w:p>
    <w:p w14:paraId="06D51DDA" w14:textId="5F767D62" w:rsidR="009761D3" w:rsidRDefault="009761D3" w:rsidP="004730CB">
      <w:pPr>
        <w:pStyle w:val="TOC3"/>
        <w:rPr>
          <w:rFonts w:asciiTheme="minorHAnsi" w:eastAsiaTheme="minorEastAsia" w:hAnsiTheme="minorHAnsi" w:cstheme="minorBidi"/>
          <w:caps w:val="0"/>
          <w:sz w:val="22"/>
          <w:szCs w:val="22"/>
          <w:lang w:eastAsia="fr-FR"/>
        </w:rPr>
      </w:pPr>
      <w:r>
        <w:t>Appendice III</w:t>
      </w:r>
      <w:r>
        <w:rPr>
          <w:rFonts w:asciiTheme="minorHAnsi" w:eastAsiaTheme="minorEastAsia" w:hAnsiTheme="minorHAnsi" w:cstheme="minorBidi"/>
          <w:caps w:val="0"/>
          <w:sz w:val="22"/>
          <w:szCs w:val="22"/>
          <w:lang w:eastAsia="fr-FR"/>
        </w:rPr>
        <w:tab/>
      </w:r>
      <w:r>
        <w:t>Rapport sur l’état d’avancement du plan-cadre d’équipement en 2016</w:t>
      </w:r>
      <w:r>
        <w:tab/>
      </w:r>
      <w:r>
        <w:fldChar w:fldCharType="begin"/>
      </w:r>
      <w:r>
        <w:instrText xml:space="preserve"> PAGEREF _Toc482774631 \h </w:instrText>
      </w:r>
      <w:r>
        <w:fldChar w:fldCharType="separate"/>
      </w:r>
      <w:r w:rsidR="001E3776">
        <w:t>272</w:t>
      </w:r>
      <w:r>
        <w:fldChar w:fldCharType="end"/>
      </w:r>
    </w:p>
    <w:p w14:paraId="38E6F861" w14:textId="77777777" w:rsidR="009761D3" w:rsidRDefault="009761D3" w:rsidP="004730CB">
      <w:pPr>
        <w:pStyle w:val="TOC4"/>
        <w:tabs>
          <w:tab w:val="clear" w:pos="2410"/>
          <w:tab w:val="clear" w:pos="2835"/>
          <w:tab w:val="clear" w:pos="9498"/>
          <w:tab w:val="left" w:pos="2268"/>
          <w:tab w:val="right" w:leader="dot" w:pos="9072"/>
        </w:tabs>
        <w:ind w:left="2268" w:hanging="1701"/>
        <w:rPr>
          <w:rFonts w:asciiTheme="minorHAnsi" w:eastAsiaTheme="minorEastAsia" w:hAnsiTheme="minorHAnsi" w:cstheme="minorBidi"/>
          <w:noProof/>
          <w:sz w:val="22"/>
          <w:szCs w:val="22"/>
          <w:lang w:eastAsia="fr-FR"/>
        </w:rPr>
      </w:pPr>
      <w:r>
        <w:rPr>
          <w:noProof/>
        </w:rPr>
        <w:t xml:space="preserve">Projet 1 </w:t>
      </w:r>
      <w:r>
        <w:rPr>
          <w:rFonts w:asciiTheme="minorHAnsi" w:eastAsiaTheme="minorEastAsia" w:hAnsiTheme="minorHAnsi" w:cstheme="minorBidi"/>
          <w:noProof/>
          <w:sz w:val="22"/>
          <w:szCs w:val="22"/>
          <w:lang w:eastAsia="fr-FR"/>
        </w:rPr>
        <w:tab/>
      </w:r>
      <w:r>
        <w:rPr>
          <w:noProof/>
        </w:rPr>
        <w:t>Renforcement de la sécurité : cryptage des données et gestion des utilisateurs</w:t>
      </w:r>
      <w:r>
        <w:rPr>
          <w:noProof/>
        </w:rPr>
        <w:tab/>
      </w:r>
      <w:r>
        <w:rPr>
          <w:noProof/>
        </w:rPr>
        <w:fldChar w:fldCharType="begin"/>
      </w:r>
      <w:r>
        <w:rPr>
          <w:noProof/>
        </w:rPr>
        <w:instrText xml:space="preserve"> PAGEREF _Toc482774632 \h </w:instrText>
      </w:r>
      <w:r>
        <w:rPr>
          <w:noProof/>
        </w:rPr>
      </w:r>
      <w:r>
        <w:rPr>
          <w:noProof/>
        </w:rPr>
        <w:fldChar w:fldCharType="separate"/>
      </w:r>
      <w:r w:rsidR="001E3776">
        <w:rPr>
          <w:noProof/>
        </w:rPr>
        <w:t>273</w:t>
      </w:r>
      <w:r>
        <w:rPr>
          <w:noProof/>
        </w:rPr>
        <w:fldChar w:fldCharType="end"/>
      </w:r>
    </w:p>
    <w:p w14:paraId="0FD38652" w14:textId="77777777" w:rsidR="009761D3" w:rsidRDefault="009761D3" w:rsidP="004730CB">
      <w:pPr>
        <w:pStyle w:val="TOC4"/>
        <w:tabs>
          <w:tab w:val="clear" w:pos="2410"/>
          <w:tab w:val="clear" w:pos="2835"/>
          <w:tab w:val="clear" w:pos="9498"/>
          <w:tab w:val="left" w:pos="2268"/>
          <w:tab w:val="right" w:leader="dot" w:pos="9072"/>
        </w:tabs>
        <w:ind w:left="2268" w:hanging="1701"/>
        <w:rPr>
          <w:rFonts w:asciiTheme="minorHAnsi" w:eastAsiaTheme="minorEastAsia" w:hAnsiTheme="minorHAnsi" w:cstheme="minorBidi"/>
          <w:noProof/>
          <w:sz w:val="22"/>
          <w:szCs w:val="22"/>
          <w:lang w:eastAsia="fr-FR"/>
        </w:rPr>
      </w:pPr>
      <w:r>
        <w:rPr>
          <w:noProof/>
        </w:rPr>
        <w:t>Projet 2</w:t>
      </w:r>
      <w:r>
        <w:rPr>
          <w:rFonts w:asciiTheme="minorHAnsi" w:eastAsiaTheme="minorEastAsia" w:hAnsiTheme="minorHAnsi" w:cstheme="minorBidi"/>
          <w:noProof/>
          <w:sz w:val="22"/>
          <w:szCs w:val="22"/>
          <w:lang w:eastAsia="fr-FR"/>
        </w:rPr>
        <w:tab/>
      </w:r>
      <w:r>
        <w:rPr>
          <w:noProof/>
        </w:rPr>
        <w:t>Mise en œuvre du système de gestion des contenus de l’Organisation</w:t>
      </w:r>
      <w:r>
        <w:rPr>
          <w:noProof/>
        </w:rPr>
        <w:tab/>
      </w:r>
      <w:r>
        <w:rPr>
          <w:noProof/>
        </w:rPr>
        <w:fldChar w:fldCharType="begin"/>
      </w:r>
      <w:r>
        <w:rPr>
          <w:noProof/>
        </w:rPr>
        <w:instrText xml:space="preserve"> PAGEREF _Toc482774633 \h </w:instrText>
      </w:r>
      <w:r>
        <w:rPr>
          <w:noProof/>
        </w:rPr>
      </w:r>
      <w:r>
        <w:rPr>
          <w:noProof/>
        </w:rPr>
        <w:fldChar w:fldCharType="separate"/>
      </w:r>
      <w:r w:rsidR="001E3776">
        <w:rPr>
          <w:noProof/>
        </w:rPr>
        <w:t>276</w:t>
      </w:r>
      <w:r>
        <w:rPr>
          <w:noProof/>
        </w:rPr>
        <w:fldChar w:fldCharType="end"/>
      </w:r>
    </w:p>
    <w:p w14:paraId="40D4AC8A" w14:textId="1474925B" w:rsidR="009761D3" w:rsidRDefault="009761D3" w:rsidP="004730CB">
      <w:pPr>
        <w:pStyle w:val="TOC4"/>
        <w:tabs>
          <w:tab w:val="clear" w:pos="2410"/>
          <w:tab w:val="clear" w:pos="2835"/>
          <w:tab w:val="clear" w:pos="9498"/>
          <w:tab w:val="left" w:pos="2268"/>
          <w:tab w:val="right" w:leader="dot" w:pos="9072"/>
        </w:tabs>
        <w:ind w:left="2268" w:hanging="1701"/>
        <w:rPr>
          <w:rFonts w:asciiTheme="minorHAnsi" w:eastAsiaTheme="minorEastAsia" w:hAnsiTheme="minorHAnsi" w:cstheme="minorBidi"/>
          <w:noProof/>
          <w:sz w:val="22"/>
          <w:szCs w:val="22"/>
          <w:lang w:eastAsia="fr-FR"/>
        </w:rPr>
      </w:pPr>
      <w:r>
        <w:rPr>
          <w:noProof/>
        </w:rPr>
        <w:t>Projet 3</w:t>
      </w:r>
      <w:r>
        <w:rPr>
          <w:rFonts w:asciiTheme="minorHAnsi" w:eastAsiaTheme="minorEastAsia" w:hAnsiTheme="minorHAnsi" w:cstheme="minorBidi"/>
          <w:noProof/>
          <w:sz w:val="22"/>
          <w:szCs w:val="22"/>
          <w:lang w:eastAsia="fr-FR"/>
        </w:rPr>
        <w:tab/>
      </w:r>
      <w:r>
        <w:rPr>
          <w:noProof/>
        </w:rPr>
        <w:t>Rénovation des façades et de la climatisation du bâtiment du PCT</w:t>
      </w:r>
      <w:r w:rsidR="004730CB">
        <w:rPr>
          <w:noProof/>
        </w:rPr>
        <w:t>.</w:t>
      </w:r>
      <w:r>
        <w:rPr>
          <w:noProof/>
        </w:rPr>
        <w:tab/>
      </w:r>
      <w:r>
        <w:rPr>
          <w:noProof/>
        </w:rPr>
        <w:fldChar w:fldCharType="begin"/>
      </w:r>
      <w:r>
        <w:rPr>
          <w:noProof/>
        </w:rPr>
        <w:instrText xml:space="preserve"> PAGEREF _Toc482774634 \h </w:instrText>
      </w:r>
      <w:r>
        <w:rPr>
          <w:noProof/>
        </w:rPr>
      </w:r>
      <w:r>
        <w:rPr>
          <w:noProof/>
        </w:rPr>
        <w:fldChar w:fldCharType="separate"/>
      </w:r>
      <w:r w:rsidR="001E3776">
        <w:rPr>
          <w:noProof/>
        </w:rPr>
        <w:t>283</w:t>
      </w:r>
      <w:r>
        <w:rPr>
          <w:noProof/>
        </w:rPr>
        <w:fldChar w:fldCharType="end"/>
      </w:r>
    </w:p>
    <w:p w14:paraId="39EBFF2D" w14:textId="77777777" w:rsidR="009761D3" w:rsidRDefault="009761D3" w:rsidP="004730CB">
      <w:pPr>
        <w:pStyle w:val="TOC4"/>
        <w:tabs>
          <w:tab w:val="clear" w:pos="2410"/>
          <w:tab w:val="clear" w:pos="2835"/>
          <w:tab w:val="clear" w:pos="9498"/>
          <w:tab w:val="left" w:pos="2268"/>
          <w:tab w:val="right" w:leader="dot" w:pos="9072"/>
        </w:tabs>
        <w:ind w:left="2268" w:hanging="1701"/>
        <w:rPr>
          <w:rFonts w:asciiTheme="minorHAnsi" w:eastAsiaTheme="minorEastAsia" w:hAnsiTheme="minorHAnsi" w:cstheme="minorBidi"/>
          <w:noProof/>
          <w:sz w:val="22"/>
          <w:szCs w:val="22"/>
          <w:lang w:eastAsia="fr-FR"/>
        </w:rPr>
      </w:pPr>
      <w:r>
        <w:rPr>
          <w:noProof/>
        </w:rPr>
        <w:t>Projet 4</w:t>
      </w:r>
      <w:r>
        <w:rPr>
          <w:rFonts w:asciiTheme="minorHAnsi" w:eastAsiaTheme="minorEastAsia" w:hAnsiTheme="minorHAnsi" w:cstheme="minorBidi"/>
          <w:noProof/>
          <w:sz w:val="22"/>
          <w:szCs w:val="22"/>
          <w:lang w:eastAsia="fr-FR"/>
        </w:rPr>
        <w:tab/>
      </w:r>
      <w:r>
        <w:rPr>
          <w:noProof/>
        </w:rPr>
        <w:t>Installation du système de refroidissement au moyen de l’eau du lac Léman (projet r</w:t>
      </w:r>
      <w:bookmarkStart w:id="5" w:name="_GoBack"/>
      <w:bookmarkEnd w:id="5"/>
      <w:r>
        <w:rPr>
          <w:noProof/>
        </w:rPr>
        <w:t>éseau du lac) pour les bâtiments AB et PCT</w:t>
      </w:r>
      <w:r>
        <w:rPr>
          <w:noProof/>
        </w:rPr>
        <w:tab/>
      </w:r>
      <w:r>
        <w:rPr>
          <w:noProof/>
        </w:rPr>
        <w:fldChar w:fldCharType="begin"/>
      </w:r>
      <w:r>
        <w:rPr>
          <w:noProof/>
        </w:rPr>
        <w:instrText xml:space="preserve"> PAGEREF _Toc482774635 \h </w:instrText>
      </w:r>
      <w:r>
        <w:rPr>
          <w:noProof/>
        </w:rPr>
      </w:r>
      <w:r>
        <w:rPr>
          <w:noProof/>
        </w:rPr>
        <w:fldChar w:fldCharType="separate"/>
      </w:r>
      <w:r w:rsidR="001E3776">
        <w:rPr>
          <w:noProof/>
        </w:rPr>
        <w:t>287</w:t>
      </w:r>
      <w:r>
        <w:rPr>
          <w:noProof/>
        </w:rPr>
        <w:fldChar w:fldCharType="end"/>
      </w:r>
    </w:p>
    <w:p w14:paraId="2DA94168" w14:textId="77777777" w:rsidR="009761D3" w:rsidRDefault="009761D3" w:rsidP="004730CB">
      <w:pPr>
        <w:pStyle w:val="TOC4"/>
        <w:tabs>
          <w:tab w:val="clear" w:pos="2410"/>
          <w:tab w:val="clear" w:pos="2835"/>
          <w:tab w:val="clear" w:pos="9498"/>
          <w:tab w:val="left" w:pos="2268"/>
          <w:tab w:val="right" w:leader="dot" w:pos="9072"/>
        </w:tabs>
        <w:ind w:left="2268" w:hanging="1701"/>
        <w:rPr>
          <w:rFonts w:asciiTheme="minorHAnsi" w:eastAsiaTheme="minorEastAsia" w:hAnsiTheme="minorHAnsi" w:cstheme="minorBidi"/>
          <w:noProof/>
          <w:sz w:val="22"/>
          <w:szCs w:val="22"/>
          <w:lang w:eastAsia="fr-FR"/>
        </w:rPr>
      </w:pPr>
      <w:r>
        <w:rPr>
          <w:noProof/>
        </w:rPr>
        <w:t>Projet 5</w:t>
      </w:r>
      <w:r>
        <w:rPr>
          <w:rFonts w:asciiTheme="minorHAnsi" w:eastAsiaTheme="minorEastAsia" w:hAnsiTheme="minorHAnsi" w:cstheme="minorBidi"/>
          <w:noProof/>
          <w:sz w:val="22"/>
          <w:szCs w:val="22"/>
          <w:lang w:eastAsia="fr-FR"/>
        </w:rPr>
        <w:tab/>
      </w:r>
      <w:r>
        <w:rPr>
          <w:noProof/>
        </w:rPr>
        <w:t>Phase 1 de la rénovation du sous-sol du bâtiment Arpad Bogsch (redimensionnement du centre informatique et rénovation de l’imprimerie)</w:t>
      </w:r>
      <w:r>
        <w:rPr>
          <w:noProof/>
        </w:rPr>
        <w:tab/>
      </w:r>
      <w:r>
        <w:rPr>
          <w:noProof/>
        </w:rPr>
        <w:fldChar w:fldCharType="begin"/>
      </w:r>
      <w:r>
        <w:rPr>
          <w:noProof/>
        </w:rPr>
        <w:instrText xml:space="preserve"> PAGEREF _Toc482774636 \h </w:instrText>
      </w:r>
      <w:r>
        <w:rPr>
          <w:noProof/>
        </w:rPr>
      </w:r>
      <w:r>
        <w:rPr>
          <w:noProof/>
        </w:rPr>
        <w:fldChar w:fldCharType="separate"/>
      </w:r>
      <w:r w:rsidR="001E3776">
        <w:rPr>
          <w:noProof/>
        </w:rPr>
        <w:t>290</w:t>
      </w:r>
      <w:r>
        <w:rPr>
          <w:noProof/>
        </w:rPr>
        <w:fldChar w:fldCharType="end"/>
      </w:r>
    </w:p>
    <w:p w14:paraId="513F0760" w14:textId="77777777" w:rsidR="009761D3" w:rsidRDefault="009761D3" w:rsidP="004730CB">
      <w:pPr>
        <w:pStyle w:val="TOC4"/>
        <w:tabs>
          <w:tab w:val="clear" w:pos="2410"/>
          <w:tab w:val="clear" w:pos="2835"/>
          <w:tab w:val="clear" w:pos="9498"/>
          <w:tab w:val="left" w:pos="2268"/>
          <w:tab w:val="right" w:leader="dot" w:pos="9072"/>
        </w:tabs>
        <w:ind w:left="2268" w:hanging="1701"/>
        <w:rPr>
          <w:rFonts w:asciiTheme="minorHAnsi" w:eastAsiaTheme="minorEastAsia" w:hAnsiTheme="minorHAnsi" w:cstheme="minorBidi"/>
          <w:noProof/>
          <w:sz w:val="22"/>
          <w:szCs w:val="22"/>
          <w:lang w:eastAsia="fr-FR"/>
        </w:rPr>
      </w:pPr>
      <w:r>
        <w:rPr>
          <w:noProof/>
        </w:rPr>
        <w:t>Projet 6</w:t>
      </w:r>
      <w:r>
        <w:rPr>
          <w:rFonts w:asciiTheme="minorHAnsi" w:eastAsiaTheme="minorEastAsia" w:hAnsiTheme="minorHAnsi" w:cstheme="minorBidi"/>
          <w:noProof/>
          <w:sz w:val="22"/>
          <w:szCs w:val="22"/>
          <w:lang w:eastAsia="fr-FR"/>
        </w:rPr>
        <w:tab/>
      </w:r>
      <w:r>
        <w:rPr>
          <w:noProof/>
        </w:rPr>
        <w:t>Bâtiment Arpad Bogsch – remplacement de certaines fenêtres</w:t>
      </w:r>
      <w:r>
        <w:rPr>
          <w:noProof/>
        </w:rPr>
        <w:tab/>
      </w:r>
      <w:r>
        <w:rPr>
          <w:noProof/>
        </w:rPr>
        <w:fldChar w:fldCharType="begin"/>
      </w:r>
      <w:r>
        <w:rPr>
          <w:noProof/>
        </w:rPr>
        <w:instrText xml:space="preserve"> PAGEREF _Toc482774637 \h </w:instrText>
      </w:r>
      <w:r>
        <w:rPr>
          <w:noProof/>
        </w:rPr>
      </w:r>
      <w:r>
        <w:rPr>
          <w:noProof/>
        </w:rPr>
        <w:fldChar w:fldCharType="separate"/>
      </w:r>
      <w:r w:rsidR="001E3776">
        <w:rPr>
          <w:noProof/>
        </w:rPr>
        <w:t>294</w:t>
      </w:r>
      <w:r>
        <w:rPr>
          <w:noProof/>
        </w:rPr>
        <w:fldChar w:fldCharType="end"/>
      </w:r>
    </w:p>
    <w:p w14:paraId="7A0ACA7C" w14:textId="77777777" w:rsidR="009761D3" w:rsidRDefault="009761D3" w:rsidP="004730CB">
      <w:pPr>
        <w:pStyle w:val="TOC4"/>
        <w:tabs>
          <w:tab w:val="clear" w:pos="2410"/>
          <w:tab w:val="clear" w:pos="2835"/>
          <w:tab w:val="clear" w:pos="9498"/>
          <w:tab w:val="left" w:pos="2268"/>
          <w:tab w:val="right" w:leader="dot" w:pos="9072"/>
        </w:tabs>
        <w:ind w:left="2268" w:hanging="1701"/>
        <w:rPr>
          <w:rFonts w:asciiTheme="minorHAnsi" w:eastAsiaTheme="minorEastAsia" w:hAnsiTheme="minorHAnsi" w:cstheme="minorBidi"/>
          <w:noProof/>
          <w:sz w:val="22"/>
          <w:szCs w:val="22"/>
          <w:lang w:eastAsia="fr-FR"/>
        </w:rPr>
      </w:pPr>
      <w:r>
        <w:rPr>
          <w:noProof/>
        </w:rPr>
        <w:t>Projet 7</w:t>
      </w:r>
      <w:r>
        <w:rPr>
          <w:rFonts w:asciiTheme="minorHAnsi" w:eastAsiaTheme="minorEastAsia" w:hAnsiTheme="minorHAnsi" w:cstheme="minorBidi"/>
          <w:noProof/>
          <w:sz w:val="22"/>
          <w:szCs w:val="22"/>
          <w:lang w:eastAsia="fr-FR"/>
        </w:rPr>
        <w:tab/>
      </w:r>
      <w:r>
        <w:rPr>
          <w:noProof/>
        </w:rPr>
        <w:t>Mesures de sécurité et de protection anti-incendie</w:t>
      </w:r>
      <w:r>
        <w:rPr>
          <w:noProof/>
        </w:rPr>
        <w:tab/>
      </w:r>
      <w:r>
        <w:rPr>
          <w:noProof/>
        </w:rPr>
        <w:fldChar w:fldCharType="begin"/>
      </w:r>
      <w:r>
        <w:rPr>
          <w:noProof/>
        </w:rPr>
        <w:instrText xml:space="preserve"> PAGEREF _Toc482774638 \h </w:instrText>
      </w:r>
      <w:r>
        <w:rPr>
          <w:noProof/>
        </w:rPr>
      </w:r>
      <w:r>
        <w:rPr>
          <w:noProof/>
        </w:rPr>
        <w:fldChar w:fldCharType="separate"/>
      </w:r>
      <w:r w:rsidR="001E3776">
        <w:rPr>
          <w:noProof/>
        </w:rPr>
        <w:t>297</w:t>
      </w:r>
      <w:r>
        <w:rPr>
          <w:noProof/>
        </w:rPr>
        <w:fldChar w:fldCharType="end"/>
      </w:r>
    </w:p>
    <w:p w14:paraId="0B06E45F" w14:textId="77777777" w:rsidR="009761D3" w:rsidRDefault="009761D3">
      <w:pPr>
        <w:pStyle w:val="TOC3"/>
        <w:rPr>
          <w:rFonts w:asciiTheme="minorHAnsi" w:eastAsiaTheme="minorEastAsia" w:hAnsiTheme="minorHAnsi" w:cstheme="minorBidi"/>
          <w:caps w:val="0"/>
          <w:sz w:val="22"/>
          <w:szCs w:val="22"/>
          <w:lang w:eastAsia="fr-FR"/>
        </w:rPr>
      </w:pPr>
      <w:r>
        <w:t>Appendice IV</w:t>
      </w:r>
      <w:r>
        <w:rPr>
          <w:rFonts w:asciiTheme="minorHAnsi" w:eastAsiaTheme="minorEastAsia" w:hAnsiTheme="minorHAnsi" w:cstheme="minorBidi"/>
          <w:caps w:val="0"/>
          <w:sz w:val="22"/>
          <w:szCs w:val="22"/>
          <w:lang w:eastAsia="fr-FR"/>
        </w:rPr>
        <w:tab/>
      </w:r>
      <w:r>
        <w:t xml:space="preserve"> Sigles utilisés dans le présent document</w:t>
      </w:r>
      <w:r>
        <w:tab/>
      </w:r>
      <w:r>
        <w:fldChar w:fldCharType="begin"/>
      </w:r>
      <w:r>
        <w:instrText xml:space="preserve"> PAGEREF _Toc482774639 \h </w:instrText>
      </w:r>
      <w:r>
        <w:fldChar w:fldCharType="separate"/>
      </w:r>
      <w:r w:rsidR="001E3776">
        <w:t>301</w:t>
      </w:r>
      <w:r>
        <w:fldChar w:fldCharType="end"/>
      </w:r>
    </w:p>
    <w:p w14:paraId="672EF22C" w14:textId="110DE612" w:rsidR="00D762B2" w:rsidRDefault="009761D3" w:rsidP="00A312C6">
      <w:pPr>
        <w:rPr>
          <w:rFonts w:ascii="Arial Bold" w:hAnsi="Arial Bold"/>
        </w:rPr>
      </w:pPr>
      <w:r>
        <w:rPr>
          <w:rFonts w:ascii="Arial Bold" w:hAnsi="Arial Bold"/>
        </w:rPr>
        <w:fldChar w:fldCharType="end"/>
      </w:r>
    </w:p>
    <w:p w14:paraId="25AE4DD2" w14:textId="77777777" w:rsidR="00D762B2" w:rsidRDefault="00D762B2">
      <w:pPr>
        <w:rPr>
          <w:rFonts w:ascii="Arial Bold" w:hAnsi="Arial Bold"/>
        </w:rPr>
      </w:pPr>
      <w:r>
        <w:rPr>
          <w:rFonts w:ascii="Arial Bold" w:hAnsi="Arial Bold"/>
        </w:rPr>
        <w:br w:type="page"/>
      </w:r>
    </w:p>
    <w:p w14:paraId="6FC124FD" w14:textId="20AA9B81" w:rsidR="00417894" w:rsidRPr="00631A54" w:rsidRDefault="00417894" w:rsidP="00417894">
      <w:pPr>
        <w:pStyle w:val="Heading1"/>
      </w:pPr>
      <w:bookmarkStart w:id="6" w:name="_Toc422210473"/>
      <w:bookmarkStart w:id="7" w:name="_Toc482087919"/>
      <w:bookmarkStart w:id="8" w:name="_Toc482087985"/>
      <w:bookmarkStart w:id="9" w:name="_Toc482105788"/>
      <w:bookmarkStart w:id="10" w:name="_Toc482774584"/>
      <w:bookmarkStart w:id="11" w:name="_Toc327875005"/>
      <w:bookmarkStart w:id="12" w:name="_Toc358366917"/>
      <w:bookmarkStart w:id="13" w:name="_Toc382905012"/>
      <w:bookmarkStart w:id="14" w:name="_Toc420582484"/>
      <w:r>
        <w:lastRenderedPageBreak/>
        <w:t>I</w:t>
      </w:r>
      <w:r w:rsidRPr="00631A54">
        <w:t>ntroduction</w:t>
      </w:r>
      <w:bookmarkEnd w:id="6"/>
      <w:bookmarkEnd w:id="7"/>
      <w:bookmarkEnd w:id="8"/>
      <w:bookmarkEnd w:id="9"/>
      <w:bookmarkEnd w:id="10"/>
    </w:p>
    <w:p w14:paraId="5FB4F6B1" w14:textId="77777777" w:rsidR="00417894" w:rsidRPr="00631A54" w:rsidRDefault="00417894" w:rsidP="00417894">
      <w:pPr>
        <w:rPr>
          <w:rFonts w:cs="Times New Roman"/>
          <w:sz w:val="20"/>
          <w:szCs w:val="24"/>
        </w:rPr>
      </w:pPr>
    </w:p>
    <w:p w14:paraId="1DF38778" w14:textId="77777777" w:rsidR="00417894" w:rsidRPr="00631A54" w:rsidRDefault="00417894" w:rsidP="00A067C5">
      <w:pPr>
        <w:numPr>
          <w:ilvl w:val="0"/>
          <w:numId w:val="89"/>
        </w:numPr>
        <w:ind w:left="0" w:firstLine="0"/>
        <w:jc w:val="both"/>
        <w:rPr>
          <w:rFonts w:cs="Times New Roman"/>
          <w:sz w:val="20"/>
        </w:rPr>
      </w:pPr>
      <w:r w:rsidRPr="00631A54">
        <w:rPr>
          <w:rFonts w:cs="Times New Roman"/>
          <w:sz w:val="20"/>
        </w:rPr>
        <w:t>Le Rapport sur l’exécution du programme est le principal outil qui permet de rendre compte aux États membres de l’exécution du programme de l’Organisation et il fait partie intégrante du cadre de gestion axée sur les résultats mis en œuvre par l’OMPI.  Il sert également de moyen de référence important, car il permet de tirer des enseignements des résultats précédents et d’en tenir dûment compte dans la mise en œuvre future des activités de l’OMPI.  Le rapport sur l’exécution du programme est une auto-évaluation menée par les chefs de programme sur la base du cadre de résultats approuvé par les États membres dans le programme et budget pour 2016-2017.  Pour renforcer la validité des informations contenues dans ce rapport, la Division de la supervision interne (DSI) procède à une validation des données relatives à l’exécution sur une base biennale.  Le prochain exercice de validation sera mené pour le Rapport sur l’exécution du programme en 2016-2017.</w:t>
      </w:r>
    </w:p>
    <w:p w14:paraId="22A0D618" w14:textId="77777777" w:rsidR="00417894" w:rsidRPr="00631A54" w:rsidRDefault="00417894" w:rsidP="00417894">
      <w:pPr>
        <w:jc w:val="both"/>
        <w:rPr>
          <w:rFonts w:cs="Times New Roman"/>
          <w:sz w:val="20"/>
        </w:rPr>
      </w:pPr>
    </w:p>
    <w:p w14:paraId="0F4225D9" w14:textId="77777777" w:rsidR="00417894" w:rsidRPr="00631A54" w:rsidRDefault="00417894" w:rsidP="00A067C5">
      <w:pPr>
        <w:numPr>
          <w:ilvl w:val="0"/>
          <w:numId w:val="89"/>
        </w:numPr>
        <w:ind w:left="0" w:firstLine="0"/>
        <w:jc w:val="both"/>
        <w:rPr>
          <w:rFonts w:cs="Times New Roman"/>
          <w:sz w:val="20"/>
        </w:rPr>
      </w:pPr>
      <w:r w:rsidRPr="00631A54">
        <w:rPr>
          <w:rFonts w:cs="Times New Roman"/>
          <w:sz w:val="20"/>
        </w:rPr>
        <w:t>Un nouveau format simplifié est en cours d’introduction pour le Rapport sur l’exécution du programme en 2016 afin de mieux distinguer entre les rapports sur l’exécution du programme pour la première année (rapport sur l’état d’avancement) et la seconde (rapport sur les réalisations) de l’exercice biennal.  La conception, la planification et la mise en œuvre des activités menées par l’OMPI ont continué de s’appuyer sur les recommandations pertinentes du Plan d’action pour le développement en 2016.</w:t>
      </w:r>
      <w:r w:rsidRPr="00631A54">
        <w:rPr>
          <w:sz w:val="20"/>
        </w:rPr>
        <w:t xml:space="preserve"> </w:t>
      </w:r>
      <w:r w:rsidRPr="00631A54">
        <w:rPr>
          <w:rFonts w:cs="Times New Roman"/>
          <w:sz w:val="20"/>
        </w:rPr>
        <w:t xml:space="preserve"> Des informations détaillées sur la mise en œuvre du Plan d’action pour le développement seront présentées dans le Rapport sur l’exécution du programme en 2016-2017.</w:t>
      </w:r>
    </w:p>
    <w:p w14:paraId="77B2A21D" w14:textId="77777777" w:rsidR="00417894" w:rsidRPr="001303B4" w:rsidRDefault="00417894" w:rsidP="00417894">
      <w:pPr>
        <w:jc w:val="both"/>
        <w:rPr>
          <w:rFonts w:cs="Times New Roman"/>
          <w:sz w:val="20"/>
          <w:szCs w:val="24"/>
        </w:rPr>
      </w:pPr>
    </w:p>
    <w:p w14:paraId="1B0219CA" w14:textId="77777777" w:rsidR="00417894" w:rsidRPr="00631A54" w:rsidRDefault="00417894" w:rsidP="00A067C5">
      <w:pPr>
        <w:numPr>
          <w:ilvl w:val="0"/>
          <w:numId w:val="89"/>
        </w:numPr>
        <w:ind w:left="0" w:firstLine="0"/>
        <w:jc w:val="both"/>
        <w:rPr>
          <w:rFonts w:cs="Times New Roman"/>
          <w:sz w:val="20"/>
        </w:rPr>
      </w:pPr>
      <w:r w:rsidRPr="00631A54">
        <w:rPr>
          <w:rFonts w:cs="Times New Roman"/>
          <w:sz w:val="20"/>
        </w:rPr>
        <w:t>Le Rapport sur l’exécution du programme en 2016 est un rapport à mi-parcours qui dresse un bilan des progrès accomplis pour atteindre les résultats escomptés (contrairement au rapport établi à la fin de l’exercice biennal, qui évalue la mesure dans laquelle les résultats escomptés ont été atteints), sur la base des indicateurs d’exécution et des ressources approuvées dans le programme et budget pour 2016-2017.</w:t>
      </w:r>
      <w:r w:rsidRPr="00631A54">
        <w:rPr>
          <w:sz w:val="20"/>
        </w:rPr>
        <w:t xml:space="preserve"> </w:t>
      </w:r>
      <w:r w:rsidRPr="00631A54">
        <w:rPr>
          <w:rFonts w:cs="Times New Roman"/>
          <w:sz w:val="20"/>
        </w:rPr>
        <w:t xml:space="preserve"> Les indicateurs d’exécution peuvent être mesurés au regard de plusieurs cibles.  Dans ce cas, la notation pour chaque cible est indiquée, ce qui donne lieu à plusieurs notations.  Les critères d’évaluation ci-après ont été utilisés pour le Rapport sur l’exécution du programme en 2016 :</w:t>
      </w:r>
    </w:p>
    <w:p w14:paraId="3AA41966" w14:textId="77777777" w:rsidR="00417894" w:rsidRPr="00631A54" w:rsidRDefault="00417894" w:rsidP="00417894">
      <w:pPr>
        <w:jc w:val="both"/>
        <w:rPr>
          <w:rFonts w:cs="Times New Roman"/>
          <w:sz w:val="20"/>
          <w:szCs w:val="24"/>
        </w:rPr>
      </w:pPr>
    </w:p>
    <w:p w14:paraId="446F2EAD" w14:textId="77777777" w:rsidR="00417894" w:rsidRPr="00631A54" w:rsidRDefault="00417894" w:rsidP="00A067C5">
      <w:pPr>
        <w:widowControl w:val="0"/>
        <w:numPr>
          <w:ilvl w:val="0"/>
          <w:numId w:val="89"/>
        </w:numPr>
        <w:autoSpaceDE w:val="0"/>
        <w:autoSpaceDN w:val="0"/>
        <w:adjustRightInd w:val="0"/>
        <w:ind w:left="0" w:firstLine="0"/>
        <w:jc w:val="both"/>
        <w:rPr>
          <w:rFonts w:cs="Times New Roman"/>
          <w:sz w:val="20"/>
        </w:rPr>
      </w:pPr>
      <w:r w:rsidRPr="00631A54">
        <w:rPr>
          <w:rFonts w:cs="Times New Roman"/>
          <w:sz w:val="20"/>
        </w:rPr>
        <w:t>Code d’évaluation :</w:t>
      </w:r>
    </w:p>
    <w:p w14:paraId="785E8DC4" w14:textId="77777777" w:rsidR="00417894" w:rsidRPr="00231E0A" w:rsidRDefault="00417894" w:rsidP="00A067C5">
      <w:pPr>
        <w:numPr>
          <w:ilvl w:val="0"/>
          <w:numId w:val="88"/>
        </w:numPr>
        <w:tabs>
          <w:tab w:val="clear" w:pos="794"/>
        </w:tabs>
        <w:spacing w:before="120"/>
        <w:ind w:left="1134" w:hanging="567"/>
        <w:jc w:val="both"/>
        <w:rPr>
          <w:rFonts w:cs="Times New Roman"/>
          <w:sz w:val="20"/>
        </w:rPr>
      </w:pPr>
      <w:r w:rsidRPr="00B9104D">
        <w:rPr>
          <w:b/>
          <w:bCs/>
          <w:color w:val="008000"/>
          <w:sz w:val="20"/>
          <w:lang w:val="fr-CH"/>
        </w:rPr>
        <w:t>En bonne voie</w:t>
      </w:r>
      <w:r w:rsidRPr="00631A54">
        <w:rPr>
          <w:rFonts w:cs="Times New Roman"/>
          <w:sz w:val="20"/>
        </w:rPr>
        <w:t xml:space="preserve"> s’applique lorsque les progrès réalisés pour atteindre l’objectif sont supérieurs ou égaux à 40%;</w:t>
      </w:r>
    </w:p>
    <w:p w14:paraId="5E71A01F" w14:textId="77777777" w:rsidR="00417894" w:rsidRDefault="00417894" w:rsidP="00A067C5">
      <w:pPr>
        <w:numPr>
          <w:ilvl w:val="0"/>
          <w:numId w:val="88"/>
        </w:numPr>
        <w:tabs>
          <w:tab w:val="clear" w:pos="794"/>
        </w:tabs>
        <w:spacing w:before="120"/>
        <w:ind w:left="1134" w:hanging="567"/>
        <w:jc w:val="both"/>
        <w:rPr>
          <w:i/>
          <w:sz w:val="20"/>
        </w:rPr>
      </w:pPr>
      <w:r w:rsidRPr="00B9104D">
        <w:rPr>
          <w:b/>
          <w:bCs/>
          <w:color w:val="FF0000"/>
          <w:sz w:val="20"/>
        </w:rPr>
        <w:t>Pas en bonne voie</w:t>
      </w:r>
      <w:r w:rsidRPr="00631A54">
        <w:rPr>
          <w:sz w:val="20"/>
        </w:rPr>
        <w:t xml:space="preserve"> s’applique </w:t>
      </w:r>
      <w:r w:rsidRPr="00631A54">
        <w:rPr>
          <w:rFonts w:cs="Times New Roman"/>
          <w:sz w:val="20"/>
        </w:rPr>
        <w:t xml:space="preserve">lorsque </w:t>
      </w:r>
      <w:r w:rsidRPr="00631A54">
        <w:rPr>
          <w:sz w:val="20"/>
        </w:rPr>
        <w:t>les progrès réalisés pour atteindre l’objectif sont inférieurs à 40%;</w:t>
      </w:r>
    </w:p>
    <w:p w14:paraId="4818B222" w14:textId="44235B41" w:rsidR="00417894" w:rsidRPr="00631A54" w:rsidRDefault="00417894" w:rsidP="00A067C5">
      <w:pPr>
        <w:numPr>
          <w:ilvl w:val="0"/>
          <w:numId w:val="88"/>
        </w:numPr>
        <w:tabs>
          <w:tab w:val="clear" w:pos="794"/>
        </w:tabs>
        <w:spacing w:before="120"/>
        <w:ind w:left="1134" w:hanging="567"/>
        <w:jc w:val="both"/>
        <w:rPr>
          <w:bCs/>
          <w:sz w:val="20"/>
        </w:rPr>
      </w:pPr>
      <w:proofErr w:type="spellStart"/>
      <w:r>
        <w:rPr>
          <w:rFonts w:cs="Times New Roman"/>
          <w:b/>
          <w:bCs/>
          <w:color w:val="0070C0"/>
          <w:sz w:val="20"/>
          <w:lang w:val="fr-CH"/>
        </w:rPr>
        <w:t>n.d</w:t>
      </w:r>
      <w:proofErr w:type="spellEnd"/>
      <w:r>
        <w:rPr>
          <w:rFonts w:cs="Times New Roman"/>
          <w:b/>
          <w:bCs/>
          <w:color w:val="0070C0"/>
          <w:sz w:val="20"/>
          <w:lang w:val="fr-CH"/>
        </w:rPr>
        <w:t>. pour 2016</w:t>
      </w:r>
      <w:r w:rsidRPr="00631A54">
        <w:rPr>
          <w:bCs/>
          <w:sz w:val="20"/>
        </w:rPr>
        <w:t xml:space="preserve"> s’applique lorsque les données relatives à l’exécution ne sont pas encore disponibles, mais devraient l’être d’ici la fin de l’</w:t>
      </w:r>
      <w:r>
        <w:rPr>
          <w:bCs/>
          <w:sz w:val="20"/>
        </w:rPr>
        <w:t>exercice biennal;</w:t>
      </w:r>
    </w:p>
    <w:p w14:paraId="76769944" w14:textId="14171B5D" w:rsidR="00417894" w:rsidRPr="00631A54" w:rsidRDefault="00417894" w:rsidP="00A067C5">
      <w:pPr>
        <w:numPr>
          <w:ilvl w:val="0"/>
          <w:numId w:val="88"/>
        </w:numPr>
        <w:tabs>
          <w:tab w:val="clear" w:pos="794"/>
        </w:tabs>
        <w:spacing w:before="120"/>
        <w:ind w:left="1134" w:hanging="567"/>
        <w:jc w:val="both"/>
        <w:rPr>
          <w:rFonts w:cs="Times New Roman"/>
          <w:sz w:val="20"/>
        </w:rPr>
      </w:pPr>
      <w:r w:rsidRPr="00B9104D">
        <w:rPr>
          <w:rFonts w:cs="Times New Roman"/>
          <w:b/>
          <w:bCs/>
          <w:color w:val="7F7F7F" w:themeColor="text1" w:themeTint="80"/>
          <w:sz w:val="20"/>
        </w:rPr>
        <w:t>No</w:t>
      </w:r>
      <w:r w:rsidRPr="00631A54">
        <w:rPr>
          <w:rFonts w:cs="Times New Roman"/>
          <w:b/>
          <w:bCs/>
          <w:color w:val="7F7F7F"/>
          <w:sz w:val="20"/>
        </w:rPr>
        <w:t>n</w:t>
      </w:r>
      <w:r w:rsidRPr="00B9104D">
        <w:rPr>
          <w:rFonts w:cs="Times New Roman"/>
          <w:b/>
          <w:bCs/>
          <w:color w:val="7F7F7F" w:themeColor="text1" w:themeTint="80"/>
          <w:sz w:val="20"/>
        </w:rPr>
        <w:t xml:space="preserve"> évaluable</w:t>
      </w:r>
      <w:r w:rsidRPr="00631A54">
        <w:rPr>
          <w:rStyle w:val="FootnoteReference"/>
          <w:sz w:val="20"/>
        </w:rPr>
        <w:footnoteReference w:id="2"/>
      </w:r>
      <w:r w:rsidRPr="00631A54">
        <w:rPr>
          <w:rFonts w:cs="Times New Roman"/>
          <w:sz w:val="20"/>
        </w:rPr>
        <w:t xml:space="preserve"> s’applique lorsque l’évaluation de l’exécution n’est pas faisable car les données relatives à la cible n’ont pas été correctement définies, ou lorsque le niveau de référence n’est pas disponible ou encore lorsque les données relatives à l’exécution sont insuffisantes pour déterminer le code de couleurs</w:t>
      </w:r>
      <w:r>
        <w:rPr>
          <w:rFonts w:cs="Times New Roman"/>
          <w:sz w:val="20"/>
        </w:rPr>
        <w:t xml:space="preserve">; </w:t>
      </w:r>
      <w:r w:rsidRPr="00631A54">
        <w:rPr>
          <w:rFonts w:cs="Times New Roman"/>
          <w:sz w:val="20"/>
        </w:rPr>
        <w:t xml:space="preserve"> et</w:t>
      </w:r>
    </w:p>
    <w:p w14:paraId="3EE2BA84" w14:textId="77777777" w:rsidR="00417894" w:rsidRPr="00631A54" w:rsidRDefault="00417894" w:rsidP="00A067C5">
      <w:pPr>
        <w:numPr>
          <w:ilvl w:val="0"/>
          <w:numId w:val="88"/>
        </w:numPr>
        <w:tabs>
          <w:tab w:val="clear" w:pos="794"/>
        </w:tabs>
        <w:spacing w:before="120"/>
        <w:ind w:left="1134" w:hanging="567"/>
        <w:jc w:val="both"/>
        <w:rPr>
          <w:rFonts w:cs="Times New Roman"/>
          <w:sz w:val="20"/>
        </w:rPr>
      </w:pPr>
      <w:r w:rsidRPr="00B9104D">
        <w:rPr>
          <w:b/>
          <w:bCs/>
          <w:sz w:val="20"/>
        </w:rPr>
        <w:t>Abandonné</w:t>
      </w:r>
      <w:r w:rsidRPr="00631A54">
        <w:rPr>
          <w:rFonts w:cs="Times New Roman"/>
          <w:sz w:val="20"/>
        </w:rPr>
        <w:t xml:space="preserve"> s’applique lorsque l’indicateur d’exécution n’est plus utilisé pour mesurer l’exécution du programme.</w:t>
      </w:r>
    </w:p>
    <w:p w14:paraId="1B1A3AB0" w14:textId="77777777" w:rsidR="00417894" w:rsidRPr="00231E0A" w:rsidRDefault="00417894" w:rsidP="00417894">
      <w:pPr>
        <w:jc w:val="both"/>
        <w:rPr>
          <w:rFonts w:cs="Times New Roman"/>
          <w:sz w:val="20"/>
          <w:szCs w:val="24"/>
        </w:rPr>
      </w:pPr>
    </w:p>
    <w:p w14:paraId="584A3885" w14:textId="74D206D0" w:rsidR="00417894" w:rsidRPr="00631A54" w:rsidRDefault="00417894" w:rsidP="00A067C5">
      <w:pPr>
        <w:numPr>
          <w:ilvl w:val="0"/>
          <w:numId w:val="89"/>
        </w:numPr>
        <w:ind w:left="0" w:firstLine="0"/>
        <w:jc w:val="both"/>
        <w:rPr>
          <w:rFonts w:cs="Times New Roman"/>
          <w:sz w:val="20"/>
        </w:rPr>
      </w:pPr>
      <w:r w:rsidRPr="00631A54">
        <w:rPr>
          <w:rFonts w:cs="Times New Roman"/>
          <w:sz w:val="20"/>
        </w:rPr>
        <w:t>Sur les 455</w:t>
      </w:r>
      <w:r>
        <w:rPr>
          <w:rFonts w:cs="Times New Roman"/>
          <w:sz w:val="20"/>
        </w:rPr>
        <w:t> </w:t>
      </w:r>
      <w:r w:rsidRPr="00631A54">
        <w:rPr>
          <w:rFonts w:cs="Times New Roman"/>
          <w:sz w:val="20"/>
        </w:rPr>
        <w:t>indicateurs d’exécution au total figurant dans le programme et budget pour 2016-2017, 329 (soit 72%) ont été évalués comme étant “</w:t>
      </w:r>
      <w:r w:rsidRPr="00631A54">
        <w:rPr>
          <w:rFonts w:cs="Times New Roman"/>
          <w:b/>
          <w:color w:val="00B050"/>
          <w:sz w:val="20"/>
        </w:rPr>
        <w:t>en bonne voie</w:t>
      </w:r>
      <w:r w:rsidRPr="00631A54">
        <w:rPr>
          <w:rFonts w:cs="Times New Roman"/>
          <w:sz w:val="20"/>
        </w:rPr>
        <w:t>”.</w:t>
      </w:r>
      <w:r w:rsidRPr="00631A54">
        <w:rPr>
          <w:sz w:val="20"/>
        </w:rPr>
        <w:t xml:space="preserve">  </w:t>
      </w:r>
      <w:r w:rsidRPr="00631A54">
        <w:rPr>
          <w:rFonts w:cs="Times New Roman"/>
          <w:sz w:val="20"/>
        </w:rPr>
        <w:t>L’exécution, sur un total de 82</w:t>
      </w:r>
      <w:r>
        <w:rPr>
          <w:rFonts w:cs="Times New Roman"/>
          <w:sz w:val="20"/>
        </w:rPr>
        <w:t> </w:t>
      </w:r>
      <w:r w:rsidRPr="00631A54">
        <w:rPr>
          <w:rFonts w:cs="Times New Roman"/>
          <w:sz w:val="20"/>
        </w:rPr>
        <w:t>indicateurs (soit environ 18%), a été évaluée comme n’étant “</w:t>
      </w:r>
      <w:r w:rsidRPr="00631A54">
        <w:rPr>
          <w:rFonts w:cs="Times New Roman"/>
          <w:b/>
          <w:color w:val="FF0000"/>
          <w:sz w:val="20"/>
        </w:rPr>
        <w:t>pas en bonne voie</w:t>
      </w:r>
      <w:r w:rsidRPr="00631A54">
        <w:rPr>
          <w:rFonts w:cs="Times New Roman"/>
          <w:sz w:val="20"/>
        </w:rPr>
        <w:t>” et 20</w:t>
      </w:r>
      <w:r>
        <w:rPr>
          <w:rFonts w:cs="Times New Roman"/>
          <w:sz w:val="20"/>
        </w:rPr>
        <w:t> </w:t>
      </w:r>
      <w:r w:rsidRPr="00631A54">
        <w:rPr>
          <w:rFonts w:cs="Times New Roman"/>
          <w:sz w:val="20"/>
        </w:rPr>
        <w:t>indicateurs (soit 4,4%) sont caractérisés par la mention “</w:t>
      </w:r>
      <w:proofErr w:type="spellStart"/>
      <w:r w:rsidRPr="00417894">
        <w:rPr>
          <w:b/>
          <w:bCs/>
          <w:color w:val="0070C0"/>
          <w:sz w:val="20"/>
        </w:rPr>
        <w:t>n.d</w:t>
      </w:r>
      <w:proofErr w:type="spellEnd"/>
      <w:r w:rsidRPr="00417894">
        <w:rPr>
          <w:b/>
          <w:bCs/>
          <w:color w:val="0070C0"/>
          <w:sz w:val="20"/>
        </w:rPr>
        <w:t>. pour 2016</w:t>
      </w:r>
      <w:r w:rsidRPr="00631A54">
        <w:rPr>
          <w:rFonts w:cs="Times New Roman"/>
          <w:sz w:val="20"/>
        </w:rPr>
        <w:t>”.</w:t>
      </w:r>
      <w:r w:rsidRPr="00631A54">
        <w:rPr>
          <w:sz w:val="20"/>
        </w:rPr>
        <w:t xml:space="preserve">  </w:t>
      </w:r>
      <w:r w:rsidRPr="00631A54">
        <w:rPr>
          <w:rFonts w:cs="Times New Roman"/>
          <w:sz w:val="20"/>
        </w:rPr>
        <w:t>Quelque 18</w:t>
      </w:r>
      <w:r>
        <w:rPr>
          <w:rFonts w:cs="Times New Roman"/>
          <w:sz w:val="20"/>
        </w:rPr>
        <w:t> </w:t>
      </w:r>
      <w:r w:rsidRPr="00631A54">
        <w:rPr>
          <w:rFonts w:cs="Times New Roman"/>
          <w:sz w:val="20"/>
        </w:rPr>
        <w:t>indicateurs (soit 4%) portent la mention “</w:t>
      </w:r>
      <w:r w:rsidRPr="00631A54">
        <w:rPr>
          <w:rFonts w:cs="Times New Roman"/>
          <w:b/>
          <w:color w:val="7F7F7F"/>
          <w:sz w:val="20"/>
        </w:rPr>
        <w:t>non évaluables</w:t>
      </w:r>
      <w:r w:rsidRPr="00631A54">
        <w:rPr>
          <w:rFonts w:cs="Times New Roman"/>
          <w:sz w:val="20"/>
        </w:rPr>
        <w:t>” et 6</w:t>
      </w:r>
      <w:r>
        <w:rPr>
          <w:rFonts w:cs="Times New Roman"/>
          <w:sz w:val="20"/>
        </w:rPr>
        <w:t> </w:t>
      </w:r>
      <w:r w:rsidRPr="00631A54">
        <w:rPr>
          <w:rFonts w:cs="Times New Roman"/>
          <w:sz w:val="20"/>
        </w:rPr>
        <w:t xml:space="preserve">indicateurs (soit 1,3%) ont été </w:t>
      </w:r>
      <w:r w:rsidRPr="00631A54">
        <w:rPr>
          <w:rFonts w:cs="Times New Roman"/>
          <w:b/>
          <w:sz w:val="20"/>
        </w:rPr>
        <w:t>abandonnés</w:t>
      </w:r>
      <w:r w:rsidRPr="00631A54">
        <w:rPr>
          <w:rFonts w:cs="Times New Roman"/>
          <w:sz w:val="20"/>
        </w:rPr>
        <w:t>.</w:t>
      </w:r>
    </w:p>
    <w:p w14:paraId="32672434" w14:textId="77777777" w:rsidR="00417894" w:rsidRPr="00631A54" w:rsidRDefault="00417894" w:rsidP="00417894">
      <w:pPr>
        <w:pStyle w:val="ONUME"/>
        <w:numPr>
          <w:ilvl w:val="0"/>
          <w:numId w:val="0"/>
        </w:numPr>
        <w:spacing w:after="0"/>
        <w:jc w:val="center"/>
        <w:rPr>
          <w:b/>
          <w:sz w:val="18"/>
          <w:szCs w:val="18"/>
        </w:rPr>
      </w:pPr>
    </w:p>
    <w:p w14:paraId="39E4A938" w14:textId="77777777" w:rsidR="00417894" w:rsidRPr="00231E0A" w:rsidRDefault="00417894" w:rsidP="00417894">
      <w:pPr>
        <w:pStyle w:val="ONUME"/>
        <w:numPr>
          <w:ilvl w:val="0"/>
          <w:numId w:val="0"/>
        </w:numPr>
        <w:spacing w:after="0"/>
        <w:jc w:val="center"/>
        <w:rPr>
          <w:b/>
          <w:sz w:val="18"/>
          <w:szCs w:val="18"/>
        </w:rPr>
      </w:pPr>
      <w:r w:rsidRPr="00231E0A">
        <w:rPr>
          <w:b/>
          <w:color w:val="000000"/>
          <w:sz w:val="18"/>
          <w:szCs w:val="18"/>
        </w:rPr>
        <w:t>Aperçu général des progrès accomplis en vue d</w:t>
      </w:r>
      <w:r>
        <w:rPr>
          <w:b/>
          <w:color w:val="000000"/>
          <w:sz w:val="18"/>
          <w:szCs w:val="18"/>
        </w:rPr>
        <w:t>’</w:t>
      </w:r>
      <w:r w:rsidRPr="00231E0A">
        <w:rPr>
          <w:b/>
          <w:color w:val="000000"/>
          <w:sz w:val="18"/>
          <w:szCs w:val="18"/>
        </w:rPr>
        <w:t>atteindre les résultats escomptés en</w:t>
      </w:r>
      <w:r>
        <w:rPr>
          <w:b/>
          <w:color w:val="000000"/>
          <w:sz w:val="18"/>
          <w:szCs w:val="18"/>
        </w:rPr>
        <w:t> </w:t>
      </w:r>
      <w:r w:rsidRPr="00231E0A">
        <w:rPr>
          <w:b/>
          <w:color w:val="000000"/>
          <w:sz w:val="18"/>
          <w:szCs w:val="18"/>
        </w:rPr>
        <w:t>2016</w:t>
      </w:r>
    </w:p>
    <w:bookmarkEnd w:id="11"/>
    <w:bookmarkEnd w:id="12"/>
    <w:p w14:paraId="143CAA61" w14:textId="77777777" w:rsidR="00417894" w:rsidRDefault="00417894" w:rsidP="00417894">
      <w:pPr>
        <w:jc w:val="center"/>
        <w:rPr>
          <w:sz w:val="20"/>
        </w:rPr>
      </w:pPr>
      <w:r w:rsidRPr="00631A54">
        <w:rPr>
          <w:noProof/>
          <w:lang w:val="en-US"/>
        </w:rPr>
        <w:drawing>
          <wp:inline distT="0" distB="0" distL="0" distR="0" wp14:anchorId="76610754" wp14:editId="03631549">
            <wp:extent cx="3693600" cy="2482476"/>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600" cy="2482476"/>
                    </a:xfrm>
                    <a:prstGeom prst="rect">
                      <a:avLst/>
                    </a:prstGeom>
                    <a:noFill/>
                    <a:ln>
                      <a:noFill/>
                    </a:ln>
                  </pic:spPr>
                </pic:pic>
              </a:graphicData>
            </a:graphic>
          </wp:inline>
        </w:drawing>
      </w:r>
    </w:p>
    <w:p w14:paraId="2AEC4A75" w14:textId="7E46FBB4" w:rsidR="00D762B2" w:rsidRPr="00D762B2" w:rsidRDefault="00D762B2" w:rsidP="00D762B2">
      <w:pPr>
        <w:pStyle w:val="Heading1"/>
      </w:pPr>
      <w:bookmarkStart w:id="15" w:name="_Toc482774585"/>
      <w:r w:rsidRPr="00D762B2">
        <w:t>Résumé des faits saillants de 2016</w:t>
      </w:r>
      <w:bookmarkEnd w:id="15"/>
    </w:p>
    <w:p w14:paraId="45F123D3" w14:textId="77777777" w:rsidR="00D762B2" w:rsidRPr="00D762B2" w:rsidRDefault="00D762B2" w:rsidP="00D762B2"/>
    <w:p w14:paraId="4EF82DC4" w14:textId="77777777" w:rsidR="00D762B2" w:rsidRPr="00D762B2" w:rsidRDefault="00D762B2" w:rsidP="00A067C5">
      <w:pPr>
        <w:numPr>
          <w:ilvl w:val="0"/>
          <w:numId w:val="87"/>
        </w:numPr>
        <w:ind w:left="0" w:firstLine="0"/>
        <w:jc w:val="both"/>
        <w:rPr>
          <w:sz w:val="20"/>
        </w:rPr>
      </w:pPr>
      <w:r w:rsidRPr="00D762B2">
        <w:rPr>
          <w:sz w:val="20"/>
        </w:rPr>
        <w:t>Le Rapport sur l’exécution du programme en 2016 comprend pour chacun des neuf objectifs stratégiques un tableau de bord donnant une représentation graphique des progrès réalisés en 2016, tels que mesurés par les indicateurs d’exécution des différents programmes contribuant aux objectifs respectifs.  Lors de l’évaluation, l’incidence des risques recensés dans le programme et budget pour l’exercice biennal 2016</w:t>
      </w:r>
      <w:r w:rsidRPr="00D762B2">
        <w:rPr>
          <w:sz w:val="20"/>
        </w:rPr>
        <w:noBreakHyphen/>
        <w:t>2017 a été dûment prise en considération.  Le rapport sur les risques pour l’exercice biennal, y compris une analyse plus approfondie des risques et de leur incidence sur l’obtention des résultats escomptés, sera présenté dans le Rapport sur l’exécution du programme durant l’exercice biennal 2016</w:t>
      </w:r>
      <w:r w:rsidRPr="00D762B2">
        <w:rPr>
          <w:sz w:val="20"/>
        </w:rPr>
        <w:noBreakHyphen/>
        <w:t>2017.</w:t>
      </w:r>
    </w:p>
    <w:p w14:paraId="2200A96C" w14:textId="77777777" w:rsidR="00D762B2" w:rsidRPr="00D762B2" w:rsidRDefault="00D762B2" w:rsidP="00D762B2">
      <w:pPr>
        <w:jc w:val="both"/>
        <w:rPr>
          <w:sz w:val="20"/>
        </w:rPr>
      </w:pPr>
    </w:p>
    <w:p w14:paraId="0E705952" w14:textId="77777777" w:rsidR="00D762B2" w:rsidRPr="00D762B2" w:rsidRDefault="00D762B2" w:rsidP="00A067C5">
      <w:pPr>
        <w:numPr>
          <w:ilvl w:val="0"/>
          <w:numId w:val="87"/>
        </w:numPr>
        <w:ind w:left="0" w:firstLine="0"/>
        <w:jc w:val="both"/>
        <w:rPr>
          <w:sz w:val="20"/>
        </w:rPr>
      </w:pPr>
      <w:r w:rsidRPr="00D762B2">
        <w:rPr>
          <w:sz w:val="20"/>
        </w:rPr>
        <w:t>On trouvera ci</w:t>
      </w:r>
      <w:r w:rsidRPr="00D762B2">
        <w:rPr>
          <w:sz w:val="20"/>
        </w:rPr>
        <w:noBreakHyphen/>
        <w:t>dessous une synthèse de l’essentiel des progrès accomplis en 2016 en ce qui concerne la réalisation des neuf objectifs stratégiques.</w:t>
      </w:r>
    </w:p>
    <w:p w14:paraId="071F6467" w14:textId="77777777" w:rsidR="00D762B2" w:rsidRPr="00D762B2" w:rsidRDefault="00D762B2" w:rsidP="00D762B2">
      <w:pPr>
        <w:pStyle w:val="ONUME"/>
        <w:numPr>
          <w:ilvl w:val="0"/>
          <w:numId w:val="0"/>
        </w:numPr>
        <w:jc w:val="both"/>
      </w:pPr>
    </w:p>
    <w:p w14:paraId="5A5B6D14" w14:textId="77777777" w:rsidR="00D762B2" w:rsidRPr="00D762B2" w:rsidRDefault="00D762B2" w:rsidP="00D762B2">
      <w:pPr>
        <w:pStyle w:val="ONUME"/>
        <w:numPr>
          <w:ilvl w:val="0"/>
          <w:numId w:val="0"/>
        </w:numPr>
        <w:spacing w:after="0"/>
        <w:jc w:val="center"/>
        <w:rPr>
          <w:b/>
          <w:sz w:val="18"/>
          <w:szCs w:val="18"/>
        </w:rPr>
      </w:pPr>
      <w:r w:rsidRPr="00D762B2">
        <w:rPr>
          <w:b/>
          <w:sz w:val="18"/>
          <w:szCs w:val="18"/>
        </w:rPr>
        <w:t xml:space="preserve">Vue synthétique des progrès accomplis vers l’obtention des résultats escomptés en 2016 </w:t>
      </w:r>
      <w:r w:rsidRPr="00D762B2">
        <w:rPr>
          <w:b/>
          <w:sz w:val="18"/>
          <w:szCs w:val="18"/>
        </w:rPr>
        <w:br/>
        <w:t>par objectif stratégique</w:t>
      </w:r>
    </w:p>
    <w:p w14:paraId="007471CF" w14:textId="77777777" w:rsidR="00D762B2" w:rsidRPr="00D762B2" w:rsidRDefault="00D762B2" w:rsidP="00D762B2">
      <w:pPr>
        <w:jc w:val="both"/>
      </w:pPr>
    </w:p>
    <w:p w14:paraId="0E3EC800" w14:textId="77777777" w:rsidR="00D762B2" w:rsidRPr="00D762B2" w:rsidRDefault="00D762B2" w:rsidP="00D762B2">
      <w:pPr>
        <w:jc w:val="center"/>
        <w:rPr>
          <w:iCs/>
        </w:rPr>
      </w:pPr>
      <w:r w:rsidRPr="00D762B2">
        <w:rPr>
          <w:noProof/>
          <w:lang w:val="en-US"/>
        </w:rPr>
        <w:drawing>
          <wp:inline distT="0" distB="0" distL="0" distR="0" wp14:anchorId="10E54867" wp14:editId="47174426">
            <wp:extent cx="5760085" cy="314549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145493"/>
                    </a:xfrm>
                    <a:prstGeom prst="rect">
                      <a:avLst/>
                    </a:prstGeom>
                    <a:noFill/>
                    <a:ln>
                      <a:noFill/>
                    </a:ln>
                  </pic:spPr>
                </pic:pic>
              </a:graphicData>
            </a:graphic>
          </wp:inline>
        </w:drawing>
      </w:r>
    </w:p>
    <w:p w14:paraId="14A858D2" w14:textId="77777777" w:rsidR="00D762B2" w:rsidRPr="00D762B2" w:rsidRDefault="00D762B2" w:rsidP="00D762B2">
      <w:pPr>
        <w:rPr>
          <w:b/>
          <w:iCs/>
        </w:rPr>
      </w:pPr>
    </w:p>
    <w:p w14:paraId="1964326A" w14:textId="77777777" w:rsidR="00D762B2" w:rsidRPr="00340492" w:rsidRDefault="00D762B2" w:rsidP="00D762B2">
      <w:pPr>
        <w:keepNext/>
        <w:keepLines/>
        <w:jc w:val="center"/>
        <w:rPr>
          <w:b/>
          <w:iCs/>
          <w:szCs w:val="22"/>
        </w:rPr>
      </w:pPr>
      <w:r w:rsidRPr="00340492">
        <w:rPr>
          <w:b/>
          <w:iCs/>
          <w:szCs w:val="22"/>
        </w:rPr>
        <w:lastRenderedPageBreak/>
        <w:t>Objectif stratégique I : Évolution équilibrée du cadre normatif international de la propriété intellectuelle</w:t>
      </w:r>
    </w:p>
    <w:p w14:paraId="33EEDE98" w14:textId="77777777" w:rsidR="00D762B2" w:rsidRPr="00D762B2" w:rsidRDefault="00D762B2" w:rsidP="00D762B2">
      <w:pPr>
        <w:jc w:val="center"/>
        <w:rPr>
          <w:sz w:val="20"/>
        </w:rPr>
      </w:pPr>
      <w:r w:rsidRPr="00D762B2">
        <w:rPr>
          <w:noProof/>
          <w:lang w:val="en-US"/>
        </w:rPr>
        <w:drawing>
          <wp:inline distT="0" distB="0" distL="0" distR="0" wp14:anchorId="629E5080" wp14:editId="6E833183">
            <wp:extent cx="3693600" cy="2422033"/>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3600" cy="2422033"/>
                    </a:xfrm>
                    <a:prstGeom prst="rect">
                      <a:avLst/>
                    </a:prstGeom>
                    <a:noFill/>
                    <a:ln>
                      <a:noFill/>
                    </a:ln>
                  </pic:spPr>
                </pic:pic>
              </a:graphicData>
            </a:graphic>
          </wp:inline>
        </w:drawing>
      </w:r>
    </w:p>
    <w:p w14:paraId="00664E13" w14:textId="77777777" w:rsidR="00D762B2" w:rsidRPr="00D762B2" w:rsidRDefault="00D762B2" w:rsidP="00A067C5">
      <w:pPr>
        <w:numPr>
          <w:ilvl w:val="0"/>
          <w:numId w:val="87"/>
        </w:numPr>
        <w:spacing w:after="120"/>
        <w:ind w:left="0" w:firstLine="0"/>
        <w:rPr>
          <w:sz w:val="20"/>
        </w:rPr>
      </w:pPr>
      <w:r w:rsidRPr="00D762B2">
        <w:rPr>
          <w:sz w:val="20"/>
        </w:rPr>
        <w:t>Les progrès se sont poursuivis en 2016 au titre de cet objectif stratégique, bien que légèrement moins vite que prévu.  À la fin de 2016, plusieurs questions demeuraient en suspens au sein des comités permanents.</w:t>
      </w:r>
    </w:p>
    <w:p w14:paraId="6FCDD663" w14:textId="77777777" w:rsidR="00D762B2" w:rsidRPr="00D762B2" w:rsidRDefault="00D762B2" w:rsidP="00A067C5">
      <w:pPr>
        <w:pStyle w:val="ListParagraph"/>
        <w:numPr>
          <w:ilvl w:val="0"/>
          <w:numId w:val="84"/>
        </w:numPr>
        <w:spacing w:after="120"/>
        <w:ind w:left="357" w:hanging="357"/>
        <w:contextualSpacing w:val="0"/>
        <w:jc w:val="both"/>
        <w:rPr>
          <w:rFonts w:ascii="Arial" w:hAnsi="Arial" w:cs="Arial"/>
          <w:sz w:val="20"/>
          <w:szCs w:val="20"/>
        </w:rPr>
      </w:pPr>
      <w:r w:rsidRPr="00D762B2">
        <w:rPr>
          <w:rFonts w:ascii="Arial" w:hAnsi="Arial" w:cs="Arial"/>
          <w:sz w:val="20"/>
          <w:szCs w:val="20"/>
        </w:rPr>
        <w:t>L’un des principaux faits marquants en 2016 a été l’entrée en vigueur du Traité de Marrakech, le 30 septembre 2016, avec un total de 25 membres.  La première réunion de l’Assemblée du Traité de Marrakech a eu lieu au cours de la session de 2016 des assemblées.  D’une manière générale, les traités de l’OMPI sur le droit d’auteur ont enregistré 22 nouvelles adhésions en 2016, dont 12 ratifications supplémentaires du Traité de Marrakech (Botswana, Canada, Chili, Équateur, Guatemala, Israël, Libéria, Pérou, République populaire démocratique de Corée, Saint</w:t>
      </w:r>
      <w:r w:rsidRPr="00D762B2">
        <w:rPr>
          <w:rFonts w:ascii="Arial" w:hAnsi="Arial" w:cs="Arial"/>
          <w:sz w:val="20"/>
          <w:szCs w:val="20"/>
        </w:rPr>
        <w:noBreakHyphen/>
        <w:t>Vincent</w:t>
      </w:r>
      <w:r w:rsidRPr="00D762B2">
        <w:rPr>
          <w:rFonts w:ascii="Arial" w:hAnsi="Arial" w:cs="Arial"/>
          <w:sz w:val="20"/>
          <w:szCs w:val="20"/>
        </w:rPr>
        <w:noBreakHyphen/>
        <w:t>et</w:t>
      </w:r>
      <w:r w:rsidRPr="00D762B2">
        <w:rPr>
          <w:rFonts w:ascii="Arial" w:hAnsi="Arial" w:cs="Arial"/>
          <w:sz w:val="20"/>
          <w:szCs w:val="20"/>
        </w:rPr>
        <w:noBreakHyphen/>
        <w:t>les Grenadines, Sri Lanka, Tunisie) et cinq ratifications supplémentaires du Traité de Beijing (El Salvador, Gabon, République populaire démocratique de Corée, Saint</w:t>
      </w:r>
      <w:r w:rsidRPr="00D762B2">
        <w:rPr>
          <w:rFonts w:ascii="Arial" w:hAnsi="Arial" w:cs="Arial"/>
          <w:sz w:val="20"/>
          <w:szCs w:val="20"/>
        </w:rPr>
        <w:noBreakHyphen/>
        <w:t>Vincent</w:t>
      </w:r>
      <w:r w:rsidRPr="00D762B2">
        <w:rPr>
          <w:rFonts w:ascii="Arial" w:hAnsi="Arial" w:cs="Arial"/>
          <w:sz w:val="20"/>
          <w:szCs w:val="20"/>
        </w:rPr>
        <w:noBreakHyphen/>
        <w:t>et</w:t>
      </w:r>
      <w:r w:rsidRPr="00D762B2">
        <w:rPr>
          <w:rFonts w:ascii="Arial" w:hAnsi="Arial" w:cs="Arial"/>
          <w:sz w:val="20"/>
          <w:szCs w:val="20"/>
        </w:rPr>
        <w:noBreakHyphen/>
        <w:t>les Grenadines, Tunisie), portant le nombre cumulé de parties à 15 à la fin de l’année.  En outre, quelque 17 États membres ou organisations régionales ont reçu de l’OMPI, sur demande, une assistance législative dans le domaine du droit d’auteur sur 18 questions notamment, dans un grand nombre de cas, en matière d’actualisation de la législation à l’ère du numérique ou d’adoption de nouvelles dispositions en vue d’adhérer aux traités de l’OMPI sur le droit d’auteur.</w:t>
      </w:r>
    </w:p>
    <w:p w14:paraId="46A6899B" w14:textId="77777777" w:rsidR="00D762B2" w:rsidRPr="00D762B2" w:rsidRDefault="00D762B2" w:rsidP="00A067C5">
      <w:pPr>
        <w:pStyle w:val="ListParagraph"/>
        <w:numPr>
          <w:ilvl w:val="0"/>
          <w:numId w:val="84"/>
        </w:numPr>
        <w:spacing w:after="120"/>
        <w:ind w:left="357" w:hanging="357"/>
        <w:contextualSpacing w:val="0"/>
        <w:jc w:val="both"/>
        <w:rPr>
          <w:rFonts w:ascii="Arial" w:hAnsi="Arial" w:cs="Arial"/>
          <w:sz w:val="20"/>
          <w:szCs w:val="20"/>
        </w:rPr>
      </w:pPr>
      <w:r w:rsidRPr="00D762B2">
        <w:rPr>
          <w:rFonts w:ascii="Arial" w:hAnsi="Arial" w:cs="Arial"/>
          <w:sz w:val="20"/>
          <w:szCs w:val="20"/>
        </w:rPr>
        <w:t>Le Comité permanent du droit d’auteur et des droits connexes (SCCR) a tenu des débats fructueux sur un texte unique applicable pour la protection des organismes de radiodiffusion et des principes relatifs aux limitations et exceptions;  il a également reçu les résultats d’une étude détaillée sur l’éducation;  et a commencé à travailler sur deux autres questions concernant le droit d’auteur dans l’environnement numérique et le droit de suite.</w:t>
      </w:r>
    </w:p>
    <w:p w14:paraId="7DF9C7E9" w14:textId="77777777" w:rsidR="00D762B2" w:rsidRPr="00D762B2" w:rsidRDefault="00D762B2" w:rsidP="00A067C5">
      <w:pPr>
        <w:pStyle w:val="ListParagraph"/>
        <w:numPr>
          <w:ilvl w:val="0"/>
          <w:numId w:val="84"/>
        </w:numPr>
        <w:spacing w:after="120"/>
        <w:contextualSpacing w:val="0"/>
        <w:jc w:val="both"/>
        <w:rPr>
          <w:rFonts w:ascii="Arial" w:hAnsi="Arial" w:cs="Arial"/>
          <w:sz w:val="20"/>
          <w:szCs w:val="20"/>
        </w:rPr>
      </w:pPr>
      <w:r w:rsidRPr="00D762B2">
        <w:rPr>
          <w:rFonts w:ascii="Arial" w:hAnsi="Arial" w:cs="Arial"/>
          <w:sz w:val="20"/>
          <w:szCs w:val="20"/>
        </w:rPr>
        <w:t>En vue de renforcer la coopération entre les États membres en faveur de la poursuite de l’élaboration d’une politique équilibrée et de cadres normatifs pour le système international des brevets, le Comité permanent du droit des brevets (SCP), à ses vingt</w:t>
      </w:r>
      <w:r w:rsidRPr="00D762B2">
        <w:rPr>
          <w:rFonts w:ascii="Arial" w:hAnsi="Arial" w:cs="Arial"/>
          <w:sz w:val="20"/>
          <w:szCs w:val="20"/>
        </w:rPr>
        <w:noBreakHyphen/>
        <w:t>quatrième et vingt</w:t>
      </w:r>
      <w:r w:rsidRPr="00D762B2">
        <w:rPr>
          <w:rFonts w:ascii="Arial" w:hAnsi="Arial" w:cs="Arial"/>
          <w:sz w:val="20"/>
          <w:szCs w:val="20"/>
        </w:rPr>
        <w:noBreakHyphen/>
        <w:t>cinquième sessions, tenues respectivement en juin et décembre 2016, a poursuivi l’examen de cinq points inscrits à son ordre du jour, à savoir : i) les exceptions et limitations relatives aux droits des brevets;  ii) la qualité des brevets, y compris les systèmes d’opposition;  iii) les brevets et la santé;  iv) la confidentialité de la communication entre les conseils en brevets et leurs clients;  et v) le transfert de technologie.</w:t>
      </w:r>
    </w:p>
    <w:p w14:paraId="72773638" w14:textId="77777777" w:rsidR="00D762B2" w:rsidRPr="00D762B2" w:rsidRDefault="00D762B2" w:rsidP="00A067C5">
      <w:pPr>
        <w:pStyle w:val="ListParagraph"/>
        <w:numPr>
          <w:ilvl w:val="0"/>
          <w:numId w:val="84"/>
        </w:numPr>
        <w:spacing w:after="120"/>
        <w:contextualSpacing w:val="0"/>
        <w:jc w:val="both"/>
        <w:rPr>
          <w:rFonts w:ascii="Arial" w:hAnsi="Arial" w:cs="Arial"/>
          <w:sz w:val="20"/>
          <w:szCs w:val="20"/>
        </w:rPr>
      </w:pPr>
      <w:r w:rsidRPr="00D762B2">
        <w:rPr>
          <w:rFonts w:ascii="Arial" w:hAnsi="Arial" w:cs="Arial"/>
          <w:sz w:val="20"/>
          <w:szCs w:val="20"/>
        </w:rPr>
        <w:t xml:space="preserve">En ce qui concerne les traités administrés par l’OMPI dans le domaine des brevets, en 2016 a été enregistrée l’adhésion du Cambodge, de Djibouti et du Koweït au Traité de coopération en matière de brevets;  du </w:t>
      </w:r>
      <w:proofErr w:type="spellStart"/>
      <w:r w:rsidRPr="00D762B2">
        <w:rPr>
          <w:rFonts w:ascii="Arial" w:hAnsi="Arial" w:cs="Arial"/>
          <w:sz w:val="20"/>
          <w:szCs w:val="20"/>
        </w:rPr>
        <w:t>Bélarus</w:t>
      </w:r>
      <w:proofErr w:type="spellEnd"/>
      <w:r w:rsidRPr="00D762B2">
        <w:rPr>
          <w:rFonts w:ascii="Arial" w:hAnsi="Arial" w:cs="Arial"/>
          <w:sz w:val="20"/>
          <w:szCs w:val="20"/>
        </w:rPr>
        <w:t>, du Japon et du Libéria au Traité sur le droit des brevets, et de la Colombie au Traité de Budapest.</w:t>
      </w:r>
    </w:p>
    <w:p w14:paraId="6267F6DB" w14:textId="77777777" w:rsidR="00D762B2" w:rsidRPr="00D762B2" w:rsidRDefault="00D762B2" w:rsidP="00A067C5">
      <w:pPr>
        <w:pStyle w:val="ListParagraph"/>
        <w:numPr>
          <w:ilvl w:val="0"/>
          <w:numId w:val="84"/>
        </w:numPr>
        <w:spacing w:after="120"/>
        <w:contextualSpacing w:val="0"/>
        <w:jc w:val="both"/>
        <w:rPr>
          <w:rFonts w:ascii="Arial" w:hAnsi="Arial" w:cs="Arial"/>
          <w:sz w:val="20"/>
          <w:szCs w:val="20"/>
        </w:rPr>
      </w:pPr>
      <w:r w:rsidRPr="00D762B2">
        <w:rPr>
          <w:rFonts w:ascii="Arial" w:hAnsi="Arial" w:cs="Arial"/>
          <w:sz w:val="20"/>
          <w:szCs w:val="20"/>
        </w:rPr>
        <w:t xml:space="preserve">En outre, le Secrétariat a continué d’œuvrer à une meilleure connaissance des principes et des pratiques juridiques du système des brevets grâce à la fourniture d’informations pertinentes aux organisations intergouvernementales, aux institutions des Nations Unies, aux organisations non gouvernementales et aux autres parties.  À cet égard, pour la première fois depuis l’adoption du Traité de Budapest en 1979, le Secrétariat et les autorités de dépôt internationales se sont réunis </w:t>
      </w:r>
      <w:r w:rsidRPr="00D762B2">
        <w:rPr>
          <w:rFonts w:ascii="Arial" w:hAnsi="Arial" w:cs="Arial"/>
          <w:sz w:val="20"/>
          <w:szCs w:val="20"/>
        </w:rPr>
        <w:lastRenderedPageBreak/>
        <w:t>en 2016 pour débattre de divers aspects concrets de leurs pratiques dans la réalisation de leurs tâches dans le cadre du traité.</w:t>
      </w:r>
    </w:p>
    <w:p w14:paraId="49761AC8" w14:textId="77777777" w:rsidR="00D762B2" w:rsidRPr="00D762B2" w:rsidRDefault="00D762B2" w:rsidP="00A067C5">
      <w:pPr>
        <w:pStyle w:val="ListParagraph"/>
        <w:numPr>
          <w:ilvl w:val="0"/>
          <w:numId w:val="84"/>
        </w:numPr>
        <w:spacing w:after="120"/>
        <w:ind w:left="357" w:hanging="357"/>
        <w:contextualSpacing w:val="0"/>
        <w:jc w:val="both"/>
        <w:rPr>
          <w:rFonts w:ascii="Arial" w:hAnsi="Arial" w:cs="Arial"/>
          <w:sz w:val="20"/>
          <w:szCs w:val="20"/>
        </w:rPr>
      </w:pPr>
      <w:r w:rsidRPr="00D762B2">
        <w:rPr>
          <w:rFonts w:ascii="Arial" w:hAnsi="Arial" w:cs="Arial"/>
          <w:sz w:val="20"/>
          <w:szCs w:val="20"/>
        </w:rPr>
        <w:t>En octobre 2016, le Programme d’aide aux inventeurs a été officiellement lancé.  Le programme est désormais opérationnel dans trois pays, à savoir la Colombie, le Maroc et les Philippines et devrait progressivement s’étendre à d’autres États membres de l’OMPI.  Le programme compte aujourd’hui plus de 50 agents de brevets fournissant à titre bénévole des conseils de qualité aux inventeurs des pays bénéficiaires.  À la fin de 2016, plus d’une trentaine d’inventeurs avaient reçu des conseils juridiques et techniques gratuits dans le cadre du programme.</w:t>
      </w:r>
    </w:p>
    <w:p w14:paraId="52EE41B9" w14:textId="77777777" w:rsidR="00D762B2" w:rsidRPr="00D762B2" w:rsidRDefault="00D762B2" w:rsidP="00A067C5">
      <w:pPr>
        <w:pStyle w:val="ListParagraph"/>
        <w:numPr>
          <w:ilvl w:val="0"/>
          <w:numId w:val="84"/>
        </w:numPr>
        <w:spacing w:after="120"/>
        <w:contextualSpacing w:val="0"/>
        <w:jc w:val="both"/>
        <w:rPr>
          <w:rFonts w:ascii="Arial" w:hAnsi="Arial" w:cs="Arial"/>
          <w:sz w:val="20"/>
          <w:szCs w:val="20"/>
        </w:rPr>
      </w:pPr>
      <w:r w:rsidRPr="00D762B2">
        <w:rPr>
          <w:rFonts w:ascii="Arial" w:hAnsi="Arial" w:cs="Arial"/>
          <w:sz w:val="20"/>
          <w:szCs w:val="20"/>
        </w:rPr>
        <w:t>Les trente</w:t>
      </w:r>
      <w:r w:rsidRPr="00D762B2">
        <w:rPr>
          <w:rFonts w:ascii="Arial" w:hAnsi="Arial" w:cs="Arial"/>
          <w:sz w:val="20"/>
          <w:szCs w:val="20"/>
        </w:rPr>
        <w:noBreakHyphen/>
        <w:t>cinquième et trente</w:t>
      </w:r>
      <w:r w:rsidRPr="00D762B2">
        <w:rPr>
          <w:rFonts w:ascii="Arial" w:hAnsi="Arial" w:cs="Arial"/>
          <w:sz w:val="20"/>
          <w:szCs w:val="20"/>
        </w:rPr>
        <w:noBreakHyphen/>
        <w:t>sixième sessions du Comité permanent du droit des marques, des dessins et modèles industriels et des indications géographiques (SCT) ont été tenues en avril et octobre 2016.  Il convient de rappeler que l’Assemblée générale de l’OMPI, à sa quarante</w:t>
      </w:r>
      <w:r w:rsidRPr="00D762B2">
        <w:rPr>
          <w:rFonts w:ascii="Arial" w:hAnsi="Arial" w:cs="Arial"/>
          <w:sz w:val="20"/>
          <w:szCs w:val="20"/>
        </w:rPr>
        <w:noBreakHyphen/>
        <w:t>septième session (22</w:t>
      </w:r>
      <w:r w:rsidRPr="00D762B2">
        <w:rPr>
          <w:rFonts w:ascii="Arial" w:hAnsi="Arial" w:cs="Arial"/>
          <w:sz w:val="20"/>
          <w:szCs w:val="20"/>
          <w:vertAlign w:val="superscript"/>
        </w:rPr>
        <w:t>e</w:t>
      </w:r>
      <w:r w:rsidRPr="00D762B2">
        <w:rPr>
          <w:rFonts w:ascii="Arial" w:hAnsi="Arial" w:cs="Arial"/>
          <w:sz w:val="20"/>
          <w:szCs w:val="20"/>
        </w:rPr>
        <w:t> session ordinaire) tenue en octobre 2015, “avait décidé de convoquer une conférence diplomatique en vue de l’adoption d’un traité sur le droit des dessins et modèles à la fin du premier semestre 2017, sous réserve que les discussions sur l’assistance technique et la divulgation soient achevées lors des trente</w:t>
      </w:r>
      <w:r w:rsidRPr="00D762B2">
        <w:rPr>
          <w:rFonts w:ascii="Arial" w:hAnsi="Arial" w:cs="Arial"/>
          <w:sz w:val="20"/>
          <w:szCs w:val="20"/>
        </w:rPr>
        <w:noBreakHyphen/>
        <w:t>quatrième et trente</w:t>
      </w:r>
      <w:r w:rsidRPr="00D762B2">
        <w:rPr>
          <w:rFonts w:ascii="Arial" w:hAnsi="Arial" w:cs="Arial"/>
          <w:sz w:val="20"/>
          <w:szCs w:val="20"/>
        </w:rPr>
        <w:noBreakHyphen/>
        <w:t>cinquième sessions du SCT”.  Étant donné que les discussions n’ont pas été menées à terme au cours des deux sessions du SCT en question, la question est revenue à l’Assemblée générale de l’OMPI, laquelle, a décidé, à sa quarante</w:t>
      </w:r>
      <w:r w:rsidRPr="00D762B2">
        <w:rPr>
          <w:rFonts w:ascii="Arial" w:hAnsi="Arial" w:cs="Arial"/>
          <w:sz w:val="20"/>
          <w:szCs w:val="20"/>
        </w:rPr>
        <w:noBreakHyphen/>
        <w:t>huitième (26</w:t>
      </w:r>
      <w:r w:rsidRPr="00D762B2">
        <w:rPr>
          <w:rFonts w:ascii="Arial" w:hAnsi="Arial" w:cs="Arial"/>
          <w:sz w:val="20"/>
          <w:szCs w:val="20"/>
          <w:vertAlign w:val="superscript"/>
        </w:rPr>
        <w:t>e</w:t>
      </w:r>
      <w:r w:rsidRPr="00D762B2">
        <w:rPr>
          <w:rFonts w:ascii="Arial" w:hAnsi="Arial" w:cs="Arial"/>
          <w:sz w:val="20"/>
          <w:szCs w:val="20"/>
        </w:rPr>
        <w:t> session extraordinaire) tenue en octobre 2016 que, “lors de sa prochaine session, en octobre 2017, elle poursuivra l’examen de la question de la convocation d’une conférence diplomatique pour l’adoption du traité sur le droit des dessins et modèles pour la fin du premier semestre de 2018”.  À la trente</w:t>
      </w:r>
      <w:r w:rsidRPr="00D762B2">
        <w:rPr>
          <w:rFonts w:ascii="Arial" w:hAnsi="Arial" w:cs="Arial"/>
          <w:sz w:val="20"/>
          <w:szCs w:val="20"/>
        </w:rPr>
        <w:noBreakHyphen/>
        <w:t>sixième session du SCT, le président du SCT a indiqué en conclusion que “la question du [traité sur le droit des dessins et modèles] resterait inscrite à l’ordre du jour du comité et que le SCT devrait donner suite à la décision de l’Assemblée générale”.</w:t>
      </w:r>
    </w:p>
    <w:p w14:paraId="195C3299" w14:textId="77777777" w:rsidR="00D762B2" w:rsidRPr="00D762B2" w:rsidRDefault="00D762B2" w:rsidP="00A067C5">
      <w:pPr>
        <w:pStyle w:val="ListParagraph"/>
        <w:numPr>
          <w:ilvl w:val="0"/>
          <w:numId w:val="84"/>
        </w:numPr>
        <w:spacing w:after="120"/>
        <w:contextualSpacing w:val="0"/>
        <w:jc w:val="both"/>
        <w:rPr>
          <w:rFonts w:ascii="Arial" w:hAnsi="Arial" w:cs="Arial"/>
          <w:sz w:val="20"/>
          <w:szCs w:val="20"/>
        </w:rPr>
      </w:pPr>
      <w:r w:rsidRPr="00D762B2">
        <w:rPr>
          <w:rFonts w:ascii="Arial" w:hAnsi="Arial" w:cs="Arial"/>
          <w:sz w:val="20"/>
          <w:szCs w:val="20"/>
        </w:rPr>
        <w:t>Sept nouvelles parties contractantes ont ratifié le Traité de Singapour sur le droit des marques ou y ont adhéré (Bénin, Irlande, Japon, Mali, République de Corée, République populaire démocratique de Corée, et Organisation africaine de la propriété intellectuelle (OAPI)), portant à 45 le nombre total de parties contractantes à la fin de 2016.</w:t>
      </w:r>
    </w:p>
    <w:p w14:paraId="010DC9A3" w14:textId="77777777" w:rsidR="00D762B2" w:rsidRPr="00D762B2" w:rsidRDefault="00D762B2" w:rsidP="00A067C5">
      <w:pPr>
        <w:pStyle w:val="ListParagraph"/>
        <w:numPr>
          <w:ilvl w:val="0"/>
          <w:numId w:val="84"/>
        </w:numPr>
        <w:spacing w:after="120"/>
        <w:contextualSpacing w:val="0"/>
        <w:jc w:val="both"/>
        <w:rPr>
          <w:rFonts w:ascii="Arial" w:hAnsi="Arial" w:cs="Arial"/>
          <w:sz w:val="20"/>
          <w:szCs w:val="20"/>
        </w:rPr>
      </w:pPr>
      <w:r w:rsidRPr="00D762B2">
        <w:rPr>
          <w:rFonts w:ascii="Arial" w:hAnsi="Arial" w:cs="Arial"/>
          <w:sz w:val="20"/>
          <w:szCs w:val="20"/>
        </w:rPr>
        <w:t>Le Comité intergouvernemental de la propriété intellectuelle relative aux ressources génétiques, aux savoirs traditionnels et au folklore (IGC), qui ne s’est pas réuni en 2015, a repris ses réunions en 2016 et a avancé dans ses négociations sur la base d’un texte dans le cadre de son nouveau mandat pour l’exercice biennal établi par l’Assemblée générale de l’OMPI en 2015.  Au cours des quatre sessions de l’IGC tenues en 2016 (vingt</w:t>
      </w:r>
      <w:r w:rsidRPr="00D762B2">
        <w:rPr>
          <w:rFonts w:ascii="Arial" w:hAnsi="Arial" w:cs="Arial"/>
          <w:sz w:val="20"/>
          <w:szCs w:val="20"/>
        </w:rPr>
        <w:noBreakHyphen/>
        <w:t>neuvième, trentième, trente et unième et trente</w:t>
      </w:r>
      <w:r w:rsidRPr="00D762B2">
        <w:rPr>
          <w:rFonts w:ascii="Arial" w:hAnsi="Arial" w:cs="Arial"/>
          <w:sz w:val="20"/>
          <w:szCs w:val="20"/>
        </w:rPr>
        <w:noBreakHyphen/>
        <w:t>deuxième sessions), les textes relatifs aux ressources génétiques et aux savoirs traditionnels ont été encore simplifiés et les positions des délégations ont été clarifiées.  Deux séminaires organisés par le Secrétariat ont contribué au renforcement des connaissances aux niveaux régional et interrégional et à la réalisation de progrès dans le cadre de l’IGC.  Le nombre de participants des communautés autochtones et locales aux travaux de l’IGC n’a pas augmenté compte tenu en partie de l’épuisement du Fonds de contributions volontaires pour les communautés autochtones et locales accréditées, mais le Secrétariat a poursuivi ses actions visant à faciliter leur participation à la procédure dans la mesure du possible.  Les travaux de l’IGC porteront sur les expressions culturelles traditionnelles en 2017.  L’Assemblée générale de l’OMPI fera le point sur les progrès réalisés par l’IGC en 2016 et 2017 lorsqu’elle se réunira de nouveau en octobre 2017.</w:t>
      </w:r>
    </w:p>
    <w:p w14:paraId="08FD3295" w14:textId="77777777" w:rsidR="00D762B2" w:rsidRPr="001303B4" w:rsidRDefault="00D762B2" w:rsidP="00D762B2">
      <w:pPr>
        <w:spacing w:after="200"/>
        <w:jc w:val="both"/>
        <w:rPr>
          <w:bCs/>
          <w:sz w:val="20"/>
        </w:rPr>
      </w:pPr>
    </w:p>
    <w:p w14:paraId="748A32BA" w14:textId="148973DF" w:rsidR="00D762B2" w:rsidRPr="00340492" w:rsidRDefault="00D762B2" w:rsidP="00417894">
      <w:pPr>
        <w:keepNext/>
        <w:keepLines/>
        <w:jc w:val="center"/>
        <w:rPr>
          <w:b/>
          <w:iCs/>
          <w:szCs w:val="22"/>
        </w:rPr>
      </w:pPr>
      <w:r w:rsidRPr="00340492">
        <w:rPr>
          <w:b/>
          <w:iCs/>
          <w:szCs w:val="22"/>
        </w:rPr>
        <w:lastRenderedPageBreak/>
        <w:t>Objectif stratégique II : Fourniture de services mondiaux de propriété intellectuelle de premier ordre</w:t>
      </w:r>
    </w:p>
    <w:p w14:paraId="5E735F0B" w14:textId="77777777" w:rsidR="00D762B2" w:rsidRPr="001303B4" w:rsidRDefault="00D762B2" w:rsidP="00417894">
      <w:pPr>
        <w:keepNext/>
        <w:keepLines/>
        <w:spacing w:after="360"/>
        <w:jc w:val="center"/>
        <w:rPr>
          <w:b/>
          <w:sz w:val="20"/>
        </w:rPr>
      </w:pPr>
      <w:r w:rsidRPr="00D762B2">
        <w:rPr>
          <w:noProof/>
          <w:sz w:val="20"/>
          <w:lang w:val="en-US"/>
        </w:rPr>
        <w:drawing>
          <wp:inline distT="0" distB="0" distL="0" distR="0" wp14:anchorId="3A0F67D3" wp14:editId="7C0EDF71">
            <wp:extent cx="3693600" cy="2492067"/>
            <wp:effectExtent l="0" t="0" r="254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600" cy="2492067"/>
                    </a:xfrm>
                    <a:prstGeom prst="rect">
                      <a:avLst/>
                    </a:prstGeom>
                    <a:noFill/>
                    <a:ln>
                      <a:noFill/>
                    </a:ln>
                  </pic:spPr>
                </pic:pic>
              </a:graphicData>
            </a:graphic>
          </wp:inline>
        </w:drawing>
      </w:r>
    </w:p>
    <w:p w14:paraId="0B120D07" w14:textId="77777777" w:rsidR="00D762B2" w:rsidRPr="00D762B2" w:rsidRDefault="00D762B2" w:rsidP="00A067C5">
      <w:pPr>
        <w:numPr>
          <w:ilvl w:val="0"/>
          <w:numId w:val="87"/>
        </w:numPr>
        <w:spacing w:after="120"/>
        <w:ind w:left="0" w:firstLine="0"/>
        <w:jc w:val="both"/>
        <w:rPr>
          <w:sz w:val="20"/>
        </w:rPr>
      </w:pPr>
      <w:r w:rsidRPr="00D762B2">
        <w:rPr>
          <w:sz w:val="20"/>
        </w:rPr>
        <w:t>L’année 2016 a constitué une autre année record pour les systèmes d’enregistrement internationaux de l’OMPI, qui ont enregistré une croissance considérable pour la septième année consécutive.</w:t>
      </w:r>
    </w:p>
    <w:p w14:paraId="4E8A8BD3" w14:textId="77777777" w:rsidR="00D762B2" w:rsidRPr="00D762B2" w:rsidRDefault="00D762B2" w:rsidP="00A067C5">
      <w:pPr>
        <w:pStyle w:val="ListParagraph"/>
        <w:numPr>
          <w:ilvl w:val="0"/>
          <w:numId w:val="85"/>
        </w:numPr>
        <w:spacing w:after="120"/>
        <w:contextualSpacing w:val="0"/>
        <w:jc w:val="both"/>
        <w:rPr>
          <w:rFonts w:ascii="Arial" w:hAnsi="Arial" w:cs="Arial"/>
          <w:sz w:val="20"/>
          <w:szCs w:val="20"/>
        </w:rPr>
      </w:pPr>
      <w:r w:rsidRPr="00D762B2">
        <w:rPr>
          <w:rFonts w:ascii="Arial" w:hAnsi="Arial" w:cs="Arial"/>
          <w:sz w:val="20"/>
          <w:szCs w:val="20"/>
        </w:rPr>
        <w:t>Le Bureau international agissant en qualité d’office récepteur du PCT (IB) a reçu environ 233 000 exemplaires originaux en 2016, ce qui représente une augmentation de 7,4% par rapport à 2015.  Trois géants des télécommunications de la Chine et des États</w:t>
      </w:r>
      <w:r w:rsidRPr="00D762B2">
        <w:rPr>
          <w:rFonts w:ascii="Arial" w:hAnsi="Arial" w:cs="Arial"/>
          <w:sz w:val="20"/>
          <w:szCs w:val="20"/>
        </w:rPr>
        <w:noBreakHyphen/>
        <w:t>Unis d’Amérique ont continué à dominer l’activité de dépôt de demandes internationales de brevet.  La part de dépôts entièrement électroniques a continué d’augmenter, représentant 96% du nombre total de dépôts en 2016.  Alors que les dépôts en anglais, qui représentaient 45% du nombre total, ont constitué la majeure partie des dépôts en 2016, la part des langues asiatiques a continué d’augmenter.  La part combinée des demandes selon le PCT déposées en japonais, chinois et coréen est passée de 29,5% en 2010 à 42% en 2016.</w:t>
      </w:r>
    </w:p>
    <w:p w14:paraId="34230607" w14:textId="77777777" w:rsidR="00D762B2" w:rsidRPr="00D762B2" w:rsidRDefault="00D762B2" w:rsidP="00A067C5">
      <w:pPr>
        <w:pStyle w:val="ListParagraph"/>
        <w:numPr>
          <w:ilvl w:val="0"/>
          <w:numId w:val="85"/>
        </w:numPr>
        <w:spacing w:after="120"/>
        <w:contextualSpacing w:val="0"/>
        <w:jc w:val="both"/>
        <w:rPr>
          <w:rFonts w:ascii="Arial" w:hAnsi="Arial" w:cs="Arial"/>
          <w:sz w:val="20"/>
          <w:szCs w:val="20"/>
        </w:rPr>
      </w:pPr>
      <w:r w:rsidRPr="00D762B2">
        <w:rPr>
          <w:rFonts w:ascii="Arial" w:hAnsi="Arial" w:cs="Arial"/>
          <w:sz w:val="20"/>
          <w:szCs w:val="20"/>
        </w:rPr>
        <w:t>À sa neuvième session tenue en 2016, le Groupe de travail du PCT a poursuivi ses discussions visant à promouvoir les objectifs du traité dans l’intérêt de toutes les parties prenantes, conformément aux recommandations de la feuille de route du PCT approuvées par les États membres, qui comprennent des recommandations sur la manière dont le développement futur du PCT pourrait être harmonisé avec l’application des recommandations du Plan d’action pour le développement, notamment celles des groupes A et C.  Le groupe de travail a notamment examiné des questions telles que les services fondés sur les technologies de l’information, qui offrent désormais de nouvelles perspectives en matière de collaboration entre les offices, des moyens plus efficaces de travailler ensemble et un meilleur partage des informations;  une proposition de réduction des taxes du PCT pour les universités et les instituts de recherche publics;  la coordination de l’assistance technique fournie dans le cadre du PCT;  et l’amélioration de la coordination entre les offices en ce qui concerne la formation des examinateurs de brevets.</w:t>
      </w:r>
    </w:p>
    <w:p w14:paraId="3EAB155B" w14:textId="77777777" w:rsidR="00D762B2" w:rsidRPr="00D762B2" w:rsidRDefault="00D762B2" w:rsidP="00A067C5">
      <w:pPr>
        <w:pStyle w:val="ListParagraph"/>
        <w:numPr>
          <w:ilvl w:val="0"/>
          <w:numId w:val="85"/>
        </w:numPr>
        <w:spacing w:after="120"/>
        <w:contextualSpacing w:val="0"/>
        <w:jc w:val="both"/>
        <w:rPr>
          <w:rFonts w:ascii="Arial" w:hAnsi="Arial" w:cs="Arial"/>
          <w:sz w:val="20"/>
          <w:szCs w:val="20"/>
        </w:rPr>
      </w:pPr>
      <w:r w:rsidRPr="00D762B2">
        <w:rPr>
          <w:rFonts w:ascii="Arial" w:hAnsi="Arial" w:cs="Arial"/>
          <w:sz w:val="20"/>
          <w:szCs w:val="20"/>
        </w:rPr>
        <w:t xml:space="preserve">L’utilisation du système </w:t>
      </w:r>
      <w:proofErr w:type="spellStart"/>
      <w:r w:rsidRPr="00D762B2">
        <w:rPr>
          <w:rFonts w:ascii="Arial" w:hAnsi="Arial" w:cs="Arial"/>
          <w:sz w:val="20"/>
          <w:szCs w:val="20"/>
        </w:rPr>
        <w:t>ePCT</w:t>
      </w:r>
      <w:proofErr w:type="spellEnd"/>
      <w:r w:rsidRPr="00D762B2">
        <w:rPr>
          <w:rFonts w:ascii="Arial" w:hAnsi="Arial" w:cs="Arial"/>
          <w:sz w:val="20"/>
          <w:szCs w:val="20"/>
        </w:rPr>
        <w:t xml:space="preserve"> a considérablement augmenté en 2016.  À la fin de 2016, 45 offices récepteurs avaient, avec l’assistance du Bureau international, commencé à accepter les demandes déposées par l’intermédiaire du système </w:t>
      </w:r>
      <w:proofErr w:type="spellStart"/>
      <w:r w:rsidRPr="00D762B2">
        <w:rPr>
          <w:rFonts w:ascii="Arial" w:hAnsi="Arial" w:cs="Arial"/>
          <w:sz w:val="20"/>
          <w:szCs w:val="20"/>
        </w:rPr>
        <w:t>ePCT</w:t>
      </w:r>
      <w:proofErr w:type="spellEnd"/>
      <w:r w:rsidRPr="00D762B2">
        <w:rPr>
          <w:rFonts w:ascii="Arial" w:hAnsi="Arial" w:cs="Arial"/>
          <w:sz w:val="20"/>
          <w:szCs w:val="20"/>
        </w:rPr>
        <w:t xml:space="preserve">, contre 29 à la fin de l’année 2015.  Le nombre de demandes internationales déposées au moyen du système </w:t>
      </w:r>
      <w:proofErr w:type="spellStart"/>
      <w:r w:rsidRPr="00D762B2">
        <w:rPr>
          <w:rFonts w:ascii="Arial" w:hAnsi="Arial" w:cs="Arial"/>
          <w:sz w:val="20"/>
          <w:szCs w:val="20"/>
        </w:rPr>
        <w:t>ePCT</w:t>
      </w:r>
      <w:proofErr w:type="spellEnd"/>
      <w:r w:rsidRPr="00D762B2">
        <w:rPr>
          <w:rFonts w:ascii="Arial" w:hAnsi="Arial" w:cs="Arial"/>
          <w:sz w:val="20"/>
          <w:szCs w:val="20"/>
        </w:rPr>
        <w:t xml:space="preserve"> ont augmenté de 50%, passant de 7229 à 10 843.  Quelque 45 offices récepteurs et 13 administrations chargées de la recherche internationale (contre 34 et huit, respectivement) ont accepté la transmission de documents postérieurement au dépôt par l’intermédiaire du système </w:t>
      </w:r>
      <w:proofErr w:type="spellStart"/>
      <w:r w:rsidRPr="00D762B2">
        <w:rPr>
          <w:rFonts w:ascii="Arial" w:hAnsi="Arial" w:cs="Arial"/>
          <w:sz w:val="20"/>
          <w:szCs w:val="20"/>
        </w:rPr>
        <w:t>ePCT</w:t>
      </w:r>
      <w:proofErr w:type="spellEnd"/>
      <w:r w:rsidRPr="00D762B2">
        <w:rPr>
          <w:rFonts w:ascii="Arial" w:hAnsi="Arial" w:cs="Arial"/>
          <w:sz w:val="20"/>
          <w:szCs w:val="20"/>
        </w:rPr>
        <w:t xml:space="preserve">.  En outre, un nouveau service, le service </w:t>
      </w:r>
      <w:proofErr w:type="spellStart"/>
      <w:r w:rsidRPr="00D762B2">
        <w:rPr>
          <w:rFonts w:ascii="Arial" w:hAnsi="Arial" w:cs="Arial"/>
          <w:sz w:val="20"/>
          <w:szCs w:val="20"/>
        </w:rPr>
        <w:t>eSearchCopy</w:t>
      </w:r>
      <w:proofErr w:type="spellEnd"/>
      <w:r w:rsidRPr="00D762B2">
        <w:rPr>
          <w:rFonts w:ascii="Arial" w:hAnsi="Arial" w:cs="Arial"/>
          <w:sz w:val="20"/>
          <w:szCs w:val="20"/>
        </w:rPr>
        <w:t>, dont les essais ont commencé en 2014, qui permet au Bureau international de préparer et de transmettre des copies de recherche à l’administration chargée de la recherche internationale au nom de l’Office récepteur en vue d’améliorer le respect des délais et l’efficacité dans le cadre de la recherche internationale, est passé de 28 paires d’offices à la fin de l’année 2015, dont six administrations chargées de la recherche internationale et 15 offices récepteurs, à 65 paires, y compris 13 administrations chargées de la recherche internationale et 45 offices récepteurs.</w:t>
      </w:r>
    </w:p>
    <w:p w14:paraId="445F2398" w14:textId="77777777" w:rsidR="00D762B2" w:rsidRDefault="00D762B2" w:rsidP="00A067C5">
      <w:pPr>
        <w:pStyle w:val="ListParagraph"/>
        <w:numPr>
          <w:ilvl w:val="0"/>
          <w:numId w:val="86"/>
        </w:numPr>
        <w:spacing w:after="120"/>
        <w:ind w:left="357" w:hanging="357"/>
        <w:contextualSpacing w:val="0"/>
        <w:jc w:val="both"/>
        <w:rPr>
          <w:rFonts w:ascii="Arial" w:hAnsi="Arial" w:cs="Arial"/>
          <w:sz w:val="20"/>
          <w:szCs w:val="20"/>
        </w:rPr>
      </w:pPr>
      <w:r w:rsidRPr="00D762B2">
        <w:rPr>
          <w:rFonts w:ascii="Arial" w:hAnsi="Arial" w:cs="Arial"/>
          <w:sz w:val="20"/>
          <w:szCs w:val="20"/>
        </w:rPr>
        <w:lastRenderedPageBreak/>
        <w:t>L’année 2016 a été une année record pour le système de Madrid avec un total de 52 550 demandes internationales déposées, ce qui correspond à une augmentation de 7,2% des dépôts par rapport à 2015.  À la fin de l’année, le registre des marques au titre du système de Madrid contenait un total de 641 587 enregistrements internationaux, soit l’équivalent de 5,71 millions d’enregistrements nationaux ou régionaux de marques.</w:t>
      </w:r>
    </w:p>
    <w:bookmarkEnd w:id="13"/>
    <w:bookmarkEnd w:id="14"/>
    <w:p w14:paraId="44B1548F" w14:textId="77777777" w:rsidR="00A067C5" w:rsidRPr="00A067C5" w:rsidRDefault="00A067C5" w:rsidP="00A067C5">
      <w:pPr>
        <w:pStyle w:val="ListParagraph"/>
        <w:numPr>
          <w:ilvl w:val="0"/>
          <w:numId w:val="86"/>
        </w:numPr>
        <w:spacing w:after="120"/>
        <w:contextualSpacing w:val="0"/>
        <w:jc w:val="both"/>
        <w:rPr>
          <w:rFonts w:ascii="Arial" w:hAnsi="Arial" w:cs="Arial"/>
          <w:sz w:val="20"/>
          <w:szCs w:val="20"/>
        </w:rPr>
      </w:pPr>
      <w:r w:rsidRPr="00A067C5">
        <w:rPr>
          <w:rFonts w:ascii="Arial" w:hAnsi="Arial" w:cs="Arial"/>
          <w:sz w:val="20"/>
          <w:szCs w:val="20"/>
        </w:rPr>
        <w:t>Le Groupe de travail sur le développement juridique du système de Madrid a réalisé des progrès importants en 2016 et a adopté un certain nombre de modifications à apporter aux règles, approuvées par l’Assemblée de l’Union de Madrid.  En outre, il est convenu d’une feuille de route comprenant une liste de points spécifiques à examiner à court, moyen et long termes.</w:t>
      </w:r>
    </w:p>
    <w:p w14:paraId="6205D348" w14:textId="77777777" w:rsidR="00A067C5" w:rsidRPr="00A067C5" w:rsidRDefault="00A067C5" w:rsidP="00A067C5">
      <w:pPr>
        <w:pStyle w:val="ListParagraph"/>
        <w:numPr>
          <w:ilvl w:val="0"/>
          <w:numId w:val="86"/>
        </w:numPr>
        <w:spacing w:after="120"/>
        <w:contextualSpacing w:val="0"/>
        <w:jc w:val="both"/>
        <w:rPr>
          <w:rFonts w:ascii="Arial" w:hAnsi="Arial" w:cs="Arial"/>
          <w:sz w:val="20"/>
          <w:szCs w:val="20"/>
        </w:rPr>
      </w:pPr>
      <w:r w:rsidRPr="00A067C5">
        <w:rPr>
          <w:rFonts w:ascii="Arial" w:hAnsi="Arial" w:cs="Arial"/>
          <w:sz w:val="20"/>
          <w:szCs w:val="20"/>
        </w:rPr>
        <w:t>Le système de La Haye a connu un nombre record de demandes internationales en 2016 (5562), avec un taux de croissance de 35% par rapport à 2015.  Avec une hausse de 14% par rapport à 2015, le nombre de dessins et modèles a lui aussi augmenté, mais à un rythme moins soutenu, ce qui confirme la tendance à la baisse en ce qui concerne le nombre moyen de dessins et modèles par demande, du fait de l’expansion juridique du système de La Haye dans des ressorts juridiques procédant à un examen.</w:t>
      </w:r>
    </w:p>
    <w:p w14:paraId="14874920" w14:textId="77777777" w:rsidR="00A067C5" w:rsidRPr="00A067C5" w:rsidRDefault="00A067C5" w:rsidP="00A067C5">
      <w:pPr>
        <w:pStyle w:val="ListParagraph"/>
        <w:numPr>
          <w:ilvl w:val="0"/>
          <w:numId w:val="86"/>
        </w:numPr>
        <w:spacing w:after="120"/>
        <w:contextualSpacing w:val="0"/>
        <w:jc w:val="both"/>
        <w:rPr>
          <w:rFonts w:ascii="Arial" w:hAnsi="Arial" w:cs="Arial"/>
          <w:sz w:val="20"/>
          <w:szCs w:val="20"/>
        </w:rPr>
      </w:pPr>
      <w:r w:rsidRPr="00A067C5">
        <w:rPr>
          <w:rFonts w:ascii="Arial" w:hAnsi="Arial" w:cs="Arial"/>
          <w:sz w:val="20"/>
          <w:szCs w:val="20"/>
        </w:rPr>
        <w:t>Le Cambodge et la République populaire démocratique de Corée ont adhéré à l’Acte de Genève (1999), portant le nombre de parties contractantes de cet Acte à 52.  Avec l’adhésion de la République populaire démocratique de Corée, il ne reste plus que trois pays liés exclusivement par l’Acte de 1960 (en dehors de l’UE ou de l’OAPI).  Il a été mis fin à l’Acte de 1934 le 18 octobre 2016, après la réception du dernier consentement à l’extinction manquant.</w:t>
      </w:r>
    </w:p>
    <w:p w14:paraId="250D0D8B" w14:textId="77777777" w:rsidR="00A067C5" w:rsidRPr="00A067C5" w:rsidRDefault="00A067C5" w:rsidP="00A067C5">
      <w:pPr>
        <w:pStyle w:val="ListParagraph"/>
        <w:numPr>
          <w:ilvl w:val="0"/>
          <w:numId w:val="86"/>
        </w:numPr>
        <w:spacing w:after="120"/>
        <w:contextualSpacing w:val="0"/>
        <w:jc w:val="both"/>
        <w:rPr>
          <w:rFonts w:ascii="Arial" w:hAnsi="Arial" w:cs="Arial"/>
          <w:sz w:val="20"/>
          <w:szCs w:val="20"/>
        </w:rPr>
      </w:pPr>
      <w:r w:rsidRPr="00A067C5">
        <w:rPr>
          <w:rFonts w:ascii="Arial" w:hAnsi="Arial" w:cs="Arial"/>
          <w:sz w:val="20"/>
          <w:szCs w:val="20"/>
        </w:rPr>
        <w:t>Comme décidé par l’Assemblée de l’Union de Lisbonne en 2015, la première session du Groupe de travail chargé d’élaborer un règlement d’exécution commun à l’Arrangement de Lisbonne et à l’Acte de Genève de l’Arrangement de Lisbonne s’est tenue en juin 2016.  Outre l’examen du projet de règlement d’exécution, le groupe de travail a également examiné la situation financière de l’Union de Lisbonne sur l’exercice biennal et sa viabilité financière sur le long terme.  Le Service d’enregistrement de Lisbonne a reçu 25 nouvelles demandes d’enregistrement d’appellations d’origine, huit déclarations d’octroi de la protection et 54 déclarations de refus, pour un total de 89 transactions.  Le nombre total d’enregistrements en vigueur a augmenté, passant de 931 en 2015 à 1020 en 2016.  Sur ces enregistrements, 95 provenaient de pays en développement ou de PMA (14 de la région arabe, 38 de la région Asie et Pacifique et 34 de la région Amérique latine et Caraïbes).</w:t>
      </w:r>
    </w:p>
    <w:p w14:paraId="00CD5AD4" w14:textId="77777777" w:rsidR="00A067C5" w:rsidRPr="00A067C5" w:rsidRDefault="00A067C5" w:rsidP="00A067C5">
      <w:pPr>
        <w:pStyle w:val="ListParagraph"/>
        <w:numPr>
          <w:ilvl w:val="0"/>
          <w:numId w:val="86"/>
        </w:numPr>
        <w:spacing w:after="120"/>
        <w:contextualSpacing w:val="0"/>
        <w:jc w:val="both"/>
        <w:rPr>
          <w:rFonts w:ascii="Arial" w:hAnsi="Arial" w:cs="Arial"/>
          <w:sz w:val="20"/>
          <w:szCs w:val="20"/>
        </w:rPr>
      </w:pPr>
      <w:r w:rsidRPr="00A067C5">
        <w:rPr>
          <w:rFonts w:ascii="Arial" w:hAnsi="Arial" w:cs="Arial"/>
          <w:sz w:val="20"/>
          <w:szCs w:val="20"/>
        </w:rPr>
        <w:t>Le Bureau international a perçu environ 390 000 francs suisses des membres de l’Union de Lisbonne sous forme de subventions au titre de l’article 11.3)iii) de l’Arrangement de Lisbonne, dans le cadre des mesures décidées par l’Assemblée de l’Union de Lisbonne en 2016 pour combler le déficit biennal prévu de l’Union de Lisbonne.</w:t>
      </w:r>
    </w:p>
    <w:p w14:paraId="61221582" w14:textId="77777777" w:rsidR="00A067C5" w:rsidRPr="00A067C5" w:rsidRDefault="00A067C5" w:rsidP="00A067C5">
      <w:pPr>
        <w:pStyle w:val="ListParagraph"/>
        <w:numPr>
          <w:ilvl w:val="0"/>
          <w:numId w:val="86"/>
        </w:numPr>
        <w:tabs>
          <w:tab w:val="left" w:pos="709"/>
        </w:tabs>
        <w:spacing w:after="120"/>
        <w:contextualSpacing w:val="0"/>
        <w:jc w:val="both"/>
        <w:rPr>
          <w:rFonts w:ascii="Arial" w:hAnsi="Arial" w:cs="Arial"/>
          <w:sz w:val="20"/>
          <w:szCs w:val="20"/>
        </w:rPr>
      </w:pPr>
      <w:r w:rsidRPr="00A067C5">
        <w:rPr>
          <w:rFonts w:ascii="Arial" w:hAnsi="Arial" w:cs="Arial"/>
          <w:sz w:val="20"/>
          <w:szCs w:val="20"/>
        </w:rPr>
        <w:t>Le Centre d’arbitrage et de médiation de l’OMPI a poursuivi ses travaux visant à optimiser le potentiel de ses procédures afin de mieux répondre aux besoins des utilisateurs et des titulaires de droits de propriété intellectuelle.  En 2016, les titulaires de marques ont déposé un chiffre record de 3036 plaintes auprès de l’OMPI en vertu des Principes directeurs concernant le règlement uniforme des litiges relatifs aux noms de domaine, soit une augmentation de 10% par rapport à l’année précédente.  Les litiges administrés par l’OMPI en vertu des principes UDRP ont impliqué des parties issues de 109 pays et les procédures ont été conduites dans 15 langues différentes.  Avec plus de 1200 nouveaux domaines génériques de premier niveau (</w:t>
      </w:r>
      <w:proofErr w:type="spellStart"/>
      <w:r w:rsidRPr="00A067C5">
        <w:rPr>
          <w:rFonts w:ascii="Arial" w:hAnsi="Arial" w:cs="Arial"/>
          <w:sz w:val="20"/>
          <w:szCs w:val="20"/>
        </w:rPr>
        <w:t>gTLD</w:t>
      </w:r>
      <w:proofErr w:type="spellEnd"/>
      <w:r w:rsidRPr="00A067C5">
        <w:rPr>
          <w:rFonts w:ascii="Arial" w:hAnsi="Arial" w:cs="Arial"/>
          <w:sz w:val="20"/>
          <w:szCs w:val="20"/>
        </w:rPr>
        <w:t xml:space="preserve">) désormais opérationnels, 16% des dossiers traités par l’OMPI concernaient des enregistrements dans de nouveaux </w:t>
      </w:r>
      <w:proofErr w:type="spellStart"/>
      <w:r w:rsidRPr="00A067C5">
        <w:rPr>
          <w:rFonts w:ascii="Arial" w:hAnsi="Arial" w:cs="Arial"/>
          <w:sz w:val="20"/>
          <w:szCs w:val="20"/>
        </w:rPr>
        <w:t>gTLD</w:t>
      </w:r>
      <w:proofErr w:type="spellEnd"/>
      <w:r w:rsidRPr="00A067C5">
        <w:rPr>
          <w:rFonts w:ascii="Arial" w:hAnsi="Arial" w:cs="Arial"/>
          <w:sz w:val="20"/>
          <w:szCs w:val="20"/>
        </w:rPr>
        <w:t>.  Depuis que le Centre d’arbitrage et de médiation de l’OMPI a administré le premier litige en vertu des principes UDRP en 1999, plus de 36 000 plaintes ont été déposées auprès de l’OMPI, concernant plus de 66 000 noms de domaine.</w:t>
      </w:r>
    </w:p>
    <w:p w14:paraId="73A019A8" w14:textId="77777777" w:rsidR="00A067C5" w:rsidRPr="00A067C5" w:rsidRDefault="00A067C5" w:rsidP="00A067C5">
      <w:pPr>
        <w:pStyle w:val="ListParagraph"/>
        <w:numPr>
          <w:ilvl w:val="0"/>
          <w:numId w:val="86"/>
        </w:numPr>
        <w:tabs>
          <w:tab w:val="left" w:pos="709"/>
        </w:tabs>
        <w:spacing w:after="120"/>
        <w:contextualSpacing w:val="0"/>
        <w:jc w:val="both"/>
        <w:rPr>
          <w:rFonts w:ascii="Arial" w:hAnsi="Arial" w:cs="Arial"/>
          <w:sz w:val="20"/>
          <w:szCs w:val="20"/>
        </w:rPr>
      </w:pPr>
      <w:r w:rsidRPr="00A067C5">
        <w:rPr>
          <w:rFonts w:ascii="Arial" w:hAnsi="Arial" w:cs="Arial"/>
          <w:sz w:val="20"/>
          <w:szCs w:val="20"/>
        </w:rPr>
        <w:t>Le Centre a été saisi de 60 demandes d’arbitrage et de médiation.  La majorité des litiges portait sur des brevets (34%).  Venaient ensuite les TIC (20,5%), le droit d’auteur (13,6%) et les marques (13,6%), puis les accords de distribution et de franchisage, les dessins et modèles industriels et enfin le patrimoine artistique et culturel.</w:t>
      </w:r>
    </w:p>
    <w:p w14:paraId="600529E1" w14:textId="77777777" w:rsidR="00A067C5" w:rsidRPr="00A067C5" w:rsidRDefault="00A067C5" w:rsidP="00A067C5">
      <w:pPr>
        <w:pStyle w:val="ListParagraph"/>
        <w:numPr>
          <w:ilvl w:val="0"/>
          <w:numId w:val="86"/>
        </w:numPr>
        <w:tabs>
          <w:tab w:val="left" w:pos="709"/>
        </w:tabs>
        <w:spacing w:after="120"/>
        <w:contextualSpacing w:val="0"/>
        <w:jc w:val="both"/>
        <w:rPr>
          <w:rFonts w:ascii="Arial" w:hAnsi="Arial" w:cs="Arial"/>
          <w:sz w:val="20"/>
          <w:szCs w:val="20"/>
        </w:rPr>
      </w:pPr>
      <w:r w:rsidRPr="00A067C5">
        <w:rPr>
          <w:rFonts w:ascii="Arial" w:hAnsi="Arial" w:cs="Arial"/>
          <w:sz w:val="20"/>
          <w:szCs w:val="20"/>
        </w:rPr>
        <w:t xml:space="preserve">Dans une enquête organisée par la faculté d’arbitrage international de l’Université </w:t>
      </w:r>
      <w:proofErr w:type="spellStart"/>
      <w:r w:rsidRPr="00A067C5">
        <w:rPr>
          <w:rFonts w:ascii="Arial" w:hAnsi="Arial" w:cs="Arial"/>
          <w:sz w:val="20"/>
          <w:szCs w:val="20"/>
        </w:rPr>
        <w:t>Queen</w:t>
      </w:r>
      <w:proofErr w:type="spellEnd"/>
      <w:r w:rsidRPr="00A067C5">
        <w:rPr>
          <w:rFonts w:ascii="Arial" w:hAnsi="Arial" w:cs="Arial"/>
          <w:sz w:val="20"/>
          <w:szCs w:val="20"/>
        </w:rPr>
        <w:t xml:space="preserve"> Mary de Londres concernant le recours à l’arbitrage dans les litiges dans le domaine des technologies, des médias et des télécommunications, les personnes interrogées ayant une expérience dans le domaine des litiges relatifs à la propriété intellectuelle ont classé le Centre à la deuxième place du classement des institutions les plus utilisées, juste derrière la Cour d’arbitrage de la CCI.  Lorsque </w:t>
      </w:r>
      <w:r w:rsidRPr="00A067C5">
        <w:rPr>
          <w:rFonts w:ascii="Arial" w:hAnsi="Arial" w:cs="Arial"/>
          <w:sz w:val="20"/>
          <w:szCs w:val="20"/>
        </w:rPr>
        <w:lastRenderedPageBreak/>
        <w:t>les personnes interrogées devaient indiquer leur préférence pour une institution dans ces domaines, le Centre arrivait à la première place</w:t>
      </w:r>
      <w:r w:rsidRPr="00A067C5">
        <w:rPr>
          <w:rStyle w:val="FootnoteReference"/>
          <w:rFonts w:eastAsiaTheme="minorEastAsia" w:cs="Arial"/>
          <w:sz w:val="20"/>
        </w:rPr>
        <w:footnoteReference w:id="3"/>
      </w:r>
      <w:r w:rsidRPr="00A067C5">
        <w:rPr>
          <w:rFonts w:ascii="Arial" w:hAnsi="Arial" w:cs="Arial"/>
          <w:sz w:val="20"/>
          <w:szCs w:val="20"/>
        </w:rPr>
        <w:t>.</w:t>
      </w:r>
    </w:p>
    <w:p w14:paraId="41249380" w14:textId="77777777" w:rsidR="00A067C5" w:rsidRPr="001303B4" w:rsidRDefault="00A067C5" w:rsidP="00A067C5">
      <w:pPr>
        <w:spacing w:after="200"/>
        <w:rPr>
          <w:b/>
          <w:iCs/>
          <w:sz w:val="20"/>
        </w:rPr>
      </w:pPr>
    </w:p>
    <w:p w14:paraId="333B6B85" w14:textId="77777777" w:rsidR="00A067C5" w:rsidRPr="00340492" w:rsidRDefault="00A067C5" w:rsidP="00A067C5">
      <w:pPr>
        <w:jc w:val="center"/>
        <w:rPr>
          <w:b/>
          <w:iCs/>
          <w:szCs w:val="22"/>
        </w:rPr>
      </w:pPr>
      <w:r w:rsidRPr="00340492">
        <w:rPr>
          <w:b/>
          <w:iCs/>
          <w:szCs w:val="22"/>
        </w:rPr>
        <w:t>Objectif stratégique III : Favoriser l’utilisation de la propriété intellectuelle au service du développement</w:t>
      </w:r>
    </w:p>
    <w:p w14:paraId="099894E0" w14:textId="77777777" w:rsidR="00A067C5" w:rsidRPr="00A067C5" w:rsidRDefault="00A067C5" w:rsidP="00A067C5">
      <w:pPr>
        <w:spacing w:after="120"/>
        <w:ind w:left="720"/>
        <w:jc w:val="center"/>
        <w:rPr>
          <w:sz w:val="20"/>
        </w:rPr>
      </w:pPr>
      <w:r w:rsidRPr="00A067C5">
        <w:rPr>
          <w:noProof/>
          <w:sz w:val="20"/>
          <w:lang w:val="en-US"/>
        </w:rPr>
        <w:drawing>
          <wp:inline distT="0" distB="0" distL="0" distR="0" wp14:anchorId="65C21DA3" wp14:editId="1F2D0E2B">
            <wp:extent cx="3686476" cy="2310063"/>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380"/>
                    <a:stretch/>
                  </pic:blipFill>
                  <pic:spPr bwMode="auto">
                    <a:xfrm>
                      <a:off x="0" y="0"/>
                      <a:ext cx="3693600" cy="2314527"/>
                    </a:xfrm>
                    <a:prstGeom prst="rect">
                      <a:avLst/>
                    </a:prstGeom>
                    <a:noFill/>
                    <a:ln>
                      <a:noFill/>
                    </a:ln>
                    <a:extLst>
                      <a:ext uri="{53640926-AAD7-44D8-BBD7-CCE9431645EC}">
                        <a14:shadowObscured xmlns:a14="http://schemas.microsoft.com/office/drawing/2010/main"/>
                      </a:ext>
                    </a:extLst>
                  </pic:spPr>
                </pic:pic>
              </a:graphicData>
            </a:graphic>
          </wp:inline>
        </w:drawing>
      </w:r>
    </w:p>
    <w:p w14:paraId="75D365F5" w14:textId="77777777" w:rsidR="00A067C5" w:rsidRPr="00A067C5" w:rsidRDefault="00A067C5" w:rsidP="00A067C5">
      <w:pPr>
        <w:numPr>
          <w:ilvl w:val="0"/>
          <w:numId w:val="87"/>
        </w:numPr>
        <w:spacing w:after="120"/>
        <w:ind w:left="0" w:firstLine="0"/>
        <w:jc w:val="both"/>
        <w:rPr>
          <w:sz w:val="20"/>
        </w:rPr>
      </w:pPr>
      <w:r w:rsidRPr="00A067C5">
        <w:rPr>
          <w:sz w:val="20"/>
        </w:rPr>
        <w:t>Favoriser l’utilisation de la propriété intellectuelle au service du développement et donner aux pays en développement, aux PMA et aux pays en transition les moyens de maîtriser la propriété intellectuelle pour renforcer leur potentiel et leurs capacités en matière d’innovation est resté une priorité en 2016.</w:t>
      </w:r>
    </w:p>
    <w:p w14:paraId="49FB4DE8"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L’OMPI a continué d’apporter son assistance aux pays en développement et aux PMA pour la conception, l’élaboration et la mise en œuvre de stratégies nationales de propriété intellectuelle qui soient à la fois cohérentes avec leurs plans de développement généraux et capables de stimuler l’innovation et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des utilisateurs aux niveaux national, sous régional et régional en 2012, ont continué de guider la procédure.  De ce fait, 11 pays supplémentaires (trois en Afrique, deux dans la région arabe, deux dans la région Asie et Pacifique et quatre dans la région Amérique latine et Caraïbes) ont lancé la procédure visant à formuler des plans et stratégies de propriété intellectuelle à l’échelle nationale.  Fin 2016, des plans et stratégies de propriété intellectuelle à l’échelle nationale avaient été adoptés dans 42 pays (25 en Afrique, deux dans la région arabe, sept dans la région Asie et Pacifique et huit dans la région Amérique latine et Caraïbes) et étaient en cours de mise en œuvre dans 43 pays au total (27 en Afrique, deux dans la région arabe, neuf dans la région Asie et Pacifique et cinq dans la région Amérique latine et Caraïbes), 20 d’entre eux étant des PMA.</w:t>
      </w:r>
    </w:p>
    <w:p w14:paraId="48E89852"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La promotion de l’importance des stratégies nationales de propriété intellectuelle est également restée une priorité pour les pays en transition en 2016.  Un pays a adopté une stratégie nationale en matière de propriété intellectuelle, trois autres pays ont commencé à en élaborer une ou à reformuler leur stratégie en matière de propriété intellectuelle et deux pays étaient en train d’élaborer la version finale de leur stratégie en matière de propriété intellectuelle à la fin de 2016.</w:t>
      </w:r>
    </w:p>
    <w:p w14:paraId="1E284FDE"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Conformément à leurs plans de coopération et stratégies nationales en la matière, à l’issue notamment d’activités de sensibilisation menées dans le cadre de l’assistance fournie par l’OMPI, les sept pays suivants ont modifié leur législation nationale relative à la propriété intellectuelle en 2016 : Albanie, Fédération de Russie, Kazakhstan, Lettonie, Monténégro et République de Moldova.</w:t>
      </w:r>
    </w:p>
    <w:p w14:paraId="0B8CB578" w14:textId="77777777" w:rsidR="00A067C5" w:rsidRPr="00A067C5" w:rsidRDefault="00A067C5" w:rsidP="00A067C5">
      <w:pPr>
        <w:pStyle w:val="ListParagraph"/>
        <w:numPr>
          <w:ilvl w:val="0"/>
          <w:numId w:val="86"/>
        </w:numPr>
        <w:spacing w:after="240"/>
        <w:ind w:left="357" w:hanging="357"/>
        <w:contextualSpacing w:val="0"/>
        <w:jc w:val="both"/>
        <w:rPr>
          <w:rFonts w:ascii="Arial" w:hAnsi="Arial" w:cs="Arial"/>
          <w:sz w:val="20"/>
          <w:szCs w:val="20"/>
        </w:rPr>
      </w:pPr>
      <w:r w:rsidRPr="00A067C5">
        <w:rPr>
          <w:rFonts w:ascii="Arial" w:hAnsi="Arial" w:cs="Arial"/>
          <w:sz w:val="20"/>
          <w:szCs w:val="20"/>
        </w:rPr>
        <w:t xml:space="preserve">En ce qui concerne le programme de formation des cadres, quelque 20 formations ont été proposées en collaboration avec 23 institutions partenaires.  Sur les 301 hauts fonctionnaires nationaux ayant bénéficié de ce programme, 51% étaient des femmes.  Le programme </w:t>
      </w:r>
      <w:r w:rsidRPr="00A067C5">
        <w:rPr>
          <w:rFonts w:ascii="Arial" w:hAnsi="Arial" w:cs="Arial"/>
          <w:sz w:val="20"/>
          <w:szCs w:val="20"/>
        </w:rPr>
        <w:lastRenderedPageBreak/>
        <w:t>d’enseignement à distance a continué d’attirer des participants d’un grand nombre de parties prenantes.  En 2016, quelque 54 596 participants (44 423 pour les cours généraux et 10 173 pour les cours avancés), soit 25% de plus qu’en 2015, ont bénéficié de la plateforme d’enseignement en ligne améliorée (</w:t>
      </w:r>
      <w:proofErr w:type="spellStart"/>
      <w:r w:rsidRPr="00A067C5">
        <w:rPr>
          <w:rFonts w:ascii="Arial" w:hAnsi="Arial" w:cs="Arial"/>
          <w:sz w:val="20"/>
          <w:szCs w:val="20"/>
        </w:rPr>
        <w:t>WeLC</w:t>
      </w:r>
      <w:proofErr w:type="spellEnd"/>
      <w:r w:rsidRPr="00A067C5">
        <w:rPr>
          <w:rFonts w:ascii="Arial" w:hAnsi="Arial" w:cs="Arial"/>
          <w:sz w:val="20"/>
          <w:szCs w:val="20"/>
        </w:rPr>
        <w:t>).  À noter en particulier qu’un cours général de propriété intellectuelle (DL-101) pour les personnes ayant des difficultés de lecture des textes imprimés, proposé dans sept langues, a été inauguré en 2016.  Ce cours a été inauguré dans le cadre de la Journée mondiale de la propriété intellectuelle en 2016.  Depuis son lancement, plus de 500 participants du monde entier ont suivi ce cours.</w:t>
      </w:r>
    </w:p>
    <w:tbl>
      <w:tblPr>
        <w:tblStyle w:val="TableGrid"/>
        <w:tblW w:w="0" w:type="auto"/>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3"/>
        <w:gridCol w:w="4093"/>
      </w:tblGrid>
      <w:tr w:rsidR="00A067C5" w:rsidRPr="00A067C5" w14:paraId="5321FE2E" w14:textId="77777777" w:rsidTr="006A627E">
        <w:trPr>
          <w:trHeight w:val="3349"/>
          <w:jc w:val="center"/>
        </w:trPr>
        <w:tc>
          <w:tcPr>
            <w:tcW w:w="4096" w:type="dxa"/>
          </w:tcPr>
          <w:p w14:paraId="301A6A73" w14:textId="77777777" w:rsidR="00A067C5" w:rsidRPr="00A067C5" w:rsidRDefault="00A067C5" w:rsidP="006A627E">
            <w:pPr>
              <w:pStyle w:val="ListParagraph"/>
              <w:keepNext/>
              <w:ind w:left="0"/>
              <w:jc w:val="center"/>
              <w:rPr>
                <w:rFonts w:ascii="Arial" w:hAnsi="Arial" w:cs="Arial"/>
                <w:sz w:val="20"/>
                <w:szCs w:val="20"/>
              </w:rPr>
            </w:pPr>
            <w:r w:rsidRPr="00A067C5">
              <w:rPr>
                <w:rFonts w:ascii="Arial" w:hAnsi="Arial" w:cs="Arial"/>
                <w:i/>
                <w:sz w:val="20"/>
                <w:szCs w:val="20"/>
              </w:rPr>
              <w:t>Répartition par sexe des participants au programme de perfectionnement des cadres en 2016</w:t>
            </w:r>
          </w:p>
          <w:p w14:paraId="00729DEA" w14:textId="77777777" w:rsidR="00A067C5" w:rsidRPr="00A067C5" w:rsidRDefault="00A067C5" w:rsidP="006A627E">
            <w:pPr>
              <w:pStyle w:val="Caption"/>
              <w:jc w:val="center"/>
              <w:rPr>
                <w:sz w:val="20"/>
                <w:highlight w:val="yellow"/>
              </w:rPr>
            </w:pPr>
            <w:r w:rsidRPr="00A067C5">
              <w:rPr>
                <w:noProof/>
                <w:sz w:val="20"/>
                <w:lang w:val="en-US"/>
              </w:rPr>
              <w:drawing>
                <wp:inline distT="0" distB="0" distL="0" distR="0" wp14:anchorId="5C2E4A21" wp14:editId="76DEC4C1">
                  <wp:extent cx="2692800" cy="233335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800" cy="2333359"/>
                          </a:xfrm>
                          <a:prstGeom prst="rect">
                            <a:avLst/>
                          </a:prstGeom>
                          <a:noFill/>
                          <a:ln>
                            <a:noFill/>
                          </a:ln>
                        </pic:spPr>
                      </pic:pic>
                    </a:graphicData>
                  </a:graphic>
                </wp:inline>
              </w:drawing>
            </w:r>
          </w:p>
        </w:tc>
        <w:tc>
          <w:tcPr>
            <w:tcW w:w="4090" w:type="dxa"/>
          </w:tcPr>
          <w:p w14:paraId="4820CF35" w14:textId="77777777" w:rsidR="00A067C5" w:rsidRPr="00A067C5" w:rsidRDefault="00A067C5" w:rsidP="006A627E">
            <w:pPr>
              <w:pStyle w:val="Caption"/>
              <w:keepNext/>
              <w:jc w:val="center"/>
              <w:rPr>
                <w:b w:val="0"/>
                <w:i/>
                <w:sz w:val="20"/>
              </w:rPr>
            </w:pPr>
            <w:r w:rsidRPr="00A067C5">
              <w:rPr>
                <w:b w:val="0"/>
                <w:i/>
                <w:sz w:val="20"/>
              </w:rPr>
              <w:t>Répartition par sexe des participants aux cours DL en 2016</w:t>
            </w:r>
          </w:p>
          <w:p w14:paraId="2DB9FCBF" w14:textId="77777777" w:rsidR="00A067C5" w:rsidRPr="00A067C5" w:rsidRDefault="00A067C5" w:rsidP="006A627E">
            <w:pPr>
              <w:pStyle w:val="ListParagraph"/>
              <w:ind w:left="0"/>
              <w:jc w:val="both"/>
              <w:rPr>
                <w:rFonts w:ascii="Arial" w:hAnsi="Arial" w:cs="Arial"/>
                <w:sz w:val="20"/>
                <w:szCs w:val="20"/>
                <w:highlight w:val="yellow"/>
              </w:rPr>
            </w:pPr>
            <w:r w:rsidRPr="00A067C5">
              <w:rPr>
                <w:rFonts w:ascii="Arial" w:hAnsi="Arial" w:cs="Arial"/>
                <w:noProof/>
                <w:sz w:val="20"/>
                <w:szCs w:val="20"/>
                <w:lang w:val="en-US" w:eastAsia="en-US"/>
              </w:rPr>
              <w:drawing>
                <wp:inline distT="0" distB="0" distL="0" distR="0" wp14:anchorId="5B2F081D" wp14:editId="36571EDF">
                  <wp:extent cx="2692800" cy="233335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800" cy="2333359"/>
                          </a:xfrm>
                          <a:prstGeom prst="rect">
                            <a:avLst/>
                          </a:prstGeom>
                          <a:noFill/>
                          <a:ln>
                            <a:noFill/>
                          </a:ln>
                        </pic:spPr>
                      </pic:pic>
                    </a:graphicData>
                  </a:graphic>
                </wp:inline>
              </w:drawing>
            </w:r>
          </w:p>
        </w:tc>
      </w:tr>
    </w:tbl>
    <w:p w14:paraId="5A211FE6"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En 2016, le projet du Plan d’action pour le développement relatif à la coopération avec les instituts de formation judiciaire des pays en développement et des pays les moins avancés dans le domaine de l’enseignement et de la formation professionnelle en matière de droits de propriété intellectuelle a été mis en œuvre dans les quatre pays pilotes (Costa Rica, Liban, Népal et Nigéria), représentant différentes régions, y compris des PMA, avec des traditions et des horizons judiciaires différents.  L’objectif de ce projet est de fournir une assistance technique et professionnelle aux instituts de formation judiciaire afin de renforcer les capacités et les compétences notamment des magistrats, des juges et des procureurs et de leur permettre de statuer efficacement sur les litiges relatifs aux droits de propriété intellectuelle de façon à garantir la cohérence avec les besoins et les priorités de développement du pays.</w:t>
      </w:r>
    </w:p>
    <w:p w14:paraId="43D197B1"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Renforcer les capacités en matière de ressources humaines pour pouvoir répondre aux nombreuses exigences en ce qui concerne l’utilisation efficace de la propriété intellectuelle au service du développement et promouvoir l’innovation et la créativité est resté une priorité en 2016.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sous régionale et régionale.  Quelque 17 programmes sur la gestion efficace des actifs de propriété intellectuelle par les PME, y compris un séminaire régional sur la propriété intellectuelle pour les PME organisé par le Bureau de l’OMPI à Singapour et un atelier international à destination des femmes inventeurs et entrepreneurs organisé par l’OMPI, l’Office coréen de la propriété intellectuelle (KIPO) et l’Association des femmes inventeurs de Corée (KWIA), ayant attiré plus d’un millier de participants provenant de 125 pays, ont été organisés avec pour objectif premier de constituer dans un pays déterminé un réseau national suffisant de formateurs ayant les savoirs, les compétences et l’expérience nécessaires pour fournir une assistance initiale aux PME en matière de gestion des actifs de propriété intellectuelle.</w:t>
      </w:r>
    </w:p>
    <w:p w14:paraId="5AB532AC"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 xml:space="preserve">L’OMPI a continué de renforcer sa coopération avec les PMA en vue d’élaborer un cadre pour les politiques nationales en matière d’innovation;  d’évaluer les besoins en compétences techniques;  de faciliter l’accès aux plateformes mondiales d’information scientifique et technologique;  de mettre en place une infrastructure d’appui à l’innovation;  et de favoriser l’inventaire et le renforcement des capacités en ce qui concerne les savoirs traditionnels.  Des progrès notables ont été accomplis en 2016 dans trois PMA (Éthiopie, République-Unie de Tanzanie et Rwanda) </w:t>
      </w:r>
      <w:r w:rsidRPr="00A067C5">
        <w:rPr>
          <w:rFonts w:ascii="Arial" w:hAnsi="Arial" w:cs="Arial"/>
          <w:sz w:val="20"/>
          <w:szCs w:val="20"/>
        </w:rPr>
        <w:lastRenderedPageBreak/>
        <w:t>dans le cadre de la phase II du projet du Plan d’action pour le développement relatif au renforcement des capacités d’utilisation de l’information technique et scientifique axée sur les technologies appropriées pour répondre à certains enjeux de développement.  Dans les pays bénéficiaires de la phase I du projet, à la fin de 2016, trois technologies appropriées avaient été commercialisées</w:t>
      </w:r>
      <w:r w:rsidRPr="00A067C5">
        <w:rPr>
          <w:rStyle w:val="FootnoteReference"/>
          <w:rFonts w:eastAsiaTheme="minorEastAsia" w:cs="Arial"/>
          <w:sz w:val="20"/>
        </w:rPr>
        <w:footnoteReference w:id="4"/>
      </w:r>
      <w:r w:rsidRPr="00A067C5">
        <w:rPr>
          <w:rFonts w:ascii="Arial" w:hAnsi="Arial" w:cs="Arial"/>
          <w:sz w:val="20"/>
          <w:szCs w:val="20"/>
        </w:rPr>
        <w:t xml:space="preserve"> dans des PMA (une au Népal et deux en Zambie) et trois technologies appropriées étaient en train d’être examinées à l’échelle gouvernementale en vue de leur commercialisation.</w:t>
      </w:r>
    </w:p>
    <w:p w14:paraId="7465D45C" w14:textId="77777777" w:rsidR="00A067C5" w:rsidRPr="00A067C5" w:rsidRDefault="00A067C5" w:rsidP="00A067C5">
      <w:pPr>
        <w:pStyle w:val="ListParagraph"/>
        <w:numPr>
          <w:ilvl w:val="0"/>
          <w:numId w:val="86"/>
        </w:numPr>
        <w:spacing w:after="120"/>
        <w:contextualSpacing w:val="0"/>
        <w:jc w:val="both"/>
        <w:rPr>
          <w:rFonts w:ascii="Arial" w:hAnsi="Arial" w:cs="Arial"/>
          <w:sz w:val="20"/>
          <w:szCs w:val="20"/>
        </w:rPr>
      </w:pPr>
      <w:r w:rsidRPr="00A067C5">
        <w:rPr>
          <w:rFonts w:ascii="Arial" w:hAnsi="Arial" w:cs="Arial"/>
          <w:sz w:val="20"/>
          <w:szCs w:val="20"/>
        </w:rPr>
        <w:t>À la fin de 2016, le projet intitulé “Propriété intellectuelle, tourisme et culture : contribution aux objectifs de développement et promotion du patrimoine culturel en Égypte et dans d’autres pays en développement”, visant à analyser, faciliter et promouvoir la connaissance du rôle du système de la propriété intellectuelle dans l’activité touristique, notamment en matière de promotion, par la propriété intellectuelle, des savoirs, des traditions et de la culture à l’échelle nationale ou locale, avait été lancé dans les quatre pays pilotes (Égypte, Équateur, Namibie et Sri Lanka).</w:t>
      </w:r>
    </w:p>
    <w:p w14:paraId="0190D280" w14:textId="77777777" w:rsidR="00A067C5" w:rsidRPr="00A067C5" w:rsidRDefault="00A067C5" w:rsidP="00A067C5">
      <w:pPr>
        <w:pStyle w:val="ListParagraph"/>
        <w:numPr>
          <w:ilvl w:val="0"/>
          <w:numId w:val="86"/>
        </w:numPr>
        <w:spacing w:after="120"/>
        <w:contextualSpacing w:val="0"/>
        <w:jc w:val="both"/>
        <w:rPr>
          <w:rFonts w:ascii="Arial" w:hAnsi="Arial" w:cs="Arial"/>
          <w:sz w:val="20"/>
          <w:szCs w:val="20"/>
        </w:rPr>
      </w:pPr>
      <w:r w:rsidRPr="00A067C5">
        <w:rPr>
          <w:rFonts w:ascii="Arial" w:hAnsi="Arial" w:cs="Arial"/>
          <w:sz w:val="20"/>
          <w:szCs w:val="20"/>
        </w:rPr>
        <w:t>En 2016, le Comité du développement et de la propriété intellectuelle (CDIP) a examiné plusieurs documents et études, notamment un document intitulé “Cartographie des activités de l’OMPI relatives à la mise en œuvre des objectifs de développement durable” et un document renfermant une compilation des contributions reçues de la part des États membres en ce qui concerne les objectifs de développement durable présentant un intérêt pour les activités de l’OMPI.  Il a décidé que le Secrétariat présenterait un rapport annuel au comité, à sa première session de l’année, contenant des informations sur la contribution de l’OMPI à la mise en œuvre des objectifs de développement durable et les cibles qui leur sont associées.</w:t>
      </w:r>
    </w:p>
    <w:p w14:paraId="2BE81C64"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À sa dix-huitième session, le CDIP a examiné le rapport sur l’étude indépendante de la mise en œuvre des recommandations du Plan d’action pour le développement</w:t>
      </w:r>
      <w:r w:rsidRPr="00A067C5">
        <w:rPr>
          <w:rFonts w:ascii="Arial" w:eastAsia="SimSun" w:hAnsi="Arial" w:cs="Arial"/>
          <w:color w:val="000000"/>
          <w:sz w:val="20"/>
          <w:szCs w:val="20"/>
          <w:vertAlign w:val="superscript"/>
          <w:lang w:eastAsia="zh-CN"/>
        </w:rPr>
        <w:footnoteReference w:id="5"/>
      </w:r>
      <w:r w:rsidRPr="00A067C5">
        <w:rPr>
          <w:rFonts w:ascii="Arial" w:eastAsia="SimSun" w:hAnsi="Arial" w:cs="Arial"/>
          <w:color w:val="000000"/>
          <w:sz w:val="20"/>
          <w:szCs w:val="20"/>
          <w:lang w:eastAsia="zh-CN"/>
        </w:rPr>
        <w:t xml:space="preserve"> et a pris note de son contenu.  Il a demandé au Secrétariat d’établir un document contenant sa réponse aux recommandations qui lui avaient été adressées, en tenant compte des contributions des États membres.</w:t>
      </w:r>
    </w:p>
    <w:p w14:paraId="02960266" w14:textId="77777777" w:rsidR="00A067C5" w:rsidRPr="00A067C5" w:rsidRDefault="00A067C5" w:rsidP="00A067C5">
      <w:pPr>
        <w:pStyle w:val="ListParagraph"/>
        <w:numPr>
          <w:ilvl w:val="0"/>
          <w:numId w:val="86"/>
        </w:numPr>
        <w:spacing w:after="120"/>
        <w:ind w:left="357" w:hanging="357"/>
        <w:contextualSpacing w:val="0"/>
        <w:jc w:val="both"/>
        <w:rPr>
          <w:rFonts w:ascii="Arial" w:hAnsi="Arial" w:cs="Arial"/>
          <w:sz w:val="20"/>
          <w:szCs w:val="20"/>
        </w:rPr>
      </w:pPr>
      <w:r w:rsidRPr="00A067C5">
        <w:rPr>
          <w:rFonts w:ascii="Arial" w:hAnsi="Arial" w:cs="Arial"/>
          <w:sz w:val="20"/>
          <w:szCs w:val="20"/>
        </w:rPr>
        <w:t>Enfin, le comité a également approuvé la seconde phase d’un projet achevé et évalué et de deux nouveaux projets sur l’utilisation de l’information figurant dans le domaine public aux fins du développement et sur la coopération avec les instituts de formation judiciaire des pays en développement et des pays les moins avancés dans le domaine de l’enseignement et de la formation professionnelle en matière de droits de propriété intellectuelle.</w:t>
      </w:r>
    </w:p>
    <w:p w14:paraId="4FE6A868" w14:textId="77777777" w:rsidR="00A067C5" w:rsidRPr="00A067C5" w:rsidRDefault="00A067C5" w:rsidP="00A067C5">
      <w:pPr>
        <w:spacing w:after="200"/>
        <w:jc w:val="both"/>
        <w:rPr>
          <w:sz w:val="20"/>
        </w:rPr>
      </w:pPr>
    </w:p>
    <w:p w14:paraId="5ED77975" w14:textId="77777777" w:rsidR="00A067C5" w:rsidRPr="00340492" w:rsidRDefault="00A067C5" w:rsidP="00A067C5">
      <w:pPr>
        <w:jc w:val="center"/>
        <w:rPr>
          <w:b/>
          <w:iCs/>
          <w:szCs w:val="22"/>
        </w:rPr>
      </w:pPr>
      <w:r w:rsidRPr="00340492">
        <w:rPr>
          <w:b/>
          <w:iCs/>
          <w:szCs w:val="22"/>
        </w:rPr>
        <w:t>Objectif stratégique IV : Coordination et développement de l’infrastructure mondiale en matière de propriété intellectuelle</w:t>
      </w:r>
    </w:p>
    <w:p w14:paraId="0B5B643C" w14:textId="77777777" w:rsidR="00A067C5" w:rsidRPr="001303B4" w:rsidRDefault="00A067C5" w:rsidP="00A067C5">
      <w:pPr>
        <w:jc w:val="center"/>
        <w:rPr>
          <w:sz w:val="20"/>
        </w:rPr>
      </w:pPr>
      <w:r w:rsidRPr="00A067C5">
        <w:rPr>
          <w:noProof/>
          <w:sz w:val="20"/>
          <w:lang w:val="en-US"/>
        </w:rPr>
        <w:drawing>
          <wp:inline distT="0" distB="0" distL="0" distR="0" wp14:anchorId="47481ECA" wp14:editId="34D1F3B1">
            <wp:extent cx="3693600" cy="2489997"/>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3600" cy="2489997"/>
                    </a:xfrm>
                    <a:prstGeom prst="rect">
                      <a:avLst/>
                    </a:prstGeom>
                    <a:noFill/>
                    <a:ln>
                      <a:noFill/>
                    </a:ln>
                  </pic:spPr>
                </pic:pic>
              </a:graphicData>
            </a:graphic>
          </wp:inline>
        </w:drawing>
      </w:r>
    </w:p>
    <w:p w14:paraId="4C210665" w14:textId="77777777" w:rsidR="00A067C5" w:rsidRPr="00A067C5" w:rsidRDefault="00A067C5" w:rsidP="00A067C5">
      <w:pPr>
        <w:numPr>
          <w:ilvl w:val="0"/>
          <w:numId w:val="87"/>
        </w:numPr>
        <w:spacing w:after="120"/>
        <w:ind w:left="0" w:firstLine="0"/>
        <w:jc w:val="both"/>
        <w:rPr>
          <w:sz w:val="20"/>
        </w:rPr>
      </w:pPr>
      <w:r w:rsidRPr="00A067C5">
        <w:rPr>
          <w:sz w:val="20"/>
        </w:rPr>
        <w:t xml:space="preserve">En 2016, les travaux ont visé à améliorer l’infrastructure mondiale en matière de propriété intellectuelle afin de répondre à la demande mondiale croissante pesant sur le système de propriété </w:t>
      </w:r>
      <w:r w:rsidRPr="00A067C5">
        <w:rPr>
          <w:sz w:val="20"/>
        </w:rPr>
        <w:lastRenderedPageBreak/>
        <w:t>intellectuelle et à favoriser la participation des pays en développement et des pays les moins avancés à ce système.  Ainsi, des progrès majeurs ont été accomplis en ce qui concerne les bases de données mondiales relatives à la propriété intellectuelle, les classifications, la modernisation des bureaux de la propriété intellectuelle, et les centres d’appui à la technologie et à l’innovation (CATI).</w:t>
      </w:r>
    </w:p>
    <w:p w14:paraId="29FF3E2A" w14:textId="77777777" w:rsidR="00A067C5" w:rsidRPr="00A067C5" w:rsidRDefault="00A067C5" w:rsidP="00A067C5">
      <w:pPr>
        <w:pStyle w:val="ListParagraph"/>
        <w:numPr>
          <w:ilvl w:val="0"/>
          <w:numId w:val="90"/>
        </w:numPr>
        <w:spacing w:after="120"/>
        <w:contextualSpacing w:val="0"/>
        <w:jc w:val="both"/>
        <w:rPr>
          <w:rFonts w:ascii="Arial" w:hAnsi="Arial" w:cs="Arial"/>
          <w:sz w:val="20"/>
          <w:szCs w:val="20"/>
        </w:rPr>
      </w:pPr>
      <w:r w:rsidRPr="00A067C5">
        <w:rPr>
          <w:rFonts w:ascii="Arial" w:hAnsi="Arial" w:cs="Arial"/>
          <w:sz w:val="20"/>
          <w:szCs w:val="20"/>
        </w:rPr>
        <w:t>Un nouvel outil de traduction automatique fondé sur l’intelligence artificielle, destiné à la traduction des documents de brevet, a été lancé pour trois paires de langues (anglais-chinois, anglais-japonais et anglais-coréen).  Cet outil permet aux innovateurs du monde entier d’accéder plus facilement aux informations concernant les brevets et les nouvelles technologies.</w:t>
      </w:r>
    </w:p>
    <w:p w14:paraId="40009332" w14:textId="77777777" w:rsidR="00A067C5" w:rsidRPr="00A067C5" w:rsidRDefault="00A067C5" w:rsidP="00A067C5">
      <w:pPr>
        <w:pStyle w:val="ListParagraph"/>
        <w:numPr>
          <w:ilvl w:val="0"/>
          <w:numId w:val="90"/>
        </w:numPr>
        <w:spacing w:after="120"/>
        <w:contextualSpacing w:val="0"/>
        <w:jc w:val="both"/>
        <w:rPr>
          <w:rFonts w:ascii="Arial" w:hAnsi="Arial" w:cs="Arial"/>
          <w:sz w:val="20"/>
          <w:szCs w:val="20"/>
        </w:rPr>
      </w:pPr>
      <w:r w:rsidRPr="00A067C5">
        <w:rPr>
          <w:rFonts w:ascii="Arial" w:hAnsi="Arial" w:cs="Arial"/>
          <w:sz w:val="20"/>
          <w:szCs w:val="20"/>
        </w:rPr>
        <w:t xml:space="preserve">Les bases de données mondiales ont continué de répondre à la forte demande publique, ont conservé une base d’utilisateurs stable et ont enregistré une croissance régulière en termes de portée en 2016.  Par ailleurs, une nouvelle base de données est venue s’ajouter aux bases de données mondiales existantes en 2016 : WIPO </w:t>
      </w:r>
      <w:proofErr w:type="spellStart"/>
      <w:r w:rsidRPr="00A067C5">
        <w:rPr>
          <w:rFonts w:ascii="Arial" w:hAnsi="Arial" w:cs="Arial"/>
          <w:sz w:val="20"/>
          <w:szCs w:val="20"/>
        </w:rPr>
        <w:t>Lex</w:t>
      </w:r>
      <w:proofErr w:type="spellEnd"/>
      <w:r w:rsidRPr="00A067C5">
        <w:rPr>
          <w:rFonts w:ascii="Arial" w:hAnsi="Arial" w:cs="Arial"/>
          <w:sz w:val="20"/>
          <w:szCs w:val="20"/>
        </w:rPr>
        <w:t>.  Cette base de données a fait l’objet d’un examen opérationnel approfondi et d’une refonte complète.  La fonction de recherche dans PATENTSCOPE a été améliorée afin de pouvoir effectuer des recherches spécialisées sur des composés chimiques par dénomination commune internationale (DCI) et par formule chimique.</w:t>
      </w:r>
    </w:p>
    <w:p w14:paraId="711BB902" w14:textId="77777777" w:rsidR="00A067C5" w:rsidRPr="00A067C5" w:rsidRDefault="00A067C5" w:rsidP="00A067C5">
      <w:pPr>
        <w:pStyle w:val="ListParagraph"/>
        <w:numPr>
          <w:ilvl w:val="0"/>
          <w:numId w:val="90"/>
        </w:numPr>
        <w:spacing w:after="120"/>
        <w:contextualSpacing w:val="0"/>
        <w:jc w:val="both"/>
        <w:rPr>
          <w:rFonts w:ascii="Arial" w:hAnsi="Arial" w:cs="Arial"/>
          <w:sz w:val="20"/>
          <w:szCs w:val="20"/>
        </w:rPr>
      </w:pPr>
      <w:r w:rsidRPr="00A067C5">
        <w:rPr>
          <w:rFonts w:ascii="Arial" w:hAnsi="Arial" w:cs="Arial"/>
          <w:sz w:val="20"/>
          <w:szCs w:val="20"/>
        </w:rPr>
        <w:t>L’utilisation de PATENTSCOPE est restée stable avec plus de 245 000 visites par trimestre en 2016.  La Base de données mondiale sur les marques a enregistré une augmentation de 48% du nombre de visites par trimestre, avec plus de 119 000 visites.  À la fin de 2016, soit à la fin de sa deuxième année de fonctionnement, la Base de données mondiale sur les dessins et modèles avait enregistré une hausse de 6% du nombre de dessins et modèles, portant à 1,6 million le nombre de dessins et modèles contenus dans la base de données.  Les graphiques ci-dessous montrent l’augmentation du nombre de données contenues dans PATENTSCOPE et dans la Base de données mondiale sur les marques entre 2014 et 2016 et dans la Base de données mondiale sur les dessins et modèles entre 2015 et 2016.</w:t>
      </w:r>
    </w:p>
    <w:p w14:paraId="4F956561" w14:textId="77777777" w:rsidR="00A067C5" w:rsidRPr="00A067C5" w:rsidRDefault="00A067C5" w:rsidP="00A067C5">
      <w:pPr>
        <w:spacing w:before="240"/>
        <w:jc w:val="center"/>
        <w:rPr>
          <w:sz w:val="20"/>
        </w:rPr>
      </w:pPr>
      <w:r w:rsidRPr="00A067C5">
        <w:rPr>
          <w:sz w:val="20"/>
        </w:rPr>
        <w:t>Entrées PATENTSCOPE 2014</w:t>
      </w:r>
      <w:r w:rsidRPr="00A067C5">
        <w:rPr>
          <w:sz w:val="20"/>
        </w:rPr>
        <w:noBreakHyphen/>
        <w:t>2016</w:t>
      </w:r>
    </w:p>
    <w:p w14:paraId="315F2A68" w14:textId="77777777" w:rsidR="00A067C5" w:rsidRPr="00A067C5" w:rsidRDefault="00A067C5" w:rsidP="00A067C5">
      <w:pPr>
        <w:spacing w:before="240"/>
        <w:jc w:val="center"/>
        <w:rPr>
          <w:sz w:val="20"/>
        </w:rPr>
      </w:pPr>
      <w:r w:rsidRPr="00A067C5">
        <w:rPr>
          <w:noProof/>
          <w:sz w:val="20"/>
          <w:lang w:val="en-US"/>
        </w:rPr>
        <w:drawing>
          <wp:inline distT="0" distB="0" distL="0" distR="0" wp14:anchorId="757E8BA3" wp14:editId="12BFF137">
            <wp:extent cx="4176000" cy="200043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000" cy="2000436"/>
                    </a:xfrm>
                    <a:prstGeom prst="rect">
                      <a:avLst/>
                    </a:prstGeom>
                    <a:noFill/>
                    <a:ln>
                      <a:noFill/>
                    </a:ln>
                  </pic:spPr>
                </pic:pic>
              </a:graphicData>
            </a:graphic>
          </wp:inline>
        </w:drawing>
      </w:r>
    </w:p>
    <w:p w14:paraId="2AEAAE66" w14:textId="77777777" w:rsidR="00A067C5" w:rsidRPr="00A067C5" w:rsidRDefault="00A067C5" w:rsidP="00FE57FA">
      <w:pPr>
        <w:keepNext/>
        <w:keepLines/>
        <w:spacing w:before="240"/>
        <w:jc w:val="center"/>
        <w:rPr>
          <w:sz w:val="20"/>
        </w:rPr>
      </w:pPr>
      <w:r w:rsidRPr="00A067C5">
        <w:rPr>
          <w:sz w:val="20"/>
        </w:rPr>
        <w:lastRenderedPageBreak/>
        <w:t>Base de données mondiale sur les marques 2014 2016</w:t>
      </w:r>
    </w:p>
    <w:p w14:paraId="08315800" w14:textId="77777777" w:rsidR="00A067C5" w:rsidRPr="00A067C5" w:rsidRDefault="00A067C5" w:rsidP="00FE57FA">
      <w:pPr>
        <w:keepNext/>
        <w:keepLines/>
        <w:spacing w:before="240"/>
        <w:jc w:val="center"/>
        <w:rPr>
          <w:sz w:val="20"/>
        </w:rPr>
      </w:pPr>
      <w:r w:rsidRPr="00A067C5">
        <w:rPr>
          <w:noProof/>
          <w:sz w:val="20"/>
          <w:lang w:val="en-US"/>
        </w:rPr>
        <w:drawing>
          <wp:inline distT="0" distB="0" distL="0" distR="0" wp14:anchorId="68958E57" wp14:editId="4C8284C2">
            <wp:extent cx="4176000" cy="2144483"/>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6000" cy="2144483"/>
                    </a:xfrm>
                    <a:prstGeom prst="rect">
                      <a:avLst/>
                    </a:prstGeom>
                    <a:noFill/>
                    <a:ln>
                      <a:noFill/>
                    </a:ln>
                  </pic:spPr>
                </pic:pic>
              </a:graphicData>
            </a:graphic>
          </wp:inline>
        </w:drawing>
      </w:r>
    </w:p>
    <w:p w14:paraId="68099C6A" w14:textId="77777777" w:rsidR="00A067C5" w:rsidRPr="00A067C5" w:rsidRDefault="00A067C5" w:rsidP="00A067C5">
      <w:pPr>
        <w:keepNext/>
        <w:keepLines/>
        <w:spacing w:before="240"/>
        <w:jc w:val="center"/>
        <w:rPr>
          <w:sz w:val="20"/>
        </w:rPr>
      </w:pPr>
      <w:r w:rsidRPr="00A067C5">
        <w:rPr>
          <w:sz w:val="20"/>
        </w:rPr>
        <w:t>Base de données mondiale sur les dessins et modèles 2015 2016</w:t>
      </w:r>
    </w:p>
    <w:p w14:paraId="1FED6CCB" w14:textId="72736EC6" w:rsidR="00FE57FA" w:rsidRDefault="00A067C5" w:rsidP="00FE57FA">
      <w:pPr>
        <w:keepNext/>
        <w:keepLines/>
        <w:spacing w:after="120"/>
        <w:jc w:val="center"/>
        <w:rPr>
          <w:sz w:val="20"/>
        </w:rPr>
      </w:pPr>
      <w:r w:rsidRPr="00A067C5">
        <w:rPr>
          <w:noProof/>
          <w:sz w:val="20"/>
          <w:lang w:val="en-US"/>
        </w:rPr>
        <w:drawing>
          <wp:inline distT="0" distB="0" distL="0" distR="0" wp14:anchorId="462BE88F" wp14:editId="1D8586E0">
            <wp:extent cx="4176000" cy="2508080"/>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6000" cy="2508080"/>
                    </a:xfrm>
                    <a:prstGeom prst="rect">
                      <a:avLst/>
                    </a:prstGeom>
                    <a:noFill/>
                    <a:ln>
                      <a:noFill/>
                    </a:ln>
                  </pic:spPr>
                </pic:pic>
              </a:graphicData>
            </a:graphic>
          </wp:inline>
        </w:drawing>
      </w:r>
    </w:p>
    <w:p w14:paraId="516DA9A0" w14:textId="77777777" w:rsidR="00FE57FA" w:rsidRPr="00C2082C" w:rsidRDefault="00FE57FA" w:rsidP="00FE57FA">
      <w:pPr>
        <w:rPr>
          <w:sz w:val="20"/>
        </w:rPr>
      </w:pPr>
    </w:p>
    <w:p w14:paraId="64EE2830"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S’agissant des classifications internationales et des normes de l’OMPI en matière de propriété intellectuelle, la situation s’est sensiblement améliorée en 2016.  Ainsi, après l’absence d’adoption officielle de nouvelles normes en 2015, l’année 2016 a été marquée par une reprise de l’activité en matière de normes, avec l’adoption officielle de deux nouvelles normes et la révision de trois normes.  S’agissant de la classification de Nice, 1213 modifications ont été apportées (contre 920 en 2015), 30 dossiers ont été introduits (contre 5 en 2015) et 148 dossiers ont été révisés (contre 4 en 2015).</w:t>
      </w:r>
    </w:p>
    <w:p w14:paraId="1F8895D4"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Au total, 28 centres d’appui à la technologie et à l’innovation (CATI) ont satisfait aux critères d’atteinte de l’un des trois niveaux de maturité en matière de durabilité en 2016.  À cet égard, six CATI offraient des services d’analyse des brevets (niveau de maturité 3) fin 2016.</w:t>
      </w:r>
    </w:p>
    <w:p w14:paraId="55E89811"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Le développement des services “de premier guichet” proposés par les CATI dans le cadre du programme d’aide aux inventeurs s’est poursuivi en Colombie, au Maroc et aux Philippines, avec 35 demandes au total reçues en 2016, soit un nombre largement supérieur à celui prévu initialement.</w:t>
      </w:r>
    </w:p>
    <w:p w14:paraId="571EAAE7"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Le graphique ci</w:t>
      </w:r>
      <w:r w:rsidRPr="00C2082C">
        <w:rPr>
          <w:rFonts w:ascii="Arial" w:hAnsi="Arial" w:cs="Arial"/>
          <w:color w:val="000000" w:themeColor="text1"/>
          <w:sz w:val="20"/>
          <w:szCs w:val="20"/>
        </w:rPr>
        <w:noBreakHyphen/>
        <w:t>dessous donne une vue d’ensemble du niveau d’utilisation, en constante augmentation, des solutions opérationnelles de l’OMPI destinées aux offices de propriété intellectuelle sur les sept dernières années.  À la fin de 2016, quelque 81 offices de propriété intellectuelle utilisaient les solutions opérationnelles de l’OMPI.</w:t>
      </w:r>
    </w:p>
    <w:p w14:paraId="4E8F3AE1" w14:textId="77777777" w:rsidR="00C2082C" w:rsidRPr="00C2082C" w:rsidRDefault="00C2082C" w:rsidP="00C2082C">
      <w:pPr>
        <w:pStyle w:val="ListParagraph"/>
        <w:keepNext/>
        <w:keepLines/>
        <w:spacing w:before="360"/>
        <w:ind w:left="357"/>
        <w:jc w:val="center"/>
        <w:rPr>
          <w:rFonts w:ascii="Arial" w:hAnsi="Arial" w:cs="Arial"/>
          <w:b/>
          <w:color w:val="000000" w:themeColor="text1"/>
          <w:sz w:val="20"/>
          <w:szCs w:val="20"/>
        </w:rPr>
      </w:pPr>
      <w:r w:rsidRPr="00C2082C">
        <w:rPr>
          <w:rFonts w:ascii="Arial" w:hAnsi="Arial" w:cs="Arial"/>
          <w:b/>
          <w:color w:val="000000" w:themeColor="text1"/>
          <w:sz w:val="20"/>
          <w:szCs w:val="20"/>
        </w:rPr>
        <w:lastRenderedPageBreak/>
        <w:t>Solutions opérationnelles de l’OMPI destinées aux offices de propriété intellectuelle – Utilisation par région</w:t>
      </w:r>
      <w:r w:rsidRPr="00C2082C">
        <w:rPr>
          <w:rStyle w:val="FootnoteReference"/>
          <w:rFonts w:eastAsia="SimSun" w:cs="Arial"/>
          <w:b/>
          <w:color w:val="000000" w:themeColor="text1"/>
          <w:sz w:val="20"/>
        </w:rPr>
        <w:footnoteReference w:id="6"/>
      </w:r>
    </w:p>
    <w:p w14:paraId="67D2B735" w14:textId="77777777" w:rsidR="00C2082C" w:rsidRPr="00C2082C" w:rsidRDefault="00C2082C" w:rsidP="00C2082C">
      <w:pPr>
        <w:pStyle w:val="ListParagraph"/>
        <w:spacing w:after="120"/>
        <w:ind w:left="360"/>
        <w:jc w:val="center"/>
        <w:rPr>
          <w:rFonts w:ascii="Arial" w:hAnsi="Arial" w:cs="Arial"/>
          <w:color w:val="000000" w:themeColor="text1"/>
          <w:sz w:val="20"/>
          <w:szCs w:val="20"/>
        </w:rPr>
      </w:pPr>
      <w:r w:rsidRPr="00C2082C">
        <w:rPr>
          <w:rFonts w:ascii="Arial" w:hAnsi="Arial" w:cs="Arial"/>
          <w:noProof/>
          <w:sz w:val="20"/>
          <w:szCs w:val="20"/>
          <w:lang w:val="en-US" w:eastAsia="en-US"/>
        </w:rPr>
        <w:drawing>
          <wp:inline distT="0" distB="0" distL="0" distR="0" wp14:anchorId="45FAB053" wp14:editId="3D4B33C6">
            <wp:extent cx="4464000" cy="30178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4000" cy="3017850"/>
                    </a:xfrm>
                    <a:prstGeom prst="rect">
                      <a:avLst/>
                    </a:prstGeom>
                    <a:noFill/>
                    <a:ln>
                      <a:noFill/>
                    </a:ln>
                  </pic:spPr>
                </pic:pic>
              </a:graphicData>
            </a:graphic>
          </wp:inline>
        </w:drawing>
      </w:r>
    </w:p>
    <w:p w14:paraId="19CB548F"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En 2016, le système WIPO CASE (Accès centralisé aux résultats de la recherche et de l’examen) était entièrement relié au système de portail unique des offices de l’IP5, à savoir l’Office européen des brevets (OEB), l’Office des brevets du Japon (JPO), l’Office coréen de la propriété intellectuelle (KIPO), l’Office d’État de la propriété intellectuelle de la République populaire de Chine (SIPO) et l’Office des brevets et des marques des États</w:t>
      </w:r>
      <w:r w:rsidRPr="00C2082C">
        <w:rPr>
          <w:rFonts w:ascii="Arial" w:hAnsi="Arial" w:cs="Arial"/>
          <w:color w:val="000000" w:themeColor="text1"/>
          <w:sz w:val="20"/>
          <w:szCs w:val="20"/>
        </w:rPr>
        <w:noBreakHyphen/>
        <w:t>Unis d’Amérique (USPTO).  En 2016, plusieurs offices se sont inscrits à WIPO </w:t>
      </w:r>
      <w:proofErr w:type="spellStart"/>
      <w:r w:rsidRPr="00C2082C">
        <w:rPr>
          <w:rFonts w:ascii="Arial" w:hAnsi="Arial" w:cs="Arial"/>
          <w:color w:val="000000" w:themeColor="text1"/>
          <w:sz w:val="20"/>
          <w:szCs w:val="20"/>
        </w:rPr>
        <w:t>Publish</w:t>
      </w:r>
      <w:proofErr w:type="spellEnd"/>
      <w:r w:rsidRPr="00C2082C">
        <w:rPr>
          <w:rFonts w:ascii="Arial" w:hAnsi="Arial" w:cs="Arial"/>
          <w:color w:val="000000" w:themeColor="text1"/>
          <w:sz w:val="20"/>
          <w:szCs w:val="20"/>
        </w:rPr>
        <w:t>, un logiciel de support aux processus internes de recherche et d’examen qui permet également aux utilisateurs extérieurs d’effectuer des recherches en ligne, le nombre total d’offices participants passant ainsi à 25.  En outre, six nouveaux offices ont commencé à utiliser les plateformes d’infrastructure de l’OMPI.</w:t>
      </w:r>
    </w:p>
    <w:p w14:paraId="28779F6F"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Le Consortium pour des livres accessibles (ABC) a enregistré d’excellents résultats en 2016 : 10 nouvelles bibliothèques pour aveugles ont rejoint le service de livres ABC, un catalogue international d’ouvrages accessibles.  Plus de 100 000 titres de l’ABC téléchargés grâce à ce service ont été prêtés à des personnes ayant des difficultés de lecture des textes imprimés par les bibliothèques participant à l’ABC, ce qui représente une augmentation de 76% par rapport à 2015.  De plus, l’ABC a publié le “Kit de démarrage ABC pour l’édition accessible dans les pays en développement et les pays les moins avancés” ainsi que les “Guide de l’ABC sur l’accessibilité à l’intention des auteurs autoédités</w:t>
      </w:r>
      <w:r w:rsidRPr="00C2082C">
        <w:rPr>
          <w:rFonts w:ascii="Arial" w:hAnsi="Arial" w:cs="Arial"/>
          <w:sz w:val="20"/>
          <w:szCs w:val="20"/>
        </w:rPr>
        <w:t>”</w:t>
      </w:r>
      <w:r w:rsidRPr="00C2082C">
        <w:rPr>
          <w:rFonts w:ascii="Arial" w:hAnsi="Arial" w:cs="Arial"/>
          <w:color w:val="000000" w:themeColor="text1"/>
          <w:sz w:val="20"/>
          <w:szCs w:val="20"/>
        </w:rPr>
        <w:t>.</w:t>
      </w:r>
    </w:p>
    <w:p w14:paraId="102C229E" w14:textId="77777777" w:rsidR="00C2082C" w:rsidRPr="00340492" w:rsidRDefault="00C2082C" w:rsidP="00C2082C">
      <w:pPr>
        <w:keepNext/>
        <w:keepLines/>
        <w:jc w:val="center"/>
        <w:rPr>
          <w:b/>
          <w:iCs/>
          <w:color w:val="000000" w:themeColor="text1"/>
          <w:szCs w:val="22"/>
        </w:rPr>
      </w:pPr>
      <w:r w:rsidRPr="00340492">
        <w:rPr>
          <w:b/>
          <w:color w:val="000000" w:themeColor="text1"/>
          <w:szCs w:val="22"/>
        </w:rPr>
        <w:lastRenderedPageBreak/>
        <w:t>Objectif stratégique V : source de références mondiale pour l’information et l’analyse en matière de propriété intellectuelle</w:t>
      </w:r>
    </w:p>
    <w:p w14:paraId="0838D135" w14:textId="77777777" w:rsidR="00C2082C" w:rsidRPr="00C2082C" w:rsidRDefault="00C2082C" w:rsidP="00C2082C">
      <w:pPr>
        <w:keepNext/>
        <w:keepLines/>
        <w:jc w:val="center"/>
        <w:rPr>
          <w:color w:val="000000" w:themeColor="text1"/>
          <w:sz w:val="20"/>
        </w:rPr>
      </w:pPr>
      <w:r w:rsidRPr="00C2082C">
        <w:rPr>
          <w:noProof/>
          <w:sz w:val="20"/>
          <w:lang w:val="en-US"/>
        </w:rPr>
        <w:drawing>
          <wp:inline distT="0" distB="0" distL="0" distR="0" wp14:anchorId="090E01AF" wp14:editId="79634660">
            <wp:extent cx="3693600" cy="242457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3600" cy="2424575"/>
                    </a:xfrm>
                    <a:prstGeom prst="rect">
                      <a:avLst/>
                    </a:prstGeom>
                    <a:noFill/>
                    <a:ln>
                      <a:noFill/>
                    </a:ln>
                  </pic:spPr>
                </pic:pic>
              </a:graphicData>
            </a:graphic>
          </wp:inline>
        </w:drawing>
      </w:r>
    </w:p>
    <w:p w14:paraId="06BE8E83"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 xml:space="preserve">En 2016, le travail d’analyse économique de l’OMPI a réalisé des progrès significatifs en vue de la promotion d’une analyse de haute qualité permettant de relever les défis économiques du système international de la propriété intellectuelle et d’évaluer les effets économiques des choix de politique générale en matière de propriété intellectuelle.  La publication du rapport intitulé </w:t>
      </w:r>
      <w:r w:rsidRPr="00C2082C">
        <w:rPr>
          <w:rFonts w:ascii="Arial" w:hAnsi="Arial" w:cs="Arial"/>
          <w:i/>
          <w:color w:val="000000" w:themeColor="text1"/>
          <w:sz w:val="20"/>
          <w:szCs w:val="20"/>
        </w:rPr>
        <w:t xml:space="preserve">Indice mondial de l’innovation 2016 (GII) </w:t>
      </w:r>
      <w:r w:rsidRPr="00C2082C">
        <w:rPr>
          <w:rFonts w:ascii="Arial" w:hAnsi="Arial" w:cs="Arial"/>
          <w:color w:val="000000" w:themeColor="text1"/>
          <w:sz w:val="20"/>
          <w:szCs w:val="20"/>
        </w:rPr>
        <w:t>a atteint de nouveaux sommets, et sa couverture dans les médias et sur les réseaux sociaux a encore progressé par rapport à l’exercice biennal précédent.  Co</w:t>
      </w:r>
      <w:r w:rsidRPr="00C2082C">
        <w:rPr>
          <w:rFonts w:ascii="Arial" w:hAnsi="Arial" w:cs="Arial"/>
          <w:color w:val="000000" w:themeColor="text1"/>
          <w:sz w:val="20"/>
          <w:szCs w:val="20"/>
        </w:rPr>
        <w:noBreakHyphen/>
        <w:t>publié avec l’Université Cornell et l’INSEAD, le GII est désormais une source de référence pour les acteurs de l’innovation du monde entier, comme en témoignent les citations, les demandes de renseignements et les demandes de services consultatifs.</w:t>
      </w:r>
    </w:p>
    <w:p w14:paraId="576DEA2A"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En 2016, le nombre de réponses aux enquêtes statistiques annuelles menées par l’OMPI sur les offices nationaux et régionaux de propriété intellectuelle a été de 131, dépassant ainsi la moyenne de 127 réponses reçues lors de l’exercice 2014</w:t>
      </w:r>
      <w:r w:rsidRPr="00C2082C">
        <w:rPr>
          <w:rFonts w:ascii="Arial" w:hAnsi="Arial" w:cs="Arial"/>
          <w:color w:val="000000" w:themeColor="text1"/>
          <w:sz w:val="20"/>
          <w:szCs w:val="20"/>
        </w:rPr>
        <w:noBreakHyphen/>
        <w:t xml:space="preserve">2015.  Comme les années précédentes, les recueils statistiques ont été diffusés par le biais de publications et d’outils en ligne, notamment les rapports annuels intitulés </w:t>
      </w:r>
      <w:r w:rsidRPr="00C2082C">
        <w:rPr>
          <w:rFonts w:ascii="Arial" w:hAnsi="Arial" w:cs="Arial"/>
          <w:i/>
          <w:color w:val="000000" w:themeColor="text1"/>
          <w:sz w:val="20"/>
          <w:szCs w:val="20"/>
        </w:rPr>
        <w:t>Indicateurs mondiaux relatifs à la propriété intellectuelle</w:t>
      </w:r>
      <w:r w:rsidRPr="00C2082C">
        <w:rPr>
          <w:rFonts w:ascii="Arial" w:hAnsi="Arial" w:cs="Arial"/>
          <w:color w:val="000000" w:themeColor="text1"/>
          <w:sz w:val="20"/>
          <w:szCs w:val="20"/>
        </w:rPr>
        <w:t xml:space="preserve"> et </w:t>
      </w:r>
      <w:r w:rsidRPr="00C2082C">
        <w:rPr>
          <w:rFonts w:ascii="Arial" w:hAnsi="Arial" w:cs="Arial"/>
          <w:i/>
          <w:color w:val="000000" w:themeColor="text1"/>
          <w:sz w:val="20"/>
          <w:szCs w:val="20"/>
        </w:rPr>
        <w:t>Faits et chiffres de l’OMPI relatifs à la propriété intellectuelle</w:t>
      </w:r>
      <w:r w:rsidRPr="00C2082C">
        <w:rPr>
          <w:rFonts w:ascii="Arial" w:hAnsi="Arial" w:cs="Arial"/>
          <w:color w:val="000000" w:themeColor="text1"/>
          <w:sz w:val="20"/>
          <w:szCs w:val="20"/>
        </w:rPr>
        <w:t>, ainsi que les revues annuelles du PCT, du système de Madrid et du système de La Haye, le Centre de données statistiques sur la propriété intellectuelle et les Statistiques de propriété intellectuelle par pays.</w:t>
      </w:r>
    </w:p>
    <w:p w14:paraId="2EBD3E67"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La réalisation des études économique a également progressé de manière significative, la plupart des études devant être achevées en 2017.</w:t>
      </w:r>
    </w:p>
    <w:p w14:paraId="2D0FB389" w14:textId="77777777" w:rsidR="00C2082C" w:rsidRPr="00C2082C" w:rsidRDefault="00C2082C" w:rsidP="00C2082C">
      <w:pPr>
        <w:spacing w:after="120"/>
        <w:jc w:val="both"/>
        <w:rPr>
          <w:color w:val="000000" w:themeColor="text1"/>
          <w:sz w:val="20"/>
        </w:rPr>
      </w:pPr>
    </w:p>
    <w:p w14:paraId="4E675880" w14:textId="77777777" w:rsidR="00C2082C" w:rsidRPr="00340492" w:rsidRDefault="00C2082C" w:rsidP="00C2082C">
      <w:pPr>
        <w:keepNext/>
        <w:keepLines/>
        <w:jc w:val="center"/>
        <w:rPr>
          <w:b/>
          <w:iCs/>
          <w:color w:val="000000" w:themeColor="text1"/>
          <w:szCs w:val="22"/>
        </w:rPr>
      </w:pPr>
      <w:r w:rsidRPr="00340492">
        <w:rPr>
          <w:b/>
          <w:iCs/>
          <w:color w:val="000000" w:themeColor="text1"/>
          <w:szCs w:val="22"/>
        </w:rPr>
        <w:t>Objectif stratégique VI : Coopération internationale pour le respect de la propriété intellectuelle</w:t>
      </w:r>
    </w:p>
    <w:p w14:paraId="3881ECDE" w14:textId="77777777" w:rsidR="00C2082C" w:rsidRPr="00C2082C" w:rsidRDefault="00C2082C" w:rsidP="00C2082C">
      <w:pPr>
        <w:jc w:val="center"/>
        <w:rPr>
          <w:color w:val="000000" w:themeColor="text1"/>
          <w:sz w:val="20"/>
        </w:rPr>
      </w:pPr>
      <w:r w:rsidRPr="00C2082C">
        <w:rPr>
          <w:noProof/>
          <w:sz w:val="20"/>
          <w:lang w:val="en-US"/>
        </w:rPr>
        <w:drawing>
          <wp:inline distT="0" distB="0" distL="0" distR="0" wp14:anchorId="708FCCBB" wp14:editId="57AE0583">
            <wp:extent cx="3693600" cy="2492679"/>
            <wp:effectExtent l="0" t="0" r="254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3600" cy="2492679"/>
                    </a:xfrm>
                    <a:prstGeom prst="rect">
                      <a:avLst/>
                    </a:prstGeom>
                    <a:noFill/>
                    <a:ln>
                      <a:noFill/>
                    </a:ln>
                  </pic:spPr>
                </pic:pic>
              </a:graphicData>
            </a:graphic>
          </wp:inline>
        </w:drawing>
      </w:r>
    </w:p>
    <w:p w14:paraId="6B68CB0D" w14:textId="77777777" w:rsidR="00C2082C" w:rsidRPr="00C2082C" w:rsidRDefault="00C2082C" w:rsidP="00C2082C">
      <w:pPr>
        <w:rPr>
          <w:color w:val="000000" w:themeColor="text1"/>
          <w:sz w:val="20"/>
        </w:rPr>
      </w:pPr>
    </w:p>
    <w:p w14:paraId="2E4299B9"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lastRenderedPageBreak/>
        <w:t>Afin de faire avancer le dialogue international entre les États membres de l’OMPI sur la promotion du respect de la propriété intellectuelle, la onzième session du Comité consultatif de l’OMPI sur l’application des droits (ACE) (qui s’est tenue du 5 au 7 septembre 2016) a fait office de forum permettant aux États membres d’échanger sur : les activités de sensibilisation et les campagnes stratégiques;  les mécanismes institutionnels associés aux politiques et systèmes d’application des droits de propriété intellectuelle;  l’assistance fournie par l’OMPI dans le domaine législatif et les activités de renforcement des capacités menées par l’OMPI.  Les exposés des experts et les tables rondes ont abouti à un dialogue riche et productif.  Une présentation audiovisuelle sur le respect de la propriété intellectuelle et le tourisme a été organisée en marge de cette onzième session.</w:t>
      </w:r>
    </w:p>
    <w:p w14:paraId="4C102C8B" w14:textId="77777777" w:rsidR="00C2082C" w:rsidRP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La Conférence internationale sur la promotion du respect de la propriété intellectuelle, organisée par l’OMPI et le Gouvernement municipal de Shanghai (SMPG), avec le soutien de l’Office d’État de la propriété intellectuelle de la République populaire de Chine (SIPO), réunissant des hauts responsables des gouvernements et du secteur privé, a été l’occasion pour les participants de partager des données d’expérience sur le rôle de la propriété intellectuelle dans la stimulation de l’innovation et la promotion du développement et de la croissance.  Cette conférence, qui s’est tenue à Shanghai (Chine) les 17 et 18 novembre 2016, a été l’occasion pour les participants d’affirmer leur engagement commun à poursuivre le travail de promotion du respect de la propriété intellectuelle par le partage d’informations sur les stratégies de sensibilisation de l’opinion publique et sur les questions émergentes relatives à la détermination des droits de propriété intellectuelle et à la jurisprudence dans ce domaine.</w:t>
      </w:r>
    </w:p>
    <w:p w14:paraId="23899E46" w14:textId="77777777" w:rsidR="00C2082C" w:rsidRDefault="00C2082C" w:rsidP="00C2082C">
      <w:pPr>
        <w:pStyle w:val="ListParagraph"/>
        <w:numPr>
          <w:ilvl w:val="0"/>
          <w:numId w:val="84"/>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Enfin, les travaux de l’OMPI visant à développer une conception équilibrée de la promotion du respect de la propriété intellectuelle, conformément à la Recommandation n° 45 du Plan d’action pour le développement, ses diverses activités de renforcement des capacités, d’assistance technique et de partage des connaissances, et la pertinence croissante de l’ACE de l’OMPI ont été reconnus par la remise à l’OMPI du prix “</w:t>
      </w:r>
      <w:r w:rsidRPr="00C2082C">
        <w:rPr>
          <w:rFonts w:ascii="Arial" w:hAnsi="Arial" w:cs="Arial"/>
          <w:i/>
          <w:color w:val="000000" w:themeColor="text1"/>
          <w:sz w:val="20"/>
          <w:szCs w:val="20"/>
        </w:rPr>
        <w:t>Global Anti</w:t>
      </w:r>
      <w:r w:rsidRPr="00C2082C">
        <w:rPr>
          <w:rFonts w:ascii="Arial" w:hAnsi="Arial" w:cs="Arial"/>
          <w:i/>
          <w:color w:val="000000" w:themeColor="text1"/>
          <w:sz w:val="20"/>
          <w:szCs w:val="20"/>
        </w:rPr>
        <w:noBreakHyphen/>
      </w:r>
      <w:proofErr w:type="spellStart"/>
      <w:r w:rsidRPr="00C2082C">
        <w:rPr>
          <w:rFonts w:ascii="Arial" w:hAnsi="Arial" w:cs="Arial"/>
          <w:i/>
          <w:color w:val="000000" w:themeColor="text1"/>
          <w:sz w:val="20"/>
          <w:szCs w:val="20"/>
        </w:rPr>
        <w:t>Counterfeiting</w:t>
      </w:r>
      <w:proofErr w:type="spellEnd"/>
      <w:r w:rsidRPr="00C2082C">
        <w:rPr>
          <w:rFonts w:ascii="Arial" w:hAnsi="Arial" w:cs="Arial"/>
          <w:color w:val="000000" w:themeColor="text1"/>
          <w:sz w:val="20"/>
          <w:szCs w:val="20"/>
        </w:rPr>
        <w:t xml:space="preserve"> (GAC) 2016”, qui récompense les organisations, entreprises et particuliers actifs dans la lutte contre la contrefaçon qui se sont distingués par leurs accomplissements.</w:t>
      </w:r>
    </w:p>
    <w:p w14:paraId="2D740ADF" w14:textId="77777777" w:rsidR="00C2082C" w:rsidRPr="00C2082C" w:rsidRDefault="00C2082C" w:rsidP="00C2082C">
      <w:pPr>
        <w:spacing w:after="120"/>
        <w:jc w:val="both"/>
        <w:rPr>
          <w:color w:val="000000" w:themeColor="text1"/>
          <w:sz w:val="20"/>
        </w:rPr>
      </w:pPr>
    </w:p>
    <w:p w14:paraId="7189ABBC" w14:textId="77777777" w:rsidR="00C2082C" w:rsidRPr="00350EA3" w:rsidRDefault="00C2082C" w:rsidP="00C2082C">
      <w:pPr>
        <w:jc w:val="center"/>
        <w:rPr>
          <w:b/>
          <w:iCs/>
          <w:color w:val="000000" w:themeColor="text1"/>
        </w:rPr>
      </w:pPr>
      <w:r w:rsidRPr="00340492">
        <w:rPr>
          <w:b/>
          <w:iCs/>
          <w:color w:val="000000" w:themeColor="text1"/>
          <w:szCs w:val="22"/>
        </w:rPr>
        <w:t>Objectif stratégique VII : Propriété intellectuelle et enjeux mondiaux</w:t>
      </w:r>
      <w:r w:rsidRPr="00E31894">
        <w:rPr>
          <w:noProof/>
          <w:lang w:val="en-US"/>
        </w:rPr>
        <w:drawing>
          <wp:inline distT="0" distB="0" distL="0" distR="0" wp14:anchorId="4A165BDD" wp14:editId="56CF0EFE">
            <wp:extent cx="3693600" cy="2421451"/>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3600" cy="2421451"/>
                    </a:xfrm>
                    <a:prstGeom prst="rect">
                      <a:avLst/>
                    </a:prstGeom>
                    <a:noFill/>
                    <a:ln>
                      <a:noFill/>
                    </a:ln>
                  </pic:spPr>
                </pic:pic>
              </a:graphicData>
            </a:graphic>
          </wp:inline>
        </w:drawing>
      </w:r>
    </w:p>
    <w:p w14:paraId="498E3000" w14:textId="77777777" w:rsidR="00C2082C" w:rsidRPr="00350EA3" w:rsidRDefault="00C2082C" w:rsidP="00C2082C">
      <w:pPr>
        <w:numPr>
          <w:ilvl w:val="0"/>
          <w:numId w:val="87"/>
        </w:numPr>
        <w:ind w:left="0" w:firstLine="0"/>
        <w:jc w:val="both"/>
        <w:rPr>
          <w:rFonts w:cs="Times New Roman"/>
          <w:color w:val="000000" w:themeColor="text1"/>
          <w:sz w:val="20"/>
        </w:rPr>
      </w:pPr>
      <w:r w:rsidRPr="00350EA3">
        <w:rPr>
          <w:color w:val="000000" w:themeColor="text1"/>
          <w:sz w:val="20"/>
        </w:rPr>
        <w:t>Il convient également de noter les progrès significatifs accomplis sur des questions urgentes et interdépendantes qui se posent au niveau mondial, comme la santé publique, le changement climatique et la sécurité alimentaire.  Ce</w:t>
      </w:r>
      <w:r>
        <w:rPr>
          <w:color w:val="000000" w:themeColor="text1"/>
          <w:sz w:val="20"/>
        </w:rPr>
        <w:t xml:space="preserve">s </w:t>
      </w:r>
      <w:r w:rsidRPr="00350EA3">
        <w:rPr>
          <w:color w:val="000000" w:themeColor="text1"/>
          <w:sz w:val="20"/>
        </w:rPr>
        <w:t>progrès ont permis aux décideurs en la matière de mieux comprendre le rapport entre ces défis à relever à l’échelle mondiale, d’une part, et l’innovation et la propriété intellectuelle, d’autre part</w:t>
      </w:r>
      <w:r w:rsidRPr="00350EA3">
        <w:rPr>
          <w:rFonts w:cs="Times New Roman"/>
          <w:color w:val="000000" w:themeColor="text1"/>
          <w:sz w:val="20"/>
        </w:rPr>
        <w:t>.</w:t>
      </w:r>
    </w:p>
    <w:p w14:paraId="6ED44EA2" w14:textId="77777777" w:rsidR="00C2082C" w:rsidRPr="00350EA3" w:rsidRDefault="00C2082C" w:rsidP="00C2082C">
      <w:pPr>
        <w:spacing w:after="120"/>
        <w:contextualSpacing/>
        <w:jc w:val="both"/>
        <w:rPr>
          <w:color w:val="000000" w:themeColor="text1"/>
          <w:sz w:val="20"/>
        </w:rPr>
      </w:pPr>
    </w:p>
    <w:p w14:paraId="61D98680" w14:textId="77777777" w:rsidR="00C2082C" w:rsidRPr="00350EA3" w:rsidRDefault="00C2082C" w:rsidP="00C2082C">
      <w:pPr>
        <w:numPr>
          <w:ilvl w:val="0"/>
          <w:numId w:val="91"/>
        </w:numPr>
        <w:spacing w:after="120"/>
        <w:ind w:left="357" w:hanging="357"/>
        <w:contextualSpacing/>
        <w:jc w:val="both"/>
        <w:rPr>
          <w:color w:val="000000" w:themeColor="text1"/>
          <w:sz w:val="20"/>
        </w:rPr>
      </w:pPr>
      <w:r w:rsidRPr="00350EA3">
        <w:rPr>
          <w:color w:val="000000" w:themeColor="text1"/>
          <w:sz w:val="20"/>
        </w:rPr>
        <w:t>Le volet “Mettre les innovations en commun pour lutter contre les maladies tropicales négligées” de WIPO </w:t>
      </w:r>
      <w:proofErr w:type="spellStart"/>
      <w:r w:rsidRPr="00350EA3">
        <w:rPr>
          <w:color w:val="000000" w:themeColor="text1"/>
          <w:sz w:val="20"/>
        </w:rPr>
        <w:t>Re:Search</w:t>
      </w:r>
      <w:proofErr w:type="spellEnd"/>
      <w:r w:rsidRPr="00350EA3">
        <w:rPr>
          <w:color w:val="000000" w:themeColor="text1"/>
          <w:sz w:val="20"/>
        </w:rPr>
        <w:t xml:space="preserve"> a gagné en reconnaissance en tant que plateforme d’appui à l’innovation, au transfert de connaissances et technologies et au renforcement des capacités dans le domaine de la recherche sur les maladies tropicales négligées, la tuberculose et le paludisme, avec 108 membres et 108 collaborations au total fin 2016.  Les accomplissements ont été soulignés en mai 2016 à l’occasion d’une manifestation qui s’est tenue en marge de l’Assemblée mondiale de la </w:t>
      </w:r>
      <w:r>
        <w:rPr>
          <w:color w:val="000000" w:themeColor="text1"/>
          <w:sz w:val="20"/>
        </w:rPr>
        <w:t>s</w:t>
      </w:r>
      <w:r w:rsidRPr="00350EA3">
        <w:rPr>
          <w:color w:val="000000" w:themeColor="text1"/>
          <w:sz w:val="20"/>
        </w:rPr>
        <w:t xml:space="preserve">anté et qui a été inaugurée par le ministre éthiopien de la </w:t>
      </w:r>
      <w:r>
        <w:rPr>
          <w:color w:val="000000" w:themeColor="text1"/>
          <w:sz w:val="20"/>
        </w:rPr>
        <w:t>s</w:t>
      </w:r>
      <w:r w:rsidRPr="00350EA3">
        <w:rPr>
          <w:color w:val="000000" w:themeColor="text1"/>
          <w:sz w:val="20"/>
        </w:rPr>
        <w:t>anté.</w:t>
      </w:r>
    </w:p>
    <w:p w14:paraId="7109BAAF" w14:textId="77777777" w:rsidR="00C2082C" w:rsidRPr="00350EA3" w:rsidRDefault="00C2082C" w:rsidP="00C2082C">
      <w:pPr>
        <w:spacing w:after="120"/>
        <w:contextualSpacing/>
        <w:jc w:val="both"/>
        <w:rPr>
          <w:color w:val="000000" w:themeColor="text1"/>
          <w:sz w:val="20"/>
        </w:rPr>
      </w:pPr>
    </w:p>
    <w:p w14:paraId="1D4BB1C7" w14:textId="77777777" w:rsidR="00C2082C" w:rsidRPr="00350EA3" w:rsidRDefault="00C2082C" w:rsidP="00C2082C">
      <w:pPr>
        <w:numPr>
          <w:ilvl w:val="0"/>
          <w:numId w:val="91"/>
        </w:numPr>
        <w:spacing w:after="120"/>
        <w:ind w:left="357" w:hanging="357"/>
        <w:contextualSpacing/>
        <w:jc w:val="both"/>
        <w:rPr>
          <w:color w:val="000000" w:themeColor="text1"/>
          <w:sz w:val="20"/>
        </w:rPr>
      </w:pPr>
      <w:r w:rsidRPr="00350EA3">
        <w:rPr>
          <w:color w:val="000000" w:themeColor="text1"/>
          <w:sz w:val="20"/>
        </w:rPr>
        <w:t>Le marché des technologies durables WIPO GREEN a également continué à développer son réseau, avec neuf nouveaux partenaires et 318 nouveaux utilisateurs en 2016, le nombre total de partenaires et d’utilisateurs passant ainsi à 74 et 808 respectivement.  À la fin de l’année 2016, la base de données WIPO GREEN comprenait plus de 2600 technologies accessibles à des fins de prise de licences, de vente ou de collaboration et 150 besoins (en grande partie des pays en développement), soit une augmentation de 20% par rapport à 2015.  En outre, WIPO GREEN a permis 127 connexions par le biais de la base de données et a rendu possible une manifestation visant à mettre en relation les parties prenantes en Afrique de l’Est, une exposition sur les PME innovantes à la COP22 ainsi que d’autres activités de rapprochement.</w:t>
      </w:r>
    </w:p>
    <w:p w14:paraId="7BEFEFD6" w14:textId="77777777" w:rsidR="00C2082C" w:rsidRPr="00350EA3" w:rsidRDefault="00C2082C" w:rsidP="00C2082C">
      <w:pPr>
        <w:spacing w:after="120"/>
        <w:contextualSpacing/>
        <w:jc w:val="both"/>
        <w:rPr>
          <w:color w:val="000000" w:themeColor="text1"/>
          <w:sz w:val="20"/>
        </w:rPr>
      </w:pPr>
    </w:p>
    <w:p w14:paraId="3ED0EF0F" w14:textId="77777777" w:rsidR="00C2082C" w:rsidRPr="00350EA3" w:rsidRDefault="00C2082C" w:rsidP="00C2082C">
      <w:pPr>
        <w:numPr>
          <w:ilvl w:val="0"/>
          <w:numId w:val="91"/>
        </w:numPr>
        <w:spacing w:after="120"/>
        <w:ind w:left="357" w:hanging="357"/>
        <w:contextualSpacing/>
        <w:jc w:val="both"/>
        <w:rPr>
          <w:color w:val="000000" w:themeColor="text1"/>
          <w:sz w:val="20"/>
        </w:rPr>
      </w:pPr>
      <w:r w:rsidRPr="00350EA3">
        <w:rPr>
          <w:color w:val="000000" w:themeColor="text1"/>
          <w:sz w:val="20"/>
        </w:rPr>
        <w:t xml:space="preserve">Offrant aux participants des forums d’échange d’idées, d’expertise et d’informations se rapportant aux trois principaux domaines, la </w:t>
      </w:r>
      <w:r w:rsidRPr="00350EA3">
        <w:rPr>
          <w:i/>
          <w:color w:val="000000" w:themeColor="text1"/>
          <w:sz w:val="20"/>
        </w:rPr>
        <w:t>note d’information sur les défis mondiaux en matière de brevets et sur la liste modèle de médicaments essentiels de l’OMS</w:t>
      </w:r>
      <w:r>
        <w:rPr>
          <w:i/>
          <w:color w:val="000000" w:themeColor="text1"/>
          <w:sz w:val="20"/>
        </w:rPr>
        <w:t xml:space="preserve"> (dix</w:t>
      </w:r>
      <w:r>
        <w:rPr>
          <w:i/>
          <w:color w:val="000000" w:themeColor="text1"/>
          <w:sz w:val="20"/>
        </w:rPr>
        <w:noBreakHyphen/>
        <w:t>huitième</w:t>
      </w:r>
      <w:r w:rsidRPr="00350EA3">
        <w:rPr>
          <w:i/>
          <w:color w:val="000000" w:themeColor="text1"/>
          <w:sz w:val="20"/>
        </w:rPr>
        <w:t> édition) : clarifier le débat sur la propriété intellectuelle et l’accès</w:t>
      </w:r>
      <w:r w:rsidRPr="00350EA3">
        <w:rPr>
          <w:color w:val="000000" w:themeColor="text1"/>
          <w:sz w:val="20"/>
        </w:rPr>
        <w:t xml:space="preserve"> a été présentée à un séminaire sur les défis mondiaux en avril 2016.  Cette note d’information résume le rapport technique à l’intention des décideurs, lequel éclaire les acteurs mondiaux de la santé sur les médicaments essentiels auxquels les systèmes de santé devraient avoir accès.  L’exposé sur l’analyse fait par les auteurs a attiré de nombreux participants et a donné lieu à un débat animé sur l’information en matière de brevets dans le domaine des médicaments.</w:t>
      </w:r>
    </w:p>
    <w:p w14:paraId="706FF820" w14:textId="77777777" w:rsidR="00C2082C" w:rsidRPr="00350EA3" w:rsidRDefault="00C2082C" w:rsidP="00C2082C">
      <w:pPr>
        <w:spacing w:after="120"/>
        <w:contextualSpacing/>
        <w:jc w:val="both"/>
        <w:rPr>
          <w:color w:val="000000" w:themeColor="text1"/>
          <w:sz w:val="20"/>
        </w:rPr>
      </w:pPr>
    </w:p>
    <w:p w14:paraId="128ED020" w14:textId="77777777" w:rsidR="00C2082C" w:rsidRPr="00350EA3" w:rsidRDefault="00C2082C" w:rsidP="00C2082C">
      <w:pPr>
        <w:numPr>
          <w:ilvl w:val="0"/>
          <w:numId w:val="91"/>
        </w:numPr>
        <w:spacing w:after="120"/>
        <w:ind w:left="357" w:hanging="357"/>
        <w:contextualSpacing/>
        <w:jc w:val="both"/>
        <w:rPr>
          <w:color w:val="000000" w:themeColor="text1"/>
          <w:sz w:val="20"/>
        </w:rPr>
      </w:pPr>
      <w:r w:rsidRPr="00350EA3">
        <w:rPr>
          <w:color w:val="000000" w:themeColor="text1"/>
          <w:sz w:val="20"/>
        </w:rPr>
        <w:t xml:space="preserve">L’année 2016 a été marquée par le lancement du cours d’enseignement à distance de l’OMS, de l’OMPI et de l’OMC, intitulé </w:t>
      </w:r>
      <w:r w:rsidRPr="00350EA3">
        <w:rPr>
          <w:i/>
          <w:color w:val="000000" w:themeColor="text1"/>
          <w:sz w:val="20"/>
        </w:rPr>
        <w:t xml:space="preserve">Promouvoir l’accès aux technologies et l’innovation dans le domaine médical.  </w:t>
      </w:r>
      <w:r w:rsidRPr="00350EA3">
        <w:rPr>
          <w:color w:val="000000" w:themeColor="text1"/>
          <w:sz w:val="20"/>
        </w:rPr>
        <w:t xml:space="preserve">Ce nouveau cours vise à examiner les convergences entre la santé publique, la propriété intellectuelle et le commerce et a été conçu dans le cadre de l’accord de coopération trilatérale entre l’OMS, l’OMPI et l’OMC, en collaboration avec l’Académie de l’OMPI.  Il a été lancé à l’occasion du colloque technique organisé conjointement par l’OMS, l’OMPI et l’OMC;  ce colloque, intitulé </w:t>
      </w:r>
      <w:r w:rsidRPr="00350EA3">
        <w:rPr>
          <w:i/>
          <w:color w:val="000000" w:themeColor="text1"/>
          <w:sz w:val="20"/>
        </w:rPr>
        <w:t>La résistance aux antimicrobiens : comment stimuler l’innovation et favoriser l’accès aux antibiotiques et leur utilisation appropriée?</w:t>
      </w:r>
      <w:r w:rsidRPr="00350EA3">
        <w:rPr>
          <w:color w:val="000000" w:themeColor="text1"/>
          <w:sz w:val="20"/>
        </w:rPr>
        <w:t>, a attiré près de 300 participants qui ont suivi des échanges intenses sur l’importance de la coopération mondiale en matière d’innovation dans le domaine des antimicrobiens et sur l’importance de l’accès aux antibiotiques et de leur utilisation appropriée.</w:t>
      </w:r>
    </w:p>
    <w:p w14:paraId="0BD30FB4" w14:textId="77777777" w:rsidR="00C2082C" w:rsidRPr="001303B4" w:rsidRDefault="00C2082C" w:rsidP="00C2082C">
      <w:pPr>
        <w:spacing w:after="200"/>
        <w:rPr>
          <w:color w:val="000000" w:themeColor="text1"/>
          <w:sz w:val="20"/>
        </w:rPr>
      </w:pPr>
    </w:p>
    <w:p w14:paraId="3B0E2915" w14:textId="77777777" w:rsidR="00C2082C" w:rsidRPr="00340492" w:rsidRDefault="00C2082C" w:rsidP="00C2082C">
      <w:pPr>
        <w:autoSpaceDE w:val="0"/>
        <w:autoSpaceDN w:val="0"/>
        <w:adjustRightInd w:val="0"/>
        <w:jc w:val="center"/>
        <w:rPr>
          <w:b/>
          <w:iCs/>
          <w:color w:val="000000" w:themeColor="text1"/>
          <w:szCs w:val="22"/>
        </w:rPr>
      </w:pPr>
      <w:r w:rsidRPr="00340492">
        <w:rPr>
          <w:b/>
          <w:iCs/>
          <w:color w:val="000000" w:themeColor="text1"/>
          <w:szCs w:val="22"/>
        </w:rPr>
        <w:t>Objectif stratégique VIII : Interface de communication dynamique entre l’OMPI, ses États membres et l’ensemble des parties prenantes</w:t>
      </w:r>
    </w:p>
    <w:p w14:paraId="294AE96A" w14:textId="77777777" w:rsidR="00C2082C" w:rsidRPr="00350EA3" w:rsidRDefault="00C2082C" w:rsidP="00C2082C">
      <w:pPr>
        <w:jc w:val="center"/>
        <w:rPr>
          <w:b/>
          <w:color w:val="000000" w:themeColor="text1"/>
          <w:sz w:val="18"/>
          <w:szCs w:val="18"/>
        </w:rPr>
      </w:pPr>
      <w:r w:rsidRPr="00E31894">
        <w:rPr>
          <w:noProof/>
          <w:lang w:val="en-US"/>
        </w:rPr>
        <w:drawing>
          <wp:inline distT="0" distB="0" distL="0" distR="0" wp14:anchorId="607EFAB7" wp14:editId="02653386">
            <wp:extent cx="3693600" cy="2497132"/>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3600" cy="2497132"/>
                    </a:xfrm>
                    <a:prstGeom prst="rect">
                      <a:avLst/>
                    </a:prstGeom>
                    <a:noFill/>
                    <a:ln>
                      <a:noFill/>
                    </a:ln>
                  </pic:spPr>
                </pic:pic>
              </a:graphicData>
            </a:graphic>
          </wp:inline>
        </w:drawing>
      </w:r>
    </w:p>
    <w:p w14:paraId="39E958BB" w14:textId="77777777" w:rsidR="00C2082C" w:rsidRPr="00C2082C" w:rsidRDefault="00C2082C" w:rsidP="00C2082C">
      <w:pPr>
        <w:pStyle w:val="ListParagraph"/>
        <w:numPr>
          <w:ilvl w:val="0"/>
          <w:numId w:val="87"/>
        </w:numPr>
        <w:spacing w:after="120"/>
        <w:ind w:left="0" w:firstLine="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Les priorités de cet objectif ont continué de porter sur la création et la production de contenus pertinents de haute qualité, sur l’amélioration de la visibilité des travaux de l’OMPI et de leur compréhension par le public et sur le renforcement de la culture du service dans l’Organisation.</w:t>
      </w:r>
    </w:p>
    <w:p w14:paraId="47FDD3E0" w14:textId="77777777" w:rsidR="00C2082C" w:rsidRPr="00C2082C" w:rsidRDefault="00C2082C" w:rsidP="00C2082C">
      <w:pPr>
        <w:numPr>
          <w:ilvl w:val="0"/>
          <w:numId w:val="92"/>
        </w:numPr>
        <w:spacing w:after="120"/>
        <w:ind w:left="357" w:hanging="357"/>
        <w:jc w:val="both"/>
        <w:rPr>
          <w:color w:val="000000" w:themeColor="text1"/>
          <w:sz w:val="20"/>
        </w:rPr>
      </w:pPr>
      <w:r w:rsidRPr="00C2082C">
        <w:rPr>
          <w:i/>
          <w:color w:val="000000" w:themeColor="text1"/>
          <w:sz w:val="20"/>
        </w:rPr>
        <w:t xml:space="preserve">Une image de marque forte.  </w:t>
      </w:r>
      <w:r w:rsidRPr="00C2082C">
        <w:rPr>
          <w:color w:val="000000" w:themeColor="text1"/>
          <w:sz w:val="20"/>
        </w:rPr>
        <w:t>La vidéo de trois minutes “Qu’est</w:t>
      </w:r>
      <w:r w:rsidRPr="00C2082C">
        <w:rPr>
          <w:color w:val="000000" w:themeColor="text1"/>
          <w:sz w:val="20"/>
        </w:rPr>
        <w:noBreakHyphen/>
        <w:t>ce que l’OMPI?”, diffusée en octobre 2016, a suscité des commentaires positifs et s’est révélée un atout pour la communication sur la marque.  Le bulletin électronique WIPO </w:t>
      </w:r>
      <w:proofErr w:type="spellStart"/>
      <w:r w:rsidRPr="00C2082C">
        <w:rPr>
          <w:color w:val="000000" w:themeColor="text1"/>
          <w:sz w:val="20"/>
        </w:rPr>
        <w:t>Wire</w:t>
      </w:r>
      <w:proofErr w:type="spellEnd"/>
      <w:r w:rsidRPr="00C2082C">
        <w:rPr>
          <w:color w:val="000000" w:themeColor="text1"/>
          <w:sz w:val="20"/>
        </w:rPr>
        <w:t xml:space="preserve"> (en six langues), qui a enregistré 12 750 abonnés, représente désormais un canal essentiel pour les observateurs de l’OMPI.  L’Enquête biennale sur la perception des parties prenantes a permis de faire un sondage </w:t>
      </w:r>
      <w:r w:rsidRPr="00C2082C">
        <w:rPr>
          <w:color w:val="000000" w:themeColor="text1"/>
          <w:sz w:val="20"/>
        </w:rPr>
        <w:lastRenderedPageBreak/>
        <w:t>d’opinion auprès d’un échantillon représentatif de 7680 parties prenantes, 74% des répondants considérant l’OMPI comme le forum mondial dans le domaine de la propriété intellectuelle et 84% considérant que l’OMPI a une bonne réputation.</w:t>
      </w:r>
    </w:p>
    <w:p w14:paraId="6FB61F53" w14:textId="77777777" w:rsidR="00C2082C" w:rsidRPr="00C2082C" w:rsidRDefault="00C2082C" w:rsidP="00C2082C">
      <w:pPr>
        <w:numPr>
          <w:ilvl w:val="0"/>
          <w:numId w:val="92"/>
        </w:numPr>
        <w:spacing w:after="120"/>
        <w:ind w:left="357" w:hanging="357"/>
        <w:jc w:val="both"/>
        <w:rPr>
          <w:color w:val="000000" w:themeColor="text1"/>
          <w:sz w:val="20"/>
        </w:rPr>
      </w:pPr>
      <w:r w:rsidRPr="00C2082C">
        <w:rPr>
          <w:i/>
          <w:color w:val="000000" w:themeColor="text1"/>
          <w:sz w:val="20"/>
        </w:rPr>
        <w:t xml:space="preserve">Influence et visibilité.  </w:t>
      </w:r>
      <w:r w:rsidRPr="00C2082C">
        <w:rPr>
          <w:color w:val="000000" w:themeColor="text1"/>
          <w:sz w:val="20"/>
        </w:rPr>
        <w:t xml:space="preserve">Les principaux produits et manifestations de l’OMPI, identifiés comme des priorités stratégiques en matière de communication, ont eu un impact non négligeable grâce à une diffusion médiatique ciblée et à une stratégie de communication multicanale intégrée.  Le lancement en 2016 du rapport intitulé </w:t>
      </w:r>
      <w:r w:rsidRPr="00C2082C">
        <w:rPr>
          <w:i/>
          <w:color w:val="000000" w:themeColor="text1"/>
          <w:sz w:val="20"/>
        </w:rPr>
        <w:t>Indice mondial de l’innovation (GII)</w:t>
      </w:r>
      <w:r w:rsidRPr="00C2082C">
        <w:rPr>
          <w:color w:val="000000" w:themeColor="text1"/>
          <w:sz w:val="20"/>
        </w:rPr>
        <w:t xml:space="preserve"> et des</w:t>
      </w:r>
      <w:r w:rsidRPr="00C2082C">
        <w:rPr>
          <w:i/>
          <w:color w:val="000000" w:themeColor="text1"/>
          <w:sz w:val="20"/>
        </w:rPr>
        <w:t xml:space="preserve"> Indicateurs mondiaux relatifs à la propriété intellectuelle (WIPI)</w:t>
      </w:r>
      <w:r w:rsidRPr="00C2082C">
        <w:rPr>
          <w:color w:val="000000" w:themeColor="text1"/>
          <w:sz w:val="20"/>
        </w:rPr>
        <w:t xml:space="preserve"> ont battu leur record de couverture médiatique internationale</w:t>
      </w:r>
      <w:r w:rsidRPr="00C2082C">
        <w:rPr>
          <w:rStyle w:val="FootnoteReference"/>
          <w:rFonts w:cs="Arial"/>
          <w:color w:val="000000" w:themeColor="text1"/>
          <w:sz w:val="20"/>
        </w:rPr>
        <w:footnoteReference w:id="7"/>
      </w:r>
      <w:r w:rsidRPr="00C2082C">
        <w:rPr>
          <w:color w:val="000000" w:themeColor="text1"/>
          <w:sz w:val="20"/>
        </w:rPr>
        <w:t>, ce qui a renforcé la reconnaissance par le grand public de l’OMPI en tant que référence mondiale de l’information en matière de propriété intellectuelle.  La technologie innovante de l’OMPI en matière de traduction a également fait l’objet d’une couverture médiatique à impact élevé, avec plus de 50 articles de presse d’une portée potentielle de 62,6 millions de lecteurs, ainsi que 7200 vues de contenus promotionnels sur l’Internet.</w:t>
      </w:r>
    </w:p>
    <w:p w14:paraId="38DCA305" w14:textId="77777777" w:rsidR="00C2082C" w:rsidRPr="00C2082C" w:rsidRDefault="00C2082C" w:rsidP="00C2082C">
      <w:pPr>
        <w:pStyle w:val="ListParagraph"/>
        <w:numPr>
          <w:ilvl w:val="0"/>
          <w:numId w:val="92"/>
        </w:numPr>
        <w:spacing w:after="120"/>
        <w:contextualSpacing w:val="0"/>
        <w:jc w:val="both"/>
        <w:rPr>
          <w:rFonts w:ascii="Arial" w:hAnsi="Arial" w:cs="Arial"/>
          <w:color w:val="000000" w:themeColor="text1"/>
          <w:sz w:val="20"/>
          <w:szCs w:val="20"/>
        </w:rPr>
      </w:pPr>
      <w:r w:rsidRPr="00C2082C">
        <w:rPr>
          <w:rFonts w:ascii="Arial" w:hAnsi="Arial" w:cs="Arial"/>
          <w:i/>
          <w:color w:val="000000" w:themeColor="text1"/>
          <w:sz w:val="20"/>
          <w:szCs w:val="20"/>
        </w:rPr>
        <w:t xml:space="preserve">Engagement des parties prenantes.  </w:t>
      </w:r>
      <w:r w:rsidRPr="00C2082C">
        <w:rPr>
          <w:rFonts w:ascii="Arial" w:hAnsi="Arial" w:cs="Arial"/>
          <w:color w:val="000000" w:themeColor="text1"/>
          <w:sz w:val="20"/>
          <w:szCs w:val="20"/>
        </w:rPr>
        <w:t>Des campagnes numériques multiplateformes visant à faire la promotion des manifestations de premier plan, dont la Conférence de l’OMPI sur le marché mondial des contenus numériques (67 200 vues sur le tweet le plus populaire, à savoir #GDCM) et l’entrée en vigueur du Traité de Marrakech (plus de 103 100 vues sur le tweet le plus populaire), ont été lancées.  La campagne pour la Journée mondiale de la propriété intellectuelle, qui a été relayée par les bureaux extérieurs de l’OMPI, a battu son record de participation : 450 manifestations annoncées dans 122 pays et des fans du monde entier, notamment de l’Inde, des États</w:t>
      </w:r>
      <w:r w:rsidRPr="00C2082C">
        <w:rPr>
          <w:rFonts w:ascii="Arial" w:hAnsi="Arial" w:cs="Arial"/>
          <w:color w:val="000000" w:themeColor="text1"/>
          <w:sz w:val="20"/>
          <w:szCs w:val="20"/>
        </w:rPr>
        <w:noBreakHyphen/>
        <w:t>Unis d’Amérique, du Mexique, de l’Égypte et du Brésil, présents sur Facebook, soit une portée organique quotidienne de plus de 363 800 personnes.  Sur Twitter, le taux d’interactions positives avec les contenus de l’OMPI (environ 19 700 partages de tweets) par rapport au nombre d’abonnés (40 000 voire plus) illustre un engagement communautaire fort.</w:t>
      </w:r>
    </w:p>
    <w:p w14:paraId="0366D801" w14:textId="77777777" w:rsidR="00C2082C" w:rsidRPr="00C2082C" w:rsidRDefault="00C2082C" w:rsidP="00C2082C">
      <w:pPr>
        <w:pStyle w:val="ListParagraph"/>
        <w:numPr>
          <w:ilvl w:val="0"/>
          <w:numId w:val="92"/>
        </w:numPr>
        <w:spacing w:after="120"/>
        <w:contextualSpacing w:val="0"/>
        <w:jc w:val="both"/>
        <w:rPr>
          <w:rFonts w:ascii="Arial" w:hAnsi="Arial" w:cs="Arial"/>
          <w:color w:val="000000" w:themeColor="text1"/>
          <w:sz w:val="20"/>
          <w:szCs w:val="20"/>
        </w:rPr>
      </w:pPr>
      <w:r w:rsidRPr="00C2082C">
        <w:rPr>
          <w:rFonts w:ascii="Arial" w:hAnsi="Arial" w:cs="Arial"/>
          <w:i/>
          <w:color w:val="000000" w:themeColor="text1"/>
          <w:sz w:val="20"/>
          <w:szCs w:val="20"/>
        </w:rPr>
        <w:t>Accès plus large aux publications et disponibilité géographique des publicati</w:t>
      </w:r>
      <w:r w:rsidRPr="00C2082C">
        <w:rPr>
          <w:rFonts w:ascii="Arial" w:hAnsi="Arial" w:cs="Arial"/>
          <w:color w:val="000000" w:themeColor="text1"/>
          <w:sz w:val="20"/>
          <w:szCs w:val="20"/>
        </w:rPr>
        <w:t xml:space="preserve">ons.  La politique en matière d’accès libre visant à faciliter la réutilisation gratuite et la traduction des publications de l’OMPI été lancée : 81 publications ont été rééditées sous la licence </w:t>
      </w:r>
      <w:proofErr w:type="spellStart"/>
      <w:r w:rsidRPr="00C2082C">
        <w:rPr>
          <w:rFonts w:ascii="Arial" w:hAnsi="Arial" w:cs="Arial"/>
          <w:color w:val="000000" w:themeColor="text1"/>
          <w:sz w:val="20"/>
          <w:szCs w:val="20"/>
        </w:rPr>
        <w:t>Creative</w:t>
      </w:r>
      <w:proofErr w:type="spellEnd"/>
      <w:r w:rsidRPr="00C2082C">
        <w:rPr>
          <w:rFonts w:ascii="Arial" w:hAnsi="Arial" w:cs="Arial"/>
          <w:color w:val="000000" w:themeColor="text1"/>
          <w:sz w:val="20"/>
          <w:szCs w:val="20"/>
        </w:rPr>
        <w:t xml:space="preserve"> Commons la plus ouverte (CC</w:t>
      </w:r>
      <w:r w:rsidRPr="00C2082C">
        <w:rPr>
          <w:rFonts w:ascii="Arial" w:hAnsi="Arial" w:cs="Arial"/>
          <w:color w:val="000000" w:themeColor="text1"/>
          <w:sz w:val="20"/>
          <w:szCs w:val="20"/>
        </w:rPr>
        <w:noBreakHyphen/>
        <w:t>BY).  Quatre nouveaux États membres ont désormais accès aux bibliothèques dépositaires de l’OMPI, ce qui porte à 109 le nombre total d’États membres ayant accès à ces bibliothèques.  À la suite de l’engagement de l’OMPI en faveur de la Charte de l’édition en format accessible, les 17 premières publications ont été publiées dans des formats accessibles aux déficients visuels.</w:t>
      </w:r>
    </w:p>
    <w:p w14:paraId="1B794208" w14:textId="77777777" w:rsidR="00C2082C" w:rsidRPr="00C2082C" w:rsidRDefault="00C2082C" w:rsidP="00C2082C">
      <w:pPr>
        <w:pStyle w:val="ListParagraph"/>
        <w:numPr>
          <w:ilvl w:val="0"/>
          <w:numId w:val="92"/>
        </w:numPr>
        <w:spacing w:after="120"/>
        <w:contextualSpacing w:val="0"/>
        <w:jc w:val="both"/>
        <w:rPr>
          <w:rFonts w:ascii="Arial" w:hAnsi="Arial" w:cs="Arial"/>
          <w:color w:val="000000" w:themeColor="text1"/>
          <w:sz w:val="20"/>
          <w:szCs w:val="20"/>
        </w:rPr>
      </w:pPr>
      <w:r w:rsidRPr="00C2082C">
        <w:rPr>
          <w:rFonts w:ascii="Arial" w:hAnsi="Arial" w:cs="Arial"/>
          <w:i/>
          <w:color w:val="000000" w:themeColor="text1"/>
          <w:sz w:val="20"/>
          <w:szCs w:val="20"/>
        </w:rPr>
        <w:t xml:space="preserve">Culture du service.  </w:t>
      </w:r>
      <w:r w:rsidRPr="00C2082C">
        <w:rPr>
          <w:rFonts w:ascii="Arial" w:hAnsi="Arial" w:cs="Arial"/>
          <w:color w:val="000000" w:themeColor="text1"/>
          <w:sz w:val="20"/>
          <w:szCs w:val="20"/>
        </w:rPr>
        <w:t>Le nouveau Centre de services à la clientèle, présidé par le Directeur général, a commencé à standardiser le traitement des demandes émises par les clients dans les systèmes mondiaux de propriété intellectuelle et d’autres services, y compris au sein des bureaux extérieurs.</w:t>
      </w:r>
    </w:p>
    <w:p w14:paraId="15E6F211" w14:textId="77777777" w:rsidR="00C2082C" w:rsidRPr="00C2082C" w:rsidRDefault="00C2082C" w:rsidP="00C2082C">
      <w:pPr>
        <w:pStyle w:val="ListParagraph"/>
        <w:numPr>
          <w:ilvl w:val="0"/>
          <w:numId w:val="92"/>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S’agissant des relations extérieures, l’année 2016 a été marquée par le début de la mise en œuvre de plusieurs processus intergouvernementaux et des Nations Unies présentant de l’importance pour le mandat de l’OMPI, à savoir notamment le Programme de développement durable à l’horizon 2030, la troisième Conférence internationale sur le financement du développement (FFD3), l’Accord de Paris dans le cadre de la Convention</w:t>
      </w:r>
      <w:r w:rsidRPr="00C2082C">
        <w:rPr>
          <w:rFonts w:ascii="Arial" w:hAnsi="Arial" w:cs="Arial"/>
          <w:color w:val="000000" w:themeColor="text1"/>
          <w:sz w:val="20"/>
          <w:szCs w:val="20"/>
        </w:rPr>
        <w:noBreakHyphen/>
        <w:t>cadre des Nations Unies sur le changement climatique (CCNUCC) et la quatorzième session de la Conférence des Nations Unies sur le commerce et le développement (CNUCED).  En tant qu’institution spécialisée des Nations Unies et conformément à son mandat ainsi qu’aux Recommandations n° 30 et n° 40 de son Plan d’action pour le développement, l’OMPI a continué de jouer son rôle en apportant son concours à ces processus grâce à son engagement stratégique et à la fourniture d’informations stabilisées, basées sur des données factuelles et en réagissant dans les meilleurs délais à des demandes spécifiques de contribution et de coopération.</w:t>
      </w:r>
    </w:p>
    <w:p w14:paraId="57E142C0" w14:textId="77777777" w:rsidR="00C2082C" w:rsidRPr="00C2082C" w:rsidRDefault="00C2082C" w:rsidP="00C2082C">
      <w:pPr>
        <w:pStyle w:val="ListParagraph"/>
        <w:numPr>
          <w:ilvl w:val="0"/>
          <w:numId w:val="92"/>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 xml:space="preserve">En tant que membre du Groupe de travail </w:t>
      </w:r>
      <w:proofErr w:type="spellStart"/>
      <w:r w:rsidRPr="00C2082C">
        <w:rPr>
          <w:rFonts w:ascii="Arial" w:hAnsi="Arial" w:cs="Arial"/>
          <w:color w:val="000000" w:themeColor="text1"/>
          <w:sz w:val="20"/>
          <w:szCs w:val="20"/>
        </w:rPr>
        <w:t>interinstitutions</w:t>
      </w:r>
      <w:proofErr w:type="spellEnd"/>
      <w:r w:rsidRPr="00C2082C">
        <w:rPr>
          <w:rFonts w:ascii="Arial" w:hAnsi="Arial" w:cs="Arial"/>
          <w:color w:val="000000" w:themeColor="text1"/>
          <w:sz w:val="20"/>
          <w:szCs w:val="20"/>
        </w:rPr>
        <w:t xml:space="preserve"> des Nations Unies sur la science, la technologie et l’innovation pour la réalisation des objectifs de développement durable, l’OMPI a participé à l’organisation du premier Forum annuel de collaboration multipartite sur la science, la technologie et l’innovation pour la réalisation des objectifs de développement durable.  Ce Forum, </w:t>
      </w:r>
      <w:r w:rsidRPr="00C2082C">
        <w:rPr>
          <w:rFonts w:ascii="Arial" w:hAnsi="Arial" w:cs="Arial"/>
          <w:color w:val="000000" w:themeColor="text1"/>
          <w:sz w:val="20"/>
          <w:szCs w:val="20"/>
        </w:rPr>
        <w:lastRenderedPageBreak/>
        <w:t xml:space="preserve">placé sous le thème “Exploiter le potentiel de la science, de la technologie et de l’innovation pour permettre à tous de réaliser les objectifs de développement durable”, a été organisé par le Conseil économique et social (ECOSOC).  L’OMPI a également appuyé, en tant qu’observateur, les travaux du Groupe d’experts </w:t>
      </w:r>
      <w:proofErr w:type="spellStart"/>
      <w:r w:rsidRPr="00C2082C">
        <w:rPr>
          <w:rFonts w:ascii="Arial" w:hAnsi="Arial" w:cs="Arial"/>
          <w:color w:val="000000" w:themeColor="text1"/>
          <w:sz w:val="20"/>
          <w:szCs w:val="20"/>
        </w:rPr>
        <w:t>interinstitutions</w:t>
      </w:r>
      <w:proofErr w:type="spellEnd"/>
      <w:r w:rsidRPr="00C2082C">
        <w:rPr>
          <w:rFonts w:ascii="Arial" w:hAnsi="Arial" w:cs="Arial"/>
          <w:color w:val="000000" w:themeColor="text1"/>
          <w:sz w:val="20"/>
          <w:szCs w:val="20"/>
        </w:rPr>
        <w:t xml:space="preserve"> sur les indicateurs des objectifs de développement durable (IAEG</w:t>
      </w:r>
      <w:r w:rsidRPr="00C2082C">
        <w:rPr>
          <w:rFonts w:ascii="Arial" w:hAnsi="Arial" w:cs="Arial"/>
          <w:color w:val="000000" w:themeColor="text1"/>
          <w:sz w:val="20"/>
          <w:szCs w:val="20"/>
        </w:rPr>
        <w:noBreakHyphen/>
        <w:t>SDG) et la Commission statistique des Nations Unies, et l’Organisation a mis à la disposition des États membres qui le demandaient ses jeux de données et ses méthodologies en matière de données.</w:t>
      </w:r>
    </w:p>
    <w:p w14:paraId="77CAB203" w14:textId="77777777" w:rsidR="00C2082C" w:rsidRPr="00C2082C" w:rsidRDefault="00C2082C" w:rsidP="00C2082C">
      <w:pPr>
        <w:pStyle w:val="ListParagraph"/>
        <w:numPr>
          <w:ilvl w:val="0"/>
          <w:numId w:val="92"/>
        </w:numPr>
        <w:spacing w:after="120"/>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Le réseau des bureaux extérieurs de l’OMPI fait toujours partie intégrante de l’Organisation, et il a vocation à apporter les services et la coopération de l’OMPI au plus près des États membres, des parties prenantes et des partenaires afin d’accroître l’efficience et l’efficacité de l’exécution du programme, tout en répondant aux besoins et priorités spécifiques des pays ou régions qu’ils servent.  En 2016, les bureaux extérieurs ont concentré leurs efforts sur la promotion des systèmes d’enregistrement international, des plateformes et des solutions opérationnelles de l’OMPI destinées aux offices de propriété intellectuelle, ainsi que sur le renforcement des relations avec diverses parties prenantes.</w:t>
      </w:r>
    </w:p>
    <w:p w14:paraId="361C1D5E" w14:textId="77777777" w:rsidR="00C2082C" w:rsidRPr="00C2082C" w:rsidRDefault="00C2082C" w:rsidP="00C2082C">
      <w:pPr>
        <w:rPr>
          <w:sz w:val="20"/>
        </w:rPr>
      </w:pPr>
    </w:p>
    <w:p w14:paraId="53C355A6" w14:textId="77777777" w:rsidR="00C2082C" w:rsidRPr="00340492" w:rsidRDefault="00C2082C" w:rsidP="00C2082C">
      <w:pPr>
        <w:jc w:val="center"/>
        <w:rPr>
          <w:b/>
          <w:iCs/>
          <w:color w:val="000000" w:themeColor="text1"/>
          <w:szCs w:val="22"/>
        </w:rPr>
      </w:pPr>
      <w:r w:rsidRPr="00340492">
        <w:rPr>
          <w:b/>
          <w:iCs/>
          <w:color w:val="000000" w:themeColor="text1"/>
          <w:szCs w:val="22"/>
        </w:rPr>
        <w:t>Objectif stratégique IX : Structure d’appui administratif et financier efficace afin de permettre à l’OMPI d’exécuter ses programmes</w:t>
      </w:r>
    </w:p>
    <w:p w14:paraId="07B9B646" w14:textId="77777777" w:rsidR="00C2082C" w:rsidRPr="00C2082C" w:rsidRDefault="00C2082C" w:rsidP="00C2082C">
      <w:pPr>
        <w:jc w:val="center"/>
        <w:rPr>
          <w:color w:val="000000" w:themeColor="text1"/>
          <w:sz w:val="20"/>
        </w:rPr>
      </w:pPr>
      <w:r w:rsidRPr="00C2082C">
        <w:rPr>
          <w:noProof/>
          <w:sz w:val="20"/>
          <w:lang w:val="en-US"/>
        </w:rPr>
        <w:drawing>
          <wp:inline distT="0" distB="0" distL="0" distR="0" wp14:anchorId="7F764483" wp14:editId="772F5591">
            <wp:extent cx="3693600" cy="242457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3600" cy="2424575"/>
                    </a:xfrm>
                    <a:prstGeom prst="rect">
                      <a:avLst/>
                    </a:prstGeom>
                    <a:noFill/>
                    <a:ln>
                      <a:noFill/>
                    </a:ln>
                  </pic:spPr>
                </pic:pic>
              </a:graphicData>
            </a:graphic>
          </wp:inline>
        </w:drawing>
      </w:r>
    </w:p>
    <w:p w14:paraId="7A923D4B" w14:textId="77777777" w:rsidR="00C2082C" w:rsidRPr="00C2082C" w:rsidRDefault="00C2082C" w:rsidP="00C2082C">
      <w:pPr>
        <w:numPr>
          <w:ilvl w:val="0"/>
          <w:numId w:val="87"/>
        </w:numPr>
        <w:ind w:left="0" w:firstLine="0"/>
        <w:jc w:val="both"/>
        <w:rPr>
          <w:color w:val="000000" w:themeColor="text1"/>
          <w:sz w:val="20"/>
        </w:rPr>
      </w:pPr>
      <w:r w:rsidRPr="00C2082C">
        <w:rPr>
          <w:color w:val="000000" w:themeColor="text1"/>
          <w:sz w:val="20"/>
        </w:rPr>
        <w:t>La gestion des programmes et des finances de l’OMPI a continué d’être renforcée en 2016 afin que les ressources soient utilisées plus efficacement et que des pratiques optimales soient établies dans un secteur de l’administration ayant trait à la planification, à la gestion des performances et à l’appui à diverses activités opérationnelles dans l’ensemble de l’Organisation.</w:t>
      </w:r>
    </w:p>
    <w:p w14:paraId="57466A58" w14:textId="77777777" w:rsidR="00C2082C" w:rsidRPr="00C2082C" w:rsidRDefault="00C2082C" w:rsidP="00C2082C">
      <w:pPr>
        <w:jc w:val="both"/>
        <w:rPr>
          <w:color w:val="000000" w:themeColor="text1"/>
          <w:sz w:val="20"/>
        </w:rPr>
      </w:pPr>
    </w:p>
    <w:p w14:paraId="436A94CD"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L’OMPI a terminé l’année avec un résultat global positif de 32 millions de francs suisses sur la base des normes IPSAS.  En 2016, les recettes avant les ajustements IPSAS se sont élevées à 384,7 millions de francs suisses, soit 11,4 millions de francs suisses de plus que l’objectif linéaire de 373,3 millions de francs suisses.  Les dépenses budgétaires totales se sont élevées à 322,2 millions de francs suisses, soit 92,6% de l’objectif linéaire de 347,9 millions de francs suisses.</w:t>
      </w:r>
    </w:p>
    <w:p w14:paraId="6ADB465A"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Les processus annuels de planification du travail ont continué d’être renforcés en 2016, avec l’instauration d’un examen plus systématique de la mise en œuvre du plan de travail, y compris d’examens semestriels et annuels à l’échelle de l’Organisation.</w:t>
      </w:r>
    </w:p>
    <w:p w14:paraId="7926C847"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Plusieurs projets ERP ont progressé, y compris la gestion des talents, la gestion des contacts, la gestion du temps et le libre</w:t>
      </w:r>
      <w:r w:rsidRPr="00C2082C">
        <w:rPr>
          <w:color w:val="000000" w:themeColor="text1"/>
          <w:sz w:val="20"/>
        </w:rPr>
        <w:noBreakHyphen/>
        <w:t xml:space="preserve">service.  L’architecture en matière de paiements a fait l’objet d’un examen complet dans le cadre du projet relatif à la gestion des recettes.  Les nouvelles indemnisations prévues par la CFPI ont été mises en œuvre avec succès, et l’outil de planification de l’OMPI a permis d’améliorer les prévisions de volumes de traduction pour le PCT et la budgétisation en la matière.  Les délais de recrutement se sont raccourcis, passant de 26,32 semaines en 2015 à 18,81 semaines en 2016, au fur et à mesure de la stabilisation de l’outil de recrutement </w:t>
      </w:r>
      <w:proofErr w:type="spellStart"/>
      <w:r w:rsidRPr="00C2082C">
        <w:rPr>
          <w:color w:val="000000" w:themeColor="text1"/>
          <w:sz w:val="20"/>
        </w:rPr>
        <w:t>Taleo</w:t>
      </w:r>
      <w:proofErr w:type="spellEnd"/>
      <w:r w:rsidRPr="00C2082C">
        <w:rPr>
          <w:color w:val="000000" w:themeColor="text1"/>
          <w:sz w:val="20"/>
        </w:rPr>
        <w:t xml:space="preserve"> jusqu’à fin 2016.</w:t>
      </w:r>
    </w:p>
    <w:p w14:paraId="5FDE470C"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 xml:space="preserve">L’établissement de rapports sur les risques a été renforcé par la production d’un rapport trimestriel qui donne une vue d’ensemble du portefeuille de risques ainsi que de rapports sur les facteurs </w:t>
      </w:r>
      <w:r w:rsidRPr="00C2082C">
        <w:rPr>
          <w:color w:val="000000" w:themeColor="text1"/>
          <w:sz w:val="20"/>
        </w:rPr>
        <w:lastRenderedPageBreak/>
        <w:t>extérieurs qui influent sur l’environnement opérationnel de l’Organisation et sur les risques auxquels elle est exposée.</w:t>
      </w:r>
    </w:p>
    <w:p w14:paraId="6D588FEB" w14:textId="77777777" w:rsidR="00C2082C" w:rsidRPr="001303B4" w:rsidRDefault="00C2082C" w:rsidP="00C2082C">
      <w:pPr>
        <w:numPr>
          <w:ilvl w:val="0"/>
          <w:numId w:val="93"/>
        </w:numPr>
        <w:spacing w:after="120"/>
        <w:jc w:val="both"/>
        <w:rPr>
          <w:color w:val="000000" w:themeColor="text1"/>
          <w:sz w:val="20"/>
        </w:rPr>
      </w:pPr>
      <w:r w:rsidRPr="00C2082C">
        <w:rPr>
          <w:color w:val="000000" w:themeColor="text1"/>
          <w:sz w:val="20"/>
        </w:rPr>
        <w:t>Des progrès importants ont été accomplis en ce qui concerne le renforcement des contrôles internes de l’OMPI, avec une auto</w:t>
      </w:r>
      <w:r w:rsidRPr="00C2082C">
        <w:rPr>
          <w:color w:val="000000" w:themeColor="text1"/>
          <w:sz w:val="20"/>
        </w:rPr>
        <w:noBreakHyphen/>
        <w:t xml:space="preserve">évaluation systématique des 39 procédures de contrôle au niveau des entités visant à évaluer l’efficacité du contrôle interne et son niveau de maturité.  </w:t>
      </w:r>
      <w:r w:rsidRPr="001303B4">
        <w:rPr>
          <w:color w:val="000000" w:themeColor="text1"/>
          <w:sz w:val="20"/>
        </w:rPr>
        <w:t>Cela a permis aux hauts fonctionnaires de l’OMPI de signer les lettres de déclaration de responsabilité sur la base de données probantes dans le cadre de la clôture de l’exercice annuel.</w:t>
      </w:r>
    </w:p>
    <w:p w14:paraId="79960E2C"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 xml:space="preserve">Pour plus de souplesse et pour mieux servir les clients, en 2016 : i) un convertisseur de devises évolutif faisant passer </w:t>
      </w:r>
      <w:r w:rsidRPr="001303B4">
        <w:rPr>
          <w:color w:val="000000" w:themeColor="text1"/>
          <w:sz w:val="20"/>
        </w:rPr>
        <w:t>les commissions pour paiement par carte de crédit</w:t>
      </w:r>
      <w:r w:rsidRPr="00C2082C">
        <w:rPr>
          <w:color w:val="000000" w:themeColor="text1"/>
          <w:sz w:val="20"/>
        </w:rPr>
        <w:t xml:space="preserve"> de 2,2% à 1,4%, réduisant les frais et offrant davantage de choix aux clients a été mis en œuvre;  ii) la plateforme e</w:t>
      </w:r>
      <w:r w:rsidRPr="00C2082C">
        <w:rPr>
          <w:color w:val="000000" w:themeColor="text1"/>
          <w:sz w:val="20"/>
        </w:rPr>
        <w:noBreakHyphen/>
      </w:r>
      <w:proofErr w:type="spellStart"/>
      <w:r w:rsidRPr="00C2082C">
        <w:rPr>
          <w:color w:val="000000" w:themeColor="text1"/>
          <w:sz w:val="20"/>
        </w:rPr>
        <w:t>Pay</w:t>
      </w:r>
      <w:proofErr w:type="spellEnd"/>
      <w:r w:rsidRPr="00C2082C">
        <w:rPr>
          <w:color w:val="000000" w:themeColor="text1"/>
          <w:sz w:val="20"/>
        </w:rPr>
        <w:t xml:space="preserve"> a été élargie au Centre d’arbitrage et de médiation de l’OMPI;  iii) le système de compte courant a été amélioré pour simplifier les options de règlement dont disposent les clients et pour faciliter l’ouverture et la gestion de comptes.</w:t>
      </w:r>
    </w:p>
    <w:p w14:paraId="0CAAAC18"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 xml:space="preserve">Le remboursement anticipé du prêt contracté auprès de la Banque Cantonale de Genève a été effectué grâce aux fonds propres, ce qui a permis de faire baisser les intérêts versés de 0,3 million de francs suisses.  La sécurité et de la diversification des risques ont augmenté pour les opérations courantes grâce à l’accroissement de 33% des contreparties de placement disponibles en 2016 afin d’inclure d’autres banques (Barclays Bank PLC, Crédit Mutuel et </w:t>
      </w:r>
      <w:proofErr w:type="spellStart"/>
      <w:r w:rsidRPr="00C2082C">
        <w:rPr>
          <w:color w:val="000000" w:themeColor="text1"/>
          <w:sz w:val="20"/>
        </w:rPr>
        <w:t>Raiffeisen</w:t>
      </w:r>
      <w:proofErr w:type="spellEnd"/>
      <w:r w:rsidRPr="00C2082C">
        <w:rPr>
          <w:color w:val="000000" w:themeColor="text1"/>
          <w:sz w:val="20"/>
        </w:rPr>
        <w:t>) remplissant les critères de notation de l’OMPI.</w:t>
      </w:r>
    </w:p>
    <w:p w14:paraId="0A98BCCF"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À la suite de la mise en œuvre de la nouvelle politique d’investissement fin 2015, l’appel à propositions (RFP) pour la gestion des fonds d’investissement a été achevé en 2016, et un nouveau RFP a été lancé pour un dépositaire central.</w:t>
      </w:r>
    </w:p>
    <w:p w14:paraId="20900B7F"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 xml:space="preserve">Parmi les autres initiatives en matière de trésorerie figurent : i) le renforcement de la capacité opérationnelle et </w:t>
      </w:r>
      <w:r w:rsidRPr="001303B4">
        <w:rPr>
          <w:color w:val="000000" w:themeColor="text1"/>
          <w:sz w:val="20"/>
        </w:rPr>
        <w:t xml:space="preserve">l’efficience accrue de la tarification des transactions opérées dans le cadre de contrats à terme et de </w:t>
      </w:r>
      <w:r w:rsidRPr="001303B4">
        <w:rPr>
          <w:i/>
          <w:color w:val="000000" w:themeColor="text1"/>
          <w:sz w:val="20"/>
        </w:rPr>
        <w:t>swaps</w:t>
      </w:r>
      <w:r w:rsidRPr="001303B4">
        <w:rPr>
          <w:color w:val="000000" w:themeColor="text1"/>
          <w:sz w:val="20"/>
        </w:rPr>
        <w:t xml:space="preserve"> auprès du</w:t>
      </w:r>
      <w:r w:rsidRPr="00C2082C">
        <w:rPr>
          <w:color w:val="000000" w:themeColor="text1"/>
          <w:sz w:val="20"/>
        </w:rPr>
        <w:t xml:space="preserve"> Crédit Suisse afin d’inclure UBS, la Société Générale et la </w:t>
      </w:r>
      <w:r w:rsidRPr="00C2082C">
        <w:rPr>
          <w:i/>
          <w:color w:val="000000" w:themeColor="text1"/>
          <w:sz w:val="20"/>
        </w:rPr>
        <w:t xml:space="preserve">Bank of </w:t>
      </w:r>
      <w:proofErr w:type="spellStart"/>
      <w:r w:rsidRPr="00C2082C">
        <w:rPr>
          <w:i/>
          <w:color w:val="000000" w:themeColor="text1"/>
          <w:sz w:val="20"/>
        </w:rPr>
        <w:t>America</w:t>
      </w:r>
      <w:proofErr w:type="spellEnd"/>
      <w:r w:rsidRPr="00C2082C">
        <w:rPr>
          <w:color w:val="000000" w:themeColor="text1"/>
          <w:sz w:val="20"/>
        </w:rPr>
        <w:t xml:space="preserve">;  ii) la détermination de l’état quotidien de la trésorerie de l’OMPI et la prévision des rentrées et des sorties trimestrielles de l’OMPI afin de gérer la situation de liquidité de l’Organisation et les charges induites par les taux d’intérêt négatifs et de veiller à ce que l’Organisation dispose en permanence de ressources de trésorerie suffisantes pour s’acquitter de ses obligations financières;  iii) la garantie d’une </w:t>
      </w:r>
      <w:r w:rsidRPr="001303B4">
        <w:rPr>
          <w:color w:val="000000" w:themeColor="text1"/>
          <w:sz w:val="20"/>
        </w:rPr>
        <w:t>tarification efficiente</w:t>
      </w:r>
      <w:r w:rsidRPr="00C2082C">
        <w:rPr>
          <w:color w:val="000000" w:themeColor="text1"/>
          <w:sz w:val="20"/>
        </w:rPr>
        <w:t xml:space="preserve"> et l’accroissement de la concurrence pour les opérations de change au comptant avec l’expansion des pourvoyeurs de liquidités sur le marché des changes afin d’inclure la Société Générale et la </w:t>
      </w:r>
      <w:r w:rsidRPr="00C2082C">
        <w:rPr>
          <w:i/>
          <w:color w:val="000000" w:themeColor="text1"/>
          <w:sz w:val="20"/>
        </w:rPr>
        <w:t xml:space="preserve">Bank of </w:t>
      </w:r>
      <w:proofErr w:type="spellStart"/>
      <w:r w:rsidRPr="00C2082C">
        <w:rPr>
          <w:i/>
          <w:color w:val="000000" w:themeColor="text1"/>
          <w:sz w:val="20"/>
        </w:rPr>
        <w:t>America</w:t>
      </w:r>
      <w:proofErr w:type="spellEnd"/>
      <w:r w:rsidRPr="00C2082C">
        <w:rPr>
          <w:i/>
          <w:color w:val="000000" w:themeColor="text1"/>
          <w:sz w:val="20"/>
        </w:rPr>
        <w:t>.</w:t>
      </w:r>
    </w:p>
    <w:p w14:paraId="5115C6C0"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Un travail considérable a été effectué en 2016 afin de tisser de nouvelles relations avec les institutions bancaires des pays hôtes des offices extérieurs et de renforcer les relations existantes avec ces institutions, l’objectif étant de faciliter les opérations quotidiennes des bureaux et de renforcer la gestion financière globale.</w:t>
      </w:r>
    </w:p>
    <w:p w14:paraId="4B7695C1"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La planification des effectifs a été renforcée en 2016 grâce à un processus de planification des effectifs plus stratégique, de haut rang et proactif visant à analyser les lacunes/risques du secteur/programme sur une période de trois à cinq ans et à mieux définir la planification biennale.</w:t>
      </w:r>
    </w:p>
    <w:p w14:paraId="1F5BFD6F" w14:textId="77777777" w:rsidR="00C2082C" w:rsidRPr="00C2082C" w:rsidRDefault="00C2082C" w:rsidP="00C2082C">
      <w:pPr>
        <w:numPr>
          <w:ilvl w:val="0"/>
          <w:numId w:val="93"/>
        </w:numPr>
        <w:spacing w:after="120"/>
        <w:ind w:left="357" w:hanging="357"/>
        <w:jc w:val="both"/>
        <w:rPr>
          <w:color w:val="000000" w:themeColor="text1"/>
          <w:sz w:val="20"/>
        </w:rPr>
      </w:pPr>
      <w:r w:rsidRPr="00C2082C">
        <w:rPr>
          <w:color w:val="000000" w:themeColor="text1"/>
          <w:sz w:val="20"/>
        </w:rPr>
        <w:t xml:space="preserve">En 2016, l’OMPI a maintenu son engagement à intégrer la dimension paritaire dans ses activités et à respecter un calendrier précis pour assurer l’équilibre entre les sexes au sein de son personnel à tous les niveaux.  À cette fin, des marqueurs </w:t>
      </w:r>
      <w:proofErr w:type="spellStart"/>
      <w:r w:rsidRPr="00C2082C">
        <w:rPr>
          <w:color w:val="000000" w:themeColor="text1"/>
          <w:sz w:val="20"/>
        </w:rPr>
        <w:t>sexospécifiques</w:t>
      </w:r>
      <w:proofErr w:type="spellEnd"/>
      <w:r w:rsidRPr="00C2082C">
        <w:rPr>
          <w:color w:val="000000" w:themeColor="text1"/>
          <w:sz w:val="20"/>
        </w:rPr>
        <w:t xml:space="preserve"> ont été intégrés dans les processus de planification.  Si le pourcentage de femmes au niveau P4 (45,6%) a baissé d’un point par rapport à 2015, la proportion de femmes aux niveaux P</w:t>
      </w:r>
      <w:r w:rsidRPr="00C2082C">
        <w:rPr>
          <w:color w:val="000000" w:themeColor="text1"/>
          <w:sz w:val="20"/>
        </w:rPr>
        <w:noBreakHyphen/>
        <w:t>5 et D</w:t>
      </w:r>
      <w:r w:rsidRPr="00C2082C">
        <w:rPr>
          <w:color w:val="000000" w:themeColor="text1"/>
          <w:sz w:val="20"/>
        </w:rPr>
        <w:noBreakHyphen/>
        <w:t>1 a augmenté de 4,3 et 13,2 points de pourcentage respectivement.  La tendance à la baisse du nombre de femmes au niveau D</w:t>
      </w:r>
      <w:r w:rsidRPr="00C2082C">
        <w:rPr>
          <w:color w:val="000000" w:themeColor="text1"/>
          <w:sz w:val="20"/>
        </w:rPr>
        <w:noBreakHyphen/>
        <w:t>2 s’est confirmée (</w:t>
      </w:r>
      <w:r w:rsidRPr="00C2082C">
        <w:rPr>
          <w:color w:val="000000" w:themeColor="text1"/>
          <w:sz w:val="20"/>
        </w:rPr>
        <w:noBreakHyphen/>
        <w:t>5,5 points de pourcentage).</w:t>
      </w:r>
    </w:p>
    <w:p w14:paraId="27164984" w14:textId="77777777" w:rsidR="00C2082C" w:rsidRPr="00C2082C" w:rsidRDefault="00C2082C" w:rsidP="00C2082C">
      <w:pPr>
        <w:jc w:val="both"/>
        <w:rPr>
          <w:color w:val="000000" w:themeColor="text1"/>
          <w:sz w:val="20"/>
        </w:rPr>
      </w:pPr>
    </w:p>
    <w:p w14:paraId="1D0F1DA7" w14:textId="77777777" w:rsidR="00C2082C" w:rsidRPr="00C2082C" w:rsidRDefault="00C2082C" w:rsidP="00C2082C">
      <w:pPr>
        <w:pStyle w:val="Caption"/>
        <w:keepNext/>
        <w:jc w:val="center"/>
        <w:rPr>
          <w:b w:val="0"/>
          <w:i/>
          <w:color w:val="000000" w:themeColor="text1"/>
          <w:sz w:val="20"/>
        </w:rPr>
      </w:pPr>
      <w:r w:rsidRPr="00C2082C">
        <w:rPr>
          <w:b w:val="0"/>
          <w:i/>
          <w:color w:val="000000" w:themeColor="text1"/>
          <w:sz w:val="20"/>
        </w:rPr>
        <w:lastRenderedPageBreak/>
        <w:t>Pourcentage de personnel de la catégorie des administrateurs et des fonctionnaires de rang supérieur</w:t>
      </w:r>
      <w:r w:rsidRPr="00C2082C">
        <w:rPr>
          <w:b w:val="0"/>
          <w:i/>
          <w:color w:val="000000" w:themeColor="text1"/>
          <w:sz w:val="20"/>
        </w:rPr>
        <w:br/>
        <w:t>par sexe au cours de la période 2013</w:t>
      </w:r>
      <w:r w:rsidRPr="00C2082C">
        <w:rPr>
          <w:b w:val="0"/>
          <w:i/>
          <w:color w:val="000000" w:themeColor="text1"/>
          <w:sz w:val="20"/>
        </w:rPr>
        <w:noBreakHyphen/>
        <w:t>2016</w:t>
      </w:r>
    </w:p>
    <w:p w14:paraId="67F15B32" w14:textId="77777777" w:rsidR="00C2082C" w:rsidRPr="00C2082C" w:rsidRDefault="00C2082C" w:rsidP="00C2082C">
      <w:pPr>
        <w:jc w:val="center"/>
        <w:rPr>
          <w:color w:val="000000" w:themeColor="text1"/>
          <w:sz w:val="20"/>
        </w:rPr>
      </w:pPr>
      <w:r w:rsidRPr="00C2082C">
        <w:rPr>
          <w:noProof/>
          <w:sz w:val="20"/>
          <w:lang w:val="en-US"/>
        </w:rPr>
        <w:drawing>
          <wp:inline distT="0" distB="0" distL="0" distR="0" wp14:anchorId="6DF295BB" wp14:editId="0E672318">
            <wp:extent cx="4406400" cy="244308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6400" cy="2443085"/>
                    </a:xfrm>
                    <a:prstGeom prst="rect">
                      <a:avLst/>
                    </a:prstGeom>
                    <a:noFill/>
                    <a:ln>
                      <a:noFill/>
                    </a:ln>
                  </pic:spPr>
                </pic:pic>
              </a:graphicData>
            </a:graphic>
          </wp:inline>
        </w:drawing>
      </w:r>
    </w:p>
    <w:p w14:paraId="31446A9A" w14:textId="77777777" w:rsidR="00C2082C" w:rsidRPr="00C2082C" w:rsidRDefault="00C2082C" w:rsidP="00C2082C">
      <w:pPr>
        <w:rPr>
          <w:color w:val="000000" w:themeColor="text1"/>
          <w:sz w:val="20"/>
        </w:rPr>
      </w:pPr>
    </w:p>
    <w:p w14:paraId="28BA5CD4" w14:textId="77777777" w:rsidR="00C2082C" w:rsidRPr="00C2082C" w:rsidRDefault="00C2082C" w:rsidP="00C2082C">
      <w:pPr>
        <w:numPr>
          <w:ilvl w:val="0"/>
          <w:numId w:val="93"/>
        </w:numPr>
        <w:spacing w:after="120"/>
        <w:contextualSpacing/>
        <w:jc w:val="both"/>
        <w:rPr>
          <w:color w:val="000000" w:themeColor="text1"/>
          <w:sz w:val="20"/>
        </w:rPr>
      </w:pPr>
      <w:r w:rsidRPr="00C2082C">
        <w:rPr>
          <w:color w:val="000000" w:themeColor="text1"/>
          <w:sz w:val="20"/>
        </w:rPr>
        <w:t>S’agissant de la diversité géographique, le pourcentage de personnel originaire des régions Afrique, Asie et Pacifique, Europe de l’Est, Europe centrale, Asie centrale et Moyen</w:t>
      </w:r>
      <w:r w:rsidRPr="00C2082C">
        <w:rPr>
          <w:color w:val="000000" w:themeColor="text1"/>
          <w:sz w:val="20"/>
        </w:rPr>
        <w:noBreakHyphen/>
        <w:t>Orient a augmenté en 2016, tandis que le pourcentage de personnel originaire des régions Amérique latine et Caraïbes et Amérique du Nord a enregistré une légère diminution.  Le pourcentage de personnel originaire d’Europe de l’Ouest a enregistré une baisse plus importante de 3,6 points.</w:t>
      </w:r>
    </w:p>
    <w:p w14:paraId="1088046A" w14:textId="77777777" w:rsidR="00C2082C" w:rsidRPr="00C2082C" w:rsidRDefault="00C2082C" w:rsidP="00C2082C">
      <w:pPr>
        <w:contextualSpacing/>
        <w:jc w:val="both"/>
        <w:rPr>
          <w:color w:val="000000" w:themeColor="text1"/>
          <w:sz w:val="20"/>
        </w:rPr>
      </w:pPr>
    </w:p>
    <w:p w14:paraId="4D1E105A" w14:textId="77777777" w:rsidR="00C2082C" w:rsidRPr="00C2082C" w:rsidRDefault="00C2082C" w:rsidP="00C2082C">
      <w:pPr>
        <w:pStyle w:val="Caption"/>
        <w:keepNext/>
        <w:jc w:val="center"/>
        <w:rPr>
          <w:b w:val="0"/>
          <w:i/>
          <w:color w:val="000000" w:themeColor="text1"/>
          <w:sz w:val="20"/>
        </w:rPr>
      </w:pPr>
      <w:r w:rsidRPr="00C2082C">
        <w:rPr>
          <w:b w:val="0"/>
          <w:i/>
          <w:color w:val="000000" w:themeColor="text1"/>
          <w:sz w:val="20"/>
        </w:rPr>
        <w:t>Pourcentage de personnel de la catégorie des administrateurs et des fonctionnaires de rang supérieur</w:t>
      </w:r>
      <w:r w:rsidRPr="00C2082C">
        <w:rPr>
          <w:b w:val="0"/>
          <w:i/>
          <w:color w:val="000000" w:themeColor="text1"/>
          <w:sz w:val="20"/>
        </w:rPr>
        <w:br/>
        <w:t>par région au cours de la période 2012</w:t>
      </w:r>
      <w:r w:rsidRPr="00C2082C">
        <w:rPr>
          <w:b w:val="0"/>
          <w:i/>
          <w:color w:val="000000" w:themeColor="text1"/>
          <w:sz w:val="20"/>
        </w:rPr>
        <w:noBreakHyphen/>
        <w:t>2016</w:t>
      </w:r>
    </w:p>
    <w:p w14:paraId="15662F3B" w14:textId="77777777" w:rsidR="00C2082C" w:rsidRPr="00C2082C" w:rsidRDefault="00C2082C" w:rsidP="00C2082C">
      <w:pPr>
        <w:spacing w:after="120"/>
        <w:contextualSpacing/>
        <w:jc w:val="center"/>
        <w:rPr>
          <w:color w:val="000000" w:themeColor="text1"/>
          <w:sz w:val="20"/>
        </w:rPr>
      </w:pPr>
      <w:r w:rsidRPr="00C2082C">
        <w:rPr>
          <w:noProof/>
          <w:sz w:val="20"/>
          <w:lang w:val="en-US"/>
        </w:rPr>
        <w:drawing>
          <wp:inline distT="0" distB="0" distL="0" distR="0" wp14:anchorId="25BA0272" wp14:editId="6BFCA820">
            <wp:extent cx="5169600" cy="269410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9600" cy="2694105"/>
                    </a:xfrm>
                    <a:prstGeom prst="rect">
                      <a:avLst/>
                    </a:prstGeom>
                    <a:noFill/>
                    <a:ln>
                      <a:noFill/>
                    </a:ln>
                  </pic:spPr>
                </pic:pic>
              </a:graphicData>
            </a:graphic>
          </wp:inline>
        </w:drawing>
      </w:r>
    </w:p>
    <w:p w14:paraId="0C2E9871" w14:textId="77777777" w:rsidR="00C2082C" w:rsidRPr="00C2082C" w:rsidRDefault="00C2082C" w:rsidP="00C2082C">
      <w:pPr>
        <w:spacing w:after="120"/>
        <w:contextualSpacing/>
        <w:rPr>
          <w:color w:val="000000" w:themeColor="text1"/>
          <w:sz w:val="20"/>
        </w:rPr>
      </w:pPr>
    </w:p>
    <w:p w14:paraId="729AEEC1"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Des activités de passation de marchés ont été lancées en 2016 en vue d’optimiser le coût des biens et services achetés par l’OMPI et de rationaliser les processus de l’Organisation, ce qui a permis de réaliser une économie globale de 1,8 million de francs suisses.  S’agissant des dépenses de voyage, l’outil de réservation en ligne (OBT) a permis une nouvelle diminution des frais de gestion (92 francs suisses au lieu de 95 précédemment) et du prix moyen des billets (1 315 francs suisses au lieu de 1481 précédemment).  Le pourcentage de biens et services d’origine locale acquis pour les activités de développement a augmenté de trois points par rapport à 2015, passant ainsi à 60,3%.</w:t>
      </w:r>
    </w:p>
    <w:p w14:paraId="3CC65BCC"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L’OMPI a remporté le Prix “</w:t>
      </w:r>
      <w:r w:rsidRPr="00C2082C">
        <w:rPr>
          <w:rFonts w:ascii="Arial" w:hAnsi="Arial" w:cs="Arial"/>
          <w:i/>
          <w:color w:val="000000" w:themeColor="text1"/>
          <w:sz w:val="20"/>
          <w:szCs w:val="20"/>
        </w:rPr>
        <w:t>Green Good Design” </w:t>
      </w:r>
      <w:r w:rsidRPr="00C2082C">
        <w:rPr>
          <w:rFonts w:ascii="Arial" w:hAnsi="Arial" w:cs="Arial"/>
          <w:color w:val="000000" w:themeColor="text1"/>
          <w:sz w:val="20"/>
          <w:szCs w:val="20"/>
        </w:rPr>
        <w:t>2016</w:t>
      </w:r>
      <w:r w:rsidRPr="00C2082C">
        <w:rPr>
          <w:rFonts w:ascii="Arial" w:hAnsi="Arial" w:cs="Arial"/>
          <w:i/>
          <w:color w:val="000000" w:themeColor="text1"/>
          <w:sz w:val="20"/>
          <w:szCs w:val="20"/>
        </w:rPr>
        <w:t xml:space="preserve"> </w:t>
      </w:r>
      <w:r w:rsidRPr="00C2082C">
        <w:rPr>
          <w:rFonts w:ascii="Arial" w:hAnsi="Arial" w:cs="Arial"/>
          <w:color w:val="000000" w:themeColor="text1"/>
          <w:sz w:val="20"/>
          <w:szCs w:val="20"/>
        </w:rPr>
        <w:t>pour sa salle de conférence (grâce à la structure du bois et à l’emploi massif du bois pour les finitions intérieures et extérieures), décerné par l’</w:t>
      </w:r>
      <w:proofErr w:type="spellStart"/>
      <w:r w:rsidRPr="00C2082C">
        <w:rPr>
          <w:rFonts w:ascii="Arial" w:hAnsi="Arial" w:cs="Arial"/>
          <w:i/>
          <w:color w:val="000000" w:themeColor="text1"/>
          <w:sz w:val="20"/>
          <w:szCs w:val="20"/>
        </w:rPr>
        <w:t>Athenaeum</w:t>
      </w:r>
      <w:proofErr w:type="spellEnd"/>
      <w:r w:rsidRPr="00C2082C">
        <w:rPr>
          <w:rFonts w:ascii="Arial" w:hAnsi="Arial" w:cs="Arial"/>
          <w:i/>
          <w:color w:val="000000" w:themeColor="text1"/>
          <w:sz w:val="20"/>
          <w:szCs w:val="20"/>
        </w:rPr>
        <w:t xml:space="preserve"> Museum of Architecture and Design </w:t>
      </w:r>
      <w:r w:rsidRPr="00C2082C">
        <w:rPr>
          <w:rFonts w:ascii="Arial" w:hAnsi="Arial" w:cs="Arial"/>
          <w:color w:val="000000" w:themeColor="text1"/>
          <w:sz w:val="20"/>
          <w:szCs w:val="20"/>
        </w:rPr>
        <w:t xml:space="preserve">de Chicago.  Le fournisseur d’électricité a également remis à l’OMPI une attestation de fourniture d’énergie hydraulique 100% suisse pour la </w:t>
      </w:r>
      <w:r w:rsidRPr="00C2082C">
        <w:rPr>
          <w:rFonts w:ascii="Arial" w:hAnsi="Arial" w:cs="Arial"/>
          <w:color w:val="000000" w:themeColor="text1"/>
          <w:sz w:val="20"/>
          <w:szCs w:val="20"/>
        </w:rPr>
        <w:lastRenderedPageBreak/>
        <w:t>période 2015</w:t>
      </w:r>
      <w:r w:rsidRPr="00C2082C">
        <w:rPr>
          <w:rFonts w:ascii="Arial" w:hAnsi="Arial" w:cs="Arial"/>
          <w:color w:val="000000" w:themeColor="text1"/>
          <w:sz w:val="20"/>
          <w:szCs w:val="20"/>
        </w:rPr>
        <w:noBreakHyphen/>
        <w:t>2017, un choix que l’OMPI a fait pour contribuer au développement des énergies renouvelables.</w:t>
      </w:r>
    </w:p>
    <w:p w14:paraId="20BC7A5A"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S’agissant des technologies de l’information et de la communication, l’année 2016 a été marquée par les améliorations suivantes : une économie de 300 000 francs suisses réalisée grâce à la mise en œuvre d’une nouvelle politique de sauvegarde fin 2015, ce qui a permis de réduire le volume de stockage de données nécessaire;  une réduction de plus de 30% du nombre d’incidents du TIC à impact moyen ou fort;  les améliorations apportées à la résilience de l’infrastructure des TIC et à la continuité de services en vue de l’intégration des services vitaux restants tels que le système externe de gestion de l’authentification et des accès et les services de réseau et d’impression;  le déploiement d’une nouvelle plateforme de reprise des opérations TIC après un sinistre, dédiée au système de messagerie électronique;  l’accès de deux autres bureaux extérieurs (Bureau de l’OMPI en Chine et Bureau de l’OMPI au Brésil) à la solution “</w:t>
      </w:r>
      <w:r w:rsidRPr="00C2082C">
        <w:rPr>
          <w:rFonts w:ascii="Arial" w:hAnsi="Arial" w:cs="Arial"/>
          <w:i/>
          <w:color w:val="000000" w:themeColor="text1"/>
          <w:sz w:val="20"/>
          <w:szCs w:val="20"/>
        </w:rPr>
        <w:t>Global Office Architecture</w:t>
      </w:r>
      <w:r w:rsidRPr="00C2082C">
        <w:rPr>
          <w:rFonts w:ascii="Arial" w:hAnsi="Arial" w:cs="Arial"/>
          <w:color w:val="000000" w:themeColor="text1"/>
          <w:sz w:val="20"/>
          <w:szCs w:val="20"/>
        </w:rPr>
        <w:t xml:space="preserve"> (GOA)”, destinée aux bureaux extérieurs de l’OMPI.</w:t>
      </w:r>
    </w:p>
    <w:p w14:paraId="79AE8EFB"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La version révisée de la Charte de la supervision interne a été approuvée par l’Assemblée générale de l’OMPI en octobre 2016.  Les modifications suivantes ont été adoptées à cette occasion : i) dispositions détaillées en ce qui concerne les enquêtes sur les allégations de fautes menées par le Directeur général, les vice</w:t>
      </w:r>
      <w:r w:rsidRPr="00C2082C">
        <w:rPr>
          <w:rFonts w:ascii="Arial" w:hAnsi="Arial" w:cs="Arial"/>
          <w:color w:val="000000" w:themeColor="text1"/>
          <w:sz w:val="20"/>
          <w:szCs w:val="20"/>
        </w:rPr>
        <w:noBreakHyphen/>
        <w:t>directeurs généraux, les sous</w:t>
      </w:r>
      <w:r w:rsidRPr="00C2082C">
        <w:rPr>
          <w:rFonts w:ascii="Arial" w:hAnsi="Arial" w:cs="Arial"/>
          <w:color w:val="000000" w:themeColor="text1"/>
          <w:sz w:val="20"/>
          <w:szCs w:val="20"/>
        </w:rPr>
        <w:noBreakHyphen/>
        <w:t>directeurs généraux et le directeur de la DSI;  ii) amélioration et clarification de la définition de l’indépendance de la DSI aux niveaux opérationnel et fonctionnel;  iii) possibilité pour les États membres d’avoir accès à la version intégrale des rapports d’audit et d’évaluation et des rapports de gestion expurgés/non consultables.</w:t>
      </w:r>
    </w:p>
    <w:p w14:paraId="38B02D8B"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Le Secrétariat a continué de mettre en œuvre efficacement la politique linguistique de l’OMPI en élargissant la couverture en six langues aux groupes de travail, de manière progressive et dans un souci de rentabilité.  Conformément au calendrier établi par les États membres, la couverture a été élargie en 2016 : i) au Groupe de travail chargé d’élaborer un règlement d’exécution commun à l’Arrangement de Lisbonne et à l’Acte de Genève de l’Arrangement de Lisbonne;  ii) au Comité d’experts de l’Union de l’IPC.</w:t>
      </w:r>
    </w:p>
    <w:p w14:paraId="59CFF8CC"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En 2016, les frais postaux ont diminué de 9% sous l’effet de plusieurs facteurs concomitants, à savoir des mesures d’amélioration de la rentabilité, une sensibilisation accrue du personnel et un nombre réduit d’envois postaux.</w:t>
      </w:r>
    </w:p>
    <w:p w14:paraId="1A889901"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Dans le domaine de l’assurance informatique, dans le cadre du processus d’amélioration continue voulu par la norme ISO 27001, en octobre 2016, la certification ISO 27001 a été renouvelée pour les opérations du PCT, du système de Madrid et du système de La Haye, et elle a été élargie aux activités du Centre d’arbitrage et de médiation de l’OMPI.  Aucun défaut de conformité majeur ou mineur n’a été relevé.</w:t>
      </w:r>
    </w:p>
    <w:p w14:paraId="05628E9D"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Dans le domaine de la sécurité informatique, des initiatives visant à sensibiliser davantage les utilisateurs aux menaces informatiques et à former le personnel des TIC sur les questions de sécurité informatique ont été mises en place.  Une nouvelle formation assistée par ordinateur (FAO) obligatoire sur les notions élémentaires de sécurité informatique a été lancée en octobre, et plus de 70% du personnel et des sous</w:t>
      </w:r>
      <w:r w:rsidRPr="00C2082C">
        <w:rPr>
          <w:rFonts w:ascii="Arial" w:hAnsi="Arial" w:cs="Arial"/>
          <w:color w:val="000000" w:themeColor="text1"/>
          <w:sz w:val="20"/>
          <w:szCs w:val="20"/>
        </w:rPr>
        <w:noBreakHyphen/>
        <w:t>traitants ont suivi cette formation en 2016.  L’ISAEP a également simulé quatre campagnes d’hameçonnage qui ont permis de sensibiliser encore davantage les utilisateurs aux menaces informatiques, comme en témoigne la forte augmentation du pourcentage d’utilisateurs signalant des tentatives d’hameçonnage (46% en moyenne en 2016 contre 25% en 2015).</w:t>
      </w:r>
    </w:p>
    <w:p w14:paraId="3105C8F2" w14:textId="77777777" w:rsidR="00C2082C" w:rsidRPr="00C2082C" w:rsidRDefault="00C2082C" w:rsidP="00C2082C">
      <w:pPr>
        <w:pStyle w:val="ListParagraph"/>
        <w:numPr>
          <w:ilvl w:val="0"/>
          <w:numId w:val="94"/>
        </w:numPr>
        <w:spacing w:after="120"/>
        <w:ind w:left="357" w:hanging="357"/>
        <w:contextualSpacing w:val="0"/>
        <w:jc w:val="both"/>
        <w:rPr>
          <w:rFonts w:ascii="Arial" w:hAnsi="Arial" w:cs="Arial"/>
          <w:color w:val="000000" w:themeColor="text1"/>
          <w:sz w:val="20"/>
          <w:szCs w:val="20"/>
        </w:rPr>
      </w:pPr>
      <w:r w:rsidRPr="00C2082C">
        <w:rPr>
          <w:rFonts w:ascii="Arial" w:hAnsi="Arial" w:cs="Arial"/>
          <w:color w:val="000000" w:themeColor="text1"/>
          <w:sz w:val="20"/>
          <w:szCs w:val="20"/>
        </w:rPr>
        <w:t>Le contexte de sûreté et de sécurité dans lequel l’OMPI a évolué en 2016 est resté globalement compliqué, mais généralement stable dans les pays où l’Organisation est présente.  La sécurité des fonctionnaires de l’OMPI lors de leurs déplacements à l’étranger est restée un sujet essentiel de préoccupation en 2016, car une certaine instabilité et des événements mettant en jeu la sécurité ont touché plusieurs régions dans lesquelles les fonctionnaires se sont rendus.  D’autres mesures de sûreté et de sécurité ont été mises en œuvre en 2016, dont le renforcement de la collaboration de l’Organisation avec le gouvernement hôte.</w:t>
      </w:r>
    </w:p>
    <w:p w14:paraId="77FC06E1" w14:textId="77777777" w:rsidR="00A312C6" w:rsidRPr="00A312C6" w:rsidRDefault="00A312C6" w:rsidP="00A312C6"/>
    <w:p w14:paraId="7686C74E" w14:textId="77777777" w:rsidR="00C119C4" w:rsidRDefault="00C119C4">
      <w:pPr>
        <w:rPr>
          <w:b/>
          <w:bCs/>
          <w:iCs/>
          <w:caps/>
          <w:szCs w:val="28"/>
        </w:rPr>
        <w:sectPr w:rsidR="00C119C4" w:rsidSect="00A312C6">
          <w:headerReference w:type="even" r:id="rId30"/>
          <w:headerReference w:type="default" r:id="rId31"/>
          <w:footerReference w:type="default" r:id="rId32"/>
          <w:headerReference w:type="first" r:id="rId33"/>
          <w:footerReference w:type="first" r:id="rId34"/>
          <w:pgSz w:w="11907" w:h="16840" w:code="9"/>
          <w:pgMar w:top="567" w:right="1418" w:bottom="1418" w:left="1418" w:header="510" w:footer="1021" w:gutter="0"/>
          <w:pgNumType w:start="1"/>
          <w:cols w:space="720"/>
          <w:titlePg/>
          <w:docGrid w:linePitch="299"/>
        </w:sectPr>
      </w:pPr>
    </w:p>
    <w:p w14:paraId="54B8FE4D" w14:textId="3E048D0C" w:rsidR="00C119C4" w:rsidRPr="00C119C4" w:rsidRDefault="00C119C4" w:rsidP="00C119C4">
      <w:pPr>
        <w:pStyle w:val="Heading1"/>
      </w:pPr>
      <w:bookmarkStart w:id="16" w:name="_Toc454544459"/>
      <w:bookmarkStart w:id="17" w:name="_Toc482774586"/>
      <w:r w:rsidRPr="00C119C4">
        <w:lastRenderedPageBreak/>
        <w:t>Rapport sur la mise en œuvre des mesures de maîtrise des coûts</w:t>
      </w:r>
      <w:bookmarkStart w:id="18" w:name="_Toc391987560"/>
      <w:r w:rsidR="00587326">
        <w:br/>
      </w:r>
      <w:r w:rsidRPr="00C119C4">
        <w:t>en </w:t>
      </w:r>
      <w:bookmarkEnd w:id="16"/>
      <w:bookmarkEnd w:id="18"/>
      <w:r w:rsidRPr="00C119C4">
        <w:t>2016</w:t>
      </w:r>
      <w:bookmarkEnd w:id="17"/>
    </w:p>
    <w:p w14:paraId="2CC75601" w14:textId="77777777" w:rsidR="00C119C4" w:rsidRPr="00F74DD5" w:rsidRDefault="00C119C4" w:rsidP="00C119C4">
      <w:pPr>
        <w:rPr>
          <w:sz w:val="20"/>
        </w:rPr>
      </w:pPr>
    </w:p>
    <w:p w14:paraId="763B40BF" w14:textId="77777777" w:rsidR="00C119C4" w:rsidRPr="00F74DD5" w:rsidRDefault="00C119C4" w:rsidP="00C119C4">
      <w:pPr>
        <w:jc w:val="center"/>
        <w:rPr>
          <w:sz w:val="20"/>
        </w:rPr>
      </w:pPr>
      <w:r>
        <w:rPr>
          <w:sz w:val="20"/>
        </w:rPr>
        <w:t>MESURES DE MAÎTRISE DES COÛTS MISES EN ŒUVRE EN 2016</w:t>
      </w:r>
    </w:p>
    <w:p w14:paraId="5A2FDE2A" w14:textId="77777777" w:rsidR="00C119C4" w:rsidRPr="004007FA" w:rsidRDefault="00C119C4" w:rsidP="00C119C4">
      <w:pPr>
        <w:jc w:val="center"/>
        <w:rPr>
          <w:i/>
          <w:sz w:val="20"/>
        </w:rPr>
      </w:pPr>
      <w:r w:rsidRPr="004007FA">
        <w:rPr>
          <w:i/>
          <w:sz w:val="20"/>
        </w:rPr>
        <w:t>(Montants en francs suisses)</w:t>
      </w:r>
    </w:p>
    <w:p w14:paraId="796AD7FB" w14:textId="77777777" w:rsidR="00C119C4" w:rsidRPr="00F74DD5" w:rsidRDefault="00C119C4" w:rsidP="00C119C4">
      <w:pPr>
        <w:jc w:val="center"/>
        <w:rPr>
          <w:sz w:val="20"/>
        </w:rPr>
      </w:pPr>
    </w:p>
    <w:tbl>
      <w:tblPr>
        <w:tblW w:w="496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2447"/>
        <w:gridCol w:w="1840"/>
        <w:gridCol w:w="1840"/>
        <w:gridCol w:w="2116"/>
        <w:gridCol w:w="2116"/>
        <w:gridCol w:w="4600"/>
      </w:tblGrid>
      <w:tr w:rsidR="00C119C4" w:rsidRPr="00F74DD5" w14:paraId="2EB105FE" w14:textId="77777777" w:rsidTr="00A83D07">
        <w:trPr>
          <w:trHeight w:val="20"/>
          <w:tblHeader/>
        </w:trPr>
        <w:tc>
          <w:tcPr>
            <w:tcW w:w="1508" w:type="dxa"/>
            <w:tcBorders>
              <w:bottom w:val="single" w:sz="4" w:space="0" w:color="auto"/>
            </w:tcBorders>
            <w:shd w:val="clear" w:color="000000" w:fill="8DB4E2"/>
            <w:tcMar>
              <w:top w:w="85" w:type="dxa"/>
              <w:bottom w:w="85" w:type="dxa"/>
            </w:tcMar>
            <w:vAlign w:val="center"/>
            <w:hideMark/>
          </w:tcPr>
          <w:p w14:paraId="12ECB983" w14:textId="77777777" w:rsidR="00C119C4" w:rsidRPr="00F74DD5" w:rsidRDefault="00C119C4" w:rsidP="00A83D07">
            <w:pPr>
              <w:jc w:val="center"/>
              <w:rPr>
                <w:b/>
                <w:bCs/>
                <w:color w:val="000000"/>
                <w:sz w:val="17"/>
                <w:szCs w:val="17"/>
              </w:rPr>
            </w:pPr>
            <w:r>
              <w:rPr>
                <w:b/>
                <w:bCs/>
                <w:color w:val="000000"/>
                <w:sz w:val="17"/>
                <w:szCs w:val="17"/>
              </w:rPr>
              <w:t>Domaine</w:t>
            </w:r>
          </w:p>
        </w:tc>
        <w:tc>
          <w:tcPr>
            <w:tcW w:w="1134" w:type="dxa"/>
            <w:tcBorders>
              <w:bottom w:val="single" w:sz="4" w:space="0" w:color="auto"/>
            </w:tcBorders>
            <w:shd w:val="clear" w:color="000000" w:fill="8DB4E2"/>
            <w:tcMar>
              <w:top w:w="85" w:type="dxa"/>
              <w:bottom w:w="85" w:type="dxa"/>
            </w:tcMar>
            <w:vAlign w:val="center"/>
            <w:hideMark/>
          </w:tcPr>
          <w:p w14:paraId="1E959DB3" w14:textId="77777777" w:rsidR="00C119C4" w:rsidRPr="00F74DD5" w:rsidRDefault="00C119C4" w:rsidP="00A83D07">
            <w:pPr>
              <w:jc w:val="center"/>
              <w:rPr>
                <w:b/>
                <w:bCs/>
                <w:color w:val="000000"/>
                <w:sz w:val="17"/>
                <w:szCs w:val="17"/>
              </w:rPr>
            </w:pPr>
            <w:r>
              <w:rPr>
                <w:b/>
                <w:bCs/>
                <w:color w:val="000000"/>
                <w:sz w:val="17"/>
                <w:szCs w:val="17"/>
              </w:rPr>
              <w:t>Économies totales</w:t>
            </w:r>
            <w:r>
              <w:rPr>
                <w:b/>
                <w:bCs/>
                <w:color w:val="000000"/>
                <w:sz w:val="17"/>
                <w:szCs w:val="17"/>
              </w:rPr>
              <w:br/>
              <w:t>2015*</w:t>
            </w:r>
          </w:p>
        </w:tc>
        <w:tc>
          <w:tcPr>
            <w:tcW w:w="1134" w:type="dxa"/>
            <w:tcBorders>
              <w:bottom w:val="single" w:sz="4" w:space="0" w:color="auto"/>
            </w:tcBorders>
            <w:shd w:val="clear" w:color="000000" w:fill="8DB4E2"/>
            <w:tcMar>
              <w:top w:w="85" w:type="dxa"/>
              <w:bottom w:w="85" w:type="dxa"/>
            </w:tcMar>
            <w:vAlign w:val="center"/>
            <w:hideMark/>
          </w:tcPr>
          <w:p w14:paraId="6CCF9DF6" w14:textId="77777777" w:rsidR="00C119C4" w:rsidRPr="00F74DD5" w:rsidRDefault="00C119C4" w:rsidP="00A83D07">
            <w:pPr>
              <w:jc w:val="center"/>
              <w:rPr>
                <w:b/>
                <w:bCs/>
                <w:color w:val="000000"/>
                <w:sz w:val="17"/>
                <w:szCs w:val="17"/>
              </w:rPr>
            </w:pPr>
            <w:r>
              <w:rPr>
                <w:b/>
                <w:bCs/>
                <w:color w:val="000000"/>
                <w:sz w:val="17"/>
                <w:szCs w:val="17"/>
              </w:rPr>
              <w:t>Économies totales</w:t>
            </w:r>
            <w:r>
              <w:rPr>
                <w:b/>
                <w:bCs/>
                <w:color w:val="000000"/>
                <w:sz w:val="17"/>
                <w:szCs w:val="17"/>
              </w:rPr>
              <w:br/>
              <w:t>2016**</w:t>
            </w:r>
          </w:p>
        </w:tc>
        <w:tc>
          <w:tcPr>
            <w:tcW w:w="1304" w:type="dxa"/>
            <w:tcBorders>
              <w:bottom w:val="single" w:sz="4" w:space="0" w:color="auto"/>
            </w:tcBorders>
            <w:shd w:val="clear" w:color="000000" w:fill="8DB4E2"/>
            <w:tcMar>
              <w:top w:w="85" w:type="dxa"/>
              <w:bottom w:w="85" w:type="dxa"/>
            </w:tcMar>
            <w:vAlign w:val="center"/>
            <w:hideMark/>
          </w:tcPr>
          <w:p w14:paraId="73EBE093" w14:textId="77777777" w:rsidR="00C119C4" w:rsidRPr="00F74DD5" w:rsidRDefault="00C119C4" w:rsidP="00A83D07">
            <w:pPr>
              <w:jc w:val="center"/>
              <w:rPr>
                <w:b/>
                <w:bCs/>
                <w:color w:val="000000"/>
                <w:sz w:val="17"/>
                <w:szCs w:val="17"/>
              </w:rPr>
            </w:pPr>
            <w:r>
              <w:rPr>
                <w:b/>
                <w:bCs/>
                <w:color w:val="000000"/>
                <w:sz w:val="17"/>
                <w:szCs w:val="17"/>
              </w:rPr>
              <w:t>Économies au coût unitaire</w:t>
            </w:r>
            <w:r>
              <w:rPr>
                <w:b/>
                <w:bCs/>
                <w:color w:val="000000"/>
                <w:sz w:val="17"/>
                <w:szCs w:val="17"/>
              </w:rPr>
              <w:br/>
              <w:t>2015</w:t>
            </w:r>
          </w:p>
        </w:tc>
        <w:tc>
          <w:tcPr>
            <w:tcW w:w="1304" w:type="dxa"/>
            <w:tcBorders>
              <w:bottom w:val="single" w:sz="4" w:space="0" w:color="auto"/>
            </w:tcBorders>
            <w:shd w:val="clear" w:color="000000" w:fill="8DB4E2"/>
            <w:tcMar>
              <w:top w:w="85" w:type="dxa"/>
              <w:bottom w:w="85" w:type="dxa"/>
            </w:tcMar>
            <w:vAlign w:val="center"/>
            <w:hideMark/>
          </w:tcPr>
          <w:p w14:paraId="3B134B22" w14:textId="77777777" w:rsidR="00C119C4" w:rsidRPr="00F74DD5" w:rsidRDefault="00C119C4" w:rsidP="00A83D07">
            <w:pPr>
              <w:jc w:val="center"/>
              <w:rPr>
                <w:b/>
                <w:bCs/>
                <w:color w:val="000000"/>
                <w:sz w:val="17"/>
                <w:szCs w:val="17"/>
              </w:rPr>
            </w:pPr>
            <w:r>
              <w:rPr>
                <w:b/>
                <w:bCs/>
                <w:color w:val="000000"/>
                <w:sz w:val="17"/>
                <w:szCs w:val="17"/>
              </w:rPr>
              <w:t>Économies au coût unitaire</w:t>
            </w:r>
            <w:r>
              <w:rPr>
                <w:b/>
                <w:bCs/>
                <w:color w:val="000000"/>
                <w:sz w:val="17"/>
                <w:szCs w:val="17"/>
              </w:rPr>
              <w:br/>
              <w:t>2016***</w:t>
            </w:r>
          </w:p>
        </w:tc>
        <w:tc>
          <w:tcPr>
            <w:tcW w:w="2835" w:type="dxa"/>
            <w:tcBorders>
              <w:bottom w:val="single" w:sz="4" w:space="0" w:color="auto"/>
            </w:tcBorders>
            <w:shd w:val="clear" w:color="000000" w:fill="8DB4E2"/>
            <w:tcMar>
              <w:top w:w="85" w:type="dxa"/>
              <w:bottom w:w="85" w:type="dxa"/>
            </w:tcMar>
            <w:vAlign w:val="center"/>
            <w:hideMark/>
          </w:tcPr>
          <w:p w14:paraId="6E362832" w14:textId="77777777" w:rsidR="00C119C4" w:rsidRPr="00F74DD5" w:rsidRDefault="00C119C4" w:rsidP="00A83D07">
            <w:pPr>
              <w:jc w:val="center"/>
              <w:rPr>
                <w:b/>
                <w:bCs/>
                <w:color w:val="000000"/>
                <w:sz w:val="17"/>
                <w:szCs w:val="17"/>
              </w:rPr>
            </w:pPr>
            <w:r>
              <w:rPr>
                <w:b/>
                <w:bCs/>
                <w:color w:val="000000"/>
                <w:sz w:val="17"/>
                <w:szCs w:val="17"/>
              </w:rPr>
              <w:t>Commentaires</w:t>
            </w:r>
          </w:p>
        </w:tc>
      </w:tr>
      <w:tr w:rsidR="00C119C4" w:rsidRPr="00F74DD5" w14:paraId="1F47E13A" w14:textId="77777777" w:rsidTr="00A83D07">
        <w:trPr>
          <w:trHeight w:val="20"/>
        </w:trPr>
        <w:tc>
          <w:tcPr>
            <w:tcW w:w="9219" w:type="dxa"/>
            <w:gridSpan w:val="6"/>
            <w:shd w:val="clear" w:color="auto" w:fill="8DB4E2"/>
            <w:tcMar>
              <w:top w:w="57" w:type="dxa"/>
              <w:bottom w:w="57" w:type="dxa"/>
            </w:tcMar>
            <w:vAlign w:val="center"/>
          </w:tcPr>
          <w:p w14:paraId="583FB677" w14:textId="77777777" w:rsidR="00C119C4" w:rsidRPr="00F74DD5" w:rsidRDefault="00C119C4" w:rsidP="00A83D07">
            <w:pPr>
              <w:rPr>
                <w:sz w:val="17"/>
                <w:szCs w:val="17"/>
              </w:rPr>
            </w:pPr>
            <w:r>
              <w:rPr>
                <w:b/>
                <w:bCs/>
                <w:color w:val="000000"/>
                <w:sz w:val="17"/>
                <w:szCs w:val="17"/>
              </w:rPr>
              <w:t>1.  Systèmes d’enregistrement</w:t>
            </w:r>
          </w:p>
        </w:tc>
      </w:tr>
      <w:tr w:rsidR="00C119C4" w:rsidRPr="00F74DD5" w14:paraId="5D954232" w14:textId="77777777" w:rsidTr="00A83D07">
        <w:trPr>
          <w:trHeight w:val="810"/>
        </w:trPr>
        <w:tc>
          <w:tcPr>
            <w:tcW w:w="1508" w:type="dxa"/>
            <w:shd w:val="clear" w:color="auto" w:fill="auto"/>
            <w:hideMark/>
          </w:tcPr>
          <w:p w14:paraId="23983A6D" w14:textId="77777777" w:rsidR="00C119C4" w:rsidRPr="00F74DD5" w:rsidRDefault="00C119C4" w:rsidP="00A83D07">
            <w:pPr>
              <w:rPr>
                <w:color w:val="000000"/>
                <w:sz w:val="17"/>
                <w:szCs w:val="17"/>
              </w:rPr>
            </w:pPr>
            <w:r>
              <w:rPr>
                <w:color w:val="000000"/>
                <w:sz w:val="17"/>
                <w:szCs w:val="17"/>
              </w:rPr>
              <w:t>Coût unitaire du traitement des demandes selon</w:t>
            </w:r>
            <w:r w:rsidRPr="003F6F0B">
              <w:rPr>
                <w:color w:val="000000"/>
                <w:sz w:val="17"/>
                <w:szCs w:val="17"/>
              </w:rPr>
              <w:t xml:space="preserve"> le PCT</w:t>
            </w:r>
          </w:p>
        </w:tc>
        <w:tc>
          <w:tcPr>
            <w:tcW w:w="1134" w:type="dxa"/>
            <w:shd w:val="clear" w:color="000000" w:fill="D9D9D9"/>
            <w:noWrap/>
            <w:hideMark/>
          </w:tcPr>
          <w:p w14:paraId="22061E99" w14:textId="77777777" w:rsidR="00C119C4" w:rsidRPr="00F74DD5" w:rsidRDefault="00C119C4" w:rsidP="00A83D07">
            <w:pPr>
              <w:rPr>
                <w:color w:val="000000"/>
                <w:sz w:val="17"/>
                <w:szCs w:val="17"/>
              </w:rPr>
            </w:pPr>
            <w:r>
              <w:rPr>
                <w:color w:val="000000"/>
                <w:sz w:val="17"/>
                <w:szCs w:val="17"/>
              </w:rPr>
              <w:t> </w:t>
            </w:r>
          </w:p>
        </w:tc>
        <w:tc>
          <w:tcPr>
            <w:tcW w:w="1134" w:type="dxa"/>
            <w:shd w:val="clear" w:color="000000" w:fill="D9D9D9"/>
            <w:noWrap/>
            <w:hideMark/>
          </w:tcPr>
          <w:p w14:paraId="5FD0937F" w14:textId="77777777" w:rsidR="00C119C4" w:rsidRPr="00F74DD5" w:rsidRDefault="00C119C4" w:rsidP="00A83D07">
            <w:pPr>
              <w:rPr>
                <w:color w:val="000000"/>
                <w:sz w:val="17"/>
                <w:szCs w:val="17"/>
              </w:rPr>
            </w:pPr>
            <w:r>
              <w:rPr>
                <w:color w:val="000000"/>
                <w:sz w:val="17"/>
                <w:szCs w:val="17"/>
              </w:rPr>
              <w:t> </w:t>
            </w:r>
          </w:p>
        </w:tc>
        <w:tc>
          <w:tcPr>
            <w:tcW w:w="1304" w:type="dxa"/>
            <w:shd w:val="clear" w:color="auto" w:fill="auto"/>
            <w:hideMark/>
          </w:tcPr>
          <w:p w14:paraId="5FB746A7" w14:textId="77777777" w:rsidR="00C119C4" w:rsidRPr="00F74DD5" w:rsidRDefault="00C119C4" w:rsidP="00A83D07">
            <w:pPr>
              <w:rPr>
                <w:color w:val="000000"/>
                <w:sz w:val="17"/>
                <w:szCs w:val="17"/>
              </w:rPr>
            </w:pPr>
            <w:r>
              <w:rPr>
                <w:color w:val="000000"/>
                <w:sz w:val="17"/>
                <w:szCs w:val="17"/>
              </w:rPr>
              <w:t>Hausse de 73 francs suisses (+11%), de 662 francs suisses en 2014 à 735 francs suisses en 2015</w:t>
            </w:r>
          </w:p>
        </w:tc>
        <w:tc>
          <w:tcPr>
            <w:tcW w:w="1304" w:type="dxa"/>
            <w:shd w:val="clear" w:color="auto" w:fill="auto"/>
            <w:hideMark/>
          </w:tcPr>
          <w:p w14:paraId="151E5481" w14:textId="77777777" w:rsidR="00C119C4" w:rsidRPr="00F74DD5" w:rsidRDefault="00C119C4" w:rsidP="00A83D07">
            <w:pPr>
              <w:rPr>
                <w:color w:val="000000"/>
                <w:sz w:val="17"/>
                <w:szCs w:val="17"/>
              </w:rPr>
            </w:pPr>
            <w:r>
              <w:rPr>
                <w:color w:val="000000"/>
                <w:sz w:val="17"/>
                <w:szCs w:val="17"/>
              </w:rPr>
              <w:t>Baisse de 50 francs suisses</w:t>
            </w:r>
            <w:r>
              <w:rPr>
                <w:color w:val="000000"/>
                <w:sz w:val="17"/>
                <w:szCs w:val="17"/>
              </w:rPr>
              <w:br/>
              <w:t>(-6,8%), de 735 francs suisses en 2015 à 685 francs suisses en 2016</w:t>
            </w:r>
          </w:p>
        </w:tc>
        <w:tc>
          <w:tcPr>
            <w:tcW w:w="2835" w:type="dxa"/>
            <w:shd w:val="clear" w:color="auto" w:fill="auto"/>
            <w:hideMark/>
          </w:tcPr>
          <w:p w14:paraId="479C988D" w14:textId="77777777" w:rsidR="00C119C4" w:rsidRPr="00F74DD5" w:rsidRDefault="00C119C4" w:rsidP="00A83D07">
            <w:pPr>
              <w:rPr>
                <w:sz w:val="17"/>
                <w:szCs w:val="17"/>
              </w:rPr>
            </w:pPr>
            <w:r>
              <w:rPr>
                <w:sz w:val="17"/>
                <w:szCs w:val="17"/>
              </w:rPr>
              <w:t>Baisse des coûts globaux de traitement des demandes selon</w:t>
            </w:r>
            <w:r w:rsidRPr="003F6F0B">
              <w:rPr>
                <w:sz w:val="17"/>
                <w:szCs w:val="17"/>
              </w:rPr>
              <w:t xml:space="preserve"> le PCT</w:t>
            </w:r>
            <w:r>
              <w:rPr>
                <w:sz w:val="17"/>
                <w:szCs w:val="17"/>
              </w:rPr>
              <w:t>, avec pour résultat une diminution de 2,3% du coût total de production, combinée à une hausse de 4,7% du nombre de demandes.</w:t>
            </w:r>
          </w:p>
        </w:tc>
      </w:tr>
      <w:tr w:rsidR="00C119C4" w:rsidRPr="00F74DD5" w14:paraId="644DC042" w14:textId="77777777" w:rsidTr="00A83D07">
        <w:trPr>
          <w:trHeight w:val="825"/>
        </w:trPr>
        <w:tc>
          <w:tcPr>
            <w:tcW w:w="1508" w:type="dxa"/>
            <w:shd w:val="clear" w:color="auto" w:fill="auto"/>
            <w:hideMark/>
          </w:tcPr>
          <w:p w14:paraId="4219645C" w14:textId="77777777" w:rsidR="00C119C4" w:rsidRPr="00F74DD5" w:rsidRDefault="00C119C4" w:rsidP="00A83D07">
            <w:pPr>
              <w:rPr>
                <w:color w:val="000000"/>
                <w:sz w:val="17"/>
                <w:szCs w:val="17"/>
              </w:rPr>
            </w:pPr>
            <w:r>
              <w:rPr>
                <w:color w:val="000000"/>
                <w:sz w:val="17"/>
                <w:szCs w:val="17"/>
              </w:rPr>
              <w:t>Coût unitaire du traitement des opérations dans le cadre du système de Madrid</w:t>
            </w:r>
          </w:p>
        </w:tc>
        <w:tc>
          <w:tcPr>
            <w:tcW w:w="1134" w:type="dxa"/>
            <w:shd w:val="clear" w:color="000000" w:fill="D9D9D9"/>
            <w:noWrap/>
            <w:hideMark/>
          </w:tcPr>
          <w:p w14:paraId="632C0259" w14:textId="77777777" w:rsidR="00C119C4" w:rsidRPr="00F74DD5" w:rsidRDefault="00C119C4" w:rsidP="00A83D07">
            <w:pPr>
              <w:rPr>
                <w:color w:val="000000"/>
                <w:sz w:val="17"/>
                <w:szCs w:val="17"/>
              </w:rPr>
            </w:pPr>
            <w:r>
              <w:rPr>
                <w:color w:val="000000"/>
                <w:sz w:val="17"/>
                <w:szCs w:val="17"/>
              </w:rPr>
              <w:t> </w:t>
            </w:r>
          </w:p>
        </w:tc>
        <w:tc>
          <w:tcPr>
            <w:tcW w:w="1134" w:type="dxa"/>
            <w:shd w:val="clear" w:color="000000" w:fill="D9D9D9"/>
            <w:noWrap/>
            <w:hideMark/>
          </w:tcPr>
          <w:p w14:paraId="2A6303E0" w14:textId="77777777" w:rsidR="00C119C4" w:rsidRPr="00F74DD5" w:rsidRDefault="00C119C4" w:rsidP="00A83D07">
            <w:pPr>
              <w:rPr>
                <w:color w:val="000000"/>
                <w:sz w:val="17"/>
                <w:szCs w:val="17"/>
              </w:rPr>
            </w:pPr>
            <w:r>
              <w:rPr>
                <w:color w:val="000000"/>
                <w:sz w:val="17"/>
                <w:szCs w:val="17"/>
              </w:rPr>
              <w:t> </w:t>
            </w:r>
          </w:p>
        </w:tc>
        <w:tc>
          <w:tcPr>
            <w:tcW w:w="1304" w:type="dxa"/>
            <w:shd w:val="clear" w:color="auto" w:fill="auto"/>
            <w:hideMark/>
          </w:tcPr>
          <w:p w14:paraId="33985F4C" w14:textId="77777777" w:rsidR="00C119C4" w:rsidRPr="00F74DD5" w:rsidRDefault="00C119C4" w:rsidP="00A83D07">
            <w:pPr>
              <w:rPr>
                <w:color w:val="000000"/>
                <w:sz w:val="17"/>
                <w:szCs w:val="17"/>
              </w:rPr>
            </w:pPr>
            <w:r>
              <w:rPr>
                <w:color w:val="000000"/>
                <w:sz w:val="17"/>
                <w:szCs w:val="17"/>
              </w:rPr>
              <w:t>Baisse de 94 francs suisses</w:t>
            </w:r>
            <w:r>
              <w:rPr>
                <w:color w:val="000000"/>
                <w:sz w:val="17"/>
                <w:szCs w:val="17"/>
              </w:rPr>
              <w:br/>
              <w:t>(-11,2%), de 837 francs suisses en 2014 à 743 francs suisses en 2015</w:t>
            </w:r>
          </w:p>
        </w:tc>
        <w:tc>
          <w:tcPr>
            <w:tcW w:w="1304" w:type="dxa"/>
            <w:shd w:val="clear" w:color="auto" w:fill="auto"/>
            <w:hideMark/>
          </w:tcPr>
          <w:p w14:paraId="778CC5EA" w14:textId="77777777" w:rsidR="00C119C4" w:rsidRPr="00F74DD5" w:rsidRDefault="00C119C4" w:rsidP="00A83D07">
            <w:pPr>
              <w:rPr>
                <w:color w:val="000000"/>
                <w:sz w:val="17"/>
                <w:szCs w:val="17"/>
              </w:rPr>
            </w:pPr>
            <w:r>
              <w:rPr>
                <w:color w:val="000000"/>
                <w:sz w:val="17"/>
                <w:szCs w:val="17"/>
              </w:rPr>
              <w:t>Légère hausse de trois francs suisses</w:t>
            </w:r>
            <w:r>
              <w:rPr>
                <w:color w:val="000000"/>
                <w:sz w:val="17"/>
                <w:szCs w:val="17"/>
              </w:rPr>
              <w:br/>
              <w:t>(+0,4%), de 743 francs suisses en 2015 à 746 francs suisses en 2016</w:t>
            </w:r>
          </w:p>
        </w:tc>
        <w:tc>
          <w:tcPr>
            <w:tcW w:w="2835" w:type="dxa"/>
            <w:shd w:val="clear" w:color="auto" w:fill="auto"/>
            <w:hideMark/>
          </w:tcPr>
          <w:p w14:paraId="6E91A402" w14:textId="77777777" w:rsidR="00C119C4" w:rsidRPr="00F74DD5" w:rsidRDefault="00C119C4" w:rsidP="00A83D07">
            <w:pPr>
              <w:rPr>
                <w:color w:val="000000"/>
                <w:sz w:val="17"/>
                <w:szCs w:val="17"/>
              </w:rPr>
            </w:pPr>
            <w:r>
              <w:rPr>
                <w:color w:val="000000"/>
                <w:sz w:val="17"/>
                <w:szCs w:val="17"/>
              </w:rPr>
              <w:t>Baisse du coût du traitement d’un nouvel enregistrement international / des renouvellements sous le système de Madrid</w:t>
            </w:r>
          </w:p>
        </w:tc>
      </w:tr>
      <w:tr w:rsidR="00C119C4" w:rsidRPr="00F74DD5" w14:paraId="5622308E" w14:textId="77777777" w:rsidTr="00A83D07">
        <w:trPr>
          <w:trHeight w:val="1620"/>
        </w:trPr>
        <w:tc>
          <w:tcPr>
            <w:tcW w:w="1508" w:type="dxa"/>
            <w:tcBorders>
              <w:bottom w:val="single" w:sz="4" w:space="0" w:color="auto"/>
            </w:tcBorders>
            <w:shd w:val="clear" w:color="auto" w:fill="auto"/>
            <w:hideMark/>
          </w:tcPr>
          <w:p w14:paraId="15D59499" w14:textId="77777777" w:rsidR="00C119C4" w:rsidRPr="00F74DD5" w:rsidRDefault="00C119C4" w:rsidP="00A83D07">
            <w:pPr>
              <w:rPr>
                <w:color w:val="000000"/>
                <w:sz w:val="17"/>
                <w:szCs w:val="17"/>
              </w:rPr>
            </w:pPr>
            <w:r>
              <w:rPr>
                <w:color w:val="000000"/>
                <w:sz w:val="17"/>
                <w:szCs w:val="17"/>
              </w:rPr>
              <w:t>Coût unitaire du traitement des opérations dans le cadre du système de La Haye</w:t>
            </w:r>
          </w:p>
        </w:tc>
        <w:tc>
          <w:tcPr>
            <w:tcW w:w="1134" w:type="dxa"/>
            <w:tcBorders>
              <w:bottom w:val="single" w:sz="4" w:space="0" w:color="auto"/>
            </w:tcBorders>
            <w:shd w:val="clear" w:color="000000" w:fill="D9D9D9"/>
            <w:noWrap/>
            <w:hideMark/>
          </w:tcPr>
          <w:p w14:paraId="3DB26548" w14:textId="77777777" w:rsidR="00C119C4" w:rsidRPr="00F74DD5" w:rsidRDefault="00C119C4" w:rsidP="00A83D07">
            <w:pPr>
              <w:rPr>
                <w:color w:val="000000"/>
                <w:sz w:val="17"/>
                <w:szCs w:val="17"/>
              </w:rPr>
            </w:pPr>
            <w:r>
              <w:rPr>
                <w:color w:val="000000"/>
                <w:sz w:val="17"/>
                <w:szCs w:val="17"/>
              </w:rPr>
              <w:t> </w:t>
            </w:r>
          </w:p>
        </w:tc>
        <w:tc>
          <w:tcPr>
            <w:tcW w:w="1134" w:type="dxa"/>
            <w:tcBorders>
              <w:bottom w:val="single" w:sz="4" w:space="0" w:color="auto"/>
            </w:tcBorders>
            <w:shd w:val="clear" w:color="000000" w:fill="D9D9D9"/>
            <w:noWrap/>
            <w:hideMark/>
          </w:tcPr>
          <w:p w14:paraId="7FE461BB" w14:textId="77777777" w:rsidR="00C119C4" w:rsidRPr="00F74DD5" w:rsidRDefault="00C119C4" w:rsidP="00A83D07">
            <w:pPr>
              <w:rPr>
                <w:color w:val="000000"/>
                <w:sz w:val="17"/>
                <w:szCs w:val="17"/>
              </w:rPr>
            </w:pPr>
            <w:r>
              <w:rPr>
                <w:color w:val="000000"/>
                <w:sz w:val="17"/>
                <w:szCs w:val="17"/>
              </w:rPr>
              <w:t> </w:t>
            </w:r>
          </w:p>
        </w:tc>
        <w:tc>
          <w:tcPr>
            <w:tcW w:w="1304" w:type="dxa"/>
            <w:tcBorders>
              <w:bottom w:val="single" w:sz="4" w:space="0" w:color="auto"/>
            </w:tcBorders>
            <w:shd w:val="clear" w:color="auto" w:fill="auto"/>
            <w:hideMark/>
          </w:tcPr>
          <w:p w14:paraId="77863652" w14:textId="77777777" w:rsidR="00C119C4" w:rsidRPr="00F74DD5" w:rsidRDefault="00C119C4" w:rsidP="00A83D07">
            <w:pPr>
              <w:rPr>
                <w:color w:val="000000"/>
                <w:sz w:val="17"/>
                <w:szCs w:val="17"/>
              </w:rPr>
            </w:pPr>
            <w:r>
              <w:rPr>
                <w:color w:val="000000"/>
                <w:sz w:val="17"/>
                <w:szCs w:val="17"/>
              </w:rPr>
              <w:t>Baisse de 29 francs suisses</w:t>
            </w:r>
            <w:r>
              <w:rPr>
                <w:color w:val="000000"/>
                <w:sz w:val="17"/>
                <w:szCs w:val="17"/>
              </w:rPr>
              <w:br/>
              <w:t>(-8%), de 366 francs suisses en 2014 à 337 francs suisses en 2015.  Baisse de 330 francs suisses</w:t>
            </w:r>
            <w:r>
              <w:rPr>
                <w:color w:val="000000"/>
                <w:sz w:val="17"/>
                <w:szCs w:val="17"/>
              </w:rPr>
              <w:br/>
              <w:t>(-22,3%) par document enregistré, de 1483 francs suisses en 2014 à 1153 francs suisses en 2015</w:t>
            </w:r>
          </w:p>
        </w:tc>
        <w:tc>
          <w:tcPr>
            <w:tcW w:w="1304" w:type="dxa"/>
            <w:tcBorders>
              <w:bottom w:val="single" w:sz="4" w:space="0" w:color="auto"/>
            </w:tcBorders>
            <w:shd w:val="clear" w:color="auto" w:fill="auto"/>
            <w:hideMark/>
          </w:tcPr>
          <w:p w14:paraId="72DEDD80" w14:textId="77777777" w:rsidR="00C119C4" w:rsidRPr="00F74DD5" w:rsidRDefault="00C119C4" w:rsidP="00A83D07">
            <w:pPr>
              <w:rPr>
                <w:color w:val="000000"/>
                <w:sz w:val="17"/>
                <w:szCs w:val="17"/>
              </w:rPr>
            </w:pPr>
            <w:r>
              <w:rPr>
                <w:color w:val="000000"/>
                <w:sz w:val="17"/>
                <w:szCs w:val="17"/>
              </w:rPr>
              <w:t>Hausse de 106 francs suisses (+31%), de 337 francs suisses en 2015 à 443 francs suisses en 2016.  Baisse de 19 francs suisses</w:t>
            </w:r>
            <w:r>
              <w:rPr>
                <w:color w:val="000000"/>
                <w:sz w:val="17"/>
                <w:szCs w:val="17"/>
              </w:rPr>
              <w:br/>
              <w:t>(+2%) par document enregistré, de 1153 francs suisses en 2015 à 1172 francs suisses en 2016</w:t>
            </w:r>
          </w:p>
        </w:tc>
        <w:tc>
          <w:tcPr>
            <w:tcW w:w="2835" w:type="dxa"/>
            <w:tcBorders>
              <w:bottom w:val="single" w:sz="4" w:space="0" w:color="auto"/>
            </w:tcBorders>
            <w:shd w:val="clear" w:color="auto" w:fill="auto"/>
            <w:hideMark/>
          </w:tcPr>
          <w:p w14:paraId="6AE45F20" w14:textId="77777777" w:rsidR="00C119C4" w:rsidRPr="00F74DD5" w:rsidRDefault="00C119C4" w:rsidP="00A83D07">
            <w:pPr>
              <w:rPr>
                <w:color w:val="000000"/>
                <w:sz w:val="17"/>
                <w:szCs w:val="17"/>
              </w:rPr>
            </w:pPr>
            <w:r>
              <w:rPr>
                <w:color w:val="000000"/>
                <w:sz w:val="17"/>
                <w:szCs w:val="17"/>
              </w:rPr>
              <w:t xml:space="preserve">La hausse des coûts unitaires s’explique par les améliorations apportées à la méthode de calcul du coût unitaire, donnant lieu à une meilleure répartition des coûts entre les systèmes d’enregistrement de Madrid et de La Haye (pour plus d’informations, veuillez consulter l’annexe relative aux indicateurs de La Haye).  </w:t>
            </w:r>
          </w:p>
        </w:tc>
      </w:tr>
      <w:tr w:rsidR="00C119C4" w:rsidRPr="00F74DD5" w14:paraId="3806B95F" w14:textId="77777777" w:rsidTr="00A83D07">
        <w:trPr>
          <w:trHeight w:val="20"/>
        </w:trPr>
        <w:tc>
          <w:tcPr>
            <w:tcW w:w="9219" w:type="dxa"/>
            <w:gridSpan w:val="6"/>
            <w:shd w:val="clear" w:color="auto" w:fill="8DB4E2"/>
            <w:tcMar>
              <w:top w:w="57" w:type="dxa"/>
              <w:bottom w:w="57" w:type="dxa"/>
            </w:tcMar>
            <w:vAlign w:val="center"/>
          </w:tcPr>
          <w:p w14:paraId="78ADA102" w14:textId="77777777" w:rsidR="00C119C4" w:rsidRPr="00F74DD5" w:rsidRDefault="00C119C4" w:rsidP="00587326">
            <w:pPr>
              <w:keepNext/>
              <w:keepLines/>
              <w:rPr>
                <w:b/>
                <w:bCs/>
                <w:color w:val="000000"/>
                <w:sz w:val="17"/>
                <w:szCs w:val="17"/>
              </w:rPr>
            </w:pPr>
            <w:r>
              <w:rPr>
                <w:b/>
                <w:bCs/>
                <w:color w:val="000000"/>
                <w:sz w:val="17"/>
                <w:szCs w:val="17"/>
              </w:rPr>
              <w:lastRenderedPageBreak/>
              <w:t>2.  Voyages</w:t>
            </w:r>
          </w:p>
        </w:tc>
      </w:tr>
      <w:tr w:rsidR="00C119C4" w:rsidRPr="00F74DD5" w14:paraId="44D9A204" w14:textId="77777777" w:rsidTr="00A83D07">
        <w:trPr>
          <w:trHeight w:val="945"/>
        </w:trPr>
        <w:tc>
          <w:tcPr>
            <w:tcW w:w="1508" w:type="dxa"/>
            <w:shd w:val="clear" w:color="auto" w:fill="auto"/>
            <w:noWrap/>
            <w:hideMark/>
          </w:tcPr>
          <w:p w14:paraId="75023DB6" w14:textId="77777777" w:rsidR="00C119C4" w:rsidRPr="00F74DD5" w:rsidRDefault="00C119C4" w:rsidP="00587326">
            <w:pPr>
              <w:keepNext/>
              <w:keepLines/>
              <w:rPr>
                <w:color w:val="000000"/>
                <w:sz w:val="17"/>
                <w:szCs w:val="17"/>
              </w:rPr>
            </w:pPr>
            <w:r>
              <w:rPr>
                <w:color w:val="000000"/>
                <w:sz w:val="17"/>
                <w:szCs w:val="17"/>
              </w:rPr>
              <w:t>Frais de voyage pour le congé dans les foyers</w:t>
            </w:r>
          </w:p>
        </w:tc>
        <w:tc>
          <w:tcPr>
            <w:tcW w:w="1134" w:type="dxa"/>
            <w:shd w:val="clear" w:color="auto" w:fill="auto"/>
            <w:noWrap/>
            <w:hideMark/>
          </w:tcPr>
          <w:p w14:paraId="720664E7" w14:textId="77777777" w:rsidR="00C119C4" w:rsidRPr="00F74DD5" w:rsidRDefault="00C119C4" w:rsidP="00587326">
            <w:pPr>
              <w:keepNext/>
              <w:keepLines/>
              <w:rPr>
                <w:color w:val="000000"/>
                <w:sz w:val="17"/>
                <w:szCs w:val="17"/>
              </w:rPr>
            </w:pPr>
            <w:r>
              <w:rPr>
                <w:color w:val="000000"/>
                <w:sz w:val="17"/>
                <w:szCs w:val="17"/>
              </w:rPr>
              <w:t>267 000</w:t>
            </w:r>
          </w:p>
        </w:tc>
        <w:tc>
          <w:tcPr>
            <w:tcW w:w="1134" w:type="dxa"/>
            <w:shd w:val="clear" w:color="auto" w:fill="auto"/>
            <w:noWrap/>
            <w:hideMark/>
          </w:tcPr>
          <w:p w14:paraId="7A59E06F" w14:textId="77777777" w:rsidR="00C119C4" w:rsidRPr="00F74DD5" w:rsidRDefault="00C119C4" w:rsidP="00587326">
            <w:pPr>
              <w:keepNext/>
              <w:keepLines/>
              <w:rPr>
                <w:color w:val="000000"/>
                <w:sz w:val="17"/>
                <w:szCs w:val="17"/>
              </w:rPr>
            </w:pPr>
            <w:r>
              <w:rPr>
                <w:color w:val="000000"/>
                <w:sz w:val="17"/>
                <w:szCs w:val="17"/>
              </w:rPr>
              <w:t>1 091 811</w:t>
            </w:r>
          </w:p>
        </w:tc>
        <w:tc>
          <w:tcPr>
            <w:tcW w:w="1304" w:type="dxa"/>
            <w:shd w:val="clear" w:color="000000" w:fill="D9D9D9"/>
            <w:noWrap/>
            <w:hideMark/>
          </w:tcPr>
          <w:p w14:paraId="6503FF87" w14:textId="77777777" w:rsidR="00C119C4" w:rsidRPr="00F74DD5" w:rsidRDefault="00C119C4" w:rsidP="00587326">
            <w:pPr>
              <w:keepNext/>
              <w:keepLines/>
              <w:rPr>
                <w:color w:val="000000"/>
                <w:sz w:val="17"/>
                <w:szCs w:val="17"/>
              </w:rPr>
            </w:pPr>
            <w:r>
              <w:rPr>
                <w:color w:val="000000"/>
                <w:sz w:val="17"/>
                <w:szCs w:val="17"/>
              </w:rPr>
              <w:t> </w:t>
            </w:r>
          </w:p>
        </w:tc>
        <w:tc>
          <w:tcPr>
            <w:tcW w:w="1304" w:type="dxa"/>
            <w:shd w:val="clear" w:color="000000" w:fill="D9D9D9"/>
            <w:noWrap/>
            <w:hideMark/>
          </w:tcPr>
          <w:p w14:paraId="656ECBF6" w14:textId="77777777" w:rsidR="00C119C4" w:rsidRPr="00F74DD5" w:rsidRDefault="00C119C4" w:rsidP="00587326">
            <w:pPr>
              <w:keepNext/>
              <w:keepLines/>
              <w:rPr>
                <w:color w:val="000000"/>
                <w:sz w:val="17"/>
                <w:szCs w:val="17"/>
              </w:rPr>
            </w:pPr>
            <w:r>
              <w:rPr>
                <w:color w:val="000000"/>
                <w:sz w:val="17"/>
                <w:szCs w:val="17"/>
              </w:rPr>
              <w:t> </w:t>
            </w:r>
          </w:p>
        </w:tc>
        <w:tc>
          <w:tcPr>
            <w:tcW w:w="2835" w:type="dxa"/>
            <w:shd w:val="clear" w:color="auto" w:fill="auto"/>
            <w:hideMark/>
          </w:tcPr>
          <w:p w14:paraId="6693881D" w14:textId="77777777" w:rsidR="00C119C4" w:rsidRPr="00F74DD5" w:rsidRDefault="00C119C4" w:rsidP="00587326">
            <w:pPr>
              <w:keepNext/>
              <w:keepLines/>
              <w:rPr>
                <w:sz w:val="17"/>
                <w:szCs w:val="17"/>
              </w:rPr>
            </w:pPr>
            <w:r>
              <w:rPr>
                <w:sz w:val="17"/>
                <w:szCs w:val="17"/>
              </w:rPr>
              <w:t>Après la période de transition 2014/2015, l’année 2016 a bénéficié de la mise en œuvre complète de la nouvelle politique concernant le congé dans les foyers, générant ainsi d’importantes économies entre le billet économique et l’ancien billet business.</w:t>
            </w:r>
          </w:p>
        </w:tc>
      </w:tr>
      <w:tr w:rsidR="00C119C4" w:rsidRPr="00F74DD5" w14:paraId="254D4BBD" w14:textId="77777777" w:rsidTr="00A83D07">
        <w:trPr>
          <w:trHeight w:val="1425"/>
        </w:trPr>
        <w:tc>
          <w:tcPr>
            <w:tcW w:w="1508" w:type="dxa"/>
            <w:shd w:val="clear" w:color="auto" w:fill="auto"/>
            <w:hideMark/>
          </w:tcPr>
          <w:p w14:paraId="6C29595A" w14:textId="77777777" w:rsidR="00C119C4" w:rsidRPr="00F74DD5" w:rsidRDefault="00C119C4" w:rsidP="00A83D07">
            <w:pPr>
              <w:rPr>
                <w:color w:val="000000"/>
                <w:sz w:val="17"/>
                <w:szCs w:val="17"/>
              </w:rPr>
            </w:pPr>
            <w:r>
              <w:rPr>
                <w:color w:val="000000"/>
                <w:sz w:val="17"/>
                <w:szCs w:val="17"/>
              </w:rPr>
              <w:t>Frais de voyage pour mission</w:t>
            </w:r>
            <w:r>
              <w:rPr>
                <w:color w:val="000000"/>
                <w:sz w:val="17"/>
                <w:szCs w:val="17"/>
              </w:rPr>
              <w:br/>
              <w:t>(moyenne globale du prix d’un billet)</w:t>
            </w:r>
          </w:p>
        </w:tc>
        <w:tc>
          <w:tcPr>
            <w:tcW w:w="1134" w:type="dxa"/>
            <w:shd w:val="clear" w:color="000000" w:fill="D9D9D9"/>
            <w:noWrap/>
            <w:hideMark/>
          </w:tcPr>
          <w:p w14:paraId="0955D31A" w14:textId="77777777" w:rsidR="00C119C4" w:rsidRPr="00F74DD5" w:rsidRDefault="00C119C4" w:rsidP="00A83D07">
            <w:pPr>
              <w:rPr>
                <w:color w:val="000000"/>
                <w:sz w:val="17"/>
                <w:szCs w:val="17"/>
              </w:rPr>
            </w:pPr>
            <w:r>
              <w:rPr>
                <w:color w:val="000000"/>
                <w:sz w:val="17"/>
                <w:szCs w:val="17"/>
              </w:rPr>
              <w:t> </w:t>
            </w:r>
          </w:p>
        </w:tc>
        <w:tc>
          <w:tcPr>
            <w:tcW w:w="1134" w:type="dxa"/>
            <w:shd w:val="clear" w:color="000000" w:fill="D9D9D9"/>
            <w:noWrap/>
            <w:hideMark/>
          </w:tcPr>
          <w:p w14:paraId="3C90343C" w14:textId="77777777" w:rsidR="00C119C4" w:rsidRPr="00F74DD5" w:rsidRDefault="00C119C4" w:rsidP="00A83D07">
            <w:pPr>
              <w:rPr>
                <w:color w:val="000000"/>
                <w:sz w:val="17"/>
                <w:szCs w:val="17"/>
              </w:rPr>
            </w:pPr>
            <w:r>
              <w:rPr>
                <w:color w:val="000000"/>
                <w:sz w:val="17"/>
                <w:szCs w:val="17"/>
              </w:rPr>
              <w:t> </w:t>
            </w:r>
          </w:p>
        </w:tc>
        <w:tc>
          <w:tcPr>
            <w:tcW w:w="1304" w:type="dxa"/>
            <w:shd w:val="clear" w:color="auto" w:fill="auto"/>
            <w:hideMark/>
          </w:tcPr>
          <w:p w14:paraId="0330A696" w14:textId="77777777" w:rsidR="00C119C4" w:rsidRPr="00F74DD5" w:rsidRDefault="00C119C4" w:rsidP="00A83D07">
            <w:pPr>
              <w:rPr>
                <w:color w:val="000000"/>
                <w:sz w:val="17"/>
                <w:szCs w:val="17"/>
              </w:rPr>
            </w:pPr>
            <w:r>
              <w:rPr>
                <w:color w:val="000000"/>
                <w:sz w:val="17"/>
                <w:szCs w:val="17"/>
              </w:rPr>
              <w:t xml:space="preserve">Réduction de 7,3%, à 1481 francs suisses en 2015 </w:t>
            </w:r>
          </w:p>
        </w:tc>
        <w:tc>
          <w:tcPr>
            <w:tcW w:w="1304" w:type="dxa"/>
            <w:shd w:val="clear" w:color="auto" w:fill="auto"/>
            <w:hideMark/>
          </w:tcPr>
          <w:p w14:paraId="7C737239" w14:textId="77777777" w:rsidR="00C119C4" w:rsidRPr="00F74DD5" w:rsidRDefault="00C119C4" w:rsidP="00A83D07">
            <w:pPr>
              <w:rPr>
                <w:color w:val="000000"/>
                <w:sz w:val="17"/>
                <w:szCs w:val="17"/>
              </w:rPr>
            </w:pPr>
            <w:r>
              <w:rPr>
                <w:color w:val="000000"/>
                <w:sz w:val="17"/>
                <w:szCs w:val="17"/>
              </w:rPr>
              <w:t>Réduction de 11,2%, à 1315 francs suisses en 2016</w:t>
            </w:r>
          </w:p>
        </w:tc>
        <w:tc>
          <w:tcPr>
            <w:tcW w:w="2835" w:type="dxa"/>
            <w:shd w:val="clear" w:color="auto" w:fill="auto"/>
            <w:hideMark/>
          </w:tcPr>
          <w:p w14:paraId="73F1FB94" w14:textId="77777777" w:rsidR="00C119C4" w:rsidRPr="00F74DD5" w:rsidRDefault="00C119C4" w:rsidP="00A83D07">
            <w:pPr>
              <w:rPr>
                <w:color w:val="000000"/>
                <w:sz w:val="17"/>
                <w:szCs w:val="17"/>
              </w:rPr>
            </w:pPr>
            <w:r>
              <w:rPr>
                <w:color w:val="000000"/>
                <w:sz w:val="17"/>
                <w:szCs w:val="17"/>
              </w:rPr>
              <w:t xml:space="preserve">La baisse constatée en 2016 est due à la mise en place d’outils de voyage de </w:t>
            </w:r>
            <w:r w:rsidRPr="00D4027D">
              <w:rPr>
                <w:color w:val="000000"/>
                <w:sz w:val="17"/>
                <w:szCs w:val="17"/>
              </w:rPr>
              <w:t xml:space="preserve">nouvelle technologie </w:t>
            </w:r>
            <w:r>
              <w:rPr>
                <w:color w:val="000000"/>
                <w:sz w:val="17"/>
                <w:szCs w:val="17"/>
              </w:rPr>
              <w:t>(réservation en ligne) et de formations visant à encourager l’achat à l’avance des billets.  De même, la réduction du nombre de voyages effectués aussi bien par le personnel qu’en dehors (moins 7,9% par rapport à 2015) a contribué à une compression globale des frais de voyage.</w:t>
            </w:r>
          </w:p>
        </w:tc>
      </w:tr>
      <w:tr w:rsidR="00C119C4" w:rsidRPr="00F74DD5" w14:paraId="07F8B998" w14:textId="77777777" w:rsidTr="00A83D07">
        <w:trPr>
          <w:trHeight w:val="100"/>
        </w:trPr>
        <w:tc>
          <w:tcPr>
            <w:tcW w:w="1508" w:type="dxa"/>
            <w:tcBorders>
              <w:bottom w:val="single" w:sz="4" w:space="0" w:color="auto"/>
            </w:tcBorders>
            <w:shd w:val="clear" w:color="auto" w:fill="auto"/>
            <w:noWrap/>
            <w:hideMark/>
          </w:tcPr>
          <w:p w14:paraId="215F4596" w14:textId="77777777" w:rsidR="00C119C4" w:rsidRPr="00F74DD5" w:rsidRDefault="00C119C4" w:rsidP="00A83D07">
            <w:pPr>
              <w:rPr>
                <w:color w:val="000000"/>
                <w:sz w:val="17"/>
                <w:szCs w:val="17"/>
              </w:rPr>
            </w:pPr>
            <w:r>
              <w:rPr>
                <w:color w:val="000000"/>
                <w:sz w:val="17"/>
                <w:szCs w:val="17"/>
              </w:rPr>
              <w:t>Commissions de l’agent de voyages</w:t>
            </w:r>
          </w:p>
        </w:tc>
        <w:tc>
          <w:tcPr>
            <w:tcW w:w="1134" w:type="dxa"/>
            <w:tcBorders>
              <w:bottom w:val="single" w:sz="4" w:space="0" w:color="auto"/>
            </w:tcBorders>
            <w:shd w:val="clear" w:color="000000" w:fill="D9D9D9"/>
            <w:noWrap/>
            <w:hideMark/>
          </w:tcPr>
          <w:p w14:paraId="5EFD609C" w14:textId="77777777" w:rsidR="00C119C4" w:rsidRPr="00F74DD5" w:rsidRDefault="00C119C4" w:rsidP="00A83D07">
            <w:pPr>
              <w:rPr>
                <w:color w:val="000000"/>
                <w:sz w:val="17"/>
                <w:szCs w:val="17"/>
              </w:rPr>
            </w:pPr>
            <w:r>
              <w:rPr>
                <w:color w:val="000000"/>
                <w:sz w:val="17"/>
                <w:szCs w:val="17"/>
              </w:rPr>
              <w:t> </w:t>
            </w:r>
          </w:p>
        </w:tc>
        <w:tc>
          <w:tcPr>
            <w:tcW w:w="1134" w:type="dxa"/>
            <w:tcBorders>
              <w:bottom w:val="single" w:sz="4" w:space="0" w:color="auto"/>
            </w:tcBorders>
            <w:shd w:val="clear" w:color="000000" w:fill="D9D9D9"/>
            <w:noWrap/>
            <w:hideMark/>
          </w:tcPr>
          <w:p w14:paraId="397027B3" w14:textId="77777777" w:rsidR="00C119C4" w:rsidRPr="00F74DD5" w:rsidRDefault="00C119C4" w:rsidP="00A83D07">
            <w:pPr>
              <w:rPr>
                <w:color w:val="000000"/>
                <w:sz w:val="17"/>
                <w:szCs w:val="17"/>
              </w:rPr>
            </w:pPr>
            <w:r>
              <w:rPr>
                <w:color w:val="000000"/>
                <w:sz w:val="17"/>
                <w:szCs w:val="17"/>
              </w:rPr>
              <w:t> </w:t>
            </w:r>
          </w:p>
        </w:tc>
        <w:tc>
          <w:tcPr>
            <w:tcW w:w="1304" w:type="dxa"/>
            <w:tcBorders>
              <w:bottom w:val="single" w:sz="4" w:space="0" w:color="auto"/>
            </w:tcBorders>
            <w:shd w:val="clear" w:color="auto" w:fill="auto"/>
            <w:noWrap/>
            <w:hideMark/>
          </w:tcPr>
          <w:p w14:paraId="1EAFCE81" w14:textId="77777777" w:rsidR="00C119C4" w:rsidRPr="00F74DD5" w:rsidRDefault="00C119C4" w:rsidP="00A83D07">
            <w:pPr>
              <w:rPr>
                <w:color w:val="000000"/>
                <w:sz w:val="17"/>
                <w:szCs w:val="17"/>
              </w:rPr>
            </w:pPr>
            <w:r>
              <w:rPr>
                <w:color w:val="000000"/>
                <w:sz w:val="17"/>
                <w:szCs w:val="17"/>
              </w:rPr>
              <w:t xml:space="preserve">95 francs suisses </w:t>
            </w:r>
          </w:p>
        </w:tc>
        <w:tc>
          <w:tcPr>
            <w:tcW w:w="1304" w:type="dxa"/>
            <w:tcBorders>
              <w:bottom w:val="single" w:sz="4" w:space="0" w:color="auto"/>
            </w:tcBorders>
            <w:shd w:val="clear" w:color="auto" w:fill="auto"/>
            <w:noWrap/>
            <w:hideMark/>
          </w:tcPr>
          <w:p w14:paraId="5991E17C" w14:textId="77777777" w:rsidR="00C119C4" w:rsidRPr="00F74DD5" w:rsidRDefault="00C119C4" w:rsidP="00A83D07">
            <w:pPr>
              <w:rPr>
                <w:color w:val="000000"/>
                <w:sz w:val="17"/>
                <w:szCs w:val="17"/>
              </w:rPr>
            </w:pPr>
            <w:r>
              <w:rPr>
                <w:color w:val="000000"/>
                <w:sz w:val="17"/>
                <w:szCs w:val="17"/>
              </w:rPr>
              <w:t xml:space="preserve">92 francs suisses </w:t>
            </w:r>
          </w:p>
        </w:tc>
        <w:tc>
          <w:tcPr>
            <w:tcW w:w="2835" w:type="dxa"/>
            <w:tcBorders>
              <w:bottom w:val="single" w:sz="4" w:space="0" w:color="auto"/>
            </w:tcBorders>
            <w:shd w:val="clear" w:color="auto" w:fill="auto"/>
            <w:hideMark/>
          </w:tcPr>
          <w:p w14:paraId="4C843BD8" w14:textId="77777777" w:rsidR="00C119C4" w:rsidRPr="00F74DD5" w:rsidRDefault="00C119C4" w:rsidP="00A83D07">
            <w:pPr>
              <w:rPr>
                <w:color w:val="000000"/>
                <w:sz w:val="17"/>
                <w:szCs w:val="17"/>
              </w:rPr>
            </w:pPr>
            <w:r>
              <w:rPr>
                <w:color w:val="000000"/>
                <w:sz w:val="17"/>
                <w:szCs w:val="17"/>
              </w:rPr>
              <w:t>La diminution des frais de transaction payés</w:t>
            </w:r>
            <w:r w:rsidRPr="003F6F0B">
              <w:rPr>
                <w:color w:val="000000"/>
                <w:sz w:val="17"/>
                <w:szCs w:val="17"/>
              </w:rPr>
              <w:t xml:space="preserve"> au PNU</w:t>
            </w:r>
            <w:r>
              <w:rPr>
                <w:color w:val="000000"/>
                <w:sz w:val="17"/>
                <w:szCs w:val="17"/>
              </w:rPr>
              <w:t>D et à l’agence de voyages est surtout due au recours accru à la réservation en ligne (69% des billets ont été achetés au moyen de ce système).</w:t>
            </w:r>
          </w:p>
        </w:tc>
      </w:tr>
      <w:tr w:rsidR="00C119C4" w:rsidRPr="00F74DD5" w14:paraId="25A32A3A" w14:textId="77777777" w:rsidTr="00A83D07">
        <w:trPr>
          <w:trHeight w:val="20"/>
        </w:trPr>
        <w:tc>
          <w:tcPr>
            <w:tcW w:w="9219" w:type="dxa"/>
            <w:gridSpan w:val="6"/>
            <w:shd w:val="clear" w:color="auto" w:fill="8DB4E2"/>
            <w:tcMar>
              <w:top w:w="57" w:type="dxa"/>
              <w:bottom w:w="57" w:type="dxa"/>
            </w:tcMar>
            <w:vAlign w:val="center"/>
          </w:tcPr>
          <w:p w14:paraId="6BF4B3D0" w14:textId="77777777" w:rsidR="00C119C4" w:rsidRPr="00F74DD5" w:rsidRDefault="00C119C4" w:rsidP="00A83D07">
            <w:pPr>
              <w:rPr>
                <w:color w:val="000000"/>
                <w:sz w:val="17"/>
                <w:szCs w:val="17"/>
              </w:rPr>
            </w:pPr>
            <w:r>
              <w:rPr>
                <w:b/>
                <w:bCs/>
                <w:color w:val="000000"/>
                <w:sz w:val="17"/>
                <w:szCs w:val="17"/>
              </w:rPr>
              <w:t>3.  Locaux</w:t>
            </w:r>
          </w:p>
        </w:tc>
      </w:tr>
      <w:tr w:rsidR="00C119C4" w:rsidRPr="00F74DD5" w14:paraId="2463E29C" w14:textId="77777777" w:rsidTr="00A83D07">
        <w:trPr>
          <w:trHeight w:val="1185"/>
        </w:trPr>
        <w:tc>
          <w:tcPr>
            <w:tcW w:w="1508" w:type="dxa"/>
            <w:shd w:val="clear" w:color="auto" w:fill="auto"/>
            <w:hideMark/>
          </w:tcPr>
          <w:p w14:paraId="7F97A9B1" w14:textId="77777777" w:rsidR="00C119C4" w:rsidRPr="00F74DD5" w:rsidRDefault="00C119C4" w:rsidP="00A83D07">
            <w:pPr>
              <w:rPr>
                <w:color w:val="000000"/>
                <w:sz w:val="17"/>
                <w:szCs w:val="17"/>
              </w:rPr>
            </w:pPr>
            <w:r>
              <w:rPr>
                <w:color w:val="000000"/>
                <w:sz w:val="17"/>
                <w:szCs w:val="17"/>
              </w:rPr>
              <w:t>Dépenses liées aux consommations d’énergie</w:t>
            </w:r>
          </w:p>
        </w:tc>
        <w:tc>
          <w:tcPr>
            <w:tcW w:w="1134" w:type="dxa"/>
            <w:shd w:val="clear" w:color="auto" w:fill="auto"/>
            <w:noWrap/>
            <w:hideMark/>
          </w:tcPr>
          <w:p w14:paraId="7855D519" w14:textId="77777777" w:rsidR="00C119C4" w:rsidRPr="00F74DD5" w:rsidRDefault="00C119C4" w:rsidP="00A83D07">
            <w:pPr>
              <w:rPr>
                <w:color w:val="000000"/>
                <w:sz w:val="17"/>
                <w:szCs w:val="17"/>
              </w:rPr>
            </w:pPr>
            <w:r>
              <w:rPr>
                <w:color w:val="000000"/>
                <w:sz w:val="17"/>
                <w:szCs w:val="17"/>
              </w:rPr>
              <w:t xml:space="preserve">75 000 </w:t>
            </w:r>
          </w:p>
        </w:tc>
        <w:tc>
          <w:tcPr>
            <w:tcW w:w="1134" w:type="dxa"/>
            <w:shd w:val="clear" w:color="auto" w:fill="auto"/>
            <w:noWrap/>
            <w:hideMark/>
          </w:tcPr>
          <w:p w14:paraId="0FDD0C35" w14:textId="77777777" w:rsidR="00C119C4" w:rsidRPr="00F74DD5" w:rsidRDefault="00C119C4" w:rsidP="00A83D07">
            <w:pPr>
              <w:rPr>
                <w:color w:val="000000"/>
                <w:sz w:val="17"/>
                <w:szCs w:val="17"/>
              </w:rPr>
            </w:pPr>
            <w:r>
              <w:rPr>
                <w:color w:val="000000"/>
                <w:sz w:val="17"/>
                <w:szCs w:val="17"/>
              </w:rPr>
              <w:t>33 800</w:t>
            </w:r>
          </w:p>
        </w:tc>
        <w:tc>
          <w:tcPr>
            <w:tcW w:w="1304" w:type="dxa"/>
            <w:shd w:val="clear" w:color="000000" w:fill="D9D9D9"/>
            <w:noWrap/>
            <w:hideMark/>
          </w:tcPr>
          <w:p w14:paraId="2E2A04ED"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1D0BD05E"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69455893" w14:textId="77777777" w:rsidR="00C119C4" w:rsidRPr="00F74DD5" w:rsidRDefault="00C119C4" w:rsidP="00A83D07">
            <w:pPr>
              <w:rPr>
                <w:color w:val="000000"/>
                <w:sz w:val="17"/>
                <w:szCs w:val="17"/>
              </w:rPr>
            </w:pPr>
            <w:r>
              <w:rPr>
                <w:color w:val="000000"/>
                <w:sz w:val="17"/>
                <w:szCs w:val="17"/>
              </w:rPr>
              <w:t>La diminution de la consommation d’électricité est la conséquence de l’installation, en 2015, du système de refroidissement par les eaux du lac Léman, qui ne nécessite aucun système supplémentaire pour diminuer la température de l’eau.  Les économies réalisées pour le bâtiment</w:t>
            </w:r>
            <w:r w:rsidRPr="003F6F0B">
              <w:rPr>
                <w:color w:val="000000"/>
                <w:sz w:val="17"/>
                <w:szCs w:val="17"/>
              </w:rPr>
              <w:t xml:space="preserve"> du PCT</w:t>
            </w:r>
            <w:r>
              <w:rPr>
                <w:color w:val="000000"/>
                <w:sz w:val="17"/>
                <w:szCs w:val="17"/>
              </w:rPr>
              <w:t xml:space="preserve"> se sont ainsi élevées à 33 800 francs suisses en 2016.</w:t>
            </w:r>
          </w:p>
        </w:tc>
      </w:tr>
      <w:tr w:rsidR="00C119C4" w:rsidRPr="00F74DD5" w14:paraId="59D290E1" w14:textId="77777777" w:rsidTr="00A83D07">
        <w:trPr>
          <w:trHeight w:val="870"/>
        </w:trPr>
        <w:tc>
          <w:tcPr>
            <w:tcW w:w="1508" w:type="dxa"/>
            <w:shd w:val="clear" w:color="auto" w:fill="auto"/>
            <w:hideMark/>
          </w:tcPr>
          <w:p w14:paraId="26F94108" w14:textId="77777777" w:rsidR="00C119C4" w:rsidRPr="00F74DD5" w:rsidRDefault="00C119C4" w:rsidP="00A83D07">
            <w:pPr>
              <w:rPr>
                <w:color w:val="000000"/>
                <w:sz w:val="17"/>
                <w:szCs w:val="17"/>
              </w:rPr>
            </w:pPr>
            <w:r>
              <w:rPr>
                <w:color w:val="000000"/>
                <w:sz w:val="17"/>
                <w:szCs w:val="17"/>
              </w:rPr>
              <w:t>Frais de consommation d’éclairage</w:t>
            </w:r>
          </w:p>
        </w:tc>
        <w:tc>
          <w:tcPr>
            <w:tcW w:w="1134" w:type="dxa"/>
            <w:shd w:val="clear" w:color="auto" w:fill="auto"/>
            <w:noWrap/>
            <w:hideMark/>
          </w:tcPr>
          <w:p w14:paraId="434098E3" w14:textId="77777777" w:rsidR="00C119C4" w:rsidRPr="00F74DD5" w:rsidRDefault="00C119C4" w:rsidP="00A83D07">
            <w:pPr>
              <w:rPr>
                <w:color w:val="000000"/>
                <w:sz w:val="17"/>
                <w:szCs w:val="17"/>
              </w:rPr>
            </w:pPr>
            <w:r>
              <w:rPr>
                <w:color w:val="000000"/>
                <w:sz w:val="17"/>
                <w:szCs w:val="17"/>
              </w:rPr>
              <w:t xml:space="preserve">45 000 </w:t>
            </w:r>
          </w:p>
        </w:tc>
        <w:tc>
          <w:tcPr>
            <w:tcW w:w="1134" w:type="dxa"/>
            <w:shd w:val="clear" w:color="auto" w:fill="auto"/>
            <w:noWrap/>
            <w:hideMark/>
          </w:tcPr>
          <w:p w14:paraId="20361329" w14:textId="77777777" w:rsidR="00C119C4" w:rsidRPr="00F74DD5" w:rsidRDefault="00C119C4" w:rsidP="00A83D07">
            <w:pPr>
              <w:rPr>
                <w:color w:val="000000"/>
                <w:sz w:val="17"/>
                <w:szCs w:val="17"/>
              </w:rPr>
            </w:pPr>
            <w:r>
              <w:rPr>
                <w:color w:val="000000"/>
                <w:sz w:val="17"/>
                <w:szCs w:val="17"/>
              </w:rPr>
              <w:t>25 610</w:t>
            </w:r>
          </w:p>
        </w:tc>
        <w:tc>
          <w:tcPr>
            <w:tcW w:w="1304" w:type="dxa"/>
            <w:shd w:val="clear" w:color="000000" w:fill="D9D9D9"/>
            <w:noWrap/>
            <w:hideMark/>
          </w:tcPr>
          <w:p w14:paraId="5589C570"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216846B6"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386D729C" w14:textId="77777777" w:rsidR="00C119C4" w:rsidRPr="00F74DD5" w:rsidRDefault="00C119C4" w:rsidP="00A83D07">
            <w:pPr>
              <w:rPr>
                <w:color w:val="000000"/>
                <w:sz w:val="17"/>
                <w:szCs w:val="17"/>
              </w:rPr>
            </w:pPr>
            <w:r>
              <w:rPr>
                <w:color w:val="000000"/>
                <w:sz w:val="17"/>
                <w:szCs w:val="17"/>
              </w:rPr>
              <w:t>Les économies découlent de la mise en place de luminaires avec détecteur de présence, d’ampoules économiques, d’un éclairage minuté dans le parking et d’armoires électriques plus efficaces.</w:t>
            </w:r>
          </w:p>
        </w:tc>
      </w:tr>
      <w:tr w:rsidR="00C119C4" w:rsidRPr="00F74DD5" w14:paraId="2A11F6AB" w14:textId="77777777" w:rsidTr="00A83D07">
        <w:trPr>
          <w:trHeight w:val="720"/>
        </w:trPr>
        <w:tc>
          <w:tcPr>
            <w:tcW w:w="1508" w:type="dxa"/>
            <w:shd w:val="clear" w:color="auto" w:fill="auto"/>
            <w:hideMark/>
          </w:tcPr>
          <w:p w14:paraId="7E0CE924" w14:textId="77777777" w:rsidR="00C119C4" w:rsidRPr="00F74DD5" w:rsidRDefault="00C119C4" w:rsidP="00A83D07">
            <w:pPr>
              <w:rPr>
                <w:color w:val="000000"/>
                <w:sz w:val="17"/>
                <w:szCs w:val="17"/>
              </w:rPr>
            </w:pPr>
            <w:r>
              <w:rPr>
                <w:color w:val="000000"/>
                <w:sz w:val="17"/>
                <w:szCs w:val="17"/>
              </w:rPr>
              <w:t>Frais de consommation d’eau</w:t>
            </w:r>
          </w:p>
        </w:tc>
        <w:tc>
          <w:tcPr>
            <w:tcW w:w="1134" w:type="dxa"/>
            <w:shd w:val="clear" w:color="auto" w:fill="auto"/>
            <w:noWrap/>
            <w:hideMark/>
          </w:tcPr>
          <w:p w14:paraId="50590F60" w14:textId="77777777" w:rsidR="00C119C4" w:rsidRPr="00F74DD5" w:rsidRDefault="00C119C4" w:rsidP="00A83D07">
            <w:pPr>
              <w:rPr>
                <w:color w:val="000000"/>
                <w:sz w:val="17"/>
                <w:szCs w:val="17"/>
              </w:rPr>
            </w:pPr>
            <w:r>
              <w:rPr>
                <w:color w:val="000000"/>
                <w:sz w:val="17"/>
                <w:szCs w:val="17"/>
              </w:rPr>
              <w:t xml:space="preserve">125 500 </w:t>
            </w:r>
          </w:p>
        </w:tc>
        <w:tc>
          <w:tcPr>
            <w:tcW w:w="1134" w:type="dxa"/>
            <w:shd w:val="clear" w:color="auto" w:fill="auto"/>
            <w:noWrap/>
            <w:hideMark/>
          </w:tcPr>
          <w:p w14:paraId="03AFB51D" w14:textId="77777777" w:rsidR="00C119C4" w:rsidRPr="00F74DD5" w:rsidRDefault="00C119C4" w:rsidP="00A83D07">
            <w:pPr>
              <w:rPr>
                <w:color w:val="000000"/>
                <w:sz w:val="17"/>
                <w:szCs w:val="17"/>
              </w:rPr>
            </w:pPr>
            <w:r>
              <w:rPr>
                <w:color w:val="000000"/>
                <w:sz w:val="17"/>
                <w:szCs w:val="17"/>
              </w:rPr>
              <w:t xml:space="preserve">2 500 </w:t>
            </w:r>
          </w:p>
        </w:tc>
        <w:tc>
          <w:tcPr>
            <w:tcW w:w="1304" w:type="dxa"/>
            <w:shd w:val="clear" w:color="000000" w:fill="D9D9D9"/>
            <w:noWrap/>
            <w:hideMark/>
          </w:tcPr>
          <w:p w14:paraId="06C3C7D8"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1FD666B0"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7F2E30C5" w14:textId="77777777" w:rsidR="00C119C4" w:rsidRPr="00F74DD5" w:rsidRDefault="00C119C4" w:rsidP="00A83D07">
            <w:pPr>
              <w:rPr>
                <w:color w:val="000000"/>
                <w:sz w:val="17"/>
                <w:szCs w:val="17"/>
              </w:rPr>
            </w:pPr>
            <w:r>
              <w:rPr>
                <w:color w:val="000000"/>
                <w:sz w:val="17"/>
                <w:szCs w:val="17"/>
              </w:rPr>
              <w:t>La diminution de la consommation d’eau est due à l’utilisation de l’eau du lac en lieu et place du réseau de distribution.  Aucune économie substantielle n’a été réalisée en 2016, la baisse de la consommation ayant été compensée par la légère hausse des tarifs de l’eau.</w:t>
            </w:r>
          </w:p>
        </w:tc>
      </w:tr>
      <w:tr w:rsidR="00C119C4" w:rsidRPr="00F74DD5" w14:paraId="0602F94F" w14:textId="77777777" w:rsidTr="00A83D07">
        <w:trPr>
          <w:trHeight w:val="1035"/>
        </w:trPr>
        <w:tc>
          <w:tcPr>
            <w:tcW w:w="1508" w:type="dxa"/>
            <w:shd w:val="clear" w:color="auto" w:fill="auto"/>
            <w:hideMark/>
          </w:tcPr>
          <w:p w14:paraId="0E30D6C4" w14:textId="77777777" w:rsidR="00C119C4" w:rsidRPr="00F74DD5" w:rsidRDefault="00C119C4" w:rsidP="00A83D07">
            <w:pPr>
              <w:rPr>
                <w:color w:val="000000"/>
                <w:sz w:val="17"/>
                <w:szCs w:val="17"/>
              </w:rPr>
            </w:pPr>
            <w:r>
              <w:rPr>
                <w:color w:val="000000"/>
                <w:sz w:val="17"/>
                <w:szCs w:val="17"/>
              </w:rPr>
              <w:lastRenderedPageBreak/>
              <w:t>Frais de consommation d’électricité</w:t>
            </w:r>
          </w:p>
        </w:tc>
        <w:tc>
          <w:tcPr>
            <w:tcW w:w="1134" w:type="dxa"/>
            <w:shd w:val="clear" w:color="auto" w:fill="auto"/>
            <w:noWrap/>
            <w:hideMark/>
          </w:tcPr>
          <w:p w14:paraId="02ABCC1D" w14:textId="77777777" w:rsidR="00C119C4" w:rsidRPr="00F74DD5" w:rsidRDefault="00C119C4" w:rsidP="00A83D07">
            <w:pPr>
              <w:rPr>
                <w:color w:val="000000"/>
                <w:sz w:val="17"/>
                <w:szCs w:val="17"/>
              </w:rPr>
            </w:pPr>
            <w:r>
              <w:rPr>
                <w:color w:val="000000"/>
                <w:sz w:val="17"/>
                <w:szCs w:val="17"/>
              </w:rPr>
              <w:t>164 000</w:t>
            </w:r>
          </w:p>
        </w:tc>
        <w:tc>
          <w:tcPr>
            <w:tcW w:w="1134" w:type="dxa"/>
            <w:shd w:val="clear" w:color="auto" w:fill="auto"/>
            <w:noWrap/>
            <w:hideMark/>
          </w:tcPr>
          <w:p w14:paraId="13C21CC6" w14:textId="77777777" w:rsidR="00C119C4" w:rsidRPr="00F74DD5" w:rsidRDefault="00C119C4" w:rsidP="00A83D07">
            <w:pPr>
              <w:rPr>
                <w:color w:val="000000"/>
                <w:sz w:val="17"/>
                <w:szCs w:val="17"/>
              </w:rPr>
            </w:pPr>
            <w:r>
              <w:rPr>
                <w:color w:val="000000"/>
                <w:sz w:val="17"/>
                <w:szCs w:val="17"/>
              </w:rPr>
              <w:t>-</w:t>
            </w:r>
          </w:p>
        </w:tc>
        <w:tc>
          <w:tcPr>
            <w:tcW w:w="1304" w:type="dxa"/>
            <w:shd w:val="clear" w:color="000000" w:fill="D9D9D9"/>
            <w:noWrap/>
            <w:hideMark/>
          </w:tcPr>
          <w:p w14:paraId="18D6A02A"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7CCB39A1"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1B6ED58B" w14:textId="77777777" w:rsidR="00C119C4" w:rsidRPr="00F74DD5" w:rsidRDefault="00C119C4" w:rsidP="00A83D07">
            <w:pPr>
              <w:rPr>
                <w:color w:val="000000"/>
                <w:sz w:val="17"/>
                <w:szCs w:val="17"/>
              </w:rPr>
            </w:pPr>
            <w:r>
              <w:rPr>
                <w:color w:val="000000"/>
                <w:sz w:val="17"/>
                <w:szCs w:val="17"/>
              </w:rPr>
              <w:t xml:space="preserve">Pas d’économies supplémentaires en 2016 par rapport à 2015.  Toutefois, les coûts en 2016 sont basés sur des tarifs moins élevés, fixés dans un contrat en janvier 2015 pour une période de trois ans.  Si l’on prenait les tarifs précédents comme niveau de référence, on aurait réalisé </w:t>
            </w:r>
            <w:r w:rsidRPr="00075B18">
              <w:rPr>
                <w:color w:val="000000"/>
                <w:sz w:val="17"/>
                <w:szCs w:val="17"/>
              </w:rPr>
              <w:t>155</w:t>
            </w:r>
            <w:r>
              <w:rPr>
                <w:color w:val="000000"/>
                <w:sz w:val="17"/>
                <w:szCs w:val="17"/>
              </w:rPr>
              <w:t> </w:t>
            </w:r>
            <w:r w:rsidRPr="00075B18">
              <w:rPr>
                <w:color w:val="000000"/>
                <w:sz w:val="17"/>
                <w:szCs w:val="17"/>
              </w:rPr>
              <w:t>000</w:t>
            </w:r>
            <w:r>
              <w:rPr>
                <w:color w:val="000000"/>
                <w:sz w:val="17"/>
                <w:szCs w:val="17"/>
              </w:rPr>
              <w:t> </w:t>
            </w:r>
            <w:r w:rsidRPr="00075B18">
              <w:rPr>
                <w:color w:val="000000"/>
                <w:sz w:val="17"/>
                <w:szCs w:val="17"/>
              </w:rPr>
              <w:t xml:space="preserve">francs suisses </w:t>
            </w:r>
            <w:r>
              <w:rPr>
                <w:color w:val="000000"/>
                <w:sz w:val="17"/>
                <w:szCs w:val="17"/>
              </w:rPr>
              <w:t>d’économies en 2016.</w:t>
            </w:r>
          </w:p>
        </w:tc>
      </w:tr>
      <w:tr w:rsidR="00C119C4" w:rsidRPr="00F74DD5" w14:paraId="06EB6212" w14:textId="77777777" w:rsidTr="00A83D07">
        <w:trPr>
          <w:trHeight w:val="825"/>
        </w:trPr>
        <w:tc>
          <w:tcPr>
            <w:tcW w:w="1508" w:type="dxa"/>
            <w:shd w:val="clear" w:color="auto" w:fill="auto"/>
            <w:hideMark/>
          </w:tcPr>
          <w:p w14:paraId="3B230DF0" w14:textId="77777777" w:rsidR="00C119C4" w:rsidRPr="00F74DD5" w:rsidRDefault="00C119C4" w:rsidP="00A83D07">
            <w:pPr>
              <w:rPr>
                <w:color w:val="000000"/>
                <w:sz w:val="17"/>
                <w:szCs w:val="17"/>
              </w:rPr>
            </w:pPr>
            <w:r>
              <w:rPr>
                <w:color w:val="000000"/>
                <w:sz w:val="17"/>
                <w:szCs w:val="17"/>
              </w:rPr>
              <w:t>Coût des zones de stockage (fin des baux)</w:t>
            </w:r>
          </w:p>
        </w:tc>
        <w:tc>
          <w:tcPr>
            <w:tcW w:w="1134" w:type="dxa"/>
            <w:shd w:val="clear" w:color="auto" w:fill="auto"/>
            <w:noWrap/>
            <w:hideMark/>
          </w:tcPr>
          <w:p w14:paraId="4ADA798B" w14:textId="77777777" w:rsidR="00C119C4" w:rsidRPr="00F74DD5" w:rsidRDefault="00C119C4" w:rsidP="00A83D07">
            <w:pPr>
              <w:rPr>
                <w:color w:val="000000"/>
                <w:sz w:val="17"/>
                <w:szCs w:val="17"/>
              </w:rPr>
            </w:pPr>
            <w:r>
              <w:rPr>
                <w:color w:val="000000"/>
                <w:sz w:val="17"/>
                <w:szCs w:val="17"/>
              </w:rPr>
              <w:t>54 150</w:t>
            </w:r>
          </w:p>
        </w:tc>
        <w:tc>
          <w:tcPr>
            <w:tcW w:w="1134" w:type="dxa"/>
            <w:shd w:val="clear" w:color="auto" w:fill="auto"/>
            <w:noWrap/>
            <w:hideMark/>
          </w:tcPr>
          <w:p w14:paraId="3A759CAB" w14:textId="77777777" w:rsidR="00C119C4" w:rsidRPr="00F74DD5" w:rsidRDefault="00C119C4" w:rsidP="00A83D07">
            <w:pPr>
              <w:rPr>
                <w:color w:val="000000"/>
                <w:sz w:val="17"/>
                <w:szCs w:val="17"/>
              </w:rPr>
            </w:pPr>
            <w:r>
              <w:rPr>
                <w:color w:val="000000"/>
                <w:sz w:val="17"/>
                <w:szCs w:val="17"/>
              </w:rPr>
              <w:t>-</w:t>
            </w:r>
          </w:p>
        </w:tc>
        <w:tc>
          <w:tcPr>
            <w:tcW w:w="1304" w:type="dxa"/>
            <w:shd w:val="clear" w:color="000000" w:fill="D9D9D9"/>
            <w:noWrap/>
            <w:hideMark/>
          </w:tcPr>
          <w:p w14:paraId="4D08176C"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4A777921"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646EBA3B" w14:textId="77777777" w:rsidR="00C119C4" w:rsidRPr="00F74DD5" w:rsidRDefault="00C119C4" w:rsidP="00A83D07">
            <w:pPr>
              <w:rPr>
                <w:color w:val="000000"/>
                <w:sz w:val="17"/>
                <w:szCs w:val="17"/>
              </w:rPr>
            </w:pPr>
            <w:r>
              <w:rPr>
                <w:color w:val="000000"/>
                <w:sz w:val="17"/>
                <w:szCs w:val="17"/>
              </w:rPr>
              <w:t>Pas d’économies supplémentaires en 2016, étant donné qu’aucun des baux de zones de stockage restants ne devait prendre fin en 2016.</w:t>
            </w:r>
          </w:p>
        </w:tc>
      </w:tr>
      <w:tr w:rsidR="00C119C4" w:rsidRPr="00F74DD5" w14:paraId="6029EB8B" w14:textId="77777777" w:rsidTr="00A83D07">
        <w:trPr>
          <w:trHeight w:val="1110"/>
        </w:trPr>
        <w:tc>
          <w:tcPr>
            <w:tcW w:w="1508" w:type="dxa"/>
            <w:shd w:val="clear" w:color="auto" w:fill="auto"/>
            <w:hideMark/>
          </w:tcPr>
          <w:p w14:paraId="0F1E10F4" w14:textId="77777777" w:rsidR="00C119C4" w:rsidRPr="00F74DD5" w:rsidRDefault="00C119C4" w:rsidP="00A83D07">
            <w:pPr>
              <w:rPr>
                <w:color w:val="000000"/>
                <w:sz w:val="17"/>
                <w:szCs w:val="17"/>
              </w:rPr>
            </w:pPr>
            <w:r>
              <w:rPr>
                <w:color w:val="000000"/>
                <w:sz w:val="17"/>
                <w:szCs w:val="17"/>
              </w:rPr>
              <w:t>Frais de parking (“Parking des Nations”)</w:t>
            </w:r>
          </w:p>
        </w:tc>
        <w:tc>
          <w:tcPr>
            <w:tcW w:w="1134" w:type="dxa"/>
            <w:shd w:val="clear" w:color="auto" w:fill="auto"/>
            <w:noWrap/>
            <w:hideMark/>
          </w:tcPr>
          <w:p w14:paraId="0F7D0DE7" w14:textId="77777777" w:rsidR="00C119C4" w:rsidRPr="00F74DD5" w:rsidRDefault="00C119C4" w:rsidP="00A83D07">
            <w:pPr>
              <w:rPr>
                <w:color w:val="000000"/>
                <w:sz w:val="17"/>
                <w:szCs w:val="17"/>
              </w:rPr>
            </w:pPr>
            <w:r>
              <w:rPr>
                <w:color w:val="000000"/>
                <w:sz w:val="17"/>
                <w:szCs w:val="17"/>
              </w:rPr>
              <w:t xml:space="preserve">123 492 </w:t>
            </w:r>
          </w:p>
        </w:tc>
        <w:tc>
          <w:tcPr>
            <w:tcW w:w="1134" w:type="dxa"/>
            <w:shd w:val="clear" w:color="auto" w:fill="auto"/>
            <w:noWrap/>
            <w:hideMark/>
          </w:tcPr>
          <w:p w14:paraId="4B8AFF4E" w14:textId="77777777" w:rsidR="00C119C4" w:rsidRPr="00F74DD5" w:rsidRDefault="00C119C4" w:rsidP="00A83D07">
            <w:pPr>
              <w:rPr>
                <w:color w:val="000000"/>
                <w:sz w:val="17"/>
                <w:szCs w:val="17"/>
              </w:rPr>
            </w:pPr>
            <w:r>
              <w:rPr>
                <w:color w:val="000000"/>
                <w:sz w:val="17"/>
                <w:szCs w:val="17"/>
              </w:rPr>
              <w:t xml:space="preserve">25 280 </w:t>
            </w:r>
          </w:p>
        </w:tc>
        <w:tc>
          <w:tcPr>
            <w:tcW w:w="1304" w:type="dxa"/>
            <w:shd w:val="clear" w:color="000000" w:fill="D9D9D9"/>
            <w:noWrap/>
            <w:hideMark/>
          </w:tcPr>
          <w:p w14:paraId="2E712981"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46520F5B"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5523F990" w14:textId="77777777" w:rsidR="00C119C4" w:rsidRPr="00F74DD5" w:rsidRDefault="00C119C4" w:rsidP="00A83D07">
            <w:pPr>
              <w:rPr>
                <w:color w:val="000000"/>
                <w:sz w:val="17"/>
                <w:szCs w:val="17"/>
              </w:rPr>
            </w:pPr>
            <w:r>
              <w:rPr>
                <w:color w:val="000000"/>
                <w:sz w:val="17"/>
                <w:szCs w:val="17"/>
              </w:rPr>
              <w:t>En 2015, les économies découlaient de la résiliation de 52 abonnements dans le Parking des Nations en 2015.</w:t>
            </w:r>
            <w:r>
              <w:rPr>
                <w:color w:val="000000"/>
                <w:sz w:val="17"/>
                <w:szCs w:val="17"/>
              </w:rPr>
              <w:br/>
              <w:t>En 2016, les économies découlaient de la résiliation de 35 abonnements supplémentaires dans le Parking des Nations en 2016.</w:t>
            </w:r>
          </w:p>
        </w:tc>
      </w:tr>
      <w:tr w:rsidR="00C119C4" w:rsidRPr="00F74DD5" w14:paraId="421AE9E2" w14:textId="77777777" w:rsidTr="00A83D07">
        <w:trPr>
          <w:trHeight w:val="1110"/>
        </w:trPr>
        <w:tc>
          <w:tcPr>
            <w:tcW w:w="1508" w:type="dxa"/>
            <w:shd w:val="clear" w:color="auto" w:fill="auto"/>
            <w:hideMark/>
          </w:tcPr>
          <w:p w14:paraId="433E125B" w14:textId="77777777" w:rsidR="00C119C4" w:rsidRPr="00F74DD5" w:rsidRDefault="00C119C4" w:rsidP="00A83D07">
            <w:pPr>
              <w:rPr>
                <w:color w:val="000000"/>
                <w:sz w:val="17"/>
                <w:szCs w:val="17"/>
              </w:rPr>
            </w:pPr>
            <w:r>
              <w:rPr>
                <w:color w:val="000000"/>
                <w:sz w:val="17"/>
                <w:szCs w:val="17"/>
              </w:rPr>
              <w:t>Frais de parking (bâtiment CAM)</w:t>
            </w:r>
          </w:p>
        </w:tc>
        <w:tc>
          <w:tcPr>
            <w:tcW w:w="1134" w:type="dxa"/>
            <w:shd w:val="clear" w:color="auto" w:fill="auto"/>
            <w:noWrap/>
            <w:hideMark/>
          </w:tcPr>
          <w:p w14:paraId="3F530540" w14:textId="77777777" w:rsidR="00C119C4" w:rsidRPr="00F74DD5" w:rsidRDefault="00C119C4" w:rsidP="00A83D07">
            <w:pPr>
              <w:rPr>
                <w:color w:val="000000"/>
                <w:sz w:val="17"/>
                <w:szCs w:val="17"/>
              </w:rPr>
            </w:pPr>
            <w:r>
              <w:rPr>
                <w:color w:val="000000"/>
                <w:sz w:val="17"/>
                <w:szCs w:val="17"/>
              </w:rPr>
              <w:t xml:space="preserve">8 340 </w:t>
            </w:r>
          </w:p>
        </w:tc>
        <w:tc>
          <w:tcPr>
            <w:tcW w:w="1134" w:type="dxa"/>
            <w:shd w:val="clear" w:color="auto" w:fill="auto"/>
            <w:noWrap/>
            <w:hideMark/>
          </w:tcPr>
          <w:p w14:paraId="6EFD3A12" w14:textId="77777777" w:rsidR="00C119C4" w:rsidRPr="00F74DD5" w:rsidRDefault="00C119C4" w:rsidP="00A83D07">
            <w:pPr>
              <w:rPr>
                <w:color w:val="000000"/>
                <w:sz w:val="17"/>
                <w:szCs w:val="17"/>
              </w:rPr>
            </w:pPr>
            <w:r>
              <w:rPr>
                <w:color w:val="000000"/>
                <w:sz w:val="17"/>
                <w:szCs w:val="17"/>
              </w:rPr>
              <w:t>29 190</w:t>
            </w:r>
          </w:p>
        </w:tc>
        <w:tc>
          <w:tcPr>
            <w:tcW w:w="1304" w:type="dxa"/>
            <w:shd w:val="clear" w:color="000000" w:fill="D9D9D9"/>
            <w:noWrap/>
            <w:hideMark/>
          </w:tcPr>
          <w:p w14:paraId="03A9ABDF"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1F3329B5"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08D3D83A" w14:textId="77777777" w:rsidR="00C119C4" w:rsidRPr="00F74DD5" w:rsidRDefault="00C119C4" w:rsidP="00A83D07">
            <w:pPr>
              <w:rPr>
                <w:color w:val="000000"/>
                <w:sz w:val="17"/>
                <w:szCs w:val="17"/>
              </w:rPr>
            </w:pPr>
            <w:r>
              <w:rPr>
                <w:color w:val="000000"/>
                <w:sz w:val="17"/>
                <w:szCs w:val="17"/>
              </w:rPr>
              <w:t>En 2015, les économies découlaient de la résiliation de cinq abonnements dans le parking du bâtiment CAM en 2015.</w:t>
            </w:r>
            <w:r>
              <w:rPr>
                <w:color w:val="000000"/>
                <w:sz w:val="17"/>
                <w:szCs w:val="17"/>
              </w:rPr>
              <w:br/>
              <w:t>En 2016, les économies découlaient de la résiliation de 30 abonnements supplémentaires dans le parking du bâtiment CAM en 2016.</w:t>
            </w:r>
          </w:p>
        </w:tc>
      </w:tr>
      <w:tr w:rsidR="00C119C4" w:rsidRPr="00F74DD5" w14:paraId="7319B533" w14:textId="77777777" w:rsidTr="00A83D07">
        <w:trPr>
          <w:trHeight w:val="675"/>
        </w:trPr>
        <w:tc>
          <w:tcPr>
            <w:tcW w:w="1508" w:type="dxa"/>
            <w:tcBorders>
              <w:bottom w:val="single" w:sz="4" w:space="0" w:color="auto"/>
            </w:tcBorders>
            <w:shd w:val="clear" w:color="auto" w:fill="auto"/>
            <w:hideMark/>
          </w:tcPr>
          <w:p w14:paraId="1D8B6183" w14:textId="77777777" w:rsidR="00C119C4" w:rsidRPr="00F74DD5" w:rsidRDefault="00C119C4" w:rsidP="00A83D07">
            <w:pPr>
              <w:rPr>
                <w:color w:val="000000"/>
                <w:sz w:val="17"/>
                <w:szCs w:val="17"/>
              </w:rPr>
            </w:pPr>
            <w:r>
              <w:rPr>
                <w:color w:val="000000"/>
                <w:sz w:val="17"/>
                <w:szCs w:val="17"/>
              </w:rPr>
              <w:t>Frais de fournitures de bureau</w:t>
            </w:r>
          </w:p>
        </w:tc>
        <w:tc>
          <w:tcPr>
            <w:tcW w:w="1134" w:type="dxa"/>
            <w:tcBorders>
              <w:bottom w:val="single" w:sz="4" w:space="0" w:color="auto"/>
            </w:tcBorders>
            <w:shd w:val="clear" w:color="auto" w:fill="auto"/>
            <w:noWrap/>
            <w:hideMark/>
          </w:tcPr>
          <w:p w14:paraId="0728B356" w14:textId="77777777" w:rsidR="00C119C4" w:rsidRPr="00F74DD5" w:rsidRDefault="00C119C4" w:rsidP="00A83D07">
            <w:pPr>
              <w:rPr>
                <w:color w:val="000000"/>
                <w:sz w:val="17"/>
                <w:szCs w:val="17"/>
              </w:rPr>
            </w:pPr>
            <w:r>
              <w:rPr>
                <w:color w:val="000000"/>
                <w:sz w:val="17"/>
                <w:szCs w:val="17"/>
              </w:rPr>
              <w:t xml:space="preserve">9 269 </w:t>
            </w:r>
          </w:p>
        </w:tc>
        <w:tc>
          <w:tcPr>
            <w:tcW w:w="1134" w:type="dxa"/>
            <w:tcBorders>
              <w:bottom w:val="single" w:sz="4" w:space="0" w:color="auto"/>
            </w:tcBorders>
            <w:shd w:val="clear" w:color="auto" w:fill="auto"/>
            <w:noWrap/>
            <w:hideMark/>
          </w:tcPr>
          <w:p w14:paraId="3F74AE6D" w14:textId="77777777" w:rsidR="00C119C4" w:rsidRPr="00F74DD5" w:rsidRDefault="00C119C4" w:rsidP="00A83D07">
            <w:pPr>
              <w:rPr>
                <w:color w:val="000000"/>
                <w:sz w:val="17"/>
                <w:szCs w:val="17"/>
              </w:rPr>
            </w:pPr>
            <w:r>
              <w:rPr>
                <w:color w:val="000000"/>
                <w:sz w:val="17"/>
                <w:szCs w:val="17"/>
              </w:rPr>
              <w:t>-</w:t>
            </w:r>
          </w:p>
        </w:tc>
        <w:tc>
          <w:tcPr>
            <w:tcW w:w="1304" w:type="dxa"/>
            <w:tcBorders>
              <w:bottom w:val="single" w:sz="4" w:space="0" w:color="auto"/>
            </w:tcBorders>
            <w:shd w:val="clear" w:color="000000" w:fill="D9D9D9"/>
            <w:noWrap/>
            <w:hideMark/>
          </w:tcPr>
          <w:p w14:paraId="7A5470AC" w14:textId="77777777" w:rsidR="00C119C4" w:rsidRPr="00F74DD5" w:rsidRDefault="00C119C4" w:rsidP="00A83D07">
            <w:pPr>
              <w:rPr>
                <w:color w:val="000000"/>
                <w:sz w:val="17"/>
                <w:szCs w:val="17"/>
              </w:rPr>
            </w:pPr>
            <w:r>
              <w:rPr>
                <w:color w:val="000000"/>
                <w:sz w:val="17"/>
                <w:szCs w:val="17"/>
              </w:rPr>
              <w:t> </w:t>
            </w:r>
          </w:p>
        </w:tc>
        <w:tc>
          <w:tcPr>
            <w:tcW w:w="1304" w:type="dxa"/>
            <w:tcBorders>
              <w:bottom w:val="single" w:sz="4" w:space="0" w:color="auto"/>
            </w:tcBorders>
            <w:shd w:val="clear" w:color="000000" w:fill="D9D9D9"/>
            <w:noWrap/>
            <w:hideMark/>
          </w:tcPr>
          <w:p w14:paraId="147377F7" w14:textId="77777777" w:rsidR="00C119C4" w:rsidRPr="00F74DD5" w:rsidRDefault="00C119C4" w:rsidP="00A83D07">
            <w:pPr>
              <w:rPr>
                <w:color w:val="000000"/>
                <w:sz w:val="17"/>
                <w:szCs w:val="17"/>
              </w:rPr>
            </w:pPr>
            <w:r>
              <w:rPr>
                <w:color w:val="000000"/>
                <w:sz w:val="17"/>
                <w:szCs w:val="17"/>
              </w:rPr>
              <w:t> </w:t>
            </w:r>
          </w:p>
        </w:tc>
        <w:tc>
          <w:tcPr>
            <w:tcW w:w="2835" w:type="dxa"/>
            <w:tcBorders>
              <w:bottom w:val="single" w:sz="4" w:space="0" w:color="auto"/>
            </w:tcBorders>
            <w:shd w:val="clear" w:color="auto" w:fill="auto"/>
            <w:hideMark/>
          </w:tcPr>
          <w:p w14:paraId="2CCDED6A" w14:textId="77777777" w:rsidR="00C119C4" w:rsidRPr="00F74DD5" w:rsidRDefault="00C119C4" w:rsidP="00A83D07">
            <w:pPr>
              <w:rPr>
                <w:color w:val="000000"/>
                <w:sz w:val="17"/>
                <w:szCs w:val="17"/>
              </w:rPr>
            </w:pPr>
            <w:r>
              <w:rPr>
                <w:color w:val="000000"/>
                <w:sz w:val="17"/>
                <w:szCs w:val="17"/>
              </w:rPr>
              <w:t>Pas d’économies en 2016.  L’utilisation de fournitures de bureau est restée stable en 2016 par rapport à 2015.</w:t>
            </w:r>
          </w:p>
        </w:tc>
      </w:tr>
      <w:tr w:rsidR="00C119C4" w:rsidRPr="00F74DD5" w14:paraId="660751BB" w14:textId="77777777" w:rsidTr="00A83D07">
        <w:trPr>
          <w:trHeight w:val="20"/>
        </w:trPr>
        <w:tc>
          <w:tcPr>
            <w:tcW w:w="9219" w:type="dxa"/>
            <w:gridSpan w:val="6"/>
            <w:shd w:val="clear" w:color="auto" w:fill="8DB4E2"/>
            <w:noWrap/>
            <w:tcMar>
              <w:top w:w="57" w:type="dxa"/>
              <w:bottom w:w="57" w:type="dxa"/>
            </w:tcMar>
            <w:vAlign w:val="center"/>
          </w:tcPr>
          <w:p w14:paraId="3C49607C" w14:textId="77777777" w:rsidR="00C119C4" w:rsidRPr="00F74DD5" w:rsidRDefault="00C119C4" w:rsidP="00A83D07">
            <w:pPr>
              <w:rPr>
                <w:color w:val="000000"/>
                <w:sz w:val="17"/>
                <w:szCs w:val="17"/>
              </w:rPr>
            </w:pPr>
            <w:r>
              <w:rPr>
                <w:b/>
                <w:bCs/>
                <w:color w:val="000000"/>
                <w:sz w:val="17"/>
                <w:szCs w:val="17"/>
              </w:rPr>
              <w:t>4.  TIC</w:t>
            </w:r>
          </w:p>
        </w:tc>
      </w:tr>
      <w:tr w:rsidR="00C119C4" w:rsidRPr="00F74DD5" w14:paraId="6AB55E1A" w14:textId="77777777" w:rsidTr="00A83D07">
        <w:trPr>
          <w:trHeight w:val="639"/>
        </w:trPr>
        <w:tc>
          <w:tcPr>
            <w:tcW w:w="1508" w:type="dxa"/>
            <w:shd w:val="clear" w:color="auto" w:fill="auto"/>
            <w:noWrap/>
            <w:hideMark/>
          </w:tcPr>
          <w:p w14:paraId="41D76739" w14:textId="77777777" w:rsidR="00C119C4" w:rsidRPr="00F74DD5" w:rsidRDefault="00C119C4" w:rsidP="00A83D07">
            <w:pPr>
              <w:rPr>
                <w:color w:val="000000"/>
                <w:sz w:val="17"/>
                <w:szCs w:val="17"/>
              </w:rPr>
            </w:pPr>
            <w:r>
              <w:rPr>
                <w:color w:val="000000"/>
                <w:sz w:val="17"/>
                <w:szCs w:val="17"/>
              </w:rPr>
              <w:t>Frais de communication mobile</w:t>
            </w:r>
          </w:p>
        </w:tc>
        <w:tc>
          <w:tcPr>
            <w:tcW w:w="1134" w:type="dxa"/>
            <w:shd w:val="clear" w:color="auto" w:fill="auto"/>
            <w:noWrap/>
            <w:hideMark/>
          </w:tcPr>
          <w:p w14:paraId="7F9FCBF2" w14:textId="77777777" w:rsidR="00C119C4" w:rsidRPr="00F74DD5" w:rsidRDefault="00C119C4" w:rsidP="00A83D07">
            <w:pPr>
              <w:rPr>
                <w:color w:val="000000"/>
                <w:sz w:val="17"/>
                <w:szCs w:val="17"/>
              </w:rPr>
            </w:pPr>
            <w:r>
              <w:rPr>
                <w:color w:val="000000"/>
                <w:sz w:val="17"/>
                <w:szCs w:val="17"/>
              </w:rPr>
              <w:t xml:space="preserve">227 540 </w:t>
            </w:r>
          </w:p>
        </w:tc>
        <w:tc>
          <w:tcPr>
            <w:tcW w:w="1134" w:type="dxa"/>
            <w:shd w:val="clear" w:color="auto" w:fill="auto"/>
            <w:noWrap/>
            <w:hideMark/>
          </w:tcPr>
          <w:p w14:paraId="306005BD" w14:textId="77777777" w:rsidR="00C119C4" w:rsidRPr="00F74DD5" w:rsidRDefault="00C119C4" w:rsidP="00A83D07">
            <w:pPr>
              <w:rPr>
                <w:color w:val="000000"/>
                <w:sz w:val="17"/>
                <w:szCs w:val="17"/>
              </w:rPr>
            </w:pPr>
            <w:r>
              <w:rPr>
                <w:color w:val="000000"/>
                <w:sz w:val="17"/>
                <w:szCs w:val="17"/>
              </w:rPr>
              <w:t>45 253</w:t>
            </w:r>
          </w:p>
        </w:tc>
        <w:tc>
          <w:tcPr>
            <w:tcW w:w="1304" w:type="dxa"/>
            <w:shd w:val="clear" w:color="auto" w:fill="auto"/>
            <w:hideMark/>
          </w:tcPr>
          <w:p w14:paraId="6EC9030B" w14:textId="77777777" w:rsidR="00C119C4" w:rsidRPr="00F74DD5" w:rsidRDefault="00C119C4" w:rsidP="00A83D07">
            <w:pPr>
              <w:rPr>
                <w:color w:val="000000"/>
                <w:sz w:val="17"/>
                <w:szCs w:val="17"/>
              </w:rPr>
            </w:pPr>
            <w:r>
              <w:rPr>
                <w:color w:val="000000"/>
                <w:sz w:val="17"/>
                <w:szCs w:val="17"/>
              </w:rPr>
              <w:t>Diminution des frais d’abonnement mobile mensuel moyen de 177 francs suisses en 2013 à 115 francs suisses en 2015 (soit une baisse de 35%)</w:t>
            </w:r>
          </w:p>
        </w:tc>
        <w:tc>
          <w:tcPr>
            <w:tcW w:w="1304" w:type="dxa"/>
            <w:shd w:val="clear" w:color="auto" w:fill="auto"/>
            <w:hideMark/>
          </w:tcPr>
          <w:p w14:paraId="30869F9A" w14:textId="77777777" w:rsidR="00C119C4" w:rsidRPr="00F74DD5" w:rsidRDefault="00C119C4" w:rsidP="00A83D07">
            <w:pPr>
              <w:rPr>
                <w:color w:val="000000"/>
                <w:sz w:val="17"/>
                <w:szCs w:val="17"/>
              </w:rPr>
            </w:pPr>
            <w:r>
              <w:rPr>
                <w:color w:val="000000"/>
                <w:sz w:val="17"/>
                <w:szCs w:val="17"/>
              </w:rPr>
              <w:t>Diminution des frais d’abonnement mobile mensuel moyen de 115 francs suisses en 2015 à 108 francs suisses en 2016 (soit une baisse de 6%)</w:t>
            </w:r>
          </w:p>
        </w:tc>
        <w:tc>
          <w:tcPr>
            <w:tcW w:w="2835" w:type="dxa"/>
            <w:shd w:val="clear" w:color="auto" w:fill="auto"/>
            <w:hideMark/>
          </w:tcPr>
          <w:p w14:paraId="37A5B249" w14:textId="77777777" w:rsidR="00C119C4" w:rsidRPr="00F74DD5" w:rsidRDefault="00C119C4" w:rsidP="00A83D07">
            <w:pPr>
              <w:rPr>
                <w:color w:val="000000"/>
                <w:sz w:val="17"/>
                <w:szCs w:val="17"/>
              </w:rPr>
            </w:pPr>
            <w:r>
              <w:rPr>
                <w:color w:val="000000"/>
                <w:sz w:val="17"/>
                <w:szCs w:val="17"/>
              </w:rPr>
              <w:t>2015 : le total des dépenses s’élevait à 522 276 francs suisses (soit 378 abonnements en moyenne tout au long de l’année).</w:t>
            </w:r>
            <w:r>
              <w:rPr>
                <w:color w:val="000000"/>
                <w:sz w:val="17"/>
                <w:szCs w:val="17"/>
              </w:rPr>
              <w:br/>
              <w:t>2016 : le total des dépenses s’élevait à 477 023 francs suisses (soit 370 abonnements en moyenne tout au long de l’année).</w:t>
            </w:r>
          </w:p>
        </w:tc>
      </w:tr>
      <w:tr w:rsidR="00C119C4" w:rsidRPr="00F74DD5" w14:paraId="6E8B7ECA" w14:textId="77777777" w:rsidTr="00A83D07">
        <w:trPr>
          <w:trHeight w:val="1230"/>
        </w:trPr>
        <w:tc>
          <w:tcPr>
            <w:tcW w:w="1508" w:type="dxa"/>
            <w:shd w:val="clear" w:color="auto" w:fill="auto"/>
            <w:hideMark/>
          </w:tcPr>
          <w:p w14:paraId="4AE80581" w14:textId="77777777" w:rsidR="00C119C4" w:rsidRPr="00F74DD5" w:rsidRDefault="00C119C4" w:rsidP="00A83D07">
            <w:pPr>
              <w:rPr>
                <w:color w:val="000000"/>
                <w:sz w:val="17"/>
                <w:szCs w:val="17"/>
              </w:rPr>
            </w:pPr>
            <w:r>
              <w:rPr>
                <w:color w:val="000000"/>
                <w:sz w:val="17"/>
                <w:szCs w:val="17"/>
              </w:rPr>
              <w:lastRenderedPageBreak/>
              <w:t>Frais de gestion des courriels</w:t>
            </w:r>
          </w:p>
        </w:tc>
        <w:tc>
          <w:tcPr>
            <w:tcW w:w="1134" w:type="dxa"/>
            <w:shd w:val="clear" w:color="auto" w:fill="auto"/>
            <w:noWrap/>
            <w:hideMark/>
          </w:tcPr>
          <w:p w14:paraId="4227FB95" w14:textId="77777777" w:rsidR="00C119C4" w:rsidRPr="00F74DD5" w:rsidRDefault="00C119C4" w:rsidP="00A83D07">
            <w:pPr>
              <w:rPr>
                <w:color w:val="000000"/>
                <w:sz w:val="17"/>
                <w:szCs w:val="17"/>
              </w:rPr>
            </w:pPr>
            <w:r>
              <w:rPr>
                <w:color w:val="000000"/>
                <w:sz w:val="17"/>
                <w:szCs w:val="17"/>
              </w:rPr>
              <w:t>70 000 ****</w:t>
            </w:r>
          </w:p>
        </w:tc>
        <w:tc>
          <w:tcPr>
            <w:tcW w:w="1134" w:type="dxa"/>
            <w:shd w:val="clear" w:color="auto" w:fill="auto"/>
            <w:noWrap/>
            <w:hideMark/>
          </w:tcPr>
          <w:p w14:paraId="12EB552E" w14:textId="77777777" w:rsidR="00C119C4" w:rsidRPr="00F74DD5" w:rsidRDefault="00C119C4" w:rsidP="00A83D07">
            <w:pPr>
              <w:rPr>
                <w:color w:val="000000"/>
                <w:sz w:val="17"/>
                <w:szCs w:val="17"/>
              </w:rPr>
            </w:pPr>
            <w:r>
              <w:rPr>
                <w:color w:val="000000"/>
                <w:sz w:val="17"/>
                <w:szCs w:val="17"/>
              </w:rPr>
              <w:t xml:space="preserve">38 675 </w:t>
            </w:r>
          </w:p>
        </w:tc>
        <w:tc>
          <w:tcPr>
            <w:tcW w:w="1304" w:type="dxa"/>
            <w:shd w:val="clear" w:color="000000" w:fill="D9D9D9"/>
            <w:hideMark/>
          </w:tcPr>
          <w:p w14:paraId="692F7537"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hideMark/>
          </w:tcPr>
          <w:p w14:paraId="5CB09EF6"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7ECF375A" w14:textId="77777777" w:rsidR="00C119C4" w:rsidRPr="00F74DD5" w:rsidRDefault="00C119C4" w:rsidP="00A83D07">
            <w:pPr>
              <w:rPr>
                <w:color w:val="000000"/>
                <w:sz w:val="17"/>
                <w:szCs w:val="17"/>
              </w:rPr>
            </w:pPr>
            <w:r>
              <w:rPr>
                <w:color w:val="000000"/>
                <w:sz w:val="17"/>
                <w:szCs w:val="17"/>
              </w:rPr>
              <w:t xml:space="preserve">Les économies viennent de la réduction du nombre de messageries électroniques, passant d’une moyenne de 3300 en 2015 à une moyenne de 2650 en 2016 (politique mise en œuvre au </w:t>
            </w:r>
            <w:r w:rsidRPr="00F80B26">
              <w:rPr>
                <w:color w:val="000000"/>
                <w:sz w:val="17"/>
                <w:szCs w:val="17"/>
              </w:rPr>
              <w:t>quatrième </w:t>
            </w:r>
            <w:r>
              <w:rPr>
                <w:color w:val="000000"/>
                <w:sz w:val="17"/>
                <w:szCs w:val="17"/>
              </w:rPr>
              <w:t xml:space="preserve">trimestre 2015).  Le coût total de gestion des messageries est passé de 288 182 francs suisses à 291 258 francs suisses en 2016.  Cette hausse est due à l’ajout de services, tels que l’historique et la recherche avancée.  </w:t>
            </w:r>
          </w:p>
        </w:tc>
      </w:tr>
      <w:tr w:rsidR="00C119C4" w:rsidRPr="00F74DD5" w14:paraId="021EFCA3" w14:textId="77777777" w:rsidTr="00A83D07">
        <w:trPr>
          <w:trHeight w:val="1260"/>
        </w:trPr>
        <w:tc>
          <w:tcPr>
            <w:tcW w:w="1508" w:type="dxa"/>
            <w:tcBorders>
              <w:bottom w:val="single" w:sz="4" w:space="0" w:color="auto"/>
            </w:tcBorders>
            <w:shd w:val="clear" w:color="auto" w:fill="auto"/>
            <w:hideMark/>
          </w:tcPr>
          <w:p w14:paraId="788BF866" w14:textId="77777777" w:rsidR="00C119C4" w:rsidRPr="00F74DD5" w:rsidRDefault="00C119C4" w:rsidP="00A83D07">
            <w:pPr>
              <w:rPr>
                <w:color w:val="000000"/>
                <w:sz w:val="17"/>
                <w:szCs w:val="17"/>
              </w:rPr>
            </w:pPr>
            <w:r>
              <w:rPr>
                <w:color w:val="000000"/>
                <w:sz w:val="17"/>
                <w:szCs w:val="17"/>
              </w:rPr>
              <w:t>Frais de sauvegarde des données</w:t>
            </w:r>
          </w:p>
        </w:tc>
        <w:tc>
          <w:tcPr>
            <w:tcW w:w="1134" w:type="dxa"/>
            <w:tcBorders>
              <w:bottom w:val="single" w:sz="4" w:space="0" w:color="auto"/>
            </w:tcBorders>
            <w:shd w:val="clear" w:color="auto" w:fill="auto"/>
            <w:noWrap/>
            <w:hideMark/>
          </w:tcPr>
          <w:p w14:paraId="2CC56C59" w14:textId="77777777" w:rsidR="00C119C4" w:rsidRPr="00F74DD5" w:rsidRDefault="00C119C4" w:rsidP="00A83D07">
            <w:pPr>
              <w:rPr>
                <w:color w:val="000000"/>
                <w:sz w:val="17"/>
                <w:szCs w:val="17"/>
              </w:rPr>
            </w:pPr>
            <w:proofErr w:type="spellStart"/>
            <w:r>
              <w:rPr>
                <w:color w:val="000000"/>
                <w:sz w:val="17"/>
                <w:szCs w:val="17"/>
              </w:rPr>
              <w:t>s.o</w:t>
            </w:r>
            <w:proofErr w:type="spellEnd"/>
            <w:r>
              <w:rPr>
                <w:color w:val="000000"/>
                <w:sz w:val="17"/>
                <w:szCs w:val="17"/>
              </w:rPr>
              <w:t xml:space="preserve">.  </w:t>
            </w:r>
          </w:p>
        </w:tc>
        <w:tc>
          <w:tcPr>
            <w:tcW w:w="1134" w:type="dxa"/>
            <w:tcBorders>
              <w:bottom w:val="single" w:sz="4" w:space="0" w:color="auto"/>
            </w:tcBorders>
            <w:shd w:val="clear" w:color="auto" w:fill="auto"/>
            <w:noWrap/>
            <w:hideMark/>
          </w:tcPr>
          <w:p w14:paraId="2CDA5F96" w14:textId="77777777" w:rsidR="00C119C4" w:rsidRPr="00F74DD5" w:rsidRDefault="00C119C4" w:rsidP="00A83D07">
            <w:pPr>
              <w:rPr>
                <w:color w:val="000000"/>
                <w:sz w:val="17"/>
                <w:szCs w:val="17"/>
              </w:rPr>
            </w:pPr>
            <w:r>
              <w:rPr>
                <w:color w:val="000000"/>
                <w:sz w:val="17"/>
                <w:szCs w:val="17"/>
              </w:rPr>
              <w:t xml:space="preserve">300 000 </w:t>
            </w:r>
          </w:p>
        </w:tc>
        <w:tc>
          <w:tcPr>
            <w:tcW w:w="1304" w:type="dxa"/>
            <w:tcBorders>
              <w:bottom w:val="single" w:sz="4" w:space="0" w:color="auto"/>
            </w:tcBorders>
            <w:shd w:val="clear" w:color="000000" w:fill="D9D9D9"/>
            <w:hideMark/>
          </w:tcPr>
          <w:p w14:paraId="5091BB62" w14:textId="77777777" w:rsidR="00C119C4" w:rsidRPr="00F74DD5" w:rsidRDefault="00C119C4" w:rsidP="00A83D07">
            <w:pPr>
              <w:rPr>
                <w:color w:val="000000"/>
                <w:sz w:val="17"/>
                <w:szCs w:val="17"/>
              </w:rPr>
            </w:pPr>
            <w:r>
              <w:rPr>
                <w:color w:val="000000"/>
                <w:sz w:val="17"/>
                <w:szCs w:val="17"/>
              </w:rPr>
              <w:t> </w:t>
            </w:r>
          </w:p>
        </w:tc>
        <w:tc>
          <w:tcPr>
            <w:tcW w:w="1304" w:type="dxa"/>
            <w:tcBorders>
              <w:bottom w:val="single" w:sz="4" w:space="0" w:color="auto"/>
            </w:tcBorders>
            <w:shd w:val="clear" w:color="000000" w:fill="D9D9D9"/>
            <w:hideMark/>
          </w:tcPr>
          <w:p w14:paraId="01CE79CB" w14:textId="77777777" w:rsidR="00C119C4" w:rsidRPr="00F74DD5" w:rsidRDefault="00C119C4" w:rsidP="00A83D07">
            <w:pPr>
              <w:rPr>
                <w:color w:val="000000"/>
                <w:sz w:val="17"/>
                <w:szCs w:val="17"/>
              </w:rPr>
            </w:pPr>
            <w:r>
              <w:rPr>
                <w:color w:val="000000"/>
                <w:sz w:val="17"/>
                <w:szCs w:val="17"/>
              </w:rPr>
              <w:t> </w:t>
            </w:r>
          </w:p>
        </w:tc>
        <w:tc>
          <w:tcPr>
            <w:tcW w:w="2835" w:type="dxa"/>
            <w:tcBorders>
              <w:bottom w:val="single" w:sz="4" w:space="0" w:color="auto"/>
            </w:tcBorders>
            <w:shd w:val="clear" w:color="auto" w:fill="auto"/>
            <w:hideMark/>
          </w:tcPr>
          <w:p w14:paraId="69231664" w14:textId="77777777" w:rsidR="00C119C4" w:rsidRPr="00F74DD5" w:rsidRDefault="00C119C4" w:rsidP="00A83D07">
            <w:pPr>
              <w:rPr>
                <w:sz w:val="17"/>
                <w:szCs w:val="17"/>
              </w:rPr>
            </w:pPr>
            <w:r>
              <w:rPr>
                <w:sz w:val="17"/>
                <w:szCs w:val="17"/>
              </w:rPr>
              <w:t xml:space="preserve">La mise en œuvre d’une nouvelle politique de sauvegarde au </w:t>
            </w:r>
            <w:r w:rsidRPr="00F80B26">
              <w:rPr>
                <w:sz w:val="17"/>
                <w:szCs w:val="17"/>
              </w:rPr>
              <w:t>troisième </w:t>
            </w:r>
            <w:r>
              <w:rPr>
                <w:sz w:val="17"/>
                <w:szCs w:val="17"/>
              </w:rPr>
              <w:t>trimestre 2015 a conduit à une réduction du volume de données à stocker, ce qui représente une baisse des coûts de 25 000 francs suisses par mois.  Un schéma linéaire d’économies mensuelles est prévu pour 2016.  On a multiplié les économies mensuelles par 12 pour obtenir le chiffre indiqué de 300 000 francs suisses.</w:t>
            </w:r>
          </w:p>
        </w:tc>
      </w:tr>
      <w:tr w:rsidR="00C119C4" w:rsidRPr="00F74DD5" w14:paraId="05BBB6E6" w14:textId="77777777" w:rsidTr="00A83D07">
        <w:trPr>
          <w:trHeight w:val="20"/>
        </w:trPr>
        <w:tc>
          <w:tcPr>
            <w:tcW w:w="9219" w:type="dxa"/>
            <w:gridSpan w:val="6"/>
            <w:shd w:val="clear" w:color="auto" w:fill="8DB4E2"/>
            <w:noWrap/>
            <w:tcMar>
              <w:top w:w="57" w:type="dxa"/>
              <w:bottom w:w="57" w:type="dxa"/>
            </w:tcMar>
            <w:vAlign w:val="center"/>
          </w:tcPr>
          <w:p w14:paraId="79CE9875" w14:textId="77777777" w:rsidR="00C119C4" w:rsidRPr="00F74DD5" w:rsidRDefault="00C119C4" w:rsidP="00A83D07">
            <w:pPr>
              <w:rPr>
                <w:color w:val="000000"/>
                <w:sz w:val="17"/>
                <w:szCs w:val="17"/>
              </w:rPr>
            </w:pPr>
            <w:r>
              <w:rPr>
                <w:b/>
                <w:bCs/>
                <w:color w:val="000000"/>
                <w:sz w:val="17"/>
                <w:szCs w:val="17"/>
              </w:rPr>
              <w:t>5.  Autres domaines</w:t>
            </w:r>
          </w:p>
        </w:tc>
      </w:tr>
      <w:tr w:rsidR="00C119C4" w:rsidRPr="00F74DD5" w14:paraId="50170997" w14:textId="77777777" w:rsidTr="00A83D07">
        <w:trPr>
          <w:trHeight w:val="885"/>
        </w:trPr>
        <w:tc>
          <w:tcPr>
            <w:tcW w:w="1508" w:type="dxa"/>
            <w:shd w:val="clear" w:color="auto" w:fill="auto"/>
            <w:noWrap/>
            <w:hideMark/>
          </w:tcPr>
          <w:p w14:paraId="0D64394D" w14:textId="77777777" w:rsidR="00C119C4" w:rsidRPr="00F74DD5" w:rsidRDefault="00C119C4" w:rsidP="00A83D07">
            <w:pPr>
              <w:rPr>
                <w:color w:val="000000"/>
                <w:sz w:val="17"/>
                <w:szCs w:val="17"/>
              </w:rPr>
            </w:pPr>
            <w:r>
              <w:rPr>
                <w:color w:val="000000"/>
                <w:sz w:val="17"/>
                <w:szCs w:val="17"/>
              </w:rPr>
              <w:t>Frais de traduction</w:t>
            </w:r>
          </w:p>
        </w:tc>
        <w:tc>
          <w:tcPr>
            <w:tcW w:w="1134" w:type="dxa"/>
            <w:shd w:val="clear" w:color="auto" w:fill="auto"/>
            <w:noWrap/>
            <w:hideMark/>
          </w:tcPr>
          <w:p w14:paraId="58F6E4BC" w14:textId="77777777" w:rsidR="00C119C4" w:rsidRPr="00F74DD5" w:rsidRDefault="00C119C4" w:rsidP="00A83D07">
            <w:pPr>
              <w:rPr>
                <w:color w:val="000000"/>
                <w:sz w:val="17"/>
                <w:szCs w:val="17"/>
              </w:rPr>
            </w:pPr>
            <w:r>
              <w:rPr>
                <w:color w:val="000000"/>
                <w:sz w:val="17"/>
                <w:szCs w:val="17"/>
              </w:rPr>
              <w:t xml:space="preserve">601 084 </w:t>
            </w:r>
          </w:p>
        </w:tc>
        <w:tc>
          <w:tcPr>
            <w:tcW w:w="1134" w:type="dxa"/>
            <w:shd w:val="clear" w:color="auto" w:fill="auto"/>
            <w:noWrap/>
            <w:hideMark/>
          </w:tcPr>
          <w:p w14:paraId="12B1EF1E" w14:textId="77777777" w:rsidR="00C119C4" w:rsidRPr="00F74DD5" w:rsidRDefault="00C119C4" w:rsidP="00A83D07">
            <w:pPr>
              <w:rPr>
                <w:color w:val="000000"/>
                <w:sz w:val="17"/>
                <w:szCs w:val="17"/>
              </w:rPr>
            </w:pPr>
            <w:r>
              <w:rPr>
                <w:color w:val="000000"/>
                <w:sz w:val="17"/>
                <w:szCs w:val="17"/>
              </w:rPr>
              <w:t xml:space="preserve">313 587 </w:t>
            </w:r>
          </w:p>
        </w:tc>
        <w:tc>
          <w:tcPr>
            <w:tcW w:w="1304" w:type="dxa"/>
            <w:shd w:val="clear" w:color="auto" w:fill="auto"/>
            <w:hideMark/>
          </w:tcPr>
          <w:p w14:paraId="4F2F1E2D" w14:textId="77777777" w:rsidR="00C119C4" w:rsidRPr="00F74DD5" w:rsidRDefault="00C119C4" w:rsidP="00A83D07">
            <w:pPr>
              <w:rPr>
                <w:color w:val="000000"/>
                <w:sz w:val="17"/>
                <w:szCs w:val="17"/>
              </w:rPr>
            </w:pPr>
            <w:r>
              <w:rPr>
                <w:color w:val="000000"/>
                <w:sz w:val="17"/>
                <w:szCs w:val="17"/>
              </w:rPr>
              <w:t>Réduction du coût au mot de 0,02 franc suisse, passant de 0,59 franc suisse en 2014 à 0,57 franc suisse en 2015</w:t>
            </w:r>
          </w:p>
        </w:tc>
        <w:tc>
          <w:tcPr>
            <w:tcW w:w="1304" w:type="dxa"/>
            <w:shd w:val="clear" w:color="auto" w:fill="auto"/>
            <w:hideMark/>
          </w:tcPr>
          <w:p w14:paraId="5DA57ABD" w14:textId="77777777" w:rsidR="00C119C4" w:rsidRPr="00F74DD5" w:rsidRDefault="00C119C4" w:rsidP="00A83D07">
            <w:pPr>
              <w:rPr>
                <w:color w:val="000000"/>
                <w:sz w:val="17"/>
                <w:szCs w:val="17"/>
              </w:rPr>
            </w:pPr>
            <w:r>
              <w:rPr>
                <w:color w:val="000000"/>
                <w:sz w:val="17"/>
                <w:szCs w:val="17"/>
              </w:rPr>
              <w:t>Nouvelle réduction du coût au mot de 0,02 franc suisse, passant de 0,57 franc suisse en 2015 à 0,55 franc suisse en 2016</w:t>
            </w:r>
          </w:p>
        </w:tc>
        <w:tc>
          <w:tcPr>
            <w:tcW w:w="2835" w:type="dxa"/>
            <w:shd w:val="clear" w:color="auto" w:fill="auto"/>
            <w:hideMark/>
          </w:tcPr>
          <w:p w14:paraId="30628F0F" w14:textId="77777777" w:rsidR="00C119C4" w:rsidRPr="00F74DD5" w:rsidRDefault="00C119C4" w:rsidP="00A83D07">
            <w:pPr>
              <w:rPr>
                <w:color w:val="000000"/>
                <w:sz w:val="17"/>
                <w:szCs w:val="17"/>
              </w:rPr>
            </w:pPr>
            <w:r>
              <w:rPr>
                <w:color w:val="000000"/>
                <w:sz w:val="17"/>
                <w:szCs w:val="17"/>
              </w:rPr>
              <w:t>Ces économies sont dues à la renégociation des contrats avec les traducteurs externes, à de nouveaux appels d’offres pour l’arabe, le chinois et le russe, ainsi qu’à l’utilisation d’outils terminologiques et d’aide à la traduction.</w:t>
            </w:r>
          </w:p>
        </w:tc>
      </w:tr>
      <w:tr w:rsidR="00C119C4" w:rsidRPr="00F74DD5" w14:paraId="796AB43E" w14:textId="77777777" w:rsidTr="00A83D07">
        <w:trPr>
          <w:trHeight w:val="1155"/>
        </w:trPr>
        <w:tc>
          <w:tcPr>
            <w:tcW w:w="1508" w:type="dxa"/>
            <w:shd w:val="clear" w:color="auto" w:fill="auto"/>
            <w:noWrap/>
            <w:hideMark/>
          </w:tcPr>
          <w:p w14:paraId="1ED7C936" w14:textId="77777777" w:rsidR="00C119C4" w:rsidRPr="00F74DD5" w:rsidRDefault="00C119C4" w:rsidP="00A83D07">
            <w:pPr>
              <w:rPr>
                <w:color w:val="000000"/>
                <w:sz w:val="17"/>
                <w:szCs w:val="17"/>
              </w:rPr>
            </w:pPr>
            <w:r>
              <w:rPr>
                <w:color w:val="000000"/>
                <w:sz w:val="17"/>
                <w:szCs w:val="17"/>
              </w:rPr>
              <w:t>Frais d’impression</w:t>
            </w:r>
          </w:p>
        </w:tc>
        <w:tc>
          <w:tcPr>
            <w:tcW w:w="1134" w:type="dxa"/>
            <w:shd w:val="clear" w:color="auto" w:fill="auto"/>
            <w:noWrap/>
            <w:hideMark/>
          </w:tcPr>
          <w:p w14:paraId="574EF0E9" w14:textId="77777777" w:rsidR="00C119C4" w:rsidRPr="00F74DD5" w:rsidRDefault="00C119C4" w:rsidP="00A83D07">
            <w:pPr>
              <w:rPr>
                <w:color w:val="000000"/>
                <w:sz w:val="17"/>
                <w:szCs w:val="17"/>
              </w:rPr>
            </w:pPr>
            <w:r>
              <w:rPr>
                <w:color w:val="000000"/>
                <w:sz w:val="17"/>
                <w:szCs w:val="17"/>
              </w:rPr>
              <w:t xml:space="preserve">399 000 </w:t>
            </w:r>
          </w:p>
        </w:tc>
        <w:tc>
          <w:tcPr>
            <w:tcW w:w="1134" w:type="dxa"/>
            <w:shd w:val="clear" w:color="auto" w:fill="auto"/>
            <w:noWrap/>
            <w:hideMark/>
          </w:tcPr>
          <w:p w14:paraId="0A7D01C0" w14:textId="77777777" w:rsidR="00C119C4" w:rsidRPr="00F74DD5" w:rsidRDefault="00C119C4" w:rsidP="00A83D07">
            <w:pPr>
              <w:rPr>
                <w:color w:val="000000"/>
                <w:sz w:val="17"/>
                <w:szCs w:val="17"/>
              </w:rPr>
            </w:pPr>
            <w:r>
              <w:rPr>
                <w:color w:val="000000"/>
                <w:sz w:val="17"/>
                <w:szCs w:val="17"/>
              </w:rPr>
              <w:t xml:space="preserve">26 947 </w:t>
            </w:r>
          </w:p>
        </w:tc>
        <w:tc>
          <w:tcPr>
            <w:tcW w:w="1304" w:type="dxa"/>
            <w:shd w:val="clear" w:color="auto" w:fill="auto"/>
            <w:hideMark/>
          </w:tcPr>
          <w:p w14:paraId="78B8D3D3" w14:textId="77777777" w:rsidR="00C119C4" w:rsidRPr="00F74DD5" w:rsidRDefault="00C119C4" w:rsidP="00A83D07">
            <w:pPr>
              <w:rPr>
                <w:color w:val="000000"/>
                <w:sz w:val="17"/>
                <w:szCs w:val="17"/>
              </w:rPr>
            </w:pPr>
            <w:r>
              <w:rPr>
                <w:color w:val="000000"/>
                <w:sz w:val="17"/>
                <w:szCs w:val="17"/>
              </w:rPr>
              <w:t>Coût par page de 0,153 franc suisse en 2015, identique à 2014</w:t>
            </w:r>
          </w:p>
        </w:tc>
        <w:tc>
          <w:tcPr>
            <w:tcW w:w="1304" w:type="dxa"/>
            <w:shd w:val="clear" w:color="auto" w:fill="auto"/>
            <w:hideMark/>
          </w:tcPr>
          <w:p w14:paraId="65A344E1" w14:textId="77777777" w:rsidR="00C119C4" w:rsidRPr="00F74DD5" w:rsidRDefault="00C119C4" w:rsidP="00A83D07">
            <w:pPr>
              <w:rPr>
                <w:color w:val="000000"/>
                <w:sz w:val="17"/>
                <w:szCs w:val="17"/>
              </w:rPr>
            </w:pPr>
            <w:r>
              <w:rPr>
                <w:color w:val="000000"/>
                <w:sz w:val="17"/>
                <w:szCs w:val="17"/>
              </w:rPr>
              <w:t>Hausse du coût par page à 0,161 franc suisse en 2016 (+5% par rapport à 2015)</w:t>
            </w:r>
          </w:p>
        </w:tc>
        <w:tc>
          <w:tcPr>
            <w:tcW w:w="2835" w:type="dxa"/>
            <w:shd w:val="clear" w:color="auto" w:fill="auto"/>
            <w:hideMark/>
          </w:tcPr>
          <w:p w14:paraId="439655E9" w14:textId="77777777" w:rsidR="00C119C4" w:rsidRPr="00F74DD5" w:rsidRDefault="00C119C4" w:rsidP="00A83D07">
            <w:pPr>
              <w:rPr>
                <w:color w:val="000000"/>
                <w:sz w:val="17"/>
                <w:szCs w:val="17"/>
              </w:rPr>
            </w:pPr>
            <w:r>
              <w:rPr>
                <w:color w:val="000000"/>
                <w:sz w:val="17"/>
                <w:szCs w:val="17"/>
              </w:rPr>
              <w:t>Bien que le coût total de l’imprimerie ait baissé en 2016 (2,4 millions de francs suisses en 2016 contre 2,58 millions en 2015), le nombre de copies imprimées a été réduit en augmentant la marge (14,9 millions de copies en 2016 contre 16,9 millions en 2015), avec pour conséquence une hausse du coût par page en 2016.</w:t>
            </w:r>
          </w:p>
        </w:tc>
      </w:tr>
      <w:tr w:rsidR="00C119C4" w:rsidRPr="00F74DD5" w14:paraId="5E375956" w14:textId="77777777" w:rsidTr="00A83D07">
        <w:trPr>
          <w:trHeight w:val="22"/>
        </w:trPr>
        <w:tc>
          <w:tcPr>
            <w:tcW w:w="1508" w:type="dxa"/>
            <w:shd w:val="clear" w:color="auto" w:fill="auto"/>
            <w:noWrap/>
            <w:hideMark/>
          </w:tcPr>
          <w:p w14:paraId="0D919E3F" w14:textId="77777777" w:rsidR="00C119C4" w:rsidRPr="00F74DD5" w:rsidRDefault="00C119C4" w:rsidP="00A83D07">
            <w:pPr>
              <w:rPr>
                <w:color w:val="000000"/>
                <w:sz w:val="17"/>
                <w:szCs w:val="17"/>
              </w:rPr>
            </w:pPr>
            <w:r>
              <w:rPr>
                <w:color w:val="000000"/>
                <w:sz w:val="17"/>
                <w:szCs w:val="17"/>
              </w:rPr>
              <w:t>Frais d’envoi</w:t>
            </w:r>
          </w:p>
        </w:tc>
        <w:tc>
          <w:tcPr>
            <w:tcW w:w="1134" w:type="dxa"/>
            <w:shd w:val="clear" w:color="auto" w:fill="auto"/>
            <w:noWrap/>
            <w:hideMark/>
          </w:tcPr>
          <w:p w14:paraId="267083C5" w14:textId="77777777" w:rsidR="00C119C4" w:rsidRPr="00F74DD5" w:rsidRDefault="00C119C4" w:rsidP="00A83D07">
            <w:pPr>
              <w:rPr>
                <w:color w:val="000000"/>
                <w:sz w:val="17"/>
                <w:szCs w:val="17"/>
              </w:rPr>
            </w:pPr>
            <w:r>
              <w:rPr>
                <w:color w:val="000000"/>
                <w:sz w:val="17"/>
                <w:szCs w:val="17"/>
              </w:rPr>
              <w:t xml:space="preserve">189 367 </w:t>
            </w:r>
          </w:p>
        </w:tc>
        <w:tc>
          <w:tcPr>
            <w:tcW w:w="1134" w:type="dxa"/>
            <w:shd w:val="clear" w:color="auto" w:fill="auto"/>
            <w:noWrap/>
            <w:hideMark/>
          </w:tcPr>
          <w:p w14:paraId="457BEED6" w14:textId="77777777" w:rsidR="00C119C4" w:rsidRPr="00F74DD5" w:rsidRDefault="00C119C4" w:rsidP="00A83D07">
            <w:pPr>
              <w:rPr>
                <w:color w:val="000000"/>
                <w:sz w:val="17"/>
                <w:szCs w:val="17"/>
              </w:rPr>
            </w:pPr>
            <w:r>
              <w:rPr>
                <w:color w:val="000000"/>
                <w:sz w:val="17"/>
                <w:szCs w:val="17"/>
              </w:rPr>
              <w:t xml:space="preserve">135 477 </w:t>
            </w:r>
          </w:p>
        </w:tc>
        <w:tc>
          <w:tcPr>
            <w:tcW w:w="1304" w:type="dxa"/>
            <w:shd w:val="clear" w:color="000000" w:fill="D9D9D9"/>
            <w:hideMark/>
          </w:tcPr>
          <w:p w14:paraId="3E867284"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hideMark/>
          </w:tcPr>
          <w:p w14:paraId="46E40593"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34B6A727" w14:textId="77777777" w:rsidR="00C119C4" w:rsidRPr="00F74DD5" w:rsidRDefault="00C119C4" w:rsidP="00A83D07">
            <w:pPr>
              <w:rPr>
                <w:color w:val="000000"/>
                <w:sz w:val="17"/>
                <w:szCs w:val="17"/>
              </w:rPr>
            </w:pPr>
            <w:r>
              <w:rPr>
                <w:color w:val="000000"/>
                <w:sz w:val="17"/>
                <w:szCs w:val="17"/>
              </w:rPr>
              <w:t>Baisse de 9% des frais d’envoi en 2016 (1 381 137 francs suisses) par rapport à 2015 (1 516 614 francs suisses).</w:t>
            </w:r>
          </w:p>
        </w:tc>
      </w:tr>
      <w:tr w:rsidR="00C119C4" w:rsidRPr="00F74DD5" w14:paraId="4FD56E95" w14:textId="77777777" w:rsidTr="00A83D07">
        <w:trPr>
          <w:trHeight w:val="242"/>
        </w:trPr>
        <w:tc>
          <w:tcPr>
            <w:tcW w:w="1508" w:type="dxa"/>
            <w:shd w:val="clear" w:color="auto" w:fill="auto"/>
            <w:noWrap/>
            <w:hideMark/>
          </w:tcPr>
          <w:p w14:paraId="0C6B0DBD" w14:textId="77777777" w:rsidR="00C119C4" w:rsidRPr="00F74DD5" w:rsidRDefault="00C119C4" w:rsidP="00587326">
            <w:pPr>
              <w:keepNext/>
              <w:keepLines/>
              <w:rPr>
                <w:color w:val="000000"/>
                <w:sz w:val="17"/>
                <w:szCs w:val="17"/>
              </w:rPr>
            </w:pPr>
            <w:r>
              <w:rPr>
                <w:color w:val="000000"/>
                <w:sz w:val="17"/>
                <w:szCs w:val="17"/>
              </w:rPr>
              <w:lastRenderedPageBreak/>
              <w:t>Coût des agents de sécurité</w:t>
            </w:r>
          </w:p>
        </w:tc>
        <w:tc>
          <w:tcPr>
            <w:tcW w:w="1134" w:type="dxa"/>
            <w:shd w:val="clear" w:color="auto" w:fill="auto"/>
            <w:noWrap/>
            <w:hideMark/>
          </w:tcPr>
          <w:p w14:paraId="01FAC8CE" w14:textId="77777777" w:rsidR="00C119C4" w:rsidRPr="00F74DD5" w:rsidRDefault="00C119C4" w:rsidP="00587326">
            <w:pPr>
              <w:keepNext/>
              <w:keepLines/>
              <w:rPr>
                <w:color w:val="000000"/>
                <w:sz w:val="17"/>
                <w:szCs w:val="17"/>
              </w:rPr>
            </w:pPr>
            <w:r>
              <w:rPr>
                <w:color w:val="000000"/>
                <w:sz w:val="17"/>
                <w:szCs w:val="17"/>
              </w:rPr>
              <w:t xml:space="preserve">708 739 </w:t>
            </w:r>
          </w:p>
        </w:tc>
        <w:tc>
          <w:tcPr>
            <w:tcW w:w="1134" w:type="dxa"/>
            <w:shd w:val="clear" w:color="auto" w:fill="auto"/>
            <w:noWrap/>
            <w:hideMark/>
          </w:tcPr>
          <w:p w14:paraId="0CF642B5" w14:textId="77777777" w:rsidR="00C119C4" w:rsidRPr="00F74DD5" w:rsidRDefault="00C119C4" w:rsidP="00587326">
            <w:pPr>
              <w:keepNext/>
              <w:keepLines/>
              <w:rPr>
                <w:color w:val="000000"/>
                <w:sz w:val="17"/>
                <w:szCs w:val="17"/>
              </w:rPr>
            </w:pPr>
            <w:r>
              <w:rPr>
                <w:color w:val="000000"/>
                <w:sz w:val="17"/>
                <w:szCs w:val="17"/>
              </w:rPr>
              <w:t>(160 163)</w:t>
            </w:r>
          </w:p>
        </w:tc>
        <w:tc>
          <w:tcPr>
            <w:tcW w:w="1304" w:type="dxa"/>
            <w:shd w:val="clear" w:color="000000" w:fill="D9D9D9"/>
            <w:hideMark/>
          </w:tcPr>
          <w:p w14:paraId="5E69D240" w14:textId="77777777" w:rsidR="00C119C4" w:rsidRPr="00F74DD5" w:rsidRDefault="00C119C4" w:rsidP="00587326">
            <w:pPr>
              <w:keepNext/>
              <w:keepLines/>
              <w:rPr>
                <w:color w:val="000000"/>
                <w:sz w:val="17"/>
                <w:szCs w:val="17"/>
              </w:rPr>
            </w:pPr>
            <w:r>
              <w:rPr>
                <w:color w:val="000000"/>
                <w:sz w:val="17"/>
                <w:szCs w:val="17"/>
              </w:rPr>
              <w:t> </w:t>
            </w:r>
          </w:p>
        </w:tc>
        <w:tc>
          <w:tcPr>
            <w:tcW w:w="1304" w:type="dxa"/>
            <w:shd w:val="clear" w:color="000000" w:fill="D9D9D9"/>
            <w:hideMark/>
          </w:tcPr>
          <w:p w14:paraId="1CB3D070" w14:textId="77777777" w:rsidR="00C119C4" w:rsidRPr="00F74DD5" w:rsidRDefault="00C119C4" w:rsidP="00587326">
            <w:pPr>
              <w:keepNext/>
              <w:keepLines/>
              <w:rPr>
                <w:color w:val="000000"/>
                <w:sz w:val="17"/>
                <w:szCs w:val="17"/>
              </w:rPr>
            </w:pPr>
            <w:r>
              <w:rPr>
                <w:color w:val="000000"/>
                <w:sz w:val="17"/>
                <w:szCs w:val="17"/>
              </w:rPr>
              <w:t> </w:t>
            </w:r>
          </w:p>
        </w:tc>
        <w:tc>
          <w:tcPr>
            <w:tcW w:w="2835" w:type="dxa"/>
            <w:shd w:val="clear" w:color="auto" w:fill="auto"/>
            <w:hideMark/>
          </w:tcPr>
          <w:p w14:paraId="39501229" w14:textId="77777777" w:rsidR="00C119C4" w:rsidRPr="00F74DD5" w:rsidRDefault="00C119C4" w:rsidP="00587326">
            <w:pPr>
              <w:keepNext/>
              <w:keepLines/>
              <w:rPr>
                <w:color w:val="000000"/>
                <w:sz w:val="17"/>
                <w:szCs w:val="17"/>
              </w:rPr>
            </w:pPr>
            <w:r>
              <w:rPr>
                <w:color w:val="000000"/>
                <w:sz w:val="17"/>
                <w:szCs w:val="17"/>
              </w:rPr>
              <w:t>Le montant du contrat de base est passé de 3,13 millions de francs suisses en 2015 à 3,07 millions en 2016, alors que le coût de la capacité de déploiement rapide augmentait de 143 352 francs suisses à 359 807 francs suisses, avec pour résultat une hausse globale des coûts de 160 163 francs suisses en 2016.</w:t>
            </w:r>
          </w:p>
        </w:tc>
      </w:tr>
      <w:tr w:rsidR="00C119C4" w:rsidRPr="00F74DD5" w14:paraId="7147AAA9" w14:textId="77777777" w:rsidTr="00A83D07">
        <w:trPr>
          <w:trHeight w:val="720"/>
        </w:trPr>
        <w:tc>
          <w:tcPr>
            <w:tcW w:w="1508" w:type="dxa"/>
            <w:shd w:val="clear" w:color="auto" w:fill="auto"/>
            <w:hideMark/>
          </w:tcPr>
          <w:p w14:paraId="4A00331A" w14:textId="77777777" w:rsidR="00C119C4" w:rsidRPr="00F74DD5" w:rsidRDefault="00C119C4" w:rsidP="00A83D07">
            <w:pPr>
              <w:rPr>
                <w:color w:val="000000"/>
                <w:sz w:val="17"/>
                <w:szCs w:val="17"/>
              </w:rPr>
            </w:pPr>
            <w:r>
              <w:rPr>
                <w:color w:val="000000"/>
                <w:sz w:val="17"/>
                <w:szCs w:val="17"/>
              </w:rPr>
              <w:t>Assurance accidents du travail pour le personnel</w:t>
            </w:r>
          </w:p>
        </w:tc>
        <w:tc>
          <w:tcPr>
            <w:tcW w:w="1134" w:type="dxa"/>
            <w:shd w:val="clear" w:color="auto" w:fill="auto"/>
            <w:noWrap/>
            <w:hideMark/>
          </w:tcPr>
          <w:p w14:paraId="04B558A5" w14:textId="77777777" w:rsidR="00C119C4" w:rsidRPr="00F74DD5" w:rsidRDefault="00C119C4" w:rsidP="00A83D07">
            <w:pPr>
              <w:rPr>
                <w:color w:val="000000"/>
                <w:sz w:val="17"/>
                <w:szCs w:val="17"/>
              </w:rPr>
            </w:pPr>
            <w:r>
              <w:rPr>
                <w:color w:val="000000"/>
                <w:sz w:val="17"/>
                <w:szCs w:val="17"/>
              </w:rPr>
              <w:t xml:space="preserve">200 000 </w:t>
            </w:r>
          </w:p>
        </w:tc>
        <w:tc>
          <w:tcPr>
            <w:tcW w:w="1134" w:type="dxa"/>
            <w:shd w:val="clear" w:color="auto" w:fill="auto"/>
            <w:noWrap/>
            <w:hideMark/>
          </w:tcPr>
          <w:p w14:paraId="3C167082" w14:textId="77777777" w:rsidR="00C119C4" w:rsidRPr="00F74DD5" w:rsidRDefault="00C119C4" w:rsidP="00A83D07">
            <w:pPr>
              <w:rPr>
                <w:color w:val="000000"/>
                <w:sz w:val="17"/>
                <w:szCs w:val="17"/>
              </w:rPr>
            </w:pPr>
            <w:r>
              <w:rPr>
                <w:color w:val="000000"/>
                <w:sz w:val="17"/>
                <w:szCs w:val="17"/>
              </w:rPr>
              <w:t>(55 000)</w:t>
            </w:r>
          </w:p>
        </w:tc>
        <w:tc>
          <w:tcPr>
            <w:tcW w:w="1304" w:type="dxa"/>
            <w:shd w:val="clear" w:color="000000" w:fill="D9D9D9"/>
            <w:hideMark/>
          </w:tcPr>
          <w:p w14:paraId="43E6F867"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hideMark/>
          </w:tcPr>
          <w:p w14:paraId="0ED464B5"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05282CB4" w14:textId="77777777" w:rsidR="00C119C4" w:rsidRPr="00F74DD5" w:rsidRDefault="00C119C4" w:rsidP="00A83D07">
            <w:pPr>
              <w:rPr>
                <w:color w:val="000000"/>
                <w:sz w:val="17"/>
                <w:szCs w:val="17"/>
              </w:rPr>
            </w:pPr>
            <w:r>
              <w:rPr>
                <w:color w:val="000000"/>
                <w:sz w:val="17"/>
                <w:szCs w:val="17"/>
              </w:rPr>
              <w:t>La hausse des coûts en 2016 par rapport à 2015 s’explique par le changement d’assureur en 2016 et les améliorations ainsi apportées à la qualité et à l’éventail de services par rapport à 2015.</w:t>
            </w:r>
          </w:p>
        </w:tc>
      </w:tr>
      <w:tr w:rsidR="00C119C4" w:rsidRPr="00F74DD5" w14:paraId="36AC29AA" w14:textId="77777777" w:rsidTr="00A83D07">
        <w:trPr>
          <w:trHeight w:val="1140"/>
        </w:trPr>
        <w:tc>
          <w:tcPr>
            <w:tcW w:w="1508" w:type="dxa"/>
            <w:shd w:val="clear" w:color="auto" w:fill="auto"/>
            <w:hideMark/>
          </w:tcPr>
          <w:p w14:paraId="656B1B37" w14:textId="77777777" w:rsidR="00C119C4" w:rsidRPr="00F74DD5" w:rsidRDefault="00C119C4" w:rsidP="00A83D07">
            <w:pPr>
              <w:rPr>
                <w:color w:val="000000"/>
                <w:sz w:val="17"/>
                <w:szCs w:val="17"/>
              </w:rPr>
            </w:pPr>
            <w:r>
              <w:rPr>
                <w:color w:val="000000"/>
                <w:sz w:val="17"/>
                <w:szCs w:val="17"/>
              </w:rPr>
              <w:t>Achats de biens et services</w:t>
            </w:r>
          </w:p>
        </w:tc>
        <w:tc>
          <w:tcPr>
            <w:tcW w:w="1134" w:type="dxa"/>
            <w:shd w:val="clear" w:color="auto" w:fill="auto"/>
            <w:noWrap/>
            <w:hideMark/>
          </w:tcPr>
          <w:p w14:paraId="58FFF68E" w14:textId="77777777" w:rsidR="00C119C4" w:rsidRPr="00F74DD5" w:rsidRDefault="00C119C4" w:rsidP="00A83D07">
            <w:pPr>
              <w:rPr>
                <w:color w:val="000000"/>
                <w:sz w:val="17"/>
                <w:szCs w:val="17"/>
              </w:rPr>
            </w:pPr>
            <w:r>
              <w:rPr>
                <w:color w:val="000000"/>
                <w:sz w:val="17"/>
                <w:szCs w:val="17"/>
              </w:rPr>
              <w:t xml:space="preserve">3 826 361 </w:t>
            </w:r>
          </w:p>
        </w:tc>
        <w:tc>
          <w:tcPr>
            <w:tcW w:w="1134" w:type="dxa"/>
            <w:shd w:val="clear" w:color="auto" w:fill="auto"/>
            <w:noWrap/>
            <w:hideMark/>
          </w:tcPr>
          <w:p w14:paraId="6EA27CCD" w14:textId="77777777" w:rsidR="00C119C4" w:rsidRPr="00F74DD5" w:rsidRDefault="00C119C4" w:rsidP="00A83D07">
            <w:pPr>
              <w:rPr>
                <w:color w:val="000000"/>
                <w:sz w:val="17"/>
                <w:szCs w:val="17"/>
              </w:rPr>
            </w:pPr>
            <w:r>
              <w:rPr>
                <w:color w:val="000000"/>
                <w:sz w:val="17"/>
                <w:szCs w:val="17"/>
              </w:rPr>
              <w:t xml:space="preserve">1 801 919 </w:t>
            </w:r>
          </w:p>
        </w:tc>
        <w:tc>
          <w:tcPr>
            <w:tcW w:w="1304" w:type="dxa"/>
            <w:shd w:val="clear" w:color="000000" w:fill="D9D9D9"/>
            <w:noWrap/>
            <w:hideMark/>
          </w:tcPr>
          <w:p w14:paraId="6A9AAECB" w14:textId="77777777" w:rsidR="00C119C4" w:rsidRPr="00F74DD5" w:rsidRDefault="00C119C4" w:rsidP="00A83D07">
            <w:pPr>
              <w:rPr>
                <w:color w:val="000000"/>
                <w:sz w:val="17"/>
                <w:szCs w:val="17"/>
              </w:rPr>
            </w:pPr>
            <w:r>
              <w:rPr>
                <w:color w:val="000000"/>
                <w:sz w:val="17"/>
                <w:szCs w:val="17"/>
              </w:rPr>
              <w:t> </w:t>
            </w:r>
          </w:p>
        </w:tc>
        <w:tc>
          <w:tcPr>
            <w:tcW w:w="1304" w:type="dxa"/>
            <w:shd w:val="clear" w:color="000000" w:fill="D9D9D9"/>
            <w:noWrap/>
            <w:hideMark/>
          </w:tcPr>
          <w:p w14:paraId="4B30985B" w14:textId="77777777" w:rsidR="00C119C4" w:rsidRPr="00F74DD5" w:rsidRDefault="00C119C4" w:rsidP="00A83D07">
            <w:pPr>
              <w:rPr>
                <w:color w:val="000000"/>
                <w:sz w:val="17"/>
                <w:szCs w:val="17"/>
              </w:rPr>
            </w:pPr>
            <w:r>
              <w:rPr>
                <w:color w:val="000000"/>
                <w:sz w:val="17"/>
                <w:szCs w:val="17"/>
              </w:rPr>
              <w:t> </w:t>
            </w:r>
          </w:p>
        </w:tc>
        <w:tc>
          <w:tcPr>
            <w:tcW w:w="2835" w:type="dxa"/>
            <w:shd w:val="clear" w:color="auto" w:fill="auto"/>
            <w:hideMark/>
          </w:tcPr>
          <w:p w14:paraId="2251C981" w14:textId="77777777" w:rsidR="00C119C4" w:rsidRPr="00F74DD5" w:rsidRDefault="00C119C4" w:rsidP="00A83D07">
            <w:pPr>
              <w:rPr>
                <w:color w:val="000000"/>
                <w:sz w:val="17"/>
                <w:szCs w:val="17"/>
              </w:rPr>
            </w:pPr>
            <w:r>
              <w:rPr>
                <w:color w:val="000000"/>
                <w:sz w:val="17"/>
                <w:szCs w:val="17"/>
              </w:rPr>
              <w:t>L’ensemble des économies réalisées est une combinaison d’économies générées par le groupe ACA pour un montant de 760 901 francs suisses et de négociations de ristournes sur des contrats pour un montant de 1 062 892 francs suisses.</w:t>
            </w:r>
            <w:r>
              <w:rPr>
                <w:color w:val="000000"/>
                <w:sz w:val="17"/>
                <w:szCs w:val="17"/>
              </w:rPr>
              <w:br/>
              <w:t>Les économies sont calculées en annualisant la remise négociée sur le prix d’origine ou le prix de catalogue pour obtenir un chiffre sur une période de 12 mois.</w:t>
            </w:r>
          </w:p>
        </w:tc>
      </w:tr>
    </w:tbl>
    <w:p w14:paraId="05C72365" w14:textId="77777777" w:rsidR="00C119C4" w:rsidRPr="00BE10AB" w:rsidRDefault="00C119C4" w:rsidP="00C119C4">
      <w:pPr>
        <w:rPr>
          <w:sz w:val="18"/>
          <w:szCs w:val="18"/>
        </w:rPr>
      </w:pPr>
    </w:p>
    <w:tbl>
      <w:tblPr>
        <w:tblW w:w="9325" w:type="dxa"/>
        <w:tblInd w:w="93" w:type="dxa"/>
        <w:tblLook w:val="04A0" w:firstRow="1" w:lastRow="0" w:firstColumn="1" w:lastColumn="0" w:noHBand="0" w:noVBand="1"/>
      </w:tblPr>
      <w:tblGrid>
        <w:gridCol w:w="9325"/>
      </w:tblGrid>
      <w:tr w:rsidR="00C119C4" w:rsidRPr="00805027" w14:paraId="4358E2F2" w14:textId="77777777" w:rsidTr="00A83D07">
        <w:trPr>
          <w:trHeight w:val="255"/>
        </w:trPr>
        <w:tc>
          <w:tcPr>
            <w:tcW w:w="9325" w:type="dxa"/>
            <w:tcBorders>
              <w:top w:val="nil"/>
              <w:left w:val="nil"/>
              <w:bottom w:val="nil"/>
              <w:right w:val="nil"/>
            </w:tcBorders>
            <w:shd w:val="clear" w:color="auto" w:fill="auto"/>
            <w:noWrap/>
            <w:vAlign w:val="bottom"/>
            <w:hideMark/>
          </w:tcPr>
          <w:p w14:paraId="43A59BDA" w14:textId="77777777" w:rsidR="00C119C4" w:rsidRPr="00805027" w:rsidRDefault="00C119C4" w:rsidP="00A83D07">
            <w:pPr>
              <w:rPr>
                <w:rFonts w:cs="Times New Roman"/>
                <w:i/>
                <w:sz w:val="18"/>
                <w:szCs w:val="18"/>
              </w:rPr>
            </w:pPr>
            <w:r>
              <w:rPr>
                <w:i/>
                <w:sz w:val="18"/>
                <w:szCs w:val="18"/>
              </w:rPr>
              <w:t>* On trouvera des informations sur les mesures de maîtrise des coûts réalisées en 2015 dans le rapport sur l’exécution du programme en 2014-2015, partie V.</w:t>
            </w:r>
          </w:p>
        </w:tc>
      </w:tr>
      <w:tr w:rsidR="00C119C4" w:rsidRPr="00805027" w14:paraId="6390FD2E" w14:textId="77777777" w:rsidTr="00A83D07">
        <w:trPr>
          <w:trHeight w:val="255"/>
        </w:trPr>
        <w:tc>
          <w:tcPr>
            <w:tcW w:w="9325" w:type="dxa"/>
            <w:tcBorders>
              <w:top w:val="nil"/>
              <w:left w:val="nil"/>
              <w:bottom w:val="nil"/>
              <w:right w:val="nil"/>
            </w:tcBorders>
            <w:shd w:val="clear" w:color="auto" w:fill="auto"/>
            <w:noWrap/>
            <w:vAlign w:val="bottom"/>
            <w:hideMark/>
          </w:tcPr>
          <w:p w14:paraId="44073535" w14:textId="77777777" w:rsidR="00C119C4" w:rsidRPr="00805027" w:rsidRDefault="00C119C4" w:rsidP="00A83D07">
            <w:pPr>
              <w:rPr>
                <w:rFonts w:cs="Times New Roman"/>
                <w:i/>
                <w:sz w:val="18"/>
                <w:szCs w:val="18"/>
              </w:rPr>
            </w:pPr>
            <w:r>
              <w:rPr>
                <w:i/>
                <w:sz w:val="18"/>
                <w:szCs w:val="18"/>
              </w:rPr>
              <w:t>** Économies annuelles en 2016 par rapport à 2015.</w:t>
            </w:r>
          </w:p>
        </w:tc>
      </w:tr>
      <w:tr w:rsidR="00C119C4" w:rsidRPr="00805027" w14:paraId="5DD07379" w14:textId="77777777" w:rsidTr="00A83D07">
        <w:trPr>
          <w:trHeight w:val="255"/>
        </w:trPr>
        <w:tc>
          <w:tcPr>
            <w:tcW w:w="9325" w:type="dxa"/>
            <w:tcBorders>
              <w:top w:val="nil"/>
              <w:left w:val="nil"/>
              <w:bottom w:val="nil"/>
              <w:right w:val="nil"/>
            </w:tcBorders>
            <w:shd w:val="clear" w:color="auto" w:fill="auto"/>
            <w:noWrap/>
            <w:vAlign w:val="bottom"/>
            <w:hideMark/>
          </w:tcPr>
          <w:p w14:paraId="4C4DC020" w14:textId="77777777" w:rsidR="00C119C4" w:rsidRPr="00805027" w:rsidRDefault="00C119C4" w:rsidP="00A83D07">
            <w:pPr>
              <w:rPr>
                <w:rFonts w:cs="Times New Roman"/>
                <w:i/>
                <w:sz w:val="18"/>
                <w:szCs w:val="18"/>
              </w:rPr>
            </w:pPr>
            <w:r>
              <w:rPr>
                <w:i/>
                <w:sz w:val="18"/>
                <w:szCs w:val="18"/>
              </w:rPr>
              <w:t>*** Baisse du coût unitaire en 2016 par rapport à 2015.</w:t>
            </w:r>
          </w:p>
        </w:tc>
      </w:tr>
      <w:tr w:rsidR="00C119C4" w:rsidRPr="00805027" w14:paraId="6D956BDC" w14:textId="77777777" w:rsidTr="00A83D07">
        <w:trPr>
          <w:trHeight w:val="255"/>
        </w:trPr>
        <w:tc>
          <w:tcPr>
            <w:tcW w:w="9325" w:type="dxa"/>
            <w:tcBorders>
              <w:top w:val="nil"/>
              <w:left w:val="nil"/>
              <w:bottom w:val="nil"/>
              <w:right w:val="nil"/>
            </w:tcBorders>
            <w:shd w:val="clear" w:color="auto" w:fill="auto"/>
            <w:noWrap/>
            <w:vAlign w:val="bottom"/>
            <w:hideMark/>
          </w:tcPr>
          <w:p w14:paraId="20EADFB8" w14:textId="77777777" w:rsidR="00C119C4" w:rsidRPr="00805027" w:rsidRDefault="00C119C4" w:rsidP="00A83D07">
            <w:pPr>
              <w:rPr>
                <w:rFonts w:cs="Times New Roman"/>
                <w:i/>
                <w:sz w:val="18"/>
                <w:szCs w:val="18"/>
              </w:rPr>
            </w:pPr>
            <w:r>
              <w:rPr>
                <w:i/>
                <w:sz w:val="18"/>
                <w:szCs w:val="18"/>
              </w:rPr>
              <w:t>**** Représente les économies annualisées (12 mois) estimées, basées sur l’extrapolation des économies mensuelles constatées au quatrième trimestre 2015.</w:t>
            </w:r>
          </w:p>
        </w:tc>
      </w:tr>
    </w:tbl>
    <w:p w14:paraId="1857C4D8" w14:textId="77777777" w:rsidR="00C119C4" w:rsidRPr="00A87FCE" w:rsidRDefault="00C119C4" w:rsidP="00C119C4">
      <w:pPr>
        <w:rPr>
          <w:sz w:val="20"/>
        </w:rPr>
      </w:pPr>
    </w:p>
    <w:p w14:paraId="2DB3BB01" w14:textId="3AB6166B" w:rsidR="00A312C6" w:rsidRDefault="00A312C6">
      <w:pPr>
        <w:rPr>
          <w:b/>
          <w:bCs/>
          <w:iCs/>
          <w:caps/>
          <w:szCs w:val="28"/>
        </w:rPr>
      </w:pPr>
    </w:p>
    <w:p w14:paraId="54FCDE28" w14:textId="77777777" w:rsidR="00133467" w:rsidRDefault="00133467">
      <w:pPr>
        <w:rPr>
          <w:b/>
          <w:bCs/>
          <w:iCs/>
          <w:caps/>
          <w:szCs w:val="28"/>
        </w:rPr>
      </w:pPr>
    </w:p>
    <w:p w14:paraId="60200090" w14:textId="77777777" w:rsidR="00C119C4" w:rsidRDefault="00C119C4" w:rsidP="006658D5">
      <w:pPr>
        <w:pStyle w:val="Heading3"/>
        <w:sectPr w:rsidR="00C119C4" w:rsidSect="002D57E6">
          <w:headerReference w:type="first" r:id="rId35"/>
          <w:pgSz w:w="16840" w:h="11907" w:orient="landscape" w:code="9"/>
          <w:pgMar w:top="1418" w:right="567" w:bottom="1418" w:left="1418" w:header="510" w:footer="1021" w:gutter="0"/>
          <w:cols w:space="720"/>
          <w:titlePg/>
          <w:docGrid w:linePitch="299"/>
        </w:sectPr>
      </w:pPr>
    </w:p>
    <w:p w14:paraId="230E5D58" w14:textId="77777777" w:rsidR="009709C2" w:rsidRPr="009709C2" w:rsidRDefault="009709C2" w:rsidP="009709C2">
      <w:pPr>
        <w:pStyle w:val="Heading1"/>
      </w:pPr>
      <w:bookmarkStart w:id="19" w:name="_Toc482774587"/>
      <w:r w:rsidRPr="009709C2">
        <w:lastRenderedPageBreak/>
        <w:t>Aperçu des progrès réalisés en 2016 par objectif stratégique</w:t>
      </w:r>
      <w:bookmarkEnd w:id="19"/>
    </w:p>
    <w:p w14:paraId="791FC013" w14:textId="77777777" w:rsidR="009709C2" w:rsidRPr="00A859F2" w:rsidRDefault="009709C2" w:rsidP="009709C2">
      <w:pPr>
        <w:rPr>
          <w:sz w:val="20"/>
        </w:rPr>
      </w:pPr>
    </w:p>
    <w:p w14:paraId="52188CB4" w14:textId="2F48D4A4" w:rsidR="009709C2" w:rsidRPr="002D57E6" w:rsidRDefault="009761D3" w:rsidP="009761D3">
      <w:pPr>
        <w:pStyle w:val="Heading2"/>
      </w:pPr>
      <w:bookmarkStart w:id="20" w:name="_Toc482774588"/>
      <w:r>
        <w:t>O</w:t>
      </w:r>
      <w:r w:rsidRPr="002D57E6">
        <w:t xml:space="preserve">bjectif stratégique </w:t>
      </w:r>
      <w:r>
        <w:t>I</w:t>
      </w:r>
      <w:bookmarkEnd w:id="20"/>
    </w:p>
    <w:p w14:paraId="12DAB7ED" w14:textId="77777777" w:rsidR="009709C2" w:rsidRPr="00A859F2" w:rsidRDefault="009709C2" w:rsidP="009709C2">
      <w:pPr>
        <w:jc w:val="center"/>
        <w:rPr>
          <w:rFonts w:cs="Times New Roman"/>
          <w:b/>
          <w:sz w:val="20"/>
          <w:szCs w:val="24"/>
        </w:rPr>
      </w:pPr>
    </w:p>
    <w:p w14:paraId="6BCEAD1A" w14:textId="77777777" w:rsidR="009709C2" w:rsidRPr="00A859F2" w:rsidRDefault="009709C2" w:rsidP="009709C2">
      <w:pPr>
        <w:jc w:val="center"/>
        <w:rPr>
          <w:rFonts w:ascii="Arial Bold" w:hAnsi="Arial Bold" w:cs="Times New Roman"/>
          <w:caps/>
          <w:sz w:val="20"/>
          <w:szCs w:val="24"/>
        </w:rPr>
      </w:pPr>
      <w:r w:rsidRPr="00A859F2">
        <w:rPr>
          <w:rFonts w:ascii="Arial Bold" w:hAnsi="Arial Bold" w:cs="Times New Roman"/>
          <w:b/>
          <w:caps/>
          <w:sz w:val="20"/>
          <w:szCs w:val="24"/>
        </w:rPr>
        <w:t>Évolution équilibrée du cadre normatif international de la propriété intellectuelle</w:t>
      </w:r>
    </w:p>
    <w:p w14:paraId="72D3AC83" w14:textId="77777777" w:rsidR="009709C2" w:rsidRPr="00A859F2" w:rsidRDefault="009709C2" w:rsidP="009709C2">
      <w:pPr>
        <w:jc w:val="center"/>
        <w:rPr>
          <w:rFonts w:cs="Times New Roman"/>
          <w:b/>
          <w:sz w:val="20"/>
          <w:szCs w:val="24"/>
        </w:rPr>
      </w:pPr>
    </w:p>
    <w:p w14:paraId="3D8E1759" w14:textId="77777777" w:rsidR="009709C2" w:rsidRPr="00A859F2" w:rsidRDefault="009709C2" w:rsidP="009709C2">
      <w:pPr>
        <w:jc w:val="center"/>
        <w:rPr>
          <w:rFonts w:cs="Times New Roman"/>
          <w:b/>
          <w:sz w:val="20"/>
          <w:szCs w:val="24"/>
        </w:rPr>
      </w:pPr>
      <w:r w:rsidRPr="00A859F2">
        <w:rPr>
          <w:rFonts w:cs="Times New Roman"/>
          <w:b/>
          <w:sz w:val="20"/>
          <w:szCs w:val="24"/>
        </w:rPr>
        <w:t xml:space="preserve">Tableau de bord de l’exécution du </w:t>
      </w:r>
      <w:r>
        <w:rPr>
          <w:rFonts w:cs="Times New Roman"/>
          <w:b/>
          <w:sz w:val="20"/>
          <w:szCs w:val="24"/>
        </w:rPr>
        <w:t>p</w:t>
      </w:r>
      <w:r w:rsidRPr="00A859F2">
        <w:rPr>
          <w:rFonts w:cs="Times New Roman"/>
          <w:b/>
          <w:sz w:val="20"/>
          <w:szCs w:val="24"/>
        </w:rPr>
        <w:t>rogramme à mi</w:t>
      </w:r>
      <w:r>
        <w:rPr>
          <w:rFonts w:cs="Times New Roman"/>
          <w:b/>
          <w:sz w:val="20"/>
          <w:szCs w:val="24"/>
        </w:rPr>
        <w:noBreakHyphen/>
      </w:r>
      <w:r w:rsidRPr="00A859F2">
        <w:rPr>
          <w:rFonts w:cs="Times New Roman"/>
          <w:b/>
          <w:sz w:val="20"/>
          <w:szCs w:val="24"/>
        </w:rPr>
        <w:t>parcours (2016)</w:t>
      </w:r>
    </w:p>
    <w:p w14:paraId="0F22919E" w14:textId="77777777" w:rsidR="009709C2" w:rsidRPr="00A859F2" w:rsidRDefault="009709C2" w:rsidP="009709C2">
      <w:pPr>
        <w:rPr>
          <w:sz w:val="20"/>
        </w:rPr>
      </w:pPr>
    </w:p>
    <w:p w14:paraId="3C391D89" w14:textId="77777777" w:rsidR="009709C2" w:rsidRPr="00A859F2" w:rsidRDefault="009709C2" w:rsidP="009709C2">
      <w:pPr>
        <w:jc w:val="both"/>
        <w:rPr>
          <w:sz w:val="20"/>
        </w:rPr>
      </w:pPr>
      <w:r w:rsidRPr="00A859F2">
        <w:rPr>
          <w:sz w:val="20"/>
        </w:rPr>
        <w:t>Le tableau de bord ci</w:t>
      </w:r>
      <w:r>
        <w:rPr>
          <w:sz w:val="20"/>
        </w:rPr>
        <w:noBreakHyphen/>
      </w:r>
      <w:r w:rsidRPr="00A859F2">
        <w:rPr>
          <w:sz w:val="20"/>
        </w:rPr>
        <w:t xml:space="preserve">dessous présente un résumé de l’état d’avancement de la réalisation des résultats en 2016, telle que mesurée par les indicateurs au titre des </w:t>
      </w:r>
      <w:r>
        <w:rPr>
          <w:sz w:val="20"/>
        </w:rPr>
        <w:t>p</w:t>
      </w:r>
      <w:r w:rsidRPr="00A859F2">
        <w:rPr>
          <w:sz w:val="20"/>
        </w:rPr>
        <w:t>rogrammes contribuant à cet objectif stratégique.</w:t>
      </w:r>
    </w:p>
    <w:p w14:paraId="762EE104" w14:textId="77777777" w:rsidR="009709C2" w:rsidRPr="00A859F2" w:rsidRDefault="009709C2" w:rsidP="009709C2">
      <w:pPr>
        <w:jc w:val="center"/>
        <w:rPr>
          <w:sz w:val="20"/>
        </w:rPr>
      </w:pPr>
      <w:r w:rsidRPr="00B00E14">
        <w:rPr>
          <w:noProof/>
          <w:lang w:val="en-US"/>
        </w:rPr>
        <w:drawing>
          <wp:inline distT="0" distB="0" distL="0" distR="0" wp14:anchorId="47310575" wp14:editId="3EAB2BDA">
            <wp:extent cx="3693600" cy="2421452"/>
            <wp:effectExtent l="0" t="0" r="254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3600" cy="2421452"/>
                    </a:xfrm>
                    <a:prstGeom prst="rect">
                      <a:avLst/>
                    </a:prstGeom>
                    <a:noFill/>
                    <a:ln>
                      <a:noFill/>
                    </a:ln>
                  </pic:spPr>
                </pic:pic>
              </a:graphicData>
            </a:graphic>
          </wp:inline>
        </w:drawing>
      </w:r>
    </w:p>
    <w:tbl>
      <w:tblPr>
        <w:tblW w:w="9466" w:type="dxa"/>
        <w:tblInd w:w="108" w:type="dxa"/>
        <w:tblLayout w:type="fixed"/>
        <w:tblCellMar>
          <w:left w:w="115" w:type="dxa"/>
          <w:right w:w="115" w:type="dxa"/>
        </w:tblCellMar>
        <w:tblLook w:val="0000" w:firstRow="0" w:lastRow="0" w:firstColumn="0" w:lastColumn="0" w:noHBand="0" w:noVBand="0"/>
      </w:tblPr>
      <w:tblGrid>
        <w:gridCol w:w="2725"/>
        <w:gridCol w:w="3855"/>
        <w:gridCol w:w="1587"/>
        <w:gridCol w:w="1299"/>
      </w:tblGrid>
      <w:tr w:rsidR="009709C2" w:rsidRPr="00A859F2" w14:paraId="0842AD4C" w14:textId="77777777" w:rsidTr="00394CA8">
        <w:trPr>
          <w:trHeight w:val="535"/>
          <w:tblHeader/>
        </w:trPr>
        <w:tc>
          <w:tcPr>
            <w:tcW w:w="1440" w:type="pct"/>
            <w:shd w:val="clear" w:color="auto" w:fill="B8CCE4" w:themeFill="accent1" w:themeFillTint="66"/>
            <w:tcMar>
              <w:top w:w="113" w:type="dxa"/>
              <w:bottom w:w="113" w:type="dxa"/>
            </w:tcMar>
            <w:vAlign w:val="center"/>
          </w:tcPr>
          <w:p w14:paraId="7F7B44E5" w14:textId="77777777" w:rsidR="009709C2" w:rsidRPr="00A859F2" w:rsidRDefault="009709C2" w:rsidP="00394CA8">
            <w:pPr>
              <w:rPr>
                <w:b/>
                <w:bCs/>
                <w:sz w:val="18"/>
                <w:szCs w:val="18"/>
              </w:rPr>
            </w:pPr>
            <w:r w:rsidRPr="00A859F2">
              <w:rPr>
                <w:b/>
                <w:bCs/>
                <w:sz w:val="18"/>
                <w:szCs w:val="18"/>
              </w:rPr>
              <w:t>Résultats escomptés</w:t>
            </w:r>
          </w:p>
        </w:tc>
        <w:tc>
          <w:tcPr>
            <w:tcW w:w="2036" w:type="pct"/>
            <w:shd w:val="clear" w:color="auto" w:fill="B8CCE4" w:themeFill="accent1" w:themeFillTint="66"/>
            <w:tcMar>
              <w:top w:w="113" w:type="dxa"/>
              <w:bottom w:w="113" w:type="dxa"/>
            </w:tcMar>
            <w:vAlign w:val="center"/>
          </w:tcPr>
          <w:p w14:paraId="370EFB5B" w14:textId="77777777" w:rsidR="009709C2" w:rsidRPr="00A859F2" w:rsidRDefault="009709C2" w:rsidP="00394CA8">
            <w:pPr>
              <w:rPr>
                <w:b/>
                <w:sz w:val="18"/>
                <w:szCs w:val="18"/>
              </w:rPr>
            </w:pPr>
            <w:r w:rsidRPr="00A859F2">
              <w:rPr>
                <w:b/>
                <w:sz w:val="18"/>
                <w:szCs w:val="18"/>
              </w:rPr>
              <w:t>Indicateurs d’exécution</w:t>
            </w:r>
          </w:p>
        </w:tc>
        <w:tc>
          <w:tcPr>
            <w:tcW w:w="838" w:type="pct"/>
            <w:shd w:val="clear" w:color="auto" w:fill="B8CCE4" w:themeFill="accent1" w:themeFillTint="66"/>
            <w:tcMar>
              <w:top w:w="113" w:type="dxa"/>
              <w:bottom w:w="113" w:type="dxa"/>
            </w:tcMar>
            <w:vAlign w:val="center"/>
          </w:tcPr>
          <w:p w14:paraId="54CD96C4" w14:textId="77777777" w:rsidR="009709C2" w:rsidRPr="00DE67EE" w:rsidRDefault="009709C2" w:rsidP="00394CA8">
            <w:pPr>
              <w:ind w:left="85"/>
              <w:jc w:val="center"/>
              <w:rPr>
                <w:sz w:val="18"/>
                <w:szCs w:val="18"/>
              </w:rPr>
            </w:pPr>
            <w:r w:rsidRPr="00DE67EE">
              <w:rPr>
                <w:b/>
                <w:sz w:val="18"/>
                <w:szCs w:val="18"/>
              </w:rPr>
              <w:t>Programme(s) concerné(s)</w:t>
            </w:r>
          </w:p>
        </w:tc>
        <w:tc>
          <w:tcPr>
            <w:tcW w:w="686" w:type="pct"/>
            <w:shd w:val="clear" w:color="auto" w:fill="B8CCE4" w:themeFill="accent1" w:themeFillTint="66"/>
            <w:vAlign w:val="center"/>
          </w:tcPr>
          <w:p w14:paraId="6E1DCCB2" w14:textId="77777777" w:rsidR="009709C2" w:rsidRPr="00A859F2" w:rsidRDefault="009709C2" w:rsidP="00394CA8">
            <w:pPr>
              <w:ind w:left="85"/>
              <w:jc w:val="center"/>
              <w:rPr>
                <w:b/>
                <w:bCs/>
                <w:sz w:val="18"/>
                <w:szCs w:val="18"/>
              </w:rPr>
            </w:pPr>
            <w:r w:rsidRPr="00A859F2">
              <w:rPr>
                <w:b/>
                <w:bCs/>
                <w:sz w:val="18"/>
                <w:szCs w:val="18"/>
              </w:rPr>
              <w:t>Code de couleurs</w:t>
            </w:r>
          </w:p>
        </w:tc>
      </w:tr>
      <w:tr w:rsidR="009709C2" w:rsidRPr="00A859F2" w14:paraId="68EF688A" w14:textId="77777777" w:rsidTr="00394CA8">
        <w:trPr>
          <w:trHeight w:val="353"/>
        </w:trPr>
        <w:tc>
          <w:tcPr>
            <w:tcW w:w="1440" w:type="pct"/>
            <w:vMerge w:val="restart"/>
            <w:shd w:val="clear" w:color="auto" w:fill="auto"/>
            <w:tcMar>
              <w:top w:w="57" w:type="dxa"/>
              <w:bottom w:w="113" w:type="dxa"/>
            </w:tcMar>
          </w:tcPr>
          <w:p w14:paraId="00FEEDFE" w14:textId="77777777" w:rsidR="009709C2" w:rsidRPr="00A859F2" w:rsidRDefault="009709C2" w:rsidP="00394CA8">
            <w:pPr>
              <w:rPr>
                <w:sz w:val="16"/>
                <w:szCs w:val="16"/>
              </w:rPr>
            </w:pPr>
            <w:r w:rsidRPr="00A859F2">
              <w:rPr>
                <w:sz w:val="16"/>
                <w:szCs w:val="16"/>
              </w:rPr>
              <w:t>I.1 Renforcement de la coopération entre les États membres en ce qui concerne l’élaboration de cadres normatifs internationaux équilibrés dans le domaine de la propriété intellectuelle</w:t>
            </w:r>
          </w:p>
        </w:tc>
        <w:tc>
          <w:tcPr>
            <w:tcW w:w="2036" w:type="pct"/>
            <w:shd w:val="clear" w:color="auto" w:fill="auto"/>
            <w:tcMar>
              <w:top w:w="57" w:type="dxa"/>
              <w:bottom w:w="0" w:type="dxa"/>
            </w:tcMar>
          </w:tcPr>
          <w:p w14:paraId="4EFCD149" w14:textId="77777777" w:rsidR="009709C2" w:rsidRPr="00A859F2" w:rsidRDefault="009709C2" w:rsidP="00394CA8">
            <w:pPr>
              <w:rPr>
                <w:sz w:val="16"/>
                <w:szCs w:val="16"/>
              </w:rPr>
            </w:pPr>
            <w:r w:rsidRPr="00A859F2">
              <w:rPr>
                <w:sz w:val="16"/>
                <w:szCs w:val="16"/>
              </w:rPr>
              <w:t>Niveau de satisfaction des participants des ateliers ou séminaires organisés sur des thèmes spécifiques relatifs aux brevets</w:t>
            </w:r>
          </w:p>
        </w:tc>
        <w:tc>
          <w:tcPr>
            <w:tcW w:w="838" w:type="pct"/>
            <w:shd w:val="clear" w:color="auto" w:fill="auto"/>
            <w:tcMar>
              <w:top w:w="57" w:type="dxa"/>
              <w:bottom w:w="0" w:type="dxa"/>
            </w:tcMar>
          </w:tcPr>
          <w:p w14:paraId="53F5B735" w14:textId="77777777" w:rsidR="009709C2" w:rsidRPr="00DE67EE" w:rsidRDefault="009709C2" w:rsidP="00394CA8">
            <w:pPr>
              <w:jc w:val="center"/>
              <w:rPr>
                <w:sz w:val="16"/>
                <w:szCs w:val="16"/>
              </w:rPr>
            </w:pPr>
            <w:r w:rsidRPr="00DE67EE">
              <w:rPr>
                <w:sz w:val="16"/>
                <w:szCs w:val="16"/>
              </w:rPr>
              <w:t>Programme 1</w:t>
            </w:r>
          </w:p>
        </w:tc>
        <w:tc>
          <w:tcPr>
            <w:tcW w:w="686" w:type="pct"/>
            <w:shd w:val="clear" w:color="auto" w:fill="auto"/>
            <w:tcMar>
              <w:top w:w="57" w:type="dxa"/>
            </w:tcMar>
          </w:tcPr>
          <w:p w14:paraId="148261D2" w14:textId="77777777" w:rsidR="009709C2" w:rsidRPr="00A859F2" w:rsidRDefault="009709C2" w:rsidP="00394CA8">
            <w:pPr>
              <w:jc w:val="center"/>
            </w:pPr>
            <w:r w:rsidRPr="00A859F2">
              <w:rPr>
                <w:color w:val="00B050"/>
                <w:szCs w:val="22"/>
              </w:rPr>
              <w:sym w:font="Wingdings" w:char="F06C"/>
            </w:r>
          </w:p>
        </w:tc>
      </w:tr>
      <w:tr w:rsidR="009709C2" w:rsidRPr="00A859F2" w14:paraId="73F519BC" w14:textId="77777777" w:rsidTr="00394CA8">
        <w:tc>
          <w:tcPr>
            <w:tcW w:w="1440" w:type="pct"/>
            <w:vMerge/>
            <w:shd w:val="clear" w:color="auto" w:fill="auto"/>
            <w:tcMar>
              <w:top w:w="57" w:type="dxa"/>
              <w:bottom w:w="113" w:type="dxa"/>
            </w:tcMar>
          </w:tcPr>
          <w:p w14:paraId="438A5943"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2D8F4518" w14:textId="77777777" w:rsidR="009709C2" w:rsidRPr="00A859F2" w:rsidRDefault="009709C2" w:rsidP="00394CA8">
            <w:pPr>
              <w:rPr>
                <w:sz w:val="16"/>
                <w:szCs w:val="16"/>
              </w:rPr>
            </w:pPr>
            <w:r w:rsidRPr="00A859F2">
              <w:rPr>
                <w:sz w:val="16"/>
                <w:szCs w:val="16"/>
              </w:rPr>
              <w:t>Niveau de satisfaction des participants du Programme d’aide aux inventeurs</w:t>
            </w:r>
          </w:p>
        </w:tc>
        <w:tc>
          <w:tcPr>
            <w:tcW w:w="838" w:type="pct"/>
            <w:shd w:val="clear" w:color="auto" w:fill="auto"/>
            <w:tcMar>
              <w:top w:w="57" w:type="dxa"/>
              <w:bottom w:w="0" w:type="dxa"/>
            </w:tcMar>
          </w:tcPr>
          <w:p w14:paraId="6C5A76D1" w14:textId="77777777" w:rsidR="009709C2" w:rsidRPr="00DE67EE" w:rsidRDefault="009709C2" w:rsidP="00394CA8">
            <w:pPr>
              <w:jc w:val="center"/>
              <w:rPr>
                <w:sz w:val="16"/>
                <w:szCs w:val="16"/>
              </w:rPr>
            </w:pPr>
            <w:r w:rsidRPr="00DE67EE">
              <w:rPr>
                <w:sz w:val="16"/>
                <w:szCs w:val="16"/>
              </w:rPr>
              <w:t>Programme 1</w:t>
            </w:r>
          </w:p>
        </w:tc>
        <w:tc>
          <w:tcPr>
            <w:tcW w:w="686" w:type="pct"/>
            <w:shd w:val="clear" w:color="auto" w:fill="auto"/>
            <w:tcMar>
              <w:top w:w="57" w:type="dxa"/>
            </w:tcMar>
          </w:tcPr>
          <w:p w14:paraId="658D2C9B" w14:textId="77777777" w:rsidR="009709C2" w:rsidRPr="00A859F2" w:rsidRDefault="009709C2" w:rsidP="00394CA8">
            <w:pPr>
              <w:jc w:val="center"/>
            </w:pPr>
            <w:r w:rsidRPr="00A859F2">
              <w:rPr>
                <w:color w:val="00B050"/>
                <w:szCs w:val="22"/>
              </w:rPr>
              <w:sym w:font="Wingdings" w:char="F06C"/>
            </w:r>
          </w:p>
        </w:tc>
      </w:tr>
      <w:tr w:rsidR="009709C2" w:rsidRPr="00A859F2" w14:paraId="020D4436" w14:textId="77777777" w:rsidTr="00394CA8">
        <w:trPr>
          <w:trHeight w:val="345"/>
        </w:trPr>
        <w:tc>
          <w:tcPr>
            <w:tcW w:w="1440" w:type="pct"/>
            <w:vMerge/>
            <w:shd w:val="clear" w:color="auto" w:fill="auto"/>
            <w:tcMar>
              <w:top w:w="57" w:type="dxa"/>
              <w:bottom w:w="113" w:type="dxa"/>
            </w:tcMar>
          </w:tcPr>
          <w:p w14:paraId="1CE942ED"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3BB93AB7" w14:textId="77777777" w:rsidR="009709C2" w:rsidRPr="00A859F2" w:rsidRDefault="009709C2" w:rsidP="00394CA8">
            <w:pPr>
              <w:rPr>
                <w:sz w:val="16"/>
                <w:szCs w:val="16"/>
              </w:rPr>
            </w:pPr>
            <w:r w:rsidRPr="00A859F2">
              <w:rPr>
                <w:sz w:val="16"/>
                <w:szCs w:val="16"/>
              </w:rPr>
              <w:t>État d’avancement de la mise en œuvre des travaux convenus selon l’ordre du jour du SCP</w:t>
            </w:r>
          </w:p>
        </w:tc>
        <w:tc>
          <w:tcPr>
            <w:tcW w:w="838" w:type="pct"/>
            <w:shd w:val="clear" w:color="auto" w:fill="auto"/>
            <w:tcMar>
              <w:top w:w="57" w:type="dxa"/>
              <w:bottom w:w="0" w:type="dxa"/>
            </w:tcMar>
          </w:tcPr>
          <w:p w14:paraId="4C0E564C" w14:textId="77777777" w:rsidR="009709C2" w:rsidRPr="00DE67EE" w:rsidRDefault="009709C2" w:rsidP="00394CA8">
            <w:pPr>
              <w:jc w:val="center"/>
              <w:rPr>
                <w:sz w:val="16"/>
                <w:szCs w:val="16"/>
              </w:rPr>
            </w:pPr>
            <w:r w:rsidRPr="00DE67EE">
              <w:rPr>
                <w:sz w:val="16"/>
                <w:szCs w:val="16"/>
              </w:rPr>
              <w:t>Programme 1</w:t>
            </w:r>
          </w:p>
        </w:tc>
        <w:tc>
          <w:tcPr>
            <w:tcW w:w="686" w:type="pct"/>
            <w:shd w:val="clear" w:color="auto" w:fill="auto"/>
            <w:tcMar>
              <w:top w:w="57" w:type="dxa"/>
            </w:tcMar>
          </w:tcPr>
          <w:p w14:paraId="5D1176F4" w14:textId="77777777" w:rsidR="009709C2" w:rsidRPr="00A859F2" w:rsidRDefault="009709C2" w:rsidP="00394CA8">
            <w:pPr>
              <w:jc w:val="center"/>
            </w:pPr>
            <w:r w:rsidRPr="00A859F2">
              <w:rPr>
                <w:color w:val="00B050"/>
                <w:szCs w:val="22"/>
              </w:rPr>
              <w:sym w:font="Wingdings" w:char="F06C"/>
            </w:r>
          </w:p>
        </w:tc>
      </w:tr>
      <w:tr w:rsidR="009709C2" w:rsidRPr="00A859F2" w14:paraId="4B49DA29" w14:textId="77777777" w:rsidTr="00394CA8">
        <w:trPr>
          <w:trHeight w:val="124"/>
        </w:trPr>
        <w:tc>
          <w:tcPr>
            <w:tcW w:w="1440" w:type="pct"/>
            <w:vMerge/>
            <w:shd w:val="clear" w:color="auto" w:fill="auto"/>
            <w:tcMar>
              <w:top w:w="57" w:type="dxa"/>
              <w:bottom w:w="113" w:type="dxa"/>
            </w:tcMar>
          </w:tcPr>
          <w:p w14:paraId="51FE8FBA"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2DDCB0AF" w14:textId="77777777" w:rsidR="009709C2" w:rsidRPr="00A859F2" w:rsidRDefault="009709C2" w:rsidP="00394CA8">
            <w:pPr>
              <w:rPr>
                <w:sz w:val="16"/>
                <w:szCs w:val="16"/>
              </w:rPr>
            </w:pPr>
            <w:r w:rsidRPr="00A859F2">
              <w:rPr>
                <w:sz w:val="16"/>
                <w:szCs w:val="16"/>
              </w:rPr>
              <w:t>Nombre de ratifications du Traité de Singapour ou d’adhésions à ce traité</w:t>
            </w:r>
          </w:p>
        </w:tc>
        <w:tc>
          <w:tcPr>
            <w:tcW w:w="838" w:type="pct"/>
            <w:shd w:val="clear" w:color="auto" w:fill="auto"/>
            <w:tcMar>
              <w:top w:w="57" w:type="dxa"/>
              <w:bottom w:w="0" w:type="dxa"/>
            </w:tcMar>
          </w:tcPr>
          <w:p w14:paraId="0672F974" w14:textId="77777777" w:rsidR="009709C2" w:rsidRPr="00DE67EE" w:rsidRDefault="009709C2" w:rsidP="00394CA8">
            <w:pPr>
              <w:spacing w:after="120"/>
              <w:ind w:left="184"/>
              <w:rPr>
                <w:sz w:val="16"/>
                <w:szCs w:val="16"/>
              </w:rPr>
            </w:pPr>
            <w:r w:rsidRPr="00DE67EE">
              <w:rPr>
                <w:sz w:val="16"/>
                <w:szCs w:val="16"/>
              </w:rPr>
              <w:t>Programme 2</w:t>
            </w:r>
          </w:p>
          <w:p w14:paraId="03D87C62" w14:textId="77777777" w:rsidR="009709C2" w:rsidRPr="00DE67EE" w:rsidRDefault="009709C2" w:rsidP="00394CA8">
            <w:pPr>
              <w:ind w:left="184"/>
              <w:rPr>
                <w:sz w:val="16"/>
                <w:szCs w:val="16"/>
              </w:rPr>
            </w:pPr>
            <w:r w:rsidRPr="00DE67EE">
              <w:rPr>
                <w:sz w:val="16"/>
                <w:szCs w:val="16"/>
              </w:rPr>
              <w:t>Programme 20</w:t>
            </w:r>
          </w:p>
        </w:tc>
        <w:tc>
          <w:tcPr>
            <w:tcW w:w="686" w:type="pct"/>
            <w:shd w:val="clear" w:color="auto" w:fill="auto"/>
            <w:tcMar>
              <w:top w:w="57" w:type="dxa"/>
            </w:tcMar>
          </w:tcPr>
          <w:p w14:paraId="232879A5" w14:textId="77777777" w:rsidR="009709C2" w:rsidRPr="00A859F2" w:rsidRDefault="009709C2" w:rsidP="00394CA8">
            <w:pPr>
              <w:jc w:val="center"/>
              <w:rPr>
                <w:color w:val="00B050"/>
                <w:szCs w:val="22"/>
              </w:rPr>
            </w:pPr>
            <w:r w:rsidRPr="00A859F2">
              <w:rPr>
                <w:color w:val="00B050"/>
                <w:szCs w:val="22"/>
              </w:rPr>
              <w:sym w:font="Wingdings" w:char="F06C"/>
            </w:r>
          </w:p>
          <w:p w14:paraId="62CF71B3" w14:textId="77777777" w:rsidR="009709C2" w:rsidRPr="00A859F2" w:rsidRDefault="009709C2" w:rsidP="00394CA8">
            <w:pPr>
              <w:jc w:val="center"/>
            </w:pPr>
            <w:r w:rsidRPr="00A859F2">
              <w:rPr>
                <w:color w:val="00B050"/>
                <w:szCs w:val="22"/>
              </w:rPr>
              <w:sym w:font="Wingdings" w:char="F06C"/>
            </w:r>
          </w:p>
        </w:tc>
      </w:tr>
      <w:tr w:rsidR="009709C2" w:rsidRPr="00A859F2" w14:paraId="4C2AB434" w14:textId="77777777" w:rsidTr="00394CA8">
        <w:trPr>
          <w:trHeight w:val="162"/>
        </w:trPr>
        <w:tc>
          <w:tcPr>
            <w:tcW w:w="1440" w:type="pct"/>
            <w:vMerge/>
            <w:shd w:val="clear" w:color="auto" w:fill="auto"/>
            <w:tcMar>
              <w:top w:w="57" w:type="dxa"/>
              <w:bottom w:w="113" w:type="dxa"/>
            </w:tcMar>
          </w:tcPr>
          <w:p w14:paraId="6B433394" w14:textId="77777777" w:rsidR="009709C2" w:rsidRPr="00A859F2" w:rsidRDefault="009709C2" w:rsidP="00394CA8">
            <w:pPr>
              <w:spacing w:after="120"/>
              <w:rPr>
                <w:bCs/>
                <w:sz w:val="16"/>
                <w:szCs w:val="16"/>
              </w:rPr>
            </w:pPr>
          </w:p>
        </w:tc>
        <w:tc>
          <w:tcPr>
            <w:tcW w:w="2036" w:type="pct"/>
            <w:shd w:val="clear" w:color="auto" w:fill="auto"/>
            <w:tcMar>
              <w:top w:w="0" w:type="dxa"/>
              <w:bottom w:w="0" w:type="dxa"/>
            </w:tcMar>
          </w:tcPr>
          <w:p w14:paraId="0C1EA90F" w14:textId="77777777" w:rsidR="009709C2" w:rsidRPr="00A859F2" w:rsidRDefault="009709C2" w:rsidP="00394CA8">
            <w:pPr>
              <w:rPr>
                <w:sz w:val="16"/>
                <w:szCs w:val="16"/>
              </w:rPr>
            </w:pPr>
            <w:r w:rsidRPr="00A859F2">
              <w:rPr>
                <w:sz w:val="16"/>
                <w:szCs w:val="16"/>
              </w:rPr>
              <w:t>Progrès visant à parvenir à un accord sur les points en cours de l’ordre du jour du SCT</w:t>
            </w:r>
          </w:p>
        </w:tc>
        <w:tc>
          <w:tcPr>
            <w:tcW w:w="838" w:type="pct"/>
            <w:shd w:val="clear" w:color="auto" w:fill="auto"/>
            <w:tcMar>
              <w:top w:w="0" w:type="dxa"/>
              <w:bottom w:w="0" w:type="dxa"/>
            </w:tcMar>
          </w:tcPr>
          <w:p w14:paraId="0F485455" w14:textId="77777777" w:rsidR="009709C2" w:rsidRPr="00DE67EE" w:rsidRDefault="009709C2" w:rsidP="00394CA8">
            <w:pPr>
              <w:spacing w:before="40"/>
              <w:jc w:val="center"/>
              <w:rPr>
                <w:sz w:val="16"/>
                <w:szCs w:val="16"/>
              </w:rPr>
            </w:pPr>
            <w:r w:rsidRPr="00DE67EE">
              <w:rPr>
                <w:sz w:val="16"/>
                <w:szCs w:val="16"/>
              </w:rPr>
              <w:t>Programme 2</w:t>
            </w:r>
          </w:p>
        </w:tc>
        <w:tc>
          <w:tcPr>
            <w:tcW w:w="686" w:type="pct"/>
            <w:shd w:val="clear" w:color="auto" w:fill="auto"/>
            <w:tcMar>
              <w:top w:w="0" w:type="dxa"/>
            </w:tcMar>
          </w:tcPr>
          <w:p w14:paraId="64D7F6FA" w14:textId="77777777" w:rsidR="009709C2" w:rsidRPr="00A859F2" w:rsidRDefault="009709C2" w:rsidP="00394CA8">
            <w:pPr>
              <w:spacing w:after="120"/>
              <w:jc w:val="center"/>
              <w:rPr>
                <w:b/>
                <w:bCs/>
                <w:sz w:val="16"/>
                <w:szCs w:val="16"/>
              </w:rPr>
            </w:pPr>
            <w:r w:rsidRPr="00A859F2">
              <w:rPr>
                <w:color w:val="FF0000"/>
                <w:szCs w:val="22"/>
              </w:rPr>
              <w:sym w:font="Wingdings" w:char="F06C"/>
            </w:r>
          </w:p>
        </w:tc>
      </w:tr>
      <w:tr w:rsidR="009709C2" w:rsidRPr="00A859F2" w14:paraId="46911A8A" w14:textId="77777777" w:rsidTr="00394CA8">
        <w:trPr>
          <w:trHeight w:val="197"/>
        </w:trPr>
        <w:tc>
          <w:tcPr>
            <w:tcW w:w="1440" w:type="pct"/>
            <w:vMerge/>
            <w:shd w:val="clear" w:color="auto" w:fill="auto"/>
            <w:tcMar>
              <w:top w:w="57" w:type="dxa"/>
              <w:bottom w:w="113" w:type="dxa"/>
            </w:tcMar>
          </w:tcPr>
          <w:p w14:paraId="1D501180"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23BC107A" w14:textId="77777777" w:rsidR="009709C2" w:rsidRPr="00A859F2" w:rsidRDefault="009709C2" w:rsidP="00394CA8">
            <w:pPr>
              <w:rPr>
                <w:sz w:val="16"/>
                <w:szCs w:val="16"/>
              </w:rPr>
            </w:pPr>
            <w:r w:rsidRPr="00A859F2">
              <w:rPr>
                <w:sz w:val="16"/>
                <w:szCs w:val="16"/>
              </w:rPr>
              <w:t>Avancement de l’exécution des plans de travail convenus conformément à l’ordre du jour du SCCR</w:t>
            </w:r>
          </w:p>
        </w:tc>
        <w:tc>
          <w:tcPr>
            <w:tcW w:w="838" w:type="pct"/>
            <w:shd w:val="clear" w:color="auto" w:fill="auto"/>
            <w:tcMar>
              <w:top w:w="57" w:type="dxa"/>
              <w:bottom w:w="0" w:type="dxa"/>
            </w:tcMar>
          </w:tcPr>
          <w:p w14:paraId="00D0DBE9" w14:textId="77777777" w:rsidR="009709C2" w:rsidRPr="00DE67EE" w:rsidRDefault="009709C2" w:rsidP="00394CA8">
            <w:pPr>
              <w:spacing w:before="40"/>
              <w:jc w:val="center"/>
              <w:rPr>
                <w:sz w:val="16"/>
                <w:szCs w:val="16"/>
              </w:rPr>
            </w:pPr>
            <w:r w:rsidRPr="00DE67EE">
              <w:rPr>
                <w:sz w:val="16"/>
                <w:szCs w:val="16"/>
              </w:rPr>
              <w:t>Programme 3</w:t>
            </w:r>
          </w:p>
        </w:tc>
        <w:tc>
          <w:tcPr>
            <w:tcW w:w="686" w:type="pct"/>
            <w:shd w:val="clear" w:color="auto" w:fill="auto"/>
            <w:tcMar>
              <w:top w:w="57" w:type="dxa"/>
            </w:tcMar>
          </w:tcPr>
          <w:p w14:paraId="679126F9" w14:textId="77777777" w:rsidR="009709C2" w:rsidRPr="00A859F2" w:rsidRDefault="009709C2" w:rsidP="00394CA8">
            <w:pPr>
              <w:spacing w:after="120"/>
              <w:jc w:val="center"/>
              <w:rPr>
                <w:b/>
                <w:bCs/>
                <w:sz w:val="16"/>
                <w:szCs w:val="16"/>
              </w:rPr>
            </w:pPr>
            <w:r w:rsidRPr="00A859F2">
              <w:rPr>
                <w:color w:val="00B050"/>
                <w:szCs w:val="22"/>
              </w:rPr>
              <w:sym w:font="Wingdings" w:char="F06C"/>
            </w:r>
          </w:p>
        </w:tc>
      </w:tr>
      <w:tr w:rsidR="009709C2" w:rsidRPr="00A859F2" w14:paraId="6C3FCB23" w14:textId="77777777" w:rsidTr="00394CA8">
        <w:trPr>
          <w:trHeight w:val="551"/>
        </w:trPr>
        <w:tc>
          <w:tcPr>
            <w:tcW w:w="1440" w:type="pct"/>
            <w:vMerge/>
            <w:shd w:val="clear" w:color="auto" w:fill="auto"/>
            <w:tcMar>
              <w:top w:w="57" w:type="dxa"/>
              <w:bottom w:w="113" w:type="dxa"/>
            </w:tcMar>
          </w:tcPr>
          <w:p w14:paraId="47B3FDA5"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5F1670CA" w14:textId="77777777" w:rsidR="009709C2" w:rsidRPr="00A859F2" w:rsidRDefault="009709C2" w:rsidP="00394CA8">
            <w:pPr>
              <w:rPr>
                <w:sz w:val="16"/>
                <w:szCs w:val="16"/>
              </w:rPr>
            </w:pPr>
            <w:r w:rsidRPr="00A859F2">
              <w:rPr>
                <w:sz w:val="16"/>
                <w:szCs w:val="16"/>
              </w:rPr>
              <w:t>Progrès accomplis en vue de la mise en œuvre des activités d’établissement de normes sur la propriété intellectuelle relative aux ressources génétiques, aux savoirs traditionnels et aux expressions culturelles traditionnelles, conformément à la décision des États membres</w:t>
            </w:r>
          </w:p>
        </w:tc>
        <w:tc>
          <w:tcPr>
            <w:tcW w:w="838" w:type="pct"/>
            <w:shd w:val="clear" w:color="auto" w:fill="auto"/>
            <w:tcMar>
              <w:top w:w="57" w:type="dxa"/>
              <w:bottom w:w="0" w:type="dxa"/>
            </w:tcMar>
          </w:tcPr>
          <w:p w14:paraId="7AF1EB04" w14:textId="77777777" w:rsidR="009709C2" w:rsidRPr="00DE67EE" w:rsidRDefault="009709C2" w:rsidP="00394CA8">
            <w:pPr>
              <w:spacing w:before="40"/>
              <w:jc w:val="center"/>
              <w:rPr>
                <w:sz w:val="16"/>
                <w:szCs w:val="16"/>
              </w:rPr>
            </w:pPr>
            <w:r w:rsidRPr="00DE67EE">
              <w:rPr>
                <w:sz w:val="16"/>
                <w:szCs w:val="16"/>
              </w:rPr>
              <w:t>Programme 4</w:t>
            </w:r>
          </w:p>
        </w:tc>
        <w:tc>
          <w:tcPr>
            <w:tcW w:w="686" w:type="pct"/>
            <w:shd w:val="clear" w:color="auto" w:fill="auto"/>
            <w:tcMar>
              <w:top w:w="57" w:type="dxa"/>
            </w:tcMar>
          </w:tcPr>
          <w:p w14:paraId="2DD1FF67" w14:textId="77777777" w:rsidR="009709C2" w:rsidRPr="00A859F2" w:rsidRDefault="009709C2" w:rsidP="00394CA8">
            <w:pPr>
              <w:spacing w:after="120"/>
              <w:jc w:val="center"/>
              <w:rPr>
                <w:b/>
                <w:bCs/>
                <w:sz w:val="16"/>
                <w:szCs w:val="16"/>
              </w:rPr>
            </w:pPr>
            <w:r w:rsidRPr="00A859F2">
              <w:rPr>
                <w:color w:val="0070C0"/>
                <w:szCs w:val="22"/>
              </w:rPr>
              <w:sym w:font="Wingdings" w:char="F06C"/>
            </w:r>
          </w:p>
        </w:tc>
      </w:tr>
      <w:tr w:rsidR="009709C2" w:rsidRPr="00A859F2" w14:paraId="5C56A175" w14:textId="77777777" w:rsidTr="00394CA8">
        <w:tc>
          <w:tcPr>
            <w:tcW w:w="1440" w:type="pct"/>
            <w:vMerge/>
            <w:shd w:val="clear" w:color="auto" w:fill="auto"/>
            <w:tcMar>
              <w:top w:w="57" w:type="dxa"/>
              <w:bottom w:w="113" w:type="dxa"/>
            </w:tcMar>
          </w:tcPr>
          <w:p w14:paraId="6660EACF"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2F1CF306" w14:textId="77777777" w:rsidR="009709C2" w:rsidRPr="00A859F2" w:rsidRDefault="009709C2" w:rsidP="00394CA8">
            <w:pPr>
              <w:rPr>
                <w:sz w:val="16"/>
                <w:szCs w:val="16"/>
              </w:rPr>
            </w:pPr>
            <w:r w:rsidRPr="00A859F2">
              <w:rPr>
                <w:sz w:val="16"/>
                <w:szCs w:val="16"/>
              </w:rPr>
              <w:t>Nombre de ratifications du Traité de Beijing ou d’adhésions à ce traité</w:t>
            </w:r>
          </w:p>
        </w:tc>
        <w:tc>
          <w:tcPr>
            <w:tcW w:w="838" w:type="pct"/>
            <w:shd w:val="clear" w:color="auto" w:fill="auto"/>
            <w:tcMar>
              <w:top w:w="57" w:type="dxa"/>
              <w:bottom w:w="0" w:type="dxa"/>
            </w:tcMar>
          </w:tcPr>
          <w:p w14:paraId="04A3EF45" w14:textId="77777777" w:rsidR="009709C2" w:rsidRPr="00DE67EE" w:rsidRDefault="009709C2" w:rsidP="00394CA8">
            <w:pPr>
              <w:spacing w:before="40"/>
              <w:jc w:val="center"/>
              <w:rPr>
                <w:sz w:val="16"/>
                <w:szCs w:val="16"/>
              </w:rPr>
            </w:pPr>
            <w:r w:rsidRPr="00DE67EE">
              <w:rPr>
                <w:sz w:val="16"/>
                <w:szCs w:val="16"/>
              </w:rPr>
              <w:t>Programme 20</w:t>
            </w:r>
          </w:p>
        </w:tc>
        <w:tc>
          <w:tcPr>
            <w:tcW w:w="686" w:type="pct"/>
            <w:shd w:val="clear" w:color="auto" w:fill="auto"/>
            <w:tcMar>
              <w:top w:w="57" w:type="dxa"/>
            </w:tcMar>
          </w:tcPr>
          <w:p w14:paraId="201EE57D" w14:textId="77777777" w:rsidR="009709C2" w:rsidRPr="00A859F2" w:rsidRDefault="009709C2" w:rsidP="00394CA8">
            <w:pPr>
              <w:spacing w:after="120"/>
              <w:jc w:val="center"/>
              <w:rPr>
                <w:b/>
                <w:bCs/>
                <w:sz w:val="16"/>
                <w:szCs w:val="16"/>
              </w:rPr>
            </w:pPr>
            <w:r w:rsidRPr="00A859F2">
              <w:rPr>
                <w:color w:val="FF0000"/>
                <w:szCs w:val="22"/>
              </w:rPr>
              <w:sym w:font="Wingdings" w:char="F06C"/>
            </w:r>
          </w:p>
        </w:tc>
      </w:tr>
      <w:tr w:rsidR="009709C2" w:rsidRPr="00A859F2" w14:paraId="3A18A37E" w14:textId="77777777" w:rsidTr="00394CA8">
        <w:trPr>
          <w:trHeight w:val="271"/>
        </w:trPr>
        <w:tc>
          <w:tcPr>
            <w:tcW w:w="1440" w:type="pct"/>
            <w:vMerge/>
            <w:shd w:val="clear" w:color="auto" w:fill="auto"/>
            <w:tcMar>
              <w:top w:w="57" w:type="dxa"/>
              <w:bottom w:w="113" w:type="dxa"/>
            </w:tcMar>
          </w:tcPr>
          <w:p w14:paraId="027CF66D"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0F065CD0" w14:textId="77777777" w:rsidR="009709C2" w:rsidRPr="00A859F2" w:rsidRDefault="009709C2" w:rsidP="00394CA8">
            <w:pPr>
              <w:rPr>
                <w:sz w:val="16"/>
                <w:szCs w:val="16"/>
              </w:rPr>
            </w:pPr>
            <w:r w:rsidRPr="00A859F2">
              <w:rPr>
                <w:sz w:val="16"/>
                <w:szCs w:val="16"/>
              </w:rPr>
              <w:t>Nombre de ratifications des traités Internet ou d’adhésions à ces traités</w:t>
            </w:r>
          </w:p>
        </w:tc>
        <w:tc>
          <w:tcPr>
            <w:tcW w:w="838" w:type="pct"/>
            <w:shd w:val="clear" w:color="auto" w:fill="auto"/>
            <w:tcMar>
              <w:top w:w="57" w:type="dxa"/>
              <w:bottom w:w="0" w:type="dxa"/>
            </w:tcMar>
          </w:tcPr>
          <w:p w14:paraId="0223474C" w14:textId="77777777" w:rsidR="009709C2" w:rsidRPr="00DE67EE" w:rsidRDefault="009709C2" w:rsidP="00394CA8">
            <w:pPr>
              <w:spacing w:before="40"/>
              <w:jc w:val="center"/>
              <w:rPr>
                <w:sz w:val="16"/>
                <w:szCs w:val="16"/>
              </w:rPr>
            </w:pPr>
            <w:r w:rsidRPr="00DE67EE">
              <w:rPr>
                <w:sz w:val="16"/>
                <w:szCs w:val="16"/>
              </w:rPr>
              <w:t>Programme 20</w:t>
            </w:r>
          </w:p>
        </w:tc>
        <w:tc>
          <w:tcPr>
            <w:tcW w:w="686" w:type="pct"/>
            <w:shd w:val="clear" w:color="auto" w:fill="auto"/>
            <w:tcMar>
              <w:top w:w="57" w:type="dxa"/>
            </w:tcMar>
          </w:tcPr>
          <w:p w14:paraId="1E72EDC7" w14:textId="77777777" w:rsidR="009709C2" w:rsidRPr="00A859F2" w:rsidRDefault="009709C2" w:rsidP="00394CA8">
            <w:pPr>
              <w:spacing w:after="120"/>
              <w:jc w:val="center"/>
              <w:rPr>
                <w:b/>
                <w:bCs/>
                <w:sz w:val="16"/>
                <w:szCs w:val="16"/>
              </w:rPr>
            </w:pPr>
            <w:r w:rsidRPr="00A859F2">
              <w:rPr>
                <w:color w:val="00B050"/>
                <w:szCs w:val="22"/>
              </w:rPr>
              <w:sym w:font="Wingdings" w:char="F06C"/>
            </w:r>
          </w:p>
        </w:tc>
      </w:tr>
      <w:tr w:rsidR="009709C2" w:rsidRPr="00A859F2" w14:paraId="6DB25AC5" w14:textId="77777777" w:rsidTr="00394CA8">
        <w:trPr>
          <w:trHeight w:val="415"/>
        </w:trPr>
        <w:tc>
          <w:tcPr>
            <w:tcW w:w="1440" w:type="pct"/>
            <w:vMerge/>
            <w:shd w:val="clear" w:color="auto" w:fill="auto"/>
            <w:tcMar>
              <w:top w:w="57" w:type="dxa"/>
              <w:bottom w:w="113" w:type="dxa"/>
            </w:tcMar>
          </w:tcPr>
          <w:p w14:paraId="5E44EC18"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15222DF6" w14:textId="77777777" w:rsidR="009709C2" w:rsidRPr="00A859F2" w:rsidRDefault="009709C2" w:rsidP="00394CA8">
            <w:pPr>
              <w:rPr>
                <w:sz w:val="16"/>
                <w:szCs w:val="16"/>
              </w:rPr>
            </w:pPr>
            <w:r w:rsidRPr="00A859F2">
              <w:rPr>
                <w:sz w:val="16"/>
                <w:szCs w:val="16"/>
              </w:rPr>
              <w:t>Nombre de ratifications du Traité de Marrakech ou d’adhésions à ce traité</w:t>
            </w:r>
          </w:p>
        </w:tc>
        <w:tc>
          <w:tcPr>
            <w:tcW w:w="838" w:type="pct"/>
            <w:shd w:val="clear" w:color="auto" w:fill="auto"/>
            <w:tcMar>
              <w:top w:w="57" w:type="dxa"/>
              <w:bottom w:w="0" w:type="dxa"/>
            </w:tcMar>
          </w:tcPr>
          <w:p w14:paraId="5B49F6A8" w14:textId="77777777" w:rsidR="009709C2" w:rsidRPr="00DE67EE" w:rsidRDefault="009709C2" w:rsidP="00394CA8">
            <w:pPr>
              <w:spacing w:before="40"/>
              <w:jc w:val="center"/>
              <w:rPr>
                <w:sz w:val="16"/>
                <w:szCs w:val="16"/>
              </w:rPr>
            </w:pPr>
            <w:r w:rsidRPr="00DE67EE">
              <w:rPr>
                <w:sz w:val="16"/>
                <w:szCs w:val="16"/>
              </w:rPr>
              <w:t>Programme 20</w:t>
            </w:r>
          </w:p>
        </w:tc>
        <w:tc>
          <w:tcPr>
            <w:tcW w:w="686" w:type="pct"/>
            <w:shd w:val="clear" w:color="auto" w:fill="auto"/>
            <w:tcMar>
              <w:top w:w="57" w:type="dxa"/>
            </w:tcMar>
          </w:tcPr>
          <w:p w14:paraId="3F885F07" w14:textId="77777777" w:rsidR="009709C2" w:rsidRPr="00A859F2" w:rsidRDefault="009709C2" w:rsidP="00394CA8">
            <w:pPr>
              <w:spacing w:after="120"/>
              <w:jc w:val="center"/>
              <w:rPr>
                <w:b/>
                <w:bCs/>
                <w:sz w:val="16"/>
                <w:szCs w:val="16"/>
              </w:rPr>
            </w:pPr>
            <w:r w:rsidRPr="00A859F2">
              <w:rPr>
                <w:color w:val="FF0000"/>
                <w:szCs w:val="22"/>
              </w:rPr>
              <w:sym w:font="Wingdings" w:char="F06C"/>
            </w:r>
          </w:p>
        </w:tc>
      </w:tr>
      <w:tr w:rsidR="009709C2" w:rsidRPr="00A859F2" w14:paraId="3F354012" w14:textId="77777777" w:rsidTr="00394CA8">
        <w:tc>
          <w:tcPr>
            <w:tcW w:w="1440" w:type="pct"/>
            <w:shd w:val="clear" w:color="auto" w:fill="auto"/>
            <w:tcMar>
              <w:top w:w="57" w:type="dxa"/>
              <w:bottom w:w="113" w:type="dxa"/>
            </w:tcMar>
          </w:tcPr>
          <w:p w14:paraId="6E511F7D" w14:textId="77777777" w:rsidR="009709C2" w:rsidRPr="00A859F2" w:rsidRDefault="009709C2" w:rsidP="00394CA8">
            <w:pPr>
              <w:rPr>
                <w:sz w:val="16"/>
                <w:szCs w:val="16"/>
              </w:rPr>
            </w:pPr>
            <w:r w:rsidRPr="00A859F2">
              <w:rPr>
                <w:sz w:val="16"/>
                <w:szCs w:val="16"/>
              </w:rPr>
              <w:t>I.2 Cadres législatifs, réglementaires et politiques de propriété intellectuelle adaptés et équilibrés</w:t>
            </w:r>
          </w:p>
        </w:tc>
        <w:tc>
          <w:tcPr>
            <w:tcW w:w="2036" w:type="pct"/>
            <w:shd w:val="clear" w:color="auto" w:fill="auto"/>
            <w:tcMar>
              <w:top w:w="57" w:type="dxa"/>
              <w:bottom w:w="0" w:type="dxa"/>
            </w:tcMar>
          </w:tcPr>
          <w:p w14:paraId="3931FC37" w14:textId="77777777" w:rsidR="009709C2" w:rsidRPr="00A859F2" w:rsidRDefault="009709C2" w:rsidP="00394CA8">
            <w:pPr>
              <w:rPr>
                <w:sz w:val="16"/>
                <w:szCs w:val="16"/>
              </w:rPr>
            </w:pPr>
            <w:r w:rsidRPr="00A859F2">
              <w:rPr>
                <w:sz w:val="16"/>
                <w:szCs w:val="16"/>
              </w:rPr>
              <w:t>Pourcentage de bénéficiaires ayant trouvé utiles les informations fournies concernant les principes et les pratiques juridiques des systèmes des brevets, des modèles d’utilité et des circuits intégrés, y compris les éléments de flexibilité</w:t>
            </w:r>
          </w:p>
        </w:tc>
        <w:tc>
          <w:tcPr>
            <w:tcW w:w="838" w:type="pct"/>
            <w:shd w:val="clear" w:color="auto" w:fill="auto"/>
            <w:tcMar>
              <w:top w:w="57" w:type="dxa"/>
              <w:bottom w:w="0" w:type="dxa"/>
            </w:tcMar>
          </w:tcPr>
          <w:p w14:paraId="4DA5A2EB" w14:textId="77777777" w:rsidR="009709C2" w:rsidRPr="00DE67EE" w:rsidRDefault="009709C2" w:rsidP="00394CA8">
            <w:pPr>
              <w:spacing w:before="40"/>
              <w:jc w:val="center"/>
              <w:rPr>
                <w:sz w:val="16"/>
                <w:szCs w:val="16"/>
              </w:rPr>
            </w:pPr>
            <w:r w:rsidRPr="00DE67EE">
              <w:rPr>
                <w:sz w:val="16"/>
                <w:szCs w:val="16"/>
              </w:rPr>
              <w:t>Programme 1</w:t>
            </w:r>
          </w:p>
        </w:tc>
        <w:tc>
          <w:tcPr>
            <w:tcW w:w="686" w:type="pct"/>
            <w:shd w:val="clear" w:color="auto" w:fill="auto"/>
            <w:tcMar>
              <w:top w:w="57" w:type="dxa"/>
            </w:tcMar>
          </w:tcPr>
          <w:p w14:paraId="66680283" w14:textId="77777777" w:rsidR="009709C2" w:rsidRPr="00A859F2" w:rsidRDefault="009709C2" w:rsidP="00394CA8">
            <w:pPr>
              <w:jc w:val="center"/>
            </w:pPr>
            <w:r w:rsidRPr="00A859F2">
              <w:rPr>
                <w:color w:val="00B050"/>
                <w:szCs w:val="22"/>
              </w:rPr>
              <w:sym w:font="Wingdings" w:char="F06C"/>
            </w:r>
          </w:p>
        </w:tc>
      </w:tr>
      <w:tr w:rsidR="009709C2" w:rsidRPr="00A859F2" w14:paraId="4AA19A51" w14:textId="77777777" w:rsidTr="00394CA8">
        <w:tc>
          <w:tcPr>
            <w:tcW w:w="1440" w:type="pct"/>
            <w:shd w:val="clear" w:color="auto" w:fill="auto"/>
            <w:tcMar>
              <w:top w:w="57" w:type="dxa"/>
              <w:bottom w:w="113" w:type="dxa"/>
            </w:tcMar>
          </w:tcPr>
          <w:p w14:paraId="78E7BC44"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6D2E72B6" w14:textId="77777777" w:rsidR="009709C2" w:rsidRPr="00A859F2" w:rsidRDefault="009709C2" w:rsidP="00394CA8">
            <w:pPr>
              <w:rPr>
                <w:sz w:val="16"/>
                <w:szCs w:val="16"/>
              </w:rPr>
            </w:pPr>
            <w:r w:rsidRPr="00A859F2">
              <w:rPr>
                <w:sz w:val="16"/>
                <w:szCs w:val="16"/>
              </w:rPr>
              <w:t>Nombre et pourcentage d’États membres satisfaits des conseils juridiques et pratiques fournis</w:t>
            </w:r>
          </w:p>
        </w:tc>
        <w:tc>
          <w:tcPr>
            <w:tcW w:w="838" w:type="pct"/>
            <w:shd w:val="clear" w:color="auto" w:fill="auto"/>
            <w:tcMar>
              <w:top w:w="57" w:type="dxa"/>
              <w:bottom w:w="0" w:type="dxa"/>
            </w:tcMar>
          </w:tcPr>
          <w:p w14:paraId="29F3B39E" w14:textId="77777777" w:rsidR="009709C2" w:rsidRPr="00DE67EE" w:rsidRDefault="009709C2" w:rsidP="00394CA8">
            <w:pPr>
              <w:jc w:val="center"/>
              <w:rPr>
                <w:sz w:val="16"/>
                <w:szCs w:val="16"/>
              </w:rPr>
            </w:pPr>
            <w:r w:rsidRPr="00DE67EE">
              <w:rPr>
                <w:sz w:val="16"/>
                <w:szCs w:val="16"/>
              </w:rPr>
              <w:t>Programme 1</w:t>
            </w:r>
          </w:p>
        </w:tc>
        <w:tc>
          <w:tcPr>
            <w:tcW w:w="686" w:type="pct"/>
            <w:shd w:val="clear" w:color="auto" w:fill="auto"/>
            <w:tcMar>
              <w:top w:w="57" w:type="dxa"/>
            </w:tcMar>
          </w:tcPr>
          <w:p w14:paraId="053E85D9" w14:textId="77777777" w:rsidR="009709C2" w:rsidRPr="00A859F2" w:rsidRDefault="009709C2" w:rsidP="00394CA8">
            <w:pPr>
              <w:jc w:val="center"/>
            </w:pPr>
            <w:r w:rsidRPr="00A859F2">
              <w:rPr>
                <w:color w:val="00B050"/>
                <w:szCs w:val="22"/>
              </w:rPr>
              <w:sym w:font="Wingdings" w:char="F06C"/>
            </w:r>
          </w:p>
        </w:tc>
      </w:tr>
      <w:tr w:rsidR="009709C2" w:rsidRPr="00A859F2" w14:paraId="2B204AC7" w14:textId="77777777" w:rsidTr="00394CA8">
        <w:tc>
          <w:tcPr>
            <w:tcW w:w="1440" w:type="pct"/>
            <w:shd w:val="clear" w:color="auto" w:fill="auto"/>
            <w:tcMar>
              <w:top w:w="57" w:type="dxa"/>
              <w:bottom w:w="113" w:type="dxa"/>
            </w:tcMar>
          </w:tcPr>
          <w:p w14:paraId="34A9F004"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76699414" w14:textId="77777777" w:rsidR="009709C2" w:rsidRPr="00A859F2" w:rsidRDefault="009709C2" w:rsidP="00394CA8">
            <w:pPr>
              <w:rPr>
                <w:sz w:val="16"/>
                <w:szCs w:val="16"/>
              </w:rPr>
            </w:pPr>
            <w:r w:rsidRPr="00A859F2">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838" w:type="pct"/>
            <w:shd w:val="clear" w:color="auto" w:fill="auto"/>
            <w:tcMar>
              <w:top w:w="57" w:type="dxa"/>
              <w:bottom w:w="0" w:type="dxa"/>
            </w:tcMar>
          </w:tcPr>
          <w:p w14:paraId="4B62C02C" w14:textId="77777777" w:rsidR="009709C2" w:rsidRPr="00DE67EE" w:rsidRDefault="009709C2" w:rsidP="00394CA8">
            <w:pPr>
              <w:spacing w:before="40"/>
              <w:jc w:val="center"/>
              <w:rPr>
                <w:sz w:val="16"/>
                <w:szCs w:val="16"/>
              </w:rPr>
            </w:pPr>
            <w:r w:rsidRPr="00DE67EE">
              <w:rPr>
                <w:sz w:val="16"/>
                <w:szCs w:val="16"/>
              </w:rPr>
              <w:t>Programme 2</w:t>
            </w:r>
          </w:p>
        </w:tc>
        <w:tc>
          <w:tcPr>
            <w:tcW w:w="686" w:type="pct"/>
            <w:shd w:val="clear" w:color="auto" w:fill="auto"/>
            <w:tcMar>
              <w:top w:w="57" w:type="dxa"/>
            </w:tcMar>
          </w:tcPr>
          <w:p w14:paraId="26732A08" w14:textId="77777777" w:rsidR="009709C2" w:rsidRPr="00A859F2" w:rsidRDefault="009709C2" w:rsidP="00394CA8">
            <w:pPr>
              <w:jc w:val="center"/>
            </w:pPr>
            <w:r w:rsidRPr="00A859F2">
              <w:rPr>
                <w:color w:val="00B050"/>
                <w:szCs w:val="22"/>
              </w:rPr>
              <w:sym w:font="Wingdings" w:char="F06C"/>
            </w:r>
          </w:p>
        </w:tc>
      </w:tr>
      <w:tr w:rsidR="009709C2" w:rsidRPr="00A859F2" w14:paraId="0BBF45CA" w14:textId="77777777" w:rsidTr="00394CA8">
        <w:tc>
          <w:tcPr>
            <w:tcW w:w="1440" w:type="pct"/>
            <w:shd w:val="clear" w:color="auto" w:fill="auto"/>
            <w:tcMar>
              <w:top w:w="57" w:type="dxa"/>
              <w:bottom w:w="113" w:type="dxa"/>
            </w:tcMar>
          </w:tcPr>
          <w:p w14:paraId="10E16DEB"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334277A2" w14:textId="77777777" w:rsidR="009709C2" w:rsidRPr="00A859F2" w:rsidRDefault="009709C2" w:rsidP="00394CA8">
            <w:pPr>
              <w:rPr>
                <w:sz w:val="16"/>
                <w:szCs w:val="16"/>
              </w:rPr>
            </w:pPr>
            <w:r w:rsidRPr="00A859F2">
              <w:rPr>
                <w:sz w:val="16"/>
                <w:szCs w:val="16"/>
              </w:rPr>
              <w:t>Pourcentage de pays ayant donné un retour d’information positif sur les conseils législatifs fournis par l’OMPI</w:t>
            </w:r>
          </w:p>
        </w:tc>
        <w:tc>
          <w:tcPr>
            <w:tcW w:w="838" w:type="pct"/>
            <w:shd w:val="clear" w:color="auto" w:fill="auto"/>
            <w:tcMar>
              <w:top w:w="57" w:type="dxa"/>
              <w:bottom w:w="0" w:type="dxa"/>
            </w:tcMar>
          </w:tcPr>
          <w:p w14:paraId="17F46296" w14:textId="77777777" w:rsidR="009709C2" w:rsidRPr="00DE67EE" w:rsidRDefault="009709C2" w:rsidP="00394CA8">
            <w:pPr>
              <w:spacing w:before="40"/>
              <w:jc w:val="center"/>
              <w:rPr>
                <w:sz w:val="16"/>
                <w:szCs w:val="16"/>
              </w:rPr>
            </w:pPr>
            <w:r w:rsidRPr="00DE67EE">
              <w:rPr>
                <w:sz w:val="16"/>
                <w:szCs w:val="16"/>
              </w:rPr>
              <w:t>Programme 3</w:t>
            </w:r>
          </w:p>
        </w:tc>
        <w:tc>
          <w:tcPr>
            <w:tcW w:w="686" w:type="pct"/>
            <w:shd w:val="clear" w:color="auto" w:fill="auto"/>
            <w:tcMar>
              <w:top w:w="57" w:type="dxa"/>
            </w:tcMar>
          </w:tcPr>
          <w:p w14:paraId="1576DB14" w14:textId="77777777" w:rsidR="009709C2" w:rsidRPr="00A859F2" w:rsidRDefault="009709C2" w:rsidP="00394CA8">
            <w:pPr>
              <w:jc w:val="center"/>
            </w:pPr>
            <w:r w:rsidRPr="00A859F2">
              <w:rPr>
                <w:color w:val="00B050"/>
                <w:szCs w:val="22"/>
              </w:rPr>
              <w:sym w:font="Wingdings" w:char="F06C"/>
            </w:r>
          </w:p>
        </w:tc>
      </w:tr>
      <w:tr w:rsidR="009709C2" w:rsidRPr="00A859F2" w14:paraId="646976D9" w14:textId="77777777" w:rsidTr="00394CA8">
        <w:tc>
          <w:tcPr>
            <w:tcW w:w="1440" w:type="pct"/>
            <w:shd w:val="clear" w:color="auto" w:fill="auto"/>
            <w:tcMar>
              <w:top w:w="57" w:type="dxa"/>
              <w:bottom w:w="113" w:type="dxa"/>
            </w:tcMar>
          </w:tcPr>
          <w:p w14:paraId="43E520B6"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4824C726" w14:textId="77777777" w:rsidR="009709C2" w:rsidRPr="00A859F2" w:rsidRDefault="009709C2" w:rsidP="00394CA8">
            <w:pPr>
              <w:rPr>
                <w:sz w:val="16"/>
                <w:szCs w:val="16"/>
              </w:rPr>
            </w:pPr>
            <w:r w:rsidRPr="00A859F2">
              <w:rPr>
                <w:sz w:val="16"/>
                <w:szCs w:val="16"/>
              </w:rPr>
              <w:t>Nombre de pays ayant ratifié le Traité de Beijing ou y ayant adhéré</w:t>
            </w:r>
          </w:p>
        </w:tc>
        <w:tc>
          <w:tcPr>
            <w:tcW w:w="838" w:type="pct"/>
            <w:shd w:val="clear" w:color="auto" w:fill="auto"/>
            <w:tcMar>
              <w:top w:w="57" w:type="dxa"/>
              <w:bottom w:w="0" w:type="dxa"/>
            </w:tcMar>
          </w:tcPr>
          <w:p w14:paraId="45F8DF43" w14:textId="77777777" w:rsidR="009709C2" w:rsidRPr="00DE67EE" w:rsidRDefault="009709C2" w:rsidP="00394CA8">
            <w:pPr>
              <w:spacing w:before="40"/>
              <w:jc w:val="center"/>
              <w:rPr>
                <w:sz w:val="16"/>
                <w:szCs w:val="16"/>
              </w:rPr>
            </w:pPr>
            <w:r w:rsidRPr="00DE67EE">
              <w:rPr>
                <w:sz w:val="16"/>
                <w:szCs w:val="16"/>
              </w:rPr>
              <w:t>Programme 3</w:t>
            </w:r>
          </w:p>
        </w:tc>
        <w:tc>
          <w:tcPr>
            <w:tcW w:w="686" w:type="pct"/>
            <w:shd w:val="clear" w:color="auto" w:fill="auto"/>
            <w:tcMar>
              <w:top w:w="57" w:type="dxa"/>
            </w:tcMar>
          </w:tcPr>
          <w:p w14:paraId="7799DABD" w14:textId="77777777" w:rsidR="009709C2" w:rsidRPr="00A859F2" w:rsidRDefault="009709C2" w:rsidP="00394CA8">
            <w:pPr>
              <w:jc w:val="center"/>
            </w:pPr>
            <w:r w:rsidRPr="00A859F2">
              <w:rPr>
                <w:color w:val="FF0000"/>
                <w:szCs w:val="22"/>
              </w:rPr>
              <w:sym w:font="Wingdings" w:char="F06C"/>
            </w:r>
          </w:p>
        </w:tc>
      </w:tr>
      <w:tr w:rsidR="009709C2" w:rsidRPr="00A859F2" w14:paraId="592441F8" w14:textId="77777777" w:rsidTr="00394CA8">
        <w:tc>
          <w:tcPr>
            <w:tcW w:w="1440" w:type="pct"/>
            <w:shd w:val="clear" w:color="auto" w:fill="auto"/>
            <w:tcMar>
              <w:top w:w="57" w:type="dxa"/>
              <w:bottom w:w="113" w:type="dxa"/>
            </w:tcMar>
          </w:tcPr>
          <w:p w14:paraId="3D015C24"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7838ADD6" w14:textId="77777777" w:rsidR="009709C2" w:rsidRPr="00A859F2" w:rsidRDefault="009709C2" w:rsidP="00394CA8">
            <w:pPr>
              <w:rPr>
                <w:sz w:val="16"/>
                <w:szCs w:val="16"/>
              </w:rPr>
            </w:pPr>
            <w:r w:rsidRPr="00A859F2">
              <w:rPr>
                <w:sz w:val="16"/>
                <w:szCs w:val="16"/>
              </w:rPr>
              <w:t>Nombre de pays ayant ratifié le Traité de Marrakech ou y ayant adhéré</w:t>
            </w:r>
          </w:p>
        </w:tc>
        <w:tc>
          <w:tcPr>
            <w:tcW w:w="838" w:type="pct"/>
            <w:shd w:val="clear" w:color="auto" w:fill="auto"/>
            <w:tcMar>
              <w:top w:w="57" w:type="dxa"/>
              <w:bottom w:w="0" w:type="dxa"/>
            </w:tcMar>
          </w:tcPr>
          <w:p w14:paraId="3171E600" w14:textId="77777777" w:rsidR="009709C2" w:rsidRPr="00DE67EE" w:rsidRDefault="009709C2" w:rsidP="00394CA8">
            <w:pPr>
              <w:spacing w:before="40"/>
              <w:jc w:val="center"/>
              <w:rPr>
                <w:sz w:val="16"/>
                <w:szCs w:val="16"/>
              </w:rPr>
            </w:pPr>
            <w:r w:rsidRPr="00DE67EE">
              <w:rPr>
                <w:sz w:val="16"/>
                <w:szCs w:val="16"/>
              </w:rPr>
              <w:t>Programme 3</w:t>
            </w:r>
          </w:p>
        </w:tc>
        <w:tc>
          <w:tcPr>
            <w:tcW w:w="686" w:type="pct"/>
            <w:shd w:val="clear" w:color="auto" w:fill="auto"/>
            <w:tcMar>
              <w:top w:w="57" w:type="dxa"/>
            </w:tcMar>
          </w:tcPr>
          <w:p w14:paraId="79916031" w14:textId="77777777" w:rsidR="009709C2" w:rsidRPr="00A859F2" w:rsidRDefault="009709C2" w:rsidP="00394CA8">
            <w:pPr>
              <w:jc w:val="center"/>
            </w:pPr>
            <w:r w:rsidRPr="00A859F2">
              <w:rPr>
                <w:color w:val="00B050"/>
                <w:szCs w:val="22"/>
              </w:rPr>
              <w:sym w:font="Wingdings" w:char="F06C"/>
            </w:r>
          </w:p>
        </w:tc>
      </w:tr>
      <w:tr w:rsidR="009709C2" w:rsidRPr="00A859F2" w14:paraId="6BD34C7C" w14:textId="77777777" w:rsidTr="00394CA8">
        <w:tc>
          <w:tcPr>
            <w:tcW w:w="1440" w:type="pct"/>
            <w:shd w:val="clear" w:color="auto" w:fill="auto"/>
            <w:tcMar>
              <w:top w:w="57" w:type="dxa"/>
              <w:bottom w:w="113" w:type="dxa"/>
            </w:tcMar>
          </w:tcPr>
          <w:p w14:paraId="5F039ED5"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28F1461E" w14:textId="77777777" w:rsidR="009709C2" w:rsidRPr="00A859F2" w:rsidRDefault="009709C2" w:rsidP="00394CA8">
            <w:pPr>
              <w:rPr>
                <w:sz w:val="16"/>
                <w:szCs w:val="16"/>
              </w:rPr>
            </w:pPr>
            <w:r w:rsidRPr="00A859F2">
              <w:rPr>
                <w:sz w:val="16"/>
                <w:szCs w:val="16"/>
              </w:rPr>
              <w:t>Nombre de ratifications ou d’adhésions relatives aux traités de droit d’auteur en vigueur, notamment la Convention de Berne, la Convention de Rome et les traités Internet</w:t>
            </w:r>
          </w:p>
        </w:tc>
        <w:tc>
          <w:tcPr>
            <w:tcW w:w="838" w:type="pct"/>
            <w:shd w:val="clear" w:color="auto" w:fill="auto"/>
            <w:tcMar>
              <w:top w:w="57" w:type="dxa"/>
              <w:bottom w:w="0" w:type="dxa"/>
            </w:tcMar>
          </w:tcPr>
          <w:p w14:paraId="4B1BC696" w14:textId="77777777" w:rsidR="009709C2" w:rsidRPr="00DE67EE" w:rsidRDefault="009709C2" w:rsidP="00394CA8">
            <w:pPr>
              <w:spacing w:before="40"/>
              <w:jc w:val="center"/>
              <w:rPr>
                <w:sz w:val="16"/>
                <w:szCs w:val="16"/>
              </w:rPr>
            </w:pPr>
            <w:r w:rsidRPr="00DE67EE">
              <w:rPr>
                <w:sz w:val="16"/>
                <w:szCs w:val="16"/>
              </w:rPr>
              <w:t>Programme 3</w:t>
            </w:r>
          </w:p>
        </w:tc>
        <w:tc>
          <w:tcPr>
            <w:tcW w:w="686" w:type="pct"/>
            <w:shd w:val="clear" w:color="auto" w:fill="auto"/>
            <w:tcMar>
              <w:top w:w="57" w:type="dxa"/>
            </w:tcMar>
          </w:tcPr>
          <w:p w14:paraId="039E5298" w14:textId="77777777" w:rsidR="009709C2" w:rsidRPr="00A859F2" w:rsidRDefault="009709C2" w:rsidP="00394CA8">
            <w:pPr>
              <w:jc w:val="center"/>
            </w:pPr>
            <w:r w:rsidRPr="00A859F2">
              <w:rPr>
                <w:color w:val="00B050"/>
                <w:szCs w:val="22"/>
              </w:rPr>
              <w:sym w:font="Wingdings" w:char="F06C"/>
            </w:r>
          </w:p>
        </w:tc>
      </w:tr>
      <w:tr w:rsidR="009709C2" w:rsidRPr="00A859F2" w14:paraId="22EC7411" w14:textId="77777777" w:rsidTr="00394CA8">
        <w:tc>
          <w:tcPr>
            <w:tcW w:w="1440" w:type="pct"/>
            <w:shd w:val="clear" w:color="auto" w:fill="auto"/>
            <w:tcMar>
              <w:top w:w="57" w:type="dxa"/>
              <w:bottom w:w="113" w:type="dxa"/>
            </w:tcMar>
          </w:tcPr>
          <w:p w14:paraId="242A24E3"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7FD5EB42" w14:textId="77777777" w:rsidR="009709C2" w:rsidRPr="00A859F2" w:rsidRDefault="009709C2" w:rsidP="00394CA8">
            <w:pPr>
              <w:rPr>
                <w:sz w:val="16"/>
                <w:szCs w:val="16"/>
              </w:rPr>
            </w:pPr>
            <w:r w:rsidRPr="00A859F2">
              <w:rPr>
                <w:sz w:val="16"/>
                <w:szCs w:val="16"/>
              </w:rPr>
              <w:t>Nombre ou pourcentage de pays ayant donné un retour d’information positif sur les conseils fournis par l’OMPI dans le domaine législatif et de la politique générale</w:t>
            </w:r>
          </w:p>
        </w:tc>
        <w:tc>
          <w:tcPr>
            <w:tcW w:w="838" w:type="pct"/>
            <w:shd w:val="clear" w:color="auto" w:fill="auto"/>
            <w:tcMar>
              <w:top w:w="57" w:type="dxa"/>
              <w:bottom w:w="0" w:type="dxa"/>
            </w:tcMar>
          </w:tcPr>
          <w:p w14:paraId="4CAF382A" w14:textId="77777777" w:rsidR="009709C2" w:rsidRPr="00DE67EE" w:rsidRDefault="009709C2" w:rsidP="00394CA8">
            <w:pPr>
              <w:spacing w:before="40"/>
              <w:jc w:val="center"/>
              <w:rPr>
                <w:sz w:val="16"/>
                <w:szCs w:val="16"/>
              </w:rPr>
            </w:pPr>
            <w:r w:rsidRPr="00DE67EE">
              <w:rPr>
                <w:sz w:val="16"/>
                <w:szCs w:val="16"/>
              </w:rPr>
              <w:t>Programme 9</w:t>
            </w:r>
          </w:p>
        </w:tc>
        <w:tc>
          <w:tcPr>
            <w:tcW w:w="686" w:type="pct"/>
            <w:shd w:val="clear" w:color="auto" w:fill="auto"/>
            <w:tcMar>
              <w:top w:w="57" w:type="dxa"/>
            </w:tcMar>
          </w:tcPr>
          <w:p w14:paraId="790A8064" w14:textId="77777777" w:rsidR="009709C2" w:rsidRPr="00A859F2" w:rsidRDefault="009709C2" w:rsidP="00394CA8">
            <w:pPr>
              <w:jc w:val="center"/>
            </w:pPr>
            <w:r w:rsidRPr="00A859F2">
              <w:rPr>
                <w:color w:val="00B050"/>
                <w:szCs w:val="22"/>
              </w:rPr>
              <w:sym w:font="Wingdings" w:char="F06C"/>
            </w:r>
          </w:p>
        </w:tc>
      </w:tr>
      <w:tr w:rsidR="009709C2" w:rsidRPr="00A859F2" w14:paraId="150B967C" w14:textId="77777777" w:rsidTr="00394CA8">
        <w:trPr>
          <w:trHeight w:val="20"/>
        </w:trPr>
        <w:tc>
          <w:tcPr>
            <w:tcW w:w="1440" w:type="pct"/>
            <w:shd w:val="clear" w:color="auto" w:fill="auto"/>
            <w:tcMar>
              <w:top w:w="57" w:type="dxa"/>
              <w:bottom w:w="113" w:type="dxa"/>
            </w:tcMar>
          </w:tcPr>
          <w:p w14:paraId="642D6DB1"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3DD5FE03" w14:textId="77777777" w:rsidR="009709C2" w:rsidRPr="00A859F2" w:rsidRDefault="009709C2" w:rsidP="00394CA8">
            <w:pPr>
              <w:rPr>
                <w:sz w:val="16"/>
                <w:szCs w:val="16"/>
              </w:rPr>
            </w:pPr>
            <w:r w:rsidRPr="00A859F2">
              <w:rPr>
                <w:sz w:val="16"/>
                <w:szCs w:val="16"/>
              </w:rPr>
              <w:t>Nombre de ratifications de traités administrés par l’OMPI</w:t>
            </w:r>
          </w:p>
        </w:tc>
        <w:tc>
          <w:tcPr>
            <w:tcW w:w="838" w:type="pct"/>
            <w:shd w:val="clear" w:color="auto" w:fill="auto"/>
            <w:tcMar>
              <w:top w:w="57" w:type="dxa"/>
              <w:bottom w:w="0" w:type="dxa"/>
            </w:tcMar>
          </w:tcPr>
          <w:p w14:paraId="557E8358" w14:textId="77777777" w:rsidR="009709C2" w:rsidRPr="00DE67EE" w:rsidRDefault="009709C2" w:rsidP="00394CA8">
            <w:pPr>
              <w:spacing w:before="40"/>
              <w:jc w:val="center"/>
              <w:rPr>
                <w:sz w:val="16"/>
                <w:szCs w:val="16"/>
              </w:rPr>
            </w:pPr>
            <w:r w:rsidRPr="00DE67EE">
              <w:rPr>
                <w:sz w:val="16"/>
                <w:szCs w:val="16"/>
              </w:rPr>
              <w:t>Programme 10</w:t>
            </w:r>
          </w:p>
        </w:tc>
        <w:tc>
          <w:tcPr>
            <w:tcW w:w="686" w:type="pct"/>
            <w:shd w:val="clear" w:color="auto" w:fill="auto"/>
            <w:tcMar>
              <w:top w:w="57" w:type="dxa"/>
            </w:tcMar>
          </w:tcPr>
          <w:p w14:paraId="7181A108" w14:textId="77777777" w:rsidR="009709C2" w:rsidRPr="00A859F2" w:rsidRDefault="009709C2" w:rsidP="00394CA8">
            <w:pPr>
              <w:jc w:val="center"/>
            </w:pPr>
            <w:r w:rsidRPr="00A859F2">
              <w:rPr>
                <w:color w:val="00B050"/>
                <w:szCs w:val="22"/>
              </w:rPr>
              <w:sym w:font="Wingdings" w:char="F06C"/>
            </w:r>
          </w:p>
        </w:tc>
      </w:tr>
      <w:tr w:rsidR="009709C2" w:rsidRPr="00A859F2" w14:paraId="0B8E044C" w14:textId="77777777" w:rsidTr="00394CA8">
        <w:trPr>
          <w:trHeight w:val="41"/>
        </w:trPr>
        <w:tc>
          <w:tcPr>
            <w:tcW w:w="1440" w:type="pct"/>
            <w:shd w:val="clear" w:color="auto" w:fill="auto"/>
            <w:tcMar>
              <w:top w:w="57" w:type="dxa"/>
              <w:bottom w:w="113" w:type="dxa"/>
            </w:tcMar>
          </w:tcPr>
          <w:p w14:paraId="7898E025"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1BDBE820" w14:textId="77777777" w:rsidR="009709C2" w:rsidRPr="00A859F2" w:rsidRDefault="009709C2" w:rsidP="00394CA8">
            <w:pPr>
              <w:rPr>
                <w:sz w:val="16"/>
                <w:szCs w:val="16"/>
              </w:rPr>
            </w:pPr>
            <w:r w:rsidRPr="00A859F2">
              <w:rPr>
                <w:sz w:val="16"/>
                <w:szCs w:val="16"/>
              </w:rPr>
              <w:t>Nombre de pays en transition ayant actualisé leurs lois et réglementations</w:t>
            </w:r>
          </w:p>
        </w:tc>
        <w:tc>
          <w:tcPr>
            <w:tcW w:w="838" w:type="pct"/>
            <w:shd w:val="clear" w:color="auto" w:fill="auto"/>
            <w:tcMar>
              <w:top w:w="57" w:type="dxa"/>
              <w:bottom w:w="0" w:type="dxa"/>
            </w:tcMar>
          </w:tcPr>
          <w:p w14:paraId="5E64D0B1" w14:textId="77777777" w:rsidR="009709C2" w:rsidRPr="00DE67EE" w:rsidRDefault="009709C2" w:rsidP="00394CA8">
            <w:pPr>
              <w:spacing w:before="40"/>
              <w:jc w:val="center"/>
              <w:rPr>
                <w:sz w:val="16"/>
                <w:szCs w:val="16"/>
              </w:rPr>
            </w:pPr>
            <w:r w:rsidRPr="00DE67EE">
              <w:rPr>
                <w:sz w:val="16"/>
                <w:szCs w:val="16"/>
              </w:rPr>
              <w:t>Programme 10</w:t>
            </w:r>
          </w:p>
        </w:tc>
        <w:tc>
          <w:tcPr>
            <w:tcW w:w="686" w:type="pct"/>
            <w:shd w:val="clear" w:color="auto" w:fill="auto"/>
            <w:tcMar>
              <w:top w:w="57" w:type="dxa"/>
            </w:tcMar>
          </w:tcPr>
          <w:p w14:paraId="5CA6F190" w14:textId="77777777" w:rsidR="009709C2" w:rsidRPr="00A859F2" w:rsidRDefault="009709C2" w:rsidP="00394CA8">
            <w:pPr>
              <w:jc w:val="center"/>
            </w:pPr>
            <w:r w:rsidRPr="00A859F2">
              <w:rPr>
                <w:color w:val="00B050"/>
                <w:szCs w:val="22"/>
              </w:rPr>
              <w:sym w:font="Wingdings" w:char="F06C"/>
            </w:r>
          </w:p>
        </w:tc>
      </w:tr>
      <w:tr w:rsidR="009709C2" w:rsidRPr="00A859F2" w14:paraId="707BFEB1" w14:textId="77777777" w:rsidTr="00394CA8">
        <w:tc>
          <w:tcPr>
            <w:tcW w:w="1440" w:type="pct"/>
            <w:shd w:val="clear" w:color="auto" w:fill="auto"/>
            <w:tcMar>
              <w:top w:w="57" w:type="dxa"/>
              <w:bottom w:w="113" w:type="dxa"/>
            </w:tcMar>
          </w:tcPr>
          <w:p w14:paraId="6247890F"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6D620027" w14:textId="77777777" w:rsidR="009709C2" w:rsidRPr="00A859F2" w:rsidRDefault="009709C2" w:rsidP="00394CA8">
            <w:pPr>
              <w:rPr>
                <w:sz w:val="16"/>
                <w:szCs w:val="16"/>
              </w:rPr>
            </w:pPr>
            <w:r w:rsidRPr="00A859F2">
              <w:rPr>
                <w:sz w:val="16"/>
                <w:szCs w:val="16"/>
              </w:rPr>
              <w:t>Nombre de pays ayant adopté ou mis en œuvre une stratégie nationale de promotion du respect de la propriété intellectuelle, ou étant engagés dans un tel processus, avec l’assistance de l’OMPI</w:t>
            </w:r>
          </w:p>
        </w:tc>
        <w:tc>
          <w:tcPr>
            <w:tcW w:w="838" w:type="pct"/>
            <w:shd w:val="clear" w:color="auto" w:fill="auto"/>
            <w:tcMar>
              <w:top w:w="57" w:type="dxa"/>
              <w:bottom w:w="0" w:type="dxa"/>
            </w:tcMar>
          </w:tcPr>
          <w:p w14:paraId="63ACD419" w14:textId="77777777" w:rsidR="009709C2" w:rsidRPr="00DE67EE" w:rsidRDefault="009709C2" w:rsidP="00394CA8">
            <w:pPr>
              <w:spacing w:before="40"/>
              <w:jc w:val="center"/>
              <w:rPr>
                <w:sz w:val="16"/>
                <w:szCs w:val="16"/>
              </w:rPr>
            </w:pPr>
            <w:r w:rsidRPr="00DE67EE">
              <w:rPr>
                <w:sz w:val="16"/>
                <w:szCs w:val="16"/>
              </w:rPr>
              <w:t>Programme</w:t>
            </w:r>
            <w:r>
              <w:rPr>
                <w:sz w:val="16"/>
                <w:szCs w:val="16"/>
              </w:rPr>
              <w:t> </w:t>
            </w:r>
            <w:r w:rsidRPr="00DE67EE">
              <w:rPr>
                <w:sz w:val="16"/>
                <w:szCs w:val="16"/>
              </w:rPr>
              <w:t>17</w:t>
            </w:r>
          </w:p>
        </w:tc>
        <w:tc>
          <w:tcPr>
            <w:tcW w:w="686" w:type="pct"/>
            <w:shd w:val="clear" w:color="auto" w:fill="auto"/>
            <w:tcMar>
              <w:top w:w="57" w:type="dxa"/>
            </w:tcMar>
          </w:tcPr>
          <w:p w14:paraId="7851AD8D" w14:textId="77777777" w:rsidR="009709C2" w:rsidRPr="00A859F2" w:rsidRDefault="009709C2" w:rsidP="00394CA8">
            <w:pPr>
              <w:jc w:val="center"/>
            </w:pPr>
            <w:r w:rsidRPr="00A859F2">
              <w:rPr>
                <w:color w:val="00B050"/>
                <w:szCs w:val="22"/>
              </w:rPr>
              <w:sym w:font="Wingdings" w:char="F06C"/>
            </w:r>
          </w:p>
        </w:tc>
      </w:tr>
      <w:tr w:rsidR="009709C2" w:rsidRPr="00A859F2" w14:paraId="11320DCA" w14:textId="77777777" w:rsidTr="00394CA8">
        <w:tc>
          <w:tcPr>
            <w:tcW w:w="1440" w:type="pct"/>
            <w:shd w:val="clear" w:color="auto" w:fill="auto"/>
            <w:tcMar>
              <w:top w:w="57" w:type="dxa"/>
              <w:bottom w:w="113" w:type="dxa"/>
            </w:tcMar>
          </w:tcPr>
          <w:p w14:paraId="5FE6D1E5"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350F394D" w14:textId="77777777" w:rsidR="009709C2" w:rsidRPr="00A859F2" w:rsidRDefault="009709C2" w:rsidP="00394CA8">
            <w:pPr>
              <w:rPr>
                <w:sz w:val="16"/>
                <w:szCs w:val="16"/>
              </w:rPr>
            </w:pPr>
            <w:r w:rsidRPr="00A859F2">
              <w:rPr>
                <w:sz w:val="16"/>
                <w:szCs w:val="16"/>
              </w:rPr>
              <w:t>Nombre de pays ou d’organisations régionales ayant adopté ou modifié leurs cadres de référence aux fins de l’application effective des droits de propriété intellectuelle au regard du titre III de l’Accord sur les ADPIC et de la recommandation n° 45 du Plan d’action pour le développement, ou s’apprêtant à le faire, suite à l’assistance fournie par l’OMPI</w:t>
            </w:r>
          </w:p>
        </w:tc>
        <w:tc>
          <w:tcPr>
            <w:tcW w:w="838" w:type="pct"/>
            <w:shd w:val="clear" w:color="auto" w:fill="auto"/>
            <w:tcMar>
              <w:top w:w="57" w:type="dxa"/>
              <w:bottom w:w="0" w:type="dxa"/>
            </w:tcMar>
          </w:tcPr>
          <w:p w14:paraId="24160329" w14:textId="77777777" w:rsidR="009709C2" w:rsidRPr="00DE67EE" w:rsidRDefault="009709C2" w:rsidP="00394CA8">
            <w:pPr>
              <w:spacing w:before="40"/>
              <w:jc w:val="center"/>
              <w:rPr>
                <w:sz w:val="16"/>
                <w:szCs w:val="16"/>
              </w:rPr>
            </w:pPr>
            <w:r w:rsidRPr="00DE67EE">
              <w:rPr>
                <w:sz w:val="16"/>
                <w:szCs w:val="16"/>
              </w:rPr>
              <w:t>Programme</w:t>
            </w:r>
            <w:r>
              <w:rPr>
                <w:sz w:val="16"/>
                <w:szCs w:val="16"/>
              </w:rPr>
              <w:t> </w:t>
            </w:r>
            <w:r w:rsidRPr="00DE67EE">
              <w:rPr>
                <w:sz w:val="16"/>
                <w:szCs w:val="16"/>
              </w:rPr>
              <w:t>17</w:t>
            </w:r>
          </w:p>
        </w:tc>
        <w:tc>
          <w:tcPr>
            <w:tcW w:w="686" w:type="pct"/>
            <w:shd w:val="clear" w:color="auto" w:fill="auto"/>
            <w:tcMar>
              <w:top w:w="57" w:type="dxa"/>
            </w:tcMar>
          </w:tcPr>
          <w:p w14:paraId="7B83FA9B" w14:textId="77777777" w:rsidR="009709C2" w:rsidRPr="00A859F2" w:rsidRDefault="009709C2" w:rsidP="00394CA8">
            <w:pPr>
              <w:jc w:val="center"/>
            </w:pPr>
            <w:r w:rsidRPr="00A859F2">
              <w:rPr>
                <w:color w:val="00B050"/>
                <w:szCs w:val="22"/>
              </w:rPr>
              <w:sym w:font="Wingdings" w:char="F06C"/>
            </w:r>
          </w:p>
        </w:tc>
      </w:tr>
      <w:tr w:rsidR="009709C2" w:rsidRPr="00A859F2" w14:paraId="1CB63B3C" w14:textId="77777777" w:rsidTr="00394CA8">
        <w:tc>
          <w:tcPr>
            <w:tcW w:w="1440" w:type="pct"/>
            <w:shd w:val="clear" w:color="auto" w:fill="auto"/>
            <w:tcMar>
              <w:top w:w="57" w:type="dxa"/>
              <w:bottom w:w="113" w:type="dxa"/>
            </w:tcMar>
          </w:tcPr>
          <w:p w14:paraId="4847AD10"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00C71EE0" w14:textId="77777777" w:rsidR="009709C2" w:rsidRPr="00A859F2" w:rsidRDefault="009709C2" w:rsidP="00394CA8">
            <w:pPr>
              <w:rPr>
                <w:sz w:val="16"/>
                <w:szCs w:val="16"/>
              </w:rPr>
            </w:pPr>
            <w:r w:rsidRPr="00A859F2">
              <w:rPr>
                <w:sz w:val="16"/>
                <w:szCs w:val="16"/>
              </w:rPr>
              <w:t>Nombre et éventail de parties prenantes (offices de propriété intellectuelle, services chargés de l’application du droit de la concurrence, organisations intergouvernementales et ONG compétentes) ayant engagé un dialogue avec l’OMPI</w:t>
            </w:r>
          </w:p>
        </w:tc>
        <w:tc>
          <w:tcPr>
            <w:tcW w:w="838" w:type="pct"/>
            <w:shd w:val="clear" w:color="auto" w:fill="auto"/>
            <w:tcMar>
              <w:top w:w="57" w:type="dxa"/>
              <w:bottom w:w="0" w:type="dxa"/>
            </w:tcMar>
          </w:tcPr>
          <w:p w14:paraId="71F8259A" w14:textId="77777777" w:rsidR="009709C2" w:rsidRPr="00DE67EE" w:rsidRDefault="009709C2" w:rsidP="00394CA8">
            <w:pPr>
              <w:spacing w:before="40"/>
              <w:jc w:val="center"/>
              <w:rPr>
                <w:sz w:val="16"/>
                <w:szCs w:val="16"/>
              </w:rPr>
            </w:pPr>
            <w:r w:rsidRPr="00DE67EE">
              <w:rPr>
                <w:sz w:val="16"/>
                <w:szCs w:val="16"/>
              </w:rPr>
              <w:t>Programme 18</w:t>
            </w:r>
          </w:p>
        </w:tc>
        <w:tc>
          <w:tcPr>
            <w:tcW w:w="686" w:type="pct"/>
            <w:shd w:val="clear" w:color="auto" w:fill="auto"/>
            <w:tcMar>
              <w:top w:w="57" w:type="dxa"/>
            </w:tcMar>
          </w:tcPr>
          <w:p w14:paraId="57C787EC" w14:textId="77777777" w:rsidR="009709C2" w:rsidRPr="00A859F2" w:rsidRDefault="009709C2" w:rsidP="00394CA8">
            <w:pPr>
              <w:jc w:val="center"/>
            </w:pPr>
            <w:r w:rsidRPr="00A859F2">
              <w:rPr>
                <w:color w:val="00B050"/>
                <w:szCs w:val="22"/>
              </w:rPr>
              <w:sym w:font="Wingdings" w:char="F06C"/>
            </w:r>
          </w:p>
        </w:tc>
      </w:tr>
      <w:tr w:rsidR="009709C2" w:rsidRPr="00A859F2" w14:paraId="26BFEE44" w14:textId="77777777" w:rsidTr="00394CA8">
        <w:tc>
          <w:tcPr>
            <w:tcW w:w="1440" w:type="pct"/>
            <w:shd w:val="clear" w:color="auto" w:fill="auto"/>
            <w:tcMar>
              <w:top w:w="57" w:type="dxa"/>
              <w:bottom w:w="113" w:type="dxa"/>
            </w:tcMar>
          </w:tcPr>
          <w:p w14:paraId="160B1FC0" w14:textId="77777777" w:rsidR="009709C2" w:rsidRPr="00A859F2" w:rsidRDefault="009709C2" w:rsidP="00394CA8">
            <w:pPr>
              <w:spacing w:after="120"/>
              <w:rPr>
                <w:bCs/>
                <w:sz w:val="16"/>
                <w:szCs w:val="16"/>
              </w:rPr>
            </w:pPr>
          </w:p>
        </w:tc>
        <w:tc>
          <w:tcPr>
            <w:tcW w:w="2036" w:type="pct"/>
            <w:shd w:val="clear" w:color="auto" w:fill="auto"/>
            <w:tcMar>
              <w:top w:w="57" w:type="dxa"/>
              <w:bottom w:w="0" w:type="dxa"/>
            </w:tcMar>
          </w:tcPr>
          <w:p w14:paraId="43CDD002" w14:textId="77777777" w:rsidR="009709C2" w:rsidRPr="00A859F2" w:rsidRDefault="009709C2" w:rsidP="00394CA8">
            <w:pPr>
              <w:rPr>
                <w:sz w:val="16"/>
                <w:szCs w:val="16"/>
              </w:rPr>
            </w:pPr>
            <w:r w:rsidRPr="00A859F2">
              <w:rPr>
                <w:sz w:val="16"/>
                <w:szCs w:val="16"/>
              </w:rPr>
              <w:t>Nombre de pays demandant à l’OMPI une contribution dans le domaine de la propriété intellectuelle en rapport avec des questions relatives à la politique en matière de concurrence</w:t>
            </w:r>
          </w:p>
        </w:tc>
        <w:tc>
          <w:tcPr>
            <w:tcW w:w="838" w:type="pct"/>
            <w:shd w:val="clear" w:color="auto" w:fill="auto"/>
            <w:tcMar>
              <w:top w:w="57" w:type="dxa"/>
              <w:bottom w:w="0" w:type="dxa"/>
            </w:tcMar>
          </w:tcPr>
          <w:p w14:paraId="49B1AC9A" w14:textId="77777777" w:rsidR="009709C2" w:rsidRPr="00DE67EE" w:rsidRDefault="009709C2" w:rsidP="00394CA8">
            <w:pPr>
              <w:spacing w:before="40"/>
              <w:jc w:val="center"/>
              <w:rPr>
                <w:sz w:val="16"/>
                <w:szCs w:val="16"/>
              </w:rPr>
            </w:pPr>
            <w:r w:rsidRPr="00DE67EE">
              <w:rPr>
                <w:sz w:val="16"/>
                <w:szCs w:val="16"/>
              </w:rPr>
              <w:t>Programme 18</w:t>
            </w:r>
          </w:p>
        </w:tc>
        <w:tc>
          <w:tcPr>
            <w:tcW w:w="686" w:type="pct"/>
            <w:shd w:val="clear" w:color="auto" w:fill="auto"/>
            <w:tcMar>
              <w:top w:w="57" w:type="dxa"/>
            </w:tcMar>
          </w:tcPr>
          <w:p w14:paraId="40375B8C" w14:textId="77777777" w:rsidR="009709C2" w:rsidRPr="00A859F2" w:rsidRDefault="009709C2" w:rsidP="00394CA8">
            <w:pPr>
              <w:spacing w:after="120"/>
              <w:jc w:val="center"/>
              <w:rPr>
                <w:b/>
                <w:bCs/>
                <w:sz w:val="16"/>
                <w:szCs w:val="16"/>
              </w:rPr>
            </w:pPr>
            <w:r w:rsidRPr="00A859F2">
              <w:rPr>
                <w:color w:val="FF0000"/>
                <w:szCs w:val="22"/>
              </w:rPr>
              <w:sym w:font="Wingdings" w:char="F06C"/>
            </w:r>
          </w:p>
        </w:tc>
      </w:tr>
      <w:tr w:rsidR="009709C2" w:rsidRPr="00A859F2" w14:paraId="3F360F87" w14:textId="77777777" w:rsidTr="00394CA8">
        <w:trPr>
          <w:trHeight w:val="663"/>
        </w:trPr>
        <w:tc>
          <w:tcPr>
            <w:tcW w:w="1440" w:type="pct"/>
            <w:shd w:val="clear" w:color="auto" w:fill="auto"/>
            <w:tcMar>
              <w:top w:w="57" w:type="dxa"/>
              <w:bottom w:w="113" w:type="dxa"/>
            </w:tcMar>
          </w:tcPr>
          <w:p w14:paraId="2C246977" w14:textId="77777777" w:rsidR="009709C2" w:rsidRPr="00A859F2" w:rsidRDefault="009709C2" w:rsidP="00394CA8">
            <w:pPr>
              <w:rPr>
                <w:sz w:val="16"/>
                <w:szCs w:val="16"/>
              </w:rPr>
            </w:pPr>
            <w:r w:rsidRPr="00A859F2">
              <w:rPr>
                <w:sz w:val="16"/>
                <w:szCs w:val="16"/>
              </w:rPr>
              <w:lastRenderedPageBreak/>
              <w:t>I.3 Protection renforcée des emblèmes d’États et des noms et emblèmes d’organisations internationales intergouvernementales</w:t>
            </w:r>
          </w:p>
        </w:tc>
        <w:tc>
          <w:tcPr>
            <w:tcW w:w="2036" w:type="pct"/>
            <w:shd w:val="clear" w:color="auto" w:fill="auto"/>
            <w:tcMar>
              <w:top w:w="57" w:type="dxa"/>
              <w:bottom w:w="113" w:type="dxa"/>
            </w:tcMar>
          </w:tcPr>
          <w:p w14:paraId="0BEECE01" w14:textId="77777777" w:rsidR="009709C2" w:rsidRPr="00A859F2" w:rsidRDefault="009709C2" w:rsidP="00394CA8">
            <w:pPr>
              <w:rPr>
                <w:sz w:val="16"/>
                <w:szCs w:val="16"/>
              </w:rPr>
            </w:pPr>
            <w:r w:rsidRPr="00A859F2">
              <w:rPr>
                <w:sz w:val="16"/>
                <w:szCs w:val="16"/>
              </w:rPr>
              <w:t>Nombre de signes contenus dans la base de données relative à l’article 6</w:t>
            </w:r>
            <w:r w:rsidRPr="00A859F2">
              <w:rPr>
                <w:i/>
                <w:sz w:val="16"/>
                <w:szCs w:val="16"/>
              </w:rPr>
              <w:t>ter</w:t>
            </w:r>
          </w:p>
        </w:tc>
        <w:tc>
          <w:tcPr>
            <w:tcW w:w="838" w:type="pct"/>
            <w:shd w:val="clear" w:color="auto" w:fill="auto"/>
            <w:tcMar>
              <w:top w:w="57" w:type="dxa"/>
              <w:bottom w:w="0" w:type="dxa"/>
            </w:tcMar>
          </w:tcPr>
          <w:p w14:paraId="6361B2AF" w14:textId="77777777" w:rsidR="009709C2" w:rsidRPr="00DE67EE" w:rsidRDefault="009709C2" w:rsidP="00394CA8">
            <w:pPr>
              <w:spacing w:before="40"/>
              <w:jc w:val="center"/>
              <w:rPr>
                <w:sz w:val="16"/>
                <w:szCs w:val="16"/>
              </w:rPr>
            </w:pPr>
            <w:r w:rsidRPr="00DE67EE">
              <w:rPr>
                <w:sz w:val="16"/>
                <w:szCs w:val="16"/>
              </w:rPr>
              <w:t>Programme 2</w:t>
            </w:r>
          </w:p>
        </w:tc>
        <w:tc>
          <w:tcPr>
            <w:tcW w:w="686" w:type="pct"/>
            <w:shd w:val="clear" w:color="auto" w:fill="auto"/>
            <w:tcMar>
              <w:top w:w="57" w:type="dxa"/>
            </w:tcMar>
          </w:tcPr>
          <w:p w14:paraId="3610D7DD" w14:textId="77777777" w:rsidR="009709C2" w:rsidRPr="00A859F2" w:rsidRDefault="009709C2" w:rsidP="00394CA8">
            <w:pPr>
              <w:spacing w:after="120"/>
              <w:jc w:val="center"/>
              <w:rPr>
                <w:b/>
                <w:bCs/>
                <w:sz w:val="16"/>
                <w:szCs w:val="16"/>
              </w:rPr>
            </w:pPr>
            <w:r w:rsidRPr="00A859F2">
              <w:rPr>
                <w:color w:val="00B050"/>
                <w:szCs w:val="22"/>
              </w:rPr>
              <w:sym w:font="Wingdings" w:char="F06C"/>
            </w:r>
          </w:p>
        </w:tc>
      </w:tr>
      <w:tr w:rsidR="009709C2" w:rsidRPr="00A859F2" w14:paraId="250A9E33" w14:textId="77777777" w:rsidTr="00394CA8">
        <w:trPr>
          <w:trHeight w:val="38"/>
        </w:trPr>
        <w:tc>
          <w:tcPr>
            <w:tcW w:w="1440" w:type="pct"/>
            <w:shd w:val="clear" w:color="auto" w:fill="auto"/>
            <w:tcMar>
              <w:top w:w="57" w:type="dxa"/>
              <w:bottom w:w="113" w:type="dxa"/>
            </w:tcMar>
          </w:tcPr>
          <w:p w14:paraId="17FE8A82" w14:textId="77777777" w:rsidR="009709C2" w:rsidRPr="00A859F2" w:rsidRDefault="009709C2" w:rsidP="00394CA8">
            <w:pPr>
              <w:rPr>
                <w:sz w:val="16"/>
                <w:szCs w:val="16"/>
              </w:rPr>
            </w:pPr>
            <w:r w:rsidRPr="00A859F2">
              <w:rPr>
                <w:sz w:val="16"/>
                <w:szCs w:val="16"/>
              </w:rPr>
              <w:t>I.4 Intérêt croissant pour l’OMPI en tant qu’instance d’analyse des questions relatives à la protection internationale des brevets, modèles d’utilité, schémas de configuration (topographies) de circuits intégrés et informations confidentielles</w:t>
            </w:r>
          </w:p>
        </w:tc>
        <w:tc>
          <w:tcPr>
            <w:tcW w:w="2036" w:type="pct"/>
            <w:shd w:val="clear" w:color="auto" w:fill="auto"/>
            <w:tcMar>
              <w:top w:w="57" w:type="dxa"/>
              <w:bottom w:w="113" w:type="dxa"/>
            </w:tcMar>
          </w:tcPr>
          <w:p w14:paraId="1B145640" w14:textId="77777777" w:rsidR="009709C2" w:rsidRPr="00A859F2" w:rsidRDefault="009709C2" w:rsidP="00394CA8">
            <w:pPr>
              <w:rPr>
                <w:sz w:val="16"/>
                <w:szCs w:val="16"/>
              </w:rPr>
            </w:pPr>
            <w:r w:rsidRPr="00A859F2">
              <w:rPr>
                <w:sz w:val="16"/>
                <w:szCs w:val="16"/>
              </w:rPr>
              <w:t>Pourcentage de bénéficiaires ayant trouvé utiles les informations fournies concernant les principes et les pratiques juridiques relatifs à la protection des brevets, modèles d’utilité, schémas de configuration (topographies) de circuits intégrés et renseignements confidentiels</w:t>
            </w:r>
          </w:p>
        </w:tc>
        <w:tc>
          <w:tcPr>
            <w:tcW w:w="838" w:type="pct"/>
            <w:shd w:val="clear" w:color="auto" w:fill="auto"/>
            <w:tcMar>
              <w:top w:w="57" w:type="dxa"/>
              <w:bottom w:w="0" w:type="dxa"/>
            </w:tcMar>
          </w:tcPr>
          <w:p w14:paraId="763D917D" w14:textId="77777777" w:rsidR="009709C2" w:rsidRPr="00DE67EE" w:rsidRDefault="009709C2" w:rsidP="00394CA8">
            <w:pPr>
              <w:spacing w:before="40"/>
              <w:jc w:val="center"/>
              <w:rPr>
                <w:sz w:val="16"/>
                <w:szCs w:val="16"/>
              </w:rPr>
            </w:pPr>
            <w:r w:rsidRPr="00DE67EE">
              <w:rPr>
                <w:sz w:val="16"/>
                <w:szCs w:val="16"/>
              </w:rPr>
              <w:t>Programme 1</w:t>
            </w:r>
          </w:p>
        </w:tc>
        <w:tc>
          <w:tcPr>
            <w:tcW w:w="686" w:type="pct"/>
            <w:shd w:val="clear" w:color="auto" w:fill="auto"/>
            <w:tcMar>
              <w:top w:w="57" w:type="dxa"/>
            </w:tcMar>
          </w:tcPr>
          <w:p w14:paraId="33036A1D" w14:textId="77777777" w:rsidR="009709C2" w:rsidRPr="00A859F2" w:rsidRDefault="009709C2" w:rsidP="00394CA8">
            <w:pPr>
              <w:spacing w:after="120"/>
              <w:jc w:val="center"/>
              <w:rPr>
                <w:b/>
                <w:bCs/>
                <w:sz w:val="16"/>
                <w:szCs w:val="16"/>
              </w:rPr>
            </w:pPr>
            <w:r w:rsidRPr="00A859F2">
              <w:rPr>
                <w:color w:val="00B050"/>
                <w:szCs w:val="22"/>
              </w:rPr>
              <w:sym w:font="Wingdings" w:char="F06C"/>
            </w:r>
          </w:p>
        </w:tc>
      </w:tr>
    </w:tbl>
    <w:p w14:paraId="2363BED4" w14:textId="77777777" w:rsidR="009709C2" w:rsidRPr="00A859F2" w:rsidRDefault="009709C2" w:rsidP="009709C2"/>
    <w:p w14:paraId="449C9C9D" w14:textId="77777777" w:rsidR="009709C2" w:rsidRPr="00A859F2" w:rsidRDefault="009709C2" w:rsidP="009709C2">
      <w:r w:rsidRPr="00A859F2">
        <w:br w:type="page"/>
      </w:r>
    </w:p>
    <w:p w14:paraId="69243B25" w14:textId="245EB3AF" w:rsidR="001F64B1" w:rsidRPr="006658D5" w:rsidRDefault="00F2507C" w:rsidP="006658D5">
      <w:pPr>
        <w:pStyle w:val="Heading3"/>
      </w:pPr>
      <w:bookmarkStart w:id="21" w:name="_Toc482774589"/>
      <w:r w:rsidRPr="006658D5">
        <w:lastRenderedPageBreak/>
        <w:t>Programme</w:t>
      </w:r>
      <w:r w:rsidR="00B4191E" w:rsidRPr="006658D5">
        <w:t> </w:t>
      </w:r>
      <w:r w:rsidRPr="006658D5">
        <w:t>1</w:t>
      </w:r>
      <w:r w:rsidRPr="006658D5">
        <w:tab/>
      </w:r>
      <w:r w:rsidRPr="006658D5">
        <w:rPr>
          <w:bCs/>
          <w:szCs w:val="22"/>
          <w:rtl/>
        </w:rPr>
        <w:t>‏</w:t>
      </w:r>
      <w:r w:rsidRPr="006658D5">
        <w:t>Droit des brevets</w:t>
      </w:r>
      <w:bookmarkEnd w:id="21"/>
    </w:p>
    <w:p w14:paraId="2DFDFBD8" w14:textId="77777777" w:rsidR="001F64B1" w:rsidRPr="001E6DFD" w:rsidRDefault="001F64B1" w:rsidP="00FF3362">
      <w:pPr>
        <w:tabs>
          <w:tab w:val="left" w:pos="2268"/>
        </w:tabs>
        <w:rPr>
          <w:sz w:val="20"/>
        </w:rPr>
      </w:pPr>
    </w:p>
    <w:p w14:paraId="03B35B8C" w14:textId="77777777" w:rsidR="001F64B1" w:rsidRPr="001E6DFD" w:rsidRDefault="00F2507C" w:rsidP="00FF3362">
      <w:pPr>
        <w:tabs>
          <w:tab w:val="left" w:pos="2268"/>
        </w:tabs>
        <w:rPr>
          <w:b/>
          <w:sz w:val="20"/>
          <w:szCs w:val="22"/>
        </w:rPr>
      </w:pPr>
      <w:r w:rsidRPr="001E6DFD">
        <w:rPr>
          <w:b/>
          <w:sz w:val="20"/>
          <w:szCs w:val="22"/>
        </w:rPr>
        <w:t>Chef de programme</w:t>
      </w:r>
      <w:r w:rsidRPr="001E6DFD">
        <w:rPr>
          <w:b/>
          <w:sz w:val="20"/>
          <w:szCs w:val="22"/>
        </w:rPr>
        <w:tab/>
        <w:t>M. J. Sandage</w:t>
      </w:r>
    </w:p>
    <w:p w14:paraId="12CBC7AE" w14:textId="77777777" w:rsidR="001F64B1" w:rsidRPr="001E6DFD" w:rsidRDefault="001F64B1" w:rsidP="0097226C">
      <w:pPr>
        <w:jc w:val="both"/>
        <w:rPr>
          <w:b/>
          <w:sz w:val="20"/>
        </w:rPr>
      </w:pPr>
    </w:p>
    <w:p w14:paraId="2EB80C12" w14:textId="77777777" w:rsidR="001F64B1" w:rsidRPr="001E6DFD" w:rsidRDefault="00A15986" w:rsidP="0097226C">
      <w:pPr>
        <w:jc w:val="center"/>
        <w:rPr>
          <w:b/>
          <w:sz w:val="20"/>
        </w:rPr>
      </w:pPr>
      <w:r w:rsidRPr="001E6DFD">
        <w:rPr>
          <w:noProof/>
          <w:lang w:val="en-US"/>
        </w:rPr>
        <w:drawing>
          <wp:inline distT="0" distB="0" distL="0" distR="0" wp14:anchorId="367079CD" wp14:editId="13FD7E66">
            <wp:extent cx="3963600" cy="273600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p w14:paraId="65B3C84F" w14:textId="77777777" w:rsidR="004F68DA" w:rsidRPr="001E6DFD" w:rsidRDefault="004F68DA" w:rsidP="0097226C">
      <w:pPr>
        <w:jc w:val="both"/>
        <w:rPr>
          <w:b/>
          <w:sz w:val="20"/>
        </w:rPr>
      </w:pPr>
    </w:p>
    <w:tbl>
      <w:tblPr>
        <w:tblW w:w="5000" w:type="pct"/>
        <w:tblCellMar>
          <w:top w:w="57" w:type="dxa"/>
          <w:bottom w:w="57" w:type="dxa"/>
        </w:tblCellMar>
        <w:tblLook w:val="0000" w:firstRow="0" w:lastRow="0" w:firstColumn="0" w:lastColumn="0" w:noHBand="0" w:noVBand="0"/>
      </w:tblPr>
      <w:tblGrid>
        <w:gridCol w:w="1939"/>
        <w:gridCol w:w="2849"/>
        <w:gridCol w:w="809"/>
        <w:gridCol w:w="2540"/>
        <w:gridCol w:w="1050"/>
      </w:tblGrid>
      <w:tr w:rsidR="0039031D" w:rsidRPr="001E6DFD" w14:paraId="6A4B94D4" w14:textId="77777777" w:rsidTr="00A15986">
        <w:tc>
          <w:tcPr>
            <w:tcW w:w="5000" w:type="pct"/>
            <w:gridSpan w:val="5"/>
            <w:shd w:val="clear" w:color="auto" w:fill="C6D9F1" w:themeFill="text2" w:themeFillTint="33"/>
            <w:tcMar>
              <w:left w:w="58" w:type="dxa"/>
              <w:right w:w="58" w:type="dxa"/>
            </w:tcMar>
            <w:vAlign w:val="center"/>
          </w:tcPr>
          <w:p w14:paraId="3D185A43" w14:textId="2368B2D6" w:rsidR="00257E36" w:rsidRPr="001E6DFD" w:rsidRDefault="00D91044" w:rsidP="0097226C">
            <w:pPr>
              <w:rPr>
                <w:b/>
                <w:bCs/>
                <w:sz w:val="16"/>
                <w:szCs w:val="16"/>
              </w:rPr>
            </w:pPr>
            <w:r w:rsidRPr="001E6DFD">
              <w:rPr>
                <w:b/>
                <w:sz w:val="16"/>
                <w:szCs w:val="16"/>
                <w:lang w:bidi="th-TH"/>
              </w:rPr>
              <w:t>Résultat escompté</w:t>
            </w:r>
            <w:r w:rsidR="00FA22F6" w:rsidRPr="001E6DFD">
              <w:rPr>
                <w:b/>
                <w:sz w:val="16"/>
                <w:szCs w:val="16"/>
                <w:lang w:bidi="th-TH"/>
              </w:rPr>
              <w:t> :</w:t>
            </w:r>
            <w:r w:rsidRPr="001E6DFD">
              <w:rPr>
                <w:sz w:val="16"/>
                <w:szCs w:val="16"/>
                <w:lang w:bidi="th-TH"/>
              </w:rPr>
              <w:t xml:space="preserve"> I.1 Renforcement de la coopération entre les États membres en ce qui concerne l</w:t>
            </w:r>
            <w:r w:rsidR="00FA22F6" w:rsidRPr="001E6DFD">
              <w:rPr>
                <w:sz w:val="16"/>
                <w:szCs w:val="16"/>
                <w:lang w:bidi="th-TH"/>
              </w:rPr>
              <w:t>’</w:t>
            </w:r>
            <w:r w:rsidRPr="001E6DFD">
              <w:rPr>
                <w:sz w:val="16"/>
                <w:szCs w:val="16"/>
                <w:lang w:bidi="th-TH"/>
              </w:rPr>
              <w:t>élaboration de cadres normatifs internationaux équilibrés dans le domaine de la propriété intellectuelle</w:t>
            </w:r>
            <w:r w:rsidR="00257E36" w:rsidRPr="001E6DFD">
              <w:rPr>
                <w:sz w:val="16"/>
                <w:szCs w:val="16"/>
                <w:lang w:bidi="th-TH"/>
              </w:rPr>
              <w:t xml:space="preserve"> </w:t>
            </w:r>
          </w:p>
        </w:tc>
      </w:tr>
      <w:tr w:rsidR="0039031D" w:rsidRPr="001E6DFD" w14:paraId="00F6E02A" w14:textId="77777777" w:rsidTr="00A15986">
        <w:tc>
          <w:tcPr>
            <w:tcW w:w="1087" w:type="pct"/>
            <w:shd w:val="clear" w:color="auto" w:fill="auto"/>
            <w:tcMar>
              <w:left w:w="58" w:type="dxa"/>
              <w:right w:w="58" w:type="dxa"/>
            </w:tcMar>
            <w:vAlign w:val="center"/>
          </w:tcPr>
          <w:p w14:paraId="709976B5" w14:textId="0AF19272" w:rsidR="00257E36" w:rsidRPr="001E6DFD" w:rsidRDefault="00D91044"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82" w:type="pct"/>
            <w:shd w:val="clear" w:color="auto" w:fill="auto"/>
            <w:tcMar>
              <w:left w:w="58" w:type="dxa"/>
              <w:right w:w="58" w:type="dxa"/>
            </w:tcMar>
            <w:vAlign w:val="center"/>
          </w:tcPr>
          <w:p w14:paraId="4A6BFAF5" w14:textId="77777777" w:rsidR="00257E36" w:rsidRPr="001E6DFD" w:rsidRDefault="00D91044" w:rsidP="0097226C">
            <w:pPr>
              <w:jc w:val="center"/>
              <w:rPr>
                <w:b/>
                <w:bCs/>
                <w:sz w:val="16"/>
                <w:szCs w:val="16"/>
              </w:rPr>
            </w:pPr>
            <w:r w:rsidRPr="001E6DFD">
              <w:rPr>
                <w:b/>
                <w:bCs/>
                <w:sz w:val="16"/>
                <w:szCs w:val="16"/>
              </w:rPr>
              <w:t>Niveaux de référence</w:t>
            </w:r>
          </w:p>
        </w:tc>
        <w:tc>
          <w:tcPr>
            <w:tcW w:w="472" w:type="pct"/>
            <w:shd w:val="clear" w:color="auto" w:fill="auto"/>
            <w:tcMar>
              <w:top w:w="110" w:type="dxa"/>
              <w:left w:w="58" w:type="dxa"/>
              <w:right w:w="58" w:type="dxa"/>
            </w:tcMar>
            <w:vAlign w:val="center"/>
          </w:tcPr>
          <w:p w14:paraId="2B8776ED" w14:textId="77777777" w:rsidR="00257E36" w:rsidRPr="001E6DFD" w:rsidRDefault="00D91044" w:rsidP="0097226C">
            <w:pPr>
              <w:tabs>
                <w:tab w:val="left" w:pos="290"/>
              </w:tabs>
              <w:jc w:val="center"/>
              <w:rPr>
                <w:b/>
                <w:bCs/>
                <w:sz w:val="16"/>
                <w:szCs w:val="16"/>
              </w:rPr>
            </w:pPr>
            <w:r w:rsidRPr="001E6DFD">
              <w:rPr>
                <w:b/>
                <w:bCs/>
                <w:sz w:val="16"/>
                <w:szCs w:val="16"/>
              </w:rPr>
              <w:t>Objectifs visés</w:t>
            </w:r>
          </w:p>
        </w:tc>
        <w:tc>
          <w:tcPr>
            <w:tcW w:w="1414" w:type="pct"/>
            <w:shd w:val="clear" w:color="auto" w:fill="FFFFFF"/>
            <w:tcMar>
              <w:top w:w="110" w:type="dxa"/>
              <w:left w:w="58" w:type="dxa"/>
              <w:right w:w="58" w:type="dxa"/>
            </w:tcMar>
            <w:vAlign w:val="center"/>
          </w:tcPr>
          <w:p w14:paraId="06EA277C" w14:textId="3D2C7441" w:rsidR="00257E36" w:rsidRPr="001E6DFD" w:rsidRDefault="00D91044"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45" w:type="pct"/>
            <w:shd w:val="clear" w:color="auto" w:fill="auto"/>
            <w:tcMar>
              <w:top w:w="110" w:type="dxa"/>
              <w:left w:w="58" w:type="dxa"/>
              <w:right w:w="58" w:type="dxa"/>
            </w:tcMar>
            <w:vAlign w:val="center"/>
          </w:tcPr>
          <w:p w14:paraId="5FF97B2A" w14:textId="33C9517C" w:rsidR="00257E36"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39031D" w:rsidRPr="001E6DFD" w14:paraId="01C78DDB" w14:textId="77777777" w:rsidTr="00A15986">
        <w:tc>
          <w:tcPr>
            <w:tcW w:w="1087" w:type="pct"/>
            <w:shd w:val="clear" w:color="auto" w:fill="auto"/>
            <w:tcMar>
              <w:left w:w="58" w:type="dxa"/>
              <w:right w:w="58" w:type="dxa"/>
            </w:tcMar>
          </w:tcPr>
          <w:p w14:paraId="1A025FEF" w14:textId="2E75B4DC" w:rsidR="00257E36" w:rsidRPr="001E6DFD" w:rsidRDefault="00D91044" w:rsidP="0097226C">
            <w:pPr>
              <w:keepNext/>
              <w:keepLines/>
              <w:ind w:right="176"/>
              <w:rPr>
                <w:sz w:val="16"/>
                <w:szCs w:val="16"/>
              </w:rPr>
            </w:pPr>
            <w:r w:rsidRPr="001E6DFD">
              <w:rPr>
                <w:sz w:val="16"/>
                <w:szCs w:val="16"/>
              </w:rPr>
              <w:t>État d</w:t>
            </w:r>
            <w:r w:rsidR="00FA22F6" w:rsidRPr="001E6DFD">
              <w:rPr>
                <w:sz w:val="16"/>
                <w:szCs w:val="16"/>
              </w:rPr>
              <w:t>’</w:t>
            </w:r>
            <w:r w:rsidRPr="001E6DFD">
              <w:rPr>
                <w:sz w:val="16"/>
                <w:szCs w:val="16"/>
              </w:rPr>
              <w:t>avancement de la mise en œuvre des travaux convenus selon l</w:t>
            </w:r>
            <w:r w:rsidR="00FA22F6" w:rsidRPr="001E6DFD">
              <w:rPr>
                <w:sz w:val="16"/>
                <w:szCs w:val="16"/>
              </w:rPr>
              <w:t>’</w:t>
            </w:r>
            <w:r w:rsidRPr="001E6DFD">
              <w:rPr>
                <w:sz w:val="16"/>
                <w:szCs w:val="16"/>
              </w:rPr>
              <w:t>ordre du jour</w:t>
            </w:r>
            <w:r w:rsidR="00E54E76" w:rsidRPr="001E6DFD">
              <w:rPr>
                <w:sz w:val="16"/>
                <w:szCs w:val="16"/>
              </w:rPr>
              <w:t xml:space="preserve"> du SCP</w:t>
            </w:r>
          </w:p>
        </w:tc>
        <w:tc>
          <w:tcPr>
            <w:tcW w:w="1582" w:type="pct"/>
            <w:shd w:val="clear" w:color="auto" w:fill="auto"/>
            <w:tcMar>
              <w:left w:w="58" w:type="dxa"/>
              <w:right w:w="58" w:type="dxa"/>
            </w:tcMar>
          </w:tcPr>
          <w:p w14:paraId="682721E6" w14:textId="1B6247E5" w:rsidR="001F64B1" w:rsidRPr="001E6DFD" w:rsidRDefault="00D91044"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404C643C" w14:textId="5C4DBA1E" w:rsidR="001F64B1" w:rsidRPr="001E6DFD" w:rsidRDefault="00EC540A" w:rsidP="0097226C">
            <w:pPr>
              <w:rPr>
                <w:color w:val="002060"/>
                <w:sz w:val="16"/>
                <w:szCs w:val="16"/>
              </w:rPr>
            </w:pPr>
            <w:r w:rsidRPr="001E6DFD">
              <w:rPr>
                <w:color w:val="002060"/>
                <w:sz w:val="16"/>
                <w:szCs w:val="16"/>
              </w:rPr>
              <w:t>Le SCP a concentré ses efforts sur les progrès relatifs aux cinq points inscrits à l</w:t>
            </w:r>
            <w:r w:rsidR="00FA22F6" w:rsidRPr="001E6DFD">
              <w:rPr>
                <w:color w:val="002060"/>
                <w:sz w:val="16"/>
                <w:szCs w:val="16"/>
              </w:rPr>
              <w:t>’</w:t>
            </w:r>
            <w:r w:rsidRPr="001E6DFD">
              <w:rPr>
                <w:color w:val="002060"/>
                <w:sz w:val="16"/>
                <w:szCs w:val="16"/>
              </w:rPr>
              <w:t>ordre du jour de ses sessions et a fait progresser ses débats, par exemple, en préparant des études, en collectant des informations sur les législations et les pratiques nationales et en favorisant les échanges sur les données d</w:t>
            </w:r>
            <w:r w:rsidR="00FA22F6" w:rsidRPr="001E6DFD">
              <w:rPr>
                <w:color w:val="002060"/>
                <w:sz w:val="16"/>
                <w:szCs w:val="16"/>
              </w:rPr>
              <w:t>’</w:t>
            </w:r>
            <w:r w:rsidRPr="001E6DFD">
              <w:rPr>
                <w:color w:val="002060"/>
                <w:sz w:val="16"/>
                <w:szCs w:val="16"/>
              </w:rPr>
              <w:t>expérience nationales entre les États membr</w:t>
            </w:r>
            <w:r w:rsidR="004A4D21" w:rsidRPr="001E6DFD">
              <w:rPr>
                <w:color w:val="002060"/>
                <w:sz w:val="16"/>
                <w:szCs w:val="16"/>
              </w:rPr>
              <w:t>es.  Le</w:t>
            </w:r>
            <w:r w:rsidRPr="001E6DFD">
              <w:rPr>
                <w:color w:val="002060"/>
                <w:sz w:val="16"/>
                <w:szCs w:val="16"/>
              </w:rPr>
              <w:t>s délibérations ont eu lieu sur la base des propositions présentées par les délégations (12) et des documents établis par le Secrétariat (27) au cours de l</w:t>
            </w:r>
            <w:r w:rsidR="00FA22F6" w:rsidRPr="001E6DFD">
              <w:rPr>
                <w:color w:val="002060"/>
                <w:sz w:val="16"/>
                <w:szCs w:val="16"/>
              </w:rPr>
              <w:t>’</w:t>
            </w:r>
            <w:r w:rsidRPr="001E6DFD">
              <w:rPr>
                <w:color w:val="002060"/>
                <w:sz w:val="16"/>
                <w:szCs w:val="16"/>
              </w:rPr>
              <w:t>exercice biennal</w:t>
            </w:r>
          </w:p>
          <w:p w14:paraId="4DAE34B4" w14:textId="77777777" w:rsidR="001F64B1" w:rsidRPr="001E6DFD" w:rsidRDefault="001F64B1" w:rsidP="0097226C">
            <w:pPr>
              <w:rPr>
                <w:sz w:val="16"/>
                <w:szCs w:val="16"/>
              </w:rPr>
            </w:pPr>
          </w:p>
          <w:p w14:paraId="2F28AE3D" w14:textId="7444D8A5" w:rsidR="001F64B1" w:rsidRPr="001E6DFD" w:rsidRDefault="00D91044"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6B133A0" w14:textId="6AE20989" w:rsidR="00257E36" w:rsidRPr="001E6DFD" w:rsidRDefault="00D91044" w:rsidP="0097226C">
            <w:pPr>
              <w:rPr>
                <w:sz w:val="16"/>
                <w:szCs w:val="16"/>
              </w:rPr>
            </w:pPr>
            <w:r w:rsidRPr="001E6DFD">
              <w:rPr>
                <w:sz w:val="16"/>
                <w:szCs w:val="16"/>
              </w:rPr>
              <w:t>État d</w:t>
            </w:r>
            <w:r w:rsidR="00FA22F6" w:rsidRPr="001E6DFD">
              <w:rPr>
                <w:sz w:val="16"/>
                <w:szCs w:val="16"/>
              </w:rPr>
              <w:t>’</w:t>
            </w:r>
            <w:r w:rsidRPr="001E6DFD">
              <w:rPr>
                <w:sz w:val="16"/>
                <w:szCs w:val="16"/>
              </w:rPr>
              <w:t>avancement des travaux menés au sein du comité dans le rapport sur la vingt</w:t>
            </w:r>
            <w:r w:rsidR="00FA22F6" w:rsidRPr="001E6DFD">
              <w:rPr>
                <w:sz w:val="16"/>
                <w:szCs w:val="16"/>
              </w:rPr>
              <w:t> et unième session</w:t>
            </w:r>
            <w:r w:rsidR="00E54E76" w:rsidRPr="001E6DFD">
              <w:rPr>
                <w:sz w:val="16"/>
                <w:szCs w:val="16"/>
              </w:rPr>
              <w:t xml:space="preserve"> du SCP</w:t>
            </w:r>
          </w:p>
        </w:tc>
        <w:tc>
          <w:tcPr>
            <w:tcW w:w="472" w:type="pct"/>
            <w:shd w:val="clear" w:color="auto" w:fill="auto"/>
            <w:tcMar>
              <w:top w:w="110" w:type="dxa"/>
              <w:left w:w="58" w:type="dxa"/>
              <w:right w:w="58" w:type="dxa"/>
            </w:tcMar>
          </w:tcPr>
          <w:p w14:paraId="17165652" w14:textId="77777777" w:rsidR="00257E36" w:rsidRPr="001E6DFD" w:rsidRDefault="00D91044" w:rsidP="0097226C">
            <w:pPr>
              <w:rPr>
                <w:sz w:val="16"/>
                <w:szCs w:val="16"/>
              </w:rPr>
            </w:pPr>
            <w:r w:rsidRPr="001E6DFD">
              <w:rPr>
                <w:sz w:val="16"/>
                <w:szCs w:val="16"/>
              </w:rPr>
              <w:t>Résultats convenus par</w:t>
            </w:r>
            <w:r w:rsidR="00E54E76" w:rsidRPr="001E6DFD">
              <w:rPr>
                <w:sz w:val="16"/>
                <w:szCs w:val="16"/>
              </w:rPr>
              <w:t xml:space="preserve"> le SCP</w:t>
            </w:r>
          </w:p>
        </w:tc>
        <w:tc>
          <w:tcPr>
            <w:tcW w:w="1414" w:type="pct"/>
            <w:shd w:val="clear" w:color="auto" w:fill="FFFFFF"/>
            <w:tcMar>
              <w:top w:w="110" w:type="dxa"/>
              <w:left w:w="58" w:type="dxa"/>
              <w:right w:w="58" w:type="dxa"/>
            </w:tcMar>
          </w:tcPr>
          <w:p w14:paraId="4EFA4F6C" w14:textId="0121F9DC" w:rsidR="00254175" w:rsidRPr="001E6DFD" w:rsidRDefault="00405240" w:rsidP="0097226C">
            <w:pPr>
              <w:rPr>
                <w:sz w:val="16"/>
                <w:szCs w:val="16"/>
                <w:highlight w:val="yellow"/>
              </w:rPr>
            </w:pPr>
            <w:r w:rsidRPr="001E6DFD">
              <w:rPr>
                <w:sz w:val="16"/>
                <w:szCs w:val="16"/>
              </w:rPr>
              <w:t>Le SCP a tenu deux</w:t>
            </w:r>
            <w:r w:rsidR="004D421A" w:rsidRPr="001E6DFD">
              <w:rPr>
                <w:sz w:val="16"/>
                <w:szCs w:val="16"/>
              </w:rPr>
              <w:t> </w:t>
            </w:r>
            <w:r w:rsidRPr="001E6DFD">
              <w:rPr>
                <w:sz w:val="16"/>
                <w:szCs w:val="16"/>
              </w:rPr>
              <w:t xml:space="preserve">sessions </w:t>
            </w:r>
            <w:r w:rsidR="00FA22F6" w:rsidRPr="001E6DFD">
              <w:rPr>
                <w:sz w:val="16"/>
                <w:szCs w:val="16"/>
              </w:rPr>
              <w:t>en 2016</w:t>
            </w:r>
            <w:r w:rsidRPr="001E6DFD">
              <w:rPr>
                <w:sz w:val="16"/>
                <w:szCs w:val="16"/>
              </w:rPr>
              <w:t xml:space="preserve"> (SCP</w:t>
            </w:r>
            <w:r w:rsidR="00B4191E">
              <w:rPr>
                <w:sz w:val="16"/>
                <w:szCs w:val="16"/>
              </w:rPr>
              <w:t> </w:t>
            </w:r>
            <w:r w:rsidRPr="001E6DFD">
              <w:rPr>
                <w:sz w:val="16"/>
                <w:szCs w:val="16"/>
              </w:rPr>
              <w:t>24 et 25).</w:t>
            </w:r>
            <w:r w:rsidR="00507D89" w:rsidRPr="001E6DFD">
              <w:rPr>
                <w:sz w:val="16"/>
                <w:szCs w:val="16"/>
              </w:rPr>
              <w:t xml:space="preserve"> </w:t>
            </w:r>
            <w:r w:rsidR="00883024" w:rsidRPr="001E6DFD">
              <w:rPr>
                <w:sz w:val="16"/>
                <w:szCs w:val="16"/>
              </w:rPr>
              <w:t xml:space="preserve"> </w:t>
            </w:r>
            <w:r w:rsidR="004328C7" w:rsidRPr="001E6DFD">
              <w:rPr>
                <w:sz w:val="16"/>
                <w:szCs w:val="16"/>
              </w:rPr>
              <w:t xml:space="preserve">Les résultats convenus lors des sessions précédentes (SCP/23 </w:t>
            </w:r>
            <w:r w:rsidR="00EC1D7A" w:rsidRPr="001E6DFD">
              <w:rPr>
                <w:i/>
                <w:sz w:val="16"/>
                <w:szCs w:val="16"/>
              </w:rPr>
              <w:t>Résumé présenté par la présidente</w:t>
            </w:r>
            <w:r w:rsidR="004328C7" w:rsidRPr="001E6DFD">
              <w:rPr>
                <w:rStyle w:val="FootnoteReference"/>
                <w:rFonts w:cs="Arial"/>
                <w:szCs w:val="16"/>
              </w:rPr>
              <w:footnoteReference w:id="8"/>
            </w:r>
            <w:r w:rsidR="00EC1D7A" w:rsidRPr="001E6DFD">
              <w:rPr>
                <w:sz w:val="16"/>
                <w:szCs w:val="16"/>
              </w:rPr>
              <w:t xml:space="preserve">, </w:t>
            </w:r>
            <w:r w:rsidR="00FA22F6" w:rsidRPr="001E6DFD">
              <w:rPr>
                <w:sz w:val="16"/>
                <w:szCs w:val="16"/>
              </w:rPr>
              <w:t>paragraphes 2</w:t>
            </w:r>
            <w:r w:rsidR="004328C7" w:rsidRPr="001E6DFD">
              <w:rPr>
                <w:sz w:val="16"/>
                <w:szCs w:val="16"/>
              </w:rPr>
              <w:t>0 et 21 et SCP/24</w:t>
            </w:r>
            <w:r w:rsidR="00EC1D7A" w:rsidRPr="001E6DFD">
              <w:t xml:space="preserve"> </w:t>
            </w:r>
            <w:r w:rsidR="00EC1D7A" w:rsidRPr="001E6DFD">
              <w:rPr>
                <w:i/>
                <w:sz w:val="16"/>
                <w:szCs w:val="16"/>
              </w:rPr>
              <w:t xml:space="preserve">Résumé présenté par la </w:t>
            </w:r>
            <w:r w:rsidR="00E94653" w:rsidRPr="001E6DFD">
              <w:rPr>
                <w:i/>
                <w:sz w:val="16"/>
                <w:szCs w:val="16"/>
              </w:rPr>
              <w:t>présidente</w:t>
            </w:r>
            <w:r w:rsidR="004328C7" w:rsidRPr="001E6DFD">
              <w:rPr>
                <w:rStyle w:val="FootnoteReference"/>
                <w:rFonts w:cs="Arial"/>
                <w:szCs w:val="16"/>
              </w:rPr>
              <w:footnoteReference w:id="9"/>
            </w:r>
            <w:r w:rsidR="00AE4CDA" w:rsidRPr="001E6DFD">
              <w:rPr>
                <w:sz w:val="16"/>
                <w:szCs w:val="16"/>
              </w:rPr>
              <w:t xml:space="preserve">, </w:t>
            </w:r>
            <w:r w:rsidR="00FA22F6" w:rsidRPr="001E6DFD">
              <w:rPr>
                <w:sz w:val="16"/>
                <w:szCs w:val="16"/>
              </w:rPr>
              <w:t>paragraphe 1</w:t>
            </w:r>
            <w:r w:rsidR="004328C7" w:rsidRPr="001E6DFD">
              <w:rPr>
                <w:sz w:val="16"/>
                <w:szCs w:val="16"/>
              </w:rPr>
              <w:t>7) ont été pleinement pris en compte lors des sessions suivantes (SCP/24</w:t>
            </w:r>
            <w:r w:rsidR="004328C7" w:rsidRPr="001E6DFD">
              <w:rPr>
                <w:rStyle w:val="FootnoteReference"/>
                <w:rFonts w:cs="Arial"/>
                <w:szCs w:val="16"/>
              </w:rPr>
              <w:footnoteReference w:id="10"/>
            </w:r>
            <w:r w:rsidR="004328C7" w:rsidRPr="001E6DFD">
              <w:rPr>
                <w:sz w:val="16"/>
                <w:szCs w:val="16"/>
              </w:rPr>
              <w:t xml:space="preserve"> </w:t>
            </w:r>
            <w:r w:rsidR="00AE4CDA" w:rsidRPr="001E6DFD">
              <w:rPr>
                <w:sz w:val="16"/>
                <w:szCs w:val="16"/>
              </w:rPr>
              <w:t>et</w:t>
            </w:r>
            <w:r w:rsidR="004328C7" w:rsidRPr="001E6DFD">
              <w:rPr>
                <w:sz w:val="16"/>
                <w:szCs w:val="16"/>
              </w:rPr>
              <w:t xml:space="preserve"> SCP/25</w:t>
            </w:r>
            <w:r w:rsidR="004328C7" w:rsidRPr="001E6DFD">
              <w:rPr>
                <w:rStyle w:val="FootnoteReference"/>
                <w:rFonts w:cs="Arial"/>
                <w:szCs w:val="16"/>
              </w:rPr>
              <w:footnoteReference w:id="11"/>
            </w:r>
            <w:r w:rsidR="004328C7" w:rsidRPr="001E6DFD">
              <w:rPr>
                <w:sz w:val="16"/>
                <w:szCs w:val="16"/>
              </w:rPr>
              <w:t>)</w:t>
            </w:r>
          </w:p>
        </w:tc>
        <w:tc>
          <w:tcPr>
            <w:tcW w:w="445" w:type="pct"/>
            <w:shd w:val="clear" w:color="auto" w:fill="auto"/>
            <w:tcMar>
              <w:top w:w="110" w:type="dxa"/>
              <w:left w:w="58" w:type="dxa"/>
              <w:right w:w="58" w:type="dxa"/>
            </w:tcMar>
          </w:tcPr>
          <w:p w14:paraId="73C5AE95" w14:textId="77777777" w:rsidR="00257E36" w:rsidRPr="001E6DFD" w:rsidRDefault="00A43B2F" w:rsidP="0097226C">
            <w:pPr>
              <w:keepNext/>
              <w:keepLines/>
              <w:jc w:val="center"/>
              <w:rPr>
                <w:b/>
                <w:color w:val="00B050"/>
                <w:sz w:val="16"/>
                <w:szCs w:val="16"/>
              </w:rPr>
            </w:pPr>
            <w:r w:rsidRPr="001E6DFD">
              <w:rPr>
                <w:b/>
                <w:color w:val="00B050"/>
                <w:sz w:val="16"/>
                <w:szCs w:val="16"/>
              </w:rPr>
              <w:t>En bonne voie</w:t>
            </w:r>
          </w:p>
        </w:tc>
      </w:tr>
      <w:tr w:rsidR="0039031D" w:rsidRPr="001E6DFD" w14:paraId="050D1D8B" w14:textId="77777777" w:rsidTr="00A15986">
        <w:tc>
          <w:tcPr>
            <w:tcW w:w="1087" w:type="pct"/>
            <w:shd w:val="clear" w:color="auto" w:fill="auto"/>
            <w:tcMar>
              <w:left w:w="58" w:type="dxa"/>
              <w:right w:w="58" w:type="dxa"/>
            </w:tcMar>
          </w:tcPr>
          <w:p w14:paraId="5F99CA9F" w14:textId="77777777" w:rsidR="00257E36" w:rsidRPr="001E6DFD" w:rsidRDefault="00D91044" w:rsidP="0097226C">
            <w:pPr>
              <w:ind w:right="176"/>
              <w:rPr>
                <w:sz w:val="16"/>
                <w:szCs w:val="16"/>
              </w:rPr>
            </w:pPr>
            <w:r w:rsidRPr="001E6DFD">
              <w:rPr>
                <w:sz w:val="16"/>
                <w:szCs w:val="16"/>
              </w:rPr>
              <w:t>Niveau de satisfaction des participants des ateliers ou séminaires organisés sur des thèmes spécifiques relatifs aux brevets</w:t>
            </w:r>
            <w:r w:rsidR="00257E36" w:rsidRPr="001E6DFD">
              <w:rPr>
                <w:sz w:val="16"/>
                <w:szCs w:val="16"/>
              </w:rPr>
              <w:t xml:space="preserve"> </w:t>
            </w:r>
          </w:p>
        </w:tc>
        <w:tc>
          <w:tcPr>
            <w:tcW w:w="1582" w:type="pct"/>
            <w:shd w:val="clear" w:color="auto" w:fill="auto"/>
            <w:tcMar>
              <w:left w:w="58" w:type="dxa"/>
              <w:right w:w="58" w:type="dxa"/>
            </w:tcMar>
          </w:tcPr>
          <w:p w14:paraId="29FF1B38" w14:textId="0373E543" w:rsidR="001F64B1" w:rsidRPr="001E6DFD" w:rsidRDefault="00D91044" w:rsidP="0097226C">
            <w:pPr>
              <w:rPr>
                <w:color w:val="002060"/>
                <w:sz w:val="16"/>
                <w:szCs w:val="16"/>
              </w:rPr>
            </w:pPr>
            <w:r w:rsidRPr="001E6DFD">
              <w:rPr>
                <w:i/>
                <w:color w:val="002060"/>
                <w:sz w:val="16"/>
                <w:szCs w:val="16"/>
              </w:rPr>
              <w:t>Niveau de</w:t>
            </w:r>
            <w:r w:rsidR="00E54E76" w:rsidRPr="001E6DFD">
              <w:rPr>
                <w:i/>
                <w:color w:val="002060"/>
                <w:sz w:val="16"/>
                <w:szCs w:val="16"/>
              </w:rPr>
              <w:t xml:space="preserve"> référence actualisé à fin</w:t>
            </w:r>
            <w:r w:rsidR="00B4191E">
              <w:rPr>
                <w:i/>
                <w:color w:val="002060"/>
                <w:sz w:val="16"/>
                <w:szCs w:val="16"/>
              </w:rPr>
              <w:t> </w:t>
            </w:r>
            <w:r w:rsidR="00E54E76" w:rsidRPr="001E6DFD">
              <w:rPr>
                <w:i/>
                <w:color w:val="002060"/>
                <w:sz w:val="16"/>
                <w:szCs w:val="16"/>
              </w:rPr>
              <w:t>2015</w:t>
            </w:r>
            <w:r w:rsidR="00FA22F6" w:rsidRPr="001E6DFD">
              <w:rPr>
                <w:i/>
                <w:color w:val="002060"/>
                <w:sz w:val="16"/>
                <w:szCs w:val="16"/>
              </w:rPr>
              <w:t> :</w:t>
            </w:r>
            <w:r w:rsidR="00E54E76" w:rsidRPr="001E6DFD">
              <w:rPr>
                <w:i/>
                <w:color w:val="002060"/>
                <w:sz w:val="16"/>
                <w:szCs w:val="16"/>
              </w:rPr>
              <w:t xml:space="preserve"> </w:t>
            </w:r>
            <w:r w:rsidR="0066336B" w:rsidRPr="001E6DFD">
              <w:rPr>
                <w:color w:val="002060"/>
                <w:sz w:val="16"/>
                <w:szCs w:val="16"/>
              </w:rPr>
              <w:t>96</w:t>
            </w:r>
            <w:r w:rsidR="00782D1D" w:rsidRPr="001E6DFD">
              <w:rPr>
                <w:color w:val="002060"/>
                <w:sz w:val="16"/>
                <w:szCs w:val="16"/>
              </w:rPr>
              <w:t>,</w:t>
            </w:r>
            <w:r w:rsidR="0066336B" w:rsidRPr="001E6DFD">
              <w:rPr>
                <w:color w:val="002060"/>
                <w:sz w:val="16"/>
                <w:szCs w:val="16"/>
              </w:rPr>
              <w:t>85%</w:t>
            </w:r>
          </w:p>
          <w:p w14:paraId="3AC3FB93" w14:textId="77777777" w:rsidR="001F64B1" w:rsidRPr="001E6DFD" w:rsidRDefault="001F64B1" w:rsidP="0097226C">
            <w:pPr>
              <w:rPr>
                <w:sz w:val="16"/>
                <w:szCs w:val="16"/>
              </w:rPr>
            </w:pPr>
          </w:p>
          <w:p w14:paraId="0B971424" w14:textId="528D395E" w:rsidR="001F64B1" w:rsidRPr="001E6DFD" w:rsidRDefault="00D91044"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DEC6579" w14:textId="77777777" w:rsidR="00257E36" w:rsidRPr="001E6DFD" w:rsidRDefault="00D91044" w:rsidP="0097226C">
            <w:pPr>
              <w:rPr>
                <w:sz w:val="16"/>
                <w:szCs w:val="16"/>
              </w:rPr>
            </w:pPr>
            <w:r w:rsidRPr="001E6DFD">
              <w:rPr>
                <w:sz w:val="16"/>
                <w:szCs w:val="16"/>
              </w:rPr>
              <w:t xml:space="preserve">92,75% – enquête </w:t>
            </w:r>
            <w:r w:rsidR="00E54E76" w:rsidRPr="001E6DFD">
              <w:rPr>
                <w:sz w:val="16"/>
                <w:szCs w:val="16"/>
              </w:rPr>
              <w:t>de 2014</w:t>
            </w:r>
          </w:p>
        </w:tc>
        <w:tc>
          <w:tcPr>
            <w:tcW w:w="472" w:type="pct"/>
            <w:shd w:val="clear" w:color="auto" w:fill="auto"/>
            <w:tcMar>
              <w:top w:w="110" w:type="dxa"/>
              <w:left w:w="58" w:type="dxa"/>
              <w:right w:w="58" w:type="dxa"/>
            </w:tcMar>
          </w:tcPr>
          <w:p w14:paraId="30FD95DF" w14:textId="77777777" w:rsidR="00031C65" w:rsidRPr="001E6DFD" w:rsidRDefault="003232D2" w:rsidP="0097226C">
            <w:pPr>
              <w:rPr>
                <w:sz w:val="16"/>
                <w:szCs w:val="16"/>
                <w:lang w:bidi="th-TH"/>
              </w:rPr>
            </w:pPr>
            <w:r w:rsidRPr="001E6DFD">
              <w:rPr>
                <w:sz w:val="16"/>
                <w:szCs w:val="16"/>
                <w:lang w:bidi="th-TH"/>
              </w:rPr>
              <w:t>9</w:t>
            </w:r>
            <w:r w:rsidR="007760E9" w:rsidRPr="001E6DFD">
              <w:rPr>
                <w:sz w:val="16"/>
                <w:szCs w:val="16"/>
                <w:lang w:bidi="th-TH"/>
              </w:rPr>
              <w:t>0</w:t>
            </w:r>
            <w:r w:rsidRPr="001E6DFD">
              <w:rPr>
                <w:sz w:val="16"/>
                <w:szCs w:val="16"/>
                <w:lang w:bidi="th-TH"/>
              </w:rPr>
              <w:t>%</w:t>
            </w:r>
          </w:p>
        </w:tc>
        <w:tc>
          <w:tcPr>
            <w:tcW w:w="1414" w:type="pct"/>
            <w:shd w:val="clear" w:color="auto" w:fill="FFFFFF"/>
            <w:tcMar>
              <w:top w:w="110" w:type="dxa"/>
              <w:left w:w="58" w:type="dxa"/>
              <w:right w:w="58" w:type="dxa"/>
            </w:tcMar>
          </w:tcPr>
          <w:p w14:paraId="0B6B475C" w14:textId="687833E0" w:rsidR="00257E36" w:rsidRPr="001E6DFD" w:rsidRDefault="00B42F9D" w:rsidP="0097226C">
            <w:pPr>
              <w:keepNext/>
              <w:keepLines/>
              <w:rPr>
                <w:sz w:val="16"/>
                <w:szCs w:val="16"/>
              </w:rPr>
            </w:pPr>
            <w:r w:rsidRPr="001E6DFD">
              <w:rPr>
                <w:sz w:val="16"/>
                <w:szCs w:val="16"/>
              </w:rPr>
              <w:t>89% sur la base de 276</w:t>
            </w:r>
            <w:r w:rsidR="00B4191E">
              <w:rPr>
                <w:sz w:val="16"/>
                <w:szCs w:val="16"/>
              </w:rPr>
              <w:t> </w:t>
            </w:r>
            <w:r w:rsidRPr="001E6DFD">
              <w:rPr>
                <w:sz w:val="16"/>
                <w:szCs w:val="16"/>
              </w:rPr>
              <w:t xml:space="preserve">réponses </w:t>
            </w:r>
            <w:r w:rsidR="002C0E4E" w:rsidRPr="001E6DFD">
              <w:rPr>
                <w:sz w:val="16"/>
                <w:szCs w:val="16"/>
              </w:rPr>
              <w:t>données par les</w:t>
            </w:r>
            <w:r w:rsidRPr="001E6DFD">
              <w:rPr>
                <w:sz w:val="16"/>
                <w:szCs w:val="16"/>
              </w:rPr>
              <w:t xml:space="preserve"> participants </w:t>
            </w:r>
            <w:r w:rsidR="009276C7" w:rsidRPr="001E6DFD">
              <w:rPr>
                <w:sz w:val="16"/>
                <w:szCs w:val="16"/>
              </w:rPr>
              <w:t>de</w:t>
            </w:r>
            <w:r w:rsidRPr="001E6DFD">
              <w:rPr>
                <w:sz w:val="16"/>
                <w:szCs w:val="16"/>
              </w:rPr>
              <w:t xml:space="preserve"> 11</w:t>
            </w:r>
            <w:r w:rsidR="00B4191E">
              <w:rPr>
                <w:sz w:val="16"/>
                <w:szCs w:val="16"/>
              </w:rPr>
              <w:t> </w:t>
            </w:r>
            <w:r w:rsidRPr="001E6DFD">
              <w:rPr>
                <w:sz w:val="16"/>
                <w:szCs w:val="16"/>
              </w:rPr>
              <w:t xml:space="preserve">séminaires </w:t>
            </w:r>
            <w:r w:rsidR="00EA71DE" w:rsidRPr="001E6DFD">
              <w:rPr>
                <w:sz w:val="16"/>
                <w:szCs w:val="16"/>
                <w:lang w:bidi="th-TH"/>
              </w:rPr>
              <w:t>(</w:t>
            </w:r>
            <w:r w:rsidR="004F5E83" w:rsidRPr="001E6DFD">
              <w:rPr>
                <w:sz w:val="16"/>
                <w:szCs w:val="16"/>
                <w:lang w:bidi="th-TH"/>
              </w:rPr>
              <w:t>Afrique (1), pays arabes (1), Asie et Pacifique (</w:t>
            </w:r>
            <w:r w:rsidR="00EA71DE" w:rsidRPr="001E6DFD">
              <w:rPr>
                <w:sz w:val="16"/>
                <w:szCs w:val="16"/>
                <w:lang w:bidi="th-TH"/>
              </w:rPr>
              <w:t>4</w:t>
            </w:r>
            <w:r w:rsidR="004F5E83" w:rsidRPr="001E6DFD">
              <w:rPr>
                <w:sz w:val="16"/>
                <w:szCs w:val="16"/>
                <w:lang w:bidi="th-TH"/>
              </w:rPr>
              <w:t>),</w:t>
            </w:r>
            <w:r w:rsidR="00883024" w:rsidRPr="001E6DFD">
              <w:rPr>
                <w:sz w:val="16"/>
                <w:szCs w:val="16"/>
                <w:lang w:bidi="th-TH"/>
              </w:rPr>
              <w:t xml:space="preserve"> </w:t>
            </w:r>
            <w:r w:rsidR="004F5E83" w:rsidRPr="001E6DFD">
              <w:rPr>
                <w:sz w:val="16"/>
                <w:szCs w:val="16"/>
                <w:lang w:bidi="th-TH"/>
              </w:rPr>
              <w:t>Amérique latine et Caraïbes (</w:t>
            </w:r>
            <w:r w:rsidR="00EA71DE" w:rsidRPr="001E6DFD">
              <w:rPr>
                <w:sz w:val="16"/>
                <w:szCs w:val="16"/>
                <w:lang w:bidi="th-TH"/>
              </w:rPr>
              <w:t>4</w:t>
            </w:r>
            <w:r w:rsidR="004F5E83" w:rsidRPr="001E6DFD">
              <w:rPr>
                <w:sz w:val="16"/>
                <w:szCs w:val="16"/>
                <w:lang w:bidi="th-TH"/>
              </w:rPr>
              <w:t>), autres (1)</w:t>
            </w:r>
            <w:r w:rsidR="00EA71DE" w:rsidRPr="001E6DFD">
              <w:rPr>
                <w:sz w:val="16"/>
                <w:szCs w:val="16"/>
                <w:lang w:bidi="th-TH"/>
              </w:rPr>
              <w:t>)</w:t>
            </w:r>
          </w:p>
        </w:tc>
        <w:tc>
          <w:tcPr>
            <w:tcW w:w="445" w:type="pct"/>
            <w:shd w:val="clear" w:color="auto" w:fill="auto"/>
            <w:tcMar>
              <w:top w:w="110" w:type="dxa"/>
              <w:left w:w="58" w:type="dxa"/>
              <w:right w:w="58" w:type="dxa"/>
            </w:tcMar>
          </w:tcPr>
          <w:p w14:paraId="2D9D4281" w14:textId="77777777" w:rsidR="00257E36" w:rsidRPr="001E6DFD" w:rsidRDefault="00A43B2F" w:rsidP="0097226C">
            <w:pPr>
              <w:keepNext/>
              <w:keepLines/>
              <w:jc w:val="center"/>
              <w:rPr>
                <w:color w:val="00B050"/>
                <w:sz w:val="16"/>
                <w:szCs w:val="16"/>
              </w:rPr>
            </w:pPr>
            <w:r w:rsidRPr="001E6DFD">
              <w:rPr>
                <w:b/>
                <w:color w:val="00B050"/>
                <w:sz w:val="16"/>
                <w:szCs w:val="16"/>
              </w:rPr>
              <w:t>En bonne voie</w:t>
            </w:r>
          </w:p>
        </w:tc>
      </w:tr>
      <w:tr w:rsidR="0039031D" w:rsidRPr="001E6DFD" w14:paraId="6BE531C1" w14:textId="77777777" w:rsidTr="00A15986">
        <w:tc>
          <w:tcPr>
            <w:tcW w:w="1087" w:type="pct"/>
            <w:shd w:val="clear" w:color="auto" w:fill="auto"/>
            <w:tcMar>
              <w:left w:w="58" w:type="dxa"/>
              <w:right w:w="58" w:type="dxa"/>
            </w:tcMar>
          </w:tcPr>
          <w:p w14:paraId="63330655" w14:textId="6FAE4A7C" w:rsidR="009D69C3" w:rsidRPr="001E6DFD" w:rsidRDefault="00D91044" w:rsidP="005506FB">
            <w:pPr>
              <w:keepNext/>
              <w:keepLines/>
              <w:ind w:right="176"/>
              <w:rPr>
                <w:sz w:val="16"/>
                <w:szCs w:val="16"/>
              </w:rPr>
            </w:pPr>
            <w:r w:rsidRPr="001E6DFD">
              <w:rPr>
                <w:sz w:val="16"/>
                <w:szCs w:val="16"/>
              </w:rPr>
              <w:lastRenderedPageBreak/>
              <w:t>Niveau de satisfaction des participants du programme d</w:t>
            </w:r>
            <w:r w:rsidR="00FA22F6" w:rsidRPr="001E6DFD">
              <w:rPr>
                <w:sz w:val="16"/>
                <w:szCs w:val="16"/>
              </w:rPr>
              <w:t>’</w:t>
            </w:r>
            <w:r w:rsidRPr="001E6DFD">
              <w:rPr>
                <w:sz w:val="16"/>
                <w:szCs w:val="16"/>
              </w:rPr>
              <w:t>aide aux inventeurs</w:t>
            </w:r>
          </w:p>
        </w:tc>
        <w:tc>
          <w:tcPr>
            <w:tcW w:w="1582" w:type="pct"/>
            <w:shd w:val="clear" w:color="auto" w:fill="auto"/>
            <w:tcMar>
              <w:left w:w="58" w:type="dxa"/>
              <w:right w:w="58" w:type="dxa"/>
            </w:tcMar>
          </w:tcPr>
          <w:p w14:paraId="3786C47E" w14:textId="762BCB66" w:rsidR="001F64B1" w:rsidRPr="001E6DFD" w:rsidRDefault="00D91044" w:rsidP="005506FB">
            <w:pPr>
              <w:keepNext/>
              <w:keepLines/>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r w:rsidR="00B42F9D" w:rsidRPr="001E6DFD">
              <w:rPr>
                <w:i/>
                <w:color w:val="002060"/>
                <w:sz w:val="16"/>
                <w:szCs w:val="16"/>
              </w:rPr>
              <w:t xml:space="preserve"> </w:t>
            </w:r>
            <w:r w:rsidR="00B42F9D" w:rsidRPr="001E6DFD">
              <w:rPr>
                <w:color w:val="002060"/>
                <w:sz w:val="16"/>
                <w:szCs w:val="16"/>
              </w:rPr>
              <w:t>90% de satisfaction d</w:t>
            </w:r>
            <w:r w:rsidR="00FA22F6" w:rsidRPr="001E6DFD">
              <w:rPr>
                <w:color w:val="002060"/>
                <w:sz w:val="16"/>
                <w:szCs w:val="16"/>
              </w:rPr>
              <w:t>’</w:t>
            </w:r>
            <w:r w:rsidR="00B42F9D" w:rsidRPr="001E6DFD">
              <w:rPr>
                <w:color w:val="002060"/>
                <w:sz w:val="16"/>
                <w:szCs w:val="16"/>
              </w:rPr>
              <w:t>après une enquête réalisée auprès des membres du Comité directeur</w:t>
            </w:r>
          </w:p>
          <w:p w14:paraId="482CF8E7" w14:textId="77777777" w:rsidR="001F64B1" w:rsidRPr="001E6DFD" w:rsidRDefault="001F64B1" w:rsidP="005506FB">
            <w:pPr>
              <w:keepNext/>
              <w:keepLines/>
              <w:rPr>
                <w:color w:val="002060"/>
                <w:sz w:val="16"/>
                <w:szCs w:val="16"/>
              </w:rPr>
            </w:pPr>
          </w:p>
          <w:p w14:paraId="6F41E295" w14:textId="0D8EF98B" w:rsidR="001F64B1" w:rsidRPr="001E6DFD" w:rsidRDefault="00D91044" w:rsidP="005506FB">
            <w:pPr>
              <w:keepNext/>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D9E6ACF" w14:textId="77777777" w:rsidR="00257E36" w:rsidRPr="001E6DFD" w:rsidRDefault="00D91044" w:rsidP="005506FB">
            <w:pPr>
              <w:keepNext/>
              <w:keepLines/>
              <w:rPr>
                <w:sz w:val="16"/>
                <w:szCs w:val="16"/>
              </w:rPr>
            </w:pPr>
            <w:proofErr w:type="spellStart"/>
            <w:r w:rsidRPr="001E6DFD">
              <w:rPr>
                <w:sz w:val="16"/>
                <w:szCs w:val="16"/>
              </w:rPr>
              <w:t>n.d</w:t>
            </w:r>
            <w:proofErr w:type="spellEnd"/>
            <w:r w:rsidRPr="001E6DFD">
              <w:rPr>
                <w:sz w:val="16"/>
                <w:szCs w:val="16"/>
              </w:rPr>
              <w:t>.</w:t>
            </w:r>
            <w:r w:rsidR="007760E9" w:rsidRPr="001E6DFD">
              <w:rPr>
                <w:sz w:val="16"/>
                <w:szCs w:val="16"/>
              </w:rPr>
              <w:t xml:space="preserve"> </w:t>
            </w:r>
            <w:r w:rsidR="00DC12D6" w:rsidRPr="001E6DFD">
              <w:rPr>
                <w:sz w:val="16"/>
                <w:szCs w:val="16"/>
              </w:rPr>
              <w:t xml:space="preserve"> </w:t>
            </w:r>
          </w:p>
        </w:tc>
        <w:tc>
          <w:tcPr>
            <w:tcW w:w="472" w:type="pct"/>
            <w:shd w:val="clear" w:color="auto" w:fill="auto"/>
            <w:tcMar>
              <w:top w:w="110" w:type="dxa"/>
              <w:left w:w="58" w:type="dxa"/>
              <w:right w:w="58" w:type="dxa"/>
            </w:tcMar>
          </w:tcPr>
          <w:p w14:paraId="51747904" w14:textId="77777777" w:rsidR="00257E36" w:rsidRPr="001E6DFD" w:rsidRDefault="00257E36" w:rsidP="005506FB">
            <w:pPr>
              <w:keepNext/>
              <w:keepLines/>
              <w:rPr>
                <w:sz w:val="16"/>
                <w:szCs w:val="16"/>
              </w:rPr>
            </w:pPr>
            <w:r w:rsidRPr="001E6DFD">
              <w:rPr>
                <w:sz w:val="16"/>
                <w:szCs w:val="16"/>
              </w:rPr>
              <w:t>90%</w:t>
            </w:r>
          </w:p>
        </w:tc>
        <w:tc>
          <w:tcPr>
            <w:tcW w:w="1414" w:type="pct"/>
            <w:shd w:val="clear" w:color="auto" w:fill="FFFFFF"/>
            <w:tcMar>
              <w:top w:w="110" w:type="dxa"/>
              <w:left w:w="58" w:type="dxa"/>
              <w:right w:w="58" w:type="dxa"/>
            </w:tcMar>
          </w:tcPr>
          <w:p w14:paraId="7C5364EB" w14:textId="60399018" w:rsidR="00257E36" w:rsidRPr="001E6DFD" w:rsidRDefault="00EA71DE" w:rsidP="005506FB">
            <w:pPr>
              <w:keepNext/>
              <w:keepLines/>
              <w:rPr>
                <w:sz w:val="16"/>
                <w:szCs w:val="16"/>
              </w:rPr>
            </w:pPr>
            <w:r w:rsidRPr="001E6DFD">
              <w:rPr>
                <w:sz w:val="16"/>
                <w:szCs w:val="16"/>
              </w:rPr>
              <w:t>8</w:t>
            </w:r>
            <w:r w:rsidR="00436F1E" w:rsidRPr="001E6DFD">
              <w:rPr>
                <w:sz w:val="16"/>
                <w:szCs w:val="16"/>
              </w:rPr>
              <w:t>4</w:t>
            </w:r>
            <w:r w:rsidRPr="001E6DFD">
              <w:rPr>
                <w:sz w:val="16"/>
                <w:szCs w:val="16"/>
              </w:rPr>
              <w:t xml:space="preserve">% </w:t>
            </w:r>
            <w:r w:rsidR="00606F3B" w:rsidRPr="001E6DFD">
              <w:rPr>
                <w:sz w:val="16"/>
                <w:szCs w:val="16"/>
              </w:rPr>
              <w:t>sur la base de quatre</w:t>
            </w:r>
            <w:r w:rsidR="004D421A" w:rsidRPr="001E6DFD">
              <w:rPr>
                <w:sz w:val="16"/>
                <w:szCs w:val="16"/>
              </w:rPr>
              <w:t> </w:t>
            </w:r>
            <w:r w:rsidR="0094768F" w:rsidRPr="001E6DFD">
              <w:rPr>
                <w:sz w:val="16"/>
                <w:szCs w:val="16"/>
              </w:rPr>
              <w:t>réponses do</w:t>
            </w:r>
            <w:r w:rsidR="00606F3B" w:rsidRPr="001E6DFD">
              <w:rPr>
                <w:sz w:val="16"/>
                <w:szCs w:val="16"/>
              </w:rPr>
              <w:t>nnées par des inventeurs et de sept</w:t>
            </w:r>
            <w:r w:rsidR="004D421A" w:rsidRPr="001E6DFD">
              <w:rPr>
                <w:sz w:val="16"/>
                <w:szCs w:val="16"/>
              </w:rPr>
              <w:t> </w:t>
            </w:r>
            <w:r w:rsidR="0094768F" w:rsidRPr="001E6DFD">
              <w:rPr>
                <w:sz w:val="16"/>
                <w:szCs w:val="16"/>
              </w:rPr>
              <w:t>réponses données par d</w:t>
            </w:r>
            <w:r w:rsidR="00FA22F6" w:rsidRPr="001E6DFD">
              <w:rPr>
                <w:sz w:val="16"/>
                <w:szCs w:val="16"/>
              </w:rPr>
              <w:t>’</w:t>
            </w:r>
            <w:r w:rsidR="0094768F" w:rsidRPr="001E6DFD">
              <w:rPr>
                <w:sz w:val="16"/>
                <w:szCs w:val="16"/>
              </w:rPr>
              <w:t xml:space="preserve">autres </w:t>
            </w:r>
            <w:r w:rsidR="00E1122C" w:rsidRPr="001E6DFD">
              <w:rPr>
                <w:sz w:val="16"/>
                <w:szCs w:val="16"/>
              </w:rPr>
              <w:t>participants</w:t>
            </w:r>
          </w:p>
        </w:tc>
        <w:tc>
          <w:tcPr>
            <w:tcW w:w="445" w:type="pct"/>
            <w:shd w:val="clear" w:color="auto" w:fill="auto"/>
            <w:tcMar>
              <w:top w:w="110" w:type="dxa"/>
              <w:left w:w="58" w:type="dxa"/>
              <w:right w:w="58" w:type="dxa"/>
            </w:tcMar>
          </w:tcPr>
          <w:p w14:paraId="26537CBD" w14:textId="77777777" w:rsidR="00257E36" w:rsidRPr="001E6DFD" w:rsidRDefault="00D91044" w:rsidP="005506FB">
            <w:pPr>
              <w:keepNext/>
              <w:keepLines/>
              <w:jc w:val="center"/>
              <w:rPr>
                <w:color w:val="00B050"/>
                <w:sz w:val="16"/>
                <w:szCs w:val="16"/>
              </w:rPr>
            </w:pPr>
            <w:r w:rsidRPr="001E6DFD">
              <w:rPr>
                <w:b/>
                <w:color w:val="00B050"/>
                <w:sz w:val="16"/>
                <w:szCs w:val="16"/>
              </w:rPr>
              <w:t>En bonne voie</w:t>
            </w:r>
          </w:p>
        </w:tc>
      </w:tr>
      <w:tr w:rsidR="0039031D" w:rsidRPr="001E6DFD" w14:paraId="2A432F37" w14:textId="77777777" w:rsidTr="00A15986">
        <w:tc>
          <w:tcPr>
            <w:tcW w:w="5000" w:type="pct"/>
            <w:gridSpan w:val="5"/>
            <w:shd w:val="clear" w:color="auto" w:fill="C6D9F1" w:themeFill="text2" w:themeFillTint="33"/>
            <w:tcMar>
              <w:left w:w="58" w:type="dxa"/>
              <w:right w:w="58" w:type="dxa"/>
            </w:tcMar>
            <w:vAlign w:val="center"/>
          </w:tcPr>
          <w:p w14:paraId="52B2A3CF" w14:textId="4A2CE3C5" w:rsidR="00257E36" w:rsidRPr="001E6DFD" w:rsidRDefault="00D91044"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I.2 Cadres législatifs, réglementaires et politiques de propriété intellectuelle adaptés et équilibrés</w:t>
            </w:r>
          </w:p>
        </w:tc>
      </w:tr>
      <w:tr w:rsidR="0039031D" w:rsidRPr="001E6DFD" w14:paraId="36493D37" w14:textId="77777777" w:rsidTr="00A15986">
        <w:tc>
          <w:tcPr>
            <w:tcW w:w="1087" w:type="pct"/>
            <w:shd w:val="clear" w:color="auto" w:fill="auto"/>
            <w:tcMar>
              <w:left w:w="58" w:type="dxa"/>
              <w:right w:w="58" w:type="dxa"/>
            </w:tcMar>
            <w:vAlign w:val="center"/>
          </w:tcPr>
          <w:p w14:paraId="6E7723D9" w14:textId="17EC3E7C" w:rsidR="00257E36" w:rsidRPr="001E6DFD" w:rsidRDefault="00D91044"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82" w:type="pct"/>
            <w:shd w:val="clear" w:color="auto" w:fill="auto"/>
            <w:tcMar>
              <w:left w:w="58" w:type="dxa"/>
              <w:right w:w="58" w:type="dxa"/>
            </w:tcMar>
            <w:vAlign w:val="center"/>
          </w:tcPr>
          <w:p w14:paraId="6BA737FC" w14:textId="77777777" w:rsidR="00257E36" w:rsidRPr="001E6DFD" w:rsidRDefault="00D91044" w:rsidP="0097226C">
            <w:pPr>
              <w:jc w:val="center"/>
              <w:rPr>
                <w:b/>
                <w:bCs/>
                <w:sz w:val="16"/>
                <w:szCs w:val="16"/>
              </w:rPr>
            </w:pPr>
            <w:r w:rsidRPr="001E6DFD">
              <w:rPr>
                <w:b/>
                <w:bCs/>
                <w:sz w:val="16"/>
                <w:szCs w:val="16"/>
              </w:rPr>
              <w:t>Niveaux de référence</w:t>
            </w:r>
          </w:p>
        </w:tc>
        <w:tc>
          <w:tcPr>
            <w:tcW w:w="472" w:type="pct"/>
            <w:shd w:val="clear" w:color="auto" w:fill="auto"/>
            <w:tcMar>
              <w:top w:w="110" w:type="dxa"/>
              <w:left w:w="58" w:type="dxa"/>
              <w:right w:w="58" w:type="dxa"/>
            </w:tcMar>
            <w:vAlign w:val="center"/>
          </w:tcPr>
          <w:p w14:paraId="091BBE01" w14:textId="77777777" w:rsidR="00257E36" w:rsidRPr="001E6DFD" w:rsidRDefault="00D91044" w:rsidP="0097226C">
            <w:pPr>
              <w:jc w:val="center"/>
              <w:rPr>
                <w:b/>
                <w:bCs/>
                <w:sz w:val="16"/>
                <w:szCs w:val="16"/>
              </w:rPr>
            </w:pPr>
            <w:r w:rsidRPr="001E6DFD">
              <w:rPr>
                <w:b/>
                <w:bCs/>
                <w:sz w:val="16"/>
                <w:szCs w:val="16"/>
              </w:rPr>
              <w:t>Objectifs visés</w:t>
            </w:r>
          </w:p>
        </w:tc>
        <w:tc>
          <w:tcPr>
            <w:tcW w:w="1414" w:type="pct"/>
            <w:shd w:val="clear" w:color="auto" w:fill="FFFFFF"/>
            <w:tcMar>
              <w:top w:w="110" w:type="dxa"/>
              <w:left w:w="58" w:type="dxa"/>
              <w:right w:w="58" w:type="dxa"/>
            </w:tcMar>
            <w:vAlign w:val="center"/>
          </w:tcPr>
          <w:p w14:paraId="0854DECB" w14:textId="1192B846" w:rsidR="00257E36" w:rsidRPr="001E6DFD" w:rsidRDefault="00D91044"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45" w:type="pct"/>
            <w:shd w:val="clear" w:color="auto" w:fill="auto"/>
            <w:tcMar>
              <w:top w:w="110" w:type="dxa"/>
              <w:left w:w="58" w:type="dxa"/>
              <w:right w:w="58" w:type="dxa"/>
            </w:tcMar>
            <w:vAlign w:val="center"/>
          </w:tcPr>
          <w:p w14:paraId="3AF3CE97" w14:textId="49E05CCA" w:rsidR="00257E36"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39031D" w:rsidRPr="001E6DFD" w14:paraId="7162D3F4" w14:textId="77777777" w:rsidTr="00A15986">
        <w:tc>
          <w:tcPr>
            <w:tcW w:w="1087" w:type="pct"/>
            <w:shd w:val="clear" w:color="auto" w:fill="auto"/>
            <w:tcMar>
              <w:left w:w="58" w:type="dxa"/>
              <w:right w:w="58" w:type="dxa"/>
            </w:tcMar>
          </w:tcPr>
          <w:p w14:paraId="32BE2FF6" w14:textId="298D79F5" w:rsidR="00543FBD" w:rsidRPr="001E6DFD" w:rsidRDefault="00EC540A" w:rsidP="0097226C">
            <w:pPr>
              <w:ind w:right="176"/>
              <w:rPr>
                <w:sz w:val="16"/>
                <w:szCs w:val="16"/>
              </w:rPr>
            </w:pPr>
            <w:r w:rsidRPr="001E6DFD">
              <w:rPr>
                <w:sz w:val="16"/>
                <w:szCs w:val="16"/>
              </w:rPr>
              <w:t>Pourcentage de bénéficiaires ayant trouvé utiles les informations fournies concernant les principes et les pratiques juridiques des systèmes des brevets, des modèles d</w:t>
            </w:r>
            <w:r w:rsidR="00FA22F6" w:rsidRPr="001E6DFD">
              <w:rPr>
                <w:sz w:val="16"/>
                <w:szCs w:val="16"/>
              </w:rPr>
              <w:t>’</w:t>
            </w:r>
            <w:r w:rsidRPr="001E6DFD">
              <w:rPr>
                <w:sz w:val="16"/>
                <w:szCs w:val="16"/>
              </w:rPr>
              <w:t xml:space="preserve">utilité et des circuits intégrés, </w:t>
            </w:r>
            <w:r w:rsidR="00FA22F6" w:rsidRPr="001E6DFD">
              <w:rPr>
                <w:sz w:val="16"/>
                <w:szCs w:val="16"/>
              </w:rPr>
              <w:t>y compris</w:t>
            </w:r>
            <w:r w:rsidRPr="001E6DFD">
              <w:rPr>
                <w:sz w:val="16"/>
                <w:szCs w:val="16"/>
              </w:rPr>
              <w:t xml:space="preserve"> les éléments de flexibilité</w:t>
            </w:r>
          </w:p>
        </w:tc>
        <w:tc>
          <w:tcPr>
            <w:tcW w:w="1582" w:type="pct"/>
            <w:shd w:val="clear" w:color="auto" w:fill="auto"/>
            <w:tcMar>
              <w:left w:w="58" w:type="dxa"/>
              <w:right w:w="58" w:type="dxa"/>
            </w:tcMar>
          </w:tcPr>
          <w:p w14:paraId="4542C70F" w14:textId="360954FE" w:rsidR="001F64B1" w:rsidRPr="001E6DFD" w:rsidRDefault="00D91044"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1E1AD94E" w14:textId="3261BC8E" w:rsidR="00FA22F6" w:rsidRPr="001E6DFD" w:rsidRDefault="004F5E83" w:rsidP="0097226C">
            <w:pPr>
              <w:rPr>
                <w:color w:val="002060"/>
                <w:sz w:val="16"/>
                <w:szCs w:val="16"/>
                <w:lang w:bidi="th-TH"/>
              </w:rPr>
            </w:pPr>
            <w:r w:rsidRPr="001E6DFD">
              <w:rPr>
                <w:color w:val="002060"/>
                <w:sz w:val="16"/>
                <w:szCs w:val="16"/>
                <w:lang w:bidi="th-TH"/>
              </w:rPr>
              <w:t>95,</w:t>
            </w:r>
            <w:r w:rsidR="005C2996" w:rsidRPr="001E6DFD">
              <w:rPr>
                <w:color w:val="002060"/>
                <w:sz w:val="16"/>
                <w:szCs w:val="16"/>
                <w:lang w:bidi="th-TH"/>
              </w:rPr>
              <w:t xml:space="preserve">24% </w:t>
            </w:r>
            <w:r w:rsidR="0094768F" w:rsidRPr="001E6DFD">
              <w:rPr>
                <w:color w:val="002060"/>
                <w:sz w:val="16"/>
                <w:szCs w:val="16"/>
                <w:lang w:bidi="th-TH"/>
              </w:rPr>
              <w:t>sur la base de 24</w:t>
            </w:r>
            <w:r w:rsidR="00B4191E">
              <w:rPr>
                <w:color w:val="002060"/>
                <w:sz w:val="16"/>
                <w:szCs w:val="16"/>
                <w:lang w:bidi="th-TH"/>
              </w:rPr>
              <w:t> </w:t>
            </w:r>
            <w:r w:rsidR="0094768F" w:rsidRPr="001E6DFD">
              <w:rPr>
                <w:color w:val="002060"/>
                <w:sz w:val="16"/>
                <w:szCs w:val="16"/>
                <w:lang w:bidi="th-TH"/>
              </w:rPr>
              <w:t>réponses</w:t>
            </w:r>
          </w:p>
          <w:p w14:paraId="799E6E1E" w14:textId="77777777" w:rsidR="001F64B1" w:rsidRPr="001E6DFD" w:rsidRDefault="001F64B1" w:rsidP="0097226C">
            <w:pPr>
              <w:rPr>
                <w:sz w:val="16"/>
                <w:szCs w:val="16"/>
              </w:rPr>
            </w:pPr>
          </w:p>
          <w:p w14:paraId="4DF36178" w14:textId="6BFEFCED" w:rsidR="001F64B1" w:rsidRPr="001E6DFD" w:rsidRDefault="00D91044"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CEF1A14" w14:textId="77777777" w:rsidR="00257E36" w:rsidRPr="001E6DFD" w:rsidRDefault="00D91044" w:rsidP="0097226C">
            <w:pPr>
              <w:rPr>
                <w:sz w:val="16"/>
                <w:szCs w:val="16"/>
              </w:rPr>
            </w:pPr>
            <w:r w:rsidRPr="001E6DFD">
              <w:rPr>
                <w:sz w:val="16"/>
                <w:szCs w:val="16"/>
              </w:rPr>
              <w:t xml:space="preserve">7 pays/participants (85,7%) – enquête </w:t>
            </w:r>
            <w:r w:rsidR="00E54E76" w:rsidRPr="001E6DFD">
              <w:rPr>
                <w:sz w:val="16"/>
                <w:szCs w:val="16"/>
              </w:rPr>
              <w:t>de 2014</w:t>
            </w:r>
          </w:p>
        </w:tc>
        <w:tc>
          <w:tcPr>
            <w:tcW w:w="472" w:type="pct"/>
            <w:shd w:val="clear" w:color="auto" w:fill="auto"/>
            <w:tcMar>
              <w:top w:w="110" w:type="dxa"/>
              <w:left w:w="58" w:type="dxa"/>
              <w:right w:w="58" w:type="dxa"/>
            </w:tcMar>
          </w:tcPr>
          <w:p w14:paraId="4BC830CE" w14:textId="77777777" w:rsidR="00257E36" w:rsidRPr="001E6DFD" w:rsidRDefault="003232D2" w:rsidP="0097226C">
            <w:pPr>
              <w:rPr>
                <w:sz w:val="16"/>
                <w:szCs w:val="16"/>
                <w:lang w:bidi="th-TH"/>
              </w:rPr>
            </w:pPr>
            <w:r w:rsidRPr="001E6DFD">
              <w:rPr>
                <w:sz w:val="16"/>
                <w:szCs w:val="16"/>
                <w:lang w:bidi="th-TH"/>
              </w:rPr>
              <w:t>9</w:t>
            </w:r>
            <w:r w:rsidR="007760E9" w:rsidRPr="001E6DFD">
              <w:rPr>
                <w:sz w:val="16"/>
                <w:szCs w:val="16"/>
                <w:lang w:bidi="th-TH"/>
              </w:rPr>
              <w:t>0</w:t>
            </w:r>
            <w:r w:rsidRPr="001E6DFD">
              <w:rPr>
                <w:sz w:val="16"/>
                <w:szCs w:val="16"/>
                <w:lang w:bidi="th-TH"/>
              </w:rPr>
              <w:t>%</w:t>
            </w:r>
          </w:p>
        </w:tc>
        <w:tc>
          <w:tcPr>
            <w:tcW w:w="1414" w:type="pct"/>
            <w:shd w:val="clear" w:color="auto" w:fill="FFFFFF"/>
            <w:tcMar>
              <w:top w:w="110" w:type="dxa"/>
              <w:left w:w="58" w:type="dxa"/>
              <w:right w:w="58" w:type="dxa"/>
            </w:tcMar>
          </w:tcPr>
          <w:p w14:paraId="5A0529DF" w14:textId="00E66C4D" w:rsidR="00257E36" w:rsidRPr="001E6DFD" w:rsidRDefault="00EA71DE" w:rsidP="0097226C">
            <w:pPr>
              <w:rPr>
                <w:sz w:val="16"/>
                <w:szCs w:val="16"/>
              </w:rPr>
            </w:pPr>
            <w:r w:rsidRPr="001E6DFD">
              <w:rPr>
                <w:sz w:val="16"/>
                <w:szCs w:val="16"/>
                <w:lang w:bidi="th-TH"/>
              </w:rPr>
              <w:t xml:space="preserve">100% </w:t>
            </w:r>
            <w:r w:rsidR="00F9526F" w:rsidRPr="001E6DFD">
              <w:rPr>
                <w:sz w:val="16"/>
                <w:szCs w:val="16"/>
                <w:lang w:bidi="th-TH"/>
              </w:rPr>
              <w:t>sur la b</w:t>
            </w:r>
            <w:r w:rsidR="00F06581" w:rsidRPr="001E6DFD">
              <w:rPr>
                <w:sz w:val="16"/>
                <w:szCs w:val="16"/>
                <w:lang w:bidi="th-TH"/>
              </w:rPr>
              <w:t>ase de 24</w:t>
            </w:r>
            <w:r w:rsidR="00B4191E">
              <w:rPr>
                <w:sz w:val="16"/>
                <w:szCs w:val="16"/>
                <w:lang w:bidi="th-TH"/>
              </w:rPr>
              <w:t> </w:t>
            </w:r>
            <w:r w:rsidR="00F06581" w:rsidRPr="001E6DFD">
              <w:rPr>
                <w:sz w:val="16"/>
                <w:szCs w:val="16"/>
                <w:lang w:bidi="th-TH"/>
              </w:rPr>
              <w:t>réponses données par l</w:t>
            </w:r>
            <w:r w:rsidR="00F9526F" w:rsidRPr="001E6DFD">
              <w:rPr>
                <w:sz w:val="16"/>
                <w:szCs w:val="16"/>
                <w:lang w:bidi="th-TH"/>
              </w:rPr>
              <w:t xml:space="preserve">es participants de </w:t>
            </w:r>
            <w:r w:rsidR="00355BD4" w:rsidRPr="001E6DFD">
              <w:rPr>
                <w:sz w:val="16"/>
                <w:szCs w:val="16"/>
                <w:lang w:bidi="th-TH"/>
              </w:rPr>
              <w:t>deux</w:t>
            </w:r>
            <w:r w:rsidR="004D421A" w:rsidRPr="001E6DFD">
              <w:rPr>
                <w:sz w:val="16"/>
                <w:szCs w:val="16"/>
                <w:lang w:bidi="th-TH"/>
              </w:rPr>
              <w:t> </w:t>
            </w:r>
            <w:r w:rsidR="00F9526F" w:rsidRPr="001E6DFD">
              <w:rPr>
                <w:sz w:val="16"/>
                <w:szCs w:val="16"/>
                <w:lang w:bidi="th-TH"/>
              </w:rPr>
              <w:t>activités de formation</w:t>
            </w:r>
            <w:r w:rsidR="00E1122C" w:rsidRPr="001E6DFD">
              <w:rPr>
                <w:sz w:val="16"/>
                <w:szCs w:val="16"/>
                <w:lang w:bidi="th-TH"/>
              </w:rPr>
              <w:t xml:space="preserve"> </w:t>
            </w:r>
            <w:r w:rsidR="00866CDB" w:rsidRPr="001E6DFD">
              <w:rPr>
                <w:sz w:val="16"/>
                <w:szCs w:val="16"/>
                <w:lang w:bidi="th-TH"/>
              </w:rPr>
              <w:t>(</w:t>
            </w:r>
            <w:proofErr w:type="spellStart"/>
            <w:r w:rsidR="009C18EE" w:rsidRPr="001E6DFD">
              <w:rPr>
                <w:sz w:val="16"/>
                <w:szCs w:val="16"/>
                <w:lang w:bidi="th-TH"/>
              </w:rPr>
              <w:t>B</w:t>
            </w:r>
            <w:r w:rsidR="00F9526F" w:rsidRPr="001E6DFD">
              <w:rPr>
                <w:sz w:val="16"/>
                <w:szCs w:val="16"/>
                <w:lang w:bidi="th-TH"/>
              </w:rPr>
              <w:t>é</w:t>
            </w:r>
            <w:r w:rsidR="009C18EE" w:rsidRPr="001E6DFD">
              <w:rPr>
                <w:sz w:val="16"/>
                <w:szCs w:val="16"/>
                <w:lang w:bidi="th-TH"/>
              </w:rPr>
              <w:t>larus</w:t>
            </w:r>
            <w:proofErr w:type="spellEnd"/>
            <w:r w:rsidR="009C18EE" w:rsidRPr="001E6DFD">
              <w:rPr>
                <w:sz w:val="16"/>
                <w:szCs w:val="16"/>
                <w:lang w:bidi="th-TH"/>
              </w:rPr>
              <w:t xml:space="preserve"> </w:t>
            </w:r>
            <w:r w:rsidR="00242CAF" w:rsidRPr="001E6DFD">
              <w:rPr>
                <w:sz w:val="16"/>
                <w:szCs w:val="16"/>
                <w:lang w:bidi="th-TH"/>
              </w:rPr>
              <w:t xml:space="preserve">et </w:t>
            </w:r>
            <w:r w:rsidR="00866CDB" w:rsidRPr="001E6DFD">
              <w:rPr>
                <w:sz w:val="16"/>
                <w:szCs w:val="16"/>
                <w:lang w:bidi="th-TH"/>
              </w:rPr>
              <w:t xml:space="preserve">Philippines) </w:t>
            </w:r>
          </w:p>
        </w:tc>
        <w:tc>
          <w:tcPr>
            <w:tcW w:w="445" w:type="pct"/>
            <w:shd w:val="clear" w:color="auto" w:fill="auto"/>
            <w:tcMar>
              <w:top w:w="110" w:type="dxa"/>
              <w:left w:w="58" w:type="dxa"/>
              <w:right w:w="58" w:type="dxa"/>
            </w:tcMar>
          </w:tcPr>
          <w:p w14:paraId="13244474" w14:textId="77777777" w:rsidR="00257E36" w:rsidRPr="001E6DFD" w:rsidRDefault="00D91044" w:rsidP="0097226C">
            <w:pPr>
              <w:keepNext/>
              <w:keepLines/>
              <w:jc w:val="center"/>
              <w:rPr>
                <w:b/>
                <w:color w:val="00B050"/>
                <w:sz w:val="16"/>
                <w:szCs w:val="16"/>
              </w:rPr>
            </w:pPr>
            <w:r w:rsidRPr="001E6DFD">
              <w:rPr>
                <w:b/>
                <w:color w:val="00B050"/>
                <w:sz w:val="16"/>
                <w:szCs w:val="16"/>
              </w:rPr>
              <w:t>En bonne voie</w:t>
            </w:r>
          </w:p>
        </w:tc>
      </w:tr>
      <w:tr w:rsidR="0039031D" w:rsidRPr="001E6DFD" w14:paraId="56C80CC4" w14:textId="77777777" w:rsidTr="00A15986">
        <w:tc>
          <w:tcPr>
            <w:tcW w:w="1087" w:type="pct"/>
            <w:shd w:val="clear" w:color="auto" w:fill="auto"/>
            <w:tcMar>
              <w:left w:w="58" w:type="dxa"/>
              <w:right w:w="58" w:type="dxa"/>
            </w:tcMar>
          </w:tcPr>
          <w:p w14:paraId="776A3238" w14:textId="2FDAEDF2" w:rsidR="00D25F56" w:rsidRPr="001E6DFD" w:rsidRDefault="00D91044" w:rsidP="0097226C">
            <w:pPr>
              <w:ind w:right="176"/>
              <w:rPr>
                <w:sz w:val="16"/>
                <w:szCs w:val="16"/>
              </w:rPr>
            </w:pPr>
            <w:r w:rsidRPr="001E6DFD">
              <w:rPr>
                <w:sz w:val="16"/>
                <w:szCs w:val="16"/>
              </w:rPr>
              <w:t>Nombre et pourcentage d</w:t>
            </w:r>
            <w:r w:rsidR="00FA22F6" w:rsidRPr="001E6DFD">
              <w:rPr>
                <w:sz w:val="16"/>
                <w:szCs w:val="16"/>
              </w:rPr>
              <w:t>’</w:t>
            </w:r>
            <w:r w:rsidRPr="001E6DFD">
              <w:rPr>
                <w:sz w:val="16"/>
                <w:szCs w:val="16"/>
              </w:rPr>
              <w:t>États membres satisfaits des conseils juridiques et pratiques fournis</w:t>
            </w:r>
            <w:r w:rsidR="00257E36" w:rsidRPr="001E6DFD">
              <w:rPr>
                <w:sz w:val="16"/>
                <w:szCs w:val="16"/>
              </w:rPr>
              <w:t xml:space="preserve"> </w:t>
            </w:r>
          </w:p>
        </w:tc>
        <w:tc>
          <w:tcPr>
            <w:tcW w:w="1582" w:type="pct"/>
            <w:shd w:val="clear" w:color="auto" w:fill="auto"/>
            <w:tcMar>
              <w:left w:w="58" w:type="dxa"/>
              <w:right w:w="58" w:type="dxa"/>
            </w:tcMar>
          </w:tcPr>
          <w:p w14:paraId="401594D7" w14:textId="05615A35" w:rsidR="001F64B1" w:rsidRPr="001E6DFD" w:rsidRDefault="00D91044"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16FBD7BF" w14:textId="3CD85F6F" w:rsidR="001F64B1" w:rsidRPr="001E6DFD" w:rsidRDefault="00FA22F6" w:rsidP="0097226C">
            <w:pPr>
              <w:rPr>
                <w:color w:val="002060"/>
                <w:sz w:val="16"/>
                <w:szCs w:val="16"/>
                <w:lang w:bidi="th-TH"/>
              </w:rPr>
            </w:pPr>
            <w:r w:rsidRPr="001E6DFD">
              <w:rPr>
                <w:color w:val="002060"/>
                <w:sz w:val="16"/>
                <w:szCs w:val="16"/>
                <w:lang w:bidi="th-TH"/>
              </w:rPr>
              <w:t>En 2014</w:t>
            </w:r>
            <w:r w:rsidR="006A41CF" w:rsidRPr="001E6DFD">
              <w:rPr>
                <w:color w:val="002060"/>
                <w:sz w:val="16"/>
                <w:szCs w:val="16"/>
                <w:lang w:bidi="th-TH"/>
              </w:rPr>
              <w:noBreakHyphen/>
            </w:r>
            <w:r w:rsidR="00862739" w:rsidRPr="001E6DFD">
              <w:rPr>
                <w:color w:val="002060"/>
                <w:sz w:val="16"/>
                <w:szCs w:val="16"/>
                <w:lang w:bidi="th-TH"/>
              </w:rPr>
              <w:t>20</w:t>
            </w:r>
            <w:r w:rsidR="00C412AC" w:rsidRPr="001E6DFD">
              <w:rPr>
                <w:color w:val="002060"/>
                <w:sz w:val="16"/>
                <w:szCs w:val="16"/>
                <w:lang w:bidi="th-TH"/>
              </w:rPr>
              <w:t>15, neuf</w:t>
            </w:r>
            <w:r w:rsidR="004D421A" w:rsidRPr="001E6DFD">
              <w:rPr>
                <w:color w:val="002060"/>
                <w:sz w:val="16"/>
                <w:szCs w:val="16"/>
                <w:lang w:bidi="th-TH"/>
              </w:rPr>
              <w:t> </w:t>
            </w:r>
            <w:r w:rsidR="00CA1C75" w:rsidRPr="001E6DFD">
              <w:rPr>
                <w:color w:val="002060"/>
                <w:sz w:val="16"/>
                <w:szCs w:val="16"/>
                <w:lang w:bidi="th-TH"/>
              </w:rPr>
              <w:t>É</w:t>
            </w:r>
            <w:r w:rsidR="00ED43EC" w:rsidRPr="001E6DFD">
              <w:rPr>
                <w:color w:val="002060"/>
                <w:sz w:val="16"/>
                <w:szCs w:val="16"/>
                <w:lang w:bidi="th-TH"/>
              </w:rPr>
              <w:t xml:space="preserve">tats </w:t>
            </w:r>
            <w:r w:rsidR="00997ABA" w:rsidRPr="001E6DFD">
              <w:rPr>
                <w:color w:val="002060"/>
                <w:sz w:val="16"/>
                <w:szCs w:val="16"/>
                <w:lang w:bidi="th-TH"/>
              </w:rPr>
              <w:t>membres</w:t>
            </w:r>
            <w:r w:rsidR="000D4A31" w:rsidRPr="001E6DFD">
              <w:rPr>
                <w:color w:val="002060"/>
                <w:sz w:val="16"/>
                <w:szCs w:val="16"/>
                <w:lang w:bidi="th-TH"/>
              </w:rPr>
              <w:t xml:space="preserve"> </w:t>
            </w:r>
            <w:r w:rsidR="00862739" w:rsidRPr="001E6DFD">
              <w:rPr>
                <w:color w:val="002060"/>
                <w:sz w:val="16"/>
                <w:szCs w:val="16"/>
                <w:lang w:bidi="th-TH"/>
              </w:rPr>
              <w:t>ont déclaré en moyenne un taux de satisfaction de 94%</w:t>
            </w:r>
          </w:p>
          <w:p w14:paraId="5690737B" w14:textId="77777777" w:rsidR="001F64B1" w:rsidRPr="001E6DFD" w:rsidRDefault="00D91044" w:rsidP="0097226C">
            <w:pPr>
              <w:rPr>
                <w:color w:val="002060"/>
                <w:sz w:val="16"/>
                <w:szCs w:val="16"/>
              </w:rPr>
            </w:pPr>
            <w:r w:rsidRPr="001E6DFD">
              <w:rPr>
                <w:color w:val="002060"/>
                <w:sz w:val="16"/>
                <w:szCs w:val="16"/>
              </w:rPr>
              <w:t>Afrique (3), pays arabes (1), Asie et Pacifique (2), certains pays en Europe et en Asie (2), Amérique latine et Caraïbes (1).</w:t>
            </w:r>
          </w:p>
          <w:p w14:paraId="7EAB1F41" w14:textId="77777777" w:rsidR="001F64B1" w:rsidRPr="001E6DFD" w:rsidRDefault="001F64B1" w:rsidP="0097226C">
            <w:pPr>
              <w:rPr>
                <w:sz w:val="16"/>
                <w:szCs w:val="16"/>
              </w:rPr>
            </w:pPr>
          </w:p>
          <w:p w14:paraId="05DAFE32" w14:textId="36E6C615" w:rsidR="001F64B1" w:rsidRPr="001E6DFD" w:rsidRDefault="00D91044"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D568820" w14:textId="77777777" w:rsidR="00257E36" w:rsidRPr="001E6DFD" w:rsidRDefault="00D91044" w:rsidP="0097226C">
            <w:pPr>
              <w:rPr>
                <w:sz w:val="16"/>
                <w:szCs w:val="16"/>
              </w:rPr>
            </w:pPr>
            <w:r w:rsidRPr="001E6DFD">
              <w:rPr>
                <w:sz w:val="16"/>
                <w:szCs w:val="16"/>
              </w:rPr>
              <w:t xml:space="preserve">8 États membres (90%) – enquête </w:t>
            </w:r>
            <w:r w:rsidR="00E54E76" w:rsidRPr="001E6DFD">
              <w:rPr>
                <w:sz w:val="16"/>
                <w:szCs w:val="16"/>
              </w:rPr>
              <w:t>de 2014</w:t>
            </w:r>
          </w:p>
        </w:tc>
        <w:tc>
          <w:tcPr>
            <w:tcW w:w="472" w:type="pct"/>
            <w:shd w:val="clear" w:color="auto" w:fill="auto"/>
            <w:tcMar>
              <w:top w:w="110" w:type="dxa"/>
              <w:left w:w="58" w:type="dxa"/>
              <w:right w:w="58" w:type="dxa"/>
            </w:tcMar>
          </w:tcPr>
          <w:p w14:paraId="3BB103CD" w14:textId="77777777" w:rsidR="00257E36" w:rsidRPr="001E6DFD" w:rsidRDefault="003232D2" w:rsidP="0097226C">
            <w:pPr>
              <w:rPr>
                <w:sz w:val="16"/>
                <w:szCs w:val="16"/>
                <w:lang w:bidi="th-TH"/>
              </w:rPr>
            </w:pPr>
            <w:r w:rsidRPr="001E6DFD">
              <w:rPr>
                <w:sz w:val="16"/>
                <w:szCs w:val="16"/>
                <w:lang w:bidi="th-TH"/>
              </w:rPr>
              <w:t>9</w:t>
            </w:r>
            <w:r w:rsidR="007760E9" w:rsidRPr="001E6DFD">
              <w:rPr>
                <w:sz w:val="16"/>
                <w:szCs w:val="16"/>
                <w:lang w:bidi="th-TH"/>
              </w:rPr>
              <w:t>0</w:t>
            </w:r>
            <w:r w:rsidRPr="001E6DFD">
              <w:rPr>
                <w:sz w:val="16"/>
                <w:szCs w:val="16"/>
                <w:lang w:bidi="th-TH"/>
              </w:rPr>
              <w:t>%</w:t>
            </w:r>
          </w:p>
        </w:tc>
        <w:tc>
          <w:tcPr>
            <w:tcW w:w="1414" w:type="pct"/>
            <w:shd w:val="clear" w:color="auto" w:fill="FFFFFF"/>
            <w:tcMar>
              <w:top w:w="110" w:type="dxa"/>
              <w:left w:w="58" w:type="dxa"/>
              <w:right w:w="58" w:type="dxa"/>
            </w:tcMar>
          </w:tcPr>
          <w:p w14:paraId="10EB9097" w14:textId="0D195422" w:rsidR="00257E36" w:rsidRPr="001E6DFD" w:rsidRDefault="003D4F8C" w:rsidP="00FB62FF">
            <w:pPr>
              <w:keepNext/>
              <w:keepLines/>
              <w:rPr>
                <w:sz w:val="16"/>
                <w:szCs w:val="16"/>
              </w:rPr>
            </w:pPr>
            <w:r w:rsidRPr="001E6DFD">
              <w:rPr>
                <w:sz w:val="16"/>
                <w:szCs w:val="16"/>
                <w:lang w:bidi="th-TH"/>
              </w:rPr>
              <w:t xml:space="preserve">Taux de satisfaction de 92% sur la base de </w:t>
            </w:r>
            <w:r w:rsidR="00C412AC" w:rsidRPr="001E6DFD">
              <w:rPr>
                <w:sz w:val="16"/>
                <w:szCs w:val="16"/>
                <w:lang w:bidi="th-TH"/>
              </w:rPr>
              <w:t>sept</w:t>
            </w:r>
            <w:r w:rsidR="004D421A" w:rsidRPr="001E6DFD">
              <w:rPr>
                <w:sz w:val="16"/>
                <w:szCs w:val="16"/>
                <w:lang w:bidi="th-TH"/>
              </w:rPr>
              <w:t> </w:t>
            </w:r>
            <w:r w:rsidR="00997ABA" w:rsidRPr="001E6DFD">
              <w:rPr>
                <w:sz w:val="16"/>
                <w:szCs w:val="16"/>
                <w:lang w:bidi="th-TH"/>
              </w:rPr>
              <w:t>É</w:t>
            </w:r>
            <w:r w:rsidR="00ED43EC" w:rsidRPr="001E6DFD">
              <w:rPr>
                <w:sz w:val="16"/>
                <w:szCs w:val="16"/>
                <w:lang w:bidi="th-TH"/>
              </w:rPr>
              <w:t xml:space="preserve">tats </w:t>
            </w:r>
            <w:r w:rsidR="00997ABA" w:rsidRPr="001E6DFD">
              <w:rPr>
                <w:sz w:val="16"/>
                <w:szCs w:val="16"/>
                <w:lang w:bidi="th-TH"/>
              </w:rPr>
              <w:t xml:space="preserve">membres </w:t>
            </w:r>
            <w:r w:rsidRPr="001E6DFD">
              <w:rPr>
                <w:sz w:val="16"/>
                <w:szCs w:val="16"/>
                <w:lang w:bidi="th-TH"/>
              </w:rPr>
              <w:t xml:space="preserve">(Afrique </w:t>
            </w:r>
            <w:r w:rsidR="00907AD6" w:rsidRPr="001E6DFD">
              <w:rPr>
                <w:sz w:val="16"/>
                <w:szCs w:val="16"/>
                <w:lang w:bidi="th-TH"/>
              </w:rPr>
              <w:t>(</w:t>
            </w:r>
            <w:r w:rsidRPr="001E6DFD">
              <w:rPr>
                <w:sz w:val="16"/>
                <w:szCs w:val="16"/>
                <w:lang w:bidi="th-TH"/>
              </w:rPr>
              <w:t>1</w:t>
            </w:r>
            <w:r w:rsidR="00907AD6" w:rsidRPr="001E6DFD">
              <w:rPr>
                <w:sz w:val="16"/>
                <w:szCs w:val="16"/>
                <w:lang w:bidi="th-TH"/>
              </w:rPr>
              <w:t>)</w:t>
            </w:r>
            <w:r w:rsidR="00FB62FF" w:rsidRPr="001E6DFD">
              <w:rPr>
                <w:sz w:val="16"/>
                <w:szCs w:val="16"/>
                <w:lang w:bidi="th-TH"/>
              </w:rPr>
              <w:t>,</w:t>
            </w:r>
            <w:r w:rsidRPr="001E6DFD">
              <w:rPr>
                <w:sz w:val="16"/>
                <w:szCs w:val="16"/>
                <w:lang w:bidi="th-TH"/>
              </w:rPr>
              <w:t xml:space="preserve"> </w:t>
            </w:r>
            <w:r w:rsidR="00FB62FF" w:rsidRPr="001E6DFD">
              <w:rPr>
                <w:sz w:val="16"/>
                <w:szCs w:val="16"/>
                <w:lang w:bidi="th-TH"/>
              </w:rPr>
              <w:t>pays</w:t>
            </w:r>
            <w:r w:rsidRPr="001E6DFD">
              <w:rPr>
                <w:sz w:val="16"/>
                <w:szCs w:val="16"/>
                <w:lang w:bidi="th-TH"/>
              </w:rPr>
              <w:t xml:space="preserve"> arabe</w:t>
            </w:r>
            <w:r w:rsidR="00FB62FF" w:rsidRPr="001E6DFD">
              <w:rPr>
                <w:sz w:val="16"/>
                <w:szCs w:val="16"/>
                <w:lang w:bidi="th-TH"/>
              </w:rPr>
              <w:t>s</w:t>
            </w:r>
            <w:r w:rsidRPr="001E6DFD">
              <w:rPr>
                <w:sz w:val="16"/>
                <w:szCs w:val="16"/>
                <w:lang w:bidi="th-TH"/>
              </w:rPr>
              <w:t xml:space="preserve"> </w:t>
            </w:r>
            <w:r w:rsidR="00907AD6" w:rsidRPr="001E6DFD">
              <w:rPr>
                <w:sz w:val="16"/>
                <w:szCs w:val="16"/>
                <w:lang w:bidi="th-TH"/>
              </w:rPr>
              <w:t>(</w:t>
            </w:r>
            <w:r w:rsidRPr="001E6DFD">
              <w:rPr>
                <w:sz w:val="16"/>
                <w:szCs w:val="16"/>
                <w:lang w:bidi="th-TH"/>
              </w:rPr>
              <w:t>1</w:t>
            </w:r>
            <w:r w:rsidR="00907AD6" w:rsidRPr="001E6DFD">
              <w:rPr>
                <w:sz w:val="16"/>
                <w:szCs w:val="16"/>
                <w:lang w:bidi="th-TH"/>
              </w:rPr>
              <w:t>)</w:t>
            </w:r>
            <w:r w:rsidRPr="001E6DFD">
              <w:rPr>
                <w:sz w:val="16"/>
                <w:szCs w:val="16"/>
                <w:lang w:bidi="th-TH"/>
              </w:rPr>
              <w:t xml:space="preserve">, Asie et Pacifique </w:t>
            </w:r>
            <w:r w:rsidR="00907AD6" w:rsidRPr="001E6DFD">
              <w:rPr>
                <w:sz w:val="16"/>
                <w:szCs w:val="16"/>
                <w:lang w:bidi="th-TH"/>
              </w:rPr>
              <w:t>(</w:t>
            </w:r>
            <w:r w:rsidRPr="001E6DFD">
              <w:rPr>
                <w:sz w:val="16"/>
                <w:szCs w:val="16"/>
                <w:lang w:bidi="th-TH"/>
              </w:rPr>
              <w:t>2</w:t>
            </w:r>
            <w:r w:rsidR="00907AD6" w:rsidRPr="001E6DFD">
              <w:rPr>
                <w:sz w:val="16"/>
                <w:szCs w:val="16"/>
                <w:lang w:bidi="th-TH"/>
              </w:rPr>
              <w:t>)</w:t>
            </w:r>
            <w:r w:rsidR="00FB62FF" w:rsidRPr="001E6DFD">
              <w:rPr>
                <w:sz w:val="16"/>
                <w:szCs w:val="16"/>
                <w:lang w:bidi="th-TH"/>
              </w:rPr>
              <w:t xml:space="preserve">, Amérique latine et </w:t>
            </w:r>
            <w:r w:rsidRPr="001E6DFD">
              <w:rPr>
                <w:sz w:val="16"/>
                <w:szCs w:val="16"/>
                <w:lang w:bidi="th-TH"/>
              </w:rPr>
              <w:t xml:space="preserve">Caraïbes </w:t>
            </w:r>
            <w:r w:rsidR="00907AD6" w:rsidRPr="001E6DFD">
              <w:rPr>
                <w:sz w:val="16"/>
                <w:szCs w:val="16"/>
                <w:lang w:bidi="th-TH"/>
              </w:rPr>
              <w:t>(</w:t>
            </w:r>
            <w:r w:rsidRPr="001E6DFD">
              <w:rPr>
                <w:sz w:val="16"/>
                <w:szCs w:val="16"/>
                <w:lang w:bidi="th-TH"/>
              </w:rPr>
              <w:t>3)</w:t>
            </w:r>
            <w:r w:rsidR="00907AD6" w:rsidRPr="001E6DFD">
              <w:rPr>
                <w:sz w:val="16"/>
                <w:szCs w:val="16"/>
                <w:lang w:bidi="th-TH"/>
              </w:rPr>
              <w:t>)</w:t>
            </w:r>
            <w:r w:rsidR="00FB62FF" w:rsidRPr="001E6DFD">
              <w:rPr>
                <w:sz w:val="16"/>
                <w:szCs w:val="16"/>
                <w:lang w:bidi="th-TH"/>
              </w:rPr>
              <w:t xml:space="preserve"> </w:t>
            </w:r>
          </w:p>
        </w:tc>
        <w:tc>
          <w:tcPr>
            <w:tcW w:w="445" w:type="pct"/>
            <w:shd w:val="clear" w:color="auto" w:fill="auto"/>
            <w:tcMar>
              <w:top w:w="110" w:type="dxa"/>
              <w:left w:w="58" w:type="dxa"/>
              <w:right w:w="58" w:type="dxa"/>
            </w:tcMar>
          </w:tcPr>
          <w:p w14:paraId="38169E6A" w14:textId="77777777" w:rsidR="00257E36" w:rsidRPr="001E6DFD" w:rsidRDefault="00D91044" w:rsidP="0097226C">
            <w:pPr>
              <w:keepNext/>
              <w:keepLines/>
              <w:jc w:val="center"/>
              <w:rPr>
                <w:b/>
                <w:color w:val="00B050"/>
                <w:sz w:val="16"/>
                <w:szCs w:val="16"/>
              </w:rPr>
            </w:pPr>
            <w:r w:rsidRPr="001E6DFD">
              <w:rPr>
                <w:b/>
                <w:color w:val="00B050"/>
                <w:sz w:val="16"/>
                <w:szCs w:val="16"/>
              </w:rPr>
              <w:t>En bonne voie</w:t>
            </w:r>
          </w:p>
        </w:tc>
      </w:tr>
      <w:tr w:rsidR="0039031D" w:rsidRPr="001E6DFD" w14:paraId="0883193F" w14:textId="77777777" w:rsidTr="00A15986">
        <w:tc>
          <w:tcPr>
            <w:tcW w:w="5000" w:type="pct"/>
            <w:gridSpan w:val="5"/>
            <w:shd w:val="clear" w:color="auto" w:fill="C6D9F1" w:themeFill="text2" w:themeFillTint="33"/>
            <w:tcMar>
              <w:left w:w="58" w:type="dxa"/>
              <w:right w:w="58" w:type="dxa"/>
            </w:tcMar>
            <w:vAlign w:val="center"/>
          </w:tcPr>
          <w:p w14:paraId="539EA740" w14:textId="6DE21F0F" w:rsidR="00257E36" w:rsidRPr="001E6DFD" w:rsidRDefault="00D91044" w:rsidP="0097226C">
            <w:pPr>
              <w:rPr>
                <w:b/>
                <w:sz w:val="16"/>
              </w:rPr>
            </w:pPr>
            <w:r w:rsidRPr="001E6DFD">
              <w:rPr>
                <w:b/>
                <w:sz w:val="16"/>
              </w:rPr>
              <w:t>Résultat escompté</w:t>
            </w:r>
            <w:r w:rsidR="00FA22F6" w:rsidRPr="001E6DFD">
              <w:rPr>
                <w:b/>
                <w:sz w:val="16"/>
              </w:rPr>
              <w:t> :</w:t>
            </w:r>
            <w:r w:rsidRPr="001E6DFD">
              <w:rPr>
                <w:b/>
                <w:sz w:val="16"/>
              </w:rPr>
              <w:t xml:space="preserve"> </w:t>
            </w:r>
            <w:r w:rsidRPr="001E6DFD">
              <w:rPr>
                <w:sz w:val="16"/>
              </w:rPr>
              <w:t>I.4 Intérêt croissant pour l</w:t>
            </w:r>
            <w:r w:rsidR="00FA22F6" w:rsidRPr="001E6DFD">
              <w:rPr>
                <w:sz w:val="16"/>
              </w:rPr>
              <w:t>’</w:t>
            </w:r>
            <w:r w:rsidRPr="001E6DFD">
              <w:rPr>
                <w:sz w:val="16"/>
              </w:rPr>
              <w:t>OMPI en tant qu</w:t>
            </w:r>
            <w:r w:rsidR="00FA22F6" w:rsidRPr="001E6DFD">
              <w:rPr>
                <w:sz w:val="16"/>
              </w:rPr>
              <w:t>’</w:t>
            </w:r>
            <w:r w:rsidRPr="001E6DFD">
              <w:rPr>
                <w:sz w:val="16"/>
              </w:rPr>
              <w:t>instance d</w:t>
            </w:r>
            <w:r w:rsidR="00FA22F6" w:rsidRPr="001E6DFD">
              <w:rPr>
                <w:sz w:val="16"/>
              </w:rPr>
              <w:t>’</w:t>
            </w:r>
            <w:r w:rsidRPr="001E6DFD">
              <w:rPr>
                <w:sz w:val="16"/>
              </w:rPr>
              <w:t>analyse des questions relatives à la protection internationale des brevets, modèles d</w:t>
            </w:r>
            <w:r w:rsidR="00FA22F6" w:rsidRPr="001E6DFD">
              <w:rPr>
                <w:sz w:val="16"/>
              </w:rPr>
              <w:t>’</w:t>
            </w:r>
            <w:r w:rsidRPr="001E6DFD">
              <w:rPr>
                <w:sz w:val="16"/>
              </w:rPr>
              <w:t>utilité, schémas de configuration (topographies) de circuits intégrés et informations confidentielles</w:t>
            </w:r>
          </w:p>
        </w:tc>
      </w:tr>
      <w:tr w:rsidR="0039031D" w:rsidRPr="001E6DFD" w14:paraId="2E51F0A0" w14:textId="77777777" w:rsidTr="00A15986">
        <w:tc>
          <w:tcPr>
            <w:tcW w:w="1087" w:type="pct"/>
            <w:shd w:val="clear" w:color="auto" w:fill="auto"/>
            <w:tcMar>
              <w:left w:w="58" w:type="dxa"/>
              <w:right w:w="58" w:type="dxa"/>
            </w:tcMar>
            <w:vAlign w:val="center"/>
          </w:tcPr>
          <w:p w14:paraId="286C34F2" w14:textId="083297FA" w:rsidR="00257E36" w:rsidRPr="001E6DFD" w:rsidRDefault="00D91044"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82" w:type="pct"/>
            <w:shd w:val="clear" w:color="auto" w:fill="auto"/>
            <w:tcMar>
              <w:left w:w="58" w:type="dxa"/>
              <w:right w:w="58" w:type="dxa"/>
            </w:tcMar>
            <w:vAlign w:val="center"/>
          </w:tcPr>
          <w:p w14:paraId="5A37DE16" w14:textId="77777777" w:rsidR="00257E36" w:rsidRPr="001E6DFD" w:rsidRDefault="00D91044" w:rsidP="0097226C">
            <w:pPr>
              <w:jc w:val="center"/>
              <w:rPr>
                <w:b/>
                <w:bCs/>
                <w:sz w:val="16"/>
                <w:szCs w:val="16"/>
              </w:rPr>
            </w:pPr>
            <w:r w:rsidRPr="001E6DFD">
              <w:rPr>
                <w:b/>
                <w:bCs/>
                <w:sz w:val="16"/>
                <w:szCs w:val="16"/>
              </w:rPr>
              <w:t>Niveaux de référence</w:t>
            </w:r>
          </w:p>
        </w:tc>
        <w:tc>
          <w:tcPr>
            <w:tcW w:w="472" w:type="pct"/>
            <w:shd w:val="clear" w:color="auto" w:fill="auto"/>
            <w:tcMar>
              <w:top w:w="110" w:type="dxa"/>
              <w:left w:w="58" w:type="dxa"/>
              <w:right w:w="58" w:type="dxa"/>
            </w:tcMar>
            <w:vAlign w:val="center"/>
          </w:tcPr>
          <w:p w14:paraId="2C4FD859" w14:textId="77777777" w:rsidR="00257E36" w:rsidRPr="001E6DFD" w:rsidRDefault="00D91044" w:rsidP="0097226C">
            <w:pPr>
              <w:jc w:val="center"/>
              <w:rPr>
                <w:b/>
                <w:bCs/>
                <w:sz w:val="16"/>
                <w:szCs w:val="16"/>
              </w:rPr>
            </w:pPr>
            <w:r w:rsidRPr="001E6DFD">
              <w:rPr>
                <w:b/>
                <w:bCs/>
                <w:sz w:val="16"/>
                <w:szCs w:val="16"/>
              </w:rPr>
              <w:t>Objectifs visés</w:t>
            </w:r>
          </w:p>
        </w:tc>
        <w:tc>
          <w:tcPr>
            <w:tcW w:w="1414" w:type="pct"/>
            <w:shd w:val="clear" w:color="auto" w:fill="FFFFFF"/>
            <w:tcMar>
              <w:top w:w="110" w:type="dxa"/>
              <w:left w:w="58" w:type="dxa"/>
              <w:right w:w="58" w:type="dxa"/>
            </w:tcMar>
            <w:vAlign w:val="center"/>
          </w:tcPr>
          <w:p w14:paraId="0E2B8675" w14:textId="622E15DB" w:rsidR="00257E36" w:rsidRPr="001E6DFD" w:rsidRDefault="00D91044"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45" w:type="pct"/>
            <w:shd w:val="clear" w:color="auto" w:fill="auto"/>
            <w:tcMar>
              <w:top w:w="110" w:type="dxa"/>
              <w:left w:w="58" w:type="dxa"/>
              <w:right w:w="58" w:type="dxa"/>
            </w:tcMar>
            <w:vAlign w:val="center"/>
          </w:tcPr>
          <w:p w14:paraId="36D1EBDB" w14:textId="0AC17FD7" w:rsidR="00257E36"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39031D" w:rsidRPr="001E6DFD" w14:paraId="2564B713" w14:textId="77777777" w:rsidTr="00A15986">
        <w:tc>
          <w:tcPr>
            <w:tcW w:w="1087" w:type="pct"/>
            <w:shd w:val="clear" w:color="auto" w:fill="auto"/>
            <w:tcMar>
              <w:left w:w="58" w:type="dxa"/>
              <w:right w:w="58" w:type="dxa"/>
            </w:tcMar>
          </w:tcPr>
          <w:p w14:paraId="1888E938" w14:textId="32E0DD7C" w:rsidR="00257E36" w:rsidRPr="001E6DFD" w:rsidRDefault="00D91044" w:rsidP="0097226C">
            <w:pPr>
              <w:keepNext/>
              <w:keepLines/>
              <w:ind w:right="176"/>
              <w:rPr>
                <w:sz w:val="16"/>
                <w:szCs w:val="16"/>
              </w:rPr>
            </w:pPr>
            <w:r w:rsidRPr="001E6DFD">
              <w:rPr>
                <w:sz w:val="16"/>
                <w:szCs w:val="16"/>
              </w:rPr>
              <w:t>Pourcentage de bénéficiaires ayant trouvé utiles les informations fournies concernant les principes et les pratiques juridiques relatifs à la protection des brevets, modèles d</w:t>
            </w:r>
            <w:r w:rsidR="00FA22F6" w:rsidRPr="001E6DFD">
              <w:rPr>
                <w:sz w:val="16"/>
                <w:szCs w:val="16"/>
              </w:rPr>
              <w:t>’</w:t>
            </w:r>
            <w:r w:rsidRPr="001E6DFD">
              <w:rPr>
                <w:sz w:val="16"/>
                <w:szCs w:val="16"/>
              </w:rPr>
              <w:t>utilité, schémas de configuration (topographies) de circuits intégrés et renseignements confidentiels</w:t>
            </w:r>
            <w:r w:rsidR="00257E36" w:rsidRPr="001E6DFD">
              <w:rPr>
                <w:sz w:val="16"/>
                <w:szCs w:val="16"/>
              </w:rPr>
              <w:t xml:space="preserve"> </w:t>
            </w:r>
          </w:p>
        </w:tc>
        <w:tc>
          <w:tcPr>
            <w:tcW w:w="1582" w:type="pct"/>
            <w:shd w:val="clear" w:color="auto" w:fill="auto"/>
            <w:tcMar>
              <w:left w:w="58" w:type="dxa"/>
              <w:right w:w="58" w:type="dxa"/>
            </w:tcMar>
          </w:tcPr>
          <w:p w14:paraId="5767BA92" w14:textId="77777777" w:rsidR="00257E36" w:rsidRPr="001E6DFD" w:rsidRDefault="00D91044" w:rsidP="0097226C">
            <w:pPr>
              <w:rPr>
                <w:sz w:val="16"/>
                <w:szCs w:val="16"/>
              </w:rPr>
            </w:pPr>
            <w:proofErr w:type="spellStart"/>
            <w:r w:rsidRPr="001E6DFD">
              <w:rPr>
                <w:sz w:val="16"/>
                <w:szCs w:val="16"/>
              </w:rPr>
              <w:t>n.d</w:t>
            </w:r>
            <w:proofErr w:type="spellEnd"/>
            <w:r w:rsidRPr="001E6DFD">
              <w:rPr>
                <w:sz w:val="16"/>
                <w:szCs w:val="16"/>
              </w:rPr>
              <w:t>.</w:t>
            </w:r>
          </w:p>
        </w:tc>
        <w:tc>
          <w:tcPr>
            <w:tcW w:w="472" w:type="pct"/>
            <w:shd w:val="clear" w:color="auto" w:fill="auto"/>
            <w:tcMar>
              <w:top w:w="110" w:type="dxa"/>
              <w:left w:w="58" w:type="dxa"/>
              <w:right w:w="58" w:type="dxa"/>
            </w:tcMar>
          </w:tcPr>
          <w:p w14:paraId="416D59D7" w14:textId="77777777" w:rsidR="00257E36" w:rsidRPr="001E6DFD" w:rsidRDefault="00257E36" w:rsidP="0097226C">
            <w:pPr>
              <w:rPr>
                <w:sz w:val="16"/>
                <w:szCs w:val="16"/>
              </w:rPr>
            </w:pPr>
            <w:r w:rsidRPr="001E6DFD">
              <w:rPr>
                <w:sz w:val="16"/>
                <w:szCs w:val="16"/>
              </w:rPr>
              <w:t>90%</w:t>
            </w:r>
          </w:p>
        </w:tc>
        <w:tc>
          <w:tcPr>
            <w:tcW w:w="1414" w:type="pct"/>
            <w:shd w:val="clear" w:color="auto" w:fill="FFFFFF"/>
            <w:tcMar>
              <w:top w:w="110" w:type="dxa"/>
              <w:left w:w="58" w:type="dxa"/>
              <w:right w:w="58" w:type="dxa"/>
            </w:tcMar>
          </w:tcPr>
          <w:p w14:paraId="1B1C6F0A" w14:textId="728163DF" w:rsidR="00257E36" w:rsidRPr="001E6DFD" w:rsidRDefault="00254175" w:rsidP="0097226C">
            <w:pPr>
              <w:rPr>
                <w:sz w:val="16"/>
                <w:szCs w:val="16"/>
              </w:rPr>
            </w:pPr>
            <w:r w:rsidRPr="001E6DFD">
              <w:rPr>
                <w:sz w:val="16"/>
                <w:szCs w:val="16"/>
              </w:rPr>
              <w:t xml:space="preserve">81% </w:t>
            </w:r>
            <w:r w:rsidR="00C201FD" w:rsidRPr="001E6DFD">
              <w:rPr>
                <w:sz w:val="16"/>
                <w:szCs w:val="16"/>
              </w:rPr>
              <w:t>sur la base de 18</w:t>
            </w:r>
            <w:r w:rsidR="00B4191E">
              <w:rPr>
                <w:sz w:val="16"/>
                <w:szCs w:val="16"/>
              </w:rPr>
              <w:t> </w:t>
            </w:r>
            <w:r w:rsidR="00C201FD" w:rsidRPr="001E6DFD">
              <w:rPr>
                <w:sz w:val="16"/>
                <w:szCs w:val="16"/>
              </w:rPr>
              <w:t>ré</w:t>
            </w:r>
            <w:r w:rsidRPr="001E6DFD">
              <w:rPr>
                <w:sz w:val="16"/>
                <w:szCs w:val="16"/>
              </w:rPr>
              <w:t xml:space="preserve">ponses </w:t>
            </w:r>
          </w:p>
        </w:tc>
        <w:tc>
          <w:tcPr>
            <w:tcW w:w="445" w:type="pct"/>
            <w:shd w:val="clear" w:color="auto" w:fill="auto"/>
            <w:tcMar>
              <w:top w:w="110" w:type="dxa"/>
              <w:left w:w="58" w:type="dxa"/>
              <w:right w:w="58" w:type="dxa"/>
            </w:tcMar>
          </w:tcPr>
          <w:p w14:paraId="2CDC959F" w14:textId="77777777" w:rsidR="00254175" w:rsidRPr="001E6DFD" w:rsidRDefault="00D91044" w:rsidP="0097226C">
            <w:pPr>
              <w:keepNext/>
              <w:keepLines/>
              <w:jc w:val="center"/>
              <w:rPr>
                <w:b/>
                <w:sz w:val="16"/>
                <w:szCs w:val="16"/>
              </w:rPr>
            </w:pPr>
            <w:r w:rsidRPr="001E6DFD">
              <w:rPr>
                <w:b/>
                <w:color w:val="00B050"/>
                <w:sz w:val="16"/>
                <w:szCs w:val="16"/>
              </w:rPr>
              <w:t>En bonne voie</w:t>
            </w:r>
          </w:p>
        </w:tc>
      </w:tr>
    </w:tbl>
    <w:p w14:paraId="23D0243A" w14:textId="77777777" w:rsidR="001F64B1" w:rsidRPr="001E6DFD" w:rsidRDefault="001F64B1" w:rsidP="0097226C">
      <w:pPr>
        <w:rPr>
          <w:szCs w:val="22"/>
        </w:rPr>
      </w:pPr>
    </w:p>
    <w:p w14:paraId="030A9420" w14:textId="77777777" w:rsidR="001F64B1" w:rsidRPr="001E6DFD" w:rsidRDefault="004F5E83" w:rsidP="0097226C">
      <w:pPr>
        <w:rPr>
          <w:szCs w:val="22"/>
        </w:rPr>
      </w:pPr>
      <w:r w:rsidRPr="001E6DFD">
        <w:rPr>
          <w:szCs w:val="2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39031D" w:rsidRPr="001E6DFD" w14:paraId="3CA657F5" w14:textId="77777777" w:rsidTr="00340492">
        <w:trPr>
          <w:trHeight w:val="423"/>
        </w:trPr>
        <w:tc>
          <w:tcPr>
            <w:tcW w:w="9179" w:type="dxa"/>
            <w:shd w:val="clear" w:color="auto" w:fill="C6D9F1" w:themeFill="text2" w:themeFillTint="33"/>
            <w:vAlign w:val="center"/>
          </w:tcPr>
          <w:p w14:paraId="25B8C690" w14:textId="3E781169" w:rsidR="002F1C9B" w:rsidRPr="001E6DFD" w:rsidRDefault="002F1C9B" w:rsidP="0097226C">
            <w:pPr>
              <w:keepNext/>
              <w:keepLines/>
              <w:jc w:val="center"/>
              <w:rPr>
                <w:b/>
                <w:sz w:val="20"/>
              </w:rPr>
            </w:pPr>
            <w:r w:rsidRPr="001E6DFD">
              <w:rPr>
                <w:sz w:val="20"/>
              </w:rPr>
              <w:lastRenderedPageBreak/>
              <w:br w:type="page"/>
            </w:r>
            <w:r w:rsidR="004F5E83" w:rsidRPr="001E6DFD">
              <w:rPr>
                <w:b/>
                <w:sz w:val="20"/>
              </w:rPr>
              <w:t>Utilisation des ressources au titre du programme</w:t>
            </w:r>
            <w:r w:rsidR="00B4191E">
              <w:rPr>
                <w:b/>
                <w:sz w:val="20"/>
              </w:rPr>
              <w:t> </w:t>
            </w:r>
            <w:r w:rsidRPr="001E6DFD">
              <w:rPr>
                <w:b/>
                <w:sz w:val="20"/>
              </w:rPr>
              <w:t>1</w:t>
            </w:r>
          </w:p>
        </w:tc>
      </w:tr>
    </w:tbl>
    <w:p w14:paraId="54891D15" w14:textId="77777777" w:rsidR="001F64B1" w:rsidRPr="001E6DFD" w:rsidRDefault="001F64B1" w:rsidP="0097226C"/>
    <w:p w14:paraId="2B2D889F" w14:textId="77777777" w:rsidR="001F64B1" w:rsidRPr="001E6DFD" w:rsidRDefault="00D91044" w:rsidP="0097226C">
      <w:pPr>
        <w:pStyle w:val="NormalWeb"/>
        <w:keepNext/>
        <w:keepLines/>
        <w:spacing w:before="0" w:beforeAutospacing="0" w:after="0" w:afterAutospacing="0"/>
        <w:jc w:val="center"/>
      </w:pPr>
      <w:r w:rsidRPr="001E6DFD">
        <w:t>Budget et dépenses effectives (par résultat)</w:t>
      </w:r>
    </w:p>
    <w:p w14:paraId="0CDEF503" w14:textId="77777777" w:rsidR="001F64B1" w:rsidRPr="001E6DFD" w:rsidRDefault="00D91044"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606A1EDF" w14:textId="77777777" w:rsidR="002F1C9B" w:rsidRPr="001E6DFD" w:rsidRDefault="002F1C9B" w:rsidP="0097226C"/>
    <w:tbl>
      <w:tblPr>
        <w:tblW w:w="4300" w:type="pct"/>
        <w:jc w:val="center"/>
        <w:tblCellMar>
          <w:top w:w="57" w:type="dxa"/>
          <w:bottom w:w="57" w:type="dxa"/>
        </w:tblCellMar>
        <w:tblLook w:val="04A0" w:firstRow="1" w:lastRow="0" w:firstColumn="1" w:lastColumn="0" w:noHBand="0" w:noVBand="1"/>
      </w:tblPr>
      <w:tblGrid>
        <w:gridCol w:w="394"/>
        <w:gridCol w:w="4309"/>
        <w:gridCol w:w="1575"/>
        <w:gridCol w:w="1575"/>
        <w:gridCol w:w="1434"/>
      </w:tblGrid>
      <w:tr w:rsidR="0039031D" w:rsidRPr="001E6DFD" w14:paraId="7BE8C118" w14:textId="77777777" w:rsidTr="00A15986">
        <w:trPr>
          <w:jc w:val="center"/>
        </w:trPr>
        <w:tc>
          <w:tcPr>
            <w:tcW w:w="4708" w:type="dxa"/>
            <w:gridSpan w:val="2"/>
            <w:tcBorders>
              <w:top w:val="nil"/>
              <w:left w:val="nil"/>
              <w:bottom w:val="nil"/>
              <w:right w:val="nil"/>
            </w:tcBorders>
            <w:shd w:val="clear" w:color="000000" w:fill="C5D9F1"/>
            <w:noWrap/>
            <w:vAlign w:val="center"/>
            <w:hideMark/>
          </w:tcPr>
          <w:p w14:paraId="622F4659" w14:textId="77777777" w:rsidR="00F842B7" w:rsidRPr="001E6DFD" w:rsidRDefault="00D91044" w:rsidP="0097226C">
            <w:pPr>
              <w:jc w:val="center"/>
              <w:rPr>
                <w:b/>
                <w:bCs/>
                <w:sz w:val="16"/>
                <w:szCs w:val="16"/>
              </w:rPr>
            </w:pPr>
            <w:r w:rsidRPr="001E6DFD">
              <w:rPr>
                <w:b/>
                <w:bCs/>
                <w:sz w:val="16"/>
                <w:szCs w:val="16"/>
              </w:rPr>
              <w:t>Numéro et description du résultat escompté</w:t>
            </w:r>
            <w:r w:rsidR="00F842B7" w:rsidRPr="001E6DFD">
              <w:rPr>
                <w:b/>
                <w:bCs/>
                <w:sz w:val="16"/>
                <w:szCs w:val="16"/>
              </w:rPr>
              <w:t xml:space="preserve"> </w:t>
            </w:r>
          </w:p>
        </w:tc>
        <w:tc>
          <w:tcPr>
            <w:tcW w:w="1180" w:type="dxa"/>
            <w:tcBorders>
              <w:top w:val="nil"/>
              <w:left w:val="nil"/>
              <w:bottom w:val="nil"/>
              <w:right w:val="nil"/>
            </w:tcBorders>
            <w:shd w:val="clear" w:color="000000" w:fill="C5D9F1"/>
            <w:vAlign w:val="center"/>
            <w:hideMark/>
          </w:tcPr>
          <w:p w14:paraId="4AAAAF67" w14:textId="1300C0AA" w:rsidR="00F842B7" w:rsidRPr="001E6DFD" w:rsidRDefault="00B649F5"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 xml:space="preserve">2017 approuvé </w:t>
            </w:r>
          </w:p>
        </w:tc>
        <w:tc>
          <w:tcPr>
            <w:tcW w:w="1180" w:type="dxa"/>
            <w:tcBorders>
              <w:top w:val="nil"/>
              <w:left w:val="nil"/>
              <w:bottom w:val="nil"/>
              <w:right w:val="nil"/>
            </w:tcBorders>
            <w:shd w:val="clear" w:color="000000" w:fill="C5D9F1"/>
            <w:vAlign w:val="center"/>
            <w:hideMark/>
          </w:tcPr>
          <w:p w14:paraId="1117F1EA" w14:textId="5CBC5FAC" w:rsidR="00F842B7" w:rsidRPr="001E6DFD" w:rsidRDefault="00D91044"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r w:rsidR="00F842B7" w:rsidRPr="001E6DFD">
              <w:rPr>
                <w:b/>
                <w:bCs/>
                <w:sz w:val="16"/>
                <w:szCs w:val="16"/>
              </w:rPr>
              <w:t xml:space="preserve"> </w:t>
            </w:r>
          </w:p>
        </w:tc>
        <w:tc>
          <w:tcPr>
            <w:tcW w:w="1180" w:type="dxa"/>
            <w:tcBorders>
              <w:top w:val="nil"/>
              <w:left w:val="nil"/>
              <w:bottom w:val="nil"/>
              <w:right w:val="nil"/>
            </w:tcBorders>
            <w:shd w:val="clear" w:color="000000" w:fill="C5D9F1"/>
            <w:vAlign w:val="center"/>
            <w:hideMark/>
          </w:tcPr>
          <w:p w14:paraId="5EA85C46" w14:textId="7AD90B8F" w:rsidR="00F842B7" w:rsidRPr="001E6DFD" w:rsidRDefault="00D91044"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r w:rsidR="00F842B7" w:rsidRPr="001E6DFD">
              <w:rPr>
                <w:b/>
                <w:bCs/>
                <w:sz w:val="16"/>
                <w:szCs w:val="16"/>
              </w:rPr>
              <w:t xml:space="preserve"> </w:t>
            </w:r>
          </w:p>
        </w:tc>
      </w:tr>
      <w:tr w:rsidR="0039031D" w:rsidRPr="001E6DFD" w14:paraId="6BC8B52B" w14:textId="77777777" w:rsidTr="00A15986">
        <w:trPr>
          <w:jc w:val="center"/>
        </w:trPr>
        <w:tc>
          <w:tcPr>
            <w:tcW w:w="394" w:type="dxa"/>
            <w:tcBorders>
              <w:top w:val="nil"/>
              <w:left w:val="nil"/>
              <w:bottom w:val="nil"/>
              <w:right w:val="nil"/>
            </w:tcBorders>
            <w:shd w:val="clear" w:color="auto" w:fill="auto"/>
            <w:noWrap/>
            <w:vAlign w:val="center"/>
            <w:hideMark/>
          </w:tcPr>
          <w:p w14:paraId="2B44A37E" w14:textId="77777777" w:rsidR="00F842B7" w:rsidRPr="001E6DFD" w:rsidRDefault="00F842B7" w:rsidP="0097226C">
            <w:pPr>
              <w:rPr>
                <w:sz w:val="16"/>
                <w:szCs w:val="16"/>
              </w:rPr>
            </w:pPr>
            <w:r w:rsidRPr="001E6DFD">
              <w:rPr>
                <w:sz w:val="16"/>
                <w:szCs w:val="16"/>
              </w:rPr>
              <w:t>I.1</w:t>
            </w:r>
          </w:p>
        </w:tc>
        <w:tc>
          <w:tcPr>
            <w:tcW w:w="4314" w:type="dxa"/>
            <w:tcBorders>
              <w:top w:val="nil"/>
              <w:left w:val="nil"/>
              <w:bottom w:val="nil"/>
              <w:right w:val="nil"/>
            </w:tcBorders>
            <w:shd w:val="clear" w:color="auto" w:fill="auto"/>
            <w:vAlign w:val="center"/>
            <w:hideMark/>
          </w:tcPr>
          <w:p w14:paraId="0340D04D" w14:textId="751AD9DF" w:rsidR="00F842B7" w:rsidRPr="001E6DFD" w:rsidRDefault="00D91044" w:rsidP="0097226C">
            <w:pPr>
              <w:rPr>
                <w:sz w:val="16"/>
                <w:szCs w:val="16"/>
              </w:rPr>
            </w:pPr>
            <w:r w:rsidRPr="001E6DFD">
              <w:rPr>
                <w:sz w:val="16"/>
                <w:szCs w:val="16"/>
              </w:rPr>
              <w:t>Renforcement de la coopération entre les États membres en ce qui concerne l</w:t>
            </w:r>
            <w:r w:rsidR="00FA22F6" w:rsidRPr="001E6DFD">
              <w:rPr>
                <w:sz w:val="16"/>
                <w:szCs w:val="16"/>
              </w:rPr>
              <w:t>’</w:t>
            </w:r>
            <w:r w:rsidRPr="001E6DFD">
              <w:rPr>
                <w:sz w:val="16"/>
                <w:szCs w:val="16"/>
              </w:rPr>
              <w:t>élaboration de cadres normatifs internationaux équilibrés dans le domaine de la propriété intellectuelle</w:t>
            </w:r>
            <w:r w:rsidR="00F842B7" w:rsidRPr="001E6DFD">
              <w:rPr>
                <w:sz w:val="16"/>
                <w:szCs w:val="16"/>
              </w:rPr>
              <w:t xml:space="preserve"> </w:t>
            </w:r>
          </w:p>
        </w:tc>
        <w:tc>
          <w:tcPr>
            <w:tcW w:w="1180" w:type="dxa"/>
            <w:tcBorders>
              <w:top w:val="nil"/>
              <w:left w:val="nil"/>
              <w:bottom w:val="nil"/>
              <w:right w:val="nil"/>
            </w:tcBorders>
            <w:shd w:val="clear" w:color="auto" w:fill="auto"/>
            <w:noWrap/>
            <w:vAlign w:val="center"/>
            <w:hideMark/>
          </w:tcPr>
          <w:p w14:paraId="6883BDF0" w14:textId="77777777" w:rsidR="00F842B7" w:rsidRPr="001E6DFD" w:rsidRDefault="00F842B7" w:rsidP="0097226C">
            <w:pPr>
              <w:jc w:val="center"/>
              <w:rPr>
                <w:sz w:val="16"/>
                <w:szCs w:val="16"/>
              </w:rPr>
            </w:pPr>
            <w:r w:rsidRPr="001E6DFD">
              <w:rPr>
                <w:sz w:val="16"/>
                <w:szCs w:val="16"/>
              </w:rPr>
              <w:t>2</w:t>
            </w:r>
            <w:r w:rsidR="004F5E83" w:rsidRPr="001E6DFD">
              <w:rPr>
                <w:sz w:val="16"/>
                <w:szCs w:val="16"/>
              </w:rPr>
              <w:t> </w:t>
            </w:r>
            <w:r w:rsidRPr="001E6DFD">
              <w:rPr>
                <w:sz w:val="16"/>
                <w:szCs w:val="16"/>
              </w:rPr>
              <w:t>239</w:t>
            </w:r>
          </w:p>
        </w:tc>
        <w:tc>
          <w:tcPr>
            <w:tcW w:w="1180" w:type="dxa"/>
            <w:tcBorders>
              <w:top w:val="nil"/>
              <w:left w:val="nil"/>
              <w:bottom w:val="nil"/>
              <w:right w:val="nil"/>
            </w:tcBorders>
            <w:shd w:val="clear" w:color="auto" w:fill="auto"/>
            <w:noWrap/>
            <w:vAlign w:val="center"/>
            <w:hideMark/>
          </w:tcPr>
          <w:p w14:paraId="211A8139" w14:textId="77777777" w:rsidR="00F842B7" w:rsidRPr="001E6DFD" w:rsidRDefault="00F842B7" w:rsidP="0097226C">
            <w:pPr>
              <w:jc w:val="center"/>
              <w:rPr>
                <w:sz w:val="16"/>
                <w:szCs w:val="16"/>
              </w:rPr>
            </w:pPr>
            <w:r w:rsidRPr="001E6DFD">
              <w:rPr>
                <w:sz w:val="16"/>
                <w:szCs w:val="16"/>
              </w:rPr>
              <w:t>2</w:t>
            </w:r>
            <w:r w:rsidR="004F5E83" w:rsidRPr="001E6DFD">
              <w:rPr>
                <w:sz w:val="16"/>
                <w:szCs w:val="16"/>
              </w:rPr>
              <w:t> </w:t>
            </w:r>
            <w:r w:rsidRPr="001E6DFD">
              <w:rPr>
                <w:sz w:val="16"/>
                <w:szCs w:val="16"/>
              </w:rPr>
              <w:t>721</w:t>
            </w:r>
          </w:p>
        </w:tc>
        <w:tc>
          <w:tcPr>
            <w:tcW w:w="1180" w:type="dxa"/>
            <w:tcBorders>
              <w:top w:val="nil"/>
              <w:left w:val="nil"/>
              <w:bottom w:val="nil"/>
              <w:right w:val="nil"/>
            </w:tcBorders>
            <w:shd w:val="clear" w:color="auto" w:fill="auto"/>
            <w:noWrap/>
            <w:vAlign w:val="center"/>
            <w:hideMark/>
          </w:tcPr>
          <w:p w14:paraId="10DC3ACE" w14:textId="77777777" w:rsidR="00F842B7" w:rsidRPr="001E6DFD" w:rsidRDefault="00F842B7" w:rsidP="0097226C">
            <w:pPr>
              <w:jc w:val="center"/>
              <w:rPr>
                <w:sz w:val="16"/>
                <w:szCs w:val="16"/>
              </w:rPr>
            </w:pPr>
            <w:r w:rsidRPr="001E6DFD">
              <w:rPr>
                <w:sz w:val="16"/>
                <w:szCs w:val="16"/>
              </w:rPr>
              <w:t>1</w:t>
            </w:r>
            <w:r w:rsidR="004F5E83" w:rsidRPr="001E6DFD">
              <w:rPr>
                <w:sz w:val="16"/>
                <w:szCs w:val="16"/>
              </w:rPr>
              <w:t> </w:t>
            </w:r>
            <w:r w:rsidRPr="001E6DFD">
              <w:rPr>
                <w:sz w:val="16"/>
                <w:szCs w:val="16"/>
              </w:rPr>
              <w:t>267</w:t>
            </w:r>
          </w:p>
        </w:tc>
      </w:tr>
      <w:tr w:rsidR="0039031D" w:rsidRPr="001E6DFD" w14:paraId="0959CE2F" w14:textId="77777777" w:rsidTr="00A15986">
        <w:trPr>
          <w:jc w:val="center"/>
        </w:trPr>
        <w:tc>
          <w:tcPr>
            <w:tcW w:w="394" w:type="dxa"/>
            <w:tcBorders>
              <w:top w:val="nil"/>
              <w:left w:val="nil"/>
              <w:bottom w:val="nil"/>
              <w:right w:val="nil"/>
            </w:tcBorders>
            <w:shd w:val="clear" w:color="auto" w:fill="auto"/>
            <w:noWrap/>
            <w:vAlign w:val="center"/>
            <w:hideMark/>
          </w:tcPr>
          <w:p w14:paraId="0DDB25A4" w14:textId="77777777" w:rsidR="00F842B7" w:rsidRPr="001E6DFD" w:rsidRDefault="00F842B7" w:rsidP="0097226C">
            <w:pPr>
              <w:rPr>
                <w:sz w:val="16"/>
                <w:szCs w:val="16"/>
              </w:rPr>
            </w:pPr>
            <w:r w:rsidRPr="001E6DFD">
              <w:rPr>
                <w:sz w:val="16"/>
                <w:szCs w:val="16"/>
              </w:rPr>
              <w:t>I.2</w:t>
            </w:r>
          </w:p>
        </w:tc>
        <w:tc>
          <w:tcPr>
            <w:tcW w:w="4314" w:type="dxa"/>
            <w:tcBorders>
              <w:top w:val="nil"/>
              <w:left w:val="nil"/>
              <w:bottom w:val="nil"/>
              <w:right w:val="nil"/>
            </w:tcBorders>
            <w:shd w:val="clear" w:color="auto" w:fill="auto"/>
            <w:vAlign w:val="center"/>
            <w:hideMark/>
          </w:tcPr>
          <w:p w14:paraId="2B3FB129" w14:textId="77777777" w:rsidR="00F842B7" w:rsidRPr="001E6DFD" w:rsidRDefault="00D91044" w:rsidP="0097226C">
            <w:pPr>
              <w:rPr>
                <w:sz w:val="16"/>
                <w:szCs w:val="16"/>
              </w:rPr>
            </w:pPr>
            <w:r w:rsidRPr="001E6DFD">
              <w:rPr>
                <w:sz w:val="16"/>
                <w:szCs w:val="16"/>
              </w:rPr>
              <w:t>Cadres législatifs, réglementaires et politiques adaptés et équilibrés en matière de propriété intellectuelle</w:t>
            </w:r>
          </w:p>
        </w:tc>
        <w:tc>
          <w:tcPr>
            <w:tcW w:w="1180" w:type="dxa"/>
            <w:tcBorders>
              <w:top w:val="nil"/>
              <w:left w:val="nil"/>
              <w:bottom w:val="nil"/>
              <w:right w:val="nil"/>
            </w:tcBorders>
            <w:shd w:val="clear" w:color="auto" w:fill="auto"/>
            <w:noWrap/>
            <w:vAlign w:val="center"/>
            <w:hideMark/>
          </w:tcPr>
          <w:p w14:paraId="457C4EA8" w14:textId="77777777" w:rsidR="00F842B7" w:rsidRPr="001E6DFD" w:rsidRDefault="00F842B7" w:rsidP="0097226C">
            <w:pPr>
              <w:jc w:val="center"/>
              <w:rPr>
                <w:sz w:val="16"/>
                <w:szCs w:val="16"/>
              </w:rPr>
            </w:pPr>
            <w:r w:rsidRPr="001E6DFD">
              <w:rPr>
                <w:sz w:val="16"/>
                <w:szCs w:val="16"/>
              </w:rPr>
              <w:t>2</w:t>
            </w:r>
            <w:r w:rsidR="004F5E83" w:rsidRPr="001E6DFD">
              <w:rPr>
                <w:sz w:val="16"/>
                <w:szCs w:val="16"/>
              </w:rPr>
              <w:t> </w:t>
            </w:r>
            <w:r w:rsidRPr="001E6DFD">
              <w:rPr>
                <w:sz w:val="16"/>
                <w:szCs w:val="16"/>
              </w:rPr>
              <w:t>559</w:t>
            </w:r>
          </w:p>
        </w:tc>
        <w:tc>
          <w:tcPr>
            <w:tcW w:w="1180" w:type="dxa"/>
            <w:tcBorders>
              <w:top w:val="nil"/>
              <w:left w:val="nil"/>
              <w:bottom w:val="nil"/>
              <w:right w:val="nil"/>
            </w:tcBorders>
            <w:shd w:val="clear" w:color="auto" w:fill="auto"/>
            <w:noWrap/>
            <w:vAlign w:val="center"/>
            <w:hideMark/>
          </w:tcPr>
          <w:p w14:paraId="4CE257ED" w14:textId="77777777" w:rsidR="00F842B7" w:rsidRPr="001E6DFD" w:rsidRDefault="00F842B7" w:rsidP="0097226C">
            <w:pPr>
              <w:jc w:val="center"/>
              <w:rPr>
                <w:sz w:val="16"/>
                <w:szCs w:val="16"/>
              </w:rPr>
            </w:pPr>
            <w:r w:rsidRPr="001E6DFD">
              <w:rPr>
                <w:sz w:val="16"/>
                <w:szCs w:val="16"/>
              </w:rPr>
              <w:t>2</w:t>
            </w:r>
            <w:r w:rsidR="004F5E83" w:rsidRPr="001E6DFD">
              <w:rPr>
                <w:sz w:val="16"/>
                <w:szCs w:val="16"/>
              </w:rPr>
              <w:t> </w:t>
            </w:r>
            <w:r w:rsidRPr="001E6DFD">
              <w:rPr>
                <w:sz w:val="16"/>
                <w:szCs w:val="16"/>
              </w:rPr>
              <w:t>130</w:t>
            </w:r>
          </w:p>
        </w:tc>
        <w:tc>
          <w:tcPr>
            <w:tcW w:w="1180" w:type="dxa"/>
            <w:tcBorders>
              <w:top w:val="nil"/>
              <w:left w:val="nil"/>
              <w:bottom w:val="nil"/>
              <w:right w:val="nil"/>
            </w:tcBorders>
            <w:shd w:val="clear" w:color="auto" w:fill="auto"/>
            <w:noWrap/>
            <w:vAlign w:val="center"/>
            <w:hideMark/>
          </w:tcPr>
          <w:p w14:paraId="2253F139" w14:textId="77777777" w:rsidR="00F842B7" w:rsidRPr="001E6DFD" w:rsidRDefault="00F842B7" w:rsidP="0097226C">
            <w:pPr>
              <w:jc w:val="center"/>
              <w:rPr>
                <w:sz w:val="16"/>
                <w:szCs w:val="16"/>
              </w:rPr>
            </w:pPr>
            <w:r w:rsidRPr="001E6DFD">
              <w:rPr>
                <w:sz w:val="16"/>
                <w:szCs w:val="16"/>
              </w:rPr>
              <w:t>1</w:t>
            </w:r>
            <w:r w:rsidR="004F5E83" w:rsidRPr="001E6DFD">
              <w:rPr>
                <w:sz w:val="16"/>
                <w:szCs w:val="16"/>
              </w:rPr>
              <w:t> </w:t>
            </w:r>
            <w:r w:rsidRPr="001E6DFD">
              <w:rPr>
                <w:sz w:val="16"/>
                <w:szCs w:val="16"/>
              </w:rPr>
              <w:t>150</w:t>
            </w:r>
          </w:p>
        </w:tc>
      </w:tr>
      <w:tr w:rsidR="0039031D" w:rsidRPr="001E6DFD" w14:paraId="49571603" w14:textId="77777777" w:rsidTr="00A15986">
        <w:trPr>
          <w:jc w:val="center"/>
        </w:trPr>
        <w:tc>
          <w:tcPr>
            <w:tcW w:w="394" w:type="dxa"/>
            <w:tcBorders>
              <w:top w:val="nil"/>
              <w:left w:val="nil"/>
              <w:bottom w:val="nil"/>
              <w:right w:val="nil"/>
            </w:tcBorders>
            <w:shd w:val="clear" w:color="auto" w:fill="auto"/>
            <w:noWrap/>
            <w:vAlign w:val="center"/>
            <w:hideMark/>
          </w:tcPr>
          <w:p w14:paraId="55479692" w14:textId="77777777" w:rsidR="00F842B7" w:rsidRPr="001E6DFD" w:rsidRDefault="00F842B7" w:rsidP="0097226C">
            <w:pPr>
              <w:rPr>
                <w:sz w:val="16"/>
                <w:szCs w:val="16"/>
              </w:rPr>
            </w:pPr>
            <w:r w:rsidRPr="001E6DFD">
              <w:rPr>
                <w:sz w:val="16"/>
                <w:szCs w:val="16"/>
              </w:rPr>
              <w:t>I.4</w:t>
            </w:r>
          </w:p>
        </w:tc>
        <w:tc>
          <w:tcPr>
            <w:tcW w:w="4314" w:type="dxa"/>
            <w:tcBorders>
              <w:top w:val="nil"/>
              <w:left w:val="nil"/>
              <w:bottom w:val="nil"/>
              <w:right w:val="nil"/>
            </w:tcBorders>
            <w:shd w:val="clear" w:color="auto" w:fill="auto"/>
            <w:vAlign w:val="center"/>
            <w:hideMark/>
          </w:tcPr>
          <w:p w14:paraId="36685367" w14:textId="14DCA387" w:rsidR="00F842B7" w:rsidRPr="001E6DFD" w:rsidRDefault="00D91044" w:rsidP="0097226C">
            <w:pPr>
              <w:rPr>
                <w:sz w:val="16"/>
                <w:szCs w:val="16"/>
              </w:rPr>
            </w:pPr>
            <w:r w:rsidRPr="001E6DFD">
              <w:rPr>
                <w:sz w:val="16"/>
                <w:szCs w:val="16"/>
              </w:rPr>
              <w:t>Intérêt croissant pour l</w:t>
            </w:r>
            <w:r w:rsidR="00FA22F6" w:rsidRPr="001E6DFD">
              <w:rPr>
                <w:sz w:val="16"/>
                <w:szCs w:val="16"/>
              </w:rPr>
              <w:t>’</w:t>
            </w:r>
            <w:r w:rsidRPr="001E6DFD">
              <w:rPr>
                <w:sz w:val="16"/>
                <w:szCs w:val="16"/>
              </w:rPr>
              <w:t>OMPI en tant qu</w:t>
            </w:r>
            <w:r w:rsidR="00FA22F6" w:rsidRPr="001E6DFD">
              <w:rPr>
                <w:sz w:val="16"/>
                <w:szCs w:val="16"/>
              </w:rPr>
              <w:t>’</w:t>
            </w:r>
            <w:r w:rsidRPr="001E6DFD">
              <w:rPr>
                <w:sz w:val="16"/>
                <w:szCs w:val="16"/>
              </w:rPr>
              <w:t>instance d</w:t>
            </w:r>
            <w:r w:rsidR="00FA22F6" w:rsidRPr="001E6DFD">
              <w:rPr>
                <w:sz w:val="16"/>
                <w:szCs w:val="16"/>
              </w:rPr>
              <w:t>’</w:t>
            </w:r>
            <w:r w:rsidRPr="001E6DFD">
              <w:rPr>
                <w:sz w:val="16"/>
                <w:szCs w:val="16"/>
              </w:rPr>
              <w:t>analyse des questions relatives à la protection internationale des informations confidentielles</w:t>
            </w:r>
          </w:p>
        </w:tc>
        <w:tc>
          <w:tcPr>
            <w:tcW w:w="1180" w:type="dxa"/>
            <w:tcBorders>
              <w:top w:val="nil"/>
              <w:left w:val="nil"/>
              <w:bottom w:val="nil"/>
              <w:right w:val="nil"/>
            </w:tcBorders>
            <w:shd w:val="clear" w:color="auto" w:fill="auto"/>
            <w:noWrap/>
            <w:vAlign w:val="center"/>
            <w:hideMark/>
          </w:tcPr>
          <w:p w14:paraId="5B5473A1" w14:textId="77777777" w:rsidR="00F842B7" w:rsidRPr="001E6DFD" w:rsidRDefault="00F842B7" w:rsidP="0097226C">
            <w:pPr>
              <w:jc w:val="center"/>
              <w:rPr>
                <w:sz w:val="16"/>
                <w:szCs w:val="16"/>
              </w:rPr>
            </w:pPr>
            <w:r w:rsidRPr="001E6DFD">
              <w:rPr>
                <w:sz w:val="16"/>
                <w:szCs w:val="16"/>
              </w:rPr>
              <w:t>494</w:t>
            </w:r>
          </w:p>
        </w:tc>
        <w:tc>
          <w:tcPr>
            <w:tcW w:w="1180" w:type="dxa"/>
            <w:tcBorders>
              <w:top w:val="nil"/>
              <w:left w:val="nil"/>
              <w:bottom w:val="nil"/>
              <w:right w:val="nil"/>
            </w:tcBorders>
            <w:shd w:val="clear" w:color="auto" w:fill="auto"/>
            <w:noWrap/>
            <w:vAlign w:val="center"/>
            <w:hideMark/>
          </w:tcPr>
          <w:p w14:paraId="51E4BFD4" w14:textId="77777777" w:rsidR="00F842B7" w:rsidRPr="001E6DFD" w:rsidRDefault="00F842B7" w:rsidP="0097226C">
            <w:pPr>
              <w:jc w:val="center"/>
              <w:rPr>
                <w:sz w:val="16"/>
                <w:szCs w:val="16"/>
              </w:rPr>
            </w:pPr>
            <w:r w:rsidRPr="001E6DFD">
              <w:rPr>
                <w:sz w:val="16"/>
                <w:szCs w:val="16"/>
              </w:rPr>
              <w:t>368</w:t>
            </w:r>
          </w:p>
        </w:tc>
        <w:tc>
          <w:tcPr>
            <w:tcW w:w="1180" w:type="dxa"/>
            <w:tcBorders>
              <w:top w:val="nil"/>
              <w:left w:val="nil"/>
              <w:bottom w:val="nil"/>
              <w:right w:val="nil"/>
            </w:tcBorders>
            <w:shd w:val="clear" w:color="auto" w:fill="auto"/>
            <w:noWrap/>
            <w:vAlign w:val="center"/>
            <w:hideMark/>
          </w:tcPr>
          <w:p w14:paraId="4FA007C6" w14:textId="77777777" w:rsidR="00F842B7" w:rsidRPr="001E6DFD" w:rsidRDefault="00F842B7" w:rsidP="0097226C">
            <w:pPr>
              <w:jc w:val="center"/>
              <w:rPr>
                <w:sz w:val="16"/>
                <w:szCs w:val="16"/>
              </w:rPr>
            </w:pPr>
            <w:r w:rsidRPr="001E6DFD">
              <w:rPr>
                <w:sz w:val="16"/>
                <w:szCs w:val="16"/>
              </w:rPr>
              <w:t>164</w:t>
            </w:r>
          </w:p>
        </w:tc>
      </w:tr>
      <w:tr w:rsidR="0039031D" w:rsidRPr="001E6DFD" w14:paraId="6CF9464B" w14:textId="77777777" w:rsidTr="00A15986">
        <w:trPr>
          <w:jc w:val="center"/>
        </w:trPr>
        <w:tc>
          <w:tcPr>
            <w:tcW w:w="394" w:type="dxa"/>
            <w:tcBorders>
              <w:top w:val="nil"/>
              <w:left w:val="nil"/>
              <w:bottom w:val="nil"/>
              <w:right w:val="nil"/>
            </w:tcBorders>
            <w:shd w:val="clear" w:color="000000" w:fill="C5D9F1"/>
            <w:noWrap/>
            <w:vAlign w:val="bottom"/>
            <w:hideMark/>
          </w:tcPr>
          <w:p w14:paraId="2CF45E30" w14:textId="77777777" w:rsidR="00F842B7" w:rsidRPr="001E6DFD" w:rsidRDefault="00F842B7" w:rsidP="0097226C">
            <w:pPr>
              <w:rPr>
                <w:sz w:val="16"/>
                <w:szCs w:val="16"/>
              </w:rPr>
            </w:pPr>
            <w:r w:rsidRPr="001E6DFD">
              <w:rPr>
                <w:sz w:val="16"/>
                <w:szCs w:val="16"/>
              </w:rPr>
              <w:t> </w:t>
            </w:r>
          </w:p>
        </w:tc>
        <w:tc>
          <w:tcPr>
            <w:tcW w:w="4314" w:type="dxa"/>
            <w:tcBorders>
              <w:top w:val="nil"/>
              <w:left w:val="nil"/>
              <w:bottom w:val="nil"/>
              <w:right w:val="nil"/>
            </w:tcBorders>
            <w:shd w:val="clear" w:color="000000" w:fill="C5D9F1"/>
            <w:noWrap/>
            <w:vAlign w:val="bottom"/>
            <w:hideMark/>
          </w:tcPr>
          <w:p w14:paraId="35CE1CE6" w14:textId="77777777" w:rsidR="00F842B7" w:rsidRPr="001E6DFD" w:rsidRDefault="00F842B7" w:rsidP="0097226C">
            <w:pPr>
              <w:jc w:val="right"/>
              <w:rPr>
                <w:b/>
                <w:bCs/>
                <w:sz w:val="16"/>
                <w:szCs w:val="16"/>
              </w:rPr>
            </w:pPr>
            <w:r w:rsidRPr="001E6DFD">
              <w:rPr>
                <w:b/>
                <w:bCs/>
                <w:sz w:val="16"/>
                <w:szCs w:val="16"/>
              </w:rPr>
              <w:t>Total</w:t>
            </w:r>
          </w:p>
        </w:tc>
        <w:tc>
          <w:tcPr>
            <w:tcW w:w="1180" w:type="dxa"/>
            <w:tcBorders>
              <w:top w:val="nil"/>
              <w:left w:val="nil"/>
              <w:bottom w:val="nil"/>
              <w:right w:val="nil"/>
            </w:tcBorders>
            <w:shd w:val="clear" w:color="000000" w:fill="C5D9F1"/>
            <w:noWrap/>
            <w:vAlign w:val="center"/>
            <w:hideMark/>
          </w:tcPr>
          <w:p w14:paraId="3F3765A4" w14:textId="77777777" w:rsidR="00F842B7" w:rsidRPr="001E6DFD" w:rsidRDefault="00F842B7" w:rsidP="0097226C">
            <w:pPr>
              <w:jc w:val="center"/>
              <w:rPr>
                <w:sz w:val="16"/>
                <w:szCs w:val="16"/>
              </w:rPr>
            </w:pPr>
            <w:r w:rsidRPr="001E6DFD">
              <w:rPr>
                <w:sz w:val="16"/>
                <w:szCs w:val="16"/>
              </w:rPr>
              <w:t>5</w:t>
            </w:r>
            <w:r w:rsidR="004F5E83" w:rsidRPr="001E6DFD">
              <w:rPr>
                <w:sz w:val="16"/>
                <w:szCs w:val="16"/>
              </w:rPr>
              <w:t> </w:t>
            </w:r>
            <w:r w:rsidRPr="001E6DFD">
              <w:rPr>
                <w:sz w:val="16"/>
                <w:szCs w:val="16"/>
              </w:rPr>
              <w:t>291</w:t>
            </w:r>
          </w:p>
        </w:tc>
        <w:tc>
          <w:tcPr>
            <w:tcW w:w="1180" w:type="dxa"/>
            <w:tcBorders>
              <w:top w:val="nil"/>
              <w:left w:val="nil"/>
              <w:bottom w:val="nil"/>
              <w:right w:val="nil"/>
            </w:tcBorders>
            <w:shd w:val="clear" w:color="000000" w:fill="C5D9F1"/>
            <w:noWrap/>
            <w:vAlign w:val="center"/>
            <w:hideMark/>
          </w:tcPr>
          <w:p w14:paraId="4B43265C" w14:textId="77777777" w:rsidR="00F842B7" w:rsidRPr="001E6DFD" w:rsidRDefault="00F842B7" w:rsidP="0097226C">
            <w:pPr>
              <w:jc w:val="center"/>
              <w:rPr>
                <w:sz w:val="16"/>
                <w:szCs w:val="16"/>
              </w:rPr>
            </w:pPr>
            <w:r w:rsidRPr="001E6DFD">
              <w:rPr>
                <w:sz w:val="16"/>
                <w:szCs w:val="16"/>
              </w:rPr>
              <w:t>5</w:t>
            </w:r>
            <w:r w:rsidR="004F5E83" w:rsidRPr="001E6DFD">
              <w:rPr>
                <w:sz w:val="16"/>
                <w:szCs w:val="16"/>
              </w:rPr>
              <w:t> </w:t>
            </w:r>
            <w:r w:rsidRPr="001E6DFD">
              <w:rPr>
                <w:sz w:val="16"/>
                <w:szCs w:val="16"/>
              </w:rPr>
              <w:t>219</w:t>
            </w:r>
          </w:p>
        </w:tc>
        <w:tc>
          <w:tcPr>
            <w:tcW w:w="1180" w:type="dxa"/>
            <w:tcBorders>
              <w:top w:val="nil"/>
              <w:left w:val="nil"/>
              <w:bottom w:val="nil"/>
              <w:right w:val="nil"/>
            </w:tcBorders>
            <w:shd w:val="clear" w:color="000000" w:fill="C5D9F1"/>
            <w:noWrap/>
            <w:vAlign w:val="center"/>
            <w:hideMark/>
          </w:tcPr>
          <w:p w14:paraId="6A2372D5" w14:textId="77777777" w:rsidR="00F842B7" w:rsidRPr="001E6DFD" w:rsidRDefault="00F842B7" w:rsidP="0097226C">
            <w:pPr>
              <w:jc w:val="center"/>
              <w:rPr>
                <w:sz w:val="16"/>
                <w:szCs w:val="16"/>
              </w:rPr>
            </w:pPr>
            <w:r w:rsidRPr="001E6DFD">
              <w:rPr>
                <w:sz w:val="16"/>
                <w:szCs w:val="16"/>
              </w:rPr>
              <w:t>2</w:t>
            </w:r>
            <w:r w:rsidR="004F5E83" w:rsidRPr="001E6DFD">
              <w:rPr>
                <w:sz w:val="16"/>
                <w:szCs w:val="16"/>
              </w:rPr>
              <w:t> </w:t>
            </w:r>
            <w:r w:rsidRPr="001E6DFD">
              <w:rPr>
                <w:sz w:val="16"/>
                <w:szCs w:val="16"/>
              </w:rPr>
              <w:t>581</w:t>
            </w:r>
          </w:p>
        </w:tc>
      </w:tr>
      <w:tr w:rsidR="00B649F5" w:rsidRPr="001E6DFD" w14:paraId="5CD65E51" w14:textId="77777777" w:rsidTr="00A15986">
        <w:trPr>
          <w:jc w:val="center"/>
        </w:trPr>
        <w:tc>
          <w:tcPr>
            <w:tcW w:w="8248" w:type="dxa"/>
            <w:gridSpan w:val="5"/>
            <w:tcBorders>
              <w:top w:val="nil"/>
              <w:left w:val="nil"/>
              <w:bottom w:val="nil"/>
              <w:right w:val="nil"/>
            </w:tcBorders>
            <w:shd w:val="clear" w:color="auto" w:fill="auto"/>
            <w:noWrap/>
            <w:vAlign w:val="center"/>
            <w:hideMark/>
          </w:tcPr>
          <w:p w14:paraId="320AA12F" w14:textId="3E00B9D7" w:rsidR="00B649F5" w:rsidRPr="001E6DFD" w:rsidRDefault="00B649F5"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131F290C" w14:textId="77777777" w:rsidR="00340492" w:rsidRPr="001E6DFD" w:rsidRDefault="00340492" w:rsidP="0097226C">
      <w:pPr>
        <w:jc w:val="center"/>
        <w:rPr>
          <w:sz w:val="20"/>
        </w:rPr>
      </w:pPr>
    </w:p>
    <w:p w14:paraId="72D354D9" w14:textId="77777777" w:rsidR="001F64B1" w:rsidRPr="001E6DFD" w:rsidRDefault="00D91044" w:rsidP="0097226C">
      <w:pPr>
        <w:pStyle w:val="NormalWeb"/>
        <w:keepNext/>
        <w:keepLines/>
        <w:spacing w:before="0" w:beforeAutospacing="0" w:after="0" w:afterAutospacing="0"/>
        <w:jc w:val="center"/>
      </w:pPr>
      <w:r w:rsidRPr="001E6DFD">
        <w:t>Budget et dépenses effectives (dépenses de personnel et autres dépenses)</w:t>
      </w:r>
    </w:p>
    <w:p w14:paraId="306AEB70" w14:textId="77777777" w:rsidR="001F64B1" w:rsidRPr="001E6DFD" w:rsidRDefault="00D91044"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10D70307" w14:textId="77777777" w:rsidR="002F1C9B" w:rsidRPr="001E6DFD" w:rsidRDefault="002F1C9B" w:rsidP="0097226C">
      <w:pPr>
        <w:keepNext/>
        <w:keepLines/>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611"/>
        <w:gridCol w:w="1435"/>
        <w:gridCol w:w="1130"/>
      </w:tblGrid>
      <w:tr w:rsidR="0039031D" w:rsidRPr="001E6DFD" w14:paraId="7ED4C163" w14:textId="77777777" w:rsidTr="00A15986">
        <w:trPr>
          <w:jc w:val="center"/>
        </w:trPr>
        <w:tc>
          <w:tcPr>
            <w:tcW w:w="2470" w:type="dxa"/>
            <w:tcBorders>
              <w:top w:val="nil"/>
              <w:left w:val="nil"/>
              <w:bottom w:val="nil"/>
              <w:right w:val="nil"/>
            </w:tcBorders>
            <w:shd w:val="clear" w:color="000000" w:fill="C5D9F1"/>
            <w:noWrap/>
            <w:vAlign w:val="center"/>
            <w:hideMark/>
          </w:tcPr>
          <w:p w14:paraId="239BE721" w14:textId="77777777" w:rsidR="00F842B7" w:rsidRPr="001E6DFD" w:rsidRDefault="00F842B7" w:rsidP="0097226C">
            <w:pPr>
              <w:rPr>
                <w:sz w:val="16"/>
                <w:szCs w:val="16"/>
              </w:rPr>
            </w:pPr>
            <w:r w:rsidRPr="001E6DFD">
              <w:rPr>
                <w:sz w:val="16"/>
                <w:szCs w:val="16"/>
              </w:rPr>
              <w:t> </w:t>
            </w:r>
          </w:p>
        </w:tc>
        <w:tc>
          <w:tcPr>
            <w:tcW w:w="1438" w:type="dxa"/>
            <w:tcBorders>
              <w:top w:val="nil"/>
              <w:left w:val="nil"/>
              <w:bottom w:val="nil"/>
              <w:right w:val="nil"/>
            </w:tcBorders>
            <w:shd w:val="clear" w:color="000000" w:fill="C5D9F1"/>
            <w:vAlign w:val="center"/>
            <w:hideMark/>
          </w:tcPr>
          <w:p w14:paraId="2EFEB0AF" w14:textId="3A623FD9" w:rsidR="00F842B7" w:rsidRPr="001E6DFD" w:rsidRDefault="00D91044" w:rsidP="00A806A7">
            <w:pPr>
              <w:jc w:val="center"/>
              <w:rPr>
                <w:b/>
                <w:bCs/>
                <w:sz w:val="16"/>
                <w:szCs w:val="16"/>
              </w:rPr>
            </w:pPr>
            <w:r w:rsidRPr="001E6DFD">
              <w:rPr>
                <w:b/>
                <w:bCs/>
                <w:sz w:val="16"/>
                <w:szCs w:val="16"/>
              </w:rPr>
              <w:t>Budget</w:t>
            </w:r>
            <w:r w:rsidR="00A806A7">
              <w:rPr>
                <w:b/>
                <w:bCs/>
                <w:sz w:val="16"/>
                <w:szCs w:val="16"/>
              </w:rPr>
              <w:t> </w:t>
            </w:r>
            <w:r w:rsidR="00AC7D97" w:rsidRPr="001E6DFD">
              <w:rPr>
                <w:b/>
                <w:bCs/>
                <w:sz w:val="16"/>
                <w:szCs w:val="16"/>
              </w:rPr>
              <w:t>2016</w:t>
            </w:r>
            <w:r w:rsidR="006A41CF" w:rsidRPr="001E6DFD">
              <w:rPr>
                <w:b/>
                <w:bCs/>
                <w:sz w:val="16"/>
                <w:szCs w:val="16"/>
              </w:rPr>
              <w:noBreakHyphen/>
            </w:r>
            <w:r w:rsidR="00AC7D97" w:rsidRPr="001E6DFD">
              <w:rPr>
                <w:b/>
                <w:bCs/>
                <w:sz w:val="16"/>
                <w:szCs w:val="16"/>
              </w:rPr>
              <w:t>2017</w:t>
            </w:r>
            <w:r w:rsidRPr="001E6DFD">
              <w:rPr>
                <w:b/>
                <w:bCs/>
                <w:sz w:val="16"/>
                <w:szCs w:val="16"/>
              </w:rPr>
              <w:t xml:space="preserve"> approuvé</w:t>
            </w:r>
          </w:p>
        </w:tc>
        <w:tc>
          <w:tcPr>
            <w:tcW w:w="1762" w:type="dxa"/>
            <w:tcBorders>
              <w:top w:val="nil"/>
              <w:left w:val="nil"/>
              <w:bottom w:val="nil"/>
              <w:right w:val="nil"/>
            </w:tcBorders>
            <w:shd w:val="clear" w:color="000000" w:fill="C5D9F1"/>
            <w:vAlign w:val="center"/>
            <w:hideMark/>
          </w:tcPr>
          <w:p w14:paraId="7BCCFF4A" w14:textId="553CAA64" w:rsidR="00F842B7" w:rsidRPr="001E6DFD" w:rsidRDefault="00A806A7" w:rsidP="00A806A7">
            <w:pPr>
              <w:jc w:val="center"/>
              <w:rPr>
                <w:b/>
                <w:bCs/>
                <w:sz w:val="16"/>
                <w:szCs w:val="16"/>
              </w:rPr>
            </w:pPr>
            <w:r>
              <w:rPr>
                <w:b/>
                <w:bCs/>
                <w:sz w:val="16"/>
                <w:szCs w:val="16"/>
              </w:rPr>
              <w:t>Budget </w:t>
            </w:r>
            <w:r w:rsidR="00D91044" w:rsidRPr="001E6DFD">
              <w:rPr>
                <w:b/>
                <w:bCs/>
                <w:sz w:val="16"/>
                <w:szCs w:val="16"/>
              </w:rPr>
              <w:t>2016</w:t>
            </w:r>
            <w:r w:rsidR="006A41CF" w:rsidRPr="001E6DFD">
              <w:rPr>
                <w:b/>
                <w:bCs/>
                <w:sz w:val="16"/>
                <w:szCs w:val="16"/>
              </w:rPr>
              <w:noBreakHyphen/>
            </w:r>
            <w:r w:rsidR="00D91044" w:rsidRPr="001E6DFD">
              <w:rPr>
                <w:b/>
                <w:bCs/>
                <w:sz w:val="16"/>
                <w:szCs w:val="16"/>
              </w:rPr>
              <w:t>2017 après virements</w:t>
            </w:r>
          </w:p>
        </w:tc>
        <w:tc>
          <w:tcPr>
            <w:tcW w:w="1114" w:type="dxa"/>
            <w:tcBorders>
              <w:top w:val="nil"/>
              <w:left w:val="nil"/>
              <w:bottom w:val="nil"/>
              <w:right w:val="nil"/>
            </w:tcBorders>
            <w:shd w:val="clear" w:color="000000" w:fill="C5D9F1"/>
            <w:vAlign w:val="center"/>
            <w:hideMark/>
          </w:tcPr>
          <w:p w14:paraId="026AB24C" w14:textId="75F06B43" w:rsidR="00F842B7" w:rsidRPr="001E6DFD" w:rsidRDefault="00D91044"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5246BD30" w14:textId="67DDD35D" w:rsidR="00F842B7" w:rsidRPr="001E6DFD" w:rsidRDefault="00D91044"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39031D" w:rsidRPr="001E6DFD" w14:paraId="13C6EA7D" w14:textId="77777777" w:rsidTr="00A15986">
        <w:trPr>
          <w:jc w:val="center"/>
        </w:trPr>
        <w:tc>
          <w:tcPr>
            <w:tcW w:w="2470" w:type="dxa"/>
            <w:tcBorders>
              <w:top w:val="nil"/>
              <w:left w:val="nil"/>
              <w:bottom w:val="nil"/>
              <w:right w:val="nil"/>
            </w:tcBorders>
            <w:shd w:val="clear" w:color="auto" w:fill="auto"/>
            <w:noWrap/>
            <w:vAlign w:val="center"/>
            <w:hideMark/>
          </w:tcPr>
          <w:p w14:paraId="430BF9D6" w14:textId="77777777" w:rsidR="00F842B7" w:rsidRPr="001E6DFD" w:rsidRDefault="00782D1D" w:rsidP="0097226C">
            <w:pPr>
              <w:rPr>
                <w:sz w:val="16"/>
                <w:szCs w:val="16"/>
              </w:rPr>
            </w:pPr>
            <w:r w:rsidRPr="001E6DFD">
              <w:rPr>
                <w:sz w:val="16"/>
                <w:szCs w:val="16"/>
              </w:rPr>
              <w:t>Ressources en</w:t>
            </w:r>
            <w:r w:rsidR="00D91044" w:rsidRPr="001E6DFD">
              <w:rPr>
                <w:sz w:val="16"/>
                <w:szCs w:val="16"/>
              </w:rPr>
              <w:t xml:space="preserve"> personnel</w:t>
            </w:r>
            <w:r w:rsidR="00F842B7" w:rsidRPr="001E6DFD">
              <w:rPr>
                <w:sz w:val="16"/>
                <w:szCs w:val="16"/>
              </w:rPr>
              <w:t xml:space="preserve"> </w:t>
            </w:r>
          </w:p>
        </w:tc>
        <w:tc>
          <w:tcPr>
            <w:tcW w:w="1438" w:type="dxa"/>
            <w:tcBorders>
              <w:top w:val="nil"/>
              <w:left w:val="nil"/>
              <w:bottom w:val="nil"/>
              <w:right w:val="nil"/>
            </w:tcBorders>
            <w:shd w:val="clear" w:color="auto" w:fill="auto"/>
            <w:vAlign w:val="center"/>
            <w:hideMark/>
          </w:tcPr>
          <w:p w14:paraId="3D7C5EC9" w14:textId="77777777" w:rsidR="00F842B7" w:rsidRPr="001E6DFD" w:rsidRDefault="00F842B7" w:rsidP="0097226C">
            <w:pPr>
              <w:jc w:val="center"/>
              <w:rPr>
                <w:sz w:val="16"/>
                <w:szCs w:val="16"/>
              </w:rPr>
            </w:pPr>
            <w:r w:rsidRPr="001E6DFD">
              <w:rPr>
                <w:sz w:val="16"/>
                <w:szCs w:val="16"/>
              </w:rPr>
              <w:t>3</w:t>
            </w:r>
            <w:r w:rsidR="004F5E83" w:rsidRPr="001E6DFD">
              <w:rPr>
                <w:sz w:val="16"/>
                <w:szCs w:val="16"/>
              </w:rPr>
              <w:t> </w:t>
            </w:r>
            <w:r w:rsidRPr="001E6DFD">
              <w:rPr>
                <w:sz w:val="16"/>
                <w:szCs w:val="16"/>
              </w:rPr>
              <w:t xml:space="preserve">953 </w:t>
            </w:r>
          </w:p>
        </w:tc>
        <w:tc>
          <w:tcPr>
            <w:tcW w:w="1762" w:type="dxa"/>
            <w:tcBorders>
              <w:top w:val="nil"/>
              <w:left w:val="nil"/>
              <w:bottom w:val="nil"/>
              <w:right w:val="nil"/>
            </w:tcBorders>
            <w:shd w:val="clear" w:color="auto" w:fill="auto"/>
            <w:vAlign w:val="center"/>
            <w:hideMark/>
          </w:tcPr>
          <w:p w14:paraId="674D08E7" w14:textId="77777777" w:rsidR="00F842B7" w:rsidRPr="001E6DFD" w:rsidRDefault="00F842B7" w:rsidP="0097226C">
            <w:pPr>
              <w:jc w:val="center"/>
              <w:rPr>
                <w:sz w:val="16"/>
                <w:szCs w:val="16"/>
              </w:rPr>
            </w:pPr>
            <w:r w:rsidRPr="001E6DFD">
              <w:rPr>
                <w:sz w:val="16"/>
                <w:szCs w:val="16"/>
              </w:rPr>
              <w:t>3</w:t>
            </w:r>
            <w:r w:rsidR="004F5E83" w:rsidRPr="001E6DFD">
              <w:rPr>
                <w:sz w:val="16"/>
                <w:szCs w:val="16"/>
              </w:rPr>
              <w:t> </w:t>
            </w:r>
            <w:r w:rsidRPr="001E6DFD">
              <w:rPr>
                <w:sz w:val="16"/>
                <w:szCs w:val="16"/>
              </w:rPr>
              <w:t xml:space="preserve">888 </w:t>
            </w:r>
          </w:p>
        </w:tc>
        <w:tc>
          <w:tcPr>
            <w:tcW w:w="1114" w:type="dxa"/>
            <w:tcBorders>
              <w:top w:val="nil"/>
              <w:left w:val="nil"/>
              <w:bottom w:val="nil"/>
              <w:right w:val="nil"/>
            </w:tcBorders>
            <w:shd w:val="clear" w:color="auto" w:fill="auto"/>
            <w:vAlign w:val="center"/>
            <w:hideMark/>
          </w:tcPr>
          <w:p w14:paraId="115B757D" w14:textId="77777777" w:rsidR="00F842B7" w:rsidRPr="001E6DFD" w:rsidRDefault="00F842B7" w:rsidP="0097226C">
            <w:pPr>
              <w:jc w:val="center"/>
              <w:rPr>
                <w:sz w:val="16"/>
                <w:szCs w:val="16"/>
              </w:rPr>
            </w:pPr>
            <w:r w:rsidRPr="001E6DFD">
              <w:rPr>
                <w:sz w:val="16"/>
                <w:szCs w:val="16"/>
              </w:rPr>
              <w:t>1</w:t>
            </w:r>
            <w:r w:rsidR="004F5E83" w:rsidRPr="001E6DFD">
              <w:rPr>
                <w:sz w:val="16"/>
                <w:szCs w:val="16"/>
              </w:rPr>
              <w:t> </w:t>
            </w:r>
            <w:r w:rsidRPr="001E6DFD">
              <w:rPr>
                <w:sz w:val="16"/>
                <w:szCs w:val="16"/>
              </w:rPr>
              <w:t xml:space="preserve">928 </w:t>
            </w:r>
          </w:p>
        </w:tc>
        <w:tc>
          <w:tcPr>
            <w:tcW w:w="1438" w:type="dxa"/>
            <w:tcBorders>
              <w:top w:val="nil"/>
              <w:left w:val="nil"/>
              <w:bottom w:val="nil"/>
              <w:right w:val="nil"/>
            </w:tcBorders>
            <w:shd w:val="clear" w:color="auto" w:fill="auto"/>
            <w:vAlign w:val="center"/>
            <w:hideMark/>
          </w:tcPr>
          <w:p w14:paraId="7CB701A4" w14:textId="77777777" w:rsidR="00F842B7" w:rsidRPr="001E6DFD" w:rsidRDefault="00F842B7" w:rsidP="0097226C">
            <w:pPr>
              <w:jc w:val="center"/>
              <w:rPr>
                <w:sz w:val="16"/>
                <w:szCs w:val="16"/>
              </w:rPr>
            </w:pPr>
            <w:r w:rsidRPr="001E6DFD">
              <w:rPr>
                <w:sz w:val="16"/>
                <w:szCs w:val="16"/>
              </w:rPr>
              <w:t>50%</w:t>
            </w:r>
          </w:p>
        </w:tc>
      </w:tr>
      <w:tr w:rsidR="0039031D" w:rsidRPr="001E6DFD" w14:paraId="1B6241B6" w14:textId="77777777" w:rsidTr="00A15986">
        <w:trPr>
          <w:jc w:val="center"/>
        </w:trPr>
        <w:tc>
          <w:tcPr>
            <w:tcW w:w="2470" w:type="dxa"/>
            <w:tcBorders>
              <w:top w:val="nil"/>
              <w:left w:val="nil"/>
              <w:bottom w:val="nil"/>
              <w:right w:val="nil"/>
            </w:tcBorders>
            <w:shd w:val="clear" w:color="auto" w:fill="auto"/>
            <w:noWrap/>
            <w:vAlign w:val="center"/>
            <w:hideMark/>
          </w:tcPr>
          <w:p w14:paraId="511E8544" w14:textId="77777777" w:rsidR="00F842B7" w:rsidRPr="001E6DFD" w:rsidRDefault="00D91044" w:rsidP="0097226C">
            <w:pPr>
              <w:rPr>
                <w:sz w:val="16"/>
                <w:szCs w:val="16"/>
              </w:rPr>
            </w:pPr>
            <w:r w:rsidRPr="001E6DFD">
              <w:rPr>
                <w:sz w:val="16"/>
                <w:szCs w:val="16"/>
              </w:rPr>
              <w:t>Autres ressources</w:t>
            </w:r>
            <w:r w:rsidR="00F842B7" w:rsidRPr="001E6DFD">
              <w:rPr>
                <w:sz w:val="16"/>
                <w:szCs w:val="16"/>
              </w:rPr>
              <w:t xml:space="preserve"> </w:t>
            </w:r>
          </w:p>
        </w:tc>
        <w:tc>
          <w:tcPr>
            <w:tcW w:w="1438" w:type="dxa"/>
            <w:tcBorders>
              <w:top w:val="nil"/>
              <w:left w:val="nil"/>
              <w:bottom w:val="nil"/>
              <w:right w:val="nil"/>
            </w:tcBorders>
            <w:shd w:val="clear" w:color="auto" w:fill="auto"/>
            <w:vAlign w:val="center"/>
            <w:hideMark/>
          </w:tcPr>
          <w:p w14:paraId="1AEB62F6" w14:textId="77777777" w:rsidR="00F842B7" w:rsidRPr="001E6DFD" w:rsidRDefault="00F842B7" w:rsidP="0097226C">
            <w:pPr>
              <w:jc w:val="center"/>
              <w:rPr>
                <w:sz w:val="16"/>
                <w:szCs w:val="16"/>
              </w:rPr>
            </w:pPr>
            <w:r w:rsidRPr="001E6DFD">
              <w:rPr>
                <w:sz w:val="16"/>
                <w:szCs w:val="16"/>
              </w:rPr>
              <w:t>1</w:t>
            </w:r>
            <w:r w:rsidR="004F5E83" w:rsidRPr="001E6DFD">
              <w:rPr>
                <w:sz w:val="16"/>
                <w:szCs w:val="16"/>
              </w:rPr>
              <w:t> </w:t>
            </w:r>
            <w:r w:rsidRPr="001E6DFD">
              <w:rPr>
                <w:sz w:val="16"/>
                <w:szCs w:val="16"/>
              </w:rPr>
              <w:t xml:space="preserve">339 </w:t>
            </w:r>
          </w:p>
        </w:tc>
        <w:tc>
          <w:tcPr>
            <w:tcW w:w="1762" w:type="dxa"/>
            <w:tcBorders>
              <w:top w:val="nil"/>
              <w:left w:val="nil"/>
              <w:bottom w:val="nil"/>
              <w:right w:val="nil"/>
            </w:tcBorders>
            <w:shd w:val="clear" w:color="auto" w:fill="auto"/>
            <w:vAlign w:val="center"/>
            <w:hideMark/>
          </w:tcPr>
          <w:p w14:paraId="5340485D" w14:textId="77777777" w:rsidR="00F842B7" w:rsidRPr="001E6DFD" w:rsidRDefault="00F842B7" w:rsidP="0097226C">
            <w:pPr>
              <w:jc w:val="center"/>
              <w:rPr>
                <w:sz w:val="16"/>
                <w:szCs w:val="16"/>
              </w:rPr>
            </w:pPr>
            <w:r w:rsidRPr="001E6DFD">
              <w:rPr>
                <w:sz w:val="16"/>
                <w:szCs w:val="16"/>
              </w:rPr>
              <w:t>1</w:t>
            </w:r>
            <w:r w:rsidR="004F5E83" w:rsidRPr="001E6DFD">
              <w:rPr>
                <w:sz w:val="16"/>
                <w:szCs w:val="16"/>
              </w:rPr>
              <w:t> </w:t>
            </w:r>
            <w:r w:rsidRPr="001E6DFD">
              <w:rPr>
                <w:sz w:val="16"/>
                <w:szCs w:val="16"/>
              </w:rPr>
              <w:t xml:space="preserve">331 </w:t>
            </w:r>
          </w:p>
        </w:tc>
        <w:tc>
          <w:tcPr>
            <w:tcW w:w="1114" w:type="dxa"/>
            <w:tcBorders>
              <w:top w:val="nil"/>
              <w:left w:val="nil"/>
              <w:bottom w:val="nil"/>
              <w:right w:val="nil"/>
            </w:tcBorders>
            <w:shd w:val="clear" w:color="auto" w:fill="auto"/>
            <w:vAlign w:val="center"/>
            <w:hideMark/>
          </w:tcPr>
          <w:p w14:paraId="6424FF2F" w14:textId="77777777" w:rsidR="00F842B7" w:rsidRPr="001E6DFD" w:rsidRDefault="00F842B7" w:rsidP="0097226C">
            <w:pPr>
              <w:jc w:val="center"/>
              <w:rPr>
                <w:sz w:val="16"/>
                <w:szCs w:val="16"/>
              </w:rPr>
            </w:pPr>
            <w:r w:rsidRPr="001E6DFD">
              <w:rPr>
                <w:sz w:val="16"/>
                <w:szCs w:val="16"/>
              </w:rPr>
              <w:t xml:space="preserve">653 </w:t>
            </w:r>
          </w:p>
        </w:tc>
        <w:tc>
          <w:tcPr>
            <w:tcW w:w="1438" w:type="dxa"/>
            <w:tcBorders>
              <w:top w:val="nil"/>
              <w:left w:val="nil"/>
              <w:bottom w:val="nil"/>
              <w:right w:val="nil"/>
            </w:tcBorders>
            <w:shd w:val="clear" w:color="auto" w:fill="auto"/>
            <w:vAlign w:val="center"/>
            <w:hideMark/>
          </w:tcPr>
          <w:p w14:paraId="7A5EA163" w14:textId="77777777" w:rsidR="00F842B7" w:rsidRPr="001E6DFD" w:rsidRDefault="00F842B7" w:rsidP="0097226C">
            <w:pPr>
              <w:jc w:val="center"/>
              <w:rPr>
                <w:sz w:val="16"/>
                <w:szCs w:val="16"/>
              </w:rPr>
            </w:pPr>
            <w:r w:rsidRPr="001E6DFD">
              <w:rPr>
                <w:sz w:val="16"/>
                <w:szCs w:val="16"/>
              </w:rPr>
              <w:t>49%</w:t>
            </w:r>
          </w:p>
        </w:tc>
      </w:tr>
      <w:tr w:rsidR="0039031D" w:rsidRPr="001E6DFD" w14:paraId="2E872329" w14:textId="77777777" w:rsidTr="00A15986">
        <w:trPr>
          <w:jc w:val="center"/>
        </w:trPr>
        <w:tc>
          <w:tcPr>
            <w:tcW w:w="2470" w:type="dxa"/>
            <w:tcBorders>
              <w:top w:val="nil"/>
              <w:left w:val="nil"/>
              <w:bottom w:val="nil"/>
              <w:right w:val="nil"/>
            </w:tcBorders>
            <w:shd w:val="clear" w:color="000000" w:fill="C5D9F1"/>
            <w:noWrap/>
            <w:vAlign w:val="center"/>
            <w:hideMark/>
          </w:tcPr>
          <w:p w14:paraId="237FA894" w14:textId="77777777" w:rsidR="00F842B7" w:rsidRPr="001E6DFD" w:rsidRDefault="00F842B7" w:rsidP="0097226C">
            <w:pPr>
              <w:jc w:val="right"/>
              <w:rPr>
                <w:b/>
                <w:bCs/>
                <w:sz w:val="16"/>
                <w:szCs w:val="16"/>
              </w:rPr>
            </w:pPr>
            <w:r w:rsidRPr="001E6DFD">
              <w:rPr>
                <w:b/>
                <w:bCs/>
                <w:sz w:val="16"/>
                <w:szCs w:val="16"/>
              </w:rPr>
              <w:t xml:space="preserve">Total </w:t>
            </w:r>
          </w:p>
        </w:tc>
        <w:tc>
          <w:tcPr>
            <w:tcW w:w="1438" w:type="dxa"/>
            <w:tcBorders>
              <w:top w:val="nil"/>
              <w:left w:val="nil"/>
              <w:bottom w:val="nil"/>
              <w:right w:val="nil"/>
            </w:tcBorders>
            <w:shd w:val="clear" w:color="000000" w:fill="C5D9F1"/>
            <w:vAlign w:val="center"/>
            <w:hideMark/>
          </w:tcPr>
          <w:p w14:paraId="7372F7D9" w14:textId="77777777" w:rsidR="00F842B7" w:rsidRPr="001E6DFD" w:rsidRDefault="00F842B7" w:rsidP="0097226C">
            <w:pPr>
              <w:jc w:val="center"/>
              <w:rPr>
                <w:b/>
                <w:bCs/>
                <w:sz w:val="16"/>
                <w:szCs w:val="16"/>
              </w:rPr>
            </w:pPr>
            <w:r w:rsidRPr="001E6DFD">
              <w:rPr>
                <w:b/>
                <w:bCs/>
                <w:sz w:val="16"/>
                <w:szCs w:val="16"/>
              </w:rPr>
              <w:t>5</w:t>
            </w:r>
            <w:r w:rsidR="004F5E83" w:rsidRPr="001E6DFD">
              <w:rPr>
                <w:b/>
                <w:bCs/>
                <w:sz w:val="16"/>
                <w:szCs w:val="16"/>
              </w:rPr>
              <w:t> </w:t>
            </w:r>
            <w:r w:rsidRPr="001E6DFD">
              <w:rPr>
                <w:b/>
                <w:bCs/>
                <w:sz w:val="16"/>
                <w:szCs w:val="16"/>
              </w:rPr>
              <w:t xml:space="preserve">291 </w:t>
            </w:r>
          </w:p>
        </w:tc>
        <w:tc>
          <w:tcPr>
            <w:tcW w:w="1762" w:type="dxa"/>
            <w:tcBorders>
              <w:top w:val="nil"/>
              <w:left w:val="nil"/>
              <w:bottom w:val="nil"/>
              <w:right w:val="nil"/>
            </w:tcBorders>
            <w:shd w:val="clear" w:color="000000" w:fill="C5D9F1"/>
            <w:vAlign w:val="center"/>
            <w:hideMark/>
          </w:tcPr>
          <w:p w14:paraId="1C9B47FB" w14:textId="77777777" w:rsidR="00F842B7" w:rsidRPr="001E6DFD" w:rsidRDefault="00F842B7" w:rsidP="0097226C">
            <w:pPr>
              <w:jc w:val="center"/>
              <w:rPr>
                <w:b/>
                <w:bCs/>
                <w:sz w:val="16"/>
                <w:szCs w:val="16"/>
              </w:rPr>
            </w:pPr>
            <w:r w:rsidRPr="001E6DFD">
              <w:rPr>
                <w:b/>
                <w:bCs/>
                <w:sz w:val="16"/>
                <w:szCs w:val="16"/>
              </w:rPr>
              <w:t>5</w:t>
            </w:r>
            <w:r w:rsidR="004F5E83" w:rsidRPr="001E6DFD">
              <w:rPr>
                <w:b/>
                <w:bCs/>
                <w:sz w:val="16"/>
                <w:szCs w:val="16"/>
              </w:rPr>
              <w:t> </w:t>
            </w:r>
            <w:r w:rsidRPr="001E6DFD">
              <w:rPr>
                <w:b/>
                <w:bCs/>
                <w:sz w:val="16"/>
                <w:szCs w:val="16"/>
              </w:rPr>
              <w:t xml:space="preserve">219 </w:t>
            </w:r>
          </w:p>
        </w:tc>
        <w:tc>
          <w:tcPr>
            <w:tcW w:w="1114" w:type="dxa"/>
            <w:tcBorders>
              <w:top w:val="nil"/>
              <w:left w:val="nil"/>
              <w:bottom w:val="nil"/>
              <w:right w:val="nil"/>
            </w:tcBorders>
            <w:shd w:val="clear" w:color="000000" w:fill="C5D9F1"/>
            <w:vAlign w:val="center"/>
            <w:hideMark/>
          </w:tcPr>
          <w:p w14:paraId="0C251D50" w14:textId="77777777" w:rsidR="00F842B7" w:rsidRPr="001E6DFD" w:rsidRDefault="00F842B7" w:rsidP="0097226C">
            <w:pPr>
              <w:jc w:val="center"/>
              <w:rPr>
                <w:b/>
                <w:bCs/>
                <w:sz w:val="16"/>
                <w:szCs w:val="16"/>
              </w:rPr>
            </w:pPr>
            <w:r w:rsidRPr="001E6DFD">
              <w:rPr>
                <w:b/>
                <w:bCs/>
                <w:sz w:val="16"/>
                <w:szCs w:val="16"/>
              </w:rPr>
              <w:t>2</w:t>
            </w:r>
            <w:r w:rsidR="004F5E83" w:rsidRPr="001E6DFD">
              <w:rPr>
                <w:b/>
                <w:bCs/>
                <w:sz w:val="16"/>
                <w:szCs w:val="16"/>
              </w:rPr>
              <w:t> </w:t>
            </w:r>
            <w:r w:rsidRPr="001E6DFD">
              <w:rPr>
                <w:b/>
                <w:bCs/>
                <w:sz w:val="16"/>
                <w:szCs w:val="16"/>
              </w:rPr>
              <w:t xml:space="preserve">581 </w:t>
            </w:r>
          </w:p>
        </w:tc>
        <w:tc>
          <w:tcPr>
            <w:tcW w:w="1438" w:type="dxa"/>
            <w:tcBorders>
              <w:top w:val="nil"/>
              <w:left w:val="nil"/>
              <w:bottom w:val="nil"/>
              <w:right w:val="nil"/>
            </w:tcBorders>
            <w:shd w:val="clear" w:color="000000" w:fill="C5D9F1"/>
            <w:vAlign w:val="center"/>
            <w:hideMark/>
          </w:tcPr>
          <w:p w14:paraId="06E2313A" w14:textId="77777777" w:rsidR="00F842B7" w:rsidRPr="001E6DFD" w:rsidRDefault="00F842B7" w:rsidP="0097226C">
            <w:pPr>
              <w:jc w:val="center"/>
              <w:rPr>
                <w:b/>
                <w:bCs/>
                <w:sz w:val="16"/>
                <w:szCs w:val="16"/>
              </w:rPr>
            </w:pPr>
            <w:r w:rsidRPr="001E6DFD">
              <w:rPr>
                <w:b/>
                <w:bCs/>
                <w:sz w:val="16"/>
                <w:szCs w:val="16"/>
              </w:rPr>
              <w:t>49%</w:t>
            </w:r>
          </w:p>
        </w:tc>
      </w:tr>
      <w:tr w:rsidR="0039031D" w:rsidRPr="001E6DFD" w14:paraId="2C3364CA" w14:textId="77777777" w:rsidTr="00A15986">
        <w:trPr>
          <w:jc w:val="center"/>
        </w:trPr>
        <w:tc>
          <w:tcPr>
            <w:tcW w:w="8222" w:type="dxa"/>
            <w:gridSpan w:val="5"/>
            <w:tcBorders>
              <w:top w:val="nil"/>
              <w:left w:val="nil"/>
              <w:bottom w:val="nil"/>
              <w:right w:val="nil"/>
            </w:tcBorders>
            <w:shd w:val="clear" w:color="auto" w:fill="auto"/>
            <w:noWrap/>
            <w:vAlign w:val="center"/>
            <w:hideMark/>
          </w:tcPr>
          <w:p w14:paraId="115CB25D" w14:textId="2D317597" w:rsidR="00F842B7"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F842B7" w:rsidRPr="001E6DFD">
              <w:rPr>
                <w:i/>
                <w:iCs/>
                <w:sz w:val="16"/>
                <w:szCs w:val="16"/>
              </w:rPr>
              <w:t xml:space="preserve"> </w:t>
            </w:r>
          </w:p>
        </w:tc>
      </w:tr>
    </w:tbl>
    <w:p w14:paraId="4AAE6C67" w14:textId="77777777" w:rsidR="001F64B1" w:rsidRPr="001E6DFD" w:rsidRDefault="001F64B1" w:rsidP="0097226C">
      <w:pPr>
        <w:keepNext/>
        <w:keepLines/>
        <w:jc w:val="center"/>
        <w:rPr>
          <w:sz w:val="20"/>
        </w:rPr>
      </w:pPr>
    </w:p>
    <w:p w14:paraId="20818F26" w14:textId="67804209" w:rsidR="001F64B1" w:rsidRPr="001E6DFD" w:rsidRDefault="00782D1D"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 xml:space="preserve">au 8 mars 2017 </w:t>
      </w:r>
      <w:r w:rsidRPr="001E6DFD">
        <w:rPr>
          <w:i/>
          <w:sz w:val="16"/>
          <w:szCs w:val="16"/>
        </w:rPr>
        <w:t>pour répondre aux besoins durant l</w:t>
      </w:r>
      <w:r w:rsidR="00FA22F6" w:rsidRPr="001E6DFD">
        <w:rPr>
          <w:i/>
          <w:sz w:val="16"/>
          <w:szCs w:val="16"/>
        </w:rPr>
        <w:t>’</w:t>
      </w:r>
      <w:r w:rsidRPr="001E6DFD">
        <w:rPr>
          <w:i/>
          <w:sz w:val="16"/>
          <w:szCs w:val="16"/>
        </w:rPr>
        <w:t xml:space="preserve">exercice </w:t>
      </w:r>
      <w:r w:rsidR="00E54E7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w:t>
      </w:r>
      <w:r w:rsidR="00E54E76" w:rsidRPr="001E6DFD">
        <w:rPr>
          <w:i/>
          <w:sz w:val="16"/>
          <w:szCs w:val="16"/>
        </w:rPr>
        <w:t>article 5</w:t>
      </w:r>
      <w:r w:rsidRPr="001E6DFD">
        <w:rPr>
          <w:i/>
          <w:sz w:val="16"/>
          <w:szCs w:val="16"/>
        </w:rPr>
        <w:t>.5 du Règlement financier.</w:t>
      </w:r>
    </w:p>
    <w:p w14:paraId="255D7594" w14:textId="77777777" w:rsidR="001F64B1" w:rsidRPr="001E6DFD" w:rsidRDefault="001F64B1" w:rsidP="0097226C">
      <w:pPr>
        <w:keepNext/>
        <w:keepLines/>
        <w:rPr>
          <w:sz w:val="20"/>
        </w:rPr>
      </w:pPr>
    </w:p>
    <w:p w14:paraId="0D748144" w14:textId="77777777" w:rsidR="001F64B1" w:rsidRPr="001E6DFD" w:rsidRDefault="001F64B1" w:rsidP="0097226C">
      <w:pPr>
        <w:keepNext/>
        <w:keepLines/>
        <w:rPr>
          <w:sz w:val="20"/>
        </w:rPr>
      </w:pPr>
    </w:p>
    <w:p w14:paraId="498FC0A7" w14:textId="5556ACC3" w:rsidR="001F64B1" w:rsidRPr="001E6DFD" w:rsidRDefault="002F1C9B" w:rsidP="0097226C">
      <w:pPr>
        <w:jc w:val="both"/>
        <w:rPr>
          <w:sz w:val="20"/>
          <w:u w:val="single"/>
        </w:rPr>
      </w:pPr>
      <w:r w:rsidRPr="001E6DFD">
        <w:rPr>
          <w:sz w:val="20"/>
        </w:rPr>
        <w:t>A.</w:t>
      </w:r>
      <w:r w:rsidRPr="001E6DFD">
        <w:rPr>
          <w:sz w:val="20"/>
        </w:rPr>
        <w:tab/>
      </w:r>
      <w:r w:rsidR="004F5E83" w:rsidRPr="001E6DFD">
        <w:rPr>
          <w:sz w:val="20"/>
          <w:u w:val="single"/>
        </w:rPr>
        <w:t>Budget</w:t>
      </w:r>
      <w:r w:rsidR="00B4191E">
        <w:rPr>
          <w:sz w:val="20"/>
          <w:u w:val="single"/>
        </w:rPr>
        <w:t> </w:t>
      </w:r>
      <w:r w:rsidR="004F5E83" w:rsidRPr="001E6DFD">
        <w:rPr>
          <w:sz w:val="20"/>
          <w:u w:val="single"/>
        </w:rPr>
        <w:t>2016</w:t>
      </w:r>
      <w:r w:rsidR="006A41CF" w:rsidRPr="001E6DFD">
        <w:rPr>
          <w:sz w:val="20"/>
          <w:u w:val="single"/>
        </w:rPr>
        <w:noBreakHyphen/>
      </w:r>
      <w:r w:rsidR="004F5E83" w:rsidRPr="001E6DFD">
        <w:rPr>
          <w:sz w:val="20"/>
          <w:u w:val="single"/>
        </w:rPr>
        <w:t>2017 après virements</w:t>
      </w:r>
    </w:p>
    <w:p w14:paraId="2ADEB44A" w14:textId="77777777" w:rsidR="001F64B1" w:rsidRPr="001303B4" w:rsidRDefault="001F64B1" w:rsidP="0097226C">
      <w:pPr>
        <w:jc w:val="both"/>
        <w:rPr>
          <w:sz w:val="20"/>
        </w:rPr>
      </w:pPr>
    </w:p>
    <w:p w14:paraId="3CB74AC2" w14:textId="35505AFB" w:rsidR="001F64B1" w:rsidRPr="001E6DFD" w:rsidRDefault="00E236FA" w:rsidP="00D544B8">
      <w:pPr>
        <w:pStyle w:val="ListParagraph"/>
        <w:keepNext/>
        <w:keepLines/>
        <w:numPr>
          <w:ilvl w:val="0"/>
          <w:numId w:val="4"/>
        </w:numPr>
        <w:tabs>
          <w:tab w:val="left" w:pos="0"/>
        </w:tabs>
        <w:autoSpaceDE w:val="0"/>
        <w:autoSpaceDN w:val="0"/>
        <w:ind w:left="0" w:firstLine="0"/>
        <w:jc w:val="both"/>
        <w:rPr>
          <w:rFonts w:ascii="Arial" w:hAnsi="Arial" w:cs="Arial"/>
          <w:sz w:val="20"/>
          <w:lang w:eastAsia="ko-KR"/>
        </w:rPr>
      </w:pPr>
      <w:r w:rsidRPr="001E6DFD">
        <w:rPr>
          <w:rFonts w:ascii="Arial" w:hAnsi="Arial" w:cs="Arial"/>
          <w:sz w:val="20"/>
          <w:lang w:eastAsia="ko-KR"/>
        </w:rPr>
        <w:t xml:space="preserve">La légère diminution nette des ressources </w:t>
      </w:r>
      <w:r w:rsidR="00AB3F37" w:rsidRPr="001E6DFD">
        <w:rPr>
          <w:rFonts w:ascii="Arial" w:hAnsi="Arial" w:cs="Arial"/>
          <w:sz w:val="20"/>
          <w:lang w:eastAsia="ko-KR"/>
        </w:rPr>
        <w:t>e</w:t>
      </w:r>
      <w:r w:rsidR="00381826" w:rsidRPr="001E6DFD">
        <w:rPr>
          <w:rFonts w:ascii="Arial" w:hAnsi="Arial" w:cs="Arial"/>
          <w:sz w:val="20"/>
          <w:lang w:eastAsia="ko-KR"/>
        </w:rPr>
        <w:t>n</w:t>
      </w:r>
      <w:r w:rsidR="00AB3F37" w:rsidRPr="001E6DFD">
        <w:rPr>
          <w:rFonts w:ascii="Arial" w:hAnsi="Arial" w:cs="Arial"/>
          <w:sz w:val="20"/>
          <w:lang w:eastAsia="ko-KR"/>
        </w:rPr>
        <w:t xml:space="preserve"> </w:t>
      </w:r>
      <w:r w:rsidRPr="001E6DFD">
        <w:rPr>
          <w:rFonts w:ascii="Arial" w:hAnsi="Arial" w:cs="Arial"/>
          <w:sz w:val="20"/>
          <w:lang w:eastAsia="ko-KR"/>
        </w:rPr>
        <w:t>personnel par rapport au budget</w:t>
      </w:r>
      <w:r w:rsidR="00B4191E">
        <w:rPr>
          <w:rFonts w:ascii="Arial" w:hAnsi="Arial" w:cs="Arial"/>
          <w:sz w:val="20"/>
          <w:lang w:eastAsia="ko-KR"/>
        </w:rPr>
        <w:t> </w:t>
      </w:r>
      <w:r w:rsidR="00BD723D" w:rsidRPr="001E6DFD">
        <w:rPr>
          <w:rFonts w:ascii="Arial" w:hAnsi="Arial" w:cs="Arial"/>
          <w:sz w:val="20"/>
          <w:lang w:eastAsia="ko-KR"/>
        </w:rPr>
        <w:t>2016</w:t>
      </w:r>
      <w:r w:rsidR="006A41CF" w:rsidRPr="001E6DFD">
        <w:rPr>
          <w:rFonts w:ascii="Arial" w:hAnsi="Arial" w:cs="Arial"/>
          <w:sz w:val="20"/>
          <w:lang w:eastAsia="ko-KR"/>
        </w:rPr>
        <w:noBreakHyphen/>
      </w:r>
      <w:r w:rsidR="00BD723D" w:rsidRPr="001E6DFD">
        <w:rPr>
          <w:rFonts w:ascii="Arial" w:hAnsi="Arial" w:cs="Arial"/>
          <w:sz w:val="20"/>
          <w:lang w:eastAsia="ko-KR"/>
        </w:rPr>
        <w:t xml:space="preserve">2017 </w:t>
      </w:r>
      <w:r w:rsidRPr="001E6DFD">
        <w:rPr>
          <w:rFonts w:ascii="Arial" w:hAnsi="Arial" w:cs="Arial"/>
          <w:sz w:val="20"/>
          <w:lang w:eastAsia="ko-KR"/>
        </w:rPr>
        <w:t xml:space="preserve">approuvé </w:t>
      </w:r>
      <w:r w:rsidR="00AB3F37" w:rsidRPr="001E6DFD">
        <w:rPr>
          <w:rFonts w:ascii="Arial" w:hAnsi="Arial" w:cs="Arial"/>
          <w:sz w:val="20"/>
          <w:lang w:eastAsia="ko-KR"/>
        </w:rPr>
        <w:t>a résulté</w:t>
      </w:r>
      <w:r w:rsidR="00077E0D" w:rsidRPr="001E6DFD">
        <w:rPr>
          <w:rFonts w:ascii="Arial" w:hAnsi="Arial" w:cs="Arial"/>
          <w:sz w:val="20"/>
          <w:lang w:eastAsia="ko-KR"/>
        </w:rPr>
        <w:t>, d</w:t>
      </w:r>
      <w:r w:rsidR="00FA22F6" w:rsidRPr="001E6DFD">
        <w:rPr>
          <w:rFonts w:ascii="Arial" w:hAnsi="Arial" w:cs="Arial"/>
          <w:sz w:val="20"/>
          <w:lang w:eastAsia="ko-KR"/>
        </w:rPr>
        <w:t>’</w:t>
      </w:r>
      <w:r w:rsidR="00077E0D" w:rsidRPr="001E6DFD">
        <w:rPr>
          <w:rFonts w:ascii="Arial" w:hAnsi="Arial" w:cs="Arial"/>
          <w:sz w:val="20"/>
          <w:lang w:eastAsia="ko-KR"/>
        </w:rPr>
        <w:t>une part</w:t>
      </w:r>
      <w:r w:rsidR="00FA22F6" w:rsidRPr="001E6DFD">
        <w:rPr>
          <w:rFonts w:ascii="Arial" w:hAnsi="Arial" w:cs="Arial"/>
          <w:sz w:val="20"/>
          <w:lang w:eastAsia="ko-KR"/>
        </w:rPr>
        <w:t> :</w:t>
      </w:r>
      <w:r w:rsidR="002F1C9B" w:rsidRPr="001E6DFD">
        <w:rPr>
          <w:rFonts w:ascii="Arial" w:hAnsi="Arial" w:cs="Arial"/>
          <w:sz w:val="20"/>
          <w:lang w:eastAsia="ko-KR"/>
        </w:rPr>
        <w:t xml:space="preserve"> i)</w:t>
      </w:r>
      <w:r w:rsidR="004D421A" w:rsidRPr="001E6DFD">
        <w:rPr>
          <w:rFonts w:ascii="Arial" w:hAnsi="Arial" w:cs="Arial"/>
          <w:sz w:val="20"/>
          <w:lang w:eastAsia="ko-KR"/>
        </w:rPr>
        <w:t> </w:t>
      </w:r>
      <w:r w:rsidR="00AB3F37" w:rsidRPr="001E6DFD">
        <w:rPr>
          <w:rFonts w:ascii="Arial" w:eastAsia="Times New Roman" w:hAnsi="Arial" w:cs="Arial"/>
          <w:sz w:val="20"/>
          <w:szCs w:val="20"/>
          <w:lang w:eastAsia="en-US"/>
        </w:rPr>
        <w:t>d</w:t>
      </w:r>
      <w:r w:rsidR="00077E0D" w:rsidRPr="001E6DFD">
        <w:rPr>
          <w:rFonts w:ascii="Arial" w:eastAsia="Times New Roman" w:hAnsi="Arial" w:cs="Arial"/>
          <w:sz w:val="20"/>
          <w:szCs w:val="20"/>
          <w:lang w:eastAsia="en-US"/>
        </w:rPr>
        <w:t xml:space="preserve">u </w:t>
      </w:r>
      <w:r w:rsidR="00E905C5" w:rsidRPr="001E6DFD">
        <w:rPr>
          <w:rFonts w:ascii="Arial" w:hAnsi="Arial" w:cs="Arial"/>
          <w:sz w:val="20"/>
          <w:lang w:eastAsia="ko-KR"/>
        </w:rPr>
        <w:t>transfert temporaire d</w:t>
      </w:r>
      <w:r w:rsidR="00FA22F6" w:rsidRPr="001E6DFD">
        <w:rPr>
          <w:rFonts w:ascii="Arial" w:hAnsi="Arial" w:cs="Arial"/>
          <w:sz w:val="20"/>
          <w:lang w:eastAsia="ko-KR"/>
        </w:rPr>
        <w:t>’</w:t>
      </w:r>
      <w:r w:rsidR="00E905C5" w:rsidRPr="001E6DFD">
        <w:rPr>
          <w:rFonts w:ascii="Arial" w:hAnsi="Arial" w:cs="Arial"/>
          <w:sz w:val="20"/>
          <w:lang w:eastAsia="ko-KR"/>
        </w:rPr>
        <w:t>un con</w:t>
      </w:r>
      <w:r w:rsidR="003A3861" w:rsidRPr="001E6DFD">
        <w:rPr>
          <w:rFonts w:ascii="Arial" w:hAnsi="Arial" w:cs="Arial"/>
          <w:sz w:val="20"/>
          <w:lang w:eastAsia="ko-KR"/>
        </w:rPr>
        <w:t>seiller juridique principal au p</w:t>
      </w:r>
      <w:r w:rsidR="00E905C5" w:rsidRPr="001E6DFD">
        <w:rPr>
          <w:rFonts w:ascii="Arial" w:hAnsi="Arial" w:cs="Arial"/>
          <w:sz w:val="20"/>
          <w:lang w:eastAsia="ko-KR"/>
        </w:rPr>
        <w:t>rogramm</w:t>
      </w:r>
      <w:r w:rsidR="00122D45" w:rsidRPr="001E6DFD">
        <w:rPr>
          <w:rFonts w:ascii="Arial" w:hAnsi="Arial" w:cs="Arial"/>
          <w:sz w:val="20"/>
          <w:lang w:eastAsia="ko-KR"/>
        </w:rPr>
        <w:t>e</w:t>
      </w:r>
      <w:r w:rsidR="00B4191E">
        <w:rPr>
          <w:rFonts w:ascii="Arial" w:hAnsi="Arial" w:cs="Arial"/>
          <w:sz w:val="20"/>
          <w:lang w:eastAsia="ko-KR"/>
        </w:rPr>
        <w:t> </w:t>
      </w:r>
      <w:r w:rsidR="00122D45" w:rsidRPr="001E6DFD">
        <w:rPr>
          <w:rFonts w:ascii="Arial" w:hAnsi="Arial" w:cs="Arial"/>
          <w:sz w:val="20"/>
          <w:lang w:eastAsia="ko-KR"/>
        </w:rPr>
        <w:t>3 (D</w:t>
      </w:r>
      <w:r w:rsidR="00D03545" w:rsidRPr="001E6DFD">
        <w:rPr>
          <w:rFonts w:ascii="Arial" w:hAnsi="Arial" w:cs="Arial"/>
          <w:sz w:val="20"/>
          <w:lang w:eastAsia="ko-KR"/>
        </w:rPr>
        <w:t>roit</w:t>
      </w:r>
      <w:r w:rsidR="00E905C5" w:rsidRPr="001E6DFD">
        <w:rPr>
          <w:rFonts w:ascii="Arial" w:hAnsi="Arial" w:cs="Arial"/>
          <w:sz w:val="20"/>
          <w:lang w:eastAsia="ko-KR"/>
        </w:rPr>
        <w:t xml:space="preserve"> d</w:t>
      </w:r>
      <w:r w:rsidR="00FA22F6" w:rsidRPr="001E6DFD">
        <w:rPr>
          <w:rFonts w:ascii="Arial" w:hAnsi="Arial" w:cs="Arial"/>
          <w:sz w:val="20"/>
          <w:lang w:eastAsia="ko-KR"/>
        </w:rPr>
        <w:t>’</w:t>
      </w:r>
      <w:r w:rsidR="00E905C5" w:rsidRPr="001E6DFD">
        <w:rPr>
          <w:rFonts w:ascii="Arial" w:hAnsi="Arial" w:cs="Arial"/>
          <w:sz w:val="20"/>
          <w:lang w:eastAsia="ko-KR"/>
        </w:rPr>
        <w:t xml:space="preserve">auteur et droits connexes), </w:t>
      </w:r>
      <w:r w:rsidR="00AB3F37" w:rsidRPr="001E6DFD">
        <w:rPr>
          <w:rFonts w:ascii="Arial" w:hAnsi="Arial" w:cs="Arial"/>
          <w:sz w:val="20"/>
          <w:lang w:eastAsia="ko-KR"/>
        </w:rPr>
        <w:t>tel qu</w:t>
      </w:r>
      <w:r w:rsidR="00FA22F6" w:rsidRPr="001E6DFD">
        <w:rPr>
          <w:rFonts w:ascii="Arial" w:hAnsi="Arial" w:cs="Arial"/>
          <w:sz w:val="20"/>
          <w:lang w:eastAsia="ko-KR"/>
        </w:rPr>
        <w:t>’</w:t>
      </w:r>
      <w:r w:rsidR="00AB3F37" w:rsidRPr="001E6DFD">
        <w:rPr>
          <w:rFonts w:ascii="Arial" w:hAnsi="Arial" w:cs="Arial"/>
          <w:sz w:val="20"/>
          <w:lang w:eastAsia="ko-KR"/>
        </w:rPr>
        <w:t>indiqué au r</w:t>
      </w:r>
      <w:r w:rsidR="00E905C5" w:rsidRPr="001E6DFD">
        <w:rPr>
          <w:rFonts w:ascii="Arial" w:hAnsi="Arial" w:cs="Arial"/>
          <w:sz w:val="20"/>
          <w:lang w:eastAsia="ko-KR"/>
        </w:rPr>
        <w:t>ésultat escompté I.2 (</w:t>
      </w:r>
      <w:r w:rsidR="00E965F5" w:rsidRPr="001E6DFD">
        <w:rPr>
          <w:rFonts w:ascii="Arial" w:hAnsi="Arial" w:cs="Arial"/>
          <w:sz w:val="20"/>
          <w:lang w:eastAsia="ko-KR"/>
        </w:rPr>
        <w:t>C</w:t>
      </w:r>
      <w:r w:rsidR="00D03545" w:rsidRPr="001E6DFD">
        <w:rPr>
          <w:rFonts w:ascii="Arial" w:hAnsi="Arial" w:cs="Arial"/>
          <w:sz w:val="20"/>
          <w:lang w:eastAsia="ko-KR"/>
        </w:rPr>
        <w:t xml:space="preserve">onseils </w:t>
      </w:r>
      <w:r w:rsidR="00C31FA5" w:rsidRPr="001E6DFD">
        <w:rPr>
          <w:rFonts w:ascii="Arial" w:hAnsi="Arial" w:cs="Arial"/>
          <w:sz w:val="20"/>
          <w:lang w:eastAsia="ko-KR"/>
        </w:rPr>
        <w:t>en matière de législation</w:t>
      </w:r>
      <w:r w:rsidR="00E905C5" w:rsidRPr="001E6DFD">
        <w:rPr>
          <w:rFonts w:ascii="Arial" w:hAnsi="Arial" w:cs="Arial"/>
          <w:sz w:val="20"/>
          <w:lang w:eastAsia="ko-KR"/>
        </w:rPr>
        <w:t>);</w:t>
      </w:r>
      <w:r w:rsidR="00BF24C0" w:rsidRPr="001E6DFD">
        <w:rPr>
          <w:rFonts w:ascii="Arial" w:hAnsi="Arial" w:cs="Arial"/>
          <w:sz w:val="20"/>
          <w:lang w:eastAsia="ko-KR"/>
        </w:rPr>
        <w:t xml:space="preserve">  </w:t>
      </w:r>
      <w:r w:rsidR="002F1C9B" w:rsidRPr="001E6DFD">
        <w:rPr>
          <w:rFonts w:ascii="Arial" w:hAnsi="Arial" w:cs="Arial"/>
          <w:sz w:val="20"/>
          <w:lang w:eastAsia="ko-KR"/>
        </w:rPr>
        <w:t>ii)</w:t>
      </w:r>
      <w:r w:rsidR="004D421A" w:rsidRPr="001E6DFD">
        <w:rPr>
          <w:rFonts w:ascii="Arial" w:hAnsi="Arial" w:cs="Arial"/>
          <w:sz w:val="20"/>
          <w:lang w:eastAsia="ko-KR"/>
        </w:rPr>
        <w:t> </w:t>
      </w:r>
      <w:r w:rsidR="00C31FA5" w:rsidRPr="001E6DFD">
        <w:rPr>
          <w:rFonts w:ascii="Arial" w:hAnsi="Arial" w:cs="Arial"/>
          <w:sz w:val="20"/>
          <w:lang w:eastAsia="ko-KR"/>
        </w:rPr>
        <w:t>d</w:t>
      </w:r>
      <w:r w:rsidR="00077E0D" w:rsidRPr="001E6DFD">
        <w:rPr>
          <w:rFonts w:ascii="Arial" w:hAnsi="Arial" w:cs="Arial"/>
          <w:sz w:val="20"/>
          <w:lang w:eastAsia="ko-KR"/>
        </w:rPr>
        <w:t xml:space="preserve">u </w:t>
      </w:r>
      <w:r w:rsidR="00E0143E" w:rsidRPr="001E6DFD">
        <w:rPr>
          <w:rFonts w:ascii="Arial" w:hAnsi="Arial" w:cs="Arial"/>
          <w:sz w:val="20"/>
          <w:lang w:eastAsia="ko-KR"/>
        </w:rPr>
        <w:t>redéploiement</w:t>
      </w:r>
      <w:r w:rsidR="00C31FA5" w:rsidRPr="001E6DFD">
        <w:rPr>
          <w:rFonts w:ascii="Arial" w:hAnsi="Arial" w:cs="Arial"/>
          <w:sz w:val="20"/>
          <w:lang w:eastAsia="ko-KR"/>
        </w:rPr>
        <w:t>,</w:t>
      </w:r>
      <w:r w:rsidR="00E0143E" w:rsidRPr="001E6DFD">
        <w:rPr>
          <w:rFonts w:ascii="Arial" w:hAnsi="Arial" w:cs="Arial"/>
          <w:sz w:val="20"/>
          <w:lang w:eastAsia="ko-KR"/>
        </w:rPr>
        <w:t xml:space="preserve"> </w:t>
      </w:r>
      <w:r w:rsidR="00C31FA5" w:rsidRPr="001E6DFD">
        <w:rPr>
          <w:rFonts w:ascii="Arial" w:hAnsi="Arial" w:cs="Arial"/>
          <w:sz w:val="20"/>
          <w:lang w:eastAsia="ko-KR"/>
        </w:rPr>
        <w:t>vers d</w:t>
      </w:r>
      <w:r w:rsidR="00FA22F6" w:rsidRPr="001E6DFD">
        <w:rPr>
          <w:rFonts w:ascii="Arial" w:hAnsi="Arial" w:cs="Arial"/>
          <w:sz w:val="20"/>
          <w:lang w:eastAsia="ko-KR"/>
        </w:rPr>
        <w:t>’</w:t>
      </w:r>
      <w:r w:rsidR="00C31FA5" w:rsidRPr="001E6DFD">
        <w:rPr>
          <w:rFonts w:ascii="Arial" w:hAnsi="Arial" w:cs="Arial"/>
          <w:sz w:val="20"/>
          <w:lang w:eastAsia="ko-KR"/>
        </w:rPr>
        <w:t>autres priorités de l</w:t>
      </w:r>
      <w:r w:rsidR="00FA22F6" w:rsidRPr="001E6DFD">
        <w:rPr>
          <w:rFonts w:ascii="Arial" w:hAnsi="Arial" w:cs="Arial"/>
          <w:sz w:val="20"/>
          <w:lang w:eastAsia="ko-KR"/>
        </w:rPr>
        <w:t>’</w:t>
      </w:r>
      <w:r w:rsidR="00C31FA5" w:rsidRPr="001E6DFD">
        <w:rPr>
          <w:rFonts w:ascii="Arial" w:hAnsi="Arial" w:cs="Arial"/>
          <w:sz w:val="20"/>
          <w:lang w:eastAsia="ko-KR"/>
        </w:rPr>
        <w:t xml:space="preserve">Organisation, </w:t>
      </w:r>
      <w:r w:rsidR="00E0143E" w:rsidRPr="001E6DFD">
        <w:rPr>
          <w:rFonts w:ascii="Arial" w:hAnsi="Arial" w:cs="Arial"/>
          <w:sz w:val="20"/>
          <w:lang w:eastAsia="ko-KR"/>
        </w:rPr>
        <w:t xml:space="preserve">des économies </w:t>
      </w:r>
      <w:r w:rsidR="00C31FA5" w:rsidRPr="001E6DFD">
        <w:rPr>
          <w:rFonts w:ascii="Arial" w:hAnsi="Arial" w:cs="Arial"/>
          <w:sz w:val="20"/>
          <w:lang w:eastAsia="ko-KR"/>
        </w:rPr>
        <w:t xml:space="preserve">dégagées au titre du </w:t>
      </w:r>
      <w:r w:rsidR="00E0143E" w:rsidRPr="001E6DFD">
        <w:rPr>
          <w:rFonts w:ascii="Arial" w:hAnsi="Arial" w:cs="Arial"/>
          <w:sz w:val="20"/>
          <w:lang w:eastAsia="ko-KR"/>
        </w:rPr>
        <w:t xml:space="preserve">personnel dans le programme </w:t>
      </w:r>
      <w:r w:rsidR="001C4825" w:rsidRPr="001E6DFD">
        <w:rPr>
          <w:rFonts w:ascii="Arial" w:hAnsi="Arial" w:cs="Arial"/>
          <w:sz w:val="20"/>
          <w:lang w:eastAsia="ko-KR"/>
        </w:rPr>
        <w:t>et</w:t>
      </w:r>
      <w:r w:rsidR="00E0143E" w:rsidRPr="001E6DFD">
        <w:rPr>
          <w:rFonts w:ascii="Arial" w:hAnsi="Arial" w:cs="Arial"/>
          <w:sz w:val="20"/>
          <w:lang w:eastAsia="ko-KR"/>
        </w:rPr>
        <w:t>, d</w:t>
      </w:r>
      <w:r w:rsidR="00FA22F6" w:rsidRPr="001E6DFD">
        <w:rPr>
          <w:rFonts w:ascii="Arial" w:hAnsi="Arial" w:cs="Arial"/>
          <w:sz w:val="20"/>
          <w:lang w:eastAsia="ko-KR"/>
        </w:rPr>
        <w:t>’</w:t>
      </w:r>
      <w:r w:rsidR="00E0143E" w:rsidRPr="001E6DFD">
        <w:rPr>
          <w:rFonts w:ascii="Arial" w:hAnsi="Arial" w:cs="Arial"/>
          <w:sz w:val="20"/>
          <w:lang w:eastAsia="ko-KR"/>
        </w:rPr>
        <w:t xml:space="preserve">autre part, </w:t>
      </w:r>
      <w:r w:rsidR="00ED43EC" w:rsidRPr="001E6DFD">
        <w:rPr>
          <w:rFonts w:ascii="Arial" w:hAnsi="Arial" w:cs="Arial"/>
          <w:sz w:val="20"/>
          <w:lang w:eastAsia="ko-KR"/>
        </w:rPr>
        <w:t>des</w:t>
      </w:r>
      <w:r w:rsidR="00F968F2" w:rsidRPr="001E6DFD">
        <w:rPr>
          <w:rFonts w:ascii="Arial" w:hAnsi="Arial" w:cs="Arial"/>
          <w:sz w:val="20"/>
          <w:lang w:eastAsia="ko-KR"/>
        </w:rPr>
        <w:t xml:space="preserve"> </w:t>
      </w:r>
      <w:r w:rsidR="00E0143E" w:rsidRPr="001E6DFD">
        <w:rPr>
          <w:rFonts w:ascii="Arial" w:hAnsi="Arial" w:cs="Arial"/>
          <w:sz w:val="20"/>
          <w:lang w:eastAsia="ko-KR"/>
        </w:rPr>
        <w:t xml:space="preserve">fonds supplémentaires alloués au programme pour la régularisation </w:t>
      </w:r>
      <w:r w:rsidR="00486E41" w:rsidRPr="001E6DFD">
        <w:rPr>
          <w:rFonts w:ascii="Arial" w:hAnsi="Arial" w:cs="Arial"/>
          <w:sz w:val="20"/>
          <w:lang w:eastAsia="ko-KR"/>
        </w:rPr>
        <w:t>des</w:t>
      </w:r>
      <w:r w:rsidR="00B24F53" w:rsidRPr="001E6DFD">
        <w:rPr>
          <w:rFonts w:ascii="Arial" w:hAnsi="Arial" w:cs="Arial"/>
          <w:sz w:val="20"/>
          <w:lang w:eastAsia="ko-KR"/>
        </w:rPr>
        <w:t xml:space="preserve"> personne</w:t>
      </w:r>
      <w:r w:rsidR="00486E41" w:rsidRPr="001E6DFD">
        <w:rPr>
          <w:rFonts w:ascii="Arial" w:hAnsi="Arial" w:cs="Arial"/>
          <w:sz w:val="20"/>
          <w:lang w:eastAsia="ko-KR"/>
        </w:rPr>
        <w:t>s</w:t>
      </w:r>
      <w:r w:rsidR="00B24F53" w:rsidRPr="001E6DFD">
        <w:rPr>
          <w:rFonts w:ascii="Arial" w:hAnsi="Arial" w:cs="Arial"/>
          <w:sz w:val="20"/>
          <w:lang w:eastAsia="ko-KR"/>
        </w:rPr>
        <w:t xml:space="preserve"> </w:t>
      </w:r>
      <w:r w:rsidR="00486E41" w:rsidRPr="001E6DFD">
        <w:rPr>
          <w:rFonts w:ascii="Arial" w:hAnsi="Arial" w:cs="Arial"/>
          <w:sz w:val="20"/>
          <w:lang w:eastAsia="ko-KR"/>
        </w:rPr>
        <w:t xml:space="preserve">exerçant </w:t>
      </w:r>
      <w:r w:rsidR="00B24F53" w:rsidRPr="001E6DFD">
        <w:rPr>
          <w:rFonts w:ascii="Arial" w:hAnsi="Arial" w:cs="Arial"/>
          <w:sz w:val="20"/>
          <w:lang w:eastAsia="ko-KR"/>
        </w:rPr>
        <w:t>des fonctions continues</w:t>
      </w:r>
      <w:r w:rsidR="00E0143E" w:rsidRPr="001E6DFD">
        <w:rPr>
          <w:rFonts w:ascii="Arial" w:hAnsi="Arial" w:cs="Arial"/>
          <w:sz w:val="20"/>
          <w:lang w:eastAsia="ko-KR"/>
        </w:rPr>
        <w:t xml:space="preserve">, </w:t>
      </w:r>
      <w:r w:rsidR="00ED43EC" w:rsidRPr="001E6DFD">
        <w:rPr>
          <w:rFonts w:ascii="Arial" w:hAnsi="Arial" w:cs="Arial"/>
          <w:sz w:val="20"/>
          <w:lang w:eastAsia="ko-KR"/>
        </w:rPr>
        <w:t>tel qu</w:t>
      </w:r>
      <w:r w:rsidR="00FA22F6" w:rsidRPr="001E6DFD">
        <w:rPr>
          <w:rFonts w:ascii="Arial" w:hAnsi="Arial" w:cs="Arial"/>
          <w:sz w:val="20"/>
          <w:lang w:eastAsia="ko-KR"/>
        </w:rPr>
        <w:t>’</w:t>
      </w:r>
      <w:r w:rsidR="00ED43EC" w:rsidRPr="001E6DFD">
        <w:rPr>
          <w:rFonts w:ascii="Arial" w:hAnsi="Arial" w:cs="Arial"/>
          <w:sz w:val="20"/>
          <w:lang w:eastAsia="ko-KR"/>
        </w:rPr>
        <w:t xml:space="preserve">indiqué au </w:t>
      </w:r>
      <w:r w:rsidR="00E0143E" w:rsidRPr="001E6DFD">
        <w:rPr>
          <w:rFonts w:ascii="Arial" w:hAnsi="Arial" w:cs="Arial"/>
          <w:sz w:val="20"/>
          <w:lang w:eastAsia="ko-KR"/>
        </w:rPr>
        <w:t xml:space="preserve">résultat </w:t>
      </w:r>
      <w:r w:rsidR="00833097" w:rsidRPr="001E6DFD">
        <w:rPr>
          <w:rFonts w:ascii="Arial" w:hAnsi="Arial" w:cs="Arial"/>
          <w:sz w:val="20"/>
          <w:lang w:eastAsia="ko-KR"/>
        </w:rPr>
        <w:t>escompté</w:t>
      </w:r>
      <w:r w:rsidR="00E0143E" w:rsidRPr="001E6DFD">
        <w:rPr>
          <w:rFonts w:ascii="Arial" w:hAnsi="Arial" w:cs="Arial"/>
          <w:sz w:val="20"/>
          <w:lang w:eastAsia="ko-KR"/>
        </w:rPr>
        <w:t xml:space="preserve"> </w:t>
      </w:r>
      <w:r w:rsidR="001C4825" w:rsidRPr="001E6DFD">
        <w:rPr>
          <w:rFonts w:ascii="Arial" w:hAnsi="Arial" w:cs="Arial"/>
          <w:sz w:val="20"/>
          <w:lang w:eastAsia="ko-KR"/>
        </w:rPr>
        <w:t xml:space="preserve">I.1 </w:t>
      </w:r>
      <w:r w:rsidR="00E0143E" w:rsidRPr="001E6DFD">
        <w:rPr>
          <w:rFonts w:ascii="Arial" w:hAnsi="Arial" w:cs="Arial"/>
          <w:sz w:val="20"/>
          <w:lang w:eastAsia="ko-KR"/>
        </w:rPr>
        <w:t>(</w:t>
      </w:r>
      <w:r w:rsidR="00E965F5" w:rsidRPr="001E6DFD">
        <w:rPr>
          <w:rFonts w:ascii="Arial" w:hAnsi="Arial" w:cs="Arial"/>
          <w:sz w:val="20"/>
          <w:lang w:eastAsia="ko-KR"/>
        </w:rPr>
        <w:t xml:space="preserve">Renforcement de la </w:t>
      </w:r>
      <w:r w:rsidR="00E0143E" w:rsidRPr="001E6DFD">
        <w:rPr>
          <w:rFonts w:ascii="Arial" w:hAnsi="Arial" w:cs="Arial"/>
          <w:sz w:val="20"/>
          <w:lang w:eastAsia="ko-KR"/>
        </w:rPr>
        <w:t>coopération entre les États membr</w:t>
      </w:r>
      <w:r w:rsidR="004A4D21" w:rsidRPr="001E6DFD">
        <w:rPr>
          <w:rFonts w:ascii="Arial" w:hAnsi="Arial" w:cs="Arial"/>
          <w:sz w:val="20"/>
          <w:lang w:eastAsia="ko-KR"/>
        </w:rPr>
        <w:t>es).  La</w:t>
      </w:r>
      <w:r w:rsidR="001B1273" w:rsidRPr="001E6DFD">
        <w:rPr>
          <w:rFonts w:ascii="Arial" w:hAnsi="Arial" w:cs="Arial"/>
          <w:sz w:val="20"/>
          <w:lang w:eastAsia="ko-KR"/>
        </w:rPr>
        <w:t xml:space="preserve"> diminution des </w:t>
      </w:r>
      <w:r w:rsidR="00BB63E8" w:rsidRPr="001E6DFD">
        <w:rPr>
          <w:rFonts w:ascii="Arial" w:hAnsi="Arial" w:cs="Arial"/>
          <w:sz w:val="20"/>
          <w:lang w:eastAsia="ko-KR"/>
        </w:rPr>
        <w:t xml:space="preserve">ressources autres que </w:t>
      </w:r>
      <w:r w:rsidR="00E1554A" w:rsidRPr="001E6DFD">
        <w:rPr>
          <w:rFonts w:ascii="Arial" w:hAnsi="Arial" w:cs="Arial"/>
          <w:sz w:val="20"/>
          <w:lang w:eastAsia="ko-KR"/>
        </w:rPr>
        <w:t xml:space="preserve">pour le </w:t>
      </w:r>
      <w:r w:rsidR="006D5D4D" w:rsidRPr="001E6DFD">
        <w:rPr>
          <w:rFonts w:ascii="Arial" w:hAnsi="Arial" w:cs="Arial"/>
          <w:sz w:val="20"/>
          <w:lang w:eastAsia="ko-KR"/>
        </w:rPr>
        <w:t xml:space="preserve">personnel </w:t>
      </w:r>
      <w:r w:rsidR="00C7211C" w:rsidRPr="001E6DFD">
        <w:rPr>
          <w:rFonts w:ascii="Arial" w:hAnsi="Arial" w:cs="Arial"/>
          <w:sz w:val="20"/>
          <w:lang w:eastAsia="ko-KR"/>
        </w:rPr>
        <w:t xml:space="preserve">était </w:t>
      </w:r>
      <w:r w:rsidR="001B1273" w:rsidRPr="001E6DFD">
        <w:rPr>
          <w:rFonts w:ascii="Arial" w:hAnsi="Arial" w:cs="Arial"/>
          <w:sz w:val="20"/>
          <w:lang w:eastAsia="ko-KR"/>
        </w:rPr>
        <w:t xml:space="preserve">due au transfert des ressources pour les stages </w:t>
      </w:r>
      <w:r w:rsidR="00C7211C" w:rsidRPr="001E6DFD">
        <w:rPr>
          <w:rFonts w:ascii="Arial" w:hAnsi="Arial" w:cs="Arial"/>
          <w:sz w:val="20"/>
          <w:lang w:eastAsia="ko-KR"/>
        </w:rPr>
        <w:t>vers</w:t>
      </w:r>
      <w:r w:rsidR="00FA22F6" w:rsidRPr="001E6DFD">
        <w:rPr>
          <w:rFonts w:ascii="Arial" w:hAnsi="Arial" w:cs="Arial"/>
          <w:sz w:val="20"/>
          <w:lang w:eastAsia="ko-KR"/>
        </w:rPr>
        <w:t xml:space="preserve"> le DGR</w:t>
      </w:r>
      <w:r w:rsidR="003A3861" w:rsidRPr="001E6DFD">
        <w:rPr>
          <w:rFonts w:ascii="Arial" w:hAnsi="Arial" w:cs="Arial"/>
          <w:sz w:val="20"/>
          <w:lang w:eastAsia="ko-KR"/>
        </w:rPr>
        <w:t xml:space="preserve">H </w:t>
      </w:r>
      <w:r w:rsidR="001B1273" w:rsidRPr="001E6DFD">
        <w:rPr>
          <w:rFonts w:ascii="Arial" w:hAnsi="Arial" w:cs="Arial"/>
          <w:sz w:val="20"/>
          <w:lang w:eastAsia="ko-KR"/>
        </w:rPr>
        <w:t>(programme</w:t>
      </w:r>
      <w:r w:rsidR="00B4191E">
        <w:rPr>
          <w:rFonts w:ascii="Arial" w:hAnsi="Arial" w:cs="Arial"/>
          <w:sz w:val="20"/>
          <w:lang w:eastAsia="ko-KR"/>
        </w:rPr>
        <w:t> </w:t>
      </w:r>
      <w:r w:rsidR="001B1273" w:rsidRPr="001E6DFD">
        <w:rPr>
          <w:rFonts w:ascii="Arial" w:hAnsi="Arial" w:cs="Arial"/>
          <w:sz w:val="20"/>
          <w:lang w:eastAsia="ko-KR"/>
        </w:rPr>
        <w:t>23), qui gère les stagiaires</w:t>
      </w:r>
      <w:r w:rsidR="003A3861" w:rsidRPr="001E6DFD">
        <w:rPr>
          <w:rFonts w:ascii="Arial" w:hAnsi="Arial" w:cs="Arial"/>
          <w:sz w:val="20"/>
          <w:lang w:eastAsia="ko-KR"/>
        </w:rPr>
        <w:t xml:space="preserve"> de manière centralisée</w:t>
      </w:r>
      <w:r w:rsidR="001B1273" w:rsidRPr="001E6DFD">
        <w:rPr>
          <w:rFonts w:ascii="Arial" w:hAnsi="Arial" w:cs="Arial"/>
          <w:sz w:val="20"/>
          <w:lang w:eastAsia="ko-KR"/>
        </w:rPr>
        <w:t>.</w:t>
      </w:r>
    </w:p>
    <w:p w14:paraId="5EBBC014" w14:textId="77777777" w:rsidR="001F64B1" w:rsidRPr="001303B4" w:rsidRDefault="001F64B1" w:rsidP="0097226C">
      <w:pPr>
        <w:jc w:val="both"/>
        <w:rPr>
          <w:sz w:val="20"/>
        </w:rPr>
      </w:pPr>
    </w:p>
    <w:p w14:paraId="63C4A3AB" w14:textId="4F4F0482" w:rsidR="001F64B1" w:rsidRPr="001E6DFD" w:rsidRDefault="002F1C9B" w:rsidP="0097226C">
      <w:pPr>
        <w:jc w:val="both"/>
        <w:rPr>
          <w:sz w:val="20"/>
        </w:rPr>
      </w:pPr>
      <w:r w:rsidRPr="001E6DFD">
        <w:rPr>
          <w:sz w:val="20"/>
        </w:rPr>
        <w:t>B.</w:t>
      </w:r>
      <w:r w:rsidRPr="001E6DFD">
        <w:rPr>
          <w:sz w:val="20"/>
        </w:rPr>
        <w:tab/>
      </w:r>
      <w:r w:rsidR="004F5E83" w:rsidRPr="001E6DFD">
        <w:rPr>
          <w:sz w:val="20"/>
          <w:u w:val="single"/>
        </w:rPr>
        <w:t>Utilisation du budget</w:t>
      </w:r>
      <w:r w:rsidR="00B4191E">
        <w:rPr>
          <w:sz w:val="20"/>
          <w:u w:val="single"/>
        </w:rPr>
        <w:t> </w:t>
      </w:r>
      <w:r w:rsidR="004F5E83" w:rsidRPr="001E6DFD">
        <w:rPr>
          <w:sz w:val="20"/>
          <w:u w:val="single"/>
        </w:rPr>
        <w:t>2016</w:t>
      </w:r>
      <w:r w:rsidR="006A41CF" w:rsidRPr="001E6DFD">
        <w:rPr>
          <w:sz w:val="20"/>
          <w:u w:val="single"/>
        </w:rPr>
        <w:noBreakHyphen/>
      </w:r>
      <w:r w:rsidR="004F5E83" w:rsidRPr="001E6DFD">
        <w:rPr>
          <w:sz w:val="20"/>
          <w:u w:val="single"/>
        </w:rPr>
        <w:t>2017</w:t>
      </w:r>
    </w:p>
    <w:p w14:paraId="09C7C040" w14:textId="77777777" w:rsidR="001F64B1" w:rsidRPr="001303B4" w:rsidRDefault="001F64B1" w:rsidP="0097226C">
      <w:pPr>
        <w:jc w:val="both"/>
        <w:rPr>
          <w:sz w:val="20"/>
        </w:rPr>
      </w:pPr>
    </w:p>
    <w:p w14:paraId="4F2704A8" w14:textId="27C14CA1" w:rsidR="001F64B1" w:rsidRPr="001E6DFD" w:rsidRDefault="00EC540A" w:rsidP="00D544B8">
      <w:pPr>
        <w:pStyle w:val="ListParagraph"/>
        <w:keepNext/>
        <w:keepLines/>
        <w:numPr>
          <w:ilvl w:val="0"/>
          <w:numId w:val="4"/>
        </w:numPr>
        <w:tabs>
          <w:tab w:val="left" w:pos="0"/>
        </w:tabs>
        <w:autoSpaceDE w:val="0"/>
        <w:autoSpaceDN w:val="0"/>
        <w:ind w:left="0" w:firstLine="0"/>
        <w:jc w:val="both"/>
        <w:rPr>
          <w:rFonts w:ascii="Arial" w:hAnsi="Arial" w:cs="Arial"/>
          <w:sz w:val="20"/>
          <w:lang w:eastAsia="ko-KR"/>
        </w:rPr>
      </w:pPr>
      <w:r w:rsidRPr="001E6DFD">
        <w:rPr>
          <w:rFonts w:ascii="Arial" w:hAnsi="Arial" w:cs="Arial"/>
          <w:sz w:val="20"/>
          <w:lang w:eastAsia="ko-KR"/>
        </w:rPr>
        <w:t>L</w:t>
      </w:r>
      <w:r w:rsidR="00FA22F6" w:rsidRPr="001E6DFD">
        <w:rPr>
          <w:rFonts w:ascii="Arial" w:hAnsi="Arial" w:cs="Arial"/>
          <w:sz w:val="20"/>
          <w:lang w:eastAsia="ko-KR"/>
        </w:rPr>
        <w:t>’</w:t>
      </w:r>
      <w:r w:rsidRPr="001E6DFD">
        <w:rPr>
          <w:rFonts w:ascii="Arial" w:hAnsi="Arial" w:cs="Arial"/>
          <w:sz w:val="20"/>
          <w:lang w:eastAsia="ko-KR"/>
        </w:rPr>
        <w:t>utilisation du budget se situait dans la fourchette prévue des 40 à 60% pour la première année de l</w:t>
      </w:r>
      <w:r w:rsidR="00FA22F6" w:rsidRPr="001E6DFD">
        <w:rPr>
          <w:rFonts w:ascii="Arial" w:hAnsi="Arial" w:cs="Arial"/>
          <w:sz w:val="20"/>
          <w:lang w:eastAsia="ko-KR"/>
        </w:rPr>
        <w:t>’</w:t>
      </w:r>
      <w:r w:rsidRPr="001E6DFD">
        <w:rPr>
          <w:rFonts w:ascii="Arial" w:hAnsi="Arial" w:cs="Arial"/>
          <w:sz w:val="20"/>
          <w:lang w:eastAsia="ko-KR"/>
        </w:rPr>
        <w:t>exercice biennal</w:t>
      </w:r>
      <w:r w:rsidR="00BA2736" w:rsidRPr="001E6DFD">
        <w:rPr>
          <w:rFonts w:ascii="Arial" w:hAnsi="Arial" w:cs="Arial"/>
          <w:sz w:val="20"/>
          <w:lang w:eastAsia="ko-KR"/>
        </w:rPr>
        <w:t>.</w:t>
      </w:r>
    </w:p>
    <w:p w14:paraId="26EA7DB8" w14:textId="77777777" w:rsidR="001F64B1" w:rsidRPr="001E6DFD" w:rsidRDefault="00BA5EA9" w:rsidP="0097226C">
      <w:pPr>
        <w:rPr>
          <w:szCs w:val="22"/>
        </w:rPr>
      </w:pPr>
      <w:r w:rsidRPr="001E6DFD">
        <w:rPr>
          <w:szCs w:val="22"/>
        </w:rPr>
        <w:br w:type="page"/>
      </w:r>
    </w:p>
    <w:p w14:paraId="0CE5C9C6" w14:textId="5CA35DBB" w:rsidR="001F64B1" w:rsidRPr="006658D5" w:rsidRDefault="002307FD" w:rsidP="006658D5">
      <w:pPr>
        <w:pStyle w:val="Heading3"/>
      </w:pPr>
      <w:bookmarkStart w:id="22" w:name="_Toc482774590"/>
      <w:r w:rsidRPr="006658D5">
        <w:lastRenderedPageBreak/>
        <w:t>Programme</w:t>
      </w:r>
      <w:r w:rsidR="00B4191E" w:rsidRPr="006658D5">
        <w:t> </w:t>
      </w:r>
      <w:r w:rsidRPr="006658D5">
        <w:t>2</w:t>
      </w:r>
      <w:r w:rsidRPr="006658D5">
        <w:tab/>
      </w:r>
      <w:r w:rsidRPr="006658D5">
        <w:rPr>
          <w:bCs/>
          <w:szCs w:val="22"/>
          <w:rtl/>
        </w:rPr>
        <w:t>‏</w:t>
      </w:r>
      <w:r w:rsidRPr="006658D5">
        <w:t>Marques, dessins et modèles industriels et indications géographiques</w:t>
      </w:r>
      <w:bookmarkEnd w:id="22"/>
    </w:p>
    <w:p w14:paraId="667A60CF" w14:textId="77777777" w:rsidR="001F64B1" w:rsidRPr="001E6DFD" w:rsidRDefault="001F64B1" w:rsidP="006F3FD5">
      <w:pPr>
        <w:tabs>
          <w:tab w:val="left" w:pos="2268"/>
        </w:tabs>
        <w:ind w:left="2268" w:hanging="2268"/>
        <w:rPr>
          <w:sz w:val="20"/>
        </w:rPr>
      </w:pPr>
    </w:p>
    <w:p w14:paraId="7FE0C1A8" w14:textId="759A4B1F" w:rsidR="001F64B1" w:rsidRPr="001E6DFD" w:rsidRDefault="002307FD" w:rsidP="006F3FD5">
      <w:pPr>
        <w:tabs>
          <w:tab w:val="left" w:pos="2268"/>
        </w:tabs>
        <w:ind w:left="2268" w:hanging="2268"/>
        <w:rPr>
          <w:b/>
          <w:sz w:val="20"/>
          <w:szCs w:val="22"/>
        </w:rPr>
      </w:pPr>
      <w:r w:rsidRPr="001E6DFD">
        <w:rPr>
          <w:b/>
          <w:sz w:val="20"/>
          <w:szCs w:val="22"/>
        </w:rPr>
        <w:t>Chef de programme</w:t>
      </w:r>
      <w:r w:rsidRPr="001E6DFD">
        <w:rPr>
          <w:b/>
          <w:sz w:val="20"/>
          <w:szCs w:val="22"/>
        </w:rPr>
        <w:tab/>
        <w:t>Mme B.</w:t>
      </w:r>
      <w:r w:rsidR="004D421A" w:rsidRPr="001E6DFD">
        <w:rPr>
          <w:b/>
          <w:sz w:val="20"/>
          <w:szCs w:val="22"/>
        </w:rPr>
        <w:t> </w:t>
      </w:r>
      <w:r w:rsidRPr="001E6DFD">
        <w:rPr>
          <w:b/>
          <w:sz w:val="20"/>
          <w:szCs w:val="22"/>
        </w:rPr>
        <w:t>Wang</w:t>
      </w:r>
    </w:p>
    <w:p w14:paraId="6C724FC7" w14:textId="1CC6D55B" w:rsidR="00BA5EA9" w:rsidRPr="001E6DFD" w:rsidRDefault="00FF6A9A" w:rsidP="0097226C">
      <w:pPr>
        <w:tabs>
          <w:tab w:val="left" w:pos="1985"/>
        </w:tabs>
        <w:jc w:val="center"/>
        <w:rPr>
          <w:b/>
          <w:sz w:val="20"/>
          <w:szCs w:val="22"/>
        </w:rPr>
      </w:pPr>
      <w:r w:rsidRPr="00FF6A9A">
        <w:rPr>
          <w:noProof/>
          <w:lang w:val="en-US"/>
        </w:rPr>
        <w:drawing>
          <wp:inline distT="0" distB="0" distL="0" distR="0" wp14:anchorId="2B4BF69A" wp14:editId="35E1E286">
            <wp:extent cx="3960000" cy="2734721"/>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55"/>
        <w:gridCol w:w="2780"/>
        <w:gridCol w:w="1122"/>
        <w:gridCol w:w="2280"/>
        <w:gridCol w:w="1050"/>
      </w:tblGrid>
      <w:tr w:rsidR="00A43B2F" w:rsidRPr="001E6DFD" w14:paraId="4B809DD6" w14:textId="77777777" w:rsidTr="00A15986">
        <w:tc>
          <w:tcPr>
            <w:tcW w:w="5000" w:type="pct"/>
            <w:gridSpan w:val="5"/>
            <w:shd w:val="clear" w:color="auto" w:fill="C6D9F1" w:themeFill="text2" w:themeFillTint="33"/>
            <w:tcMar>
              <w:left w:w="58" w:type="dxa"/>
              <w:right w:w="58" w:type="dxa"/>
            </w:tcMar>
            <w:vAlign w:val="center"/>
          </w:tcPr>
          <w:p w14:paraId="786B67F8" w14:textId="118B2876" w:rsidR="00BA5EA9" w:rsidRPr="001E6DFD" w:rsidRDefault="002307FD" w:rsidP="0097226C">
            <w:pPr>
              <w:rPr>
                <w:b/>
                <w:bCs/>
                <w:sz w:val="16"/>
              </w:rPr>
            </w:pPr>
            <w:r w:rsidRPr="001E6DFD">
              <w:rPr>
                <w:b/>
                <w:sz w:val="16"/>
                <w:lang w:bidi="th-TH"/>
              </w:rPr>
              <w:t>Résultat escompté</w:t>
            </w:r>
            <w:r w:rsidR="00FA22F6" w:rsidRPr="001E6DFD">
              <w:rPr>
                <w:b/>
                <w:sz w:val="16"/>
                <w:lang w:bidi="th-TH"/>
              </w:rPr>
              <w:t> :</w:t>
            </w:r>
            <w:r w:rsidRPr="001E6DFD">
              <w:rPr>
                <w:sz w:val="16"/>
                <w:lang w:bidi="th-TH"/>
              </w:rPr>
              <w:t xml:space="preserve"> I.1 Renforcement de la coopération entre les États membres en ce qui concerne l</w:t>
            </w:r>
            <w:r w:rsidR="00FA22F6" w:rsidRPr="001E6DFD">
              <w:rPr>
                <w:sz w:val="16"/>
                <w:lang w:bidi="th-TH"/>
              </w:rPr>
              <w:t>’</w:t>
            </w:r>
            <w:r w:rsidRPr="001E6DFD">
              <w:rPr>
                <w:sz w:val="16"/>
                <w:lang w:bidi="th-TH"/>
              </w:rPr>
              <w:t>élaboration de cadres normatifs internationaux équilibrés dans le domaine de la propriété intellectuelle</w:t>
            </w:r>
            <w:r w:rsidR="00BA5EA9" w:rsidRPr="001E6DFD">
              <w:rPr>
                <w:sz w:val="16"/>
                <w:lang w:bidi="th-TH"/>
              </w:rPr>
              <w:t xml:space="preserve"> </w:t>
            </w:r>
          </w:p>
        </w:tc>
      </w:tr>
      <w:tr w:rsidR="00A43B2F" w:rsidRPr="001E6DFD" w14:paraId="3CCF312F" w14:textId="77777777" w:rsidTr="00A15986">
        <w:tc>
          <w:tcPr>
            <w:tcW w:w="1085" w:type="pct"/>
            <w:shd w:val="clear" w:color="auto" w:fill="auto"/>
            <w:tcMar>
              <w:left w:w="58" w:type="dxa"/>
              <w:right w:w="58" w:type="dxa"/>
            </w:tcMar>
            <w:vAlign w:val="center"/>
          </w:tcPr>
          <w:p w14:paraId="2034079E" w14:textId="5517C582" w:rsidR="00BA5EA9" w:rsidRPr="001E6DFD" w:rsidRDefault="002307FD"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78" w:type="pct"/>
            <w:shd w:val="clear" w:color="auto" w:fill="auto"/>
            <w:tcMar>
              <w:left w:w="58" w:type="dxa"/>
              <w:right w:w="58" w:type="dxa"/>
            </w:tcMar>
            <w:vAlign w:val="center"/>
          </w:tcPr>
          <w:p w14:paraId="0714E8F5" w14:textId="77777777" w:rsidR="00BA5EA9" w:rsidRPr="001E6DFD" w:rsidRDefault="002307FD" w:rsidP="0097226C">
            <w:pPr>
              <w:jc w:val="center"/>
              <w:rPr>
                <w:b/>
                <w:bCs/>
                <w:sz w:val="16"/>
                <w:szCs w:val="16"/>
              </w:rPr>
            </w:pPr>
            <w:r w:rsidRPr="001E6DFD">
              <w:rPr>
                <w:b/>
                <w:bCs/>
                <w:sz w:val="16"/>
                <w:szCs w:val="16"/>
              </w:rPr>
              <w:t>Niveaux de référence</w:t>
            </w:r>
          </w:p>
        </w:tc>
        <w:tc>
          <w:tcPr>
            <w:tcW w:w="554" w:type="pct"/>
            <w:shd w:val="clear" w:color="auto" w:fill="auto"/>
            <w:tcMar>
              <w:top w:w="110" w:type="dxa"/>
              <w:left w:w="58" w:type="dxa"/>
              <w:right w:w="58" w:type="dxa"/>
            </w:tcMar>
            <w:vAlign w:val="center"/>
          </w:tcPr>
          <w:p w14:paraId="4839A717" w14:textId="77777777" w:rsidR="00BA5EA9" w:rsidRPr="001E6DFD" w:rsidRDefault="002307FD" w:rsidP="0097226C">
            <w:pPr>
              <w:jc w:val="center"/>
              <w:rPr>
                <w:b/>
                <w:bCs/>
                <w:sz w:val="16"/>
                <w:szCs w:val="16"/>
              </w:rPr>
            </w:pPr>
            <w:r w:rsidRPr="001E6DFD">
              <w:rPr>
                <w:b/>
                <w:bCs/>
                <w:sz w:val="16"/>
                <w:szCs w:val="16"/>
              </w:rPr>
              <w:t>Objectifs visés</w:t>
            </w:r>
          </w:p>
        </w:tc>
        <w:tc>
          <w:tcPr>
            <w:tcW w:w="1284" w:type="pct"/>
            <w:shd w:val="clear" w:color="auto" w:fill="FFFFFF"/>
            <w:tcMar>
              <w:top w:w="110" w:type="dxa"/>
              <w:left w:w="58" w:type="dxa"/>
              <w:right w:w="58" w:type="dxa"/>
            </w:tcMar>
            <w:vAlign w:val="center"/>
          </w:tcPr>
          <w:p w14:paraId="66CBFE03" w14:textId="194A8E91" w:rsidR="00BA5EA9" w:rsidRPr="001E6DFD" w:rsidRDefault="002307FD"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00" w:type="pct"/>
            <w:shd w:val="clear" w:color="auto" w:fill="auto"/>
            <w:tcMar>
              <w:top w:w="110" w:type="dxa"/>
              <w:left w:w="58" w:type="dxa"/>
              <w:right w:w="58" w:type="dxa"/>
            </w:tcMar>
            <w:vAlign w:val="center"/>
          </w:tcPr>
          <w:p w14:paraId="3ADC9F11" w14:textId="6CAF6DAC"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A43B2F" w:rsidRPr="001E6DFD" w14:paraId="702A4DB9" w14:textId="77777777" w:rsidTr="00A15986">
        <w:tc>
          <w:tcPr>
            <w:tcW w:w="1085" w:type="pct"/>
            <w:shd w:val="clear" w:color="auto" w:fill="auto"/>
            <w:tcMar>
              <w:left w:w="58" w:type="dxa"/>
              <w:right w:w="58" w:type="dxa"/>
            </w:tcMar>
          </w:tcPr>
          <w:p w14:paraId="739EA207" w14:textId="634FF1B5" w:rsidR="00BA5EA9" w:rsidRPr="001E6DFD" w:rsidRDefault="002307FD" w:rsidP="0097226C">
            <w:pPr>
              <w:ind w:right="176"/>
              <w:rPr>
                <w:sz w:val="16"/>
                <w:szCs w:val="16"/>
              </w:rPr>
            </w:pPr>
            <w:r w:rsidRPr="001E6DFD">
              <w:rPr>
                <w:sz w:val="16"/>
                <w:szCs w:val="16"/>
              </w:rPr>
              <w:t>Progrès visant à parvenir à un accord sur les points en cours de l</w:t>
            </w:r>
            <w:r w:rsidR="00FA22F6" w:rsidRPr="001E6DFD">
              <w:rPr>
                <w:sz w:val="16"/>
                <w:szCs w:val="16"/>
              </w:rPr>
              <w:t>’</w:t>
            </w:r>
            <w:r w:rsidRPr="001E6DFD">
              <w:rPr>
                <w:sz w:val="16"/>
                <w:szCs w:val="16"/>
              </w:rPr>
              <w:t>ordre du jour du SCT</w:t>
            </w:r>
            <w:r w:rsidR="00BA5EA9" w:rsidRPr="001E6DFD">
              <w:rPr>
                <w:sz w:val="16"/>
                <w:szCs w:val="16"/>
              </w:rPr>
              <w:t xml:space="preserve"> </w:t>
            </w:r>
          </w:p>
        </w:tc>
        <w:tc>
          <w:tcPr>
            <w:tcW w:w="1578" w:type="pct"/>
            <w:shd w:val="clear" w:color="auto" w:fill="auto"/>
            <w:tcMar>
              <w:left w:w="58" w:type="dxa"/>
              <w:right w:w="58" w:type="dxa"/>
            </w:tcMar>
          </w:tcPr>
          <w:p w14:paraId="27BACB19" w14:textId="45F35B20" w:rsidR="001F64B1" w:rsidRPr="001E6DFD" w:rsidRDefault="002307FD"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440E4EEE" w14:textId="20C0254A" w:rsidR="001F64B1" w:rsidRPr="001E6DFD" w:rsidRDefault="00C841CF" w:rsidP="0097226C">
            <w:pPr>
              <w:rPr>
                <w:color w:val="002060"/>
                <w:sz w:val="16"/>
                <w:szCs w:val="16"/>
              </w:rPr>
            </w:pPr>
            <w:r w:rsidRPr="001E6DFD">
              <w:rPr>
                <w:color w:val="002060"/>
                <w:sz w:val="16"/>
                <w:szCs w:val="16"/>
              </w:rPr>
              <w:t>État d</w:t>
            </w:r>
            <w:r w:rsidR="00FA22F6" w:rsidRPr="001E6DFD">
              <w:rPr>
                <w:color w:val="002060"/>
                <w:sz w:val="16"/>
                <w:szCs w:val="16"/>
              </w:rPr>
              <w:t>’</w:t>
            </w:r>
            <w:r w:rsidRPr="001E6DFD">
              <w:rPr>
                <w:color w:val="002060"/>
                <w:sz w:val="16"/>
                <w:szCs w:val="16"/>
              </w:rPr>
              <w:t>avancement des travaux</w:t>
            </w:r>
            <w:r w:rsidR="00FA22F6" w:rsidRPr="001E6DFD">
              <w:rPr>
                <w:color w:val="002060"/>
                <w:sz w:val="16"/>
                <w:szCs w:val="16"/>
              </w:rPr>
              <w:t xml:space="preserve"> du SCT</w:t>
            </w:r>
            <w:r w:rsidRPr="001E6DFD">
              <w:rPr>
                <w:color w:val="002060"/>
                <w:sz w:val="16"/>
                <w:szCs w:val="16"/>
              </w:rPr>
              <w:t xml:space="preserve"> à la fin </w:t>
            </w:r>
            <w:r w:rsidR="00FA22F6" w:rsidRPr="001E6DFD">
              <w:rPr>
                <w:color w:val="002060"/>
                <w:sz w:val="16"/>
                <w:szCs w:val="16"/>
              </w:rPr>
              <w:t>de 2015</w:t>
            </w:r>
            <w:r w:rsidRPr="001E6DFD">
              <w:rPr>
                <w:color w:val="002060"/>
                <w:sz w:val="16"/>
                <w:szCs w:val="16"/>
              </w:rPr>
              <w:t xml:space="preserve"> selon le document SCT/34/7</w:t>
            </w:r>
          </w:p>
          <w:p w14:paraId="73F6D9EC" w14:textId="77777777" w:rsidR="001F64B1" w:rsidRPr="001E6DFD" w:rsidRDefault="001F64B1" w:rsidP="0097226C">
            <w:pPr>
              <w:rPr>
                <w:sz w:val="16"/>
                <w:szCs w:val="16"/>
              </w:rPr>
            </w:pPr>
          </w:p>
          <w:p w14:paraId="60132E4A" w14:textId="261666F3" w:rsidR="001F64B1" w:rsidRPr="001E6DFD" w:rsidRDefault="002307FD"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AE3BAF3" w14:textId="09BAE1D0" w:rsidR="00BA5EA9" w:rsidRPr="001E6DFD" w:rsidRDefault="002307FD" w:rsidP="0097226C">
            <w:pPr>
              <w:rPr>
                <w:sz w:val="16"/>
                <w:szCs w:val="16"/>
              </w:rPr>
            </w:pPr>
            <w:r w:rsidRPr="001E6DFD">
              <w:rPr>
                <w:sz w:val="16"/>
                <w:szCs w:val="16"/>
              </w:rPr>
              <w:t>État d</w:t>
            </w:r>
            <w:r w:rsidR="00FA22F6" w:rsidRPr="001E6DFD">
              <w:rPr>
                <w:sz w:val="16"/>
                <w:szCs w:val="16"/>
              </w:rPr>
              <w:t>’</w:t>
            </w:r>
            <w:r w:rsidRPr="001E6DFD">
              <w:rPr>
                <w:sz w:val="16"/>
                <w:szCs w:val="16"/>
              </w:rPr>
              <w:t>avancement des travaux</w:t>
            </w:r>
            <w:r w:rsidR="00FA22F6" w:rsidRPr="001E6DFD">
              <w:rPr>
                <w:sz w:val="16"/>
                <w:szCs w:val="16"/>
              </w:rPr>
              <w:t xml:space="preserve"> du SCT</w:t>
            </w:r>
            <w:r w:rsidRPr="001E6DFD">
              <w:rPr>
                <w:sz w:val="16"/>
                <w:szCs w:val="16"/>
              </w:rPr>
              <w:t xml:space="preserve"> à la fin </w:t>
            </w:r>
            <w:r w:rsidR="00FA22F6" w:rsidRPr="001E6DFD">
              <w:rPr>
                <w:sz w:val="16"/>
                <w:szCs w:val="16"/>
              </w:rPr>
              <w:t>de 2015</w:t>
            </w:r>
            <w:r w:rsidRPr="001E6DFD">
              <w:rPr>
                <w:sz w:val="16"/>
                <w:szCs w:val="16"/>
              </w:rPr>
              <w:t xml:space="preserve"> selon les documents de travail pertinents</w:t>
            </w:r>
          </w:p>
        </w:tc>
        <w:tc>
          <w:tcPr>
            <w:tcW w:w="554" w:type="pct"/>
            <w:shd w:val="clear" w:color="auto" w:fill="auto"/>
            <w:tcMar>
              <w:top w:w="110" w:type="dxa"/>
              <w:left w:w="58" w:type="dxa"/>
              <w:right w:w="58" w:type="dxa"/>
            </w:tcMar>
          </w:tcPr>
          <w:p w14:paraId="6D87F5F5" w14:textId="248CBC42" w:rsidR="00BA5EA9" w:rsidRPr="001E6DFD" w:rsidRDefault="002307FD" w:rsidP="0097226C">
            <w:pPr>
              <w:rPr>
                <w:sz w:val="16"/>
                <w:szCs w:val="16"/>
              </w:rPr>
            </w:pPr>
            <w:r w:rsidRPr="001E6DFD">
              <w:rPr>
                <w:sz w:val="16"/>
                <w:szCs w:val="16"/>
              </w:rPr>
              <w:t>Résultats convenus par</w:t>
            </w:r>
            <w:r w:rsidR="00FA22F6" w:rsidRPr="001E6DFD">
              <w:rPr>
                <w:sz w:val="16"/>
                <w:szCs w:val="16"/>
              </w:rPr>
              <w:t xml:space="preserve"> le SCT</w:t>
            </w:r>
          </w:p>
        </w:tc>
        <w:tc>
          <w:tcPr>
            <w:tcW w:w="1284" w:type="pct"/>
            <w:shd w:val="clear" w:color="auto" w:fill="FFFFFF"/>
            <w:tcMar>
              <w:top w:w="110" w:type="dxa"/>
              <w:left w:w="58" w:type="dxa"/>
              <w:right w:w="58" w:type="dxa"/>
            </w:tcMar>
          </w:tcPr>
          <w:p w14:paraId="13F3B79C" w14:textId="4E5D59C7" w:rsidR="001F64B1" w:rsidRPr="001E6DFD" w:rsidRDefault="002307FD" w:rsidP="0097226C">
            <w:pPr>
              <w:rPr>
                <w:sz w:val="16"/>
                <w:szCs w:val="16"/>
              </w:rPr>
            </w:pPr>
            <w:r w:rsidRPr="001E6DFD">
              <w:rPr>
                <w:sz w:val="16"/>
                <w:szCs w:val="16"/>
              </w:rPr>
              <w:t>L</w:t>
            </w:r>
            <w:r w:rsidR="00FA22F6" w:rsidRPr="001E6DFD">
              <w:rPr>
                <w:sz w:val="16"/>
                <w:szCs w:val="16"/>
              </w:rPr>
              <w:t>’</w:t>
            </w:r>
            <w:r w:rsidRPr="001E6DFD">
              <w:rPr>
                <w:sz w:val="16"/>
                <w:szCs w:val="16"/>
              </w:rPr>
              <w:t>Assemblée générale de l</w:t>
            </w:r>
            <w:r w:rsidR="00FA22F6" w:rsidRPr="001E6DFD">
              <w:rPr>
                <w:sz w:val="16"/>
                <w:szCs w:val="16"/>
              </w:rPr>
              <w:t>’</w:t>
            </w:r>
            <w:r w:rsidRPr="001E6DFD">
              <w:rPr>
                <w:sz w:val="16"/>
                <w:szCs w:val="16"/>
              </w:rPr>
              <w:t xml:space="preserve">OMPI </w:t>
            </w:r>
            <w:r w:rsidR="00FA22F6" w:rsidRPr="001E6DFD">
              <w:rPr>
                <w:sz w:val="16"/>
                <w:szCs w:val="16"/>
              </w:rPr>
              <w:t>de 2016</w:t>
            </w:r>
            <w:r w:rsidRPr="001E6DFD">
              <w:rPr>
                <w:sz w:val="16"/>
                <w:szCs w:val="16"/>
              </w:rPr>
              <w:t xml:space="preserve"> a décidé que, à sa prochaine session en </w:t>
            </w:r>
            <w:r w:rsidR="00FA22F6" w:rsidRPr="001E6DFD">
              <w:rPr>
                <w:sz w:val="16"/>
                <w:szCs w:val="16"/>
              </w:rPr>
              <w:t>octobre 20</w:t>
            </w:r>
            <w:r w:rsidRPr="001E6DFD">
              <w:rPr>
                <w:sz w:val="16"/>
                <w:szCs w:val="16"/>
              </w:rPr>
              <w:t>17, elle poursuivra l</w:t>
            </w:r>
            <w:r w:rsidR="00FA22F6" w:rsidRPr="001E6DFD">
              <w:rPr>
                <w:sz w:val="16"/>
                <w:szCs w:val="16"/>
              </w:rPr>
              <w:t>’</w:t>
            </w:r>
            <w:r w:rsidRPr="001E6DFD">
              <w:rPr>
                <w:sz w:val="16"/>
                <w:szCs w:val="16"/>
              </w:rPr>
              <w:t>examen de la question de la convocation d</w:t>
            </w:r>
            <w:r w:rsidR="00FA22F6" w:rsidRPr="001E6DFD">
              <w:rPr>
                <w:sz w:val="16"/>
                <w:szCs w:val="16"/>
              </w:rPr>
              <w:t>’</w:t>
            </w:r>
            <w:r w:rsidRPr="001E6DFD">
              <w:rPr>
                <w:sz w:val="16"/>
                <w:szCs w:val="16"/>
              </w:rPr>
              <w:t>une conférence diplomatique pour l</w:t>
            </w:r>
            <w:r w:rsidR="00FA22F6" w:rsidRPr="001E6DFD">
              <w:rPr>
                <w:sz w:val="16"/>
                <w:szCs w:val="16"/>
              </w:rPr>
              <w:t>’</w:t>
            </w:r>
            <w:r w:rsidRPr="001E6DFD">
              <w:rPr>
                <w:sz w:val="16"/>
                <w:szCs w:val="16"/>
              </w:rPr>
              <w:t xml:space="preserve">adoption du traité sur le droit des dessins et modèles pour la fin du premier semestre </w:t>
            </w:r>
            <w:r w:rsidR="00FA22F6" w:rsidRPr="001E6DFD">
              <w:rPr>
                <w:sz w:val="16"/>
                <w:szCs w:val="16"/>
              </w:rPr>
              <w:t>de 2018</w:t>
            </w:r>
            <w:r w:rsidR="00BA5EA9" w:rsidRPr="001E6DFD">
              <w:rPr>
                <w:sz w:val="16"/>
                <w:szCs w:val="16"/>
              </w:rPr>
              <w:t xml:space="preserve"> (</w:t>
            </w:r>
            <w:r w:rsidR="00570816" w:rsidRPr="001E6DFD">
              <w:rPr>
                <w:sz w:val="16"/>
                <w:szCs w:val="16"/>
              </w:rPr>
              <w:t xml:space="preserve">document </w:t>
            </w:r>
            <w:r w:rsidR="00BA5EA9" w:rsidRPr="001E6DFD">
              <w:rPr>
                <w:sz w:val="16"/>
                <w:szCs w:val="16"/>
              </w:rPr>
              <w:t>A/56/16</w:t>
            </w:r>
            <w:r w:rsidR="00570816" w:rsidRPr="001E6DFD">
              <w:rPr>
                <w:sz w:val="16"/>
                <w:szCs w:val="16"/>
              </w:rPr>
              <w:t> Add.</w:t>
            </w:r>
            <w:r w:rsidR="00BA5EA9" w:rsidRPr="001E6DFD">
              <w:rPr>
                <w:sz w:val="16"/>
                <w:szCs w:val="16"/>
              </w:rPr>
              <w:t>4</w:t>
            </w:r>
            <w:r w:rsidR="00BA5EA9" w:rsidRPr="001E6DFD">
              <w:rPr>
                <w:rStyle w:val="FootnoteReference"/>
                <w:rFonts w:cs="Arial"/>
                <w:szCs w:val="16"/>
              </w:rPr>
              <w:footnoteReference w:id="12"/>
            </w:r>
            <w:r w:rsidR="00BA5EA9" w:rsidRPr="001E6DFD">
              <w:rPr>
                <w:sz w:val="16"/>
                <w:szCs w:val="16"/>
              </w:rPr>
              <w:t>)</w:t>
            </w:r>
          </w:p>
          <w:p w14:paraId="07D79C0A" w14:textId="77777777" w:rsidR="001F64B1" w:rsidRPr="001E6DFD" w:rsidRDefault="001F64B1" w:rsidP="0097226C">
            <w:pPr>
              <w:rPr>
                <w:sz w:val="16"/>
                <w:szCs w:val="16"/>
              </w:rPr>
            </w:pPr>
          </w:p>
          <w:p w14:paraId="6D7F1B2E" w14:textId="567D3FDF" w:rsidR="00FA22F6" w:rsidRPr="001E6DFD" w:rsidRDefault="00D1129B" w:rsidP="0097226C">
            <w:pPr>
              <w:rPr>
                <w:sz w:val="16"/>
                <w:szCs w:val="16"/>
              </w:rPr>
            </w:pPr>
            <w:r w:rsidRPr="001E6DFD">
              <w:rPr>
                <w:sz w:val="16"/>
                <w:szCs w:val="16"/>
              </w:rPr>
              <w:t>Lors de s</w:t>
            </w:r>
            <w:r w:rsidR="000D5BC3" w:rsidRPr="001E6DFD">
              <w:rPr>
                <w:sz w:val="16"/>
                <w:szCs w:val="16"/>
              </w:rPr>
              <w:t>a trente</w:t>
            </w:r>
            <w:r w:rsidR="006A41CF" w:rsidRPr="001E6DFD">
              <w:rPr>
                <w:sz w:val="16"/>
                <w:szCs w:val="16"/>
              </w:rPr>
              <w:noBreakHyphen/>
            </w:r>
            <w:r w:rsidR="000D5BC3" w:rsidRPr="001E6DFD">
              <w:rPr>
                <w:sz w:val="16"/>
                <w:szCs w:val="16"/>
              </w:rPr>
              <w:t>six</w:t>
            </w:r>
            <w:r w:rsidR="00FA22F6" w:rsidRPr="001E6DFD">
              <w:rPr>
                <w:sz w:val="16"/>
                <w:szCs w:val="16"/>
              </w:rPr>
              <w:t>ième session</w:t>
            </w:r>
            <w:r w:rsidRPr="001E6DFD">
              <w:rPr>
                <w:sz w:val="16"/>
                <w:szCs w:val="16"/>
              </w:rPr>
              <w:t>,</w:t>
            </w:r>
            <w:r w:rsidR="00FA22F6" w:rsidRPr="001E6DFD">
              <w:rPr>
                <w:sz w:val="16"/>
                <w:szCs w:val="16"/>
              </w:rPr>
              <w:t xml:space="preserve"> le SCT</w:t>
            </w:r>
            <w:r w:rsidRPr="001E6DFD">
              <w:rPr>
                <w:sz w:val="16"/>
                <w:szCs w:val="16"/>
              </w:rPr>
              <w:t xml:space="preserve"> a</w:t>
            </w:r>
            <w:r w:rsidR="00FA22F6" w:rsidRPr="001E6DFD">
              <w:rPr>
                <w:sz w:val="16"/>
                <w:szCs w:val="16"/>
              </w:rPr>
              <w:t> :</w:t>
            </w:r>
          </w:p>
          <w:p w14:paraId="456C24E7" w14:textId="78BE4C1C" w:rsidR="001F64B1" w:rsidRPr="001E6DFD" w:rsidRDefault="000D5BC3" w:rsidP="00D544B8">
            <w:pPr>
              <w:pStyle w:val="ListParagraph"/>
              <w:numPr>
                <w:ilvl w:val="0"/>
                <w:numId w:val="5"/>
              </w:numPr>
              <w:tabs>
                <w:tab w:val="left" w:pos="207"/>
              </w:tabs>
              <w:ind w:left="207" w:hanging="218"/>
              <w:rPr>
                <w:rFonts w:ascii="Arial" w:hAnsi="Arial" w:cs="Arial"/>
                <w:sz w:val="16"/>
                <w:szCs w:val="16"/>
              </w:rPr>
            </w:pPr>
            <w:r w:rsidRPr="001E6DFD">
              <w:rPr>
                <w:rFonts w:ascii="Arial" w:hAnsi="Arial" w:cs="Arial"/>
                <w:sz w:val="16"/>
                <w:szCs w:val="16"/>
              </w:rPr>
              <w:t xml:space="preserve">examiné une </w:t>
            </w:r>
            <w:r w:rsidR="00C32CCC" w:rsidRPr="001E6DFD">
              <w:rPr>
                <w:rFonts w:ascii="Arial" w:hAnsi="Arial" w:cs="Arial"/>
                <w:sz w:val="16"/>
                <w:szCs w:val="16"/>
              </w:rPr>
              <w:t>c</w:t>
            </w:r>
            <w:r w:rsidRPr="001E6DFD">
              <w:rPr>
                <w:rFonts w:ascii="Arial" w:hAnsi="Arial" w:cs="Arial"/>
                <w:sz w:val="16"/>
                <w:szCs w:val="16"/>
              </w:rPr>
              <w:t>ompilation de</w:t>
            </w:r>
            <w:r w:rsidR="00547C06" w:rsidRPr="001E6DFD">
              <w:rPr>
                <w:rFonts w:ascii="Arial" w:hAnsi="Arial" w:cs="Arial"/>
                <w:sz w:val="16"/>
                <w:szCs w:val="16"/>
              </w:rPr>
              <w:t>s</w:t>
            </w:r>
            <w:r w:rsidR="00C32CCC" w:rsidRPr="001E6DFD">
              <w:rPr>
                <w:rFonts w:ascii="Arial" w:hAnsi="Arial" w:cs="Arial"/>
                <w:sz w:val="16"/>
                <w:szCs w:val="16"/>
              </w:rPr>
              <w:t xml:space="preserve"> réponses </w:t>
            </w:r>
            <w:r w:rsidR="00547C06" w:rsidRPr="001E6DFD">
              <w:rPr>
                <w:rFonts w:ascii="Arial" w:hAnsi="Arial" w:cs="Arial"/>
                <w:sz w:val="16"/>
                <w:szCs w:val="16"/>
              </w:rPr>
              <w:t>au Q</w:t>
            </w:r>
            <w:r w:rsidRPr="001E6DFD">
              <w:rPr>
                <w:rFonts w:ascii="Arial" w:hAnsi="Arial" w:cs="Arial"/>
                <w:sz w:val="16"/>
                <w:szCs w:val="16"/>
              </w:rPr>
              <w:t>uestionnaire sur les dessins et modèles d</w:t>
            </w:r>
            <w:r w:rsidR="00FA22F6" w:rsidRPr="001E6DFD">
              <w:rPr>
                <w:rFonts w:ascii="Arial" w:hAnsi="Arial" w:cs="Arial"/>
                <w:sz w:val="16"/>
                <w:szCs w:val="16"/>
              </w:rPr>
              <w:t>’</w:t>
            </w:r>
            <w:r w:rsidRPr="001E6DFD">
              <w:rPr>
                <w:rFonts w:ascii="Arial" w:hAnsi="Arial" w:cs="Arial"/>
                <w:sz w:val="16"/>
                <w:szCs w:val="16"/>
              </w:rPr>
              <w:t>interfaces utilisateurs graphiques, d</w:t>
            </w:r>
            <w:r w:rsidR="00FA22F6" w:rsidRPr="001E6DFD">
              <w:rPr>
                <w:rFonts w:ascii="Arial" w:hAnsi="Arial" w:cs="Arial"/>
                <w:sz w:val="16"/>
                <w:szCs w:val="16"/>
              </w:rPr>
              <w:t>’</w:t>
            </w:r>
            <w:r w:rsidRPr="001E6DFD">
              <w:rPr>
                <w:rFonts w:ascii="Arial" w:hAnsi="Arial" w:cs="Arial"/>
                <w:sz w:val="16"/>
                <w:szCs w:val="16"/>
              </w:rPr>
              <w:t>icônes et de polices/fontes de caractères</w:t>
            </w:r>
            <w:r w:rsidR="00CF7E37" w:rsidRPr="001E6DFD">
              <w:rPr>
                <w:rFonts w:ascii="Arial" w:hAnsi="Arial" w:cs="Arial"/>
                <w:sz w:val="16"/>
                <w:szCs w:val="16"/>
              </w:rPr>
              <w:t xml:space="preserve"> </w:t>
            </w:r>
            <w:r w:rsidR="00C32CCC" w:rsidRPr="001E6DFD">
              <w:rPr>
                <w:rFonts w:ascii="Arial" w:hAnsi="Arial" w:cs="Arial"/>
                <w:sz w:val="16"/>
                <w:szCs w:val="16"/>
              </w:rPr>
              <w:t>(document SCT/36/2 </w:t>
            </w:r>
            <w:proofErr w:type="spellStart"/>
            <w:r w:rsidR="00C32CCC" w:rsidRPr="001E6DFD">
              <w:rPr>
                <w:rFonts w:ascii="Arial" w:hAnsi="Arial" w:cs="Arial"/>
                <w:sz w:val="16"/>
                <w:szCs w:val="16"/>
              </w:rPr>
              <w:t>Rev</w:t>
            </w:r>
            <w:proofErr w:type="spellEnd"/>
            <w:r w:rsidR="00C32CCC" w:rsidRPr="001E6DFD">
              <w:rPr>
                <w:rFonts w:ascii="Arial" w:hAnsi="Arial" w:cs="Arial"/>
                <w:sz w:val="16"/>
                <w:szCs w:val="16"/>
                <w:vertAlign w:val="superscript"/>
              </w:rPr>
              <w:footnoteReference w:id="13"/>
            </w:r>
            <w:r w:rsidR="004D421A" w:rsidRPr="001E6DFD">
              <w:rPr>
                <w:rFonts w:ascii="Arial" w:hAnsi="Arial" w:cs="Arial"/>
                <w:sz w:val="16"/>
                <w:szCs w:val="16"/>
              </w:rPr>
              <w:t>.</w:t>
            </w:r>
            <w:r w:rsidR="00C32CCC" w:rsidRPr="001E6DFD">
              <w:rPr>
                <w:rFonts w:ascii="Arial" w:hAnsi="Arial" w:cs="Arial"/>
                <w:sz w:val="16"/>
                <w:szCs w:val="16"/>
              </w:rPr>
              <w:t>)</w:t>
            </w:r>
            <w:r w:rsidR="00BA5EA9" w:rsidRPr="001E6DFD">
              <w:rPr>
                <w:rFonts w:ascii="Arial" w:hAnsi="Arial" w:cs="Arial"/>
                <w:sz w:val="16"/>
                <w:szCs w:val="16"/>
              </w:rPr>
              <w:t>;</w:t>
            </w:r>
          </w:p>
          <w:p w14:paraId="60D09A4B" w14:textId="38B6724D" w:rsidR="001F64B1" w:rsidRPr="001E6DFD" w:rsidRDefault="001B1280" w:rsidP="00D544B8">
            <w:pPr>
              <w:pStyle w:val="ListParagraph"/>
              <w:numPr>
                <w:ilvl w:val="0"/>
                <w:numId w:val="5"/>
              </w:numPr>
              <w:ind w:left="207" w:hanging="207"/>
              <w:rPr>
                <w:rFonts w:ascii="Arial" w:hAnsi="Arial" w:cs="Arial"/>
                <w:sz w:val="16"/>
                <w:szCs w:val="16"/>
              </w:rPr>
            </w:pPr>
            <w:r w:rsidRPr="001E6DFD">
              <w:rPr>
                <w:rFonts w:ascii="Arial" w:hAnsi="Arial" w:cs="Arial"/>
                <w:sz w:val="16"/>
                <w:szCs w:val="16"/>
              </w:rPr>
              <w:t xml:space="preserve">examiné </w:t>
            </w:r>
            <w:r w:rsidR="00D1129B" w:rsidRPr="001E6DFD">
              <w:rPr>
                <w:rFonts w:ascii="Arial" w:hAnsi="Arial" w:cs="Arial"/>
                <w:sz w:val="16"/>
                <w:szCs w:val="16"/>
              </w:rPr>
              <w:t>des domaines de convergence possibles concernant la prote</w:t>
            </w:r>
            <w:r w:rsidRPr="001E6DFD">
              <w:rPr>
                <w:rFonts w:ascii="Arial" w:hAnsi="Arial" w:cs="Arial"/>
                <w:sz w:val="16"/>
                <w:szCs w:val="16"/>
              </w:rPr>
              <w:t xml:space="preserve">ction des noms de pays contre leur </w:t>
            </w:r>
            <w:r w:rsidR="00D1129B" w:rsidRPr="001E6DFD">
              <w:rPr>
                <w:rFonts w:ascii="Arial" w:hAnsi="Arial" w:cs="Arial"/>
                <w:sz w:val="16"/>
                <w:szCs w:val="16"/>
              </w:rPr>
              <w:t xml:space="preserve">enregistrement et </w:t>
            </w:r>
            <w:r w:rsidRPr="001E6DFD">
              <w:rPr>
                <w:rFonts w:ascii="Arial" w:hAnsi="Arial" w:cs="Arial"/>
                <w:sz w:val="16"/>
                <w:szCs w:val="16"/>
              </w:rPr>
              <w:t xml:space="preserve">leur </w:t>
            </w:r>
            <w:r w:rsidR="00D1129B" w:rsidRPr="001E6DFD">
              <w:rPr>
                <w:rFonts w:ascii="Arial" w:hAnsi="Arial" w:cs="Arial"/>
                <w:sz w:val="16"/>
                <w:szCs w:val="16"/>
              </w:rPr>
              <w:t xml:space="preserve">utilisation </w:t>
            </w:r>
            <w:r w:rsidRPr="001E6DFD">
              <w:rPr>
                <w:rFonts w:ascii="Arial" w:hAnsi="Arial" w:cs="Arial"/>
                <w:sz w:val="16"/>
                <w:szCs w:val="16"/>
              </w:rPr>
              <w:t>en tant que m</w:t>
            </w:r>
            <w:r w:rsidR="00D1129B" w:rsidRPr="001E6DFD">
              <w:rPr>
                <w:rFonts w:ascii="Arial" w:hAnsi="Arial" w:cs="Arial"/>
                <w:sz w:val="16"/>
                <w:szCs w:val="16"/>
              </w:rPr>
              <w:t xml:space="preserve">arques </w:t>
            </w:r>
            <w:r w:rsidR="00BA5EA9" w:rsidRPr="001E6DFD">
              <w:rPr>
                <w:rFonts w:ascii="Arial" w:hAnsi="Arial" w:cs="Arial"/>
                <w:sz w:val="16"/>
                <w:szCs w:val="16"/>
              </w:rPr>
              <w:t>(</w:t>
            </w:r>
            <w:r w:rsidR="00A43B2F" w:rsidRPr="001E6DFD">
              <w:rPr>
                <w:rFonts w:ascii="Arial" w:hAnsi="Arial" w:cs="Arial"/>
                <w:sz w:val="16"/>
                <w:szCs w:val="16"/>
              </w:rPr>
              <w:t xml:space="preserve">document </w:t>
            </w:r>
            <w:r w:rsidR="00BA5EA9" w:rsidRPr="001E6DFD">
              <w:rPr>
                <w:rFonts w:ascii="Arial" w:eastAsia="Times New Roman" w:hAnsi="Arial" w:cs="Arial"/>
                <w:sz w:val="16"/>
                <w:szCs w:val="16"/>
                <w:lang w:eastAsia="en-US"/>
              </w:rPr>
              <w:t>SCT/35/4</w:t>
            </w:r>
            <w:r w:rsidR="00BA5EA9" w:rsidRPr="001E6DFD">
              <w:rPr>
                <w:rStyle w:val="FootnoteReference"/>
                <w:rFonts w:eastAsiaTheme="minorEastAsia" w:cs="Arial"/>
                <w:szCs w:val="16"/>
                <w:lang w:eastAsia="en-US"/>
              </w:rPr>
              <w:footnoteReference w:id="14"/>
            </w:r>
            <w:r w:rsidR="00BA5EA9" w:rsidRPr="001E6DFD">
              <w:rPr>
                <w:rFonts w:ascii="Arial" w:hAnsi="Arial" w:cs="Arial"/>
                <w:sz w:val="16"/>
                <w:szCs w:val="16"/>
              </w:rPr>
              <w:t xml:space="preserve">); </w:t>
            </w:r>
            <w:r w:rsidR="00A43B2F" w:rsidRPr="001E6DFD">
              <w:rPr>
                <w:rFonts w:ascii="Arial" w:hAnsi="Arial" w:cs="Arial"/>
                <w:sz w:val="16"/>
                <w:szCs w:val="16"/>
              </w:rPr>
              <w:t xml:space="preserve"> et</w:t>
            </w:r>
          </w:p>
          <w:p w14:paraId="3DBC0A0F" w14:textId="3C2F6DE0" w:rsidR="00BA5EA9" w:rsidRPr="001E6DFD" w:rsidRDefault="00852219" w:rsidP="00D544B8">
            <w:pPr>
              <w:pStyle w:val="ListParagraph"/>
              <w:numPr>
                <w:ilvl w:val="0"/>
                <w:numId w:val="5"/>
              </w:numPr>
              <w:ind w:left="233" w:hanging="233"/>
              <w:rPr>
                <w:rFonts w:ascii="Arial" w:hAnsi="Arial" w:cs="Arial"/>
                <w:sz w:val="16"/>
                <w:szCs w:val="16"/>
              </w:rPr>
            </w:pPr>
            <w:r w:rsidRPr="001E6DFD">
              <w:rPr>
                <w:rFonts w:ascii="Arial" w:hAnsi="Arial" w:cs="Arial"/>
                <w:sz w:val="16"/>
                <w:szCs w:val="16"/>
              </w:rPr>
              <w:t>décidé qu</w:t>
            </w:r>
            <w:r w:rsidR="00FA22F6" w:rsidRPr="001E6DFD">
              <w:rPr>
                <w:rFonts w:ascii="Arial" w:hAnsi="Arial" w:cs="Arial"/>
                <w:sz w:val="16"/>
                <w:szCs w:val="16"/>
              </w:rPr>
              <w:t>’</w:t>
            </w:r>
            <w:r w:rsidRPr="001E6DFD">
              <w:rPr>
                <w:rFonts w:ascii="Arial" w:hAnsi="Arial" w:cs="Arial"/>
                <w:sz w:val="16"/>
                <w:szCs w:val="16"/>
              </w:rPr>
              <w:t>une séance d</w:t>
            </w:r>
            <w:r w:rsidR="00FA22F6" w:rsidRPr="001E6DFD">
              <w:rPr>
                <w:rFonts w:ascii="Arial" w:hAnsi="Arial" w:cs="Arial"/>
                <w:sz w:val="16"/>
                <w:szCs w:val="16"/>
              </w:rPr>
              <w:t>’</w:t>
            </w:r>
            <w:r w:rsidRPr="001E6DFD">
              <w:rPr>
                <w:rFonts w:ascii="Arial" w:hAnsi="Arial" w:cs="Arial"/>
                <w:sz w:val="16"/>
                <w:szCs w:val="16"/>
              </w:rPr>
              <w:t>information</w:t>
            </w:r>
            <w:r w:rsidR="00661437" w:rsidRPr="001E6DFD">
              <w:rPr>
                <w:rFonts w:ascii="Arial" w:hAnsi="Arial" w:cs="Arial"/>
                <w:sz w:val="16"/>
                <w:szCs w:val="16"/>
              </w:rPr>
              <w:t>s</w:t>
            </w:r>
            <w:r w:rsidRPr="001E6DFD">
              <w:rPr>
                <w:rFonts w:ascii="Arial" w:hAnsi="Arial" w:cs="Arial"/>
                <w:sz w:val="16"/>
                <w:szCs w:val="16"/>
              </w:rPr>
              <w:t xml:space="preserve"> sur les </w:t>
            </w:r>
            <w:r w:rsidRPr="001E6DFD">
              <w:rPr>
                <w:rFonts w:ascii="Arial" w:hAnsi="Arial" w:cs="Arial"/>
                <w:sz w:val="16"/>
                <w:szCs w:val="16"/>
              </w:rPr>
              <w:lastRenderedPageBreak/>
              <w:t>indications géographiques aura lieu à sa trente</w:t>
            </w:r>
            <w:r w:rsidR="006A41CF" w:rsidRPr="001E6DFD">
              <w:rPr>
                <w:rFonts w:ascii="Arial" w:hAnsi="Arial" w:cs="Arial"/>
                <w:sz w:val="16"/>
                <w:szCs w:val="16"/>
              </w:rPr>
              <w:noBreakHyphen/>
            </w:r>
            <w:r w:rsidRPr="001E6DFD">
              <w:rPr>
                <w:rFonts w:ascii="Arial" w:hAnsi="Arial" w:cs="Arial"/>
                <w:sz w:val="16"/>
                <w:szCs w:val="16"/>
              </w:rPr>
              <w:t>sept</w:t>
            </w:r>
            <w:r w:rsidR="00FA22F6" w:rsidRPr="001E6DFD">
              <w:rPr>
                <w:rFonts w:ascii="Arial" w:hAnsi="Arial" w:cs="Arial"/>
                <w:sz w:val="16"/>
                <w:szCs w:val="16"/>
              </w:rPr>
              <w:t>ième session</w:t>
            </w:r>
            <w:r w:rsidRPr="001E6DFD">
              <w:rPr>
                <w:rFonts w:ascii="Arial" w:hAnsi="Arial" w:cs="Arial"/>
                <w:sz w:val="16"/>
                <w:szCs w:val="16"/>
              </w:rPr>
              <w:t>, et ensuite d</w:t>
            </w:r>
            <w:r w:rsidR="00FA22F6" w:rsidRPr="001E6DFD">
              <w:rPr>
                <w:rFonts w:ascii="Arial" w:hAnsi="Arial" w:cs="Arial"/>
                <w:sz w:val="16"/>
                <w:szCs w:val="16"/>
              </w:rPr>
              <w:t>’</w:t>
            </w:r>
            <w:r w:rsidRPr="001E6DFD">
              <w:rPr>
                <w:rFonts w:ascii="Arial" w:hAnsi="Arial" w:cs="Arial"/>
                <w:sz w:val="16"/>
                <w:szCs w:val="16"/>
              </w:rPr>
              <w:t xml:space="preserve">autres </w:t>
            </w:r>
            <w:r w:rsidR="005F53E4" w:rsidRPr="001E6DFD">
              <w:rPr>
                <w:rFonts w:ascii="Arial" w:hAnsi="Arial" w:cs="Arial"/>
                <w:sz w:val="16"/>
                <w:szCs w:val="16"/>
              </w:rPr>
              <w:t>débats</w:t>
            </w:r>
            <w:r w:rsidRPr="001E6DFD">
              <w:rPr>
                <w:rFonts w:ascii="Arial" w:hAnsi="Arial" w:cs="Arial"/>
                <w:sz w:val="16"/>
                <w:szCs w:val="16"/>
              </w:rPr>
              <w:t xml:space="preserve"> auront lieu </w:t>
            </w:r>
            <w:r w:rsidR="005F53E4" w:rsidRPr="001E6DFD">
              <w:rPr>
                <w:rFonts w:ascii="Arial" w:hAnsi="Arial" w:cs="Arial"/>
                <w:sz w:val="16"/>
                <w:szCs w:val="16"/>
              </w:rPr>
              <w:t xml:space="preserve">au sujet de </w:t>
            </w:r>
            <w:r w:rsidRPr="001E6DFD">
              <w:rPr>
                <w:rFonts w:ascii="Arial" w:hAnsi="Arial" w:cs="Arial"/>
                <w:sz w:val="16"/>
                <w:szCs w:val="16"/>
              </w:rPr>
              <w:t>son programme de travail à cet égard</w:t>
            </w:r>
            <w:r w:rsidR="00A43B2F" w:rsidRPr="001E6DFD">
              <w:rPr>
                <w:rFonts w:ascii="Arial" w:hAnsi="Arial" w:cs="Arial"/>
                <w:sz w:val="16"/>
                <w:szCs w:val="16"/>
              </w:rPr>
              <w:t xml:space="preserve"> (</w:t>
            </w:r>
            <w:r w:rsidR="00FA22F6" w:rsidRPr="001E6DFD">
              <w:rPr>
                <w:rFonts w:ascii="Arial" w:hAnsi="Arial" w:cs="Arial"/>
                <w:sz w:val="16"/>
                <w:szCs w:val="16"/>
              </w:rPr>
              <w:t>paragraphe 1</w:t>
            </w:r>
            <w:r w:rsidR="00A43B2F" w:rsidRPr="001E6DFD">
              <w:rPr>
                <w:rFonts w:ascii="Arial" w:hAnsi="Arial" w:cs="Arial"/>
                <w:sz w:val="16"/>
                <w:szCs w:val="16"/>
              </w:rPr>
              <w:t>5 du d</w:t>
            </w:r>
            <w:r w:rsidR="00BA5EA9" w:rsidRPr="001E6DFD">
              <w:rPr>
                <w:rFonts w:ascii="Arial" w:hAnsi="Arial" w:cs="Arial"/>
                <w:sz w:val="16"/>
                <w:szCs w:val="16"/>
              </w:rPr>
              <w:t xml:space="preserve">ocument </w:t>
            </w:r>
            <w:r w:rsidR="00BA5EA9" w:rsidRPr="001E6DFD">
              <w:rPr>
                <w:rFonts w:ascii="Arial" w:eastAsia="Times New Roman" w:hAnsi="Arial" w:cs="Arial"/>
                <w:sz w:val="16"/>
                <w:szCs w:val="16"/>
                <w:lang w:eastAsia="en-US"/>
              </w:rPr>
              <w:t>SCT/36/5</w:t>
            </w:r>
            <w:r w:rsidR="00BA5EA9" w:rsidRPr="001E6DFD">
              <w:rPr>
                <w:rStyle w:val="FootnoteReference"/>
                <w:rFonts w:eastAsiaTheme="minorEastAsia" w:cs="Arial"/>
                <w:szCs w:val="16"/>
                <w:lang w:eastAsia="en-US"/>
              </w:rPr>
              <w:footnoteReference w:id="15"/>
            </w:r>
            <w:r w:rsidR="00BA5EA9" w:rsidRPr="001E6DFD">
              <w:rPr>
                <w:rFonts w:ascii="Arial" w:hAnsi="Arial" w:cs="Arial"/>
                <w:sz w:val="16"/>
                <w:szCs w:val="16"/>
              </w:rPr>
              <w:t>).</w:t>
            </w:r>
          </w:p>
        </w:tc>
        <w:tc>
          <w:tcPr>
            <w:tcW w:w="500" w:type="pct"/>
            <w:shd w:val="clear" w:color="auto" w:fill="auto"/>
            <w:tcMar>
              <w:top w:w="110" w:type="dxa"/>
              <w:left w:w="58" w:type="dxa"/>
              <w:right w:w="58" w:type="dxa"/>
            </w:tcMar>
          </w:tcPr>
          <w:p w14:paraId="71DAC0FB" w14:textId="67DB3DDC" w:rsidR="00BA5EA9" w:rsidRPr="001E6DFD" w:rsidRDefault="00A83D07" w:rsidP="0097226C">
            <w:pPr>
              <w:jc w:val="center"/>
              <w:rPr>
                <w:b/>
                <w:sz w:val="16"/>
                <w:szCs w:val="16"/>
              </w:rPr>
            </w:pPr>
            <w:r w:rsidRPr="00A83D07">
              <w:rPr>
                <w:b/>
                <w:color w:val="FF0000"/>
                <w:sz w:val="16"/>
                <w:szCs w:val="16"/>
              </w:rPr>
              <w:lastRenderedPageBreak/>
              <w:t xml:space="preserve">Pas en </w:t>
            </w:r>
            <w:r w:rsidR="00A43B2F" w:rsidRPr="00A83D07">
              <w:rPr>
                <w:b/>
                <w:color w:val="FF0000"/>
                <w:sz w:val="16"/>
                <w:szCs w:val="16"/>
              </w:rPr>
              <w:t>bonne voie</w:t>
            </w:r>
          </w:p>
        </w:tc>
      </w:tr>
      <w:tr w:rsidR="00A43B2F" w:rsidRPr="001E6DFD" w14:paraId="36E756D7" w14:textId="77777777" w:rsidTr="00A15986">
        <w:tc>
          <w:tcPr>
            <w:tcW w:w="1085" w:type="pct"/>
            <w:shd w:val="clear" w:color="auto" w:fill="auto"/>
            <w:tcMar>
              <w:left w:w="58" w:type="dxa"/>
              <w:right w:w="58" w:type="dxa"/>
            </w:tcMar>
          </w:tcPr>
          <w:p w14:paraId="21F4ABD1" w14:textId="25D3B1A1" w:rsidR="00BA5EA9" w:rsidRPr="001E6DFD" w:rsidRDefault="002F00FF" w:rsidP="0097226C">
            <w:pPr>
              <w:ind w:right="176"/>
              <w:rPr>
                <w:sz w:val="16"/>
                <w:szCs w:val="16"/>
              </w:rPr>
            </w:pPr>
            <w:r w:rsidRPr="001E6DFD">
              <w:rPr>
                <w:sz w:val="16"/>
                <w:szCs w:val="16"/>
              </w:rPr>
              <w:lastRenderedPageBreak/>
              <w:t>Nombre de ratifications du Traité de Singapour ou d</w:t>
            </w:r>
            <w:r w:rsidR="00FA22F6" w:rsidRPr="001E6DFD">
              <w:rPr>
                <w:sz w:val="16"/>
                <w:szCs w:val="16"/>
              </w:rPr>
              <w:t>’</w:t>
            </w:r>
            <w:r w:rsidRPr="001E6DFD">
              <w:rPr>
                <w:sz w:val="16"/>
                <w:szCs w:val="16"/>
              </w:rPr>
              <w:t>adhésions à ce traité</w:t>
            </w:r>
          </w:p>
        </w:tc>
        <w:tc>
          <w:tcPr>
            <w:tcW w:w="1578" w:type="pct"/>
            <w:shd w:val="clear" w:color="auto" w:fill="auto"/>
            <w:tcMar>
              <w:left w:w="58" w:type="dxa"/>
              <w:right w:w="58" w:type="dxa"/>
            </w:tcMar>
          </w:tcPr>
          <w:p w14:paraId="42704346" w14:textId="0BEDAEE6" w:rsidR="001F64B1"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59956E69" w14:textId="26753CCE" w:rsidR="00FA22F6" w:rsidRPr="001E6DFD" w:rsidRDefault="00C412AC" w:rsidP="0097226C">
            <w:pPr>
              <w:rPr>
                <w:color w:val="002060"/>
                <w:sz w:val="16"/>
                <w:szCs w:val="16"/>
              </w:rPr>
            </w:pPr>
            <w:r w:rsidRPr="001E6DFD">
              <w:rPr>
                <w:color w:val="002060"/>
                <w:sz w:val="16"/>
                <w:szCs w:val="16"/>
              </w:rPr>
              <w:t>Un total de 38</w:t>
            </w:r>
            <w:r w:rsidR="00B4191E">
              <w:rPr>
                <w:color w:val="002060"/>
                <w:sz w:val="16"/>
                <w:szCs w:val="16"/>
              </w:rPr>
              <w:t> </w:t>
            </w:r>
            <w:r w:rsidRPr="001E6DFD">
              <w:rPr>
                <w:color w:val="002060"/>
                <w:sz w:val="16"/>
                <w:szCs w:val="16"/>
              </w:rPr>
              <w:t>parties contractantes</w:t>
            </w:r>
          </w:p>
          <w:p w14:paraId="6FEC97B2" w14:textId="4042B137" w:rsidR="001F64B1" w:rsidRPr="001E6DFD" w:rsidRDefault="001F64B1" w:rsidP="0097226C">
            <w:pPr>
              <w:rPr>
                <w:sz w:val="16"/>
                <w:szCs w:val="16"/>
              </w:rPr>
            </w:pPr>
          </w:p>
          <w:p w14:paraId="62847D26" w14:textId="73114B9C"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FC213D1" w14:textId="70A390F2" w:rsidR="00BA5EA9" w:rsidRPr="001E6DFD" w:rsidRDefault="002F00FF" w:rsidP="0097226C">
            <w:pPr>
              <w:rPr>
                <w:sz w:val="16"/>
                <w:szCs w:val="16"/>
              </w:rPr>
            </w:pPr>
            <w:r w:rsidRPr="001E6DFD">
              <w:rPr>
                <w:sz w:val="16"/>
                <w:szCs w:val="16"/>
              </w:rPr>
              <w:t>Sept nouvelles parties contractantes 2014</w:t>
            </w:r>
            <w:r w:rsidR="00FA22F6" w:rsidRPr="001E6DFD">
              <w:rPr>
                <w:sz w:val="16"/>
                <w:szCs w:val="16"/>
              </w:rPr>
              <w:t> :</w:t>
            </w:r>
            <w:r w:rsidRPr="001E6DFD">
              <w:rPr>
                <w:sz w:val="16"/>
                <w:szCs w:val="16"/>
              </w:rPr>
              <w:t xml:space="preserve"> </w:t>
            </w:r>
            <w:proofErr w:type="spellStart"/>
            <w:r w:rsidRPr="001E6DFD">
              <w:rPr>
                <w:sz w:val="16"/>
                <w:szCs w:val="16"/>
              </w:rPr>
              <w:t>Bélarus</w:t>
            </w:r>
            <w:proofErr w:type="spellEnd"/>
            <w:r w:rsidRPr="001E6DFD">
              <w:rPr>
                <w:sz w:val="16"/>
                <w:szCs w:val="16"/>
              </w:rPr>
              <w:t>, Belgique, Irak, Luxembourg, Office Benelux de la propriété intellectuelle (OBPI), Pays</w:t>
            </w:r>
            <w:r w:rsidR="006A41CF" w:rsidRPr="001E6DFD">
              <w:rPr>
                <w:sz w:val="16"/>
                <w:szCs w:val="16"/>
              </w:rPr>
              <w:noBreakHyphen/>
            </w:r>
            <w:r w:rsidRPr="001E6DFD">
              <w:rPr>
                <w:sz w:val="16"/>
                <w:szCs w:val="16"/>
              </w:rPr>
              <w:t xml:space="preserve">Bas et Tadjikistan, ce qui porte le total des parties contractantes à 38 à la fin </w:t>
            </w:r>
            <w:r w:rsidR="00FA22F6" w:rsidRPr="001E6DFD">
              <w:rPr>
                <w:sz w:val="16"/>
                <w:szCs w:val="16"/>
              </w:rPr>
              <w:t>de 2014</w:t>
            </w:r>
            <w:r w:rsidRPr="001E6DFD">
              <w:rPr>
                <w:sz w:val="16"/>
                <w:szCs w:val="16"/>
              </w:rPr>
              <w:t>.</w:t>
            </w:r>
          </w:p>
        </w:tc>
        <w:tc>
          <w:tcPr>
            <w:tcW w:w="554" w:type="pct"/>
            <w:shd w:val="clear" w:color="auto" w:fill="auto"/>
            <w:tcMar>
              <w:top w:w="110" w:type="dxa"/>
              <w:left w:w="58" w:type="dxa"/>
              <w:right w:w="58" w:type="dxa"/>
            </w:tcMar>
          </w:tcPr>
          <w:p w14:paraId="237EF9D1" w14:textId="77777777" w:rsidR="00BA5EA9" w:rsidRPr="001E6DFD" w:rsidRDefault="00B649F5" w:rsidP="0097226C">
            <w:pPr>
              <w:rPr>
                <w:sz w:val="16"/>
                <w:szCs w:val="16"/>
              </w:rPr>
            </w:pPr>
            <w:r w:rsidRPr="001E6DFD">
              <w:rPr>
                <w:sz w:val="16"/>
                <w:szCs w:val="16"/>
              </w:rPr>
              <w:t>Huit nouvelles ratifications/</w:t>
            </w:r>
            <w:r w:rsidRPr="001E6DFD">
              <w:rPr>
                <w:sz w:val="16"/>
                <w:szCs w:val="16"/>
              </w:rPr>
              <w:br/>
              <w:t>adhésions</w:t>
            </w:r>
          </w:p>
        </w:tc>
        <w:tc>
          <w:tcPr>
            <w:tcW w:w="1284" w:type="pct"/>
            <w:shd w:val="clear" w:color="auto" w:fill="FFFFFF"/>
            <w:tcMar>
              <w:top w:w="110" w:type="dxa"/>
              <w:left w:w="58" w:type="dxa"/>
              <w:right w:w="58" w:type="dxa"/>
            </w:tcMar>
          </w:tcPr>
          <w:p w14:paraId="594285F0" w14:textId="7C96AE80" w:rsidR="001F64B1" w:rsidRPr="001E6DFD" w:rsidRDefault="0024402A" w:rsidP="0097226C">
            <w:pPr>
              <w:rPr>
                <w:sz w:val="16"/>
                <w:szCs w:val="16"/>
              </w:rPr>
            </w:pPr>
            <w:r w:rsidRPr="001E6DFD">
              <w:rPr>
                <w:sz w:val="16"/>
                <w:szCs w:val="16"/>
              </w:rPr>
              <w:t>Sept nouvelles parties contractantes</w:t>
            </w:r>
            <w:r w:rsidR="00FA22F6" w:rsidRPr="001E6DFD">
              <w:rPr>
                <w:sz w:val="16"/>
                <w:szCs w:val="16"/>
              </w:rPr>
              <w:t> :</w:t>
            </w:r>
            <w:r w:rsidRPr="001E6DFD">
              <w:rPr>
                <w:sz w:val="16"/>
                <w:szCs w:val="16"/>
              </w:rPr>
              <w:t xml:space="preserve"> Bénin, Irlande, Japon, Mali, République de Corée, République populaire démocratique de Corée et Organisation africaine de la propriété intellectuelle (OAPI)</w:t>
            </w:r>
          </w:p>
          <w:p w14:paraId="68193F2C" w14:textId="76584491" w:rsidR="00BA5EA9" w:rsidRPr="001E6DFD" w:rsidRDefault="00355BD4" w:rsidP="0097226C">
            <w:pPr>
              <w:rPr>
                <w:sz w:val="16"/>
                <w:szCs w:val="16"/>
              </w:rPr>
            </w:pPr>
            <w:r w:rsidRPr="001E6DFD">
              <w:rPr>
                <w:sz w:val="16"/>
                <w:szCs w:val="16"/>
              </w:rPr>
              <w:t>Un total de 45</w:t>
            </w:r>
            <w:r w:rsidR="00B4191E">
              <w:rPr>
                <w:sz w:val="16"/>
                <w:szCs w:val="16"/>
              </w:rPr>
              <w:t> </w:t>
            </w:r>
            <w:r w:rsidRPr="001E6DFD">
              <w:rPr>
                <w:sz w:val="16"/>
                <w:szCs w:val="16"/>
              </w:rPr>
              <w:t xml:space="preserve">parties contractantes à la fin </w:t>
            </w:r>
            <w:r w:rsidR="00FA22F6" w:rsidRPr="001E6DFD">
              <w:rPr>
                <w:sz w:val="16"/>
                <w:szCs w:val="16"/>
              </w:rPr>
              <w:t>de 2016</w:t>
            </w:r>
          </w:p>
        </w:tc>
        <w:tc>
          <w:tcPr>
            <w:tcW w:w="500" w:type="pct"/>
            <w:shd w:val="clear" w:color="auto" w:fill="auto"/>
            <w:tcMar>
              <w:top w:w="110" w:type="dxa"/>
              <w:left w:w="58" w:type="dxa"/>
              <w:right w:w="58" w:type="dxa"/>
            </w:tcMar>
          </w:tcPr>
          <w:p w14:paraId="2B9965E9" w14:textId="77777777" w:rsidR="00BA5EA9" w:rsidRPr="001E6DFD" w:rsidRDefault="00A43B2F" w:rsidP="0097226C">
            <w:pPr>
              <w:jc w:val="center"/>
              <w:rPr>
                <w:b/>
                <w:sz w:val="16"/>
                <w:szCs w:val="16"/>
              </w:rPr>
            </w:pPr>
            <w:r w:rsidRPr="001E6DFD">
              <w:rPr>
                <w:b/>
                <w:color w:val="00B050"/>
                <w:sz w:val="16"/>
                <w:szCs w:val="16"/>
              </w:rPr>
              <w:t>En bonne voie</w:t>
            </w:r>
          </w:p>
        </w:tc>
      </w:tr>
      <w:tr w:rsidR="00A43B2F" w:rsidRPr="001E6DFD" w14:paraId="385129F4" w14:textId="77777777" w:rsidTr="00A15986">
        <w:tc>
          <w:tcPr>
            <w:tcW w:w="5000" w:type="pct"/>
            <w:gridSpan w:val="5"/>
            <w:shd w:val="clear" w:color="auto" w:fill="C6D9F1" w:themeFill="text2" w:themeFillTint="33"/>
            <w:tcMar>
              <w:left w:w="58" w:type="dxa"/>
              <w:right w:w="58" w:type="dxa"/>
            </w:tcMar>
            <w:vAlign w:val="center"/>
          </w:tcPr>
          <w:p w14:paraId="63FB3C9C" w14:textId="20BE9023" w:rsidR="00BA5EA9" w:rsidRPr="001E6DFD" w:rsidRDefault="002F00FF" w:rsidP="0097226C">
            <w:pPr>
              <w:tabs>
                <w:tab w:val="left" w:pos="1452"/>
              </w:tabs>
              <w:rPr>
                <w:b/>
                <w:bCs/>
                <w:sz w:val="16"/>
                <w:szCs w:val="16"/>
              </w:rPr>
            </w:pPr>
            <w:r w:rsidRPr="001E6DFD">
              <w:rPr>
                <w:b/>
                <w:bCs/>
                <w:sz w:val="16"/>
                <w:szCs w:val="16"/>
              </w:rPr>
              <w:t>Résultat escompté</w:t>
            </w:r>
            <w:r w:rsidR="00FA22F6" w:rsidRPr="001E6DFD">
              <w:rPr>
                <w:b/>
                <w:bCs/>
                <w:i/>
                <w:sz w:val="16"/>
                <w:szCs w:val="16"/>
              </w:rPr>
              <w:t> :</w:t>
            </w:r>
            <w:r w:rsidRPr="001E6DFD">
              <w:rPr>
                <w:b/>
                <w:bCs/>
                <w:sz w:val="16"/>
                <w:szCs w:val="16"/>
              </w:rPr>
              <w:t xml:space="preserve"> </w:t>
            </w:r>
            <w:r w:rsidRPr="001E6DFD">
              <w:rPr>
                <w:bCs/>
                <w:sz w:val="16"/>
                <w:szCs w:val="16"/>
              </w:rPr>
              <w:t>I.2 Cadres législatifs, réglementaires et politiques de propriété intellectuelle adaptés et équilibrés</w:t>
            </w:r>
          </w:p>
        </w:tc>
      </w:tr>
      <w:tr w:rsidR="00A43B2F" w:rsidRPr="001E6DFD" w14:paraId="306D2419" w14:textId="77777777" w:rsidTr="00A15986">
        <w:tc>
          <w:tcPr>
            <w:tcW w:w="1085" w:type="pct"/>
            <w:shd w:val="clear" w:color="auto" w:fill="auto"/>
            <w:tcMar>
              <w:left w:w="58" w:type="dxa"/>
              <w:right w:w="58" w:type="dxa"/>
            </w:tcMar>
            <w:vAlign w:val="center"/>
          </w:tcPr>
          <w:p w14:paraId="1CC34418" w14:textId="237BB250" w:rsidR="00BA5EA9" w:rsidRPr="001E6DFD" w:rsidRDefault="002F00FF"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78" w:type="pct"/>
            <w:shd w:val="clear" w:color="auto" w:fill="auto"/>
            <w:tcMar>
              <w:left w:w="58" w:type="dxa"/>
              <w:right w:w="58" w:type="dxa"/>
            </w:tcMar>
            <w:vAlign w:val="center"/>
          </w:tcPr>
          <w:p w14:paraId="0A180704" w14:textId="77777777" w:rsidR="00BA5EA9" w:rsidRPr="001E6DFD" w:rsidRDefault="002F00FF" w:rsidP="0097226C">
            <w:pPr>
              <w:jc w:val="center"/>
              <w:rPr>
                <w:b/>
                <w:bCs/>
                <w:sz w:val="16"/>
                <w:szCs w:val="16"/>
              </w:rPr>
            </w:pPr>
            <w:r w:rsidRPr="001E6DFD">
              <w:rPr>
                <w:b/>
                <w:bCs/>
                <w:sz w:val="16"/>
                <w:szCs w:val="16"/>
              </w:rPr>
              <w:t>Niveaux de référence</w:t>
            </w:r>
          </w:p>
        </w:tc>
        <w:tc>
          <w:tcPr>
            <w:tcW w:w="554" w:type="pct"/>
            <w:shd w:val="clear" w:color="auto" w:fill="auto"/>
            <w:tcMar>
              <w:top w:w="110" w:type="dxa"/>
              <w:left w:w="58" w:type="dxa"/>
              <w:right w:w="58" w:type="dxa"/>
            </w:tcMar>
            <w:vAlign w:val="center"/>
          </w:tcPr>
          <w:p w14:paraId="56D1E411" w14:textId="77777777" w:rsidR="00BA5EA9" w:rsidRPr="001E6DFD" w:rsidRDefault="002F00FF" w:rsidP="0097226C">
            <w:pPr>
              <w:jc w:val="center"/>
              <w:rPr>
                <w:b/>
                <w:bCs/>
                <w:sz w:val="16"/>
                <w:szCs w:val="16"/>
              </w:rPr>
            </w:pPr>
            <w:r w:rsidRPr="001E6DFD">
              <w:rPr>
                <w:b/>
                <w:bCs/>
                <w:sz w:val="16"/>
                <w:szCs w:val="16"/>
              </w:rPr>
              <w:t>Objectifs visés</w:t>
            </w:r>
          </w:p>
        </w:tc>
        <w:tc>
          <w:tcPr>
            <w:tcW w:w="1284" w:type="pct"/>
            <w:shd w:val="clear" w:color="auto" w:fill="FFFFFF"/>
            <w:tcMar>
              <w:top w:w="110" w:type="dxa"/>
              <w:left w:w="58" w:type="dxa"/>
              <w:right w:w="58" w:type="dxa"/>
            </w:tcMar>
            <w:vAlign w:val="center"/>
          </w:tcPr>
          <w:p w14:paraId="4D27422E" w14:textId="1C82721F" w:rsidR="00BA5EA9" w:rsidRPr="001E6DFD" w:rsidRDefault="002F00FF"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00" w:type="pct"/>
            <w:shd w:val="clear" w:color="auto" w:fill="auto"/>
            <w:tcMar>
              <w:top w:w="110" w:type="dxa"/>
              <w:left w:w="58" w:type="dxa"/>
              <w:right w:w="58" w:type="dxa"/>
            </w:tcMar>
            <w:vAlign w:val="center"/>
          </w:tcPr>
          <w:p w14:paraId="7622CF07" w14:textId="45F591F9"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A43B2F" w:rsidRPr="001E6DFD" w14:paraId="1CA9AB45" w14:textId="77777777" w:rsidTr="00A15986">
        <w:tc>
          <w:tcPr>
            <w:tcW w:w="1085" w:type="pct"/>
            <w:shd w:val="clear" w:color="auto" w:fill="auto"/>
            <w:tcMar>
              <w:left w:w="58" w:type="dxa"/>
              <w:right w:w="58" w:type="dxa"/>
            </w:tcMar>
          </w:tcPr>
          <w:p w14:paraId="660EA3ED" w14:textId="45C57AD0" w:rsidR="00BA5EA9" w:rsidRPr="001E6DFD" w:rsidRDefault="002F00FF" w:rsidP="0097226C">
            <w:pPr>
              <w:ind w:right="176"/>
              <w:rPr>
                <w:sz w:val="16"/>
                <w:szCs w:val="16"/>
              </w:rPr>
            </w:pPr>
            <w:r w:rsidRPr="001E6DFD">
              <w:rPr>
                <w:sz w:val="16"/>
                <w:szCs w:val="16"/>
              </w:rPr>
              <w:t>Nombre et pourcentage d</w:t>
            </w:r>
            <w:r w:rsidR="00FA22F6" w:rsidRPr="001E6DFD">
              <w:rPr>
                <w:sz w:val="16"/>
                <w:szCs w:val="16"/>
              </w:rPr>
              <w:t>’</w:t>
            </w:r>
            <w:r w:rsidRPr="001E6DFD">
              <w:rPr>
                <w:sz w:val="16"/>
                <w:szCs w:val="16"/>
              </w:rPr>
              <w:t>États membres/organisations régionales ayant donné un retour d</w:t>
            </w:r>
            <w:r w:rsidR="00FA22F6" w:rsidRPr="001E6DFD">
              <w:rPr>
                <w:sz w:val="16"/>
                <w:szCs w:val="16"/>
              </w:rPr>
              <w:t>’</w:t>
            </w:r>
            <w:r w:rsidRPr="001E6DFD">
              <w:rPr>
                <w:sz w:val="16"/>
                <w:szCs w:val="16"/>
              </w:rPr>
              <w:t>information positif sur l</w:t>
            </w:r>
            <w:r w:rsidR="00FA22F6" w:rsidRPr="001E6DFD">
              <w:rPr>
                <w:sz w:val="16"/>
                <w:szCs w:val="16"/>
              </w:rPr>
              <w:t>’</w:t>
            </w:r>
            <w:r w:rsidRPr="001E6DFD">
              <w:rPr>
                <w:sz w:val="16"/>
                <w:szCs w:val="16"/>
              </w:rPr>
              <w:t>utilité des conseils fournis en matière de législation dans le domaine des marques, des dessins et modèles industriels et des indications géographiques</w:t>
            </w:r>
          </w:p>
        </w:tc>
        <w:tc>
          <w:tcPr>
            <w:tcW w:w="1578" w:type="pct"/>
            <w:shd w:val="clear" w:color="auto" w:fill="auto"/>
            <w:tcMar>
              <w:left w:w="58" w:type="dxa"/>
              <w:right w:w="58" w:type="dxa"/>
            </w:tcMar>
          </w:tcPr>
          <w:p w14:paraId="5AB3BAED" w14:textId="246CC42B" w:rsidR="001F64B1" w:rsidRPr="001E6DFD" w:rsidRDefault="00E64532" w:rsidP="0097226C">
            <w:pPr>
              <w:rPr>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3C16EB4B" w14:textId="3C2EE0A0" w:rsidR="001F64B1" w:rsidRPr="001E6DFD" w:rsidRDefault="002F00FF" w:rsidP="0097226C">
            <w:pPr>
              <w:rPr>
                <w:color w:val="002060"/>
                <w:sz w:val="16"/>
                <w:szCs w:val="16"/>
              </w:rPr>
            </w:pPr>
            <w:r w:rsidRPr="001E6DFD">
              <w:rPr>
                <w:color w:val="002060"/>
                <w:sz w:val="16"/>
                <w:szCs w:val="16"/>
              </w:rPr>
              <w:t>Dix États membres ou organisations régionales ont donné un retour d</w:t>
            </w:r>
            <w:r w:rsidR="00FA22F6" w:rsidRPr="001E6DFD">
              <w:rPr>
                <w:color w:val="002060"/>
                <w:sz w:val="16"/>
                <w:szCs w:val="16"/>
              </w:rPr>
              <w:t>’</w:t>
            </w:r>
            <w:r w:rsidRPr="001E6DFD">
              <w:rPr>
                <w:color w:val="002060"/>
                <w:sz w:val="16"/>
                <w:szCs w:val="16"/>
              </w:rPr>
              <w:t>informati</w:t>
            </w:r>
            <w:r w:rsidR="004A4D21" w:rsidRPr="001E6DFD">
              <w:rPr>
                <w:color w:val="002060"/>
                <w:sz w:val="16"/>
                <w:szCs w:val="16"/>
              </w:rPr>
              <w:t>on.  To</w:t>
            </w:r>
            <w:r w:rsidRPr="001E6DFD">
              <w:rPr>
                <w:color w:val="002060"/>
                <w:sz w:val="16"/>
                <w:szCs w:val="16"/>
              </w:rPr>
              <w:t xml:space="preserve">us (100%) ont fait part de leur satisfaction </w:t>
            </w:r>
            <w:r w:rsidR="00FA22F6" w:rsidRPr="001E6DFD">
              <w:rPr>
                <w:color w:val="002060"/>
                <w:sz w:val="16"/>
                <w:szCs w:val="16"/>
              </w:rPr>
              <w:t>à l’égard</w:t>
            </w:r>
            <w:r w:rsidRPr="001E6DFD">
              <w:rPr>
                <w:color w:val="002060"/>
                <w:sz w:val="16"/>
                <w:szCs w:val="16"/>
              </w:rPr>
              <w:t xml:space="preserve"> des conseils fournis.</w:t>
            </w:r>
          </w:p>
          <w:p w14:paraId="564D63E0" w14:textId="77777777" w:rsidR="001F64B1" w:rsidRPr="001E6DFD" w:rsidRDefault="001F64B1" w:rsidP="0097226C">
            <w:pPr>
              <w:rPr>
                <w:i/>
                <w:sz w:val="16"/>
                <w:szCs w:val="16"/>
              </w:rPr>
            </w:pPr>
          </w:p>
          <w:p w14:paraId="71FD7B16" w14:textId="6B63F052"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467FEB8" w14:textId="676150A3" w:rsidR="00BA5EA9" w:rsidRPr="001E6DFD" w:rsidRDefault="002F00FF" w:rsidP="00381826">
            <w:pPr>
              <w:rPr>
                <w:i/>
                <w:sz w:val="16"/>
                <w:szCs w:val="16"/>
              </w:rPr>
            </w:pPr>
            <w:r w:rsidRPr="001E6DFD">
              <w:rPr>
                <w:sz w:val="16"/>
                <w:szCs w:val="16"/>
              </w:rPr>
              <w:t>2014</w:t>
            </w:r>
            <w:r w:rsidR="00FA22F6" w:rsidRPr="001E6DFD">
              <w:rPr>
                <w:sz w:val="16"/>
                <w:szCs w:val="16"/>
              </w:rPr>
              <w:t> :</w:t>
            </w:r>
            <w:r w:rsidRPr="001E6DFD">
              <w:rPr>
                <w:sz w:val="16"/>
                <w:szCs w:val="16"/>
              </w:rPr>
              <w:t xml:space="preserve"> des conseils ont été fournis à 20</w:t>
            </w:r>
            <w:r w:rsidR="00381826" w:rsidRPr="001E6DFD">
              <w:rPr>
                <w:sz w:val="16"/>
                <w:szCs w:val="16"/>
              </w:rPr>
              <w:t> </w:t>
            </w:r>
            <w:r w:rsidRPr="001E6DFD">
              <w:rPr>
                <w:sz w:val="16"/>
                <w:szCs w:val="16"/>
              </w:rPr>
              <w:t>États membres ou organisations régional</w:t>
            </w:r>
            <w:r w:rsidR="004A4D21" w:rsidRPr="001E6DFD">
              <w:rPr>
                <w:sz w:val="16"/>
                <w:szCs w:val="16"/>
              </w:rPr>
              <w:t>es.  Se</w:t>
            </w:r>
            <w:r w:rsidRPr="001E6DFD">
              <w:rPr>
                <w:sz w:val="16"/>
                <w:szCs w:val="16"/>
              </w:rPr>
              <w:t>pt</w:t>
            </w:r>
            <w:r w:rsidR="004D421A" w:rsidRPr="001E6DFD">
              <w:rPr>
                <w:sz w:val="16"/>
                <w:szCs w:val="16"/>
              </w:rPr>
              <w:t> </w:t>
            </w:r>
            <w:r w:rsidRPr="001E6DFD">
              <w:rPr>
                <w:sz w:val="16"/>
                <w:szCs w:val="16"/>
              </w:rPr>
              <w:t>États membres ou organisations régionales ont donné un retour d</w:t>
            </w:r>
            <w:r w:rsidR="00FA22F6" w:rsidRPr="001E6DFD">
              <w:rPr>
                <w:sz w:val="16"/>
                <w:szCs w:val="16"/>
              </w:rPr>
              <w:t>’</w:t>
            </w:r>
            <w:r w:rsidRPr="001E6DFD">
              <w:rPr>
                <w:sz w:val="16"/>
                <w:szCs w:val="16"/>
              </w:rPr>
              <w:t>informati</w:t>
            </w:r>
            <w:r w:rsidR="004A4D21" w:rsidRPr="001E6DFD">
              <w:rPr>
                <w:sz w:val="16"/>
                <w:szCs w:val="16"/>
              </w:rPr>
              <w:t>on.  To</w:t>
            </w:r>
            <w:r w:rsidRPr="001E6DFD">
              <w:rPr>
                <w:sz w:val="16"/>
                <w:szCs w:val="16"/>
              </w:rPr>
              <w:t xml:space="preserve">us (100%) ont fait part de leur satisfaction </w:t>
            </w:r>
            <w:r w:rsidR="00FA22F6" w:rsidRPr="001E6DFD">
              <w:rPr>
                <w:sz w:val="16"/>
                <w:szCs w:val="16"/>
              </w:rPr>
              <w:t>à l’égard</w:t>
            </w:r>
            <w:r w:rsidRPr="001E6DFD">
              <w:rPr>
                <w:sz w:val="16"/>
                <w:szCs w:val="16"/>
              </w:rPr>
              <w:t xml:space="preserve"> des conseils fournis.</w:t>
            </w:r>
          </w:p>
        </w:tc>
        <w:tc>
          <w:tcPr>
            <w:tcW w:w="554" w:type="pct"/>
            <w:shd w:val="clear" w:color="auto" w:fill="auto"/>
            <w:tcMar>
              <w:top w:w="110" w:type="dxa"/>
              <w:left w:w="58" w:type="dxa"/>
              <w:right w:w="58" w:type="dxa"/>
            </w:tcMar>
          </w:tcPr>
          <w:p w14:paraId="44A398E8" w14:textId="63CFE019" w:rsidR="00BA5EA9" w:rsidRPr="001E6DFD" w:rsidRDefault="002F00FF" w:rsidP="0097226C">
            <w:pPr>
              <w:rPr>
                <w:sz w:val="16"/>
                <w:szCs w:val="16"/>
              </w:rPr>
            </w:pPr>
            <w:r w:rsidRPr="001E6DFD">
              <w:rPr>
                <w:sz w:val="16"/>
                <w:szCs w:val="16"/>
              </w:rPr>
              <w:t xml:space="preserve">90% des </w:t>
            </w:r>
            <w:r w:rsidR="003B5D62" w:rsidRPr="001E6DFD">
              <w:rPr>
                <w:sz w:val="16"/>
                <w:szCs w:val="16"/>
              </w:rPr>
              <w:t>répondants</w:t>
            </w:r>
            <w:r w:rsidRPr="001E6DFD">
              <w:rPr>
                <w:sz w:val="16"/>
                <w:szCs w:val="16"/>
              </w:rPr>
              <w:t xml:space="preserve"> satisfaits des conseils fournis</w:t>
            </w:r>
          </w:p>
        </w:tc>
        <w:tc>
          <w:tcPr>
            <w:tcW w:w="1284" w:type="pct"/>
            <w:shd w:val="clear" w:color="auto" w:fill="FFFFFF"/>
            <w:tcMar>
              <w:top w:w="110" w:type="dxa"/>
              <w:left w:w="58" w:type="dxa"/>
              <w:right w:w="58" w:type="dxa"/>
            </w:tcMar>
          </w:tcPr>
          <w:p w14:paraId="532DE1BC" w14:textId="6D659C74" w:rsidR="00BA5EA9" w:rsidRPr="001E6DFD" w:rsidRDefault="004E745F" w:rsidP="004A4D21">
            <w:pPr>
              <w:rPr>
                <w:sz w:val="16"/>
                <w:szCs w:val="16"/>
              </w:rPr>
            </w:pPr>
            <w:r w:rsidRPr="001E6DFD">
              <w:rPr>
                <w:sz w:val="16"/>
                <w:szCs w:val="16"/>
              </w:rPr>
              <w:t>Des conseils ont été fournis à 12</w:t>
            </w:r>
            <w:r w:rsidR="00B4191E">
              <w:rPr>
                <w:sz w:val="16"/>
                <w:szCs w:val="16"/>
              </w:rPr>
              <w:t> </w:t>
            </w:r>
            <w:r w:rsidRPr="001E6DFD">
              <w:rPr>
                <w:sz w:val="16"/>
                <w:szCs w:val="16"/>
              </w:rPr>
              <w:t>États membr</w:t>
            </w:r>
            <w:r w:rsidR="004A4D21" w:rsidRPr="001E6DFD">
              <w:rPr>
                <w:sz w:val="16"/>
                <w:szCs w:val="16"/>
              </w:rPr>
              <w:t>es.  De</w:t>
            </w:r>
            <w:r w:rsidRPr="001E6DFD">
              <w:rPr>
                <w:sz w:val="16"/>
                <w:szCs w:val="16"/>
              </w:rPr>
              <w:t>ux</w:t>
            </w:r>
            <w:r w:rsidR="004D421A" w:rsidRPr="001E6DFD">
              <w:rPr>
                <w:sz w:val="16"/>
                <w:szCs w:val="16"/>
              </w:rPr>
              <w:t> </w:t>
            </w:r>
            <w:r w:rsidR="003B5D62" w:rsidRPr="001E6DFD">
              <w:rPr>
                <w:sz w:val="16"/>
                <w:szCs w:val="16"/>
              </w:rPr>
              <w:t xml:space="preserve">États membres </w:t>
            </w:r>
            <w:r w:rsidRPr="001E6DFD">
              <w:rPr>
                <w:sz w:val="16"/>
                <w:szCs w:val="16"/>
              </w:rPr>
              <w:t>ont donné un retour d</w:t>
            </w:r>
            <w:r w:rsidR="00FA22F6" w:rsidRPr="001E6DFD">
              <w:rPr>
                <w:sz w:val="16"/>
                <w:szCs w:val="16"/>
              </w:rPr>
              <w:t>’</w:t>
            </w:r>
            <w:r w:rsidRPr="001E6DFD">
              <w:rPr>
                <w:sz w:val="16"/>
                <w:szCs w:val="16"/>
              </w:rPr>
              <w:t>informati</w:t>
            </w:r>
            <w:r w:rsidR="004A4D21" w:rsidRPr="001E6DFD">
              <w:rPr>
                <w:sz w:val="16"/>
                <w:szCs w:val="16"/>
              </w:rPr>
              <w:t>on.  To</w:t>
            </w:r>
            <w:r w:rsidR="003B5D62" w:rsidRPr="001E6DFD">
              <w:rPr>
                <w:sz w:val="16"/>
                <w:szCs w:val="16"/>
              </w:rPr>
              <w:t>u</w:t>
            </w:r>
            <w:r w:rsidR="007D0166" w:rsidRPr="001E6DFD">
              <w:rPr>
                <w:sz w:val="16"/>
                <w:szCs w:val="16"/>
              </w:rPr>
              <w:t xml:space="preserve">s </w:t>
            </w:r>
            <w:r w:rsidRPr="001E6DFD">
              <w:rPr>
                <w:sz w:val="16"/>
                <w:szCs w:val="16"/>
              </w:rPr>
              <w:t xml:space="preserve">(100%) </w:t>
            </w:r>
            <w:r w:rsidR="003B5D62" w:rsidRPr="001E6DFD">
              <w:rPr>
                <w:sz w:val="16"/>
                <w:szCs w:val="16"/>
              </w:rPr>
              <w:t xml:space="preserve">ont fait part de leur satisfaction </w:t>
            </w:r>
            <w:r w:rsidR="00FA22F6" w:rsidRPr="001E6DFD">
              <w:rPr>
                <w:sz w:val="16"/>
                <w:szCs w:val="16"/>
              </w:rPr>
              <w:t>à l’égard</w:t>
            </w:r>
            <w:r w:rsidR="003B5D62" w:rsidRPr="001E6DFD">
              <w:rPr>
                <w:sz w:val="16"/>
                <w:szCs w:val="16"/>
              </w:rPr>
              <w:t xml:space="preserve"> des conseils fournis.</w:t>
            </w:r>
          </w:p>
        </w:tc>
        <w:tc>
          <w:tcPr>
            <w:tcW w:w="500" w:type="pct"/>
            <w:shd w:val="clear" w:color="auto" w:fill="auto"/>
            <w:tcMar>
              <w:top w:w="110" w:type="dxa"/>
              <w:left w:w="58" w:type="dxa"/>
              <w:right w:w="58" w:type="dxa"/>
            </w:tcMar>
          </w:tcPr>
          <w:p w14:paraId="2239C0E4" w14:textId="77777777" w:rsidR="00BA5EA9" w:rsidRPr="001E6DFD" w:rsidRDefault="00A43B2F" w:rsidP="0097226C">
            <w:pPr>
              <w:jc w:val="center"/>
              <w:rPr>
                <w:b/>
                <w:sz w:val="16"/>
                <w:szCs w:val="16"/>
              </w:rPr>
            </w:pPr>
            <w:r w:rsidRPr="001E6DFD">
              <w:rPr>
                <w:b/>
                <w:color w:val="00B050"/>
                <w:sz w:val="16"/>
                <w:szCs w:val="16"/>
              </w:rPr>
              <w:t>En bonne voie</w:t>
            </w:r>
          </w:p>
        </w:tc>
      </w:tr>
      <w:tr w:rsidR="00A43B2F" w:rsidRPr="001E6DFD" w14:paraId="38A8FD34" w14:textId="77777777" w:rsidTr="00A15986">
        <w:tc>
          <w:tcPr>
            <w:tcW w:w="5000" w:type="pct"/>
            <w:gridSpan w:val="5"/>
            <w:shd w:val="clear" w:color="auto" w:fill="C6D9F1" w:themeFill="text2" w:themeFillTint="33"/>
            <w:tcMar>
              <w:left w:w="58" w:type="dxa"/>
              <w:right w:w="58" w:type="dxa"/>
            </w:tcMar>
            <w:vAlign w:val="center"/>
          </w:tcPr>
          <w:p w14:paraId="341C31A3" w14:textId="5E2CDA35" w:rsidR="00BA5EA9" w:rsidRPr="001E6DFD" w:rsidRDefault="002F00FF" w:rsidP="0097226C">
            <w:pPr>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I.3 Protection renforcée des emblèmes d</w:t>
            </w:r>
            <w:r w:rsidR="00FA22F6" w:rsidRPr="001E6DFD">
              <w:rPr>
                <w:bCs/>
                <w:sz w:val="16"/>
                <w:szCs w:val="16"/>
              </w:rPr>
              <w:t>’</w:t>
            </w:r>
            <w:r w:rsidRPr="001E6DFD">
              <w:rPr>
                <w:bCs/>
                <w:sz w:val="16"/>
                <w:szCs w:val="16"/>
              </w:rPr>
              <w:t>États et des noms et emblèmes d</w:t>
            </w:r>
            <w:r w:rsidR="00FA22F6" w:rsidRPr="001E6DFD">
              <w:rPr>
                <w:bCs/>
                <w:sz w:val="16"/>
                <w:szCs w:val="16"/>
              </w:rPr>
              <w:t>’</w:t>
            </w:r>
            <w:r w:rsidRPr="001E6DFD">
              <w:rPr>
                <w:bCs/>
                <w:sz w:val="16"/>
                <w:szCs w:val="16"/>
              </w:rPr>
              <w:t>organisations internationales intergouvernementales</w:t>
            </w:r>
          </w:p>
        </w:tc>
      </w:tr>
      <w:tr w:rsidR="00A43B2F" w:rsidRPr="001E6DFD" w14:paraId="05E63AB8" w14:textId="77777777" w:rsidTr="00A15986">
        <w:tc>
          <w:tcPr>
            <w:tcW w:w="1085" w:type="pct"/>
            <w:shd w:val="clear" w:color="auto" w:fill="auto"/>
            <w:tcMar>
              <w:left w:w="58" w:type="dxa"/>
              <w:right w:w="58" w:type="dxa"/>
            </w:tcMar>
            <w:vAlign w:val="center"/>
          </w:tcPr>
          <w:p w14:paraId="46067634" w14:textId="3F280E04" w:rsidR="00BA5EA9" w:rsidRPr="001E6DFD" w:rsidRDefault="002F00FF"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78" w:type="pct"/>
            <w:shd w:val="clear" w:color="auto" w:fill="auto"/>
            <w:tcMar>
              <w:left w:w="58" w:type="dxa"/>
              <w:right w:w="58" w:type="dxa"/>
            </w:tcMar>
            <w:vAlign w:val="center"/>
          </w:tcPr>
          <w:p w14:paraId="00F17938" w14:textId="77777777" w:rsidR="00BA5EA9" w:rsidRPr="001E6DFD" w:rsidRDefault="002F00FF" w:rsidP="0097226C">
            <w:pPr>
              <w:jc w:val="center"/>
              <w:rPr>
                <w:b/>
                <w:bCs/>
                <w:sz w:val="16"/>
                <w:szCs w:val="16"/>
              </w:rPr>
            </w:pPr>
            <w:r w:rsidRPr="001E6DFD">
              <w:rPr>
                <w:b/>
                <w:bCs/>
                <w:sz w:val="16"/>
                <w:szCs w:val="16"/>
              </w:rPr>
              <w:t>Niveaux de référence</w:t>
            </w:r>
          </w:p>
        </w:tc>
        <w:tc>
          <w:tcPr>
            <w:tcW w:w="554" w:type="pct"/>
            <w:shd w:val="clear" w:color="auto" w:fill="auto"/>
            <w:tcMar>
              <w:top w:w="110" w:type="dxa"/>
              <w:left w:w="58" w:type="dxa"/>
              <w:right w:w="58" w:type="dxa"/>
            </w:tcMar>
            <w:vAlign w:val="center"/>
          </w:tcPr>
          <w:p w14:paraId="4AC40208" w14:textId="77777777" w:rsidR="00BA5EA9" w:rsidRPr="001E6DFD" w:rsidRDefault="002F00FF" w:rsidP="0097226C">
            <w:pPr>
              <w:jc w:val="center"/>
              <w:rPr>
                <w:b/>
                <w:bCs/>
                <w:sz w:val="16"/>
                <w:szCs w:val="16"/>
              </w:rPr>
            </w:pPr>
            <w:r w:rsidRPr="001E6DFD">
              <w:rPr>
                <w:b/>
                <w:bCs/>
                <w:sz w:val="16"/>
                <w:szCs w:val="16"/>
              </w:rPr>
              <w:t>Objectifs visés</w:t>
            </w:r>
          </w:p>
        </w:tc>
        <w:tc>
          <w:tcPr>
            <w:tcW w:w="1284" w:type="pct"/>
            <w:shd w:val="clear" w:color="auto" w:fill="FFFFFF"/>
            <w:tcMar>
              <w:top w:w="110" w:type="dxa"/>
              <w:left w:w="58" w:type="dxa"/>
              <w:right w:w="58" w:type="dxa"/>
            </w:tcMar>
            <w:vAlign w:val="center"/>
          </w:tcPr>
          <w:p w14:paraId="5C8EB895" w14:textId="0885578B" w:rsidR="00BA5EA9" w:rsidRPr="001E6DFD" w:rsidRDefault="002F00FF"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00" w:type="pct"/>
            <w:shd w:val="clear" w:color="auto" w:fill="auto"/>
            <w:tcMar>
              <w:top w:w="110" w:type="dxa"/>
              <w:left w:w="58" w:type="dxa"/>
              <w:right w:w="58" w:type="dxa"/>
            </w:tcMar>
            <w:vAlign w:val="center"/>
          </w:tcPr>
          <w:p w14:paraId="6A4C22F7" w14:textId="7B50BC62"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A43B2F" w:rsidRPr="001E6DFD" w14:paraId="73CC9C2D" w14:textId="77777777" w:rsidTr="00A15986">
        <w:tc>
          <w:tcPr>
            <w:tcW w:w="1085" w:type="pct"/>
            <w:shd w:val="clear" w:color="auto" w:fill="auto"/>
            <w:tcMar>
              <w:left w:w="58" w:type="dxa"/>
              <w:right w:w="58" w:type="dxa"/>
            </w:tcMar>
          </w:tcPr>
          <w:p w14:paraId="6C676847" w14:textId="428ED222" w:rsidR="00BA5EA9" w:rsidRPr="001E6DFD" w:rsidRDefault="002F00FF" w:rsidP="0097226C">
            <w:pPr>
              <w:ind w:right="176"/>
              <w:rPr>
                <w:sz w:val="16"/>
                <w:szCs w:val="16"/>
              </w:rPr>
            </w:pPr>
            <w:r w:rsidRPr="001E6DFD">
              <w:rPr>
                <w:sz w:val="16"/>
                <w:szCs w:val="16"/>
              </w:rPr>
              <w:t>Nombre de signes contenus dans la base de données sur l</w:t>
            </w:r>
            <w:r w:rsidR="00FA22F6" w:rsidRPr="001E6DFD">
              <w:rPr>
                <w:sz w:val="16"/>
                <w:szCs w:val="16"/>
              </w:rPr>
              <w:t>’article 6</w:t>
            </w:r>
            <w:r w:rsidRPr="001E6DFD">
              <w:rPr>
                <w:i/>
                <w:sz w:val="16"/>
                <w:szCs w:val="16"/>
              </w:rPr>
              <w:t>ter</w:t>
            </w:r>
          </w:p>
        </w:tc>
        <w:tc>
          <w:tcPr>
            <w:tcW w:w="1578" w:type="pct"/>
            <w:shd w:val="clear" w:color="auto" w:fill="auto"/>
            <w:tcMar>
              <w:left w:w="58" w:type="dxa"/>
              <w:right w:w="58" w:type="dxa"/>
            </w:tcMar>
          </w:tcPr>
          <w:p w14:paraId="561857EA" w14:textId="6B661CB3" w:rsidR="001F64B1"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6D72B1C2" w14:textId="78A96F5B" w:rsidR="00FA22F6" w:rsidRPr="001E6DFD" w:rsidRDefault="00B649F5" w:rsidP="0097226C">
            <w:pPr>
              <w:rPr>
                <w:color w:val="002060"/>
                <w:sz w:val="16"/>
                <w:szCs w:val="16"/>
              </w:rPr>
            </w:pPr>
            <w:r w:rsidRPr="001E6DFD">
              <w:rPr>
                <w:color w:val="002060"/>
                <w:sz w:val="16"/>
                <w:szCs w:val="16"/>
              </w:rPr>
              <w:t>Nombre de signes contenus dans la base de données sur l</w:t>
            </w:r>
            <w:r w:rsidR="00FA22F6" w:rsidRPr="001E6DFD">
              <w:rPr>
                <w:color w:val="002060"/>
                <w:sz w:val="16"/>
                <w:szCs w:val="16"/>
              </w:rPr>
              <w:t>’article 6</w:t>
            </w:r>
            <w:r w:rsidR="00BA5EA9" w:rsidRPr="001E6DFD">
              <w:rPr>
                <w:i/>
                <w:color w:val="002060"/>
                <w:sz w:val="16"/>
                <w:szCs w:val="16"/>
              </w:rPr>
              <w:t>ter</w:t>
            </w:r>
            <w:r w:rsidR="00BA5EA9" w:rsidRPr="001E6DFD">
              <w:rPr>
                <w:color w:val="002060"/>
                <w:sz w:val="16"/>
                <w:szCs w:val="16"/>
              </w:rPr>
              <w:t xml:space="preserve"> </w:t>
            </w:r>
            <w:r w:rsidRPr="001E6DFD">
              <w:rPr>
                <w:color w:val="002060"/>
                <w:sz w:val="16"/>
                <w:szCs w:val="16"/>
              </w:rPr>
              <w:t>à la fin</w:t>
            </w:r>
            <w:r w:rsidR="00B4191E">
              <w:rPr>
                <w:color w:val="002060"/>
                <w:sz w:val="16"/>
                <w:szCs w:val="16"/>
              </w:rPr>
              <w:t> </w:t>
            </w:r>
            <w:r w:rsidR="00BA5EA9" w:rsidRPr="001E6DFD">
              <w:rPr>
                <w:color w:val="002060"/>
                <w:sz w:val="16"/>
                <w:szCs w:val="16"/>
              </w:rPr>
              <w:t>2015</w:t>
            </w:r>
            <w:r w:rsidR="00FA22F6" w:rsidRPr="001E6DFD">
              <w:rPr>
                <w:color w:val="002060"/>
                <w:sz w:val="16"/>
                <w:szCs w:val="16"/>
              </w:rPr>
              <w:t> :</w:t>
            </w:r>
            <w:r w:rsidR="00BA5EA9" w:rsidRPr="001E6DFD">
              <w:rPr>
                <w:color w:val="002060"/>
                <w:sz w:val="16"/>
                <w:szCs w:val="16"/>
              </w:rPr>
              <w:t xml:space="preserve"> 3157</w:t>
            </w:r>
          </w:p>
          <w:p w14:paraId="1349A044" w14:textId="54B98D68" w:rsidR="001F64B1" w:rsidRPr="001E6DFD" w:rsidRDefault="001F64B1" w:rsidP="0097226C">
            <w:pPr>
              <w:rPr>
                <w:sz w:val="16"/>
                <w:szCs w:val="16"/>
              </w:rPr>
            </w:pPr>
          </w:p>
          <w:p w14:paraId="0A960349" w14:textId="5908EEAF"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808ABEF" w14:textId="1438D6E6" w:rsidR="00BA5EA9" w:rsidRPr="001E6DFD" w:rsidRDefault="00B649F5" w:rsidP="0097226C">
            <w:pPr>
              <w:rPr>
                <w:sz w:val="16"/>
                <w:szCs w:val="16"/>
              </w:rPr>
            </w:pPr>
            <w:r w:rsidRPr="001E6DFD">
              <w:rPr>
                <w:sz w:val="16"/>
                <w:szCs w:val="16"/>
              </w:rPr>
              <w:t>3</w:t>
            </w:r>
            <w:r w:rsidR="00BA5EA9" w:rsidRPr="001E6DFD">
              <w:rPr>
                <w:sz w:val="16"/>
                <w:szCs w:val="16"/>
              </w:rPr>
              <w:t>103 (</w:t>
            </w:r>
            <w:r w:rsidRPr="001E6DFD">
              <w:rPr>
                <w:sz w:val="16"/>
                <w:szCs w:val="16"/>
              </w:rPr>
              <w:t>au 1</w:t>
            </w:r>
            <w:r w:rsidR="00FA22F6" w:rsidRPr="001E6DFD">
              <w:rPr>
                <w:sz w:val="16"/>
                <w:szCs w:val="16"/>
              </w:rPr>
              <w:t>5 avril 20</w:t>
            </w:r>
            <w:r w:rsidR="00BA5EA9" w:rsidRPr="001E6DFD">
              <w:rPr>
                <w:sz w:val="16"/>
                <w:szCs w:val="16"/>
              </w:rPr>
              <w:t>15)</w:t>
            </w:r>
          </w:p>
        </w:tc>
        <w:tc>
          <w:tcPr>
            <w:tcW w:w="554" w:type="pct"/>
            <w:shd w:val="clear" w:color="auto" w:fill="auto"/>
            <w:tcMar>
              <w:top w:w="110" w:type="dxa"/>
              <w:left w:w="58" w:type="dxa"/>
              <w:right w:w="58" w:type="dxa"/>
            </w:tcMar>
          </w:tcPr>
          <w:p w14:paraId="3FB8D44E" w14:textId="51A2FE8B" w:rsidR="00BA5EA9" w:rsidRPr="001E6DFD" w:rsidRDefault="00381826" w:rsidP="0097226C">
            <w:pPr>
              <w:rPr>
                <w:sz w:val="16"/>
                <w:szCs w:val="16"/>
              </w:rPr>
            </w:pPr>
            <w:r w:rsidRPr="001E6DFD">
              <w:rPr>
                <w:sz w:val="16"/>
                <w:szCs w:val="16"/>
              </w:rPr>
              <w:t>120 </w:t>
            </w:r>
            <w:r w:rsidR="002F00FF" w:rsidRPr="001E6DFD">
              <w:rPr>
                <w:sz w:val="16"/>
                <w:szCs w:val="16"/>
              </w:rPr>
              <w:t>nouveaux signes publiés au cours de l</w:t>
            </w:r>
            <w:r w:rsidR="00FA22F6" w:rsidRPr="001E6DFD">
              <w:rPr>
                <w:sz w:val="16"/>
                <w:szCs w:val="16"/>
              </w:rPr>
              <w:t>’</w:t>
            </w:r>
            <w:r w:rsidR="002F00FF" w:rsidRPr="001E6DFD">
              <w:rPr>
                <w:sz w:val="16"/>
                <w:szCs w:val="16"/>
              </w:rPr>
              <w:t>exercice biennal</w:t>
            </w:r>
          </w:p>
        </w:tc>
        <w:tc>
          <w:tcPr>
            <w:tcW w:w="1284" w:type="pct"/>
            <w:shd w:val="clear" w:color="auto" w:fill="FFFFFF"/>
            <w:tcMar>
              <w:top w:w="110" w:type="dxa"/>
              <w:left w:w="58" w:type="dxa"/>
              <w:right w:w="58" w:type="dxa"/>
            </w:tcMar>
          </w:tcPr>
          <w:p w14:paraId="30B57E11" w14:textId="77777777" w:rsidR="001F64B1" w:rsidRPr="001E6DFD" w:rsidRDefault="00BA5EA9" w:rsidP="0097226C">
            <w:pPr>
              <w:rPr>
                <w:sz w:val="16"/>
                <w:szCs w:val="16"/>
              </w:rPr>
            </w:pPr>
            <w:r w:rsidRPr="001E6DFD">
              <w:rPr>
                <w:sz w:val="16"/>
                <w:szCs w:val="16"/>
              </w:rPr>
              <w:t xml:space="preserve">137 </w:t>
            </w:r>
            <w:r w:rsidR="00B649F5" w:rsidRPr="001E6DFD">
              <w:rPr>
                <w:sz w:val="16"/>
                <w:szCs w:val="16"/>
              </w:rPr>
              <w:t>nouveaux signes publiés</w:t>
            </w:r>
          </w:p>
          <w:p w14:paraId="3DB221D3" w14:textId="77777777" w:rsidR="001F64B1" w:rsidRPr="001E6DFD" w:rsidRDefault="001F64B1" w:rsidP="0097226C">
            <w:pPr>
              <w:rPr>
                <w:sz w:val="16"/>
                <w:szCs w:val="16"/>
              </w:rPr>
            </w:pPr>
          </w:p>
          <w:p w14:paraId="75C878B6" w14:textId="40396A77" w:rsidR="00BA5EA9" w:rsidRPr="001E6DFD" w:rsidRDefault="0074619F" w:rsidP="0097226C">
            <w:pPr>
              <w:rPr>
                <w:sz w:val="16"/>
                <w:szCs w:val="16"/>
              </w:rPr>
            </w:pPr>
            <w:r w:rsidRPr="001E6DFD">
              <w:rPr>
                <w:sz w:val="16"/>
                <w:szCs w:val="16"/>
              </w:rPr>
              <w:t xml:space="preserve">Un total de </w:t>
            </w:r>
            <w:r w:rsidR="004D421A" w:rsidRPr="001E6DFD">
              <w:rPr>
                <w:sz w:val="16"/>
                <w:szCs w:val="16"/>
              </w:rPr>
              <w:t>3294</w:t>
            </w:r>
            <w:r w:rsidR="00B4191E">
              <w:rPr>
                <w:sz w:val="16"/>
                <w:szCs w:val="16"/>
              </w:rPr>
              <w:t> </w:t>
            </w:r>
            <w:r w:rsidRPr="001E6DFD">
              <w:rPr>
                <w:sz w:val="16"/>
                <w:szCs w:val="16"/>
              </w:rPr>
              <w:t xml:space="preserve">signes </w:t>
            </w:r>
            <w:r w:rsidR="009210CD" w:rsidRPr="001E6DFD">
              <w:rPr>
                <w:sz w:val="16"/>
                <w:szCs w:val="16"/>
              </w:rPr>
              <w:t>est contenu</w:t>
            </w:r>
            <w:r w:rsidRPr="001E6DFD">
              <w:rPr>
                <w:sz w:val="16"/>
                <w:szCs w:val="16"/>
              </w:rPr>
              <w:t xml:space="preserve"> dans la base de données </w:t>
            </w:r>
            <w:r w:rsidR="0041334A" w:rsidRPr="001E6DFD">
              <w:rPr>
                <w:i/>
                <w:sz w:val="16"/>
                <w:szCs w:val="16"/>
              </w:rPr>
              <w:t>Express</w:t>
            </w:r>
            <w:r w:rsidR="0041334A" w:rsidRPr="001E6DFD">
              <w:rPr>
                <w:sz w:val="16"/>
                <w:szCs w:val="16"/>
              </w:rPr>
              <w:t xml:space="preserve"> </w:t>
            </w:r>
            <w:r w:rsidRPr="001E6DFD">
              <w:rPr>
                <w:sz w:val="16"/>
                <w:szCs w:val="16"/>
              </w:rPr>
              <w:t>sur l</w:t>
            </w:r>
            <w:r w:rsidR="00FA22F6" w:rsidRPr="001E6DFD">
              <w:rPr>
                <w:sz w:val="16"/>
                <w:szCs w:val="16"/>
              </w:rPr>
              <w:t>’article 6</w:t>
            </w:r>
            <w:r w:rsidRPr="001E6DFD">
              <w:rPr>
                <w:i/>
                <w:sz w:val="16"/>
                <w:szCs w:val="16"/>
              </w:rPr>
              <w:t>ter</w:t>
            </w:r>
            <w:r w:rsidRPr="001E6DFD">
              <w:rPr>
                <w:sz w:val="16"/>
                <w:szCs w:val="16"/>
              </w:rPr>
              <w:t xml:space="preserve"> la fin</w:t>
            </w:r>
            <w:r w:rsidR="00B4191E">
              <w:rPr>
                <w:sz w:val="16"/>
                <w:szCs w:val="16"/>
              </w:rPr>
              <w:t> </w:t>
            </w:r>
            <w:r w:rsidRPr="001E6DFD">
              <w:rPr>
                <w:sz w:val="16"/>
                <w:szCs w:val="16"/>
              </w:rPr>
              <w:t>2016</w:t>
            </w:r>
          </w:p>
        </w:tc>
        <w:tc>
          <w:tcPr>
            <w:tcW w:w="500" w:type="pct"/>
            <w:shd w:val="clear" w:color="auto" w:fill="auto"/>
            <w:tcMar>
              <w:top w:w="110" w:type="dxa"/>
              <w:left w:w="58" w:type="dxa"/>
              <w:right w:w="58" w:type="dxa"/>
            </w:tcMar>
          </w:tcPr>
          <w:p w14:paraId="26CBCEE3" w14:textId="77777777" w:rsidR="00BA5EA9" w:rsidRPr="001E6DFD" w:rsidRDefault="00A43B2F" w:rsidP="0097226C">
            <w:pPr>
              <w:jc w:val="center"/>
              <w:rPr>
                <w:b/>
                <w:sz w:val="16"/>
                <w:szCs w:val="16"/>
              </w:rPr>
            </w:pPr>
            <w:r w:rsidRPr="001E6DFD">
              <w:rPr>
                <w:b/>
                <w:color w:val="00B050"/>
                <w:sz w:val="16"/>
                <w:szCs w:val="16"/>
              </w:rPr>
              <w:t>En bonne voie</w:t>
            </w:r>
          </w:p>
        </w:tc>
      </w:tr>
    </w:tbl>
    <w:p w14:paraId="0B904FA7" w14:textId="77777777" w:rsidR="001F64B1" w:rsidRPr="001E6DFD" w:rsidRDefault="001F64B1" w:rsidP="0097226C">
      <w:pPr>
        <w:rPr>
          <w:sz w:val="20"/>
        </w:rPr>
      </w:pPr>
    </w:p>
    <w:p w14:paraId="3A4C8353" w14:textId="77777777" w:rsidR="00BA5EA9" w:rsidRPr="001E6DFD" w:rsidRDefault="00BA5EA9" w:rsidP="0097226C">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316FFF90" w14:textId="77777777" w:rsidTr="002307FD">
        <w:trPr>
          <w:trHeight w:val="423"/>
          <w:jc w:val="center"/>
        </w:trPr>
        <w:tc>
          <w:tcPr>
            <w:tcW w:w="9571" w:type="dxa"/>
            <w:shd w:val="clear" w:color="auto" w:fill="C6D9F1" w:themeFill="text2" w:themeFillTint="33"/>
            <w:vAlign w:val="center"/>
          </w:tcPr>
          <w:p w14:paraId="2456CFD6" w14:textId="67265371" w:rsidR="00BA5EA9" w:rsidRPr="001E6DFD" w:rsidRDefault="002F00FF" w:rsidP="0097226C">
            <w:pPr>
              <w:keepNext/>
              <w:keepLines/>
              <w:jc w:val="center"/>
              <w:rPr>
                <w:b/>
                <w:sz w:val="20"/>
              </w:rPr>
            </w:pPr>
            <w:r w:rsidRPr="001E6DFD">
              <w:rPr>
                <w:b/>
                <w:sz w:val="20"/>
              </w:rPr>
              <w:lastRenderedPageBreak/>
              <w:t>Utilisation des ressources au titre du programme</w:t>
            </w:r>
            <w:r w:rsidR="00B4191E">
              <w:rPr>
                <w:b/>
                <w:sz w:val="20"/>
              </w:rPr>
              <w:t> </w:t>
            </w:r>
            <w:r w:rsidR="00BA5EA9" w:rsidRPr="001E6DFD">
              <w:rPr>
                <w:b/>
                <w:sz w:val="20"/>
              </w:rPr>
              <w:t>2</w:t>
            </w:r>
          </w:p>
        </w:tc>
      </w:tr>
    </w:tbl>
    <w:p w14:paraId="30AC0158" w14:textId="77777777" w:rsidR="001F64B1" w:rsidRPr="001E6DFD" w:rsidRDefault="001F64B1" w:rsidP="0097226C">
      <w:pPr>
        <w:keepNext/>
        <w:keepLines/>
        <w:rPr>
          <w:sz w:val="20"/>
        </w:rPr>
      </w:pPr>
    </w:p>
    <w:p w14:paraId="51BC5220" w14:textId="77777777" w:rsidR="001F64B1" w:rsidRPr="001E6DFD" w:rsidRDefault="002F00FF" w:rsidP="0097226C">
      <w:pPr>
        <w:pStyle w:val="NormalWeb"/>
        <w:keepNext/>
        <w:keepLines/>
        <w:spacing w:before="0" w:beforeAutospacing="0" w:after="0" w:afterAutospacing="0"/>
        <w:jc w:val="center"/>
      </w:pPr>
      <w:r w:rsidRPr="001E6DFD">
        <w:t>Budget et dépenses effectives (par résultat)</w:t>
      </w:r>
    </w:p>
    <w:p w14:paraId="40A78891" w14:textId="77777777" w:rsidR="001F64B1" w:rsidRPr="001E6DFD" w:rsidRDefault="002F00FF"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762EEE93" w14:textId="77777777" w:rsidR="00BA5EA9" w:rsidRPr="001E6DFD" w:rsidRDefault="00BA5EA9" w:rsidP="0097226C">
      <w:pPr>
        <w:keepNext/>
        <w:keepLines/>
        <w:rPr>
          <w:b/>
          <w:sz w:val="20"/>
        </w:rPr>
      </w:pPr>
    </w:p>
    <w:tbl>
      <w:tblPr>
        <w:tblW w:w="4300" w:type="pct"/>
        <w:jc w:val="center"/>
        <w:tblCellMar>
          <w:top w:w="57" w:type="dxa"/>
          <w:bottom w:w="57" w:type="dxa"/>
        </w:tblCellMar>
        <w:tblLook w:val="04A0" w:firstRow="1" w:lastRow="0" w:firstColumn="1" w:lastColumn="0" w:noHBand="0" w:noVBand="1"/>
      </w:tblPr>
      <w:tblGrid>
        <w:gridCol w:w="483"/>
        <w:gridCol w:w="4227"/>
        <w:gridCol w:w="1573"/>
        <w:gridCol w:w="1573"/>
        <w:gridCol w:w="1431"/>
      </w:tblGrid>
      <w:tr w:rsidR="00BA5EA9" w:rsidRPr="001E6DFD" w14:paraId="55714ACB" w14:textId="77777777" w:rsidTr="00A15986">
        <w:trPr>
          <w:jc w:val="center"/>
        </w:trPr>
        <w:tc>
          <w:tcPr>
            <w:tcW w:w="4722" w:type="dxa"/>
            <w:gridSpan w:val="2"/>
            <w:tcBorders>
              <w:top w:val="nil"/>
              <w:left w:val="nil"/>
              <w:bottom w:val="nil"/>
              <w:right w:val="nil"/>
            </w:tcBorders>
            <w:shd w:val="clear" w:color="000000" w:fill="C5D9F1"/>
            <w:noWrap/>
            <w:vAlign w:val="center"/>
            <w:hideMark/>
          </w:tcPr>
          <w:p w14:paraId="01837DAF" w14:textId="77777777" w:rsidR="00BA5EA9" w:rsidRPr="001E6DFD" w:rsidRDefault="002F00FF" w:rsidP="0097226C">
            <w:pPr>
              <w:keepNext/>
              <w:keepLines/>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68" w:type="dxa"/>
            <w:tcBorders>
              <w:top w:val="nil"/>
              <w:left w:val="nil"/>
              <w:bottom w:val="nil"/>
              <w:right w:val="nil"/>
            </w:tcBorders>
            <w:shd w:val="clear" w:color="000000" w:fill="C5D9F1"/>
            <w:vAlign w:val="center"/>
            <w:hideMark/>
          </w:tcPr>
          <w:p w14:paraId="2C7954DA" w14:textId="18285752" w:rsidR="00BA5EA9" w:rsidRPr="001E6DFD" w:rsidRDefault="00B649F5" w:rsidP="0097226C">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 xml:space="preserve">2017 approuvé </w:t>
            </w:r>
          </w:p>
        </w:tc>
        <w:tc>
          <w:tcPr>
            <w:tcW w:w="1168" w:type="dxa"/>
            <w:tcBorders>
              <w:top w:val="nil"/>
              <w:left w:val="nil"/>
              <w:bottom w:val="nil"/>
              <w:right w:val="nil"/>
            </w:tcBorders>
            <w:shd w:val="clear" w:color="000000" w:fill="C5D9F1"/>
            <w:vAlign w:val="center"/>
            <w:hideMark/>
          </w:tcPr>
          <w:p w14:paraId="45B90477" w14:textId="510DA0F8" w:rsidR="00BA5EA9" w:rsidRPr="001E6DFD" w:rsidRDefault="002F00FF" w:rsidP="0097226C">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r w:rsidR="00BA5EA9" w:rsidRPr="001E6DFD">
              <w:rPr>
                <w:b/>
                <w:bCs/>
                <w:sz w:val="16"/>
                <w:szCs w:val="16"/>
              </w:rPr>
              <w:t xml:space="preserve"> </w:t>
            </w:r>
          </w:p>
        </w:tc>
        <w:tc>
          <w:tcPr>
            <w:tcW w:w="1175" w:type="dxa"/>
            <w:tcBorders>
              <w:top w:val="nil"/>
              <w:left w:val="nil"/>
              <w:bottom w:val="nil"/>
              <w:right w:val="nil"/>
            </w:tcBorders>
            <w:shd w:val="clear" w:color="000000" w:fill="C5D9F1"/>
            <w:vAlign w:val="center"/>
            <w:hideMark/>
          </w:tcPr>
          <w:p w14:paraId="65ED2354" w14:textId="7E4F5A95" w:rsidR="00BA5EA9" w:rsidRPr="001E6DFD" w:rsidRDefault="002F00FF" w:rsidP="0097226C">
            <w:pPr>
              <w:keepNext/>
              <w:keepLines/>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r w:rsidR="00BA5EA9" w:rsidRPr="001E6DFD">
              <w:rPr>
                <w:b/>
                <w:bCs/>
                <w:sz w:val="16"/>
                <w:szCs w:val="16"/>
              </w:rPr>
              <w:t xml:space="preserve"> </w:t>
            </w:r>
          </w:p>
        </w:tc>
      </w:tr>
      <w:tr w:rsidR="00BA5EA9" w:rsidRPr="001E6DFD" w14:paraId="5A107998" w14:textId="77777777" w:rsidTr="00A15986">
        <w:trPr>
          <w:jc w:val="center"/>
        </w:trPr>
        <w:tc>
          <w:tcPr>
            <w:tcW w:w="483" w:type="dxa"/>
            <w:tcBorders>
              <w:top w:val="nil"/>
              <w:left w:val="nil"/>
              <w:bottom w:val="nil"/>
              <w:right w:val="nil"/>
            </w:tcBorders>
            <w:shd w:val="clear" w:color="auto" w:fill="auto"/>
            <w:noWrap/>
            <w:vAlign w:val="center"/>
            <w:hideMark/>
          </w:tcPr>
          <w:p w14:paraId="764F428E" w14:textId="77777777" w:rsidR="00BA5EA9" w:rsidRPr="001E6DFD" w:rsidRDefault="00BA5EA9" w:rsidP="0097226C">
            <w:pPr>
              <w:keepNext/>
              <w:keepLines/>
              <w:rPr>
                <w:sz w:val="16"/>
                <w:szCs w:val="16"/>
              </w:rPr>
            </w:pPr>
            <w:r w:rsidRPr="001E6DFD">
              <w:rPr>
                <w:sz w:val="16"/>
                <w:szCs w:val="16"/>
              </w:rPr>
              <w:t>I.1</w:t>
            </w:r>
          </w:p>
        </w:tc>
        <w:tc>
          <w:tcPr>
            <w:tcW w:w="4239" w:type="dxa"/>
            <w:tcBorders>
              <w:top w:val="nil"/>
              <w:left w:val="nil"/>
              <w:bottom w:val="nil"/>
              <w:right w:val="nil"/>
            </w:tcBorders>
            <w:shd w:val="clear" w:color="auto" w:fill="auto"/>
            <w:vAlign w:val="center"/>
            <w:hideMark/>
          </w:tcPr>
          <w:p w14:paraId="59B9489B" w14:textId="709FA9C6" w:rsidR="00BA5EA9" w:rsidRPr="001E6DFD" w:rsidRDefault="00EC2DD2" w:rsidP="0097226C">
            <w:pPr>
              <w:keepNext/>
              <w:keepLines/>
              <w:rPr>
                <w:sz w:val="16"/>
                <w:szCs w:val="16"/>
              </w:rPr>
            </w:pPr>
            <w:r w:rsidRPr="001E6DFD">
              <w:rPr>
                <w:sz w:val="16"/>
                <w:szCs w:val="16"/>
              </w:rPr>
              <w:t>Renforcement de la coopération entre les États membres en ce qui concerne l</w:t>
            </w:r>
            <w:r w:rsidR="00FA22F6" w:rsidRPr="001E6DFD">
              <w:rPr>
                <w:sz w:val="16"/>
                <w:szCs w:val="16"/>
              </w:rPr>
              <w:t>’</w:t>
            </w:r>
            <w:r w:rsidRPr="001E6DFD">
              <w:rPr>
                <w:sz w:val="16"/>
                <w:szCs w:val="16"/>
              </w:rPr>
              <w:t>élaboration de cadres normatifs internationaux équilibrés dans le domaine de la propriété intellectuelle</w:t>
            </w:r>
            <w:r w:rsidR="00BA5EA9" w:rsidRPr="001E6DFD">
              <w:rPr>
                <w:sz w:val="16"/>
                <w:szCs w:val="16"/>
              </w:rPr>
              <w:t xml:space="preserve"> </w:t>
            </w:r>
          </w:p>
        </w:tc>
        <w:tc>
          <w:tcPr>
            <w:tcW w:w="1168" w:type="dxa"/>
            <w:tcBorders>
              <w:top w:val="nil"/>
              <w:left w:val="nil"/>
              <w:bottom w:val="nil"/>
              <w:right w:val="nil"/>
            </w:tcBorders>
            <w:shd w:val="clear" w:color="auto" w:fill="auto"/>
            <w:noWrap/>
            <w:vAlign w:val="center"/>
            <w:hideMark/>
          </w:tcPr>
          <w:p w14:paraId="34234870" w14:textId="77777777" w:rsidR="00BA5EA9" w:rsidRPr="001E6DFD" w:rsidRDefault="00BA5EA9" w:rsidP="0097226C">
            <w:pPr>
              <w:keepNext/>
              <w:keepLines/>
              <w:jc w:val="center"/>
              <w:rPr>
                <w:sz w:val="16"/>
                <w:szCs w:val="16"/>
              </w:rPr>
            </w:pPr>
            <w:r w:rsidRPr="001E6DFD">
              <w:rPr>
                <w:sz w:val="16"/>
                <w:szCs w:val="16"/>
              </w:rPr>
              <w:t>3</w:t>
            </w:r>
            <w:r w:rsidR="00B649F5" w:rsidRPr="001E6DFD">
              <w:rPr>
                <w:sz w:val="16"/>
                <w:szCs w:val="16"/>
              </w:rPr>
              <w:t> </w:t>
            </w:r>
            <w:r w:rsidRPr="001E6DFD">
              <w:rPr>
                <w:sz w:val="16"/>
                <w:szCs w:val="16"/>
              </w:rPr>
              <w:t>210</w:t>
            </w:r>
          </w:p>
        </w:tc>
        <w:tc>
          <w:tcPr>
            <w:tcW w:w="1168" w:type="dxa"/>
            <w:tcBorders>
              <w:top w:val="nil"/>
              <w:left w:val="nil"/>
              <w:bottom w:val="nil"/>
              <w:right w:val="nil"/>
            </w:tcBorders>
            <w:shd w:val="clear" w:color="auto" w:fill="auto"/>
            <w:noWrap/>
            <w:vAlign w:val="center"/>
            <w:hideMark/>
          </w:tcPr>
          <w:p w14:paraId="489EBA44" w14:textId="77777777" w:rsidR="00BA5EA9" w:rsidRPr="001E6DFD" w:rsidRDefault="00BA5EA9" w:rsidP="0097226C">
            <w:pPr>
              <w:keepNext/>
              <w:keepLines/>
              <w:jc w:val="center"/>
              <w:rPr>
                <w:sz w:val="16"/>
                <w:szCs w:val="16"/>
              </w:rPr>
            </w:pPr>
            <w:r w:rsidRPr="001E6DFD">
              <w:rPr>
                <w:sz w:val="16"/>
                <w:szCs w:val="16"/>
              </w:rPr>
              <w:t>3</w:t>
            </w:r>
            <w:r w:rsidR="00B649F5" w:rsidRPr="001E6DFD">
              <w:rPr>
                <w:sz w:val="16"/>
                <w:szCs w:val="16"/>
              </w:rPr>
              <w:t> </w:t>
            </w:r>
            <w:r w:rsidRPr="001E6DFD">
              <w:rPr>
                <w:sz w:val="16"/>
                <w:szCs w:val="16"/>
              </w:rPr>
              <w:t>439</w:t>
            </w:r>
          </w:p>
        </w:tc>
        <w:tc>
          <w:tcPr>
            <w:tcW w:w="1175" w:type="dxa"/>
            <w:tcBorders>
              <w:top w:val="nil"/>
              <w:left w:val="nil"/>
              <w:bottom w:val="nil"/>
              <w:right w:val="nil"/>
            </w:tcBorders>
            <w:shd w:val="clear" w:color="auto" w:fill="auto"/>
            <w:noWrap/>
            <w:vAlign w:val="center"/>
            <w:hideMark/>
          </w:tcPr>
          <w:p w14:paraId="0C5CAAC8" w14:textId="77777777" w:rsidR="00BA5EA9" w:rsidRPr="001E6DFD" w:rsidRDefault="00BA5EA9" w:rsidP="0097226C">
            <w:pPr>
              <w:keepNext/>
              <w:keepLines/>
              <w:jc w:val="center"/>
              <w:rPr>
                <w:sz w:val="16"/>
                <w:szCs w:val="16"/>
              </w:rPr>
            </w:pPr>
            <w:r w:rsidRPr="001E6DFD">
              <w:rPr>
                <w:sz w:val="16"/>
                <w:szCs w:val="16"/>
              </w:rPr>
              <w:t>1</w:t>
            </w:r>
            <w:r w:rsidR="00B649F5" w:rsidRPr="001E6DFD">
              <w:rPr>
                <w:sz w:val="16"/>
                <w:szCs w:val="16"/>
              </w:rPr>
              <w:t> </w:t>
            </w:r>
            <w:r w:rsidRPr="001E6DFD">
              <w:rPr>
                <w:sz w:val="16"/>
                <w:szCs w:val="16"/>
              </w:rPr>
              <w:t>472</w:t>
            </w:r>
          </w:p>
        </w:tc>
      </w:tr>
      <w:tr w:rsidR="00BA5EA9" w:rsidRPr="001E6DFD" w14:paraId="1E40AB17" w14:textId="77777777" w:rsidTr="00A15986">
        <w:trPr>
          <w:jc w:val="center"/>
        </w:trPr>
        <w:tc>
          <w:tcPr>
            <w:tcW w:w="483" w:type="dxa"/>
            <w:tcBorders>
              <w:top w:val="nil"/>
              <w:left w:val="nil"/>
              <w:bottom w:val="nil"/>
              <w:right w:val="nil"/>
            </w:tcBorders>
            <w:shd w:val="clear" w:color="auto" w:fill="auto"/>
            <w:noWrap/>
            <w:vAlign w:val="center"/>
            <w:hideMark/>
          </w:tcPr>
          <w:p w14:paraId="4515AC3D" w14:textId="77777777" w:rsidR="00BA5EA9" w:rsidRPr="001E6DFD" w:rsidRDefault="00BA5EA9" w:rsidP="0097226C">
            <w:pPr>
              <w:keepNext/>
              <w:keepLines/>
              <w:rPr>
                <w:sz w:val="16"/>
                <w:szCs w:val="16"/>
              </w:rPr>
            </w:pPr>
            <w:r w:rsidRPr="001E6DFD">
              <w:rPr>
                <w:sz w:val="16"/>
                <w:szCs w:val="16"/>
              </w:rPr>
              <w:t>I.2</w:t>
            </w:r>
          </w:p>
        </w:tc>
        <w:tc>
          <w:tcPr>
            <w:tcW w:w="4239" w:type="dxa"/>
            <w:tcBorders>
              <w:top w:val="nil"/>
              <w:left w:val="nil"/>
              <w:bottom w:val="nil"/>
              <w:right w:val="nil"/>
            </w:tcBorders>
            <w:shd w:val="clear" w:color="auto" w:fill="auto"/>
            <w:vAlign w:val="center"/>
            <w:hideMark/>
          </w:tcPr>
          <w:p w14:paraId="6B7D68D7" w14:textId="77777777" w:rsidR="00BA5EA9" w:rsidRPr="001E6DFD" w:rsidRDefault="00EC2DD2" w:rsidP="0097226C">
            <w:pPr>
              <w:keepNext/>
              <w:keepLines/>
              <w:rPr>
                <w:sz w:val="16"/>
                <w:szCs w:val="16"/>
              </w:rPr>
            </w:pPr>
            <w:r w:rsidRPr="001E6DFD">
              <w:rPr>
                <w:sz w:val="16"/>
                <w:szCs w:val="16"/>
              </w:rPr>
              <w:t>Cadres législatifs, réglementaires et politiques adaptés et équilibrés en matière de propriété intellectuelle</w:t>
            </w:r>
          </w:p>
        </w:tc>
        <w:tc>
          <w:tcPr>
            <w:tcW w:w="1168" w:type="dxa"/>
            <w:tcBorders>
              <w:top w:val="nil"/>
              <w:left w:val="nil"/>
              <w:bottom w:val="nil"/>
              <w:right w:val="nil"/>
            </w:tcBorders>
            <w:shd w:val="clear" w:color="auto" w:fill="auto"/>
            <w:noWrap/>
            <w:vAlign w:val="center"/>
            <w:hideMark/>
          </w:tcPr>
          <w:p w14:paraId="452BE14A" w14:textId="77777777" w:rsidR="00BA5EA9" w:rsidRPr="001E6DFD" w:rsidRDefault="00BA5EA9" w:rsidP="0097226C">
            <w:pPr>
              <w:keepNext/>
              <w:keepLines/>
              <w:jc w:val="center"/>
              <w:rPr>
                <w:sz w:val="16"/>
                <w:szCs w:val="16"/>
              </w:rPr>
            </w:pPr>
            <w:r w:rsidRPr="001E6DFD">
              <w:rPr>
                <w:sz w:val="16"/>
                <w:szCs w:val="16"/>
              </w:rPr>
              <w:t>1</w:t>
            </w:r>
            <w:r w:rsidR="00B649F5" w:rsidRPr="001E6DFD">
              <w:rPr>
                <w:sz w:val="16"/>
                <w:szCs w:val="16"/>
              </w:rPr>
              <w:t> </w:t>
            </w:r>
            <w:r w:rsidRPr="001E6DFD">
              <w:rPr>
                <w:sz w:val="16"/>
                <w:szCs w:val="16"/>
              </w:rPr>
              <w:t>100</w:t>
            </w:r>
          </w:p>
        </w:tc>
        <w:tc>
          <w:tcPr>
            <w:tcW w:w="1168" w:type="dxa"/>
            <w:tcBorders>
              <w:top w:val="nil"/>
              <w:left w:val="nil"/>
              <w:bottom w:val="nil"/>
              <w:right w:val="nil"/>
            </w:tcBorders>
            <w:shd w:val="clear" w:color="auto" w:fill="auto"/>
            <w:noWrap/>
            <w:vAlign w:val="center"/>
            <w:hideMark/>
          </w:tcPr>
          <w:p w14:paraId="3F6E9DFD" w14:textId="77777777" w:rsidR="00BA5EA9" w:rsidRPr="001E6DFD" w:rsidRDefault="00BA5EA9" w:rsidP="0097226C">
            <w:pPr>
              <w:keepNext/>
              <w:keepLines/>
              <w:jc w:val="center"/>
              <w:rPr>
                <w:sz w:val="16"/>
                <w:szCs w:val="16"/>
              </w:rPr>
            </w:pPr>
            <w:r w:rsidRPr="001E6DFD">
              <w:rPr>
                <w:sz w:val="16"/>
                <w:szCs w:val="16"/>
              </w:rPr>
              <w:t>939</w:t>
            </w:r>
          </w:p>
        </w:tc>
        <w:tc>
          <w:tcPr>
            <w:tcW w:w="1175" w:type="dxa"/>
            <w:tcBorders>
              <w:top w:val="nil"/>
              <w:left w:val="nil"/>
              <w:bottom w:val="nil"/>
              <w:right w:val="nil"/>
            </w:tcBorders>
            <w:shd w:val="clear" w:color="auto" w:fill="auto"/>
            <w:noWrap/>
            <w:vAlign w:val="center"/>
            <w:hideMark/>
          </w:tcPr>
          <w:p w14:paraId="11AFBF0A" w14:textId="77777777" w:rsidR="00BA5EA9" w:rsidRPr="001E6DFD" w:rsidRDefault="00BA5EA9" w:rsidP="0097226C">
            <w:pPr>
              <w:keepNext/>
              <w:keepLines/>
              <w:jc w:val="center"/>
              <w:rPr>
                <w:sz w:val="16"/>
                <w:szCs w:val="16"/>
              </w:rPr>
            </w:pPr>
            <w:r w:rsidRPr="001E6DFD">
              <w:rPr>
                <w:sz w:val="16"/>
                <w:szCs w:val="16"/>
              </w:rPr>
              <w:t>440</w:t>
            </w:r>
          </w:p>
        </w:tc>
      </w:tr>
      <w:tr w:rsidR="00BA5EA9" w:rsidRPr="001E6DFD" w14:paraId="05569C3C" w14:textId="77777777" w:rsidTr="00A15986">
        <w:trPr>
          <w:jc w:val="center"/>
        </w:trPr>
        <w:tc>
          <w:tcPr>
            <w:tcW w:w="483" w:type="dxa"/>
            <w:tcBorders>
              <w:top w:val="nil"/>
              <w:left w:val="nil"/>
              <w:bottom w:val="nil"/>
              <w:right w:val="nil"/>
            </w:tcBorders>
            <w:shd w:val="clear" w:color="auto" w:fill="auto"/>
            <w:noWrap/>
            <w:vAlign w:val="center"/>
            <w:hideMark/>
          </w:tcPr>
          <w:p w14:paraId="31F05DA2" w14:textId="77777777" w:rsidR="00BA5EA9" w:rsidRPr="001E6DFD" w:rsidRDefault="00BA5EA9" w:rsidP="0097226C">
            <w:pPr>
              <w:keepNext/>
              <w:keepLines/>
              <w:rPr>
                <w:sz w:val="16"/>
                <w:szCs w:val="16"/>
              </w:rPr>
            </w:pPr>
            <w:r w:rsidRPr="001E6DFD">
              <w:rPr>
                <w:sz w:val="16"/>
                <w:szCs w:val="16"/>
              </w:rPr>
              <w:t>I.3</w:t>
            </w:r>
          </w:p>
        </w:tc>
        <w:tc>
          <w:tcPr>
            <w:tcW w:w="4239" w:type="dxa"/>
            <w:tcBorders>
              <w:top w:val="nil"/>
              <w:left w:val="nil"/>
              <w:bottom w:val="nil"/>
              <w:right w:val="nil"/>
            </w:tcBorders>
            <w:shd w:val="clear" w:color="auto" w:fill="auto"/>
            <w:vAlign w:val="center"/>
            <w:hideMark/>
          </w:tcPr>
          <w:p w14:paraId="6D44E63E" w14:textId="10453A64" w:rsidR="00BA5EA9" w:rsidRPr="001E6DFD" w:rsidRDefault="00EC2DD2" w:rsidP="0097226C">
            <w:pPr>
              <w:keepNext/>
              <w:keepLines/>
              <w:rPr>
                <w:sz w:val="16"/>
                <w:szCs w:val="16"/>
              </w:rPr>
            </w:pPr>
            <w:r w:rsidRPr="001E6DFD">
              <w:rPr>
                <w:sz w:val="16"/>
                <w:szCs w:val="16"/>
              </w:rPr>
              <w:t>Protection renforcée des emblèmes d</w:t>
            </w:r>
            <w:r w:rsidR="00FA22F6" w:rsidRPr="001E6DFD">
              <w:rPr>
                <w:sz w:val="16"/>
                <w:szCs w:val="16"/>
              </w:rPr>
              <w:t>’</w:t>
            </w:r>
            <w:r w:rsidRPr="001E6DFD">
              <w:rPr>
                <w:sz w:val="16"/>
                <w:szCs w:val="16"/>
              </w:rPr>
              <w:t>États et des noms et emblèmes d</w:t>
            </w:r>
            <w:r w:rsidR="00FA22F6" w:rsidRPr="001E6DFD">
              <w:rPr>
                <w:sz w:val="16"/>
                <w:szCs w:val="16"/>
              </w:rPr>
              <w:t>’</w:t>
            </w:r>
            <w:r w:rsidRPr="001E6DFD">
              <w:rPr>
                <w:sz w:val="16"/>
                <w:szCs w:val="16"/>
              </w:rPr>
              <w:t>organisations internationales intergouvernementales</w:t>
            </w:r>
          </w:p>
        </w:tc>
        <w:tc>
          <w:tcPr>
            <w:tcW w:w="1168" w:type="dxa"/>
            <w:tcBorders>
              <w:top w:val="nil"/>
              <w:left w:val="nil"/>
              <w:bottom w:val="nil"/>
              <w:right w:val="nil"/>
            </w:tcBorders>
            <w:shd w:val="clear" w:color="auto" w:fill="auto"/>
            <w:noWrap/>
            <w:vAlign w:val="center"/>
            <w:hideMark/>
          </w:tcPr>
          <w:p w14:paraId="0741C2ED" w14:textId="77777777" w:rsidR="00BA5EA9" w:rsidRPr="001E6DFD" w:rsidRDefault="00BA5EA9" w:rsidP="0097226C">
            <w:pPr>
              <w:keepNext/>
              <w:keepLines/>
              <w:jc w:val="center"/>
              <w:rPr>
                <w:sz w:val="16"/>
                <w:szCs w:val="16"/>
              </w:rPr>
            </w:pPr>
            <w:r w:rsidRPr="001E6DFD">
              <w:rPr>
                <w:sz w:val="16"/>
                <w:szCs w:val="16"/>
              </w:rPr>
              <w:t>544</w:t>
            </w:r>
          </w:p>
        </w:tc>
        <w:tc>
          <w:tcPr>
            <w:tcW w:w="1168" w:type="dxa"/>
            <w:tcBorders>
              <w:top w:val="nil"/>
              <w:left w:val="nil"/>
              <w:bottom w:val="nil"/>
              <w:right w:val="nil"/>
            </w:tcBorders>
            <w:shd w:val="clear" w:color="auto" w:fill="auto"/>
            <w:noWrap/>
            <w:vAlign w:val="center"/>
            <w:hideMark/>
          </w:tcPr>
          <w:p w14:paraId="00DFAEE1" w14:textId="77777777" w:rsidR="00BA5EA9" w:rsidRPr="001E6DFD" w:rsidRDefault="00BA5EA9" w:rsidP="0097226C">
            <w:pPr>
              <w:keepNext/>
              <w:keepLines/>
              <w:jc w:val="center"/>
              <w:rPr>
                <w:sz w:val="16"/>
                <w:szCs w:val="16"/>
              </w:rPr>
            </w:pPr>
            <w:r w:rsidRPr="001E6DFD">
              <w:rPr>
                <w:sz w:val="16"/>
                <w:szCs w:val="16"/>
              </w:rPr>
              <w:t>560</w:t>
            </w:r>
          </w:p>
        </w:tc>
        <w:tc>
          <w:tcPr>
            <w:tcW w:w="1175" w:type="dxa"/>
            <w:tcBorders>
              <w:top w:val="nil"/>
              <w:left w:val="nil"/>
              <w:bottom w:val="nil"/>
              <w:right w:val="nil"/>
            </w:tcBorders>
            <w:shd w:val="clear" w:color="auto" w:fill="auto"/>
            <w:noWrap/>
            <w:vAlign w:val="center"/>
            <w:hideMark/>
          </w:tcPr>
          <w:p w14:paraId="2044AABB" w14:textId="77777777" w:rsidR="00BA5EA9" w:rsidRPr="001E6DFD" w:rsidRDefault="00BA5EA9" w:rsidP="0097226C">
            <w:pPr>
              <w:keepNext/>
              <w:keepLines/>
              <w:jc w:val="center"/>
              <w:rPr>
                <w:sz w:val="16"/>
                <w:szCs w:val="16"/>
              </w:rPr>
            </w:pPr>
            <w:r w:rsidRPr="001E6DFD">
              <w:rPr>
                <w:sz w:val="16"/>
                <w:szCs w:val="16"/>
              </w:rPr>
              <w:t>287</w:t>
            </w:r>
          </w:p>
        </w:tc>
      </w:tr>
      <w:tr w:rsidR="00BA5EA9" w:rsidRPr="001E6DFD" w14:paraId="7F8F6F63" w14:textId="77777777" w:rsidTr="00A15986">
        <w:trPr>
          <w:jc w:val="center"/>
        </w:trPr>
        <w:tc>
          <w:tcPr>
            <w:tcW w:w="483" w:type="dxa"/>
            <w:tcBorders>
              <w:top w:val="nil"/>
              <w:left w:val="nil"/>
              <w:bottom w:val="nil"/>
              <w:right w:val="nil"/>
            </w:tcBorders>
            <w:shd w:val="clear" w:color="auto" w:fill="auto"/>
            <w:noWrap/>
            <w:vAlign w:val="center"/>
            <w:hideMark/>
          </w:tcPr>
          <w:p w14:paraId="66B44FAC" w14:textId="77777777" w:rsidR="00BA5EA9" w:rsidRPr="001E6DFD" w:rsidRDefault="00BA5EA9" w:rsidP="0097226C">
            <w:pPr>
              <w:keepNext/>
              <w:keepLines/>
              <w:rPr>
                <w:sz w:val="16"/>
                <w:szCs w:val="16"/>
              </w:rPr>
            </w:pPr>
            <w:r w:rsidRPr="001E6DFD">
              <w:rPr>
                <w:sz w:val="16"/>
                <w:szCs w:val="16"/>
              </w:rPr>
              <w:t>III.4</w:t>
            </w:r>
          </w:p>
        </w:tc>
        <w:tc>
          <w:tcPr>
            <w:tcW w:w="4239" w:type="dxa"/>
            <w:tcBorders>
              <w:top w:val="nil"/>
              <w:left w:val="nil"/>
              <w:bottom w:val="nil"/>
              <w:right w:val="nil"/>
            </w:tcBorders>
            <w:shd w:val="clear" w:color="auto" w:fill="auto"/>
            <w:vAlign w:val="center"/>
            <w:hideMark/>
          </w:tcPr>
          <w:p w14:paraId="2E615F93" w14:textId="607D8536" w:rsidR="00BA5EA9" w:rsidRPr="001E6DFD" w:rsidRDefault="00EC2DD2" w:rsidP="0097226C">
            <w:pPr>
              <w:keepNext/>
              <w:keepLines/>
              <w:rPr>
                <w:sz w:val="16"/>
                <w:szCs w:val="16"/>
              </w:rPr>
            </w:pPr>
            <w:r w:rsidRPr="001E6DFD">
              <w:rPr>
                <w:sz w:val="16"/>
                <w:szCs w:val="16"/>
              </w:rPr>
              <w:t>Mécanismes et programmes de coopération renforcés, adaptés aux besoins des pays en développement et</w:t>
            </w:r>
            <w:r w:rsidR="00FA22F6" w:rsidRPr="001E6DFD">
              <w:rPr>
                <w:sz w:val="16"/>
                <w:szCs w:val="16"/>
              </w:rPr>
              <w:t xml:space="preserve"> des PMA</w:t>
            </w:r>
          </w:p>
        </w:tc>
        <w:tc>
          <w:tcPr>
            <w:tcW w:w="1168" w:type="dxa"/>
            <w:tcBorders>
              <w:top w:val="nil"/>
              <w:left w:val="nil"/>
              <w:bottom w:val="nil"/>
              <w:right w:val="nil"/>
            </w:tcBorders>
            <w:shd w:val="clear" w:color="auto" w:fill="auto"/>
            <w:noWrap/>
            <w:vAlign w:val="center"/>
            <w:hideMark/>
          </w:tcPr>
          <w:p w14:paraId="689C63B7" w14:textId="77777777" w:rsidR="00BA5EA9" w:rsidRPr="001E6DFD" w:rsidRDefault="00BA5EA9" w:rsidP="0097226C">
            <w:pPr>
              <w:keepNext/>
              <w:keepLines/>
              <w:jc w:val="center"/>
              <w:rPr>
                <w:sz w:val="16"/>
                <w:szCs w:val="16"/>
              </w:rPr>
            </w:pPr>
            <w:r w:rsidRPr="001E6DFD">
              <w:rPr>
                <w:sz w:val="16"/>
                <w:szCs w:val="16"/>
              </w:rPr>
              <w:t>0</w:t>
            </w:r>
          </w:p>
        </w:tc>
        <w:tc>
          <w:tcPr>
            <w:tcW w:w="1168" w:type="dxa"/>
            <w:tcBorders>
              <w:top w:val="nil"/>
              <w:left w:val="nil"/>
              <w:bottom w:val="nil"/>
              <w:right w:val="nil"/>
            </w:tcBorders>
            <w:shd w:val="clear" w:color="auto" w:fill="auto"/>
            <w:noWrap/>
            <w:vAlign w:val="center"/>
            <w:hideMark/>
          </w:tcPr>
          <w:p w14:paraId="52AA511A" w14:textId="77777777" w:rsidR="00BA5EA9" w:rsidRPr="001E6DFD" w:rsidRDefault="00BA5EA9" w:rsidP="0097226C">
            <w:pPr>
              <w:keepNext/>
              <w:keepLines/>
              <w:jc w:val="center"/>
              <w:rPr>
                <w:sz w:val="16"/>
                <w:szCs w:val="16"/>
              </w:rPr>
            </w:pPr>
            <w:r w:rsidRPr="001E6DFD">
              <w:rPr>
                <w:sz w:val="16"/>
                <w:szCs w:val="16"/>
              </w:rPr>
              <w:t>109</w:t>
            </w:r>
          </w:p>
        </w:tc>
        <w:tc>
          <w:tcPr>
            <w:tcW w:w="1175" w:type="dxa"/>
            <w:tcBorders>
              <w:top w:val="nil"/>
              <w:left w:val="nil"/>
              <w:bottom w:val="nil"/>
              <w:right w:val="nil"/>
            </w:tcBorders>
            <w:shd w:val="clear" w:color="auto" w:fill="auto"/>
            <w:noWrap/>
            <w:vAlign w:val="center"/>
            <w:hideMark/>
          </w:tcPr>
          <w:p w14:paraId="6AF62251" w14:textId="77777777" w:rsidR="00BA5EA9" w:rsidRPr="001E6DFD" w:rsidRDefault="00BA5EA9" w:rsidP="0097226C">
            <w:pPr>
              <w:keepNext/>
              <w:keepLines/>
              <w:jc w:val="center"/>
              <w:rPr>
                <w:sz w:val="16"/>
                <w:szCs w:val="16"/>
              </w:rPr>
            </w:pPr>
            <w:r w:rsidRPr="001E6DFD">
              <w:rPr>
                <w:sz w:val="16"/>
                <w:szCs w:val="16"/>
              </w:rPr>
              <w:t>93</w:t>
            </w:r>
          </w:p>
        </w:tc>
      </w:tr>
      <w:tr w:rsidR="00BA5EA9" w:rsidRPr="001E6DFD" w14:paraId="3D2EA566" w14:textId="77777777" w:rsidTr="00A15986">
        <w:trPr>
          <w:jc w:val="center"/>
        </w:trPr>
        <w:tc>
          <w:tcPr>
            <w:tcW w:w="483" w:type="dxa"/>
            <w:tcBorders>
              <w:top w:val="nil"/>
              <w:left w:val="nil"/>
              <w:bottom w:val="nil"/>
              <w:right w:val="nil"/>
            </w:tcBorders>
            <w:shd w:val="clear" w:color="000000" w:fill="C5D9F1"/>
            <w:noWrap/>
            <w:vAlign w:val="bottom"/>
            <w:hideMark/>
          </w:tcPr>
          <w:p w14:paraId="3CB133CF" w14:textId="21A81BB6" w:rsidR="00BA5EA9" w:rsidRPr="001E6DFD" w:rsidRDefault="00BA5EA9" w:rsidP="0097226C">
            <w:pPr>
              <w:keepNext/>
              <w:keepLines/>
              <w:rPr>
                <w:sz w:val="16"/>
                <w:szCs w:val="16"/>
              </w:rPr>
            </w:pPr>
          </w:p>
        </w:tc>
        <w:tc>
          <w:tcPr>
            <w:tcW w:w="4239" w:type="dxa"/>
            <w:tcBorders>
              <w:top w:val="nil"/>
              <w:left w:val="nil"/>
              <w:bottom w:val="nil"/>
              <w:right w:val="nil"/>
            </w:tcBorders>
            <w:shd w:val="clear" w:color="000000" w:fill="C5D9F1"/>
            <w:noWrap/>
            <w:vAlign w:val="bottom"/>
            <w:hideMark/>
          </w:tcPr>
          <w:p w14:paraId="751D5600" w14:textId="77777777" w:rsidR="00BA5EA9" w:rsidRPr="001E6DFD" w:rsidRDefault="00BA5EA9" w:rsidP="0097226C">
            <w:pPr>
              <w:keepNext/>
              <w:keepLines/>
              <w:jc w:val="right"/>
              <w:rPr>
                <w:b/>
                <w:bCs/>
                <w:sz w:val="16"/>
                <w:szCs w:val="16"/>
              </w:rPr>
            </w:pPr>
            <w:r w:rsidRPr="001E6DFD">
              <w:rPr>
                <w:b/>
                <w:bCs/>
                <w:sz w:val="16"/>
                <w:szCs w:val="16"/>
              </w:rPr>
              <w:t>Total</w:t>
            </w:r>
          </w:p>
        </w:tc>
        <w:tc>
          <w:tcPr>
            <w:tcW w:w="1168" w:type="dxa"/>
            <w:tcBorders>
              <w:top w:val="nil"/>
              <w:left w:val="nil"/>
              <w:bottom w:val="nil"/>
              <w:right w:val="nil"/>
            </w:tcBorders>
            <w:shd w:val="clear" w:color="000000" w:fill="C5D9F1"/>
            <w:noWrap/>
            <w:vAlign w:val="center"/>
            <w:hideMark/>
          </w:tcPr>
          <w:p w14:paraId="01793AFC" w14:textId="77777777" w:rsidR="00BA5EA9" w:rsidRPr="001E6DFD" w:rsidRDefault="00BA5EA9" w:rsidP="0097226C">
            <w:pPr>
              <w:keepNext/>
              <w:keepLines/>
              <w:jc w:val="center"/>
              <w:rPr>
                <w:sz w:val="16"/>
                <w:szCs w:val="16"/>
              </w:rPr>
            </w:pPr>
            <w:r w:rsidRPr="001E6DFD">
              <w:rPr>
                <w:sz w:val="16"/>
                <w:szCs w:val="16"/>
              </w:rPr>
              <w:t>4</w:t>
            </w:r>
            <w:r w:rsidR="00B649F5" w:rsidRPr="001E6DFD">
              <w:rPr>
                <w:sz w:val="16"/>
                <w:szCs w:val="16"/>
              </w:rPr>
              <w:t> </w:t>
            </w:r>
            <w:r w:rsidRPr="001E6DFD">
              <w:rPr>
                <w:sz w:val="16"/>
                <w:szCs w:val="16"/>
              </w:rPr>
              <w:t>854</w:t>
            </w:r>
          </w:p>
        </w:tc>
        <w:tc>
          <w:tcPr>
            <w:tcW w:w="1168" w:type="dxa"/>
            <w:tcBorders>
              <w:top w:val="nil"/>
              <w:left w:val="nil"/>
              <w:bottom w:val="nil"/>
              <w:right w:val="nil"/>
            </w:tcBorders>
            <w:shd w:val="clear" w:color="000000" w:fill="C5D9F1"/>
            <w:noWrap/>
            <w:vAlign w:val="center"/>
            <w:hideMark/>
          </w:tcPr>
          <w:p w14:paraId="22D88820" w14:textId="77777777" w:rsidR="00BA5EA9" w:rsidRPr="001E6DFD" w:rsidRDefault="00BA5EA9" w:rsidP="0097226C">
            <w:pPr>
              <w:keepNext/>
              <w:keepLines/>
              <w:jc w:val="center"/>
              <w:rPr>
                <w:sz w:val="16"/>
                <w:szCs w:val="16"/>
              </w:rPr>
            </w:pPr>
            <w:r w:rsidRPr="001E6DFD">
              <w:rPr>
                <w:sz w:val="16"/>
                <w:szCs w:val="16"/>
              </w:rPr>
              <w:t>5</w:t>
            </w:r>
            <w:r w:rsidR="00B649F5" w:rsidRPr="001E6DFD">
              <w:rPr>
                <w:sz w:val="16"/>
                <w:szCs w:val="16"/>
              </w:rPr>
              <w:t> </w:t>
            </w:r>
            <w:r w:rsidRPr="001E6DFD">
              <w:rPr>
                <w:sz w:val="16"/>
                <w:szCs w:val="16"/>
              </w:rPr>
              <w:t>047</w:t>
            </w:r>
          </w:p>
        </w:tc>
        <w:tc>
          <w:tcPr>
            <w:tcW w:w="1175" w:type="dxa"/>
            <w:tcBorders>
              <w:top w:val="nil"/>
              <w:left w:val="nil"/>
              <w:bottom w:val="nil"/>
              <w:right w:val="nil"/>
            </w:tcBorders>
            <w:shd w:val="clear" w:color="000000" w:fill="C5D9F1"/>
            <w:noWrap/>
            <w:vAlign w:val="center"/>
            <w:hideMark/>
          </w:tcPr>
          <w:p w14:paraId="67EAFE67" w14:textId="77777777" w:rsidR="00BA5EA9" w:rsidRPr="001E6DFD" w:rsidRDefault="00BA5EA9" w:rsidP="0097226C">
            <w:pPr>
              <w:keepNext/>
              <w:keepLines/>
              <w:jc w:val="center"/>
              <w:rPr>
                <w:sz w:val="16"/>
                <w:szCs w:val="16"/>
              </w:rPr>
            </w:pPr>
            <w:r w:rsidRPr="001E6DFD">
              <w:rPr>
                <w:sz w:val="16"/>
                <w:szCs w:val="16"/>
              </w:rPr>
              <w:t>2</w:t>
            </w:r>
            <w:r w:rsidR="00B649F5" w:rsidRPr="001E6DFD">
              <w:rPr>
                <w:sz w:val="16"/>
                <w:szCs w:val="16"/>
              </w:rPr>
              <w:t> </w:t>
            </w:r>
            <w:r w:rsidRPr="001E6DFD">
              <w:rPr>
                <w:sz w:val="16"/>
                <w:szCs w:val="16"/>
              </w:rPr>
              <w:t>293</w:t>
            </w:r>
          </w:p>
        </w:tc>
      </w:tr>
      <w:tr w:rsidR="00AC7D97" w:rsidRPr="001E6DFD" w14:paraId="35AD6C52" w14:textId="77777777" w:rsidTr="00A15986">
        <w:trPr>
          <w:jc w:val="center"/>
        </w:trPr>
        <w:tc>
          <w:tcPr>
            <w:tcW w:w="8233" w:type="dxa"/>
            <w:gridSpan w:val="5"/>
            <w:tcBorders>
              <w:top w:val="nil"/>
              <w:left w:val="nil"/>
              <w:bottom w:val="nil"/>
              <w:right w:val="nil"/>
            </w:tcBorders>
            <w:shd w:val="clear" w:color="auto" w:fill="auto"/>
            <w:noWrap/>
            <w:vAlign w:val="center"/>
            <w:hideMark/>
          </w:tcPr>
          <w:p w14:paraId="418C1278" w14:textId="3B438C46" w:rsidR="00AC7D97" w:rsidRPr="001E6DFD" w:rsidRDefault="00AC7D97" w:rsidP="0097226C">
            <w:pPr>
              <w:keepNext/>
              <w:keepLines/>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592160C0" w14:textId="77777777" w:rsidR="001F64B1" w:rsidRPr="001E6DFD" w:rsidRDefault="001F64B1" w:rsidP="0097226C">
      <w:pPr>
        <w:keepNext/>
        <w:keepLines/>
        <w:rPr>
          <w:bCs/>
          <w:sz w:val="20"/>
        </w:rPr>
      </w:pPr>
    </w:p>
    <w:p w14:paraId="6287CB5F" w14:textId="77777777" w:rsidR="00FA22F6" w:rsidRPr="001E6DFD" w:rsidRDefault="00EC2DD2" w:rsidP="0097226C">
      <w:pPr>
        <w:pStyle w:val="NormalWeb"/>
        <w:keepNext/>
        <w:keepLines/>
        <w:spacing w:before="0" w:beforeAutospacing="0" w:after="0" w:afterAutospacing="0"/>
        <w:jc w:val="center"/>
      </w:pPr>
      <w:r w:rsidRPr="001E6DFD">
        <w:t>Budget et dépenses effectives (dépenses de personnel et autres dépenses)</w:t>
      </w:r>
    </w:p>
    <w:p w14:paraId="68E1B3A4" w14:textId="641A5DA7" w:rsidR="001F64B1" w:rsidRPr="001E6DFD" w:rsidRDefault="00EC2DD2"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35B594CA"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4F3011CB" w14:textId="77777777" w:rsidTr="00A15986">
        <w:trPr>
          <w:jc w:val="center"/>
        </w:trPr>
        <w:tc>
          <w:tcPr>
            <w:tcW w:w="2470" w:type="dxa"/>
            <w:tcBorders>
              <w:top w:val="nil"/>
              <w:left w:val="nil"/>
              <w:bottom w:val="nil"/>
              <w:right w:val="nil"/>
            </w:tcBorders>
            <w:shd w:val="clear" w:color="000000" w:fill="C5D9F1"/>
            <w:noWrap/>
            <w:vAlign w:val="center"/>
            <w:hideMark/>
          </w:tcPr>
          <w:p w14:paraId="1219C6AD" w14:textId="467C17C1"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01E7A4A8" w14:textId="1EF587BB" w:rsidR="00BA5EA9" w:rsidRPr="001E6DFD" w:rsidRDefault="00EC2DD2" w:rsidP="0097226C">
            <w:pPr>
              <w:jc w:val="center"/>
              <w:rPr>
                <w:b/>
                <w:bCs/>
                <w:sz w:val="16"/>
                <w:szCs w:val="16"/>
              </w:rPr>
            </w:pPr>
            <w:r w:rsidRPr="001E6DFD">
              <w:rPr>
                <w:b/>
                <w:bCs/>
                <w:sz w:val="16"/>
                <w:szCs w:val="16"/>
              </w:rPr>
              <w:t>Budget</w:t>
            </w:r>
            <w:r w:rsidR="00B4191E">
              <w:rPr>
                <w:b/>
                <w:bCs/>
                <w:sz w:val="16"/>
                <w:szCs w:val="16"/>
              </w:rPr>
              <w:t> </w:t>
            </w:r>
            <w:r w:rsidR="00AC7D97" w:rsidRPr="001E6DFD">
              <w:rPr>
                <w:b/>
                <w:bCs/>
                <w:sz w:val="16"/>
                <w:szCs w:val="16"/>
              </w:rPr>
              <w:t>2016</w:t>
            </w:r>
            <w:r w:rsidR="006A41CF" w:rsidRPr="001E6DFD">
              <w:rPr>
                <w:b/>
                <w:bCs/>
                <w:sz w:val="16"/>
                <w:szCs w:val="16"/>
              </w:rPr>
              <w:noBreakHyphen/>
            </w:r>
            <w:r w:rsidR="00AC7D97" w:rsidRPr="001E6DFD">
              <w:rPr>
                <w:b/>
                <w:bCs/>
                <w:sz w:val="16"/>
                <w:szCs w:val="16"/>
              </w:rPr>
              <w:t>2017</w:t>
            </w:r>
            <w:r w:rsidRPr="001E6DFD">
              <w:rPr>
                <w:b/>
                <w:bCs/>
                <w:sz w:val="16"/>
                <w:szCs w:val="16"/>
              </w:rPr>
              <w:t xml:space="preserve"> approuvé</w:t>
            </w:r>
          </w:p>
        </w:tc>
        <w:tc>
          <w:tcPr>
            <w:tcW w:w="1438" w:type="dxa"/>
            <w:tcBorders>
              <w:top w:val="nil"/>
              <w:left w:val="nil"/>
              <w:bottom w:val="nil"/>
              <w:right w:val="nil"/>
            </w:tcBorders>
            <w:shd w:val="clear" w:color="000000" w:fill="C5D9F1"/>
            <w:vAlign w:val="center"/>
            <w:hideMark/>
          </w:tcPr>
          <w:p w14:paraId="2EA47149" w14:textId="54CC33E8" w:rsidR="00BA5EA9" w:rsidRPr="001E6DFD" w:rsidRDefault="00EC2DD2"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759AD675" w14:textId="6EF551A1" w:rsidR="00BA5EA9" w:rsidRPr="001E6DFD" w:rsidRDefault="00EC2DD2"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50224EA6" w14:textId="405178BC" w:rsidR="00BA5EA9" w:rsidRPr="001E6DFD" w:rsidRDefault="00EC2DD2"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26152BB1" w14:textId="77777777" w:rsidTr="00A15986">
        <w:trPr>
          <w:jc w:val="center"/>
        </w:trPr>
        <w:tc>
          <w:tcPr>
            <w:tcW w:w="2470" w:type="dxa"/>
            <w:tcBorders>
              <w:top w:val="nil"/>
              <w:left w:val="nil"/>
              <w:bottom w:val="nil"/>
              <w:right w:val="nil"/>
            </w:tcBorders>
            <w:shd w:val="clear" w:color="auto" w:fill="auto"/>
            <w:noWrap/>
            <w:vAlign w:val="center"/>
            <w:hideMark/>
          </w:tcPr>
          <w:p w14:paraId="02276A46"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3D24A485" w14:textId="77777777" w:rsidR="00BA5EA9" w:rsidRPr="001E6DFD" w:rsidRDefault="00BA5EA9" w:rsidP="0097226C">
            <w:pPr>
              <w:jc w:val="center"/>
              <w:rPr>
                <w:sz w:val="16"/>
                <w:szCs w:val="16"/>
              </w:rPr>
            </w:pPr>
            <w:r w:rsidRPr="001E6DFD">
              <w:rPr>
                <w:sz w:val="16"/>
                <w:szCs w:val="16"/>
              </w:rPr>
              <w:t>4</w:t>
            </w:r>
            <w:r w:rsidR="00B649F5" w:rsidRPr="001E6DFD">
              <w:rPr>
                <w:sz w:val="16"/>
                <w:szCs w:val="16"/>
              </w:rPr>
              <w:t> </w:t>
            </w:r>
            <w:r w:rsidRPr="001E6DFD">
              <w:rPr>
                <w:sz w:val="16"/>
                <w:szCs w:val="16"/>
              </w:rPr>
              <w:t xml:space="preserve">089 </w:t>
            </w:r>
          </w:p>
        </w:tc>
        <w:tc>
          <w:tcPr>
            <w:tcW w:w="1438" w:type="dxa"/>
            <w:tcBorders>
              <w:top w:val="nil"/>
              <w:left w:val="nil"/>
              <w:bottom w:val="nil"/>
              <w:right w:val="nil"/>
            </w:tcBorders>
            <w:shd w:val="clear" w:color="auto" w:fill="auto"/>
            <w:vAlign w:val="center"/>
            <w:hideMark/>
          </w:tcPr>
          <w:p w14:paraId="41C858C9" w14:textId="77777777" w:rsidR="00BA5EA9" w:rsidRPr="001E6DFD" w:rsidRDefault="00BA5EA9" w:rsidP="0097226C">
            <w:pPr>
              <w:jc w:val="center"/>
              <w:rPr>
                <w:sz w:val="16"/>
                <w:szCs w:val="16"/>
              </w:rPr>
            </w:pPr>
            <w:r w:rsidRPr="001E6DFD">
              <w:rPr>
                <w:sz w:val="16"/>
                <w:szCs w:val="16"/>
              </w:rPr>
              <w:t>3</w:t>
            </w:r>
            <w:r w:rsidR="00B649F5" w:rsidRPr="001E6DFD">
              <w:rPr>
                <w:sz w:val="16"/>
                <w:szCs w:val="16"/>
              </w:rPr>
              <w:t> </w:t>
            </w:r>
            <w:r w:rsidRPr="001E6DFD">
              <w:rPr>
                <w:sz w:val="16"/>
                <w:szCs w:val="16"/>
              </w:rPr>
              <w:t xml:space="preserve">752 </w:t>
            </w:r>
          </w:p>
        </w:tc>
        <w:tc>
          <w:tcPr>
            <w:tcW w:w="1438" w:type="dxa"/>
            <w:tcBorders>
              <w:top w:val="nil"/>
              <w:left w:val="nil"/>
              <w:bottom w:val="nil"/>
              <w:right w:val="nil"/>
            </w:tcBorders>
            <w:shd w:val="clear" w:color="auto" w:fill="auto"/>
            <w:vAlign w:val="center"/>
            <w:hideMark/>
          </w:tcPr>
          <w:p w14:paraId="3E02F907" w14:textId="77777777" w:rsidR="00BA5EA9" w:rsidRPr="001E6DFD" w:rsidRDefault="00BA5EA9" w:rsidP="0097226C">
            <w:pPr>
              <w:jc w:val="center"/>
              <w:rPr>
                <w:sz w:val="16"/>
                <w:szCs w:val="16"/>
              </w:rPr>
            </w:pPr>
            <w:r w:rsidRPr="001E6DFD">
              <w:rPr>
                <w:sz w:val="16"/>
                <w:szCs w:val="16"/>
              </w:rPr>
              <w:t>1</w:t>
            </w:r>
            <w:r w:rsidR="00B649F5" w:rsidRPr="001E6DFD">
              <w:rPr>
                <w:sz w:val="16"/>
                <w:szCs w:val="16"/>
              </w:rPr>
              <w:t> </w:t>
            </w:r>
            <w:r w:rsidRPr="001E6DFD">
              <w:rPr>
                <w:sz w:val="16"/>
                <w:szCs w:val="16"/>
              </w:rPr>
              <w:t xml:space="preserve">863 </w:t>
            </w:r>
          </w:p>
        </w:tc>
        <w:tc>
          <w:tcPr>
            <w:tcW w:w="1438" w:type="dxa"/>
            <w:tcBorders>
              <w:top w:val="nil"/>
              <w:left w:val="nil"/>
              <w:bottom w:val="nil"/>
              <w:right w:val="nil"/>
            </w:tcBorders>
            <w:shd w:val="clear" w:color="auto" w:fill="auto"/>
            <w:vAlign w:val="center"/>
            <w:hideMark/>
          </w:tcPr>
          <w:p w14:paraId="13184B80" w14:textId="77777777" w:rsidR="00BA5EA9" w:rsidRPr="001E6DFD" w:rsidRDefault="00BA5EA9" w:rsidP="0097226C">
            <w:pPr>
              <w:jc w:val="center"/>
              <w:rPr>
                <w:sz w:val="16"/>
                <w:szCs w:val="16"/>
              </w:rPr>
            </w:pPr>
            <w:r w:rsidRPr="001E6DFD">
              <w:rPr>
                <w:sz w:val="16"/>
                <w:szCs w:val="16"/>
              </w:rPr>
              <w:t>50%</w:t>
            </w:r>
          </w:p>
        </w:tc>
      </w:tr>
      <w:tr w:rsidR="00BA5EA9" w:rsidRPr="001E6DFD" w14:paraId="176E20CA" w14:textId="77777777" w:rsidTr="00A15986">
        <w:trPr>
          <w:jc w:val="center"/>
        </w:trPr>
        <w:tc>
          <w:tcPr>
            <w:tcW w:w="2470" w:type="dxa"/>
            <w:tcBorders>
              <w:top w:val="nil"/>
              <w:left w:val="nil"/>
              <w:bottom w:val="nil"/>
              <w:right w:val="nil"/>
            </w:tcBorders>
            <w:shd w:val="clear" w:color="auto" w:fill="auto"/>
            <w:noWrap/>
            <w:vAlign w:val="center"/>
            <w:hideMark/>
          </w:tcPr>
          <w:p w14:paraId="1539F600"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6B9F2986" w14:textId="77777777" w:rsidR="00BA5EA9" w:rsidRPr="001E6DFD" w:rsidRDefault="00BA5EA9" w:rsidP="0097226C">
            <w:pPr>
              <w:jc w:val="center"/>
              <w:rPr>
                <w:sz w:val="16"/>
                <w:szCs w:val="16"/>
              </w:rPr>
            </w:pPr>
            <w:r w:rsidRPr="001E6DFD">
              <w:rPr>
                <w:sz w:val="16"/>
                <w:szCs w:val="16"/>
              </w:rPr>
              <w:t xml:space="preserve">765 </w:t>
            </w:r>
          </w:p>
        </w:tc>
        <w:tc>
          <w:tcPr>
            <w:tcW w:w="1438" w:type="dxa"/>
            <w:tcBorders>
              <w:top w:val="nil"/>
              <w:left w:val="nil"/>
              <w:bottom w:val="nil"/>
              <w:right w:val="nil"/>
            </w:tcBorders>
            <w:shd w:val="clear" w:color="auto" w:fill="auto"/>
            <w:vAlign w:val="center"/>
            <w:hideMark/>
          </w:tcPr>
          <w:p w14:paraId="5408FD7A" w14:textId="77777777" w:rsidR="00BA5EA9" w:rsidRPr="001E6DFD" w:rsidRDefault="00BA5EA9" w:rsidP="0097226C">
            <w:pPr>
              <w:jc w:val="center"/>
              <w:rPr>
                <w:sz w:val="16"/>
                <w:szCs w:val="16"/>
              </w:rPr>
            </w:pPr>
            <w:r w:rsidRPr="001E6DFD">
              <w:rPr>
                <w:sz w:val="16"/>
                <w:szCs w:val="16"/>
              </w:rPr>
              <w:t>1</w:t>
            </w:r>
            <w:r w:rsidR="00B649F5" w:rsidRPr="001E6DFD">
              <w:rPr>
                <w:sz w:val="16"/>
                <w:szCs w:val="16"/>
              </w:rPr>
              <w:t> </w:t>
            </w:r>
            <w:r w:rsidRPr="001E6DFD">
              <w:rPr>
                <w:sz w:val="16"/>
                <w:szCs w:val="16"/>
              </w:rPr>
              <w:t xml:space="preserve">295 </w:t>
            </w:r>
          </w:p>
        </w:tc>
        <w:tc>
          <w:tcPr>
            <w:tcW w:w="1438" w:type="dxa"/>
            <w:tcBorders>
              <w:top w:val="nil"/>
              <w:left w:val="nil"/>
              <w:bottom w:val="nil"/>
              <w:right w:val="nil"/>
            </w:tcBorders>
            <w:shd w:val="clear" w:color="auto" w:fill="auto"/>
            <w:vAlign w:val="center"/>
            <w:hideMark/>
          </w:tcPr>
          <w:p w14:paraId="77F11EA3" w14:textId="77777777" w:rsidR="00BA5EA9" w:rsidRPr="001E6DFD" w:rsidRDefault="00BA5EA9" w:rsidP="0097226C">
            <w:pPr>
              <w:jc w:val="center"/>
              <w:rPr>
                <w:sz w:val="16"/>
                <w:szCs w:val="16"/>
              </w:rPr>
            </w:pPr>
            <w:r w:rsidRPr="001E6DFD">
              <w:rPr>
                <w:sz w:val="16"/>
                <w:szCs w:val="16"/>
              </w:rPr>
              <w:t xml:space="preserve">431 </w:t>
            </w:r>
          </w:p>
        </w:tc>
        <w:tc>
          <w:tcPr>
            <w:tcW w:w="1438" w:type="dxa"/>
            <w:tcBorders>
              <w:top w:val="nil"/>
              <w:left w:val="nil"/>
              <w:bottom w:val="nil"/>
              <w:right w:val="nil"/>
            </w:tcBorders>
            <w:shd w:val="clear" w:color="auto" w:fill="auto"/>
            <w:vAlign w:val="center"/>
            <w:hideMark/>
          </w:tcPr>
          <w:p w14:paraId="783153F0" w14:textId="77777777" w:rsidR="00BA5EA9" w:rsidRPr="001E6DFD" w:rsidRDefault="00BA5EA9" w:rsidP="0097226C">
            <w:pPr>
              <w:jc w:val="center"/>
              <w:rPr>
                <w:sz w:val="16"/>
                <w:szCs w:val="16"/>
              </w:rPr>
            </w:pPr>
            <w:r w:rsidRPr="001E6DFD">
              <w:rPr>
                <w:sz w:val="16"/>
                <w:szCs w:val="16"/>
              </w:rPr>
              <w:t>33%</w:t>
            </w:r>
          </w:p>
        </w:tc>
      </w:tr>
      <w:tr w:rsidR="00BA5EA9" w:rsidRPr="001E6DFD" w14:paraId="08169229" w14:textId="77777777" w:rsidTr="00A15986">
        <w:trPr>
          <w:jc w:val="center"/>
        </w:trPr>
        <w:tc>
          <w:tcPr>
            <w:tcW w:w="2470" w:type="dxa"/>
            <w:tcBorders>
              <w:top w:val="nil"/>
              <w:left w:val="nil"/>
              <w:bottom w:val="nil"/>
              <w:right w:val="nil"/>
            </w:tcBorders>
            <w:shd w:val="clear" w:color="000000" w:fill="C5D9F1"/>
            <w:noWrap/>
            <w:vAlign w:val="center"/>
            <w:hideMark/>
          </w:tcPr>
          <w:p w14:paraId="76ECAFEF" w14:textId="3DF6F75A" w:rsidR="00BA5EA9" w:rsidRPr="001E6DFD" w:rsidRDefault="00BA5EA9" w:rsidP="0097226C">
            <w:pPr>
              <w:jc w:val="right"/>
              <w:rPr>
                <w:b/>
                <w:bCs/>
                <w:sz w:val="16"/>
                <w:szCs w:val="16"/>
              </w:rPr>
            </w:pPr>
            <w:r w:rsidRPr="001E6DFD">
              <w:rPr>
                <w:b/>
                <w:bCs/>
                <w:sz w:val="16"/>
                <w:szCs w:val="16"/>
              </w:rPr>
              <w:t xml:space="preserve">Total </w:t>
            </w:r>
          </w:p>
        </w:tc>
        <w:tc>
          <w:tcPr>
            <w:tcW w:w="1438" w:type="dxa"/>
            <w:tcBorders>
              <w:top w:val="nil"/>
              <w:left w:val="nil"/>
              <w:bottom w:val="nil"/>
              <w:right w:val="nil"/>
            </w:tcBorders>
            <w:shd w:val="clear" w:color="000000" w:fill="C5D9F1"/>
            <w:vAlign w:val="center"/>
            <w:hideMark/>
          </w:tcPr>
          <w:p w14:paraId="712659C2" w14:textId="77777777" w:rsidR="00BA5EA9" w:rsidRPr="001E6DFD" w:rsidRDefault="00BA5EA9" w:rsidP="0097226C">
            <w:pPr>
              <w:jc w:val="center"/>
              <w:rPr>
                <w:b/>
                <w:bCs/>
                <w:sz w:val="16"/>
                <w:szCs w:val="16"/>
              </w:rPr>
            </w:pPr>
            <w:r w:rsidRPr="001E6DFD">
              <w:rPr>
                <w:b/>
                <w:bCs/>
                <w:sz w:val="16"/>
                <w:szCs w:val="16"/>
              </w:rPr>
              <w:t>4</w:t>
            </w:r>
            <w:r w:rsidR="00B649F5" w:rsidRPr="001E6DFD">
              <w:rPr>
                <w:b/>
                <w:bCs/>
                <w:sz w:val="16"/>
                <w:szCs w:val="16"/>
              </w:rPr>
              <w:t> </w:t>
            </w:r>
            <w:r w:rsidRPr="001E6DFD">
              <w:rPr>
                <w:b/>
                <w:bCs/>
                <w:sz w:val="16"/>
                <w:szCs w:val="16"/>
              </w:rPr>
              <w:t xml:space="preserve">854 </w:t>
            </w:r>
          </w:p>
        </w:tc>
        <w:tc>
          <w:tcPr>
            <w:tcW w:w="1438" w:type="dxa"/>
            <w:tcBorders>
              <w:top w:val="nil"/>
              <w:left w:val="nil"/>
              <w:bottom w:val="nil"/>
              <w:right w:val="nil"/>
            </w:tcBorders>
            <w:shd w:val="clear" w:color="000000" w:fill="C5D9F1"/>
            <w:vAlign w:val="center"/>
            <w:hideMark/>
          </w:tcPr>
          <w:p w14:paraId="674E6415" w14:textId="77777777" w:rsidR="00BA5EA9" w:rsidRPr="001E6DFD" w:rsidRDefault="00BA5EA9" w:rsidP="0097226C">
            <w:pPr>
              <w:jc w:val="center"/>
              <w:rPr>
                <w:b/>
                <w:bCs/>
                <w:sz w:val="16"/>
                <w:szCs w:val="16"/>
              </w:rPr>
            </w:pPr>
            <w:r w:rsidRPr="001E6DFD">
              <w:rPr>
                <w:b/>
                <w:bCs/>
                <w:sz w:val="16"/>
                <w:szCs w:val="16"/>
              </w:rPr>
              <w:t>5</w:t>
            </w:r>
            <w:r w:rsidR="00B649F5" w:rsidRPr="001E6DFD">
              <w:rPr>
                <w:b/>
                <w:bCs/>
                <w:sz w:val="16"/>
                <w:szCs w:val="16"/>
              </w:rPr>
              <w:t> </w:t>
            </w:r>
            <w:r w:rsidRPr="001E6DFD">
              <w:rPr>
                <w:b/>
                <w:bCs/>
                <w:sz w:val="16"/>
                <w:szCs w:val="16"/>
              </w:rPr>
              <w:t xml:space="preserve">047 </w:t>
            </w:r>
          </w:p>
        </w:tc>
        <w:tc>
          <w:tcPr>
            <w:tcW w:w="1438" w:type="dxa"/>
            <w:tcBorders>
              <w:top w:val="nil"/>
              <w:left w:val="nil"/>
              <w:bottom w:val="nil"/>
              <w:right w:val="nil"/>
            </w:tcBorders>
            <w:shd w:val="clear" w:color="000000" w:fill="C5D9F1"/>
            <w:vAlign w:val="center"/>
            <w:hideMark/>
          </w:tcPr>
          <w:p w14:paraId="4562562A" w14:textId="77777777" w:rsidR="00BA5EA9" w:rsidRPr="001E6DFD" w:rsidRDefault="00BA5EA9" w:rsidP="0097226C">
            <w:pPr>
              <w:jc w:val="center"/>
              <w:rPr>
                <w:b/>
                <w:bCs/>
                <w:sz w:val="16"/>
                <w:szCs w:val="16"/>
              </w:rPr>
            </w:pPr>
            <w:r w:rsidRPr="001E6DFD">
              <w:rPr>
                <w:b/>
                <w:bCs/>
                <w:sz w:val="16"/>
                <w:szCs w:val="16"/>
              </w:rPr>
              <w:t>2</w:t>
            </w:r>
            <w:r w:rsidR="00B649F5" w:rsidRPr="001E6DFD">
              <w:rPr>
                <w:b/>
                <w:bCs/>
                <w:sz w:val="16"/>
                <w:szCs w:val="16"/>
              </w:rPr>
              <w:t> </w:t>
            </w:r>
            <w:r w:rsidRPr="001E6DFD">
              <w:rPr>
                <w:b/>
                <w:bCs/>
                <w:sz w:val="16"/>
                <w:szCs w:val="16"/>
              </w:rPr>
              <w:t xml:space="preserve">293 </w:t>
            </w:r>
          </w:p>
        </w:tc>
        <w:tc>
          <w:tcPr>
            <w:tcW w:w="1438" w:type="dxa"/>
            <w:tcBorders>
              <w:top w:val="nil"/>
              <w:left w:val="nil"/>
              <w:bottom w:val="nil"/>
              <w:right w:val="nil"/>
            </w:tcBorders>
            <w:shd w:val="clear" w:color="000000" w:fill="C5D9F1"/>
            <w:vAlign w:val="center"/>
            <w:hideMark/>
          </w:tcPr>
          <w:p w14:paraId="68906F9C" w14:textId="77777777" w:rsidR="00BA5EA9" w:rsidRPr="001E6DFD" w:rsidRDefault="00BA5EA9" w:rsidP="0097226C">
            <w:pPr>
              <w:jc w:val="center"/>
              <w:rPr>
                <w:b/>
                <w:bCs/>
                <w:sz w:val="16"/>
                <w:szCs w:val="16"/>
              </w:rPr>
            </w:pPr>
            <w:r w:rsidRPr="001E6DFD">
              <w:rPr>
                <w:b/>
                <w:bCs/>
                <w:sz w:val="16"/>
                <w:szCs w:val="16"/>
              </w:rPr>
              <w:t>45%</w:t>
            </w:r>
          </w:p>
        </w:tc>
      </w:tr>
      <w:tr w:rsidR="00BA5EA9" w:rsidRPr="001E6DFD" w14:paraId="2ECE04F4" w14:textId="77777777" w:rsidTr="00A15986">
        <w:trPr>
          <w:jc w:val="center"/>
        </w:trPr>
        <w:tc>
          <w:tcPr>
            <w:tcW w:w="8222" w:type="dxa"/>
            <w:gridSpan w:val="5"/>
            <w:tcBorders>
              <w:top w:val="nil"/>
              <w:left w:val="nil"/>
              <w:bottom w:val="nil"/>
              <w:right w:val="nil"/>
            </w:tcBorders>
            <w:shd w:val="clear" w:color="auto" w:fill="auto"/>
            <w:noWrap/>
            <w:vAlign w:val="center"/>
            <w:hideMark/>
          </w:tcPr>
          <w:p w14:paraId="64F1E43E" w14:textId="3DA8D3AC"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30A0C3BB" w14:textId="77777777" w:rsidR="001F64B1" w:rsidRPr="001E6DFD" w:rsidRDefault="001F64B1" w:rsidP="0097226C">
      <w:pPr>
        <w:jc w:val="both"/>
        <w:rPr>
          <w:sz w:val="20"/>
        </w:rPr>
      </w:pPr>
    </w:p>
    <w:p w14:paraId="2281B487" w14:textId="261D7BAD" w:rsidR="001F64B1" w:rsidRPr="001E6DFD" w:rsidRDefault="009B328F"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64F75F7B" w14:textId="77777777" w:rsidR="001F64B1" w:rsidRPr="001E6DFD" w:rsidRDefault="001F64B1" w:rsidP="0097226C">
      <w:pPr>
        <w:jc w:val="both"/>
        <w:rPr>
          <w:sz w:val="20"/>
        </w:rPr>
      </w:pPr>
    </w:p>
    <w:p w14:paraId="0116D39E" w14:textId="77777777" w:rsidR="001F64B1" w:rsidRPr="001E6DFD" w:rsidRDefault="001F64B1" w:rsidP="0097226C">
      <w:pPr>
        <w:jc w:val="both"/>
        <w:rPr>
          <w:sz w:val="20"/>
        </w:rPr>
      </w:pPr>
    </w:p>
    <w:p w14:paraId="63C11762" w14:textId="530D7CB8" w:rsidR="001F64B1" w:rsidRPr="001E6DFD" w:rsidRDefault="00BA5EA9" w:rsidP="0097226C">
      <w:pPr>
        <w:jc w:val="both"/>
        <w:rPr>
          <w:sz w:val="20"/>
          <w:u w:val="single"/>
        </w:rPr>
      </w:pPr>
      <w:r w:rsidRPr="001E6DFD">
        <w:rPr>
          <w:sz w:val="20"/>
        </w:rPr>
        <w:t>A.</w:t>
      </w:r>
      <w:r w:rsidRPr="001E6DFD">
        <w:rPr>
          <w:sz w:val="20"/>
        </w:rPr>
        <w:tab/>
      </w:r>
      <w:r w:rsidR="00F3341E" w:rsidRPr="001E6DFD">
        <w:rPr>
          <w:sz w:val="20"/>
          <w:u w:val="single"/>
        </w:rPr>
        <w:t>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 après virements</w:t>
      </w:r>
    </w:p>
    <w:p w14:paraId="01AAF348" w14:textId="77777777" w:rsidR="001F64B1" w:rsidRPr="001E6DFD" w:rsidRDefault="001F64B1" w:rsidP="0097226C">
      <w:pPr>
        <w:jc w:val="both"/>
        <w:rPr>
          <w:sz w:val="20"/>
        </w:rPr>
      </w:pPr>
    </w:p>
    <w:p w14:paraId="1643C695" w14:textId="2CB8D3F2" w:rsidR="001F64B1" w:rsidRPr="001E6DFD" w:rsidRDefault="00AC53E9" w:rsidP="00D544B8">
      <w:pPr>
        <w:pStyle w:val="ListParagraph"/>
        <w:numPr>
          <w:ilvl w:val="0"/>
          <w:numId w:val="6"/>
        </w:numPr>
        <w:tabs>
          <w:tab w:val="left" w:pos="0"/>
        </w:tabs>
        <w:ind w:left="0" w:firstLine="0"/>
        <w:jc w:val="both"/>
        <w:rPr>
          <w:rFonts w:ascii="Arial" w:hAnsi="Arial" w:cs="Arial"/>
          <w:sz w:val="20"/>
        </w:rPr>
      </w:pPr>
      <w:r w:rsidRPr="001E6DFD">
        <w:rPr>
          <w:rFonts w:ascii="Arial" w:hAnsi="Arial" w:cs="Arial"/>
          <w:sz w:val="20"/>
        </w:rPr>
        <w:t>L</w:t>
      </w:r>
      <w:r w:rsidR="00FA22F6" w:rsidRPr="001E6DFD">
        <w:rPr>
          <w:rFonts w:ascii="Arial" w:hAnsi="Arial" w:cs="Arial"/>
          <w:sz w:val="20"/>
        </w:rPr>
        <w:t>’</w:t>
      </w:r>
      <w:r w:rsidRPr="001E6DFD">
        <w:rPr>
          <w:rFonts w:ascii="Arial" w:hAnsi="Arial" w:cs="Arial"/>
          <w:sz w:val="20"/>
        </w:rPr>
        <w:t xml:space="preserve">augmentation des ressources </w:t>
      </w:r>
      <w:r w:rsidR="00B04CD4" w:rsidRPr="001E6DFD">
        <w:rPr>
          <w:rFonts w:ascii="Arial" w:hAnsi="Arial" w:cs="Arial"/>
          <w:sz w:val="20"/>
        </w:rPr>
        <w:t xml:space="preserve">autres que pour le </w:t>
      </w:r>
      <w:r w:rsidRPr="001E6DFD">
        <w:rPr>
          <w:rFonts w:ascii="Arial" w:hAnsi="Arial" w:cs="Arial"/>
          <w:sz w:val="20"/>
        </w:rPr>
        <w:t xml:space="preserve">personnel </w:t>
      </w:r>
      <w:r w:rsidR="00B04CD4" w:rsidRPr="001E6DFD">
        <w:rPr>
          <w:rFonts w:ascii="Arial" w:hAnsi="Arial" w:cs="Arial"/>
          <w:sz w:val="20"/>
        </w:rPr>
        <w:t xml:space="preserve">était due </w:t>
      </w:r>
      <w:r w:rsidR="00371CB6" w:rsidRPr="001E6DFD">
        <w:rPr>
          <w:rFonts w:ascii="Arial" w:hAnsi="Arial" w:cs="Arial"/>
          <w:sz w:val="20"/>
        </w:rPr>
        <w:t xml:space="preserve">au </w:t>
      </w:r>
      <w:r w:rsidRPr="001E6DFD">
        <w:rPr>
          <w:rFonts w:ascii="Arial" w:hAnsi="Arial" w:cs="Arial"/>
          <w:sz w:val="20"/>
        </w:rPr>
        <w:t>transfert de ressources supplémentaires</w:t>
      </w:r>
      <w:r w:rsidR="000C4051" w:rsidRPr="001E6DFD">
        <w:rPr>
          <w:rFonts w:ascii="Arial" w:hAnsi="Arial" w:cs="Arial"/>
          <w:sz w:val="20"/>
        </w:rPr>
        <w:t xml:space="preserve"> en </w:t>
      </w:r>
      <w:r w:rsidR="007D67D0" w:rsidRPr="001E6DFD">
        <w:rPr>
          <w:rFonts w:ascii="Arial" w:hAnsi="Arial" w:cs="Arial"/>
          <w:sz w:val="20"/>
        </w:rPr>
        <w:t>vue de</w:t>
      </w:r>
      <w:r w:rsidR="00FA22F6" w:rsidRPr="001E6DFD">
        <w:rPr>
          <w:rFonts w:ascii="Arial" w:hAnsi="Arial" w:cs="Arial"/>
          <w:sz w:val="20"/>
        </w:rPr>
        <w:t> :</w:t>
      </w:r>
      <w:r w:rsidR="00BA5EA9" w:rsidRPr="001E6DFD">
        <w:rPr>
          <w:rFonts w:ascii="Arial" w:hAnsi="Arial" w:cs="Arial"/>
          <w:sz w:val="20"/>
        </w:rPr>
        <w:t xml:space="preserve"> i)</w:t>
      </w:r>
      <w:r w:rsidR="004D421A" w:rsidRPr="001E6DFD">
        <w:rPr>
          <w:rFonts w:ascii="Arial" w:hAnsi="Arial" w:cs="Arial"/>
          <w:sz w:val="20"/>
        </w:rPr>
        <w:t> </w:t>
      </w:r>
      <w:r w:rsidR="00416BF8" w:rsidRPr="001E6DFD">
        <w:rPr>
          <w:rFonts w:ascii="Arial" w:hAnsi="Arial" w:cs="Arial"/>
          <w:sz w:val="20"/>
        </w:rPr>
        <w:t>la tenue de la deux</w:t>
      </w:r>
      <w:r w:rsidR="00FA22F6" w:rsidRPr="001E6DFD">
        <w:rPr>
          <w:rFonts w:ascii="Arial" w:hAnsi="Arial" w:cs="Arial"/>
          <w:sz w:val="20"/>
        </w:rPr>
        <w:t>ième session du SCT</w:t>
      </w:r>
      <w:r w:rsidR="00416BF8" w:rsidRPr="001E6DFD">
        <w:rPr>
          <w:rFonts w:ascii="Arial" w:hAnsi="Arial" w:cs="Arial"/>
          <w:sz w:val="20"/>
        </w:rPr>
        <w:t xml:space="preserve"> </w:t>
      </w:r>
      <w:r w:rsidR="00FA22F6" w:rsidRPr="001E6DFD">
        <w:rPr>
          <w:rFonts w:ascii="Arial" w:hAnsi="Arial" w:cs="Arial"/>
          <w:sz w:val="20"/>
        </w:rPr>
        <w:t>en 2017</w:t>
      </w:r>
      <w:r w:rsidR="00416BF8" w:rsidRPr="001E6DFD">
        <w:rPr>
          <w:rFonts w:ascii="Arial" w:hAnsi="Arial" w:cs="Arial"/>
          <w:sz w:val="20"/>
        </w:rPr>
        <w:t xml:space="preserve">, </w:t>
      </w:r>
      <w:r w:rsidR="00B04CD4" w:rsidRPr="001E6DFD">
        <w:rPr>
          <w:rFonts w:ascii="Arial" w:hAnsi="Arial" w:cs="Arial"/>
          <w:sz w:val="20"/>
        </w:rPr>
        <w:t>tel qu</w:t>
      </w:r>
      <w:r w:rsidR="00FA22F6" w:rsidRPr="001E6DFD">
        <w:rPr>
          <w:rFonts w:ascii="Arial" w:hAnsi="Arial" w:cs="Arial"/>
          <w:sz w:val="20"/>
        </w:rPr>
        <w:t>’</w:t>
      </w:r>
      <w:r w:rsidR="00B04CD4" w:rsidRPr="001E6DFD">
        <w:rPr>
          <w:rFonts w:ascii="Arial" w:hAnsi="Arial" w:cs="Arial"/>
          <w:sz w:val="20"/>
        </w:rPr>
        <w:t xml:space="preserve">indiqué au </w:t>
      </w:r>
      <w:r w:rsidR="00416BF8" w:rsidRPr="001E6DFD">
        <w:rPr>
          <w:rFonts w:ascii="Arial" w:hAnsi="Arial" w:cs="Arial"/>
          <w:sz w:val="20"/>
        </w:rPr>
        <w:t>résultat escompté I.1 (</w:t>
      </w:r>
      <w:r w:rsidR="00624C06" w:rsidRPr="001E6DFD">
        <w:rPr>
          <w:rFonts w:ascii="Arial" w:hAnsi="Arial" w:cs="Arial"/>
          <w:sz w:val="20"/>
        </w:rPr>
        <w:t>Renforcement de la coopération entre les États membres</w:t>
      </w:r>
      <w:r w:rsidR="00416BF8" w:rsidRPr="001E6DFD">
        <w:rPr>
          <w:rFonts w:ascii="Arial" w:hAnsi="Arial" w:cs="Arial"/>
          <w:sz w:val="20"/>
        </w:rPr>
        <w:t>)</w:t>
      </w:r>
      <w:r w:rsidR="00BA5EA9" w:rsidRPr="001E6DFD">
        <w:rPr>
          <w:rFonts w:ascii="Arial" w:hAnsi="Arial" w:cs="Arial"/>
          <w:sz w:val="20"/>
        </w:rPr>
        <w:t xml:space="preserve"> </w:t>
      </w:r>
      <w:r w:rsidR="00BB0229" w:rsidRPr="001E6DFD">
        <w:rPr>
          <w:rFonts w:ascii="Arial" w:hAnsi="Arial" w:cs="Arial"/>
          <w:sz w:val="20"/>
        </w:rPr>
        <w:t xml:space="preserve">et;  </w:t>
      </w:r>
      <w:r w:rsidR="00BA5EA9" w:rsidRPr="001E6DFD">
        <w:rPr>
          <w:rFonts w:ascii="Arial" w:hAnsi="Arial" w:cs="Arial"/>
          <w:sz w:val="20"/>
        </w:rPr>
        <w:t>ii)</w:t>
      </w:r>
      <w:r w:rsidR="004D421A" w:rsidRPr="001E6DFD">
        <w:rPr>
          <w:rFonts w:ascii="Arial" w:hAnsi="Arial" w:cs="Arial"/>
          <w:sz w:val="20"/>
        </w:rPr>
        <w:t> </w:t>
      </w:r>
      <w:r w:rsidR="00BB0229" w:rsidRPr="001E6DFD">
        <w:rPr>
          <w:rFonts w:ascii="Arial" w:hAnsi="Arial" w:cs="Arial"/>
          <w:sz w:val="20"/>
        </w:rPr>
        <w:t xml:space="preserve">couvrir les frais supplémentaires pour le </w:t>
      </w:r>
      <w:r w:rsidR="007D67D0" w:rsidRPr="001E6DFD">
        <w:rPr>
          <w:rFonts w:ascii="Arial" w:hAnsi="Arial" w:cs="Arial"/>
          <w:sz w:val="20"/>
        </w:rPr>
        <w:t>C</w:t>
      </w:r>
      <w:r w:rsidR="00BB0229" w:rsidRPr="001E6DFD">
        <w:rPr>
          <w:rFonts w:ascii="Arial" w:hAnsi="Arial" w:cs="Arial"/>
          <w:sz w:val="20"/>
        </w:rPr>
        <w:t>olloque mondial sur les indications géographiques qui a eu lieu en Chine</w:t>
      </w:r>
      <w:r w:rsidR="00BA5EA9" w:rsidRPr="001E6DFD">
        <w:rPr>
          <w:rFonts w:ascii="Arial" w:hAnsi="Arial" w:cs="Arial"/>
          <w:sz w:val="20"/>
        </w:rPr>
        <w:t>;</w:t>
      </w:r>
      <w:r w:rsidR="009C2A43" w:rsidRPr="001E6DFD">
        <w:rPr>
          <w:rFonts w:ascii="Arial" w:hAnsi="Arial" w:cs="Arial"/>
          <w:sz w:val="20"/>
        </w:rPr>
        <w:t xml:space="preserve">  </w:t>
      </w:r>
      <w:r w:rsidR="000C4051" w:rsidRPr="001E6DFD">
        <w:rPr>
          <w:rFonts w:ascii="Arial" w:hAnsi="Arial" w:cs="Arial"/>
          <w:sz w:val="20"/>
        </w:rPr>
        <w:t xml:space="preserve">et </w:t>
      </w:r>
      <w:r w:rsidR="00BA5EA9" w:rsidRPr="001E6DFD">
        <w:rPr>
          <w:rFonts w:ascii="Arial" w:hAnsi="Arial" w:cs="Arial"/>
          <w:sz w:val="20"/>
        </w:rPr>
        <w:t>iii)</w:t>
      </w:r>
      <w:r w:rsidR="004D421A" w:rsidRPr="001E6DFD">
        <w:rPr>
          <w:rFonts w:ascii="Arial" w:hAnsi="Arial" w:cs="Arial"/>
          <w:sz w:val="20"/>
        </w:rPr>
        <w:t> </w:t>
      </w:r>
      <w:r w:rsidR="000C4051" w:rsidRPr="001E6DFD">
        <w:rPr>
          <w:rFonts w:ascii="Arial" w:hAnsi="Arial" w:cs="Arial"/>
          <w:sz w:val="20"/>
        </w:rPr>
        <w:t>f</w:t>
      </w:r>
      <w:r w:rsidR="009C2A43" w:rsidRPr="001E6DFD">
        <w:rPr>
          <w:rFonts w:ascii="Arial" w:hAnsi="Arial" w:cs="Arial"/>
          <w:sz w:val="20"/>
        </w:rPr>
        <w:t xml:space="preserve">aire face plus efficacement à la demande accrue de conseils </w:t>
      </w:r>
      <w:r w:rsidR="00B04CD4" w:rsidRPr="001E6DFD">
        <w:rPr>
          <w:rFonts w:ascii="Arial" w:hAnsi="Arial" w:cs="Arial"/>
          <w:sz w:val="20"/>
        </w:rPr>
        <w:t>en matière de législation</w:t>
      </w:r>
      <w:r w:rsidR="00BA5EA9" w:rsidRPr="001E6DFD">
        <w:rPr>
          <w:rFonts w:ascii="Arial" w:hAnsi="Arial" w:cs="Arial"/>
          <w:sz w:val="20"/>
        </w:rPr>
        <w:t>.</w:t>
      </w:r>
    </w:p>
    <w:p w14:paraId="4126092A" w14:textId="77777777" w:rsidR="001F64B1" w:rsidRPr="001303B4" w:rsidRDefault="001F64B1" w:rsidP="0097226C">
      <w:pPr>
        <w:jc w:val="both"/>
        <w:rPr>
          <w:sz w:val="20"/>
        </w:rPr>
      </w:pPr>
    </w:p>
    <w:p w14:paraId="10CE9487" w14:textId="2A0020B8" w:rsidR="00FA22F6" w:rsidRPr="001E6DFD" w:rsidRDefault="0008144F" w:rsidP="00D544B8">
      <w:pPr>
        <w:pStyle w:val="ListParagraph"/>
        <w:numPr>
          <w:ilvl w:val="0"/>
          <w:numId w:val="6"/>
        </w:numPr>
        <w:ind w:left="0" w:firstLine="0"/>
        <w:jc w:val="both"/>
        <w:rPr>
          <w:rFonts w:ascii="Arial" w:hAnsi="Arial" w:cs="Arial"/>
          <w:sz w:val="20"/>
        </w:rPr>
      </w:pPr>
      <w:r w:rsidRPr="001E6DFD">
        <w:rPr>
          <w:rFonts w:ascii="Arial" w:hAnsi="Arial" w:cs="Arial"/>
          <w:sz w:val="20"/>
        </w:rPr>
        <w:t xml:space="preserve">La diminution des ressources </w:t>
      </w:r>
      <w:r w:rsidR="00B04CD4" w:rsidRPr="001E6DFD">
        <w:rPr>
          <w:rFonts w:ascii="Arial" w:hAnsi="Arial" w:cs="Arial"/>
          <w:sz w:val="20"/>
        </w:rPr>
        <w:t>e</w:t>
      </w:r>
      <w:r w:rsidR="00381826" w:rsidRPr="001E6DFD">
        <w:rPr>
          <w:rFonts w:ascii="Arial" w:hAnsi="Arial" w:cs="Arial"/>
          <w:sz w:val="20"/>
        </w:rPr>
        <w:t>n</w:t>
      </w:r>
      <w:r w:rsidR="00B04CD4" w:rsidRPr="001E6DFD">
        <w:rPr>
          <w:rFonts w:ascii="Arial" w:hAnsi="Arial" w:cs="Arial"/>
          <w:sz w:val="20"/>
        </w:rPr>
        <w:t xml:space="preserve"> </w:t>
      </w:r>
      <w:r w:rsidRPr="001E6DFD">
        <w:rPr>
          <w:rFonts w:ascii="Arial" w:hAnsi="Arial" w:cs="Arial"/>
          <w:sz w:val="20"/>
        </w:rPr>
        <w:t>personnel par rapport au budget</w:t>
      </w:r>
      <w:r w:rsidR="00B4191E">
        <w:rPr>
          <w:rFonts w:ascii="Arial" w:hAnsi="Arial" w:cs="Arial"/>
          <w:sz w:val="20"/>
        </w:rPr>
        <w:t> </w:t>
      </w:r>
      <w:r w:rsidRPr="001E6DFD">
        <w:rPr>
          <w:rFonts w:ascii="Arial" w:hAnsi="Arial" w:cs="Arial"/>
          <w:sz w:val="20"/>
        </w:rPr>
        <w:t>2016</w:t>
      </w:r>
      <w:r w:rsidR="006A41CF" w:rsidRPr="001E6DFD">
        <w:rPr>
          <w:rFonts w:ascii="Arial" w:hAnsi="Arial" w:cs="Arial"/>
          <w:sz w:val="20"/>
        </w:rPr>
        <w:noBreakHyphen/>
      </w:r>
      <w:r w:rsidRPr="001E6DFD">
        <w:rPr>
          <w:rFonts w:ascii="Arial" w:hAnsi="Arial" w:cs="Arial"/>
          <w:sz w:val="20"/>
        </w:rPr>
        <w:t xml:space="preserve">2017 approuvé </w:t>
      </w:r>
      <w:r w:rsidR="00B04CD4" w:rsidRPr="001E6DFD">
        <w:rPr>
          <w:rFonts w:ascii="Arial" w:hAnsi="Arial" w:cs="Arial"/>
          <w:sz w:val="20"/>
        </w:rPr>
        <w:t xml:space="preserve">était </w:t>
      </w:r>
      <w:r w:rsidRPr="001E6DFD">
        <w:rPr>
          <w:rFonts w:ascii="Arial" w:hAnsi="Arial" w:cs="Arial"/>
          <w:sz w:val="20"/>
        </w:rPr>
        <w:t>due au transfert</w:t>
      </w:r>
      <w:r w:rsidR="00B04CD4" w:rsidRPr="001E6DFD">
        <w:rPr>
          <w:rFonts w:ascii="Arial" w:hAnsi="Arial" w:cs="Arial"/>
          <w:sz w:val="20"/>
        </w:rPr>
        <w:t>, vers d</w:t>
      </w:r>
      <w:r w:rsidR="00FA22F6" w:rsidRPr="001E6DFD">
        <w:rPr>
          <w:rFonts w:ascii="Arial" w:hAnsi="Arial" w:cs="Arial"/>
          <w:sz w:val="20"/>
        </w:rPr>
        <w:t>’</w:t>
      </w:r>
      <w:r w:rsidR="00B04CD4" w:rsidRPr="001E6DFD">
        <w:rPr>
          <w:rFonts w:ascii="Arial" w:hAnsi="Arial" w:cs="Arial"/>
          <w:sz w:val="20"/>
        </w:rPr>
        <w:t>autres priorités de l</w:t>
      </w:r>
      <w:r w:rsidR="00FA22F6" w:rsidRPr="001E6DFD">
        <w:rPr>
          <w:rFonts w:ascii="Arial" w:hAnsi="Arial" w:cs="Arial"/>
          <w:sz w:val="20"/>
        </w:rPr>
        <w:t>’</w:t>
      </w:r>
      <w:r w:rsidR="00B04CD4" w:rsidRPr="001E6DFD">
        <w:rPr>
          <w:rFonts w:ascii="Arial" w:hAnsi="Arial" w:cs="Arial"/>
          <w:sz w:val="20"/>
        </w:rPr>
        <w:t>Organisation,</w:t>
      </w:r>
      <w:r w:rsidRPr="001E6DFD">
        <w:rPr>
          <w:rFonts w:ascii="Arial" w:hAnsi="Arial" w:cs="Arial"/>
          <w:sz w:val="20"/>
        </w:rPr>
        <w:t xml:space="preserve"> des économies </w:t>
      </w:r>
      <w:r w:rsidR="00B04CD4" w:rsidRPr="001E6DFD">
        <w:rPr>
          <w:rFonts w:ascii="Arial" w:hAnsi="Arial" w:cs="Arial"/>
          <w:sz w:val="20"/>
        </w:rPr>
        <w:t xml:space="preserve">dégagées </w:t>
      </w:r>
      <w:r w:rsidRPr="001E6DFD">
        <w:rPr>
          <w:rFonts w:ascii="Arial" w:hAnsi="Arial" w:cs="Arial"/>
          <w:sz w:val="20"/>
        </w:rPr>
        <w:t>dans le programme.</w:t>
      </w:r>
    </w:p>
    <w:p w14:paraId="39D74055" w14:textId="0E91F772" w:rsidR="001F64B1" w:rsidRPr="001303B4" w:rsidRDefault="001F64B1" w:rsidP="0097226C">
      <w:pPr>
        <w:jc w:val="both"/>
        <w:rPr>
          <w:sz w:val="20"/>
        </w:rPr>
      </w:pPr>
    </w:p>
    <w:p w14:paraId="11CBE110" w14:textId="22D6D06A" w:rsidR="001F64B1" w:rsidRPr="001E6DFD" w:rsidRDefault="00B72371" w:rsidP="00D544B8">
      <w:pPr>
        <w:pStyle w:val="ListParagraph"/>
        <w:numPr>
          <w:ilvl w:val="0"/>
          <w:numId w:val="6"/>
        </w:numPr>
        <w:ind w:left="0" w:firstLine="0"/>
        <w:jc w:val="both"/>
        <w:rPr>
          <w:rFonts w:ascii="Arial" w:hAnsi="Arial" w:cs="Arial"/>
          <w:sz w:val="20"/>
        </w:rPr>
      </w:pPr>
      <w:r w:rsidRPr="001E6DFD">
        <w:rPr>
          <w:rFonts w:ascii="Arial" w:hAnsi="Arial" w:cs="Arial"/>
          <w:sz w:val="20"/>
        </w:rPr>
        <w:t>La légère diminution des ressources</w:t>
      </w:r>
      <w:r w:rsidR="00B04CD4" w:rsidRPr="001E6DFD">
        <w:rPr>
          <w:rFonts w:ascii="Arial" w:hAnsi="Arial" w:cs="Arial"/>
          <w:sz w:val="20"/>
        </w:rPr>
        <w:t>, tel qu</w:t>
      </w:r>
      <w:r w:rsidR="00FA22F6" w:rsidRPr="001E6DFD">
        <w:rPr>
          <w:rFonts w:ascii="Arial" w:hAnsi="Arial" w:cs="Arial"/>
          <w:sz w:val="20"/>
        </w:rPr>
        <w:t>’</w:t>
      </w:r>
      <w:r w:rsidR="00B04CD4" w:rsidRPr="001E6DFD">
        <w:rPr>
          <w:rFonts w:ascii="Arial" w:hAnsi="Arial" w:cs="Arial"/>
          <w:sz w:val="20"/>
        </w:rPr>
        <w:t xml:space="preserve">indiqué au résultat </w:t>
      </w:r>
      <w:r w:rsidRPr="001E6DFD">
        <w:rPr>
          <w:rFonts w:ascii="Arial" w:hAnsi="Arial" w:cs="Arial"/>
          <w:sz w:val="20"/>
        </w:rPr>
        <w:t xml:space="preserve">escompté I.2 (Conseils </w:t>
      </w:r>
      <w:r w:rsidR="00B04CD4" w:rsidRPr="001E6DFD">
        <w:rPr>
          <w:rFonts w:ascii="Arial" w:hAnsi="Arial" w:cs="Arial"/>
          <w:sz w:val="20"/>
        </w:rPr>
        <w:t>en matière de législation) était</w:t>
      </w:r>
      <w:r w:rsidRPr="001E6DFD">
        <w:rPr>
          <w:rFonts w:ascii="Arial" w:hAnsi="Arial" w:cs="Arial"/>
          <w:sz w:val="20"/>
        </w:rPr>
        <w:t xml:space="preserve"> due à la redistribution des ressources </w:t>
      </w:r>
      <w:r w:rsidR="00B04CD4" w:rsidRPr="001E6DFD">
        <w:rPr>
          <w:rFonts w:ascii="Arial" w:hAnsi="Arial" w:cs="Arial"/>
          <w:sz w:val="20"/>
        </w:rPr>
        <w:t>e</w:t>
      </w:r>
      <w:r w:rsidR="00381826" w:rsidRPr="001E6DFD">
        <w:rPr>
          <w:rFonts w:ascii="Arial" w:hAnsi="Arial" w:cs="Arial"/>
          <w:sz w:val="20"/>
        </w:rPr>
        <w:t>n</w:t>
      </w:r>
      <w:r w:rsidR="00B04CD4" w:rsidRPr="001E6DFD">
        <w:rPr>
          <w:rFonts w:ascii="Arial" w:hAnsi="Arial" w:cs="Arial"/>
          <w:sz w:val="20"/>
        </w:rPr>
        <w:t xml:space="preserve"> </w:t>
      </w:r>
      <w:r w:rsidRPr="001E6DFD">
        <w:rPr>
          <w:rFonts w:ascii="Arial" w:hAnsi="Arial" w:cs="Arial"/>
          <w:sz w:val="20"/>
        </w:rPr>
        <w:t xml:space="preserve">personnel </w:t>
      </w:r>
      <w:r w:rsidR="00C102AF" w:rsidRPr="001E6DFD">
        <w:rPr>
          <w:rFonts w:ascii="Arial" w:hAnsi="Arial" w:cs="Arial"/>
          <w:sz w:val="20"/>
        </w:rPr>
        <w:t>vers le r</w:t>
      </w:r>
      <w:r w:rsidRPr="001E6DFD">
        <w:rPr>
          <w:rFonts w:ascii="Arial" w:hAnsi="Arial" w:cs="Arial"/>
          <w:sz w:val="20"/>
        </w:rPr>
        <w:t xml:space="preserve">ésultat escompté I.1, </w:t>
      </w:r>
      <w:r w:rsidR="00C102AF" w:rsidRPr="001E6DFD">
        <w:rPr>
          <w:rFonts w:ascii="Arial" w:hAnsi="Arial" w:cs="Arial"/>
          <w:sz w:val="20"/>
        </w:rPr>
        <w:t>en vue d</w:t>
      </w:r>
      <w:r w:rsidR="00B04CD4" w:rsidRPr="001E6DFD">
        <w:rPr>
          <w:rFonts w:ascii="Arial" w:hAnsi="Arial" w:cs="Arial"/>
          <w:sz w:val="20"/>
        </w:rPr>
        <w:t xml:space="preserve">e financer </w:t>
      </w:r>
      <w:r w:rsidRPr="001E6DFD">
        <w:rPr>
          <w:rFonts w:ascii="Arial" w:hAnsi="Arial" w:cs="Arial"/>
          <w:sz w:val="20"/>
        </w:rPr>
        <w:t xml:space="preserve">la </w:t>
      </w:r>
      <w:r w:rsidR="009D113A" w:rsidRPr="001E6DFD">
        <w:rPr>
          <w:rFonts w:ascii="Arial" w:hAnsi="Arial" w:cs="Arial"/>
          <w:sz w:val="20"/>
        </w:rPr>
        <w:t xml:space="preserve">tenue de la </w:t>
      </w:r>
      <w:r w:rsidRPr="001E6DFD">
        <w:rPr>
          <w:rFonts w:ascii="Arial" w:hAnsi="Arial" w:cs="Arial"/>
          <w:sz w:val="20"/>
        </w:rPr>
        <w:t>deux</w:t>
      </w:r>
      <w:r w:rsidR="00FA22F6" w:rsidRPr="001E6DFD">
        <w:rPr>
          <w:rFonts w:ascii="Arial" w:hAnsi="Arial" w:cs="Arial"/>
          <w:sz w:val="20"/>
        </w:rPr>
        <w:t>ième session du SCT</w:t>
      </w:r>
      <w:r w:rsidRPr="001E6DFD">
        <w:rPr>
          <w:rFonts w:ascii="Arial" w:hAnsi="Arial" w:cs="Arial"/>
          <w:sz w:val="20"/>
        </w:rPr>
        <w:t xml:space="preserve"> </w:t>
      </w:r>
      <w:r w:rsidR="00FA22F6" w:rsidRPr="001E6DFD">
        <w:rPr>
          <w:rFonts w:ascii="Arial" w:hAnsi="Arial" w:cs="Arial"/>
          <w:sz w:val="20"/>
        </w:rPr>
        <w:t>en 2017</w:t>
      </w:r>
      <w:r w:rsidR="00C102AF" w:rsidRPr="001E6DFD">
        <w:rPr>
          <w:rFonts w:ascii="Arial" w:hAnsi="Arial" w:cs="Arial"/>
          <w:sz w:val="20"/>
        </w:rPr>
        <w:t>,</w:t>
      </w:r>
      <w:r w:rsidRPr="001E6DFD">
        <w:rPr>
          <w:rFonts w:ascii="Arial" w:hAnsi="Arial" w:cs="Arial"/>
          <w:sz w:val="20"/>
        </w:rPr>
        <w:t xml:space="preserve"> et </w:t>
      </w:r>
      <w:r w:rsidR="00C102AF" w:rsidRPr="001E6DFD">
        <w:rPr>
          <w:rFonts w:ascii="Arial" w:hAnsi="Arial" w:cs="Arial"/>
          <w:sz w:val="20"/>
        </w:rPr>
        <w:t xml:space="preserve">vers </w:t>
      </w:r>
      <w:r w:rsidRPr="001E6DFD">
        <w:rPr>
          <w:rFonts w:ascii="Arial" w:hAnsi="Arial" w:cs="Arial"/>
          <w:sz w:val="20"/>
        </w:rPr>
        <w:t xml:space="preserve">le résultat </w:t>
      </w:r>
      <w:r w:rsidR="00C102AF" w:rsidRPr="001E6DFD">
        <w:rPr>
          <w:rFonts w:ascii="Arial" w:hAnsi="Arial" w:cs="Arial"/>
          <w:sz w:val="20"/>
        </w:rPr>
        <w:t xml:space="preserve">escompté </w:t>
      </w:r>
      <w:r w:rsidRPr="001E6DFD">
        <w:rPr>
          <w:rFonts w:ascii="Arial" w:hAnsi="Arial" w:cs="Arial"/>
          <w:sz w:val="20"/>
        </w:rPr>
        <w:t>I.3 (</w:t>
      </w:r>
      <w:r w:rsidR="009D113A" w:rsidRPr="001E6DFD">
        <w:rPr>
          <w:rFonts w:ascii="Arial" w:hAnsi="Arial" w:cs="Arial"/>
          <w:sz w:val="20"/>
        </w:rPr>
        <w:t>Protection renforcée des emblèmes d</w:t>
      </w:r>
      <w:r w:rsidR="00FA22F6" w:rsidRPr="001E6DFD">
        <w:rPr>
          <w:rFonts w:ascii="Arial" w:hAnsi="Arial" w:cs="Arial"/>
          <w:sz w:val="20"/>
        </w:rPr>
        <w:t>’</w:t>
      </w:r>
      <w:r w:rsidR="009D113A" w:rsidRPr="001E6DFD">
        <w:rPr>
          <w:rFonts w:ascii="Arial" w:hAnsi="Arial" w:cs="Arial"/>
          <w:sz w:val="20"/>
        </w:rPr>
        <w:t>États</w:t>
      </w:r>
      <w:r w:rsidRPr="001E6DFD">
        <w:rPr>
          <w:rFonts w:ascii="Arial" w:hAnsi="Arial" w:cs="Arial"/>
          <w:sz w:val="20"/>
        </w:rPr>
        <w:t>).</w:t>
      </w:r>
    </w:p>
    <w:p w14:paraId="5585D0AB" w14:textId="77777777" w:rsidR="001F64B1" w:rsidRPr="001303B4" w:rsidRDefault="001F64B1" w:rsidP="0097226C">
      <w:pPr>
        <w:jc w:val="both"/>
        <w:rPr>
          <w:sz w:val="20"/>
        </w:rPr>
      </w:pPr>
    </w:p>
    <w:p w14:paraId="09A31042" w14:textId="4913A647" w:rsidR="001F64B1" w:rsidRPr="001E6DFD" w:rsidRDefault="006A7494" w:rsidP="00D544B8">
      <w:pPr>
        <w:pStyle w:val="ListParagraph"/>
        <w:numPr>
          <w:ilvl w:val="0"/>
          <w:numId w:val="6"/>
        </w:numPr>
        <w:ind w:left="0" w:firstLine="0"/>
        <w:jc w:val="both"/>
        <w:rPr>
          <w:rFonts w:ascii="Arial" w:hAnsi="Arial" w:cs="Arial"/>
          <w:sz w:val="20"/>
        </w:rPr>
      </w:pPr>
      <w:r w:rsidRPr="001E6DFD">
        <w:rPr>
          <w:rFonts w:ascii="Arial" w:hAnsi="Arial" w:cs="Arial"/>
          <w:sz w:val="20"/>
        </w:rPr>
        <w:t>Les ressources allouées au résultat escompté III.4 (Mécanismes de coopération renforcés)</w:t>
      </w:r>
      <w:r w:rsidR="000D42B7" w:rsidRPr="001E6DFD">
        <w:rPr>
          <w:rFonts w:ascii="Arial" w:hAnsi="Arial" w:cs="Arial"/>
          <w:sz w:val="20"/>
        </w:rPr>
        <w:t xml:space="preserve"> correspondaient aux </w:t>
      </w:r>
      <w:r w:rsidRPr="001E6DFD">
        <w:rPr>
          <w:rFonts w:ascii="Arial" w:hAnsi="Arial" w:cs="Arial"/>
          <w:sz w:val="20"/>
        </w:rPr>
        <w:t xml:space="preserve">ressources pour </w:t>
      </w:r>
      <w:r w:rsidR="00476E5E" w:rsidRPr="001E6DFD">
        <w:rPr>
          <w:rFonts w:ascii="Arial" w:hAnsi="Arial" w:cs="Arial"/>
          <w:sz w:val="20"/>
        </w:rPr>
        <w:t>le projet de</w:t>
      </w:r>
      <w:r w:rsidR="00155890" w:rsidRPr="001E6DFD">
        <w:rPr>
          <w:rFonts w:ascii="Arial" w:hAnsi="Arial" w:cs="Arial"/>
          <w:sz w:val="20"/>
        </w:rPr>
        <w:t xml:space="preserve"> Plan </w:t>
      </w:r>
      <w:r w:rsidR="00941556" w:rsidRPr="001E6DFD">
        <w:rPr>
          <w:rFonts w:ascii="Arial" w:hAnsi="Arial" w:cs="Arial"/>
          <w:sz w:val="20"/>
        </w:rPr>
        <w:t>d</w:t>
      </w:r>
      <w:r w:rsidR="00FA22F6" w:rsidRPr="001E6DFD">
        <w:rPr>
          <w:rFonts w:ascii="Arial" w:hAnsi="Arial" w:cs="Arial"/>
          <w:sz w:val="20"/>
        </w:rPr>
        <w:t>’</w:t>
      </w:r>
      <w:r w:rsidR="00941556" w:rsidRPr="001E6DFD">
        <w:rPr>
          <w:rFonts w:ascii="Arial" w:hAnsi="Arial" w:cs="Arial"/>
          <w:sz w:val="20"/>
        </w:rPr>
        <w:t xml:space="preserve">action </w:t>
      </w:r>
      <w:r w:rsidR="009E3DEA" w:rsidRPr="001E6DFD">
        <w:rPr>
          <w:rFonts w:ascii="Arial" w:hAnsi="Arial" w:cs="Arial"/>
          <w:sz w:val="20"/>
        </w:rPr>
        <w:t>sur la propriété intellectuelle et la création de dessins et modèles</w:t>
      </w:r>
      <w:r w:rsidRPr="001E6DFD">
        <w:rPr>
          <w:rFonts w:ascii="Arial" w:hAnsi="Arial" w:cs="Arial"/>
          <w:sz w:val="20"/>
        </w:rPr>
        <w:t>.</w:t>
      </w:r>
    </w:p>
    <w:p w14:paraId="4FB3692D" w14:textId="77777777" w:rsidR="001F64B1" w:rsidRPr="001E6DFD" w:rsidRDefault="001F64B1" w:rsidP="0097226C">
      <w:pPr>
        <w:jc w:val="both"/>
        <w:rPr>
          <w:sz w:val="20"/>
        </w:rPr>
      </w:pPr>
    </w:p>
    <w:p w14:paraId="30D6BBD7" w14:textId="669AF528" w:rsidR="001F64B1" w:rsidRPr="001E6DFD" w:rsidRDefault="00BA5EA9" w:rsidP="0097226C">
      <w:pPr>
        <w:keepNext/>
        <w:jc w:val="both"/>
        <w:rPr>
          <w:sz w:val="20"/>
          <w:u w:val="single"/>
        </w:rPr>
      </w:pPr>
      <w:r w:rsidRPr="001E6DFD">
        <w:rPr>
          <w:sz w:val="20"/>
        </w:rPr>
        <w:lastRenderedPageBreak/>
        <w:t>B.</w:t>
      </w:r>
      <w:r w:rsidRPr="001E6DFD">
        <w:rPr>
          <w:sz w:val="20"/>
        </w:rPr>
        <w:tab/>
      </w:r>
      <w:r w:rsidR="00F3341E" w:rsidRPr="001E6DFD">
        <w:rPr>
          <w:sz w:val="20"/>
          <w:u w:val="single"/>
        </w:rPr>
        <w:t>Utilisation du 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w:t>
      </w:r>
    </w:p>
    <w:p w14:paraId="38F0EE70" w14:textId="77777777" w:rsidR="001F64B1" w:rsidRPr="001E6DFD" w:rsidRDefault="001F64B1" w:rsidP="0097226C">
      <w:pPr>
        <w:keepNext/>
        <w:jc w:val="both"/>
        <w:rPr>
          <w:sz w:val="20"/>
        </w:rPr>
      </w:pPr>
    </w:p>
    <w:p w14:paraId="0DF81588" w14:textId="53EC17A0" w:rsidR="001F64B1" w:rsidRPr="001E6DFD" w:rsidRDefault="00EC540A" w:rsidP="00D544B8">
      <w:pPr>
        <w:pStyle w:val="ListParagraph"/>
        <w:numPr>
          <w:ilvl w:val="0"/>
          <w:numId w:val="6"/>
        </w:numPr>
        <w:ind w:left="0" w:firstLine="0"/>
        <w:jc w:val="both"/>
        <w:rPr>
          <w:rFonts w:ascii="Arial" w:hAnsi="Arial" w:cs="Arial"/>
          <w:sz w:val="20"/>
        </w:rPr>
      </w:pPr>
      <w:r w:rsidRPr="001E6DFD">
        <w:rPr>
          <w:rFonts w:ascii="Arial" w:hAnsi="Arial" w:cs="Arial"/>
          <w:sz w:val="20"/>
          <w:lang w:eastAsia="ko-KR"/>
        </w:rPr>
        <w:t>L</w:t>
      </w:r>
      <w:r w:rsidR="00FA22F6" w:rsidRPr="001E6DFD">
        <w:rPr>
          <w:rFonts w:ascii="Arial" w:hAnsi="Arial" w:cs="Arial"/>
          <w:sz w:val="20"/>
          <w:lang w:eastAsia="ko-KR"/>
        </w:rPr>
        <w:t>’</w:t>
      </w:r>
      <w:r w:rsidRPr="001E6DFD">
        <w:rPr>
          <w:rFonts w:ascii="Arial" w:hAnsi="Arial" w:cs="Arial"/>
          <w:sz w:val="20"/>
          <w:lang w:eastAsia="ko-KR"/>
        </w:rPr>
        <w:t>utilisation du budget se situait dans la fourchette prévue des 40 à 60% pour la première année de l</w:t>
      </w:r>
      <w:r w:rsidR="00FA22F6" w:rsidRPr="001E6DFD">
        <w:rPr>
          <w:rFonts w:ascii="Arial" w:hAnsi="Arial" w:cs="Arial"/>
          <w:sz w:val="20"/>
          <w:lang w:eastAsia="ko-KR"/>
        </w:rPr>
        <w:t>’</w:t>
      </w:r>
      <w:r w:rsidRPr="001E6DFD">
        <w:rPr>
          <w:rFonts w:ascii="Arial" w:hAnsi="Arial" w:cs="Arial"/>
          <w:sz w:val="20"/>
          <w:lang w:eastAsia="ko-KR"/>
        </w:rPr>
        <w:t>exercice biennal.</w:t>
      </w:r>
    </w:p>
    <w:p w14:paraId="015EC9E4" w14:textId="77777777" w:rsidR="00A15986" w:rsidRPr="001E6DFD" w:rsidRDefault="00A15986" w:rsidP="0097226C">
      <w:pPr>
        <w:rPr>
          <w:b/>
          <w:bCs/>
          <w:iCs/>
          <w:caps/>
          <w:szCs w:val="28"/>
        </w:rPr>
      </w:pPr>
      <w:r w:rsidRPr="001E6DFD">
        <w:rPr>
          <w:b/>
          <w:bCs/>
          <w:iCs/>
          <w:caps/>
          <w:szCs w:val="28"/>
        </w:rPr>
        <w:br w:type="page"/>
      </w:r>
    </w:p>
    <w:p w14:paraId="33657BDA" w14:textId="77777777" w:rsidR="00561B47" w:rsidRPr="00641FCE" w:rsidRDefault="00561B47" w:rsidP="006658D5">
      <w:pPr>
        <w:pStyle w:val="Heading3"/>
      </w:pPr>
      <w:bookmarkStart w:id="23" w:name="_Toc482774591"/>
      <w:r w:rsidRPr="00641FCE">
        <w:lastRenderedPageBreak/>
        <w:t>Programme 3</w:t>
      </w:r>
      <w:r w:rsidRPr="00641FCE">
        <w:tab/>
        <w:t>Droit d’auteur et droits connexes</w:t>
      </w:r>
      <w:bookmarkEnd w:id="23"/>
    </w:p>
    <w:p w14:paraId="574D2D11" w14:textId="77777777" w:rsidR="00561B47" w:rsidRPr="00CD000E" w:rsidRDefault="00561B47" w:rsidP="00561B47">
      <w:pPr>
        <w:tabs>
          <w:tab w:val="left" w:pos="2268"/>
        </w:tabs>
        <w:ind w:left="2268" w:hanging="2268"/>
        <w:rPr>
          <w:sz w:val="20"/>
        </w:rPr>
      </w:pPr>
    </w:p>
    <w:p w14:paraId="46C6BAF8" w14:textId="77777777" w:rsidR="00561B47" w:rsidRPr="00CD000E" w:rsidRDefault="00561B47" w:rsidP="00561B47">
      <w:pPr>
        <w:tabs>
          <w:tab w:val="left" w:pos="2268"/>
        </w:tabs>
        <w:ind w:left="2268" w:hanging="2268"/>
        <w:rPr>
          <w:b/>
          <w:sz w:val="20"/>
        </w:rPr>
      </w:pPr>
      <w:r w:rsidRPr="00CD000E">
        <w:rPr>
          <w:b/>
          <w:sz w:val="20"/>
          <w:szCs w:val="22"/>
        </w:rPr>
        <w:t>Chef de programme</w:t>
      </w:r>
      <w:r w:rsidRPr="00CD000E">
        <w:rPr>
          <w:b/>
          <w:sz w:val="20"/>
          <w:szCs w:val="22"/>
        </w:rPr>
        <w:tab/>
        <w:t>Mme S. Forbin</w:t>
      </w:r>
    </w:p>
    <w:p w14:paraId="50FF951C" w14:textId="77777777" w:rsidR="00561B47" w:rsidRPr="00CD000E" w:rsidRDefault="00561B47" w:rsidP="00561B47">
      <w:pPr>
        <w:jc w:val="center"/>
        <w:rPr>
          <w:sz w:val="20"/>
        </w:rPr>
      </w:pPr>
      <w:r w:rsidRPr="00CD000E">
        <w:rPr>
          <w:noProof/>
          <w:lang w:val="en-US"/>
        </w:rPr>
        <w:drawing>
          <wp:inline distT="0" distB="0" distL="0" distR="0" wp14:anchorId="0F5B11A5" wp14:editId="33C0939A">
            <wp:extent cx="3960778" cy="273600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780"/>
        <w:gridCol w:w="2411"/>
        <w:gridCol w:w="1417"/>
        <w:gridCol w:w="2529"/>
        <w:gridCol w:w="1150"/>
      </w:tblGrid>
      <w:tr w:rsidR="00561B47" w:rsidRPr="00CD000E" w14:paraId="6B7D2BBA" w14:textId="77777777" w:rsidTr="00561B47">
        <w:trPr>
          <w:cantSplit/>
        </w:trPr>
        <w:tc>
          <w:tcPr>
            <w:tcW w:w="5000" w:type="pct"/>
            <w:gridSpan w:val="5"/>
            <w:shd w:val="clear" w:color="auto" w:fill="C6D9F1" w:themeFill="text2" w:themeFillTint="33"/>
            <w:tcMar>
              <w:left w:w="108" w:type="dxa"/>
              <w:right w:w="108" w:type="dxa"/>
            </w:tcMar>
            <w:vAlign w:val="center"/>
          </w:tcPr>
          <w:p w14:paraId="780824EA" w14:textId="77777777" w:rsidR="00561B47" w:rsidRPr="00CD000E" w:rsidRDefault="00561B47" w:rsidP="00561B47">
            <w:pPr>
              <w:tabs>
                <w:tab w:val="left" w:pos="1452"/>
              </w:tabs>
              <w:rPr>
                <w:b/>
                <w:bCs/>
                <w:sz w:val="16"/>
                <w:szCs w:val="16"/>
              </w:rPr>
            </w:pPr>
            <w:r w:rsidRPr="00CD000E">
              <w:rPr>
                <w:b/>
                <w:color w:val="000000"/>
                <w:sz w:val="16"/>
                <w:szCs w:val="16"/>
                <w:lang w:bidi="th-TH"/>
              </w:rPr>
              <w:t>Résultat escompté :</w:t>
            </w:r>
            <w:r w:rsidRPr="00CD000E">
              <w:rPr>
                <w:color w:val="000000"/>
                <w:sz w:val="16"/>
                <w:szCs w:val="16"/>
                <w:lang w:bidi="th-TH"/>
              </w:rPr>
              <w:t xml:space="preserve"> </w:t>
            </w:r>
            <w:r w:rsidRPr="00CD000E">
              <w:rPr>
                <w:sz w:val="16"/>
                <w:szCs w:val="16"/>
                <w:lang w:bidi="th-TH"/>
              </w:rPr>
              <w:t>I.1</w:t>
            </w:r>
            <w:r w:rsidRPr="00CD000E">
              <w:rPr>
                <w:color w:val="000000"/>
                <w:sz w:val="16"/>
                <w:szCs w:val="16"/>
                <w:lang w:bidi="th-TH"/>
              </w:rPr>
              <w:t xml:space="preserve"> </w:t>
            </w:r>
            <w:r w:rsidRPr="00CD000E">
              <w:rPr>
                <w:sz w:val="16"/>
                <w:szCs w:val="16"/>
                <w:lang w:bidi="th-TH"/>
              </w:rPr>
              <w:t xml:space="preserve">Renforcement de la coopération entre les États membres en ce qui concerne l’élaboration de cadres normatifs internationaux équilibrés dans le domaine de la propriété intellectuelle </w:t>
            </w:r>
          </w:p>
        </w:tc>
      </w:tr>
      <w:tr w:rsidR="00561B47" w:rsidRPr="00CD000E" w14:paraId="1103AF54" w14:textId="77777777" w:rsidTr="00561B47">
        <w:trPr>
          <w:cantSplit/>
        </w:trPr>
        <w:tc>
          <w:tcPr>
            <w:tcW w:w="1007" w:type="pct"/>
            <w:shd w:val="clear" w:color="auto" w:fill="auto"/>
            <w:tcMar>
              <w:left w:w="108" w:type="dxa"/>
              <w:right w:w="108" w:type="dxa"/>
            </w:tcMar>
            <w:vAlign w:val="center"/>
          </w:tcPr>
          <w:p w14:paraId="3C036F0A" w14:textId="77777777" w:rsidR="00561B47" w:rsidRPr="00CD000E" w:rsidRDefault="00561B47" w:rsidP="00561B47">
            <w:pPr>
              <w:jc w:val="center"/>
              <w:rPr>
                <w:b/>
                <w:bCs/>
                <w:sz w:val="16"/>
                <w:szCs w:val="16"/>
              </w:rPr>
            </w:pPr>
            <w:r w:rsidRPr="00CD000E">
              <w:rPr>
                <w:b/>
                <w:bCs/>
                <w:sz w:val="16"/>
                <w:szCs w:val="16"/>
              </w:rPr>
              <w:t>Indicateurs d’exécution</w:t>
            </w:r>
          </w:p>
        </w:tc>
        <w:tc>
          <w:tcPr>
            <w:tcW w:w="1346" w:type="pct"/>
            <w:shd w:val="clear" w:color="auto" w:fill="auto"/>
            <w:tcMar>
              <w:left w:w="108" w:type="dxa"/>
              <w:right w:w="108" w:type="dxa"/>
            </w:tcMar>
            <w:vAlign w:val="center"/>
          </w:tcPr>
          <w:p w14:paraId="6AC79ED5" w14:textId="77777777" w:rsidR="00561B47" w:rsidRPr="00CD000E" w:rsidRDefault="00561B47" w:rsidP="00561B47">
            <w:pPr>
              <w:jc w:val="center"/>
              <w:rPr>
                <w:b/>
                <w:bCs/>
                <w:sz w:val="16"/>
                <w:szCs w:val="16"/>
              </w:rPr>
            </w:pPr>
            <w:r w:rsidRPr="00CD000E">
              <w:rPr>
                <w:b/>
                <w:bCs/>
                <w:sz w:val="16"/>
                <w:szCs w:val="16"/>
              </w:rPr>
              <w:t>Niveaux de référence</w:t>
            </w:r>
          </w:p>
        </w:tc>
        <w:tc>
          <w:tcPr>
            <w:tcW w:w="714" w:type="pct"/>
            <w:shd w:val="clear" w:color="auto" w:fill="auto"/>
            <w:tcMar>
              <w:top w:w="57" w:type="dxa"/>
              <w:left w:w="108" w:type="dxa"/>
              <w:right w:w="108" w:type="dxa"/>
            </w:tcMar>
            <w:vAlign w:val="center"/>
          </w:tcPr>
          <w:p w14:paraId="0725472C" w14:textId="77777777" w:rsidR="00561B47" w:rsidRPr="00CD000E" w:rsidRDefault="00561B47" w:rsidP="00561B47">
            <w:pPr>
              <w:jc w:val="center"/>
              <w:rPr>
                <w:b/>
                <w:bCs/>
                <w:sz w:val="16"/>
                <w:szCs w:val="16"/>
              </w:rPr>
            </w:pPr>
            <w:r w:rsidRPr="00CD000E">
              <w:rPr>
                <w:b/>
                <w:bCs/>
                <w:sz w:val="16"/>
                <w:szCs w:val="16"/>
              </w:rPr>
              <w:t>Objectifs visés</w:t>
            </w:r>
          </w:p>
        </w:tc>
        <w:tc>
          <w:tcPr>
            <w:tcW w:w="1282" w:type="pct"/>
            <w:shd w:val="clear" w:color="auto" w:fill="FFFFFF"/>
            <w:tcMar>
              <w:top w:w="57" w:type="dxa"/>
              <w:left w:w="108" w:type="dxa"/>
              <w:right w:w="108" w:type="dxa"/>
            </w:tcMar>
            <w:vAlign w:val="center"/>
          </w:tcPr>
          <w:p w14:paraId="3C2804C7" w14:textId="77777777" w:rsidR="00561B47" w:rsidRPr="00CD000E" w:rsidRDefault="00561B47" w:rsidP="00561B47">
            <w:pPr>
              <w:jc w:val="center"/>
              <w:rPr>
                <w:b/>
                <w:bCs/>
                <w:sz w:val="16"/>
                <w:szCs w:val="16"/>
              </w:rPr>
            </w:pPr>
            <w:r w:rsidRPr="00CD000E">
              <w:rPr>
                <w:b/>
                <w:bCs/>
                <w:sz w:val="16"/>
                <w:szCs w:val="16"/>
              </w:rPr>
              <w:t>Données relatives à l’exécution</w:t>
            </w:r>
          </w:p>
        </w:tc>
        <w:tc>
          <w:tcPr>
            <w:tcW w:w="651" w:type="pct"/>
            <w:shd w:val="clear" w:color="auto" w:fill="auto"/>
            <w:tcMar>
              <w:top w:w="57" w:type="dxa"/>
              <w:left w:w="108" w:type="dxa"/>
              <w:right w:w="108" w:type="dxa"/>
            </w:tcMar>
            <w:vAlign w:val="center"/>
          </w:tcPr>
          <w:p w14:paraId="664C1D0F" w14:textId="77777777" w:rsidR="00561B47" w:rsidRPr="00CD000E" w:rsidRDefault="00561B47" w:rsidP="00561B47">
            <w:pPr>
              <w:jc w:val="center"/>
              <w:rPr>
                <w:b/>
                <w:bCs/>
                <w:sz w:val="16"/>
                <w:szCs w:val="16"/>
              </w:rPr>
            </w:pPr>
            <w:r w:rsidRPr="00CD000E">
              <w:rPr>
                <w:b/>
                <w:bCs/>
                <w:sz w:val="16"/>
                <w:szCs w:val="16"/>
              </w:rPr>
              <w:t>Code d’évaluation</w:t>
            </w:r>
          </w:p>
        </w:tc>
      </w:tr>
      <w:tr w:rsidR="00561B47" w:rsidRPr="00CD000E" w14:paraId="6D09AB67" w14:textId="77777777" w:rsidTr="00561B47">
        <w:trPr>
          <w:cantSplit/>
        </w:trPr>
        <w:tc>
          <w:tcPr>
            <w:tcW w:w="1007" w:type="pct"/>
            <w:shd w:val="clear" w:color="auto" w:fill="auto"/>
            <w:tcMar>
              <w:left w:w="108" w:type="dxa"/>
              <w:right w:w="108" w:type="dxa"/>
            </w:tcMar>
          </w:tcPr>
          <w:p w14:paraId="5569EC0D" w14:textId="77777777" w:rsidR="00561B47" w:rsidRPr="00CD000E" w:rsidRDefault="00561B47" w:rsidP="00561B47">
            <w:pPr>
              <w:rPr>
                <w:color w:val="000000"/>
                <w:sz w:val="16"/>
                <w:szCs w:val="16"/>
              </w:rPr>
            </w:pPr>
            <w:r w:rsidRPr="00CD000E">
              <w:rPr>
                <w:sz w:val="16"/>
                <w:szCs w:val="16"/>
              </w:rPr>
              <w:t>État d’avancement de la mise en œuvre des travaux convenus selon l’ordre du jour du </w:t>
            </w:r>
            <w:r w:rsidRPr="00CD000E">
              <w:rPr>
                <w:color w:val="000000"/>
                <w:sz w:val="16"/>
                <w:szCs w:val="16"/>
              </w:rPr>
              <w:t>SCCR</w:t>
            </w:r>
          </w:p>
        </w:tc>
        <w:tc>
          <w:tcPr>
            <w:tcW w:w="1346" w:type="pct"/>
            <w:shd w:val="clear" w:color="auto" w:fill="auto"/>
            <w:tcMar>
              <w:left w:w="108" w:type="dxa"/>
              <w:right w:w="108" w:type="dxa"/>
            </w:tcMar>
          </w:tcPr>
          <w:p w14:paraId="5B9193F3" w14:textId="77777777" w:rsidR="00561B47" w:rsidRPr="002C639E" w:rsidRDefault="00561B47" w:rsidP="00561B47">
            <w:pPr>
              <w:rPr>
                <w:i/>
                <w:color w:val="002060"/>
                <w:sz w:val="16"/>
                <w:szCs w:val="16"/>
              </w:rPr>
            </w:pPr>
            <w:r w:rsidRPr="002C639E">
              <w:rPr>
                <w:i/>
                <w:color w:val="002060"/>
                <w:sz w:val="16"/>
                <w:szCs w:val="16"/>
              </w:rPr>
              <w:t>Niveau de référence actualisé à fin 2015 :</w:t>
            </w:r>
          </w:p>
          <w:p w14:paraId="7AE5BA53" w14:textId="77777777" w:rsidR="00561B47" w:rsidRPr="002C639E" w:rsidRDefault="00561B47" w:rsidP="00561B47">
            <w:pPr>
              <w:rPr>
                <w:color w:val="002060"/>
                <w:sz w:val="16"/>
                <w:szCs w:val="16"/>
              </w:rPr>
            </w:pPr>
            <w:r w:rsidRPr="002C639E">
              <w:rPr>
                <w:color w:val="002060"/>
                <w:sz w:val="16"/>
                <w:szCs w:val="16"/>
              </w:rPr>
              <w:t>Le SCCR et l’Assemblée générale de l’OMPI ne sont pas parvenus à un accord sur les mesures à prendre pour convoquer une conférence diplomatique en vue du traité sur la protection des organismes de radiodiffusion.</w:t>
            </w:r>
          </w:p>
          <w:p w14:paraId="5A29F551" w14:textId="77777777" w:rsidR="00561B47" w:rsidRPr="002C639E" w:rsidRDefault="00561B47" w:rsidP="00561B47">
            <w:pPr>
              <w:rPr>
                <w:color w:val="002060"/>
                <w:sz w:val="16"/>
                <w:szCs w:val="16"/>
              </w:rPr>
            </w:pPr>
            <w:r w:rsidRPr="002C639E">
              <w:rPr>
                <w:color w:val="002060"/>
                <w:sz w:val="16"/>
                <w:szCs w:val="16"/>
              </w:rPr>
              <w:t>Progrès tels que décrits dans le résumé présenté par le président</w:t>
            </w:r>
            <w:r w:rsidRPr="002C639E">
              <w:rPr>
                <w:rStyle w:val="FootnoteReference"/>
                <w:rFonts w:cs="Arial"/>
                <w:color w:val="002060"/>
                <w:szCs w:val="16"/>
              </w:rPr>
              <w:footnoteReference w:id="16"/>
            </w:r>
          </w:p>
          <w:p w14:paraId="16B50550" w14:textId="77777777" w:rsidR="00561B47" w:rsidRPr="002C639E" w:rsidRDefault="00561B47" w:rsidP="00561B47">
            <w:pPr>
              <w:rPr>
                <w:color w:val="000000"/>
                <w:sz w:val="16"/>
                <w:szCs w:val="16"/>
              </w:rPr>
            </w:pPr>
          </w:p>
          <w:p w14:paraId="39997C38" w14:textId="77777777" w:rsidR="00561B47" w:rsidRPr="002C639E" w:rsidRDefault="00561B47" w:rsidP="00561B47">
            <w:pPr>
              <w:rPr>
                <w:i/>
                <w:sz w:val="16"/>
                <w:szCs w:val="16"/>
                <w:lang w:bidi="th-TH"/>
              </w:rPr>
            </w:pPr>
            <w:r w:rsidRPr="002C639E">
              <w:rPr>
                <w:i/>
                <w:sz w:val="16"/>
                <w:szCs w:val="16"/>
                <w:lang w:bidi="th-TH"/>
              </w:rPr>
              <w:t>Niveau de référence initial dans le programme et budget 2016</w:t>
            </w:r>
            <w:r>
              <w:rPr>
                <w:i/>
                <w:sz w:val="16"/>
                <w:szCs w:val="16"/>
                <w:lang w:bidi="th-TH"/>
              </w:rPr>
              <w:noBreakHyphen/>
            </w:r>
            <w:r w:rsidRPr="002C639E">
              <w:rPr>
                <w:i/>
                <w:sz w:val="16"/>
                <w:szCs w:val="16"/>
                <w:lang w:bidi="th-TH"/>
              </w:rPr>
              <w:t>2017 :</w:t>
            </w:r>
          </w:p>
          <w:p w14:paraId="503F45FC" w14:textId="77777777" w:rsidR="00561B47" w:rsidRPr="002C639E" w:rsidRDefault="00561B47" w:rsidP="00561B47">
            <w:pPr>
              <w:rPr>
                <w:color w:val="000000"/>
                <w:sz w:val="16"/>
                <w:szCs w:val="16"/>
              </w:rPr>
            </w:pPr>
            <w:r w:rsidRPr="002C639E">
              <w:rPr>
                <w:sz w:val="16"/>
                <w:szCs w:val="16"/>
              </w:rPr>
              <w:t>Le SCCR et l’Assemblée générale de l’OMPI de 2014 ne sont pas parvenus à un accord sur les mesures à prendre pour convoquer une conférence diplomatique en vue du traité sur la protection des organismes de radiodiffusion</w:t>
            </w:r>
          </w:p>
        </w:tc>
        <w:tc>
          <w:tcPr>
            <w:tcW w:w="714" w:type="pct"/>
            <w:shd w:val="clear" w:color="auto" w:fill="auto"/>
            <w:tcMar>
              <w:top w:w="57" w:type="dxa"/>
              <w:left w:w="108" w:type="dxa"/>
              <w:right w:w="108" w:type="dxa"/>
            </w:tcMar>
          </w:tcPr>
          <w:p w14:paraId="266CC5FD" w14:textId="77777777" w:rsidR="00561B47" w:rsidRPr="002C639E" w:rsidRDefault="00561B47" w:rsidP="00561B47">
            <w:pPr>
              <w:rPr>
                <w:color w:val="000000"/>
                <w:sz w:val="16"/>
                <w:szCs w:val="16"/>
              </w:rPr>
            </w:pPr>
            <w:r w:rsidRPr="002C639E">
              <w:rPr>
                <w:sz w:val="16"/>
                <w:szCs w:val="16"/>
              </w:rPr>
              <w:t>Objectifs convenus du SCCR</w:t>
            </w:r>
          </w:p>
        </w:tc>
        <w:tc>
          <w:tcPr>
            <w:tcW w:w="1282" w:type="pct"/>
            <w:shd w:val="clear" w:color="auto" w:fill="FFFFFF"/>
            <w:tcMar>
              <w:top w:w="57" w:type="dxa"/>
              <w:left w:w="108" w:type="dxa"/>
              <w:right w:w="108" w:type="dxa"/>
            </w:tcMar>
          </w:tcPr>
          <w:p w14:paraId="35F454E6" w14:textId="77777777" w:rsidR="00561B47" w:rsidRPr="002C639E" w:rsidRDefault="00561B47" w:rsidP="00561B47">
            <w:pPr>
              <w:rPr>
                <w:color w:val="000000"/>
                <w:sz w:val="16"/>
                <w:szCs w:val="16"/>
              </w:rPr>
            </w:pPr>
            <w:r w:rsidRPr="002C639E">
              <w:rPr>
                <w:sz w:val="16"/>
                <w:szCs w:val="16"/>
              </w:rPr>
              <w:t>Le SCCR a réalisé des progrès sur diverses questions de fond inscrites à l’ordre du jour comme illustré dans les résumés présentés par le président (SCCR/32</w:t>
            </w:r>
            <w:r w:rsidRPr="002C639E">
              <w:rPr>
                <w:rStyle w:val="FootnoteReference"/>
                <w:rFonts w:cs="Arial"/>
                <w:color w:val="000000"/>
                <w:szCs w:val="16"/>
              </w:rPr>
              <w:footnoteReference w:id="17"/>
            </w:r>
            <w:r w:rsidRPr="002C639E">
              <w:rPr>
                <w:sz w:val="16"/>
                <w:szCs w:val="16"/>
              </w:rPr>
              <w:t xml:space="preserve"> et SCCR/33</w:t>
            </w:r>
            <w:r w:rsidRPr="002C639E">
              <w:rPr>
                <w:rStyle w:val="FootnoteReference"/>
                <w:rFonts w:cs="Arial"/>
                <w:szCs w:val="16"/>
              </w:rPr>
              <w:footnoteReference w:id="18"/>
            </w:r>
            <w:r w:rsidRPr="002C639E">
              <w:rPr>
                <w:sz w:val="16"/>
                <w:szCs w:val="16"/>
              </w:rPr>
              <w:t>), et l’Assemblée générale de l’OMPI de 2016 a chargé le SCCR de poursuivre ses travaux</w:t>
            </w:r>
          </w:p>
        </w:tc>
        <w:tc>
          <w:tcPr>
            <w:tcW w:w="651" w:type="pct"/>
            <w:shd w:val="clear" w:color="auto" w:fill="auto"/>
            <w:tcMar>
              <w:top w:w="57" w:type="dxa"/>
              <w:left w:w="108" w:type="dxa"/>
              <w:right w:w="108" w:type="dxa"/>
            </w:tcMar>
          </w:tcPr>
          <w:p w14:paraId="7969DB29" w14:textId="77777777" w:rsidR="00561B47" w:rsidRPr="00CD000E" w:rsidRDefault="00561B47" w:rsidP="00561B47">
            <w:pPr>
              <w:jc w:val="center"/>
              <w:rPr>
                <w:rFonts w:eastAsia="SimSun"/>
                <w:b/>
                <w:bCs/>
                <w:i/>
                <w:color w:val="000000"/>
                <w:sz w:val="16"/>
                <w:szCs w:val="16"/>
              </w:rPr>
            </w:pPr>
            <w:r w:rsidRPr="00CD000E">
              <w:rPr>
                <w:b/>
                <w:color w:val="00B050"/>
                <w:sz w:val="16"/>
                <w:szCs w:val="16"/>
              </w:rPr>
              <w:t>En bonne voie</w:t>
            </w:r>
          </w:p>
        </w:tc>
      </w:tr>
      <w:tr w:rsidR="00561B47" w:rsidRPr="00CD000E" w14:paraId="002B4E23" w14:textId="77777777" w:rsidTr="00561B47">
        <w:trPr>
          <w:cantSplit/>
        </w:trPr>
        <w:tc>
          <w:tcPr>
            <w:tcW w:w="5000" w:type="pct"/>
            <w:gridSpan w:val="5"/>
            <w:shd w:val="clear" w:color="auto" w:fill="C6D9F1" w:themeFill="text2" w:themeFillTint="33"/>
            <w:tcMar>
              <w:left w:w="108" w:type="dxa"/>
              <w:right w:w="108" w:type="dxa"/>
            </w:tcMar>
            <w:vAlign w:val="center"/>
          </w:tcPr>
          <w:p w14:paraId="270183D5" w14:textId="77777777" w:rsidR="00561B47" w:rsidRPr="00CD000E" w:rsidRDefault="00561B47" w:rsidP="00561B47">
            <w:pPr>
              <w:keepNext/>
              <w:keepLines/>
              <w:tabs>
                <w:tab w:val="left" w:pos="1452"/>
              </w:tabs>
              <w:rPr>
                <w:b/>
                <w:bCs/>
                <w:sz w:val="16"/>
                <w:szCs w:val="16"/>
              </w:rPr>
            </w:pPr>
            <w:r w:rsidRPr="00CD000E">
              <w:rPr>
                <w:b/>
                <w:bCs/>
                <w:sz w:val="16"/>
                <w:szCs w:val="16"/>
              </w:rPr>
              <w:lastRenderedPageBreak/>
              <w:t xml:space="preserve">Résultat escompté : </w:t>
            </w:r>
            <w:r w:rsidRPr="00CD000E">
              <w:rPr>
                <w:bCs/>
                <w:sz w:val="16"/>
                <w:szCs w:val="16"/>
              </w:rPr>
              <w:t>I.2 Cadres législatifs, réglementaires et politiques de propriété intellectuelle adaptés et équilibrés</w:t>
            </w:r>
          </w:p>
        </w:tc>
      </w:tr>
      <w:tr w:rsidR="00561B47" w:rsidRPr="00CD000E" w14:paraId="04D21A09" w14:textId="77777777" w:rsidTr="00561B47">
        <w:trPr>
          <w:cantSplit/>
        </w:trPr>
        <w:tc>
          <w:tcPr>
            <w:tcW w:w="1007" w:type="pct"/>
            <w:shd w:val="clear" w:color="auto" w:fill="auto"/>
            <w:tcMar>
              <w:left w:w="108" w:type="dxa"/>
              <w:right w:w="108" w:type="dxa"/>
            </w:tcMar>
            <w:vAlign w:val="center"/>
          </w:tcPr>
          <w:p w14:paraId="18613A55" w14:textId="77777777" w:rsidR="00561B47" w:rsidRPr="00CD000E" w:rsidRDefault="00561B47" w:rsidP="00561B47">
            <w:pPr>
              <w:keepNext/>
              <w:keepLines/>
              <w:jc w:val="center"/>
              <w:rPr>
                <w:b/>
                <w:bCs/>
                <w:sz w:val="16"/>
                <w:szCs w:val="16"/>
              </w:rPr>
            </w:pPr>
            <w:r w:rsidRPr="00CD000E">
              <w:rPr>
                <w:b/>
                <w:bCs/>
                <w:sz w:val="16"/>
                <w:szCs w:val="16"/>
              </w:rPr>
              <w:t>Indicateurs d’exécution</w:t>
            </w:r>
          </w:p>
        </w:tc>
        <w:tc>
          <w:tcPr>
            <w:tcW w:w="1346" w:type="pct"/>
            <w:shd w:val="clear" w:color="auto" w:fill="auto"/>
            <w:tcMar>
              <w:left w:w="108" w:type="dxa"/>
              <w:right w:w="108" w:type="dxa"/>
            </w:tcMar>
            <w:vAlign w:val="center"/>
          </w:tcPr>
          <w:p w14:paraId="65078966" w14:textId="77777777" w:rsidR="00561B47" w:rsidRPr="00CD000E" w:rsidRDefault="00561B47" w:rsidP="00561B47">
            <w:pPr>
              <w:keepNext/>
              <w:keepLines/>
              <w:jc w:val="center"/>
              <w:rPr>
                <w:b/>
                <w:bCs/>
                <w:sz w:val="16"/>
                <w:szCs w:val="16"/>
              </w:rPr>
            </w:pPr>
            <w:r w:rsidRPr="00CD000E">
              <w:rPr>
                <w:b/>
                <w:bCs/>
                <w:sz w:val="16"/>
                <w:szCs w:val="16"/>
              </w:rPr>
              <w:t>Niveaux de référence</w:t>
            </w:r>
          </w:p>
        </w:tc>
        <w:tc>
          <w:tcPr>
            <w:tcW w:w="714" w:type="pct"/>
            <w:shd w:val="clear" w:color="auto" w:fill="auto"/>
            <w:tcMar>
              <w:top w:w="57" w:type="dxa"/>
              <w:left w:w="108" w:type="dxa"/>
              <w:right w:w="108" w:type="dxa"/>
            </w:tcMar>
            <w:vAlign w:val="center"/>
          </w:tcPr>
          <w:p w14:paraId="6D2EF0F0" w14:textId="77777777" w:rsidR="00561B47" w:rsidRPr="00CD000E" w:rsidRDefault="00561B47" w:rsidP="00561B47">
            <w:pPr>
              <w:keepNext/>
              <w:keepLines/>
              <w:jc w:val="center"/>
              <w:rPr>
                <w:b/>
                <w:bCs/>
                <w:sz w:val="16"/>
                <w:szCs w:val="16"/>
              </w:rPr>
            </w:pPr>
            <w:r w:rsidRPr="00CD000E">
              <w:rPr>
                <w:b/>
                <w:bCs/>
                <w:sz w:val="16"/>
                <w:szCs w:val="16"/>
              </w:rPr>
              <w:t>Objectifs visés</w:t>
            </w:r>
          </w:p>
        </w:tc>
        <w:tc>
          <w:tcPr>
            <w:tcW w:w="1282" w:type="pct"/>
            <w:shd w:val="clear" w:color="auto" w:fill="FFFFFF"/>
            <w:tcMar>
              <w:top w:w="57" w:type="dxa"/>
              <w:left w:w="108" w:type="dxa"/>
              <w:right w:w="108" w:type="dxa"/>
            </w:tcMar>
            <w:vAlign w:val="center"/>
          </w:tcPr>
          <w:p w14:paraId="3CDE2644" w14:textId="77777777" w:rsidR="00561B47" w:rsidRPr="00CD000E" w:rsidRDefault="00561B47" w:rsidP="00561B47">
            <w:pPr>
              <w:keepNext/>
              <w:keepLines/>
              <w:jc w:val="center"/>
              <w:rPr>
                <w:b/>
                <w:bCs/>
                <w:sz w:val="16"/>
                <w:szCs w:val="16"/>
              </w:rPr>
            </w:pPr>
            <w:r w:rsidRPr="00CD000E">
              <w:rPr>
                <w:b/>
                <w:bCs/>
                <w:sz w:val="16"/>
                <w:szCs w:val="16"/>
              </w:rPr>
              <w:t>Données relatives à l’exécution</w:t>
            </w:r>
          </w:p>
        </w:tc>
        <w:tc>
          <w:tcPr>
            <w:tcW w:w="651" w:type="pct"/>
            <w:shd w:val="clear" w:color="auto" w:fill="auto"/>
            <w:tcMar>
              <w:top w:w="57" w:type="dxa"/>
              <w:left w:w="108" w:type="dxa"/>
              <w:right w:w="108" w:type="dxa"/>
            </w:tcMar>
            <w:vAlign w:val="center"/>
          </w:tcPr>
          <w:p w14:paraId="316EDAF1" w14:textId="77777777" w:rsidR="00561B47" w:rsidRPr="00CD000E" w:rsidRDefault="00561B47" w:rsidP="00561B47">
            <w:pPr>
              <w:keepNext/>
              <w:keepLines/>
              <w:jc w:val="center"/>
              <w:rPr>
                <w:b/>
                <w:bCs/>
                <w:sz w:val="16"/>
                <w:szCs w:val="16"/>
              </w:rPr>
            </w:pPr>
            <w:r w:rsidRPr="00CD000E">
              <w:rPr>
                <w:b/>
                <w:bCs/>
                <w:sz w:val="16"/>
                <w:szCs w:val="16"/>
              </w:rPr>
              <w:t>Code d’évaluation</w:t>
            </w:r>
          </w:p>
        </w:tc>
      </w:tr>
      <w:tr w:rsidR="00561B47" w:rsidRPr="00CD000E" w14:paraId="2397D310" w14:textId="77777777" w:rsidTr="00561B47">
        <w:trPr>
          <w:cantSplit/>
        </w:trPr>
        <w:tc>
          <w:tcPr>
            <w:tcW w:w="1007" w:type="pct"/>
            <w:shd w:val="clear" w:color="auto" w:fill="auto"/>
            <w:tcMar>
              <w:left w:w="108" w:type="dxa"/>
              <w:right w:w="108" w:type="dxa"/>
            </w:tcMar>
          </w:tcPr>
          <w:p w14:paraId="0B3D6D84" w14:textId="77777777" w:rsidR="00561B47" w:rsidRPr="00CD000E" w:rsidRDefault="00561B47" w:rsidP="00561B47">
            <w:pPr>
              <w:rPr>
                <w:sz w:val="16"/>
                <w:szCs w:val="16"/>
              </w:rPr>
            </w:pPr>
            <w:r w:rsidRPr="00CD000E">
              <w:rPr>
                <w:sz w:val="16"/>
                <w:szCs w:val="16"/>
              </w:rPr>
              <w:t>Nombre de pays ayant ratifié le Traité de Beijing ou y ayant adhéré</w:t>
            </w:r>
          </w:p>
        </w:tc>
        <w:tc>
          <w:tcPr>
            <w:tcW w:w="1346" w:type="pct"/>
            <w:shd w:val="clear" w:color="auto" w:fill="auto"/>
            <w:tcMar>
              <w:left w:w="108" w:type="dxa"/>
              <w:right w:w="108" w:type="dxa"/>
            </w:tcMar>
          </w:tcPr>
          <w:p w14:paraId="4E9F14CE" w14:textId="77777777" w:rsidR="00561B47" w:rsidRPr="00CD000E" w:rsidRDefault="00561B47" w:rsidP="00561B47">
            <w:pPr>
              <w:rPr>
                <w:i/>
                <w:color w:val="002060"/>
                <w:sz w:val="16"/>
                <w:szCs w:val="16"/>
              </w:rPr>
            </w:pPr>
            <w:r w:rsidRPr="00CD000E">
              <w:rPr>
                <w:i/>
                <w:color w:val="002060"/>
                <w:sz w:val="16"/>
                <w:szCs w:val="16"/>
              </w:rPr>
              <w:t>Niveau de référence actualisé à fin 2015 :</w:t>
            </w:r>
          </w:p>
          <w:p w14:paraId="47EDF0FC" w14:textId="77777777" w:rsidR="00561B47" w:rsidRPr="002C639E" w:rsidRDefault="00561B47" w:rsidP="00561B47">
            <w:pPr>
              <w:rPr>
                <w:color w:val="002060"/>
                <w:sz w:val="16"/>
                <w:szCs w:val="16"/>
              </w:rPr>
            </w:pPr>
            <w:r w:rsidRPr="002C639E">
              <w:rPr>
                <w:color w:val="002060"/>
                <w:sz w:val="16"/>
                <w:szCs w:val="16"/>
              </w:rPr>
              <w:t>10 pays au total (Botswana, Chili, Chine, Émirats arabes unis, Fédération de Russie, Japon, Qatar, République arabe syrienne, République de Moldova, Slovaquie)</w:t>
            </w:r>
          </w:p>
          <w:p w14:paraId="0E42DEB3" w14:textId="77777777" w:rsidR="00561B47" w:rsidRPr="00CD000E" w:rsidRDefault="00561B47" w:rsidP="00561B47">
            <w:pPr>
              <w:rPr>
                <w:color w:val="000000"/>
                <w:sz w:val="16"/>
                <w:szCs w:val="16"/>
              </w:rPr>
            </w:pPr>
          </w:p>
          <w:p w14:paraId="366622C3" w14:textId="77777777" w:rsidR="00561B47" w:rsidRPr="00CD000E" w:rsidRDefault="00561B47" w:rsidP="00561B47">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0750735A" w14:textId="77777777" w:rsidR="00561B47" w:rsidRPr="00CD000E" w:rsidRDefault="00561B47" w:rsidP="00561B47">
            <w:pPr>
              <w:rPr>
                <w:color w:val="000000"/>
                <w:sz w:val="16"/>
                <w:szCs w:val="16"/>
              </w:rPr>
            </w:pPr>
            <w:r w:rsidRPr="00CD000E">
              <w:rPr>
                <w:sz w:val="16"/>
                <w:szCs w:val="16"/>
              </w:rPr>
              <w:t>6 (fin 2014)</w:t>
            </w:r>
          </w:p>
        </w:tc>
        <w:tc>
          <w:tcPr>
            <w:tcW w:w="714" w:type="pct"/>
            <w:shd w:val="clear" w:color="auto" w:fill="auto"/>
            <w:tcMar>
              <w:top w:w="57" w:type="dxa"/>
              <w:left w:w="108" w:type="dxa"/>
              <w:right w:w="108" w:type="dxa"/>
            </w:tcMar>
          </w:tcPr>
          <w:p w14:paraId="3465F560" w14:textId="77777777" w:rsidR="00561B47" w:rsidRPr="00CD000E" w:rsidRDefault="00561B47" w:rsidP="00561B47">
            <w:pPr>
              <w:rPr>
                <w:color w:val="000000"/>
                <w:sz w:val="16"/>
                <w:szCs w:val="16"/>
              </w:rPr>
            </w:pPr>
            <w:r w:rsidRPr="00CD000E">
              <w:rPr>
                <w:sz w:val="16"/>
                <w:szCs w:val="16"/>
              </w:rPr>
              <w:t xml:space="preserve">30 </w:t>
            </w:r>
            <w:r w:rsidRPr="00CD000E">
              <w:rPr>
                <w:color w:val="000000"/>
                <w:sz w:val="16"/>
                <w:szCs w:val="16"/>
              </w:rPr>
              <w:t>(</w:t>
            </w:r>
            <w:r w:rsidRPr="00CD000E">
              <w:rPr>
                <w:sz w:val="16"/>
                <w:szCs w:val="16"/>
              </w:rPr>
              <w:t>au total)</w:t>
            </w:r>
          </w:p>
        </w:tc>
        <w:tc>
          <w:tcPr>
            <w:tcW w:w="1282" w:type="pct"/>
            <w:shd w:val="clear" w:color="auto" w:fill="FFFFFF"/>
            <w:tcMar>
              <w:top w:w="57" w:type="dxa"/>
              <w:left w:w="108" w:type="dxa"/>
              <w:right w:w="108" w:type="dxa"/>
            </w:tcMar>
          </w:tcPr>
          <w:p w14:paraId="468327C3" w14:textId="77777777" w:rsidR="00561B47" w:rsidRPr="00CD000E" w:rsidRDefault="00561B47" w:rsidP="00561B47">
            <w:pPr>
              <w:rPr>
                <w:sz w:val="16"/>
                <w:szCs w:val="16"/>
              </w:rPr>
            </w:pPr>
            <w:r w:rsidRPr="00CD000E">
              <w:rPr>
                <w:sz w:val="16"/>
                <w:szCs w:val="16"/>
              </w:rPr>
              <w:t>5 pays supplémentaires</w:t>
            </w:r>
            <w:r w:rsidRPr="00CD000E">
              <w:rPr>
                <w:color w:val="000000"/>
                <w:sz w:val="16"/>
                <w:szCs w:val="16"/>
              </w:rPr>
              <w:t> :</w:t>
            </w:r>
          </w:p>
          <w:p w14:paraId="30992D0C" w14:textId="77777777" w:rsidR="00561B47" w:rsidRPr="00CD000E" w:rsidRDefault="00561B47" w:rsidP="00561B47">
            <w:pPr>
              <w:rPr>
                <w:sz w:val="16"/>
                <w:szCs w:val="16"/>
              </w:rPr>
            </w:pPr>
            <w:r w:rsidRPr="00CD000E">
              <w:rPr>
                <w:sz w:val="16"/>
                <w:szCs w:val="16"/>
              </w:rPr>
              <w:t>(El Salvador, Gabon, République populaire démocratique de Corée, Saint</w:t>
            </w:r>
            <w:r>
              <w:rPr>
                <w:sz w:val="16"/>
                <w:szCs w:val="16"/>
              </w:rPr>
              <w:noBreakHyphen/>
            </w:r>
            <w:r w:rsidRPr="00CD000E">
              <w:rPr>
                <w:sz w:val="16"/>
                <w:szCs w:val="16"/>
              </w:rPr>
              <w:t>Vincent</w:t>
            </w:r>
            <w:r>
              <w:rPr>
                <w:sz w:val="16"/>
                <w:szCs w:val="16"/>
              </w:rPr>
              <w:noBreakHyphen/>
            </w:r>
            <w:r w:rsidRPr="00CD000E">
              <w:rPr>
                <w:sz w:val="16"/>
                <w:szCs w:val="16"/>
              </w:rPr>
              <w:t>et</w:t>
            </w:r>
            <w:r>
              <w:rPr>
                <w:sz w:val="16"/>
                <w:szCs w:val="16"/>
              </w:rPr>
              <w:noBreakHyphen/>
            </w:r>
            <w:r w:rsidRPr="00CD000E">
              <w:rPr>
                <w:sz w:val="16"/>
                <w:szCs w:val="16"/>
              </w:rPr>
              <w:t>les Grenadines, Tunisie)</w:t>
            </w:r>
          </w:p>
          <w:p w14:paraId="7F61EA97" w14:textId="77777777" w:rsidR="00561B47" w:rsidRPr="00CD000E" w:rsidRDefault="00561B47" w:rsidP="00561B47">
            <w:pPr>
              <w:rPr>
                <w:color w:val="000000"/>
                <w:sz w:val="16"/>
                <w:szCs w:val="16"/>
              </w:rPr>
            </w:pPr>
            <w:r w:rsidRPr="00CD000E">
              <w:rPr>
                <w:sz w:val="16"/>
                <w:szCs w:val="16"/>
              </w:rPr>
              <w:t>(15 au total à la fin de 2016)</w:t>
            </w:r>
          </w:p>
        </w:tc>
        <w:tc>
          <w:tcPr>
            <w:tcW w:w="651" w:type="pct"/>
            <w:shd w:val="clear" w:color="auto" w:fill="auto"/>
            <w:tcMar>
              <w:top w:w="57" w:type="dxa"/>
              <w:left w:w="108" w:type="dxa"/>
              <w:right w:w="108" w:type="dxa"/>
            </w:tcMar>
          </w:tcPr>
          <w:p w14:paraId="6A719CC3" w14:textId="77777777" w:rsidR="00561B47" w:rsidRPr="00CD000E" w:rsidRDefault="00561B47" w:rsidP="00561B47">
            <w:pPr>
              <w:jc w:val="center"/>
              <w:rPr>
                <w:b/>
                <w:color w:val="000000"/>
                <w:sz w:val="16"/>
                <w:szCs w:val="16"/>
              </w:rPr>
            </w:pPr>
            <w:r w:rsidRPr="00CD000E">
              <w:rPr>
                <w:b/>
                <w:color w:val="FF0000"/>
                <w:sz w:val="16"/>
                <w:szCs w:val="16"/>
              </w:rPr>
              <w:t>Pas en bonne voie</w:t>
            </w:r>
          </w:p>
        </w:tc>
      </w:tr>
      <w:tr w:rsidR="00561B47" w:rsidRPr="00CD000E" w14:paraId="1F868CF2" w14:textId="77777777" w:rsidTr="00561B47">
        <w:trPr>
          <w:cantSplit/>
        </w:trPr>
        <w:tc>
          <w:tcPr>
            <w:tcW w:w="1007" w:type="pct"/>
            <w:shd w:val="clear" w:color="auto" w:fill="auto"/>
            <w:tcMar>
              <w:left w:w="108" w:type="dxa"/>
              <w:right w:w="108" w:type="dxa"/>
            </w:tcMar>
          </w:tcPr>
          <w:p w14:paraId="1288C7B6" w14:textId="77777777" w:rsidR="00561B47" w:rsidRPr="00CD000E" w:rsidRDefault="00561B47" w:rsidP="00561B47">
            <w:pPr>
              <w:rPr>
                <w:sz w:val="16"/>
                <w:szCs w:val="16"/>
              </w:rPr>
            </w:pPr>
            <w:r w:rsidRPr="00CD000E">
              <w:rPr>
                <w:sz w:val="16"/>
                <w:szCs w:val="16"/>
              </w:rPr>
              <w:t>Nombre de pays ayant ratifié le Traité de Marrakech ou y ayant adhéré</w:t>
            </w:r>
          </w:p>
        </w:tc>
        <w:tc>
          <w:tcPr>
            <w:tcW w:w="1346" w:type="pct"/>
            <w:shd w:val="clear" w:color="auto" w:fill="auto"/>
            <w:tcMar>
              <w:left w:w="108" w:type="dxa"/>
              <w:right w:w="108" w:type="dxa"/>
            </w:tcMar>
          </w:tcPr>
          <w:p w14:paraId="24623BC1" w14:textId="77777777" w:rsidR="00561B47" w:rsidRPr="00CD000E" w:rsidRDefault="00561B47" w:rsidP="00561B47">
            <w:pPr>
              <w:rPr>
                <w:i/>
                <w:color w:val="002060"/>
                <w:sz w:val="16"/>
                <w:szCs w:val="16"/>
              </w:rPr>
            </w:pPr>
            <w:r w:rsidRPr="00CD000E">
              <w:rPr>
                <w:i/>
                <w:color w:val="002060"/>
                <w:sz w:val="16"/>
                <w:szCs w:val="16"/>
              </w:rPr>
              <w:t>Niveau de référence actualisé à fin 2015 :</w:t>
            </w:r>
          </w:p>
          <w:p w14:paraId="679B1C26" w14:textId="77777777" w:rsidR="00561B47" w:rsidRPr="002C639E" w:rsidRDefault="00561B47" w:rsidP="00561B47">
            <w:pPr>
              <w:rPr>
                <w:color w:val="002060"/>
                <w:sz w:val="16"/>
                <w:szCs w:val="16"/>
              </w:rPr>
            </w:pPr>
            <w:r w:rsidRPr="00CD000E">
              <w:rPr>
                <w:color w:val="002060"/>
                <w:sz w:val="16"/>
                <w:szCs w:val="16"/>
              </w:rPr>
              <w:t>13 pays au tot</w:t>
            </w:r>
            <w:r w:rsidRPr="002C639E">
              <w:rPr>
                <w:color w:val="002060"/>
                <w:sz w:val="16"/>
                <w:szCs w:val="16"/>
              </w:rPr>
              <w:t>al : (Argentine, Australie, Brésil, El Salvador, Émirats arabes unis, Inde, Mali, Mexique, Mongolie, Paraguay, République de Corée, Singapour, Uruguay)</w:t>
            </w:r>
          </w:p>
          <w:p w14:paraId="4493D11F" w14:textId="77777777" w:rsidR="00561B47" w:rsidRPr="00CD000E" w:rsidRDefault="00561B47" w:rsidP="00561B47">
            <w:pPr>
              <w:rPr>
                <w:color w:val="002060"/>
                <w:sz w:val="16"/>
                <w:szCs w:val="16"/>
              </w:rPr>
            </w:pPr>
          </w:p>
          <w:p w14:paraId="75CA5AA4" w14:textId="77777777" w:rsidR="00561B47" w:rsidRPr="00CD000E" w:rsidRDefault="00561B47" w:rsidP="00561B47">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6F04313F" w14:textId="77777777" w:rsidR="00561B47" w:rsidRPr="00CD000E" w:rsidRDefault="00561B47" w:rsidP="00561B47">
            <w:pPr>
              <w:rPr>
                <w:i/>
                <w:color w:val="002060"/>
                <w:sz w:val="16"/>
                <w:szCs w:val="16"/>
              </w:rPr>
            </w:pPr>
            <w:r w:rsidRPr="00CD000E">
              <w:rPr>
                <w:i/>
                <w:sz w:val="16"/>
                <w:szCs w:val="16"/>
              </w:rPr>
              <w:t>5 (fin 2014)</w:t>
            </w:r>
          </w:p>
        </w:tc>
        <w:tc>
          <w:tcPr>
            <w:tcW w:w="714" w:type="pct"/>
            <w:shd w:val="clear" w:color="auto" w:fill="auto"/>
            <w:tcMar>
              <w:top w:w="57" w:type="dxa"/>
              <w:left w:w="108" w:type="dxa"/>
              <w:right w:w="108" w:type="dxa"/>
            </w:tcMar>
          </w:tcPr>
          <w:p w14:paraId="0EE23ED7" w14:textId="77777777" w:rsidR="00561B47" w:rsidRPr="00CD000E" w:rsidRDefault="00561B47" w:rsidP="00561B47">
            <w:pPr>
              <w:rPr>
                <w:color w:val="000000"/>
                <w:sz w:val="16"/>
                <w:szCs w:val="16"/>
              </w:rPr>
            </w:pPr>
            <w:r w:rsidRPr="00CD000E">
              <w:rPr>
                <w:sz w:val="16"/>
                <w:szCs w:val="16"/>
              </w:rPr>
              <w:t xml:space="preserve">20 </w:t>
            </w:r>
            <w:r w:rsidRPr="00CD000E">
              <w:rPr>
                <w:color w:val="000000"/>
                <w:sz w:val="16"/>
                <w:szCs w:val="16"/>
              </w:rPr>
              <w:t>(</w:t>
            </w:r>
            <w:r w:rsidRPr="00CD000E">
              <w:rPr>
                <w:sz w:val="16"/>
                <w:szCs w:val="16"/>
              </w:rPr>
              <w:t>au total)</w:t>
            </w:r>
          </w:p>
        </w:tc>
        <w:tc>
          <w:tcPr>
            <w:tcW w:w="1282" w:type="pct"/>
            <w:shd w:val="clear" w:color="auto" w:fill="FFFFFF"/>
            <w:tcMar>
              <w:top w:w="57" w:type="dxa"/>
              <w:left w:w="108" w:type="dxa"/>
              <w:right w:w="108" w:type="dxa"/>
            </w:tcMar>
          </w:tcPr>
          <w:p w14:paraId="189188D0" w14:textId="77777777" w:rsidR="00561B47" w:rsidRPr="00CD000E" w:rsidRDefault="00561B47" w:rsidP="00561B47">
            <w:pPr>
              <w:rPr>
                <w:sz w:val="16"/>
                <w:szCs w:val="16"/>
              </w:rPr>
            </w:pPr>
            <w:r w:rsidRPr="00CD000E">
              <w:rPr>
                <w:sz w:val="16"/>
                <w:szCs w:val="16"/>
              </w:rPr>
              <w:t>12 pays supplémentaires</w:t>
            </w:r>
            <w:r w:rsidRPr="00CD000E">
              <w:rPr>
                <w:color w:val="000000"/>
                <w:sz w:val="16"/>
                <w:szCs w:val="16"/>
              </w:rPr>
              <w:t> :</w:t>
            </w:r>
          </w:p>
          <w:p w14:paraId="223A4AB6" w14:textId="77777777" w:rsidR="00561B47" w:rsidRPr="00CD000E" w:rsidRDefault="00561B47" w:rsidP="00561B47">
            <w:pPr>
              <w:rPr>
                <w:sz w:val="16"/>
                <w:szCs w:val="16"/>
              </w:rPr>
            </w:pPr>
            <w:r w:rsidRPr="00CD000E">
              <w:rPr>
                <w:sz w:val="16"/>
                <w:szCs w:val="16"/>
              </w:rPr>
              <w:t>(Botswana, Canada, Chili, Équateur, Guatemala, Israël, Libéria, Pérou, République populaire démocratique de Corée, Saint</w:t>
            </w:r>
            <w:r>
              <w:rPr>
                <w:sz w:val="16"/>
                <w:szCs w:val="16"/>
              </w:rPr>
              <w:noBreakHyphen/>
            </w:r>
            <w:r w:rsidRPr="00CD000E">
              <w:rPr>
                <w:sz w:val="16"/>
                <w:szCs w:val="16"/>
              </w:rPr>
              <w:t>Vincent</w:t>
            </w:r>
            <w:r>
              <w:rPr>
                <w:sz w:val="16"/>
                <w:szCs w:val="16"/>
              </w:rPr>
              <w:noBreakHyphen/>
            </w:r>
            <w:r w:rsidRPr="00CD000E">
              <w:rPr>
                <w:sz w:val="16"/>
                <w:szCs w:val="16"/>
              </w:rPr>
              <w:t>et</w:t>
            </w:r>
            <w:r>
              <w:rPr>
                <w:sz w:val="16"/>
                <w:szCs w:val="16"/>
              </w:rPr>
              <w:noBreakHyphen/>
            </w:r>
            <w:r w:rsidRPr="00CD000E">
              <w:rPr>
                <w:sz w:val="16"/>
                <w:szCs w:val="16"/>
              </w:rPr>
              <w:t>les Grenadines, Sri Lanka, Tunisie)</w:t>
            </w:r>
          </w:p>
          <w:p w14:paraId="09F8FA5F" w14:textId="60E0FC68" w:rsidR="00561B47" w:rsidRPr="00CD000E" w:rsidRDefault="00561B47" w:rsidP="00A83D07">
            <w:pPr>
              <w:rPr>
                <w:color w:val="000000"/>
                <w:sz w:val="16"/>
                <w:szCs w:val="16"/>
              </w:rPr>
            </w:pPr>
            <w:r w:rsidRPr="00CD000E">
              <w:rPr>
                <w:sz w:val="16"/>
                <w:szCs w:val="16"/>
              </w:rPr>
              <w:t>(25 au total)</w:t>
            </w:r>
          </w:p>
        </w:tc>
        <w:tc>
          <w:tcPr>
            <w:tcW w:w="651" w:type="pct"/>
            <w:shd w:val="clear" w:color="auto" w:fill="auto"/>
            <w:tcMar>
              <w:top w:w="57" w:type="dxa"/>
              <w:left w:w="108" w:type="dxa"/>
              <w:right w:w="108" w:type="dxa"/>
            </w:tcMar>
          </w:tcPr>
          <w:p w14:paraId="2FA9C8BB" w14:textId="77777777" w:rsidR="00561B47" w:rsidRPr="00CD000E" w:rsidRDefault="00561B47" w:rsidP="00561B47">
            <w:pPr>
              <w:jc w:val="center"/>
              <w:rPr>
                <w:b/>
                <w:color w:val="000000"/>
                <w:sz w:val="16"/>
                <w:szCs w:val="16"/>
              </w:rPr>
            </w:pPr>
            <w:r w:rsidRPr="00CD000E">
              <w:rPr>
                <w:b/>
                <w:color w:val="00B050"/>
                <w:sz w:val="16"/>
                <w:szCs w:val="16"/>
              </w:rPr>
              <w:t>En bonne voie</w:t>
            </w:r>
          </w:p>
        </w:tc>
      </w:tr>
      <w:tr w:rsidR="00561B47" w:rsidRPr="00CD000E" w14:paraId="5CD67AE4" w14:textId="77777777" w:rsidTr="00561B47">
        <w:trPr>
          <w:cantSplit/>
        </w:trPr>
        <w:tc>
          <w:tcPr>
            <w:tcW w:w="1007" w:type="pct"/>
            <w:shd w:val="clear" w:color="auto" w:fill="auto"/>
            <w:tcMar>
              <w:left w:w="108" w:type="dxa"/>
              <w:right w:w="108" w:type="dxa"/>
            </w:tcMar>
          </w:tcPr>
          <w:p w14:paraId="07D9DFAF" w14:textId="77777777" w:rsidR="00561B47" w:rsidRPr="00CD000E" w:rsidRDefault="00561B47" w:rsidP="00561B47">
            <w:pPr>
              <w:rPr>
                <w:sz w:val="16"/>
                <w:szCs w:val="16"/>
              </w:rPr>
            </w:pPr>
            <w:r w:rsidRPr="00CD000E">
              <w:rPr>
                <w:sz w:val="16"/>
                <w:szCs w:val="16"/>
              </w:rPr>
              <w:t>Nombre de ratifications ou d’adhésions relatives aux traités de droit d’auteur en vigueur, notamment la Convention de Berne, la Convention de Rome et les traités Internet</w:t>
            </w:r>
          </w:p>
        </w:tc>
        <w:tc>
          <w:tcPr>
            <w:tcW w:w="1346" w:type="pct"/>
            <w:shd w:val="clear" w:color="auto" w:fill="auto"/>
            <w:tcMar>
              <w:left w:w="108" w:type="dxa"/>
              <w:right w:w="108" w:type="dxa"/>
            </w:tcMar>
          </w:tcPr>
          <w:p w14:paraId="4C66DFCA" w14:textId="77777777" w:rsidR="00561B47" w:rsidRPr="00CD000E" w:rsidRDefault="00561B47" w:rsidP="00561B47">
            <w:pPr>
              <w:rPr>
                <w:i/>
                <w:color w:val="002060"/>
                <w:sz w:val="16"/>
                <w:szCs w:val="16"/>
              </w:rPr>
            </w:pPr>
            <w:r w:rsidRPr="00CD000E">
              <w:rPr>
                <w:i/>
                <w:color w:val="002060"/>
                <w:sz w:val="16"/>
                <w:szCs w:val="16"/>
              </w:rPr>
              <w:t>Niveau de référence actualisé à fin 2015 :</w:t>
            </w:r>
          </w:p>
          <w:p w14:paraId="21A43076" w14:textId="77777777" w:rsidR="00561B47" w:rsidRPr="00CD000E" w:rsidRDefault="00561B47" w:rsidP="00561B47">
            <w:pPr>
              <w:rPr>
                <w:color w:val="002060"/>
                <w:sz w:val="16"/>
                <w:szCs w:val="16"/>
              </w:rPr>
            </w:pPr>
            <w:r w:rsidRPr="00CD000E">
              <w:rPr>
                <w:color w:val="002060"/>
                <w:sz w:val="16"/>
                <w:szCs w:val="16"/>
              </w:rPr>
              <w:t>5 nouvelles ratifications en 2014</w:t>
            </w:r>
            <w:r>
              <w:rPr>
                <w:color w:val="002060"/>
                <w:sz w:val="16"/>
                <w:szCs w:val="16"/>
              </w:rPr>
              <w:noBreakHyphen/>
            </w:r>
            <w:r w:rsidRPr="00CD000E">
              <w:rPr>
                <w:color w:val="002060"/>
                <w:sz w:val="16"/>
                <w:szCs w:val="16"/>
              </w:rPr>
              <w:t>2015</w:t>
            </w:r>
          </w:p>
          <w:p w14:paraId="32E3DDCF" w14:textId="77777777" w:rsidR="00561B47" w:rsidRPr="00CD000E" w:rsidRDefault="00561B47" w:rsidP="00561B47">
            <w:pPr>
              <w:rPr>
                <w:color w:val="000000"/>
                <w:sz w:val="16"/>
                <w:szCs w:val="16"/>
              </w:rPr>
            </w:pPr>
          </w:p>
          <w:p w14:paraId="6AC117DA" w14:textId="77777777" w:rsidR="00561B47" w:rsidRPr="00CD000E" w:rsidRDefault="00561B47" w:rsidP="00561B47">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0CBCF53E" w14:textId="77777777" w:rsidR="00561B47" w:rsidRPr="00CD000E" w:rsidRDefault="00561B47" w:rsidP="00561B47">
            <w:pPr>
              <w:rPr>
                <w:color w:val="000000"/>
                <w:sz w:val="16"/>
                <w:szCs w:val="16"/>
              </w:rPr>
            </w:pPr>
            <w:proofErr w:type="spellStart"/>
            <w:r w:rsidRPr="00CD000E">
              <w:rPr>
                <w:sz w:val="16"/>
                <w:szCs w:val="16"/>
              </w:rPr>
              <w:t>s.o</w:t>
            </w:r>
            <w:proofErr w:type="spellEnd"/>
            <w:r w:rsidRPr="00CD000E">
              <w:rPr>
                <w:sz w:val="16"/>
                <w:szCs w:val="16"/>
              </w:rPr>
              <w:t>. (indicateur révisé)</w:t>
            </w:r>
          </w:p>
        </w:tc>
        <w:tc>
          <w:tcPr>
            <w:tcW w:w="714" w:type="pct"/>
            <w:shd w:val="clear" w:color="auto" w:fill="auto"/>
            <w:tcMar>
              <w:top w:w="57" w:type="dxa"/>
              <w:left w:w="108" w:type="dxa"/>
              <w:right w:w="108" w:type="dxa"/>
            </w:tcMar>
          </w:tcPr>
          <w:p w14:paraId="48190658" w14:textId="77777777" w:rsidR="00561B47" w:rsidRPr="00CD000E" w:rsidRDefault="00561B47" w:rsidP="00561B47">
            <w:pPr>
              <w:rPr>
                <w:color w:val="000000"/>
                <w:sz w:val="16"/>
                <w:szCs w:val="16"/>
              </w:rPr>
            </w:pPr>
            <w:r w:rsidRPr="00CD000E">
              <w:rPr>
                <w:color w:val="000000"/>
                <w:sz w:val="16"/>
                <w:szCs w:val="16"/>
              </w:rPr>
              <w:t>10 nouvelles ratifications pour tous les traités</w:t>
            </w:r>
          </w:p>
        </w:tc>
        <w:tc>
          <w:tcPr>
            <w:tcW w:w="1282" w:type="pct"/>
            <w:shd w:val="clear" w:color="auto" w:fill="FFFFFF"/>
            <w:tcMar>
              <w:top w:w="57" w:type="dxa"/>
              <w:left w:w="108" w:type="dxa"/>
              <w:right w:w="108" w:type="dxa"/>
            </w:tcMar>
          </w:tcPr>
          <w:p w14:paraId="03152800" w14:textId="77777777" w:rsidR="00561B47" w:rsidRPr="00CD000E" w:rsidRDefault="00561B47" w:rsidP="00561B47">
            <w:pPr>
              <w:rPr>
                <w:color w:val="000000"/>
                <w:sz w:val="16"/>
                <w:szCs w:val="16"/>
              </w:rPr>
            </w:pPr>
            <w:r w:rsidRPr="00CD000E">
              <w:rPr>
                <w:color w:val="000000"/>
                <w:sz w:val="16"/>
                <w:szCs w:val="16"/>
              </w:rPr>
              <w:t>5 nouvelles ratifications :</w:t>
            </w:r>
          </w:p>
          <w:p w14:paraId="5DAC4D28" w14:textId="77777777" w:rsidR="00561B47" w:rsidRPr="00CD000E" w:rsidRDefault="00561B47" w:rsidP="00561B47">
            <w:pPr>
              <w:rPr>
                <w:color w:val="000000"/>
                <w:sz w:val="16"/>
                <w:szCs w:val="16"/>
              </w:rPr>
            </w:pPr>
            <w:r w:rsidRPr="00CD000E">
              <w:rPr>
                <w:color w:val="000000"/>
                <w:sz w:val="16"/>
                <w:szCs w:val="16"/>
              </w:rPr>
              <w:t>Convention de Berne : 3 (171 au total)</w:t>
            </w:r>
          </w:p>
          <w:p w14:paraId="3618EA79" w14:textId="77777777" w:rsidR="00561B47" w:rsidRPr="00CD000E" w:rsidRDefault="00561B47" w:rsidP="00561B47">
            <w:pPr>
              <w:rPr>
                <w:color w:val="000000"/>
                <w:sz w:val="16"/>
                <w:szCs w:val="16"/>
              </w:rPr>
            </w:pPr>
            <w:r w:rsidRPr="00CD000E">
              <w:rPr>
                <w:color w:val="000000"/>
                <w:sz w:val="16"/>
                <w:szCs w:val="16"/>
              </w:rPr>
              <w:t>Traités Internet : 1 (189 au total)</w:t>
            </w:r>
          </w:p>
          <w:p w14:paraId="74E806DC" w14:textId="77777777" w:rsidR="00561B47" w:rsidRPr="00CD000E" w:rsidRDefault="00561B47" w:rsidP="00561B47">
            <w:pPr>
              <w:rPr>
                <w:color w:val="000000"/>
                <w:sz w:val="16"/>
                <w:szCs w:val="16"/>
              </w:rPr>
            </w:pPr>
            <w:r w:rsidRPr="00CD000E">
              <w:rPr>
                <w:color w:val="000000"/>
                <w:sz w:val="16"/>
                <w:szCs w:val="16"/>
              </w:rPr>
              <w:t>Convention phonogrammes : 1 (79 au total)</w:t>
            </w:r>
          </w:p>
        </w:tc>
        <w:tc>
          <w:tcPr>
            <w:tcW w:w="651" w:type="pct"/>
            <w:shd w:val="clear" w:color="auto" w:fill="auto"/>
            <w:tcMar>
              <w:top w:w="57" w:type="dxa"/>
              <w:left w:w="108" w:type="dxa"/>
              <w:right w:w="108" w:type="dxa"/>
            </w:tcMar>
          </w:tcPr>
          <w:p w14:paraId="045C1D23" w14:textId="77777777" w:rsidR="00561B47" w:rsidRPr="00CD000E" w:rsidRDefault="00561B47" w:rsidP="00561B47">
            <w:pPr>
              <w:jc w:val="center"/>
              <w:rPr>
                <w:b/>
                <w:color w:val="000000"/>
                <w:sz w:val="16"/>
                <w:szCs w:val="16"/>
              </w:rPr>
            </w:pPr>
            <w:r w:rsidRPr="00CD000E">
              <w:rPr>
                <w:b/>
                <w:color w:val="00B050"/>
                <w:sz w:val="16"/>
                <w:szCs w:val="16"/>
              </w:rPr>
              <w:t>En bonne voie</w:t>
            </w:r>
          </w:p>
        </w:tc>
      </w:tr>
      <w:tr w:rsidR="00561B47" w:rsidRPr="00CD000E" w14:paraId="6A244105" w14:textId="77777777" w:rsidTr="00561B47">
        <w:trPr>
          <w:cantSplit/>
        </w:trPr>
        <w:tc>
          <w:tcPr>
            <w:tcW w:w="1007" w:type="pct"/>
            <w:shd w:val="clear" w:color="auto" w:fill="auto"/>
            <w:tcMar>
              <w:left w:w="108" w:type="dxa"/>
              <w:right w:w="108" w:type="dxa"/>
            </w:tcMar>
          </w:tcPr>
          <w:p w14:paraId="2B3558FE" w14:textId="77777777" w:rsidR="00561B47" w:rsidRPr="00CD000E" w:rsidRDefault="00561B47" w:rsidP="00561B47">
            <w:pPr>
              <w:rPr>
                <w:sz w:val="16"/>
                <w:szCs w:val="16"/>
              </w:rPr>
            </w:pPr>
            <w:r w:rsidRPr="00CD000E">
              <w:rPr>
                <w:sz w:val="16"/>
                <w:szCs w:val="16"/>
              </w:rPr>
              <w:t>Pourcentage de pays ayant donné un retour d’information positif sur les conseils législatifs fournis par l’OMPI</w:t>
            </w:r>
          </w:p>
        </w:tc>
        <w:tc>
          <w:tcPr>
            <w:tcW w:w="1346" w:type="pct"/>
            <w:shd w:val="clear" w:color="auto" w:fill="auto"/>
            <w:tcMar>
              <w:left w:w="108" w:type="dxa"/>
              <w:right w:w="108" w:type="dxa"/>
            </w:tcMar>
          </w:tcPr>
          <w:p w14:paraId="38A3CBC9" w14:textId="77777777" w:rsidR="00561B47" w:rsidRPr="002C639E" w:rsidRDefault="00561B47" w:rsidP="00561B47">
            <w:pPr>
              <w:rPr>
                <w:i/>
                <w:color w:val="002060"/>
                <w:sz w:val="16"/>
                <w:szCs w:val="16"/>
              </w:rPr>
            </w:pPr>
            <w:r w:rsidRPr="002C639E">
              <w:rPr>
                <w:i/>
                <w:color w:val="002060"/>
                <w:sz w:val="16"/>
                <w:szCs w:val="16"/>
              </w:rPr>
              <w:t>Niveau de référence actualisé à fin 2015 :</w:t>
            </w:r>
          </w:p>
          <w:p w14:paraId="7ECDAABE" w14:textId="77777777" w:rsidR="00561B47" w:rsidRPr="002C639E" w:rsidRDefault="00561B47" w:rsidP="00561B47">
            <w:pPr>
              <w:rPr>
                <w:color w:val="002060"/>
                <w:sz w:val="16"/>
                <w:szCs w:val="16"/>
              </w:rPr>
            </w:pPr>
            <w:r w:rsidRPr="002C639E">
              <w:rPr>
                <w:color w:val="002060"/>
                <w:sz w:val="16"/>
                <w:szCs w:val="16"/>
              </w:rPr>
              <w:t>25 pays ont reçu des conseils législatifs en 2014</w:t>
            </w:r>
            <w:r w:rsidRPr="002C639E">
              <w:rPr>
                <w:color w:val="002060"/>
                <w:sz w:val="16"/>
                <w:szCs w:val="16"/>
              </w:rPr>
              <w:noBreakHyphen/>
              <w:t>2015 (Afrique 9;  pays arabes 3;  Asie et Pacifique 5;  Amérique latine et Caraïbes 6;  autres 2)</w:t>
            </w:r>
          </w:p>
          <w:p w14:paraId="331C3B3A" w14:textId="77777777" w:rsidR="00561B47" w:rsidRPr="002C639E" w:rsidRDefault="00561B47" w:rsidP="00561B47">
            <w:pPr>
              <w:rPr>
                <w:sz w:val="16"/>
                <w:szCs w:val="16"/>
                <w:lang w:bidi="th-TH"/>
              </w:rPr>
            </w:pPr>
          </w:p>
          <w:p w14:paraId="5D18F1D1" w14:textId="77777777" w:rsidR="00561B47" w:rsidRPr="002C639E" w:rsidRDefault="00561B47" w:rsidP="00561B47">
            <w:pPr>
              <w:rPr>
                <w:color w:val="002060"/>
                <w:sz w:val="16"/>
                <w:szCs w:val="16"/>
              </w:rPr>
            </w:pPr>
            <w:r w:rsidRPr="002C639E">
              <w:rPr>
                <w:color w:val="002060"/>
                <w:sz w:val="16"/>
                <w:szCs w:val="16"/>
              </w:rPr>
              <w:t>100% des réponses à l’enquête contenaient un retour d’information positif (5 ou 6 sur une échelle de 1 à 6) sur les conseils législatifs fournis par l’OMPI dans le domaine du droit d’auteur</w:t>
            </w:r>
          </w:p>
          <w:p w14:paraId="2101BF49" w14:textId="77777777" w:rsidR="00561B47" w:rsidRPr="002C639E" w:rsidRDefault="00561B47" w:rsidP="00561B47">
            <w:pPr>
              <w:rPr>
                <w:color w:val="000000"/>
                <w:sz w:val="16"/>
                <w:szCs w:val="16"/>
              </w:rPr>
            </w:pPr>
          </w:p>
          <w:p w14:paraId="5B141D9F" w14:textId="77777777" w:rsidR="00561B47" w:rsidRPr="002C639E" w:rsidRDefault="00561B47" w:rsidP="00561B47">
            <w:pPr>
              <w:rPr>
                <w:i/>
                <w:sz w:val="16"/>
                <w:szCs w:val="16"/>
                <w:lang w:bidi="th-TH"/>
              </w:rPr>
            </w:pPr>
            <w:r w:rsidRPr="002C639E">
              <w:rPr>
                <w:i/>
                <w:sz w:val="16"/>
                <w:szCs w:val="16"/>
                <w:lang w:bidi="th-TH"/>
              </w:rPr>
              <w:t>Niveau de référence initial dans le programme et budget 2016</w:t>
            </w:r>
            <w:r w:rsidRPr="002C639E">
              <w:rPr>
                <w:i/>
                <w:sz w:val="16"/>
                <w:szCs w:val="16"/>
                <w:lang w:bidi="th-TH"/>
              </w:rPr>
              <w:noBreakHyphen/>
              <w:t>2017 :</w:t>
            </w:r>
          </w:p>
          <w:p w14:paraId="2DC14F41" w14:textId="77777777" w:rsidR="00561B47" w:rsidRPr="002C639E" w:rsidRDefault="00561B47" w:rsidP="00561B47">
            <w:pPr>
              <w:rPr>
                <w:color w:val="000000"/>
                <w:sz w:val="16"/>
                <w:szCs w:val="16"/>
              </w:rPr>
            </w:pPr>
            <w:proofErr w:type="spellStart"/>
            <w:r w:rsidRPr="002C639E">
              <w:rPr>
                <w:color w:val="000000"/>
                <w:sz w:val="16"/>
                <w:szCs w:val="16"/>
              </w:rPr>
              <w:t>s.o</w:t>
            </w:r>
            <w:proofErr w:type="spellEnd"/>
            <w:r w:rsidRPr="002C639E">
              <w:rPr>
                <w:color w:val="000000"/>
                <w:sz w:val="16"/>
                <w:szCs w:val="16"/>
              </w:rPr>
              <w:t>. en 2014 (l’enquête biennale doit être menée en 2015)</w:t>
            </w:r>
          </w:p>
        </w:tc>
        <w:tc>
          <w:tcPr>
            <w:tcW w:w="714" w:type="pct"/>
            <w:shd w:val="clear" w:color="auto" w:fill="auto"/>
            <w:tcMar>
              <w:top w:w="57" w:type="dxa"/>
              <w:left w:w="108" w:type="dxa"/>
              <w:right w:w="108" w:type="dxa"/>
            </w:tcMar>
          </w:tcPr>
          <w:p w14:paraId="6C0A3911" w14:textId="77777777" w:rsidR="00561B47" w:rsidRPr="002C639E" w:rsidRDefault="00561B47" w:rsidP="00561B47">
            <w:pPr>
              <w:rPr>
                <w:i/>
                <w:color w:val="002060"/>
                <w:sz w:val="16"/>
                <w:szCs w:val="16"/>
              </w:rPr>
            </w:pPr>
            <w:r w:rsidRPr="002C639E">
              <w:rPr>
                <w:i/>
                <w:color w:val="002060"/>
                <w:sz w:val="16"/>
                <w:szCs w:val="16"/>
              </w:rPr>
              <w:t>Objectif actualisé :</w:t>
            </w:r>
          </w:p>
          <w:p w14:paraId="5F3C33D1" w14:textId="77777777" w:rsidR="00561B47" w:rsidRPr="002C639E" w:rsidRDefault="00561B47" w:rsidP="00561B47">
            <w:pPr>
              <w:rPr>
                <w:color w:val="002060"/>
                <w:sz w:val="16"/>
                <w:szCs w:val="16"/>
              </w:rPr>
            </w:pPr>
            <w:r w:rsidRPr="002C639E">
              <w:rPr>
                <w:color w:val="002060"/>
                <w:sz w:val="16"/>
                <w:szCs w:val="16"/>
              </w:rPr>
              <w:t>80%</w:t>
            </w:r>
          </w:p>
          <w:p w14:paraId="239CAF52" w14:textId="77777777" w:rsidR="00561B47" w:rsidRPr="002C639E" w:rsidRDefault="00561B47" w:rsidP="00561B47">
            <w:pPr>
              <w:rPr>
                <w:color w:val="000000"/>
                <w:sz w:val="16"/>
                <w:szCs w:val="16"/>
              </w:rPr>
            </w:pPr>
          </w:p>
          <w:p w14:paraId="4CFEA0D3" w14:textId="77777777" w:rsidR="00561B47" w:rsidRPr="002C639E" w:rsidRDefault="00561B47" w:rsidP="00561B47">
            <w:pPr>
              <w:rPr>
                <w:i/>
                <w:sz w:val="16"/>
                <w:szCs w:val="16"/>
                <w:lang w:bidi="th-TH"/>
              </w:rPr>
            </w:pPr>
            <w:r w:rsidRPr="002C639E">
              <w:rPr>
                <w:i/>
                <w:sz w:val="16"/>
                <w:szCs w:val="16"/>
                <w:lang w:bidi="th-TH"/>
              </w:rPr>
              <w:t>Objectif initial dans le programme et budget 2016</w:t>
            </w:r>
            <w:r w:rsidRPr="002C639E">
              <w:rPr>
                <w:i/>
                <w:sz w:val="16"/>
                <w:szCs w:val="16"/>
                <w:lang w:bidi="th-TH"/>
              </w:rPr>
              <w:noBreakHyphen/>
              <w:t>2017 :</w:t>
            </w:r>
          </w:p>
          <w:p w14:paraId="5F6C95CB" w14:textId="77777777" w:rsidR="00561B47" w:rsidRPr="002C639E" w:rsidRDefault="00561B47" w:rsidP="00561B47">
            <w:pPr>
              <w:rPr>
                <w:color w:val="000000"/>
                <w:sz w:val="16"/>
                <w:szCs w:val="16"/>
              </w:rPr>
            </w:pPr>
            <w:r w:rsidRPr="002C639E">
              <w:rPr>
                <w:sz w:val="16"/>
                <w:szCs w:val="16"/>
              </w:rPr>
              <w:t>70% de répondants satisfaits des conseils fournis</w:t>
            </w:r>
          </w:p>
        </w:tc>
        <w:tc>
          <w:tcPr>
            <w:tcW w:w="1282" w:type="pct"/>
            <w:shd w:val="clear" w:color="auto" w:fill="FFFFFF"/>
            <w:tcMar>
              <w:top w:w="57" w:type="dxa"/>
              <w:left w:w="108" w:type="dxa"/>
              <w:right w:w="108" w:type="dxa"/>
            </w:tcMar>
          </w:tcPr>
          <w:p w14:paraId="63BB7019" w14:textId="77777777" w:rsidR="00561B47" w:rsidRPr="002C639E" w:rsidRDefault="00561B47" w:rsidP="00561B47">
            <w:pPr>
              <w:rPr>
                <w:color w:val="000000"/>
                <w:sz w:val="16"/>
                <w:szCs w:val="16"/>
              </w:rPr>
            </w:pPr>
            <w:r w:rsidRPr="002C639E">
              <w:rPr>
                <w:color w:val="000000"/>
                <w:sz w:val="16"/>
                <w:szCs w:val="16"/>
              </w:rPr>
              <w:t>17 pays ou groupes régionaux ont reçu des conseils législatifs en 2016 (Afrique 2;  Asie et Pacifique 7;  Amérique latine et Caraïbes 4;  pays en transition 4)</w:t>
            </w:r>
          </w:p>
          <w:p w14:paraId="28C869BE" w14:textId="77777777" w:rsidR="00561B47" w:rsidRPr="002C639E" w:rsidRDefault="00561B47" w:rsidP="00561B47">
            <w:pPr>
              <w:rPr>
                <w:color w:val="000000"/>
                <w:sz w:val="16"/>
                <w:szCs w:val="16"/>
              </w:rPr>
            </w:pPr>
          </w:p>
          <w:p w14:paraId="2B8D5EC3" w14:textId="77777777" w:rsidR="00561B47" w:rsidRPr="002C639E" w:rsidRDefault="00561B47" w:rsidP="00561B47">
            <w:pPr>
              <w:rPr>
                <w:color w:val="000000"/>
                <w:sz w:val="16"/>
                <w:szCs w:val="16"/>
              </w:rPr>
            </w:pPr>
            <w:r w:rsidRPr="002C639E">
              <w:rPr>
                <w:color w:val="000000"/>
                <w:sz w:val="16"/>
                <w:szCs w:val="16"/>
              </w:rPr>
              <w:t>100% des réponses à l’enquête contenaient un retour d’information positif (5 ou 6 sur une échelle de 1 à 6) sur les conseils législatifs fournis par l’OMPI dans le domaine du droit d’auteur</w:t>
            </w:r>
          </w:p>
        </w:tc>
        <w:tc>
          <w:tcPr>
            <w:tcW w:w="651" w:type="pct"/>
            <w:shd w:val="clear" w:color="auto" w:fill="auto"/>
            <w:tcMar>
              <w:top w:w="57" w:type="dxa"/>
              <w:left w:w="108" w:type="dxa"/>
              <w:right w:w="108" w:type="dxa"/>
            </w:tcMar>
          </w:tcPr>
          <w:p w14:paraId="69793647" w14:textId="77777777" w:rsidR="00561B47" w:rsidRPr="00CD000E" w:rsidRDefault="00561B47" w:rsidP="00561B47">
            <w:pPr>
              <w:jc w:val="center"/>
              <w:rPr>
                <w:color w:val="000000"/>
                <w:sz w:val="16"/>
                <w:szCs w:val="16"/>
              </w:rPr>
            </w:pPr>
            <w:r w:rsidRPr="00CD000E">
              <w:rPr>
                <w:b/>
                <w:color w:val="00B050"/>
                <w:sz w:val="16"/>
                <w:szCs w:val="16"/>
              </w:rPr>
              <w:t>En bonne voie</w:t>
            </w:r>
          </w:p>
        </w:tc>
      </w:tr>
      <w:tr w:rsidR="00561B47" w:rsidRPr="00CD000E" w14:paraId="0FB34083" w14:textId="77777777" w:rsidTr="00561B47">
        <w:trPr>
          <w:cantSplit/>
        </w:trPr>
        <w:tc>
          <w:tcPr>
            <w:tcW w:w="5000" w:type="pct"/>
            <w:gridSpan w:val="5"/>
            <w:shd w:val="clear" w:color="auto" w:fill="C6D9F1" w:themeFill="text2" w:themeFillTint="33"/>
            <w:tcMar>
              <w:left w:w="108" w:type="dxa"/>
              <w:right w:w="108" w:type="dxa"/>
            </w:tcMar>
            <w:vAlign w:val="center"/>
          </w:tcPr>
          <w:p w14:paraId="0BDF46FE" w14:textId="77777777" w:rsidR="00561B47" w:rsidRPr="00CD000E" w:rsidRDefault="00561B47" w:rsidP="00A83D07">
            <w:pPr>
              <w:keepNext/>
              <w:keepLines/>
              <w:tabs>
                <w:tab w:val="left" w:pos="1452"/>
              </w:tabs>
              <w:rPr>
                <w:b/>
                <w:bCs/>
                <w:sz w:val="16"/>
                <w:szCs w:val="16"/>
              </w:rPr>
            </w:pPr>
            <w:r w:rsidRPr="00CD000E">
              <w:rPr>
                <w:b/>
                <w:bCs/>
                <w:sz w:val="16"/>
                <w:szCs w:val="16"/>
              </w:rPr>
              <w:lastRenderedPageBreak/>
              <w:t>Résultat escompté :</w:t>
            </w:r>
            <w:r w:rsidRPr="00CD000E">
              <w:rPr>
                <w:b/>
                <w:bCs/>
                <w:color w:val="000000"/>
                <w:sz w:val="16"/>
                <w:szCs w:val="16"/>
              </w:rPr>
              <w:t xml:space="preserve"> </w:t>
            </w:r>
            <w:r w:rsidRPr="00CD000E">
              <w:rPr>
                <w:bCs/>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561B47" w:rsidRPr="00CD000E" w14:paraId="5C76C26C" w14:textId="77777777" w:rsidTr="00561B47">
        <w:trPr>
          <w:cantSplit/>
        </w:trPr>
        <w:tc>
          <w:tcPr>
            <w:tcW w:w="1007" w:type="pct"/>
            <w:shd w:val="clear" w:color="auto" w:fill="auto"/>
            <w:tcMar>
              <w:left w:w="108" w:type="dxa"/>
              <w:right w:w="108" w:type="dxa"/>
            </w:tcMar>
            <w:vAlign w:val="center"/>
          </w:tcPr>
          <w:p w14:paraId="6ABEAAF1" w14:textId="77777777" w:rsidR="00561B47" w:rsidRPr="00CD000E" w:rsidRDefault="00561B47" w:rsidP="00A83D07">
            <w:pPr>
              <w:keepNext/>
              <w:keepLines/>
              <w:jc w:val="center"/>
              <w:rPr>
                <w:b/>
                <w:bCs/>
                <w:sz w:val="16"/>
                <w:szCs w:val="16"/>
              </w:rPr>
            </w:pPr>
            <w:r w:rsidRPr="00CD000E">
              <w:rPr>
                <w:b/>
                <w:bCs/>
                <w:sz w:val="16"/>
                <w:szCs w:val="16"/>
              </w:rPr>
              <w:t>Indicateurs d’exécution</w:t>
            </w:r>
          </w:p>
        </w:tc>
        <w:tc>
          <w:tcPr>
            <w:tcW w:w="1346" w:type="pct"/>
            <w:shd w:val="clear" w:color="auto" w:fill="auto"/>
            <w:tcMar>
              <w:left w:w="108" w:type="dxa"/>
              <w:right w:w="108" w:type="dxa"/>
            </w:tcMar>
            <w:vAlign w:val="center"/>
          </w:tcPr>
          <w:p w14:paraId="2FB0D916" w14:textId="77777777" w:rsidR="00561B47" w:rsidRPr="00CD000E" w:rsidRDefault="00561B47" w:rsidP="00A83D07">
            <w:pPr>
              <w:keepNext/>
              <w:keepLines/>
              <w:jc w:val="center"/>
              <w:rPr>
                <w:b/>
                <w:bCs/>
                <w:sz w:val="16"/>
                <w:szCs w:val="16"/>
              </w:rPr>
            </w:pPr>
            <w:r w:rsidRPr="00CD000E">
              <w:rPr>
                <w:b/>
                <w:bCs/>
                <w:sz w:val="16"/>
                <w:szCs w:val="16"/>
              </w:rPr>
              <w:t>Niveaux de référence</w:t>
            </w:r>
          </w:p>
        </w:tc>
        <w:tc>
          <w:tcPr>
            <w:tcW w:w="714" w:type="pct"/>
            <w:shd w:val="clear" w:color="auto" w:fill="auto"/>
            <w:tcMar>
              <w:top w:w="57" w:type="dxa"/>
              <w:left w:w="108" w:type="dxa"/>
              <w:right w:w="108" w:type="dxa"/>
            </w:tcMar>
            <w:vAlign w:val="center"/>
          </w:tcPr>
          <w:p w14:paraId="2E84EC4C" w14:textId="77777777" w:rsidR="00561B47" w:rsidRPr="00CD000E" w:rsidRDefault="00561B47" w:rsidP="00A83D07">
            <w:pPr>
              <w:keepNext/>
              <w:keepLines/>
              <w:jc w:val="center"/>
              <w:rPr>
                <w:b/>
                <w:bCs/>
                <w:sz w:val="16"/>
                <w:szCs w:val="16"/>
              </w:rPr>
            </w:pPr>
            <w:r w:rsidRPr="00CD000E">
              <w:rPr>
                <w:b/>
                <w:bCs/>
                <w:sz w:val="16"/>
                <w:szCs w:val="16"/>
              </w:rPr>
              <w:t>Objectifs visés</w:t>
            </w:r>
          </w:p>
        </w:tc>
        <w:tc>
          <w:tcPr>
            <w:tcW w:w="1282" w:type="pct"/>
            <w:shd w:val="clear" w:color="auto" w:fill="FFFFFF"/>
            <w:tcMar>
              <w:top w:w="57" w:type="dxa"/>
              <w:left w:w="108" w:type="dxa"/>
              <w:right w:w="108" w:type="dxa"/>
            </w:tcMar>
            <w:vAlign w:val="center"/>
          </w:tcPr>
          <w:p w14:paraId="3C69E824" w14:textId="77777777" w:rsidR="00561B47" w:rsidRPr="00CD000E" w:rsidRDefault="00561B47" w:rsidP="00A83D07">
            <w:pPr>
              <w:keepNext/>
              <w:keepLines/>
              <w:jc w:val="center"/>
              <w:rPr>
                <w:b/>
                <w:bCs/>
                <w:sz w:val="16"/>
                <w:szCs w:val="16"/>
              </w:rPr>
            </w:pPr>
            <w:r w:rsidRPr="00CD000E">
              <w:rPr>
                <w:b/>
                <w:bCs/>
                <w:sz w:val="16"/>
                <w:szCs w:val="16"/>
              </w:rPr>
              <w:t>Données relatives à l’exécution</w:t>
            </w:r>
          </w:p>
        </w:tc>
        <w:tc>
          <w:tcPr>
            <w:tcW w:w="651" w:type="pct"/>
            <w:shd w:val="clear" w:color="auto" w:fill="auto"/>
            <w:tcMar>
              <w:top w:w="57" w:type="dxa"/>
              <w:left w:w="108" w:type="dxa"/>
              <w:right w:w="108" w:type="dxa"/>
            </w:tcMar>
            <w:vAlign w:val="center"/>
          </w:tcPr>
          <w:p w14:paraId="45FB8053" w14:textId="77777777" w:rsidR="00561B47" w:rsidRPr="00CD000E" w:rsidRDefault="00561B47" w:rsidP="00A83D07">
            <w:pPr>
              <w:keepNext/>
              <w:keepLines/>
              <w:jc w:val="center"/>
              <w:rPr>
                <w:b/>
                <w:bCs/>
                <w:sz w:val="16"/>
                <w:szCs w:val="16"/>
              </w:rPr>
            </w:pPr>
            <w:r w:rsidRPr="00CD000E">
              <w:rPr>
                <w:b/>
                <w:bCs/>
                <w:sz w:val="16"/>
                <w:szCs w:val="16"/>
              </w:rPr>
              <w:t>Code d’évaluation</w:t>
            </w:r>
          </w:p>
        </w:tc>
      </w:tr>
      <w:tr w:rsidR="00561B47" w:rsidRPr="00CD000E" w14:paraId="636E2845" w14:textId="77777777" w:rsidTr="00561B47">
        <w:trPr>
          <w:cantSplit/>
        </w:trPr>
        <w:tc>
          <w:tcPr>
            <w:tcW w:w="1007" w:type="pct"/>
            <w:shd w:val="clear" w:color="auto" w:fill="auto"/>
            <w:tcMar>
              <w:left w:w="108" w:type="dxa"/>
              <w:right w:w="108" w:type="dxa"/>
            </w:tcMar>
          </w:tcPr>
          <w:p w14:paraId="530D9402" w14:textId="77777777" w:rsidR="00561B47" w:rsidRPr="00CD000E" w:rsidRDefault="00561B47" w:rsidP="00A83D07">
            <w:pPr>
              <w:keepNext/>
              <w:keepLines/>
              <w:rPr>
                <w:color w:val="000000"/>
                <w:sz w:val="16"/>
                <w:szCs w:val="16"/>
              </w:rPr>
            </w:pPr>
            <w:r w:rsidRPr="00CD000E">
              <w:rPr>
                <w:sz w:val="16"/>
                <w:szCs w:val="16"/>
              </w:rPr>
              <w:t>Nombre de bureaux nationaux du droit d’auteur participant activement au processus de consultation dans le cadre du projet TAG</w:t>
            </w:r>
          </w:p>
        </w:tc>
        <w:tc>
          <w:tcPr>
            <w:tcW w:w="1346" w:type="pct"/>
            <w:shd w:val="clear" w:color="auto" w:fill="auto"/>
            <w:tcMar>
              <w:left w:w="108" w:type="dxa"/>
              <w:right w:w="108" w:type="dxa"/>
            </w:tcMar>
          </w:tcPr>
          <w:p w14:paraId="4AF3E459" w14:textId="77777777" w:rsidR="00561B47" w:rsidRPr="00CD000E" w:rsidRDefault="00561B47" w:rsidP="00A83D07">
            <w:pPr>
              <w:keepNext/>
              <w:keepLines/>
              <w:rPr>
                <w:i/>
                <w:color w:val="002060"/>
                <w:sz w:val="16"/>
                <w:szCs w:val="16"/>
              </w:rPr>
            </w:pPr>
            <w:r w:rsidRPr="00CD000E">
              <w:rPr>
                <w:i/>
                <w:color w:val="002060"/>
                <w:sz w:val="16"/>
                <w:szCs w:val="16"/>
              </w:rPr>
              <w:t>Niveau de référence actualisé à fin 2015 :</w:t>
            </w:r>
          </w:p>
          <w:p w14:paraId="098BF916" w14:textId="77777777" w:rsidR="00561B47" w:rsidRPr="00CD000E" w:rsidRDefault="00561B47" w:rsidP="00A83D07">
            <w:pPr>
              <w:keepNext/>
              <w:keepLines/>
              <w:rPr>
                <w:i/>
                <w:sz w:val="16"/>
                <w:szCs w:val="16"/>
                <w:lang w:bidi="th-TH"/>
              </w:rPr>
            </w:pPr>
            <w:r w:rsidRPr="00CD000E">
              <w:rPr>
                <w:color w:val="002060"/>
                <w:sz w:val="16"/>
                <w:szCs w:val="16"/>
              </w:rPr>
              <w:t>0</w:t>
            </w:r>
          </w:p>
          <w:p w14:paraId="59DF70CC" w14:textId="77777777" w:rsidR="00561B47" w:rsidRPr="00CD000E" w:rsidRDefault="00561B47" w:rsidP="00A83D07">
            <w:pPr>
              <w:keepNext/>
              <w:keepLines/>
              <w:rPr>
                <w:i/>
                <w:sz w:val="16"/>
                <w:szCs w:val="16"/>
                <w:lang w:bidi="th-TH"/>
              </w:rPr>
            </w:pPr>
          </w:p>
          <w:p w14:paraId="6BF7179A" w14:textId="77777777" w:rsidR="00561B47" w:rsidRPr="00CD000E" w:rsidRDefault="00561B47" w:rsidP="00A83D07">
            <w:pPr>
              <w:keepNext/>
              <w:keepLines/>
              <w:rPr>
                <w:color w:val="000000"/>
                <w:sz w:val="16"/>
                <w:szCs w:val="16"/>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r w:rsidRPr="00CD000E">
              <w:rPr>
                <w:i/>
                <w:sz w:val="16"/>
                <w:szCs w:val="16"/>
                <w:lang w:bidi="th-TH"/>
              </w:rPr>
              <w:br/>
            </w:r>
            <w:proofErr w:type="spellStart"/>
            <w:r w:rsidRPr="00CD000E">
              <w:rPr>
                <w:i/>
                <w:color w:val="000000"/>
                <w:sz w:val="16"/>
                <w:szCs w:val="16"/>
                <w:lang w:bidi="th-TH"/>
              </w:rPr>
              <w:t>n.d</w:t>
            </w:r>
            <w:proofErr w:type="spellEnd"/>
            <w:r w:rsidRPr="00CD000E">
              <w:rPr>
                <w:i/>
                <w:color w:val="000000"/>
                <w:sz w:val="16"/>
                <w:szCs w:val="16"/>
                <w:lang w:bidi="th-TH"/>
              </w:rPr>
              <w:t>.</w:t>
            </w:r>
          </w:p>
        </w:tc>
        <w:tc>
          <w:tcPr>
            <w:tcW w:w="714" w:type="pct"/>
            <w:shd w:val="clear" w:color="auto" w:fill="auto"/>
            <w:tcMar>
              <w:top w:w="57" w:type="dxa"/>
              <w:left w:w="108" w:type="dxa"/>
              <w:right w:w="108" w:type="dxa"/>
            </w:tcMar>
          </w:tcPr>
          <w:p w14:paraId="01515274" w14:textId="77777777" w:rsidR="00561B47" w:rsidRPr="00CD000E" w:rsidRDefault="00561B47" w:rsidP="00A83D07">
            <w:pPr>
              <w:keepNext/>
              <w:keepLines/>
              <w:rPr>
                <w:color w:val="000000"/>
                <w:sz w:val="16"/>
                <w:szCs w:val="16"/>
              </w:rPr>
            </w:pPr>
            <w:r w:rsidRPr="00CD000E">
              <w:rPr>
                <w:sz w:val="16"/>
                <w:szCs w:val="16"/>
              </w:rPr>
              <w:t>25 bureaux</w:t>
            </w:r>
            <w:r w:rsidRPr="00CD000E">
              <w:rPr>
                <w:color w:val="000000"/>
                <w:sz w:val="16"/>
                <w:szCs w:val="16"/>
              </w:rPr>
              <w:t xml:space="preserve"> </w:t>
            </w:r>
            <w:r w:rsidRPr="00CD000E">
              <w:rPr>
                <w:sz w:val="16"/>
                <w:szCs w:val="16"/>
              </w:rPr>
              <w:t>nationaux du droit d’auteur</w:t>
            </w:r>
            <w:r w:rsidRPr="00CD000E">
              <w:rPr>
                <w:color w:val="000000"/>
                <w:sz w:val="16"/>
                <w:szCs w:val="16"/>
              </w:rPr>
              <w:t xml:space="preserve"> </w:t>
            </w:r>
          </w:p>
        </w:tc>
        <w:tc>
          <w:tcPr>
            <w:tcW w:w="1282" w:type="pct"/>
            <w:shd w:val="clear" w:color="auto" w:fill="FFFFFF"/>
            <w:tcMar>
              <w:top w:w="57" w:type="dxa"/>
              <w:left w:w="108" w:type="dxa"/>
              <w:right w:w="108" w:type="dxa"/>
            </w:tcMar>
          </w:tcPr>
          <w:p w14:paraId="27D4E803" w14:textId="77777777" w:rsidR="00561B47" w:rsidRPr="002C639E" w:rsidRDefault="00561B47" w:rsidP="00A83D07">
            <w:pPr>
              <w:keepNext/>
              <w:keepLines/>
              <w:rPr>
                <w:color w:val="000000"/>
                <w:sz w:val="16"/>
                <w:szCs w:val="16"/>
              </w:rPr>
            </w:pPr>
            <w:r w:rsidRPr="002C639E">
              <w:rPr>
                <w:color w:val="000000"/>
                <w:sz w:val="16"/>
                <w:szCs w:val="16"/>
              </w:rPr>
              <w:t>Plus de 90 bureaux du droit d’auteur en 2016</w:t>
            </w:r>
          </w:p>
          <w:p w14:paraId="2DD57397" w14:textId="77777777" w:rsidR="00561B47" w:rsidRPr="002C639E" w:rsidRDefault="00561B47" w:rsidP="00A83D07">
            <w:pPr>
              <w:keepNext/>
              <w:keepLines/>
              <w:rPr>
                <w:color w:val="000000"/>
                <w:sz w:val="16"/>
                <w:szCs w:val="16"/>
              </w:rPr>
            </w:pPr>
          </w:p>
          <w:p w14:paraId="70C0252E" w14:textId="77777777" w:rsidR="00561B47" w:rsidRPr="002C639E" w:rsidRDefault="00561B47" w:rsidP="00A83D07">
            <w:pPr>
              <w:keepNext/>
              <w:keepLines/>
              <w:rPr>
                <w:color w:val="000000"/>
                <w:sz w:val="16"/>
                <w:szCs w:val="16"/>
              </w:rPr>
            </w:pPr>
            <w:r w:rsidRPr="002C639E">
              <w:rPr>
                <w:color w:val="000000"/>
                <w:sz w:val="16"/>
                <w:szCs w:val="16"/>
              </w:rPr>
              <w:t>À la fin de 2016, il a été décidé de ne pas poursuivre le projet TAG sous sa forme actuelle</w:t>
            </w:r>
          </w:p>
        </w:tc>
        <w:tc>
          <w:tcPr>
            <w:tcW w:w="651" w:type="pct"/>
            <w:shd w:val="clear" w:color="auto" w:fill="auto"/>
            <w:tcMar>
              <w:top w:w="57" w:type="dxa"/>
              <w:left w:w="108" w:type="dxa"/>
              <w:right w:w="108" w:type="dxa"/>
            </w:tcMar>
          </w:tcPr>
          <w:p w14:paraId="165F5C8C" w14:textId="77777777" w:rsidR="00561B47" w:rsidRPr="00CD000E" w:rsidRDefault="00561B47" w:rsidP="00A83D07">
            <w:pPr>
              <w:keepNext/>
              <w:keepLines/>
              <w:rPr>
                <w:b/>
                <w:color w:val="000000"/>
                <w:sz w:val="16"/>
                <w:szCs w:val="16"/>
              </w:rPr>
            </w:pPr>
            <w:r w:rsidRPr="00CD000E">
              <w:rPr>
                <w:b/>
                <w:sz w:val="16"/>
                <w:szCs w:val="16"/>
              </w:rPr>
              <w:t>Abandonné</w:t>
            </w:r>
          </w:p>
        </w:tc>
      </w:tr>
      <w:tr w:rsidR="00561B47" w:rsidRPr="00CD000E" w14:paraId="069A339A" w14:textId="77777777" w:rsidTr="00561B47">
        <w:trPr>
          <w:cantSplit/>
        </w:trPr>
        <w:tc>
          <w:tcPr>
            <w:tcW w:w="1007" w:type="pct"/>
            <w:shd w:val="clear" w:color="auto" w:fill="auto"/>
            <w:tcMar>
              <w:left w:w="108" w:type="dxa"/>
              <w:right w:w="108" w:type="dxa"/>
            </w:tcMar>
          </w:tcPr>
          <w:p w14:paraId="140BCEDD" w14:textId="77777777" w:rsidR="00561B47" w:rsidRPr="00CD000E" w:rsidRDefault="00561B47" w:rsidP="00561B47">
            <w:pPr>
              <w:keepNext/>
              <w:keepLines/>
              <w:rPr>
                <w:color w:val="000000"/>
                <w:sz w:val="16"/>
                <w:szCs w:val="16"/>
              </w:rPr>
            </w:pPr>
            <w:r w:rsidRPr="00CD000E">
              <w:rPr>
                <w:sz w:val="16"/>
                <w:szCs w:val="16"/>
              </w:rPr>
              <w:t>Nombre d’organis</w:t>
            </w:r>
            <w:r w:rsidRPr="00CD000E">
              <w:rPr>
                <w:color w:val="000000"/>
                <w:sz w:val="16"/>
                <w:szCs w:val="16"/>
              </w:rPr>
              <w:t>ation</w:t>
            </w:r>
            <w:r w:rsidRPr="00CD000E">
              <w:rPr>
                <w:sz w:val="16"/>
                <w:szCs w:val="16"/>
              </w:rPr>
              <w:t>s de gestion collective demandant une accréditation TAG</w:t>
            </w:r>
          </w:p>
        </w:tc>
        <w:tc>
          <w:tcPr>
            <w:tcW w:w="1346" w:type="pct"/>
            <w:shd w:val="clear" w:color="auto" w:fill="auto"/>
            <w:tcMar>
              <w:left w:w="108" w:type="dxa"/>
              <w:right w:w="108" w:type="dxa"/>
            </w:tcMar>
          </w:tcPr>
          <w:p w14:paraId="240BA810" w14:textId="77777777" w:rsidR="00561B47" w:rsidRPr="00CD000E" w:rsidRDefault="00561B47" w:rsidP="00561B47">
            <w:pPr>
              <w:keepNext/>
              <w:keepLines/>
              <w:rPr>
                <w:i/>
                <w:color w:val="002060"/>
                <w:sz w:val="16"/>
                <w:szCs w:val="16"/>
              </w:rPr>
            </w:pPr>
            <w:r w:rsidRPr="00CD000E">
              <w:rPr>
                <w:i/>
                <w:color w:val="002060"/>
                <w:sz w:val="16"/>
                <w:szCs w:val="16"/>
              </w:rPr>
              <w:t>Niveau de référence actualisé à fin 2015 :</w:t>
            </w:r>
          </w:p>
          <w:p w14:paraId="6E3B34FE" w14:textId="77777777" w:rsidR="00561B47" w:rsidRPr="00CD000E" w:rsidRDefault="00561B47" w:rsidP="00561B47">
            <w:pPr>
              <w:keepNext/>
              <w:keepLines/>
              <w:rPr>
                <w:color w:val="002060"/>
                <w:sz w:val="16"/>
                <w:szCs w:val="16"/>
              </w:rPr>
            </w:pPr>
            <w:r w:rsidRPr="00CD000E">
              <w:rPr>
                <w:color w:val="002060"/>
                <w:sz w:val="16"/>
                <w:szCs w:val="16"/>
              </w:rPr>
              <w:t>0</w:t>
            </w:r>
          </w:p>
          <w:p w14:paraId="706CE38A" w14:textId="77777777" w:rsidR="00561B47" w:rsidRPr="00CD000E" w:rsidRDefault="00561B47" w:rsidP="00561B47">
            <w:pPr>
              <w:keepNext/>
              <w:keepLines/>
              <w:rPr>
                <w:color w:val="000000"/>
                <w:sz w:val="16"/>
                <w:szCs w:val="16"/>
              </w:rPr>
            </w:pPr>
          </w:p>
          <w:p w14:paraId="1C621B4C" w14:textId="77777777" w:rsidR="00561B47" w:rsidRPr="00CD000E" w:rsidRDefault="00561B47" w:rsidP="00561B47">
            <w:pPr>
              <w:keepNext/>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7ABDF751" w14:textId="77777777" w:rsidR="00561B47" w:rsidRPr="00CD000E" w:rsidRDefault="00561B47" w:rsidP="00561B47">
            <w:pPr>
              <w:keepNext/>
              <w:keepLines/>
              <w:rPr>
                <w:color w:val="000000"/>
                <w:sz w:val="16"/>
                <w:szCs w:val="16"/>
              </w:rPr>
            </w:pPr>
            <w:r w:rsidRPr="00CD000E">
              <w:rPr>
                <w:sz w:val="16"/>
                <w:szCs w:val="16"/>
              </w:rPr>
              <w:t>0 (fin 2014)</w:t>
            </w:r>
          </w:p>
        </w:tc>
        <w:tc>
          <w:tcPr>
            <w:tcW w:w="714" w:type="pct"/>
            <w:shd w:val="clear" w:color="auto" w:fill="auto"/>
            <w:tcMar>
              <w:top w:w="57" w:type="dxa"/>
              <w:left w:w="108" w:type="dxa"/>
              <w:right w:w="108" w:type="dxa"/>
            </w:tcMar>
          </w:tcPr>
          <w:p w14:paraId="64C5CDEB" w14:textId="77777777" w:rsidR="00561B47" w:rsidRPr="00CD000E" w:rsidRDefault="00561B47" w:rsidP="00561B47">
            <w:pPr>
              <w:keepNext/>
              <w:keepLines/>
              <w:rPr>
                <w:color w:val="000000"/>
                <w:sz w:val="16"/>
                <w:szCs w:val="16"/>
              </w:rPr>
            </w:pPr>
            <w:r w:rsidRPr="00CD000E">
              <w:rPr>
                <w:color w:val="000000"/>
                <w:sz w:val="16"/>
                <w:szCs w:val="16"/>
              </w:rPr>
              <w:t>0 (2016)</w:t>
            </w:r>
          </w:p>
          <w:p w14:paraId="13799501" w14:textId="77777777" w:rsidR="00561B47" w:rsidRPr="00CD000E" w:rsidRDefault="00561B47" w:rsidP="00561B47">
            <w:pPr>
              <w:keepNext/>
              <w:keepLines/>
              <w:rPr>
                <w:color w:val="000000"/>
                <w:sz w:val="16"/>
                <w:szCs w:val="16"/>
              </w:rPr>
            </w:pPr>
            <w:r>
              <w:rPr>
                <w:sz w:val="16"/>
                <w:szCs w:val="16"/>
              </w:rPr>
              <w:t>2</w:t>
            </w:r>
            <w:r w:rsidRPr="00CD000E">
              <w:rPr>
                <w:sz w:val="16"/>
                <w:szCs w:val="16"/>
              </w:rPr>
              <w:t xml:space="preserve"> organis</w:t>
            </w:r>
            <w:r w:rsidRPr="00CD000E">
              <w:rPr>
                <w:color w:val="000000"/>
                <w:sz w:val="16"/>
                <w:szCs w:val="16"/>
              </w:rPr>
              <w:t>ation</w:t>
            </w:r>
            <w:r w:rsidRPr="00CD000E">
              <w:rPr>
                <w:sz w:val="16"/>
                <w:szCs w:val="16"/>
              </w:rPr>
              <w:t>s de gestion collective demandant une accréditation (2017)</w:t>
            </w:r>
            <w:r w:rsidRPr="00CD000E" w:rsidDel="008D1E74">
              <w:rPr>
                <w:sz w:val="16"/>
                <w:szCs w:val="16"/>
              </w:rPr>
              <w:t xml:space="preserve"> </w:t>
            </w:r>
          </w:p>
        </w:tc>
        <w:tc>
          <w:tcPr>
            <w:tcW w:w="1282" w:type="pct"/>
            <w:shd w:val="clear" w:color="auto" w:fill="FFFFFF"/>
            <w:tcMar>
              <w:top w:w="57" w:type="dxa"/>
              <w:left w:w="108" w:type="dxa"/>
              <w:right w:w="108" w:type="dxa"/>
            </w:tcMar>
          </w:tcPr>
          <w:p w14:paraId="3A55F8AB" w14:textId="77777777" w:rsidR="00561B47" w:rsidRPr="002C639E" w:rsidRDefault="00561B47" w:rsidP="00561B47">
            <w:pPr>
              <w:keepNext/>
              <w:keepLines/>
              <w:rPr>
                <w:color w:val="000000"/>
                <w:sz w:val="16"/>
                <w:szCs w:val="16"/>
              </w:rPr>
            </w:pPr>
            <w:r w:rsidRPr="002C639E">
              <w:rPr>
                <w:color w:val="000000"/>
                <w:sz w:val="16"/>
                <w:szCs w:val="16"/>
              </w:rPr>
              <w:t>En juin 2016, le consortium TAG a entériné la décision de recentrer les efforts sur le recueil et le programme d’enseignement TAG</w:t>
            </w:r>
          </w:p>
          <w:p w14:paraId="0F317F88" w14:textId="77777777" w:rsidR="00561B47" w:rsidRPr="002C639E" w:rsidRDefault="00561B47" w:rsidP="00561B47">
            <w:pPr>
              <w:keepNext/>
              <w:keepLines/>
              <w:rPr>
                <w:color w:val="000000"/>
                <w:sz w:val="16"/>
                <w:szCs w:val="16"/>
              </w:rPr>
            </w:pPr>
          </w:p>
          <w:p w14:paraId="78F63BDA" w14:textId="77777777" w:rsidR="00561B47" w:rsidRPr="002C639E" w:rsidRDefault="00561B47" w:rsidP="00561B47">
            <w:pPr>
              <w:keepNext/>
              <w:keepLines/>
              <w:rPr>
                <w:color w:val="000000"/>
                <w:sz w:val="16"/>
                <w:szCs w:val="16"/>
              </w:rPr>
            </w:pPr>
            <w:r w:rsidRPr="002C639E">
              <w:rPr>
                <w:color w:val="000000"/>
                <w:sz w:val="16"/>
                <w:szCs w:val="16"/>
              </w:rPr>
              <w:t>À la fin de 2016, il a été décidé de ne pas poursuivre le projet TAG sous sa forme actuelle</w:t>
            </w:r>
          </w:p>
        </w:tc>
        <w:tc>
          <w:tcPr>
            <w:tcW w:w="651" w:type="pct"/>
            <w:shd w:val="clear" w:color="auto" w:fill="auto"/>
            <w:tcMar>
              <w:top w:w="57" w:type="dxa"/>
              <w:left w:w="108" w:type="dxa"/>
              <w:right w:w="108" w:type="dxa"/>
            </w:tcMar>
          </w:tcPr>
          <w:p w14:paraId="196303EC" w14:textId="77777777" w:rsidR="00561B47" w:rsidRPr="00CD000E" w:rsidRDefault="00561B47" w:rsidP="00561B47">
            <w:pPr>
              <w:keepNext/>
              <w:keepLines/>
              <w:rPr>
                <w:b/>
                <w:color w:val="000000"/>
                <w:sz w:val="16"/>
                <w:szCs w:val="16"/>
              </w:rPr>
            </w:pPr>
            <w:r w:rsidRPr="00CD000E">
              <w:rPr>
                <w:b/>
                <w:sz w:val="16"/>
                <w:szCs w:val="16"/>
              </w:rPr>
              <w:t>Abandonné</w:t>
            </w:r>
          </w:p>
        </w:tc>
      </w:tr>
      <w:tr w:rsidR="00561B47" w:rsidRPr="00CD000E" w14:paraId="22976F4F" w14:textId="77777777" w:rsidTr="00561B47">
        <w:trPr>
          <w:cantSplit/>
        </w:trPr>
        <w:tc>
          <w:tcPr>
            <w:tcW w:w="1007" w:type="pct"/>
            <w:shd w:val="clear" w:color="auto" w:fill="auto"/>
            <w:tcMar>
              <w:left w:w="108" w:type="dxa"/>
              <w:right w:w="108" w:type="dxa"/>
            </w:tcMar>
          </w:tcPr>
          <w:p w14:paraId="64BA5DA1" w14:textId="77777777" w:rsidR="00561B47" w:rsidRPr="00CD000E" w:rsidRDefault="00561B47" w:rsidP="00561B47">
            <w:pPr>
              <w:rPr>
                <w:color w:val="000000"/>
                <w:sz w:val="16"/>
                <w:szCs w:val="16"/>
              </w:rPr>
            </w:pPr>
            <w:r w:rsidRPr="00CD000E">
              <w:rPr>
                <w:sz w:val="16"/>
                <w:szCs w:val="16"/>
              </w:rPr>
              <w:t>Pourcentage de participants ayant présenté un rapport positif sur les programmes de renforcement des capacités en matière de gestion collective</w:t>
            </w:r>
          </w:p>
        </w:tc>
        <w:tc>
          <w:tcPr>
            <w:tcW w:w="1346" w:type="pct"/>
            <w:shd w:val="clear" w:color="auto" w:fill="auto"/>
            <w:tcMar>
              <w:left w:w="108" w:type="dxa"/>
              <w:right w:w="108" w:type="dxa"/>
            </w:tcMar>
          </w:tcPr>
          <w:p w14:paraId="5CA6DCA7" w14:textId="77777777" w:rsidR="00561B47" w:rsidRPr="00CD000E" w:rsidRDefault="00561B47" w:rsidP="00561B47">
            <w:pPr>
              <w:rPr>
                <w:color w:val="002060"/>
                <w:sz w:val="16"/>
                <w:szCs w:val="16"/>
              </w:rPr>
            </w:pPr>
            <w:r w:rsidRPr="00CD000E">
              <w:rPr>
                <w:i/>
                <w:color w:val="002060"/>
                <w:sz w:val="16"/>
                <w:szCs w:val="16"/>
              </w:rPr>
              <w:t>Niveau de référence actualisé à fin 2015 :</w:t>
            </w:r>
            <w:r>
              <w:rPr>
                <w:color w:val="002060"/>
                <w:sz w:val="16"/>
                <w:szCs w:val="16"/>
              </w:rPr>
              <w:t xml:space="preserve"> 6</w:t>
            </w:r>
            <w:r w:rsidRPr="00CD000E">
              <w:rPr>
                <w:color w:val="002060"/>
                <w:sz w:val="16"/>
                <w:szCs w:val="16"/>
              </w:rPr>
              <w:t>0%</w:t>
            </w:r>
          </w:p>
          <w:p w14:paraId="086BD37B" w14:textId="77777777" w:rsidR="00561B47" w:rsidRPr="00CD000E" w:rsidRDefault="00561B47" w:rsidP="00561B47">
            <w:pPr>
              <w:rPr>
                <w:color w:val="002060"/>
                <w:sz w:val="16"/>
                <w:szCs w:val="16"/>
              </w:rPr>
            </w:pPr>
          </w:p>
          <w:p w14:paraId="2B9CBCDF" w14:textId="77777777" w:rsidR="00561B47" w:rsidRPr="00CD000E" w:rsidRDefault="00561B47" w:rsidP="00561B47">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370690C7" w14:textId="77777777" w:rsidR="00561B47" w:rsidRPr="00CD000E" w:rsidRDefault="00561B47" w:rsidP="00561B47">
            <w:pPr>
              <w:rPr>
                <w:color w:val="000000"/>
                <w:sz w:val="16"/>
                <w:szCs w:val="16"/>
              </w:rPr>
            </w:pPr>
            <w:r w:rsidRPr="00CD000E">
              <w:rPr>
                <w:sz w:val="16"/>
                <w:szCs w:val="16"/>
              </w:rPr>
              <w:t>0 (fin 2014)</w:t>
            </w:r>
          </w:p>
        </w:tc>
        <w:tc>
          <w:tcPr>
            <w:tcW w:w="714" w:type="pct"/>
            <w:shd w:val="clear" w:color="auto" w:fill="auto"/>
            <w:tcMar>
              <w:top w:w="57" w:type="dxa"/>
              <w:left w:w="108" w:type="dxa"/>
              <w:right w:w="108" w:type="dxa"/>
            </w:tcMar>
          </w:tcPr>
          <w:p w14:paraId="11ECED00" w14:textId="77777777" w:rsidR="00561B47" w:rsidRPr="00CD000E" w:rsidRDefault="00561B47" w:rsidP="00561B47">
            <w:pPr>
              <w:rPr>
                <w:color w:val="000000"/>
                <w:sz w:val="16"/>
                <w:szCs w:val="16"/>
              </w:rPr>
            </w:pPr>
            <w:r w:rsidRPr="00CD000E">
              <w:rPr>
                <w:sz w:val="16"/>
                <w:szCs w:val="16"/>
              </w:rPr>
              <w:t>70% des participants ayant participé à l’enquête d’accord ou tout à fait d’accord</w:t>
            </w:r>
            <w:r w:rsidRPr="00CD000E">
              <w:rPr>
                <w:color w:val="000000"/>
                <w:sz w:val="16"/>
                <w:szCs w:val="16"/>
              </w:rPr>
              <w:t xml:space="preserve"> </w:t>
            </w:r>
          </w:p>
        </w:tc>
        <w:tc>
          <w:tcPr>
            <w:tcW w:w="1282" w:type="pct"/>
            <w:shd w:val="clear" w:color="auto" w:fill="FFFFFF"/>
            <w:tcMar>
              <w:top w:w="57" w:type="dxa"/>
              <w:left w:w="108" w:type="dxa"/>
              <w:right w:w="108" w:type="dxa"/>
            </w:tcMar>
          </w:tcPr>
          <w:p w14:paraId="494CD026" w14:textId="77777777" w:rsidR="00561B47" w:rsidRPr="00CD000E" w:rsidRDefault="00561B47" w:rsidP="00561B47">
            <w:pPr>
              <w:rPr>
                <w:color w:val="000000"/>
                <w:sz w:val="16"/>
                <w:szCs w:val="16"/>
              </w:rPr>
            </w:pPr>
            <w:r w:rsidRPr="00CD000E">
              <w:rPr>
                <w:color w:val="000000"/>
                <w:sz w:val="16"/>
                <w:szCs w:val="16"/>
              </w:rPr>
              <w:t xml:space="preserve">Plus de 80% </w:t>
            </w:r>
            <w:r w:rsidRPr="00CD000E">
              <w:rPr>
                <w:sz w:val="16"/>
                <w:szCs w:val="16"/>
              </w:rPr>
              <w:t>des participants ayant participé à l’enquête d’accord ou tout à fait d’accord</w:t>
            </w:r>
          </w:p>
        </w:tc>
        <w:tc>
          <w:tcPr>
            <w:tcW w:w="651" w:type="pct"/>
            <w:shd w:val="clear" w:color="auto" w:fill="auto"/>
            <w:tcMar>
              <w:top w:w="57" w:type="dxa"/>
              <w:left w:w="108" w:type="dxa"/>
              <w:right w:w="108" w:type="dxa"/>
            </w:tcMar>
          </w:tcPr>
          <w:p w14:paraId="22DA0FA8" w14:textId="77777777" w:rsidR="00561B47" w:rsidRPr="00CD000E" w:rsidRDefault="00561B47" w:rsidP="00561B47">
            <w:pPr>
              <w:jc w:val="center"/>
              <w:rPr>
                <w:b/>
                <w:color w:val="000000"/>
                <w:sz w:val="16"/>
                <w:szCs w:val="16"/>
              </w:rPr>
            </w:pPr>
            <w:r w:rsidRPr="00CD000E">
              <w:rPr>
                <w:b/>
                <w:color w:val="00B050"/>
                <w:sz w:val="16"/>
                <w:szCs w:val="16"/>
              </w:rPr>
              <w:t>En bonne voie</w:t>
            </w:r>
          </w:p>
        </w:tc>
      </w:tr>
      <w:tr w:rsidR="00561B47" w:rsidRPr="00CD000E" w14:paraId="0F108DA5" w14:textId="77777777" w:rsidTr="00561B47">
        <w:trPr>
          <w:cantSplit/>
        </w:trPr>
        <w:tc>
          <w:tcPr>
            <w:tcW w:w="1007" w:type="pct"/>
            <w:shd w:val="clear" w:color="auto" w:fill="auto"/>
            <w:tcMar>
              <w:left w:w="108" w:type="dxa"/>
              <w:right w:w="108" w:type="dxa"/>
            </w:tcMar>
          </w:tcPr>
          <w:p w14:paraId="2695E3EC" w14:textId="77777777" w:rsidR="00561B47" w:rsidRPr="00CD000E" w:rsidRDefault="00561B47" w:rsidP="00561B47">
            <w:pPr>
              <w:rPr>
                <w:color w:val="000000"/>
                <w:sz w:val="16"/>
                <w:szCs w:val="16"/>
              </w:rPr>
            </w:pPr>
            <w:r w:rsidRPr="00CD000E">
              <w:rPr>
                <w:sz w:val="16"/>
                <w:szCs w:val="16"/>
              </w:rPr>
              <w:t>Nombre de visites sur le Portail de l’infrastructure du droit d’auteur</w:t>
            </w:r>
            <w:r w:rsidRPr="00CD000E">
              <w:rPr>
                <w:color w:val="000000"/>
                <w:sz w:val="16"/>
                <w:szCs w:val="16"/>
              </w:rPr>
              <w:t xml:space="preserve"> </w:t>
            </w:r>
          </w:p>
        </w:tc>
        <w:tc>
          <w:tcPr>
            <w:tcW w:w="1346" w:type="pct"/>
            <w:shd w:val="clear" w:color="auto" w:fill="auto"/>
            <w:tcMar>
              <w:left w:w="108" w:type="dxa"/>
              <w:right w:w="108" w:type="dxa"/>
            </w:tcMar>
          </w:tcPr>
          <w:p w14:paraId="5F558D61" w14:textId="77777777" w:rsidR="00561B47" w:rsidRPr="002C639E" w:rsidRDefault="00561B47" w:rsidP="00561B47">
            <w:pPr>
              <w:rPr>
                <w:i/>
                <w:color w:val="002060"/>
                <w:sz w:val="16"/>
                <w:szCs w:val="16"/>
              </w:rPr>
            </w:pPr>
            <w:r w:rsidRPr="002C639E">
              <w:rPr>
                <w:i/>
                <w:color w:val="002060"/>
                <w:sz w:val="16"/>
                <w:szCs w:val="16"/>
              </w:rPr>
              <w:t>Niveau de référence actualisé à fin 2015 :</w:t>
            </w:r>
          </w:p>
          <w:p w14:paraId="701DA85D" w14:textId="77777777" w:rsidR="00561B47" w:rsidRPr="002C639E" w:rsidRDefault="00561B47" w:rsidP="00561B47">
            <w:pPr>
              <w:rPr>
                <w:color w:val="002060"/>
                <w:sz w:val="16"/>
                <w:szCs w:val="16"/>
              </w:rPr>
            </w:pPr>
            <w:r w:rsidRPr="002C639E">
              <w:rPr>
                <w:color w:val="002060"/>
                <w:sz w:val="16"/>
                <w:szCs w:val="16"/>
              </w:rPr>
              <w:t>52 000</w:t>
            </w:r>
          </w:p>
          <w:p w14:paraId="3CD0E7BB" w14:textId="77777777" w:rsidR="00561B47" w:rsidRPr="002C639E" w:rsidRDefault="00561B47" w:rsidP="00561B47">
            <w:pPr>
              <w:rPr>
                <w:color w:val="002060"/>
                <w:sz w:val="16"/>
                <w:szCs w:val="16"/>
              </w:rPr>
            </w:pPr>
          </w:p>
          <w:p w14:paraId="3556B2A6" w14:textId="77777777" w:rsidR="00561B47" w:rsidRPr="002C639E" w:rsidRDefault="00561B47" w:rsidP="00561B47">
            <w:pPr>
              <w:rPr>
                <w:i/>
                <w:sz w:val="16"/>
                <w:szCs w:val="16"/>
                <w:lang w:bidi="th-TH"/>
              </w:rPr>
            </w:pPr>
            <w:r w:rsidRPr="002C639E">
              <w:rPr>
                <w:i/>
                <w:sz w:val="16"/>
                <w:szCs w:val="16"/>
                <w:lang w:bidi="th-TH"/>
              </w:rPr>
              <w:t>Niveau de référence initial dans le programme et budget 2016</w:t>
            </w:r>
            <w:r w:rsidRPr="002C639E">
              <w:rPr>
                <w:i/>
                <w:sz w:val="16"/>
                <w:szCs w:val="16"/>
                <w:lang w:bidi="th-TH"/>
              </w:rPr>
              <w:noBreakHyphen/>
              <w:t>2017 :</w:t>
            </w:r>
          </w:p>
          <w:p w14:paraId="5A10493E" w14:textId="77777777" w:rsidR="00561B47" w:rsidRPr="002C639E" w:rsidRDefault="00561B47" w:rsidP="00561B47">
            <w:pPr>
              <w:rPr>
                <w:color w:val="000000"/>
                <w:sz w:val="16"/>
                <w:szCs w:val="16"/>
              </w:rPr>
            </w:pPr>
            <w:r w:rsidRPr="002C639E">
              <w:rPr>
                <w:sz w:val="16"/>
                <w:szCs w:val="16"/>
              </w:rPr>
              <w:t>0 (fin 2014)</w:t>
            </w:r>
          </w:p>
        </w:tc>
        <w:tc>
          <w:tcPr>
            <w:tcW w:w="714" w:type="pct"/>
            <w:shd w:val="clear" w:color="auto" w:fill="auto"/>
            <w:tcMar>
              <w:top w:w="57" w:type="dxa"/>
              <w:left w:w="108" w:type="dxa"/>
              <w:right w:w="108" w:type="dxa"/>
            </w:tcMar>
          </w:tcPr>
          <w:p w14:paraId="3DD6BF8B" w14:textId="77777777" w:rsidR="00561B47" w:rsidRPr="002C639E" w:rsidRDefault="00561B47" w:rsidP="00561B47">
            <w:pPr>
              <w:rPr>
                <w:color w:val="002060"/>
                <w:sz w:val="16"/>
                <w:szCs w:val="16"/>
              </w:rPr>
            </w:pPr>
            <w:r w:rsidRPr="002C639E">
              <w:rPr>
                <w:i/>
                <w:color w:val="002060"/>
                <w:sz w:val="16"/>
                <w:szCs w:val="16"/>
              </w:rPr>
              <w:t>Objectif actualisé :</w:t>
            </w:r>
          </w:p>
          <w:p w14:paraId="727F002C" w14:textId="77777777" w:rsidR="00561B47" w:rsidRPr="002C639E" w:rsidRDefault="00561B47" w:rsidP="00561B47">
            <w:pPr>
              <w:rPr>
                <w:color w:val="000000"/>
                <w:sz w:val="16"/>
                <w:szCs w:val="16"/>
              </w:rPr>
            </w:pPr>
            <w:r w:rsidRPr="002C639E">
              <w:rPr>
                <w:sz w:val="16"/>
                <w:szCs w:val="16"/>
              </w:rPr>
              <w:t>57 000 visites</w:t>
            </w:r>
            <w:r w:rsidRPr="002C639E">
              <w:rPr>
                <w:color w:val="000000"/>
                <w:sz w:val="16"/>
                <w:szCs w:val="16"/>
              </w:rPr>
              <w:t xml:space="preserve"> sur le portail</w:t>
            </w:r>
          </w:p>
          <w:p w14:paraId="0D369F88" w14:textId="77777777" w:rsidR="00561B47" w:rsidRPr="002C639E" w:rsidRDefault="00561B47" w:rsidP="00561B47">
            <w:pPr>
              <w:rPr>
                <w:color w:val="000000"/>
                <w:sz w:val="16"/>
                <w:szCs w:val="16"/>
              </w:rPr>
            </w:pPr>
          </w:p>
          <w:p w14:paraId="0392EE84" w14:textId="77777777" w:rsidR="00561B47" w:rsidRPr="002C639E" w:rsidRDefault="00561B47" w:rsidP="00561B47">
            <w:pPr>
              <w:rPr>
                <w:i/>
                <w:color w:val="000000"/>
                <w:sz w:val="16"/>
                <w:szCs w:val="16"/>
              </w:rPr>
            </w:pPr>
            <w:r w:rsidRPr="002C639E">
              <w:rPr>
                <w:i/>
                <w:color w:val="000000"/>
                <w:sz w:val="16"/>
                <w:szCs w:val="16"/>
              </w:rPr>
              <w:t>Objectif initial dans le programme et budget 2016</w:t>
            </w:r>
            <w:r w:rsidRPr="002C639E">
              <w:rPr>
                <w:i/>
                <w:color w:val="000000"/>
                <w:sz w:val="16"/>
                <w:szCs w:val="16"/>
              </w:rPr>
              <w:noBreakHyphen/>
              <w:t>2017 :</w:t>
            </w:r>
          </w:p>
          <w:p w14:paraId="36D4E3B8" w14:textId="77777777" w:rsidR="00561B47" w:rsidRPr="002C639E" w:rsidRDefault="00561B47" w:rsidP="00561B47">
            <w:pPr>
              <w:rPr>
                <w:i/>
                <w:color w:val="000000"/>
                <w:sz w:val="16"/>
                <w:szCs w:val="16"/>
              </w:rPr>
            </w:pPr>
            <w:r w:rsidRPr="002C639E">
              <w:rPr>
                <w:i/>
                <w:sz w:val="16"/>
                <w:szCs w:val="16"/>
              </w:rPr>
              <w:t>500 visites</w:t>
            </w:r>
            <w:r w:rsidRPr="002C639E">
              <w:rPr>
                <w:i/>
                <w:color w:val="000000"/>
                <w:sz w:val="16"/>
                <w:szCs w:val="16"/>
              </w:rPr>
              <w:t xml:space="preserve"> sur le portail</w:t>
            </w:r>
          </w:p>
        </w:tc>
        <w:tc>
          <w:tcPr>
            <w:tcW w:w="1282" w:type="pct"/>
            <w:shd w:val="clear" w:color="auto" w:fill="FFFFFF"/>
            <w:tcMar>
              <w:top w:w="57" w:type="dxa"/>
              <w:left w:w="108" w:type="dxa"/>
              <w:right w:w="108" w:type="dxa"/>
            </w:tcMar>
          </w:tcPr>
          <w:p w14:paraId="2030D24D" w14:textId="77777777" w:rsidR="00561B47" w:rsidRPr="002C639E" w:rsidRDefault="00561B47" w:rsidP="00561B47">
            <w:pPr>
              <w:rPr>
                <w:color w:val="000000"/>
                <w:sz w:val="16"/>
                <w:szCs w:val="16"/>
              </w:rPr>
            </w:pPr>
            <w:r w:rsidRPr="002C639E">
              <w:rPr>
                <w:color w:val="000000"/>
                <w:sz w:val="16"/>
                <w:szCs w:val="16"/>
              </w:rPr>
              <w:t>La mise en place du Portail de l’infrastructure du droit d’auteur a été reportée</w:t>
            </w:r>
          </w:p>
        </w:tc>
        <w:tc>
          <w:tcPr>
            <w:tcW w:w="651" w:type="pct"/>
            <w:shd w:val="clear" w:color="auto" w:fill="auto"/>
            <w:tcMar>
              <w:top w:w="57" w:type="dxa"/>
              <w:left w:w="108" w:type="dxa"/>
              <w:right w:w="108" w:type="dxa"/>
            </w:tcMar>
          </w:tcPr>
          <w:p w14:paraId="0C00A041" w14:textId="77777777" w:rsidR="00561B47" w:rsidRPr="00CD000E" w:rsidRDefault="00561B47" w:rsidP="00561B47">
            <w:pPr>
              <w:jc w:val="center"/>
              <w:rPr>
                <w:b/>
                <w:color w:val="0070C0"/>
                <w:sz w:val="16"/>
                <w:szCs w:val="16"/>
              </w:rPr>
            </w:pPr>
            <w:proofErr w:type="spellStart"/>
            <w:r w:rsidRPr="00CD000E">
              <w:rPr>
                <w:b/>
                <w:color w:val="0070C0"/>
                <w:sz w:val="16"/>
                <w:szCs w:val="16"/>
              </w:rPr>
              <w:t>n.d</w:t>
            </w:r>
            <w:proofErr w:type="spellEnd"/>
            <w:r w:rsidRPr="00CD000E">
              <w:rPr>
                <w:b/>
                <w:color w:val="0070C0"/>
                <w:sz w:val="16"/>
                <w:szCs w:val="16"/>
              </w:rPr>
              <w:t>. pour 2016</w:t>
            </w:r>
          </w:p>
        </w:tc>
      </w:tr>
      <w:tr w:rsidR="00561B47" w:rsidRPr="00CD000E" w14:paraId="52E1F431" w14:textId="77777777" w:rsidTr="00561B47">
        <w:trPr>
          <w:cantSplit/>
        </w:trPr>
        <w:tc>
          <w:tcPr>
            <w:tcW w:w="1007" w:type="pct"/>
            <w:shd w:val="clear" w:color="auto" w:fill="auto"/>
            <w:tcMar>
              <w:left w:w="108" w:type="dxa"/>
              <w:right w:w="108" w:type="dxa"/>
            </w:tcMar>
          </w:tcPr>
          <w:p w14:paraId="0916B6FB" w14:textId="77777777" w:rsidR="00561B47" w:rsidRPr="00CD000E" w:rsidRDefault="00561B47" w:rsidP="00561B47">
            <w:pPr>
              <w:rPr>
                <w:color w:val="000000"/>
                <w:sz w:val="16"/>
                <w:szCs w:val="16"/>
              </w:rPr>
            </w:pPr>
            <w:r w:rsidRPr="00CD000E">
              <w:rPr>
                <w:sz w:val="16"/>
                <w:szCs w:val="16"/>
              </w:rPr>
              <w:t>Nombre de maisons d’édition signant la Charte ABC de l’édition en format accessible (“Charte”)</w:t>
            </w:r>
          </w:p>
        </w:tc>
        <w:tc>
          <w:tcPr>
            <w:tcW w:w="1346" w:type="pct"/>
            <w:shd w:val="clear" w:color="auto" w:fill="auto"/>
            <w:tcMar>
              <w:left w:w="108" w:type="dxa"/>
              <w:right w:w="108" w:type="dxa"/>
            </w:tcMar>
          </w:tcPr>
          <w:p w14:paraId="47766BF6" w14:textId="77777777" w:rsidR="00561B47" w:rsidRPr="002C639E" w:rsidRDefault="00561B47" w:rsidP="00561B47">
            <w:pPr>
              <w:rPr>
                <w:i/>
                <w:color w:val="002060"/>
                <w:sz w:val="16"/>
                <w:szCs w:val="16"/>
              </w:rPr>
            </w:pPr>
            <w:r w:rsidRPr="002C639E">
              <w:rPr>
                <w:i/>
                <w:color w:val="002060"/>
                <w:sz w:val="16"/>
                <w:szCs w:val="16"/>
              </w:rPr>
              <w:t>Niveau de référence actualisé à fin 2015 :</w:t>
            </w:r>
          </w:p>
          <w:p w14:paraId="25189FB9" w14:textId="77777777" w:rsidR="00561B47" w:rsidRPr="002C639E" w:rsidRDefault="00561B47" w:rsidP="00561B47">
            <w:pPr>
              <w:rPr>
                <w:color w:val="002060"/>
                <w:sz w:val="16"/>
                <w:szCs w:val="16"/>
              </w:rPr>
            </w:pPr>
            <w:r w:rsidRPr="002C639E">
              <w:rPr>
                <w:color w:val="002060"/>
                <w:sz w:val="16"/>
                <w:szCs w:val="16"/>
              </w:rPr>
              <w:t>12 maisons d’édition ont signé la Charte ABC</w:t>
            </w:r>
          </w:p>
          <w:p w14:paraId="3CB45080" w14:textId="77777777" w:rsidR="00561B47" w:rsidRPr="002C639E" w:rsidRDefault="00561B47" w:rsidP="00561B47">
            <w:pPr>
              <w:rPr>
                <w:color w:val="002060"/>
                <w:sz w:val="16"/>
                <w:szCs w:val="16"/>
              </w:rPr>
            </w:pPr>
          </w:p>
          <w:p w14:paraId="6C812599" w14:textId="77777777" w:rsidR="00561B47" w:rsidRPr="002C639E" w:rsidRDefault="00561B47" w:rsidP="00561B47">
            <w:pPr>
              <w:rPr>
                <w:i/>
                <w:sz w:val="16"/>
                <w:szCs w:val="16"/>
                <w:lang w:bidi="th-TH"/>
              </w:rPr>
            </w:pPr>
            <w:r w:rsidRPr="002C639E">
              <w:rPr>
                <w:i/>
                <w:sz w:val="16"/>
                <w:szCs w:val="16"/>
                <w:lang w:bidi="th-TH"/>
              </w:rPr>
              <w:t>Niveau de référence initial dans le programme et budget 2016</w:t>
            </w:r>
            <w:r w:rsidRPr="002C639E">
              <w:rPr>
                <w:i/>
                <w:sz w:val="16"/>
                <w:szCs w:val="16"/>
                <w:lang w:bidi="th-TH"/>
              </w:rPr>
              <w:noBreakHyphen/>
              <w:t>2017 :</w:t>
            </w:r>
          </w:p>
          <w:p w14:paraId="318C5C63" w14:textId="77777777" w:rsidR="00561B47" w:rsidRPr="002C639E" w:rsidRDefault="00561B47" w:rsidP="00561B47">
            <w:pPr>
              <w:rPr>
                <w:color w:val="000000"/>
                <w:sz w:val="16"/>
                <w:szCs w:val="16"/>
              </w:rPr>
            </w:pPr>
            <w:r w:rsidRPr="002C639E">
              <w:rPr>
                <w:color w:val="000000"/>
                <w:sz w:val="16"/>
                <w:szCs w:val="16"/>
              </w:rPr>
              <w:t>9 maisons d’édition ont signé la Charte ABC</w:t>
            </w:r>
          </w:p>
        </w:tc>
        <w:tc>
          <w:tcPr>
            <w:tcW w:w="714" w:type="pct"/>
            <w:shd w:val="clear" w:color="auto" w:fill="auto"/>
            <w:tcMar>
              <w:top w:w="57" w:type="dxa"/>
              <w:left w:w="108" w:type="dxa"/>
              <w:right w:w="108" w:type="dxa"/>
            </w:tcMar>
          </w:tcPr>
          <w:p w14:paraId="70C11AE7" w14:textId="77777777" w:rsidR="00561B47" w:rsidRPr="002C639E" w:rsidRDefault="00561B47" w:rsidP="00561B47">
            <w:pPr>
              <w:rPr>
                <w:color w:val="000000"/>
                <w:sz w:val="16"/>
                <w:szCs w:val="16"/>
              </w:rPr>
            </w:pPr>
            <w:r w:rsidRPr="002C639E">
              <w:rPr>
                <w:color w:val="000000"/>
                <w:sz w:val="16"/>
                <w:szCs w:val="16"/>
              </w:rPr>
              <w:t>15 maisons d’édition ont signé (au total)</w:t>
            </w:r>
          </w:p>
        </w:tc>
        <w:tc>
          <w:tcPr>
            <w:tcW w:w="1282" w:type="pct"/>
            <w:shd w:val="clear" w:color="auto" w:fill="FFFFFF"/>
            <w:tcMar>
              <w:top w:w="57" w:type="dxa"/>
              <w:left w:w="108" w:type="dxa"/>
              <w:right w:w="108" w:type="dxa"/>
            </w:tcMar>
          </w:tcPr>
          <w:p w14:paraId="3B32010F" w14:textId="77777777" w:rsidR="00561B47" w:rsidRPr="002C639E" w:rsidRDefault="00561B47" w:rsidP="00561B47">
            <w:pPr>
              <w:rPr>
                <w:color w:val="000000"/>
                <w:sz w:val="16"/>
                <w:szCs w:val="16"/>
              </w:rPr>
            </w:pPr>
            <w:r w:rsidRPr="002C639E">
              <w:rPr>
                <w:color w:val="000000"/>
                <w:sz w:val="16"/>
                <w:szCs w:val="16"/>
              </w:rPr>
              <w:t>Une décision a été prise au début de 2016 par le Conseil d’ABC, qui comprend l’Union internationale des éditeurs, de ne pas promouvoir la Charte ABC auprès des éditeurs commerciaux</w:t>
            </w:r>
          </w:p>
        </w:tc>
        <w:tc>
          <w:tcPr>
            <w:tcW w:w="651" w:type="pct"/>
            <w:shd w:val="clear" w:color="auto" w:fill="auto"/>
            <w:tcMar>
              <w:top w:w="57" w:type="dxa"/>
              <w:left w:w="108" w:type="dxa"/>
              <w:right w:w="108" w:type="dxa"/>
            </w:tcMar>
          </w:tcPr>
          <w:p w14:paraId="085F80EF" w14:textId="77777777" w:rsidR="00561B47" w:rsidRPr="00CD000E" w:rsidRDefault="00561B47" w:rsidP="00561B47">
            <w:pPr>
              <w:jc w:val="center"/>
              <w:rPr>
                <w:b/>
                <w:color w:val="000000"/>
                <w:sz w:val="16"/>
                <w:szCs w:val="16"/>
              </w:rPr>
            </w:pPr>
            <w:r w:rsidRPr="00CD000E">
              <w:rPr>
                <w:b/>
                <w:sz w:val="16"/>
                <w:szCs w:val="16"/>
              </w:rPr>
              <w:t>Abandonné</w:t>
            </w:r>
          </w:p>
        </w:tc>
      </w:tr>
      <w:tr w:rsidR="00561B47" w:rsidRPr="00CD000E" w14:paraId="289667C6" w14:textId="77777777" w:rsidTr="00561B47">
        <w:trPr>
          <w:cantSplit/>
        </w:trPr>
        <w:tc>
          <w:tcPr>
            <w:tcW w:w="1007" w:type="pct"/>
            <w:shd w:val="clear" w:color="auto" w:fill="auto"/>
            <w:tcMar>
              <w:left w:w="108" w:type="dxa"/>
              <w:right w:w="108" w:type="dxa"/>
            </w:tcMar>
          </w:tcPr>
          <w:p w14:paraId="4161CB73" w14:textId="77777777" w:rsidR="00561B47" w:rsidRPr="00CD000E" w:rsidRDefault="00561B47" w:rsidP="00561B47">
            <w:pPr>
              <w:rPr>
                <w:color w:val="000000"/>
                <w:sz w:val="16"/>
                <w:szCs w:val="16"/>
              </w:rPr>
            </w:pPr>
            <w:r w:rsidRPr="00CD000E">
              <w:rPr>
                <w:sz w:val="16"/>
                <w:szCs w:val="16"/>
              </w:rPr>
              <w:t>Nombre de livres en format accessible prêtés à des personnes ayant des difficultés de lecture</w:t>
            </w:r>
          </w:p>
        </w:tc>
        <w:tc>
          <w:tcPr>
            <w:tcW w:w="1346" w:type="pct"/>
            <w:shd w:val="clear" w:color="auto" w:fill="auto"/>
            <w:tcMar>
              <w:left w:w="108" w:type="dxa"/>
              <w:right w:w="108" w:type="dxa"/>
            </w:tcMar>
          </w:tcPr>
          <w:p w14:paraId="5FC6D7D6" w14:textId="77777777" w:rsidR="00561B47" w:rsidRPr="002C639E" w:rsidRDefault="00561B47" w:rsidP="00561B47">
            <w:pPr>
              <w:rPr>
                <w:i/>
                <w:color w:val="002060"/>
                <w:sz w:val="16"/>
                <w:szCs w:val="16"/>
              </w:rPr>
            </w:pPr>
            <w:r w:rsidRPr="002C639E">
              <w:rPr>
                <w:i/>
                <w:color w:val="002060"/>
                <w:sz w:val="16"/>
                <w:szCs w:val="16"/>
              </w:rPr>
              <w:t>Niveau de référence actualisé à fin 2015 :</w:t>
            </w:r>
          </w:p>
          <w:p w14:paraId="6A531D82" w14:textId="77777777" w:rsidR="00561B47" w:rsidRPr="002C639E" w:rsidRDefault="00561B47" w:rsidP="00561B47">
            <w:pPr>
              <w:rPr>
                <w:color w:val="002060"/>
                <w:sz w:val="16"/>
                <w:szCs w:val="16"/>
              </w:rPr>
            </w:pPr>
            <w:r w:rsidRPr="002C639E">
              <w:rPr>
                <w:color w:val="002060"/>
                <w:sz w:val="16"/>
                <w:szCs w:val="16"/>
              </w:rPr>
              <w:t>Plus de 58 000 prêts de livres en format accessible à des personnes ayant des difficultés de lecture (cumul)</w:t>
            </w:r>
          </w:p>
          <w:p w14:paraId="119FEC3B" w14:textId="77777777" w:rsidR="00561B47" w:rsidRPr="002C639E" w:rsidRDefault="00561B47" w:rsidP="00561B47">
            <w:pPr>
              <w:rPr>
                <w:color w:val="002060"/>
                <w:sz w:val="16"/>
                <w:szCs w:val="16"/>
              </w:rPr>
            </w:pPr>
          </w:p>
          <w:p w14:paraId="3F364B68" w14:textId="77777777" w:rsidR="00561B47" w:rsidRPr="002C639E" w:rsidRDefault="00561B47" w:rsidP="00561B47">
            <w:pPr>
              <w:rPr>
                <w:i/>
                <w:sz w:val="16"/>
                <w:szCs w:val="16"/>
                <w:lang w:bidi="th-TH"/>
              </w:rPr>
            </w:pPr>
            <w:r w:rsidRPr="002C639E">
              <w:rPr>
                <w:i/>
                <w:sz w:val="16"/>
                <w:szCs w:val="16"/>
                <w:lang w:bidi="th-TH"/>
              </w:rPr>
              <w:t>Niveau de référence initial dans le programme et budget 2016</w:t>
            </w:r>
            <w:r w:rsidRPr="002C639E">
              <w:rPr>
                <w:i/>
                <w:sz w:val="16"/>
                <w:szCs w:val="16"/>
                <w:lang w:bidi="th-TH"/>
              </w:rPr>
              <w:noBreakHyphen/>
              <w:t>2017 :</w:t>
            </w:r>
          </w:p>
          <w:p w14:paraId="20F7A28F" w14:textId="77777777" w:rsidR="00561B47" w:rsidRPr="002C639E" w:rsidRDefault="00561B47" w:rsidP="00561B47">
            <w:pPr>
              <w:rPr>
                <w:i/>
                <w:color w:val="002060"/>
                <w:sz w:val="16"/>
                <w:szCs w:val="16"/>
              </w:rPr>
            </w:pPr>
            <w:r w:rsidRPr="002C639E">
              <w:rPr>
                <w:color w:val="000000"/>
                <w:sz w:val="16"/>
                <w:szCs w:val="16"/>
              </w:rPr>
              <w:t>16 000 prêts à des personnes ayant des difficultés de lecture</w:t>
            </w:r>
          </w:p>
        </w:tc>
        <w:tc>
          <w:tcPr>
            <w:tcW w:w="714" w:type="pct"/>
            <w:shd w:val="clear" w:color="auto" w:fill="auto"/>
            <w:tcMar>
              <w:top w:w="57" w:type="dxa"/>
              <w:left w:w="108" w:type="dxa"/>
              <w:right w:w="108" w:type="dxa"/>
            </w:tcMar>
          </w:tcPr>
          <w:p w14:paraId="57241041" w14:textId="77777777" w:rsidR="00561B47" w:rsidRPr="002C639E" w:rsidRDefault="00561B47" w:rsidP="00561B47">
            <w:pPr>
              <w:rPr>
                <w:i/>
                <w:color w:val="002060"/>
                <w:sz w:val="16"/>
                <w:szCs w:val="16"/>
              </w:rPr>
            </w:pPr>
            <w:r w:rsidRPr="002C639E">
              <w:rPr>
                <w:i/>
                <w:color w:val="002060"/>
                <w:sz w:val="16"/>
                <w:szCs w:val="16"/>
              </w:rPr>
              <w:t>Objectif actualisé :</w:t>
            </w:r>
          </w:p>
          <w:p w14:paraId="1D907252" w14:textId="77777777" w:rsidR="00561B47" w:rsidRPr="002C639E" w:rsidRDefault="00561B47" w:rsidP="00561B47">
            <w:pPr>
              <w:rPr>
                <w:color w:val="002060"/>
                <w:sz w:val="16"/>
                <w:szCs w:val="16"/>
              </w:rPr>
            </w:pPr>
            <w:r w:rsidRPr="002C639E">
              <w:rPr>
                <w:color w:val="002060"/>
                <w:sz w:val="16"/>
                <w:szCs w:val="16"/>
              </w:rPr>
              <w:t>130 000 prêts (au total)</w:t>
            </w:r>
          </w:p>
          <w:p w14:paraId="497E6C0F" w14:textId="77777777" w:rsidR="00561B47" w:rsidRPr="002C639E" w:rsidRDefault="00561B47" w:rsidP="00561B47">
            <w:pPr>
              <w:rPr>
                <w:color w:val="000000"/>
                <w:sz w:val="16"/>
                <w:szCs w:val="16"/>
              </w:rPr>
            </w:pPr>
          </w:p>
          <w:p w14:paraId="1204651A" w14:textId="77777777" w:rsidR="00561B47" w:rsidRPr="002C639E" w:rsidRDefault="00561B47" w:rsidP="00561B47">
            <w:pPr>
              <w:rPr>
                <w:i/>
                <w:sz w:val="16"/>
                <w:szCs w:val="16"/>
                <w:lang w:bidi="th-TH"/>
              </w:rPr>
            </w:pPr>
            <w:r w:rsidRPr="002C639E">
              <w:rPr>
                <w:i/>
                <w:sz w:val="16"/>
                <w:szCs w:val="16"/>
                <w:lang w:bidi="th-TH"/>
              </w:rPr>
              <w:t>Objectif initial dans le programme et budget 2016</w:t>
            </w:r>
            <w:r w:rsidRPr="002C639E">
              <w:rPr>
                <w:i/>
                <w:sz w:val="16"/>
                <w:szCs w:val="16"/>
                <w:lang w:bidi="th-TH"/>
              </w:rPr>
              <w:noBreakHyphen/>
              <w:t>2017 :</w:t>
            </w:r>
          </w:p>
          <w:p w14:paraId="4DA74E44" w14:textId="77777777" w:rsidR="00561B47" w:rsidRPr="002C639E" w:rsidRDefault="00561B47" w:rsidP="00561B47">
            <w:pPr>
              <w:rPr>
                <w:color w:val="000000"/>
                <w:sz w:val="16"/>
                <w:szCs w:val="16"/>
              </w:rPr>
            </w:pPr>
            <w:r w:rsidRPr="002C639E">
              <w:rPr>
                <w:color w:val="000000"/>
                <w:sz w:val="16"/>
                <w:szCs w:val="16"/>
              </w:rPr>
              <w:t>20 000 prêts (au total)</w:t>
            </w:r>
          </w:p>
        </w:tc>
        <w:tc>
          <w:tcPr>
            <w:tcW w:w="1282" w:type="pct"/>
            <w:shd w:val="clear" w:color="auto" w:fill="FFFFFF"/>
            <w:tcMar>
              <w:top w:w="57" w:type="dxa"/>
              <w:left w:w="108" w:type="dxa"/>
              <w:right w:w="108" w:type="dxa"/>
            </w:tcMar>
          </w:tcPr>
          <w:p w14:paraId="26726CE8" w14:textId="77777777" w:rsidR="00561B47" w:rsidRPr="002C639E" w:rsidRDefault="00561B47" w:rsidP="00561B47">
            <w:pPr>
              <w:rPr>
                <w:color w:val="000000"/>
                <w:sz w:val="16"/>
                <w:szCs w:val="16"/>
              </w:rPr>
            </w:pPr>
            <w:r w:rsidRPr="002C639E">
              <w:rPr>
                <w:color w:val="000000"/>
                <w:sz w:val="16"/>
                <w:szCs w:val="16"/>
              </w:rPr>
              <w:t>Plus de 42 000 prêts de livres en format accessible à des personnes ayant des difficultés de lecture</w:t>
            </w:r>
          </w:p>
          <w:p w14:paraId="0EC8D0D5" w14:textId="77777777" w:rsidR="00561B47" w:rsidRPr="002C639E" w:rsidRDefault="00561B47" w:rsidP="00561B47">
            <w:pPr>
              <w:rPr>
                <w:color w:val="000000"/>
                <w:sz w:val="16"/>
                <w:szCs w:val="16"/>
              </w:rPr>
            </w:pPr>
            <w:r w:rsidRPr="002C639E">
              <w:rPr>
                <w:color w:val="000000"/>
                <w:sz w:val="16"/>
                <w:szCs w:val="16"/>
              </w:rPr>
              <w:t>(100 000 prêts au total)</w:t>
            </w:r>
          </w:p>
        </w:tc>
        <w:tc>
          <w:tcPr>
            <w:tcW w:w="651" w:type="pct"/>
            <w:shd w:val="clear" w:color="auto" w:fill="auto"/>
            <w:tcMar>
              <w:top w:w="57" w:type="dxa"/>
              <w:left w:w="108" w:type="dxa"/>
              <w:right w:w="108" w:type="dxa"/>
            </w:tcMar>
          </w:tcPr>
          <w:p w14:paraId="490038F8" w14:textId="77777777" w:rsidR="00561B47" w:rsidRPr="00CD000E" w:rsidRDefault="00561B47" w:rsidP="00561B47">
            <w:pPr>
              <w:jc w:val="center"/>
              <w:rPr>
                <w:b/>
                <w:color w:val="000000"/>
                <w:sz w:val="16"/>
                <w:szCs w:val="16"/>
              </w:rPr>
            </w:pPr>
            <w:r w:rsidRPr="00CD000E">
              <w:rPr>
                <w:b/>
                <w:color w:val="00B050"/>
                <w:sz w:val="16"/>
                <w:szCs w:val="16"/>
              </w:rPr>
              <w:t>En bonne voie</w:t>
            </w:r>
          </w:p>
        </w:tc>
      </w:tr>
      <w:tr w:rsidR="00561B47" w:rsidRPr="00CD000E" w14:paraId="0375BBB4" w14:textId="77777777" w:rsidTr="00561B47">
        <w:trPr>
          <w:cantSplit/>
        </w:trPr>
        <w:tc>
          <w:tcPr>
            <w:tcW w:w="1007" w:type="pct"/>
            <w:shd w:val="clear" w:color="auto" w:fill="auto"/>
            <w:tcMar>
              <w:left w:w="108" w:type="dxa"/>
              <w:right w:w="108" w:type="dxa"/>
            </w:tcMar>
          </w:tcPr>
          <w:p w14:paraId="2D17DD10" w14:textId="77777777" w:rsidR="00561B47" w:rsidRPr="00CD000E" w:rsidRDefault="00561B47" w:rsidP="00561B47">
            <w:pPr>
              <w:rPr>
                <w:color w:val="000000"/>
                <w:sz w:val="16"/>
                <w:szCs w:val="16"/>
              </w:rPr>
            </w:pPr>
            <w:r w:rsidRPr="00CD000E">
              <w:rPr>
                <w:sz w:val="16"/>
                <w:szCs w:val="16"/>
              </w:rPr>
              <w:lastRenderedPageBreak/>
              <w:t>Pourcentage de participants satisfaits des réunions et des ateliers de renforcement des capacités liées au droit d’auteur et aux droits connexes, et les ayant évalués comme utiles</w:t>
            </w:r>
          </w:p>
        </w:tc>
        <w:tc>
          <w:tcPr>
            <w:tcW w:w="1346" w:type="pct"/>
            <w:shd w:val="clear" w:color="auto" w:fill="auto"/>
            <w:tcMar>
              <w:left w:w="108" w:type="dxa"/>
              <w:right w:w="108" w:type="dxa"/>
            </w:tcMar>
          </w:tcPr>
          <w:p w14:paraId="07888941" w14:textId="77777777" w:rsidR="00561B47" w:rsidRPr="00CD000E" w:rsidRDefault="00561B47" w:rsidP="00561B47">
            <w:pPr>
              <w:rPr>
                <w:i/>
                <w:color w:val="002060"/>
                <w:sz w:val="16"/>
                <w:szCs w:val="16"/>
              </w:rPr>
            </w:pPr>
            <w:r w:rsidRPr="00CD000E">
              <w:rPr>
                <w:i/>
                <w:color w:val="002060"/>
                <w:sz w:val="16"/>
                <w:szCs w:val="16"/>
              </w:rPr>
              <w:t>Niveau de référence actualisé à fin 2015 :</w:t>
            </w:r>
          </w:p>
          <w:p w14:paraId="1C063F4F" w14:textId="77777777" w:rsidR="00561B47" w:rsidRPr="002C639E" w:rsidRDefault="00561B47" w:rsidP="00561B47">
            <w:pPr>
              <w:rPr>
                <w:color w:val="002060"/>
                <w:sz w:val="16"/>
                <w:szCs w:val="16"/>
              </w:rPr>
            </w:pPr>
            <w:r w:rsidRPr="002C639E">
              <w:rPr>
                <w:color w:val="002060"/>
                <w:sz w:val="16"/>
                <w:szCs w:val="16"/>
              </w:rPr>
              <w:t>Plus de 80% des participants satisfaits ou très satisfaits</w:t>
            </w:r>
          </w:p>
          <w:p w14:paraId="36B7721F" w14:textId="77777777" w:rsidR="00561B47" w:rsidRPr="00CD000E" w:rsidRDefault="00561B47" w:rsidP="00561B47">
            <w:pPr>
              <w:rPr>
                <w:i/>
                <w:color w:val="002060"/>
                <w:sz w:val="16"/>
                <w:szCs w:val="16"/>
              </w:rPr>
            </w:pPr>
          </w:p>
          <w:p w14:paraId="36A1E07C" w14:textId="77777777" w:rsidR="00561B47" w:rsidRPr="00CD000E" w:rsidRDefault="00561B47" w:rsidP="00561B47">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7B2DCAFD" w14:textId="77777777" w:rsidR="00561B47" w:rsidRPr="00CD000E" w:rsidRDefault="00561B47" w:rsidP="00561B47">
            <w:pPr>
              <w:rPr>
                <w:color w:val="000000"/>
                <w:sz w:val="16"/>
                <w:szCs w:val="16"/>
              </w:rPr>
            </w:pPr>
            <w:r w:rsidRPr="00CD000E">
              <w:rPr>
                <w:color w:val="000000"/>
                <w:sz w:val="16"/>
                <w:szCs w:val="16"/>
              </w:rPr>
              <w:t xml:space="preserve">70% </w:t>
            </w:r>
          </w:p>
        </w:tc>
        <w:tc>
          <w:tcPr>
            <w:tcW w:w="714" w:type="pct"/>
            <w:shd w:val="clear" w:color="auto" w:fill="auto"/>
            <w:tcMar>
              <w:top w:w="57" w:type="dxa"/>
              <w:left w:w="108" w:type="dxa"/>
              <w:right w:w="108" w:type="dxa"/>
            </w:tcMar>
          </w:tcPr>
          <w:p w14:paraId="26D132DD" w14:textId="77777777" w:rsidR="00561B47" w:rsidRPr="00CD000E" w:rsidRDefault="00561B47" w:rsidP="00561B47">
            <w:pPr>
              <w:rPr>
                <w:i/>
                <w:color w:val="002060"/>
                <w:sz w:val="16"/>
                <w:szCs w:val="16"/>
              </w:rPr>
            </w:pPr>
            <w:r w:rsidRPr="00CD000E">
              <w:rPr>
                <w:i/>
                <w:color w:val="002060"/>
                <w:sz w:val="16"/>
                <w:szCs w:val="16"/>
              </w:rPr>
              <w:t>Objectif actualisé :</w:t>
            </w:r>
          </w:p>
          <w:p w14:paraId="429911CA" w14:textId="77777777" w:rsidR="00561B47" w:rsidRPr="002C639E" w:rsidRDefault="00561B47" w:rsidP="00561B47">
            <w:pPr>
              <w:rPr>
                <w:color w:val="002060"/>
                <w:sz w:val="16"/>
                <w:szCs w:val="16"/>
              </w:rPr>
            </w:pPr>
            <w:r w:rsidRPr="002C639E">
              <w:rPr>
                <w:color w:val="002060"/>
                <w:sz w:val="16"/>
                <w:szCs w:val="16"/>
              </w:rPr>
              <w:t>80% des participants satisfaits ou très satisfaits</w:t>
            </w:r>
          </w:p>
          <w:p w14:paraId="054C537E" w14:textId="77777777" w:rsidR="00561B47" w:rsidRPr="00CD000E" w:rsidRDefault="00561B47" w:rsidP="00561B47">
            <w:pPr>
              <w:rPr>
                <w:color w:val="000000"/>
                <w:sz w:val="16"/>
                <w:szCs w:val="16"/>
              </w:rPr>
            </w:pPr>
          </w:p>
          <w:p w14:paraId="5C2BCBD5" w14:textId="77777777" w:rsidR="00561B47" w:rsidRPr="00CD000E" w:rsidRDefault="00561B47" w:rsidP="00561B47">
            <w:pPr>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17379A06" w14:textId="77777777" w:rsidR="00561B47" w:rsidRPr="00CD000E" w:rsidRDefault="00561B47" w:rsidP="00561B47">
            <w:pPr>
              <w:rPr>
                <w:color w:val="000000"/>
                <w:sz w:val="16"/>
                <w:szCs w:val="16"/>
              </w:rPr>
            </w:pPr>
            <w:r w:rsidRPr="00CD000E">
              <w:rPr>
                <w:sz w:val="16"/>
                <w:szCs w:val="16"/>
              </w:rPr>
              <w:t>70% des participants satisfaits ou très satisfaits</w:t>
            </w:r>
          </w:p>
        </w:tc>
        <w:tc>
          <w:tcPr>
            <w:tcW w:w="1282" w:type="pct"/>
            <w:shd w:val="clear" w:color="auto" w:fill="FFFFFF"/>
            <w:tcMar>
              <w:top w:w="57" w:type="dxa"/>
              <w:left w:w="108" w:type="dxa"/>
              <w:right w:w="108" w:type="dxa"/>
            </w:tcMar>
          </w:tcPr>
          <w:p w14:paraId="4B1CA462" w14:textId="77777777" w:rsidR="00561B47" w:rsidRPr="002C639E" w:rsidRDefault="00561B47" w:rsidP="00561B47">
            <w:pPr>
              <w:rPr>
                <w:color w:val="000000"/>
                <w:sz w:val="16"/>
                <w:szCs w:val="16"/>
              </w:rPr>
            </w:pPr>
            <w:r w:rsidRPr="002C639E">
              <w:rPr>
                <w:color w:val="000000"/>
                <w:sz w:val="16"/>
                <w:szCs w:val="16"/>
              </w:rPr>
              <w:t>Plus de 80% des participants sont d’accord ou tout à fait d’accord pour reconnaître l’utilité des réunions et des ateliers de renforcement des capacités liées au droit d’auteur et aux droits connexes</w:t>
            </w:r>
          </w:p>
        </w:tc>
        <w:tc>
          <w:tcPr>
            <w:tcW w:w="651" w:type="pct"/>
            <w:shd w:val="clear" w:color="auto" w:fill="auto"/>
            <w:tcMar>
              <w:top w:w="57" w:type="dxa"/>
              <w:left w:w="108" w:type="dxa"/>
              <w:right w:w="108" w:type="dxa"/>
            </w:tcMar>
          </w:tcPr>
          <w:p w14:paraId="24DB1307" w14:textId="77777777" w:rsidR="00561B47" w:rsidRPr="00CD000E" w:rsidRDefault="00561B47" w:rsidP="00561B47">
            <w:pPr>
              <w:jc w:val="center"/>
              <w:rPr>
                <w:b/>
                <w:color w:val="000000"/>
                <w:sz w:val="16"/>
                <w:szCs w:val="16"/>
                <w:highlight w:val="yellow"/>
              </w:rPr>
            </w:pPr>
            <w:r w:rsidRPr="00CD000E">
              <w:rPr>
                <w:b/>
                <w:color w:val="00B050"/>
                <w:sz w:val="16"/>
                <w:szCs w:val="16"/>
              </w:rPr>
              <w:t>En bonne voie</w:t>
            </w:r>
          </w:p>
        </w:tc>
      </w:tr>
      <w:tr w:rsidR="00561B47" w:rsidRPr="00CD000E" w14:paraId="4964BCDC" w14:textId="77777777" w:rsidTr="00561B47">
        <w:trPr>
          <w:cantSplit/>
        </w:trPr>
        <w:tc>
          <w:tcPr>
            <w:tcW w:w="1007" w:type="pct"/>
            <w:shd w:val="clear" w:color="auto" w:fill="auto"/>
            <w:tcMar>
              <w:left w:w="108" w:type="dxa"/>
              <w:right w:w="108" w:type="dxa"/>
            </w:tcMar>
          </w:tcPr>
          <w:p w14:paraId="56AE98CB" w14:textId="77777777" w:rsidR="00561B47" w:rsidRPr="00CD000E" w:rsidRDefault="00561B47" w:rsidP="00561B47">
            <w:pPr>
              <w:keepNext/>
              <w:keepLines/>
              <w:rPr>
                <w:color w:val="000000"/>
                <w:sz w:val="16"/>
                <w:szCs w:val="16"/>
              </w:rPr>
            </w:pPr>
            <w:r w:rsidRPr="00CD000E">
              <w:rPr>
                <w:sz w:val="16"/>
                <w:szCs w:val="16"/>
              </w:rPr>
              <w:t>Pourcentage des participants à des ateliers de renforcement des capacités ayant indiqué utiliser en pratique les connaissances acquises neuf mois après la participation aux ateliers</w:t>
            </w:r>
          </w:p>
        </w:tc>
        <w:tc>
          <w:tcPr>
            <w:tcW w:w="1346" w:type="pct"/>
            <w:shd w:val="clear" w:color="auto" w:fill="auto"/>
            <w:tcMar>
              <w:left w:w="108" w:type="dxa"/>
              <w:right w:w="108" w:type="dxa"/>
            </w:tcMar>
          </w:tcPr>
          <w:p w14:paraId="03288AA0" w14:textId="77777777" w:rsidR="00561B47" w:rsidRPr="00CD000E" w:rsidRDefault="00561B47" w:rsidP="00561B47">
            <w:pPr>
              <w:keepNext/>
              <w:keepLines/>
              <w:rPr>
                <w:i/>
                <w:color w:val="002060"/>
                <w:sz w:val="16"/>
                <w:szCs w:val="16"/>
              </w:rPr>
            </w:pPr>
            <w:r w:rsidRPr="00CD000E">
              <w:rPr>
                <w:i/>
                <w:color w:val="002060"/>
                <w:sz w:val="16"/>
                <w:szCs w:val="16"/>
              </w:rPr>
              <w:t>Niveau de référence actualisé à fin 2015 :</w:t>
            </w:r>
          </w:p>
          <w:p w14:paraId="455ADEA9" w14:textId="77777777" w:rsidR="00561B47" w:rsidRPr="002C639E" w:rsidRDefault="00561B47" w:rsidP="00561B47">
            <w:pPr>
              <w:keepNext/>
              <w:keepLines/>
              <w:rPr>
                <w:color w:val="002060"/>
                <w:sz w:val="16"/>
                <w:szCs w:val="16"/>
              </w:rPr>
            </w:pPr>
            <w:r w:rsidRPr="002C639E">
              <w:rPr>
                <w:color w:val="002060"/>
                <w:sz w:val="16"/>
                <w:szCs w:val="16"/>
              </w:rPr>
              <w:t>Plus de 80% des participants satisfaits ou très satisfaits</w:t>
            </w:r>
          </w:p>
          <w:p w14:paraId="4A1CDEA0" w14:textId="77777777" w:rsidR="00561B47" w:rsidRPr="00CD000E" w:rsidRDefault="00561B47" w:rsidP="00561B47">
            <w:pPr>
              <w:keepNext/>
              <w:keepLines/>
              <w:rPr>
                <w:color w:val="002060"/>
                <w:sz w:val="16"/>
                <w:szCs w:val="16"/>
              </w:rPr>
            </w:pPr>
          </w:p>
          <w:p w14:paraId="509579D0" w14:textId="77777777" w:rsidR="00561B47" w:rsidRPr="00CD000E" w:rsidRDefault="00561B47" w:rsidP="00561B47">
            <w:pPr>
              <w:keepNext/>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116F0AAA" w14:textId="77777777" w:rsidR="00561B47" w:rsidRPr="00CD000E" w:rsidRDefault="00561B47" w:rsidP="00561B47">
            <w:pPr>
              <w:keepNext/>
              <w:keepLines/>
              <w:rPr>
                <w:color w:val="000000"/>
                <w:sz w:val="16"/>
                <w:szCs w:val="16"/>
              </w:rPr>
            </w:pPr>
            <w:r w:rsidRPr="00CD000E">
              <w:rPr>
                <w:sz w:val="16"/>
                <w:szCs w:val="16"/>
              </w:rPr>
              <w:t>Près de 70%</w:t>
            </w:r>
          </w:p>
        </w:tc>
        <w:tc>
          <w:tcPr>
            <w:tcW w:w="714" w:type="pct"/>
            <w:shd w:val="clear" w:color="auto" w:fill="auto"/>
            <w:tcMar>
              <w:top w:w="57" w:type="dxa"/>
              <w:left w:w="108" w:type="dxa"/>
              <w:right w:w="108" w:type="dxa"/>
            </w:tcMar>
          </w:tcPr>
          <w:p w14:paraId="6BF8D706" w14:textId="77777777" w:rsidR="00561B47" w:rsidRPr="00CD000E" w:rsidRDefault="00561B47" w:rsidP="00561B47">
            <w:pPr>
              <w:keepNext/>
              <w:keepLines/>
              <w:rPr>
                <w:color w:val="000000"/>
                <w:sz w:val="16"/>
                <w:szCs w:val="16"/>
              </w:rPr>
            </w:pPr>
            <w:r w:rsidRPr="00CD000E">
              <w:rPr>
                <w:sz w:val="16"/>
                <w:szCs w:val="16"/>
              </w:rPr>
              <w:t>Près de 80% des participants</w:t>
            </w:r>
          </w:p>
        </w:tc>
        <w:tc>
          <w:tcPr>
            <w:tcW w:w="1282" w:type="pct"/>
            <w:shd w:val="clear" w:color="auto" w:fill="FFFFFF"/>
            <w:tcMar>
              <w:top w:w="57" w:type="dxa"/>
              <w:left w:w="108" w:type="dxa"/>
              <w:right w:w="108" w:type="dxa"/>
            </w:tcMar>
          </w:tcPr>
          <w:p w14:paraId="445DF505" w14:textId="77777777" w:rsidR="00561B47" w:rsidRPr="002C639E" w:rsidRDefault="00561B47" w:rsidP="00561B47">
            <w:pPr>
              <w:keepNext/>
              <w:keepLines/>
              <w:rPr>
                <w:color w:val="000000"/>
                <w:sz w:val="16"/>
                <w:szCs w:val="16"/>
              </w:rPr>
            </w:pPr>
            <w:r w:rsidRPr="002C639E">
              <w:rPr>
                <w:color w:val="000000"/>
                <w:sz w:val="16"/>
                <w:szCs w:val="16"/>
              </w:rPr>
              <w:t>Plus de 80% des participants ont indiqué avoir utilisé en pratique les connaissances acquises neuf mois après la participation aux ateliers</w:t>
            </w:r>
          </w:p>
        </w:tc>
        <w:tc>
          <w:tcPr>
            <w:tcW w:w="651" w:type="pct"/>
            <w:shd w:val="clear" w:color="auto" w:fill="auto"/>
            <w:tcMar>
              <w:top w:w="57" w:type="dxa"/>
              <w:left w:w="108" w:type="dxa"/>
              <w:right w:w="108" w:type="dxa"/>
            </w:tcMar>
          </w:tcPr>
          <w:p w14:paraId="638D939C" w14:textId="77777777" w:rsidR="00561B47" w:rsidRPr="00CD000E" w:rsidRDefault="00561B47" w:rsidP="00561B47">
            <w:pPr>
              <w:keepNext/>
              <w:keepLines/>
              <w:jc w:val="center"/>
              <w:rPr>
                <w:b/>
                <w:color w:val="000000"/>
                <w:sz w:val="16"/>
                <w:szCs w:val="16"/>
              </w:rPr>
            </w:pPr>
            <w:r w:rsidRPr="00CD000E">
              <w:rPr>
                <w:b/>
                <w:color w:val="00B050"/>
                <w:sz w:val="16"/>
                <w:szCs w:val="16"/>
              </w:rPr>
              <w:t>En bonne voie</w:t>
            </w:r>
          </w:p>
        </w:tc>
      </w:tr>
      <w:tr w:rsidR="00561B47" w:rsidRPr="00CD000E" w14:paraId="6386366A" w14:textId="77777777" w:rsidTr="00561B47">
        <w:trPr>
          <w:cantSplit/>
        </w:trPr>
        <w:tc>
          <w:tcPr>
            <w:tcW w:w="1007" w:type="pct"/>
            <w:shd w:val="clear" w:color="auto" w:fill="auto"/>
            <w:tcMar>
              <w:left w:w="108" w:type="dxa"/>
              <w:right w:w="108" w:type="dxa"/>
            </w:tcMar>
          </w:tcPr>
          <w:p w14:paraId="38AE210F" w14:textId="77777777" w:rsidR="00561B47" w:rsidRPr="00CD000E" w:rsidRDefault="00561B47" w:rsidP="00561B47">
            <w:pPr>
              <w:rPr>
                <w:color w:val="000000"/>
                <w:sz w:val="16"/>
                <w:szCs w:val="16"/>
              </w:rPr>
            </w:pPr>
            <w:r w:rsidRPr="00CD000E">
              <w:rPr>
                <w:sz w:val="16"/>
                <w:szCs w:val="16"/>
              </w:rPr>
              <w:t>Pourcentage de participants ayant des connaissances et des compétences accrues en matière de mise en œuvre d’activités de formation dans leurs pays respectifs</w:t>
            </w:r>
            <w:r w:rsidRPr="00CD000E">
              <w:rPr>
                <w:color w:val="000000"/>
                <w:sz w:val="16"/>
                <w:szCs w:val="16"/>
              </w:rPr>
              <w:t xml:space="preserve"> </w:t>
            </w:r>
          </w:p>
        </w:tc>
        <w:tc>
          <w:tcPr>
            <w:tcW w:w="1346" w:type="pct"/>
            <w:shd w:val="clear" w:color="auto" w:fill="auto"/>
            <w:tcMar>
              <w:left w:w="108" w:type="dxa"/>
              <w:right w:w="108" w:type="dxa"/>
            </w:tcMar>
          </w:tcPr>
          <w:p w14:paraId="0B370DD3" w14:textId="77777777" w:rsidR="00561B47" w:rsidRPr="00CD000E" w:rsidRDefault="00561B47" w:rsidP="00561B47">
            <w:pPr>
              <w:rPr>
                <w:color w:val="000000"/>
                <w:sz w:val="16"/>
                <w:szCs w:val="16"/>
              </w:rPr>
            </w:pPr>
            <w:proofErr w:type="spellStart"/>
            <w:r w:rsidRPr="00CD000E">
              <w:rPr>
                <w:sz w:val="16"/>
                <w:szCs w:val="16"/>
              </w:rPr>
              <w:t>s.o</w:t>
            </w:r>
            <w:proofErr w:type="spellEnd"/>
            <w:r w:rsidRPr="00CD000E">
              <w:rPr>
                <w:sz w:val="16"/>
                <w:szCs w:val="16"/>
              </w:rPr>
              <w:t>. (nouvel indicateur)</w:t>
            </w:r>
          </w:p>
        </w:tc>
        <w:tc>
          <w:tcPr>
            <w:tcW w:w="714" w:type="pct"/>
            <w:shd w:val="clear" w:color="auto" w:fill="auto"/>
            <w:tcMar>
              <w:top w:w="57" w:type="dxa"/>
              <w:left w:w="108" w:type="dxa"/>
              <w:right w:w="108" w:type="dxa"/>
            </w:tcMar>
          </w:tcPr>
          <w:p w14:paraId="5A1A152B" w14:textId="77777777" w:rsidR="00561B47" w:rsidRPr="002C639E" w:rsidRDefault="00561B47" w:rsidP="00561B47">
            <w:pPr>
              <w:rPr>
                <w:color w:val="000000"/>
                <w:sz w:val="16"/>
                <w:szCs w:val="16"/>
              </w:rPr>
            </w:pPr>
            <w:r w:rsidRPr="002C639E">
              <w:rPr>
                <w:sz w:val="16"/>
                <w:szCs w:val="16"/>
              </w:rPr>
              <w:t>70% des participants ayant reçu une formation</w:t>
            </w:r>
          </w:p>
        </w:tc>
        <w:tc>
          <w:tcPr>
            <w:tcW w:w="1282" w:type="pct"/>
            <w:shd w:val="clear" w:color="auto" w:fill="auto"/>
            <w:tcMar>
              <w:top w:w="57" w:type="dxa"/>
              <w:left w:w="108" w:type="dxa"/>
              <w:right w:w="108" w:type="dxa"/>
            </w:tcMar>
          </w:tcPr>
          <w:p w14:paraId="35AAF155" w14:textId="77777777" w:rsidR="00561B47" w:rsidRPr="002C639E" w:rsidRDefault="00561B47" w:rsidP="00561B47">
            <w:pPr>
              <w:rPr>
                <w:color w:val="000000"/>
                <w:sz w:val="16"/>
                <w:szCs w:val="16"/>
              </w:rPr>
            </w:pPr>
            <w:r w:rsidRPr="002C639E">
              <w:rPr>
                <w:color w:val="000000"/>
                <w:sz w:val="16"/>
                <w:szCs w:val="16"/>
              </w:rPr>
              <w:t>70% des participants ont fait état de connaissances et de compétences accrues en matière de mise en œuvre d’activités de formation dans leurs pays respectifs</w:t>
            </w:r>
          </w:p>
        </w:tc>
        <w:tc>
          <w:tcPr>
            <w:tcW w:w="651" w:type="pct"/>
            <w:shd w:val="clear" w:color="auto" w:fill="auto"/>
            <w:tcMar>
              <w:top w:w="57" w:type="dxa"/>
              <w:left w:w="108" w:type="dxa"/>
              <w:right w:w="108" w:type="dxa"/>
            </w:tcMar>
          </w:tcPr>
          <w:p w14:paraId="79F91421" w14:textId="77777777" w:rsidR="00561B47" w:rsidRPr="00CD000E" w:rsidRDefault="00561B47" w:rsidP="00561B47">
            <w:pPr>
              <w:jc w:val="center"/>
              <w:rPr>
                <w:b/>
                <w:color w:val="000000"/>
                <w:sz w:val="16"/>
                <w:szCs w:val="16"/>
              </w:rPr>
            </w:pPr>
            <w:r w:rsidRPr="00CD000E">
              <w:rPr>
                <w:b/>
                <w:color w:val="00B050"/>
                <w:sz w:val="16"/>
                <w:szCs w:val="16"/>
              </w:rPr>
              <w:t>En bonne voie</w:t>
            </w:r>
          </w:p>
        </w:tc>
      </w:tr>
      <w:tr w:rsidR="00561B47" w:rsidRPr="00CD000E" w14:paraId="3E998405" w14:textId="77777777" w:rsidTr="00561B47">
        <w:trPr>
          <w:cantSplit/>
        </w:trPr>
        <w:tc>
          <w:tcPr>
            <w:tcW w:w="5000" w:type="pct"/>
            <w:gridSpan w:val="5"/>
            <w:shd w:val="clear" w:color="auto" w:fill="C6D9F1" w:themeFill="text2" w:themeFillTint="33"/>
            <w:tcMar>
              <w:left w:w="108" w:type="dxa"/>
              <w:right w:w="108" w:type="dxa"/>
            </w:tcMar>
            <w:vAlign w:val="center"/>
          </w:tcPr>
          <w:p w14:paraId="2EE26716" w14:textId="77777777" w:rsidR="00561B47" w:rsidRPr="00CD000E" w:rsidRDefault="00561B47" w:rsidP="00561B47">
            <w:pPr>
              <w:keepNext/>
              <w:keepLines/>
              <w:tabs>
                <w:tab w:val="left" w:pos="1452"/>
              </w:tabs>
              <w:rPr>
                <w:b/>
                <w:bCs/>
                <w:sz w:val="16"/>
                <w:szCs w:val="16"/>
              </w:rPr>
            </w:pPr>
            <w:r w:rsidRPr="00CD000E">
              <w:rPr>
                <w:b/>
                <w:bCs/>
                <w:sz w:val="16"/>
                <w:szCs w:val="16"/>
              </w:rPr>
              <w:t>Résultat escompté :</w:t>
            </w:r>
            <w:r w:rsidRPr="00CD000E">
              <w:rPr>
                <w:bCs/>
                <w:color w:val="000000"/>
                <w:sz w:val="16"/>
                <w:szCs w:val="16"/>
              </w:rPr>
              <w:t xml:space="preserve"> </w:t>
            </w:r>
            <w:r w:rsidRPr="00CD000E">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561B47" w:rsidRPr="00CD000E" w14:paraId="40924C86" w14:textId="77777777" w:rsidTr="00561B47">
        <w:trPr>
          <w:cantSplit/>
        </w:trPr>
        <w:tc>
          <w:tcPr>
            <w:tcW w:w="1007" w:type="pct"/>
            <w:shd w:val="clear" w:color="auto" w:fill="auto"/>
            <w:tcMar>
              <w:left w:w="108" w:type="dxa"/>
              <w:right w:w="108" w:type="dxa"/>
            </w:tcMar>
            <w:vAlign w:val="center"/>
          </w:tcPr>
          <w:p w14:paraId="226A832B" w14:textId="77777777" w:rsidR="00561B47" w:rsidRPr="00CD000E" w:rsidRDefault="00561B47" w:rsidP="00561B47">
            <w:pPr>
              <w:keepNext/>
              <w:keepLines/>
              <w:jc w:val="center"/>
              <w:rPr>
                <w:b/>
                <w:bCs/>
                <w:sz w:val="16"/>
                <w:szCs w:val="16"/>
              </w:rPr>
            </w:pPr>
            <w:r w:rsidRPr="00CD000E">
              <w:rPr>
                <w:b/>
                <w:bCs/>
                <w:sz w:val="16"/>
                <w:szCs w:val="16"/>
              </w:rPr>
              <w:t>Indicateurs d’exécution</w:t>
            </w:r>
          </w:p>
        </w:tc>
        <w:tc>
          <w:tcPr>
            <w:tcW w:w="1346" w:type="pct"/>
            <w:shd w:val="clear" w:color="auto" w:fill="auto"/>
            <w:tcMar>
              <w:left w:w="108" w:type="dxa"/>
              <w:right w:w="108" w:type="dxa"/>
            </w:tcMar>
            <w:vAlign w:val="center"/>
          </w:tcPr>
          <w:p w14:paraId="6B36C9CE" w14:textId="77777777" w:rsidR="00561B47" w:rsidRPr="00CD000E" w:rsidRDefault="00561B47" w:rsidP="00561B47">
            <w:pPr>
              <w:keepNext/>
              <w:keepLines/>
              <w:jc w:val="center"/>
              <w:rPr>
                <w:b/>
                <w:bCs/>
                <w:sz w:val="16"/>
                <w:szCs w:val="16"/>
              </w:rPr>
            </w:pPr>
            <w:r w:rsidRPr="00CD000E">
              <w:rPr>
                <w:b/>
                <w:bCs/>
                <w:sz w:val="16"/>
                <w:szCs w:val="16"/>
              </w:rPr>
              <w:t>Niveaux de référence</w:t>
            </w:r>
          </w:p>
        </w:tc>
        <w:tc>
          <w:tcPr>
            <w:tcW w:w="714" w:type="pct"/>
            <w:shd w:val="clear" w:color="auto" w:fill="auto"/>
            <w:tcMar>
              <w:top w:w="57" w:type="dxa"/>
              <w:left w:w="108" w:type="dxa"/>
              <w:right w:w="108" w:type="dxa"/>
            </w:tcMar>
            <w:vAlign w:val="center"/>
          </w:tcPr>
          <w:p w14:paraId="2FE8E517" w14:textId="77777777" w:rsidR="00561B47" w:rsidRPr="00CD000E" w:rsidRDefault="00561B47" w:rsidP="00561B47">
            <w:pPr>
              <w:keepNext/>
              <w:keepLines/>
              <w:jc w:val="center"/>
              <w:rPr>
                <w:b/>
                <w:bCs/>
                <w:sz w:val="16"/>
                <w:szCs w:val="16"/>
              </w:rPr>
            </w:pPr>
            <w:r w:rsidRPr="00CD000E">
              <w:rPr>
                <w:b/>
                <w:bCs/>
                <w:sz w:val="16"/>
                <w:szCs w:val="16"/>
              </w:rPr>
              <w:t>Objectifs visés</w:t>
            </w:r>
          </w:p>
        </w:tc>
        <w:tc>
          <w:tcPr>
            <w:tcW w:w="1282" w:type="pct"/>
            <w:shd w:val="clear" w:color="auto" w:fill="FFFFFF"/>
            <w:tcMar>
              <w:top w:w="57" w:type="dxa"/>
              <w:left w:w="108" w:type="dxa"/>
              <w:right w:w="108" w:type="dxa"/>
            </w:tcMar>
            <w:vAlign w:val="center"/>
          </w:tcPr>
          <w:p w14:paraId="14A96392" w14:textId="77777777" w:rsidR="00561B47" w:rsidRPr="00CD000E" w:rsidRDefault="00561B47" w:rsidP="00561B47">
            <w:pPr>
              <w:keepNext/>
              <w:keepLines/>
              <w:jc w:val="center"/>
              <w:rPr>
                <w:b/>
                <w:bCs/>
                <w:sz w:val="16"/>
                <w:szCs w:val="16"/>
              </w:rPr>
            </w:pPr>
            <w:r w:rsidRPr="00CD000E">
              <w:rPr>
                <w:b/>
                <w:bCs/>
                <w:sz w:val="16"/>
                <w:szCs w:val="16"/>
              </w:rPr>
              <w:t>Données relatives à l’exécution</w:t>
            </w:r>
          </w:p>
        </w:tc>
        <w:tc>
          <w:tcPr>
            <w:tcW w:w="651" w:type="pct"/>
            <w:shd w:val="clear" w:color="auto" w:fill="auto"/>
            <w:tcMar>
              <w:top w:w="57" w:type="dxa"/>
              <w:left w:w="108" w:type="dxa"/>
              <w:right w:w="108" w:type="dxa"/>
            </w:tcMar>
            <w:vAlign w:val="center"/>
          </w:tcPr>
          <w:p w14:paraId="415DA511" w14:textId="77777777" w:rsidR="00561B47" w:rsidRPr="00CD000E" w:rsidRDefault="00561B47" w:rsidP="00561B47">
            <w:pPr>
              <w:keepNext/>
              <w:keepLines/>
              <w:jc w:val="center"/>
              <w:rPr>
                <w:b/>
                <w:bCs/>
                <w:sz w:val="16"/>
                <w:szCs w:val="16"/>
              </w:rPr>
            </w:pPr>
            <w:r w:rsidRPr="00CD000E">
              <w:rPr>
                <w:b/>
                <w:bCs/>
                <w:sz w:val="16"/>
                <w:szCs w:val="16"/>
              </w:rPr>
              <w:t>Code d’évaluation</w:t>
            </w:r>
          </w:p>
        </w:tc>
      </w:tr>
      <w:tr w:rsidR="00561B47" w:rsidRPr="00CD000E" w14:paraId="0317A1C7" w14:textId="77777777" w:rsidTr="00561B47">
        <w:trPr>
          <w:cantSplit/>
        </w:trPr>
        <w:tc>
          <w:tcPr>
            <w:tcW w:w="1007" w:type="pct"/>
            <w:shd w:val="clear" w:color="auto" w:fill="auto"/>
            <w:tcMar>
              <w:left w:w="108" w:type="dxa"/>
              <w:right w:w="108" w:type="dxa"/>
            </w:tcMar>
          </w:tcPr>
          <w:p w14:paraId="478E983B" w14:textId="77777777" w:rsidR="00561B47" w:rsidRPr="00CD000E" w:rsidRDefault="00561B47" w:rsidP="00561B47">
            <w:pPr>
              <w:keepNext/>
              <w:keepLines/>
              <w:rPr>
                <w:color w:val="000000"/>
                <w:sz w:val="16"/>
                <w:szCs w:val="16"/>
              </w:rPr>
            </w:pPr>
            <w:r w:rsidRPr="00CD000E">
              <w:rPr>
                <w:sz w:val="16"/>
                <w:szCs w:val="16"/>
              </w:rPr>
              <w:t>Nombre de membres constitutifs du Consortium pour des livres accessibles</w:t>
            </w:r>
          </w:p>
        </w:tc>
        <w:tc>
          <w:tcPr>
            <w:tcW w:w="1346" w:type="pct"/>
            <w:shd w:val="clear" w:color="auto" w:fill="auto"/>
            <w:tcMar>
              <w:left w:w="108" w:type="dxa"/>
              <w:right w:w="108" w:type="dxa"/>
            </w:tcMar>
          </w:tcPr>
          <w:p w14:paraId="4472EA52" w14:textId="77777777" w:rsidR="00561B47" w:rsidRPr="00CD000E" w:rsidRDefault="00561B47" w:rsidP="00561B47">
            <w:pPr>
              <w:keepNext/>
              <w:keepLines/>
              <w:rPr>
                <w:i/>
                <w:color w:val="002060"/>
                <w:sz w:val="16"/>
                <w:szCs w:val="16"/>
              </w:rPr>
            </w:pPr>
            <w:r w:rsidRPr="00CD000E">
              <w:rPr>
                <w:i/>
                <w:color w:val="002060"/>
                <w:sz w:val="16"/>
                <w:szCs w:val="16"/>
              </w:rPr>
              <w:t>Niveau de référence actualisé à fin 2015 :</w:t>
            </w:r>
          </w:p>
          <w:p w14:paraId="0794324B" w14:textId="77777777" w:rsidR="00561B47" w:rsidRPr="002C639E" w:rsidRDefault="00561B47" w:rsidP="00561B47">
            <w:pPr>
              <w:keepNext/>
              <w:keepLines/>
              <w:rPr>
                <w:color w:val="002060"/>
                <w:sz w:val="16"/>
                <w:szCs w:val="16"/>
              </w:rPr>
            </w:pPr>
            <w:r w:rsidRPr="002C639E">
              <w:rPr>
                <w:color w:val="002060"/>
                <w:sz w:val="16"/>
                <w:szCs w:val="16"/>
              </w:rPr>
              <w:t>15 membres constitutifs du Consortium pour des livres accessibles</w:t>
            </w:r>
          </w:p>
          <w:p w14:paraId="5B5A2D4D" w14:textId="77777777" w:rsidR="00561B47" w:rsidRPr="00CD000E" w:rsidRDefault="00561B47" w:rsidP="00561B47">
            <w:pPr>
              <w:keepNext/>
              <w:keepLines/>
              <w:rPr>
                <w:color w:val="000000"/>
                <w:sz w:val="16"/>
                <w:szCs w:val="16"/>
              </w:rPr>
            </w:pPr>
          </w:p>
          <w:p w14:paraId="2D88DCCF" w14:textId="77777777" w:rsidR="00561B47" w:rsidRPr="00CD000E" w:rsidRDefault="00561B47" w:rsidP="00561B47">
            <w:pPr>
              <w:keepNext/>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768BB202" w14:textId="77777777" w:rsidR="00561B47" w:rsidRPr="00CD000E" w:rsidRDefault="00561B47" w:rsidP="00561B47">
            <w:pPr>
              <w:keepNext/>
              <w:keepLines/>
              <w:rPr>
                <w:color w:val="000000"/>
                <w:sz w:val="16"/>
                <w:szCs w:val="16"/>
              </w:rPr>
            </w:pPr>
            <w:r w:rsidRPr="00CD000E">
              <w:rPr>
                <w:sz w:val="16"/>
                <w:szCs w:val="16"/>
              </w:rPr>
              <w:t>10 membres constitutifs du Consortium pour des livres accessibles</w:t>
            </w:r>
          </w:p>
        </w:tc>
        <w:tc>
          <w:tcPr>
            <w:tcW w:w="714" w:type="pct"/>
            <w:shd w:val="clear" w:color="auto" w:fill="auto"/>
            <w:tcMar>
              <w:top w:w="57" w:type="dxa"/>
              <w:left w:w="108" w:type="dxa"/>
              <w:right w:w="108" w:type="dxa"/>
            </w:tcMar>
          </w:tcPr>
          <w:p w14:paraId="6838FB7F" w14:textId="77777777" w:rsidR="00561B47" w:rsidRPr="00CD000E" w:rsidRDefault="00561B47" w:rsidP="00561B47">
            <w:pPr>
              <w:keepNext/>
              <w:keepLines/>
              <w:rPr>
                <w:i/>
                <w:color w:val="002060"/>
                <w:sz w:val="16"/>
                <w:szCs w:val="16"/>
              </w:rPr>
            </w:pPr>
            <w:r w:rsidRPr="00CD000E">
              <w:rPr>
                <w:i/>
                <w:color w:val="002060"/>
                <w:sz w:val="16"/>
                <w:szCs w:val="16"/>
              </w:rPr>
              <w:t>Objectif actualisé :</w:t>
            </w:r>
          </w:p>
          <w:p w14:paraId="6D15323E" w14:textId="77777777" w:rsidR="00561B47" w:rsidRPr="002C639E" w:rsidRDefault="00561B47" w:rsidP="00561B47">
            <w:pPr>
              <w:keepNext/>
              <w:keepLines/>
              <w:rPr>
                <w:color w:val="002060"/>
                <w:sz w:val="16"/>
                <w:szCs w:val="16"/>
              </w:rPr>
            </w:pPr>
            <w:r w:rsidRPr="002C639E">
              <w:rPr>
                <w:color w:val="002060"/>
                <w:sz w:val="16"/>
                <w:szCs w:val="16"/>
              </w:rPr>
              <w:t>28 membres constitutifs du Consortium pour des livres accessibles enregistrés (au total)</w:t>
            </w:r>
          </w:p>
          <w:p w14:paraId="61355F12" w14:textId="77777777" w:rsidR="00561B47" w:rsidRPr="001303B4" w:rsidRDefault="00561B47" w:rsidP="00561B47">
            <w:pPr>
              <w:keepNext/>
              <w:keepLines/>
              <w:rPr>
                <w:color w:val="000000"/>
                <w:sz w:val="16"/>
                <w:szCs w:val="16"/>
              </w:rPr>
            </w:pPr>
          </w:p>
          <w:p w14:paraId="578D1A9E" w14:textId="77777777" w:rsidR="00561B47" w:rsidRPr="00CD000E" w:rsidRDefault="00561B47" w:rsidP="00561B47">
            <w:pPr>
              <w:keepNext/>
              <w:keepLines/>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5B42FA83" w14:textId="77777777" w:rsidR="00561B47" w:rsidRPr="00CD000E" w:rsidRDefault="00561B47" w:rsidP="00561B47">
            <w:pPr>
              <w:rPr>
                <w:color w:val="000000"/>
                <w:sz w:val="16"/>
                <w:szCs w:val="16"/>
              </w:rPr>
            </w:pPr>
            <w:r w:rsidRPr="00CD000E">
              <w:rPr>
                <w:color w:val="000000"/>
                <w:sz w:val="16"/>
                <w:szCs w:val="16"/>
              </w:rPr>
              <w:t xml:space="preserve">15 </w:t>
            </w:r>
            <w:r w:rsidRPr="00CD000E">
              <w:rPr>
                <w:sz w:val="16"/>
                <w:szCs w:val="16"/>
              </w:rPr>
              <w:t>membres constitutifs du Consortium pour des livres access</w:t>
            </w:r>
            <w:r w:rsidRPr="007D1F67">
              <w:rPr>
                <w:sz w:val="16"/>
                <w:szCs w:val="16"/>
              </w:rPr>
              <w:t>ibles enregistrés (au total)</w:t>
            </w:r>
          </w:p>
        </w:tc>
        <w:tc>
          <w:tcPr>
            <w:tcW w:w="1282" w:type="pct"/>
            <w:shd w:val="clear" w:color="auto" w:fill="FFFFFF"/>
            <w:tcMar>
              <w:top w:w="57" w:type="dxa"/>
              <w:left w:w="108" w:type="dxa"/>
              <w:right w:w="108" w:type="dxa"/>
            </w:tcMar>
          </w:tcPr>
          <w:p w14:paraId="339148A2" w14:textId="77777777" w:rsidR="00561B47" w:rsidRPr="00CD000E" w:rsidRDefault="00561B47" w:rsidP="00561B47">
            <w:pPr>
              <w:keepNext/>
              <w:keepLines/>
              <w:rPr>
                <w:color w:val="000000"/>
                <w:sz w:val="16"/>
                <w:szCs w:val="16"/>
              </w:rPr>
            </w:pPr>
            <w:r w:rsidRPr="00CD000E">
              <w:rPr>
                <w:color w:val="000000"/>
                <w:sz w:val="16"/>
                <w:szCs w:val="16"/>
              </w:rPr>
              <w:t xml:space="preserve">10 </w:t>
            </w:r>
            <w:r w:rsidRPr="00CD000E">
              <w:rPr>
                <w:sz w:val="16"/>
                <w:szCs w:val="16"/>
              </w:rPr>
              <w:t>membres constitutifs du Consortium pour des livres accessibles supplémentaires</w:t>
            </w:r>
          </w:p>
          <w:p w14:paraId="679C4EE8" w14:textId="77777777" w:rsidR="00561B47" w:rsidRPr="00CD000E" w:rsidRDefault="00561B47" w:rsidP="00561B47">
            <w:pPr>
              <w:keepNext/>
              <w:keepLines/>
              <w:rPr>
                <w:color w:val="000000"/>
                <w:sz w:val="16"/>
                <w:szCs w:val="16"/>
              </w:rPr>
            </w:pPr>
            <w:r w:rsidRPr="00CD000E">
              <w:rPr>
                <w:sz w:val="16"/>
                <w:szCs w:val="16"/>
              </w:rPr>
              <w:t>(25 au total)</w:t>
            </w:r>
            <w:r w:rsidRPr="00CD000E">
              <w:rPr>
                <w:color w:val="000000"/>
                <w:sz w:val="16"/>
                <w:szCs w:val="16"/>
              </w:rPr>
              <w:t xml:space="preserve"> </w:t>
            </w:r>
          </w:p>
        </w:tc>
        <w:tc>
          <w:tcPr>
            <w:tcW w:w="651" w:type="pct"/>
            <w:shd w:val="clear" w:color="auto" w:fill="auto"/>
            <w:tcMar>
              <w:top w:w="57" w:type="dxa"/>
              <w:left w:w="108" w:type="dxa"/>
              <w:right w:w="108" w:type="dxa"/>
            </w:tcMar>
          </w:tcPr>
          <w:p w14:paraId="728C153C" w14:textId="77777777" w:rsidR="00561B47" w:rsidRPr="00CD000E" w:rsidRDefault="00561B47" w:rsidP="00561B47">
            <w:pPr>
              <w:keepNext/>
              <w:keepLines/>
              <w:jc w:val="center"/>
              <w:rPr>
                <w:b/>
                <w:color w:val="000000"/>
                <w:sz w:val="16"/>
                <w:szCs w:val="16"/>
              </w:rPr>
            </w:pPr>
            <w:r w:rsidRPr="00CD000E">
              <w:rPr>
                <w:b/>
                <w:color w:val="00B050"/>
                <w:sz w:val="16"/>
                <w:szCs w:val="16"/>
              </w:rPr>
              <w:t>En bonne voie</w:t>
            </w:r>
          </w:p>
        </w:tc>
      </w:tr>
      <w:tr w:rsidR="00561B47" w:rsidRPr="00CD000E" w14:paraId="62D0E9DE" w14:textId="77777777" w:rsidTr="00561B47">
        <w:trPr>
          <w:cantSplit/>
        </w:trPr>
        <w:tc>
          <w:tcPr>
            <w:tcW w:w="1007" w:type="pct"/>
            <w:shd w:val="clear" w:color="auto" w:fill="auto"/>
            <w:tcMar>
              <w:left w:w="108" w:type="dxa"/>
              <w:right w:w="108" w:type="dxa"/>
            </w:tcMar>
          </w:tcPr>
          <w:p w14:paraId="3CA5EFE3" w14:textId="77777777" w:rsidR="00561B47" w:rsidRPr="00CD000E" w:rsidRDefault="00561B47" w:rsidP="00561B47">
            <w:pPr>
              <w:rPr>
                <w:color w:val="000000"/>
                <w:sz w:val="16"/>
                <w:szCs w:val="16"/>
              </w:rPr>
            </w:pPr>
            <w:r w:rsidRPr="00CD000E">
              <w:rPr>
                <w:sz w:val="16"/>
                <w:szCs w:val="16"/>
              </w:rPr>
              <w:t>Nombre de donateurs</w:t>
            </w:r>
          </w:p>
        </w:tc>
        <w:tc>
          <w:tcPr>
            <w:tcW w:w="1346" w:type="pct"/>
            <w:shd w:val="clear" w:color="auto" w:fill="auto"/>
            <w:tcMar>
              <w:left w:w="108" w:type="dxa"/>
              <w:right w:w="108" w:type="dxa"/>
            </w:tcMar>
          </w:tcPr>
          <w:p w14:paraId="44F0B1D5" w14:textId="77777777" w:rsidR="00561B47" w:rsidRPr="00CD000E" w:rsidRDefault="00561B47" w:rsidP="00561B47">
            <w:pPr>
              <w:rPr>
                <w:color w:val="000000"/>
                <w:sz w:val="16"/>
                <w:szCs w:val="16"/>
              </w:rPr>
            </w:pPr>
            <w:r w:rsidRPr="00CD000E">
              <w:rPr>
                <w:sz w:val="16"/>
                <w:szCs w:val="16"/>
              </w:rPr>
              <w:t>Deux donateurs contribuant au financement</w:t>
            </w:r>
            <w:r w:rsidRPr="00CD000E">
              <w:rPr>
                <w:color w:val="000000"/>
                <w:sz w:val="16"/>
                <w:szCs w:val="16"/>
              </w:rPr>
              <w:t> :</w:t>
            </w:r>
          </w:p>
          <w:p w14:paraId="60E3051B" w14:textId="77777777" w:rsidR="00561B47" w:rsidRPr="00CD000E" w:rsidRDefault="00561B47" w:rsidP="00561B47">
            <w:pPr>
              <w:rPr>
                <w:color w:val="000000"/>
                <w:sz w:val="16"/>
                <w:szCs w:val="16"/>
              </w:rPr>
            </w:pPr>
            <w:r w:rsidRPr="00CD000E">
              <w:rPr>
                <w:sz w:val="16"/>
                <w:szCs w:val="16"/>
              </w:rPr>
              <w:t>– Australie</w:t>
            </w:r>
          </w:p>
          <w:p w14:paraId="0047B6A7" w14:textId="77777777" w:rsidR="00561B47" w:rsidRPr="00CD000E" w:rsidRDefault="00561B47" w:rsidP="00561B47">
            <w:pPr>
              <w:rPr>
                <w:color w:val="002060"/>
                <w:sz w:val="16"/>
                <w:szCs w:val="16"/>
              </w:rPr>
            </w:pPr>
            <w:r w:rsidRPr="00CD000E">
              <w:rPr>
                <w:sz w:val="16"/>
                <w:szCs w:val="16"/>
              </w:rPr>
              <w:t>– République de Corée</w:t>
            </w:r>
          </w:p>
        </w:tc>
        <w:tc>
          <w:tcPr>
            <w:tcW w:w="714" w:type="pct"/>
            <w:shd w:val="clear" w:color="auto" w:fill="auto"/>
            <w:tcMar>
              <w:top w:w="57" w:type="dxa"/>
              <w:left w:w="108" w:type="dxa"/>
              <w:right w:w="108" w:type="dxa"/>
            </w:tcMar>
          </w:tcPr>
          <w:p w14:paraId="5A36CFFA" w14:textId="77777777" w:rsidR="00561B47" w:rsidRPr="007D1F67" w:rsidRDefault="00561B47" w:rsidP="00561B47">
            <w:pPr>
              <w:rPr>
                <w:color w:val="000000"/>
                <w:sz w:val="16"/>
                <w:szCs w:val="16"/>
              </w:rPr>
            </w:pPr>
            <w:r w:rsidRPr="007D1F67">
              <w:rPr>
                <w:color w:val="000000"/>
                <w:sz w:val="16"/>
                <w:szCs w:val="16"/>
              </w:rPr>
              <w:t>Quatre donateurs contribuant au financement (cumul)</w:t>
            </w:r>
          </w:p>
        </w:tc>
        <w:tc>
          <w:tcPr>
            <w:tcW w:w="1282" w:type="pct"/>
            <w:shd w:val="clear" w:color="auto" w:fill="FFFFFF"/>
            <w:tcMar>
              <w:top w:w="57" w:type="dxa"/>
              <w:left w:w="108" w:type="dxa"/>
              <w:right w:w="108" w:type="dxa"/>
            </w:tcMar>
          </w:tcPr>
          <w:p w14:paraId="03D58337" w14:textId="77777777" w:rsidR="00561B47" w:rsidRPr="007D1F67" w:rsidRDefault="00561B47" w:rsidP="00561B47">
            <w:pPr>
              <w:rPr>
                <w:color w:val="000000"/>
                <w:sz w:val="16"/>
                <w:szCs w:val="16"/>
              </w:rPr>
            </w:pPr>
            <w:r w:rsidRPr="007D1F67">
              <w:rPr>
                <w:color w:val="000000"/>
                <w:sz w:val="16"/>
                <w:szCs w:val="16"/>
              </w:rPr>
              <w:t>Deux donateurs additionnels contribuant :</w:t>
            </w:r>
          </w:p>
          <w:p w14:paraId="31178B3B" w14:textId="77777777" w:rsidR="00561B47" w:rsidRPr="007D1F67" w:rsidRDefault="00561B47" w:rsidP="00561B47">
            <w:pPr>
              <w:rPr>
                <w:color w:val="000000"/>
                <w:sz w:val="16"/>
                <w:szCs w:val="16"/>
              </w:rPr>
            </w:pPr>
            <w:r w:rsidRPr="007D1F67">
              <w:rPr>
                <w:color w:val="000000"/>
                <w:sz w:val="16"/>
                <w:szCs w:val="16"/>
              </w:rPr>
              <w:noBreakHyphen/>
              <w:t xml:space="preserve"> Fondation </w:t>
            </w:r>
            <w:proofErr w:type="spellStart"/>
            <w:r w:rsidRPr="007D1F67">
              <w:rPr>
                <w:color w:val="000000"/>
                <w:sz w:val="16"/>
                <w:szCs w:val="16"/>
              </w:rPr>
              <w:t>Skoll</w:t>
            </w:r>
            <w:proofErr w:type="spellEnd"/>
          </w:p>
          <w:p w14:paraId="6F451D63" w14:textId="77777777" w:rsidR="00561B47" w:rsidRPr="007D1F67" w:rsidRDefault="00561B47" w:rsidP="00561B47">
            <w:pPr>
              <w:tabs>
                <w:tab w:val="center" w:pos="1067"/>
              </w:tabs>
              <w:rPr>
                <w:color w:val="000000"/>
                <w:sz w:val="16"/>
                <w:szCs w:val="16"/>
              </w:rPr>
            </w:pPr>
            <w:r w:rsidRPr="007D1F67">
              <w:rPr>
                <w:color w:val="000000"/>
                <w:sz w:val="16"/>
                <w:szCs w:val="16"/>
              </w:rPr>
              <w:noBreakHyphen/>
              <w:t xml:space="preserve"> Fonds des Nations Unies pour les partenariats internationaux</w:t>
            </w:r>
          </w:p>
          <w:p w14:paraId="49855FB1" w14:textId="77777777" w:rsidR="00561B47" w:rsidRPr="007D1F67" w:rsidRDefault="00561B47" w:rsidP="00561B47">
            <w:pPr>
              <w:rPr>
                <w:color w:val="000000"/>
                <w:sz w:val="16"/>
                <w:szCs w:val="16"/>
              </w:rPr>
            </w:pPr>
            <w:r w:rsidRPr="007D1F67">
              <w:rPr>
                <w:sz w:val="16"/>
                <w:szCs w:val="16"/>
              </w:rPr>
              <w:t>(4 au total)</w:t>
            </w:r>
          </w:p>
        </w:tc>
        <w:tc>
          <w:tcPr>
            <w:tcW w:w="651" w:type="pct"/>
            <w:shd w:val="clear" w:color="auto" w:fill="auto"/>
            <w:tcMar>
              <w:top w:w="57" w:type="dxa"/>
              <w:left w:w="108" w:type="dxa"/>
              <w:right w:w="108" w:type="dxa"/>
            </w:tcMar>
          </w:tcPr>
          <w:p w14:paraId="1CB4E564" w14:textId="77777777" w:rsidR="00561B47" w:rsidRPr="00CD000E" w:rsidRDefault="00561B47" w:rsidP="00561B47">
            <w:pPr>
              <w:jc w:val="center"/>
              <w:rPr>
                <w:b/>
                <w:color w:val="000000"/>
                <w:sz w:val="16"/>
                <w:szCs w:val="16"/>
              </w:rPr>
            </w:pPr>
            <w:r w:rsidRPr="00CD000E">
              <w:rPr>
                <w:b/>
                <w:color w:val="00B050"/>
                <w:sz w:val="16"/>
                <w:szCs w:val="16"/>
              </w:rPr>
              <w:t>En bonne voie</w:t>
            </w:r>
          </w:p>
        </w:tc>
      </w:tr>
      <w:tr w:rsidR="00561B47" w:rsidRPr="00CD000E" w14:paraId="788B808E" w14:textId="77777777" w:rsidTr="00561B47">
        <w:trPr>
          <w:cantSplit/>
        </w:trPr>
        <w:tc>
          <w:tcPr>
            <w:tcW w:w="1007" w:type="pct"/>
            <w:shd w:val="clear" w:color="auto" w:fill="auto"/>
            <w:tcMar>
              <w:left w:w="108" w:type="dxa"/>
              <w:right w:w="108" w:type="dxa"/>
            </w:tcMar>
          </w:tcPr>
          <w:p w14:paraId="03A8E0DD" w14:textId="77777777" w:rsidR="00561B47" w:rsidRPr="00CD000E" w:rsidRDefault="00561B47" w:rsidP="00561B47">
            <w:pPr>
              <w:keepNext/>
              <w:keepLines/>
              <w:rPr>
                <w:color w:val="000000"/>
                <w:sz w:val="16"/>
                <w:szCs w:val="16"/>
              </w:rPr>
            </w:pPr>
            <w:r w:rsidRPr="00CD000E">
              <w:rPr>
                <w:sz w:val="16"/>
                <w:szCs w:val="16"/>
              </w:rPr>
              <w:lastRenderedPageBreak/>
              <w:t>Nombre d’instruments juridiques, de lignes directrices, de déclarations de principes autres que les instruments contraignants avec la participation de parties prenantes concernées dans des domaines tels que les nouveaux traités sur le droit d’auteur et le droit d’auteur dans l’environnement numérique</w:t>
            </w:r>
          </w:p>
        </w:tc>
        <w:tc>
          <w:tcPr>
            <w:tcW w:w="1346" w:type="pct"/>
            <w:shd w:val="clear" w:color="auto" w:fill="auto"/>
            <w:tcMar>
              <w:left w:w="108" w:type="dxa"/>
              <w:right w:w="108" w:type="dxa"/>
            </w:tcMar>
          </w:tcPr>
          <w:p w14:paraId="00C73164" w14:textId="77777777" w:rsidR="00561B47" w:rsidRPr="00CD000E" w:rsidRDefault="00561B47" w:rsidP="00561B47">
            <w:pPr>
              <w:keepNext/>
              <w:keepLines/>
              <w:rPr>
                <w:i/>
                <w:color w:val="002060"/>
                <w:sz w:val="16"/>
                <w:szCs w:val="16"/>
              </w:rPr>
            </w:pPr>
            <w:r w:rsidRPr="00CD000E">
              <w:rPr>
                <w:i/>
                <w:color w:val="002060"/>
                <w:sz w:val="16"/>
                <w:szCs w:val="16"/>
              </w:rPr>
              <w:t>Niveau de référence actualisé à fin 2015 :</w:t>
            </w:r>
          </w:p>
          <w:p w14:paraId="74BE7828" w14:textId="77777777" w:rsidR="00561B47" w:rsidRPr="007D1F67" w:rsidRDefault="00561B47" w:rsidP="00561B47">
            <w:pPr>
              <w:keepNext/>
              <w:keepLines/>
              <w:rPr>
                <w:color w:val="002060"/>
                <w:sz w:val="16"/>
                <w:szCs w:val="16"/>
              </w:rPr>
            </w:pPr>
            <w:r w:rsidRPr="00CD000E">
              <w:rPr>
                <w:color w:val="002060"/>
                <w:sz w:val="16"/>
                <w:szCs w:val="16"/>
              </w:rPr>
              <w:t>D</w:t>
            </w:r>
            <w:r w:rsidRPr="007D1F67">
              <w:rPr>
                <w:color w:val="002060"/>
                <w:sz w:val="16"/>
                <w:szCs w:val="16"/>
              </w:rPr>
              <w:t>eux :</w:t>
            </w:r>
          </w:p>
          <w:p w14:paraId="4A148487" w14:textId="77777777" w:rsidR="00561B47" w:rsidRPr="007D1F67" w:rsidRDefault="00561B47" w:rsidP="00561B47">
            <w:pPr>
              <w:keepNext/>
              <w:keepLines/>
              <w:rPr>
                <w:color w:val="002060"/>
                <w:sz w:val="16"/>
                <w:szCs w:val="16"/>
                <w:lang w:bidi="th-TH"/>
              </w:rPr>
            </w:pPr>
            <w:r w:rsidRPr="007D1F67">
              <w:rPr>
                <w:color w:val="002060"/>
                <w:sz w:val="16"/>
                <w:szCs w:val="16"/>
                <w:lang w:bidi="th-TH"/>
              </w:rPr>
              <w:t>– Examen de la situation contractuelle dans le secteur de l’audiovisuel</w:t>
            </w:r>
          </w:p>
          <w:p w14:paraId="102D06F0" w14:textId="77777777" w:rsidR="00561B47" w:rsidRPr="007D1F67" w:rsidRDefault="00561B47" w:rsidP="00561B47">
            <w:pPr>
              <w:keepNext/>
              <w:keepLines/>
              <w:rPr>
                <w:color w:val="002060"/>
                <w:sz w:val="16"/>
                <w:szCs w:val="16"/>
                <w:lang w:bidi="th-TH"/>
              </w:rPr>
            </w:pPr>
            <w:r w:rsidRPr="007D1F67">
              <w:rPr>
                <w:color w:val="002060"/>
                <w:sz w:val="16"/>
                <w:szCs w:val="16"/>
                <w:lang w:bidi="th-TH"/>
              </w:rPr>
              <w:t>– Le Projet de lignes directrices de l’OMPI sur l’évaluation de l’impact économique, social et culturel du droit d’auteur sur l’économie de la création (Lignes directrices ESCIA)</w:t>
            </w:r>
            <w:r w:rsidRPr="007D1F67">
              <w:rPr>
                <w:rStyle w:val="FootnoteReference"/>
                <w:rFonts w:eastAsiaTheme="minorEastAsia" w:cs="Arial"/>
                <w:color w:val="002060"/>
                <w:szCs w:val="16"/>
                <w:lang w:bidi="th-TH"/>
              </w:rPr>
              <w:footnoteReference w:id="19"/>
            </w:r>
          </w:p>
          <w:p w14:paraId="2A6FDB23" w14:textId="77777777" w:rsidR="00561B47" w:rsidRPr="00CD000E" w:rsidRDefault="00561B47" w:rsidP="00561B47">
            <w:pPr>
              <w:keepNext/>
              <w:keepLines/>
              <w:rPr>
                <w:i/>
                <w:sz w:val="16"/>
                <w:szCs w:val="16"/>
                <w:lang w:bidi="th-TH"/>
              </w:rPr>
            </w:pPr>
          </w:p>
          <w:p w14:paraId="20369F2A" w14:textId="77777777" w:rsidR="00561B47" w:rsidRPr="00CD000E" w:rsidRDefault="00561B47" w:rsidP="00561B47">
            <w:pPr>
              <w:keepNext/>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6A84D2BD" w14:textId="77777777" w:rsidR="00561B47" w:rsidRPr="00CD000E" w:rsidRDefault="00561B47" w:rsidP="00561B47">
            <w:pPr>
              <w:keepNext/>
              <w:keepLines/>
              <w:rPr>
                <w:color w:val="000000"/>
                <w:sz w:val="16"/>
                <w:szCs w:val="16"/>
              </w:rPr>
            </w:pPr>
            <w:r w:rsidRPr="00CD000E">
              <w:rPr>
                <w:sz w:val="16"/>
                <w:szCs w:val="16"/>
              </w:rPr>
              <w:t>Un (lignes directrices relatives à la propriété intellectuelle et aux sports)</w:t>
            </w:r>
            <w:r w:rsidRPr="00CD000E">
              <w:rPr>
                <w:rStyle w:val="FootnoteReference"/>
                <w:rFonts w:cs="Arial"/>
                <w:color w:val="000000"/>
                <w:szCs w:val="16"/>
              </w:rPr>
              <w:footnoteReference w:id="20"/>
            </w:r>
          </w:p>
        </w:tc>
        <w:tc>
          <w:tcPr>
            <w:tcW w:w="714" w:type="pct"/>
            <w:shd w:val="clear" w:color="auto" w:fill="auto"/>
            <w:tcMar>
              <w:top w:w="57" w:type="dxa"/>
              <w:left w:w="108" w:type="dxa"/>
              <w:right w:w="108" w:type="dxa"/>
            </w:tcMar>
          </w:tcPr>
          <w:p w14:paraId="04959D9E" w14:textId="77777777" w:rsidR="00561B47" w:rsidRPr="007D1F67" w:rsidRDefault="00561B47" w:rsidP="00561B47">
            <w:pPr>
              <w:keepNext/>
              <w:keepLines/>
              <w:rPr>
                <w:color w:val="000000"/>
                <w:sz w:val="16"/>
                <w:szCs w:val="16"/>
              </w:rPr>
            </w:pPr>
            <w:r w:rsidRPr="007D1F67">
              <w:rPr>
                <w:color w:val="000000"/>
                <w:sz w:val="16"/>
                <w:szCs w:val="16"/>
              </w:rPr>
              <w:t>Un (supplémentaire)</w:t>
            </w:r>
          </w:p>
        </w:tc>
        <w:tc>
          <w:tcPr>
            <w:tcW w:w="1282" w:type="pct"/>
            <w:shd w:val="clear" w:color="auto" w:fill="FFFFFF"/>
            <w:tcMar>
              <w:top w:w="57" w:type="dxa"/>
              <w:left w:w="108" w:type="dxa"/>
              <w:right w:w="108" w:type="dxa"/>
            </w:tcMar>
          </w:tcPr>
          <w:p w14:paraId="7ACC5AA9" w14:textId="77777777" w:rsidR="00561B47" w:rsidRPr="007D1F67" w:rsidRDefault="00561B47" w:rsidP="00561B47">
            <w:pPr>
              <w:keepNext/>
              <w:keepLines/>
              <w:rPr>
                <w:sz w:val="16"/>
                <w:szCs w:val="16"/>
              </w:rPr>
            </w:pPr>
            <w:r w:rsidRPr="007D1F67">
              <w:rPr>
                <w:sz w:val="16"/>
                <w:szCs w:val="16"/>
              </w:rPr>
              <w:t>Lignes directrices relatives à la propriété intellectuelle et aux sports actuellement en cours d’élaboration</w:t>
            </w:r>
          </w:p>
          <w:p w14:paraId="0CBF024E" w14:textId="77777777" w:rsidR="00561B47" w:rsidRPr="007D1F67" w:rsidRDefault="00561B47" w:rsidP="00561B47">
            <w:pPr>
              <w:keepNext/>
              <w:keepLines/>
              <w:rPr>
                <w:sz w:val="16"/>
                <w:szCs w:val="16"/>
              </w:rPr>
            </w:pPr>
          </w:p>
          <w:p w14:paraId="16C81606" w14:textId="77777777" w:rsidR="00561B47" w:rsidRPr="007D1F67" w:rsidRDefault="00561B47" w:rsidP="00561B47">
            <w:pPr>
              <w:keepNext/>
              <w:keepLines/>
              <w:rPr>
                <w:color w:val="000000"/>
                <w:sz w:val="16"/>
                <w:szCs w:val="16"/>
              </w:rPr>
            </w:pPr>
            <w:r w:rsidRPr="007D1F67">
              <w:rPr>
                <w:sz w:val="16"/>
                <w:szCs w:val="16"/>
              </w:rPr>
              <w:t>ABC a diffusé le “Kit de démarrage ABC pour une édition en format accessible dans les pays en développement et les pays les moins avancés” ainsi que des “Lignes directrices d’ABC en matière d’accessibilité pour les auteurs dont les ouvrages sont publiés à compte d’auteur”</w:t>
            </w:r>
          </w:p>
        </w:tc>
        <w:tc>
          <w:tcPr>
            <w:tcW w:w="651" w:type="pct"/>
            <w:shd w:val="clear" w:color="auto" w:fill="auto"/>
            <w:tcMar>
              <w:top w:w="57" w:type="dxa"/>
              <w:left w:w="108" w:type="dxa"/>
              <w:right w:w="108" w:type="dxa"/>
            </w:tcMar>
          </w:tcPr>
          <w:p w14:paraId="150193B0" w14:textId="77777777" w:rsidR="00561B47" w:rsidRPr="00CD000E" w:rsidRDefault="00561B47" w:rsidP="00561B47">
            <w:pPr>
              <w:keepNext/>
              <w:keepLines/>
              <w:jc w:val="center"/>
              <w:rPr>
                <w:b/>
                <w:color w:val="000000"/>
                <w:sz w:val="16"/>
                <w:szCs w:val="16"/>
              </w:rPr>
            </w:pPr>
            <w:r w:rsidRPr="00CD000E">
              <w:rPr>
                <w:b/>
                <w:color w:val="00B050"/>
                <w:sz w:val="16"/>
                <w:szCs w:val="16"/>
              </w:rPr>
              <w:t>En bonne voie</w:t>
            </w:r>
          </w:p>
        </w:tc>
      </w:tr>
    </w:tbl>
    <w:p w14:paraId="1ACFBB94" w14:textId="77777777" w:rsidR="00561B47" w:rsidRPr="00CD000E" w:rsidRDefault="00561B47" w:rsidP="00561B47">
      <w:pPr>
        <w:rPr>
          <w:color w:val="000000"/>
          <w:sz w:val="20"/>
        </w:rPr>
      </w:pPr>
    </w:p>
    <w:p w14:paraId="2E5BD723" w14:textId="77777777" w:rsidR="00561B47" w:rsidRPr="00CD000E" w:rsidRDefault="00561B47" w:rsidP="00561B47">
      <w:pPr>
        <w:rPr>
          <w:color w:val="000000"/>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561B47" w:rsidRPr="00CD000E" w14:paraId="3A38E17F" w14:textId="77777777" w:rsidTr="00561B47">
        <w:trPr>
          <w:trHeight w:val="425"/>
        </w:trPr>
        <w:tc>
          <w:tcPr>
            <w:tcW w:w="9572" w:type="dxa"/>
            <w:shd w:val="clear" w:color="auto" w:fill="C6D9F1" w:themeFill="text2" w:themeFillTint="33"/>
            <w:vAlign w:val="center"/>
          </w:tcPr>
          <w:p w14:paraId="1459204D" w14:textId="77777777" w:rsidR="00561B47" w:rsidRPr="00CD000E" w:rsidRDefault="00561B47" w:rsidP="00561B47">
            <w:pPr>
              <w:keepNext/>
              <w:keepLines/>
              <w:jc w:val="center"/>
              <w:rPr>
                <w:b/>
                <w:color w:val="000000"/>
                <w:sz w:val="20"/>
              </w:rPr>
            </w:pPr>
            <w:r w:rsidRPr="00CD000E">
              <w:rPr>
                <w:sz w:val="20"/>
              </w:rPr>
              <w:br w:type="page"/>
            </w:r>
            <w:r w:rsidRPr="00CD000E">
              <w:rPr>
                <w:b/>
                <w:color w:val="000000"/>
                <w:sz w:val="20"/>
              </w:rPr>
              <w:t>Utilisation des ressources au titre du programme 3</w:t>
            </w:r>
          </w:p>
        </w:tc>
      </w:tr>
    </w:tbl>
    <w:p w14:paraId="332F8F77" w14:textId="77777777" w:rsidR="00561B47" w:rsidRPr="00CD000E" w:rsidRDefault="00561B47" w:rsidP="00561B47">
      <w:pPr>
        <w:keepNext/>
        <w:keepLines/>
        <w:rPr>
          <w:sz w:val="20"/>
          <w:szCs w:val="18"/>
        </w:rPr>
      </w:pPr>
    </w:p>
    <w:p w14:paraId="429FA943" w14:textId="77777777" w:rsidR="00561B47" w:rsidRPr="00CD000E" w:rsidRDefault="00561B47" w:rsidP="00561B47">
      <w:pPr>
        <w:pStyle w:val="NormalWeb"/>
        <w:keepNext/>
        <w:keepLines/>
        <w:spacing w:before="0" w:beforeAutospacing="0" w:after="0" w:afterAutospacing="0"/>
        <w:jc w:val="center"/>
      </w:pPr>
      <w:r w:rsidRPr="00CD000E">
        <w:rPr>
          <w:color w:val="000000"/>
        </w:rPr>
        <w:t>Budget et dépenses effectives (par résultat)</w:t>
      </w:r>
    </w:p>
    <w:p w14:paraId="022D51CD" w14:textId="77777777" w:rsidR="00561B47" w:rsidRPr="00CD000E" w:rsidRDefault="00561B47" w:rsidP="00561B47">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1FA7CC83" w14:textId="77777777" w:rsidR="00561B47" w:rsidRPr="00CD000E" w:rsidRDefault="00561B47" w:rsidP="00561B47">
      <w:pPr>
        <w:keepNext/>
        <w:keepLines/>
        <w:rPr>
          <w:sz w:val="20"/>
          <w:szCs w:val="18"/>
        </w:rPr>
      </w:pPr>
    </w:p>
    <w:tbl>
      <w:tblPr>
        <w:tblW w:w="4300" w:type="pct"/>
        <w:jc w:val="center"/>
        <w:tblCellMar>
          <w:top w:w="57" w:type="dxa"/>
          <w:bottom w:w="57" w:type="dxa"/>
        </w:tblCellMar>
        <w:tblLook w:val="04A0" w:firstRow="1" w:lastRow="0" w:firstColumn="1" w:lastColumn="0" w:noHBand="0" w:noVBand="1"/>
      </w:tblPr>
      <w:tblGrid>
        <w:gridCol w:w="607"/>
        <w:gridCol w:w="4155"/>
        <w:gridCol w:w="1555"/>
        <w:gridCol w:w="1555"/>
        <w:gridCol w:w="1415"/>
      </w:tblGrid>
      <w:tr w:rsidR="00561B47" w:rsidRPr="00CD000E" w14:paraId="19710DC1" w14:textId="77777777" w:rsidTr="00561B47">
        <w:trPr>
          <w:jc w:val="center"/>
        </w:trPr>
        <w:tc>
          <w:tcPr>
            <w:tcW w:w="4834" w:type="dxa"/>
            <w:gridSpan w:val="2"/>
            <w:shd w:val="clear" w:color="000000" w:fill="C5D9F1"/>
            <w:noWrap/>
            <w:vAlign w:val="center"/>
            <w:hideMark/>
          </w:tcPr>
          <w:p w14:paraId="035D896C" w14:textId="77777777" w:rsidR="00561B47" w:rsidRPr="00CD000E" w:rsidRDefault="00561B47" w:rsidP="00561B47">
            <w:pPr>
              <w:keepNext/>
              <w:keepLines/>
              <w:jc w:val="center"/>
              <w:rPr>
                <w:b/>
                <w:bCs/>
                <w:sz w:val="16"/>
                <w:szCs w:val="16"/>
              </w:rPr>
            </w:pPr>
            <w:r w:rsidRPr="00CD000E">
              <w:rPr>
                <w:b/>
                <w:bCs/>
                <w:sz w:val="16"/>
                <w:szCs w:val="16"/>
              </w:rPr>
              <w:t>Numéro et description du résultat escompté</w:t>
            </w:r>
          </w:p>
        </w:tc>
        <w:tc>
          <w:tcPr>
            <w:tcW w:w="1117" w:type="dxa"/>
            <w:shd w:val="clear" w:color="000000" w:fill="C5D9F1"/>
            <w:vAlign w:val="center"/>
            <w:hideMark/>
          </w:tcPr>
          <w:p w14:paraId="366DB7D2" w14:textId="1F389C2B" w:rsidR="00561B47" w:rsidRPr="00CD000E" w:rsidRDefault="00561B47" w:rsidP="00561B47">
            <w:pPr>
              <w:keepNext/>
              <w:keepLines/>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15" w:type="dxa"/>
            <w:shd w:val="clear" w:color="000000" w:fill="C5D9F1"/>
            <w:vAlign w:val="center"/>
            <w:hideMark/>
          </w:tcPr>
          <w:p w14:paraId="2A31C6FC" w14:textId="67BAE070" w:rsidR="00561B47" w:rsidRPr="00CD000E" w:rsidRDefault="00561B47" w:rsidP="00561B47">
            <w:pPr>
              <w:keepNext/>
              <w:keepLines/>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56" w:type="dxa"/>
            <w:shd w:val="clear" w:color="000000" w:fill="C5D9F1"/>
            <w:vAlign w:val="center"/>
            <w:hideMark/>
          </w:tcPr>
          <w:p w14:paraId="52AB8744" w14:textId="1D943872" w:rsidR="00561B47" w:rsidRPr="00CD000E" w:rsidRDefault="00561B47" w:rsidP="00561B47">
            <w:pPr>
              <w:keepNext/>
              <w:keepLines/>
              <w:jc w:val="center"/>
              <w:rPr>
                <w:b/>
                <w:bCs/>
                <w:sz w:val="16"/>
                <w:szCs w:val="16"/>
              </w:rPr>
            </w:pPr>
            <w:r>
              <w:rPr>
                <w:b/>
                <w:bCs/>
                <w:sz w:val="16"/>
                <w:szCs w:val="16"/>
              </w:rPr>
              <w:t>Dépenses </w:t>
            </w:r>
            <w:r w:rsidRPr="00CD000E">
              <w:rPr>
                <w:b/>
                <w:bCs/>
                <w:sz w:val="16"/>
                <w:szCs w:val="16"/>
              </w:rPr>
              <w:t>2016*</w:t>
            </w:r>
          </w:p>
        </w:tc>
      </w:tr>
      <w:tr w:rsidR="00561B47" w:rsidRPr="00CD000E" w14:paraId="7E2802C1" w14:textId="77777777" w:rsidTr="00561B47">
        <w:trPr>
          <w:jc w:val="center"/>
        </w:trPr>
        <w:tc>
          <w:tcPr>
            <w:tcW w:w="614" w:type="dxa"/>
            <w:shd w:val="clear" w:color="auto" w:fill="auto"/>
            <w:noWrap/>
            <w:vAlign w:val="center"/>
            <w:hideMark/>
          </w:tcPr>
          <w:p w14:paraId="2129549F" w14:textId="77777777" w:rsidR="00561B47" w:rsidRPr="00CD000E" w:rsidRDefault="00561B47" w:rsidP="00561B47">
            <w:pPr>
              <w:keepNext/>
              <w:keepLines/>
              <w:rPr>
                <w:sz w:val="16"/>
                <w:szCs w:val="16"/>
              </w:rPr>
            </w:pPr>
            <w:r w:rsidRPr="00CD000E">
              <w:rPr>
                <w:sz w:val="16"/>
                <w:szCs w:val="16"/>
              </w:rPr>
              <w:t>I.1</w:t>
            </w:r>
          </w:p>
        </w:tc>
        <w:tc>
          <w:tcPr>
            <w:tcW w:w="4220" w:type="dxa"/>
            <w:shd w:val="clear" w:color="auto" w:fill="auto"/>
            <w:vAlign w:val="center"/>
            <w:hideMark/>
          </w:tcPr>
          <w:p w14:paraId="49A01162" w14:textId="77777777" w:rsidR="00561B47" w:rsidRPr="00CD000E" w:rsidRDefault="00561B47" w:rsidP="00561B47">
            <w:pPr>
              <w:keepNext/>
              <w:keepLines/>
              <w:rPr>
                <w:sz w:val="16"/>
                <w:szCs w:val="16"/>
              </w:rPr>
            </w:pPr>
            <w:r w:rsidRPr="00CD000E">
              <w:rPr>
                <w:sz w:val="16"/>
                <w:szCs w:val="16"/>
              </w:rPr>
              <w:t xml:space="preserve">Renforcement de la coopération entre les États membres en ce qui concerne l’élaboration de cadres normatifs internationaux équilibrés dans le domaine de la propriété intellectuelle </w:t>
            </w:r>
          </w:p>
        </w:tc>
        <w:tc>
          <w:tcPr>
            <w:tcW w:w="1117" w:type="dxa"/>
            <w:shd w:val="clear" w:color="auto" w:fill="auto"/>
            <w:noWrap/>
            <w:vAlign w:val="center"/>
            <w:hideMark/>
          </w:tcPr>
          <w:p w14:paraId="1CC7AA3B" w14:textId="77777777" w:rsidR="00561B47" w:rsidRPr="00CD000E" w:rsidRDefault="00561B47" w:rsidP="00561B47">
            <w:pPr>
              <w:keepNext/>
              <w:keepLines/>
              <w:jc w:val="center"/>
              <w:rPr>
                <w:sz w:val="16"/>
                <w:szCs w:val="16"/>
              </w:rPr>
            </w:pPr>
            <w:r w:rsidRPr="00CD000E">
              <w:rPr>
                <w:sz w:val="16"/>
                <w:szCs w:val="16"/>
              </w:rPr>
              <w:t>3 339</w:t>
            </w:r>
          </w:p>
        </w:tc>
        <w:tc>
          <w:tcPr>
            <w:tcW w:w="1115" w:type="dxa"/>
            <w:shd w:val="clear" w:color="auto" w:fill="auto"/>
            <w:noWrap/>
            <w:vAlign w:val="center"/>
            <w:hideMark/>
          </w:tcPr>
          <w:p w14:paraId="32DA53CE" w14:textId="77777777" w:rsidR="00561B47" w:rsidRPr="00CD000E" w:rsidRDefault="00561B47" w:rsidP="00561B47">
            <w:pPr>
              <w:keepNext/>
              <w:keepLines/>
              <w:jc w:val="center"/>
              <w:rPr>
                <w:sz w:val="16"/>
                <w:szCs w:val="16"/>
              </w:rPr>
            </w:pPr>
            <w:r w:rsidRPr="00CD000E">
              <w:rPr>
                <w:sz w:val="16"/>
                <w:szCs w:val="16"/>
              </w:rPr>
              <w:t>3 623</w:t>
            </w:r>
          </w:p>
        </w:tc>
        <w:tc>
          <w:tcPr>
            <w:tcW w:w="1156" w:type="dxa"/>
            <w:shd w:val="clear" w:color="auto" w:fill="auto"/>
            <w:noWrap/>
            <w:vAlign w:val="center"/>
            <w:hideMark/>
          </w:tcPr>
          <w:p w14:paraId="7CCDCC6A" w14:textId="77777777" w:rsidR="00561B47" w:rsidRPr="00CD000E" w:rsidRDefault="00561B47" w:rsidP="00561B47">
            <w:pPr>
              <w:keepNext/>
              <w:keepLines/>
              <w:jc w:val="center"/>
              <w:rPr>
                <w:sz w:val="16"/>
                <w:szCs w:val="16"/>
              </w:rPr>
            </w:pPr>
            <w:r w:rsidRPr="00CD000E">
              <w:rPr>
                <w:sz w:val="16"/>
                <w:szCs w:val="16"/>
              </w:rPr>
              <w:t>1 273</w:t>
            </w:r>
          </w:p>
        </w:tc>
      </w:tr>
      <w:tr w:rsidR="00561B47" w:rsidRPr="00CD000E" w14:paraId="1EA46AA3" w14:textId="77777777" w:rsidTr="00561B47">
        <w:trPr>
          <w:jc w:val="center"/>
        </w:trPr>
        <w:tc>
          <w:tcPr>
            <w:tcW w:w="614" w:type="dxa"/>
            <w:shd w:val="clear" w:color="auto" w:fill="auto"/>
            <w:noWrap/>
            <w:vAlign w:val="center"/>
            <w:hideMark/>
          </w:tcPr>
          <w:p w14:paraId="5FFE96E1" w14:textId="77777777" w:rsidR="00561B47" w:rsidRPr="00CD000E" w:rsidRDefault="00561B47" w:rsidP="00561B47">
            <w:pPr>
              <w:keepNext/>
              <w:keepLines/>
              <w:rPr>
                <w:sz w:val="16"/>
                <w:szCs w:val="16"/>
              </w:rPr>
            </w:pPr>
            <w:r w:rsidRPr="00CD000E">
              <w:rPr>
                <w:sz w:val="16"/>
                <w:szCs w:val="16"/>
              </w:rPr>
              <w:t>I.2</w:t>
            </w:r>
          </w:p>
        </w:tc>
        <w:tc>
          <w:tcPr>
            <w:tcW w:w="4220" w:type="dxa"/>
            <w:shd w:val="clear" w:color="auto" w:fill="auto"/>
            <w:vAlign w:val="center"/>
            <w:hideMark/>
          </w:tcPr>
          <w:p w14:paraId="44EF1DD0" w14:textId="77777777" w:rsidR="00561B47" w:rsidRPr="00CD000E" w:rsidRDefault="00561B47" w:rsidP="00561B47">
            <w:pPr>
              <w:keepNext/>
              <w:keepLines/>
              <w:rPr>
                <w:sz w:val="16"/>
                <w:szCs w:val="16"/>
              </w:rPr>
            </w:pPr>
            <w:r w:rsidRPr="00CD000E">
              <w:rPr>
                <w:sz w:val="16"/>
                <w:szCs w:val="16"/>
              </w:rPr>
              <w:t>Cadres législatifs, réglementaires et politiques adaptés et équilibrés en matière de propriété intellectuelle</w:t>
            </w:r>
          </w:p>
        </w:tc>
        <w:tc>
          <w:tcPr>
            <w:tcW w:w="1117" w:type="dxa"/>
            <w:shd w:val="clear" w:color="auto" w:fill="auto"/>
            <w:noWrap/>
            <w:vAlign w:val="center"/>
            <w:hideMark/>
          </w:tcPr>
          <w:p w14:paraId="245799DE" w14:textId="77777777" w:rsidR="00561B47" w:rsidRPr="00CD000E" w:rsidRDefault="00561B47" w:rsidP="00561B47">
            <w:pPr>
              <w:keepNext/>
              <w:keepLines/>
              <w:jc w:val="center"/>
              <w:rPr>
                <w:sz w:val="16"/>
                <w:szCs w:val="16"/>
              </w:rPr>
            </w:pPr>
            <w:r w:rsidRPr="00CD000E">
              <w:rPr>
                <w:sz w:val="16"/>
                <w:szCs w:val="16"/>
              </w:rPr>
              <w:t>2 325</w:t>
            </w:r>
          </w:p>
        </w:tc>
        <w:tc>
          <w:tcPr>
            <w:tcW w:w="1115" w:type="dxa"/>
            <w:shd w:val="clear" w:color="auto" w:fill="auto"/>
            <w:noWrap/>
            <w:vAlign w:val="center"/>
            <w:hideMark/>
          </w:tcPr>
          <w:p w14:paraId="4FB6A34D" w14:textId="77777777" w:rsidR="00561B47" w:rsidRPr="00CD000E" w:rsidRDefault="00561B47" w:rsidP="00561B47">
            <w:pPr>
              <w:keepNext/>
              <w:keepLines/>
              <w:jc w:val="center"/>
              <w:rPr>
                <w:sz w:val="16"/>
                <w:szCs w:val="16"/>
              </w:rPr>
            </w:pPr>
            <w:r w:rsidRPr="00CD000E">
              <w:rPr>
                <w:sz w:val="16"/>
                <w:szCs w:val="16"/>
              </w:rPr>
              <w:t>2 620</w:t>
            </w:r>
          </w:p>
        </w:tc>
        <w:tc>
          <w:tcPr>
            <w:tcW w:w="1156" w:type="dxa"/>
            <w:shd w:val="clear" w:color="auto" w:fill="auto"/>
            <w:noWrap/>
            <w:vAlign w:val="center"/>
            <w:hideMark/>
          </w:tcPr>
          <w:p w14:paraId="2CA3B005" w14:textId="77777777" w:rsidR="00561B47" w:rsidRPr="00CD000E" w:rsidRDefault="00561B47" w:rsidP="00561B47">
            <w:pPr>
              <w:keepNext/>
              <w:keepLines/>
              <w:jc w:val="center"/>
              <w:rPr>
                <w:sz w:val="16"/>
                <w:szCs w:val="16"/>
              </w:rPr>
            </w:pPr>
            <w:r w:rsidRPr="00CD000E">
              <w:rPr>
                <w:sz w:val="16"/>
                <w:szCs w:val="16"/>
              </w:rPr>
              <w:t>1 284</w:t>
            </w:r>
          </w:p>
        </w:tc>
      </w:tr>
      <w:tr w:rsidR="00561B47" w:rsidRPr="00CD000E" w14:paraId="32791994" w14:textId="77777777" w:rsidTr="00561B47">
        <w:trPr>
          <w:jc w:val="center"/>
        </w:trPr>
        <w:tc>
          <w:tcPr>
            <w:tcW w:w="614" w:type="dxa"/>
            <w:shd w:val="clear" w:color="auto" w:fill="auto"/>
            <w:noWrap/>
            <w:vAlign w:val="center"/>
            <w:hideMark/>
          </w:tcPr>
          <w:p w14:paraId="249BB93F" w14:textId="77777777" w:rsidR="00561B47" w:rsidRPr="00CD000E" w:rsidRDefault="00561B47" w:rsidP="00561B47">
            <w:pPr>
              <w:keepNext/>
              <w:keepLines/>
              <w:rPr>
                <w:sz w:val="16"/>
                <w:szCs w:val="16"/>
              </w:rPr>
            </w:pPr>
            <w:r w:rsidRPr="00CD000E">
              <w:rPr>
                <w:sz w:val="16"/>
                <w:szCs w:val="16"/>
              </w:rPr>
              <w:t>III.2</w:t>
            </w:r>
          </w:p>
        </w:tc>
        <w:tc>
          <w:tcPr>
            <w:tcW w:w="4220" w:type="dxa"/>
            <w:shd w:val="clear" w:color="auto" w:fill="auto"/>
            <w:vAlign w:val="center"/>
            <w:hideMark/>
          </w:tcPr>
          <w:p w14:paraId="051E6B0D" w14:textId="77777777" w:rsidR="00561B47" w:rsidRPr="00CD000E" w:rsidRDefault="00561B47" w:rsidP="00561B47">
            <w:pPr>
              <w:keepNext/>
              <w:keepLines/>
              <w:rPr>
                <w:sz w:val="16"/>
                <w:szCs w:val="16"/>
              </w:rPr>
            </w:pPr>
            <w:r w:rsidRPr="00CD000E">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117" w:type="dxa"/>
            <w:shd w:val="clear" w:color="auto" w:fill="auto"/>
            <w:noWrap/>
            <w:vAlign w:val="center"/>
            <w:hideMark/>
          </w:tcPr>
          <w:p w14:paraId="7AFD77EF" w14:textId="77777777" w:rsidR="00561B47" w:rsidRPr="00CD000E" w:rsidRDefault="00561B47" w:rsidP="00561B47">
            <w:pPr>
              <w:keepNext/>
              <w:keepLines/>
              <w:jc w:val="center"/>
              <w:rPr>
                <w:sz w:val="16"/>
                <w:szCs w:val="16"/>
              </w:rPr>
            </w:pPr>
            <w:r w:rsidRPr="00CD000E">
              <w:rPr>
                <w:sz w:val="16"/>
                <w:szCs w:val="16"/>
              </w:rPr>
              <w:t>8 409</w:t>
            </w:r>
          </w:p>
        </w:tc>
        <w:tc>
          <w:tcPr>
            <w:tcW w:w="1115" w:type="dxa"/>
            <w:shd w:val="clear" w:color="auto" w:fill="auto"/>
            <w:noWrap/>
            <w:vAlign w:val="center"/>
            <w:hideMark/>
          </w:tcPr>
          <w:p w14:paraId="68EEFE16" w14:textId="77777777" w:rsidR="00561B47" w:rsidRPr="00CD000E" w:rsidRDefault="00561B47" w:rsidP="00561B47">
            <w:pPr>
              <w:keepNext/>
              <w:keepLines/>
              <w:jc w:val="center"/>
              <w:rPr>
                <w:sz w:val="16"/>
                <w:szCs w:val="16"/>
              </w:rPr>
            </w:pPr>
            <w:r w:rsidRPr="00CD000E">
              <w:rPr>
                <w:sz w:val="16"/>
                <w:szCs w:val="16"/>
              </w:rPr>
              <w:t>8 563</w:t>
            </w:r>
          </w:p>
        </w:tc>
        <w:tc>
          <w:tcPr>
            <w:tcW w:w="1156" w:type="dxa"/>
            <w:shd w:val="clear" w:color="auto" w:fill="auto"/>
            <w:noWrap/>
            <w:vAlign w:val="center"/>
            <w:hideMark/>
          </w:tcPr>
          <w:p w14:paraId="33969258" w14:textId="77777777" w:rsidR="00561B47" w:rsidRPr="00CD000E" w:rsidRDefault="00561B47" w:rsidP="00561B47">
            <w:pPr>
              <w:keepNext/>
              <w:keepLines/>
              <w:jc w:val="center"/>
              <w:rPr>
                <w:sz w:val="16"/>
                <w:szCs w:val="16"/>
              </w:rPr>
            </w:pPr>
            <w:r w:rsidRPr="00CD000E">
              <w:rPr>
                <w:sz w:val="16"/>
                <w:szCs w:val="16"/>
              </w:rPr>
              <w:t>3 668</w:t>
            </w:r>
          </w:p>
        </w:tc>
      </w:tr>
      <w:tr w:rsidR="00561B47" w:rsidRPr="00CD000E" w14:paraId="3D86F35B" w14:textId="77777777" w:rsidTr="00561B47">
        <w:trPr>
          <w:jc w:val="center"/>
        </w:trPr>
        <w:tc>
          <w:tcPr>
            <w:tcW w:w="614" w:type="dxa"/>
            <w:shd w:val="clear" w:color="auto" w:fill="auto"/>
            <w:noWrap/>
            <w:vAlign w:val="center"/>
            <w:hideMark/>
          </w:tcPr>
          <w:p w14:paraId="6AD713E9" w14:textId="77777777" w:rsidR="00561B47" w:rsidRPr="00CD000E" w:rsidRDefault="00561B47" w:rsidP="00561B47">
            <w:pPr>
              <w:keepNext/>
              <w:keepLines/>
              <w:rPr>
                <w:sz w:val="16"/>
                <w:szCs w:val="16"/>
              </w:rPr>
            </w:pPr>
            <w:r w:rsidRPr="00CD000E">
              <w:rPr>
                <w:sz w:val="16"/>
                <w:szCs w:val="16"/>
              </w:rPr>
              <w:t>IV.2</w:t>
            </w:r>
          </w:p>
        </w:tc>
        <w:tc>
          <w:tcPr>
            <w:tcW w:w="4220" w:type="dxa"/>
            <w:shd w:val="clear" w:color="auto" w:fill="auto"/>
            <w:vAlign w:val="center"/>
            <w:hideMark/>
          </w:tcPr>
          <w:p w14:paraId="5823C6FB" w14:textId="77777777" w:rsidR="00561B47" w:rsidRPr="00CD000E" w:rsidRDefault="00561B47" w:rsidP="00561B47">
            <w:pPr>
              <w:keepNext/>
              <w:keepLines/>
              <w:rPr>
                <w:sz w:val="16"/>
                <w:szCs w:val="16"/>
              </w:rPr>
            </w:pPr>
            <w:r w:rsidRPr="00CD000E">
              <w:rPr>
                <w:sz w:val="16"/>
                <w:szCs w:val="16"/>
              </w:rPr>
              <w:t>Amélioration de l’accessibilité et de l’utilisation de l’information en matière de propriété intellectuelle par les institutions compétentes et le public afin de promouvoir l’innovation et la créativité</w:t>
            </w:r>
          </w:p>
        </w:tc>
        <w:tc>
          <w:tcPr>
            <w:tcW w:w="1117" w:type="dxa"/>
            <w:shd w:val="clear" w:color="auto" w:fill="auto"/>
            <w:noWrap/>
            <w:vAlign w:val="center"/>
            <w:hideMark/>
          </w:tcPr>
          <w:p w14:paraId="6F957641" w14:textId="77777777" w:rsidR="00561B47" w:rsidRPr="00CD000E" w:rsidRDefault="00561B47" w:rsidP="00561B47">
            <w:pPr>
              <w:keepNext/>
              <w:keepLines/>
              <w:jc w:val="center"/>
              <w:rPr>
                <w:sz w:val="16"/>
                <w:szCs w:val="16"/>
              </w:rPr>
            </w:pPr>
            <w:r w:rsidRPr="00CD000E">
              <w:rPr>
                <w:sz w:val="16"/>
                <w:szCs w:val="16"/>
              </w:rPr>
              <w:t>2 640</w:t>
            </w:r>
          </w:p>
        </w:tc>
        <w:tc>
          <w:tcPr>
            <w:tcW w:w="1115" w:type="dxa"/>
            <w:shd w:val="clear" w:color="auto" w:fill="auto"/>
            <w:noWrap/>
            <w:vAlign w:val="center"/>
            <w:hideMark/>
          </w:tcPr>
          <w:p w14:paraId="53E68B1B" w14:textId="77777777" w:rsidR="00561B47" w:rsidRPr="00CD000E" w:rsidRDefault="00561B47" w:rsidP="00561B47">
            <w:pPr>
              <w:keepNext/>
              <w:keepLines/>
              <w:jc w:val="center"/>
              <w:rPr>
                <w:sz w:val="16"/>
                <w:szCs w:val="16"/>
              </w:rPr>
            </w:pPr>
            <w:r w:rsidRPr="00CD000E">
              <w:rPr>
                <w:sz w:val="16"/>
                <w:szCs w:val="16"/>
              </w:rPr>
              <w:t>2 615</w:t>
            </w:r>
          </w:p>
        </w:tc>
        <w:tc>
          <w:tcPr>
            <w:tcW w:w="1156" w:type="dxa"/>
            <w:shd w:val="clear" w:color="auto" w:fill="auto"/>
            <w:noWrap/>
            <w:vAlign w:val="center"/>
            <w:hideMark/>
          </w:tcPr>
          <w:p w14:paraId="4E736F70" w14:textId="77777777" w:rsidR="00561B47" w:rsidRPr="00CD000E" w:rsidRDefault="00561B47" w:rsidP="00561B47">
            <w:pPr>
              <w:keepNext/>
              <w:keepLines/>
              <w:jc w:val="center"/>
              <w:rPr>
                <w:sz w:val="16"/>
                <w:szCs w:val="16"/>
              </w:rPr>
            </w:pPr>
            <w:r w:rsidRPr="00CD000E">
              <w:rPr>
                <w:sz w:val="16"/>
                <w:szCs w:val="16"/>
              </w:rPr>
              <w:t>1 123</w:t>
            </w:r>
          </w:p>
        </w:tc>
      </w:tr>
      <w:tr w:rsidR="00561B47" w:rsidRPr="00CD000E" w14:paraId="0747EDF4" w14:textId="77777777" w:rsidTr="00561B47">
        <w:trPr>
          <w:jc w:val="center"/>
        </w:trPr>
        <w:tc>
          <w:tcPr>
            <w:tcW w:w="614" w:type="dxa"/>
            <w:shd w:val="clear" w:color="auto" w:fill="auto"/>
            <w:noWrap/>
            <w:vAlign w:val="center"/>
            <w:hideMark/>
          </w:tcPr>
          <w:p w14:paraId="7D32B176" w14:textId="77777777" w:rsidR="00561B47" w:rsidRPr="00CD000E" w:rsidRDefault="00561B47" w:rsidP="00561B47">
            <w:pPr>
              <w:keepNext/>
              <w:keepLines/>
              <w:rPr>
                <w:sz w:val="16"/>
                <w:szCs w:val="16"/>
              </w:rPr>
            </w:pPr>
            <w:r w:rsidRPr="00CD000E">
              <w:rPr>
                <w:sz w:val="16"/>
                <w:szCs w:val="16"/>
              </w:rPr>
              <w:t>VIII.1</w:t>
            </w:r>
          </w:p>
        </w:tc>
        <w:tc>
          <w:tcPr>
            <w:tcW w:w="4220" w:type="dxa"/>
            <w:shd w:val="clear" w:color="auto" w:fill="auto"/>
            <w:vAlign w:val="center"/>
            <w:hideMark/>
          </w:tcPr>
          <w:p w14:paraId="1CCF000B" w14:textId="77777777" w:rsidR="00561B47" w:rsidRPr="00CD000E" w:rsidRDefault="00561B47" w:rsidP="00561B47">
            <w:pPr>
              <w:keepNext/>
              <w:keepLines/>
              <w:rPr>
                <w:sz w:val="16"/>
                <w:szCs w:val="16"/>
              </w:rPr>
            </w:pPr>
            <w:r w:rsidRPr="00CD000E">
              <w:rPr>
                <w:sz w:val="16"/>
                <w:szCs w:val="16"/>
              </w:rPr>
              <w:t>Communication plus efficace avec le grand public concernant la propriété intellectuelle et le rôle de l’OMPI</w:t>
            </w:r>
          </w:p>
        </w:tc>
        <w:tc>
          <w:tcPr>
            <w:tcW w:w="1117" w:type="dxa"/>
            <w:shd w:val="clear" w:color="auto" w:fill="auto"/>
            <w:noWrap/>
            <w:vAlign w:val="center"/>
            <w:hideMark/>
          </w:tcPr>
          <w:p w14:paraId="4C41695B" w14:textId="77777777" w:rsidR="00561B47" w:rsidRPr="00CD000E" w:rsidRDefault="00561B47" w:rsidP="00561B47">
            <w:pPr>
              <w:keepNext/>
              <w:keepLines/>
              <w:jc w:val="center"/>
              <w:rPr>
                <w:sz w:val="16"/>
                <w:szCs w:val="16"/>
              </w:rPr>
            </w:pPr>
            <w:r w:rsidRPr="00CD000E">
              <w:rPr>
                <w:sz w:val="16"/>
                <w:szCs w:val="16"/>
              </w:rPr>
              <w:t>20</w:t>
            </w:r>
          </w:p>
        </w:tc>
        <w:tc>
          <w:tcPr>
            <w:tcW w:w="1115" w:type="dxa"/>
            <w:shd w:val="clear" w:color="auto" w:fill="auto"/>
            <w:noWrap/>
            <w:vAlign w:val="center"/>
            <w:hideMark/>
          </w:tcPr>
          <w:p w14:paraId="0473AD37" w14:textId="77777777" w:rsidR="00561B47" w:rsidRPr="00CD000E" w:rsidRDefault="00561B47" w:rsidP="00561B47">
            <w:pPr>
              <w:keepNext/>
              <w:keepLines/>
              <w:jc w:val="center"/>
              <w:rPr>
                <w:sz w:val="16"/>
                <w:szCs w:val="16"/>
              </w:rPr>
            </w:pPr>
            <w:r w:rsidRPr="00CD000E">
              <w:rPr>
                <w:sz w:val="16"/>
                <w:szCs w:val="16"/>
              </w:rPr>
              <w:t>0</w:t>
            </w:r>
          </w:p>
        </w:tc>
        <w:tc>
          <w:tcPr>
            <w:tcW w:w="1156" w:type="dxa"/>
            <w:shd w:val="clear" w:color="auto" w:fill="auto"/>
            <w:noWrap/>
            <w:vAlign w:val="center"/>
            <w:hideMark/>
          </w:tcPr>
          <w:p w14:paraId="64C8D2B2" w14:textId="77777777" w:rsidR="00561B47" w:rsidRPr="00CD000E" w:rsidRDefault="00561B47" w:rsidP="00561B47">
            <w:pPr>
              <w:keepNext/>
              <w:keepLines/>
              <w:jc w:val="center"/>
              <w:rPr>
                <w:sz w:val="16"/>
                <w:szCs w:val="16"/>
              </w:rPr>
            </w:pPr>
            <w:r w:rsidRPr="00CD000E">
              <w:rPr>
                <w:sz w:val="16"/>
                <w:szCs w:val="16"/>
              </w:rPr>
              <w:t>0</w:t>
            </w:r>
          </w:p>
        </w:tc>
      </w:tr>
      <w:tr w:rsidR="00561B47" w:rsidRPr="00CD000E" w14:paraId="3B659B70" w14:textId="77777777" w:rsidTr="00561B47">
        <w:trPr>
          <w:jc w:val="center"/>
        </w:trPr>
        <w:tc>
          <w:tcPr>
            <w:tcW w:w="614" w:type="dxa"/>
            <w:shd w:val="clear" w:color="000000" w:fill="C5D9F1"/>
            <w:noWrap/>
            <w:vAlign w:val="bottom"/>
            <w:hideMark/>
          </w:tcPr>
          <w:p w14:paraId="6D8063B5" w14:textId="77777777" w:rsidR="00561B47" w:rsidRPr="00CD000E" w:rsidRDefault="00561B47" w:rsidP="00561B47">
            <w:pPr>
              <w:keepNext/>
              <w:keepLines/>
              <w:rPr>
                <w:sz w:val="16"/>
                <w:szCs w:val="16"/>
              </w:rPr>
            </w:pPr>
            <w:r w:rsidRPr="00CD000E">
              <w:rPr>
                <w:sz w:val="16"/>
                <w:szCs w:val="16"/>
              </w:rPr>
              <w:t> </w:t>
            </w:r>
          </w:p>
        </w:tc>
        <w:tc>
          <w:tcPr>
            <w:tcW w:w="4220" w:type="dxa"/>
            <w:shd w:val="clear" w:color="000000" w:fill="C5D9F1"/>
            <w:noWrap/>
            <w:vAlign w:val="bottom"/>
            <w:hideMark/>
          </w:tcPr>
          <w:p w14:paraId="717E0E30" w14:textId="77777777" w:rsidR="00561B47" w:rsidRPr="00CD000E" w:rsidRDefault="00561B47" w:rsidP="00561B47">
            <w:pPr>
              <w:keepNext/>
              <w:keepLines/>
              <w:jc w:val="right"/>
              <w:rPr>
                <w:b/>
                <w:bCs/>
                <w:sz w:val="16"/>
                <w:szCs w:val="16"/>
              </w:rPr>
            </w:pPr>
            <w:r w:rsidRPr="00CD000E">
              <w:rPr>
                <w:b/>
                <w:bCs/>
                <w:sz w:val="16"/>
                <w:szCs w:val="16"/>
              </w:rPr>
              <w:t>Total</w:t>
            </w:r>
          </w:p>
        </w:tc>
        <w:tc>
          <w:tcPr>
            <w:tcW w:w="1117" w:type="dxa"/>
            <w:shd w:val="clear" w:color="000000" w:fill="C5D9F1"/>
            <w:noWrap/>
            <w:vAlign w:val="center"/>
            <w:hideMark/>
          </w:tcPr>
          <w:p w14:paraId="0BF335CF" w14:textId="77777777" w:rsidR="00561B47" w:rsidRPr="00CD000E" w:rsidRDefault="00561B47" w:rsidP="00561B47">
            <w:pPr>
              <w:keepNext/>
              <w:keepLines/>
              <w:jc w:val="center"/>
              <w:rPr>
                <w:sz w:val="16"/>
                <w:szCs w:val="16"/>
              </w:rPr>
            </w:pPr>
            <w:r w:rsidRPr="00CD000E">
              <w:rPr>
                <w:sz w:val="16"/>
                <w:szCs w:val="16"/>
              </w:rPr>
              <w:t>16 733</w:t>
            </w:r>
          </w:p>
        </w:tc>
        <w:tc>
          <w:tcPr>
            <w:tcW w:w="1115" w:type="dxa"/>
            <w:shd w:val="clear" w:color="000000" w:fill="C5D9F1"/>
            <w:noWrap/>
            <w:vAlign w:val="center"/>
            <w:hideMark/>
          </w:tcPr>
          <w:p w14:paraId="0C640F1C" w14:textId="77777777" w:rsidR="00561B47" w:rsidRPr="00CD000E" w:rsidRDefault="00561B47" w:rsidP="00561B47">
            <w:pPr>
              <w:keepNext/>
              <w:keepLines/>
              <w:jc w:val="center"/>
              <w:rPr>
                <w:sz w:val="16"/>
                <w:szCs w:val="16"/>
              </w:rPr>
            </w:pPr>
            <w:r w:rsidRPr="00CD000E">
              <w:rPr>
                <w:sz w:val="16"/>
                <w:szCs w:val="16"/>
              </w:rPr>
              <w:t>17 421</w:t>
            </w:r>
          </w:p>
        </w:tc>
        <w:tc>
          <w:tcPr>
            <w:tcW w:w="1156" w:type="dxa"/>
            <w:shd w:val="clear" w:color="000000" w:fill="C5D9F1"/>
            <w:noWrap/>
            <w:vAlign w:val="center"/>
            <w:hideMark/>
          </w:tcPr>
          <w:p w14:paraId="75A44E88" w14:textId="77777777" w:rsidR="00561B47" w:rsidRPr="00CD000E" w:rsidRDefault="00561B47" w:rsidP="00561B47">
            <w:pPr>
              <w:keepNext/>
              <w:keepLines/>
              <w:jc w:val="center"/>
              <w:rPr>
                <w:sz w:val="16"/>
                <w:szCs w:val="16"/>
              </w:rPr>
            </w:pPr>
            <w:r w:rsidRPr="00CD000E">
              <w:rPr>
                <w:sz w:val="16"/>
                <w:szCs w:val="16"/>
              </w:rPr>
              <w:t>7 348</w:t>
            </w:r>
          </w:p>
        </w:tc>
      </w:tr>
      <w:tr w:rsidR="00561B47" w:rsidRPr="00CD000E" w14:paraId="32604F4C" w14:textId="77777777" w:rsidTr="00561B47">
        <w:trPr>
          <w:jc w:val="center"/>
        </w:trPr>
        <w:tc>
          <w:tcPr>
            <w:tcW w:w="7066" w:type="dxa"/>
            <w:gridSpan w:val="4"/>
            <w:shd w:val="clear" w:color="auto" w:fill="auto"/>
            <w:noWrap/>
            <w:vAlign w:val="center"/>
            <w:hideMark/>
          </w:tcPr>
          <w:p w14:paraId="4408DE0C" w14:textId="77777777" w:rsidR="00561B47" w:rsidRPr="00CD000E" w:rsidRDefault="00561B47" w:rsidP="00561B47">
            <w:pPr>
              <w:keepNext/>
              <w:keepLines/>
              <w:rPr>
                <w:i/>
                <w:iCs/>
                <w:sz w:val="16"/>
                <w:szCs w:val="16"/>
              </w:rPr>
            </w:pPr>
            <w:r w:rsidRPr="00CD000E">
              <w:rPr>
                <w:i/>
                <w:iCs/>
                <w:sz w:val="16"/>
                <w:szCs w:val="16"/>
              </w:rPr>
              <w:t>*Les chiffres des dépenses pour 2016 sont préliminaires, sous réserve d’audit par les vérificateurs externes des comptes</w:t>
            </w:r>
          </w:p>
        </w:tc>
        <w:tc>
          <w:tcPr>
            <w:tcW w:w="1156" w:type="dxa"/>
            <w:shd w:val="clear" w:color="auto" w:fill="auto"/>
            <w:noWrap/>
            <w:vAlign w:val="center"/>
            <w:hideMark/>
          </w:tcPr>
          <w:p w14:paraId="233B3B57" w14:textId="77777777" w:rsidR="00561B47" w:rsidRPr="00CD000E" w:rsidRDefault="00561B47" w:rsidP="00561B47">
            <w:pPr>
              <w:keepNext/>
              <w:keepLines/>
              <w:rPr>
                <w:sz w:val="16"/>
                <w:szCs w:val="16"/>
              </w:rPr>
            </w:pPr>
          </w:p>
        </w:tc>
      </w:tr>
    </w:tbl>
    <w:p w14:paraId="33CEF685" w14:textId="77777777" w:rsidR="00561B47" w:rsidRPr="00CD000E" w:rsidRDefault="00561B47" w:rsidP="00561B47">
      <w:pPr>
        <w:rPr>
          <w:bCs/>
          <w:sz w:val="20"/>
        </w:rPr>
      </w:pPr>
    </w:p>
    <w:p w14:paraId="25D412FA" w14:textId="77777777" w:rsidR="00561B47" w:rsidRDefault="00561B47" w:rsidP="00561B47">
      <w:pPr>
        <w:rPr>
          <w:color w:val="000000"/>
          <w:sz w:val="18"/>
          <w:szCs w:val="18"/>
        </w:rPr>
      </w:pPr>
      <w:r>
        <w:rPr>
          <w:color w:val="000000"/>
        </w:rPr>
        <w:br w:type="page"/>
      </w:r>
    </w:p>
    <w:p w14:paraId="53E8BF4F" w14:textId="77777777" w:rsidR="00561B47" w:rsidRPr="00CD000E" w:rsidRDefault="00561B47" w:rsidP="00561B47">
      <w:pPr>
        <w:pStyle w:val="NormalWeb"/>
        <w:keepNext/>
        <w:keepLines/>
        <w:spacing w:before="0" w:beforeAutospacing="0" w:after="0" w:afterAutospacing="0"/>
        <w:jc w:val="center"/>
        <w:rPr>
          <w:color w:val="000000"/>
        </w:rPr>
      </w:pPr>
      <w:r w:rsidRPr="00CD000E">
        <w:rPr>
          <w:color w:val="000000"/>
        </w:rPr>
        <w:lastRenderedPageBreak/>
        <w:t>Budget et dépenses effectives (dépenses de personnel et autres dépenses)</w:t>
      </w:r>
    </w:p>
    <w:p w14:paraId="23002646" w14:textId="77777777" w:rsidR="00561B47" w:rsidRPr="00CD000E" w:rsidRDefault="00561B47" w:rsidP="00561B47">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57C90679" w14:textId="77777777" w:rsidR="00561B47" w:rsidRPr="00CD000E" w:rsidRDefault="00561B47" w:rsidP="00561B47">
      <w:pPr>
        <w:rPr>
          <w:sz w:val="20"/>
        </w:rPr>
      </w:pPr>
    </w:p>
    <w:tbl>
      <w:tblPr>
        <w:tblW w:w="4300" w:type="pct"/>
        <w:jc w:val="center"/>
        <w:tblCellMar>
          <w:top w:w="57" w:type="dxa"/>
          <w:bottom w:w="57" w:type="dxa"/>
        </w:tblCellMar>
        <w:tblLook w:val="04A0" w:firstRow="1" w:lastRow="0" w:firstColumn="1" w:lastColumn="0" w:noHBand="0" w:noVBand="1"/>
      </w:tblPr>
      <w:tblGrid>
        <w:gridCol w:w="2470"/>
        <w:gridCol w:w="1746"/>
        <w:gridCol w:w="1577"/>
        <w:gridCol w:w="1435"/>
        <w:gridCol w:w="1114"/>
      </w:tblGrid>
      <w:tr w:rsidR="00561B47" w:rsidRPr="007D1F67" w14:paraId="6B483C80" w14:textId="77777777" w:rsidTr="00561B47">
        <w:trPr>
          <w:jc w:val="center"/>
        </w:trPr>
        <w:tc>
          <w:tcPr>
            <w:tcW w:w="2470" w:type="dxa"/>
            <w:tcBorders>
              <w:top w:val="nil"/>
              <w:left w:val="nil"/>
              <w:bottom w:val="nil"/>
              <w:right w:val="nil"/>
            </w:tcBorders>
            <w:shd w:val="clear" w:color="000000" w:fill="C5D9F1"/>
            <w:noWrap/>
            <w:vAlign w:val="center"/>
            <w:hideMark/>
          </w:tcPr>
          <w:p w14:paraId="560A2EE4" w14:textId="77777777" w:rsidR="00561B47" w:rsidRPr="00CD000E" w:rsidRDefault="00561B47" w:rsidP="00561B47">
            <w:pPr>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5FB5BFFC" w14:textId="77777777" w:rsidR="00561B47" w:rsidRPr="00CD000E" w:rsidRDefault="00561B47" w:rsidP="00561B47">
            <w:pPr>
              <w:jc w:val="center"/>
              <w:rPr>
                <w:b/>
                <w:bCs/>
                <w:color w:val="000000"/>
                <w:sz w:val="16"/>
                <w:szCs w:val="16"/>
              </w:rPr>
            </w:pPr>
            <w:r w:rsidRPr="00CD000E">
              <w:rPr>
                <w:b/>
                <w:bCs/>
                <w:color w:val="000000"/>
                <w:sz w:val="16"/>
                <w:szCs w:val="16"/>
              </w:rPr>
              <w:t>Budget 2016</w:t>
            </w:r>
            <w:r>
              <w:rPr>
                <w:b/>
                <w:bCs/>
                <w:color w:val="000000"/>
                <w:sz w:val="16"/>
                <w:szCs w:val="16"/>
              </w:rPr>
              <w:noBreakHyphen/>
              <w:t>2017 </w:t>
            </w:r>
            <w:r w:rsidRPr="00CD000E">
              <w:rPr>
                <w:b/>
                <w:bCs/>
                <w:color w:val="000000"/>
                <w:sz w:val="16"/>
                <w:szCs w:val="16"/>
              </w:rPr>
              <w:t>approuvé</w:t>
            </w:r>
          </w:p>
        </w:tc>
        <w:tc>
          <w:tcPr>
            <w:tcW w:w="1438" w:type="dxa"/>
            <w:tcBorders>
              <w:top w:val="nil"/>
              <w:left w:val="nil"/>
              <w:bottom w:val="nil"/>
              <w:right w:val="nil"/>
            </w:tcBorders>
            <w:shd w:val="clear" w:color="000000" w:fill="C5D9F1"/>
            <w:vAlign w:val="center"/>
            <w:hideMark/>
          </w:tcPr>
          <w:p w14:paraId="5A931A9C" w14:textId="77777777" w:rsidR="00561B47" w:rsidRPr="00CD000E" w:rsidRDefault="00561B47" w:rsidP="00561B47">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5870BA5F" w14:textId="77777777" w:rsidR="00561B47" w:rsidRPr="00CD000E" w:rsidRDefault="00561B47" w:rsidP="00561B47">
            <w:pPr>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77AAB755" w14:textId="77777777" w:rsidR="00561B47" w:rsidRPr="007D1F67" w:rsidRDefault="00561B47" w:rsidP="00561B47">
            <w:pPr>
              <w:jc w:val="center"/>
              <w:rPr>
                <w:b/>
                <w:bCs/>
                <w:sz w:val="16"/>
                <w:szCs w:val="16"/>
              </w:rPr>
            </w:pPr>
            <w:r w:rsidRPr="007D1F67">
              <w:rPr>
                <w:b/>
                <w:bCs/>
                <w:sz w:val="16"/>
                <w:szCs w:val="16"/>
              </w:rPr>
              <w:t>Taux d’utilisation (%)</w:t>
            </w:r>
          </w:p>
        </w:tc>
      </w:tr>
      <w:tr w:rsidR="00561B47" w:rsidRPr="00CD000E" w14:paraId="16C3B2C8" w14:textId="77777777" w:rsidTr="00561B47">
        <w:trPr>
          <w:jc w:val="center"/>
        </w:trPr>
        <w:tc>
          <w:tcPr>
            <w:tcW w:w="2470" w:type="dxa"/>
            <w:tcBorders>
              <w:top w:val="nil"/>
              <w:left w:val="nil"/>
              <w:bottom w:val="nil"/>
              <w:right w:val="nil"/>
            </w:tcBorders>
            <w:shd w:val="clear" w:color="auto" w:fill="auto"/>
            <w:noWrap/>
            <w:vAlign w:val="center"/>
            <w:hideMark/>
          </w:tcPr>
          <w:p w14:paraId="4D45E7AC" w14:textId="77777777" w:rsidR="00561B47" w:rsidRPr="00CD000E" w:rsidRDefault="00561B47" w:rsidP="00561B47">
            <w:pPr>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0DD57DFD" w14:textId="77777777" w:rsidR="00561B47" w:rsidRPr="00CD000E" w:rsidRDefault="00561B47" w:rsidP="00561B47">
            <w:pPr>
              <w:jc w:val="center"/>
              <w:rPr>
                <w:color w:val="000000"/>
                <w:sz w:val="16"/>
                <w:szCs w:val="16"/>
              </w:rPr>
            </w:pPr>
            <w:r w:rsidRPr="00CD000E">
              <w:rPr>
                <w:color w:val="000000"/>
                <w:sz w:val="16"/>
                <w:szCs w:val="16"/>
              </w:rPr>
              <w:t xml:space="preserve">9 919 </w:t>
            </w:r>
          </w:p>
        </w:tc>
        <w:tc>
          <w:tcPr>
            <w:tcW w:w="1438" w:type="dxa"/>
            <w:tcBorders>
              <w:top w:val="nil"/>
              <w:left w:val="nil"/>
              <w:bottom w:val="nil"/>
              <w:right w:val="nil"/>
            </w:tcBorders>
            <w:shd w:val="clear" w:color="auto" w:fill="auto"/>
            <w:vAlign w:val="center"/>
            <w:hideMark/>
          </w:tcPr>
          <w:p w14:paraId="524F17D8" w14:textId="77777777" w:rsidR="00561B47" w:rsidRPr="00CD000E" w:rsidRDefault="00561B47" w:rsidP="00561B47">
            <w:pPr>
              <w:jc w:val="center"/>
              <w:rPr>
                <w:color w:val="000000"/>
                <w:sz w:val="16"/>
                <w:szCs w:val="16"/>
              </w:rPr>
            </w:pPr>
            <w:r w:rsidRPr="00CD000E">
              <w:rPr>
                <w:color w:val="000000"/>
                <w:sz w:val="16"/>
                <w:szCs w:val="16"/>
              </w:rPr>
              <w:t xml:space="preserve">9 468 </w:t>
            </w:r>
          </w:p>
        </w:tc>
        <w:tc>
          <w:tcPr>
            <w:tcW w:w="1438" w:type="dxa"/>
            <w:tcBorders>
              <w:top w:val="nil"/>
              <w:left w:val="nil"/>
              <w:bottom w:val="nil"/>
              <w:right w:val="nil"/>
            </w:tcBorders>
            <w:shd w:val="clear" w:color="auto" w:fill="auto"/>
            <w:vAlign w:val="center"/>
            <w:hideMark/>
          </w:tcPr>
          <w:p w14:paraId="3F529781" w14:textId="77777777" w:rsidR="00561B47" w:rsidRPr="00CD000E" w:rsidRDefault="00561B47" w:rsidP="00561B47">
            <w:pPr>
              <w:jc w:val="center"/>
              <w:rPr>
                <w:color w:val="000000"/>
                <w:sz w:val="16"/>
                <w:szCs w:val="16"/>
              </w:rPr>
            </w:pPr>
            <w:r w:rsidRPr="00CD000E">
              <w:rPr>
                <w:color w:val="000000"/>
                <w:sz w:val="16"/>
                <w:szCs w:val="16"/>
              </w:rPr>
              <w:t xml:space="preserve">4 448 </w:t>
            </w:r>
          </w:p>
        </w:tc>
        <w:tc>
          <w:tcPr>
            <w:tcW w:w="1438" w:type="dxa"/>
            <w:tcBorders>
              <w:top w:val="nil"/>
              <w:left w:val="nil"/>
              <w:bottom w:val="nil"/>
              <w:right w:val="nil"/>
            </w:tcBorders>
            <w:shd w:val="clear" w:color="auto" w:fill="auto"/>
            <w:vAlign w:val="center"/>
            <w:hideMark/>
          </w:tcPr>
          <w:p w14:paraId="5E8B0821" w14:textId="77777777" w:rsidR="00561B47" w:rsidRPr="00CD000E" w:rsidRDefault="00561B47" w:rsidP="00561B47">
            <w:pPr>
              <w:jc w:val="center"/>
              <w:rPr>
                <w:color w:val="000000"/>
                <w:sz w:val="16"/>
                <w:szCs w:val="16"/>
              </w:rPr>
            </w:pPr>
            <w:r w:rsidRPr="00CD000E">
              <w:rPr>
                <w:color w:val="000000"/>
                <w:sz w:val="16"/>
                <w:szCs w:val="16"/>
              </w:rPr>
              <w:t>47%</w:t>
            </w:r>
          </w:p>
        </w:tc>
      </w:tr>
      <w:tr w:rsidR="00561B47" w:rsidRPr="00CD000E" w14:paraId="7AA00FE0" w14:textId="77777777" w:rsidTr="00561B47">
        <w:trPr>
          <w:jc w:val="center"/>
        </w:trPr>
        <w:tc>
          <w:tcPr>
            <w:tcW w:w="2470" w:type="dxa"/>
            <w:tcBorders>
              <w:top w:val="nil"/>
              <w:left w:val="nil"/>
              <w:bottom w:val="nil"/>
              <w:right w:val="nil"/>
            </w:tcBorders>
            <w:shd w:val="clear" w:color="auto" w:fill="auto"/>
            <w:noWrap/>
            <w:vAlign w:val="center"/>
            <w:hideMark/>
          </w:tcPr>
          <w:p w14:paraId="6CAE5F7F" w14:textId="77777777" w:rsidR="00561B47" w:rsidRPr="00CD000E" w:rsidRDefault="00561B47" w:rsidP="00561B47">
            <w:pPr>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789277DB" w14:textId="77777777" w:rsidR="00561B47" w:rsidRPr="00CD000E" w:rsidRDefault="00561B47" w:rsidP="00561B47">
            <w:pPr>
              <w:jc w:val="center"/>
              <w:rPr>
                <w:color w:val="000000"/>
                <w:sz w:val="16"/>
                <w:szCs w:val="16"/>
              </w:rPr>
            </w:pPr>
            <w:r w:rsidRPr="00CD000E">
              <w:rPr>
                <w:color w:val="000000"/>
                <w:sz w:val="16"/>
                <w:szCs w:val="16"/>
              </w:rPr>
              <w:t xml:space="preserve">6 815 </w:t>
            </w:r>
          </w:p>
        </w:tc>
        <w:tc>
          <w:tcPr>
            <w:tcW w:w="1438" w:type="dxa"/>
            <w:tcBorders>
              <w:top w:val="nil"/>
              <w:left w:val="nil"/>
              <w:bottom w:val="nil"/>
              <w:right w:val="nil"/>
            </w:tcBorders>
            <w:shd w:val="clear" w:color="auto" w:fill="auto"/>
            <w:vAlign w:val="center"/>
            <w:hideMark/>
          </w:tcPr>
          <w:p w14:paraId="260CFBFB" w14:textId="77777777" w:rsidR="00561B47" w:rsidRPr="00CD000E" w:rsidRDefault="00561B47" w:rsidP="00561B47">
            <w:pPr>
              <w:jc w:val="center"/>
              <w:rPr>
                <w:color w:val="000000"/>
                <w:sz w:val="16"/>
                <w:szCs w:val="16"/>
              </w:rPr>
            </w:pPr>
            <w:r w:rsidRPr="00CD000E">
              <w:rPr>
                <w:color w:val="000000"/>
                <w:sz w:val="16"/>
                <w:szCs w:val="16"/>
              </w:rPr>
              <w:t xml:space="preserve">7 953 </w:t>
            </w:r>
          </w:p>
        </w:tc>
        <w:tc>
          <w:tcPr>
            <w:tcW w:w="1438" w:type="dxa"/>
            <w:tcBorders>
              <w:top w:val="nil"/>
              <w:left w:val="nil"/>
              <w:bottom w:val="nil"/>
              <w:right w:val="nil"/>
            </w:tcBorders>
            <w:shd w:val="clear" w:color="auto" w:fill="auto"/>
            <w:vAlign w:val="center"/>
            <w:hideMark/>
          </w:tcPr>
          <w:p w14:paraId="5B2B838E" w14:textId="77777777" w:rsidR="00561B47" w:rsidRPr="00CD000E" w:rsidRDefault="00561B47" w:rsidP="00561B47">
            <w:pPr>
              <w:jc w:val="center"/>
              <w:rPr>
                <w:color w:val="000000"/>
                <w:sz w:val="16"/>
                <w:szCs w:val="16"/>
              </w:rPr>
            </w:pPr>
            <w:r w:rsidRPr="00CD000E">
              <w:rPr>
                <w:color w:val="000000"/>
                <w:sz w:val="16"/>
                <w:szCs w:val="16"/>
              </w:rPr>
              <w:t xml:space="preserve">2 901 </w:t>
            </w:r>
          </w:p>
        </w:tc>
        <w:tc>
          <w:tcPr>
            <w:tcW w:w="1438" w:type="dxa"/>
            <w:tcBorders>
              <w:top w:val="nil"/>
              <w:left w:val="nil"/>
              <w:bottom w:val="nil"/>
              <w:right w:val="nil"/>
            </w:tcBorders>
            <w:shd w:val="clear" w:color="auto" w:fill="auto"/>
            <w:vAlign w:val="center"/>
            <w:hideMark/>
          </w:tcPr>
          <w:p w14:paraId="2F62C158" w14:textId="77777777" w:rsidR="00561B47" w:rsidRPr="00CD000E" w:rsidRDefault="00561B47" w:rsidP="00561B47">
            <w:pPr>
              <w:jc w:val="center"/>
              <w:rPr>
                <w:color w:val="000000"/>
                <w:sz w:val="16"/>
                <w:szCs w:val="16"/>
              </w:rPr>
            </w:pPr>
            <w:r w:rsidRPr="00CD000E">
              <w:rPr>
                <w:color w:val="000000"/>
                <w:sz w:val="16"/>
                <w:szCs w:val="16"/>
              </w:rPr>
              <w:t>36%</w:t>
            </w:r>
          </w:p>
        </w:tc>
      </w:tr>
      <w:tr w:rsidR="00561B47" w:rsidRPr="00CD000E" w14:paraId="43BC5332" w14:textId="77777777" w:rsidTr="00561B47">
        <w:trPr>
          <w:jc w:val="center"/>
        </w:trPr>
        <w:tc>
          <w:tcPr>
            <w:tcW w:w="2470" w:type="dxa"/>
            <w:tcBorders>
              <w:top w:val="nil"/>
              <w:left w:val="nil"/>
              <w:bottom w:val="nil"/>
              <w:right w:val="nil"/>
            </w:tcBorders>
            <w:shd w:val="clear" w:color="000000" w:fill="C5D9F1"/>
            <w:noWrap/>
            <w:vAlign w:val="center"/>
            <w:hideMark/>
          </w:tcPr>
          <w:p w14:paraId="698E0C71" w14:textId="77777777" w:rsidR="00561B47" w:rsidRPr="00CD000E" w:rsidRDefault="00561B47" w:rsidP="00561B47">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098045DD" w14:textId="77777777" w:rsidR="00561B47" w:rsidRPr="00CD000E" w:rsidRDefault="00561B47" w:rsidP="00561B47">
            <w:pPr>
              <w:jc w:val="center"/>
              <w:rPr>
                <w:b/>
                <w:bCs/>
                <w:color w:val="000000"/>
                <w:sz w:val="16"/>
                <w:szCs w:val="16"/>
              </w:rPr>
            </w:pPr>
            <w:r w:rsidRPr="00CD000E">
              <w:rPr>
                <w:b/>
                <w:bCs/>
                <w:color w:val="000000"/>
                <w:sz w:val="16"/>
                <w:szCs w:val="16"/>
              </w:rPr>
              <w:t xml:space="preserve">16 733 </w:t>
            </w:r>
          </w:p>
        </w:tc>
        <w:tc>
          <w:tcPr>
            <w:tcW w:w="1438" w:type="dxa"/>
            <w:tcBorders>
              <w:top w:val="nil"/>
              <w:left w:val="nil"/>
              <w:bottom w:val="nil"/>
              <w:right w:val="nil"/>
            </w:tcBorders>
            <w:shd w:val="clear" w:color="000000" w:fill="C5D9F1"/>
            <w:vAlign w:val="center"/>
            <w:hideMark/>
          </w:tcPr>
          <w:p w14:paraId="1904D799" w14:textId="77777777" w:rsidR="00561B47" w:rsidRPr="00CD000E" w:rsidRDefault="00561B47" w:rsidP="00561B47">
            <w:pPr>
              <w:jc w:val="center"/>
              <w:rPr>
                <w:b/>
                <w:bCs/>
                <w:color w:val="000000"/>
                <w:sz w:val="16"/>
                <w:szCs w:val="16"/>
              </w:rPr>
            </w:pPr>
            <w:r w:rsidRPr="00CD000E">
              <w:rPr>
                <w:b/>
                <w:bCs/>
                <w:color w:val="000000"/>
                <w:sz w:val="16"/>
                <w:szCs w:val="16"/>
              </w:rPr>
              <w:t xml:space="preserve">17 421 </w:t>
            </w:r>
          </w:p>
        </w:tc>
        <w:tc>
          <w:tcPr>
            <w:tcW w:w="1438" w:type="dxa"/>
            <w:tcBorders>
              <w:top w:val="nil"/>
              <w:left w:val="nil"/>
              <w:bottom w:val="nil"/>
              <w:right w:val="nil"/>
            </w:tcBorders>
            <w:shd w:val="clear" w:color="000000" w:fill="C5D9F1"/>
            <w:vAlign w:val="center"/>
            <w:hideMark/>
          </w:tcPr>
          <w:p w14:paraId="69CFD7C7" w14:textId="77777777" w:rsidR="00561B47" w:rsidRPr="00CD000E" w:rsidRDefault="00561B47" w:rsidP="00561B47">
            <w:pPr>
              <w:jc w:val="center"/>
              <w:rPr>
                <w:b/>
                <w:bCs/>
                <w:color w:val="000000"/>
                <w:sz w:val="16"/>
                <w:szCs w:val="16"/>
              </w:rPr>
            </w:pPr>
            <w:r w:rsidRPr="00CD000E">
              <w:rPr>
                <w:b/>
                <w:bCs/>
                <w:color w:val="000000"/>
                <w:sz w:val="16"/>
                <w:szCs w:val="16"/>
              </w:rPr>
              <w:t xml:space="preserve">7 348 </w:t>
            </w:r>
          </w:p>
        </w:tc>
        <w:tc>
          <w:tcPr>
            <w:tcW w:w="1438" w:type="dxa"/>
            <w:tcBorders>
              <w:top w:val="nil"/>
              <w:left w:val="nil"/>
              <w:bottom w:val="nil"/>
              <w:right w:val="nil"/>
            </w:tcBorders>
            <w:shd w:val="clear" w:color="000000" w:fill="C5D9F1"/>
            <w:vAlign w:val="center"/>
            <w:hideMark/>
          </w:tcPr>
          <w:p w14:paraId="6595ED45" w14:textId="77777777" w:rsidR="00561B47" w:rsidRPr="00CD000E" w:rsidRDefault="00561B47" w:rsidP="00561B47">
            <w:pPr>
              <w:jc w:val="center"/>
              <w:rPr>
                <w:b/>
                <w:bCs/>
                <w:color w:val="000000"/>
                <w:sz w:val="16"/>
                <w:szCs w:val="16"/>
              </w:rPr>
            </w:pPr>
            <w:r w:rsidRPr="00CD000E">
              <w:rPr>
                <w:b/>
                <w:bCs/>
                <w:color w:val="000000"/>
                <w:sz w:val="16"/>
                <w:szCs w:val="16"/>
              </w:rPr>
              <w:t>42%</w:t>
            </w:r>
          </w:p>
        </w:tc>
      </w:tr>
      <w:tr w:rsidR="00561B47" w:rsidRPr="00CD000E" w14:paraId="1D6E267A" w14:textId="77777777" w:rsidTr="00561B47">
        <w:trPr>
          <w:jc w:val="center"/>
        </w:trPr>
        <w:tc>
          <w:tcPr>
            <w:tcW w:w="8222" w:type="dxa"/>
            <w:gridSpan w:val="5"/>
            <w:tcBorders>
              <w:top w:val="nil"/>
              <w:left w:val="nil"/>
              <w:bottom w:val="nil"/>
              <w:right w:val="nil"/>
            </w:tcBorders>
            <w:shd w:val="clear" w:color="auto" w:fill="auto"/>
            <w:noWrap/>
            <w:vAlign w:val="bottom"/>
            <w:hideMark/>
          </w:tcPr>
          <w:p w14:paraId="2AD08AEB" w14:textId="77777777" w:rsidR="00561B47" w:rsidRPr="00CD000E" w:rsidRDefault="00561B47" w:rsidP="00561B47">
            <w:pPr>
              <w:rPr>
                <w:i/>
                <w:iCs/>
                <w:color w:val="000000"/>
                <w:sz w:val="16"/>
                <w:szCs w:val="16"/>
              </w:rPr>
            </w:pPr>
            <w:r w:rsidRPr="00CD000E">
              <w:rPr>
                <w:i/>
                <w:iCs/>
                <w:color w:val="000000"/>
                <w:sz w:val="16"/>
                <w:szCs w:val="16"/>
              </w:rPr>
              <w:t xml:space="preserve">*Les chiffres des dépenses pour 2016 sont préliminaires, sous réserve d’audit par les vérificateurs externes des comptes </w:t>
            </w:r>
          </w:p>
        </w:tc>
      </w:tr>
    </w:tbl>
    <w:p w14:paraId="25C6C647" w14:textId="77777777" w:rsidR="00561B47" w:rsidRPr="00CD000E" w:rsidRDefault="00561B47" w:rsidP="00561B47">
      <w:pPr>
        <w:rPr>
          <w:sz w:val="20"/>
        </w:rPr>
      </w:pPr>
    </w:p>
    <w:p w14:paraId="55B14EDC" w14:textId="2D3CEDA4" w:rsidR="00561B47" w:rsidRPr="00CD000E" w:rsidRDefault="00561B47" w:rsidP="00561B47">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0E2B2930" w14:textId="77777777" w:rsidR="00561B47" w:rsidRPr="00CD000E" w:rsidRDefault="00561B47" w:rsidP="00561B47">
      <w:pPr>
        <w:rPr>
          <w:sz w:val="20"/>
        </w:rPr>
      </w:pPr>
    </w:p>
    <w:p w14:paraId="28D7D30E" w14:textId="77777777" w:rsidR="00561B47" w:rsidRPr="00CD000E" w:rsidRDefault="00561B47" w:rsidP="00561B47">
      <w:pPr>
        <w:rPr>
          <w:sz w:val="20"/>
        </w:rPr>
      </w:pPr>
    </w:p>
    <w:p w14:paraId="7AC897E6" w14:textId="77777777" w:rsidR="00561B47" w:rsidRPr="00CD000E" w:rsidRDefault="00561B47" w:rsidP="00561B47">
      <w:pPr>
        <w:keepNext/>
        <w:keepLines/>
        <w:jc w:val="both"/>
        <w:rPr>
          <w:sz w:val="20"/>
          <w:u w:val="single"/>
        </w:rPr>
      </w:pPr>
      <w:r w:rsidRPr="00CD000E">
        <w:rPr>
          <w:sz w:val="20"/>
        </w:rPr>
        <w:t>A.</w:t>
      </w:r>
      <w:r w:rsidRPr="00CD000E">
        <w:rPr>
          <w:sz w:val="20"/>
        </w:rPr>
        <w:tab/>
      </w:r>
      <w:r w:rsidRPr="00CD000E">
        <w:rPr>
          <w:sz w:val="20"/>
          <w:u w:val="single"/>
        </w:rPr>
        <w:t>Budget 2016</w:t>
      </w:r>
      <w:r>
        <w:rPr>
          <w:sz w:val="20"/>
          <w:u w:val="single"/>
        </w:rPr>
        <w:noBreakHyphen/>
      </w:r>
      <w:r w:rsidRPr="00CD000E">
        <w:rPr>
          <w:sz w:val="20"/>
          <w:u w:val="single"/>
        </w:rPr>
        <w:t>2017 après virements</w:t>
      </w:r>
    </w:p>
    <w:p w14:paraId="7C784E42" w14:textId="77777777" w:rsidR="00561B47" w:rsidRPr="00CD000E" w:rsidRDefault="00561B47" w:rsidP="00561B47">
      <w:pPr>
        <w:keepNext/>
        <w:keepLines/>
        <w:jc w:val="both"/>
        <w:rPr>
          <w:sz w:val="20"/>
        </w:rPr>
      </w:pPr>
    </w:p>
    <w:p w14:paraId="2E5F35FC" w14:textId="77777777" w:rsidR="00561B47" w:rsidRPr="007D1F67" w:rsidRDefault="00561B47" w:rsidP="00D544B8">
      <w:pPr>
        <w:pStyle w:val="ListParagraph"/>
        <w:keepNext/>
        <w:keepLines/>
        <w:numPr>
          <w:ilvl w:val="0"/>
          <w:numId w:val="27"/>
        </w:numPr>
        <w:ind w:left="0" w:firstLine="0"/>
        <w:contextualSpacing w:val="0"/>
        <w:jc w:val="both"/>
        <w:rPr>
          <w:rFonts w:ascii="Arial" w:hAnsi="Arial" w:cs="Arial"/>
          <w:sz w:val="20"/>
          <w:szCs w:val="20"/>
        </w:rPr>
      </w:pPr>
      <w:r w:rsidRPr="007D1F67">
        <w:rPr>
          <w:rFonts w:ascii="Arial" w:hAnsi="Arial" w:cs="Arial"/>
          <w:sz w:val="20"/>
          <w:szCs w:val="20"/>
        </w:rPr>
        <w:t>L’augmentation du budget 2016</w:t>
      </w:r>
      <w:r w:rsidRPr="007D1F67">
        <w:rPr>
          <w:rFonts w:ascii="Arial" w:hAnsi="Arial" w:cs="Arial"/>
          <w:sz w:val="20"/>
          <w:szCs w:val="20"/>
        </w:rPr>
        <w:noBreakHyphen/>
        <w:t>2017 après virements par rapport au budget 2016</w:t>
      </w:r>
      <w:r w:rsidRPr="007D1F67">
        <w:rPr>
          <w:rFonts w:ascii="Arial" w:hAnsi="Arial" w:cs="Arial"/>
          <w:sz w:val="20"/>
          <w:szCs w:val="20"/>
        </w:rPr>
        <w:noBreakHyphen/>
        <w:t>2017 approuvé découlait essentiellement de ressources supplémentaires affectées aux dépenses autres que les dépenses de personnel, à savoir : i) la Conférence internationale de l’OMPI sur le marché mondial des contenus numériques en 2016 et 2017, apparaissant sous le résultat escompté IV.2 (Amélioration de l’accessibilité et de l’utilisation de l’information en matière de propriété intellectuelle);  ii) la promotion des traités de Marrakech et de Beijing, apparaissant sous le résultat escompté I.2 (Cadres législatifs);  et iii) les projets de gestion collective dans la région arabe, apparaissant sous le résultat escompté III.2 (Renforcement des capacités en matière de ressources humaines).  L’augmentation des ressources affectées aux dépenses hors personnel a été partiellement compensée par la diminution des ressources affectées aux dépenses de personnel, principalement dans le domaine de l’infrastructure du droit d’auteur suite à une restructuration interne.</w:t>
      </w:r>
    </w:p>
    <w:p w14:paraId="15A6CFB4" w14:textId="77777777" w:rsidR="00561B47" w:rsidRPr="007D1F67" w:rsidRDefault="00561B47" w:rsidP="00561B47">
      <w:pPr>
        <w:jc w:val="both"/>
        <w:rPr>
          <w:sz w:val="20"/>
        </w:rPr>
      </w:pPr>
    </w:p>
    <w:p w14:paraId="3B7AE6FC" w14:textId="77777777" w:rsidR="00561B47" w:rsidRPr="007D1F67" w:rsidRDefault="00561B47" w:rsidP="00561B47">
      <w:pPr>
        <w:keepNext/>
        <w:jc w:val="both"/>
        <w:rPr>
          <w:sz w:val="20"/>
          <w:u w:val="single"/>
        </w:rPr>
      </w:pPr>
      <w:r w:rsidRPr="007D1F67">
        <w:rPr>
          <w:sz w:val="20"/>
        </w:rPr>
        <w:t>B.</w:t>
      </w:r>
      <w:r w:rsidRPr="007D1F67">
        <w:rPr>
          <w:sz w:val="20"/>
        </w:rPr>
        <w:tab/>
      </w:r>
      <w:r w:rsidRPr="007D1F67">
        <w:rPr>
          <w:sz w:val="20"/>
          <w:u w:val="single"/>
        </w:rPr>
        <w:t>Utilisation du budget 2016</w:t>
      </w:r>
      <w:r w:rsidRPr="007D1F67">
        <w:rPr>
          <w:sz w:val="20"/>
          <w:u w:val="single"/>
        </w:rPr>
        <w:noBreakHyphen/>
        <w:t>2017</w:t>
      </w:r>
    </w:p>
    <w:p w14:paraId="74FC2D08" w14:textId="77777777" w:rsidR="00561B47" w:rsidRPr="007D1F67" w:rsidRDefault="00561B47" w:rsidP="00561B47">
      <w:pPr>
        <w:jc w:val="both"/>
        <w:rPr>
          <w:sz w:val="20"/>
        </w:rPr>
      </w:pPr>
    </w:p>
    <w:p w14:paraId="095883CC" w14:textId="77777777" w:rsidR="00561B47" w:rsidRPr="007D1F67" w:rsidRDefault="00561B47" w:rsidP="00D544B8">
      <w:pPr>
        <w:pStyle w:val="ListParagraph"/>
        <w:numPr>
          <w:ilvl w:val="0"/>
          <w:numId w:val="27"/>
        </w:numPr>
        <w:ind w:left="0" w:firstLine="0"/>
        <w:contextualSpacing w:val="0"/>
        <w:jc w:val="both"/>
        <w:rPr>
          <w:rFonts w:ascii="Arial" w:hAnsi="Arial" w:cs="Arial"/>
          <w:sz w:val="20"/>
          <w:szCs w:val="20"/>
        </w:rPr>
      </w:pPr>
      <w:r w:rsidRPr="007D1F67">
        <w:rPr>
          <w:rFonts w:ascii="Arial" w:hAnsi="Arial" w:cs="Arial"/>
          <w:sz w:val="20"/>
          <w:szCs w:val="20"/>
        </w:rPr>
        <w:t>L’utilisation du budget pour les dépenses de personnel se situe dans la fourchette prévue des 40 à 60% pour la première année de l’exercice biennal.  Les dépenses autres que celles de personnel pour l’ensemble du programme sont inférieures à l’objectif en raison essentiellement de la mise en œuvre plus lente que prévue du projet relatif au Plan d’Action pour le développement sur le renforcement et le développement du secteur de l’audiovisuel au Burkina Faso et dans certains pays africains, et des activités du Plan d’Action menées dans le domaine de l’utilisation du droit d’auteur pour promouvoir l’accès à l’information et aux contenus créatifs, ainsi que du report de certaines activités liées à l’infrastructure du droit d’auteur (projet TAG – transparence, responsabilité et gouvernance, et Consortium ABC pour des livres accessibles).</w:t>
      </w:r>
    </w:p>
    <w:p w14:paraId="23C4CE33" w14:textId="77777777" w:rsidR="00561B47" w:rsidRPr="007D1F67" w:rsidRDefault="00561B47" w:rsidP="00561B47">
      <w:pPr>
        <w:rPr>
          <w:color w:val="000000"/>
          <w:sz w:val="20"/>
        </w:rPr>
      </w:pPr>
    </w:p>
    <w:p w14:paraId="502750FE" w14:textId="77777777" w:rsidR="00561B47" w:rsidRPr="00CD000E" w:rsidRDefault="00561B47" w:rsidP="00561B47">
      <w:pPr>
        <w:rPr>
          <w:b/>
          <w:bCs/>
          <w:iCs/>
        </w:rPr>
      </w:pPr>
      <w:r w:rsidRPr="00CD000E">
        <w:rPr>
          <w:b/>
          <w:bCs/>
          <w:iCs/>
        </w:rPr>
        <w:br w:type="page"/>
      </w:r>
    </w:p>
    <w:p w14:paraId="2C73EE3F" w14:textId="7F43FB08" w:rsidR="001F64B1" w:rsidRPr="001E6DFD" w:rsidRDefault="009B328F" w:rsidP="006658D5">
      <w:pPr>
        <w:pStyle w:val="Heading3"/>
      </w:pPr>
      <w:bookmarkStart w:id="24" w:name="_Toc482774592"/>
      <w:r w:rsidRPr="001E6DFD">
        <w:lastRenderedPageBreak/>
        <w:t>Programme</w:t>
      </w:r>
      <w:r w:rsidR="00B4191E">
        <w:t> </w:t>
      </w:r>
      <w:r w:rsidRPr="001E6DFD">
        <w:t>4</w:t>
      </w:r>
      <w:r w:rsidRPr="001E6DFD">
        <w:tab/>
        <w:t>Savoirs traditionnels, expressions culturelles traditionnelles et ressources génétiques</w:t>
      </w:r>
      <w:bookmarkEnd w:id="24"/>
    </w:p>
    <w:p w14:paraId="7687A620" w14:textId="77777777" w:rsidR="001F64B1" w:rsidRPr="001E6DFD" w:rsidRDefault="001F64B1" w:rsidP="00381826">
      <w:pPr>
        <w:tabs>
          <w:tab w:val="left" w:pos="2268"/>
        </w:tabs>
        <w:ind w:left="2268" w:hanging="2268"/>
        <w:rPr>
          <w:sz w:val="20"/>
        </w:rPr>
      </w:pPr>
    </w:p>
    <w:p w14:paraId="4CFD0AA7" w14:textId="121AD938" w:rsidR="001F64B1" w:rsidRPr="001E6DFD" w:rsidRDefault="009B328F" w:rsidP="00381826">
      <w:pPr>
        <w:tabs>
          <w:tab w:val="left" w:pos="2268"/>
        </w:tabs>
        <w:ind w:left="2268" w:hanging="2268"/>
        <w:rPr>
          <w:b/>
          <w:sz w:val="20"/>
          <w:szCs w:val="22"/>
        </w:rPr>
      </w:pPr>
      <w:r w:rsidRPr="001E6DFD">
        <w:rPr>
          <w:b/>
          <w:sz w:val="20"/>
          <w:szCs w:val="22"/>
        </w:rPr>
        <w:t>Chef de programme</w:t>
      </w:r>
      <w:r w:rsidRPr="001E6DFD">
        <w:rPr>
          <w:b/>
          <w:sz w:val="20"/>
          <w:szCs w:val="22"/>
        </w:rPr>
        <w:tab/>
        <w:t>M.</w:t>
      </w:r>
      <w:r w:rsidR="004D421A" w:rsidRPr="001E6DFD">
        <w:rPr>
          <w:b/>
          <w:sz w:val="20"/>
          <w:szCs w:val="22"/>
        </w:rPr>
        <w:t> </w:t>
      </w:r>
      <w:r w:rsidRPr="001E6DFD">
        <w:rPr>
          <w:b/>
          <w:sz w:val="20"/>
          <w:szCs w:val="22"/>
        </w:rPr>
        <w:t>M.</w:t>
      </w:r>
      <w:r w:rsidR="004D421A" w:rsidRPr="001E6DFD">
        <w:rPr>
          <w:b/>
          <w:sz w:val="20"/>
          <w:szCs w:val="22"/>
        </w:rPr>
        <w:t> </w:t>
      </w:r>
      <w:r w:rsidRPr="001E6DFD">
        <w:rPr>
          <w:b/>
          <w:sz w:val="20"/>
          <w:szCs w:val="22"/>
        </w:rPr>
        <w:t>A.</w:t>
      </w:r>
      <w:r w:rsidR="004D421A" w:rsidRPr="001E6DFD">
        <w:rPr>
          <w:b/>
          <w:sz w:val="20"/>
          <w:szCs w:val="22"/>
        </w:rPr>
        <w:t> </w:t>
      </w:r>
      <w:r w:rsidRPr="001E6DFD">
        <w:rPr>
          <w:b/>
          <w:sz w:val="20"/>
          <w:szCs w:val="22"/>
        </w:rPr>
        <w:t>Getahun</w:t>
      </w:r>
    </w:p>
    <w:p w14:paraId="228E95FE" w14:textId="77777777" w:rsidR="001F64B1" w:rsidRPr="001E6DFD" w:rsidRDefault="001F64B1" w:rsidP="0097226C">
      <w:pPr>
        <w:tabs>
          <w:tab w:val="left" w:pos="1985"/>
        </w:tabs>
        <w:rPr>
          <w:b/>
          <w:sz w:val="20"/>
          <w:szCs w:val="22"/>
        </w:rPr>
      </w:pPr>
    </w:p>
    <w:p w14:paraId="531CE546" w14:textId="77777777" w:rsidR="00BA5EA9" w:rsidRPr="001E6DFD" w:rsidRDefault="00A15986" w:rsidP="0097226C">
      <w:pPr>
        <w:tabs>
          <w:tab w:val="left" w:pos="1985"/>
        </w:tabs>
        <w:jc w:val="center"/>
        <w:rPr>
          <w:sz w:val="20"/>
        </w:rPr>
      </w:pPr>
      <w:r w:rsidRPr="001E6DFD">
        <w:rPr>
          <w:noProof/>
          <w:lang w:val="en-US"/>
        </w:rPr>
        <w:drawing>
          <wp:inline distT="0" distB="0" distL="0" distR="0" wp14:anchorId="0A4E1830" wp14:editId="710299EA">
            <wp:extent cx="3963600" cy="27360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794"/>
        <w:gridCol w:w="2682"/>
        <w:gridCol w:w="1228"/>
        <w:gridCol w:w="2433"/>
        <w:gridCol w:w="1050"/>
      </w:tblGrid>
      <w:tr w:rsidR="00B649F5" w:rsidRPr="001E6DFD" w14:paraId="5B92CCDB" w14:textId="77777777" w:rsidTr="00A15986">
        <w:tc>
          <w:tcPr>
            <w:tcW w:w="5000" w:type="pct"/>
            <w:gridSpan w:val="5"/>
            <w:shd w:val="clear" w:color="auto" w:fill="C6D9F1" w:themeFill="text2" w:themeFillTint="33"/>
            <w:tcMar>
              <w:left w:w="58" w:type="dxa"/>
              <w:right w:w="58" w:type="dxa"/>
            </w:tcMar>
            <w:vAlign w:val="center"/>
          </w:tcPr>
          <w:p w14:paraId="16948A85" w14:textId="4AFB175B" w:rsidR="00BA5EA9" w:rsidRPr="001E6DFD" w:rsidRDefault="009B328F" w:rsidP="0097226C">
            <w:pPr>
              <w:rPr>
                <w:b/>
                <w:bCs/>
                <w:sz w:val="16"/>
                <w:szCs w:val="16"/>
              </w:rPr>
            </w:pPr>
            <w:r w:rsidRPr="001E6DFD">
              <w:rPr>
                <w:b/>
                <w:sz w:val="16"/>
                <w:szCs w:val="16"/>
                <w:lang w:bidi="th-TH"/>
              </w:rPr>
              <w:t>Résultat escompté</w:t>
            </w:r>
            <w:r w:rsidR="00FA22F6" w:rsidRPr="001E6DFD">
              <w:rPr>
                <w:b/>
                <w:sz w:val="16"/>
                <w:szCs w:val="16"/>
                <w:lang w:bidi="th-TH"/>
              </w:rPr>
              <w:t> :</w:t>
            </w:r>
            <w:r w:rsidRPr="001E6DFD">
              <w:rPr>
                <w:b/>
                <w:sz w:val="16"/>
                <w:szCs w:val="16"/>
                <w:lang w:bidi="th-TH"/>
              </w:rPr>
              <w:t xml:space="preserve"> </w:t>
            </w:r>
            <w:r w:rsidRPr="001E6DFD">
              <w:rPr>
                <w:sz w:val="16"/>
                <w:szCs w:val="16"/>
                <w:lang w:bidi="th-TH"/>
              </w:rPr>
              <w:t>I.1 Renforcement de la coopération entre les États membres en ce qui concerne l</w:t>
            </w:r>
            <w:r w:rsidR="00FA22F6" w:rsidRPr="001E6DFD">
              <w:rPr>
                <w:sz w:val="16"/>
                <w:szCs w:val="16"/>
                <w:lang w:bidi="th-TH"/>
              </w:rPr>
              <w:t>’</w:t>
            </w:r>
            <w:r w:rsidRPr="001E6DFD">
              <w:rPr>
                <w:sz w:val="16"/>
                <w:szCs w:val="16"/>
                <w:lang w:bidi="th-TH"/>
              </w:rPr>
              <w:t>élaboration de cadres normatifs internationaux équilibrés dans le domaine de la propriété intellectuelle</w:t>
            </w:r>
            <w:r w:rsidR="00BA5EA9" w:rsidRPr="001E6DFD">
              <w:rPr>
                <w:sz w:val="16"/>
                <w:szCs w:val="16"/>
                <w:lang w:bidi="th-TH"/>
              </w:rPr>
              <w:t xml:space="preserve"> </w:t>
            </w:r>
          </w:p>
        </w:tc>
      </w:tr>
      <w:tr w:rsidR="00B649F5" w:rsidRPr="001E6DFD" w14:paraId="0582E9D7" w14:textId="77777777" w:rsidTr="00A15986">
        <w:tc>
          <w:tcPr>
            <w:tcW w:w="1088" w:type="pct"/>
            <w:shd w:val="clear" w:color="auto" w:fill="auto"/>
            <w:tcMar>
              <w:left w:w="58" w:type="dxa"/>
              <w:right w:w="58" w:type="dxa"/>
            </w:tcMar>
            <w:vAlign w:val="center"/>
          </w:tcPr>
          <w:p w14:paraId="29C9E4C5" w14:textId="4C47ADDA" w:rsidR="00BA5EA9" w:rsidRPr="001E6DFD" w:rsidRDefault="009B328F" w:rsidP="0097226C">
            <w:pPr>
              <w:keepLines/>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71" w:type="pct"/>
            <w:shd w:val="clear" w:color="auto" w:fill="auto"/>
            <w:tcMar>
              <w:left w:w="58" w:type="dxa"/>
              <w:right w:w="58" w:type="dxa"/>
            </w:tcMar>
            <w:vAlign w:val="center"/>
          </w:tcPr>
          <w:p w14:paraId="415A3308" w14:textId="77777777" w:rsidR="00BA5EA9" w:rsidRPr="001E6DFD" w:rsidRDefault="009B328F" w:rsidP="0097226C">
            <w:pPr>
              <w:keepLines/>
              <w:jc w:val="center"/>
              <w:rPr>
                <w:b/>
                <w:bCs/>
                <w:sz w:val="16"/>
                <w:szCs w:val="16"/>
              </w:rPr>
            </w:pPr>
            <w:r w:rsidRPr="001E6DFD">
              <w:rPr>
                <w:b/>
                <w:bCs/>
                <w:sz w:val="16"/>
                <w:szCs w:val="16"/>
              </w:rPr>
              <w:t>Niveaux de référence</w:t>
            </w:r>
          </w:p>
        </w:tc>
        <w:tc>
          <w:tcPr>
            <w:tcW w:w="506" w:type="pct"/>
            <w:shd w:val="clear" w:color="auto" w:fill="auto"/>
            <w:tcMar>
              <w:top w:w="110" w:type="dxa"/>
              <w:left w:w="58" w:type="dxa"/>
              <w:right w:w="58" w:type="dxa"/>
            </w:tcMar>
            <w:vAlign w:val="center"/>
          </w:tcPr>
          <w:p w14:paraId="3C648F1A" w14:textId="77777777" w:rsidR="00BA5EA9" w:rsidRPr="001E6DFD" w:rsidRDefault="009B328F" w:rsidP="0097226C">
            <w:pPr>
              <w:keepLines/>
              <w:jc w:val="center"/>
              <w:rPr>
                <w:b/>
                <w:bCs/>
                <w:sz w:val="16"/>
                <w:szCs w:val="16"/>
              </w:rPr>
            </w:pPr>
            <w:r w:rsidRPr="001E6DFD">
              <w:rPr>
                <w:b/>
                <w:bCs/>
                <w:sz w:val="16"/>
                <w:szCs w:val="16"/>
              </w:rPr>
              <w:t>Objectifs visés</w:t>
            </w:r>
          </w:p>
        </w:tc>
        <w:tc>
          <w:tcPr>
            <w:tcW w:w="1435" w:type="pct"/>
            <w:shd w:val="clear" w:color="auto" w:fill="FFFFFF"/>
            <w:tcMar>
              <w:top w:w="110" w:type="dxa"/>
              <w:left w:w="58" w:type="dxa"/>
              <w:right w:w="58" w:type="dxa"/>
            </w:tcMar>
            <w:vAlign w:val="center"/>
          </w:tcPr>
          <w:p w14:paraId="78D2A013" w14:textId="20A8562C" w:rsidR="00BA5EA9" w:rsidRPr="001E6DFD" w:rsidRDefault="009B328F" w:rsidP="0097226C">
            <w:pPr>
              <w:keepLines/>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00" w:type="pct"/>
            <w:shd w:val="clear" w:color="auto" w:fill="auto"/>
            <w:tcMar>
              <w:top w:w="110" w:type="dxa"/>
              <w:left w:w="58" w:type="dxa"/>
              <w:right w:w="58" w:type="dxa"/>
            </w:tcMar>
            <w:vAlign w:val="center"/>
          </w:tcPr>
          <w:p w14:paraId="4353EB9E" w14:textId="6841D39E"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649F5" w:rsidRPr="001E6DFD" w14:paraId="511E940E" w14:textId="77777777" w:rsidTr="00A15986">
        <w:tc>
          <w:tcPr>
            <w:tcW w:w="1088" w:type="pct"/>
            <w:shd w:val="clear" w:color="auto" w:fill="auto"/>
            <w:tcMar>
              <w:left w:w="58" w:type="dxa"/>
              <w:right w:w="58" w:type="dxa"/>
            </w:tcMar>
          </w:tcPr>
          <w:p w14:paraId="0A517DA1" w14:textId="47DD092C" w:rsidR="00BA5EA9" w:rsidRPr="001E6DFD" w:rsidRDefault="009B328F" w:rsidP="0097226C">
            <w:pPr>
              <w:keepLines/>
              <w:rPr>
                <w:sz w:val="16"/>
                <w:szCs w:val="16"/>
              </w:rPr>
            </w:pPr>
            <w:r w:rsidRPr="001E6DFD">
              <w:rPr>
                <w:sz w:val="16"/>
                <w:szCs w:val="16"/>
              </w:rPr>
              <w:t>Progrès accomplis en vue de la mise en œuvre des activités d</w:t>
            </w:r>
            <w:r w:rsidR="00FA22F6" w:rsidRPr="001E6DFD">
              <w:rPr>
                <w:sz w:val="16"/>
                <w:szCs w:val="16"/>
              </w:rPr>
              <w:t>’</w:t>
            </w:r>
            <w:r w:rsidRPr="001E6DFD">
              <w:rPr>
                <w:sz w:val="16"/>
                <w:szCs w:val="16"/>
              </w:rPr>
              <w:t>établissement de normes sur la propriété intellectuelle relative aux ressources génétiques, aux savoirs traditionnels et aux expressions culturelles traditionnelles, conformément à la décision des États membres</w:t>
            </w:r>
          </w:p>
        </w:tc>
        <w:tc>
          <w:tcPr>
            <w:tcW w:w="1571" w:type="pct"/>
            <w:shd w:val="clear" w:color="auto" w:fill="auto"/>
            <w:tcMar>
              <w:left w:w="58" w:type="dxa"/>
              <w:right w:w="58" w:type="dxa"/>
            </w:tcMar>
          </w:tcPr>
          <w:p w14:paraId="3B77A4D2" w14:textId="6DBF6F3A" w:rsidR="00FA22F6" w:rsidRPr="001E6DFD" w:rsidRDefault="00E64532" w:rsidP="0097226C">
            <w:pPr>
              <w:keepLines/>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7B85429D" w14:textId="356D1C1C" w:rsidR="00FA22F6" w:rsidRPr="001E6DFD" w:rsidRDefault="001E4B1F" w:rsidP="0097226C">
            <w:pPr>
              <w:keepLines/>
              <w:rPr>
                <w:sz w:val="16"/>
                <w:szCs w:val="16"/>
              </w:rPr>
            </w:pPr>
            <w:r w:rsidRPr="001E6DFD">
              <w:rPr>
                <w:color w:val="002060"/>
                <w:sz w:val="16"/>
                <w:szCs w:val="16"/>
              </w:rPr>
              <w:t>L</w:t>
            </w:r>
            <w:r w:rsidR="00FA22F6" w:rsidRPr="001E6DFD">
              <w:rPr>
                <w:color w:val="002060"/>
                <w:sz w:val="16"/>
                <w:szCs w:val="16"/>
              </w:rPr>
              <w:t>’</w:t>
            </w:r>
            <w:r w:rsidRPr="001E6DFD">
              <w:rPr>
                <w:color w:val="002060"/>
                <w:sz w:val="16"/>
                <w:szCs w:val="16"/>
              </w:rPr>
              <w:t>Assemblée générale de l</w:t>
            </w:r>
            <w:r w:rsidR="00FA22F6" w:rsidRPr="001E6DFD">
              <w:rPr>
                <w:color w:val="002060"/>
                <w:sz w:val="16"/>
                <w:szCs w:val="16"/>
              </w:rPr>
              <w:t>’</w:t>
            </w:r>
            <w:r w:rsidRPr="001E6DFD">
              <w:rPr>
                <w:color w:val="002060"/>
                <w:sz w:val="16"/>
                <w:szCs w:val="16"/>
              </w:rPr>
              <w:t xml:space="preserve">OMPI en </w:t>
            </w:r>
            <w:r w:rsidR="00FA22F6" w:rsidRPr="001E6DFD">
              <w:rPr>
                <w:color w:val="002060"/>
                <w:sz w:val="16"/>
                <w:szCs w:val="16"/>
              </w:rPr>
              <w:t>octobre 20</w:t>
            </w:r>
            <w:r w:rsidRPr="001E6DFD">
              <w:rPr>
                <w:color w:val="002060"/>
                <w:sz w:val="16"/>
                <w:szCs w:val="16"/>
              </w:rPr>
              <w:t xml:space="preserve">14 </w:t>
            </w:r>
            <w:r w:rsidR="008A3744" w:rsidRPr="001E6DFD">
              <w:rPr>
                <w:color w:val="002060"/>
                <w:sz w:val="16"/>
                <w:szCs w:val="16"/>
              </w:rPr>
              <w:t>n</w:t>
            </w:r>
            <w:r w:rsidR="00FA22F6" w:rsidRPr="001E6DFD">
              <w:rPr>
                <w:color w:val="002060"/>
                <w:sz w:val="16"/>
                <w:szCs w:val="16"/>
              </w:rPr>
              <w:t>’</w:t>
            </w:r>
            <w:r w:rsidR="008A3744" w:rsidRPr="001E6DFD">
              <w:rPr>
                <w:color w:val="002060"/>
                <w:sz w:val="16"/>
                <w:szCs w:val="16"/>
              </w:rPr>
              <w:t xml:space="preserve">a pas pu convenir </w:t>
            </w:r>
            <w:r w:rsidRPr="001E6DFD">
              <w:rPr>
                <w:color w:val="002060"/>
                <w:sz w:val="16"/>
                <w:szCs w:val="16"/>
              </w:rPr>
              <w:t>d</w:t>
            </w:r>
            <w:r w:rsidR="00FA22F6" w:rsidRPr="001E6DFD">
              <w:rPr>
                <w:color w:val="002060"/>
                <w:sz w:val="16"/>
                <w:szCs w:val="16"/>
              </w:rPr>
              <w:t>’</w:t>
            </w:r>
            <w:r w:rsidRPr="001E6DFD">
              <w:rPr>
                <w:color w:val="002060"/>
                <w:sz w:val="16"/>
                <w:szCs w:val="16"/>
              </w:rPr>
              <w:t xml:space="preserve">un programme de travail pour le </w:t>
            </w:r>
            <w:r w:rsidR="009B328F" w:rsidRPr="001E6DFD">
              <w:rPr>
                <w:color w:val="002060"/>
                <w:sz w:val="16"/>
                <w:szCs w:val="16"/>
              </w:rPr>
              <w:t>Comité intergouvernemental de la propriété intellectuelle relative aux ressources génétiques, aux savoirs tra</w:t>
            </w:r>
            <w:r w:rsidRPr="001E6DFD">
              <w:rPr>
                <w:color w:val="002060"/>
                <w:sz w:val="16"/>
                <w:szCs w:val="16"/>
              </w:rPr>
              <w:t>ditionnels et au folklore (IGC)</w:t>
            </w:r>
            <w:r w:rsidR="009B328F" w:rsidRPr="001E6DFD">
              <w:rPr>
                <w:color w:val="002060"/>
                <w:sz w:val="16"/>
                <w:szCs w:val="16"/>
              </w:rPr>
              <w:t xml:space="preserve"> </w:t>
            </w:r>
            <w:r w:rsidR="00FA22F6" w:rsidRPr="001E6DFD">
              <w:rPr>
                <w:color w:val="002060"/>
                <w:sz w:val="16"/>
                <w:szCs w:val="16"/>
              </w:rPr>
              <w:t>en 2015</w:t>
            </w:r>
            <w:r w:rsidRPr="001E6DFD">
              <w:rPr>
                <w:color w:val="002060"/>
                <w:sz w:val="16"/>
                <w:szCs w:val="16"/>
              </w:rPr>
              <w:t>.  Par conséquent,</w:t>
            </w:r>
            <w:r w:rsidR="009B328F" w:rsidRPr="001E6DFD">
              <w:rPr>
                <w:color w:val="002060"/>
                <w:sz w:val="16"/>
                <w:szCs w:val="16"/>
              </w:rPr>
              <w:t xml:space="preserve"> </w:t>
            </w:r>
            <w:r w:rsidRPr="001E6DFD">
              <w:rPr>
                <w:color w:val="002060"/>
                <w:sz w:val="16"/>
                <w:szCs w:val="16"/>
              </w:rPr>
              <w:t>l</w:t>
            </w:r>
            <w:r w:rsidR="00FA22F6" w:rsidRPr="001E6DFD">
              <w:rPr>
                <w:color w:val="002060"/>
                <w:sz w:val="16"/>
                <w:szCs w:val="16"/>
              </w:rPr>
              <w:t>’</w:t>
            </w:r>
            <w:r w:rsidRPr="001E6DFD">
              <w:rPr>
                <w:color w:val="002060"/>
                <w:sz w:val="16"/>
                <w:szCs w:val="16"/>
              </w:rPr>
              <w:t>IGC ne s</w:t>
            </w:r>
            <w:r w:rsidR="00FA22F6" w:rsidRPr="001E6DFD">
              <w:rPr>
                <w:color w:val="002060"/>
                <w:sz w:val="16"/>
                <w:szCs w:val="16"/>
              </w:rPr>
              <w:t>’</w:t>
            </w:r>
            <w:r w:rsidRPr="001E6DFD">
              <w:rPr>
                <w:color w:val="002060"/>
                <w:sz w:val="16"/>
                <w:szCs w:val="16"/>
              </w:rPr>
              <w:t xml:space="preserve">est pas réuni </w:t>
            </w:r>
            <w:r w:rsidR="00FA22F6" w:rsidRPr="001E6DFD">
              <w:rPr>
                <w:color w:val="002060"/>
                <w:sz w:val="16"/>
                <w:szCs w:val="16"/>
              </w:rPr>
              <w:t>en 2015</w:t>
            </w:r>
            <w:r w:rsidR="003C5507" w:rsidRPr="001E6DFD">
              <w:rPr>
                <w:color w:val="002060"/>
                <w:sz w:val="16"/>
                <w:szCs w:val="16"/>
              </w:rPr>
              <w:t>.</w:t>
            </w:r>
            <w:r w:rsidR="003C5507" w:rsidRPr="001E6DFD">
              <w:rPr>
                <w:color w:val="002060"/>
                <w:sz w:val="16"/>
              </w:rPr>
              <w:t xml:space="preserve"> </w:t>
            </w:r>
            <w:r w:rsidR="003C5507" w:rsidRPr="001E6DFD">
              <w:rPr>
                <w:color w:val="002060"/>
                <w:sz w:val="16"/>
                <w:szCs w:val="16"/>
              </w:rPr>
              <w:t xml:space="preserve"> L</w:t>
            </w:r>
            <w:r w:rsidR="00FA22F6" w:rsidRPr="001E6DFD">
              <w:rPr>
                <w:color w:val="002060"/>
                <w:sz w:val="16"/>
                <w:szCs w:val="16"/>
              </w:rPr>
              <w:t>’</w:t>
            </w:r>
            <w:r w:rsidR="003C5507" w:rsidRPr="001E6DFD">
              <w:rPr>
                <w:color w:val="002060"/>
                <w:sz w:val="16"/>
                <w:szCs w:val="16"/>
              </w:rPr>
              <w:t>Assemblée générale de l</w:t>
            </w:r>
            <w:r w:rsidR="00FA22F6" w:rsidRPr="001E6DFD">
              <w:rPr>
                <w:color w:val="002060"/>
                <w:sz w:val="16"/>
                <w:szCs w:val="16"/>
              </w:rPr>
              <w:t>’</w:t>
            </w:r>
            <w:r w:rsidR="003C5507" w:rsidRPr="001E6DFD">
              <w:rPr>
                <w:color w:val="002060"/>
                <w:sz w:val="16"/>
                <w:szCs w:val="16"/>
              </w:rPr>
              <w:t xml:space="preserve">OMPI en </w:t>
            </w:r>
            <w:r w:rsidR="00FA22F6" w:rsidRPr="001E6DFD">
              <w:rPr>
                <w:color w:val="002060"/>
                <w:sz w:val="16"/>
                <w:szCs w:val="16"/>
              </w:rPr>
              <w:t>octobre 20</w:t>
            </w:r>
            <w:r w:rsidR="003C5507" w:rsidRPr="001E6DFD">
              <w:rPr>
                <w:color w:val="002060"/>
                <w:sz w:val="16"/>
                <w:szCs w:val="16"/>
              </w:rPr>
              <w:t xml:space="preserve">15 est convenue </w:t>
            </w:r>
            <w:r w:rsidR="008A3744" w:rsidRPr="001E6DFD">
              <w:rPr>
                <w:color w:val="002060"/>
                <w:sz w:val="16"/>
                <w:szCs w:val="16"/>
              </w:rPr>
              <w:t>d</w:t>
            </w:r>
            <w:r w:rsidR="00FA22F6" w:rsidRPr="001E6DFD">
              <w:rPr>
                <w:color w:val="002060"/>
                <w:sz w:val="16"/>
                <w:szCs w:val="16"/>
              </w:rPr>
              <w:t>’</w:t>
            </w:r>
            <w:r w:rsidR="008A3744" w:rsidRPr="001E6DFD">
              <w:rPr>
                <w:color w:val="002060"/>
                <w:sz w:val="16"/>
                <w:szCs w:val="16"/>
              </w:rPr>
              <w:t xml:space="preserve">un renouvellement de mandat </w:t>
            </w:r>
            <w:r w:rsidR="003F1844" w:rsidRPr="001E6DFD">
              <w:rPr>
                <w:color w:val="002060"/>
                <w:sz w:val="16"/>
                <w:szCs w:val="16"/>
              </w:rPr>
              <w:t>et de</w:t>
            </w:r>
            <w:r w:rsidR="003C5507" w:rsidRPr="001E6DFD">
              <w:rPr>
                <w:color w:val="002060"/>
                <w:sz w:val="16"/>
                <w:szCs w:val="16"/>
              </w:rPr>
              <w:t xml:space="preserve"> programme de travail pour l</w:t>
            </w:r>
            <w:r w:rsidR="00FA22F6" w:rsidRPr="001E6DFD">
              <w:rPr>
                <w:color w:val="002060"/>
                <w:sz w:val="16"/>
                <w:szCs w:val="16"/>
              </w:rPr>
              <w:t>’</w:t>
            </w:r>
            <w:r w:rsidR="003C5507" w:rsidRPr="001E6DFD">
              <w:rPr>
                <w:color w:val="002060"/>
                <w:sz w:val="16"/>
                <w:szCs w:val="16"/>
              </w:rPr>
              <w:t>IGC pour l</w:t>
            </w:r>
            <w:r w:rsidR="00FA22F6" w:rsidRPr="001E6DFD">
              <w:rPr>
                <w:color w:val="002060"/>
                <w:sz w:val="16"/>
                <w:szCs w:val="16"/>
              </w:rPr>
              <w:t>’</w:t>
            </w:r>
            <w:r w:rsidR="003C5507" w:rsidRPr="001E6DFD">
              <w:rPr>
                <w:color w:val="002060"/>
                <w:sz w:val="16"/>
                <w:szCs w:val="16"/>
              </w:rPr>
              <w:t xml:space="preserve">exercice </w:t>
            </w:r>
            <w:r w:rsidR="00FA22F6" w:rsidRPr="001E6DFD">
              <w:rPr>
                <w:color w:val="002060"/>
                <w:sz w:val="16"/>
                <w:szCs w:val="16"/>
              </w:rPr>
              <w:t>biennal 2016</w:t>
            </w:r>
            <w:r w:rsidR="006A41CF" w:rsidRPr="001E6DFD">
              <w:rPr>
                <w:color w:val="002060"/>
                <w:sz w:val="16"/>
                <w:szCs w:val="16"/>
              </w:rPr>
              <w:noBreakHyphen/>
            </w:r>
            <w:r w:rsidR="003C5507" w:rsidRPr="001E6DFD">
              <w:rPr>
                <w:color w:val="002060"/>
                <w:sz w:val="16"/>
                <w:szCs w:val="16"/>
              </w:rPr>
              <w:t>2017</w:t>
            </w:r>
            <w:r w:rsidR="008A3744" w:rsidRPr="001E6DFD">
              <w:rPr>
                <w:color w:val="002060"/>
                <w:sz w:val="16"/>
                <w:szCs w:val="16"/>
              </w:rPr>
              <w:t>.</w:t>
            </w:r>
            <w:r w:rsidR="003C5507" w:rsidRPr="001E6DFD">
              <w:rPr>
                <w:color w:val="002060"/>
                <w:sz w:val="16"/>
              </w:rPr>
              <w:t xml:space="preserve"> </w:t>
            </w:r>
            <w:r w:rsidR="004D421A" w:rsidRPr="001E6DFD">
              <w:rPr>
                <w:color w:val="002060"/>
                <w:sz w:val="16"/>
                <w:szCs w:val="16"/>
              </w:rPr>
              <w:t xml:space="preserve"> </w:t>
            </w:r>
          </w:p>
          <w:p w14:paraId="271D3336" w14:textId="6024B6CA" w:rsidR="001F64B1" w:rsidRPr="001E6DFD" w:rsidRDefault="001F64B1" w:rsidP="0097226C">
            <w:pPr>
              <w:keepLines/>
              <w:rPr>
                <w:sz w:val="16"/>
                <w:szCs w:val="16"/>
              </w:rPr>
            </w:pPr>
          </w:p>
          <w:p w14:paraId="2805071D" w14:textId="5C5D9CC3" w:rsidR="00FA22F6" w:rsidRPr="001E6DFD" w:rsidRDefault="00E64532" w:rsidP="0097226C">
            <w:pPr>
              <w:keepLines/>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5E44FB7C" w14:textId="5507D1B6" w:rsidR="00BA5EA9" w:rsidRPr="001E6DFD" w:rsidRDefault="009B328F" w:rsidP="0097226C">
            <w:pPr>
              <w:keepNext/>
              <w:keepLines/>
              <w:rPr>
                <w:sz w:val="16"/>
                <w:szCs w:val="16"/>
              </w:rPr>
            </w:pPr>
            <w:r w:rsidRPr="001E6DFD">
              <w:rPr>
                <w:sz w:val="16"/>
                <w:szCs w:val="16"/>
              </w:rPr>
              <w:t>Stade actuel des négociations entre les États membres sur la propriété intellectuelle relatives aux ressources génétiques, aux savoirs traditionnels et aux expressions culturelles traditionnelles, comme il ressort des documents WIPO/GRTKF/IC/28/4, WIPO/GRTKF/IC/28/5 et WIPO/GRTKF/IC/28/6, respectivement</w:t>
            </w:r>
          </w:p>
        </w:tc>
        <w:tc>
          <w:tcPr>
            <w:tcW w:w="506" w:type="pct"/>
            <w:shd w:val="clear" w:color="auto" w:fill="auto"/>
            <w:tcMar>
              <w:top w:w="110" w:type="dxa"/>
              <w:left w:w="58" w:type="dxa"/>
              <w:right w:w="58" w:type="dxa"/>
            </w:tcMar>
          </w:tcPr>
          <w:p w14:paraId="1770B99D" w14:textId="5FF2F52D" w:rsidR="00BA5EA9" w:rsidRPr="001E6DFD" w:rsidRDefault="009B328F" w:rsidP="0097226C">
            <w:pPr>
              <w:keepNext/>
              <w:keepLines/>
              <w:rPr>
                <w:sz w:val="16"/>
                <w:szCs w:val="16"/>
              </w:rPr>
            </w:pPr>
            <w:r w:rsidRPr="001E6DFD">
              <w:rPr>
                <w:sz w:val="16"/>
                <w:szCs w:val="16"/>
              </w:rPr>
              <w:t>Résultats convenus en ce qui concerne les activités d</w:t>
            </w:r>
            <w:r w:rsidR="00FA22F6" w:rsidRPr="001E6DFD">
              <w:rPr>
                <w:sz w:val="16"/>
                <w:szCs w:val="16"/>
              </w:rPr>
              <w:t>’</w:t>
            </w:r>
            <w:r w:rsidRPr="001E6DFD">
              <w:rPr>
                <w:sz w:val="16"/>
                <w:szCs w:val="16"/>
              </w:rPr>
              <w:t>établissement de normes.</w:t>
            </w:r>
          </w:p>
        </w:tc>
        <w:tc>
          <w:tcPr>
            <w:tcW w:w="1435" w:type="pct"/>
            <w:shd w:val="clear" w:color="auto" w:fill="FFFFFF"/>
            <w:tcMar>
              <w:top w:w="110" w:type="dxa"/>
              <w:left w:w="58" w:type="dxa"/>
              <w:right w:w="58" w:type="dxa"/>
            </w:tcMar>
          </w:tcPr>
          <w:p w14:paraId="5A8D6F49" w14:textId="22B199C2" w:rsidR="00BA5EA9" w:rsidRPr="001E6DFD" w:rsidRDefault="00382B05" w:rsidP="0097226C">
            <w:pPr>
              <w:keepLines/>
              <w:rPr>
                <w:sz w:val="16"/>
                <w:szCs w:val="16"/>
              </w:rPr>
            </w:pPr>
            <w:r w:rsidRPr="001E6DFD">
              <w:rPr>
                <w:sz w:val="16"/>
                <w:szCs w:val="16"/>
              </w:rPr>
              <w:t>L</w:t>
            </w:r>
            <w:r w:rsidR="00FA22F6" w:rsidRPr="001E6DFD">
              <w:rPr>
                <w:sz w:val="16"/>
                <w:szCs w:val="16"/>
              </w:rPr>
              <w:t>’</w:t>
            </w:r>
            <w:r w:rsidRPr="001E6DFD">
              <w:rPr>
                <w:sz w:val="16"/>
                <w:szCs w:val="16"/>
              </w:rPr>
              <w:t>Assemblée générale de l</w:t>
            </w:r>
            <w:r w:rsidR="00FA22F6" w:rsidRPr="001E6DFD">
              <w:rPr>
                <w:sz w:val="16"/>
                <w:szCs w:val="16"/>
              </w:rPr>
              <w:t>’</w:t>
            </w:r>
            <w:r w:rsidRPr="001E6DFD">
              <w:rPr>
                <w:sz w:val="16"/>
                <w:szCs w:val="16"/>
              </w:rPr>
              <w:t>OMPI fera uniquement le point sur les progrès réalisés par l</w:t>
            </w:r>
            <w:r w:rsidR="00FA22F6" w:rsidRPr="001E6DFD">
              <w:rPr>
                <w:sz w:val="16"/>
                <w:szCs w:val="16"/>
              </w:rPr>
              <w:t>’</w:t>
            </w:r>
            <w:r w:rsidRPr="001E6DFD">
              <w:rPr>
                <w:sz w:val="16"/>
                <w:szCs w:val="16"/>
              </w:rPr>
              <w:t xml:space="preserve">IGC dans ses travaux en </w:t>
            </w:r>
            <w:r w:rsidR="00FA22F6" w:rsidRPr="001E6DFD">
              <w:rPr>
                <w:sz w:val="16"/>
                <w:szCs w:val="16"/>
              </w:rPr>
              <w:t>octobre 20</w:t>
            </w:r>
            <w:r w:rsidRPr="001E6DFD">
              <w:rPr>
                <w:sz w:val="16"/>
                <w:szCs w:val="16"/>
              </w:rPr>
              <w:t>17</w:t>
            </w:r>
          </w:p>
        </w:tc>
        <w:tc>
          <w:tcPr>
            <w:tcW w:w="400" w:type="pct"/>
            <w:shd w:val="clear" w:color="auto" w:fill="auto"/>
            <w:tcMar>
              <w:top w:w="110" w:type="dxa"/>
              <w:left w:w="58" w:type="dxa"/>
              <w:right w:w="58" w:type="dxa"/>
            </w:tcMar>
          </w:tcPr>
          <w:p w14:paraId="7EF326A5" w14:textId="493BCB5D" w:rsidR="00BA5EA9" w:rsidRPr="001E6DFD" w:rsidRDefault="009B328F" w:rsidP="0097226C">
            <w:pPr>
              <w:keepNext/>
              <w:keepLines/>
              <w:jc w:val="center"/>
              <w:rPr>
                <w:b/>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649F5" w:rsidRPr="001E6DFD" w14:paraId="5BAD4748" w14:textId="77777777" w:rsidTr="00A15986">
        <w:tc>
          <w:tcPr>
            <w:tcW w:w="5000" w:type="pct"/>
            <w:gridSpan w:val="5"/>
            <w:shd w:val="clear" w:color="auto" w:fill="C6D9F1" w:themeFill="text2" w:themeFillTint="33"/>
            <w:tcMar>
              <w:left w:w="58" w:type="dxa"/>
              <w:right w:w="58" w:type="dxa"/>
            </w:tcMar>
            <w:vAlign w:val="center"/>
          </w:tcPr>
          <w:p w14:paraId="1D22D0B4" w14:textId="7C230363" w:rsidR="00BA5EA9" w:rsidRPr="001E6DFD" w:rsidRDefault="009B328F" w:rsidP="00381826">
            <w:pPr>
              <w:keepNext/>
              <w:keepLines/>
              <w:tabs>
                <w:tab w:val="left" w:pos="1452"/>
              </w:tabs>
              <w:rPr>
                <w:b/>
                <w:bCs/>
                <w:sz w:val="16"/>
                <w:szCs w:val="16"/>
              </w:rPr>
            </w:pPr>
            <w:r w:rsidRPr="001E6DFD">
              <w:rPr>
                <w:b/>
                <w:bCs/>
                <w:sz w:val="16"/>
                <w:szCs w:val="16"/>
              </w:rPr>
              <w:lastRenderedPageBreak/>
              <w:t>Résultat escompté</w:t>
            </w:r>
            <w:r w:rsidR="00FA22F6" w:rsidRPr="001E6DFD">
              <w:rPr>
                <w:b/>
                <w:bCs/>
                <w:sz w:val="16"/>
                <w:szCs w:val="16"/>
              </w:rPr>
              <w:t> :</w:t>
            </w:r>
            <w:r w:rsidRPr="001E6DFD">
              <w:rPr>
                <w:b/>
                <w:bCs/>
                <w:sz w:val="16"/>
                <w:szCs w:val="16"/>
              </w:rPr>
              <w:t xml:space="preserve"> </w:t>
            </w:r>
            <w:r w:rsidRPr="001E6DFD">
              <w:rPr>
                <w:bCs/>
                <w:sz w:val="16"/>
                <w:szCs w:val="16"/>
              </w:rPr>
              <w:t>III.2 Renforcement des capacités en matière de ressources humaines pour pouvoir répondre aux nombreuses exigences en ce qui concerne l</w:t>
            </w:r>
            <w:r w:rsidR="00FA22F6" w:rsidRPr="001E6DFD">
              <w:rPr>
                <w:bCs/>
                <w:sz w:val="16"/>
                <w:szCs w:val="16"/>
              </w:rPr>
              <w:t>’</w:t>
            </w:r>
            <w:r w:rsidRPr="001E6DFD">
              <w:rPr>
                <w:bCs/>
                <w:sz w:val="16"/>
                <w:szCs w:val="16"/>
              </w:rPr>
              <w:t>utilisation efficace de la propriété intellectuelle au service du développement dans les pays en développement,</w:t>
            </w:r>
            <w:r w:rsidR="00FA22F6" w:rsidRPr="001E6DFD">
              <w:rPr>
                <w:bCs/>
                <w:sz w:val="16"/>
                <w:szCs w:val="16"/>
              </w:rPr>
              <w:t xml:space="preserve"> les PMA</w:t>
            </w:r>
            <w:r w:rsidRPr="001E6DFD">
              <w:rPr>
                <w:bCs/>
                <w:sz w:val="16"/>
                <w:szCs w:val="16"/>
              </w:rPr>
              <w:t xml:space="preserve"> et les pays en transition.</w:t>
            </w:r>
          </w:p>
        </w:tc>
      </w:tr>
      <w:tr w:rsidR="00B649F5" w:rsidRPr="001E6DFD" w14:paraId="3CCCAF65" w14:textId="77777777" w:rsidTr="00A15986">
        <w:tc>
          <w:tcPr>
            <w:tcW w:w="1088" w:type="pct"/>
            <w:shd w:val="clear" w:color="auto" w:fill="auto"/>
            <w:tcMar>
              <w:left w:w="58" w:type="dxa"/>
              <w:right w:w="58" w:type="dxa"/>
            </w:tcMar>
            <w:vAlign w:val="center"/>
          </w:tcPr>
          <w:p w14:paraId="21947059" w14:textId="3DA1F447" w:rsidR="00BA5EA9" w:rsidRPr="001E6DFD" w:rsidRDefault="009B328F" w:rsidP="00381826">
            <w:pPr>
              <w:keepNext/>
              <w:keepLines/>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71" w:type="pct"/>
            <w:shd w:val="clear" w:color="auto" w:fill="auto"/>
            <w:tcMar>
              <w:left w:w="58" w:type="dxa"/>
              <w:right w:w="58" w:type="dxa"/>
            </w:tcMar>
            <w:vAlign w:val="center"/>
          </w:tcPr>
          <w:p w14:paraId="56A6BBFB" w14:textId="77777777" w:rsidR="00BA5EA9" w:rsidRPr="001E6DFD" w:rsidRDefault="009B328F" w:rsidP="00381826">
            <w:pPr>
              <w:keepNext/>
              <w:keepLines/>
              <w:jc w:val="center"/>
              <w:rPr>
                <w:b/>
                <w:bCs/>
                <w:sz w:val="16"/>
                <w:szCs w:val="16"/>
              </w:rPr>
            </w:pPr>
            <w:r w:rsidRPr="001E6DFD">
              <w:rPr>
                <w:b/>
                <w:bCs/>
                <w:sz w:val="16"/>
                <w:szCs w:val="16"/>
              </w:rPr>
              <w:t>Niveaux de référence</w:t>
            </w:r>
          </w:p>
        </w:tc>
        <w:tc>
          <w:tcPr>
            <w:tcW w:w="511" w:type="pct"/>
            <w:shd w:val="clear" w:color="auto" w:fill="auto"/>
            <w:tcMar>
              <w:top w:w="110" w:type="dxa"/>
              <w:left w:w="58" w:type="dxa"/>
              <w:right w:w="58" w:type="dxa"/>
            </w:tcMar>
            <w:vAlign w:val="center"/>
          </w:tcPr>
          <w:p w14:paraId="5586681F" w14:textId="77777777" w:rsidR="00BA5EA9" w:rsidRPr="001E6DFD" w:rsidRDefault="009B328F" w:rsidP="00381826">
            <w:pPr>
              <w:keepNext/>
              <w:keepLines/>
              <w:jc w:val="center"/>
              <w:rPr>
                <w:b/>
                <w:bCs/>
                <w:sz w:val="16"/>
                <w:szCs w:val="16"/>
              </w:rPr>
            </w:pPr>
            <w:r w:rsidRPr="001E6DFD">
              <w:rPr>
                <w:b/>
                <w:bCs/>
                <w:sz w:val="16"/>
                <w:szCs w:val="16"/>
              </w:rPr>
              <w:t>Objectifs visés</w:t>
            </w:r>
          </w:p>
        </w:tc>
        <w:tc>
          <w:tcPr>
            <w:tcW w:w="1430" w:type="pct"/>
            <w:shd w:val="clear" w:color="auto" w:fill="FFFFFF"/>
            <w:tcMar>
              <w:top w:w="110" w:type="dxa"/>
              <w:left w:w="58" w:type="dxa"/>
              <w:right w:w="58" w:type="dxa"/>
            </w:tcMar>
            <w:vAlign w:val="center"/>
          </w:tcPr>
          <w:p w14:paraId="2055423C" w14:textId="7090B522" w:rsidR="00BA5EA9" w:rsidRPr="001E6DFD" w:rsidRDefault="009B328F" w:rsidP="00381826">
            <w:pPr>
              <w:keepNext/>
              <w:keepLines/>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00" w:type="pct"/>
            <w:shd w:val="clear" w:color="auto" w:fill="auto"/>
            <w:tcMar>
              <w:top w:w="110" w:type="dxa"/>
              <w:left w:w="58" w:type="dxa"/>
              <w:right w:w="58" w:type="dxa"/>
            </w:tcMar>
            <w:vAlign w:val="center"/>
          </w:tcPr>
          <w:p w14:paraId="01DAAA87" w14:textId="6098645F" w:rsidR="00BA5EA9" w:rsidRPr="001E6DFD" w:rsidRDefault="00EA6936" w:rsidP="00381826">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649F5" w:rsidRPr="001E6DFD" w14:paraId="20DDE430" w14:textId="77777777" w:rsidTr="00A15986">
        <w:tc>
          <w:tcPr>
            <w:tcW w:w="1088" w:type="pct"/>
            <w:shd w:val="clear" w:color="auto" w:fill="auto"/>
            <w:tcMar>
              <w:left w:w="58" w:type="dxa"/>
              <w:right w:w="58" w:type="dxa"/>
            </w:tcMar>
          </w:tcPr>
          <w:p w14:paraId="137191EF" w14:textId="36D844BE" w:rsidR="00BA5EA9" w:rsidRPr="001E6DFD" w:rsidRDefault="009B328F" w:rsidP="00381826">
            <w:pPr>
              <w:keepNext/>
              <w:keepLines/>
              <w:tabs>
                <w:tab w:val="left" w:pos="2043"/>
              </w:tabs>
              <w:ind w:right="199"/>
              <w:rPr>
                <w:sz w:val="16"/>
                <w:szCs w:val="16"/>
              </w:rPr>
            </w:pPr>
            <w:r w:rsidRPr="001E6DFD">
              <w:rPr>
                <w:sz w:val="16"/>
                <w:szCs w:val="16"/>
              </w:rPr>
              <w:t>Pourcentage de participants aux activités de l</w:t>
            </w:r>
            <w:r w:rsidR="00FA22F6" w:rsidRPr="001E6DFD">
              <w:rPr>
                <w:sz w:val="16"/>
                <w:szCs w:val="16"/>
              </w:rPr>
              <w:t>’</w:t>
            </w:r>
            <w:r w:rsidRPr="001E6DFD">
              <w:rPr>
                <w:sz w:val="16"/>
                <w:szCs w:val="16"/>
              </w:rPr>
              <w:t>OMPI ayant fait part d</w:t>
            </w:r>
            <w:r w:rsidR="00FA22F6" w:rsidRPr="001E6DFD">
              <w:rPr>
                <w:sz w:val="16"/>
                <w:szCs w:val="16"/>
              </w:rPr>
              <w:t>’</w:t>
            </w:r>
            <w:r w:rsidRPr="001E6DFD">
              <w:rPr>
                <w:sz w:val="16"/>
                <w:szCs w:val="16"/>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571" w:type="pct"/>
            <w:shd w:val="clear" w:color="auto" w:fill="auto"/>
            <w:tcMar>
              <w:left w:w="58" w:type="dxa"/>
              <w:right w:w="58" w:type="dxa"/>
            </w:tcMar>
          </w:tcPr>
          <w:p w14:paraId="56B356C4" w14:textId="7AA54D01" w:rsidR="00FA22F6" w:rsidRPr="001E6DFD" w:rsidRDefault="00E64532" w:rsidP="00381826">
            <w:pPr>
              <w:keepNext/>
              <w:keepLines/>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7BAD5B73" w14:textId="6AB60380" w:rsidR="001F64B1" w:rsidRPr="001E6DFD" w:rsidRDefault="009B328F" w:rsidP="00381826">
            <w:pPr>
              <w:keepNext/>
              <w:keepLines/>
              <w:rPr>
                <w:color w:val="002060"/>
                <w:sz w:val="16"/>
                <w:szCs w:val="16"/>
              </w:rPr>
            </w:pPr>
            <w:r w:rsidRPr="001E6DFD">
              <w:rPr>
                <w:color w:val="002060"/>
                <w:sz w:val="16"/>
                <w:szCs w:val="16"/>
              </w:rPr>
              <w:t xml:space="preserve">92% </w:t>
            </w:r>
            <w:r w:rsidR="00282CF5" w:rsidRPr="001E6DFD">
              <w:rPr>
                <w:color w:val="002060"/>
                <w:sz w:val="16"/>
                <w:szCs w:val="16"/>
              </w:rPr>
              <w:t xml:space="preserve">des </w:t>
            </w:r>
            <w:r w:rsidRPr="001E6DFD">
              <w:rPr>
                <w:color w:val="002060"/>
                <w:sz w:val="16"/>
                <w:szCs w:val="16"/>
              </w:rPr>
              <w:t xml:space="preserve">participants </w:t>
            </w:r>
            <w:r w:rsidR="00282CF5" w:rsidRPr="001E6DFD">
              <w:rPr>
                <w:color w:val="002060"/>
                <w:sz w:val="16"/>
                <w:szCs w:val="16"/>
              </w:rPr>
              <w:t xml:space="preserve">(370 sur 398) </w:t>
            </w:r>
            <w:r w:rsidRPr="001E6DFD">
              <w:rPr>
                <w:color w:val="002060"/>
                <w:sz w:val="16"/>
                <w:szCs w:val="16"/>
              </w:rPr>
              <w:t>ont présenté un rapport positif (questionnaire de satisfaction utilisé dans 15</w:t>
            </w:r>
            <w:r w:rsidR="00B4191E">
              <w:rPr>
                <w:color w:val="002060"/>
                <w:sz w:val="16"/>
                <w:szCs w:val="16"/>
              </w:rPr>
              <w:t> </w:t>
            </w:r>
            <w:r w:rsidRPr="001E6DFD">
              <w:rPr>
                <w:color w:val="002060"/>
                <w:sz w:val="16"/>
                <w:szCs w:val="16"/>
              </w:rPr>
              <w:t xml:space="preserve">activités organisées par la Division des savoirs traditionnels </w:t>
            </w:r>
            <w:r w:rsidR="00FA22F6" w:rsidRPr="001E6DFD">
              <w:rPr>
                <w:color w:val="002060"/>
                <w:sz w:val="16"/>
                <w:szCs w:val="16"/>
              </w:rPr>
              <w:t>en 2014</w:t>
            </w:r>
            <w:r w:rsidR="006A41CF" w:rsidRPr="001E6DFD">
              <w:rPr>
                <w:color w:val="002060"/>
                <w:sz w:val="16"/>
                <w:szCs w:val="16"/>
              </w:rPr>
              <w:noBreakHyphen/>
            </w:r>
            <w:r w:rsidRPr="001E6DFD">
              <w:rPr>
                <w:color w:val="002060"/>
                <w:sz w:val="16"/>
                <w:szCs w:val="16"/>
              </w:rPr>
              <w:t>2015)</w:t>
            </w:r>
          </w:p>
          <w:p w14:paraId="449A4C2E" w14:textId="77777777" w:rsidR="001F64B1" w:rsidRPr="001E6DFD" w:rsidRDefault="001F64B1" w:rsidP="00381826">
            <w:pPr>
              <w:keepNext/>
              <w:keepLines/>
              <w:rPr>
                <w:sz w:val="16"/>
                <w:szCs w:val="16"/>
              </w:rPr>
            </w:pPr>
          </w:p>
          <w:p w14:paraId="6E694EDC" w14:textId="486803C8" w:rsidR="00AC7D97" w:rsidRPr="001E6DFD" w:rsidRDefault="00E64532" w:rsidP="00381826">
            <w:pPr>
              <w:keepNext/>
              <w:keepLines/>
              <w:ind w:right="-51"/>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59033911" w14:textId="2B0C0579" w:rsidR="00BA5EA9" w:rsidRPr="001E6DFD" w:rsidRDefault="00BA5EA9" w:rsidP="00381826">
            <w:pPr>
              <w:keepNext/>
              <w:keepLines/>
              <w:ind w:right="-51"/>
              <w:rPr>
                <w:i/>
                <w:sz w:val="16"/>
                <w:szCs w:val="16"/>
              </w:rPr>
            </w:pPr>
            <w:r w:rsidRPr="001E6DFD">
              <w:rPr>
                <w:sz w:val="16"/>
                <w:szCs w:val="16"/>
              </w:rPr>
              <w:t xml:space="preserve">91% </w:t>
            </w:r>
            <w:r w:rsidR="00282CF5" w:rsidRPr="001E6DFD">
              <w:rPr>
                <w:sz w:val="16"/>
                <w:szCs w:val="16"/>
              </w:rPr>
              <w:t>des participants (163 sur 179) ont présenté un rapport positif (questionnaire de satisfaction utilisé dans neuf</w:t>
            </w:r>
            <w:r w:rsidR="004D421A" w:rsidRPr="001E6DFD">
              <w:rPr>
                <w:sz w:val="16"/>
                <w:szCs w:val="16"/>
              </w:rPr>
              <w:t> </w:t>
            </w:r>
            <w:r w:rsidR="00282CF5" w:rsidRPr="001E6DFD">
              <w:rPr>
                <w:sz w:val="16"/>
                <w:szCs w:val="16"/>
              </w:rPr>
              <w:t xml:space="preserve">activités organisées par la Division des savoirs traditionnels </w:t>
            </w:r>
            <w:r w:rsidR="00FA22F6" w:rsidRPr="001E6DFD">
              <w:rPr>
                <w:sz w:val="16"/>
                <w:szCs w:val="16"/>
              </w:rPr>
              <w:t>en 2014</w:t>
            </w:r>
            <w:r w:rsidRPr="001E6DFD">
              <w:rPr>
                <w:sz w:val="16"/>
                <w:szCs w:val="16"/>
              </w:rPr>
              <w:t>)</w:t>
            </w:r>
          </w:p>
        </w:tc>
        <w:tc>
          <w:tcPr>
            <w:tcW w:w="511" w:type="pct"/>
            <w:shd w:val="clear" w:color="auto" w:fill="auto"/>
            <w:tcMar>
              <w:top w:w="110" w:type="dxa"/>
              <w:left w:w="58" w:type="dxa"/>
              <w:right w:w="58" w:type="dxa"/>
            </w:tcMar>
          </w:tcPr>
          <w:p w14:paraId="6BB137C9" w14:textId="2626D977" w:rsidR="001F64B1" w:rsidRPr="001E6DFD" w:rsidRDefault="00AC7D97" w:rsidP="00381826">
            <w:pPr>
              <w:keepNext/>
              <w:keepLines/>
              <w:rPr>
                <w:color w:val="002060"/>
                <w:sz w:val="16"/>
                <w:szCs w:val="16"/>
              </w:rPr>
            </w:pPr>
            <w:r w:rsidRPr="001E6DFD">
              <w:rPr>
                <w:i/>
                <w:color w:val="002060"/>
                <w:sz w:val="16"/>
                <w:szCs w:val="16"/>
              </w:rPr>
              <w:t>Objectif actualisé</w:t>
            </w:r>
            <w:r w:rsidR="00FA22F6" w:rsidRPr="001E6DFD">
              <w:rPr>
                <w:i/>
                <w:color w:val="002060"/>
                <w:sz w:val="16"/>
                <w:szCs w:val="16"/>
              </w:rPr>
              <w:t> :</w:t>
            </w:r>
            <w:r w:rsidR="00BA5EA9" w:rsidRPr="001E6DFD">
              <w:rPr>
                <w:i/>
                <w:color w:val="002060"/>
                <w:sz w:val="16"/>
                <w:szCs w:val="16"/>
              </w:rPr>
              <w:t xml:space="preserve"> </w:t>
            </w:r>
            <w:r w:rsidR="00BA5EA9" w:rsidRPr="001E6DFD">
              <w:rPr>
                <w:color w:val="002060"/>
                <w:sz w:val="16"/>
                <w:szCs w:val="16"/>
              </w:rPr>
              <w:t>90%</w:t>
            </w:r>
          </w:p>
          <w:p w14:paraId="08B60878" w14:textId="77777777" w:rsidR="001F64B1" w:rsidRPr="001E6DFD" w:rsidRDefault="001F64B1" w:rsidP="00381826">
            <w:pPr>
              <w:keepNext/>
              <w:keepLines/>
              <w:rPr>
                <w:sz w:val="16"/>
                <w:szCs w:val="16"/>
              </w:rPr>
            </w:pPr>
          </w:p>
          <w:p w14:paraId="4A6F8D2E" w14:textId="36C9B2A7" w:rsidR="00BA5EA9" w:rsidRPr="001E6DFD" w:rsidRDefault="00AC7D97" w:rsidP="00381826">
            <w:pPr>
              <w:keepNext/>
              <w:keepLines/>
              <w:rPr>
                <w:sz w:val="16"/>
                <w:szCs w:val="16"/>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r w:rsidR="00BA5EA9" w:rsidRPr="001E6DFD">
              <w:rPr>
                <w:i/>
                <w:sz w:val="16"/>
                <w:szCs w:val="16"/>
                <w:lang w:bidi="th-TH"/>
              </w:rPr>
              <w:t xml:space="preserve"> </w:t>
            </w:r>
            <w:r w:rsidR="00BA5EA9" w:rsidRPr="001E6DFD">
              <w:rPr>
                <w:sz w:val="16"/>
                <w:szCs w:val="16"/>
              </w:rPr>
              <w:t>80%</w:t>
            </w:r>
          </w:p>
        </w:tc>
        <w:tc>
          <w:tcPr>
            <w:tcW w:w="1430" w:type="pct"/>
            <w:shd w:val="clear" w:color="auto" w:fill="FFFFFF"/>
            <w:tcMar>
              <w:top w:w="110" w:type="dxa"/>
              <w:left w:w="58" w:type="dxa"/>
              <w:right w:w="58" w:type="dxa"/>
            </w:tcMar>
          </w:tcPr>
          <w:p w14:paraId="3487F048" w14:textId="073ABB6B" w:rsidR="00BA5EA9" w:rsidRPr="001E6DFD" w:rsidRDefault="00BA5EA9" w:rsidP="00381826">
            <w:pPr>
              <w:keepNext/>
              <w:keepLines/>
              <w:rPr>
                <w:sz w:val="16"/>
                <w:szCs w:val="16"/>
              </w:rPr>
            </w:pPr>
            <w:r w:rsidRPr="001E6DFD">
              <w:rPr>
                <w:sz w:val="16"/>
                <w:szCs w:val="16"/>
              </w:rPr>
              <w:t xml:space="preserve">92% </w:t>
            </w:r>
            <w:r w:rsidR="00282CF5" w:rsidRPr="001E6DFD">
              <w:rPr>
                <w:sz w:val="16"/>
                <w:szCs w:val="16"/>
              </w:rPr>
              <w:t>des</w:t>
            </w:r>
            <w:r w:rsidRPr="001E6DFD">
              <w:rPr>
                <w:sz w:val="16"/>
                <w:szCs w:val="16"/>
              </w:rPr>
              <w:t xml:space="preserve"> participants (46 </w:t>
            </w:r>
            <w:r w:rsidR="00282CF5" w:rsidRPr="001E6DFD">
              <w:rPr>
                <w:sz w:val="16"/>
                <w:szCs w:val="16"/>
              </w:rPr>
              <w:t>sur</w:t>
            </w:r>
            <w:r w:rsidRPr="001E6DFD">
              <w:rPr>
                <w:sz w:val="16"/>
                <w:szCs w:val="16"/>
              </w:rPr>
              <w:t xml:space="preserve"> 50 </w:t>
            </w:r>
            <w:r w:rsidR="00282CF5" w:rsidRPr="001E6DFD">
              <w:rPr>
                <w:sz w:val="16"/>
                <w:szCs w:val="16"/>
              </w:rPr>
              <w:t>dans quatre</w:t>
            </w:r>
            <w:r w:rsidR="004D421A" w:rsidRPr="001E6DFD">
              <w:rPr>
                <w:sz w:val="16"/>
                <w:szCs w:val="16"/>
              </w:rPr>
              <w:t> </w:t>
            </w:r>
            <w:r w:rsidR="00282CF5" w:rsidRPr="001E6DFD">
              <w:rPr>
                <w:sz w:val="16"/>
                <w:szCs w:val="16"/>
              </w:rPr>
              <w:t>activités</w:t>
            </w:r>
            <w:r w:rsidRPr="001E6DFD">
              <w:rPr>
                <w:sz w:val="16"/>
                <w:szCs w:val="16"/>
              </w:rPr>
              <w:t xml:space="preserve">) </w:t>
            </w:r>
            <w:r w:rsidR="00282CF5" w:rsidRPr="001E6DFD">
              <w:rPr>
                <w:sz w:val="16"/>
                <w:szCs w:val="16"/>
              </w:rPr>
              <w:t>ont présenté un rapport positif</w:t>
            </w:r>
          </w:p>
        </w:tc>
        <w:tc>
          <w:tcPr>
            <w:tcW w:w="400" w:type="pct"/>
            <w:shd w:val="clear" w:color="auto" w:fill="auto"/>
            <w:tcMar>
              <w:top w:w="110" w:type="dxa"/>
              <w:left w:w="58" w:type="dxa"/>
              <w:right w:w="58" w:type="dxa"/>
            </w:tcMar>
          </w:tcPr>
          <w:p w14:paraId="5E19DA70" w14:textId="77777777" w:rsidR="00BA5EA9" w:rsidRPr="001E6DFD" w:rsidRDefault="00A43B2F" w:rsidP="00381826">
            <w:pPr>
              <w:keepNext/>
              <w:keepLines/>
              <w:jc w:val="center"/>
              <w:rPr>
                <w:b/>
                <w:sz w:val="16"/>
                <w:szCs w:val="16"/>
              </w:rPr>
            </w:pPr>
            <w:r w:rsidRPr="001E6DFD">
              <w:rPr>
                <w:b/>
                <w:color w:val="00B050"/>
                <w:sz w:val="16"/>
                <w:szCs w:val="16"/>
              </w:rPr>
              <w:t>En bonne voie</w:t>
            </w:r>
          </w:p>
        </w:tc>
      </w:tr>
    </w:tbl>
    <w:p w14:paraId="7B87D5AF" w14:textId="77777777" w:rsidR="00282CF5" w:rsidRPr="001E6DFD" w:rsidRDefault="00282CF5" w:rsidP="0097226C"/>
    <w:p w14:paraId="251D8905" w14:textId="77777777" w:rsidR="00282CF5" w:rsidRPr="001E6DFD" w:rsidRDefault="00282CF5" w:rsidP="0097226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ayout w:type="fixed"/>
        <w:tblLook w:val="04A0" w:firstRow="1" w:lastRow="0" w:firstColumn="1" w:lastColumn="0" w:noHBand="0" w:noVBand="1"/>
      </w:tblPr>
      <w:tblGrid>
        <w:gridCol w:w="9289"/>
      </w:tblGrid>
      <w:tr w:rsidR="00B649F5" w:rsidRPr="001E6DFD" w14:paraId="1BA6B5C7" w14:textId="77777777" w:rsidTr="002307FD">
        <w:trPr>
          <w:trHeight w:val="423"/>
          <w:jc w:val="center"/>
        </w:trPr>
        <w:tc>
          <w:tcPr>
            <w:tcW w:w="9289" w:type="dxa"/>
            <w:shd w:val="clear" w:color="auto" w:fill="C6D9F1" w:themeFill="text2" w:themeFillTint="33"/>
            <w:vAlign w:val="center"/>
          </w:tcPr>
          <w:p w14:paraId="791E54C3" w14:textId="275B9B73"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4</w:t>
            </w:r>
          </w:p>
        </w:tc>
      </w:tr>
    </w:tbl>
    <w:p w14:paraId="65984D5C" w14:textId="77777777" w:rsidR="001F64B1" w:rsidRPr="001E6DFD" w:rsidRDefault="001F64B1" w:rsidP="0097226C">
      <w:pPr>
        <w:rPr>
          <w:sz w:val="20"/>
        </w:rPr>
      </w:pPr>
    </w:p>
    <w:p w14:paraId="1EDCB9DC" w14:textId="77777777" w:rsidR="001F64B1" w:rsidRPr="001E6DFD" w:rsidRDefault="009B328F" w:rsidP="0097226C">
      <w:pPr>
        <w:pStyle w:val="NormalWeb"/>
        <w:keepNext/>
        <w:keepLines/>
        <w:spacing w:before="0" w:beforeAutospacing="0" w:after="0" w:afterAutospacing="0"/>
        <w:jc w:val="center"/>
      </w:pPr>
      <w:r w:rsidRPr="001E6DFD">
        <w:t>Budget et dépenses effectives (par résultat)</w:t>
      </w:r>
    </w:p>
    <w:p w14:paraId="14D2F4EE" w14:textId="77777777" w:rsidR="001F64B1" w:rsidRPr="001E6DFD" w:rsidRDefault="009B328F"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7C0B174A"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484"/>
        <w:gridCol w:w="4229"/>
        <w:gridCol w:w="1572"/>
        <w:gridCol w:w="1572"/>
        <w:gridCol w:w="1430"/>
      </w:tblGrid>
      <w:tr w:rsidR="00BA5EA9" w:rsidRPr="001E6DFD" w14:paraId="273DCCBB" w14:textId="77777777" w:rsidTr="00A15986">
        <w:trPr>
          <w:jc w:val="center"/>
        </w:trPr>
        <w:tc>
          <w:tcPr>
            <w:tcW w:w="4730" w:type="dxa"/>
            <w:gridSpan w:val="2"/>
            <w:tcBorders>
              <w:top w:val="nil"/>
              <w:left w:val="nil"/>
              <w:bottom w:val="nil"/>
              <w:right w:val="nil"/>
            </w:tcBorders>
            <w:shd w:val="clear" w:color="000000" w:fill="C5D9F1"/>
            <w:noWrap/>
            <w:vAlign w:val="center"/>
            <w:hideMark/>
          </w:tcPr>
          <w:p w14:paraId="50896100" w14:textId="4B5FC235" w:rsidR="00BA5EA9" w:rsidRPr="001E6DFD" w:rsidRDefault="009B328F" w:rsidP="0097226C">
            <w:pPr>
              <w:jc w:val="center"/>
              <w:rPr>
                <w:b/>
                <w:bCs/>
                <w:sz w:val="16"/>
                <w:szCs w:val="16"/>
              </w:rPr>
            </w:pPr>
            <w:r w:rsidRPr="001E6DFD">
              <w:rPr>
                <w:b/>
                <w:bCs/>
                <w:sz w:val="16"/>
                <w:szCs w:val="16"/>
              </w:rPr>
              <w:t>Numéro et description du résultat escompté</w:t>
            </w:r>
          </w:p>
        </w:tc>
        <w:tc>
          <w:tcPr>
            <w:tcW w:w="1160" w:type="dxa"/>
            <w:tcBorders>
              <w:top w:val="nil"/>
              <w:left w:val="nil"/>
              <w:bottom w:val="nil"/>
              <w:right w:val="nil"/>
            </w:tcBorders>
            <w:shd w:val="clear" w:color="000000" w:fill="C5D9F1"/>
            <w:vAlign w:val="center"/>
            <w:hideMark/>
          </w:tcPr>
          <w:p w14:paraId="415B253A" w14:textId="175B4C4B" w:rsidR="00BA5EA9" w:rsidRPr="001E6DFD" w:rsidRDefault="00B649F5"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59" w:type="dxa"/>
            <w:tcBorders>
              <w:top w:val="nil"/>
              <w:left w:val="nil"/>
              <w:bottom w:val="nil"/>
              <w:right w:val="nil"/>
            </w:tcBorders>
            <w:shd w:val="clear" w:color="000000" w:fill="C5D9F1"/>
            <w:vAlign w:val="center"/>
            <w:hideMark/>
          </w:tcPr>
          <w:p w14:paraId="60AFEEF2" w14:textId="71E69983"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73" w:type="dxa"/>
            <w:tcBorders>
              <w:top w:val="nil"/>
              <w:left w:val="nil"/>
              <w:bottom w:val="nil"/>
              <w:right w:val="nil"/>
            </w:tcBorders>
            <w:shd w:val="clear" w:color="000000" w:fill="C5D9F1"/>
            <w:vAlign w:val="center"/>
            <w:hideMark/>
          </w:tcPr>
          <w:p w14:paraId="586EA1B0" w14:textId="1FB5B51A"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0D7E7F03" w14:textId="77777777" w:rsidTr="00A15986">
        <w:trPr>
          <w:jc w:val="center"/>
        </w:trPr>
        <w:tc>
          <w:tcPr>
            <w:tcW w:w="485" w:type="dxa"/>
            <w:tcBorders>
              <w:top w:val="nil"/>
              <w:left w:val="nil"/>
              <w:bottom w:val="nil"/>
              <w:right w:val="nil"/>
            </w:tcBorders>
            <w:shd w:val="clear" w:color="auto" w:fill="auto"/>
            <w:noWrap/>
            <w:vAlign w:val="center"/>
            <w:hideMark/>
          </w:tcPr>
          <w:p w14:paraId="08E3FC13" w14:textId="77777777" w:rsidR="00BA5EA9" w:rsidRPr="001E6DFD" w:rsidRDefault="00BA5EA9" w:rsidP="0097226C">
            <w:pPr>
              <w:rPr>
                <w:sz w:val="16"/>
                <w:szCs w:val="16"/>
              </w:rPr>
            </w:pPr>
            <w:r w:rsidRPr="001E6DFD">
              <w:rPr>
                <w:sz w:val="16"/>
                <w:szCs w:val="16"/>
              </w:rPr>
              <w:t>I.1</w:t>
            </w:r>
          </w:p>
        </w:tc>
        <w:tc>
          <w:tcPr>
            <w:tcW w:w="4245" w:type="dxa"/>
            <w:tcBorders>
              <w:top w:val="nil"/>
              <w:left w:val="nil"/>
              <w:bottom w:val="nil"/>
              <w:right w:val="nil"/>
            </w:tcBorders>
            <w:shd w:val="clear" w:color="auto" w:fill="auto"/>
            <w:vAlign w:val="center"/>
            <w:hideMark/>
          </w:tcPr>
          <w:p w14:paraId="2D4A2C16" w14:textId="10EE0301" w:rsidR="00BA5EA9" w:rsidRPr="001E6DFD" w:rsidRDefault="009B328F" w:rsidP="0097226C">
            <w:pPr>
              <w:rPr>
                <w:sz w:val="16"/>
                <w:szCs w:val="16"/>
              </w:rPr>
            </w:pPr>
            <w:r w:rsidRPr="001E6DFD">
              <w:rPr>
                <w:sz w:val="16"/>
                <w:szCs w:val="16"/>
              </w:rPr>
              <w:t>Renforcement de la coopération entre les États membres en ce qui concerne l</w:t>
            </w:r>
            <w:r w:rsidR="00FA22F6" w:rsidRPr="001E6DFD">
              <w:rPr>
                <w:sz w:val="16"/>
                <w:szCs w:val="16"/>
              </w:rPr>
              <w:t>’</w:t>
            </w:r>
            <w:r w:rsidRPr="001E6DFD">
              <w:rPr>
                <w:sz w:val="16"/>
                <w:szCs w:val="16"/>
              </w:rPr>
              <w:t>élaboration de cadres normatifs internationaux équilibrés dans le domaine de la propriété intellectuelle</w:t>
            </w:r>
            <w:r w:rsidR="00BA5EA9" w:rsidRPr="001E6DFD">
              <w:rPr>
                <w:sz w:val="16"/>
                <w:szCs w:val="16"/>
              </w:rPr>
              <w:t xml:space="preserve"> </w:t>
            </w:r>
          </w:p>
        </w:tc>
        <w:tc>
          <w:tcPr>
            <w:tcW w:w="1160" w:type="dxa"/>
            <w:tcBorders>
              <w:top w:val="nil"/>
              <w:left w:val="nil"/>
              <w:bottom w:val="nil"/>
              <w:right w:val="nil"/>
            </w:tcBorders>
            <w:shd w:val="clear" w:color="auto" w:fill="auto"/>
            <w:noWrap/>
            <w:vAlign w:val="center"/>
            <w:hideMark/>
          </w:tcPr>
          <w:p w14:paraId="118A10E7" w14:textId="77777777" w:rsidR="00BA5EA9" w:rsidRPr="001E6DFD" w:rsidRDefault="00BA5EA9" w:rsidP="0097226C">
            <w:pPr>
              <w:jc w:val="center"/>
              <w:rPr>
                <w:sz w:val="16"/>
                <w:szCs w:val="16"/>
              </w:rPr>
            </w:pPr>
            <w:r w:rsidRPr="001E6DFD">
              <w:rPr>
                <w:sz w:val="16"/>
                <w:szCs w:val="16"/>
              </w:rPr>
              <w:t>4</w:t>
            </w:r>
            <w:r w:rsidR="00282CF5" w:rsidRPr="001E6DFD">
              <w:rPr>
                <w:sz w:val="16"/>
                <w:szCs w:val="16"/>
              </w:rPr>
              <w:t> </w:t>
            </w:r>
            <w:r w:rsidRPr="001E6DFD">
              <w:rPr>
                <w:sz w:val="16"/>
                <w:szCs w:val="16"/>
              </w:rPr>
              <w:t>116</w:t>
            </w:r>
          </w:p>
        </w:tc>
        <w:tc>
          <w:tcPr>
            <w:tcW w:w="1159" w:type="dxa"/>
            <w:tcBorders>
              <w:top w:val="nil"/>
              <w:left w:val="nil"/>
              <w:bottom w:val="nil"/>
              <w:right w:val="nil"/>
            </w:tcBorders>
            <w:shd w:val="clear" w:color="auto" w:fill="auto"/>
            <w:noWrap/>
            <w:vAlign w:val="center"/>
            <w:hideMark/>
          </w:tcPr>
          <w:p w14:paraId="78B71746" w14:textId="77777777" w:rsidR="00BA5EA9" w:rsidRPr="001E6DFD" w:rsidRDefault="00BA5EA9" w:rsidP="0097226C">
            <w:pPr>
              <w:jc w:val="center"/>
              <w:rPr>
                <w:sz w:val="16"/>
                <w:szCs w:val="16"/>
              </w:rPr>
            </w:pPr>
            <w:r w:rsidRPr="001E6DFD">
              <w:rPr>
                <w:sz w:val="16"/>
                <w:szCs w:val="16"/>
              </w:rPr>
              <w:t>4</w:t>
            </w:r>
            <w:r w:rsidR="00282CF5" w:rsidRPr="001E6DFD">
              <w:rPr>
                <w:sz w:val="16"/>
                <w:szCs w:val="16"/>
              </w:rPr>
              <w:t> </w:t>
            </w:r>
            <w:r w:rsidRPr="001E6DFD">
              <w:rPr>
                <w:sz w:val="16"/>
                <w:szCs w:val="16"/>
              </w:rPr>
              <w:t>052</w:t>
            </w:r>
          </w:p>
        </w:tc>
        <w:tc>
          <w:tcPr>
            <w:tcW w:w="1173" w:type="dxa"/>
            <w:tcBorders>
              <w:top w:val="nil"/>
              <w:left w:val="nil"/>
              <w:bottom w:val="nil"/>
              <w:right w:val="nil"/>
            </w:tcBorders>
            <w:shd w:val="clear" w:color="auto" w:fill="auto"/>
            <w:noWrap/>
            <w:vAlign w:val="center"/>
            <w:hideMark/>
          </w:tcPr>
          <w:p w14:paraId="2304E2D3" w14:textId="77777777" w:rsidR="00BA5EA9" w:rsidRPr="001E6DFD" w:rsidRDefault="00BA5EA9" w:rsidP="0097226C">
            <w:pPr>
              <w:jc w:val="center"/>
              <w:rPr>
                <w:sz w:val="16"/>
                <w:szCs w:val="16"/>
              </w:rPr>
            </w:pPr>
            <w:r w:rsidRPr="001E6DFD">
              <w:rPr>
                <w:sz w:val="16"/>
                <w:szCs w:val="16"/>
              </w:rPr>
              <w:t>2</w:t>
            </w:r>
            <w:r w:rsidR="00282CF5" w:rsidRPr="001E6DFD">
              <w:rPr>
                <w:sz w:val="16"/>
                <w:szCs w:val="16"/>
              </w:rPr>
              <w:t> </w:t>
            </w:r>
            <w:r w:rsidRPr="001E6DFD">
              <w:rPr>
                <w:sz w:val="16"/>
                <w:szCs w:val="16"/>
              </w:rPr>
              <w:t>147</w:t>
            </w:r>
          </w:p>
        </w:tc>
      </w:tr>
      <w:tr w:rsidR="00BA5EA9" w:rsidRPr="001E6DFD" w14:paraId="56988E64" w14:textId="77777777" w:rsidTr="00A15986">
        <w:trPr>
          <w:jc w:val="center"/>
        </w:trPr>
        <w:tc>
          <w:tcPr>
            <w:tcW w:w="485" w:type="dxa"/>
            <w:tcBorders>
              <w:top w:val="nil"/>
              <w:left w:val="nil"/>
              <w:bottom w:val="nil"/>
              <w:right w:val="nil"/>
            </w:tcBorders>
            <w:shd w:val="clear" w:color="auto" w:fill="auto"/>
            <w:noWrap/>
            <w:vAlign w:val="center"/>
            <w:hideMark/>
          </w:tcPr>
          <w:p w14:paraId="48DB5F12" w14:textId="77777777" w:rsidR="00BA5EA9" w:rsidRPr="001E6DFD" w:rsidRDefault="00BA5EA9" w:rsidP="0097226C">
            <w:pPr>
              <w:rPr>
                <w:sz w:val="16"/>
                <w:szCs w:val="16"/>
              </w:rPr>
            </w:pPr>
            <w:r w:rsidRPr="001E6DFD">
              <w:rPr>
                <w:sz w:val="16"/>
                <w:szCs w:val="16"/>
              </w:rPr>
              <w:t>III.2</w:t>
            </w:r>
          </w:p>
        </w:tc>
        <w:tc>
          <w:tcPr>
            <w:tcW w:w="4245" w:type="dxa"/>
            <w:tcBorders>
              <w:top w:val="nil"/>
              <w:left w:val="nil"/>
              <w:bottom w:val="nil"/>
              <w:right w:val="nil"/>
            </w:tcBorders>
            <w:shd w:val="clear" w:color="auto" w:fill="auto"/>
            <w:vAlign w:val="center"/>
            <w:hideMark/>
          </w:tcPr>
          <w:p w14:paraId="22DB0C3C" w14:textId="5DA5C913" w:rsidR="00BA5EA9" w:rsidRPr="001E6DFD" w:rsidRDefault="009B328F" w:rsidP="0097226C">
            <w:pPr>
              <w:rPr>
                <w:sz w:val="16"/>
                <w:szCs w:val="16"/>
              </w:rPr>
            </w:pPr>
            <w:r w:rsidRPr="001E6DFD">
              <w:rPr>
                <w:sz w:val="16"/>
                <w:szCs w:val="16"/>
              </w:rPr>
              <w:t>Renforcement des capacités en matière de ressources humaines pour pouvoir répondre aux nombreuses exigences en ce qui concerne l</w:t>
            </w:r>
            <w:r w:rsidR="00FA22F6" w:rsidRPr="001E6DFD">
              <w:rPr>
                <w:sz w:val="16"/>
                <w:szCs w:val="16"/>
              </w:rPr>
              <w:t>’</w:t>
            </w:r>
            <w:r w:rsidRPr="001E6DFD">
              <w:rPr>
                <w:sz w:val="16"/>
                <w:szCs w:val="16"/>
              </w:rPr>
              <w:t>utilisation efficace de la propriété intellectuelle au service du développement dans les pays en développement,</w:t>
            </w:r>
            <w:r w:rsidR="00FA22F6" w:rsidRPr="001E6DFD">
              <w:rPr>
                <w:sz w:val="16"/>
                <w:szCs w:val="16"/>
              </w:rPr>
              <w:t xml:space="preserve"> les PMA</w:t>
            </w:r>
            <w:r w:rsidRPr="001E6DFD">
              <w:rPr>
                <w:sz w:val="16"/>
                <w:szCs w:val="16"/>
              </w:rPr>
              <w:t xml:space="preserve"> et les pays en transition</w:t>
            </w:r>
          </w:p>
        </w:tc>
        <w:tc>
          <w:tcPr>
            <w:tcW w:w="1160" w:type="dxa"/>
            <w:tcBorders>
              <w:top w:val="nil"/>
              <w:left w:val="nil"/>
              <w:bottom w:val="nil"/>
              <w:right w:val="nil"/>
            </w:tcBorders>
            <w:shd w:val="clear" w:color="auto" w:fill="auto"/>
            <w:noWrap/>
            <w:vAlign w:val="center"/>
            <w:hideMark/>
          </w:tcPr>
          <w:p w14:paraId="48711357" w14:textId="77777777" w:rsidR="00BA5EA9" w:rsidRPr="001E6DFD" w:rsidRDefault="00BA5EA9" w:rsidP="0097226C">
            <w:pPr>
              <w:jc w:val="center"/>
              <w:rPr>
                <w:sz w:val="16"/>
                <w:szCs w:val="16"/>
              </w:rPr>
            </w:pPr>
            <w:r w:rsidRPr="001E6DFD">
              <w:rPr>
                <w:sz w:val="16"/>
                <w:szCs w:val="16"/>
              </w:rPr>
              <w:t>1</w:t>
            </w:r>
            <w:r w:rsidR="00282CF5" w:rsidRPr="001E6DFD">
              <w:rPr>
                <w:sz w:val="16"/>
                <w:szCs w:val="16"/>
              </w:rPr>
              <w:t> </w:t>
            </w:r>
            <w:r w:rsidRPr="001E6DFD">
              <w:rPr>
                <w:sz w:val="16"/>
                <w:szCs w:val="16"/>
              </w:rPr>
              <w:t>999</w:t>
            </w:r>
          </w:p>
        </w:tc>
        <w:tc>
          <w:tcPr>
            <w:tcW w:w="1159" w:type="dxa"/>
            <w:tcBorders>
              <w:top w:val="nil"/>
              <w:left w:val="nil"/>
              <w:bottom w:val="nil"/>
              <w:right w:val="nil"/>
            </w:tcBorders>
            <w:shd w:val="clear" w:color="auto" w:fill="auto"/>
            <w:noWrap/>
            <w:vAlign w:val="center"/>
            <w:hideMark/>
          </w:tcPr>
          <w:p w14:paraId="34FFDDA1" w14:textId="77777777" w:rsidR="00BA5EA9" w:rsidRPr="001E6DFD" w:rsidRDefault="00BA5EA9" w:rsidP="0097226C">
            <w:pPr>
              <w:jc w:val="center"/>
              <w:rPr>
                <w:sz w:val="16"/>
                <w:szCs w:val="16"/>
              </w:rPr>
            </w:pPr>
            <w:r w:rsidRPr="001E6DFD">
              <w:rPr>
                <w:sz w:val="16"/>
                <w:szCs w:val="16"/>
              </w:rPr>
              <w:t>2</w:t>
            </w:r>
            <w:r w:rsidR="00282CF5" w:rsidRPr="001E6DFD">
              <w:rPr>
                <w:sz w:val="16"/>
                <w:szCs w:val="16"/>
              </w:rPr>
              <w:t> </w:t>
            </w:r>
            <w:r w:rsidRPr="001E6DFD">
              <w:rPr>
                <w:sz w:val="16"/>
                <w:szCs w:val="16"/>
              </w:rPr>
              <w:t>635</w:t>
            </w:r>
          </w:p>
        </w:tc>
        <w:tc>
          <w:tcPr>
            <w:tcW w:w="1173" w:type="dxa"/>
            <w:tcBorders>
              <w:top w:val="nil"/>
              <w:left w:val="nil"/>
              <w:bottom w:val="nil"/>
              <w:right w:val="nil"/>
            </w:tcBorders>
            <w:shd w:val="clear" w:color="auto" w:fill="auto"/>
            <w:noWrap/>
            <w:vAlign w:val="center"/>
            <w:hideMark/>
          </w:tcPr>
          <w:p w14:paraId="56E627FA" w14:textId="77777777" w:rsidR="00BA5EA9" w:rsidRPr="001E6DFD" w:rsidRDefault="00BA5EA9" w:rsidP="0097226C">
            <w:pPr>
              <w:jc w:val="center"/>
              <w:rPr>
                <w:sz w:val="16"/>
                <w:szCs w:val="16"/>
              </w:rPr>
            </w:pPr>
            <w:r w:rsidRPr="001E6DFD">
              <w:rPr>
                <w:sz w:val="16"/>
                <w:szCs w:val="16"/>
              </w:rPr>
              <w:t>898</w:t>
            </w:r>
          </w:p>
        </w:tc>
      </w:tr>
      <w:tr w:rsidR="00BA5EA9" w:rsidRPr="001E6DFD" w14:paraId="2241125E" w14:textId="77777777" w:rsidTr="00A15986">
        <w:trPr>
          <w:jc w:val="center"/>
        </w:trPr>
        <w:tc>
          <w:tcPr>
            <w:tcW w:w="485" w:type="dxa"/>
            <w:tcBorders>
              <w:top w:val="nil"/>
              <w:left w:val="nil"/>
              <w:bottom w:val="nil"/>
              <w:right w:val="nil"/>
            </w:tcBorders>
            <w:shd w:val="clear" w:color="000000" w:fill="C5D9F1"/>
            <w:noWrap/>
            <w:vAlign w:val="bottom"/>
            <w:hideMark/>
          </w:tcPr>
          <w:p w14:paraId="359B73BC" w14:textId="77777777" w:rsidR="00BA5EA9" w:rsidRPr="001E6DFD" w:rsidRDefault="00BA5EA9" w:rsidP="0097226C">
            <w:pPr>
              <w:rPr>
                <w:sz w:val="16"/>
                <w:szCs w:val="16"/>
              </w:rPr>
            </w:pPr>
            <w:r w:rsidRPr="001E6DFD">
              <w:rPr>
                <w:sz w:val="16"/>
                <w:szCs w:val="16"/>
              </w:rPr>
              <w:t> </w:t>
            </w:r>
          </w:p>
        </w:tc>
        <w:tc>
          <w:tcPr>
            <w:tcW w:w="4245" w:type="dxa"/>
            <w:tcBorders>
              <w:top w:val="nil"/>
              <w:left w:val="nil"/>
              <w:bottom w:val="nil"/>
              <w:right w:val="nil"/>
            </w:tcBorders>
            <w:shd w:val="clear" w:color="000000" w:fill="C5D9F1"/>
            <w:noWrap/>
            <w:vAlign w:val="bottom"/>
            <w:hideMark/>
          </w:tcPr>
          <w:p w14:paraId="27B3D23C" w14:textId="77777777" w:rsidR="00BA5EA9" w:rsidRPr="001E6DFD" w:rsidRDefault="009B328F" w:rsidP="0097226C">
            <w:pPr>
              <w:jc w:val="right"/>
              <w:rPr>
                <w:b/>
                <w:bCs/>
                <w:sz w:val="16"/>
                <w:szCs w:val="16"/>
              </w:rPr>
            </w:pPr>
            <w:r w:rsidRPr="001E6DFD">
              <w:rPr>
                <w:b/>
                <w:bCs/>
                <w:sz w:val="16"/>
                <w:szCs w:val="16"/>
              </w:rPr>
              <w:t>Total</w:t>
            </w:r>
          </w:p>
        </w:tc>
        <w:tc>
          <w:tcPr>
            <w:tcW w:w="1160" w:type="dxa"/>
            <w:tcBorders>
              <w:top w:val="nil"/>
              <w:left w:val="nil"/>
              <w:bottom w:val="nil"/>
              <w:right w:val="nil"/>
            </w:tcBorders>
            <w:shd w:val="clear" w:color="000000" w:fill="C5D9F1"/>
            <w:noWrap/>
            <w:vAlign w:val="center"/>
            <w:hideMark/>
          </w:tcPr>
          <w:p w14:paraId="38950098" w14:textId="77777777" w:rsidR="00BA5EA9" w:rsidRPr="001E6DFD" w:rsidRDefault="00BA5EA9" w:rsidP="0097226C">
            <w:pPr>
              <w:jc w:val="center"/>
              <w:rPr>
                <w:sz w:val="16"/>
                <w:szCs w:val="16"/>
              </w:rPr>
            </w:pPr>
            <w:r w:rsidRPr="001E6DFD">
              <w:rPr>
                <w:sz w:val="16"/>
                <w:szCs w:val="16"/>
              </w:rPr>
              <w:t>6</w:t>
            </w:r>
            <w:r w:rsidR="00282CF5" w:rsidRPr="001E6DFD">
              <w:rPr>
                <w:sz w:val="16"/>
                <w:szCs w:val="16"/>
              </w:rPr>
              <w:t> </w:t>
            </w:r>
            <w:r w:rsidRPr="001E6DFD">
              <w:rPr>
                <w:sz w:val="16"/>
                <w:szCs w:val="16"/>
              </w:rPr>
              <w:t>115</w:t>
            </w:r>
          </w:p>
        </w:tc>
        <w:tc>
          <w:tcPr>
            <w:tcW w:w="1159" w:type="dxa"/>
            <w:tcBorders>
              <w:top w:val="nil"/>
              <w:left w:val="nil"/>
              <w:bottom w:val="nil"/>
              <w:right w:val="nil"/>
            </w:tcBorders>
            <w:shd w:val="clear" w:color="000000" w:fill="C5D9F1"/>
            <w:noWrap/>
            <w:vAlign w:val="center"/>
            <w:hideMark/>
          </w:tcPr>
          <w:p w14:paraId="474494EB" w14:textId="77777777" w:rsidR="00BA5EA9" w:rsidRPr="001E6DFD" w:rsidRDefault="00BA5EA9" w:rsidP="0097226C">
            <w:pPr>
              <w:jc w:val="center"/>
              <w:rPr>
                <w:sz w:val="16"/>
                <w:szCs w:val="16"/>
              </w:rPr>
            </w:pPr>
            <w:r w:rsidRPr="001E6DFD">
              <w:rPr>
                <w:sz w:val="16"/>
                <w:szCs w:val="16"/>
              </w:rPr>
              <w:t>6</w:t>
            </w:r>
            <w:r w:rsidR="00282CF5" w:rsidRPr="001E6DFD">
              <w:rPr>
                <w:sz w:val="16"/>
                <w:szCs w:val="16"/>
              </w:rPr>
              <w:t> </w:t>
            </w:r>
            <w:r w:rsidRPr="001E6DFD">
              <w:rPr>
                <w:sz w:val="16"/>
                <w:szCs w:val="16"/>
              </w:rPr>
              <w:t>686</w:t>
            </w:r>
          </w:p>
        </w:tc>
        <w:tc>
          <w:tcPr>
            <w:tcW w:w="1173" w:type="dxa"/>
            <w:tcBorders>
              <w:top w:val="nil"/>
              <w:left w:val="nil"/>
              <w:bottom w:val="nil"/>
              <w:right w:val="nil"/>
            </w:tcBorders>
            <w:shd w:val="clear" w:color="000000" w:fill="C5D9F1"/>
            <w:noWrap/>
            <w:vAlign w:val="center"/>
            <w:hideMark/>
          </w:tcPr>
          <w:p w14:paraId="2D11E313" w14:textId="77777777" w:rsidR="00BA5EA9" w:rsidRPr="001E6DFD" w:rsidRDefault="00BA5EA9" w:rsidP="0097226C">
            <w:pPr>
              <w:jc w:val="center"/>
              <w:rPr>
                <w:sz w:val="16"/>
                <w:szCs w:val="16"/>
              </w:rPr>
            </w:pPr>
            <w:r w:rsidRPr="001E6DFD">
              <w:rPr>
                <w:sz w:val="16"/>
                <w:szCs w:val="16"/>
              </w:rPr>
              <w:t>3</w:t>
            </w:r>
            <w:r w:rsidR="00282CF5" w:rsidRPr="001E6DFD">
              <w:rPr>
                <w:sz w:val="16"/>
                <w:szCs w:val="16"/>
              </w:rPr>
              <w:t> </w:t>
            </w:r>
            <w:r w:rsidRPr="001E6DFD">
              <w:rPr>
                <w:sz w:val="16"/>
                <w:szCs w:val="16"/>
              </w:rPr>
              <w:t>045</w:t>
            </w:r>
          </w:p>
        </w:tc>
      </w:tr>
      <w:tr w:rsidR="00AC7D97" w:rsidRPr="001E6DFD" w14:paraId="4BC08B2B" w14:textId="77777777" w:rsidTr="00A15986">
        <w:trPr>
          <w:jc w:val="center"/>
        </w:trPr>
        <w:tc>
          <w:tcPr>
            <w:tcW w:w="8222" w:type="dxa"/>
            <w:gridSpan w:val="5"/>
            <w:tcBorders>
              <w:top w:val="nil"/>
              <w:left w:val="nil"/>
              <w:bottom w:val="nil"/>
              <w:right w:val="nil"/>
            </w:tcBorders>
            <w:shd w:val="clear" w:color="auto" w:fill="auto"/>
            <w:noWrap/>
            <w:vAlign w:val="center"/>
            <w:hideMark/>
          </w:tcPr>
          <w:p w14:paraId="356A580C" w14:textId="29786A41" w:rsidR="00AC7D97" w:rsidRPr="001E6DFD" w:rsidRDefault="00AC7D97"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34A7BD0D" w14:textId="77777777" w:rsidR="001F64B1" w:rsidRPr="001E6DFD" w:rsidRDefault="001F64B1" w:rsidP="0097226C">
      <w:pPr>
        <w:rPr>
          <w:sz w:val="20"/>
        </w:rPr>
      </w:pPr>
    </w:p>
    <w:p w14:paraId="72BF3589" w14:textId="77777777" w:rsidR="00381826" w:rsidRPr="001E6DFD" w:rsidRDefault="00381826">
      <w:pPr>
        <w:rPr>
          <w:sz w:val="18"/>
          <w:szCs w:val="18"/>
        </w:rPr>
      </w:pPr>
      <w:r w:rsidRPr="001E6DFD">
        <w:br w:type="page"/>
      </w:r>
    </w:p>
    <w:p w14:paraId="7DF97BC1" w14:textId="288ADFFA" w:rsidR="00FA22F6" w:rsidRPr="001E6DFD" w:rsidRDefault="009B328F" w:rsidP="0097226C">
      <w:pPr>
        <w:pStyle w:val="NormalWeb"/>
        <w:keepNext/>
        <w:keepLines/>
        <w:spacing w:before="0" w:beforeAutospacing="0" w:after="0" w:afterAutospacing="0"/>
        <w:jc w:val="center"/>
      </w:pPr>
      <w:r w:rsidRPr="001E6DFD">
        <w:lastRenderedPageBreak/>
        <w:t>Budget et dépenses effectives (dépenses de personnel et autres dépenses)</w:t>
      </w:r>
    </w:p>
    <w:p w14:paraId="4ED99718" w14:textId="42597C11" w:rsidR="001F64B1" w:rsidRPr="001E6DFD" w:rsidRDefault="009B328F"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0C864B9D"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43244732" w14:textId="77777777" w:rsidTr="00A15986">
        <w:trPr>
          <w:jc w:val="center"/>
        </w:trPr>
        <w:tc>
          <w:tcPr>
            <w:tcW w:w="2470" w:type="dxa"/>
            <w:tcBorders>
              <w:top w:val="nil"/>
              <w:left w:val="nil"/>
              <w:bottom w:val="nil"/>
              <w:right w:val="nil"/>
            </w:tcBorders>
            <w:shd w:val="clear" w:color="000000" w:fill="C5D9F1"/>
            <w:noWrap/>
            <w:vAlign w:val="center"/>
            <w:hideMark/>
          </w:tcPr>
          <w:p w14:paraId="170F7BFD" w14:textId="77777777" w:rsidR="00BA5EA9" w:rsidRPr="001E6DFD" w:rsidRDefault="00BA5EA9" w:rsidP="0097226C">
            <w:pPr>
              <w:rPr>
                <w:sz w:val="16"/>
                <w:szCs w:val="16"/>
              </w:rPr>
            </w:pPr>
            <w:r w:rsidRPr="001E6DFD">
              <w:rPr>
                <w:sz w:val="16"/>
                <w:szCs w:val="16"/>
              </w:rPr>
              <w:t> </w:t>
            </w:r>
          </w:p>
        </w:tc>
        <w:tc>
          <w:tcPr>
            <w:tcW w:w="1438" w:type="dxa"/>
            <w:tcBorders>
              <w:top w:val="nil"/>
              <w:left w:val="nil"/>
              <w:bottom w:val="nil"/>
              <w:right w:val="nil"/>
            </w:tcBorders>
            <w:shd w:val="clear" w:color="000000" w:fill="C5D9F1"/>
            <w:vAlign w:val="center"/>
            <w:hideMark/>
          </w:tcPr>
          <w:p w14:paraId="481443FE" w14:textId="009A4750" w:rsidR="00BA5EA9" w:rsidRPr="001E6DFD" w:rsidRDefault="009B328F" w:rsidP="0097226C">
            <w:pPr>
              <w:jc w:val="center"/>
              <w:rPr>
                <w:b/>
                <w:bCs/>
                <w:sz w:val="16"/>
                <w:szCs w:val="16"/>
              </w:rPr>
            </w:pPr>
            <w:r w:rsidRPr="001E6DFD">
              <w:rPr>
                <w:b/>
                <w:bCs/>
                <w:sz w:val="16"/>
                <w:szCs w:val="16"/>
              </w:rPr>
              <w:t>Budget</w:t>
            </w:r>
            <w:r w:rsidR="00B4191E">
              <w:rPr>
                <w:b/>
                <w:bCs/>
                <w:sz w:val="16"/>
                <w:szCs w:val="16"/>
              </w:rPr>
              <w:t> </w:t>
            </w:r>
            <w:r w:rsidR="00AC7D97" w:rsidRPr="001E6DFD">
              <w:rPr>
                <w:b/>
                <w:bCs/>
                <w:sz w:val="16"/>
                <w:szCs w:val="16"/>
              </w:rPr>
              <w:t>2016</w:t>
            </w:r>
            <w:r w:rsidR="006A41CF" w:rsidRPr="001E6DFD">
              <w:rPr>
                <w:b/>
                <w:bCs/>
                <w:sz w:val="16"/>
                <w:szCs w:val="16"/>
              </w:rPr>
              <w:noBreakHyphen/>
            </w:r>
            <w:r w:rsidR="00AC7D97" w:rsidRPr="001E6DFD">
              <w:rPr>
                <w:b/>
                <w:bCs/>
                <w:sz w:val="16"/>
                <w:szCs w:val="16"/>
              </w:rPr>
              <w:t>2017</w:t>
            </w:r>
            <w:r w:rsidRPr="001E6DFD">
              <w:rPr>
                <w:b/>
                <w:bCs/>
                <w:sz w:val="16"/>
                <w:szCs w:val="16"/>
              </w:rPr>
              <w:t xml:space="preserve"> approuvé</w:t>
            </w:r>
          </w:p>
        </w:tc>
        <w:tc>
          <w:tcPr>
            <w:tcW w:w="1438" w:type="dxa"/>
            <w:tcBorders>
              <w:top w:val="nil"/>
              <w:left w:val="nil"/>
              <w:bottom w:val="nil"/>
              <w:right w:val="nil"/>
            </w:tcBorders>
            <w:shd w:val="clear" w:color="000000" w:fill="C5D9F1"/>
            <w:vAlign w:val="center"/>
            <w:hideMark/>
          </w:tcPr>
          <w:p w14:paraId="4C81521F" w14:textId="74BADAD5" w:rsidR="00BA5EA9" w:rsidRPr="001E6DFD" w:rsidRDefault="009B328F"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183849DA" w14:textId="60D61EB9" w:rsidR="00BA5EA9" w:rsidRPr="001E6DFD" w:rsidRDefault="009B328F"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4275FAD3" w14:textId="54659888" w:rsidR="00BA5EA9" w:rsidRPr="001E6DFD" w:rsidRDefault="009B328F"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2AC9A7C1" w14:textId="77777777" w:rsidTr="00A15986">
        <w:trPr>
          <w:jc w:val="center"/>
        </w:trPr>
        <w:tc>
          <w:tcPr>
            <w:tcW w:w="2470" w:type="dxa"/>
            <w:tcBorders>
              <w:top w:val="nil"/>
              <w:left w:val="nil"/>
              <w:bottom w:val="nil"/>
              <w:right w:val="nil"/>
            </w:tcBorders>
            <w:shd w:val="clear" w:color="auto" w:fill="auto"/>
            <w:noWrap/>
            <w:vAlign w:val="center"/>
            <w:hideMark/>
          </w:tcPr>
          <w:p w14:paraId="61CC1B22"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6E39DC9D" w14:textId="77777777" w:rsidR="00BA5EA9" w:rsidRPr="001E6DFD" w:rsidRDefault="00BA5EA9" w:rsidP="0097226C">
            <w:pPr>
              <w:jc w:val="center"/>
              <w:rPr>
                <w:sz w:val="16"/>
                <w:szCs w:val="16"/>
              </w:rPr>
            </w:pPr>
            <w:r w:rsidRPr="001E6DFD">
              <w:rPr>
                <w:sz w:val="16"/>
                <w:szCs w:val="16"/>
              </w:rPr>
              <w:t>3</w:t>
            </w:r>
            <w:r w:rsidR="00282CF5" w:rsidRPr="001E6DFD">
              <w:rPr>
                <w:sz w:val="16"/>
                <w:szCs w:val="16"/>
              </w:rPr>
              <w:t> </w:t>
            </w:r>
            <w:r w:rsidRPr="001E6DFD">
              <w:rPr>
                <w:sz w:val="16"/>
                <w:szCs w:val="16"/>
              </w:rPr>
              <w:t xml:space="preserve">581 </w:t>
            </w:r>
          </w:p>
        </w:tc>
        <w:tc>
          <w:tcPr>
            <w:tcW w:w="1438" w:type="dxa"/>
            <w:tcBorders>
              <w:top w:val="nil"/>
              <w:left w:val="nil"/>
              <w:bottom w:val="nil"/>
              <w:right w:val="nil"/>
            </w:tcBorders>
            <w:shd w:val="clear" w:color="auto" w:fill="auto"/>
            <w:vAlign w:val="center"/>
            <w:hideMark/>
          </w:tcPr>
          <w:p w14:paraId="3CD15724" w14:textId="77777777" w:rsidR="00BA5EA9" w:rsidRPr="001E6DFD" w:rsidRDefault="00BA5EA9" w:rsidP="0097226C">
            <w:pPr>
              <w:jc w:val="center"/>
              <w:rPr>
                <w:sz w:val="16"/>
                <w:szCs w:val="16"/>
              </w:rPr>
            </w:pPr>
            <w:r w:rsidRPr="001E6DFD">
              <w:rPr>
                <w:sz w:val="16"/>
                <w:szCs w:val="16"/>
              </w:rPr>
              <w:t>4</w:t>
            </w:r>
            <w:r w:rsidR="00282CF5" w:rsidRPr="001E6DFD">
              <w:rPr>
                <w:sz w:val="16"/>
                <w:szCs w:val="16"/>
              </w:rPr>
              <w:t> </w:t>
            </w:r>
            <w:r w:rsidRPr="001E6DFD">
              <w:rPr>
                <w:sz w:val="16"/>
                <w:szCs w:val="16"/>
              </w:rPr>
              <w:t xml:space="preserve">160 </w:t>
            </w:r>
          </w:p>
        </w:tc>
        <w:tc>
          <w:tcPr>
            <w:tcW w:w="1438" w:type="dxa"/>
            <w:tcBorders>
              <w:top w:val="nil"/>
              <w:left w:val="nil"/>
              <w:bottom w:val="nil"/>
              <w:right w:val="nil"/>
            </w:tcBorders>
            <w:shd w:val="clear" w:color="auto" w:fill="auto"/>
            <w:vAlign w:val="center"/>
            <w:hideMark/>
          </w:tcPr>
          <w:p w14:paraId="4608CD54" w14:textId="77777777" w:rsidR="00BA5EA9" w:rsidRPr="001E6DFD" w:rsidRDefault="00BA5EA9" w:rsidP="0097226C">
            <w:pPr>
              <w:jc w:val="center"/>
              <w:rPr>
                <w:sz w:val="16"/>
                <w:szCs w:val="16"/>
              </w:rPr>
            </w:pPr>
            <w:r w:rsidRPr="001E6DFD">
              <w:rPr>
                <w:sz w:val="16"/>
                <w:szCs w:val="16"/>
              </w:rPr>
              <w:t>1</w:t>
            </w:r>
            <w:r w:rsidR="00282CF5" w:rsidRPr="001E6DFD">
              <w:rPr>
                <w:sz w:val="16"/>
                <w:szCs w:val="16"/>
              </w:rPr>
              <w:t> </w:t>
            </w:r>
            <w:r w:rsidRPr="001E6DFD">
              <w:rPr>
                <w:sz w:val="16"/>
                <w:szCs w:val="16"/>
              </w:rPr>
              <w:t xml:space="preserve">730 </w:t>
            </w:r>
          </w:p>
        </w:tc>
        <w:tc>
          <w:tcPr>
            <w:tcW w:w="1438" w:type="dxa"/>
            <w:tcBorders>
              <w:top w:val="nil"/>
              <w:left w:val="nil"/>
              <w:bottom w:val="nil"/>
              <w:right w:val="nil"/>
            </w:tcBorders>
            <w:shd w:val="clear" w:color="auto" w:fill="auto"/>
            <w:vAlign w:val="center"/>
            <w:hideMark/>
          </w:tcPr>
          <w:p w14:paraId="5AB9F3C5" w14:textId="77777777" w:rsidR="00BA5EA9" w:rsidRPr="001E6DFD" w:rsidRDefault="00BA5EA9" w:rsidP="0097226C">
            <w:pPr>
              <w:jc w:val="center"/>
              <w:rPr>
                <w:sz w:val="16"/>
                <w:szCs w:val="16"/>
              </w:rPr>
            </w:pPr>
            <w:r w:rsidRPr="001E6DFD">
              <w:rPr>
                <w:sz w:val="16"/>
                <w:szCs w:val="16"/>
              </w:rPr>
              <w:t>42%</w:t>
            </w:r>
          </w:p>
        </w:tc>
      </w:tr>
      <w:tr w:rsidR="00BA5EA9" w:rsidRPr="001E6DFD" w14:paraId="2C392B0E" w14:textId="77777777" w:rsidTr="00A15986">
        <w:trPr>
          <w:jc w:val="center"/>
        </w:trPr>
        <w:tc>
          <w:tcPr>
            <w:tcW w:w="2470" w:type="dxa"/>
            <w:tcBorders>
              <w:top w:val="nil"/>
              <w:left w:val="nil"/>
              <w:bottom w:val="nil"/>
              <w:right w:val="nil"/>
            </w:tcBorders>
            <w:shd w:val="clear" w:color="auto" w:fill="auto"/>
            <w:noWrap/>
            <w:vAlign w:val="center"/>
            <w:hideMark/>
          </w:tcPr>
          <w:p w14:paraId="15357321"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3E8E6E90" w14:textId="77777777" w:rsidR="00BA5EA9" w:rsidRPr="001E6DFD" w:rsidRDefault="00BA5EA9" w:rsidP="0097226C">
            <w:pPr>
              <w:jc w:val="center"/>
              <w:rPr>
                <w:sz w:val="16"/>
                <w:szCs w:val="16"/>
              </w:rPr>
            </w:pPr>
            <w:r w:rsidRPr="001E6DFD">
              <w:rPr>
                <w:sz w:val="16"/>
                <w:szCs w:val="16"/>
              </w:rPr>
              <w:t>2</w:t>
            </w:r>
            <w:r w:rsidR="00282CF5" w:rsidRPr="001E6DFD">
              <w:rPr>
                <w:sz w:val="16"/>
                <w:szCs w:val="16"/>
              </w:rPr>
              <w:t> </w:t>
            </w:r>
            <w:r w:rsidRPr="001E6DFD">
              <w:rPr>
                <w:sz w:val="16"/>
                <w:szCs w:val="16"/>
              </w:rPr>
              <w:t xml:space="preserve">534 </w:t>
            </w:r>
          </w:p>
        </w:tc>
        <w:tc>
          <w:tcPr>
            <w:tcW w:w="1438" w:type="dxa"/>
            <w:tcBorders>
              <w:top w:val="nil"/>
              <w:left w:val="nil"/>
              <w:bottom w:val="nil"/>
              <w:right w:val="nil"/>
            </w:tcBorders>
            <w:shd w:val="clear" w:color="auto" w:fill="auto"/>
            <w:vAlign w:val="center"/>
            <w:hideMark/>
          </w:tcPr>
          <w:p w14:paraId="79345F47" w14:textId="77777777" w:rsidR="00BA5EA9" w:rsidRPr="001E6DFD" w:rsidRDefault="00BA5EA9" w:rsidP="0097226C">
            <w:pPr>
              <w:jc w:val="center"/>
              <w:rPr>
                <w:sz w:val="16"/>
                <w:szCs w:val="16"/>
              </w:rPr>
            </w:pPr>
            <w:r w:rsidRPr="001E6DFD">
              <w:rPr>
                <w:sz w:val="16"/>
                <w:szCs w:val="16"/>
              </w:rPr>
              <w:t>2</w:t>
            </w:r>
            <w:r w:rsidR="00282CF5" w:rsidRPr="001E6DFD">
              <w:rPr>
                <w:sz w:val="16"/>
                <w:szCs w:val="16"/>
              </w:rPr>
              <w:t> </w:t>
            </w:r>
            <w:r w:rsidRPr="001E6DFD">
              <w:rPr>
                <w:sz w:val="16"/>
                <w:szCs w:val="16"/>
              </w:rPr>
              <w:t xml:space="preserve">526 </w:t>
            </w:r>
          </w:p>
        </w:tc>
        <w:tc>
          <w:tcPr>
            <w:tcW w:w="1438" w:type="dxa"/>
            <w:tcBorders>
              <w:top w:val="nil"/>
              <w:left w:val="nil"/>
              <w:bottom w:val="nil"/>
              <w:right w:val="nil"/>
            </w:tcBorders>
            <w:shd w:val="clear" w:color="auto" w:fill="auto"/>
            <w:vAlign w:val="center"/>
            <w:hideMark/>
          </w:tcPr>
          <w:p w14:paraId="6938263E" w14:textId="77777777" w:rsidR="00BA5EA9" w:rsidRPr="001E6DFD" w:rsidRDefault="00BA5EA9" w:rsidP="0097226C">
            <w:pPr>
              <w:jc w:val="center"/>
              <w:rPr>
                <w:sz w:val="16"/>
                <w:szCs w:val="16"/>
              </w:rPr>
            </w:pPr>
            <w:r w:rsidRPr="001E6DFD">
              <w:rPr>
                <w:sz w:val="16"/>
                <w:szCs w:val="16"/>
              </w:rPr>
              <w:t>1</w:t>
            </w:r>
            <w:r w:rsidR="00282CF5" w:rsidRPr="001E6DFD">
              <w:rPr>
                <w:sz w:val="16"/>
                <w:szCs w:val="16"/>
              </w:rPr>
              <w:t> </w:t>
            </w:r>
            <w:r w:rsidRPr="001E6DFD">
              <w:rPr>
                <w:sz w:val="16"/>
                <w:szCs w:val="16"/>
              </w:rPr>
              <w:t xml:space="preserve">315 </w:t>
            </w:r>
          </w:p>
        </w:tc>
        <w:tc>
          <w:tcPr>
            <w:tcW w:w="1438" w:type="dxa"/>
            <w:tcBorders>
              <w:top w:val="nil"/>
              <w:left w:val="nil"/>
              <w:bottom w:val="nil"/>
              <w:right w:val="nil"/>
            </w:tcBorders>
            <w:shd w:val="clear" w:color="auto" w:fill="auto"/>
            <w:vAlign w:val="center"/>
            <w:hideMark/>
          </w:tcPr>
          <w:p w14:paraId="2A2017AE" w14:textId="77777777" w:rsidR="00BA5EA9" w:rsidRPr="001E6DFD" w:rsidRDefault="00BA5EA9" w:rsidP="0097226C">
            <w:pPr>
              <w:jc w:val="center"/>
              <w:rPr>
                <w:sz w:val="16"/>
                <w:szCs w:val="16"/>
              </w:rPr>
            </w:pPr>
            <w:r w:rsidRPr="001E6DFD">
              <w:rPr>
                <w:sz w:val="16"/>
                <w:szCs w:val="16"/>
              </w:rPr>
              <w:t>52%</w:t>
            </w:r>
          </w:p>
        </w:tc>
      </w:tr>
      <w:tr w:rsidR="00BA5EA9" w:rsidRPr="001E6DFD" w14:paraId="425825BE" w14:textId="77777777" w:rsidTr="00A15986">
        <w:trPr>
          <w:jc w:val="center"/>
        </w:trPr>
        <w:tc>
          <w:tcPr>
            <w:tcW w:w="2470" w:type="dxa"/>
            <w:tcBorders>
              <w:top w:val="nil"/>
              <w:left w:val="nil"/>
              <w:bottom w:val="nil"/>
              <w:right w:val="nil"/>
            </w:tcBorders>
            <w:shd w:val="clear" w:color="000000" w:fill="C5D9F1"/>
            <w:noWrap/>
            <w:vAlign w:val="center"/>
            <w:hideMark/>
          </w:tcPr>
          <w:p w14:paraId="28357E72" w14:textId="33AA54FB" w:rsidR="00BA5EA9" w:rsidRPr="001E6DFD" w:rsidRDefault="009B328F"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2740A465" w14:textId="77777777" w:rsidR="00BA5EA9" w:rsidRPr="001E6DFD" w:rsidRDefault="00BA5EA9" w:rsidP="0097226C">
            <w:pPr>
              <w:jc w:val="center"/>
              <w:rPr>
                <w:b/>
                <w:bCs/>
                <w:sz w:val="16"/>
                <w:szCs w:val="16"/>
              </w:rPr>
            </w:pPr>
            <w:r w:rsidRPr="001E6DFD">
              <w:rPr>
                <w:b/>
                <w:bCs/>
                <w:sz w:val="16"/>
                <w:szCs w:val="16"/>
              </w:rPr>
              <w:t>6</w:t>
            </w:r>
            <w:r w:rsidR="00282CF5" w:rsidRPr="001E6DFD">
              <w:rPr>
                <w:b/>
                <w:bCs/>
                <w:sz w:val="16"/>
                <w:szCs w:val="16"/>
              </w:rPr>
              <w:t> </w:t>
            </w:r>
            <w:r w:rsidRPr="001E6DFD">
              <w:rPr>
                <w:b/>
                <w:bCs/>
                <w:sz w:val="16"/>
                <w:szCs w:val="16"/>
              </w:rPr>
              <w:t xml:space="preserve">115 </w:t>
            </w:r>
          </w:p>
        </w:tc>
        <w:tc>
          <w:tcPr>
            <w:tcW w:w="1438" w:type="dxa"/>
            <w:tcBorders>
              <w:top w:val="nil"/>
              <w:left w:val="nil"/>
              <w:bottom w:val="nil"/>
              <w:right w:val="nil"/>
            </w:tcBorders>
            <w:shd w:val="clear" w:color="000000" w:fill="C5D9F1"/>
            <w:vAlign w:val="center"/>
            <w:hideMark/>
          </w:tcPr>
          <w:p w14:paraId="75EF8D61" w14:textId="77777777" w:rsidR="00BA5EA9" w:rsidRPr="001E6DFD" w:rsidRDefault="00BA5EA9" w:rsidP="0097226C">
            <w:pPr>
              <w:jc w:val="center"/>
              <w:rPr>
                <w:b/>
                <w:bCs/>
                <w:sz w:val="16"/>
                <w:szCs w:val="16"/>
              </w:rPr>
            </w:pPr>
            <w:r w:rsidRPr="001E6DFD">
              <w:rPr>
                <w:b/>
                <w:bCs/>
                <w:sz w:val="16"/>
                <w:szCs w:val="16"/>
              </w:rPr>
              <w:t>6</w:t>
            </w:r>
            <w:r w:rsidR="00282CF5" w:rsidRPr="001E6DFD">
              <w:rPr>
                <w:b/>
                <w:bCs/>
                <w:sz w:val="16"/>
                <w:szCs w:val="16"/>
              </w:rPr>
              <w:t> </w:t>
            </w:r>
            <w:r w:rsidRPr="001E6DFD">
              <w:rPr>
                <w:b/>
                <w:bCs/>
                <w:sz w:val="16"/>
                <w:szCs w:val="16"/>
              </w:rPr>
              <w:t xml:space="preserve">686 </w:t>
            </w:r>
          </w:p>
        </w:tc>
        <w:tc>
          <w:tcPr>
            <w:tcW w:w="1438" w:type="dxa"/>
            <w:tcBorders>
              <w:top w:val="nil"/>
              <w:left w:val="nil"/>
              <w:bottom w:val="nil"/>
              <w:right w:val="nil"/>
            </w:tcBorders>
            <w:shd w:val="clear" w:color="000000" w:fill="C5D9F1"/>
            <w:vAlign w:val="center"/>
            <w:hideMark/>
          </w:tcPr>
          <w:p w14:paraId="020FC884" w14:textId="77777777" w:rsidR="00BA5EA9" w:rsidRPr="001E6DFD" w:rsidRDefault="00BA5EA9" w:rsidP="0097226C">
            <w:pPr>
              <w:jc w:val="center"/>
              <w:rPr>
                <w:b/>
                <w:bCs/>
                <w:sz w:val="16"/>
                <w:szCs w:val="16"/>
              </w:rPr>
            </w:pPr>
            <w:r w:rsidRPr="001E6DFD">
              <w:rPr>
                <w:b/>
                <w:bCs/>
                <w:sz w:val="16"/>
                <w:szCs w:val="16"/>
              </w:rPr>
              <w:t>3</w:t>
            </w:r>
            <w:r w:rsidR="00282CF5" w:rsidRPr="001E6DFD">
              <w:rPr>
                <w:b/>
                <w:bCs/>
                <w:sz w:val="16"/>
                <w:szCs w:val="16"/>
              </w:rPr>
              <w:t> </w:t>
            </w:r>
            <w:r w:rsidRPr="001E6DFD">
              <w:rPr>
                <w:b/>
                <w:bCs/>
                <w:sz w:val="16"/>
                <w:szCs w:val="16"/>
              </w:rPr>
              <w:t xml:space="preserve">045 </w:t>
            </w:r>
          </w:p>
        </w:tc>
        <w:tc>
          <w:tcPr>
            <w:tcW w:w="1438" w:type="dxa"/>
            <w:tcBorders>
              <w:top w:val="nil"/>
              <w:left w:val="nil"/>
              <w:bottom w:val="nil"/>
              <w:right w:val="nil"/>
            </w:tcBorders>
            <w:shd w:val="clear" w:color="000000" w:fill="C5D9F1"/>
            <w:vAlign w:val="center"/>
            <w:hideMark/>
          </w:tcPr>
          <w:p w14:paraId="328C1040" w14:textId="77777777" w:rsidR="00BA5EA9" w:rsidRPr="001E6DFD" w:rsidRDefault="00BA5EA9" w:rsidP="0097226C">
            <w:pPr>
              <w:jc w:val="center"/>
              <w:rPr>
                <w:b/>
                <w:bCs/>
                <w:sz w:val="16"/>
                <w:szCs w:val="16"/>
              </w:rPr>
            </w:pPr>
            <w:r w:rsidRPr="001E6DFD">
              <w:rPr>
                <w:b/>
                <w:bCs/>
                <w:sz w:val="16"/>
                <w:szCs w:val="16"/>
              </w:rPr>
              <w:t>46%</w:t>
            </w:r>
          </w:p>
        </w:tc>
      </w:tr>
      <w:tr w:rsidR="00BA5EA9" w:rsidRPr="001E6DFD" w14:paraId="61642123" w14:textId="77777777" w:rsidTr="00A15986">
        <w:trPr>
          <w:jc w:val="center"/>
        </w:trPr>
        <w:tc>
          <w:tcPr>
            <w:tcW w:w="8222" w:type="dxa"/>
            <w:gridSpan w:val="5"/>
            <w:tcBorders>
              <w:top w:val="nil"/>
              <w:left w:val="nil"/>
              <w:bottom w:val="nil"/>
              <w:right w:val="nil"/>
            </w:tcBorders>
            <w:shd w:val="clear" w:color="auto" w:fill="auto"/>
            <w:noWrap/>
            <w:vAlign w:val="center"/>
            <w:hideMark/>
          </w:tcPr>
          <w:p w14:paraId="4AACC73C" w14:textId="1581C00C"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59581B79" w14:textId="77777777" w:rsidR="001F64B1" w:rsidRPr="001E6DFD" w:rsidRDefault="001F64B1" w:rsidP="0097226C">
      <w:pPr>
        <w:rPr>
          <w:sz w:val="20"/>
        </w:rPr>
      </w:pPr>
    </w:p>
    <w:p w14:paraId="2422D00B" w14:textId="55798DA9" w:rsidR="001F64B1" w:rsidRPr="001E6DFD" w:rsidRDefault="009B328F" w:rsidP="0097226C">
      <w:pPr>
        <w:keepNext/>
        <w:keepLines/>
        <w:ind w:left="567" w:right="424"/>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6693FCBA" w14:textId="77777777" w:rsidR="001F64B1" w:rsidRPr="001E6DFD" w:rsidRDefault="001F64B1" w:rsidP="0097226C">
      <w:pPr>
        <w:rPr>
          <w:sz w:val="20"/>
        </w:rPr>
      </w:pPr>
    </w:p>
    <w:p w14:paraId="56535764" w14:textId="77777777" w:rsidR="001F64B1" w:rsidRPr="001E6DFD" w:rsidRDefault="001F64B1" w:rsidP="0097226C">
      <w:pPr>
        <w:rPr>
          <w:sz w:val="20"/>
        </w:rPr>
      </w:pPr>
    </w:p>
    <w:p w14:paraId="564C7FC7" w14:textId="536CE7EF" w:rsidR="001F64B1" w:rsidRPr="001E6DFD" w:rsidRDefault="00BA5EA9" w:rsidP="0097226C">
      <w:pPr>
        <w:keepNext/>
        <w:jc w:val="both"/>
        <w:rPr>
          <w:sz w:val="20"/>
          <w:u w:val="single"/>
        </w:rPr>
      </w:pPr>
      <w:r w:rsidRPr="001E6DFD">
        <w:rPr>
          <w:sz w:val="20"/>
        </w:rPr>
        <w:t>A.</w:t>
      </w:r>
      <w:r w:rsidRPr="001E6DFD">
        <w:rPr>
          <w:sz w:val="20"/>
        </w:rPr>
        <w:tab/>
      </w:r>
      <w:r w:rsidR="00F3341E" w:rsidRPr="001E6DFD">
        <w:rPr>
          <w:sz w:val="20"/>
          <w:u w:val="single"/>
        </w:rPr>
        <w:t>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 après virements</w:t>
      </w:r>
    </w:p>
    <w:p w14:paraId="4FCED713" w14:textId="77777777" w:rsidR="001F64B1" w:rsidRPr="001E6DFD" w:rsidRDefault="001F64B1" w:rsidP="0097226C">
      <w:pPr>
        <w:keepNext/>
        <w:jc w:val="both"/>
        <w:rPr>
          <w:sz w:val="20"/>
        </w:rPr>
      </w:pPr>
    </w:p>
    <w:p w14:paraId="4D1DCF50" w14:textId="19C25DDF" w:rsidR="001F64B1" w:rsidRPr="001E6DFD" w:rsidRDefault="00726036" w:rsidP="00D544B8">
      <w:pPr>
        <w:pStyle w:val="ListParagraph"/>
        <w:numPr>
          <w:ilvl w:val="0"/>
          <w:numId w:val="7"/>
        </w:numPr>
        <w:ind w:left="0" w:firstLine="0"/>
        <w:jc w:val="both"/>
        <w:rPr>
          <w:rFonts w:ascii="Arial" w:hAnsi="Arial" w:cs="Arial"/>
          <w:sz w:val="20"/>
          <w:szCs w:val="20"/>
        </w:rPr>
      </w:pPr>
      <w:r w:rsidRPr="001E6DFD">
        <w:rPr>
          <w:rFonts w:ascii="Arial" w:hAnsi="Arial" w:cs="Arial"/>
          <w:sz w:val="20"/>
          <w:szCs w:val="20"/>
        </w:rPr>
        <w:t>L</w:t>
      </w:r>
      <w:r w:rsidR="00FA22F6" w:rsidRPr="001E6DFD">
        <w:rPr>
          <w:rFonts w:ascii="Arial" w:hAnsi="Arial" w:cs="Arial"/>
          <w:sz w:val="20"/>
          <w:szCs w:val="20"/>
        </w:rPr>
        <w:t>’</w:t>
      </w:r>
      <w:r w:rsidRPr="001E6DFD">
        <w:rPr>
          <w:rFonts w:ascii="Arial" w:hAnsi="Arial" w:cs="Arial"/>
          <w:sz w:val="20"/>
          <w:szCs w:val="20"/>
        </w:rPr>
        <w:t xml:space="preserve">augmentation des ressources </w:t>
      </w:r>
      <w:r w:rsidR="003A7732" w:rsidRPr="001E6DFD">
        <w:rPr>
          <w:rFonts w:ascii="Arial" w:hAnsi="Arial" w:cs="Arial"/>
          <w:sz w:val="20"/>
          <w:szCs w:val="20"/>
        </w:rPr>
        <w:t>e</w:t>
      </w:r>
      <w:r w:rsidR="00381826" w:rsidRPr="001E6DFD">
        <w:rPr>
          <w:rFonts w:ascii="Arial" w:hAnsi="Arial" w:cs="Arial"/>
          <w:sz w:val="20"/>
          <w:szCs w:val="20"/>
        </w:rPr>
        <w:t>n</w:t>
      </w:r>
      <w:r w:rsidR="003A7732" w:rsidRPr="001E6DFD">
        <w:rPr>
          <w:rFonts w:ascii="Arial" w:hAnsi="Arial" w:cs="Arial"/>
          <w:sz w:val="20"/>
          <w:szCs w:val="20"/>
        </w:rPr>
        <w:t xml:space="preserve"> </w:t>
      </w:r>
      <w:r w:rsidRPr="001E6DFD">
        <w:rPr>
          <w:rFonts w:ascii="Arial" w:hAnsi="Arial" w:cs="Arial"/>
          <w:sz w:val="20"/>
          <w:szCs w:val="20"/>
        </w:rPr>
        <w:t xml:space="preserve">personnel </w:t>
      </w:r>
      <w:r w:rsidR="003A7732" w:rsidRPr="001E6DFD">
        <w:rPr>
          <w:rFonts w:ascii="Arial" w:hAnsi="Arial" w:cs="Arial"/>
          <w:sz w:val="20"/>
          <w:szCs w:val="20"/>
        </w:rPr>
        <w:t xml:space="preserve">était due </w:t>
      </w:r>
      <w:r w:rsidR="00AC67E6" w:rsidRPr="001E6DFD">
        <w:rPr>
          <w:rFonts w:ascii="Arial" w:hAnsi="Arial" w:cs="Arial"/>
          <w:sz w:val="20"/>
          <w:szCs w:val="20"/>
        </w:rPr>
        <w:t xml:space="preserve">au </w:t>
      </w:r>
      <w:r w:rsidRPr="001E6DFD">
        <w:rPr>
          <w:rFonts w:ascii="Arial" w:hAnsi="Arial" w:cs="Arial"/>
          <w:sz w:val="20"/>
          <w:szCs w:val="20"/>
        </w:rPr>
        <w:t>transfert</w:t>
      </w:r>
      <w:r w:rsidR="00FB2B0E" w:rsidRPr="001E6DFD">
        <w:rPr>
          <w:rFonts w:ascii="Arial" w:hAnsi="Arial" w:cs="Arial"/>
          <w:sz w:val="20"/>
          <w:szCs w:val="20"/>
        </w:rPr>
        <w:t>,</w:t>
      </w:r>
      <w:r w:rsidRPr="001E6DFD">
        <w:rPr>
          <w:rFonts w:ascii="Arial" w:hAnsi="Arial" w:cs="Arial"/>
          <w:sz w:val="20"/>
          <w:szCs w:val="20"/>
        </w:rPr>
        <w:t xml:space="preserve"> </w:t>
      </w:r>
      <w:r w:rsidR="00FB2B0E" w:rsidRPr="001E6DFD">
        <w:rPr>
          <w:rFonts w:ascii="Arial" w:hAnsi="Arial" w:cs="Arial"/>
          <w:sz w:val="20"/>
          <w:szCs w:val="20"/>
        </w:rPr>
        <w:t xml:space="preserve">au Département des savoirs traditionnels et des défis mondiaux, </w:t>
      </w:r>
      <w:r w:rsidRPr="001E6DFD">
        <w:rPr>
          <w:rFonts w:ascii="Arial" w:hAnsi="Arial" w:cs="Arial"/>
          <w:sz w:val="20"/>
          <w:szCs w:val="20"/>
        </w:rPr>
        <w:t>de deux</w:t>
      </w:r>
      <w:r w:rsidR="004D421A" w:rsidRPr="001E6DFD">
        <w:rPr>
          <w:rFonts w:ascii="Arial" w:hAnsi="Arial" w:cs="Arial"/>
          <w:sz w:val="20"/>
          <w:szCs w:val="20"/>
        </w:rPr>
        <w:t> </w:t>
      </w:r>
      <w:r w:rsidRPr="001E6DFD">
        <w:rPr>
          <w:rFonts w:ascii="Arial" w:hAnsi="Arial" w:cs="Arial"/>
          <w:sz w:val="20"/>
          <w:szCs w:val="20"/>
        </w:rPr>
        <w:t xml:space="preserve">membres du personnel du programme relatif à la propriété intellectuelle et aux </w:t>
      </w:r>
      <w:r w:rsidR="00AC67E6" w:rsidRPr="001E6DFD">
        <w:rPr>
          <w:rFonts w:ascii="Arial" w:hAnsi="Arial" w:cs="Arial"/>
          <w:sz w:val="20"/>
          <w:szCs w:val="20"/>
        </w:rPr>
        <w:t>défis mondiaux (p</w:t>
      </w:r>
      <w:r w:rsidRPr="001E6DFD">
        <w:rPr>
          <w:rFonts w:ascii="Arial" w:hAnsi="Arial" w:cs="Arial"/>
          <w:sz w:val="20"/>
          <w:szCs w:val="20"/>
        </w:rPr>
        <w:t>rogramme</w:t>
      </w:r>
      <w:r w:rsidR="00B4191E">
        <w:rPr>
          <w:rFonts w:ascii="Arial" w:hAnsi="Arial" w:cs="Arial"/>
          <w:sz w:val="20"/>
          <w:szCs w:val="20"/>
        </w:rPr>
        <w:t> </w:t>
      </w:r>
      <w:r w:rsidRPr="001E6DFD">
        <w:rPr>
          <w:rFonts w:ascii="Arial" w:hAnsi="Arial" w:cs="Arial"/>
          <w:sz w:val="20"/>
          <w:szCs w:val="20"/>
        </w:rPr>
        <w:t>18</w:t>
      </w:r>
      <w:r w:rsidR="00AC67E6" w:rsidRPr="001E6DFD">
        <w:rPr>
          <w:rFonts w:ascii="Arial" w:hAnsi="Arial" w:cs="Arial"/>
          <w:sz w:val="20"/>
          <w:szCs w:val="20"/>
        </w:rPr>
        <w:t>) et de la Direction générale (p</w:t>
      </w:r>
      <w:r w:rsidR="00FB2B0E" w:rsidRPr="001E6DFD">
        <w:rPr>
          <w:rFonts w:ascii="Arial" w:hAnsi="Arial" w:cs="Arial"/>
          <w:sz w:val="20"/>
          <w:szCs w:val="20"/>
        </w:rPr>
        <w:t>rogramme</w:t>
      </w:r>
      <w:r w:rsidR="00B4191E">
        <w:rPr>
          <w:rFonts w:ascii="Arial" w:hAnsi="Arial" w:cs="Arial"/>
          <w:sz w:val="20"/>
          <w:szCs w:val="20"/>
        </w:rPr>
        <w:t> </w:t>
      </w:r>
      <w:r w:rsidR="00FB2B0E" w:rsidRPr="001E6DFD">
        <w:rPr>
          <w:rFonts w:ascii="Arial" w:hAnsi="Arial" w:cs="Arial"/>
          <w:sz w:val="20"/>
          <w:szCs w:val="20"/>
        </w:rPr>
        <w:t>21)</w:t>
      </w:r>
      <w:r w:rsidRPr="001E6DFD">
        <w:rPr>
          <w:rFonts w:ascii="Arial" w:hAnsi="Arial" w:cs="Arial"/>
          <w:sz w:val="20"/>
          <w:szCs w:val="20"/>
        </w:rPr>
        <w:t xml:space="preserve">, </w:t>
      </w:r>
      <w:r w:rsidR="00FB2B0E" w:rsidRPr="001E6DFD">
        <w:rPr>
          <w:rFonts w:ascii="Arial" w:hAnsi="Arial" w:cs="Arial"/>
          <w:sz w:val="20"/>
          <w:szCs w:val="20"/>
        </w:rPr>
        <w:t xml:space="preserve">tel </w:t>
      </w:r>
      <w:r w:rsidR="00395C73" w:rsidRPr="001E6DFD">
        <w:rPr>
          <w:rFonts w:ascii="Arial" w:hAnsi="Arial" w:cs="Arial"/>
          <w:sz w:val="20"/>
          <w:szCs w:val="20"/>
        </w:rPr>
        <w:t>qu</w:t>
      </w:r>
      <w:r w:rsidR="00FA22F6" w:rsidRPr="001E6DFD">
        <w:rPr>
          <w:rFonts w:ascii="Arial" w:hAnsi="Arial" w:cs="Arial"/>
          <w:sz w:val="20"/>
          <w:szCs w:val="20"/>
        </w:rPr>
        <w:t>’</w:t>
      </w:r>
      <w:r w:rsidR="00395C73" w:rsidRPr="001E6DFD">
        <w:rPr>
          <w:rFonts w:ascii="Arial" w:hAnsi="Arial" w:cs="Arial"/>
          <w:sz w:val="20"/>
          <w:szCs w:val="20"/>
        </w:rPr>
        <w:t xml:space="preserve">indiqué au </w:t>
      </w:r>
      <w:r w:rsidRPr="001E6DFD">
        <w:rPr>
          <w:rFonts w:ascii="Arial" w:hAnsi="Arial" w:cs="Arial"/>
          <w:sz w:val="20"/>
          <w:szCs w:val="20"/>
        </w:rPr>
        <w:t xml:space="preserve">résultat </w:t>
      </w:r>
      <w:r w:rsidR="00FB2B0E" w:rsidRPr="001E6DFD">
        <w:rPr>
          <w:rFonts w:ascii="Arial" w:hAnsi="Arial" w:cs="Arial"/>
          <w:sz w:val="20"/>
          <w:szCs w:val="20"/>
        </w:rPr>
        <w:t xml:space="preserve">escompté </w:t>
      </w:r>
      <w:r w:rsidRPr="001E6DFD">
        <w:rPr>
          <w:rFonts w:ascii="Arial" w:hAnsi="Arial" w:cs="Arial"/>
          <w:sz w:val="20"/>
          <w:szCs w:val="20"/>
        </w:rPr>
        <w:t>III.2 (</w:t>
      </w:r>
      <w:r w:rsidR="00FB2B0E" w:rsidRPr="001E6DFD">
        <w:rPr>
          <w:rFonts w:ascii="Arial" w:hAnsi="Arial" w:cs="Arial"/>
          <w:sz w:val="20"/>
          <w:szCs w:val="20"/>
        </w:rPr>
        <w:t>Renforcement des capacités en matière de ressources humaines</w:t>
      </w:r>
      <w:r w:rsidRPr="001E6DFD">
        <w:rPr>
          <w:rFonts w:ascii="Arial" w:hAnsi="Arial" w:cs="Arial"/>
          <w:sz w:val="20"/>
          <w:szCs w:val="20"/>
        </w:rPr>
        <w:t>).</w:t>
      </w:r>
    </w:p>
    <w:p w14:paraId="0BA720FC" w14:textId="77777777" w:rsidR="001F64B1" w:rsidRPr="001E6DFD" w:rsidRDefault="001F64B1" w:rsidP="0097226C">
      <w:pPr>
        <w:jc w:val="both"/>
        <w:rPr>
          <w:sz w:val="20"/>
        </w:rPr>
      </w:pPr>
    </w:p>
    <w:p w14:paraId="25A90CC2" w14:textId="07A6B08C" w:rsidR="001F64B1" w:rsidRPr="001E6DFD" w:rsidRDefault="00BA5EA9" w:rsidP="0097226C">
      <w:pPr>
        <w:jc w:val="both"/>
        <w:rPr>
          <w:sz w:val="20"/>
          <w:u w:val="single"/>
        </w:rPr>
      </w:pPr>
      <w:r w:rsidRPr="001E6DFD">
        <w:rPr>
          <w:sz w:val="20"/>
        </w:rPr>
        <w:t>B.</w:t>
      </w:r>
      <w:r w:rsidRPr="001E6DFD">
        <w:rPr>
          <w:sz w:val="20"/>
        </w:rPr>
        <w:tab/>
      </w:r>
      <w:r w:rsidR="00F3341E" w:rsidRPr="001E6DFD">
        <w:rPr>
          <w:sz w:val="20"/>
          <w:u w:val="single"/>
        </w:rPr>
        <w:t>Utilisation du 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w:t>
      </w:r>
    </w:p>
    <w:p w14:paraId="615B4491" w14:textId="77777777" w:rsidR="001F64B1" w:rsidRPr="001E6DFD" w:rsidRDefault="001F64B1" w:rsidP="0097226C">
      <w:pPr>
        <w:jc w:val="both"/>
        <w:rPr>
          <w:sz w:val="20"/>
        </w:rPr>
      </w:pPr>
    </w:p>
    <w:p w14:paraId="05626391" w14:textId="4EC26279" w:rsidR="001F64B1" w:rsidRPr="001E6DFD" w:rsidRDefault="00EC540A" w:rsidP="00D544B8">
      <w:pPr>
        <w:pStyle w:val="ListParagraph"/>
        <w:numPr>
          <w:ilvl w:val="0"/>
          <w:numId w:val="7"/>
        </w:numPr>
        <w:ind w:left="0" w:firstLine="0"/>
        <w:jc w:val="both"/>
        <w:rPr>
          <w:rFonts w:ascii="Arial" w:hAnsi="Arial" w:cs="Arial"/>
          <w:sz w:val="20"/>
          <w:szCs w:val="20"/>
        </w:rPr>
      </w:pPr>
      <w:r w:rsidRPr="001E6DFD">
        <w:rPr>
          <w:rFonts w:ascii="Arial" w:hAnsi="Arial" w:cs="Arial"/>
          <w:sz w:val="20"/>
          <w:lang w:eastAsia="ko-KR"/>
        </w:rPr>
        <w:t>L</w:t>
      </w:r>
      <w:r w:rsidR="00FA22F6" w:rsidRPr="001E6DFD">
        <w:rPr>
          <w:rFonts w:ascii="Arial" w:hAnsi="Arial" w:cs="Arial"/>
          <w:sz w:val="20"/>
          <w:lang w:eastAsia="ko-KR"/>
        </w:rPr>
        <w:t>’</w:t>
      </w:r>
      <w:r w:rsidRPr="001E6DFD">
        <w:rPr>
          <w:rFonts w:ascii="Arial" w:hAnsi="Arial" w:cs="Arial"/>
          <w:sz w:val="20"/>
          <w:lang w:eastAsia="ko-KR"/>
        </w:rPr>
        <w:t>utilisation du budget se situait dans la fourchette prévue des 40 à 60% pour la première année de l</w:t>
      </w:r>
      <w:r w:rsidR="00FA22F6" w:rsidRPr="001E6DFD">
        <w:rPr>
          <w:rFonts w:ascii="Arial" w:hAnsi="Arial" w:cs="Arial"/>
          <w:sz w:val="20"/>
          <w:lang w:eastAsia="ko-KR"/>
        </w:rPr>
        <w:t>’</w:t>
      </w:r>
      <w:r w:rsidRPr="001E6DFD">
        <w:rPr>
          <w:rFonts w:ascii="Arial" w:hAnsi="Arial" w:cs="Arial"/>
          <w:sz w:val="20"/>
          <w:lang w:eastAsia="ko-KR"/>
        </w:rPr>
        <w:t>exercice biennal.</w:t>
      </w:r>
    </w:p>
    <w:p w14:paraId="2A9272F1" w14:textId="77777777" w:rsidR="00AC7D97" w:rsidRPr="001E6DFD" w:rsidRDefault="00AC7D97" w:rsidP="0097226C">
      <w:pPr>
        <w:rPr>
          <w:rFonts w:eastAsia="SimSun"/>
          <w:b/>
          <w:iCs/>
          <w:caps/>
          <w:szCs w:val="22"/>
          <w:lang w:eastAsia="zh-CN"/>
        </w:rPr>
      </w:pPr>
      <w:r w:rsidRPr="001E6DFD">
        <w:rPr>
          <w:rFonts w:eastAsia="SimSun"/>
          <w:b/>
          <w:iCs/>
          <w:caps/>
          <w:szCs w:val="22"/>
          <w:lang w:eastAsia="zh-CN"/>
        </w:rPr>
        <w:br w:type="page"/>
      </w:r>
    </w:p>
    <w:p w14:paraId="72DC686C" w14:textId="1E229C67" w:rsidR="009709C2" w:rsidRPr="009761D3" w:rsidRDefault="002D57E6" w:rsidP="009761D3">
      <w:pPr>
        <w:pStyle w:val="Heading2"/>
      </w:pPr>
      <w:bookmarkStart w:id="25" w:name="_Toc482774593"/>
      <w:bookmarkStart w:id="26" w:name="_Toc367350576"/>
      <w:r w:rsidRPr="009761D3">
        <w:lastRenderedPageBreak/>
        <w:t>Objectif stratégique II</w:t>
      </w:r>
      <w:bookmarkEnd w:id="25"/>
    </w:p>
    <w:p w14:paraId="0C9EFCE9" w14:textId="77777777" w:rsidR="009709C2" w:rsidRPr="00A859F2" w:rsidRDefault="009709C2" w:rsidP="009709C2">
      <w:pPr>
        <w:jc w:val="center"/>
        <w:rPr>
          <w:b/>
          <w:sz w:val="20"/>
        </w:rPr>
      </w:pPr>
    </w:p>
    <w:p w14:paraId="4A592BEB" w14:textId="7FA642C3" w:rsidR="009709C2" w:rsidRPr="00A859F2" w:rsidRDefault="009709C2" w:rsidP="009709C2">
      <w:pPr>
        <w:jc w:val="center"/>
        <w:rPr>
          <w:rFonts w:ascii="Arial Bold" w:hAnsi="Arial Bold"/>
          <w:b/>
          <w:caps/>
          <w:sz w:val="20"/>
        </w:rPr>
      </w:pPr>
      <w:r w:rsidRPr="00A859F2">
        <w:rPr>
          <w:rFonts w:ascii="Arial Bold" w:hAnsi="Arial Bold"/>
          <w:b/>
          <w:caps/>
          <w:sz w:val="20"/>
        </w:rPr>
        <w:t>Fourniture de services mondiaux de propriété intellectuelle de pr</w:t>
      </w:r>
      <w:r>
        <w:rPr>
          <w:rFonts w:ascii="Arial Bold" w:hAnsi="Arial Bold"/>
          <w:b/>
          <w:caps/>
          <w:sz w:val="20"/>
        </w:rPr>
        <w:t>emier </w:t>
      </w:r>
      <w:r w:rsidRPr="00A859F2">
        <w:rPr>
          <w:rFonts w:ascii="Arial Bold" w:hAnsi="Arial Bold"/>
          <w:b/>
          <w:caps/>
          <w:sz w:val="20"/>
        </w:rPr>
        <w:t>ordre</w:t>
      </w:r>
    </w:p>
    <w:p w14:paraId="59F6B5D4" w14:textId="77777777" w:rsidR="009709C2" w:rsidRPr="00A859F2" w:rsidRDefault="009709C2" w:rsidP="009709C2">
      <w:pPr>
        <w:jc w:val="both"/>
        <w:rPr>
          <w:sz w:val="20"/>
        </w:rPr>
      </w:pPr>
    </w:p>
    <w:p w14:paraId="68AA6F96" w14:textId="77777777" w:rsidR="009709C2" w:rsidRPr="00A859F2" w:rsidRDefault="009709C2" w:rsidP="009709C2">
      <w:pPr>
        <w:jc w:val="center"/>
        <w:rPr>
          <w:b/>
          <w:sz w:val="20"/>
        </w:rPr>
      </w:pPr>
      <w:r w:rsidRPr="00A859F2">
        <w:rPr>
          <w:b/>
          <w:sz w:val="20"/>
        </w:rPr>
        <w:t xml:space="preserve">Tableau de bord de l’exécution du </w:t>
      </w:r>
      <w:r>
        <w:rPr>
          <w:b/>
          <w:sz w:val="20"/>
        </w:rPr>
        <w:t>p</w:t>
      </w:r>
      <w:r w:rsidRPr="00A859F2">
        <w:rPr>
          <w:b/>
          <w:sz w:val="20"/>
        </w:rPr>
        <w:t>rogramme à mi</w:t>
      </w:r>
      <w:r>
        <w:rPr>
          <w:b/>
          <w:sz w:val="20"/>
        </w:rPr>
        <w:noBreakHyphen/>
      </w:r>
      <w:r w:rsidRPr="00A859F2">
        <w:rPr>
          <w:b/>
          <w:sz w:val="20"/>
        </w:rPr>
        <w:t>parcours (2016)</w:t>
      </w:r>
    </w:p>
    <w:p w14:paraId="6D87CB12" w14:textId="77777777" w:rsidR="009709C2" w:rsidRPr="00A859F2" w:rsidRDefault="009709C2" w:rsidP="009709C2">
      <w:pPr>
        <w:jc w:val="both"/>
        <w:rPr>
          <w:sz w:val="20"/>
        </w:rPr>
      </w:pPr>
    </w:p>
    <w:p w14:paraId="0D865BDE" w14:textId="77777777" w:rsidR="009709C2" w:rsidRPr="00A859F2" w:rsidRDefault="009709C2" w:rsidP="009709C2">
      <w:pPr>
        <w:jc w:val="both"/>
        <w:rPr>
          <w:sz w:val="20"/>
        </w:rPr>
      </w:pPr>
      <w:r w:rsidRPr="00A859F2">
        <w:rPr>
          <w:sz w:val="20"/>
        </w:rPr>
        <w:t>Le tableau de bord ci</w:t>
      </w:r>
      <w:r>
        <w:rPr>
          <w:sz w:val="20"/>
        </w:rPr>
        <w:noBreakHyphen/>
      </w:r>
      <w:r w:rsidRPr="00A859F2">
        <w:rPr>
          <w:sz w:val="20"/>
        </w:rPr>
        <w:t xml:space="preserve">dessous présente un résumé de l’état d’avancement de la réalisation des résultats en 2016, telle que mesurée par les indicateurs au titre des </w:t>
      </w:r>
      <w:r>
        <w:rPr>
          <w:sz w:val="20"/>
        </w:rPr>
        <w:t>p</w:t>
      </w:r>
      <w:r w:rsidRPr="00A859F2">
        <w:rPr>
          <w:sz w:val="20"/>
        </w:rPr>
        <w:t>rogrammes contribuant à cet objectif stratégique.</w:t>
      </w:r>
    </w:p>
    <w:p w14:paraId="767EFD88" w14:textId="77777777" w:rsidR="009709C2" w:rsidRPr="00A859F2" w:rsidRDefault="009709C2" w:rsidP="009709C2">
      <w:pPr>
        <w:jc w:val="center"/>
        <w:rPr>
          <w:sz w:val="20"/>
        </w:rPr>
      </w:pPr>
      <w:r w:rsidRPr="00B00E14">
        <w:rPr>
          <w:noProof/>
          <w:lang w:val="en-US"/>
        </w:rPr>
        <w:drawing>
          <wp:inline distT="0" distB="0" distL="0" distR="0" wp14:anchorId="3ABE2B00" wp14:editId="2C84624A">
            <wp:extent cx="3693600" cy="2492679"/>
            <wp:effectExtent l="0" t="0" r="2540" b="317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3600" cy="2492679"/>
                    </a:xfrm>
                    <a:prstGeom prst="rect">
                      <a:avLst/>
                    </a:prstGeom>
                    <a:noFill/>
                    <a:ln>
                      <a:noFill/>
                    </a:ln>
                  </pic:spPr>
                </pic:pic>
              </a:graphicData>
            </a:graphic>
          </wp:inline>
        </w:drawing>
      </w:r>
    </w:p>
    <w:tbl>
      <w:tblPr>
        <w:tblW w:w="9457" w:type="dxa"/>
        <w:tblInd w:w="108" w:type="dxa"/>
        <w:tblLayout w:type="fixed"/>
        <w:tblCellMar>
          <w:left w:w="115" w:type="dxa"/>
          <w:right w:w="115" w:type="dxa"/>
        </w:tblCellMar>
        <w:tblLook w:val="0000" w:firstRow="0" w:lastRow="0" w:firstColumn="0" w:lastColumn="0" w:noHBand="0" w:noVBand="0"/>
      </w:tblPr>
      <w:tblGrid>
        <w:gridCol w:w="7"/>
        <w:gridCol w:w="2720"/>
        <w:gridCol w:w="3857"/>
        <w:gridCol w:w="1589"/>
        <w:gridCol w:w="1284"/>
      </w:tblGrid>
      <w:tr w:rsidR="009709C2" w:rsidRPr="00A859F2" w14:paraId="208A45B1" w14:textId="77777777" w:rsidTr="00394CA8">
        <w:trPr>
          <w:trHeight w:val="535"/>
          <w:tblHeader/>
        </w:trPr>
        <w:tc>
          <w:tcPr>
            <w:tcW w:w="1442" w:type="pct"/>
            <w:gridSpan w:val="2"/>
            <w:shd w:val="clear" w:color="auto" w:fill="B8CCE4" w:themeFill="accent1" w:themeFillTint="66"/>
            <w:tcMar>
              <w:top w:w="113" w:type="dxa"/>
              <w:bottom w:w="113" w:type="dxa"/>
            </w:tcMar>
            <w:vAlign w:val="center"/>
          </w:tcPr>
          <w:p w14:paraId="00D138DB" w14:textId="77777777" w:rsidR="009709C2" w:rsidRPr="00A859F2" w:rsidRDefault="009709C2" w:rsidP="00394CA8">
            <w:pPr>
              <w:rPr>
                <w:b/>
                <w:bCs/>
                <w:sz w:val="18"/>
                <w:szCs w:val="18"/>
              </w:rPr>
            </w:pPr>
            <w:r w:rsidRPr="00A859F2">
              <w:rPr>
                <w:b/>
                <w:bCs/>
                <w:sz w:val="18"/>
                <w:szCs w:val="18"/>
              </w:rPr>
              <w:t>Résultats escomptés</w:t>
            </w:r>
          </w:p>
        </w:tc>
        <w:tc>
          <w:tcPr>
            <w:tcW w:w="2039" w:type="pct"/>
            <w:shd w:val="clear" w:color="auto" w:fill="B8CCE4" w:themeFill="accent1" w:themeFillTint="66"/>
            <w:tcMar>
              <w:top w:w="113" w:type="dxa"/>
              <w:bottom w:w="113" w:type="dxa"/>
            </w:tcMar>
            <w:vAlign w:val="center"/>
          </w:tcPr>
          <w:p w14:paraId="757ED2FE" w14:textId="77777777" w:rsidR="009709C2" w:rsidRPr="00A859F2" w:rsidRDefault="009709C2" w:rsidP="00394CA8">
            <w:pPr>
              <w:rPr>
                <w:b/>
                <w:sz w:val="18"/>
                <w:szCs w:val="18"/>
              </w:rPr>
            </w:pPr>
            <w:r w:rsidRPr="00A859F2">
              <w:rPr>
                <w:b/>
                <w:sz w:val="18"/>
                <w:szCs w:val="18"/>
              </w:rPr>
              <w:t>Indicateurs d’exécution</w:t>
            </w:r>
          </w:p>
        </w:tc>
        <w:tc>
          <w:tcPr>
            <w:tcW w:w="840" w:type="pct"/>
            <w:shd w:val="clear" w:color="auto" w:fill="B8CCE4" w:themeFill="accent1" w:themeFillTint="66"/>
            <w:tcMar>
              <w:top w:w="113" w:type="dxa"/>
              <w:bottom w:w="113" w:type="dxa"/>
            </w:tcMar>
            <w:vAlign w:val="center"/>
          </w:tcPr>
          <w:p w14:paraId="1D714546" w14:textId="77777777" w:rsidR="009709C2" w:rsidRPr="00A859F2" w:rsidRDefault="009709C2" w:rsidP="00394CA8">
            <w:pPr>
              <w:ind w:left="85"/>
              <w:jc w:val="center"/>
              <w:rPr>
                <w:sz w:val="18"/>
                <w:szCs w:val="18"/>
              </w:rPr>
            </w:pPr>
            <w:r w:rsidRPr="00A859F2">
              <w:rPr>
                <w:b/>
                <w:sz w:val="18"/>
                <w:szCs w:val="18"/>
              </w:rPr>
              <w:t>Programme(s)concerné(s)</w:t>
            </w:r>
          </w:p>
        </w:tc>
        <w:tc>
          <w:tcPr>
            <w:tcW w:w="679" w:type="pct"/>
            <w:shd w:val="clear" w:color="auto" w:fill="B8CCE4" w:themeFill="accent1" w:themeFillTint="66"/>
            <w:vAlign w:val="center"/>
          </w:tcPr>
          <w:p w14:paraId="1D7B5C22" w14:textId="77777777" w:rsidR="009709C2" w:rsidRPr="00A859F2" w:rsidRDefault="009709C2" w:rsidP="00394CA8">
            <w:pPr>
              <w:ind w:left="85"/>
              <w:jc w:val="center"/>
              <w:rPr>
                <w:b/>
                <w:bCs/>
                <w:sz w:val="18"/>
                <w:szCs w:val="18"/>
              </w:rPr>
            </w:pPr>
            <w:r w:rsidRPr="00A859F2">
              <w:rPr>
                <w:b/>
                <w:bCs/>
                <w:sz w:val="18"/>
                <w:szCs w:val="18"/>
              </w:rPr>
              <w:t>Code de couleurs</w:t>
            </w:r>
          </w:p>
        </w:tc>
      </w:tr>
      <w:tr w:rsidR="009709C2" w:rsidRPr="00A859F2" w14:paraId="164FADF7" w14:textId="77777777" w:rsidTr="00394CA8">
        <w:tblPrEx>
          <w:tblCellMar>
            <w:left w:w="108" w:type="dxa"/>
            <w:right w:w="108" w:type="dxa"/>
          </w:tblCellMar>
        </w:tblPrEx>
        <w:trPr>
          <w:gridBefore w:val="1"/>
          <w:wBefore w:w="4" w:type="pct"/>
          <w:cantSplit/>
          <w:trHeight w:val="617"/>
        </w:trPr>
        <w:tc>
          <w:tcPr>
            <w:tcW w:w="1438" w:type="pct"/>
            <w:vMerge w:val="restart"/>
            <w:shd w:val="clear" w:color="auto" w:fill="auto"/>
            <w:tcMar>
              <w:top w:w="57" w:type="dxa"/>
              <w:bottom w:w="113" w:type="dxa"/>
            </w:tcMar>
          </w:tcPr>
          <w:p w14:paraId="73A059C2" w14:textId="77777777" w:rsidR="009709C2" w:rsidRPr="00A859F2" w:rsidRDefault="009709C2" w:rsidP="00394CA8">
            <w:pPr>
              <w:rPr>
                <w:sz w:val="16"/>
                <w:szCs w:val="16"/>
              </w:rPr>
            </w:pPr>
            <w:r w:rsidRPr="00A859F2">
              <w:rPr>
                <w:sz w:val="16"/>
                <w:szCs w:val="16"/>
              </w:rPr>
              <w:t>II.1 Utilisation élargie et plus efficace du système du PCT pour le dépôt des demandes internationales de brevet</w:t>
            </w:r>
          </w:p>
        </w:tc>
        <w:tc>
          <w:tcPr>
            <w:tcW w:w="2039" w:type="pct"/>
            <w:shd w:val="clear" w:color="auto" w:fill="auto"/>
            <w:tcMar>
              <w:top w:w="57" w:type="dxa"/>
              <w:bottom w:w="113" w:type="dxa"/>
            </w:tcMar>
          </w:tcPr>
          <w:p w14:paraId="69A06C19" w14:textId="77777777" w:rsidR="009709C2" w:rsidRPr="00A859F2" w:rsidRDefault="009709C2" w:rsidP="00394CA8">
            <w:pPr>
              <w:rPr>
                <w:sz w:val="16"/>
                <w:szCs w:val="16"/>
              </w:rPr>
            </w:pPr>
            <w:r w:rsidRPr="00A859F2">
              <w:rPr>
                <w:sz w:val="16"/>
                <w:szCs w:val="16"/>
              </w:rPr>
              <w:t>Amélioration du système du PCT, notamment mise en œuvre des recommandations des lignes directrices du PCT approuvées par les États membres du PCT</w:t>
            </w:r>
          </w:p>
        </w:tc>
        <w:tc>
          <w:tcPr>
            <w:tcW w:w="840" w:type="pct"/>
            <w:shd w:val="clear" w:color="auto" w:fill="FFFFFF"/>
            <w:tcMar>
              <w:top w:w="57" w:type="dxa"/>
              <w:bottom w:w="113" w:type="dxa"/>
            </w:tcMar>
          </w:tcPr>
          <w:p w14:paraId="4A5FE841"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5C5DD20A" w14:textId="77777777" w:rsidR="009709C2" w:rsidRPr="00A859F2" w:rsidRDefault="009709C2" w:rsidP="00394CA8">
            <w:pPr>
              <w:jc w:val="center"/>
              <w:rPr>
                <w:b/>
                <w:bCs/>
                <w:szCs w:val="22"/>
              </w:rPr>
            </w:pPr>
            <w:r w:rsidRPr="00A859F2">
              <w:rPr>
                <w:color w:val="00B050"/>
                <w:szCs w:val="22"/>
              </w:rPr>
              <w:sym w:font="Wingdings" w:char="F06C"/>
            </w:r>
          </w:p>
        </w:tc>
      </w:tr>
      <w:tr w:rsidR="009709C2" w:rsidRPr="00A859F2" w14:paraId="6E4DBEEC" w14:textId="77777777" w:rsidTr="00394CA8">
        <w:tblPrEx>
          <w:tblCellMar>
            <w:left w:w="108" w:type="dxa"/>
            <w:right w:w="108" w:type="dxa"/>
          </w:tblCellMar>
        </w:tblPrEx>
        <w:trPr>
          <w:gridBefore w:val="1"/>
          <w:wBefore w:w="4" w:type="pct"/>
          <w:cantSplit/>
          <w:trHeight w:val="380"/>
        </w:trPr>
        <w:tc>
          <w:tcPr>
            <w:tcW w:w="1438" w:type="pct"/>
            <w:vMerge/>
            <w:shd w:val="clear" w:color="auto" w:fill="auto"/>
            <w:tcMar>
              <w:top w:w="57" w:type="dxa"/>
              <w:bottom w:w="113" w:type="dxa"/>
            </w:tcMar>
          </w:tcPr>
          <w:p w14:paraId="09D19887"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8D52492" w14:textId="77777777" w:rsidR="009709C2" w:rsidRPr="00A859F2" w:rsidRDefault="009709C2" w:rsidP="00394CA8">
            <w:pPr>
              <w:rPr>
                <w:sz w:val="16"/>
                <w:szCs w:val="16"/>
              </w:rPr>
            </w:pPr>
            <w:r w:rsidRPr="00A859F2">
              <w:rPr>
                <w:sz w:val="16"/>
                <w:szCs w:val="16"/>
              </w:rPr>
              <w:t>Degré de satisfaction des utilisateurs du PCT à l’égard des conseils juridiques, des informations, des formations et du service client du PCT</w:t>
            </w:r>
          </w:p>
        </w:tc>
        <w:tc>
          <w:tcPr>
            <w:tcW w:w="840" w:type="pct"/>
            <w:shd w:val="clear" w:color="auto" w:fill="FFFFFF"/>
            <w:tcMar>
              <w:top w:w="57" w:type="dxa"/>
              <w:bottom w:w="113" w:type="dxa"/>
            </w:tcMar>
          </w:tcPr>
          <w:p w14:paraId="33E8D15A"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05B43B25" w14:textId="77777777" w:rsidR="009709C2" w:rsidRPr="00A859F2" w:rsidRDefault="009709C2" w:rsidP="00394CA8">
            <w:pPr>
              <w:jc w:val="center"/>
              <w:rPr>
                <w:szCs w:val="22"/>
              </w:rPr>
            </w:pPr>
            <w:r w:rsidRPr="00A859F2">
              <w:rPr>
                <w:color w:val="0070C0"/>
                <w:szCs w:val="22"/>
              </w:rPr>
              <w:sym w:font="Wingdings" w:char="F06C"/>
            </w:r>
          </w:p>
        </w:tc>
      </w:tr>
      <w:tr w:rsidR="009709C2" w:rsidRPr="00A859F2" w14:paraId="1DB22F9B" w14:textId="77777777" w:rsidTr="00394CA8">
        <w:tblPrEx>
          <w:tblCellMar>
            <w:left w:w="108" w:type="dxa"/>
            <w:right w:w="108" w:type="dxa"/>
          </w:tblCellMar>
        </w:tblPrEx>
        <w:trPr>
          <w:gridBefore w:val="1"/>
          <w:wBefore w:w="4" w:type="pct"/>
          <w:cantSplit/>
          <w:trHeight w:val="116"/>
        </w:trPr>
        <w:tc>
          <w:tcPr>
            <w:tcW w:w="1438" w:type="pct"/>
            <w:vMerge/>
            <w:shd w:val="clear" w:color="auto" w:fill="auto"/>
            <w:tcMar>
              <w:top w:w="57" w:type="dxa"/>
              <w:bottom w:w="113" w:type="dxa"/>
            </w:tcMar>
          </w:tcPr>
          <w:p w14:paraId="37A264B0"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6BFD7EA3" w14:textId="77777777" w:rsidR="009709C2" w:rsidRPr="00A859F2" w:rsidRDefault="009709C2" w:rsidP="00394CA8">
            <w:pPr>
              <w:rPr>
                <w:sz w:val="16"/>
                <w:szCs w:val="16"/>
              </w:rPr>
            </w:pPr>
            <w:r w:rsidRPr="00A859F2">
              <w:rPr>
                <w:sz w:val="16"/>
                <w:szCs w:val="16"/>
              </w:rPr>
              <w:t>Satisfaction des offices et des administrations internationales en ce qui concerne les activités de coopération du PCT</w:t>
            </w:r>
          </w:p>
        </w:tc>
        <w:tc>
          <w:tcPr>
            <w:tcW w:w="840" w:type="pct"/>
            <w:shd w:val="clear" w:color="auto" w:fill="FFFFFF"/>
            <w:tcMar>
              <w:top w:w="57" w:type="dxa"/>
              <w:bottom w:w="113" w:type="dxa"/>
            </w:tcMar>
          </w:tcPr>
          <w:p w14:paraId="76F03716" w14:textId="77777777" w:rsidR="009709C2" w:rsidRPr="00A859F2" w:rsidRDefault="009709C2" w:rsidP="00394CA8">
            <w:pPr>
              <w:spacing w:before="40"/>
              <w:jc w:val="center"/>
              <w:rPr>
                <w:sz w:val="16"/>
                <w:szCs w:val="16"/>
              </w:rPr>
            </w:pPr>
            <w:r w:rsidRPr="00A859F2">
              <w:rPr>
                <w:sz w:val="16"/>
                <w:szCs w:val="16"/>
              </w:rPr>
              <w:t>Programme 5</w:t>
            </w:r>
          </w:p>
        </w:tc>
        <w:tc>
          <w:tcPr>
            <w:tcW w:w="679" w:type="pct"/>
            <w:shd w:val="clear" w:color="auto" w:fill="FFFFFF"/>
            <w:tcMar>
              <w:top w:w="57" w:type="dxa"/>
            </w:tcMar>
          </w:tcPr>
          <w:p w14:paraId="787E3B34" w14:textId="77777777" w:rsidR="009709C2" w:rsidRPr="00A859F2" w:rsidRDefault="009709C2" w:rsidP="00394CA8">
            <w:pPr>
              <w:jc w:val="center"/>
              <w:rPr>
                <w:szCs w:val="22"/>
              </w:rPr>
            </w:pPr>
            <w:r w:rsidRPr="00A859F2">
              <w:rPr>
                <w:color w:val="0070C0"/>
                <w:szCs w:val="22"/>
              </w:rPr>
              <w:sym w:font="Wingdings" w:char="F06C"/>
            </w:r>
          </w:p>
        </w:tc>
      </w:tr>
      <w:tr w:rsidR="009709C2" w:rsidRPr="00A859F2" w14:paraId="41099DB1"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57D90E92"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3D10D8E5" w14:textId="77777777" w:rsidR="009709C2" w:rsidRPr="00A859F2" w:rsidRDefault="009709C2" w:rsidP="00394CA8">
            <w:pPr>
              <w:rPr>
                <w:sz w:val="16"/>
                <w:szCs w:val="16"/>
              </w:rPr>
            </w:pPr>
            <w:r w:rsidRPr="008625B4">
              <w:rPr>
                <w:sz w:val="16"/>
                <w:szCs w:val="16"/>
              </w:rPr>
              <w:t>Amélioration des services électroniques pour les déposants, les tiers, les offices et les administrations</w:t>
            </w:r>
          </w:p>
        </w:tc>
        <w:tc>
          <w:tcPr>
            <w:tcW w:w="840" w:type="pct"/>
            <w:shd w:val="clear" w:color="auto" w:fill="FFFFFF"/>
            <w:tcMar>
              <w:top w:w="57" w:type="dxa"/>
              <w:bottom w:w="113" w:type="dxa"/>
            </w:tcMar>
          </w:tcPr>
          <w:p w14:paraId="4A5DAB92"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068BECD7" w14:textId="77777777" w:rsidR="009709C2" w:rsidRPr="00A859F2" w:rsidRDefault="009709C2" w:rsidP="00394CA8">
            <w:pPr>
              <w:jc w:val="center"/>
              <w:rPr>
                <w:color w:val="FF000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0431DD03" w14:textId="77777777" w:rsidTr="00394CA8">
        <w:tblPrEx>
          <w:tblCellMar>
            <w:left w:w="108" w:type="dxa"/>
            <w:right w:w="108" w:type="dxa"/>
          </w:tblCellMar>
        </w:tblPrEx>
        <w:trPr>
          <w:gridBefore w:val="1"/>
          <w:wBefore w:w="4" w:type="pct"/>
          <w:cantSplit/>
          <w:trHeight w:val="457"/>
        </w:trPr>
        <w:tc>
          <w:tcPr>
            <w:tcW w:w="1438" w:type="pct"/>
            <w:vMerge/>
            <w:shd w:val="clear" w:color="auto" w:fill="auto"/>
            <w:tcMar>
              <w:top w:w="57" w:type="dxa"/>
              <w:bottom w:w="113" w:type="dxa"/>
            </w:tcMar>
          </w:tcPr>
          <w:p w14:paraId="28F361E0"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1BFE884C" w14:textId="77777777" w:rsidR="009709C2" w:rsidRPr="00A859F2" w:rsidRDefault="009709C2" w:rsidP="00394CA8">
            <w:pPr>
              <w:rPr>
                <w:sz w:val="16"/>
                <w:szCs w:val="16"/>
              </w:rPr>
            </w:pPr>
            <w:r w:rsidRPr="00A859F2">
              <w:rPr>
                <w:sz w:val="16"/>
                <w:szCs w:val="16"/>
              </w:rPr>
              <w:t>Nombre de demandes selon le PCT originaires de pays en développement, de pays en transition et de pays développés</w:t>
            </w:r>
          </w:p>
        </w:tc>
        <w:tc>
          <w:tcPr>
            <w:tcW w:w="840" w:type="pct"/>
            <w:shd w:val="clear" w:color="auto" w:fill="FFFFFF"/>
            <w:tcMar>
              <w:top w:w="57" w:type="dxa"/>
              <w:bottom w:w="113" w:type="dxa"/>
            </w:tcMar>
          </w:tcPr>
          <w:p w14:paraId="0EBF8EC0"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9</w:t>
            </w:r>
          </w:p>
          <w:p w14:paraId="65D405A2" w14:textId="77777777" w:rsidR="009709C2" w:rsidRPr="00A859F2" w:rsidRDefault="009709C2" w:rsidP="00394CA8">
            <w:pPr>
              <w:jc w:val="center"/>
              <w:rPr>
                <w:sz w:val="6"/>
                <w:szCs w:val="6"/>
              </w:rPr>
            </w:pPr>
          </w:p>
          <w:p w14:paraId="11E9064D"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10</w:t>
            </w:r>
          </w:p>
          <w:p w14:paraId="33A36169" w14:textId="77777777" w:rsidR="009709C2" w:rsidRPr="00A859F2" w:rsidRDefault="009709C2" w:rsidP="00394CA8">
            <w:pPr>
              <w:jc w:val="center"/>
              <w:rPr>
                <w:sz w:val="6"/>
                <w:szCs w:val="6"/>
              </w:rPr>
            </w:pPr>
          </w:p>
          <w:p w14:paraId="1DDCBDC8"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20</w:t>
            </w:r>
          </w:p>
        </w:tc>
        <w:tc>
          <w:tcPr>
            <w:tcW w:w="679" w:type="pct"/>
            <w:shd w:val="clear" w:color="auto" w:fill="FFFFFF"/>
            <w:tcMar>
              <w:top w:w="57" w:type="dxa"/>
            </w:tcMar>
          </w:tcPr>
          <w:p w14:paraId="386963D2" w14:textId="77777777" w:rsidR="009709C2" w:rsidRPr="00A859F2" w:rsidRDefault="009709C2" w:rsidP="00394CA8">
            <w:pPr>
              <w:jc w:val="center"/>
              <w:rPr>
                <w:color w:val="00B050"/>
                <w:szCs w:val="22"/>
              </w:rPr>
            </w:pPr>
            <w:r w:rsidRPr="00A859F2">
              <w:rPr>
                <w:color w:val="FF000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p w14:paraId="3E2731AD" w14:textId="77777777" w:rsidR="009709C2" w:rsidRPr="00A859F2" w:rsidRDefault="009709C2" w:rsidP="00394CA8">
            <w:pPr>
              <w:jc w:val="center"/>
              <w:rPr>
                <w:color w:val="FF0000"/>
                <w:szCs w:val="22"/>
              </w:rPr>
            </w:pPr>
            <w:r w:rsidRPr="00A859F2">
              <w:rPr>
                <w:color w:val="FF0000"/>
                <w:szCs w:val="22"/>
              </w:rPr>
              <w:sym w:font="Wingdings" w:char="F06C"/>
            </w:r>
          </w:p>
          <w:p w14:paraId="00A99125" w14:textId="77777777" w:rsidR="009709C2" w:rsidRPr="00A859F2" w:rsidRDefault="009709C2" w:rsidP="00394CA8">
            <w:pPr>
              <w:jc w:val="center"/>
              <w:rPr>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r w:rsidRPr="00A859F2">
              <w:rPr>
                <w:color w:val="FF0000"/>
                <w:szCs w:val="22"/>
              </w:rPr>
              <w:sym w:font="Wingdings" w:char="F06C"/>
            </w:r>
          </w:p>
        </w:tc>
      </w:tr>
      <w:tr w:rsidR="009709C2" w:rsidRPr="00A859F2" w14:paraId="6053763D" w14:textId="77777777" w:rsidTr="00394CA8">
        <w:tblPrEx>
          <w:tblCellMar>
            <w:left w:w="108" w:type="dxa"/>
            <w:right w:w="108" w:type="dxa"/>
          </w:tblCellMar>
        </w:tblPrEx>
        <w:trPr>
          <w:gridBefore w:val="1"/>
          <w:wBefore w:w="4" w:type="pct"/>
          <w:cantSplit/>
          <w:trHeight w:val="399"/>
        </w:trPr>
        <w:tc>
          <w:tcPr>
            <w:tcW w:w="1438" w:type="pct"/>
            <w:vMerge/>
            <w:shd w:val="clear" w:color="auto" w:fill="auto"/>
            <w:tcMar>
              <w:top w:w="57" w:type="dxa"/>
              <w:bottom w:w="113" w:type="dxa"/>
            </w:tcMar>
          </w:tcPr>
          <w:p w14:paraId="07F861C9"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ECC02A5" w14:textId="77777777" w:rsidR="009709C2" w:rsidRPr="00A859F2" w:rsidRDefault="009709C2" w:rsidP="00394CA8">
            <w:pPr>
              <w:rPr>
                <w:sz w:val="16"/>
                <w:szCs w:val="16"/>
              </w:rPr>
            </w:pPr>
            <w:r w:rsidRPr="00A859F2">
              <w:rPr>
                <w:sz w:val="16"/>
                <w:szCs w:val="16"/>
              </w:rPr>
              <w:t xml:space="preserve">Pourcentage de répondants ayant utilisé plus fréquemment les services de l’OMPI dans les six mois suivant leur participation aux </w:t>
            </w:r>
            <w:r>
              <w:rPr>
                <w:sz w:val="16"/>
                <w:szCs w:val="16"/>
              </w:rPr>
              <w:t>s</w:t>
            </w:r>
            <w:r w:rsidRPr="00A859F2">
              <w:rPr>
                <w:sz w:val="16"/>
                <w:szCs w:val="16"/>
              </w:rPr>
              <w:t>éminaires itinérants consacrés aux services et initiatives de l’OMPI</w:t>
            </w:r>
          </w:p>
        </w:tc>
        <w:tc>
          <w:tcPr>
            <w:tcW w:w="840" w:type="pct"/>
            <w:shd w:val="clear" w:color="auto" w:fill="FFFFFF"/>
            <w:tcMar>
              <w:top w:w="57" w:type="dxa"/>
              <w:bottom w:w="113" w:type="dxa"/>
            </w:tcMar>
          </w:tcPr>
          <w:p w14:paraId="538E52FD" w14:textId="77777777" w:rsidR="009709C2" w:rsidRPr="00A859F2" w:rsidRDefault="009709C2" w:rsidP="00394CA8">
            <w:pPr>
              <w:spacing w:before="40"/>
              <w:jc w:val="center"/>
              <w:rPr>
                <w:sz w:val="16"/>
                <w:szCs w:val="16"/>
              </w:rPr>
            </w:pPr>
            <w:r w:rsidRPr="00A859F2">
              <w:rPr>
                <w:sz w:val="16"/>
                <w:szCs w:val="16"/>
              </w:rPr>
              <w:t>Programme 10</w:t>
            </w:r>
          </w:p>
        </w:tc>
        <w:tc>
          <w:tcPr>
            <w:tcW w:w="679" w:type="pct"/>
            <w:shd w:val="clear" w:color="auto" w:fill="FFFFFF"/>
            <w:tcMar>
              <w:top w:w="57" w:type="dxa"/>
            </w:tcMar>
          </w:tcPr>
          <w:p w14:paraId="16128A61"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572F82EF" w14:textId="77777777" w:rsidTr="00394CA8">
        <w:tblPrEx>
          <w:tblCellMar>
            <w:left w:w="108" w:type="dxa"/>
            <w:right w:w="108" w:type="dxa"/>
          </w:tblCellMar>
        </w:tblPrEx>
        <w:trPr>
          <w:gridBefore w:val="1"/>
          <w:wBefore w:w="4" w:type="pct"/>
          <w:cantSplit/>
          <w:trHeight w:val="58"/>
        </w:trPr>
        <w:tc>
          <w:tcPr>
            <w:tcW w:w="1438" w:type="pct"/>
            <w:vMerge/>
            <w:shd w:val="clear" w:color="auto" w:fill="auto"/>
            <w:tcMar>
              <w:top w:w="57" w:type="dxa"/>
              <w:bottom w:w="113" w:type="dxa"/>
            </w:tcMar>
          </w:tcPr>
          <w:p w14:paraId="7CEBFB8A"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041DE73B" w14:textId="77777777" w:rsidR="009709C2" w:rsidRPr="00A859F2" w:rsidRDefault="009709C2" w:rsidP="00394CA8">
            <w:pPr>
              <w:rPr>
                <w:sz w:val="16"/>
                <w:szCs w:val="16"/>
              </w:rPr>
            </w:pPr>
            <w:r w:rsidRPr="00A859F2">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840" w:type="pct"/>
            <w:shd w:val="clear" w:color="auto" w:fill="FFFFFF"/>
            <w:tcMar>
              <w:top w:w="57" w:type="dxa"/>
              <w:bottom w:w="113" w:type="dxa"/>
            </w:tcMar>
          </w:tcPr>
          <w:p w14:paraId="0A3C6CEC"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20</w:t>
            </w:r>
          </w:p>
        </w:tc>
        <w:tc>
          <w:tcPr>
            <w:tcW w:w="679" w:type="pct"/>
            <w:shd w:val="clear" w:color="auto" w:fill="FFFFFF"/>
            <w:tcMar>
              <w:top w:w="57" w:type="dxa"/>
            </w:tcMar>
          </w:tcPr>
          <w:p w14:paraId="4B2B4CD6" w14:textId="77777777" w:rsidR="009709C2" w:rsidRPr="00A859F2" w:rsidRDefault="009709C2" w:rsidP="00394CA8">
            <w:pPr>
              <w:jc w:val="center"/>
              <w:rPr>
                <w:szCs w:val="22"/>
              </w:rPr>
            </w:pPr>
            <w:r w:rsidRPr="00A859F2">
              <w:rPr>
                <w:color w:val="80808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6F6FB1BF" w14:textId="77777777" w:rsidTr="00394CA8">
        <w:tblPrEx>
          <w:tblCellMar>
            <w:left w:w="108" w:type="dxa"/>
            <w:right w:w="108" w:type="dxa"/>
          </w:tblCellMar>
        </w:tblPrEx>
        <w:trPr>
          <w:gridBefore w:val="1"/>
          <w:wBefore w:w="4" w:type="pct"/>
          <w:cantSplit/>
          <w:trHeight w:val="195"/>
        </w:trPr>
        <w:tc>
          <w:tcPr>
            <w:tcW w:w="1438" w:type="pct"/>
            <w:vMerge w:val="restart"/>
            <w:shd w:val="clear" w:color="auto" w:fill="auto"/>
            <w:tcMar>
              <w:top w:w="57" w:type="dxa"/>
              <w:bottom w:w="113" w:type="dxa"/>
            </w:tcMar>
          </w:tcPr>
          <w:p w14:paraId="54BEF8D1" w14:textId="77777777" w:rsidR="009709C2" w:rsidRPr="00A859F2" w:rsidRDefault="009709C2" w:rsidP="00394CA8">
            <w:pPr>
              <w:keepNext/>
              <w:keepLines/>
              <w:rPr>
                <w:sz w:val="16"/>
                <w:szCs w:val="16"/>
              </w:rPr>
            </w:pPr>
            <w:r>
              <w:rPr>
                <w:sz w:val="16"/>
                <w:szCs w:val="16"/>
              </w:rPr>
              <w:t xml:space="preserve">II.3 </w:t>
            </w:r>
            <w:r w:rsidRPr="00A859F2">
              <w:rPr>
                <w:sz w:val="16"/>
                <w:szCs w:val="16"/>
              </w:rPr>
              <w:t>Amélioration de la productivité et de la qualité de service des opérations du PCT</w:t>
            </w:r>
          </w:p>
        </w:tc>
        <w:tc>
          <w:tcPr>
            <w:tcW w:w="2039" w:type="pct"/>
            <w:shd w:val="clear" w:color="auto" w:fill="auto"/>
            <w:tcMar>
              <w:top w:w="57" w:type="dxa"/>
              <w:bottom w:w="113" w:type="dxa"/>
            </w:tcMar>
          </w:tcPr>
          <w:p w14:paraId="3D5C5CA4" w14:textId="77777777" w:rsidR="009709C2" w:rsidRPr="00A859F2" w:rsidRDefault="009709C2" w:rsidP="00394CA8">
            <w:pPr>
              <w:keepNext/>
              <w:keepLines/>
              <w:rPr>
                <w:sz w:val="16"/>
                <w:szCs w:val="16"/>
              </w:rPr>
            </w:pPr>
            <w:r w:rsidRPr="00A859F2">
              <w:rPr>
                <w:sz w:val="16"/>
                <w:szCs w:val="16"/>
              </w:rPr>
              <w:t>Qualité globale de l’examen de forme (y compris les délais)</w:t>
            </w:r>
          </w:p>
        </w:tc>
        <w:tc>
          <w:tcPr>
            <w:tcW w:w="840" w:type="pct"/>
            <w:shd w:val="clear" w:color="auto" w:fill="FFFFFF"/>
            <w:tcMar>
              <w:top w:w="57" w:type="dxa"/>
              <w:bottom w:w="113" w:type="dxa"/>
            </w:tcMar>
          </w:tcPr>
          <w:p w14:paraId="1B5ADCF1" w14:textId="77777777" w:rsidR="009709C2" w:rsidRPr="00A859F2" w:rsidRDefault="009709C2" w:rsidP="00394CA8">
            <w:pPr>
              <w:keepNext/>
              <w:keepLines/>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07DAC978" w14:textId="77777777" w:rsidR="009709C2" w:rsidRPr="00A859F2" w:rsidRDefault="009709C2" w:rsidP="00394CA8">
            <w:pPr>
              <w:keepNext/>
              <w:keepLines/>
              <w:jc w:val="center"/>
              <w:rPr>
                <w:szCs w:val="22"/>
              </w:rPr>
            </w:pPr>
            <w:r w:rsidRPr="00A859F2">
              <w:rPr>
                <w:color w:val="00B050"/>
                <w:szCs w:val="22"/>
              </w:rPr>
              <w:sym w:font="Wingdings" w:char="F06C"/>
            </w:r>
          </w:p>
        </w:tc>
      </w:tr>
      <w:tr w:rsidR="009709C2" w:rsidRPr="00A859F2" w14:paraId="452917C6" w14:textId="77777777" w:rsidTr="00394CA8">
        <w:tblPrEx>
          <w:tblCellMar>
            <w:left w:w="108" w:type="dxa"/>
            <w:right w:w="108" w:type="dxa"/>
          </w:tblCellMar>
        </w:tblPrEx>
        <w:trPr>
          <w:gridBefore w:val="1"/>
          <w:wBefore w:w="4" w:type="pct"/>
          <w:cantSplit/>
          <w:trHeight w:val="20"/>
        </w:trPr>
        <w:tc>
          <w:tcPr>
            <w:tcW w:w="1438" w:type="pct"/>
            <w:vMerge/>
            <w:shd w:val="clear" w:color="auto" w:fill="auto"/>
            <w:tcMar>
              <w:top w:w="57" w:type="dxa"/>
              <w:bottom w:w="113" w:type="dxa"/>
            </w:tcMar>
          </w:tcPr>
          <w:p w14:paraId="2B02CC39"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25616679" w14:textId="77777777" w:rsidR="009709C2" w:rsidRPr="00A859F2" w:rsidRDefault="009709C2" w:rsidP="00394CA8">
            <w:pPr>
              <w:rPr>
                <w:sz w:val="16"/>
                <w:szCs w:val="16"/>
              </w:rPr>
            </w:pPr>
            <w:r w:rsidRPr="00A859F2">
              <w:rPr>
                <w:sz w:val="16"/>
                <w:szCs w:val="16"/>
              </w:rPr>
              <w:t>Coût unitaire du traitement d’une demande</w:t>
            </w:r>
          </w:p>
        </w:tc>
        <w:tc>
          <w:tcPr>
            <w:tcW w:w="840" w:type="pct"/>
            <w:shd w:val="clear" w:color="auto" w:fill="FFFFFF"/>
            <w:tcMar>
              <w:top w:w="57" w:type="dxa"/>
              <w:bottom w:w="113" w:type="dxa"/>
            </w:tcMar>
          </w:tcPr>
          <w:p w14:paraId="24A4F98A"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6805E4D8"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3B365AD4" w14:textId="77777777" w:rsidTr="00394CA8">
        <w:tblPrEx>
          <w:tblCellMar>
            <w:left w:w="108" w:type="dxa"/>
            <w:right w:w="108" w:type="dxa"/>
          </w:tblCellMar>
        </w:tblPrEx>
        <w:trPr>
          <w:gridBefore w:val="1"/>
          <w:wBefore w:w="4" w:type="pct"/>
          <w:cantSplit/>
          <w:trHeight w:val="20"/>
        </w:trPr>
        <w:tc>
          <w:tcPr>
            <w:tcW w:w="1438" w:type="pct"/>
            <w:vMerge/>
            <w:shd w:val="clear" w:color="auto" w:fill="auto"/>
            <w:tcMar>
              <w:top w:w="57" w:type="dxa"/>
              <w:bottom w:w="113" w:type="dxa"/>
            </w:tcMar>
          </w:tcPr>
          <w:p w14:paraId="5481D095"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132BD32D" w14:textId="77777777" w:rsidR="009709C2" w:rsidRPr="00A859F2" w:rsidRDefault="009709C2" w:rsidP="00394CA8">
            <w:pPr>
              <w:rPr>
                <w:sz w:val="16"/>
                <w:szCs w:val="16"/>
              </w:rPr>
            </w:pPr>
            <w:r w:rsidRPr="00A859F2">
              <w:rPr>
                <w:sz w:val="16"/>
                <w:szCs w:val="16"/>
              </w:rPr>
              <w:t>Niveaux de service des systèmes d’information</w:t>
            </w:r>
          </w:p>
        </w:tc>
        <w:tc>
          <w:tcPr>
            <w:tcW w:w="840" w:type="pct"/>
            <w:shd w:val="clear" w:color="auto" w:fill="FFFFFF"/>
            <w:tcMar>
              <w:top w:w="57" w:type="dxa"/>
              <w:bottom w:w="113" w:type="dxa"/>
            </w:tcMar>
          </w:tcPr>
          <w:p w14:paraId="1351202B"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2A4BDBA7"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66C08640" w14:textId="77777777" w:rsidTr="00394CA8">
        <w:tblPrEx>
          <w:tblCellMar>
            <w:left w:w="108" w:type="dxa"/>
            <w:right w:w="108" w:type="dxa"/>
          </w:tblCellMar>
        </w:tblPrEx>
        <w:trPr>
          <w:gridBefore w:val="1"/>
          <w:wBefore w:w="4" w:type="pct"/>
          <w:cantSplit/>
          <w:trHeight w:val="20"/>
        </w:trPr>
        <w:tc>
          <w:tcPr>
            <w:tcW w:w="1438" w:type="pct"/>
            <w:vMerge/>
            <w:shd w:val="clear" w:color="auto" w:fill="auto"/>
            <w:tcMar>
              <w:top w:w="57" w:type="dxa"/>
              <w:bottom w:w="113" w:type="dxa"/>
            </w:tcMar>
          </w:tcPr>
          <w:p w14:paraId="2F474398"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BF8EA1F" w14:textId="77777777" w:rsidR="009709C2" w:rsidRPr="00A859F2" w:rsidRDefault="009709C2" w:rsidP="00394CA8">
            <w:pPr>
              <w:rPr>
                <w:sz w:val="16"/>
                <w:szCs w:val="16"/>
              </w:rPr>
            </w:pPr>
            <w:r w:rsidRPr="00A859F2">
              <w:rPr>
                <w:sz w:val="16"/>
                <w:szCs w:val="16"/>
              </w:rPr>
              <w:t>Qualité du développement de logiciels</w:t>
            </w:r>
          </w:p>
        </w:tc>
        <w:tc>
          <w:tcPr>
            <w:tcW w:w="840" w:type="pct"/>
            <w:shd w:val="clear" w:color="auto" w:fill="FFFFFF"/>
            <w:tcMar>
              <w:top w:w="57" w:type="dxa"/>
              <w:bottom w:w="113" w:type="dxa"/>
            </w:tcMar>
          </w:tcPr>
          <w:p w14:paraId="773A812C"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1A7A73FE"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7D7C32A9" w14:textId="77777777" w:rsidTr="00394CA8">
        <w:tblPrEx>
          <w:tblCellMar>
            <w:left w:w="108" w:type="dxa"/>
            <w:right w:w="108" w:type="dxa"/>
          </w:tblCellMar>
        </w:tblPrEx>
        <w:trPr>
          <w:gridBefore w:val="1"/>
          <w:wBefore w:w="4" w:type="pct"/>
          <w:cantSplit/>
          <w:trHeight w:val="20"/>
        </w:trPr>
        <w:tc>
          <w:tcPr>
            <w:tcW w:w="1438" w:type="pct"/>
            <w:vMerge/>
            <w:shd w:val="clear" w:color="auto" w:fill="auto"/>
            <w:tcMar>
              <w:top w:w="57" w:type="dxa"/>
              <w:bottom w:w="113" w:type="dxa"/>
            </w:tcMar>
          </w:tcPr>
          <w:p w14:paraId="02EB412F"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16306C30" w14:textId="77777777" w:rsidR="009709C2" w:rsidRPr="00A859F2" w:rsidRDefault="009709C2" w:rsidP="00394CA8">
            <w:pPr>
              <w:rPr>
                <w:sz w:val="16"/>
                <w:szCs w:val="16"/>
              </w:rPr>
            </w:pPr>
            <w:r w:rsidRPr="00A859F2">
              <w:rPr>
                <w:sz w:val="16"/>
                <w:szCs w:val="16"/>
              </w:rPr>
              <w:t>Qualité de la traduction</w:t>
            </w:r>
          </w:p>
        </w:tc>
        <w:tc>
          <w:tcPr>
            <w:tcW w:w="840" w:type="pct"/>
            <w:shd w:val="clear" w:color="auto" w:fill="FFFFFF"/>
            <w:tcMar>
              <w:top w:w="57" w:type="dxa"/>
              <w:bottom w:w="113" w:type="dxa"/>
            </w:tcMar>
          </w:tcPr>
          <w:p w14:paraId="5AB3252F"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25A67250"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512A06A3" w14:textId="77777777" w:rsidTr="00394CA8">
        <w:tblPrEx>
          <w:tblCellMar>
            <w:left w:w="108" w:type="dxa"/>
            <w:right w:w="108" w:type="dxa"/>
          </w:tblCellMar>
        </w:tblPrEx>
        <w:trPr>
          <w:gridBefore w:val="1"/>
          <w:wBefore w:w="4" w:type="pct"/>
          <w:cantSplit/>
          <w:trHeight w:val="26"/>
        </w:trPr>
        <w:tc>
          <w:tcPr>
            <w:tcW w:w="1438" w:type="pct"/>
            <w:shd w:val="clear" w:color="auto" w:fill="auto"/>
            <w:tcMar>
              <w:top w:w="57" w:type="dxa"/>
              <w:bottom w:w="113" w:type="dxa"/>
            </w:tcMar>
          </w:tcPr>
          <w:p w14:paraId="20B0882A"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2F647605" w14:textId="77777777" w:rsidR="009709C2" w:rsidRPr="00A859F2" w:rsidRDefault="009709C2" w:rsidP="00394CA8">
            <w:pPr>
              <w:rPr>
                <w:sz w:val="16"/>
                <w:szCs w:val="16"/>
              </w:rPr>
            </w:pPr>
            <w:r w:rsidRPr="00A859F2">
              <w:rPr>
                <w:sz w:val="16"/>
                <w:szCs w:val="16"/>
              </w:rPr>
              <w:t>Délais de traduction des rapports</w:t>
            </w:r>
          </w:p>
        </w:tc>
        <w:tc>
          <w:tcPr>
            <w:tcW w:w="840" w:type="pct"/>
            <w:shd w:val="clear" w:color="auto" w:fill="FFFFFF"/>
            <w:tcMar>
              <w:top w:w="57" w:type="dxa"/>
              <w:bottom w:w="113" w:type="dxa"/>
            </w:tcMar>
          </w:tcPr>
          <w:p w14:paraId="3C107196"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5</w:t>
            </w:r>
          </w:p>
        </w:tc>
        <w:tc>
          <w:tcPr>
            <w:tcW w:w="679" w:type="pct"/>
            <w:shd w:val="clear" w:color="auto" w:fill="FFFFFF"/>
            <w:tcMar>
              <w:top w:w="57" w:type="dxa"/>
            </w:tcMar>
          </w:tcPr>
          <w:p w14:paraId="5DE2642D"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1F33E749" w14:textId="77777777" w:rsidTr="00394CA8">
        <w:tblPrEx>
          <w:tblCellMar>
            <w:left w:w="108" w:type="dxa"/>
            <w:right w:w="108" w:type="dxa"/>
          </w:tblCellMar>
        </w:tblPrEx>
        <w:trPr>
          <w:gridBefore w:val="1"/>
          <w:wBefore w:w="4" w:type="pct"/>
          <w:cantSplit/>
          <w:trHeight w:val="30"/>
        </w:trPr>
        <w:tc>
          <w:tcPr>
            <w:tcW w:w="1438" w:type="pct"/>
            <w:vMerge w:val="restart"/>
            <w:shd w:val="clear" w:color="auto" w:fill="auto"/>
            <w:tcMar>
              <w:top w:w="57" w:type="dxa"/>
              <w:bottom w:w="113" w:type="dxa"/>
            </w:tcMar>
          </w:tcPr>
          <w:p w14:paraId="544D7175" w14:textId="77777777" w:rsidR="009709C2" w:rsidRPr="00A859F2" w:rsidRDefault="009709C2" w:rsidP="00394CA8">
            <w:pPr>
              <w:rPr>
                <w:sz w:val="16"/>
                <w:szCs w:val="16"/>
              </w:rPr>
            </w:pPr>
            <w:r w:rsidRPr="00A859F2">
              <w:rPr>
                <w:sz w:val="16"/>
                <w:szCs w:val="16"/>
              </w:rPr>
              <w:t>II.4 Utilisation élargie et plus efficace du système de La Haye, notamment par les pays en développement et les PMA</w:t>
            </w:r>
          </w:p>
        </w:tc>
        <w:tc>
          <w:tcPr>
            <w:tcW w:w="2039" w:type="pct"/>
            <w:shd w:val="clear" w:color="auto" w:fill="auto"/>
            <w:tcMar>
              <w:top w:w="57" w:type="dxa"/>
              <w:bottom w:w="113" w:type="dxa"/>
            </w:tcMar>
          </w:tcPr>
          <w:p w14:paraId="3A0671F7" w14:textId="77777777" w:rsidR="009709C2" w:rsidRPr="00A859F2" w:rsidRDefault="009709C2" w:rsidP="00394CA8">
            <w:pPr>
              <w:rPr>
                <w:sz w:val="16"/>
                <w:szCs w:val="16"/>
              </w:rPr>
            </w:pPr>
            <w:r w:rsidRPr="00A859F2">
              <w:rPr>
                <w:sz w:val="16"/>
                <w:szCs w:val="16"/>
              </w:rPr>
              <w:t>Nombre de demandes déposées selon le système de La Haye émanant de pays en développement, de pays en transition et de pays développés</w:t>
            </w:r>
          </w:p>
        </w:tc>
        <w:tc>
          <w:tcPr>
            <w:tcW w:w="840" w:type="pct"/>
            <w:shd w:val="clear" w:color="auto" w:fill="FFFFFF"/>
            <w:tcMar>
              <w:top w:w="57" w:type="dxa"/>
              <w:bottom w:w="113" w:type="dxa"/>
            </w:tcMar>
          </w:tcPr>
          <w:p w14:paraId="244EF01E"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9</w:t>
            </w:r>
          </w:p>
          <w:p w14:paraId="035E6B25" w14:textId="77777777" w:rsidR="009709C2" w:rsidRPr="00A859F2" w:rsidRDefault="009709C2" w:rsidP="00394CA8">
            <w:pPr>
              <w:jc w:val="center"/>
              <w:rPr>
                <w:sz w:val="6"/>
                <w:szCs w:val="6"/>
              </w:rPr>
            </w:pPr>
          </w:p>
          <w:p w14:paraId="58411F6A"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10</w:t>
            </w:r>
          </w:p>
          <w:p w14:paraId="555F0F75" w14:textId="77777777" w:rsidR="009709C2" w:rsidRPr="00A859F2" w:rsidRDefault="009709C2" w:rsidP="00394CA8">
            <w:pPr>
              <w:jc w:val="center"/>
              <w:rPr>
                <w:sz w:val="6"/>
                <w:szCs w:val="6"/>
              </w:rPr>
            </w:pPr>
          </w:p>
          <w:p w14:paraId="3AE0CF33"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20</w:t>
            </w:r>
          </w:p>
        </w:tc>
        <w:tc>
          <w:tcPr>
            <w:tcW w:w="679" w:type="pct"/>
            <w:shd w:val="clear" w:color="auto" w:fill="FFFFFF"/>
            <w:tcMar>
              <w:top w:w="57" w:type="dxa"/>
            </w:tcMar>
          </w:tcPr>
          <w:p w14:paraId="5D79AD3E" w14:textId="77777777" w:rsidR="009709C2" w:rsidRPr="00A859F2" w:rsidRDefault="009709C2" w:rsidP="00394CA8">
            <w:pPr>
              <w:jc w:val="center"/>
              <w:rPr>
                <w:color w:val="00B050"/>
                <w:szCs w:val="22"/>
              </w:rPr>
            </w:pPr>
            <w:r w:rsidRPr="00A859F2">
              <w:rPr>
                <w:color w:val="00B050"/>
                <w:szCs w:val="22"/>
              </w:rPr>
              <w:sym w:font="Wingdings" w:char="F06C"/>
            </w:r>
            <w:r w:rsidRPr="00A859F2">
              <w:rPr>
                <w:color w:val="FF0000"/>
                <w:szCs w:val="22"/>
              </w:rPr>
              <w:sym w:font="Wingdings" w:char="F06C"/>
            </w:r>
            <w:r w:rsidRPr="00A859F2">
              <w:rPr>
                <w:color w:val="00B050"/>
                <w:szCs w:val="22"/>
              </w:rPr>
              <w:sym w:font="Wingdings" w:char="F06C"/>
            </w:r>
          </w:p>
          <w:p w14:paraId="1FF81BEF" w14:textId="77777777" w:rsidR="009709C2" w:rsidRPr="00A859F2" w:rsidRDefault="009709C2" w:rsidP="00394CA8">
            <w:pPr>
              <w:jc w:val="center"/>
              <w:rPr>
                <w:color w:val="00B050"/>
                <w:szCs w:val="22"/>
              </w:rPr>
            </w:pPr>
            <w:r w:rsidRPr="00A859F2">
              <w:rPr>
                <w:color w:val="00B050"/>
                <w:szCs w:val="22"/>
              </w:rPr>
              <w:sym w:font="Wingdings" w:char="F06C"/>
            </w:r>
          </w:p>
          <w:p w14:paraId="0C5475B2"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34F341A9" w14:textId="77777777" w:rsidTr="00394CA8">
        <w:tblPrEx>
          <w:tblCellMar>
            <w:left w:w="108" w:type="dxa"/>
            <w:right w:w="108" w:type="dxa"/>
          </w:tblCellMar>
        </w:tblPrEx>
        <w:trPr>
          <w:gridBefore w:val="1"/>
          <w:wBefore w:w="4" w:type="pct"/>
          <w:cantSplit/>
          <w:trHeight w:val="397"/>
        </w:trPr>
        <w:tc>
          <w:tcPr>
            <w:tcW w:w="1438" w:type="pct"/>
            <w:vMerge/>
            <w:shd w:val="clear" w:color="auto" w:fill="auto"/>
            <w:tcMar>
              <w:top w:w="57" w:type="dxa"/>
              <w:bottom w:w="113" w:type="dxa"/>
            </w:tcMar>
          </w:tcPr>
          <w:p w14:paraId="253CA926"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2331D12D" w14:textId="77777777" w:rsidR="009709C2" w:rsidRPr="00A859F2" w:rsidRDefault="009709C2" w:rsidP="00394CA8">
            <w:pPr>
              <w:rPr>
                <w:sz w:val="16"/>
                <w:szCs w:val="16"/>
              </w:rPr>
            </w:pPr>
            <w:r>
              <w:rPr>
                <w:sz w:val="16"/>
                <w:szCs w:val="16"/>
              </w:rPr>
              <w:t>Pourcentage</w:t>
            </w:r>
            <w:r w:rsidRPr="00A859F2">
              <w:rPr>
                <w:sz w:val="16"/>
                <w:szCs w:val="16"/>
              </w:rPr>
              <w:t xml:space="preserve"> de décideurs politiques, d’agents de l’État ainsi que de professionnels de la propriété intellectuelle et de participants à des ateliers ciblés ayant une meilleure compréhension du système de La Haye.</w:t>
            </w:r>
          </w:p>
        </w:tc>
        <w:tc>
          <w:tcPr>
            <w:tcW w:w="840" w:type="pct"/>
            <w:shd w:val="clear" w:color="auto" w:fill="FFFFFF"/>
            <w:tcMar>
              <w:top w:w="57" w:type="dxa"/>
              <w:bottom w:w="113" w:type="dxa"/>
            </w:tcMar>
          </w:tcPr>
          <w:p w14:paraId="493271EE"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20</w:t>
            </w:r>
          </w:p>
        </w:tc>
        <w:tc>
          <w:tcPr>
            <w:tcW w:w="679" w:type="pct"/>
            <w:shd w:val="clear" w:color="auto" w:fill="FFFFFF"/>
            <w:tcMar>
              <w:top w:w="57" w:type="dxa"/>
            </w:tcMar>
          </w:tcPr>
          <w:p w14:paraId="2F499559" w14:textId="77777777" w:rsidR="009709C2" w:rsidRPr="00A859F2" w:rsidRDefault="009709C2" w:rsidP="00394CA8">
            <w:pPr>
              <w:jc w:val="center"/>
              <w:rPr>
                <w:szCs w:val="22"/>
              </w:rPr>
            </w:pPr>
            <w:r w:rsidRPr="00A859F2">
              <w:rPr>
                <w:color w:val="808080"/>
                <w:szCs w:val="22"/>
              </w:rPr>
              <w:sym w:font="Wingdings" w:char="F06C"/>
            </w:r>
            <w:r w:rsidRPr="00A859F2">
              <w:rPr>
                <w:color w:val="FF0000"/>
                <w:szCs w:val="22"/>
              </w:rPr>
              <w:sym w:font="Wingdings" w:char="F06C"/>
            </w:r>
            <w:r w:rsidRPr="00A859F2">
              <w:rPr>
                <w:color w:val="00B050"/>
                <w:szCs w:val="22"/>
              </w:rPr>
              <w:sym w:font="Wingdings" w:char="F06C"/>
            </w:r>
          </w:p>
        </w:tc>
      </w:tr>
      <w:tr w:rsidR="009709C2" w:rsidRPr="00A859F2" w14:paraId="384596EF" w14:textId="77777777" w:rsidTr="00394CA8">
        <w:tblPrEx>
          <w:tblCellMar>
            <w:left w:w="108" w:type="dxa"/>
            <w:right w:w="108" w:type="dxa"/>
          </w:tblCellMar>
        </w:tblPrEx>
        <w:trPr>
          <w:gridBefore w:val="1"/>
          <w:wBefore w:w="4" w:type="pct"/>
          <w:cantSplit/>
          <w:trHeight w:val="170"/>
        </w:trPr>
        <w:tc>
          <w:tcPr>
            <w:tcW w:w="1438" w:type="pct"/>
            <w:shd w:val="clear" w:color="auto" w:fill="auto"/>
            <w:tcMar>
              <w:top w:w="57" w:type="dxa"/>
              <w:bottom w:w="113" w:type="dxa"/>
            </w:tcMar>
          </w:tcPr>
          <w:p w14:paraId="732AD16D"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CB1250E" w14:textId="77777777" w:rsidR="009709C2" w:rsidRPr="00A859F2" w:rsidRDefault="009709C2" w:rsidP="00394CA8">
            <w:pPr>
              <w:rPr>
                <w:sz w:val="16"/>
                <w:szCs w:val="16"/>
              </w:rPr>
            </w:pPr>
            <w:r w:rsidRPr="00A859F2">
              <w:rPr>
                <w:sz w:val="16"/>
                <w:szCs w:val="16"/>
              </w:rPr>
              <w:t>Parties contractantes à l’Acte de Genève (1999)</w:t>
            </w:r>
          </w:p>
        </w:tc>
        <w:tc>
          <w:tcPr>
            <w:tcW w:w="840" w:type="pct"/>
            <w:shd w:val="clear" w:color="auto" w:fill="FFFFFF"/>
            <w:tcMar>
              <w:top w:w="57" w:type="dxa"/>
              <w:bottom w:w="113" w:type="dxa"/>
            </w:tcMar>
          </w:tcPr>
          <w:p w14:paraId="42E7577D"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20</w:t>
            </w:r>
          </w:p>
          <w:p w14:paraId="4014223D"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5F72511B" w14:textId="77777777" w:rsidR="009709C2" w:rsidRPr="00A859F2" w:rsidRDefault="009709C2" w:rsidP="00394CA8">
            <w:pPr>
              <w:jc w:val="center"/>
              <w:rPr>
                <w:color w:val="FF0000"/>
                <w:szCs w:val="22"/>
              </w:rPr>
            </w:pPr>
            <w:r w:rsidRPr="00A859F2">
              <w:rPr>
                <w:color w:val="FF0000"/>
                <w:szCs w:val="22"/>
              </w:rPr>
              <w:sym w:font="Wingdings" w:char="F06C"/>
            </w:r>
          </w:p>
          <w:p w14:paraId="3F9E5592" w14:textId="77777777" w:rsidR="009709C2" w:rsidRPr="00A859F2" w:rsidRDefault="009709C2" w:rsidP="00394CA8">
            <w:pPr>
              <w:jc w:val="center"/>
              <w:rPr>
                <w:szCs w:val="22"/>
              </w:rPr>
            </w:pPr>
            <w:r w:rsidRPr="00A859F2">
              <w:rPr>
                <w:color w:val="FF0000"/>
                <w:szCs w:val="22"/>
              </w:rPr>
              <w:sym w:font="Wingdings" w:char="F06C"/>
            </w:r>
          </w:p>
        </w:tc>
      </w:tr>
      <w:tr w:rsidR="009709C2" w:rsidRPr="00A859F2" w14:paraId="7DD7408D" w14:textId="77777777" w:rsidTr="00394CA8">
        <w:tblPrEx>
          <w:tblCellMar>
            <w:left w:w="108" w:type="dxa"/>
            <w:right w:w="108" w:type="dxa"/>
          </w:tblCellMar>
        </w:tblPrEx>
        <w:trPr>
          <w:gridBefore w:val="1"/>
          <w:wBefore w:w="4" w:type="pct"/>
          <w:cantSplit/>
          <w:trHeight w:val="108"/>
        </w:trPr>
        <w:tc>
          <w:tcPr>
            <w:tcW w:w="1438" w:type="pct"/>
            <w:shd w:val="clear" w:color="auto" w:fill="auto"/>
            <w:tcMar>
              <w:top w:w="57" w:type="dxa"/>
              <w:bottom w:w="113" w:type="dxa"/>
            </w:tcMar>
          </w:tcPr>
          <w:p w14:paraId="60BC20F2"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2C48C0C0" w14:textId="77777777" w:rsidR="009709C2" w:rsidRPr="00A859F2" w:rsidRDefault="009709C2" w:rsidP="00394CA8">
            <w:pPr>
              <w:rPr>
                <w:sz w:val="16"/>
                <w:szCs w:val="16"/>
              </w:rPr>
            </w:pPr>
            <w:r w:rsidRPr="00A859F2">
              <w:rPr>
                <w:sz w:val="16"/>
                <w:szCs w:val="16"/>
              </w:rPr>
              <w:t>Dépôts de demandes et renouvellements au titre du système de La Haye</w:t>
            </w:r>
          </w:p>
        </w:tc>
        <w:tc>
          <w:tcPr>
            <w:tcW w:w="840" w:type="pct"/>
            <w:shd w:val="clear" w:color="auto" w:fill="FFFFFF"/>
            <w:tcMar>
              <w:top w:w="57" w:type="dxa"/>
              <w:bottom w:w="113" w:type="dxa"/>
            </w:tcMar>
          </w:tcPr>
          <w:p w14:paraId="7E17619C"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62089209" w14:textId="77777777" w:rsidR="009709C2" w:rsidRPr="00A859F2" w:rsidRDefault="009709C2" w:rsidP="00394CA8">
            <w:pPr>
              <w:jc w:val="center"/>
              <w:rPr>
                <w:szCs w:val="22"/>
              </w:rPr>
            </w:pPr>
            <w:r w:rsidRPr="00A859F2">
              <w:rPr>
                <w:color w:val="00B050"/>
                <w:szCs w:val="22"/>
              </w:rPr>
              <w:sym w:font="Wingdings" w:char="F06C"/>
            </w:r>
            <w:r w:rsidRPr="00A859F2">
              <w:rPr>
                <w:color w:val="FF0000"/>
                <w:szCs w:val="22"/>
              </w:rPr>
              <w:sym w:font="Wingdings" w:char="F06C"/>
            </w:r>
            <w:r w:rsidRPr="00A859F2">
              <w:rPr>
                <w:color w:val="00B050"/>
                <w:szCs w:val="22"/>
              </w:rPr>
              <w:sym w:font="Wingdings" w:char="F06C"/>
            </w:r>
          </w:p>
        </w:tc>
      </w:tr>
      <w:tr w:rsidR="009709C2" w:rsidRPr="00A859F2" w14:paraId="15E82917" w14:textId="77777777" w:rsidTr="00394CA8">
        <w:tblPrEx>
          <w:tblCellMar>
            <w:left w:w="108" w:type="dxa"/>
            <w:right w:w="108" w:type="dxa"/>
          </w:tblCellMar>
        </w:tblPrEx>
        <w:trPr>
          <w:gridBefore w:val="1"/>
          <w:wBefore w:w="4" w:type="pct"/>
          <w:cantSplit/>
          <w:trHeight w:val="26"/>
        </w:trPr>
        <w:tc>
          <w:tcPr>
            <w:tcW w:w="1438" w:type="pct"/>
            <w:shd w:val="clear" w:color="auto" w:fill="auto"/>
            <w:tcMar>
              <w:top w:w="57" w:type="dxa"/>
              <w:bottom w:w="113" w:type="dxa"/>
            </w:tcMar>
          </w:tcPr>
          <w:p w14:paraId="45D466E5"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007C3AD5" w14:textId="77777777" w:rsidR="009709C2" w:rsidRPr="00A859F2" w:rsidRDefault="009709C2" w:rsidP="00394CA8">
            <w:pPr>
              <w:rPr>
                <w:sz w:val="16"/>
                <w:szCs w:val="16"/>
              </w:rPr>
            </w:pPr>
            <w:r w:rsidRPr="00A859F2">
              <w:rPr>
                <w:sz w:val="16"/>
                <w:szCs w:val="16"/>
              </w:rPr>
              <w:t>Nombre d’offices fournissant des informations sur le système de La Haye à leurs utilisateurs.</w:t>
            </w:r>
          </w:p>
        </w:tc>
        <w:tc>
          <w:tcPr>
            <w:tcW w:w="840" w:type="pct"/>
            <w:shd w:val="clear" w:color="auto" w:fill="FFFFFF"/>
            <w:tcMar>
              <w:top w:w="57" w:type="dxa"/>
              <w:bottom w:w="113" w:type="dxa"/>
            </w:tcMar>
          </w:tcPr>
          <w:p w14:paraId="38E9B67A"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790A2987"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6C85C1A8" w14:textId="77777777" w:rsidTr="00394CA8">
        <w:tblPrEx>
          <w:tblCellMar>
            <w:left w:w="108" w:type="dxa"/>
            <w:right w:w="108" w:type="dxa"/>
          </w:tblCellMar>
        </w:tblPrEx>
        <w:trPr>
          <w:gridBefore w:val="1"/>
          <w:wBefore w:w="4" w:type="pct"/>
          <w:cantSplit/>
          <w:trHeight w:val="30"/>
        </w:trPr>
        <w:tc>
          <w:tcPr>
            <w:tcW w:w="1438" w:type="pct"/>
            <w:vMerge w:val="restart"/>
            <w:shd w:val="clear" w:color="auto" w:fill="auto"/>
            <w:tcMar>
              <w:top w:w="57" w:type="dxa"/>
              <w:bottom w:w="113" w:type="dxa"/>
            </w:tcMar>
          </w:tcPr>
          <w:p w14:paraId="067D1360" w14:textId="77777777" w:rsidR="009709C2" w:rsidRPr="00A859F2" w:rsidRDefault="009709C2" w:rsidP="00394CA8">
            <w:pPr>
              <w:rPr>
                <w:sz w:val="16"/>
                <w:szCs w:val="16"/>
              </w:rPr>
            </w:pPr>
            <w:r>
              <w:rPr>
                <w:sz w:val="16"/>
                <w:szCs w:val="16"/>
              </w:rPr>
              <w:t xml:space="preserve">II.5 </w:t>
            </w:r>
            <w:r w:rsidRPr="00A859F2">
              <w:rPr>
                <w:sz w:val="16"/>
                <w:szCs w:val="16"/>
              </w:rPr>
              <w:t>Amélioration de la productivité et de la qualité de service des opérations de La Haye</w:t>
            </w:r>
          </w:p>
        </w:tc>
        <w:tc>
          <w:tcPr>
            <w:tcW w:w="2039" w:type="pct"/>
            <w:shd w:val="clear" w:color="auto" w:fill="auto"/>
            <w:tcMar>
              <w:top w:w="57" w:type="dxa"/>
              <w:bottom w:w="113" w:type="dxa"/>
            </w:tcMar>
          </w:tcPr>
          <w:p w14:paraId="075D1050" w14:textId="77777777" w:rsidR="009709C2" w:rsidRPr="00A859F2" w:rsidRDefault="009709C2" w:rsidP="00394CA8">
            <w:pPr>
              <w:rPr>
                <w:sz w:val="16"/>
                <w:szCs w:val="16"/>
              </w:rPr>
            </w:pPr>
            <w:r w:rsidRPr="00A859F2">
              <w:rPr>
                <w:sz w:val="16"/>
                <w:szCs w:val="16"/>
              </w:rPr>
              <w:t>3 versions de DIRIS déployées et 3</w:t>
            </w:r>
            <w:r>
              <w:rPr>
                <w:sz w:val="16"/>
                <w:szCs w:val="16"/>
              </w:rPr>
              <w:t> </w:t>
            </w:r>
            <w:r w:rsidRPr="00A859F2">
              <w:rPr>
                <w:sz w:val="16"/>
                <w:szCs w:val="16"/>
              </w:rPr>
              <w:t>versions du système de dépôt électronique du système de La Haye déployées</w:t>
            </w:r>
          </w:p>
        </w:tc>
        <w:tc>
          <w:tcPr>
            <w:tcW w:w="840" w:type="pct"/>
            <w:shd w:val="clear" w:color="auto" w:fill="FFFFFF"/>
            <w:tcMar>
              <w:top w:w="57" w:type="dxa"/>
              <w:bottom w:w="113" w:type="dxa"/>
            </w:tcMar>
          </w:tcPr>
          <w:p w14:paraId="184776A7"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089F90E1" w14:textId="77777777" w:rsidR="009709C2" w:rsidRPr="00A859F2" w:rsidRDefault="009709C2" w:rsidP="00394CA8">
            <w:pPr>
              <w:jc w:val="center"/>
              <w:rPr>
                <w:szCs w:val="22"/>
              </w:rPr>
            </w:pPr>
            <w:r w:rsidRPr="00A859F2">
              <w:rPr>
                <w:szCs w:val="22"/>
              </w:rPr>
              <w:sym w:font="Wingdings" w:char="F06C"/>
            </w:r>
            <w:r w:rsidRPr="00A859F2">
              <w:rPr>
                <w:color w:val="00B050"/>
                <w:szCs w:val="22"/>
              </w:rPr>
              <w:sym w:font="Wingdings" w:char="F06C"/>
            </w:r>
          </w:p>
        </w:tc>
      </w:tr>
      <w:tr w:rsidR="009709C2" w:rsidRPr="00A859F2" w14:paraId="136324F4"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62633387"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12BCB8A8" w14:textId="77777777" w:rsidR="009709C2" w:rsidRPr="00A859F2" w:rsidRDefault="009709C2" w:rsidP="00394CA8">
            <w:pPr>
              <w:rPr>
                <w:sz w:val="16"/>
                <w:szCs w:val="16"/>
              </w:rPr>
            </w:pPr>
            <w:r w:rsidRPr="00A859F2">
              <w:rPr>
                <w:sz w:val="16"/>
                <w:szCs w:val="16"/>
              </w:rPr>
              <w:t>Flexibilité des données inscrites au registre international</w:t>
            </w:r>
          </w:p>
        </w:tc>
        <w:tc>
          <w:tcPr>
            <w:tcW w:w="840" w:type="pct"/>
            <w:shd w:val="clear" w:color="auto" w:fill="FFFFFF"/>
            <w:tcMar>
              <w:top w:w="57" w:type="dxa"/>
              <w:bottom w:w="113" w:type="dxa"/>
            </w:tcMar>
          </w:tcPr>
          <w:p w14:paraId="6D04CD1C"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6C3DA155" w14:textId="77777777" w:rsidR="009709C2" w:rsidRPr="00A859F2" w:rsidRDefault="009709C2" w:rsidP="00394CA8">
            <w:pPr>
              <w:jc w:val="center"/>
              <w:rPr>
                <w:szCs w:val="22"/>
              </w:rPr>
            </w:pPr>
            <w:r w:rsidRPr="00A859F2">
              <w:rPr>
                <w:color w:val="FF0000"/>
                <w:szCs w:val="22"/>
              </w:rPr>
              <w:sym w:font="Wingdings" w:char="F06C"/>
            </w:r>
          </w:p>
        </w:tc>
      </w:tr>
      <w:tr w:rsidR="009709C2" w:rsidRPr="00A859F2" w14:paraId="44214A33"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5D8D6DD8"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15BBE312" w14:textId="77777777" w:rsidR="009709C2" w:rsidRPr="00A859F2" w:rsidRDefault="009709C2" w:rsidP="00394CA8">
            <w:pPr>
              <w:rPr>
                <w:sz w:val="16"/>
                <w:szCs w:val="16"/>
              </w:rPr>
            </w:pPr>
            <w:r w:rsidRPr="00A859F2">
              <w:rPr>
                <w:sz w:val="16"/>
                <w:szCs w:val="16"/>
              </w:rPr>
              <w:t>Amélioration du fonctionnement du système d’enregistrement de La Haye, y compris des processus et procédures électroniques</w:t>
            </w:r>
          </w:p>
        </w:tc>
        <w:tc>
          <w:tcPr>
            <w:tcW w:w="840" w:type="pct"/>
            <w:shd w:val="clear" w:color="auto" w:fill="FFFFFF"/>
            <w:tcMar>
              <w:top w:w="57" w:type="dxa"/>
              <w:bottom w:w="113" w:type="dxa"/>
            </w:tcMar>
          </w:tcPr>
          <w:p w14:paraId="6402D6B8"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5BF43EFD" w14:textId="77777777" w:rsidR="009709C2" w:rsidRPr="00A859F2" w:rsidRDefault="009709C2" w:rsidP="00394CA8">
            <w:pPr>
              <w:jc w:val="center"/>
              <w:rPr>
                <w:szCs w:val="22"/>
              </w:rPr>
            </w:pPr>
            <w:r w:rsidRPr="00A859F2">
              <w:rPr>
                <w:color w:val="FF0000"/>
                <w:szCs w:val="22"/>
              </w:rPr>
              <w:sym w:font="Wingdings" w:char="F06C"/>
            </w:r>
          </w:p>
        </w:tc>
      </w:tr>
      <w:tr w:rsidR="009709C2" w:rsidRPr="00A859F2" w14:paraId="753BCD31"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4C285BA5"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350AFF8" w14:textId="77777777" w:rsidR="009709C2" w:rsidRPr="00A859F2" w:rsidRDefault="009709C2" w:rsidP="00394CA8">
            <w:pPr>
              <w:rPr>
                <w:sz w:val="16"/>
                <w:szCs w:val="16"/>
              </w:rPr>
            </w:pPr>
            <w:r w:rsidRPr="00A859F2">
              <w:rPr>
                <w:sz w:val="16"/>
                <w:szCs w:val="16"/>
              </w:rPr>
              <w:t>Prédominance de l’Acte de Genève (1999) dans le système de La Haye</w:t>
            </w:r>
          </w:p>
        </w:tc>
        <w:tc>
          <w:tcPr>
            <w:tcW w:w="840" w:type="pct"/>
            <w:shd w:val="clear" w:color="auto" w:fill="FFFFFF"/>
            <w:tcMar>
              <w:top w:w="57" w:type="dxa"/>
              <w:bottom w:w="113" w:type="dxa"/>
            </w:tcMar>
          </w:tcPr>
          <w:p w14:paraId="097B8D92"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63F2D0A9"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5FCC30D3" w14:textId="77777777" w:rsidTr="00394CA8">
        <w:tblPrEx>
          <w:tblCellMar>
            <w:left w:w="108" w:type="dxa"/>
            <w:right w:w="108" w:type="dxa"/>
          </w:tblCellMar>
        </w:tblPrEx>
        <w:trPr>
          <w:gridBefore w:val="1"/>
          <w:wBefore w:w="4" w:type="pct"/>
          <w:cantSplit/>
          <w:trHeight w:val="395"/>
        </w:trPr>
        <w:tc>
          <w:tcPr>
            <w:tcW w:w="1438" w:type="pct"/>
            <w:shd w:val="clear" w:color="auto" w:fill="auto"/>
            <w:tcMar>
              <w:top w:w="57" w:type="dxa"/>
              <w:bottom w:w="113" w:type="dxa"/>
            </w:tcMar>
          </w:tcPr>
          <w:p w14:paraId="123BBCED"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18CB87C6" w14:textId="77777777" w:rsidR="009709C2" w:rsidRPr="00A859F2" w:rsidRDefault="009709C2" w:rsidP="00394CA8">
            <w:pPr>
              <w:rPr>
                <w:sz w:val="16"/>
                <w:szCs w:val="16"/>
              </w:rPr>
            </w:pPr>
            <w:r w:rsidRPr="00A859F2">
              <w:rPr>
                <w:sz w:val="16"/>
                <w:szCs w:val="16"/>
              </w:rPr>
              <w:t>Processus et procédures adaptées aux évolutions géographique et juridique du système</w:t>
            </w:r>
          </w:p>
        </w:tc>
        <w:tc>
          <w:tcPr>
            <w:tcW w:w="840" w:type="pct"/>
            <w:shd w:val="clear" w:color="auto" w:fill="FFFFFF"/>
            <w:tcMar>
              <w:top w:w="57" w:type="dxa"/>
              <w:bottom w:w="113" w:type="dxa"/>
            </w:tcMar>
          </w:tcPr>
          <w:p w14:paraId="532468D5"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36D68C2B"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1C79D08E"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3779FB60"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DAD5ADB" w14:textId="77777777" w:rsidR="009709C2" w:rsidRPr="00A859F2" w:rsidRDefault="009709C2" w:rsidP="00394CA8">
            <w:pPr>
              <w:rPr>
                <w:sz w:val="16"/>
                <w:szCs w:val="16"/>
              </w:rPr>
            </w:pPr>
            <w:r w:rsidRPr="00A859F2">
              <w:rPr>
                <w:sz w:val="16"/>
                <w:szCs w:val="16"/>
              </w:rPr>
              <w:t>Progrès accomplis en vue de l’amélioration du cadre juridique</w:t>
            </w:r>
          </w:p>
        </w:tc>
        <w:tc>
          <w:tcPr>
            <w:tcW w:w="840" w:type="pct"/>
            <w:shd w:val="clear" w:color="auto" w:fill="FFFFFF"/>
            <w:tcMar>
              <w:top w:w="57" w:type="dxa"/>
              <w:bottom w:w="113" w:type="dxa"/>
            </w:tcMar>
          </w:tcPr>
          <w:p w14:paraId="5E835A40"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702A2928"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639AA93E"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08429628"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7D872357" w14:textId="77777777" w:rsidR="009709C2" w:rsidRPr="00A859F2" w:rsidRDefault="009709C2" w:rsidP="00394CA8">
            <w:pPr>
              <w:rPr>
                <w:sz w:val="16"/>
                <w:szCs w:val="16"/>
              </w:rPr>
            </w:pPr>
            <w:r w:rsidRPr="00A859F2">
              <w:rPr>
                <w:sz w:val="16"/>
                <w:szCs w:val="16"/>
              </w:rPr>
              <w:t>Une évolution stable des services d’appui informatique du système de La Haye</w:t>
            </w:r>
          </w:p>
        </w:tc>
        <w:tc>
          <w:tcPr>
            <w:tcW w:w="840" w:type="pct"/>
            <w:shd w:val="clear" w:color="auto" w:fill="FFFFFF"/>
            <w:tcMar>
              <w:top w:w="57" w:type="dxa"/>
              <w:bottom w:w="113" w:type="dxa"/>
            </w:tcMar>
          </w:tcPr>
          <w:p w14:paraId="4463C441"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31</w:t>
            </w:r>
          </w:p>
        </w:tc>
        <w:tc>
          <w:tcPr>
            <w:tcW w:w="679" w:type="pct"/>
            <w:shd w:val="clear" w:color="auto" w:fill="FFFFFF"/>
            <w:tcMar>
              <w:top w:w="57" w:type="dxa"/>
            </w:tcMar>
          </w:tcPr>
          <w:p w14:paraId="426CD0FF" w14:textId="77777777" w:rsidR="009709C2" w:rsidRPr="00A859F2" w:rsidRDefault="009709C2" w:rsidP="00394CA8">
            <w:pPr>
              <w:jc w:val="center"/>
              <w:rPr>
                <w:szCs w:val="22"/>
              </w:rPr>
            </w:pPr>
            <w:r w:rsidRPr="00A859F2">
              <w:rPr>
                <w:color w:val="00B050"/>
                <w:szCs w:val="22"/>
              </w:rPr>
              <w:sym w:font="Wingdings" w:char="F06C"/>
            </w:r>
            <w:r w:rsidRPr="00A859F2">
              <w:rPr>
                <w:color w:val="00B050"/>
                <w:szCs w:val="22"/>
              </w:rPr>
              <w:sym w:font="Wingdings" w:char="F06C"/>
            </w:r>
          </w:p>
        </w:tc>
      </w:tr>
      <w:tr w:rsidR="009709C2" w:rsidRPr="00A859F2" w14:paraId="4504B201" w14:textId="77777777" w:rsidTr="00394CA8">
        <w:tblPrEx>
          <w:tblCellMar>
            <w:left w:w="108" w:type="dxa"/>
            <w:right w:w="108" w:type="dxa"/>
          </w:tblCellMar>
        </w:tblPrEx>
        <w:trPr>
          <w:gridBefore w:val="1"/>
          <w:wBefore w:w="4" w:type="pct"/>
          <w:cantSplit/>
          <w:trHeight w:val="34"/>
        </w:trPr>
        <w:tc>
          <w:tcPr>
            <w:tcW w:w="1438" w:type="pct"/>
            <w:vMerge w:val="restart"/>
            <w:shd w:val="clear" w:color="auto" w:fill="auto"/>
            <w:tcMar>
              <w:top w:w="57" w:type="dxa"/>
              <w:bottom w:w="113" w:type="dxa"/>
            </w:tcMar>
          </w:tcPr>
          <w:p w14:paraId="3F5B8ADD" w14:textId="77777777" w:rsidR="009709C2" w:rsidRPr="00A859F2" w:rsidRDefault="009709C2" w:rsidP="00394CA8">
            <w:pPr>
              <w:rPr>
                <w:sz w:val="16"/>
                <w:szCs w:val="16"/>
              </w:rPr>
            </w:pPr>
            <w:r w:rsidRPr="00A859F2">
              <w:rPr>
                <w:sz w:val="16"/>
                <w:szCs w:val="16"/>
              </w:rPr>
              <w:t>II.6 Utilisation élargie et plus efficace du système de Madrid, notamment par les pays en développement et les PMA</w:t>
            </w:r>
          </w:p>
        </w:tc>
        <w:tc>
          <w:tcPr>
            <w:tcW w:w="2039" w:type="pct"/>
            <w:shd w:val="clear" w:color="auto" w:fill="auto"/>
            <w:tcMar>
              <w:top w:w="57" w:type="dxa"/>
              <w:bottom w:w="113" w:type="dxa"/>
            </w:tcMar>
          </w:tcPr>
          <w:p w14:paraId="35EB03DF" w14:textId="77777777" w:rsidR="009709C2" w:rsidRPr="00A859F2" w:rsidRDefault="009709C2" w:rsidP="00394CA8">
            <w:pPr>
              <w:rPr>
                <w:sz w:val="16"/>
                <w:szCs w:val="16"/>
              </w:rPr>
            </w:pPr>
            <w:r w:rsidRPr="00A859F2">
              <w:rPr>
                <w:sz w:val="16"/>
                <w:szCs w:val="16"/>
              </w:rPr>
              <w:t>Taux de dépôt (Madrid)</w:t>
            </w:r>
          </w:p>
        </w:tc>
        <w:tc>
          <w:tcPr>
            <w:tcW w:w="840" w:type="pct"/>
            <w:shd w:val="clear" w:color="auto" w:fill="FFFFFF"/>
            <w:tcMar>
              <w:top w:w="57" w:type="dxa"/>
              <w:bottom w:w="113" w:type="dxa"/>
            </w:tcMar>
          </w:tcPr>
          <w:p w14:paraId="140055B6"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6BE4D678"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6CEB6FF6"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602DA64E"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251E549" w14:textId="77777777" w:rsidR="009709C2" w:rsidRPr="00A859F2" w:rsidRDefault="009709C2" w:rsidP="00394CA8">
            <w:pPr>
              <w:rPr>
                <w:sz w:val="16"/>
                <w:szCs w:val="16"/>
              </w:rPr>
            </w:pPr>
            <w:r w:rsidRPr="00A859F2">
              <w:rPr>
                <w:sz w:val="16"/>
                <w:szCs w:val="16"/>
              </w:rPr>
              <w:t>Améliorations fonctionnelles du système de Madrid</w:t>
            </w:r>
          </w:p>
        </w:tc>
        <w:tc>
          <w:tcPr>
            <w:tcW w:w="840" w:type="pct"/>
            <w:shd w:val="clear" w:color="auto" w:fill="FFFFFF"/>
            <w:tcMar>
              <w:top w:w="57" w:type="dxa"/>
              <w:bottom w:w="113" w:type="dxa"/>
            </w:tcMar>
          </w:tcPr>
          <w:p w14:paraId="2AD61164"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7165E412"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0DFCEEFF" w14:textId="77777777" w:rsidTr="00394CA8">
        <w:tblPrEx>
          <w:tblCellMar>
            <w:left w:w="108" w:type="dxa"/>
            <w:right w:w="108" w:type="dxa"/>
          </w:tblCellMar>
        </w:tblPrEx>
        <w:trPr>
          <w:gridBefore w:val="1"/>
          <w:wBefore w:w="4" w:type="pct"/>
          <w:cantSplit/>
          <w:trHeight w:val="60"/>
        </w:trPr>
        <w:tc>
          <w:tcPr>
            <w:tcW w:w="1438" w:type="pct"/>
            <w:vMerge/>
            <w:shd w:val="clear" w:color="auto" w:fill="auto"/>
            <w:tcMar>
              <w:top w:w="57" w:type="dxa"/>
              <w:bottom w:w="113" w:type="dxa"/>
            </w:tcMar>
          </w:tcPr>
          <w:p w14:paraId="1F332016"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0762BF3E" w14:textId="77777777" w:rsidR="009709C2" w:rsidRPr="00A859F2" w:rsidRDefault="009709C2" w:rsidP="00394CA8">
            <w:pPr>
              <w:rPr>
                <w:sz w:val="16"/>
                <w:szCs w:val="16"/>
              </w:rPr>
            </w:pPr>
            <w:r w:rsidRPr="00A859F2">
              <w:rPr>
                <w:sz w:val="16"/>
                <w:szCs w:val="16"/>
              </w:rPr>
              <w:t>Taux d’irrégularité (articles 12 et 13) (Madrid)</w:t>
            </w:r>
          </w:p>
        </w:tc>
        <w:tc>
          <w:tcPr>
            <w:tcW w:w="840" w:type="pct"/>
            <w:shd w:val="clear" w:color="auto" w:fill="FFFFFF"/>
            <w:tcMar>
              <w:top w:w="57" w:type="dxa"/>
              <w:bottom w:w="113" w:type="dxa"/>
            </w:tcMar>
          </w:tcPr>
          <w:p w14:paraId="724F596E"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6926BBBB" w14:textId="77777777" w:rsidR="009709C2" w:rsidRPr="00A859F2" w:rsidRDefault="009709C2" w:rsidP="00394CA8">
            <w:pPr>
              <w:jc w:val="center"/>
              <w:rPr>
                <w:szCs w:val="22"/>
              </w:rPr>
            </w:pPr>
            <w:r w:rsidRPr="00A859F2">
              <w:rPr>
                <w:color w:val="00B050"/>
                <w:szCs w:val="22"/>
              </w:rPr>
              <w:sym w:font="Wingdings" w:char="F06C"/>
            </w:r>
            <w:r w:rsidRPr="00A859F2">
              <w:rPr>
                <w:color w:val="00B050"/>
                <w:szCs w:val="22"/>
              </w:rPr>
              <w:sym w:font="Wingdings" w:char="F06C"/>
            </w:r>
          </w:p>
        </w:tc>
      </w:tr>
      <w:tr w:rsidR="009709C2" w:rsidRPr="00A859F2" w14:paraId="64992C14" w14:textId="77777777" w:rsidTr="00394CA8">
        <w:tblPrEx>
          <w:tblCellMar>
            <w:left w:w="108" w:type="dxa"/>
            <w:right w:w="108" w:type="dxa"/>
          </w:tblCellMar>
        </w:tblPrEx>
        <w:trPr>
          <w:gridBefore w:val="1"/>
          <w:wBefore w:w="4" w:type="pct"/>
          <w:cantSplit/>
          <w:trHeight w:val="65"/>
        </w:trPr>
        <w:tc>
          <w:tcPr>
            <w:tcW w:w="1438" w:type="pct"/>
            <w:vMerge/>
            <w:shd w:val="clear" w:color="auto" w:fill="auto"/>
            <w:tcMar>
              <w:top w:w="57" w:type="dxa"/>
              <w:bottom w:w="113" w:type="dxa"/>
            </w:tcMar>
          </w:tcPr>
          <w:p w14:paraId="3B695BFE"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3FAF152" w14:textId="77777777" w:rsidR="009709C2" w:rsidRPr="00A859F2" w:rsidRDefault="009709C2" w:rsidP="00394CA8">
            <w:pPr>
              <w:rPr>
                <w:sz w:val="16"/>
                <w:szCs w:val="16"/>
              </w:rPr>
            </w:pPr>
            <w:r w:rsidRPr="00A859F2">
              <w:rPr>
                <w:sz w:val="16"/>
                <w:szCs w:val="16"/>
              </w:rPr>
              <w:t>Part de marché (c.</w:t>
            </w:r>
            <w:r>
              <w:rPr>
                <w:sz w:val="16"/>
                <w:szCs w:val="16"/>
              </w:rPr>
              <w:noBreakHyphen/>
            </w:r>
            <w:r w:rsidRPr="00A859F2">
              <w:rPr>
                <w:sz w:val="16"/>
                <w:szCs w:val="16"/>
              </w:rPr>
              <w:t>à</w:t>
            </w:r>
            <w:r>
              <w:rPr>
                <w:sz w:val="16"/>
                <w:szCs w:val="16"/>
              </w:rPr>
              <w:noBreakHyphen/>
            </w:r>
            <w:r w:rsidRPr="00A859F2">
              <w:rPr>
                <w:sz w:val="16"/>
                <w:szCs w:val="16"/>
              </w:rPr>
              <w:t>d. la voie nationale par rapport à la voie de Madrid) (Madrid)</w:t>
            </w:r>
          </w:p>
        </w:tc>
        <w:tc>
          <w:tcPr>
            <w:tcW w:w="840" w:type="pct"/>
            <w:shd w:val="clear" w:color="auto" w:fill="FFFFFF"/>
            <w:tcMar>
              <w:top w:w="57" w:type="dxa"/>
              <w:bottom w:w="113" w:type="dxa"/>
            </w:tcMar>
          </w:tcPr>
          <w:p w14:paraId="5D08ACA8"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30D48904" w14:textId="77777777" w:rsidR="009709C2" w:rsidRPr="00A859F2" w:rsidRDefault="009709C2" w:rsidP="00394CA8">
            <w:pPr>
              <w:jc w:val="center"/>
              <w:rPr>
                <w:color w:val="3366FF"/>
                <w:szCs w:val="22"/>
              </w:rPr>
            </w:pPr>
            <w:r w:rsidRPr="00A859F2">
              <w:rPr>
                <w:color w:val="0070C0"/>
                <w:szCs w:val="22"/>
              </w:rPr>
              <w:sym w:font="Wingdings" w:char="F06C"/>
            </w:r>
          </w:p>
        </w:tc>
      </w:tr>
      <w:tr w:rsidR="009709C2" w:rsidRPr="00A859F2" w14:paraId="39698CB0"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633CDBFF"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30D0B295" w14:textId="77777777" w:rsidR="009709C2" w:rsidRPr="00A859F2" w:rsidRDefault="009709C2" w:rsidP="00394CA8">
            <w:pPr>
              <w:rPr>
                <w:sz w:val="16"/>
                <w:szCs w:val="16"/>
              </w:rPr>
            </w:pPr>
            <w:r w:rsidRPr="00A859F2">
              <w:rPr>
                <w:sz w:val="16"/>
                <w:szCs w:val="16"/>
              </w:rPr>
              <w:t>Enregistrements (Madrid)</w:t>
            </w:r>
          </w:p>
        </w:tc>
        <w:tc>
          <w:tcPr>
            <w:tcW w:w="840" w:type="pct"/>
            <w:shd w:val="clear" w:color="auto" w:fill="FFFFFF"/>
            <w:tcMar>
              <w:top w:w="57" w:type="dxa"/>
              <w:bottom w:w="113" w:type="dxa"/>
            </w:tcMar>
          </w:tcPr>
          <w:p w14:paraId="515FDC03" w14:textId="77777777" w:rsidR="009709C2" w:rsidRPr="00A859F2" w:rsidRDefault="009709C2" w:rsidP="00394CA8">
            <w:pPr>
              <w:jc w:val="center"/>
              <w:rPr>
                <w:color w:val="3366FF"/>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65884FC8"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23C0E699"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21471E65"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065D618" w14:textId="77777777" w:rsidR="009709C2" w:rsidRPr="00A859F2" w:rsidRDefault="009709C2" w:rsidP="00394CA8">
            <w:pPr>
              <w:rPr>
                <w:sz w:val="16"/>
                <w:szCs w:val="16"/>
              </w:rPr>
            </w:pPr>
            <w:r w:rsidRPr="00A859F2">
              <w:rPr>
                <w:sz w:val="16"/>
                <w:szCs w:val="16"/>
              </w:rPr>
              <w:t>Renouvellements (Madrid)</w:t>
            </w:r>
          </w:p>
        </w:tc>
        <w:tc>
          <w:tcPr>
            <w:tcW w:w="840" w:type="pct"/>
            <w:shd w:val="clear" w:color="auto" w:fill="FFFFFF"/>
            <w:tcMar>
              <w:top w:w="57" w:type="dxa"/>
              <w:bottom w:w="113" w:type="dxa"/>
            </w:tcMar>
          </w:tcPr>
          <w:p w14:paraId="1DD3228C"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47E127CE"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524BF984"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3A5B507A"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C2B2A71" w14:textId="77777777" w:rsidR="009709C2" w:rsidRPr="00A859F2" w:rsidRDefault="009709C2" w:rsidP="00394CA8">
            <w:pPr>
              <w:rPr>
                <w:sz w:val="16"/>
                <w:szCs w:val="16"/>
              </w:rPr>
            </w:pPr>
            <w:r w:rsidRPr="00A859F2">
              <w:rPr>
                <w:sz w:val="16"/>
                <w:szCs w:val="16"/>
              </w:rPr>
              <w:t>États membres du système de Madrid</w:t>
            </w:r>
          </w:p>
        </w:tc>
        <w:tc>
          <w:tcPr>
            <w:tcW w:w="840" w:type="pct"/>
            <w:shd w:val="clear" w:color="auto" w:fill="FFFFFF"/>
            <w:tcMar>
              <w:top w:w="57" w:type="dxa"/>
              <w:bottom w:w="113" w:type="dxa"/>
            </w:tcMar>
          </w:tcPr>
          <w:p w14:paraId="7F080DE2"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73099953" w14:textId="77777777" w:rsidR="009709C2" w:rsidRPr="00A859F2" w:rsidRDefault="009709C2" w:rsidP="00394CA8">
            <w:pPr>
              <w:jc w:val="center"/>
              <w:rPr>
                <w:szCs w:val="22"/>
              </w:rPr>
            </w:pPr>
            <w:r w:rsidRPr="00A859F2">
              <w:rPr>
                <w:color w:val="FF0000"/>
                <w:szCs w:val="22"/>
              </w:rPr>
              <w:sym w:font="Wingdings" w:char="F06C"/>
            </w:r>
          </w:p>
        </w:tc>
      </w:tr>
      <w:tr w:rsidR="009709C2" w:rsidRPr="00A859F2" w14:paraId="78094A66" w14:textId="77777777" w:rsidTr="00394CA8">
        <w:tblPrEx>
          <w:tblCellMar>
            <w:left w:w="108" w:type="dxa"/>
            <w:right w:w="108" w:type="dxa"/>
          </w:tblCellMar>
        </w:tblPrEx>
        <w:trPr>
          <w:gridBefore w:val="1"/>
          <w:wBefore w:w="4" w:type="pct"/>
          <w:cantSplit/>
          <w:trHeight w:val="240"/>
        </w:trPr>
        <w:tc>
          <w:tcPr>
            <w:tcW w:w="1438" w:type="pct"/>
            <w:shd w:val="clear" w:color="auto" w:fill="auto"/>
            <w:tcMar>
              <w:top w:w="57" w:type="dxa"/>
              <w:bottom w:w="113" w:type="dxa"/>
            </w:tcMar>
          </w:tcPr>
          <w:p w14:paraId="47B01A3D"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9EB7578" w14:textId="77777777" w:rsidR="009709C2" w:rsidRPr="00A859F2" w:rsidRDefault="009709C2" w:rsidP="00394CA8">
            <w:pPr>
              <w:rPr>
                <w:sz w:val="16"/>
                <w:szCs w:val="16"/>
              </w:rPr>
            </w:pPr>
            <w:r w:rsidRPr="00A859F2">
              <w:rPr>
                <w:sz w:val="16"/>
                <w:szCs w:val="16"/>
              </w:rPr>
              <w:t>Nombre total de désignations (Madrid)</w:t>
            </w:r>
          </w:p>
        </w:tc>
        <w:tc>
          <w:tcPr>
            <w:tcW w:w="840" w:type="pct"/>
            <w:shd w:val="clear" w:color="auto" w:fill="FFFFFF"/>
            <w:tcMar>
              <w:top w:w="57" w:type="dxa"/>
              <w:bottom w:w="113" w:type="dxa"/>
            </w:tcMar>
          </w:tcPr>
          <w:p w14:paraId="6906583B"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3373AEE5"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7419BBBD" w14:textId="77777777" w:rsidTr="00394CA8">
        <w:tblPrEx>
          <w:tblCellMar>
            <w:left w:w="108" w:type="dxa"/>
            <w:right w:w="108" w:type="dxa"/>
          </w:tblCellMar>
        </w:tblPrEx>
        <w:trPr>
          <w:gridBefore w:val="1"/>
          <w:wBefore w:w="4" w:type="pct"/>
          <w:cantSplit/>
          <w:trHeight w:val="103"/>
        </w:trPr>
        <w:tc>
          <w:tcPr>
            <w:tcW w:w="1438" w:type="pct"/>
            <w:shd w:val="clear" w:color="auto" w:fill="auto"/>
            <w:tcMar>
              <w:top w:w="57" w:type="dxa"/>
              <w:bottom w:w="113" w:type="dxa"/>
            </w:tcMar>
          </w:tcPr>
          <w:p w14:paraId="177828A3"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77BBB92C" w14:textId="77777777" w:rsidR="009709C2" w:rsidRPr="00A859F2" w:rsidRDefault="009709C2" w:rsidP="00394CA8">
            <w:pPr>
              <w:rPr>
                <w:sz w:val="16"/>
                <w:szCs w:val="16"/>
              </w:rPr>
            </w:pPr>
            <w:r w:rsidRPr="00A859F2">
              <w:rPr>
                <w:sz w:val="16"/>
                <w:szCs w:val="16"/>
              </w:rPr>
              <w:t>Nombre total d’enregistrements (Madrid)</w:t>
            </w:r>
          </w:p>
        </w:tc>
        <w:tc>
          <w:tcPr>
            <w:tcW w:w="840" w:type="pct"/>
            <w:shd w:val="clear" w:color="auto" w:fill="FFFFFF"/>
            <w:tcMar>
              <w:top w:w="57" w:type="dxa"/>
              <w:bottom w:w="113" w:type="dxa"/>
            </w:tcMar>
          </w:tcPr>
          <w:p w14:paraId="77BBC385"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7948ACCA"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72516EC3" w14:textId="77777777" w:rsidTr="00394CA8">
        <w:tblPrEx>
          <w:tblCellMar>
            <w:left w:w="108" w:type="dxa"/>
            <w:right w:w="108" w:type="dxa"/>
          </w:tblCellMar>
        </w:tblPrEx>
        <w:trPr>
          <w:gridBefore w:val="1"/>
          <w:wBefore w:w="4" w:type="pct"/>
          <w:cantSplit/>
          <w:trHeight w:val="48"/>
        </w:trPr>
        <w:tc>
          <w:tcPr>
            <w:tcW w:w="1438" w:type="pct"/>
            <w:shd w:val="clear" w:color="auto" w:fill="auto"/>
            <w:tcMar>
              <w:top w:w="57" w:type="dxa"/>
              <w:bottom w:w="113" w:type="dxa"/>
            </w:tcMar>
          </w:tcPr>
          <w:p w14:paraId="1A443354"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571E61F" w14:textId="77777777" w:rsidR="009709C2" w:rsidRPr="00A859F2" w:rsidRDefault="009709C2" w:rsidP="00394CA8">
            <w:pPr>
              <w:rPr>
                <w:sz w:val="16"/>
                <w:szCs w:val="16"/>
              </w:rPr>
            </w:pPr>
            <w:r w:rsidRPr="00A859F2">
              <w:rPr>
                <w:sz w:val="16"/>
                <w:szCs w:val="16"/>
              </w:rPr>
              <w:t>Nombre de demandes déposées selon le système de Madrid émanant de pays en développement, de pays en transition et de pays développés</w:t>
            </w:r>
          </w:p>
        </w:tc>
        <w:tc>
          <w:tcPr>
            <w:tcW w:w="840" w:type="pct"/>
            <w:shd w:val="clear" w:color="auto" w:fill="FFFFFF"/>
            <w:tcMar>
              <w:top w:w="57" w:type="dxa"/>
              <w:bottom w:w="113" w:type="dxa"/>
            </w:tcMar>
          </w:tcPr>
          <w:p w14:paraId="3D960D7A"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9</w:t>
            </w:r>
          </w:p>
          <w:p w14:paraId="408FCF79" w14:textId="77777777" w:rsidR="009709C2" w:rsidRPr="00A859F2" w:rsidRDefault="009709C2" w:rsidP="00394CA8">
            <w:pPr>
              <w:jc w:val="center"/>
              <w:rPr>
                <w:sz w:val="6"/>
                <w:szCs w:val="6"/>
              </w:rPr>
            </w:pPr>
          </w:p>
          <w:p w14:paraId="681719BD"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10</w:t>
            </w:r>
          </w:p>
          <w:p w14:paraId="59435E1F" w14:textId="77777777" w:rsidR="009709C2" w:rsidRPr="00A859F2" w:rsidRDefault="009709C2" w:rsidP="00394CA8">
            <w:pPr>
              <w:jc w:val="center"/>
              <w:rPr>
                <w:sz w:val="6"/>
                <w:szCs w:val="6"/>
              </w:rPr>
            </w:pPr>
          </w:p>
          <w:p w14:paraId="087EABC6"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20</w:t>
            </w:r>
          </w:p>
        </w:tc>
        <w:tc>
          <w:tcPr>
            <w:tcW w:w="679" w:type="pct"/>
            <w:shd w:val="clear" w:color="auto" w:fill="FFFFFF"/>
            <w:tcMar>
              <w:top w:w="57" w:type="dxa"/>
            </w:tcMar>
          </w:tcPr>
          <w:p w14:paraId="7E907C9B" w14:textId="77777777" w:rsidR="009709C2" w:rsidRPr="00A859F2" w:rsidRDefault="009709C2" w:rsidP="00394CA8">
            <w:pPr>
              <w:jc w:val="center"/>
              <w:rPr>
                <w:color w:val="FF0000"/>
                <w:szCs w:val="22"/>
              </w:rPr>
            </w:pPr>
            <w:r w:rsidRPr="00A859F2">
              <w:rPr>
                <w:color w:val="FF0000"/>
                <w:szCs w:val="22"/>
              </w:rPr>
              <w:sym w:font="Wingdings" w:char="F06C"/>
            </w:r>
            <w:r w:rsidRPr="00A859F2">
              <w:rPr>
                <w:color w:val="FF0000"/>
                <w:szCs w:val="22"/>
              </w:rPr>
              <w:sym w:font="Wingdings" w:char="F06C"/>
            </w:r>
            <w:r w:rsidRPr="00A859F2">
              <w:rPr>
                <w:color w:val="00B050"/>
                <w:szCs w:val="22"/>
              </w:rPr>
              <w:sym w:font="Wingdings" w:char="F06C"/>
            </w:r>
            <w:r w:rsidRPr="00A859F2">
              <w:rPr>
                <w:color w:val="FF0000"/>
                <w:szCs w:val="22"/>
              </w:rPr>
              <w:sym w:font="Wingdings" w:char="F06C"/>
            </w:r>
          </w:p>
          <w:p w14:paraId="08093090" w14:textId="77777777" w:rsidR="009709C2" w:rsidRPr="00A859F2" w:rsidRDefault="009709C2" w:rsidP="00394CA8">
            <w:pPr>
              <w:jc w:val="center"/>
              <w:rPr>
                <w:color w:val="00B050"/>
                <w:szCs w:val="22"/>
              </w:rPr>
            </w:pPr>
            <w:r w:rsidRPr="00A859F2">
              <w:rPr>
                <w:color w:val="00B050"/>
                <w:szCs w:val="22"/>
              </w:rPr>
              <w:sym w:font="Wingdings" w:char="F06C"/>
            </w:r>
          </w:p>
          <w:p w14:paraId="6398A727" w14:textId="77777777" w:rsidR="009709C2" w:rsidRPr="00A859F2" w:rsidRDefault="009709C2" w:rsidP="00394CA8">
            <w:pPr>
              <w:jc w:val="center"/>
              <w:rPr>
                <w:szCs w:val="22"/>
              </w:rPr>
            </w:pPr>
            <w:r w:rsidRPr="00A859F2">
              <w:rPr>
                <w:color w:val="80808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3650C8F6" w14:textId="77777777" w:rsidTr="00394CA8">
        <w:tblPrEx>
          <w:tblCellMar>
            <w:left w:w="108" w:type="dxa"/>
            <w:right w:w="108" w:type="dxa"/>
          </w:tblCellMar>
        </w:tblPrEx>
        <w:trPr>
          <w:gridBefore w:val="1"/>
          <w:wBefore w:w="4" w:type="pct"/>
          <w:cantSplit/>
          <w:trHeight w:val="500"/>
        </w:trPr>
        <w:tc>
          <w:tcPr>
            <w:tcW w:w="1438" w:type="pct"/>
            <w:shd w:val="clear" w:color="auto" w:fill="auto"/>
            <w:tcMar>
              <w:top w:w="57" w:type="dxa"/>
              <w:bottom w:w="113" w:type="dxa"/>
            </w:tcMar>
          </w:tcPr>
          <w:p w14:paraId="391328C0"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2F0F159C" w14:textId="77777777" w:rsidR="009709C2" w:rsidRPr="00A859F2" w:rsidRDefault="009709C2" w:rsidP="00394CA8">
            <w:pPr>
              <w:rPr>
                <w:sz w:val="16"/>
                <w:szCs w:val="16"/>
              </w:rPr>
            </w:pPr>
            <w:r w:rsidRPr="00A859F2">
              <w:rPr>
                <w:sz w:val="16"/>
                <w:szCs w:val="16"/>
              </w:rPr>
              <w:t>Pourcentage de décideurs, de fonctionnaires gouvernementaux, de spécialistes de la propriété intellectuelle et de participants à des séminaires ciblés ayant une meilleure connaissance du système de Madrid</w:t>
            </w:r>
          </w:p>
        </w:tc>
        <w:tc>
          <w:tcPr>
            <w:tcW w:w="840" w:type="pct"/>
            <w:shd w:val="clear" w:color="auto" w:fill="FFFFFF"/>
            <w:tcMar>
              <w:top w:w="57" w:type="dxa"/>
              <w:bottom w:w="113" w:type="dxa"/>
            </w:tcMar>
          </w:tcPr>
          <w:p w14:paraId="70BCBC90"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20</w:t>
            </w:r>
          </w:p>
        </w:tc>
        <w:tc>
          <w:tcPr>
            <w:tcW w:w="679" w:type="pct"/>
            <w:shd w:val="clear" w:color="auto" w:fill="FFFFFF"/>
            <w:tcMar>
              <w:top w:w="57" w:type="dxa"/>
            </w:tcMar>
          </w:tcPr>
          <w:p w14:paraId="139AD7AD" w14:textId="77777777" w:rsidR="009709C2" w:rsidRPr="00A859F2" w:rsidRDefault="009709C2" w:rsidP="00394CA8">
            <w:pPr>
              <w:jc w:val="center"/>
              <w:rPr>
                <w:szCs w:val="22"/>
              </w:rPr>
            </w:pPr>
            <w:r w:rsidRPr="00A859F2">
              <w:rPr>
                <w:color w:val="00B050"/>
                <w:szCs w:val="22"/>
              </w:rPr>
              <w:sym w:font="Wingdings" w:char="F06C"/>
            </w:r>
          </w:p>
        </w:tc>
      </w:tr>
      <w:tr w:rsidR="009709C2" w:rsidRPr="00A859F2" w14:paraId="4DC7E5D1"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543A5949"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D803024" w14:textId="77777777" w:rsidR="009709C2" w:rsidRPr="00A859F2" w:rsidRDefault="009709C2" w:rsidP="00394CA8">
            <w:pPr>
              <w:rPr>
                <w:sz w:val="16"/>
                <w:szCs w:val="16"/>
              </w:rPr>
            </w:pPr>
            <w:r w:rsidRPr="00A859F2">
              <w:rPr>
                <w:sz w:val="16"/>
                <w:szCs w:val="16"/>
              </w:rPr>
              <w:t xml:space="preserve">États membres du système de Madrid </w:t>
            </w:r>
          </w:p>
        </w:tc>
        <w:tc>
          <w:tcPr>
            <w:tcW w:w="840" w:type="pct"/>
            <w:shd w:val="clear" w:color="auto" w:fill="FFFFFF"/>
            <w:tcMar>
              <w:top w:w="57" w:type="dxa"/>
              <w:bottom w:w="113" w:type="dxa"/>
            </w:tcMar>
          </w:tcPr>
          <w:p w14:paraId="19C3C121"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20</w:t>
            </w:r>
          </w:p>
        </w:tc>
        <w:tc>
          <w:tcPr>
            <w:tcW w:w="679" w:type="pct"/>
            <w:shd w:val="clear" w:color="auto" w:fill="FFFFFF"/>
            <w:tcMar>
              <w:top w:w="57" w:type="dxa"/>
            </w:tcMar>
          </w:tcPr>
          <w:p w14:paraId="05D4BF9F" w14:textId="77777777" w:rsidR="009709C2" w:rsidRPr="00A859F2" w:rsidRDefault="009709C2" w:rsidP="00394CA8">
            <w:pPr>
              <w:jc w:val="center"/>
              <w:rPr>
                <w:szCs w:val="22"/>
              </w:rPr>
            </w:pPr>
            <w:r w:rsidRPr="00A859F2">
              <w:rPr>
                <w:color w:val="FF0000"/>
                <w:szCs w:val="22"/>
              </w:rPr>
              <w:sym w:font="Wingdings" w:char="F06C"/>
            </w:r>
          </w:p>
        </w:tc>
      </w:tr>
      <w:tr w:rsidR="009709C2" w:rsidRPr="00A859F2" w14:paraId="32593000" w14:textId="77777777" w:rsidTr="00394CA8">
        <w:tblPrEx>
          <w:tblCellMar>
            <w:left w:w="108" w:type="dxa"/>
            <w:right w:w="108" w:type="dxa"/>
          </w:tblCellMar>
        </w:tblPrEx>
        <w:trPr>
          <w:gridBefore w:val="1"/>
          <w:wBefore w:w="4" w:type="pct"/>
          <w:cantSplit/>
          <w:trHeight w:val="387"/>
        </w:trPr>
        <w:tc>
          <w:tcPr>
            <w:tcW w:w="1438" w:type="pct"/>
            <w:vMerge w:val="restart"/>
            <w:shd w:val="clear" w:color="auto" w:fill="auto"/>
            <w:tcMar>
              <w:top w:w="57" w:type="dxa"/>
              <w:bottom w:w="113" w:type="dxa"/>
            </w:tcMar>
          </w:tcPr>
          <w:p w14:paraId="08C85F77" w14:textId="77777777" w:rsidR="009709C2" w:rsidRPr="00A859F2" w:rsidRDefault="009709C2" w:rsidP="00394CA8">
            <w:pPr>
              <w:rPr>
                <w:sz w:val="16"/>
                <w:szCs w:val="16"/>
              </w:rPr>
            </w:pPr>
            <w:r w:rsidRPr="00A859F2">
              <w:rPr>
                <w:sz w:val="16"/>
                <w:szCs w:val="16"/>
              </w:rPr>
              <w:t>II.7 Amélioration de la productivité et de la qualité de service des opérations du système de Madrid</w:t>
            </w:r>
          </w:p>
        </w:tc>
        <w:tc>
          <w:tcPr>
            <w:tcW w:w="2039" w:type="pct"/>
            <w:shd w:val="clear" w:color="auto" w:fill="auto"/>
            <w:tcMar>
              <w:top w:w="57" w:type="dxa"/>
              <w:bottom w:w="113" w:type="dxa"/>
            </w:tcMar>
          </w:tcPr>
          <w:p w14:paraId="0A031839" w14:textId="77777777" w:rsidR="009709C2" w:rsidRPr="00A859F2" w:rsidRDefault="009709C2" w:rsidP="00394CA8">
            <w:pPr>
              <w:rPr>
                <w:sz w:val="16"/>
                <w:szCs w:val="16"/>
              </w:rPr>
            </w:pPr>
            <w:r w:rsidRPr="00A859F2">
              <w:rPr>
                <w:sz w:val="16"/>
                <w:szCs w:val="16"/>
              </w:rPr>
              <w:t>3 versions installées du système MIRIS et 3</w:t>
            </w:r>
            <w:r>
              <w:rPr>
                <w:sz w:val="16"/>
                <w:szCs w:val="16"/>
              </w:rPr>
              <w:t> </w:t>
            </w:r>
            <w:r w:rsidRPr="00A859F2">
              <w:rPr>
                <w:sz w:val="16"/>
                <w:szCs w:val="16"/>
              </w:rPr>
              <w:t xml:space="preserve">versions installées du système Madrid </w:t>
            </w:r>
            <w:proofErr w:type="spellStart"/>
            <w:r w:rsidRPr="00A859F2">
              <w:rPr>
                <w:sz w:val="16"/>
                <w:szCs w:val="16"/>
              </w:rPr>
              <w:t>eFiling</w:t>
            </w:r>
            <w:proofErr w:type="spellEnd"/>
            <w:r w:rsidRPr="00A859F2">
              <w:rPr>
                <w:sz w:val="16"/>
                <w:szCs w:val="16"/>
              </w:rPr>
              <w:t xml:space="preserve"> (IRPI)</w:t>
            </w:r>
          </w:p>
        </w:tc>
        <w:tc>
          <w:tcPr>
            <w:tcW w:w="840" w:type="pct"/>
            <w:shd w:val="clear" w:color="auto" w:fill="FFFFFF"/>
            <w:tcMar>
              <w:top w:w="57" w:type="dxa"/>
              <w:bottom w:w="113" w:type="dxa"/>
            </w:tcMar>
          </w:tcPr>
          <w:p w14:paraId="33C4FAD4"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26D772BB" w14:textId="77777777" w:rsidR="009709C2" w:rsidRPr="00A859F2" w:rsidRDefault="009709C2" w:rsidP="00394CA8">
            <w:pPr>
              <w:jc w:val="center"/>
              <w:rPr>
                <w:szCs w:val="22"/>
              </w:rPr>
            </w:pPr>
            <w:r w:rsidRPr="00A859F2">
              <w:rPr>
                <w:color w:val="00B050"/>
                <w:szCs w:val="22"/>
              </w:rPr>
              <w:sym w:font="Wingdings" w:char="F06C"/>
            </w:r>
            <w:r w:rsidRPr="00A859F2">
              <w:rPr>
                <w:szCs w:val="22"/>
              </w:rPr>
              <w:sym w:font="Wingdings" w:char="F06C"/>
            </w:r>
            <w:r w:rsidRPr="00A859F2">
              <w:rPr>
                <w:color w:val="00B050"/>
                <w:szCs w:val="22"/>
              </w:rPr>
              <w:sym w:font="Wingdings" w:char="F06C"/>
            </w:r>
          </w:p>
        </w:tc>
      </w:tr>
      <w:tr w:rsidR="009709C2" w:rsidRPr="00A859F2" w14:paraId="2D5CC17F"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22932F17"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03825CF3" w14:textId="77777777" w:rsidR="009709C2" w:rsidRPr="00A859F2" w:rsidRDefault="009709C2" w:rsidP="00394CA8">
            <w:pPr>
              <w:rPr>
                <w:sz w:val="16"/>
                <w:szCs w:val="16"/>
              </w:rPr>
            </w:pPr>
            <w:r w:rsidRPr="00A859F2">
              <w:rPr>
                <w:sz w:val="16"/>
                <w:szCs w:val="16"/>
              </w:rPr>
              <w:t>Satisfaction des clients (Madrid)</w:t>
            </w:r>
          </w:p>
        </w:tc>
        <w:tc>
          <w:tcPr>
            <w:tcW w:w="840" w:type="pct"/>
            <w:shd w:val="clear" w:color="auto" w:fill="FFFFFF"/>
            <w:tcMar>
              <w:top w:w="57" w:type="dxa"/>
              <w:bottom w:w="113" w:type="dxa"/>
            </w:tcMar>
          </w:tcPr>
          <w:p w14:paraId="3B3496B7"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6B86CC69" w14:textId="77777777" w:rsidR="009709C2" w:rsidRPr="00A859F2" w:rsidRDefault="009709C2" w:rsidP="00394CA8">
            <w:pPr>
              <w:jc w:val="center"/>
              <w:rPr>
                <w:szCs w:val="22"/>
              </w:rPr>
            </w:pPr>
            <w:r w:rsidRPr="00A859F2">
              <w:rPr>
                <w:color w:val="0070C0"/>
                <w:szCs w:val="22"/>
              </w:rPr>
              <w:sym w:font="Wingdings" w:char="F06C"/>
            </w:r>
          </w:p>
        </w:tc>
      </w:tr>
      <w:tr w:rsidR="009709C2" w:rsidRPr="00A859F2" w14:paraId="383089D4" w14:textId="77777777" w:rsidTr="00394CA8">
        <w:tblPrEx>
          <w:tblCellMar>
            <w:left w:w="108" w:type="dxa"/>
            <w:right w:w="108" w:type="dxa"/>
          </w:tblCellMar>
        </w:tblPrEx>
        <w:trPr>
          <w:gridBefore w:val="1"/>
          <w:wBefore w:w="4" w:type="pct"/>
          <w:cantSplit/>
          <w:trHeight w:val="30"/>
        </w:trPr>
        <w:tc>
          <w:tcPr>
            <w:tcW w:w="1438" w:type="pct"/>
            <w:vMerge/>
            <w:shd w:val="clear" w:color="auto" w:fill="auto"/>
            <w:tcMar>
              <w:top w:w="57" w:type="dxa"/>
              <w:bottom w:w="113" w:type="dxa"/>
            </w:tcMar>
          </w:tcPr>
          <w:p w14:paraId="5A77E772"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4F6F71A" w14:textId="77777777" w:rsidR="009709C2" w:rsidRPr="00A859F2" w:rsidRDefault="009709C2" w:rsidP="00394CA8">
            <w:pPr>
              <w:rPr>
                <w:sz w:val="16"/>
                <w:szCs w:val="16"/>
              </w:rPr>
            </w:pPr>
            <w:r w:rsidRPr="00A859F2">
              <w:rPr>
                <w:sz w:val="16"/>
                <w:szCs w:val="16"/>
              </w:rPr>
              <w:t>Amélioration du fonctionnement du Service d’enregistrement de Madrid, y compris des processus et des procédures électroniques</w:t>
            </w:r>
          </w:p>
        </w:tc>
        <w:tc>
          <w:tcPr>
            <w:tcW w:w="840" w:type="pct"/>
            <w:shd w:val="clear" w:color="auto" w:fill="FFFFFF"/>
            <w:tcMar>
              <w:top w:w="57" w:type="dxa"/>
              <w:bottom w:w="113" w:type="dxa"/>
            </w:tcMar>
          </w:tcPr>
          <w:p w14:paraId="51726F7E"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2E2C26D1" w14:textId="77777777" w:rsidR="009709C2" w:rsidRPr="00A859F2" w:rsidRDefault="009709C2" w:rsidP="00394CA8">
            <w:pPr>
              <w:jc w:val="center"/>
              <w:rPr>
                <w:color w:val="00B05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p w14:paraId="6ED9E4EF" w14:textId="77777777" w:rsidR="009709C2" w:rsidRPr="00A859F2" w:rsidRDefault="009709C2" w:rsidP="00394CA8">
            <w:pPr>
              <w:jc w:val="center"/>
              <w:rPr>
                <w:szCs w:val="22"/>
              </w:rPr>
            </w:pPr>
            <w:r w:rsidRPr="00A859F2">
              <w:rPr>
                <w:color w:val="FF000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78DF5DEF"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39245E29"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33D240F" w14:textId="77777777" w:rsidR="009709C2" w:rsidRPr="00A859F2" w:rsidRDefault="009709C2" w:rsidP="00394CA8">
            <w:pPr>
              <w:rPr>
                <w:sz w:val="16"/>
                <w:szCs w:val="16"/>
              </w:rPr>
            </w:pPr>
            <w:r w:rsidRPr="00A859F2">
              <w:rPr>
                <w:sz w:val="16"/>
                <w:szCs w:val="16"/>
              </w:rPr>
              <w:t>Qualité (Madrid)</w:t>
            </w:r>
          </w:p>
        </w:tc>
        <w:tc>
          <w:tcPr>
            <w:tcW w:w="840" w:type="pct"/>
            <w:shd w:val="clear" w:color="auto" w:fill="FFFFFF"/>
            <w:tcMar>
              <w:top w:w="57" w:type="dxa"/>
              <w:bottom w:w="113" w:type="dxa"/>
            </w:tcMar>
          </w:tcPr>
          <w:p w14:paraId="1B9D3323"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78BF7777" w14:textId="77777777" w:rsidR="009709C2" w:rsidRPr="00A859F2" w:rsidRDefault="009709C2" w:rsidP="00394CA8">
            <w:pPr>
              <w:jc w:val="center"/>
              <w:rPr>
                <w:color w:val="00B05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p w14:paraId="64570172" w14:textId="77777777" w:rsidR="009709C2" w:rsidRPr="00A859F2" w:rsidRDefault="009709C2" w:rsidP="00394CA8">
            <w:pPr>
              <w:jc w:val="center"/>
              <w:rPr>
                <w:szCs w:val="22"/>
              </w:rPr>
            </w:pP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r w:rsidRPr="00A859F2">
              <w:rPr>
                <w:color w:val="00B050"/>
                <w:szCs w:val="22"/>
              </w:rPr>
              <w:sym w:font="Wingdings" w:char="F06C"/>
            </w:r>
          </w:p>
        </w:tc>
      </w:tr>
      <w:tr w:rsidR="009709C2" w:rsidRPr="00A859F2" w14:paraId="5388F719"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2C238CC4"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6ADC071A" w14:textId="77777777" w:rsidR="009709C2" w:rsidRPr="00A859F2" w:rsidRDefault="009709C2" w:rsidP="00394CA8">
            <w:pPr>
              <w:rPr>
                <w:sz w:val="16"/>
                <w:szCs w:val="16"/>
              </w:rPr>
            </w:pPr>
            <w:r w:rsidRPr="00A859F2">
              <w:rPr>
                <w:sz w:val="16"/>
                <w:szCs w:val="16"/>
              </w:rPr>
              <w:t>Stabilité des services informatiques d’appui dans le cadre du système de Madrid</w:t>
            </w:r>
          </w:p>
        </w:tc>
        <w:tc>
          <w:tcPr>
            <w:tcW w:w="840" w:type="pct"/>
            <w:shd w:val="clear" w:color="auto" w:fill="FFFFFF"/>
            <w:tcMar>
              <w:top w:w="57" w:type="dxa"/>
              <w:bottom w:w="113" w:type="dxa"/>
            </w:tcMar>
          </w:tcPr>
          <w:p w14:paraId="160970BA"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033641DA" w14:textId="77777777" w:rsidR="009709C2" w:rsidRPr="00A859F2" w:rsidRDefault="009709C2" w:rsidP="00394CA8">
            <w:pPr>
              <w:jc w:val="center"/>
              <w:rPr>
                <w:color w:val="E36C0A" w:themeColor="accent6" w:themeShade="BF"/>
                <w:szCs w:val="22"/>
              </w:rPr>
            </w:pPr>
            <w:r w:rsidRPr="00A859F2">
              <w:rPr>
                <w:color w:val="FF0000"/>
                <w:szCs w:val="22"/>
              </w:rPr>
              <w:sym w:font="Wingdings" w:char="F06C"/>
            </w:r>
            <w:r w:rsidRPr="00A859F2">
              <w:rPr>
                <w:color w:val="00B050"/>
                <w:szCs w:val="22"/>
              </w:rPr>
              <w:sym w:font="Wingdings" w:char="F06C"/>
            </w:r>
          </w:p>
        </w:tc>
      </w:tr>
      <w:tr w:rsidR="009709C2" w:rsidRPr="00A859F2" w14:paraId="3B0D8032"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487C6F0C"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68BCFE97" w14:textId="77777777" w:rsidR="009709C2" w:rsidRPr="00A859F2" w:rsidRDefault="009709C2" w:rsidP="00394CA8">
            <w:pPr>
              <w:rPr>
                <w:sz w:val="16"/>
                <w:szCs w:val="16"/>
              </w:rPr>
            </w:pPr>
            <w:r w:rsidRPr="00B00E14">
              <w:rPr>
                <w:sz w:val="16"/>
                <w:szCs w:val="16"/>
              </w:rPr>
              <w:t>Rapidité des transactions (</w:t>
            </w:r>
            <w:r w:rsidRPr="00A859F2">
              <w:rPr>
                <w:sz w:val="16"/>
                <w:szCs w:val="16"/>
              </w:rPr>
              <w:t>jours) (Madrid)</w:t>
            </w:r>
          </w:p>
        </w:tc>
        <w:tc>
          <w:tcPr>
            <w:tcW w:w="840" w:type="pct"/>
            <w:shd w:val="clear" w:color="auto" w:fill="FFFFFF"/>
            <w:tcMar>
              <w:top w:w="57" w:type="dxa"/>
              <w:bottom w:w="113" w:type="dxa"/>
            </w:tcMar>
          </w:tcPr>
          <w:p w14:paraId="357FE1E4"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0609A50C" w14:textId="77777777" w:rsidR="009709C2" w:rsidRPr="00A859F2" w:rsidRDefault="009709C2" w:rsidP="00394CA8">
            <w:pPr>
              <w:jc w:val="center"/>
              <w:rPr>
                <w:color w:val="E36C0A" w:themeColor="accent6" w:themeShade="BF"/>
                <w:szCs w:val="22"/>
              </w:rPr>
            </w:pPr>
            <w:r w:rsidRPr="00A859F2">
              <w:rPr>
                <w:color w:val="FF0000"/>
                <w:szCs w:val="22"/>
              </w:rPr>
              <w:sym w:font="Wingdings" w:char="F06C"/>
            </w:r>
          </w:p>
        </w:tc>
      </w:tr>
      <w:tr w:rsidR="009709C2" w:rsidRPr="00A859F2" w14:paraId="690226F1" w14:textId="77777777" w:rsidTr="00394CA8">
        <w:tblPrEx>
          <w:tblCellMar>
            <w:left w:w="108" w:type="dxa"/>
            <w:right w:w="108" w:type="dxa"/>
          </w:tblCellMar>
        </w:tblPrEx>
        <w:trPr>
          <w:gridBefore w:val="1"/>
          <w:wBefore w:w="4" w:type="pct"/>
          <w:cantSplit/>
          <w:trHeight w:val="30"/>
        </w:trPr>
        <w:tc>
          <w:tcPr>
            <w:tcW w:w="1438" w:type="pct"/>
            <w:shd w:val="clear" w:color="auto" w:fill="auto"/>
            <w:tcMar>
              <w:top w:w="57" w:type="dxa"/>
              <w:bottom w:w="113" w:type="dxa"/>
            </w:tcMar>
          </w:tcPr>
          <w:p w14:paraId="0FFBD8E8"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4BBCEE7C" w14:textId="77777777" w:rsidR="009709C2" w:rsidRPr="00A859F2" w:rsidRDefault="009709C2" w:rsidP="00394CA8">
            <w:pPr>
              <w:rPr>
                <w:sz w:val="16"/>
                <w:szCs w:val="16"/>
              </w:rPr>
            </w:pPr>
            <w:r w:rsidRPr="00A859F2">
              <w:rPr>
                <w:sz w:val="16"/>
                <w:szCs w:val="16"/>
              </w:rPr>
              <w:t>Coût unitaire (Madrid)</w:t>
            </w:r>
          </w:p>
        </w:tc>
        <w:tc>
          <w:tcPr>
            <w:tcW w:w="840" w:type="pct"/>
            <w:shd w:val="clear" w:color="auto" w:fill="FFFFFF"/>
            <w:tcMar>
              <w:top w:w="57" w:type="dxa"/>
              <w:bottom w:w="113" w:type="dxa"/>
            </w:tcMar>
          </w:tcPr>
          <w:p w14:paraId="2A15D959"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6</w:t>
            </w:r>
          </w:p>
        </w:tc>
        <w:tc>
          <w:tcPr>
            <w:tcW w:w="679" w:type="pct"/>
            <w:shd w:val="clear" w:color="auto" w:fill="FFFFFF"/>
            <w:tcMar>
              <w:top w:w="57" w:type="dxa"/>
            </w:tcMar>
          </w:tcPr>
          <w:p w14:paraId="233FFE0E" w14:textId="77777777" w:rsidR="009709C2" w:rsidRPr="00A859F2" w:rsidRDefault="009709C2" w:rsidP="00394CA8">
            <w:pPr>
              <w:jc w:val="center"/>
              <w:rPr>
                <w:color w:val="E36C0A" w:themeColor="accent6" w:themeShade="BF"/>
                <w:szCs w:val="22"/>
              </w:rPr>
            </w:pPr>
            <w:r w:rsidRPr="00A859F2">
              <w:rPr>
                <w:color w:val="808080"/>
                <w:szCs w:val="22"/>
              </w:rPr>
              <w:sym w:font="Wingdings" w:char="F06C"/>
            </w:r>
            <w:r w:rsidRPr="00A859F2">
              <w:rPr>
                <w:color w:val="808080"/>
                <w:szCs w:val="22"/>
              </w:rPr>
              <w:sym w:font="Wingdings" w:char="F06C"/>
            </w:r>
          </w:p>
        </w:tc>
      </w:tr>
      <w:tr w:rsidR="009709C2" w:rsidRPr="00A859F2" w14:paraId="346FFADF" w14:textId="77777777" w:rsidTr="00394CA8">
        <w:tblPrEx>
          <w:tblCellMar>
            <w:left w:w="108" w:type="dxa"/>
            <w:right w:w="108" w:type="dxa"/>
          </w:tblCellMar>
        </w:tblPrEx>
        <w:trPr>
          <w:gridBefore w:val="1"/>
          <w:wBefore w:w="4" w:type="pct"/>
          <w:cantSplit/>
          <w:trHeight w:val="500"/>
        </w:trPr>
        <w:tc>
          <w:tcPr>
            <w:tcW w:w="1438" w:type="pct"/>
            <w:vMerge w:val="restart"/>
            <w:shd w:val="clear" w:color="auto" w:fill="auto"/>
            <w:tcMar>
              <w:top w:w="57" w:type="dxa"/>
              <w:bottom w:w="113" w:type="dxa"/>
            </w:tcMar>
          </w:tcPr>
          <w:p w14:paraId="129CCCD0" w14:textId="77777777" w:rsidR="009709C2" w:rsidRPr="00A859F2" w:rsidRDefault="009709C2" w:rsidP="00394CA8">
            <w:pPr>
              <w:rPr>
                <w:sz w:val="16"/>
                <w:szCs w:val="16"/>
              </w:rPr>
            </w:pPr>
            <w:r w:rsidRPr="00A859F2">
              <w:rPr>
                <w:sz w:val="16"/>
                <w:szCs w:val="16"/>
              </w:rPr>
              <w:t>II.8 De plus en plus de litiges internationaux ou nationaux de propriété intellectuelle sont évités ou réglés par la médiation, l’arbitrage et d’autres modes extrajudiciaires de règlement des litiges de l’OMPI</w:t>
            </w:r>
          </w:p>
        </w:tc>
        <w:tc>
          <w:tcPr>
            <w:tcW w:w="2039" w:type="pct"/>
            <w:shd w:val="clear" w:color="auto" w:fill="auto"/>
            <w:tcMar>
              <w:top w:w="57" w:type="dxa"/>
              <w:bottom w:w="113" w:type="dxa"/>
            </w:tcMar>
          </w:tcPr>
          <w:p w14:paraId="2469F233" w14:textId="77777777" w:rsidR="009709C2" w:rsidRPr="00A859F2" w:rsidRDefault="009709C2" w:rsidP="00394CA8">
            <w:pPr>
              <w:rPr>
                <w:sz w:val="16"/>
                <w:szCs w:val="16"/>
              </w:rPr>
            </w:pPr>
            <w:r w:rsidRPr="00A859F2">
              <w:rPr>
                <w:sz w:val="16"/>
                <w:szCs w:val="16"/>
              </w:rPr>
              <w:t>Utilisation accrue de services et de clauses de règlement extrajudiciaire des litiges dans les transactions et les enregistrements de titres de propriété intellectuelle, notamment par le recours aux procédures de l’OMPI</w:t>
            </w:r>
          </w:p>
        </w:tc>
        <w:tc>
          <w:tcPr>
            <w:tcW w:w="840" w:type="pct"/>
            <w:shd w:val="clear" w:color="auto" w:fill="FFFFFF"/>
            <w:tcMar>
              <w:top w:w="57" w:type="dxa"/>
              <w:bottom w:w="113" w:type="dxa"/>
            </w:tcMar>
          </w:tcPr>
          <w:p w14:paraId="0F7D4F92"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7</w:t>
            </w:r>
          </w:p>
        </w:tc>
        <w:tc>
          <w:tcPr>
            <w:tcW w:w="679" w:type="pct"/>
            <w:shd w:val="clear" w:color="auto" w:fill="FFFFFF"/>
            <w:tcMar>
              <w:top w:w="57" w:type="dxa"/>
            </w:tcMar>
          </w:tcPr>
          <w:p w14:paraId="55623AA0" w14:textId="77777777" w:rsidR="009709C2" w:rsidRPr="00A859F2" w:rsidRDefault="009709C2" w:rsidP="00394CA8">
            <w:pPr>
              <w:jc w:val="center"/>
              <w:rPr>
                <w:color w:val="E36C0A" w:themeColor="accent6" w:themeShade="BF"/>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022A2993" w14:textId="77777777" w:rsidTr="00394CA8">
        <w:tblPrEx>
          <w:tblCellMar>
            <w:left w:w="108" w:type="dxa"/>
            <w:right w:w="108" w:type="dxa"/>
          </w:tblCellMar>
        </w:tblPrEx>
        <w:trPr>
          <w:gridBefore w:val="1"/>
          <w:wBefore w:w="4" w:type="pct"/>
          <w:cantSplit/>
          <w:trHeight w:val="500"/>
        </w:trPr>
        <w:tc>
          <w:tcPr>
            <w:tcW w:w="1438" w:type="pct"/>
            <w:vMerge/>
            <w:shd w:val="clear" w:color="auto" w:fill="auto"/>
            <w:tcMar>
              <w:top w:w="57" w:type="dxa"/>
              <w:bottom w:w="113" w:type="dxa"/>
            </w:tcMar>
          </w:tcPr>
          <w:p w14:paraId="46F80252"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337DDE4E" w14:textId="77777777" w:rsidR="009709C2" w:rsidRPr="00A859F2" w:rsidRDefault="009709C2" w:rsidP="00394CA8">
            <w:pPr>
              <w:rPr>
                <w:sz w:val="16"/>
                <w:szCs w:val="16"/>
              </w:rPr>
            </w:pPr>
            <w:r w:rsidRPr="00A859F2">
              <w:rPr>
                <w:sz w:val="16"/>
                <w:szCs w:val="16"/>
              </w:rPr>
              <w:t>Politiques de règlement extrajudiciaire des litiges pour lesquelles le Centre a contribué à l’élaboration et à la mise en œuvre</w:t>
            </w:r>
          </w:p>
        </w:tc>
        <w:tc>
          <w:tcPr>
            <w:tcW w:w="840" w:type="pct"/>
            <w:shd w:val="clear" w:color="auto" w:fill="FFFFFF"/>
            <w:tcMar>
              <w:top w:w="57" w:type="dxa"/>
              <w:bottom w:w="113" w:type="dxa"/>
            </w:tcMar>
          </w:tcPr>
          <w:p w14:paraId="7EC619FE"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7</w:t>
            </w:r>
          </w:p>
        </w:tc>
        <w:tc>
          <w:tcPr>
            <w:tcW w:w="679" w:type="pct"/>
            <w:shd w:val="clear" w:color="auto" w:fill="FFFFFF"/>
            <w:tcMar>
              <w:top w:w="57" w:type="dxa"/>
            </w:tcMar>
          </w:tcPr>
          <w:p w14:paraId="10E0264E" w14:textId="77777777" w:rsidR="009709C2" w:rsidRPr="00A859F2" w:rsidRDefault="009709C2" w:rsidP="00394CA8">
            <w:pPr>
              <w:jc w:val="center"/>
              <w:rPr>
                <w:color w:val="E36C0A" w:themeColor="accent6" w:themeShade="BF"/>
                <w:szCs w:val="22"/>
              </w:rPr>
            </w:pPr>
            <w:r w:rsidRPr="00A859F2">
              <w:rPr>
                <w:color w:val="00B050"/>
                <w:szCs w:val="22"/>
              </w:rPr>
              <w:sym w:font="Wingdings" w:char="F06C"/>
            </w:r>
          </w:p>
        </w:tc>
      </w:tr>
      <w:tr w:rsidR="009709C2" w:rsidRPr="00A859F2" w14:paraId="28E10F4B" w14:textId="77777777" w:rsidTr="00394CA8">
        <w:tblPrEx>
          <w:tblCellMar>
            <w:left w:w="108" w:type="dxa"/>
            <w:right w:w="108" w:type="dxa"/>
          </w:tblCellMar>
        </w:tblPrEx>
        <w:trPr>
          <w:gridBefore w:val="1"/>
          <w:wBefore w:w="4" w:type="pct"/>
          <w:cantSplit/>
          <w:trHeight w:val="500"/>
        </w:trPr>
        <w:tc>
          <w:tcPr>
            <w:tcW w:w="1438" w:type="pct"/>
            <w:shd w:val="clear" w:color="auto" w:fill="auto"/>
            <w:tcMar>
              <w:top w:w="57" w:type="dxa"/>
              <w:bottom w:w="113" w:type="dxa"/>
            </w:tcMar>
          </w:tcPr>
          <w:p w14:paraId="26899876"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07AAB938" w14:textId="77777777" w:rsidR="009709C2" w:rsidRPr="00A859F2" w:rsidRDefault="009709C2" w:rsidP="00394CA8">
            <w:pPr>
              <w:rPr>
                <w:sz w:val="16"/>
                <w:szCs w:val="16"/>
              </w:rPr>
            </w:pPr>
            <w:r w:rsidRPr="00A859F2">
              <w:rPr>
                <w:sz w:val="16"/>
                <w:szCs w:val="16"/>
              </w:rPr>
              <w:t>Nombre de litiges en matière de propriété intellectuelle originaires de pays en transition ou de pays développés ayant été prévenus/réglés grâce à la médiation, à l’arbitrage et à d’autres modes extrajudiciaires de règlement des litiges de l’OMPI</w:t>
            </w:r>
          </w:p>
        </w:tc>
        <w:tc>
          <w:tcPr>
            <w:tcW w:w="840" w:type="pct"/>
            <w:shd w:val="clear" w:color="auto" w:fill="FFFFFF"/>
            <w:tcMar>
              <w:top w:w="57" w:type="dxa"/>
              <w:bottom w:w="113" w:type="dxa"/>
            </w:tcMar>
          </w:tcPr>
          <w:p w14:paraId="3B90555D" w14:textId="77777777" w:rsidR="009709C2" w:rsidRPr="00A859F2" w:rsidRDefault="009709C2" w:rsidP="001E3776">
            <w:pPr>
              <w:spacing w:before="40"/>
              <w:jc w:val="center"/>
              <w:rPr>
                <w:sz w:val="16"/>
                <w:szCs w:val="16"/>
              </w:rPr>
            </w:pPr>
            <w:r w:rsidRPr="00A859F2">
              <w:rPr>
                <w:sz w:val="16"/>
                <w:szCs w:val="16"/>
              </w:rPr>
              <w:t>Programme 10</w:t>
            </w:r>
          </w:p>
        </w:tc>
        <w:tc>
          <w:tcPr>
            <w:tcW w:w="679" w:type="pct"/>
            <w:shd w:val="clear" w:color="auto" w:fill="FFFFFF"/>
            <w:tcMar>
              <w:top w:w="57" w:type="dxa"/>
            </w:tcMar>
          </w:tcPr>
          <w:p w14:paraId="2B279738" w14:textId="77777777" w:rsidR="009709C2" w:rsidRPr="00A859F2" w:rsidRDefault="009709C2" w:rsidP="00394CA8">
            <w:pPr>
              <w:jc w:val="center"/>
              <w:rPr>
                <w:color w:val="E36C0A" w:themeColor="accent6" w:themeShade="BF"/>
                <w:szCs w:val="22"/>
              </w:rPr>
            </w:pPr>
            <w:r w:rsidRPr="00A859F2">
              <w:rPr>
                <w:color w:val="00B050"/>
                <w:szCs w:val="22"/>
              </w:rPr>
              <w:sym w:font="Wingdings" w:char="F06C"/>
            </w:r>
          </w:p>
        </w:tc>
      </w:tr>
      <w:tr w:rsidR="009709C2" w:rsidRPr="00A859F2" w14:paraId="3C7649DE" w14:textId="77777777" w:rsidTr="00394CA8">
        <w:tblPrEx>
          <w:tblCellMar>
            <w:left w:w="108" w:type="dxa"/>
            <w:right w:w="108" w:type="dxa"/>
          </w:tblCellMar>
        </w:tblPrEx>
        <w:trPr>
          <w:gridBefore w:val="1"/>
          <w:wBefore w:w="4" w:type="pct"/>
          <w:cantSplit/>
          <w:trHeight w:val="500"/>
        </w:trPr>
        <w:tc>
          <w:tcPr>
            <w:tcW w:w="1438" w:type="pct"/>
            <w:vMerge w:val="restart"/>
            <w:shd w:val="clear" w:color="auto" w:fill="auto"/>
            <w:tcMar>
              <w:top w:w="57" w:type="dxa"/>
              <w:bottom w:w="113" w:type="dxa"/>
            </w:tcMar>
          </w:tcPr>
          <w:p w14:paraId="5D1482D1" w14:textId="77777777" w:rsidR="009709C2" w:rsidRPr="00A859F2" w:rsidRDefault="009709C2" w:rsidP="00394CA8">
            <w:pPr>
              <w:rPr>
                <w:sz w:val="16"/>
                <w:szCs w:val="16"/>
              </w:rPr>
            </w:pPr>
            <w:r w:rsidRPr="00A859F2">
              <w:rPr>
                <w:sz w:val="16"/>
                <w:szCs w:val="16"/>
              </w:rPr>
              <w:t xml:space="preserve">II.9 Protection efficace de la propriété intellectuelle dans les </w:t>
            </w:r>
            <w:proofErr w:type="spellStart"/>
            <w:r w:rsidRPr="00A859F2">
              <w:rPr>
                <w:sz w:val="16"/>
                <w:szCs w:val="16"/>
              </w:rPr>
              <w:t>gTLD</w:t>
            </w:r>
            <w:proofErr w:type="spellEnd"/>
            <w:r w:rsidRPr="00A859F2">
              <w:rPr>
                <w:sz w:val="16"/>
                <w:szCs w:val="16"/>
              </w:rPr>
              <w:t xml:space="preserve"> et les </w:t>
            </w:r>
            <w:proofErr w:type="spellStart"/>
            <w:r w:rsidRPr="00A859F2">
              <w:rPr>
                <w:sz w:val="16"/>
                <w:szCs w:val="16"/>
              </w:rPr>
              <w:t>ccTLD</w:t>
            </w:r>
            <w:proofErr w:type="spellEnd"/>
          </w:p>
        </w:tc>
        <w:tc>
          <w:tcPr>
            <w:tcW w:w="2039" w:type="pct"/>
            <w:shd w:val="clear" w:color="auto" w:fill="auto"/>
            <w:tcMar>
              <w:top w:w="57" w:type="dxa"/>
              <w:bottom w:w="113" w:type="dxa"/>
            </w:tcMar>
          </w:tcPr>
          <w:p w14:paraId="76EB6C35" w14:textId="77777777" w:rsidR="009709C2" w:rsidRPr="00A859F2" w:rsidRDefault="009709C2" w:rsidP="00394CA8">
            <w:pPr>
              <w:rPr>
                <w:sz w:val="16"/>
                <w:szCs w:val="16"/>
              </w:rPr>
            </w:pPr>
            <w:r w:rsidRPr="00A859F2">
              <w:rPr>
                <w:sz w:val="16"/>
                <w:szCs w:val="16"/>
              </w:rPr>
              <w:t>Politiques de règlement des litiges dans le système des noms de domaine pour lesquelles le Centre a contribué à l’élaboration et à la mise en œuvre</w:t>
            </w:r>
          </w:p>
        </w:tc>
        <w:tc>
          <w:tcPr>
            <w:tcW w:w="840" w:type="pct"/>
            <w:shd w:val="clear" w:color="auto" w:fill="FFFFFF"/>
            <w:tcMar>
              <w:top w:w="57" w:type="dxa"/>
              <w:bottom w:w="113" w:type="dxa"/>
            </w:tcMar>
          </w:tcPr>
          <w:p w14:paraId="40A316C1"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7</w:t>
            </w:r>
          </w:p>
        </w:tc>
        <w:tc>
          <w:tcPr>
            <w:tcW w:w="679" w:type="pct"/>
            <w:shd w:val="clear" w:color="auto" w:fill="FFFFFF"/>
            <w:tcMar>
              <w:top w:w="57" w:type="dxa"/>
            </w:tcMar>
          </w:tcPr>
          <w:p w14:paraId="4BACBA5C" w14:textId="77777777" w:rsidR="009709C2" w:rsidRPr="00A859F2" w:rsidRDefault="009709C2" w:rsidP="00394CA8">
            <w:pPr>
              <w:jc w:val="center"/>
              <w:rPr>
                <w:color w:val="E36C0A" w:themeColor="accent6" w:themeShade="BF"/>
                <w:szCs w:val="22"/>
              </w:rPr>
            </w:pPr>
            <w:r w:rsidRPr="00A859F2">
              <w:rPr>
                <w:color w:val="00B050"/>
                <w:szCs w:val="22"/>
              </w:rPr>
              <w:sym w:font="Wingdings" w:char="F06C"/>
            </w:r>
            <w:r w:rsidRPr="00A859F2">
              <w:rPr>
                <w:color w:val="00B050"/>
                <w:szCs w:val="22"/>
              </w:rPr>
              <w:sym w:font="Wingdings" w:char="F06C"/>
            </w:r>
          </w:p>
        </w:tc>
      </w:tr>
      <w:tr w:rsidR="009709C2" w:rsidRPr="00A859F2" w14:paraId="224C574E" w14:textId="77777777" w:rsidTr="00394CA8">
        <w:tblPrEx>
          <w:tblCellMar>
            <w:left w:w="108" w:type="dxa"/>
            <w:right w:w="108" w:type="dxa"/>
          </w:tblCellMar>
        </w:tblPrEx>
        <w:trPr>
          <w:gridBefore w:val="1"/>
          <w:wBefore w:w="4" w:type="pct"/>
          <w:cantSplit/>
          <w:trHeight w:val="349"/>
        </w:trPr>
        <w:tc>
          <w:tcPr>
            <w:tcW w:w="1438" w:type="pct"/>
            <w:vMerge/>
            <w:shd w:val="clear" w:color="auto" w:fill="auto"/>
            <w:tcMar>
              <w:top w:w="57" w:type="dxa"/>
              <w:bottom w:w="113" w:type="dxa"/>
            </w:tcMar>
          </w:tcPr>
          <w:p w14:paraId="20FC9973"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1597956A" w14:textId="77777777" w:rsidR="009709C2" w:rsidRPr="00A859F2" w:rsidRDefault="009709C2" w:rsidP="00394CA8">
            <w:pPr>
              <w:rPr>
                <w:sz w:val="16"/>
                <w:szCs w:val="16"/>
              </w:rPr>
            </w:pPr>
            <w:r w:rsidRPr="00A859F2">
              <w:rPr>
                <w:sz w:val="16"/>
                <w:szCs w:val="16"/>
              </w:rPr>
              <w:t xml:space="preserve">Nombre de litiges relatifs à des </w:t>
            </w:r>
            <w:proofErr w:type="spellStart"/>
            <w:r w:rsidRPr="00A859F2">
              <w:rPr>
                <w:sz w:val="16"/>
                <w:szCs w:val="16"/>
              </w:rPr>
              <w:t>gTLD</w:t>
            </w:r>
            <w:proofErr w:type="spellEnd"/>
            <w:r w:rsidRPr="00A859F2">
              <w:rPr>
                <w:sz w:val="16"/>
                <w:szCs w:val="16"/>
              </w:rPr>
              <w:t xml:space="preserve"> et des </w:t>
            </w:r>
            <w:proofErr w:type="spellStart"/>
            <w:r w:rsidRPr="00A859F2">
              <w:rPr>
                <w:sz w:val="16"/>
                <w:szCs w:val="16"/>
              </w:rPr>
              <w:t>ccTLD</w:t>
            </w:r>
            <w:proofErr w:type="spellEnd"/>
            <w:r w:rsidRPr="00A859F2">
              <w:rPr>
                <w:sz w:val="16"/>
                <w:szCs w:val="16"/>
              </w:rPr>
              <w:t xml:space="preserve"> administrés par le Centre au titre des principes UDRP</w:t>
            </w:r>
          </w:p>
        </w:tc>
        <w:tc>
          <w:tcPr>
            <w:tcW w:w="840" w:type="pct"/>
            <w:shd w:val="clear" w:color="auto" w:fill="FFFFFF"/>
            <w:tcMar>
              <w:top w:w="57" w:type="dxa"/>
              <w:bottom w:w="113" w:type="dxa"/>
            </w:tcMar>
          </w:tcPr>
          <w:p w14:paraId="734BC5AB"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7</w:t>
            </w:r>
          </w:p>
        </w:tc>
        <w:tc>
          <w:tcPr>
            <w:tcW w:w="679" w:type="pct"/>
            <w:shd w:val="clear" w:color="auto" w:fill="FFFFFF"/>
            <w:tcMar>
              <w:top w:w="57" w:type="dxa"/>
            </w:tcMar>
          </w:tcPr>
          <w:p w14:paraId="3CEB19DF" w14:textId="77777777" w:rsidR="009709C2" w:rsidRPr="00A859F2" w:rsidRDefault="009709C2" w:rsidP="00394CA8">
            <w:pPr>
              <w:jc w:val="center"/>
              <w:rPr>
                <w:color w:val="E36C0A" w:themeColor="accent6" w:themeShade="BF"/>
                <w:szCs w:val="22"/>
              </w:rPr>
            </w:pPr>
            <w:r w:rsidRPr="00A859F2">
              <w:rPr>
                <w:color w:val="00B050"/>
                <w:szCs w:val="22"/>
              </w:rPr>
              <w:sym w:font="Wingdings" w:char="F06C"/>
            </w:r>
            <w:r w:rsidRPr="00A859F2">
              <w:rPr>
                <w:color w:val="00B050"/>
                <w:szCs w:val="22"/>
              </w:rPr>
              <w:sym w:font="Wingdings" w:char="F06C"/>
            </w:r>
          </w:p>
        </w:tc>
      </w:tr>
      <w:tr w:rsidR="009709C2" w:rsidRPr="00A859F2" w14:paraId="071F44CC" w14:textId="77777777" w:rsidTr="00394CA8">
        <w:tblPrEx>
          <w:tblCellMar>
            <w:left w:w="108" w:type="dxa"/>
            <w:right w:w="108" w:type="dxa"/>
          </w:tblCellMar>
        </w:tblPrEx>
        <w:trPr>
          <w:gridBefore w:val="1"/>
          <w:wBefore w:w="4" w:type="pct"/>
          <w:cantSplit/>
          <w:trHeight w:val="500"/>
        </w:trPr>
        <w:tc>
          <w:tcPr>
            <w:tcW w:w="1438" w:type="pct"/>
            <w:vMerge w:val="restart"/>
            <w:shd w:val="clear" w:color="auto" w:fill="auto"/>
            <w:tcMar>
              <w:top w:w="57" w:type="dxa"/>
              <w:bottom w:w="113" w:type="dxa"/>
            </w:tcMar>
          </w:tcPr>
          <w:p w14:paraId="65BE1643" w14:textId="77777777" w:rsidR="009709C2" w:rsidRPr="00A859F2" w:rsidRDefault="009709C2" w:rsidP="00394CA8">
            <w:pPr>
              <w:rPr>
                <w:sz w:val="16"/>
                <w:szCs w:val="16"/>
              </w:rPr>
            </w:pPr>
            <w:r w:rsidRPr="00A859F2">
              <w:rPr>
                <w:sz w:val="16"/>
                <w:szCs w:val="16"/>
              </w:rPr>
              <w:t>II.10 Utilisation élargie et plus efficace du système de Lisbonne, notamment par les pays en développement et les PMA</w:t>
            </w:r>
          </w:p>
        </w:tc>
        <w:tc>
          <w:tcPr>
            <w:tcW w:w="2039" w:type="pct"/>
            <w:shd w:val="clear" w:color="auto" w:fill="auto"/>
            <w:tcMar>
              <w:top w:w="57" w:type="dxa"/>
              <w:bottom w:w="113" w:type="dxa"/>
            </w:tcMar>
          </w:tcPr>
          <w:p w14:paraId="4868FAC1" w14:textId="77777777" w:rsidR="009709C2" w:rsidRPr="00A859F2" w:rsidRDefault="009709C2" w:rsidP="00394CA8">
            <w:pPr>
              <w:rPr>
                <w:sz w:val="16"/>
                <w:szCs w:val="16"/>
              </w:rPr>
            </w:pPr>
            <w:r w:rsidRPr="00A859F2">
              <w:rPr>
                <w:sz w:val="16"/>
                <w:szCs w:val="16"/>
              </w:rPr>
              <w:t>Nombre d’enregistrements internationaux en vigueur en vertu du système de Lisbonne concernant des pays en développement et des PMA (par rapport au nombre total)</w:t>
            </w:r>
          </w:p>
        </w:tc>
        <w:tc>
          <w:tcPr>
            <w:tcW w:w="840" w:type="pct"/>
            <w:shd w:val="clear" w:color="auto" w:fill="FFFFFF"/>
            <w:tcMar>
              <w:top w:w="57" w:type="dxa"/>
              <w:bottom w:w="113" w:type="dxa"/>
            </w:tcMar>
          </w:tcPr>
          <w:p w14:paraId="7E68A5F6"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9</w:t>
            </w:r>
          </w:p>
          <w:p w14:paraId="0FB3C522"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32</w:t>
            </w:r>
          </w:p>
        </w:tc>
        <w:tc>
          <w:tcPr>
            <w:tcW w:w="679" w:type="pct"/>
            <w:shd w:val="clear" w:color="auto" w:fill="FFFFFF"/>
            <w:tcMar>
              <w:top w:w="57" w:type="dxa"/>
            </w:tcMar>
          </w:tcPr>
          <w:p w14:paraId="7E9E5914" w14:textId="77777777" w:rsidR="009709C2" w:rsidRPr="00A859F2" w:rsidRDefault="009709C2" w:rsidP="00394CA8">
            <w:pPr>
              <w:jc w:val="center"/>
              <w:rPr>
                <w:color w:val="FF0000"/>
                <w:szCs w:val="22"/>
              </w:rPr>
            </w:pPr>
            <w:r w:rsidRPr="00A859F2">
              <w:rPr>
                <w:color w:val="FF0000"/>
                <w:szCs w:val="22"/>
              </w:rPr>
              <w:sym w:font="Wingdings" w:char="F06C"/>
            </w:r>
          </w:p>
          <w:p w14:paraId="1BCC4928" w14:textId="77777777" w:rsidR="009709C2" w:rsidRPr="00A859F2" w:rsidRDefault="009709C2" w:rsidP="00394CA8">
            <w:pPr>
              <w:jc w:val="center"/>
              <w:rPr>
                <w:color w:val="00B050"/>
                <w:szCs w:val="22"/>
              </w:rPr>
            </w:pPr>
            <w:r w:rsidRPr="00A859F2">
              <w:rPr>
                <w:color w:val="FF0000"/>
                <w:szCs w:val="22"/>
              </w:rPr>
              <w:sym w:font="Wingdings" w:char="F06C"/>
            </w:r>
          </w:p>
        </w:tc>
      </w:tr>
      <w:tr w:rsidR="009709C2" w:rsidRPr="00A859F2" w14:paraId="508370A4" w14:textId="77777777" w:rsidTr="00394CA8">
        <w:tblPrEx>
          <w:tblCellMar>
            <w:left w:w="108" w:type="dxa"/>
            <w:right w:w="108" w:type="dxa"/>
          </w:tblCellMar>
        </w:tblPrEx>
        <w:trPr>
          <w:gridBefore w:val="1"/>
          <w:wBefore w:w="4" w:type="pct"/>
          <w:cantSplit/>
          <w:trHeight w:val="369"/>
        </w:trPr>
        <w:tc>
          <w:tcPr>
            <w:tcW w:w="1438" w:type="pct"/>
            <w:vMerge/>
            <w:shd w:val="clear" w:color="auto" w:fill="auto"/>
            <w:tcMar>
              <w:top w:w="57" w:type="dxa"/>
              <w:bottom w:w="113" w:type="dxa"/>
            </w:tcMar>
          </w:tcPr>
          <w:p w14:paraId="559F019A"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00D5353" w14:textId="77777777" w:rsidR="009709C2" w:rsidRPr="00A859F2" w:rsidRDefault="009709C2" w:rsidP="00394CA8">
            <w:pPr>
              <w:rPr>
                <w:sz w:val="16"/>
                <w:szCs w:val="16"/>
              </w:rPr>
            </w:pPr>
            <w:r w:rsidRPr="00A859F2">
              <w:rPr>
                <w:sz w:val="16"/>
                <w:szCs w:val="16"/>
              </w:rPr>
              <w:t>Nombre d’enregistrements internationaux dans le cadre du système de Lisbonne en vigueur pour les pays en transition et les pays développés</w:t>
            </w:r>
          </w:p>
        </w:tc>
        <w:tc>
          <w:tcPr>
            <w:tcW w:w="840" w:type="pct"/>
            <w:shd w:val="clear" w:color="auto" w:fill="FFFFFF"/>
            <w:tcMar>
              <w:top w:w="57" w:type="dxa"/>
              <w:bottom w:w="113" w:type="dxa"/>
            </w:tcMar>
          </w:tcPr>
          <w:p w14:paraId="2A4283F3"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10</w:t>
            </w:r>
          </w:p>
        </w:tc>
        <w:tc>
          <w:tcPr>
            <w:tcW w:w="679" w:type="pct"/>
            <w:shd w:val="clear" w:color="auto" w:fill="FFFFFF"/>
            <w:tcMar>
              <w:top w:w="57" w:type="dxa"/>
            </w:tcMar>
          </w:tcPr>
          <w:p w14:paraId="54CCD13A" w14:textId="77777777" w:rsidR="009709C2" w:rsidRPr="00A859F2" w:rsidRDefault="009709C2" w:rsidP="00394CA8">
            <w:pPr>
              <w:jc w:val="center"/>
              <w:rPr>
                <w:color w:val="00B050"/>
                <w:szCs w:val="22"/>
              </w:rPr>
            </w:pPr>
            <w:r w:rsidRPr="00A859F2">
              <w:rPr>
                <w:color w:val="00B050"/>
                <w:szCs w:val="22"/>
              </w:rPr>
              <w:sym w:font="Wingdings" w:char="F06C"/>
            </w:r>
          </w:p>
        </w:tc>
      </w:tr>
      <w:tr w:rsidR="009709C2" w:rsidRPr="00A859F2" w14:paraId="2DBFB9CA" w14:textId="77777777" w:rsidTr="00394CA8">
        <w:tblPrEx>
          <w:tblCellMar>
            <w:left w:w="108" w:type="dxa"/>
            <w:right w:w="108" w:type="dxa"/>
          </w:tblCellMar>
        </w:tblPrEx>
        <w:trPr>
          <w:gridBefore w:val="1"/>
          <w:wBefore w:w="4" w:type="pct"/>
          <w:cantSplit/>
          <w:trHeight w:val="521"/>
        </w:trPr>
        <w:tc>
          <w:tcPr>
            <w:tcW w:w="1438" w:type="pct"/>
            <w:shd w:val="clear" w:color="auto" w:fill="auto"/>
            <w:tcMar>
              <w:top w:w="57" w:type="dxa"/>
              <w:bottom w:w="113" w:type="dxa"/>
            </w:tcMar>
          </w:tcPr>
          <w:p w14:paraId="5D8523DC"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7BD986B" w14:textId="77777777" w:rsidR="009709C2" w:rsidRPr="00A859F2" w:rsidRDefault="009709C2" w:rsidP="00394CA8">
            <w:pPr>
              <w:rPr>
                <w:sz w:val="16"/>
                <w:szCs w:val="16"/>
              </w:rPr>
            </w:pPr>
            <w:r w:rsidRPr="00A859F2">
              <w:rPr>
                <w:sz w:val="16"/>
                <w:szCs w:val="16"/>
              </w:rPr>
              <w:t>Pourcentage de participants à des manifestations associées au système de Lisbonne qui font part de leur satisfaction et d’une meilleure compréhension du système à la suite d’une manifestation</w:t>
            </w:r>
          </w:p>
        </w:tc>
        <w:tc>
          <w:tcPr>
            <w:tcW w:w="840" w:type="pct"/>
            <w:shd w:val="clear" w:color="auto" w:fill="FFFFFF"/>
            <w:tcMar>
              <w:top w:w="57" w:type="dxa"/>
              <w:bottom w:w="113" w:type="dxa"/>
            </w:tcMar>
          </w:tcPr>
          <w:p w14:paraId="1F8D377C"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32</w:t>
            </w:r>
          </w:p>
        </w:tc>
        <w:tc>
          <w:tcPr>
            <w:tcW w:w="679" w:type="pct"/>
            <w:shd w:val="clear" w:color="auto" w:fill="FFFFFF"/>
            <w:tcMar>
              <w:top w:w="57" w:type="dxa"/>
            </w:tcMar>
          </w:tcPr>
          <w:p w14:paraId="07965822" w14:textId="77777777" w:rsidR="009709C2" w:rsidRPr="00A859F2" w:rsidRDefault="009709C2" w:rsidP="00394CA8">
            <w:pPr>
              <w:jc w:val="center"/>
              <w:rPr>
                <w:color w:val="00B050"/>
                <w:szCs w:val="22"/>
              </w:rPr>
            </w:pPr>
            <w:r w:rsidRPr="00A859F2">
              <w:rPr>
                <w:color w:val="00B050"/>
                <w:szCs w:val="22"/>
              </w:rPr>
              <w:sym w:font="Wingdings" w:char="F06C"/>
            </w:r>
          </w:p>
        </w:tc>
      </w:tr>
      <w:tr w:rsidR="009709C2" w:rsidRPr="00A859F2" w14:paraId="1444EACF" w14:textId="77777777" w:rsidTr="00394CA8">
        <w:tblPrEx>
          <w:tblCellMar>
            <w:left w:w="108" w:type="dxa"/>
            <w:right w:w="108" w:type="dxa"/>
          </w:tblCellMar>
        </w:tblPrEx>
        <w:trPr>
          <w:gridBefore w:val="1"/>
          <w:wBefore w:w="4" w:type="pct"/>
          <w:cantSplit/>
          <w:trHeight w:val="220"/>
        </w:trPr>
        <w:tc>
          <w:tcPr>
            <w:tcW w:w="1438" w:type="pct"/>
            <w:shd w:val="clear" w:color="auto" w:fill="auto"/>
            <w:tcMar>
              <w:top w:w="57" w:type="dxa"/>
              <w:bottom w:w="113" w:type="dxa"/>
            </w:tcMar>
          </w:tcPr>
          <w:p w14:paraId="2F473F05"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B4964FA" w14:textId="77777777" w:rsidR="009709C2" w:rsidRPr="00A859F2" w:rsidRDefault="009709C2" w:rsidP="00394CA8">
            <w:pPr>
              <w:rPr>
                <w:sz w:val="16"/>
                <w:szCs w:val="16"/>
              </w:rPr>
            </w:pPr>
            <w:r w:rsidRPr="00A859F2">
              <w:rPr>
                <w:sz w:val="16"/>
                <w:szCs w:val="16"/>
              </w:rPr>
              <w:t>Extension de la portée géographique du système de Lisbonne</w:t>
            </w:r>
          </w:p>
        </w:tc>
        <w:tc>
          <w:tcPr>
            <w:tcW w:w="840" w:type="pct"/>
            <w:shd w:val="clear" w:color="auto" w:fill="FFFFFF"/>
            <w:tcMar>
              <w:top w:w="57" w:type="dxa"/>
              <w:bottom w:w="113" w:type="dxa"/>
            </w:tcMar>
          </w:tcPr>
          <w:p w14:paraId="29B3B392"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32</w:t>
            </w:r>
          </w:p>
        </w:tc>
        <w:tc>
          <w:tcPr>
            <w:tcW w:w="679" w:type="pct"/>
            <w:shd w:val="clear" w:color="auto" w:fill="FFFFFF"/>
            <w:tcMar>
              <w:top w:w="57" w:type="dxa"/>
            </w:tcMar>
          </w:tcPr>
          <w:p w14:paraId="6DFCBF54" w14:textId="77777777" w:rsidR="009709C2" w:rsidRPr="00A859F2" w:rsidRDefault="009709C2" w:rsidP="00394CA8">
            <w:pPr>
              <w:jc w:val="center"/>
              <w:rPr>
                <w:color w:val="00B050"/>
                <w:szCs w:val="22"/>
              </w:rPr>
            </w:pPr>
            <w:r w:rsidRPr="00A859F2">
              <w:rPr>
                <w:color w:val="FF0000"/>
                <w:szCs w:val="22"/>
              </w:rPr>
              <w:sym w:font="Wingdings" w:char="F06C"/>
            </w:r>
          </w:p>
        </w:tc>
      </w:tr>
      <w:tr w:rsidR="009709C2" w:rsidRPr="00A859F2" w14:paraId="742C41F7" w14:textId="77777777" w:rsidTr="00394CA8">
        <w:tblPrEx>
          <w:tblCellMar>
            <w:left w:w="108" w:type="dxa"/>
            <w:right w:w="108" w:type="dxa"/>
          </w:tblCellMar>
        </w:tblPrEx>
        <w:trPr>
          <w:gridBefore w:val="1"/>
          <w:wBefore w:w="4" w:type="pct"/>
          <w:cantSplit/>
          <w:trHeight w:val="351"/>
        </w:trPr>
        <w:tc>
          <w:tcPr>
            <w:tcW w:w="1438" w:type="pct"/>
            <w:shd w:val="clear" w:color="auto" w:fill="auto"/>
            <w:tcMar>
              <w:top w:w="57" w:type="dxa"/>
              <w:bottom w:w="113" w:type="dxa"/>
            </w:tcMar>
          </w:tcPr>
          <w:p w14:paraId="32F0D341"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BE52619" w14:textId="77777777" w:rsidR="009709C2" w:rsidRPr="00A859F2" w:rsidRDefault="009709C2" w:rsidP="00394CA8">
            <w:pPr>
              <w:rPr>
                <w:sz w:val="16"/>
                <w:szCs w:val="16"/>
              </w:rPr>
            </w:pPr>
            <w:r w:rsidRPr="00A859F2">
              <w:rPr>
                <w:sz w:val="16"/>
                <w:szCs w:val="16"/>
              </w:rPr>
              <w:t>Nombre de demandes internationales et d’autres transactions (Lisbonne)</w:t>
            </w:r>
          </w:p>
        </w:tc>
        <w:tc>
          <w:tcPr>
            <w:tcW w:w="840" w:type="pct"/>
            <w:shd w:val="clear" w:color="auto" w:fill="FFFFFF"/>
            <w:tcMar>
              <w:top w:w="57" w:type="dxa"/>
              <w:bottom w:w="113" w:type="dxa"/>
            </w:tcMar>
          </w:tcPr>
          <w:p w14:paraId="00F383D9"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32</w:t>
            </w:r>
          </w:p>
        </w:tc>
        <w:tc>
          <w:tcPr>
            <w:tcW w:w="679" w:type="pct"/>
            <w:shd w:val="clear" w:color="auto" w:fill="FFFFFF"/>
            <w:tcMar>
              <w:top w:w="57" w:type="dxa"/>
            </w:tcMar>
          </w:tcPr>
          <w:p w14:paraId="1915CB7D" w14:textId="77777777" w:rsidR="009709C2" w:rsidRPr="00A859F2" w:rsidRDefault="009709C2" w:rsidP="00394CA8">
            <w:pPr>
              <w:jc w:val="center"/>
              <w:rPr>
                <w:color w:val="00B050"/>
                <w:szCs w:val="22"/>
              </w:rPr>
            </w:pPr>
            <w:r w:rsidRPr="00A859F2">
              <w:rPr>
                <w:color w:val="00B050"/>
                <w:szCs w:val="22"/>
              </w:rPr>
              <w:sym w:font="Wingdings" w:char="F06C"/>
            </w:r>
            <w:r w:rsidRPr="00A859F2">
              <w:rPr>
                <w:color w:val="00B050"/>
                <w:szCs w:val="22"/>
              </w:rPr>
              <w:sym w:font="Wingdings" w:char="F06C"/>
            </w:r>
          </w:p>
        </w:tc>
      </w:tr>
      <w:tr w:rsidR="009709C2" w:rsidRPr="00A859F2" w14:paraId="35647A54" w14:textId="77777777" w:rsidTr="00394CA8">
        <w:tblPrEx>
          <w:tblCellMar>
            <w:left w:w="108" w:type="dxa"/>
            <w:right w:w="108" w:type="dxa"/>
          </w:tblCellMar>
        </w:tblPrEx>
        <w:trPr>
          <w:gridBefore w:val="1"/>
          <w:wBefore w:w="4" w:type="pct"/>
          <w:cantSplit/>
          <w:trHeight w:val="255"/>
        </w:trPr>
        <w:tc>
          <w:tcPr>
            <w:tcW w:w="1438" w:type="pct"/>
            <w:vMerge w:val="restart"/>
            <w:shd w:val="clear" w:color="auto" w:fill="auto"/>
            <w:tcMar>
              <w:top w:w="57" w:type="dxa"/>
              <w:bottom w:w="113" w:type="dxa"/>
            </w:tcMar>
          </w:tcPr>
          <w:p w14:paraId="60EB97FA" w14:textId="77777777" w:rsidR="009709C2" w:rsidRPr="00A859F2" w:rsidRDefault="009709C2" w:rsidP="00394CA8">
            <w:pPr>
              <w:rPr>
                <w:sz w:val="16"/>
                <w:szCs w:val="16"/>
              </w:rPr>
            </w:pPr>
            <w:r w:rsidRPr="00A859F2">
              <w:rPr>
                <w:sz w:val="16"/>
                <w:szCs w:val="16"/>
              </w:rPr>
              <w:t>II.11 Amélioration de la productivité et de la qualité de service des opérations du système de Lisbonne</w:t>
            </w:r>
          </w:p>
        </w:tc>
        <w:tc>
          <w:tcPr>
            <w:tcW w:w="2039" w:type="pct"/>
            <w:shd w:val="clear" w:color="auto" w:fill="auto"/>
            <w:tcMar>
              <w:top w:w="57" w:type="dxa"/>
              <w:bottom w:w="113" w:type="dxa"/>
            </w:tcMar>
          </w:tcPr>
          <w:p w14:paraId="493241FD" w14:textId="77777777" w:rsidR="009709C2" w:rsidRPr="00A859F2" w:rsidRDefault="009709C2" w:rsidP="00394CA8">
            <w:pPr>
              <w:rPr>
                <w:sz w:val="16"/>
                <w:szCs w:val="16"/>
              </w:rPr>
            </w:pPr>
            <w:r w:rsidRPr="00A859F2">
              <w:rPr>
                <w:sz w:val="16"/>
                <w:szCs w:val="16"/>
              </w:rPr>
              <w:t>Adoption de dispositions rationalisant le cadre juridique du système de Lisbonne</w:t>
            </w:r>
          </w:p>
        </w:tc>
        <w:tc>
          <w:tcPr>
            <w:tcW w:w="840" w:type="pct"/>
            <w:shd w:val="clear" w:color="auto" w:fill="FFFFFF"/>
            <w:tcMar>
              <w:top w:w="57" w:type="dxa"/>
              <w:bottom w:w="113" w:type="dxa"/>
            </w:tcMar>
          </w:tcPr>
          <w:p w14:paraId="281A5D87"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32</w:t>
            </w:r>
          </w:p>
        </w:tc>
        <w:tc>
          <w:tcPr>
            <w:tcW w:w="679" w:type="pct"/>
            <w:shd w:val="clear" w:color="auto" w:fill="FFFFFF"/>
            <w:tcMar>
              <w:top w:w="57" w:type="dxa"/>
            </w:tcMar>
          </w:tcPr>
          <w:p w14:paraId="1682DCFC" w14:textId="77777777" w:rsidR="009709C2" w:rsidRPr="00A859F2" w:rsidRDefault="009709C2" w:rsidP="00394CA8">
            <w:pPr>
              <w:jc w:val="center"/>
              <w:rPr>
                <w:color w:val="00B050"/>
                <w:szCs w:val="22"/>
              </w:rPr>
            </w:pPr>
            <w:r w:rsidRPr="00A859F2">
              <w:rPr>
                <w:color w:val="00B050"/>
                <w:szCs w:val="22"/>
              </w:rPr>
              <w:sym w:font="Wingdings" w:char="F06C"/>
            </w:r>
          </w:p>
        </w:tc>
      </w:tr>
      <w:tr w:rsidR="009709C2" w:rsidRPr="00A859F2" w14:paraId="4C535176" w14:textId="77777777" w:rsidTr="00394CA8">
        <w:tblPrEx>
          <w:tblCellMar>
            <w:left w:w="108" w:type="dxa"/>
            <w:right w:w="108" w:type="dxa"/>
          </w:tblCellMar>
        </w:tblPrEx>
        <w:trPr>
          <w:gridBefore w:val="1"/>
          <w:wBefore w:w="4" w:type="pct"/>
          <w:cantSplit/>
          <w:trHeight w:val="291"/>
        </w:trPr>
        <w:tc>
          <w:tcPr>
            <w:tcW w:w="1438" w:type="pct"/>
            <w:vMerge/>
            <w:shd w:val="clear" w:color="auto" w:fill="auto"/>
            <w:tcMar>
              <w:top w:w="57" w:type="dxa"/>
              <w:bottom w:w="113" w:type="dxa"/>
            </w:tcMar>
          </w:tcPr>
          <w:p w14:paraId="6AB5A6A1"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5C65E94" w14:textId="77777777" w:rsidR="009709C2" w:rsidRPr="00A859F2" w:rsidRDefault="009709C2" w:rsidP="00394CA8">
            <w:pPr>
              <w:rPr>
                <w:sz w:val="16"/>
                <w:szCs w:val="16"/>
              </w:rPr>
            </w:pPr>
            <w:r w:rsidRPr="00A859F2">
              <w:rPr>
                <w:sz w:val="16"/>
                <w:szCs w:val="16"/>
              </w:rPr>
              <w:t xml:space="preserve">Amélioration des services électroniques du Service d’enregistrement de Lisbonne </w:t>
            </w:r>
          </w:p>
        </w:tc>
        <w:tc>
          <w:tcPr>
            <w:tcW w:w="840" w:type="pct"/>
            <w:shd w:val="clear" w:color="auto" w:fill="FFFFFF"/>
            <w:tcMar>
              <w:top w:w="57" w:type="dxa"/>
              <w:bottom w:w="113" w:type="dxa"/>
            </w:tcMar>
          </w:tcPr>
          <w:p w14:paraId="362749C7"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32</w:t>
            </w:r>
          </w:p>
        </w:tc>
        <w:tc>
          <w:tcPr>
            <w:tcW w:w="679" w:type="pct"/>
            <w:shd w:val="clear" w:color="auto" w:fill="FFFFFF"/>
            <w:tcMar>
              <w:top w:w="57" w:type="dxa"/>
            </w:tcMar>
          </w:tcPr>
          <w:p w14:paraId="1C46345B" w14:textId="77777777" w:rsidR="009709C2" w:rsidRPr="00A859F2" w:rsidRDefault="009709C2" w:rsidP="00394CA8">
            <w:pPr>
              <w:jc w:val="center"/>
              <w:rPr>
                <w:color w:val="00B050"/>
                <w:szCs w:val="22"/>
              </w:rPr>
            </w:pPr>
            <w:r w:rsidRPr="00A859F2">
              <w:rPr>
                <w:color w:val="FF0000"/>
                <w:szCs w:val="22"/>
              </w:rPr>
              <w:sym w:font="Wingdings" w:char="F06C"/>
            </w:r>
          </w:p>
        </w:tc>
      </w:tr>
      <w:tr w:rsidR="009709C2" w:rsidRPr="00A859F2" w14:paraId="41BFBB48" w14:textId="77777777" w:rsidTr="00394CA8">
        <w:tblPrEx>
          <w:tblCellMar>
            <w:left w:w="108" w:type="dxa"/>
            <w:right w:w="108" w:type="dxa"/>
          </w:tblCellMar>
        </w:tblPrEx>
        <w:trPr>
          <w:gridBefore w:val="1"/>
          <w:wBefore w:w="4" w:type="pct"/>
          <w:cantSplit/>
          <w:trHeight w:val="500"/>
        </w:trPr>
        <w:tc>
          <w:tcPr>
            <w:tcW w:w="1438" w:type="pct"/>
            <w:shd w:val="clear" w:color="auto" w:fill="auto"/>
            <w:tcMar>
              <w:top w:w="57" w:type="dxa"/>
              <w:bottom w:w="113" w:type="dxa"/>
            </w:tcMar>
          </w:tcPr>
          <w:p w14:paraId="336903DE" w14:textId="77777777" w:rsidR="009709C2" w:rsidRPr="00A859F2" w:rsidRDefault="009709C2" w:rsidP="00394CA8">
            <w:pPr>
              <w:rPr>
                <w:sz w:val="16"/>
                <w:szCs w:val="16"/>
              </w:rPr>
            </w:pPr>
          </w:p>
        </w:tc>
        <w:tc>
          <w:tcPr>
            <w:tcW w:w="2039" w:type="pct"/>
            <w:shd w:val="clear" w:color="auto" w:fill="auto"/>
            <w:tcMar>
              <w:top w:w="57" w:type="dxa"/>
              <w:bottom w:w="113" w:type="dxa"/>
            </w:tcMar>
          </w:tcPr>
          <w:p w14:paraId="5EC639FB" w14:textId="77777777" w:rsidR="009709C2" w:rsidRPr="00A859F2" w:rsidRDefault="009709C2" w:rsidP="00394CA8">
            <w:pPr>
              <w:rPr>
                <w:sz w:val="16"/>
                <w:szCs w:val="16"/>
              </w:rPr>
            </w:pPr>
            <w:r w:rsidRPr="00A859F2">
              <w:rPr>
                <w:sz w:val="16"/>
                <w:szCs w:val="16"/>
              </w:rPr>
              <w:t>Utilisation accrue des moyens électroniques pour l’envoi et le traitement des demandes internationales et d’autres transactions (Lisbonne)</w:t>
            </w:r>
          </w:p>
        </w:tc>
        <w:tc>
          <w:tcPr>
            <w:tcW w:w="840" w:type="pct"/>
            <w:shd w:val="clear" w:color="auto" w:fill="FFFFFF"/>
            <w:tcMar>
              <w:top w:w="57" w:type="dxa"/>
              <w:bottom w:w="113" w:type="dxa"/>
            </w:tcMar>
          </w:tcPr>
          <w:p w14:paraId="75AB4652" w14:textId="77777777" w:rsidR="009709C2" w:rsidRPr="00A859F2" w:rsidRDefault="009709C2" w:rsidP="001E3776">
            <w:pPr>
              <w:spacing w:before="40"/>
              <w:jc w:val="center"/>
              <w:rPr>
                <w:sz w:val="16"/>
                <w:szCs w:val="16"/>
              </w:rPr>
            </w:pPr>
            <w:r w:rsidRPr="00A859F2">
              <w:rPr>
                <w:sz w:val="16"/>
                <w:szCs w:val="16"/>
              </w:rPr>
              <w:t>Programme</w:t>
            </w:r>
            <w:r>
              <w:rPr>
                <w:sz w:val="16"/>
                <w:szCs w:val="16"/>
              </w:rPr>
              <w:t> </w:t>
            </w:r>
            <w:r w:rsidRPr="00A859F2">
              <w:rPr>
                <w:sz w:val="16"/>
                <w:szCs w:val="16"/>
              </w:rPr>
              <w:t>32</w:t>
            </w:r>
          </w:p>
        </w:tc>
        <w:tc>
          <w:tcPr>
            <w:tcW w:w="679" w:type="pct"/>
            <w:shd w:val="clear" w:color="auto" w:fill="FFFFFF"/>
            <w:tcMar>
              <w:top w:w="57" w:type="dxa"/>
            </w:tcMar>
          </w:tcPr>
          <w:p w14:paraId="46B5A675" w14:textId="77777777" w:rsidR="009709C2" w:rsidRPr="00A859F2" w:rsidRDefault="009709C2" w:rsidP="00394CA8">
            <w:pPr>
              <w:jc w:val="center"/>
              <w:rPr>
                <w:color w:val="00B050"/>
                <w:szCs w:val="22"/>
              </w:rPr>
            </w:pPr>
            <w:r w:rsidRPr="00A859F2">
              <w:rPr>
                <w:color w:val="00B050"/>
                <w:szCs w:val="22"/>
              </w:rPr>
              <w:sym w:font="Wingdings" w:char="F06C"/>
            </w:r>
            <w:r w:rsidRPr="00A859F2">
              <w:rPr>
                <w:color w:val="FF0000"/>
                <w:szCs w:val="22"/>
              </w:rPr>
              <w:sym w:font="Wingdings" w:char="F06C"/>
            </w:r>
          </w:p>
        </w:tc>
      </w:tr>
      <w:bookmarkEnd w:id="26"/>
    </w:tbl>
    <w:p w14:paraId="73809EC2" w14:textId="77777777" w:rsidR="009709C2" w:rsidRPr="00A859F2" w:rsidRDefault="009709C2" w:rsidP="009709C2">
      <w:pPr>
        <w:pStyle w:val="ListParagraph"/>
        <w:ind w:left="0"/>
        <w:jc w:val="both"/>
      </w:pPr>
    </w:p>
    <w:p w14:paraId="28575E02" w14:textId="77777777" w:rsidR="009709C2" w:rsidRPr="00A859F2" w:rsidRDefault="009709C2" w:rsidP="009709C2">
      <w:pPr>
        <w:spacing w:after="200" w:line="276" w:lineRule="auto"/>
      </w:pPr>
      <w:r w:rsidRPr="00A859F2">
        <w:br w:type="page"/>
      </w:r>
    </w:p>
    <w:p w14:paraId="4F50430B" w14:textId="58FFAF25" w:rsidR="001F64B1" w:rsidRPr="001E6DFD" w:rsidRDefault="009B328F" w:rsidP="006658D5">
      <w:pPr>
        <w:pStyle w:val="Heading3"/>
        <w:rPr>
          <w:rFonts w:eastAsia="SimSun"/>
          <w:lang w:eastAsia="zh-CN"/>
        </w:rPr>
      </w:pPr>
      <w:bookmarkStart w:id="27" w:name="_Toc482774594"/>
      <w:r w:rsidRPr="001E6DFD">
        <w:rPr>
          <w:rFonts w:eastAsia="SimSun"/>
          <w:lang w:eastAsia="zh-CN"/>
        </w:rPr>
        <w:lastRenderedPageBreak/>
        <w:t>Programme</w:t>
      </w:r>
      <w:r w:rsidR="00B4191E">
        <w:rPr>
          <w:rFonts w:eastAsia="SimSun"/>
          <w:lang w:eastAsia="zh-CN"/>
        </w:rPr>
        <w:t> </w:t>
      </w:r>
      <w:r w:rsidRPr="001E6DFD">
        <w:rPr>
          <w:rFonts w:eastAsia="SimSun"/>
          <w:lang w:eastAsia="zh-CN"/>
        </w:rPr>
        <w:t>5</w:t>
      </w:r>
      <w:r w:rsidRPr="001E6DFD">
        <w:rPr>
          <w:rFonts w:eastAsia="SimSun"/>
          <w:lang w:eastAsia="zh-CN"/>
        </w:rPr>
        <w:tab/>
        <w:t>Système</w:t>
      </w:r>
      <w:r w:rsidR="00FA22F6" w:rsidRPr="001E6DFD">
        <w:rPr>
          <w:rFonts w:eastAsia="SimSun"/>
          <w:lang w:eastAsia="zh-CN"/>
        </w:rPr>
        <w:t xml:space="preserve"> du PCT</w:t>
      </w:r>
      <w:bookmarkEnd w:id="27"/>
    </w:p>
    <w:p w14:paraId="5528DF60" w14:textId="77777777" w:rsidR="001F64B1" w:rsidRPr="001E6DFD" w:rsidRDefault="001F64B1" w:rsidP="00B9746D">
      <w:pPr>
        <w:tabs>
          <w:tab w:val="left" w:pos="2268"/>
        </w:tabs>
        <w:ind w:left="2268" w:hanging="2268"/>
        <w:rPr>
          <w:sz w:val="20"/>
        </w:rPr>
      </w:pPr>
    </w:p>
    <w:p w14:paraId="1C0E52AC" w14:textId="77777777" w:rsidR="001F64B1" w:rsidRPr="001E6DFD" w:rsidRDefault="009B328F" w:rsidP="00B9746D">
      <w:pPr>
        <w:tabs>
          <w:tab w:val="left" w:pos="2268"/>
        </w:tabs>
        <w:ind w:left="2268" w:hanging="2268"/>
        <w:rPr>
          <w:b/>
          <w:sz w:val="20"/>
          <w:szCs w:val="22"/>
        </w:rPr>
      </w:pPr>
      <w:r w:rsidRPr="001E6DFD">
        <w:rPr>
          <w:b/>
          <w:sz w:val="20"/>
          <w:szCs w:val="22"/>
        </w:rPr>
        <w:t>Chef de programme</w:t>
      </w:r>
      <w:r w:rsidRPr="001E6DFD">
        <w:rPr>
          <w:b/>
          <w:sz w:val="20"/>
          <w:szCs w:val="22"/>
        </w:rPr>
        <w:tab/>
        <w:t>M. J. Sandage</w:t>
      </w:r>
    </w:p>
    <w:p w14:paraId="6C86606E" w14:textId="59C60EF0" w:rsidR="00BA5EA9" w:rsidRPr="001E6DFD" w:rsidRDefault="006D78C1" w:rsidP="0097226C">
      <w:pPr>
        <w:tabs>
          <w:tab w:val="left" w:pos="1985"/>
        </w:tabs>
        <w:jc w:val="center"/>
        <w:rPr>
          <w:szCs w:val="22"/>
        </w:rPr>
      </w:pPr>
      <w:r w:rsidRPr="006D78C1">
        <w:rPr>
          <w:noProof/>
          <w:lang w:val="en-US"/>
        </w:rPr>
        <w:drawing>
          <wp:inline distT="0" distB="0" distL="0" distR="0" wp14:anchorId="48CB90E6" wp14:editId="53FFA6C5">
            <wp:extent cx="3960000" cy="2734721"/>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802"/>
        <w:gridCol w:w="2637"/>
        <w:gridCol w:w="1225"/>
        <w:gridCol w:w="2473"/>
        <w:gridCol w:w="1050"/>
      </w:tblGrid>
      <w:tr w:rsidR="00BA5EA9" w:rsidRPr="001E6DFD" w14:paraId="5E7BB59F" w14:textId="77777777" w:rsidTr="0097226C">
        <w:tc>
          <w:tcPr>
            <w:tcW w:w="5000" w:type="pct"/>
            <w:gridSpan w:val="5"/>
            <w:shd w:val="clear" w:color="auto" w:fill="C6D9F1" w:themeFill="text2" w:themeFillTint="33"/>
            <w:tcMar>
              <w:left w:w="58" w:type="dxa"/>
              <w:right w:w="58" w:type="dxa"/>
            </w:tcMar>
            <w:vAlign w:val="center"/>
          </w:tcPr>
          <w:p w14:paraId="7A2E54E4" w14:textId="1F11DF7C" w:rsidR="00BA5EA9" w:rsidRPr="001E6DFD" w:rsidRDefault="009B328F"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II.1 Utilisation élargie et plus efficace du système</w:t>
            </w:r>
            <w:r w:rsidR="00FA22F6" w:rsidRPr="001E6DFD">
              <w:rPr>
                <w:bCs/>
                <w:sz w:val="16"/>
                <w:szCs w:val="16"/>
              </w:rPr>
              <w:t xml:space="preserve"> du PCT</w:t>
            </w:r>
            <w:r w:rsidRPr="001E6DFD">
              <w:rPr>
                <w:bCs/>
                <w:sz w:val="16"/>
                <w:szCs w:val="16"/>
              </w:rPr>
              <w:t xml:space="preserve"> pour le dépôt des demandes internationales de brevet</w:t>
            </w:r>
          </w:p>
        </w:tc>
      </w:tr>
      <w:tr w:rsidR="00BA5EA9" w:rsidRPr="001E6DFD" w14:paraId="39145A6B" w14:textId="77777777" w:rsidTr="0097226C">
        <w:tc>
          <w:tcPr>
            <w:tcW w:w="993" w:type="pct"/>
            <w:shd w:val="clear" w:color="auto" w:fill="auto"/>
            <w:tcMar>
              <w:left w:w="58" w:type="dxa"/>
              <w:right w:w="58" w:type="dxa"/>
            </w:tcMar>
            <w:vAlign w:val="center"/>
          </w:tcPr>
          <w:p w14:paraId="4AF38C46" w14:textId="050F2BA4" w:rsidR="00BA5EA9" w:rsidRPr="001E6DFD" w:rsidRDefault="009B328F"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447" w:type="pct"/>
            <w:shd w:val="clear" w:color="auto" w:fill="auto"/>
            <w:tcMar>
              <w:left w:w="58" w:type="dxa"/>
              <w:right w:w="58" w:type="dxa"/>
            </w:tcMar>
            <w:vAlign w:val="center"/>
          </w:tcPr>
          <w:p w14:paraId="7C592867" w14:textId="77777777" w:rsidR="00BA5EA9" w:rsidRPr="001E6DFD" w:rsidRDefault="009B328F" w:rsidP="0097226C">
            <w:pPr>
              <w:jc w:val="center"/>
              <w:rPr>
                <w:b/>
                <w:bCs/>
                <w:sz w:val="16"/>
                <w:szCs w:val="16"/>
              </w:rPr>
            </w:pPr>
            <w:r w:rsidRPr="001E6DFD">
              <w:rPr>
                <w:b/>
                <w:bCs/>
                <w:sz w:val="16"/>
                <w:szCs w:val="16"/>
              </w:rPr>
              <w:t>Niveaux de référence</w:t>
            </w:r>
          </w:p>
        </w:tc>
        <w:tc>
          <w:tcPr>
            <w:tcW w:w="647" w:type="pct"/>
            <w:shd w:val="clear" w:color="auto" w:fill="auto"/>
            <w:tcMar>
              <w:top w:w="110" w:type="dxa"/>
              <w:left w:w="43" w:type="dxa"/>
              <w:right w:w="43" w:type="dxa"/>
            </w:tcMar>
            <w:vAlign w:val="center"/>
          </w:tcPr>
          <w:p w14:paraId="036FE27F" w14:textId="77777777" w:rsidR="00BA5EA9" w:rsidRPr="001E6DFD" w:rsidRDefault="009B328F" w:rsidP="0097226C">
            <w:pPr>
              <w:tabs>
                <w:tab w:val="left" w:pos="290"/>
              </w:tabs>
              <w:jc w:val="center"/>
              <w:rPr>
                <w:b/>
                <w:bCs/>
                <w:sz w:val="16"/>
                <w:szCs w:val="16"/>
              </w:rPr>
            </w:pPr>
            <w:r w:rsidRPr="001E6DFD">
              <w:rPr>
                <w:b/>
                <w:bCs/>
                <w:sz w:val="16"/>
                <w:szCs w:val="16"/>
              </w:rPr>
              <w:t>Objectifs visés</w:t>
            </w:r>
          </w:p>
        </w:tc>
        <w:tc>
          <w:tcPr>
            <w:tcW w:w="1358" w:type="pct"/>
            <w:shd w:val="clear" w:color="auto" w:fill="FFFFFF"/>
            <w:tcMar>
              <w:top w:w="110" w:type="dxa"/>
              <w:left w:w="58" w:type="dxa"/>
              <w:right w:w="58" w:type="dxa"/>
            </w:tcMar>
            <w:vAlign w:val="center"/>
          </w:tcPr>
          <w:p w14:paraId="7650C4FA" w14:textId="3EF6EDD7" w:rsidR="00BA5EA9" w:rsidRPr="001E6DFD" w:rsidRDefault="009B328F"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54" w:type="pct"/>
            <w:shd w:val="clear" w:color="auto" w:fill="auto"/>
            <w:tcMar>
              <w:top w:w="110" w:type="dxa"/>
              <w:left w:w="58" w:type="dxa"/>
              <w:right w:w="58" w:type="dxa"/>
            </w:tcMar>
            <w:vAlign w:val="center"/>
          </w:tcPr>
          <w:p w14:paraId="13A1966C" w14:textId="380C98D3"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46674101" w14:textId="77777777" w:rsidTr="0097226C">
        <w:tc>
          <w:tcPr>
            <w:tcW w:w="993" w:type="pct"/>
            <w:shd w:val="clear" w:color="auto" w:fill="auto"/>
            <w:tcMar>
              <w:left w:w="58" w:type="dxa"/>
              <w:right w:w="58" w:type="dxa"/>
            </w:tcMar>
          </w:tcPr>
          <w:p w14:paraId="5CDD82A7" w14:textId="64EAEC68" w:rsidR="00BA5EA9" w:rsidRPr="001E6DFD" w:rsidRDefault="009B328F" w:rsidP="0097226C">
            <w:pPr>
              <w:widowControl w:val="0"/>
              <w:autoSpaceDE w:val="0"/>
              <w:autoSpaceDN w:val="0"/>
              <w:adjustRightInd w:val="0"/>
              <w:rPr>
                <w:rFonts w:eastAsia="SimSun"/>
                <w:sz w:val="16"/>
                <w:szCs w:val="16"/>
              </w:rPr>
            </w:pPr>
            <w:r w:rsidRPr="001E6DFD">
              <w:rPr>
                <w:rFonts w:eastAsia="SimSun"/>
                <w:sz w:val="16"/>
                <w:szCs w:val="16"/>
              </w:rPr>
              <w:t>Degré de satisfaction des utilisateurs</w:t>
            </w:r>
            <w:r w:rsidR="00FA22F6" w:rsidRPr="001E6DFD">
              <w:rPr>
                <w:rFonts w:eastAsia="SimSun"/>
                <w:sz w:val="16"/>
                <w:szCs w:val="16"/>
              </w:rPr>
              <w:t xml:space="preserve"> du PCT</w:t>
            </w:r>
            <w:r w:rsidRPr="001E6DFD">
              <w:rPr>
                <w:rFonts w:eastAsia="SimSun"/>
                <w:sz w:val="16"/>
                <w:szCs w:val="16"/>
              </w:rPr>
              <w:t xml:space="preserve"> </w:t>
            </w:r>
            <w:r w:rsidR="00FA22F6" w:rsidRPr="001E6DFD">
              <w:rPr>
                <w:rFonts w:eastAsia="SimSun"/>
                <w:sz w:val="16"/>
                <w:szCs w:val="16"/>
              </w:rPr>
              <w:t>à l’égard</w:t>
            </w:r>
            <w:r w:rsidRPr="001E6DFD">
              <w:rPr>
                <w:rFonts w:eastAsia="SimSun"/>
                <w:sz w:val="16"/>
                <w:szCs w:val="16"/>
              </w:rPr>
              <w:t xml:space="preserve"> des conseils juridiques, des informations, des formations et du service client</w:t>
            </w:r>
            <w:r w:rsidR="00FA22F6" w:rsidRPr="001E6DFD">
              <w:rPr>
                <w:rFonts w:eastAsia="SimSun"/>
                <w:sz w:val="16"/>
                <w:szCs w:val="16"/>
              </w:rPr>
              <w:t xml:space="preserve"> du PCT</w:t>
            </w:r>
          </w:p>
        </w:tc>
        <w:tc>
          <w:tcPr>
            <w:tcW w:w="1447" w:type="pct"/>
            <w:shd w:val="clear" w:color="auto" w:fill="auto"/>
            <w:tcMar>
              <w:left w:w="58" w:type="dxa"/>
              <w:right w:w="58" w:type="dxa"/>
            </w:tcMar>
          </w:tcPr>
          <w:p w14:paraId="60C8D6EF" w14:textId="62F105BB"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0818FE20" w14:textId="3C3461C0" w:rsidR="001F64B1" w:rsidRPr="001E6DFD" w:rsidRDefault="00463DF3" w:rsidP="0097226C">
            <w:pPr>
              <w:rPr>
                <w:color w:val="002060"/>
                <w:sz w:val="16"/>
                <w:szCs w:val="16"/>
              </w:rPr>
            </w:pPr>
            <w:r w:rsidRPr="001E6DFD">
              <w:rPr>
                <w:color w:val="002060"/>
                <w:sz w:val="16"/>
                <w:szCs w:val="16"/>
              </w:rPr>
              <w:t>89% des utilisateurs</w:t>
            </w:r>
            <w:r w:rsidR="00FA22F6" w:rsidRPr="001E6DFD">
              <w:rPr>
                <w:color w:val="002060"/>
                <w:sz w:val="16"/>
                <w:szCs w:val="16"/>
              </w:rPr>
              <w:t xml:space="preserve"> du PCT</w:t>
            </w:r>
            <w:r w:rsidRPr="001E6DFD">
              <w:rPr>
                <w:color w:val="002060"/>
                <w:sz w:val="16"/>
                <w:szCs w:val="16"/>
              </w:rPr>
              <w:t xml:space="preserve"> étaient satisfaits des services PCT fournis par l</w:t>
            </w:r>
            <w:r w:rsidR="00FA22F6" w:rsidRPr="001E6DFD">
              <w:rPr>
                <w:color w:val="002060"/>
                <w:sz w:val="16"/>
                <w:szCs w:val="16"/>
              </w:rPr>
              <w:t>’</w:t>
            </w:r>
            <w:r w:rsidRPr="001E6DFD">
              <w:rPr>
                <w:color w:val="002060"/>
                <w:sz w:val="16"/>
                <w:szCs w:val="16"/>
              </w:rPr>
              <w:t>OMPI, soit 11% de plus qu</w:t>
            </w:r>
            <w:r w:rsidR="00FA22F6" w:rsidRPr="001E6DFD">
              <w:rPr>
                <w:color w:val="002060"/>
                <w:sz w:val="16"/>
                <w:szCs w:val="16"/>
              </w:rPr>
              <w:t>’en 2009</w:t>
            </w:r>
          </w:p>
          <w:p w14:paraId="41D9D24A" w14:textId="77777777" w:rsidR="001F64B1" w:rsidRPr="001E6DFD" w:rsidRDefault="001F64B1" w:rsidP="0097226C">
            <w:pPr>
              <w:rPr>
                <w:sz w:val="16"/>
                <w:szCs w:val="16"/>
              </w:rPr>
            </w:pPr>
          </w:p>
          <w:p w14:paraId="25CED020" w14:textId="5A569940"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1234D0C" w14:textId="30191BE6" w:rsidR="00BA5EA9" w:rsidRPr="001E6DFD" w:rsidRDefault="00463DF3" w:rsidP="0097226C">
            <w:pPr>
              <w:widowControl w:val="0"/>
              <w:tabs>
                <w:tab w:val="left" w:pos="1733"/>
              </w:tabs>
              <w:autoSpaceDE w:val="0"/>
              <w:autoSpaceDN w:val="0"/>
              <w:adjustRightInd w:val="0"/>
              <w:ind w:right="321"/>
              <w:rPr>
                <w:rFonts w:eastAsia="SimSun"/>
                <w:sz w:val="16"/>
                <w:szCs w:val="16"/>
              </w:rPr>
            </w:pPr>
            <w:r w:rsidRPr="001E6DFD">
              <w:rPr>
                <w:rFonts w:eastAsia="SimSun"/>
                <w:sz w:val="16"/>
                <w:szCs w:val="16"/>
              </w:rPr>
              <w:t xml:space="preserve">Résultats des enquêtes </w:t>
            </w:r>
            <w:r w:rsidR="00FA22F6" w:rsidRPr="001E6DFD">
              <w:rPr>
                <w:rFonts w:eastAsia="SimSun"/>
                <w:sz w:val="16"/>
                <w:szCs w:val="16"/>
              </w:rPr>
              <w:t>de 2009</w:t>
            </w:r>
            <w:r w:rsidRPr="001E6DFD">
              <w:rPr>
                <w:rFonts w:eastAsia="SimSun"/>
                <w:sz w:val="16"/>
                <w:szCs w:val="16"/>
              </w:rPr>
              <w:t xml:space="preserve"> et </w:t>
            </w:r>
            <w:r w:rsidR="00FA22F6" w:rsidRPr="001E6DFD">
              <w:rPr>
                <w:rFonts w:eastAsia="SimSun"/>
                <w:sz w:val="16"/>
                <w:szCs w:val="16"/>
              </w:rPr>
              <w:t>de 2015</w:t>
            </w:r>
          </w:p>
        </w:tc>
        <w:tc>
          <w:tcPr>
            <w:tcW w:w="647" w:type="pct"/>
            <w:shd w:val="clear" w:color="auto" w:fill="auto"/>
            <w:tcMar>
              <w:top w:w="110" w:type="dxa"/>
              <w:left w:w="43" w:type="dxa"/>
              <w:right w:w="43" w:type="dxa"/>
            </w:tcMar>
          </w:tcPr>
          <w:p w14:paraId="324F88CC" w14:textId="1078A8F6"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Augmenter ou du moins maintenir le degré de satisfaction des utilisateurs</w:t>
            </w:r>
            <w:r w:rsidR="00FA22F6" w:rsidRPr="001E6DFD">
              <w:rPr>
                <w:rFonts w:eastAsia="SimSun"/>
                <w:sz w:val="16"/>
                <w:szCs w:val="16"/>
              </w:rPr>
              <w:t xml:space="preserve"> du PCT</w:t>
            </w:r>
            <w:r w:rsidR="00BA5EA9" w:rsidRPr="001E6DFD">
              <w:rPr>
                <w:rFonts w:eastAsia="SimSun"/>
                <w:sz w:val="16"/>
                <w:szCs w:val="16"/>
              </w:rPr>
              <w:t xml:space="preserve"> </w:t>
            </w:r>
          </w:p>
        </w:tc>
        <w:tc>
          <w:tcPr>
            <w:tcW w:w="1358" w:type="pct"/>
            <w:shd w:val="clear" w:color="auto" w:fill="FFFFFF"/>
            <w:tcMar>
              <w:top w:w="110" w:type="dxa"/>
              <w:left w:w="58" w:type="dxa"/>
              <w:right w:w="58" w:type="dxa"/>
            </w:tcMar>
          </w:tcPr>
          <w:p w14:paraId="303FBFDE" w14:textId="4143B6A9" w:rsidR="00BA5EA9" w:rsidRPr="001E6DFD" w:rsidRDefault="00C47687" w:rsidP="0097226C">
            <w:pPr>
              <w:rPr>
                <w:sz w:val="16"/>
                <w:szCs w:val="16"/>
              </w:rPr>
            </w:pPr>
            <w:r w:rsidRPr="001E6DFD">
              <w:rPr>
                <w:rFonts w:eastAsia="SimSun"/>
                <w:sz w:val="16"/>
                <w:szCs w:val="16"/>
              </w:rPr>
              <w:t>L</w:t>
            </w:r>
            <w:r w:rsidR="00FA22F6" w:rsidRPr="001E6DFD">
              <w:rPr>
                <w:rFonts w:eastAsia="SimSun"/>
                <w:sz w:val="16"/>
                <w:szCs w:val="16"/>
              </w:rPr>
              <w:t>’</w:t>
            </w:r>
            <w:r w:rsidRPr="001E6DFD">
              <w:rPr>
                <w:rFonts w:eastAsia="SimSun"/>
                <w:sz w:val="16"/>
                <w:szCs w:val="16"/>
              </w:rPr>
              <w:t>enquête de satisfaction est menée une fois par exercice biennal</w:t>
            </w:r>
            <w:r w:rsidR="00BA5EA9" w:rsidRPr="001E6DFD">
              <w:rPr>
                <w:rFonts w:eastAsia="SimSun"/>
                <w:sz w:val="16"/>
                <w:szCs w:val="16"/>
              </w:rPr>
              <w:t xml:space="preserve">;  </w:t>
            </w:r>
            <w:r w:rsidR="00554164" w:rsidRPr="001E6DFD">
              <w:rPr>
                <w:rFonts w:eastAsia="SimSun"/>
                <w:sz w:val="16"/>
                <w:szCs w:val="16"/>
              </w:rPr>
              <w:t xml:space="preserve">la prochaine enquête aura lieu </w:t>
            </w:r>
            <w:r w:rsidR="00FA22F6" w:rsidRPr="001E6DFD">
              <w:rPr>
                <w:rFonts w:eastAsia="SimSun"/>
                <w:sz w:val="16"/>
                <w:szCs w:val="16"/>
              </w:rPr>
              <w:t>en 2017</w:t>
            </w:r>
          </w:p>
        </w:tc>
        <w:tc>
          <w:tcPr>
            <w:tcW w:w="554" w:type="pct"/>
            <w:shd w:val="clear" w:color="auto" w:fill="auto"/>
            <w:tcMar>
              <w:top w:w="110" w:type="dxa"/>
              <w:left w:w="58" w:type="dxa"/>
              <w:right w:w="58" w:type="dxa"/>
            </w:tcMar>
          </w:tcPr>
          <w:p w14:paraId="470282F8" w14:textId="2C31F44A" w:rsidR="00BA5EA9" w:rsidRPr="001E6DFD" w:rsidRDefault="00B649F5" w:rsidP="006C4DF8">
            <w:pPr>
              <w:keepNext/>
              <w:keepLines/>
              <w:jc w:val="center"/>
              <w:rPr>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0F97394C" w14:textId="77777777" w:rsidTr="0097226C">
        <w:tc>
          <w:tcPr>
            <w:tcW w:w="993" w:type="pct"/>
            <w:shd w:val="clear" w:color="auto" w:fill="auto"/>
            <w:tcMar>
              <w:left w:w="58" w:type="dxa"/>
              <w:right w:w="58" w:type="dxa"/>
            </w:tcMar>
          </w:tcPr>
          <w:p w14:paraId="0235A633" w14:textId="2704DBA9"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 xml:space="preserve">Satisfaction des offices et des administrations internationales </w:t>
            </w:r>
            <w:r w:rsidR="00FA22F6" w:rsidRPr="001E6DFD">
              <w:rPr>
                <w:rFonts w:eastAsia="SimSun"/>
                <w:sz w:val="16"/>
                <w:szCs w:val="16"/>
              </w:rPr>
              <w:t>à l’égard</w:t>
            </w:r>
            <w:r w:rsidRPr="001E6DFD">
              <w:rPr>
                <w:rFonts w:eastAsia="SimSun"/>
                <w:sz w:val="16"/>
                <w:szCs w:val="16"/>
              </w:rPr>
              <w:t xml:space="preserve"> des activités de coopération du PCT</w:t>
            </w:r>
          </w:p>
        </w:tc>
        <w:tc>
          <w:tcPr>
            <w:tcW w:w="1447" w:type="pct"/>
            <w:shd w:val="clear" w:color="auto" w:fill="auto"/>
            <w:tcMar>
              <w:left w:w="58" w:type="dxa"/>
              <w:right w:w="58" w:type="dxa"/>
            </w:tcMar>
          </w:tcPr>
          <w:p w14:paraId="1C059E47" w14:textId="66A67B1B"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74D50BD8" w14:textId="20817672" w:rsidR="00FA22F6" w:rsidRPr="001E6DFD" w:rsidRDefault="00BA5EA9" w:rsidP="0097226C">
            <w:pPr>
              <w:rPr>
                <w:color w:val="002060"/>
                <w:sz w:val="16"/>
                <w:szCs w:val="16"/>
              </w:rPr>
            </w:pPr>
            <w:r w:rsidRPr="001E6DFD">
              <w:rPr>
                <w:color w:val="002060"/>
                <w:sz w:val="16"/>
                <w:szCs w:val="16"/>
              </w:rPr>
              <w:t xml:space="preserve">96% (58 </w:t>
            </w:r>
            <w:r w:rsidR="00AC7D97" w:rsidRPr="001E6DFD">
              <w:rPr>
                <w:color w:val="002060"/>
                <w:sz w:val="16"/>
                <w:szCs w:val="16"/>
              </w:rPr>
              <w:t>des</w:t>
            </w:r>
            <w:r w:rsidRPr="001E6DFD">
              <w:rPr>
                <w:color w:val="002060"/>
                <w:sz w:val="16"/>
                <w:szCs w:val="16"/>
              </w:rPr>
              <w:t xml:space="preserve"> 60</w:t>
            </w:r>
            <w:r w:rsidR="00B4191E">
              <w:rPr>
                <w:color w:val="002060"/>
                <w:sz w:val="16"/>
                <w:szCs w:val="16"/>
              </w:rPr>
              <w:t> </w:t>
            </w:r>
            <w:r w:rsidR="00AC7D97" w:rsidRPr="001E6DFD">
              <w:rPr>
                <w:rFonts w:eastAsia="SimSun"/>
                <w:color w:val="002060"/>
                <w:sz w:val="16"/>
                <w:szCs w:val="16"/>
              </w:rPr>
              <w:t>bénéficiaires des activités de coopération</w:t>
            </w:r>
            <w:r w:rsidR="00FA22F6" w:rsidRPr="001E6DFD">
              <w:rPr>
                <w:rFonts w:eastAsia="SimSun"/>
                <w:color w:val="002060"/>
                <w:sz w:val="16"/>
                <w:szCs w:val="16"/>
              </w:rPr>
              <w:t xml:space="preserve"> du PCT</w:t>
            </w:r>
            <w:r w:rsidRPr="001E6DFD">
              <w:rPr>
                <w:color w:val="002060"/>
                <w:sz w:val="16"/>
                <w:szCs w:val="16"/>
              </w:rPr>
              <w:t>);</w:t>
            </w:r>
          </w:p>
          <w:p w14:paraId="51AB9CF3" w14:textId="09A44EC1" w:rsidR="001F64B1" w:rsidRPr="001E6DFD" w:rsidRDefault="00BA5EA9" w:rsidP="0097226C">
            <w:pPr>
              <w:rPr>
                <w:color w:val="002060"/>
                <w:sz w:val="16"/>
                <w:szCs w:val="16"/>
              </w:rPr>
            </w:pPr>
            <w:r w:rsidRPr="001E6DFD">
              <w:rPr>
                <w:color w:val="002060"/>
                <w:sz w:val="16"/>
                <w:szCs w:val="16"/>
              </w:rPr>
              <w:t xml:space="preserve">95% (58 </w:t>
            </w:r>
            <w:r w:rsidR="00AC7D97" w:rsidRPr="001E6DFD">
              <w:rPr>
                <w:color w:val="002060"/>
                <w:sz w:val="16"/>
                <w:szCs w:val="16"/>
              </w:rPr>
              <w:t>des</w:t>
            </w:r>
            <w:r w:rsidRPr="001E6DFD">
              <w:rPr>
                <w:color w:val="002060"/>
                <w:sz w:val="16"/>
                <w:szCs w:val="16"/>
              </w:rPr>
              <w:t xml:space="preserve"> 61</w:t>
            </w:r>
            <w:r w:rsidR="00B4191E">
              <w:rPr>
                <w:color w:val="002060"/>
                <w:sz w:val="16"/>
                <w:szCs w:val="16"/>
              </w:rPr>
              <w:t> </w:t>
            </w:r>
            <w:r w:rsidR="00AC7D97" w:rsidRPr="001E6DFD">
              <w:rPr>
                <w:color w:val="002060"/>
                <w:sz w:val="16"/>
                <w:szCs w:val="16"/>
              </w:rPr>
              <w:t>participants</w:t>
            </w:r>
            <w:r w:rsidRPr="001E6DFD">
              <w:rPr>
                <w:color w:val="002060"/>
                <w:sz w:val="16"/>
                <w:szCs w:val="16"/>
              </w:rPr>
              <w:t>) (</w:t>
            </w:r>
            <w:r w:rsidR="00AC7D97" w:rsidRPr="001E6DFD">
              <w:rPr>
                <w:color w:val="002060"/>
                <w:sz w:val="16"/>
                <w:szCs w:val="16"/>
              </w:rPr>
              <w:t xml:space="preserve">enquête </w:t>
            </w:r>
            <w:r w:rsidR="00FA22F6" w:rsidRPr="001E6DFD">
              <w:rPr>
                <w:color w:val="002060"/>
                <w:sz w:val="16"/>
                <w:szCs w:val="16"/>
              </w:rPr>
              <w:t>de 2016</w:t>
            </w:r>
            <w:r w:rsidRPr="001E6DFD">
              <w:rPr>
                <w:color w:val="002060"/>
                <w:sz w:val="16"/>
                <w:szCs w:val="16"/>
              </w:rPr>
              <w:t>)</w:t>
            </w:r>
          </w:p>
          <w:p w14:paraId="3FB0FEBA" w14:textId="77777777" w:rsidR="001F64B1" w:rsidRPr="001E6DFD" w:rsidRDefault="001F64B1" w:rsidP="0097226C">
            <w:pPr>
              <w:rPr>
                <w:sz w:val="16"/>
                <w:szCs w:val="16"/>
              </w:rPr>
            </w:pPr>
          </w:p>
          <w:p w14:paraId="6D2EA15B" w14:textId="4E9C67BD"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50BE31C" w14:textId="197FA4DC" w:rsidR="00BA5EA9" w:rsidRPr="001E6DFD" w:rsidRDefault="00463DF3" w:rsidP="0097226C">
            <w:pPr>
              <w:widowControl w:val="0"/>
              <w:tabs>
                <w:tab w:val="left" w:pos="1733"/>
              </w:tabs>
              <w:autoSpaceDE w:val="0"/>
              <w:autoSpaceDN w:val="0"/>
              <w:adjustRightInd w:val="0"/>
              <w:ind w:right="321"/>
              <w:rPr>
                <w:rFonts w:eastAsia="SimSun"/>
                <w:sz w:val="16"/>
                <w:szCs w:val="16"/>
              </w:rPr>
            </w:pPr>
            <w:r w:rsidRPr="001E6DFD">
              <w:rPr>
                <w:rFonts w:eastAsia="SimSun"/>
                <w:sz w:val="16"/>
                <w:szCs w:val="16"/>
              </w:rPr>
              <w:t>56 (soit 95% des 59</w:t>
            </w:r>
            <w:r w:rsidR="00B4191E">
              <w:rPr>
                <w:rFonts w:eastAsia="SimSun"/>
                <w:sz w:val="16"/>
                <w:szCs w:val="16"/>
              </w:rPr>
              <w:t> </w:t>
            </w:r>
            <w:r w:rsidRPr="001E6DFD">
              <w:rPr>
                <w:rFonts w:eastAsia="SimSun"/>
                <w:sz w:val="16"/>
                <w:szCs w:val="16"/>
              </w:rPr>
              <w:t>bénéficiaires des activités de coopération</w:t>
            </w:r>
            <w:r w:rsidR="00FA22F6" w:rsidRPr="001E6DFD">
              <w:rPr>
                <w:rFonts w:eastAsia="SimSun"/>
                <w:sz w:val="16"/>
                <w:szCs w:val="16"/>
              </w:rPr>
              <w:t xml:space="preserve"> du PCT</w:t>
            </w:r>
            <w:r w:rsidRPr="001E6DFD">
              <w:rPr>
                <w:rFonts w:eastAsia="SimSun"/>
                <w:sz w:val="16"/>
                <w:szCs w:val="16"/>
              </w:rPr>
              <w:t>;  85% des 66</w:t>
            </w:r>
            <w:r w:rsidR="00B4191E">
              <w:rPr>
                <w:rFonts w:eastAsia="SimSun"/>
                <w:sz w:val="16"/>
                <w:szCs w:val="16"/>
              </w:rPr>
              <w:t> </w:t>
            </w:r>
            <w:r w:rsidRPr="001E6DFD">
              <w:rPr>
                <w:rFonts w:eastAsia="SimSun"/>
                <w:sz w:val="16"/>
                <w:szCs w:val="16"/>
              </w:rPr>
              <w:t xml:space="preserve">participants) (enquête </w:t>
            </w:r>
            <w:r w:rsidR="00FA22F6" w:rsidRPr="001E6DFD">
              <w:rPr>
                <w:rFonts w:eastAsia="SimSun"/>
                <w:sz w:val="16"/>
                <w:szCs w:val="16"/>
              </w:rPr>
              <w:t>de 2012</w:t>
            </w:r>
            <w:r w:rsidRPr="001E6DFD">
              <w:rPr>
                <w:rFonts w:eastAsia="SimSun"/>
                <w:sz w:val="16"/>
                <w:szCs w:val="16"/>
              </w:rPr>
              <w:t>)</w:t>
            </w:r>
            <w:r w:rsidR="00C47687" w:rsidRPr="001E6DFD">
              <w:rPr>
                <w:rFonts w:eastAsia="SimSun"/>
                <w:sz w:val="16"/>
                <w:szCs w:val="16"/>
              </w:rPr>
              <w:t xml:space="preserve">. </w:t>
            </w:r>
            <w:r w:rsidRPr="001E6DFD">
              <w:rPr>
                <w:rFonts w:eastAsia="SimSun"/>
                <w:sz w:val="16"/>
                <w:szCs w:val="16"/>
              </w:rPr>
              <w:t xml:space="preserve"> L</w:t>
            </w:r>
            <w:r w:rsidR="00FA22F6" w:rsidRPr="001E6DFD">
              <w:rPr>
                <w:rFonts w:eastAsia="SimSun"/>
                <w:sz w:val="16"/>
                <w:szCs w:val="16"/>
              </w:rPr>
              <w:t>’</w:t>
            </w:r>
            <w:r w:rsidRPr="001E6DFD">
              <w:rPr>
                <w:rFonts w:eastAsia="SimSun"/>
                <w:sz w:val="16"/>
                <w:szCs w:val="16"/>
              </w:rPr>
              <w:t>enquête de satisfaction est menée une fois par exercice biennal.</w:t>
            </w:r>
          </w:p>
        </w:tc>
        <w:tc>
          <w:tcPr>
            <w:tcW w:w="647" w:type="pct"/>
            <w:shd w:val="clear" w:color="auto" w:fill="auto"/>
            <w:tcMar>
              <w:top w:w="110" w:type="dxa"/>
              <w:left w:w="43" w:type="dxa"/>
              <w:right w:w="43" w:type="dxa"/>
            </w:tcMar>
          </w:tcPr>
          <w:p w14:paraId="241473BA" w14:textId="77777777"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Maintenir le degré de satisfaction des bureaux et administrations internationales enregistré en 2015.</w:t>
            </w:r>
          </w:p>
        </w:tc>
        <w:tc>
          <w:tcPr>
            <w:tcW w:w="1358" w:type="pct"/>
            <w:shd w:val="clear" w:color="auto" w:fill="FFFFFF"/>
            <w:tcMar>
              <w:top w:w="110" w:type="dxa"/>
              <w:left w:w="58" w:type="dxa"/>
              <w:right w:w="58" w:type="dxa"/>
            </w:tcMar>
          </w:tcPr>
          <w:p w14:paraId="3FA87625" w14:textId="1C720E90" w:rsidR="00BA5EA9" w:rsidRPr="001E6DFD" w:rsidRDefault="00F32543" w:rsidP="0097226C">
            <w:pPr>
              <w:keepNext/>
              <w:keepLines/>
              <w:rPr>
                <w:sz w:val="16"/>
                <w:szCs w:val="16"/>
              </w:rPr>
            </w:pPr>
            <w:r w:rsidRPr="001E6DFD">
              <w:rPr>
                <w:rFonts w:eastAsia="SimSun"/>
                <w:sz w:val="16"/>
                <w:szCs w:val="16"/>
              </w:rPr>
              <w:t>L</w:t>
            </w:r>
            <w:r w:rsidR="00FA22F6" w:rsidRPr="001E6DFD">
              <w:rPr>
                <w:rFonts w:eastAsia="SimSun"/>
                <w:sz w:val="16"/>
                <w:szCs w:val="16"/>
              </w:rPr>
              <w:t>’</w:t>
            </w:r>
            <w:r w:rsidRPr="001E6DFD">
              <w:rPr>
                <w:rFonts w:eastAsia="SimSun"/>
                <w:sz w:val="16"/>
                <w:szCs w:val="16"/>
              </w:rPr>
              <w:t xml:space="preserve">enquête de satisfaction est menée une fois par exercice biennal;  la prochaine enquête aura lieu </w:t>
            </w:r>
            <w:r w:rsidR="00FA22F6" w:rsidRPr="001E6DFD">
              <w:rPr>
                <w:rFonts w:eastAsia="SimSun"/>
                <w:sz w:val="16"/>
                <w:szCs w:val="16"/>
              </w:rPr>
              <w:t>en 2017</w:t>
            </w:r>
          </w:p>
        </w:tc>
        <w:tc>
          <w:tcPr>
            <w:tcW w:w="554" w:type="pct"/>
            <w:shd w:val="clear" w:color="auto" w:fill="auto"/>
            <w:tcMar>
              <w:top w:w="110" w:type="dxa"/>
              <w:left w:w="58" w:type="dxa"/>
              <w:right w:w="58" w:type="dxa"/>
            </w:tcMar>
          </w:tcPr>
          <w:p w14:paraId="3CC93F89" w14:textId="283411C7" w:rsidR="00BA5EA9" w:rsidRPr="001E6DFD" w:rsidRDefault="00B649F5" w:rsidP="0097226C">
            <w:pPr>
              <w:keepNext/>
              <w:keepLines/>
              <w:jc w:val="center"/>
              <w:rPr>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6F564044" w14:textId="77777777" w:rsidTr="0097226C">
        <w:tc>
          <w:tcPr>
            <w:tcW w:w="993" w:type="pct"/>
            <w:shd w:val="clear" w:color="auto" w:fill="auto"/>
            <w:tcMar>
              <w:left w:w="58" w:type="dxa"/>
              <w:right w:w="58" w:type="dxa"/>
            </w:tcMar>
          </w:tcPr>
          <w:p w14:paraId="377DD9DF" w14:textId="77777777"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Amélioration du système du PCT, notamment mise en œuvre des recommandations des lignes directrices du PCT approuvées par les États membres du PCT</w:t>
            </w:r>
          </w:p>
        </w:tc>
        <w:tc>
          <w:tcPr>
            <w:tcW w:w="1447" w:type="pct"/>
            <w:shd w:val="clear" w:color="auto" w:fill="auto"/>
            <w:tcMar>
              <w:left w:w="58" w:type="dxa"/>
              <w:right w:w="58" w:type="dxa"/>
            </w:tcMar>
          </w:tcPr>
          <w:p w14:paraId="2BEB6D79" w14:textId="3C672C77"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0C99CBCE" w14:textId="1EA8C45B" w:rsidR="00FA22F6" w:rsidRPr="001E6DFD" w:rsidRDefault="00EC540A" w:rsidP="0097226C">
            <w:pPr>
              <w:rPr>
                <w:color w:val="002060"/>
                <w:sz w:val="16"/>
                <w:szCs w:val="16"/>
                <w:lang w:bidi="th-TH"/>
              </w:rPr>
            </w:pPr>
            <w:r w:rsidRPr="001E6DFD">
              <w:rPr>
                <w:color w:val="002060"/>
                <w:sz w:val="16"/>
                <w:szCs w:val="16"/>
                <w:lang w:bidi="th-TH"/>
              </w:rPr>
              <w:t>En 2014</w:t>
            </w:r>
            <w:r w:rsidR="006A41CF" w:rsidRPr="001E6DFD">
              <w:rPr>
                <w:color w:val="002060"/>
                <w:sz w:val="16"/>
                <w:szCs w:val="16"/>
                <w:lang w:bidi="th-TH"/>
              </w:rPr>
              <w:noBreakHyphen/>
            </w:r>
            <w:r w:rsidRPr="001E6DFD">
              <w:rPr>
                <w:color w:val="002060"/>
                <w:sz w:val="16"/>
                <w:szCs w:val="16"/>
                <w:lang w:bidi="th-TH"/>
              </w:rPr>
              <w:t>2015, des progrès ont été accomplis pour favoriser la réalisation des objectifs du traité, dans l</w:t>
            </w:r>
            <w:r w:rsidR="00FA22F6" w:rsidRPr="001E6DFD">
              <w:rPr>
                <w:color w:val="002060"/>
                <w:sz w:val="16"/>
                <w:szCs w:val="16"/>
                <w:lang w:bidi="th-TH"/>
              </w:rPr>
              <w:t>’</w:t>
            </w:r>
            <w:r w:rsidRPr="001E6DFD">
              <w:rPr>
                <w:color w:val="002060"/>
                <w:sz w:val="16"/>
                <w:szCs w:val="16"/>
                <w:lang w:bidi="th-TH"/>
              </w:rPr>
              <w:t>intérêt de toutes les parties prenantes et conformément aux lignes directrices du PCT approuvées par les États contractants du PCT, sur les points suivants</w:t>
            </w:r>
            <w:r w:rsidR="00FA22F6" w:rsidRPr="001E6DFD">
              <w:rPr>
                <w:color w:val="002060"/>
                <w:sz w:val="16"/>
                <w:szCs w:val="16"/>
                <w:lang w:bidi="th-TH"/>
              </w:rPr>
              <w:t> :</w:t>
            </w:r>
          </w:p>
          <w:p w14:paraId="500F0D6A" w14:textId="1C46EFF1" w:rsidR="00EC540A" w:rsidRPr="001E6DFD" w:rsidRDefault="00EC540A" w:rsidP="0097226C">
            <w:pPr>
              <w:rPr>
                <w:color w:val="002060"/>
                <w:sz w:val="16"/>
                <w:szCs w:val="16"/>
                <w:lang w:bidi="th-TH"/>
              </w:rPr>
            </w:pPr>
            <w:r w:rsidRPr="001E6DFD">
              <w:rPr>
                <w:color w:val="002060"/>
                <w:sz w:val="16"/>
                <w:szCs w:val="16"/>
                <w:lang w:bidi="th-TH"/>
              </w:rPr>
              <w:t>a) Accord des États membres sur les critères à remplir pour bénéficier d</w:t>
            </w:r>
            <w:r w:rsidR="00FA22F6" w:rsidRPr="001E6DFD">
              <w:rPr>
                <w:color w:val="002060"/>
                <w:sz w:val="16"/>
                <w:szCs w:val="16"/>
                <w:lang w:bidi="th-TH"/>
              </w:rPr>
              <w:t>’</w:t>
            </w:r>
            <w:r w:rsidRPr="001E6DFD">
              <w:rPr>
                <w:color w:val="002060"/>
                <w:sz w:val="16"/>
                <w:szCs w:val="16"/>
                <w:lang w:bidi="th-TH"/>
              </w:rPr>
              <w:t>une réduction des taxes;</w:t>
            </w:r>
          </w:p>
          <w:p w14:paraId="6C82726C" w14:textId="1D6D584C" w:rsidR="00EC540A" w:rsidRPr="001E6DFD" w:rsidRDefault="00EC540A" w:rsidP="0097226C">
            <w:pPr>
              <w:rPr>
                <w:color w:val="002060"/>
                <w:sz w:val="16"/>
                <w:szCs w:val="16"/>
                <w:lang w:bidi="th-TH"/>
              </w:rPr>
            </w:pPr>
            <w:r w:rsidRPr="001E6DFD">
              <w:rPr>
                <w:color w:val="002060"/>
                <w:sz w:val="16"/>
                <w:szCs w:val="16"/>
                <w:lang w:bidi="th-TH"/>
              </w:rPr>
              <w:lastRenderedPageBreak/>
              <w:t>b) Accord des États membres sur des procédures révisées de nomination des administrations chargées de la recherche internationale et administrations chargées de l</w:t>
            </w:r>
            <w:r w:rsidR="00FA22F6" w:rsidRPr="001E6DFD">
              <w:rPr>
                <w:color w:val="002060"/>
                <w:sz w:val="16"/>
                <w:szCs w:val="16"/>
                <w:lang w:bidi="th-TH"/>
              </w:rPr>
              <w:t>’</w:t>
            </w:r>
            <w:r w:rsidRPr="001E6DFD">
              <w:rPr>
                <w:color w:val="002060"/>
                <w:sz w:val="16"/>
                <w:szCs w:val="16"/>
                <w:lang w:bidi="th-TH"/>
              </w:rPr>
              <w:t>examen préliminaire international;</w:t>
            </w:r>
          </w:p>
          <w:p w14:paraId="636C8E0C" w14:textId="77777777" w:rsidR="00EC540A" w:rsidRPr="001E6DFD" w:rsidRDefault="00EC540A" w:rsidP="0097226C">
            <w:pPr>
              <w:rPr>
                <w:color w:val="002060"/>
                <w:sz w:val="16"/>
                <w:szCs w:val="16"/>
                <w:lang w:bidi="th-TH"/>
              </w:rPr>
            </w:pPr>
            <w:r w:rsidRPr="001E6DFD">
              <w:rPr>
                <w:color w:val="002060"/>
                <w:sz w:val="16"/>
                <w:szCs w:val="16"/>
                <w:lang w:bidi="th-TH"/>
              </w:rPr>
              <w:t>c) Accord des États membres sur le partage des résultats des travaux de recherche relatifs aux demandes antérieures pour améliorer la qualité et le respect des délais en ce qui concerne les produits du travail du PCT;</w:t>
            </w:r>
          </w:p>
          <w:p w14:paraId="56924317" w14:textId="62495EC8" w:rsidR="00EC540A" w:rsidRPr="001E6DFD" w:rsidRDefault="00EC540A" w:rsidP="0097226C">
            <w:pPr>
              <w:rPr>
                <w:color w:val="002060"/>
                <w:sz w:val="16"/>
                <w:szCs w:val="16"/>
                <w:lang w:bidi="th-TH"/>
              </w:rPr>
            </w:pPr>
            <w:r w:rsidRPr="001E6DFD">
              <w:rPr>
                <w:color w:val="002060"/>
                <w:sz w:val="16"/>
                <w:szCs w:val="16"/>
                <w:lang w:bidi="th-TH"/>
              </w:rPr>
              <w:t xml:space="preserve">d) Mise en œuvre du nouveau service </w:t>
            </w:r>
            <w:proofErr w:type="spellStart"/>
            <w:r w:rsidRPr="001E6DFD">
              <w:rPr>
                <w:color w:val="002060"/>
                <w:sz w:val="16"/>
                <w:szCs w:val="16"/>
                <w:lang w:bidi="th-TH"/>
              </w:rPr>
              <w:t>eSearchCopy</w:t>
            </w:r>
            <w:proofErr w:type="spellEnd"/>
            <w:r w:rsidRPr="001E6DFD">
              <w:rPr>
                <w:color w:val="002060"/>
                <w:sz w:val="16"/>
                <w:szCs w:val="16"/>
                <w:lang w:bidi="th-TH"/>
              </w:rPr>
              <w:t xml:space="preserve"> pour la transmission plus rapide et plus efficace des demandes aux fins de la recherche internationale; </w:t>
            </w:r>
            <w:r w:rsidR="004D421A" w:rsidRPr="001E6DFD">
              <w:rPr>
                <w:color w:val="002060"/>
                <w:sz w:val="16"/>
                <w:szCs w:val="16"/>
                <w:lang w:bidi="th-TH"/>
              </w:rPr>
              <w:t xml:space="preserve"> </w:t>
            </w:r>
            <w:r w:rsidRPr="001E6DFD">
              <w:rPr>
                <w:color w:val="002060"/>
                <w:sz w:val="16"/>
                <w:szCs w:val="16"/>
                <w:lang w:bidi="th-TH"/>
              </w:rPr>
              <w:t>et</w:t>
            </w:r>
          </w:p>
          <w:p w14:paraId="4424B64D" w14:textId="0227AAE4" w:rsidR="001F64B1" w:rsidRPr="001E6DFD" w:rsidRDefault="00EC540A" w:rsidP="0097226C">
            <w:pPr>
              <w:rPr>
                <w:color w:val="002060"/>
                <w:sz w:val="16"/>
                <w:szCs w:val="16"/>
                <w:lang w:bidi="th-TH"/>
              </w:rPr>
            </w:pPr>
            <w:r w:rsidRPr="001E6DFD">
              <w:rPr>
                <w:color w:val="002060"/>
                <w:sz w:val="16"/>
                <w:szCs w:val="16"/>
                <w:lang w:bidi="th-TH"/>
              </w:rPr>
              <w:t>e) Accord visant à demander aux offices de transmettre au Bureau international des informations opportunes sur l</w:t>
            </w:r>
            <w:r w:rsidR="00FA22F6" w:rsidRPr="001E6DFD">
              <w:rPr>
                <w:color w:val="002060"/>
                <w:sz w:val="16"/>
                <w:szCs w:val="16"/>
                <w:lang w:bidi="th-TH"/>
              </w:rPr>
              <w:t>’</w:t>
            </w:r>
            <w:r w:rsidRPr="001E6DFD">
              <w:rPr>
                <w:color w:val="002060"/>
                <w:sz w:val="16"/>
                <w:szCs w:val="16"/>
                <w:lang w:bidi="th-TH"/>
              </w:rPr>
              <w:t>ouverture de la phase nationale, afin de disposer d</w:t>
            </w:r>
            <w:r w:rsidR="00FA22F6" w:rsidRPr="001E6DFD">
              <w:rPr>
                <w:color w:val="002060"/>
                <w:sz w:val="16"/>
                <w:szCs w:val="16"/>
                <w:lang w:bidi="th-TH"/>
              </w:rPr>
              <w:t>’</w:t>
            </w:r>
            <w:r w:rsidRPr="001E6DFD">
              <w:rPr>
                <w:color w:val="002060"/>
                <w:sz w:val="16"/>
                <w:szCs w:val="16"/>
                <w:lang w:bidi="th-TH"/>
              </w:rPr>
              <w:t>informations plus précises sur la situation juridique des brevets.</w:t>
            </w:r>
          </w:p>
          <w:p w14:paraId="4F7285DB" w14:textId="77777777" w:rsidR="001F64B1" w:rsidRPr="001E6DFD" w:rsidRDefault="001F64B1" w:rsidP="0097226C">
            <w:pPr>
              <w:rPr>
                <w:sz w:val="16"/>
                <w:szCs w:val="16"/>
              </w:rPr>
            </w:pPr>
          </w:p>
          <w:p w14:paraId="2A11E989" w14:textId="4735F2B4"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6D9D5F48" w14:textId="31FD9492" w:rsidR="00BA5EA9" w:rsidRPr="001E6DFD" w:rsidRDefault="00463DF3" w:rsidP="0097226C">
            <w:pPr>
              <w:widowControl w:val="0"/>
              <w:tabs>
                <w:tab w:val="left" w:pos="1931"/>
              </w:tabs>
              <w:autoSpaceDE w:val="0"/>
              <w:autoSpaceDN w:val="0"/>
              <w:adjustRightInd w:val="0"/>
              <w:ind w:right="4"/>
              <w:rPr>
                <w:rFonts w:eastAsia="SimSun"/>
                <w:sz w:val="16"/>
                <w:szCs w:val="16"/>
              </w:rPr>
            </w:pPr>
            <w:r w:rsidRPr="001E6DFD">
              <w:rPr>
                <w:rFonts w:eastAsia="SimSun"/>
                <w:sz w:val="16"/>
                <w:szCs w:val="16"/>
              </w:rPr>
              <w:t>Décisions prises par les organes compétents</w:t>
            </w:r>
            <w:r w:rsidR="00FA22F6" w:rsidRPr="001E6DFD">
              <w:rPr>
                <w:rFonts w:eastAsia="SimSun"/>
                <w:sz w:val="16"/>
                <w:szCs w:val="16"/>
              </w:rPr>
              <w:t xml:space="preserve"> du PCT</w:t>
            </w:r>
            <w:r w:rsidRPr="001E6DFD">
              <w:rPr>
                <w:rFonts w:eastAsia="SimSun"/>
                <w:sz w:val="16"/>
                <w:szCs w:val="16"/>
              </w:rPr>
              <w:t xml:space="preserve"> jusqu</w:t>
            </w:r>
            <w:r w:rsidR="00FA22F6" w:rsidRPr="001E6DFD">
              <w:rPr>
                <w:rFonts w:eastAsia="SimSun"/>
                <w:sz w:val="16"/>
                <w:szCs w:val="16"/>
              </w:rPr>
              <w:t>’</w:t>
            </w:r>
            <w:r w:rsidRPr="001E6DFD">
              <w:rPr>
                <w:rFonts w:eastAsia="SimSun"/>
                <w:sz w:val="16"/>
                <w:szCs w:val="16"/>
              </w:rPr>
              <w:t xml:space="preserve">à la fin </w:t>
            </w:r>
            <w:r w:rsidR="00FA22F6" w:rsidRPr="001E6DFD">
              <w:rPr>
                <w:rFonts w:eastAsia="SimSun"/>
                <w:sz w:val="16"/>
                <w:szCs w:val="16"/>
              </w:rPr>
              <w:t>de 2014</w:t>
            </w:r>
            <w:r w:rsidRPr="001E6DFD">
              <w:rPr>
                <w:rFonts w:eastAsia="SimSun"/>
                <w:sz w:val="16"/>
                <w:szCs w:val="16"/>
              </w:rPr>
              <w:t xml:space="preserve"> (document PCT/A/46/6)</w:t>
            </w:r>
          </w:p>
        </w:tc>
        <w:tc>
          <w:tcPr>
            <w:tcW w:w="647" w:type="pct"/>
            <w:shd w:val="clear" w:color="auto" w:fill="auto"/>
            <w:tcMar>
              <w:top w:w="110" w:type="dxa"/>
              <w:left w:w="43" w:type="dxa"/>
              <w:right w:w="43" w:type="dxa"/>
            </w:tcMar>
          </w:tcPr>
          <w:p w14:paraId="495D2FB0" w14:textId="1846081D"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lastRenderedPageBreak/>
              <w:t>Décisions prises par les organes compétents</w:t>
            </w:r>
            <w:r w:rsidR="00FA22F6" w:rsidRPr="001E6DFD">
              <w:rPr>
                <w:rFonts w:eastAsia="SimSun"/>
                <w:sz w:val="16"/>
                <w:szCs w:val="16"/>
              </w:rPr>
              <w:t xml:space="preserve"> du PCT</w:t>
            </w:r>
            <w:r w:rsidRPr="001E6DFD">
              <w:rPr>
                <w:rFonts w:eastAsia="SimSun"/>
                <w:sz w:val="16"/>
                <w:szCs w:val="16"/>
              </w:rPr>
              <w:t xml:space="preserve"> jusqu</w:t>
            </w:r>
            <w:r w:rsidR="00FA22F6" w:rsidRPr="001E6DFD">
              <w:rPr>
                <w:rFonts w:eastAsia="SimSun"/>
                <w:sz w:val="16"/>
                <w:szCs w:val="16"/>
              </w:rPr>
              <w:t>’</w:t>
            </w:r>
            <w:r w:rsidRPr="001E6DFD">
              <w:rPr>
                <w:rFonts w:eastAsia="SimSun"/>
                <w:sz w:val="16"/>
                <w:szCs w:val="16"/>
              </w:rPr>
              <w:t xml:space="preserve">à la fin </w:t>
            </w:r>
            <w:r w:rsidR="00FA22F6" w:rsidRPr="001E6DFD">
              <w:rPr>
                <w:rFonts w:eastAsia="SimSun"/>
                <w:sz w:val="16"/>
                <w:szCs w:val="16"/>
              </w:rPr>
              <w:t>de 2017</w:t>
            </w:r>
          </w:p>
        </w:tc>
        <w:tc>
          <w:tcPr>
            <w:tcW w:w="1358" w:type="pct"/>
            <w:shd w:val="clear" w:color="auto" w:fill="FFFFFF"/>
            <w:tcMar>
              <w:top w:w="110" w:type="dxa"/>
              <w:left w:w="58" w:type="dxa"/>
              <w:right w:w="58" w:type="dxa"/>
            </w:tcMar>
          </w:tcPr>
          <w:p w14:paraId="16FB4762" w14:textId="3C68830C" w:rsidR="001F64B1" w:rsidRPr="001303B4" w:rsidRDefault="00FA22F6" w:rsidP="0097226C">
            <w:pPr>
              <w:keepNext/>
              <w:keepLines/>
              <w:rPr>
                <w:sz w:val="16"/>
                <w:szCs w:val="16"/>
                <w:lang w:bidi="th-TH"/>
              </w:rPr>
            </w:pPr>
            <w:r w:rsidRPr="001E6DFD">
              <w:rPr>
                <w:sz w:val="16"/>
                <w:szCs w:val="16"/>
                <w:lang w:bidi="th-TH"/>
              </w:rPr>
              <w:t>En 2016</w:t>
            </w:r>
            <w:r w:rsidR="00961905" w:rsidRPr="001E6DFD">
              <w:rPr>
                <w:sz w:val="16"/>
                <w:szCs w:val="16"/>
                <w:lang w:bidi="th-TH"/>
              </w:rPr>
              <w:t>, le Groupe de travail</w:t>
            </w:r>
            <w:r w:rsidRPr="001E6DFD">
              <w:rPr>
                <w:sz w:val="16"/>
                <w:szCs w:val="16"/>
                <w:lang w:bidi="th-TH"/>
              </w:rPr>
              <w:t xml:space="preserve"> du PCT</w:t>
            </w:r>
            <w:r w:rsidR="00961905" w:rsidRPr="001E6DFD">
              <w:rPr>
                <w:sz w:val="16"/>
                <w:szCs w:val="16"/>
                <w:lang w:bidi="th-TH"/>
              </w:rPr>
              <w:t xml:space="preserve"> a poursuivi ses discussions visant à favoriser la réalisation des objectifs du traité, dans l</w:t>
            </w:r>
            <w:r w:rsidRPr="001E6DFD">
              <w:rPr>
                <w:sz w:val="16"/>
                <w:szCs w:val="16"/>
                <w:lang w:bidi="th-TH"/>
              </w:rPr>
              <w:t>’</w:t>
            </w:r>
            <w:r w:rsidR="00961905" w:rsidRPr="001E6DFD">
              <w:rPr>
                <w:sz w:val="16"/>
                <w:szCs w:val="16"/>
                <w:lang w:bidi="th-TH"/>
              </w:rPr>
              <w:t>intérêt de toutes les parties prenantes et conformément aux lignes directrices</w:t>
            </w:r>
            <w:r w:rsidRPr="001E6DFD">
              <w:rPr>
                <w:sz w:val="16"/>
                <w:szCs w:val="16"/>
                <w:lang w:bidi="th-TH"/>
              </w:rPr>
              <w:t xml:space="preserve"> du PCT</w:t>
            </w:r>
            <w:r w:rsidR="00961905" w:rsidRPr="001E6DFD">
              <w:rPr>
                <w:sz w:val="16"/>
                <w:szCs w:val="16"/>
                <w:lang w:bidi="th-TH"/>
              </w:rPr>
              <w:t xml:space="preserve"> approuvées par les États </w:t>
            </w:r>
            <w:r w:rsidR="00DB3B7D" w:rsidRPr="001E6DFD">
              <w:rPr>
                <w:sz w:val="16"/>
                <w:szCs w:val="16"/>
                <w:lang w:bidi="th-TH"/>
              </w:rPr>
              <w:t>contractants</w:t>
            </w:r>
            <w:r w:rsidRPr="001E6DFD">
              <w:rPr>
                <w:sz w:val="16"/>
                <w:szCs w:val="16"/>
                <w:lang w:bidi="th-TH"/>
              </w:rPr>
              <w:t xml:space="preserve"> du </w:t>
            </w:r>
            <w:r w:rsidR="004A4D21" w:rsidRPr="001E6DFD">
              <w:rPr>
                <w:sz w:val="16"/>
                <w:szCs w:val="16"/>
                <w:lang w:bidi="th-TH"/>
              </w:rPr>
              <w:t>PCT.  En</w:t>
            </w:r>
            <w:r w:rsidR="00DB3B7D" w:rsidRPr="001E6DFD">
              <w:rPr>
                <w:sz w:val="16"/>
                <w:szCs w:val="16"/>
                <w:lang w:bidi="th-TH"/>
              </w:rPr>
              <w:t xml:space="preserve">tre autres, le Groupe de travail a examiné les questions </w:t>
            </w:r>
            <w:r w:rsidR="00DB3B7D" w:rsidRPr="001303B4">
              <w:rPr>
                <w:sz w:val="16"/>
                <w:szCs w:val="16"/>
                <w:lang w:bidi="th-TH"/>
              </w:rPr>
              <w:t>suivantes</w:t>
            </w:r>
            <w:r w:rsidRPr="001303B4">
              <w:rPr>
                <w:sz w:val="16"/>
                <w:szCs w:val="16"/>
                <w:lang w:bidi="th-TH"/>
              </w:rPr>
              <w:t> :</w:t>
            </w:r>
          </w:p>
          <w:p w14:paraId="40EE4947" w14:textId="460DFC30" w:rsidR="001F64B1" w:rsidRPr="001E6DFD" w:rsidRDefault="00A12D2E" w:rsidP="00D544B8">
            <w:pPr>
              <w:pStyle w:val="ListParagraph"/>
              <w:keepNext/>
              <w:keepLines/>
              <w:numPr>
                <w:ilvl w:val="0"/>
                <w:numId w:val="8"/>
              </w:numPr>
              <w:ind w:left="288" w:hanging="288"/>
              <w:contextualSpacing w:val="0"/>
              <w:rPr>
                <w:rFonts w:ascii="Arial" w:hAnsi="Arial" w:cs="Arial"/>
                <w:sz w:val="16"/>
                <w:szCs w:val="16"/>
              </w:rPr>
            </w:pPr>
            <w:r w:rsidRPr="001E6DFD">
              <w:rPr>
                <w:rFonts w:ascii="Arial" w:hAnsi="Arial" w:cs="Arial"/>
                <w:sz w:val="16"/>
                <w:szCs w:val="16"/>
              </w:rPr>
              <w:t>l</w:t>
            </w:r>
            <w:r w:rsidR="006C7562" w:rsidRPr="001E6DFD">
              <w:rPr>
                <w:rFonts w:ascii="Arial" w:hAnsi="Arial" w:cs="Arial"/>
                <w:sz w:val="16"/>
                <w:szCs w:val="16"/>
              </w:rPr>
              <w:t xml:space="preserve">es services informatiques </w:t>
            </w:r>
            <w:r w:rsidR="00854420" w:rsidRPr="001E6DFD">
              <w:rPr>
                <w:rFonts w:ascii="Arial" w:hAnsi="Arial" w:cs="Arial"/>
                <w:sz w:val="16"/>
                <w:szCs w:val="16"/>
              </w:rPr>
              <w:t xml:space="preserve">qui </w:t>
            </w:r>
            <w:r w:rsidR="006C7562" w:rsidRPr="001E6DFD">
              <w:rPr>
                <w:rFonts w:ascii="Arial" w:hAnsi="Arial" w:cs="Arial"/>
                <w:sz w:val="16"/>
                <w:szCs w:val="16"/>
              </w:rPr>
              <w:t xml:space="preserve">offrent maintenant de nouvelles </w:t>
            </w:r>
            <w:r w:rsidR="00AA3C32" w:rsidRPr="001E6DFD">
              <w:rPr>
                <w:rFonts w:ascii="Arial" w:hAnsi="Arial" w:cs="Arial"/>
                <w:sz w:val="16"/>
                <w:szCs w:val="16"/>
              </w:rPr>
              <w:t xml:space="preserve">perspectives </w:t>
            </w:r>
            <w:r w:rsidR="006C7562" w:rsidRPr="001E6DFD">
              <w:rPr>
                <w:rFonts w:ascii="Arial" w:hAnsi="Arial" w:cs="Arial"/>
                <w:sz w:val="16"/>
                <w:szCs w:val="16"/>
              </w:rPr>
              <w:t xml:space="preserve">en </w:t>
            </w:r>
            <w:r w:rsidR="006C7562" w:rsidRPr="001E6DFD">
              <w:rPr>
                <w:rFonts w:ascii="Arial" w:hAnsi="Arial" w:cs="Arial"/>
                <w:sz w:val="16"/>
                <w:szCs w:val="16"/>
              </w:rPr>
              <w:lastRenderedPageBreak/>
              <w:t xml:space="preserve">matière de collaboration entre les </w:t>
            </w:r>
            <w:r w:rsidR="00854420" w:rsidRPr="001E6DFD">
              <w:rPr>
                <w:rFonts w:ascii="Arial" w:hAnsi="Arial" w:cs="Arial"/>
                <w:sz w:val="16"/>
                <w:szCs w:val="16"/>
              </w:rPr>
              <w:t>offices</w:t>
            </w:r>
            <w:r w:rsidR="006C7562" w:rsidRPr="001E6DFD">
              <w:rPr>
                <w:rFonts w:ascii="Arial" w:hAnsi="Arial" w:cs="Arial"/>
                <w:sz w:val="16"/>
                <w:szCs w:val="16"/>
              </w:rPr>
              <w:t>,</w:t>
            </w:r>
          </w:p>
          <w:p w14:paraId="02E4D5AB" w14:textId="0EEE6253" w:rsidR="00FA22F6" w:rsidRPr="001E6DFD" w:rsidRDefault="00A12D2E" w:rsidP="00D544B8">
            <w:pPr>
              <w:pStyle w:val="ListParagraph"/>
              <w:keepNext/>
              <w:keepLines/>
              <w:numPr>
                <w:ilvl w:val="0"/>
                <w:numId w:val="8"/>
              </w:numPr>
              <w:ind w:left="288" w:hanging="288"/>
              <w:contextualSpacing w:val="0"/>
              <w:rPr>
                <w:rFonts w:ascii="Arial" w:hAnsi="Arial" w:cs="Arial"/>
                <w:sz w:val="16"/>
                <w:szCs w:val="16"/>
              </w:rPr>
            </w:pPr>
            <w:r w:rsidRPr="001E6DFD">
              <w:rPr>
                <w:rFonts w:ascii="Arial" w:hAnsi="Arial" w:cs="Arial"/>
                <w:sz w:val="16"/>
                <w:szCs w:val="16"/>
              </w:rPr>
              <w:t>d</w:t>
            </w:r>
            <w:r w:rsidR="00701642" w:rsidRPr="001E6DFD">
              <w:rPr>
                <w:rFonts w:ascii="Arial" w:hAnsi="Arial" w:cs="Arial"/>
                <w:sz w:val="16"/>
                <w:szCs w:val="16"/>
              </w:rPr>
              <w:t>es moyens plus efficaces de collaborer et un meilleur partage de l</w:t>
            </w:r>
            <w:r w:rsidR="00FA22F6" w:rsidRPr="001E6DFD">
              <w:rPr>
                <w:rFonts w:ascii="Arial" w:hAnsi="Arial" w:cs="Arial"/>
                <w:sz w:val="16"/>
                <w:szCs w:val="16"/>
              </w:rPr>
              <w:t>’</w:t>
            </w:r>
            <w:r w:rsidR="00701642" w:rsidRPr="001E6DFD">
              <w:rPr>
                <w:rFonts w:ascii="Arial" w:hAnsi="Arial" w:cs="Arial"/>
                <w:sz w:val="16"/>
                <w:szCs w:val="16"/>
              </w:rPr>
              <w:t>information</w:t>
            </w:r>
            <w:r w:rsidR="00BA5EA9" w:rsidRPr="001E6DFD">
              <w:rPr>
                <w:rFonts w:ascii="Arial" w:hAnsi="Arial" w:cs="Arial"/>
                <w:sz w:val="16"/>
                <w:szCs w:val="16"/>
              </w:rPr>
              <w:t>;</w:t>
            </w:r>
          </w:p>
          <w:p w14:paraId="56075DEF" w14:textId="1637E89F" w:rsidR="00FA22F6" w:rsidRPr="001E6DFD" w:rsidRDefault="00A12D2E" w:rsidP="00D544B8">
            <w:pPr>
              <w:pStyle w:val="ListParagraph"/>
              <w:keepNext/>
              <w:keepLines/>
              <w:numPr>
                <w:ilvl w:val="0"/>
                <w:numId w:val="8"/>
              </w:numPr>
              <w:ind w:left="288" w:hanging="288"/>
              <w:contextualSpacing w:val="0"/>
              <w:rPr>
                <w:rFonts w:ascii="Arial" w:hAnsi="Arial" w:cs="Arial"/>
                <w:sz w:val="16"/>
                <w:szCs w:val="16"/>
              </w:rPr>
            </w:pPr>
            <w:r w:rsidRPr="001E6DFD">
              <w:rPr>
                <w:rFonts w:ascii="Arial" w:hAnsi="Arial" w:cs="Arial"/>
                <w:sz w:val="16"/>
                <w:szCs w:val="16"/>
              </w:rPr>
              <w:t>u</w:t>
            </w:r>
            <w:r w:rsidR="003061D9" w:rsidRPr="001E6DFD">
              <w:rPr>
                <w:rFonts w:ascii="Arial" w:hAnsi="Arial" w:cs="Arial"/>
                <w:sz w:val="16"/>
                <w:szCs w:val="16"/>
              </w:rPr>
              <w:t xml:space="preserve">ne proposition de réduction </w:t>
            </w:r>
            <w:r w:rsidR="0048299D" w:rsidRPr="001E6DFD">
              <w:rPr>
                <w:rFonts w:ascii="Arial" w:hAnsi="Arial" w:cs="Arial"/>
                <w:sz w:val="16"/>
                <w:szCs w:val="16"/>
              </w:rPr>
              <w:t>des taxes</w:t>
            </w:r>
            <w:r w:rsidR="00FA22F6" w:rsidRPr="001E6DFD">
              <w:rPr>
                <w:rFonts w:ascii="Arial" w:hAnsi="Arial" w:cs="Arial"/>
                <w:sz w:val="16"/>
                <w:szCs w:val="16"/>
              </w:rPr>
              <w:t xml:space="preserve"> du PCT</w:t>
            </w:r>
            <w:r w:rsidR="003061D9" w:rsidRPr="001E6DFD">
              <w:rPr>
                <w:rFonts w:ascii="Arial" w:hAnsi="Arial" w:cs="Arial"/>
                <w:sz w:val="16"/>
                <w:szCs w:val="16"/>
              </w:rPr>
              <w:t xml:space="preserve"> pour les universités et les instituts de recherche publics</w:t>
            </w:r>
            <w:r w:rsidR="00BA5EA9" w:rsidRPr="001E6DFD">
              <w:rPr>
                <w:rFonts w:ascii="Arial" w:hAnsi="Arial" w:cs="Arial"/>
                <w:sz w:val="16"/>
                <w:szCs w:val="16"/>
              </w:rPr>
              <w:t>;</w:t>
            </w:r>
          </w:p>
          <w:p w14:paraId="127015B9" w14:textId="0BDF17A4" w:rsidR="00FA22F6" w:rsidRPr="001E6DFD" w:rsidRDefault="00A12D2E" w:rsidP="00D544B8">
            <w:pPr>
              <w:pStyle w:val="ListParagraph"/>
              <w:keepNext/>
              <w:keepLines/>
              <w:numPr>
                <w:ilvl w:val="0"/>
                <w:numId w:val="8"/>
              </w:numPr>
              <w:ind w:left="288" w:hanging="288"/>
              <w:contextualSpacing w:val="0"/>
              <w:rPr>
                <w:rFonts w:ascii="Arial" w:hAnsi="Arial" w:cs="Arial"/>
                <w:sz w:val="16"/>
                <w:szCs w:val="16"/>
              </w:rPr>
            </w:pPr>
            <w:r w:rsidRPr="001E6DFD">
              <w:rPr>
                <w:rFonts w:ascii="Arial" w:hAnsi="Arial" w:cs="Arial"/>
                <w:sz w:val="16"/>
                <w:szCs w:val="16"/>
              </w:rPr>
              <w:t>l</w:t>
            </w:r>
            <w:r w:rsidR="0048299D" w:rsidRPr="001E6DFD">
              <w:rPr>
                <w:rFonts w:ascii="Arial" w:hAnsi="Arial" w:cs="Arial"/>
                <w:sz w:val="16"/>
                <w:szCs w:val="16"/>
              </w:rPr>
              <w:t>a coordination de l</w:t>
            </w:r>
            <w:r w:rsidR="00FA22F6" w:rsidRPr="001E6DFD">
              <w:rPr>
                <w:rFonts w:ascii="Arial" w:hAnsi="Arial" w:cs="Arial"/>
                <w:sz w:val="16"/>
                <w:szCs w:val="16"/>
              </w:rPr>
              <w:t>’</w:t>
            </w:r>
            <w:r w:rsidR="0048299D" w:rsidRPr="001E6DFD">
              <w:rPr>
                <w:rFonts w:ascii="Arial" w:hAnsi="Arial" w:cs="Arial"/>
                <w:sz w:val="16"/>
                <w:szCs w:val="16"/>
              </w:rPr>
              <w:t>assistance technique fournie dans le cadre</w:t>
            </w:r>
            <w:r w:rsidR="00FA22F6" w:rsidRPr="001E6DFD">
              <w:rPr>
                <w:rFonts w:ascii="Arial" w:hAnsi="Arial" w:cs="Arial"/>
                <w:sz w:val="16"/>
                <w:szCs w:val="16"/>
              </w:rPr>
              <w:t xml:space="preserve"> du PCT</w:t>
            </w:r>
            <w:r w:rsidR="00BA5EA9" w:rsidRPr="001E6DFD">
              <w:rPr>
                <w:rFonts w:ascii="Arial" w:hAnsi="Arial" w:cs="Arial"/>
                <w:sz w:val="16"/>
                <w:szCs w:val="16"/>
              </w:rPr>
              <w:t xml:space="preserve">;  </w:t>
            </w:r>
            <w:r w:rsidR="0048299D" w:rsidRPr="001E6DFD">
              <w:rPr>
                <w:rFonts w:ascii="Arial" w:hAnsi="Arial" w:cs="Arial"/>
                <w:sz w:val="16"/>
                <w:szCs w:val="16"/>
              </w:rPr>
              <w:t>et</w:t>
            </w:r>
          </w:p>
          <w:p w14:paraId="09E35BFA" w14:textId="73AB6C8B" w:rsidR="00BA5EA9" w:rsidRPr="001E6DFD" w:rsidRDefault="00A12D2E" w:rsidP="00D544B8">
            <w:pPr>
              <w:pStyle w:val="ListParagraph"/>
              <w:keepNext/>
              <w:keepLines/>
              <w:numPr>
                <w:ilvl w:val="0"/>
                <w:numId w:val="8"/>
              </w:numPr>
              <w:ind w:left="288" w:hanging="288"/>
              <w:contextualSpacing w:val="0"/>
              <w:rPr>
                <w:rFonts w:ascii="Arial" w:hAnsi="Arial" w:cs="Arial"/>
                <w:sz w:val="16"/>
                <w:szCs w:val="16"/>
              </w:rPr>
            </w:pPr>
            <w:r w:rsidRPr="001E6DFD">
              <w:rPr>
                <w:rFonts w:ascii="Arial" w:hAnsi="Arial" w:cs="Arial"/>
                <w:sz w:val="16"/>
                <w:szCs w:val="16"/>
              </w:rPr>
              <w:t>une c</w:t>
            </w:r>
            <w:r w:rsidR="0048299D" w:rsidRPr="001E6DFD">
              <w:rPr>
                <w:rFonts w:ascii="Arial" w:hAnsi="Arial" w:cs="Arial"/>
                <w:sz w:val="16"/>
                <w:szCs w:val="16"/>
              </w:rPr>
              <w:t xml:space="preserve">oordination améliorée de la formation des examinateurs de brevets entre les </w:t>
            </w:r>
            <w:r w:rsidR="007B1800" w:rsidRPr="001E6DFD">
              <w:rPr>
                <w:rFonts w:ascii="Arial" w:hAnsi="Arial" w:cs="Arial"/>
                <w:sz w:val="16"/>
                <w:szCs w:val="16"/>
              </w:rPr>
              <w:t>offices</w:t>
            </w:r>
            <w:r w:rsidR="0048299D" w:rsidRPr="001E6DFD">
              <w:rPr>
                <w:rFonts w:ascii="Arial" w:hAnsi="Arial" w:cs="Arial"/>
                <w:sz w:val="16"/>
                <w:szCs w:val="16"/>
              </w:rPr>
              <w:t>.</w:t>
            </w:r>
          </w:p>
        </w:tc>
        <w:tc>
          <w:tcPr>
            <w:tcW w:w="554" w:type="pct"/>
            <w:shd w:val="clear" w:color="auto" w:fill="auto"/>
            <w:tcMar>
              <w:top w:w="110" w:type="dxa"/>
              <w:left w:w="58" w:type="dxa"/>
              <w:right w:w="58" w:type="dxa"/>
            </w:tcMar>
          </w:tcPr>
          <w:p w14:paraId="724C2C8E" w14:textId="77777777" w:rsidR="00BA5EA9" w:rsidRPr="001E6DFD" w:rsidRDefault="00A43B2F" w:rsidP="0097226C">
            <w:pPr>
              <w:keepNext/>
              <w:keepLines/>
              <w:jc w:val="center"/>
              <w:rPr>
                <w:sz w:val="16"/>
                <w:szCs w:val="16"/>
              </w:rPr>
            </w:pPr>
            <w:r w:rsidRPr="001E6DFD">
              <w:rPr>
                <w:b/>
                <w:color w:val="00B050"/>
                <w:sz w:val="16"/>
                <w:szCs w:val="16"/>
              </w:rPr>
              <w:lastRenderedPageBreak/>
              <w:t>En bonne voie</w:t>
            </w:r>
            <w:r w:rsidR="00BA5EA9" w:rsidRPr="001E6DFD">
              <w:rPr>
                <w:b/>
                <w:sz w:val="16"/>
                <w:szCs w:val="16"/>
              </w:rPr>
              <w:t xml:space="preserve"> </w:t>
            </w:r>
          </w:p>
        </w:tc>
      </w:tr>
      <w:tr w:rsidR="00BA5EA9" w:rsidRPr="001E6DFD" w14:paraId="02EBF216" w14:textId="77777777" w:rsidTr="0097226C">
        <w:tc>
          <w:tcPr>
            <w:tcW w:w="993" w:type="pct"/>
            <w:shd w:val="clear" w:color="auto" w:fill="auto"/>
            <w:tcMar>
              <w:left w:w="58" w:type="dxa"/>
              <w:right w:w="58" w:type="dxa"/>
            </w:tcMar>
          </w:tcPr>
          <w:p w14:paraId="5AEC5422" w14:textId="77777777"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lastRenderedPageBreak/>
              <w:t>Amélioration des services électroniques pour les déposants, les tiers, les offices et les administrations</w:t>
            </w:r>
          </w:p>
        </w:tc>
        <w:tc>
          <w:tcPr>
            <w:tcW w:w="1447" w:type="pct"/>
            <w:shd w:val="clear" w:color="auto" w:fill="auto"/>
            <w:tcMar>
              <w:left w:w="58" w:type="dxa"/>
              <w:right w:w="58" w:type="dxa"/>
            </w:tcMar>
          </w:tcPr>
          <w:p w14:paraId="4C594BB8" w14:textId="6CD563EE" w:rsidR="00FA22F6" w:rsidRPr="001303B4" w:rsidRDefault="00E64532" w:rsidP="0097226C">
            <w:pPr>
              <w:rPr>
                <w:i/>
                <w:color w:val="002060"/>
                <w:sz w:val="16"/>
                <w:szCs w:val="16"/>
              </w:rPr>
            </w:pPr>
            <w:r w:rsidRPr="001303B4">
              <w:rPr>
                <w:i/>
                <w:color w:val="002060"/>
                <w:sz w:val="16"/>
                <w:szCs w:val="16"/>
              </w:rPr>
              <w:t>Niveau de référence actualisé à fin</w:t>
            </w:r>
            <w:r w:rsidR="00B4191E" w:rsidRPr="001303B4">
              <w:rPr>
                <w:i/>
                <w:color w:val="002060"/>
                <w:sz w:val="16"/>
                <w:szCs w:val="16"/>
              </w:rPr>
              <w:t> </w:t>
            </w:r>
            <w:r w:rsidRPr="001303B4">
              <w:rPr>
                <w:i/>
                <w:color w:val="002060"/>
                <w:sz w:val="16"/>
                <w:szCs w:val="16"/>
              </w:rPr>
              <w:t>2015</w:t>
            </w:r>
            <w:r w:rsidR="00FA22F6" w:rsidRPr="001303B4">
              <w:rPr>
                <w:i/>
                <w:color w:val="002060"/>
                <w:sz w:val="16"/>
                <w:szCs w:val="16"/>
              </w:rPr>
              <w:t> :</w:t>
            </w:r>
          </w:p>
          <w:p w14:paraId="245084E3" w14:textId="1FE5C23C" w:rsidR="00604D96" w:rsidRPr="001303B4" w:rsidRDefault="00604D96" w:rsidP="0097226C">
            <w:pPr>
              <w:rPr>
                <w:i/>
                <w:color w:val="002060"/>
                <w:sz w:val="16"/>
                <w:szCs w:val="16"/>
              </w:rPr>
            </w:pPr>
          </w:p>
          <w:p w14:paraId="4006CC29" w14:textId="4485B97F" w:rsidR="001F64B1" w:rsidRPr="001303B4" w:rsidRDefault="00083A15" w:rsidP="0097226C">
            <w:pPr>
              <w:keepNext/>
              <w:keepLines/>
              <w:rPr>
                <w:color w:val="002060"/>
                <w:sz w:val="16"/>
                <w:szCs w:val="16"/>
              </w:rPr>
            </w:pPr>
            <w:r w:rsidRPr="001303B4">
              <w:rPr>
                <w:color w:val="002060"/>
                <w:sz w:val="16"/>
                <w:szCs w:val="16"/>
              </w:rPr>
              <w:t xml:space="preserve">29 offices </w:t>
            </w:r>
            <w:r w:rsidR="00B51D56" w:rsidRPr="001303B4">
              <w:rPr>
                <w:color w:val="002060"/>
                <w:sz w:val="16"/>
                <w:szCs w:val="16"/>
              </w:rPr>
              <w:t xml:space="preserve">acceptant les dépôts en ligne depuis le système </w:t>
            </w:r>
            <w:proofErr w:type="spellStart"/>
            <w:r w:rsidR="00B51D56" w:rsidRPr="001303B4">
              <w:rPr>
                <w:color w:val="002060"/>
                <w:sz w:val="16"/>
                <w:szCs w:val="16"/>
              </w:rPr>
              <w:t>ePCT</w:t>
            </w:r>
            <w:proofErr w:type="spellEnd"/>
          </w:p>
          <w:p w14:paraId="5FD3169C" w14:textId="77777777" w:rsidR="001F64B1" w:rsidRPr="001303B4" w:rsidRDefault="001F64B1" w:rsidP="0097226C">
            <w:pPr>
              <w:keepNext/>
              <w:keepLines/>
              <w:rPr>
                <w:color w:val="002060"/>
                <w:sz w:val="16"/>
                <w:szCs w:val="16"/>
              </w:rPr>
            </w:pPr>
          </w:p>
          <w:p w14:paraId="5A74967F" w14:textId="494DEC9E" w:rsidR="001F64B1" w:rsidRPr="001303B4" w:rsidRDefault="00CA2A31" w:rsidP="0097226C">
            <w:pPr>
              <w:keepNext/>
              <w:keepLines/>
              <w:rPr>
                <w:color w:val="002060"/>
                <w:sz w:val="16"/>
                <w:szCs w:val="16"/>
              </w:rPr>
            </w:pPr>
            <w:r w:rsidRPr="001303B4">
              <w:rPr>
                <w:color w:val="002060"/>
                <w:sz w:val="16"/>
                <w:szCs w:val="16"/>
              </w:rPr>
              <w:t xml:space="preserve">34 offices </w:t>
            </w:r>
            <w:r w:rsidR="00324143" w:rsidRPr="001303B4">
              <w:rPr>
                <w:color w:val="002060"/>
                <w:sz w:val="16"/>
                <w:szCs w:val="16"/>
              </w:rPr>
              <w:t>ré</w:t>
            </w:r>
            <w:r w:rsidRPr="001303B4">
              <w:rPr>
                <w:color w:val="002060"/>
                <w:sz w:val="16"/>
                <w:szCs w:val="16"/>
              </w:rPr>
              <w:t>cepteurs</w:t>
            </w:r>
            <w:r w:rsidRPr="001303B4">
              <w:rPr>
                <w:color w:val="002060"/>
              </w:rPr>
              <w:t xml:space="preserve"> </w:t>
            </w:r>
            <w:r w:rsidRPr="001303B4">
              <w:rPr>
                <w:color w:val="002060"/>
                <w:sz w:val="16"/>
                <w:szCs w:val="16"/>
              </w:rPr>
              <w:t>et huit</w:t>
            </w:r>
            <w:r w:rsidR="004D421A" w:rsidRPr="001303B4">
              <w:rPr>
                <w:color w:val="002060"/>
                <w:sz w:val="16"/>
                <w:szCs w:val="16"/>
              </w:rPr>
              <w:t> </w:t>
            </w:r>
            <w:r w:rsidRPr="001303B4">
              <w:rPr>
                <w:color w:val="002060"/>
                <w:sz w:val="16"/>
                <w:szCs w:val="16"/>
              </w:rPr>
              <w:t>administrations chargées de la recherche internationale</w:t>
            </w:r>
            <w:r w:rsidRPr="001303B4">
              <w:rPr>
                <w:color w:val="002060"/>
              </w:rPr>
              <w:t xml:space="preserve"> </w:t>
            </w:r>
            <w:r w:rsidRPr="001303B4">
              <w:rPr>
                <w:color w:val="002060"/>
                <w:sz w:val="16"/>
                <w:szCs w:val="16"/>
              </w:rPr>
              <w:t>acceptant</w:t>
            </w:r>
            <w:r w:rsidR="00B51D56" w:rsidRPr="001303B4">
              <w:rPr>
                <w:color w:val="002060"/>
                <w:sz w:val="16"/>
                <w:szCs w:val="16"/>
              </w:rPr>
              <w:t xml:space="preserve"> des documents transmis par les déposants</w:t>
            </w:r>
          </w:p>
          <w:p w14:paraId="45BE661F" w14:textId="77777777" w:rsidR="001F64B1" w:rsidRPr="001303B4" w:rsidRDefault="001F64B1" w:rsidP="0097226C">
            <w:pPr>
              <w:keepNext/>
              <w:keepLines/>
              <w:rPr>
                <w:color w:val="002060"/>
                <w:sz w:val="16"/>
                <w:szCs w:val="16"/>
              </w:rPr>
            </w:pPr>
          </w:p>
          <w:p w14:paraId="346080E3" w14:textId="0D732577" w:rsidR="001F64B1" w:rsidRPr="001303B4" w:rsidRDefault="004D421A" w:rsidP="0097226C">
            <w:pPr>
              <w:keepNext/>
              <w:keepLines/>
              <w:rPr>
                <w:i/>
                <w:color w:val="002060"/>
                <w:sz w:val="16"/>
                <w:szCs w:val="16"/>
              </w:rPr>
            </w:pPr>
            <w:r w:rsidRPr="001303B4">
              <w:rPr>
                <w:color w:val="002060"/>
                <w:sz w:val="16"/>
                <w:szCs w:val="16"/>
              </w:rPr>
              <w:t>7229</w:t>
            </w:r>
            <w:r w:rsidR="00BA5EA9" w:rsidRPr="001303B4">
              <w:rPr>
                <w:color w:val="002060"/>
                <w:sz w:val="16"/>
                <w:szCs w:val="16"/>
              </w:rPr>
              <w:t xml:space="preserve"> </w:t>
            </w:r>
            <w:r w:rsidR="008846AD" w:rsidRPr="001303B4">
              <w:rPr>
                <w:color w:val="002060"/>
                <w:sz w:val="16"/>
                <w:szCs w:val="16"/>
              </w:rPr>
              <w:t xml:space="preserve">dépôts au moyen du système </w:t>
            </w:r>
            <w:proofErr w:type="spellStart"/>
            <w:r w:rsidR="008846AD" w:rsidRPr="001303B4">
              <w:rPr>
                <w:color w:val="002060"/>
                <w:sz w:val="16"/>
                <w:szCs w:val="16"/>
              </w:rPr>
              <w:t>ePCT</w:t>
            </w:r>
            <w:proofErr w:type="spellEnd"/>
            <w:r w:rsidR="008846AD" w:rsidRPr="001303B4">
              <w:rPr>
                <w:color w:val="002060"/>
                <w:sz w:val="16"/>
                <w:szCs w:val="16"/>
              </w:rPr>
              <w:t xml:space="preserve"> </w:t>
            </w:r>
            <w:r w:rsidR="00FA22F6" w:rsidRPr="001303B4">
              <w:rPr>
                <w:color w:val="002060"/>
                <w:sz w:val="16"/>
                <w:szCs w:val="16"/>
              </w:rPr>
              <w:t>en 2015</w:t>
            </w:r>
          </w:p>
          <w:p w14:paraId="753D6532" w14:textId="77777777" w:rsidR="001F64B1" w:rsidRPr="001303B4" w:rsidRDefault="001F64B1" w:rsidP="0097226C">
            <w:pPr>
              <w:rPr>
                <w:sz w:val="16"/>
                <w:szCs w:val="16"/>
              </w:rPr>
            </w:pPr>
          </w:p>
          <w:p w14:paraId="4C8FC7CA" w14:textId="2DC1A826" w:rsidR="00FA22F6" w:rsidRPr="001303B4" w:rsidRDefault="00E64532" w:rsidP="0097226C">
            <w:pPr>
              <w:rPr>
                <w:i/>
                <w:sz w:val="16"/>
                <w:szCs w:val="16"/>
                <w:lang w:bidi="th-TH"/>
              </w:rPr>
            </w:pPr>
            <w:r w:rsidRPr="001303B4">
              <w:rPr>
                <w:i/>
                <w:sz w:val="16"/>
                <w:szCs w:val="16"/>
                <w:lang w:bidi="th-TH"/>
              </w:rPr>
              <w:t>Niveau de référence initial dans le programme et budget 2016</w:t>
            </w:r>
            <w:r w:rsidR="006A41CF" w:rsidRPr="001303B4">
              <w:rPr>
                <w:i/>
                <w:sz w:val="16"/>
                <w:szCs w:val="16"/>
                <w:lang w:bidi="th-TH"/>
              </w:rPr>
              <w:noBreakHyphen/>
            </w:r>
            <w:r w:rsidRPr="001303B4">
              <w:rPr>
                <w:i/>
                <w:sz w:val="16"/>
                <w:szCs w:val="16"/>
                <w:lang w:bidi="th-TH"/>
              </w:rPr>
              <w:t>2017</w:t>
            </w:r>
            <w:r w:rsidR="00FA22F6" w:rsidRPr="001303B4">
              <w:rPr>
                <w:i/>
                <w:sz w:val="16"/>
                <w:szCs w:val="16"/>
                <w:lang w:bidi="th-TH"/>
              </w:rPr>
              <w:t> :</w:t>
            </w:r>
          </w:p>
          <w:p w14:paraId="1BDA41E0" w14:textId="6EB654B1" w:rsidR="00FA22F6" w:rsidRPr="001303B4" w:rsidRDefault="00463DF3" w:rsidP="0097226C">
            <w:pPr>
              <w:widowControl w:val="0"/>
              <w:tabs>
                <w:tab w:val="left" w:pos="1733"/>
              </w:tabs>
              <w:autoSpaceDE w:val="0"/>
              <w:autoSpaceDN w:val="0"/>
              <w:adjustRightInd w:val="0"/>
              <w:ind w:right="321"/>
              <w:rPr>
                <w:rFonts w:eastAsia="SimSun"/>
                <w:sz w:val="16"/>
                <w:szCs w:val="16"/>
              </w:rPr>
            </w:pPr>
            <w:r w:rsidRPr="001303B4">
              <w:rPr>
                <w:rFonts w:eastAsia="SimSun"/>
                <w:sz w:val="16"/>
                <w:szCs w:val="16"/>
              </w:rPr>
              <w:t xml:space="preserve">À la fin </w:t>
            </w:r>
            <w:r w:rsidR="00FA22F6" w:rsidRPr="001303B4">
              <w:rPr>
                <w:rFonts w:eastAsia="SimSun"/>
                <w:sz w:val="16"/>
                <w:szCs w:val="16"/>
              </w:rPr>
              <w:t>de 2014</w:t>
            </w:r>
            <w:r w:rsidRPr="001303B4">
              <w:rPr>
                <w:rFonts w:eastAsia="SimSun"/>
                <w:sz w:val="16"/>
                <w:szCs w:val="16"/>
              </w:rPr>
              <w:t xml:space="preserve">, par rapport à la fin </w:t>
            </w:r>
            <w:r w:rsidR="00FA22F6" w:rsidRPr="001303B4">
              <w:rPr>
                <w:rFonts w:eastAsia="SimSun"/>
                <w:sz w:val="16"/>
                <w:szCs w:val="16"/>
              </w:rPr>
              <w:t>de 2013 :</w:t>
            </w:r>
          </w:p>
          <w:p w14:paraId="57CA613D" w14:textId="77777777" w:rsidR="00FA22F6" w:rsidRPr="001303B4" w:rsidRDefault="00463DF3" w:rsidP="0097226C">
            <w:pPr>
              <w:widowControl w:val="0"/>
              <w:tabs>
                <w:tab w:val="left" w:pos="1733"/>
              </w:tabs>
              <w:autoSpaceDE w:val="0"/>
              <w:autoSpaceDN w:val="0"/>
              <w:adjustRightInd w:val="0"/>
              <w:ind w:right="321"/>
              <w:rPr>
                <w:rFonts w:eastAsia="SimSun"/>
                <w:sz w:val="16"/>
                <w:szCs w:val="16"/>
              </w:rPr>
            </w:pPr>
            <w:r w:rsidRPr="001303B4">
              <w:rPr>
                <w:rFonts w:eastAsia="SimSun"/>
                <w:sz w:val="16"/>
                <w:szCs w:val="16"/>
              </w:rPr>
              <w:t>+32% de déposants publics;</w:t>
            </w:r>
          </w:p>
          <w:p w14:paraId="6CE5194C" w14:textId="77777777" w:rsidR="00FA22F6" w:rsidRPr="001303B4" w:rsidRDefault="00463DF3" w:rsidP="0097226C">
            <w:pPr>
              <w:widowControl w:val="0"/>
              <w:tabs>
                <w:tab w:val="left" w:pos="1733"/>
              </w:tabs>
              <w:autoSpaceDE w:val="0"/>
              <w:autoSpaceDN w:val="0"/>
              <w:adjustRightInd w:val="0"/>
              <w:ind w:right="321"/>
              <w:rPr>
                <w:rFonts w:eastAsia="SimSun"/>
                <w:sz w:val="16"/>
                <w:szCs w:val="16"/>
              </w:rPr>
            </w:pPr>
            <w:r w:rsidRPr="001303B4">
              <w:rPr>
                <w:rFonts w:eastAsia="SimSun"/>
                <w:sz w:val="16"/>
                <w:szCs w:val="16"/>
              </w:rPr>
              <w:t>+100% de déposants privés;</w:t>
            </w:r>
          </w:p>
          <w:p w14:paraId="5B493E28" w14:textId="7D25D286" w:rsidR="00FA22F6" w:rsidRPr="001303B4" w:rsidRDefault="00463DF3" w:rsidP="0097226C">
            <w:pPr>
              <w:widowControl w:val="0"/>
              <w:tabs>
                <w:tab w:val="left" w:pos="2111"/>
              </w:tabs>
              <w:autoSpaceDE w:val="0"/>
              <w:autoSpaceDN w:val="0"/>
              <w:adjustRightInd w:val="0"/>
              <w:ind w:right="4"/>
              <w:rPr>
                <w:rFonts w:eastAsia="SimSun"/>
                <w:sz w:val="16"/>
                <w:szCs w:val="16"/>
              </w:rPr>
            </w:pPr>
            <w:r w:rsidRPr="001303B4">
              <w:rPr>
                <w:rFonts w:eastAsia="SimSun"/>
                <w:sz w:val="16"/>
                <w:szCs w:val="16"/>
              </w:rPr>
              <w:t>+25% de tiers observateurs;  +329% d</w:t>
            </w:r>
            <w:r w:rsidR="00FA22F6" w:rsidRPr="001303B4">
              <w:rPr>
                <w:rFonts w:eastAsia="SimSun"/>
                <w:sz w:val="16"/>
                <w:szCs w:val="16"/>
              </w:rPr>
              <w:t>’</w:t>
            </w:r>
            <w:r w:rsidRPr="001303B4">
              <w:rPr>
                <w:rFonts w:eastAsia="SimSun"/>
                <w:sz w:val="16"/>
                <w:szCs w:val="16"/>
              </w:rPr>
              <w:t>offices récepteurs;</w:t>
            </w:r>
          </w:p>
          <w:p w14:paraId="6AAD5ACF" w14:textId="6DFB053C" w:rsidR="00BA5EA9" w:rsidRPr="001303B4" w:rsidRDefault="006A41CF" w:rsidP="0097226C">
            <w:pPr>
              <w:widowControl w:val="0"/>
              <w:tabs>
                <w:tab w:val="left" w:pos="1733"/>
              </w:tabs>
              <w:autoSpaceDE w:val="0"/>
              <w:autoSpaceDN w:val="0"/>
              <w:adjustRightInd w:val="0"/>
              <w:ind w:right="321"/>
              <w:rPr>
                <w:rFonts w:eastAsia="SimSun"/>
                <w:sz w:val="16"/>
                <w:szCs w:val="16"/>
              </w:rPr>
            </w:pPr>
            <w:r w:rsidRPr="001303B4">
              <w:rPr>
                <w:rFonts w:eastAsia="SimSun"/>
                <w:sz w:val="16"/>
                <w:szCs w:val="16"/>
              </w:rPr>
              <w:noBreakHyphen/>
            </w:r>
            <w:r w:rsidR="00463DF3" w:rsidRPr="001303B4">
              <w:rPr>
                <w:rFonts w:eastAsia="SimSun"/>
                <w:sz w:val="16"/>
                <w:szCs w:val="16"/>
              </w:rPr>
              <w:t>73% d</w:t>
            </w:r>
            <w:r w:rsidR="00FA22F6" w:rsidRPr="001303B4">
              <w:rPr>
                <w:rFonts w:eastAsia="SimSun"/>
                <w:sz w:val="16"/>
                <w:szCs w:val="16"/>
              </w:rPr>
              <w:t>’</w:t>
            </w:r>
            <w:r w:rsidR="00463DF3" w:rsidRPr="001303B4">
              <w:rPr>
                <w:rFonts w:eastAsia="SimSun"/>
                <w:sz w:val="16"/>
                <w:szCs w:val="16"/>
              </w:rPr>
              <w:t>administrations internationales (le plus important office utilisateur est passé à un niveau d</w:t>
            </w:r>
            <w:r w:rsidR="00FA22F6" w:rsidRPr="001303B4">
              <w:rPr>
                <w:rFonts w:eastAsia="SimSun"/>
                <w:sz w:val="16"/>
                <w:szCs w:val="16"/>
              </w:rPr>
              <w:t>’</w:t>
            </w:r>
            <w:r w:rsidR="00463DF3" w:rsidRPr="001303B4">
              <w:rPr>
                <w:rFonts w:eastAsia="SimSun"/>
                <w:sz w:val="16"/>
                <w:szCs w:val="16"/>
              </w:rPr>
              <w:t>automatisation plus élevé)</w:t>
            </w:r>
          </w:p>
        </w:tc>
        <w:tc>
          <w:tcPr>
            <w:tcW w:w="647" w:type="pct"/>
            <w:shd w:val="clear" w:color="auto" w:fill="auto"/>
            <w:tcMar>
              <w:top w:w="110" w:type="dxa"/>
              <w:left w:w="43" w:type="dxa"/>
              <w:right w:w="43" w:type="dxa"/>
            </w:tcMar>
          </w:tcPr>
          <w:p w14:paraId="409879AC" w14:textId="07E1B455" w:rsidR="00FA22F6" w:rsidRPr="001303B4" w:rsidRDefault="00FD57F5" w:rsidP="0097226C">
            <w:pPr>
              <w:widowControl w:val="0"/>
              <w:autoSpaceDE w:val="0"/>
              <w:autoSpaceDN w:val="0"/>
              <w:adjustRightInd w:val="0"/>
              <w:rPr>
                <w:rFonts w:eastAsia="SimSun"/>
                <w:sz w:val="16"/>
                <w:szCs w:val="16"/>
              </w:rPr>
            </w:pPr>
            <w:r w:rsidRPr="001303B4">
              <w:rPr>
                <w:rFonts w:eastAsia="SimSun"/>
                <w:sz w:val="16"/>
                <w:szCs w:val="16"/>
              </w:rPr>
              <w:t>Augmentation du nombre</w:t>
            </w:r>
            <w:r w:rsidR="00FA22F6" w:rsidRPr="001303B4">
              <w:rPr>
                <w:rFonts w:eastAsia="SimSun"/>
                <w:sz w:val="16"/>
                <w:szCs w:val="16"/>
              </w:rPr>
              <w:t> :</w:t>
            </w:r>
          </w:p>
          <w:p w14:paraId="63E1D90F" w14:textId="23E26DBC" w:rsidR="001F64B1" w:rsidRPr="001303B4" w:rsidRDefault="001F64B1" w:rsidP="0097226C">
            <w:pPr>
              <w:widowControl w:val="0"/>
              <w:autoSpaceDE w:val="0"/>
              <w:autoSpaceDN w:val="0"/>
              <w:adjustRightInd w:val="0"/>
              <w:rPr>
                <w:rFonts w:eastAsia="SimSun"/>
                <w:sz w:val="16"/>
                <w:szCs w:val="16"/>
              </w:rPr>
            </w:pPr>
          </w:p>
          <w:p w14:paraId="5D208717" w14:textId="152D0C9B" w:rsidR="00FA22F6" w:rsidRPr="001303B4" w:rsidRDefault="00FD57F5" w:rsidP="0097226C">
            <w:pPr>
              <w:widowControl w:val="0"/>
              <w:autoSpaceDE w:val="0"/>
              <w:autoSpaceDN w:val="0"/>
              <w:adjustRightInd w:val="0"/>
              <w:rPr>
                <w:rFonts w:eastAsia="SimSun"/>
                <w:sz w:val="16"/>
                <w:szCs w:val="16"/>
              </w:rPr>
            </w:pPr>
            <w:r w:rsidRPr="001303B4">
              <w:rPr>
                <w:rFonts w:eastAsia="SimSun"/>
                <w:sz w:val="16"/>
                <w:szCs w:val="16"/>
              </w:rPr>
              <w:t>D</w:t>
            </w:r>
            <w:r w:rsidR="00FA22F6" w:rsidRPr="001303B4">
              <w:rPr>
                <w:rFonts w:eastAsia="SimSun"/>
                <w:sz w:val="16"/>
                <w:szCs w:val="16"/>
              </w:rPr>
              <w:t>’</w:t>
            </w:r>
            <w:r w:rsidRPr="001303B4">
              <w:rPr>
                <w:rFonts w:eastAsia="SimSun"/>
                <w:sz w:val="16"/>
                <w:szCs w:val="16"/>
              </w:rPr>
              <w:t>o</w:t>
            </w:r>
            <w:r w:rsidR="006526C1" w:rsidRPr="001303B4">
              <w:rPr>
                <w:rFonts w:eastAsia="SimSun"/>
                <w:sz w:val="16"/>
                <w:szCs w:val="16"/>
              </w:rPr>
              <w:t xml:space="preserve">ffices acceptant les dépôts en ligne depuis le système </w:t>
            </w:r>
            <w:proofErr w:type="spellStart"/>
            <w:r w:rsidR="006526C1" w:rsidRPr="001303B4">
              <w:rPr>
                <w:rFonts w:eastAsia="SimSun"/>
                <w:sz w:val="16"/>
                <w:szCs w:val="16"/>
              </w:rPr>
              <w:t>ePCT</w:t>
            </w:r>
            <w:proofErr w:type="spellEnd"/>
            <w:r w:rsidR="00BA5EA9" w:rsidRPr="001303B4">
              <w:rPr>
                <w:rFonts w:eastAsia="SimSun"/>
                <w:sz w:val="16"/>
                <w:szCs w:val="16"/>
              </w:rPr>
              <w:t>;</w:t>
            </w:r>
          </w:p>
          <w:p w14:paraId="3E1D1B31" w14:textId="70FE0C08" w:rsidR="001F64B1" w:rsidRPr="001303B4" w:rsidRDefault="001F64B1" w:rsidP="0097226C">
            <w:pPr>
              <w:widowControl w:val="0"/>
              <w:autoSpaceDE w:val="0"/>
              <w:autoSpaceDN w:val="0"/>
              <w:adjustRightInd w:val="0"/>
              <w:rPr>
                <w:rFonts w:eastAsia="SimSun"/>
                <w:sz w:val="16"/>
                <w:szCs w:val="16"/>
              </w:rPr>
            </w:pPr>
          </w:p>
          <w:p w14:paraId="43BC8506" w14:textId="2155E491" w:rsidR="00FA22F6" w:rsidRPr="001303B4" w:rsidRDefault="00FD57F5" w:rsidP="0097226C">
            <w:pPr>
              <w:widowControl w:val="0"/>
              <w:autoSpaceDE w:val="0"/>
              <w:autoSpaceDN w:val="0"/>
              <w:adjustRightInd w:val="0"/>
              <w:rPr>
                <w:rFonts w:eastAsia="SimSun"/>
                <w:sz w:val="16"/>
                <w:szCs w:val="16"/>
              </w:rPr>
            </w:pPr>
            <w:r w:rsidRPr="001303B4">
              <w:rPr>
                <w:rFonts w:eastAsia="SimSun"/>
                <w:sz w:val="16"/>
                <w:szCs w:val="16"/>
              </w:rPr>
              <w:t>D</w:t>
            </w:r>
            <w:r w:rsidR="00FA22F6" w:rsidRPr="001303B4">
              <w:rPr>
                <w:rFonts w:eastAsia="SimSun"/>
                <w:sz w:val="16"/>
                <w:szCs w:val="16"/>
              </w:rPr>
              <w:t>’</w:t>
            </w:r>
            <w:r w:rsidRPr="001303B4">
              <w:rPr>
                <w:rFonts w:eastAsia="SimSun"/>
                <w:sz w:val="16"/>
                <w:szCs w:val="16"/>
              </w:rPr>
              <w:t>o</w:t>
            </w:r>
            <w:r w:rsidR="006526C1" w:rsidRPr="001303B4">
              <w:rPr>
                <w:rFonts w:eastAsia="SimSun"/>
                <w:sz w:val="16"/>
                <w:szCs w:val="16"/>
              </w:rPr>
              <w:t xml:space="preserve">ffices utilisant le système </w:t>
            </w:r>
            <w:proofErr w:type="spellStart"/>
            <w:r w:rsidR="006526C1" w:rsidRPr="001303B4">
              <w:rPr>
                <w:rFonts w:eastAsia="SimSun"/>
                <w:sz w:val="16"/>
                <w:szCs w:val="16"/>
              </w:rPr>
              <w:t>ePCT</w:t>
            </w:r>
            <w:proofErr w:type="spellEnd"/>
            <w:r w:rsidR="006526C1" w:rsidRPr="001303B4">
              <w:rPr>
                <w:rFonts w:eastAsia="SimSun"/>
                <w:sz w:val="16"/>
                <w:szCs w:val="16"/>
              </w:rPr>
              <w:t xml:space="preserve"> ou</w:t>
            </w:r>
            <w:r w:rsidRPr="001303B4">
              <w:rPr>
                <w:rFonts w:eastAsia="SimSun"/>
                <w:sz w:val="16"/>
                <w:szCs w:val="16"/>
              </w:rPr>
              <w:t xml:space="preserve"> acceptant des documents transmis par les déposants au moyen du système </w:t>
            </w:r>
            <w:proofErr w:type="spellStart"/>
            <w:r w:rsidRPr="001303B4">
              <w:rPr>
                <w:rFonts w:eastAsia="SimSun"/>
                <w:sz w:val="16"/>
                <w:szCs w:val="16"/>
              </w:rPr>
              <w:t>ePCT</w:t>
            </w:r>
            <w:proofErr w:type="spellEnd"/>
            <w:r w:rsidR="00BA5EA9" w:rsidRPr="001303B4">
              <w:rPr>
                <w:rFonts w:eastAsia="SimSun"/>
                <w:sz w:val="16"/>
                <w:szCs w:val="16"/>
              </w:rPr>
              <w:t>;</w:t>
            </w:r>
          </w:p>
          <w:p w14:paraId="58A9D851" w14:textId="3480940D" w:rsidR="001F64B1" w:rsidRPr="001303B4" w:rsidRDefault="001F64B1" w:rsidP="0097226C">
            <w:pPr>
              <w:widowControl w:val="0"/>
              <w:autoSpaceDE w:val="0"/>
              <w:autoSpaceDN w:val="0"/>
              <w:adjustRightInd w:val="0"/>
              <w:rPr>
                <w:rFonts w:eastAsia="SimSun"/>
                <w:sz w:val="16"/>
                <w:szCs w:val="16"/>
              </w:rPr>
            </w:pPr>
          </w:p>
          <w:p w14:paraId="06DC7EDC" w14:textId="68CEA28E" w:rsidR="00BA5EA9" w:rsidRPr="001303B4" w:rsidRDefault="00FD57F5" w:rsidP="0097226C">
            <w:pPr>
              <w:widowControl w:val="0"/>
              <w:autoSpaceDE w:val="0"/>
              <w:autoSpaceDN w:val="0"/>
              <w:adjustRightInd w:val="0"/>
              <w:rPr>
                <w:rFonts w:eastAsia="SimSun"/>
                <w:sz w:val="16"/>
                <w:szCs w:val="16"/>
              </w:rPr>
            </w:pPr>
            <w:r w:rsidRPr="001303B4">
              <w:rPr>
                <w:rFonts w:eastAsia="SimSun"/>
                <w:sz w:val="16"/>
                <w:szCs w:val="16"/>
              </w:rPr>
              <w:t xml:space="preserve">De demandes déposées au moyen du système </w:t>
            </w:r>
            <w:proofErr w:type="spellStart"/>
            <w:r w:rsidRPr="001303B4">
              <w:rPr>
                <w:rFonts w:eastAsia="SimSun"/>
                <w:sz w:val="16"/>
                <w:szCs w:val="16"/>
              </w:rPr>
              <w:t>ePCT</w:t>
            </w:r>
            <w:proofErr w:type="spellEnd"/>
          </w:p>
        </w:tc>
        <w:tc>
          <w:tcPr>
            <w:tcW w:w="1358" w:type="pct"/>
            <w:shd w:val="clear" w:color="auto" w:fill="FFFFFF"/>
            <w:tcMar>
              <w:top w:w="110" w:type="dxa"/>
              <w:left w:w="58" w:type="dxa"/>
              <w:right w:w="58" w:type="dxa"/>
            </w:tcMar>
          </w:tcPr>
          <w:p w14:paraId="53FB72D2" w14:textId="39B2E5BA" w:rsidR="001F64B1" w:rsidRPr="001E6DFD" w:rsidRDefault="00181ACF" w:rsidP="0097226C">
            <w:pPr>
              <w:keepNext/>
              <w:keepLines/>
              <w:rPr>
                <w:sz w:val="16"/>
                <w:szCs w:val="16"/>
              </w:rPr>
            </w:pPr>
            <w:r w:rsidRPr="001E6DFD">
              <w:rPr>
                <w:sz w:val="16"/>
                <w:szCs w:val="16"/>
              </w:rPr>
              <w:t xml:space="preserve">À la fin </w:t>
            </w:r>
            <w:r w:rsidR="00FA22F6" w:rsidRPr="001E6DFD">
              <w:rPr>
                <w:sz w:val="16"/>
                <w:szCs w:val="16"/>
              </w:rPr>
              <w:t>de 2016 :</w:t>
            </w:r>
          </w:p>
          <w:p w14:paraId="7070C544" w14:textId="77777777" w:rsidR="001F64B1" w:rsidRPr="001E6DFD" w:rsidRDefault="001F64B1" w:rsidP="0097226C">
            <w:pPr>
              <w:keepNext/>
              <w:keepLines/>
              <w:rPr>
                <w:sz w:val="16"/>
                <w:szCs w:val="16"/>
              </w:rPr>
            </w:pPr>
          </w:p>
          <w:p w14:paraId="314CBFE2" w14:textId="77777777" w:rsidR="001F64B1" w:rsidRPr="001E6DFD" w:rsidRDefault="001F64B1" w:rsidP="0097226C">
            <w:pPr>
              <w:keepNext/>
              <w:keepLines/>
              <w:rPr>
                <w:sz w:val="16"/>
                <w:szCs w:val="16"/>
              </w:rPr>
            </w:pPr>
          </w:p>
          <w:p w14:paraId="686A1671" w14:textId="1C5272E6" w:rsidR="001F64B1" w:rsidRPr="001E6DFD" w:rsidRDefault="00BA5EA9" w:rsidP="0097226C">
            <w:pPr>
              <w:keepNext/>
              <w:keepLines/>
              <w:rPr>
                <w:sz w:val="16"/>
                <w:szCs w:val="16"/>
              </w:rPr>
            </w:pPr>
            <w:r w:rsidRPr="001E6DFD">
              <w:rPr>
                <w:sz w:val="16"/>
                <w:szCs w:val="16"/>
              </w:rPr>
              <w:t xml:space="preserve">45 </w:t>
            </w:r>
            <w:r w:rsidR="00324143" w:rsidRPr="001E6DFD">
              <w:rPr>
                <w:sz w:val="16"/>
                <w:szCs w:val="16"/>
              </w:rPr>
              <w:t xml:space="preserve">offices acceptant les dépôts en ligne depuis le système </w:t>
            </w:r>
            <w:proofErr w:type="spellStart"/>
            <w:r w:rsidR="00324143" w:rsidRPr="001E6DFD">
              <w:rPr>
                <w:sz w:val="16"/>
                <w:szCs w:val="16"/>
              </w:rPr>
              <w:t>ePCT</w:t>
            </w:r>
            <w:proofErr w:type="spellEnd"/>
            <w:r w:rsidR="00324143" w:rsidRPr="001E6DFD">
              <w:rPr>
                <w:sz w:val="16"/>
                <w:szCs w:val="16"/>
              </w:rPr>
              <w:t xml:space="preserve"> </w:t>
            </w:r>
            <w:r w:rsidRPr="001E6DFD">
              <w:rPr>
                <w:sz w:val="16"/>
                <w:szCs w:val="16"/>
              </w:rPr>
              <w:t xml:space="preserve">(+55% </w:t>
            </w:r>
            <w:r w:rsidR="00324143" w:rsidRPr="001E6DFD">
              <w:rPr>
                <w:sz w:val="16"/>
                <w:szCs w:val="16"/>
              </w:rPr>
              <w:t xml:space="preserve">par rapport à </w:t>
            </w:r>
            <w:r w:rsidRPr="001E6DFD">
              <w:rPr>
                <w:sz w:val="16"/>
                <w:szCs w:val="16"/>
              </w:rPr>
              <w:t>2015)</w:t>
            </w:r>
          </w:p>
          <w:p w14:paraId="48EBE8FB" w14:textId="77777777" w:rsidR="001F64B1" w:rsidRPr="001E6DFD" w:rsidRDefault="001F64B1" w:rsidP="0097226C">
            <w:pPr>
              <w:keepNext/>
              <w:keepLines/>
              <w:rPr>
                <w:sz w:val="16"/>
                <w:szCs w:val="16"/>
              </w:rPr>
            </w:pPr>
          </w:p>
          <w:p w14:paraId="1D55CFA9" w14:textId="77777777" w:rsidR="001F64B1" w:rsidRPr="001E6DFD" w:rsidRDefault="001F64B1" w:rsidP="0097226C">
            <w:pPr>
              <w:keepNext/>
              <w:keepLines/>
              <w:rPr>
                <w:sz w:val="16"/>
                <w:szCs w:val="16"/>
              </w:rPr>
            </w:pPr>
          </w:p>
          <w:p w14:paraId="3882538F" w14:textId="63A56395" w:rsidR="00FA22F6" w:rsidRPr="001E6DFD" w:rsidRDefault="00BA5EA9" w:rsidP="0097226C">
            <w:pPr>
              <w:keepNext/>
              <w:keepLines/>
              <w:rPr>
                <w:sz w:val="16"/>
                <w:szCs w:val="16"/>
              </w:rPr>
            </w:pPr>
            <w:r w:rsidRPr="001E6DFD">
              <w:rPr>
                <w:sz w:val="16"/>
                <w:szCs w:val="16"/>
              </w:rPr>
              <w:t xml:space="preserve">45 </w:t>
            </w:r>
            <w:r w:rsidR="00324143" w:rsidRPr="001E6DFD">
              <w:rPr>
                <w:sz w:val="16"/>
                <w:szCs w:val="16"/>
              </w:rPr>
              <w:t xml:space="preserve">offices récepteurs </w:t>
            </w:r>
            <w:r w:rsidRPr="001E6DFD">
              <w:rPr>
                <w:sz w:val="16"/>
                <w:szCs w:val="16"/>
              </w:rPr>
              <w:t xml:space="preserve">(+32% </w:t>
            </w:r>
            <w:r w:rsidR="00324143" w:rsidRPr="001E6DFD">
              <w:rPr>
                <w:sz w:val="16"/>
                <w:szCs w:val="16"/>
              </w:rPr>
              <w:t xml:space="preserve">par rapport à </w:t>
            </w:r>
            <w:r w:rsidRPr="001E6DFD">
              <w:rPr>
                <w:sz w:val="16"/>
                <w:szCs w:val="16"/>
              </w:rPr>
              <w:t xml:space="preserve">2015) </w:t>
            </w:r>
            <w:r w:rsidR="00324143" w:rsidRPr="001E6DFD">
              <w:rPr>
                <w:sz w:val="16"/>
                <w:szCs w:val="16"/>
              </w:rPr>
              <w:t xml:space="preserve">et </w:t>
            </w:r>
            <w:r w:rsidRPr="001E6DFD">
              <w:rPr>
                <w:sz w:val="16"/>
                <w:szCs w:val="16"/>
              </w:rPr>
              <w:t>13</w:t>
            </w:r>
            <w:r w:rsidR="00B4191E">
              <w:rPr>
                <w:sz w:val="16"/>
                <w:szCs w:val="16"/>
              </w:rPr>
              <w:t> </w:t>
            </w:r>
            <w:r w:rsidR="00324143" w:rsidRPr="001E6DFD">
              <w:rPr>
                <w:sz w:val="16"/>
                <w:szCs w:val="16"/>
              </w:rPr>
              <w:t xml:space="preserve">administrations chargées de la recherche internationale acceptant des documents transmis par les déposants </w:t>
            </w:r>
            <w:r w:rsidRPr="001E6DFD">
              <w:rPr>
                <w:sz w:val="16"/>
                <w:szCs w:val="16"/>
              </w:rPr>
              <w:t xml:space="preserve">(+63% </w:t>
            </w:r>
            <w:r w:rsidR="0014022E" w:rsidRPr="001E6DFD">
              <w:rPr>
                <w:sz w:val="16"/>
                <w:szCs w:val="16"/>
              </w:rPr>
              <w:t xml:space="preserve">par rapport à </w:t>
            </w:r>
            <w:r w:rsidRPr="001E6DFD">
              <w:rPr>
                <w:sz w:val="16"/>
                <w:szCs w:val="16"/>
              </w:rPr>
              <w:t>2015)</w:t>
            </w:r>
          </w:p>
          <w:p w14:paraId="7C3633BB" w14:textId="43EB64AF" w:rsidR="001F64B1" w:rsidRPr="001E6DFD" w:rsidRDefault="001F64B1" w:rsidP="0097226C">
            <w:pPr>
              <w:keepNext/>
              <w:keepLines/>
              <w:rPr>
                <w:sz w:val="16"/>
                <w:szCs w:val="16"/>
              </w:rPr>
            </w:pPr>
          </w:p>
          <w:p w14:paraId="466B7E4D" w14:textId="77777777" w:rsidR="001F64B1" w:rsidRPr="001E6DFD" w:rsidRDefault="001F64B1" w:rsidP="0097226C">
            <w:pPr>
              <w:keepNext/>
              <w:keepLines/>
              <w:rPr>
                <w:sz w:val="16"/>
                <w:szCs w:val="16"/>
              </w:rPr>
            </w:pPr>
          </w:p>
          <w:p w14:paraId="24D92312" w14:textId="220EE43A" w:rsidR="00BA5EA9" w:rsidRPr="001E6DFD" w:rsidRDefault="00282CF5" w:rsidP="0097226C">
            <w:pPr>
              <w:keepNext/>
              <w:keepLines/>
              <w:rPr>
                <w:sz w:val="16"/>
                <w:szCs w:val="16"/>
              </w:rPr>
            </w:pPr>
            <w:r w:rsidRPr="001E6DFD">
              <w:rPr>
                <w:sz w:val="16"/>
                <w:szCs w:val="16"/>
              </w:rPr>
              <w:t>10 843</w:t>
            </w:r>
            <w:r w:rsidR="00BA5EA9" w:rsidRPr="001E6DFD">
              <w:rPr>
                <w:sz w:val="16"/>
                <w:szCs w:val="16"/>
              </w:rPr>
              <w:t xml:space="preserve"> </w:t>
            </w:r>
            <w:r w:rsidR="00324143" w:rsidRPr="001E6DFD">
              <w:rPr>
                <w:sz w:val="16"/>
                <w:szCs w:val="16"/>
              </w:rPr>
              <w:t xml:space="preserve">dépôts au moyen du système </w:t>
            </w:r>
            <w:proofErr w:type="spellStart"/>
            <w:r w:rsidR="00324143" w:rsidRPr="001E6DFD">
              <w:rPr>
                <w:sz w:val="16"/>
                <w:szCs w:val="16"/>
              </w:rPr>
              <w:t>ePCT</w:t>
            </w:r>
            <w:proofErr w:type="spellEnd"/>
            <w:r w:rsidR="00324143" w:rsidRPr="001E6DFD">
              <w:rPr>
                <w:sz w:val="16"/>
                <w:szCs w:val="16"/>
              </w:rPr>
              <w:t xml:space="preserve"> </w:t>
            </w:r>
            <w:r w:rsidR="00BA5EA9" w:rsidRPr="001E6DFD">
              <w:rPr>
                <w:sz w:val="16"/>
                <w:szCs w:val="16"/>
              </w:rPr>
              <w:t xml:space="preserve">(+50% </w:t>
            </w:r>
            <w:r w:rsidR="0014022E" w:rsidRPr="001E6DFD">
              <w:rPr>
                <w:sz w:val="16"/>
                <w:szCs w:val="16"/>
              </w:rPr>
              <w:t xml:space="preserve">par rapport à </w:t>
            </w:r>
            <w:r w:rsidR="00BA5EA9" w:rsidRPr="001E6DFD">
              <w:rPr>
                <w:sz w:val="16"/>
                <w:szCs w:val="16"/>
              </w:rPr>
              <w:t>2015)</w:t>
            </w:r>
          </w:p>
        </w:tc>
        <w:tc>
          <w:tcPr>
            <w:tcW w:w="554" w:type="pct"/>
            <w:shd w:val="clear" w:color="auto" w:fill="auto"/>
            <w:tcMar>
              <w:top w:w="110" w:type="dxa"/>
              <w:left w:w="58" w:type="dxa"/>
              <w:right w:w="58" w:type="dxa"/>
            </w:tcMar>
          </w:tcPr>
          <w:p w14:paraId="39232DE0" w14:textId="77777777" w:rsidR="001F64B1" w:rsidRPr="001E6DFD" w:rsidRDefault="001F64B1" w:rsidP="0097226C">
            <w:pPr>
              <w:keepNext/>
              <w:keepLines/>
              <w:jc w:val="center"/>
              <w:rPr>
                <w:b/>
                <w:sz w:val="16"/>
                <w:szCs w:val="16"/>
              </w:rPr>
            </w:pPr>
          </w:p>
          <w:p w14:paraId="15A3B708" w14:textId="77777777" w:rsidR="001F64B1" w:rsidRPr="001E6DFD" w:rsidRDefault="001F64B1" w:rsidP="0097226C">
            <w:pPr>
              <w:keepNext/>
              <w:keepLines/>
              <w:jc w:val="center"/>
              <w:rPr>
                <w:b/>
                <w:sz w:val="16"/>
                <w:szCs w:val="16"/>
              </w:rPr>
            </w:pPr>
          </w:p>
          <w:p w14:paraId="44B15A6A" w14:textId="77777777" w:rsidR="001F64B1" w:rsidRPr="001E6DFD" w:rsidRDefault="001F64B1" w:rsidP="0097226C">
            <w:pPr>
              <w:keepNext/>
              <w:keepLines/>
              <w:jc w:val="center"/>
              <w:rPr>
                <w:b/>
                <w:sz w:val="16"/>
                <w:szCs w:val="16"/>
              </w:rPr>
            </w:pPr>
          </w:p>
          <w:p w14:paraId="62E66A4D" w14:textId="77777777" w:rsidR="001F64B1" w:rsidRPr="001E6DFD" w:rsidRDefault="00A43B2F" w:rsidP="0097226C">
            <w:pPr>
              <w:keepNext/>
              <w:keepLines/>
              <w:jc w:val="center"/>
              <w:rPr>
                <w:b/>
                <w:sz w:val="16"/>
                <w:szCs w:val="16"/>
              </w:rPr>
            </w:pPr>
            <w:r w:rsidRPr="001E6DFD">
              <w:rPr>
                <w:b/>
                <w:color w:val="00B050"/>
                <w:sz w:val="16"/>
                <w:szCs w:val="16"/>
              </w:rPr>
              <w:t>En bonne voie</w:t>
            </w:r>
          </w:p>
          <w:p w14:paraId="3C88E4FD" w14:textId="77777777" w:rsidR="001F64B1" w:rsidRPr="001E6DFD" w:rsidRDefault="001F64B1" w:rsidP="0097226C">
            <w:pPr>
              <w:keepNext/>
              <w:keepLines/>
              <w:jc w:val="center"/>
              <w:rPr>
                <w:b/>
                <w:sz w:val="16"/>
                <w:szCs w:val="16"/>
              </w:rPr>
            </w:pPr>
          </w:p>
          <w:p w14:paraId="6AC58FA8" w14:textId="77777777" w:rsidR="001F64B1" w:rsidRPr="001E6DFD" w:rsidRDefault="001F64B1" w:rsidP="0097226C">
            <w:pPr>
              <w:keepNext/>
              <w:keepLines/>
              <w:jc w:val="center"/>
              <w:rPr>
                <w:b/>
                <w:sz w:val="16"/>
                <w:szCs w:val="16"/>
              </w:rPr>
            </w:pPr>
          </w:p>
          <w:p w14:paraId="38250064" w14:textId="77777777" w:rsidR="001F64B1" w:rsidRPr="001E6DFD" w:rsidRDefault="001F64B1" w:rsidP="006C4DF8">
            <w:pPr>
              <w:keepNext/>
              <w:keepLines/>
              <w:jc w:val="center"/>
              <w:rPr>
                <w:b/>
                <w:sz w:val="16"/>
                <w:szCs w:val="16"/>
              </w:rPr>
            </w:pPr>
          </w:p>
          <w:p w14:paraId="79AB1C31" w14:textId="77777777" w:rsidR="001F64B1" w:rsidRPr="001E6DFD" w:rsidRDefault="00A43B2F" w:rsidP="006C4DF8">
            <w:pPr>
              <w:keepNext/>
              <w:keepLines/>
              <w:jc w:val="center"/>
              <w:rPr>
                <w:b/>
                <w:sz w:val="16"/>
                <w:szCs w:val="16"/>
              </w:rPr>
            </w:pPr>
            <w:r w:rsidRPr="001E6DFD">
              <w:rPr>
                <w:b/>
                <w:color w:val="00B050"/>
                <w:sz w:val="16"/>
                <w:szCs w:val="16"/>
              </w:rPr>
              <w:t>En bonne voie</w:t>
            </w:r>
          </w:p>
          <w:p w14:paraId="34656A87" w14:textId="77777777" w:rsidR="001F64B1" w:rsidRPr="001E6DFD" w:rsidRDefault="001F64B1" w:rsidP="006C4DF8">
            <w:pPr>
              <w:keepNext/>
              <w:keepLines/>
              <w:jc w:val="center"/>
              <w:rPr>
                <w:b/>
                <w:sz w:val="16"/>
                <w:szCs w:val="16"/>
              </w:rPr>
            </w:pPr>
          </w:p>
          <w:p w14:paraId="31B49815" w14:textId="77777777" w:rsidR="001F64B1" w:rsidRPr="001E6DFD" w:rsidRDefault="001F64B1" w:rsidP="006C4DF8">
            <w:pPr>
              <w:keepNext/>
              <w:keepLines/>
              <w:jc w:val="center"/>
              <w:rPr>
                <w:b/>
                <w:sz w:val="16"/>
                <w:szCs w:val="16"/>
              </w:rPr>
            </w:pPr>
          </w:p>
          <w:p w14:paraId="783B2BB3" w14:textId="77777777" w:rsidR="001F64B1" w:rsidRPr="001E6DFD" w:rsidRDefault="001F64B1" w:rsidP="006C4DF8">
            <w:pPr>
              <w:keepNext/>
              <w:keepLines/>
              <w:jc w:val="center"/>
              <w:rPr>
                <w:b/>
                <w:sz w:val="16"/>
                <w:szCs w:val="16"/>
              </w:rPr>
            </w:pPr>
          </w:p>
          <w:p w14:paraId="11087C93" w14:textId="77777777" w:rsidR="001F64B1" w:rsidRPr="001E6DFD" w:rsidRDefault="001F64B1" w:rsidP="006C4DF8">
            <w:pPr>
              <w:keepNext/>
              <w:keepLines/>
              <w:jc w:val="center"/>
              <w:rPr>
                <w:b/>
                <w:sz w:val="16"/>
                <w:szCs w:val="16"/>
              </w:rPr>
            </w:pPr>
          </w:p>
          <w:p w14:paraId="0D9FC156" w14:textId="77777777" w:rsidR="001F64B1" w:rsidRPr="001E6DFD" w:rsidRDefault="001F64B1" w:rsidP="006C4DF8">
            <w:pPr>
              <w:keepNext/>
              <w:keepLines/>
              <w:jc w:val="center"/>
              <w:rPr>
                <w:b/>
                <w:sz w:val="16"/>
                <w:szCs w:val="16"/>
              </w:rPr>
            </w:pPr>
          </w:p>
          <w:p w14:paraId="44C8C0FB" w14:textId="77777777" w:rsidR="001F64B1" w:rsidRPr="001E6DFD" w:rsidRDefault="001F64B1" w:rsidP="006C4DF8">
            <w:pPr>
              <w:keepNext/>
              <w:keepLines/>
              <w:jc w:val="center"/>
              <w:rPr>
                <w:b/>
                <w:sz w:val="16"/>
                <w:szCs w:val="16"/>
              </w:rPr>
            </w:pPr>
          </w:p>
          <w:p w14:paraId="64A0349F" w14:textId="77777777" w:rsidR="001F64B1" w:rsidRPr="001E6DFD" w:rsidRDefault="001F64B1" w:rsidP="0097226C">
            <w:pPr>
              <w:keepNext/>
              <w:keepLines/>
              <w:jc w:val="center"/>
              <w:rPr>
                <w:b/>
                <w:sz w:val="16"/>
                <w:szCs w:val="16"/>
              </w:rPr>
            </w:pPr>
          </w:p>
          <w:p w14:paraId="710FB6FD"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BA5EA9" w:rsidRPr="001E6DFD" w14:paraId="5CEC98A9" w14:textId="77777777" w:rsidTr="0097226C">
        <w:tc>
          <w:tcPr>
            <w:tcW w:w="5000" w:type="pct"/>
            <w:gridSpan w:val="5"/>
            <w:shd w:val="clear" w:color="auto" w:fill="C6D9F1" w:themeFill="text2" w:themeFillTint="33"/>
            <w:tcMar>
              <w:left w:w="43" w:type="dxa"/>
              <w:right w:w="43" w:type="dxa"/>
            </w:tcMar>
            <w:vAlign w:val="center"/>
          </w:tcPr>
          <w:p w14:paraId="30B2F84E" w14:textId="0D8A2D2F" w:rsidR="00BA5EA9" w:rsidRPr="001E6DFD" w:rsidRDefault="00463DF3"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Cs/>
                <w:sz w:val="16"/>
                <w:szCs w:val="16"/>
              </w:rPr>
              <w:t xml:space="preserve"> II.3 Amélioration de la productivité et de la qualité de service des opérations</w:t>
            </w:r>
            <w:r w:rsidR="00FA22F6" w:rsidRPr="001E6DFD">
              <w:rPr>
                <w:bCs/>
                <w:sz w:val="16"/>
                <w:szCs w:val="16"/>
              </w:rPr>
              <w:t xml:space="preserve"> du PCT</w:t>
            </w:r>
          </w:p>
        </w:tc>
      </w:tr>
      <w:tr w:rsidR="00BA5EA9" w:rsidRPr="001E6DFD" w14:paraId="66B7A794" w14:textId="77777777" w:rsidTr="0097226C">
        <w:tc>
          <w:tcPr>
            <w:tcW w:w="993" w:type="pct"/>
            <w:shd w:val="clear" w:color="auto" w:fill="auto"/>
            <w:tcMar>
              <w:left w:w="58" w:type="dxa"/>
              <w:right w:w="58" w:type="dxa"/>
            </w:tcMar>
            <w:vAlign w:val="center"/>
          </w:tcPr>
          <w:p w14:paraId="7BA97172" w14:textId="46A68D14" w:rsidR="00BA5EA9" w:rsidRPr="001E6DFD" w:rsidRDefault="00463DF3" w:rsidP="0097226C">
            <w:pPr>
              <w:keepNext/>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447" w:type="pct"/>
            <w:shd w:val="clear" w:color="auto" w:fill="auto"/>
            <w:tcMar>
              <w:left w:w="58" w:type="dxa"/>
              <w:right w:w="58" w:type="dxa"/>
            </w:tcMar>
            <w:vAlign w:val="center"/>
          </w:tcPr>
          <w:p w14:paraId="2E720B64" w14:textId="77777777" w:rsidR="00BA5EA9" w:rsidRPr="001E6DFD" w:rsidRDefault="00463DF3" w:rsidP="0097226C">
            <w:pPr>
              <w:keepNext/>
              <w:jc w:val="center"/>
              <w:rPr>
                <w:b/>
                <w:bCs/>
                <w:sz w:val="16"/>
                <w:szCs w:val="16"/>
              </w:rPr>
            </w:pPr>
            <w:r w:rsidRPr="001E6DFD">
              <w:rPr>
                <w:b/>
                <w:bCs/>
                <w:sz w:val="16"/>
                <w:szCs w:val="16"/>
              </w:rPr>
              <w:t>Niveaux de référence</w:t>
            </w:r>
          </w:p>
        </w:tc>
        <w:tc>
          <w:tcPr>
            <w:tcW w:w="647" w:type="pct"/>
            <w:shd w:val="clear" w:color="auto" w:fill="auto"/>
            <w:tcMar>
              <w:top w:w="110" w:type="dxa"/>
              <w:left w:w="43" w:type="dxa"/>
              <w:right w:w="43" w:type="dxa"/>
            </w:tcMar>
            <w:vAlign w:val="center"/>
          </w:tcPr>
          <w:p w14:paraId="682BC13C" w14:textId="77777777" w:rsidR="00BA5EA9" w:rsidRPr="001E6DFD" w:rsidRDefault="00463DF3" w:rsidP="0097226C">
            <w:pPr>
              <w:keepNext/>
              <w:jc w:val="center"/>
              <w:rPr>
                <w:b/>
                <w:bCs/>
                <w:sz w:val="16"/>
                <w:szCs w:val="16"/>
              </w:rPr>
            </w:pPr>
            <w:r w:rsidRPr="001E6DFD">
              <w:rPr>
                <w:b/>
                <w:bCs/>
                <w:sz w:val="16"/>
                <w:szCs w:val="16"/>
              </w:rPr>
              <w:t>Objectifs visés</w:t>
            </w:r>
          </w:p>
        </w:tc>
        <w:tc>
          <w:tcPr>
            <w:tcW w:w="1358" w:type="pct"/>
            <w:shd w:val="clear" w:color="auto" w:fill="FFFFFF"/>
            <w:tcMar>
              <w:top w:w="110" w:type="dxa"/>
              <w:left w:w="58" w:type="dxa"/>
              <w:right w:w="58" w:type="dxa"/>
            </w:tcMar>
            <w:vAlign w:val="center"/>
          </w:tcPr>
          <w:p w14:paraId="71A106B1" w14:textId="6C5F220C" w:rsidR="00BA5EA9" w:rsidRPr="001E6DFD" w:rsidRDefault="00463DF3" w:rsidP="0097226C">
            <w:pPr>
              <w:keepNext/>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54" w:type="pct"/>
            <w:shd w:val="clear" w:color="auto" w:fill="auto"/>
            <w:tcMar>
              <w:top w:w="110" w:type="dxa"/>
              <w:left w:w="58" w:type="dxa"/>
              <w:right w:w="58" w:type="dxa"/>
            </w:tcMar>
            <w:vAlign w:val="center"/>
          </w:tcPr>
          <w:p w14:paraId="498AA3B8" w14:textId="4F93D6B8"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7C5CB6EE" w14:textId="77777777" w:rsidTr="0097226C">
        <w:tc>
          <w:tcPr>
            <w:tcW w:w="993" w:type="pct"/>
            <w:shd w:val="clear" w:color="auto" w:fill="auto"/>
            <w:tcMar>
              <w:left w:w="58" w:type="dxa"/>
              <w:right w:w="58" w:type="dxa"/>
            </w:tcMar>
          </w:tcPr>
          <w:p w14:paraId="2EA4BB86" w14:textId="42B2EFF6"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Coût unitaire du traitement d</w:t>
            </w:r>
            <w:r w:rsidR="00FA22F6" w:rsidRPr="001E6DFD">
              <w:rPr>
                <w:rFonts w:eastAsia="SimSun"/>
                <w:sz w:val="16"/>
                <w:szCs w:val="16"/>
              </w:rPr>
              <w:t>’</w:t>
            </w:r>
            <w:r w:rsidRPr="001E6DFD">
              <w:rPr>
                <w:rFonts w:eastAsia="SimSun"/>
                <w:sz w:val="16"/>
                <w:szCs w:val="16"/>
              </w:rPr>
              <w:t>une demande</w:t>
            </w:r>
          </w:p>
        </w:tc>
        <w:tc>
          <w:tcPr>
            <w:tcW w:w="1447" w:type="pct"/>
            <w:shd w:val="clear" w:color="auto" w:fill="auto"/>
            <w:tcMar>
              <w:left w:w="58" w:type="dxa"/>
              <w:right w:w="58" w:type="dxa"/>
            </w:tcMar>
          </w:tcPr>
          <w:p w14:paraId="10B0AAC7" w14:textId="0AE65FA8"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18617091" w14:textId="0BF9DD08" w:rsidR="001F64B1" w:rsidRPr="001E6DFD" w:rsidRDefault="00463DF3" w:rsidP="0097226C">
            <w:pPr>
              <w:keepNext/>
              <w:keepLines/>
              <w:rPr>
                <w:color w:val="002060"/>
                <w:sz w:val="16"/>
                <w:szCs w:val="16"/>
              </w:rPr>
            </w:pPr>
            <w:r w:rsidRPr="001E6DFD">
              <w:rPr>
                <w:color w:val="002060"/>
                <w:sz w:val="16"/>
                <w:szCs w:val="16"/>
              </w:rPr>
              <w:t>66</w:t>
            </w:r>
            <w:r w:rsidR="00FA22F6" w:rsidRPr="001E6DFD">
              <w:rPr>
                <w:color w:val="002060"/>
                <w:sz w:val="16"/>
                <w:szCs w:val="16"/>
              </w:rPr>
              <w:t>2 franc</w:t>
            </w:r>
            <w:r w:rsidRPr="001E6DFD">
              <w:rPr>
                <w:color w:val="002060"/>
                <w:sz w:val="16"/>
                <w:szCs w:val="16"/>
              </w:rPr>
              <w:t>s suisses (2014)</w:t>
            </w:r>
          </w:p>
          <w:p w14:paraId="6D2818C1" w14:textId="2C895BF0" w:rsidR="001F64B1" w:rsidRPr="001E6DFD" w:rsidRDefault="006115F9" w:rsidP="0097226C">
            <w:pPr>
              <w:keepNext/>
              <w:keepLines/>
              <w:rPr>
                <w:color w:val="002060"/>
                <w:sz w:val="16"/>
                <w:szCs w:val="16"/>
              </w:rPr>
            </w:pPr>
            <w:r w:rsidRPr="001E6DFD">
              <w:rPr>
                <w:color w:val="002060"/>
                <w:sz w:val="16"/>
                <w:szCs w:val="16"/>
              </w:rPr>
              <w:t>73</w:t>
            </w:r>
            <w:r w:rsidR="00FA22F6" w:rsidRPr="001E6DFD">
              <w:rPr>
                <w:color w:val="002060"/>
                <w:sz w:val="16"/>
                <w:szCs w:val="16"/>
              </w:rPr>
              <w:t>5 franc</w:t>
            </w:r>
            <w:r w:rsidR="00540D53" w:rsidRPr="001E6DFD">
              <w:rPr>
                <w:color w:val="002060"/>
                <w:sz w:val="16"/>
                <w:szCs w:val="16"/>
              </w:rPr>
              <w:t>s</w:t>
            </w:r>
            <w:r w:rsidRPr="001E6DFD">
              <w:rPr>
                <w:color w:val="002060"/>
                <w:sz w:val="16"/>
                <w:szCs w:val="16"/>
              </w:rPr>
              <w:t xml:space="preserve"> suisse</w:t>
            </w:r>
            <w:r w:rsidR="00540D53" w:rsidRPr="001E6DFD">
              <w:rPr>
                <w:color w:val="002060"/>
                <w:sz w:val="16"/>
                <w:szCs w:val="16"/>
              </w:rPr>
              <w:t>s</w:t>
            </w:r>
            <w:r w:rsidR="00463DF3" w:rsidRPr="001E6DFD">
              <w:rPr>
                <w:color w:val="002060"/>
                <w:sz w:val="16"/>
                <w:szCs w:val="16"/>
              </w:rPr>
              <w:t xml:space="preserve"> (2015)</w:t>
            </w:r>
          </w:p>
          <w:p w14:paraId="689B788D" w14:textId="77777777" w:rsidR="001F64B1" w:rsidRPr="001E6DFD" w:rsidRDefault="001F64B1" w:rsidP="0097226C">
            <w:pPr>
              <w:rPr>
                <w:i/>
                <w:sz w:val="16"/>
                <w:szCs w:val="16"/>
              </w:rPr>
            </w:pPr>
          </w:p>
          <w:p w14:paraId="2F6CA9EB" w14:textId="28649820" w:rsidR="001F64B1" w:rsidRPr="001E6DFD" w:rsidRDefault="00E64532" w:rsidP="0097226C">
            <w:pPr>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76BF5709" w14:textId="5254A68F" w:rsidR="00BA5EA9" w:rsidRPr="001E6DFD" w:rsidRDefault="00463DF3" w:rsidP="0097226C">
            <w:pPr>
              <w:rPr>
                <w:rFonts w:eastAsia="SimSun"/>
                <w:sz w:val="16"/>
                <w:szCs w:val="16"/>
              </w:rPr>
            </w:pPr>
            <w:r w:rsidRPr="001E6DFD">
              <w:rPr>
                <w:rFonts w:eastAsia="SimSun"/>
                <w:sz w:val="16"/>
                <w:szCs w:val="16"/>
              </w:rPr>
              <w:t>66</w:t>
            </w:r>
            <w:r w:rsidR="00FA22F6" w:rsidRPr="001E6DFD">
              <w:rPr>
                <w:rFonts w:eastAsia="SimSun"/>
                <w:sz w:val="16"/>
                <w:szCs w:val="16"/>
              </w:rPr>
              <w:t>2 franc</w:t>
            </w:r>
            <w:r w:rsidRPr="001E6DFD">
              <w:rPr>
                <w:rFonts w:eastAsia="SimSun"/>
                <w:sz w:val="16"/>
                <w:szCs w:val="16"/>
              </w:rPr>
              <w:t>s suisses (2014)</w:t>
            </w:r>
          </w:p>
        </w:tc>
        <w:tc>
          <w:tcPr>
            <w:tcW w:w="647" w:type="pct"/>
            <w:shd w:val="clear" w:color="auto" w:fill="auto"/>
            <w:tcMar>
              <w:top w:w="110" w:type="dxa"/>
              <w:left w:w="43" w:type="dxa"/>
              <w:right w:w="43" w:type="dxa"/>
            </w:tcMar>
          </w:tcPr>
          <w:p w14:paraId="0DC36414" w14:textId="7DFC6196"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70277173" w14:textId="6C3D54D6" w:rsidR="00FA22F6" w:rsidRPr="001E6DFD" w:rsidRDefault="00F62719" w:rsidP="0097226C">
            <w:pPr>
              <w:rPr>
                <w:color w:val="002060"/>
                <w:sz w:val="16"/>
                <w:szCs w:val="16"/>
              </w:rPr>
            </w:pPr>
            <w:r w:rsidRPr="001E6DFD">
              <w:rPr>
                <w:color w:val="002060"/>
                <w:sz w:val="16"/>
                <w:szCs w:val="16"/>
              </w:rPr>
              <w:t xml:space="preserve">Réduction de </w:t>
            </w:r>
            <w:r w:rsidR="00BA5EA9" w:rsidRPr="001E6DFD">
              <w:rPr>
                <w:color w:val="002060"/>
                <w:sz w:val="16"/>
                <w:szCs w:val="16"/>
              </w:rPr>
              <w:t xml:space="preserve">10% </w:t>
            </w:r>
            <w:r w:rsidRPr="001E6DFD">
              <w:rPr>
                <w:color w:val="002060"/>
                <w:sz w:val="16"/>
                <w:szCs w:val="16"/>
              </w:rPr>
              <w:t>du coût unitaire</w:t>
            </w:r>
            <w:r w:rsidR="00A83D07">
              <w:rPr>
                <w:color w:val="002060"/>
                <w:sz w:val="16"/>
                <w:szCs w:val="16"/>
              </w:rPr>
              <w:t xml:space="preserve"> </w:t>
            </w:r>
            <w:r w:rsidR="00A06ED3">
              <w:rPr>
                <w:color w:val="002060"/>
                <w:sz w:val="16"/>
                <w:szCs w:val="16"/>
              </w:rPr>
              <w:t>sur l’exercice biennal</w:t>
            </w:r>
          </w:p>
          <w:p w14:paraId="56CA260B" w14:textId="1BE30AF1" w:rsidR="001F64B1" w:rsidRPr="001303B4" w:rsidRDefault="001F64B1" w:rsidP="0097226C">
            <w:pPr>
              <w:keepNext/>
              <w:keepLines/>
              <w:rPr>
                <w:sz w:val="16"/>
                <w:szCs w:val="16"/>
              </w:rPr>
            </w:pPr>
          </w:p>
          <w:p w14:paraId="28AEB570" w14:textId="6D6AA740" w:rsidR="00FA22F6" w:rsidRPr="001E6DFD" w:rsidRDefault="00604D96" w:rsidP="0097226C">
            <w:pPr>
              <w:rPr>
                <w:i/>
                <w:sz w:val="16"/>
                <w:szCs w:val="16"/>
                <w:lang w:bidi="th-TH"/>
              </w:rPr>
            </w:pPr>
            <w:r w:rsidRPr="001E6DFD">
              <w:rPr>
                <w:i/>
                <w:sz w:val="16"/>
                <w:szCs w:val="16"/>
                <w:lang w:bidi="th-TH"/>
              </w:rPr>
              <w:t xml:space="preserve">Objectif initial dans le </w:t>
            </w:r>
            <w:r w:rsidRPr="001E6DFD">
              <w:rPr>
                <w:i/>
                <w:sz w:val="16"/>
                <w:szCs w:val="16"/>
                <w:lang w:bidi="th-TH"/>
              </w:rPr>
              <w:lastRenderedPageBreak/>
              <w:t>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691B410" w14:textId="1035F700"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Maintien du coût unitaire au niveau actuel malgré les investissements prévus pour renforcer la résilience et les niveaux de sécurité</w:t>
            </w:r>
            <w:r w:rsidR="00FA22F6" w:rsidRPr="001E6DFD">
              <w:rPr>
                <w:rFonts w:eastAsia="SimSun"/>
                <w:sz w:val="16"/>
                <w:szCs w:val="16"/>
              </w:rPr>
              <w:t xml:space="preserve"> du PCT</w:t>
            </w:r>
          </w:p>
        </w:tc>
        <w:tc>
          <w:tcPr>
            <w:tcW w:w="1358" w:type="pct"/>
            <w:shd w:val="clear" w:color="auto" w:fill="FFFFFF"/>
            <w:tcMar>
              <w:top w:w="110" w:type="dxa"/>
              <w:left w:w="58" w:type="dxa"/>
              <w:right w:w="58" w:type="dxa"/>
            </w:tcMar>
          </w:tcPr>
          <w:p w14:paraId="6E2C58BD" w14:textId="608B5FDA" w:rsidR="00FA22F6" w:rsidRPr="001E6DFD" w:rsidRDefault="00BA5EA9" w:rsidP="0097226C">
            <w:pPr>
              <w:rPr>
                <w:sz w:val="16"/>
                <w:szCs w:val="16"/>
              </w:rPr>
            </w:pPr>
            <w:r w:rsidRPr="001E6DFD">
              <w:rPr>
                <w:sz w:val="16"/>
                <w:szCs w:val="16"/>
              </w:rPr>
              <w:lastRenderedPageBreak/>
              <w:t>68</w:t>
            </w:r>
            <w:r w:rsidR="00FA22F6" w:rsidRPr="001E6DFD">
              <w:rPr>
                <w:sz w:val="16"/>
                <w:szCs w:val="16"/>
              </w:rPr>
              <w:t>5 franc</w:t>
            </w:r>
            <w:r w:rsidR="00463DF3" w:rsidRPr="001E6DFD">
              <w:rPr>
                <w:sz w:val="16"/>
                <w:szCs w:val="16"/>
              </w:rPr>
              <w:t>s suisses</w:t>
            </w:r>
          </w:p>
          <w:p w14:paraId="0C0BB00C" w14:textId="0B917038" w:rsidR="00BA5EA9" w:rsidRPr="001E6DFD" w:rsidRDefault="00BA5EA9" w:rsidP="0097226C">
            <w:pPr>
              <w:rPr>
                <w:sz w:val="16"/>
                <w:szCs w:val="16"/>
              </w:rPr>
            </w:pPr>
            <w:r w:rsidRPr="001E6DFD">
              <w:rPr>
                <w:sz w:val="16"/>
                <w:szCs w:val="16"/>
              </w:rPr>
              <w:t>(</w:t>
            </w:r>
            <w:r w:rsidR="006A41CF" w:rsidRPr="001E6DFD">
              <w:rPr>
                <w:sz w:val="16"/>
                <w:szCs w:val="16"/>
              </w:rPr>
              <w:noBreakHyphen/>
            </w:r>
            <w:r w:rsidR="00505EF6" w:rsidRPr="001E6DFD">
              <w:rPr>
                <w:sz w:val="16"/>
                <w:szCs w:val="16"/>
              </w:rPr>
              <w:t>6,8%</w:t>
            </w:r>
            <w:r w:rsidR="00F62719" w:rsidRPr="001E6DFD">
              <w:rPr>
                <w:sz w:val="16"/>
                <w:szCs w:val="16"/>
              </w:rPr>
              <w:t xml:space="preserve"> par rapport à </w:t>
            </w:r>
            <w:r w:rsidRPr="001E6DFD">
              <w:rPr>
                <w:sz w:val="16"/>
                <w:szCs w:val="16"/>
              </w:rPr>
              <w:t>2015</w:t>
            </w:r>
            <w:r w:rsidR="00F62719" w:rsidRPr="001E6DFD">
              <w:rPr>
                <w:sz w:val="16"/>
                <w:szCs w:val="16"/>
              </w:rPr>
              <w:t>)</w:t>
            </w:r>
          </w:p>
        </w:tc>
        <w:tc>
          <w:tcPr>
            <w:tcW w:w="554" w:type="pct"/>
            <w:shd w:val="clear" w:color="auto" w:fill="auto"/>
            <w:tcMar>
              <w:top w:w="110" w:type="dxa"/>
              <w:left w:w="58" w:type="dxa"/>
              <w:right w:w="58" w:type="dxa"/>
            </w:tcMar>
          </w:tcPr>
          <w:p w14:paraId="376D6F89"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BA5EA9" w:rsidRPr="001E6DFD" w14:paraId="764E1FF5" w14:textId="77777777" w:rsidTr="0097226C">
        <w:tc>
          <w:tcPr>
            <w:tcW w:w="993" w:type="pct"/>
            <w:shd w:val="clear" w:color="auto" w:fill="auto"/>
            <w:tcMar>
              <w:left w:w="58" w:type="dxa"/>
              <w:right w:w="58" w:type="dxa"/>
            </w:tcMar>
          </w:tcPr>
          <w:p w14:paraId="0BE2B257" w14:textId="23C3D030"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lastRenderedPageBreak/>
              <w:t>Qualité globale de l</w:t>
            </w:r>
            <w:r w:rsidR="00FA22F6" w:rsidRPr="001E6DFD">
              <w:rPr>
                <w:rFonts w:eastAsia="SimSun"/>
                <w:sz w:val="16"/>
                <w:szCs w:val="16"/>
              </w:rPr>
              <w:t>’</w:t>
            </w:r>
            <w:r w:rsidRPr="001E6DFD">
              <w:rPr>
                <w:rFonts w:eastAsia="SimSun"/>
                <w:sz w:val="16"/>
                <w:szCs w:val="16"/>
              </w:rPr>
              <w:t>examen de forme (</w:t>
            </w:r>
            <w:r w:rsidR="00FA22F6" w:rsidRPr="001E6DFD">
              <w:rPr>
                <w:rFonts w:eastAsia="SimSun"/>
                <w:sz w:val="16"/>
                <w:szCs w:val="16"/>
              </w:rPr>
              <w:t>y compris</w:t>
            </w:r>
            <w:r w:rsidRPr="001E6DFD">
              <w:rPr>
                <w:rFonts w:eastAsia="SimSun"/>
                <w:sz w:val="16"/>
                <w:szCs w:val="16"/>
              </w:rPr>
              <w:t xml:space="preserve"> les délais)</w:t>
            </w:r>
          </w:p>
        </w:tc>
        <w:tc>
          <w:tcPr>
            <w:tcW w:w="1447" w:type="pct"/>
            <w:shd w:val="clear" w:color="auto" w:fill="auto"/>
            <w:tcMar>
              <w:left w:w="58" w:type="dxa"/>
              <w:right w:w="58" w:type="dxa"/>
            </w:tcMar>
          </w:tcPr>
          <w:p w14:paraId="4F068E85" w14:textId="1A546D58"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43EB38CE" w14:textId="0A25CEB1" w:rsidR="001F64B1" w:rsidRPr="001E6DFD" w:rsidRDefault="00604D96" w:rsidP="0097226C">
            <w:pPr>
              <w:rPr>
                <w:color w:val="002060"/>
                <w:sz w:val="16"/>
                <w:szCs w:val="16"/>
              </w:rPr>
            </w:pPr>
            <w:r w:rsidRPr="001E6DFD">
              <w:rPr>
                <w:color w:val="002060"/>
                <w:sz w:val="16"/>
                <w:szCs w:val="16"/>
              </w:rPr>
              <w:t>92,</w:t>
            </w:r>
            <w:r w:rsidR="00BA5EA9" w:rsidRPr="001E6DFD">
              <w:rPr>
                <w:color w:val="002060"/>
                <w:sz w:val="16"/>
                <w:szCs w:val="16"/>
              </w:rPr>
              <w:t>7%</w:t>
            </w:r>
          </w:p>
          <w:p w14:paraId="31EF0463" w14:textId="77777777" w:rsidR="001F64B1" w:rsidRPr="001E6DFD" w:rsidRDefault="001F64B1" w:rsidP="0097226C">
            <w:pPr>
              <w:rPr>
                <w:sz w:val="16"/>
                <w:szCs w:val="16"/>
              </w:rPr>
            </w:pPr>
          </w:p>
          <w:p w14:paraId="2BC8F21F" w14:textId="18B8EE1C"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6CF87A3" w14:textId="4996730F" w:rsidR="00BA5EA9" w:rsidRPr="001E6DFD" w:rsidRDefault="00604D96" w:rsidP="0097226C">
            <w:pPr>
              <w:widowControl w:val="0"/>
              <w:tabs>
                <w:tab w:val="left" w:pos="1733"/>
              </w:tabs>
              <w:autoSpaceDE w:val="0"/>
              <w:autoSpaceDN w:val="0"/>
              <w:adjustRightInd w:val="0"/>
              <w:ind w:right="321"/>
              <w:rPr>
                <w:rFonts w:eastAsia="SimSun"/>
                <w:sz w:val="16"/>
                <w:szCs w:val="16"/>
              </w:rPr>
            </w:pPr>
            <w:r w:rsidRPr="001E6DFD">
              <w:rPr>
                <w:rFonts w:eastAsia="SimSun"/>
                <w:sz w:val="16"/>
                <w:szCs w:val="16"/>
              </w:rPr>
              <w:t>93,</w:t>
            </w:r>
            <w:r w:rsidR="00BA5EA9" w:rsidRPr="001E6DFD">
              <w:rPr>
                <w:rFonts w:eastAsia="SimSun"/>
                <w:sz w:val="16"/>
                <w:szCs w:val="16"/>
              </w:rPr>
              <w:t>1% (2014)</w:t>
            </w:r>
          </w:p>
        </w:tc>
        <w:tc>
          <w:tcPr>
            <w:tcW w:w="647" w:type="pct"/>
            <w:shd w:val="clear" w:color="auto" w:fill="auto"/>
            <w:tcMar>
              <w:top w:w="110" w:type="dxa"/>
              <w:left w:w="43" w:type="dxa"/>
              <w:right w:w="43" w:type="dxa"/>
            </w:tcMar>
          </w:tcPr>
          <w:p w14:paraId="76B89CCE" w14:textId="77777777" w:rsidR="00A83D07" w:rsidRDefault="00A83D07" w:rsidP="00A83D07">
            <w:pPr>
              <w:rPr>
                <w:i/>
                <w:color w:val="002060"/>
                <w:sz w:val="16"/>
                <w:szCs w:val="16"/>
              </w:rPr>
            </w:pPr>
            <w:r w:rsidRPr="001E6DFD">
              <w:rPr>
                <w:i/>
                <w:color w:val="002060"/>
                <w:sz w:val="16"/>
                <w:szCs w:val="16"/>
              </w:rPr>
              <w:t>Objectif actualisé :</w:t>
            </w:r>
          </w:p>
          <w:p w14:paraId="23647DEE" w14:textId="77777777" w:rsidR="00A83D07" w:rsidRDefault="00A83D07" w:rsidP="00A83D07">
            <w:pPr>
              <w:rPr>
                <w:color w:val="002060"/>
                <w:sz w:val="16"/>
                <w:szCs w:val="16"/>
              </w:rPr>
            </w:pPr>
            <w:r>
              <w:rPr>
                <w:color w:val="002060"/>
                <w:sz w:val="16"/>
                <w:szCs w:val="16"/>
              </w:rPr>
              <w:t>95% (+/-2%)</w:t>
            </w:r>
          </w:p>
          <w:p w14:paraId="613FC6EF" w14:textId="77777777" w:rsidR="00A83D07" w:rsidRDefault="00A83D07" w:rsidP="00A83D07">
            <w:pPr>
              <w:rPr>
                <w:color w:val="002060"/>
                <w:sz w:val="16"/>
                <w:szCs w:val="16"/>
              </w:rPr>
            </w:pPr>
          </w:p>
          <w:p w14:paraId="047048A4" w14:textId="77777777" w:rsidR="00A83D07" w:rsidRPr="001E6DFD" w:rsidRDefault="00A83D07" w:rsidP="00A83D07">
            <w:pPr>
              <w:rPr>
                <w:i/>
                <w:sz w:val="16"/>
                <w:szCs w:val="16"/>
                <w:lang w:bidi="th-TH"/>
              </w:rPr>
            </w:pPr>
            <w:r w:rsidRPr="001E6DFD">
              <w:rPr>
                <w:i/>
                <w:sz w:val="16"/>
                <w:szCs w:val="16"/>
                <w:lang w:bidi="th-TH"/>
              </w:rPr>
              <w:t>Objectif initial dans le programme et budget 2016</w:t>
            </w:r>
            <w:r w:rsidRPr="001E6DFD">
              <w:rPr>
                <w:i/>
                <w:sz w:val="16"/>
                <w:szCs w:val="16"/>
                <w:lang w:bidi="th-TH"/>
              </w:rPr>
              <w:noBreakHyphen/>
              <w:t>2017 :</w:t>
            </w:r>
          </w:p>
          <w:p w14:paraId="529355B9" w14:textId="77777777"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Amélioration de la qualité</w:t>
            </w:r>
            <w:r w:rsidR="00BA5EA9" w:rsidRPr="001E6DFD">
              <w:rPr>
                <w:rFonts w:eastAsia="SimSun"/>
                <w:sz w:val="16"/>
                <w:szCs w:val="16"/>
              </w:rPr>
              <w:t xml:space="preserve"> </w:t>
            </w:r>
          </w:p>
        </w:tc>
        <w:tc>
          <w:tcPr>
            <w:tcW w:w="1358" w:type="pct"/>
            <w:shd w:val="clear" w:color="auto" w:fill="FFFFFF"/>
            <w:tcMar>
              <w:top w:w="110" w:type="dxa"/>
              <w:left w:w="58" w:type="dxa"/>
              <w:right w:w="58" w:type="dxa"/>
            </w:tcMar>
          </w:tcPr>
          <w:p w14:paraId="794C8E6B" w14:textId="4C9E431B" w:rsidR="00BA5EA9" w:rsidRPr="001E6DFD" w:rsidRDefault="00604D96" w:rsidP="00A83D07">
            <w:pPr>
              <w:keepNext/>
              <w:keepLines/>
              <w:rPr>
                <w:sz w:val="16"/>
                <w:szCs w:val="16"/>
              </w:rPr>
            </w:pPr>
            <w:r w:rsidRPr="001E6DFD">
              <w:rPr>
                <w:sz w:val="16"/>
                <w:szCs w:val="16"/>
              </w:rPr>
              <w:t>95,</w:t>
            </w:r>
            <w:r w:rsidR="00BA5EA9" w:rsidRPr="001E6DFD">
              <w:rPr>
                <w:sz w:val="16"/>
                <w:szCs w:val="16"/>
              </w:rPr>
              <w:t>1%</w:t>
            </w:r>
          </w:p>
        </w:tc>
        <w:tc>
          <w:tcPr>
            <w:tcW w:w="554" w:type="pct"/>
            <w:shd w:val="clear" w:color="auto" w:fill="auto"/>
            <w:tcMar>
              <w:top w:w="110" w:type="dxa"/>
              <w:left w:w="58" w:type="dxa"/>
              <w:right w:w="58" w:type="dxa"/>
            </w:tcMar>
          </w:tcPr>
          <w:p w14:paraId="09009483"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BA5EA9" w:rsidRPr="001E6DFD" w14:paraId="54BF5DD7" w14:textId="77777777" w:rsidTr="0097226C">
        <w:tc>
          <w:tcPr>
            <w:tcW w:w="993" w:type="pct"/>
            <w:shd w:val="clear" w:color="auto" w:fill="auto"/>
            <w:tcMar>
              <w:left w:w="58" w:type="dxa"/>
              <w:right w:w="58" w:type="dxa"/>
            </w:tcMar>
          </w:tcPr>
          <w:p w14:paraId="2E2CE6F3" w14:textId="66BFB6DB"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Délais de traduction des rapports</w:t>
            </w:r>
          </w:p>
        </w:tc>
        <w:tc>
          <w:tcPr>
            <w:tcW w:w="1447" w:type="pct"/>
            <w:shd w:val="clear" w:color="auto" w:fill="auto"/>
            <w:tcMar>
              <w:left w:w="58" w:type="dxa"/>
              <w:right w:w="58" w:type="dxa"/>
            </w:tcMar>
          </w:tcPr>
          <w:p w14:paraId="52CFBAF4" w14:textId="1DFFDE57"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4DBE9354" w14:textId="49FACEBA" w:rsidR="001F64B1" w:rsidRPr="001E6DFD" w:rsidRDefault="00BA5EA9" w:rsidP="0097226C">
            <w:pPr>
              <w:rPr>
                <w:sz w:val="16"/>
                <w:szCs w:val="16"/>
              </w:rPr>
            </w:pPr>
            <w:r w:rsidRPr="001E6DFD">
              <w:rPr>
                <w:color w:val="002060"/>
                <w:sz w:val="16"/>
                <w:szCs w:val="16"/>
              </w:rPr>
              <w:t>90</w:t>
            </w:r>
            <w:r w:rsidR="00505EF6" w:rsidRPr="001E6DFD">
              <w:rPr>
                <w:color w:val="002060"/>
                <w:sz w:val="16"/>
                <w:szCs w:val="16"/>
              </w:rPr>
              <w:t>,</w:t>
            </w:r>
            <w:r w:rsidRPr="001E6DFD">
              <w:rPr>
                <w:color w:val="002060"/>
                <w:sz w:val="16"/>
                <w:szCs w:val="16"/>
              </w:rPr>
              <w:t xml:space="preserve">0% </w:t>
            </w:r>
            <w:r w:rsidR="00F45E1F" w:rsidRPr="001E6DFD">
              <w:rPr>
                <w:color w:val="002060"/>
                <w:sz w:val="16"/>
                <w:szCs w:val="16"/>
              </w:rPr>
              <w:t>en temps voulu</w:t>
            </w:r>
          </w:p>
          <w:p w14:paraId="2326D64F" w14:textId="77777777" w:rsidR="001F64B1" w:rsidRPr="001E6DFD" w:rsidRDefault="001F64B1" w:rsidP="0097226C">
            <w:pPr>
              <w:rPr>
                <w:sz w:val="16"/>
                <w:szCs w:val="16"/>
              </w:rPr>
            </w:pPr>
          </w:p>
          <w:p w14:paraId="79596AEE" w14:textId="76E1CD72"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85D07DC" w14:textId="0643FD4F" w:rsidR="00BA5EA9" w:rsidRPr="001E6DFD" w:rsidRDefault="00BA5EA9" w:rsidP="0097226C">
            <w:pPr>
              <w:widowControl w:val="0"/>
              <w:tabs>
                <w:tab w:val="left" w:pos="1733"/>
              </w:tabs>
              <w:autoSpaceDE w:val="0"/>
              <w:autoSpaceDN w:val="0"/>
              <w:adjustRightInd w:val="0"/>
              <w:ind w:right="321"/>
              <w:rPr>
                <w:rFonts w:eastAsia="SimSun"/>
                <w:sz w:val="16"/>
                <w:szCs w:val="16"/>
              </w:rPr>
            </w:pPr>
            <w:r w:rsidRPr="001E6DFD">
              <w:rPr>
                <w:rFonts w:eastAsia="SimSun"/>
                <w:sz w:val="16"/>
                <w:szCs w:val="16"/>
              </w:rPr>
              <w:t>82</w:t>
            </w:r>
            <w:r w:rsidR="00505EF6" w:rsidRPr="001E6DFD">
              <w:rPr>
                <w:rFonts w:eastAsia="SimSun"/>
                <w:sz w:val="16"/>
                <w:szCs w:val="16"/>
              </w:rPr>
              <w:t>,</w:t>
            </w:r>
            <w:r w:rsidRPr="001E6DFD">
              <w:rPr>
                <w:rFonts w:eastAsia="SimSun"/>
                <w:sz w:val="16"/>
                <w:szCs w:val="16"/>
              </w:rPr>
              <w:t>5% (2014)</w:t>
            </w:r>
          </w:p>
        </w:tc>
        <w:tc>
          <w:tcPr>
            <w:tcW w:w="647" w:type="pct"/>
            <w:shd w:val="clear" w:color="auto" w:fill="auto"/>
            <w:tcMar>
              <w:top w:w="110" w:type="dxa"/>
              <w:left w:w="43" w:type="dxa"/>
              <w:right w:w="43" w:type="dxa"/>
            </w:tcMar>
          </w:tcPr>
          <w:p w14:paraId="38B0F7DD" w14:textId="77777777" w:rsidR="00A83D07" w:rsidRDefault="00A83D07" w:rsidP="00A83D07">
            <w:pPr>
              <w:rPr>
                <w:i/>
                <w:color w:val="002060"/>
                <w:sz w:val="16"/>
                <w:szCs w:val="16"/>
              </w:rPr>
            </w:pPr>
            <w:r w:rsidRPr="001E6DFD">
              <w:rPr>
                <w:i/>
                <w:color w:val="002060"/>
                <w:sz w:val="16"/>
                <w:szCs w:val="16"/>
              </w:rPr>
              <w:t>Objectif actualisé :</w:t>
            </w:r>
          </w:p>
          <w:p w14:paraId="7821B345" w14:textId="4E7106AE" w:rsidR="00A83D07" w:rsidRDefault="00A83D07" w:rsidP="00A83D07">
            <w:pPr>
              <w:rPr>
                <w:color w:val="002060"/>
                <w:sz w:val="16"/>
                <w:szCs w:val="16"/>
              </w:rPr>
            </w:pPr>
            <w:r>
              <w:rPr>
                <w:color w:val="002060"/>
                <w:sz w:val="16"/>
                <w:szCs w:val="16"/>
              </w:rPr>
              <w:t>91% (+/-2%)</w:t>
            </w:r>
          </w:p>
          <w:p w14:paraId="3FE7640A" w14:textId="77777777" w:rsidR="00A83D07" w:rsidRDefault="00A83D07" w:rsidP="00A83D07">
            <w:pPr>
              <w:rPr>
                <w:color w:val="002060"/>
                <w:sz w:val="16"/>
                <w:szCs w:val="16"/>
              </w:rPr>
            </w:pPr>
          </w:p>
          <w:p w14:paraId="2CBF5BA2" w14:textId="77777777" w:rsidR="00A83D07" w:rsidRDefault="00A83D07" w:rsidP="00A83D07">
            <w:pPr>
              <w:widowControl w:val="0"/>
              <w:autoSpaceDE w:val="0"/>
              <w:autoSpaceDN w:val="0"/>
              <w:adjustRightInd w:val="0"/>
              <w:rPr>
                <w:i/>
                <w:sz w:val="16"/>
                <w:szCs w:val="16"/>
                <w:lang w:bidi="th-TH"/>
              </w:rPr>
            </w:pPr>
            <w:r w:rsidRPr="001E6DFD">
              <w:rPr>
                <w:i/>
                <w:sz w:val="16"/>
                <w:szCs w:val="16"/>
                <w:lang w:bidi="th-TH"/>
              </w:rPr>
              <w:t>Objectif initial dans le programme et budget 2016</w:t>
            </w:r>
            <w:r w:rsidRPr="001E6DFD">
              <w:rPr>
                <w:i/>
                <w:sz w:val="16"/>
                <w:szCs w:val="16"/>
                <w:lang w:bidi="th-TH"/>
              </w:rPr>
              <w:noBreakHyphen/>
              <w:t>2017 :</w:t>
            </w:r>
          </w:p>
          <w:p w14:paraId="74032589" w14:textId="442B1A90" w:rsidR="00BA5EA9" w:rsidRPr="001E6DFD" w:rsidRDefault="00463DF3" w:rsidP="00A83D07">
            <w:pPr>
              <w:widowControl w:val="0"/>
              <w:autoSpaceDE w:val="0"/>
              <w:autoSpaceDN w:val="0"/>
              <w:adjustRightInd w:val="0"/>
              <w:rPr>
                <w:rFonts w:eastAsia="SimSun"/>
                <w:sz w:val="16"/>
                <w:szCs w:val="16"/>
              </w:rPr>
            </w:pPr>
            <w:r w:rsidRPr="001E6DFD">
              <w:rPr>
                <w:rFonts w:eastAsia="SimSun"/>
                <w:sz w:val="16"/>
                <w:szCs w:val="16"/>
              </w:rPr>
              <w:t>Amélioration</w:t>
            </w:r>
          </w:p>
        </w:tc>
        <w:tc>
          <w:tcPr>
            <w:tcW w:w="1358" w:type="pct"/>
            <w:shd w:val="clear" w:color="auto" w:fill="FFFFFF"/>
            <w:tcMar>
              <w:top w:w="110" w:type="dxa"/>
              <w:left w:w="58" w:type="dxa"/>
              <w:right w:w="58" w:type="dxa"/>
            </w:tcMar>
          </w:tcPr>
          <w:p w14:paraId="37C3F5D3" w14:textId="6E1BB2EA" w:rsidR="00BA5EA9" w:rsidRPr="001E6DFD" w:rsidRDefault="00BA5EA9" w:rsidP="00A83D07">
            <w:pPr>
              <w:rPr>
                <w:sz w:val="16"/>
                <w:szCs w:val="16"/>
              </w:rPr>
            </w:pPr>
            <w:r w:rsidRPr="001E6DFD">
              <w:rPr>
                <w:sz w:val="16"/>
                <w:szCs w:val="16"/>
              </w:rPr>
              <w:t>89</w:t>
            </w:r>
            <w:r w:rsidR="00505EF6" w:rsidRPr="001E6DFD">
              <w:rPr>
                <w:sz w:val="16"/>
                <w:szCs w:val="16"/>
              </w:rPr>
              <w:t>,</w:t>
            </w:r>
            <w:r w:rsidRPr="001E6DFD">
              <w:rPr>
                <w:sz w:val="16"/>
                <w:szCs w:val="16"/>
              </w:rPr>
              <w:t>1%</w:t>
            </w:r>
          </w:p>
        </w:tc>
        <w:tc>
          <w:tcPr>
            <w:tcW w:w="554" w:type="pct"/>
            <w:shd w:val="clear" w:color="auto" w:fill="auto"/>
            <w:tcMar>
              <w:top w:w="110" w:type="dxa"/>
              <w:left w:w="58" w:type="dxa"/>
              <w:right w:w="58" w:type="dxa"/>
            </w:tcMar>
          </w:tcPr>
          <w:p w14:paraId="73BA7FA2" w14:textId="1EC81CD2" w:rsidR="00BA5EA9" w:rsidRPr="001E6DFD" w:rsidRDefault="00A83D07" w:rsidP="0097226C">
            <w:pPr>
              <w:keepNext/>
              <w:keepLines/>
              <w:jc w:val="center"/>
              <w:rPr>
                <w:sz w:val="16"/>
                <w:szCs w:val="16"/>
              </w:rPr>
            </w:pPr>
            <w:r w:rsidRPr="001E6DFD">
              <w:rPr>
                <w:b/>
                <w:color w:val="00B050"/>
                <w:sz w:val="16"/>
                <w:szCs w:val="16"/>
              </w:rPr>
              <w:t>En bonne voie</w:t>
            </w:r>
          </w:p>
        </w:tc>
      </w:tr>
      <w:tr w:rsidR="00BA5EA9" w:rsidRPr="001E6DFD" w14:paraId="1086B3D3" w14:textId="77777777" w:rsidTr="0097226C">
        <w:tc>
          <w:tcPr>
            <w:tcW w:w="993" w:type="pct"/>
            <w:shd w:val="clear" w:color="auto" w:fill="auto"/>
            <w:tcMar>
              <w:left w:w="58" w:type="dxa"/>
              <w:right w:w="58" w:type="dxa"/>
            </w:tcMar>
          </w:tcPr>
          <w:p w14:paraId="4C7FE1D6" w14:textId="77777777"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Qualité de la traduction</w:t>
            </w:r>
          </w:p>
        </w:tc>
        <w:tc>
          <w:tcPr>
            <w:tcW w:w="1447" w:type="pct"/>
            <w:shd w:val="clear" w:color="auto" w:fill="auto"/>
            <w:tcMar>
              <w:left w:w="58" w:type="dxa"/>
              <w:right w:w="58" w:type="dxa"/>
            </w:tcMar>
          </w:tcPr>
          <w:p w14:paraId="1469B43C" w14:textId="5E2E782F"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00B82CD4" w14:textId="55C17809" w:rsidR="001F64B1" w:rsidRPr="001E6DFD" w:rsidRDefault="00505EF6" w:rsidP="0097226C">
            <w:pPr>
              <w:rPr>
                <w:color w:val="002060"/>
                <w:sz w:val="16"/>
                <w:szCs w:val="16"/>
              </w:rPr>
            </w:pPr>
            <w:r w:rsidRPr="001E6DFD">
              <w:rPr>
                <w:rFonts w:eastAsia="Batang"/>
                <w:color w:val="002060"/>
                <w:sz w:val="16"/>
                <w:szCs w:val="16"/>
                <w:lang w:eastAsia="ja-JP"/>
              </w:rPr>
              <w:t>87,</w:t>
            </w:r>
            <w:r w:rsidR="00BA5EA9" w:rsidRPr="001E6DFD">
              <w:rPr>
                <w:rFonts w:eastAsia="Batang"/>
                <w:color w:val="002060"/>
                <w:sz w:val="16"/>
                <w:szCs w:val="16"/>
                <w:lang w:eastAsia="ja-JP"/>
              </w:rPr>
              <w:t>6%</w:t>
            </w:r>
          </w:p>
          <w:p w14:paraId="349C64FB" w14:textId="77777777" w:rsidR="001F64B1" w:rsidRPr="001E6DFD" w:rsidRDefault="001F64B1" w:rsidP="0097226C">
            <w:pPr>
              <w:rPr>
                <w:sz w:val="16"/>
                <w:szCs w:val="16"/>
              </w:rPr>
            </w:pPr>
          </w:p>
          <w:p w14:paraId="0AB8C6B9" w14:textId="697D0475"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BBF75F0" w14:textId="36342D40" w:rsidR="00BA5EA9" w:rsidRPr="001E6DFD" w:rsidRDefault="00BA5EA9" w:rsidP="0097226C">
            <w:pPr>
              <w:rPr>
                <w:i/>
                <w:sz w:val="16"/>
                <w:szCs w:val="16"/>
                <w:lang w:bidi="th-TH"/>
              </w:rPr>
            </w:pPr>
            <w:r w:rsidRPr="001E6DFD">
              <w:rPr>
                <w:rFonts w:eastAsia="SimSun"/>
                <w:sz w:val="16"/>
                <w:szCs w:val="16"/>
              </w:rPr>
              <w:t>86% (2014)</w:t>
            </w:r>
          </w:p>
        </w:tc>
        <w:tc>
          <w:tcPr>
            <w:tcW w:w="647" w:type="pct"/>
            <w:shd w:val="clear" w:color="auto" w:fill="auto"/>
            <w:tcMar>
              <w:top w:w="110" w:type="dxa"/>
              <w:left w:w="43" w:type="dxa"/>
              <w:right w:w="43" w:type="dxa"/>
            </w:tcMar>
          </w:tcPr>
          <w:p w14:paraId="7A26D1B3" w14:textId="77777777" w:rsidR="00A83D07" w:rsidRDefault="00A83D07" w:rsidP="00A83D07">
            <w:pPr>
              <w:rPr>
                <w:i/>
                <w:color w:val="002060"/>
                <w:sz w:val="16"/>
                <w:szCs w:val="16"/>
              </w:rPr>
            </w:pPr>
            <w:r w:rsidRPr="001E6DFD">
              <w:rPr>
                <w:i/>
                <w:color w:val="002060"/>
                <w:sz w:val="16"/>
                <w:szCs w:val="16"/>
              </w:rPr>
              <w:t>Objectif actualisé :</w:t>
            </w:r>
          </w:p>
          <w:p w14:paraId="3E47B777" w14:textId="1FE9E200" w:rsidR="00A83D07" w:rsidRDefault="00A83D07" w:rsidP="00A83D07">
            <w:pPr>
              <w:rPr>
                <w:color w:val="002060"/>
                <w:sz w:val="16"/>
                <w:szCs w:val="16"/>
              </w:rPr>
            </w:pPr>
            <w:r>
              <w:rPr>
                <w:color w:val="002060"/>
                <w:sz w:val="16"/>
                <w:szCs w:val="16"/>
              </w:rPr>
              <w:t>88% (+/-2%)</w:t>
            </w:r>
            <w:r w:rsidRPr="001607DA">
              <w:rPr>
                <w:rStyle w:val="FootnoteReference"/>
                <w:szCs w:val="16"/>
                <w:lang w:bidi="th-TH"/>
              </w:rPr>
              <w:footnoteReference w:id="21"/>
            </w:r>
          </w:p>
          <w:p w14:paraId="6056183C" w14:textId="77777777" w:rsidR="00A83D07" w:rsidRDefault="00A83D07" w:rsidP="00A83D07">
            <w:pPr>
              <w:rPr>
                <w:color w:val="002060"/>
                <w:sz w:val="16"/>
                <w:szCs w:val="16"/>
              </w:rPr>
            </w:pPr>
          </w:p>
          <w:p w14:paraId="2F2FEC03" w14:textId="77777777" w:rsidR="00A83D07" w:rsidRDefault="00A83D07" w:rsidP="00A83D07">
            <w:pPr>
              <w:widowControl w:val="0"/>
              <w:autoSpaceDE w:val="0"/>
              <w:autoSpaceDN w:val="0"/>
              <w:adjustRightInd w:val="0"/>
              <w:rPr>
                <w:i/>
                <w:sz w:val="16"/>
                <w:szCs w:val="16"/>
                <w:lang w:bidi="th-TH"/>
              </w:rPr>
            </w:pPr>
            <w:r w:rsidRPr="001E6DFD">
              <w:rPr>
                <w:i/>
                <w:sz w:val="16"/>
                <w:szCs w:val="16"/>
                <w:lang w:bidi="th-TH"/>
              </w:rPr>
              <w:t>Objectif initial dans le programme et budget 2016</w:t>
            </w:r>
            <w:r w:rsidRPr="001E6DFD">
              <w:rPr>
                <w:i/>
                <w:sz w:val="16"/>
                <w:szCs w:val="16"/>
                <w:lang w:bidi="th-TH"/>
              </w:rPr>
              <w:noBreakHyphen/>
              <w:t>2017 :</w:t>
            </w:r>
          </w:p>
          <w:p w14:paraId="5B1C5446" w14:textId="5C7DFF1D" w:rsidR="00BA5EA9" w:rsidRPr="001E6DFD" w:rsidRDefault="00463DF3" w:rsidP="00A83D07">
            <w:pPr>
              <w:widowControl w:val="0"/>
              <w:autoSpaceDE w:val="0"/>
              <w:autoSpaceDN w:val="0"/>
              <w:adjustRightInd w:val="0"/>
              <w:rPr>
                <w:rFonts w:eastAsia="SimSun"/>
                <w:sz w:val="16"/>
                <w:szCs w:val="16"/>
              </w:rPr>
            </w:pPr>
            <w:r w:rsidRPr="001E6DFD">
              <w:rPr>
                <w:rFonts w:eastAsia="SimSun"/>
                <w:sz w:val="16"/>
                <w:szCs w:val="16"/>
              </w:rPr>
              <w:t>Meilleure qualité</w:t>
            </w:r>
          </w:p>
        </w:tc>
        <w:tc>
          <w:tcPr>
            <w:tcW w:w="1358" w:type="pct"/>
            <w:shd w:val="clear" w:color="auto" w:fill="FFFFFF"/>
            <w:tcMar>
              <w:top w:w="110" w:type="dxa"/>
              <w:left w:w="58" w:type="dxa"/>
              <w:right w:w="58" w:type="dxa"/>
            </w:tcMar>
          </w:tcPr>
          <w:p w14:paraId="68D9E455" w14:textId="68E6A6F2" w:rsidR="00BA5EA9" w:rsidRPr="001E6DFD" w:rsidRDefault="00BA5EA9" w:rsidP="00A83D07">
            <w:pPr>
              <w:keepNext/>
              <w:keepLines/>
              <w:rPr>
                <w:sz w:val="16"/>
                <w:szCs w:val="16"/>
              </w:rPr>
            </w:pPr>
            <w:r w:rsidRPr="001E6DFD">
              <w:rPr>
                <w:sz w:val="16"/>
                <w:szCs w:val="16"/>
              </w:rPr>
              <w:t>86%</w:t>
            </w:r>
          </w:p>
        </w:tc>
        <w:tc>
          <w:tcPr>
            <w:tcW w:w="554" w:type="pct"/>
            <w:shd w:val="clear" w:color="auto" w:fill="auto"/>
            <w:tcMar>
              <w:top w:w="110" w:type="dxa"/>
              <w:left w:w="58" w:type="dxa"/>
              <w:right w:w="58" w:type="dxa"/>
            </w:tcMar>
          </w:tcPr>
          <w:p w14:paraId="0A198818" w14:textId="55BABC5B" w:rsidR="00BA5EA9" w:rsidRPr="001E6DFD" w:rsidRDefault="00A83D07" w:rsidP="0097226C">
            <w:pPr>
              <w:keepNext/>
              <w:keepLines/>
              <w:jc w:val="center"/>
              <w:rPr>
                <w:sz w:val="16"/>
                <w:szCs w:val="16"/>
              </w:rPr>
            </w:pPr>
            <w:r w:rsidRPr="001E6DFD">
              <w:rPr>
                <w:b/>
                <w:color w:val="00B050"/>
                <w:sz w:val="16"/>
                <w:szCs w:val="16"/>
              </w:rPr>
              <w:t>En bonne voie</w:t>
            </w:r>
          </w:p>
        </w:tc>
      </w:tr>
      <w:tr w:rsidR="00BA5EA9" w:rsidRPr="001E6DFD" w14:paraId="25E5E0E6" w14:textId="77777777" w:rsidTr="0097226C">
        <w:tc>
          <w:tcPr>
            <w:tcW w:w="993" w:type="pct"/>
            <w:shd w:val="clear" w:color="auto" w:fill="auto"/>
            <w:tcMar>
              <w:left w:w="58" w:type="dxa"/>
              <w:right w:w="58" w:type="dxa"/>
            </w:tcMar>
          </w:tcPr>
          <w:p w14:paraId="1AAD547C" w14:textId="77777777"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Qualité du développement de logiciels</w:t>
            </w:r>
          </w:p>
        </w:tc>
        <w:tc>
          <w:tcPr>
            <w:tcW w:w="1447" w:type="pct"/>
            <w:shd w:val="clear" w:color="auto" w:fill="auto"/>
            <w:tcMar>
              <w:left w:w="58" w:type="dxa"/>
              <w:right w:w="58" w:type="dxa"/>
            </w:tcMar>
          </w:tcPr>
          <w:p w14:paraId="05E696DB" w14:textId="31E8058E"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324E3F90" w14:textId="6DAC4BD8" w:rsidR="001F64B1" w:rsidRPr="001E6DFD" w:rsidRDefault="00BA5EA9" w:rsidP="0097226C">
            <w:pPr>
              <w:rPr>
                <w:color w:val="002060"/>
                <w:sz w:val="16"/>
                <w:szCs w:val="16"/>
              </w:rPr>
            </w:pPr>
            <w:r w:rsidRPr="001E6DFD">
              <w:rPr>
                <w:color w:val="002060"/>
                <w:sz w:val="16"/>
                <w:szCs w:val="16"/>
              </w:rPr>
              <w:t>9</w:t>
            </w:r>
            <w:r w:rsidR="00505EF6" w:rsidRPr="001E6DFD">
              <w:rPr>
                <w:color w:val="002060"/>
                <w:sz w:val="16"/>
                <w:szCs w:val="16"/>
              </w:rPr>
              <w:t>1,9%</w:t>
            </w:r>
            <w:r w:rsidRPr="001E6DFD">
              <w:rPr>
                <w:color w:val="002060"/>
                <w:sz w:val="16"/>
                <w:szCs w:val="16"/>
              </w:rPr>
              <w:t xml:space="preserve"> (2015)</w:t>
            </w:r>
          </w:p>
          <w:p w14:paraId="7EE954AB" w14:textId="77777777" w:rsidR="001F64B1" w:rsidRPr="001E6DFD" w:rsidRDefault="00BA5EA9" w:rsidP="0097226C">
            <w:pPr>
              <w:rPr>
                <w:color w:val="002060"/>
                <w:sz w:val="16"/>
                <w:szCs w:val="16"/>
              </w:rPr>
            </w:pPr>
            <w:r w:rsidRPr="001E6DFD">
              <w:rPr>
                <w:color w:val="002060"/>
                <w:sz w:val="16"/>
                <w:szCs w:val="16"/>
              </w:rPr>
              <w:t>9</w:t>
            </w:r>
            <w:r w:rsidR="00505EF6" w:rsidRPr="001E6DFD">
              <w:rPr>
                <w:color w:val="002060"/>
                <w:sz w:val="16"/>
                <w:szCs w:val="16"/>
              </w:rPr>
              <w:t>4,5%</w:t>
            </w:r>
            <w:r w:rsidRPr="001E6DFD">
              <w:rPr>
                <w:color w:val="002060"/>
                <w:sz w:val="16"/>
                <w:szCs w:val="16"/>
              </w:rPr>
              <w:t xml:space="preserve"> (2014)</w:t>
            </w:r>
            <w:r w:rsidRPr="001E6DFD">
              <w:rPr>
                <w:rStyle w:val="FootnoteReference"/>
                <w:rFonts w:cs="Arial"/>
                <w:color w:val="002060"/>
                <w:szCs w:val="16"/>
              </w:rPr>
              <w:footnoteReference w:id="22"/>
            </w:r>
          </w:p>
          <w:p w14:paraId="586230C3" w14:textId="77777777" w:rsidR="001F64B1" w:rsidRPr="001E6DFD" w:rsidRDefault="001F64B1" w:rsidP="0097226C">
            <w:pPr>
              <w:rPr>
                <w:sz w:val="16"/>
                <w:szCs w:val="16"/>
              </w:rPr>
            </w:pPr>
          </w:p>
          <w:p w14:paraId="069AB0E0" w14:textId="173B2C8F"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6A4CE2C3" w14:textId="7A360CEC" w:rsidR="00BA5EA9" w:rsidRPr="001E6DFD" w:rsidRDefault="00BA5EA9" w:rsidP="0097226C">
            <w:pPr>
              <w:widowControl w:val="0"/>
              <w:tabs>
                <w:tab w:val="left" w:pos="1733"/>
              </w:tabs>
              <w:autoSpaceDE w:val="0"/>
              <w:autoSpaceDN w:val="0"/>
              <w:adjustRightInd w:val="0"/>
              <w:ind w:right="321"/>
              <w:rPr>
                <w:rFonts w:eastAsia="SimSun"/>
                <w:sz w:val="16"/>
                <w:szCs w:val="16"/>
              </w:rPr>
            </w:pPr>
            <w:r w:rsidRPr="001E6DFD">
              <w:rPr>
                <w:rFonts w:eastAsia="SimSun"/>
                <w:sz w:val="16"/>
                <w:szCs w:val="16"/>
              </w:rPr>
              <w:t>9</w:t>
            </w:r>
            <w:r w:rsidR="00505EF6" w:rsidRPr="001E6DFD">
              <w:rPr>
                <w:rFonts w:eastAsia="SimSun"/>
                <w:sz w:val="16"/>
                <w:szCs w:val="16"/>
              </w:rPr>
              <w:t>4,3%</w:t>
            </w:r>
            <w:r w:rsidRPr="001E6DFD">
              <w:rPr>
                <w:rFonts w:eastAsia="SimSun"/>
                <w:sz w:val="16"/>
                <w:szCs w:val="16"/>
              </w:rPr>
              <w:t xml:space="preserve"> (2014)</w:t>
            </w:r>
          </w:p>
        </w:tc>
        <w:tc>
          <w:tcPr>
            <w:tcW w:w="647" w:type="pct"/>
            <w:shd w:val="clear" w:color="auto" w:fill="auto"/>
            <w:tcMar>
              <w:top w:w="110" w:type="dxa"/>
              <w:left w:w="43" w:type="dxa"/>
              <w:right w:w="43" w:type="dxa"/>
            </w:tcMar>
          </w:tcPr>
          <w:p w14:paraId="3A49984B" w14:textId="77777777" w:rsidR="00A83D07" w:rsidRDefault="00A83D07" w:rsidP="00A83D07">
            <w:pPr>
              <w:rPr>
                <w:i/>
                <w:color w:val="002060"/>
                <w:sz w:val="16"/>
                <w:szCs w:val="16"/>
              </w:rPr>
            </w:pPr>
            <w:r w:rsidRPr="001E6DFD">
              <w:rPr>
                <w:i/>
                <w:color w:val="002060"/>
                <w:sz w:val="16"/>
                <w:szCs w:val="16"/>
              </w:rPr>
              <w:t>Objectif actualisé :</w:t>
            </w:r>
          </w:p>
          <w:p w14:paraId="346458FA" w14:textId="2AB9C65E" w:rsidR="00A83D07" w:rsidRDefault="00A83D07" w:rsidP="00A83D07">
            <w:pPr>
              <w:rPr>
                <w:color w:val="002060"/>
                <w:sz w:val="16"/>
                <w:szCs w:val="16"/>
              </w:rPr>
            </w:pPr>
            <w:r>
              <w:rPr>
                <w:color w:val="002060"/>
                <w:sz w:val="16"/>
                <w:szCs w:val="16"/>
              </w:rPr>
              <w:t>95% (+/-2%)</w:t>
            </w:r>
          </w:p>
          <w:p w14:paraId="08B63F99" w14:textId="77777777" w:rsidR="00A83D07" w:rsidRDefault="00A83D07" w:rsidP="00A83D07">
            <w:pPr>
              <w:rPr>
                <w:color w:val="002060"/>
                <w:sz w:val="16"/>
                <w:szCs w:val="16"/>
              </w:rPr>
            </w:pPr>
          </w:p>
          <w:p w14:paraId="52B27CB7" w14:textId="77777777" w:rsidR="00A83D07" w:rsidRDefault="00A83D07" w:rsidP="00A83D07">
            <w:pPr>
              <w:widowControl w:val="0"/>
              <w:autoSpaceDE w:val="0"/>
              <w:autoSpaceDN w:val="0"/>
              <w:adjustRightInd w:val="0"/>
              <w:rPr>
                <w:i/>
                <w:sz w:val="16"/>
                <w:szCs w:val="16"/>
                <w:lang w:bidi="th-TH"/>
              </w:rPr>
            </w:pPr>
            <w:r w:rsidRPr="001E6DFD">
              <w:rPr>
                <w:i/>
                <w:sz w:val="16"/>
                <w:szCs w:val="16"/>
                <w:lang w:bidi="th-TH"/>
              </w:rPr>
              <w:t>Objectif initial dans le programme et budget 2016</w:t>
            </w:r>
            <w:r w:rsidRPr="001E6DFD">
              <w:rPr>
                <w:i/>
                <w:sz w:val="16"/>
                <w:szCs w:val="16"/>
                <w:lang w:bidi="th-TH"/>
              </w:rPr>
              <w:noBreakHyphen/>
              <w:t>2017 :</w:t>
            </w:r>
          </w:p>
          <w:p w14:paraId="22A434C6" w14:textId="77777777" w:rsidR="00BA5EA9" w:rsidRPr="001E6DFD" w:rsidRDefault="00463DF3" w:rsidP="0097226C">
            <w:pPr>
              <w:widowControl w:val="0"/>
              <w:autoSpaceDE w:val="0"/>
              <w:autoSpaceDN w:val="0"/>
              <w:adjustRightInd w:val="0"/>
              <w:rPr>
                <w:rFonts w:eastAsia="SimSun"/>
                <w:sz w:val="16"/>
                <w:szCs w:val="16"/>
              </w:rPr>
            </w:pPr>
            <w:r w:rsidRPr="001E6DFD">
              <w:rPr>
                <w:rFonts w:eastAsia="SimSun"/>
                <w:sz w:val="16"/>
                <w:szCs w:val="16"/>
              </w:rPr>
              <w:t>Élévation du niveau de qualité</w:t>
            </w:r>
          </w:p>
        </w:tc>
        <w:tc>
          <w:tcPr>
            <w:tcW w:w="1358" w:type="pct"/>
            <w:shd w:val="clear" w:color="auto" w:fill="FFFFFF"/>
            <w:tcMar>
              <w:top w:w="110" w:type="dxa"/>
              <w:left w:w="58" w:type="dxa"/>
              <w:right w:w="58" w:type="dxa"/>
            </w:tcMar>
          </w:tcPr>
          <w:p w14:paraId="108952EB" w14:textId="01508467" w:rsidR="00BA5EA9" w:rsidRPr="001E6DFD" w:rsidRDefault="00BA5EA9" w:rsidP="00A83D07">
            <w:pPr>
              <w:keepNext/>
              <w:keepLines/>
              <w:rPr>
                <w:sz w:val="16"/>
                <w:szCs w:val="16"/>
              </w:rPr>
            </w:pPr>
            <w:r w:rsidRPr="001E6DFD">
              <w:rPr>
                <w:sz w:val="16"/>
                <w:szCs w:val="16"/>
              </w:rPr>
              <w:t>9</w:t>
            </w:r>
            <w:r w:rsidR="00505EF6" w:rsidRPr="001E6DFD">
              <w:rPr>
                <w:sz w:val="16"/>
                <w:szCs w:val="16"/>
              </w:rPr>
              <w:t>3,3%</w:t>
            </w:r>
          </w:p>
        </w:tc>
        <w:tc>
          <w:tcPr>
            <w:tcW w:w="554" w:type="pct"/>
            <w:shd w:val="clear" w:color="auto" w:fill="auto"/>
            <w:tcMar>
              <w:top w:w="110" w:type="dxa"/>
              <w:left w:w="58" w:type="dxa"/>
              <w:right w:w="58" w:type="dxa"/>
            </w:tcMar>
          </w:tcPr>
          <w:p w14:paraId="7F3EC3AE"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BA5EA9" w:rsidRPr="001E6DFD" w14:paraId="03F7A6FA" w14:textId="77777777" w:rsidTr="0097226C">
        <w:tc>
          <w:tcPr>
            <w:tcW w:w="993" w:type="pct"/>
            <w:shd w:val="clear" w:color="auto" w:fill="auto"/>
            <w:tcMar>
              <w:left w:w="58" w:type="dxa"/>
              <w:right w:w="58" w:type="dxa"/>
            </w:tcMar>
          </w:tcPr>
          <w:p w14:paraId="7EF1A69A" w14:textId="3AF1C249" w:rsidR="00BA5EA9" w:rsidRPr="001E6DFD" w:rsidRDefault="00463DF3" w:rsidP="00A83D07">
            <w:pPr>
              <w:keepNext/>
              <w:keepLines/>
              <w:widowControl w:val="0"/>
              <w:autoSpaceDE w:val="0"/>
              <w:autoSpaceDN w:val="0"/>
              <w:adjustRightInd w:val="0"/>
              <w:rPr>
                <w:rFonts w:eastAsia="SimSun"/>
                <w:sz w:val="16"/>
                <w:szCs w:val="16"/>
              </w:rPr>
            </w:pPr>
            <w:r w:rsidRPr="001E6DFD">
              <w:rPr>
                <w:rFonts w:eastAsia="SimSun"/>
                <w:sz w:val="16"/>
                <w:szCs w:val="16"/>
              </w:rPr>
              <w:lastRenderedPageBreak/>
              <w:t>Niveau de services de systèmes d</w:t>
            </w:r>
            <w:r w:rsidR="00FA22F6" w:rsidRPr="001E6DFD">
              <w:rPr>
                <w:rFonts w:eastAsia="SimSun"/>
                <w:sz w:val="16"/>
                <w:szCs w:val="16"/>
              </w:rPr>
              <w:t>’</w:t>
            </w:r>
            <w:r w:rsidRPr="001E6DFD">
              <w:rPr>
                <w:rFonts w:eastAsia="SimSun"/>
                <w:sz w:val="16"/>
                <w:szCs w:val="16"/>
              </w:rPr>
              <w:t>information</w:t>
            </w:r>
          </w:p>
        </w:tc>
        <w:tc>
          <w:tcPr>
            <w:tcW w:w="1447" w:type="pct"/>
            <w:shd w:val="clear" w:color="auto" w:fill="auto"/>
            <w:tcMar>
              <w:left w:w="58" w:type="dxa"/>
              <w:right w:w="58" w:type="dxa"/>
            </w:tcMar>
          </w:tcPr>
          <w:p w14:paraId="0B5EAD8B" w14:textId="3C491CA7" w:rsidR="00FA22F6" w:rsidRPr="001E6DFD" w:rsidRDefault="00E64532" w:rsidP="00A83D07">
            <w:pPr>
              <w:keepNext/>
              <w:keepLines/>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3D4FD612" w14:textId="77802D81" w:rsidR="001F64B1" w:rsidRPr="001E6DFD" w:rsidRDefault="00BA5EA9" w:rsidP="00A83D07">
            <w:pPr>
              <w:keepNext/>
              <w:keepLines/>
              <w:rPr>
                <w:color w:val="002060"/>
                <w:sz w:val="16"/>
                <w:szCs w:val="16"/>
              </w:rPr>
            </w:pPr>
            <w:r w:rsidRPr="001E6DFD">
              <w:rPr>
                <w:color w:val="002060"/>
                <w:sz w:val="16"/>
                <w:szCs w:val="16"/>
              </w:rPr>
              <w:t>9</w:t>
            </w:r>
            <w:r w:rsidR="00505EF6" w:rsidRPr="001E6DFD">
              <w:rPr>
                <w:color w:val="002060"/>
                <w:sz w:val="16"/>
                <w:szCs w:val="16"/>
              </w:rPr>
              <w:t>6,5%</w:t>
            </w:r>
            <w:r w:rsidRPr="001E6DFD">
              <w:rPr>
                <w:color w:val="002060"/>
                <w:sz w:val="16"/>
                <w:szCs w:val="16"/>
              </w:rPr>
              <w:t xml:space="preserve"> (2015)</w:t>
            </w:r>
          </w:p>
          <w:p w14:paraId="3AD43D1E" w14:textId="77777777" w:rsidR="001F64B1" w:rsidRPr="001E6DFD" w:rsidRDefault="00BA5EA9" w:rsidP="00A83D07">
            <w:pPr>
              <w:keepNext/>
              <w:keepLines/>
              <w:rPr>
                <w:color w:val="002060"/>
                <w:sz w:val="16"/>
                <w:szCs w:val="16"/>
              </w:rPr>
            </w:pPr>
            <w:r w:rsidRPr="001E6DFD">
              <w:rPr>
                <w:color w:val="002060"/>
                <w:sz w:val="16"/>
                <w:szCs w:val="16"/>
              </w:rPr>
              <w:t>9</w:t>
            </w:r>
            <w:r w:rsidR="00505EF6" w:rsidRPr="001E6DFD">
              <w:rPr>
                <w:color w:val="002060"/>
                <w:sz w:val="16"/>
                <w:szCs w:val="16"/>
              </w:rPr>
              <w:t>5,1%</w:t>
            </w:r>
            <w:r w:rsidRPr="001E6DFD">
              <w:rPr>
                <w:color w:val="002060"/>
                <w:sz w:val="16"/>
                <w:szCs w:val="16"/>
              </w:rPr>
              <w:t xml:space="preserve"> (2014)</w:t>
            </w:r>
            <w:r w:rsidRPr="001E6DFD">
              <w:rPr>
                <w:rStyle w:val="FootnoteReference"/>
                <w:rFonts w:cs="Arial"/>
                <w:color w:val="002060"/>
                <w:szCs w:val="16"/>
              </w:rPr>
              <w:footnoteReference w:id="23"/>
            </w:r>
          </w:p>
          <w:p w14:paraId="7B3973CC" w14:textId="77777777" w:rsidR="001F64B1" w:rsidRPr="001E6DFD" w:rsidRDefault="001F64B1" w:rsidP="00A83D07">
            <w:pPr>
              <w:keepNext/>
              <w:keepLines/>
              <w:rPr>
                <w:sz w:val="16"/>
                <w:szCs w:val="16"/>
              </w:rPr>
            </w:pPr>
          </w:p>
          <w:p w14:paraId="596FDFFC" w14:textId="4B90CB48" w:rsidR="00FA22F6" w:rsidRPr="001E6DFD" w:rsidRDefault="00E64532" w:rsidP="00A83D07">
            <w:pPr>
              <w:keepNext/>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689E039A" w14:textId="4A3474C1" w:rsidR="00BA5EA9" w:rsidRPr="001E6DFD" w:rsidRDefault="00BA5EA9" w:rsidP="00A83D07">
            <w:pPr>
              <w:keepNext/>
              <w:keepLines/>
              <w:widowControl w:val="0"/>
              <w:tabs>
                <w:tab w:val="left" w:pos="1733"/>
              </w:tabs>
              <w:autoSpaceDE w:val="0"/>
              <w:autoSpaceDN w:val="0"/>
              <w:adjustRightInd w:val="0"/>
              <w:ind w:right="321"/>
              <w:rPr>
                <w:rFonts w:eastAsia="SimSun"/>
                <w:sz w:val="16"/>
                <w:szCs w:val="16"/>
              </w:rPr>
            </w:pPr>
            <w:r w:rsidRPr="001E6DFD">
              <w:rPr>
                <w:rFonts w:eastAsia="SimSun"/>
                <w:sz w:val="16"/>
                <w:szCs w:val="16"/>
              </w:rPr>
              <w:t>9</w:t>
            </w:r>
            <w:r w:rsidR="00505EF6" w:rsidRPr="001E6DFD">
              <w:rPr>
                <w:rFonts w:eastAsia="SimSun"/>
                <w:sz w:val="16"/>
                <w:szCs w:val="16"/>
              </w:rPr>
              <w:t>5,3%</w:t>
            </w:r>
            <w:r w:rsidRPr="001E6DFD">
              <w:rPr>
                <w:rFonts w:eastAsia="SimSun"/>
                <w:sz w:val="16"/>
                <w:szCs w:val="16"/>
              </w:rPr>
              <w:t xml:space="preserve"> (2014)</w:t>
            </w:r>
          </w:p>
        </w:tc>
        <w:tc>
          <w:tcPr>
            <w:tcW w:w="647" w:type="pct"/>
            <w:shd w:val="clear" w:color="auto" w:fill="auto"/>
            <w:tcMar>
              <w:top w:w="110" w:type="dxa"/>
              <w:left w:w="58" w:type="dxa"/>
              <w:right w:w="58" w:type="dxa"/>
            </w:tcMar>
          </w:tcPr>
          <w:p w14:paraId="33FBD406" w14:textId="77777777" w:rsidR="00A83D07" w:rsidRDefault="00A83D07" w:rsidP="00A83D07">
            <w:pPr>
              <w:keepNext/>
              <w:keepLines/>
              <w:rPr>
                <w:i/>
                <w:color w:val="002060"/>
                <w:sz w:val="16"/>
                <w:szCs w:val="16"/>
              </w:rPr>
            </w:pPr>
            <w:r w:rsidRPr="001E6DFD">
              <w:rPr>
                <w:i/>
                <w:color w:val="002060"/>
                <w:sz w:val="16"/>
                <w:szCs w:val="16"/>
              </w:rPr>
              <w:t>Objectif actualisé :</w:t>
            </w:r>
          </w:p>
          <w:p w14:paraId="5F01B5C8" w14:textId="766381AB" w:rsidR="00A83D07" w:rsidRDefault="00A83D07" w:rsidP="00A83D07">
            <w:pPr>
              <w:keepNext/>
              <w:keepLines/>
              <w:rPr>
                <w:color w:val="002060"/>
                <w:sz w:val="16"/>
                <w:szCs w:val="16"/>
              </w:rPr>
            </w:pPr>
            <w:r>
              <w:rPr>
                <w:color w:val="002060"/>
                <w:sz w:val="16"/>
                <w:szCs w:val="16"/>
              </w:rPr>
              <w:t>97% (+/-2%)</w:t>
            </w:r>
          </w:p>
          <w:p w14:paraId="5FA79E0F" w14:textId="77777777" w:rsidR="00A83D07" w:rsidRDefault="00A83D07" w:rsidP="00A83D07">
            <w:pPr>
              <w:keepNext/>
              <w:keepLines/>
              <w:rPr>
                <w:color w:val="002060"/>
                <w:sz w:val="16"/>
                <w:szCs w:val="16"/>
              </w:rPr>
            </w:pPr>
          </w:p>
          <w:p w14:paraId="3C678E93" w14:textId="77777777" w:rsidR="00A83D07" w:rsidRDefault="00A83D07" w:rsidP="00A83D07">
            <w:pPr>
              <w:keepNext/>
              <w:keepLines/>
              <w:widowControl w:val="0"/>
              <w:autoSpaceDE w:val="0"/>
              <w:autoSpaceDN w:val="0"/>
              <w:adjustRightInd w:val="0"/>
              <w:rPr>
                <w:i/>
                <w:sz w:val="16"/>
                <w:szCs w:val="16"/>
                <w:lang w:bidi="th-TH"/>
              </w:rPr>
            </w:pPr>
            <w:r w:rsidRPr="001E6DFD">
              <w:rPr>
                <w:i/>
                <w:sz w:val="16"/>
                <w:szCs w:val="16"/>
                <w:lang w:bidi="th-TH"/>
              </w:rPr>
              <w:t>Objectif initial dans le programme et budget 2016</w:t>
            </w:r>
            <w:r w:rsidRPr="001E6DFD">
              <w:rPr>
                <w:i/>
                <w:sz w:val="16"/>
                <w:szCs w:val="16"/>
                <w:lang w:bidi="th-TH"/>
              </w:rPr>
              <w:noBreakHyphen/>
              <w:t>2017 :</w:t>
            </w:r>
          </w:p>
          <w:p w14:paraId="10FD2695" w14:textId="78F4FB10" w:rsidR="00BA5EA9" w:rsidRPr="001E6DFD" w:rsidRDefault="00463DF3" w:rsidP="00A83D07">
            <w:pPr>
              <w:keepNext/>
              <w:keepLines/>
              <w:widowControl w:val="0"/>
              <w:autoSpaceDE w:val="0"/>
              <w:autoSpaceDN w:val="0"/>
              <w:adjustRightInd w:val="0"/>
              <w:rPr>
                <w:rFonts w:eastAsia="SimSun"/>
                <w:sz w:val="16"/>
                <w:szCs w:val="16"/>
              </w:rPr>
            </w:pPr>
            <w:r w:rsidRPr="001E6DFD">
              <w:rPr>
                <w:rFonts w:eastAsia="SimSun"/>
                <w:sz w:val="16"/>
                <w:szCs w:val="16"/>
              </w:rPr>
              <w:t>Élévation du niveau de services de systèmes d</w:t>
            </w:r>
            <w:r w:rsidR="00FA22F6" w:rsidRPr="001E6DFD">
              <w:rPr>
                <w:rFonts w:eastAsia="SimSun"/>
                <w:sz w:val="16"/>
                <w:szCs w:val="16"/>
              </w:rPr>
              <w:t>’</w:t>
            </w:r>
            <w:r w:rsidRPr="001E6DFD">
              <w:rPr>
                <w:rFonts w:eastAsia="SimSun"/>
                <w:sz w:val="16"/>
                <w:szCs w:val="16"/>
              </w:rPr>
              <w:t>information</w:t>
            </w:r>
          </w:p>
        </w:tc>
        <w:tc>
          <w:tcPr>
            <w:tcW w:w="1358" w:type="pct"/>
            <w:shd w:val="clear" w:color="auto" w:fill="FFFFFF"/>
            <w:tcMar>
              <w:top w:w="110" w:type="dxa"/>
              <w:left w:w="58" w:type="dxa"/>
              <w:right w:w="58" w:type="dxa"/>
            </w:tcMar>
          </w:tcPr>
          <w:p w14:paraId="5ABDCA5D" w14:textId="2DEB056E" w:rsidR="00BA5EA9" w:rsidRPr="001E6DFD" w:rsidRDefault="00BA5EA9" w:rsidP="00A83D07">
            <w:pPr>
              <w:keepNext/>
              <w:keepLines/>
              <w:rPr>
                <w:sz w:val="16"/>
                <w:szCs w:val="16"/>
              </w:rPr>
            </w:pPr>
            <w:r w:rsidRPr="001E6DFD">
              <w:rPr>
                <w:sz w:val="16"/>
                <w:szCs w:val="16"/>
              </w:rPr>
              <w:t>9</w:t>
            </w:r>
            <w:r w:rsidR="00505EF6" w:rsidRPr="001E6DFD">
              <w:rPr>
                <w:sz w:val="16"/>
                <w:szCs w:val="16"/>
              </w:rPr>
              <w:t>7,1%</w:t>
            </w:r>
          </w:p>
        </w:tc>
        <w:tc>
          <w:tcPr>
            <w:tcW w:w="554" w:type="pct"/>
            <w:shd w:val="clear" w:color="auto" w:fill="auto"/>
            <w:tcMar>
              <w:top w:w="110" w:type="dxa"/>
              <w:left w:w="58" w:type="dxa"/>
              <w:right w:w="58" w:type="dxa"/>
            </w:tcMar>
          </w:tcPr>
          <w:p w14:paraId="3E094061" w14:textId="77777777" w:rsidR="00BA5EA9" w:rsidRPr="001E6DFD" w:rsidRDefault="00A43B2F" w:rsidP="00A83D07">
            <w:pPr>
              <w:keepNext/>
              <w:keepLines/>
              <w:jc w:val="center"/>
              <w:rPr>
                <w:sz w:val="16"/>
                <w:szCs w:val="16"/>
              </w:rPr>
            </w:pPr>
            <w:r w:rsidRPr="001E6DFD">
              <w:rPr>
                <w:b/>
                <w:color w:val="00B050"/>
                <w:sz w:val="16"/>
                <w:szCs w:val="16"/>
              </w:rPr>
              <w:t>En bonne voie</w:t>
            </w:r>
          </w:p>
        </w:tc>
      </w:tr>
    </w:tbl>
    <w:p w14:paraId="4ECD8136" w14:textId="77777777" w:rsidR="001F64B1" w:rsidRPr="001E6DFD" w:rsidRDefault="001F64B1" w:rsidP="0097226C">
      <w:pPr>
        <w:rPr>
          <w:sz w:val="20"/>
        </w:rPr>
      </w:pPr>
    </w:p>
    <w:p w14:paraId="66675588" w14:textId="77777777" w:rsidR="00BA5EA9" w:rsidRDefault="00BA5EA9" w:rsidP="0097226C">
      <w:pPr>
        <w:rPr>
          <w:sz w:val="20"/>
        </w:rPr>
      </w:pPr>
    </w:p>
    <w:p w14:paraId="3B8EBA5A" w14:textId="77777777" w:rsidR="001E3776" w:rsidRPr="001E6DFD" w:rsidRDefault="001E3776" w:rsidP="0097226C">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05BE35A9" w14:textId="77777777" w:rsidTr="002307FD">
        <w:trPr>
          <w:trHeight w:val="423"/>
          <w:jc w:val="center"/>
        </w:trPr>
        <w:tc>
          <w:tcPr>
            <w:tcW w:w="9571" w:type="dxa"/>
            <w:shd w:val="clear" w:color="auto" w:fill="C6D9F1" w:themeFill="text2" w:themeFillTint="33"/>
            <w:vAlign w:val="center"/>
          </w:tcPr>
          <w:p w14:paraId="25493D37" w14:textId="46FF8DE3"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5</w:t>
            </w:r>
          </w:p>
        </w:tc>
      </w:tr>
    </w:tbl>
    <w:p w14:paraId="6D1D3D3A" w14:textId="77777777" w:rsidR="001F64B1" w:rsidRDefault="001F64B1" w:rsidP="0097226C">
      <w:pPr>
        <w:rPr>
          <w:sz w:val="20"/>
        </w:rPr>
      </w:pPr>
    </w:p>
    <w:p w14:paraId="6D8FD1E7" w14:textId="77777777" w:rsidR="001E3776" w:rsidRPr="001E6DFD" w:rsidRDefault="001E3776" w:rsidP="0097226C">
      <w:pPr>
        <w:rPr>
          <w:sz w:val="20"/>
        </w:rPr>
      </w:pPr>
    </w:p>
    <w:p w14:paraId="15C2DA0D" w14:textId="77777777" w:rsidR="001F64B1" w:rsidRPr="001E6DFD" w:rsidRDefault="00463DF3" w:rsidP="0097226C">
      <w:pPr>
        <w:keepNext/>
        <w:keepLines/>
        <w:jc w:val="center"/>
        <w:rPr>
          <w:sz w:val="18"/>
          <w:szCs w:val="18"/>
        </w:rPr>
      </w:pPr>
      <w:r w:rsidRPr="001E6DFD">
        <w:rPr>
          <w:sz w:val="18"/>
          <w:szCs w:val="18"/>
        </w:rPr>
        <w:t>Budget et dépenses effectives (par résultat)</w:t>
      </w:r>
    </w:p>
    <w:p w14:paraId="6F33E17D" w14:textId="77777777" w:rsidR="001F64B1" w:rsidRPr="001E6DFD" w:rsidRDefault="00463DF3" w:rsidP="0097226C">
      <w:pPr>
        <w:keepNext/>
        <w:keepLines/>
        <w:jc w:val="center"/>
        <w:rPr>
          <w:i/>
          <w:iCs/>
          <w:sz w:val="16"/>
          <w:szCs w:val="16"/>
        </w:rPr>
      </w:pPr>
      <w:r w:rsidRPr="001E6DFD">
        <w:rPr>
          <w:i/>
          <w:iCs/>
          <w:sz w:val="16"/>
          <w:szCs w:val="16"/>
        </w:rPr>
        <w:t>(en milliers de francs suisses)</w:t>
      </w:r>
    </w:p>
    <w:p w14:paraId="345E5E2A"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439"/>
        <w:gridCol w:w="4243"/>
        <w:gridCol w:w="1577"/>
        <w:gridCol w:w="1577"/>
        <w:gridCol w:w="1435"/>
      </w:tblGrid>
      <w:tr w:rsidR="00BA5EA9" w:rsidRPr="001E6DFD" w14:paraId="495A571E" w14:textId="77777777" w:rsidTr="0097226C">
        <w:trPr>
          <w:jc w:val="center"/>
        </w:trPr>
        <w:tc>
          <w:tcPr>
            <w:tcW w:w="4682" w:type="dxa"/>
            <w:gridSpan w:val="2"/>
            <w:tcBorders>
              <w:top w:val="nil"/>
              <w:left w:val="nil"/>
              <w:bottom w:val="nil"/>
              <w:right w:val="nil"/>
            </w:tcBorders>
            <w:shd w:val="clear" w:color="000000" w:fill="C5D9F1"/>
            <w:noWrap/>
            <w:vAlign w:val="center"/>
            <w:hideMark/>
          </w:tcPr>
          <w:p w14:paraId="234F3E83" w14:textId="77777777" w:rsidR="00BA5EA9" w:rsidRPr="001E6DFD" w:rsidRDefault="00463DF3"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80" w:type="dxa"/>
            <w:tcBorders>
              <w:top w:val="nil"/>
              <w:left w:val="nil"/>
              <w:bottom w:val="nil"/>
              <w:right w:val="nil"/>
            </w:tcBorders>
            <w:shd w:val="clear" w:color="000000" w:fill="C5D9F1"/>
            <w:vAlign w:val="center"/>
            <w:hideMark/>
          </w:tcPr>
          <w:p w14:paraId="321DE57B" w14:textId="0B287027" w:rsidR="00BA5EA9" w:rsidRPr="001E6DFD" w:rsidRDefault="00B649F5"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 xml:space="preserve">2017 approuvé </w:t>
            </w:r>
          </w:p>
        </w:tc>
        <w:tc>
          <w:tcPr>
            <w:tcW w:w="1180" w:type="dxa"/>
            <w:tcBorders>
              <w:top w:val="nil"/>
              <w:left w:val="nil"/>
              <w:bottom w:val="nil"/>
              <w:right w:val="nil"/>
            </w:tcBorders>
            <w:shd w:val="clear" w:color="000000" w:fill="C5D9F1"/>
            <w:vAlign w:val="center"/>
            <w:hideMark/>
          </w:tcPr>
          <w:p w14:paraId="3FF97ADF" w14:textId="5E4D421D"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80" w:type="dxa"/>
            <w:tcBorders>
              <w:top w:val="nil"/>
              <w:left w:val="nil"/>
              <w:bottom w:val="nil"/>
              <w:right w:val="nil"/>
            </w:tcBorders>
            <w:shd w:val="clear" w:color="000000" w:fill="C5D9F1"/>
            <w:vAlign w:val="center"/>
            <w:hideMark/>
          </w:tcPr>
          <w:p w14:paraId="60EB9906" w14:textId="516B2210"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5897810F" w14:textId="77777777" w:rsidTr="0097226C">
        <w:trPr>
          <w:jc w:val="center"/>
        </w:trPr>
        <w:tc>
          <w:tcPr>
            <w:tcW w:w="439" w:type="dxa"/>
            <w:tcBorders>
              <w:top w:val="nil"/>
              <w:left w:val="nil"/>
              <w:bottom w:val="nil"/>
              <w:right w:val="nil"/>
            </w:tcBorders>
            <w:shd w:val="clear" w:color="auto" w:fill="auto"/>
            <w:noWrap/>
            <w:vAlign w:val="center"/>
            <w:hideMark/>
          </w:tcPr>
          <w:p w14:paraId="29CCEEDE" w14:textId="77777777" w:rsidR="00BA5EA9" w:rsidRPr="001E6DFD" w:rsidRDefault="00BA5EA9" w:rsidP="0097226C">
            <w:pPr>
              <w:rPr>
                <w:sz w:val="16"/>
                <w:szCs w:val="16"/>
              </w:rPr>
            </w:pPr>
            <w:r w:rsidRPr="001E6DFD">
              <w:rPr>
                <w:sz w:val="16"/>
                <w:szCs w:val="16"/>
              </w:rPr>
              <w:t>II.1</w:t>
            </w:r>
          </w:p>
        </w:tc>
        <w:tc>
          <w:tcPr>
            <w:tcW w:w="4243" w:type="dxa"/>
            <w:tcBorders>
              <w:top w:val="nil"/>
              <w:left w:val="nil"/>
              <w:bottom w:val="nil"/>
              <w:right w:val="nil"/>
            </w:tcBorders>
            <w:shd w:val="clear" w:color="auto" w:fill="auto"/>
            <w:vAlign w:val="center"/>
            <w:hideMark/>
          </w:tcPr>
          <w:p w14:paraId="35F493BD" w14:textId="77777777" w:rsidR="00BA5EA9" w:rsidRPr="001E6DFD" w:rsidRDefault="00463DF3" w:rsidP="0097226C">
            <w:pPr>
              <w:rPr>
                <w:sz w:val="16"/>
                <w:szCs w:val="16"/>
              </w:rPr>
            </w:pPr>
            <w:r w:rsidRPr="001E6DFD">
              <w:rPr>
                <w:sz w:val="16"/>
                <w:szCs w:val="16"/>
              </w:rPr>
              <w:t>Utilisation élargie et plus efficace du système du PCT pour le dépôt des demandes internationales de brevet</w:t>
            </w:r>
          </w:p>
        </w:tc>
        <w:tc>
          <w:tcPr>
            <w:tcW w:w="1180" w:type="dxa"/>
            <w:tcBorders>
              <w:top w:val="nil"/>
              <w:left w:val="nil"/>
              <w:bottom w:val="nil"/>
              <w:right w:val="nil"/>
            </w:tcBorders>
            <w:shd w:val="clear" w:color="auto" w:fill="auto"/>
            <w:noWrap/>
            <w:vAlign w:val="center"/>
            <w:hideMark/>
          </w:tcPr>
          <w:p w14:paraId="02D49261" w14:textId="77777777" w:rsidR="00BA5EA9" w:rsidRPr="001E6DFD" w:rsidRDefault="00282CF5" w:rsidP="0097226C">
            <w:pPr>
              <w:jc w:val="center"/>
              <w:rPr>
                <w:sz w:val="16"/>
                <w:szCs w:val="16"/>
              </w:rPr>
            </w:pPr>
            <w:r w:rsidRPr="001E6DFD">
              <w:rPr>
                <w:sz w:val="16"/>
                <w:szCs w:val="16"/>
              </w:rPr>
              <w:t>27 129</w:t>
            </w:r>
          </w:p>
        </w:tc>
        <w:tc>
          <w:tcPr>
            <w:tcW w:w="1180" w:type="dxa"/>
            <w:tcBorders>
              <w:top w:val="nil"/>
              <w:left w:val="nil"/>
              <w:bottom w:val="nil"/>
              <w:right w:val="nil"/>
            </w:tcBorders>
            <w:shd w:val="clear" w:color="auto" w:fill="auto"/>
            <w:noWrap/>
            <w:vAlign w:val="center"/>
            <w:hideMark/>
          </w:tcPr>
          <w:p w14:paraId="3000491D" w14:textId="77777777" w:rsidR="00BA5EA9" w:rsidRPr="001E6DFD" w:rsidRDefault="00282CF5" w:rsidP="0097226C">
            <w:pPr>
              <w:jc w:val="center"/>
              <w:rPr>
                <w:sz w:val="16"/>
                <w:szCs w:val="16"/>
              </w:rPr>
            </w:pPr>
            <w:r w:rsidRPr="001E6DFD">
              <w:rPr>
                <w:sz w:val="16"/>
                <w:szCs w:val="16"/>
              </w:rPr>
              <w:t>26 074</w:t>
            </w:r>
          </w:p>
        </w:tc>
        <w:tc>
          <w:tcPr>
            <w:tcW w:w="1180" w:type="dxa"/>
            <w:tcBorders>
              <w:top w:val="nil"/>
              <w:left w:val="nil"/>
              <w:bottom w:val="nil"/>
              <w:right w:val="nil"/>
            </w:tcBorders>
            <w:shd w:val="clear" w:color="auto" w:fill="auto"/>
            <w:noWrap/>
            <w:vAlign w:val="center"/>
            <w:hideMark/>
          </w:tcPr>
          <w:p w14:paraId="1601A805" w14:textId="77777777" w:rsidR="00BA5EA9" w:rsidRPr="001E6DFD" w:rsidRDefault="00282CF5" w:rsidP="0097226C">
            <w:pPr>
              <w:jc w:val="center"/>
              <w:rPr>
                <w:sz w:val="16"/>
                <w:szCs w:val="16"/>
              </w:rPr>
            </w:pPr>
            <w:r w:rsidRPr="001E6DFD">
              <w:rPr>
                <w:sz w:val="16"/>
                <w:szCs w:val="16"/>
              </w:rPr>
              <w:t>11 973</w:t>
            </w:r>
          </w:p>
        </w:tc>
      </w:tr>
      <w:tr w:rsidR="00BA5EA9" w:rsidRPr="001E6DFD" w14:paraId="3DFFCE8A" w14:textId="77777777" w:rsidTr="0097226C">
        <w:trPr>
          <w:jc w:val="center"/>
        </w:trPr>
        <w:tc>
          <w:tcPr>
            <w:tcW w:w="439" w:type="dxa"/>
            <w:tcBorders>
              <w:top w:val="nil"/>
              <w:left w:val="nil"/>
              <w:bottom w:val="nil"/>
              <w:right w:val="nil"/>
            </w:tcBorders>
            <w:shd w:val="clear" w:color="auto" w:fill="auto"/>
            <w:noWrap/>
            <w:vAlign w:val="center"/>
            <w:hideMark/>
          </w:tcPr>
          <w:p w14:paraId="473F13F6" w14:textId="77777777" w:rsidR="00BA5EA9" w:rsidRPr="001E6DFD" w:rsidRDefault="00BA5EA9" w:rsidP="0097226C">
            <w:pPr>
              <w:rPr>
                <w:sz w:val="16"/>
                <w:szCs w:val="16"/>
              </w:rPr>
            </w:pPr>
            <w:r w:rsidRPr="001E6DFD">
              <w:rPr>
                <w:sz w:val="16"/>
                <w:szCs w:val="16"/>
              </w:rPr>
              <w:t>II.3</w:t>
            </w:r>
          </w:p>
        </w:tc>
        <w:tc>
          <w:tcPr>
            <w:tcW w:w="4243" w:type="dxa"/>
            <w:tcBorders>
              <w:top w:val="nil"/>
              <w:left w:val="nil"/>
              <w:bottom w:val="nil"/>
              <w:right w:val="nil"/>
            </w:tcBorders>
            <w:shd w:val="clear" w:color="auto" w:fill="auto"/>
            <w:vAlign w:val="center"/>
            <w:hideMark/>
          </w:tcPr>
          <w:p w14:paraId="59ED9357" w14:textId="5494B63E" w:rsidR="00BA5EA9" w:rsidRPr="001E6DFD" w:rsidRDefault="00463DF3" w:rsidP="0097226C">
            <w:pPr>
              <w:rPr>
                <w:sz w:val="16"/>
                <w:szCs w:val="16"/>
              </w:rPr>
            </w:pPr>
            <w:r w:rsidRPr="001E6DFD">
              <w:rPr>
                <w:sz w:val="16"/>
                <w:szCs w:val="16"/>
              </w:rPr>
              <w:t>Amélioration de la productivité et de la qualité de service des opérations</w:t>
            </w:r>
            <w:r w:rsidR="00FA22F6" w:rsidRPr="001E6DFD">
              <w:rPr>
                <w:sz w:val="16"/>
                <w:szCs w:val="16"/>
              </w:rPr>
              <w:t xml:space="preserve"> du PCT</w:t>
            </w:r>
          </w:p>
        </w:tc>
        <w:tc>
          <w:tcPr>
            <w:tcW w:w="1180" w:type="dxa"/>
            <w:tcBorders>
              <w:top w:val="nil"/>
              <w:left w:val="nil"/>
              <w:bottom w:val="nil"/>
              <w:right w:val="nil"/>
            </w:tcBorders>
            <w:shd w:val="clear" w:color="auto" w:fill="auto"/>
            <w:noWrap/>
            <w:vAlign w:val="center"/>
            <w:hideMark/>
          </w:tcPr>
          <w:p w14:paraId="0A3A5BAE" w14:textId="77777777" w:rsidR="00BA5EA9" w:rsidRPr="001E6DFD" w:rsidRDefault="00BA5EA9" w:rsidP="0097226C">
            <w:pPr>
              <w:jc w:val="center"/>
              <w:rPr>
                <w:sz w:val="16"/>
                <w:szCs w:val="16"/>
              </w:rPr>
            </w:pPr>
            <w:r w:rsidRPr="001E6DFD">
              <w:rPr>
                <w:sz w:val="16"/>
                <w:szCs w:val="16"/>
              </w:rPr>
              <w:t>1</w:t>
            </w:r>
            <w:r w:rsidR="00282CF5" w:rsidRPr="001E6DFD">
              <w:rPr>
                <w:sz w:val="16"/>
                <w:szCs w:val="16"/>
              </w:rPr>
              <w:t>81 080</w:t>
            </w:r>
          </w:p>
        </w:tc>
        <w:tc>
          <w:tcPr>
            <w:tcW w:w="1180" w:type="dxa"/>
            <w:tcBorders>
              <w:top w:val="nil"/>
              <w:left w:val="nil"/>
              <w:bottom w:val="nil"/>
              <w:right w:val="nil"/>
            </w:tcBorders>
            <w:shd w:val="clear" w:color="auto" w:fill="auto"/>
            <w:noWrap/>
            <w:vAlign w:val="center"/>
            <w:hideMark/>
          </w:tcPr>
          <w:p w14:paraId="7BDBEB56" w14:textId="77777777" w:rsidR="00BA5EA9" w:rsidRPr="001E6DFD" w:rsidRDefault="00BA5EA9" w:rsidP="0097226C">
            <w:pPr>
              <w:jc w:val="center"/>
              <w:rPr>
                <w:sz w:val="16"/>
                <w:szCs w:val="16"/>
              </w:rPr>
            </w:pPr>
            <w:r w:rsidRPr="001E6DFD">
              <w:rPr>
                <w:sz w:val="16"/>
                <w:szCs w:val="16"/>
              </w:rPr>
              <w:t>1</w:t>
            </w:r>
            <w:r w:rsidR="00282CF5" w:rsidRPr="001E6DFD">
              <w:rPr>
                <w:sz w:val="16"/>
                <w:szCs w:val="16"/>
              </w:rPr>
              <w:t>77 330</w:t>
            </w:r>
          </w:p>
        </w:tc>
        <w:tc>
          <w:tcPr>
            <w:tcW w:w="1180" w:type="dxa"/>
            <w:tcBorders>
              <w:top w:val="nil"/>
              <w:left w:val="nil"/>
              <w:bottom w:val="nil"/>
              <w:right w:val="nil"/>
            </w:tcBorders>
            <w:shd w:val="clear" w:color="auto" w:fill="auto"/>
            <w:noWrap/>
            <w:vAlign w:val="center"/>
            <w:hideMark/>
          </w:tcPr>
          <w:p w14:paraId="3EE04D3C" w14:textId="77777777" w:rsidR="00BA5EA9" w:rsidRPr="001E6DFD" w:rsidRDefault="00282CF5" w:rsidP="0097226C">
            <w:pPr>
              <w:jc w:val="center"/>
              <w:rPr>
                <w:sz w:val="16"/>
                <w:szCs w:val="16"/>
              </w:rPr>
            </w:pPr>
            <w:r w:rsidRPr="001E6DFD">
              <w:rPr>
                <w:sz w:val="16"/>
                <w:szCs w:val="16"/>
              </w:rPr>
              <w:t>81 888</w:t>
            </w:r>
          </w:p>
        </w:tc>
      </w:tr>
      <w:tr w:rsidR="00BA5EA9" w:rsidRPr="001E6DFD" w14:paraId="65BCD3D6" w14:textId="77777777" w:rsidTr="0097226C">
        <w:trPr>
          <w:jc w:val="center"/>
        </w:trPr>
        <w:tc>
          <w:tcPr>
            <w:tcW w:w="439" w:type="dxa"/>
            <w:tcBorders>
              <w:top w:val="nil"/>
              <w:left w:val="nil"/>
              <w:bottom w:val="nil"/>
              <w:right w:val="nil"/>
            </w:tcBorders>
            <w:shd w:val="clear" w:color="000000" w:fill="C5D9F1"/>
            <w:noWrap/>
            <w:vAlign w:val="bottom"/>
            <w:hideMark/>
          </w:tcPr>
          <w:p w14:paraId="19A35283" w14:textId="0C034305" w:rsidR="00BA5EA9" w:rsidRPr="001E6DFD" w:rsidRDefault="00BA5EA9" w:rsidP="0097226C">
            <w:pPr>
              <w:rPr>
                <w:sz w:val="16"/>
                <w:szCs w:val="16"/>
              </w:rPr>
            </w:pPr>
          </w:p>
        </w:tc>
        <w:tc>
          <w:tcPr>
            <w:tcW w:w="4243" w:type="dxa"/>
            <w:tcBorders>
              <w:top w:val="nil"/>
              <w:left w:val="nil"/>
              <w:bottom w:val="nil"/>
              <w:right w:val="nil"/>
            </w:tcBorders>
            <w:shd w:val="clear" w:color="000000" w:fill="C5D9F1"/>
            <w:noWrap/>
            <w:vAlign w:val="bottom"/>
            <w:hideMark/>
          </w:tcPr>
          <w:p w14:paraId="29A11EEB" w14:textId="77777777" w:rsidR="00BA5EA9" w:rsidRPr="001E6DFD" w:rsidRDefault="00463DF3" w:rsidP="0097226C">
            <w:pPr>
              <w:jc w:val="right"/>
              <w:rPr>
                <w:b/>
                <w:bCs/>
                <w:sz w:val="16"/>
                <w:szCs w:val="16"/>
              </w:rPr>
            </w:pPr>
            <w:r w:rsidRPr="001E6DFD">
              <w:rPr>
                <w:b/>
                <w:bCs/>
                <w:sz w:val="16"/>
                <w:szCs w:val="16"/>
              </w:rPr>
              <w:t>Total</w:t>
            </w:r>
          </w:p>
        </w:tc>
        <w:tc>
          <w:tcPr>
            <w:tcW w:w="1180" w:type="dxa"/>
            <w:tcBorders>
              <w:top w:val="nil"/>
              <w:left w:val="nil"/>
              <w:bottom w:val="nil"/>
              <w:right w:val="nil"/>
            </w:tcBorders>
            <w:shd w:val="clear" w:color="000000" w:fill="C5D9F1"/>
            <w:noWrap/>
            <w:vAlign w:val="center"/>
            <w:hideMark/>
          </w:tcPr>
          <w:p w14:paraId="252BE11C" w14:textId="77777777" w:rsidR="00BA5EA9" w:rsidRPr="001E6DFD" w:rsidRDefault="00BA5EA9" w:rsidP="0097226C">
            <w:pPr>
              <w:jc w:val="center"/>
              <w:rPr>
                <w:sz w:val="16"/>
                <w:szCs w:val="16"/>
              </w:rPr>
            </w:pPr>
            <w:r w:rsidRPr="001E6DFD">
              <w:rPr>
                <w:sz w:val="16"/>
                <w:szCs w:val="16"/>
              </w:rPr>
              <w:t>2</w:t>
            </w:r>
            <w:r w:rsidR="00282CF5" w:rsidRPr="001E6DFD">
              <w:rPr>
                <w:sz w:val="16"/>
                <w:szCs w:val="16"/>
              </w:rPr>
              <w:t>08 209</w:t>
            </w:r>
          </w:p>
        </w:tc>
        <w:tc>
          <w:tcPr>
            <w:tcW w:w="1180" w:type="dxa"/>
            <w:tcBorders>
              <w:top w:val="nil"/>
              <w:left w:val="nil"/>
              <w:bottom w:val="nil"/>
              <w:right w:val="nil"/>
            </w:tcBorders>
            <w:shd w:val="clear" w:color="000000" w:fill="C5D9F1"/>
            <w:noWrap/>
            <w:vAlign w:val="center"/>
            <w:hideMark/>
          </w:tcPr>
          <w:p w14:paraId="1F67AA71" w14:textId="77777777" w:rsidR="00BA5EA9" w:rsidRPr="001E6DFD" w:rsidRDefault="00BA5EA9" w:rsidP="0097226C">
            <w:pPr>
              <w:jc w:val="center"/>
              <w:rPr>
                <w:sz w:val="16"/>
                <w:szCs w:val="16"/>
              </w:rPr>
            </w:pPr>
            <w:r w:rsidRPr="001E6DFD">
              <w:rPr>
                <w:sz w:val="16"/>
                <w:szCs w:val="16"/>
              </w:rPr>
              <w:t>2</w:t>
            </w:r>
            <w:r w:rsidR="00282CF5" w:rsidRPr="001E6DFD">
              <w:rPr>
                <w:sz w:val="16"/>
                <w:szCs w:val="16"/>
              </w:rPr>
              <w:t>03 404</w:t>
            </w:r>
          </w:p>
        </w:tc>
        <w:tc>
          <w:tcPr>
            <w:tcW w:w="1180" w:type="dxa"/>
            <w:tcBorders>
              <w:top w:val="nil"/>
              <w:left w:val="nil"/>
              <w:bottom w:val="nil"/>
              <w:right w:val="nil"/>
            </w:tcBorders>
            <w:shd w:val="clear" w:color="000000" w:fill="C5D9F1"/>
            <w:noWrap/>
            <w:vAlign w:val="center"/>
            <w:hideMark/>
          </w:tcPr>
          <w:p w14:paraId="67027E86" w14:textId="77777777" w:rsidR="00BA5EA9" w:rsidRPr="001E6DFD" w:rsidRDefault="00282CF5" w:rsidP="0097226C">
            <w:pPr>
              <w:jc w:val="center"/>
              <w:rPr>
                <w:sz w:val="16"/>
                <w:szCs w:val="16"/>
              </w:rPr>
            </w:pPr>
            <w:r w:rsidRPr="001E6DFD">
              <w:rPr>
                <w:sz w:val="16"/>
                <w:szCs w:val="16"/>
              </w:rPr>
              <w:t>93 861</w:t>
            </w:r>
          </w:p>
        </w:tc>
      </w:tr>
      <w:tr w:rsidR="00505EF6" w:rsidRPr="001E6DFD" w14:paraId="5F786098" w14:textId="77777777" w:rsidTr="0097226C">
        <w:trPr>
          <w:jc w:val="center"/>
        </w:trPr>
        <w:tc>
          <w:tcPr>
            <w:tcW w:w="8222" w:type="dxa"/>
            <w:gridSpan w:val="5"/>
            <w:tcBorders>
              <w:top w:val="nil"/>
              <w:left w:val="nil"/>
              <w:bottom w:val="nil"/>
              <w:right w:val="nil"/>
            </w:tcBorders>
            <w:shd w:val="clear" w:color="auto" w:fill="auto"/>
            <w:noWrap/>
            <w:vAlign w:val="center"/>
            <w:hideMark/>
          </w:tcPr>
          <w:p w14:paraId="1817ADEF" w14:textId="50A2EC88" w:rsidR="00505EF6" w:rsidRPr="001E6DFD" w:rsidRDefault="00505EF6"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281E9EF5" w14:textId="77777777" w:rsidR="001F64B1" w:rsidRDefault="001F64B1" w:rsidP="0097226C">
      <w:pPr>
        <w:jc w:val="center"/>
        <w:rPr>
          <w:sz w:val="20"/>
        </w:rPr>
      </w:pPr>
    </w:p>
    <w:p w14:paraId="7C7F528C" w14:textId="77777777" w:rsidR="001E3776" w:rsidRPr="001E6DFD" w:rsidRDefault="001E3776" w:rsidP="0097226C">
      <w:pPr>
        <w:jc w:val="center"/>
        <w:rPr>
          <w:sz w:val="20"/>
        </w:rPr>
      </w:pPr>
    </w:p>
    <w:p w14:paraId="7F45C78D" w14:textId="77777777" w:rsidR="00FA22F6" w:rsidRPr="001E6DFD" w:rsidRDefault="00463DF3" w:rsidP="0097226C">
      <w:pPr>
        <w:keepNext/>
        <w:keepLines/>
        <w:jc w:val="center"/>
        <w:rPr>
          <w:sz w:val="18"/>
          <w:szCs w:val="18"/>
        </w:rPr>
      </w:pPr>
      <w:r w:rsidRPr="001E6DFD">
        <w:rPr>
          <w:sz w:val="18"/>
          <w:szCs w:val="18"/>
        </w:rPr>
        <w:t>Budget et dépenses effectives (dépenses de personnel et autres dépenses)</w:t>
      </w:r>
    </w:p>
    <w:p w14:paraId="4FFFFF06" w14:textId="36553E5A" w:rsidR="001F64B1" w:rsidRPr="001E6DFD" w:rsidRDefault="00463DF3" w:rsidP="0097226C">
      <w:pPr>
        <w:keepNext/>
        <w:keepLines/>
        <w:jc w:val="center"/>
        <w:rPr>
          <w:i/>
          <w:iCs/>
          <w:sz w:val="16"/>
          <w:szCs w:val="16"/>
        </w:rPr>
      </w:pPr>
      <w:r w:rsidRPr="001E6DFD">
        <w:rPr>
          <w:i/>
          <w:iCs/>
          <w:sz w:val="16"/>
          <w:szCs w:val="16"/>
        </w:rPr>
        <w:t>(en milliers de francs suisses)</w:t>
      </w:r>
    </w:p>
    <w:p w14:paraId="2AE779CC"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731CF2D6" w14:textId="77777777" w:rsidTr="0097226C">
        <w:trPr>
          <w:jc w:val="center"/>
        </w:trPr>
        <w:tc>
          <w:tcPr>
            <w:tcW w:w="2470" w:type="dxa"/>
            <w:tcBorders>
              <w:top w:val="nil"/>
              <w:left w:val="nil"/>
              <w:bottom w:val="nil"/>
              <w:right w:val="nil"/>
            </w:tcBorders>
            <w:shd w:val="clear" w:color="000000" w:fill="C5D9F1"/>
            <w:noWrap/>
            <w:vAlign w:val="center"/>
            <w:hideMark/>
          </w:tcPr>
          <w:p w14:paraId="0D38612D" w14:textId="742EC6EB"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46F4BB90" w14:textId="16023030" w:rsidR="00BA5EA9" w:rsidRPr="001E6DFD" w:rsidRDefault="00463DF3" w:rsidP="006C4DF8">
            <w:pPr>
              <w:jc w:val="center"/>
              <w:rPr>
                <w:b/>
                <w:bCs/>
                <w:sz w:val="16"/>
                <w:szCs w:val="16"/>
              </w:rPr>
            </w:pPr>
            <w:r w:rsidRPr="001E6DFD">
              <w:rPr>
                <w:b/>
                <w:bCs/>
                <w:sz w:val="16"/>
                <w:szCs w:val="16"/>
              </w:rPr>
              <w:t>Budget</w:t>
            </w:r>
            <w:r w:rsidR="00B4191E">
              <w:rPr>
                <w:b/>
                <w:bCs/>
                <w:sz w:val="16"/>
                <w:szCs w:val="16"/>
              </w:rPr>
              <w:t> </w:t>
            </w:r>
            <w:r w:rsidR="00AC7D97" w:rsidRPr="001E6DFD">
              <w:rPr>
                <w:b/>
                <w:bCs/>
                <w:sz w:val="16"/>
                <w:szCs w:val="16"/>
              </w:rPr>
              <w:t>2016</w:t>
            </w:r>
            <w:r w:rsidR="006A41CF" w:rsidRPr="001E6DFD">
              <w:rPr>
                <w:b/>
                <w:bCs/>
                <w:sz w:val="16"/>
                <w:szCs w:val="16"/>
              </w:rPr>
              <w:noBreakHyphen/>
            </w:r>
            <w:r w:rsidR="00AC7D97" w:rsidRPr="001E6DFD">
              <w:rPr>
                <w:b/>
                <w:bCs/>
                <w:sz w:val="16"/>
                <w:szCs w:val="16"/>
              </w:rPr>
              <w:t>2017</w:t>
            </w:r>
            <w:r w:rsidRPr="001E6DFD">
              <w:rPr>
                <w:b/>
                <w:bCs/>
                <w:sz w:val="16"/>
                <w:szCs w:val="16"/>
              </w:rPr>
              <w:t xml:space="preserve"> approuvé</w:t>
            </w:r>
          </w:p>
        </w:tc>
        <w:tc>
          <w:tcPr>
            <w:tcW w:w="1438" w:type="dxa"/>
            <w:tcBorders>
              <w:top w:val="nil"/>
              <w:left w:val="nil"/>
              <w:bottom w:val="nil"/>
              <w:right w:val="nil"/>
            </w:tcBorders>
            <w:shd w:val="clear" w:color="000000" w:fill="C5D9F1"/>
            <w:vAlign w:val="center"/>
            <w:hideMark/>
          </w:tcPr>
          <w:p w14:paraId="35CC5057" w14:textId="1C6ECF67" w:rsidR="00BA5EA9" w:rsidRPr="001E6DFD" w:rsidRDefault="00463DF3" w:rsidP="006C4DF8">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7A32E8F4" w14:textId="525395EF" w:rsidR="00BA5EA9" w:rsidRPr="001E6DFD" w:rsidRDefault="00463DF3" w:rsidP="00A806A7">
            <w:pPr>
              <w:jc w:val="center"/>
              <w:rPr>
                <w:b/>
                <w:bCs/>
                <w:sz w:val="16"/>
                <w:szCs w:val="16"/>
              </w:rPr>
            </w:pPr>
            <w:r w:rsidRPr="001E6DFD">
              <w:rPr>
                <w:b/>
                <w:bCs/>
                <w:sz w:val="16"/>
                <w:szCs w:val="16"/>
              </w:rPr>
              <w:t>Dépenses</w:t>
            </w:r>
            <w:r w:rsidR="00A806A7">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0E1FC032" w14:textId="11375BE1" w:rsidR="00BA5EA9" w:rsidRPr="001E6DFD" w:rsidRDefault="00463DF3"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434A6667" w14:textId="77777777" w:rsidTr="0097226C">
        <w:trPr>
          <w:jc w:val="center"/>
        </w:trPr>
        <w:tc>
          <w:tcPr>
            <w:tcW w:w="2470" w:type="dxa"/>
            <w:tcBorders>
              <w:top w:val="nil"/>
              <w:left w:val="nil"/>
              <w:bottom w:val="nil"/>
              <w:right w:val="nil"/>
            </w:tcBorders>
            <w:shd w:val="clear" w:color="auto" w:fill="auto"/>
            <w:noWrap/>
            <w:vAlign w:val="center"/>
            <w:hideMark/>
          </w:tcPr>
          <w:p w14:paraId="389CF02E"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77B6F909" w14:textId="77777777" w:rsidR="00BA5EA9" w:rsidRPr="001E6DFD" w:rsidRDefault="00BA5EA9" w:rsidP="0097226C">
            <w:pPr>
              <w:jc w:val="center"/>
              <w:rPr>
                <w:sz w:val="16"/>
                <w:szCs w:val="16"/>
              </w:rPr>
            </w:pPr>
            <w:r w:rsidRPr="001E6DFD">
              <w:rPr>
                <w:sz w:val="16"/>
                <w:szCs w:val="16"/>
              </w:rPr>
              <w:t>1</w:t>
            </w:r>
            <w:r w:rsidR="00282CF5" w:rsidRPr="001E6DFD">
              <w:rPr>
                <w:sz w:val="16"/>
                <w:szCs w:val="16"/>
              </w:rPr>
              <w:t>33 970</w:t>
            </w:r>
            <w:r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17CD6CA" w14:textId="77777777" w:rsidR="00BA5EA9" w:rsidRPr="001E6DFD" w:rsidRDefault="00BA5EA9" w:rsidP="0097226C">
            <w:pPr>
              <w:jc w:val="center"/>
              <w:rPr>
                <w:sz w:val="16"/>
                <w:szCs w:val="16"/>
              </w:rPr>
            </w:pPr>
            <w:r w:rsidRPr="001E6DFD">
              <w:rPr>
                <w:sz w:val="16"/>
                <w:szCs w:val="16"/>
              </w:rPr>
              <w:t>1</w:t>
            </w:r>
            <w:r w:rsidR="00282CF5" w:rsidRPr="001E6DFD">
              <w:rPr>
                <w:sz w:val="16"/>
                <w:szCs w:val="16"/>
              </w:rPr>
              <w:t>29 909</w:t>
            </w:r>
            <w:r w:rsidRPr="001E6DFD">
              <w:rPr>
                <w:sz w:val="16"/>
                <w:szCs w:val="16"/>
              </w:rPr>
              <w:t xml:space="preserve"> </w:t>
            </w:r>
          </w:p>
        </w:tc>
        <w:tc>
          <w:tcPr>
            <w:tcW w:w="1438" w:type="dxa"/>
            <w:tcBorders>
              <w:top w:val="nil"/>
              <w:left w:val="nil"/>
              <w:bottom w:val="nil"/>
              <w:right w:val="nil"/>
            </w:tcBorders>
            <w:shd w:val="clear" w:color="auto" w:fill="auto"/>
            <w:vAlign w:val="center"/>
            <w:hideMark/>
          </w:tcPr>
          <w:p w14:paraId="6D48DB6C" w14:textId="77777777" w:rsidR="00BA5EA9" w:rsidRPr="001E6DFD" w:rsidRDefault="00282CF5" w:rsidP="0097226C">
            <w:pPr>
              <w:jc w:val="center"/>
              <w:rPr>
                <w:sz w:val="16"/>
                <w:szCs w:val="16"/>
              </w:rPr>
            </w:pPr>
            <w:r w:rsidRPr="001E6DFD">
              <w:rPr>
                <w:sz w:val="16"/>
                <w:szCs w:val="16"/>
              </w:rPr>
              <w:t>59 294</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1F16A87C" w14:textId="77777777" w:rsidR="00BA5EA9" w:rsidRPr="001E6DFD" w:rsidRDefault="00BA5EA9" w:rsidP="0097226C">
            <w:pPr>
              <w:jc w:val="center"/>
              <w:rPr>
                <w:sz w:val="16"/>
                <w:szCs w:val="16"/>
              </w:rPr>
            </w:pPr>
            <w:r w:rsidRPr="001E6DFD">
              <w:rPr>
                <w:sz w:val="16"/>
                <w:szCs w:val="16"/>
              </w:rPr>
              <w:t>46%</w:t>
            </w:r>
          </w:p>
        </w:tc>
      </w:tr>
      <w:tr w:rsidR="00BA5EA9" w:rsidRPr="001E6DFD" w14:paraId="243D6ABB" w14:textId="77777777" w:rsidTr="0097226C">
        <w:trPr>
          <w:jc w:val="center"/>
        </w:trPr>
        <w:tc>
          <w:tcPr>
            <w:tcW w:w="2470" w:type="dxa"/>
            <w:tcBorders>
              <w:top w:val="nil"/>
              <w:left w:val="nil"/>
              <w:bottom w:val="nil"/>
              <w:right w:val="nil"/>
            </w:tcBorders>
            <w:shd w:val="clear" w:color="auto" w:fill="auto"/>
            <w:noWrap/>
            <w:vAlign w:val="center"/>
            <w:hideMark/>
          </w:tcPr>
          <w:p w14:paraId="18475097"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02EB7C2A" w14:textId="77777777" w:rsidR="00BA5EA9" w:rsidRPr="001E6DFD" w:rsidRDefault="00282CF5" w:rsidP="0097226C">
            <w:pPr>
              <w:jc w:val="center"/>
              <w:rPr>
                <w:sz w:val="16"/>
                <w:szCs w:val="16"/>
              </w:rPr>
            </w:pPr>
            <w:r w:rsidRPr="001E6DFD">
              <w:rPr>
                <w:sz w:val="16"/>
                <w:szCs w:val="16"/>
              </w:rPr>
              <w:t>74 239</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1F06F96D" w14:textId="77777777" w:rsidR="00BA5EA9" w:rsidRPr="001E6DFD" w:rsidRDefault="00282CF5" w:rsidP="0097226C">
            <w:pPr>
              <w:jc w:val="center"/>
              <w:rPr>
                <w:sz w:val="16"/>
                <w:szCs w:val="16"/>
              </w:rPr>
            </w:pPr>
            <w:r w:rsidRPr="001E6DFD">
              <w:rPr>
                <w:sz w:val="16"/>
                <w:szCs w:val="16"/>
              </w:rPr>
              <w:t>73 495</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699B9DD8" w14:textId="77777777" w:rsidR="00BA5EA9" w:rsidRPr="001E6DFD" w:rsidRDefault="00282CF5" w:rsidP="0097226C">
            <w:pPr>
              <w:jc w:val="center"/>
              <w:rPr>
                <w:sz w:val="16"/>
                <w:szCs w:val="16"/>
              </w:rPr>
            </w:pPr>
            <w:r w:rsidRPr="001E6DFD">
              <w:rPr>
                <w:sz w:val="16"/>
                <w:szCs w:val="16"/>
              </w:rPr>
              <w:t>34 567</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120350BF" w14:textId="77777777" w:rsidR="00BA5EA9" w:rsidRPr="001E6DFD" w:rsidRDefault="00BA5EA9" w:rsidP="0097226C">
            <w:pPr>
              <w:jc w:val="center"/>
              <w:rPr>
                <w:sz w:val="16"/>
                <w:szCs w:val="16"/>
              </w:rPr>
            </w:pPr>
            <w:r w:rsidRPr="001E6DFD">
              <w:rPr>
                <w:sz w:val="16"/>
                <w:szCs w:val="16"/>
              </w:rPr>
              <w:t>47%</w:t>
            </w:r>
          </w:p>
        </w:tc>
      </w:tr>
      <w:tr w:rsidR="00BA5EA9" w:rsidRPr="001E6DFD" w14:paraId="78BF79EF" w14:textId="77777777" w:rsidTr="0097226C">
        <w:trPr>
          <w:jc w:val="center"/>
        </w:trPr>
        <w:tc>
          <w:tcPr>
            <w:tcW w:w="2470" w:type="dxa"/>
            <w:tcBorders>
              <w:top w:val="nil"/>
              <w:left w:val="nil"/>
              <w:bottom w:val="nil"/>
              <w:right w:val="nil"/>
            </w:tcBorders>
            <w:shd w:val="clear" w:color="000000" w:fill="C5D9F1"/>
            <w:noWrap/>
            <w:vAlign w:val="center"/>
            <w:hideMark/>
          </w:tcPr>
          <w:p w14:paraId="63345C60" w14:textId="1C88DDDB" w:rsidR="00BA5EA9" w:rsidRPr="001E6DFD" w:rsidRDefault="00463DF3"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6AC8C3E9" w14:textId="77777777" w:rsidR="00BA5EA9" w:rsidRPr="001E6DFD" w:rsidRDefault="00BA5EA9" w:rsidP="0097226C">
            <w:pPr>
              <w:jc w:val="center"/>
              <w:rPr>
                <w:b/>
                <w:bCs/>
                <w:sz w:val="16"/>
                <w:szCs w:val="16"/>
              </w:rPr>
            </w:pPr>
            <w:r w:rsidRPr="001E6DFD">
              <w:rPr>
                <w:b/>
                <w:bCs/>
                <w:sz w:val="16"/>
                <w:szCs w:val="16"/>
              </w:rPr>
              <w:t>2</w:t>
            </w:r>
            <w:r w:rsidR="00282CF5" w:rsidRPr="001E6DFD">
              <w:rPr>
                <w:b/>
                <w:bCs/>
                <w:sz w:val="16"/>
                <w:szCs w:val="16"/>
              </w:rPr>
              <w:t>08 209</w:t>
            </w:r>
            <w:r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3310B735" w14:textId="77777777" w:rsidR="00BA5EA9" w:rsidRPr="001E6DFD" w:rsidRDefault="00BA5EA9" w:rsidP="0097226C">
            <w:pPr>
              <w:jc w:val="center"/>
              <w:rPr>
                <w:b/>
                <w:bCs/>
                <w:sz w:val="16"/>
                <w:szCs w:val="16"/>
              </w:rPr>
            </w:pPr>
            <w:r w:rsidRPr="001E6DFD">
              <w:rPr>
                <w:b/>
                <w:bCs/>
                <w:sz w:val="16"/>
                <w:szCs w:val="16"/>
              </w:rPr>
              <w:t>2</w:t>
            </w:r>
            <w:r w:rsidR="00282CF5" w:rsidRPr="001E6DFD">
              <w:rPr>
                <w:b/>
                <w:bCs/>
                <w:sz w:val="16"/>
                <w:szCs w:val="16"/>
              </w:rPr>
              <w:t>03 404</w:t>
            </w:r>
            <w:r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235145F2" w14:textId="77777777" w:rsidR="00BA5EA9" w:rsidRPr="001E6DFD" w:rsidRDefault="00282CF5" w:rsidP="0097226C">
            <w:pPr>
              <w:jc w:val="center"/>
              <w:rPr>
                <w:b/>
                <w:bCs/>
                <w:sz w:val="16"/>
                <w:szCs w:val="16"/>
              </w:rPr>
            </w:pPr>
            <w:r w:rsidRPr="001E6DFD">
              <w:rPr>
                <w:b/>
                <w:bCs/>
                <w:sz w:val="16"/>
                <w:szCs w:val="16"/>
              </w:rPr>
              <w:t>93 861</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FF518A5" w14:textId="77777777" w:rsidR="00BA5EA9" w:rsidRPr="001E6DFD" w:rsidRDefault="00BA5EA9" w:rsidP="0097226C">
            <w:pPr>
              <w:jc w:val="center"/>
              <w:rPr>
                <w:b/>
                <w:bCs/>
                <w:sz w:val="16"/>
                <w:szCs w:val="16"/>
              </w:rPr>
            </w:pPr>
            <w:r w:rsidRPr="001E6DFD">
              <w:rPr>
                <w:b/>
                <w:bCs/>
                <w:sz w:val="16"/>
                <w:szCs w:val="16"/>
              </w:rPr>
              <w:t>46%</w:t>
            </w:r>
          </w:p>
        </w:tc>
      </w:tr>
      <w:tr w:rsidR="00BA5EA9" w:rsidRPr="001E6DFD" w14:paraId="2AA36180" w14:textId="77777777" w:rsidTr="0097226C">
        <w:trPr>
          <w:jc w:val="center"/>
        </w:trPr>
        <w:tc>
          <w:tcPr>
            <w:tcW w:w="8222" w:type="dxa"/>
            <w:gridSpan w:val="5"/>
            <w:tcBorders>
              <w:top w:val="nil"/>
              <w:left w:val="nil"/>
              <w:bottom w:val="nil"/>
              <w:right w:val="nil"/>
            </w:tcBorders>
            <w:shd w:val="clear" w:color="auto" w:fill="auto"/>
            <w:noWrap/>
            <w:vAlign w:val="center"/>
            <w:hideMark/>
          </w:tcPr>
          <w:p w14:paraId="64B5B9BD" w14:textId="49B3C9FD"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58E03D2C" w14:textId="77777777" w:rsidR="001F64B1" w:rsidRPr="001E6DFD" w:rsidRDefault="001F64B1" w:rsidP="0097226C">
      <w:pPr>
        <w:rPr>
          <w:sz w:val="20"/>
        </w:rPr>
      </w:pPr>
    </w:p>
    <w:p w14:paraId="2D979A60" w14:textId="2E1F897F" w:rsidR="001F64B1" w:rsidRPr="001E6DFD" w:rsidRDefault="00463DF3"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2C0A231A" w14:textId="77777777" w:rsidR="001F64B1" w:rsidRPr="001E6DFD" w:rsidRDefault="001F64B1" w:rsidP="0097226C">
      <w:pPr>
        <w:rPr>
          <w:sz w:val="20"/>
        </w:rPr>
      </w:pPr>
    </w:p>
    <w:p w14:paraId="1BF16833" w14:textId="77777777" w:rsidR="001F64B1" w:rsidRPr="001E6DFD" w:rsidRDefault="001F64B1" w:rsidP="0097226C">
      <w:pPr>
        <w:jc w:val="both"/>
        <w:rPr>
          <w:sz w:val="20"/>
        </w:rPr>
      </w:pPr>
    </w:p>
    <w:p w14:paraId="17373882" w14:textId="510C74CC" w:rsidR="001F64B1" w:rsidRPr="001E6DFD" w:rsidRDefault="00BA5EA9" w:rsidP="0097226C">
      <w:pPr>
        <w:jc w:val="both"/>
        <w:rPr>
          <w:sz w:val="20"/>
          <w:u w:val="single"/>
        </w:rPr>
      </w:pPr>
      <w:r w:rsidRPr="001E6DFD">
        <w:rPr>
          <w:sz w:val="20"/>
        </w:rPr>
        <w:t>A.</w:t>
      </w:r>
      <w:r w:rsidRPr="001E6DFD">
        <w:rPr>
          <w:sz w:val="20"/>
        </w:rPr>
        <w:tab/>
      </w:r>
      <w:r w:rsidR="00F3341E" w:rsidRPr="001E6DFD">
        <w:rPr>
          <w:sz w:val="20"/>
          <w:u w:val="single"/>
        </w:rPr>
        <w:t>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 après virements</w:t>
      </w:r>
    </w:p>
    <w:p w14:paraId="3C7F8DBF" w14:textId="77777777" w:rsidR="001F64B1" w:rsidRPr="001E6DFD" w:rsidRDefault="001F64B1" w:rsidP="0097226C">
      <w:pPr>
        <w:jc w:val="both"/>
        <w:rPr>
          <w:sz w:val="20"/>
        </w:rPr>
      </w:pPr>
    </w:p>
    <w:p w14:paraId="7E8F15EC" w14:textId="6546335D" w:rsidR="001F64B1" w:rsidRPr="001E6DFD" w:rsidRDefault="00A17D98" w:rsidP="00D544B8">
      <w:pPr>
        <w:pStyle w:val="ListParagraph"/>
        <w:numPr>
          <w:ilvl w:val="0"/>
          <w:numId w:val="9"/>
        </w:numPr>
        <w:ind w:left="0" w:firstLine="0"/>
        <w:contextualSpacing w:val="0"/>
        <w:jc w:val="both"/>
        <w:rPr>
          <w:sz w:val="20"/>
          <w:szCs w:val="20"/>
        </w:rPr>
      </w:pPr>
      <w:r w:rsidRPr="00CA7EBF">
        <w:rPr>
          <w:rFonts w:ascii="Arial" w:hAnsi="Arial" w:cs="Arial"/>
          <w:sz w:val="20"/>
          <w:szCs w:val="20"/>
        </w:rPr>
        <w:t>La diminution globale</w:t>
      </w:r>
      <w:r w:rsidR="00B66BE4" w:rsidRPr="00CA7EBF">
        <w:rPr>
          <w:rFonts w:ascii="Arial" w:hAnsi="Arial" w:cs="Arial"/>
          <w:sz w:val="20"/>
          <w:szCs w:val="20"/>
        </w:rPr>
        <w:t xml:space="preserve"> du budget après </w:t>
      </w:r>
      <w:r w:rsidR="00476A0E" w:rsidRPr="00CA7EBF">
        <w:rPr>
          <w:rFonts w:ascii="Arial" w:hAnsi="Arial" w:cs="Arial"/>
          <w:sz w:val="20"/>
          <w:szCs w:val="20"/>
        </w:rPr>
        <w:t>virements</w:t>
      </w:r>
      <w:r w:rsidR="00845A7C" w:rsidRPr="00CA7EBF">
        <w:rPr>
          <w:rFonts w:ascii="Arial" w:hAnsi="Arial" w:cs="Arial"/>
          <w:sz w:val="20"/>
          <w:szCs w:val="20"/>
        </w:rPr>
        <w:t xml:space="preserve"> </w:t>
      </w:r>
      <w:r w:rsidR="00B66BE4" w:rsidRPr="00CA7EBF">
        <w:rPr>
          <w:rFonts w:ascii="Arial" w:hAnsi="Arial" w:cs="Arial"/>
          <w:sz w:val="20"/>
          <w:szCs w:val="20"/>
        </w:rPr>
        <w:t>par rapport au budget</w:t>
      </w:r>
      <w:r w:rsidR="00B4191E" w:rsidRPr="00CA7EBF">
        <w:rPr>
          <w:rFonts w:ascii="Arial" w:hAnsi="Arial" w:cs="Arial"/>
          <w:sz w:val="20"/>
          <w:szCs w:val="20"/>
        </w:rPr>
        <w:t> </w:t>
      </w:r>
      <w:r w:rsidR="00B66BE4" w:rsidRPr="00CA7EBF">
        <w:rPr>
          <w:rFonts w:ascii="Arial" w:hAnsi="Arial" w:cs="Arial"/>
          <w:sz w:val="20"/>
          <w:szCs w:val="20"/>
        </w:rPr>
        <w:t>2016</w:t>
      </w:r>
      <w:r w:rsidR="006A41CF" w:rsidRPr="00CA7EBF">
        <w:rPr>
          <w:rFonts w:ascii="Arial" w:hAnsi="Arial" w:cs="Arial"/>
          <w:sz w:val="20"/>
          <w:szCs w:val="20"/>
        </w:rPr>
        <w:noBreakHyphen/>
      </w:r>
      <w:r w:rsidR="00B66BE4" w:rsidRPr="00CA7EBF">
        <w:rPr>
          <w:rFonts w:ascii="Arial" w:hAnsi="Arial" w:cs="Arial"/>
          <w:sz w:val="20"/>
          <w:szCs w:val="20"/>
        </w:rPr>
        <w:t xml:space="preserve">2017 approuvé </w:t>
      </w:r>
      <w:r w:rsidR="00A06ED3" w:rsidRPr="00CA7EBF">
        <w:rPr>
          <w:rFonts w:ascii="Arial" w:hAnsi="Arial" w:cs="Arial"/>
          <w:sz w:val="20"/>
          <w:szCs w:val="20"/>
        </w:rPr>
        <w:t xml:space="preserve">reflète la tendance à long terme à l’augmentation de la productivité des opérations du PCT.  </w:t>
      </w:r>
      <w:r w:rsidR="00CA7EBF" w:rsidRPr="00CA7EBF">
        <w:rPr>
          <w:rFonts w:ascii="Arial" w:hAnsi="Arial" w:cs="Arial"/>
          <w:sz w:val="20"/>
          <w:szCs w:val="20"/>
        </w:rPr>
        <w:t>Celle</w:t>
      </w:r>
      <w:r w:rsidR="00CA7EBF" w:rsidRPr="00CA7EBF">
        <w:rPr>
          <w:rFonts w:ascii="Arial" w:hAnsi="Arial" w:cs="Arial"/>
          <w:sz w:val="20"/>
          <w:szCs w:val="20"/>
        </w:rPr>
        <w:noBreakHyphen/>
        <w:t xml:space="preserve">ci s’explique </w:t>
      </w:r>
      <w:r w:rsidR="00B66BE4" w:rsidRPr="00CA7EBF">
        <w:rPr>
          <w:rFonts w:ascii="Arial" w:hAnsi="Arial" w:cs="Arial"/>
          <w:sz w:val="20"/>
          <w:szCs w:val="20"/>
        </w:rPr>
        <w:t xml:space="preserve">en grande partie par la réduction </w:t>
      </w:r>
      <w:r w:rsidR="00411DA4" w:rsidRPr="00CA7EBF">
        <w:rPr>
          <w:rFonts w:ascii="Arial" w:hAnsi="Arial" w:cs="Arial"/>
          <w:sz w:val="20"/>
          <w:szCs w:val="20"/>
        </w:rPr>
        <w:t xml:space="preserve">des ressources </w:t>
      </w:r>
      <w:r w:rsidR="00CA7EBF" w:rsidRPr="00CA7EBF">
        <w:rPr>
          <w:rFonts w:ascii="Arial" w:hAnsi="Arial" w:cs="Arial"/>
          <w:sz w:val="20"/>
          <w:szCs w:val="20"/>
        </w:rPr>
        <w:t>en</w:t>
      </w:r>
      <w:r w:rsidR="00845A7C" w:rsidRPr="00CA7EBF">
        <w:rPr>
          <w:rFonts w:ascii="Arial" w:hAnsi="Arial" w:cs="Arial"/>
          <w:sz w:val="20"/>
          <w:szCs w:val="20"/>
        </w:rPr>
        <w:t xml:space="preserve"> </w:t>
      </w:r>
      <w:r w:rsidR="00B66BE4" w:rsidRPr="00CA7EBF">
        <w:rPr>
          <w:rFonts w:ascii="Arial" w:hAnsi="Arial" w:cs="Arial"/>
          <w:sz w:val="20"/>
          <w:szCs w:val="20"/>
        </w:rPr>
        <w:t xml:space="preserve">personnel, qui </w:t>
      </w:r>
      <w:r w:rsidR="00411DA4" w:rsidRPr="00CA7EBF">
        <w:rPr>
          <w:rFonts w:ascii="Arial" w:hAnsi="Arial" w:cs="Arial"/>
          <w:sz w:val="20"/>
          <w:szCs w:val="20"/>
        </w:rPr>
        <w:t>découl</w:t>
      </w:r>
      <w:r w:rsidR="00CA7EBF" w:rsidRPr="00CA7EBF">
        <w:rPr>
          <w:rFonts w:ascii="Arial" w:hAnsi="Arial" w:cs="Arial"/>
          <w:sz w:val="20"/>
          <w:szCs w:val="20"/>
        </w:rPr>
        <w:t>e</w:t>
      </w:r>
      <w:r w:rsidR="00411DA4" w:rsidRPr="00CA7EBF">
        <w:rPr>
          <w:rFonts w:ascii="Arial" w:hAnsi="Arial" w:cs="Arial"/>
          <w:sz w:val="20"/>
          <w:szCs w:val="20"/>
        </w:rPr>
        <w:t xml:space="preserve"> directement, </w:t>
      </w:r>
      <w:r w:rsidR="00B66BE4" w:rsidRPr="00CA7EBF">
        <w:rPr>
          <w:rFonts w:ascii="Arial" w:hAnsi="Arial" w:cs="Arial"/>
          <w:sz w:val="20"/>
          <w:szCs w:val="20"/>
        </w:rPr>
        <w:t>d</w:t>
      </w:r>
      <w:r w:rsidR="00FA22F6" w:rsidRPr="00CA7EBF">
        <w:rPr>
          <w:rFonts w:ascii="Arial" w:hAnsi="Arial" w:cs="Arial"/>
          <w:sz w:val="20"/>
          <w:szCs w:val="20"/>
        </w:rPr>
        <w:t>’</w:t>
      </w:r>
      <w:r w:rsidR="00B66BE4" w:rsidRPr="00CA7EBF">
        <w:rPr>
          <w:rFonts w:ascii="Arial" w:hAnsi="Arial" w:cs="Arial"/>
          <w:sz w:val="20"/>
          <w:szCs w:val="20"/>
        </w:rPr>
        <w:t xml:space="preserve">une part, des </w:t>
      </w:r>
      <w:r w:rsidR="00845A7C" w:rsidRPr="00CA7EBF">
        <w:rPr>
          <w:rFonts w:ascii="Arial" w:hAnsi="Arial" w:cs="Arial"/>
          <w:sz w:val="20"/>
          <w:szCs w:val="20"/>
        </w:rPr>
        <w:t>transferts</w:t>
      </w:r>
      <w:r w:rsidR="00B66BE4" w:rsidRPr="00CA7EBF">
        <w:rPr>
          <w:rFonts w:ascii="Arial" w:hAnsi="Arial" w:cs="Arial"/>
          <w:sz w:val="20"/>
          <w:szCs w:val="20"/>
        </w:rPr>
        <w:t xml:space="preserve">, des reclassements et des régularisations </w:t>
      </w:r>
      <w:r w:rsidR="00471726" w:rsidRPr="00CA7EBF">
        <w:rPr>
          <w:rFonts w:ascii="Arial" w:hAnsi="Arial" w:cs="Arial"/>
          <w:sz w:val="20"/>
          <w:szCs w:val="20"/>
        </w:rPr>
        <w:t xml:space="preserve">effectives des </w:t>
      </w:r>
      <w:r w:rsidR="00B66BE4" w:rsidRPr="00CA7EBF">
        <w:rPr>
          <w:rFonts w:ascii="Arial" w:hAnsi="Arial" w:cs="Arial"/>
          <w:sz w:val="20"/>
          <w:szCs w:val="20"/>
        </w:rPr>
        <w:t>personne</w:t>
      </w:r>
      <w:r w:rsidR="00471726" w:rsidRPr="00CA7EBF">
        <w:rPr>
          <w:rFonts w:ascii="Arial" w:hAnsi="Arial" w:cs="Arial"/>
          <w:sz w:val="20"/>
          <w:szCs w:val="20"/>
        </w:rPr>
        <w:t>s</w:t>
      </w:r>
      <w:r w:rsidR="00B66BE4" w:rsidRPr="00CA7EBF">
        <w:rPr>
          <w:rFonts w:ascii="Arial" w:hAnsi="Arial" w:cs="Arial"/>
          <w:sz w:val="20"/>
          <w:szCs w:val="20"/>
        </w:rPr>
        <w:t xml:space="preserve"> </w:t>
      </w:r>
      <w:r w:rsidR="00471726" w:rsidRPr="00CA7EBF">
        <w:rPr>
          <w:rFonts w:ascii="Arial" w:hAnsi="Arial" w:cs="Arial"/>
          <w:sz w:val="20"/>
          <w:szCs w:val="20"/>
        </w:rPr>
        <w:t xml:space="preserve">exerçant </w:t>
      </w:r>
      <w:r w:rsidR="00B66BE4" w:rsidRPr="00CA7EBF">
        <w:rPr>
          <w:rFonts w:ascii="Arial" w:hAnsi="Arial" w:cs="Arial"/>
          <w:sz w:val="20"/>
          <w:szCs w:val="20"/>
        </w:rPr>
        <w:t>des fonctions continues</w:t>
      </w:r>
      <w:r w:rsidR="00471726" w:rsidRPr="00CA7EBF">
        <w:rPr>
          <w:rFonts w:ascii="Arial" w:hAnsi="Arial" w:cs="Arial"/>
          <w:sz w:val="20"/>
          <w:szCs w:val="20"/>
        </w:rPr>
        <w:t xml:space="preserve"> et, d</w:t>
      </w:r>
      <w:r w:rsidR="00FA22F6" w:rsidRPr="00CA7EBF">
        <w:rPr>
          <w:rFonts w:ascii="Arial" w:hAnsi="Arial" w:cs="Arial"/>
          <w:sz w:val="20"/>
          <w:szCs w:val="20"/>
        </w:rPr>
        <w:t>’</w:t>
      </w:r>
      <w:r w:rsidR="00B66BE4" w:rsidRPr="00CA7EBF">
        <w:rPr>
          <w:rFonts w:ascii="Arial" w:hAnsi="Arial" w:cs="Arial"/>
          <w:sz w:val="20"/>
          <w:szCs w:val="20"/>
        </w:rPr>
        <w:t xml:space="preserve">autre part, </w:t>
      </w:r>
      <w:r w:rsidR="00471726" w:rsidRPr="00CA7EBF">
        <w:rPr>
          <w:rFonts w:ascii="Arial" w:hAnsi="Arial" w:cs="Arial"/>
          <w:sz w:val="20"/>
          <w:szCs w:val="20"/>
        </w:rPr>
        <w:t xml:space="preserve">du </w:t>
      </w:r>
      <w:r w:rsidR="00B66BE4" w:rsidRPr="00CA7EBF">
        <w:rPr>
          <w:rFonts w:ascii="Arial" w:hAnsi="Arial" w:cs="Arial"/>
          <w:sz w:val="20"/>
          <w:szCs w:val="20"/>
        </w:rPr>
        <w:t>redéploiement</w:t>
      </w:r>
      <w:r w:rsidR="00845A7C" w:rsidRPr="00CA7EBF">
        <w:rPr>
          <w:rFonts w:ascii="Arial" w:hAnsi="Arial" w:cs="Arial"/>
          <w:sz w:val="20"/>
          <w:szCs w:val="20"/>
        </w:rPr>
        <w:t>,</w:t>
      </w:r>
      <w:r w:rsidR="00B66BE4" w:rsidRPr="00CA7EBF">
        <w:rPr>
          <w:rFonts w:ascii="Arial" w:hAnsi="Arial" w:cs="Arial"/>
          <w:sz w:val="20"/>
          <w:szCs w:val="20"/>
        </w:rPr>
        <w:t xml:space="preserve"> </w:t>
      </w:r>
      <w:r w:rsidR="00845A7C" w:rsidRPr="00CA7EBF">
        <w:rPr>
          <w:rFonts w:ascii="Arial" w:hAnsi="Arial" w:cs="Arial"/>
          <w:sz w:val="20"/>
          <w:szCs w:val="20"/>
        </w:rPr>
        <w:t>depuis le programme vers d</w:t>
      </w:r>
      <w:r w:rsidR="00FA22F6" w:rsidRPr="00CA7EBF">
        <w:rPr>
          <w:rFonts w:ascii="Arial" w:hAnsi="Arial" w:cs="Arial"/>
          <w:sz w:val="20"/>
          <w:szCs w:val="20"/>
        </w:rPr>
        <w:t>’</w:t>
      </w:r>
      <w:r w:rsidR="00845A7C" w:rsidRPr="00CA7EBF">
        <w:rPr>
          <w:rFonts w:ascii="Arial" w:hAnsi="Arial" w:cs="Arial"/>
          <w:sz w:val="20"/>
          <w:szCs w:val="20"/>
        </w:rPr>
        <w:t>autres priorités</w:t>
      </w:r>
      <w:r w:rsidR="00845A7C" w:rsidRPr="001E6DFD">
        <w:rPr>
          <w:rFonts w:ascii="Arial" w:hAnsi="Arial" w:cs="Arial"/>
          <w:sz w:val="20"/>
          <w:szCs w:val="20"/>
        </w:rPr>
        <w:t xml:space="preserve"> de l</w:t>
      </w:r>
      <w:r w:rsidR="00FA22F6" w:rsidRPr="001E6DFD">
        <w:rPr>
          <w:rFonts w:ascii="Arial" w:hAnsi="Arial" w:cs="Arial"/>
          <w:sz w:val="20"/>
          <w:szCs w:val="20"/>
        </w:rPr>
        <w:t>’</w:t>
      </w:r>
      <w:r w:rsidR="00845A7C" w:rsidRPr="001E6DFD">
        <w:rPr>
          <w:rFonts w:ascii="Arial" w:hAnsi="Arial" w:cs="Arial"/>
          <w:sz w:val="20"/>
          <w:szCs w:val="20"/>
        </w:rPr>
        <w:t xml:space="preserve">Organisation, </w:t>
      </w:r>
      <w:r w:rsidR="00B66BE4" w:rsidRPr="001E6DFD">
        <w:rPr>
          <w:rFonts w:ascii="Arial" w:hAnsi="Arial" w:cs="Arial"/>
          <w:sz w:val="20"/>
          <w:szCs w:val="20"/>
        </w:rPr>
        <w:t xml:space="preserve">des économies </w:t>
      </w:r>
      <w:r w:rsidR="00845A7C" w:rsidRPr="001E6DFD">
        <w:rPr>
          <w:rFonts w:ascii="Arial" w:hAnsi="Arial" w:cs="Arial"/>
          <w:sz w:val="20"/>
          <w:szCs w:val="20"/>
        </w:rPr>
        <w:t xml:space="preserve">dégagées au titre du </w:t>
      </w:r>
      <w:r w:rsidR="00B66BE4" w:rsidRPr="001E6DFD">
        <w:rPr>
          <w:rFonts w:ascii="Arial" w:hAnsi="Arial" w:cs="Arial"/>
          <w:sz w:val="20"/>
          <w:szCs w:val="20"/>
        </w:rPr>
        <w:t xml:space="preserve">personnel (réalisées à partir des postes vacants et des contrats </w:t>
      </w:r>
      <w:r w:rsidR="0068495C" w:rsidRPr="001E6DFD">
        <w:rPr>
          <w:rFonts w:ascii="Arial" w:hAnsi="Arial" w:cs="Arial"/>
          <w:sz w:val="20"/>
          <w:szCs w:val="20"/>
        </w:rPr>
        <w:t>de travail à temps parti</w:t>
      </w:r>
      <w:r w:rsidR="004A4D21" w:rsidRPr="001E6DFD">
        <w:rPr>
          <w:rFonts w:ascii="Arial" w:hAnsi="Arial" w:cs="Arial"/>
          <w:sz w:val="20"/>
          <w:szCs w:val="20"/>
        </w:rPr>
        <w:t>el).  La</w:t>
      </w:r>
      <w:r w:rsidR="00716DDB" w:rsidRPr="001E6DFD">
        <w:rPr>
          <w:rFonts w:ascii="Arial" w:hAnsi="Arial" w:cs="Arial"/>
          <w:sz w:val="20"/>
          <w:szCs w:val="20"/>
        </w:rPr>
        <w:t xml:space="preserve"> réduction des ressources autres que</w:t>
      </w:r>
      <w:r w:rsidR="00845A7C" w:rsidRPr="001E6DFD">
        <w:rPr>
          <w:rFonts w:ascii="Arial" w:hAnsi="Arial" w:cs="Arial"/>
          <w:sz w:val="20"/>
          <w:szCs w:val="20"/>
        </w:rPr>
        <w:t xml:space="preserve"> pour le </w:t>
      </w:r>
      <w:r w:rsidR="00845A7C" w:rsidRPr="001E6DFD">
        <w:rPr>
          <w:rFonts w:ascii="Arial" w:hAnsi="Arial" w:cs="Arial"/>
          <w:sz w:val="20"/>
          <w:szCs w:val="20"/>
        </w:rPr>
        <w:lastRenderedPageBreak/>
        <w:t>personnel</w:t>
      </w:r>
      <w:r w:rsidR="00716DDB" w:rsidRPr="001E6DFD">
        <w:rPr>
          <w:rFonts w:ascii="Arial" w:hAnsi="Arial" w:cs="Arial"/>
          <w:sz w:val="20"/>
          <w:szCs w:val="20"/>
        </w:rPr>
        <w:t xml:space="preserve"> </w:t>
      </w:r>
      <w:r w:rsidR="00CA7EBF">
        <w:rPr>
          <w:rFonts w:ascii="Arial" w:hAnsi="Arial" w:cs="Arial"/>
          <w:sz w:val="20"/>
          <w:szCs w:val="20"/>
        </w:rPr>
        <w:t>est</w:t>
      </w:r>
      <w:r w:rsidR="00CB36AB" w:rsidRPr="001E6DFD">
        <w:rPr>
          <w:rFonts w:ascii="Arial" w:hAnsi="Arial" w:cs="Arial"/>
          <w:sz w:val="20"/>
          <w:szCs w:val="20"/>
        </w:rPr>
        <w:t xml:space="preserve"> </w:t>
      </w:r>
      <w:r w:rsidR="00716DDB" w:rsidRPr="001E6DFD">
        <w:rPr>
          <w:rFonts w:ascii="Arial" w:hAnsi="Arial" w:cs="Arial"/>
          <w:sz w:val="20"/>
          <w:szCs w:val="20"/>
        </w:rPr>
        <w:t xml:space="preserve">principalement </w:t>
      </w:r>
      <w:r w:rsidR="00CB36AB" w:rsidRPr="001E6DFD">
        <w:rPr>
          <w:rFonts w:ascii="Arial" w:hAnsi="Arial" w:cs="Arial"/>
          <w:sz w:val="20"/>
          <w:szCs w:val="20"/>
        </w:rPr>
        <w:t>due à</w:t>
      </w:r>
      <w:r w:rsidR="00716DDB" w:rsidRPr="001E6DFD">
        <w:rPr>
          <w:rFonts w:ascii="Arial" w:hAnsi="Arial" w:cs="Arial"/>
          <w:sz w:val="20"/>
          <w:szCs w:val="20"/>
        </w:rPr>
        <w:t xml:space="preserve"> l</w:t>
      </w:r>
      <w:r w:rsidR="00FA22F6" w:rsidRPr="001E6DFD">
        <w:rPr>
          <w:rFonts w:ascii="Arial" w:hAnsi="Arial" w:cs="Arial"/>
          <w:sz w:val="20"/>
          <w:szCs w:val="20"/>
        </w:rPr>
        <w:t>’</w:t>
      </w:r>
      <w:r w:rsidR="00716DDB" w:rsidRPr="001E6DFD">
        <w:rPr>
          <w:rFonts w:ascii="Arial" w:hAnsi="Arial" w:cs="Arial"/>
          <w:sz w:val="20"/>
          <w:szCs w:val="20"/>
        </w:rPr>
        <w:t>ajustement à la baisse du budget alloué aux services de traduction</w:t>
      </w:r>
      <w:r w:rsidR="00FA22F6" w:rsidRPr="001E6DFD">
        <w:rPr>
          <w:rFonts w:ascii="Arial" w:hAnsi="Arial" w:cs="Arial"/>
          <w:sz w:val="20"/>
          <w:szCs w:val="20"/>
        </w:rPr>
        <w:t xml:space="preserve"> du PCT</w:t>
      </w:r>
      <w:r w:rsidR="00716DDB" w:rsidRPr="001E6DFD">
        <w:rPr>
          <w:rFonts w:ascii="Arial" w:hAnsi="Arial" w:cs="Arial"/>
          <w:sz w:val="20"/>
          <w:szCs w:val="20"/>
        </w:rPr>
        <w:t xml:space="preserve"> en prévision des économies</w:t>
      </w:r>
      <w:r w:rsidR="00845A7C" w:rsidRPr="001E6DFD">
        <w:rPr>
          <w:rFonts w:ascii="Arial" w:hAnsi="Arial" w:cs="Arial"/>
          <w:sz w:val="20"/>
          <w:szCs w:val="20"/>
        </w:rPr>
        <w:t xml:space="preserve"> prévues</w:t>
      </w:r>
      <w:r w:rsidR="00716DDB" w:rsidRPr="001E6DFD">
        <w:rPr>
          <w:rFonts w:ascii="Arial" w:hAnsi="Arial" w:cs="Arial"/>
          <w:sz w:val="20"/>
          <w:szCs w:val="20"/>
        </w:rPr>
        <w:t xml:space="preserve"> </w:t>
      </w:r>
      <w:r w:rsidR="00845A7C" w:rsidRPr="001E6DFD">
        <w:rPr>
          <w:rFonts w:ascii="Arial" w:hAnsi="Arial" w:cs="Arial"/>
          <w:sz w:val="20"/>
          <w:szCs w:val="20"/>
        </w:rPr>
        <w:t xml:space="preserve">en matière de </w:t>
      </w:r>
      <w:r w:rsidR="00716DDB" w:rsidRPr="001E6DFD">
        <w:rPr>
          <w:rFonts w:ascii="Arial" w:hAnsi="Arial" w:cs="Arial"/>
          <w:sz w:val="20"/>
          <w:szCs w:val="20"/>
        </w:rPr>
        <w:t>coûts de traduction.</w:t>
      </w:r>
    </w:p>
    <w:p w14:paraId="1F9BABEE" w14:textId="77777777" w:rsidR="00E212AF" w:rsidRPr="001E6DFD" w:rsidRDefault="00E212AF" w:rsidP="006C4DF8">
      <w:pPr>
        <w:jc w:val="both"/>
        <w:rPr>
          <w:sz w:val="20"/>
        </w:rPr>
      </w:pPr>
    </w:p>
    <w:p w14:paraId="5248F02D" w14:textId="65C07CF0" w:rsidR="001F64B1" w:rsidRPr="001E6DFD" w:rsidRDefault="00BA5EA9" w:rsidP="00A83D07">
      <w:pPr>
        <w:keepNext/>
        <w:keepLines/>
        <w:jc w:val="both"/>
        <w:rPr>
          <w:sz w:val="20"/>
          <w:u w:val="single"/>
        </w:rPr>
      </w:pPr>
      <w:r w:rsidRPr="001E6DFD">
        <w:rPr>
          <w:sz w:val="20"/>
        </w:rPr>
        <w:t>B.</w:t>
      </w:r>
      <w:r w:rsidRPr="001E6DFD">
        <w:rPr>
          <w:sz w:val="20"/>
        </w:rPr>
        <w:tab/>
      </w:r>
      <w:r w:rsidR="00F3341E" w:rsidRPr="001E6DFD">
        <w:rPr>
          <w:sz w:val="20"/>
          <w:u w:val="single"/>
        </w:rPr>
        <w:t>Utilisation du 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w:t>
      </w:r>
    </w:p>
    <w:p w14:paraId="5332C87C" w14:textId="77777777" w:rsidR="001F64B1" w:rsidRPr="001E6DFD" w:rsidRDefault="001F64B1" w:rsidP="00A83D07">
      <w:pPr>
        <w:keepNext/>
        <w:keepLines/>
        <w:jc w:val="both"/>
        <w:rPr>
          <w:sz w:val="20"/>
        </w:rPr>
      </w:pPr>
    </w:p>
    <w:p w14:paraId="5E422A97" w14:textId="62F4AB36" w:rsidR="001F64B1" w:rsidRPr="001E6DFD" w:rsidRDefault="00EC540A" w:rsidP="00A83D07">
      <w:pPr>
        <w:pStyle w:val="ListParagraph"/>
        <w:keepNext/>
        <w:keepLines/>
        <w:numPr>
          <w:ilvl w:val="0"/>
          <w:numId w:val="9"/>
        </w:numPr>
        <w:ind w:left="0" w:firstLine="0"/>
        <w:contextualSpacing w:val="0"/>
        <w:jc w:val="both"/>
        <w:rPr>
          <w:rFonts w:ascii="Arial" w:hAnsi="Arial" w:cs="Arial"/>
        </w:rPr>
      </w:pPr>
      <w:r w:rsidRPr="001E6DFD">
        <w:rPr>
          <w:rFonts w:ascii="Arial" w:hAnsi="Arial" w:cs="Arial"/>
          <w:sz w:val="20"/>
          <w:lang w:eastAsia="ko-KR"/>
        </w:rPr>
        <w:t>L</w:t>
      </w:r>
      <w:r w:rsidR="00FA22F6" w:rsidRPr="001E6DFD">
        <w:rPr>
          <w:rFonts w:ascii="Arial" w:hAnsi="Arial" w:cs="Arial"/>
          <w:sz w:val="20"/>
          <w:lang w:eastAsia="ko-KR"/>
        </w:rPr>
        <w:t>’</w:t>
      </w:r>
      <w:r w:rsidRPr="001E6DFD">
        <w:rPr>
          <w:rFonts w:ascii="Arial" w:hAnsi="Arial" w:cs="Arial"/>
          <w:sz w:val="20"/>
          <w:lang w:eastAsia="ko-KR"/>
        </w:rPr>
        <w:t>utilisation du budget se situait dans la fourchette prévue des 40 à 60% pour la première année de l</w:t>
      </w:r>
      <w:r w:rsidR="00FA22F6" w:rsidRPr="001E6DFD">
        <w:rPr>
          <w:rFonts w:ascii="Arial" w:hAnsi="Arial" w:cs="Arial"/>
          <w:sz w:val="20"/>
          <w:lang w:eastAsia="ko-KR"/>
        </w:rPr>
        <w:t>’</w:t>
      </w:r>
      <w:r w:rsidRPr="001E6DFD">
        <w:rPr>
          <w:rFonts w:ascii="Arial" w:hAnsi="Arial" w:cs="Arial"/>
          <w:sz w:val="20"/>
          <w:lang w:eastAsia="ko-KR"/>
        </w:rPr>
        <w:t>exercice biennal.</w:t>
      </w:r>
    </w:p>
    <w:p w14:paraId="2B68D220" w14:textId="77777777" w:rsidR="00505EF6" w:rsidRDefault="00505EF6" w:rsidP="0097226C">
      <w:pPr>
        <w:rPr>
          <w:b/>
          <w:bCs/>
          <w:iCs/>
          <w:szCs w:val="28"/>
        </w:rPr>
      </w:pPr>
      <w:r w:rsidRPr="001E6DFD">
        <w:rPr>
          <w:b/>
          <w:bCs/>
          <w:iCs/>
          <w:szCs w:val="28"/>
        </w:rPr>
        <w:br w:type="page"/>
      </w:r>
    </w:p>
    <w:p w14:paraId="1E71C7C3" w14:textId="77777777" w:rsidR="006A58B3" w:rsidRPr="006A58B3" w:rsidRDefault="006A58B3" w:rsidP="006A58B3">
      <w:pPr>
        <w:pStyle w:val="Heading4"/>
      </w:pPr>
      <w:bookmarkStart w:id="28" w:name="_Toc480815245"/>
      <w:bookmarkStart w:id="29" w:name="_Toc482623391"/>
      <w:r w:rsidRPr="006A58B3">
        <w:lastRenderedPageBreak/>
        <w:t xml:space="preserve">Programme 5 Annexe : </w:t>
      </w:r>
      <w:r w:rsidRPr="006A58B3">
        <w:tab/>
        <w:t>Indicateurs relatifs aux opérations du </w:t>
      </w:r>
      <w:bookmarkEnd w:id="28"/>
      <w:r w:rsidRPr="006A58B3">
        <w:t>PCT</w:t>
      </w:r>
      <w:bookmarkEnd w:id="29"/>
    </w:p>
    <w:p w14:paraId="0E095255" w14:textId="77777777" w:rsidR="006A58B3" w:rsidRPr="006A58B3" w:rsidRDefault="006A58B3" w:rsidP="006A58B3">
      <w:pPr>
        <w:rPr>
          <w:rFonts w:asciiTheme="minorBidi" w:eastAsiaTheme="minorHAnsi" w:hAnsiTheme="minorBidi"/>
          <w:bCs/>
          <w:sz w:val="20"/>
        </w:rPr>
      </w:pPr>
    </w:p>
    <w:p w14:paraId="16A8317A" w14:textId="77777777" w:rsidR="006A58B3" w:rsidRPr="006A58B3" w:rsidRDefault="006A58B3" w:rsidP="006A58B3">
      <w:pPr>
        <w:rPr>
          <w:rFonts w:asciiTheme="minorBidi" w:eastAsiaTheme="minorHAnsi" w:hAnsiTheme="minorBidi"/>
          <w:bCs/>
          <w:sz w:val="20"/>
        </w:rPr>
      </w:pPr>
    </w:p>
    <w:p w14:paraId="4D7EE60E" w14:textId="77777777" w:rsidR="006A58B3" w:rsidRPr="006A58B3" w:rsidRDefault="006A58B3" w:rsidP="006A58B3">
      <w:pPr>
        <w:rPr>
          <w:rFonts w:asciiTheme="minorBidi" w:eastAsia="SimSun" w:hAnsiTheme="minorBidi"/>
          <w:sz w:val="20"/>
          <w:lang w:eastAsia="zh-CN"/>
        </w:rPr>
      </w:pPr>
      <w:r w:rsidRPr="006A58B3">
        <w:rPr>
          <w:rFonts w:asciiTheme="minorBidi" w:eastAsia="SimSun" w:hAnsiTheme="minorBidi"/>
          <w:sz w:val="20"/>
          <w:lang w:eastAsia="zh-CN"/>
        </w:rPr>
        <w:t>INDICATEURS D’EXÉCUTION POUR LE RÉSULTAT ESCOMPTÉ</w:t>
      </w:r>
    </w:p>
    <w:p w14:paraId="184C8948" w14:textId="2ADE54E0" w:rsidR="006A58B3" w:rsidRPr="006A58B3" w:rsidRDefault="006A58B3" w:rsidP="006A58B3">
      <w:pPr>
        <w:rPr>
          <w:rFonts w:asciiTheme="minorBidi" w:eastAsia="SimSun" w:hAnsiTheme="minorBidi"/>
          <w:sz w:val="20"/>
          <w:lang w:eastAsia="zh-CN"/>
        </w:rPr>
      </w:pPr>
      <w:r w:rsidRPr="006A58B3">
        <w:rPr>
          <w:rFonts w:asciiTheme="minorBidi" w:eastAsia="SimSun" w:hAnsiTheme="minorBidi"/>
          <w:sz w:val="20"/>
          <w:lang w:eastAsia="zh-CN"/>
        </w:rPr>
        <w:t>“AMÉLIORATION DE LA PRODUCTIVITÉ ET DE LA QUALI</w:t>
      </w:r>
      <w:r>
        <w:rPr>
          <w:rFonts w:asciiTheme="minorBidi" w:eastAsia="SimSun" w:hAnsiTheme="minorBidi"/>
          <w:sz w:val="20"/>
          <w:lang w:eastAsia="zh-CN"/>
        </w:rPr>
        <w:t>TÉ DE SERVICE DES OPÉRATIONS DU </w:t>
      </w:r>
      <w:r w:rsidRPr="006A58B3">
        <w:rPr>
          <w:rFonts w:asciiTheme="minorBidi" w:eastAsia="SimSun" w:hAnsiTheme="minorBidi"/>
          <w:sz w:val="20"/>
          <w:lang w:eastAsia="zh-CN"/>
        </w:rPr>
        <w:t>PCT”</w:t>
      </w:r>
    </w:p>
    <w:p w14:paraId="4B3B5763" w14:textId="77777777" w:rsidR="006A58B3" w:rsidRPr="006A58B3" w:rsidRDefault="006A58B3" w:rsidP="006A58B3">
      <w:pPr>
        <w:rPr>
          <w:rFonts w:asciiTheme="minorBidi" w:hAnsiTheme="minorBidi"/>
          <w:bCs/>
          <w:sz w:val="20"/>
        </w:rPr>
      </w:pPr>
    </w:p>
    <w:p w14:paraId="3E944EB3" w14:textId="77777777" w:rsidR="006A58B3" w:rsidRPr="006A58B3" w:rsidRDefault="006A58B3" w:rsidP="006A58B3">
      <w:pPr>
        <w:rPr>
          <w:rFonts w:asciiTheme="minorBidi" w:eastAsia="SimSun" w:hAnsiTheme="minorBidi"/>
          <w:b/>
          <w:sz w:val="20"/>
          <w:lang w:eastAsia="zh-CN"/>
        </w:rPr>
      </w:pPr>
      <w:r w:rsidRPr="006A58B3">
        <w:rPr>
          <w:rFonts w:asciiTheme="minorBidi" w:eastAsia="SimSun" w:hAnsiTheme="minorBidi"/>
          <w:b/>
          <w:sz w:val="20"/>
          <w:lang w:eastAsia="zh-CN"/>
        </w:rPr>
        <w:t>Généralités</w:t>
      </w:r>
    </w:p>
    <w:p w14:paraId="5A9C0BC8" w14:textId="77777777" w:rsidR="006A58B3" w:rsidRPr="006A58B3" w:rsidRDefault="006A58B3" w:rsidP="006A58B3">
      <w:pPr>
        <w:rPr>
          <w:rFonts w:asciiTheme="minorBidi" w:hAnsiTheme="minorBidi"/>
          <w:bCs/>
          <w:sz w:val="20"/>
        </w:rPr>
      </w:pPr>
    </w:p>
    <w:p w14:paraId="2F7CE0EF"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À titre d’introduction en ce qui concerne les indicateurs d’exécution pour le résultat escompté “Amélioration de la productivité et de la qualité de service des opérations du PCT”, il y a lieu d’examiner l’évolution des facteurs suivants :</w:t>
      </w:r>
    </w:p>
    <w:p w14:paraId="64CDEC2A" w14:textId="77777777" w:rsidR="006A58B3" w:rsidRPr="006A58B3" w:rsidRDefault="006A58B3" w:rsidP="006A58B3">
      <w:pPr>
        <w:rPr>
          <w:rFonts w:asciiTheme="minorBidi" w:hAnsiTheme="minorBidi"/>
          <w:sz w:val="20"/>
        </w:rPr>
      </w:pPr>
    </w:p>
    <w:p w14:paraId="4AEA0211" w14:textId="77777777" w:rsidR="006A58B3" w:rsidRPr="006A58B3" w:rsidRDefault="006A58B3" w:rsidP="006A58B3">
      <w:pPr>
        <w:numPr>
          <w:ilvl w:val="0"/>
          <w:numId w:val="50"/>
        </w:numPr>
        <w:tabs>
          <w:tab w:val="clear" w:pos="720"/>
          <w:tab w:val="num" w:pos="1134"/>
        </w:tabs>
        <w:spacing w:after="120"/>
        <w:ind w:left="567" w:firstLine="0"/>
        <w:jc w:val="both"/>
        <w:rPr>
          <w:rFonts w:asciiTheme="minorBidi" w:eastAsiaTheme="minorHAnsi" w:hAnsiTheme="minorBidi"/>
          <w:sz w:val="20"/>
        </w:rPr>
      </w:pPr>
      <w:r w:rsidRPr="006A58B3">
        <w:rPr>
          <w:rFonts w:asciiTheme="minorBidi" w:eastAsiaTheme="minorHAnsi" w:hAnsiTheme="minorBidi"/>
          <w:sz w:val="20"/>
        </w:rPr>
        <w:t>la charge de travail du PCT;</w:t>
      </w:r>
    </w:p>
    <w:p w14:paraId="0E5E14DB" w14:textId="77777777" w:rsidR="006A58B3" w:rsidRPr="006A58B3" w:rsidRDefault="006A58B3" w:rsidP="006A58B3">
      <w:pPr>
        <w:numPr>
          <w:ilvl w:val="0"/>
          <w:numId w:val="50"/>
        </w:numPr>
        <w:tabs>
          <w:tab w:val="clear" w:pos="720"/>
          <w:tab w:val="num" w:pos="1134"/>
        </w:tabs>
        <w:spacing w:after="120"/>
        <w:ind w:left="567" w:firstLine="0"/>
        <w:jc w:val="both"/>
        <w:rPr>
          <w:rFonts w:asciiTheme="minorBidi" w:eastAsiaTheme="minorHAnsi" w:hAnsiTheme="minorBidi"/>
          <w:sz w:val="20"/>
        </w:rPr>
      </w:pPr>
      <w:r w:rsidRPr="006A58B3">
        <w:rPr>
          <w:rFonts w:asciiTheme="minorBidi" w:eastAsiaTheme="minorHAnsi" w:hAnsiTheme="minorBidi"/>
          <w:sz w:val="20"/>
        </w:rPr>
        <w:t>la répartition linguistique de cette charge de travail;</w:t>
      </w:r>
    </w:p>
    <w:p w14:paraId="4A52BE65" w14:textId="77777777" w:rsidR="006A58B3" w:rsidRPr="006A58B3" w:rsidRDefault="006A58B3" w:rsidP="006A58B3">
      <w:pPr>
        <w:numPr>
          <w:ilvl w:val="0"/>
          <w:numId w:val="50"/>
        </w:numPr>
        <w:tabs>
          <w:tab w:val="clear" w:pos="720"/>
          <w:tab w:val="num" w:pos="1134"/>
        </w:tabs>
        <w:spacing w:after="120"/>
        <w:ind w:left="567" w:firstLine="0"/>
        <w:jc w:val="both"/>
        <w:rPr>
          <w:rFonts w:asciiTheme="minorBidi" w:eastAsiaTheme="minorHAnsi" w:hAnsiTheme="minorBidi"/>
          <w:sz w:val="20"/>
        </w:rPr>
      </w:pPr>
      <w:r w:rsidRPr="006A58B3">
        <w:rPr>
          <w:rFonts w:asciiTheme="minorBidi" w:eastAsiaTheme="minorHAnsi" w:hAnsiTheme="minorBidi"/>
          <w:sz w:val="20"/>
        </w:rPr>
        <w:t>les effectifs affectés au traitement de cette charge de travail;  et</w:t>
      </w:r>
    </w:p>
    <w:p w14:paraId="635F024E" w14:textId="77777777" w:rsidR="006A58B3" w:rsidRPr="006A58B3" w:rsidRDefault="006A58B3" w:rsidP="006A58B3">
      <w:pPr>
        <w:numPr>
          <w:ilvl w:val="0"/>
          <w:numId w:val="50"/>
        </w:numPr>
        <w:tabs>
          <w:tab w:val="clear" w:pos="720"/>
          <w:tab w:val="num" w:pos="1134"/>
        </w:tabs>
        <w:spacing w:after="120"/>
        <w:ind w:left="567" w:firstLine="0"/>
        <w:jc w:val="both"/>
        <w:rPr>
          <w:rFonts w:asciiTheme="minorBidi" w:eastAsiaTheme="minorHAnsi" w:hAnsiTheme="minorBidi"/>
          <w:sz w:val="20"/>
        </w:rPr>
      </w:pPr>
      <w:r w:rsidRPr="006A58B3">
        <w:rPr>
          <w:rFonts w:asciiTheme="minorBidi" w:eastAsiaTheme="minorHAnsi" w:hAnsiTheme="minorBidi"/>
          <w:sz w:val="20"/>
        </w:rPr>
        <w:t>le niveau d’automatisation.</w:t>
      </w:r>
    </w:p>
    <w:p w14:paraId="4EE84D77" w14:textId="77777777" w:rsidR="006A58B3" w:rsidRPr="006A58B3" w:rsidRDefault="006A58B3" w:rsidP="006A58B3">
      <w:pPr>
        <w:tabs>
          <w:tab w:val="num" w:pos="1100"/>
        </w:tabs>
        <w:ind w:left="1210" w:hanging="660"/>
        <w:rPr>
          <w:rFonts w:asciiTheme="minorBidi" w:hAnsiTheme="minorBidi"/>
          <w:sz w:val="20"/>
        </w:rPr>
      </w:pPr>
    </w:p>
    <w:p w14:paraId="40F0B3FC" w14:textId="77777777" w:rsidR="006A58B3" w:rsidRPr="006A58B3" w:rsidRDefault="006A58B3" w:rsidP="006A58B3">
      <w:pPr>
        <w:rPr>
          <w:rFonts w:asciiTheme="minorBidi" w:hAnsiTheme="minorBidi"/>
          <w:i/>
          <w:sz w:val="20"/>
        </w:rPr>
      </w:pPr>
      <w:r w:rsidRPr="006A58B3">
        <w:rPr>
          <w:rFonts w:asciiTheme="minorBidi" w:hAnsiTheme="minorBidi"/>
          <w:i/>
          <w:sz w:val="20"/>
        </w:rPr>
        <w:t>Charge de travail</w:t>
      </w:r>
    </w:p>
    <w:p w14:paraId="6D3597A5" w14:textId="77777777" w:rsidR="006A58B3" w:rsidRPr="006A58B3" w:rsidRDefault="006A58B3" w:rsidP="006A58B3">
      <w:pPr>
        <w:rPr>
          <w:rFonts w:asciiTheme="minorBidi" w:hAnsiTheme="minorBidi"/>
          <w:sz w:val="20"/>
        </w:rPr>
      </w:pPr>
    </w:p>
    <w:p w14:paraId="3C07919F" w14:textId="77777777" w:rsidR="006A58B3" w:rsidRPr="006A58B3" w:rsidRDefault="006A58B3" w:rsidP="006A58B3">
      <w:pPr>
        <w:numPr>
          <w:ilvl w:val="0"/>
          <w:numId w:val="51"/>
        </w:numPr>
        <w:rPr>
          <w:rFonts w:asciiTheme="minorBidi" w:hAnsiTheme="minorBidi"/>
          <w:sz w:val="20"/>
        </w:rPr>
      </w:pPr>
      <w:r w:rsidRPr="006A58B3">
        <w:rPr>
          <w:rFonts w:asciiTheme="minorBidi" w:hAnsiTheme="minorBidi"/>
          <w:sz w:val="20"/>
        </w:rPr>
        <w:t>La charge de travail est mesurée sur la base du nombre d’exemplaires originaux reçus chaque année par le Bureau international</w:t>
      </w:r>
      <w:r w:rsidRPr="006A58B3">
        <w:rPr>
          <w:rStyle w:val="FootnoteReference"/>
          <w:rFonts w:asciiTheme="minorBidi" w:eastAsiaTheme="minorEastAsia" w:hAnsiTheme="minorBidi"/>
          <w:sz w:val="20"/>
        </w:rPr>
        <w:footnoteReference w:id="24"/>
      </w:r>
      <w:r w:rsidRPr="006A58B3">
        <w:rPr>
          <w:rFonts w:asciiTheme="minorBidi" w:hAnsiTheme="minorBidi"/>
          <w:sz w:val="20"/>
        </w:rPr>
        <w:t>.</w:t>
      </w:r>
    </w:p>
    <w:p w14:paraId="096A6432" w14:textId="77777777" w:rsidR="006A58B3" w:rsidRPr="006A58B3" w:rsidRDefault="006A58B3" w:rsidP="006A58B3">
      <w:pPr>
        <w:jc w:val="center"/>
        <w:rPr>
          <w:rFonts w:asciiTheme="minorBidi" w:hAnsiTheme="minorBidi"/>
          <w:b/>
          <w:bCs/>
          <w:sz w:val="20"/>
        </w:rPr>
      </w:pPr>
    </w:p>
    <w:p w14:paraId="51928710" w14:textId="77777777" w:rsidR="006A58B3" w:rsidRPr="006A58B3" w:rsidRDefault="006A58B3" w:rsidP="006A58B3">
      <w:pPr>
        <w:jc w:val="center"/>
        <w:rPr>
          <w:rFonts w:asciiTheme="minorBidi" w:hAnsiTheme="minorBidi"/>
          <w:b/>
          <w:bCs/>
          <w:sz w:val="20"/>
        </w:rPr>
      </w:pPr>
      <w:r w:rsidRPr="006A58B3">
        <w:rPr>
          <w:rFonts w:asciiTheme="minorBidi" w:hAnsiTheme="minorBidi"/>
          <w:b/>
          <w:bCs/>
          <w:sz w:val="20"/>
        </w:rPr>
        <w:t>Évolution du nombre d’exemplaires originaux par moyen de dépôt</w:t>
      </w:r>
    </w:p>
    <w:p w14:paraId="7D5453CA" w14:textId="77777777" w:rsidR="006A58B3" w:rsidRPr="006A58B3" w:rsidRDefault="006A58B3" w:rsidP="006A58B3">
      <w:pPr>
        <w:jc w:val="center"/>
        <w:rPr>
          <w:rFonts w:asciiTheme="minorBidi" w:hAnsiTheme="minorBidi"/>
          <w:b/>
          <w:bCs/>
          <w:sz w:val="20"/>
        </w:rPr>
      </w:pPr>
      <w:r w:rsidRPr="006A58B3">
        <w:rPr>
          <w:noProof/>
          <w:sz w:val="20"/>
          <w:lang w:val="en-US"/>
        </w:rPr>
        <w:drawing>
          <wp:inline distT="0" distB="0" distL="0" distR="0" wp14:anchorId="659D8565" wp14:editId="67135D43">
            <wp:extent cx="5760085" cy="2476774"/>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2476774"/>
                    </a:xfrm>
                    <a:prstGeom prst="rect">
                      <a:avLst/>
                    </a:prstGeom>
                    <a:noFill/>
                    <a:ln>
                      <a:noFill/>
                    </a:ln>
                  </pic:spPr>
                </pic:pic>
              </a:graphicData>
            </a:graphic>
          </wp:inline>
        </w:drawing>
      </w:r>
    </w:p>
    <w:p w14:paraId="271F6A90" w14:textId="77777777" w:rsidR="006A58B3" w:rsidRPr="006A58B3" w:rsidRDefault="006A58B3" w:rsidP="006A58B3">
      <w:pPr>
        <w:rPr>
          <w:rFonts w:asciiTheme="minorBidi" w:hAnsiTheme="minorBidi"/>
          <w:b/>
          <w:bCs/>
          <w:sz w:val="20"/>
        </w:rPr>
      </w:pPr>
    </w:p>
    <w:p w14:paraId="7B47EBA7" w14:textId="77777777" w:rsidR="006A58B3" w:rsidRPr="006A58B3" w:rsidRDefault="006A58B3" w:rsidP="006A58B3">
      <w:pPr>
        <w:numPr>
          <w:ilvl w:val="0"/>
          <w:numId w:val="49"/>
        </w:numPr>
        <w:tabs>
          <w:tab w:val="clear" w:pos="720"/>
          <w:tab w:val="num" w:pos="1134"/>
        </w:tabs>
        <w:ind w:left="1134" w:hanging="567"/>
        <w:jc w:val="both"/>
        <w:rPr>
          <w:rFonts w:asciiTheme="minorBidi" w:eastAsiaTheme="minorHAnsi" w:hAnsiTheme="minorBidi"/>
          <w:sz w:val="20"/>
        </w:rPr>
      </w:pPr>
      <w:r w:rsidRPr="006A58B3">
        <w:rPr>
          <w:rFonts w:asciiTheme="minorBidi" w:eastAsiaTheme="minorHAnsi" w:hAnsiTheme="minorBidi"/>
          <w:sz w:val="20"/>
        </w:rPr>
        <w:t>En 2016, le Bureau international a reçu environ 233 000 exemplaires originaux, soit une augmentation de 7,4% par rapport à 2015.</w:t>
      </w:r>
    </w:p>
    <w:p w14:paraId="1128619A" w14:textId="77777777" w:rsidR="006A58B3" w:rsidRPr="006A58B3" w:rsidRDefault="006A58B3" w:rsidP="006A58B3">
      <w:pPr>
        <w:ind w:left="1134"/>
        <w:jc w:val="both"/>
        <w:rPr>
          <w:rFonts w:asciiTheme="minorBidi" w:eastAsiaTheme="minorHAnsi" w:hAnsiTheme="minorBidi"/>
          <w:sz w:val="20"/>
        </w:rPr>
      </w:pPr>
    </w:p>
    <w:p w14:paraId="5535150E" w14:textId="77777777" w:rsidR="006A58B3" w:rsidRPr="006A58B3" w:rsidRDefault="006A58B3" w:rsidP="006A58B3">
      <w:pPr>
        <w:numPr>
          <w:ilvl w:val="0"/>
          <w:numId w:val="49"/>
        </w:numPr>
        <w:tabs>
          <w:tab w:val="clear" w:pos="720"/>
          <w:tab w:val="num" w:pos="1134"/>
        </w:tabs>
        <w:ind w:left="1134" w:hanging="567"/>
        <w:jc w:val="both"/>
        <w:rPr>
          <w:rFonts w:asciiTheme="minorBidi" w:eastAsiaTheme="minorHAnsi" w:hAnsiTheme="minorBidi"/>
          <w:sz w:val="20"/>
        </w:rPr>
      </w:pPr>
      <w:r w:rsidRPr="006A58B3">
        <w:rPr>
          <w:rFonts w:asciiTheme="minorBidi" w:eastAsiaTheme="minorHAnsi" w:hAnsiTheme="minorBidi"/>
          <w:sz w:val="20"/>
        </w:rPr>
        <w:t>La part de dépôts entièrement électroniques a continué d’augmenter en 2016 et représente actuellement 95% de l’ensemble des dépôts.</w:t>
      </w:r>
    </w:p>
    <w:p w14:paraId="70759831" w14:textId="77777777" w:rsidR="006A58B3" w:rsidRPr="006A58B3" w:rsidRDefault="006A58B3" w:rsidP="006A58B3">
      <w:pPr>
        <w:pStyle w:val="BodyText2"/>
        <w:spacing w:after="0" w:line="240" w:lineRule="auto"/>
        <w:ind w:left="1100"/>
        <w:jc w:val="both"/>
        <w:rPr>
          <w:rFonts w:asciiTheme="minorBidi" w:hAnsiTheme="minorBidi"/>
          <w:szCs w:val="20"/>
        </w:rPr>
      </w:pPr>
    </w:p>
    <w:p w14:paraId="6A5C9565" w14:textId="77777777" w:rsidR="006A58B3" w:rsidRPr="006A58B3" w:rsidRDefault="006A58B3" w:rsidP="006A58B3">
      <w:pPr>
        <w:keepNext/>
        <w:rPr>
          <w:rFonts w:asciiTheme="minorBidi" w:hAnsiTheme="minorBidi"/>
          <w:i/>
          <w:sz w:val="20"/>
        </w:rPr>
      </w:pPr>
      <w:r w:rsidRPr="006A58B3">
        <w:rPr>
          <w:rFonts w:asciiTheme="minorBidi" w:hAnsiTheme="minorBidi"/>
          <w:i/>
          <w:sz w:val="20"/>
        </w:rPr>
        <w:lastRenderedPageBreak/>
        <w:t>Répartition linguistique</w:t>
      </w:r>
    </w:p>
    <w:p w14:paraId="7CDC3ECC" w14:textId="77777777" w:rsidR="006A58B3" w:rsidRPr="006A58B3" w:rsidRDefault="006A58B3" w:rsidP="006A58B3">
      <w:pPr>
        <w:keepNext/>
        <w:rPr>
          <w:rFonts w:asciiTheme="minorBidi" w:hAnsiTheme="minorBidi"/>
          <w:i/>
          <w:sz w:val="20"/>
        </w:rPr>
      </w:pPr>
    </w:p>
    <w:p w14:paraId="286202A9" w14:textId="77777777" w:rsidR="006A58B3" w:rsidRPr="006A58B3" w:rsidRDefault="006A58B3" w:rsidP="006A58B3">
      <w:pPr>
        <w:pStyle w:val="ListParagraph"/>
        <w:numPr>
          <w:ilvl w:val="0"/>
          <w:numId w:val="51"/>
        </w:numPr>
        <w:tabs>
          <w:tab w:val="left" w:pos="0"/>
          <w:tab w:val="left" w:pos="567"/>
        </w:tabs>
        <w:jc w:val="both"/>
        <w:rPr>
          <w:rFonts w:asciiTheme="minorBidi" w:eastAsiaTheme="minorHAnsi" w:hAnsiTheme="minorBidi"/>
          <w:sz w:val="20"/>
          <w:szCs w:val="20"/>
        </w:rPr>
      </w:pPr>
      <w:r w:rsidRPr="006A58B3">
        <w:rPr>
          <w:rFonts w:asciiTheme="minorBidi" w:eastAsiaTheme="minorHAnsi" w:hAnsiTheme="minorBidi"/>
          <w:sz w:val="20"/>
          <w:szCs w:val="20"/>
        </w:rPr>
        <w:t>L’une des tendances fondamentales au sein du Bureau international est l’augmentation de la diversité linguistique des dépôts, sous l’effet notamment d’une augmentation continue de l’utilisation du système du PCT dans les pays d’Asie orientale.</w:t>
      </w:r>
    </w:p>
    <w:p w14:paraId="530CCC1C" w14:textId="77777777" w:rsidR="006A58B3" w:rsidRPr="006A58B3" w:rsidRDefault="006A58B3" w:rsidP="006A58B3">
      <w:pPr>
        <w:pStyle w:val="ListParagraph"/>
        <w:tabs>
          <w:tab w:val="left" w:pos="0"/>
          <w:tab w:val="left" w:pos="567"/>
        </w:tabs>
        <w:ind w:left="0"/>
        <w:jc w:val="both"/>
        <w:rPr>
          <w:rFonts w:asciiTheme="minorBidi" w:eastAsiaTheme="minorHAnsi" w:hAnsiTheme="minorBidi"/>
          <w:sz w:val="20"/>
          <w:szCs w:val="20"/>
        </w:rPr>
      </w:pPr>
    </w:p>
    <w:p w14:paraId="2CFF2949" w14:textId="77777777" w:rsidR="006A58B3" w:rsidRPr="006A58B3" w:rsidRDefault="006A58B3" w:rsidP="006A58B3">
      <w:pPr>
        <w:pStyle w:val="ListParagraph"/>
        <w:tabs>
          <w:tab w:val="left" w:pos="0"/>
          <w:tab w:val="left" w:pos="567"/>
        </w:tabs>
        <w:ind w:left="0"/>
        <w:jc w:val="both"/>
        <w:rPr>
          <w:rFonts w:asciiTheme="minorBidi" w:eastAsiaTheme="minorHAnsi" w:hAnsiTheme="minorBidi"/>
          <w:sz w:val="20"/>
          <w:szCs w:val="20"/>
        </w:rPr>
      </w:pPr>
    </w:p>
    <w:p w14:paraId="53DFAA90" w14:textId="77777777" w:rsidR="006A58B3" w:rsidRPr="006A58B3" w:rsidRDefault="006A58B3" w:rsidP="006A58B3">
      <w:pPr>
        <w:keepNext/>
        <w:keepLines/>
        <w:spacing w:after="120"/>
        <w:jc w:val="center"/>
        <w:rPr>
          <w:rFonts w:asciiTheme="minorBidi" w:hAnsiTheme="minorBidi"/>
          <w:i/>
          <w:sz w:val="20"/>
        </w:rPr>
      </w:pPr>
      <w:r w:rsidRPr="006A58B3">
        <w:rPr>
          <w:rFonts w:asciiTheme="minorBidi" w:hAnsiTheme="minorBidi"/>
          <w:b/>
          <w:bCs/>
          <w:sz w:val="20"/>
        </w:rPr>
        <w:t xml:space="preserve">Langues de dépôt </w:t>
      </w:r>
      <w:r w:rsidRPr="006A58B3">
        <w:rPr>
          <w:rFonts w:asciiTheme="minorBidi" w:hAnsiTheme="minorBidi"/>
          <w:bCs/>
          <w:i/>
          <w:sz w:val="20"/>
        </w:rPr>
        <w:t>(toutes les langues)</w:t>
      </w:r>
    </w:p>
    <w:p w14:paraId="469F365F" w14:textId="77777777" w:rsidR="006A58B3" w:rsidRPr="001303B4" w:rsidRDefault="006A58B3" w:rsidP="006A58B3">
      <w:pPr>
        <w:keepNext/>
        <w:keepLines/>
        <w:spacing w:after="120"/>
        <w:jc w:val="center"/>
        <w:rPr>
          <w:rFonts w:asciiTheme="minorBidi" w:hAnsiTheme="minorBidi"/>
          <w:sz w:val="20"/>
        </w:rPr>
      </w:pPr>
      <w:r w:rsidRPr="006A58B3">
        <w:rPr>
          <w:noProof/>
          <w:sz w:val="20"/>
          <w:lang w:val="en-US"/>
        </w:rPr>
        <w:drawing>
          <wp:inline distT="0" distB="0" distL="0" distR="0" wp14:anchorId="6CEDD0EB" wp14:editId="7A74B1B1">
            <wp:extent cx="5760085" cy="289339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2893397"/>
                    </a:xfrm>
                    <a:prstGeom prst="rect">
                      <a:avLst/>
                    </a:prstGeom>
                    <a:noFill/>
                    <a:ln>
                      <a:noFill/>
                    </a:ln>
                  </pic:spPr>
                </pic:pic>
              </a:graphicData>
            </a:graphic>
          </wp:inline>
        </w:drawing>
      </w:r>
    </w:p>
    <w:p w14:paraId="64F5AF1B" w14:textId="77777777" w:rsidR="006A58B3" w:rsidRPr="006A58B3" w:rsidRDefault="006A58B3" w:rsidP="006A58B3">
      <w:pPr>
        <w:spacing w:after="120"/>
        <w:rPr>
          <w:rFonts w:asciiTheme="minorBidi" w:hAnsiTheme="minorBidi"/>
          <w:i/>
          <w:sz w:val="20"/>
        </w:rPr>
      </w:pPr>
    </w:p>
    <w:p w14:paraId="404B7B6C" w14:textId="77777777" w:rsidR="006A58B3" w:rsidRPr="006A58B3" w:rsidRDefault="006A58B3" w:rsidP="006A58B3">
      <w:pPr>
        <w:pStyle w:val="ListParagraph"/>
        <w:numPr>
          <w:ilvl w:val="0"/>
          <w:numId w:val="51"/>
        </w:numPr>
        <w:tabs>
          <w:tab w:val="left" w:pos="0"/>
          <w:tab w:val="left" w:pos="567"/>
        </w:tabs>
        <w:jc w:val="both"/>
        <w:rPr>
          <w:rFonts w:asciiTheme="minorBidi" w:eastAsiaTheme="minorHAnsi" w:hAnsiTheme="minorBidi"/>
          <w:sz w:val="20"/>
          <w:szCs w:val="20"/>
        </w:rPr>
      </w:pPr>
      <w:r w:rsidRPr="006A58B3">
        <w:rPr>
          <w:rFonts w:asciiTheme="minorBidi" w:eastAsiaTheme="minorHAnsi" w:hAnsiTheme="minorBidi"/>
          <w:sz w:val="20"/>
          <w:szCs w:val="20"/>
        </w:rPr>
        <w:t>Ainsi qu’il ressort de ce graphique, alors que l’essentiel des demandes est déposée en anglais (45% des dépôts en 2016), les parts des langues asiatiques ont augmenté au cours de la dernière décennie.  La part combinée des demandes selon le PCT déposées en japonais, chinois et coréen est passée de 29,5% en 2010 à 42% en 2016.  Le graphique ci</w:t>
      </w:r>
      <w:r w:rsidRPr="006A58B3">
        <w:rPr>
          <w:rFonts w:asciiTheme="minorBidi" w:eastAsiaTheme="minorHAnsi" w:hAnsiTheme="minorBidi"/>
          <w:sz w:val="20"/>
          <w:szCs w:val="20"/>
        </w:rPr>
        <w:noBreakHyphen/>
        <w:t>après présente en détail l’évolution des langues de dépôt autres que l’anglais :</w:t>
      </w:r>
    </w:p>
    <w:p w14:paraId="2ACAA531" w14:textId="77777777" w:rsidR="006A58B3" w:rsidRPr="006A58B3" w:rsidRDefault="006A58B3" w:rsidP="006A58B3">
      <w:pPr>
        <w:spacing w:after="200"/>
        <w:rPr>
          <w:rFonts w:asciiTheme="minorBidi" w:hAnsiTheme="minorBidi"/>
          <w:sz w:val="20"/>
        </w:rPr>
      </w:pPr>
    </w:p>
    <w:p w14:paraId="3B30232A" w14:textId="77777777" w:rsidR="006A58B3" w:rsidRPr="006A58B3" w:rsidRDefault="006A58B3" w:rsidP="006A58B3">
      <w:pPr>
        <w:spacing w:after="120"/>
        <w:jc w:val="center"/>
        <w:rPr>
          <w:rFonts w:asciiTheme="minorBidi" w:hAnsiTheme="minorBidi"/>
          <w:sz w:val="20"/>
        </w:rPr>
      </w:pPr>
      <w:r w:rsidRPr="006A58B3">
        <w:rPr>
          <w:rFonts w:asciiTheme="minorBidi" w:hAnsiTheme="minorBidi"/>
          <w:b/>
          <w:bCs/>
          <w:sz w:val="20"/>
        </w:rPr>
        <w:t xml:space="preserve">Langues de dépôt </w:t>
      </w:r>
      <w:r w:rsidRPr="006A58B3">
        <w:rPr>
          <w:rFonts w:asciiTheme="minorBidi" w:hAnsiTheme="minorBidi"/>
          <w:bCs/>
          <w:i/>
          <w:sz w:val="20"/>
        </w:rPr>
        <w:t>(toutes les langues sauf l’anglais)</w:t>
      </w:r>
    </w:p>
    <w:p w14:paraId="40C1DE58" w14:textId="77777777" w:rsidR="006A58B3" w:rsidRPr="006A58B3" w:rsidRDefault="006A58B3" w:rsidP="006A58B3">
      <w:pPr>
        <w:spacing w:after="120"/>
        <w:jc w:val="center"/>
        <w:rPr>
          <w:rFonts w:asciiTheme="minorBidi" w:hAnsiTheme="minorBidi"/>
          <w:sz w:val="20"/>
        </w:rPr>
      </w:pPr>
      <w:r w:rsidRPr="006A58B3">
        <w:rPr>
          <w:noProof/>
          <w:sz w:val="20"/>
          <w:lang w:val="en-US"/>
        </w:rPr>
        <w:drawing>
          <wp:inline distT="0" distB="0" distL="0" distR="0" wp14:anchorId="69D1C9E9" wp14:editId="303BDE2A">
            <wp:extent cx="5760085" cy="309697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3096973"/>
                    </a:xfrm>
                    <a:prstGeom prst="rect">
                      <a:avLst/>
                    </a:prstGeom>
                    <a:noFill/>
                    <a:ln>
                      <a:noFill/>
                    </a:ln>
                  </pic:spPr>
                </pic:pic>
              </a:graphicData>
            </a:graphic>
          </wp:inline>
        </w:drawing>
      </w:r>
    </w:p>
    <w:p w14:paraId="687BB8DF" w14:textId="77777777" w:rsidR="006A58B3" w:rsidRPr="006A58B3" w:rsidRDefault="006A58B3" w:rsidP="006A58B3">
      <w:pPr>
        <w:spacing w:after="120"/>
        <w:jc w:val="center"/>
        <w:rPr>
          <w:rFonts w:asciiTheme="minorBidi" w:hAnsiTheme="minorBidi"/>
          <w:sz w:val="20"/>
        </w:rPr>
      </w:pPr>
    </w:p>
    <w:p w14:paraId="6D703A38"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lastRenderedPageBreak/>
        <w:t>La forte augmentation du nombre de demandes déposées dans des langues asiatiques au cours de ces dernières années pèse lourdement sur le Bureau international en raison du nombre limité de membres du personnel pouvant travailler dans ces langues.  L’atténuation de cet effet passe par l’automatisation de certaines tâches et le recrutement de fonctionnaires capables de travailler dans ces langues.</w:t>
      </w:r>
    </w:p>
    <w:p w14:paraId="0576762D" w14:textId="77777777" w:rsidR="006A58B3" w:rsidRPr="006A58B3" w:rsidRDefault="006A58B3" w:rsidP="006A58B3">
      <w:pPr>
        <w:rPr>
          <w:rFonts w:asciiTheme="minorBidi" w:hAnsiTheme="minorBidi"/>
          <w:sz w:val="20"/>
        </w:rPr>
      </w:pPr>
    </w:p>
    <w:p w14:paraId="1C70EB58"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Effectifs</w:t>
      </w:r>
    </w:p>
    <w:p w14:paraId="33015B52" w14:textId="77777777" w:rsidR="006A58B3" w:rsidRPr="006A58B3" w:rsidRDefault="006A58B3" w:rsidP="006A58B3">
      <w:pPr>
        <w:keepNext/>
        <w:keepLines/>
        <w:rPr>
          <w:rFonts w:asciiTheme="minorBidi" w:hAnsiTheme="minorBidi"/>
          <w:i/>
          <w:sz w:val="20"/>
        </w:rPr>
      </w:pPr>
    </w:p>
    <w:p w14:paraId="56193626" w14:textId="77777777" w:rsidR="006A58B3" w:rsidRPr="006A58B3" w:rsidRDefault="006A58B3" w:rsidP="006A58B3">
      <w:pPr>
        <w:keepNext/>
        <w:keepLines/>
        <w:numPr>
          <w:ilvl w:val="0"/>
          <w:numId w:val="51"/>
        </w:numPr>
        <w:jc w:val="both"/>
        <w:rPr>
          <w:rFonts w:asciiTheme="minorBidi" w:hAnsiTheme="minorBidi"/>
          <w:sz w:val="20"/>
        </w:rPr>
      </w:pPr>
      <w:r w:rsidRPr="006A58B3">
        <w:rPr>
          <w:rFonts w:asciiTheme="minorBidi" w:hAnsiTheme="minorBidi"/>
          <w:sz w:val="20"/>
        </w:rPr>
        <w:t>Le diagramme ci</w:t>
      </w:r>
      <w:r w:rsidRPr="006A58B3">
        <w:rPr>
          <w:rFonts w:asciiTheme="minorBidi" w:hAnsiTheme="minorBidi"/>
          <w:sz w:val="20"/>
        </w:rPr>
        <w:noBreakHyphen/>
        <w:t>après indique les effectifs de la Division des opérations du PCT depuis 2001, en équivalent personnel à plein temps (EPPT – effectif total à plein temps plus équivalent à plein temps du personnel à temps partiel).</w:t>
      </w:r>
    </w:p>
    <w:p w14:paraId="203F3616" w14:textId="77777777" w:rsidR="006A58B3" w:rsidRPr="006A58B3" w:rsidRDefault="006A58B3" w:rsidP="006A58B3">
      <w:pPr>
        <w:rPr>
          <w:rFonts w:asciiTheme="minorBidi" w:hAnsiTheme="minorBidi"/>
          <w:sz w:val="20"/>
        </w:rPr>
      </w:pPr>
    </w:p>
    <w:p w14:paraId="340A9B25" w14:textId="77777777" w:rsidR="006A58B3" w:rsidRPr="006A58B3" w:rsidRDefault="006A58B3" w:rsidP="006A58B3">
      <w:pPr>
        <w:jc w:val="center"/>
        <w:rPr>
          <w:rFonts w:asciiTheme="minorBidi" w:hAnsiTheme="minorBidi"/>
          <w:b/>
          <w:sz w:val="20"/>
        </w:rPr>
      </w:pPr>
      <w:r w:rsidRPr="006A58B3">
        <w:rPr>
          <w:rFonts w:asciiTheme="minorBidi" w:hAnsiTheme="minorBidi"/>
          <w:b/>
          <w:sz w:val="20"/>
        </w:rPr>
        <w:t>Effectifs affectés aux opérations du PCT</w:t>
      </w:r>
    </w:p>
    <w:p w14:paraId="15EEBA47" w14:textId="77777777" w:rsidR="006A58B3" w:rsidRPr="006A58B3" w:rsidRDefault="006A58B3" w:rsidP="006A58B3">
      <w:pPr>
        <w:jc w:val="center"/>
        <w:rPr>
          <w:rFonts w:asciiTheme="minorBidi" w:hAnsiTheme="minorBidi"/>
          <w:b/>
          <w:sz w:val="20"/>
        </w:rPr>
      </w:pPr>
      <w:r w:rsidRPr="006A58B3">
        <w:rPr>
          <w:noProof/>
          <w:sz w:val="20"/>
          <w:lang w:val="en-US"/>
        </w:rPr>
        <w:drawing>
          <wp:inline distT="0" distB="0" distL="0" distR="0" wp14:anchorId="03C6C807" wp14:editId="7BF4750E">
            <wp:extent cx="5760085" cy="3462004"/>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3462004"/>
                    </a:xfrm>
                    <a:prstGeom prst="rect">
                      <a:avLst/>
                    </a:prstGeom>
                    <a:noFill/>
                    <a:ln>
                      <a:noFill/>
                    </a:ln>
                  </pic:spPr>
                </pic:pic>
              </a:graphicData>
            </a:graphic>
          </wp:inline>
        </w:drawing>
      </w:r>
    </w:p>
    <w:p w14:paraId="026CF57C" w14:textId="77777777" w:rsidR="006A58B3" w:rsidRPr="006A58B3" w:rsidRDefault="006A58B3" w:rsidP="006A58B3">
      <w:pPr>
        <w:rPr>
          <w:rFonts w:asciiTheme="minorBidi" w:hAnsiTheme="minorBidi"/>
          <w:sz w:val="20"/>
        </w:rPr>
      </w:pPr>
    </w:p>
    <w:p w14:paraId="291258A9" w14:textId="77777777" w:rsidR="006A58B3" w:rsidRPr="006A58B3" w:rsidRDefault="006A58B3" w:rsidP="006A58B3">
      <w:pPr>
        <w:numPr>
          <w:ilvl w:val="0"/>
          <w:numId w:val="49"/>
        </w:numPr>
        <w:tabs>
          <w:tab w:val="clear" w:pos="720"/>
          <w:tab w:val="num" w:pos="1134"/>
        </w:tabs>
        <w:ind w:left="1134" w:hanging="567"/>
        <w:jc w:val="both"/>
        <w:rPr>
          <w:rFonts w:asciiTheme="minorBidi" w:eastAsiaTheme="minorHAnsi" w:hAnsiTheme="minorBidi"/>
          <w:sz w:val="20"/>
        </w:rPr>
      </w:pPr>
      <w:r w:rsidRPr="006A58B3">
        <w:rPr>
          <w:rFonts w:asciiTheme="minorBidi" w:eastAsiaTheme="minorHAnsi" w:hAnsiTheme="minorBidi"/>
          <w:sz w:val="20"/>
        </w:rPr>
        <w:t>Les effectifs de la Division des opérations du PCT ont encore diminué en 2016.</w:t>
      </w:r>
    </w:p>
    <w:p w14:paraId="3FE0113B" w14:textId="77777777" w:rsidR="006A58B3" w:rsidRPr="006A58B3" w:rsidRDefault="006A58B3" w:rsidP="006A58B3">
      <w:pPr>
        <w:jc w:val="both"/>
        <w:rPr>
          <w:rFonts w:asciiTheme="minorBidi" w:hAnsiTheme="minorBidi"/>
          <w:i/>
          <w:sz w:val="20"/>
        </w:rPr>
      </w:pPr>
    </w:p>
    <w:p w14:paraId="6C151C79"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Coût unitaire du traitement d’une demande</w:t>
      </w:r>
    </w:p>
    <w:p w14:paraId="00F22C12" w14:textId="77777777" w:rsidR="006A58B3" w:rsidRPr="006A58B3" w:rsidRDefault="006A58B3" w:rsidP="006A58B3">
      <w:pPr>
        <w:keepNext/>
        <w:keepLines/>
        <w:rPr>
          <w:rFonts w:asciiTheme="minorBidi" w:hAnsiTheme="minorBidi"/>
          <w:i/>
          <w:sz w:val="20"/>
        </w:rPr>
      </w:pPr>
    </w:p>
    <w:p w14:paraId="65916768" w14:textId="77777777" w:rsidR="006A58B3" w:rsidRPr="006A58B3" w:rsidRDefault="006A58B3" w:rsidP="006A58B3">
      <w:pPr>
        <w:pStyle w:val="ListParagraph"/>
        <w:numPr>
          <w:ilvl w:val="0"/>
          <w:numId w:val="51"/>
        </w:numPr>
        <w:contextualSpacing w:val="0"/>
        <w:jc w:val="both"/>
        <w:rPr>
          <w:rFonts w:asciiTheme="minorBidi" w:hAnsiTheme="minorBidi"/>
          <w:sz w:val="20"/>
          <w:szCs w:val="20"/>
        </w:rPr>
      </w:pPr>
      <w:r w:rsidRPr="006A58B3">
        <w:rPr>
          <w:rFonts w:asciiTheme="minorBidi" w:hAnsiTheme="minorBidi"/>
          <w:sz w:val="20"/>
          <w:szCs w:val="20"/>
        </w:rPr>
        <w:t>L’efficacité du Bureau international dans le traitement des demandes selon le PCT peut être mesurée à l’aide du coût unitaire, défini comme le coût moyen d’une unité produite.  Le coût total de production comprend les dépenses liées exclusivement au système du PCT et les dépenses liées aux activités à l’appui du système.</w:t>
      </w:r>
    </w:p>
    <w:p w14:paraId="1638FBD1" w14:textId="77777777" w:rsidR="006A58B3" w:rsidRPr="006A58B3" w:rsidRDefault="006A58B3" w:rsidP="006A58B3">
      <w:pPr>
        <w:jc w:val="both"/>
        <w:rPr>
          <w:rFonts w:asciiTheme="minorBidi" w:hAnsiTheme="minorBidi"/>
          <w:sz w:val="20"/>
        </w:rPr>
      </w:pPr>
    </w:p>
    <w:p w14:paraId="2321499C"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Les dépenses liées exclusivement au système du PCT englobent celles du programme 5 (système du PCT).</w:t>
      </w:r>
    </w:p>
    <w:p w14:paraId="4F11A07D" w14:textId="77777777" w:rsidR="006A58B3" w:rsidRPr="006A58B3" w:rsidRDefault="006A58B3" w:rsidP="006A58B3">
      <w:pPr>
        <w:jc w:val="both"/>
        <w:rPr>
          <w:rFonts w:asciiTheme="minorBidi" w:hAnsiTheme="minorBidi"/>
          <w:sz w:val="20"/>
        </w:rPr>
      </w:pPr>
    </w:p>
    <w:p w14:paraId="7246CBCD"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Les dépenses liées aux activités à l’appui du système du PCT comprennent les dépenses des services suivants : services de conférence et services linguistiques, construction, direction générale, finances et budget, services d’appui généraux, gestion des ressources humaines, supervision interne, informatique et sûreté et sécurité.  Une petite partie de ces dépenses (coût de l’hébergement du serveur au CIC, coût estimé de la source authentique des demandes selon le PCT publiées (PATENTSCOPE) et part des coûts de la Section des recettes dans la Division des finances) est directement attribuée au système du PCT, tandis que le reste des dépenses attribuables au système du PCT est calculé en fonction de l’effectif (fonctionnaires titulaires de contrats de durée déterminée, fonctionnaires temporaires et boursiers).</w:t>
      </w:r>
    </w:p>
    <w:p w14:paraId="210562FF" w14:textId="77777777" w:rsidR="006A58B3" w:rsidRPr="006A58B3" w:rsidRDefault="006A58B3" w:rsidP="006A58B3">
      <w:pPr>
        <w:jc w:val="both"/>
        <w:rPr>
          <w:rFonts w:asciiTheme="minorBidi" w:hAnsiTheme="minorBidi"/>
          <w:sz w:val="20"/>
        </w:rPr>
      </w:pPr>
    </w:p>
    <w:p w14:paraId="66B39D49" w14:textId="77777777" w:rsidR="006A58B3" w:rsidRPr="006A58B3" w:rsidRDefault="006A58B3" w:rsidP="006A58B3">
      <w:pPr>
        <w:jc w:val="both"/>
        <w:rPr>
          <w:rFonts w:asciiTheme="minorBidi" w:hAnsiTheme="minorBidi"/>
          <w:sz w:val="20"/>
        </w:rPr>
      </w:pPr>
      <w:r w:rsidRPr="006A58B3">
        <w:rPr>
          <w:rFonts w:asciiTheme="minorBidi" w:hAnsiTheme="minorBidi"/>
          <w:sz w:val="20"/>
        </w:rPr>
        <w:t>10.</w:t>
      </w:r>
      <w:r w:rsidRPr="006A58B3">
        <w:rPr>
          <w:rFonts w:asciiTheme="minorBidi" w:hAnsiTheme="minorBidi"/>
          <w:sz w:val="20"/>
        </w:rPr>
        <w:tab/>
        <w:t xml:space="preserve">La méthodologie employée pour imputer les coûts unitaires a été révisée en 2013, afin de l’aligner sur les autres calculs de coûts unitaires/de l’Union et de mieux rendre compte de </w:t>
      </w:r>
      <w:r w:rsidRPr="006A58B3">
        <w:rPr>
          <w:rFonts w:asciiTheme="minorBidi" w:hAnsiTheme="minorBidi"/>
          <w:sz w:val="20"/>
        </w:rPr>
        <w:lastRenderedPageBreak/>
        <w:t>l’environnement en rapide évolution.  À titre d’exemple, l’ancienne méthode, qui avait été conçue en 2007, comprenait un coût de stockage (sur 30 ans) en entrepôts, alors que les dépôts au format papier (y compris les dépôts du système PCT EASY) représentaient moins de 10% des dépôts en 2013.  Le coût unitaire du PCT en 2012 a été calculé au moyen de deux méthodes.  Il s’élevait à 680 francs suisses avec l’ancienne méthode et à 712 francs suisses avec la nouvelle.  La différence de 32 francs suisses tient à la nouvelle méthode d’affectation des coûts indirects.</w:t>
      </w:r>
    </w:p>
    <w:p w14:paraId="13A5F2C2" w14:textId="77777777" w:rsidR="006A58B3" w:rsidRPr="006A58B3" w:rsidRDefault="006A58B3" w:rsidP="006A58B3">
      <w:pPr>
        <w:jc w:val="both"/>
        <w:rPr>
          <w:rFonts w:asciiTheme="minorBidi" w:hAnsiTheme="minorBidi"/>
          <w:sz w:val="20"/>
        </w:rPr>
      </w:pPr>
    </w:p>
    <w:p w14:paraId="605EABE8"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De manière formelle, le coût unitaire est défini comme suit :</w:t>
      </w:r>
    </w:p>
    <w:p w14:paraId="2AF5BC4C" w14:textId="77777777" w:rsidR="006A58B3" w:rsidRPr="006A58B3" w:rsidRDefault="006A58B3" w:rsidP="006A58B3">
      <w:pPr>
        <w:rPr>
          <w:sz w:val="20"/>
        </w:rPr>
      </w:pPr>
    </w:p>
    <w:tbl>
      <w:tblPr>
        <w:tblStyle w:val="TableGrid"/>
        <w:tblW w:w="0" w:type="auto"/>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2449"/>
      </w:tblGrid>
      <w:tr w:rsidR="006A58B3" w:rsidRPr="006A58B3" w14:paraId="58FFB2F9" w14:textId="77777777" w:rsidTr="00777681">
        <w:tc>
          <w:tcPr>
            <w:tcW w:w="1662" w:type="dxa"/>
            <w:vMerge w:val="restart"/>
            <w:vAlign w:val="center"/>
          </w:tcPr>
          <w:p w14:paraId="3045815C" w14:textId="77777777" w:rsidR="006A58B3" w:rsidRPr="006A58B3" w:rsidRDefault="006A58B3" w:rsidP="00777681">
            <w:pPr>
              <w:jc w:val="right"/>
              <w:rPr>
                <w:sz w:val="20"/>
              </w:rPr>
            </w:pPr>
            <w:r w:rsidRPr="006A58B3">
              <w:rPr>
                <w:sz w:val="20"/>
              </w:rPr>
              <w:t xml:space="preserve">Coût unitaire = </w:t>
            </w:r>
          </w:p>
        </w:tc>
        <w:tc>
          <w:tcPr>
            <w:tcW w:w="2449" w:type="dxa"/>
            <w:tcBorders>
              <w:bottom w:val="single" w:sz="4" w:space="0" w:color="auto"/>
            </w:tcBorders>
          </w:tcPr>
          <w:p w14:paraId="7580606A" w14:textId="77777777" w:rsidR="006A58B3" w:rsidRPr="006A58B3" w:rsidRDefault="006A58B3" w:rsidP="00777681">
            <w:pPr>
              <w:jc w:val="center"/>
              <w:rPr>
                <w:sz w:val="20"/>
              </w:rPr>
            </w:pPr>
            <w:r w:rsidRPr="006A58B3">
              <w:rPr>
                <w:sz w:val="20"/>
              </w:rPr>
              <w:t>Coût total de production</w:t>
            </w:r>
          </w:p>
        </w:tc>
      </w:tr>
      <w:tr w:rsidR="006A58B3" w:rsidRPr="006A58B3" w14:paraId="20F8D877" w14:textId="77777777" w:rsidTr="00777681">
        <w:tc>
          <w:tcPr>
            <w:tcW w:w="1662" w:type="dxa"/>
            <w:vMerge/>
          </w:tcPr>
          <w:p w14:paraId="6481ED05" w14:textId="77777777" w:rsidR="006A58B3" w:rsidRPr="006A58B3" w:rsidRDefault="006A58B3" w:rsidP="00777681">
            <w:pPr>
              <w:rPr>
                <w:sz w:val="20"/>
              </w:rPr>
            </w:pPr>
          </w:p>
        </w:tc>
        <w:tc>
          <w:tcPr>
            <w:tcW w:w="2449" w:type="dxa"/>
            <w:tcBorders>
              <w:top w:val="single" w:sz="4" w:space="0" w:color="auto"/>
            </w:tcBorders>
          </w:tcPr>
          <w:p w14:paraId="676ECE9A" w14:textId="77777777" w:rsidR="006A58B3" w:rsidRPr="006A58B3" w:rsidRDefault="006A58B3" w:rsidP="00777681">
            <w:pPr>
              <w:jc w:val="center"/>
              <w:rPr>
                <w:sz w:val="20"/>
              </w:rPr>
            </w:pPr>
            <w:r w:rsidRPr="006A58B3">
              <w:rPr>
                <w:sz w:val="20"/>
              </w:rPr>
              <w:t>Nombre de publications</w:t>
            </w:r>
          </w:p>
        </w:tc>
      </w:tr>
    </w:tbl>
    <w:p w14:paraId="05952400" w14:textId="77777777" w:rsidR="006A58B3" w:rsidRPr="006A58B3" w:rsidRDefault="006A58B3" w:rsidP="006A58B3">
      <w:pPr>
        <w:rPr>
          <w:sz w:val="20"/>
        </w:rPr>
      </w:pPr>
    </w:p>
    <w:p w14:paraId="4592D483" w14:textId="77777777" w:rsidR="006A58B3" w:rsidRPr="006A58B3" w:rsidRDefault="006A58B3" w:rsidP="006A58B3">
      <w:pPr>
        <w:rPr>
          <w:sz w:val="20"/>
        </w:rPr>
      </w:pPr>
    </w:p>
    <w:p w14:paraId="2CEF8E7E"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Les diagrammes ci</w:t>
      </w:r>
      <w:r w:rsidRPr="006A58B3">
        <w:rPr>
          <w:rFonts w:asciiTheme="minorBidi" w:hAnsiTheme="minorBidi"/>
          <w:sz w:val="20"/>
        </w:rPr>
        <w:noBreakHyphen/>
        <w:t>dessous illustrent l’évolution du coût unitaire du traitement entre 2004 et 2012, calculé avec l’ancienne méthode, et entre 2012 et 2016, avec la nouvelle méthode, y compris la répartition de la contribution des coûts directs et indirects.</w:t>
      </w:r>
    </w:p>
    <w:p w14:paraId="7D3A36A3" w14:textId="77777777" w:rsidR="006A58B3" w:rsidRPr="001303B4" w:rsidRDefault="006A58B3" w:rsidP="006A58B3">
      <w:pPr>
        <w:rPr>
          <w:rFonts w:asciiTheme="minorBidi" w:hAnsiTheme="minorBidi"/>
          <w:sz w:val="20"/>
        </w:rPr>
      </w:pPr>
    </w:p>
    <w:p w14:paraId="3D4EF444" w14:textId="77777777" w:rsidR="006A58B3" w:rsidRPr="006A58B3" w:rsidRDefault="006A58B3" w:rsidP="006A58B3">
      <w:pPr>
        <w:keepNext/>
        <w:keepLines/>
        <w:jc w:val="center"/>
        <w:rPr>
          <w:rFonts w:asciiTheme="minorBidi" w:hAnsiTheme="minorBidi"/>
          <w:b/>
          <w:sz w:val="20"/>
        </w:rPr>
      </w:pPr>
      <w:r w:rsidRPr="006A58B3">
        <w:rPr>
          <w:rFonts w:asciiTheme="minorBidi" w:hAnsiTheme="minorBidi"/>
          <w:b/>
          <w:sz w:val="20"/>
        </w:rPr>
        <w:t>Coût unitaire du traitement d’une demande selon le PCT publiée</w:t>
      </w:r>
    </w:p>
    <w:p w14:paraId="18FDA182" w14:textId="77777777" w:rsidR="006A58B3" w:rsidRPr="001303B4" w:rsidRDefault="006A58B3" w:rsidP="006A58B3">
      <w:pPr>
        <w:keepNext/>
        <w:keepLines/>
        <w:jc w:val="center"/>
        <w:rPr>
          <w:rFonts w:asciiTheme="minorBidi" w:hAnsiTheme="minorBidi"/>
          <w:b/>
          <w:sz w:val="20"/>
        </w:rPr>
      </w:pPr>
    </w:p>
    <w:tbl>
      <w:tblPr>
        <w:tblW w:w="0" w:type="auto"/>
        <w:jc w:val="center"/>
        <w:tblInd w:w="-918" w:type="dxa"/>
        <w:tblLook w:val="04A0" w:firstRow="1" w:lastRow="0" w:firstColumn="1" w:lastColumn="0" w:noHBand="0" w:noVBand="1"/>
      </w:tblPr>
      <w:tblGrid>
        <w:gridCol w:w="9282"/>
      </w:tblGrid>
      <w:tr w:rsidR="006A58B3" w:rsidRPr="006A58B3" w14:paraId="2630B909" w14:textId="77777777" w:rsidTr="001E3776">
        <w:trPr>
          <w:jc w:val="center"/>
        </w:trPr>
        <w:tc>
          <w:tcPr>
            <w:tcW w:w="9088" w:type="dxa"/>
            <w:shd w:val="clear" w:color="auto" w:fill="auto"/>
          </w:tcPr>
          <w:p w14:paraId="5529B2AB" w14:textId="77777777" w:rsidR="006A58B3" w:rsidRPr="006A58B3" w:rsidRDefault="006A58B3" w:rsidP="00777681">
            <w:pPr>
              <w:keepNext/>
              <w:keepLines/>
              <w:spacing w:before="120"/>
              <w:jc w:val="center"/>
              <w:rPr>
                <w:rFonts w:asciiTheme="minorBidi" w:hAnsiTheme="minorBidi"/>
                <w:b/>
                <w:sz w:val="20"/>
              </w:rPr>
            </w:pPr>
            <w:r w:rsidRPr="006A58B3">
              <w:rPr>
                <w:rFonts w:asciiTheme="minorBidi" w:hAnsiTheme="minorBidi"/>
                <w:b/>
                <w:sz w:val="20"/>
              </w:rPr>
              <w:t>Ancienne méthode</w:t>
            </w:r>
          </w:p>
          <w:p w14:paraId="3BB83E09" w14:textId="77777777" w:rsidR="006A58B3" w:rsidRPr="006A58B3" w:rsidRDefault="006A58B3" w:rsidP="00777681">
            <w:pPr>
              <w:keepNext/>
              <w:keepLines/>
              <w:jc w:val="center"/>
              <w:rPr>
                <w:rFonts w:asciiTheme="minorBidi" w:hAnsiTheme="minorBidi"/>
                <w:b/>
                <w:sz w:val="20"/>
              </w:rPr>
            </w:pPr>
          </w:p>
        </w:tc>
      </w:tr>
      <w:tr w:rsidR="006A58B3" w:rsidRPr="006A58B3" w14:paraId="3374DB30" w14:textId="77777777" w:rsidTr="001E3776">
        <w:trPr>
          <w:trHeight w:val="4940"/>
          <w:jc w:val="center"/>
        </w:trPr>
        <w:tc>
          <w:tcPr>
            <w:tcW w:w="9088" w:type="dxa"/>
            <w:shd w:val="clear" w:color="auto" w:fill="auto"/>
          </w:tcPr>
          <w:p w14:paraId="363758F9" w14:textId="77777777" w:rsidR="006A58B3" w:rsidRPr="006A58B3" w:rsidRDefault="006A58B3" w:rsidP="00777681">
            <w:pPr>
              <w:keepNext/>
              <w:keepLines/>
              <w:jc w:val="center"/>
              <w:rPr>
                <w:rFonts w:asciiTheme="minorBidi" w:hAnsiTheme="minorBidi"/>
                <w:sz w:val="20"/>
              </w:rPr>
            </w:pPr>
          </w:p>
          <w:p w14:paraId="045D25F9" w14:textId="77777777" w:rsidR="006A58B3" w:rsidRPr="006A58B3" w:rsidRDefault="006A58B3" w:rsidP="00777681">
            <w:pPr>
              <w:keepNext/>
              <w:keepLines/>
              <w:jc w:val="center"/>
              <w:rPr>
                <w:rFonts w:asciiTheme="minorBidi" w:hAnsiTheme="minorBidi"/>
                <w:sz w:val="20"/>
              </w:rPr>
            </w:pPr>
            <w:r w:rsidRPr="006A58B3">
              <w:rPr>
                <w:rFonts w:asciiTheme="minorBidi" w:hAnsiTheme="minorBidi"/>
                <w:noProof/>
                <w:sz w:val="20"/>
                <w:lang w:val="en-US"/>
              </w:rPr>
              <w:drawing>
                <wp:inline distT="0" distB="0" distL="0" distR="0" wp14:anchorId="6C3B82FC" wp14:editId="54A33495">
                  <wp:extent cx="5756910" cy="3039110"/>
                  <wp:effectExtent l="0" t="0" r="0" b="889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6910" cy="3039110"/>
                          </a:xfrm>
                          <a:prstGeom prst="rect">
                            <a:avLst/>
                          </a:prstGeom>
                          <a:noFill/>
                          <a:ln>
                            <a:noFill/>
                          </a:ln>
                        </pic:spPr>
                      </pic:pic>
                    </a:graphicData>
                  </a:graphic>
                </wp:inline>
              </w:drawing>
            </w:r>
          </w:p>
          <w:p w14:paraId="048668F3" w14:textId="77777777" w:rsidR="006A58B3" w:rsidRPr="006A58B3" w:rsidRDefault="006A58B3" w:rsidP="00777681">
            <w:pPr>
              <w:keepNext/>
              <w:keepLines/>
              <w:jc w:val="center"/>
              <w:rPr>
                <w:rFonts w:asciiTheme="minorBidi" w:hAnsiTheme="minorBidi"/>
                <w:sz w:val="20"/>
              </w:rPr>
            </w:pPr>
          </w:p>
        </w:tc>
      </w:tr>
    </w:tbl>
    <w:p w14:paraId="2509A106" w14:textId="77777777" w:rsidR="006A58B3" w:rsidRPr="001303B4" w:rsidRDefault="006A58B3" w:rsidP="006A58B3">
      <w:pPr>
        <w:rPr>
          <w:rFonts w:asciiTheme="minorBidi" w:hAnsiTheme="minorBidi"/>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6A58B3" w:rsidRPr="006A58B3" w14:paraId="353DE950" w14:textId="77777777" w:rsidTr="001E3776">
        <w:tc>
          <w:tcPr>
            <w:tcW w:w="9072" w:type="dxa"/>
          </w:tcPr>
          <w:p w14:paraId="7D731BD2" w14:textId="77777777" w:rsidR="006A58B3" w:rsidRPr="006A58B3" w:rsidRDefault="006A58B3" w:rsidP="00777681">
            <w:pPr>
              <w:keepNext/>
              <w:keepLines/>
              <w:spacing w:before="120"/>
              <w:ind w:left="142"/>
              <w:jc w:val="center"/>
              <w:rPr>
                <w:rFonts w:asciiTheme="minorBidi" w:hAnsiTheme="minorBidi"/>
                <w:b/>
                <w:sz w:val="20"/>
              </w:rPr>
            </w:pPr>
            <w:r w:rsidRPr="006A58B3">
              <w:rPr>
                <w:rFonts w:asciiTheme="minorBidi" w:hAnsiTheme="minorBidi"/>
                <w:b/>
                <w:sz w:val="20"/>
              </w:rPr>
              <w:lastRenderedPageBreak/>
              <w:t>Nouvelle méthode</w:t>
            </w:r>
          </w:p>
          <w:p w14:paraId="43FF53C8" w14:textId="77777777" w:rsidR="006A58B3" w:rsidRPr="006A58B3" w:rsidRDefault="006A58B3" w:rsidP="00777681">
            <w:pPr>
              <w:rPr>
                <w:rFonts w:asciiTheme="minorBidi" w:hAnsiTheme="minorBidi"/>
                <w:sz w:val="20"/>
                <w:highlight w:val="lightGray"/>
              </w:rPr>
            </w:pPr>
          </w:p>
        </w:tc>
      </w:tr>
      <w:tr w:rsidR="006A58B3" w:rsidRPr="006A58B3" w14:paraId="7A07DC34" w14:textId="77777777" w:rsidTr="001E3776">
        <w:tc>
          <w:tcPr>
            <w:tcW w:w="9072" w:type="dxa"/>
          </w:tcPr>
          <w:p w14:paraId="232C6ABF" w14:textId="77777777" w:rsidR="006A58B3" w:rsidRPr="006A58B3" w:rsidRDefault="006A58B3" w:rsidP="00777681">
            <w:pPr>
              <w:rPr>
                <w:rFonts w:asciiTheme="minorBidi" w:hAnsiTheme="minorBidi"/>
                <w:sz w:val="20"/>
                <w:highlight w:val="lightGray"/>
              </w:rPr>
            </w:pPr>
            <w:r w:rsidRPr="006A58B3">
              <w:rPr>
                <w:rFonts w:asciiTheme="minorBidi" w:hAnsiTheme="minorBidi"/>
                <w:noProof/>
                <w:sz w:val="20"/>
                <w:lang w:val="en-US"/>
              </w:rPr>
              <w:drawing>
                <wp:inline distT="0" distB="0" distL="0" distR="0" wp14:anchorId="6934AF0D" wp14:editId="252C7FDC">
                  <wp:extent cx="5621655" cy="3503295"/>
                  <wp:effectExtent l="0" t="0" r="0" b="190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1655" cy="3503295"/>
                          </a:xfrm>
                          <a:prstGeom prst="rect">
                            <a:avLst/>
                          </a:prstGeom>
                          <a:noFill/>
                          <a:ln>
                            <a:noFill/>
                          </a:ln>
                        </pic:spPr>
                      </pic:pic>
                    </a:graphicData>
                  </a:graphic>
                </wp:inline>
              </w:drawing>
            </w:r>
          </w:p>
        </w:tc>
      </w:tr>
    </w:tbl>
    <w:p w14:paraId="1A97A749" w14:textId="77777777" w:rsidR="006A58B3" w:rsidRPr="006A58B3" w:rsidRDefault="006A58B3" w:rsidP="006A58B3">
      <w:pPr>
        <w:tabs>
          <w:tab w:val="num" w:pos="1134"/>
        </w:tabs>
        <w:ind w:left="1134"/>
        <w:rPr>
          <w:rFonts w:asciiTheme="minorBidi" w:hAnsiTheme="minorBidi"/>
          <w:sz w:val="20"/>
        </w:rPr>
      </w:pPr>
    </w:p>
    <w:p w14:paraId="46F960AE" w14:textId="77777777" w:rsidR="006A58B3" w:rsidRPr="006A58B3" w:rsidRDefault="006A58B3" w:rsidP="006A58B3">
      <w:pPr>
        <w:numPr>
          <w:ilvl w:val="0"/>
          <w:numId w:val="49"/>
        </w:numPr>
        <w:tabs>
          <w:tab w:val="clear" w:pos="720"/>
          <w:tab w:val="num" w:pos="1134"/>
        </w:tabs>
        <w:ind w:left="1134" w:hanging="567"/>
        <w:jc w:val="both"/>
        <w:rPr>
          <w:rFonts w:asciiTheme="minorBidi" w:eastAsiaTheme="minorHAnsi" w:hAnsiTheme="minorBidi"/>
          <w:sz w:val="20"/>
        </w:rPr>
      </w:pPr>
      <w:r w:rsidRPr="006A58B3">
        <w:rPr>
          <w:rFonts w:asciiTheme="minorBidi" w:eastAsiaTheme="minorHAnsi" w:hAnsiTheme="minorBidi"/>
          <w:sz w:val="20"/>
        </w:rPr>
        <w:t>Le coût moyen du traitement d’une demande selon le PCT publiée était de 685 francs suisses en 2016, soit une diminution de 6,8% par rapport à 2015.  Cette diminution s’explique par une diminution du coût total de production, malgré une augmentation du nombre total de demandes selon le PCT publiées.  Ce chiffre correspond au coût moyen le plus bas pour la période allant de 2012 à 2016, après le coût unitaire exceptionnellement bas de 2014.</w:t>
      </w:r>
    </w:p>
    <w:p w14:paraId="67FEBFC9" w14:textId="77777777" w:rsidR="006A58B3" w:rsidRPr="006A58B3" w:rsidRDefault="006A58B3" w:rsidP="006A58B3">
      <w:pPr>
        <w:rPr>
          <w:rFonts w:asciiTheme="minorBidi" w:hAnsiTheme="minorBidi"/>
          <w:sz w:val="20"/>
        </w:rPr>
      </w:pPr>
    </w:p>
    <w:p w14:paraId="33107449"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Productivité en matière d’examen de forme</w:t>
      </w:r>
    </w:p>
    <w:p w14:paraId="1949EE70" w14:textId="77777777" w:rsidR="006A58B3" w:rsidRPr="006A58B3" w:rsidRDefault="006A58B3" w:rsidP="006A58B3">
      <w:pPr>
        <w:keepNext/>
        <w:keepLines/>
        <w:rPr>
          <w:rFonts w:asciiTheme="minorBidi" w:hAnsiTheme="minorBidi"/>
          <w:iCs/>
          <w:sz w:val="20"/>
        </w:rPr>
      </w:pPr>
    </w:p>
    <w:p w14:paraId="444CF0F7"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La productivité du personnel est calculée en divisant la production (c’est</w:t>
      </w:r>
      <w:r w:rsidRPr="006A58B3">
        <w:rPr>
          <w:rFonts w:asciiTheme="minorBidi" w:hAnsiTheme="minorBidi"/>
          <w:sz w:val="20"/>
        </w:rPr>
        <w:noBreakHyphen/>
        <w:t>à</w:t>
      </w:r>
      <w:r w:rsidRPr="006A58B3">
        <w:rPr>
          <w:rFonts w:asciiTheme="minorBidi" w:hAnsiTheme="minorBidi"/>
          <w:sz w:val="20"/>
        </w:rPr>
        <w:noBreakHyphen/>
        <w:t>dire le nombre de publications du PCT) par les effectifs aux fins de l’examen de forme.</w:t>
      </w:r>
    </w:p>
    <w:p w14:paraId="56C508FF" w14:textId="77777777" w:rsidR="006A58B3" w:rsidRPr="006A58B3" w:rsidRDefault="006A58B3" w:rsidP="006A58B3">
      <w:pPr>
        <w:jc w:val="both"/>
        <w:rPr>
          <w:rFonts w:asciiTheme="minorBidi" w:hAnsiTheme="minorBidi"/>
          <w:sz w:val="20"/>
        </w:rPr>
      </w:pPr>
    </w:p>
    <w:p w14:paraId="5FF71399" w14:textId="77777777" w:rsidR="006A58B3" w:rsidRPr="006A58B3" w:rsidRDefault="006A58B3" w:rsidP="006A58B3">
      <w:pPr>
        <w:keepNext/>
        <w:keepLines/>
        <w:jc w:val="center"/>
        <w:rPr>
          <w:rFonts w:asciiTheme="minorBidi" w:hAnsiTheme="minorBidi"/>
          <w:b/>
          <w:sz w:val="20"/>
        </w:rPr>
      </w:pPr>
      <w:r w:rsidRPr="006A58B3">
        <w:rPr>
          <w:rFonts w:asciiTheme="minorBidi" w:hAnsiTheme="minorBidi"/>
          <w:b/>
          <w:sz w:val="20"/>
        </w:rPr>
        <w:t>Productivité en matière d’examen de forme</w:t>
      </w:r>
    </w:p>
    <w:p w14:paraId="24B7C32E" w14:textId="77777777" w:rsidR="006A58B3" w:rsidRPr="006A58B3" w:rsidRDefault="006A58B3" w:rsidP="006A58B3">
      <w:pPr>
        <w:jc w:val="center"/>
        <w:rPr>
          <w:rFonts w:asciiTheme="minorBidi" w:hAnsiTheme="minorBidi"/>
          <w:b/>
          <w:sz w:val="20"/>
        </w:rPr>
      </w:pPr>
      <w:r w:rsidRPr="006A58B3">
        <w:rPr>
          <w:noProof/>
          <w:sz w:val="20"/>
          <w:lang w:val="en-US"/>
        </w:rPr>
        <w:drawing>
          <wp:inline distT="0" distB="0" distL="0" distR="0" wp14:anchorId="3731D13F" wp14:editId="0D352BD1">
            <wp:extent cx="5760085" cy="287169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2871698"/>
                    </a:xfrm>
                    <a:prstGeom prst="rect">
                      <a:avLst/>
                    </a:prstGeom>
                    <a:noFill/>
                    <a:ln>
                      <a:noFill/>
                    </a:ln>
                  </pic:spPr>
                </pic:pic>
              </a:graphicData>
            </a:graphic>
          </wp:inline>
        </w:drawing>
      </w:r>
    </w:p>
    <w:p w14:paraId="38C77315" w14:textId="77777777" w:rsidR="006A58B3" w:rsidRPr="006A58B3" w:rsidRDefault="006A58B3" w:rsidP="006A58B3">
      <w:pPr>
        <w:numPr>
          <w:ilvl w:val="0"/>
          <w:numId w:val="49"/>
        </w:numPr>
        <w:tabs>
          <w:tab w:val="clear" w:pos="720"/>
          <w:tab w:val="num" w:pos="1134"/>
        </w:tabs>
        <w:ind w:left="1134" w:hanging="567"/>
        <w:jc w:val="both"/>
        <w:rPr>
          <w:rFonts w:asciiTheme="minorBidi" w:hAnsiTheme="minorBidi"/>
          <w:sz w:val="20"/>
        </w:rPr>
      </w:pPr>
      <w:r w:rsidRPr="006A58B3">
        <w:rPr>
          <w:rFonts w:asciiTheme="minorBidi" w:hAnsiTheme="minorBidi"/>
          <w:sz w:val="20"/>
        </w:rPr>
        <w:lastRenderedPageBreak/>
        <w:t>La productivité en matière d’examen de forme augmente chaque année, en raison essentiellement de l’automatisation qui a permis le traitement d’une charge de travail beaucoup plus importante avec moins ou autant de personnel.</w:t>
      </w:r>
    </w:p>
    <w:p w14:paraId="5696CF62" w14:textId="77777777" w:rsidR="006A58B3" w:rsidRPr="006A58B3" w:rsidRDefault="006A58B3" w:rsidP="006A58B3">
      <w:pPr>
        <w:numPr>
          <w:ilvl w:val="0"/>
          <w:numId w:val="49"/>
        </w:numPr>
        <w:tabs>
          <w:tab w:val="clear" w:pos="720"/>
          <w:tab w:val="num" w:pos="1134"/>
        </w:tabs>
        <w:ind w:left="1134" w:hanging="567"/>
        <w:jc w:val="both"/>
        <w:rPr>
          <w:rFonts w:asciiTheme="minorBidi" w:hAnsiTheme="minorBidi"/>
          <w:sz w:val="20"/>
        </w:rPr>
      </w:pPr>
      <w:r w:rsidRPr="006A58B3">
        <w:rPr>
          <w:rFonts w:asciiTheme="minorBidi" w:hAnsiTheme="minorBidi"/>
          <w:sz w:val="20"/>
        </w:rPr>
        <w:t>En 2016, la productivité en matière d’examen de forme a augmenté de 5,4% par rapport à 2015.</w:t>
      </w:r>
    </w:p>
    <w:p w14:paraId="729ECBE0" w14:textId="77777777" w:rsidR="006A58B3" w:rsidRPr="006A58B3" w:rsidRDefault="006A58B3" w:rsidP="006A58B3">
      <w:pPr>
        <w:keepNext/>
        <w:keepLines/>
        <w:rPr>
          <w:rFonts w:asciiTheme="minorBidi" w:hAnsiTheme="minorBidi"/>
          <w:iCs/>
          <w:sz w:val="20"/>
        </w:rPr>
      </w:pPr>
    </w:p>
    <w:p w14:paraId="51003215"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Indicateur de qualité agrégé en matière d’examen de forme</w:t>
      </w:r>
    </w:p>
    <w:p w14:paraId="0F8E2414" w14:textId="77777777" w:rsidR="006A58B3" w:rsidRPr="006A58B3" w:rsidRDefault="006A58B3" w:rsidP="006A58B3">
      <w:pPr>
        <w:keepNext/>
        <w:keepLines/>
        <w:rPr>
          <w:rFonts w:asciiTheme="minorBidi" w:hAnsiTheme="minorBidi"/>
          <w:iCs/>
          <w:sz w:val="20"/>
        </w:rPr>
      </w:pPr>
    </w:p>
    <w:p w14:paraId="5B0ABB93"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Pour mesurer d’une manière simple et globale la qualité du travail qu’il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14:paraId="45CAEBF7" w14:textId="77777777" w:rsidR="006A58B3" w:rsidRPr="006A58B3" w:rsidRDefault="006A58B3" w:rsidP="006A58B3">
      <w:pPr>
        <w:rPr>
          <w:rFonts w:asciiTheme="minorBidi" w:hAnsiTheme="minorBidi"/>
          <w:sz w:val="20"/>
        </w:rPr>
      </w:pPr>
    </w:p>
    <w:p w14:paraId="14CB3C59" w14:textId="77777777" w:rsidR="006A58B3" w:rsidRPr="006A58B3" w:rsidRDefault="006A58B3" w:rsidP="006A58B3">
      <w:pPr>
        <w:rPr>
          <w:rFonts w:asciiTheme="minorBidi" w:hAnsiTheme="minorBidi"/>
          <w:sz w:val="20"/>
        </w:rPr>
      </w:pPr>
    </w:p>
    <w:p w14:paraId="53D6DF19" w14:textId="77777777" w:rsidR="006A58B3" w:rsidRPr="006A58B3" w:rsidRDefault="006A58B3" w:rsidP="006A58B3">
      <w:pPr>
        <w:pStyle w:val="BodyText2"/>
        <w:keepNext/>
        <w:keepLines/>
        <w:spacing w:line="240" w:lineRule="auto"/>
        <w:jc w:val="center"/>
        <w:rPr>
          <w:rFonts w:asciiTheme="minorBidi" w:hAnsiTheme="minorBidi"/>
          <w:b/>
          <w:bCs/>
          <w:szCs w:val="20"/>
        </w:rPr>
      </w:pPr>
      <w:r w:rsidRPr="006A58B3">
        <w:rPr>
          <w:rFonts w:asciiTheme="minorBidi" w:hAnsiTheme="minorBidi"/>
          <w:b/>
          <w:bCs/>
          <w:szCs w:val="20"/>
        </w:rPr>
        <w:t>Indicateur de qualité en matière d’examen de forme</w:t>
      </w:r>
    </w:p>
    <w:p w14:paraId="7539A7D5" w14:textId="77777777" w:rsidR="006A58B3" w:rsidRPr="006A58B3" w:rsidRDefault="006A58B3" w:rsidP="006A58B3">
      <w:pPr>
        <w:pStyle w:val="BodyText2"/>
        <w:keepNext/>
        <w:keepLines/>
        <w:spacing w:line="240" w:lineRule="auto"/>
        <w:jc w:val="center"/>
        <w:rPr>
          <w:rFonts w:asciiTheme="minorBidi" w:hAnsiTheme="minorBidi"/>
          <w:b/>
          <w:bCs/>
          <w:szCs w:val="20"/>
        </w:rPr>
      </w:pPr>
      <w:r w:rsidRPr="006A58B3">
        <w:rPr>
          <w:noProof/>
          <w:szCs w:val="20"/>
          <w:lang w:val="en-US" w:eastAsia="en-US"/>
        </w:rPr>
        <w:drawing>
          <wp:inline distT="0" distB="0" distL="0" distR="0" wp14:anchorId="4BDEA0CE" wp14:editId="36CBDB4C">
            <wp:extent cx="5760000" cy="2607127"/>
            <wp:effectExtent l="0" t="0" r="0" b="317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607127"/>
                    </a:xfrm>
                    <a:prstGeom prst="rect">
                      <a:avLst/>
                    </a:prstGeom>
                    <a:noFill/>
                    <a:ln>
                      <a:noFill/>
                    </a:ln>
                  </pic:spPr>
                </pic:pic>
              </a:graphicData>
            </a:graphic>
          </wp:inline>
        </w:drawing>
      </w:r>
    </w:p>
    <w:p w14:paraId="3FE889D8" w14:textId="77777777" w:rsidR="006A58B3" w:rsidRPr="006A58B3" w:rsidRDefault="006A58B3" w:rsidP="006A58B3">
      <w:pPr>
        <w:pStyle w:val="BodyText2"/>
        <w:keepNext/>
        <w:keepLines/>
        <w:spacing w:line="240" w:lineRule="auto"/>
        <w:jc w:val="center"/>
        <w:rPr>
          <w:rFonts w:asciiTheme="minorBidi" w:hAnsiTheme="minorBidi"/>
          <w:b/>
          <w:bCs/>
          <w:szCs w:val="20"/>
        </w:rPr>
      </w:pPr>
    </w:p>
    <w:p w14:paraId="56FCF9DC" w14:textId="77777777" w:rsidR="006A58B3" w:rsidRPr="006A58B3" w:rsidRDefault="006A58B3" w:rsidP="006A58B3">
      <w:pPr>
        <w:numPr>
          <w:ilvl w:val="0"/>
          <w:numId w:val="49"/>
        </w:numPr>
        <w:tabs>
          <w:tab w:val="clear" w:pos="720"/>
          <w:tab w:val="num" w:pos="1134"/>
        </w:tabs>
        <w:ind w:left="1134" w:hanging="567"/>
        <w:jc w:val="both"/>
        <w:rPr>
          <w:rFonts w:asciiTheme="minorBidi" w:hAnsiTheme="minorBidi"/>
          <w:sz w:val="20"/>
        </w:rPr>
      </w:pPr>
      <w:r w:rsidRPr="006A58B3">
        <w:rPr>
          <w:rFonts w:asciiTheme="minorBidi" w:hAnsiTheme="minorBidi"/>
          <w:sz w:val="20"/>
        </w:rPr>
        <w:t>La qualité globale telle que mesurée par l’indice agrégé s’est notablement améliorée, passant d’une moyenne de 81% en 2007 à 95,1% en 2016.</w:t>
      </w:r>
    </w:p>
    <w:p w14:paraId="420A5752" w14:textId="77777777" w:rsidR="006A58B3" w:rsidRPr="006A58B3" w:rsidRDefault="006A58B3" w:rsidP="006A58B3">
      <w:pPr>
        <w:jc w:val="both"/>
        <w:rPr>
          <w:rFonts w:asciiTheme="minorBidi" w:hAnsiTheme="minorBidi"/>
          <w:i/>
          <w:sz w:val="20"/>
        </w:rPr>
      </w:pPr>
    </w:p>
    <w:p w14:paraId="21C4BBEF"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Délai de l’examen de forme</w:t>
      </w:r>
    </w:p>
    <w:p w14:paraId="136A7CD2" w14:textId="77777777" w:rsidR="006A58B3" w:rsidRPr="006A58B3" w:rsidRDefault="006A58B3" w:rsidP="006A58B3">
      <w:pPr>
        <w:keepNext/>
        <w:keepLines/>
        <w:rPr>
          <w:rFonts w:asciiTheme="minorBidi" w:hAnsiTheme="minorBidi"/>
          <w:iCs/>
          <w:sz w:val="20"/>
        </w:rPr>
      </w:pPr>
    </w:p>
    <w:p w14:paraId="77433238" w14:textId="77777777" w:rsidR="006A58B3" w:rsidRPr="00777681" w:rsidRDefault="006A58B3" w:rsidP="006A58B3">
      <w:pPr>
        <w:numPr>
          <w:ilvl w:val="0"/>
          <w:numId w:val="51"/>
        </w:numPr>
        <w:jc w:val="both"/>
        <w:rPr>
          <w:rFonts w:asciiTheme="minorBidi" w:hAnsiTheme="minorBidi"/>
          <w:sz w:val="20"/>
        </w:rPr>
      </w:pPr>
      <w:r w:rsidRPr="006A58B3">
        <w:rPr>
          <w:rFonts w:asciiTheme="minorBidi" w:hAnsiTheme="minorBidi"/>
          <w:sz w:val="20"/>
        </w:rPr>
        <w:t>Cet indicateur présente de manière plus détaillée l’une des composantes de l’indicateur de qualité agrégé, à savoir le temps qu’il faut au Bureau international pour émettre le formulaire 301.  Ce formulaire est émis une fois l’examen de forme de la demande terminé.  Les déposants apprécient de recevoir ce formulaire le plus rapidement possible car il fait office d’accusé de réception de la demande par le Bureau international et leur permet de savoir si leur demande contient des vices de forme.</w:t>
      </w:r>
    </w:p>
    <w:p w14:paraId="67EA7571" w14:textId="77777777" w:rsidR="006A58B3" w:rsidRPr="00777681" w:rsidRDefault="006A58B3" w:rsidP="006A58B3">
      <w:pPr>
        <w:jc w:val="both"/>
        <w:rPr>
          <w:rFonts w:asciiTheme="minorBidi" w:hAnsiTheme="minorBidi"/>
          <w:sz w:val="20"/>
        </w:rPr>
      </w:pPr>
    </w:p>
    <w:p w14:paraId="28A86DDB" w14:textId="77777777" w:rsidR="006A58B3" w:rsidRPr="006A58B3" w:rsidRDefault="006A58B3" w:rsidP="006A58B3">
      <w:pPr>
        <w:keepNext/>
        <w:ind w:left="142"/>
        <w:jc w:val="center"/>
        <w:rPr>
          <w:rFonts w:asciiTheme="minorBidi" w:hAnsiTheme="minorBidi"/>
          <w:b/>
          <w:sz w:val="20"/>
        </w:rPr>
      </w:pPr>
      <w:r w:rsidRPr="006A58B3">
        <w:rPr>
          <w:rFonts w:asciiTheme="minorBidi" w:hAnsiTheme="minorBidi"/>
          <w:b/>
          <w:sz w:val="20"/>
        </w:rPr>
        <w:lastRenderedPageBreak/>
        <w:t>Délai de l’examen de forme</w:t>
      </w:r>
    </w:p>
    <w:p w14:paraId="608B436C" w14:textId="77777777" w:rsidR="006A58B3" w:rsidRPr="006A58B3" w:rsidRDefault="006A58B3" w:rsidP="006A58B3">
      <w:pPr>
        <w:jc w:val="center"/>
        <w:rPr>
          <w:rFonts w:asciiTheme="minorBidi" w:hAnsiTheme="minorBidi"/>
          <w:i/>
          <w:sz w:val="20"/>
        </w:rPr>
      </w:pPr>
      <w:r w:rsidRPr="006A58B3">
        <w:rPr>
          <w:noProof/>
          <w:sz w:val="20"/>
          <w:lang w:val="en-US"/>
        </w:rPr>
        <w:drawing>
          <wp:inline distT="0" distB="0" distL="0" distR="0" wp14:anchorId="45A8D1FE" wp14:editId="788CDFE0">
            <wp:extent cx="5760000" cy="2493841"/>
            <wp:effectExtent l="0" t="0" r="0" b="190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493841"/>
                    </a:xfrm>
                    <a:prstGeom prst="rect">
                      <a:avLst/>
                    </a:prstGeom>
                    <a:noFill/>
                    <a:ln>
                      <a:noFill/>
                    </a:ln>
                  </pic:spPr>
                </pic:pic>
              </a:graphicData>
            </a:graphic>
          </wp:inline>
        </w:drawing>
      </w:r>
    </w:p>
    <w:p w14:paraId="59A67068" w14:textId="77777777" w:rsidR="006A58B3" w:rsidRPr="006A58B3" w:rsidRDefault="006A58B3" w:rsidP="006A58B3">
      <w:pPr>
        <w:rPr>
          <w:rFonts w:asciiTheme="minorBidi" w:hAnsiTheme="minorBidi"/>
          <w:i/>
          <w:sz w:val="20"/>
        </w:rPr>
      </w:pPr>
    </w:p>
    <w:p w14:paraId="61332E61" w14:textId="77777777" w:rsidR="006A58B3" w:rsidRPr="006A58B3" w:rsidRDefault="006A58B3" w:rsidP="006A58B3">
      <w:pPr>
        <w:rPr>
          <w:rFonts w:asciiTheme="minorBidi" w:hAnsiTheme="minorBidi"/>
          <w:i/>
          <w:sz w:val="20"/>
        </w:rPr>
      </w:pPr>
    </w:p>
    <w:p w14:paraId="03872EF6"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Délai de publication</w:t>
      </w:r>
    </w:p>
    <w:p w14:paraId="7421402C" w14:textId="77777777" w:rsidR="006A58B3" w:rsidRPr="006A58B3" w:rsidRDefault="006A58B3" w:rsidP="006A58B3">
      <w:pPr>
        <w:keepNext/>
        <w:keepLines/>
        <w:rPr>
          <w:rFonts w:asciiTheme="minorBidi" w:hAnsiTheme="minorBidi"/>
          <w:iCs/>
          <w:sz w:val="20"/>
        </w:rPr>
      </w:pPr>
    </w:p>
    <w:p w14:paraId="3AA7C9A7" w14:textId="77777777" w:rsidR="006A58B3" w:rsidRPr="006A58B3" w:rsidRDefault="006A58B3" w:rsidP="006A58B3">
      <w:pPr>
        <w:keepNext/>
        <w:keepLines/>
        <w:numPr>
          <w:ilvl w:val="0"/>
          <w:numId w:val="51"/>
        </w:numPr>
        <w:jc w:val="both"/>
        <w:rPr>
          <w:rFonts w:asciiTheme="minorBidi" w:hAnsiTheme="minorBidi"/>
          <w:sz w:val="20"/>
        </w:rPr>
      </w:pPr>
      <w:r w:rsidRPr="006A58B3">
        <w:rPr>
          <w:rFonts w:asciiTheme="minorBidi" w:hAnsiTheme="minorBidi"/>
          <w:sz w:val="20"/>
        </w:rPr>
        <w:t>Cet indicateur présente de manière plus détaillée l’une des composantes de l’indicateur de qualité agrégé, à savoir le temps qu’il faut au Bureau international pour publier la demande.  L’article 21.2)a) du PCT prévoit que “… la publication internationale de la demande internationale a lieu à bref délai après l’expiration d’un délai de 18 mois à compter de la date de priorité de cette demande”.</w:t>
      </w:r>
    </w:p>
    <w:p w14:paraId="51EFD446" w14:textId="77777777" w:rsidR="006A58B3" w:rsidRPr="006A58B3" w:rsidRDefault="006A58B3" w:rsidP="006A58B3">
      <w:pPr>
        <w:pStyle w:val="BodyText2"/>
        <w:keepNext/>
        <w:keepLines/>
        <w:spacing w:line="240" w:lineRule="auto"/>
        <w:rPr>
          <w:rFonts w:asciiTheme="minorBidi" w:hAnsiTheme="minorBidi"/>
          <w:szCs w:val="20"/>
        </w:rPr>
      </w:pPr>
    </w:p>
    <w:p w14:paraId="78AF5BA4" w14:textId="77777777" w:rsidR="006A58B3" w:rsidRPr="006A58B3" w:rsidRDefault="006A58B3" w:rsidP="006A58B3">
      <w:pPr>
        <w:keepNext/>
        <w:keepLines/>
        <w:ind w:left="142"/>
        <w:jc w:val="center"/>
        <w:rPr>
          <w:rFonts w:asciiTheme="minorBidi" w:hAnsiTheme="minorBidi"/>
          <w:b/>
          <w:sz w:val="20"/>
        </w:rPr>
      </w:pPr>
      <w:r w:rsidRPr="006A58B3">
        <w:rPr>
          <w:rFonts w:asciiTheme="minorBidi" w:hAnsiTheme="minorBidi"/>
          <w:b/>
          <w:sz w:val="20"/>
        </w:rPr>
        <w:t>Délai de publication</w:t>
      </w:r>
    </w:p>
    <w:p w14:paraId="7A5B9717" w14:textId="77777777" w:rsidR="006A58B3" w:rsidRPr="001303B4" w:rsidRDefault="006A58B3" w:rsidP="006A58B3">
      <w:pPr>
        <w:pStyle w:val="BodyText2"/>
        <w:keepNext/>
        <w:keepLines/>
        <w:spacing w:line="240" w:lineRule="auto"/>
        <w:jc w:val="center"/>
        <w:rPr>
          <w:rFonts w:asciiTheme="minorBidi" w:hAnsiTheme="minorBidi"/>
          <w:b/>
          <w:bCs/>
          <w:szCs w:val="20"/>
        </w:rPr>
      </w:pPr>
      <w:r w:rsidRPr="006A58B3">
        <w:rPr>
          <w:noProof/>
          <w:szCs w:val="20"/>
          <w:lang w:val="en-US" w:eastAsia="en-US"/>
        </w:rPr>
        <w:drawing>
          <wp:inline distT="0" distB="0" distL="0" distR="0" wp14:anchorId="4F759613" wp14:editId="6D0B40EC">
            <wp:extent cx="5760085" cy="2638830"/>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2638830"/>
                    </a:xfrm>
                    <a:prstGeom prst="rect">
                      <a:avLst/>
                    </a:prstGeom>
                    <a:noFill/>
                    <a:ln>
                      <a:noFill/>
                    </a:ln>
                  </pic:spPr>
                </pic:pic>
              </a:graphicData>
            </a:graphic>
          </wp:inline>
        </w:drawing>
      </w:r>
    </w:p>
    <w:p w14:paraId="26C03894" w14:textId="77777777" w:rsidR="006A58B3" w:rsidRPr="006A58B3" w:rsidRDefault="006A58B3" w:rsidP="006A58B3">
      <w:pPr>
        <w:rPr>
          <w:rFonts w:asciiTheme="minorBidi" w:hAnsiTheme="minorBidi"/>
          <w:i/>
          <w:sz w:val="20"/>
        </w:rPr>
      </w:pPr>
    </w:p>
    <w:p w14:paraId="37475CE8" w14:textId="77777777" w:rsidR="006A58B3" w:rsidRPr="006A58B3" w:rsidRDefault="006A58B3" w:rsidP="006A58B3">
      <w:pPr>
        <w:rPr>
          <w:rFonts w:asciiTheme="minorBidi" w:hAnsiTheme="minorBidi"/>
          <w:i/>
          <w:sz w:val="20"/>
        </w:rPr>
      </w:pPr>
    </w:p>
    <w:p w14:paraId="47C413A3"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Délai de republication</w:t>
      </w:r>
    </w:p>
    <w:p w14:paraId="48322882" w14:textId="77777777" w:rsidR="006A58B3" w:rsidRPr="006A58B3" w:rsidRDefault="006A58B3" w:rsidP="006A58B3">
      <w:pPr>
        <w:keepNext/>
        <w:keepLines/>
        <w:rPr>
          <w:rFonts w:asciiTheme="minorBidi" w:hAnsiTheme="minorBidi"/>
          <w:iCs/>
          <w:sz w:val="20"/>
        </w:rPr>
      </w:pPr>
    </w:p>
    <w:p w14:paraId="4748EA54"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Cet indicateur présente de manière plus détaillée l’une des composantes de l’indicateur de qualité agrégé, à savoir le temps qu’il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14:paraId="53526FF5" w14:textId="77777777" w:rsidR="006A58B3" w:rsidRPr="006A58B3" w:rsidRDefault="006A58B3" w:rsidP="006A58B3">
      <w:pPr>
        <w:rPr>
          <w:rFonts w:asciiTheme="minorBidi" w:hAnsiTheme="minorBidi"/>
          <w:sz w:val="20"/>
        </w:rPr>
      </w:pPr>
    </w:p>
    <w:p w14:paraId="1C9DE2DF" w14:textId="77777777" w:rsidR="006A58B3" w:rsidRPr="006A58B3" w:rsidRDefault="006A58B3" w:rsidP="006A58B3">
      <w:pPr>
        <w:keepNext/>
        <w:ind w:left="142"/>
        <w:jc w:val="center"/>
        <w:rPr>
          <w:rFonts w:asciiTheme="minorBidi" w:hAnsiTheme="minorBidi"/>
          <w:b/>
          <w:sz w:val="20"/>
        </w:rPr>
      </w:pPr>
      <w:r w:rsidRPr="006A58B3">
        <w:rPr>
          <w:rFonts w:asciiTheme="minorBidi" w:hAnsiTheme="minorBidi"/>
          <w:b/>
          <w:sz w:val="20"/>
        </w:rPr>
        <w:lastRenderedPageBreak/>
        <w:t>Délai de republication</w:t>
      </w:r>
    </w:p>
    <w:p w14:paraId="701548D2" w14:textId="77777777" w:rsidR="006A58B3" w:rsidRPr="006A58B3" w:rsidRDefault="006A58B3" w:rsidP="006A58B3">
      <w:pPr>
        <w:rPr>
          <w:rFonts w:asciiTheme="minorBidi" w:hAnsiTheme="minorBidi"/>
          <w:b/>
          <w:sz w:val="20"/>
        </w:rPr>
      </w:pPr>
      <w:r w:rsidRPr="006A58B3">
        <w:rPr>
          <w:noProof/>
          <w:sz w:val="20"/>
          <w:lang w:val="en-US"/>
        </w:rPr>
        <w:drawing>
          <wp:inline distT="0" distB="0" distL="0" distR="0" wp14:anchorId="63C69EC2" wp14:editId="55C57070">
            <wp:extent cx="5760085" cy="2638830"/>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2638830"/>
                    </a:xfrm>
                    <a:prstGeom prst="rect">
                      <a:avLst/>
                    </a:prstGeom>
                    <a:noFill/>
                    <a:ln>
                      <a:noFill/>
                    </a:ln>
                  </pic:spPr>
                </pic:pic>
              </a:graphicData>
            </a:graphic>
          </wp:inline>
        </w:drawing>
      </w:r>
    </w:p>
    <w:p w14:paraId="7B9788E3" w14:textId="77777777" w:rsidR="006A58B3" w:rsidRPr="006A58B3" w:rsidRDefault="006A58B3" w:rsidP="006A58B3">
      <w:pPr>
        <w:rPr>
          <w:rFonts w:asciiTheme="minorBidi" w:hAnsiTheme="minorBidi"/>
          <w:i/>
          <w:sz w:val="20"/>
        </w:rPr>
      </w:pPr>
    </w:p>
    <w:p w14:paraId="7F6B5C2E" w14:textId="77777777" w:rsidR="006A58B3" w:rsidRPr="006A58B3" w:rsidRDefault="006A58B3" w:rsidP="006A58B3">
      <w:pPr>
        <w:rPr>
          <w:rFonts w:asciiTheme="minorBidi" w:hAnsiTheme="minorBidi"/>
          <w:i/>
          <w:sz w:val="20"/>
        </w:rPr>
      </w:pPr>
    </w:p>
    <w:p w14:paraId="54BC4A52"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Qualité de la traduction</w:t>
      </w:r>
    </w:p>
    <w:p w14:paraId="567BFE22" w14:textId="77777777" w:rsidR="006A58B3" w:rsidRPr="006A58B3" w:rsidRDefault="006A58B3" w:rsidP="006A58B3">
      <w:pPr>
        <w:keepNext/>
        <w:keepLines/>
        <w:rPr>
          <w:rFonts w:asciiTheme="minorBidi" w:hAnsiTheme="minorBidi"/>
          <w:iCs/>
          <w:sz w:val="20"/>
        </w:rPr>
      </w:pPr>
    </w:p>
    <w:p w14:paraId="6DD15017"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 xml:space="preserve">Des documents dont le nombre est calculé de manière statistique sont choisis au hasard à des fins de contrôle de la qualité parmi les traductions d’abrégés et de rapports sur la brevetabilité établis sous la responsabilité du Bureau international.  L’évaluation détermine si une traduction est “acceptable” ou “non acceptable”.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“acceptables”.  La légère baisse de la qualité observée (86,0% en 2016) résulte des efforts déployés pour réduire les coûts par la </w:t>
      </w:r>
      <w:proofErr w:type="spellStart"/>
      <w:r w:rsidRPr="006A58B3">
        <w:rPr>
          <w:rFonts w:asciiTheme="minorBidi" w:hAnsiTheme="minorBidi"/>
          <w:sz w:val="20"/>
        </w:rPr>
        <w:t>postédition</w:t>
      </w:r>
      <w:proofErr w:type="spellEnd"/>
      <w:r w:rsidRPr="006A58B3">
        <w:rPr>
          <w:rFonts w:asciiTheme="minorBidi" w:hAnsiTheme="minorBidi"/>
          <w:sz w:val="20"/>
        </w:rPr>
        <w:t>.</w:t>
      </w:r>
    </w:p>
    <w:p w14:paraId="11FA7839" w14:textId="77777777" w:rsidR="006A58B3" w:rsidRPr="001303B4" w:rsidRDefault="006A58B3" w:rsidP="006A58B3">
      <w:pPr>
        <w:jc w:val="center"/>
        <w:rPr>
          <w:rFonts w:asciiTheme="minorBidi" w:hAnsiTheme="minorBidi"/>
          <w:sz w:val="20"/>
        </w:rPr>
      </w:pPr>
    </w:p>
    <w:p w14:paraId="50E2CB8B" w14:textId="77777777" w:rsidR="006A58B3" w:rsidRPr="006A58B3" w:rsidRDefault="006A58B3" w:rsidP="006A58B3">
      <w:pPr>
        <w:keepNext/>
        <w:keepLines/>
        <w:jc w:val="center"/>
        <w:rPr>
          <w:rFonts w:asciiTheme="minorBidi" w:hAnsiTheme="minorBidi"/>
          <w:b/>
          <w:sz w:val="20"/>
        </w:rPr>
      </w:pPr>
      <w:r w:rsidRPr="006A58B3">
        <w:rPr>
          <w:rFonts w:asciiTheme="minorBidi" w:hAnsiTheme="minorBidi"/>
          <w:b/>
          <w:sz w:val="20"/>
        </w:rPr>
        <w:t>Qualité de la traduction au PCT</w:t>
      </w:r>
    </w:p>
    <w:p w14:paraId="27A76D1D" w14:textId="77777777" w:rsidR="006A58B3" w:rsidRPr="006A58B3" w:rsidRDefault="006A58B3" w:rsidP="006A58B3">
      <w:pPr>
        <w:keepNext/>
        <w:keepLines/>
        <w:jc w:val="center"/>
        <w:rPr>
          <w:rFonts w:asciiTheme="minorBidi" w:hAnsiTheme="minorBidi"/>
          <w:sz w:val="20"/>
        </w:rPr>
      </w:pPr>
      <w:r w:rsidRPr="006A58B3">
        <w:rPr>
          <w:noProof/>
          <w:sz w:val="20"/>
          <w:lang w:val="en-US"/>
        </w:rPr>
        <w:drawing>
          <wp:inline distT="0" distB="0" distL="0" distR="0" wp14:anchorId="12774B1D" wp14:editId="05894386">
            <wp:extent cx="5760085" cy="356978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3569780"/>
                    </a:xfrm>
                    <a:prstGeom prst="rect">
                      <a:avLst/>
                    </a:prstGeom>
                    <a:noFill/>
                    <a:ln>
                      <a:noFill/>
                    </a:ln>
                  </pic:spPr>
                </pic:pic>
              </a:graphicData>
            </a:graphic>
          </wp:inline>
        </w:drawing>
      </w:r>
    </w:p>
    <w:p w14:paraId="5D11AE4D" w14:textId="77777777" w:rsidR="006A58B3" w:rsidRPr="006A58B3" w:rsidRDefault="006A58B3" w:rsidP="006A58B3">
      <w:pPr>
        <w:rPr>
          <w:rFonts w:asciiTheme="minorBidi" w:hAnsiTheme="minorBidi"/>
          <w:i/>
          <w:sz w:val="20"/>
        </w:rPr>
      </w:pPr>
    </w:p>
    <w:p w14:paraId="0A58A5BB"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lastRenderedPageBreak/>
        <w:t>Délais de traduction des rapports</w:t>
      </w:r>
    </w:p>
    <w:p w14:paraId="05DA9DAD" w14:textId="77777777" w:rsidR="006A58B3" w:rsidRPr="006A58B3" w:rsidRDefault="006A58B3" w:rsidP="006A58B3">
      <w:pPr>
        <w:keepNext/>
        <w:keepLines/>
        <w:rPr>
          <w:rFonts w:asciiTheme="minorBidi" w:hAnsiTheme="minorBidi"/>
          <w:iCs/>
          <w:sz w:val="20"/>
        </w:rPr>
      </w:pPr>
    </w:p>
    <w:p w14:paraId="2EDFA5CE"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Cet indicateur fournit des informations sur les délais dans lesquels le Bureau international met la traduction des rapports sur la brevetabilité à la disposition des déposants et des offices.  La part des traductions de rapports sur la brevetabilité livrées dans les 30 mois suivant la date de priorité de la demande internationale n’a cessé d’augmenter entre 2010 et 2015 avant de se stabiliser en 2015.  En 2016, 89% des traductions de rapports sur la brevetabilité étaient livrées dans les 30 mois, et 99% dans les 31 mois.</w:t>
      </w:r>
    </w:p>
    <w:p w14:paraId="54E88CE7" w14:textId="77777777" w:rsidR="006A58B3" w:rsidRPr="006A58B3" w:rsidRDefault="006A58B3" w:rsidP="006A58B3">
      <w:pPr>
        <w:jc w:val="both"/>
        <w:rPr>
          <w:rFonts w:asciiTheme="minorBidi" w:hAnsiTheme="minorBidi"/>
          <w:sz w:val="20"/>
        </w:rPr>
      </w:pPr>
    </w:p>
    <w:p w14:paraId="7872552D" w14:textId="77777777" w:rsidR="006A58B3" w:rsidRPr="006A58B3" w:rsidRDefault="006A58B3" w:rsidP="006A58B3">
      <w:pPr>
        <w:jc w:val="both"/>
        <w:rPr>
          <w:rFonts w:asciiTheme="minorBidi" w:hAnsiTheme="minorBidi"/>
          <w:sz w:val="20"/>
        </w:rPr>
      </w:pPr>
    </w:p>
    <w:p w14:paraId="553AA8B1" w14:textId="77777777" w:rsidR="006A58B3" w:rsidRPr="006A58B3" w:rsidRDefault="006A58B3" w:rsidP="006A58B3">
      <w:pPr>
        <w:spacing w:after="200"/>
        <w:jc w:val="center"/>
        <w:rPr>
          <w:rFonts w:asciiTheme="minorBidi" w:hAnsiTheme="minorBidi"/>
          <w:b/>
          <w:sz w:val="20"/>
        </w:rPr>
      </w:pPr>
      <w:r w:rsidRPr="006A58B3">
        <w:rPr>
          <w:rFonts w:asciiTheme="minorBidi" w:hAnsiTheme="minorBidi"/>
          <w:b/>
          <w:sz w:val="20"/>
        </w:rPr>
        <w:t>Délais de traduction des rapports</w:t>
      </w:r>
    </w:p>
    <w:p w14:paraId="46666631" w14:textId="77777777" w:rsidR="006A58B3" w:rsidRPr="006A58B3" w:rsidRDefault="006A58B3" w:rsidP="006A58B3">
      <w:pPr>
        <w:ind w:left="142"/>
        <w:jc w:val="center"/>
        <w:rPr>
          <w:rFonts w:asciiTheme="minorBidi" w:hAnsiTheme="minorBidi"/>
          <w:b/>
          <w:sz w:val="20"/>
        </w:rPr>
      </w:pPr>
      <w:r w:rsidRPr="006A58B3">
        <w:rPr>
          <w:noProof/>
          <w:sz w:val="20"/>
          <w:lang w:val="en-US"/>
        </w:rPr>
        <w:drawing>
          <wp:inline distT="0" distB="0" distL="0" distR="0" wp14:anchorId="7DF010B1" wp14:editId="7DBD4C29">
            <wp:extent cx="5760085" cy="2564198"/>
            <wp:effectExtent l="0" t="0" r="0" b="762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2564198"/>
                    </a:xfrm>
                    <a:prstGeom prst="rect">
                      <a:avLst/>
                    </a:prstGeom>
                    <a:noFill/>
                    <a:ln>
                      <a:noFill/>
                    </a:ln>
                  </pic:spPr>
                </pic:pic>
              </a:graphicData>
            </a:graphic>
          </wp:inline>
        </w:drawing>
      </w:r>
    </w:p>
    <w:p w14:paraId="616B421C" w14:textId="77777777" w:rsidR="006A58B3" w:rsidRPr="006A58B3" w:rsidRDefault="006A58B3" w:rsidP="006A58B3">
      <w:pPr>
        <w:rPr>
          <w:rFonts w:asciiTheme="minorBidi" w:hAnsiTheme="minorBidi"/>
          <w:i/>
          <w:sz w:val="20"/>
        </w:rPr>
      </w:pPr>
    </w:p>
    <w:p w14:paraId="6AD423FB"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Qualité de la conception des logiciels</w:t>
      </w:r>
    </w:p>
    <w:p w14:paraId="67753F07" w14:textId="77777777" w:rsidR="006A58B3" w:rsidRPr="006A58B3" w:rsidRDefault="006A58B3" w:rsidP="006A58B3">
      <w:pPr>
        <w:keepNext/>
        <w:keepLines/>
        <w:rPr>
          <w:rFonts w:asciiTheme="minorBidi" w:hAnsiTheme="minorBidi"/>
          <w:iCs/>
          <w:sz w:val="20"/>
        </w:rPr>
      </w:pPr>
    </w:p>
    <w:p w14:paraId="17FFF07F"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 xml:space="preserve">Cet indicateur donne une idée de la qualité des versions des principaux logiciels utilisés pour les projets </w:t>
      </w:r>
      <w:proofErr w:type="spellStart"/>
      <w:r w:rsidRPr="006A58B3">
        <w:rPr>
          <w:rFonts w:asciiTheme="minorBidi" w:hAnsiTheme="minorBidi"/>
          <w:sz w:val="20"/>
        </w:rPr>
        <w:t>eDossier</w:t>
      </w:r>
      <w:proofErr w:type="spellEnd"/>
      <w:r w:rsidRPr="006A58B3">
        <w:rPr>
          <w:rFonts w:asciiTheme="minorBidi" w:hAnsiTheme="minorBidi"/>
          <w:sz w:val="20"/>
        </w:rPr>
        <w:t xml:space="preserve"> et </w:t>
      </w:r>
      <w:proofErr w:type="spellStart"/>
      <w:r w:rsidRPr="006A58B3">
        <w:rPr>
          <w:rFonts w:asciiTheme="minorBidi" w:hAnsiTheme="minorBidi"/>
          <w:sz w:val="20"/>
        </w:rPr>
        <w:t>ePCT</w:t>
      </w:r>
      <w:proofErr w:type="spellEnd"/>
      <w:r w:rsidRPr="006A58B3">
        <w:rPr>
          <w:rFonts w:asciiTheme="minorBidi" w:hAnsiTheme="minorBidi"/>
          <w:sz w:val="20"/>
        </w:rPr>
        <w:t>.  Il indique la part de temps consacré à la mise en place de la nouvelle fonction dans le produit (c’est</w:t>
      </w:r>
      <w:r w:rsidRPr="006A58B3">
        <w:rPr>
          <w:rFonts w:asciiTheme="minorBidi" w:hAnsiTheme="minorBidi"/>
          <w:sz w:val="20"/>
        </w:rPr>
        <w:noBreakHyphen/>
        <w:t>à</w:t>
      </w:r>
      <w:r w:rsidRPr="006A58B3">
        <w:rPr>
          <w:rFonts w:asciiTheme="minorBidi" w:hAnsiTheme="minorBidi"/>
          <w:sz w:val="20"/>
        </w:rPr>
        <w:noBreakHyphen/>
        <w:t>dire le travail initial) par rapport au temps total (travail initial + remaniement).  Le remaniement correspond au temps passé à corriger des défauts détectés dans l’environnement de production.</w:t>
      </w:r>
    </w:p>
    <w:p w14:paraId="50BA02C4" w14:textId="77777777" w:rsidR="006A58B3" w:rsidRPr="006A58B3" w:rsidRDefault="006A58B3" w:rsidP="006A58B3">
      <w:pPr>
        <w:jc w:val="both"/>
        <w:rPr>
          <w:rFonts w:asciiTheme="minorBidi" w:hAnsiTheme="minorBidi"/>
          <w:sz w:val="20"/>
        </w:rPr>
      </w:pPr>
    </w:p>
    <w:p w14:paraId="0B08EFC0"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Selon cette approche, les produits présentant un faible niveau de remaniement sont considérés comme étant de grande qualité car ils témoignent de l’importance de la valeur ajoutée au produit par la mise en place des nouvelles caractéristiques.</w:t>
      </w:r>
    </w:p>
    <w:p w14:paraId="70E2445B" w14:textId="77777777" w:rsidR="006A58B3" w:rsidRPr="006A58B3" w:rsidRDefault="006A58B3" w:rsidP="006A58B3">
      <w:pPr>
        <w:pStyle w:val="ListParagraph"/>
        <w:rPr>
          <w:rFonts w:asciiTheme="minorBidi" w:hAnsiTheme="minorBidi"/>
          <w:sz w:val="20"/>
          <w:szCs w:val="20"/>
        </w:rPr>
      </w:pPr>
    </w:p>
    <w:p w14:paraId="33654C53"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L’indicateur de la qualité de la conception des logiciels est défini de la manière suivante :</w:t>
      </w:r>
    </w:p>
    <w:p w14:paraId="502DC9F8" w14:textId="77777777" w:rsidR="006A58B3" w:rsidRPr="006A58B3" w:rsidRDefault="006A58B3" w:rsidP="006A58B3">
      <w:pPr>
        <w:pStyle w:val="BodyText2"/>
        <w:spacing w:after="0" w:line="240" w:lineRule="auto"/>
        <w:jc w:val="both"/>
        <w:rPr>
          <w:rFonts w:asciiTheme="minorBidi" w:hAnsiTheme="minorBidi"/>
          <w:szCs w:val="20"/>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850"/>
      </w:tblGrid>
      <w:tr w:rsidR="006A58B3" w:rsidRPr="006A58B3" w14:paraId="6D1BA10F" w14:textId="77777777" w:rsidTr="00777681">
        <w:trPr>
          <w:jc w:val="center"/>
        </w:trPr>
        <w:tc>
          <w:tcPr>
            <w:tcW w:w="3686" w:type="dxa"/>
            <w:vMerge w:val="restart"/>
            <w:vAlign w:val="center"/>
          </w:tcPr>
          <w:p w14:paraId="07AA0351" w14:textId="77777777" w:rsidR="006A58B3" w:rsidRPr="006A58B3" w:rsidRDefault="006A58B3" w:rsidP="00777681">
            <w:pPr>
              <w:pStyle w:val="BodyText2"/>
              <w:spacing w:after="0" w:line="240" w:lineRule="auto"/>
              <w:jc w:val="right"/>
              <w:rPr>
                <w:rFonts w:asciiTheme="minorBidi" w:hAnsiTheme="minorBidi"/>
                <w:szCs w:val="20"/>
              </w:rPr>
            </w:pPr>
            <w:r w:rsidRPr="006A58B3">
              <w:rPr>
                <w:rFonts w:asciiTheme="minorBidi" w:hAnsiTheme="minorBidi"/>
                <w:szCs w:val="20"/>
              </w:rPr>
              <w:t xml:space="preserve">Qualité de la conception des logiciels = </w:t>
            </w:r>
          </w:p>
        </w:tc>
        <w:tc>
          <w:tcPr>
            <w:tcW w:w="2977" w:type="dxa"/>
            <w:tcBorders>
              <w:bottom w:val="single" w:sz="4" w:space="0" w:color="auto"/>
            </w:tcBorders>
          </w:tcPr>
          <w:p w14:paraId="204DF433" w14:textId="77777777" w:rsidR="006A58B3" w:rsidRPr="006A58B3" w:rsidRDefault="006A58B3" w:rsidP="00777681">
            <w:pPr>
              <w:pStyle w:val="BodyText2"/>
              <w:spacing w:after="0" w:line="240" w:lineRule="auto"/>
              <w:jc w:val="both"/>
              <w:rPr>
                <w:rFonts w:asciiTheme="minorBidi" w:hAnsiTheme="minorBidi"/>
                <w:szCs w:val="20"/>
              </w:rPr>
            </w:pPr>
            <w:r w:rsidRPr="006A58B3">
              <w:rPr>
                <w:rFonts w:asciiTheme="minorBidi" w:hAnsiTheme="minorBidi"/>
                <w:szCs w:val="20"/>
              </w:rPr>
              <w:t>Effort total pour le travail initial</w:t>
            </w:r>
          </w:p>
        </w:tc>
        <w:tc>
          <w:tcPr>
            <w:tcW w:w="850" w:type="dxa"/>
            <w:vMerge w:val="restart"/>
            <w:vAlign w:val="center"/>
          </w:tcPr>
          <w:p w14:paraId="699DFDB9" w14:textId="77777777" w:rsidR="006A58B3" w:rsidRPr="006A58B3" w:rsidRDefault="006A58B3" w:rsidP="00777681">
            <w:pPr>
              <w:pStyle w:val="BodyText2"/>
              <w:spacing w:after="0" w:line="240" w:lineRule="auto"/>
              <w:rPr>
                <w:rFonts w:asciiTheme="minorBidi" w:hAnsiTheme="minorBidi"/>
                <w:szCs w:val="20"/>
              </w:rPr>
            </w:pPr>
            <w:r w:rsidRPr="006A58B3">
              <w:rPr>
                <w:rFonts w:asciiTheme="minorBidi" w:hAnsiTheme="minorBidi"/>
                <w:szCs w:val="20"/>
              </w:rPr>
              <w:t xml:space="preserve"> * 100</w:t>
            </w:r>
          </w:p>
        </w:tc>
      </w:tr>
      <w:tr w:rsidR="006A58B3" w:rsidRPr="006A58B3" w14:paraId="348D00C8" w14:textId="77777777" w:rsidTr="00777681">
        <w:trPr>
          <w:jc w:val="center"/>
        </w:trPr>
        <w:tc>
          <w:tcPr>
            <w:tcW w:w="3686" w:type="dxa"/>
            <w:vMerge/>
          </w:tcPr>
          <w:p w14:paraId="57FEAA25" w14:textId="77777777" w:rsidR="006A58B3" w:rsidRPr="006A58B3" w:rsidRDefault="006A58B3" w:rsidP="00777681">
            <w:pPr>
              <w:pStyle w:val="BodyText2"/>
              <w:spacing w:after="0" w:line="240" w:lineRule="auto"/>
              <w:jc w:val="both"/>
              <w:rPr>
                <w:rFonts w:asciiTheme="minorBidi" w:hAnsiTheme="minorBidi"/>
                <w:szCs w:val="20"/>
              </w:rPr>
            </w:pPr>
          </w:p>
        </w:tc>
        <w:tc>
          <w:tcPr>
            <w:tcW w:w="2977" w:type="dxa"/>
            <w:tcBorders>
              <w:top w:val="single" w:sz="4" w:space="0" w:color="auto"/>
            </w:tcBorders>
          </w:tcPr>
          <w:p w14:paraId="5FD22448" w14:textId="77777777" w:rsidR="006A58B3" w:rsidRPr="006A58B3" w:rsidRDefault="006A58B3" w:rsidP="00777681">
            <w:pPr>
              <w:pStyle w:val="BodyText2"/>
              <w:spacing w:after="0" w:line="240" w:lineRule="auto"/>
              <w:jc w:val="both"/>
              <w:rPr>
                <w:rFonts w:asciiTheme="minorBidi" w:hAnsiTheme="minorBidi"/>
                <w:szCs w:val="20"/>
              </w:rPr>
            </w:pPr>
            <w:r w:rsidRPr="006A58B3">
              <w:rPr>
                <w:rFonts w:asciiTheme="minorBidi" w:hAnsiTheme="minorBidi"/>
                <w:szCs w:val="20"/>
              </w:rPr>
              <w:t>Travail initial + remaniement</w:t>
            </w:r>
          </w:p>
        </w:tc>
        <w:tc>
          <w:tcPr>
            <w:tcW w:w="850" w:type="dxa"/>
            <w:vMerge/>
          </w:tcPr>
          <w:p w14:paraId="1BC6CC01" w14:textId="77777777" w:rsidR="006A58B3" w:rsidRPr="006A58B3" w:rsidRDefault="006A58B3" w:rsidP="00777681">
            <w:pPr>
              <w:pStyle w:val="BodyText2"/>
              <w:spacing w:after="0" w:line="240" w:lineRule="auto"/>
              <w:jc w:val="both"/>
              <w:rPr>
                <w:rFonts w:asciiTheme="minorBidi" w:hAnsiTheme="minorBidi"/>
                <w:szCs w:val="20"/>
              </w:rPr>
            </w:pPr>
          </w:p>
        </w:tc>
      </w:tr>
    </w:tbl>
    <w:p w14:paraId="2063B7E6" w14:textId="77777777" w:rsidR="006A58B3" w:rsidRPr="006A58B3" w:rsidRDefault="006A58B3" w:rsidP="006A58B3">
      <w:pPr>
        <w:pStyle w:val="BodyText2"/>
        <w:spacing w:after="0" w:line="240" w:lineRule="auto"/>
        <w:jc w:val="both"/>
        <w:rPr>
          <w:rFonts w:asciiTheme="minorBidi" w:hAnsiTheme="minorBidi"/>
          <w:szCs w:val="20"/>
        </w:rPr>
      </w:pPr>
    </w:p>
    <w:p w14:paraId="2C92B1B9" w14:textId="77777777" w:rsidR="006A58B3" w:rsidRPr="006A58B3" w:rsidRDefault="006A58B3" w:rsidP="006A58B3">
      <w:pPr>
        <w:jc w:val="center"/>
        <w:rPr>
          <w:rFonts w:asciiTheme="minorBidi" w:hAnsiTheme="minorBidi"/>
          <w:b/>
          <w:sz w:val="20"/>
        </w:rPr>
      </w:pPr>
    </w:p>
    <w:p w14:paraId="12B8BE68" w14:textId="77777777" w:rsidR="006A58B3" w:rsidRPr="006A58B3" w:rsidRDefault="006A58B3" w:rsidP="006A58B3">
      <w:pPr>
        <w:keepNext/>
        <w:keepLines/>
        <w:jc w:val="center"/>
        <w:rPr>
          <w:rFonts w:asciiTheme="minorBidi" w:hAnsiTheme="minorBidi"/>
          <w:b/>
          <w:sz w:val="20"/>
        </w:rPr>
      </w:pPr>
      <w:r w:rsidRPr="006A58B3">
        <w:rPr>
          <w:rFonts w:asciiTheme="minorBidi" w:hAnsiTheme="minorBidi"/>
          <w:b/>
          <w:sz w:val="20"/>
        </w:rPr>
        <w:lastRenderedPageBreak/>
        <w:t>Qualité de la conception des logiciels</w:t>
      </w:r>
    </w:p>
    <w:p w14:paraId="546D5819" w14:textId="77777777" w:rsidR="006A58B3" w:rsidRPr="006A58B3" w:rsidRDefault="006A58B3" w:rsidP="006A58B3">
      <w:pPr>
        <w:keepNext/>
        <w:keepLines/>
        <w:jc w:val="center"/>
        <w:rPr>
          <w:rFonts w:asciiTheme="minorBidi" w:hAnsiTheme="minorBidi"/>
          <w:b/>
          <w:sz w:val="20"/>
        </w:rPr>
      </w:pPr>
      <w:r w:rsidRPr="006A58B3">
        <w:rPr>
          <w:noProof/>
          <w:sz w:val="20"/>
          <w:lang w:val="en-US"/>
        </w:rPr>
        <w:drawing>
          <wp:inline distT="0" distB="0" distL="0" distR="0" wp14:anchorId="621FB675" wp14:editId="5BB46DBB">
            <wp:extent cx="5760085" cy="3684008"/>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3684008"/>
                    </a:xfrm>
                    <a:prstGeom prst="rect">
                      <a:avLst/>
                    </a:prstGeom>
                    <a:noFill/>
                    <a:ln>
                      <a:noFill/>
                    </a:ln>
                  </pic:spPr>
                </pic:pic>
              </a:graphicData>
            </a:graphic>
          </wp:inline>
        </w:drawing>
      </w:r>
    </w:p>
    <w:p w14:paraId="01D99964" w14:textId="77777777" w:rsidR="006A58B3" w:rsidRPr="006A58B3" w:rsidRDefault="006A58B3" w:rsidP="006A58B3">
      <w:pPr>
        <w:keepNext/>
        <w:keepLines/>
        <w:jc w:val="center"/>
        <w:rPr>
          <w:rFonts w:asciiTheme="minorBidi" w:hAnsiTheme="minorBidi"/>
          <w:sz w:val="20"/>
        </w:rPr>
      </w:pPr>
    </w:p>
    <w:p w14:paraId="13DE50CC" w14:textId="77777777" w:rsidR="006A58B3" w:rsidRPr="006A58B3" w:rsidRDefault="006A58B3" w:rsidP="006A58B3">
      <w:pPr>
        <w:rPr>
          <w:rFonts w:asciiTheme="minorBidi" w:hAnsiTheme="minorBidi"/>
          <w:i/>
          <w:sz w:val="20"/>
        </w:rPr>
      </w:pPr>
    </w:p>
    <w:p w14:paraId="52CE4FD1"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Niveaux de service des systèmes d’information</w:t>
      </w:r>
    </w:p>
    <w:p w14:paraId="4FD8EE20" w14:textId="77777777" w:rsidR="006A58B3" w:rsidRPr="006A58B3" w:rsidRDefault="006A58B3" w:rsidP="006A58B3">
      <w:pPr>
        <w:keepNext/>
        <w:keepLines/>
        <w:rPr>
          <w:rFonts w:asciiTheme="minorBidi" w:hAnsiTheme="minorBidi"/>
          <w:iCs/>
          <w:sz w:val="20"/>
        </w:rPr>
      </w:pPr>
    </w:p>
    <w:p w14:paraId="50341C5D" w14:textId="77777777" w:rsidR="006A58B3" w:rsidRPr="006A58B3" w:rsidRDefault="006A58B3" w:rsidP="006A58B3">
      <w:pPr>
        <w:numPr>
          <w:ilvl w:val="0"/>
          <w:numId w:val="51"/>
        </w:numPr>
        <w:rPr>
          <w:rFonts w:asciiTheme="minorBidi" w:hAnsiTheme="minorBidi"/>
          <w:color w:val="000000"/>
          <w:sz w:val="20"/>
          <w:lang w:eastAsia="en-GB"/>
        </w:rPr>
      </w:pPr>
      <w:r w:rsidRPr="006A58B3">
        <w:rPr>
          <w:rFonts w:asciiTheme="minorBidi" w:hAnsiTheme="minorBidi"/>
          <w:sz w:val="20"/>
        </w:rPr>
        <w:t>L’indicateur d’exécution intitulé “niveaux de service des systèmes d’information” mesure l’exécution du service fourni par le Service des systèmes informatiques du PCT aux utilisateurs, sur la base de sa capacité à atteindre les objectifs convenus.</w:t>
      </w:r>
    </w:p>
    <w:p w14:paraId="7A30F459" w14:textId="77777777" w:rsidR="006A58B3" w:rsidRPr="006A58B3" w:rsidRDefault="006A58B3" w:rsidP="006A58B3">
      <w:pPr>
        <w:pStyle w:val="BodyText2"/>
        <w:spacing w:after="0" w:line="240" w:lineRule="auto"/>
        <w:jc w:val="both"/>
        <w:rPr>
          <w:rFonts w:asciiTheme="minorBidi" w:hAnsiTheme="minorBidi"/>
          <w:szCs w:val="20"/>
        </w:rPr>
      </w:pPr>
    </w:p>
    <w:p w14:paraId="431AEEFF" w14:textId="77777777" w:rsidR="006A58B3" w:rsidRPr="006A58B3" w:rsidRDefault="006A58B3" w:rsidP="006A58B3">
      <w:pPr>
        <w:numPr>
          <w:ilvl w:val="0"/>
          <w:numId w:val="51"/>
        </w:numPr>
        <w:rPr>
          <w:rFonts w:asciiTheme="minorBidi" w:hAnsiTheme="minorBidi"/>
          <w:color w:val="000000"/>
          <w:sz w:val="20"/>
          <w:lang w:eastAsia="en-GB"/>
        </w:rPr>
      </w:pPr>
      <w:r w:rsidRPr="006A58B3">
        <w:rPr>
          <w:rFonts w:asciiTheme="minorBidi" w:hAnsiTheme="minorBidi"/>
          <w:sz w:val="20"/>
        </w:rPr>
        <w:t>Cet indicateur composite est calculé au moyen de la moyenne pondérée de cinq indicateurs d’exécution axés sur les objectifs</w:t>
      </w:r>
      <w:r w:rsidRPr="006A58B3">
        <w:rPr>
          <w:rStyle w:val="FootnoteReference"/>
          <w:rFonts w:asciiTheme="minorBidi" w:eastAsiaTheme="minorEastAsia" w:hAnsiTheme="minorBidi"/>
          <w:sz w:val="20"/>
        </w:rPr>
        <w:footnoteReference w:id="25"/>
      </w:r>
      <w:r w:rsidRPr="006A58B3">
        <w:rPr>
          <w:rFonts w:asciiTheme="minorBidi" w:hAnsiTheme="minorBidi"/>
          <w:color w:val="000000"/>
          <w:sz w:val="20"/>
          <w:lang w:eastAsia="en-GB"/>
        </w:rPr>
        <w:t>.  Chaque indicateur est exprimé en pourcentage de l’objectif effectivement atteint.</w:t>
      </w:r>
    </w:p>
    <w:p w14:paraId="7B4F7F6E" w14:textId="77777777" w:rsidR="006A58B3" w:rsidRPr="006A58B3" w:rsidRDefault="006A58B3" w:rsidP="006A58B3">
      <w:pPr>
        <w:autoSpaceDE w:val="0"/>
        <w:autoSpaceDN w:val="0"/>
        <w:adjustRightInd w:val="0"/>
        <w:jc w:val="both"/>
        <w:rPr>
          <w:rFonts w:asciiTheme="minorBidi" w:hAnsiTheme="minorBidi"/>
          <w:color w:val="000000"/>
          <w:sz w:val="20"/>
          <w:lang w:eastAsia="en-GB"/>
        </w:rPr>
      </w:pPr>
    </w:p>
    <w:p w14:paraId="33D89426" w14:textId="77777777" w:rsidR="006A58B3" w:rsidRPr="006A58B3" w:rsidRDefault="006A58B3" w:rsidP="006A58B3">
      <w:pPr>
        <w:numPr>
          <w:ilvl w:val="0"/>
          <w:numId w:val="51"/>
        </w:numPr>
        <w:autoSpaceDE w:val="0"/>
        <w:autoSpaceDN w:val="0"/>
        <w:adjustRightInd w:val="0"/>
        <w:jc w:val="both"/>
        <w:rPr>
          <w:rFonts w:asciiTheme="minorBidi" w:hAnsiTheme="minorBidi"/>
          <w:sz w:val="20"/>
        </w:rPr>
      </w:pPr>
      <w:r w:rsidRPr="006A58B3">
        <w:rPr>
          <w:rFonts w:asciiTheme="minorBidi" w:hAnsiTheme="minorBidi"/>
          <w:sz w:val="20"/>
        </w:rPr>
        <w:t>En 2016, le niveau de service général a augmenté pour la troisième année consécutive, atteignant les 97,1%.</w:t>
      </w:r>
    </w:p>
    <w:p w14:paraId="16B852F2" w14:textId="77777777" w:rsidR="006A58B3" w:rsidRPr="006A58B3" w:rsidRDefault="006A58B3" w:rsidP="006A58B3">
      <w:pPr>
        <w:rPr>
          <w:rFonts w:asciiTheme="minorBidi" w:hAnsiTheme="minorBidi"/>
          <w:sz w:val="20"/>
        </w:rPr>
      </w:pPr>
    </w:p>
    <w:p w14:paraId="3852B8EC" w14:textId="77777777" w:rsidR="006A58B3" w:rsidRPr="001303B4" w:rsidRDefault="006A58B3" w:rsidP="006A58B3">
      <w:pPr>
        <w:keepNext/>
        <w:keepLines/>
        <w:jc w:val="center"/>
        <w:rPr>
          <w:rFonts w:asciiTheme="minorBidi" w:hAnsiTheme="minorBidi"/>
          <w:b/>
          <w:sz w:val="20"/>
        </w:rPr>
      </w:pPr>
      <w:r w:rsidRPr="006A58B3">
        <w:rPr>
          <w:rFonts w:asciiTheme="minorBidi" w:hAnsiTheme="minorBidi"/>
          <w:b/>
          <w:sz w:val="20"/>
        </w:rPr>
        <w:lastRenderedPageBreak/>
        <w:t>Niveaux de service des systèmes d’information</w:t>
      </w:r>
    </w:p>
    <w:p w14:paraId="588D199D" w14:textId="77777777" w:rsidR="006A58B3" w:rsidRPr="001303B4" w:rsidRDefault="006A58B3" w:rsidP="006A58B3">
      <w:pPr>
        <w:keepNext/>
        <w:keepLines/>
        <w:rPr>
          <w:rFonts w:asciiTheme="minorBidi" w:hAnsiTheme="minorBidi"/>
          <w:b/>
          <w:sz w:val="20"/>
        </w:rPr>
      </w:pPr>
    </w:p>
    <w:p w14:paraId="381C7ABF" w14:textId="77777777" w:rsidR="006A58B3" w:rsidRPr="001303B4" w:rsidRDefault="006A58B3" w:rsidP="006A58B3">
      <w:pPr>
        <w:rPr>
          <w:rFonts w:asciiTheme="minorBidi" w:hAnsiTheme="minorBidi"/>
          <w:b/>
          <w:sz w:val="20"/>
        </w:rPr>
      </w:pPr>
      <w:r w:rsidRPr="006A58B3">
        <w:rPr>
          <w:noProof/>
          <w:sz w:val="20"/>
          <w:lang w:val="en-US"/>
        </w:rPr>
        <w:drawing>
          <wp:inline distT="0" distB="0" distL="0" distR="0" wp14:anchorId="35EDC1E6" wp14:editId="2974C985">
            <wp:extent cx="5760085" cy="3590058"/>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3590058"/>
                    </a:xfrm>
                    <a:prstGeom prst="rect">
                      <a:avLst/>
                    </a:prstGeom>
                    <a:noFill/>
                    <a:ln>
                      <a:noFill/>
                    </a:ln>
                  </pic:spPr>
                </pic:pic>
              </a:graphicData>
            </a:graphic>
          </wp:inline>
        </w:drawing>
      </w:r>
    </w:p>
    <w:p w14:paraId="379DBBA4" w14:textId="77777777" w:rsidR="006A58B3" w:rsidRPr="001303B4" w:rsidRDefault="006A58B3" w:rsidP="006A58B3">
      <w:pPr>
        <w:rPr>
          <w:rFonts w:asciiTheme="minorBidi" w:hAnsiTheme="minorBidi"/>
          <w:b/>
          <w:sz w:val="20"/>
        </w:rPr>
      </w:pPr>
    </w:p>
    <w:p w14:paraId="39345CA5" w14:textId="77777777" w:rsidR="006A58B3" w:rsidRPr="006A58B3" w:rsidRDefault="006A58B3" w:rsidP="006A58B3">
      <w:pPr>
        <w:tabs>
          <w:tab w:val="left" w:pos="567"/>
        </w:tabs>
        <w:spacing w:before="120" w:after="240"/>
        <w:rPr>
          <w:rFonts w:asciiTheme="minorBidi" w:eastAsiaTheme="minorHAnsi" w:hAnsiTheme="minorBidi"/>
          <w:b/>
          <w:sz w:val="20"/>
        </w:rPr>
      </w:pPr>
      <w:r w:rsidRPr="006A58B3">
        <w:rPr>
          <w:b/>
          <w:sz w:val="20"/>
        </w:rPr>
        <w:t>Bureau international agissant en tant qu’office récepteur (RO/IB)</w:t>
      </w:r>
    </w:p>
    <w:p w14:paraId="28D2E628"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Dépôts</w:t>
      </w:r>
    </w:p>
    <w:p w14:paraId="3DD4598F" w14:textId="77777777" w:rsidR="006A58B3" w:rsidRPr="006A58B3" w:rsidRDefault="006A58B3" w:rsidP="006A58B3">
      <w:pPr>
        <w:keepNext/>
        <w:keepLines/>
        <w:rPr>
          <w:rFonts w:asciiTheme="minorBidi" w:hAnsiTheme="minorBidi"/>
          <w:iCs/>
          <w:sz w:val="20"/>
        </w:rPr>
      </w:pPr>
    </w:p>
    <w:p w14:paraId="167C924D"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Ce tableau indique les 10 principaux offices récepteurs classés en fonction du nombre de demandes déposées selon le PCT au cours des cinq dernières années, jusqu’en 2016.  En principe, une demande selon le PCT est déposée auprès de l’office des brevets national du pays d’origine du déposant ou d’un office de brevets régional agissant au nom de la juridiction dont relève le déposant.  Le Bureau international est compétent pour agir en qualité d’office récepteur pour les déposants de tous les États contractants du PCT.  L’évolution des dépôts auprès du Bureau international, le classement de celui</w:t>
      </w:r>
      <w:r w:rsidRPr="006A58B3">
        <w:rPr>
          <w:rFonts w:asciiTheme="minorBidi" w:hAnsiTheme="minorBidi"/>
          <w:sz w:val="20"/>
        </w:rPr>
        <w:noBreakHyphen/>
        <w:t>ci par rapport à d’autres offices récepteurs et sa part de marché sont indiqués dans ce tableau.</w:t>
      </w:r>
    </w:p>
    <w:p w14:paraId="44055529" w14:textId="77777777" w:rsidR="006A58B3" w:rsidRPr="001303B4" w:rsidRDefault="006A58B3" w:rsidP="006A58B3">
      <w:pPr>
        <w:jc w:val="both"/>
        <w:rPr>
          <w:rFonts w:asciiTheme="minorBidi" w:hAnsiTheme="minorBidi"/>
          <w:sz w:val="20"/>
        </w:rPr>
      </w:pPr>
    </w:p>
    <w:p w14:paraId="1BA0E0C9" w14:textId="77777777" w:rsidR="006A58B3" w:rsidRPr="006A58B3" w:rsidRDefault="006A58B3" w:rsidP="006A58B3">
      <w:pPr>
        <w:keepNext/>
        <w:keepLines/>
        <w:jc w:val="center"/>
        <w:rPr>
          <w:rFonts w:asciiTheme="minorBidi" w:hAnsiTheme="minorBidi"/>
          <w:sz w:val="20"/>
        </w:rPr>
      </w:pPr>
      <w:r w:rsidRPr="006A58B3">
        <w:rPr>
          <w:rFonts w:asciiTheme="minorBidi" w:hAnsiTheme="minorBidi"/>
          <w:b/>
          <w:sz w:val="20"/>
        </w:rPr>
        <w:lastRenderedPageBreak/>
        <w:t>Nombre de demandes selon le PCT reçues par les 10 principaux offices récepteurs</w:t>
      </w:r>
    </w:p>
    <w:p w14:paraId="05DC3F29" w14:textId="77777777" w:rsidR="006A58B3" w:rsidRPr="006A58B3" w:rsidRDefault="006A58B3" w:rsidP="006A58B3">
      <w:pPr>
        <w:keepNext/>
        <w:keepLines/>
        <w:jc w:val="both"/>
        <w:rPr>
          <w:rFonts w:asciiTheme="minorBidi" w:hAnsiTheme="minorBidi"/>
          <w:sz w:val="20"/>
        </w:rPr>
      </w:pPr>
    </w:p>
    <w:p w14:paraId="6D6FCDF3" w14:textId="77777777" w:rsidR="006A58B3" w:rsidRPr="006A58B3" w:rsidRDefault="006A58B3" w:rsidP="006A58B3">
      <w:pPr>
        <w:rPr>
          <w:rFonts w:asciiTheme="minorBidi" w:hAnsiTheme="minorBidi"/>
          <w:sz w:val="20"/>
        </w:rPr>
      </w:pPr>
      <w:r w:rsidRPr="006A58B3">
        <w:rPr>
          <w:noProof/>
          <w:sz w:val="20"/>
          <w:lang w:val="en-US"/>
        </w:rPr>
        <w:drawing>
          <wp:inline distT="0" distB="0" distL="0" distR="0" wp14:anchorId="60A6DCE9" wp14:editId="7C75CFCD">
            <wp:extent cx="5760085" cy="3173292"/>
            <wp:effectExtent l="0" t="0" r="0" b="825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173292"/>
                    </a:xfrm>
                    <a:prstGeom prst="rect">
                      <a:avLst/>
                    </a:prstGeom>
                    <a:noFill/>
                    <a:ln>
                      <a:noFill/>
                    </a:ln>
                  </pic:spPr>
                </pic:pic>
              </a:graphicData>
            </a:graphic>
          </wp:inline>
        </w:drawing>
      </w:r>
    </w:p>
    <w:p w14:paraId="753CDD1C" w14:textId="77777777" w:rsidR="006A58B3" w:rsidRPr="006A58B3" w:rsidRDefault="006A58B3" w:rsidP="006A58B3">
      <w:pPr>
        <w:rPr>
          <w:rFonts w:asciiTheme="minorBidi" w:hAnsiTheme="minorBidi"/>
          <w:sz w:val="20"/>
        </w:rPr>
      </w:pPr>
    </w:p>
    <w:p w14:paraId="3AFB6259"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Délai de notification de la date de dépôt international</w:t>
      </w:r>
    </w:p>
    <w:p w14:paraId="58F8CED1" w14:textId="77777777" w:rsidR="006A58B3" w:rsidRPr="006A58B3" w:rsidRDefault="006A58B3" w:rsidP="006A58B3">
      <w:pPr>
        <w:keepNext/>
        <w:keepLines/>
        <w:rPr>
          <w:rFonts w:asciiTheme="minorBidi" w:hAnsiTheme="minorBidi"/>
          <w:iCs/>
          <w:sz w:val="20"/>
        </w:rPr>
      </w:pPr>
    </w:p>
    <w:p w14:paraId="5C2303A3"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Cet indicateur rend compte du temps qu’il faut au Bureau international agissant en tant qu’office récepteur pour émettre le formulaire 105.  Ce formulaire est émis après l’attribution de la date de dépôt international.  Les déposants apprécient de recevoir ce formulaire le plus tôt possible car une demande internationale a l’effet d’une demande nationale ordinaire dans chaque État désigné à compter de la date de dépôt international, qui sera considérée comme la date de dépôt effective dans chaque État désigné.</w:t>
      </w:r>
    </w:p>
    <w:p w14:paraId="464F6AA4" w14:textId="77777777" w:rsidR="006A58B3" w:rsidRPr="006A58B3" w:rsidRDefault="006A58B3" w:rsidP="006A58B3">
      <w:pPr>
        <w:pStyle w:val="BodyText2"/>
        <w:spacing w:after="0" w:line="240" w:lineRule="auto"/>
        <w:jc w:val="both"/>
        <w:rPr>
          <w:rFonts w:asciiTheme="minorBidi" w:hAnsiTheme="minorBidi"/>
          <w:szCs w:val="20"/>
        </w:rPr>
      </w:pPr>
    </w:p>
    <w:p w14:paraId="6FBAFB07" w14:textId="77777777" w:rsidR="006A58B3" w:rsidRPr="006A58B3" w:rsidRDefault="006A58B3" w:rsidP="006A58B3">
      <w:pPr>
        <w:pStyle w:val="PlainText"/>
        <w:jc w:val="center"/>
        <w:rPr>
          <w:rFonts w:asciiTheme="minorBidi" w:hAnsiTheme="minorBidi" w:cstheme="minorBidi"/>
          <w:b/>
          <w:color w:val="auto"/>
        </w:rPr>
      </w:pPr>
      <w:r w:rsidRPr="006A58B3">
        <w:rPr>
          <w:rFonts w:asciiTheme="minorBidi" w:hAnsiTheme="minorBidi" w:cstheme="minorBidi"/>
          <w:b/>
          <w:color w:val="auto"/>
        </w:rPr>
        <w:t>Délai de notification de la date de dépôt international</w:t>
      </w:r>
    </w:p>
    <w:p w14:paraId="733D397F" w14:textId="77777777" w:rsidR="006A58B3" w:rsidRPr="006A58B3" w:rsidRDefault="006A58B3" w:rsidP="006A58B3">
      <w:pPr>
        <w:rPr>
          <w:rFonts w:asciiTheme="minorBidi" w:hAnsiTheme="minorBidi"/>
          <w:i/>
          <w:sz w:val="20"/>
        </w:rPr>
      </w:pPr>
      <w:r w:rsidRPr="006A58B3">
        <w:rPr>
          <w:noProof/>
          <w:sz w:val="20"/>
          <w:lang w:val="en-US"/>
        </w:rPr>
        <w:drawing>
          <wp:inline distT="0" distB="0" distL="0" distR="0" wp14:anchorId="4EB1E0A9" wp14:editId="19049088">
            <wp:extent cx="5760085" cy="274768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747687"/>
                    </a:xfrm>
                    <a:prstGeom prst="rect">
                      <a:avLst/>
                    </a:prstGeom>
                    <a:noFill/>
                    <a:ln>
                      <a:noFill/>
                    </a:ln>
                  </pic:spPr>
                </pic:pic>
              </a:graphicData>
            </a:graphic>
          </wp:inline>
        </w:drawing>
      </w:r>
    </w:p>
    <w:p w14:paraId="0ED3A404" w14:textId="77777777" w:rsidR="006A58B3" w:rsidRPr="006A58B3" w:rsidRDefault="006A58B3" w:rsidP="006A58B3">
      <w:pPr>
        <w:rPr>
          <w:rFonts w:asciiTheme="minorBidi" w:hAnsiTheme="minorBidi"/>
          <w:i/>
          <w:sz w:val="20"/>
        </w:rPr>
      </w:pPr>
    </w:p>
    <w:p w14:paraId="6847F010" w14:textId="77777777" w:rsidR="006A58B3" w:rsidRPr="006A58B3" w:rsidRDefault="006A58B3" w:rsidP="006A58B3">
      <w:pPr>
        <w:keepNext/>
        <w:keepLines/>
        <w:rPr>
          <w:rFonts w:asciiTheme="minorBidi" w:hAnsiTheme="minorBidi"/>
          <w:i/>
          <w:sz w:val="20"/>
        </w:rPr>
      </w:pPr>
      <w:r w:rsidRPr="006A58B3">
        <w:rPr>
          <w:rFonts w:asciiTheme="minorBidi" w:hAnsiTheme="minorBidi"/>
          <w:i/>
          <w:sz w:val="20"/>
        </w:rPr>
        <w:t>Délai de transmission de la copie de recherche</w:t>
      </w:r>
    </w:p>
    <w:p w14:paraId="2AD18203" w14:textId="77777777" w:rsidR="006A58B3" w:rsidRPr="006A58B3" w:rsidRDefault="006A58B3" w:rsidP="006A58B3">
      <w:pPr>
        <w:keepNext/>
        <w:keepLines/>
        <w:rPr>
          <w:rFonts w:asciiTheme="minorBidi" w:hAnsiTheme="minorBidi"/>
          <w:iCs/>
          <w:sz w:val="20"/>
        </w:rPr>
      </w:pPr>
    </w:p>
    <w:p w14:paraId="42756BA8" w14:textId="77777777" w:rsidR="006A58B3" w:rsidRPr="006A58B3" w:rsidRDefault="006A58B3" w:rsidP="006A58B3">
      <w:pPr>
        <w:numPr>
          <w:ilvl w:val="0"/>
          <w:numId w:val="51"/>
        </w:numPr>
        <w:jc w:val="both"/>
        <w:rPr>
          <w:rFonts w:asciiTheme="minorBidi" w:hAnsiTheme="minorBidi"/>
          <w:sz w:val="20"/>
        </w:rPr>
      </w:pPr>
      <w:r w:rsidRPr="006A58B3">
        <w:rPr>
          <w:rFonts w:asciiTheme="minorBidi" w:hAnsiTheme="minorBidi"/>
          <w:sz w:val="20"/>
        </w:rPr>
        <w:t xml:space="preserve">Cet indicateur rend compte du temps qu’il faut au Bureau international agissant en tant qu’office récepteur pour transmettre les copies de recherche aux administrations chargées de la recherche internationale.  La copie de recherche doit être transmise rapidement après paiement de la taxe de recherche afin que l’administration chargée de la recherche internationale puisse établir le rapport de recherche internationale dans les délais fixés par le cadre réglementaire du PCT.  Les retards de </w:t>
      </w:r>
      <w:r w:rsidRPr="006A58B3">
        <w:rPr>
          <w:rFonts w:asciiTheme="minorBidi" w:hAnsiTheme="minorBidi"/>
          <w:sz w:val="20"/>
        </w:rPr>
        <w:lastRenderedPageBreak/>
        <w:t>paiement de la taxe retardent la transmission des copies de recherche aux administrations charges de la recherche internationale et ont donc un impact négatif sur la capacité de ces administrations de respecter ces délais.</w:t>
      </w:r>
    </w:p>
    <w:p w14:paraId="2DAFD935" w14:textId="77777777" w:rsidR="006A58B3" w:rsidRPr="006A58B3" w:rsidRDefault="006A58B3" w:rsidP="006A58B3">
      <w:pPr>
        <w:rPr>
          <w:rFonts w:asciiTheme="minorBidi" w:hAnsiTheme="minorBidi"/>
          <w:sz w:val="20"/>
        </w:rPr>
      </w:pPr>
    </w:p>
    <w:p w14:paraId="4E2CA38A" w14:textId="77777777" w:rsidR="006A58B3" w:rsidRPr="006A58B3" w:rsidRDefault="006A58B3" w:rsidP="006A58B3">
      <w:pPr>
        <w:pStyle w:val="PlainText"/>
        <w:keepNext/>
        <w:keepLines/>
        <w:jc w:val="center"/>
        <w:rPr>
          <w:rFonts w:asciiTheme="minorBidi" w:hAnsiTheme="minorBidi" w:cstheme="minorBidi"/>
          <w:b/>
          <w:color w:val="auto"/>
        </w:rPr>
      </w:pPr>
      <w:r w:rsidRPr="006A58B3">
        <w:rPr>
          <w:rFonts w:asciiTheme="minorBidi" w:hAnsiTheme="minorBidi" w:cstheme="minorBidi"/>
          <w:b/>
          <w:color w:val="auto"/>
        </w:rPr>
        <w:t>Délai de transmission de la copie de recherche</w:t>
      </w:r>
    </w:p>
    <w:p w14:paraId="218AC472" w14:textId="77777777" w:rsidR="006A58B3" w:rsidRDefault="006A58B3" w:rsidP="006A58B3">
      <w:pPr>
        <w:keepNext/>
        <w:keepLines/>
        <w:rPr>
          <w:rFonts w:asciiTheme="minorBidi" w:hAnsiTheme="minorBidi"/>
          <w:sz w:val="20"/>
        </w:rPr>
      </w:pPr>
      <w:r w:rsidRPr="006A58B3">
        <w:rPr>
          <w:noProof/>
          <w:sz w:val="20"/>
          <w:lang w:val="en-US"/>
        </w:rPr>
        <w:drawing>
          <wp:inline distT="0" distB="0" distL="0" distR="0" wp14:anchorId="5F2982C7" wp14:editId="568AF02C">
            <wp:extent cx="5760085" cy="2814915"/>
            <wp:effectExtent l="0" t="0" r="0" b="508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814915"/>
                    </a:xfrm>
                    <a:prstGeom prst="rect">
                      <a:avLst/>
                    </a:prstGeom>
                    <a:noFill/>
                    <a:ln>
                      <a:noFill/>
                    </a:ln>
                  </pic:spPr>
                </pic:pic>
              </a:graphicData>
            </a:graphic>
          </wp:inline>
        </w:drawing>
      </w:r>
    </w:p>
    <w:p w14:paraId="274A6CC5" w14:textId="77777777" w:rsidR="006A58B3" w:rsidRPr="006A58B3" w:rsidRDefault="006A58B3" w:rsidP="006A58B3">
      <w:pPr>
        <w:keepNext/>
        <w:keepLines/>
        <w:jc w:val="right"/>
        <w:rPr>
          <w:rFonts w:asciiTheme="minorBidi" w:hAnsiTheme="minorBidi"/>
          <w:sz w:val="20"/>
        </w:rPr>
      </w:pPr>
    </w:p>
    <w:p w14:paraId="34930B5D" w14:textId="77777777" w:rsidR="006A58B3" w:rsidRDefault="006A58B3" w:rsidP="006A58B3">
      <w:pPr>
        <w:pStyle w:val="ListParagraph"/>
        <w:ind w:left="0" w:hanging="11"/>
        <w:jc w:val="right"/>
        <w:rPr>
          <w:rFonts w:asciiTheme="minorBidi" w:hAnsiTheme="minorBidi"/>
          <w:sz w:val="20"/>
          <w:szCs w:val="20"/>
        </w:rPr>
      </w:pPr>
      <w:r w:rsidRPr="006A58B3">
        <w:rPr>
          <w:rFonts w:asciiTheme="minorBidi" w:hAnsiTheme="minorBidi"/>
          <w:sz w:val="20"/>
          <w:szCs w:val="20"/>
        </w:rPr>
        <w:t>[Fin de l’annexe]</w:t>
      </w:r>
    </w:p>
    <w:p w14:paraId="755A610F" w14:textId="77777777" w:rsidR="006A58B3" w:rsidRDefault="006A58B3" w:rsidP="006A58B3">
      <w:pPr>
        <w:pStyle w:val="ListParagraph"/>
        <w:ind w:left="0" w:hanging="11"/>
        <w:rPr>
          <w:rFonts w:asciiTheme="minorBidi" w:hAnsiTheme="minorBidi"/>
          <w:sz w:val="20"/>
          <w:szCs w:val="20"/>
        </w:rPr>
      </w:pPr>
    </w:p>
    <w:p w14:paraId="639EFEB0" w14:textId="0827AE67" w:rsidR="006A58B3" w:rsidRDefault="006A58B3" w:rsidP="006A58B3">
      <w:pPr>
        <w:pStyle w:val="ListParagraph"/>
        <w:ind w:left="0" w:hanging="11"/>
        <w:rPr>
          <w:lang w:eastAsia="en-US"/>
        </w:rPr>
      </w:pPr>
      <w:r>
        <w:rPr>
          <w:lang w:eastAsia="en-US"/>
        </w:rPr>
        <w:br w:type="page"/>
      </w:r>
    </w:p>
    <w:p w14:paraId="5E8B5539" w14:textId="77777777" w:rsidR="00561B47" w:rsidRPr="00266EB9" w:rsidRDefault="00561B47" w:rsidP="006658D5">
      <w:pPr>
        <w:pStyle w:val="Heading3"/>
      </w:pPr>
      <w:bookmarkStart w:id="30" w:name="_Toc482774595"/>
      <w:r w:rsidRPr="00266EB9">
        <w:lastRenderedPageBreak/>
        <w:t>Programme 6</w:t>
      </w:r>
      <w:r w:rsidRPr="00266EB9">
        <w:tab/>
        <w:t>Système de Madrid</w:t>
      </w:r>
      <w:bookmarkEnd w:id="30"/>
    </w:p>
    <w:p w14:paraId="22515416" w14:textId="77777777" w:rsidR="00561B47" w:rsidRPr="00266EB9" w:rsidRDefault="00561B47" w:rsidP="00561B47">
      <w:pPr>
        <w:rPr>
          <w:sz w:val="20"/>
        </w:rPr>
      </w:pPr>
    </w:p>
    <w:p w14:paraId="25138472" w14:textId="77777777" w:rsidR="00561B47" w:rsidRPr="00266EB9" w:rsidRDefault="00561B47" w:rsidP="00561B47">
      <w:pPr>
        <w:tabs>
          <w:tab w:val="left" w:pos="2268"/>
        </w:tabs>
        <w:rPr>
          <w:b/>
          <w:sz w:val="20"/>
        </w:rPr>
      </w:pPr>
      <w:r w:rsidRPr="00266EB9">
        <w:rPr>
          <w:b/>
          <w:sz w:val="20"/>
        </w:rPr>
        <w:t>Chef de programme</w:t>
      </w:r>
      <w:r w:rsidRPr="00266EB9">
        <w:rPr>
          <w:b/>
          <w:sz w:val="20"/>
        </w:rPr>
        <w:tab/>
        <w:t>Mme B. Wang</w:t>
      </w:r>
    </w:p>
    <w:p w14:paraId="78CCC295" w14:textId="3899B995" w:rsidR="00561B47" w:rsidRPr="00266EB9" w:rsidRDefault="006D78C1" w:rsidP="00561B47">
      <w:pPr>
        <w:tabs>
          <w:tab w:val="left" w:pos="1985"/>
        </w:tabs>
        <w:jc w:val="center"/>
        <w:rPr>
          <w:b/>
          <w:sz w:val="20"/>
          <w:szCs w:val="22"/>
        </w:rPr>
      </w:pPr>
      <w:r w:rsidRPr="006D78C1">
        <w:rPr>
          <w:noProof/>
          <w:lang w:val="en-US"/>
        </w:rPr>
        <w:drawing>
          <wp:inline distT="0" distB="0" distL="0" distR="0" wp14:anchorId="5ABC36EA" wp14:editId="6826F3FA">
            <wp:extent cx="3960000" cy="2734721"/>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30" w:type="pct"/>
        <w:tblLayout w:type="fixed"/>
        <w:tblCellMar>
          <w:top w:w="57" w:type="dxa"/>
          <w:bottom w:w="57" w:type="dxa"/>
        </w:tblCellMar>
        <w:tblLook w:val="0000" w:firstRow="0" w:lastRow="0" w:firstColumn="0" w:lastColumn="0" w:noHBand="0" w:noVBand="0"/>
      </w:tblPr>
      <w:tblGrid>
        <w:gridCol w:w="1482"/>
        <w:gridCol w:w="2573"/>
        <w:gridCol w:w="1532"/>
        <w:gridCol w:w="217"/>
        <w:gridCol w:w="2252"/>
        <w:gridCol w:w="97"/>
        <w:gridCol w:w="1093"/>
        <w:gridCol w:w="43"/>
        <w:gridCol w:w="54"/>
      </w:tblGrid>
      <w:tr w:rsidR="00561B47" w:rsidRPr="00266EB9" w14:paraId="750C9F94" w14:textId="77777777" w:rsidTr="006A58B3">
        <w:trPr>
          <w:gridAfter w:val="1"/>
          <w:wAfter w:w="29" w:type="pct"/>
          <w:cantSplit/>
        </w:trPr>
        <w:tc>
          <w:tcPr>
            <w:tcW w:w="4971" w:type="pct"/>
            <w:gridSpan w:val="8"/>
            <w:shd w:val="clear" w:color="auto" w:fill="C6D9F1" w:themeFill="text2" w:themeFillTint="33"/>
            <w:tcMar>
              <w:left w:w="108" w:type="dxa"/>
              <w:right w:w="108" w:type="dxa"/>
            </w:tcMar>
            <w:vAlign w:val="center"/>
          </w:tcPr>
          <w:p w14:paraId="6251BEAB" w14:textId="77777777" w:rsidR="00561B47" w:rsidRPr="00266EB9" w:rsidRDefault="00561B47" w:rsidP="00561B47">
            <w:pPr>
              <w:keepNext/>
              <w:keepLines/>
              <w:tabs>
                <w:tab w:val="left" w:pos="1452"/>
              </w:tabs>
              <w:rPr>
                <w:b/>
                <w:bCs/>
                <w:sz w:val="16"/>
                <w:szCs w:val="16"/>
              </w:rPr>
            </w:pPr>
            <w:r w:rsidRPr="00266EB9">
              <w:rPr>
                <w:b/>
                <w:bCs/>
                <w:color w:val="000000"/>
                <w:sz w:val="16"/>
                <w:szCs w:val="16"/>
              </w:rPr>
              <w:t xml:space="preserve">Résultat escompté : </w:t>
            </w:r>
            <w:r w:rsidRPr="00266EB9">
              <w:rPr>
                <w:bCs/>
                <w:sz w:val="16"/>
                <w:szCs w:val="16"/>
              </w:rPr>
              <w:t>II.6 Utilisation élargie et plus efficace du système de Madrid, notamment par les pays en développement et les PMA</w:t>
            </w:r>
          </w:p>
        </w:tc>
      </w:tr>
      <w:tr w:rsidR="00561B47" w:rsidRPr="00266EB9" w14:paraId="4929A18C" w14:textId="77777777" w:rsidTr="006A58B3">
        <w:trPr>
          <w:gridAfter w:val="2"/>
          <w:wAfter w:w="52" w:type="pct"/>
          <w:cantSplit/>
        </w:trPr>
        <w:tc>
          <w:tcPr>
            <w:tcW w:w="793" w:type="pct"/>
            <w:shd w:val="clear" w:color="auto" w:fill="auto"/>
            <w:tcMar>
              <w:left w:w="108" w:type="dxa"/>
              <w:right w:w="108" w:type="dxa"/>
            </w:tcMar>
            <w:vAlign w:val="center"/>
          </w:tcPr>
          <w:p w14:paraId="0052DB78" w14:textId="77777777" w:rsidR="00561B47" w:rsidRPr="00266EB9" w:rsidRDefault="00561B47" w:rsidP="00561B47">
            <w:pPr>
              <w:jc w:val="center"/>
              <w:rPr>
                <w:b/>
                <w:bCs/>
                <w:sz w:val="16"/>
                <w:szCs w:val="16"/>
              </w:rPr>
            </w:pPr>
            <w:r w:rsidRPr="00266EB9">
              <w:rPr>
                <w:b/>
                <w:bCs/>
                <w:sz w:val="16"/>
                <w:szCs w:val="16"/>
              </w:rPr>
              <w:t>Indicateurs d’exécution</w:t>
            </w:r>
          </w:p>
        </w:tc>
        <w:tc>
          <w:tcPr>
            <w:tcW w:w="1377" w:type="pct"/>
            <w:shd w:val="clear" w:color="auto" w:fill="auto"/>
            <w:tcMar>
              <w:left w:w="108" w:type="dxa"/>
              <w:right w:w="108" w:type="dxa"/>
            </w:tcMar>
            <w:vAlign w:val="center"/>
          </w:tcPr>
          <w:p w14:paraId="05BA30E3" w14:textId="77777777" w:rsidR="00561B47" w:rsidRPr="00266EB9" w:rsidRDefault="00561B47" w:rsidP="00561B47">
            <w:pPr>
              <w:jc w:val="center"/>
              <w:rPr>
                <w:b/>
                <w:bCs/>
                <w:sz w:val="16"/>
                <w:szCs w:val="16"/>
              </w:rPr>
            </w:pPr>
            <w:r w:rsidRPr="00266EB9">
              <w:rPr>
                <w:b/>
                <w:bCs/>
                <w:sz w:val="16"/>
                <w:szCs w:val="16"/>
              </w:rPr>
              <w:t>Niveaux de référence</w:t>
            </w:r>
          </w:p>
        </w:tc>
        <w:tc>
          <w:tcPr>
            <w:tcW w:w="936" w:type="pct"/>
            <w:gridSpan w:val="2"/>
            <w:shd w:val="clear" w:color="auto" w:fill="auto"/>
            <w:tcMar>
              <w:top w:w="57" w:type="dxa"/>
              <w:left w:w="108" w:type="dxa"/>
              <w:right w:w="108" w:type="dxa"/>
            </w:tcMar>
            <w:vAlign w:val="center"/>
          </w:tcPr>
          <w:p w14:paraId="52F220F9" w14:textId="77777777" w:rsidR="00561B47" w:rsidRPr="00266EB9" w:rsidRDefault="00561B47" w:rsidP="00561B47">
            <w:pPr>
              <w:jc w:val="center"/>
              <w:rPr>
                <w:b/>
                <w:bCs/>
                <w:sz w:val="16"/>
                <w:szCs w:val="16"/>
              </w:rPr>
            </w:pPr>
            <w:r w:rsidRPr="00266EB9">
              <w:rPr>
                <w:b/>
                <w:bCs/>
                <w:sz w:val="16"/>
                <w:szCs w:val="16"/>
              </w:rPr>
              <w:t>Objectifs visés</w:t>
            </w:r>
          </w:p>
        </w:tc>
        <w:tc>
          <w:tcPr>
            <w:tcW w:w="1205" w:type="pct"/>
            <w:shd w:val="clear" w:color="auto" w:fill="FFFFFF"/>
            <w:tcMar>
              <w:top w:w="57" w:type="dxa"/>
              <w:left w:w="108" w:type="dxa"/>
              <w:right w:w="108" w:type="dxa"/>
            </w:tcMar>
            <w:vAlign w:val="center"/>
          </w:tcPr>
          <w:p w14:paraId="2DE7D4A0" w14:textId="77777777" w:rsidR="00561B47" w:rsidRPr="00266EB9" w:rsidRDefault="00561B47" w:rsidP="00561B47">
            <w:pPr>
              <w:jc w:val="center"/>
              <w:rPr>
                <w:b/>
                <w:bCs/>
                <w:sz w:val="16"/>
                <w:szCs w:val="16"/>
              </w:rPr>
            </w:pPr>
            <w:r w:rsidRPr="00266EB9">
              <w:rPr>
                <w:b/>
                <w:bCs/>
                <w:sz w:val="16"/>
                <w:szCs w:val="16"/>
              </w:rPr>
              <w:t>Données relatives à l’exécution</w:t>
            </w:r>
          </w:p>
        </w:tc>
        <w:tc>
          <w:tcPr>
            <w:tcW w:w="637" w:type="pct"/>
            <w:gridSpan w:val="2"/>
            <w:shd w:val="clear" w:color="auto" w:fill="auto"/>
            <w:tcMar>
              <w:top w:w="57" w:type="dxa"/>
              <w:left w:w="108" w:type="dxa"/>
              <w:right w:w="108" w:type="dxa"/>
            </w:tcMar>
            <w:vAlign w:val="center"/>
          </w:tcPr>
          <w:p w14:paraId="31D4BB7E" w14:textId="77777777" w:rsidR="00561B47" w:rsidRPr="00266EB9" w:rsidRDefault="00561B47" w:rsidP="00561B47">
            <w:pPr>
              <w:jc w:val="center"/>
              <w:rPr>
                <w:b/>
                <w:bCs/>
                <w:sz w:val="16"/>
                <w:szCs w:val="16"/>
              </w:rPr>
            </w:pPr>
            <w:r w:rsidRPr="00266EB9">
              <w:rPr>
                <w:b/>
                <w:bCs/>
                <w:sz w:val="16"/>
                <w:szCs w:val="16"/>
              </w:rPr>
              <w:t>Code d’évaluation</w:t>
            </w:r>
          </w:p>
        </w:tc>
      </w:tr>
      <w:tr w:rsidR="00561B47" w:rsidRPr="00266EB9" w14:paraId="6CA03A7C" w14:textId="77777777" w:rsidTr="006A58B3">
        <w:trPr>
          <w:gridAfter w:val="2"/>
          <w:wAfter w:w="52" w:type="pct"/>
          <w:cantSplit/>
        </w:trPr>
        <w:tc>
          <w:tcPr>
            <w:tcW w:w="793" w:type="pct"/>
            <w:shd w:val="clear" w:color="auto" w:fill="auto"/>
            <w:tcMar>
              <w:left w:w="108" w:type="dxa"/>
              <w:right w:w="108" w:type="dxa"/>
            </w:tcMar>
          </w:tcPr>
          <w:p w14:paraId="5D274A5B" w14:textId="77777777" w:rsidR="00561B47" w:rsidRPr="00266EB9" w:rsidRDefault="00561B47" w:rsidP="00561B47">
            <w:pPr>
              <w:keepNext/>
              <w:keepLines/>
              <w:rPr>
                <w:color w:val="000000"/>
                <w:sz w:val="16"/>
                <w:szCs w:val="16"/>
              </w:rPr>
            </w:pPr>
            <w:r w:rsidRPr="00266EB9">
              <w:rPr>
                <w:sz w:val="16"/>
                <w:szCs w:val="16"/>
              </w:rPr>
              <w:t>États membres du système de Madrid</w:t>
            </w:r>
          </w:p>
        </w:tc>
        <w:tc>
          <w:tcPr>
            <w:tcW w:w="1377" w:type="pct"/>
            <w:shd w:val="clear" w:color="auto" w:fill="auto"/>
            <w:tcMar>
              <w:left w:w="108" w:type="dxa"/>
              <w:right w:w="108" w:type="dxa"/>
            </w:tcMar>
          </w:tcPr>
          <w:p w14:paraId="475C5E5F"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3D9D5022" w14:textId="77777777" w:rsidR="00561B47" w:rsidRPr="00266EB9" w:rsidRDefault="00561B47" w:rsidP="00561B47">
            <w:pPr>
              <w:rPr>
                <w:color w:val="002060"/>
                <w:sz w:val="16"/>
                <w:szCs w:val="16"/>
              </w:rPr>
            </w:pPr>
            <w:r w:rsidRPr="00266EB9">
              <w:rPr>
                <w:color w:val="002060"/>
                <w:sz w:val="16"/>
                <w:szCs w:val="16"/>
              </w:rPr>
              <w:t>Fin 2015, 96 parties contractantes couvrant 112 pays</w:t>
            </w:r>
            <w:r w:rsidRPr="00266EB9">
              <w:rPr>
                <w:rStyle w:val="FootnoteReference"/>
                <w:rFonts w:cs="Arial"/>
                <w:color w:val="002060"/>
              </w:rPr>
              <w:footnoteReference w:id="26"/>
            </w:r>
          </w:p>
          <w:p w14:paraId="5717F839" w14:textId="77777777" w:rsidR="00561B47" w:rsidRPr="00266EB9" w:rsidRDefault="00561B47" w:rsidP="00561B47">
            <w:pPr>
              <w:rPr>
                <w:color w:val="000000"/>
                <w:sz w:val="16"/>
                <w:szCs w:val="16"/>
              </w:rPr>
            </w:pPr>
          </w:p>
          <w:p w14:paraId="4D9A94AC"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3E466EE4" w14:textId="77777777" w:rsidR="00561B47" w:rsidRPr="00266EB9" w:rsidRDefault="00561B47" w:rsidP="00561B47">
            <w:pPr>
              <w:rPr>
                <w:color w:val="000000"/>
                <w:sz w:val="16"/>
                <w:szCs w:val="16"/>
              </w:rPr>
            </w:pPr>
            <w:r w:rsidRPr="00266EB9">
              <w:rPr>
                <w:color w:val="000000"/>
                <w:sz w:val="16"/>
                <w:szCs w:val="16"/>
              </w:rPr>
              <w:t>95 membres (au 15 avril 2015)</w:t>
            </w:r>
          </w:p>
        </w:tc>
        <w:tc>
          <w:tcPr>
            <w:tcW w:w="936" w:type="pct"/>
            <w:gridSpan w:val="2"/>
            <w:shd w:val="clear" w:color="auto" w:fill="auto"/>
            <w:tcMar>
              <w:top w:w="57" w:type="dxa"/>
              <w:left w:w="108" w:type="dxa"/>
              <w:right w:w="108" w:type="dxa"/>
            </w:tcMar>
          </w:tcPr>
          <w:p w14:paraId="2F18E397" w14:textId="77777777" w:rsidR="00561B47" w:rsidRPr="00266EB9" w:rsidRDefault="00561B47" w:rsidP="00561B47">
            <w:pPr>
              <w:rPr>
                <w:color w:val="000000"/>
                <w:sz w:val="16"/>
                <w:szCs w:val="16"/>
              </w:rPr>
            </w:pPr>
            <w:r w:rsidRPr="00266EB9">
              <w:rPr>
                <w:color w:val="000000"/>
                <w:sz w:val="16"/>
                <w:szCs w:val="16"/>
              </w:rPr>
              <w:t>103</w:t>
            </w:r>
          </w:p>
        </w:tc>
        <w:tc>
          <w:tcPr>
            <w:tcW w:w="1205" w:type="pct"/>
            <w:shd w:val="clear" w:color="auto" w:fill="FFFFFF"/>
            <w:tcMar>
              <w:top w:w="57" w:type="dxa"/>
              <w:left w:w="108" w:type="dxa"/>
              <w:right w:w="108" w:type="dxa"/>
            </w:tcMar>
          </w:tcPr>
          <w:p w14:paraId="68DFEBA0" w14:textId="77777777" w:rsidR="00561B47" w:rsidRPr="00266EB9" w:rsidRDefault="00561B47" w:rsidP="00561B47">
            <w:pPr>
              <w:rPr>
                <w:color w:val="000000"/>
                <w:sz w:val="16"/>
                <w:szCs w:val="16"/>
              </w:rPr>
            </w:pPr>
            <w:r w:rsidRPr="00266EB9">
              <w:rPr>
                <w:color w:val="000000"/>
                <w:sz w:val="16"/>
                <w:szCs w:val="16"/>
              </w:rPr>
              <w:t>97 parties contractantes couvrant 113 pays</w:t>
            </w:r>
          </w:p>
        </w:tc>
        <w:tc>
          <w:tcPr>
            <w:tcW w:w="637" w:type="pct"/>
            <w:gridSpan w:val="2"/>
            <w:shd w:val="clear" w:color="auto" w:fill="auto"/>
            <w:tcMar>
              <w:top w:w="57" w:type="dxa"/>
              <w:left w:w="108" w:type="dxa"/>
              <w:right w:w="108" w:type="dxa"/>
            </w:tcMar>
          </w:tcPr>
          <w:p w14:paraId="715F35CF" w14:textId="77777777" w:rsidR="00561B47" w:rsidRPr="00266EB9" w:rsidRDefault="00561B47" w:rsidP="00561B47">
            <w:pPr>
              <w:keepNext/>
              <w:keepLines/>
              <w:jc w:val="center"/>
              <w:rPr>
                <w:b/>
                <w:color w:val="000000"/>
                <w:sz w:val="16"/>
                <w:szCs w:val="16"/>
              </w:rPr>
            </w:pPr>
            <w:r w:rsidRPr="00266EB9">
              <w:rPr>
                <w:b/>
                <w:color w:val="FF0000"/>
                <w:sz w:val="16"/>
                <w:szCs w:val="16"/>
              </w:rPr>
              <w:t>Pas en bonne voie</w:t>
            </w:r>
          </w:p>
        </w:tc>
      </w:tr>
      <w:tr w:rsidR="00561B47" w:rsidRPr="00266EB9" w14:paraId="62E182BC" w14:textId="77777777" w:rsidTr="006A58B3">
        <w:trPr>
          <w:gridAfter w:val="2"/>
          <w:wAfter w:w="52" w:type="pct"/>
          <w:cantSplit/>
        </w:trPr>
        <w:tc>
          <w:tcPr>
            <w:tcW w:w="793" w:type="pct"/>
            <w:shd w:val="clear" w:color="auto" w:fill="auto"/>
            <w:tcMar>
              <w:left w:w="108" w:type="dxa"/>
              <w:right w:w="108" w:type="dxa"/>
            </w:tcMar>
          </w:tcPr>
          <w:p w14:paraId="59F0A3A7" w14:textId="77777777" w:rsidR="00561B47" w:rsidRPr="00266EB9" w:rsidRDefault="00561B47" w:rsidP="00561B47">
            <w:pPr>
              <w:rPr>
                <w:color w:val="000000"/>
                <w:sz w:val="16"/>
                <w:szCs w:val="16"/>
              </w:rPr>
            </w:pPr>
            <w:r w:rsidRPr="00266EB9">
              <w:rPr>
                <w:color w:val="000000"/>
                <w:sz w:val="16"/>
                <w:szCs w:val="16"/>
              </w:rPr>
              <w:t>P</w:t>
            </w:r>
            <w:r w:rsidRPr="00266EB9">
              <w:rPr>
                <w:sz w:val="16"/>
                <w:szCs w:val="16"/>
              </w:rPr>
              <w:t>art de marché</w:t>
            </w:r>
          </w:p>
          <w:p w14:paraId="7FC31A33" w14:textId="77777777" w:rsidR="00561B47" w:rsidRPr="00266EB9" w:rsidRDefault="00561B47" w:rsidP="00561B47">
            <w:pPr>
              <w:rPr>
                <w:color w:val="000000"/>
                <w:sz w:val="16"/>
                <w:szCs w:val="16"/>
              </w:rPr>
            </w:pPr>
            <w:r w:rsidRPr="00266EB9">
              <w:rPr>
                <w:color w:val="000000"/>
                <w:sz w:val="16"/>
                <w:szCs w:val="16"/>
              </w:rPr>
              <w:t>(voie nationale par rapport à la voie de Madrid) (Madrid)</w:t>
            </w:r>
          </w:p>
        </w:tc>
        <w:tc>
          <w:tcPr>
            <w:tcW w:w="1377" w:type="pct"/>
            <w:shd w:val="clear" w:color="auto" w:fill="auto"/>
            <w:tcMar>
              <w:left w:w="108" w:type="dxa"/>
              <w:right w:w="108" w:type="dxa"/>
            </w:tcMar>
          </w:tcPr>
          <w:p w14:paraId="7AD1233D"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4441E002" w14:textId="77777777" w:rsidR="00561B47" w:rsidRPr="00266EB9" w:rsidRDefault="00561B47" w:rsidP="00561B47">
            <w:pPr>
              <w:rPr>
                <w:color w:val="002060"/>
                <w:sz w:val="16"/>
                <w:szCs w:val="16"/>
              </w:rPr>
            </w:pPr>
            <w:r w:rsidRPr="00266EB9">
              <w:rPr>
                <w:color w:val="002060"/>
                <w:sz w:val="16"/>
                <w:szCs w:val="16"/>
              </w:rPr>
              <w:t>Part de marché de 62,6% (2015)</w:t>
            </w:r>
          </w:p>
          <w:p w14:paraId="2E3B8884" w14:textId="77777777" w:rsidR="00561B47" w:rsidRPr="00266EB9" w:rsidRDefault="00561B47" w:rsidP="00561B47">
            <w:pPr>
              <w:rPr>
                <w:color w:val="002060"/>
                <w:sz w:val="16"/>
                <w:szCs w:val="16"/>
              </w:rPr>
            </w:pPr>
            <w:r w:rsidRPr="00266EB9">
              <w:rPr>
                <w:color w:val="002060"/>
                <w:sz w:val="16"/>
                <w:szCs w:val="16"/>
              </w:rPr>
              <w:t>Part de marché de 65,3% (2014)</w:t>
            </w:r>
            <w:r w:rsidRPr="00266EB9">
              <w:rPr>
                <w:rStyle w:val="FootnoteReference"/>
                <w:rFonts w:cs="Arial"/>
                <w:color w:val="002060"/>
              </w:rPr>
              <w:footnoteReference w:id="27"/>
            </w:r>
          </w:p>
          <w:p w14:paraId="3CF0F6FC" w14:textId="77777777" w:rsidR="00561B47" w:rsidRPr="00266EB9" w:rsidRDefault="00561B47" w:rsidP="00561B47">
            <w:pPr>
              <w:rPr>
                <w:i/>
                <w:sz w:val="16"/>
                <w:szCs w:val="16"/>
                <w:lang w:bidi="th-TH"/>
              </w:rPr>
            </w:pPr>
          </w:p>
          <w:p w14:paraId="034002E2"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49BB49B4" w14:textId="77777777" w:rsidR="00561B47" w:rsidRPr="00266EB9" w:rsidRDefault="00561B47" w:rsidP="00561B47">
            <w:pPr>
              <w:rPr>
                <w:color w:val="000000"/>
                <w:sz w:val="16"/>
                <w:szCs w:val="16"/>
              </w:rPr>
            </w:pPr>
            <w:r w:rsidRPr="00266EB9">
              <w:rPr>
                <w:color w:val="000000"/>
                <w:sz w:val="16"/>
                <w:szCs w:val="16"/>
              </w:rPr>
              <w:t>Part de marché de 63,4% (au 31 décembre 2012)</w:t>
            </w:r>
          </w:p>
        </w:tc>
        <w:tc>
          <w:tcPr>
            <w:tcW w:w="936" w:type="pct"/>
            <w:gridSpan w:val="2"/>
            <w:shd w:val="clear" w:color="auto" w:fill="auto"/>
            <w:tcMar>
              <w:top w:w="57" w:type="dxa"/>
              <w:left w:w="108" w:type="dxa"/>
              <w:right w:w="108" w:type="dxa"/>
            </w:tcMar>
          </w:tcPr>
          <w:p w14:paraId="310761AD" w14:textId="77777777" w:rsidR="00561B47" w:rsidRPr="00266EB9" w:rsidRDefault="00561B47" w:rsidP="00561B47">
            <w:pPr>
              <w:keepNext/>
              <w:keepLines/>
              <w:rPr>
                <w:color w:val="000000"/>
                <w:sz w:val="16"/>
                <w:szCs w:val="16"/>
              </w:rPr>
            </w:pPr>
            <w:r w:rsidRPr="00266EB9">
              <w:rPr>
                <w:sz w:val="16"/>
                <w:szCs w:val="16"/>
              </w:rPr>
              <w:t>Croissance de la part de marché</w:t>
            </w:r>
          </w:p>
        </w:tc>
        <w:tc>
          <w:tcPr>
            <w:tcW w:w="1205" w:type="pct"/>
            <w:shd w:val="clear" w:color="auto" w:fill="FFFFFF"/>
            <w:tcMar>
              <w:top w:w="57" w:type="dxa"/>
              <w:left w:w="108" w:type="dxa"/>
              <w:right w:w="108" w:type="dxa"/>
            </w:tcMar>
          </w:tcPr>
          <w:p w14:paraId="033AE7D1" w14:textId="77777777" w:rsidR="00561B47" w:rsidRPr="00266EB9" w:rsidRDefault="00561B47" w:rsidP="00561B47">
            <w:pPr>
              <w:keepNext/>
              <w:keepLines/>
              <w:rPr>
                <w:color w:val="000000"/>
                <w:sz w:val="16"/>
                <w:szCs w:val="16"/>
              </w:rPr>
            </w:pPr>
            <w:r w:rsidRPr="00266EB9">
              <w:rPr>
                <w:color w:val="000000"/>
                <w:sz w:val="16"/>
                <w:szCs w:val="16"/>
              </w:rPr>
              <w:t>Les chiffres pour 2016 seront disponibles seulement fin 2017</w:t>
            </w:r>
          </w:p>
        </w:tc>
        <w:tc>
          <w:tcPr>
            <w:tcW w:w="637" w:type="pct"/>
            <w:gridSpan w:val="2"/>
            <w:shd w:val="clear" w:color="auto" w:fill="auto"/>
            <w:tcMar>
              <w:top w:w="57" w:type="dxa"/>
              <w:left w:w="108" w:type="dxa"/>
              <w:right w:w="108" w:type="dxa"/>
            </w:tcMar>
          </w:tcPr>
          <w:p w14:paraId="05DBF8B9" w14:textId="77777777" w:rsidR="00561B47" w:rsidRPr="00266EB9" w:rsidRDefault="00561B47" w:rsidP="00561B47">
            <w:pPr>
              <w:keepNext/>
              <w:keepLines/>
              <w:jc w:val="center"/>
              <w:rPr>
                <w:b/>
                <w:color w:val="00B050"/>
                <w:sz w:val="16"/>
                <w:szCs w:val="16"/>
              </w:rPr>
            </w:pPr>
            <w:proofErr w:type="spellStart"/>
            <w:r w:rsidRPr="00266EB9">
              <w:rPr>
                <w:b/>
                <w:color w:val="0070C0"/>
                <w:sz w:val="16"/>
                <w:szCs w:val="16"/>
              </w:rPr>
              <w:t>n.d</w:t>
            </w:r>
            <w:proofErr w:type="spellEnd"/>
            <w:r w:rsidRPr="00266EB9">
              <w:rPr>
                <w:b/>
                <w:color w:val="0070C0"/>
                <w:sz w:val="16"/>
                <w:szCs w:val="16"/>
              </w:rPr>
              <w:t>. pour 2016</w:t>
            </w:r>
          </w:p>
        </w:tc>
      </w:tr>
      <w:tr w:rsidR="00561B47" w:rsidRPr="00266EB9" w14:paraId="2FAF4C48" w14:textId="77777777" w:rsidTr="006A58B3">
        <w:trPr>
          <w:gridAfter w:val="2"/>
          <w:wAfter w:w="52" w:type="pct"/>
          <w:cantSplit/>
        </w:trPr>
        <w:tc>
          <w:tcPr>
            <w:tcW w:w="793" w:type="pct"/>
            <w:shd w:val="clear" w:color="auto" w:fill="auto"/>
            <w:tcMar>
              <w:left w:w="108" w:type="dxa"/>
              <w:right w:w="108" w:type="dxa"/>
            </w:tcMar>
          </w:tcPr>
          <w:p w14:paraId="0061599C" w14:textId="77777777" w:rsidR="00561B47" w:rsidRPr="00266EB9" w:rsidRDefault="00561B47" w:rsidP="00561B47">
            <w:pPr>
              <w:rPr>
                <w:color w:val="000000"/>
                <w:sz w:val="16"/>
                <w:szCs w:val="16"/>
              </w:rPr>
            </w:pPr>
            <w:r w:rsidRPr="00266EB9">
              <w:rPr>
                <w:sz w:val="16"/>
                <w:szCs w:val="16"/>
              </w:rPr>
              <w:lastRenderedPageBreak/>
              <w:t>Taux de dépôt (Madrid)</w:t>
            </w:r>
          </w:p>
        </w:tc>
        <w:tc>
          <w:tcPr>
            <w:tcW w:w="1377" w:type="pct"/>
            <w:shd w:val="clear" w:color="auto" w:fill="auto"/>
            <w:tcMar>
              <w:left w:w="108" w:type="dxa"/>
              <w:right w:w="108" w:type="dxa"/>
            </w:tcMar>
          </w:tcPr>
          <w:p w14:paraId="31B77669"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66467196" w14:textId="77777777" w:rsidR="00561B47" w:rsidRPr="001E3776" w:rsidRDefault="00561B47" w:rsidP="00561B47">
            <w:pPr>
              <w:rPr>
                <w:color w:val="002060"/>
                <w:sz w:val="16"/>
                <w:szCs w:val="16"/>
              </w:rPr>
            </w:pPr>
            <w:r w:rsidRPr="001E3776">
              <w:rPr>
                <w:color w:val="002060"/>
                <w:sz w:val="16"/>
                <w:szCs w:val="16"/>
              </w:rPr>
              <w:t>49 013 demandes</w:t>
            </w:r>
          </w:p>
          <w:p w14:paraId="37806EBF" w14:textId="77777777" w:rsidR="00561B47" w:rsidRPr="00266EB9" w:rsidRDefault="00561B47" w:rsidP="00561B47">
            <w:pPr>
              <w:rPr>
                <w:color w:val="002060"/>
                <w:sz w:val="16"/>
                <w:szCs w:val="16"/>
              </w:rPr>
            </w:pPr>
            <w:r w:rsidRPr="001E3776">
              <w:rPr>
                <w:color w:val="002060"/>
                <w:sz w:val="16"/>
                <w:szCs w:val="16"/>
              </w:rPr>
              <w:t>Taux de dépôt en hausse de 1% (par rapport à 49 013 demandes en 2014)</w:t>
            </w:r>
            <w:r w:rsidRPr="00266EB9">
              <w:rPr>
                <w:rStyle w:val="FootnoteReference"/>
                <w:rFonts w:cs="Arial"/>
                <w:color w:val="000000"/>
              </w:rPr>
              <w:footnoteReference w:id="28"/>
            </w:r>
          </w:p>
          <w:p w14:paraId="55255467" w14:textId="77777777" w:rsidR="00561B47" w:rsidRPr="00266EB9" w:rsidRDefault="00561B47" w:rsidP="00561B47">
            <w:pPr>
              <w:rPr>
                <w:color w:val="000000"/>
                <w:sz w:val="16"/>
                <w:szCs w:val="16"/>
              </w:rPr>
            </w:pPr>
          </w:p>
          <w:p w14:paraId="1423C40B"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3B249E8E" w14:textId="77777777" w:rsidR="00561B47" w:rsidRPr="00266EB9" w:rsidRDefault="00561B47" w:rsidP="00561B47">
            <w:pPr>
              <w:rPr>
                <w:color w:val="000000"/>
                <w:sz w:val="16"/>
                <w:szCs w:val="16"/>
              </w:rPr>
            </w:pPr>
            <w:r w:rsidRPr="00266EB9">
              <w:rPr>
                <w:sz w:val="16"/>
                <w:szCs w:val="16"/>
              </w:rPr>
              <w:t>47 885 demandes</w:t>
            </w:r>
          </w:p>
          <w:p w14:paraId="06E38F25" w14:textId="77777777" w:rsidR="00561B47" w:rsidRPr="00266EB9" w:rsidRDefault="00561B47" w:rsidP="00561B47">
            <w:pPr>
              <w:rPr>
                <w:color w:val="000000"/>
                <w:sz w:val="16"/>
                <w:szCs w:val="16"/>
              </w:rPr>
            </w:pPr>
            <w:r w:rsidRPr="00266EB9">
              <w:rPr>
                <w:color w:val="000000"/>
                <w:sz w:val="16"/>
                <w:szCs w:val="16"/>
              </w:rPr>
              <w:t>Taux de dépôt en hausse de 2,3% (au 31 décembre 2014) par rapport à 2013</w:t>
            </w:r>
          </w:p>
        </w:tc>
        <w:tc>
          <w:tcPr>
            <w:tcW w:w="936" w:type="pct"/>
            <w:gridSpan w:val="2"/>
            <w:shd w:val="clear" w:color="auto" w:fill="auto"/>
            <w:tcMar>
              <w:top w:w="57" w:type="dxa"/>
              <w:left w:w="108" w:type="dxa"/>
              <w:right w:w="108" w:type="dxa"/>
            </w:tcMar>
          </w:tcPr>
          <w:p w14:paraId="62F744F2" w14:textId="77777777" w:rsidR="00561B47" w:rsidRPr="00266EB9" w:rsidRDefault="00561B47" w:rsidP="00561B47">
            <w:pPr>
              <w:rPr>
                <w:color w:val="000000"/>
                <w:sz w:val="16"/>
                <w:szCs w:val="16"/>
              </w:rPr>
            </w:pPr>
            <w:r w:rsidRPr="00266EB9">
              <w:rPr>
                <w:sz w:val="16"/>
                <w:szCs w:val="16"/>
              </w:rPr>
              <w:t>2016 : + 4,6% taux de dépôt</w:t>
            </w:r>
            <w:r w:rsidRPr="00266EB9">
              <w:rPr>
                <w:color w:val="000000"/>
                <w:sz w:val="16"/>
                <w:szCs w:val="16"/>
              </w:rPr>
              <w:br/>
              <w:t>2</w:t>
            </w:r>
            <w:r w:rsidRPr="00266EB9">
              <w:rPr>
                <w:sz w:val="16"/>
                <w:szCs w:val="16"/>
              </w:rPr>
              <w:t>017 : + 2,3% taux de dépôt</w:t>
            </w:r>
          </w:p>
        </w:tc>
        <w:tc>
          <w:tcPr>
            <w:tcW w:w="1205" w:type="pct"/>
            <w:shd w:val="clear" w:color="auto" w:fill="FFFFFF"/>
            <w:tcMar>
              <w:top w:w="57" w:type="dxa"/>
              <w:left w:w="108" w:type="dxa"/>
              <w:right w:w="108" w:type="dxa"/>
            </w:tcMar>
          </w:tcPr>
          <w:p w14:paraId="431CF532" w14:textId="77777777" w:rsidR="00561B47" w:rsidRPr="00266EB9" w:rsidRDefault="00561B47" w:rsidP="00561B47">
            <w:pPr>
              <w:keepNext/>
              <w:keepLines/>
              <w:rPr>
                <w:color w:val="000000"/>
                <w:sz w:val="16"/>
                <w:szCs w:val="16"/>
              </w:rPr>
            </w:pPr>
            <w:r w:rsidRPr="00266EB9">
              <w:rPr>
                <w:sz w:val="16"/>
                <w:szCs w:val="16"/>
              </w:rPr>
              <w:t>52 550</w:t>
            </w:r>
            <w:r w:rsidRPr="00266EB9">
              <w:rPr>
                <w:color w:val="000000"/>
                <w:sz w:val="16"/>
                <w:szCs w:val="16"/>
              </w:rPr>
              <w:t xml:space="preserve"> </w:t>
            </w:r>
            <w:r w:rsidRPr="00266EB9">
              <w:rPr>
                <w:sz w:val="16"/>
                <w:szCs w:val="16"/>
              </w:rPr>
              <w:t>demande</w:t>
            </w:r>
            <w:r w:rsidRPr="00266EB9">
              <w:rPr>
                <w:color w:val="000000"/>
                <w:sz w:val="16"/>
                <w:szCs w:val="16"/>
              </w:rPr>
              <w:t>s</w:t>
            </w:r>
          </w:p>
          <w:p w14:paraId="48F74D9D" w14:textId="77777777" w:rsidR="00561B47" w:rsidRPr="00266EB9" w:rsidRDefault="00561B47" w:rsidP="00561B47">
            <w:pPr>
              <w:keepNext/>
              <w:keepLines/>
              <w:rPr>
                <w:color w:val="000000"/>
                <w:sz w:val="16"/>
                <w:szCs w:val="16"/>
              </w:rPr>
            </w:pPr>
            <w:r w:rsidRPr="00266EB9">
              <w:rPr>
                <w:color w:val="000000"/>
                <w:sz w:val="16"/>
                <w:szCs w:val="16"/>
              </w:rPr>
              <w:t>(Taux de dépôt en hausse de 7,2% par rapport à 2015)</w:t>
            </w:r>
          </w:p>
        </w:tc>
        <w:tc>
          <w:tcPr>
            <w:tcW w:w="637" w:type="pct"/>
            <w:gridSpan w:val="2"/>
            <w:shd w:val="clear" w:color="auto" w:fill="auto"/>
            <w:tcMar>
              <w:top w:w="57" w:type="dxa"/>
              <w:left w:w="108" w:type="dxa"/>
              <w:right w:w="108" w:type="dxa"/>
            </w:tcMar>
          </w:tcPr>
          <w:p w14:paraId="526960B1" w14:textId="77777777" w:rsidR="00561B47" w:rsidRPr="006A58B3" w:rsidRDefault="00561B47" w:rsidP="00561B47">
            <w:pPr>
              <w:keepNext/>
              <w:keepLines/>
              <w:jc w:val="center"/>
              <w:rPr>
                <w:color w:val="00B050"/>
                <w:sz w:val="16"/>
                <w:szCs w:val="16"/>
              </w:rPr>
            </w:pPr>
            <w:r w:rsidRPr="006A58B3">
              <w:rPr>
                <w:b/>
                <w:color w:val="00B050"/>
                <w:sz w:val="16"/>
                <w:szCs w:val="16"/>
              </w:rPr>
              <w:t>En bonne voie</w:t>
            </w:r>
          </w:p>
        </w:tc>
      </w:tr>
      <w:tr w:rsidR="00561B47" w:rsidRPr="00266EB9" w14:paraId="422EB316" w14:textId="77777777" w:rsidTr="006A58B3">
        <w:trPr>
          <w:gridAfter w:val="2"/>
          <w:wAfter w:w="52" w:type="pct"/>
          <w:cantSplit/>
        </w:trPr>
        <w:tc>
          <w:tcPr>
            <w:tcW w:w="793" w:type="pct"/>
            <w:shd w:val="clear" w:color="auto" w:fill="auto"/>
            <w:tcMar>
              <w:left w:w="108" w:type="dxa"/>
              <w:right w:w="108" w:type="dxa"/>
            </w:tcMar>
          </w:tcPr>
          <w:p w14:paraId="730E21CC" w14:textId="77777777" w:rsidR="00561B47" w:rsidRPr="00266EB9" w:rsidRDefault="00561B47" w:rsidP="00561B47">
            <w:pPr>
              <w:rPr>
                <w:color w:val="000000"/>
                <w:sz w:val="16"/>
                <w:szCs w:val="16"/>
              </w:rPr>
            </w:pPr>
            <w:r w:rsidRPr="00266EB9">
              <w:rPr>
                <w:sz w:val="16"/>
                <w:szCs w:val="16"/>
              </w:rPr>
              <w:t>Enregistrements (Madrid)</w:t>
            </w:r>
          </w:p>
        </w:tc>
        <w:tc>
          <w:tcPr>
            <w:tcW w:w="1377" w:type="pct"/>
            <w:shd w:val="clear" w:color="auto" w:fill="auto"/>
            <w:tcMar>
              <w:left w:w="108" w:type="dxa"/>
              <w:right w:w="108" w:type="dxa"/>
            </w:tcMar>
          </w:tcPr>
          <w:p w14:paraId="00337F6E"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52AC5D3A" w14:textId="77777777" w:rsidR="00561B47" w:rsidRPr="00266EB9" w:rsidRDefault="00561B47" w:rsidP="00561B47">
            <w:pPr>
              <w:rPr>
                <w:color w:val="002060"/>
                <w:sz w:val="16"/>
                <w:szCs w:val="16"/>
                <w:lang w:bidi="th-TH"/>
              </w:rPr>
            </w:pPr>
            <w:r w:rsidRPr="00266EB9">
              <w:rPr>
                <w:color w:val="002060"/>
                <w:sz w:val="16"/>
                <w:szCs w:val="16"/>
                <w:lang w:bidi="th-TH"/>
              </w:rPr>
              <w:t>51 938 (2015)</w:t>
            </w:r>
          </w:p>
          <w:p w14:paraId="398151BD" w14:textId="77777777" w:rsidR="00561B47" w:rsidRPr="00266EB9" w:rsidRDefault="00561B47" w:rsidP="00561B47">
            <w:pPr>
              <w:rPr>
                <w:color w:val="000000"/>
                <w:sz w:val="16"/>
                <w:szCs w:val="16"/>
              </w:rPr>
            </w:pPr>
          </w:p>
          <w:p w14:paraId="31299574"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23575C28" w14:textId="77777777" w:rsidR="00561B47" w:rsidRPr="00266EB9" w:rsidRDefault="00561B47" w:rsidP="00561B47">
            <w:pPr>
              <w:rPr>
                <w:color w:val="000000"/>
                <w:sz w:val="16"/>
                <w:szCs w:val="16"/>
              </w:rPr>
            </w:pPr>
            <w:r w:rsidRPr="00266EB9">
              <w:rPr>
                <w:color w:val="000000"/>
                <w:sz w:val="16"/>
                <w:szCs w:val="16"/>
              </w:rPr>
              <w:t>42 430 (2014)</w:t>
            </w:r>
          </w:p>
        </w:tc>
        <w:tc>
          <w:tcPr>
            <w:tcW w:w="936" w:type="pct"/>
            <w:gridSpan w:val="2"/>
            <w:shd w:val="clear" w:color="auto" w:fill="auto"/>
            <w:tcMar>
              <w:top w:w="57" w:type="dxa"/>
              <w:left w:w="108" w:type="dxa"/>
              <w:right w:w="108" w:type="dxa"/>
            </w:tcMar>
          </w:tcPr>
          <w:p w14:paraId="69773C47" w14:textId="77777777" w:rsidR="00561B47" w:rsidRPr="00266EB9" w:rsidRDefault="00561B47" w:rsidP="00561B47">
            <w:pPr>
              <w:rPr>
                <w:i/>
                <w:color w:val="002060"/>
                <w:sz w:val="16"/>
                <w:szCs w:val="16"/>
              </w:rPr>
            </w:pPr>
            <w:r w:rsidRPr="00266EB9">
              <w:rPr>
                <w:i/>
                <w:color w:val="002060"/>
                <w:sz w:val="16"/>
                <w:szCs w:val="16"/>
              </w:rPr>
              <w:t>Objectif actualisé :</w:t>
            </w:r>
          </w:p>
          <w:p w14:paraId="1E505027" w14:textId="77777777" w:rsidR="00561B47" w:rsidRPr="00266EB9" w:rsidRDefault="00561B47" w:rsidP="00561B47">
            <w:pPr>
              <w:keepNext/>
              <w:keepLines/>
              <w:rPr>
                <w:color w:val="002060"/>
                <w:sz w:val="16"/>
                <w:szCs w:val="16"/>
              </w:rPr>
            </w:pPr>
            <w:r w:rsidRPr="00266EB9">
              <w:rPr>
                <w:color w:val="002060"/>
                <w:sz w:val="16"/>
                <w:szCs w:val="16"/>
              </w:rPr>
              <w:t>&gt; 47 500 (2016)</w:t>
            </w:r>
          </w:p>
          <w:p w14:paraId="0A1FB247" w14:textId="77777777" w:rsidR="00561B47" w:rsidRPr="00266EB9" w:rsidRDefault="00561B47" w:rsidP="00561B47">
            <w:pPr>
              <w:keepNext/>
              <w:keepLines/>
              <w:rPr>
                <w:color w:val="002060"/>
                <w:sz w:val="16"/>
                <w:szCs w:val="16"/>
              </w:rPr>
            </w:pPr>
            <w:r w:rsidRPr="00266EB9">
              <w:rPr>
                <w:color w:val="002060"/>
                <w:sz w:val="16"/>
                <w:szCs w:val="16"/>
              </w:rPr>
              <w:t>&gt; 52 000 (2017)</w:t>
            </w:r>
          </w:p>
          <w:p w14:paraId="7D06F38E" w14:textId="77777777" w:rsidR="00561B47" w:rsidRPr="00266EB9" w:rsidRDefault="00561B47" w:rsidP="00561B47">
            <w:pPr>
              <w:keepNext/>
              <w:keepLines/>
              <w:rPr>
                <w:color w:val="000000"/>
                <w:sz w:val="16"/>
                <w:szCs w:val="16"/>
              </w:rPr>
            </w:pPr>
          </w:p>
          <w:p w14:paraId="0EBA7D69" w14:textId="77777777" w:rsidR="00561B47" w:rsidRPr="00266EB9" w:rsidRDefault="00561B47" w:rsidP="00561B47">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2369CB23" w14:textId="77777777" w:rsidR="00561B47" w:rsidRPr="00266EB9" w:rsidRDefault="00561B47" w:rsidP="00561B47">
            <w:pPr>
              <w:rPr>
                <w:color w:val="000000"/>
                <w:sz w:val="16"/>
                <w:szCs w:val="16"/>
              </w:rPr>
            </w:pPr>
            <w:r w:rsidRPr="00266EB9">
              <w:rPr>
                <w:color w:val="000000"/>
                <w:sz w:val="16"/>
                <w:szCs w:val="16"/>
              </w:rPr>
              <w:t>47 387 (2016)</w:t>
            </w:r>
          </w:p>
          <w:p w14:paraId="2CA2B4B7" w14:textId="77777777" w:rsidR="00561B47" w:rsidRPr="00266EB9" w:rsidRDefault="00561B47" w:rsidP="00561B47">
            <w:pPr>
              <w:rPr>
                <w:color w:val="000000"/>
                <w:sz w:val="16"/>
                <w:szCs w:val="16"/>
              </w:rPr>
            </w:pPr>
            <w:r w:rsidRPr="00266EB9">
              <w:rPr>
                <w:color w:val="000000"/>
                <w:sz w:val="16"/>
                <w:szCs w:val="16"/>
              </w:rPr>
              <w:t>48 652 (2017)</w:t>
            </w:r>
          </w:p>
        </w:tc>
        <w:tc>
          <w:tcPr>
            <w:tcW w:w="1205" w:type="pct"/>
            <w:shd w:val="clear" w:color="auto" w:fill="FFFFFF"/>
            <w:tcMar>
              <w:top w:w="57" w:type="dxa"/>
              <w:left w:w="108" w:type="dxa"/>
              <w:right w:w="108" w:type="dxa"/>
            </w:tcMar>
          </w:tcPr>
          <w:p w14:paraId="78FB9064" w14:textId="77777777" w:rsidR="00561B47" w:rsidRPr="00266EB9" w:rsidRDefault="00561B47" w:rsidP="00561B47">
            <w:pPr>
              <w:keepNext/>
              <w:keepLines/>
              <w:rPr>
                <w:color w:val="000000"/>
                <w:sz w:val="16"/>
                <w:szCs w:val="16"/>
              </w:rPr>
            </w:pPr>
            <w:r w:rsidRPr="00266EB9">
              <w:rPr>
                <w:color w:val="000000"/>
                <w:sz w:val="16"/>
                <w:szCs w:val="16"/>
              </w:rPr>
              <w:t>44 726 enregistrements</w:t>
            </w:r>
          </w:p>
        </w:tc>
        <w:tc>
          <w:tcPr>
            <w:tcW w:w="637" w:type="pct"/>
            <w:gridSpan w:val="2"/>
            <w:shd w:val="clear" w:color="auto" w:fill="auto"/>
            <w:tcMar>
              <w:top w:w="57" w:type="dxa"/>
              <w:left w:w="108" w:type="dxa"/>
              <w:right w:w="108" w:type="dxa"/>
            </w:tcMar>
          </w:tcPr>
          <w:p w14:paraId="65DF4A35" w14:textId="77777777" w:rsidR="00561B47" w:rsidRPr="006A58B3" w:rsidRDefault="00561B47" w:rsidP="00561B47">
            <w:pPr>
              <w:keepNext/>
              <w:keepLines/>
              <w:jc w:val="center"/>
              <w:rPr>
                <w:b/>
                <w:color w:val="00B050"/>
                <w:sz w:val="16"/>
                <w:szCs w:val="16"/>
              </w:rPr>
            </w:pPr>
            <w:r w:rsidRPr="006A58B3">
              <w:rPr>
                <w:b/>
                <w:color w:val="00B050"/>
                <w:sz w:val="16"/>
                <w:szCs w:val="16"/>
              </w:rPr>
              <w:t>En bonne voie</w:t>
            </w:r>
          </w:p>
        </w:tc>
      </w:tr>
      <w:tr w:rsidR="00561B47" w:rsidRPr="00266EB9" w14:paraId="3DEFF627" w14:textId="77777777" w:rsidTr="006A58B3">
        <w:trPr>
          <w:gridAfter w:val="2"/>
          <w:wAfter w:w="52" w:type="pct"/>
          <w:cantSplit/>
        </w:trPr>
        <w:tc>
          <w:tcPr>
            <w:tcW w:w="793" w:type="pct"/>
            <w:shd w:val="clear" w:color="auto" w:fill="auto"/>
            <w:tcMar>
              <w:left w:w="108" w:type="dxa"/>
              <w:right w:w="108" w:type="dxa"/>
            </w:tcMar>
          </w:tcPr>
          <w:p w14:paraId="1499390C" w14:textId="77777777" w:rsidR="00561B47" w:rsidRPr="00266EB9" w:rsidRDefault="00561B47" w:rsidP="00561B47">
            <w:pPr>
              <w:rPr>
                <w:color w:val="000000"/>
                <w:sz w:val="16"/>
                <w:szCs w:val="16"/>
              </w:rPr>
            </w:pPr>
            <w:r w:rsidRPr="00266EB9">
              <w:rPr>
                <w:sz w:val="16"/>
                <w:szCs w:val="16"/>
              </w:rPr>
              <w:t>Renouvellements (Madrid)</w:t>
            </w:r>
          </w:p>
        </w:tc>
        <w:tc>
          <w:tcPr>
            <w:tcW w:w="1377" w:type="pct"/>
            <w:shd w:val="clear" w:color="auto" w:fill="auto"/>
            <w:tcMar>
              <w:left w:w="108" w:type="dxa"/>
              <w:right w:w="108" w:type="dxa"/>
            </w:tcMar>
          </w:tcPr>
          <w:p w14:paraId="552E43F8" w14:textId="77777777" w:rsidR="00561B47" w:rsidRPr="002655A7" w:rsidRDefault="00561B47" w:rsidP="00561B47">
            <w:pPr>
              <w:rPr>
                <w:i/>
                <w:color w:val="002060"/>
                <w:sz w:val="16"/>
                <w:szCs w:val="16"/>
              </w:rPr>
            </w:pPr>
            <w:r w:rsidRPr="00266EB9">
              <w:rPr>
                <w:i/>
                <w:color w:val="002060"/>
                <w:sz w:val="16"/>
                <w:szCs w:val="16"/>
              </w:rPr>
              <w:t>Niveau de référence actualisé à fin 2015 :</w:t>
            </w:r>
          </w:p>
          <w:p w14:paraId="6AF26D4A" w14:textId="77777777" w:rsidR="00561B47" w:rsidRPr="002655A7" w:rsidRDefault="00561B47" w:rsidP="00561B47">
            <w:pPr>
              <w:rPr>
                <w:color w:val="002060"/>
                <w:sz w:val="16"/>
                <w:szCs w:val="16"/>
                <w:lang w:bidi="th-TH"/>
              </w:rPr>
            </w:pPr>
            <w:r w:rsidRPr="002655A7">
              <w:rPr>
                <w:color w:val="002060"/>
                <w:sz w:val="16"/>
                <w:szCs w:val="16"/>
                <w:lang w:bidi="th-TH"/>
              </w:rPr>
              <w:t>28 384 renouvellements</w:t>
            </w:r>
          </w:p>
          <w:p w14:paraId="715794CF" w14:textId="77777777" w:rsidR="00561B47" w:rsidRPr="00266EB9" w:rsidRDefault="00561B47" w:rsidP="00561B47">
            <w:pPr>
              <w:rPr>
                <w:color w:val="000000"/>
                <w:sz w:val="16"/>
                <w:szCs w:val="16"/>
              </w:rPr>
            </w:pPr>
          </w:p>
          <w:p w14:paraId="47F4BCD0"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12FC5BE5" w14:textId="77777777" w:rsidR="00561B47" w:rsidRPr="00266EB9" w:rsidRDefault="00561B47" w:rsidP="00561B47">
            <w:pPr>
              <w:rPr>
                <w:color w:val="000000"/>
                <w:sz w:val="16"/>
                <w:szCs w:val="16"/>
              </w:rPr>
            </w:pPr>
            <w:r w:rsidRPr="00266EB9">
              <w:rPr>
                <w:color w:val="000000"/>
                <w:sz w:val="16"/>
                <w:szCs w:val="16"/>
              </w:rPr>
              <w:t>25 729 (2014)</w:t>
            </w:r>
          </w:p>
        </w:tc>
        <w:tc>
          <w:tcPr>
            <w:tcW w:w="936" w:type="pct"/>
            <w:gridSpan w:val="2"/>
            <w:shd w:val="clear" w:color="auto" w:fill="auto"/>
            <w:tcMar>
              <w:top w:w="57" w:type="dxa"/>
              <w:left w:w="108" w:type="dxa"/>
              <w:right w:w="108" w:type="dxa"/>
            </w:tcMar>
          </w:tcPr>
          <w:p w14:paraId="765E1BFB" w14:textId="77777777" w:rsidR="00561B47" w:rsidRPr="00266EB9" w:rsidRDefault="00561B47" w:rsidP="00561B47">
            <w:pPr>
              <w:rPr>
                <w:color w:val="000000"/>
                <w:sz w:val="16"/>
                <w:szCs w:val="16"/>
              </w:rPr>
            </w:pPr>
            <w:r w:rsidRPr="00266EB9">
              <w:rPr>
                <w:color w:val="000000"/>
                <w:sz w:val="16"/>
                <w:szCs w:val="16"/>
              </w:rPr>
              <w:t>29 850 (2016)</w:t>
            </w:r>
          </w:p>
          <w:p w14:paraId="13646A71" w14:textId="77777777" w:rsidR="00561B47" w:rsidRPr="00266EB9" w:rsidRDefault="00561B47" w:rsidP="00561B47">
            <w:pPr>
              <w:rPr>
                <w:color w:val="000000"/>
                <w:sz w:val="16"/>
                <w:szCs w:val="16"/>
              </w:rPr>
            </w:pPr>
            <w:r w:rsidRPr="00266EB9">
              <w:rPr>
                <w:color w:val="000000"/>
                <w:sz w:val="16"/>
                <w:szCs w:val="16"/>
              </w:rPr>
              <w:t>31 020 (2017)</w:t>
            </w:r>
          </w:p>
        </w:tc>
        <w:tc>
          <w:tcPr>
            <w:tcW w:w="1205" w:type="pct"/>
            <w:shd w:val="clear" w:color="auto" w:fill="FFFFFF"/>
            <w:tcMar>
              <w:top w:w="57" w:type="dxa"/>
              <w:left w:w="108" w:type="dxa"/>
              <w:right w:w="108" w:type="dxa"/>
            </w:tcMar>
          </w:tcPr>
          <w:p w14:paraId="0E542714" w14:textId="77777777" w:rsidR="00561B47" w:rsidRPr="00266EB9" w:rsidRDefault="00561B47" w:rsidP="00561B47">
            <w:pPr>
              <w:keepNext/>
              <w:keepLines/>
              <w:rPr>
                <w:color w:val="000000"/>
                <w:sz w:val="16"/>
                <w:szCs w:val="16"/>
              </w:rPr>
            </w:pPr>
            <w:r w:rsidRPr="00266EB9">
              <w:rPr>
                <w:color w:val="000000"/>
                <w:sz w:val="16"/>
                <w:szCs w:val="16"/>
              </w:rPr>
              <w:t>30 103 r</w:t>
            </w:r>
            <w:r w:rsidRPr="00266EB9">
              <w:rPr>
                <w:sz w:val="16"/>
                <w:szCs w:val="16"/>
              </w:rPr>
              <w:t>enouvellements</w:t>
            </w:r>
          </w:p>
        </w:tc>
        <w:tc>
          <w:tcPr>
            <w:tcW w:w="637" w:type="pct"/>
            <w:gridSpan w:val="2"/>
            <w:shd w:val="clear" w:color="auto" w:fill="auto"/>
            <w:tcMar>
              <w:top w:w="57" w:type="dxa"/>
              <w:left w:w="108" w:type="dxa"/>
              <w:right w:w="108" w:type="dxa"/>
            </w:tcMar>
          </w:tcPr>
          <w:p w14:paraId="4D6BDC51" w14:textId="77777777" w:rsidR="00561B47" w:rsidRPr="006A58B3" w:rsidRDefault="00561B47" w:rsidP="00561B47">
            <w:pPr>
              <w:keepNext/>
              <w:keepLines/>
              <w:jc w:val="center"/>
              <w:rPr>
                <w:b/>
                <w:color w:val="00B050"/>
                <w:sz w:val="16"/>
                <w:szCs w:val="16"/>
              </w:rPr>
            </w:pPr>
            <w:r w:rsidRPr="006A58B3">
              <w:rPr>
                <w:b/>
                <w:color w:val="00B050"/>
                <w:sz w:val="16"/>
                <w:szCs w:val="16"/>
              </w:rPr>
              <w:t>En bonne voie</w:t>
            </w:r>
          </w:p>
        </w:tc>
      </w:tr>
      <w:tr w:rsidR="00561B47" w:rsidRPr="00266EB9" w14:paraId="06FA75E7" w14:textId="77777777" w:rsidTr="006A58B3">
        <w:trPr>
          <w:gridAfter w:val="2"/>
          <w:wAfter w:w="52" w:type="pct"/>
          <w:cantSplit/>
        </w:trPr>
        <w:tc>
          <w:tcPr>
            <w:tcW w:w="793" w:type="pct"/>
            <w:shd w:val="clear" w:color="auto" w:fill="auto"/>
            <w:tcMar>
              <w:left w:w="108" w:type="dxa"/>
              <w:right w:w="108" w:type="dxa"/>
            </w:tcMar>
          </w:tcPr>
          <w:p w14:paraId="39C31122" w14:textId="77777777" w:rsidR="00561B47" w:rsidRPr="00266EB9" w:rsidRDefault="00561B47" w:rsidP="00561B47">
            <w:pPr>
              <w:rPr>
                <w:color w:val="000000"/>
                <w:sz w:val="16"/>
                <w:szCs w:val="16"/>
              </w:rPr>
            </w:pPr>
            <w:r w:rsidRPr="00266EB9">
              <w:rPr>
                <w:sz w:val="16"/>
                <w:szCs w:val="16"/>
              </w:rPr>
              <w:t>Nombre total d’enregistrements (Madrid)</w:t>
            </w:r>
          </w:p>
        </w:tc>
        <w:tc>
          <w:tcPr>
            <w:tcW w:w="1377" w:type="pct"/>
            <w:shd w:val="clear" w:color="auto" w:fill="auto"/>
            <w:tcMar>
              <w:left w:w="108" w:type="dxa"/>
              <w:right w:w="108" w:type="dxa"/>
            </w:tcMar>
          </w:tcPr>
          <w:p w14:paraId="0B750C76"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246BCCCE" w14:textId="77777777" w:rsidR="00561B47" w:rsidRPr="00266EB9" w:rsidRDefault="00561B47" w:rsidP="00561B47">
            <w:pPr>
              <w:rPr>
                <w:color w:val="002060"/>
                <w:sz w:val="16"/>
                <w:szCs w:val="16"/>
                <w:lang w:bidi="th-TH"/>
              </w:rPr>
            </w:pPr>
            <w:r w:rsidRPr="00266EB9">
              <w:rPr>
                <w:color w:val="002060"/>
                <w:sz w:val="16"/>
                <w:szCs w:val="16"/>
                <w:lang w:bidi="th-TH"/>
              </w:rPr>
              <w:t>625 765 active registrations</w:t>
            </w:r>
          </w:p>
          <w:p w14:paraId="569CCEAE" w14:textId="77777777" w:rsidR="00561B47" w:rsidRPr="002655A7" w:rsidRDefault="00561B47" w:rsidP="00561B47">
            <w:pPr>
              <w:rPr>
                <w:color w:val="002060"/>
                <w:sz w:val="16"/>
                <w:szCs w:val="16"/>
                <w:lang w:bidi="th-TH"/>
              </w:rPr>
            </w:pPr>
            <w:r w:rsidRPr="002655A7">
              <w:rPr>
                <w:color w:val="002060"/>
                <w:sz w:val="16"/>
                <w:szCs w:val="16"/>
                <w:lang w:bidi="th-TH"/>
              </w:rPr>
              <w:t>(au 31 décembre 2015)</w:t>
            </w:r>
            <w:r w:rsidRPr="002655A7">
              <w:rPr>
                <w:rStyle w:val="FootnoteReference"/>
                <w:rFonts w:cs="Arial"/>
                <w:color w:val="002060"/>
                <w:lang w:bidi="th-TH"/>
              </w:rPr>
              <w:footnoteReference w:id="29"/>
            </w:r>
          </w:p>
          <w:p w14:paraId="58B1CCDD" w14:textId="77777777" w:rsidR="00561B47" w:rsidRPr="00266EB9" w:rsidRDefault="00561B47" w:rsidP="00561B47">
            <w:pPr>
              <w:rPr>
                <w:i/>
                <w:sz w:val="16"/>
                <w:szCs w:val="16"/>
                <w:lang w:bidi="th-TH"/>
              </w:rPr>
            </w:pPr>
          </w:p>
          <w:p w14:paraId="380D2A74"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6C227AC1" w14:textId="77777777" w:rsidR="00561B47" w:rsidRPr="00266EB9" w:rsidRDefault="00561B47" w:rsidP="00561B47">
            <w:pPr>
              <w:rPr>
                <w:color w:val="000000"/>
                <w:sz w:val="16"/>
                <w:szCs w:val="16"/>
              </w:rPr>
            </w:pPr>
            <w:r w:rsidRPr="00266EB9">
              <w:rPr>
                <w:sz w:val="16"/>
                <w:szCs w:val="16"/>
              </w:rPr>
              <w:t xml:space="preserve">594 477 </w:t>
            </w:r>
            <w:r w:rsidRPr="00266EB9">
              <w:rPr>
                <w:color w:val="000000"/>
                <w:sz w:val="16"/>
                <w:szCs w:val="16"/>
              </w:rPr>
              <w:t>enregistrements</w:t>
            </w:r>
          </w:p>
          <w:p w14:paraId="01CC3D6C" w14:textId="77777777" w:rsidR="00561B47" w:rsidRPr="00266EB9" w:rsidRDefault="00561B47" w:rsidP="00561B47">
            <w:pPr>
              <w:rPr>
                <w:color w:val="002060"/>
                <w:sz w:val="16"/>
                <w:szCs w:val="16"/>
              </w:rPr>
            </w:pPr>
            <w:r w:rsidRPr="00266EB9">
              <w:rPr>
                <w:sz w:val="16"/>
                <w:szCs w:val="16"/>
              </w:rPr>
              <w:t>(au 31 décembre 2014)</w:t>
            </w:r>
          </w:p>
        </w:tc>
        <w:tc>
          <w:tcPr>
            <w:tcW w:w="936" w:type="pct"/>
            <w:gridSpan w:val="2"/>
            <w:shd w:val="clear" w:color="auto" w:fill="auto"/>
            <w:tcMar>
              <w:top w:w="57" w:type="dxa"/>
              <w:left w:w="108" w:type="dxa"/>
              <w:right w:w="108" w:type="dxa"/>
            </w:tcMar>
          </w:tcPr>
          <w:p w14:paraId="135CFCBA" w14:textId="77777777" w:rsidR="00561B47" w:rsidRPr="00266EB9" w:rsidRDefault="00561B47" w:rsidP="00561B47">
            <w:pPr>
              <w:keepNext/>
              <w:keepLines/>
              <w:rPr>
                <w:color w:val="000000"/>
                <w:sz w:val="16"/>
                <w:szCs w:val="16"/>
              </w:rPr>
            </w:pPr>
            <w:r w:rsidRPr="00266EB9">
              <w:rPr>
                <w:color w:val="000000"/>
                <w:sz w:val="16"/>
                <w:szCs w:val="16"/>
              </w:rPr>
              <w:t xml:space="preserve">2016 : 630 000 enregistrements </w:t>
            </w:r>
            <w:r w:rsidRPr="00266EB9">
              <w:rPr>
                <w:color w:val="000000"/>
                <w:sz w:val="16"/>
                <w:szCs w:val="16"/>
              </w:rPr>
              <w:br/>
              <w:t>2017 : 650 000 enregistrements</w:t>
            </w:r>
          </w:p>
        </w:tc>
        <w:tc>
          <w:tcPr>
            <w:tcW w:w="1205" w:type="pct"/>
            <w:shd w:val="clear" w:color="auto" w:fill="FFFFFF"/>
            <w:tcMar>
              <w:top w:w="57" w:type="dxa"/>
              <w:left w:w="108" w:type="dxa"/>
              <w:right w:w="108" w:type="dxa"/>
            </w:tcMar>
          </w:tcPr>
          <w:p w14:paraId="715830A7" w14:textId="77777777" w:rsidR="00561B47" w:rsidRPr="00266EB9" w:rsidRDefault="00561B47" w:rsidP="00561B47">
            <w:pPr>
              <w:keepNext/>
              <w:keepLines/>
              <w:rPr>
                <w:color w:val="000000"/>
                <w:sz w:val="16"/>
                <w:szCs w:val="16"/>
              </w:rPr>
            </w:pPr>
            <w:r w:rsidRPr="00266EB9">
              <w:rPr>
                <w:color w:val="000000"/>
                <w:sz w:val="16"/>
                <w:szCs w:val="16"/>
              </w:rPr>
              <w:t xml:space="preserve">641 587 enregistrements </w:t>
            </w:r>
          </w:p>
        </w:tc>
        <w:tc>
          <w:tcPr>
            <w:tcW w:w="637" w:type="pct"/>
            <w:gridSpan w:val="2"/>
            <w:shd w:val="clear" w:color="auto" w:fill="auto"/>
            <w:tcMar>
              <w:top w:w="57" w:type="dxa"/>
              <w:left w:w="108" w:type="dxa"/>
              <w:right w:w="108" w:type="dxa"/>
            </w:tcMar>
          </w:tcPr>
          <w:p w14:paraId="5F4F79A4" w14:textId="77777777" w:rsidR="00561B47" w:rsidRPr="00266EB9" w:rsidRDefault="00561B47" w:rsidP="00561B47">
            <w:pPr>
              <w:keepNext/>
              <w:keepLines/>
              <w:jc w:val="center"/>
              <w:rPr>
                <w:color w:val="000000"/>
                <w:sz w:val="16"/>
                <w:szCs w:val="16"/>
              </w:rPr>
            </w:pPr>
            <w:r w:rsidRPr="00266EB9">
              <w:rPr>
                <w:b/>
                <w:color w:val="00B050"/>
                <w:sz w:val="16"/>
                <w:szCs w:val="16"/>
              </w:rPr>
              <w:t>En bonne voie</w:t>
            </w:r>
          </w:p>
        </w:tc>
      </w:tr>
      <w:tr w:rsidR="00561B47" w:rsidRPr="00266EB9" w14:paraId="73DDABAC" w14:textId="77777777" w:rsidTr="006A58B3">
        <w:trPr>
          <w:gridAfter w:val="2"/>
          <w:wAfter w:w="52" w:type="pct"/>
          <w:cantSplit/>
        </w:trPr>
        <w:tc>
          <w:tcPr>
            <w:tcW w:w="793" w:type="pct"/>
            <w:shd w:val="clear" w:color="auto" w:fill="auto"/>
            <w:tcMar>
              <w:left w:w="108" w:type="dxa"/>
              <w:right w:w="108" w:type="dxa"/>
            </w:tcMar>
          </w:tcPr>
          <w:p w14:paraId="5189D2EB" w14:textId="77777777" w:rsidR="00561B47" w:rsidRPr="00266EB9" w:rsidRDefault="00561B47" w:rsidP="00561B47">
            <w:pPr>
              <w:rPr>
                <w:color w:val="000000"/>
                <w:sz w:val="16"/>
                <w:szCs w:val="16"/>
              </w:rPr>
            </w:pPr>
            <w:r w:rsidRPr="00266EB9">
              <w:rPr>
                <w:sz w:val="16"/>
                <w:szCs w:val="16"/>
              </w:rPr>
              <w:t>Nombre total de désignations (Madrid)</w:t>
            </w:r>
          </w:p>
        </w:tc>
        <w:tc>
          <w:tcPr>
            <w:tcW w:w="1377" w:type="pct"/>
            <w:shd w:val="clear" w:color="auto" w:fill="auto"/>
            <w:tcMar>
              <w:left w:w="108" w:type="dxa"/>
              <w:right w:w="108" w:type="dxa"/>
            </w:tcMar>
          </w:tcPr>
          <w:p w14:paraId="2F6D5D76"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11A7346A" w14:textId="77777777" w:rsidR="00561B47" w:rsidRPr="00266EB9" w:rsidRDefault="00561B47" w:rsidP="00561B47">
            <w:pPr>
              <w:rPr>
                <w:color w:val="002060"/>
                <w:sz w:val="16"/>
                <w:szCs w:val="16"/>
              </w:rPr>
            </w:pPr>
            <w:r w:rsidRPr="00266EB9">
              <w:rPr>
                <w:color w:val="002060"/>
                <w:sz w:val="16"/>
                <w:szCs w:val="16"/>
              </w:rPr>
              <w:t>5,66 millions de désignations actives</w:t>
            </w:r>
          </w:p>
          <w:p w14:paraId="569270FE" w14:textId="77777777" w:rsidR="00561B47" w:rsidRPr="002655A7" w:rsidRDefault="00561B47" w:rsidP="00561B47">
            <w:pPr>
              <w:rPr>
                <w:color w:val="002060"/>
                <w:sz w:val="16"/>
                <w:szCs w:val="16"/>
              </w:rPr>
            </w:pPr>
            <w:r w:rsidRPr="002655A7">
              <w:rPr>
                <w:color w:val="002060"/>
                <w:sz w:val="16"/>
                <w:szCs w:val="16"/>
              </w:rPr>
              <w:t>(au 31 décembre 2015)</w:t>
            </w:r>
          </w:p>
          <w:p w14:paraId="4B0599BD" w14:textId="77777777" w:rsidR="00561B47" w:rsidRPr="00266EB9" w:rsidRDefault="00561B47" w:rsidP="00561B47">
            <w:pPr>
              <w:rPr>
                <w:color w:val="000000"/>
                <w:sz w:val="16"/>
                <w:szCs w:val="16"/>
              </w:rPr>
            </w:pPr>
          </w:p>
          <w:p w14:paraId="30E7BCDB"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4544E531" w14:textId="77777777" w:rsidR="00561B47" w:rsidRPr="00266EB9" w:rsidRDefault="00561B47" w:rsidP="00561B47">
            <w:pPr>
              <w:rPr>
                <w:color w:val="000000"/>
                <w:sz w:val="16"/>
                <w:szCs w:val="16"/>
              </w:rPr>
            </w:pPr>
            <w:r w:rsidRPr="00266EB9">
              <w:rPr>
                <w:color w:val="000000"/>
                <w:sz w:val="16"/>
                <w:szCs w:val="16"/>
              </w:rPr>
              <w:t>5,61 millions de désignations</w:t>
            </w:r>
          </w:p>
          <w:p w14:paraId="7F195526" w14:textId="77777777" w:rsidR="00561B47" w:rsidRPr="00266EB9" w:rsidRDefault="00561B47" w:rsidP="00561B47">
            <w:pPr>
              <w:rPr>
                <w:color w:val="002060"/>
                <w:sz w:val="16"/>
                <w:szCs w:val="16"/>
              </w:rPr>
            </w:pPr>
            <w:r w:rsidRPr="00266EB9">
              <w:rPr>
                <w:sz w:val="16"/>
                <w:szCs w:val="16"/>
              </w:rPr>
              <w:t>(au 31 décembre 2014)</w:t>
            </w:r>
          </w:p>
        </w:tc>
        <w:tc>
          <w:tcPr>
            <w:tcW w:w="936" w:type="pct"/>
            <w:gridSpan w:val="2"/>
            <w:shd w:val="clear" w:color="auto" w:fill="auto"/>
            <w:tcMar>
              <w:top w:w="57" w:type="dxa"/>
              <w:left w:w="108" w:type="dxa"/>
              <w:right w:w="108" w:type="dxa"/>
            </w:tcMar>
          </w:tcPr>
          <w:p w14:paraId="09E49688" w14:textId="77777777" w:rsidR="00561B47" w:rsidRPr="00266EB9" w:rsidRDefault="00561B47" w:rsidP="00561B47">
            <w:pPr>
              <w:keepNext/>
              <w:keepLines/>
              <w:rPr>
                <w:color w:val="000000"/>
                <w:sz w:val="16"/>
                <w:szCs w:val="16"/>
              </w:rPr>
            </w:pPr>
            <w:r w:rsidRPr="00266EB9">
              <w:rPr>
                <w:color w:val="000000"/>
                <w:sz w:val="16"/>
                <w:szCs w:val="16"/>
              </w:rPr>
              <w:t>2016 : 5,68 millions de désignations</w:t>
            </w:r>
            <w:r w:rsidRPr="00266EB9">
              <w:rPr>
                <w:color w:val="000000"/>
                <w:sz w:val="16"/>
                <w:szCs w:val="16"/>
              </w:rPr>
              <w:br/>
            </w:r>
          </w:p>
          <w:p w14:paraId="216F9F53" w14:textId="77777777" w:rsidR="00561B47" w:rsidRPr="00266EB9" w:rsidRDefault="00561B47" w:rsidP="00561B47">
            <w:pPr>
              <w:keepNext/>
              <w:keepLines/>
              <w:rPr>
                <w:color w:val="000000"/>
                <w:sz w:val="16"/>
                <w:szCs w:val="16"/>
              </w:rPr>
            </w:pPr>
            <w:r w:rsidRPr="00266EB9">
              <w:rPr>
                <w:color w:val="000000"/>
                <w:sz w:val="16"/>
                <w:szCs w:val="16"/>
              </w:rPr>
              <w:t>2017 : 5,7 millions de désignations</w:t>
            </w:r>
          </w:p>
        </w:tc>
        <w:tc>
          <w:tcPr>
            <w:tcW w:w="1205" w:type="pct"/>
            <w:shd w:val="clear" w:color="auto" w:fill="FFFFFF"/>
            <w:tcMar>
              <w:top w:w="57" w:type="dxa"/>
              <w:left w:w="108" w:type="dxa"/>
              <w:right w:w="108" w:type="dxa"/>
            </w:tcMar>
          </w:tcPr>
          <w:p w14:paraId="523FE44E" w14:textId="77777777" w:rsidR="00561B47" w:rsidRPr="00266EB9" w:rsidRDefault="00561B47" w:rsidP="00561B47">
            <w:pPr>
              <w:keepNext/>
              <w:keepLines/>
              <w:rPr>
                <w:color w:val="000000"/>
                <w:sz w:val="16"/>
                <w:szCs w:val="16"/>
              </w:rPr>
            </w:pPr>
            <w:r w:rsidRPr="00266EB9">
              <w:rPr>
                <w:color w:val="000000"/>
                <w:sz w:val="16"/>
                <w:szCs w:val="16"/>
              </w:rPr>
              <w:t xml:space="preserve">5,69 millions de désignations </w:t>
            </w:r>
          </w:p>
        </w:tc>
        <w:tc>
          <w:tcPr>
            <w:tcW w:w="637" w:type="pct"/>
            <w:gridSpan w:val="2"/>
            <w:shd w:val="clear" w:color="auto" w:fill="auto"/>
            <w:tcMar>
              <w:top w:w="57" w:type="dxa"/>
              <w:left w:w="108" w:type="dxa"/>
              <w:right w:w="108" w:type="dxa"/>
            </w:tcMar>
          </w:tcPr>
          <w:p w14:paraId="7826642B" w14:textId="77777777" w:rsidR="00561B47" w:rsidRPr="006A58B3" w:rsidRDefault="00561B47" w:rsidP="00561B47">
            <w:pPr>
              <w:keepNext/>
              <w:keepLines/>
              <w:jc w:val="center"/>
              <w:rPr>
                <w:b/>
                <w:color w:val="00B050"/>
                <w:sz w:val="16"/>
                <w:szCs w:val="16"/>
              </w:rPr>
            </w:pPr>
            <w:r w:rsidRPr="006A58B3">
              <w:rPr>
                <w:b/>
                <w:color w:val="00B050"/>
                <w:sz w:val="16"/>
                <w:szCs w:val="16"/>
              </w:rPr>
              <w:t>En bonne voie</w:t>
            </w:r>
          </w:p>
        </w:tc>
      </w:tr>
      <w:tr w:rsidR="00561B47" w:rsidRPr="00266EB9" w14:paraId="223D1C25" w14:textId="77777777" w:rsidTr="006A58B3">
        <w:trPr>
          <w:gridAfter w:val="2"/>
          <w:wAfter w:w="52" w:type="pct"/>
          <w:cantSplit/>
        </w:trPr>
        <w:tc>
          <w:tcPr>
            <w:tcW w:w="793" w:type="pct"/>
            <w:shd w:val="clear" w:color="auto" w:fill="auto"/>
            <w:tcMar>
              <w:left w:w="108" w:type="dxa"/>
              <w:right w:w="108" w:type="dxa"/>
            </w:tcMar>
          </w:tcPr>
          <w:p w14:paraId="1A0FCE76" w14:textId="77777777" w:rsidR="00561B47" w:rsidRPr="00266EB9" w:rsidRDefault="00561B47" w:rsidP="00561B47">
            <w:pPr>
              <w:rPr>
                <w:color w:val="000000"/>
                <w:sz w:val="16"/>
                <w:szCs w:val="16"/>
              </w:rPr>
            </w:pPr>
            <w:r w:rsidRPr="00266EB9">
              <w:rPr>
                <w:sz w:val="16"/>
                <w:szCs w:val="16"/>
              </w:rPr>
              <w:t>Taux d’irrégularité (articles 12 et 13) (Madrid)</w:t>
            </w:r>
          </w:p>
        </w:tc>
        <w:tc>
          <w:tcPr>
            <w:tcW w:w="1377" w:type="pct"/>
            <w:shd w:val="clear" w:color="auto" w:fill="auto"/>
            <w:tcMar>
              <w:left w:w="108" w:type="dxa"/>
              <w:right w:w="108" w:type="dxa"/>
            </w:tcMar>
          </w:tcPr>
          <w:p w14:paraId="6B704AC6"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4DF179D3" w14:textId="77777777" w:rsidR="00561B47" w:rsidRPr="00266EB9" w:rsidRDefault="00561B47" w:rsidP="00561B47">
            <w:pPr>
              <w:rPr>
                <w:color w:val="002060"/>
                <w:sz w:val="16"/>
                <w:szCs w:val="16"/>
              </w:rPr>
            </w:pPr>
            <w:r w:rsidRPr="00266EB9">
              <w:rPr>
                <w:rFonts w:hint="eastAsia"/>
                <w:color w:val="002060"/>
                <w:sz w:val="16"/>
                <w:szCs w:val="16"/>
              </w:rPr>
              <w:t>–</w:t>
            </w:r>
            <w:r w:rsidRPr="00266EB9">
              <w:rPr>
                <w:color w:val="002060"/>
                <w:sz w:val="16"/>
                <w:szCs w:val="16"/>
              </w:rPr>
              <w:t xml:space="preserve"> 2015 : 39% ou 19 216 demandes irrégulières</w:t>
            </w:r>
          </w:p>
          <w:p w14:paraId="43DB8312" w14:textId="77777777" w:rsidR="00561B47" w:rsidRPr="002655A7" w:rsidRDefault="00561B47" w:rsidP="00561B47">
            <w:pPr>
              <w:pStyle w:val="ListParagraph"/>
              <w:ind w:left="0"/>
              <w:contextualSpacing w:val="0"/>
              <w:rPr>
                <w:rFonts w:ascii="Arial" w:hAnsi="Arial" w:cs="Arial"/>
                <w:color w:val="002060"/>
                <w:sz w:val="16"/>
                <w:szCs w:val="16"/>
              </w:rPr>
            </w:pPr>
            <w:r>
              <w:rPr>
                <w:rFonts w:ascii="Arial" w:hAnsi="Arial" w:cs="Arial"/>
                <w:color w:val="002060"/>
                <w:sz w:val="16"/>
                <w:szCs w:val="16"/>
              </w:rPr>
              <w:t xml:space="preserve">– </w:t>
            </w:r>
            <w:r w:rsidRPr="00266EB9">
              <w:rPr>
                <w:rFonts w:ascii="Arial" w:hAnsi="Arial" w:cs="Arial"/>
                <w:color w:val="002060"/>
                <w:sz w:val="16"/>
                <w:szCs w:val="16"/>
              </w:rPr>
              <w:t>2014 : 34%</w:t>
            </w:r>
            <w:r w:rsidRPr="00266EB9">
              <w:rPr>
                <w:rStyle w:val="FootnoteReference"/>
                <w:rFonts w:eastAsiaTheme="minorEastAsia" w:cs="Arial"/>
                <w:color w:val="002060"/>
                <w:szCs w:val="16"/>
              </w:rPr>
              <w:footnoteReference w:id="30"/>
            </w:r>
            <w:r w:rsidRPr="00266EB9">
              <w:rPr>
                <w:rFonts w:ascii="Arial" w:hAnsi="Arial" w:cs="Arial"/>
                <w:color w:val="002060"/>
                <w:sz w:val="16"/>
                <w:szCs w:val="16"/>
              </w:rPr>
              <w:t xml:space="preserve"> ou 1</w:t>
            </w:r>
            <w:r w:rsidRPr="002655A7">
              <w:rPr>
                <w:rFonts w:ascii="Arial" w:hAnsi="Arial" w:cs="Arial"/>
                <w:color w:val="002060"/>
                <w:sz w:val="16"/>
                <w:szCs w:val="16"/>
              </w:rPr>
              <w:t>6 281 demandes irrégulières</w:t>
            </w:r>
          </w:p>
          <w:p w14:paraId="57402733" w14:textId="77777777" w:rsidR="00561B47" w:rsidRPr="002655A7" w:rsidRDefault="00561B47" w:rsidP="00561B47">
            <w:pPr>
              <w:rPr>
                <w:color w:val="002060"/>
                <w:sz w:val="16"/>
                <w:szCs w:val="16"/>
              </w:rPr>
            </w:pPr>
          </w:p>
          <w:p w14:paraId="532CAB50" w14:textId="77777777" w:rsidR="00561B47" w:rsidRPr="002655A7" w:rsidRDefault="00561B47" w:rsidP="00561B47">
            <w:pPr>
              <w:rPr>
                <w:color w:val="002060"/>
                <w:sz w:val="16"/>
                <w:szCs w:val="16"/>
              </w:rPr>
            </w:pPr>
            <w:r w:rsidRPr="002655A7">
              <w:rPr>
                <w:color w:val="002060"/>
                <w:sz w:val="16"/>
                <w:szCs w:val="16"/>
              </w:rPr>
              <w:t>Termes acceptables dans la base de données sur les produits et services du système de Madrid (MGS) (en anglais) 76 300</w:t>
            </w:r>
          </w:p>
          <w:p w14:paraId="0338AED7" w14:textId="5C1B4BBF" w:rsidR="00561B47" w:rsidRPr="00AA64E5" w:rsidRDefault="00561B47" w:rsidP="00AA64E5">
            <w:pPr>
              <w:rPr>
                <w:color w:val="002060"/>
                <w:sz w:val="16"/>
                <w:szCs w:val="16"/>
                <w:lang w:bidi="th-TH"/>
              </w:rPr>
            </w:pPr>
            <w:r w:rsidRPr="002655A7">
              <w:rPr>
                <w:color w:val="002060"/>
                <w:sz w:val="16"/>
                <w:szCs w:val="16"/>
                <w:lang w:bidi="th-TH"/>
              </w:rPr>
              <w:t>(au 31 décembre 2015)</w:t>
            </w:r>
          </w:p>
          <w:p w14:paraId="6EA3157D" w14:textId="135CF4EC" w:rsidR="00561B47" w:rsidRPr="00266EB9" w:rsidRDefault="00561B47" w:rsidP="00561B47">
            <w:pPr>
              <w:rPr>
                <w:color w:val="000000"/>
                <w:sz w:val="16"/>
                <w:szCs w:val="16"/>
              </w:rPr>
            </w:pPr>
          </w:p>
        </w:tc>
        <w:tc>
          <w:tcPr>
            <w:tcW w:w="936" w:type="pct"/>
            <w:gridSpan w:val="2"/>
            <w:shd w:val="clear" w:color="auto" w:fill="auto"/>
            <w:tcMar>
              <w:top w:w="57" w:type="dxa"/>
              <w:left w:w="108" w:type="dxa"/>
              <w:right w:w="108" w:type="dxa"/>
            </w:tcMar>
          </w:tcPr>
          <w:p w14:paraId="017C3EF2" w14:textId="77777777" w:rsidR="00561B47" w:rsidRPr="00266EB9" w:rsidRDefault="00561B47" w:rsidP="00561B47">
            <w:pPr>
              <w:rPr>
                <w:color w:val="000000"/>
                <w:sz w:val="16"/>
                <w:szCs w:val="16"/>
              </w:rPr>
            </w:pPr>
            <w:r w:rsidRPr="00266EB9">
              <w:rPr>
                <w:sz w:val="16"/>
                <w:szCs w:val="16"/>
              </w:rPr>
              <w:t>Baisse</w:t>
            </w:r>
          </w:p>
          <w:p w14:paraId="168777FF" w14:textId="77777777" w:rsidR="00561B47" w:rsidRPr="00266EB9" w:rsidRDefault="00561B47" w:rsidP="00561B47">
            <w:pPr>
              <w:rPr>
                <w:color w:val="000000"/>
                <w:sz w:val="16"/>
                <w:szCs w:val="16"/>
              </w:rPr>
            </w:pPr>
          </w:p>
          <w:p w14:paraId="66134050" w14:textId="77777777" w:rsidR="00561B47" w:rsidRPr="00266EB9" w:rsidRDefault="00561B47" w:rsidP="00561B47">
            <w:pPr>
              <w:rPr>
                <w:color w:val="000000"/>
                <w:sz w:val="16"/>
                <w:szCs w:val="16"/>
              </w:rPr>
            </w:pPr>
          </w:p>
          <w:p w14:paraId="0B9717C4" w14:textId="77777777" w:rsidR="00561B47" w:rsidRPr="00266EB9" w:rsidRDefault="00561B47" w:rsidP="00561B47">
            <w:pPr>
              <w:rPr>
                <w:color w:val="000000"/>
                <w:sz w:val="16"/>
                <w:szCs w:val="16"/>
              </w:rPr>
            </w:pPr>
          </w:p>
          <w:p w14:paraId="3E777C24" w14:textId="77777777" w:rsidR="00561B47" w:rsidRPr="00266EB9" w:rsidRDefault="00561B47" w:rsidP="00561B47">
            <w:pPr>
              <w:rPr>
                <w:color w:val="000000"/>
                <w:sz w:val="16"/>
                <w:szCs w:val="16"/>
              </w:rPr>
            </w:pPr>
          </w:p>
          <w:p w14:paraId="08E244ED" w14:textId="77777777" w:rsidR="00561B47" w:rsidRPr="00266EB9" w:rsidRDefault="00561B47" w:rsidP="00561B47">
            <w:pPr>
              <w:rPr>
                <w:color w:val="000000"/>
                <w:sz w:val="16"/>
                <w:szCs w:val="16"/>
              </w:rPr>
            </w:pPr>
          </w:p>
          <w:p w14:paraId="6B7AF563" w14:textId="77777777" w:rsidR="00561B47" w:rsidRPr="00266EB9" w:rsidRDefault="00561B47" w:rsidP="00561B47">
            <w:pPr>
              <w:rPr>
                <w:color w:val="000000"/>
                <w:sz w:val="16"/>
                <w:szCs w:val="16"/>
              </w:rPr>
            </w:pPr>
          </w:p>
          <w:p w14:paraId="6724C721" w14:textId="77777777" w:rsidR="00561B47" w:rsidRPr="00266EB9" w:rsidRDefault="00561B47" w:rsidP="00561B47">
            <w:pPr>
              <w:rPr>
                <w:color w:val="000000"/>
                <w:sz w:val="16"/>
                <w:szCs w:val="16"/>
              </w:rPr>
            </w:pPr>
          </w:p>
          <w:p w14:paraId="08F83A0C" w14:textId="77777777" w:rsidR="00561B47" w:rsidRPr="00266EB9" w:rsidRDefault="00561B47" w:rsidP="00561B47">
            <w:pPr>
              <w:rPr>
                <w:i/>
                <w:color w:val="002060"/>
                <w:sz w:val="16"/>
                <w:szCs w:val="16"/>
              </w:rPr>
            </w:pPr>
          </w:p>
          <w:p w14:paraId="35D797E8" w14:textId="77777777" w:rsidR="00561B47" w:rsidRPr="00266EB9" w:rsidRDefault="00561B47" w:rsidP="00561B47">
            <w:pPr>
              <w:rPr>
                <w:i/>
                <w:color w:val="002060"/>
                <w:sz w:val="16"/>
                <w:szCs w:val="16"/>
              </w:rPr>
            </w:pPr>
            <w:r w:rsidRPr="00266EB9">
              <w:rPr>
                <w:i/>
                <w:color w:val="002060"/>
                <w:sz w:val="16"/>
                <w:szCs w:val="16"/>
              </w:rPr>
              <w:t>Objectif actualisé :</w:t>
            </w:r>
          </w:p>
          <w:p w14:paraId="2AEB65F1" w14:textId="77777777" w:rsidR="00561B47" w:rsidRPr="00266EB9" w:rsidRDefault="00561B47" w:rsidP="00561B47">
            <w:pPr>
              <w:keepNext/>
              <w:keepLines/>
              <w:rPr>
                <w:color w:val="002060"/>
                <w:sz w:val="16"/>
                <w:szCs w:val="16"/>
              </w:rPr>
            </w:pPr>
            <w:r w:rsidRPr="00266EB9">
              <w:rPr>
                <w:color w:val="002060"/>
                <w:sz w:val="16"/>
                <w:szCs w:val="16"/>
              </w:rPr>
              <w:t>2016 : 80 000</w:t>
            </w:r>
          </w:p>
          <w:p w14:paraId="13D9A535" w14:textId="1E35BFCC" w:rsidR="00561B47" w:rsidRPr="00AA64E5" w:rsidRDefault="00561B47" w:rsidP="00AA64E5">
            <w:pPr>
              <w:keepNext/>
              <w:keepLines/>
              <w:rPr>
                <w:color w:val="002060"/>
                <w:sz w:val="16"/>
                <w:szCs w:val="16"/>
              </w:rPr>
            </w:pPr>
            <w:r w:rsidRPr="00266EB9">
              <w:rPr>
                <w:color w:val="002060"/>
                <w:sz w:val="16"/>
                <w:szCs w:val="16"/>
              </w:rPr>
              <w:t>2017 : 90 000</w:t>
            </w:r>
          </w:p>
          <w:p w14:paraId="62D64B8B" w14:textId="13376137" w:rsidR="00561B47" w:rsidRPr="00266EB9" w:rsidRDefault="00561B47" w:rsidP="00561B47">
            <w:pPr>
              <w:rPr>
                <w:color w:val="000000"/>
                <w:sz w:val="16"/>
                <w:szCs w:val="16"/>
              </w:rPr>
            </w:pPr>
          </w:p>
        </w:tc>
        <w:tc>
          <w:tcPr>
            <w:tcW w:w="1205" w:type="pct"/>
            <w:shd w:val="clear" w:color="auto" w:fill="FFFFFF"/>
            <w:tcMar>
              <w:top w:w="57" w:type="dxa"/>
              <w:left w:w="108" w:type="dxa"/>
              <w:right w:w="108" w:type="dxa"/>
            </w:tcMar>
          </w:tcPr>
          <w:p w14:paraId="521CF2A7" w14:textId="77777777" w:rsidR="00561B47" w:rsidRPr="00266EB9" w:rsidRDefault="00561B47" w:rsidP="00561B47">
            <w:pPr>
              <w:keepNext/>
              <w:keepLines/>
              <w:rPr>
                <w:color w:val="000000" w:themeColor="text1"/>
                <w:sz w:val="16"/>
                <w:szCs w:val="16"/>
              </w:rPr>
            </w:pPr>
            <w:r w:rsidRPr="00266EB9">
              <w:rPr>
                <w:sz w:val="16"/>
                <w:szCs w:val="16"/>
              </w:rPr>
              <w:t>Taux d’irrégularité : 38%</w:t>
            </w:r>
          </w:p>
          <w:p w14:paraId="3B95E4BC" w14:textId="77777777" w:rsidR="00561B47" w:rsidRPr="00266EB9" w:rsidRDefault="00561B47" w:rsidP="00561B47">
            <w:pPr>
              <w:keepNext/>
              <w:keepLines/>
              <w:rPr>
                <w:color w:val="000000" w:themeColor="text1"/>
                <w:sz w:val="16"/>
                <w:szCs w:val="16"/>
              </w:rPr>
            </w:pPr>
          </w:p>
          <w:p w14:paraId="0074C1A3" w14:textId="77777777" w:rsidR="00561B47" w:rsidRPr="00266EB9" w:rsidRDefault="00561B47" w:rsidP="00561B47">
            <w:pPr>
              <w:keepNext/>
              <w:keepLines/>
              <w:rPr>
                <w:color w:val="000000"/>
                <w:sz w:val="16"/>
                <w:szCs w:val="16"/>
              </w:rPr>
            </w:pPr>
          </w:p>
          <w:p w14:paraId="1A354CAE" w14:textId="77777777" w:rsidR="00561B47" w:rsidRPr="00266EB9" w:rsidRDefault="00561B47" w:rsidP="00561B47">
            <w:pPr>
              <w:keepNext/>
              <w:keepLines/>
              <w:rPr>
                <w:color w:val="000000"/>
                <w:sz w:val="16"/>
                <w:szCs w:val="16"/>
              </w:rPr>
            </w:pPr>
          </w:p>
          <w:p w14:paraId="09CB671D" w14:textId="77777777" w:rsidR="00561B47" w:rsidRPr="00266EB9" w:rsidRDefault="00561B47" w:rsidP="00561B47">
            <w:pPr>
              <w:keepNext/>
              <w:keepLines/>
              <w:rPr>
                <w:color w:val="000000"/>
                <w:sz w:val="16"/>
                <w:szCs w:val="16"/>
              </w:rPr>
            </w:pPr>
          </w:p>
          <w:p w14:paraId="5B3F6F7B" w14:textId="77777777" w:rsidR="00561B47" w:rsidRPr="00266EB9" w:rsidRDefault="00561B47" w:rsidP="00561B47">
            <w:pPr>
              <w:keepNext/>
              <w:keepLines/>
              <w:rPr>
                <w:color w:val="000000"/>
                <w:sz w:val="16"/>
                <w:szCs w:val="16"/>
              </w:rPr>
            </w:pPr>
          </w:p>
          <w:p w14:paraId="2BA49CC3" w14:textId="77777777" w:rsidR="00561B47" w:rsidRPr="00266EB9" w:rsidRDefault="00561B47" w:rsidP="00561B47">
            <w:pPr>
              <w:keepNext/>
              <w:keepLines/>
              <w:rPr>
                <w:color w:val="000000"/>
                <w:sz w:val="16"/>
                <w:szCs w:val="16"/>
              </w:rPr>
            </w:pPr>
          </w:p>
          <w:p w14:paraId="651EA341" w14:textId="77777777" w:rsidR="00561B47" w:rsidRPr="00266EB9" w:rsidRDefault="00561B47" w:rsidP="00561B47">
            <w:pPr>
              <w:keepNext/>
              <w:keepLines/>
              <w:rPr>
                <w:color w:val="000000"/>
                <w:sz w:val="16"/>
                <w:szCs w:val="16"/>
              </w:rPr>
            </w:pPr>
          </w:p>
          <w:p w14:paraId="6369DA37" w14:textId="77777777" w:rsidR="00561B47" w:rsidRPr="00266EB9" w:rsidRDefault="00561B47" w:rsidP="00561B47">
            <w:pPr>
              <w:keepNext/>
              <w:keepLines/>
              <w:rPr>
                <w:color w:val="000000"/>
                <w:sz w:val="16"/>
                <w:szCs w:val="16"/>
              </w:rPr>
            </w:pPr>
          </w:p>
          <w:p w14:paraId="6EE55581" w14:textId="77777777" w:rsidR="00561B47" w:rsidRPr="00266EB9" w:rsidRDefault="00561B47" w:rsidP="00561B47">
            <w:pPr>
              <w:keepNext/>
              <w:keepLines/>
              <w:rPr>
                <w:color w:val="000000"/>
                <w:sz w:val="16"/>
                <w:szCs w:val="16"/>
              </w:rPr>
            </w:pPr>
            <w:r w:rsidRPr="00266EB9">
              <w:rPr>
                <w:color w:val="000000"/>
                <w:sz w:val="16"/>
                <w:szCs w:val="16"/>
              </w:rPr>
              <w:t>86 400 termes en anglais</w:t>
            </w:r>
          </w:p>
        </w:tc>
        <w:tc>
          <w:tcPr>
            <w:tcW w:w="637" w:type="pct"/>
            <w:gridSpan w:val="2"/>
            <w:shd w:val="clear" w:color="auto" w:fill="auto"/>
            <w:tcMar>
              <w:top w:w="57" w:type="dxa"/>
              <w:left w:w="108" w:type="dxa"/>
              <w:right w:w="108" w:type="dxa"/>
            </w:tcMar>
          </w:tcPr>
          <w:p w14:paraId="6F0E3AC9" w14:textId="77777777" w:rsidR="00561B47" w:rsidRPr="006A58B3" w:rsidRDefault="00561B47" w:rsidP="00561B47">
            <w:pPr>
              <w:keepNext/>
              <w:keepLines/>
              <w:jc w:val="center"/>
              <w:rPr>
                <w:b/>
                <w:color w:val="00B050"/>
                <w:sz w:val="16"/>
                <w:szCs w:val="16"/>
              </w:rPr>
            </w:pPr>
            <w:r w:rsidRPr="006A58B3">
              <w:rPr>
                <w:b/>
                <w:color w:val="00B050"/>
                <w:sz w:val="16"/>
                <w:szCs w:val="16"/>
              </w:rPr>
              <w:t>En bonne voie</w:t>
            </w:r>
          </w:p>
          <w:p w14:paraId="0FF213B4" w14:textId="77777777" w:rsidR="00561B47" w:rsidRPr="006A58B3" w:rsidRDefault="00561B47" w:rsidP="00561B47">
            <w:pPr>
              <w:keepNext/>
              <w:keepLines/>
              <w:jc w:val="center"/>
              <w:rPr>
                <w:b/>
                <w:color w:val="00B050"/>
                <w:sz w:val="16"/>
                <w:szCs w:val="16"/>
              </w:rPr>
            </w:pPr>
          </w:p>
          <w:p w14:paraId="54EA9C68" w14:textId="77777777" w:rsidR="00561B47" w:rsidRPr="006A58B3" w:rsidRDefault="00561B47" w:rsidP="00561B47">
            <w:pPr>
              <w:keepNext/>
              <w:keepLines/>
              <w:jc w:val="center"/>
              <w:rPr>
                <w:b/>
                <w:color w:val="00B050"/>
                <w:sz w:val="16"/>
                <w:szCs w:val="16"/>
              </w:rPr>
            </w:pPr>
          </w:p>
          <w:p w14:paraId="477F2E94" w14:textId="77777777" w:rsidR="00561B47" w:rsidRPr="006A58B3" w:rsidRDefault="00561B47" w:rsidP="00561B47">
            <w:pPr>
              <w:keepNext/>
              <w:keepLines/>
              <w:jc w:val="center"/>
              <w:rPr>
                <w:b/>
                <w:color w:val="00B050"/>
                <w:sz w:val="16"/>
                <w:szCs w:val="16"/>
              </w:rPr>
            </w:pPr>
          </w:p>
          <w:p w14:paraId="752AB3B6" w14:textId="77777777" w:rsidR="00561B47" w:rsidRPr="006A58B3" w:rsidRDefault="00561B47" w:rsidP="00561B47">
            <w:pPr>
              <w:keepNext/>
              <w:keepLines/>
              <w:jc w:val="center"/>
              <w:rPr>
                <w:b/>
                <w:color w:val="00B050"/>
                <w:sz w:val="16"/>
                <w:szCs w:val="16"/>
              </w:rPr>
            </w:pPr>
          </w:p>
          <w:p w14:paraId="023D460E" w14:textId="77777777" w:rsidR="00561B47" w:rsidRPr="006A58B3" w:rsidRDefault="00561B47" w:rsidP="00561B47">
            <w:pPr>
              <w:keepNext/>
              <w:keepLines/>
              <w:jc w:val="center"/>
              <w:rPr>
                <w:b/>
                <w:color w:val="00B050"/>
                <w:sz w:val="16"/>
                <w:szCs w:val="16"/>
              </w:rPr>
            </w:pPr>
          </w:p>
          <w:p w14:paraId="03B54102" w14:textId="77777777" w:rsidR="00561B47" w:rsidRPr="006A58B3" w:rsidRDefault="00561B47" w:rsidP="00561B47">
            <w:pPr>
              <w:keepNext/>
              <w:keepLines/>
              <w:jc w:val="center"/>
              <w:rPr>
                <w:b/>
                <w:color w:val="00B050"/>
                <w:sz w:val="16"/>
                <w:szCs w:val="16"/>
              </w:rPr>
            </w:pPr>
          </w:p>
          <w:p w14:paraId="5B8BACDD" w14:textId="77777777" w:rsidR="00561B47" w:rsidRPr="006A58B3" w:rsidRDefault="00561B47" w:rsidP="00561B47">
            <w:pPr>
              <w:keepNext/>
              <w:keepLines/>
              <w:jc w:val="center"/>
              <w:rPr>
                <w:b/>
                <w:color w:val="00B050"/>
                <w:sz w:val="16"/>
                <w:szCs w:val="16"/>
              </w:rPr>
            </w:pPr>
          </w:p>
          <w:p w14:paraId="18738189" w14:textId="77777777" w:rsidR="00561B47" w:rsidRPr="006A58B3" w:rsidRDefault="00561B47" w:rsidP="00561B47">
            <w:pPr>
              <w:keepNext/>
              <w:keepLines/>
              <w:jc w:val="center"/>
              <w:rPr>
                <w:b/>
                <w:color w:val="00B050"/>
                <w:sz w:val="16"/>
                <w:szCs w:val="16"/>
              </w:rPr>
            </w:pPr>
            <w:r w:rsidRPr="006A58B3">
              <w:rPr>
                <w:b/>
                <w:color w:val="00B050"/>
                <w:sz w:val="16"/>
                <w:szCs w:val="16"/>
              </w:rPr>
              <w:t>En bonne voie</w:t>
            </w:r>
          </w:p>
        </w:tc>
      </w:tr>
      <w:tr w:rsidR="00AA64E5" w:rsidRPr="00266EB9" w14:paraId="166BF03C" w14:textId="77777777" w:rsidTr="006A58B3">
        <w:trPr>
          <w:gridAfter w:val="2"/>
          <w:wAfter w:w="52" w:type="pct"/>
          <w:cantSplit/>
        </w:trPr>
        <w:tc>
          <w:tcPr>
            <w:tcW w:w="793" w:type="pct"/>
            <w:shd w:val="clear" w:color="auto" w:fill="auto"/>
            <w:tcMar>
              <w:left w:w="108" w:type="dxa"/>
              <w:right w:w="108" w:type="dxa"/>
            </w:tcMar>
          </w:tcPr>
          <w:p w14:paraId="4DAD289F" w14:textId="77777777" w:rsidR="00AA64E5" w:rsidRPr="00266EB9" w:rsidRDefault="00AA64E5" w:rsidP="00561B47">
            <w:pPr>
              <w:rPr>
                <w:sz w:val="16"/>
                <w:szCs w:val="16"/>
              </w:rPr>
            </w:pPr>
          </w:p>
        </w:tc>
        <w:tc>
          <w:tcPr>
            <w:tcW w:w="1377" w:type="pct"/>
            <w:shd w:val="clear" w:color="auto" w:fill="auto"/>
            <w:tcMar>
              <w:left w:w="108" w:type="dxa"/>
              <w:right w:w="108" w:type="dxa"/>
            </w:tcMar>
          </w:tcPr>
          <w:p w14:paraId="702CCDDC" w14:textId="77777777" w:rsidR="00AA64E5" w:rsidRPr="00266EB9" w:rsidRDefault="00AA64E5" w:rsidP="00AA64E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01E25FBF" w14:textId="77777777" w:rsidR="00AA64E5" w:rsidRPr="00266EB9" w:rsidRDefault="00AA64E5" w:rsidP="00AA64E5">
            <w:pPr>
              <w:rPr>
                <w:color w:val="000000"/>
                <w:sz w:val="16"/>
                <w:szCs w:val="16"/>
              </w:rPr>
            </w:pPr>
            <w:r w:rsidRPr="00266EB9">
              <w:rPr>
                <w:sz w:val="16"/>
                <w:szCs w:val="16"/>
              </w:rPr>
              <w:t>Taux d’irrégularité : 36%</w:t>
            </w:r>
          </w:p>
          <w:p w14:paraId="06FC4C4F" w14:textId="647FC860" w:rsidR="00AA64E5" w:rsidRPr="00266EB9" w:rsidRDefault="00AA64E5" w:rsidP="00AA64E5">
            <w:pPr>
              <w:rPr>
                <w:i/>
                <w:color w:val="002060"/>
                <w:sz w:val="16"/>
                <w:szCs w:val="16"/>
              </w:rPr>
            </w:pPr>
            <w:r w:rsidRPr="00266EB9">
              <w:rPr>
                <w:sz w:val="16"/>
                <w:szCs w:val="16"/>
              </w:rPr>
              <w:t>(au 31 décembre 2014)</w:t>
            </w:r>
            <w:r w:rsidRPr="00266EB9">
              <w:rPr>
                <w:color w:val="000000"/>
                <w:sz w:val="16"/>
                <w:szCs w:val="16"/>
              </w:rPr>
              <w:br/>
            </w:r>
            <w:r w:rsidRPr="00266EB9">
              <w:rPr>
                <w:color w:val="000000"/>
                <w:sz w:val="16"/>
                <w:szCs w:val="16"/>
              </w:rPr>
              <w:br/>
            </w:r>
            <w:r w:rsidRPr="00266EB9">
              <w:rPr>
                <w:sz w:val="16"/>
                <w:szCs w:val="16"/>
              </w:rPr>
              <w:t>Indications acceptables dans la base de données sur les produits et services du système de Madrid (MGS) (en anglais) 67 050 (mai 2015)</w:t>
            </w:r>
          </w:p>
        </w:tc>
        <w:tc>
          <w:tcPr>
            <w:tcW w:w="936" w:type="pct"/>
            <w:gridSpan w:val="2"/>
            <w:shd w:val="clear" w:color="auto" w:fill="auto"/>
            <w:tcMar>
              <w:top w:w="57" w:type="dxa"/>
              <w:left w:w="108" w:type="dxa"/>
              <w:right w:w="108" w:type="dxa"/>
            </w:tcMar>
          </w:tcPr>
          <w:p w14:paraId="4E9941A3" w14:textId="77777777" w:rsidR="00AA64E5" w:rsidRPr="00266EB9" w:rsidRDefault="00AA64E5" w:rsidP="00AA64E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18081F6F" w14:textId="6877EF11" w:rsidR="00AA64E5" w:rsidRPr="00266EB9" w:rsidRDefault="00AA64E5" w:rsidP="00AA64E5">
            <w:pPr>
              <w:rPr>
                <w:sz w:val="16"/>
                <w:szCs w:val="16"/>
              </w:rPr>
            </w:pPr>
            <w:r w:rsidRPr="00266EB9">
              <w:rPr>
                <w:color w:val="000000"/>
                <w:sz w:val="16"/>
                <w:szCs w:val="16"/>
              </w:rPr>
              <w:t>80 000</w:t>
            </w:r>
          </w:p>
        </w:tc>
        <w:tc>
          <w:tcPr>
            <w:tcW w:w="1205" w:type="pct"/>
            <w:shd w:val="clear" w:color="auto" w:fill="FFFFFF"/>
            <w:tcMar>
              <w:top w:w="57" w:type="dxa"/>
              <w:left w:w="108" w:type="dxa"/>
              <w:right w:w="108" w:type="dxa"/>
            </w:tcMar>
          </w:tcPr>
          <w:p w14:paraId="0AAAA9AA" w14:textId="77777777" w:rsidR="00AA64E5" w:rsidRPr="00266EB9" w:rsidRDefault="00AA64E5" w:rsidP="00561B47">
            <w:pPr>
              <w:keepNext/>
              <w:keepLines/>
              <w:rPr>
                <w:sz w:val="16"/>
                <w:szCs w:val="16"/>
              </w:rPr>
            </w:pPr>
          </w:p>
        </w:tc>
        <w:tc>
          <w:tcPr>
            <w:tcW w:w="637" w:type="pct"/>
            <w:gridSpan w:val="2"/>
            <w:shd w:val="clear" w:color="auto" w:fill="auto"/>
            <w:tcMar>
              <w:top w:w="57" w:type="dxa"/>
              <w:left w:w="108" w:type="dxa"/>
              <w:right w:w="108" w:type="dxa"/>
            </w:tcMar>
          </w:tcPr>
          <w:p w14:paraId="503B850C" w14:textId="77777777" w:rsidR="00AA64E5" w:rsidRPr="006A58B3" w:rsidRDefault="00AA64E5" w:rsidP="00561B47">
            <w:pPr>
              <w:keepNext/>
              <w:keepLines/>
              <w:jc w:val="center"/>
              <w:rPr>
                <w:b/>
                <w:color w:val="00B050"/>
                <w:sz w:val="16"/>
                <w:szCs w:val="16"/>
              </w:rPr>
            </w:pPr>
          </w:p>
        </w:tc>
      </w:tr>
      <w:tr w:rsidR="00561B47" w:rsidRPr="00266EB9" w14:paraId="303CE546" w14:textId="77777777" w:rsidTr="006A58B3">
        <w:trPr>
          <w:gridAfter w:val="2"/>
          <w:wAfter w:w="52" w:type="pct"/>
          <w:cantSplit/>
        </w:trPr>
        <w:tc>
          <w:tcPr>
            <w:tcW w:w="793" w:type="pct"/>
            <w:shd w:val="clear" w:color="auto" w:fill="auto"/>
            <w:tcMar>
              <w:left w:w="108" w:type="dxa"/>
              <w:right w:w="108" w:type="dxa"/>
            </w:tcMar>
          </w:tcPr>
          <w:p w14:paraId="1D6D73D6" w14:textId="77777777" w:rsidR="00561B47" w:rsidRPr="00266EB9" w:rsidRDefault="00561B47" w:rsidP="00561B47">
            <w:pPr>
              <w:rPr>
                <w:color w:val="000000"/>
                <w:sz w:val="16"/>
                <w:szCs w:val="16"/>
              </w:rPr>
            </w:pPr>
            <w:r w:rsidRPr="00266EB9">
              <w:rPr>
                <w:sz w:val="16"/>
                <w:szCs w:val="16"/>
              </w:rPr>
              <w:t>Améliorations fonctionnelles du système de Madrid</w:t>
            </w:r>
          </w:p>
        </w:tc>
        <w:tc>
          <w:tcPr>
            <w:tcW w:w="1377" w:type="pct"/>
            <w:shd w:val="clear" w:color="auto" w:fill="auto"/>
            <w:tcMar>
              <w:left w:w="108" w:type="dxa"/>
              <w:right w:w="108" w:type="dxa"/>
            </w:tcMar>
          </w:tcPr>
          <w:p w14:paraId="0B019BA8" w14:textId="77777777" w:rsidR="00561B47" w:rsidRPr="002655A7" w:rsidRDefault="00561B47" w:rsidP="00561B47">
            <w:pPr>
              <w:rPr>
                <w:i/>
                <w:color w:val="002060"/>
                <w:sz w:val="16"/>
                <w:szCs w:val="16"/>
              </w:rPr>
            </w:pPr>
            <w:r w:rsidRPr="00266EB9">
              <w:rPr>
                <w:i/>
                <w:color w:val="002060"/>
                <w:sz w:val="16"/>
                <w:szCs w:val="16"/>
              </w:rPr>
              <w:t>Niveau de référence actualisé à fi</w:t>
            </w:r>
            <w:r w:rsidRPr="002655A7">
              <w:rPr>
                <w:i/>
                <w:color w:val="002060"/>
                <w:sz w:val="16"/>
                <w:szCs w:val="16"/>
              </w:rPr>
              <w:t>n 2015 :</w:t>
            </w:r>
          </w:p>
          <w:p w14:paraId="57BD3760" w14:textId="77777777" w:rsidR="00561B47" w:rsidRPr="002655A7" w:rsidRDefault="00561B47" w:rsidP="00561B47">
            <w:pPr>
              <w:rPr>
                <w:color w:val="002060"/>
                <w:sz w:val="16"/>
                <w:szCs w:val="16"/>
              </w:rPr>
            </w:pPr>
            <w:r w:rsidRPr="002655A7">
              <w:rPr>
                <w:color w:val="002060"/>
                <w:sz w:val="16"/>
                <w:szCs w:val="16"/>
              </w:rPr>
              <w:t>Règlement d’exécution commun et Instructions administratives en vigueur au 31 décembre 2015</w:t>
            </w:r>
            <w:r w:rsidRPr="002655A7">
              <w:rPr>
                <w:rStyle w:val="FootnoteReference"/>
                <w:rFonts w:cs="Arial"/>
                <w:color w:val="002060"/>
              </w:rPr>
              <w:footnoteReference w:id="31"/>
            </w:r>
          </w:p>
          <w:p w14:paraId="11023253" w14:textId="77777777" w:rsidR="00561B47" w:rsidRPr="00266EB9" w:rsidRDefault="00561B47" w:rsidP="00561B47">
            <w:pPr>
              <w:rPr>
                <w:color w:val="000000"/>
                <w:sz w:val="16"/>
                <w:szCs w:val="16"/>
              </w:rPr>
            </w:pPr>
          </w:p>
          <w:p w14:paraId="1C514277"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746F9E6D" w14:textId="77777777" w:rsidR="00561B47" w:rsidRPr="00266EB9" w:rsidRDefault="00561B47" w:rsidP="00561B47">
            <w:pPr>
              <w:rPr>
                <w:color w:val="000000"/>
                <w:sz w:val="16"/>
                <w:szCs w:val="16"/>
              </w:rPr>
            </w:pPr>
            <w:r w:rsidRPr="00266EB9">
              <w:rPr>
                <w:sz w:val="16"/>
                <w:szCs w:val="16"/>
              </w:rPr>
              <w:t>Règlement d’exécution commun et Instructions administratives en vigueur au 31 décembre 2014</w:t>
            </w:r>
          </w:p>
        </w:tc>
        <w:tc>
          <w:tcPr>
            <w:tcW w:w="936" w:type="pct"/>
            <w:gridSpan w:val="2"/>
            <w:shd w:val="clear" w:color="auto" w:fill="auto"/>
            <w:tcMar>
              <w:top w:w="57" w:type="dxa"/>
              <w:left w:w="108" w:type="dxa"/>
              <w:right w:w="108" w:type="dxa"/>
            </w:tcMar>
          </w:tcPr>
          <w:p w14:paraId="791DBB92" w14:textId="77777777" w:rsidR="00561B47" w:rsidRPr="00266EB9" w:rsidRDefault="00561B47" w:rsidP="00561B47">
            <w:pPr>
              <w:rPr>
                <w:color w:val="000000"/>
                <w:sz w:val="16"/>
                <w:szCs w:val="16"/>
              </w:rPr>
            </w:pPr>
            <w:r w:rsidRPr="00266EB9">
              <w:rPr>
                <w:sz w:val="16"/>
                <w:szCs w:val="16"/>
              </w:rPr>
              <w:t>Modifications du règlement d’exécution et des instructions administratives</w:t>
            </w:r>
          </w:p>
        </w:tc>
        <w:tc>
          <w:tcPr>
            <w:tcW w:w="1205" w:type="pct"/>
            <w:shd w:val="clear" w:color="auto" w:fill="FFFFFF"/>
            <w:tcMar>
              <w:top w:w="57" w:type="dxa"/>
              <w:left w:w="108" w:type="dxa"/>
              <w:right w:w="108" w:type="dxa"/>
            </w:tcMar>
          </w:tcPr>
          <w:p w14:paraId="04B1D989" w14:textId="77777777" w:rsidR="00561B47" w:rsidRPr="00266EB9" w:rsidRDefault="00561B47" w:rsidP="00561B47">
            <w:pPr>
              <w:keepNext/>
              <w:keepLines/>
              <w:rPr>
                <w:color w:val="000000"/>
                <w:sz w:val="16"/>
                <w:szCs w:val="16"/>
              </w:rPr>
            </w:pPr>
            <w:r w:rsidRPr="00266EB9">
              <w:rPr>
                <w:sz w:val="16"/>
                <w:szCs w:val="16"/>
              </w:rPr>
              <w:t>Règlement d’exécution commun et Instructions administratives en vigueur au 31 décembre 2016</w:t>
            </w:r>
            <w:r w:rsidRPr="00266EB9">
              <w:rPr>
                <w:rStyle w:val="FootnoteReference"/>
                <w:rFonts w:cs="Arial"/>
                <w:color w:val="000000"/>
              </w:rPr>
              <w:footnoteReference w:id="32"/>
            </w:r>
          </w:p>
          <w:p w14:paraId="35F31C3C" w14:textId="77777777" w:rsidR="00561B47" w:rsidRPr="00266EB9" w:rsidRDefault="00561B47" w:rsidP="00561B47">
            <w:pPr>
              <w:keepNext/>
              <w:keepLines/>
              <w:rPr>
                <w:color w:val="000000"/>
                <w:sz w:val="16"/>
                <w:szCs w:val="16"/>
              </w:rPr>
            </w:pPr>
          </w:p>
          <w:p w14:paraId="4A8EFDDE" w14:textId="77777777" w:rsidR="00561B47" w:rsidRPr="00266EB9" w:rsidRDefault="00561B47" w:rsidP="00561B47">
            <w:pPr>
              <w:keepNext/>
              <w:keepLines/>
              <w:rPr>
                <w:sz w:val="16"/>
                <w:szCs w:val="16"/>
              </w:rPr>
            </w:pPr>
            <w:r w:rsidRPr="00266EB9">
              <w:rPr>
                <w:color w:val="000000"/>
                <w:sz w:val="16"/>
                <w:szCs w:val="16"/>
              </w:rPr>
              <w:t>Modifications adoptées par l’Assemblée de l’Union de Madrid en octobre 2016 (règles 3, 12, 18</w:t>
            </w:r>
            <w:r w:rsidRPr="00266EB9">
              <w:rPr>
                <w:i/>
                <w:color w:val="000000"/>
                <w:sz w:val="16"/>
                <w:szCs w:val="16"/>
              </w:rPr>
              <w:t>ter</w:t>
            </w:r>
            <w:r w:rsidRPr="00266EB9">
              <w:rPr>
                <w:color w:val="000000"/>
                <w:sz w:val="16"/>
                <w:szCs w:val="16"/>
              </w:rPr>
              <w:t>, 22, 23</w:t>
            </w:r>
            <w:r w:rsidRPr="00266EB9">
              <w:rPr>
                <w:i/>
                <w:color w:val="000000"/>
                <w:sz w:val="16"/>
                <w:szCs w:val="16"/>
              </w:rPr>
              <w:t>bis</w:t>
            </w:r>
            <w:r w:rsidRPr="00266EB9">
              <w:rPr>
                <w:color w:val="000000"/>
                <w:sz w:val="16"/>
                <w:szCs w:val="16"/>
              </w:rPr>
              <w:t>, 25 à 27, 27</w:t>
            </w:r>
            <w:r w:rsidRPr="00266EB9">
              <w:rPr>
                <w:i/>
                <w:color w:val="000000"/>
                <w:sz w:val="16"/>
                <w:szCs w:val="16"/>
              </w:rPr>
              <w:t>bis</w:t>
            </w:r>
            <w:r w:rsidRPr="00266EB9">
              <w:rPr>
                <w:color w:val="000000"/>
                <w:sz w:val="16"/>
                <w:szCs w:val="16"/>
              </w:rPr>
              <w:t>, 27</w:t>
            </w:r>
            <w:r w:rsidRPr="00266EB9">
              <w:rPr>
                <w:i/>
                <w:color w:val="000000"/>
                <w:sz w:val="16"/>
                <w:szCs w:val="16"/>
              </w:rPr>
              <w:t>ter</w:t>
            </w:r>
            <w:r w:rsidRPr="00266EB9">
              <w:rPr>
                <w:color w:val="000000"/>
                <w:sz w:val="16"/>
                <w:szCs w:val="16"/>
              </w:rPr>
              <w:t>, 32, 40 et barème des émoluments et taxes</w:t>
            </w:r>
            <w:r w:rsidRPr="00266EB9">
              <w:rPr>
                <w:rStyle w:val="FootnoteReference"/>
                <w:rFonts w:cs="Arial"/>
                <w:color w:val="000000"/>
              </w:rPr>
              <w:footnoteReference w:id="33"/>
            </w:r>
            <w:r w:rsidRPr="00266EB9">
              <w:rPr>
                <w:color w:val="000000"/>
                <w:sz w:val="16"/>
                <w:szCs w:val="16"/>
              </w:rPr>
              <w:t>)</w:t>
            </w:r>
          </w:p>
        </w:tc>
        <w:tc>
          <w:tcPr>
            <w:tcW w:w="637" w:type="pct"/>
            <w:gridSpan w:val="2"/>
            <w:shd w:val="clear" w:color="auto" w:fill="auto"/>
            <w:tcMar>
              <w:top w:w="57" w:type="dxa"/>
              <w:left w:w="108" w:type="dxa"/>
              <w:right w:w="108" w:type="dxa"/>
            </w:tcMar>
          </w:tcPr>
          <w:p w14:paraId="6AADFFD8" w14:textId="77777777" w:rsidR="00561B47" w:rsidRPr="00266EB9" w:rsidRDefault="00561B47" w:rsidP="00561B47">
            <w:pPr>
              <w:keepNext/>
              <w:keepLines/>
              <w:jc w:val="center"/>
              <w:rPr>
                <w:color w:val="000000"/>
                <w:sz w:val="16"/>
                <w:szCs w:val="16"/>
              </w:rPr>
            </w:pPr>
            <w:r w:rsidRPr="00266EB9">
              <w:rPr>
                <w:b/>
                <w:color w:val="00B050"/>
                <w:sz w:val="16"/>
                <w:szCs w:val="16"/>
              </w:rPr>
              <w:t>En bonne voie</w:t>
            </w:r>
          </w:p>
        </w:tc>
      </w:tr>
      <w:tr w:rsidR="00561B47" w:rsidRPr="00266EB9" w14:paraId="190C145D" w14:textId="77777777" w:rsidTr="006A58B3">
        <w:trPr>
          <w:gridAfter w:val="1"/>
          <w:wAfter w:w="29" w:type="pct"/>
          <w:cantSplit/>
        </w:trPr>
        <w:tc>
          <w:tcPr>
            <w:tcW w:w="4971" w:type="pct"/>
            <w:gridSpan w:val="8"/>
            <w:shd w:val="clear" w:color="auto" w:fill="C6D9F1" w:themeFill="text2" w:themeFillTint="33"/>
            <w:tcMar>
              <w:left w:w="108" w:type="dxa"/>
              <w:right w:w="108" w:type="dxa"/>
            </w:tcMar>
            <w:vAlign w:val="center"/>
          </w:tcPr>
          <w:p w14:paraId="2B34862C" w14:textId="77777777" w:rsidR="00561B47" w:rsidRPr="00266EB9" w:rsidRDefault="00561B47" w:rsidP="00561B47">
            <w:pPr>
              <w:keepNext/>
              <w:keepLines/>
              <w:tabs>
                <w:tab w:val="left" w:pos="1452"/>
              </w:tabs>
              <w:rPr>
                <w:b/>
                <w:bCs/>
                <w:sz w:val="16"/>
                <w:szCs w:val="16"/>
              </w:rPr>
            </w:pPr>
            <w:r w:rsidRPr="00266EB9">
              <w:rPr>
                <w:b/>
                <w:bCs/>
                <w:sz w:val="16"/>
                <w:szCs w:val="16"/>
              </w:rPr>
              <w:t>Résultat escompté :</w:t>
            </w:r>
            <w:r w:rsidRPr="00266EB9">
              <w:rPr>
                <w:bCs/>
                <w:sz w:val="16"/>
                <w:szCs w:val="16"/>
              </w:rPr>
              <w:t xml:space="preserve"> II.7 Amélioration de la productivité et de la qualité de service des opérations d</w:t>
            </w:r>
            <w:r w:rsidRPr="00266EB9">
              <w:rPr>
                <w:bCs/>
                <w:color w:val="000000"/>
                <w:sz w:val="16"/>
                <w:szCs w:val="16"/>
              </w:rPr>
              <w:t>u</w:t>
            </w:r>
            <w:r w:rsidRPr="00266EB9">
              <w:rPr>
                <w:bCs/>
                <w:sz w:val="16"/>
                <w:szCs w:val="16"/>
              </w:rPr>
              <w:t xml:space="preserve"> système</w:t>
            </w:r>
            <w:r w:rsidRPr="00266EB9">
              <w:rPr>
                <w:bCs/>
                <w:color w:val="000000"/>
                <w:sz w:val="16"/>
                <w:szCs w:val="16"/>
              </w:rPr>
              <w:t xml:space="preserve"> </w:t>
            </w:r>
            <w:r w:rsidRPr="00266EB9">
              <w:rPr>
                <w:bCs/>
                <w:sz w:val="16"/>
                <w:szCs w:val="16"/>
              </w:rPr>
              <w:t>de Lisbonne</w:t>
            </w:r>
          </w:p>
        </w:tc>
      </w:tr>
      <w:tr w:rsidR="00561B47" w:rsidRPr="00266EB9" w14:paraId="1515BC39" w14:textId="77777777" w:rsidTr="006A58B3">
        <w:trPr>
          <w:cantSplit/>
        </w:trPr>
        <w:tc>
          <w:tcPr>
            <w:tcW w:w="793" w:type="pct"/>
            <w:shd w:val="clear" w:color="auto" w:fill="auto"/>
            <w:tcMar>
              <w:left w:w="108" w:type="dxa"/>
              <w:right w:w="108" w:type="dxa"/>
            </w:tcMar>
            <w:vAlign w:val="center"/>
          </w:tcPr>
          <w:p w14:paraId="7F75E71C" w14:textId="77777777" w:rsidR="00561B47" w:rsidRPr="00266EB9" w:rsidRDefault="00561B47" w:rsidP="00561B47">
            <w:pPr>
              <w:jc w:val="center"/>
              <w:rPr>
                <w:b/>
                <w:bCs/>
                <w:sz w:val="16"/>
                <w:szCs w:val="16"/>
              </w:rPr>
            </w:pPr>
            <w:r w:rsidRPr="00266EB9">
              <w:rPr>
                <w:b/>
                <w:bCs/>
                <w:sz w:val="16"/>
                <w:szCs w:val="16"/>
              </w:rPr>
              <w:t>Indicateurs d’exécution</w:t>
            </w:r>
          </w:p>
        </w:tc>
        <w:tc>
          <w:tcPr>
            <w:tcW w:w="1377" w:type="pct"/>
            <w:shd w:val="clear" w:color="auto" w:fill="auto"/>
            <w:tcMar>
              <w:left w:w="108" w:type="dxa"/>
              <w:right w:w="108" w:type="dxa"/>
            </w:tcMar>
            <w:vAlign w:val="center"/>
          </w:tcPr>
          <w:p w14:paraId="69300745" w14:textId="77777777" w:rsidR="00561B47" w:rsidRPr="00266EB9" w:rsidRDefault="00561B47" w:rsidP="00561B47">
            <w:pPr>
              <w:jc w:val="center"/>
              <w:rPr>
                <w:b/>
                <w:bCs/>
                <w:sz w:val="16"/>
                <w:szCs w:val="16"/>
              </w:rPr>
            </w:pPr>
            <w:r w:rsidRPr="00266EB9">
              <w:rPr>
                <w:b/>
                <w:bCs/>
                <w:sz w:val="16"/>
                <w:szCs w:val="16"/>
              </w:rPr>
              <w:t>Niveaux de référence</w:t>
            </w:r>
          </w:p>
        </w:tc>
        <w:tc>
          <w:tcPr>
            <w:tcW w:w="820" w:type="pct"/>
            <w:shd w:val="clear" w:color="auto" w:fill="auto"/>
            <w:tcMar>
              <w:top w:w="57" w:type="dxa"/>
              <w:left w:w="108" w:type="dxa"/>
              <w:right w:w="108" w:type="dxa"/>
            </w:tcMar>
            <w:vAlign w:val="center"/>
          </w:tcPr>
          <w:p w14:paraId="7293C3B2" w14:textId="77777777" w:rsidR="00561B47" w:rsidRPr="00266EB9" w:rsidRDefault="00561B47" w:rsidP="00561B47">
            <w:pPr>
              <w:jc w:val="center"/>
              <w:rPr>
                <w:b/>
                <w:bCs/>
                <w:sz w:val="16"/>
                <w:szCs w:val="16"/>
              </w:rPr>
            </w:pPr>
            <w:r w:rsidRPr="00266EB9">
              <w:rPr>
                <w:b/>
                <w:bCs/>
                <w:sz w:val="16"/>
                <w:szCs w:val="16"/>
              </w:rPr>
              <w:t>Objectifs visés</w:t>
            </w:r>
          </w:p>
        </w:tc>
        <w:tc>
          <w:tcPr>
            <w:tcW w:w="1373" w:type="pct"/>
            <w:gridSpan w:val="3"/>
            <w:shd w:val="clear" w:color="auto" w:fill="FFFFFF"/>
            <w:tcMar>
              <w:top w:w="57" w:type="dxa"/>
              <w:left w:w="108" w:type="dxa"/>
              <w:right w:w="108" w:type="dxa"/>
            </w:tcMar>
            <w:vAlign w:val="center"/>
          </w:tcPr>
          <w:p w14:paraId="29C77781" w14:textId="77777777" w:rsidR="00561B47" w:rsidRPr="00266EB9" w:rsidRDefault="00561B47" w:rsidP="00561B47">
            <w:pPr>
              <w:jc w:val="center"/>
              <w:rPr>
                <w:b/>
                <w:bCs/>
                <w:sz w:val="16"/>
                <w:szCs w:val="16"/>
              </w:rPr>
            </w:pPr>
            <w:r w:rsidRPr="00266EB9">
              <w:rPr>
                <w:b/>
                <w:bCs/>
                <w:sz w:val="16"/>
                <w:szCs w:val="16"/>
              </w:rPr>
              <w:t>Données relatives à l’exécution</w:t>
            </w:r>
          </w:p>
        </w:tc>
        <w:tc>
          <w:tcPr>
            <w:tcW w:w="637" w:type="pct"/>
            <w:gridSpan w:val="3"/>
            <w:shd w:val="clear" w:color="auto" w:fill="auto"/>
            <w:tcMar>
              <w:top w:w="57" w:type="dxa"/>
              <w:left w:w="108" w:type="dxa"/>
              <w:right w:w="108" w:type="dxa"/>
            </w:tcMar>
            <w:vAlign w:val="center"/>
          </w:tcPr>
          <w:p w14:paraId="644062A8" w14:textId="77777777" w:rsidR="00561B47" w:rsidRPr="00266EB9" w:rsidRDefault="00561B47" w:rsidP="00561B47">
            <w:pPr>
              <w:jc w:val="center"/>
              <w:rPr>
                <w:b/>
                <w:bCs/>
                <w:sz w:val="16"/>
                <w:szCs w:val="16"/>
              </w:rPr>
            </w:pPr>
            <w:r w:rsidRPr="00266EB9">
              <w:rPr>
                <w:b/>
                <w:bCs/>
                <w:sz w:val="16"/>
                <w:szCs w:val="16"/>
              </w:rPr>
              <w:t>Code d’évaluation</w:t>
            </w:r>
          </w:p>
        </w:tc>
      </w:tr>
      <w:tr w:rsidR="00561B47" w:rsidRPr="00266EB9" w14:paraId="5C5CD211" w14:textId="77777777" w:rsidTr="006A58B3">
        <w:trPr>
          <w:cantSplit/>
        </w:trPr>
        <w:tc>
          <w:tcPr>
            <w:tcW w:w="793" w:type="pct"/>
            <w:shd w:val="clear" w:color="auto" w:fill="auto"/>
            <w:tcMar>
              <w:left w:w="108" w:type="dxa"/>
              <w:right w:w="108" w:type="dxa"/>
            </w:tcMar>
          </w:tcPr>
          <w:p w14:paraId="7DE28D7A" w14:textId="77777777" w:rsidR="00561B47" w:rsidRPr="00266EB9" w:rsidRDefault="00561B47" w:rsidP="00561B47">
            <w:pPr>
              <w:rPr>
                <w:color w:val="000000"/>
                <w:sz w:val="16"/>
                <w:szCs w:val="16"/>
              </w:rPr>
            </w:pPr>
            <w:r w:rsidRPr="00266EB9">
              <w:rPr>
                <w:sz w:val="16"/>
                <w:szCs w:val="16"/>
              </w:rPr>
              <w:t>Satisfaction des clients (Madrid)</w:t>
            </w:r>
          </w:p>
        </w:tc>
        <w:tc>
          <w:tcPr>
            <w:tcW w:w="1377" w:type="pct"/>
            <w:shd w:val="clear" w:color="auto" w:fill="auto"/>
            <w:tcMar>
              <w:left w:w="108" w:type="dxa"/>
              <w:right w:w="108" w:type="dxa"/>
            </w:tcMar>
          </w:tcPr>
          <w:p w14:paraId="775A790D"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64E2F1F7" w14:textId="77777777" w:rsidR="00561B47" w:rsidRPr="00266EB9" w:rsidRDefault="00561B47" w:rsidP="00561B47">
            <w:pPr>
              <w:rPr>
                <w:color w:val="002060"/>
                <w:sz w:val="16"/>
                <w:szCs w:val="16"/>
                <w:lang w:bidi="th-TH"/>
              </w:rPr>
            </w:pPr>
            <w:r w:rsidRPr="00266EB9">
              <w:rPr>
                <w:color w:val="002060"/>
                <w:sz w:val="16"/>
                <w:szCs w:val="16"/>
                <w:lang w:bidi="th-TH"/>
              </w:rPr>
              <w:t>Aucune enquête effectuée en 2015</w:t>
            </w:r>
          </w:p>
          <w:p w14:paraId="71696F83" w14:textId="77777777" w:rsidR="00561B47" w:rsidRPr="00266EB9" w:rsidRDefault="00561B47" w:rsidP="00561B47">
            <w:pPr>
              <w:rPr>
                <w:color w:val="000000"/>
                <w:sz w:val="16"/>
                <w:szCs w:val="16"/>
              </w:rPr>
            </w:pPr>
          </w:p>
          <w:p w14:paraId="74E7EC2C"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005C504B" w14:textId="77777777" w:rsidR="00561B47" w:rsidRPr="00266EB9" w:rsidRDefault="00561B47" w:rsidP="00561B47">
            <w:pPr>
              <w:rPr>
                <w:color w:val="000000"/>
                <w:sz w:val="16"/>
                <w:szCs w:val="16"/>
              </w:rPr>
            </w:pPr>
            <w:r w:rsidRPr="00266EB9">
              <w:rPr>
                <w:sz w:val="16"/>
                <w:szCs w:val="16"/>
              </w:rPr>
              <w:t>Indice d’orientation vers les services en 2014 (39)</w:t>
            </w:r>
          </w:p>
        </w:tc>
        <w:tc>
          <w:tcPr>
            <w:tcW w:w="820" w:type="pct"/>
            <w:shd w:val="clear" w:color="auto" w:fill="auto"/>
            <w:tcMar>
              <w:top w:w="57" w:type="dxa"/>
              <w:left w:w="108" w:type="dxa"/>
              <w:right w:w="108" w:type="dxa"/>
            </w:tcMar>
          </w:tcPr>
          <w:p w14:paraId="70810DE8" w14:textId="77777777" w:rsidR="00561B47" w:rsidRPr="00266EB9" w:rsidRDefault="00561B47" w:rsidP="00561B47">
            <w:pPr>
              <w:rPr>
                <w:color w:val="000000"/>
                <w:sz w:val="16"/>
                <w:szCs w:val="16"/>
              </w:rPr>
            </w:pPr>
            <w:r w:rsidRPr="00266EB9">
              <w:rPr>
                <w:sz w:val="16"/>
                <w:szCs w:val="16"/>
              </w:rPr>
              <w:t>Hausse de l’indice</w:t>
            </w:r>
          </w:p>
        </w:tc>
        <w:tc>
          <w:tcPr>
            <w:tcW w:w="1373" w:type="pct"/>
            <w:gridSpan w:val="3"/>
            <w:shd w:val="clear" w:color="auto" w:fill="FFFFFF"/>
            <w:tcMar>
              <w:top w:w="57" w:type="dxa"/>
              <w:left w:w="108" w:type="dxa"/>
              <w:right w:w="108" w:type="dxa"/>
            </w:tcMar>
          </w:tcPr>
          <w:p w14:paraId="21FF741F" w14:textId="77777777" w:rsidR="00561B47" w:rsidRPr="00266EB9" w:rsidRDefault="00561B47" w:rsidP="00561B47">
            <w:pPr>
              <w:rPr>
                <w:color w:val="000000"/>
                <w:sz w:val="16"/>
                <w:szCs w:val="16"/>
              </w:rPr>
            </w:pPr>
            <w:r w:rsidRPr="00266EB9">
              <w:rPr>
                <w:color w:val="000000"/>
                <w:sz w:val="16"/>
                <w:szCs w:val="16"/>
              </w:rPr>
              <w:t>Aucune enquête effectuée en 2016</w:t>
            </w:r>
          </w:p>
        </w:tc>
        <w:tc>
          <w:tcPr>
            <w:tcW w:w="637" w:type="pct"/>
            <w:gridSpan w:val="3"/>
            <w:shd w:val="clear" w:color="auto" w:fill="auto"/>
            <w:tcMar>
              <w:top w:w="57" w:type="dxa"/>
              <w:left w:w="108" w:type="dxa"/>
              <w:right w:w="108" w:type="dxa"/>
            </w:tcMar>
          </w:tcPr>
          <w:p w14:paraId="60168E45" w14:textId="77777777" w:rsidR="00561B47" w:rsidRPr="00266EB9" w:rsidRDefault="00561B47" w:rsidP="00561B47">
            <w:pPr>
              <w:keepNext/>
              <w:keepLines/>
              <w:jc w:val="center"/>
              <w:rPr>
                <w:color w:val="000000"/>
                <w:sz w:val="16"/>
                <w:szCs w:val="16"/>
              </w:rPr>
            </w:pPr>
            <w:proofErr w:type="spellStart"/>
            <w:r w:rsidRPr="00266EB9">
              <w:rPr>
                <w:b/>
                <w:color w:val="0070C0"/>
                <w:sz w:val="16"/>
                <w:szCs w:val="16"/>
              </w:rPr>
              <w:t>n.d</w:t>
            </w:r>
            <w:proofErr w:type="spellEnd"/>
            <w:r w:rsidRPr="00266EB9">
              <w:rPr>
                <w:b/>
                <w:color w:val="0070C0"/>
                <w:sz w:val="16"/>
                <w:szCs w:val="16"/>
              </w:rPr>
              <w:t>. pour 2016</w:t>
            </w:r>
          </w:p>
        </w:tc>
      </w:tr>
      <w:tr w:rsidR="00561B47" w:rsidRPr="00266EB9" w14:paraId="02F098BC" w14:textId="77777777" w:rsidTr="006A58B3">
        <w:trPr>
          <w:cantSplit/>
        </w:trPr>
        <w:tc>
          <w:tcPr>
            <w:tcW w:w="793" w:type="pct"/>
            <w:shd w:val="clear" w:color="auto" w:fill="auto"/>
            <w:tcMar>
              <w:left w:w="108" w:type="dxa"/>
              <w:right w:w="108" w:type="dxa"/>
            </w:tcMar>
          </w:tcPr>
          <w:p w14:paraId="6FF3D0AE" w14:textId="77777777" w:rsidR="00561B47" w:rsidRPr="00266EB9" w:rsidRDefault="00561B47" w:rsidP="00561B47">
            <w:pPr>
              <w:rPr>
                <w:color w:val="000000"/>
                <w:sz w:val="16"/>
                <w:szCs w:val="16"/>
              </w:rPr>
            </w:pPr>
            <w:r w:rsidRPr="00266EB9">
              <w:rPr>
                <w:sz w:val="16"/>
                <w:szCs w:val="16"/>
              </w:rPr>
              <w:t>Coût unitaire (Madrid)</w:t>
            </w:r>
          </w:p>
        </w:tc>
        <w:tc>
          <w:tcPr>
            <w:tcW w:w="1377" w:type="pct"/>
            <w:shd w:val="clear" w:color="auto" w:fill="auto"/>
            <w:tcMar>
              <w:left w:w="108" w:type="dxa"/>
              <w:right w:w="108" w:type="dxa"/>
            </w:tcMar>
          </w:tcPr>
          <w:p w14:paraId="7799A2BC" w14:textId="77777777" w:rsidR="00561B47" w:rsidRPr="002655A7" w:rsidRDefault="00561B47" w:rsidP="00561B47">
            <w:pPr>
              <w:rPr>
                <w:i/>
                <w:color w:val="002060"/>
                <w:sz w:val="16"/>
                <w:szCs w:val="16"/>
              </w:rPr>
            </w:pPr>
            <w:r w:rsidRPr="00266EB9">
              <w:rPr>
                <w:i/>
                <w:color w:val="002060"/>
                <w:sz w:val="16"/>
                <w:szCs w:val="16"/>
              </w:rPr>
              <w:t>N</w:t>
            </w:r>
            <w:r w:rsidRPr="002655A7">
              <w:rPr>
                <w:i/>
                <w:color w:val="002060"/>
                <w:sz w:val="16"/>
                <w:szCs w:val="16"/>
              </w:rPr>
              <w:t>iveau de référence actualisé à fin 2015 :</w:t>
            </w:r>
          </w:p>
          <w:p w14:paraId="5C050C58" w14:textId="10BD21C5" w:rsidR="00561B47" w:rsidRPr="002655A7" w:rsidRDefault="00561B47" w:rsidP="00561B47">
            <w:pPr>
              <w:rPr>
                <w:color w:val="002060"/>
                <w:sz w:val="16"/>
                <w:szCs w:val="16"/>
              </w:rPr>
            </w:pPr>
            <w:r w:rsidRPr="002655A7">
              <w:rPr>
                <w:color w:val="002060"/>
                <w:sz w:val="16"/>
                <w:szCs w:val="16"/>
              </w:rPr>
              <w:t>Coût de l’enregistrement/</w:t>
            </w:r>
            <w:r w:rsidR="006A58B3">
              <w:rPr>
                <w:color w:val="002060"/>
                <w:sz w:val="16"/>
                <w:szCs w:val="16"/>
              </w:rPr>
              <w:t xml:space="preserve"> </w:t>
            </w:r>
            <w:r w:rsidRPr="002655A7">
              <w:rPr>
                <w:color w:val="002060"/>
                <w:sz w:val="16"/>
                <w:szCs w:val="16"/>
              </w:rPr>
              <w:t>renouvellement :</w:t>
            </w:r>
          </w:p>
          <w:p w14:paraId="48B76429" w14:textId="77777777" w:rsidR="00561B47" w:rsidRPr="002655A7" w:rsidRDefault="00561B47" w:rsidP="00561B47">
            <w:pPr>
              <w:keepNext/>
              <w:keepLines/>
              <w:rPr>
                <w:color w:val="002060"/>
                <w:sz w:val="16"/>
                <w:szCs w:val="16"/>
              </w:rPr>
            </w:pPr>
            <w:r w:rsidRPr="002655A7">
              <w:rPr>
                <w:color w:val="002060"/>
                <w:sz w:val="16"/>
                <w:szCs w:val="16"/>
              </w:rPr>
              <w:t>743 francs suisses (2015)</w:t>
            </w:r>
          </w:p>
          <w:p w14:paraId="3E8A4AB7" w14:textId="77777777" w:rsidR="00561B47" w:rsidRPr="002655A7" w:rsidRDefault="00561B47" w:rsidP="00561B47">
            <w:pPr>
              <w:keepNext/>
              <w:keepLines/>
              <w:rPr>
                <w:color w:val="002060"/>
                <w:sz w:val="16"/>
                <w:szCs w:val="16"/>
              </w:rPr>
            </w:pPr>
            <w:r w:rsidRPr="002655A7">
              <w:rPr>
                <w:color w:val="002060"/>
                <w:sz w:val="16"/>
                <w:szCs w:val="16"/>
              </w:rPr>
              <w:t>837 francs suisses (2014)</w:t>
            </w:r>
          </w:p>
          <w:p w14:paraId="5A6135CE" w14:textId="77777777" w:rsidR="00561B47" w:rsidRPr="00266EB9" w:rsidRDefault="00561B47" w:rsidP="00561B47">
            <w:pPr>
              <w:keepNext/>
              <w:keepLines/>
              <w:rPr>
                <w:color w:val="002060"/>
                <w:sz w:val="16"/>
                <w:szCs w:val="16"/>
              </w:rPr>
            </w:pPr>
          </w:p>
          <w:p w14:paraId="5E5A0C2E" w14:textId="77777777" w:rsidR="00561B47" w:rsidRPr="00266EB9" w:rsidRDefault="00561B47" w:rsidP="00561B47">
            <w:pPr>
              <w:keepNext/>
              <w:keepLines/>
              <w:rPr>
                <w:color w:val="002060"/>
                <w:sz w:val="16"/>
                <w:szCs w:val="16"/>
              </w:rPr>
            </w:pPr>
            <w:r w:rsidRPr="00266EB9">
              <w:rPr>
                <w:color w:val="002060"/>
                <w:sz w:val="16"/>
                <w:szCs w:val="16"/>
              </w:rPr>
              <w:t>Coût unitaire de l’enregistrement :</w:t>
            </w:r>
          </w:p>
          <w:p w14:paraId="3F923394" w14:textId="77777777" w:rsidR="00561B47" w:rsidRPr="00266EB9" w:rsidRDefault="00561B47" w:rsidP="00561B47">
            <w:pPr>
              <w:keepNext/>
              <w:keepLines/>
              <w:rPr>
                <w:color w:val="002060"/>
                <w:sz w:val="16"/>
                <w:szCs w:val="16"/>
              </w:rPr>
            </w:pPr>
            <w:r w:rsidRPr="00266EB9">
              <w:rPr>
                <w:color w:val="002060"/>
                <w:sz w:val="16"/>
                <w:szCs w:val="16"/>
              </w:rPr>
              <w:t>323 francs suisses (2015)</w:t>
            </w:r>
          </w:p>
          <w:p w14:paraId="0D36A611" w14:textId="316400E0" w:rsidR="00561B47" w:rsidRPr="00AA64E5" w:rsidRDefault="00561B47" w:rsidP="00AA64E5">
            <w:pPr>
              <w:keepNext/>
              <w:keepLines/>
              <w:rPr>
                <w:color w:val="002060"/>
                <w:sz w:val="16"/>
                <w:szCs w:val="16"/>
              </w:rPr>
            </w:pPr>
            <w:r w:rsidRPr="00266EB9">
              <w:rPr>
                <w:color w:val="002060"/>
                <w:sz w:val="16"/>
                <w:szCs w:val="16"/>
              </w:rPr>
              <w:t>322 francs suisses (2014)</w:t>
            </w:r>
          </w:p>
          <w:p w14:paraId="515F604A" w14:textId="4D19D688" w:rsidR="00561B47" w:rsidRPr="00266EB9" w:rsidRDefault="00561B47" w:rsidP="00561B47">
            <w:pPr>
              <w:rPr>
                <w:color w:val="000000"/>
                <w:sz w:val="16"/>
                <w:szCs w:val="16"/>
              </w:rPr>
            </w:pPr>
          </w:p>
        </w:tc>
        <w:tc>
          <w:tcPr>
            <w:tcW w:w="820" w:type="pct"/>
            <w:shd w:val="clear" w:color="auto" w:fill="auto"/>
            <w:tcMar>
              <w:top w:w="57" w:type="dxa"/>
              <w:left w:w="108" w:type="dxa"/>
              <w:right w:w="108" w:type="dxa"/>
            </w:tcMar>
          </w:tcPr>
          <w:p w14:paraId="52FDE39A" w14:textId="77777777" w:rsidR="00561B47" w:rsidRPr="00266EB9" w:rsidRDefault="00561B47" w:rsidP="00561B47">
            <w:pPr>
              <w:rPr>
                <w:color w:val="000000"/>
                <w:sz w:val="16"/>
                <w:szCs w:val="16"/>
              </w:rPr>
            </w:pPr>
            <w:r w:rsidRPr="00266EB9">
              <w:rPr>
                <w:sz w:val="16"/>
                <w:szCs w:val="16"/>
              </w:rPr>
              <w:t>Réduction dans les deux catégories de coût unitaire</w:t>
            </w:r>
          </w:p>
        </w:tc>
        <w:tc>
          <w:tcPr>
            <w:tcW w:w="1373" w:type="pct"/>
            <w:gridSpan w:val="3"/>
            <w:shd w:val="clear" w:color="auto" w:fill="FFFFFF"/>
            <w:tcMar>
              <w:top w:w="57" w:type="dxa"/>
              <w:left w:w="108" w:type="dxa"/>
              <w:right w:w="108" w:type="dxa"/>
            </w:tcMar>
          </w:tcPr>
          <w:p w14:paraId="71117A49" w14:textId="77777777" w:rsidR="00561B47" w:rsidRPr="00266EB9" w:rsidRDefault="00561B47" w:rsidP="00561B47">
            <w:pPr>
              <w:keepNext/>
              <w:keepLines/>
              <w:rPr>
                <w:color w:val="000000"/>
                <w:sz w:val="16"/>
                <w:szCs w:val="16"/>
              </w:rPr>
            </w:pPr>
            <w:r w:rsidRPr="00266EB9">
              <w:rPr>
                <w:sz w:val="16"/>
                <w:szCs w:val="16"/>
              </w:rPr>
              <w:t>Coût de l’enregistrement/renouvellement :</w:t>
            </w:r>
            <w:r w:rsidRPr="00266EB9">
              <w:rPr>
                <w:sz w:val="16"/>
                <w:szCs w:val="16"/>
              </w:rPr>
              <w:br/>
            </w:r>
            <w:r w:rsidRPr="00266EB9">
              <w:rPr>
                <w:color w:val="000000"/>
                <w:sz w:val="16"/>
                <w:szCs w:val="16"/>
              </w:rPr>
              <w:t>746 francs suisses</w:t>
            </w:r>
            <w:r w:rsidRPr="00266EB9">
              <w:rPr>
                <w:rStyle w:val="FootnoteReference"/>
                <w:rFonts w:cs="Arial"/>
                <w:color w:val="000000"/>
              </w:rPr>
              <w:footnoteReference w:id="34"/>
            </w:r>
          </w:p>
          <w:p w14:paraId="468D3F93" w14:textId="77777777" w:rsidR="00561B47" w:rsidRPr="00266EB9" w:rsidRDefault="00561B47" w:rsidP="00561B47">
            <w:pPr>
              <w:keepNext/>
              <w:keepLines/>
              <w:rPr>
                <w:color w:val="000000"/>
                <w:sz w:val="16"/>
                <w:szCs w:val="16"/>
              </w:rPr>
            </w:pPr>
          </w:p>
          <w:p w14:paraId="33CCCA63" w14:textId="77777777" w:rsidR="00561B47" w:rsidRPr="00266EB9" w:rsidRDefault="00561B47" w:rsidP="00561B47">
            <w:pPr>
              <w:keepNext/>
              <w:keepLines/>
              <w:rPr>
                <w:color w:val="000000"/>
                <w:sz w:val="16"/>
                <w:szCs w:val="16"/>
              </w:rPr>
            </w:pPr>
            <w:r w:rsidRPr="00266EB9">
              <w:rPr>
                <w:color w:val="000000"/>
                <w:sz w:val="16"/>
                <w:szCs w:val="16"/>
              </w:rPr>
              <w:t>Coût unitaire de l’enregistrement :</w:t>
            </w:r>
            <w:r w:rsidRPr="00266EB9">
              <w:rPr>
                <w:color w:val="000000"/>
                <w:sz w:val="16"/>
                <w:szCs w:val="16"/>
              </w:rPr>
              <w:br/>
              <w:t>318 francs suisses</w:t>
            </w:r>
            <w:r w:rsidRPr="00266EB9">
              <w:rPr>
                <w:rStyle w:val="FootnoteReference"/>
                <w:rFonts w:cs="Arial"/>
                <w:color w:val="000000"/>
              </w:rPr>
              <w:footnoteReference w:id="35"/>
            </w:r>
            <w:r w:rsidRPr="00266EB9">
              <w:rPr>
                <w:color w:val="000000"/>
                <w:sz w:val="16"/>
                <w:szCs w:val="16"/>
              </w:rPr>
              <w:t xml:space="preserve"> </w:t>
            </w:r>
          </w:p>
        </w:tc>
        <w:tc>
          <w:tcPr>
            <w:tcW w:w="637" w:type="pct"/>
            <w:gridSpan w:val="3"/>
            <w:shd w:val="clear" w:color="auto" w:fill="auto"/>
            <w:tcMar>
              <w:top w:w="57" w:type="dxa"/>
              <w:left w:w="108" w:type="dxa"/>
              <w:right w:w="108" w:type="dxa"/>
            </w:tcMar>
          </w:tcPr>
          <w:p w14:paraId="527D0597" w14:textId="77777777" w:rsidR="00561B47" w:rsidRPr="00266EB9" w:rsidRDefault="00561B47" w:rsidP="00561B47">
            <w:pPr>
              <w:keepNext/>
              <w:keepLines/>
              <w:jc w:val="center"/>
              <w:rPr>
                <w:b/>
                <w:color w:val="A6A6A6" w:themeColor="background1" w:themeShade="A6"/>
                <w:sz w:val="16"/>
                <w:szCs w:val="13"/>
              </w:rPr>
            </w:pPr>
            <w:r w:rsidRPr="00266EB9">
              <w:rPr>
                <w:b/>
                <w:color w:val="A6A6A6" w:themeColor="background1" w:themeShade="A6"/>
                <w:sz w:val="16"/>
                <w:szCs w:val="16"/>
              </w:rPr>
              <w:t>Non évaluable</w:t>
            </w:r>
          </w:p>
          <w:p w14:paraId="214C5297" w14:textId="77777777" w:rsidR="00561B47" w:rsidRDefault="00561B47" w:rsidP="00561B47">
            <w:pPr>
              <w:keepNext/>
              <w:keepLines/>
              <w:jc w:val="center"/>
              <w:rPr>
                <w:b/>
                <w:color w:val="A6A6A6" w:themeColor="background1" w:themeShade="A6"/>
                <w:sz w:val="16"/>
                <w:szCs w:val="16"/>
              </w:rPr>
            </w:pPr>
          </w:p>
          <w:p w14:paraId="08093171" w14:textId="77777777" w:rsidR="00561B47" w:rsidRPr="00266EB9" w:rsidRDefault="00561B47" w:rsidP="00561B47">
            <w:pPr>
              <w:keepNext/>
              <w:keepLines/>
              <w:jc w:val="center"/>
              <w:rPr>
                <w:b/>
                <w:color w:val="A6A6A6" w:themeColor="background1" w:themeShade="A6"/>
                <w:sz w:val="16"/>
                <w:szCs w:val="16"/>
              </w:rPr>
            </w:pPr>
          </w:p>
          <w:p w14:paraId="63BA7392" w14:textId="77777777" w:rsidR="00561B47" w:rsidRPr="00266EB9" w:rsidRDefault="00561B47" w:rsidP="00561B47">
            <w:pPr>
              <w:keepNext/>
              <w:keepLines/>
              <w:jc w:val="center"/>
              <w:rPr>
                <w:color w:val="000000"/>
                <w:sz w:val="16"/>
                <w:szCs w:val="16"/>
              </w:rPr>
            </w:pPr>
            <w:r w:rsidRPr="00266EB9">
              <w:rPr>
                <w:b/>
                <w:color w:val="A6A6A6" w:themeColor="background1" w:themeShade="A6"/>
                <w:sz w:val="16"/>
                <w:szCs w:val="16"/>
              </w:rPr>
              <w:t>Non évaluable</w:t>
            </w:r>
          </w:p>
        </w:tc>
      </w:tr>
      <w:tr w:rsidR="00AA64E5" w:rsidRPr="00266EB9" w14:paraId="79FEB611" w14:textId="77777777" w:rsidTr="006A58B3">
        <w:trPr>
          <w:cantSplit/>
        </w:trPr>
        <w:tc>
          <w:tcPr>
            <w:tcW w:w="793" w:type="pct"/>
            <w:shd w:val="clear" w:color="auto" w:fill="auto"/>
            <w:tcMar>
              <w:left w:w="108" w:type="dxa"/>
              <w:right w:w="108" w:type="dxa"/>
            </w:tcMar>
          </w:tcPr>
          <w:p w14:paraId="07F840A0" w14:textId="77777777" w:rsidR="00AA64E5" w:rsidRPr="00266EB9" w:rsidRDefault="00AA64E5" w:rsidP="00561B47">
            <w:pPr>
              <w:rPr>
                <w:sz w:val="16"/>
                <w:szCs w:val="16"/>
              </w:rPr>
            </w:pPr>
          </w:p>
        </w:tc>
        <w:tc>
          <w:tcPr>
            <w:tcW w:w="1377" w:type="pct"/>
            <w:shd w:val="clear" w:color="auto" w:fill="auto"/>
            <w:tcMar>
              <w:left w:w="108" w:type="dxa"/>
              <w:right w:w="108" w:type="dxa"/>
            </w:tcMar>
          </w:tcPr>
          <w:p w14:paraId="73480AA0" w14:textId="77777777" w:rsidR="00AA64E5" w:rsidRPr="00266EB9" w:rsidRDefault="00AA64E5" w:rsidP="00AA64E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2DCC998E" w14:textId="77777777" w:rsidR="00AA64E5" w:rsidRPr="00266EB9" w:rsidRDefault="00AA64E5" w:rsidP="00AA64E5">
            <w:pPr>
              <w:rPr>
                <w:color w:val="000000"/>
                <w:sz w:val="16"/>
                <w:szCs w:val="16"/>
              </w:rPr>
            </w:pPr>
            <w:r w:rsidRPr="00266EB9">
              <w:rPr>
                <w:sz w:val="16"/>
                <w:szCs w:val="16"/>
              </w:rPr>
              <w:t>Coût de l’enregistrement/</w:t>
            </w:r>
            <w:r>
              <w:rPr>
                <w:sz w:val="16"/>
                <w:szCs w:val="16"/>
              </w:rPr>
              <w:t xml:space="preserve"> </w:t>
            </w:r>
            <w:r w:rsidRPr="00266EB9">
              <w:rPr>
                <w:sz w:val="16"/>
                <w:szCs w:val="16"/>
              </w:rPr>
              <w:t>renouvellement :</w:t>
            </w:r>
          </w:p>
          <w:p w14:paraId="59D3FCF6" w14:textId="1D2BB8FA" w:rsidR="00AA64E5" w:rsidRPr="00266EB9" w:rsidRDefault="00AA64E5" w:rsidP="00AA64E5">
            <w:pPr>
              <w:rPr>
                <w:i/>
                <w:color w:val="002060"/>
                <w:sz w:val="16"/>
                <w:szCs w:val="16"/>
              </w:rPr>
            </w:pPr>
            <w:r w:rsidRPr="00266EB9">
              <w:rPr>
                <w:color w:val="000000"/>
                <w:sz w:val="16"/>
                <w:szCs w:val="16"/>
              </w:rPr>
              <w:t>837 francs suisses</w:t>
            </w:r>
            <w:r w:rsidRPr="00266EB9">
              <w:rPr>
                <w:color w:val="000000"/>
                <w:sz w:val="16"/>
                <w:szCs w:val="16"/>
              </w:rPr>
              <w:br/>
              <w:t>Coût unitaire de l’enregistrement : 320 francs suisses</w:t>
            </w:r>
          </w:p>
        </w:tc>
        <w:tc>
          <w:tcPr>
            <w:tcW w:w="820" w:type="pct"/>
            <w:shd w:val="clear" w:color="auto" w:fill="auto"/>
            <w:tcMar>
              <w:top w:w="57" w:type="dxa"/>
              <w:left w:w="108" w:type="dxa"/>
              <w:right w:w="108" w:type="dxa"/>
            </w:tcMar>
          </w:tcPr>
          <w:p w14:paraId="349C441B" w14:textId="77777777" w:rsidR="00AA64E5" w:rsidRPr="00266EB9" w:rsidRDefault="00AA64E5" w:rsidP="00561B47">
            <w:pPr>
              <w:rPr>
                <w:sz w:val="16"/>
                <w:szCs w:val="16"/>
              </w:rPr>
            </w:pPr>
          </w:p>
        </w:tc>
        <w:tc>
          <w:tcPr>
            <w:tcW w:w="1373" w:type="pct"/>
            <w:gridSpan w:val="3"/>
            <w:shd w:val="clear" w:color="auto" w:fill="FFFFFF"/>
            <w:tcMar>
              <w:top w:w="57" w:type="dxa"/>
              <w:left w:w="108" w:type="dxa"/>
              <w:right w:w="108" w:type="dxa"/>
            </w:tcMar>
          </w:tcPr>
          <w:p w14:paraId="69ED985F" w14:textId="77777777" w:rsidR="00AA64E5" w:rsidRPr="00266EB9" w:rsidRDefault="00AA64E5" w:rsidP="00561B47">
            <w:pPr>
              <w:keepNext/>
              <w:keepLines/>
              <w:rPr>
                <w:sz w:val="16"/>
                <w:szCs w:val="16"/>
              </w:rPr>
            </w:pPr>
          </w:p>
        </w:tc>
        <w:tc>
          <w:tcPr>
            <w:tcW w:w="637" w:type="pct"/>
            <w:gridSpan w:val="3"/>
            <w:shd w:val="clear" w:color="auto" w:fill="auto"/>
            <w:tcMar>
              <w:top w:w="57" w:type="dxa"/>
              <w:left w:w="108" w:type="dxa"/>
              <w:right w:w="108" w:type="dxa"/>
            </w:tcMar>
          </w:tcPr>
          <w:p w14:paraId="5AFB692C" w14:textId="77777777" w:rsidR="00AA64E5" w:rsidRPr="00266EB9" w:rsidRDefault="00AA64E5" w:rsidP="00561B47">
            <w:pPr>
              <w:keepNext/>
              <w:keepLines/>
              <w:jc w:val="center"/>
              <w:rPr>
                <w:b/>
                <w:color w:val="A6A6A6" w:themeColor="background1" w:themeShade="A6"/>
                <w:sz w:val="16"/>
                <w:szCs w:val="16"/>
              </w:rPr>
            </w:pPr>
          </w:p>
        </w:tc>
      </w:tr>
      <w:tr w:rsidR="00561B47" w:rsidRPr="00266EB9" w14:paraId="039268F1" w14:textId="77777777" w:rsidTr="006A58B3">
        <w:trPr>
          <w:cantSplit/>
        </w:trPr>
        <w:tc>
          <w:tcPr>
            <w:tcW w:w="793" w:type="pct"/>
            <w:shd w:val="clear" w:color="auto" w:fill="auto"/>
            <w:tcMar>
              <w:left w:w="108" w:type="dxa"/>
              <w:right w:w="108" w:type="dxa"/>
            </w:tcMar>
          </w:tcPr>
          <w:p w14:paraId="63201EF7" w14:textId="77777777" w:rsidR="00561B47" w:rsidRPr="00266EB9" w:rsidRDefault="00561B47" w:rsidP="00561B47">
            <w:pPr>
              <w:rPr>
                <w:color w:val="000000"/>
                <w:sz w:val="16"/>
                <w:szCs w:val="16"/>
              </w:rPr>
            </w:pPr>
            <w:r w:rsidRPr="00266EB9">
              <w:rPr>
                <w:sz w:val="16"/>
                <w:szCs w:val="16"/>
              </w:rPr>
              <w:lastRenderedPageBreak/>
              <w:t>Rapidité des transactions</w:t>
            </w:r>
          </w:p>
          <w:p w14:paraId="6250CC30" w14:textId="77777777" w:rsidR="00561B47" w:rsidRPr="00266EB9" w:rsidRDefault="00561B47" w:rsidP="00561B47">
            <w:pPr>
              <w:rPr>
                <w:color w:val="000000"/>
                <w:sz w:val="16"/>
                <w:szCs w:val="16"/>
              </w:rPr>
            </w:pPr>
            <w:r w:rsidRPr="00266EB9">
              <w:rPr>
                <w:sz w:val="16"/>
                <w:szCs w:val="16"/>
              </w:rPr>
              <w:t>(jours) (Madrid)</w:t>
            </w:r>
          </w:p>
        </w:tc>
        <w:tc>
          <w:tcPr>
            <w:tcW w:w="1377" w:type="pct"/>
            <w:shd w:val="clear" w:color="auto" w:fill="auto"/>
            <w:tcMar>
              <w:left w:w="108" w:type="dxa"/>
              <w:right w:w="108" w:type="dxa"/>
            </w:tcMar>
          </w:tcPr>
          <w:p w14:paraId="50B631D7" w14:textId="77777777" w:rsidR="00561B47" w:rsidRPr="002655A7" w:rsidRDefault="00561B47" w:rsidP="00561B47">
            <w:pPr>
              <w:rPr>
                <w:i/>
                <w:color w:val="002060"/>
                <w:sz w:val="16"/>
                <w:szCs w:val="16"/>
              </w:rPr>
            </w:pPr>
            <w:r w:rsidRPr="00266EB9">
              <w:rPr>
                <w:i/>
                <w:color w:val="002060"/>
                <w:sz w:val="16"/>
                <w:szCs w:val="16"/>
              </w:rPr>
              <w:t>Niveau de référence actualisé à fin 2</w:t>
            </w:r>
            <w:r w:rsidRPr="002655A7">
              <w:rPr>
                <w:i/>
                <w:color w:val="002060"/>
                <w:sz w:val="16"/>
                <w:szCs w:val="16"/>
              </w:rPr>
              <w:t>015 :</w:t>
            </w:r>
          </w:p>
          <w:p w14:paraId="78A2EE3A" w14:textId="77777777" w:rsidR="00561B47" w:rsidRPr="002655A7" w:rsidRDefault="00561B47" w:rsidP="00561B47">
            <w:pPr>
              <w:rPr>
                <w:color w:val="002060"/>
                <w:sz w:val="16"/>
                <w:szCs w:val="16"/>
              </w:rPr>
            </w:pPr>
            <w:r w:rsidRPr="002655A7">
              <w:rPr>
                <w:color w:val="002060"/>
                <w:sz w:val="16"/>
                <w:szCs w:val="16"/>
              </w:rPr>
              <w:t>– Demandes : 57</w:t>
            </w:r>
          </w:p>
          <w:p w14:paraId="1D9A2135" w14:textId="77777777" w:rsidR="00561B47" w:rsidRPr="002655A7" w:rsidRDefault="00561B47" w:rsidP="00561B47">
            <w:pPr>
              <w:rPr>
                <w:color w:val="002060"/>
                <w:sz w:val="16"/>
                <w:szCs w:val="16"/>
              </w:rPr>
            </w:pPr>
            <w:r w:rsidRPr="002655A7">
              <w:rPr>
                <w:color w:val="002060"/>
                <w:sz w:val="16"/>
                <w:szCs w:val="16"/>
              </w:rPr>
              <w:t>– Renouvellements : 56</w:t>
            </w:r>
          </w:p>
          <w:p w14:paraId="3CF8A494" w14:textId="77777777" w:rsidR="00561B47" w:rsidRPr="002655A7" w:rsidRDefault="00561B47" w:rsidP="00561B47">
            <w:pPr>
              <w:rPr>
                <w:color w:val="002060"/>
                <w:sz w:val="16"/>
                <w:szCs w:val="16"/>
              </w:rPr>
            </w:pPr>
            <w:r w:rsidRPr="002655A7">
              <w:rPr>
                <w:color w:val="002060"/>
                <w:sz w:val="16"/>
                <w:szCs w:val="16"/>
              </w:rPr>
              <w:t>– Désignations postérieures : 32</w:t>
            </w:r>
          </w:p>
          <w:p w14:paraId="29CE8FB1" w14:textId="77777777" w:rsidR="00561B47" w:rsidRPr="002655A7" w:rsidRDefault="00561B47" w:rsidP="00561B47">
            <w:pPr>
              <w:rPr>
                <w:color w:val="002060"/>
                <w:sz w:val="16"/>
                <w:szCs w:val="16"/>
              </w:rPr>
            </w:pPr>
            <w:r w:rsidRPr="002655A7">
              <w:rPr>
                <w:color w:val="002060"/>
                <w:sz w:val="16"/>
                <w:szCs w:val="16"/>
              </w:rPr>
              <w:t>– Décisions : 11</w:t>
            </w:r>
          </w:p>
          <w:p w14:paraId="746B4F8A" w14:textId="77777777" w:rsidR="00561B47" w:rsidRPr="00266EB9" w:rsidRDefault="00561B47" w:rsidP="00561B47">
            <w:pPr>
              <w:rPr>
                <w:color w:val="002060"/>
                <w:sz w:val="16"/>
                <w:szCs w:val="16"/>
              </w:rPr>
            </w:pPr>
            <w:r w:rsidRPr="002655A7">
              <w:rPr>
                <w:color w:val="002060"/>
                <w:sz w:val="16"/>
                <w:szCs w:val="16"/>
              </w:rPr>
              <w:t>– Modificati</w:t>
            </w:r>
            <w:r w:rsidRPr="00266EB9">
              <w:rPr>
                <w:color w:val="002060"/>
                <w:sz w:val="16"/>
                <w:szCs w:val="16"/>
              </w:rPr>
              <w:t>ons : 56</w:t>
            </w:r>
          </w:p>
          <w:p w14:paraId="53D763F5" w14:textId="234F6ED1" w:rsidR="00561B47" w:rsidRPr="00266EB9" w:rsidRDefault="00561B47" w:rsidP="00561B47">
            <w:pPr>
              <w:rPr>
                <w:color w:val="002060"/>
                <w:sz w:val="16"/>
                <w:szCs w:val="16"/>
              </w:rPr>
            </w:pPr>
            <w:r w:rsidRPr="00266EB9">
              <w:rPr>
                <w:color w:val="002060"/>
                <w:sz w:val="16"/>
                <w:szCs w:val="16"/>
              </w:rPr>
              <w:t>– Corrections : 12</w:t>
            </w:r>
            <w:r w:rsidR="006A58B3">
              <w:rPr>
                <w:color w:val="002060"/>
                <w:sz w:val="16"/>
                <w:szCs w:val="16"/>
              </w:rPr>
              <w:t>3</w:t>
            </w:r>
          </w:p>
          <w:p w14:paraId="09228D64" w14:textId="77777777" w:rsidR="00561B47" w:rsidRPr="00266EB9" w:rsidRDefault="00561B47" w:rsidP="00561B47">
            <w:pPr>
              <w:rPr>
                <w:color w:val="000000"/>
                <w:sz w:val="16"/>
                <w:szCs w:val="16"/>
              </w:rPr>
            </w:pPr>
          </w:p>
          <w:p w14:paraId="0D96F193"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72BE4960" w14:textId="77777777" w:rsidR="00561B47" w:rsidRPr="00266EB9" w:rsidRDefault="00561B47" w:rsidP="00561B47">
            <w:pPr>
              <w:rPr>
                <w:color w:val="000000"/>
                <w:sz w:val="16"/>
                <w:szCs w:val="16"/>
              </w:rPr>
            </w:pPr>
            <w:r w:rsidRPr="00266EB9">
              <w:rPr>
                <w:sz w:val="16"/>
                <w:szCs w:val="16"/>
              </w:rPr>
              <w:t>Demandes : 70</w:t>
            </w:r>
            <w:r w:rsidRPr="00266EB9">
              <w:rPr>
                <w:color w:val="000000"/>
                <w:sz w:val="16"/>
                <w:szCs w:val="16"/>
              </w:rPr>
              <w:br/>
              <w:t>R</w:t>
            </w:r>
            <w:r w:rsidRPr="00266EB9">
              <w:rPr>
                <w:sz w:val="16"/>
                <w:szCs w:val="16"/>
              </w:rPr>
              <w:t>enouvellements : 63</w:t>
            </w:r>
            <w:r w:rsidRPr="00266EB9">
              <w:rPr>
                <w:sz w:val="16"/>
                <w:szCs w:val="16"/>
              </w:rPr>
              <w:br/>
            </w:r>
            <w:r w:rsidRPr="00266EB9">
              <w:rPr>
                <w:color w:val="000000"/>
                <w:sz w:val="16"/>
                <w:szCs w:val="16"/>
              </w:rPr>
              <w:t>Dé</w:t>
            </w:r>
            <w:r w:rsidRPr="00266EB9">
              <w:rPr>
                <w:sz w:val="16"/>
                <w:szCs w:val="16"/>
              </w:rPr>
              <w:t>signations postérieures : 56</w:t>
            </w:r>
            <w:r w:rsidRPr="00266EB9">
              <w:rPr>
                <w:sz w:val="16"/>
                <w:szCs w:val="16"/>
              </w:rPr>
              <w:br/>
              <w:t>D</w:t>
            </w:r>
            <w:r w:rsidRPr="00266EB9">
              <w:rPr>
                <w:color w:val="000000"/>
                <w:sz w:val="16"/>
                <w:szCs w:val="16"/>
              </w:rPr>
              <w:t>éc</w:t>
            </w:r>
            <w:r w:rsidRPr="00266EB9">
              <w:rPr>
                <w:sz w:val="16"/>
                <w:szCs w:val="16"/>
              </w:rPr>
              <w:t>isions : 12</w:t>
            </w:r>
            <w:r w:rsidRPr="00266EB9">
              <w:rPr>
                <w:sz w:val="16"/>
                <w:szCs w:val="16"/>
              </w:rPr>
              <w:br/>
              <w:t>Mo</w:t>
            </w:r>
            <w:r w:rsidRPr="00266EB9">
              <w:rPr>
                <w:color w:val="000000"/>
                <w:sz w:val="16"/>
                <w:szCs w:val="16"/>
              </w:rPr>
              <w:t>di</w:t>
            </w:r>
            <w:r w:rsidRPr="00266EB9">
              <w:rPr>
                <w:sz w:val="16"/>
                <w:szCs w:val="16"/>
              </w:rPr>
              <w:t>fications : 79</w:t>
            </w:r>
            <w:r w:rsidRPr="00266EB9">
              <w:rPr>
                <w:sz w:val="16"/>
                <w:szCs w:val="16"/>
              </w:rPr>
              <w:br/>
              <w:t>Cor</w:t>
            </w:r>
            <w:r w:rsidRPr="00266EB9">
              <w:rPr>
                <w:color w:val="000000"/>
                <w:sz w:val="16"/>
                <w:szCs w:val="16"/>
              </w:rPr>
              <w:t>re</w:t>
            </w:r>
            <w:r w:rsidRPr="00266EB9">
              <w:rPr>
                <w:sz w:val="16"/>
                <w:szCs w:val="16"/>
              </w:rPr>
              <w:t>ctions : 232</w:t>
            </w:r>
            <w:r w:rsidRPr="00266EB9">
              <w:rPr>
                <w:sz w:val="16"/>
                <w:szCs w:val="16"/>
              </w:rPr>
              <w:br/>
              <w:t xml:space="preserve">(au </w:t>
            </w:r>
            <w:r w:rsidRPr="00266EB9">
              <w:rPr>
                <w:color w:val="000000"/>
                <w:sz w:val="16"/>
                <w:szCs w:val="16"/>
              </w:rPr>
              <w:t>31 </w:t>
            </w:r>
            <w:r w:rsidRPr="00266EB9">
              <w:rPr>
                <w:sz w:val="16"/>
                <w:szCs w:val="16"/>
              </w:rPr>
              <w:t>décembre 2014)</w:t>
            </w:r>
          </w:p>
        </w:tc>
        <w:tc>
          <w:tcPr>
            <w:tcW w:w="820" w:type="pct"/>
            <w:shd w:val="clear" w:color="auto" w:fill="auto"/>
            <w:tcMar>
              <w:top w:w="57" w:type="dxa"/>
              <w:left w:w="108" w:type="dxa"/>
              <w:right w:w="108" w:type="dxa"/>
            </w:tcMar>
          </w:tcPr>
          <w:p w14:paraId="0911D1D4" w14:textId="77777777" w:rsidR="00561B47" w:rsidRPr="00266EB9" w:rsidRDefault="00561B47" w:rsidP="00561B47">
            <w:pPr>
              <w:rPr>
                <w:color w:val="000000"/>
                <w:sz w:val="16"/>
                <w:szCs w:val="16"/>
              </w:rPr>
            </w:pPr>
            <w:r w:rsidRPr="00266EB9">
              <w:rPr>
                <w:sz w:val="16"/>
                <w:szCs w:val="16"/>
              </w:rPr>
              <w:t>Amélioration pour toutes les transactions</w:t>
            </w:r>
          </w:p>
        </w:tc>
        <w:tc>
          <w:tcPr>
            <w:tcW w:w="1373" w:type="pct"/>
            <w:gridSpan w:val="3"/>
            <w:shd w:val="clear" w:color="auto" w:fill="FFFFFF"/>
            <w:tcMar>
              <w:top w:w="57" w:type="dxa"/>
              <w:left w:w="108" w:type="dxa"/>
              <w:right w:w="108" w:type="dxa"/>
            </w:tcMar>
          </w:tcPr>
          <w:p w14:paraId="0BAB5F5A" w14:textId="77777777" w:rsidR="00561B47" w:rsidRPr="00266EB9" w:rsidRDefault="00561B47" w:rsidP="00561B47">
            <w:pPr>
              <w:rPr>
                <w:sz w:val="16"/>
                <w:szCs w:val="16"/>
              </w:rPr>
            </w:pPr>
            <w:r w:rsidRPr="00266EB9">
              <w:rPr>
                <w:sz w:val="16"/>
                <w:szCs w:val="16"/>
              </w:rPr>
              <w:t>– Demandes : 64</w:t>
            </w:r>
          </w:p>
          <w:p w14:paraId="4875AF0D" w14:textId="77777777" w:rsidR="00561B47" w:rsidRPr="00266EB9" w:rsidRDefault="00561B47" w:rsidP="00561B47">
            <w:pPr>
              <w:rPr>
                <w:sz w:val="16"/>
                <w:szCs w:val="16"/>
              </w:rPr>
            </w:pPr>
            <w:r w:rsidRPr="00266EB9">
              <w:rPr>
                <w:sz w:val="16"/>
                <w:szCs w:val="16"/>
              </w:rPr>
              <w:t>– Renouvellements : 65</w:t>
            </w:r>
          </w:p>
          <w:p w14:paraId="65C957C4" w14:textId="77777777" w:rsidR="00561B47" w:rsidRPr="00266EB9" w:rsidRDefault="00561B47" w:rsidP="00561B47">
            <w:pPr>
              <w:rPr>
                <w:sz w:val="16"/>
                <w:szCs w:val="16"/>
              </w:rPr>
            </w:pPr>
            <w:r w:rsidRPr="00266EB9">
              <w:rPr>
                <w:sz w:val="16"/>
                <w:szCs w:val="16"/>
              </w:rPr>
              <w:t>– Désignations postérieures : 42</w:t>
            </w:r>
          </w:p>
          <w:p w14:paraId="7838F66E" w14:textId="77777777" w:rsidR="00561B47" w:rsidRPr="00266EB9" w:rsidRDefault="00561B47" w:rsidP="00561B47">
            <w:pPr>
              <w:rPr>
                <w:sz w:val="16"/>
                <w:szCs w:val="16"/>
              </w:rPr>
            </w:pPr>
            <w:r w:rsidRPr="00266EB9">
              <w:rPr>
                <w:sz w:val="16"/>
                <w:szCs w:val="16"/>
              </w:rPr>
              <w:t>– Décisions : 24</w:t>
            </w:r>
          </w:p>
          <w:p w14:paraId="3C52E04F" w14:textId="77777777" w:rsidR="00561B47" w:rsidRPr="00266EB9" w:rsidRDefault="00561B47" w:rsidP="00561B47">
            <w:pPr>
              <w:rPr>
                <w:sz w:val="16"/>
                <w:szCs w:val="16"/>
              </w:rPr>
            </w:pPr>
            <w:r w:rsidRPr="00266EB9">
              <w:rPr>
                <w:sz w:val="16"/>
                <w:szCs w:val="16"/>
              </w:rPr>
              <w:t>– Modifications : 62</w:t>
            </w:r>
          </w:p>
          <w:p w14:paraId="52740466" w14:textId="77777777" w:rsidR="00561B47" w:rsidRPr="00266EB9" w:rsidRDefault="00561B47" w:rsidP="00561B47">
            <w:pPr>
              <w:rPr>
                <w:color w:val="000000" w:themeColor="text1"/>
                <w:sz w:val="16"/>
                <w:szCs w:val="16"/>
              </w:rPr>
            </w:pPr>
            <w:r w:rsidRPr="00266EB9">
              <w:rPr>
                <w:sz w:val="16"/>
                <w:szCs w:val="16"/>
              </w:rPr>
              <w:t>– Corrections : 140</w:t>
            </w:r>
          </w:p>
        </w:tc>
        <w:tc>
          <w:tcPr>
            <w:tcW w:w="637" w:type="pct"/>
            <w:gridSpan w:val="3"/>
            <w:shd w:val="clear" w:color="auto" w:fill="auto"/>
            <w:tcMar>
              <w:top w:w="57" w:type="dxa"/>
              <w:left w:w="108" w:type="dxa"/>
              <w:right w:w="108" w:type="dxa"/>
            </w:tcMar>
          </w:tcPr>
          <w:p w14:paraId="47D9A4C1" w14:textId="77777777" w:rsidR="00561B47" w:rsidRPr="00266EB9" w:rsidRDefault="00561B47" w:rsidP="00561B47">
            <w:pPr>
              <w:keepNext/>
              <w:keepLines/>
              <w:jc w:val="center"/>
              <w:rPr>
                <w:b/>
                <w:color w:val="000000"/>
                <w:sz w:val="16"/>
                <w:szCs w:val="16"/>
              </w:rPr>
            </w:pPr>
            <w:r w:rsidRPr="00266EB9">
              <w:rPr>
                <w:b/>
                <w:color w:val="FF0000"/>
                <w:sz w:val="16"/>
                <w:szCs w:val="16"/>
              </w:rPr>
              <w:t>Pas en bonne voie</w:t>
            </w:r>
          </w:p>
        </w:tc>
      </w:tr>
      <w:tr w:rsidR="00561B47" w:rsidRPr="00266EB9" w14:paraId="6B8D0B73" w14:textId="77777777" w:rsidTr="006A58B3">
        <w:trPr>
          <w:cantSplit/>
        </w:trPr>
        <w:tc>
          <w:tcPr>
            <w:tcW w:w="793" w:type="pct"/>
            <w:shd w:val="clear" w:color="auto" w:fill="auto"/>
            <w:tcMar>
              <w:left w:w="108" w:type="dxa"/>
              <w:right w:w="108" w:type="dxa"/>
            </w:tcMar>
          </w:tcPr>
          <w:p w14:paraId="22D09D73" w14:textId="77777777" w:rsidR="00561B47" w:rsidRPr="00266EB9" w:rsidRDefault="00561B47" w:rsidP="00561B47">
            <w:pPr>
              <w:rPr>
                <w:color w:val="000000"/>
                <w:sz w:val="16"/>
                <w:szCs w:val="16"/>
              </w:rPr>
            </w:pPr>
            <w:r w:rsidRPr="00266EB9">
              <w:rPr>
                <w:sz w:val="16"/>
                <w:szCs w:val="16"/>
              </w:rPr>
              <w:t>Qualité (Madrid)</w:t>
            </w:r>
          </w:p>
        </w:tc>
        <w:tc>
          <w:tcPr>
            <w:tcW w:w="1377" w:type="pct"/>
            <w:shd w:val="clear" w:color="auto" w:fill="auto"/>
            <w:tcMar>
              <w:left w:w="108" w:type="dxa"/>
              <w:right w:w="108" w:type="dxa"/>
            </w:tcMar>
          </w:tcPr>
          <w:p w14:paraId="38350B96"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660A45EB" w14:textId="77777777" w:rsidR="00561B47" w:rsidRPr="002655A7" w:rsidRDefault="00561B47" w:rsidP="00561B47">
            <w:pPr>
              <w:rPr>
                <w:color w:val="002060"/>
                <w:sz w:val="16"/>
                <w:szCs w:val="16"/>
              </w:rPr>
            </w:pPr>
            <w:r w:rsidRPr="00266EB9">
              <w:rPr>
                <w:color w:val="002060"/>
                <w:sz w:val="16"/>
                <w:szCs w:val="16"/>
              </w:rPr>
              <w:t>– N</w:t>
            </w:r>
            <w:r w:rsidRPr="002655A7">
              <w:rPr>
                <w:color w:val="002060"/>
                <w:sz w:val="16"/>
                <w:szCs w:val="16"/>
              </w:rPr>
              <w:t>ice : 89%</w:t>
            </w:r>
          </w:p>
          <w:p w14:paraId="33292CB4" w14:textId="77777777" w:rsidR="00561B47" w:rsidRPr="002655A7" w:rsidRDefault="00561B47" w:rsidP="00561B47">
            <w:pPr>
              <w:rPr>
                <w:color w:val="002060"/>
                <w:sz w:val="16"/>
                <w:szCs w:val="16"/>
              </w:rPr>
            </w:pPr>
            <w:r w:rsidRPr="002655A7">
              <w:rPr>
                <w:color w:val="002060"/>
                <w:sz w:val="16"/>
                <w:szCs w:val="16"/>
              </w:rPr>
              <w:t>– Examens quant à la forme : 95%</w:t>
            </w:r>
          </w:p>
          <w:p w14:paraId="4DA4B12F" w14:textId="77777777" w:rsidR="00561B47" w:rsidRPr="002655A7" w:rsidRDefault="00561B47" w:rsidP="00561B47">
            <w:pPr>
              <w:rPr>
                <w:color w:val="002060"/>
                <w:sz w:val="16"/>
                <w:szCs w:val="16"/>
              </w:rPr>
            </w:pPr>
            <w:r w:rsidRPr="002655A7">
              <w:rPr>
                <w:color w:val="002060"/>
                <w:sz w:val="16"/>
                <w:szCs w:val="16"/>
              </w:rPr>
              <w:t>– Décisions : 99%</w:t>
            </w:r>
          </w:p>
          <w:p w14:paraId="422E2FF7" w14:textId="77777777" w:rsidR="00561B47" w:rsidRPr="002655A7" w:rsidRDefault="00561B47" w:rsidP="00561B47">
            <w:pPr>
              <w:rPr>
                <w:color w:val="002060"/>
                <w:sz w:val="16"/>
                <w:szCs w:val="16"/>
              </w:rPr>
            </w:pPr>
            <w:r w:rsidRPr="002655A7">
              <w:rPr>
                <w:color w:val="002060"/>
                <w:sz w:val="16"/>
                <w:szCs w:val="16"/>
              </w:rPr>
              <w:t>– Modifications : 95%</w:t>
            </w:r>
          </w:p>
          <w:p w14:paraId="00F2F30C" w14:textId="77777777" w:rsidR="00561B47" w:rsidRPr="002655A7" w:rsidRDefault="00561B47" w:rsidP="00561B47">
            <w:pPr>
              <w:rPr>
                <w:color w:val="002060"/>
                <w:sz w:val="16"/>
                <w:szCs w:val="16"/>
              </w:rPr>
            </w:pPr>
            <w:r w:rsidRPr="002655A7">
              <w:rPr>
                <w:color w:val="002060"/>
                <w:sz w:val="16"/>
                <w:szCs w:val="16"/>
              </w:rPr>
              <w:t>– Renouvellements : 92%</w:t>
            </w:r>
          </w:p>
          <w:p w14:paraId="0362BE72" w14:textId="77777777" w:rsidR="00561B47" w:rsidRPr="002655A7" w:rsidRDefault="00561B47" w:rsidP="00561B47">
            <w:pPr>
              <w:rPr>
                <w:color w:val="002060"/>
                <w:sz w:val="16"/>
                <w:szCs w:val="16"/>
              </w:rPr>
            </w:pPr>
            <w:r w:rsidRPr="002655A7">
              <w:rPr>
                <w:color w:val="002060"/>
                <w:sz w:val="16"/>
                <w:szCs w:val="16"/>
              </w:rPr>
              <w:t>– Archives clients : 100%</w:t>
            </w:r>
          </w:p>
          <w:p w14:paraId="7E30DFE5" w14:textId="77777777" w:rsidR="00561B47" w:rsidRPr="002655A7" w:rsidRDefault="00561B47" w:rsidP="00561B47">
            <w:pPr>
              <w:rPr>
                <w:color w:val="002060"/>
                <w:sz w:val="16"/>
                <w:szCs w:val="16"/>
              </w:rPr>
            </w:pPr>
            <w:r w:rsidRPr="002655A7">
              <w:rPr>
                <w:color w:val="002060"/>
                <w:sz w:val="16"/>
                <w:szCs w:val="16"/>
              </w:rPr>
              <w:t>– Service à la clientèle : 79%</w:t>
            </w:r>
          </w:p>
          <w:p w14:paraId="340A60A5" w14:textId="77777777" w:rsidR="00561B47" w:rsidRPr="002655A7" w:rsidRDefault="00561B47" w:rsidP="00561B47">
            <w:pPr>
              <w:rPr>
                <w:color w:val="002060"/>
                <w:sz w:val="16"/>
                <w:szCs w:val="16"/>
                <w:lang w:val="fr-CH"/>
              </w:rPr>
            </w:pPr>
            <w:r w:rsidRPr="002655A7">
              <w:rPr>
                <w:color w:val="002060"/>
                <w:sz w:val="16"/>
                <w:szCs w:val="16"/>
                <w:lang w:val="fr-CH"/>
              </w:rPr>
              <w:t>– Traduction : EN : 100%</w:t>
            </w:r>
          </w:p>
          <w:p w14:paraId="0D2A732F" w14:textId="77777777" w:rsidR="00561B47" w:rsidRPr="002655A7" w:rsidRDefault="00561B47" w:rsidP="00561B47">
            <w:pPr>
              <w:rPr>
                <w:color w:val="002060"/>
                <w:sz w:val="16"/>
                <w:szCs w:val="16"/>
                <w:lang w:val="fr-CH"/>
              </w:rPr>
            </w:pPr>
            <w:r w:rsidRPr="002655A7">
              <w:rPr>
                <w:color w:val="002060"/>
                <w:sz w:val="16"/>
                <w:szCs w:val="16"/>
                <w:lang w:val="fr-CH"/>
              </w:rPr>
              <w:t xml:space="preserve">                       FR : 98%</w:t>
            </w:r>
          </w:p>
          <w:p w14:paraId="3091925D" w14:textId="77777777" w:rsidR="00561B47" w:rsidRPr="002655A7" w:rsidRDefault="00561B47" w:rsidP="00561B47">
            <w:pPr>
              <w:rPr>
                <w:color w:val="002060"/>
                <w:sz w:val="16"/>
                <w:szCs w:val="16"/>
                <w:lang w:val="fr-CH"/>
              </w:rPr>
            </w:pPr>
            <w:r w:rsidRPr="002655A7">
              <w:rPr>
                <w:color w:val="002060"/>
                <w:sz w:val="16"/>
                <w:szCs w:val="16"/>
                <w:lang w:val="fr-CH"/>
              </w:rPr>
              <w:t xml:space="preserve">                       ES : 96%</w:t>
            </w:r>
          </w:p>
          <w:p w14:paraId="5BA8CDC7" w14:textId="77777777" w:rsidR="00561B47" w:rsidRPr="00266EB9" w:rsidRDefault="00561B47" w:rsidP="00561B47">
            <w:pPr>
              <w:rPr>
                <w:i/>
                <w:sz w:val="16"/>
                <w:szCs w:val="16"/>
                <w:lang w:val="fr-CH" w:bidi="th-TH"/>
              </w:rPr>
            </w:pPr>
          </w:p>
          <w:p w14:paraId="75EB3CE2" w14:textId="77777777" w:rsidR="00561B47" w:rsidRPr="00266EB9" w:rsidRDefault="00561B47" w:rsidP="00561B47">
            <w:pPr>
              <w:rPr>
                <w:i/>
                <w:sz w:val="16"/>
                <w:szCs w:val="16"/>
                <w:lang w:val="fr-CH" w:bidi="th-TH"/>
              </w:rPr>
            </w:pPr>
            <w:r w:rsidRPr="00266EB9">
              <w:rPr>
                <w:i/>
                <w:sz w:val="16"/>
                <w:szCs w:val="16"/>
                <w:lang w:val="fr-CH" w:bidi="th-TH"/>
              </w:rPr>
              <w:t>Niveau de référence initial dans le programme et budget 2016</w:t>
            </w:r>
            <w:r>
              <w:rPr>
                <w:i/>
                <w:sz w:val="16"/>
                <w:szCs w:val="16"/>
                <w:lang w:val="fr-CH" w:bidi="th-TH"/>
              </w:rPr>
              <w:noBreakHyphen/>
            </w:r>
            <w:r w:rsidRPr="00266EB9">
              <w:rPr>
                <w:i/>
                <w:sz w:val="16"/>
                <w:szCs w:val="16"/>
                <w:lang w:val="fr-CH" w:bidi="th-TH"/>
              </w:rPr>
              <w:t>2017 :</w:t>
            </w:r>
          </w:p>
          <w:p w14:paraId="5C8B9207" w14:textId="77777777" w:rsidR="00561B47" w:rsidRPr="00266EB9" w:rsidRDefault="00561B47" w:rsidP="00561B47">
            <w:pPr>
              <w:rPr>
                <w:i/>
                <w:sz w:val="16"/>
                <w:szCs w:val="16"/>
                <w:lang w:bidi="th-TH"/>
              </w:rPr>
            </w:pPr>
            <w:r w:rsidRPr="00266EB9">
              <w:rPr>
                <w:sz w:val="16"/>
                <w:szCs w:val="16"/>
                <w:lang w:bidi="th-TH"/>
              </w:rPr>
              <w:t>à déterminer</w:t>
            </w:r>
          </w:p>
        </w:tc>
        <w:tc>
          <w:tcPr>
            <w:tcW w:w="820" w:type="pct"/>
            <w:shd w:val="clear" w:color="auto" w:fill="auto"/>
            <w:tcMar>
              <w:top w:w="57" w:type="dxa"/>
              <w:left w:w="108" w:type="dxa"/>
              <w:right w:w="108" w:type="dxa"/>
            </w:tcMar>
          </w:tcPr>
          <w:p w14:paraId="716DEDFB" w14:textId="77777777" w:rsidR="00561B47" w:rsidRPr="002655A7" w:rsidRDefault="00561B47" w:rsidP="00561B47">
            <w:pPr>
              <w:rPr>
                <w:i/>
                <w:color w:val="002060"/>
                <w:sz w:val="16"/>
                <w:szCs w:val="16"/>
              </w:rPr>
            </w:pPr>
            <w:r w:rsidRPr="002655A7">
              <w:rPr>
                <w:i/>
                <w:color w:val="002060"/>
                <w:sz w:val="16"/>
                <w:szCs w:val="16"/>
              </w:rPr>
              <w:t>Objectif fixé :</w:t>
            </w:r>
          </w:p>
          <w:p w14:paraId="214FB56A" w14:textId="77777777" w:rsidR="00561B47" w:rsidRPr="002655A7" w:rsidRDefault="00561B47" w:rsidP="00561B47">
            <w:pPr>
              <w:rPr>
                <w:color w:val="002060"/>
                <w:sz w:val="16"/>
                <w:szCs w:val="16"/>
              </w:rPr>
            </w:pPr>
            <w:r w:rsidRPr="002655A7">
              <w:rPr>
                <w:color w:val="002060"/>
                <w:sz w:val="16"/>
                <w:szCs w:val="16"/>
              </w:rPr>
              <w:t>NQA Nice : 90%</w:t>
            </w:r>
          </w:p>
          <w:p w14:paraId="09EF6752" w14:textId="77777777" w:rsidR="00561B47" w:rsidRPr="002655A7" w:rsidRDefault="00561B47" w:rsidP="00561B47">
            <w:pPr>
              <w:rPr>
                <w:color w:val="002060"/>
                <w:sz w:val="16"/>
                <w:szCs w:val="16"/>
              </w:rPr>
            </w:pPr>
            <w:r w:rsidRPr="002655A7">
              <w:rPr>
                <w:color w:val="002060"/>
                <w:sz w:val="16"/>
                <w:szCs w:val="16"/>
              </w:rPr>
              <w:t>NQA Examens quant à la forme : 95%</w:t>
            </w:r>
          </w:p>
          <w:p w14:paraId="405B7707" w14:textId="77777777" w:rsidR="00561B47" w:rsidRPr="00266EB9" w:rsidRDefault="00561B47" w:rsidP="00561B47">
            <w:pPr>
              <w:rPr>
                <w:color w:val="002060"/>
                <w:sz w:val="16"/>
                <w:szCs w:val="16"/>
              </w:rPr>
            </w:pPr>
            <w:r w:rsidRPr="002655A7">
              <w:rPr>
                <w:color w:val="002060"/>
                <w:sz w:val="16"/>
                <w:szCs w:val="16"/>
              </w:rPr>
              <w:t>NQA Décisions : 97</w:t>
            </w:r>
            <w:r w:rsidRPr="00266EB9">
              <w:rPr>
                <w:color w:val="002060"/>
                <w:sz w:val="16"/>
                <w:szCs w:val="16"/>
              </w:rPr>
              <w:t>%</w:t>
            </w:r>
          </w:p>
          <w:p w14:paraId="0FF210E7" w14:textId="77777777" w:rsidR="00561B47" w:rsidRPr="00266EB9" w:rsidRDefault="00561B47" w:rsidP="00561B47">
            <w:pPr>
              <w:rPr>
                <w:color w:val="002060"/>
                <w:sz w:val="16"/>
                <w:szCs w:val="16"/>
              </w:rPr>
            </w:pPr>
            <w:r w:rsidRPr="00266EB9">
              <w:rPr>
                <w:color w:val="002060"/>
                <w:sz w:val="16"/>
                <w:szCs w:val="16"/>
              </w:rPr>
              <w:t>NQA Modifications : 95%</w:t>
            </w:r>
          </w:p>
          <w:p w14:paraId="547F1AB9" w14:textId="77777777" w:rsidR="00561B47" w:rsidRPr="00266EB9" w:rsidRDefault="00561B47" w:rsidP="00561B47">
            <w:pPr>
              <w:rPr>
                <w:color w:val="002060"/>
                <w:sz w:val="16"/>
                <w:szCs w:val="16"/>
              </w:rPr>
            </w:pPr>
            <w:r w:rsidRPr="00266EB9">
              <w:rPr>
                <w:color w:val="002060"/>
                <w:sz w:val="16"/>
                <w:szCs w:val="16"/>
              </w:rPr>
              <w:t xml:space="preserve">NQA </w:t>
            </w:r>
            <w:r w:rsidRPr="00FF0512">
              <w:rPr>
                <w:color w:val="002060"/>
                <w:spacing w:val="-2"/>
                <w:sz w:val="16"/>
                <w:szCs w:val="16"/>
              </w:rPr>
              <w:t>Renouvellements : 95%</w:t>
            </w:r>
          </w:p>
          <w:p w14:paraId="2B311CE0" w14:textId="77777777" w:rsidR="00561B47" w:rsidRPr="00266EB9" w:rsidRDefault="00561B47" w:rsidP="00561B47">
            <w:pPr>
              <w:rPr>
                <w:color w:val="002060"/>
                <w:sz w:val="16"/>
                <w:szCs w:val="16"/>
              </w:rPr>
            </w:pPr>
            <w:r w:rsidRPr="00266EB9">
              <w:rPr>
                <w:color w:val="002060"/>
                <w:sz w:val="16"/>
                <w:szCs w:val="16"/>
              </w:rPr>
              <w:t>NQA Archives clients : 99%</w:t>
            </w:r>
          </w:p>
          <w:p w14:paraId="162D85E9" w14:textId="77777777" w:rsidR="00561B47" w:rsidRPr="00266EB9" w:rsidRDefault="00561B47" w:rsidP="00561B47">
            <w:pPr>
              <w:rPr>
                <w:color w:val="002060"/>
                <w:sz w:val="16"/>
                <w:szCs w:val="16"/>
              </w:rPr>
            </w:pPr>
            <w:r w:rsidRPr="00266EB9">
              <w:rPr>
                <w:color w:val="002060"/>
                <w:sz w:val="16"/>
                <w:szCs w:val="16"/>
              </w:rPr>
              <w:t>NQA Service à la clientèle : 90%</w:t>
            </w:r>
          </w:p>
          <w:p w14:paraId="6B76E886" w14:textId="77777777" w:rsidR="00561B47" w:rsidRPr="00266EB9" w:rsidRDefault="00561B47" w:rsidP="00561B47">
            <w:pPr>
              <w:rPr>
                <w:color w:val="002060"/>
                <w:sz w:val="16"/>
                <w:szCs w:val="16"/>
              </w:rPr>
            </w:pPr>
            <w:r w:rsidRPr="00266EB9">
              <w:rPr>
                <w:color w:val="002060"/>
                <w:sz w:val="16"/>
                <w:szCs w:val="16"/>
              </w:rPr>
              <w:t>NQA Traduction : 95%</w:t>
            </w:r>
          </w:p>
          <w:p w14:paraId="4BC35550" w14:textId="77777777" w:rsidR="00561B47" w:rsidRPr="00266EB9" w:rsidRDefault="00561B47" w:rsidP="00561B47">
            <w:pPr>
              <w:rPr>
                <w:color w:val="000000"/>
                <w:sz w:val="16"/>
                <w:szCs w:val="16"/>
              </w:rPr>
            </w:pPr>
          </w:p>
          <w:p w14:paraId="1FACC8D6" w14:textId="77777777" w:rsidR="00561B47" w:rsidRPr="00266EB9" w:rsidRDefault="00561B47" w:rsidP="00561B47">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42A18D5D" w14:textId="77777777" w:rsidR="00561B47" w:rsidRPr="00266EB9" w:rsidRDefault="00561B47" w:rsidP="00561B47">
            <w:pPr>
              <w:rPr>
                <w:sz w:val="16"/>
                <w:szCs w:val="16"/>
                <w:lang w:bidi="th-TH"/>
              </w:rPr>
            </w:pPr>
            <w:r w:rsidRPr="00266EB9">
              <w:rPr>
                <w:sz w:val="16"/>
                <w:szCs w:val="16"/>
                <w:lang w:bidi="th-TH"/>
              </w:rPr>
              <w:t>à déterminer</w:t>
            </w:r>
          </w:p>
        </w:tc>
        <w:tc>
          <w:tcPr>
            <w:tcW w:w="1373" w:type="pct"/>
            <w:gridSpan w:val="3"/>
            <w:shd w:val="clear" w:color="auto" w:fill="FFFFFF"/>
            <w:tcMar>
              <w:top w:w="57" w:type="dxa"/>
              <w:left w:w="108" w:type="dxa"/>
              <w:right w:w="108" w:type="dxa"/>
            </w:tcMar>
          </w:tcPr>
          <w:p w14:paraId="4AB8F789" w14:textId="77777777" w:rsidR="00561B47" w:rsidRPr="00266EB9" w:rsidRDefault="00561B47" w:rsidP="00561B47">
            <w:pPr>
              <w:keepNext/>
              <w:keepLines/>
              <w:rPr>
                <w:color w:val="000000"/>
                <w:sz w:val="16"/>
                <w:szCs w:val="16"/>
              </w:rPr>
            </w:pPr>
            <w:r w:rsidRPr="00266EB9">
              <w:rPr>
                <w:color w:val="000000"/>
                <w:sz w:val="16"/>
                <w:szCs w:val="16"/>
              </w:rPr>
              <w:t>Nice : 91%</w:t>
            </w:r>
          </w:p>
          <w:p w14:paraId="34FD18F0" w14:textId="77777777" w:rsidR="00561B47" w:rsidRDefault="00561B47" w:rsidP="00561B47">
            <w:pPr>
              <w:keepNext/>
              <w:keepLines/>
              <w:rPr>
                <w:color w:val="000000"/>
                <w:sz w:val="16"/>
                <w:szCs w:val="16"/>
              </w:rPr>
            </w:pPr>
          </w:p>
          <w:p w14:paraId="6CB284AE" w14:textId="77777777" w:rsidR="00561B47" w:rsidRPr="00266EB9" w:rsidRDefault="00561B47" w:rsidP="00561B47">
            <w:pPr>
              <w:keepNext/>
              <w:keepLines/>
              <w:rPr>
                <w:color w:val="000000"/>
                <w:sz w:val="16"/>
                <w:szCs w:val="16"/>
              </w:rPr>
            </w:pPr>
            <w:r w:rsidRPr="00266EB9">
              <w:rPr>
                <w:color w:val="000000"/>
                <w:sz w:val="16"/>
                <w:szCs w:val="16"/>
              </w:rPr>
              <w:t>Examens quant à la forme : 94%</w:t>
            </w:r>
          </w:p>
          <w:p w14:paraId="1798EAB8" w14:textId="77777777" w:rsidR="00561B47" w:rsidRDefault="00561B47" w:rsidP="00561B47">
            <w:pPr>
              <w:keepNext/>
              <w:keepLines/>
              <w:rPr>
                <w:color w:val="000000"/>
                <w:sz w:val="16"/>
                <w:szCs w:val="16"/>
              </w:rPr>
            </w:pPr>
          </w:p>
          <w:p w14:paraId="607150B6" w14:textId="77777777" w:rsidR="00561B47" w:rsidRPr="00266EB9" w:rsidRDefault="00561B47" w:rsidP="00561B47">
            <w:pPr>
              <w:keepNext/>
              <w:keepLines/>
              <w:rPr>
                <w:color w:val="000000"/>
                <w:sz w:val="16"/>
                <w:szCs w:val="16"/>
              </w:rPr>
            </w:pPr>
          </w:p>
          <w:p w14:paraId="763234F9" w14:textId="77777777" w:rsidR="00561B47" w:rsidRPr="00266EB9" w:rsidRDefault="00561B47" w:rsidP="00561B47">
            <w:pPr>
              <w:keepNext/>
              <w:keepLines/>
              <w:rPr>
                <w:color w:val="000000"/>
                <w:sz w:val="16"/>
                <w:szCs w:val="16"/>
              </w:rPr>
            </w:pPr>
            <w:r w:rsidRPr="00266EB9">
              <w:rPr>
                <w:color w:val="000000"/>
                <w:sz w:val="16"/>
                <w:szCs w:val="16"/>
              </w:rPr>
              <w:t>Décisions : 96%</w:t>
            </w:r>
          </w:p>
          <w:p w14:paraId="7F273302" w14:textId="77777777" w:rsidR="00561B47" w:rsidRPr="00266EB9" w:rsidRDefault="00561B47" w:rsidP="00561B47">
            <w:pPr>
              <w:keepNext/>
              <w:keepLines/>
              <w:rPr>
                <w:color w:val="000000"/>
                <w:sz w:val="16"/>
                <w:szCs w:val="16"/>
              </w:rPr>
            </w:pPr>
          </w:p>
          <w:p w14:paraId="1DDCCBFD" w14:textId="77777777" w:rsidR="00561B47" w:rsidRPr="00266EB9" w:rsidRDefault="00561B47" w:rsidP="00561B47">
            <w:pPr>
              <w:keepNext/>
              <w:keepLines/>
              <w:rPr>
                <w:color w:val="000000"/>
                <w:sz w:val="16"/>
                <w:szCs w:val="16"/>
              </w:rPr>
            </w:pPr>
          </w:p>
          <w:p w14:paraId="3A8A70EB" w14:textId="77777777" w:rsidR="00561B47" w:rsidRPr="00266EB9" w:rsidRDefault="00561B47" w:rsidP="00561B47">
            <w:pPr>
              <w:keepNext/>
              <w:keepLines/>
              <w:rPr>
                <w:color w:val="000000"/>
                <w:sz w:val="16"/>
                <w:szCs w:val="16"/>
              </w:rPr>
            </w:pPr>
            <w:r w:rsidRPr="00266EB9">
              <w:rPr>
                <w:color w:val="000000"/>
                <w:sz w:val="16"/>
                <w:szCs w:val="16"/>
              </w:rPr>
              <w:t>Modifications : 95%</w:t>
            </w:r>
          </w:p>
          <w:p w14:paraId="6C1AB033" w14:textId="77777777" w:rsidR="00561B47" w:rsidRDefault="00561B47" w:rsidP="00561B47">
            <w:pPr>
              <w:keepNext/>
              <w:keepLines/>
              <w:rPr>
                <w:color w:val="000000"/>
                <w:sz w:val="16"/>
                <w:szCs w:val="16"/>
              </w:rPr>
            </w:pPr>
          </w:p>
          <w:p w14:paraId="56E683A5" w14:textId="77777777" w:rsidR="00561B47" w:rsidRPr="00266EB9" w:rsidRDefault="00561B47" w:rsidP="00561B47">
            <w:pPr>
              <w:keepNext/>
              <w:keepLines/>
              <w:rPr>
                <w:color w:val="000000"/>
                <w:sz w:val="16"/>
                <w:szCs w:val="16"/>
              </w:rPr>
            </w:pPr>
          </w:p>
          <w:p w14:paraId="6455392A" w14:textId="77777777" w:rsidR="00561B47" w:rsidRPr="00266EB9" w:rsidRDefault="00561B47" w:rsidP="00561B47">
            <w:pPr>
              <w:keepNext/>
              <w:keepLines/>
              <w:rPr>
                <w:color w:val="000000"/>
                <w:sz w:val="16"/>
                <w:szCs w:val="16"/>
              </w:rPr>
            </w:pPr>
            <w:r w:rsidRPr="00266EB9">
              <w:rPr>
                <w:sz w:val="16"/>
                <w:szCs w:val="16"/>
              </w:rPr>
              <w:t>Renouvellements</w:t>
            </w:r>
            <w:r w:rsidRPr="00266EB9">
              <w:rPr>
                <w:color w:val="000000"/>
                <w:sz w:val="16"/>
                <w:szCs w:val="16"/>
              </w:rPr>
              <w:t xml:space="preserve"> : </w:t>
            </w:r>
            <w:r w:rsidRPr="00266EB9">
              <w:rPr>
                <w:sz w:val="16"/>
                <w:szCs w:val="16"/>
              </w:rPr>
              <w:t>96%</w:t>
            </w:r>
          </w:p>
          <w:p w14:paraId="347EF380" w14:textId="77777777" w:rsidR="00561B47" w:rsidRDefault="00561B47" w:rsidP="00561B47">
            <w:pPr>
              <w:keepNext/>
              <w:keepLines/>
              <w:rPr>
                <w:color w:val="000000"/>
                <w:sz w:val="16"/>
                <w:szCs w:val="16"/>
              </w:rPr>
            </w:pPr>
          </w:p>
          <w:p w14:paraId="055036EB" w14:textId="77777777" w:rsidR="00561B47" w:rsidRPr="00266EB9" w:rsidRDefault="00561B47" w:rsidP="00561B47">
            <w:pPr>
              <w:keepNext/>
              <w:keepLines/>
              <w:rPr>
                <w:color w:val="000000"/>
                <w:sz w:val="16"/>
                <w:szCs w:val="16"/>
              </w:rPr>
            </w:pPr>
          </w:p>
          <w:p w14:paraId="7157786F" w14:textId="77777777" w:rsidR="00561B47" w:rsidRPr="00266EB9" w:rsidRDefault="00561B47" w:rsidP="00561B47">
            <w:pPr>
              <w:keepNext/>
              <w:keepLines/>
              <w:rPr>
                <w:color w:val="000000"/>
                <w:sz w:val="16"/>
                <w:szCs w:val="16"/>
              </w:rPr>
            </w:pPr>
            <w:r w:rsidRPr="00266EB9">
              <w:rPr>
                <w:color w:val="000000"/>
                <w:sz w:val="16"/>
                <w:szCs w:val="16"/>
              </w:rPr>
              <w:t>Archives clients : 100%</w:t>
            </w:r>
          </w:p>
          <w:p w14:paraId="43B43AD4" w14:textId="77777777" w:rsidR="00561B47" w:rsidRDefault="00561B47" w:rsidP="00561B47">
            <w:pPr>
              <w:keepNext/>
              <w:keepLines/>
              <w:rPr>
                <w:color w:val="000000"/>
                <w:sz w:val="16"/>
                <w:szCs w:val="16"/>
              </w:rPr>
            </w:pPr>
          </w:p>
          <w:p w14:paraId="74419E45" w14:textId="77777777" w:rsidR="00561B47" w:rsidRPr="00266EB9" w:rsidRDefault="00561B47" w:rsidP="00561B47">
            <w:pPr>
              <w:keepNext/>
              <w:keepLines/>
              <w:rPr>
                <w:color w:val="000000"/>
                <w:sz w:val="16"/>
                <w:szCs w:val="16"/>
              </w:rPr>
            </w:pPr>
          </w:p>
          <w:p w14:paraId="1461B34E" w14:textId="77777777" w:rsidR="00561B47" w:rsidRPr="00266EB9" w:rsidRDefault="00561B47" w:rsidP="00561B47">
            <w:pPr>
              <w:keepNext/>
              <w:keepLines/>
              <w:rPr>
                <w:color w:val="000000"/>
                <w:sz w:val="16"/>
                <w:szCs w:val="16"/>
              </w:rPr>
            </w:pPr>
            <w:r w:rsidRPr="00266EB9">
              <w:rPr>
                <w:sz w:val="16"/>
                <w:szCs w:val="16"/>
              </w:rPr>
              <w:t>Service à la clientèle</w:t>
            </w:r>
            <w:r w:rsidRPr="00266EB9">
              <w:rPr>
                <w:color w:val="000000"/>
                <w:sz w:val="16"/>
                <w:szCs w:val="16"/>
              </w:rPr>
              <w:t> :</w:t>
            </w:r>
            <w:r w:rsidRPr="00266EB9">
              <w:rPr>
                <w:sz w:val="16"/>
                <w:szCs w:val="16"/>
              </w:rPr>
              <w:t xml:space="preserve"> 83</w:t>
            </w:r>
            <w:r w:rsidRPr="00266EB9">
              <w:rPr>
                <w:color w:val="000000"/>
                <w:sz w:val="16"/>
                <w:szCs w:val="16"/>
              </w:rPr>
              <w:t>%</w:t>
            </w:r>
          </w:p>
          <w:p w14:paraId="032882F1" w14:textId="77777777" w:rsidR="00561B47" w:rsidRPr="00266EB9" w:rsidRDefault="00561B47" w:rsidP="00561B47">
            <w:pPr>
              <w:keepNext/>
              <w:keepLines/>
              <w:rPr>
                <w:color w:val="000000"/>
                <w:sz w:val="16"/>
                <w:szCs w:val="16"/>
              </w:rPr>
            </w:pPr>
          </w:p>
          <w:p w14:paraId="44341597" w14:textId="77777777" w:rsidR="00561B47" w:rsidRPr="00266EB9" w:rsidRDefault="00561B47" w:rsidP="00561B47">
            <w:pPr>
              <w:keepNext/>
              <w:keepLines/>
              <w:rPr>
                <w:color w:val="000000"/>
                <w:sz w:val="16"/>
                <w:szCs w:val="16"/>
              </w:rPr>
            </w:pPr>
          </w:p>
          <w:p w14:paraId="1D2D2AFC" w14:textId="77777777" w:rsidR="00561B47" w:rsidRPr="00266EB9" w:rsidRDefault="00561B47" w:rsidP="00561B47">
            <w:pPr>
              <w:keepNext/>
              <w:keepLines/>
              <w:rPr>
                <w:color w:val="000000"/>
                <w:sz w:val="16"/>
                <w:szCs w:val="16"/>
              </w:rPr>
            </w:pPr>
            <w:r w:rsidRPr="00266EB9">
              <w:rPr>
                <w:color w:val="000000"/>
                <w:sz w:val="16"/>
                <w:szCs w:val="16"/>
              </w:rPr>
              <w:t>Traduction : EN : 99%</w:t>
            </w:r>
          </w:p>
          <w:p w14:paraId="68D6C9F4" w14:textId="77777777" w:rsidR="00561B47" w:rsidRPr="00266EB9" w:rsidRDefault="00561B47" w:rsidP="00561B47">
            <w:pPr>
              <w:keepNext/>
              <w:keepLines/>
              <w:rPr>
                <w:color w:val="000000"/>
                <w:sz w:val="16"/>
                <w:szCs w:val="16"/>
              </w:rPr>
            </w:pPr>
            <w:r w:rsidRPr="00266EB9">
              <w:rPr>
                <w:color w:val="000000"/>
                <w:sz w:val="16"/>
                <w:szCs w:val="16"/>
              </w:rPr>
              <w:t xml:space="preserve">                    FR : 99%</w:t>
            </w:r>
          </w:p>
          <w:p w14:paraId="130E8FA0" w14:textId="77777777" w:rsidR="00561B47" w:rsidRPr="00266EB9" w:rsidRDefault="00561B47" w:rsidP="00561B47">
            <w:pPr>
              <w:keepNext/>
              <w:keepLines/>
              <w:rPr>
                <w:color w:val="000000"/>
                <w:sz w:val="16"/>
                <w:szCs w:val="16"/>
              </w:rPr>
            </w:pPr>
            <w:r w:rsidRPr="00266EB9">
              <w:rPr>
                <w:color w:val="000000"/>
                <w:sz w:val="16"/>
                <w:szCs w:val="16"/>
              </w:rPr>
              <w:t xml:space="preserve">                    ES : 97%</w:t>
            </w:r>
          </w:p>
          <w:p w14:paraId="30A8BBE0" w14:textId="77777777" w:rsidR="00561B47" w:rsidRPr="00266EB9" w:rsidRDefault="00561B47" w:rsidP="00561B47">
            <w:pPr>
              <w:keepNext/>
              <w:keepLines/>
              <w:rPr>
                <w:color w:val="000000"/>
                <w:sz w:val="16"/>
                <w:szCs w:val="16"/>
              </w:rPr>
            </w:pPr>
          </w:p>
        </w:tc>
        <w:tc>
          <w:tcPr>
            <w:tcW w:w="637" w:type="pct"/>
            <w:gridSpan w:val="3"/>
            <w:shd w:val="clear" w:color="auto" w:fill="auto"/>
            <w:tcMar>
              <w:top w:w="57" w:type="dxa"/>
              <w:left w:w="108" w:type="dxa"/>
              <w:right w:w="108" w:type="dxa"/>
            </w:tcMar>
          </w:tcPr>
          <w:p w14:paraId="543C568B"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741D7C8F" w14:textId="77777777" w:rsidR="006A58B3" w:rsidRPr="00266EB9" w:rsidRDefault="006A58B3" w:rsidP="006A58B3">
            <w:pPr>
              <w:keepNext/>
              <w:keepLines/>
              <w:jc w:val="center"/>
              <w:rPr>
                <w:b/>
                <w:color w:val="00B050"/>
                <w:sz w:val="16"/>
                <w:szCs w:val="16"/>
              </w:rPr>
            </w:pPr>
            <w:r w:rsidRPr="00266EB9">
              <w:rPr>
                <w:b/>
                <w:color w:val="00B050"/>
                <w:sz w:val="16"/>
                <w:szCs w:val="16"/>
              </w:rPr>
              <w:t>En bonne voie</w:t>
            </w:r>
          </w:p>
          <w:p w14:paraId="4E60B86A" w14:textId="77777777" w:rsidR="00561B47" w:rsidRPr="006A58B3" w:rsidRDefault="00561B47" w:rsidP="00561B47">
            <w:pPr>
              <w:keepNext/>
              <w:keepLines/>
              <w:jc w:val="center"/>
              <w:rPr>
                <w:b/>
                <w:color w:val="00B050"/>
                <w:sz w:val="16"/>
                <w:szCs w:val="16"/>
              </w:rPr>
            </w:pPr>
          </w:p>
          <w:p w14:paraId="2A40713D" w14:textId="77777777" w:rsidR="006A58B3" w:rsidRPr="00266EB9" w:rsidRDefault="006A58B3" w:rsidP="006A58B3">
            <w:pPr>
              <w:keepNext/>
              <w:keepLines/>
              <w:jc w:val="center"/>
              <w:rPr>
                <w:b/>
                <w:color w:val="00B050"/>
                <w:sz w:val="16"/>
                <w:szCs w:val="16"/>
              </w:rPr>
            </w:pPr>
            <w:r w:rsidRPr="00266EB9">
              <w:rPr>
                <w:b/>
                <w:color w:val="00B050"/>
                <w:sz w:val="16"/>
                <w:szCs w:val="16"/>
              </w:rPr>
              <w:t>En bonne voie</w:t>
            </w:r>
          </w:p>
          <w:p w14:paraId="737CDD84" w14:textId="77777777" w:rsidR="00561B47" w:rsidRPr="00266EB9" w:rsidRDefault="00561B47" w:rsidP="00561B47">
            <w:pPr>
              <w:keepNext/>
              <w:keepLines/>
              <w:jc w:val="center"/>
              <w:rPr>
                <w:b/>
                <w:color w:val="00B050"/>
                <w:sz w:val="16"/>
                <w:szCs w:val="16"/>
              </w:rPr>
            </w:pPr>
          </w:p>
          <w:p w14:paraId="184B0F82"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129EC020" w14:textId="77777777" w:rsidR="00561B47" w:rsidRPr="00266EB9" w:rsidRDefault="00561B47" w:rsidP="00561B47">
            <w:pPr>
              <w:keepNext/>
              <w:keepLines/>
              <w:jc w:val="center"/>
              <w:rPr>
                <w:b/>
                <w:color w:val="00B050"/>
                <w:sz w:val="16"/>
                <w:szCs w:val="16"/>
              </w:rPr>
            </w:pPr>
          </w:p>
          <w:p w14:paraId="6F3D538E"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1EBB56D0" w14:textId="77777777" w:rsidR="00561B47" w:rsidRPr="00266EB9" w:rsidRDefault="00561B47" w:rsidP="00561B47">
            <w:pPr>
              <w:keepNext/>
              <w:keepLines/>
              <w:jc w:val="center"/>
              <w:rPr>
                <w:b/>
                <w:color w:val="00B050"/>
                <w:sz w:val="16"/>
                <w:szCs w:val="16"/>
              </w:rPr>
            </w:pPr>
          </w:p>
          <w:p w14:paraId="13FE3684"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1A7E2E56" w14:textId="77777777" w:rsidR="00561B47" w:rsidRPr="00266EB9" w:rsidRDefault="00561B47" w:rsidP="00561B47">
            <w:pPr>
              <w:keepNext/>
              <w:keepLines/>
              <w:jc w:val="center"/>
              <w:rPr>
                <w:b/>
                <w:color w:val="FF0000"/>
                <w:sz w:val="16"/>
                <w:szCs w:val="16"/>
              </w:rPr>
            </w:pPr>
          </w:p>
          <w:p w14:paraId="75C45E8C" w14:textId="77777777" w:rsidR="00561B47" w:rsidRPr="00266EB9" w:rsidRDefault="00561B47" w:rsidP="00561B47">
            <w:pPr>
              <w:keepNext/>
              <w:keepLines/>
              <w:jc w:val="center"/>
              <w:rPr>
                <w:b/>
                <w:color w:val="FF0000"/>
                <w:sz w:val="16"/>
                <w:szCs w:val="16"/>
              </w:rPr>
            </w:pPr>
            <w:r w:rsidRPr="00266EB9">
              <w:rPr>
                <w:b/>
                <w:color w:val="FF0000"/>
                <w:sz w:val="16"/>
                <w:szCs w:val="16"/>
              </w:rPr>
              <w:t>Pas en bonne voie</w:t>
            </w:r>
          </w:p>
          <w:p w14:paraId="096C21BD" w14:textId="77777777" w:rsidR="00561B47" w:rsidRPr="00266EB9" w:rsidRDefault="00561B47" w:rsidP="00561B47">
            <w:pPr>
              <w:keepNext/>
              <w:keepLines/>
              <w:jc w:val="center"/>
              <w:rPr>
                <w:b/>
                <w:color w:val="00B050"/>
                <w:sz w:val="16"/>
                <w:szCs w:val="16"/>
              </w:rPr>
            </w:pPr>
          </w:p>
          <w:p w14:paraId="14571353" w14:textId="77777777" w:rsidR="00561B47" w:rsidRPr="00266EB9" w:rsidRDefault="00561B47" w:rsidP="00561B47">
            <w:pPr>
              <w:keepNext/>
              <w:keepLines/>
              <w:jc w:val="center"/>
              <w:rPr>
                <w:b/>
                <w:color w:val="000000"/>
                <w:sz w:val="16"/>
                <w:szCs w:val="16"/>
              </w:rPr>
            </w:pPr>
            <w:r w:rsidRPr="00266EB9">
              <w:rPr>
                <w:b/>
                <w:color w:val="00B050"/>
                <w:sz w:val="16"/>
                <w:szCs w:val="16"/>
              </w:rPr>
              <w:t>En bonne voie</w:t>
            </w:r>
          </w:p>
        </w:tc>
      </w:tr>
      <w:tr w:rsidR="00561B47" w:rsidRPr="00266EB9" w14:paraId="7BCC7B5B" w14:textId="77777777" w:rsidTr="006A58B3">
        <w:trPr>
          <w:cantSplit/>
        </w:trPr>
        <w:tc>
          <w:tcPr>
            <w:tcW w:w="793" w:type="pct"/>
            <w:shd w:val="clear" w:color="auto" w:fill="auto"/>
            <w:tcMar>
              <w:left w:w="108" w:type="dxa"/>
              <w:right w:w="108" w:type="dxa"/>
            </w:tcMar>
          </w:tcPr>
          <w:p w14:paraId="1CFD32BD" w14:textId="77777777" w:rsidR="00561B47" w:rsidRPr="00266EB9" w:rsidRDefault="00561B47" w:rsidP="00561B47">
            <w:pPr>
              <w:rPr>
                <w:color w:val="000000"/>
                <w:sz w:val="16"/>
                <w:szCs w:val="16"/>
              </w:rPr>
            </w:pPr>
            <w:r w:rsidRPr="00266EB9">
              <w:rPr>
                <w:sz w:val="16"/>
                <w:szCs w:val="16"/>
              </w:rPr>
              <w:t>Amélioration du fonctionnement du Service d’enregistrement de Madrid, y compris des processus et des procédures électroniques (Madrid)</w:t>
            </w:r>
          </w:p>
        </w:tc>
        <w:tc>
          <w:tcPr>
            <w:tcW w:w="1377" w:type="pct"/>
            <w:shd w:val="clear" w:color="auto" w:fill="auto"/>
            <w:tcMar>
              <w:left w:w="108" w:type="dxa"/>
              <w:right w:w="108" w:type="dxa"/>
            </w:tcMar>
          </w:tcPr>
          <w:p w14:paraId="38904F28" w14:textId="77777777" w:rsidR="00561B47" w:rsidRPr="002655A7" w:rsidRDefault="00561B47" w:rsidP="00561B47">
            <w:pPr>
              <w:rPr>
                <w:i/>
                <w:color w:val="002060"/>
                <w:sz w:val="16"/>
                <w:szCs w:val="16"/>
              </w:rPr>
            </w:pPr>
            <w:r w:rsidRPr="002655A7">
              <w:rPr>
                <w:i/>
                <w:color w:val="002060"/>
                <w:sz w:val="16"/>
                <w:szCs w:val="16"/>
              </w:rPr>
              <w:t>Niveau de référence actualisé à fin 2015 :</w:t>
            </w:r>
          </w:p>
          <w:p w14:paraId="13398AD9" w14:textId="77777777" w:rsidR="00561B47" w:rsidRPr="002655A7" w:rsidRDefault="00561B47" w:rsidP="00561B47">
            <w:pPr>
              <w:rPr>
                <w:color w:val="002060"/>
                <w:sz w:val="16"/>
                <w:szCs w:val="16"/>
              </w:rPr>
            </w:pPr>
            <w:r w:rsidRPr="002655A7">
              <w:rPr>
                <w:color w:val="002060"/>
                <w:sz w:val="16"/>
                <w:szCs w:val="16"/>
              </w:rPr>
              <w:t>– 79% des documents reçus par voie électronique</w:t>
            </w:r>
          </w:p>
          <w:p w14:paraId="21906E17" w14:textId="77777777" w:rsidR="00561B47" w:rsidRPr="002655A7" w:rsidRDefault="00561B47" w:rsidP="00561B47">
            <w:pPr>
              <w:rPr>
                <w:color w:val="002060"/>
                <w:sz w:val="16"/>
                <w:szCs w:val="16"/>
              </w:rPr>
            </w:pPr>
            <w:r w:rsidRPr="002655A7">
              <w:rPr>
                <w:color w:val="002060"/>
                <w:sz w:val="16"/>
                <w:szCs w:val="16"/>
                <w:lang w:bidi="th-TH"/>
              </w:rPr>
              <w:t xml:space="preserve">– 325 000 </w:t>
            </w:r>
            <w:r w:rsidRPr="002655A7">
              <w:rPr>
                <w:color w:val="002060"/>
                <w:sz w:val="16"/>
                <w:szCs w:val="16"/>
              </w:rPr>
              <w:t>notifications par courrier électronique</w:t>
            </w:r>
          </w:p>
          <w:p w14:paraId="3CDC383B" w14:textId="77777777" w:rsidR="00561B47" w:rsidRPr="002655A7" w:rsidRDefault="00561B47" w:rsidP="00561B47">
            <w:pPr>
              <w:rPr>
                <w:color w:val="002060"/>
                <w:sz w:val="16"/>
                <w:szCs w:val="16"/>
              </w:rPr>
            </w:pPr>
            <w:r w:rsidRPr="002655A7">
              <w:rPr>
                <w:color w:val="002060"/>
                <w:sz w:val="16"/>
                <w:szCs w:val="16"/>
              </w:rPr>
              <w:t>– 2752 clients utilisant le Madrid Portfolio Manager</w:t>
            </w:r>
          </w:p>
          <w:p w14:paraId="6765FB09" w14:textId="77777777" w:rsidR="00561B47" w:rsidRPr="002655A7" w:rsidRDefault="00561B47" w:rsidP="00561B47">
            <w:pPr>
              <w:rPr>
                <w:color w:val="002060"/>
                <w:sz w:val="16"/>
                <w:szCs w:val="16"/>
              </w:rPr>
            </w:pPr>
            <w:r w:rsidRPr="002655A7">
              <w:rPr>
                <w:color w:val="002060"/>
                <w:sz w:val="16"/>
                <w:szCs w:val="16"/>
              </w:rPr>
              <w:t>– 27 offices utilisant le format XML</w:t>
            </w:r>
          </w:p>
          <w:p w14:paraId="4E5C6CAC" w14:textId="77777777" w:rsidR="00561B47" w:rsidRPr="002655A7" w:rsidRDefault="00561B47" w:rsidP="00561B47">
            <w:pPr>
              <w:rPr>
                <w:color w:val="002060"/>
                <w:sz w:val="16"/>
                <w:szCs w:val="16"/>
              </w:rPr>
            </w:pPr>
            <w:r w:rsidRPr="002655A7">
              <w:rPr>
                <w:color w:val="002060"/>
                <w:sz w:val="16"/>
                <w:szCs w:val="16"/>
              </w:rPr>
              <w:t>– 1 formulaire Web intelligent</w:t>
            </w:r>
          </w:p>
          <w:p w14:paraId="4AC1EB9C" w14:textId="77777777" w:rsidR="00561B47" w:rsidRPr="002655A7" w:rsidRDefault="00561B47" w:rsidP="00561B47">
            <w:pPr>
              <w:rPr>
                <w:color w:val="002060"/>
                <w:sz w:val="16"/>
                <w:szCs w:val="16"/>
              </w:rPr>
            </w:pPr>
            <w:r w:rsidRPr="002655A7">
              <w:rPr>
                <w:color w:val="002060"/>
                <w:sz w:val="16"/>
                <w:szCs w:val="16"/>
              </w:rPr>
              <w:t>– 690 000 documents entrants</w:t>
            </w:r>
          </w:p>
          <w:p w14:paraId="0C789372" w14:textId="77777777" w:rsidR="00561B47" w:rsidRPr="002655A7" w:rsidRDefault="00561B47" w:rsidP="00561B47">
            <w:pPr>
              <w:rPr>
                <w:color w:val="002060"/>
                <w:sz w:val="16"/>
                <w:szCs w:val="16"/>
              </w:rPr>
            </w:pPr>
            <w:r w:rsidRPr="002655A7">
              <w:rPr>
                <w:color w:val="002060"/>
                <w:sz w:val="16"/>
                <w:szCs w:val="16"/>
              </w:rPr>
              <w:t>– 1 750 000 documents sortants</w:t>
            </w:r>
          </w:p>
          <w:p w14:paraId="08BD32BE" w14:textId="77777777" w:rsidR="00561B47" w:rsidRPr="00266EB9" w:rsidRDefault="00561B47" w:rsidP="00561B47">
            <w:pPr>
              <w:rPr>
                <w:i/>
                <w:sz w:val="16"/>
                <w:szCs w:val="16"/>
                <w:u w:val="single"/>
              </w:rPr>
            </w:pPr>
          </w:p>
          <w:p w14:paraId="5D504A96"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6C4A32BB" w14:textId="77777777" w:rsidR="00561B47" w:rsidRPr="00266EB9" w:rsidRDefault="00561B47" w:rsidP="00561B47">
            <w:pPr>
              <w:rPr>
                <w:sz w:val="16"/>
                <w:szCs w:val="16"/>
              </w:rPr>
            </w:pPr>
            <w:r w:rsidRPr="00266EB9">
              <w:rPr>
                <w:sz w:val="16"/>
                <w:szCs w:val="16"/>
              </w:rPr>
              <w:t>70% des documents reçus par voie électronique</w:t>
            </w:r>
            <w:r w:rsidRPr="00266EB9">
              <w:rPr>
                <w:sz w:val="16"/>
                <w:szCs w:val="16"/>
              </w:rPr>
              <w:br/>
              <w:t>– 220 000 notifications par courrier électronique</w:t>
            </w:r>
            <w:r w:rsidRPr="00266EB9">
              <w:rPr>
                <w:sz w:val="16"/>
                <w:szCs w:val="16"/>
              </w:rPr>
              <w:br/>
              <w:t>– 1800 clients utilisant le Madrid Portfolio Manager</w:t>
            </w:r>
            <w:r w:rsidRPr="00266EB9">
              <w:rPr>
                <w:sz w:val="16"/>
                <w:szCs w:val="16"/>
              </w:rPr>
              <w:br/>
              <w:t>– 17 offices utilisant le format XML</w:t>
            </w:r>
            <w:r w:rsidRPr="00266EB9">
              <w:rPr>
                <w:sz w:val="16"/>
                <w:szCs w:val="16"/>
              </w:rPr>
              <w:br/>
              <w:t>– 1 formulaire Web intelligent</w:t>
            </w:r>
            <w:r w:rsidRPr="00266EB9">
              <w:rPr>
                <w:sz w:val="16"/>
                <w:szCs w:val="16"/>
              </w:rPr>
              <w:br/>
              <w:t>– 690 000 documents entrants</w:t>
            </w:r>
            <w:r w:rsidRPr="00266EB9">
              <w:rPr>
                <w:sz w:val="16"/>
                <w:szCs w:val="16"/>
              </w:rPr>
              <w:br/>
              <w:t>– 1 750 000 documents sortants</w:t>
            </w:r>
          </w:p>
        </w:tc>
        <w:tc>
          <w:tcPr>
            <w:tcW w:w="820" w:type="pct"/>
            <w:shd w:val="clear" w:color="auto" w:fill="auto"/>
            <w:tcMar>
              <w:top w:w="57" w:type="dxa"/>
              <w:left w:w="108" w:type="dxa"/>
              <w:right w:w="108" w:type="dxa"/>
            </w:tcMar>
          </w:tcPr>
          <w:p w14:paraId="758932C1" w14:textId="77777777" w:rsidR="00561B47" w:rsidRPr="00E52186" w:rsidRDefault="00561B47" w:rsidP="00561B47">
            <w:pPr>
              <w:rPr>
                <w:i/>
                <w:color w:val="002060"/>
                <w:sz w:val="16"/>
                <w:szCs w:val="16"/>
              </w:rPr>
            </w:pPr>
            <w:r w:rsidRPr="00E52186">
              <w:rPr>
                <w:i/>
                <w:color w:val="002060"/>
                <w:sz w:val="16"/>
                <w:szCs w:val="16"/>
              </w:rPr>
              <w:t>Objectif actualisé :</w:t>
            </w:r>
          </w:p>
          <w:p w14:paraId="2B6D1BDD" w14:textId="77777777" w:rsidR="00561B47" w:rsidRPr="00E52186" w:rsidRDefault="00561B47" w:rsidP="00561B47">
            <w:pPr>
              <w:keepNext/>
              <w:keepLines/>
              <w:rPr>
                <w:color w:val="002060"/>
                <w:sz w:val="16"/>
                <w:szCs w:val="16"/>
              </w:rPr>
            </w:pPr>
            <w:r w:rsidRPr="00E52186">
              <w:rPr>
                <w:color w:val="002060"/>
                <w:sz w:val="16"/>
                <w:szCs w:val="16"/>
              </w:rPr>
              <w:t>– &gt; 79% des documents reçus par voie électronique (annuel)</w:t>
            </w:r>
          </w:p>
          <w:p w14:paraId="13D2A99B" w14:textId="77777777" w:rsidR="00561B47" w:rsidRPr="00E52186" w:rsidRDefault="00561B47" w:rsidP="00561B47">
            <w:pPr>
              <w:keepNext/>
              <w:keepLines/>
              <w:rPr>
                <w:color w:val="002060"/>
                <w:sz w:val="16"/>
                <w:szCs w:val="16"/>
              </w:rPr>
            </w:pPr>
            <w:r w:rsidRPr="00E52186">
              <w:rPr>
                <w:color w:val="002060"/>
                <w:sz w:val="16"/>
                <w:szCs w:val="16"/>
              </w:rPr>
              <w:t>– &gt; 325 000 notifications par courrier électronique (annuel)</w:t>
            </w:r>
          </w:p>
          <w:p w14:paraId="13C15B41" w14:textId="77777777" w:rsidR="00561B47" w:rsidRPr="00E52186" w:rsidRDefault="00561B47" w:rsidP="00561B47">
            <w:pPr>
              <w:keepNext/>
              <w:keepLines/>
              <w:rPr>
                <w:color w:val="002060"/>
                <w:sz w:val="16"/>
                <w:szCs w:val="16"/>
              </w:rPr>
            </w:pPr>
            <w:r w:rsidRPr="00E52186">
              <w:rPr>
                <w:color w:val="002060"/>
                <w:sz w:val="16"/>
                <w:szCs w:val="16"/>
              </w:rPr>
              <w:t>– &gt; 2752 clients utilisant le Madrid Portfolio Manager (biennal)</w:t>
            </w:r>
          </w:p>
          <w:p w14:paraId="7BD68C13" w14:textId="77777777" w:rsidR="00561B47" w:rsidRPr="00E52186" w:rsidRDefault="00561B47" w:rsidP="00561B47">
            <w:pPr>
              <w:keepNext/>
              <w:keepLines/>
              <w:rPr>
                <w:color w:val="002060"/>
                <w:sz w:val="16"/>
                <w:szCs w:val="16"/>
              </w:rPr>
            </w:pPr>
            <w:r w:rsidRPr="00E52186">
              <w:rPr>
                <w:color w:val="002060"/>
                <w:sz w:val="16"/>
                <w:szCs w:val="16"/>
              </w:rPr>
              <w:t>– &gt; 27 offices utilisant le format XML (biennal)</w:t>
            </w:r>
          </w:p>
          <w:p w14:paraId="70C8AF55" w14:textId="77777777" w:rsidR="00561B47" w:rsidRPr="00E52186" w:rsidRDefault="00561B47" w:rsidP="00561B47">
            <w:pPr>
              <w:keepNext/>
              <w:keepLines/>
              <w:rPr>
                <w:color w:val="002060"/>
                <w:sz w:val="16"/>
                <w:szCs w:val="16"/>
              </w:rPr>
            </w:pPr>
            <w:r w:rsidRPr="00E52186">
              <w:rPr>
                <w:color w:val="002060"/>
                <w:sz w:val="16"/>
                <w:szCs w:val="16"/>
              </w:rPr>
              <w:t>– 6 formulaires Web intelligents (biennal)</w:t>
            </w:r>
          </w:p>
          <w:p w14:paraId="5DFB4870" w14:textId="77777777" w:rsidR="00561B47" w:rsidRPr="00E52186" w:rsidRDefault="00561B47" w:rsidP="00561B47">
            <w:pPr>
              <w:keepNext/>
              <w:keepLines/>
              <w:rPr>
                <w:color w:val="002060"/>
                <w:sz w:val="16"/>
                <w:szCs w:val="16"/>
              </w:rPr>
            </w:pPr>
            <w:r w:rsidRPr="00E52186">
              <w:rPr>
                <w:color w:val="002060"/>
                <w:sz w:val="16"/>
                <w:szCs w:val="16"/>
              </w:rPr>
              <w:t>– 750 000 documents entrants (annuel)</w:t>
            </w:r>
          </w:p>
          <w:p w14:paraId="62E59D62" w14:textId="1E80806B" w:rsidR="00561B47" w:rsidRPr="00AA64E5" w:rsidRDefault="00561B47" w:rsidP="00AA64E5">
            <w:pPr>
              <w:keepNext/>
              <w:keepLines/>
              <w:rPr>
                <w:color w:val="002060"/>
                <w:sz w:val="16"/>
                <w:szCs w:val="16"/>
              </w:rPr>
            </w:pPr>
            <w:r w:rsidRPr="00E52186">
              <w:rPr>
                <w:color w:val="002060"/>
                <w:sz w:val="16"/>
                <w:szCs w:val="16"/>
              </w:rPr>
              <w:t>– 2 000 000 documents sortants (annuel)</w:t>
            </w:r>
          </w:p>
          <w:p w14:paraId="0A99684D" w14:textId="70E43D49" w:rsidR="00561B47" w:rsidRPr="00266EB9" w:rsidRDefault="00561B47" w:rsidP="00561B47">
            <w:pPr>
              <w:rPr>
                <w:sz w:val="16"/>
                <w:szCs w:val="16"/>
              </w:rPr>
            </w:pPr>
          </w:p>
        </w:tc>
        <w:tc>
          <w:tcPr>
            <w:tcW w:w="1373" w:type="pct"/>
            <w:gridSpan w:val="3"/>
            <w:shd w:val="clear" w:color="auto" w:fill="FFFFFF"/>
            <w:tcMar>
              <w:top w:w="57" w:type="dxa"/>
              <w:left w:w="108" w:type="dxa"/>
              <w:right w:w="108" w:type="dxa"/>
            </w:tcMar>
          </w:tcPr>
          <w:p w14:paraId="3A431808" w14:textId="77777777" w:rsidR="00561B47" w:rsidRPr="00266EB9" w:rsidRDefault="00561B47" w:rsidP="00561B47">
            <w:pPr>
              <w:keepNext/>
              <w:keepLines/>
              <w:rPr>
                <w:sz w:val="16"/>
                <w:szCs w:val="16"/>
              </w:rPr>
            </w:pPr>
            <w:r w:rsidRPr="00266EB9">
              <w:rPr>
                <w:sz w:val="16"/>
                <w:szCs w:val="16"/>
              </w:rPr>
              <w:t>81% des documents reçus par voie électronique</w:t>
            </w:r>
          </w:p>
          <w:p w14:paraId="3AFDBE61" w14:textId="77777777" w:rsidR="00561B47" w:rsidRPr="00266EB9" w:rsidRDefault="00561B47" w:rsidP="00561B47">
            <w:pPr>
              <w:keepNext/>
              <w:keepLines/>
              <w:rPr>
                <w:sz w:val="16"/>
                <w:szCs w:val="16"/>
              </w:rPr>
            </w:pPr>
          </w:p>
          <w:p w14:paraId="337D500D" w14:textId="77777777" w:rsidR="00561B47" w:rsidRPr="00266EB9" w:rsidRDefault="00561B47" w:rsidP="00561B47">
            <w:pPr>
              <w:keepNext/>
              <w:keepLines/>
              <w:rPr>
                <w:sz w:val="16"/>
                <w:szCs w:val="16"/>
              </w:rPr>
            </w:pPr>
            <w:r w:rsidRPr="00266EB9">
              <w:rPr>
                <w:sz w:val="16"/>
                <w:szCs w:val="16"/>
              </w:rPr>
              <w:t>376 000 notifications par courrier électronique</w:t>
            </w:r>
          </w:p>
          <w:p w14:paraId="6974E121" w14:textId="77777777" w:rsidR="00561B47" w:rsidRPr="00266EB9" w:rsidRDefault="00561B47" w:rsidP="00561B47">
            <w:pPr>
              <w:keepNext/>
              <w:keepLines/>
              <w:rPr>
                <w:sz w:val="16"/>
                <w:szCs w:val="16"/>
              </w:rPr>
            </w:pPr>
          </w:p>
          <w:p w14:paraId="43EDAA18" w14:textId="77777777" w:rsidR="00561B47" w:rsidRPr="00266EB9" w:rsidRDefault="00561B47" w:rsidP="00561B47">
            <w:pPr>
              <w:keepNext/>
              <w:keepLines/>
              <w:rPr>
                <w:sz w:val="16"/>
                <w:szCs w:val="16"/>
              </w:rPr>
            </w:pPr>
            <w:r w:rsidRPr="00266EB9">
              <w:rPr>
                <w:sz w:val="16"/>
                <w:szCs w:val="16"/>
              </w:rPr>
              <w:t>3912 clients utilisant le Madrid Portfolio Manager</w:t>
            </w:r>
          </w:p>
          <w:p w14:paraId="0FA34545" w14:textId="77777777" w:rsidR="00561B47" w:rsidRPr="00266EB9" w:rsidRDefault="00561B47" w:rsidP="00561B47">
            <w:pPr>
              <w:keepNext/>
              <w:keepLines/>
              <w:rPr>
                <w:sz w:val="16"/>
                <w:szCs w:val="16"/>
              </w:rPr>
            </w:pPr>
          </w:p>
          <w:p w14:paraId="05A526C9" w14:textId="77777777" w:rsidR="00561B47" w:rsidRPr="00266EB9" w:rsidRDefault="00561B47" w:rsidP="00561B47">
            <w:pPr>
              <w:keepNext/>
              <w:keepLines/>
              <w:rPr>
                <w:sz w:val="16"/>
                <w:szCs w:val="16"/>
              </w:rPr>
            </w:pPr>
            <w:r w:rsidRPr="00266EB9">
              <w:rPr>
                <w:sz w:val="16"/>
                <w:szCs w:val="16"/>
              </w:rPr>
              <w:t>30 offices utilisant le format XML</w:t>
            </w:r>
          </w:p>
          <w:p w14:paraId="2BCDA1C5" w14:textId="77777777" w:rsidR="00561B47" w:rsidRDefault="00561B47" w:rsidP="00561B47">
            <w:pPr>
              <w:keepNext/>
              <w:keepLines/>
              <w:rPr>
                <w:sz w:val="16"/>
                <w:szCs w:val="16"/>
              </w:rPr>
            </w:pPr>
          </w:p>
          <w:p w14:paraId="0AC3D79D" w14:textId="77777777" w:rsidR="00561B47" w:rsidRPr="00266EB9" w:rsidRDefault="00561B47" w:rsidP="00561B47">
            <w:pPr>
              <w:keepNext/>
              <w:keepLines/>
              <w:rPr>
                <w:sz w:val="16"/>
                <w:szCs w:val="16"/>
              </w:rPr>
            </w:pPr>
          </w:p>
          <w:p w14:paraId="16335BBC" w14:textId="77777777" w:rsidR="00561B47" w:rsidRPr="00266EB9" w:rsidRDefault="00561B47" w:rsidP="00561B47">
            <w:pPr>
              <w:keepNext/>
              <w:keepLines/>
              <w:rPr>
                <w:sz w:val="16"/>
                <w:szCs w:val="16"/>
              </w:rPr>
            </w:pPr>
            <w:r w:rsidRPr="00266EB9">
              <w:rPr>
                <w:sz w:val="16"/>
                <w:szCs w:val="16"/>
              </w:rPr>
              <w:t>2 formulaires Web intelligents</w:t>
            </w:r>
          </w:p>
          <w:p w14:paraId="4B52E987" w14:textId="77777777" w:rsidR="00561B47" w:rsidRPr="00266EB9" w:rsidRDefault="00561B47" w:rsidP="00561B47">
            <w:pPr>
              <w:keepNext/>
              <w:keepLines/>
              <w:rPr>
                <w:sz w:val="16"/>
                <w:szCs w:val="16"/>
              </w:rPr>
            </w:pPr>
          </w:p>
          <w:p w14:paraId="46D5BCA7" w14:textId="77777777" w:rsidR="00561B47" w:rsidRPr="00266EB9" w:rsidRDefault="00561B47" w:rsidP="00561B47">
            <w:pPr>
              <w:keepNext/>
              <w:keepLines/>
              <w:rPr>
                <w:sz w:val="16"/>
                <w:szCs w:val="16"/>
              </w:rPr>
            </w:pPr>
          </w:p>
          <w:p w14:paraId="10B33FFE" w14:textId="77777777" w:rsidR="00561B47" w:rsidRPr="00266EB9" w:rsidRDefault="00561B47" w:rsidP="00561B47">
            <w:pPr>
              <w:keepNext/>
              <w:keepLines/>
              <w:rPr>
                <w:sz w:val="16"/>
                <w:szCs w:val="16"/>
              </w:rPr>
            </w:pPr>
            <w:r w:rsidRPr="00266EB9">
              <w:rPr>
                <w:sz w:val="16"/>
                <w:szCs w:val="16"/>
              </w:rPr>
              <w:t>725 000 documents entrants</w:t>
            </w:r>
          </w:p>
          <w:p w14:paraId="47AAA746" w14:textId="77777777" w:rsidR="00561B47" w:rsidRDefault="00561B47" w:rsidP="00561B47">
            <w:pPr>
              <w:keepNext/>
              <w:keepLines/>
              <w:rPr>
                <w:sz w:val="16"/>
                <w:szCs w:val="16"/>
              </w:rPr>
            </w:pPr>
          </w:p>
          <w:p w14:paraId="78E00483" w14:textId="77777777" w:rsidR="00561B47" w:rsidRPr="00266EB9" w:rsidRDefault="00561B47" w:rsidP="00561B47">
            <w:pPr>
              <w:keepNext/>
              <w:keepLines/>
              <w:rPr>
                <w:sz w:val="16"/>
                <w:szCs w:val="16"/>
              </w:rPr>
            </w:pPr>
          </w:p>
          <w:p w14:paraId="451A1EDC" w14:textId="77777777" w:rsidR="00561B47" w:rsidRPr="00266EB9" w:rsidRDefault="00561B47" w:rsidP="00561B47">
            <w:pPr>
              <w:keepNext/>
              <w:keepLines/>
              <w:rPr>
                <w:sz w:val="16"/>
                <w:szCs w:val="16"/>
              </w:rPr>
            </w:pPr>
            <w:r w:rsidRPr="00266EB9">
              <w:rPr>
                <w:sz w:val="16"/>
                <w:szCs w:val="16"/>
              </w:rPr>
              <w:t>1 575 000 documents sortants (baisse en raison du retard au niveau des décisions)</w:t>
            </w:r>
          </w:p>
        </w:tc>
        <w:tc>
          <w:tcPr>
            <w:tcW w:w="637" w:type="pct"/>
            <w:gridSpan w:val="3"/>
            <w:shd w:val="clear" w:color="auto" w:fill="auto"/>
            <w:tcMar>
              <w:top w:w="57" w:type="dxa"/>
              <w:left w:w="108" w:type="dxa"/>
              <w:right w:w="108" w:type="dxa"/>
            </w:tcMar>
          </w:tcPr>
          <w:p w14:paraId="161EAEC6"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32239508" w14:textId="77777777" w:rsidR="00561B47" w:rsidRPr="00266EB9" w:rsidRDefault="00561B47" w:rsidP="00561B47">
            <w:pPr>
              <w:keepNext/>
              <w:keepLines/>
              <w:jc w:val="center"/>
              <w:rPr>
                <w:color w:val="000000"/>
                <w:sz w:val="16"/>
                <w:szCs w:val="16"/>
              </w:rPr>
            </w:pPr>
          </w:p>
          <w:p w14:paraId="1A19291A"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524A9213" w14:textId="77777777" w:rsidR="00561B47" w:rsidRPr="00266EB9" w:rsidRDefault="00561B47" w:rsidP="00FF0512">
            <w:pPr>
              <w:keepNext/>
              <w:keepLines/>
              <w:jc w:val="center"/>
              <w:rPr>
                <w:color w:val="000000"/>
                <w:sz w:val="16"/>
                <w:szCs w:val="16"/>
              </w:rPr>
            </w:pPr>
          </w:p>
          <w:p w14:paraId="11D2D59F"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6059EBC2" w14:textId="77777777" w:rsidR="00561B47" w:rsidRPr="00266EB9" w:rsidRDefault="00561B47" w:rsidP="00561B47">
            <w:pPr>
              <w:keepNext/>
              <w:keepLines/>
              <w:jc w:val="center"/>
              <w:rPr>
                <w:b/>
                <w:color w:val="00B050"/>
                <w:sz w:val="16"/>
                <w:szCs w:val="16"/>
              </w:rPr>
            </w:pPr>
          </w:p>
          <w:p w14:paraId="74B657C0"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12515EA2" w14:textId="77777777" w:rsidR="00561B47" w:rsidRPr="00266EB9" w:rsidRDefault="00561B47" w:rsidP="00561B47">
            <w:pPr>
              <w:keepNext/>
              <w:keepLines/>
              <w:jc w:val="center"/>
              <w:rPr>
                <w:color w:val="000000"/>
                <w:sz w:val="16"/>
                <w:szCs w:val="16"/>
              </w:rPr>
            </w:pPr>
          </w:p>
          <w:p w14:paraId="56A82652" w14:textId="77777777" w:rsidR="00561B47" w:rsidRPr="00266EB9" w:rsidRDefault="00561B47" w:rsidP="00561B47">
            <w:pPr>
              <w:keepNext/>
              <w:keepLines/>
              <w:jc w:val="center"/>
              <w:rPr>
                <w:b/>
                <w:color w:val="FF0000"/>
                <w:sz w:val="16"/>
                <w:szCs w:val="16"/>
              </w:rPr>
            </w:pPr>
            <w:r w:rsidRPr="00266EB9">
              <w:rPr>
                <w:b/>
                <w:color w:val="FF0000"/>
                <w:sz w:val="16"/>
                <w:szCs w:val="16"/>
              </w:rPr>
              <w:t>Pas en bonne voie</w:t>
            </w:r>
          </w:p>
          <w:p w14:paraId="0BD2FDD8" w14:textId="77777777" w:rsidR="00561B47" w:rsidRPr="00266EB9" w:rsidRDefault="00561B47" w:rsidP="00561B47">
            <w:pPr>
              <w:keepNext/>
              <w:keepLines/>
              <w:jc w:val="center"/>
              <w:rPr>
                <w:color w:val="000000"/>
                <w:sz w:val="16"/>
                <w:szCs w:val="16"/>
              </w:rPr>
            </w:pPr>
          </w:p>
          <w:p w14:paraId="38610A15"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7DCC8D75" w14:textId="77777777" w:rsidR="00561B47" w:rsidRPr="00266EB9" w:rsidRDefault="00561B47" w:rsidP="00561B47">
            <w:pPr>
              <w:keepNext/>
              <w:keepLines/>
              <w:jc w:val="center"/>
              <w:rPr>
                <w:b/>
                <w:color w:val="FF0000"/>
                <w:sz w:val="16"/>
                <w:szCs w:val="16"/>
              </w:rPr>
            </w:pPr>
          </w:p>
          <w:p w14:paraId="2B5BCCCC" w14:textId="77777777" w:rsidR="00561B47" w:rsidRPr="00266EB9" w:rsidRDefault="00561B47" w:rsidP="00561B47">
            <w:pPr>
              <w:keepNext/>
              <w:keepLines/>
              <w:jc w:val="center"/>
              <w:rPr>
                <w:b/>
                <w:color w:val="000000"/>
                <w:sz w:val="16"/>
                <w:szCs w:val="16"/>
              </w:rPr>
            </w:pPr>
            <w:r w:rsidRPr="00266EB9">
              <w:rPr>
                <w:b/>
                <w:color w:val="00B050"/>
                <w:sz w:val="16"/>
                <w:szCs w:val="16"/>
              </w:rPr>
              <w:t>En bonne voie</w:t>
            </w:r>
          </w:p>
        </w:tc>
      </w:tr>
      <w:tr w:rsidR="00AA64E5" w:rsidRPr="00266EB9" w14:paraId="562856B9" w14:textId="77777777" w:rsidTr="006A58B3">
        <w:trPr>
          <w:cantSplit/>
        </w:trPr>
        <w:tc>
          <w:tcPr>
            <w:tcW w:w="793" w:type="pct"/>
            <w:shd w:val="clear" w:color="auto" w:fill="auto"/>
            <w:tcMar>
              <w:left w:w="108" w:type="dxa"/>
              <w:right w:w="108" w:type="dxa"/>
            </w:tcMar>
          </w:tcPr>
          <w:p w14:paraId="4212F583" w14:textId="77777777" w:rsidR="00AA64E5" w:rsidRPr="00266EB9" w:rsidRDefault="00AA64E5" w:rsidP="00561B47">
            <w:pPr>
              <w:rPr>
                <w:sz w:val="16"/>
                <w:szCs w:val="16"/>
              </w:rPr>
            </w:pPr>
          </w:p>
        </w:tc>
        <w:tc>
          <w:tcPr>
            <w:tcW w:w="1377" w:type="pct"/>
            <w:shd w:val="clear" w:color="auto" w:fill="auto"/>
            <w:tcMar>
              <w:left w:w="108" w:type="dxa"/>
              <w:right w:w="108" w:type="dxa"/>
            </w:tcMar>
          </w:tcPr>
          <w:p w14:paraId="6C616965" w14:textId="77777777" w:rsidR="00AA64E5" w:rsidRPr="002655A7" w:rsidRDefault="00AA64E5" w:rsidP="00561B47">
            <w:pPr>
              <w:rPr>
                <w:i/>
                <w:color w:val="002060"/>
                <w:sz w:val="16"/>
                <w:szCs w:val="16"/>
              </w:rPr>
            </w:pPr>
          </w:p>
        </w:tc>
        <w:tc>
          <w:tcPr>
            <w:tcW w:w="820" w:type="pct"/>
            <w:shd w:val="clear" w:color="auto" w:fill="auto"/>
            <w:tcMar>
              <w:top w:w="57" w:type="dxa"/>
              <w:left w:w="108" w:type="dxa"/>
              <w:right w:w="108" w:type="dxa"/>
            </w:tcMar>
          </w:tcPr>
          <w:p w14:paraId="7F101C31" w14:textId="77777777" w:rsidR="00AA64E5" w:rsidRPr="00266EB9" w:rsidRDefault="00AA64E5" w:rsidP="00AA64E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28167B9D" w14:textId="77777777" w:rsidR="00AA64E5" w:rsidRPr="00266EB9" w:rsidRDefault="00AA64E5" w:rsidP="00AA64E5">
            <w:pPr>
              <w:rPr>
                <w:sz w:val="16"/>
                <w:szCs w:val="16"/>
              </w:rPr>
            </w:pPr>
            <w:r w:rsidRPr="00266EB9">
              <w:rPr>
                <w:sz w:val="16"/>
                <w:szCs w:val="16"/>
              </w:rPr>
              <w:t>– 75% des documents reçus par voie électronique</w:t>
            </w:r>
          </w:p>
          <w:p w14:paraId="0190FA99" w14:textId="77777777" w:rsidR="00AA64E5" w:rsidRPr="00266EB9" w:rsidRDefault="00AA64E5" w:rsidP="00AA64E5">
            <w:pPr>
              <w:rPr>
                <w:sz w:val="16"/>
                <w:szCs w:val="16"/>
              </w:rPr>
            </w:pPr>
            <w:r w:rsidRPr="00266EB9">
              <w:rPr>
                <w:sz w:val="16"/>
                <w:szCs w:val="16"/>
              </w:rPr>
              <w:t>– 250 000 notifications par courrier électronique</w:t>
            </w:r>
          </w:p>
          <w:p w14:paraId="31EA7AC7" w14:textId="77777777" w:rsidR="00AA64E5" w:rsidRPr="00266EB9" w:rsidRDefault="00AA64E5" w:rsidP="00AA64E5">
            <w:pPr>
              <w:rPr>
                <w:sz w:val="16"/>
                <w:szCs w:val="16"/>
              </w:rPr>
            </w:pPr>
            <w:r w:rsidRPr="00266EB9">
              <w:rPr>
                <w:sz w:val="16"/>
                <w:szCs w:val="16"/>
              </w:rPr>
              <w:t>–</w:t>
            </w:r>
            <w:r w:rsidRPr="00266EB9">
              <w:rPr>
                <w:sz w:val="16"/>
              </w:rPr>
              <w:t> </w:t>
            </w:r>
            <w:r w:rsidRPr="00266EB9">
              <w:rPr>
                <w:sz w:val="16"/>
                <w:szCs w:val="16"/>
              </w:rPr>
              <w:t>2000 MPM Clients</w:t>
            </w:r>
          </w:p>
          <w:p w14:paraId="0B74EACE" w14:textId="77777777" w:rsidR="00AA64E5" w:rsidRPr="00266EB9" w:rsidRDefault="00AA64E5" w:rsidP="00AA64E5">
            <w:pPr>
              <w:rPr>
                <w:sz w:val="16"/>
                <w:szCs w:val="16"/>
              </w:rPr>
            </w:pPr>
            <w:r w:rsidRPr="00266EB9">
              <w:rPr>
                <w:sz w:val="16"/>
                <w:szCs w:val="16"/>
              </w:rPr>
              <w:t>– 20 offices utilisant le format XML</w:t>
            </w:r>
          </w:p>
          <w:p w14:paraId="1F609CE5" w14:textId="77777777" w:rsidR="00AA64E5" w:rsidRPr="00266EB9" w:rsidRDefault="00AA64E5" w:rsidP="00AA64E5">
            <w:pPr>
              <w:rPr>
                <w:sz w:val="16"/>
                <w:szCs w:val="16"/>
              </w:rPr>
            </w:pPr>
            <w:r w:rsidRPr="00266EB9">
              <w:rPr>
                <w:sz w:val="16"/>
                <w:szCs w:val="16"/>
              </w:rPr>
              <w:t>– 6 formulaires Web intelligents</w:t>
            </w:r>
          </w:p>
          <w:p w14:paraId="586FB3ED" w14:textId="77777777" w:rsidR="00AA64E5" w:rsidRPr="00266EB9" w:rsidRDefault="00AA64E5" w:rsidP="00AA64E5">
            <w:pPr>
              <w:rPr>
                <w:sz w:val="16"/>
                <w:szCs w:val="16"/>
              </w:rPr>
            </w:pPr>
            <w:r w:rsidRPr="00266EB9">
              <w:rPr>
                <w:sz w:val="16"/>
                <w:szCs w:val="16"/>
              </w:rPr>
              <w:t>– 750 000 documents entrants</w:t>
            </w:r>
          </w:p>
          <w:p w14:paraId="70153A7B" w14:textId="50566C2B" w:rsidR="00AA64E5" w:rsidRPr="00E52186" w:rsidRDefault="00AA64E5" w:rsidP="00AA64E5">
            <w:pPr>
              <w:rPr>
                <w:i/>
                <w:color w:val="002060"/>
                <w:sz w:val="16"/>
                <w:szCs w:val="16"/>
              </w:rPr>
            </w:pPr>
            <w:r w:rsidRPr="00266EB9">
              <w:rPr>
                <w:sz w:val="16"/>
                <w:szCs w:val="16"/>
              </w:rPr>
              <w:t>– 2 000 000 documents sortants</w:t>
            </w:r>
          </w:p>
        </w:tc>
        <w:tc>
          <w:tcPr>
            <w:tcW w:w="1373" w:type="pct"/>
            <w:gridSpan w:val="3"/>
            <w:shd w:val="clear" w:color="auto" w:fill="FFFFFF"/>
            <w:tcMar>
              <w:top w:w="57" w:type="dxa"/>
              <w:left w:w="108" w:type="dxa"/>
              <w:right w:w="108" w:type="dxa"/>
            </w:tcMar>
          </w:tcPr>
          <w:p w14:paraId="79716502" w14:textId="77777777" w:rsidR="00AA64E5" w:rsidRPr="00266EB9" w:rsidRDefault="00AA64E5" w:rsidP="00561B47">
            <w:pPr>
              <w:keepNext/>
              <w:keepLines/>
              <w:rPr>
                <w:sz w:val="16"/>
                <w:szCs w:val="16"/>
              </w:rPr>
            </w:pPr>
          </w:p>
        </w:tc>
        <w:tc>
          <w:tcPr>
            <w:tcW w:w="637" w:type="pct"/>
            <w:gridSpan w:val="3"/>
            <w:shd w:val="clear" w:color="auto" w:fill="auto"/>
            <w:tcMar>
              <w:top w:w="57" w:type="dxa"/>
              <w:left w:w="108" w:type="dxa"/>
              <w:right w:w="108" w:type="dxa"/>
            </w:tcMar>
          </w:tcPr>
          <w:p w14:paraId="0E3D0653" w14:textId="77777777" w:rsidR="00AA64E5" w:rsidRPr="00266EB9" w:rsidRDefault="00AA64E5" w:rsidP="00561B47">
            <w:pPr>
              <w:keepNext/>
              <w:keepLines/>
              <w:jc w:val="center"/>
              <w:rPr>
                <w:b/>
                <w:color w:val="00B050"/>
                <w:sz w:val="16"/>
                <w:szCs w:val="16"/>
              </w:rPr>
            </w:pPr>
          </w:p>
        </w:tc>
      </w:tr>
      <w:tr w:rsidR="00561B47" w:rsidRPr="00266EB9" w14:paraId="2D87D9CC" w14:textId="77777777" w:rsidTr="006A58B3">
        <w:trPr>
          <w:cantSplit/>
        </w:trPr>
        <w:tc>
          <w:tcPr>
            <w:tcW w:w="793" w:type="pct"/>
            <w:shd w:val="clear" w:color="auto" w:fill="auto"/>
            <w:tcMar>
              <w:left w:w="108" w:type="dxa"/>
              <w:right w:w="108" w:type="dxa"/>
            </w:tcMar>
          </w:tcPr>
          <w:p w14:paraId="6EA55CAC" w14:textId="77777777" w:rsidR="00561B47" w:rsidRPr="00266EB9" w:rsidRDefault="00561B47" w:rsidP="00561B47">
            <w:pPr>
              <w:rPr>
                <w:color w:val="000000"/>
                <w:sz w:val="16"/>
                <w:szCs w:val="16"/>
              </w:rPr>
            </w:pPr>
            <w:r w:rsidRPr="00266EB9">
              <w:rPr>
                <w:sz w:val="16"/>
                <w:szCs w:val="16"/>
              </w:rPr>
              <w:t>Stabilité des services informatiques d’appui dans le cadre du système de Madrid</w:t>
            </w:r>
          </w:p>
        </w:tc>
        <w:tc>
          <w:tcPr>
            <w:tcW w:w="1377" w:type="pct"/>
            <w:shd w:val="clear" w:color="auto" w:fill="auto"/>
            <w:tcMar>
              <w:left w:w="108" w:type="dxa"/>
              <w:right w:w="108" w:type="dxa"/>
            </w:tcMar>
          </w:tcPr>
          <w:p w14:paraId="58E13409"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5296195B" w14:textId="77777777" w:rsidR="00561B47" w:rsidRPr="00266EB9" w:rsidRDefault="00561B47" w:rsidP="00561B47">
            <w:pPr>
              <w:pStyle w:val="ListParagraph"/>
              <w:tabs>
                <w:tab w:val="left" w:pos="709"/>
              </w:tabs>
              <w:ind w:left="0"/>
              <w:contextualSpacing w:val="0"/>
              <w:jc w:val="both"/>
              <w:rPr>
                <w:rFonts w:ascii="Arial" w:hAnsi="Arial" w:cs="Arial"/>
                <w:sz w:val="16"/>
                <w:lang w:eastAsia="ko-KR"/>
              </w:rPr>
            </w:pPr>
            <w:r w:rsidRPr="00266EB9">
              <w:rPr>
                <w:rFonts w:ascii="Arial" w:hAnsi="Arial" w:cs="Arial"/>
                <w:color w:val="002060"/>
                <w:sz w:val="16"/>
                <w:szCs w:val="16"/>
              </w:rPr>
              <w:t>Présentation du prototype de Madrid Monitor</w:t>
            </w:r>
          </w:p>
          <w:p w14:paraId="63579AF6" w14:textId="77777777" w:rsidR="00561B47" w:rsidRPr="00266EB9" w:rsidRDefault="00561B47" w:rsidP="00561B47">
            <w:pPr>
              <w:rPr>
                <w:color w:val="000000"/>
                <w:sz w:val="16"/>
                <w:szCs w:val="16"/>
              </w:rPr>
            </w:pPr>
          </w:p>
          <w:p w14:paraId="32E0C694"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742EF53A" w14:textId="77777777" w:rsidR="00561B47" w:rsidRPr="00266EB9" w:rsidRDefault="00561B47" w:rsidP="00561B47">
            <w:pPr>
              <w:rPr>
                <w:color w:val="000000"/>
                <w:sz w:val="16"/>
                <w:szCs w:val="16"/>
              </w:rPr>
            </w:pPr>
            <w:r w:rsidRPr="00266EB9">
              <w:rPr>
                <w:sz w:val="16"/>
                <w:szCs w:val="16"/>
              </w:rPr>
              <w:t>Pas d’interruption du service (nombre d’incidents informatiques)</w:t>
            </w:r>
            <w:r w:rsidRPr="00266EB9">
              <w:rPr>
                <w:color w:val="000000"/>
                <w:sz w:val="16"/>
                <w:szCs w:val="16"/>
              </w:rPr>
              <w:br/>
            </w:r>
            <w:r w:rsidRPr="00266EB9">
              <w:rPr>
                <w:color w:val="000000"/>
                <w:sz w:val="16"/>
                <w:szCs w:val="16"/>
              </w:rPr>
              <w:br/>
              <w:t>Li</w:t>
            </w:r>
            <w:r w:rsidRPr="00266EB9">
              <w:rPr>
                <w:sz w:val="16"/>
                <w:szCs w:val="16"/>
              </w:rPr>
              <w:t>vraison et installation ponctuelles des améliorations</w:t>
            </w:r>
          </w:p>
        </w:tc>
        <w:tc>
          <w:tcPr>
            <w:tcW w:w="820" w:type="pct"/>
            <w:shd w:val="clear" w:color="auto" w:fill="auto"/>
            <w:tcMar>
              <w:top w:w="57" w:type="dxa"/>
              <w:left w:w="108" w:type="dxa"/>
              <w:right w:w="108" w:type="dxa"/>
            </w:tcMar>
          </w:tcPr>
          <w:p w14:paraId="4882ADA0" w14:textId="77777777" w:rsidR="00561B47" w:rsidRPr="00266EB9" w:rsidRDefault="00561B47" w:rsidP="00561B47">
            <w:pPr>
              <w:rPr>
                <w:color w:val="000000"/>
                <w:sz w:val="16"/>
                <w:szCs w:val="16"/>
              </w:rPr>
            </w:pPr>
            <w:r w:rsidRPr="00266EB9">
              <w:rPr>
                <w:sz w:val="16"/>
                <w:szCs w:val="16"/>
              </w:rPr>
              <w:t>Pas d’interruption du service (nombre d’incidents informatiques)</w:t>
            </w:r>
            <w:r w:rsidRPr="00266EB9">
              <w:rPr>
                <w:color w:val="000000"/>
                <w:sz w:val="16"/>
                <w:szCs w:val="16"/>
              </w:rPr>
              <w:br/>
            </w:r>
            <w:r w:rsidRPr="00266EB9">
              <w:rPr>
                <w:color w:val="000000"/>
                <w:sz w:val="16"/>
                <w:szCs w:val="16"/>
              </w:rPr>
              <w:br/>
              <w:t>Li</w:t>
            </w:r>
            <w:r w:rsidRPr="00266EB9">
              <w:rPr>
                <w:sz w:val="16"/>
                <w:szCs w:val="16"/>
              </w:rPr>
              <w:t>vraison et installation ponctuelles des améliorations</w:t>
            </w:r>
          </w:p>
        </w:tc>
        <w:tc>
          <w:tcPr>
            <w:tcW w:w="1373" w:type="pct"/>
            <w:gridSpan w:val="3"/>
            <w:shd w:val="clear" w:color="auto" w:fill="FFFFFF"/>
            <w:tcMar>
              <w:top w:w="57" w:type="dxa"/>
              <w:left w:w="108" w:type="dxa"/>
              <w:right w:w="108" w:type="dxa"/>
            </w:tcMar>
          </w:tcPr>
          <w:p w14:paraId="584BC132" w14:textId="77777777" w:rsidR="00561B47" w:rsidRPr="00266EB9" w:rsidRDefault="00561B47" w:rsidP="00561B47">
            <w:pPr>
              <w:keepNext/>
              <w:keepLines/>
              <w:rPr>
                <w:color w:val="000000"/>
                <w:sz w:val="16"/>
                <w:szCs w:val="16"/>
              </w:rPr>
            </w:pPr>
            <w:r w:rsidRPr="00266EB9">
              <w:rPr>
                <w:color w:val="000000"/>
                <w:sz w:val="16"/>
                <w:szCs w:val="16"/>
              </w:rPr>
              <w:t>9 incidents informatiques</w:t>
            </w:r>
          </w:p>
          <w:p w14:paraId="6D3F6E7B" w14:textId="77777777" w:rsidR="00561B47" w:rsidRPr="00266EB9" w:rsidRDefault="00561B47" w:rsidP="00561B47">
            <w:pPr>
              <w:keepNext/>
              <w:keepLines/>
              <w:rPr>
                <w:color w:val="000000"/>
                <w:sz w:val="16"/>
                <w:szCs w:val="16"/>
              </w:rPr>
            </w:pPr>
          </w:p>
          <w:p w14:paraId="357E644A" w14:textId="77777777" w:rsidR="00561B47" w:rsidRPr="00266EB9" w:rsidRDefault="00561B47" w:rsidP="00561B47">
            <w:pPr>
              <w:keepNext/>
              <w:keepLines/>
              <w:rPr>
                <w:color w:val="000000"/>
                <w:sz w:val="16"/>
                <w:szCs w:val="16"/>
              </w:rPr>
            </w:pPr>
          </w:p>
          <w:p w14:paraId="4CDA2B3F" w14:textId="77777777" w:rsidR="00561B47" w:rsidRPr="00266EB9" w:rsidRDefault="00561B47" w:rsidP="00561B47">
            <w:pPr>
              <w:keepNext/>
              <w:keepLines/>
              <w:rPr>
                <w:color w:val="000000"/>
                <w:sz w:val="16"/>
                <w:szCs w:val="16"/>
              </w:rPr>
            </w:pPr>
          </w:p>
          <w:p w14:paraId="68B9EAD9" w14:textId="77777777" w:rsidR="00561B47" w:rsidRPr="00266EB9" w:rsidRDefault="00561B47" w:rsidP="00561B47">
            <w:pPr>
              <w:keepNext/>
              <w:keepLines/>
              <w:rPr>
                <w:color w:val="000000"/>
                <w:sz w:val="16"/>
                <w:szCs w:val="16"/>
              </w:rPr>
            </w:pPr>
            <w:r w:rsidRPr="00266EB9">
              <w:rPr>
                <w:color w:val="000000"/>
                <w:sz w:val="16"/>
                <w:szCs w:val="16"/>
              </w:rPr>
              <w:t>Améliorations spécifiées livrées et installées en temps utile, conformément aux prescriptions</w:t>
            </w:r>
          </w:p>
        </w:tc>
        <w:tc>
          <w:tcPr>
            <w:tcW w:w="637" w:type="pct"/>
            <w:gridSpan w:val="3"/>
            <w:shd w:val="clear" w:color="auto" w:fill="auto"/>
            <w:tcMar>
              <w:top w:w="57" w:type="dxa"/>
              <w:left w:w="108" w:type="dxa"/>
              <w:right w:w="108" w:type="dxa"/>
            </w:tcMar>
          </w:tcPr>
          <w:p w14:paraId="3F73744D" w14:textId="77777777" w:rsidR="00561B47" w:rsidRPr="00266EB9" w:rsidRDefault="00561B47" w:rsidP="00561B47">
            <w:pPr>
              <w:keepNext/>
              <w:keepLines/>
              <w:jc w:val="center"/>
              <w:rPr>
                <w:b/>
                <w:color w:val="FF0000"/>
                <w:sz w:val="16"/>
                <w:szCs w:val="16"/>
              </w:rPr>
            </w:pPr>
            <w:r w:rsidRPr="00266EB9">
              <w:rPr>
                <w:b/>
                <w:color w:val="FF0000"/>
                <w:sz w:val="16"/>
                <w:szCs w:val="16"/>
              </w:rPr>
              <w:t>Pas en bonne voie</w:t>
            </w:r>
          </w:p>
          <w:p w14:paraId="4B419646" w14:textId="77777777" w:rsidR="00561B47" w:rsidRPr="00266EB9" w:rsidRDefault="00561B47" w:rsidP="00561B47">
            <w:pPr>
              <w:keepNext/>
              <w:keepLines/>
              <w:jc w:val="center"/>
              <w:rPr>
                <w:color w:val="000000"/>
                <w:sz w:val="16"/>
                <w:szCs w:val="16"/>
              </w:rPr>
            </w:pPr>
          </w:p>
          <w:p w14:paraId="2E2ECF47" w14:textId="77777777" w:rsidR="00561B47" w:rsidRPr="00266EB9" w:rsidRDefault="00561B47" w:rsidP="00561B47">
            <w:pPr>
              <w:keepNext/>
              <w:keepLines/>
              <w:jc w:val="center"/>
              <w:rPr>
                <w:b/>
                <w:color w:val="FF0000"/>
                <w:sz w:val="16"/>
                <w:szCs w:val="16"/>
              </w:rPr>
            </w:pPr>
          </w:p>
          <w:p w14:paraId="54D29415" w14:textId="77777777" w:rsidR="00561B47" w:rsidRPr="00266EB9" w:rsidRDefault="00561B47" w:rsidP="00561B47">
            <w:pPr>
              <w:keepNext/>
              <w:keepLines/>
              <w:jc w:val="center"/>
              <w:rPr>
                <w:color w:val="000000"/>
                <w:sz w:val="16"/>
                <w:szCs w:val="16"/>
              </w:rPr>
            </w:pPr>
            <w:r w:rsidRPr="00266EB9">
              <w:rPr>
                <w:b/>
                <w:color w:val="00B050"/>
                <w:sz w:val="16"/>
                <w:szCs w:val="16"/>
              </w:rPr>
              <w:t>En bonne voie</w:t>
            </w:r>
          </w:p>
        </w:tc>
      </w:tr>
      <w:tr w:rsidR="00561B47" w:rsidRPr="00266EB9" w14:paraId="0BBD415F" w14:textId="77777777" w:rsidTr="006A58B3">
        <w:trPr>
          <w:cantSplit/>
        </w:trPr>
        <w:tc>
          <w:tcPr>
            <w:tcW w:w="793" w:type="pct"/>
            <w:shd w:val="clear" w:color="auto" w:fill="auto"/>
            <w:tcMar>
              <w:left w:w="108" w:type="dxa"/>
              <w:right w:w="108" w:type="dxa"/>
            </w:tcMar>
          </w:tcPr>
          <w:p w14:paraId="4FBB3DBA" w14:textId="77777777" w:rsidR="00561B47" w:rsidRPr="00266EB9" w:rsidRDefault="00561B47" w:rsidP="00561B47">
            <w:pPr>
              <w:rPr>
                <w:color w:val="000000"/>
                <w:sz w:val="16"/>
                <w:szCs w:val="16"/>
              </w:rPr>
            </w:pPr>
            <w:r w:rsidRPr="00266EB9">
              <w:rPr>
                <w:sz w:val="16"/>
                <w:szCs w:val="16"/>
              </w:rPr>
              <w:t xml:space="preserve">3 versions installées du système MIRIS et 3 versions installées du système Madrid </w:t>
            </w:r>
            <w:proofErr w:type="spellStart"/>
            <w:r w:rsidRPr="00266EB9">
              <w:rPr>
                <w:sz w:val="16"/>
                <w:szCs w:val="16"/>
              </w:rPr>
              <w:t>eFiling</w:t>
            </w:r>
            <w:proofErr w:type="spellEnd"/>
            <w:r w:rsidRPr="00266EB9">
              <w:rPr>
                <w:sz w:val="16"/>
                <w:szCs w:val="16"/>
              </w:rPr>
              <w:t xml:space="preserve"> (IRPI)</w:t>
            </w:r>
          </w:p>
        </w:tc>
        <w:tc>
          <w:tcPr>
            <w:tcW w:w="1377" w:type="pct"/>
            <w:shd w:val="clear" w:color="auto" w:fill="auto"/>
            <w:tcMar>
              <w:left w:w="108" w:type="dxa"/>
              <w:right w:w="108" w:type="dxa"/>
            </w:tcMar>
          </w:tcPr>
          <w:p w14:paraId="5D3BE182" w14:textId="77777777" w:rsidR="00561B47" w:rsidRPr="00266EB9" w:rsidRDefault="00561B47" w:rsidP="00561B47">
            <w:pPr>
              <w:rPr>
                <w:color w:val="000000"/>
                <w:sz w:val="16"/>
                <w:szCs w:val="16"/>
              </w:rPr>
            </w:pPr>
            <w:r w:rsidRPr="00266EB9">
              <w:rPr>
                <w:sz w:val="16"/>
                <w:szCs w:val="16"/>
              </w:rPr>
              <w:t xml:space="preserve">Système MIRIS installé Système Madrid </w:t>
            </w:r>
            <w:proofErr w:type="spellStart"/>
            <w:r w:rsidRPr="00266EB9">
              <w:rPr>
                <w:sz w:val="16"/>
                <w:szCs w:val="16"/>
              </w:rPr>
              <w:t>eFiling</w:t>
            </w:r>
            <w:proofErr w:type="spellEnd"/>
            <w:r w:rsidRPr="00266EB9">
              <w:rPr>
                <w:sz w:val="16"/>
                <w:szCs w:val="16"/>
              </w:rPr>
              <w:t xml:space="preserve"> installé</w:t>
            </w:r>
          </w:p>
        </w:tc>
        <w:tc>
          <w:tcPr>
            <w:tcW w:w="820" w:type="pct"/>
            <w:shd w:val="clear" w:color="auto" w:fill="auto"/>
            <w:tcMar>
              <w:top w:w="57" w:type="dxa"/>
              <w:left w:w="108" w:type="dxa"/>
              <w:right w:w="108" w:type="dxa"/>
            </w:tcMar>
          </w:tcPr>
          <w:p w14:paraId="5D47295E" w14:textId="77777777" w:rsidR="00561B47" w:rsidRPr="00266EB9" w:rsidRDefault="00561B47" w:rsidP="00561B47">
            <w:pPr>
              <w:rPr>
                <w:color w:val="000000"/>
                <w:sz w:val="16"/>
                <w:szCs w:val="16"/>
              </w:rPr>
            </w:pPr>
            <w:r w:rsidRPr="00266EB9">
              <w:rPr>
                <w:color w:val="000000"/>
                <w:sz w:val="16"/>
                <w:szCs w:val="16"/>
              </w:rPr>
              <w:t>3 nouvelles versions du système MIRIS</w:t>
            </w:r>
          </w:p>
          <w:p w14:paraId="0E0ADFA1" w14:textId="77777777" w:rsidR="00561B47" w:rsidRPr="00266EB9" w:rsidRDefault="00561B47" w:rsidP="00561B47">
            <w:pPr>
              <w:rPr>
                <w:color w:val="000000"/>
                <w:sz w:val="16"/>
                <w:szCs w:val="16"/>
              </w:rPr>
            </w:pPr>
          </w:p>
          <w:p w14:paraId="5231ED38" w14:textId="77777777" w:rsidR="00561B47" w:rsidRPr="00266EB9" w:rsidRDefault="00561B47" w:rsidP="00561B47">
            <w:pPr>
              <w:rPr>
                <w:color w:val="000000"/>
                <w:sz w:val="16"/>
                <w:szCs w:val="16"/>
              </w:rPr>
            </w:pPr>
          </w:p>
          <w:p w14:paraId="60664CFE" w14:textId="77777777" w:rsidR="00561B47" w:rsidRPr="00266EB9" w:rsidRDefault="00561B47" w:rsidP="00561B47">
            <w:pPr>
              <w:rPr>
                <w:color w:val="000000"/>
                <w:sz w:val="16"/>
                <w:szCs w:val="16"/>
              </w:rPr>
            </w:pPr>
            <w:r w:rsidRPr="00266EB9">
              <w:rPr>
                <w:color w:val="000000"/>
                <w:sz w:val="16"/>
                <w:szCs w:val="16"/>
              </w:rPr>
              <w:t>3 nouvelles versions du système DIRIS</w:t>
            </w:r>
            <w:r w:rsidRPr="00266EB9">
              <w:rPr>
                <w:color w:val="000000"/>
                <w:sz w:val="16"/>
                <w:szCs w:val="16"/>
              </w:rPr>
              <w:br/>
            </w:r>
            <w:r w:rsidRPr="00266EB9">
              <w:rPr>
                <w:color w:val="000000"/>
                <w:sz w:val="16"/>
                <w:szCs w:val="16"/>
              </w:rPr>
              <w:br/>
            </w:r>
          </w:p>
          <w:p w14:paraId="4FA48955" w14:textId="77777777" w:rsidR="00561B47" w:rsidRPr="00266EB9" w:rsidRDefault="00561B47" w:rsidP="00561B47">
            <w:pPr>
              <w:rPr>
                <w:color w:val="000000"/>
                <w:sz w:val="16"/>
                <w:szCs w:val="16"/>
              </w:rPr>
            </w:pPr>
            <w:r w:rsidRPr="00266EB9">
              <w:rPr>
                <w:color w:val="000000"/>
                <w:sz w:val="16"/>
                <w:szCs w:val="16"/>
              </w:rPr>
              <w:t xml:space="preserve">Nouvelles versions du système Madrid </w:t>
            </w:r>
            <w:proofErr w:type="spellStart"/>
            <w:r w:rsidRPr="00266EB9">
              <w:rPr>
                <w:color w:val="000000"/>
                <w:sz w:val="16"/>
                <w:szCs w:val="16"/>
              </w:rPr>
              <w:t>eFiling</w:t>
            </w:r>
            <w:proofErr w:type="spellEnd"/>
          </w:p>
        </w:tc>
        <w:tc>
          <w:tcPr>
            <w:tcW w:w="1373" w:type="pct"/>
            <w:gridSpan w:val="3"/>
            <w:shd w:val="clear" w:color="auto" w:fill="FFFFFF"/>
            <w:tcMar>
              <w:top w:w="57" w:type="dxa"/>
              <w:left w:w="108" w:type="dxa"/>
              <w:right w:w="108" w:type="dxa"/>
            </w:tcMar>
          </w:tcPr>
          <w:p w14:paraId="763572A5" w14:textId="77777777" w:rsidR="00561B47" w:rsidRPr="00266EB9" w:rsidRDefault="00561B47" w:rsidP="00561B47">
            <w:pPr>
              <w:keepNext/>
              <w:keepLines/>
              <w:rPr>
                <w:color w:val="000000"/>
                <w:sz w:val="16"/>
                <w:szCs w:val="16"/>
              </w:rPr>
            </w:pPr>
            <w:r w:rsidRPr="00266EB9">
              <w:rPr>
                <w:color w:val="000000"/>
                <w:sz w:val="16"/>
                <w:szCs w:val="16"/>
              </w:rPr>
              <w:t>Améliorations spécifiées du système MIRIS livrées en temps utile et conformément aux prescriptions</w:t>
            </w:r>
          </w:p>
          <w:p w14:paraId="7B7C0BF0" w14:textId="77777777" w:rsidR="00561B47" w:rsidRPr="00266EB9" w:rsidRDefault="00561B47" w:rsidP="00561B47">
            <w:pPr>
              <w:keepNext/>
              <w:keepLines/>
              <w:rPr>
                <w:color w:val="000000"/>
                <w:sz w:val="16"/>
                <w:szCs w:val="16"/>
              </w:rPr>
            </w:pPr>
          </w:p>
          <w:p w14:paraId="60E2FAE2" w14:textId="77777777" w:rsidR="00561B47" w:rsidRPr="00266EB9" w:rsidRDefault="00561B47" w:rsidP="00561B47">
            <w:pPr>
              <w:keepNext/>
              <w:keepLines/>
              <w:rPr>
                <w:color w:val="000000"/>
                <w:sz w:val="16"/>
                <w:szCs w:val="16"/>
              </w:rPr>
            </w:pPr>
            <w:r w:rsidRPr="00266EB9">
              <w:rPr>
                <w:color w:val="000000"/>
                <w:sz w:val="16"/>
                <w:szCs w:val="16"/>
              </w:rPr>
              <w:t>Fin 2016, début des travaux sur la plateforme informatique du système de La Haye, qui remplace le système DIRIS</w:t>
            </w:r>
          </w:p>
          <w:p w14:paraId="7EBFA450" w14:textId="77777777" w:rsidR="00561B47" w:rsidRPr="00266EB9" w:rsidRDefault="00561B47" w:rsidP="00561B47">
            <w:pPr>
              <w:keepNext/>
              <w:keepLines/>
              <w:rPr>
                <w:color w:val="000000"/>
                <w:sz w:val="16"/>
                <w:szCs w:val="16"/>
              </w:rPr>
            </w:pPr>
          </w:p>
          <w:p w14:paraId="190F86B4" w14:textId="77777777" w:rsidR="00561B47" w:rsidRPr="00266EB9" w:rsidRDefault="00561B47" w:rsidP="00561B47">
            <w:pPr>
              <w:keepNext/>
              <w:keepLines/>
              <w:rPr>
                <w:color w:val="000000"/>
                <w:sz w:val="16"/>
                <w:szCs w:val="16"/>
              </w:rPr>
            </w:pPr>
            <w:r w:rsidRPr="00266EB9">
              <w:rPr>
                <w:color w:val="000000"/>
                <w:sz w:val="16"/>
                <w:szCs w:val="16"/>
              </w:rPr>
              <w:t xml:space="preserve">1 version majeure du système </w:t>
            </w:r>
            <w:proofErr w:type="spellStart"/>
            <w:r w:rsidRPr="00266EB9">
              <w:rPr>
                <w:color w:val="000000"/>
                <w:sz w:val="16"/>
                <w:szCs w:val="16"/>
              </w:rPr>
              <w:t>eFiling</w:t>
            </w:r>
            <w:proofErr w:type="spellEnd"/>
            <w:r w:rsidRPr="00266EB9">
              <w:rPr>
                <w:color w:val="000000"/>
                <w:sz w:val="16"/>
                <w:szCs w:val="16"/>
              </w:rPr>
              <w:t xml:space="preserve"> installée en 2016</w:t>
            </w:r>
          </w:p>
        </w:tc>
        <w:tc>
          <w:tcPr>
            <w:tcW w:w="637" w:type="pct"/>
            <w:gridSpan w:val="3"/>
            <w:shd w:val="clear" w:color="auto" w:fill="auto"/>
            <w:tcMar>
              <w:top w:w="57" w:type="dxa"/>
              <w:left w:w="108" w:type="dxa"/>
              <w:right w:w="108" w:type="dxa"/>
            </w:tcMar>
          </w:tcPr>
          <w:p w14:paraId="03AF619D" w14:textId="77777777" w:rsidR="00561B47" w:rsidRPr="00266EB9" w:rsidRDefault="00561B47" w:rsidP="00561B47">
            <w:pPr>
              <w:keepNext/>
              <w:keepLines/>
              <w:jc w:val="center"/>
              <w:rPr>
                <w:b/>
                <w:color w:val="00B050"/>
                <w:sz w:val="16"/>
                <w:szCs w:val="16"/>
              </w:rPr>
            </w:pPr>
            <w:r w:rsidRPr="00266EB9">
              <w:rPr>
                <w:b/>
                <w:color w:val="00B050"/>
                <w:sz w:val="16"/>
                <w:szCs w:val="16"/>
              </w:rPr>
              <w:t>En bonne voie</w:t>
            </w:r>
          </w:p>
          <w:p w14:paraId="7A407CAD" w14:textId="77777777" w:rsidR="00561B47" w:rsidRPr="00266EB9" w:rsidRDefault="00561B47" w:rsidP="00561B47">
            <w:pPr>
              <w:keepNext/>
              <w:keepLines/>
              <w:jc w:val="center"/>
              <w:rPr>
                <w:color w:val="000000"/>
                <w:sz w:val="16"/>
                <w:szCs w:val="16"/>
              </w:rPr>
            </w:pPr>
          </w:p>
          <w:p w14:paraId="16FC0557" w14:textId="77777777" w:rsidR="00561B47" w:rsidRPr="00266EB9" w:rsidRDefault="00561B47" w:rsidP="00561B47">
            <w:pPr>
              <w:keepNext/>
              <w:keepLines/>
              <w:jc w:val="center"/>
              <w:rPr>
                <w:color w:val="000000"/>
                <w:sz w:val="16"/>
                <w:szCs w:val="16"/>
              </w:rPr>
            </w:pPr>
          </w:p>
          <w:p w14:paraId="5D65A442" w14:textId="77777777" w:rsidR="00561B47" w:rsidRPr="00266EB9" w:rsidRDefault="00561B47" w:rsidP="00561B47">
            <w:pPr>
              <w:keepNext/>
              <w:keepLines/>
              <w:jc w:val="center"/>
              <w:rPr>
                <w:color w:val="000000"/>
                <w:sz w:val="16"/>
                <w:szCs w:val="16"/>
              </w:rPr>
            </w:pPr>
          </w:p>
          <w:p w14:paraId="1F5B6706" w14:textId="77777777" w:rsidR="00561B47" w:rsidRPr="00266EB9" w:rsidRDefault="00561B47" w:rsidP="00561B47">
            <w:pPr>
              <w:keepNext/>
              <w:keepLines/>
              <w:jc w:val="center"/>
              <w:rPr>
                <w:b/>
                <w:color w:val="000000"/>
                <w:sz w:val="16"/>
                <w:szCs w:val="13"/>
              </w:rPr>
            </w:pPr>
            <w:r w:rsidRPr="00266EB9">
              <w:rPr>
                <w:b/>
                <w:color w:val="000000"/>
                <w:sz w:val="16"/>
                <w:szCs w:val="13"/>
              </w:rPr>
              <w:t>Abandonné</w:t>
            </w:r>
          </w:p>
          <w:p w14:paraId="108C0C00" w14:textId="77777777" w:rsidR="00561B47" w:rsidRPr="00266EB9" w:rsidRDefault="00561B47" w:rsidP="00561B47">
            <w:pPr>
              <w:keepNext/>
              <w:keepLines/>
              <w:jc w:val="center"/>
              <w:rPr>
                <w:b/>
                <w:color w:val="00B050"/>
                <w:sz w:val="16"/>
                <w:szCs w:val="16"/>
              </w:rPr>
            </w:pPr>
          </w:p>
          <w:p w14:paraId="67B52607" w14:textId="77777777" w:rsidR="00561B47" w:rsidRPr="00266EB9" w:rsidRDefault="00561B47" w:rsidP="00561B47">
            <w:pPr>
              <w:keepNext/>
              <w:keepLines/>
              <w:jc w:val="center"/>
              <w:rPr>
                <w:b/>
                <w:color w:val="00B050"/>
                <w:sz w:val="16"/>
                <w:szCs w:val="16"/>
              </w:rPr>
            </w:pPr>
          </w:p>
          <w:p w14:paraId="2B80C611" w14:textId="77777777" w:rsidR="00561B47" w:rsidRPr="00266EB9" w:rsidRDefault="00561B47" w:rsidP="00561B47">
            <w:pPr>
              <w:keepNext/>
              <w:keepLines/>
              <w:jc w:val="center"/>
              <w:rPr>
                <w:b/>
                <w:color w:val="00B050"/>
                <w:sz w:val="16"/>
                <w:szCs w:val="16"/>
              </w:rPr>
            </w:pPr>
          </w:p>
          <w:p w14:paraId="063B46C2" w14:textId="77777777" w:rsidR="00561B47" w:rsidRPr="00266EB9" w:rsidRDefault="00561B47" w:rsidP="00561B47">
            <w:pPr>
              <w:keepNext/>
              <w:keepLines/>
              <w:jc w:val="center"/>
              <w:rPr>
                <w:b/>
                <w:color w:val="00B050"/>
                <w:sz w:val="16"/>
                <w:szCs w:val="16"/>
              </w:rPr>
            </w:pPr>
          </w:p>
          <w:p w14:paraId="2B162604" w14:textId="77777777" w:rsidR="00561B47" w:rsidRPr="00266EB9" w:rsidRDefault="00561B47" w:rsidP="00561B47">
            <w:pPr>
              <w:keepNext/>
              <w:keepLines/>
              <w:jc w:val="center"/>
              <w:rPr>
                <w:color w:val="000000"/>
                <w:sz w:val="16"/>
                <w:szCs w:val="16"/>
              </w:rPr>
            </w:pPr>
            <w:r w:rsidRPr="00266EB9">
              <w:rPr>
                <w:b/>
                <w:color w:val="00B050"/>
                <w:sz w:val="16"/>
                <w:szCs w:val="16"/>
              </w:rPr>
              <w:t>En bonne voie</w:t>
            </w:r>
          </w:p>
        </w:tc>
      </w:tr>
    </w:tbl>
    <w:p w14:paraId="76818BC9" w14:textId="77777777" w:rsidR="00561B47" w:rsidRPr="00266EB9" w:rsidRDefault="00561B47" w:rsidP="00561B47">
      <w:pPr>
        <w:rPr>
          <w:sz w:val="20"/>
        </w:rPr>
      </w:pPr>
    </w:p>
    <w:p w14:paraId="62DC99A6" w14:textId="0DF024CE" w:rsidR="00AA64E5" w:rsidRDefault="00AA64E5" w:rsidP="00561B47">
      <w:pPr>
        <w:rPr>
          <w:sz w:val="20"/>
        </w:rPr>
      </w:pPr>
      <w:r>
        <w:rPr>
          <w:sz w:val="20"/>
        </w:rPr>
        <w:br w:type="page"/>
      </w:r>
    </w:p>
    <w:p w14:paraId="50C09DD8" w14:textId="77777777" w:rsidR="00561B47" w:rsidRPr="00266EB9" w:rsidRDefault="00561B47" w:rsidP="00561B47">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561B47" w:rsidRPr="00266EB9" w14:paraId="389CA14C" w14:textId="77777777" w:rsidTr="00561B47">
        <w:trPr>
          <w:trHeight w:val="425"/>
          <w:jc w:val="center"/>
        </w:trPr>
        <w:tc>
          <w:tcPr>
            <w:tcW w:w="9572" w:type="dxa"/>
            <w:shd w:val="clear" w:color="auto" w:fill="C6D9F1" w:themeFill="text2" w:themeFillTint="33"/>
            <w:vAlign w:val="center"/>
          </w:tcPr>
          <w:p w14:paraId="43FF6A45" w14:textId="77777777" w:rsidR="00561B47" w:rsidRPr="00266EB9" w:rsidRDefault="00561B47" w:rsidP="00561B47">
            <w:pPr>
              <w:keepNext/>
              <w:keepLines/>
              <w:jc w:val="center"/>
              <w:rPr>
                <w:b/>
                <w:color w:val="000000"/>
                <w:sz w:val="20"/>
              </w:rPr>
            </w:pPr>
            <w:r w:rsidRPr="00266EB9">
              <w:rPr>
                <w:b/>
                <w:color w:val="000000"/>
                <w:sz w:val="20"/>
              </w:rPr>
              <w:t>Utilisation des ressources au titre du programme 6</w:t>
            </w:r>
          </w:p>
        </w:tc>
      </w:tr>
    </w:tbl>
    <w:p w14:paraId="6BE4BE58" w14:textId="77777777" w:rsidR="00561B47" w:rsidRPr="00266EB9" w:rsidRDefault="00561B47" w:rsidP="00561B47">
      <w:pPr>
        <w:rPr>
          <w:sz w:val="20"/>
        </w:rPr>
      </w:pPr>
    </w:p>
    <w:p w14:paraId="416718B9" w14:textId="77777777" w:rsidR="00561B47" w:rsidRPr="00266EB9" w:rsidRDefault="00561B47" w:rsidP="00561B47">
      <w:pPr>
        <w:pStyle w:val="NormalWeb"/>
        <w:keepNext/>
        <w:keepLines/>
        <w:spacing w:before="0" w:beforeAutospacing="0" w:after="0" w:afterAutospacing="0"/>
        <w:jc w:val="center"/>
      </w:pPr>
      <w:r w:rsidRPr="00266EB9">
        <w:rPr>
          <w:color w:val="000000"/>
        </w:rPr>
        <w:t>Budget et dépenses effectives (par résultat)</w:t>
      </w:r>
    </w:p>
    <w:p w14:paraId="2B2C5A7C" w14:textId="77777777" w:rsidR="00561B47" w:rsidRPr="00266EB9" w:rsidRDefault="00561B47" w:rsidP="00561B47">
      <w:pPr>
        <w:pStyle w:val="NormalWeb"/>
        <w:keepNext/>
        <w:keepLines/>
        <w:spacing w:before="0" w:beforeAutospacing="0" w:after="0" w:afterAutospacing="0"/>
        <w:jc w:val="center"/>
      </w:pPr>
      <w:r w:rsidRPr="00266EB9">
        <w:rPr>
          <w:i/>
          <w:iCs/>
          <w:color w:val="000000"/>
          <w:sz w:val="16"/>
          <w:szCs w:val="16"/>
        </w:rPr>
        <w:t>(en milliers de francs suisses)</w:t>
      </w:r>
    </w:p>
    <w:p w14:paraId="5F980263" w14:textId="77777777" w:rsidR="00561B47" w:rsidRPr="00266EB9" w:rsidRDefault="00561B47" w:rsidP="00561B47">
      <w:pPr>
        <w:pStyle w:val="NormalWeb"/>
        <w:keepNext/>
        <w:keepLines/>
        <w:spacing w:before="0" w:beforeAutospacing="0" w:after="0" w:afterAutospacing="0"/>
        <w:rPr>
          <w:i/>
          <w:iCs/>
          <w:color w:val="000000"/>
          <w:sz w:val="20"/>
          <w:szCs w:val="20"/>
        </w:rPr>
      </w:pPr>
    </w:p>
    <w:tbl>
      <w:tblPr>
        <w:tblW w:w="4300" w:type="pct"/>
        <w:jc w:val="center"/>
        <w:tblCellMar>
          <w:top w:w="57" w:type="dxa"/>
          <w:bottom w:w="57" w:type="dxa"/>
        </w:tblCellMar>
        <w:tblLook w:val="04A0" w:firstRow="1" w:lastRow="0" w:firstColumn="1" w:lastColumn="0" w:noHBand="0" w:noVBand="1"/>
      </w:tblPr>
      <w:tblGrid>
        <w:gridCol w:w="552"/>
        <w:gridCol w:w="4190"/>
        <w:gridCol w:w="1562"/>
        <w:gridCol w:w="1562"/>
        <w:gridCol w:w="1421"/>
      </w:tblGrid>
      <w:tr w:rsidR="00561B47" w:rsidRPr="00266EB9" w14:paraId="780EBC3C" w14:textId="77777777" w:rsidTr="00561B47">
        <w:trPr>
          <w:cantSplit/>
          <w:jc w:val="center"/>
        </w:trPr>
        <w:tc>
          <w:tcPr>
            <w:tcW w:w="4790" w:type="dxa"/>
            <w:gridSpan w:val="2"/>
            <w:tcBorders>
              <w:top w:val="nil"/>
              <w:left w:val="nil"/>
              <w:bottom w:val="nil"/>
              <w:right w:val="nil"/>
            </w:tcBorders>
            <w:shd w:val="clear" w:color="000000" w:fill="C5D9F1"/>
            <w:noWrap/>
            <w:vAlign w:val="center"/>
            <w:hideMark/>
          </w:tcPr>
          <w:p w14:paraId="65A08AC5" w14:textId="77777777" w:rsidR="00561B47" w:rsidRPr="00266EB9" w:rsidRDefault="00561B47" w:rsidP="00561B47">
            <w:pPr>
              <w:jc w:val="center"/>
              <w:rPr>
                <w:b/>
                <w:bCs/>
                <w:sz w:val="16"/>
                <w:szCs w:val="16"/>
              </w:rPr>
            </w:pPr>
            <w:r w:rsidRPr="00266EB9">
              <w:rPr>
                <w:b/>
                <w:bCs/>
                <w:sz w:val="16"/>
                <w:szCs w:val="16"/>
              </w:rPr>
              <w:t>Numéro et description du résultat escompté</w:t>
            </w:r>
          </w:p>
        </w:tc>
        <w:tc>
          <w:tcPr>
            <w:tcW w:w="1135" w:type="dxa"/>
            <w:tcBorders>
              <w:top w:val="nil"/>
              <w:left w:val="nil"/>
              <w:bottom w:val="nil"/>
              <w:right w:val="nil"/>
            </w:tcBorders>
            <w:shd w:val="clear" w:color="000000" w:fill="C5D9F1"/>
            <w:vAlign w:val="center"/>
            <w:hideMark/>
          </w:tcPr>
          <w:p w14:paraId="5AF89C9A" w14:textId="77777777" w:rsidR="00561B47" w:rsidRPr="00266EB9" w:rsidRDefault="00561B47" w:rsidP="00561B47">
            <w:pPr>
              <w:jc w:val="center"/>
              <w:rPr>
                <w:b/>
                <w:bCs/>
                <w:sz w:val="16"/>
                <w:szCs w:val="16"/>
              </w:rPr>
            </w:pPr>
            <w:r>
              <w:rPr>
                <w:b/>
                <w:bCs/>
                <w:sz w:val="16"/>
                <w:szCs w:val="16"/>
              </w:rPr>
              <w:t>Budget </w:t>
            </w:r>
            <w:r w:rsidRPr="00266EB9">
              <w:rPr>
                <w:b/>
                <w:bCs/>
                <w:sz w:val="16"/>
                <w:szCs w:val="16"/>
              </w:rPr>
              <w:t>2016</w:t>
            </w:r>
            <w:r>
              <w:rPr>
                <w:b/>
                <w:bCs/>
                <w:sz w:val="16"/>
                <w:szCs w:val="16"/>
              </w:rPr>
              <w:noBreakHyphen/>
            </w:r>
            <w:r w:rsidRPr="00266EB9">
              <w:rPr>
                <w:b/>
                <w:bCs/>
                <w:sz w:val="16"/>
                <w:szCs w:val="16"/>
              </w:rPr>
              <w:t>2017 approuvé</w:t>
            </w:r>
          </w:p>
        </w:tc>
        <w:tc>
          <w:tcPr>
            <w:tcW w:w="1133" w:type="dxa"/>
            <w:tcBorders>
              <w:top w:val="nil"/>
              <w:left w:val="nil"/>
              <w:bottom w:val="nil"/>
              <w:right w:val="nil"/>
            </w:tcBorders>
            <w:shd w:val="clear" w:color="000000" w:fill="C5D9F1"/>
            <w:vAlign w:val="center"/>
            <w:hideMark/>
          </w:tcPr>
          <w:p w14:paraId="0E9CB583" w14:textId="77777777" w:rsidR="00561B47" w:rsidRPr="00266EB9" w:rsidRDefault="00561B47" w:rsidP="00561B47">
            <w:pPr>
              <w:jc w:val="center"/>
              <w:rPr>
                <w:b/>
                <w:bCs/>
                <w:sz w:val="16"/>
                <w:szCs w:val="16"/>
              </w:rPr>
            </w:pPr>
            <w:r>
              <w:rPr>
                <w:b/>
                <w:bCs/>
                <w:sz w:val="16"/>
                <w:szCs w:val="16"/>
              </w:rPr>
              <w:t>Budget </w:t>
            </w:r>
            <w:r w:rsidRPr="00266EB9">
              <w:rPr>
                <w:b/>
                <w:bCs/>
                <w:sz w:val="16"/>
                <w:szCs w:val="16"/>
              </w:rPr>
              <w:t>2016</w:t>
            </w:r>
            <w:r>
              <w:rPr>
                <w:b/>
                <w:bCs/>
                <w:sz w:val="16"/>
                <w:szCs w:val="16"/>
              </w:rPr>
              <w:noBreakHyphen/>
            </w:r>
            <w:r w:rsidRPr="00266EB9">
              <w:rPr>
                <w:b/>
                <w:bCs/>
                <w:sz w:val="16"/>
                <w:szCs w:val="16"/>
              </w:rPr>
              <w:t>2017 après virements</w:t>
            </w:r>
          </w:p>
        </w:tc>
        <w:tc>
          <w:tcPr>
            <w:tcW w:w="1164" w:type="dxa"/>
            <w:tcBorders>
              <w:top w:val="nil"/>
              <w:left w:val="nil"/>
              <w:bottom w:val="nil"/>
              <w:right w:val="nil"/>
            </w:tcBorders>
            <w:shd w:val="clear" w:color="000000" w:fill="C5D9F1"/>
            <w:vAlign w:val="center"/>
            <w:hideMark/>
          </w:tcPr>
          <w:p w14:paraId="2CEC15D8" w14:textId="77777777" w:rsidR="00561B47" w:rsidRPr="00266EB9" w:rsidRDefault="00561B47" w:rsidP="00561B47">
            <w:pPr>
              <w:jc w:val="center"/>
              <w:rPr>
                <w:b/>
                <w:bCs/>
                <w:sz w:val="16"/>
                <w:szCs w:val="16"/>
              </w:rPr>
            </w:pPr>
            <w:r>
              <w:rPr>
                <w:b/>
                <w:bCs/>
                <w:sz w:val="16"/>
                <w:szCs w:val="16"/>
              </w:rPr>
              <w:t>Dépenses </w:t>
            </w:r>
            <w:r w:rsidRPr="00266EB9">
              <w:rPr>
                <w:b/>
                <w:bCs/>
                <w:sz w:val="16"/>
                <w:szCs w:val="16"/>
              </w:rPr>
              <w:t>2016*</w:t>
            </w:r>
          </w:p>
        </w:tc>
      </w:tr>
      <w:tr w:rsidR="00561B47" w:rsidRPr="00266EB9" w14:paraId="446E3508" w14:textId="77777777" w:rsidTr="00561B47">
        <w:trPr>
          <w:cantSplit/>
          <w:jc w:val="center"/>
        </w:trPr>
        <w:tc>
          <w:tcPr>
            <w:tcW w:w="555" w:type="dxa"/>
            <w:tcBorders>
              <w:top w:val="nil"/>
              <w:left w:val="nil"/>
              <w:bottom w:val="nil"/>
              <w:right w:val="nil"/>
            </w:tcBorders>
            <w:shd w:val="clear" w:color="auto" w:fill="auto"/>
            <w:noWrap/>
            <w:vAlign w:val="center"/>
            <w:hideMark/>
          </w:tcPr>
          <w:p w14:paraId="68582F8C" w14:textId="77777777" w:rsidR="00561B47" w:rsidRPr="00266EB9" w:rsidRDefault="00561B47" w:rsidP="00561B47">
            <w:pPr>
              <w:rPr>
                <w:sz w:val="16"/>
                <w:szCs w:val="16"/>
              </w:rPr>
            </w:pPr>
            <w:r w:rsidRPr="00266EB9">
              <w:rPr>
                <w:sz w:val="16"/>
                <w:szCs w:val="16"/>
              </w:rPr>
              <w:t>II.6</w:t>
            </w:r>
          </w:p>
        </w:tc>
        <w:tc>
          <w:tcPr>
            <w:tcW w:w="4235" w:type="dxa"/>
            <w:tcBorders>
              <w:top w:val="nil"/>
              <w:left w:val="nil"/>
              <w:bottom w:val="nil"/>
              <w:right w:val="nil"/>
            </w:tcBorders>
            <w:shd w:val="clear" w:color="auto" w:fill="auto"/>
            <w:vAlign w:val="center"/>
            <w:hideMark/>
          </w:tcPr>
          <w:p w14:paraId="1A250154" w14:textId="77777777" w:rsidR="00561B47" w:rsidRPr="00266EB9" w:rsidRDefault="00561B47" w:rsidP="00561B47">
            <w:pPr>
              <w:rPr>
                <w:sz w:val="16"/>
                <w:szCs w:val="16"/>
              </w:rPr>
            </w:pPr>
            <w:r w:rsidRPr="00266EB9">
              <w:rPr>
                <w:sz w:val="16"/>
                <w:szCs w:val="16"/>
              </w:rPr>
              <w:t>Utilisation élargie et plus efficace du système de Madrid, notamment par les pays en développement et les PMA</w:t>
            </w:r>
          </w:p>
        </w:tc>
        <w:tc>
          <w:tcPr>
            <w:tcW w:w="1135" w:type="dxa"/>
            <w:tcBorders>
              <w:top w:val="nil"/>
              <w:left w:val="nil"/>
              <w:bottom w:val="nil"/>
              <w:right w:val="nil"/>
            </w:tcBorders>
            <w:shd w:val="clear" w:color="auto" w:fill="auto"/>
            <w:noWrap/>
            <w:vAlign w:val="center"/>
            <w:hideMark/>
          </w:tcPr>
          <w:p w14:paraId="18B0A379" w14:textId="77777777" w:rsidR="00561B47" w:rsidRPr="00266EB9" w:rsidRDefault="00561B47" w:rsidP="00561B47">
            <w:pPr>
              <w:jc w:val="center"/>
              <w:rPr>
                <w:color w:val="000000"/>
                <w:sz w:val="16"/>
                <w:szCs w:val="16"/>
              </w:rPr>
            </w:pPr>
            <w:r w:rsidRPr="00266EB9">
              <w:rPr>
                <w:color w:val="000000"/>
                <w:sz w:val="16"/>
                <w:szCs w:val="16"/>
              </w:rPr>
              <w:t>15 755</w:t>
            </w:r>
          </w:p>
        </w:tc>
        <w:tc>
          <w:tcPr>
            <w:tcW w:w="1133" w:type="dxa"/>
            <w:tcBorders>
              <w:top w:val="nil"/>
              <w:left w:val="nil"/>
              <w:bottom w:val="nil"/>
              <w:right w:val="nil"/>
            </w:tcBorders>
            <w:shd w:val="clear" w:color="auto" w:fill="auto"/>
            <w:noWrap/>
            <w:vAlign w:val="center"/>
            <w:hideMark/>
          </w:tcPr>
          <w:p w14:paraId="4B7C1606" w14:textId="77777777" w:rsidR="00561B47" w:rsidRPr="00266EB9" w:rsidRDefault="00561B47" w:rsidP="00561B47">
            <w:pPr>
              <w:jc w:val="center"/>
              <w:rPr>
                <w:color w:val="000000"/>
                <w:sz w:val="16"/>
                <w:szCs w:val="16"/>
              </w:rPr>
            </w:pPr>
            <w:r w:rsidRPr="00266EB9">
              <w:rPr>
                <w:color w:val="000000"/>
                <w:sz w:val="16"/>
                <w:szCs w:val="16"/>
              </w:rPr>
              <w:t>16 326</w:t>
            </w:r>
          </w:p>
        </w:tc>
        <w:tc>
          <w:tcPr>
            <w:tcW w:w="1164" w:type="dxa"/>
            <w:tcBorders>
              <w:top w:val="nil"/>
              <w:left w:val="nil"/>
              <w:bottom w:val="nil"/>
              <w:right w:val="nil"/>
            </w:tcBorders>
            <w:shd w:val="clear" w:color="auto" w:fill="auto"/>
            <w:noWrap/>
            <w:vAlign w:val="center"/>
            <w:hideMark/>
          </w:tcPr>
          <w:p w14:paraId="7265BF71" w14:textId="77777777" w:rsidR="00561B47" w:rsidRPr="00266EB9" w:rsidRDefault="00561B47" w:rsidP="00561B47">
            <w:pPr>
              <w:jc w:val="center"/>
              <w:rPr>
                <w:color w:val="000000"/>
                <w:sz w:val="16"/>
                <w:szCs w:val="16"/>
              </w:rPr>
            </w:pPr>
            <w:r w:rsidRPr="00266EB9">
              <w:rPr>
                <w:color w:val="000000"/>
                <w:sz w:val="16"/>
                <w:szCs w:val="16"/>
              </w:rPr>
              <w:t>7 664</w:t>
            </w:r>
          </w:p>
        </w:tc>
      </w:tr>
      <w:tr w:rsidR="00561B47" w:rsidRPr="00266EB9" w14:paraId="4BFC6743" w14:textId="77777777" w:rsidTr="00561B47">
        <w:trPr>
          <w:cantSplit/>
          <w:jc w:val="center"/>
        </w:trPr>
        <w:tc>
          <w:tcPr>
            <w:tcW w:w="555" w:type="dxa"/>
            <w:tcBorders>
              <w:top w:val="nil"/>
              <w:left w:val="nil"/>
              <w:bottom w:val="nil"/>
              <w:right w:val="nil"/>
            </w:tcBorders>
            <w:shd w:val="clear" w:color="auto" w:fill="auto"/>
            <w:noWrap/>
            <w:vAlign w:val="center"/>
            <w:hideMark/>
          </w:tcPr>
          <w:p w14:paraId="52F54BCC" w14:textId="77777777" w:rsidR="00561B47" w:rsidRPr="00266EB9" w:rsidRDefault="00561B47" w:rsidP="00561B47">
            <w:pPr>
              <w:rPr>
                <w:sz w:val="16"/>
                <w:szCs w:val="16"/>
              </w:rPr>
            </w:pPr>
            <w:r w:rsidRPr="00266EB9">
              <w:rPr>
                <w:sz w:val="16"/>
                <w:szCs w:val="16"/>
              </w:rPr>
              <w:t>II.7</w:t>
            </w:r>
          </w:p>
        </w:tc>
        <w:tc>
          <w:tcPr>
            <w:tcW w:w="4235" w:type="dxa"/>
            <w:tcBorders>
              <w:top w:val="nil"/>
              <w:left w:val="nil"/>
              <w:bottom w:val="nil"/>
              <w:right w:val="nil"/>
            </w:tcBorders>
            <w:shd w:val="clear" w:color="auto" w:fill="auto"/>
            <w:vAlign w:val="center"/>
            <w:hideMark/>
          </w:tcPr>
          <w:p w14:paraId="2769AD6C" w14:textId="77777777" w:rsidR="00561B47" w:rsidRPr="00266EB9" w:rsidRDefault="00561B47" w:rsidP="00561B47">
            <w:pPr>
              <w:rPr>
                <w:sz w:val="16"/>
                <w:szCs w:val="16"/>
              </w:rPr>
            </w:pPr>
            <w:r w:rsidRPr="00266EB9">
              <w:rPr>
                <w:color w:val="000000"/>
                <w:sz w:val="16"/>
                <w:szCs w:val="16"/>
              </w:rPr>
              <w:t>A</w:t>
            </w:r>
            <w:r w:rsidRPr="00266EB9">
              <w:rPr>
                <w:sz w:val="16"/>
                <w:szCs w:val="16"/>
              </w:rPr>
              <w:t>mélioration de la productivité et de la qualité de service des opérations du système de Madrid</w:t>
            </w:r>
          </w:p>
        </w:tc>
        <w:tc>
          <w:tcPr>
            <w:tcW w:w="1135" w:type="dxa"/>
            <w:tcBorders>
              <w:top w:val="nil"/>
              <w:left w:val="nil"/>
              <w:bottom w:val="nil"/>
              <w:right w:val="nil"/>
            </w:tcBorders>
            <w:shd w:val="clear" w:color="auto" w:fill="auto"/>
            <w:noWrap/>
            <w:vAlign w:val="center"/>
            <w:hideMark/>
          </w:tcPr>
          <w:p w14:paraId="1C2ED9AF" w14:textId="77777777" w:rsidR="00561B47" w:rsidRPr="00266EB9" w:rsidRDefault="00561B47" w:rsidP="00561B47">
            <w:pPr>
              <w:jc w:val="center"/>
              <w:rPr>
                <w:color w:val="000000"/>
                <w:sz w:val="16"/>
                <w:szCs w:val="16"/>
              </w:rPr>
            </w:pPr>
            <w:r w:rsidRPr="00266EB9">
              <w:rPr>
                <w:color w:val="000000"/>
                <w:sz w:val="16"/>
                <w:szCs w:val="16"/>
              </w:rPr>
              <w:t>42 253</w:t>
            </w:r>
          </w:p>
        </w:tc>
        <w:tc>
          <w:tcPr>
            <w:tcW w:w="1133" w:type="dxa"/>
            <w:tcBorders>
              <w:top w:val="nil"/>
              <w:left w:val="nil"/>
              <w:bottom w:val="nil"/>
              <w:right w:val="nil"/>
            </w:tcBorders>
            <w:shd w:val="clear" w:color="auto" w:fill="auto"/>
            <w:noWrap/>
            <w:vAlign w:val="center"/>
            <w:hideMark/>
          </w:tcPr>
          <w:p w14:paraId="4C61D30F" w14:textId="77777777" w:rsidR="00561B47" w:rsidRPr="00266EB9" w:rsidRDefault="00561B47" w:rsidP="00561B47">
            <w:pPr>
              <w:jc w:val="center"/>
              <w:rPr>
                <w:color w:val="000000"/>
                <w:sz w:val="16"/>
                <w:szCs w:val="16"/>
              </w:rPr>
            </w:pPr>
            <w:r w:rsidRPr="00266EB9">
              <w:rPr>
                <w:color w:val="000000"/>
                <w:sz w:val="16"/>
                <w:szCs w:val="16"/>
              </w:rPr>
              <w:t>41 736</w:t>
            </w:r>
          </w:p>
        </w:tc>
        <w:tc>
          <w:tcPr>
            <w:tcW w:w="1164" w:type="dxa"/>
            <w:tcBorders>
              <w:top w:val="nil"/>
              <w:left w:val="nil"/>
              <w:bottom w:val="nil"/>
              <w:right w:val="nil"/>
            </w:tcBorders>
            <w:shd w:val="clear" w:color="auto" w:fill="auto"/>
            <w:noWrap/>
            <w:vAlign w:val="center"/>
            <w:hideMark/>
          </w:tcPr>
          <w:p w14:paraId="5FEAC109" w14:textId="77777777" w:rsidR="00561B47" w:rsidRPr="00266EB9" w:rsidRDefault="00561B47" w:rsidP="00561B47">
            <w:pPr>
              <w:jc w:val="center"/>
              <w:rPr>
                <w:color w:val="000000"/>
                <w:sz w:val="16"/>
                <w:szCs w:val="16"/>
              </w:rPr>
            </w:pPr>
            <w:r w:rsidRPr="00266EB9">
              <w:rPr>
                <w:color w:val="000000"/>
                <w:sz w:val="16"/>
                <w:szCs w:val="16"/>
              </w:rPr>
              <w:t>19 075</w:t>
            </w:r>
          </w:p>
        </w:tc>
      </w:tr>
      <w:tr w:rsidR="00561B47" w:rsidRPr="00266EB9" w14:paraId="17258AB6" w14:textId="77777777" w:rsidTr="00561B47">
        <w:trPr>
          <w:cantSplit/>
          <w:jc w:val="center"/>
        </w:trPr>
        <w:tc>
          <w:tcPr>
            <w:tcW w:w="555" w:type="dxa"/>
            <w:tcBorders>
              <w:top w:val="nil"/>
              <w:left w:val="nil"/>
              <w:bottom w:val="nil"/>
              <w:right w:val="nil"/>
            </w:tcBorders>
            <w:shd w:val="clear" w:color="auto" w:fill="auto"/>
            <w:noWrap/>
            <w:vAlign w:val="center"/>
            <w:hideMark/>
          </w:tcPr>
          <w:p w14:paraId="2D124BE2" w14:textId="77777777" w:rsidR="00561B47" w:rsidRPr="00266EB9" w:rsidRDefault="00561B47" w:rsidP="00561B47">
            <w:pPr>
              <w:rPr>
                <w:sz w:val="16"/>
                <w:szCs w:val="16"/>
              </w:rPr>
            </w:pPr>
            <w:r w:rsidRPr="00266EB9">
              <w:rPr>
                <w:sz w:val="16"/>
                <w:szCs w:val="16"/>
              </w:rPr>
              <w:t>II.11</w:t>
            </w:r>
          </w:p>
        </w:tc>
        <w:tc>
          <w:tcPr>
            <w:tcW w:w="4235" w:type="dxa"/>
            <w:tcBorders>
              <w:top w:val="nil"/>
              <w:left w:val="nil"/>
              <w:bottom w:val="nil"/>
              <w:right w:val="nil"/>
            </w:tcBorders>
            <w:shd w:val="clear" w:color="auto" w:fill="auto"/>
            <w:vAlign w:val="center"/>
            <w:hideMark/>
          </w:tcPr>
          <w:p w14:paraId="31F5EF13" w14:textId="77777777" w:rsidR="00561B47" w:rsidRPr="00266EB9" w:rsidRDefault="00561B47" w:rsidP="00561B47">
            <w:pPr>
              <w:rPr>
                <w:sz w:val="16"/>
                <w:szCs w:val="16"/>
              </w:rPr>
            </w:pPr>
            <w:r w:rsidRPr="00266EB9">
              <w:rPr>
                <w:color w:val="000000"/>
                <w:sz w:val="16"/>
                <w:szCs w:val="16"/>
              </w:rPr>
              <w:t>A</w:t>
            </w:r>
            <w:r w:rsidRPr="00266EB9">
              <w:rPr>
                <w:sz w:val="16"/>
                <w:szCs w:val="16"/>
              </w:rPr>
              <w:t>mélioration de la productivité et de la qualité de service des opérations du système de Lisbonne</w:t>
            </w:r>
          </w:p>
        </w:tc>
        <w:tc>
          <w:tcPr>
            <w:tcW w:w="1135" w:type="dxa"/>
            <w:tcBorders>
              <w:top w:val="nil"/>
              <w:left w:val="nil"/>
              <w:bottom w:val="nil"/>
              <w:right w:val="nil"/>
            </w:tcBorders>
            <w:shd w:val="clear" w:color="auto" w:fill="auto"/>
            <w:noWrap/>
            <w:vAlign w:val="center"/>
            <w:hideMark/>
          </w:tcPr>
          <w:p w14:paraId="42E17ACD" w14:textId="77777777" w:rsidR="00561B47" w:rsidRPr="00266EB9" w:rsidRDefault="00561B47" w:rsidP="00561B47">
            <w:pPr>
              <w:jc w:val="center"/>
              <w:rPr>
                <w:color w:val="000000"/>
                <w:sz w:val="16"/>
                <w:szCs w:val="16"/>
              </w:rPr>
            </w:pPr>
            <w:r w:rsidRPr="00266EB9">
              <w:rPr>
                <w:color w:val="000000"/>
                <w:sz w:val="16"/>
                <w:szCs w:val="16"/>
              </w:rPr>
              <w:t>99</w:t>
            </w:r>
          </w:p>
        </w:tc>
        <w:tc>
          <w:tcPr>
            <w:tcW w:w="1133" w:type="dxa"/>
            <w:tcBorders>
              <w:top w:val="nil"/>
              <w:left w:val="nil"/>
              <w:bottom w:val="nil"/>
              <w:right w:val="nil"/>
            </w:tcBorders>
            <w:shd w:val="clear" w:color="auto" w:fill="auto"/>
            <w:noWrap/>
            <w:vAlign w:val="center"/>
            <w:hideMark/>
          </w:tcPr>
          <w:p w14:paraId="5F30EE93" w14:textId="73275136" w:rsidR="00561B47" w:rsidRPr="00266EB9" w:rsidRDefault="00A67FE6" w:rsidP="00561B47">
            <w:pPr>
              <w:jc w:val="center"/>
              <w:rPr>
                <w:color w:val="000000"/>
                <w:sz w:val="16"/>
                <w:szCs w:val="16"/>
              </w:rPr>
            </w:pPr>
            <w:r>
              <w:rPr>
                <w:color w:val="000000"/>
                <w:sz w:val="16"/>
                <w:szCs w:val="16"/>
              </w:rPr>
              <w:t>-</w:t>
            </w:r>
          </w:p>
        </w:tc>
        <w:tc>
          <w:tcPr>
            <w:tcW w:w="1164" w:type="dxa"/>
            <w:tcBorders>
              <w:top w:val="nil"/>
              <w:left w:val="nil"/>
              <w:bottom w:val="nil"/>
              <w:right w:val="nil"/>
            </w:tcBorders>
            <w:shd w:val="clear" w:color="auto" w:fill="auto"/>
            <w:noWrap/>
            <w:vAlign w:val="center"/>
            <w:hideMark/>
          </w:tcPr>
          <w:p w14:paraId="733D7104" w14:textId="71DFE9FC" w:rsidR="00561B47" w:rsidRPr="00266EB9" w:rsidRDefault="00A67FE6" w:rsidP="00561B47">
            <w:pPr>
              <w:jc w:val="center"/>
              <w:rPr>
                <w:color w:val="000000"/>
                <w:sz w:val="16"/>
                <w:szCs w:val="16"/>
              </w:rPr>
            </w:pPr>
            <w:r>
              <w:rPr>
                <w:color w:val="000000"/>
                <w:sz w:val="16"/>
                <w:szCs w:val="16"/>
              </w:rPr>
              <w:t>-</w:t>
            </w:r>
          </w:p>
        </w:tc>
      </w:tr>
      <w:tr w:rsidR="00561B47" w:rsidRPr="00266EB9" w14:paraId="25F4D51E" w14:textId="77777777" w:rsidTr="00561B47">
        <w:trPr>
          <w:cantSplit/>
          <w:jc w:val="center"/>
        </w:trPr>
        <w:tc>
          <w:tcPr>
            <w:tcW w:w="555" w:type="dxa"/>
            <w:tcBorders>
              <w:top w:val="nil"/>
              <w:left w:val="nil"/>
              <w:bottom w:val="nil"/>
              <w:right w:val="nil"/>
            </w:tcBorders>
            <w:shd w:val="clear" w:color="000000" w:fill="C5D9F1"/>
            <w:noWrap/>
            <w:vAlign w:val="bottom"/>
            <w:hideMark/>
          </w:tcPr>
          <w:p w14:paraId="16471CF2" w14:textId="77777777" w:rsidR="00561B47" w:rsidRPr="00266EB9" w:rsidRDefault="00561B47" w:rsidP="00561B47">
            <w:pPr>
              <w:rPr>
                <w:sz w:val="16"/>
                <w:szCs w:val="16"/>
              </w:rPr>
            </w:pPr>
          </w:p>
        </w:tc>
        <w:tc>
          <w:tcPr>
            <w:tcW w:w="4235" w:type="dxa"/>
            <w:tcBorders>
              <w:top w:val="nil"/>
              <w:left w:val="nil"/>
              <w:bottom w:val="nil"/>
              <w:right w:val="nil"/>
            </w:tcBorders>
            <w:shd w:val="clear" w:color="000000" w:fill="C5D9F1"/>
            <w:noWrap/>
            <w:vAlign w:val="bottom"/>
            <w:hideMark/>
          </w:tcPr>
          <w:p w14:paraId="412E2590" w14:textId="77777777" w:rsidR="00561B47" w:rsidRPr="00266EB9" w:rsidRDefault="00561B47" w:rsidP="00561B47">
            <w:pPr>
              <w:jc w:val="right"/>
              <w:rPr>
                <w:b/>
                <w:bCs/>
                <w:sz w:val="16"/>
                <w:szCs w:val="16"/>
              </w:rPr>
            </w:pPr>
            <w:r w:rsidRPr="00266EB9">
              <w:rPr>
                <w:b/>
                <w:bCs/>
                <w:sz w:val="16"/>
                <w:szCs w:val="16"/>
              </w:rPr>
              <w:t>Total</w:t>
            </w:r>
          </w:p>
        </w:tc>
        <w:tc>
          <w:tcPr>
            <w:tcW w:w="1135" w:type="dxa"/>
            <w:tcBorders>
              <w:top w:val="nil"/>
              <w:left w:val="nil"/>
              <w:bottom w:val="nil"/>
              <w:right w:val="nil"/>
            </w:tcBorders>
            <w:shd w:val="clear" w:color="000000" w:fill="C5D9F1"/>
            <w:noWrap/>
            <w:vAlign w:val="center"/>
            <w:hideMark/>
          </w:tcPr>
          <w:p w14:paraId="2263E140" w14:textId="77777777" w:rsidR="00561B47" w:rsidRPr="00266EB9" w:rsidRDefault="00561B47" w:rsidP="00561B47">
            <w:pPr>
              <w:jc w:val="center"/>
              <w:rPr>
                <w:color w:val="000000"/>
                <w:sz w:val="16"/>
                <w:szCs w:val="16"/>
              </w:rPr>
            </w:pPr>
            <w:r w:rsidRPr="00266EB9">
              <w:rPr>
                <w:color w:val="000000"/>
                <w:sz w:val="16"/>
                <w:szCs w:val="16"/>
              </w:rPr>
              <w:t>58 106</w:t>
            </w:r>
          </w:p>
        </w:tc>
        <w:tc>
          <w:tcPr>
            <w:tcW w:w="1133" w:type="dxa"/>
            <w:tcBorders>
              <w:top w:val="nil"/>
              <w:left w:val="nil"/>
              <w:bottom w:val="nil"/>
              <w:right w:val="nil"/>
            </w:tcBorders>
            <w:shd w:val="clear" w:color="000000" w:fill="C5D9F1"/>
            <w:noWrap/>
            <w:vAlign w:val="center"/>
            <w:hideMark/>
          </w:tcPr>
          <w:p w14:paraId="6CC52937" w14:textId="77777777" w:rsidR="00561B47" w:rsidRPr="00266EB9" w:rsidRDefault="00561B47" w:rsidP="00561B47">
            <w:pPr>
              <w:jc w:val="center"/>
              <w:rPr>
                <w:color w:val="000000"/>
                <w:sz w:val="16"/>
                <w:szCs w:val="16"/>
              </w:rPr>
            </w:pPr>
            <w:r w:rsidRPr="00266EB9">
              <w:rPr>
                <w:color w:val="000000"/>
                <w:sz w:val="16"/>
                <w:szCs w:val="16"/>
              </w:rPr>
              <w:t>58 062</w:t>
            </w:r>
          </w:p>
        </w:tc>
        <w:tc>
          <w:tcPr>
            <w:tcW w:w="1164" w:type="dxa"/>
            <w:tcBorders>
              <w:top w:val="nil"/>
              <w:left w:val="nil"/>
              <w:bottom w:val="nil"/>
              <w:right w:val="nil"/>
            </w:tcBorders>
            <w:shd w:val="clear" w:color="000000" w:fill="C5D9F1"/>
            <w:noWrap/>
            <w:vAlign w:val="center"/>
            <w:hideMark/>
          </w:tcPr>
          <w:p w14:paraId="62CB226F" w14:textId="77777777" w:rsidR="00561B47" w:rsidRPr="00266EB9" w:rsidRDefault="00561B47" w:rsidP="00561B47">
            <w:pPr>
              <w:jc w:val="center"/>
              <w:rPr>
                <w:color w:val="000000"/>
                <w:sz w:val="16"/>
                <w:szCs w:val="16"/>
              </w:rPr>
            </w:pPr>
            <w:r w:rsidRPr="00266EB9">
              <w:rPr>
                <w:color w:val="000000"/>
                <w:sz w:val="16"/>
                <w:szCs w:val="16"/>
              </w:rPr>
              <w:t>26 739</w:t>
            </w:r>
          </w:p>
        </w:tc>
      </w:tr>
      <w:tr w:rsidR="00561B47" w:rsidRPr="00266EB9" w14:paraId="29B7D795" w14:textId="77777777" w:rsidTr="00561B47">
        <w:trPr>
          <w:cantSplit/>
          <w:jc w:val="center"/>
        </w:trPr>
        <w:tc>
          <w:tcPr>
            <w:tcW w:w="7058" w:type="dxa"/>
            <w:gridSpan w:val="4"/>
            <w:tcBorders>
              <w:top w:val="nil"/>
              <w:left w:val="nil"/>
              <w:bottom w:val="nil"/>
              <w:right w:val="nil"/>
            </w:tcBorders>
            <w:shd w:val="clear" w:color="auto" w:fill="auto"/>
            <w:noWrap/>
            <w:vAlign w:val="center"/>
            <w:hideMark/>
          </w:tcPr>
          <w:p w14:paraId="3CA09CBE" w14:textId="77777777" w:rsidR="00561B47" w:rsidRPr="00266EB9" w:rsidRDefault="00561B47" w:rsidP="00561B47">
            <w:pPr>
              <w:rPr>
                <w:i/>
                <w:iCs/>
                <w:sz w:val="16"/>
                <w:szCs w:val="16"/>
              </w:rPr>
            </w:pPr>
            <w:r w:rsidRPr="00266EB9">
              <w:rPr>
                <w:i/>
                <w:iCs/>
                <w:sz w:val="16"/>
                <w:szCs w:val="16"/>
              </w:rPr>
              <w:t>*Les chiffres des dépenses pour 2016 sont préliminaires, sous réserve d’audit par les vérificateurs externes des comptes</w:t>
            </w:r>
          </w:p>
        </w:tc>
        <w:tc>
          <w:tcPr>
            <w:tcW w:w="1164" w:type="dxa"/>
            <w:tcBorders>
              <w:top w:val="nil"/>
              <w:left w:val="nil"/>
              <w:bottom w:val="nil"/>
              <w:right w:val="nil"/>
            </w:tcBorders>
            <w:shd w:val="clear" w:color="auto" w:fill="auto"/>
            <w:noWrap/>
            <w:vAlign w:val="center"/>
            <w:hideMark/>
          </w:tcPr>
          <w:p w14:paraId="78A9EB61" w14:textId="77777777" w:rsidR="00561B47" w:rsidRPr="00266EB9" w:rsidRDefault="00561B47" w:rsidP="00561B47">
            <w:pPr>
              <w:rPr>
                <w:sz w:val="16"/>
                <w:szCs w:val="16"/>
              </w:rPr>
            </w:pPr>
          </w:p>
        </w:tc>
      </w:tr>
    </w:tbl>
    <w:p w14:paraId="0CD645D3" w14:textId="77777777" w:rsidR="00561B47" w:rsidRPr="00266EB9" w:rsidRDefault="00561B47" w:rsidP="00561B47">
      <w:pPr>
        <w:pStyle w:val="NormalWeb"/>
        <w:keepNext/>
        <w:keepLines/>
        <w:spacing w:before="0" w:beforeAutospacing="0" w:after="0" w:afterAutospacing="0"/>
        <w:jc w:val="center"/>
        <w:rPr>
          <w:i/>
          <w:iCs/>
          <w:color w:val="000000"/>
          <w:sz w:val="20"/>
          <w:szCs w:val="20"/>
        </w:rPr>
      </w:pPr>
    </w:p>
    <w:p w14:paraId="13416933" w14:textId="77777777" w:rsidR="00561B47" w:rsidRPr="00266EB9" w:rsidRDefault="00561B47" w:rsidP="00561B47">
      <w:pPr>
        <w:pStyle w:val="NormalWeb"/>
        <w:keepNext/>
        <w:keepLines/>
        <w:spacing w:before="0" w:beforeAutospacing="0" w:after="0" w:afterAutospacing="0"/>
        <w:jc w:val="center"/>
        <w:rPr>
          <w:color w:val="000000"/>
        </w:rPr>
      </w:pPr>
      <w:r w:rsidRPr="00266EB9">
        <w:rPr>
          <w:color w:val="000000"/>
        </w:rPr>
        <w:t>Budget et dépenses effectives (dépenses de personnel et autres dépenses)</w:t>
      </w:r>
    </w:p>
    <w:p w14:paraId="4F6D902F" w14:textId="77777777" w:rsidR="00561B47" w:rsidRPr="00266EB9" w:rsidRDefault="00561B47" w:rsidP="00561B47">
      <w:pPr>
        <w:pStyle w:val="NormalWeb"/>
        <w:keepNext/>
        <w:keepLines/>
        <w:spacing w:before="0" w:beforeAutospacing="0" w:after="0" w:afterAutospacing="0"/>
        <w:jc w:val="center"/>
      </w:pPr>
      <w:r w:rsidRPr="00266EB9">
        <w:rPr>
          <w:i/>
          <w:iCs/>
          <w:color w:val="000000"/>
          <w:sz w:val="16"/>
          <w:szCs w:val="16"/>
        </w:rPr>
        <w:t>(en milliers de francs suisses)</w:t>
      </w:r>
    </w:p>
    <w:p w14:paraId="39413FEE" w14:textId="77777777" w:rsidR="00561B47" w:rsidRPr="00266EB9" w:rsidRDefault="00561B47" w:rsidP="00561B47">
      <w:pPr>
        <w:pStyle w:val="NormalWeb"/>
        <w:keepNext/>
        <w:keepLines/>
        <w:spacing w:before="0" w:beforeAutospacing="0" w:after="0" w:afterAutospacing="0"/>
        <w:jc w:val="center"/>
        <w:rPr>
          <w:i/>
          <w:iCs/>
          <w:color w:val="000000"/>
          <w:sz w:val="20"/>
          <w:szCs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561B47" w:rsidRPr="00FE1E2F" w14:paraId="60ABA9E0" w14:textId="77777777" w:rsidTr="00561B47">
        <w:trPr>
          <w:cantSplit/>
          <w:jc w:val="center"/>
        </w:trPr>
        <w:tc>
          <w:tcPr>
            <w:tcW w:w="2470" w:type="dxa"/>
            <w:tcBorders>
              <w:top w:val="nil"/>
              <w:left w:val="nil"/>
              <w:bottom w:val="nil"/>
              <w:right w:val="nil"/>
            </w:tcBorders>
            <w:shd w:val="clear" w:color="000000" w:fill="C5D9F1"/>
            <w:noWrap/>
            <w:vAlign w:val="center"/>
            <w:hideMark/>
          </w:tcPr>
          <w:p w14:paraId="173E53AC" w14:textId="77777777" w:rsidR="00561B47" w:rsidRPr="00266EB9" w:rsidRDefault="00561B47" w:rsidP="00561B47">
            <w:pPr>
              <w:rPr>
                <w:color w:val="000000"/>
                <w:sz w:val="16"/>
                <w:szCs w:val="16"/>
              </w:rPr>
            </w:pPr>
            <w:r w:rsidRPr="00266EB9">
              <w:rPr>
                <w:color w:val="000000"/>
                <w:sz w:val="16"/>
                <w:szCs w:val="16"/>
              </w:rPr>
              <w:t> </w:t>
            </w:r>
          </w:p>
        </w:tc>
        <w:tc>
          <w:tcPr>
            <w:tcW w:w="1438" w:type="dxa"/>
            <w:tcBorders>
              <w:top w:val="nil"/>
              <w:left w:val="nil"/>
              <w:bottom w:val="nil"/>
              <w:right w:val="nil"/>
            </w:tcBorders>
            <w:shd w:val="clear" w:color="000000" w:fill="C5D9F1"/>
            <w:vAlign w:val="center"/>
            <w:hideMark/>
          </w:tcPr>
          <w:p w14:paraId="4D1CA887" w14:textId="77777777" w:rsidR="00561B47" w:rsidRPr="00FE1E2F" w:rsidRDefault="00561B47" w:rsidP="00561B47">
            <w:pPr>
              <w:jc w:val="center"/>
              <w:rPr>
                <w:b/>
                <w:bCs/>
                <w:sz w:val="16"/>
                <w:szCs w:val="16"/>
              </w:rPr>
            </w:pPr>
            <w:r w:rsidRPr="00FE1E2F">
              <w:rPr>
                <w:b/>
                <w:bCs/>
                <w:sz w:val="16"/>
                <w:szCs w:val="16"/>
              </w:rPr>
              <w:t>Budget 2016</w:t>
            </w:r>
            <w:r w:rsidRPr="00FE1E2F">
              <w:rPr>
                <w:b/>
                <w:bCs/>
                <w:sz w:val="16"/>
                <w:szCs w:val="16"/>
              </w:rPr>
              <w:noBreakHyphen/>
              <w:t>2017 approuvé</w:t>
            </w:r>
          </w:p>
        </w:tc>
        <w:tc>
          <w:tcPr>
            <w:tcW w:w="1438" w:type="dxa"/>
            <w:tcBorders>
              <w:top w:val="nil"/>
              <w:left w:val="nil"/>
              <w:bottom w:val="nil"/>
              <w:right w:val="nil"/>
            </w:tcBorders>
            <w:shd w:val="clear" w:color="000000" w:fill="C5D9F1"/>
            <w:vAlign w:val="center"/>
            <w:hideMark/>
          </w:tcPr>
          <w:p w14:paraId="5F7A21FA" w14:textId="77777777" w:rsidR="00561B47" w:rsidRPr="00FE1E2F" w:rsidRDefault="00561B47" w:rsidP="00561B47">
            <w:pPr>
              <w:jc w:val="center"/>
              <w:rPr>
                <w:b/>
                <w:bCs/>
                <w:sz w:val="16"/>
                <w:szCs w:val="16"/>
              </w:rPr>
            </w:pPr>
            <w:r w:rsidRPr="00FE1E2F">
              <w:rPr>
                <w:b/>
                <w:bCs/>
                <w:sz w:val="16"/>
                <w:szCs w:val="16"/>
              </w:rPr>
              <w:t>Budget 2016</w:t>
            </w:r>
            <w:r w:rsidRPr="00FE1E2F">
              <w:rPr>
                <w:b/>
                <w:bCs/>
                <w:sz w:val="16"/>
                <w:szCs w:val="16"/>
              </w:rPr>
              <w:noBreakHyphen/>
              <w:t>2017 après virements</w:t>
            </w:r>
          </w:p>
        </w:tc>
        <w:tc>
          <w:tcPr>
            <w:tcW w:w="1438" w:type="dxa"/>
            <w:tcBorders>
              <w:top w:val="nil"/>
              <w:left w:val="nil"/>
              <w:bottom w:val="nil"/>
              <w:right w:val="nil"/>
            </w:tcBorders>
            <w:shd w:val="clear" w:color="000000" w:fill="C5D9F1"/>
            <w:vAlign w:val="center"/>
            <w:hideMark/>
          </w:tcPr>
          <w:p w14:paraId="6B7652FA" w14:textId="77777777" w:rsidR="00561B47" w:rsidRPr="00FE1E2F" w:rsidRDefault="00561B47" w:rsidP="00561B47">
            <w:pPr>
              <w:jc w:val="center"/>
              <w:rPr>
                <w:b/>
                <w:bCs/>
                <w:sz w:val="16"/>
                <w:szCs w:val="16"/>
              </w:rPr>
            </w:pPr>
            <w:r w:rsidRPr="00FE1E2F">
              <w:rPr>
                <w:b/>
                <w:bCs/>
                <w:sz w:val="16"/>
                <w:szCs w:val="16"/>
              </w:rPr>
              <w:t>Dépenses 2016*</w:t>
            </w:r>
          </w:p>
        </w:tc>
        <w:tc>
          <w:tcPr>
            <w:tcW w:w="1438" w:type="dxa"/>
            <w:tcBorders>
              <w:top w:val="nil"/>
              <w:left w:val="nil"/>
              <w:bottom w:val="nil"/>
              <w:right w:val="nil"/>
            </w:tcBorders>
            <w:shd w:val="clear" w:color="000000" w:fill="C5D9F1"/>
            <w:vAlign w:val="center"/>
            <w:hideMark/>
          </w:tcPr>
          <w:p w14:paraId="355A34E3" w14:textId="77777777" w:rsidR="00561B47" w:rsidRPr="00FE1E2F" w:rsidRDefault="00561B47" w:rsidP="00561B47">
            <w:pPr>
              <w:jc w:val="center"/>
              <w:rPr>
                <w:b/>
                <w:bCs/>
                <w:sz w:val="16"/>
                <w:szCs w:val="16"/>
              </w:rPr>
            </w:pPr>
            <w:r w:rsidRPr="00FE1E2F">
              <w:rPr>
                <w:b/>
                <w:bCs/>
                <w:sz w:val="16"/>
                <w:szCs w:val="16"/>
              </w:rPr>
              <w:t>Taux d’utilisation (%)</w:t>
            </w:r>
          </w:p>
        </w:tc>
      </w:tr>
      <w:tr w:rsidR="00561B47" w:rsidRPr="00FE1E2F" w14:paraId="0891AF83" w14:textId="77777777" w:rsidTr="00561B47">
        <w:trPr>
          <w:cantSplit/>
          <w:jc w:val="center"/>
        </w:trPr>
        <w:tc>
          <w:tcPr>
            <w:tcW w:w="2470" w:type="dxa"/>
            <w:tcBorders>
              <w:top w:val="nil"/>
              <w:left w:val="nil"/>
              <w:bottom w:val="nil"/>
              <w:right w:val="nil"/>
            </w:tcBorders>
            <w:shd w:val="clear" w:color="auto" w:fill="auto"/>
            <w:noWrap/>
            <w:vAlign w:val="center"/>
            <w:hideMark/>
          </w:tcPr>
          <w:p w14:paraId="34A0E62B" w14:textId="77777777" w:rsidR="00561B47" w:rsidRPr="00FE1E2F" w:rsidRDefault="00561B47" w:rsidP="00561B47">
            <w:pPr>
              <w:rPr>
                <w:color w:val="000000"/>
                <w:sz w:val="16"/>
                <w:szCs w:val="16"/>
              </w:rPr>
            </w:pPr>
            <w:r w:rsidRPr="00FE1E2F">
              <w:rPr>
                <w:sz w:val="16"/>
                <w:szCs w:val="16"/>
              </w:rPr>
              <w:t>Ressources en personnel</w:t>
            </w:r>
            <w:r w:rsidRPr="00FE1E2F">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1BAAD9C3" w14:textId="6CD5FED3" w:rsidR="00561B47" w:rsidRPr="00FE1E2F" w:rsidRDefault="00A67FE6" w:rsidP="00561B47">
            <w:pPr>
              <w:jc w:val="center"/>
              <w:rPr>
                <w:color w:val="000000"/>
                <w:sz w:val="16"/>
                <w:szCs w:val="16"/>
              </w:rPr>
            </w:pPr>
            <w:r w:rsidRPr="00FE1E2F">
              <w:rPr>
                <w:color w:val="000000"/>
                <w:sz w:val="16"/>
                <w:szCs w:val="16"/>
              </w:rPr>
              <w:t>43 948</w:t>
            </w:r>
          </w:p>
        </w:tc>
        <w:tc>
          <w:tcPr>
            <w:tcW w:w="1438" w:type="dxa"/>
            <w:tcBorders>
              <w:top w:val="nil"/>
              <w:left w:val="nil"/>
              <w:bottom w:val="nil"/>
              <w:right w:val="nil"/>
            </w:tcBorders>
            <w:shd w:val="clear" w:color="auto" w:fill="auto"/>
            <w:vAlign w:val="center"/>
            <w:hideMark/>
          </w:tcPr>
          <w:p w14:paraId="0470D507" w14:textId="1C67EEA8" w:rsidR="00561B47" w:rsidRPr="00FE1E2F" w:rsidRDefault="00A67FE6" w:rsidP="00561B47">
            <w:pPr>
              <w:jc w:val="center"/>
              <w:rPr>
                <w:color w:val="000000"/>
                <w:sz w:val="16"/>
                <w:szCs w:val="16"/>
              </w:rPr>
            </w:pPr>
            <w:r w:rsidRPr="00FE1E2F">
              <w:rPr>
                <w:color w:val="000000"/>
                <w:sz w:val="16"/>
                <w:szCs w:val="16"/>
              </w:rPr>
              <w:t>41 050</w:t>
            </w:r>
          </w:p>
        </w:tc>
        <w:tc>
          <w:tcPr>
            <w:tcW w:w="1438" w:type="dxa"/>
            <w:tcBorders>
              <w:top w:val="nil"/>
              <w:left w:val="nil"/>
              <w:bottom w:val="nil"/>
              <w:right w:val="nil"/>
            </w:tcBorders>
            <w:shd w:val="clear" w:color="auto" w:fill="auto"/>
            <w:vAlign w:val="center"/>
            <w:hideMark/>
          </w:tcPr>
          <w:p w14:paraId="77A91015" w14:textId="76319CC4" w:rsidR="00561B47" w:rsidRPr="00FE1E2F" w:rsidRDefault="00A67FE6" w:rsidP="00561B47">
            <w:pPr>
              <w:jc w:val="center"/>
              <w:rPr>
                <w:color w:val="000000"/>
                <w:sz w:val="16"/>
                <w:szCs w:val="16"/>
              </w:rPr>
            </w:pPr>
            <w:r w:rsidRPr="00FE1E2F">
              <w:rPr>
                <w:color w:val="000000"/>
                <w:sz w:val="16"/>
                <w:szCs w:val="16"/>
              </w:rPr>
              <w:t>16 769</w:t>
            </w:r>
          </w:p>
        </w:tc>
        <w:tc>
          <w:tcPr>
            <w:tcW w:w="1438" w:type="dxa"/>
            <w:tcBorders>
              <w:top w:val="nil"/>
              <w:left w:val="nil"/>
              <w:bottom w:val="nil"/>
              <w:right w:val="nil"/>
            </w:tcBorders>
            <w:shd w:val="clear" w:color="auto" w:fill="auto"/>
            <w:vAlign w:val="center"/>
            <w:hideMark/>
          </w:tcPr>
          <w:p w14:paraId="2BDAEBB8" w14:textId="113C6EAD" w:rsidR="00561B47" w:rsidRPr="00FE1E2F" w:rsidRDefault="00561B47" w:rsidP="00A67FE6">
            <w:pPr>
              <w:jc w:val="center"/>
              <w:rPr>
                <w:color w:val="000000"/>
                <w:sz w:val="16"/>
                <w:szCs w:val="16"/>
              </w:rPr>
            </w:pPr>
            <w:r w:rsidRPr="00FE1E2F">
              <w:rPr>
                <w:color w:val="000000"/>
                <w:sz w:val="16"/>
                <w:szCs w:val="16"/>
              </w:rPr>
              <w:t>4</w:t>
            </w:r>
            <w:r w:rsidR="00A67FE6" w:rsidRPr="00FE1E2F">
              <w:rPr>
                <w:color w:val="000000"/>
                <w:sz w:val="16"/>
                <w:szCs w:val="16"/>
              </w:rPr>
              <w:t>8</w:t>
            </w:r>
            <w:r w:rsidRPr="00FE1E2F">
              <w:rPr>
                <w:color w:val="000000"/>
                <w:sz w:val="16"/>
                <w:szCs w:val="16"/>
              </w:rPr>
              <w:t>%</w:t>
            </w:r>
          </w:p>
        </w:tc>
      </w:tr>
      <w:tr w:rsidR="00561B47" w:rsidRPr="00FE1E2F" w14:paraId="76FEE242" w14:textId="77777777" w:rsidTr="00561B47">
        <w:trPr>
          <w:cantSplit/>
          <w:jc w:val="center"/>
        </w:trPr>
        <w:tc>
          <w:tcPr>
            <w:tcW w:w="2470" w:type="dxa"/>
            <w:tcBorders>
              <w:top w:val="nil"/>
              <w:left w:val="nil"/>
              <w:bottom w:val="nil"/>
              <w:right w:val="nil"/>
            </w:tcBorders>
            <w:shd w:val="clear" w:color="auto" w:fill="auto"/>
            <w:noWrap/>
            <w:vAlign w:val="center"/>
            <w:hideMark/>
          </w:tcPr>
          <w:p w14:paraId="5806FADF" w14:textId="77777777" w:rsidR="00561B47" w:rsidRPr="00FE1E2F" w:rsidRDefault="00561B47" w:rsidP="00561B47">
            <w:pPr>
              <w:rPr>
                <w:color w:val="000000"/>
                <w:sz w:val="16"/>
                <w:szCs w:val="16"/>
              </w:rPr>
            </w:pPr>
            <w:r w:rsidRPr="00FE1E2F">
              <w:rPr>
                <w:sz w:val="16"/>
                <w:szCs w:val="16"/>
              </w:rPr>
              <w:t>Autres ressources</w:t>
            </w:r>
            <w:r w:rsidRPr="00FE1E2F">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1ED32564" w14:textId="297B27B7" w:rsidR="00561B47" w:rsidRPr="00FE1E2F" w:rsidRDefault="00561B47" w:rsidP="00A67FE6">
            <w:pPr>
              <w:jc w:val="center"/>
              <w:rPr>
                <w:color w:val="000000"/>
                <w:sz w:val="16"/>
                <w:szCs w:val="16"/>
              </w:rPr>
            </w:pPr>
            <w:r w:rsidRPr="00FE1E2F">
              <w:rPr>
                <w:color w:val="000000"/>
                <w:sz w:val="16"/>
                <w:szCs w:val="16"/>
              </w:rPr>
              <w:t>1</w:t>
            </w:r>
            <w:r w:rsidR="00A67FE6" w:rsidRPr="00FE1E2F">
              <w:rPr>
                <w:color w:val="000000"/>
                <w:sz w:val="16"/>
                <w:szCs w:val="16"/>
              </w:rPr>
              <w:t>4</w:t>
            </w:r>
            <w:r w:rsidRPr="00FE1E2F">
              <w:rPr>
                <w:color w:val="000000"/>
                <w:sz w:val="16"/>
                <w:szCs w:val="16"/>
              </w:rPr>
              <w:t> </w:t>
            </w:r>
            <w:r w:rsidR="00A67FE6" w:rsidRPr="00FE1E2F">
              <w:rPr>
                <w:color w:val="000000"/>
                <w:sz w:val="16"/>
                <w:szCs w:val="16"/>
              </w:rPr>
              <w:t>159</w:t>
            </w:r>
          </w:p>
        </w:tc>
        <w:tc>
          <w:tcPr>
            <w:tcW w:w="1438" w:type="dxa"/>
            <w:tcBorders>
              <w:top w:val="nil"/>
              <w:left w:val="nil"/>
              <w:bottom w:val="nil"/>
              <w:right w:val="nil"/>
            </w:tcBorders>
            <w:shd w:val="clear" w:color="auto" w:fill="auto"/>
            <w:vAlign w:val="center"/>
            <w:hideMark/>
          </w:tcPr>
          <w:p w14:paraId="254E21C8" w14:textId="4D129E91" w:rsidR="00561B47" w:rsidRPr="00FE1E2F" w:rsidRDefault="00561B47" w:rsidP="00A67FE6">
            <w:pPr>
              <w:jc w:val="center"/>
              <w:rPr>
                <w:color w:val="000000"/>
                <w:sz w:val="16"/>
                <w:szCs w:val="16"/>
              </w:rPr>
            </w:pPr>
            <w:r w:rsidRPr="00FE1E2F">
              <w:rPr>
                <w:color w:val="000000"/>
                <w:sz w:val="16"/>
                <w:szCs w:val="16"/>
              </w:rPr>
              <w:t>1</w:t>
            </w:r>
            <w:r w:rsidR="00A67FE6" w:rsidRPr="00FE1E2F">
              <w:rPr>
                <w:color w:val="000000"/>
                <w:sz w:val="16"/>
                <w:szCs w:val="16"/>
              </w:rPr>
              <w:t>7</w:t>
            </w:r>
            <w:r w:rsidRPr="00FE1E2F">
              <w:rPr>
                <w:color w:val="000000"/>
                <w:sz w:val="16"/>
                <w:szCs w:val="16"/>
              </w:rPr>
              <w:t> </w:t>
            </w:r>
            <w:r w:rsidR="00A67FE6" w:rsidRPr="00FE1E2F">
              <w:rPr>
                <w:color w:val="000000"/>
                <w:sz w:val="16"/>
                <w:szCs w:val="16"/>
              </w:rPr>
              <w:t>012</w:t>
            </w:r>
          </w:p>
        </w:tc>
        <w:tc>
          <w:tcPr>
            <w:tcW w:w="1438" w:type="dxa"/>
            <w:tcBorders>
              <w:top w:val="nil"/>
              <w:left w:val="nil"/>
              <w:bottom w:val="nil"/>
              <w:right w:val="nil"/>
            </w:tcBorders>
            <w:shd w:val="clear" w:color="auto" w:fill="auto"/>
            <w:vAlign w:val="center"/>
            <w:hideMark/>
          </w:tcPr>
          <w:p w14:paraId="4172AED4" w14:textId="6A5B7B8B" w:rsidR="00561B47" w:rsidRPr="00FE1E2F" w:rsidRDefault="00A67FE6" w:rsidP="00A67FE6">
            <w:pPr>
              <w:jc w:val="center"/>
              <w:rPr>
                <w:color w:val="000000"/>
                <w:sz w:val="16"/>
                <w:szCs w:val="16"/>
              </w:rPr>
            </w:pPr>
            <w:r w:rsidRPr="00FE1E2F">
              <w:rPr>
                <w:color w:val="000000"/>
                <w:sz w:val="16"/>
                <w:szCs w:val="16"/>
              </w:rPr>
              <w:t>6 970</w:t>
            </w:r>
          </w:p>
        </w:tc>
        <w:tc>
          <w:tcPr>
            <w:tcW w:w="1438" w:type="dxa"/>
            <w:tcBorders>
              <w:top w:val="nil"/>
              <w:left w:val="nil"/>
              <w:bottom w:val="nil"/>
              <w:right w:val="nil"/>
            </w:tcBorders>
            <w:shd w:val="clear" w:color="auto" w:fill="auto"/>
            <w:vAlign w:val="center"/>
            <w:hideMark/>
          </w:tcPr>
          <w:p w14:paraId="67A9C531" w14:textId="6DD14592" w:rsidR="00561B47" w:rsidRPr="00FE1E2F" w:rsidRDefault="00A67FE6" w:rsidP="00561B47">
            <w:pPr>
              <w:jc w:val="center"/>
              <w:rPr>
                <w:color w:val="000000"/>
                <w:sz w:val="16"/>
                <w:szCs w:val="16"/>
              </w:rPr>
            </w:pPr>
            <w:r w:rsidRPr="00FE1E2F">
              <w:rPr>
                <w:color w:val="000000"/>
                <w:sz w:val="16"/>
                <w:szCs w:val="16"/>
              </w:rPr>
              <w:t>4</w:t>
            </w:r>
            <w:r w:rsidR="00561B47" w:rsidRPr="00FE1E2F">
              <w:rPr>
                <w:color w:val="000000"/>
                <w:sz w:val="16"/>
                <w:szCs w:val="16"/>
              </w:rPr>
              <w:t>1%</w:t>
            </w:r>
          </w:p>
        </w:tc>
      </w:tr>
      <w:tr w:rsidR="00561B47" w:rsidRPr="00FE1E2F" w14:paraId="7C420B70" w14:textId="77777777" w:rsidTr="00561B47">
        <w:trPr>
          <w:cantSplit/>
          <w:jc w:val="center"/>
        </w:trPr>
        <w:tc>
          <w:tcPr>
            <w:tcW w:w="2470" w:type="dxa"/>
            <w:tcBorders>
              <w:top w:val="nil"/>
              <w:left w:val="nil"/>
              <w:bottom w:val="nil"/>
              <w:right w:val="nil"/>
            </w:tcBorders>
            <w:shd w:val="clear" w:color="000000" w:fill="C5D9F1"/>
            <w:noWrap/>
            <w:vAlign w:val="center"/>
            <w:hideMark/>
          </w:tcPr>
          <w:p w14:paraId="2B3AE8AD" w14:textId="77777777" w:rsidR="00561B47" w:rsidRPr="00FE1E2F" w:rsidRDefault="00561B47" w:rsidP="00561B47">
            <w:pPr>
              <w:jc w:val="right"/>
              <w:rPr>
                <w:b/>
                <w:bCs/>
                <w:color w:val="000000"/>
                <w:sz w:val="16"/>
                <w:szCs w:val="16"/>
              </w:rPr>
            </w:pPr>
            <w:r w:rsidRPr="00FE1E2F">
              <w:rPr>
                <w:b/>
                <w:bCs/>
                <w:color w:val="000000"/>
                <w:sz w:val="16"/>
                <w:szCs w:val="16"/>
              </w:rPr>
              <w:t>Total</w:t>
            </w:r>
          </w:p>
        </w:tc>
        <w:tc>
          <w:tcPr>
            <w:tcW w:w="1438" w:type="dxa"/>
            <w:tcBorders>
              <w:top w:val="nil"/>
              <w:left w:val="nil"/>
              <w:bottom w:val="nil"/>
              <w:right w:val="nil"/>
            </w:tcBorders>
            <w:shd w:val="clear" w:color="000000" w:fill="C5D9F1"/>
            <w:vAlign w:val="center"/>
            <w:hideMark/>
          </w:tcPr>
          <w:p w14:paraId="0DFD0181" w14:textId="02BBF533" w:rsidR="00561B47" w:rsidRPr="00FE1E2F" w:rsidRDefault="00A67FE6" w:rsidP="00A67FE6">
            <w:pPr>
              <w:jc w:val="center"/>
              <w:rPr>
                <w:b/>
                <w:bCs/>
                <w:color w:val="000000"/>
                <w:sz w:val="16"/>
                <w:szCs w:val="16"/>
              </w:rPr>
            </w:pPr>
            <w:r w:rsidRPr="00FE1E2F">
              <w:rPr>
                <w:b/>
                <w:bCs/>
                <w:color w:val="000000"/>
                <w:sz w:val="16"/>
                <w:szCs w:val="16"/>
              </w:rPr>
              <w:t>58</w:t>
            </w:r>
            <w:r w:rsidR="00561B47" w:rsidRPr="00FE1E2F">
              <w:rPr>
                <w:b/>
                <w:bCs/>
                <w:color w:val="000000"/>
                <w:sz w:val="16"/>
                <w:szCs w:val="16"/>
              </w:rPr>
              <w:t> </w:t>
            </w:r>
            <w:r w:rsidRPr="00FE1E2F">
              <w:rPr>
                <w:b/>
                <w:bCs/>
                <w:color w:val="000000"/>
                <w:sz w:val="16"/>
                <w:szCs w:val="16"/>
              </w:rPr>
              <w:t>106</w:t>
            </w:r>
          </w:p>
        </w:tc>
        <w:tc>
          <w:tcPr>
            <w:tcW w:w="1438" w:type="dxa"/>
            <w:tcBorders>
              <w:top w:val="nil"/>
              <w:left w:val="nil"/>
              <w:bottom w:val="nil"/>
              <w:right w:val="nil"/>
            </w:tcBorders>
            <w:shd w:val="clear" w:color="000000" w:fill="C5D9F1"/>
            <w:vAlign w:val="center"/>
            <w:hideMark/>
          </w:tcPr>
          <w:p w14:paraId="3E2F5E5F" w14:textId="53526525" w:rsidR="00561B47" w:rsidRPr="00FE1E2F" w:rsidRDefault="00A67FE6" w:rsidP="00A67FE6">
            <w:pPr>
              <w:jc w:val="center"/>
              <w:rPr>
                <w:b/>
                <w:bCs/>
                <w:color w:val="000000"/>
                <w:sz w:val="16"/>
                <w:szCs w:val="16"/>
              </w:rPr>
            </w:pPr>
            <w:r w:rsidRPr="00FE1E2F">
              <w:rPr>
                <w:b/>
                <w:bCs/>
                <w:color w:val="000000"/>
                <w:sz w:val="16"/>
                <w:szCs w:val="16"/>
              </w:rPr>
              <w:t>58</w:t>
            </w:r>
            <w:r w:rsidR="00561B47" w:rsidRPr="00FE1E2F">
              <w:rPr>
                <w:b/>
                <w:bCs/>
                <w:color w:val="000000"/>
                <w:sz w:val="16"/>
                <w:szCs w:val="16"/>
              </w:rPr>
              <w:t> </w:t>
            </w:r>
            <w:r w:rsidRPr="00FE1E2F">
              <w:rPr>
                <w:b/>
                <w:bCs/>
                <w:color w:val="000000"/>
                <w:sz w:val="16"/>
                <w:szCs w:val="16"/>
              </w:rPr>
              <w:t>062</w:t>
            </w:r>
          </w:p>
        </w:tc>
        <w:tc>
          <w:tcPr>
            <w:tcW w:w="1438" w:type="dxa"/>
            <w:tcBorders>
              <w:top w:val="nil"/>
              <w:left w:val="nil"/>
              <w:bottom w:val="nil"/>
              <w:right w:val="nil"/>
            </w:tcBorders>
            <w:shd w:val="clear" w:color="000000" w:fill="C5D9F1"/>
            <w:vAlign w:val="center"/>
            <w:hideMark/>
          </w:tcPr>
          <w:p w14:paraId="3A44384E" w14:textId="7BB545A5" w:rsidR="00561B47" w:rsidRPr="00FE1E2F" w:rsidRDefault="00A67FE6" w:rsidP="00A67FE6">
            <w:pPr>
              <w:jc w:val="center"/>
              <w:rPr>
                <w:b/>
                <w:bCs/>
                <w:color w:val="000000"/>
                <w:sz w:val="16"/>
                <w:szCs w:val="16"/>
              </w:rPr>
            </w:pPr>
            <w:r w:rsidRPr="00FE1E2F">
              <w:rPr>
                <w:b/>
                <w:bCs/>
                <w:color w:val="000000"/>
                <w:sz w:val="16"/>
                <w:szCs w:val="16"/>
              </w:rPr>
              <w:t>26</w:t>
            </w:r>
            <w:r w:rsidR="00561B47" w:rsidRPr="00FE1E2F">
              <w:rPr>
                <w:b/>
                <w:bCs/>
                <w:color w:val="000000"/>
                <w:sz w:val="16"/>
                <w:szCs w:val="16"/>
              </w:rPr>
              <w:t> </w:t>
            </w:r>
            <w:r w:rsidRPr="00FE1E2F">
              <w:rPr>
                <w:b/>
                <w:bCs/>
                <w:color w:val="000000"/>
                <w:sz w:val="16"/>
                <w:szCs w:val="16"/>
              </w:rPr>
              <w:t>739</w:t>
            </w:r>
          </w:p>
        </w:tc>
        <w:tc>
          <w:tcPr>
            <w:tcW w:w="1438" w:type="dxa"/>
            <w:tcBorders>
              <w:top w:val="nil"/>
              <w:left w:val="nil"/>
              <w:bottom w:val="nil"/>
              <w:right w:val="nil"/>
            </w:tcBorders>
            <w:shd w:val="clear" w:color="000000" w:fill="C5D9F1"/>
            <w:vAlign w:val="center"/>
            <w:hideMark/>
          </w:tcPr>
          <w:p w14:paraId="6630E159" w14:textId="53B39C62" w:rsidR="00561B47" w:rsidRPr="00FE1E2F" w:rsidRDefault="00561B47" w:rsidP="00A67FE6">
            <w:pPr>
              <w:jc w:val="center"/>
              <w:rPr>
                <w:b/>
                <w:bCs/>
                <w:color w:val="000000"/>
                <w:sz w:val="16"/>
                <w:szCs w:val="16"/>
              </w:rPr>
            </w:pPr>
            <w:r w:rsidRPr="00FE1E2F">
              <w:rPr>
                <w:b/>
                <w:bCs/>
                <w:color w:val="000000"/>
                <w:sz w:val="16"/>
                <w:szCs w:val="16"/>
              </w:rPr>
              <w:t>4</w:t>
            </w:r>
            <w:r w:rsidR="00A67FE6" w:rsidRPr="00FE1E2F">
              <w:rPr>
                <w:b/>
                <w:bCs/>
                <w:color w:val="000000"/>
                <w:sz w:val="16"/>
                <w:szCs w:val="16"/>
              </w:rPr>
              <w:t>6</w:t>
            </w:r>
            <w:r w:rsidRPr="00FE1E2F">
              <w:rPr>
                <w:b/>
                <w:bCs/>
                <w:color w:val="000000"/>
                <w:sz w:val="16"/>
                <w:szCs w:val="16"/>
              </w:rPr>
              <w:t>%</w:t>
            </w:r>
          </w:p>
        </w:tc>
      </w:tr>
      <w:tr w:rsidR="00561B47" w:rsidRPr="00266EB9" w14:paraId="68A45C3F" w14:textId="77777777" w:rsidTr="00561B47">
        <w:trPr>
          <w:cantSplit/>
          <w:jc w:val="center"/>
        </w:trPr>
        <w:tc>
          <w:tcPr>
            <w:tcW w:w="8222" w:type="dxa"/>
            <w:gridSpan w:val="5"/>
            <w:tcBorders>
              <w:top w:val="nil"/>
              <w:left w:val="nil"/>
              <w:bottom w:val="nil"/>
              <w:right w:val="nil"/>
            </w:tcBorders>
            <w:shd w:val="clear" w:color="auto" w:fill="auto"/>
            <w:noWrap/>
            <w:vAlign w:val="center"/>
            <w:hideMark/>
          </w:tcPr>
          <w:p w14:paraId="0CBDCE69" w14:textId="77777777" w:rsidR="00561B47" w:rsidRPr="00266EB9" w:rsidRDefault="00561B47" w:rsidP="00561B47">
            <w:pPr>
              <w:rPr>
                <w:i/>
                <w:iCs/>
                <w:color w:val="000000"/>
                <w:sz w:val="16"/>
                <w:szCs w:val="16"/>
              </w:rPr>
            </w:pPr>
            <w:r w:rsidRPr="00FE1E2F">
              <w:rPr>
                <w:i/>
                <w:iCs/>
                <w:sz w:val="16"/>
                <w:szCs w:val="16"/>
              </w:rPr>
              <w:t>*Les chiffres des dépenses pour 2016 sont préliminaires, sous réserve d’audit par les vérificateurs externes des comptes</w:t>
            </w:r>
          </w:p>
        </w:tc>
      </w:tr>
    </w:tbl>
    <w:p w14:paraId="0473CF62" w14:textId="77777777" w:rsidR="00561B47" w:rsidRPr="00266EB9" w:rsidRDefault="00561B47" w:rsidP="00561B47">
      <w:pPr>
        <w:pStyle w:val="NormalWeb"/>
        <w:keepNext/>
        <w:keepLines/>
        <w:spacing w:before="0" w:beforeAutospacing="0" w:after="0" w:afterAutospacing="0"/>
        <w:jc w:val="center"/>
        <w:rPr>
          <w:i/>
          <w:iCs/>
          <w:color w:val="000000"/>
          <w:sz w:val="20"/>
          <w:szCs w:val="20"/>
        </w:rPr>
      </w:pPr>
    </w:p>
    <w:p w14:paraId="69E784B1" w14:textId="3437D77C" w:rsidR="00561B47" w:rsidRPr="00266EB9" w:rsidRDefault="00561B47" w:rsidP="00561B47">
      <w:pPr>
        <w:keepNext/>
        <w:keepLines/>
        <w:ind w:left="567" w:right="424"/>
        <w:rPr>
          <w:i/>
          <w:sz w:val="16"/>
          <w:szCs w:val="16"/>
        </w:rPr>
      </w:pPr>
      <w:r w:rsidRPr="00266EB9">
        <w:rPr>
          <w:i/>
          <w:sz w:val="16"/>
          <w:szCs w:val="16"/>
        </w:rPr>
        <w:t>NOTE : Le budget 2016</w:t>
      </w:r>
      <w:r>
        <w:rPr>
          <w:i/>
          <w:sz w:val="16"/>
          <w:szCs w:val="16"/>
        </w:rPr>
        <w:noBreakHyphen/>
      </w:r>
      <w:r w:rsidRPr="00266EB9">
        <w:rPr>
          <w:i/>
          <w:sz w:val="16"/>
          <w:szCs w:val="16"/>
        </w:rPr>
        <w:t xml:space="preserve">2017 après virements tient compte des virements effectués </w:t>
      </w:r>
      <w:r w:rsidR="00FE1E2F">
        <w:rPr>
          <w:i/>
          <w:sz w:val="16"/>
          <w:szCs w:val="16"/>
        </w:rPr>
        <w:t>au 8 mars </w:t>
      </w:r>
      <w:r w:rsidR="00945B76">
        <w:rPr>
          <w:i/>
          <w:sz w:val="16"/>
          <w:szCs w:val="16"/>
        </w:rPr>
        <w:t>2017</w:t>
      </w:r>
      <w:r w:rsidRPr="00266EB9">
        <w:rPr>
          <w:i/>
          <w:sz w:val="16"/>
          <w:szCs w:val="16"/>
        </w:rPr>
        <w:t xml:space="preserve"> pour répondre aux besoins durant l’exercice biennal 2016</w:t>
      </w:r>
      <w:r>
        <w:rPr>
          <w:i/>
          <w:sz w:val="16"/>
          <w:szCs w:val="16"/>
        </w:rPr>
        <w:noBreakHyphen/>
      </w:r>
      <w:r w:rsidRPr="00266EB9">
        <w:rPr>
          <w:i/>
          <w:sz w:val="16"/>
          <w:szCs w:val="16"/>
        </w:rPr>
        <w:t>2017 conformément à l’article 5.5 du Règlement financier.</w:t>
      </w:r>
    </w:p>
    <w:p w14:paraId="71DA6CF0" w14:textId="77777777" w:rsidR="00561B47" w:rsidRPr="00266EB9" w:rsidRDefault="00561B47" w:rsidP="00561B47">
      <w:pPr>
        <w:rPr>
          <w:sz w:val="20"/>
        </w:rPr>
      </w:pPr>
    </w:p>
    <w:p w14:paraId="63922FF1" w14:textId="77777777" w:rsidR="00561B47" w:rsidRPr="00266EB9" w:rsidRDefault="00561B47" w:rsidP="00561B47">
      <w:pPr>
        <w:rPr>
          <w:sz w:val="20"/>
        </w:rPr>
      </w:pPr>
    </w:p>
    <w:p w14:paraId="7A461B05" w14:textId="77777777" w:rsidR="00561B47" w:rsidRPr="00266EB9" w:rsidRDefault="00561B47" w:rsidP="00561B47">
      <w:pPr>
        <w:keepNext/>
        <w:jc w:val="both"/>
        <w:rPr>
          <w:sz w:val="20"/>
          <w:u w:val="single"/>
        </w:rPr>
      </w:pPr>
      <w:r w:rsidRPr="00266EB9">
        <w:rPr>
          <w:sz w:val="20"/>
        </w:rPr>
        <w:t>A.</w:t>
      </w:r>
      <w:r w:rsidRPr="00266EB9">
        <w:rPr>
          <w:sz w:val="20"/>
        </w:rPr>
        <w:tab/>
      </w:r>
      <w:r w:rsidRPr="00266EB9">
        <w:rPr>
          <w:sz w:val="20"/>
          <w:u w:val="single"/>
        </w:rPr>
        <w:t>Budget 2016</w:t>
      </w:r>
      <w:r>
        <w:rPr>
          <w:sz w:val="20"/>
          <w:u w:val="single"/>
        </w:rPr>
        <w:noBreakHyphen/>
      </w:r>
      <w:r w:rsidRPr="00266EB9">
        <w:rPr>
          <w:sz w:val="20"/>
          <w:u w:val="single"/>
        </w:rPr>
        <w:t>2017 après virements</w:t>
      </w:r>
    </w:p>
    <w:p w14:paraId="6E879349" w14:textId="77777777" w:rsidR="00561B47" w:rsidRPr="00266EB9" w:rsidRDefault="00561B47" w:rsidP="00561B47">
      <w:pPr>
        <w:keepNext/>
        <w:keepLines/>
        <w:jc w:val="both"/>
        <w:rPr>
          <w:sz w:val="20"/>
        </w:rPr>
      </w:pPr>
    </w:p>
    <w:p w14:paraId="622A5D1D" w14:textId="77777777" w:rsidR="00561B47" w:rsidRPr="00266EB9" w:rsidRDefault="00561B47" w:rsidP="00D544B8">
      <w:pPr>
        <w:pStyle w:val="ListParagraph"/>
        <w:keepNext/>
        <w:keepLines/>
        <w:numPr>
          <w:ilvl w:val="0"/>
          <w:numId w:val="41"/>
        </w:numPr>
        <w:ind w:left="0" w:firstLine="0"/>
        <w:jc w:val="both"/>
        <w:rPr>
          <w:rFonts w:ascii="Arial" w:hAnsi="Arial" w:cs="Arial"/>
          <w:sz w:val="20"/>
        </w:rPr>
      </w:pPr>
      <w:r w:rsidRPr="00266EB9">
        <w:rPr>
          <w:rFonts w:ascii="Arial" w:hAnsi="Arial" w:cs="Arial"/>
          <w:sz w:val="20"/>
        </w:rPr>
        <w:t>Le budget après virements traduisait essentiellement une redistribution des ressources depuis les ressources en personnel vers les autres ressources, afin de permettre une dotation plus souple et modulable pour les opérations de Madrid, dans le cadre de l’initiative de réforme, y compris l’expansion du programme de bourses dans le cadre du système de Madrid, comme indiqué sous le résultat escompté II.6 (Utilisation élargie et plus efficace du système de Madrid).</w:t>
      </w:r>
    </w:p>
    <w:p w14:paraId="0E431CA5" w14:textId="77777777" w:rsidR="00561B47" w:rsidRPr="00266EB9" w:rsidRDefault="00561B47" w:rsidP="00561B47">
      <w:pPr>
        <w:jc w:val="both"/>
        <w:rPr>
          <w:sz w:val="20"/>
        </w:rPr>
      </w:pPr>
    </w:p>
    <w:p w14:paraId="3FAEAA20" w14:textId="77777777" w:rsidR="00561B47" w:rsidRPr="00266EB9" w:rsidRDefault="00561B47" w:rsidP="00561B47">
      <w:pPr>
        <w:keepNext/>
        <w:jc w:val="both"/>
        <w:rPr>
          <w:sz w:val="20"/>
          <w:u w:val="single"/>
        </w:rPr>
      </w:pPr>
      <w:r w:rsidRPr="00266EB9">
        <w:rPr>
          <w:sz w:val="20"/>
        </w:rPr>
        <w:t>B.</w:t>
      </w:r>
      <w:r w:rsidRPr="00266EB9">
        <w:rPr>
          <w:sz w:val="20"/>
        </w:rPr>
        <w:tab/>
      </w:r>
      <w:r w:rsidRPr="00266EB9">
        <w:rPr>
          <w:sz w:val="20"/>
          <w:u w:val="single"/>
        </w:rPr>
        <w:t>Utilisation du budget 2016</w:t>
      </w:r>
      <w:r>
        <w:rPr>
          <w:sz w:val="20"/>
          <w:u w:val="single"/>
        </w:rPr>
        <w:noBreakHyphen/>
      </w:r>
      <w:r w:rsidRPr="00266EB9">
        <w:rPr>
          <w:sz w:val="20"/>
          <w:u w:val="single"/>
        </w:rPr>
        <w:t>2017</w:t>
      </w:r>
    </w:p>
    <w:p w14:paraId="2AC172B4" w14:textId="77777777" w:rsidR="00561B47" w:rsidRPr="00266EB9" w:rsidRDefault="00561B47" w:rsidP="00561B47">
      <w:pPr>
        <w:keepNext/>
        <w:jc w:val="both"/>
        <w:rPr>
          <w:sz w:val="20"/>
        </w:rPr>
      </w:pPr>
    </w:p>
    <w:p w14:paraId="5A5A3E81" w14:textId="77777777" w:rsidR="00561B47" w:rsidRPr="00266EB9" w:rsidRDefault="00561B47" w:rsidP="00D544B8">
      <w:pPr>
        <w:pStyle w:val="ListParagraph"/>
        <w:numPr>
          <w:ilvl w:val="0"/>
          <w:numId w:val="41"/>
        </w:numPr>
        <w:ind w:left="0" w:firstLine="0"/>
        <w:jc w:val="both"/>
        <w:rPr>
          <w:rFonts w:ascii="Arial" w:hAnsi="Arial" w:cs="Arial"/>
          <w:sz w:val="20"/>
        </w:rPr>
      </w:pPr>
      <w:r w:rsidRPr="00266EB9">
        <w:rPr>
          <w:rFonts w:ascii="Arial" w:hAnsi="Arial" w:cs="Arial"/>
          <w:sz w:val="20"/>
          <w:lang w:eastAsia="ko-KR"/>
        </w:rPr>
        <w:t>L’utilisation du budget se situait dans la fourchette prévue des 40 à 60% pour la première année de l’exercice biennal.</w:t>
      </w:r>
    </w:p>
    <w:p w14:paraId="7285A433" w14:textId="77777777" w:rsidR="00A67FE6" w:rsidRDefault="00561B47">
      <w:pPr>
        <w:rPr>
          <w:b/>
          <w:bCs/>
          <w:iCs/>
        </w:rPr>
      </w:pPr>
      <w:bookmarkStart w:id="31" w:name="_Toc422210491"/>
      <w:r w:rsidRPr="00266EB9">
        <w:rPr>
          <w:b/>
          <w:bCs/>
          <w:iCs/>
        </w:rPr>
        <w:br w:type="page"/>
      </w:r>
    </w:p>
    <w:p w14:paraId="097849E7" w14:textId="77777777" w:rsidR="00A67FE6" w:rsidRPr="00497C7F" w:rsidRDefault="00A67FE6" w:rsidP="00A67FE6">
      <w:pPr>
        <w:pStyle w:val="Heading4"/>
      </w:pPr>
      <w:bookmarkStart w:id="32" w:name="_Toc454544470"/>
      <w:bookmarkStart w:id="33" w:name="_Toc482623393"/>
      <w:r w:rsidRPr="00497C7F">
        <w:lastRenderedPageBreak/>
        <w:t>Programme 6</w:t>
      </w:r>
      <w:r>
        <w:t> </w:t>
      </w:r>
      <w:r w:rsidRPr="00497C7F">
        <w:t>Annexe</w:t>
      </w:r>
      <w:r>
        <w:t xml:space="preserve"> : </w:t>
      </w:r>
      <w:r w:rsidRPr="00497C7F">
        <w:tab/>
        <w:t>Indicateurs relatifs aux opérations du système de Madrid</w:t>
      </w:r>
      <w:bookmarkEnd w:id="32"/>
      <w:bookmarkEnd w:id="33"/>
    </w:p>
    <w:p w14:paraId="66B7E6F3" w14:textId="77777777" w:rsidR="00A67FE6" w:rsidRPr="00A67FE6" w:rsidRDefault="00A67FE6" w:rsidP="00A67FE6">
      <w:pPr>
        <w:rPr>
          <w:sz w:val="20"/>
        </w:rPr>
      </w:pPr>
    </w:p>
    <w:p w14:paraId="3823F5C8" w14:textId="77777777" w:rsidR="00A67FE6" w:rsidRPr="00A67FE6" w:rsidRDefault="00A67FE6" w:rsidP="00A67FE6">
      <w:pPr>
        <w:rPr>
          <w:sz w:val="20"/>
        </w:rPr>
      </w:pPr>
    </w:p>
    <w:p w14:paraId="5698DD03" w14:textId="77777777" w:rsidR="00A67FE6" w:rsidRPr="00A67FE6" w:rsidRDefault="00A67FE6" w:rsidP="00A67FE6">
      <w:pPr>
        <w:rPr>
          <w:sz w:val="20"/>
          <w:lang w:bidi="th-TH"/>
        </w:rPr>
      </w:pPr>
      <w:r w:rsidRPr="00A67FE6">
        <w:rPr>
          <w:sz w:val="20"/>
          <w:lang w:bidi="th-TH"/>
        </w:rPr>
        <w:t>INDICATEURS D’EXÉCUTION POUR LE RÉSULTAT ESCOMPTÉ</w:t>
      </w:r>
    </w:p>
    <w:p w14:paraId="41639062" w14:textId="615A8975" w:rsidR="00A67FE6" w:rsidRPr="00A67FE6" w:rsidRDefault="00A67FE6" w:rsidP="00A67FE6">
      <w:pPr>
        <w:rPr>
          <w:sz w:val="20"/>
          <w:lang w:bidi="th-TH"/>
        </w:rPr>
      </w:pPr>
      <w:r w:rsidRPr="00A67FE6">
        <w:rPr>
          <w:sz w:val="20"/>
          <w:lang w:bidi="th-TH"/>
        </w:rPr>
        <w:t>“AMÉLIORATION DE LA PRODUCTIVITÉ ET DE LA QUALI</w:t>
      </w:r>
      <w:r>
        <w:rPr>
          <w:sz w:val="20"/>
          <w:lang w:bidi="th-TH"/>
        </w:rPr>
        <w:t>TÉ DE SERVICE DES OPÉRATIONS DU </w:t>
      </w:r>
      <w:r w:rsidRPr="00A67FE6">
        <w:rPr>
          <w:sz w:val="20"/>
          <w:lang w:bidi="th-TH"/>
        </w:rPr>
        <w:t>SYSTÈME DE MADRID”</w:t>
      </w:r>
    </w:p>
    <w:p w14:paraId="23A6E6B4" w14:textId="77777777" w:rsidR="00A67FE6" w:rsidRPr="00A67FE6" w:rsidRDefault="00A67FE6" w:rsidP="00A67FE6">
      <w:pPr>
        <w:rPr>
          <w:b/>
          <w:sz w:val="20"/>
        </w:rPr>
      </w:pPr>
    </w:p>
    <w:p w14:paraId="54ED5ED5" w14:textId="77777777" w:rsidR="00A67FE6" w:rsidRPr="00A67FE6" w:rsidRDefault="00A67FE6" w:rsidP="00A67FE6">
      <w:pPr>
        <w:rPr>
          <w:rFonts w:eastAsia="SimSun"/>
          <w:b/>
          <w:sz w:val="20"/>
          <w:lang w:eastAsia="zh-CN"/>
        </w:rPr>
      </w:pPr>
      <w:r w:rsidRPr="00A67FE6">
        <w:rPr>
          <w:rFonts w:eastAsia="SimSun"/>
          <w:b/>
          <w:sz w:val="20"/>
          <w:lang w:eastAsia="zh-CN"/>
        </w:rPr>
        <w:t>Généralités</w:t>
      </w:r>
    </w:p>
    <w:p w14:paraId="315BEA3F" w14:textId="77777777" w:rsidR="00A67FE6" w:rsidRPr="00A67FE6" w:rsidRDefault="00A67FE6" w:rsidP="00A67FE6">
      <w:pPr>
        <w:rPr>
          <w:b/>
          <w:sz w:val="20"/>
        </w:rPr>
      </w:pPr>
    </w:p>
    <w:p w14:paraId="2E3636B3"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En mars 2016, l’ancien système informatique (MAPS) utilisé par les opérations du système de Madrid a été remplacé par un nouveau système informatique (MIRIS).  Certains des indicateurs ci</w:t>
      </w:r>
      <w:r w:rsidRPr="00A67FE6">
        <w:rPr>
          <w:rFonts w:ascii="Arial" w:hAnsi="Arial" w:cs="Arial"/>
          <w:sz w:val="20"/>
          <w:szCs w:val="20"/>
        </w:rPr>
        <w:noBreakHyphen/>
        <w:t>après, concernant notamment la charge de travail traitée, le délai ou certains indicateurs de qualité ont été affectés par l’instabilité du nouveau système informatique après sa mise en place.</w:t>
      </w:r>
    </w:p>
    <w:p w14:paraId="70DD3343" w14:textId="77777777" w:rsidR="00A67FE6" w:rsidRPr="00A67FE6" w:rsidRDefault="00A67FE6" w:rsidP="00A67FE6">
      <w:pPr>
        <w:pStyle w:val="ListParagraph"/>
        <w:tabs>
          <w:tab w:val="left" w:pos="567"/>
        </w:tabs>
        <w:ind w:left="0"/>
        <w:jc w:val="both"/>
        <w:rPr>
          <w:rFonts w:ascii="Arial" w:hAnsi="Arial" w:cs="Arial"/>
          <w:sz w:val="20"/>
          <w:szCs w:val="20"/>
        </w:rPr>
      </w:pPr>
    </w:p>
    <w:p w14:paraId="7104810E"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Les facteurs à examiner aux fins de l’évaluation des indicateurs d’exécution pour le résultat escompté “Amélioration de la productivité et de la qualité de service des opérations du système de Madrid” sont les suivants :</w:t>
      </w:r>
    </w:p>
    <w:p w14:paraId="54D7EFB2" w14:textId="77777777" w:rsidR="00A67FE6" w:rsidRPr="00A67FE6" w:rsidRDefault="00A67FE6" w:rsidP="00A67FE6">
      <w:pPr>
        <w:jc w:val="both"/>
        <w:rPr>
          <w:sz w:val="20"/>
        </w:rPr>
      </w:pPr>
    </w:p>
    <w:p w14:paraId="7B135202"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la charge de travail du système de Madrid;</w:t>
      </w:r>
    </w:p>
    <w:p w14:paraId="2F3E0878"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la composition de cette charge de travail;</w:t>
      </w:r>
    </w:p>
    <w:p w14:paraId="79D7B317"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les effectifs affectés au traitement de cette charge de travail;</w:t>
      </w:r>
    </w:p>
    <w:p w14:paraId="62FE6ED7"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le niveau d’automatisation;  et</w:t>
      </w:r>
    </w:p>
    <w:p w14:paraId="55EF271D"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le coût total de production.</w:t>
      </w:r>
    </w:p>
    <w:p w14:paraId="52BC6AC9" w14:textId="77777777" w:rsidR="00A67FE6" w:rsidRPr="00A67FE6" w:rsidRDefault="00A67FE6" w:rsidP="00A67FE6">
      <w:pPr>
        <w:jc w:val="both"/>
        <w:rPr>
          <w:sz w:val="20"/>
        </w:rPr>
      </w:pPr>
    </w:p>
    <w:p w14:paraId="21598666" w14:textId="77777777" w:rsidR="00A67FE6" w:rsidRPr="00A67FE6" w:rsidRDefault="00A67FE6" w:rsidP="00A67FE6">
      <w:pPr>
        <w:pStyle w:val="ListParagraph"/>
        <w:numPr>
          <w:ilvl w:val="0"/>
          <w:numId w:val="53"/>
        </w:numPr>
        <w:ind w:left="567" w:hanging="567"/>
        <w:jc w:val="both"/>
        <w:rPr>
          <w:rFonts w:ascii="Arial" w:hAnsi="Arial" w:cs="Arial"/>
          <w:b/>
          <w:sz w:val="20"/>
          <w:szCs w:val="20"/>
        </w:rPr>
      </w:pPr>
      <w:r w:rsidRPr="00A67FE6">
        <w:rPr>
          <w:rFonts w:ascii="Arial" w:hAnsi="Arial" w:cs="Arial"/>
          <w:b/>
          <w:sz w:val="20"/>
          <w:szCs w:val="20"/>
        </w:rPr>
        <w:t>Documents reçus</w:t>
      </w:r>
    </w:p>
    <w:p w14:paraId="0285C7AE" w14:textId="77777777" w:rsidR="00A67FE6" w:rsidRPr="00A67FE6" w:rsidRDefault="00A67FE6" w:rsidP="00A67FE6">
      <w:pPr>
        <w:jc w:val="both"/>
        <w:rPr>
          <w:sz w:val="20"/>
        </w:rPr>
      </w:pPr>
    </w:p>
    <w:p w14:paraId="614A22C5"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 Bureau international reçoit six catégories différentes de documents, à savoir les demandes internationales, les renouvellements, les désignations postérieures, les modifications, les décisions et les corrections.  La tendance la plus récente en ce qui concerne le nombre de documents reçu pour chacune de ces catégories est indiquée ci</w:t>
      </w:r>
      <w:r w:rsidRPr="00A67FE6">
        <w:rPr>
          <w:rFonts w:ascii="Arial" w:hAnsi="Arial" w:cs="Arial"/>
          <w:sz w:val="20"/>
          <w:szCs w:val="20"/>
        </w:rPr>
        <w:noBreakHyphen/>
        <w:t>dessous.  Des renseignements supplémentaires sont également fournis concernant les demandes internationales, par exemple le nombre moyen de classes et la longueur moyenne des demandes.  Pour des raisons techniques, certains indicateurs montrent des données fondées sur des documents traités plutôt que sur des documents reçus.  Les retards de traitement peuvent ainsi avoir une incidence sur certains indicateurs.  Par ailleurs, en 2016, le Bureau international a changé de méthode pour déterminer la date de réception des demandes internationales en utilisant la date de dépôt de la demande internationale par l’office d’origine plutôt que la date de réception de la demande internationale par le Bureau international.</w:t>
      </w:r>
    </w:p>
    <w:p w14:paraId="7424C11F" w14:textId="77777777" w:rsidR="00A67FE6" w:rsidRPr="00A67FE6" w:rsidRDefault="00A67FE6" w:rsidP="00A67FE6">
      <w:pPr>
        <w:pStyle w:val="ListParagraph"/>
        <w:ind w:left="0"/>
        <w:jc w:val="both"/>
        <w:rPr>
          <w:rFonts w:ascii="Arial" w:hAnsi="Arial" w:cs="Arial"/>
          <w:sz w:val="20"/>
          <w:szCs w:val="20"/>
        </w:rPr>
      </w:pPr>
    </w:p>
    <w:p w14:paraId="4111C623" w14:textId="77777777" w:rsidR="00A67FE6" w:rsidRPr="00A67FE6" w:rsidRDefault="00A67FE6" w:rsidP="00A67FE6">
      <w:pPr>
        <w:rPr>
          <w:rFonts w:eastAsiaTheme="minorHAnsi"/>
          <w:sz w:val="20"/>
          <w:u w:val="single"/>
        </w:rPr>
      </w:pPr>
      <w:r w:rsidRPr="00A67FE6">
        <w:rPr>
          <w:rFonts w:eastAsiaTheme="minorHAnsi"/>
          <w:sz w:val="20"/>
          <w:u w:val="single"/>
        </w:rPr>
        <w:t>Demandes internationales</w:t>
      </w:r>
    </w:p>
    <w:p w14:paraId="61EAFA90" w14:textId="77777777" w:rsidR="00A67FE6" w:rsidRPr="00A67FE6" w:rsidRDefault="00A67FE6" w:rsidP="00A67FE6">
      <w:pPr>
        <w:rPr>
          <w:rFonts w:eastAsiaTheme="minorHAnsi"/>
          <w:sz w:val="20"/>
          <w:u w:val="single"/>
        </w:rPr>
      </w:pPr>
    </w:p>
    <w:p w14:paraId="0E9B5BF4" w14:textId="77777777" w:rsidR="00A67FE6" w:rsidRPr="00A67FE6" w:rsidRDefault="00A67FE6" w:rsidP="00A67FE6">
      <w:pPr>
        <w:jc w:val="center"/>
        <w:rPr>
          <w:sz w:val="20"/>
        </w:rPr>
      </w:pPr>
      <w:r w:rsidRPr="00A67FE6">
        <w:rPr>
          <w:noProof/>
          <w:sz w:val="20"/>
          <w:lang w:val="en-US"/>
        </w:rPr>
        <w:drawing>
          <wp:inline distT="0" distB="0" distL="0" distR="0" wp14:anchorId="71D7DD1C" wp14:editId="014A7E3A">
            <wp:extent cx="5760085" cy="2514434"/>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2514434"/>
                    </a:xfrm>
                    <a:prstGeom prst="rect">
                      <a:avLst/>
                    </a:prstGeom>
                    <a:noFill/>
                    <a:ln>
                      <a:noFill/>
                    </a:ln>
                  </pic:spPr>
                </pic:pic>
              </a:graphicData>
            </a:graphic>
          </wp:inline>
        </w:drawing>
      </w:r>
    </w:p>
    <w:p w14:paraId="792359DB" w14:textId="77777777" w:rsidR="00A67FE6" w:rsidRPr="00A67FE6" w:rsidRDefault="00A67FE6" w:rsidP="00A67FE6">
      <w:pPr>
        <w:pStyle w:val="ListParagraph"/>
        <w:tabs>
          <w:tab w:val="left" w:pos="993"/>
        </w:tabs>
        <w:ind w:left="567"/>
        <w:jc w:val="both"/>
        <w:rPr>
          <w:rFonts w:ascii="Arial" w:hAnsi="Arial" w:cs="Arial"/>
          <w:sz w:val="20"/>
          <w:szCs w:val="20"/>
        </w:rPr>
      </w:pPr>
    </w:p>
    <w:p w14:paraId="5C3B2BEE"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lastRenderedPageBreak/>
        <w:t>Le Bureau international a reçu 52 550 demandes en 2016, soit une augmentation de 7,2% par rapport à 2015</w:t>
      </w:r>
      <w:r w:rsidRPr="00A67FE6">
        <w:rPr>
          <w:rFonts w:eastAsiaTheme="minorHAnsi"/>
          <w:sz w:val="20"/>
          <w:vertAlign w:val="superscript"/>
        </w:rPr>
        <w:footnoteReference w:id="36"/>
      </w:r>
      <w:r w:rsidRPr="00A67FE6">
        <w:rPr>
          <w:rFonts w:eastAsiaTheme="minorHAnsi"/>
          <w:sz w:val="20"/>
        </w:rPr>
        <w:t>.</w:t>
      </w:r>
    </w:p>
    <w:p w14:paraId="65112F96" w14:textId="77777777" w:rsidR="00A67FE6" w:rsidRPr="00A67FE6" w:rsidRDefault="00A67FE6" w:rsidP="00A67FE6">
      <w:pPr>
        <w:ind w:left="1134"/>
        <w:jc w:val="both"/>
        <w:rPr>
          <w:rFonts w:eastAsiaTheme="minorHAnsi"/>
          <w:sz w:val="20"/>
        </w:rPr>
      </w:pPr>
    </w:p>
    <w:p w14:paraId="5F5B7D6F"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Le nombre des demandes reçues a augmenté de façon constante depuis 2010.</w:t>
      </w:r>
    </w:p>
    <w:p w14:paraId="53E7F366" w14:textId="77777777" w:rsidR="00A67FE6" w:rsidRPr="00A67FE6" w:rsidRDefault="00A67FE6" w:rsidP="00A67FE6">
      <w:pPr>
        <w:jc w:val="both"/>
        <w:rPr>
          <w:rFonts w:eastAsiaTheme="minorHAnsi"/>
          <w:sz w:val="20"/>
        </w:rPr>
      </w:pPr>
    </w:p>
    <w:p w14:paraId="0471755D" w14:textId="77777777" w:rsidR="00A67FE6" w:rsidRPr="00A67FE6" w:rsidRDefault="00A67FE6" w:rsidP="00A67FE6">
      <w:pPr>
        <w:keepNext/>
        <w:keepLines/>
        <w:rPr>
          <w:rFonts w:eastAsiaTheme="minorHAnsi"/>
          <w:i/>
          <w:sz w:val="20"/>
        </w:rPr>
      </w:pPr>
      <w:r w:rsidRPr="00A67FE6">
        <w:rPr>
          <w:rFonts w:eastAsiaTheme="minorHAnsi"/>
          <w:i/>
          <w:sz w:val="20"/>
        </w:rPr>
        <w:t>Répartition des demandes par langue de dépôt</w:t>
      </w:r>
    </w:p>
    <w:p w14:paraId="0FB01414" w14:textId="77777777" w:rsidR="00A67FE6" w:rsidRPr="00A67FE6" w:rsidRDefault="00A67FE6" w:rsidP="00A67FE6">
      <w:pPr>
        <w:keepNext/>
        <w:keepLines/>
        <w:jc w:val="center"/>
        <w:rPr>
          <w:sz w:val="20"/>
        </w:rPr>
      </w:pPr>
      <w:r w:rsidRPr="00A67FE6">
        <w:rPr>
          <w:noProof/>
          <w:sz w:val="20"/>
          <w:lang w:val="en-US"/>
        </w:rPr>
        <w:drawing>
          <wp:inline distT="0" distB="0" distL="0" distR="0" wp14:anchorId="21D91EB6" wp14:editId="217BE2F8">
            <wp:extent cx="5760085" cy="292422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924223"/>
                    </a:xfrm>
                    <a:prstGeom prst="rect">
                      <a:avLst/>
                    </a:prstGeom>
                    <a:noFill/>
                    <a:ln>
                      <a:noFill/>
                    </a:ln>
                  </pic:spPr>
                </pic:pic>
              </a:graphicData>
            </a:graphic>
          </wp:inline>
        </w:drawing>
      </w:r>
    </w:p>
    <w:p w14:paraId="70FF0BF2" w14:textId="77777777" w:rsidR="00A67FE6" w:rsidRPr="00A67FE6" w:rsidRDefault="00A67FE6" w:rsidP="00A67FE6">
      <w:pPr>
        <w:keepNext/>
        <w:keepLines/>
        <w:jc w:val="center"/>
        <w:rPr>
          <w:sz w:val="20"/>
        </w:rPr>
      </w:pPr>
    </w:p>
    <w:p w14:paraId="037A241A"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82% des demandes internationales ont été déposées en anglais.  Cette proportion a augmenté de 17 points de pourcentage depuis 2008, année où les demandes internationales déposées en anglais représentaient 65% du nombre total de demandes.</w:t>
      </w:r>
    </w:p>
    <w:p w14:paraId="7FC79D2F" w14:textId="77777777" w:rsidR="00A67FE6" w:rsidRPr="00A67FE6" w:rsidRDefault="00A67FE6" w:rsidP="00A67FE6">
      <w:pPr>
        <w:jc w:val="both"/>
        <w:rPr>
          <w:sz w:val="20"/>
        </w:rPr>
      </w:pPr>
    </w:p>
    <w:p w14:paraId="27E60691" w14:textId="77777777" w:rsidR="00A67FE6" w:rsidRPr="00A67FE6" w:rsidRDefault="00A67FE6" w:rsidP="00A67FE6">
      <w:pPr>
        <w:keepNext/>
        <w:keepLines/>
        <w:rPr>
          <w:rFonts w:eastAsiaTheme="minorHAnsi"/>
          <w:i/>
          <w:sz w:val="20"/>
        </w:rPr>
      </w:pPr>
      <w:r w:rsidRPr="00A67FE6">
        <w:rPr>
          <w:rFonts w:eastAsiaTheme="minorHAnsi"/>
          <w:i/>
          <w:sz w:val="20"/>
        </w:rPr>
        <w:t>Nombre moyen de désignations par enregistrement</w:t>
      </w:r>
    </w:p>
    <w:p w14:paraId="3E96B122" w14:textId="77777777" w:rsidR="00A67FE6" w:rsidRPr="00A67FE6" w:rsidRDefault="00A67FE6" w:rsidP="00A67FE6">
      <w:pPr>
        <w:jc w:val="center"/>
        <w:rPr>
          <w:sz w:val="20"/>
        </w:rPr>
      </w:pPr>
      <w:r w:rsidRPr="00A67FE6">
        <w:rPr>
          <w:noProof/>
          <w:sz w:val="20"/>
          <w:lang w:val="en-US"/>
        </w:rPr>
        <w:drawing>
          <wp:inline distT="0" distB="0" distL="0" distR="0" wp14:anchorId="28BF0193" wp14:editId="42AC2C72">
            <wp:extent cx="5760085" cy="27285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2728579"/>
                    </a:xfrm>
                    <a:prstGeom prst="rect">
                      <a:avLst/>
                    </a:prstGeom>
                    <a:noFill/>
                    <a:ln>
                      <a:noFill/>
                    </a:ln>
                  </pic:spPr>
                </pic:pic>
              </a:graphicData>
            </a:graphic>
          </wp:inline>
        </w:drawing>
      </w:r>
    </w:p>
    <w:p w14:paraId="361631A1" w14:textId="77777777" w:rsidR="00A67FE6" w:rsidRPr="00A67FE6" w:rsidRDefault="00A67FE6" w:rsidP="00A67FE6">
      <w:pPr>
        <w:jc w:val="center"/>
        <w:rPr>
          <w:sz w:val="20"/>
        </w:rPr>
      </w:pPr>
    </w:p>
    <w:p w14:paraId="0C7AC3E2"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moyenne, 6,7 désignations ont été faites pour les demandes enregistrées en 2016</w:t>
      </w:r>
      <w:r w:rsidRPr="00A67FE6">
        <w:rPr>
          <w:rFonts w:eastAsiaTheme="minorHAnsi"/>
          <w:sz w:val="20"/>
          <w:vertAlign w:val="superscript"/>
        </w:rPr>
        <w:footnoteReference w:id="37"/>
      </w:r>
      <w:r w:rsidRPr="00A67FE6">
        <w:rPr>
          <w:rFonts w:eastAsiaTheme="minorHAnsi"/>
          <w:sz w:val="20"/>
        </w:rPr>
        <w:t>.</w:t>
      </w:r>
    </w:p>
    <w:p w14:paraId="5CB97923" w14:textId="77777777" w:rsidR="00A67FE6" w:rsidRPr="00A67FE6" w:rsidRDefault="00A67FE6" w:rsidP="00A67FE6">
      <w:pPr>
        <w:tabs>
          <w:tab w:val="num" w:pos="1134"/>
        </w:tabs>
        <w:spacing w:after="120"/>
        <w:ind w:left="993" w:hanging="426"/>
        <w:jc w:val="both"/>
        <w:rPr>
          <w:sz w:val="20"/>
        </w:rPr>
      </w:pPr>
    </w:p>
    <w:p w14:paraId="52690ADB" w14:textId="77777777" w:rsidR="00A67FE6" w:rsidRPr="00A67FE6" w:rsidRDefault="00A67FE6" w:rsidP="00A67FE6">
      <w:pPr>
        <w:keepNext/>
        <w:keepLines/>
        <w:rPr>
          <w:rFonts w:eastAsiaTheme="minorHAnsi"/>
          <w:i/>
          <w:sz w:val="20"/>
        </w:rPr>
      </w:pPr>
      <w:r w:rsidRPr="00A67FE6">
        <w:rPr>
          <w:rFonts w:eastAsiaTheme="minorHAnsi"/>
          <w:i/>
          <w:sz w:val="20"/>
        </w:rPr>
        <w:lastRenderedPageBreak/>
        <w:t>Nombre moyen de classes par enregistrement</w:t>
      </w:r>
    </w:p>
    <w:p w14:paraId="22D256EA" w14:textId="77777777" w:rsidR="00A67FE6" w:rsidRPr="00A67FE6" w:rsidRDefault="00A67FE6" w:rsidP="00A67FE6">
      <w:pPr>
        <w:keepNext/>
        <w:keepLines/>
        <w:jc w:val="center"/>
        <w:rPr>
          <w:sz w:val="20"/>
        </w:rPr>
      </w:pPr>
      <w:r w:rsidRPr="00A67FE6">
        <w:rPr>
          <w:noProof/>
          <w:sz w:val="20"/>
          <w:lang w:val="en-US"/>
        </w:rPr>
        <w:drawing>
          <wp:inline distT="0" distB="0" distL="0" distR="0" wp14:anchorId="6231F0E9" wp14:editId="30F3F48F">
            <wp:extent cx="5760085" cy="27129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2712996"/>
                    </a:xfrm>
                    <a:prstGeom prst="rect">
                      <a:avLst/>
                    </a:prstGeom>
                    <a:noFill/>
                    <a:ln>
                      <a:noFill/>
                    </a:ln>
                  </pic:spPr>
                </pic:pic>
              </a:graphicData>
            </a:graphic>
          </wp:inline>
        </w:drawing>
      </w:r>
    </w:p>
    <w:p w14:paraId="7A5D234D" w14:textId="77777777" w:rsidR="00A67FE6" w:rsidRPr="00A67FE6" w:rsidRDefault="00A67FE6" w:rsidP="00A67FE6">
      <w:pPr>
        <w:keepNext/>
        <w:keepLines/>
        <w:jc w:val="center"/>
        <w:rPr>
          <w:sz w:val="20"/>
        </w:rPr>
      </w:pPr>
    </w:p>
    <w:p w14:paraId="62202812"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moyenne, 2,5 classes ont été indiquées pour les demandes enregistrées en 2016, comme en 2014 et 2015.</w:t>
      </w:r>
    </w:p>
    <w:p w14:paraId="06AE3859" w14:textId="77777777" w:rsidR="00A67FE6" w:rsidRPr="00A67FE6" w:rsidRDefault="00A67FE6" w:rsidP="00A67FE6">
      <w:pPr>
        <w:jc w:val="both"/>
        <w:rPr>
          <w:sz w:val="20"/>
        </w:rPr>
      </w:pPr>
    </w:p>
    <w:p w14:paraId="64B460D5" w14:textId="77777777" w:rsidR="00A67FE6" w:rsidRPr="00A67FE6" w:rsidRDefault="00A67FE6" w:rsidP="00A67FE6">
      <w:pPr>
        <w:keepNext/>
        <w:keepLines/>
        <w:rPr>
          <w:rFonts w:eastAsiaTheme="minorHAnsi"/>
          <w:i/>
          <w:sz w:val="20"/>
        </w:rPr>
      </w:pPr>
      <w:r w:rsidRPr="00A67FE6">
        <w:rPr>
          <w:rFonts w:eastAsiaTheme="minorHAnsi"/>
          <w:i/>
          <w:sz w:val="20"/>
        </w:rPr>
        <w:t>Longueur moyenne des demandes</w:t>
      </w:r>
    </w:p>
    <w:p w14:paraId="76F3B58D" w14:textId="77777777" w:rsidR="00A67FE6" w:rsidRPr="00A67FE6" w:rsidRDefault="00A67FE6" w:rsidP="00A67FE6">
      <w:pPr>
        <w:keepNext/>
        <w:keepLines/>
        <w:rPr>
          <w:rFonts w:eastAsiaTheme="minorHAnsi"/>
          <w:iCs/>
          <w:sz w:val="20"/>
        </w:rPr>
      </w:pPr>
    </w:p>
    <w:p w14:paraId="7E88CAD2"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La longueur des demandes est déterminée par le nombre total de mots utilisés par le déposant a) dans la description de la marque, b) dans la liste des produits et services et c) dans toute mention de limitation s’y rapportant.  Le Bureau international traduit ces trois éléments en français, anglais ou espagnol, selon la langue d’origine des demandes, pour que ces dernières soient disponibles dans les trois langues du système de Madrid.</w:t>
      </w:r>
    </w:p>
    <w:p w14:paraId="60D9CA01" w14:textId="77777777" w:rsidR="00A67FE6" w:rsidRPr="00A67FE6" w:rsidRDefault="00A67FE6" w:rsidP="00A67FE6">
      <w:pPr>
        <w:jc w:val="center"/>
        <w:rPr>
          <w:sz w:val="20"/>
        </w:rPr>
      </w:pPr>
      <w:r w:rsidRPr="00A67FE6">
        <w:rPr>
          <w:noProof/>
          <w:sz w:val="20"/>
          <w:lang w:val="en-US"/>
        </w:rPr>
        <w:drawing>
          <wp:inline distT="0" distB="0" distL="0" distR="0" wp14:anchorId="19F9EA98" wp14:editId="23A97820">
            <wp:extent cx="5760085" cy="2668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2668875"/>
                    </a:xfrm>
                    <a:prstGeom prst="rect">
                      <a:avLst/>
                    </a:prstGeom>
                    <a:noFill/>
                    <a:ln>
                      <a:noFill/>
                    </a:ln>
                  </pic:spPr>
                </pic:pic>
              </a:graphicData>
            </a:graphic>
          </wp:inline>
        </w:drawing>
      </w:r>
    </w:p>
    <w:p w14:paraId="1E2781F9" w14:textId="77777777" w:rsidR="00A67FE6" w:rsidRPr="00A67FE6" w:rsidRDefault="00A67FE6" w:rsidP="00A67FE6">
      <w:pPr>
        <w:jc w:val="center"/>
        <w:rPr>
          <w:sz w:val="20"/>
        </w:rPr>
      </w:pPr>
    </w:p>
    <w:p w14:paraId="6CB1FFBA"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Compte tenu du changement de système informatique, les données pour 2016 n’étaient pas disponibles au moment de l’établissement du rapport.</w:t>
      </w:r>
    </w:p>
    <w:p w14:paraId="03AC6D59" w14:textId="77777777" w:rsidR="00A67FE6" w:rsidRPr="00A67FE6" w:rsidRDefault="00A67FE6" w:rsidP="00A67FE6">
      <w:pPr>
        <w:jc w:val="both"/>
        <w:rPr>
          <w:sz w:val="20"/>
        </w:rPr>
      </w:pPr>
    </w:p>
    <w:p w14:paraId="08EB9CAB" w14:textId="77777777" w:rsidR="00A67FE6" w:rsidRPr="00A67FE6" w:rsidRDefault="00A67FE6" w:rsidP="00A67FE6">
      <w:pPr>
        <w:keepNext/>
        <w:keepLines/>
        <w:rPr>
          <w:rFonts w:eastAsiaTheme="minorHAnsi"/>
          <w:i/>
          <w:sz w:val="20"/>
        </w:rPr>
      </w:pPr>
      <w:r w:rsidRPr="00A67FE6">
        <w:rPr>
          <w:rFonts w:eastAsiaTheme="minorHAnsi"/>
          <w:i/>
          <w:sz w:val="20"/>
        </w:rPr>
        <w:lastRenderedPageBreak/>
        <w:t>Répartition des demandes régulières et irrégulières</w:t>
      </w:r>
    </w:p>
    <w:p w14:paraId="51E5FB7A" w14:textId="77777777" w:rsidR="00A67FE6" w:rsidRPr="00A67FE6" w:rsidRDefault="00A67FE6" w:rsidP="00A67FE6">
      <w:pPr>
        <w:keepNext/>
        <w:keepLines/>
        <w:rPr>
          <w:rFonts w:eastAsiaTheme="minorHAnsi"/>
          <w:i/>
          <w:sz w:val="20"/>
        </w:rPr>
      </w:pPr>
    </w:p>
    <w:p w14:paraId="7EED495D" w14:textId="77777777" w:rsidR="00A67FE6" w:rsidRPr="00A67FE6" w:rsidRDefault="00A67FE6" w:rsidP="00A67FE6">
      <w:pPr>
        <w:jc w:val="center"/>
        <w:rPr>
          <w:sz w:val="20"/>
        </w:rPr>
      </w:pPr>
      <w:r w:rsidRPr="00A67FE6">
        <w:rPr>
          <w:noProof/>
          <w:sz w:val="20"/>
          <w:lang w:val="en-US"/>
        </w:rPr>
        <w:drawing>
          <wp:inline distT="0" distB="0" distL="0" distR="0" wp14:anchorId="3772323A" wp14:editId="32FDA34D">
            <wp:extent cx="5760085" cy="29189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2918994"/>
                    </a:xfrm>
                    <a:prstGeom prst="rect">
                      <a:avLst/>
                    </a:prstGeom>
                    <a:noFill/>
                    <a:ln>
                      <a:noFill/>
                    </a:ln>
                  </pic:spPr>
                </pic:pic>
              </a:graphicData>
            </a:graphic>
          </wp:inline>
        </w:drawing>
      </w:r>
    </w:p>
    <w:p w14:paraId="70247103" w14:textId="77777777" w:rsidR="00A67FE6" w:rsidRPr="00A67FE6" w:rsidRDefault="00A67FE6" w:rsidP="00A67FE6">
      <w:pPr>
        <w:jc w:val="center"/>
        <w:rPr>
          <w:sz w:val="20"/>
        </w:rPr>
      </w:pPr>
    </w:p>
    <w:p w14:paraId="41108670"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La proportion des demandes régulières est restée relativement stable en 2016 par rapport à 2015, avec une augmentation d’un point de pourcentage.</w:t>
      </w:r>
    </w:p>
    <w:p w14:paraId="32024464" w14:textId="77777777" w:rsidR="00A67FE6" w:rsidRPr="00A67FE6" w:rsidRDefault="00A67FE6" w:rsidP="00A67FE6">
      <w:pPr>
        <w:jc w:val="both"/>
        <w:rPr>
          <w:sz w:val="20"/>
        </w:rPr>
      </w:pPr>
    </w:p>
    <w:p w14:paraId="1C0671AB" w14:textId="77777777" w:rsidR="00A67FE6" w:rsidRPr="00A67FE6" w:rsidRDefault="00A67FE6" w:rsidP="00A67FE6">
      <w:pPr>
        <w:rPr>
          <w:rFonts w:eastAsiaTheme="minorHAnsi"/>
          <w:sz w:val="20"/>
          <w:u w:val="single"/>
        </w:rPr>
      </w:pPr>
      <w:r w:rsidRPr="00A67FE6">
        <w:rPr>
          <w:rFonts w:eastAsiaTheme="minorHAnsi"/>
          <w:sz w:val="20"/>
          <w:u w:val="single"/>
        </w:rPr>
        <w:t>Renouvellements</w:t>
      </w:r>
    </w:p>
    <w:p w14:paraId="3E436F95" w14:textId="77777777" w:rsidR="00A67FE6" w:rsidRPr="00A67FE6" w:rsidRDefault="00A67FE6" w:rsidP="00A67FE6">
      <w:pPr>
        <w:rPr>
          <w:rFonts w:eastAsiaTheme="minorHAnsi"/>
          <w:sz w:val="20"/>
          <w:u w:val="single"/>
        </w:rPr>
      </w:pPr>
    </w:p>
    <w:p w14:paraId="3C1C8564" w14:textId="77777777" w:rsidR="00A67FE6" w:rsidRPr="00A67FE6" w:rsidRDefault="00A67FE6" w:rsidP="00A67FE6">
      <w:pPr>
        <w:jc w:val="center"/>
        <w:rPr>
          <w:sz w:val="20"/>
        </w:rPr>
      </w:pPr>
      <w:r w:rsidRPr="00A67FE6">
        <w:rPr>
          <w:noProof/>
          <w:sz w:val="20"/>
          <w:lang w:val="en-US"/>
        </w:rPr>
        <w:drawing>
          <wp:inline distT="0" distB="0" distL="0" distR="0" wp14:anchorId="476E9EB5" wp14:editId="79CB6882">
            <wp:extent cx="5760085" cy="291563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2915637"/>
                    </a:xfrm>
                    <a:prstGeom prst="rect">
                      <a:avLst/>
                    </a:prstGeom>
                    <a:noFill/>
                    <a:ln>
                      <a:noFill/>
                    </a:ln>
                  </pic:spPr>
                </pic:pic>
              </a:graphicData>
            </a:graphic>
          </wp:inline>
        </w:drawing>
      </w:r>
    </w:p>
    <w:p w14:paraId="2D361423" w14:textId="77777777" w:rsidR="00A67FE6" w:rsidRPr="00A67FE6" w:rsidRDefault="00A67FE6" w:rsidP="00A67FE6">
      <w:pPr>
        <w:jc w:val="center"/>
        <w:rPr>
          <w:sz w:val="20"/>
        </w:rPr>
      </w:pPr>
    </w:p>
    <w:p w14:paraId="0EAF4F25"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le Bureau international a enregistré 30 103 renouvellements, ce qui représente une hausse de 6% par rapport à 2015.</w:t>
      </w:r>
    </w:p>
    <w:p w14:paraId="767BFC67" w14:textId="77777777" w:rsidR="00A67FE6" w:rsidRPr="001303B4" w:rsidRDefault="00A67FE6" w:rsidP="00A67FE6">
      <w:pPr>
        <w:jc w:val="both"/>
        <w:rPr>
          <w:rFonts w:eastAsiaTheme="minorHAnsi"/>
          <w:sz w:val="20"/>
        </w:rPr>
      </w:pPr>
    </w:p>
    <w:p w14:paraId="0D8F03F1" w14:textId="77777777" w:rsidR="00A67FE6" w:rsidRPr="00A67FE6" w:rsidRDefault="00A67FE6" w:rsidP="00A67FE6">
      <w:pPr>
        <w:keepNext/>
        <w:keepLines/>
        <w:rPr>
          <w:rFonts w:eastAsiaTheme="minorHAnsi"/>
          <w:sz w:val="20"/>
          <w:u w:val="single"/>
        </w:rPr>
      </w:pPr>
      <w:r w:rsidRPr="00A67FE6">
        <w:rPr>
          <w:rFonts w:eastAsiaTheme="minorHAnsi"/>
          <w:sz w:val="20"/>
          <w:u w:val="single"/>
        </w:rPr>
        <w:lastRenderedPageBreak/>
        <w:t>Désignations postérieures</w:t>
      </w:r>
    </w:p>
    <w:p w14:paraId="4296E614" w14:textId="77777777" w:rsidR="00A67FE6" w:rsidRPr="00A67FE6" w:rsidRDefault="00A67FE6" w:rsidP="00A67FE6">
      <w:pPr>
        <w:keepNext/>
        <w:keepLines/>
        <w:rPr>
          <w:rFonts w:eastAsiaTheme="minorHAnsi"/>
          <w:sz w:val="20"/>
          <w:u w:val="single"/>
        </w:rPr>
      </w:pPr>
    </w:p>
    <w:p w14:paraId="32056994" w14:textId="77777777" w:rsidR="00A67FE6" w:rsidRPr="001303B4" w:rsidRDefault="00A67FE6" w:rsidP="00A67FE6">
      <w:pPr>
        <w:keepNext/>
        <w:keepLines/>
        <w:jc w:val="center"/>
        <w:rPr>
          <w:sz w:val="20"/>
        </w:rPr>
      </w:pPr>
      <w:r w:rsidRPr="00A67FE6">
        <w:rPr>
          <w:noProof/>
          <w:sz w:val="20"/>
          <w:lang w:val="en-US"/>
        </w:rPr>
        <w:drawing>
          <wp:inline distT="0" distB="0" distL="0" distR="0" wp14:anchorId="0B752C81" wp14:editId="29390C48">
            <wp:extent cx="5760085" cy="287646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2876462"/>
                    </a:xfrm>
                    <a:prstGeom prst="rect">
                      <a:avLst/>
                    </a:prstGeom>
                    <a:noFill/>
                    <a:ln>
                      <a:noFill/>
                    </a:ln>
                  </pic:spPr>
                </pic:pic>
              </a:graphicData>
            </a:graphic>
          </wp:inline>
        </w:drawing>
      </w:r>
    </w:p>
    <w:p w14:paraId="14B02437" w14:textId="77777777" w:rsidR="00A67FE6" w:rsidRPr="001303B4" w:rsidRDefault="00A67FE6" w:rsidP="00A67FE6">
      <w:pPr>
        <w:keepNext/>
        <w:keepLines/>
        <w:jc w:val="both"/>
        <w:rPr>
          <w:sz w:val="20"/>
        </w:rPr>
      </w:pPr>
    </w:p>
    <w:p w14:paraId="446A1677"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le Bureau international a enregistré 18 398 désignations postérieures, soit une hausse de 2,9% par rapport à 2015.</w:t>
      </w:r>
    </w:p>
    <w:p w14:paraId="34ECADD2" w14:textId="77777777" w:rsidR="00A67FE6" w:rsidRPr="00A67FE6" w:rsidRDefault="00A67FE6" w:rsidP="00A67FE6">
      <w:pPr>
        <w:jc w:val="both"/>
        <w:rPr>
          <w:bCs/>
          <w:sz w:val="20"/>
        </w:rPr>
      </w:pPr>
    </w:p>
    <w:p w14:paraId="76D51BEA" w14:textId="77777777" w:rsidR="00A67FE6" w:rsidRPr="00A67FE6" w:rsidRDefault="00A67FE6" w:rsidP="00A67FE6">
      <w:pPr>
        <w:keepNext/>
        <w:keepLines/>
        <w:rPr>
          <w:rFonts w:eastAsiaTheme="minorHAnsi"/>
          <w:sz w:val="20"/>
          <w:u w:val="single"/>
        </w:rPr>
      </w:pPr>
      <w:r w:rsidRPr="00A67FE6">
        <w:rPr>
          <w:rFonts w:eastAsiaTheme="minorHAnsi"/>
          <w:sz w:val="20"/>
          <w:u w:val="single"/>
        </w:rPr>
        <w:t>Modifications</w:t>
      </w:r>
    </w:p>
    <w:p w14:paraId="689CDCE9" w14:textId="77777777" w:rsidR="00A67FE6" w:rsidRPr="00A67FE6" w:rsidRDefault="00A67FE6" w:rsidP="00A67FE6">
      <w:pPr>
        <w:keepNext/>
        <w:keepLines/>
        <w:rPr>
          <w:rFonts w:eastAsiaTheme="minorHAnsi"/>
          <w:sz w:val="20"/>
          <w:u w:val="single"/>
        </w:rPr>
      </w:pPr>
    </w:p>
    <w:p w14:paraId="64D3CF0D" w14:textId="77777777" w:rsidR="00A67FE6" w:rsidRPr="00A67FE6" w:rsidRDefault="00A67FE6" w:rsidP="00A67FE6">
      <w:pPr>
        <w:ind w:left="360"/>
        <w:jc w:val="center"/>
        <w:rPr>
          <w:sz w:val="20"/>
        </w:rPr>
      </w:pPr>
      <w:r w:rsidRPr="00A67FE6">
        <w:rPr>
          <w:noProof/>
          <w:sz w:val="20"/>
          <w:lang w:val="en-US"/>
        </w:rPr>
        <w:drawing>
          <wp:inline distT="0" distB="0" distL="0" distR="0" wp14:anchorId="0C990192" wp14:editId="64DE0897">
            <wp:extent cx="5760085" cy="27463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85" cy="2746304"/>
                    </a:xfrm>
                    <a:prstGeom prst="rect">
                      <a:avLst/>
                    </a:prstGeom>
                    <a:noFill/>
                    <a:ln>
                      <a:noFill/>
                    </a:ln>
                  </pic:spPr>
                </pic:pic>
              </a:graphicData>
            </a:graphic>
          </wp:inline>
        </w:drawing>
      </w:r>
    </w:p>
    <w:p w14:paraId="2CBB21F5" w14:textId="77777777" w:rsidR="00A67FE6" w:rsidRPr="00A67FE6" w:rsidRDefault="00A67FE6" w:rsidP="00A67FE6">
      <w:pPr>
        <w:ind w:left="360"/>
        <w:jc w:val="center"/>
        <w:rPr>
          <w:sz w:val="20"/>
        </w:rPr>
      </w:pPr>
    </w:p>
    <w:p w14:paraId="22126DA0"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le Bureau international a reçu 43 026 demandes de modifications, ce qui représente une augmentation de 4% par rapport à 2015.</w:t>
      </w:r>
    </w:p>
    <w:p w14:paraId="380460C0" w14:textId="77777777" w:rsidR="00A67FE6" w:rsidRPr="00A67FE6" w:rsidRDefault="00A67FE6" w:rsidP="00A67FE6">
      <w:pPr>
        <w:spacing w:after="120"/>
        <w:jc w:val="both"/>
        <w:rPr>
          <w:sz w:val="20"/>
        </w:rPr>
      </w:pPr>
    </w:p>
    <w:p w14:paraId="1B00867C" w14:textId="77777777" w:rsidR="00A67FE6" w:rsidRPr="00A67FE6" w:rsidRDefault="00A67FE6" w:rsidP="00A67FE6">
      <w:pPr>
        <w:keepNext/>
        <w:keepLines/>
        <w:rPr>
          <w:rFonts w:eastAsiaTheme="minorHAnsi"/>
          <w:sz w:val="20"/>
          <w:u w:val="single"/>
        </w:rPr>
      </w:pPr>
      <w:r w:rsidRPr="00A67FE6">
        <w:rPr>
          <w:rFonts w:eastAsiaTheme="minorHAnsi"/>
          <w:sz w:val="20"/>
          <w:u w:val="single"/>
        </w:rPr>
        <w:lastRenderedPageBreak/>
        <w:t>Décisions</w:t>
      </w:r>
    </w:p>
    <w:p w14:paraId="7E3409A0" w14:textId="77777777" w:rsidR="00A67FE6" w:rsidRPr="00A67FE6" w:rsidRDefault="00A67FE6" w:rsidP="00A67FE6">
      <w:pPr>
        <w:keepNext/>
        <w:keepLines/>
        <w:rPr>
          <w:rFonts w:eastAsiaTheme="minorHAnsi"/>
          <w:sz w:val="20"/>
          <w:u w:val="single"/>
        </w:rPr>
      </w:pPr>
    </w:p>
    <w:p w14:paraId="2D624360" w14:textId="77777777" w:rsidR="00A67FE6" w:rsidRPr="00A67FE6" w:rsidRDefault="00A67FE6" w:rsidP="00A67FE6">
      <w:pPr>
        <w:keepNext/>
        <w:keepLines/>
        <w:jc w:val="center"/>
        <w:rPr>
          <w:sz w:val="20"/>
        </w:rPr>
      </w:pPr>
      <w:r w:rsidRPr="00A67FE6">
        <w:rPr>
          <w:noProof/>
          <w:sz w:val="20"/>
          <w:lang w:val="en-US"/>
        </w:rPr>
        <w:drawing>
          <wp:inline distT="0" distB="0" distL="0" distR="0" wp14:anchorId="34FC7ECB" wp14:editId="559907D6">
            <wp:extent cx="5760085" cy="3038567"/>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85" cy="3038567"/>
                    </a:xfrm>
                    <a:prstGeom prst="rect">
                      <a:avLst/>
                    </a:prstGeom>
                    <a:noFill/>
                    <a:ln>
                      <a:noFill/>
                    </a:ln>
                  </pic:spPr>
                </pic:pic>
              </a:graphicData>
            </a:graphic>
          </wp:inline>
        </w:drawing>
      </w:r>
    </w:p>
    <w:p w14:paraId="2DBF8448" w14:textId="77777777" w:rsidR="00A67FE6" w:rsidRPr="00A67FE6" w:rsidRDefault="00A67FE6" w:rsidP="00A67FE6">
      <w:pPr>
        <w:keepNext/>
        <w:keepLines/>
        <w:jc w:val="center"/>
        <w:rPr>
          <w:sz w:val="20"/>
        </w:rPr>
      </w:pPr>
    </w:p>
    <w:p w14:paraId="27427FCC"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le nombre de décisions traitées a baissé de 10% par rapport à 2015, pour totaliser 486 295.  Entre 2010 et 2013, le nombre de décisions traitées a fortement augmenté.</w:t>
      </w:r>
    </w:p>
    <w:p w14:paraId="3D2D6D15" w14:textId="77777777" w:rsidR="00A67FE6" w:rsidRPr="00A67FE6" w:rsidRDefault="00A67FE6" w:rsidP="00A67FE6">
      <w:pPr>
        <w:jc w:val="both"/>
        <w:rPr>
          <w:rFonts w:eastAsiaTheme="minorHAnsi"/>
          <w:sz w:val="20"/>
        </w:rPr>
      </w:pPr>
    </w:p>
    <w:p w14:paraId="12BE8C68"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72% des décisions ont été traitées automatiquement.  Cette proportion est en augmentation constante depuis 2011.</w:t>
      </w:r>
    </w:p>
    <w:p w14:paraId="331D3A17" w14:textId="77777777" w:rsidR="00A67FE6" w:rsidRPr="00A67FE6" w:rsidRDefault="00A67FE6" w:rsidP="00A67FE6">
      <w:pPr>
        <w:jc w:val="both"/>
        <w:rPr>
          <w:sz w:val="20"/>
        </w:rPr>
      </w:pPr>
    </w:p>
    <w:p w14:paraId="034A42B3" w14:textId="77777777" w:rsidR="00A67FE6" w:rsidRPr="00A67FE6" w:rsidRDefault="00A67FE6" w:rsidP="00A67FE6">
      <w:pPr>
        <w:keepNext/>
        <w:keepLines/>
        <w:rPr>
          <w:rFonts w:eastAsiaTheme="minorHAnsi"/>
          <w:sz w:val="20"/>
          <w:u w:val="single"/>
        </w:rPr>
      </w:pPr>
      <w:r w:rsidRPr="00A67FE6">
        <w:rPr>
          <w:rFonts w:eastAsiaTheme="minorHAnsi"/>
          <w:sz w:val="20"/>
          <w:u w:val="single"/>
        </w:rPr>
        <w:t>Corrections</w:t>
      </w:r>
    </w:p>
    <w:p w14:paraId="52ED854C" w14:textId="77777777" w:rsidR="00A67FE6" w:rsidRPr="00A67FE6" w:rsidRDefault="00A67FE6" w:rsidP="00A67FE6">
      <w:pPr>
        <w:keepNext/>
        <w:keepLines/>
        <w:rPr>
          <w:rFonts w:eastAsiaTheme="minorHAnsi"/>
          <w:sz w:val="20"/>
          <w:u w:val="single"/>
        </w:rPr>
      </w:pPr>
    </w:p>
    <w:p w14:paraId="7D1F9E42" w14:textId="77777777" w:rsidR="00A67FE6" w:rsidRPr="00A67FE6" w:rsidRDefault="00A67FE6" w:rsidP="00A67FE6">
      <w:pPr>
        <w:jc w:val="center"/>
        <w:rPr>
          <w:sz w:val="20"/>
        </w:rPr>
      </w:pPr>
      <w:r w:rsidRPr="00A67FE6">
        <w:rPr>
          <w:noProof/>
          <w:sz w:val="20"/>
          <w:lang w:val="en-US"/>
        </w:rPr>
        <w:drawing>
          <wp:inline distT="0" distB="0" distL="0" distR="0" wp14:anchorId="6ACE91A1" wp14:editId="11B5B51E">
            <wp:extent cx="5760085" cy="256073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2560734"/>
                    </a:xfrm>
                    <a:prstGeom prst="rect">
                      <a:avLst/>
                    </a:prstGeom>
                    <a:noFill/>
                    <a:ln>
                      <a:noFill/>
                    </a:ln>
                  </pic:spPr>
                </pic:pic>
              </a:graphicData>
            </a:graphic>
          </wp:inline>
        </w:drawing>
      </w:r>
    </w:p>
    <w:p w14:paraId="41073F2A" w14:textId="77777777" w:rsidR="00A67FE6" w:rsidRPr="00A67FE6" w:rsidRDefault="00A67FE6" w:rsidP="00A67FE6">
      <w:pPr>
        <w:jc w:val="center"/>
        <w:rPr>
          <w:sz w:val="20"/>
        </w:rPr>
      </w:pPr>
    </w:p>
    <w:p w14:paraId="4E0F0B65"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le Bureau international a reçu 5860 demandes de corrections, ce qui représente une baisse de 4,4% par rapport à 2015.</w:t>
      </w:r>
    </w:p>
    <w:p w14:paraId="3234F311" w14:textId="77777777" w:rsidR="00A67FE6" w:rsidRPr="00A67FE6" w:rsidRDefault="00A67FE6" w:rsidP="00A67FE6">
      <w:pPr>
        <w:spacing w:before="120" w:after="240"/>
        <w:contextualSpacing/>
        <w:rPr>
          <w:rFonts w:eastAsiaTheme="minorHAnsi"/>
          <w:sz w:val="20"/>
        </w:rPr>
      </w:pPr>
    </w:p>
    <w:p w14:paraId="345D90B1" w14:textId="77777777" w:rsidR="00A67FE6" w:rsidRPr="00A67FE6" w:rsidRDefault="00A67FE6" w:rsidP="00A67FE6">
      <w:pPr>
        <w:spacing w:before="120" w:after="240"/>
        <w:contextualSpacing/>
        <w:rPr>
          <w:rFonts w:eastAsiaTheme="minorHAnsi"/>
          <w:sz w:val="20"/>
        </w:rPr>
      </w:pPr>
    </w:p>
    <w:p w14:paraId="0484B504" w14:textId="77777777" w:rsidR="00A67FE6" w:rsidRPr="00A67FE6" w:rsidRDefault="00A67FE6" w:rsidP="00A67FE6">
      <w:pPr>
        <w:keepNext/>
        <w:keepLines/>
        <w:numPr>
          <w:ilvl w:val="0"/>
          <w:numId w:val="53"/>
        </w:numPr>
        <w:tabs>
          <w:tab w:val="left" w:pos="567"/>
        </w:tabs>
        <w:spacing w:before="120" w:after="240"/>
        <w:ind w:left="0" w:firstLine="0"/>
        <w:rPr>
          <w:rFonts w:eastAsiaTheme="minorHAnsi"/>
          <w:b/>
          <w:sz w:val="20"/>
        </w:rPr>
      </w:pPr>
      <w:r w:rsidRPr="00A67FE6">
        <w:rPr>
          <w:rFonts w:eastAsiaTheme="minorHAnsi"/>
          <w:b/>
          <w:sz w:val="20"/>
        </w:rPr>
        <w:lastRenderedPageBreak/>
        <w:t>Charge de travail globale traitée</w:t>
      </w:r>
    </w:p>
    <w:p w14:paraId="7220FE57"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La charge de travail globale traitée représente le nombre total pondéré de documents traités par le Bureau international.  Les six catégories de documents sont incluses (les demandes, les renouvellements, les désignations postérieures, les modifications, les décisions et les corrections).</w:t>
      </w:r>
    </w:p>
    <w:p w14:paraId="76CA5008" w14:textId="77777777" w:rsidR="00A67FE6" w:rsidRPr="00A67FE6" w:rsidRDefault="00A67FE6" w:rsidP="00A67FE6">
      <w:pPr>
        <w:keepNext/>
        <w:keepLines/>
        <w:jc w:val="both"/>
        <w:rPr>
          <w:sz w:val="20"/>
        </w:rPr>
      </w:pPr>
    </w:p>
    <w:p w14:paraId="4A6D297C"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Étant donné que le traitement de ces différents types de documents ne nécessite pas la même quantité de ressources, ceux</w:t>
      </w:r>
      <w:r w:rsidRPr="00A67FE6">
        <w:rPr>
          <w:rFonts w:ascii="Arial" w:hAnsi="Arial" w:cs="Arial"/>
          <w:sz w:val="20"/>
          <w:szCs w:val="20"/>
        </w:rPr>
        <w:noBreakHyphen/>
        <w:t>ci ont été pondérés différemment.  Selon la répartition actuelle, pendant le temps requis pour traiter une demande internationale, un examinateur en équivalent temps plein peut traiter 1,6 renouvellement, 1,8 désignation postérieure, 1,8 modification ou 10 décisions.  De même, en ce qui concerne les documents traités automatiquement, un équivalent temps plein chargé du traitement automatique est considéré pouvoir traiter 17 documents.</w:t>
      </w:r>
    </w:p>
    <w:p w14:paraId="58DD4726" w14:textId="77777777" w:rsidR="00A67FE6" w:rsidRPr="00A67FE6" w:rsidRDefault="00A67FE6" w:rsidP="00A67FE6">
      <w:pPr>
        <w:jc w:val="both"/>
        <w:rPr>
          <w:sz w:val="20"/>
        </w:rPr>
      </w:pPr>
    </w:p>
    <w:p w14:paraId="3BFF531F" w14:textId="77777777" w:rsidR="00A67FE6" w:rsidRPr="00A67FE6" w:rsidRDefault="00A67FE6" w:rsidP="00A67FE6">
      <w:pPr>
        <w:jc w:val="center"/>
        <w:rPr>
          <w:sz w:val="20"/>
        </w:rPr>
      </w:pPr>
      <w:r w:rsidRPr="00A67FE6">
        <w:rPr>
          <w:noProof/>
          <w:sz w:val="20"/>
          <w:lang w:val="en-US"/>
        </w:rPr>
        <w:drawing>
          <wp:inline distT="0" distB="0" distL="0" distR="0" wp14:anchorId="02F1FB78" wp14:editId="1848ED95">
            <wp:extent cx="5760085" cy="3140744"/>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3140744"/>
                    </a:xfrm>
                    <a:prstGeom prst="rect">
                      <a:avLst/>
                    </a:prstGeom>
                    <a:noFill/>
                    <a:ln>
                      <a:noFill/>
                    </a:ln>
                  </pic:spPr>
                </pic:pic>
              </a:graphicData>
            </a:graphic>
          </wp:inline>
        </w:drawing>
      </w:r>
    </w:p>
    <w:p w14:paraId="4D24AFB1" w14:textId="77777777" w:rsidR="00A67FE6" w:rsidRPr="00A67FE6" w:rsidRDefault="00A67FE6" w:rsidP="00A67FE6">
      <w:pPr>
        <w:rPr>
          <w:sz w:val="20"/>
        </w:rPr>
      </w:pPr>
    </w:p>
    <w:p w14:paraId="1374F491"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la charge de travail globale traitée a diminué de 8% par rapport à 2015.  Les enregistrements, les décisions et les modifications ont représenté près de 78% de la charge de travail globale traitée.</w:t>
      </w:r>
    </w:p>
    <w:p w14:paraId="08D71B4C" w14:textId="77777777" w:rsidR="00A67FE6" w:rsidRPr="00A67FE6" w:rsidRDefault="00A67FE6" w:rsidP="00A67FE6">
      <w:pPr>
        <w:jc w:val="both"/>
        <w:rPr>
          <w:rFonts w:eastAsiaTheme="minorHAnsi"/>
          <w:sz w:val="20"/>
        </w:rPr>
      </w:pPr>
    </w:p>
    <w:p w14:paraId="3F3EE410"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La diminution générale observée en 2016 concernait notamment le nombre de désignations postérieures, d’enregistrements et de décisions traitées, avec des diminutions de 15, 14 et 12% par rapport à 2015, respectivement.  Ces chiffres résultent de l’instabilité du nouveau système informatique (MIRIS) après sa mise en place, qui a entraîné des retards dans le traitement des demandes en instance.</w:t>
      </w:r>
    </w:p>
    <w:p w14:paraId="6AC00F27" w14:textId="77777777" w:rsidR="00A67FE6" w:rsidRPr="00A67FE6" w:rsidRDefault="00A67FE6" w:rsidP="00A67FE6">
      <w:pPr>
        <w:rPr>
          <w:rFonts w:eastAsiaTheme="minorHAnsi"/>
          <w:sz w:val="20"/>
        </w:rPr>
      </w:pPr>
    </w:p>
    <w:p w14:paraId="65124719" w14:textId="77777777" w:rsidR="00A67FE6" w:rsidRPr="00A67FE6" w:rsidRDefault="00A67FE6" w:rsidP="00A67FE6">
      <w:pPr>
        <w:jc w:val="both"/>
        <w:rPr>
          <w:rFonts w:eastAsiaTheme="minorHAnsi"/>
          <w:sz w:val="20"/>
        </w:rPr>
      </w:pPr>
    </w:p>
    <w:p w14:paraId="093E748F" w14:textId="77777777" w:rsidR="00A67FE6" w:rsidRPr="00A67FE6" w:rsidRDefault="00A67FE6" w:rsidP="00A67FE6">
      <w:pPr>
        <w:keepNext/>
        <w:keepLines/>
        <w:numPr>
          <w:ilvl w:val="0"/>
          <w:numId w:val="53"/>
        </w:numPr>
        <w:tabs>
          <w:tab w:val="left" w:pos="567"/>
        </w:tabs>
        <w:spacing w:before="120" w:after="240"/>
        <w:ind w:left="0" w:firstLine="0"/>
        <w:rPr>
          <w:rFonts w:eastAsiaTheme="minorHAnsi"/>
          <w:b/>
          <w:sz w:val="20"/>
        </w:rPr>
      </w:pPr>
      <w:r w:rsidRPr="00A67FE6">
        <w:rPr>
          <w:rFonts w:eastAsiaTheme="minorHAnsi"/>
          <w:b/>
          <w:sz w:val="20"/>
        </w:rPr>
        <w:lastRenderedPageBreak/>
        <w:t>Mode de transmission des documents reçus</w:t>
      </w:r>
    </w:p>
    <w:p w14:paraId="3C0A49B2" w14:textId="77777777" w:rsidR="00A67FE6" w:rsidRPr="00A67FE6" w:rsidRDefault="00A67FE6" w:rsidP="00A67FE6">
      <w:pPr>
        <w:keepNext/>
        <w:keepLines/>
        <w:jc w:val="center"/>
        <w:rPr>
          <w:sz w:val="20"/>
        </w:rPr>
      </w:pPr>
      <w:r w:rsidRPr="00A67FE6">
        <w:rPr>
          <w:noProof/>
          <w:sz w:val="20"/>
          <w:lang w:val="en-US"/>
        </w:rPr>
        <w:drawing>
          <wp:inline distT="0" distB="0" distL="0" distR="0" wp14:anchorId="40CF2F71" wp14:editId="675BE960">
            <wp:extent cx="5760085" cy="267294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2672942"/>
                    </a:xfrm>
                    <a:prstGeom prst="rect">
                      <a:avLst/>
                    </a:prstGeom>
                    <a:noFill/>
                    <a:ln>
                      <a:noFill/>
                    </a:ln>
                  </pic:spPr>
                </pic:pic>
              </a:graphicData>
            </a:graphic>
          </wp:inline>
        </w:drawing>
      </w:r>
    </w:p>
    <w:p w14:paraId="71BA10E5" w14:textId="77777777" w:rsidR="00A67FE6" w:rsidRPr="00A67FE6" w:rsidRDefault="00A67FE6" w:rsidP="00A67FE6">
      <w:pPr>
        <w:keepNext/>
        <w:keepLines/>
        <w:rPr>
          <w:sz w:val="20"/>
        </w:rPr>
      </w:pPr>
    </w:p>
    <w:p w14:paraId="0A271C3A"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En 2016, 87% des documents reçus ont été transmis au Bureau international par voie électronique, ce qui représente une augmentation de huit points de pourcentage par rapport à 2015.</w:t>
      </w:r>
    </w:p>
    <w:p w14:paraId="19729A4A" w14:textId="77777777" w:rsidR="00A67FE6" w:rsidRPr="00A67FE6" w:rsidRDefault="00A67FE6" w:rsidP="00A67FE6">
      <w:pPr>
        <w:jc w:val="both"/>
        <w:rPr>
          <w:rFonts w:eastAsiaTheme="minorHAnsi"/>
          <w:sz w:val="20"/>
        </w:rPr>
      </w:pPr>
    </w:p>
    <w:p w14:paraId="5C95CBB8" w14:textId="77777777" w:rsidR="00A67FE6" w:rsidRPr="00A67FE6" w:rsidRDefault="00A67FE6" w:rsidP="00A67FE6">
      <w:pPr>
        <w:numPr>
          <w:ilvl w:val="0"/>
          <w:numId w:val="52"/>
        </w:numPr>
        <w:tabs>
          <w:tab w:val="clear" w:pos="720"/>
          <w:tab w:val="num" w:pos="1134"/>
        </w:tabs>
        <w:ind w:left="1134" w:hanging="567"/>
        <w:jc w:val="both"/>
        <w:rPr>
          <w:rFonts w:eastAsiaTheme="minorHAnsi"/>
          <w:sz w:val="20"/>
        </w:rPr>
      </w:pPr>
      <w:r w:rsidRPr="00A67FE6">
        <w:rPr>
          <w:rFonts w:eastAsiaTheme="minorHAnsi"/>
          <w:sz w:val="20"/>
        </w:rPr>
        <w:t>La proportion des documents transmis par voie électronique a augmenté constamment depuis 2008, sauf en 2014, où celle</w:t>
      </w:r>
      <w:r w:rsidRPr="00A67FE6">
        <w:rPr>
          <w:rFonts w:eastAsiaTheme="minorHAnsi"/>
          <w:sz w:val="20"/>
        </w:rPr>
        <w:noBreakHyphen/>
        <w:t>ci a diminué d’un point de pourcentage.</w:t>
      </w:r>
    </w:p>
    <w:p w14:paraId="79B52C94" w14:textId="77777777" w:rsidR="00A67FE6" w:rsidRPr="00A67FE6" w:rsidRDefault="00A67FE6" w:rsidP="00A67FE6">
      <w:pPr>
        <w:tabs>
          <w:tab w:val="num" w:pos="993"/>
        </w:tabs>
        <w:jc w:val="both"/>
        <w:rPr>
          <w:sz w:val="20"/>
        </w:rPr>
      </w:pPr>
    </w:p>
    <w:p w14:paraId="367C28B2" w14:textId="77777777" w:rsidR="00A67FE6" w:rsidRPr="00A67FE6" w:rsidRDefault="00A67FE6" w:rsidP="00A67FE6">
      <w:pPr>
        <w:tabs>
          <w:tab w:val="num" w:pos="993"/>
        </w:tabs>
        <w:jc w:val="both"/>
        <w:rPr>
          <w:sz w:val="20"/>
        </w:rPr>
      </w:pPr>
    </w:p>
    <w:p w14:paraId="543202F7" w14:textId="77777777" w:rsidR="00A67FE6" w:rsidRPr="00A67FE6" w:rsidRDefault="00A67FE6" w:rsidP="00A67FE6">
      <w:pPr>
        <w:numPr>
          <w:ilvl w:val="0"/>
          <w:numId w:val="53"/>
        </w:numPr>
        <w:tabs>
          <w:tab w:val="left" w:pos="567"/>
        </w:tabs>
        <w:spacing w:before="120" w:after="240"/>
        <w:ind w:left="0" w:firstLine="0"/>
        <w:rPr>
          <w:rFonts w:eastAsiaTheme="minorHAnsi"/>
          <w:b/>
          <w:sz w:val="20"/>
        </w:rPr>
      </w:pPr>
      <w:r w:rsidRPr="00A67FE6">
        <w:rPr>
          <w:rFonts w:eastAsiaTheme="minorHAnsi"/>
          <w:b/>
          <w:sz w:val="20"/>
        </w:rPr>
        <w:t>Traitement</w:t>
      </w:r>
    </w:p>
    <w:p w14:paraId="1DA89074" w14:textId="77777777" w:rsidR="00A67FE6" w:rsidRPr="00A67FE6" w:rsidRDefault="00A67FE6" w:rsidP="00A67FE6">
      <w:pPr>
        <w:rPr>
          <w:rFonts w:eastAsiaTheme="minorHAnsi"/>
          <w:sz w:val="20"/>
          <w:u w:val="single"/>
        </w:rPr>
      </w:pPr>
      <w:r w:rsidRPr="00A67FE6">
        <w:rPr>
          <w:rFonts w:eastAsiaTheme="minorHAnsi"/>
          <w:sz w:val="20"/>
          <w:u w:val="single"/>
        </w:rPr>
        <w:t>Coût de production total</w:t>
      </w:r>
    </w:p>
    <w:p w14:paraId="66BA79FF" w14:textId="77777777" w:rsidR="00A67FE6" w:rsidRPr="00A67FE6" w:rsidRDefault="00A67FE6" w:rsidP="00A67FE6">
      <w:pPr>
        <w:rPr>
          <w:rFonts w:eastAsiaTheme="minorHAnsi"/>
          <w:sz w:val="20"/>
          <w:u w:val="single"/>
        </w:rPr>
      </w:pPr>
    </w:p>
    <w:p w14:paraId="1AE70CE5"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 coût de production total comprend les dépenses se rapportant exclusivement au système de Madrid et celles relatives aux activités de soutien à ce système.</w:t>
      </w:r>
    </w:p>
    <w:p w14:paraId="2CE67E31" w14:textId="77777777" w:rsidR="00A67FE6" w:rsidRPr="00A67FE6" w:rsidRDefault="00A67FE6" w:rsidP="00A67FE6">
      <w:pPr>
        <w:pStyle w:val="ListParagraph"/>
        <w:keepNext/>
        <w:keepLines/>
        <w:tabs>
          <w:tab w:val="left" w:pos="567"/>
        </w:tabs>
        <w:ind w:left="0"/>
        <w:jc w:val="both"/>
        <w:rPr>
          <w:rFonts w:ascii="Arial" w:hAnsi="Arial" w:cs="Arial"/>
          <w:sz w:val="20"/>
          <w:szCs w:val="20"/>
        </w:rPr>
      </w:pPr>
    </w:p>
    <w:p w14:paraId="2183DED7"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En ce qui concerne les données antérieures à 2016, les dépenses se rapportant exclusivement au système de Madrid comptaient pour environ 96% des dépenses du programme 6.  À compter de 2016, les dépenses relatives au système de Madrid servant à financer les systèmes de La Haye et de Lisbonne ne sont plus prises en considération dans les calculs.  Avant l’exercice biennal 2016</w:t>
      </w:r>
      <w:r w:rsidRPr="00A67FE6">
        <w:rPr>
          <w:rFonts w:ascii="Arial" w:hAnsi="Arial" w:cs="Arial"/>
          <w:sz w:val="20"/>
          <w:szCs w:val="20"/>
        </w:rPr>
        <w:noBreakHyphen/>
        <w:t>2017, les dépenses concernant la traduction et le développement des systèmes informatiques en rapport avec les systèmes de La Haye et de Lisbonne faisaient partie de l’enveloppe globale des dépenses du programme 6.  Compte tenu des changements apportés à la méthode de calcul, les données pour 2016 ne sont pas comparables aux données pour les années précédentes et sont donc présentées séparément.</w:t>
      </w:r>
    </w:p>
    <w:p w14:paraId="5B08AB0E" w14:textId="77777777" w:rsidR="00A67FE6" w:rsidRPr="00A67FE6" w:rsidRDefault="00A67FE6" w:rsidP="00A67FE6">
      <w:pPr>
        <w:keepNext/>
        <w:keepLines/>
        <w:tabs>
          <w:tab w:val="left" w:pos="567"/>
        </w:tabs>
        <w:jc w:val="both"/>
        <w:rPr>
          <w:sz w:val="20"/>
        </w:rPr>
      </w:pPr>
    </w:p>
    <w:p w14:paraId="769726D4"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Les dépenses relatives aux activités de soutien au système de Madrid comprennent les sommes consacrées aux services généraux suivants : services de conférences et services linguistiques, construction, direction générale, finances et budget, services d’appui généraux, gestion des ressources humaines, supervision interne, informatique ainsi que sûreté et sécurité.  Une faible partie de ces dépenses (coûts d’hébergement de serveurs au Centre international de calcul des Nations Unies (UNICC) et une partie des coûts de la Section des recettes aux finances) est affectée directement au système de Madrid, tandis que le reste de ces dépenses attribuable au système de Madrid est calculé en fonction des effectifs (y compris les fonctionnaires titulaires d’un contrat à durée déterminée, les fonctionnaires temporaires et les boursiers).</w:t>
      </w:r>
    </w:p>
    <w:p w14:paraId="1FB97EB1" w14:textId="77777777" w:rsidR="00A67FE6" w:rsidRPr="00A67FE6" w:rsidRDefault="00A67FE6" w:rsidP="00A67FE6">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9"/>
        <w:gridCol w:w="3238"/>
      </w:tblGrid>
      <w:tr w:rsidR="00A67FE6" w:rsidRPr="00A67FE6" w14:paraId="4D916E07" w14:textId="77777777" w:rsidTr="00777681">
        <w:tc>
          <w:tcPr>
            <w:tcW w:w="6009" w:type="dxa"/>
          </w:tcPr>
          <w:p w14:paraId="2A3E0087" w14:textId="77777777" w:rsidR="00A67FE6" w:rsidRPr="00A67FE6" w:rsidRDefault="00A67FE6" w:rsidP="00777681">
            <w:pPr>
              <w:jc w:val="center"/>
              <w:rPr>
                <w:sz w:val="20"/>
              </w:rPr>
            </w:pPr>
            <w:r w:rsidRPr="00A67FE6">
              <w:rPr>
                <w:noProof/>
                <w:sz w:val="20"/>
                <w:lang w:val="en-US"/>
              </w:rPr>
              <w:lastRenderedPageBreak/>
              <w:drawing>
                <wp:inline distT="0" distB="0" distL="0" distR="0" wp14:anchorId="4C14F439" wp14:editId="5AE9FB35">
                  <wp:extent cx="3716980" cy="2376000"/>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16980" cy="2376000"/>
                          </a:xfrm>
                          <a:prstGeom prst="rect">
                            <a:avLst/>
                          </a:prstGeom>
                          <a:noFill/>
                          <a:ln>
                            <a:noFill/>
                          </a:ln>
                        </pic:spPr>
                      </pic:pic>
                    </a:graphicData>
                  </a:graphic>
                </wp:inline>
              </w:drawing>
            </w:r>
          </w:p>
        </w:tc>
        <w:tc>
          <w:tcPr>
            <w:tcW w:w="3278" w:type="dxa"/>
          </w:tcPr>
          <w:p w14:paraId="27A705AC" w14:textId="77777777" w:rsidR="00A67FE6" w:rsidRPr="00A67FE6" w:rsidRDefault="00A67FE6" w:rsidP="00777681">
            <w:pPr>
              <w:jc w:val="center"/>
              <w:rPr>
                <w:sz w:val="20"/>
              </w:rPr>
            </w:pPr>
            <w:r w:rsidRPr="00A67FE6">
              <w:rPr>
                <w:noProof/>
                <w:sz w:val="20"/>
                <w:lang w:val="en-US"/>
              </w:rPr>
              <w:drawing>
                <wp:inline distT="0" distB="0" distL="0" distR="0" wp14:anchorId="5D570B8D" wp14:editId="6F62FE41">
                  <wp:extent cx="1926558" cy="2376000"/>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6558" cy="2376000"/>
                          </a:xfrm>
                          <a:prstGeom prst="rect">
                            <a:avLst/>
                          </a:prstGeom>
                          <a:noFill/>
                          <a:ln>
                            <a:noFill/>
                          </a:ln>
                        </pic:spPr>
                      </pic:pic>
                    </a:graphicData>
                  </a:graphic>
                </wp:inline>
              </w:drawing>
            </w:r>
          </w:p>
        </w:tc>
      </w:tr>
    </w:tbl>
    <w:p w14:paraId="5F36D483" w14:textId="77777777" w:rsidR="00A67FE6" w:rsidRPr="00A67FE6" w:rsidRDefault="00A67FE6" w:rsidP="00A67FE6">
      <w:pPr>
        <w:jc w:val="center"/>
        <w:rPr>
          <w:sz w:val="20"/>
        </w:rPr>
      </w:pPr>
    </w:p>
    <w:p w14:paraId="55839ADA" w14:textId="77777777" w:rsidR="00A67FE6" w:rsidRPr="00A67FE6" w:rsidRDefault="00A67FE6" w:rsidP="00A67FE6">
      <w:pPr>
        <w:numPr>
          <w:ilvl w:val="0"/>
          <w:numId w:val="54"/>
        </w:numPr>
        <w:tabs>
          <w:tab w:val="num" w:pos="1134"/>
        </w:tabs>
        <w:ind w:left="1134" w:hanging="567"/>
        <w:jc w:val="both"/>
        <w:rPr>
          <w:rFonts w:eastAsiaTheme="minorHAnsi"/>
          <w:sz w:val="20"/>
        </w:rPr>
      </w:pPr>
      <w:r w:rsidRPr="00A67FE6">
        <w:rPr>
          <w:rFonts w:eastAsiaTheme="minorHAnsi"/>
          <w:sz w:val="20"/>
        </w:rPr>
        <w:t>Le coût de production total est estimé à 41,8 millions de francs suisses pour 2016.</w:t>
      </w:r>
    </w:p>
    <w:p w14:paraId="34D8814D" w14:textId="77777777" w:rsidR="00A67FE6" w:rsidRPr="00A67FE6" w:rsidRDefault="00A67FE6" w:rsidP="00A67FE6">
      <w:pPr>
        <w:jc w:val="both"/>
        <w:rPr>
          <w:rFonts w:eastAsiaTheme="minorHAnsi"/>
          <w:sz w:val="20"/>
        </w:rPr>
      </w:pPr>
    </w:p>
    <w:p w14:paraId="70E53439" w14:textId="77777777" w:rsidR="00A67FE6" w:rsidRPr="00A67FE6" w:rsidRDefault="00A67FE6" w:rsidP="00A67FE6">
      <w:pPr>
        <w:numPr>
          <w:ilvl w:val="0"/>
          <w:numId w:val="54"/>
        </w:numPr>
        <w:tabs>
          <w:tab w:val="num" w:pos="1134"/>
        </w:tabs>
        <w:ind w:left="1134" w:hanging="567"/>
        <w:jc w:val="both"/>
        <w:rPr>
          <w:rFonts w:eastAsiaTheme="minorHAnsi"/>
          <w:sz w:val="20"/>
        </w:rPr>
      </w:pPr>
      <w:r w:rsidRPr="00A67FE6">
        <w:rPr>
          <w:rFonts w:eastAsiaTheme="minorHAnsi"/>
          <w:sz w:val="20"/>
        </w:rPr>
        <w:t>En 2016, les coûts directs ont représenté 61% du total des coûts.</w:t>
      </w:r>
    </w:p>
    <w:p w14:paraId="241152F7" w14:textId="77777777" w:rsidR="00A67FE6" w:rsidRPr="00A67FE6" w:rsidRDefault="00A67FE6" w:rsidP="00A67FE6">
      <w:pPr>
        <w:jc w:val="both"/>
        <w:rPr>
          <w:sz w:val="20"/>
        </w:rPr>
      </w:pPr>
    </w:p>
    <w:p w14:paraId="47A8828E" w14:textId="77777777" w:rsidR="00A67FE6" w:rsidRPr="00A67FE6" w:rsidRDefault="00A67FE6" w:rsidP="00A67FE6">
      <w:pPr>
        <w:rPr>
          <w:rFonts w:eastAsiaTheme="minorHAnsi"/>
          <w:sz w:val="20"/>
          <w:u w:val="single"/>
        </w:rPr>
      </w:pPr>
      <w:r w:rsidRPr="00A67FE6">
        <w:rPr>
          <w:rFonts w:eastAsiaTheme="minorHAnsi"/>
          <w:sz w:val="20"/>
          <w:u w:val="single"/>
        </w:rPr>
        <w:t>Coût unitaire</w:t>
      </w:r>
    </w:p>
    <w:p w14:paraId="26A55D9A" w14:textId="77777777" w:rsidR="00A67FE6" w:rsidRPr="00A67FE6" w:rsidRDefault="00A67FE6" w:rsidP="00A67FE6">
      <w:pPr>
        <w:rPr>
          <w:rFonts w:eastAsiaTheme="minorHAnsi"/>
          <w:sz w:val="20"/>
          <w:u w:val="single"/>
        </w:rPr>
      </w:pPr>
    </w:p>
    <w:p w14:paraId="31049285"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L’efficacité du Bureau international dans le traitement des opérations peut être mesurée à l’aide du coût unitaire, défini comme le coût moyen d’une unité produite.</w:t>
      </w:r>
    </w:p>
    <w:p w14:paraId="1775CD4A" w14:textId="77777777" w:rsidR="00A67FE6" w:rsidRPr="00A67FE6" w:rsidRDefault="00A67FE6" w:rsidP="00A67FE6">
      <w:pPr>
        <w:contextualSpacing/>
        <w:jc w:val="both"/>
        <w:rPr>
          <w:sz w:val="20"/>
        </w:rPr>
      </w:pPr>
    </w:p>
    <w:p w14:paraId="1D51429D"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Étant donné que le Bureau international est chargé d’enregistrer de nouvelles demandes et de maintenir les enregistrements existants, il convient d’utiliser une unité de production qui comprend un ensemble d’opérations.  Deux indicateurs de coût unitaire sont présentés ci</w:t>
      </w:r>
      <w:r w:rsidRPr="00A67FE6">
        <w:rPr>
          <w:rFonts w:ascii="Arial" w:hAnsi="Arial" w:cs="Arial"/>
          <w:sz w:val="20"/>
          <w:szCs w:val="20"/>
        </w:rPr>
        <w:noBreakHyphen/>
        <w:t>dessous, déterminés en fonction de deux unités de production différentes.</w:t>
      </w:r>
    </w:p>
    <w:p w14:paraId="51753363" w14:textId="77777777" w:rsidR="00A67FE6" w:rsidRPr="00A67FE6" w:rsidRDefault="00A67FE6" w:rsidP="00A67FE6">
      <w:pPr>
        <w:pStyle w:val="ListParagraph"/>
        <w:tabs>
          <w:tab w:val="left" w:pos="567"/>
        </w:tabs>
        <w:ind w:left="0"/>
        <w:jc w:val="both"/>
        <w:rPr>
          <w:rFonts w:ascii="Arial" w:hAnsi="Arial" w:cs="Arial"/>
          <w:sz w:val="20"/>
          <w:szCs w:val="20"/>
        </w:rPr>
      </w:pPr>
    </w:p>
    <w:p w14:paraId="18413934"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Dans le cadre des efforts déployés par le Bureau international afin de constamment perfectionner la méthode de calcul des coûts unitaires, celle</w:t>
      </w:r>
      <w:r w:rsidRPr="00A67FE6">
        <w:rPr>
          <w:rFonts w:ascii="Arial" w:hAnsi="Arial" w:cs="Arial"/>
          <w:sz w:val="20"/>
          <w:szCs w:val="20"/>
        </w:rPr>
        <w:noBreakHyphen/>
        <w:t>ci a été révisée en 2016 afin de mieux prendre en considération le coût du traitement de la charge de travail effectuée dans le cadre du système de Madrid par le Bureau international :</w:t>
      </w:r>
    </w:p>
    <w:p w14:paraId="193C4A5F" w14:textId="77777777" w:rsidR="00A67FE6" w:rsidRPr="00A67FE6" w:rsidRDefault="00A67FE6" w:rsidP="00A67FE6">
      <w:pPr>
        <w:pStyle w:val="ListParagraph"/>
        <w:tabs>
          <w:tab w:val="left" w:pos="567"/>
        </w:tabs>
        <w:ind w:left="0"/>
        <w:jc w:val="both"/>
        <w:rPr>
          <w:rFonts w:ascii="Arial" w:hAnsi="Arial" w:cs="Arial"/>
          <w:sz w:val="20"/>
          <w:szCs w:val="20"/>
        </w:rPr>
      </w:pPr>
    </w:p>
    <w:p w14:paraId="38FDE71E" w14:textId="77777777" w:rsidR="00A67FE6" w:rsidRPr="00A67FE6" w:rsidRDefault="00A67FE6" w:rsidP="00A67FE6">
      <w:pPr>
        <w:numPr>
          <w:ilvl w:val="0"/>
          <w:numId w:val="54"/>
        </w:numPr>
        <w:tabs>
          <w:tab w:val="num" w:pos="1134"/>
        </w:tabs>
        <w:ind w:left="1134" w:hanging="567"/>
        <w:jc w:val="both"/>
        <w:rPr>
          <w:rFonts w:eastAsiaTheme="minorHAnsi"/>
          <w:sz w:val="20"/>
        </w:rPr>
      </w:pPr>
      <w:r w:rsidRPr="00A67FE6">
        <w:rPr>
          <w:rFonts w:eastAsiaTheme="minorHAnsi"/>
          <w:sz w:val="20"/>
        </w:rPr>
        <w:t>La méthode de calcul des coûts directs et indirects du système de Madrid a été alignée sur celles utilisées pour calculer les coûts unitaires des systèmes du PCT et de La Haye.</w:t>
      </w:r>
    </w:p>
    <w:p w14:paraId="7F98441C" w14:textId="77777777" w:rsidR="00A67FE6" w:rsidRPr="00A67FE6" w:rsidRDefault="00A67FE6" w:rsidP="00A67FE6">
      <w:pPr>
        <w:jc w:val="both"/>
        <w:rPr>
          <w:rFonts w:eastAsiaTheme="minorHAnsi"/>
          <w:sz w:val="20"/>
        </w:rPr>
      </w:pPr>
    </w:p>
    <w:p w14:paraId="0F79DAB0" w14:textId="77777777" w:rsidR="00A67FE6" w:rsidRPr="00A67FE6" w:rsidRDefault="00A67FE6" w:rsidP="00A67FE6">
      <w:pPr>
        <w:numPr>
          <w:ilvl w:val="0"/>
          <w:numId w:val="54"/>
        </w:numPr>
        <w:tabs>
          <w:tab w:val="num" w:pos="1134"/>
        </w:tabs>
        <w:ind w:left="1134" w:hanging="567"/>
        <w:jc w:val="both"/>
        <w:rPr>
          <w:rFonts w:eastAsiaTheme="minorHAnsi"/>
          <w:sz w:val="20"/>
        </w:rPr>
      </w:pPr>
      <w:r w:rsidRPr="00A67FE6">
        <w:rPr>
          <w:rFonts w:eastAsiaTheme="minorHAnsi"/>
          <w:sz w:val="20"/>
        </w:rPr>
        <w:t>Le système de pondération décrit dans la section II a été mis en place afin d’obtenir une meilleure approximation du travail réellement nécessaire au traitement des six catégories de documents, compte tenu du fait que certains de ces documents exigent plus de travail que d’autres</w:t>
      </w:r>
      <w:r w:rsidRPr="00A67FE6">
        <w:rPr>
          <w:rFonts w:eastAsiaTheme="minorHAnsi"/>
          <w:sz w:val="20"/>
          <w:vertAlign w:val="superscript"/>
        </w:rPr>
        <w:footnoteReference w:id="38"/>
      </w:r>
      <w:r w:rsidRPr="00A67FE6">
        <w:rPr>
          <w:rFonts w:eastAsiaTheme="minorHAnsi"/>
          <w:sz w:val="20"/>
        </w:rPr>
        <w:t>.</w:t>
      </w:r>
    </w:p>
    <w:p w14:paraId="50C756CC" w14:textId="77777777" w:rsidR="00A67FE6" w:rsidRPr="00A67FE6" w:rsidRDefault="00A67FE6" w:rsidP="00A67FE6">
      <w:pPr>
        <w:jc w:val="both"/>
        <w:rPr>
          <w:rFonts w:eastAsiaTheme="minorHAnsi"/>
          <w:sz w:val="20"/>
        </w:rPr>
      </w:pPr>
    </w:p>
    <w:p w14:paraId="0A59A72E" w14:textId="77777777" w:rsidR="00A67FE6" w:rsidRPr="00A67FE6" w:rsidRDefault="00A67FE6" w:rsidP="00A67FE6">
      <w:pPr>
        <w:numPr>
          <w:ilvl w:val="0"/>
          <w:numId w:val="54"/>
        </w:numPr>
        <w:tabs>
          <w:tab w:val="num" w:pos="1134"/>
        </w:tabs>
        <w:ind w:left="1134" w:hanging="567"/>
        <w:jc w:val="both"/>
        <w:rPr>
          <w:rFonts w:eastAsiaTheme="minorHAnsi"/>
          <w:sz w:val="20"/>
        </w:rPr>
      </w:pPr>
      <w:r w:rsidRPr="00A67FE6">
        <w:rPr>
          <w:rFonts w:eastAsiaTheme="minorHAnsi"/>
          <w:sz w:val="20"/>
        </w:rPr>
        <w:t xml:space="preserve">Le coût unitaire par nouvel enregistrement ou renouvellement a été redéfini pour tenir compte uniquement des nouveaux enregistrements internationaux et des renouvellements.  La raison du retrait des désignations postérieures en tant que composante de ce coût unitaire est la volonté de mettre l’accent sur les opérations essentielles du système de Madrid, à savoir les enregistrements internationaux et leur renouvellement.  </w:t>
      </w:r>
      <w:r w:rsidRPr="00A67FE6">
        <w:rPr>
          <w:sz w:val="20"/>
        </w:rPr>
        <w:t>Toutes les autres opérations effectuées dans le cadre du système de Madrid (les désignations postérieures, les modifications, les décisions et les corrections) peuvent être considérées comme étant secondaires à ces deux opérations essentielles.  En outre, il n’existe pas de véritable justification pour inclure l’une de ces opérations secondaires en tant qu’élément du coût unitaire et non les autres.</w:t>
      </w:r>
    </w:p>
    <w:p w14:paraId="2C6F45BC" w14:textId="77777777" w:rsidR="00A67FE6" w:rsidRPr="00A67FE6" w:rsidRDefault="00A67FE6" w:rsidP="00A67FE6">
      <w:pPr>
        <w:jc w:val="both"/>
        <w:rPr>
          <w:rFonts w:eastAsiaTheme="minorHAnsi"/>
          <w:sz w:val="20"/>
        </w:rPr>
      </w:pPr>
    </w:p>
    <w:p w14:paraId="43D315B6" w14:textId="77777777" w:rsidR="00A67FE6" w:rsidRPr="00A67FE6" w:rsidRDefault="00A67FE6" w:rsidP="00A67FE6">
      <w:pPr>
        <w:numPr>
          <w:ilvl w:val="0"/>
          <w:numId w:val="54"/>
        </w:numPr>
        <w:tabs>
          <w:tab w:val="num" w:pos="1134"/>
        </w:tabs>
        <w:ind w:left="1134" w:hanging="567"/>
        <w:jc w:val="both"/>
        <w:rPr>
          <w:rFonts w:eastAsiaTheme="minorHAnsi"/>
          <w:sz w:val="20"/>
        </w:rPr>
      </w:pPr>
      <w:r w:rsidRPr="00A67FE6">
        <w:rPr>
          <w:rFonts w:eastAsiaTheme="minorHAnsi"/>
          <w:sz w:val="20"/>
        </w:rPr>
        <w:t>Le second coût unitaire est fondé exclusivement sur le nombre de documents inscrits au registre, indépendamment du niveau des ressources nécessaires à leur traitement.</w:t>
      </w:r>
    </w:p>
    <w:p w14:paraId="13F4CDD9" w14:textId="77777777" w:rsidR="00A67FE6" w:rsidRPr="00A67FE6" w:rsidRDefault="00A67FE6" w:rsidP="00A67FE6">
      <w:pPr>
        <w:jc w:val="both"/>
        <w:rPr>
          <w:sz w:val="20"/>
        </w:rPr>
      </w:pPr>
    </w:p>
    <w:p w14:paraId="3189B26F" w14:textId="77777777" w:rsidR="00A67FE6" w:rsidRPr="00A67FE6" w:rsidRDefault="00A67FE6" w:rsidP="00A67FE6">
      <w:pPr>
        <w:keepNext/>
        <w:keepLines/>
        <w:rPr>
          <w:rFonts w:eastAsiaTheme="minorHAnsi"/>
          <w:i/>
          <w:sz w:val="20"/>
        </w:rPr>
      </w:pPr>
      <w:r w:rsidRPr="00A67FE6">
        <w:rPr>
          <w:rFonts w:eastAsiaTheme="minorHAnsi"/>
          <w:i/>
          <w:sz w:val="20"/>
        </w:rPr>
        <w:lastRenderedPageBreak/>
        <w:t>Coût unitaire par nouvel enregistrement ou renouvellement</w:t>
      </w:r>
    </w:p>
    <w:p w14:paraId="0A8F136F" w14:textId="77777777" w:rsidR="00A67FE6" w:rsidRPr="00A67FE6" w:rsidRDefault="00A67FE6" w:rsidP="00A67FE6">
      <w:pPr>
        <w:keepNext/>
        <w:keepLines/>
        <w:rPr>
          <w:rFonts w:eastAsiaTheme="minorHAnsi"/>
          <w:iCs/>
          <w:sz w:val="20"/>
        </w:rPr>
      </w:pPr>
    </w:p>
    <w:p w14:paraId="2DE94B43"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Les nouveaux enregistrements internationaux comprennent les demandes enregistrées au cours d’une année donnée, et les renouvellements d’enregistrements internationaux comprennent les enregistrements existants qui sont renouvelés au cours d’une année donnée.  Ensemble, ces deux types d’opération constituent le cœur de l’activité du Bureau international.</w:t>
      </w:r>
    </w:p>
    <w:p w14:paraId="69F91D2F" w14:textId="77777777" w:rsidR="00A67FE6" w:rsidRPr="00A67FE6" w:rsidRDefault="00A67FE6" w:rsidP="00A67FE6">
      <w:pPr>
        <w:jc w:val="both"/>
        <w:rPr>
          <w:sz w:val="20"/>
        </w:rPr>
      </w:pPr>
    </w:p>
    <w:p w14:paraId="14E177BB"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Étant donné que le traitement de ces deux catégories d’opérations requiert des ressources différentes, elles sont pondérées différemment</w:t>
      </w:r>
      <w:r w:rsidRPr="00A67FE6">
        <w:rPr>
          <w:rStyle w:val="FootnoteReference"/>
          <w:rFonts w:eastAsiaTheme="minorEastAsia" w:cs="Arial"/>
          <w:sz w:val="20"/>
        </w:rPr>
        <w:footnoteReference w:id="39"/>
      </w:r>
      <w:r w:rsidRPr="00A67FE6">
        <w:rPr>
          <w:rFonts w:ascii="Arial" w:hAnsi="Arial" w:cs="Arial"/>
          <w:sz w:val="20"/>
          <w:szCs w:val="20"/>
        </w:rPr>
        <w:t>.  Le coût unitaire est obtenu en divisant le coût total de production par le nombre de nouveaux enregistrements internationaux ou de renouvellements.</w:t>
      </w:r>
    </w:p>
    <w:p w14:paraId="28BB0ABD" w14:textId="77777777" w:rsidR="00A67FE6" w:rsidRPr="00A67FE6" w:rsidRDefault="00A67FE6" w:rsidP="00A67FE6">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743"/>
      </w:tblGrid>
      <w:tr w:rsidR="00A67FE6" w:rsidRPr="00A67FE6" w14:paraId="66266613" w14:textId="77777777" w:rsidTr="00777681">
        <w:trPr>
          <w:cantSplit/>
        </w:trPr>
        <w:tc>
          <w:tcPr>
            <w:tcW w:w="4788" w:type="dxa"/>
          </w:tcPr>
          <w:p w14:paraId="2A97CB47" w14:textId="77777777" w:rsidR="00A67FE6" w:rsidRPr="00A67FE6" w:rsidRDefault="00A67FE6" w:rsidP="00777681">
            <w:pPr>
              <w:jc w:val="center"/>
              <w:rPr>
                <w:sz w:val="20"/>
              </w:rPr>
            </w:pPr>
          </w:p>
        </w:tc>
        <w:tc>
          <w:tcPr>
            <w:tcW w:w="4788" w:type="dxa"/>
          </w:tcPr>
          <w:p w14:paraId="1C5E3BBC" w14:textId="77777777" w:rsidR="00A67FE6" w:rsidRPr="00A67FE6" w:rsidRDefault="00A67FE6" w:rsidP="00777681">
            <w:pPr>
              <w:jc w:val="center"/>
              <w:rPr>
                <w:sz w:val="20"/>
              </w:rPr>
            </w:pPr>
          </w:p>
        </w:tc>
      </w:tr>
      <w:tr w:rsidR="00A67FE6" w:rsidRPr="00A67FE6" w14:paraId="795EE486" w14:textId="77777777" w:rsidTr="00777681">
        <w:trPr>
          <w:cantSplit/>
        </w:trPr>
        <w:tc>
          <w:tcPr>
            <w:tcW w:w="4788" w:type="dxa"/>
          </w:tcPr>
          <w:p w14:paraId="6A26CB61" w14:textId="77777777" w:rsidR="00A67FE6" w:rsidRPr="00A67FE6" w:rsidRDefault="00A67FE6" w:rsidP="00777681">
            <w:pPr>
              <w:jc w:val="center"/>
              <w:rPr>
                <w:sz w:val="20"/>
              </w:rPr>
            </w:pPr>
            <w:r w:rsidRPr="00A67FE6">
              <w:rPr>
                <w:noProof/>
                <w:sz w:val="20"/>
                <w:lang w:val="en-US"/>
              </w:rPr>
              <w:drawing>
                <wp:inline distT="0" distB="0" distL="0" distR="0" wp14:anchorId="43C1023E" wp14:editId="5E7FDD50">
                  <wp:extent cx="3398224" cy="2340000"/>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98224" cy="2340000"/>
                          </a:xfrm>
                          <a:prstGeom prst="rect">
                            <a:avLst/>
                          </a:prstGeom>
                          <a:noFill/>
                          <a:ln>
                            <a:noFill/>
                          </a:ln>
                        </pic:spPr>
                      </pic:pic>
                    </a:graphicData>
                  </a:graphic>
                </wp:inline>
              </w:drawing>
            </w:r>
          </w:p>
        </w:tc>
        <w:tc>
          <w:tcPr>
            <w:tcW w:w="4788" w:type="dxa"/>
          </w:tcPr>
          <w:p w14:paraId="6D553854" w14:textId="77777777" w:rsidR="00A67FE6" w:rsidRPr="00A67FE6" w:rsidRDefault="00A67FE6" w:rsidP="00777681">
            <w:pPr>
              <w:jc w:val="center"/>
              <w:rPr>
                <w:sz w:val="20"/>
              </w:rPr>
            </w:pPr>
            <w:r w:rsidRPr="00A67FE6">
              <w:rPr>
                <w:noProof/>
                <w:sz w:val="20"/>
                <w:lang w:val="en-US"/>
              </w:rPr>
              <w:drawing>
                <wp:inline distT="0" distB="0" distL="0" distR="0" wp14:anchorId="6A5A2944" wp14:editId="1FEE026D">
                  <wp:extent cx="2249898" cy="2340000"/>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9898" cy="2340000"/>
                          </a:xfrm>
                          <a:prstGeom prst="rect">
                            <a:avLst/>
                          </a:prstGeom>
                          <a:noFill/>
                          <a:ln>
                            <a:noFill/>
                          </a:ln>
                        </pic:spPr>
                      </pic:pic>
                    </a:graphicData>
                  </a:graphic>
                </wp:inline>
              </w:drawing>
            </w:r>
          </w:p>
        </w:tc>
      </w:tr>
    </w:tbl>
    <w:p w14:paraId="4871EC2E" w14:textId="77777777" w:rsidR="00A67FE6" w:rsidRPr="00A67FE6" w:rsidRDefault="00A67FE6" w:rsidP="00A67FE6">
      <w:pPr>
        <w:pStyle w:val="ListParagraph"/>
        <w:tabs>
          <w:tab w:val="left" w:pos="567"/>
        </w:tabs>
        <w:ind w:left="0"/>
        <w:jc w:val="both"/>
        <w:rPr>
          <w:rFonts w:ascii="Arial" w:hAnsi="Arial" w:cs="Arial"/>
          <w:sz w:val="20"/>
          <w:szCs w:val="20"/>
        </w:rPr>
      </w:pPr>
    </w:p>
    <w:p w14:paraId="557E7228" w14:textId="77777777" w:rsidR="00A67FE6" w:rsidRPr="00A67FE6" w:rsidRDefault="00A67FE6" w:rsidP="00A67FE6">
      <w:pPr>
        <w:numPr>
          <w:ilvl w:val="0"/>
          <w:numId w:val="55"/>
        </w:numPr>
        <w:tabs>
          <w:tab w:val="num" w:pos="1134"/>
        </w:tabs>
        <w:ind w:left="1134" w:hanging="567"/>
        <w:jc w:val="both"/>
        <w:rPr>
          <w:rFonts w:eastAsiaTheme="minorHAnsi"/>
          <w:sz w:val="20"/>
        </w:rPr>
      </w:pPr>
      <w:r w:rsidRPr="00A67FE6">
        <w:rPr>
          <w:rFonts w:eastAsiaTheme="minorHAnsi"/>
          <w:sz w:val="20"/>
        </w:rPr>
        <w:t>Le coût moyen du traitement d’un enregistrement international ou d’un renouvellement était de 746 francs suisses en 2016.</w:t>
      </w:r>
    </w:p>
    <w:p w14:paraId="6EEE5360" w14:textId="77777777" w:rsidR="00A67FE6" w:rsidRPr="00A67FE6" w:rsidRDefault="00A67FE6" w:rsidP="00A67FE6">
      <w:pPr>
        <w:keepNext/>
        <w:keepLines/>
        <w:rPr>
          <w:sz w:val="20"/>
        </w:rPr>
      </w:pPr>
    </w:p>
    <w:p w14:paraId="48018AD4" w14:textId="77777777" w:rsidR="00A67FE6" w:rsidRPr="00A67FE6" w:rsidRDefault="00A67FE6" w:rsidP="00A67FE6">
      <w:pPr>
        <w:keepNext/>
        <w:keepLines/>
        <w:rPr>
          <w:rFonts w:eastAsiaTheme="minorHAnsi"/>
          <w:i/>
          <w:sz w:val="20"/>
        </w:rPr>
      </w:pPr>
      <w:r w:rsidRPr="00A67FE6">
        <w:rPr>
          <w:rFonts w:eastAsiaTheme="minorHAnsi"/>
          <w:i/>
          <w:sz w:val="20"/>
        </w:rPr>
        <w:t>Coût unitaire par document inscrit au registre</w:t>
      </w:r>
    </w:p>
    <w:p w14:paraId="7E37B1B7" w14:textId="77777777" w:rsidR="00A67FE6" w:rsidRPr="00A67FE6" w:rsidRDefault="00A67FE6" w:rsidP="00A67FE6">
      <w:pPr>
        <w:keepNext/>
        <w:keepLines/>
        <w:rPr>
          <w:rFonts w:eastAsiaTheme="minorHAnsi"/>
          <w:iCs/>
          <w:sz w:val="20"/>
        </w:rPr>
      </w:pPr>
    </w:p>
    <w:p w14:paraId="39A9BD5B"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Les documents inscrits au registre représentent le volume total de la charge de travail (voir “Volume total de la charge de travail” ci</w:t>
      </w:r>
      <w:r w:rsidRPr="00A67FE6">
        <w:rPr>
          <w:rFonts w:ascii="Arial" w:hAnsi="Arial" w:cs="Arial"/>
          <w:sz w:val="20"/>
          <w:szCs w:val="20"/>
        </w:rPr>
        <w:noBreakHyphen/>
        <w:t>dessus).</w:t>
      </w:r>
    </w:p>
    <w:p w14:paraId="3FD219E9" w14:textId="77777777" w:rsidR="00A67FE6" w:rsidRPr="00A67FE6" w:rsidRDefault="00A67FE6" w:rsidP="00A67FE6">
      <w:pPr>
        <w:keepNext/>
        <w:keepLines/>
        <w:tabs>
          <w:tab w:val="left" w:pos="567"/>
        </w:tabs>
        <w:contextualSpacing/>
        <w:jc w:val="both"/>
        <w:rPr>
          <w:sz w:val="20"/>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685"/>
      </w:tblGrid>
      <w:tr w:rsidR="00A67FE6" w:rsidRPr="00A67FE6" w14:paraId="37C388BA" w14:textId="77777777" w:rsidTr="00777681">
        <w:trPr>
          <w:cantSplit/>
          <w:trHeight w:val="3013"/>
        </w:trPr>
        <w:tc>
          <w:tcPr>
            <w:tcW w:w="5637" w:type="dxa"/>
          </w:tcPr>
          <w:p w14:paraId="7A38CEEA" w14:textId="77777777" w:rsidR="00A67FE6" w:rsidRPr="00A67FE6" w:rsidRDefault="00A67FE6" w:rsidP="00777681">
            <w:pPr>
              <w:keepNext/>
              <w:keepLines/>
              <w:jc w:val="center"/>
              <w:rPr>
                <w:sz w:val="20"/>
              </w:rPr>
            </w:pPr>
            <w:r w:rsidRPr="00A67FE6">
              <w:rPr>
                <w:noProof/>
                <w:sz w:val="20"/>
                <w:lang w:val="en-US"/>
              </w:rPr>
              <w:drawing>
                <wp:inline distT="0" distB="0" distL="0" distR="0" wp14:anchorId="08DFD895" wp14:editId="0E847C76">
                  <wp:extent cx="3104881" cy="2340000"/>
                  <wp:effectExtent l="0" t="0" r="63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04881" cy="2340000"/>
                          </a:xfrm>
                          <a:prstGeom prst="rect">
                            <a:avLst/>
                          </a:prstGeom>
                          <a:noFill/>
                          <a:ln>
                            <a:noFill/>
                          </a:ln>
                        </pic:spPr>
                      </pic:pic>
                    </a:graphicData>
                  </a:graphic>
                </wp:inline>
              </w:drawing>
            </w:r>
          </w:p>
        </w:tc>
        <w:tc>
          <w:tcPr>
            <w:tcW w:w="3685" w:type="dxa"/>
          </w:tcPr>
          <w:p w14:paraId="7066EDF3" w14:textId="77777777" w:rsidR="00A67FE6" w:rsidRPr="00A67FE6" w:rsidRDefault="00A67FE6" w:rsidP="00777681">
            <w:pPr>
              <w:keepNext/>
              <w:keepLines/>
              <w:jc w:val="center"/>
              <w:rPr>
                <w:sz w:val="20"/>
              </w:rPr>
            </w:pPr>
            <w:r w:rsidRPr="00A67FE6">
              <w:rPr>
                <w:noProof/>
                <w:sz w:val="20"/>
                <w:lang w:val="en-US"/>
              </w:rPr>
              <w:drawing>
                <wp:inline distT="0" distB="0" distL="0" distR="0" wp14:anchorId="0BA7746A" wp14:editId="3229CD2B">
                  <wp:extent cx="1791724" cy="2340000"/>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1724" cy="2340000"/>
                          </a:xfrm>
                          <a:prstGeom prst="rect">
                            <a:avLst/>
                          </a:prstGeom>
                          <a:noFill/>
                          <a:ln>
                            <a:noFill/>
                          </a:ln>
                        </pic:spPr>
                      </pic:pic>
                    </a:graphicData>
                  </a:graphic>
                </wp:inline>
              </w:drawing>
            </w:r>
          </w:p>
        </w:tc>
      </w:tr>
    </w:tbl>
    <w:p w14:paraId="63610E60" w14:textId="77777777" w:rsidR="00A67FE6" w:rsidRPr="00A67FE6" w:rsidRDefault="00A67FE6" w:rsidP="00A67FE6">
      <w:pPr>
        <w:keepNext/>
        <w:keepLines/>
        <w:tabs>
          <w:tab w:val="left" w:pos="567"/>
        </w:tabs>
        <w:contextualSpacing/>
        <w:jc w:val="both"/>
        <w:rPr>
          <w:sz w:val="20"/>
        </w:rPr>
      </w:pPr>
    </w:p>
    <w:p w14:paraId="1D716BAB" w14:textId="77777777" w:rsidR="00A67FE6" w:rsidRPr="00A67FE6" w:rsidRDefault="00A67FE6" w:rsidP="00A67FE6">
      <w:pPr>
        <w:numPr>
          <w:ilvl w:val="0"/>
          <w:numId w:val="55"/>
        </w:numPr>
        <w:tabs>
          <w:tab w:val="num" w:pos="1134"/>
        </w:tabs>
        <w:ind w:left="1134" w:hanging="567"/>
        <w:jc w:val="both"/>
        <w:rPr>
          <w:rFonts w:eastAsiaTheme="minorHAnsi"/>
          <w:sz w:val="20"/>
        </w:rPr>
      </w:pPr>
      <w:r w:rsidRPr="00A67FE6">
        <w:rPr>
          <w:rFonts w:eastAsiaTheme="minorHAnsi"/>
          <w:sz w:val="20"/>
        </w:rPr>
        <w:t>Le coût moyen pour l’inscription d’un document au registre était de 318 francs suisses en 2016.</w:t>
      </w:r>
    </w:p>
    <w:p w14:paraId="233C3D17" w14:textId="77777777" w:rsidR="00A67FE6" w:rsidRPr="00A67FE6" w:rsidRDefault="00A67FE6" w:rsidP="00A67FE6">
      <w:pPr>
        <w:jc w:val="both"/>
        <w:rPr>
          <w:sz w:val="20"/>
        </w:rPr>
      </w:pPr>
    </w:p>
    <w:p w14:paraId="59005726" w14:textId="77777777" w:rsidR="00A67FE6" w:rsidRPr="00A67FE6" w:rsidRDefault="00A67FE6" w:rsidP="00A67FE6">
      <w:pPr>
        <w:jc w:val="both"/>
        <w:rPr>
          <w:sz w:val="20"/>
        </w:rPr>
      </w:pPr>
    </w:p>
    <w:p w14:paraId="7D1C24B1" w14:textId="77777777" w:rsidR="00A67FE6" w:rsidRPr="00A67FE6" w:rsidRDefault="00A67FE6" w:rsidP="00A67FE6">
      <w:pPr>
        <w:keepNext/>
        <w:numPr>
          <w:ilvl w:val="0"/>
          <w:numId w:val="53"/>
        </w:numPr>
        <w:tabs>
          <w:tab w:val="left" w:pos="567"/>
        </w:tabs>
        <w:spacing w:before="120" w:after="240"/>
        <w:ind w:left="0" w:firstLine="0"/>
        <w:rPr>
          <w:rFonts w:eastAsiaTheme="minorHAnsi"/>
          <w:b/>
          <w:sz w:val="20"/>
        </w:rPr>
      </w:pPr>
      <w:r w:rsidRPr="00A67FE6">
        <w:rPr>
          <w:rFonts w:eastAsiaTheme="minorHAnsi"/>
          <w:b/>
          <w:sz w:val="20"/>
        </w:rPr>
        <w:lastRenderedPageBreak/>
        <w:t>Productivité de l’examen</w:t>
      </w:r>
    </w:p>
    <w:p w14:paraId="3BB89CFA"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La productivité de l’examen est calculée en divisant le nombre de nouveaux enregistrements internationaux ou renouvellements traités par des examinateurs, par le nombre de membres du personnel ayant participé à l’examen.  Le nombre de membres du personnel comprend les boursiers et les prestataires de services internes et externes.</w:t>
      </w:r>
    </w:p>
    <w:p w14:paraId="346AF445" w14:textId="77777777" w:rsidR="00A67FE6" w:rsidRPr="00A67FE6" w:rsidRDefault="00A67FE6" w:rsidP="00A67FE6">
      <w:pPr>
        <w:pStyle w:val="ListParagraph"/>
        <w:tabs>
          <w:tab w:val="left" w:pos="567"/>
        </w:tabs>
        <w:ind w:left="0"/>
        <w:jc w:val="both"/>
        <w:rPr>
          <w:rFonts w:ascii="Arial" w:hAnsi="Arial" w:cs="Arial"/>
          <w:sz w:val="20"/>
          <w:szCs w:val="20"/>
        </w:rPr>
      </w:pPr>
      <w:r w:rsidRPr="00A67FE6">
        <w:rPr>
          <w:rFonts w:ascii="Arial" w:hAnsi="Arial" w:cs="Arial"/>
          <w:noProof/>
          <w:sz w:val="20"/>
          <w:szCs w:val="20"/>
          <w:lang w:val="en-US" w:eastAsia="en-US"/>
        </w:rPr>
        <w:drawing>
          <wp:inline distT="0" distB="0" distL="0" distR="0" wp14:anchorId="08B0A91D" wp14:editId="7C5483BD">
            <wp:extent cx="5760085" cy="27833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85" cy="2783344"/>
                    </a:xfrm>
                    <a:prstGeom prst="rect">
                      <a:avLst/>
                    </a:prstGeom>
                    <a:noFill/>
                    <a:ln>
                      <a:noFill/>
                    </a:ln>
                  </pic:spPr>
                </pic:pic>
              </a:graphicData>
            </a:graphic>
          </wp:inline>
        </w:drawing>
      </w:r>
    </w:p>
    <w:p w14:paraId="0629BF8E" w14:textId="77777777" w:rsidR="00A67FE6" w:rsidRPr="00A67FE6" w:rsidRDefault="00A67FE6" w:rsidP="00A67FE6">
      <w:pPr>
        <w:pStyle w:val="ListParagraph"/>
        <w:tabs>
          <w:tab w:val="left" w:pos="567"/>
        </w:tabs>
        <w:ind w:left="0"/>
        <w:jc w:val="both"/>
        <w:rPr>
          <w:rFonts w:ascii="Arial" w:hAnsi="Arial" w:cs="Arial"/>
          <w:sz w:val="20"/>
          <w:szCs w:val="20"/>
        </w:rPr>
      </w:pPr>
    </w:p>
    <w:p w14:paraId="0AA65ED1" w14:textId="77777777" w:rsidR="00A67FE6" w:rsidRPr="00A67FE6" w:rsidRDefault="00A67FE6" w:rsidP="00A67FE6">
      <w:pPr>
        <w:numPr>
          <w:ilvl w:val="0"/>
          <w:numId w:val="55"/>
        </w:numPr>
        <w:tabs>
          <w:tab w:val="num" w:pos="1134"/>
        </w:tabs>
        <w:ind w:left="1134" w:hanging="567"/>
        <w:jc w:val="both"/>
        <w:rPr>
          <w:rFonts w:eastAsiaTheme="minorHAnsi"/>
          <w:sz w:val="20"/>
        </w:rPr>
      </w:pPr>
      <w:r w:rsidRPr="00A67FE6">
        <w:rPr>
          <w:rFonts w:eastAsiaTheme="minorHAnsi"/>
          <w:sz w:val="20"/>
        </w:rPr>
        <w:t>En 2016, la productivité de l’examen a diminué de 3% par rapport à 2015.  Les 1011 nouveaux enregistrements internationaux et renouvellements traités par membre du personnel en 2016 correspondent au deuxième chiffre le plus élevé pour la période allant de 2008 à 2016.</w:t>
      </w:r>
    </w:p>
    <w:p w14:paraId="2B901C31" w14:textId="77777777" w:rsidR="00A67FE6" w:rsidRPr="00A67FE6" w:rsidRDefault="00A67FE6" w:rsidP="00A67FE6">
      <w:pPr>
        <w:jc w:val="both"/>
        <w:rPr>
          <w:rFonts w:eastAsiaTheme="minorHAnsi"/>
          <w:sz w:val="20"/>
        </w:rPr>
      </w:pPr>
    </w:p>
    <w:p w14:paraId="52965A58" w14:textId="77777777" w:rsidR="00A67FE6" w:rsidRPr="00A67FE6" w:rsidRDefault="00A67FE6" w:rsidP="00A67FE6">
      <w:pPr>
        <w:jc w:val="both"/>
        <w:rPr>
          <w:sz w:val="20"/>
        </w:rPr>
      </w:pPr>
    </w:p>
    <w:p w14:paraId="6D14B3F0" w14:textId="77777777" w:rsidR="00A67FE6" w:rsidRPr="00A67FE6" w:rsidRDefault="00A67FE6" w:rsidP="00A67FE6">
      <w:pPr>
        <w:numPr>
          <w:ilvl w:val="0"/>
          <w:numId w:val="53"/>
        </w:numPr>
        <w:tabs>
          <w:tab w:val="left" w:pos="567"/>
        </w:tabs>
        <w:spacing w:before="120" w:after="240"/>
        <w:ind w:left="0" w:firstLine="0"/>
        <w:rPr>
          <w:rFonts w:eastAsiaTheme="minorHAnsi"/>
          <w:b/>
          <w:sz w:val="20"/>
        </w:rPr>
      </w:pPr>
      <w:r w:rsidRPr="00A67FE6">
        <w:rPr>
          <w:rFonts w:eastAsiaTheme="minorHAnsi"/>
          <w:b/>
          <w:sz w:val="20"/>
        </w:rPr>
        <w:t>Personnel</w:t>
      </w:r>
    </w:p>
    <w:p w14:paraId="4E47F373" w14:textId="77777777" w:rsidR="00A67FE6" w:rsidRPr="00A67FE6" w:rsidRDefault="00A67FE6" w:rsidP="00A67FE6">
      <w:pPr>
        <w:keepNext/>
        <w:keepLines/>
        <w:rPr>
          <w:sz w:val="20"/>
        </w:rPr>
      </w:pPr>
      <w:r w:rsidRPr="00A67FE6">
        <w:rPr>
          <w:noProof/>
          <w:sz w:val="20"/>
          <w:lang w:val="en-US"/>
        </w:rPr>
        <w:drawing>
          <wp:inline distT="0" distB="0" distL="0" distR="0" wp14:anchorId="514EF16E" wp14:editId="5C90E7E5">
            <wp:extent cx="5760085" cy="27849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85" cy="2784996"/>
                    </a:xfrm>
                    <a:prstGeom prst="rect">
                      <a:avLst/>
                    </a:prstGeom>
                    <a:noFill/>
                    <a:ln>
                      <a:noFill/>
                    </a:ln>
                  </pic:spPr>
                </pic:pic>
              </a:graphicData>
            </a:graphic>
          </wp:inline>
        </w:drawing>
      </w:r>
      <w:r w:rsidRPr="00A67FE6">
        <w:rPr>
          <w:sz w:val="20"/>
        </w:rPr>
        <w:t>Note : la possibilité de distinguer les effectifs du Service d’enregistrement de Lisbonne n’existe que depuis l’exercice biennal 2014</w:t>
      </w:r>
      <w:r w:rsidRPr="00A67FE6">
        <w:rPr>
          <w:sz w:val="20"/>
        </w:rPr>
        <w:noBreakHyphen/>
        <w:t>2015.  Pour les années antérieures à 2014, les effectifs du Service d’enregistrement de Lisbonne sont compris dans les effectifs du système de Madrid.  Le personnel intérimaire ne travaillant pas dans les locaux de l’OMPI n’est pas pris en compte dans cet indicateur.  Les ressources externes du Groupe de traitement des documents ne sont pas prises en considération dans la méthode de calcul actuelle.</w:t>
      </w:r>
    </w:p>
    <w:p w14:paraId="395366F5" w14:textId="77777777" w:rsidR="00A67FE6" w:rsidRPr="00A67FE6" w:rsidRDefault="00A67FE6" w:rsidP="00A67FE6">
      <w:pPr>
        <w:jc w:val="both"/>
        <w:rPr>
          <w:sz w:val="20"/>
        </w:rPr>
      </w:pPr>
    </w:p>
    <w:p w14:paraId="4FA19939" w14:textId="3FB6C4C9" w:rsidR="00A67FE6" w:rsidRPr="00A67FE6" w:rsidRDefault="00A67FE6" w:rsidP="00A67FE6">
      <w:pPr>
        <w:numPr>
          <w:ilvl w:val="0"/>
          <w:numId w:val="55"/>
        </w:numPr>
        <w:tabs>
          <w:tab w:val="num" w:pos="1134"/>
        </w:tabs>
        <w:ind w:left="1134" w:hanging="567"/>
        <w:jc w:val="both"/>
        <w:rPr>
          <w:rFonts w:eastAsiaTheme="minorHAnsi"/>
          <w:sz w:val="20"/>
        </w:rPr>
      </w:pPr>
      <w:r w:rsidRPr="00A67FE6">
        <w:rPr>
          <w:rFonts w:eastAsiaTheme="minorHAnsi"/>
          <w:sz w:val="20"/>
        </w:rPr>
        <w:lastRenderedPageBreak/>
        <w:t>Les effe</w:t>
      </w:r>
      <w:r w:rsidR="00340492">
        <w:rPr>
          <w:rFonts w:eastAsiaTheme="minorHAnsi"/>
          <w:sz w:val="20"/>
        </w:rPr>
        <w:t>ctifs ont diminué, passant de 11</w:t>
      </w:r>
      <w:r w:rsidRPr="00A67FE6">
        <w:rPr>
          <w:rFonts w:eastAsiaTheme="minorHAnsi"/>
          <w:sz w:val="20"/>
        </w:rPr>
        <w:t>0 en 2015 à 104 en 2016, alors que le nombre de ressources adaptables a augmenté, passant de 16 en 2015 à 25 en 2016.</w:t>
      </w:r>
    </w:p>
    <w:p w14:paraId="057FFFD8" w14:textId="77777777" w:rsidR="00A67FE6" w:rsidRPr="00A67FE6" w:rsidRDefault="00A67FE6" w:rsidP="00A67FE6">
      <w:pPr>
        <w:jc w:val="both"/>
        <w:rPr>
          <w:rFonts w:eastAsiaTheme="minorHAnsi"/>
          <w:sz w:val="20"/>
        </w:rPr>
      </w:pPr>
    </w:p>
    <w:p w14:paraId="1A86B6AC" w14:textId="77777777" w:rsidR="00A67FE6" w:rsidRPr="00A67FE6" w:rsidRDefault="00A67FE6" w:rsidP="00A67FE6">
      <w:pPr>
        <w:jc w:val="both"/>
        <w:rPr>
          <w:rFonts w:eastAsiaTheme="minorHAnsi"/>
          <w:sz w:val="20"/>
        </w:rPr>
      </w:pPr>
    </w:p>
    <w:p w14:paraId="3D1A969D" w14:textId="77777777" w:rsidR="00A67FE6" w:rsidRPr="00A67FE6" w:rsidRDefault="00A67FE6" w:rsidP="00A67FE6">
      <w:pPr>
        <w:numPr>
          <w:ilvl w:val="0"/>
          <w:numId w:val="53"/>
        </w:numPr>
        <w:tabs>
          <w:tab w:val="left" w:pos="567"/>
        </w:tabs>
        <w:spacing w:before="120" w:after="240"/>
        <w:ind w:left="0" w:firstLine="0"/>
        <w:rPr>
          <w:rFonts w:eastAsiaTheme="minorHAnsi"/>
          <w:b/>
          <w:sz w:val="20"/>
        </w:rPr>
      </w:pPr>
      <w:r w:rsidRPr="00A67FE6">
        <w:rPr>
          <w:rFonts w:eastAsiaTheme="minorHAnsi"/>
          <w:b/>
          <w:sz w:val="20"/>
        </w:rPr>
        <w:t>Délai</w:t>
      </w:r>
    </w:p>
    <w:p w14:paraId="4010CC5E"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 délai moyen de traitement pour chacune des six catégories d’opérations effectuées par le Bureau international est indiqué ci</w:t>
      </w:r>
      <w:r w:rsidRPr="00A67FE6">
        <w:rPr>
          <w:rFonts w:ascii="Arial" w:hAnsi="Arial" w:cs="Arial"/>
          <w:sz w:val="20"/>
          <w:szCs w:val="20"/>
        </w:rPr>
        <w:noBreakHyphen/>
        <w:t>dessous.  Le délai de traitement correspond à l’intervalle entre la date de réception des documents et la date d’inscription.</w:t>
      </w:r>
    </w:p>
    <w:p w14:paraId="5F7D08FD" w14:textId="77777777" w:rsidR="00A67FE6" w:rsidRPr="00A67FE6" w:rsidRDefault="00A67FE6" w:rsidP="00A67FE6">
      <w:pPr>
        <w:pStyle w:val="ListParagraph"/>
        <w:tabs>
          <w:tab w:val="left" w:pos="567"/>
        </w:tabs>
        <w:ind w:left="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7"/>
      </w:tblGrid>
      <w:tr w:rsidR="00A67FE6" w:rsidRPr="00A67FE6" w14:paraId="1E96976F" w14:textId="77777777" w:rsidTr="00777681">
        <w:tc>
          <w:tcPr>
            <w:tcW w:w="4623" w:type="dxa"/>
          </w:tcPr>
          <w:p w14:paraId="5ACEBFC1" w14:textId="77777777" w:rsidR="00A67FE6" w:rsidRPr="00A67FE6" w:rsidRDefault="00A67FE6" w:rsidP="00777681">
            <w:pPr>
              <w:jc w:val="both"/>
              <w:rPr>
                <w:sz w:val="20"/>
              </w:rPr>
            </w:pPr>
            <w:r w:rsidRPr="00A67FE6">
              <w:rPr>
                <w:noProof/>
                <w:sz w:val="20"/>
                <w:lang w:val="en-US"/>
              </w:rPr>
              <w:drawing>
                <wp:inline distT="0" distB="0" distL="0" distR="0" wp14:anchorId="3E1D1B5A" wp14:editId="7DAF1964">
                  <wp:extent cx="2837934" cy="2088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37934" cy="2088000"/>
                          </a:xfrm>
                          <a:prstGeom prst="rect">
                            <a:avLst/>
                          </a:prstGeom>
                          <a:noFill/>
                          <a:ln>
                            <a:noFill/>
                          </a:ln>
                        </pic:spPr>
                      </pic:pic>
                    </a:graphicData>
                  </a:graphic>
                </wp:inline>
              </w:drawing>
            </w:r>
          </w:p>
        </w:tc>
        <w:tc>
          <w:tcPr>
            <w:tcW w:w="4664" w:type="dxa"/>
          </w:tcPr>
          <w:p w14:paraId="489F33E4" w14:textId="77777777" w:rsidR="00A67FE6" w:rsidRPr="00A67FE6" w:rsidRDefault="00A67FE6" w:rsidP="00777681">
            <w:pPr>
              <w:jc w:val="both"/>
              <w:rPr>
                <w:sz w:val="20"/>
              </w:rPr>
            </w:pPr>
            <w:r w:rsidRPr="00A67FE6">
              <w:rPr>
                <w:noProof/>
                <w:sz w:val="20"/>
                <w:lang w:val="en-US"/>
              </w:rPr>
              <w:drawing>
                <wp:inline distT="0" distB="0" distL="0" distR="0" wp14:anchorId="416E1F64" wp14:editId="38B72827">
                  <wp:extent cx="2918910" cy="208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8910" cy="2088000"/>
                          </a:xfrm>
                          <a:prstGeom prst="rect">
                            <a:avLst/>
                          </a:prstGeom>
                          <a:noFill/>
                          <a:ln>
                            <a:noFill/>
                          </a:ln>
                        </pic:spPr>
                      </pic:pic>
                    </a:graphicData>
                  </a:graphic>
                </wp:inline>
              </w:drawing>
            </w:r>
          </w:p>
        </w:tc>
      </w:tr>
      <w:tr w:rsidR="00A67FE6" w:rsidRPr="00A67FE6" w14:paraId="33F9BDC6" w14:textId="77777777" w:rsidTr="00777681">
        <w:tc>
          <w:tcPr>
            <w:tcW w:w="4623" w:type="dxa"/>
          </w:tcPr>
          <w:p w14:paraId="123C3C7E" w14:textId="77777777" w:rsidR="00A67FE6" w:rsidRPr="00A67FE6" w:rsidRDefault="00A67FE6" w:rsidP="00777681">
            <w:pPr>
              <w:jc w:val="both"/>
              <w:rPr>
                <w:sz w:val="20"/>
              </w:rPr>
            </w:pPr>
            <w:r w:rsidRPr="00A67FE6">
              <w:rPr>
                <w:noProof/>
                <w:sz w:val="20"/>
                <w:lang w:val="en-US"/>
              </w:rPr>
              <w:drawing>
                <wp:inline distT="0" distB="0" distL="0" distR="0" wp14:anchorId="658C3E6D" wp14:editId="5043C8C4">
                  <wp:extent cx="2694347" cy="208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4347" cy="2088000"/>
                          </a:xfrm>
                          <a:prstGeom prst="rect">
                            <a:avLst/>
                          </a:prstGeom>
                          <a:noFill/>
                          <a:ln>
                            <a:noFill/>
                          </a:ln>
                        </pic:spPr>
                      </pic:pic>
                    </a:graphicData>
                  </a:graphic>
                </wp:inline>
              </w:drawing>
            </w:r>
          </w:p>
        </w:tc>
        <w:tc>
          <w:tcPr>
            <w:tcW w:w="4664" w:type="dxa"/>
          </w:tcPr>
          <w:p w14:paraId="2BE965F9" w14:textId="77777777" w:rsidR="00A67FE6" w:rsidRPr="00A67FE6" w:rsidRDefault="00A67FE6" w:rsidP="00777681">
            <w:pPr>
              <w:jc w:val="both"/>
              <w:rPr>
                <w:sz w:val="20"/>
              </w:rPr>
            </w:pPr>
            <w:r w:rsidRPr="00A67FE6">
              <w:rPr>
                <w:noProof/>
                <w:sz w:val="20"/>
                <w:lang w:val="en-US"/>
              </w:rPr>
              <w:drawing>
                <wp:inline distT="0" distB="0" distL="0" distR="0" wp14:anchorId="5379F9FE" wp14:editId="0978699B">
                  <wp:extent cx="2802687" cy="2088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2687" cy="2088000"/>
                          </a:xfrm>
                          <a:prstGeom prst="rect">
                            <a:avLst/>
                          </a:prstGeom>
                          <a:noFill/>
                          <a:ln>
                            <a:noFill/>
                          </a:ln>
                        </pic:spPr>
                      </pic:pic>
                    </a:graphicData>
                  </a:graphic>
                </wp:inline>
              </w:drawing>
            </w:r>
          </w:p>
        </w:tc>
      </w:tr>
      <w:tr w:rsidR="00A67FE6" w:rsidRPr="00A67FE6" w14:paraId="49927432" w14:textId="77777777" w:rsidTr="00777681">
        <w:tc>
          <w:tcPr>
            <w:tcW w:w="4623" w:type="dxa"/>
          </w:tcPr>
          <w:p w14:paraId="0EF2373D" w14:textId="77777777" w:rsidR="00A67FE6" w:rsidRPr="00A67FE6" w:rsidRDefault="00A67FE6" w:rsidP="00777681">
            <w:pPr>
              <w:jc w:val="both"/>
              <w:rPr>
                <w:sz w:val="20"/>
              </w:rPr>
            </w:pPr>
            <w:r w:rsidRPr="00A67FE6">
              <w:rPr>
                <w:noProof/>
                <w:sz w:val="20"/>
                <w:lang w:val="en-US"/>
              </w:rPr>
              <w:drawing>
                <wp:inline distT="0" distB="0" distL="0" distR="0" wp14:anchorId="6B781B19" wp14:editId="79B48C55">
                  <wp:extent cx="2914475" cy="2088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4475" cy="2088000"/>
                          </a:xfrm>
                          <a:prstGeom prst="rect">
                            <a:avLst/>
                          </a:prstGeom>
                          <a:noFill/>
                          <a:ln>
                            <a:noFill/>
                          </a:ln>
                        </pic:spPr>
                      </pic:pic>
                    </a:graphicData>
                  </a:graphic>
                </wp:inline>
              </w:drawing>
            </w:r>
          </w:p>
        </w:tc>
        <w:tc>
          <w:tcPr>
            <w:tcW w:w="4664" w:type="dxa"/>
          </w:tcPr>
          <w:p w14:paraId="7D3DDE9F" w14:textId="77777777" w:rsidR="00A67FE6" w:rsidRPr="00A67FE6" w:rsidRDefault="00A67FE6" w:rsidP="00777681">
            <w:pPr>
              <w:jc w:val="both"/>
              <w:rPr>
                <w:sz w:val="20"/>
              </w:rPr>
            </w:pPr>
            <w:r w:rsidRPr="00A67FE6">
              <w:rPr>
                <w:noProof/>
                <w:sz w:val="20"/>
                <w:lang w:val="en-US"/>
              </w:rPr>
              <w:drawing>
                <wp:inline distT="0" distB="0" distL="0" distR="0" wp14:anchorId="1E789BA2" wp14:editId="13F747FB">
                  <wp:extent cx="2826120" cy="2088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26120" cy="2088000"/>
                          </a:xfrm>
                          <a:prstGeom prst="rect">
                            <a:avLst/>
                          </a:prstGeom>
                          <a:noFill/>
                          <a:ln>
                            <a:noFill/>
                          </a:ln>
                        </pic:spPr>
                      </pic:pic>
                    </a:graphicData>
                  </a:graphic>
                </wp:inline>
              </w:drawing>
            </w:r>
          </w:p>
        </w:tc>
      </w:tr>
    </w:tbl>
    <w:p w14:paraId="1280745D" w14:textId="77777777" w:rsidR="00A67FE6" w:rsidRPr="00A67FE6" w:rsidRDefault="00A67FE6" w:rsidP="00A67FE6">
      <w:pPr>
        <w:jc w:val="both"/>
        <w:rPr>
          <w:sz w:val="20"/>
        </w:rPr>
      </w:pPr>
    </w:p>
    <w:p w14:paraId="64FCD139"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 xml:space="preserve">Par rapport à 2015, le délai moyen de traitement a augmenté en 2016 </w:t>
      </w:r>
      <w:r w:rsidRPr="00A67FE6">
        <w:rPr>
          <w:sz w:val="20"/>
        </w:rPr>
        <w:t>pour les six catégories d’opérations effectuées par le Bureau international</w:t>
      </w:r>
      <w:r w:rsidRPr="00A67FE6">
        <w:rPr>
          <w:rFonts w:eastAsiaTheme="minorHAnsi"/>
          <w:sz w:val="20"/>
        </w:rPr>
        <w:t>.  Les augmentations les plus importantes concernaient les corrections, les décisions et les désignations postérieures.</w:t>
      </w:r>
    </w:p>
    <w:p w14:paraId="51F375D0" w14:textId="77777777" w:rsidR="00A67FE6" w:rsidRPr="00A67FE6" w:rsidRDefault="00A67FE6" w:rsidP="00A67FE6">
      <w:pPr>
        <w:jc w:val="both"/>
        <w:rPr>
          <w:rFonts w:eastAsiaTheme="minorHAnsi"/>
          <w:sz w:val="20"/>
        </w:rPr>
      </w:pPr>
    </w:p>
    <w:p w14:paraId="03FB7AF1" w14:textId="77777777" w:rsidR="00A67FE6" w:rsidRPr="00A67FE6" w:rsidRDefault="00A67FE6" w:rsidP="00A67FE6">
      <w:pPr>
        <w:jc w:val="both"/>
        <w:rPr>
          <w:rFonts w:eastAsiaTheme="minorHAnsi"/>
          <w:sz w:val="20"/>
        </w:rPr>
      </w:pPr>
    </w:p>
    <w:p w14:paraId="61A822E0" w14:textId="77777777" w:rsidR="00A67FE6" w:rsidRPr="00A67FE6" w:rsidRDefault="00A67FE6" w:rsidP="00A67FE6">
      <w:pPr>
        <w:keepNext/>
        <w:keepLines/>
        <w:numPr>
          <w:ilvl w:val="0"/>
          <w:numId w:val="53"/>
        </w:numPr>
        <w:tabs>
          <w:tab w:val="left" w:pos="567"/>
        </w:tabs>
        <w:spacing w:before="120" w:after="240"/>
        <w:ind w:left="0" w:firstLine="0"/>
        <w:rPr>
          <w:rFonts w:eastAsiaTheme="minorHAnsi"/>
          <w:b/>
          <w:sz w:val="20"/>
        </w:rPr>
      </w:pPr>
      <w:r w:rsidRPr="00A67FE6">
        <w:rPr>
          <w:rFonts w:eastAsiaTheme="minorHAnsi"/>
          <w:b/>
          <w:sz w:val="20"/>
        </w:rPr>
        <w:lastRenderedPageBreak/>
        <w:t>Qualité de l’examen</w:t>
      </w:r>
    </w:p>
    <w:p w14:paraId="0A4ED57A"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Les principaux indicateurs suivants de la qualité globale de l’examen des marques par le Bureau international résultent du contrôle de qualité effectué suite à la mise en œuvre en 2015 du cadre de gestion de la qualité du Service d’enregistrement de Madrid, conformément aux exigences des normes ISO 9001:2015 et ISO 2859</w:t>
      </w:r>
      <w:r w:rsidRPr="00A67FE6">
        <w:rPr>
          <w:rStyle w:val="FootnoteReference"/>
          <w:rFonts w:eastAsiaTheme="minorEastAsia" w:cs="Arial"/>
          <w:sz w:val="20"/>
        </w:rPr>
        <w:footnoteReference w:id="40"/>
      </w:r>
      <w:r w:rsidRPr="00A67FE6">
        <w:rPr>
          <w:rFonts w:ascii="Arial" w:hAnsi="Arial" w:cs="Arial"/>
          <w:sz w:val="20"/>
          <w:szCs w:val="20"/>
        </w:rPr>
        <w:t>.</w:t>
      </w:r>
    </w:p>
    <w:p w14:paraId="0D606498" w14:textId="77777777" w:rsidR="00A67FE6" w:rsidRPr="00A67FE6" w:rsidRDefault="00A67FE6" w:rsidP="00A67FE6">
      <w:pPr>
        <w:pStyle w:val="ListParagraph"/>
        <w:tabs>
          <w:tab w:val="left" w:pos="567"/>
        </w:tabs>
        <w:ind w:left="0"/>
        <w:jc w:val="both"/>
        <w:rPr>
          <w:rFonts w:ascii="Arial" w:hAnsi="Arial" w:cs="Arial"/>
          <w:sz w:val="20"/>
          <w:szCs w:val="20"/>
        </w:rPr>
      </w:pPr>
    </w:p>
    <w:p w14:paraId="45FFC255" w14:textId="77777777" w:rsidR="00A67FE6" w:rsidRPr="00A67FE6" w:rsidRDefault="00A67FE6" w:rsidP="00A67FE6">
      <w:pPr>
        <w:pStyle w:val="ListParagraph"/>
        <w:keepNext/>
        <w:keepLines/>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Les informations relatives à la qualité du travail d’examen fourni par le Bureau international proviennent de deux sources :</w:t>
      </w:r>
    </w:p>
    <w:p w14:paraId="7FCF09AC" w14:textId="77777777" w:rsidR="00A67FE6" w:rsidRPr="00A67FE6" w:rsidRDefault="00A67FE6" w:rsidP="00A67FE6">
      <w:pPr>
        <w:keepNext/>
        <w:keepLines/>
        <w:rPr>
          <w:sz w:val="20"/>
        </w:rPr>
      </w:pPr>
    </w:p>
    <w:p w14:paraId="44B300AC" w14:textId="77777777" w:rsidR="00A67FE6" w:rsidRPr="00A67FE6" w:rsidRDefault="00A67FE6" w:rsidP="00A67FE6">
      <w:pPr>
        <w:pStyle w:val="ListParagraph"/>
        <w:keepNext/>
        <w:keepLines/>
        <w:numPr>
          <w:ilvl w:val="1"/>
          <w:numId w:val="57"/>
        </w:numPr>
        <w:tabs>
          <w:tab w:val="left" w:pos="567"/>
          <w:tab w:val="left" w:pos="1134"/>
        </w:tabs>
        <w:ind w:left="567" w:firstLine="0"/>
        <w:jc w:val="both"/>
        <w:rPr>
          <w:rFonts w:ascii="Arial" w:hAnsi="Arial" w:cs="Arial"/>
          <w:sz w:val="20"/>
          <w:szCs w:val="20"/>
        </w:rPr>
      </w:pPr>
      <w:r w:rsidRPr="00A67FE6">
        <w:rPr>
          <w:rFonts w:ascii="Arial" w:hAnsi="Arial" w:cs="Arial"/>
          <w:sz w:val="20"/>
          <w:szCs w:val="20"/>
        </w:rPr>
        <w:t>résultats de l’évaluation interne d’échantillons d’examens;  et</w:t>
      </w:r>
    </w:p>
    <w:p w14:paraId="222DA39F" w14:textId="77777777" w:rsidR="00A67FE6" w:rsidRPr="00A67FE6" w:rsidRDefault="00A67FE6" w:rsidP="00A67FE6">
      <w:pPr>
        <w:pStyle w:val="ListParagraph"/>
        <w:keepNext/>
        <w:keepLines/>
        <w:tabs>
          <w:tab w:val="left" w:pos="567"/>
          <w:tab w:val="left" w:pos="1134"/>
        </w:tabs>
        <w:ind w:left="567"/>
        <w:jc w:val="both"/>
        <w:rPr>
          <w:rFonts w:ascii="Arial" w:hAnsi="Arial" w:cs="Arial"/>
          <w:sz w:val="20"/>
          <w:szCs w:val="20"/>
        </w:rPr>
      </w:pPr>
    </w:p>
    <w:p w14:paraId="4BEADC22" w14:textId="77777777" w:rsidR="00A67FE6" w:rsidRPr="00A67FE6" w:rsidRDefault="00A67FE6" w:rsidP="00A67FE6">
      <w:pPr>
        <w:pStyle w:val="ListParagraph"/>
        <w:keepNext/>
        <w:keepLines/>
        <w:numPr>
          <w:ilvl w:val="1"/>
          <w:numId w:val="57"/>
        </w:numPr>
        <w:tabs>
          <w:tab w:val="left" w:pos="567"/>
          <w:tab w:val="left" w:pos="1134"/>
        </w:tabs>
        <w:ind w:left="567" w:firstLine="0"/>
        <w:jc w:val="both"/>
        <w:rPr>
          <w:rFonts w:ascii="Arial" w:hAnsi="Arial" w:cs="Arial"/>
          <w:sz w:val="20"/>
          <w:szCs w:val="20"/>
        </w:rPr>
      </w:pPr>
      <w:r w:rsidRPr="00A67FE6">
        <w:rPr>
          <w:rFonts w:ascii="Arial" w:hAnsi="Arial" w:cs="Arial"/>
          <w:sz w:val="20"/>
          <w:szCs w:val="20"/>
        </w:rPr>
        <w:t>erreurs du Bureau international confirmées par ce dernier suite à la réception d’une demande de rectification selon la règle 28 du règlement d’exécution commun.</w:t>
      </w:r>
    </w:p>
    <w:p w14:paraId="0C0BE83C" w14:textId="77777777" w:rsidR="00A67FE6" w:rsidRPr="00A67FE6" w:rsidRDefault="00A67FE6" w:rsidP="00A67FE6">
      <w:pPr>
        <w:rPr>
          <w:sz w:val="20"/>
        </w:rPr>
      </w:pPr>
    </w:p>
    <w:p w14:paraId="3FD8FE25" w14:textId="77777777" w:rsidR="00A67FE6" w:rsidRPr="00A67FE6" w:rsidRDefault="00A67FE6" w:rsidP="00A67FE6">
      <w:pPr>
        <w:keepNext/>
        <w:keepLines/>
        <w:rPr>
          <w:rFonts w:eastAsiaTheme="minorHAnsi"/>
          <w:i/>
          <w:sz w:val="20"/>
        </w:rPr>
      </w:pPr>
      <w:r w:rsidRPr="00A67FE6">
        <w:rPr>
          <w:rFonts w:eastAsiaTheme="minorHAnsi"/>
          <w:i/>
          <w:sz w:val="20"/>
        </w:rPr>
        <w:t>Évaluation d’échantillons d’examens</w:t>
      </w:r>
    </w:p>
    <w:p w14:paraId="029A9BB3" w14:textId="77777777" w:rsidR="00A67FE6" w:rsidRPr="00A67FE6" w:rsidRDefault="00A67FE6" w:rsidP="00A67FE6">
      <w:pPr>
        <w:keepNext/>
        <w:keepLines/>
        <w:rPr>
          <w:rFonts w:eastAsiaTheme="minorHAnsi"/>
          <w:iCs/>
          <w:sz w:val="20"/>
        </w:rPr>
      </w:pPr>
    </w:p>
    <w:p w14:paraId="0053D5BB" w14:textId="69584756" w:rsidR="00A67FE6" w:rsidRPr="00A67FE6" w:rsidRDefault="00A67FE6" w:rsidP="00A67FE6">
      <w:pPr>
        <w:pStyle w:val="ListParagraph"/>
        <w:numPr>
          <w:ilvl w:val="0"/>
          <w:numId w:val="57"/>
        </w:numPr>
        <w:tabs>
          <w:tab w:val="left" w:pos="0"/>
        </w:tabs>
        <w:ind w:left="0" w:firstLine="0"/>
        <w:jc w:val="both"/>
        <w:rPr>
          <w:rFonts w:ascii="Arial" w:hAnsi="Arial" w:cs="Arial"/>
          <w:sz w:val="20"/>
          <w:szCs w:val="20"/>
        </w:rPr>
      </w:pPr>
      <w:r w:rsidRPr="00A67FE6">
        <w:rPr>
          <w:rFonts w:ascii="Arial" w:hAnsi="Arial" w:cs="Arial"/>
          <w:sz w:val="20"/>
          <w:szCs w:val="20"/>
        </w:rPr>
        <w:t>Un contrôle de la qualité a été réalisé sur la base des échantillons ci</w:t>
      </w:r>
      <w:r w:rsidRPr="00A67FE6">
        <w:rPr>
          <w:rFonts w:ascii="Arial" w:hAnsi="Arial" w:cs="Arial"/>
          <w:sz w:val="20"/>
          <w:szCs w:val="20"/>
        </w:rPr>
        <w:noBreakHyphen/>
        <w:t xml:space="preserve">après en ce qui concerne les opérations traitées manuellement en 2016.  </w:t>
      </w:r>
    </w:p>
    <w:p w14:paraId="2B3B2727" w14:textId="77777777" w:rsidR="00A67FE6" w:rsidRPr="00A67FE6" w:rsidRDefault="00A67FE6" w:rsidP="00A67FE6">
      <w:pPr>
        <w:pStyle w:val="ListParagraph"/>
        <w:tabs>
          <w:tab w:val="left" w:pos="567"/>
        </w:tabs>
        <w:ind w:left="0"/>
        <w:jc w:val="both"/>
        <w:rPr>
          <w:rFonts w:ascii="Arial" w:hAnsi="Arial" w:cs="Arial"/>
          <w:sz w:val="20"/>
          <w:szCs w:val="20"/>
        </w:rPr>
      </w:pPr>
    </w:p>
    <w:p w14:paraId="1759C0D5"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1444 demandes relatives à la classification de Nice</w:t>
      </w:r>
    </w:p>
    <w:p w14:paraId="69476166"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1499 demandes concernant l’examen quant à la forme (APEX)</w:t>
      </w:r>
    </w:p>
    <w:p w14:paraId="727084D5"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540 décisions</w:t>
      </w:r>
    </w:p>
    <w:p w14:paraId="61A4C61B"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1188 demandes de modifications</w:t>
      </w:r>
    </w:p>
    <w:p w14:paraId="0950D4DA"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310 demandes de renouvellements</w:t>
      </w:r>
    </w:p>
    <w:p w14:paraId="7D0256E7" w14:textId="77777777" w:rsidR="00A67FE6" w:rsidRPr="00A67FE6" w:rsidRDefault="00A67FE6" w:rsidP="00A67FE6">
      <w:pPr>
        <w:pStyle w:val="ListParagraph"/>
        <w:tabs>
          <w:tab w:val="left" w:pos="567"/>
        </w:tabs>
        <w:ind w:left="0"/>
        <w:jc w:val="both"/>
        <w:rPr>
          <w:rFonts w:ascii="Arial" w:hAnsi="Arial" w:cs="Arial"/>
          <w:sz w:val="20"/>
          <w:szCs w:val="20"/>
        </w:rPr>
      </w:pPr>
    </w:p>
    <w:p w14:paraId="5DCCE675" w14:textId="77777777" w:rsidR="00A67FE6" w:rsidRPr="00A67FE6" w:rsidRDefault="00A67FE6" w:rsidP="00A67FE6">
      <w:pPr>
        <w:pStyle w:val="ListParagraph"/>
        <w:numPr>
          <w:ilvl w:val="0"/>
          <w:numId w:val="57"/>
        </w:numPr>
        <w:tabs>
          <w:tab w:val="left" w:pos="567"/>
        </w:tabs>
        <w:ind w:left="0" w:firstLine="0"/>
        <w:jc w:val="both"/>
        <w:rPr>
          <w:rFonts w:ascii="Arial" w:hAnsi="Arial" w:cs="Arial"/>
          <w:sz w:val="20"/>
          <w:szCs w:val="20"/>
        </w:rPr>
      </w:pPr>
      <w:r w:rsidRPr="00A67FE6">
        <w:rPr>
          <w:rFonts w:ascii="Arial" w:hAnsi="Arial" w:cs="Arial"/>
          <w:sz w:val="20"/>
          <w:szCs w:val="20"/>
        </w:rPr>
        <w:t>Un niveau de qualité acceptable est fixé pour chaque examen, et devient l’étalon par rapport auquel est mesurée la qualité des examens de marques.</w:t>
      </w:r>
    </w:p>
    <w:p w14:paraId="18B2112A" w14:textId="77777777" w:rsidR="00A67FE6" w:rsidRPr="002174B7" w:rsidRDefault="00A67FE6" w:rsidP="002174B7">
      <w:pPr>
        <w:rPr>
          <w:sz w:val="20"/>
        </w:rPr>
      </w:pPr>
    </w:p>
    <w:p w14:paraId="02493900" w14:textId="4CE00964" w:rsidR="00A67FE6" w:rsidRPr="002174B7" w:rsidRDefault="002174B7" w:rsidP="002174B7">
      <w:pPr>
        <w:jc w:val="center"/>
        <w:rPr>
          <w:sz w:val="20"/>
        </w:rPr>
      </w:pPr>
      <w:r w:rsidRPr="002174B7">
        <w:rPr>
          <w:noProof/>
          <w:lang w:val="en-US"/>
        </w:rPr>
        <w:drawing>
          <wp:inline distT="0" distB="0" distL="0" distR="0" wp14:anchorId="186C5CB3" wp14:editId="4B1F9440">
            <wp:extent cx="4320000" cy="2584993"/>
            <wp:effectExtent l="0" t="0" r="444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0000" cy="2584993"/>
                    </a:xfrm>
                    <a:prstGeom prst="rect">
                      <a:avLst/>
                    </a:prstGeom>
                    <a:noFill/>
                    <a:ln>
                      <a:noFill/>
                    </a:ln>
                  </pic:spPr>
                </pic:pic>
              </a:graphicData>
            </a:graphic>
          </wp:inline>
        </w:drawing>
      </w:r>
    </w:p>
    <w:p w14:paraId="4E1C6614" w14:textId="77777777" w:rsidR="00A67FE6" w:rsidRPr="002174B7" w:rsidRDefault="00A67FE6" w:rsidP="002174B7">
      <w:pPr>
        <w:rPr>
          <w:sz w:val="20"/>
        </w:rPr>
      </w:pPr>
    </w:p>
    <w:p w14:paraId="3284E622"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La qualité globale en ce qui concerne l’examen des marques en 2016 a été supérieure d’un point de pourcentage au niveau de qualité acceptable.</w:t>
      </w:r>
    </w:p>
    <w:p w14:paraId="2F7D812A" w14:textId="77777777" w:rsidR="00A67FE6" w:rsidRPr="00A67FE6" w:rsidRDefault="00A67FE6" w:rsidP="00A67FE6">
      <w:pPr>
        <w:tabs>
          <w:tab w:val="left" w:pos="567"/>
        </w:tabs>
        <w:jc w:val="both"/>
        <w:rPr>
          <w:sz w:val="20"/>
        </w:rPr>
      </w:pPr>
    </w:p>
    <w:p w14:paraId="7CD107CA" w14:textId="53B9B131" w:rsidR="00A67FE6" w:rsidRPr="00A67FE6" w:rsidRDefault="002174B7" w:rsidP="00A67FE6">
      <w:pPr>
        <w:tabs>
          <w:tab w:val="left" w:pos="567"/>
        </w:tabs>
        <w:ind w:left="360"/>
        <w:jc w:val="center"/>
        <w:rPr>
          <w:sz w:val="20"/>
        </w:rPr>
      </w:pPr>
      <w:r w:rsidRPr="002174B7">
        <w:rPr>
          <w:noProof/>
          <w:lang w:val="en-US"/>
        </w:rPr>
        <w:lastRenderedPageBreak/>
        <w:drawing>
          <wp:inline distT="0" distB="0" distL="0" distR="0" wp14:anchorId="755CC36F" wp14:editId="5771DE7E">
            <wp:extent cx="4320000" cy="2584993"/>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20000" cy="2584993"/>
                    </a:xfrm>
                    <a:prstGeom prst="rect">
                      <a:avLst/>
                    </a:prstGeom>
                    <a:noFill/>
                    <a:ln>
                      <a:noFill/>
                    </a:ln>
                  </pic:spPr>
                </pic:pic>
              </a:graphicData>
            </a:graphic>
          </wp:inline>
        </w:drawing>
      </w:r>
    </w:p>
    <w:p w14:paraId="7A24C0EC" w14:textId="77777777" w:rsidR="00A67FE6" w:rsidRPr="00A67FE6" w:rsidRDefault="00A67FE6" w:rsidP="00A67FE6">
      <w:pPr>
        <w:tabs>
          <w:tab w:val="left" w:pos="567"/>
        </w:tabs>
        <w:ind w:left="360"/>
        <w:jc w:val="both"/>
        <w:rPr>
          <w:sz w:val="20"/>
        </w:rPr>
      </w:pPr>
    </w:p>
    <w:p w14:paraId="6F0A1731"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La qualité globale en ce qui concerne l’examen quant à la forme a été inférieure d’un point de pourcentage au niveau de qualité acceptable établi pour 2016, principalement en raison d’erreurs concernant la saisie des coordonnées des déposants et de leurs mandataires.</w:t>
      </w:r>
    </w:p>
    <w:p w14:paraId="71289D92" w14:textId="77777777" w:rsidR="00A67FE6" w:rsidRPr="00A67FE6" w:rsidRDefault="00A67FE6" w:rsidP="00A67FE6">
      <w:pPr>
        <w:tabs>
          <w:tab w:val="left" w:pos="567"/>
        </w:tabs>
        <w:jc w:val="both"/>
        <w:rPr>
          <w:sz w:val="20"/>
        </w:rPr>
      </w:pPr>
    </w:p>
    <w:p w14:paraId="3E31E419" w14:textId="5361EBD8" w:rsidR="00A67FE6" w:rsidRPr="00A67FE6" w:rsidRDefault="002174B7" w:rsidP="00A67FE6">
      <w:pPr>
        <w:tabs>
          <w:tab w:val="left" w:pos="567"/>
        </w:tabs>
        <w:jc w:val="center"/>
        <w:rPr>
          <w:sz w:val="20"/>
        </w:rPr>
      </w:pPr>
      <w:r w:rsidRPr="002174B7">
        <w:rPr>
          <w:noProof/>
          <w:lang w:val="en-US"/>
        </w:rPr>
        <w:drawing>
          <wp:inline distT="0" distB="0" distL="0" distR="0" wp14:anchorId="3511A834" wp14:editId="74B76A0F">
            <wp:extent cx="4320000" cy="2584993"/>
            <wp:effectExtent l="0" t="0" r="4445" b="635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20000" cy="2584993"/>
                    </a:xfrm>
                    <a:prstGeom prst="rect">
                      <a:avLst/>
                    </a:prstGeom>
                    <a:noFill/>
                    <a:ln>
                      <a:noFill/>
                    </a:ln>
                  </pic:spPr>
                </pic:pic>
              </a:graphicData>
            </a:graphic>
          </wp:inline>
        </w:drawing>
      </w:r>
    </w:p>
    <w:p w14:paraId="1B0868E1" w14:textId="77777777" w:rsidR="00A67FE6" w:rsidRPr="00A67FE6" w:rsidRDefault="00A67FE6" w:rsidP="00A67FE6">
      <w:pPr>
        <w:tabs>
          <w:tab w:val="left" w:pos="567"/>
        </w:tabs>
        <w:jc w:val="both"/>
        <w:rPr>
          <w:sz w:val="20"/>
        </w:rPr>
      </w:pPr>
    </w:p>
    <w:p w14:paraId="2CAC3264"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La qualité globale en ce qui concerne le traitement des décisions a été inférieure d’un point de pourcentage à l’objectif fixé pour 2016.</w:t>
      </w:r>
    </w:p>
    <w:p w14:paraId="6515F813" w14:textId="77777777" w:rsidR="00A67FE6" w:rsidRPr="00A67FE6" w:rsidRDefault="00A67FE6" w:rsidP="00A67FE6">
      <w:pPr>
        <w:tabs>
          <w:tab w:val="left" w:pos="567"/>
        </w:tabs>
        <w:jc w:val="both"/>
        <w:rPr>
          <w:sz w:val="20"/>
        </w:rPr>
      </w:pPr>
    </w:p>
    <w:p w14:paraId="639AC171" w14:textId="1DC3990F" w:rsidR="00A67FE6" w:rsidRPr="00A67FE6" w:rsidRDefault="009709C2" w:rsidP="00A67FE6">
      <w:pPr>
        <w:tabs>
          <w:tab w:val="left" w:pos="567"/>
        </w:tabs>
        <w:jc w:val="center"/>
        <w:rPr>
          <w:sz w:val="20"/>
        </w:rPr>
      </w:pPr>
      <w:r w:rsidRPr="009709C2">
        <w:rPr>
          <w:noProof/>
          <w:lang w:val="en-US"/>
        </w:rPr>
        <w:lastRenderedPageBreak/>
        <w:drawing>
          <wp:inline distT="0" distB="0" distL="0" distR="0" wp14:anchorId="46839B2D" wp14:editId="54C23FF2">
            <wp:extent cx="4320000" cy="2584993"/>
            <wp:effectExtent l="0" t="0" r="4445" b="635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20000" cy="2584993"/>
                    </a:xfrm>
                    <a:prstGeom prst="rect">
                      <a:avLst/>
                    </a:prstGeom>
                    <a:noFill/>
                    <a:ln>
                      <a:noFill/>
                    </a:ln>
                  </pic:spPr>
                </pic:pic>
              </a:graphicData>
            </a:graphic>
          </wp:inline>
        </w:drawing>
      </w:r>
    </w:p>
    <w:p w14:paraId="42FBFE8B"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La qualité globale a atteint l’objectif fixé de 95%.  Toutefois, le même problème a été constaté que pour les examens de forme.</w:t>
      </w:r>
    </w:p>
    <w:p w14:paraId="5860E2F3" w14:textId="77777777" w:rsidR="00A67FE6" w:rsidRPr="00A67FE6" w:rsidRDefault="00A67FE6" w:rsidP="00A67FE6">
      <w:pPr>
        <w:pStyle w:val="ListParagraph"/>
        <w:tabs>
          <w:tab w:val="left" w:pos="567"/>
        </w:tabs>
        <w:ind w:left="1080"/>
        <w:jc w:val="both"/>
        <w:rPr>
          <w:rFonts w:ascii="Arial" w:hAnsi="Arial" w:cs="Arial"/>
          <w:sz w:val="20"/>
          <w:szCs w:val="20"/>
        </w:rPr>
      </w:pPr>
    </w:p>
    <w:p w14:paraId="17EF76EC" w14:textId="1C736475" w:rsidR="00A67FE6" w:rsidRPr="00A67FE6" w:rsidRDefault="002174B7" w:rsidP="00A67FE6">
      <w:pPr>
        <w:jc w:val="center"/>
        <w:rPr>
          <w:sz w:val="20"/>
        </w:rPr>
      </w:pPr>
      <w:r w:rsidRPr="002174B7">
        <w:rPr>
          <w:noProof/>
          <w:lang w:val="en-US"/>
        </w:rPr>
        <w:drawing>
          <wp:inline distT="0" distB="0" distL="0" distR="0" wp14:anchorId="225B1450" wp14:editId="096A1821">
            <wp:extent cx="4320000" cy="2584993"/>
            <wp:effectExtent l="0" t="0" r="4445" b="635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20000" cy="2584993"/>
                    </a:xfrm>
                    <a:prstGeom prst="rect">
                      <a:avLst/>
                    </a:prstGeom>
                    <a:noFill/>
                    <a:ln>
                      <a:noFill/>
                    </a:ln>
                  </pic:spPr>
                </pic:pic>
              </a:graphicData>
            </a:graphic>
          </wp:inline>
        </w:drawing>
      </w:r>
    </w:p>
    <w:p w14:paraId="58B1EBC3" w14:textId="77777777" w:rsidR="00A67FE6" w:rsidRPr="00A67FE6" w:rsidRDefault="00A67FE6" w:rsidP="00A67FE6">
      <w:pPr>
        <w:jc w:val="center"/>
        <w:rPr>
          <w:sz w:val="20"/>
        </w:rPr>
      </w:pPr>
    </w:p>
    <w:p w14:paraId="3CAE823D"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La qualité globale en ce qui concerne les renouvellements a été supérieure d’un point de pourcentage à l’objectif fixé pour 2016.</w:t>
      </w:r>
    </w:p>
    <w:p w14:paraId="0DC7354E" w14:textId="77777777" w:rsidR="00A67FE6" w:rsidRPr="00A67FE6" w:rsidRDefault="00A67FE6" w:rsidP="00A67FE6">
      <w:pPr>
        <w:ind w:left="1134"/>
        <w:jc w:val="both"/>
        <w:rPr>
          <w:rFonts w:eastAsiaTheme="minorHAnsi"/>
          <w:sz w:val="20"/>
        </w:rPr>
      </w:pPr>
    </w:p>
    <w:p w14:paraId="2E54AE54" w14:textId="77777777" w:rsidR="00A67FE6" w:rsidRPr="00A67FE6" w:rsidRDefault="00A67FE6" w:rsidP="00A67FE6">
      <w:pPr>
        <w:keepNext/>
        <w:keepLines/>
        <w:rPr>
          <w:rFonts w:eastAsiaTheme="minorHAnsi"/>
          <w:i/>
          <w:sz w:val="20"/>
        </w:rPr>
      </w:pPr>
      <w:r w:rsidRPr="00A67FE6">
        <w:rPr>
          <w:rFonts w:eastAsiaTheme="minorHAnsi"/>
          <w:i/>
          <w:sz w:val="20"/>
        </w:rPr>
        <w:t>Erreurs commises par le Bureau international</w:t>
      </w:r>
    </w:p>
    <w:p w14:paraId="01B0A0D0" w14:textId="77777777" w:rsidR="00A67FE6" w:rsidRPr="00A67FE6" w:rsidRDefault="00A67FE6" w:rsidP="00A67FE6">
      <w:pPr>
        <w:keepNext/>
        <w:keepLines/>
        <w:rPr>
          <w:rFonts w:eastAsiaTheme="minorHAnsi"/>
          <w:iCs/>
          <w:sz w:val="20"/>
        </w:rPr>
      </w:pPr>
    </w:p>
    <w:p w14:paraId="70160C4C" w14:textId="7AB5956A" w:rsidR="00A67FE6" w:rsidRPr="00A67FE6" w:rsidRDefault="00A67FE6" w:rsidP="00A67FE6">
      <w:pPr>
        <w:pStyle w:val="ListParagraph"/>
        <w:numPr>
          <w:ilvl w:val="0"/>
          <w:numId w:val="57"/>
        </w:numPr>
        <w:tabs>
          <w:tab w:val="left" w:pos="0"/>
        </w:tabs>
        <w:ind w:left="0" w:firstLine="0"/>
        <w:jc w:val="both"/>
        <w:rPr>
          <w:rFonts w:ascii="Arial" w:hAnsi="Arial" w:cs="Arial"/>
          <w:sz w:val="20"/>
          <w:szCs w:val="20"/>
        </w:rPr>
      </w:pPr>
      <w:r w:rsidRPr="00A67FE6">
        <w:rPr>
          <w:rFonts w:ascii="Arial" w:hAnsi="Arial" w:cs="Arial"/>
          <w:sz w:val="20"/>
          <w:szCs w:val="20"/>
        </w:rPr>
        <w:t>La répartition des erreurs présentée dans les diagrammes ci</w:t>
      </w:r>
      <w:r w:rsidRPr="00A67FE6">
        <w:rPr>
          <w:rFonts w:ascii="Arial" w:hAnsi="Arial" w:cs="Arial"/>
          <w:sz w:val="20"/>
          <w:szCs w:val="20"/>
        </w:rPr>
        <w:noBreakHyphen/>
        <w:t>après est fondée sur une analyse des échantillons d’examens réalisés en 2016</w:t>
      </w:r>
      <w:r w:rsidRPr="00A67FE6">
        <w:rPr>
          <w:rFonts w:ascii="Arial" w:hAnsi="Arial" w:cs="Arial"/>
          <w:sz w:val="20"/>
          <w:szCs w:val="20"/>
          <w:vertAlign w:val="superscript"/>
        </w:rPr>
        <w:footnoteReference w:id="41"/>
      </w:r>
      <w:r w:rsidRPr="00A67FE6">
        <w:rPr>
          <w:rFonts w:ascii="Arial" w:hAnsi="Arial" w:cs="Arial"/>
          <w:sz w:val="20"/>
          <w:szCs w:val="20"/>
        </w:rPr>
        <w:t xml:space="preserve">.  </w:t>
      </w:r>
    </w:p>
    <w:p w14:paraId="18E2BD6B" w14:textId="77777777" w:rsidR="00A67FE6" w:rsidRPr="00A67FE6" w:rsidRDefault="00A67FE6" w:rsidP="00A67FE6">
      <w:pPr>
        <w:pStyle w:val="ListParagraph"/>
        <w:tabs>
          <w:tab w:val="left" w:pos="567"/>
        </w:tabs>
        <w:jc w:val="both"/>
        <w:rPr>
          <w:rFonts w:ascii="Arial" w:hAnsi="Arial" w:cs="Arial"/>
          <w:sz w:val="20"/>
          <w:szCs w:val="20"/>
        </w:rPr>
      </w:pPr>
    </w:p>
    <w:p w14:paraId="4D897B60"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371 erreurs de classement</w:t>
      </w:r>
    </w:p>
    <w:p w14:paraId="2E4EF2FC"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250 erreurs concernant l’examen quant à la forme (APEX)</w:t>
      </w:r>
    </w:p>
    <w:p w14:paraId="25CC709C"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276 erreurs concernant des renouvellements</w:t>
      </w:r>
    </w:p>
    <w:p w14:paraId="2F08D9F4" w14:textId="77777777" w:rsidR="00A67FE6" w:rsidRPr="00A67FE6" w:rsidRDefault="00A67FE6" w:rsidP="00A67FE6">
      <w:pPr>
        <w:numPr>
          <w:ilvl w:val="0"/>
          <w:numId w:val="52"/>
        </w:numPr>
        <w:tabs>
          <w:tab w:val="clear" w:pos="720"/>
          <w:tab w:val="num" w:pos="1134"/>
        </w:tabs>
        <w:spacing w:after="120"/>
        <w:ind w:left="567" w:firstLine="0"/>
        <w:jc w:val="both"/>
        <w:rPr>
          <w:rFonts w:eastAsiaTheme="minorHAnsi"/>
          <w:sz w:val="20"/>
        </w:rPr>
      </w:pPr>
      <w:r w:rsidRPr="00A67FE6">
        <w:rPr>
          <w:rFonts w:eastAsiaTheme="minorHAnsi"/>
          <w:sz w:val="20"/>
        </w:rPr>
        <w:t>293 erreurs concernant des modifications</w:t>
      </w:r>
    </w:p>
    <w:p w14:paraId="019E31D9" w14:textId="77777777" w:rsidR="00A67FE6" w:rsidRPr="00A67FE6" w:rsidRDefault="00A67FE6" w:rsidP="00A67FE6">
      <w:pPr>
        <w:pStyle w:val="ListParagraph"/>
        <w:tabs>
          <w:tab w:val="left" w:pos="567"/>
        </w:tabs>
        <w:jc w:val="both"/>
        <w:rPr>
          <w:rFonts w:ascii="Arial" w:hAnsi="Arial" w:cs="Arial"/>
          <w:sz w:val="20"/>
          <w:szCs w:val="20"/>
        </w:rPr>
      </w:pPr>
    </w:p>
    <w:p w14:paraId="2CEAFAE5" w14:textId="77777777" w:rsidR="00A67FE6" w:rsidRPr="00A67FE6" w:rsidRDefault="00A67FE6" w:rsidP="00A67FE6">
      <w:pPr>
        <w:pStyle w:val="ListParagraph"/>
        <w:jc w:val="center"/>
        <w:rPr>
          <w:rFonts w:ascii="Arial" w:hAnsi="Arial" w:cs="Arial"/>
          <w:sz w:val="20"/>
          <w:szCs w:val="20"/>
        </w:rPr>
      </w:pPr>
      <w:r w:rsidRPr="00A67FE6">
        <w:rPr>
          <w:rFonts w:ascii="Arial" w:hAnsi="Arial" w:cs="Arial"/>
          <w:noProof/>
          <w:sz w:val="20"/>
          <w:szCs w:val="20"/>
          <w:lang w:val="en-US" w:eastAsia="en-US"/>
        </w:rPr>
        <w:lastRenderedPageBreak/>
        <w:drawing>
          <wp:inline distT="0" distB="0" distL="0" distR="0" wp14:anchorId="34E830C8" wp14:editId="73DEC6D9">
            <wp:extent cx="5400000" cy="308689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0" cy="3086897"/>
                    </a:xfrm>
                    <a:prstGeom prst="rect">
                      <a:avLst/>
                    </a:prstGeom>
                    <a:noFill/>
                    <a:ln>
                      <a:noFill/>
                    </a:ln>
                  </pic:spPr>
                </pic:pic>
              </a:graphicData>
            </a:graphic>
          </wp:inline>
        </w:drawing>
      </w:r>
    </w:p>
    <w:p w14:paraId="4DA7EB59" w14:textId="77777777" w:rsidR="00A67FE6" w:rsidRPr="00A67FE6" w:rsidRDefault="00A67FE6" w:rsidP="00A67FE6">
      <w:pPr>
        <w:jc w:val="center"/>
        <w:rPr>
          <w:sz w:val="20"/>
        </w:rPr>
      </w:pPr>
    </w:p>
    <w:p w14:paraId="3DFC979A"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Les défaillances du système informatique (MIRIS) ont été à l’origine de 45,3% des erreurs de classement en 2016, ce qui représente une augmentation de 32,6 points de pourcentage par rapport à 2015.</w:t>
      </w:r>
    </w:p>
    <w:p w14:paraId="1E50BE26" w14:textId="77777777" w:rsidR="00A67FE6" w:rsidRPr="00A67FE6" w:rsidRDefault="00A67FE6" w:rsidP="00A67FE6">
      <w:pPr>
        <w:rPr>
          <w:sz w:val="20"/>
        </w:rPr>
      </w:pPr>
    </w:p>
    <w:p w14:paraId="1A9B6B0F" w14:textId="77777777" w:rsidR="00A67FE6" w:rsidRPr="00A67FE6" w:rsidRDefault="00A67FE6" w:rsidP="00A67FE6">
      <w:pPr>
        <w:jc w:val="center"/>
        <w:rPr>
          <w:sz w:val="20"/>
        </w:rPr>
      </w:pPr>
      <w:r w:rsidRPr="00A67FE6">
        <w:rPr>
          <w:noProof/>
          <w:sz w:val="20"/>
          <w:lang w:val="en-US"/>
        </w:rPr>
        <w:drawing>
          <wp:inline distT="0" distB="0" distL="0" distR="0" wp14:anchorId="1972A101" wp14:editId="09D5FD7E">
            <wp:extent cx="5400000" cy="3235793"/>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0" cy="3235793"/>
                    </a:xfrm>
                    <a:prstGeom prst="rect">
                      <a:avLst/>
                    </a:prstGeom>
                    <a:noFill/>
                    <a:ln>
                      <a:noFill/>
                    </a:ln>
                  </pic:spPr>
                </pic:pic>
              </a:graphicData>
            </a:graphic>
          </wp:inline>
        </w:drawing>
      </w:r>
    </w:p>
    <w:p w14:paraId="5766DB37" w14:textId="77777777" w:rsidR="00A67FE6" w:rsidRPr="00A67FE6" w:rsidRDefault="00A67FE6" w:rsidP="00A67FE6">
      <w:pPr>
        <w:jc w:val="center"/>
        <w:rPr>
          <w:sz w:val="20"/>
        </w:rPr>
      </w:pPr>
    </w:p>
    <w:p w14:paraId="1FF4B2BC" w14:textId="23320848"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En 2016, la majorité des corrections effectuées au stade de l’examen de forme était due à des erreurs commises au moment de la saisie des coordonnées des déposants (38</w:t>
      </w:r>
      <w:r>
        <w:rPr>
          <w:rFonts w:eastAsiaTheme="minorHAnsi"/>
          <w:sz w:val="20"/>
        </w:rPr>
        <w:t>,4</w:t>
      </w:r>
      <w:r w:rsidRPr="00A67FE6">
        <w:rPr>
          <w:rFonts w:eastAsiaTheme="minorHAnsi"/>
          <w:sz w:val="20"/>
        </w:rPr>
        <w:t>%) et à des défaillances du système informatique (10,8%).</w:t>
      </w:r>
    </w:p>
    <w:p w14:paraId="0979A367" w14:textId="77777777" w:rsidR="00A67FE6" w:rsidRPr="00A67FE6" w:rsidRDefault="00A67FE6" w:rsidP="00A67FE6">
      <w:pPr>
        <w:pStyle w:val="ListParagraph"/>
        <w:rPr>
          <w:rFonts w:ascii="Arial" w:hAnsi="Arial" w:cs="Arial"/>
          <w:sz w:val="20"/>
          <w:szCs w:val="20"/>
        </w:rPr>
      </w:pPr>
    </w:p>
    <w:p w14:paraId="1A7E5660" w14:textId="77777777" w:rsidR="00A67FE6" w:rsidRPr="00A67FE6" w:rsidRDefault="00A67FE6" w:rsidP="00A67FE6">
      <w:pPr>
        <w:jc w:val="center"/>
        <w:rPr>
          <w:sz w:val="20"/>
        </w:rPr>
      </w:pPr>
      <w:r w:rsidRPr="00A67FE6">
        <w:rPr>
          <w:noProof/>
          <w:sz w:val="20"/>
          <w:lang w:val="en-US"/>
        </w:rPr>
        <w:lastRenderedPageBreak/>
        <w:drawing>
          <wp:inline distT="0" distB="0" distL="0" distR="0" wp14:anchorId="119ACB67" wp14:editId="448A6886">
            <wp:extent cx="5400000" cy="3287025"/>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0" cy="3287025"/>
                    </a:xfrm>
                    <a:prstGeom prst="rect">
                      <a:avLst/>
                    </a:prstGeom>
                    <a:noFill/>
                    <a:ln>
                      <a:noFill/>
                    </a:ln>
                  </pic:spPr>
                </pic:pic>
              </a:graphicData>
            </a:graphic>
          </wp:inline>
        </w:drawing>
      </w:r>
    </w:p>
    <w:p w14:paraId="7BC45DF0" w14:textId="77777777" w:rsidR="00A67FE6" w:rsidRPr="00A67FE6" w:rsidRDefault="00A67FE6" w:rsidP="00A67FE6">
      <w:pPr>
        <w:jc w:val="center"/>
        <w:rPr>
          <w:sz w:val="20"/>
        </w:rPr>
      </w:pPr>
    </w:p>
    <w:p w14:paraId="3754C1D0"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En 2015, l’analyse des erreurs concernant des modifications était présentée par type de modification plutôt que par type d’erreur.  Cette présentation a été modifiée en 2016 à des fins de conformité avec l’analyse des autres opérations.  Les données pour 2015 par type d’erreur ne sont pas disponibles.</w:t>
      </w:r>
    </w:p>
    <w:p w14:paraId="499C2B8B" w14:textId="77777777" w:rsidR="00A67FE6" w:rsidRPr="00A67FE6" w:rsidRDefault="00A67FE6" w:rsidP="00A67FE6">
      <w:pPr>
        <w:ind w:left="1134"/>
        <w:jc w:val="both"/>
        <w:rPr>
          <w:rFonts w:eastAsiaTheme="minorHAnsi"/>
          <w:sz w:val="20"/>
        </w:rPr>
      </w:pPr>
    </w:p>
    <w:p w14:paraId="073F4B51" w14:textId="7E681019"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En 2016, environ 4</w:t>
      </w:r>
      <w:r>
        <w:rPr>
          <w:rFonts w:eastAsiaTheme="minorHAnsi"/>
          <w:sz w:val="20"/>
        </w:rPr>
        <w:t>2,2</w:t>
      </w:r>
      <w:r w:rsidRPr="00A67FE6">
        <w:rPr>
          <w:rFonts w:eastAsiaTheme="minorHAnsi"/>
          <w:sz w:val="20"/>
        </w:rPr>
        <w:t>% des corrections relatives à des modifications effectuées étaient dues à des erreurs commises dans la saisie des coordonnées des titulaires (38,4%) et des mandataires (3,8%).  Les erreurs concernant les produits et services ont représenté 16,4% des erreurs relatives à des modifications.</w:t>
      </w:r>
    </w:p>
    <w:p w14:paraId="22391168" w14:textId="77777777" w:rsidR="00A67FE6" w:rsidRPr="00A67FE6" w:rsidRDefault="00A67FE6" w:rsidP="00A67FE6">
      <w:pPr>
        <w:jc w:val="center"/>
        <w:rPr>
          <w:sz w:val="20"/>
        </w:rPr>
      </w:pPr>
    </w:p>
    <w:p w14:paraId="025D985A" w14:textId="77777777" w:rsidR="00A67FE6" w:rsidRPr="00A67FE6" w:rsidRDefault="00A67FE6" w:rsidP="00A67FE6">
      <w:pPr>
        <w:jc w:val="center"/>
        <w:rPr>
          <w:sz w:val="20"/>
        </w:rPr>
      </w:pPr>
      <w:r w:rsidRPr="00A67FE6">
        <w:rPr>
          <w:noProof/>
          <w:sz w:val="20"/>
          <w:lang w:val="en-US"/>
        </w:rPr>
        <w:drawing>
          <wp:inline distT="0" distB="0" distL="0" distR="0" wp14:anchorId="30D62020" wp14:editId="1BADE847">
            <wp:extent cx="5400000" cy="315246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0" cy="3152467"/>
                    </a:xfrm>
                    <a:prstGeom prst="rect">
                      <a:avLst/>
                    </a:prstGeom>
                    <a:noFill/>
                    <a:ln>
                      <a:noFill/>
                    </a:ln>
                  </pic:spPr>
                </pic:pic>
              </a:graphicData>
            </a:graphic>
          </wp:inline>
        </w:drawing>
      </w:r>
    </w:p>
    <w:p w14:paraId="5BAA78CE" w14:textId="77777777" w:rsidR="00A67FE6" w:rsidRPr="00A67FE6" w:rsidRDefault="00A67FE6" w:rsidP="00A67FE6">
      <w:pPr>
        <w:jc w:val="center"/>
        <w:rPr>
          <w:sz w:val="20"/>
        </w:rPr>
      </w:pPr>
    </w:p>
    <w:p w14:paraId="35E954F3" w14:textId="77777777" w:rsidR="00A67FE6" w:rsidRPr="00A67FE6" w:rsidRDefault="00A67FE6" w:rsidP="00A67FE6">
      <w:pPr>
        <w:numPr>
          <w:ilvl w:val="0"/>
          <w:numId w:val="56"/>
        </w:numPr>
        <w:tabs>
          <w:tab w:val="num" w:pos="1134"/>
        </w:tabs>
        <w:ind w:left="1134" w:hanging="567"/>
        <w:jc w:val="both"/>
        <w:rPr>
          <w:rFonts w:eastAsiaTheme="minorHAnsi"/>
          <w:sz w:val="20"/>
        </w:rPr>
      </w:pPr>
      <w:r w:rsidRPr="00A67FE6">
        <w:rPr>
          <w:rFonts w:eastAsiaTheme="minorHAnsi"/>
          <w:sz w:val="20"/>
        </w:rPr>
        <w:t>L’augmentation de la proportion des erreurs dues à une défaillance du système informatique résulte principalement de la mise en place du nouveau système informatique en 2016.</w:t>
      </w:r>
    </w:p>
    <w:p w14:paraId="536CBE26" w14:textId="77777777" w:rsidR="00A67FE6" w:rsidRPr="00A67FE6" w:rsidRDefault="00A67FE6" w:rsidP="00A67FE6">
      <w:pPr>
        <w:pStyle w:val="ListParagraph"/>
        <w:rPr>
          <w:rFonts w:ascii="Arial" w:hAnsi="Arial" w:cs="Arial"/>
          <w:sz w:val="20"/>
          <w:szCs w:val="20"/>
        </w:rPr>
      </w:pPr>
    </w:p>
    <w:p w14:paraId="15B8E939" w14:textId="79B4BB70" w:rsidR="00A67FE6" w:rsidRPr="00A67FE6" w:rsidRDefault="00A67FE6" w:rsidP="00AA64E5">
      <w:pPr>
        <w:pStyle w:val="ListParagraph"/>
        <w:ind w:left="0" w:hanging="11"/>
        <w:jc w:val="right"/>
        <w:rPr>
          <w:b/>
          <w:caps/>
          <w:sz w:val="20"/>
        </w:rPr>
      </w:pPr>
      <w:r w:rsidRPr="00A67FE6">
        <w:rPr>
          <w:rFonts w:ascii="Arial" w:hAnsi="Arial" w:cs="Arial"/>
          <w:sz w:val="20"/>
          <w:szCs w:val="20"/>
        </w:rPr>
        <w:t>[Fin de l’annexe]</w:t>
      </w:r>
      <w:r w:rsidRPr="00A67FE6">
        <w:rPr>
          <w:sz w:val="20"/>
        </w:rPr>
        <w:br w:type="page"/>
      </w:r>
    </w:p>
    <w:p w14:paraId="7D8C5407" w14:textId="77777777" w:rsidR="00F96912" w:rsidRPr="001E6DFD" w:rsidRDefault="00F96912" w:rsidP="006658D5">
      <w:pPr>
        <w:pStyle w:val="Heading3"/>
      </w:pPr>
      <w:bookmarkStart w:id="34" w:name="_Toc482774596"/>
      <w:bookmarkEnd w:id="31"/>
      <w:r w:rsidRPr="001E6DFD">
        <w:lastRenderedPageBreak/>
        <w:t>Programme</w:t>
      </w:r>
      <w:r>
        <w:t> </w:t>
      </w:r>
      <w:r w:rsidRPr="001E6DFD">
        <w:t>31</w:t>
      </w:r>
      <w:r w:rsidRPr="001E6DFD">
        <w:tab/>
        <w:t>Système de La Haye</w:t>
      </w:r>
      <w:bookmarkEnd w:id="34"/>
    </w:p>
    <w:p w14:paraId="0B809C23" w14:textId="77777777" w:rsidR="00F96912" w:rsidRPr="001E6DFD" w:rsidRDefault="00F96912" w:rsidP="00F96912">
      <w:pPr>
        <w:tabs>
          <w:tab w:val="left" w:pos="2268"/>
        </w:tabs>
        <w:ind w:left="2268" w:hanging="2268"/>
        <w:rPr>
          <w:sz w:val="20"/>
        </w:rPr>
      </w:pPr>
    </w:p>
    <w:p w14:paraId="5FF2AD79" w14:textId="77777777" w:rsidR="00F96912" w:rsidRPr="001E6DFD" w:rsidRDefault="00F96912" w:rsidP="00F96912">
      <w:pPr>
        <w:tabs>
          <w:tab w:val="left" w:pos="2268"/>
        </w:tabs>
        <w:ind w:left="2268" w:hanging="2268"/>
        <w:rPr>
          <w:b/>
          <w:sz w:val="20"/>
          <w:szCs w:val="22"/>
        </w:rPr>
      </w:pPr>
      <w:r w:rsidRPr="001E6DFD">
        <w:rPr>
          <w:b/>
          <w:sz w:val="20"/>
          <w:szCs w:val="22"/>
        </w:rPr>
        <w:t>Chef de programme</w:t>
      </w:r>
      <w:r w:rsidRPr="001E6DFD">
        <w:rPr>
          <w:b/>
          <w:sz w:val="20"/>
          <w:szCs w:val="22"/>
        </w:rPr>
        <w:tab/>
        <w:t>Mme B. Wang</w:t>
      </w:r>
    </w:p>
    <w:p w14:paraId="7BF5F516" w14:textId="77777777" w:rsidR="00F96912" w:rsidRPr="001E6DFD" w:rsidRDefault="00F96912" w:rsidP="00F96912">
      <w:pPr>
        <w:tabs>
          <w:tab w:val="left" w:pos="1985"/>
        </w:tabs>
        <w:rPr>
          <w:bCs/>
          <w:sz w:val="20"/>
          <w:szCs w:val="22"/>
        </w:rPr>
      </w:pPr>
    </w:p>
    <w:p w14:paraId="25C8500B" w14:textId="77777777" w:rsidR="00F96912" w:rsidRPr="001E6DFD" w:rsidRDefault="00F96912" w:rsidP="00F96912">
      <w:pPr>
        <w:tabs>
          <w:tab w:val="left" w:pos="1985"/>
        </w:tabs>
        <w:jc w:val="center"/>
        <w:rPr>
          <w:bCs/>
          <w:szCs w:val="22"/>
        </w:rPr>
      </w:pPr>
      <w:r w:rsidRPr="001E6DFD">
        <w:rPr>
          <w:noProof/>
          <w:lang w:val="en-US"/>
        </w:rPr>
        <w:drawing>
          <wp:inline distT="0" distB="0" distL="0" distR="0" wp14:anchorId="32F097F8" wp14:editId="5302D258">
            <wp:extent cx="3963600" cy="273600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830"/>
        <w:gridCol w:w="2545"/>
        <w:gridCol w:w="1664"/>
        <w:gridCol w:w="2096"/>
        <w:gridCol w:w="1052"/>
      </w:tblGrid>
      <w:tr w:rsidR="00F96912" w:rsidRPr="001E6DFD" w14:paraId="51DBAAD9" w14:textId="77777777" w:rsidTr="006658D5">
        <w:tc>
          <w:tcPr>
            <w:tcW w:w="5000" w:type="pct"/>
            <w:gridSpan w:val="5"/>
            <w:shd w:val="clear" w:color="auto" w:fill="C6D9F1" w:themeFill="text2" w:themeFillTint="33"/>
            <w:tcMar>
              <w:left w:w="58" w:type="dxa"/>
              <w:right w:w="58" w:type="dxa"/>
            </w:tcMar>
            <w:vAlign w:val="center"/>
          </w:tcPr>
          <w:p w14:paraId="10B38400" w14:textId="77777777" w:rsidR="00F96912" w:rsidRPr="001E6DFD" w:rsidRDefault="00F96912" w:rsidP="006658D5">
            <w:pPr>
              <w:keepNext/>
              <w:keepLines/>
              <w:tabs>
                <w:tab w:val="left" w:pos="1452"/>
              </w:tabs>
              <w:rPr>
                <w:b/>
                <w:bCs/>
                <w:sz w:val="16"/>
                <w:szCs w:val="16"/>
              </w:rPr>
            </w:pPr>
            <w:r w:rsidRPr="001E6DFD">
              <w:rPr>
                <w:b/>
                <w:bCs/>
                <w:sz w:val="16"/>
                <w:szCs w:val="16"/>
              </w:rPr>
              <w:t xml:space="preserve">Résultat escompté : </w:t>
            </w:r>
            <w:r w:rsidRPr="001E6DFD">
              <w:rPr>
                <w:bCs/>
                <w:sz w:val="16"/>
                <w:szCs w:val="16"/>
              </w:rPr>
              <w:t>II.4 Utilisation élargie et plus efficace du système de La Haye, notamment par les pays en développement et les PMA</w:t>
            </w:r>
          </w:p>
        </w:tc>
      </w:tr>
      <w:tr w:rsidR="00F96912" w:rsidRPr="001E6DFD" w14:paraId="6DA7B400" w14:textId="77777777" w:rsidTr="006658D5">
        <w:tc>
          <w:tcPr>
            <w:tcW w:w="1027" w:type="pct"/>
            <w:shd w:val="clear" w:color="auto" w:fill="auto"/>
            <w:tcMar>
              <w:left w:w="58" w:type="dxa"/>
              <w:right w:w="58" w:type="dxa"/>
            </w:tcMar>
            <w:vAlign w:val="center"/>
          </w:tcPr>
          <w:p w14:paraId="73361F2B" w14:textId="77777777" w:rsidR="00F96912" w:rsidRPr="001E6DFD" w:rsidRDefault="00F96912" w:rsidP="006658D5">
            <w:pPr>
              <w:ind w:right="-57"/>
              <w:jc w:val="center"/>
              <w:rPr>
                <w:b/>
                <w:bCs/>
                <w:sz w:val="16"/>
                <w:szCs w:val="16"/>
              </w:rPr>
            </w:pPr>
            <w:r w:rsidRPr="001E6DFD">
              <w:rPr>
                <w:b/>
                <w:bCs/>
                <w:sz w:val="16"/>
                <w:szCs w:val="16"/>
              </w:rPr>
              <w:t>Indicateurs d’exécution</w:t>
            </w:r>
          </w:p>
        </w:tc>
        <w:tc>
          <w:tcPr>
            <w:tcW w:w="1416" w:type="pct"/>
            <w:shd w:val="clear" w:color="auto" w:fill="auto"/>
            <w:tcMar>
              <w:left w:w="58" w:type="dxa"/>
              <w:right w:w="58" w:type="dxa"/>
            </w:tcMar>
            <w:vAlign w:val="center"/>
          </w:tcPr>
          <w:p w14:paraId="7E56BABD" w14:textId="77777777" w:rsidR="00F96912" w:rsidRPr="001E6DFD" w:rsidRDefault="00F96912" w:rsidP="006658D5">
            <w:pPr>
              <w:jc w:val="center"/>
              <w:rPr>
                <w:b/>
                <w:bCs/>
                <w:sz w:val="16"/>
                <w:szCs w:val="16"/>
              </w:rPr>
            </w:pPr>
            <w:r w:rsidRPr="001E6DFD">
              <w:rPr>
                <w:b/>
                <w:bCs/>
                <w:sz w:val="16"/>
                <w:szCs w:val="16"/>
              </w:rPr>
              <w:t>Niveaux de référence</w:t>
            </w:r>
          </w:p>
        </w:tc>
        <w:tc>
          <w:tcPr>
            <w:tcW w:w="782" w:type="pct"/>
            <w:shd w:val="clear" w:color="auto" w:fill="auto"/>
            <w:tcMar>
              <w:top w:w="110" w:type="dxa"/>
              <w:left w:w="58" w:type="dxa"/>
              <w:right w:w="58" w:type="dxa"/>
            </w:tcMar>
            <w:vAlign w:val="center"/>
          </w:tcPr>
          <w:p w14:paraId="6046EA1B" w14:textId="77777777" w:rsidR="00F96912" w:rsidRPr="001E6DFD" w:rsidRDefault="00F96912" w:rsidP="006658D5">
            <w:pPr>
              <w:tabs>
                <w:tab w:val="left" w:pos="290"/>
              </w:tabs>
              <w:jc w:val="center"/>
              <w:rPr>
                <w:b/>
                <w:bCs/>
                <w:sz w:val="16"/>
                <w:szCs w:val="16"/>
              </w:rPr>
            </w:pPr>
            <w:r w:rsidRPr="001E6DFD">
              <w:rPr>
                <w:b/>
                <w:bCs/>
                <w:sz w:val="16"/>
                <w:szCs w:val="16"/>
              </w:rPr>
              <w:t>Objectifs visés</w:t>
            </w:r>
          </w:p>
        </w:tc>
        <w:tc>
          <w:tcPr>
            <w:tcW w:w="1172" w:type="pct"/>
            <w:shd w:val="clear" w:color="auto" w:fill="FFFFFF"/>
            <w:tcMar>
              <w:top w:w="110" w:type="dxa"/>
              <w:left w:w="58" w:type="dxa"/>
              <w:right w:w="58" w:type="dxa"/>
            </w:tcMar>
            <w:vAlign w:val="center"/>
          </w:tcPr>
          <w:p w14:paraId="1B8FFAFB" w14:textId="77777777" w:rsidR="00F96912" w:rsidRPr="001E6DFD" w:rsidRDefault="00F96912" w:rsidP="006658D5">
            <w:pPr>
              <w:jc w:val="center"/>
              <w:rPr>
                <w:b/>
                <w:bCs/>
                <w:sz w:val="16"/>
                <w:szCs w:val="16"/>
              </w:rPr>
            </w:pPr>
            <w:r w:rsidRPr="001E6DFD">
              <w:rPr>
                <w:b/>
                <w:bCs/>
                <w:sz w:val="16"/>
                <w:szCs w:val="16"/>
              </w:rPr>
              <w:t>Données relatives à l’exécution</w:t>
            </w:r>
          </w:p>
        </w:tc>
        <w:tc>
          <w:tcPr>
            <w:tcW w:w="604" w:type="pct"/>
            <w:shd w:val="clear" w:color="auto" w:fill="auto"/>
            <w:tcMar>
              <w:top w:w="110" w:type="dxa"/>
              <w:left w:w="58" w:type="dxa"/>
              <w:right w:w="58" w:type="dxa"/>
            </w:tcMar>
            <w:vAlign w:val="center"/>
          </w:tcPr>
          <w:p w14:paraId="7D9C3B9B" w14:textId="77777777" w:rsidR="00F96912" w:rsidRPr="001E6DFD" w:rsidRDefault="00F96912" w:rsidP="006658D5">
            <w:pPr>
              <w:keepNext/>
              <w:keepLines/>
              <w:jc w:val="center"/>
              <w:rPr>
                <w:b/>
                <w:bCs/>
                <w:sz w:val="16"/>
                <w:szCs w:val="16"/>
              </w:rPr>
            </w:pPr>
            <w:r w:rsidRPr="001E6DFD">
              <w:rPr>
                <w:b/>
                <w:bCs/>
                <w:sz w:val="16"/>
                <w:szCs w:val="16"/>
              </w:rPr>
              <w:t>Code d’évaluation</w:t>
            </w:r>
          </w:p>
        </w:tc>
      </w:tr>
      <w:tr w:rsidR="00F96912" w:rsidRPr="001E6DFD" w14:paraId="736489B2" w14:textId="77777777" w:rsidTr="006658D5">
        <w:tc>
          <w:tcPr>
            <w:tcW w:w="1027" w:type="pct"/>
            <w:shd w:val="clear" w:color="auto" w:fill="auto"/>
            <w:tcMar>
              <w:left w:w="58" w:type="dxa"/>
              <w:right w:w="58" w:type="dxa"/>
            </w:tcMar>
          </w:tcPr>
          <w:p w14:paraId="55B1463B" w14:textId="77777777" w:rsidR="00F96912" w:rsidRPr="001E6DFD" w:rsidRDefault="00F96912" w:rsidP="006658D5">
            <w:pPr>
              <w:ind w:right="-57"/>
              <w:rPr>
                <w:sz w:val="16"/>
                <w:szCs w:val="16"/>
              </w:rPr>
            </w:pPr>
            <w:r w:rsidRPr="001E6DFD">
              <w:rPr>
                <w:sz w:val="16"/>
                <w:szCs w:val="16"/>
              </w:rPr>
              <w:t>Parties contractantes à l’Acte de Genève (1999)</w:t>
            </w:r>
          </w:p>
        </w:tc>
        <w:tc>
          <w:tcPr>
            <w:tcW w:w="1416" w:type="pct"/>
            <w:shd w:val="clear" w:color="auto" w:fill="auto"/>
            <w:tcMar>
              <w:left w:w="58" w:type="dxa"/>
              <w:right w:w="58" w:type="dxa"/>
            </w:tcMar>
          </w:tcPr>
          <w:p w14:paraId="0CE0245F"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0DE00950" w14:textId="77777777" w:rsidR="00F96912" w:rsidRPr="0067214C" w:rsidRDefault="00F96912" w:rsidP="006658D5">
            <w:pPr>
              <w:rPr>
                <w:color w:val="002060"/>
                <w:sz w:val="16"/>
                <w:szCs w:val="16"/>
              </w:rPr>
            </w:pPr>
            <w:r w:rsidRPr="0067214C">
              <w:rPr>
                <w:color w:val="002060"/>
                <w:sz w:val="16"/>
                <w:szCs w:val="16"/>
              </w:rPr>
              <w:t>50 parties contractantes</w:t>
            </w:r>
          </w:p>
          <w:p w14:paraId="66D1E966" w14:textId="77777777" w:rsidR="00F96912" w:rsidRPr="001E6DFD" w:rsidRDefault="00F96912" w:rsidP="006658D5">
            <w:pPr>
              <w:rPr>
                <w:sz w:val="16"/>
                <w:szCs w:val="16"/>
              </w:rPr>
            </w:pPr>
          </w:p>
          <w:p w14:paraId="1DF3D5C2"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2E5C35F0" w14:textId="77777777" w:rsidR="00F96912" w:rsidRPr="001E6DFD" w:rsidRDefault="00F96912" w:rsidP="006658D5">
            <w:pPr>
              <w:rPr>
                <w:sz w:val="16"/>
                <w:szCs w:val="16"/>
              </w:rPr>
            </w:pPr>
            <w:r w:rsidRPr="001E6DFD">
              <w:rPr>
                <w:sz w:val="16"/>
                <w:szCs w:val="16"/>
              </w:rPr>
              <w:t>49 parties contractantes à compter du 13 février 2015.</w:t>
            </w:r>
          </w:p>
        </w:tc>
        <w:tc>
          <w:tcPr>
            <w:tcW w:w="782" w:type="pct"/>
            <w:shd w:val="clear" w:color="auto" w:fill="auto"/>
            <w:tcMar>
              <w:top w:w="110" w:type="dxa"/>
              <w:left w:w="58" w:type="dxa"/>
              <w:right w:w="58" w:type="dxa"/>
            </w:tcMar>
          </w:tcPr>
          <w:p w14:paraId="228E1673" w14:textId="77777777" w:rsidR="00F96912" w:rsidRPr="001E6DFD" w:rsidRDefault="00F96912" w:rsidP="006658D5">
            <w:pPr>
              <w:rPr>
                <w:sz w:val="16"/>
                <w:szCs w:val="16"/>
              </w:rPr>
            </w:pPr>
            <w:r w:rsidRPr="001E6DFD">
              <w:rPr>
                <w:sz w:val="16"/>
                <w:szCs w:val="16"/>
              </w:rPr>
              <w:t>60 parties contractantes</w:t>
            </w:r>
          </w:p>
        </w:tc>
        <w:tc>
          <w:tcPr>
            <w:tcW w:w="1172" w:type="pct"/>
            <w:shd w:val="clear" w:color="auto" w:fill="FFFFFF"/>
            <w:tcMar>
              <w:top w:w="110" w:type="dxa"/>
              <w:left w:w="58" w:type="dxa"/>
              <w:right w:w="58" w:type="dxa"/>
            </w:tcMar>
          </w:tcPr>
          <w:p w14:paraId="40000096" w14:textId="77777777" w:rsidR="00F96912" w:rsidRPr="001E6DFD" w:rsidRDefault="00F96912" w:rsidP="006658D5">
            <w:pPr>
              <w:rPr>
                <w:sz w:val="16"/>
                <w:szCs w:val="16"/>
              </w:rPr>
            </w:pPr>
            <w:r w:rsidRPr="001E6DFD">
              <w:rPr>
                <w:sz w:val="16"/>
                <w:szCs w:val="16"/>
              </w:rPr>
              <w:t>52 parties contractantes</w:t>
            </w:r>
          </w:p>
        </w:tc>
        <w:tc>
          <w:tcPr>
            <w:tcW w:w="604" w:type="pct"/>
            <w:shd w:val="clear" w:color="auto" w:fill="auto"/>
            <w:tcMar>
              <w:top w:w="110" w:type="dxa"/>
              <w:left w:w="58" w:type="dxa"/>
              <w:right w:w="58" w:type="dxa"/>
            </w:tcMar>
          </w:tcPr>
          <w:p w14:paraId="5B2346EB" w14:textId="77777777" w:rsidR="00F96912" w:rsidRPr="001E6DFD" w:rsidRDefault="00F96912" w:rsidP="006658D5">
            <w:pPr>
              <w:keepNext/>
              <w:keepLines/>
              <w:jc w:val="center"/>
              <w:rPr>
                <w:b/>
                <w:sz w:val="16"/>
                <w:szCs w:val="16"/>
              </w:rPr>
            </w:pPr>
            <w:r w:rsidRPr="001E6DFD">
              <w:rPr>
                <w:b/>
                <w:color w:val="FF0000"/>
                <w:sz w:val="16"/>
                <w:szCs w:val="16"/>
              </w:rPr>
              <w:t>Pas en bonne voie</w:t>
            </w:r>
          </w:p>
        </w:tc>
      </w:tr>
      <w:tr w:rsidR="00F96912" w:rsidRPr="001E6DFD" w14:paraId="321F64F5" w14:textId="77777777" w:rsidTr="006658D5">
        <w:tc>
          <w:tcPr>
            <w:tcW w:w="1027" w:type="pct"/>
            <w:shd w:val="clear" w:color="auto" w:fill="auto"/>
            <w:tcMar>
              <w:left w:w="58" w:type="dxa"/>
              <w:right w:w="58" w:type="dxa"/>
            </w:tcMar>
          </w:tcPr>
          <w:p w14:paraId="73037A2E" w14:textId="77777777" w:rsidR="00F96912" w:rsidRPr="001E6DFD" w:rsidRDefault="00F96912" w:rsidP="006658D5">
            <w:pPr>
              <w:ind w:right="-57"/>
              <w:rPr>
                <w:sz w:val="16"/>
                <w:szCs w:val="16"/>
              </w:rPr>
            </w:pPr>
            <w:r w:rsidRPr="001E6DFD">
              <w:rPr>
                <w:sz w:val="16"/>
                <w:szCs w:val="16"/>
              </w:rPr>
              <w:t>Nombre d’offices fournissant des informations sur le système de La Haye à leurs utilisateurs.</w:t>
            </w:r>
          </w:p>
        </w:tc>
        <w:tc>
          <w:tcPr>
            <w:tcW w:w="1416" w:type="pct"/>
            <w:shd w:val="clear" w:color="auto" w:fill="auto"/>
            <w:tcMar>
              <w:left w:w="58" w:type="dxa"/>
              <w:right w:w="58" w:type="dxa"/>
            </w:tcMar>
          </w:tcPr>
          <w:p w14:paraId="677334F7"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49C3C41E" w14:textId="77777777" w:rsidR="00F96912" w:rsidRPr="0067214C" w:rsidRDefault="00F96912" w:rsidP="006658D5">
            <w:pPr>
              <w:rPr>
                <w:color w:val="002060"/>
                <w:sz w:val="16"/>
                <w:szCs w:val="16"/>
                <w:lang w:bidi="th-TH"/>
              </w:rPr>
            </w:pPr>
            <w:r w:rsidRPr="0067214C">
              <w:rPr>
                <w:color w:val="002060"/>
                <w:sz w:val="16"/>
                <w:szCs w:val="16"/>
                <w:lang w:bidi="th-TH"/>
              </w:rPr>
              <w:t xml:space="preserve">47 offices nationaux ou régionaux fournissaient des informations sur le système de La Haye.  </w:t>
            </w:r>
            <w:r w:rsidRPr="0067214C">
              <w:rPr>
                <w:color w:val="002060"/>
                <w:sz w:val="16"/>
                <w:szCs w:val="16"/>
              </w:rPr>
              <w:t>Dix offices n’ont pas de site Web</w:t>
            </w:r>
          </w:p>
          <w:p w14:paraId="76478B50" w14:textId="77777777" w:rsidR="00F96912" w:rsidRPr="001E6DFD" w:rsidRDefault="00F96912" w:rsidP="006658D5">
            <w:pPr>
              <w:rPr>
                <w:sz w:val="16"/>
                <w:szCs w:val="16"/>
              </w:rPr>
            </w:pPr>
          </w:p>
          <w:p w14:paraId="31B862CA" w14:textId="77777777" w:rsidR="00F96912" w:rsidRPr="001E6DFD" w:rsidRDefault="00F96912" w:rsidP="006658D5">
            <w:pPr>
              <w:rPr>
                <w:sz w:val="16"/>
                <w:szCs w:val="16"/>
              </w:rPr>
            </w:pPr>
            <w:r w:rsidRPr="001E6DFD">
              <w:rPr>
                <w:i/>
                <w:sz w:val="16"/>
                <w:szCs w:val="16"/>
                <w:lang w:bidi="th-TH"/>
              </w:rPr>
              <w:t>Niveau de référence initial dans le programme et budget 2016</w:t>
            </w:r>
            <w:r w:rsidRPr="001E6DFD">
              <w:rPr>
                <w:i/>
                <w:sz w:val="16"/>
                <w:szCs w:val="16"/>
                <w:lang w:bidi="th-TH"/>
              </w:rPr>
              <w:noBreakHyphen/>
              <w:t xml:space="preserve">2017 : </w:t>
            </w:r>
            <w:r w:rsidRPr="001E6DFD">
              <w:rPr>
                <w:sz w:val="16"/>
                <w:szCs w:val="16"/>
              </w:rPr>
              <w:t xml:space="preserve">38 </w:t>
            </w:r>
            <w:r w:rsidRPr="001E6DFD">
              <w:rPr>
                <w:sz w:val="16"/>
                <w:szCs w:val="16"/>
                <w:lang w:bidi="th-TH"/>
              </w:rPr>
              <w:t xml:space="preserve">offices nationaux ou régionaux fournissaient des informations sur le système de La Haye.  </w:t>
            </w:r>
            <w:r w:rsidRPr="001E6DFD">
              <w:rPr>
                <w:sz w:val="16"/>
                <w:szCs w:val="16"/>
              </w:rPr>
              <w:t>Dix offices n’ont pas de site Web (fin</w:t>
            </w:r>
            <w:r>
              <w:rPr>
                <w:sz w:val="16"/>
                <w:szCs w:val="16"/>
              </w:rPr>
              <w:t> </w:t>
            </w:r>
            <w:r w:rsidRPr="001E6DFD">
              <w:rPr>
                <w:sz w:val="16"/>
                <w:szCs w:val="16"/>
              </w:rPr>
              <w:t>2014)</w:t>
            </w:r>
          </w:p>
        </w:tc>
        <w:tc>
          <w:tcPr>
            <w:tcW w:w="782" w:type="pct"/>
            <w:shd w:val="clear" w:color="auto" w:fill="auto"/>
            <w:tcMar>
              <w:top w:w="110" w:type="dxa"/>
              <w:left w:w="58" w:type="dxa"/>
              <w:right w:w="58" w:type="dxa"/>
            </w:tcMar>
          </w:tcPr>
          <w:p w14:paraId="09B2BA6D" w14:textId="77777777" w:rsidR="00F96912" w:rsidRPr="001E6DFD" w:rsidRDefault="00F96912" w:rsidP="006658D5">
            <w:pPr>
              <w:rPr>
                <w:sz w:val="16"/>
                <w:szCs w:val="16"/>
              </w:rPr>
            </w:pPr>
            <w:r w:rsidRPr="001E6DFD">
              <w:rPr>
                <w:sz w:val="16"/>
                <w:szCs w:val="16"/>
              </w:rPr>
              <w:t>Une augmentation du nombre d’offices fournissant des informations sur le système de La Haye.</w:t>
            </w:r>
          </w:p>
        </w:tc>
        <w:tc>
          <w:tcPr>
            <w:tcW w:w="1172" w:type="pct"/>
            <w:shd w:val="clear" w:color="auto" w:fill="FFFFFF"/>
            <w:tcMar>
              <w:top w:w="110" w:type="dxa"/>
              <w:left w:w="58" w:type="dxa"/>
              <w:right w:w="58" w:type="dxa"/>
            </w:tcMar>
          </w:tcPr>
          <w:p w14:paraId="28A68F50" w14:textId="77777777" w:rsidR="00F96912" w:rsidRPr="0067214C" w:rsidRDefault="00F96912" w:rsidP="006658D5">
            <w:pPr>
              <w:keepNext/>
              <w:keepLines/>
              <w:rPr>
                <w:sz w:val="16"/>
                <w:szCs w:val="16"/>
              </w:rPr>
            </w:pPr>
            <w:r w:rsidRPr="0067214C">
              <w:rPr>
                <w:sz w:val="16"/>
                <w:szCs w:val="16"/>
              </w:rPr>
              <w:t>Fin 2016, 48 offices nationaux ou régionaux fournissaient des informations sur le système de La Haye.  Dix offices n’avaient pas de site Web</w:t>
            </w:r>
          </w:p>
        </w:tc>
        <w:tc>
          <w:tcPr>
            <w:tcW w:w="604" w:type="pct"/>
            <w:shd w:val="clear" w:color="auto" w:fill="auto"/>
            <w:tcMar>
              <w:top w:w="110" w:type="dxa"/>
              <w:left w:w="58" w:type="dxa"/>
              <w:right w:w="58" w:type="dxa"/>
            </w:tcMar>
          </w:tcPr>
          <w:p w14:paraId="18D4ADE2" w14:textId="77777777" w:rsidR="00F96912" w:rsidRPr="001E6DFD" w:rsidRDefault="00F96912" w:rsidP="006658D5">
            <w:pPr>
              <w:keepNext/>
              <w:keepLines/>
              <w:jc w:val="center"/>
              <w:rPr>
                <w:sz w:val="16"/>
                <w:szCs w:val="16"/>
              </w:rPr>
            </w:pPr>
            <w:r w:rsidRPr="001E6DFD">
              <w:rPr>
                <w:b/>
                <w:color w:val="00B050"/>
                <w:sz w:val="16"/>
                <w:szCs w:val="16"/>
              </w:rPr>
              <w:t>En bonne voie</w:t>
            </w:r>
          </w:p>
        </w:tc>
      </w:tr>
      <w:tr w:rsidR="00F96912" w:rsidRPr="001E6DFD" w14:paraId="06FFB159" w14:textId="77777777" w:rsidTr="006658D5">
        <w:tc>
          <w:tcPr>
            <w:tcW w:w="1027" w:type="pct"/>
            <w:shd w:val="clear" w:color="auto" w:fill="auto"/>
            <w:tcMar>
              <w:left w:w="58" w:type="dxa"/>
              <w:right w:w="58" w:type="dxa"/>
            </w:tcMar>
          </w:tcPr>
          <w:p w14:paraId="7970EB22" w14:textId="77777777" w:rsidR="00F96912" w:rsidRPr="001E6DFD" w:rsidRDefault="00F96912" w:rsidP="006658D5">
            <w:pPr>
              <w:ind w:right="-57"/>
              <w:rPr>
                <w:sz w:val="16"/>
                <w:szCs w:val="16"/>
              </w:rPr>
            </w:pPr>
            <w:r w:rsidRPr="001E6DFD">
              <w:rPr>
                <w:sz w:val="16"/>
                <w:szCs w:val="16"/>
              </w:rPr>
              <w:t>Nombre de demandes déposées et de renouvellements au titre du système de La Haye</w:t>
            </w:r>
          </w:p>
        </w:tc>
        <w:tc>
          <w:tcPr>
            <w:tcW w:w="1416" w:type="pct"/>
            <w:shd w:val="clear" w:color="auto" w:fill="auto"/>
            <w:tcMar>
              <w:left w:w="58" w:type="dxa"/>
              <w:right w:w="58" w:type="dxa"/>
            </w:tcMar>
          </w:tcPr>
          <w:p w14:paraId="7BF97946"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2CAE7149" w14:textId="77777777" w:rsidR="00F96912" w:rsidRPr="0067214C" w:rsidRDefault="00F96912" w:rsidP="006658D5">
            <w:pPr>
              <w:rPr>
                <w:color w:val="002060"/>
                <w:sz w:val="16"/>
                <w:szCs w:val="16"/>
              </w:rPr>
            </w:pPr>
            <w:r w:rsidRPr="0067214C">
              <w:rPr>
                <w:color w:val="002060"/>
                <w:sz w:val="16"/>
                <w:szCs w:val="16"/>
              </w:rPr>
              <w:t>Demandes : 4111</w:t>
            </w:r>
            <w:r w:rsidRPr="0067214C">
              <w:rPr>
                <w:color w:val="002060"/>
                <w:sz w:val="16"/>
                <w:szCs w:val="16"/>
              </w:rPr>
              <w:br/>
              <w:t>Dessins et modèles industriels contenus : 16 435</w:t>
            </w:r>
            <w:r w:rsidRPr="0067214C">
              <w:rPr>
                <w:color w:val="002060"/>
                <w:sz w:val="16"/>
                <w:szCs w:val="16"/>
              </w:rPr>
              <w:br/>
              <w:t>Renouvellements : 3194</w:t>
            </w:r>
          </w:p>
          <w:p w14:paraId="3B3CC4ED" w14:textId="77777777" w:rsidR="00F96912" w:rsidRPr="001E6DFD" w:rsidRDefault="00F96912" w:rsidP="006658D5">
            <w:pPr>
              <w:rPr>
                <w:sz w:val="16"/>
                <w:szCs w:val="16"/>
              </w:rPr>
            </w:pPr>
          </w:p>
          <w:p w14:paraId="255B95E9"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4592CF01" w14:textId="77777777" w:rsidR="00F96912" w:rsidRPr="001E6DFD" w:rsidRDefault="00F96912" w:rsidP="006658D5">
            <w:pPr>
              <w:rPr>
                <w:sz w:val="16"/>
                <w:szCs w:val="16"/>
              </w:rPr>
            </w:pPr>
            <w:r w:rsidRPr="001E6DFD">
              <w:rPr>
                <w:sz w:val="16"/>
                <w:szCs w:val="16"/>
              </w:rPr>
              <w:t>Demandes : 2924</w:t>
            </w:r>
            <w:r w:rsidRPr="001E6DFD">
              <w:rPr>
                <w:sz w:val="16"/>
                <w:szCs w:val="16"/>
              </w:rPr>
              <w:br/>
              <w:t>Dessins et modèles industriels contenus : 14 441</w:t>
            </w:r>
            <w:r w:rsidRPr="001E6DFD">
              <w:rPr>
                <w:sz w:val="16"/>
                <w:szCs w:val="16"/>
              </w:rPr>
              <w:br/>
              <w:t>Renouvellements : 2703 (2014)</w:t>
            </w:r>
          </w:p>
        </w:tc>
        <w:tc>
          <w:tcPr>
            <w:tcW w:w="782" w:type="pct"/>
            <w:shd w:val="clear" w:color="auto" w:fill="auto"/>
            <w:tcMar>
              <w:top w:w="110" w:type="dxa"/>
              <w:left w:w="58" w:type="dxa"/>
              <w:right w:w="58" w:type="dxa"/>
            </w:tcMar>
          </w:tcPr>
          <w:p w14:paraId="2C1C3E85" w14:textId="77777777" w:rsidR="00F96912" w:rsidRPr="001E6DFD" w:rsidRDefault="00F96912" w:rsidP="006658D5">
            <w:pPr>
              <w:ind w:right="-56"/>
              <w:rPr>
                <w:sz w:val="16"/>
                <w:szCs w:val="16"/>
              </w:rPr>
            </w:pPr>
            <w:r w:rsidRPr="001E6DFD">
              <w:rPr>
                <w:sz w:val="16"/>
                <w:szCs w:val="16"/>
                <w:u w:val="single"/>
              </w:rPr>
              <w:t>2016</w:t>
            </w:r>
            <w:r w:rsidRPr="001E6DFD">
              <w:rPr>
                <w:sz w:val="16"/>
                <w:szCs w:val="16"/>
              </w:rPr>
              <w:br/>
              <w:t>Demandes : 4940</w:t>
            </w:r>
            <w:r w:rsidRPr="001E6DFD">
              <w:rPr>
                <w:sz w:val="16"/>
                <w:szCs w:val="16"/>
              </w:rPr>
              <w:br/>
              <w:t>Dessins et modèles industriels contenus : 22 730</w:t>
            </w:r>
            <w:r w:rsidRPr="001E6DFD">
              <w:rPr>
                <w:sz w:val="16"/>
                <w:szCs w:val="16"/>
              </w:rPr>
              <w:br/>
              <w:t>Renouvellements : 2830 (</w:t>
            </w:r>
            <w:r w:rsidRPr="001E6DFD">
              <w:rPr>
                <w:sz w:val="16"/>
                <w:szCs w:val="16"/>
              </w:rPr>
              <w:noBreakHyphen/>
              <w:t>1,0%)</w:t>
            </w:r>
            <w:r w:rsidRPr="001E6DFD">
              <w:rPr>
                <w:sz w:val="16"/>
                <w:szCs w:val="16"/>
              </w:rPr>
              <w:br/>
            </w:r>
            <w:r w:rsidRPr="001E6DFD">
              <w:rPr>
                <w:sz w:val="16"/>
                <w:szCs w:val="16"/>
              </w:rPr>
              <w:br/>
            </w:r>
            <w:r w:rsidRPr="001E6DFD">
              <w:rPr>
                <w:sz w:val="16"/>
                <w:szCs w:val="16"/>
                <w:u w:val="single"/>
              </w:rPr>
              <w:t>2017</w:t>
            </w:r>
            <w:r w:rsidRPr="001E6DFD">
              <w:rPr>
                <w:sz w:val="16"/>
                <w:szCs w:val="16"/>
                <w:u w:val="single"/>
              </w:rPr>
              <w:br/>
            </w:r>
            <w:r w:rsidRPr="001E6DFD">
              <w:rPr>
                <w:sz w:val="16"/>
                <w:szCs w:val="16"/>
              </w:rPr>
              <w:t xml:space="preserve">Demandes : 5710 </w:t>
            </w:r>
            <w:r w:rsidRPr="001E6DFD">
              <w:rPr>
                <w:sz w:val="16"/>
                <w:szCs w:val="16"/>
              </w:rPr>
              <w:br/>
              <w:t xml:space="preserve">Dessins et modèles industriels contenus : 26 140 </w:t>
            </w:r>
            <w:r w:rsidRPr="001E6DFD">
              <w:rPr>
                <w:sz w:val="16"/>
                <w:szCs w:val="16"/>
              </w:rPr>
              <w:br/>
              <w:t>Renouvellements : 2940 (+ 3,9%)</w:t>
            </w:r>
          </w:p>
        </w:tc>
        <w:tc>
          <w:tcPr>
            <w:tcW w:w="1172" w:type="pct"/>
            <w:shd w:val="clear" w:color="auto" w:fill="FFFFFF"/>
            <w:tcMar>
              <w:top w:w="110" w:type="dxa"/>
              <w:left w:w="58" w:type="dxa"/>
              <w:right w:w="58" w:type="dxa"/>
            </w:tcMar>
          </w:tcPr>
          <w:p w14:paraId="52973009" w14:textId="77777777" w:rsidR="00F96912" w:rsidRPr="001E6DFD" w:rsidRDefault="00F96912" w:rsidP="006658D5">
            <w:pPr>
              <w:keepNext/>
              <w:keepLines/>
              <w:rPr>
                <w:sz w:val="16"/>
                <w:szCs w:val="16"/>
              </w:rPr>
            </w:pPr>
            <w:r w:rsidRPr="001E6DFD">
              <w:rPr>
                <w:sz w:val="16"/>
                <w:szCs w:val="16"/>
                <w:u w:val="single"/>
              </w:rPr>
              <w:t>2016</w:t>
            </w:r>
          </w:p>
          <w:p w14:paraId="0D1A9A32" w14:textId="77777777" w:rsidR="00F96912" w:rsidRPr="001E6DFD" w:rsidRDefault="00F96912" w:rsidP="006658D5">
            <w:pPr>
              <w:keepNext/>
              <w:keepLines/>
              <w:rPr>
                <w:sz w:val="16"/>
                <w:szCs w:val="16"/>
              </w:rPr>
            </w:pPr>
            <w:r w:rsidRPr="001E6DFD">
              <w:rPr>
                <w:sz w:val="16"/>
                <w:szCs w:val="16"/>
              </w:rPr>
              <w:t>Demandes : 5562</w:t>
            </w:r>
          </w:p>
          <w:p w14:paraId="509A2A3C" w14:textId="77777777" w:rsidR="00F96912" w:rsidRPr="001E6DFD" w:rsidRDefault="00F96912" w:rsidP="006658D5">
            <w:pPr>
              <w:keepNext/>
              <w:keepLines/>
              <w:rPr>
                <w:sz w:val="16"/>
                <w:szCs w:val="16"/>
              </w:rPr>
            </w:pPr>
          </w:p>
          <w:p w14:paraId="455310DF" w14:textId="77777777" w:rsidR="00F96912" w:rsidRPr="001E6DFD" w:rsidRDefault="00F96912" w:rsidP="006658D5">
            <w:pPr>
              <w:keepNext/>
              <w:keepLines/>
              <w:rPr>
                <w:sz w:val="16"/>
                <w:szCs w:val="16"/>
              </w:rPr>
            </w:pPr>
          </w:p>
          <w:p w14:paraId="1EBB0305" w14:textId="77777777" w:rsidR="00F96912" w:rsidRPr="001E6DFD" w:rsidRDefault="00F96912" w:rsidP="006658D5">
            <w:pPr>
              <w:keepNext/>
              <w:keepLines/>
              <w:rPr>
                <w:sz w:val="16"/>
                <w:szCs w:val="16"/>
              </w:rPr>
            </w:pPr>
            <w:r w:rsidRPr="001E6DFD">
              <w:rPr>
                <w:sz w:val="16"/>
                <w:szCs w:val="16"/>
              </w:rPr>
              <w:t>Dessins et modèles industriels contenus : 18 716</w:t>
            </w:r>
          </w:p>
          <w:p w14:paraId="076F9FA7" w14:textId="77777777" w:rsidR="00F96912" w:rsidRPr="001E6DFD" w:rsidRDefault="00F96912" w:rsidP="006658D5">
            <w:pPr>
              <w:keepNext/>
              <w:keepLines/>
              <w:rPr>
                <w:sz w:val="16"/>
                <w:szCs w:val="16"/>
              </w:rPr>
            </w:pPr>
          </w:p>
          <w:p w14:paraId="604C6C0F" w14:textId="77777777" w:rsidR="00F96912" w:rsidRPr="001E6DFD" w:rsidRDefault="00F96912" w:rsidP="006658D5">
            <w:pPr>
              <w:keepNext/>
              <w:keepLines/>
              <w:rPr>
                <w:sz w:val="16"/>
                <w:szCs w:val="16"/>
              </w:rPr>
            </w:pPr>
            <w:r w:rsidRPr="001E6DFD">
              <w:rPr>
                <w:sz w:val="16"/>
                <w:szCs w:val="16"/>
              </w:rPr>
              <w:t>Renouvellements : 3150</w:t>
            </w:r>
          </w:p>
        </w:tc>
        <w:tc>
          <w:tcPr>
            <w:tcW w:w="604" w:type="pct"/>
            <w:shd w:val="clear" w:color="auto" w:fill="auto"/>
            <w:tcMar>
              <w:top w:w="110" w:type="dxa"/>
              <w:left w:w="58" w:type="dxa"/>
              <w:right w:w="58" w:type="dxa"/>
            </w:tcMar>
          </w:tcPr>
          <w:p w14:paraId="6EDA6399" w14:textId="77777777" w:rsidR="00F96912" w:rsidRPr="001E6DFD" w:rsidRDefault="00F96912" w:rsidP="006658D5">
            <w:pPr>
              <w:keepNext/>
              <w:keepLines/>
              <w:jc w:val="center"/>
              <w:rPr>
                <w:b/>
                <w:sz w:val="16"/>
                <w:szCs w:val="16"/>
              </w:rPr>
            </w:pPr>
          </w:p>
          <w:p w14:paraId="4B2BD0DA" w14:textId="77777777" w:rsidR="00F96912" w:rsidRPr="001E6DFD" w:rsidRDefault="00F96912" w:rsidP="006658D5">
            <w:pPr>
              <w:keepNext/>
              <w:keepLines/>
              <w:jc w:val="center"/>
              <w:rPr>
                <w:b/>
                <w:sz w:val="16"/>
                <w:szCs w:val="16"/>
              </w:rPr>
            </w:pPr>
            <w:r w:rsidRPr="001E6DFD">
              <w:rPr>
                <w:b/>
                <w:color w:val="00B050"/>
                <w:sz w:val="16"/>
                <w:szCs w:val="16"/>
              </w:rPr>
              <w:t>En bonne voie</w:t>
            </w:r>
          </w:p>
          <w:p w14:paraId="6AF8272A" w14:textId="77777777" w:rsidR="00F96912" w:rsidRPr="001E6DFD" w:rsidRDefault="00F96912" w:rsidP="006658D5">
            <w:pPr>
              <w:keepNext/>
              <w:keepLines/>
              <w:jc w:val="center"/>
              <w:rPr>
                <w:b/>
                <w:sz w:val="16"/>
                <w:szCs w:val="16"/>
              </w:rPr>
            </w:pPr>
          </w:p>
          <w:p w14:paraId="4D036CA5" w14:textId="77777777" w:rsidR="00F96912" w:rsidRPr="001E6DFD" w:rsidRDefault="00F96912" w:rsidP="006658D5">
            <w:pPr>
              <w:keepNext/>
              <w:keepLines/>
              <w:jc w:val="center"/>
              <w:rPr>
                <w:b/>
                <w:color w:val="FF0000"/>
                <w:sz w:val="16"/>
                <w:szCs w:val="16"/>
              </w:rPr>
            </w:pPr>
            <w:r w:rsidRPr="001E6DFD">
              <w:rPr>
                <w:b/>
                <w:color w:val="FF0000"/>
                <w:sz w:val="16"/>
                <w:szCs w:val="16"/>
              </w:rPr>
              <w:t>Pas en bonne voie</w:t>
            </w:r>
          </w:p>
          <w:p w14:paraId="176BCF7C" w14:textId="77777777" w:rsidR="00F96912" w:rsidRPr="001E6DFD" w:rsidRDefault="00F96912" w:rsidP="006658D5">
            <w:pPr>
              <w:keepNext/>
              <w:keepLines/>
              <w:jc w:val="center"/>
              <w:rPr>
                <w:b/>
                <w:sz w:val="16"/>
                <w:szCs w:val="16"/>
              </w:rPr>
            </w:pPr>
          </w:p>
          <w:p w14:paraId="1E037DD9" w14:textId="77777777" w:rsidR="00F96912" w:rsidRPr="001E6DFD" w:rsidRDefault="00F96912" w:rsidP="006658D5">
            <w:pPr>
              <w:keepNext/>
              <w:keepLines/>
              <w:jc w:val="center"/>
              <w:rPr>
                <w:b/>
                <w:sz w:val="16"/>
                <w:szCs w:val="16"/>
              </w:rPr>
            </w:pPr>
            <w:r w:rsidRPr="001E6DFD">
              <w:rPr>
                <w:b/>
                <w:color w:val="00B050"/>
                <w:sz w:val="16"/>
                <w:szCs w:val="16"/>
              </w:rPr>
              <w:t>En bonne voie</w:t>
            </w:r>
          </w:p>
        </w:tc>
      </w:tr>
      <w:tr w:rsidR="00F96912" w:rsidRPr="001E6DFD" w14:paraId="226F0B81" w14:textId="77777777" w:rsidTr="006658D5">
        <w:tc>
          <w:tcPr>
            <w:tcW w:w="5000" w:type="pct"/>
            <w:gridSpan w:val="5"/>
            <w:shd w:val="clear" w:color="auto" w:fill="C6D9F1" w:themeFill="text2" w:themeFillTint="33"/>
            <w:tcMar>
              <w:left w:w="58" w:type="dxa"/>
              <w:right w:w="58" w:type="dxa"/>
            </w:tcMar>
            <w:vAlign w:val="center"/>
          </w:tcPr>
          <w:p w14:paraId="1A4349B3" w14:textId="77777777" w:rsidR="00F96912" w:rsidRPr="001E6DFD" w:rsidRDefault="00F96912" w:rsidP="006658D5">
            <w:pPr>
              <w:keepNext/>
              <w:keepLines/>
              <w:tabs>
                <w:tab w:val="left" w:pos="1452"/>
              </w:tabs>
              <w:rPr>
                <w:b/>
                <w:bCs/>
                <w:sz w:val="16"/>
                <w:szCs w:val="16"/>
              </w:rPr>
            </w:pPr>
            <w:r w:rsidRPr="001E6DFD">
              <w:rPr>
                <w:b/>
                <w:bCs/>
                <w:sz w:val="16"/>
                <w:szCs w:val="16"/>
              </w:rPr>
              <w:lastRenderedPageBreak/>
              <w:t>Résultat escompté :</w:t>
            </w:r>
            <w:r w:rsidRPr="001E6DFD">
              <w:rPr>
                <w:bCs/>
                <w:sz w:val="16"/>
                <w:szCs w:val="16"/>
              </w:rPr>
              <w:t xml:space="preserve"> II.5 Amélioration de la productivité et de la qualité de service des opérations de La Haye</w:t>
            </w:r>
          </w:p>
        </w:tc>
      </w:tr>
      <w:tr w:rsidR="00F96912" w:rsidRPr="001E6DFD" w14:paraId="0808F7D9" w14:textId="77777777" w:rsidTr="006658D5">
        <w:tc>
          <w:tcPr>
            <w:tcW w:w="1027" w:type="pct"/>
            <w:shd w:val="clear" w:color="auto" w:fill="auto"/>
            <w:tcMar>
              <w:left w:w="58" w:type="dxa"/>
              <w:right w:w="58" w:type="dxa"/>
            </w:tcMar>
            <w:vAlign w:val="center"/>
          </w:tcPr>
          <w:p w14:paraId="1919258A" w14:textId="77777777" w:rsidR="00F96912" w:rsidRPr="001E6DFD" w:rsidRDefault="00F96912" w:rsidP="006658D5">
            <w:pPr>
              <w:keepNext/>
              <w:ind w:right="-57"/>
              <w:jc w:val="center"/>
              <w:rPr>
                <w:b/>
                <w:bCs/>
                <w:sz w:val="16"/>
                <w:szCs w:val="16"/>
              </w:rPr>
            </w:pPr>
            <w:r w:rsidRPr="001E6DFD">
              <w:rPr>
                <w:b/>
                <w:bCs/>
                <w:sz w:val="16"/>
                <w:szCs w:val="16"/>
              </w:rPr>
              <w:t>Indicateurs d’exécution</w:t>
            </w:r>
          </w:p>
        </w:tc>
        <w:tc>
          <w:tcPr>
            <w:tcW w:w="1416" w:type="pct"/>
            <w:shd w:val="clear" w:color="auto" w:fill="auto"/>
            <w:tcMar>
              <w:left w:w="58" w:type="dxa"/>
              <w:right w:w="58" w:type="dxa"/>
            </w:tcMar>
            <w:vAlign w:val="center"/>
          </w:tcPr>
          <w:p w14:paraId="74C1D228" w14:textId="77777777" w:rsidR="00F96912" w:rsidRPr="001E6DFD" w:rsidRDefault="00F96912" w:rsidP="006658D5">
            <w:pPr>
              <w:keepNext/>
              <w:jc w:val="center"/>
              <w:rPr>
                <w:b/>
                <w:bCs/>
                <w:sz w:val="16"/>
                <w:szCs w:val="16"/>
              </w:rPr>
            </w:pPr>
            <w:r w:rsidRPr="001E6DFD">
              <w:rPr>
                <w:b/>
                <w:bCs/>
                <w:sz w:val="16"/>
                <w:szCs w:val="16"/>
              </w:rPr>
              <w:t>Niveaux de référence</w:t>
            </w:r>
          </w:p>
        </w:tc>
        <w:tc>
          <w:tcPr>
            <w:tcW w:w="782" w:type="pct"/>
            <w:shd w:val="clear" w:color="auto" w:fill="auto"/>
            <w:tcMar>
              <w:top w:w="110" w:type="dxa"/>
              <w:left w:w="58" w:type="dxa"/>
              <w:right w:w="58" w:type="dxa"/>
            </w:tcMar>
            <w:vAlign w:val="center"/>
          </w:tcPr>
          <w:p w14:paraId="4AA83D1F" w14:textId="77777777" w:rsidR="00F96912" w:rsidRPr="001E6DFD" w:rsidRDefault="00F96912" w:rsidP="006658D5">
            <w:pPr>
              <w:keepNext/>
              <w:jc w:val="center"/>
              <w:rPr>
                <w:b/>
                <w:bCs/>
                <w:sz w:val="16"/>
                <w:szCs w:val="16"/>
              </w:rPr>
            </w:pPr>
            <w:r w:rsidRPr="001E6DFD">
              <w:rPr>
                <w:b/>
                <w:bCs/>
                <w:sz w:val="16"/>
                <w:szCs w:val="16"/>
              </w:rPr>
              <w:t>Objectifs visés</w:t>
            </w:r>
          </w:p>
        </w:tc>
        <w:tc>
          <w:tcPr>
            <w:tcW w:w="1172" w:type="pct"/>
            <w:shd w:val="clear" w:color="auto" w:fill="FFFFFF"/>
            <w:tcMar>
              <w:top w:w="110" w:type="dxa"/>
              <w:left w:w="58" w:type="dxa"/>
              <w:right w:w="58" w:type="dxa"/>
            </w:tcMar>
            <w:vAlign w:val="center"/>
          </w:tcPr>
          <w:p w14:paraId="333D9A04" w14:textId="77777777" w:rsidR="00F96912" w:rsidRPr="001E6DFD" w:rsidRDefault="00F96912" w:rsidP="006658D5">
            <w:pPr>
              <w:keepNext/>
              <w:jc w:val="center"/>
              <w:rPr>
                <w:b/>
                <w:bCs/>
                <w:sz w:val="16"/>
                <w:szCs w:val="16"/>
              </w:rPr>
            </w:pPr>
            <w:r w:rsidRPr="001E6DFD">
              <w:rPr>
                <w:b/>
                <w:bCs/>
                <w:sz w:val="16"/>
                <w:szCs w:val="16"/>
              </w:rPr>
              <w:t>Données relatives à l’exécution</w:t>
            </w:r>
          </w:p>
        </w:tc>
        <w:tc>
          <w:tcPr>
            <w:tcW w:w="604" w:type="pct"/>
            <w:shd w:val="clear" w:color="auto" w:fill="auto"/>
            <w:tcMar>
              <w:top w:w="110" w:type="dxa"/>
              <w:left w:w="58" w:type="dxa"/>
              <w:right w:w="58" w:type="dxa"/>
            </w:tcMar>
            <w:vAlign w:val="center"/>
          </w:tcPr>
          <w:p w14:paraId="5D4A576E" w14:textId="77777777" w:rsidR="00F96912" w:rsidRPr="001E6DFD" w:rsidRDefault="00F96912" w:rsidP="006658D5">
            <w:pPr>
              <w:keepNext/>
              <w:keepLines/>
              <w:jc w:val="center"/>
              <w:rPr>
                <w:b/>
                <w:bCs/>
                <w:sz w:val="16"/>
                <w:szCs w:val="16"/>
              </w:rPr>
            </w:pPr>
            <w:r w:rsidRPr="001E6DFD">
              <w:rPr>
                <w:b/>
                <w:bCs/>
                <w:sz w:val="16"/>
                <w:szCs w:val="16"/>
              </w:rPr>
              <w:t>Code d’évaluation</w:t>
            </w:r>
          </w:p>
        </w:tc>
      </w:tr>
      <w:tr w:rsidR="00F96912" w:rsidRPr="001E6DFD" w14:paraId="0E735480" w14:textId="77777777" w:rsidTr="006658D5">
        <w:tc>
          <w:tcPr>
            <w:tcW w:w="1027" w:type="pct"/>
            <w:shd w:val="clear" w:color="auto" w:fill="auto"/>
            <w:tcMar>
              <w:left w:w="58" w:type="dxa"/>
              <w:right w:w="58" w:type="dxa"/>
            </w:tcMar>
          </w:tcPr>
          <w:p w14:paraId="5B18EDFD" w14:textId="77777777" w:rsidR="00F96912" w:rsidRPr="001E6DFD" w:rsidRDefault="00F96912" w:rsidP="006658D5">
            <w:pPr>
              <w:ind w:right="-57"/>
              <w:rPr>
                <w:sz w:val="16"/>
                <w:szCs w:val="16"/>
              </w:rPr>
            </w:pPr>
            <w:r w:rsidRPr="001E6DFD">
              <w:rPr>
                <w:sz w:val="16"/>
                <w:szCs w:val="16"/>
              </w:rPr>
              <w:t>Prédominance de l’Acte de Genève (1999) dans le système de La Haye</w:t>
            </w:r>
          </w:p>
        </w:tc>
        <w:tc>
          <w:tcPr>
            <w:tcW w:w="1416" w:type="pct"/>
            <w:shd w:val="clear" w:color="auto" w:fill="auto"/>
            <w:tcMar>
              <w:left w:w="58" w:type="dxa"/>
              <w:right w:w="58" w:type="dxa"/>
            </w:tcMar>
          </w:tcPr>
          <w:p w14:paraId="666ED88D"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45768AAA" w14:textId="77777777" w:rsidR="00F96912" w:rsidRPr="0067214C" w:rsidRDefault="00F96912" w:rsidP="006658D5">
            <w:pPr>
              <w:rPr>
                <w:color w:val="002060"/>
                <w:sz w:val="16"/>
                <w:szCs w:val="16"/>
                <w:lang w:bidi="th-TH"/>
              </w:rPr>
            </w:pPr>
            <w:r w:rsidRPr="0067214C">
              <w:rPr>
                <w:color w:val="002060"/>
                <w:sz w:val="16"/>
                <w:szCs w:val="16"/>
                <w:lang w:bidi="th-TH"/>
              </w:rPr>
              <w:t>11 consentements reçus mais il manque encore deux consentements pour l’extinction de l’Acte de 1934, et quatre parties contractantes en dehors de l’Union européenne (UE) et de l’Organisation africaine de la propriété intellectuelle (OAPI) restaient liées uniquement par l’Acte de 1960.</w:t>
            </w:r>
          </w:p>
          <w:p w14:paraId="6FB275BE" w14:textId="77777777" w:rsidR="00F96912" w:rsidRPr="0067214C" w:rsidRDefault="00F96912" w:rsidP="006658D5">
            <w:pPr>
              <w:rPr>
                <w:sz w:val="16"/>
                <w:szCs w:val="16"/>
              </w:rPr>
            </w:pPr>
          </w:p>
          <w:p w14:paraId="2C5BFFFF" w14:textId="77777777" w:rsidR="00F96912" w:rsidRPr="0067214C" w:rsidRDefault="00F96912" w:rsidP="006658D5">
            <w:pPr>
              <w:rPr>
                <w:i/>
                <w:sz w:val="16"/>
                <w:szCs w:val="16"/>
                <w:lang w:bidi="th-TH"/>
              </w:rPr>
            </w:pPr>
            <w:r w:rsidRPr="0067214C">
              <w:rPr>
                <w:i/>
                <w:sz w:val="16"/>
                <w:szCs w:val="16"/>
                <w:lang w:bidi="th-TH"/>
              </w:rPr>
              <w:t>Niveau de référence initial dans le programme et budget 2016</w:t>
            </w:r>
            <w:r w:rsidRPr="0067214C">
              <w:rPr>
                <w:i/>
                <w:sz w:val="16"/>
                <w:szCs w:val="16"/>
                <w:lang w:bidi="th-TH"/>
              </w:rPr>
              <w:noBreakHyphen/>
              <w:t>2017 :</w:t>
            </w:r>
          </w:p>
          <w:p w14:paraId="6078AAC8" w14:textId="77777777" w:rsidR="00F96912" w:rsidRPr="001E6DFD" w:rsidRDefault="00F96912" w:rsidP="006658D5">
            <w:pPr>
              <w:rPr>
                <w:sz w:val="16"/>
                <w:szCs w:val="16"/>
              </w:rPr>
            </w:pPr>
            <w:r w:rsidRPr="0067214C">
              <w:rPr>
                <w:sz w:val="16"/>
                <w:szCs w:val="16"/>
              </w:rPr>
              <w:t>10 consentements reçus à l’extinction de l’Acte de 1934 (il en manque encore trois).  Quatre parties contractantes</w:t>
            </w:r>
            <w:r w:rsidRPr="0067214C">
              <w:rPr>
                <w:sz w:val="16"/>
                <w:szCs w:val="16"/>
                <w:lang w:bidi="th-TH"/>
              </w:rPr>
              <w:t xml:space="preserve"> </w:t>
            </w:r>
            <w:r w:rsidRPr="0067214C">
              <w:rPr>
                <w:sz w:val="16"/>
                <w:szCs w:val="16"/>
              </w:rPr>
              <w:t>liées uniquement par l’Acte de 1960 (non</w:t>
            </w:r>
            <w:r w:rsidRPr="0067214C">
              <w:rPr>
                <w:sz w:val="16"/>
                <w:szCs w:val="16"/>
              </w:rPr>
              <w:noBreakHyphen/>
              <w:t>membre d’une organisation intergouvernementale qui est partie à l’Acte de 1999).</w:t>
            </w:r>
          </w:p>
        </w:tc>
        <w:tc>
          <w:tcPr>
            <w:tcW w:w="782" w:type="pct"/>
            <w:shd w:val="clear" w:color="auto" w:fill="auto"/>
            <w:tcMar>
              <w:top w:w="110" w:type="dxa"/>
              <w:left w:w="58" w:type="dxa"/>
              <w:right w:w="58" w:type="dxa"/>
            </w:tcMar>
          </w:tcPr>
          <w:p w14:paraId="103CAFFF" w14:textId="77777777" w:rsidR="00F96912" w:rsidRPr="001E6DFD" w:rsidRDefault="00F96912" w:rsidP="006658D5">
            <w:pPr>
              <w:rPr>
                <w:sz w:val="16"/>
                <w:szCs w:val="16"/>
              </w:rPr>
            </w:pPr>
            <w:r w:rsidRPr="001E6DFD">
              <w:rPr>
                <w:sz w:val="16"/>
                <w:szCs w:val="16"/>
              </w:rPr>
              <w:t>Avoir reçu tous (13) les consentements à l’extinction.  Que toutes les parties contractantes soient liées par l’Acte de 1999 (ou membre d’une organisation intergouvernementale qui est partie à l’Acte de 1999).</w:t>
            </w:r>
          </w:p>
        </w:tc>
        <w:tc>
          <w:tcPr>
            <w:tcW w:w="1172" w:type="pct"/>
            <w:shd w:val="clear" w:color="auto" w:fill="FFFFFF"/>
            <w:tcMar>
              <w:top w:w="110" w:type="dxa"/>
              <w:left w:w="58" w:type="dxa"/>
              <w:right w:w="58" w:type="dxa"/>
            </w:tcMar>
          </w:tcPr>
          <w:p w14:paraId="03388E5A" w14:textId="77777777" w:rsidR="00F96912" w:rsidRPr="0067214C" w:rsidRDefault="00F96912" w:rsidP="006658D5">
            <w:pPr>
              <w:rPr>
                <w:sz w:val="16"/>
                <w:szCs w:val="16"/>
              </w:rPr>
            </w:pPr>
            <w:r w:rsidRPr="0067214C">
              <w:rPr>
                <w:sz w:val="16"/>
                <w:szCs w:val="16"/>
              </w:rPr>
              <w:t>Extinction de l’Acte de 1934 le 18 octobre 2016</w:t>
            </w:r>
          </w:p>
        </w:tc>
        <w:tc>
          <w:tcPr>
            <w:tcW w:w="604" w:type="pct"/>
            <w:shd w:val="clear" w:color="auto" w:fill="auto"/>
            <w:tcMar>
              <w:top w:w="110" w:type="dxa"/>
              <w:left w:w="58" w:type="dxa"/>
              <w:right w:w="58" w:type="dxa"/>
            </w:tcMar>
          </w:tcPr>
          <w:p w14:paraId="2BB9B577" w14:textId="77777777" w:rsidR="00F96912" w:rsidRPr="001E6DFD" w:rsidRDefault="00F96912" w:rsidP="006658D5">
            <w:pPr>
              <w:keepNext/>
              <w:keepLines/>
              <w:jc w:val="center"/>
              <w:rPr>
                <w:b/>
                <w:sz w:val="16"/>
                <w:szCs w:val="16"/>
              </w:rPr>
            </w:pPr>
            <w:r w:rsidRPr="001E6DFD">
              <w:rPr>
                <w:b/>
                <w:color w:val="00B050"/>
                <w:sz w:val="16"/>
                <w:szCs w:val="16"/>
              </w:rPr>
              <w:t>En bonne voie</w:t>
            </w:r>
          </w:p>
        </w:tc>
      </w:tr>
      <w:tr w:rsidR="00F96912" w:rsidRPr="001E6DFD" w14:paraId="564F9D70" w14:textId="77777777" w:rsidTr="006658D5">
        <w:tc>
          <w:tcPr>
            <w:tcW w:w="1027" w:type="pct"/>
            <w:shd w:val="clear" w:color="auto" w:fill="auto"/>
            <w:tcMar>
              <w:left w:w="58" w:type="dxa"/>
              <w:right w:w="58" w:type="dxa"/>
            </w:tcMar>
          </w:tcPr>
          <w:p w14:paraId="797D7ACD" w14:textId="77777777" w:rsidR="00F96912" w:rsidRPr="001E6DFD" w:rsidRDefault="00F96912" w:rsidP="006658D5">
            <w:pPr>
              <w:ind w:right="-57"/>
              <w:rPr>
                <w:sz w:val="16"/>
                <w:szCs w:val="16"/>
              </w:rPr>
            </w:pPr>
            <w:r w:rsidRPr="001E6DFD">
              <w:rPr>
                <w:sz w:val="16"/>
                <w:szCs w:val="16"/>
              </w:rPr>
              <w:t>Processus et procédures adaptées aux évolutions géographique et juridique du système</w:t>
            </w:r>
          </w:p>
        </w:tc>
        <w:tc>
          <w:tcPr>
            <w:tcW w:w="1416" w:type="pct"/>
            <w:shd w:val="clear" w:color="auto" w:fill="auto"/>
            <w:tcMar>
              <w:left w:w="58" w:type="dxa"/>
              <w:right w:w="58" w:type="dxa"/>
            </w:tcMar>
          </w:tcPr>
          <w:p w14:paraId="5DDD158A" w14:textId="77777777" w:rsidR="00F96912" w:rsidRPr="001E6DFD" w:rsidRDefault="00F96912" w:rsidP="006658D5">
            <w:pPr>
              <w:rPr>
                <w:sz w:val="16"/>
                <w:szCs w:val="16"/>
              </w:rPr>
            </w:pPr>
            <w:r w:rsidRPr="001E6DFD">
              <w:rPr>
                <w:sz w:val="16"/>
                <w:szCs w:val="16"/>
              </w:rPr>
              <w:t>Processus et procédures adaptées</w:t>
            </w:r>
          </w:p>
        </w:tc>
        <w:tc>
          <w:tcPr>
            <w:tcW w:w="782" w:type="pct"/>
            <w:shd w:val="clear" w:color="auto" w:fill="auto"/>
            <w:tcMar>
              <w:top w:w="110" w:type="dxa"/>
              <w:left w:w="58" w:type="dxa"/>
              <w:right w:w="58" w:type="dxa"/>
            </w:tcMar>
          </w:tcPr>
          <w:p w14:paraId="05902DC5" w14:textId="77777777" w:rsidR="00F96912" w:rsidRPr="001E6DFD" w:rsidRDefault="00F96912" w:rsidP="006658D5">
            <w:pPr>
              <w:rPr>
                <w:sz w:val="16"/>
                <w:szCs w:val="16"/>
              </w:rPr>
            </w:pPr>
            <w:r w:rsidRPr="001E6DFD">
              <w:rPr>
                <w:sz w:val="16"/>
                <w:szCs w:val="16"/>
              </w:rPr>
              <w:t>Processus et procédures adaptées</w:t>
            </w:r>
          </w:p>
        </w:tc>
        <w:tc>
          <w:tcPr>
            <w:tcW w:w="1172" w:type="pct"/>
            <w:shd w:val="clear" w:color="auto" w:fill="FFFFFF"/>
            <w:tcMar>
              <w:top w:w="110" w:type="dxa"/>
              <w:left w:w="58" w:type="dxa"/>
              <w:right w:w="58" w:type="dxa"/>
            </w:tcMar>
          </w:tcPr>
          <w:p w14:paraId="0738A1DB" w14:textId="77777777" w:rsidR="00F96912" w:rsidRPr="0067214C" w:rsidRDefault="00F96912" w:rsidP="006658D5">
            <w:pPr>
              <w:keepNext/>
              <w:keepLines/>
              <w:rPr>
                <w:sz w:val="16"/>
                <w:szCs w:val="16"/>
              </w:rPr>
            </w:pPr>
            <w:r w:rsidRPr="0067214C">
              <w:rPr>
                <w:sz w:val="16"/>
                <w:szCs w:val="16"/>
              </w:rPr>
              <w:t>Les modifications du règlement d’exécution commun approuvées par l’Assemblée de l’Union de La Haye en 2016 entreront en vigueur à la date fixée par le Bureau international une fois que l’infrastructure informatique sera prête</w:t>
            </w:r>
          </w:p>
        </w:tc>
        <w:tc>
          <w:tcPr>
            <w:tcW w:w="604" w:type="pct"/>
            <w:shd w:val="clear" w:color="auto" w:fill="auto"/>
            <w:tcMar>
              <w:top w:w="110" w:type="dxa"/>
              <w:left w:w="58" w:type="dxa"/>
              <w:right w:w="58" w:type="dxa"/>
            </w:tcMar>
          </w:tcPr>
          <w:p w14:paraId="22A60662" w14:textId="77777777" w:rsidR="00F96912" w:rsidRPr="001E6DFD" w:rsidRDefault="00F96912" w:rsidP="006658D5">
            <w:pPr>
              <w:keepNext/>
              <w:keepLines/>
              <w:jc w:val="center"/>
              <w:rPr>
                <w:b/>
                <w:sz w:val="16"/>
                <w:szCs w:val="16"/>
              </w:rPr>
            </w:pPr>
            <w:r w:rsidRPr="001E6DFD">
              <w:rPr>
                <w:b/>
                <w:color w:val="00B050"/>
                <w:sz w:val="16"/>
                <w:szCs w:val="16"/>
              </w:rPr>
              <w:t>En bonne voie</w:t>
            </w:r>
          </w:p>
        </w:tc>
      </w:tr>
      <w:tr w:rsidR="00F96912" w:rsidRPr="001E6DFD" w14:paraId="0494FD6D" w14:textId="77777777" w:rsidTr="006658D5">
        <w:tc>
          <w:tcPr>
            <w:tcW w:w="1027" w:type="pct"/>
            <w:shd w:val="clear" w:color="auto" w:fill="auto"/>
            <w:tcMar>
              <w:left w:w="58" w:type="dxa"/>
              <w:right w:w="58" w:type="dxa"/>
            </w:tcMar>
          </w:tcPr>
          <w:p w14:paraId="4757C899" w14:textId="77777777" w:rsidR="00F96912" w:rsidRPr="001E6DFD" w:rsidRDefault="00F96912" w:rsidP="006658D5">
            <w:pPr>
              <w:ind w:right="-57"/>
              <w:rPr>
                <w:sz w:val="16"/>
                <w:szCs w:val="16"/>
              </w:rPr>
            </w:pPr>
            <w:r w:rsidRPr="001E6DFD">
              <w:rPr>
                <w:sz w:val="16"/>
                <w:szCs w:val="16"/>
              </w:rPr>
              <w:t>Progrès accomplis dans l’amélioration du cadre juridique</w:t>
            </w:r>
          </w:p>
        </w:tc>
        <w:tc>
          <w:tcPr>
            <w:tcW w:w="1416" w:type="pct"/>
            <w:shd w:val="clear" w:color="auto" w:fill="auto"/>
            <w:tcMar>
              <w:left w:w="58" w:type="dxa"/>
              <w:right w:w="58" w:type="dxa"/>
            </w:tcMar>
          </w:tcPr>
          <w:p w14:paraId="0DB7798A"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52BE6272" w14:textId="77777777" w:rsidR="00F96912" w:rsidRPr="0067214C" w:rsidRDefault="00F96912" w:rsidP="006658D5">
            <w:pPr>
              <w:rPr>
                <w:color w:val="002060"/>
                <w:sz w:val="16"/>
                <w:szCs w:val="16"/>
              </w:rPr>
            </w:pPr>
            <w:r w:rsidRPr="0067214C">
              <w:rPr>
                <w:color w:val="002060"/>
                <w:sz w:val="16"/>
                <w:szCs w:val="16"/>
              </w:rPr>
              <w:t>Les modifications du règlement d’exécution commun, entre autres, introduisant un “mécanisme de retour d’information”, sont entrées en vigueur au 1</w:t>
            </w:r>
            <w:r w:rsidRPr="0067214C">
              <w:rPr>
                <w:color w:val="002060"/>
                <w:sz w:val="16"/>
                <w:szCs w:val="16"/>
                <w:vertAlign w:val="superscript"/>
              </w:rPr>
              <w:t>er</w:t>
            </w:r>
            <w:r w:rsidRPr="0067214C">
              <w:rPr>
                <w:color w:val="002060"/>
                <w:sz w:val="16"/>
                <w:szCs w:val="16"/>
              </w:rPr>
              <w:t xml:space="preserve"> janvier 2015. </w:t>
            </w:r>
            <w:r w:rsidRPr="0067214C">
              <w:rPr>
                <w:color w:val="002060"/>
                <w:sz w:val="16"/>
              </w:rPr>
              <w:t xml:space="preserve"> </w:t>
            </w:r>
            <w:r w:rsidRPr="0067214C">
              <w:rPr>
                <w:color w:val="002060"/>
                <w:sz w:val="16"/>
                <w:szCs w:val="16"/>
              </w:rPr>
              <w:t>Des modifications des instructions administratives, entre autres, assouplissant certaines exigences concernant des reproductions et des représentations, sont entrées en vigueur le 1</w:t>
            </w:r>
            <w:r w:rsidRPr="0067214C">
              <w:rPr>
                <w:color w:val="002060"/>
                <w:sz w:val="16"/>
                <w:szCs w:val="16"/>
                <w:vertAlign w:val="superscript"/>
              </w:rPr>
              <w:t>er</w:t>
            </w:r>
            <w:r w:rsidRPr="0067214C">
              <w:rPr>
                <w:color w:val="002060"/>
                <w:sz w:val="16"/>
                <w:szCs w:val="16"/>
              </w:rPr>
              <w:t> juillet 2014.</w:t>
            </w:r>
          </w:p>
          <w:p w14:paraId="6CD39BE8" w14:textId="77777777" w:rsidR="00F96912" w:rsidRPr="001E6DFD" w:rsidRDefault="00F96912" w:rsidP="006658D5">
            <w:pPr>
              <w:rPr>
                <w:sz w:val="16"/>
                <w:szCs w:val="16"/>
              </w:rPr>
            </w:pPr>
          </w:p>
          <w:p w14:paraId="0D111416"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633C4CC2" w14:textId="77777777" w:rsidR="00F96912" w:rsidRPr="001E6DFD" w:rsidRDefault="00F96912" w:rsidP="006658D5">
            <w:pPr>
              <w:rPr>
                <w:sz w:val="16"/>
                <w:szCs w:val="16"/>
              </w:rPr>
            </w:pPr>
            <w:r w:rsidRPr="001E6DFD">
              <w:rPr>
                <w:sz w:val="16"/>
                <w:szCs w:val="16"/>
              </w:rPr>
              <w:t>Modifications du règlement d’exécution (entrées en vigueur le 1</w:t>
            </w:r>
            <w:r w:rsidRPr="001E6DFD">
              <w:rPr>
                <w:sz w:val="16"/>
                <w:szCs w:val="16"/>
                <w:vertAlign w:val="superscript"/>
              </w:rPr>
              <w:t>er</w:t>
            </w:r>
            <w:r w:rsidRPr="001E6DFD">
              <w:rPr>
                <w:sz w:val="16"/>
                <w:szCs w:val="16"/>
              </w:rPr>
              <w:t> janvier 2015) et des instructions administratives (entrées en vigueur le 1</w:t>
            </w:r>
            <w:r w:rsidRPr="001E6DFD">
              <w:rPr>
                <w:sz w:val="16"/>
                <w:szCs w:val="16"/>
                <w:vertAlign w:val="superscript"/>
              </w:rPr>
              <w:t>er</w:t>
            </w:r>
            <w:r w:rsidRPr="001E6DFD">
              <w:rPr>
                <w:sz w:val="16"/>
                <w:szCs w:val="16"/>
              </w:rPr>
              <w:t xml:space="preserve"> juillet 2014) afin d’adapter le système de La Haye à son expansion géographique vers de nouvelles parties contractantes potentielles dotées de systèmes d’examen.  </w:t>
            </w:r>
          </w:p>
        </w:tc>
        <w:tc>
          <w:tcPr>
            <w:tcW w:w="782" w:type="pct"/>
            <w:shd w:val="clear" w:color="auto" w:fill="auto"/>
            <w:tcMar>
              <w:top w:w="110" w:type="dxa"/>
              <w:left w:w="58" w:type="dxa"/>
              <w:right w:w="58" w:type="dxa"/>
            </w:tcMar>
          </w:tcPr>
          <w:p w14:paraId="1B59943B" w14:textId="77777777" w:rsidR="00F96912" w:rsidRPr="001E6DFD" w:rsidRDefault="00F96912" w:rsidP="006658D5">
            <w:pPr>
              <w:rPr>
                <w:sz w:val="16"/>
                <w:szCs w:val="16"/>
              </w:rPr>
            </w:pPr>
            <w:r w:rsidRPr="001E6DFD">
              <w:rPr>
                <w:sz w:val="16"/>
                <w:szCs w:val="16"/>
              </w:rPr>
              <w:t xml:space="preserve">Réviser le cadre juridique du système de La Haye afin qu’il reste en phase avec les évolutions dans le domaine des dessins et modèles au niveau mondial.  </w:t>
            </w:r>
          </w:p>
        </w:tc>
        <w:tc>
          <w:tcPr>
            <w:tcW w:w="1172" w:type="pct"/>
            <w:shd w:val="clear" w:color="auto" w:fill="FFFFFF"/>
            <w:tcMar>
              <w:top w:w="110" w:type="dxa"/>
              <w:left w:w="58" w:type="dxa"/>
              <w:right w:w="58" w:type="dxa"/>
            </w:tcMar>
          </w:tcPr>
          <w:p w14:paraId="56986889" w14:textId="77777777" w:rsidR="00F96912" w:rsidRPr="0067214C" w:rsidRDefault="00F96912" w:rsidP="006658D5">
            <w:pPr>
              <w:keepNext/>
              <w:keepLines/>
              <w:rPr>
                <w:sz w:val="16"/>
                <w:szCs w:val="16"/>
              </w:rPr>
            </w:pPr>
            <w:r w:rsidRPr="0067214C">
              <w:rPr>
                <w:sz w:val="16"/>
                <w:szCs w:val="16"/>
              </w:rPr>
              <w:t>Modifications du règlement d’exécution commun (entrées en vigueur au 1</w:t>
            </w:r>
            <w:r w:rsidRPr="0067214C">
              <w:rPr>
                <w:sz w:val="16"/>
                <w:szCs w:val="16"/>
                <w:vertAlign w:val="superscript"/>
              </w:rPr>
              <w:t>er</w:t>
            </w:r>
            <w:r w:rsidRPr="0067214C">
              <w:rPr>
                <w:sz w:val="16"/>
                <w:szCs w:val="16"/>
              </w:rPr>
              <w:t> janvier 2017).  Les modifications apportées à la règle 5 visent à fournir une garantie contre un défaut de transmission d’une communication électronique, car il est probable qu’à l’avenir la majorité des communications avec le Bureau international se feront au format électronique.</w:t>
            </w:r>
          </w:p>
        </w:tc>
        <w:tc>
          <w:tcPr>
            <w:tcW w:w="604" w:type="pct"/>
            <w:shd w:val="clear" w:color="auto" w:fill="auto"/>
            <w:tcMar>
              <w:top w:w="110" w:type="dxa"/>
              <w:left w:w="58" w:type="dxa"/>
              <w:right w:w="58" w:type="dxa"/>
            </w:tcMar>
          </w:tcPr>
          <w:p w14:paraId="2FEF2617" w14:textId="77777777" w:rsidR="00F96912" w:rsidRPr="001E6DFD" w:rsidRDefault="00F96912" w:rsidP="006658D5">
            <w:pPr>
              <w:keepNext/>
              <w:keepLines/>
              <w:jc w:val="center"/>
              <w:rPr>
                <w:b/>
                <w:sz w:val="16"/>
                <w:szCs w:val="16"/>
              </w:rPr>
            </w:pPr>
            <w:r w:rsidRPr="001E6DFD">
              <w:rPr>
                <w:b/>
                <w:color w:val="00B050"/>
                <w:sz w:val="16"/>
                <w:szCs w:val="16"/>
              </w:rPr>
              <w:t>En bonne voie</w:t>
            </w:r>
          </w:p>
        </w:tc>
      </w:tr>
      <w:tr w:rsidR="00F96912" w:rsidRPr="001E6DFD" w14:paraId="2A651D5E" w14:textId="77777777" w:rsidTr="006658D5">
        <w:tc>
          <w:tcPr>
            <w:tcW w:w="1027" w:type="pct"/>
            <w:shd w:val="clear" w:color="auto" w:fill="auto"/>
            <w:tcMar>
              <w:left w:w="58" w:type="dxa"/>
              <w:right w:w="58" w:type="dxa"/>
            </w:tcMar>
          </w:tcPr>
          <w:p w14:paraId="62CAF37F" w14:textId="77777777" w:rsidR="00F96912" w:rsidRPr="001E6DFD" w:rsidRDefault="00F96912" w:rsidP="006658D5">
            <w:pPr>
              <w:keepNext/>
              <w:keepLines/>
              <w:ind w:right="-57"/>
              <w:rPr>
                <w:sz w:val="16"/>
                <w:szCs w:val="16"/>
              </w:rPr>
            </w:pPr>
            <w:r w:rsidRPr="001E6DFD">
              <w:rPr>
                <w:sz w:val="16"/>
                <w:szCs w:val="16"/>
              </w:rPr>
              <w:lastRenderedPageBreak/>
              <w:t>Amélioration du fonctionnement du système d’enregistrement de La Haye, y compris des processus et procédures électroniques</w:t>
            </w:r>
          </w:p>
        </w:tc>
        <w:tc>
          <w:tcPr>
            <w:tcW w:w="1416" w:type="pct"/>
            <w:shd w:val="clear" w:color="auto" w:fill="auto"/>
            <w:tcMar>
              <w:left w:w="58" w:type="dxa"/>
              <w:right w:w="58" w:type="dxa"/>
            </w:tcMar>
          </w:tcPr>
          <w:p w14:paraId="1EEC321F" w14:textId="77777777" w:rsidR="00F96912" w:rsidRPr="0067214C" w:rsidRDefault="00F96912" w:rsidP="006658D5">
            <w:pPr>
              <w:keepNext/>
              <w:keepLines/>
              <w:rPr>
                <w:i/>
                <w:color w:val="002060"/>
                <w:sz w:val="16"/>
                <w:szCs w:val="16"/>
              </w:rPr>
            </w:pPr>
            <w:r w:rsidRPr="0067214C">
              <w:rPr>
                <w:i/>
                <w:color w:val="002060"/>
                <w:sz w:val="16"/>
                <w:szCs w:val="16"/>
              </w:rPr>
              <w:t>Niveau de référence actualisé à fin 2015 :</w:t>
            </w:r>
          </w:p>
          <w:p w14:paraId="664B80B6" w14:textId="77777777" w:rsidR="00F96912" w:rsidRPr="0067214C" w:rsidRDefault="00F96912" w:rsidP="006658D5">
            <w:pPr>
              <w:keepNext/>
              <w:keepLines/>
              <w:rPr>
                <w:color w:val="002060"/>
                <w:sz w:val="16"/>
                <w:szCs w:val="16"/>
              </w:rPr>
            </w:pPr>
            <w:r w:rsidRPr="0067214C">
              <w:rPr>
                <w:color w:val="002060"/>
                <w:sz w:val="16"/>
                <w:szCs w:val="16"/>
              </w:rPr>
              <w:t>2 procédures automatisées supplémentaires en 2014</w:t>
            </w:r>
            <w:r w:rsidRPr="0067214C">
              <w:rPr>
                <w:color w:val="002060"/>
                <w:sz w:val="16"/>
                <w:szCs w:val="16"/>
              </w:rPr>
              <w:noBreakHyphen/>
              <w:t>2015 (Déclaration d’octroi de la protection de l’OHMI en 2014 et réception et traitement des dépôts indirects du KIPO</w:t>
            </w:r>
          </w:p>
          <w:p w14:paraId="7995C1D2" w14:textId="77777777" w:rsidR="00F96912" w:rsidRPr="0067214C" w:rsidRDefault="00F96912" w:rsidP="006658D5">
            <w:pPr>
              <w:keepNext/>
              <w:keepLines/>
              <w:rPr>
                <w:color w:val="002060"/>
                <w:sz w:val="16"/>
                <w:szCs w:val="16"/>
              </w:rPr>
            </w:pPr>
            <w:r w:rsidRPr="0067214C">
              <w:rPr>
                <w:color w:val="002060"/>
                <w:sz w:val="16"/>
                <w:szCs w:val="16"/>
              </w:rPr>
              <w:t>(4 au total)</w:t>
            </w:r>
          </w:p>
          <w:p w14:paraId="0139913A" w14:textId="77777777" w:rsidR="00F96912" w:rsidRDefault="00F96912" w:rsidP="006658D5">
            <w:pPr>
              <w:keepNext/>
              <w:keepLines/>
              <w:rPr>
                <w:sz w:val="16"/>
                <w:szCs w:val="16"/>
              </w:rPr>
            </w:pPr>
          </w:p>
          <w:p w14:paraId="1884FBD2" w14:textId="77777777" w:rsidR="00F96912" w:rsidRPr="001E6DFD" w:rsidRDefault="00F96912" w:rsidP="006658D5">
            <w:pPr>
              <w:keepNext/>
              <w:keepLines/>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40BD5F0A" w14:textId="77777777" w:rsidR="00F96912" w:rsidRPr="001E6DFD" w:rsidRDefault="00F96912" w:rsidP="006658D5">
            <w:pPr>
              <w:keepNext/>
              <w:keepLines/>
              <w:rPr>
                <w:sz w:val="16"/>
                <w:szCs w:val="16"/>
              </w:rPr>
            </w:pPr>
            <w:r w:rsidRPr="001E6DFD">
              <w:rPr>
                <w:sz w:val="16"/>
                <w:szCs w:val="16"/>
              </w:rPr>
              <w:t>2 interfaces électroniques du système de La Haye</w:t>
            </w:r>
          </w:p>
        </w:tc>
        <w:tc>
          <w:tcPr>
            <w:tcW w:w="782" w:type="pct"/>
            <w:shd w:val="clear" w:color="auto" w:fill="auto"/>
            <w:tcMar>
              <w:top w:w="110" w:type="dxa"/>
              <w:left w:w="58" w:type="dxa"/>
              <w:right w:w="58" w:type="dxa"/>
            </w:tcMar>
          </w:tcPr>
          <w:p w14:paraId="3BF3C701" w14:textId="77777777" w:rsidR="00F96912" w:rsidRPr="0067214C" w:rsidRDefault="00F96912" w:rsidP="006658D5">
            <w:pPr>
              <w:keepNext/>
              <w:keepLines/>
              <w:rPr>
                <w:sz w:val="16"/>
                <w:szCs w:val="16"/>
              </w:rPr>
            </w:pPr>
            <w:r w:rsidRPr="0067214C">
              <w:rPr>
                <w:sz w:val="16"/>
                <w:szCs w:val="16"/>
              </w:rPr>
              <w:t>6 interfaces électroniques du système de La Haye supplémentaires</w:t>
            </w:r>
          </w:p>
        </w:tc>
        <w:tc>
          <w:tcPr>
            <w:tcW w:w="1172" w:type="pct"/>
            <w:shd w:val="clear" w:color="auto" w:fill="FFFFFF"/>
            <w:tcMar>
              <w:top w:w="110" w:type="dxa"/>
              <w:left w:w="58" w:type="dxa"/>
              <w:right w:w="58" w:type="dxa"/>
            </w:tcMar>
          </w:tcPr>
          <w:p w14:paraId="122654B9" w14:textId="77777777" w:rsidR="00F96912" w:rsidRPr="0067214C" w:rsidRDefault="00F96912" w:rsidP="006658D5">
            <w:pPr>
              <w:keepNext/>
              <w:keepLines/>
              <w:rPr>
                <w:sz w:val="16"/>
                <w:szCs w:val="16"/>
              </w:rPr>
            </w:pPr>
            <w:r w:rsidRPr="0067214C">
              <w:rPr>
                <w:sz w:val="16"/>
                <w:szCs w:val="16"/>
              </w:rPr>
              <w:t>En 2016, automatisation de la gestion des réponses quant aux irrégularités (envoyées via le système de dépôt électronique)</w:t>
            </w:r>
          </w:p>
          <w:p w14:paraId="638CEB23" w14:textId="77777777" w:rsidR="00F96912" w:rsidRPr="0067214C" w:rsidRDefault="00F96912" w:rsidP="006658D5">
            <w:pPr>
              <w:keepNext/>
              <w:keepLines/>
              <w:rPr>
                <w:sz w:val="16"/>
                <w:szCs w:val="16"/>
              </w:rPr>
            </w:pPr>
            <w:r w:rsidRPr="0067214C">
              <w:rPr>
                <w:sz w:val="16"/>
                <w:szCs w:val="16"/>
              </w:rPr>
              <w:t>(5 au total)</w:t>
            </w:r>
          </w:p>
        </w:tc>
        <w:tc>
          <w:tcPr>
            <w:tcW w:w="604" w:type="pct"/>
            <w:shd w:val="clear" w:color="auto" w:fill="auto"/>
            <w:tcMar>
              <w:top w:w="110" w:type="dxa"/>
              <w:left w:w="58" w:type="dxa"/>
              <w:right w:w="58" w:type="dxa"/>
            </w:tcMar>
          </w:tcPr>
          <w:p w14:paraId="302584D1" w14:textId="77777777" w:rsidR="00F96912" w:rsidRPr="001E6DFD" w:rsidRDefault="00F96912" w:rsidP="006658D5">
            <w:pPr>
              <w:keepNext/>
              <w:keepLines/>
              <w:jc w:val="center"/>
              <w:rPr>
                <w:b/>
                <w:sz w:val="16"/>
                <w:szCs w:val="16"/>
              </w:rPr>
            </w:pPr>
            <w:r w:rsidRPr="001E6DFD">
              <w:rPr>
                <w:b/>
                <w:color w:val="FF0000"/>
                <w:sz w:val="16"/>
                <w:szCs w:val="16"/>
              </w:rPr>
              <w:t>Pas en bonne voie</w:t>
            </w:r>
          </w:p>
        </w:tc>
      </w:tr>
      <w:tr w:rsidR="00F96912" w:rsidRPr="001E6DFD" w14:paraId="402135FF" w14:textId="77777777" w:rsidTr="006658D5">
        <w:tc>
          <w:tcPr>
            <w:tcW w:w="1027" w:type="pct"/>
            <w:shd w:val="clear" w:color="auto" w:fill="auto"/>
            <w:tcMar>
              <w:left w:w="58" w:type="dxa"/>
              <w:right w:w="58" w:type="dxa"/>
            </w:tcMar>
          </w:tcPr>
          <w:p w14:paraId="04247804" w14:textId="77777777" w:rsidR="00F96912" w:rsidRPr="001E6DFD" w:rsidRDefault="00F96912" w:rsidP="006658D5">
            <w:pPr>
              <w:ind w:right="-57"/>
              <w:rPr>
                <w:sz w:val="16"/>
                <w:szCs w:val="16"/>
              </w:rPr>
            </w:pPr>
            <w:r w:rsidRPr="001E6DFD">
              <w:rPr>
                <w:sz w:val="16"/>
                <w:szCs w:val="16"/>
              </w:rPr>
              <w:t>Une évolution stable des services d’appui informatique du système de La Haye</w:t>
            </w:r>
          </w:p>
        </w:tc>
        <w:tc>
          <w:tcPr>
            <w:tcW w:w="1416" w:type="pct"/>
            <w:shd w:val="clear" w:color="auto" w:fill="auto"/>
            <w:tcMar>
              <w:left w:w="58" w:type="dxa"/>
              <w:right w:w="58" w:type="dxa"/>
            </w:tcMar>
          </w:tcPr>
          <w:p w14:paraId="061CF544" w14:textId="77777777" w:rsidR="00F96912" w:rsidRPr="001E6DFD" w:rsidRDefault="00F96912" w:rsidP="006658D5">
            <w:pPr>
              <w:rPr>
                <w:sz w:val="16"/>
                <w:szCs w:val="16"/>
              </w:rPr>
            </w:pPr>
            <w:r w:rsidRPr="001E6DFD">
              <w:rPr>
                <w:sz w:val="16"/>
                <w:szCs w:val="16"/>
              </w:rPr>
              <w:t xml:space="preserve">Pas d’interruption de service.  Les améliorations sont livrées et déployées dans les délais prévus </w:t>
            </w:r>
          </w:p>
        </w:tc>
        <w:tc>
          <w:tcPr>
            <w:tcW w:w="782" w:type="pct"/>
            <w:shd w:val="clear" w:color="auto" w:fill="auto"/>
            <w:tcMar>
              <w:top w:w="110" w:type="dxa"/>
              <w:left w:w="58" w:type="dxa"/>
              <w:right w:w="58" w:type="dxa"/>
            </w:tcMar>
          </w:tcPr>
          <w:p w14:paraId="1FF9F3F1" w14:textId="77777777" w:rsidR="00F96912" w:rsidRPr="001E6DFD" w:rsidRDefault="00F96912" w:rsidP="006658D5">
            <w:pPr>
              <w:rPr>
                <w:sz w:val="16"/>
                <w:szCs w:val="16"/>
              </w:rPr>
            </w:pPr>
            <w:r w:rsidRPr="001E6DFD">
              <w:rPr>
                <w:sz w:val="16"/>
                <w:szCs w:val="16"/>
              </w:rPr>
              <w:t>Pas d’interruption de service</w:t>
            </w:r>
          </w:p>
          <w:p w14:paraId="53102DE8" w14:textId="77777777" w:rsidR="00F96912" w:rsidRPr="001E6DFD" w:rsidRDefault="00F96912" w:rsidP="006658D5">
            <w:pPr>
              <w:rPr>
                <w:sz w:val="16"/>
                <w:szCs w:val="16"/>
              </w:rPr>
            </w:pPr>
          </w:p>
          <w:p w14:paraId="2EBDF074" w14:textId="77777777" w:rsidR="00F96912" w:rsidRPr="001E6DFD" w:rsidRDefault="00F96912" w:rsidP="006658D5">
            <w:pPr>
              <w:rPr>
                <w:sz w:val="16"/>
                <w:szCs w:val="16"/>
              </w:rPr>
            </w:pPr>
            <w:r w:rsidRPr="001E6DFD">
              <w:rPr>
                <w:sz w:val="16"/>
                <w:szCs w:val="16"/>
              </w:rPr>
              <w:t>Les améliorations sont livrées et déployées dans les délais prévus</w:t>
            </w:r>
          </w:p>
        </w:tc>
        <w:tc>
          <w:tcPr>
            <w:tcW w:w="1172" w:type="pct"/>
            <w:shd w:val="clear" w:color="auto" w:fill="FFFFFF"/>
            <w:tcMar>
              <w:top w:w="110" w:type="dxa"/>
              <w:left w:w="58" w:type="dxa"/>
              <w:right w:w="58" w:type="dxa"/>
            </w:tcMar>
          </w:tcPr>
          <w:p w14:paraId="47BE5D72" w14:textId="77777777" w:rsidR="00F96912" w:rsidRPr="0067214C" w:rsidRDefault="00F96912" w:rsidP="006658D5">
            <w:pPr>
              <w:keepNext/>
              <w:keepLines/>
              <w:rPr>
                <w:sz w:val="16"/>
                <w:szCs w:val="16"/>
              </w:rPr>
            </w:pPr>
            <w:r w:rsidRPr="0067214C">
              <w:rPr>
                <w:sz w:val="16"/>
                <w:szCs w:val="16"/>
              </w:rPr>
              <w:t>Aucune interruption de service en 2016</w:t>
            </w:r>
          </w:p>
          <w:p w14:paraId="6D13A6F1" w14:textId="77777777" w:rsidR="00F96912" w:rsidRPr="001303B4" w:rsidRDefault="00F96912" w:rsidP="006658D5">
            <w:pPr>
              <w:keepNext/>
              <w:keepLines/>
              <w:rPr>
                <w:sz w:val="16"/>
                <w:szCs w:val="16"/>
              </w:rPr>
            </w:pPr>
          </w:p>
          <w:p w14:paraId="25F86529" w14:textId="77777777" w:rsidR="00F96912" w:rsidRPr="0067214C" w:rsidRDefault="00F96912" w:rsidP="006658D5">
            <w:pPr>
              <w:keepNext/>
              <w:keepLines/>
              <w:rPr>
                <w:sz w:val="16"/>
                <w:szCs w:val="16"/>
              </w:rPr>
            </w:pPr>
            <w:r w:rsidRPr="0067214C">
              <w:rPr>
                <w:sz w:val="16"/>
                <w:szCs w:val="16"/>
              </w:rPr>
              <w:t>Les améliorations spécifiées ont été livrées et déployées dans les délais prévus</w:t>
            </w:r>
            <w:r w:rsidRPr="0067214C">
              <w:t xml:space="preserve"> </w:t>
            </w:r>
            <w:r w:rsidRPr="0067214C">
              <w:rPr>
                <w:sz w:val="16"/>
                <w:szCs w:val="16"/>
              </w:rPr>
              <w:t xml:space="preserve">conformément aux exigences énoncées </w:t>
            </w:r>
          </w:p>
        </w:tc>
        <w:tc>
          <w:tcPr>
            <w:tcW w:w="604" w:type="pct"/>
            <w:shd w:val="clear" w:color="auto" w:fill="auto"/>
            <w:tcMar>
              <w:top w:w="110" w:type="dxa"/>
              <w:left w:w="58" w:type="dxa"/>
              <w:right w:w="58" w:type="dxa"/>
            </w:tcMar>
          </w:tcPr>
          <w:p w14:paraId="454DA83E" w14:textId="77777777" w:rsidR="00F96912" w:rsidRPr="001E6DFD" w:rsidRDefault="00F96912" w:rsidP="006658D5">
            <w:pPr>
              <w:keepNext/>
              <w:keepLines/>
              <w:jc w:val="center"/>
              <w:rPr>
                <w:b/>
                <w:sz w:val="16"/>
                <w:szCs w:val="16"/>
              </w:rPr>
            </w:pPr>
            <w:r w:rsidRPr="001E6DFD">
              <w:rPr>
                <w:b/>
                <w:color w:val="00B050"/>
                <w:sz w:val="16"/>
                <w:szCs w:val="16"/>
              </w:rPr>
              <w:t>En bonne voie</w:t>
            </w:r>
          </w:p>
          <w:p w14:paraId="4F3C1DE7" w14:textId="77777777" w:rsidR="00F96912" w:rsidRPr="001E6DFD" w:rsidRDefault="00F96912" w:rsidP="006658D5">
            <w:pPr>
              <w:keepNext/>
              <w:keepLines/>
              <w:jc w:val="center"/>
              <w:rPr>
                <w:b/>
                <w:sz w:val="16"/>
                <w:szCs w:val="16"/>
              </w:rPr>
            </w:pPr>
          </w:p>
          <w:p w14:paraId="5053F66B" w14:textId="77777777" w:rsidR="00F96912" w:rsidRPr="001E6DFD" w:rsidRDefault="00F96912" w:rsidP="006658D5">
            <w:pPr>
              <w:keepNext/>
              <w:keepLines/>
              <w:jc w:val="center"/>
              <w:rPr>
                <w:b/>
                <w:sz w:val="16"/>
                <w:szCs w:val="16"/>
              </w:rPr>
            </w:pPr>
            <w:r w:rsidRPr="001E6DFD">
              <w:rPr>
                <w:b/>
                <w:color w:val="00B050"/>
                <w:sz w:val="16"/>
                <w:szCs w:val="16"/>
              </w:rPr>
              <w:t>En bonne voie</w:t>
            </w:r>
          </w:p>
        </w:tc>
      </w:tr>
      <w:tr w:rsidR="00F96912" w:rsidRPr="001E6DFD" w14:paraId="1898BC1B" w14:textId="77777777" w:rsidTr="006658D5">
        <w:tc>
          <w:tcPr>
            <w:tcW w:w="1027" w:type="pct"/>
            <w:shd w:val="clear" w:color="auto" w:fill="auto"/>
            <w:tcMar>
              <w:left w:w="58" w:type="dxa"/>
              <w:right w:w="58" w:type="dxa"/>
            </w:tcMar>
          </w:tcPr>
          <w:p w14:paraId="55214A48" w14:textId="77777777" w:rsidR="00F96912" w:rsidRPr="001E6DFD" w:rsidRDefault="00F96912" w:rsidP="006658D5">
            <w:pPr>
              <w:ind w:right="-57"/>
              <w:rPr>
                <w:sz w:val="16"/>
                <w:szCs w:val="16"/>
              </w:rPr>
            </w:pPr>
            <w:r w:rsidRPr="001E6DFD">
              <w:rPr>
                <w:sz w:val="16"/>
                <w:szCs w:val="16"/>
              </w:rPr>
              <w:t>Flexibilité des données enregistrées dans le registre international</w:t>
            </w:r>
          </w:p>
        </w:tc>
        <w:tc>
          <w:tcPr>
            <w:tcW w:w="1416" w:type="pct"/>
            <w:shd w:val="clear" w:color="auto" w:fill="auto"/>
            <w:tcMar>
              <w:left w:w="58" w:type="dxa"/>
              <w:right w:w="58" w:type="dxa"/>
            </w:tcMar>
          </w:tcPr>
          <w:p w14:paraId="792B9367"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17C2E229" w14:textId="77777777" w:rsidR="00F96912" w:rsidRDefault="00F96912" w:rsidP="006658D5">
            <w:pPr>
              <w:rPr>
                <w:color w:val="002060"/>
                <w:sz w:val="16"/>
                <w:szCs w:val="16"/>
              </w:rPr>
            </w:pPr>
            <w:r w:rsidRPr="0067214C">
              <w:rPr>
                <w:color w:val="002060"/>
                <w:sz w:val="16"/>
                <w:szCs w:val="16"/>
              </w:rPr>
              <w:t>Des progrès ont été effectués concernant les choix relatifs aux dessins et modèles;  pourtant la mise en œuvre était prévue pour après la conversion du principal système informatique, ce qui n’a pas eu lieu au cours de l’exercice biennal : DIRIS.</w:t>
            </w:r>
          </w:p>
          <w:p w14:paraId="2A6B0F98" w14:textId="77777777" w:rsidR="00F96912" w:rsidRPr="0067214C" w:rsidRDefault="00F96912" w:rsidP="006658D5">
            <w:pPr>
              <w:rPr>
                <w:color w:val="002060"/>
                <w:sz w:val="16"/>
                <w:szCs w:val="16"/>
              </w:rPr>
            </w:pPr>
          </w:p>
          <w:p w14:paraId="684205BF"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47E34DD2" w14:textId="77777777" w:rsidR="00F96912" w:rsidRPr="001E6DFD" w:rsidRDefault="00F96912" w:rsidP="006658D5">
            <w:pPr>
              <w:rPr>
                <w:sz w:val="16"/>
                <w:szCs w:val="16"/>
              </w:rPr>
            </w:pPr>
            <w:r w:rsidRPr="001E6DFD">
              <w:rPr>
                <w:sz w:val="16"/>
                <w:szCs w:val="16"/>
              </w:rPr>
              <w:t>À la suite des modifications de la structure juridique du système de La Haye, le registre international a gagné en souplesse pour ce qui est du contenu facultatif des demandes internationales.</w:t>
            </w:r>
          </w:p>
          <w:p w14:paraId="762D5E88" w14:textId="77777777" w:rsidR="00F96912" w:rsidRPr="001E6DFD" w:rsidRDefault="00F96912" w:rsidP="006658D5">
            <w:pPr>
              <w:rPr>
                <w:sz w:val="16"/>
                <w:szCs w:val="16"/>
              </w:rPr>
            </w:pPr>
          </w:p>
          <w:p w14:paraId="4590812A" w14:textId="77777777" w:rsidR="00F96912" w:rsidRPr="001E6DFD" w:rsidRDefault="00F96912" w:rsidP="006658D5">
            <w:pPr>
              <w:rPr>
                <w:sz w:val="16"/>
                <w:szCs w:val="16"/>
              </w:rPr>
            </w:pPr>
            <w:r w:rsidRPr="001E6DFD">
              <w:rPr>
                <w:sz w:val="16"/>
                <w:szCs w:val="16"/>
              </w:rPr>
              <w:t>Impossibilité d’enregistrer des informations sur la conception granulaire</w:t>
            </w:r>
          </w:p>
        </w:tc>
        <w:tc>
          <w:tcPr>
            <w:tcW w:w="782" w:type="pct"/>
            <w:shd w:val="clear" w:color="auto" w:fill="auto"/>
            <w:tcMar>
              <w:top w:w="110" w:type="dxa"/>
              <w:left w:w="58" w:type="dxa"/>
              <w:right w:w="58" w:type="dxa"/>
            </w:tcMar>
          </w:tcPr>
          <w:p w14:paraId="53B8088A" w14:textId="77777777" w:rsidR="00F96912" w:rsidRPr="001E6DFD" w:rsidRDefault="00F96912" w:rsidP="006658D5">
            <w:pPr>
              <w:rPr>
                <w:sz w:val="16"/>
                <w:szCs w:val="16"/>
              </w:rPr>
            </w:pPr>
            <w:r w:rsidRPr="001E6DFD">
              <w:rPr>
                <w:sz w:val="16"/>
                <w:szCs w:val="16"/>
              </w:rPr>
              <w:t>Flexibilité des données enregistrées dans le registre international Possibilité de préciser le contenu facultatif additionnel à inscrire au registre international.</w:t>
            </w:r>
          </w:p>
          <w:p w14:paraId="562C7FA1" w14:textId="77777777" w:rsidR="00F96912" w:rsidRPr="001E6DFD" w:rsidRDefault="00F96912" w:rsidP="006658D5">
            <w:pPr>
              <w:rPr>
                <w:sz w:val="16"/>
                <w:szCs w:val="16"/>
              </w:rPr>
            </w:pPr>
          </w:p>
          <w:p w14:paraId="04293A1B" w14:textId="77777777" w:rsidR="00F96912" w:rsidRPr="001E6DFD" w:rsidRDefault="00F96912" w:rsidP="006658D5">
            <w:pPr>
              <w:rPr>
                <w:sz w:val="16"/>
                <w:szCs w:val="16"/>
              </w:rPr>
            </w:pPr>
            <w:r w:rsidRPr="001E6DFD">
              <w:rPr>
                <w:sz w:val="16"/>
                <w:szCs w:val="16"/>
              </w:rPr>
              <w:t>Capacité d’enregistrer des informations sur la conception granulaire</w:t>
            </w:r>
          </w:p>
        </w:tc>
        <w:tc>
          <w:tcPr>
            <w:tcW w:w="1172" w:type="pct"/>
            <w:shd w:val="clear" w:color="auto" w:fill="FFFFFF"/>
            <w:tcMar>
              <w:top w:w="110" w:type="dxa"/>
              <w:left w:w="58" w:type="dxa"/>
              <w:right w:w="58" w:type="dxa"/>
            </w:tcMar>
          </w:tcPr>
          <w:p w14:paraId="3CA6BF87" w14:textId="77777777" w:rsidR="00F96912" w:rsidRPr="0067214C" w:rsidRDefault="00F96912" w:rsidP="006658D5">
            <w:pPr>
              <w:keepNext/>
              <w:keepLines/>
              <w:rPr>
                <w:sz w:val="16"/>
                <w:szCs w:val="16"/>
              </w:rPr>
            </w:pPr>
            <w:r w:rsidRPr="0067214C">
              <w:rPr>
                <w:sz w:val="16"/>
                <w:szCs w:val="16"/>
              </w:rPr>
              <w:t>Impossibilité d’enregistrer, de retrouver et de communiquer des données sur les dessins et modèles et des données dans d’autres caractères que les caractères latins</w:t>
            </w:r>
          </w:p>
        </w:tc>
        <w:tc>
          <w:tcPr>
            <w:tcW w:w="604" w:type="pct"/>
            <w:shd w:val="clear" w:color="auto" w:fill="auto"/>
            <w:tcMar>
              <w:top w:w="110" w:type="dxa"/>
              <w:left w:w="58" w:type="dxa"/>
              <w:right w:w="58" w:type="dxa"/>
            </w:tcMar>
          </w:tcPr>
          <w:p w14:paraId="640E6DD7" w14:textId="77777777" w:rsidR="00F96912" w:rsidRPr="001E6DFD" w:rsidRDefault="00F96912" w:rsidP="006658D5">
            <w:pPr>
              <w:keepNext/>
              <w:keepLines/>
              <w:jc w:val="center"/>
              <w:rPr>
                <w:b/>
                <w:sz w:val="16"/>
                <w:szCs w:val="16"/>
              </w:rPr>
            </w:pPr>
            <w:r w:rsidRPr="001E6DFD">
              <w:rPr>
                <w:b/>
                <w:color w:val="FF0000"/>
                <w:sz w:val="16"/>
                <w:szCs w:val="16"/>
              </w:rPr>
              <w:t>Pas en bonne voie</w:t>
            </w:r>
          </w:p>
        </w:tc>
      </w:tr>
      <w:tr w:rsidR="00F96912" w:rsidRPr="001E6DFD" w14:paraId="0C9E7372" w14:textId="77777777" w:rsidTr="006658D5">
        <w:tc>
          <w:tcPr>
            <w:tcW w:w="1027" w:type="pct"/>
            <w:shd w:val="clear" w:color="auto" w:fill="auto"/>
            <w:tcMar>
              <w:left w:w="58" w:type="dxa"/>
              <w:right w:w="58" w:type="dxa"/>
            </w:tcMar>
          </w:tcPr>
          <w:p w14:paraId="367519F9" w14:textId="77777777" w:rsidR="00F96912" w:rsidRPr="001E6DFD" w:rsidRDefault="00F96912" w:rsidP="006658D5">
            <w:pPr>
              <w:ind w:right="-57"/>
              <w:rPr>
                <w:sz w:val="16"/>
                <w:szCs w:val="16"/>
              </w:rPr>
            </w:pPr>
            <w:r w:rsidRPr="001E6DFD">
              <w:rPr>
                <w:sz w:val="16"/>
                <w:szCs w:val="16"/>
              </w:rPr>
              <w:t>3 versions de DIRIS déployées et 3</w:t>
            </w:r>
            <w:r>
              <w:rPr>
                <w:sz w:val="16"/>
                <w:szCs w:val="16"/>
              </w:rPr>
              <w:t> </w:t>
            </w:r>
            <w:r w:rsidRPr="001E6DFD">
              <w:rPr>
                <w:sz w:val="16"/>
                <w:szCs w:val="16"/>
              </w:rPr>
              <w:t xml:space="preserve">versions du système de dépôt électronique du système de La Haye déployées </w:t>
            </w:r>
          </w:p>
        </w:tc>
        <w:tc>
          <w:tcPr>
            <w:tcW w:w="1416" w:type="pct"/>
            <w:shd w:val="clear" w:color="auto" w:fill="auto"/>
            <w:tcMar>
              <w:left w:w="58" w:type="dxa"/>
              <w:right w:w="58" w:type="dxa"/>
            </w:tcMar>
          </w:tcPr>
          <w:p w14:paraId="457227D8" w14:textId="77777777" w:rsidR="00F96912" w:rsidRPr="001E6DFD" w:rsidRDefault="00F96912" w:rsidP="006658D5">
            <w:pPr>
              <w:rPr>
                <w:sz w:val="16"/>
                <w:szCs w:val="16"/>
              </w:rPr>
            </w:pPr>
            <w:r w:rsidRPr="001E6DFD">
              <w:rPr>
                <w:sz w:val="16"/>
                <w:szCs w:val="16"/>
              </w:rPr>
              <w:t xml:space="preserve">DIRIS n’est pas déployé, le système de dépôt électronique et le service HPM sont en cours d’élaboration, la structure des bases de données ne tient pas compte des nouvelles exigences pour ce qui est du niveau de détail requis, le système de dépôt électronique ne permet pas les réponses électroniques aux lettres d’irrégularité </w:t>
            </w:r>
          </w:p>
        </w:tc>
        <w:tc>
          <w:tcPr>
            <w:tcW w:w="782" w:type="pct"/>
            <w:shd w:val="clear" w:color="auto" w:fill="auto"/>
            <w:tcMar>
              <w:top w:w="110" w:type="dxa"/>
              <w:left w:w="58" w:type="dxa"/>
              <w:right w:w="58" w:type="dxa"/>
            </w:tcMar>
          </w:tcPr>
          <w:p w14:paraId="476F60C3" w14:textId="77777777" w:rsidR="00F96912" w:rsidRPr="0067214C" w:rsidRDefault="00F96912" w:rsidP="006658D5">
            <w:pPr>
              <w:rPr>
                <w:sz w:val="16"/>
                <w:szCs w:val="16"/>
              </w:rPr>
            </w:pPr>
            <w:r w:rsidRPr="0067214C">
              <w:rPr>
                <w:sz w:val="16"/>
                <w:szCs w:val="16"/>
              </w:rPr>
              <w:t>3 nouvelles versions de DIRIS déployées</w:t>
            </w:r>
          </w:p>
          <w:p w14:paraId="16DFE3C5" w14:textId="77777777" w:rsidR="00F96912" w:rsidRPr="0067214C" w:rsidRDefault="00F96912" w:rsidP="006658D5">
            <w:pPr>
              <w:rPr>
                <w:sz w:val="16"/>
                <w:szCs w:val="16"/>
              </w:rPr>
            </w:pPr>
          </w:p>
          <w:p w14:paraId="2631C89F" w14:textId="77777777" w:rsidR="00F96912" w:rsidRPr="0067214C" w:rsidRDefault="00F96912" w:rsidP="006658D5">
            <w:pPr>
              <w:rPr>
                <w:sz w:val="16"/>
                <w:szCs w:val="16"/>
              </w:rPr>
            </w:pPr>
          </w:p>
          <w:p w14:paraId="5EEA3D3F" w14:textId="77777777" w:rsidR="00F96912" w:rsidRPr="0067214C" w:rsidRDefault="00F96912" w:rsidP="006658D5">
            <w:pPr>
              <w:rPr>
                <w:sz w:val="16"/>
                <w:szCs w:val="16"/>
              </w:rPr>
            </w:pPr>
            <w:r w:rsidRPr="0067214C">
              <w:rPr>
                <w:sz w:val="16"/>
                <w:szCs w:val="16"/>
              </w:rPr>
              <w:t xml:space="preserve">3 versions mises à jour du système de dépôt électronique du système de La Haye déployées, réponses électroniques aux lettres d’irrégularité activée et structure plus logique des bases de données </w:t>
            </w:r>
          </w:p>
        </w:tc>
        <w:tc>
          <w:tcPr>
            <w:tcW w:w="1172" w:type="pct"/>
            <w:shd w:val="clear" w:color="auto" w:fill="FFFFFF"/>
            <w:tcMar>
              <w:top w:w="110" w:type="dxa"/>
              <w:left w:w="58" w:type="dxa"/>
              <w:right w:w="58" w:type="dxa"/>
            </w:tcMar>
          </w:tcPr>
          <w:p w14:paraId="5B3C90A6" w14:textId="77777777" w:rsidR="00F96912" w:rsidRPr="0067214C" w:rsidRDefault="00F96912" w:rsidP="006658D5">
            <w:pPr>
              <w:keepNext/>
              <w:keepLines/>
              <w:rPr>
                <w:sz w:val="16"/>
                <w:szCs w:val="16"/>
              </w:rPr>
            </w:pPr>
            <w:r w:rsidRPr="0067214C">
              <w:rPr>
                <w:sz w:val="16"/>
                <w:szCs w:val="16"/>
              </w:rPr>
              <w:t>Les travaux sur la plateforme informatique de La Haye remplaçant DIRIS ont commencé à la fin de 2016.</w:t>
            </w:r>
          </w:p>
          <w:p w14:paraId="3D860653" w14:textId="77777777" w:rsidR="00F96912" w:rsidRPr="0067214C" w:rsidRDefault="00F96912" w:rsidP="006658D5">
            <w:pPr>
              <w:keepNext/>
              <w:keepLines/>
              <w:rPr>
                <w:sz w:val="16"/>
                <w:szCs w:val="16"/>
              </w:rPr>
            </w:pPr>
          </w:p>
          <w:p w14:paraId="59AD65B5" w14:textId="77777777" w:rsidR="00F96912" w:rsidRPr="0067214C" w:rsidRDefault="00F96912" w:rsidP="006658D5">
            <w:pPr>
              <w:keepNext/>
              <w:keepLines/>
              <w:rPr>
                <w:sz w:val="16"/>
                <w:szCs w:val="16"/>
              </w:rPr>
            </w:pPr>
            <w:r w:rsidRPr="0067214C">
              <w:rPr>
                <w:sz w:val="16"/>
                <w:szCs w:val="16"/>
              </w:rPr>
              <w:t>En 2016 :</w:t>
            </w:r>
          </w:p>
          <w:p w14:paraId="6C23BC80" w14:textId="77777777" w:rsidR="00F96912" w:rsidRPr="0067214C" w:rsidRDefault="00F96912" w:rsidP="006658D5">
            <w:pPr>
              <w:keepNext/>
              <w:keepLines/>
              <w:rPr>
                <w:sz w:val="16"/>
                <w:szCs w:val="16"/>
              </w:rPr>
            </w:pPr>
            <w:r>
              <w:rPr>
                <w:sz w:val="16"/>
                <w:szCs w:val="16"/>
              </w:rPr>
              <w:t xml:space="preserve">– </w:t>
            </w:r>
            <w:r w:rsidRPr="0067214C">
              <w:rPr>
                <w:sz w:val="16"/>
                <w:szCs w:val="16"/>
              </w:rPr>
              <w:t>système de dépôt électronique permettant des réponses électroniques aux lettres d’irrégularité (avril 2016);</w:t>
            </w:r>
          </w:p>
          <w:p w14:paraId="32035BFC" w14:textId="77777777" w:rsidR="00F96912" w:rsidRPr="0067214C" w:rsidRDefault="00F96912" w:rsidP="006658D5">
            <w:pPr>
              <w:keepNext/>
              <w:keepLines/>
              <w:rPr>
                <w:sz w:val="16"/>
                <w:szCs w:val="16"/>
              </w:rPr>
            </w:pPr>
            <w:r>
              <w:rPr>
                <w:sz w:val="16"/>
                <w:szCs w:val="16"/>
              </w:rPr>
              <w:t xml:space="preserve">– </w:t>
            </w:r>
            <w:r w:rsidRPr="0067214C">
              <w:rPr>
                <w:sz w:val="16"/>
                <w:szCs w:val="16"/>
              </w:rPr>
              <w:t>déploiement de 5 versions mises à jour du système de dépôt électronique du système de La Haye.</w:t>
            </w:r>
          </w:p>
        </w:tc>
        <w:tc>
          <w:tcPr>
            <w:tcW w:w="604" w:type="pct"/>
            <w:shd w:val="clear" w:color="auto" w:fill="auto"/>
            <w:tcMar>
              <w:top w:w="110" w:type="dxa"/>
              <w:left w:w="58" w:type="dxa"/>
              <w:right w:w="58" w:type="dxa"/>
            </w:tcMar>
          </w:tcPr>
          <w:p w14:paraId="45EC9229" w14:textId="77777777" w:rsidR="00F96912" w:rsidRPr="001E6DFD" w:rsidRDefault="00F96912" w:rsidP="006658D5">
            <w:pPr>
              <w:keepNext/>
              <w:keepLines/>
              <w:jc w:val="center"/>
              <w:rPr>
                <w:b/>
                <w:sz w:val="16"/>
                <w:szCs w:val="16"/>
              </w:rPr>
            </w:pPr>
            <w:r w:rsidRPr="001E6DFD">
              <w:rPr>
                <w:b/>
                <w:sz w:val="16"/>
                <w:szCs w:val="16"/>
              </w:rPr>
              <w:t>Abandonné</w:t>
            </w:r>
          </w:p>
          <w:p w14:paraId="1FB010E7" w14:textId="77777777" w:rsidR="00F96912" w:rsidRPr="001E6DFD" w:rsidRDefault="00F96912" w:rsidP="006658D5">
            <w:pPr>
              <w:keepNext/>
              <w:keepLines/>
              <w:jc w:val="center"/>
              <w:rPr>
                <w:b/>
                <w:sz w:val="16"/>
                <w:szCs w:val="16"/>
              </w:rPr>
            </w:pPr>
          </w:p>
          <w:p w14:paraId="408537DF" w14:textId="77777777" w:rsidR="00F96912" w:rsidRPr="001E6DFD" w:rsidRDefault="00F96912" w:rsidP="006658D5">
            <w:pPr>
              <w:keepNext/>
              <w:keepLines/>
              <w:jc w:val="center"/>
              <w:rPr>
                <w:sz w:val="16"/>
                <w:szCs w:val="16"/>
              </w:rPr>
            </w:pPr>
          </w:p>
          <w:p w14:paraId="51BD4A91" w14:textId="77777777" w:rsidR="00F96912" w:rsidRPr="001E6DFD" w:rsidRDefault="00F96912" w:rsidP="006658D5">
            <w:pPr>
              <w:keepNext/>
              <w:keepLines/>
              <w:jc w:val="center"/>
              <w:rPr>
                <w:b/>
                <w:sz w:val="16"/>
                <w:szCs w:val="16"/>
              </w:rPr>
            </w:pPr>
          </w:p>
          <w:p w14:paraId="65E26D5F" w14:textId="77777777" w:rsidR="00F96912" w:rsidRPr="001E6DFD" w:rsidRDefault="00F96912" w:rsidP="006658D5">
            <w:pPr>
              <w:keepNext/>
              <w:keepLines/>
              <w:jc w:val="center"/>
              <w:rPr>
                <w:b/>
                <w:sz w:val="16"/>
                <w:szCs w:val="16"/>
              </w:rPr>
            </w:pPr>
          </w:p>
          <w:p w14:paraId="3A8AC767" w14:textId="77777777" w:rsidR="00F96912" w:rsidRPr="001E6DFD" w:rsidRDefault="00F96912" w:rsidP="006658D5">
            <w:pPr>
              <w:keepNext/>
              <w:keepLines/>
              <w:jc w:val="center"/>
              <w:rPr>
                <w:b/>
                <w:sz w:val="16"/>
                <w:szCs w:val="16"/>
              </w:rPr>
            </w:pPr>
          </w:p>
          <w:p w14:paraId="791097DA" w14:textId="77777777" w:rsidR="00F96912" w:rsidRPr="001E6DFD" w:rsidRDefault="00F96912" w:rsidP="006658D5">
            <w:pPr>
              <w:keepNext/>
              <w:keepLines/>
              <w:jc w:val="center"/>
              <w:rPr>
                <w:b/>
                <w:sz w:val="16"/>
                <w:szCs w:val="16"/>
              </w:rPr>
            </w:pPr>
            <w:r w:rsidRPr="001E6DFD">
              <w:rPr>
                <w:b/>
                <w:color w:val="00B050"/>
                <w:sz w:val="16"/>
                <w:szCs w:val="16"/>
              </w:rPr>
              <w:t>En bonne voie</w:t>
            </w:r>
          </w:p>
        </w:tc>
      </w:tr>
    </w:tbl>
    <w:p w14:paraId="35BF8972" w14:textId="77777777" w:rsidR="00F96912" w:rsidRPr="001E6DFD" w:rsidRDefault="00F96912" w:rsidP="00F96912">
      <w:pPr>
        <w:rPr>
          <w:sz w:val="18"/>
          <w:szCs w:val="18"/>
        </w:rPr>
      </w:pPr>
    </w:p>
    <w:p w14:paraId="1008BAA0" w14:textId="77777777" w:rsidR="00F96912" w:rsidRPr="001E6DFD" w:rsidRDefault="00F96912" w:rsidP="00F96912">
      <w:pPr>
        <w:rPr>
          <w:sz w:val="18"/>
          <w:szCs w:val="18"/>
        </w:rPr>
      </w:pPr>
    </w:p>
    <w:p w14:paraId="39EC484B" w14:textId="77777777" w:rsidR="00F96912" w:rsidRDefault="00F96912" w:rsidP="00F96912">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F96912" w:rsidRPr="001E6DFD" w14:paraId="29152A1B" w14:textId="77777777" w:rsidTr="006658D5">
        <w:trPr>
          <w:trHeight w:val="423"/>
          <w:jc w:val="center"/>
        </w:trPr>
        <w:tc>
          <w:tcPr>
            <w:tcW w:w="9571" w:type="dxa"/>
            <w:shd w:val="clear" w:color="auto" w:fill="C6D9F1" w:themeFill="text2" w:themeFillTint="33"/>
            <w:vAlign w:val="center"/>
          </w:tcPr>
          <w:p w14:paraId="389E399E" w14:textId="77777777" w:rsidR="00F96912" w:rsidRPr="001E6DFD" w:rsidRDefault="00F96912" w:rsidP="006658D5">
            <w:pPr>
              <w:keepNext/>
              <w:keepLines/>
              <w:jc w:val="center"/>
              <w:rPr>
                <w:b/>
                <w:sz w:val="20"/>
              </w:rPr>
            </w:pPr>
            <w:r w:rsidRPr="001E6DFD">
              <w:rPr>
                <w:b/>
                <w:sz w:val="20"/>
              </w:rPr>
              <w:lastRenderedPageBreak/>
              <w:t>Utilisation des ressources au titre du programme</w:t>
            </w:r>
            <w:r>
              <w:rPr>
                <w:b/>
                <w:sz w:val="20"/>
              </w:rPr>
              <w:t> </w:t>
            </w:r>
            <w:r w:rsidRPr="001E6DFD">
              <w:rPr>
                <w:b/>
                <w:sz w:val="20"/>
              </w:rPr>
              <w:t>31</w:t>
            </w:r>
          </w:p>
        </w:tc>
      </w:tr>
    </w:tbl>
    <w:p w14:paraId="2BFD2121" w14:textId="77777777" w:rsidR="00F96912" w:rsidRPr="001E6DFD" w:rsidRDefault="00F96912" w:rsidP="00F96912">
      <w:pPr>
        <w:rPr>
          <w:sz w:val="18"/>
          <w:szCs w:val="16"/>
        </w:rPr>
      </w:pPr>
    </w:p>
    <w:p w14:paraId="28ECC83B" w14:textId="77777777" w:rsidR="00F96912" w:rsidRPr="001E6DFD" w:rsidRDefault="00F96912" w:rsidP="00F96912">
      <w:pPr>
        <w:pStyle w:val="NormalWeb"/>
        <w:keepNext/>
        <w:keepLines/>
        <w:spacing w:before="0" w:beforeAutospacing="0" w:after="0" w:afterAutospacing="0"/>
        <w:jc w:val="center"/>
      </w:pPr>
      <w:r w:rsidRPr="001E6DFD">
        <w:t>Budget et dépenses effectives (par résultat)</w:t>
      </w:r>
    </w:p>
    <w:p w14:paraId="1ECA3FB9" w14:textId="77777777" w:rsidR="00F96912" w:rsidRPr="001E6DFD" w:rsidRDefault="00F96912" w:rsidP="00F96912">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4FFB7033" w14:textId="77777777" w:rsidR="00F96912" w:rsidRPr="001E6DFD" w:rsidRDefault="00F96912" w:rsidP="00F96912">
      <w:pPr>
        <w:pStyle w:val="NormalWeb"/>
        <w:keepNext/>
        <w:keepLines/>
        <w:spacing w:before="0" w:beforeAutospacing="0" w:after="0" w:afterAutospacing="0"/>
        <w:jc w:val="center"/>
        <w:rPr>
          <w:i/>
          <w:iCs/>
        </w:rPr>
      </w:pPr>
    </w:p>
    <w:tbl>
      <w:tblPr>
        <w:tblW w:w="4371" w:type="pct"/>
        <w:jc w:val="center"/>
        <w:tblCellMar>
          <w:top w:w="57" w:type="dxa"/>
          <w:bottom w:w="57" w:type="dxa"/>
        </w:tblCellMar>
        <w:tblLook w:val="04A0" w:firstRow="1" w:lastRow="0" w:firstColumn="1" w:lastColumn="0" w:noHBand="0" w:noVBand="1"/>
      </w:tblPr>
      <w:tblGrid>
        <w:gridCol w:w="436"/>
        <w:gridCol w:w="4312"/>
        <w:gridCol w:w="1560"/>
        <w:gridCol w:w="1560"/>
        <w:gridCol w:w="1419"/>
      </w:tblGrid>
      <w:tr w:rsidR="00F96912" w:rsidRPr="001E6DFD" w14:paraId="3B21F52C" w14:textId="77777777" w:rsidTr="006658D5">
        <w:trPr>
          <w:jc w:val="center"/>
        </w:trPr>
        <w:tc>
          <w:tcPr>
            <w:tcW w:w="4804" w:type="dxa"/>
            <w:gridSpan w:val="2"/>
            <w:tcBorders>
              <w:top w:val="nil"/>
              <w:left w:val="nil"/>
              <w:bottom w:val="nil"/>
              <w:right w:val="nil"/>
            </w:tcBorders>
            <w:shd w:val="clear" w:color="000000" w:fill="C5D9F1"/>
            <w:noWrap/>
            <w:vAlign w:val="center"/>
            <w:hideMark/>
          </w:tcPr>
          <w:p w14:paraId="7C0C461E" w14:textId="77777777" w:rsidR="00F96912" w:rsidRPr="001E6DFD" w:rsidRDefault="00F96912" w:rsidP="006658D5">
            <w:pPr>
              <w:jc w:val="center"/>
              <w:rPr>
                <w:b/>
                <w:bCs/>
                <w:sz w:val="16"/>
                <w:szCs w:val="16"/>
              </w:rPr>
            </w:pPr>
            <w:r w:rsidRPr="001E6DFD">
              <w:rPr>
                <w:b/>
                <w:bCs/>
                <w:sz w:val="16"/>
                <w:szCs w:val="16"/>
              </w:rPr>
              <w:t xml:space="preserve">Numéro et description du résultat escompté </w:t>
            </w:r>
          </w:p>
        </w:tc>
        <w:tc>
          <w:tcPr>
            <w:tcW w:w="1180" w:type="dxa"/>
            <w:tcBorders>
              <w:top w:val="nil"/>
              <w:left w:val="nil"/>
              <w:bottom w:val="nil"/>
              <w:right w:val="nil"/>
            </w:tcBorders>
            <w:shd w:val="clear" w:color="000000" w:fill="C5D9F1"/>
            <w:vAlign w:val="center"/>
            <w:hideMark/>
          </w:tcPr>
          <w:p w14:paraId="7DEAD4D2" w14:textId="77777777" w:rsidR="00F96912" w:rsidRPr="001E6DFD" w:rsidRDefault="00F96912" w:rsidP="006658D5">
            <w:pPr>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approuvé</w:t>
            </w:r>
          </w:p>
        </w:tc>
        <w:tc>
          <w:tcPr>
            <w:tcW w:w="1180" w:type="dxa"/>
            <w:tcBorders>
              <w:top w:val="nil"/>
              <w:left w:val="nil"/>
              <w:bottom w:val="nil"/>
              <w:right w:val="nil"/>
            </w:tcBorders>
            <w:shd w:val="clear" w:color="000000" w:fill="C5D9F1"/>
            <w:vAlign w:val="center"/>
            <w:hideMark/>
          </w:tcPr>
          <w:p w14:paraId="34F37A18" w14:textId="77777777" w:rsidR="00F96912" w:rsidRPr="001E6DFD" w:rsidRDefault="00F96912" w:rsidP="006658D5">
            <w:pPr>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après virements</w:t>
            </w:r>
          </w:p>
        </w:tc>
        <w:tc>
          <w:tcPr>
            <w:tcW w:w="1203" w:type="dxa"/>
            <w:tcBorders>
              <w:top w:val="nil"/>
              <w:left w:val="nil"/>
              <w:bottom w:val="nil"/>
              <w:right w:val="nil"/>
            </w:tcBorders>
            <w:shd w:val="clear" w:color="000000" w:fill="C5D9F1"/>
            <w:vAlign w:val="center"/>
            <w:hideMark/>
          </w:tcPr>
          <w:p w14:paraId="7B9FC3A8" w14:textId="77777777" w:rsidR="00F96912" w:rsidRPr="001E6DFD" w:rsidRDefault="00F96912" w:rsidP="006658D5">
            <w:pPr>
              <w:jc w:val="center"/>
              <w:rPr>
                <w:b/>
                <w:bCs/>
                <w:sz w:val="16"/>
                <w:szCs w:val="16"/>
              </w:rPr>
            </w:pPr>
            <w:r w:rsidRPr="001E6DFD">
              <w:rPr>
                <w:b/>
                <w:bCs/>
                <w:sz w:val="16"/>
                <w:szCs w:val="16"/>
              </w:rPr>
              <w:t>Dépenses</w:t>
            </w:r>
            <w:r>
              <w:rPr>
                <w:b/>
                <w:bCs/>
                <w:sz w:val="16"/>
                <w:szCs w:val="16"/>
              </w:rPr>
              <w:t> </w:t>
            </w:r>
            <w:r w:rsidRPr="001E6DFD">
              <w:rPr>
                <w:b/>
                <w:bCs/>
                <w:sz w:val="16"/>
                <w:szCs w:val="16"/>
              </w:rPr>
              <w:t>2016*</w:t>
            </w:r>
          </w:p>
        </w:tc>
      </w:tr>
      <w:tr w:rsidR="00F96912" w:rsidRPr="001E6DFD" w14:paraId="7577530E" w14:textId="77777777" w:rsidTr="006658D5">
        <w:trPr>
          <w:jc w:val="center"/>
        </w:trPr>
        <w:tc>
          <w:tcPr>
            <w:tcW w:w="439" w:type="dxa"/>
            <w:tcBorders>
              <w:top w:val="nil"/>
              <w:left w:val="nil"/>
              <w:bottom w:val="nil"/>
              <w:right w:val="nil"/>
            </w:tcBorders>
            <w:shd w:val="clear" w:color="auto" w:fill="auto"/>
            <w:noWrap/>
            <w:vAlign w:val="center"/>
            <w:hideMark/>
          </w:tcPr>
          <w:p w14:paraId="20C77D77" w14:textId="77777777" w:rsidR="00F96912" w:rsidRPr="001E6DFD" w:rsidRDefault="00F96912" w:rsidP="006658D5">
            <w:pPr>
              <w:rPr>
                <w:sz w:val="16"/>
                <w:szCs w:val="16"/>
              </w:rPr>
            </w:pPr>
            <w:r w:rsidRPr="001E6DFD">
              <w:rPr>
                <w:sz w:val="16"/>
                <w:szCs w:val="16"/>
              </w:rPr>
              <w:t>II.4</w:t>
            </w:r>
          </w:p>
        </w:tc>
        <w:tc>
          <w:tcPr>
            <w:tcW w:w="4365" w:type="dxa"/>
            <w:tcBorders>
              <w:top w:val="nil"/>
              <w:left w:val="nil"/>
              <w:bottom w:val="nil"/>
              <w:right w:val="nil"/>
            </w:tcBorders>
            <w:shd w:val="clear" w:color="auto" w:fill="auto"/>
            <w:vAlign w:val="center"/>
            <w:hideMark/>
          </w:tcPr>
          <w:p w14:paraId="202507F6" w14:textId="77777777" w:rsidR="00F96912" w:rsidRPr="001E6DFD" w:rsidRDefault="00F96912" w:rsidP="006658D5">
            <w:pPr>
              <w:rPr>
                <w:sz w:val="16"/>
                <w:szCs w:val="16"/>
              </w:rPr>
            </w:pPr>
            <w:r w:rsidRPr="001E6DFD">
              <w:rPr>
                <w:sz w:val="16"/>
                <w:szCs w:val="16"/>
              </w:rPr>
              <w:t>Utilisation élargie et plus efficace du système de La Haye, notamment par les pays en développement et les PMA</w:t>
            </w:r>
          </w:p>
        </w:tc>
        <w:tc>
          <w:tcPr>
            <w:tcW w:w="1180" w:type="dxa"/>
            <w:tcBorders>
              <w:top w:val="nil"/>
              <w:left w:val="nil"/>
              <w:bottom w:val="nil"/>
              <w:right w:val="nil"/>
            </w:tcBorders>
            <w:shd w:val="clear" w:color="auto" w:fill="auto"/>
            <w:noWrap/>
            <w:vAlign w:val="center"/>
            <w:hideMark/>
          </w:tcPr>
          <w:p w14:paraId="47AF3804" w14:textId="77777777" w:rsidR="00F96912" w:rsidRPr="001E6DFD" w:rsidRDefault="00F96912" w:rsidP="006658D5">
            <w:pPr>
              <w:jc w:val="center"/>
              <w:rPr>
                <w:sz w:val="16"/>
                <w:szCs w:val="16"/>
              </w:rPr>
            </w:pPr>
            <w:r w:rsidRPr="001E6DFD">
              <w:rPr>
                <w:sz w:val="16"/>
                <w:szCs w:val="16"/>
              </w:rPr>
              <w:t>5 337</w:t>
            </w:r>
          </w:p>
        </w:tc>
        <w:tc>
          <w:tcPr>
            <w:tcW w:w="1180" w:type="dxa"/>
            <w:tcBorders>
              <w:top w:val="nil"/>
              <w:left w:val="nil"/>
              <w:bottom w:val="nil"/>
              <w:right w:val="nil"/>
            </w:tcBorders>
            <w:shd w:val="clear" w:color="auto" w:fill="auto"/>
            <w:noWrap/>
            <w:vAlign w:val="center"/>
            <w:hideMark/>
          </w:tcPr>
          <w:p w14:paraId="2804CE84" w14:textId="77777777" w:rsidR="00F96912" w:rsidRPr="001E6DFD" w:rsidRDefault="00F96912" w:rsidP="006658D5">
            <w:pPr>
              <w:jc w:val="center"/>
              <w:rPr>
                <w:sz w:val="16"/>
                <w:szCs w:val="16"/>
              </w:rPr>
            </w:pPr>
            <w:r w:rsidRPr="001E6DFD">
              <w:rPr>
                <w:sz w:val="16"/>
                <w:szCs w:val="16"/>
              </w:rPr>
              <w:t>5 865</w:t>
            </w:r>
          </w:p>
        </w:tc>
        <w:tc>
          <w:tcPr>
            <w:tcW w:w="1203" w:type="dxa"/>
            <w:tcBorders>
              <w:top w:val="nil"/>
              <w:left w:val="nil"/>
              <w:bottom w:val="nil"/>
              <w:right w:val="nil"/>
            </w:tcBorders>
            <w:shd w:val="clear" w:color="auto" w:fill="auto"/>
            <w:noWrap/>
            <w:vAlign w:val="center"/>
            <w:hideMark/>
          </w:tcPr>
          <w:p w14:paraId="5B73685B" w14:textId="77777777" w:rsidR="00F96912" w:rsidRPr="001E6DFD" w:rsidRDefault="00F96912" w:rsidP="006658D5">
            <w:pPr>
              <w:jc w:val="center"/>
              <w:rPr>
                <w:sz w:val="16"/>
                <w:szCs w:val="16"/>
              </w:rPr>
            </w:pPr>
            <w:r w:rsidRPr="001E6DFD">
              <w:rPr>
                <w:sz w:val="16"/>
                <w:szCs w:val="16"/>
              </w:rPr>
              <w:t>2 688</w:t>
            </w:r>
          </w:p>
        </w:tc>
      </w:tr>
      <w:tr w:rsidR="00F96912" w:rsidRPr="001E6DFD" w14:paraId="7677115C" w14:textId="77777777" w:rsidTr="006658D5">
        <w:trPr>
          <w:jc w:val="center"/>
        </w:trPr>
        <w:tc>
          <w:tcPr>
            <w:tcW w:w="439" w:type="dxa"/>
            <w:tcBorders>
              <w:top w:val="nil"/>
              <w:left w:val="nil"/>
              <w:bottom w:val="nil"/>
              <w:right w:val="nil"/>
            </w:tcBorders>
            <w:shd w:val="clear" w:color="auto" w:fill="auto"/>
            <w:noWrap/>
            <w:vAlign w:val="center"/>
            <w:hideMark/>
          </w:tcPr>
          <w:p w14:paraId="7DBA44C8" w14:textId="77777777" w:rsidR="00F96912" w:rsidRPr="001E6DFD" w:rsidRDefault="00F96912" w:rsidP="006658D5">
            <w:pPr>
              <w:rPr>
                <w:sz w:val="16"/>
                <w:szCs w:val="16"/>
              </w:rPr>
            </w:pPr>
            <w:r w:rsidRPr="001E6DFD">
              <w:rPr>
                <w:sz w:val="16"/>
                <w:szCs w:val="16"/>
              </w:rPr>
              <w:t>II.5</w:t>
            </w:r>
          </w:p>
        </w:tc>
        <w:tc>
          <w:tcPr>
            <w:tcW w:w="4365" w:type="dxa"/>
            <w:tcBorders>
              <w:top w:val="nil"/>
              <w:left w:val="nil"/>
              <w:bottom w:val="nil"/>
              <w:right w:val="nil"/>
            </w:tcBorders>
            <w:shd w:val="clear" w:color="auto" w:fill="auto"/>
            <w:vAlign w:val="center"/>
            <w:hideMark/>
          </w:tcPr>
          <w:p w14:paraId="6DEDA0DE" w14:textId="77777777" w:rsidR="00F96912" w:rsidRPr="001E6DFD" w:rsidRDefault="00F96912" w:rsidP="006658D5">
            <w:pPr>
              <w:rPr>
                <w:sz w:val="16"/>
                <w:szCs w:val="16"/>
              </w:rPr>
            </w:pPr>
            <w:r w:rsidRPr="001E6DFD">
              <w:rPr>
                <w:sz w:val="16"/>
                <w:szCs w:val="16"/>
              </w:rPr>
              <w:t>Amélioration de la productivité et de la qualité de service des opérations de La Haye</w:t>
            </w:r>
          </w:p>
        </w:tc>
        <w:tc>
          <w:tcPr>
            <w:tcW w:w="1180" w:type="dxa"/>
            <w:tcBorders>
              <w:top w:val="nil"/>
              <w:left w:val="nil"/>
              <w:bottom w:val="nil"/>
              <w:right w:val="nil"/>
            </w:tcBorders>
            <w:shd w:val="clear" w:color="auto" w:fill="auto"/>
            <w:noWrap/>
            <w:vAlign w:val="center"/>
            <w:hideMark/>
          </w:tcPr>
          <w:p w14:paraId="50415A5C" w14:textId="77777777" w:rsidR="00F96912" w:rsidRPr="001E6DFD" w:rsidRDefault="00F96912" w:rsidP="006658D5">
            <w:pPr>
              <w:jc w:val="center"/>
              <w:rPr>
                <w:sz w:val="16"/>
                <w:szCs w:val="16"/>
              </w:rPr>
            </w:pPr>
            <w:r w:rsidRPr="001E6DFD">
              <w:rPr>
                <w:sz w:val="16"/>
                <w:szCs w:val="16"/>
              </w:rPr>
              <w:t>2 234</w:t>
            </w:r>
          </w:p>
        </w:tc>
        <w:tc>
          <w:tcPr>
            <w:tcW w:w="1180" w:type="dxa"/>
            <w:tcBorders>
              <w:top w:val="nil"/>
              <w:left w:val="nil"/>
              <w:bottom w:val="nil"/>
              <w:right w:val="nil"/>
            </w:tcBorders>
            <w:shd w:val="clear" w:color="auto" w:fill="auto"/>
            <w:noWrap/>
            <w:vAlign w:val="center"/>
            <w:hideMark/>
          </w:tcPr>
          <w:p w14:paraId="7634630B" w14:textId="77777777" w:rsidR="00F96912" w:rsidRPr="001E6DFD" w:rsidRDefault="00F96912" w:rsidP="006658D5">
            <w:pPr>
              <w:jc w:val="center"/>
              <w:rPr>
                <w:sz w:val="16"/>
                <w:szCs w:val="16"/>
              </w:rPr>
            </w:pPr>
            <w:r w:rsidRPr="001E6DFD">
              <w:rPr>
                <w:sz w:val="16"/>
                <w:szCs w:val="16"/>
              </w:rPr>
              <w:t>3 506</w:t>
            </w:r>
          </w:p>
        </w:tc>
        <w:tc>
          <w:tcPr>
            <w:tcW w:w="1203" w:type="dxa"/>
            <w:tcBorders>
              <w:top w:val="nil"/>
              <w:left w:val="nil"/>
              <w:bottom w:val="nil"/>
              <w:right w:val="nil"/>
            </w:tcBorders>
            <w:shd w:val="clear" w:color="auto" w:fill="auto"/>
            <w:noWrap/>
            <w:vAlign w:val="center"/>
            <w:hideMark/>
          </w:tcPr>
          <w:p w14:paraId="52C8A537" w14:textId="77777777" w:rsidR="00F96912" w:rsidRPr="001E6DFD" w:rsidRDefault="00F96912" w:rsidP="006658D5">
            <w:pPr>
              <w:jc w:val="center"/>
              <w:rPr>
                <w:sz w:val="16"/>
                <w:szCs w:val="16"/>
              </w:rPr>
            </w:pPr>
            <w:r w:rsidRPr="001E6DFD">
              <w:rPr>
                <w:sz w:val="16"/>
                <w:szCs w:val="16"/>
              </w:rPr>
              <w:t>1 318</w:t>
            </w:r>
          </w:p>
        </w:tc>
      </w:tr>
      <w:tr w:rsidR="00F96912" w:rsidRPr="001E6DFD" w14:paraId="30F5165D" w14:textId="77777777" w:rsidTr="006658D5">
        <w:trPr>
          <w:jc w:val="center"/>
        </w:trPr>
        <w:tc>
          <w:tcPr>
            <w:tcW w:w="439" w:type="dxa"/>
            <w:tcBorders>
              <w:top w:val="nil"/>
              <w:left w:val="nil"/>
              <w:bottom w:val="nil"/>
              <w:right w:val="nil"/>
            </w:tcBorders>
            <w:shd w:val="clear" w:color="000000" w:fill="C5D9F1"/>
            <w:noWrap/>
            <w:vAlign w:val="bottom"/>
            <w:hideMark/>
          </w:tcPr>
          <w:p w14:paraId="50E1E338" w14:textId="77777777" w:rsidR="00F96912" w:rsidRPr="001E6DFD" w:rsidRDefault="00F96912" w:rsidP="006658D5">
            <w:pPr>
              <w:rPr>
                <w:sz w:val="16"/>
                <w:szCs w:val="16"/>
              </w:rPr>
            </w:pPr>
          </w:p>
        </w:tc>
        <w:tc>
          <w:tcPr>
            <w:tcW w:w="4365" w:type="dxa"/>
            <w:tcBorders>
              <w:top w:val="nil"/>
              <w:left w:val="nil"/>
              <w:bottom w:val="nil"/>
              <w:right w:val="nil"/>
            </w:tcBorders>
            <w:shd w:val="clear" w:color="000000" w:fill="C5D9F1"/>
            <w:noWrap/>
            <w:vAlign w:val="bottom"/>
            <w:hideMark/>
          </w:tcPr>
          <w:p w14:paraId="04D6AB4C" w14:textId="77777777" w:rsidR="00F96912" w:rsidRPr="001E6DFD" w:rsidRDefault="00F96912" w:rsidP="006658D5">
            <w:pPr>
              <w:jc w:val="right"/>
              <w:rPr>
                <w:b/>
                <w:bCs/>
                <w:sz w:val="16"/>
                <w:szCs w:val="16"/>
              </w:rPr>
            </w:pPr>
            <w:r w:rsidRPr="001E6DFD">
              <w:rPr>
                <w:b/>
                <w:bCs/>
                <w:sz w:val="16"/>
                <w:szCs w:val="16"/>
              </w:rPr>
              <w:t>Total</w:t>
            </w:r>
          </w:p>
        </w:tc>
        <w:tc>
          <w:tcPr>
            <w:tcW w:w="1180" w:type="dxa"/>
            <w:tcBorders>
              <w:top w:val="nil"/>
              <w:left w:val="nil"/>
              <w:bottom w:val="nil"/>
              <w:right w:val="nil"/>
            </w:tcBorders>
            <w:shd w:val="clear" w:color="000000" w:fill="C5D9F1"/>
            <w:noWrap/>
            <w:vAlign w:val="center"/>
            <w:hideMark/>
          </w:tcPr>
          <w:p w14:paraId="3A762ED1" w14:textId="77777777" w:rsidR="00F96912" w:rsidRPr="001E6DFD" w:rsidRDefault="00F96912" w:rsidP="006658D5">
            <w:pPr>
              <w:jc w:val="center"/>
              <w:rPr>
                <w:sz w:val="16"/>
                <w:szCs w:val="16"/>
              </w:rPr>
            </w:pPr>
            <w:r w:rsidRPr="001E6DFD">
              <w:rPr>
                <w:sz w:val="16"/>
                <w:szCs w:val="16"/>
              </w:rPr>
              <w:t>7 572</w:t>
            </w:r>
          </w:p>
        </w:tc>
        <w:tc>
          <w:tcPr>
            <w:tcW w:w="1180" w:type="dxa"/>
            <w:tcBorders>
              <w:top w:val="nil"/>
              <w:left w:val="nil"/>
              <w:bottom w:val="nil"/>
              <w:right w:val="nil"/>
            </w:tcBorders>
            <w:shd w:val="clear" w:color="000000" w:fill="C5D9F1"/>
            <w:noWrap/>
            <w:vAlign w:val="center"/>
            <w:hideMark/>
          </w:tcPr>
          <w:p w14:paraId="62EEE835" w14:textId="77777777" w:rsidR="00F96912" w:rsidRPr="001E6DFD" w:rsidRDefault="00F96912" w:rsidP="006658D5">
            <w:pPr>
              <w:jc w:val="center"/>
              <w:rPr>
                <w:sz w:val="16"/>
                <w:szCs w:val="16"/>
              </w:rPr>
            </w:pPr>
            <w:r w:rsidRPr="001E6DFD">
              <w:rPr>
                <w:sz w:val="16"/>
                <w:szCs w:val="16"/>
              </w:rPr>
              <w:t>9 371</w:t>
            </w:r>
          </w:p>
        </w:tc>
        <w:tc>
          <w:tcPr>
            <w:tcW w:w="1203" w:type="dxa"/>
            <w:tcBorders>
              <w:top w:val="nil"/>
              <w:left w:val="nil"/>
              <w:bottom w:val="nil"/>
              <w:right w:val="nil"/>
            </w:tcBorders>
            <w:shd w:val="clear" w:color="000000" w:fill="C5D9F1"/>
            <w:noWrap/>
            <w:vAlign w:val="center"/>
            <w:hideMark/>
          </w:tcPr>
          <w:p w14:paraId="024F22C2" w14:textId="77777777" w:rsidR="00F96912" w:rsidRPr="001E6DFD" w:rsidRDefault="00F96912" w:rsidP="006658D5">
            <w:pPr>
              <w:jc w:val="center"/>
              <w:rPr>
                <w:sz w:val="16"/>
                <w:szCs w:val="16"/>
              </w:rPr>
            </w:pPr>
            <w:r w:rsidRPr="001E6DFD">
              <w:rPr>
                <w:sz w:val="16"/>
                <w:szCs w:val="16"/>
              </w:rPr>
              <w:t>4 006</w:t>
            </w:r>
          </w:p>
        </w:tc>
      </w:tr>
      <w:tr w:rsidR="00F96912" w:rsidRPr="001E6DFD" w14:paraId="36B8EC73" w14:textId="77777777" w:rsidTr="006658D5">
        <w:trPr>
          <w:jc w:val="center"/>
        </w:trPr>
        <w:tc>
          <w:tcPr>
            <w:tcW w:w="8367" w:type="dxa"/>
            <w:gridSpan w:val="5"/>
            <w:tcBorders>
              <w:top w:val="nil"/>
              <w:left w:val="nil"/>
              <w:bottom w:val="nil"/>
              <w:right w:val="nil"/>
            </w:tcBorders>
            <w:shd w:val="clear" w:color="auto" w:fill="auto"/>
            <w:noWrap/>
            <w:vAlign w:val="center"/>
            <w:hideMark/>
          </w:tcPr>
          <w:p w14:paraId="4567B5DE" w14:textId="77777777" w:rsidR="00F96912" w:rsidRPr="001E6DFD" w:rsidRDefault="00F96912" w:rsidP="006658D5">
            <w:pPr>
              <w:rPr>
                <w:sz w:val="16"/>
                <w:szCs w:val="16"/>
              </w:rPr>
            </w:pPr>
            <w:r w:rsidRPr="001E6DFD">
              <w:rPr>
                <w:i/>
                <w:iCs/>
                <w:sz w:val="16"/>
                <w:szCs w:val="16"/>
              </w:rPr>
              <w:t>*Les chiffres des dépenses pour 2016 sont préliminaires, sous réserve d’audit par les vérificateurs externes des comptes</w:t>
            </w:r>
          </w:p>
        </w:tc>
      </w:tr>
    </w:tbl>
    <w:p w14:paraId="6F53D9B5" w14:textId="77777777" w:rsidR="00F96912" w:rsidRPr="001E6DFD" w:rsidRDefault="00F96912" w:rsidP="00F96912">
      <w:pPr>
        <w:pStyle w:val="NormalWeb"/>
        <w:keepNext/>
        <w:keepLines/>
        <w:spacing w:before="0" w:beforeAutospacing="0" w:after="0" w:afterAutospacing="0"/>
        <w:jc w:val="center"/>
      </w:pPr>
    </w:p>
    <w:p w14:paraId="7ED3DE19" w14:textId="77777777" w:rsidR="00F96912" w:rsidRPr="001E6DFD" w:rsidRDefault="00F96912" w:rsidP="00F96912">
      <w:pPr>
        <w:pStyle w:val="NormalWeb"/>
        <w:keepNext/>
        <w:keepLines/>
        <w:spacing w:before="0" w:beforeAutospacing="0" w:after="0" w:afterAutospacing="0"/>
        <w:jc w:val="center"/>
      </w:pPr>
      <w:r w:rsidRPr="001E6DFD">
        <w:t>Budget et dépenses effectives (dépenses de personnel et autres dépenses)</w:t>
      </w:r>
    </w:p>
    <w:p w14:paraId="20FC741F" w14:textId="77777777" w:rsidR="00F96912" w:rsidRPr="001E6DFD" w:rsidRDefault="00F96912" w:rsidP="00F96912">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0FFF99AA" w14:textId="77777777" w:rsidR="00F96912" w:rsidRPr="001E6DFD" w:rsidRDefault="00F96912" w:rsidP="00F96912">
      <w:pPr>
        <w:pStyle w:val="NormalWeb"/>
        <w:keepNext/>
        <w:keepLines/>
        <w:spacing w:before="0" w:beforeAutospacing="0" w:after="0" w:afterAutospacing="0"/>
        <w:jc w:val="center"/>
        <w:rPr>
          <w:i/>
          <w:iCs/>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1E6DFD" w14:paraId="509A8253" w14:textId="77777777" w:rsidTr="006658D5">
        <w:trPr>
          <w:jc w:val="center"/>
        </w:trPr>
        <w:tc>
          <w:tcPr>
            <w:tcW w:w="2470" w:type="dxa"/>
            <w:tcBorders>
              <w:top w:val="nil"/>
              <w:left w:val="nil"/>
              <w:bottom w:val="nil"/>
              <w:right w:val="nil"/>
            </w:tcBorders>
            <w:shd w:val="clear" w:color="000000" w:fill="C5D9F1"/>
            <w:noWrap/>
            <w:vAlign w:val="center"/>
            <w:hideMark/>
          </w:tcPr>
          <w:p w14:paraId="5BB6BE69" w14:textId="77777777" w:rsidR="00F96912" w:rsidRPr="001E6DFD" w:rsidRDefault="00F96912" w:rsidP="006658D5">
            <w:pPr>
              <w:rPr>
                <w:sz w:val="16"/>
                <w:szCs w:val="16"/>
              </w:rPr>
            </w:pPr>
          </w:p>
        </w:tc>
        <w:tc>
          <w:tcPr>
            <w:tcW w:w="1438" w:type="dxa"/>
            <w:tcBorders>
              <w:top w:val="nil"/>
              <w:left w:val="nil"/>
              <w:bottom w:val="nil"/>
              <w:right w:val="nil"/>
            </w:tcBorders>
            <w:shd w:val="clear" w:color="000000" w:fill="C5D9F1"/>
            <w:vAlign w:val="center"/>
            <w:hideMark/>
          </w:tcPr>
          <w:p w14:paraId="0CB3B011" w14:textId="77777777" w:rsidR="00F96912" w:rsidRPr="001E6DFD" w:rsidRDefault="00F96912" w:rsidP="006658D5">
            <w:pPr>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approuvé</w:t>
            </w:r>
          </w:p>
        </w:tc>
        <w:tc>
          <w:tcPr>
            <w:tcW w:w="1438" w:type="dxa"/>
            <w:tcBorders>
              <w:top w:val="nil"/>
              <w:left w:val="nil"/>
              <w:bottom w:val="nil"/>
              <w:right w:val="nil"/>
            </w:tcBorders>
            <w:shd w:val="clear" w:color="000000" w:fill="C5D9F1"/>
            <w:vAlign w:val="center"/>
            <w:hideMark/>
          </w:tcPr>
          <w:p w14:paraId="6476418F" w14:textId="77777777" w:rsidR="00F96912" w:rsidRPr="001E6DFD" w:rsidRDefault="00F96912" w:rsidP="006658D5">
            <w:pPr>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après virements</w:t>
            </w:r>
          </w:p>
        </w:tc>
        <w:tc>
          <w:tcPr>
            <w:tcW w:w="1438" w:type="dxa"/>
            <w:tcBorders>
              <w:top w:val="nil"/>
              <w:left w:val="nil"/>
              <w:bottom w:val="nil"/>
              <w:right w:val="nil"/>
            </w:tcBorders>
            <w:shd w:val="clear" w:color="000000" w:fill="C5D9F1"/>
            <w:vAlign w:val="center"/>
            <w:hideMark/>
          </w:tcPr>
          <w:p w14:paraId="27BDEC6F" w14:textId="77777777" w:rsidR="00F96912" w:rsidRPr="001E6DFD" w:rsidRDefault="00F96912" w:rsidP="006658D5">
            <w:pPr>
              <w:jc w:val="center"/>
              <w:rPr>
                <w:b/>
                <w:bCs/>
                <w:sz w:val="16"/>
                <w:szCs w:val="16"/>
              </w:rPr>
            </w:pPr>
            <w:r w:rsidRPr="001E6DFD">
              <w:rPr>
                <w:b/>
                <w:bCs/>
                <w:sz w:val="16"/>
                <w:szCs w:val="16"/>
              </w:rPr>
              <w:t>Dépenses</w:t>
            </w:r>
            <w:r>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3C241DDD" w14:textId="77777777" w:rsidR="00F96912" w:rsidRPr="001E6DFD" w:rsidRDefault="00F96912" w:rsidP="006658D5">
            <w:pPr>
              <w:jc w:val="center"/>
              <w:rPr>
                <w:b/>
                <w:bCs/>
                <w:sz w:val="16"/>
                <w:szCs w:val="16"/>
              </w:rPr>
            </w:pPr>
            <w:r w:rsidRPr="001E6DFD">
              <w:rPr>
                <w:b/>
                <w:bCs/>
                <w:sz w:val="16"/>
                <w:szCs w:val="16"/>
              </w:rPr>
              <w:t>Taux d’utilisation (%)</w:t>
            </w:r>
          </w:p>
        </w:tc>
      </w:tr>
      <w:tr w:rsidR="00F96912" w:rsidRPr="001E6DFD" w14:paraId="5ABFA6D7" w14:textId="77777777" w:rsidTr="006658D5">
        <w:trPr>
          <w:jc w:val="center"/>
        </w:trPr>
        <w:tc>
          <w:tcPr>
            <w:tcW w:w="2470" w:type="dxa"/>
            <w:tcBorders>
              <w:top w:val="nil"/>
              <w:left w:val="nil"/>
              <w:bottom w:val="nil"/>
              <w:right w:val="nil"/>
            </w:tcBorders>
            <w:shd w:val="clear" w:color="auto" w:fill="auto"/>
            <w:noWrap/>
            <w:vAlign w:val="center"/>
            <w:hideMark/>
          </w:tcPr>
          <w:p w14:paraId="5286783A" w14:textId="77777777" w:rsidR="00F96912" w:rsidRPr="001E6DFD" w:rsidRDefault="00F96912" w:rsidP="006658D5">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0BBF2D41" w14:textId="77777777" w:rsidR="00F96912" w:rsidRPr="001E6DFD" w:rsidRDefault="00F96912" w:rsidP="006658D5">
            <w:pPr>
              <w:jc w:val="center"/>
              <w:rPr>
                <w:sz w:val="16"/>
                <w:szCs w:val="16"/>
              </w:rPr>
            </w:pPr>
            <w:r w:rsidRPr="001E6DFD">
              <w:rPr>
                <w:sz w:val="16"/>
                <w:szCs w:val="16"/>
              </w:rPr>
              <w:t xml:space="preserve">6 226 </w:t>
            </w:r>
          </w:p>
        </w:tc>
        <w:tc>
          <w:tcPr>
            <w:tcW w:w="1438" w:type="dxa"/>
            <w:tcBorders>
              <w:top w:val="nil"/>
              <w:left w:val="nil"/>
              <w:bottom w:val="nil"/>
              <w:right w:val="nil"/>
            </w:tcBorders>
            <w:shd w:val="clear" w:color="auto" w:fill="auto"/>
            <w:vAlign w:val="center"/>
            <w:hideMark/>
          </w:tcPr>
          <w:p w14:paraId="4037C478" w14:textId="77777777" w:rsidR="00F96912" w:rsidRPr="001E6DFD" w:rsidRDefault="00F96912" w:rsidP="006658D5">
            <w:pPr>
              <w:jc w:val="center"/>
              <w:rPr>
                <w:sz w:val="16"/>
                <w:szCs w:val="16"/>
              </w:rPr>
            </w:pPr>
            <w:r w:rsidRPr="001E6DFD">
              <w:rPr>
                <w:sz w:val="16"/>
                <w:szCs w:val="16"/>
              </w:rPr>
              <w:t xml:space="preserve">7 524 </w:t>
            </w:r>
          </w:p>
        </w:tc>
        <w:tc>
          <w:tcPr>
            <w:tcW w:w="1438" w:type="dxa"/>
            <w:tcBorders>
              <w:top w:val="nil"/>
              <w:left w:val="nil"/>
              <w:bottom w:val="nil"/>
              <w:right w:val="nil"/>
            </w:tcBorders>
            <w:shd w:val="clear" w:color="auto" w:fill="auto"/>
            <w:vAlign w:val="center"/>
            <w:hideMark/>
          </w:tcPr>
          <w:p w14:paraId="36790FBA" w14:textId="77777777" w:rsidR="00F96912" w:rsidRPr="001E6DFD" w:rsidRDefault="00F96912" w:rsidP="006658D5">
            <w:pPr>
              <w:jc w:val="center"/>
              <w:rPr>
                <w:sz w:val="16"/>
                <w:szCs w:val="16"/>
              </w:rPr>
            </w:pPr>
            <w:r w:rsidRPr="001E6DFD">
              <w:rPr>
                <w:sz w:val="16"/>
                <w:szCs w:val="16"/>
              </w:rPr>
              <w:t xml:space="preserve">3 428 </w:t>
            </w:r>
          </w:p>
        </w:tc>
        <w:tc>
          <w:tcPr>
            <w:tcW w:w="1438" w:type="dxa"/>
            <w:tcBorders>
              <w:top w:val="nil"/>
              <w:left w:val="nil"/>
              <w:bottom w:val="nil"/>
              <w:right w:val="nil"/>
            </w:tcBorders>
            <w:shd w:val="clear" w:color="auto" w:fill="auto"/>
            <w:vAlign w:val="center"/>
            <w:hideMark/>
          </w:tcPr>
          <w:p w14:paraId="5D5D2E22" w14:textId="77777777" w:rsidR="00F96912" w:rsidRPr="001E6DFD" w:rsidRDefault="00F96912" w:rsidP="006658D5">
            <w:pPr>
              <w:jc w:val="center"/>
              <w:rPr>
                <w:sz w:val="16"/>
                <w:szCs w:val="16"/>
              </w:rPr>
            </w:pPr>
            <w:r w:rsidRPr="001E6DFD">
              <w:rPr>
                <w:sz w:val="16"/>
                <w:szCs w:val="16"/>
              </w:rPr>
              <w:t>46%</w:t>
            </w:r>
          </w:p>
        </w:tc>
      </w:tr>
      <w:tr w:rsidR="00F96912" w:rsidRPr="001E6DFD" w14:paraId="0731C241" w14:textId="77777777" w:rsidTr="006658D5">
        <w:trPr>
          <w:jc w:val="center"/>
        </w:trPr>
        <w:tc>
          <w:tcPr>
            <w:tcW w:w="2470" w:type="dxa"/>
            <w:tcBorders>
              <w:top w:val="nil"/>
              <w:left w:val="nil"/>
              <w:bottom w:val="nil"/>
              <w:right w:val="nil"/>
            </w:tcBorders>
            <w:shd w:val="clear" w:color="auto" w:fill="auto"/>
            <w:noWrap/>
            <w:vAlign w:val="center"/>
            <w:hideMark/>
          </w:tcPr>
          <w:p w14:paraId="057073CE" w14:textId="77777777" w:rsidR="00F96912" w:rsidRPr="001E6DFD" w:rsidRDefault="00F96912" w:rsidP="006658D5">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46175651" w14:textId="77777777" w:rsidR="00F96912" w:rsidRPr="001E6DFD" w:rsidRDefault="00F96912" w:rsidP="006658D5">
            <w:pPr>
              <w:jc w:val="center"/>
              <w:rPr>
                <w:sz w:val="16"/>
                <w:szCs w:val="16"/>
              </w:rPr>
            </w:pPr>
            <w:r w:rsidRPr="001E6DFD">
              <w:rPr>
                <w:sz w:val="16"/>
                <w:szCs w:val="16"/>
              </w:rPr>
              <w:t xml:space="preserve">1 346 </w:t>
            </w:r>
          </w:p>
        </w:tc>
        <w:tc>
          <w:tcPr>
            <w:tcW w:w="1438" w:type="dxa"/>
            <w:tcBorders>
              <w:top w:val="nil"/>
              <w:left w:val="nil"/>
              <w:bottom w:val="nil"/>
              <w:right w:val="nil"/>
            </w:tcBorders>
            <w:shd w:val="clear" w:color="auto" w:fill="auto"/>
            <w:vAlign w:val="center"/>
            <w:hideMark/>
          </w:tcPr>
          <w:p w14:paraId="085728E9" w14:textId="77777777" w:rsidR="00F96912" w:rsidRPr="001E6DFD" w:rsidRDefault="00F96912" w:rsidP="006658D5">
            <w:pPr>
              <w:jc w:val="center"/>
              <w:rPr>
                <w:sz w:val="16"/>
                <w:szCs w:val="16"/>
              </w:rPr>
            </w:pPr>
            <w:r w:rsidRPr="001E6DFD">
              <w:rPr>
                <w:sz w:val="16"/>
                <w:szCs w:val="16"/>
              </w:rPr>
              <w:t xml:space="preserve">1 847 </w:t>
            </w:r>
          </w:p>
        </w:tc>
        <w:tc>
          <w:tcPr>
            <w:tcW w:w="1438" w:type="dxa"/>
            <w:tcBorders>
              <w:top w:val="nil"/>
              <w:left w:val="nil"/>
              <w:bottom w:val="nil"/>
              <w:right w:val="nil"/>
            </w:tcBorders>
            <w:shd w:val="clear" w:color="auto" w:fill="auto"/>
            <w:vAlign w:val="center"/>
            <w:hideMark/>
          </w:tcPr>
          <w:p w14:paraId="12C93110" w14:textId="77777777" w:rsidR="00F96912" w:rsidRPr="001E6DFD" w:rsidRDefault="00F96912" w:rsidP="006658D5">
            <w:pPr>
              <w:jc w:val="center"/>
              <w:rPr>
                <w:sz w:val="16"/>
                <w:szCs w:val="16"/>
              </w:rPr>
            </w:pPr>
            <w:r w:rsidRPr="001E6DFD">
              <w:rPr>
                <w:sz w:val="16"/>
                <w:szCs w:val="16"/>
              </w:rPr>
              <w:t xml:space="preserve">578 </w:t>
            </w:r>
          </w:p>
        </w:tc>
        <w:tc>
          <w:tcPr>
            <w:tcW w:w="1438" w:type="dxa"/>
            <w:tcBorders>
              <w:top w:val="nil"/>
              <w:left w:val="nil"/>
              <w:bottom w:val="nil"/>
              <w:right w:val="nil"/>
            </w:tcBorders>
            <w:shd w:val="clear" w:color="auto" w:fill="auto"/>
            <w:vAlign w:val="center"/>
            <w:hideMark/>
          </w:tcPr>
          <w:p w14:paraId="4B6BF20D" w14:textId="77777777" w:rsidR="00F96912" w:rsidRPr="001E6DFD" w:rsidRDefault="00F96912" w:rsidP="006658D5">
            <w:pPr>
              <w:jc w:val="center"/>
              <w:rPr>
                <w:sz w:val="16"/>
                <w:szCs w:val="16"/>
              </w:rPr>
            </w:pPr>
            <w:r w:rsidRPr="001E6DFD">
              <w:rPr>
                <w:sz w:val="16"/>
                <w:szCs w:val="16"/>
              </w:rPr>
              <w:t>31%</w:t>
            </w:r>
          </w:p>
        </w:tc>
      </w:tr>
      <w:tr w:rsidR="00F96912" w:rsidRPr="001E6DFD" w14:paraId="5D77F467" w14:textId="77777777" w:rsidTr="006658D5">
        <w:trPr>
          <w:jc w:val="center"/>
        </w:trPr>
        <w:tc>
          <w:tcPr>
            <w:tcW w:w="2470" w:type="dxa"/>
            <w:tcBorders>
              <w:top w:val="nil"/>
              <w:left w:val="nil"/>
              <w:bottom w:val="nil"/>
              <w:right w:val="nil"/>
            </w:tcBorders>
            <w:shd w:val="clear" w:color="000000" w:fill="C5D9F1"/>
            <w:noWrap/>
            <w:vAlign w:val="center"/>
            <w:hideMark/>
          </w:tcPr>
          <w:p w14:paraId="1AF5EFD0" w14:textId="77777777" w:rsidR="00F96912" w:rsidRPr="001E6DFD" w:rsidRDefault="00F96912" w:rsidP="006658D5">
            <w:pPr>
              <w:jc w:val="right"/>
              <w:rPr>
                <w:b/>
                <w:bCs/>
                <w:sz w:val="16"/>
                <w:szCs w:val="16"/>
              </w:rPr>
            </w:pPr>
            <w:r w:rsidRPr="001E6DFD">
              <w:rPr>
                <w:b/>
                <w:bCs/>
                <w:sz w:val="16"/>
                <w:szCs w:val="16"/>
              </w:rPr>
              <w:t xml:space="preserve">Total </w:t>
            </w:r>
          </w:p>
        </w:tc>
        <w:tc>
          <w:tcPr>
            <w:tcW w:w="1438" w:type="dxa"/>
            <w:tcBorders>
              <w:top w:val="nil"/>
              <w:left w:val="nil"/>
              <w:bottom w:val="nil"/>
              <w:right w:val="nil"/>
            </w:tcBorders>
            <w:shd w:val="clear" w:color="000000" w:fill="C5D9F1"/>
            <w:vAlign w:val="center"/>
            <w:hideMark/>
          </w:tcPr>
          <w:p w14:paraId="67FDBAE1" w14:textId="77777777" w:rsidR="00F96912" w:rsidRPr="001E6DFD" w:rsidRDefault="00F96912" w:rsidP="006658D5">
            <w:pPr>
              <w:jc w:val="center"/>
              <w:rPr>
                <w:b/>
                <w:bCs/>
                <w:sz w:val="16"/>
                <w:szCs w:val="16"/>
              </w:rPr>
            </w:pPr>
            <w:r w:rsidRPr="001E6DFD">
              <w:rPr>
                <w:b/>
                <w:bCs/>
                <w:sz w:val="16"/>
                <w:szCs w:val="16"/>
              </w:rPr>
              <w:t xml:space="preserve">7 572 </w:t>
            </w:r>
          </w:p>
        </w:tc>
        <w:tc>
          <w:tcPr>
            <w:tcW w:w="1438" w:type="dxa"/>
            <w:tcBorders>
              <w:top w:val="nil"/>
              <w:left w:val="nil"/>
              <w:bottom w:val="nil"/>
              <w:right w:val="nil"/>
            </w:tcBorders>
            <w:shd w:val="clear" w:color="000000" w:fill="C5D9F1"/>
            <w:vAlign w:val="center"/>
            <w:hideMark/>
          </w:tcPr>
          <w:p w14:paraId="0BF72C0C" w14:textId="77777777" w:rsidR="00F96912" w:rsidRPr="001E6DFD" w:rsidRDefault="00F96912" w:rsidP="006658D5">
            <w:pPr>
              <w:jc w:val="center"/>
              <w:rPr>
                <w:b/>
                <w:bCs/>
                <w:sz w:val="16"/>
                <w:szCs w:val="16"/>
              </w:rPr>
            </w:pPr>
            <w:r w:rsidRPr="001E6DFD">
              <w:rPr>
                <w:b/>
                <w:bCs/>
                <w:sz w:val="16"/>
                <w:szCs w:val="16"/>
              </w:rPr>
              <w:t xml:space="preserve">9 371 </w:t>
            </w:r>
          </w:p>
        </w:tc>
        <w:tc>
          <w:tcPr>
            <w:tcW w:w="1438" w:type="dxa"/>
            <w:tcBorders>
              <w:top w:val="nil"/>
              <w:left w:val="nil"/>
              <w:bottom w:val="nil"/>
              <w:right w:val="nil"/>
            </w:tcBorders>
            <w:shd w:val="clear" w:color="000000" w:fill="C5D9F1"/>
            <w:vAlign w:val="center"/>
            <w:hideMark/>
          </w:tcPr>
          <w:p w14:paraId="246187D3" w14:textId="77777777" w:rsidR="00F96912" w:rsidRPr="001E6DFD" w:rsidRDefault="00F96912" w:rsidP="006658D5">
            <w:pPr>
              <w:jc w:val="center"/>
              <w:rPr>
                <w:b/>
                <w:bCs/>
                <w:sz w:val="16"/>
                <w:szCs w:val="16"/>
              </w:rPr>
            </w:pPr>
            <w:r w:rsidRPr="001E6DFD">
              <w:rPr>
                <w:b/>
                <w:bCs/>
                <w:sz w:val="16"/>
                <w:szCs w:val="16"/>
              </w:rPr>
              <w:t xml:space="preserve">4 006 </w:t>
            </w:r>
          </w:p>
        </w:tc>
        <w:tc>
          <w:tcPr>
            <w:tcW w:w="1438" w:type="dxa"/>
            <w:tcBorders>
              <w:top w:val="nil"/>
              <w:left w:val="nil"/>
              <w:bottom w:val="nil"/>
              <w:right w:val="nil"/>
            </w:tcBorders>
            <w:shd w:val="clear" w:color="000000" w:fill="C5D9F1"/>
            <w:vAlign w:val="center"/>
            <w:hideMark/>
          </w:tcPr>
          <w:p w14:paraId="4CA47DB9" w14:textId="77777777" w:rsidR="00F96912" w:rsidRPr="001E6DFD" w:rsidRDefault="00F96912" w:rsidP="006658D5">
            <w:pPr>
              <w:jc w:val="center"/>
              <w:rPr>
                <w:b/>
                <w:bCs/>
                <w:sz w:val="16"/>
                <w:szCs w:val="16"/>
              </w:rPr>
            </w:pPr>
            <w:r w:rsidRPr="001E6DFD">
              <w:rPr>
                <w:b/>
                <w:bCs/>
                <w:sz w:val="16"/>
                <w:szCs w:val="16"/>
              </w:rPr>
              <w:t>43%</w:t>
            </w:r>
          </w:p>
        </w:tc>
      </w:tr>
      <w:tr w:rsidR="00F96912" w:rsidRPr="001E6DFD" w14:paraId="27041D73"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5DE7F739" w14:textId="77777777" w:rsidR="00F96912" w:rsidRPr="001E6DFD" w:rsidRDefault="00F96912" w:rsidP="006658D5">
            <w:pPr>
              <w:rPr>
                <w:i/>
                <w:iCs/>
                <w:sz w:val="16"/>
                <w:szCs w:val="16"/>
              </w:rPr>
            </w:pPr>
            <w:r w:rsidRPr="001E6DFD">
              <w:rPr>
                <w:i/>
                <w:iCs/>
                <w:sz w:val="16"/>
                <w:szCs w:val="16"/>
              </w:rPr>
              <w:t xml:space="preserve">*Les chiffres des dépenses pour 2016 sont préliminaires, sous réserve d’audit par les vérificateurs externes des comptes </w:t>
            </w:r>
          </w:p>
        </w:tc>
      </w:tr>
    </w:tbl>
    <w:p w14:paraId="63EA9327" w14:textId="77777777" w:rsidR="00F96912" w:rsidRPr="001E6DFD" w:rsidRDefault="00F96912" w:rsidP="00F96912">
      <w:pPr>
        <w:ind w:left="567" w:right="284"/>
        <w:rPr>
          <w:i/>
          <w:sz w:val="18"/>
          <w:szCs w:val="18"/>
        </w:rPr>
      </w:pPr>
    </w:p>
    <w:p w14:paraId="391C18DC" w14:textId="12FC5C41" w:rsidR="00F96912" w:rsidRPr="001E6DFD" w:rsidRDefault="00F96912" w:rsidP="00F96912">
      <w:pPr>
        <w:ind w:left="567" w:right="284"/>
        <w:rPr>
          <w:i/>
          <w:sz w:val="16"/>
          <w:szCs w:val="16"/>
        </w:rPr>
      </w:pPr>
      <w:r w:rsidRPr="001E6DFD">
        <w:rPr>
          <w:i/>
          <w:sz w:val="16"/>
          <w:szCs w:val="16"/>
        </w:rPr>
        <w:t>NOTE : Le budget</w:t>
      </w:r>
      <w:r>
        <w:rPr>
          <w:i/>
          <w:sz w:val="16"/>
          <w:szCs w:val="16"/>
        </w:rPr>
        <w:t> </w:t>
      </w:r>
      <w:r w:rsidRPr="001E6DFD">
        <w:rPr>
          <w:i/>
          <w:sz w:val="16"/>
          <w:szCs w:val="16"/>
        </w:rPr>
        <w:t>2016</w:t>
      </w:r>
      <w:r w:rsidRPr="001E6DFD">
        <w:rPr>
          <w:i/>
          <w:sz w:val="16"/>
          <w:szCs w:val="16"/>
        </w:rPr>
        <w:noBreakHyphen/>
        <w:t xml:space="preserve">2017 après virements tient compte des virements effectués </w:t>
      </w:r>
      <w:r w:rsidR="00945B76">
        <w:rPr>
          <w:i/>
          <w:sz w:val="16"/>
          <w:szCs w:val="16"/>
        </w:rPr>
        <w:t>au 8 mars 2017</w:t>
      </w:r>
      <w:r w:rsidRPr="001E6DFD">
        <w:rPr>
          <w:i/>
          <w:sz w:val="16"/>
          <w:szCs w:val="16"/>
        </w:rPr>
        <w:t xml:space="preserve"> pour répondre aux besoins durant l’exercice biennal 2016</w:t>
      </w:r>
      <w:r w:rsidRPr="001E6DFD">
        <w:rPr>
          <w:i/>
          <w:sz w:val="16"/>
          <w:szCs w:val="16"/>
        </w:rPr>
        <w:noBreakHyphen/>
        <w:t>2017 conformément à l’article 5.5 du Règlement financier.</w:t>
      </w:r>
    </w:p>
    <w:p w14:paraId="05F273A9" w14:textId="77777777" w:rsidR="00F96912" w:rsidRPr="001E6DFD" w:rsidRDefault="00F96912" w:rsidP="00F96912">
      <w:pPr>
        <w:jc w:val="both"/>
        <w:rPr>
          <w:sz w:val="20"/>
        </w:rPr>
      </w:pPr>
    </w:p>
    <w:p w14:paraId="414BD5AA" w14:textId="77777777" w:rsidR="00F96912" w:rsidRPr="001E6DFD" w:rsidRDefault="00F96912" w:rsidP="00F96912">
      <w:pPr>
        <w:jc w:val="both"/>
        <w:rPr>
          <w:sz w:val="20"/>
        </w:rPr>
      </w:pPr>
    </w:p>
    <w:p w14:paraId="1550A83D" w14:textId="77777777" w:rsidR="00F96912" w:rsidRPr="0067214C" w:rsidRDefault="00F96912" w:rsidP="00F96912">
      <w:pPr>
        <w:jc w:val="both"/>
        <w:rPr>
          <w:sz w:val="20"/>
          <w:u w:val="single"/>
        </w:rPr>
      </w:pPr>
      <w:r w:rsidRPr="0067214C">
        <w:rPr>
          <w:sz w:val="20"/>
        </w:rPr>
        <w:t>A.</w:t>
      </w:r>
      <w:r w:rsidRPr="0067214C">
        <w:rPr>
          <w:sz w:val="20"/>
        </w:rPr>
        <w:tab/>
      </w:r>
      <w:r w:rsidRPr="0067214C">
        <w:rPr>
          <w:sz w:val="20"/>
          <w:u w:val="single"/>
        </w:rPr>
        <w:t>Budget 2016</w:t>
      </w:r>
      <w:r w:rsidRPr="0067214C">
        <w:rPr>
          <w:sz w:val="20"/>
          <w:u w:val="single"/>
        </w:rPr>
        <w:noBreakHyphen/>
        <w:t>2017 après virements</w:t>
      </w:r>
    </w:p>
    <w:p w14:paraId="5252D898" w14:textId="77777777" w:rsidR="00F96912" w:rsidRPr="0067214C" w:rsidRDefault="00F96912" w:rsidP="00F96912">
      <w:pPr>
        <w:jc w:val="both"/>
        <w:rPr>
          <w:sz w:val="20"/>
        </w:rPr>
      </w:pPr>
    </w:p>
    <w:p w14:paraId="4F4C0E0B" w14:textId="77777777" w:rsidR="00F96912" w:rsidRPr="0067214C" w:rsidRDefault="00F96912" w:rsidP="00D544B8">
      <w:pPr>
        <w:pStyle w:val="ListParagraph"/>
        <w:numPr>
          <w:ilvl w:val="0"/>
          <w:numId w:val="23"/>
        </w:numPr>
        <w:ind w:left="0" w:firstLine="0"/>
        <w:jc w:val="both"/>
        <w:rPr>
          <w:rFonts w:ascii="Arial" w:hAnsi="Arial" w:cs="Arial"/>
          <w:sz w:val="20"/>
        </w:rPr>
      </w:pPr>
      <w:r w:rsidRPr="0067214C">
        <w:rPr>
          <w:rFonts w:ascii="Arial" w:hAnsi="Arial" w:cs="Arial"/>
          <w:sz w:val="20"/>
        </w:rPr>
        <w:t>Le budget après virements faisait apparaître un ajustement à la hausse essentiellement dû : i) au transfert de ressources autres que pour le personnel supplémentaires en vue de la mise en œuvre des phases initiales du projet de plateforme informatique de La Haye;  ii) au transfert temporaire d’un membre du personnel du service de solutions opérationnelles pour les offices de propriété intellectuelle (programme 15) afin de favoriser la mise en œuvre du projet, tel qu’indiqué au résultat escompté II.5 (</w:t>
      </w:r>
      <w:r w:rsidRPr="0067214C">
        <w:rPr>
          <w:rFonts w:ascii="Arial" w:hAnsi="Arial" w:cs="Arial"/>
          <w:bCs/>
          <w:sz w:val="20"/>
        </w:rPr>
        <w:t>Amélioration de la productivité et de la qualité de service des opérations de La Haye</w:t>
      </w:r>
      <w:r w:rsidRPr="0067214C">
        <w:rPr>
          <w:rFonts w:ascii="Arial" w:hAnsi="Arial" w:cs="Arial"/>
          <w:sz w:val="20"/>
        </w:rPr>
        <w:t>);  et iii) au transfert de trois postes temporaires pour faire face aux demandes d’examen supplémentaires générées par les adhésions du Japon et des États</w:t>
      </w:r>
      <w:r w:rsidRPr="0067214C">
        <w:rPr>
          <w:rFonts w:ascii="Arial" w:hAnsi="Arial" w:cs="Arial"/>
          <w:sz w:val="20"/>
        </w:rPr>
        <w:noBreakHyphen/>
        <w:t>Unis d’Amérique et en prévision de l’adhésion de la Fédération de Russie, tel qu’indiqué au résultat escompté II.4 (</w:t>
      </w:r>
      <w:r w:rsidRPr="0067214C">
        <w:rPr>
          <w:rFonts w:ascii="Arial" w:hAnsi="Arial" w:cs="Arial"/>
          <w:bCs/>
          <w:sz w:val="20"/>
        </w:rPr>
        <w:t>Utilisation élargie et plus efficace du système de La Haye</w:t>
      </w:r>
      <w:r w:rsidRPr="0067214C">
        <w:rPr>
          <w:rFonts w:ascii="Arial" w:hAnsi="Arial" w:cs="Arial"/>
          <w:sz w:val="20"/>
        </w:rPr>
        <w:t>).</w:t>
      </w:r>
    </w:p>
    <w:p w14:paraId="33C39922" w14:textId="77777777" w:rsidR="00F96912" w:rsidRPr="0067214C" w:rsidRDefault="00F96912" w:rsidP="00F96912">
      <w:pPr>
        <w:jc w:val="both"/>
        <w:rPr>
          <w:sz w:val="20"/>
        </w:rPr>
      </w:pPr>
    </w:p>
    <w:p w14:paraId="71D67EB9" w14:textId="77777777" w:rsidR="00F96912" w:rsidRPr="0067214C" w:rsidRDefault="00F96912" w:rsidP="00F96912">
      <w:pPr>
        <w:jc w:val="both"/>
        <w:rPr>
          <w:sz w:val="20"/>
          <w:u w:val="single"/>
        </w:rPr>
      </w:pPr>
      <w:r w:rsidRPr="0067214C">
        <w:rPr>
          <w:sz w:val="20"/>
        </w:rPr>
        <w:t>B.</w:t>
      </w:r>
      <w:r w:rsidRPr="0067214C">
        <w:rPr>
          <w:sz w:val="20"/>
        </w:rPr>
        <w:tab/>
      </w:r>
      <w:r w:rsidRPr="0067214C">
        <w:rPr>
          <w:sz w:val="20"/>
          <w:u w:val="single"/>
        </w:rPr>
        <w:t>Utilisation du budget 2016</w:t>
      </w:r>
      <w:r w:rsidRPr="0067214C">
        <w:rPr>
          <w:sz w:val="20"/>
          <w:u w:val="single"/>
        </w:rPr>
        <w:noBreakHyphen/>
        <w:t>2017</w:t>
      </w:r>
    </w:p>
    <w:p w14:paraId="4CC86316" w14:textId="77777777" w:rsidR="00F96912" w:rsidRPr="0067214C" w:rsidRDefault="00F96912" w:rsidP="00F96912">
      <w:pPr>
        <w:jc w:val="both"/>
        <w:rPr>
          <w:sz w:val="20"/>
        </w:rPr>
      </w:pPr>
    </w:p>
    <w:p w14:paraId="3E8E21C7" w14:textId="77777777" w:rsidR="00F96912" w:rsidRPr="0067214C" w:rsidRDefault="00F96912" w:rsidP="00D544B8">
      <w:pPr>
        <w:pStyle w:val="ListParagraph"/>
        <w:numPr>
          <w:ilvl w:val="0"/>
          <w:numId w:val="23"/>
        </w:numPr>
        <w:ind w:left="0" w:firstLine="0"/>
        <w:jc w:val="both"/>
        <w:rPr>
          <w:rFonts w:ascii="Arial" w:hAnsi="Arial" w:cs="Arial"/>
          <w:sz w:val="20"/>
        </w:rPr>
      </w:pPr>
      <w:r w:rsidRPr="0067214C">
        <w:rPr>
          <w:rFonts w:ascii="Arial" w:hAnsi="Arial" w:cs="Arial"/>
          <w:sz w:val="20"/>
        </w:rPr>
        <w:t>La sous</w:t>
      </w:r>
      <w:r w:rsidRPr="0067214C">
        <w:rPr>
          <w:rFonts w:ascii="Arial" w:hAnsi="Arial" w:cs="Arial"/>
          <w:sz w:val="20"/>
        </w:rPr>
        <w:noBreakHyphen/>
        <w:t>utilisation des ressources autres que pour le personnel était principalement due au report des travaux informatiques en raison des opérations de stabilisation en cours sur MIRIS.</w:t>
      </w:r>
    </w:p>
    <w:p w14:paraId="6DB2A083" w14:textId="77777777" w:rsidR="00F96912" w:rsidRPr="0067214C" w:rsidRDefault="00F96912" w:rsidP="00F96912">
      <w:pPr>
        <w:rPr>
          <w:sz w:val="20"/>
        </w:rPr>
      </w:pPr>
    </w:p>
    <w:p w14:paraId="64C35805" w14:textId="77777777" w:rsidR="00777681" w:rsidRDefault="00F96912">
      <w:pPr>
        <w:rPr>
          <w:b/>
          <w:bCs/>
          <w:iCs/>
          <w:szCs w:val="28"/>
        </w:rPr>
      </w:pPr>
      <w:r w:rsidRPr="0067214C">
        <w:rPr>
          <w:b/>
          <w:bCs/>
          <w:iCs/>
          <w:szCs w:val="28"/>
        </w:rPr>
        <w:br w:type="page"/>
      </w:r>
    </w:p>
    <w:p w14:paraId="66709A70" w14:textId="77777777" w:rsidR="00777681" w:rsidRPr="00DE6136" w:rsidRDefault="00777681" w:rsidP="00777681">
      <w:pPr>
        <w:pStyle w:val="Heading4"/>
      </w:pPr>
      <w:bookmarkStart w:id="35" w:name="_Toc480815249"/>
      <w:bookmarkStart w:id="36" w:name="_Toc482623395"/>
      <w:r w:rsidRPr="00DE6136">
        <w:lastRenderedPageBreak/>
        <w:t>Programme 31 Annexe</w:t>
      </w:r>
      <w:r>
        <w:t xml:space="preserve"> : </w:t>
      </w:r>
      <w:r w:rsidRPr="00DE6136">
        <w:tab/>
        <w:t xml:space="preserve">Indicateurs relatifs aux opérations du système de </w:t>
      </w:r>
      <w:r>
        <w:t>La Haye</w:t>
      </w:r>
      <w:bookmarkEnd w:id="35"/>
      <w:bookmarkEnd w:id="36"/>
    </w:p>
    <w:p w14:paraId="08E1B9C5" w14:textId="77777777" w:rsidR="00777681" w:rsidRPr="00777681" w:rsidRDefault="00777681" w:rsidP="00777681">
      <w:pPr>
        <w:rPr>
          <w:bCs/>
          <w:sz w:val="20"/>
        </w:rPr>
      </w:pPr>
    </w:p>
    <w:p w14:paraId="56A07070" w14:textId="77777777" w:rsidR="00777681" w:rsidRPr="00777681" w:rsidRDefault="00777681" w:rsidP="00777681">
      <w:pPr>
        <w:rPr>
          <w:bCs/>
          <w:sz w:val="20"/>
        </w:rPr>
      </w:pPr>
    </w:p>
    <w:p w14:paraId="64066987" w14:textId="0A795BC7" w:rsidR="00777681" w:rsidRPr="00777681" w:rsidRDefault="00777681" w:rsidP="00777681">
      <w:pPr>
        <w:rPr>
          <w:sz w:val="20"/>
        </w:rPr>
      </w:pPr>
      <w:r w:rsidRPr="00777681">
        <w:rPr>
          <w:sz w:val="20"/>
        </w:rPr>
        <w:t xml:space="preserve">INDICATEURS D’EXÉCUTION POUR LE RÉSULTAT ESCOMPTÉ </w:t>
      </w:r>
      <w:r w:rsidRPr="00777681">
        <w:rPr>
          <w:sz w:val="20"/>
        </w:rPr>
        <w:br/>
        <w:t>“AMÉLIORATION DE LA PRODUCTIVITÉ ET DE LA QUALI</w:t>
      </w:r>
      <w:r>
        <w:rPr>
          <w:sz w:val="20"/>
        </w:rPr>
        <w:t>TÉ DE SERVICE DES OPÉRATIONS DU </w:t>
      </w:r>
      <w:r w:rsidRPr="00777681">
        <w:rPr>
          <w:sz w:val="20"/>
        </w:rPr>
        <w:t>SYSTÈME DE LA HAYE”</w:t>
      </w:r>
    </w:p>
    <w:p w14:paraId="650B4F03" w14:textId="77777777" w:rsidR="00777681" w:rsidRPr="00777681" w:rsidRDefault="00777681" w:rsidP="00777681">
      <w:pPr>
        <w:rPr>
          <w:sz w:val="20"/>
        </w:rPr>
      </w:pPr>
    </w:p>
    <w:p w14:paraId="7DE3004D"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À titre d’introduction en ce qui concerne les indicateurs d’exécution pour le résultat escompté “Amélioration de la productivité et de la qualité de service des opérations du système de La Haye”, il y a lieu d’examiner l’évolution des facteurs suivants :</w:t>
      </w:r>
    </w:p>
    <w:p w14:paraId="088F7E7D" w14:textId="77777777" w:rsidR="00777681" w:rsidRPr="00777681" w:rsidRDefault="00777681" w:rsidP="00777681">
      <w:pPr>
        <w:pStyle w:val="ListParagraph"/>
        <w:tabs>
          <w:tab w:val="left" w:pos="0"/>
          <w:tab w:val="left" w:pos="567"/>
        </w:tabs>
        <w:ind w:left="0"/>
        <w:jc w:val="both"/>
        <w:rPr>
          <w:rFonts w:ascii="Arial" w:hAnsi="Arial" w:cs="Arial"/>
          <w:sz w:val="20"/>
          <w:szCs w:val="20"/>
        </w:rPr>
      </w:pPr>
    </w:p>
    <w:p w14:paraId="03F44646" w14:textId="77777777" w:rsidR="00777681" w:rsidRPr="00777681" w:rsidRDefault="00777681" w:rsidP="00777681">
      <w:pPr>
        <w:numPr>
          <w:ilvl w:val="0"/>
          <w:numId w:val="52"/>
        </w:numPr>
        <w:tabs>
          <w:tab w:val="clear" w:pos="720"/>
          <w:tab w:val="num" w:pos="1134"/>
        </w:tabs>
        <w:spacing w:after="120"/>
        <w:ind w:left="567" w:firstLine="0"/>
        <w:jc w:val="both"/>
        <w:rPr>
          <w:sz w:val="20"/>
        </w:rPr>
      </w:pPr>
      <w:r w:rsidRPr="00777681">
        <w:rPr>
          <w:sz w:val="20"/>
        </w:rPr>
        <w:t>la charge de travail dans le cadre du système de La Haye;</w:t>
      </w:r>
    </w:p>
    <w:p w14:paraId="4D389C22" w14:textId="77777777" w:rsidR="00777681" w:rsidRPr="00777681" w:rsidRDefault="00777681" w:rsidP="00777681">
      <w:pPr>
        <w:numPr>
          <w:ilvl w:val="0"/>
          <w:numId w:val="52"/>
        </w:numPr>
        <w:tabs>
          <w:tab w:val="clear" w:pos="720"/>
          <w:tab w:val="num" w:pos="1134"/>
        </w:tabs>
        <w:spacing w:after="120"/>
        <w:ind w:left="567" w:firstLine="0"/>
        <w:jc w:val="both"/>
        <w:rPr>
          <w:sz w:val="20"/>
        </w:rPr>
      </w:pPr>
      <w:r w:rsidRPr="00777681">
        <w:rPr>
          <w:sz w:val="20"/>
        </w:rPr>
        <w:t>la composition de cette charge de travail;</w:t>
      </w:r>
    </w:p>
    <w:p w14:paraId="0FCAA0BE" w14:textId="77777777" w:rsidR="00777681" w:rsidRPr="00777681" w:rsidRDefault="00777681" w:rsidP="00777681">
      <w:pPr>
        <w:numPr>
          <w:ilvl w:val="0"/>
          <w:numId w:val="52"/>
        </w:numPr>
        <w:tabs>
          <w:tab w:val="clear" w:pos="720"/>
          <w:tab w:val="num" w:pos="1134"/>
        </w:tabs>
        <w:spacing w:after="120"/>
        <w:ind w:left="567" w:firstLine="0"/>
        <w:jc w:val="both"/>
        <w:rPr>
          <w:sz w:val="20"/>
        </w:rPr>
      </w:pPr>
      <w:r w:rsidRPr="00777681">
        <w:rPr>
          <w:sz w:val="20"/>
        </w:rPr>
        <w:t>le niveau d’automatisation;  et</w:t>
      </w:r>
    </w:p>
    <w:p w14:paraId="6B854B13" w14:textId="77777777" w:rsidR="00777681" w:rsidRPr="00777681" w:rsidRDefault="00777681" w:rsidP="00777681">
      <w:pPr>
        <w:numPr>
          <w:ilvl w:val="0"/>
          <w:numId w:val="52"/>
        </w:numPr>
        <w:tabs>
          <w:tab w:val="clear" w:pos="720"/>
          <w:tab w:val="num" w:pos="1134"/>
        </w:tabs>
        <w:ind w:left="567" w:firstLine="0"/>
        <w:jc w:val="both"/>
        <w:rPr>
          <w:sz w:val="20"/>
        </w:rPr>
      </w:pPr>
      <w:r w:rsidRPr="00777681">
        <w:rPr>
          <w:sz w:val="20"/>
        </w:rPr>
        <w:t>les ressources prévues pour absorber la charge de travail.</w:t>
      </w:r>
    </w:p>
    <w:p w14:paraId="739DFEA0" w14:textId="77777777" w:rsidR="00777681" w:rsidRPr="00777681" w:rsidRDefault="00777681" w:rsidP="00777681">
      <w:pPr>
        <w:jc w:val="both"/>
        <w:rPr>
          <w:sz w:val="20"/>
        </w:rPr>
      </w:pPr>
    </w:p>
    <w:p w14:paraId="0F3E4188"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Le Bureau international reçoit essentiellement quatre types de documents, à savoir les demandes internationales, les demandes de renouvellement, les requêtes en inscription de changements et les décisions.  Les dernières tendances concernant chacun de ces documents sont indiquées ci</w:t>
      </w:r>
      <w:r w:rsidRPr="00777681">
        <w:rPr>
          <w:rFonts w:ascii="Arial" w:hAnsi="Arial" w:cs="Arial"/>
          <w:sz w:val="20"/>
          <w:szCs w:val="20"/>
        </w:rPr>
        <w:noBreakHyphen/>
        <w:t>après.  Des informations supplémentaires sur les demandes reçues, telles que le nombre moyen de dessins ou modèles par demande, sont également fournies.  Pour des raisons techniques, les données fournies dans l’indicateur relatif aux irrégularités sont fondées sur les documents traités plutôt que sur les documents reçus.</w:t>
      </w:r>
    </w:p>
    <w:p w14:paraId="6264A631" w14:textId="77777777" w:rsidR="00777681" w:rsidRPr="00777681" w:rsidRDefault="00777681" w:rsidP="00777681">
      <w:pPr>
        <w:pStyle w:val="ListParagraph"/>
        <w:tabs>
          <w:tab w:val="left" w:pos="0"/>
          <w:tab w:val="left" w:pos="567"/>
        </w:tabs>
        <w:ind w:left="0"/>
        <w:jc w:val="both"/>
        <w:rPr>
          <w:rFonts w:ascii="Arial" w:hAnsi="Arial" w:cs="Arial"/>
          <w:sz w:val="20"/>
          <w:szCs w:val="20"/>
        </w:rPr>
      </w:pPr>
    </w:p>
    <w:p w14:paraId="4A4890F3" w14:textId="77777777" w:rsidR="00777681" w:rsidRPr="00777681" w:rsidRDefault="00777681" w:rsidP="00777681">
      <w:pPr>
        <w:tabs>
          <w:tab w:val="left" w:pos="567"/>
        </w:tabs>
        <w:spacing w:before="120" w:after="240"/>
        <w:rPr>
          <w:b/>
          <w:sz w:val="20"/>
        </w:rPr>
      </w:pPr>
      <w:r w:rsidRPr="00777681">
        <w:rPr>
          <w:b/>
          <w:sz w:val="20"/>
        </w:rPr>
        <w:t>I.</w:t>
      </w:r>
      <w:r w:rsidRPr="00777681">
        <w:rPr>
          <w:b/>
          <w:sz w:val="20"/>
        </w:rPr>
        <w:tab/>
        <w:t>Documents reçus</w:t>
      </w:r>
    </w:p>
    <w:p w14:paraId="5CED8A60" w14:textId="77777777" w:rsidR="00777681" w:rsidRPr="00777681" w:rsidRDefault="00777681" w:rsidP="00777681">
      <w:pPr>
        <w:rPr>
          <w:sz w:val="20"/>
          <w:u w:val="single"/>
        </w:rPr>
      </w:pPr>
      <w:r w:rsidRPr="00777681">
        <w:rPr>
          <w:sz w:val="20"/>
          <w:u w:val="single"/>
        </w:rPr>
        <w:t>Demandes reçues</w:t>
      </w:r>
    </w:p>
    <w:p w14:paraId="4B5838A4" w14:textId="77777777" w:rsidR="00777681" w:rsidRPr="00777681" w:rsidRDefault="00777681" w:rsidP="00777681">
      <w:pPr>
        <w:spacing w:before="120" w:after="240"/>
        <w:jc w:val="center"/>
        <w:rPr>
          <w:sz w:val="20"/>
        </w:rPr>
      </w:pPr>
      <w:r w:rsidRPr="00777681">
        <w:rPr>
          <w:noProof/>
          <w:sz w:val="20"/>
          <w:lang w:val="en-US"/>
        </w:rPr>
        <w:drawing>
          <wp:inline distT="0" distB="0" distL="0" distR="0" wp14:anchorId="7BDA57CB" wp14:editId="026710B2">
            <wp:extent cx="4680000" cy="3111175"/>
            <wp:effectExtent l="0" t="0" r="635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80000" cy="3111175"/>
                    </a:xfrm>
                    <a:prstGeom prst="rect">
                      <a:avLst/>
                    </a:prstGeom>
                    <a:noFill/>
                    <a:ln>
                      <a:noFill/>
                    </a:ln>
                  </pic:spPr>
                </pic:pic>
              </a:graphicData>
            </a:graphic>
          </wp:inline>
        </w:drawing>
      </w:r>
    </w:p>
    <w:p w14:paraId="1281D5D4"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le Bureau international a reçu 5562 demandes internationales, soit une hausse de 35% par rapport à 2015.  Outre les demandes de l’Union européenne (+186 demandes), celles de la République de Corée (+747 demandes), du Japon (+220 demandes) et des États</w:t>
      </w:r>
      <w:r w:rsidRPr="00777681">
        <w:rPr>
          <w:sz w:val="20"/>
        </w:rPr>
        <w:noBreakHyphen/>
        <w:t>Unis d’Amérique (+211 demandes), qui ont tous les trois adhéré au système de La Haye en 2014</w:t>
      </w:r>
      <w:r w:rsidRPr="00777681">
        <w:rPr>
          <w:sz w:val="20"/>
        </w:rPr>
        <w:noBreakHyphen/>
        <w:t>2015, ont également contribué à cette hausse.</w:t>
      </w:r>
    </w:p>
    <w:p w14:paraId="19F4EF39" w14:textId="77777777" w:rsidR="00777681" w:rsidRPr="00777681" w:rsidRDefault="00777681" w:rsidP="00777681">
      <w:pPr>
        <w:ind w:left="1134"/>
        <w:jc w:val="both"/>
        <w:rPr>
          <w:sz w:val="20"/>
        </w:rPr>
      </w:pPr>
    </w:p>
    <w:p w14:paraId="648A22F0" w14:textId="0F81A0D9"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 xml:space="preserve">En 2016, 94% des demandes ont été déposées par voie électronique, ce </w:t>
      </w:r>
      <w:r>
        <w:rPr>
          <w:sz w:val="20"/>
        </w:rPr>
        <w:t>qui représente une hausse de 13 </w:t>
      </w:r>
      <w:r w:rsidRPr="00777681">
        <w:rPr>
          <w:sz w:val="20"/>
        </w:rPr>
        <w:t>poin</w:t>
      </w:r>
      <w:r>
        <w:rPr>
          <w:sz w:val="20"/>
        </w:rPr>
        <w:t>ts de pourcentage par rapport à </w:t>
      </w:r>
      <w:r w:rsidRPr="00777681">
        <w:rPr>
          <w:sz w:val="20"/>
        </w:rPr>
        <w:t>2012.</w:t>
      </w:r>
    </w:p>
    <w:p w14:paraId="226B4B19" w14:textId="6CC29750" w:rsidR="00777681" w:rsidRPr="00777681" w:rsidRDefault="00777681" w:rsidP="00777681">
      <w:pPr>
        <w:keepNext/>
        <w:keepLines/>
        <w:rPr>
          <w:i/>
          <w:sz w:val="20"/>
        </w:rPr>
      </w:pPr>
      <w:r w:rsidRPr="00777681">
        <w:rPr>
          <w:i/>
          <w:sz w:val="20"/>
        </w:rPr>
        <w:lastRenderedPageBreak/>
        <w:t>Nombre moyen de dessins ou modèles par demande</w:t>
      </w:r>
    </w:p>
    <w:p w14:paraId="15AF8994" w14:textId="77777777" w:rsidR="00777681" w:rsidRPr="00777681" w:rsidRDefault="00777681" w:rsidP="00777681">
      <w:pPr>
        <w:keepNext/>
        <w:keepLines/>
        <w:jc w:val="center"/>
        <w:rPr>
          <w:i/>
          <w:sz w:val="20"/>
        </w:rPr>
      </w:pPr>
      <w:r w:rsidRPr="00777681">
        <w:rPr>
          <w:noProof/>
          <w:sz w:val="20"/>
          <w:lang w:val="en-US"/>
        </w:rPr>
        <w:drawing>
          <wp:inline distT="0" distB="0" distL="0" distR="0" wp14:anchorId="46F83024" wp14:editId="3A5BA6C1">
            <wp:extent cx="4680000" cy="313245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80000" cy="3132459"/>
                    </a:xfrm>
                    <a:prstGeom prst="rect">
                      <a:avLst/>
                    </a:prstGeom>
                    <a:noFill/>
                    <a:ln>
                      <a:noFill/>
                    </a:ln>
                  </pic:spPr>
                </pic:pic>
              </a:graphicData>
            </a:graphic>
          </wp:inline>
        </w:drawing>
      </w:r>
    </w:p>
    <w:p w14:paraId="796A5257"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une demande contenait en moyenne 3,4 dessins ou modèles, ce qui confirme la tendance à la baisse.</w:t>
      </w:r>
    </w:p>
    <w:p w14:paraId="7EE5CA70" w14:textId="77777777" w:rsidR="00777681" w:rsidRPr="00777681" w:rsidRDefault="00777681" w:rsidP="00777681">
      <w:pPr>
        <w:ind w:left="1134"/>
        <w:jc w:val="both"/>
        <w:rPr>
          <w:sz w:val="20"/>
        </w:rPr>
      </w:pPr>
    </w:p>
    <w:p w14:paraId="50942E09" w14:textId="77777777" w:rsidR="00777681" w:rsidRPr="00777681" w:rsidRDefault="00777681" w:rsidP="00777681">
      <w:pPr>
        <w:keepNext/>
        <w:keepLines/>
        <w:rPr>
          <w:i/>
          <w:sz w:val="20"/>
        </w:rPr>
      </w:pPr>
      <w:r w:rsidRPr="00777681">
        <w:rPr>
          <w:i/>
          <w:sz w:val="20"/>
        </w:rPr>
        <w:t>Nombre moyen de désignations par demande</w:t>
      </w:r>
    </w:p>
    <w:p w14:paraId="0980CD2C" w14:textId="77777777" w:rsidR="00777681" w:rsidRPr="00777681" w:rsidRDefault="00777681" w:rsidP="00777681">
      <w:pPr>
        <w:pStyle w:val="ListParagraph"/>
        <w:keepNext/>
        <w:keepLines/>
        <w:ind w:left="567"/>
        <w:jc w:val="center"/>
        <w:rPr>
          <w:rFonts w:ascii="Arial" w:hAnsi="Arial" w:cs="Arial"/>
          <w:i/>
          <w:sz w:val="20"/>
          <w:szCs w:val="20"/>
        </w:rPr>
      </w:pPr>
      <w:r w:rsidRPr="00777681">
        <w:rPr>
          <w:rFonts w:ascii="Arial" w:hAnsi="Arial" w:cs="Arial"/>
          <w:noProof/>
          <w:sz w:val="20"/>
          <w:szCs w:val="20"/>
          <w:lang w:val="en-US" w:eastAsia="en-US"/>
        </w:rPr>
        <w:drawing>
          <wp:inline distT="0" distB="0" distL="0" distR="0" wp14:anchorId="69190424" wp14:editId="7FC0C499">
            <wp:extent cx="4680000" cy="313245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80000" cy="3132459"/>
                    </a:xfrm>
                    <a:prstGeom prst="rect">
                      <a:avLst/>
                    </a:prstGeom>
                    <a:noFill/>
                    <a:ln>
                      <a:noFill/>
                    </a:ln>
                  </pic:spPr>
                </pic:pic>
              </a:graphicData>
            </a:graphic>
          </wp:inline>
        </w:drawing>
      </w:r>
    </w:p>
    <w:p w14:paraId="4EBCB48A"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une demande contenait en moyenne 3,8 désignations.  Depuis 2012, le nombre moyen de désignations par demande a diminué de façon constante.</w:t>
      </w:r>
    </w:p>
    <w:p w14:paraId="3866EB86" w14:textId="77777777" w:rsidR="00777681" w:rsidRPr="00777681" w:rsidRDefault="00777681" w:rsidP="00777681">
      <w:pPr>
        <w:ind w:left="1134"/>
        <w:jc w:val="both"/>
        <w:rPr>
          <w:sz w:val="20"/>
        </w:rPr>
      </w:pPr>
    </w:p>
    <w:p w14:paraId="5F6641E7" w14:textId="77777777" w:rsidR="00777681" w:rsidRPr="00777681" w:rsidRDefault="00777681" w:rsidP="00777681">
      <w:pPr>
        <w:keepNext/>
        <w:keepLines/>
        <w:rPr>
          <w:i/>
          <w:sz w:val="20"/>
        </w:rPr>
      </w:pPr>
      <w:r w:rsidRPr="00777681">
        <w:rPr>
          <w:i/>
          <w:sz w:val="20"/>
        </w:rPr>
        <w:lastRenderedPageBreak/>
        <w:t>Tendance en ce qui concerne les irrégularités dans les demandes</w:t>
      </w:r>
    </w:p>
    <w:p w14:paraId="70FB2D08" w14:textId="77777777" w:rsidR="00777681" w:rsidRPr="00777681" w:rsidRDefault="00777681" w:rsidP="00777681">
      <w:pPr>
        <w:keepNext/>
        <w:keepLines/>
        <w:rPr>
          <w:i/>
          <w:sz w:val="20"/>
        </w:rPr>
      </w:pPr>
    </w:p>
    <w:p w14:paraId="6EFB7E3F" w14:textId="77777777" w:rsidR="00777681" w:rsidRPr="00777681" w:rsidRDefault="00777681" w:rsidP="00777681">
      <w:pPr>
        <w:pStyle w:val="ListParagraph"/>
        <w:keepNext/>
        <w:keepLines/>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Les irrégularités dans les demandes ont été regroupées dans les 10 catégories indiquées ci</w:t>
      </w:r>
      <w:r w:rsidRPr="00777681">
        <w:rPr>
          <w:rFonts w:ascii="Arial" w:hAnsi="Arial" w:cs="Arial"/>
          <w:sz w:val="20"/>
          <w:szCs w:val="20"/>
        </w:rPr>
        <w:noBreakHyphen/>
        <w:t>après.</w:t>
      </w:r>
    </w:p>
    <w:p w14:paraId="412717C5" w14:textId="77777777" w:rsidR="00777681" w:rsidRPr="00777681" w:rsidRDefault="00777681" w:rsidP="00777681">
      <w:pPr>
        <w:keepNext/>
        <w:keepLines/>
        <w:spacing w:before="120" w:after="240"/>
        <w:jc w:val="center"/>
        <w:rPr>
          <w:sz w:val="20"/>
        </w:rPr>
      </w:pPr>
      <w:r w:rsidRPr="00777681">
        <w:rPr>
          <w:noProof/>
          <w:sz w:val="20"/>
          <w:lang w:val="en-US"/>
        </w:rPr>
        <w:drawing>
          <wp:inline distT="0" distB="0" distL="0" distR="0" wp14:anchorId="21431486" wp14:editId="25772496">
            <wp:extent cx="4680000" cy="2860328"/>
            <wp:effectExtent l="0" t="0" r="635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80000" cy="2860328"/>
                    </a:xfrm>
                    <a:prstGeom prst="rect">
                      <a:avLst/>
                    </a:prstGeom>
                    <a:noFill/>
                    <a:ln>
                      <a:noFill/>
                    </a:ln>
                  </pic:spPr>
                </pic:pic>
              </a:graphicData>
            </a:graphic>
          </wp:inline>
        </w:drawing>
      </w:r>
    </w:p>
    <w:p w14:paraId="13C7B52A"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le Bureau international a notifié 3383 irrégularités.</w:t>
      </w:r>
    </w:p>
    <w:p w14:paraId="6F7DC281" w14:textId="77777777" w:rsidR="00777681" w:rsidRPr="00777681" w:rsidRDefault="00777681" w:rsidP="00777681">
      <w:pPr>
        <w:ind w:left="1134"/>
        <w:jc w:val="both"/>
        <w:rPr>
          <w:sz w:val="20"/>
        </w:rPr>
      </w:pPr>
    </w:p>
    <w:p w14:paraId="469BBC2F"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Les irrégularités concernant l’indication des produits, les descriptions et la numérotation des reproductions sont celles pour lesquelles l’augmentation relative a été la plus forte en 2016.</w:t>
      </w:r>
    </w:p>
    <w:p w14:paraId="5F8F3183" w14:textId="77777777" w:rsidR="00777681" w:rsidRPr="00777681" w:rsidRDefault="00777681" w:rsidP="00777681">
      <w:pPr>
        <w:ind w:left="1134"/>
        <w:jc w:val="both"/>
        <w:rPr>
          <w:sz w:val="20"/>
        </w:rPr>
      </w:pPr>
    </w:p>
    <w:p w14:paraId="136B51A6"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Dans l’ensemble, le nombre de notifications d’irrégularité en 2016 a augmenté de 64% par rapport à 2015</w:t>
      </w:r>
      <w:r w:rsidRPr="00777681">
        <w:rPr>
          <w:sz w:val="20"/>
          <w:vertAlign w:val="superscript"/>
        </w:rPr>
        <w:footnoteReference w:id="42"/>
      </w:r>
      <w:r w:rsidRPr="00777681">
        <w:rPr>
          <w:sz w:val="20"/>
        </w:rPr>
        <w:t>, ce qui représente une augmentation supérieure à la croissance en ce qui concerne les demandes.</w:t>
      </w:r>
    </w:p>
    <w:p w14:paraId="172805BA" w14:textId="77777777" w:rsidR="00777681" w:rsidRPr="00777681" w:rsidRDefault="00777681" w:rsidP="00777681">
      <w:pPr>
        <w:jc w:val="both"/>
        <w:rPr>
          <w:sz w:val="20"/>
        </w:rPr>
      </w:pPr>
    </w:p>
    <w:p w14:paraId="757081CA" w14:textId="77777777" w:rsidR="00777681" w:rsidRPr="00777681" w:rsidRDefault="00777681" w:rsidP="0048606A">
      <w:pPr>
        <w:pStyle w:val="ListParagraph"/>
        <w:keepNext/>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lastRenderedPageBreak/>
        <w:t>L’évolution de la part des demandes contenant une ou plusieurs irrégularités ou observations quant au fond est indiquée ci</w:t>
      </w:r>
      <w:r w:rsidRPr="00777681">
        <w:rPr>
          <w:rFonts w:ascii="Arial" w:hAnsi="Arial" w:cs="Arial"/>
          <w:sz w:val="20"/>
          <w:szCs w:val="20"/>
        </w:rPr>
        <w:noBreakHyphen/>
        <w:t>après</w:t>
      </w:r>
      <w:r w:rsidRPr="00777681">
        <w:rPr>
          <w:rStyle w:val="FootnoteReference"/>
          <w:rFonts w:eastAsiaTheme="minorEastAsia" w:cs="Arial"/>
          <w:sz w:val="20"/>
        </w:rPr>
        <w:footnoteReference w:id="43"/>
      </w:r>
      <w:r w:rsidRPr="00777681">
        <w:rPr>
          <w:rFonts w:ascii="Arial" w:hAnsi="Arial" w:cs="Arial"/>
          <w:sz w:val="20"/>
          <w:szCs w:val="20"/>
        </w:rPr>
        <w:t>.</w:t>
      </w:r>
    </w:p>
    <w:p w14:paraId="78301EB0" w14:textId="77777777" w:rsidR="00777681" w:rsidRPr="00777681" w:rsidRDefault="00777681" w:rsidP="00777681">
      <w:pPr>
        <w:spacing w:before="120"/>
        <w:jc w:val="center"/>
        <w:rPr>
          <w:sz w:val="20"/>
        </w:rPr>
      </w:pPr>
      <w:r w:rsidRPr="00777681">
        <w:rPr>
          <w:noProof/>
          <w:sz w:val="20"/>
          <w:lang w:val="en-US"/>
        </w:rPr>
        <w:drawing>
          <wp:inline distT="0" distB="0" distL="0" distR="0" wp14:anchorId="66C3420A" wp14:editId="6BC978A2">
            <wp:extent cx="4680000" cy="2867394"/>
            <wp:effectExtent l="0" t="0" r="635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80000" cy="2867394"/>
                    </a:xfrm>
                    <a:prstGeom prst="rect">
                      <a:avLst/>
                    </a:prstGeom>
                    <a:noFill/>
                    <a:ln>
                      <a:noFill/>
                    </a:ln>
                  </pic:spPr>
                </pic:pic>
              </a:graphicData>
            </a:graphic>
          </wp:inline>
        </w:drawing>
      </w:r>
    </w:p>
    <w:p w14:paraId="69162CF6" w14:textId="7DB2FAA9"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 xml:space="preserve">En 2016, environ 49% des demandes enregistrées contenaient au moins une irrégularité ou observation quant au fond.  Cela représente une augmentation d’environ </w:t>
      </w:r>
      <w:r w:rsidR="00A369A1">
        <w:rPr>
          <w:sz w:val="20"/>
        </w:rPr>
        <w:t>5</w:t>
      </w:r>
      <w:r w:rsidRPr="00777681">
        <w:rPr>
          <w:sz w:val="20"/>
        </w:rPr>
        <w:t> points de pourcentage par rapport à 2015.</w:t>
      </w:r>
    </w:p>
    <w:p w14:paraId="12C7D048" w14:textId="77777777" w:rsidR="00777681" w:rsidRPr="00777681" w:rsidRDefault="00777681" w:rsidP="00777681">
      <w:pPr>
        <w:ind w:left="1134"/>
        <w:jc w:val="both"/>
        <w:rPr>
          <w:sz w:val="20"/>
        </w:rPr>
      </w:pPr>
    </w:p>
    <w:p w14:paraId="168E17C0" w14:textId="77777777" w:rsidR="00777681" w:rsidRPr="00777681" w:rsidRDefault="00777681" w:rsidP="00777681">
      <w:pPr>
        <w:rPr>
          <w:sz w:val="20"/>
          <w:u w:val="single"/>
        </w:rPr>
      </w:pPr>
      <w:r w:rsidRPr="00777681">
        <w:rPr>
          <w:sz w:val="20"/>
          <w:u w:val="single"/>
        </w:rPr>
        <w:t>Renouvellements</w:t>
      </w:r>
    </w:p>
    <w:p w14:paraId="686DB24E" w14:textId="77777777" w:rsidR="00777681" w:rsidRPr="00777681" w:rsidRDefault="00777681" w:rsidP="00777681">
      <w:pPr>
        <w:spacing w:before="120"/>
        <w:jc w:val="center"/>
        <w:rPr>
          <w:sz w:val="20"/>
        </w:rPr>
      </w:pPr>
      <w:r w:rsidRPr="00777681">
        <w:rPr>
          <w:noProof/>
          <w:sz w:val="20"/>
          <w:lang w:val="en-US"/>
        </w:rPr>
        <w:drawing>
          <wp:inline distT="0" distB="0" distL="0" distR="0" wp14:anchorId="2B25DA7C" wp14:editId="663B95A5">
            <wp:extent cx="4680000" cy="3112071"/>
            <wp:effectExtent l="0" t="0" r="635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680000" cy="3112071"/>
                    </a:xfrm>
                    <a:prstGeom prst="rect">
                      <a:avLst/>
                    </a:prstGeom>
                    <a:noFill/>
                    <a:ln>
                      <a:noFill/>
                    </a:ln>
                  </pic:spPr>
                </pic:pic>
              </a:graphicData>
            </a:graphic>
          </wp:inline>
        </w:drawing>
      </w:r>
    </w:p>
    <w:p w14:paraId="535E5B23" w14:textId="77777777" w:rsidR="00777681" w:rsidRPr="00777681" w:rsidRDefault="00777681" w:rsidP="00777681">
      <w:pPr>
        <w:tabs>
          <w:tab w:val="left" w:pos="1134"/>
        </w:tabs>
        <w:spacing w:before="120"/>
        <w:jc w:val="center"/>
        <w:rPr>
          <w:sz w:val="20"/>
        </w:rPr>
      </w:pPr>
    </w:p>
    <w:p w14:paraId="65DB30C5"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le nombre de renouvellements a diminué de 1,4% par rapport à 2015, passant à 3150 renouvellements.</w:t>
      </w:r>
    </w:p>
    <w:p w14:paraId="24EAD45A" w14:textId="77777777" w:rsidR="00777681" w:rsidRPr="00777681" w:rsidRDefault="00777681" w:rsidP="00777681">
      <w:pPr>
        <w:ind w:left="1134"/>
        <w:jc w:val="both"/>
        <w:rPr>
          <w:sz w:val="20"/>
        </w:rPr>
      </w:pPr>
    </w:p>
    <w:p w14:paraId="5FE151EA"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Depuis 2012, la majorité des renouvellements est traitée électroniquement;  en 2016, c’était le cas de 77% de l’ensemble des renouvellements, contre 73% en 2015, soit une augmentation de 4 points de pourcentage.</w:t>
      </w:r>
    </w:p>
    <w:p w14:paraId="62107A50" w14:textId="77777777" w:rsidR="00777681" w:rsidRPr="00777681" w:rsidRDefault="00777681" w:rsidP="00A369A1">
      <w:pPr>
        <w:jc w:val="both"/>
        <w:rPr>
          <w:sz w:val="20"/>
        </w:rPr>
      </w:pPr>
    </w:p>
    <w:p w14:paraId="2D313604" w14:textId="77777777" w:rsidR="00777681" w:rsidRPr="00777681" w:rsidRDefault="00777681" w:rsidP="00777681">
      <w:pPr>
        <w:rPr>
          <w:sz w:val="20"/>
          <w:u w:val="single"/>
        </w:rPr>
      </w:pPr>
      <w:r w:rsidRPr="00777681">
        <w:rPr>
          <w:sz w:val="20"/>
          <w:u w:val="single"/>
        </w:rPr>
        <w:t>Modifications</w:t>
      </w:r>
    </w:p>
    <w:p w14:paraId="061B981D" w14:textId="77777777" w:rsidR="00777681" w:rsidRPr="00777681" w:rsidRDefault="00777681" w:rsidP="00777681">
      <w:pPr>
        <w:spacing w:before="120"/>
        <w:jc w:val="center"/>
        <w:rPr>
          <w:sz w:val="20"/>
        </w:rPr>
      </w:pPr>
      <w:r w:rsidRPr="00777681">
        <w:rPr>
          <w:noProof/>
          <w:sz w:val="20"/>
          <w:lang w:val="en-US"/>
        </w:rPr>
        <w:drawing>
          <wp:inline distT="0" distB="0" distL="0" distR="0" wp14:anchorId="16E8C98A" wp14:editId="7B886A80">
            <wp:extent cx="4680000" cy="3121724"/>
            <wp:effectExtent l="0" t="0" r="6350" b="254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80000" cy="3121724"/>
                    </a:xfrm>
                    <a:prstGeom prst="rect">
                      <a:avLst/>
                    </a:prstGeom>
                    <a:noFill/>
                    <a:ln>
                      <a:noFill/>
                    </a:ln>
                  </pic:spPr>
                </pic:pic>
              </a:graphicData>
            </a:graphic>
          </wp:inline>
        </w:drawing>
      </w:r>
    </w:p>
    <w:p w14:paraId="0D3EDDDE"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Les déposants ont soumis 1020 requêtes en inscription de modifications dans des demandes internationales en 2016, soit 0,2% de plus par rapport à 2015.</w:t>
      </w:r>
    </w:p>
    <w:p w14:paraId="3FD2337D" w14:textId="77777777" w:rsidR="00777681" w:rsidRPr="00777681" w:rsidRDefault="00777681" w:rsidP="00777681">
      <w:pPr>
        <w:jc w:val="both"/>
        <w:rPr>
          <w:sz w:val="20"/>
        </w:rPr>
      </w:pPr>
    </w:p>
    <w:p w14:paraId="7E0E11D5" w14:textId="77777777" w:rsidR="00777681" w:rsidRPr="00777681" w:rsidRDefault="00777681" w:rsidP="00777681">
      <w:pPr>
        <w:keepNext/>
        <w:keepLines/>
        <w:rPr>
          <w:sz w:val="20"/>
          <w:u w:val="single"/>
        </w:rPr>
      </w:pPr>
      <w:r w:rsidRPr="00777681">
        <w:rPr>
          <w:sz w:val="20"/>
          <w:u w:val="single"/>
        </w:rPr>
        <w:t>Décisions</w:t>
      </w:r>
    </w:p>
    <w:p w14:paraId="7CCF06E5" w14:textId="77777777" w:rsidR="00777681" w:rsidRPr="00777681" w:rsidRDefault="00777681" w:rsidP="00777681">
      <w:pPr>
        <w:keepNext/>
        <w:keepLines/>
        <w:rPr>
          <w:sz w:val="20"/>
          <w:u w:val="single"/>
        </w:rPr>
      </w:pPr>
    </w:p>
    <w:p w14:paraId="2D487C66" w14:textId="77777777" w:rsidR="00777681" w:rsidRPr="00777681" w:rsidRDefault="00777681" w:rsidP="00777681">
      <w:pPr>
        <w:keepNext/>
        <w:keepLines/>
        <w:jc w:val="center"/>
        <w:rPr>
          <w:sz w:val="20"/>
        </w:rPr>
      </w:pPr>
      <w:r w:rsidRPr="00777681">
        <w:rPr>
          <w:noProof/>
          <w:sz w:val="20"/>
          <w:lang w:val="en-US"/>
        </w:rPr>
        <w:drawing>
          <wp:inline distT="0" distB="0" distL="0" distR="0" wp14:anchorId="3B6AB99F" wp14:editId="085FCBAD">
            <wp:extent cx="4680000" cy="3117759"/>
            <wp:effectExtent l="0" t="0" r="6350" b="698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80000" cy="3117759"/>
                    </a:xfrm>
                    <a:prstGeom prst="rect">
                      <a:avLst/>
                    </a:prstGeom>
                    <a:noFill/>
                    <a:ln>
                      <a:noFill/>
                    </a:ln>
                  </pic:spPr>
                </pic:pic>
              </a:graphicData>
            </a:graphic>
          </wp:inline>
        </w:drawing>
      </w:r>
    </w:p>
    <w:p w14:paraId="50D91C9C" w14:textId="77777777" w:rsidR="00777681" w:rsidRPr="00777681" w:rsidRDefault="00777681" w:rsidP="00777681">
      <w:pPr>
        <w:jc w:val="center"/>
        <w:rPr>
          <w:sz w:val="20"/>
        </w:rPr>
      </w:pPr>
    </w:p>
    <w:p w14:paraId="342B786B"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Le nombre de décisions reçues en 2016 a augmenté de 112% par rapport à 2015, passant à 8386 décisions, résultat qui témoigne de l’incidence sur les opérations du système de La Haye de l’adhésion récente de pays qui pratiquent un examen quant au fond.</w:t>
      </w:r>
    </w:p>
    <w:p w14:paraId="02B7825B" w14:textId="77777777" w:rsidR="00777681" w:rsidRPr="00777681" w:rsidRDefault="00777681" w:rsidP="00777681">
      <w:pPr>
        <w:ind w:left="1134"/>
        <w:jc w:val="both"/>
        <w:rPr>
          <w:sz w:val="20"/>
        </w:rPr>
      </w:pPr>
    </w:p>
    <w:p w14:paraId="55109C99"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La part de décisions ayant fait l’objet d’un traitement automatisé en 2016 (42%) est la plus faible depuis 2012.</w:t>
      </w:r>
    </w:p>
    <w:p w14:paraId="7954749E" w14:textId="77777777" w:rsidR="00777681" w:rsidRPr="00777681" w:rsidRDefault="00777681" w:rsidP="00777681">
      <w:pPr>
        <w:pStyle w:val="ListParagraph"/>
        <w:spacing w:before="120" w:after="240"/>
        <w:rPr>
          <w:rFonts w:ascii="Arial" w:hAnsi="Arial" w:cs="Arial"/>
          <w:sz w:val="20"/>
          <w:szCs w:val="20"/>
        </w:rPr>
      </w:pPr>
    </w:p>
    <w:p w14:paraId="380ADCD7" w14:textId="77777777" w:rsidR="00777681" w:rsidRPr="00777681" w:rsidRDefault="00777681" w:rsidP="00777681">
      <w:pPr>
        <w:pStyle w:val="ListParagraph"/>
        <w:rPr>
          <w:rFonts w:ascii="Arial" w:hAnsi="Arial" w:cs="Arial"/>
          <w:sz w:val="20"/>
          <w:szCs w:val="20"/>
        </w:rPr>
      </w:pPr>
    </w:p>
    <w:p w14:paraId="13C6FF4C" w14:textId="77777777" w:rsidR="00777681" w:rsidRPr="00777681" w:rsidRDefault="00777681" w:rsidP="00777681">
      <w:pPr>
        <w:tabs>
          <w:tab w:val="left" w:pos="567"/>
        </w:tabs>
        <w:spacing w:before="120" w:after="240"/>
        <w:rPr>
          <w:b/>
          <w:sz w:val="20"/>
        </w:rPr>
      </w:pPr>
      <w:r w:rsidRPr="00777681">
        <w:rPr>
          <w:b/>
          <w:sz w:val="20"/>
        </w:rPr>
        <w:lastRenderedPageBreak/>
        <w:t>II.</w:t>
      </w:r>
      <w:r w:rsidRPr="00777681">
        <w:rPr>
          <w:b/>
          <w:sz w:val="20"/>
        </w:rPr>
        <w:tab/>
        <w:t>Charge de travail globale</w:t>
      </w:r>
    </w:p>
    <w:p w14:paraId="543CBC42"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La charge de travail globale représente le nombre total pondéré de documents reçus par le Bureau international.  Les quatre catégories de documents sont incluses (demandes, renouvellements, changements et décisions).</w:t>
      </w:r>
    </w:p>
    <w:p w14:paraId="390F0BEA" w14:textId="77777777" w:rsidR="00777681" w:rsidRPr="00777681" w:rsidRDefault="00777681" w:rsidP="00777681">
      <w:pPr>
        <w:pStyle w:val="ListParagraph"/>
        <w:tabs>
          <w:tab w:val="left" w:pos="0"/>
          <w:tab w:val="left" w:pos="567"/>
        </w:tabs>
        <w:ind w:left="0"/>
        <w:jc w:val="both"/>
        <w:rPr>
          <w:rFonts w:ascii="Arial" w:hAnsi="Arial" w:cs="Arial"/>
          <w:sz w:val="20"/>
          <w:szCs w:val="20"/>
        </w:rPr>
      </w:pPr>
    </w:p>
    <w:p w14:paraId="1148E4FB" w14:textId="77777777" w:rsidR="00777681" w:rsidRPr="00777681" w:rsidRDefault="00777681" w:rsidP="00777681">
      <w:pPr>
        <w:pStyle w:val="ListParagraph"/>
        <w:numPr>
          <w:ilvl w:val="0"/>
          <w:numId w:val="58"/>
        </w:numPr>
        <w:spacing w:after="240"/>
        <w:ind w:left="0" w:firstLine="0"/>
        <w:jc w:val="both"/>
        <w:rPr>
          <w:rFonts w:ascii="Arial" w:hAnsi="Arial" w:cs="Arial"/>
          <w:sz w:val="20"/>
          <w:szCs w:val="20"/>
        </w:rPr>
      </w:pPr>
      <w:r w:rsidRPr="00777681">
        <w:rPr>
          <w:rFonts w:ascii="Arial" w:hAnsi="Arial" w:cs="Arial"/>
          <w:sz w:val="20"/>
          <w:szCs w:val="20"/>
        </w:rPr>
        <w:t>Étant donné que le traitement de ces différents types de documents ne nécessite pas la même quantité de ressources, ceux</w:t>
      </w:r>
      <w:r w:rsidRPr="00777681">
        <w:rPr>
          <w:rFonts w:ascii="Arial" w:hAnsi="Arial" w:cs="Arial"/>
          <w:sz w:val="20"/>
          <w:szCs w:val="20"/>
        </w:rPr>
        <w:noBreakHyphen/>
        <w:t>ci ont été pondérés différemment.  Selon la répartition actuelle, pendant le temps requis pour traiter une demande internationale, un examinateur peut traiter huit demandes de renouvellement, quatre requêtes en inscription d’un changement ou quatre décisions (un rapport de 1:8:4:4 en termes de charge de travail).  Depuis 2014</w:t>
      </w:r>
      <w:r w:rsidRPr="00777681">
        <w:rPr>
          <w:rFonts w:ascii="Arial" w:hAnsi="Arial" w:cs="Arial"/>
          <w:sz w:val="20"/>
          <w:szCs w:val="20"/>
        </w:rPr>
        <w:noBreakHyphen/>
        <w:t>2015, en raison de l’augmentation du niveau de complexité d’autres documents, en particulier de décisions des offices, l’examen global des demandes internationales est lui aussi devenu plus complexe.  Néanmoins, le rapport en termes de charge de travail est resté le même.</w:t>
      </w:r>
    </w:p>
    <w:p w14:paraId="348523E9" w14:textId="77777777" w:rsidR="00777681" w:rsidRPr="00777681" w:rsidRDefault="00777681" w:rsidP="00777681">
      <w:pPr>
        <w:ind w:left="720"/>
        <w:rPr>
          <w:sz w:val="20"/>
        </w:rPr>
      </w:pPr>
      <w:r w:rsidRPr="00777681">
        <w:rPr>
          <w:noProof/>
          <w:sz w:val="20"/>
          <w:lang w:val="en-US"/>
        </w:rPr>
        <w:drawing>
          <wp:inline distT="0" distB="0" distL="0" distR="0" wp14:anchorId="5E156730" wp14:editId="7624973E">
            <wp:extent cx="4680000" cy="2149054"/>
            <wp:effectExtent l="0" t="0" r="6350" b="381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80000" cy="2149054"/>
                    </a:xfrm>
                    <a:prstGeom prst="rect">
                      <a:avLst/>
                    </a:prstGeom>
                    <a:noFill/>
                    <a:ln>
                      <a:noFill/>
                    </a:ln>
                  </pic:spPr>
                </pic:pic>
              </a:graphicData>
            </a:graphic>
          </wp:inline>
        </w:drawing>
      </w:r>
    </w:p>
    <w:p w14:paraId="72BF7A5B" w14:textId="77777777" w:rsidR="00777681" w:rsidRPr="00777681" w:rsidRDefault="00777681" w:rsidP="00777681">
      <w:pPr>
        <w:numPr>
          <w:ilvl w:val="0"/>
          <w:numId w:val="52"/>
        </w:numPr>
        <w:rPr>
          <w:sz w:val="20"/>
        </w:rPr>
      </w:pPr>
      <w:r w:rsidRPr="00777681">
        <w:rPr>
          <w:sz w:val="20"/>
        </w:rPr>
        <w:t>En 2016, la charge de travail globale a augmenté de 46% par rapport à 2015.  Entre 2012 et 2016, l’augmentation de la charge de travail a été essentiellement due à la hausse du nombre de demandes reçues, bien que les décisions constituent désormais une part de plus en plus importante de la charge de travail.</w:t>
      </w:r>
    </w:p>
    <w:p w14:paraId="36C5F7A9" w14:textId="77777777" w:rsidR="00777681" w:rsidRPr="00777681" w:rsidRDefault="00777681" w:rsidP="00777681">
      <w:pPr>
        <w:rPr>
          <w:sz w:val="20"/>
        </w:rPr>
      </w:pPr>
    </w:p>
    <w:p w14:paraId="63BAD8F2" w14:textId="77777777" w:rsidR="00777681" w:rsidRPr="00777681" w:rsidRDefault="00777681" w:rsidP="00777681">
      <w:pPr>
        <w:rPr>
          <w:sz w:val="20"/>
        </w:rPr>
      </w:pPr>
    </w:p>
    <w:p w14:paraId="1221B1DB" w14:textId="77777777" w:rsidR="00777681" w:rsidRPr="00777681" w:rsidRDefault="00777681" w:rsidP="00777681">
      <w:pPr>
        <w:tabs>
          <w:tab w:val="left" w:pos="567"/>
        </w:tabs>
        <w:spacing w:before="120" w:after="240"/>
        <w:rPr>
          <w:b/>
          <w:sz w:val="20"/>
        </w:rPr>
      </w:pPr>
      <w:r w:rsidRPr="00777681">
        <w:rPr>
          <w:b/>
          <w:sz w:val="20"/>
        </w:rPr>
        <w:t>III.</w:t>
      </w:r>
      <w:r w:rsidRPr="00777681">
        <w:rPr>
          <w:b/>
          <w:sz w:val="20"/>
        </w:rPr>
        <w:tab/>
        <w:t>Coûts de traitement</w:t>
      </w:r>
    </w:p>
    <w:p w14:paraId="31B0CE4A" w14:textId="77777777" w:rsidR="00777681" w:rsidRPr="00777681" w:rsidRDefault="00777681" w:rsidP="00777681">
      <w:pPr>
        <w:rPr>
          <w:sz w:val="20"/>
          <w:u w:val="single"/>
        </w:rPr>
      </w:pPr>
      <w:r w:rsidRPr="00777681">
        <w:rPr>
          <w:sz w:val="20"/>
          <w:u w:val="single"/>
        </w:rPr>
        <w:t>Coût de production total</w:t>
      </w:r>
    </w:p>
    <w:p w14:paraId="66E6BB68" w14:textId="77777777" w:rsidR="00777681" w:rsidRPr="00777681" w:rsidRDefault="00777681" w:rsidP="00777681">
      <w:pPr>
        <w:rPr>
          <w:sz w:val="20"/>
          <w:u w:val="single"/>
        </w:rPr>
      </w:pPr>
    </w:p>
    <w:p w14:paraId="3CB06C68" w14:textId="77777777" w:rsidR="00777681" w:rsidRPr="00777681" w:rsidRDefault="00777681" w:rsidP="00777681">
      <w:pPr>
        <w:pStyle w:val="ListParagraph"/>
        <w:numPr>
          <w:ilvl w:val="0"/>
          <w:numId w:val="58"/>
        </w:numPr>
        <w:spacing w:after="240"/>
        <w:ind w:left="0" w:firstLine="0"/>
        <w:jc w:val="both"/>
        <w:rPr>
          <w:rFonts w:ascii="Arial" w:hAnsi="Arial" w:cs="Arial"/>
          <w:sz w:val="20"/>
          <w:szCs w:val="20"/>
        </w:rPr>
      </w:pPr>
      <w:r w:rsidRPr="00777681">
        <w:rPr>
          <w:rFonts w:ascii="Arial" w:hAnsi="Arial" w:cs="Arial"/>
          <w:sz w:val="20"/>
          <w:szCs w:val="20"/>
        </w:rPr>
        <w:t>Le coût de production total comprend les dépenses se rapportant exclusivement au système de La Haye et celles relatives aux activités de soutien à ce système.</w:t>
      </w:r>
    </w:p>
    <w:p w14:paraId="573BB3A3" w14:textId="77777777" w:rsidR="00777681" w:rsidRPr="00777681" w:rsidRDefault="00777681" w:rsidP="00777681">
      <w:pPr>
        <w:pStyle w:val="ListParagraph"/>
        <w:spacing w:after="240"/>
        <w:ind w:left="0"/>
        <w:jc w:val="both"/>
        <w:rPr>
          <w:rFonts w:ascii="Arial" w:hAnsi="Arial" w:cs="Arial"/>
          <w:sz w:val="20"/>
          <w:szCs w:val="20"/>
        </w:rPr>
      </w:pPr>
    </w:p>
    <w:p w14:paraId="28675699" w14:textId="77777777" w:rsidR="00777681" w:rsidRPr="00777681" w:rsidRDefault="00777681" w:rsidP="00777681">
      <w:pPr>
        <w:pStyle w:val="ListParagraph"/>
        <w:numPr>
          <w:ilvl w:val="0"/>
          <w:numId w:val="58"/>
        </w:numPr>
        <w:spacing w:after="240"/>
        <w:ind w:left="0" w:firstLine="0"/>
        <w:jc w:val="both"/>
        <w:rPr>
          <w:rFonts w:ascii="Arial" w:hAnsi="Arial" w:cs="Arial"/>
          <w:sz w:val="20"/>
          <w:szCs w:val="20"/>
        </w:rPr>
      </w:pPr>
      <w:r w:rsidRPr="00777681">
        <w:rPr>
          <w:rFonts w:ascii="Arial" w:hAnsi="Arial" w:cs="Arial"/>
          <w:sz w:val="20"/>
          <w:szCs w:val="20"/>
        </w:rPr>
        <w:t>En ce qui concerne les données antérieures à 2016, les dépenses se rapportant exclusivement au système de La Haye comprenaient celles du programme 31 (système de La Haye) et environ 8% des dépenses du bureau de la vice</w:t>
      </w:r>
      <w:r w:rsidRPr="00777681">
        <w:rPr>
          <w:rFonts w:ascii="Arial" w:hAnsi="Arial" w:cs="Arial"/>
          <w:sz w:val="20"/>
          <w:szCs w:val="20"/>
        </w:rPr>
        <w:noBreakHyphen/>
        <w:t>directrice générale chargée du Secteur des marques et des dessins et modèles (programme 6 – systèmes de Madrid).  Les dépenses relatives au système de Madrid pour 2016 se rapportant au financement du système de La Haye (traduction et développement des systèmes informatiques) sont incluses dans les calculs.  Avant l’exercice biennal 2016</w:t>
      </w:r>
      <w:r w:rsidRPr="00777681">
        <w:rPr>
          <w:rFonts w:ascii="Arial" w:hAnsi="Arial" w:cs="Arial"/>
          <w:sz w:val="20"/>
          <w:szCs w:val="20"/>
        </w:rPr>
        <w:noBreakHyphen/>
        <w:t>2017, les dépenses relatives à ces services ne pouvaient pas être distinguées des dépenses totales se rapportant à la traduction et aux développements des systèmes informatiques dans le programme 6 (système de Madrid) et n’étaient donc pas prises en considération dans le calcul.  Compte tenu des changements apportés à la méthode de calcul, les données pour 2016 ne sont pas comparables aux données pour les années précédentes.  C’est pourquoi les données pour la période 2012</w:t>
      </w:r>
      <w:r w:rsidRPr="00777681">
        <w:rPr>
          <w:rFonts w:ascii="Arial" w:hAnsi="Arial" w:cs="Arial"/>
          <w:sz w:val="20"/>
          <w:szCs w:val="20"/>
        </w:rPr>
        <w:noBreakHyphen/>
        <w:t>2015 et pour 2016 sont présentées séparément.</w:t>
      </w:r>
    </w:p>
    <w:p w14:paraId="1F71F204" w14:textId="77777777" w:rsidR="00777681" w:rsidRPr="00777681" w:rsidRDefault="00777681" w:rsidP="00777681">
      <w:pPr>
        <w:pStyle w:val="ListParagraph"/>
        <w:spacing w:after="240"/>
        <w:ind w:left="0"/>
        <w:jc w:val="both"/>
        <w:rPr>
          <w:rFonts w:ascii="Arial" w:hAnsi="Arial" w:cs="Arial"/>
          <w:sz w:val="20"/>
          <w:szCs w:val="20"/>
        </w:rPr>
      </w:pPr>
    </w:p>
    <w:p w14:paraId="715E5366" w14:textId="77777777" w:rsidR="00777681" w:rsidRPr="00777681" w:rsidRDefault="00777681" w:rsidP="00777681">
      <w:pPr>
        <w:pStyle w:val="ListParagraph"/>
        <w:numPr>
          <w:ilvl w:val="0"/>
          <w:numId w:val="58"/>
        </w:numPr>
        <w:spacing w:after="240"/>
        <w:ind w:left="0" w:firstLine="0"/>
        <w:jc w:val="both"/>
        <w:rPr>
          <w:rFonts w:ascii="Arial" w:hAnsi="Arial" w:cs="Arial"/>
          <w:sz w:val="20"/>
          <w:szCs w:val="20"/>
        </w:rPr>
      </w:pPr>
      <w:r w:rsidRPr="00777681">
        <w:rPr>
          <w:rFonts w:ascii="Arial" w:hAnsi="Arial" w:cs="Arial"/>
          <w:sz w:val="20"/>
          <w:szCs w:val="20"/>
        </w:rPr>
        <w:t xml:space="preserve">Les dépenses liées aux activités d’appui au système de La Haye sont composées des dépenses des services généraux suivants : services des conférences et services linguistiques, construction, direction générale, finances et budget, services d’appui généraux, gestion des ressources humaines, supervision interne, informatique et sûreté et sécurité.  Une petite part de ces dépenses (coût de l’hébergement des serveurs au CIC et partage des coûts de la Section des </w:t>
      </w:r>
      <w:r w:rsidRPr="00777681">
        <w:rPr>
          <w:rFonts w:ascii="Arial" w:hAnsi="Arial" w:cs="Arial"/>
          <w:sz w:val="20"/>
          <w:szCs w:val="20"/>
        </w:rPr>
        <w:lastRenderedPageBreak/>
        <w:t>recettes de la Division des finances) est directement attribuée au système de La Haye, tandis que le reste de ces dépenses attribuables au système de La Haye est calculé en fonction des effectifs (y compris les fonctionnaires au bénéfice d’un contrat à durée déterminée, les fonctionnaires temporaires et les boursiers).</w:t>
      </w:r>
    </w:p>
    <w:p w14:paraId="4AB268FD" w14:textId="77777777" w:rsidR="00777681" w:rsidRPr="00777681" w:rsidRDefault="00777681" w:rsidP="00777681">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1"/>
        <w:gridCol w:w="3786"/>
      </w:tblGrid>
      <w:tr w:rsidR="00777681" w:rsidRPr="00777681" w14:paraId="11D89939" w14:textId="77777777" w:rsidTr="00777681">
        <w:tc>
          <w:tcPr>
            <w:tcW w:w="6345" w:type="dxa"/>
          </w:tcPr>
          <w:p w14:paraId="39729232" w14:textId="77777777" w:rsidR="00777681" w:rsidRPr="00777681" w:rsidRDefault="00777681" w:rsidP="00777681">
            <w:pPr>
              <w:rPr>
                <w:sz w:val="20"/>
              </w:rPr>
            </w:pPr>
            <w:r w:rsidRPr="00777681">
              <w:rPr>
                <w:noProof/>
                <w:sz w:val="20"/>
                <w:lang w:val="en-US"/>
              </w:rPr>
              <w:drawing>
                <wp:inline distT="0" distB="0" distL="0" distR="0" wp14:anchorId="74CB1A8F" wp14:editId="2EC6D583">
                  <wp:extent cx="3142800" cy="1908698"/>
                  <wp:effectExtent l="0" t="0" r="63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42800" cy="1908698"/>
                          </a:xfrm>
                          <a:prstGeom prst="rect">
                            <a:avLst/>
                          </a:prstGeom>
                          <a:noFill/>
                          <a:ln>
                            <a:noFill/>
                          </a:ln>
                        </pic:spPr>
                      </pic:pic>
                    </a:graphicData>
                  </a:graphic>
                </wp:inline>
              </w:drawing>
            </w:r>
          </w:p>
        </w:tc>
        <w:tc>
          <w:tcPr>
            <w:tcW w:w="2866" w:type="dxa"/>
          </w:tcPr>
          <w:p w14:paraId="7B5F4B4C" w14:textId="77777777" w:rsidR="00777681" w:rsidRPr="00777681" w:rsidRDefault="00777681" w:rsidP="00777681">
            <w:pPr>
              <w:rPr>
                <w:sz w:val="20"/>
              </w:rPr>
            </w:pPr>
            <w:r w:rsidRPr="00777681">
              <w:rPr>
                <w:noProof/>
                <w:sz w:val="20"/>
                <w:lang w:val="en-US"/>
              </w:rPr>
              <w:drawing>
                <wp:inline distT="0" distB="0" distL="0" distR="0" wp14:anchorId="1CF9DC48" wp14:editId="388479E4">
                  <wp:extent cx="2260800" cy="1907323"/>
                  <wp:effectExtent l="0" t="0" r="635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60800" cy="1907323"/>
                          </a:xfrm>
                          <a:prstGeom prst="rect">
                            <a:avLst/>
                          </a:prstGeom>
                          <a:noFill/>
                          <a:ln>
                            <a:noFill/>
                          </a:ln>
                        </pic:spPr>
                      </pic:pic>
                    </a:graphicData>
                  </a:graphic>
                </wp:inline>
              </w:drawing>
            </w:r>
          </w:p>
        </w:tc>
      </w:tr>
    </w:tbl>
    <w:p w14:paraId="3D7AE7DD" w14:textId="77777777" w:rsidR="00777681" w:rsidRPr="00777681" w:rsidRDefault="00777681" w:rsidP="00777681">
      <w:pPr>
        <w:pStyle w:val="ListParagraph"/>
        <w:ind w:left="1080"/>
        <w:rPr>
          <w:rFonts w:ascii="Arial" w:hAnsi="Arial" w:cs="Arial"/>
          <w:sz w:val="20"/>
          <w:szCs w:val="20"/>
        </w:rPr>
      </w:pPr>
    </w:p>
    <w:p w14:paraId="2F1DE00E"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Les dépenses totales relatives au traitement dans le cadre du système de La Haye sont estimées à 8,86 millions de francs suisses en 2016.</w:t>
      </w:r>
    </w:p>
    <w:p w14:paraId="2829399A" w14:textId="77777777" w:rsidR="00777681" w:rsidRPr="00777681" w:rsidRDefault="00777681" w:rsidP="00777681">
      <w:pPr>
        <w:ind w:left="1134"/>
        <w:jc w:val="both"/>
        <w:rPr>
          <w:sz w:val="20"/>
        </w:rPr>
      </w:pPr>
    </w:p>
    <w:p w14:paraId="50938B7B"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les coûts directs ont représenté 58% des dépenses totales.</w:t>
      </w:r>
    </w:p>
    <w:p w14:paraId="475AD2E9" w14:textId="77777777" w:rsidR="00777681" w:rsidRPr="00777681" w:rsidRDefault="00777681" w:rsidP="00777681">
      <w:pPr>
        <w:rPr>
          <w:sz w:val="20"/>
        </w:rPr>
      </w:pPr>
    </w:p>
    <w:p w14:paraId="025A1DB3" w14:textId="77777777" w:rsidR="00777681" w:rsidRPr="00777681" w:rsidRDefault="00777681" w:rsidP="00777681">
      <w:pPr>
        <w:rPr>
          <w:sz w:val="20"/>
          <w:u w:val="single"/>
        </w:rPr>
      </w:pPr>
      <w:r w:rsidRPr="00777681">
        <w:rPr>
          <w:sz w:val="20"/>
          <w:u w:val="single"/>
        </w:rPr>
        <w:t>Coût unitaire</w:t>
      </w:r>
    </w:p>
    <w:p w14:paraId="56320277" w14:textId="77777777" w:rsidR="00777681" w:rsidRPr="00777681" w:rsidRDefault="00777681" w:rsidP="00777681">
      <w:pPr>
        <w:rPr>
          <w:sz w:val="20"/>
          <w:u w:val="single"/>
        </w:rPr>
      </w:pPr>
    </w:p>
    <w:p w14:paraId="5795700A"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L’efficacité du Bureau international dans la réalisation des transactions peut être mesurée au moyen du coût unitaire, qui est défini comme étant le coût moyen d’une unité produite.</w:t>
      </w:r>
    </w:p>
    <w:p w14:paraId="1AF81430" w14:textId="77777777" w:rsidR="00777681" w:rsidRPr="00777681" w:rsidRDefault="00777681" w:rsidP="00777681">
      <w:pPr>
        <w:contextualSpacing/>
        <w:jc w:val="both"/>
        <w:rPr>
          <w:sz w:val="20"/>
        </w:rPr>
      </w:pPr>
    </w:p>
    <w:p w14:paraId="3A2B4623"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Étant donné que le Bureau international procède à l’enregistrement des nouvelles demandes et tient à jour les enregistrements en vigueur, il convient de calculer le coût d’une unité produite en tenant compte d’un ensemble de transactions.  Deux indicateurs de coût unitaire sont présentés ci</w:t>
      </w:r>
      <w:r w:rsidRPr="00777681">
        <w:rPr>
          <w:rFonts w:ascii="Arial" w:hAnsi="Arial" w:cs="Arial"/>
          <w:sz w:val="20"/>
          <w:szCs w:val="20"/>
        </w:rPr>
        <w:noBreakHyphen/>
        <w:t>après au moyen de deux unités produites différentes.</w:t>
      </w:r>
    </w:p>
    <w:p w14:paraId="292E783F" w14:textId="77777777" w:rsidR="00777681" w:rsidRPr="00777681" w:rsidRDefault="00777681" w:rsidP="00777681">
      <w:pPr>
        <w:pStyle w:val="ListParagraph"/>
        <w:tabs>
          <w:tab w:val="left" w:pos="0"/>
          <w:tab w:val="left" w:pos="567"/>
        </w:tabs>
        <w:ind w:left="0"/>
        <w:jc w:val="both"/>
        <w:rPr>
          <w:rFonts w:ascii="Arial" w:hAnsi="Arial" w:cs="Arial"/>
          <w:sz w:val="20"/>
          <w:szCs w:val="20"/>
        </w:rPr>
      </w:pPr>
    </w:p>
    <w:p w14:paraId="76C7BFF5"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Au regard des efforts déployés par le Bureau international en vue d’affiner en permanence la méthode de calcul des coûts unitaires, cette méthode a été révisée dans le programme et budget pour l’exercice biennal 2016</w:t>
      </w:r>
      <w:r w:rsidRPr="00777681">
        <w:rPr>
          <w:rFonts w:ascii="Arial" w:hAnsi="Arial" w:cs="Arial"/>
          <w:sz w:val="20"/>
          <w:szCs w:val="20"/>
        </w:rPr>
        <w:noBreakHyphen/>
        <w:t>2017 de manière à prendre en considération de façon plus précise le coût du traitement au Bureau international des opérations réalisées dans le cadre du système de La Haye</w:t>
      </w:r>
      <w:r w:rsidRPr="00777681">
        <w:rPr>
          <w:rFonts w:ascii="Arial" w:hAnsi="Arial" w:cs="Arial"/>
          <w:sz w:val="20"/>
          <w:szCs w:val="20"/>
        </w:rPr>
        <w:footnoteReference w:id="44"/>
      </w:r>
      <w:r w:rsidRPr="00777681">
        <w:rPr>
          <w:rFonts w:ascii="Arial" w:hAnsi="Arial" w:cs="Arial"/>
          <w:sz w:val="20"/>
          <w:szCs w:val="20"/>
        </w:rPr>
        <w:t>.</w:t>
      </w:r>
    </w:p>
    <w:p w14:paraId="681C073F" w14:textId="77777777" w:rsidR="00777681" w:rsidRPr="001303B4" w:rsidRDefault="00777681" w:rsidP="00777681">
      <w:pPr>
        <w:pStyle w:val="ListParagraph"/>
        <w:tabs>
          <w:tab w:val="left" w:pos="0"/>
          <w:tab w:val="left" w:pos="567"/>
        </w:tabs>
        <w:ind w:left="0"/>
        <w:jc w:val="both"/>
        <w:rPr>
          <w:rFonts w:ascii="Arial" w:hAnsi="Arial" w:cs="Arial"/>
          <w:sz w:val="20"/>
          <w:szCs w:val="20"/>
        </w:rPr>
      </w:pPr>
    </w:p>
    <w:p w14:paraId="164EF5A6" w14:textId="77777777" w:rsidR="00777681" w:rsidRPr="00777681" w:rsidRDefault="00777681" w:rsidP="00777681">
      <w:pPr>
        <w:keepNext/>
        <w:keepLines/>
        <w:rPr>
          <w:i/>
          <w:sz w:val="20"/>
        </w:rPr>
      </w:pPr>
      <w:r w:rsidRPr="00777681">
        <w:rPr>
          <w:i/>
          <w:sz w:val="20"/>
        </w:rPr>
        <w:t>Coût unitaire par dessin ou modèle nouveau ou renouvelé</w:t>
      </w:r>
    </w:p>
    <w:p w14:paraId="6E329B26" w14:textId="77777777" w:rsidR="00777681" w:rsidRPr="00777681" w:rsidRDefault="00777681" w:rsidP="00777681">
      <w:pPr>
        <w:keepNext/>
        <w:keepLines/>
        <w:rPr>
          <w:i/>
          <w:sz w:val="20"/>
        </w:rPr>
      </w:pPr>
    </w:p>
    <w:p w14:paraId="2676E356" w14:textId="77777777" w:rsidR="00777681" w:rsidRPr="00777681" w:rsidRDefault="00777681" w:rsidP="00777681">
      <w:pPr>
        <w:pStyle w:val="ListParagraph"/>
        <w:numPr>
          <w:ilvl w:val="0"/>
          <w:numId w:val="58"/>
        </w:numPr>
        <w:tabs>
          <w:tab w:val="left" w:pos="0"/>
          <w:tab w:val="left" w:pos="567"/>
          <w:tab w:val="left" w:pos="1134"/>
        </w:tabs>
        <w:ind w:left="0" w:firstLine="0"/>
        <w:jc w:val="both"/>
        <w:rPr>
          <w:rFonts w:ascii="Arial" w:hAnsi="Arial" w:cs="Arial"/>
          <w:sz w:val="20"/>
          <w:szCs w:val="20"/>
        </w:rPr>
      </w:pPr>
      <w:r w:rsidRPr="00777681">
        <w:rPr>
          <w:rFonts w:ascii="Arial" w:hAnsi="Arial" w:cs="Arial"/>
          <w:sz w:val="20"/>
          <w:szCs w:val="20"/>
        </w:rPr>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14:paraId="39FC2EB0" w14:textId="77777777" w:rsidR="00777681" w:rsidRPr="00777681" w:rsidRDefault="00777681" w:rsidP="00777681">
      <w:pPr>
        <w:jc w:val="both"/>
        <w:rPr>
          <w:sz w:val="20"/>
        </w:rPr>
      </w:pPr>
    </w:p>
    <w:p w14:paraId="1A97E49D"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Étant donné que le traitement des dessins et modèles contenus dans ces deux types de documents ne nécessite pas de faire appel aux mêmes ressources, des facteurs de pondération différents sont utilisés</w:t>
      </w:r>
      <w:r w:rsidRPr="00777681">
        <w:rPr>
          <w:rStyle w:val="FootnoteReference"/>
          <w:rFonts w:eastAsiaTheme="minorEastAsia" w:cs="Arial"/>
          <w:sz w:val="20"/>
        </w:rPr>
        <w:footnoteReference w:id="45"/>
      </w:r>
      <w:r w:rsidRPr="00777681">
        <w:rPr>
          <w:rFonts w:ascii="Arial" w:hAnsi="Arial" w:cs="Arial"/>
          <w:sz w:val="20"/>
          <w:szCs w:val="20"/>
        </w:rPr>
        <w:t>.  Pour calculer le coût unitaire, le coût total de production est divisé par le nombre de dessins ou modèles nouveaux ou renouvelés.</w:t>
      </w:r>
    </w:p>
    <w:p w14:paraId="502A2A3C" w14:textId="77777777" w:rsidR="00777681" w:rsidRPr="00777681" w:rsidRDefault="00777681" w:rsidP="00777681">
      <w:pPr>
        <w:pStyle w:val="ListParagraph"/>
        <w:ind w:left="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3598"/>
      </w:tblGrid>
      <w:tr w:rsidR="00777681" w:rsidRPr="00777681" w14:paraId="209AC742" w14:textId="77777777" w:rsidTr="00777681">
        <w:tc>
          <w:tcPr>
            <w:tcW w:w="5495" w:type="dxa"/>
          </w:tcPr>
          <w:p w14:paraId="7CA31968" w14:textId="77777777" w:rsidR="00777681" w:rsidRPr="00777681" w:rsidRDefault="00777681" w:rsidP="00777681">
            <w:pPr>
              <w:pStyle w:val="ListParagraph"/>
              <w:ind w:left="0"/>
              <w:rPr>
                <w:rFonts w:ascii="Arial" w:hAnsi="Arial" w:cs="Arial"/>
                <w:sz w:val="20"/>
                <w:szCs w:val="20"/>
              </w:rPr>
            </w:pPr>
            <w:r w:rsidRPr="00777681">
              <w:rPr>
                <w:rFonts w:ascii="Arial" w:hAnsi="Arial" w:cs="Arial"/>
                <w:noProof/>
                <w:sz w:val="20"/>
                <w:szCs w:val="20"/>
                <w:lang w:val="en-US" w:eastAsia="en-US"/>
              </w:rPr>
              <w:lastRenderedPageBreak/>
              <w:drawing>
                <wp:inline distT="0" distB="0" distL="0" distR="0" wp14:anchorId="4D450176" wp14:editId="6B55D957">
                  <wp:extent cx="3475719" cy="21600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75719" cy="2160000"/>
                          </a:xfrm>
                          <a:prstGeom prst="rect">
                            <a:avLst/>
                          </a:prstGeom>
                          <a:noFill/>
                          <a:ln>
                            <a:noFill/>
                          </a:ln>
                        </pic:spPr>
                      </pic:pic>
                    </a:graphicData>
                  </a:graphic>
                </wp:inline>
              </w:drawing>
            </w:r>
          </w:p>
        </w:tc>
        <w:tc>
          <w:tcPr>
            <w:tcW w:w="3716" w:type="dxa"/>
          </w:tcPr>
          <w:p w14:paraId="1812B447" w14:textId="77777777" w:rsidR="00777681" w:rsidRPr="00777681" w:rsidRDefault="00777681" w:rsidP="00777681">
            <w:pPr>
              <w:pStyle w:val="ListParagraph"/>
              <w:ind w:left="0"/>
              <w:rPr>
                <w:rFonts w:ascii="Arial" w:hAnsi="Arial" w:cs="Arial"/>
                <w:sz w:val="20"/>
                <w:szCs w:val="20"/>
              </w:rPr>
            </w:pPr>
            <w:r w:rsidRPr="00777681">
              <w:rPr>
                <w:rFonts w:ascii="Arial" w:hAnsi="Arial" w:cs="Arial"/>
                <w:noProof/>
                <w:sz w:val="20"/>
                <w:szCs w:val="20"/>
                <w:lang w:val="en-US" w:eastAsia="en-US"/>
              </w:rPr>
              <w:drawing>
                <wp:inline distT="0" distB="0" distL="0" distR="0" wp14:anchorId="577FD7C3" wp14:editId="5E85491A">
                  <wp:extent cx="2006984"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6984" cy="2160000"/>
                          </a:xfrm>
                          <a:prstGeom prst="rect">
                            <a:avLst/>
                          </a:prstGeom>
                          <a:noFill/>
                          <a:ln>
                            <a:noFill/>
                          </a:ln>
                        </pic:spPr>
                      </pic:pic>
                    </a:graphicData>
                  </a:graphic>
                </wp:inline>
              </w:drawing>
            </w:r>
          </w:p>
        </w:tc>
      </w:tr>
    </w:tbl>
    <w:p w14:paraId="6CDB030B" w14:textId="77777777" w:rsidR="00777681" w:rsidRPr="00777681" w:rsidRDefault="00777681" w:rsidP="00777681">
      <w:pPr>
        <w:pStyle w:val="ListParagraph"/>
        <w:ind w:left="0"/>
        <w:rPr>
          <w:rFonts w:ascii="Arial" w:hAnsi="Arial" w:cs="Arial"/>
          <w:sz w:val="20"/>
          <w:szCs w:val="20"/>
        </w:rPr>
      </w:pPr>
    </w:p>
    <w:p w14:paraId="2910B58F" w14:textId="77777777" w:rsidR="00777681" w:rsidRPr="00777681" w:rsidRDefault="00777681" w:rsidP="00777681">
      <w:pPr>
        <w:spacing w:before="120" w:after="120"/>
        <w:rPr>
          <w:sz w:val="20"/>
        </w:rPr>
      </w:pPr>
    </w:p>
    <w:p w14:paraId="0111EC78"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Le coût moyen de traitement d’un dessin ou modèle nouveau ou renouvelé s’établissait à 443 francs suisses en 2016.  Pour les raisons susmentionnées (voir l’indicateur relatif au coût total de production), les résultats pour 2016 ne peuvent pas être comparés à ceux des années précédentes.</w:t>
      </w:r>
    </w:p>
    <w:p w14:paraId="27A96FF1" w14:textId="77777777" w:rsidR="00777681" w:rsidRPr="00777681" w:rsidRDefault="00777681" w:rsidP="00777681">
      <w:pPr>
        <w:jc w:val="center"/>
        <w:rPr>
          <w:sz w:val="20"/>
        </w:rPr>
      </w:pPr>
    </w:p>
    <w:p w14:paraId="2A383ACF" w14:textId="77777777" w:rsidR="00777681" w:rsidRPr="00777681" w:rsidRDefault="00777681" w:rsidP="00777681">
      <w:pPr>
        <w:keepNext/>
        <w:keepLines/>
        <w:rPr>
          <w:i/>
          <w:sz w:val="20"/>
        </w:rPr>
      </w:pPr>
      <w:r w:rsidRPr="00777681">
        <w:rPr>
          <w:i/>
          <w:sz w:val="20"/>
        </w:rPr>
        <w:t>Coût unitaire par document inscrit au registre</w:t>
      </w:r>
    </w:p>
    <w:p w14:paraId="4A34D667" w14:textId="77777777" w:rsidR="00777681" w:rsidRPr="00777681" w:rsidRDefault="00777681" w:rsidP="00777681">
      <w:pPr>
        <w:keepNext/>
        <w:keepLines/>
        <w:rPr>
          <w:i/>
          <w:sz w:val="20"/>
        </w:rPr>
      </w:pPr>
    </w:p>
    <w:p w14:paraId="6811FC47"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Le nombre de documents inscrits au registre correspond à la charge de travail totale (voir plus haut la partie intitulée “Charge de travail totale”)</w:t>
      </w:r>
    </w:p>
    <w:p w14:paraId="150823A3" w14:textId="77777777" w:rsidR="00777681" w:rsidRPr="00777681" w:rsidRDefault="00777681" w:rsidP="00777681">
      <w:pPr>
        <w:pStyle w:val="ListParagraph"/>
        <w:tabs>
          <w:tab w:val="left" w:pos="0"/>
          <w:tab w:val="left" w:pos="567"/>
        </w:tabs>
        <w:ind w:left="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3581"/>
      </w:tblGrid>
      <w:tr w:rsidR="00777681" w:rsidRPr="00777681" w14:paraId="07D2B221" w14:textId="77777777" w:rsidTr="00777681">
        <w:tc>
          <w:tcPr>
            <w:tcW w:w="5495" w:type="dxa"/>
          </w:tcPr>
          <w:p w14:paraId="744BD0A5" w14:textId="77777777" w:rsidR="00777681" w:rsidRPr="00777681" w:rsidRDefault="00777681" w:rsidP="00777681">
            <w:pPr>
              <w:pStyle w:val="ListParagraph"/>
              <w:ind w:left="0"/>
              <w:rPr>
                <w:rFonts w:ascii="Arial" w:hAnsi="Arial" w:cs="Arial"/>
                <w:sz w:val="20"/>
                <w:szCs w:val="20"/>
              </w:rPr>
            </w:pPr>
            <w:r w:rsidRPr="00777681">
              <w:rPr>
                <w:rFonts w:ascii="Arial" w:hAnsi="Arial" w:cs="Arial"/>
                <w:noProof/>
                <w:sz w:val="20"/>
                <w:szCs w:val="20"/>
                <w:lang w:val="en-US" w:eastAsia="en-US"/>
              </w:rPr>
              <w:drawing>
                <wp:inline distT="0" distB="0" distL="0" distR="0" wp14:anchorId="3A524E8D" wp14:editId="029C447A">
                  <wp:extent cx="3480320" cy="2160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80320" cy="2160000"/>
                          </a:xfrm>
                          <a:prstGeom prst="rect">
                            <a:avLst/>
                          </a:prstGeom>
                          <a:noFill/>
                          <a:ln>
                            <a:noFill/>
                          </a:ln>
                        </pic:spPr>
                      </pic:pic>
                    </a:graphicData>
                  </a:graphic>
                </wp:inline>
              </w:drawing>
            </w:r>
          </w:p>
        </w:tc>
        <w:tc>
          <w:tcPr>
            <w:tcW w:w="3716" w:type="dxa"/>
          </w:tcPr>
          <w:p w14:paraId="1B903F22" w14:textId="77777777" w:rsidR="00777681" w:rsidRPr="00777681" w:rsidRDefault="00777681" w:rsidP="00777681">
            <w:pPr>
              <w:pStyle w:val="ListParagraph"/>
              <w:ind w:left="0"/>
              <w:rPr>
                <w:rFonts w:ascii="Arial" w:hAnsi="Arial" w:cs="Arial"/>
                <w:sz w:val="20"/>
                <w:szCs w:val="20"/>
              </w:rPr>
            </w:pPr>
            <w:r w:rsidRPr="00777681">
              <w:rPr>
                <w:rFonts w:ascii="Arial" w:hAnsi="Arial" w:cs="Arial"/>
                <w:noProof/>
                <w:sz w:val="20"/>
                <w:szCs w:val="20"/>
                <w:lang w:val="en-US" w:eastAsia="en-US"/>
              </w:rPr>
              <w:drawing>
                <wp:inline distT="0" distB="0" distL="0" distR="0" wp14:anchorId="3FFBBA36" wp14:editId="372384CF">
                  <wp:extent cx="1951167" cy="21600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51167" cy="2160000"/>
                          </a:xfrm>
                          <a:prstGeom prst="rect">
                            <a:avLst/>
                          </a:prstGeom>
                          <a:noFill/>
                          <a:ln>
                            <a:noFill/>
                          </a:ln>
                        </pic:spPr>
                      </pic:pic>
                    </a:graphicData>
                  </a:graphic>
                </wp:inline>
              </w:drawing>
            </w:r>
          </w:p>
        </w:tc>
      </w:tr>
    </w:tbl>
    <w:p w14:paraId="390846FF" w14:textId="77777777" w:rsidR="00777681" w:rsidRPr="00777681" w:rsidRDefault="00777681" w:rsidP="00777681">
      <w:pPr>
        <w:jc w:val="both"/>
        <w:rPr>
          <w:sz w:val="20"/>
        </w:rPr>
      </w:pPr>
    </w:p>
    <w:p w14:paraId="0D988885" w14:textId="77777777" w:rsidR="00777681" w:rsidRPr="00777681" w:rsidRDefault="00777681" w:rsidP="00777681">
      <w:pPr>
        <w:tabs>
          <w:tab w:val="left" w:pos="1134"/>
        </w:tabs>
        <w:jc w:val="center"/>
        <w:rPr>
          <w:sz w:val="20"/>
        </w:rPr>
      </w:pPr>
    </w:p>
    <w:p w14:paraId="2FBA0EAA"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Le coût moyen d’inscription d’un document au registre est estimé à 1172 francs suisses en 2016.  Pour les raisons susmentionnées (voir l’indicateur relatif au coût total de production), les résultats pour 2016 ne peuvent pas être comparés à ceux des années précédentes.</w:t>
      </w:r>
    </w:p>
    <w:p w14:paraId="0FD15A04" w14:textId="77777777" w:rsidR="00777681" w:rsidRPr="00777681" w:rsidRDefault="00777681" w:rsidP="00777681">
      <w:pPr>
        <w:pStyle w:val="ListParagraph"/>
        <w:ind w:left="0"/>
        <w:rPr>
          <w:rFonts w:ascii="Arial" w:hAnsi="Arial" w:cs="Arial"/>
          <w:sz w:val="20"/>
          <w:szCs w:val="20"/>
        </w:rPr>
      </w:pPr>
    </w:p>
    <w:p w14:paraId="6D76FF27" w14:textId="77777777" w:rsidR="00777681" w:rsidRPr="00777681" w:rsidRDefault="00777681" w:rsidP="00777681">
      <w:pPr>
        <w:pStyle w:val="ListParagraph"/>
        <w:ind w:left="0"/>
        <w:rPr>
          <w:rFonts w:ascii="Arial" w:hAnsi="Arial" w:cs="Arial"/>
          <w:sz w:val="20"/>
          <w:szCs w:val="20"/>
        </w:rPr>
      </w:pPr>
    </w:p>
    <w:p w14:paraId="092761C0" w14:textId="77777777" w:rsidR="00777681" w:rsidRPr="00777681" w:rsidRDefault="00777681" w:rsidP="00777681">
      <w:pPr>
        <w:keepNext/>
        <w:tabs>
          <w:tab w:val="left" w:pos="567"/>
        </w:tabs>
        <w:spacing w:before="120" w:after="240"/>
        <w:rPr>
          <w:b/>
          <w:sz w:val="20"/>
        </w:rPr>
      </w:pPr>
      <w:r w:rsidRPr="00777681">
        <w:rPr>
          <w:b/>
          <w:sz w:val="20"/>
        </w:rPr>
        <w:t>IV.</w:t>
      </w:r>
      <w:r w:rsidRPr="00777681">
        <w:rPr>
          <w:b/>
          <w:sz w:val="20"/>
        </w:rPr>
        <w:tab/>
        <w:t>Délai de traitement des demandes internationales</w:t>
      </w:r>
    </w:p>
    <w:p w14:paraId="46DDA97D" w14:textId="77777777" w:rsidR="00777681" w:rsidRPr="00777681" w:rsidRDefault="00777681" w:rsidP="00777681">
      <w:pPr>
        <w:pStyle w:val="ListParagraph"/>
        <w:numPr>
          <w:ilvl w:val="0"/>
          <w:numId w:val="58"/>
        </w:numPr>
        <w:tabs>
          <w:tab w:val="left" w:pos="0"/>
          <w:tab w:val="left" w:pos="567"/>
        </w:tabs>
        <w:ind w:left="0" w:firstLine="0"/>
        <w:jc w:val="both"/>
        <w:rPr>
          <w:rFonts w:ascii="Arial" w:hAnsi="Arial" w:cs="Arial"/>
          <w:sz w:val="20"/>
          <w:szCs w:val="20"/>
        </w:rPr>
      </w:pPr>
      <w:r w:rsidRPr="00777681">
        <w:rPr>
          <w:rFonts w:ascii="Arial" w:hAnsi="Arial" w:cs="Arial"/>
          <w:sz w:val="20"/>
          <w:szCs w:val="20"/>
        </w:rPr>
        <w:t>Cet indicateur rend compte du temps nécessaire au Bureau international pour traiter les demandes régulières.  Le délai de traitement est le temps écoulé entre la date de réception d’une demande et la date de son inscription au registre.</w:t>
      </w:r>
    </w:p>
    <w:p w14:paraId="40BBF6BA" w14:textId="77777777" w:rsidR="00777681" w:rsidRPr="00777681" w:rsidRDefault="00777681" w:rsidP="00777681">
      <w:pPr>
        <w:ind w:left="720"/>
        <w:jc w:val="both"/>
        <w:rPr>
          <w:sz w:val="20"/>
        </w:rPr>
      </w:pPr>
      <w:r w:rsidRPr="00777681">
        <w:rPr>
          <w:noProof/>
          <w:sz w:val="20"/>
          <w:lang w:val="en-US"/>
        </w:rPr>
        <w:lastRenderedPageBreak/>
        <w:drawing>
          <wp:inline distT="0" distB="0" distL="0" distR="0" wp14:anchorId="68AAC5D9" wp14:editId="7A750F10">
            <wp:extent cx="4680000" cy="2944383"/>
            <wp:effectExtent l="0" t="0" r="6350" b="889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80000" cy="2944383"/>
                    </a:xfrm>
                    <a:prstGeom prst="rect">
                      <a:avLst/>
                    </a:prstGeom>
                    <a:noFill/>
                    <a:ln>
                      <a:noFill/>
                    </a:ln>
                  </pic:spPr>
                </pic:pic>
              </a:graphicData>
            </a:graphic>
          </wp:inline>
        </w:drawing>
      </w:r>
    </w:p>
    <w:p w14:paraId="05F52101" w14:textId="77777777" w:rsidR="00777681" w:rsidRPr="00777681" w:rsidRDefault="00777681" w:rsidP="00777681">
      <w:pPr>
        <w:ind w:left="720"/>
        <w:jc w:val="both"/>
        <w:rPr>
          <w:sz w:val="20"/>
        </w:rPr>
      </w:pPr>
    </w:p>
    <w:p w14:paraId="27FFD844"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la part des demandes régulières traitées en moins d’une semaine a diminué à 20%, contre 45% en 2014, ce qui témoigne de l’augmentation de la complexité mentionnée dans la section II ci</w:t>
      </w:r>
      <w:r w:rsidRPr="00777681">
        <w:rPr>
          <w:sz w:val="20"/>
        </w:rPr>
        <w:noBreakHyphen/>
        <w:t>dessus.</w:t>
      </w:r>
    </w:p>
    <w:p w14:paraId="1D186553" w14:textId="77777777" w:rsidR="00777681" w:rsidRPr="00777681" w:rsidRDefault="00777681" w:rsidP="00777681">
      <w:pPr>
        <w:ind w:left="1134"/>
        <w:jc w:val="both"/>
        <w:rPr>
          <w:sz w:val="20"/>
        </w:rPr>
      </w:pPr>
    </w:p>
    <w:p w14:paraId="4BF3D29B" w14:textId="77777777" w:rsidR="00777681" w:rsidRPr="00777681" w:rsidRDefault="00777681" w:rsidP="00777681">
      <w:pPr>
        <w:numPr>
          <w:ilvl w:val="0"/>
          <w:numId w:val="52"/>
        </w:numPr>
        <w:tabs>
          <w:tab w:val="clear" w:pos="720"/>
          <w:tab w:val="num" w:pos="1134"/>
        </w:tabs>
        <w:ind w:left="1134" w:hanging="567"/>
        <w:jc w:val="both"/>
        <w:rPr>
          <w:sz w:val="20"/>
        </w:rPr>
      </w:pPr>
      <w:r w:rsidRPr="00777681">
        <w:rPr>
          <w:sz w:val="20"/>
        </w:rPr>
        <w:t>En 2016, 78% des demandes ont été traitées dans un délai de trois semaines à compter de leur réception par le Bureau international.</w:t>
      </w:r>
    </w:p>
    <w:p w14:paraId="63E359A6" w14:textId="77777777" w:rsidR="00777681" w:rsidRPr="00777681" w:rsidRDefault="00777681" w:rsidP="00777681">
      <w:pPr>
        <w:rPr>
          <w:sz w:val="20"/>
        </w:rPr>
      </w:pPr>
    </w:p>
    <w:p w14:paraId="23F3313D" w14:textId="77777777" w:rsidR="00777681" w:rsidRPr="00777681" w:rsidRDefault="00777681" w:rsidP="00777681">
      <w:pPr>
        <w:rPr>
          <w:sz w:val="20"/>
        </w:rPr>
      </w:pPr>
    </w:p>
    <w:p w14:paraId="43B4B545" w14:textId="77777777" w:rsidR="00777681" w:rsidRPr="00777681" w:rsidRDefault="00777681" w:rsidP="00777681">
      <w:pPr>
        <w:rPr>
          <w:sz w:val="20"/>
        </w:rPr>
      </w:pPr>
    </w:p>
    <w:p w14:paraId="069AF62E" w14:textId="77777777" w:rsidR="00777681" w:rsidRPr="00777681" w:rsidRDefault="00777681" w:rsidP="00777681">
      <w:pPr>
        <w:pStyle w:val="ListParagraph"/>
        <w:ind w:left="0" w:hanging="11"/>
        <w:contextualSpacing w:val="0"/>
        <w:jc w:val="right"/>
        <w:rPr>
          <w:rFonts w:ascii="Arial" w:hAnsi="Arial" w:cs="Arial"/>
          <w:sz w:val="20"/>
          <w:szCs w:val="20"/>
        </w:rPr>
      </w:pPr>
      <w:r w:rsidRPr="00777681">
        <w:rPr>
          <w:rFonts w:ascii="Arial" w:hAnsi="Arial" w:cs="Arial"/>
          <w:sz w:val="20"/>
          <w:szCs w:val="20"/>
        </w:rPr>
        <w:t>[Fin de l’annexe]</w:t>
      </w:r>
    </w:p>
    <w:p w14:paraId="01E2FB96" w14:textId="77777777" w:rsidR="00777681" w:rsidRDefault="00777681" w:rsidP="00777681">
      <w:pPr>
        <w:rPr>
          <w:b/>
          <w:caps/>
        </w:rPr>
      </w:pPr>
      <w:r>
        <w:br w:type="page"/>
      </w:r>
    </w:p>
    <w:p w14:paraId="2EB5E138" w14:textId="77777777" w:rsidR="00F96912" w:rsidRPr="001E6DFD" w:rsidRDefault="00F96912" w:rsidP="006658D5">
      <w:pPr>
        <w:pStyle w:val="Heading3"/>
      </w:pPr>
      <w:bookmarkStart w:id="37" w:name="_Toc482774597"/>
      <w:r w:rsidRPr="001E6DFD">
        <w:lastRenderedPageBreak/>
        <w:t>Programme</w:t>
      </w:r>
      <w:r>
        <w:t> </w:t>
      </w:r>
      <w:r w:rsidRPr="001E6DFD">
        <w:t>32</w:t>
      </w:r>
      <w:r w:rsidRPr="001E6DFD">
        <w:tab/>
        <w:t>Système de Lisbonne</w:t>
      </w:r>
      <w:bookmarkEnd w:id="37"/>
    </w:p>
    <w:p w14:paraId="128DF1E5" w14:textId="77777777" w:rsidR="00F96912" w:rsidRPr="001E6DFD" w:rsidRDefault="00F96912" w:rsidP="00F96912">
      <w:pPr>
        <w:tabs>
          <w:tab w:val="left" w:pos="2268"/>
        </w:tabs>
        <w:ind w:left="2268" w:hanging="2268"/>
        <w:rPr>
          <w:sz w:val="20"/>
          <w:szCs w:val="24"/>
        </w:rPr>
      </w:pPr>
    </w:p>
    <w:p w14:paraId="6A859BC8" w14:textId="77777777" w:rsidR="00F96912" w:rsidRPr="0067214C" w:rsidRDefault="00F96912" w:rsidP="00F96912">
      <w:pPr>
        <w:tabs>
          <w:tab w:val="left" w:pos="2268"/>
        </w:tabs>
        <w:ind w:left="2268" w:hanging="2268"/>
        <w:rPr>
          <w:b/>
          <w:sz w:val="20"/>
          <w:szCs w:val="24"/>
        </w:rPr>
      </w:pPr>
      <w:r w:rsidRPr="0067214C">
        <w:rPr>
          <w:b/>
          <w:sz w:val="20"/>
          <w:szCs w:val="24"/>
        </w:rPr>
        <w:t>Chef de programme</w:t>
      </w:r>
      <w:r w:rsidRPr="0067214C">
        <w:rPr>
          <w:b/>
          <w:sz w:val="20"/>
          <w:szCs w:val="24"/>
        </w:rPr>
        <w:tab/>
        <w:t>Mme B. Wang</w:t>
      </w:r>
    </w:p>
    <w:p w14:paraId="22B62D56" w14:textId="4D4B317B" w:rsidR="00F96912" w:rsidRPr="001E6DFD" w:rsidRDefault="00B05B15" w:rsidP="00F96912">
      <w:pPr>
        <w:jc w:val="center"/>
        <w:rPr>
          <w:sz w:val="20"/>
          <w:szCs w:val="24"/>
        </w:rPr>
      </w:pPr>
      <w:r w:rsidRPr="00B05B15">
        <w:rPr>
          <w:noProof/>
          <w:lang w:val="en-US"/>
        </w:rPr>
        <w:drawing>
          <wp:inline distT="0" distB="0" distL="0" distR="0" wp14:anchorId="17AB452F" wp14:editId="32C64E68">
            <wp:extent cx="3960000" cy="2734721"/>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2032"/>
        <w:gridCol w:w="2405"/>
        <w:gridCol w:w="1299"/>
        <w:gridCol w:w="2401"/>
        <w:gridCol w:w="1050"/>
      </w:tblGrid>
      <w:tr w:rsidR="00F96912" w:rsidRPr="001E6DFD" w14:paraId="15C5F751" w14:textId="77777777" w:rsidTr="006658D5">
        <w:tc>
          <w:tcPr>
            <w:tcW w:w="5000" w:type="pct"/>
            <w:gridSpan w:val="5"/>
            <w:shd w:val="clear" w:color="auto" w:fill="C6D9F1" w:themeFill="text2" w:themeFillTint="33"/>
            <w:tcMar>
              <w:left w:w="58" w:type="dxa"/>
              <w:right w:w="58" w:type="dxa"/>
            </w:tcMar>
            <w:vAlign w:val="center"/>
          </w:tcPr>
          <w:p w14:paraId="41F60260" w14:textId="77777777" w:rsidR="00F96912" w:rsidRPr="001E6DFD" w:rsidRDefault="00F96912" w:rsidP="006658D5">
            <w:pPr>
              <w:tabs>
                <w:tab w:val="left" w:pos="1452"/>
              </w:tabs>
              <w:rPr>
                <w:b/>
                <w:bCs/>
                <w:sz w:val="16"/>
                <w:szCs w:val="16"/>
              </w:rPr>
            </w:pPr>
            <w:r w:rsidRPr="001E6DFD">
              <w:rPr>
                <w:b/>
                <w:bCs/>
                <w:sz w:val="16"/>
                <w:szCs w:val="16"/>
              </w:rPr>
              <w:t xml:space="preserve">Résultat escompté : </w:t>
            </w:r>
            <w:r w:rsidRPr="001E6DFD">
              <w:rPr>
                <w:bCs/>
                <w:sz w:val="16"/>
                <w:szCs w:val="16"/>
              </w:rPr>
              <w:t>II.10 Utilisation élargie et plus efficace du système de Lisbonne, notamment par les pays en développement et les PMA</w:t>
            </w:r>
          </w:p>
        </w:tc>
      </w:tr>
      <w:tr w:rsidR="00F96912" w:rsidRPr="001E6DFD" w14:paraId="7E58B138" w14:textId="77777777" w:rsidTr="006658D5">
        <w:tc>
          <w:tcPr>
            <w:tcW w:w="1121" w:type="pct"/>
            <w:shd w:val="clear" w:color="auto" w:fill="auto"/>
            <w:tcMar>
              <w:left w:w="58" w:type="dxa"/>
              <w:right w:w="58" w:type="dxa"/>
            </w:tcMar>
            <w:vAlign w:val="center"/>
          </w:tcPr>
          <w:p w14:paraId="66AD9B1E" w14:textId="77777777" w:rsidR="00F96912" w:rsidRPr="001E6DFD" w:rsidRDefault="00F96912" w:rsidP="006658D5">
            <w:pPr>
              <w:jc w:val="center"/>
              <w:rPr>
                <w:b/>
                <w:bCs/>
                <w:sz w:val="16"/>
                <w:szCs w:val="16"/>
              </w:rPr>
            </w:pPr>
            <w:r w:rsidRPr="001E6DFD">
              <w:rPr>
                <w:b/>
                <w:bCs/>
                <w:sz w:val="16"/>
                <w:szCs w:val="16"/>
              </w:rPr>
              <w:t>Indicateurs d’exécution</w:t>
            </w:r>
          </w:p>
        </w:tc>
        <w:tc>
          <w:tcPr>
            <w:tcW w:w="1324" w:type="pct"/>
            <w:shd w:val="clear" w:color="auto" w:fill="auto"/>
            <w:tcMar>
              <w:left w:w="58" w:type="dxa"/>
              <w:right w:w="58" w:type="dxa"/>
            </w:tcMar>
            <w:vAlign w:val="center"/>
          </w:tcPr>
          <w:p w14:paraId="2D24ACAF" w14:textId="77777777" w:rsidR="00F96912" w:rsidRPr="001E6DFD" w:rsidRDefault="00F96912" w:rsidP="006658D5">
            <w:pPr>
              <w:jc w:val="center"/>
              <w:rPr>
                <w:b/>
                <w:bCs/>
                <w:sz w:val="16"/>
                <w:szCs w:val="16"/>
              </w:rPr>
            </w:pPr>
            <w:r w:rsidRPr="001E6DFD">
              <w:rPr>
                <w:b/>
                <w:bCs/>
                <w:sz w:val="16"/>
                <w:szCs w:val="16"/>
              </w:rPr>
              <w:t>Niveaux de référence</w:t>
            </w:r>
          </w:p>
        </w:tc>
        <w:tc>
          <w:tcPr>
            <w:tcW w:w="722" w:type="pct"/>
            <w:shd w:val="clear" w:color="auto" w:fill="auto"/>
            <w:tcMar>
              <w:top w:w="110" w:type="dxa"/>
              <w:left w:w="58" w:type="dxa"/>
              <w:right w:w="58" w:type="dxa"/>
            </w:tcMar>
            <w:vAlign w:val="center"/>
          </w:tcPr>
          <w:p w14:paraId="730186CB" w14:textId="77777777" w:rsidR="00F96912" w:rsidRPr="001E6DFD" w:rsidRDefault="00F96912" w:rsidP="006658D5">
            <w:pPr>
              <w:tabs>
                <w:tab w:val="left" w:pos="290"/>
              </w:tabs>
              <w:jc w:val="center"/>
              <w:rPr>
                <w:b/>
                <w:bCs/>
                <w:sz w:val="16"/>
                <w:szCs w:val="16"/>
              </w:rPr>
            </w:pPr>
            <w:r w:rsidRPr="001E6DFD">
              <w:rPr>
                <w:b/>
                <w:bCs/>
                <w:sz w:val="16"/>
                <w:szCs w:val="16"/>
              </w:rPr>
              <w:t>Objectifs visés</w:t>
            </w:r>
          </w:p>
        </w:tc>
        <w:tc>
          <w:tcPr>
            <w:tcW w:w="1322" w:type="pct"/>
            <w:shd w:val="clear" w:color="auto" w:fill="FFFFFF"/>
            <w:tcMar>
              <w:top w:w="110" w:type="dxa"/>
              <w:left w:w="58" w:type="dxa"/>
              <w:right w:w="58" w:type="dxa"/>
            </w:tcMar>
            <w:vAlign w:val="center"/>
          </w:tcPr>
          <w:p w14:paraId="1C9D160E" w14:textId="77777777" w:rsidR="00F96912" w:rsidRPr="001E6DFD" w:rsidRDefault="00F96912" w:rsidP="006658D5">
            <w:pPr>
              <w:jc w:val="center"/>
              <w:rPr>
                <w:b/>
                <w:bCs/>
                <w:sz w:val="16"/>
                <w:szCs w:val="16"/>
              </w:rPr>
            </w:pPr>
            <w:r w:rsidRPr="001E6DFD">
              <w:rPr>
                <w:b/>
                <w:bCs/>
                <w:sz w:val="16"/>
                <w:szCs w:val="16"/>
              </w:rPr>
              <w:t>Données relatives à l’exécution</w:t>
            </w:r>
          </w:p>
        </w:tc>
        <w:tc>
          <w:tcPr>
            <w:tcW w:w="511" w:type="pct"/>
            <w:shd w:val="clear" w:color="auto" w:fill="auto"/>
            <w:tcMar>
              <w:top w:w="110" w:type="dxa"/>
              <w:left w:w="58" w:type="dxa"/>
              <w:right w:w="58" w:type="dxa"/>
            </w:tcMar>
            <w:vAlign w:val="center"/>
          </w:tcPr>
          <w:p w14:paraId="5163D7C0" w14:textId="77777777" w:rsidR="00F96912" w:rsidRPr="001E6DFD" w:rsidRDefault="00F96912" w:rsidP="006658D5">
            <w:pPr>
              <w:jc w:val="center"/>
              <w:rPr>
                <w:b/>
                <w:bCs/>
                <w:sz w:val="16"/>
                <w:szCs w:val="16"/>
              </w:rPr>
            </w:pPr>
            <w:r w:rsidRPr="001E6DFD">
              <w:rPr>
                <w:b/>
                <w:bCs/>
                <w:sz w:val="16"/>
                <w:szCs w:val="16"/>
              </w:rPr>
              <w:t>Code d’évaluation</w:t>
            </w:r>
          </w:p>
        </w:tc>
      </w:tr>
      <w:tr w:rsidR="00F96912" w:rsidRPr="001E6DFD" w14:paraId="171797CE" w14:textId="77777777" w:rsidTr="006658D5">
        <w:tc>
          <w:tcPr>
            <w:tcW w:w="1121" w:type="pct"/>
            <w:shd w:val="clear" w:color="auto" w:fill="auto"/>
            <w:tcMar>
              <w:left w:w="58" w:type="dxa"/>
              <w:right w:w="58" w:type="dxa"/>
            </w:tcMar>
          </w:tcPr>
          <w:p w14:paraId="2B93B4B2" w14:textId="77777777" w:rsidR="00F96912" w:rsidRPr="001E6DFD" w:rsidRDefault="00F96912" w:rsidP="006658D5">
            <w:pPr>
              <w:rPr>
                <w:sz w:val="16"/>
                <w:szCs w:val="16"/>
              </w:rPr>
            </w:pPr>
            <w:r w:rsidRPr="001E6DFD">
              <w:rPr>
                <w:sz w:val="16"/>
                <w:szCs w:val="16"/>
              </w:rPr>
              <w:t>Extension de la portée géographique du système de Lisbonne</w:t>
            </w:r>
          </w:p>
        </w:tc>
        <w:tc>
          <w:tcPr>
            <w:tcW w:w="1324" w:type="pct"/>
            <w:shd w:val="clear" w:color="auto" w:fill="auto"/>
            <w:tcMar>
              <w:left w:w="58" w:type="dxa"/>
              <w:right w:w="58" w:type="dxa"/>
            </w:tcMar>
          </w:tcPr>
          <w:p w14:paraId="5C87D42C"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61E38F13" w14:textId="77777777" w:rsidR="00F96912" w:rsidRPr="0067214C" w:rsidRDefault="00F96912" w:rsidP="006658D5">
            <w:pPr>
              <w:rPr>
                <w:color w:val="002060"/>
                <w:sz w:val="16"/>
                <w:szCs w:val="16"/>
              </w:rPr>
            </w:pPr>
            <w:r w:rsidRPr="0067214C">
              <w:rPr>
                <w:color w:val="002060"/>
                <w:sz w:val="16"/>
                <w:szCs w:val="16"/>
              </w:rPr>
              <w:t>Aucune nouvelle partie contractante (0)</w:t>
            </w:r>
          </w:p>
          <w:p w14:paraId="71F4A5BD" w14:textId="77777777" w:rsidR="00F96912" w:rsidRPr="001E6DFD" w:rsidRDefault="00F96912" w:rsidP="006658D5">
            <w:pPr>
              <w:rPr>
                <w:sz w:val="16"/>
                <w:szCs w:val="16"/>
              </w:rPr>
            </w:pPr>
          </w:p>
          <w:p w14:paraId="51873BB2"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4C09F50E" w14:textId="77777777" w:rsidR="00F96912" w:rsidRPr="001E6DFD" w:rsidRDefault="00F96912" w:rsidP="006658D5">
            <w:pPr>
              <w:rPr>
                <w:sz w:val="16"/>
                <w:szCs w:val="16"/>
              </w:rPr>
            </w:pPr>
            <w:r w:rsidRPr="001E6DFD">
              <w:rPr>
                <w:sz w:val="16"/>
                <w:szCs w:val="16"/>
              </w:rPr>
              <w:t>Nombre de parties contractantes à l’Acte de Genève fin</w:t>
            </w:r>
            <w:r>
              <w:rPr>
                <w:sz w:val="16"/>
                <w:szCs w:val="16"/>
              </w:rPr>
              <w:t> </w:t>
            </w:r>
            <w:r w:rsidRPr="001E6DFD">
              <w:rPr>
                <w:sz w:val="16"/>
                <w:szCs w:val="16"/>
              </w:rPr>
              <w:t>2015</w:t>
            </w:r>
          </w:p>
        </w:tc>
        <w:tc>
          <w:tcPr>
            <w:tcW w:w="722" w:type="pct"/>
            <w:shd w:val="clear" w:color="auto" w:fill="auto"/>
            <w:tcMar>
              <w:top w:w="110" w:type="dxa"/>
              <w:left w:w="58" w:type="dxa"/>
              <w:right w:w="58" w:type="dxa"/>
            </w:tcMar>
          </w:tcPr>
          <w:p w14:paraId="350AE850" w14:textId="77777777" w:rsidR="00F96912" w:rsidRPr="001E6DFD" w:rsidRDefault="00F96912" w:rsidP="006658D5">
            <w:pPr>
              <w:rPr>
                <w:sz w:val="16"/>
                <w:szCs w:val="16"/>
              </w:rPr>
            </w:pPr>
            <w:r w:rsidRPr="001E6DFD">
              <w:rPr>
                <w:sz w:val="16"/>
                <w:szCs w:val="16"/>
              </w:rPr>
              <w:t>Jusqu’à cinq parties contractantes à l’Acte de Genève d’ici fin</w:t>
            </w:r>
            <w:r>
              <w:rPr>
                <w:sz w:val="16"/>
                <w:szCs w:val="16"/>
              </w:rPr>
              <w:t> </w:t>
            </w:r>
            <w:r w:rsidRPr="001E6DFD">
              <w:rPr>
                <w:sz w:val="16"/>
                <w:szCs w:val="16"/>
              </w:rPr>
              <w:t>2017</w:t>
            </w:r>
          </w:p>
        </w:tc>
        <w:tc>
          <w:tcPr>
            <w:tcW w:w="1322" w:type="pct"/>
            <w:shd w:val="clear" w:color="auto" w:fill="FFFFFF"/>
            <w:tcMar>
              <w:top w:w="110" w:type="dxa"/>
              <w:left w:w="58" w:type="dxa"/>
              <w:right w:w="58" w:type="dxa"/>
            </w:tcMar>
          </w:tcPr>
          <w:p w14:paraId="7E7F10D0" w14:textId="77777777" w:rsidR="00F96912" w:rsidRPr="001E6DFD" w:rsidRDefault="00F96912" w:rsidP="006658D5">
            <w:pPr>
              <w:rPr>
                <w:sz w:val="16"/>
                <w:szCs w:val="16"/>
              </w:rPr>
            </w:pPr>
            <w:r w:rsidRPr="001E6DFD">
              <w:rPr>
                <w:sz w:val="16"/>
                <w:szCs w:val="16"/>
              </w:rPr>
              <w:t>Aucune nouvelle partie contractante</w:t>
            </w:r>
          </w:p>
        </w:tc>
        <w:tc>
          <w:tcPr>
            <w:tcW w:w="511" w:type="pct"/>
            <w:shd w:val="clear" w:color="auto" w:fill="auto"/>
            <w:tcMar>
              <w:top w:w="110" w:type="dxa"/>
              <w:left w:w="58" w:type="dxa"/>
              <w:right w:w="58" w:type="dxa"/>
            </w:tcMar>
          </w:tcPr>
          <w:p w14:paraId="6BB4EDE7" w14:textId="77777777" w:rsidR="00F96912" w:rsidRPr="001E6DFD" w:rsidRDefault="00F96912" w:rsidP="006658D5">
            <w:pPr>
              <w:jc w:val="center"/>
              <w:rPr>
                <w:b/>
                <w:sz w:val="16"/>
                <w:szCs w:val="16"/>
              </w:rPr>
            </w:pPr>
            <w:r w:rsidRPr="001E6DFD">
              <w:rPr>
                <w:b/>
                <w:color w:val="FF0000"/>
                <w:sz w:val="16"/>
                <w:szCs w:val="16"/>
              </w:rPr>
              <w:t>Pas en bonne voie</w:t>
            </w:r>
          </w:p>
        </w:tc>
      </w:tr>
      <w:tr w:rsidR="00F96912" w:rsidRPr="001E6DFD" w14:paraId="5D9C6276" w14:textId="77777777" w:rsidTr="006658D5">
        <w:tc>
          <w:tcPr>
            <w:tcW w:w="1121" w:type="pct"/>
            <w:shd w:val="clear" w:color="auto" w:fill="auto"/>
            <w:tcMar>
              <w:left w:w="58" w:type="dxa"/>
              <w:right w:w="58" w:type="dxa"/>
            </w:tcMar>
          </w:tcPr>
          <w:p w14:paraId="7F276810" w14:textId="77777777" w:rsidR="00F96912" w:rsidRPr="001E6DFD" w:rsidRDefault="00F96912" w:rsidP="006658D5">
            <w:pPr>
              <w:rPr>
                <w:sz w:val="16"/>
                <w:szCs w:val="16"/>
              </w:rPr>
            </w:pPr>
            <w:r w:rsidRPr="001E6DFD">
              <w:rPr>
                <w:sz w:val="16"/>
                <w:szCs w:val="16"/>
              </w:rPr>
              <w:t xml:space="preserve">Pourcentage de participants à des manifestations associées au système de Lisbonne qui font part de leur satisfaction et d’une meilleure compréhension du système à la suite d’une manifestation </w:t>
            </w:r>
          </w:p>
        </w:tc>
        <w:tc>
          <w:tcPr>
            <w:tcW w:w="1324" w:type="pct"/>
            <w:shd w:val="clear" w:color="auto" w:fill="auto"/>
            <w:tcMar>
              <w:left w:w="58" w:type="dxa"/>
              <w:right w:w="58" w:type="dxa"/>
            </w:tcMar>
          </w:tcPr>
          <w:p w14:paraId="25D030CA"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3EEC7C57" w14:textId="77777777" w:rsidR="00F96912" w:rsidRPr="0067214C" w:rsidRDefault="00F96912" w:rsidP="006658D5">
            <w:pPr>
              <w:rPr>
                <w:color w:val="002060"/>
                <w:sz w:val="16"/>
                <w:szCs w:val="16"/>
              </w:rPr>
            </w:pPr>
            <w:r w:rsidRPr="0067214C">
              <w:rPr>
                <w:color w:val="002060"/>
                <w:sz w:val="16"/>
                <w:szCs w:val="16"/>
              </w:rPr>
              <w:t>Sept manifestations d’information et de promotion principalement axées sur le système de Lisbonne, notamment sur sa révision, dans toutes les régions avec 84% de participants satisfaits</w:t>
            </w:r>
          </w:p>
          <w:p w14:paraId="116AEFF9" w14:textId="77777777" w:rsidR="00F96912" w:rsidRPr="001E6DFD" w:rsidRDefault="00F96912" w:rsidP="006658D5">
            <w:pPr>
              <w:rPr>
                <w:sz w:val="16"/>
                <w:szCs w:val="16"/>
              </w:rPr>
            </w:pPr>
          </w:p>
          <w:p w14:paraId="4E84D92E"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598C9C9D" w14:textId="77777777" w:rsidR="00F96912" w:rsidRPr="001E6DFD" w:rsidRDefault="00F96912" w:rsidP="006658D5">
            <w:pPr>
              <w:rPr>
                <w:sz w:val="16"/>
                <w:szCs w:val="16"/>
              </w:rPr>
            </w:pPr>
            <w:r w:rsidRPr="001E6DFD">
              <w:rPr>
                <w:sz w:val="16"/>
                <w:szCs w:val="16"/>
              </w:rPr>
              <w:t>84% de participants satisfaits après cinq manifestations (2014)</w:t>
            </w:r>
          </w:p>
        </w:tc>
        <w:tc>
          <w:tcPr>
            <w:tcW w:w="722" w:type="pct"/>
            <w:shd w:val="clear" w:color="auto" w:fill="auto"/>
            <w:tcMar>
              <w:top w:w="110" w:type="dxa"/>
              <w:left w:w="58" w:type="dxa"/>
              <w:right w:w="58" w:type="dxa"/>
            </w:tcMar>
          </w:tcPr>
          <w:p w14:paraId="02612A40" w14:textId="77777777" w:rsidR="00F96912" w:rsidRPr="001E6DFD" w:rsidRDefault="00F96912" w:rsidP="006658D5">
            <w:pPr>
              <w:rPr>
                <w:sz w:val="16"/>
                <w:szCs w:val="16"/>
              </w:rPr>
            </w:pPr>
            <w:r w:rsidRPr="001E6DFD">
              <w:rPr>
                <w:sz w:val="16"/>
                <w:szCs w:val="16"/>
              </w:rPr>
              <w:t>85% de participants satisfaits</w:t>
            </w:r>
          </w:p>
        </w:tc>
        <w:tc>
          <w:tcPr>
            <w:tcW w:w="1322" w:type="pct"/>
            <w:shd w:val="clear" w:color="auto" w:fill="FFFFFF"/>
            <w:tcMar>
              <w:top w:w="110" w:type="dxa"/>
              <w:left w:w="58" w:type="dxa"/>
              <w:right w:w="58" w:type="dxa"/>
            </w:tcMar>
          </w:tcPr>
          <w:p w14:paraId="649E8C59" w14:textId="77777777" w:rsidR="00F96912" w:rsidRPr="0067214C" w:rsidRDefault="00F96912" w:rsidP="006658D5">
            <w:pPr>
              <w:rPr>
                <w:sz w:val="16"/>
                <w:szCs w:val="16"/>
              </w:rPr>
            </w:pPr>
            <w:r w:rsidRPr="0067214C">
              <w:rPr>
                <w:sz w:val="16"/>
                <w:szCs w:val="16"/>
              </w:rPr>
              <w:t>12 manifestations principalement axées sur le système de Lisbonne, y compris sur ses évolutions récentes, avec 86% de participants satisfaits (Enquête menée lors d’un seul événement)</w:t>
            </w:r>
          </w:p>
        </w:tc>
        <w:tc>
          <w:tcPr>
            <w:tcW w:w="511" w:type="pct"/>
            <w:shd w:val="clear" w:color="auto" w:fill="auto"/>
            <w:tcMar>
              <w:top w:w="110" w:type="dxa"/>
              <w:left w:w="58" w:type="dxa"/>
              <w:right w:w="58" w:type="dxa"/>
            </w:tcMar>
          </w:tcPr>
          <w:p w14:paraId="317B2DE4" w14:textId="77777777" w:rsidR="00F96912" w:rsidRPr="001E6DFD" w:rsidRDefault="00F96912" w:rsidP="006658D5">
            <w:pPr>
              <w:jc w:val="center"/>
              <w:rPr>
                <w:b/>
                <w:sz w:val="16"/>
                <w:szCs w:val="16"/>
              </w:rPr>
            </w:pPr>
            <w:r w:rsidRPr="001E6DFD">
              <w:rPr>
                <w:b/>
                <w:color w:val="00B050"/>
                <w:sz w:val="16"/>
                <w:szCs w:val="16"/>
              </w:rPr>
              <w:t>En bonne voie</w:t>
            </w:r>
          </w:p>
        </w:tc>
      </w:tr>
      <w:tr w:rsidR="00F96912" w:rsidRPr="001E6DFD" w14:paraId="1340D9E9" w14:textId="77777777" w:rsidTr="006658D5">
        <w:tc>
          <w:tcPr>
            <w:tcW w:w="1121" w:type="pct"/>
            <w:shd w:val="clear" w:color="auto" w:fill="auto"/>
            <w:tcMar>
              <w:left w:w="58" w:type="dxa"/>
              <w:right w:w="58" w:type="dxa"/>
            </w:tcMar>
          </w:tcPr>
          <w:p w14:paraId="537A3284" w14:textId="77777777" w:rsidR="00F96912" w:rsidRPr="001E6DFD" w:rsidRDefault="00F96912" w:rsidP="006658D5">
            <w:pPr>
              <w:rPr>
                <w:sz w:val="16"/>
                <w:szCs w:val="16"/>
              </w:rPr>
            </w:pPr>
            <w:r w:rsidRPr="001E6DFD">
              <w:rPr>
                <w:sz w:val="16"/>
                <w:szCs w:val="16"/>
              </w:rPr>
              <w:t>Nombre de demandes internationales et d’autres transactions (Lisbonne)</w:t>
            </w:r>
          </w:p>
        </w:tc>
        <w:tc>
          <w:tcPr>
            <w:tcW w:w="1324" w:type="pct"/>
            <w:shd w:val="clear" w:color="auto" w:fill="auto"/>
            <w:tcMar>
              <w:left w:w="58" w:type="dxa"/>
              <w:right w:w="58" w:type="dxa"/>
            </w:tcMar>
          </w:tcPr>
          <w:p w14:paraId="11F0D024"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5E6DB4EA" w14:textId="77777777" w:rsidR="00F96912" w:rsidRPr="0067214C" w:rsidRDefault="00F96912" w:rsidP="006658D5">
            <w:pPr>
              <w:rPr>
                <w:color w:val="002060"/>
                <w:sz w:val="16"/>
                <w:szCs w:val="16"/>
              </w:rPr>
            </w:pPr>
            <w:r w:rsidRPr="0067214C">
              <w:rPr>
                <w:color w:val="002060"/>
                <w:sz w:val="16"/>
                <w:szCs w:val="16"/>
              </w:rPr>
              <w:t>259 transactions en 2014</w:t>
            </w:r>
            <w:r w:rsidRPr="0067214C">
              <w:rPr>
                <w:color w:val="002060"/>
                <w:sz w:val="16"/>
                <w:szCs w:val="16"/>
              </w:rPr>
              <w:noBreakHyphen/>
              <w:t>2015 :</w:t>
            </w:r>
            <w:r w:rsidRPr="0067214C">
              <w:rPr>
                <w:color w:val="002060"/>
                <w:sz w:val="16"/>
                <w:szCs w:val="16"/>
              </w:rPr>
              <w:br/>
              <w:t>– 115 demandes internationales</w:t>
            </w:r>
            <w:r w:rsidRPr="0067214C">
              <w:rPr>
                <w:color w:val="002060"/>
                <w:sz w:val="16"/>
                <w:szCs w:val="16"/>
              </w:rPr>
              <w:br/>
              <w:t>– 105 déclarations d’octroi de la protection</w:t>
            </w:r>
            <w:r w:rsidRPr="0067214C">
              <w:rPr>
                <w:color w:val="002060"/>
                <w:sz w:val="16"/>
                <w:szCs w:val="16"/>
              </w:rPr>
              <w:br/>
              <w:t>– 39 déclarations de refus</w:t>
            </w:r>
          </w:p>
          <w:p w14:paraId="31C26BEC" w14:textId="77777777" w:rsidR="00F96912" w:rsidRPr="001E6DFD" w:rsidRDefault="00F96912" w:rsidP="006658D5">
            <w:pPr>
              <w:rPr>
                <w:sz w:val="16"/>
                <w:szCs w:val="16"/>
              </w:rPr>
            </w:pPr>
          </w:p>
          <w:p w14:paraId="0AB2FA54"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0F3A27D5" w14:textId="77777777" w:rsidR="00F96912" w:rsidRPr="001E6DFD" w:rsidRDefault="00F96912" w:rsidP="006658D5">
            <w:pPr>
              <w:rPr>
                <w:sz w:val="16"/>
                <w:szCs w:val="16"/>
              </w:rPr>
            </w:pPr>
            <w:r w:rsidRPr="001E6DFD">
              <w:rPr>
                <w:sz w:val="16"/>
                <w:szCs w:val="16"/>
              </w:rPr>
              <w:t>121 transactions en 2014 :</w:t>
            </w:r>
            <w:r w:rsidRPr="001E6DFD">
              <w:rPr>
                <w:sz w:val="16"/>
                <w:szCs w:val="16"/>
              </w:rPr>
              <w:br/>
              <w:t>– 80 demandes internationales</w:t>
            </w:r>
            <w:r w:rsidRPr="001E6DFD">
              <w:rPr>
                <w:sz w:val="16"/>
                <w:szCs w:val="16"/>
              </w:rPr>
              <w:br/>
              <w:t xml:space="preserve">– 26 déclarations d’octroi de la </w:t>
            </w:r>
            <w:r w:rsidRPr="001E6DFD">
              <w:rPr>
                <w:sz w:val="16"/>
                <w:szCs w:val="16"/>
              </w:rPr>
              <w:lastRenderedPageBreak/>
              <w:t>protection</w:t>
            </w:r>
            <w:r w:rsidRPr="001E6DFD">
              <w:rPr>
                <w:sz w:val="16"/>
                <w:szCs w:val="16"/>
              </w:rPr>
              <w:br/>
              <w:t>– 15 déclarations de refus</w:t>
            </w:r>
          </w:p>
        </w:tc>
        <w:tc>
          <w:tcPr>
            <w:tcW w:w="722" w:type="pct"/>
            <w:shd w:val="clear" w:color="auto" w:fill="auto"/>
            <w:tcMar>
              <w:top w:w="110" w:type="dxa"/>
              <w:left w:w="58" w:type="dxa"/>
              <w:right w:w="58" w:type="dxa"/>
            </w:tcMar>
          </w:tcPr>
          <w:p w14:paraId="4516DC83" w14:textId="77777777" w:rsidR="00F96912" w:rsidRPr="0067214C" w:rsidRDefault="00F96912" w:rsidP="006658D5">
            <w:pPr>
              <w:rPr>
                <w:i/>
                <w:color w:val="002060"/>
                <w:sz w:val="16"/>
                <w:szCs w:val="16"/>
              </w:rPr>
            </w:pPr>
            <w:r w:rsidRPr="0067214C">
              <w:rPr>
                <w:i/>
                <w:color w:val="002060"/>
                <w:sz w:val="16"/>
                <w:szCs w:val="16"/>
              </w:rPr>
              <w:lastRenderedPageBreak/>
              <w:t>Objectif actualisé :</w:t>
            </w:r>
          </w:p>
          <w:p w14:paraId="19166808" w14:textId="77777777" w:rsidR="00F96912" w:rsidRPr="0067214C" w:rsidRDefault="00F96912" w:rsidP="006658D5">
            <w:pPr>
              <w:rPr>
                <w:color w:val="002060"/>
                <w:sz w:val="16"/>
                <w:szCs w:val="16"/>
              </w:rPr>
            </w:pPr>
            <w:r w:rsidRPr="0067214C">
              <w:rPr>
                <w:color w:val="002060"/>
                <w:sz w:val="16"/>
                <w:szCs w:val="16"/>
              </w:rPr>
              <w:t>120 transactions en 2016</w:t>
            </w:r>
            <w:r w:rsidRPr="0067214C">
              <w:rPr>
                <w:color w:val="002060"/>
                <w:sz w:val="16"/>
                <w:szCs w:val="16"/>
              </w:rPr>
              <w:noBreakHyphen/>
              <w:t>2017 :</w:t>
            </w:r>
            <w:r w:rsidRPr="0067214C">
              <w:rPr>
                <w:color w:val="002060"/>
                <w:sz w:val="16"/>
                <w:szCs w:val="16"/>
              </w:rPr>
              <w:br/>
              <w:t>– 20 nouvelles demandes internationales (par an)</w:t>
            </w:r>
            <w:r w:rsidRPr="0067214C">
              <w:rPr>
                <w:color w:val="002060"/>
                <w:sz w:val="16"/>
                <w:szCs w:val="16"/>
              </w:rPr>
              <w:br/>
              <w:t>– 60 déclarations d’octroi de la protection</w:t>
            </w:r>
            <w:r w:rsidRPr="0067214C">
              <w:rPr>
                <w:color w:val="002060"/>
                <w:sz w:val="16"/>
                <w:szCs w:val="16"/>
              </w:rPr>
              <w:br/>
              <w:t>– 20 déclarations de refus</w:t>
            </w:r>
          </w:p>
          <w:p w14:paraId="0BA1B79A" w14:textId="77777777" w:rsidR="00F96912" w:rsidRPr="001E6DFD" w:rsidRDefault="00F96912" w:rsidP="006658D5">
            <w:pPr>
              <w:rPr>
                <w:i/>
                <w:sz w:val="16"/>
                <w:szCs w:val="16"/>
              </w:rPr>
            </w:pPr>
          </w:p>
          <w:p w14:paraId="560D475E" w14:textId="77777777" w:rsidR="00F96912" w:rsidRPr="001E6DFD" w:rsidRDefault="00F96912" w:rsidP="006658D5">
            <w:pPr>
              <w:rPr>
                <w:sz w:val="16"/>
                <w:szCs w:val="16"/>
              </w:rPr>
            </w:pPr>
            <w:r w:rsidRPr="001E6DFD">
              <w:rPr>
                <w:i/>
                <w:sz w:val="16"/>
                <w:szCs w:val="16"/>
              </w:rPr>
              <w:t>Objectif initial dans le programme et budget 2016</w:t>
            </w:r>
            <w:r w:rsidRPr="001E6DFD">
              <w:rPr>
                <w:i/>
                <w:sz w:val="16"/>
                <w:szCs w:val="16"/>
              </w:rPr>
              <w:noBreakHyphen/>
              <w:t xml:space="preserve">2017 : </w:t>
            </w:r>
            <w:r w:rsidRPr="001E6DFD">
              <w:rPr>
                <w:sz w:val="16"/>
                <w:szCs w:val="16"/>
              </w:rPr>
              <w:t>100 transactions en 2016</w:t>
            </w:r>
            <w:r w:rsidRPr="001E6DFD">
              <w:rPr>
                <w:sz w:val="16"/>
                <w:szCs w:val="16"/>
              </w:rPr>
              <w:noBreakHyphen/>
              <w:t>2017</w:t>
            </w:r>
            <w:r w:rsidRPr="001E6DFD">
              <w:rPr>
                <w:sz w:val="16"/>
                <w:szCs w:val="16"/>
              </w:rPr>
              <w:br/>
            </w:r>
            <w:r w:rsidRPr="001E6DFD">
              <w:rPr>
                <w:sz w:val="16"/>
                <w:szCs w:val="16"/>
              </w:rPr>
              <w:noBreakHyphen/>
              <w:t xml:space="preserve"> 20 nouvelles demandes internationales (par an)</w:t>
            </w:r>
            <w:r w:rsidRPr="001E6DFD">
              <w:rPr>
                <w:sz w:val="16"/>
                <w:szCs w:val="16"/>
              </w:rPr>
              <w:br/>
            </w:r>
            <w:r w:rsidRPr="001E6DFD">
              <w:rPr>
                <w:sz w:val="16"/>
                <w:szCs w:val="16"/>
              </w:rPr>
              <w:noBreakHyphen/>
              <w:t xml:space="preserve"> 60 déclarations d’octroi de la protection</w:t>
            </w:r>
            <w:r w:rsidRPr="001E6DFD">
              <w:rPr>
                <w:sz w:val="16"/>
                <w:szCs w:val="16"/>
              </w:rPr>
              <w:br/>
            </w:r>
            <w:r w:rsidRPr="001E6DFD">
              <w:rPr>
                <w:sz w:val="16"/>
                <w:szCs w:val="16"/>
              </w:rPr>
              <w:noBreakHyphen/>
              <w:t xml:space="preserve"> 20 déclarations de refus</w:t>
            </w:r>
          </w:p>
        </w:tc>
        <w:tc>
          <w:tcPr>
            <w:tcW w:w="1322" w:type="pct"/>
            <w:shd w:val="clear" w:color="auto" w:fill="FFFFFF"/>
            <w:tcMar>
              <w:top w:w="110" w:type="dxa"/>
              <w:left w:w="58" w:type="dxa"/>
              <w:right w:w="58" w:type="dxa"/>
            </w:tcMar>
          </w:tcPr>
          <w:p w14:paraId="5677B25F" w14:textId="77777777" w:rsidR="00F96912" w:rsidRPr="00CA7EBF" w:rsidRDefault="00F96912" w:rsidP="006658D5">
            <w:pPr>
              <w:rPr>
                <w:sz w:val="16"/>
                <w:szCs w:val="16"/>
              </w:rPr>
            </w:pPr>
          </w:p>
          <w:p w14:paraId="4902BC74" w14:textId="77777777" w:rsidR="00F96912" w:rsidRPr="00CA7EBF" w:rsidRDefault="00F96912" w:rsidP="006658D5">
            <w:pPr>
              <w:rPr>
                <w:sz w:val="16"/>
                <w:szCs w:val="16"/>
              </w:rPr>
            </w:pPr>
          </w:p>
          <w:p w14:paraId="09049519" w14:textId="0431FC79" w:rsidR="00F96912" w:rsidRPr="00CA7EBF" w:rsidRDefault="00F96912" w:rsidP="006658D5">
            <w:pPr>
              <w:rPr>
                <w:sz w:val="16"/>
                <w:szCs w:val="16"/>
              </w:rPr>
            </w:pPr>
            <w:r w:rsidRPr="00CA7EBF">
              <w:rPr>
                <w:sz w:val="16"/>
                <w:szCs w:val="16"/>
              </w:rPr>
              <w:t>8</w:t>
            </w:r>
            <w:r w:rsidR="00A369A1" w:rsidRPr="00CA7EBF">
              <w:rPr>
                <w:sz w:val="16"/>
                <w:szCs w:val="16"/>
              </w:rPr>
              <w:t>9</w:t>
            </w:r>
            <w:r w:rsidRPr="00CA7EBF">
              <w:rPr>
                <w:sz w:val="16"/>
                <w:szCs w:val="16"/>
              </w:rPr>
              <w:t xml:space="preserve"> transactions en 2016 :</w:t>
            </w:r>
          </w:p>
          <w:p w14:paraId="0FD8833A" w14:textId="77777777" w:rsidR="00F96912" w:rsidRPr="00CA7EBF" w:rsidRDefault="00F96912" w:rsidP="006658D5">
            <w:pPr>
              <w:rPr>
                <w:sz w:val="16"/>
                <w:szCs w:val="16"/>
              </w:rPr>
            </w:pPr>
          </w:p>
          <w:p w14:paraId="002F02D1" w14:textId="77777777" w:rsidR="00F96912" w:rsidRPr="00CA7EBF" w:rsidRDefault="00F96912" w:rsidP="00D544B8">
            <w:pPr>
              <w:pStyle w:val="ListParagraph"/>
              <w:numPr>
                <w:ilvl w:val="0"/>
                <w:numId w:val="24"/>
              </w:numPr>
              <w:ind w:left="0" w:hanging="210"/>
              <w:rPr>
                <w:rFonts w:ascii="Arial" w:hAnsi="Arial" w:cs="Arial"/>
                <w:sz w:val="16"/>
                <w:szCs w:val="16"/>
              </w:rPr>
            </w:pPr>
            <w:r w:rsidRPr="00CA7EBF">
              <w:rPr>
                <w:rFonts w:ascii="Arial" w:hAnsi="Arial" w:cs="Arial"/>
                <w:sz w:val="16"/>
                <w:szCs w:val="16"/>
              </w:rPr>
              <w:t>– 25 demandes internationales</w:t>
            </w:r>
          </w:p>
          <w:p w14:paraId="268BCEFD" w14:textId="77777777" w:rsidR="00F96912" w:rsidRPr="00CA7EBF" w:rsidRDefault="00F96912" w:rsidP="006658D5">
            <w:pPr>
              <w:pStyle w:val="ListParagraph"/>
              <w:ind w:left="0"/>
              <w:rPr>
                <w:rFonts w:ascii="Arial" w:hAnsi="Arial" w:cs="Arial"/>
                <w:sz w:val="16"/>
                <w:szCs w:val="16"/>
              </w:rPr>
            </w:pPr>
          </w:p>
          <w:p w14:paraId="5C908931" w14:textId="77777777" w:rsidR="00F96912" w:rsidRPr="00CA7EBF" w:rsidRDefault="00F96912" w:rsidP="006658D5">
            <w:pPr>
              <w:pStyle w:val="ListParagraph"/>
              <w:ind w:left="0"/>
              <w:rPr>
                <w:rFonts w:ascii="Arial" w:hAnsi="Arial" w:cs="Arial"/>
                <w:sz w:val="16"/>
                <w:szCs w:val="16"/>
              </w:rPr>
            </w:pPr>
          </w:p>
          <w:p w14:paraId="2FEBF764" w14:textId="3CA76E9D" w:rsidR="00F96912" w:rsidRPr="00CA7EBF" w:rsidRDefault="00A369A1" w:rsidP="006658D5">
            <w:pPr>
              <w:pStyle w:val="ListParagraph"/>
              <w:ind w:left="0"/>
              <w:rPr>
                <w:rFonts w:ascii="Arial" w:hAnsi="Arial" w:cs="Arial"/>
                <w:sz w:val="16"/>
                <w:szCs w:val="16"/>
              </w:rPr>
            </w:pPr>
            <w:r w:rsidRPr="00CA7EBF">
              <w:rPr>
                <w:rFonts w:ascii="Arial" w:hAnsi="Arial" w:cs="Arial"/>
                <w:sz w:val="16"/>
                <w:szCs w:val="16"/>
              </w:rPr>
              <w:t>Autres transactions :</w:t>
            </w:r>
          </w:p>
          <w:p w14:paraId="0A7E81F6" w14:textId="77777777" w:rsidR="00F96912" w:rsidRPr="00CA7EBF" w:rsidRDefault="00F96912" w:rsidP="00D544B8">
            <w:pPr>
              <w:pStyle w:val="ListParagraph"/>
              <w:numPr>
                <w:ilvl w:val="0"/>
                <w:numId w:val="24"/>
              </w:numPr>
              <w:ind w:left="0" w:hanging="210"/>
              <w:rPr>
                <w:rFonts w:ascii="Arial" w:hAnsi="Arial" w:cs="Arial"/>
                <w:sz w:val="16"/>
                <w:szCs w:val="16"/>
              </w:rPr>
            </w:pPr>
            <w:r w:rsidRPr="00CA7EBF">
              <w:rPr>
                <w:rFonts w:ascii="Arial" w:hAnsi="Arial" w:cs="Arial"/>
                <w:sz w:val="16"/>
                <w:szCs w:val="16"/>
              </w:rPr>
              <w:t>– 8 déclarations d’octroi de la protection</w:t>
            </w:r>
          </w:p>
          <w:p w14:paraId="28F21C56" w14:textId="77777777" w:rsidR="00F96912" w:rsidRPr="00CA7EBF" w:rsidRDefault="00F96912" w:rsidP="00D544B8">
            <w:pPr>
              <w:pStyle w:val="ListParagraph"/>
              <w:numPr>
                <w:ilvl w:val="0"/>
                <w:numId w:val="24"/>
              </w:numPr>
              <w:ind w:left="0" w:hanging="210"/>
              <w:rPr>
                <w:rFonts w:ascii="Arial" w:hAnsi="Arial" w:cs="Arial"/>
                <w:sz w:val="16"/>
                <w:szCs w:val="16"/>
              </w:rPr>
            </w:pPr>
            <w:r w:rsidRPr="00CA7EBF">
              <w:rPr>
                <w:rFonts w:ascii="Arial" w:hAnsi="Arial" w:cs="Arial"/>
                <w:sz w:val="16"/>
                <w:szCs w:val="16"/>
              </w:rPr>
              <w:t>– 54 déclarations de refus</w:t>
            </w:r>
          </w:p>
          <w:p w14:paraId="38A04ED5" w14:textId="6B35DBE4" w:rsidR="00A369A1" w:rsidRPr="00CA7EBF" w:rsidRDefault="00A369A1" w:rsidP="00D544B8">
            <w:pPr>
              <w:pStyle w:val="ListParagraph"/>
              <w:numPr>
                <w:ilvl w:val="0"/>
                <w:numId w:val="24"/>
              </w:numPr>
              <w:ind w:left="0" w:hanging="210"/>
              <w:rPr>
                <w:rFonts w:ascii="Arial" w:hAnsi="Arial" w:cs="Arial"/>
                <w:sz w:val="16"/>
                <w:szCs w:val="16"/>
              </w:rPr>
            </w:pPr>
            <w:r w:rsidRPr="00CA7EBF">
              <w:rPr>
                <w:rFonts w:ascii="Arial" w:hAnsi="Arial" w:cs="Arial"/>
                <w:sz w:val="16"/>
                <w:szCs w:val="16"/>
              </w:rPr>
              <w:t>– 2 retraits de refus</w:t>
            </w:r>
          </w:p>
        </w:tc>
        <w:tc>
          <w:tcPr>
            <w:tcW w:w="511" w:type="pct"/>
            <w:shd w:val="clear" w:color="auto" w:fill="auto"/>
            <w:tcMar>
              <w:top w:w="110" w:type="dxa"/>
              <w:left w:w="58" w:type="dxa"/>
              <w:right w:w="58" w:type="dxa"/>
            </w:tcMar>
          </w:tcPr>
          <w:p w14:paraId="78FD1046" w14:textId="77777777" w:rsidR="00F96912" w:rsidRPr="00CA7EBF" w:rsidRDefault="00F96912" w:rsidP="006658D5">
            <w:pPr>
              <w:jc w:val="center"/>
              <w:rPr>
                <w:b/>
                <w:sz w:val="16"/>
                <w:szCs w:val="16"/>
              </w:rPr>
            </w:pPr>
          </w:p>
          <w:p w14:paraId="1F6657E6" w14:textId="77777777" w:rsidR="00F96912" w:rsidRPr="00CA7EBF" w:rsidRDefault="00F96912" w:rsidP="006658D5">
            <w:pPr>
              <w:jc w:val="center"/>
              <w:rPr>
                <w:b/>
                <w:sz w:val="16"/>
                <w:szCs w:val="16"/>
              </w:rPr>
            </w:pPr>
          </w:p>
          <w:p w14:paraId="3446DFCF" w14:textId="77777777" w:rsidR="00F96912" w:rsidRPr="00CA7EBF" w:rsidRDefault="00F96912" w:rsidP="006658D5">
            <w:pPr>
              <w:jc w:val="center"/>
              <w:rPr>
                <w:b/>
                <w:sz w:val="16"/>
                <w:szCs w:val="16"/>
              </w:rPr>
            </w:pPr>
          </w:p>
          <w:p w14:paraId="1E04C618" w14:textId="77777777" w:rsidR="00F96912" w:rsidRPr="00CA7EBF" w:rsidRDefault="00F96912" w:rsidP="006658D5">
            <w:pPr>
              <w:jc w:val="center"/>
              <w:rPr>
                <w:b/>
                <w:sz w:val="16"/>
                <w:szCs w:val="16"/>
              </w:rPr>
            </w:pPr>
          </w:p>
          <w:p w14:paraId="38303B8B" w14:textId="77777777" w:rsidR="00F96912" w:rsidRPr="00CA7EBF" w:rsidRDefault="00F96912" w:rsidP="006658D5">
            <w:pPr>
              <w:jc w:val="center"/>
              <w:rPr>
                <w:b/>
                <w:sz w:val="16"/>
                <w:szCs w:val="16"/>
              </w:rPr>
            </w:pPr>
            <w:r w:rsidRPr="00CA7EBF">
              <w:rPr>
                <w:b/>
                <w:color w:val="00B050"/>
                <w:sz w:val="16"/>
                <w:szCs w:val="16"/>
              </w:rPr>
              <w:t>En bonne voie</w:t>
            </w:r>
          </w:p>
          <w:p w14:paraId="2D691F82" w14:textId="77777777" w:rsidR="00F96912" w:rsidRPr="00CA7EBF" w:rsidRDefault="00F96912" w:rsidP="006658D5">
            <w:pPr>
              <w:jc w:val="center"/>
              <w:rPr>
                <w:b/>
                <w:sz w:val="16"/>
                <w:szCs w:val="16"/>
              </w:rPr>
            </w:pPr>
          </w:p>
          <w:p w14:paraId="34EA9A2A" w14:textId="77777777" w:rsidR="00F96912" w:rsidRPr="00CA7EBF" w:rsidRDefault="00F96912" w:rsidP="006658D5">
            <w:pPr>
              <w:jc w:val="center"/>
              <w:rPr>
                <w:b/>
                <w:sz w:val="16"/>
                <w:szCs w:val="16"/>
              </w:rPr>
            </w:pPr>
          </w:p>
          <w:p w14:paraId="23EB419D" w14:textId="77777777" w:rsidR="00F96912" w:rsidRPr="00CA7EBF" w:rsidRDefault="00F96912" w:rsidP="006658D5">
            <w:pPr>
              <w:jc w:val="center"/>
              <w:rPr>
                <w:sz w:val="16"/>
                <w:szCs w:val="16"/>
              </w:rPr>
            </w:pPr>
            <w:r w:rsidRPr="00CA7EBF">
              <w:rPr>
                <w:b/>
                <w:color w:val="00B050"/>
                <w:sz w:val="16"/>
                <w:szCs w:val="16"/>
              </w:rPr>
              <w:t>En bonne voie</w:t>
            </w:r>
          </w:p>
        </w:tc>
      </w:tr>
      <w:tr w:rsidR="00F96912" w:rsidRPr="001E6DFD" w14:paraId="285D74FF" w14:textId="77777777" w:rsidTr="006658D5">
        <w:tc>
          <w:tcPr>
            <w:tcW w:w="1121" w:type="pct"/>
            <w:shd w:val="clear" w:color="auto" w:fill="auto"/>
            <w:tcMar>
              <w:left w:w="58" w:type="dxa"/>
              <w:right w:w="58" w:type="dxa"/>
            </w:tcMar>
          </w:tcPr>
          <w:p w14:paraId="39F48A20" w14:textId="77777777" w:rsidR="00F96912" w:rsidRPr="001E6DFD" w:rsidRDefault="00F96912" w:rsidP="006658D5">
            <w:pPr>
              <w:rPr>
                <w:sz w:val="16"/>
                <w:szCs w:val="16"/>
              </w:rPr>
            </w:pPr>
            <w:r w:rsidRPr="001E6DFD">
              <w:rPr>
                <w:sz w:val="16"/>
                <w:szCs w:val="16"/>
              </w:rPr>
              <w:lastRenderedPageBreak/>
              <w:t>Nombre d’enregistrements internationaux en vigueur en vertu du système de Lisbonne concernant des pays en développement et des PMA (par rapport au nombre total)</w:t>
            </w:r>
          </w:p>
        </w:tc>
        <w:tc>
          <w:tcPr>
            <w:tcW w:w="1324" w:type="pct"/>
            <w:shd w:val="clear" w:color="auto" w:fill="auto"/>
            <w:tcMar>
              <w:left w:w="58" w:type="dxa"/>
              <w:right w:w="58" w:type="dxa"/>
            </w:tcMar>
          </w:tcPr>
          <w:p w14:paraId="7563B63A"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0D52CFA7" w14:textId="77777777" w:rsidR="00F96912" w:rsidRPr="0067214C" w:rsidRDefault="00F96912" w:rsidP="006658D5">
            <w:pPr>
              <w:rPr>
                <w:color w:val="002060"/>
                <w:sz w:val="16"/>
                <w:szCs w:val="16"/>
              </w:rPr>
            </w:pPr>
            <w:r w:rsidRPr="0067214C">
              <w:rPr>
                <w:color w:val="002060"/>
                <w:sz w:val="16"/>
                <w:szCs w:val="16"/>
              </w:rPr>
              <w:t>95 (sur 931) :</w:t>
            </w:r>
          </w:p>
          <w:p w14:paraId="3CF4E175" w14:textId="77777777" w:rsidR="00F96912" w:rsidRPr="0067214C" w:rsidRDefault="00F96912" w:rsidP="006658D5">
            <w:pPr>
              <w:rPr>
                <w:color w:val="002060"/>
                <w:sz w:val="16"/>
                <w:szCs w:val="16"/>
              </w:rPr>
            </w:pPr>
            <w:r>
              <w:rPr>
                <w:color w:val="002060"/>
                <w:sz w:val="16"/>
                <w:szCs w:val="16"/>
              </w:rPr>
              <w:t xml:space="preserve">– </w:t>
            </w:r>
            <w:r w:rsidRPr="0067214C">
              <w:rPr>
                <w:color w:val="002060"/>
                <w:sz w:val="16"/>
                <w:szCs w:val="16"/>
              </w:rPr>
              <w:t>Pays arabes (14)</w:t>
            </w:r>
          </w:p>
          <w:p w14:paraId="197A0A4A" w14:textId="77777777" w:rsidR="00F96912" w:rsidRPr="0067214C" w:rsidRDefault="00F96912" w:rsidP="006658D5">
            <w:pPr>
              <w:rPr>
                <w:color w:val="002060"/>
                <w:sz w:val="16"/>
                <w:szCs w:val="16"/>
              </w:rPr>
            </w:pPr>
            <w:r>
              <w:rPr>
                <w:color w:val="002060"/>
                <w:sz w:val="16"/>
                <w:szCs w:val="16"/>
              </w:rPr>
              <w:t xml:space="preserve">– </w:t>
            </w:r>
            <w:r w:rsidRPr="0067214C">
              <w:rPr>
                <w:color w:val="002060"/>
                <w:sz w:val="16"/>
                <w:szCs w:val="16"/>
              </w:rPr>
              <w:t>Asie et Pacifique (38)</w:t>
            </w:r>
          </w:p>
          <w:p w14:paraId="79E988FA" w14:textId="77777777" w:rsidR="00F96912" w:rsidRPr="0067214C" w:rsidRDefault="00F96912" w:rsidP="006658D5">
            <w:pPr>
              <w:pStyle w:val="ListParagraph"/>
              <w:ind w:left="0"/>
              <w:rPr>
                <w:rFonts w:ascii="Arial" w:hAnsi="Arial" w:cs="Arial"/>
                <w:color w:val="002060"/>
                <w:sz w:val="16"/>
                <w:szCs w:val="16"/>
              </w:rPr>
            </w:pPr>
            <w:r>
              <w:rPr>
                <w:rFonts w:ascii="Arial" w:hAnsi="Arial" w:cs="Arial"/>
                <w:color w:val="002060"/>
                <w:sz w:val="16"/>
                <w:szCs w:val="16"/>
              </w:rPr>
              <w:t xml:space="preserve">– </w:t>
            </w:r>
            <w:r w:rsidRPr="0067214C">
              <w:rPr>
                <w:rFonts w:ascii="Arial" w:hAnsi="Arial" w:cs="Arial"/>
                <w:color w:val="002060"/>
                <w:sz w:val="16"/>
                <w:szCs w:val="16"/>
              </w:rPr>
              <w:t>Amérique latine et Caraïbes (43)</w:t>
            </w:r>
          </w:p>
          <w:p w14:paraId="0F38E5B2" w14:textId="77777777" w:rsidR="00F96912" w:rsidRPr="001E6DFD" w:rsidRDefault="00F96912" w:rsidP="006658D5">
            <w:pPr>
              <w:rPr>
                <w:sz w:val="16"/>
                <w:szCs w:val="16"/>
              </w:rPr>
            </w:pPr>
          </w:p>
          <w:p w14:paraId="14D08F58"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2017E6DB" w14:textId="77777777" w:rsidR="00F96912" w:rsidRPr="001E6DFD" w:rsidRDefault="00F96912" w:rsidP="006658D5">
            <w:pPr>
              <w:rPr>
                <w:sz w:val="16"/>
                <w:szCs w:val="16"/>
              </w:rPr>
            </w:pPr>
            <w:r w:rsidRPr="001E6DFD">
              <w:rPr>
                <w:sz w:val="16"/>
                <w:szCs w:val="16"/>
              </w:rPr>
              <w:t>78 (sur 896)</w:t>
            </w:r>
            <w:r w:rsidRPr="001E6DFD">
              <w:rPr>
                <w:sz w:val="16"/>
                <w:szCs w:val="16"/>
              </w:rPr>
              <w:br/>
              <w:t>(mars 2015)</w:t>
            </w:r>
          </w:p>
        </w:tc>
        <w:tc>
          <w:tcPr>
            <w:tcW w:w="722" w:type="pct"/>
            <w:shd w:val="clear" w:color="auto" w:fill="auto"/>
            <w:tcMar>
              <w:top w:w="110" w:type="dxa"/>
              <w:left w:w="58" w:type="dxa"/>
              <w:right w:w="58" w:type="dxa"/>
            </w:tcMar>
          </w:tcPr>
          <w:p w14:paraId="500028C3" w14:textId="77777777" w:rsidR="00F96912" w:rsidRPr="0067214C" w:rsidRDefault="00F96912" w:rsidP="006658D5">
            <w:pPr>
              <w:rPr>
                <w:i/>
                <w:color w:val="002060"/>
                <w:sz w:val="16"/>
                <w:szCs w:val="16"/>
              </w:rPr>
            </w:pPr>
            <w:r w:rsidRPr="0067214C">
              <w:rPr>
                <w:i/>
                <w:color w:val="002060"/>
                <w:sz w:val="16"/>
                <w:szCs w:val="16"/>
              </w:rPr>
              <w:t>Objectif actualisé :</w:t>
            </w:r>
          </w:p>
          <w:p w14:paraId="3128AC70" w14:textId="77777777" w:rsidR="00F96912" w:rsidRPr="0067214C" w:rsidRDefault="00F96912" w:rsidP="006658D5">
            <w:pPr>
              <w:rPr>
                <w:color w:val="002060"/>
                <w:sz w:val="16"/>
                <w:szCs w:val="16"/>
              </w:rPr>
            </w:pPr>
            <w:r w:rsidRPr="0067214C">
              <w:rPr>
                <w:color w:val="002060"/>
                <w:sz w:val="16"/>
                <w:szCs w:val="16"/>
              </w:rPr>
              <w:t>100 (sur 971)</w:t>
            </w:r>
          </w:p>
          <w:p w14:paraId="006C183D" w14:textId="77777777" w:rsidR="00F96912" w:rsidRPr="001E6DFD" w:rsidRDefault="00F96912" w:rsidP="006658D5">
            <w:pPr>
              <w:rPr>
                <w:i/>
                <w:sz w:val="16"/>
                <w:szCs w:val="16"/>
              </w:rPr>
            </w:pPr>
          </w:p>
          <w:p w14:paraId="4DEA7D94" w14:textId="77777777" w:rsidR="00F96912" w:rsidRPr="001E6DFD" w:rsidRDefault="00F96912" w:rsidP="006658D5">
            <w:pPr>
              <w:rPr>
                <w:i/>
                <w:sz w:val="16"/>
                <w:szCs w:val="16"/>
              </w:rPr>
            </w:pPr>
            <w:r w:rsidRPr="001E6DFD">
              <w:rPr>
                <w:i/>
                <w:sz w:val="16"/>
                <w:szCs w:val="16"/>
              </w:rPr>
              <w:t>Objectif initial dans le programme et budget 2016</w:t>
            </w:r>
            <w:r w:rsidRPr="001E6DFD">
              <w:rPr>
                <w:i/>
                <w:sz w:val="16"/>
                <w:szCs w:val="16"/>
              </w:rPr>
              <w:noBreakHyphen/>
              <w:t>2017 :</w:t>
            </w:r>
          </w:p>
          <w:p w14:paraId="37E0710E" w14:textId="77777777" w:rsidR="00F96912" w:rsidRPr="001E6DFD" w:rsidRDefault="00F96912" w:rsidP="006658D5">
            <w:pPr>
              <w:rPr>
                <w:sz w:val="16"/>
                <w:szCs w:val="16"/>
              </w:rPr>
            </w:pPr>
            <w:r w:rsidRPr="001E6DFD">
              <w:rPr>
                <w:sz w:val="16"/>
                <w:szCs w:val="16"/>
              </w:rPr>
              <w:t>90 (sur 950)</w:t>
            </w:r>
          </w:p>
        </w:tc>
        <w:tc>
          <w:tcPr>
            <w:tcW w:w="1322" w:type="pct"/>
            <w:shd w:val="clear" w:color="auto" w:fill="FFFFFF"/>
            <w:tcMar>
              <w:top w:w="110" w:type="dxa"/>
              <w:left w:w="58" w:type="dxa"/>
              <w:right w:w="58" w:type="dxa"/>
            </w:tcMar>
          </w:tcPr>
          <w:p w14:paraId="385E06AB" w14:textId="77777777" w:rsidR="00F96912" w:rsidRPr="001E6DFD" w:rsidRDefault="00F96912" w:rsidP="006658D5">
            <w:pPr>
              <w:rPr>
                <w:sz w:val="16"/>
                <w:szCs w:val="16"/>
              </w:rPr>
            </w:pPr>
            <w:r w:rsidRPr="001E6DFD">
              <w:rPr>
                <w:sz w:val="16"/>
                <w:szCs w:val="16"/>
              </w:rPr>
              <w:t>95 (sur 1020</w:t>
            </w:r>
            <w:r>
              <w:rPr>
                <w:sz w:val="16"/>
                <w:szCs w:val="16"/>
              </w:rPr>
              <w:t> </w:t>
            </w:r>
            <w:r w:rsidRPr="001E6DFD">
              <w:rPr>
                <w:sz w:val="16"/>
                <w:szCs w:val="16"/>
              </w:rPr>
              <w:t>pays arabes) :</w:t>
            </w:r>
          </w:p>
          <w:p w14:paraId="0A32AD22" w14:textId="77777777" w:rsidR="00F96912" w:rsidRPr="001E6DFD" w:rsidRDefault="00F96912" w:rsidP="00D544B8">
            <w:pPr>
              <w:numPr>
                <w:ilvl w:val="0"/>
                <w:numId w:val="25"/>
              </w:numPr>
              <w:ind w:left="0" w:hanging="210"/>
              <w:rPr>
                <w:sz w:val="16"/>
                <w:szCs w:val="16"/>
              </w:rPr>
            </w:pPr>
            <w:r>
              <w:rPr>
                <w:sz w:val="16"/>
                <w:szCs w:val="16"/>
              </w:rPr>
              <w:t xml:space="preserve">– </w:t>
            </w:r>
            <w:r w:rsidRPr="001E6DFD">
              <w:rPr>
                <w:sz w:val="16"/>
                <w:szCs w:val="16"/>
              </w:rPr>
              <w:t>Pays arabes (14)</w:t>
            </w:r>
          </w:p>
          <w:p w14:paraId="5528B11D" w14:textId="77777777" w:rsidR="00F96912" w:rsidRPr="001E6DFD" w:rsidRDefault="00F96912" w:rsidP="00D544B8">
            <w:pPr>
              <w:numPr>
                <w:ilvl w:val="0"/>
                <w:numId w:val="25"/>
              </w:numPr>
              <w:ind w:left="0" w:hanging="210"/>
              <w:rPr>
                <w:sz w:val="16"/>
                <w:szCs w:val="16"/>
              </w:rPr>
            </w:pPr>
            <w:r>
              <w:rPr>
                <w:sz w:val="16"/>
                <w:szCs w:val="16"/>
              </w:rPr>
              <w:t xml:space="preserve">– </w:t>
            </w:r>
            <w:r w:rsidRPr="001E6DFD">
              <w:rPr>
                <w:sz w:val="16"/>
                <w:szCs w:val="16"/>
              </w:rPr>
              <w:t>Asie et Pacifique (38)</w:t>
            </w:r>
          </w:p>
          <w:p w14:paraId="151F957B" w14:textId="77777777" w:rsidR="00F96912" w:rsidRPr="001E6DFD" w:rsidRDefault="00F96912" w:rsidP="00D544B8">
            <w:pPr>
              <w:pStyle w:val="ListParagraph"/>
              <w:numPr>
                <w:ilvl w:val="0"/>
                <w:numId w:val="25"/>
              </w:numPr>
              <w:ind w:left="0" w:hanging="210"/>
              <w:rPr>
                <w:sz w:val="16"/>
                <w:szCs w:val="16"/>
              </w:rPr>
            </w:pPr>
            <w:r>
              <w:rPr>
                <w:rFonts w:ascii="Arial" w:hAnsi="Arial" w:cs="Arial"/>
                <w:sz w:val="16"/>
                <w:szCs w:val="16"/>
              </w:rPr>
              <w:t xml:space="preserve">– </w:t>
            </w:r>
            <w:r w:rsidRPr="001E6DFD">
              <w:rPr>
                <w:rFonts w:ascii="Arial" w:hAnsi="Arial" w:cs="Arial"/>
                <w:sz w:val="16"/>
                <w:szCs w:val="16"/>
              </w:rPr>
              <w:t>Amérique latine et Caraïbes (43)</w:t>
            </w:r>
          </w:p>
        </w:tc>
        <w:tc>
          <w:tcPr>
            <w:tcW w:w="511" w:type="pct"/>
            <w:shd w:val="clear" w:color="auto" w:fill="auto"/>
            <w:tcMar>
              <w:top w:w="110" w:type="dxa"/>
              <w:left w:w="58" w:type="dxa"/>
              <w:right w:w="58" w:type="dxa"/>
            </w:tcMar>
          </w:tcPr>
          <w:p w14:paraId="77B65165" w14:textId="4F7F429B" w:rsidR="00F96912" w:rsidRPr="001E6DFD" w:rsidRDefault="00A369A1" w:rsidP="00A369A1">
            <w:pPr>
              <w:jc w:val="center"/>
              <w:rPr>
                <w:sz w:val="16"/>
                <w:szCs w:val="16"/>
              </w:rPr>
            </w:pPr>
            <w:r w:rsidRPr="00A369A1">
              <w:rPr>
                <w:b/>
                <w:color w:val="FF0000"/>
                <w:sz w:val="16"/>
                <w:szCs w:val="16"/>
              </w:rPr>
              <w:t>Pas e</w:t>
            </w:r>
            <w:r w:rsidR="00F96912" w:rsidRPr="00A369A1">
              <w:rPr>
                <w:b/>
                <w:color w:val="FF0000"/>
                <w:sz w:val="16"/>
                <w:szCs w:val="16"/>
              </w:rPr>
              <w:t>n bonne voie</w:t>
            </w:r>
          </w:p>
        </w:tc>
      </w:tr>
      <w:tr w:rsidR="00F96912" w:rsidRPr="001E6DFD" w14:paraId="4AA319ED" w14:textId="77777777" w:rsidTr="006658D5">
        <w:tc>
          <w:tcPr>
            <w:tcW w:w="5000" w:type="pct"/>
            <w:gridSpan w:val="5"/>
            <w:shd w:val="clear" w:color="auto" w:fill="C6D9F1" w:themeFill="text2" w:themeFillTint="33"/>
            <w:tcMar>
              <w:left w:w="58" w:type="dxa"/>
              <w:right w:w="58" w:type="dxa"/>
            </w:tcMar>
            <w:vAlign w:val="center"/>
          </w:tcPr>
          <w:p w14:paraId="245E244B" w14:textId="77777777" w:rsidR="00F96912" w:rsidRPr="001E6DFD" w:rsidRDefault="00F96912" w:rsidP="006658D5">
            <w:pPr>
              <w:rPr>
                <w:sz w:val="16"/>
                <w:szCs w:val="16"/>
              </w:rPr>
            </w:pPr>
            <w:r w:rsidRPr="001E6DFD">
              <w:rPr>
                <w:b/>
                <w:sz w:val="16"/>
                <w:szCs w:val="16"/>
              </w:rPr>
              <w:t xml:space="preserve">Résultat escompté : </w:t>
            </w:r>
            <w:r w:rsidRPr="001E6DFD">
              <w:rPr>
                <w:sz w:val="16"/>
                <w:szCs w:val="16"/>
              </w:rPr>
              <w:t>II.11 Amélioration de la productivité et de la qualité de service des opérations du système de Lisbonne</w:t>
            </w:r>
          </w:p>
        </w:tc>
      </w:tr>
      <w:tr w:rsidR="00F96912" w:rsidRPr="001E6DFD" w14:paraId="59A23A06" w14:textId="77777777" w:rsidTr="006658D5">
        <w:tc>
          <w:tcPr>
            <w:tcW w:w="1121" w:type="pct"/>
            <w:shd w:val="clear" w:color="auto" w:fill="auto"/>
            <w:tcMar>
              <w:left w:w="58" w:type="dxa"/>
              <w:right w:w="58" w:type="dxa"/>
            </w:tcMar>
            <w:vAlign w:val="center"/>
          </w:tcPr>
          <w:p w14:paraId="6E267A47" w14:textId="77777777" w:rsidR="00F96912" w:rsidRPr="001E6DFD" w:rsidRDefault="00F96912" w:rsidP="006658D5">
            <w:pPr>
              <w:jc w:val="center"/>
              <w:rPr>
                <w:b/>
                <w:sz w:val="16"/>
                <w:szCs w:val="16"/>
              </w:rPr>
            </w:pPr>
            <w:r w:rsidRPr="001E6DFD">
              <w:rPr>
                <w:b/>
                <w:sz w:val="16"/>
                <w:szCs w:val="16"/>
              </w:rPr>
              <w:t>Indicateurs d’exécution</w:t>
            </w:r>
          </w:p>
        </w:tc>
        <w:tc>
          <w:tcPr>
            <w:tcW w:w="1324" w:type="pct"/>
            <w:shd w:val="clear" w:color="auto" w:fill="auto"/>
            <w:tcMar>
              <w:left w:w="58" w:type="dxa"/>
              <w:right w:w="58" w:type="dxa"/>
            </w:tcMar>
            <w:vAlign w:val="center"/>
          </w:tcPr>
          <w:p w14:paraId="552DE62F" w14:textId="77777777" w:rsidR="00F96912" w:rsidRPr="001E6DFD" w:rsidRDefault="00F96912" w:rsidP="006658D5">
            <w:pPr>
              <w:jc w:val="center"/>
              <w:rPr>
                <w:b/>
                <w:bCs/>
                <w:sz w:val="16"/>
                <w:szCs w:val="16"/>
              </w:rPr>
            </w:pPr>
            <w:r w:rsidRPr="001E6DFD">
              <w:rPr>
                <w:b/>
                <w:bCs/>
                <w:sz w:val="16"/>
                <w:szCs w:val="16"/>
              </w:rPr>
              <w:t>Niveaux de référence</w:t>
            </w:r>
          </w:p>
        </w:tc>
        <w:tc>
          <w:tcPr>
            <w:tcW w:w="722" w:type="pct"/>
            <w:shd w:val="clear" w:color="auto" w:fill="auto"/>
            <w:tcMar>
              <w:top w:w="110" w:type="dxa"/>
              <w:left w:w="58" w:type="dxa"/>
              <w:right w:w="58" w:type="dxa"/>
            </w:tcMar>
            <w:vAlign w:val="center"/>
          </w:tcPr>
          <w:p w14:paraId="5CE48498" w14:textId="77777777" w:rsidR="00F96912" w:rsidRPr="001E6DFD" w:rsidRDefault="00F96912" w:rsidP="006658D5">
            <w:pPr>
              <w:jc w:val="center"/>
              <w:rPr>
                <w:b/>
                <w:bCs/>
                <w:sz w:val="16"/>
                <w:szCs w:val="16"/>
              </w:rPr>
            </w:pPr>
            <w:r w:rsidRPr="001E6DFD">
              <w:rPr>
                <w:b/>
                <w:bCs/>
                <w:sz w:val="16"/>
                <w:szCs w:val="16"/>
              </w:rPr>
              <w:t>Objectifs visés</w:t>
            </w:r>
          </w:p>
        </w:tc>
        <w:tc>
          <w:tcPr>
            <w:tcW w:w="1322" w:type="pct"/>
            <w:shd w:val="clear" w:color="auto" w:fill="FFFFFF"/>
            <w:tcMar>
              <w:top w:w="110" w:type="dxa"/>
              <w:left w:w="58" w:type="dxa"/>
              <w:right w:w="58" w:type="dxa"/>
            </w:tcMar>
            <w:vAlign w:val="center"/>
          </w:tcPr>
          <w:p w14:paraId="45BFAE29" w14:textId="77777777" w:rsidR="00F96912" w:rsidRPr="001E6DFD" w:rsidRDefault="00F96912" w:rsidP="006658D5">
            <w:pPr>
              <w:jc w:val="center"/>
              <w:rPr>
                <w:b/>
                <w:bCs/>
                <w:sz w:val="16"/>
                <w:szCs w:val="16"/>
              </w:rPr>
            </w:pPr>
            <w:r w:rsidRPr="001E6DFD">
              <w:rPr>
                <w:b/>
                <w:bCs/>
                <w:sz w:val="16"/>
                <w:szCs w:val="16"/>
              </w:rPr>
              <w:t>Données relatives à l’exécution</w:t>
            </w:r>
          </w:p>
        </w:tc>
        <w:tc>
          <w:tcPr>
            <w:tcW w:w="511" w:type="pct"/>
            <w:shd w:val="clear" w:color="auto" w:fill="auto"/>
            <w:tcMar>
              <w:top w:w="110" w:type="dxa"/>
              <w:left w:w="58" w:type="dxa"/>
              <w:right w:w="58" w:type="dxa"/>
            </w:tcMar>
            <w:vAlign w:val="center"/>
          </w:tcPr>
          <w:p w14:paraId="658926CC" w14:textId="77777777" w:rsidR="00F96912" w:rsidRPr="001E6DFD" w:rsidRDefault="00F96912" w:rsidP="006658D5">
            <w:pPr>
              <w:jc w:val="center"/>
              <w:rPr>
                <w:b/>
                <w:bCs/>
                <w:sz w:val="16"/>
                <w:szCs w:val="16"/>
              </w:rPr>
            </w:pPr>
            <w:r w:rsidRPr="001E6DFD">
              <w:rPr>
                <w:b/>
                <w:bCs/>
                <w:sz w:val="16"/>
                <w:szCs w:val="16"/>
              </w:rPr>
              <w:t>Code d’évaluation</w:t>
            </w:r>
          </w:p>
        </w:tc>
      </w:tr>
      <w:tr w:rsidR="00F96912" w:rsidRPr="001E6DFD" w14:paraId="4FF35B45" w14:textId="77777777" w:rsidTr="006658D5">
        <w:tc>
          <w:tcPr>
            <w:tcW w:w="1121" w:type="pct"/>
            <w:shd w:val="clear" w:color="auto" w:fill="auto"/>
            <w:tcMar>
              <w:left w:w="58" w:type="dxa"/>
              <w:right w:w="58" w:type="dxa"/>
            </w:tcMar>
          </w:tcPr>
          <w:p w14:paraId="3F98D0D2" w14:textId="77777777" w:rsidR="00F96912" w:rsidRPr="001E6DFD" w:rsidRDefault="00F96912" w:rsidP="006658D5">
            <w:pPr>
              <w:rPr>
                <w:sz w:val="16"/>
                <w:szCs w:val="16"/>
              </w:rPr>
            </w:pPr>
            <w:r w:rsidRPr="001E6DFD">
              <w:rPr>
                <w:sz w:val="16"/>
                <w:szCs w:val="16"/>
              </w:rPr>
              <w:t>Adoption de dispositions rationalisant le cadre juridique du système de Lisbonne</w:t>
            </w:r>
          </w:p>
        </w:tc>
        <w:tc>
          <w:tcPr>
            <w:tcW w:w="1324" w:type="pct"/>
            <w:shd w:val="clear" w:color="auto" w:fill="auto"/>
            <w:tcMar>
              <w:left w:w="58" w:type="dxa"/>
              <w:right w:w="58" w:type="dxa"/>
            </w:tcMar>
          </w:tcPr>
          <w:p w14:paraId="648FDD8E" w14:textId="77777777" w:rsidR="00F96912" w:rsidRPr="0067214C" w:rsidRDefault="00F96912" w:rsidP="006658D5">
            <w:pPr>
              <w:rPr>
                <w:i/>
                <w:color w:val="002060"/>
                <w:sz w:val="16"/>
                <w:szCs w:val="16"/>
              </w:rPr>
            </w:pPr>
            <w:r w:rsidRPr="0067214C">
              <w:rPr>
                <w:i/>
                <w:color w:val="002060"/>
                <w:sz w:val="16"/>
                <w:szCs w:val="16"/>
              </w:rPr>
              <w:t>Niveau de référence actualisé à fin 2015 :</w:t>
            </w:r>
          </w:p>
          <w:p w14:paraId="7E33858C" w14:textId="77777777" w:rsidR="00F96912" w:rsidRPr="0067214C" w:rsidRDefault="00F96912" w:rsidP="006658D5">
            <w:pPr>
              <w:rPr>
                <w:color w:val="002060"/>
                <w:sz w:val="16"/>
                <w:szCs w:val="16"/>
              </w:rPr>
            </w:pPr>
            <w:r w:rsidRPr="0067214C">
              <w:rPr>
                <w:color w:val="002060"/>
                <w:sz w:val="16"/>
                <w:szCs w:val="16"/>
              </w:rPr>
              <w:t>Acte de Genève de l’Arrangement de Lisbonne sur les appellations d’origine et les indications géographiques adopté en mai 2015</w:t>
            </w:r>
          </w:p>
          <w:p w14:paraId="19973A75" w14:textId="77777777" w:rsidR="00F96912" w:rsidRPr="001E6DFD" w:rsidRDefault="00F96912" w:rsidP="006658D5">
            <w:pPr>
              <w:rPr>
                <w:sz w:val="16"/>
                <w:szCs w:val="16"/>
              </w:rPr>
            </w:pPr>
          </w:p>
          <w:p w14:paraId="59AA51E0" w14:textId="77777777" w:rsidR="00F96912" w:rsidRPr="001E6DFD" w:rsidRDefault="00F96912" w:rsidP="006658D5">
            <w:pPr>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7613E121" w14:textId="77777777" w:rsidR="00F96912" w:rsidRPr="001E6DFD" w:rsidRDefault="00F96912" w:rsidP="006658D5">
            <w:pPr>
              <w:rPr>
                <w:sz w:val="16"/>
                <w:szCs w:val="16"/>
              </w:rPr>
            </w:pPr>
            <w:r w:rsidRPr="001E6DFD">
              <w:rPr>
                <w:sz w:val="16"/>
                <w:szCs w:val="16"/>
              </w:rPr>
              <w:t>Cadre juridique actuel et cadre juridique de l’Acte de Genève de mai 2015</w:t>
            </w:r>
          </w:p>
        </w:tc>
        <w:tc>
          <w:tcPr>
            <w:tcW w:w="722" w:type="pct"/>
            <w:shd w:val="clear" w:color="auto" w:fill="auto"/>
            <w:tcMar>
              <w:top w:w="110" w:type="dxa"/>
              <w:left w:w="58" w:type="dxa"/>
              <w:right w:w="58" w:type="dxa"/>
            </w:tcMar>
          </w:tcPr>
          <w:p w14:paraId="73B09842" w14:textId="77777777" w:rsidR="00F96912" w:rsidRPr="001E6DFD" w:rsidRDefault="00F96912" w:rsidP="006658D5">
            <w:pPr>
              <w:rPr>
                <w:sz w:val="16"/>
                <w:szCs w:val="16"/>
              </w:rPr>
            </w:pPr>
            <w:r w:rsidRPr="001E6DFD">
              <w:rPr>
                <w:sz w:val="16"/>
                <w:szCs w:val="16"/>
              </w:rPr>
              <w:t>Adoption d’un règlement d’exécution commun selon l’Arrangement de Lisbonne et l’Acte de Genève</w:t>
            </w:r>
          </w:p>
        </w:tc>
        <w:tc>
          <w:tcPr>
            <w:tcW w:w="1322" w:type="pct"/>
            <w:shd w:val="clear" w:color="auto" w:fill="FFFFFF"/>
            <w:tcMar>
              <w:top w:w="110" w:type="dxa"/>
              <w:left w:w="58" w:type="dxa"/>
              <w:right w:w="58" w:type="dxa"/>
            </w:tcMar>
          </w:tcPr>
          <w:p w14:paraId="58CE241F" w14:textId="77777777" w:rsidR="00F96912" w:rsidRPr="0067214C" w:rsidRDefault="00F96912" w:rsidP="006658D5">
            <w:pPr>
              <w:rPr>
                <w:sz w:val="16"/>
                <w:szCs w:val="16"/>
              </w:rPr>
            </w:pPr>
            <w:r w:rsidRPr="0067214C">
              <w:rPr>
                <w:sz w:val="16"/>
                <w:szCs w:val="16"/>
              </w:rPr>
              <w:t>En juin 2016, lors de sa première session pour la préparation du règlement d’exécution commun selon l’Arrangement de Lisbonne et l’Acte de Genève, le groupe de travail a examiné une première ébauche dudit règlement</w:t>
            </w:r>
          </w:p>
        </w:tc>
        <w:tc>
          <w:tcPr>
            <w:tcW w:w="511" w:type="pct"/>
            <w:shd w:val="clear" w:color="auto" w:fill="auto"/>
            <w:tcMar>
              <w:top w:w="110" w:type="dxa"/>
              <w:left w:w="58" w:type="dxa"/>
              <w:right w:w="58" w:type="dxa"/>
            </w:tcMar>
          </w:tcPr>
          <w:p w14:paraId="774C94BF" w14:textId="77777777" w:rsidR="00F96912" w:rsidRPr="001E6DFD" w:rsidRDefault="00F96912" w:rsidP="006658D5">
            <w:pPr>
              <w:jc w:val="center"/>
              <w:rPr>
                <w:sz w:val="16"/>
                <w:szCs w:val="16"/>
              </w:rPr>
            </w:pPr>
            <w:r w:rsidRPr="001E6DFD">
              <w:rPr>
                <w:b/>
                <w:color w:val="00B050"/>
                <w:sz w:val="16"/>
                <w:szCs w:val="16"/>
              </w:rPr>
              <w:t>En bonne voie</w:t>
            </w:r>
          </w:p>
        </w:tc>
      </w:tr>
      <w:tr w:rsidR="00F96912" w:rsidRPr="001E6DFD" w14:paraId="18FCE4E0" w14:textId="77777777" w:rsidTr="006658D5">
        <w:tc>
          <w:tcPr>
            <w:tcW w:w="1121" w:type="pct"/>
            <w:shd w:val="clear" w:color="auto" w:fill="auto"/>
            <w:tcMar>
              <w:left w:w="58" w:type="dxa"/>
              <w:right w:w="58" w:type="dxa"/>
            </w:tcMar>
          </w:tcPr>
          <w:p w14:paraId="460157E2" w14:textId="77777777" w:rsidR="00F96912" w:rsidRPr="001E6DFD" w:rsidRDefault="00F96912" w:rsidP="006658D5">
            <w:pPr>
              <w:rPr>
                <w:sz w:val="16"/>
                <w:szCs w:val="16"/>
              </w:rPr>
            </w:pPr>
            <w:r w:rsidRPr="001E6DFD">
              <w:rPr>
                <w:sz w:val="16"/>
                <w:szCs w:val="16"/>
              </w:rPr>
              <w:t>Utilisation accrue des moyens électroniques pour l’envoi et le traitement des demandes internationales et d’autres transactions (Lisbonne)</w:t>
            </w:r>
          </w:p>
        </w:tc>
        <w:tc>
          <w:tcPr>
            <w:tcW w:w="1324" w:type="pct"/>
            <w:shd w:val="clear" w:color="auto" w:fill="auto"/>
            <w:tcMar>
              <w:left w:w="58" w:type="dxa"/>
              <w:right w:w="58" w:type="dxa"/>
            </w:tcMar>
          </w:tcPr>
          <w:p w14:paraId="3C954F92" w14:textId="77777777" w:rsidR="00F96912" w:rsidRPr="00BC1038" w:rsidRDefault="00F96912" w:rsidP="006658D5">
            <w:pPr>
              <w:rPr>
                <w:i/>
                <w:color w:val="002060"/>
                <w:sz w:val="16"/>
                <w:szCs w:val="16"/>
              </w:rPr>
            </w:pPr>
            <w:r w:rsidRPr="00BC1038">
              <w:rPr>
                <w:i/>
                <w:color w:val="002060"/>
                <w:sz w:val="16"/>
                <w:szCs w:val="16"/>
              </w:rPr>
              <w:t>Niveau de référence actualisé à fin 2015 :</w:t>
            </w:r>
          </w:p>
          <w:p w14:paraId="471A5F0B" w14:textId="77777777" w:rsidR="00F96912" w:rsidRPr="00BC1038" w:rsidRDefault="00F96912" w:rsidP="006658D5">
            <w:pPr>
              <w:rPr>
                <w:color w:val="002060"/>
                <w:sz w:val="16"/>
                <w:szCs w:val="16"/>
              </w:rPr>
            </w:pPr>
            <w:r w:rsidRPr="00BC1038">
              <w:rPr>
                <w:color w:val="002060"/>
                <w:sz w:val="16"/>
                <w:szCs w:val="16"/>
              </w:rPr>
              <w:t>Procédure simplifiée pour les notifications mises en œuvre au moyen du Système de notification des demandes de l’OMPI (WINS)</w:t>
            </w:r>
          </w:p>
          <w:p w14:paraId="59BCFC04" w14:textId="77777777" w:rsidR="00F96912" w:rsidRPr="001E6DFD" w:rsidRDefault="00F96912" w:rsidP="006658D5">
            <w:pPr>
              <w:rPr>
                <w:sz w:val="16"/>
                <w:szCs w:val="16"/>
              </w:rPr>
            </w:pPr>
          </w:p>
          <w:p w14:paraId="421D092F" w14:textId="77777777" w:rsidR="00F96912" w:rsidRPr="00BC1038" w:rsidRDefault="00F96912" w:rsidP="006658D5">
            <w:pPr>
              <w:rPr>
                <w:i/>
                <w:sz w:val="16"/>
                <w:szCs w:val="16"/>
                <w:lang w:bidi="th-TH"/>
              </w:rPr>
            </w:pPr>
            <w:r w:rsidRPr="00BC1038">
              <w:rPr>
                <w:i/>
                <w:sz w:val="16"/>
                <w:szCs w:val="16"/>
                <w:lang w:bidi="th-TH"/>
              </w:rPr>
              <w:t>Niveau de référence initial dans le programme et budget 2016</w:t>
            </w:r>
            <w:r w:rsidRPr="00BC1038">
              <w:rPr>
                <w:i/>
                <w:sz w:val="16"/>
                <w:szCs w:val="16"/>
                <w:lang w:bidi="th-TH"/>
              </w:rPr>
              <w:noBreakHyphen/>
              <w:t>2017 :</w:t>
            </w:r>
          </w:p>
          <w:p w14:paraId="6EF620D8" w14:textId="77777777" w:rsidR="00F96912" w:rsidRDefault="00F96912" w:rsidP="006658D5">
            <w:pPr>
              <w:rPr>
                <w:sz w:val="16"/>
                <w:szCs w:val="16"/>
              </w:rPr>
            </w:pPr>
            <w:r w:rsidRPr="00BC1038">
              <w:rPr>
                <w:sz w:val="16"/>
                <w:szCs w:val="16"/>
              </w:rPr>
              <w:t>Outil de saisie des données actuel</w:t>
            </w:r>
          </w:p>
          <w:p w14:paraId="7356F753" w14:textId="77777777" w:rsidR="00F96912" w:rsidRDefault="00F96912" w:rsidP="006658D5">
            <w:pPr>
              <w:rPr>
                <w:sz w:val="16"/>
                <w:szCs w:val="16"/>
              </w:rPr>
            </w:pPr>
          </w:p>
          <w:p w14:paraId="6A5B2AE7" w14:textId="77777777" w:rsidR="00F96912" w:rsidRPr="001E6DFD" w:rsidRDefault="00F96912" w:rsidP="006658D5">
            <w:pPr>
              <w:rPr>
                <w:sz w:val="16"/>
                <w:szCs w:val="16"/>
              </w:rPr>
            </w:pPr>
            <w:r w:rsidRPr="00BC1038">
              <w:rPr>
                <w:sz w:val="16"/>
                <w:szCs w:val="16"/>
              </w:rPr>
              <w:t>Bulletin et base de données actuels</w:t>
            </w:r>
          </w:p>
        </w:tc>
        <w:tc>
          <w:tcPr>
            <w:tcW w:w="722" w:type="pct"/>
            <w:shd w:val="clear" w:color="auto" w:fill="auto"/>
            <w:tcMar>
              <w:top w:w="110" w:type="dxa"/>
              <w:left w:w="58" w:type="dxa"/>
              <w:right w:w="58" w:type="dxa"/>
            </w:tcMar>
          </w:tcPr>
          <w:p w14:paraId="4689D495" w14:textId="77777777" w:rsidR="00F96912" w:rsidRPr="001E6DFD" w:rsidRDefault="00F96912" w:rsidP="006658D5">
            <w:pPr>
              <w:rPr>
                <w:sz w:val="16"/>
                <w:szCs w:val="16"/>
              </w:rPr>
            </w:pPr>
            <w:r w:rsidRPr="001E6DFD">
              <w:rPr>
                <w:sz w:val="16"/>
                <w:szCs w:val="16"/>
              </w:rPr>
              <w:t>Outil de saisie des données amélioré</w:t>
            </w:r>
          </w:p>
          <w:p w14:paraId="30AD2ADA" w14:textId="77777777" w:rsidR="00F96912" w:rsidRPr="001E6DFD" w:rsidRDefault="00F96912" w:rsidP="006658D5">
            <w:pPr>
              <w:rPr>
                <w:sz w:val="16"/>
                <w:szCs w:val="16"/>
              </w:rPr>
            </w:pPr>
          </w:p>
          <w:p w14:paraId="7E51B50C" w14:textId="77777777" w:rsidR="00F96912" w:rsidRPr="001E6DFD" w:rsidRDefault="00F96912" w:rsidP="006658D5">
            <w:pPr>
              <w:rPr>
                <w:sz w:val="16"/>
                <w:szCs w:val="16"/>
              </w:rPr>
            </w:pPr>
          </w:p>
          <w:p w14:paraId="1F9B94FB" w14:textId="77777777" w:rsidR="00F96912" w:rsidRPr="001E6DFD" w:rsidRDefault="00F96912" w:rsidP="006658D5">
            <w:pPr>
              <w:rPr>
                <w:sz w:val="16"/>
                <w:szCs w:val="16"/>
              </w:rPr>
            </w:pPr>
          </w:p>
          <w:p w14:paraId="2EAF322F" w14:textId="77777777" w:rsidR="00F96912" w:rsidRPr="001E6DFD" w:rsidRDefault="00F96912" w:rsidP="006658D5">
            <w:pPr>
              <w:rPr>
                <w:sz w:val="16"/>
                <w:szCs w:val="16"/>
              </w:rPr>
            </w:pPr>
          </w:p>
          <w:p w14:paraId="1224F61D" w14:textId="77777777" w:rsidR="00F96912" w:rsidRPr="001E6DFD" w:rsidRDefault="00F96912" w:rsidP="006658D5">
            <w:pPr>
              <w:rPr>
                <w:sz w:val="16"/>
                <w:szCs w:val="16"/>
              </w:rPr>
            </w:pPr>
          </w:p>
          <w:p w14:paraId="2F02837D" w14:textId="77777777" w:rsidR="00F96912" w:rsidRPr="001E6DFD" w:rsidRDefault="00F96912" w:rsidP="006658D5">
            <w:pPr>
              <w:rPr>
                <w:sz w:val="16"/>
                <w:szCs w:val="16"/>
              </w:rPr>
            </w:pPr>
          </w:p>
          <w:p w14:paraId="0E7B1ACB" w14:textId="77777777" w:rsidR="00F96912" w:rsidRPr="001E6DFD" w:rsidRDefault="00F96912" w:rsidP="006658D5">
            <w:pPr>
              <w:rPr>
                <w:sz w:val="16"/>
                <w:szCs w:val="16"/>
              </w:rPr>
            </w:pPr>
          </w:p>
          <w:p w14:paraId="23BFA30F" w14:textId="77777777" w:rsidR="00F96912" w:rsidRPr="001E6DFD" w:rsidRDefault="00F96912" w:rsidP="006658D5">
            <w:pPr>
              <w:rPr>
                <w:sz w:val="16"/>
                <w:szCs w:val="16"/>
              </w:rPr>
            </w:pPr>
          </w:p>
          <w:p w14:paraId="09DF2A9A" w14:textId="77777777" w:rsidR="00F96912" w:rsidRDefault="00F96912" w:rsidP="006658D5">
            <w:pPr>
              <w:rPr>
                <w:sz w:val="16"/>
                <w:szCs w:val="16"/>
              </w:rPr>
            </w:pPr>
          </w:p>
          <w:p w14:paraId="5172199B" w14:textId="77777777" w:rsidR="00F96912" w:rsidRDefault="00F96912" w:rsidP="006658D5">
            <w:pPr>
              <w:rPr>
                <w:sz w:val="16"/>
                <w:szCs w:val="16"/>
              </w:rPr>
            </w:pPr>
          </w:p>
          <w:p w14:paraId="214D29F9" w14:textId="77777777" w:rsidR="00F96912" w:rsidRPr="001E6DFD" w:rsidRDefault="00F96912" w:rsidP="006658D5">
            <w:pPr>
              <w:rPr>
                <w:sz w:val="16"/>
                <w:szCs w:val="16"/>
              </w:rPr>
            </w:pPr>
          </w:p>
          <w:p w14:paraId="2850070E" w14:textId="77777777" w:rsidR="00F96912" w:rsidRPr="001E6DFD" w:rsidRDefault="00F96912" w:rsidP="006658D5">
            <w:pPr>
              <w:rPr>
                <w:sz w:val="16"/>
                <w:szCs w:val="16"/>
              </w:rPr>
            </w:pPr>
            <w:r w:rsidRPr="001E6DFD">
              <w:rPr>
                <w:sz w:val="16"/>
                <w:szCs w:val="16"/>
              </w:rPr>
              <w:t>Intégration du Bulletin dans la base de données “</w:t>
            </w:r>
            <w:proofErr w:type="spellStart"/>
            <w:r w:rsidRPr="001E6DFD">
              <w:rPr>
                <w:sz w:val="16"/>
                <w:szCs w:val="16"/>
              </w:rPr>
              <w:t>Lisbon</w:t>
            </w:r>
            <w:proofErr w:type="spellEnd"/>
            <w:r w:rsidRPr="001E6DFD">
              <w:rPr>
                <w:sz w:val="16"/>
                <w:szCs w:val="16"/>
              </w:rPr>
              <w:t xml:space="preserve"> Express”</w:t>
            </w:r>
          </w:p>
        </w:tc>
        <w:tc>
          <w:tcPr>
            <w:tcW w:w="1322" w:type="pct"/>
            <w:shd w:val="clear" w:color="auto" w:fill="FFFFFF"/>
            <w:tcMar>
              <w:top w:w="110" w:type="dxa"/>
              <w:left w:w="58" w:type="dxa"/>
              <w:right w:w="58" w:type="dxa"/>
            </w:tcMar>
          </w:tcPr>
          <w:p w14:paraId="212B7682" w14:textId="40632C84" w:rsidR="00F96912" w:rsidRPr="0067214C" w:rsidRDefault="00F96912" w:rsidP="006658D5">
            <w:pPr>
              <w:rPr>
                <w:sz w:val="16"/>
                <w:szCs w:val="16"/>
              </w:rPr>
            </w:pPr>
            <w:r w:rsidRPr="0067214C">
              <w:rPr>
                <w:sz w:val="16"/>
                <w:szCs w:val="16"/>
              </w:rPr>
              <w:t xml:space="preserve">Données opérationnelles fournies afin d’améliorer les outils informatiques actuels et permettre la transmission de notifications électroniques aux autorités compétentes, y compris les certificats et les </w:t>
            </w:r>
            <w:r w:rsidR="00CA7EBF">
              <w:rPr>
                <w:sz w:val="16"/>
                <w:szCs w:val="16"/>
              </w:rPr>
              <w:t>communications officielles</w:t>
            </w:r>
          </w:p>
          <w:p w14:paraId="1B6E2B93" w14:textId="77777777" w:rsidR="00F96912" w:rsidRPr="001303B4" w:rsidRDefault="00F96912" w:rsidP="006658D5">
            <w:pPr>
              <w:rPr>
                <w:sz w:val="16"/>
                <w:szCs w:val="16"/>
              </w:rPr>
            </w:pPr>
          </w:p>
          <w:p w14:paraId="6C8A71C7" w14:textId="77777777" w:rsidR="00F96912" w:rsidRPr="001303B4" w:rsidRDefault="00F96912" w:rsidP="006658D5">
            <w:pPr>
              <w:rPr>
                <w:sz w:val="16"/>
                <w:szCs w:val="16"/>
              </w:rPr>
            </w:pPr>
          </w:p>
          <w:p w14:paraId="163BD528" w14:textId="77777777" w:rsidR="00F96912" w:rsidRPr="001303B4" w:rsidRDefault="00F96912" w:rsidP="006658D5">
            <w:pPr>
              <w:rPr>
                <w:sz w:val="16"/>
                <w:szCs w:val="16"/>
              </w:rPr>
            </w:pPr>
          </w:p>
          <w:p w14:paraId="106D2EBC" w14:textId="77777777" w:rsidR="00F96912" w:rsidRPr="001303B4" w:rsidRDefault="00F96912" w:rsidP="006658D5">
            <w:pPr>
              <w:rPr>
                <w:sz w:val="16"/>
                <w:szCs w:val="16"/>
              </w:rPr>
            </w:pPr>
          </w:p>
          <w:p w14:paraId="47A6958C" w14:textId="77777777" w:rsidR="00F96912" w:rsidRPr="001303B4" w:rsidRDefault="00F96912" w:rsidP="006658D5">
            <w:pPr>
              <w:rPr>
                <w:sz w:val="16"/>
                <w:szCs w:val="16"/>
              </w:rPr>
            </w:pPr>
          </w:p>
          <w:p w14:paraId="5CC3FEFD" w14:textId="77777777" w:rsidR="00F96912" w:rsidRPr="001303B4" w:rsidRDefault="00F96912" w:rsidP="006658D5">
            <w:pPr>
              <w:rPr>
                <w:sz w:val="16"/>
                <w:szCs w:val="16"/>
              </w:rPr>
            </w:pPr>
          </w:p>
          <w:p w14:paraId="661A15A9" w14:textId="77777777" w:rsidR="00F96912" w:rsidRPr="0067214C" w:rsidRDefault="00F96912" w:rsidP="006658D5">
            <w:pPr>
              <w:rPr>
                <w:sz w:val="16"/>
                <w:szCs w:val="16"/>
              </w:rPr>
            </w:pPr>
            <w:r w:rsidRPr="0067214C">
              <w:rPr>
                <w:sz w:val="16"/>
                <w:szCs w:val="16"/>
              </w:rPr>
              <w:t>L’intégration du Bulletin dans la base de données “</w:t>
            </w:r>
            <w:proofErr w:type="spellStart"/>
            <w:r w:rsidRPr="0067214C">
              <w:rPr>
                <w:sz w:val="16"/>
                <w:szCs w:val="16"/>
              </w:rPr>
              <w:t>Lisbon</w:t>
            </w:r>
            <w:proofErr w:type="spellEnd"/>
            <w:r w:rsidRPr="0067214C">
              <w:rPr>
                <w:sz w:val="16"/>
                <w:szCs w:val="16"/>
              </w:rPr>
              <w:t xml:space="preserve"> Express” a été reportée</w:t>
            </w:r>
          </w:p>
        </w:tc>
        <w:tc>
          <w:tcPr>
            <w:tcW w:w="511" w:type="pct"/>
            <w:shd w:val="clear" w:color="auto" w:fill="auto"/>
            <w:tcMar>
              <w:top w:w="110" w:type="dxa"/>
              <w:left w:w="58" w:type="dxa"/>
              <w:right w:w="58" w:type="dxa"/>
            </w:tcMar>
          </w:tcPr>
          <w:p w14:paraId="11BDE7DD" w14:textId="77777777" w:rsidR="00F96912" w:rsidRPr="001E6DFD" w:rsidRDefault="00F96912" w:rsidP="006658D5">
            <w:pPr>
              <w:jc w:val="center"/>
              <w:rPr>
                <w:b/>
                <w:sz w:val="16"/>
                <w:szCs w:val="16"/>
              </w:rPr>
            </w:pPr>
            <w:r w:rsidRPr="001E6DFD">
              <w:rPr>
                <w:b/>
                <w:color w:val="00B050"/>
                <w:sz w:val="16"/>
                <w:szCs w:val="16"/>
              </w:rPr>
              <w:t>En bonne voie</w:t>
            </w:r>
          </w:p>
          <w:p w14:paraId="3D74B93D" w14:textId="77777777" w:rsidR="00F96912" w:rsidRPr="001E6DFD" w:rsidRDefault="00F96912" w:rsidP="006658D5">
            <w:pPr>
              <w:jc w:val="center"/>
              <w:rPr>
                <w:b/>
                <w:sz w:val="16"/>
                <w:szCs w:val="16"/>
              </w:rPr>
            </w:pPr>
          </w:p>
          <w:p w14:paraId="41F33C97" w14:textId="77777777" w:rsidR="00F96912" w:rsidRPr="001E6DFD" w:rsidRDefault="00F96912" w:rsidP="006658D5">
            <w:pPr>
              <w:jc w:val="center"/>
              <w:rPr>
                <w:b/>
                <w:sz w:val="16"/>
                <w:szCs w:val="16"/>
              </w:rPr>
            </w:pPr>
          </w:p>
          <w:p w14:paraId="2B68481F" w14:textId="77777777" w:rsidR="00F96912" w:rsidRPr="001E6DFD" w:rsidRDefault="00F96912" w:rsidP="006658D5">
            <w:pPr>
              <w:jc w:val="center"/>
              <w:rPr>
                <w:b/>
                <w:sz w:val="16"/>
                <w:szCs w:val="16"/>
              </w:rPr>
            </w:pPr>
          </w:p>
          <w:p w14:paraId="5AA389E1" w14:textId="77777777" w:rsidR="00F96912" w:rsidRPr="001E6DFD" w:rsidRDefault="00F96912" w:rsidP="006658D5">
            <w:pPr>
              <w:jc w:val="center"/>
              <w:rPr>
                <w:b/>
                <w:sz w:val="16"/>
                <w:szCs w:val="16"/>
              </w:rPr>
            </w:pPr>
          </w:p>
          <w:p w14:paraId="4EED548E" w14:textId="77777777" w:rsidR="00F96912" w:rsidRPr="001E6DFD" w:rsidRDefault="00F96912" w:rsidP="006658D5">
            <w:pPr>
              <w:jc w:val="center"/>
              <w:rPr>
                <w:b/>
                <w:sz w:val="16"/>
                <w:szCs w:val="16"/>
              </w:rPr>
            </w:pPr>
          </w:p>
          <w:p w14:paraId="01D1A0EF" w14:textId="77777777" w:rsidR="00F96912" w:rsidRPr="001E6DFD" w:rsidRDefault="00F96912" w:rsidP="006658D5">
            <w:pPr>
              <w:jc w:val="center"/>
              <w:rPr>
                <w:b/>
                <w:sz w:val="16"/>
                <w:szCs w:val="16"/>
              </w:rPr>
            </w:pPr>
          </w:p>
          <w:p w14:paraId="6217A007" w14:textId="77777777" w:rsidR="00F96912" w:rsidRPr="001E6DFD" w:rsidRDefault="00F96912" w:rsidP="006658D5">
            <w:pPr>
              <w:jc w:val="center"/>
              <w:rPr>
                <w:b/>
                <w:sz w:val="16"/>
                <w:szCs w:val="16"/>
              </w:rPr>
            </w:pPr>
          </w:p>
          <w:p w14:paraId="3F631705" w14:textId="77777777" w:rsidR="00F96912" w:rsidRPr="001E6DFD" w:rsidRDefault="00F96912" w:rsidP="006658D5">
            <w:pPr>
              <w:jc w:val="center"/>
              <w:rPr>
                <w:b/>
                <w:sz w:val="16"/>
                <w:szCs w:val="16"/>
              </w:rPr>
            </w:pPr>
          </w:p>
          <w:p w14:paraId="5776E991" w14:textId="77777777" w:rsidR="00F96912" w:rsidRPr="001E6DFD" w:rsidRDefault="00F96912" w:rsidP="006658D5">
            <w:pPr>
              <w:jc w:val="center"/>
              <w:rPr>
                <w:b/>
                <w:sz w:val="16"/>
                <w:szCs w:val="16"/>
              </w:rPr>
            </w:pPr>
          </w:p>
          <w:p w14:paraId="07EB35D9" w14:textId="77777777" w:rsidR="00F96912" w:rsidRDefault="00F96912" w:rsidP="006658D5">
            <w:pPr>
              <w:jc w:val="center"/>
              <w:rPr>
                <w:b/>
                <w:sz w:val="16"/>
                <w:szCs w:val="16"/>
              </w:rPr>
            </w:pPr>
          </w:p>
          <w:p w14:paraId="306829EA" w14:textId="77777777" w:rsidR="00A369A1" w:rsidRDefault="00A369A1" w:rsidP="006658D5">
            <w:pPr>
              <w:jc w:val="center"/>
              <w:rPr>
                <w:b/>
                <w:sz w:val="16"/>
                <w:szCs w:val="16"/>
              </w:rPr>
            </w:pPr>
          </w:p>
          <w:p w14:paraId="271CC01D" w14:textId="77777777" w:rsidR="00A369A1" w:rsidRPr="001E6DFD" w:rsidRDefault="00A369A1" w:rsidP="006658D5">
            <w:pPr>
              <w:jc w:val="center"/>
              <w:rPr>
                <w:b/>
                <w:sz w:val="16"/>
                <w:szCs w:val="16"/>
              </w:rPr>
            </w:pPr>
          </w:p>
          <w:p w14:paraId="657D74F6" w14:textId="77777777" w:rsidR="00F96912" w:rsidRPr="001E6DFD" w:rsidRDefault="00F96912" w:rsidP="006658D5">
            <w:pPr>
              <w:jc w:val="center"/>
              <w:rPr>
                <w:sz w:val="16"/>
                <w:szCs w:val="16"/>
              </w:rPr>
            </w:pPr>
            <w:r w:rsidRPr="001E6DFD">
              <w:rPr>
                <w:b/>
                <w:color w:val="FF0000"/>
                <w:sz w:val="16"/>
                <w:szCs w:val="16"/>
              </w:rPr>
              <w:t>Pas en bonne voie</w:t>
            </w:r>
            <w:r w:rsidRPr="001E6DFD">
              <w:rPr>
                <w:b/>
                <w:sz w:val="16"/>
                <w:szCs w:val="16"/>
              </w:rPr>
              <w:t xml:space="preserve"> </w:t>
            </w:r>
          </w:p>
        </w:tc>
      </w:tr>
      <w:tr w:rsidR="00F96912" w:rsidRPr="001E6DFD" w14:paraId="6BC45C5D" w14:textId="77777777" w:rsidTr="006658D5">
        <w:tc>
          <w:tcPr>
            <w:tcW w:w="1121" w:type="pct"/>
            <w:shd w:val="clear" w:color="auto" w:fill="auto"/>
            <w:tcMar>
              <w:left w:w="58" w:type="dxa"/>
              <w:right w:w="58" w:type="dxa"/>
            </w:tcMar>
          </w:tcPr>
          <w:p w14:paraId="38E5213E" w14:textId="77777777" w:rsidR="00F96912" w:rsidRPr="001E6DFD" w:rsidRDefault="00F96912" w:rsidP="006658D5">
            <w:pPr>
              <w:keepNext/>
              <w:keepLines/>
              <w:rPr>
                <w:sz w:val="16"/>
                <w:szCs w:val="16"/>
              </w:rPr>
            </w:pPr>
            <w:r w:rsidRPr="001E6DFD">
              <w:rPr>
                <w:sz w:val="16"/>
                <w:szCs w:val="16"/>
              </w:rPr>
              <w:lastRenderedPageBreak/>
              <w:t>Amélioration des services électroniques du Service d’enregistrement de Lisbonne</w:t>
            </w:r>
          </w:p>
        </w:tc>
        <w:tc>
          <w:tcPr>
            <w:tcW w:w="1324" w:type="pct"/>
            <w:shd w:val="clear" w:color="auto" w:fill="auto"/>
            <w:tcMar>
              <w:left w:w="58" w:type="dxa"/>
              <w:right w:w="58" w:type="dxa"/>
            </w:tcMar>
          </w:tcPr>
          <w:p w14:paraId="49392662" w14:textId="77777777" w:rsidR="00F96912" w:rsidRPr="00BC1038" w:rsidRDefault="00F96912" w:rsidP="006658D5">
            <w:pPr>
              <w:keepNext/>
              <w:keepLines/>
              <w:rPr>
                <w:i/>
                <w:color w:val="002060"/>
                <w:sz w:val="16"/>
                <w:szCs w:val="16"/>
              </w:rPr>
            </w:pPr>
            <w:r w:rsidRPr="00BC1038">
              <w:rPr>
                <w:i/>
                <w:color w:val="002060"/>
                <w:sz w:val="16"/>
                <w:szCs w:val="16"/>
              </w:rPr>
              <w:t>Niveau de référence actualisé à fin 2015 :</w:t>
            </w:r>
          </w:p>
          <w:p w14:paraId="308255CB" w14:textId="77777777" w:rsidR="00F96912" w:rsidRPr="00BC1038" w:rsidRDefault="00F96912" w:rsidP="006658D5">
            <w:pPr>
              <w:keepNext/>
              <w:keepLines/>
              <w:rPr>
                <w:color w:val="002060"/>
                <w:sz w:val="16"/>
                <w:szCs w:val="16"/>
              </w:rPr>
            </w:pPr>
            <w:r w:rsidRPr="00BC1038">
              <w:rPr>
                <w:color w:val="002060"/>
                <w:sz w:val="16"/>
                <w:szCs w:val="16"/>
              </w:rPr>
              <w:t>L’interface électronique reliant le registre international et la base de données “</w:t>
            </w:r>
            <w:proofErr w:type="spellStart"/>
            <w:r w:rsidRPr="00BC1038">
              <w:rPr>
                <w:color w:val="002060"/>
                <w:sz w:val="16"/>
                <w:szCs w:val="16"/>
              </w:rPr>
              <w:t>Lisbon</w:t>
            </w:r>
            <w:proofErr w:type="spellEnd"/>
            <w:r w:rsidRPr="00BC1038">
              <w:rPr>
                <w:color w:val="002060"/>
                <w:sz w:val="16"/>
                <w:szCs w:val="16"/>
              </w:rPr>
              <w:t xml:space="preserve"> Express” sur le site Web de l’OMPI a été achevée et déployée en 2014.</w:t>
            </w:r>
          </w:p>
          <w:p w14:paraId="13221E92" w14:textId="77777777" w:rsidR="00F96912" w:rsidRPr="001E6DFD" w:rsidRDefault="00F96912" w:rsidP="006658D5">
            <w:pPr>
              <w:keepNext/>
              <w:keepLines/>
              <w:rPr>
                <w:sz w:val="16"/>
                <w:szCs w:val="16"/>
              </w:rPr>
            </w:pPr>
          </w:p>
          <w:p w14:paraId="1EFB8801" w14:textId="77777777" w:rsidR="00F96912" w:rsidRPr="001E6DFD" w:rsidRDefault="00F96912" w:rsidP="006658D5">
            <w:pPr>
              <w:keepNext/>
              <w:keepLines/>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329D5459" w14:textId="77777777" w:rsidR="00F96912" w:rsidRPr="001E6DFD" w:rsidRDefault="00F96912" w:rsidP="006658D5">
            <w:pPr>
              <w:keepNext/>
              <w:keepLines/>
              <w:rPr>
                <w:sz w:val="16"/>
                <w:szCs w:val="16"/>
              </w:rPr>
            </w:pPr>
            <w:r w:rsidRPr="001E6DFD">
              <w:rPr>
                <w:sz w:val="16"/>
                <w:szCs w:val="16"/>
              </w:rPr>
              <w:t>Mise en œuvre simple d’un registre électronique</w:t>
            </w:r>
          </w:p>
        </w:tc>
        <w:tc>
          <w:tcPr>
            <w:tcW w:w="722" w:type="pct"/>
            <w:shd w:val="clear" w:color="auto" w:fill="auto"/>
            <w:tcMar>
              <w:top w:w="110" w:type="dxa"/>
              <w:left w:w="58" w:type="dxa"/>
              <w:right w:w="58" w:type="dxa"/>
            </w:tcMar>
          </w:tcPr>
          <w:p w14:paraId="58B9A6D5" w14:textId="77777777" w:rsidR="00F96912" w:rsidRPr="001E6DFD" w:rsidRDefault="00F96912" w:rsidP="006658D5">
            <w:pPr>
              <w:pStyle w:val="Default"/>
              <w:keepNext/>
              <w:keepLines/>
              <w:ind w:right="0"/>
              <w:rPr>
                <w:color w:val="auto"/>
                <w:sz w:val="16"/>
                <w:szCs w:val="16"/>
                <w:lang w:val="fr-FR"/>
              </w:rPr>
            </w:pPr>
            <w:r w:rsidRPr="001E6DFD">
              <w:rPr>
                <w:color w:val="auto"/>
                <w:sz w:val="16"/>
                <w:szCs w:val="16"/>
                <w:lang w:val="fr-FR"/>
              </w:rPr>
              <w:t>Formulaires Web de dépôt électronique</w:t>
            </w:r>
          </w:p>
        </w:tc>
        <w:tc>
          <w:tcPr>
            <w:tcW w:w="1322" w:type="pct"/>
            <w:shd w:val="clear" w:color="auto" w:fill="FFFFFF"/>
            <w:tcMar>
              <w:top w:w="110" w:type="dxa"/>
              <w:left w:w="58" w:type="dxa"/>
              <w:right w:w="58" w:type="dxa"/>
            </w:tcMar>
          </w:tcPr>
          <w:p w14:paraId="654224AD" w14:textId="77777777" w:rsidR="00F96912" w:rsidRPr="0067214C" w:rsidRDefault="00F96912" w:rsidP="006658D5">
            <w:pPr>
              <w:keepNext/>
              <w:keepLines/>
              <w:rPr>
                <w:sz w:val="16"/>
                <w:szCs w:val="16"/>
              </w:rPr>
            </w:pPr>
            <w:r w:rsidRPr="0067214C">
              <w:rPr>
                <w:sz w:val="16"/>
                <w:szCs w:val="16"/>
              </w:rPr>
              <w:t>À la fin 2016, la mise en place des formulaires Web de dépôt électronique était toujours dans sa phase exploratoire</w:t>
            </w:r>
          </w:p>
        </w:tc>
        <w:tc>
          <w:tcPr>
            <w:tcW w:w="511" w:type="pct"/>
            <w:shd w:val="clear" w:color="auto" w:fill="auto"/>
            <w:tcMar>
              <w:top w:w="110" w:type="dxa"/>
              <w:left w:w="58" w:type="dxa"/>
              <w:right w:w="58" w:type="dxa"/>
            </w:tcMar>
          </w:tcPr>
          <w:p w14:paraId="3585DEE2" w14:textId="77777777" w:rsidR="00F96912" w:rsidRPr="001E6DFD" w:rsidRDefault="00F96912" w:rsidP="006658D5">
            <w:pPr>
              <w:keepNext/>
              <w:keepLines/>
              <w:jc w:val="center"/>
              <w:rPr>
                <w:b/>
                <w:sz w:val="16"/>
                <w:szCs w:val="16"/>
              </w:rPr>
            </w:pPr>
            <w:r w:rsidRPr="001E6DFD">
              <w:rPr>
                <w:b/>
                <w:color w:val="FF0000"/>
                <w:sz w:val="16"/>
                <w:szCs w:val="16"/>
              </w:rPr>
              <w:t>Pas en bonne voie</w:t>
            </w:r>
          </w:p>
        </w:tc>
      </w:tr>
    </w:tbl>
    <w:p w14:paraId="67185AF0" w14:textId="77777777" w:rsidR="00F96912" w:rsidRPr="001E6DFD" w:rsidRDefault="00F96912" w:rsidP="00F96912">
      <w:pPr>
        <w:rPr>
          <w:szCs w:val="22"/>
        </w:rPr>
      </w:pPr>
    </w:p>
    <w:p w14:paraId="2C658C78" w14:textId="77777777" w:rsidR="00F96912" w:rsidRPr="001E6DFD" w:rsidRDefault="00F96912" w:rsidP="00F96912">
      <w:pPr>
        <w:rPr>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F96912" w:rsidRPr="001E6DFD" w14:paraId="4F25B698" w14:textId="77777777" w:rsidTr="006658D5">
        <w:trPr>
          <w:trHeight w:val="423"/>
          <w:jc w:val="center"/>
        </w:trPr>
        <w:tc>
          <w:tcPr>
            <w:tcW w:w="9571" w:type="dxa"/>
            <w:shd w:val="clear" w:color="auto" w:fill="C6D9F1" w:themeFill="text2" w:themeFillTint="33"/>
            <w:vAlign w:val="center"/>
          </w:tcPr>
          <w:p w14:paraId="4ECAA4EB" w14:textId="77777777" w:rsidR="00F96912" w:rsidRPr="001E6DFD" w:rsidRDefault="00F96912" w:rsidP="006658D5">
            <w:pPr>
              <w:keepNext/>
              <w:keepLines/>
              <w:jc w:val="center"/>
              <w:rPr>
                <w:b/>
                <w:sz w:val="20"/>
              </w:rPr>
            </w:pPr>
            <w:r w:rsidRPr="001E6DFD">
              <w:rPr>
                <w:b/>
                <w:sz w:val="20"/>
              </w:rPr>
              <w:t>Utilisation des ressources au titre du programme</w:t>
            </w:r>
            <w:r>
              <w:rPr>
                <w:b/>
                <w:sz w:val="20"/>
              </w:rPr>
              <w:t> </w:t>
            </w:r>
            <w:r w:rsidRPr="001E6DFD">
              <w:rPr>
                <w:b/>
                <w:sz w:val="20"/>
              </w:rPr>
              <w:t>32</w:t>
            </w:r>
          </w:p>
        </w:tc>
      </w:tr>
    </w:tbl>
    <w:p w14:paraId="74DABC48" w14:textId="77777777" w:rsidR="00F96912" w:rsidRPr="001E6DFD" w:rsidRDefault="00F96912" w:rsidP="00F96912">
      <w:pPr>
        <w:keepNext/>
        <w:keepLines/>
        <w:rPr>
          <w:sz w:val="20"/>
        </w:rPr>
      </w:pPr>
    </w:p>
    <w:p w14:paraId="067618E9" w14:textId="77777777" w:rsidR="00F96912" w:rsidRPr="001E6DFD" w:rsidRDefault="00F96912" w:rsidP="00F96912">
      <w:pPr>
        <w:pStyle w:val="NormalWeb"/>
        <w:keepNext/>
        <w:keepLines/>
        <w:spacing w:before="0" w:beforeAutospacing="0" w:after="0" w:afterAutospacing="0"/>
        <w:jc w:val="center"/>
      </w:pPr>
      <w:r w:rsidRPr="001E6DFD">
        <w:t>Budget et dépenses effectives (par résultat)</w:t>
      </w:r>
    </w:p>
    <w:p w14:paraId="7BA654C5" w14:textId="77777777" w:rsidR="00F96912" w:rsidRPr="001E6DFD" w:rsidRDefault="00F96912" w:rsidP="00F96912">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370EF743" w14:textId="77777777" w:rsidR="00F96912" w:rsidRPr="001E6DFD" w:rsidRDefault="00F96912" w:rsidP="00F96912">
      <w:pPr>
        <w:pStyle w:val="NormalWeb"/>
        <w:keepNext/>
        <w:keepLines/>
        <w:spacing w:before="0" w:beforeAutospacing="0" w:after="0" w:afterAutospacing="0"/>
        <w:jc w:val="center"/>
        <w:rPr>
          <w:i/>
          <w:iCs/>
          <w:sz w:val="20"/>
          <w:szCs w:val="20"/>
        </w:rPr>
      </w:pPr>
    </w:p>
    <w:tbl>
      <w:tblPr>
        <w:tblW w:w="4300" w:type="pct"/>
        <w:jc w:val="center"/>
        <w:tblCellMar>
          <w:top w:w="57" w:type="dxa"/>
          <w:bottom w:w="57" w:type="dxa"/>
        </w:tblCellMar>
        <w:tblLook w:val="04A0" w:firstRow="1" w:lastRow="0" w:firstColumn="1" w:lastColumn="0" w:noHBand="0" w:noVBand="1"/>
      </w:tblPr>
      <w:tblGrid>
        <w:gridCol w:w="564"/>
        <w:gridCol w:w="4186"/>
        <w:gridCol w:w="1559"/>
        <w:gridCol w:w="1559"/>
        <w:gridCol w:w="1419"/>
      </w:tblGrid>
      <w:tr w:rsidR="00F96912" w:rsidRPr="001E6DFD" w14:paraId="2FB01E7E" w14:textId="77777777" w:rsidTr="006658D5">
        <w:trPr>
          <w:jc w:val="center"/>
        </w:trPr>
        <w:tc>
          <w:tcPr>
            <w:tcW w:w="4810" w:type="dxa"/>
            <w:gridSpan w:val="2"/>
            <w:tcBorders>
              <w:top w:val="nil"/>
              <w:left w:val="nil"/>
              <w:bottom w:val="nil"/>
              <w:right w:val="nil"/>
            </w:tcBorders>
            <w:shd w:val="clear" w:color="000000" w:fill="C5D9F1"/>
            <w:noWrap/>
            <w:vAlign w:val="center"/>
            <w:hideMark/>
          </w:tcPr>
          <w:p w14:paraId="54309C2E" w14:textId="77777777" w:rsidR="00F96912" w:rsidRPr="001E6DFD" w:rsidRDefault="00F96912" w:rsidP="006658D5">
            <w:pPr>
              <w:keepNext/>
              <w:keepLines/>
              <w:jc w:val="center"/>
              <w:rPr>
                <w:b/>
                <w:bCs/>
                <w:sz w:val="16"/>
                <w:szCs w:val="16"/>
              </w:rPr>
            </w:pPr>
            <w:r w:rsidRPr="001E6DFD">
              <w:rPr>
                <w:b/>
                <w:bCs/>
                <w:sz w:val="16"/>
                <w:szCs w:val="16"/>
              </w:rPr>
              <w:t xml:space="preserve">Numéro et description du résultat escompté </w:t>
            </w:r>
          </w:p>
        </w:tc>
        <w:tc>
          <w:tcPr>
            <w:tcW w:w="1176" w:type="dxa"/>
            <w:tcBorders>
              <w:top w:val="nil"/>
              <w:left w:val="nil"/>
              <w:bottom w:val="nil"/>
              <w:right w:val="nil"/>
            </w:tcBorders>
            <w:shd w:val="clear" w:color="000000" w:fill="C5D9F1"/>
            <w:vAlign w:val="center"/>
            <w:hideMark/>
          </w:tcPr>
          <w:p w14:paraId="67E47E8E" w14:textId="77777777" w:rsidR="00F96912" w:rsidRPr="001E6DFD" w:rsidRDefault="00F96912" w:rsidP="006658D5">
            <w:pPr>
              <w:keepNext/>
              <w:keepLines/>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approuvé</w:t>
            </w:r>
          </w:p>
        </w:tc>
        <w:tc>
          <w:tcPr>
            <w:tcW w:w="1176" w:type="dxa"/>
            <w:tcBorders>
              <w:top w:val="nil"/>
              <w:left w:val="nil"/>
              <w:bottom w:val="nil"/>
              <w:right w:val="nil"/>
            </w:tcBorders>
            <w:shd w:val="clear" w:color="000000" w:fill="C5D9F1"/>
            <w:vAlign w:val="center"/>
            <w:hideMark/>
          </w:tcPr>
          <w:p w14:paraId="43D7F25D" w14:textId="77777777" w:rsidR="00F96912" w:rsidRPr="001E6DFD" w:rsidRDefault="00F96912" w:rsidP="006658D5">
            <w:pPr>
              <w:keepNext/>
              <w:keepLines/>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après virements</w:t>
            </w:r>
          </w:p>
        </w:tc>
        <w:tc>
          <w:tcPr>
            <w:tcW w:w="1178" w:type="dxa"/>
            <w:tcBorders>
              <w:top w:val="nil"/>
              <w:left w:val="nil"/>
              <w:bottom w:val="nil"/>
              <w:right w:val="nil"/>
            </w:tcBorders>
            <w:shd w:val="clear" w:color="000000" w:fill="C5D9F1"/>
            <w:vAlign w:val="center"/>
            <w:hideMark/>
          </w:tcPr>
          <w:p w14:paraId="4E79BF63" w14:textId="77777777" w:rsidR="00F96912" w:rsidRPr="001E6DFD" w:rsidRDefault="00F96912" w:rsidP="006658D5">
            <w:pPr>
              <w:keepNext/>
              <w:keepLines/>
              <w:jc w:val="center"/>
              <w:rPr>
                <w:b/>
                <w:bCs/>
                <w:sz w:val="16"/>
                <w:szCs w:val="16"/>
              </w:rPr>
            </w:pPr>
            <w:r w:rsidRPr="001E6DFD">
              <w:rPr>
                <w:b/>
                <w:bCs/>
                <w:sz w:val="16"/>
                <w:szCs w:val="16"/>
              </w:rPr>
              <w:t>Dépenses</w:t>
            </w:r>
            <w:r>
              <w:rPr>
                <w:b/>
                <w:bCs/>
                <w:sz w:val="16"/>
                <w:szCs w:val="16"/>
              </w:rPr>
              <w:t> </w:t>
            </w:r>
            <w:r w:rsidRPr="001E6DFD">
              <w:rPr>
                <w:b/>
                <w:bCs/>
                <w:sz w:val="16"/>
                <w:szCs w:val="16"/>
              </w:rPr>
              <w:t>2016*</w:t>
            </w:r>
          </w:p>
        </w:tc>
      </w:tr>
      <w:tr w:rsidR="00F96912" w:rsidRPr="001E6DFD" w14:paraId="50FA3654" w14:textId="77777777" w:rsidTr="006658D5">
        <w:trPr>
          <w:jc w:val="center"/>
        </w:trPr>
        <w:tc>
          <w:tcPr>
            <w:tcW w:w="570" w:type="dxa"/>
            <w:tcBorders>
              <w:top w:val="nil"/>
              <w:left w:val="nil"/>
              <w:bottom w:val="nil"/>
              <w:right w:val="nil"/>
            </w:tcBorders>
            <w:shd w:val="clear" w:color="auto" w:fill="auto"/>
            <w:noWrap/>
            <w:vAlign w:val="center"/>
            <w:hideMark/>
          </w:tcPr>
          <w:p w14:paraId="128EA656" w14:textId="77777777" w:rsidR="00F96912" w:rsidRPr="001E6DFD" w:rsidRDefault="00F96912" w:rsidP="006658D5">
            <w:pPr>
              <w:keepNext/>
              <w:keepLines/>
              <w:rPr>
                <w:sz w:val="16"/>
                <w:szCs w:val="16"/>
              </w:rPr>
            </w:pPr>
            <w:r w:rsidRPr="001E6DFD">
              <w:rPr>
                <w:sz w:val="16"/>
                <w:szCs w:val="16"/>
              </w:rPr>
              <w:t>II.10</w:t>
            </w:r>
          </w:p>
        </w:tc>
        <w:tc>
          <w:tcPr>
            <w:tcW w:w="4240" w:type="dxa"/>
            <w:tcBorders>
              <w:top w:val="nil"/>
              <w:left w:val="nil"/>
              <w:bottom w:val="nil"/>
              <w:right w:val="nil"/>
            </w:tcBorders>
            <w:shd w:val="clear" w:color="auto" w:fill="auto"/>
            <w:vAlign w:val="center"/>
            <w:hideMark/>
          </w:tcPr>
          <w:p w14:paraId="058FED90" w14:textId="77777777" w:rsidR="00F96912" w:rsidRPr="001E6DFD" w:rsidRDefault="00F96912" w:rsidP="006658D5">
            <w:pPr>
              <w:keepNext/>
              <w:keepLines/>
              <w:rPr>
                <w:sz w:val="16"/>
                <w:szCs w:val="16"/>
              </w:rPr>
            </w:pPr>
            <w:r w:rsidRPr="001E6DFD">
              <w:rPr>
                <w:sz w:val="16"/>
                <w:szCs w:val="16"/>
              </w:rPr>
              <w:t>Utilisation élargie et plus efficace du système de Lisbonne, notamment par les pays en développement et les PMA</w:t>
            </w:r>
          </w:p>
        </w:tc>
        <w:tc>
          <w:tcPr>
            <w:tcW w:w="1176" w:type="dxa"/>
            <w:tcBorders>
              <w:top w:val="nil"/>
              <w:left w:val="nil"/>
              <w:bottom w:val="nil"/>
              <w:right w:val="nil"/>
            </w:tcBorders>
            <w:shd w:val="clear" w:color="auto" w:fill="auto"/>
            <w:noWrap/>
            <w:vAlign w:val="center"/>
            <w:hideMark/>
          </w:tcPr>
          <w:p w14:paraId="7D996940" w14:textId="77777777" w:rsidR="00F96912" w:rsidRPr="001E6DFD" w:rsidRDefault="00F96912" w:rsidP="006658D5">
            <w:pPr>
              <w:keepNext/>
              <w:keepLines/>
              <w:jc w:val="center"/>
              <w:rPr>
                <w:sz w:val="16"/>
                <w:szCs w:val="16"/>
              </w:rPr>
            </w:pPr>
            <w:r w:rsidRPr="001E6DFD">
              <w:rPr>
                <w:sz w:val="16"/>
                <w:szCs w:val="16"/>
              </w:rPr>
              <w:t>785</w:t>
            </w:r>
          </w:p>
        </w:tc>
        <w:tc>
          <w:tcPr>
            <w:tcW w:w="1176" w:type="dxa"/>
            <w:tcBorders>
              <w:top w:val="nil"/>
              <w:left w:val="nil"/>
              <w:bottom w:val="nil"/>
              <w:right w:val="nil"/>
            </w:tcBorders>
            <w:shd w:val="clear" w:color="auto" w:fill="auto"/>
            <w:noWrap/>
            <w:vAlign w:val="center"/>
            <w:hideMark/>
          </w:tcPr>
          <w:p w14:paraId="0167C872" w14:textId="77777777" w:rsidR="00F96912" w:rsidRPr="001E6DFD" w:rsidRDefault="00F96912" w:rsidP="006658D5">
            <w:pPr>
              <w:keepNext/>
              <w:keepLines/>
              <w:jc w:val="center"/>
              <w:rPr>
                <w:sz w:val="16"/>
                <w:szCs w:val="16"/>
              </w:rPr>
            </w:pPr>
            <w:r w:rsidRPr="001E6DFD">
              <w:rPr>
                <w:sz w:val="16"/>
                <w:szCs w:val="16"/>
              </w:rPr>
              <w:t>996</w:t>
            </w:r>
          </w:p>
        </w:tc>
        <w:tc>
          <w:tcPr>
            <w:tcW w:w="1178" w:type="dxa"/>
            <w:tcBorders>
              <w:top w:val="nil"/>
              <w:left w:val="nil"/>
              <w:bottom w:val="nil"/>
              <w:right w:val="nil"/>
            </w:tcBorders>
            <w:shd w:val="clear" w:color="auto" w:fill="auto"/>
            <w:noWrap/>
            <w:vAlign w:val="center"/>
            <w:hideMark/>
          </w:tcPr>
          <w:p w14:paraId="05816B33" w14:textId="77777777" w:rsidR="00F96912" w:rsidRPr="001E6DFD" w:rsidRDefault="00F96912" w:rsidP="006658D5">
            <w:pPr>
              <w:keepNext/>
              <w:keepLines/>
              <w:jc w:val="center"/>
              <w:rPr>
                <w:sz w:val="16"/>
                <w:szCs w:val="16"/>
              </w:rPr>
            </w:pPr>
            <w:r w:rsidRPr="001E6DFD">
              <w:rPr>
                <w:sz w:val="16"/>
                <w:szCs w:val="16"/>
              </w:rPr>
              <w:t>374</w:t>
            </w:r>
          </w:p>
        </w:tc>
      </w:tr>
      <w:tr w:rsidR="00F96912" w:rsidRPr="001E6DFD" w14:paraId="595EFFC6" w14:textId="77777777" w:rsidTr="006658D5">
        <w:trPr>
          <w:jc w:val="center"/>
        </w:trPr>
        <w:tc>
          <w:tcPr>
            <w:tcW w:w="570" w:type="dxa"/>
            <w:tcBorders>
              <w:top w:val="nil"/>
              <w:left w:val="nil"/>
              <w:bottom w:val="nil"/>
              <w:right w:val="nil"/>
            </w:tcBorders>
            <w:shd w:val="clear" w:color="auto" w:fill="auto"/>
            <w:noWrap/>
            <w:vAlign w:val="center"/>
            <w:hideMark/>
          </w:tcPr>
          <w:p w14:paraId="2A031FB4" w14:textId="77777777" w:rsidR="00F96912" w:rsidRPr="001E6DFD" w:rsidRDefault="00F96912" w:rsidP="006658D5">
            <w:pPr>
              <w:keepNext/>
              <w:keepLines/>
              <w:rPr>
                <w:sz w:val="16"/>
                <w:szCs w:val="16"/>
              </w:rPr>
            </w:pPr>
            <w:r w:rsidRPr="001E6DFD">
              <w:rPr>
                <w:sz w:val="16"/>
                <w:szCs w:val="16"/>
              </w:rPr>
              <w:t>II.11</w:t>
            </w:r>
          </w:p>
        </w:tc>
        <w:tc>
          <w:tcPr>
            <w:tcW w:w="4240" w:type="dxa"/>
            <w:tcBorders>
              <w:top w:val="nil"/>
              <w:left w:val="nil"/>
              <w:bottom w:val="nil"/>
              <w:right w:val="nil"/>
            </w:tcBorders>
            <w:shd w:val="clear" w:color="auto" w:fill="auto"/>
            <w:vAlign w:val="center"/>
            <w:hideMark/>
          </w:tcPr>
          <w:p w14:paraId="54E3FCD4" w14:textId="77777777" w:rsidR="00F96912" w:rsidRPr="001E6DFD" w:rsidRDefault="00F96912" w:rsidP="006658D5">
            <w:pPr>
              <w:keepNext/>
              <w:keepLines/>
              <w:rPr>
                <w:sz w:val="16"/>
                <w:szCs w:val="16"/>
              </w:rPr>
            </w:pPr>
            <w:r w:rsidRPr="001E6DFD">
              <w:rPr>
                <w:sz w:val="16"/>
                <w:szCs w:val="16"/>
              </w:rPr>
              <w:t>Amélioration de la productivité et de la qualité de service des opérations du système de Lisbonne</w:t>
            </w:r>
          </w:p>
        </w:tc>
        <w:tc>
          <w:tcPr>
            <w:tcW w:w="1176" w:type="dxa"/>
            <w:tcBorders>
              <w:top w:val="nil"/>
              <w:left w:val="nil"/>
              <w:bottom w:val="nil"/>
              <w:right w:val="nil"/>
            </w:tcBorders>
            <w:shd w:val="clear" w:color="auto" w:fill="auto"/>
            <w:noWrap/>
            <w:vAlign w:val="center"/>
            <w:hideMark/>
          </w:tcPr>
          <w:p w14:paraId="496732F2" w14:textId="77777777" w:rsidR="00F96912" w:rsidRPr="001E6DFD" w:rsidRDefault="00F96912" w:rsidP="006658D5">
            <w:pPr>
              <w:keepNext/>
              <w:keepLines/>
              <w:jc w:val="center"/>
              <w:rPr>
                <w:sz w:val="16"/>
                <w:szCs w:val="16"/>
              </w:rPr>
            </w:pPr>
            <w:r w:rsidRPr="001E6DFD">
              <w:rPr>
                <w:sz w:val="16"/>
                <w:szCs w:val="16"/>
              </w:rPr>
              <w:t>550</w:t>
            </w:r>
          </w:p>
        </w:tc>
        <w:tc>
          <w:tcPr>
            <w:tcW w:w="1176" w:type="dxa"/>
            <w:tcBorders>
              <w:top w:val="nil"/>
              <w:left w:val="nil"/>
              <w:bottom w:val="nil"/>
              <w:right w:val="nil"/>
            </w:tcBorders>
            <w:shd w:val="clear" w:color="auto" w:fill="auto"/>
            <w:noWrap/>
            <w:vAlign w:val="center"/>
            <w:hideMark/>
          </w:tcPr>
          <w:p w14:paraId="171A5744" w14:textId="77777777" w:rsidR="00F96912" w:rsidRPr="001E6DFD" w:rsidRDefault="00F96912" w:rsidP="006658D5">
            <w:pPr>
              <w:keepNext/>
              <w:keepLines/>
              <w:jc w:val="center"/>
              <w:rPr>
                <w:sz w:val="16"/>
                <w:szCs w:val="16"/>
              </w:rPr>
            </w:pPr>
            <w:r w:rsidRPr="001E6DFD">
              <w:rPr>
                <w:sz w:val="16"/>
                <w:szCs w:val="16"/>
              </w:rPr>
              <w:t>588</w:t>
            </w:r>
          </w:p>
        </w:tc>
        <w:tc>
          <w:tcPr>
            <w:tcW w:w="1178" w:type="dxa"/>
            <w:tcBorders>
              <w:top w:val="nil"/>
              <w:left w:val="nil"/>
              <w:bottom w:val="nil"/>
              <w:right w:val="nil"/>
            </w:tcBorders>
            <w:shd w:val="clear" w:color="auto" w:fill="auto"/>
            <w:noWrap/>
            <w:vAlign w:val="center"/>
            <w:hideMark/>
          </w:tcPr>
          <w:p w14:paraId="68928E03" w14:textId="77777777" w:rsidR="00F96912" w:rsidRPr="001E6DFD" w:rsidRDefault="00F96912" w:rsidP="006658D5">
            <w:pPr>
              <w:keepNext/>
              <w:keepLines/>
              <w:jc w:val="center"/>
              <w:rPr>
                <w:sz w:val="16"/>
                <w:szCs w:val="16"/>
              </w:rPr>
            </w:pPr>
            <w:r w:rsidRPr="001E6DFD">
              <w:rPr>
                <w:sz w:val="16"/>
                <w:szCs w:val="16"/>
              </w:rPr>
              <w:t>262</w:t>
            </w:r>
          </w:p>
        </w:tc>
      </w:tr>
      <w:tr w:rsidR="00F96912" w:rsidRPr="001E6DFD" w14:paraId="26538CF5" w14:textId="77777777" w:rsidTr="006658D5">
        <w:trPr>
          <w:jc w:val="center"/>
        </w:trPr>
        <w:tc>
          <w:tcPr>
            <w:tcW w:w="570" w:type="dxa"/>
            <w:tcBorders>
              <w:top w:val="nil"/>
              <w:left w:val="nil"/>
              <w:bottom w:val="nil"/>
              <w:right w:val="nil"/>
            </w:tcBorders>
            <w:shd w:val="clear" w:color="000000" w:fill="C5D9F1"/>
            <w:noWrap/>
            <w:vAlign w:val="bottom"/>
            <w:hideMark/>
          </w:tcPr>
          <w:p w14:paraId="2C874458" w14:textId="77777777" w:rsidR="00F96912" w:rsidRPr="001E6DFD" w:rsidRDefault="00F96912" w:rsidP="006658D5">
            <w:pPr>
              <w:keepNext/>
              <w:keepLines/>
              <w:rPr>
                <w:sz w:val="16"/>
                <w:szCs w:val="16"/>
              </w:rPr>
            </w:pPr>
          </w:p>
        </w:tc>
        <w:tc>
          <w:tcPr>
            <w:tcW w:w="4240" w:type="dxa"/>
            <w:tcBorders>
              <w:top w:val="nil"/>
              <w:left w:val="nil"/>
              <w:bottom w:val="nil"/>
              <w:right w:val="nil"/>
            </w:tcBorders>
            <w:shd w:val="clear" w:color="000000" w:fill="C5D9F1"/>
            <w:noWrap/>
            <w:vAlign w:val="bottom"/>
            <w:hideMark/>
          </w:tcPr>
          <w:p w14:paraId="5C55AFA5" w14:textId="77777777" w:rsidR="00F96912" w:rsidRPr="001E6DFD" w:rsidRDefault="00F96912" w:rsidP="006658D5">
            <w:pPr>
              <w:keepNext/>
              <w:keepLines/>
              <w:jc w:val="right"/>
              <w:rPr>
                <w:b/>
                <w:bCs/>
                <w:sz w:val="16"/>
                <w:szCs w:val="16"/>
              </w:rPr>
            </w:pPr>
            <w:r w:rsidRPr="001E6DFD">
              <w:rPr>
                <w:b/>
                <w:bCs/>
                <w:sz w:val="16"/>
                <w:szCs w:val="16"/>
              </w:rPr>
              <w:t>Total</w:t>
            </w:r>
          </w:p>
        </w:tc>
        <w:tc>
          <w:tcPr>
            <w:tcW w:w="1176" w:type="dxa"/>
            <w:tcBorders>
              <w:top w:val="nil"/>
              <w:left w:val="nil"/>
              <w:bottom w:val="nil"/>
              <w:right w:val="nil"/>
            </w:tcBorders>
            <w:shd w:val="clear" w:color="000000" w:fill="C5D9F1"/>
            <w:noWrap/>
            <w:vAlign w:val="center"/>
            <w:hideMark/>
          </w:tcPr>
          <w:p w14:paraId="5E403850" w14:textId="77777777" w:rsidR="00F96912" w:rsidRPr="001E6DFD" w:rsidRDefault="00F96912" w:rsidP="006658D5">
            <w:pPr>
              <w:keepNext/>
              <w:keepLines/>
              <w:jc w:val="center"/>
              <w:rPr>
                <w:sz w:val="16"/>
                <w:szCs w:val="16"/>
              </w:rPr>
            </w:pPr>
            <w:r w:rsidRPr="001E6DFD">
              <w:rPr>
                <w:sz w:val="16"/>
                <w:szCs w:val="16"/>
              </w:rPr>
              <w:t>1 335</w:t>
            </w:r>
          </w:p>
        </w:tc>
        <w:tc>
          <w:tcPr>
            <w:tcW w:w="1176" w:type="dxa"/>
            <w:tcBorders>
              <w:top w:val="nil"/>
              <w:left w:val="nil"/>
              <w:bottom w:val="nil"/>
              <w:right w:val="nil"/>
            </w:tcBorders>
            <w:shd w:val="clear" w:color="000000" w:fill="C5D9F1"/>
            <w:noWrap/>
            <w:vAlign w:val="center"/>
            <w:hideMark/>
          </w:tcPr>
          <w:p w14:paraId="60BD3A10" w14:textId="77777777" w:rsidR="00F96912" w:rsidRPr="001E6DFD" w:rsidRDefault="00F96912" w:rsidP="006658D5">
            <w:pPr>
              <w:keepNext/>
              <w:keepLines/>
              <w:jc w:val="center"/>
              <w:rPr>
                <w:sz w:val="16"/>
                <w:szCs w:val="16"/>
              </w:rPr>
            </w:pPr>
            <w:r w:rsidRPr="001E6DFD">
              <w:rPr>
                <w:sz w:val="16"/>
                <w:szCs w:val="16"/>
              </w:rPr>
              <w:t>1 584</w:t>
            </w:r>
          </w:p>
        </w:tc>
        <w:tc>
          <w:tcPr>
            <w:tcW w:w="1178" w:type="dxa"/>
            <w:tcBorders>
              <w:top w:val="nil"/>
              <w:left w:val="nil"/>
              <w:bottom w:val="nil"/>
              <w:right w:val="nil"/>
            </w:tcBorders>
            <w:shd w:val="clear" w:color="000000" w:fill="C5D9F1"/>
            <w:noWrap/>
            <w:vAlign w:val="center"/>
            <w:hideMark/>
          </w:tcPr>
          <w:p w14:paraId="56697252" w14:textId="77777777" w:rsidR="00F96912" w:rsidRPr="001E6DFD" w:rsidRDefault="00F96912" w:rsidP="006658D5">
            <w:pPr>
              <w:keepNext/>
              <w:keepLines/>
              <w:jc w:val="center"/>
              <w:rPr>
                <w:sz w:val="16"/>
                <w:szCs w:val="16"/>
              </w:rPr>
            </w:pPr>
            <w:r w:rsidRPr="001E6DFD">
              <w:rPr>
                <w:sz w:val="16"/>
                <w:szCs w:val="16"/>
              </w:rPr>
              <w:t>636</w:t>
            </w:r>
          </w:p>
        </w:tc>
      </w:tr>
      <w:tr w:rsidR="00F96912" w:rsidRPr="001E6DFD" w14:paraId="0CA3E445" w14:textId="77777777" w:rsidTr="006658D5">
        <w:trPr>
          <w:jc w:val="center"/>
        </w:trPr>
        <w:tc>
          <w:tcPr>
            <w:tcW w:w="8340" w:type="dxa"/>
            <w:gridSpan w:val="5"/>
            <w:tcBorders>
              <w:top w:val="nil"/>
              <w:left w:val="nil"/>
              <w:bottom w:val="nil"/>
              <w:right w:val="nil"/>
            </w:tcBorders>
            <w:shd w:val="clear" w:color="auto" w:fill="auto"/>
            <w:noWrap/>
            <w:vAlign w:val="center"/>
            <w:hideMark/>
          </w:tcPr>
          <w:p w14:paraId="6E534C52" w14:textId="77777777" w:rsidR="00F96912" w:rsidRPr="001E6DFD" w:rsidRDefault="00F96912" w:rsidP="006658D5">
            <w:pPr>
              <w:keepNext/>
              <w:keepLines/>
              <w:rPr>
                <w:sz w:val="16"/>
                <w:szCs w:val="16"/>
              </w:rPr>
            </w:pPr>
            <w:r w:rsidRPr="001E6DFD">
              <w:rPr>
                <w:i/>
                <w:iCs/>
                <w:sz w:val="16"/>
                <w:szCs w:val="16"/>
              </w:rPr>
              <w:t>*Les chiffres des dépenses pour 2016 sont préliminaires, sous réserve d’audit par les vérificateurs externes des comptes</w:t>
            </w:r>
          </w:p>
        </w:tc>
      </w:tr>
    </w:tbl>
    <w:p w14:paraId="0678F5EC" w14:textId="77777777" w:rsidR="00F96912" w:rsidRPr="001E6DFD" w:rsidRDefault="00F96912" w:rsidP="00F96912">
      <w:pPr>
        <w:pStyle w:val="NormalWeb"/>
        <w:keepNext/>
        <w:keepLines/>
        <w:spacing w:before="0" w:beforeAutospacing="0" w:after="0" w:afterAutospacing="0"/>
        <w:jc w:val="center"/>
        <w:rPr>
          <w:sz w:val="20"/>
          <w:szCs w:val="20"/>
        </w:rPr>
      </w:pPr>
    </w:p>
    <w:p w14:paraId="697F23D1" w14:textId="77777777" w:rsidR="00F96912" w:rsidRPr="001E6DFD" w:rsidRDefault="00F96912" w:rsidP="00F96912">
      <w:pPr>
        <w:pStyle w:val="NormalWeb"/>
        <w:keepNext/>
        <w:keepLines/>
        <w:spacing w:before="0" w:beforeAutospacing="0" w:after="0" w:afterAutospacing="0"/>
        <w:jc w:val="center"/>
      </w:pPr>
      <w:r w:rsidRPr="001E6DFD">
        <w:t>Budget et dépenses effectives (dépenses de personnel et autres dépenses)</w:t>
      </w:r>
    </w:p>
    <w:p w14:paraId="4D8DF4E6" w14:textId="77777777" w:rsidR="00F96912" w:rsidRPr="001E6DFD" w:rsidRDefault="00F96912" w:rsidP="00F96912">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59F8EB94" w14:textId="77777777" w:rsidR="00F96912" w:rsidRPr="001E6DFD" w:rsidRDefault="00F96912" w:rsidP="00F96912">
      <w:pPr>
        <w:pStyle w:val="NormalWeb"/>
        <w:keepNext/>
        <w:keepLines/>
        <w:spacing w:before="0" w:beforeAutospacing="0" w:after="0" w:afterAutospacing="0"/>
        <w:jc w:val="center"/>
        <w:rPr>
          <w:i/>
          <w:iCs/>
          <w:sz w:val="20"/>
          <w:szCs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1E6DFD" w14:paraId="3A5FBAE0" w14:textId="77777777" w:rsidTr="006658D5">
        <w:trPr>
          <w:jc w:val="center"/>
        </w:trPr>
        <w:tc>
          <w:tcPr>
            <w:tcW w:w="2470" w:type="dxa"/>
            <w:tcBorders>
              <w:top w:val="nil"/>
              <w:left w:val="nil"/>
              <w:bottom w:val="nil"/>
              <w:right w:val="nil"/>
            </w:tcBorders>
            <w:shd w:val="clear" w:color="000000" w:fill="C5D9F1"/>
            <w:noWrap/>
            <w:vAlign w:val="center"/>
            <w:hideMark/>
          </w:tcPr>
          <w:p w14:paraId="3D72664E" w14:textId="77777777" w:rsidR="00F96912" w:rsidRPr="001E6DFD" w:rsidRDefault="00F96912" w:rsidP="006658D5">
            <w:pPr>
              <w:rPr>
                <w:sz w:val="16"/>
                <w:szCs w:val="16"/>
              </w:rPr>
            </w:pPr>
          </w:p>
        </w:tc>
        <w:tc>
          <w:tcPr>
            <w:tcW w:w="1438" w:type="dxa"/>
            <w:tcBorders>
              <w:top w:val="nil"/>
              <w:left w:val="nil"/>
              <w:bottom w:val="nil"/>
              <w:right w:val="nil"/>
            </w:tcBorders>
            <w:shd w:val="clear" w:color="000000" w:fill="C5D9F1"/>
            <w:vAlign w:val="center"/>
            <w:hideMark/>
          </w:tcPr>
          <w:p w14:paraId="68CB9A7F" w14:textId="77777777" w:rsidR="00F96912" w:rsidRPr="001E6DFD" w:rsidRDefault="00F96912" w:rsidP="006658D5">
            <w:pPr>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approuvé</w:t>
            </w:r>
          </w:p>
        </w:tc>
        <w:tc>
          <w:tcPr>
            <w:tcW w:w="1438" w:type="dxa"/>
            <w:tcBorders>
              <w:top w:val="nil"/>
              <w:left w:val="nil"/>
              <w:bottom w:val="nil"/>
              <w:right w:val="nil"/>
            </w:tcBorders>
            <w:shd w:val="clear" w:color="000000" w:fill="C5D9F1"/>
            <w:vAlign w:val="center"/>
            <w:hideMark/>
          </w:tcPr>
          <w:p w14:paraId="65F2E402" w14:textId="77777777" w:rsidR="00F96912" w:rsidRPr="001E6DFD" w:rsidRDefault="00F96912" w:rsidP="006658D5">
            <w:pPr>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après virements</w:t>
            </w:r>
          </w:p>
        </w:tc>
        <w:tc>
          <w:tcPr>
            <w:tcW w:w="1438" w:type="dxa"/>
            <w:tcBorders>
              <w:top w:val="nil"/>
              <w:left w:val="nil"/>
              <w:bottom w:val="nil"/>
              <w:right w:val="nil"/>
            </w:tcBorders>
            <w:shd w:val="clear" w:color="000000" w:fill="C5D9F1"/>
            <w:vAlign w:val="center"/>
            <w:hideMark/>
          </w:tcPr>
          <w:p w14:paraId="322213D1" w14:textId="77777777" w:rsidR="00F96912" w:rsidRPr="001E6DFD" w:rsidRDefault="00F96912" w:rsidP="006658D5">
            <w:pPr>
              <w:jc w:val="center"/>
              <w:rPr>
                <w:b/>
                <w:bCs/>
                <w:sz w:val="16"/>
                <w:szCs w:val="16"/>
              </w:rPr>
            </w:pPr>
            <w:r w:rsidRPr="001E6DFD">
              <w:rPr>
                <w:b/>
                <w:bCs/>
                <w:sz w:val="16"/>
                <w:szCs w:val="16"/>
              </w:rPr>
              <w:t>Dépenses</w:t>
            </w:r>
            <w:r>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605F12C3" w14:textId="77777777" w:rsidR="00F96912" w:rsidRPr="001E6DFD" w:rsidRDefault="00F96912" w:rsidP="006658D5">
            <w:pPr>
              <w:jc w:val="center"/>
              <w:rPr>
                <w:b/>
                <w:bCs/>
                <w:sz w:val="16"/>
                <w:szCs w:val="16"/>
              </w:rPr>
            </w:pPr>
            <w:r w:rsidRPr="001E6DFD">
              <w:rPr>
                <w:b/>
                <w:bCs/>
                <w:sz w:val="16"/>
                <w:szCs w:val="16"/>
              </w:rPr>
              <w:t>Taux d’utilisation (%)</w:t>
            </w:r>
          </w:p>
        </w:tc>
      </w:tr>
      <w:tr w:rsidR="00F96912" w:rsidRPr="001E6DFD" w14:paraId="5E87338F" w14:textId="77777777" w:rsidTr="006658D5">
        <w:trPr>
          <w:jc w:val="center"/>
        </w:trPr>
        <w:tc>
          <w:tcPr>
            <w:tcW w:w="2470" w:type="dxa"/>
            <w:tcBorders>
              <w:top w:val="nil"/>
              <w:left w:val="nil"/>
              <w:bottom w:val="nil"/>
              <w:right w:val="nil"/>
            </w:tcBorders>
            <w:shd w:val="clear" w:color="auto" w:fill="auto"/>
            <w:noWrap/>
            <w:vAlign w:val="center"/>
            <w:hideMark/>
          </w:tcPr>
          <w:p w14:paraId="0590FCC5" w14:textId="77777777" w:rsidR="00F96912" w:rsidRPr="001E6DFD" w:rsidRDefault="00F96912" w:rsidP="006658D5">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263DB96E" w14:textId="77777777" w:rsidR="00F96912" w:rsidRPr="001E6DFD" w:rsidRDefault="00F96912" w:rsidP="006658D5">
            <w:pPr>
              <w:jc w:val="center"/>
              <w:rPr>
                <w:sz w:val="16"/>
                <w:szCs w:val="16"/>
              </w:rPr>
            </w:pPr>
            <w:r w:rsidRPr="001E6DFD">
              <w:rPr>
                <w:sz w:val="16"/>
                <w:szCs w:val="16"/>
              </w:rPr>
              <w:t xml:space="preserve">1 124 </w:t>
            </w:r>
          </w:p>
        </w:tc>
        <w:tc>
          <w:tcPr>
            <w:tcW w:w="1438" w:type="dxa"/>
            <w:tcBorders>
              <w:top w:val="nil"/>
              <w:left w:val="nil"/>
              <w:bottom w:val="nil"/>
              <w:right w:val="nil"/>
            </w:tcBorders>
            <w:shd w:val="clear" w:color="auto" w:fill="auto"/>
            <w:vAlign w:val="center"/>
            <w:hideMark/>
          </w:tcPr>
          <w:p w14:paraId="28FF7CB7" w14:textId="77777777" w:rsidR="00F96912" w:rsidRPr="001E6DFD" w:rsidRDefault="00F96912" w:rsidP="006658D5">
            <w:pPr>
              <w:jc w:val="center"/>
              <w:rPr>
                <w:sz w:val="16"/>
                <w:szCs w:val="16"/>
              </w:rPr>
            </w:pPr>
            <w:r w:rsidRPr="001E6DFD">
              <w:rPr>
                <w:sz w:val="16"/>
                <w:szCs w:val="16"/>
              </w:rPr>
              <w:t xml:space="preserve">1 373 </w:t>
            </w:r>
          </w:p>
        </w:tc>
        <w:tc>
          <w:tcPr>
            <w:tcW w:w="1438" w:type="dxa"/>
            <w:tcBorders>
              <w:top w:val="nil"/>
              <w:left w:val="nil"/>
              <w:bottom w:val="nil"/>
              <w:right w:val="nil"/>
            </w:tcBorders>
            <w:shd w:val="clear" w:color="auto" w:fill="auto"/>
            <w:vAlign w:val="center"/>
            <w:hideMark/>
          </w:tcPr>
          <w:p w14:paraId="6C604475" w14:textId="77777777" w:rsidR="00F96912" w:rsidRPr="001E6DFD" w:rsidRDefault="00F96912" w:rsidP="006658D5">
            <w:pPr>
              <w:jc w:val="center"/>
              <w:rPr>
                <w:sz w:val="16"/>
                <w:szCs w:val="16"/>
              </w:rPr>
            </w:pPr>
            <w:r w:rsidRPr="001E6DFD">
              <w:rPr>
                <w:sz w:val="16"/>
                <w:szCs w:val="16"/>
              </w:rPr>
              <w:t xml:space="preserve">554 </w:t>
            </w:r>
          </w:p>
        </w:tc>
        <w:tc>
          <w:tcPr>
            <w:tcW w:w="1438" w:type="dxa"/>
            <w:tcBorders>
              <w:top w:val="nil"/>
              <w:left w:val="nil"/>
              <w:bottom w:val="nil"/>
              <w:right w:val="nil"/>
            </w:tcBorders>
            <w:shd w:val="clear" w:color="auto" w:fill="auto"/>
            <w:vAlign w:val="center"/>
            <w:hideMark/>
          </w:tcPr>
          <w:p w14:paraId="442F1D63" w14:textId="77777777" w:rsidR="00F96912" w:rsidRPr="001E6DFD" w:rsidRDefault="00F96912" w:rsidP="006658D5">
            <w:pPr>
              <w:jc w:val="center"/>
              <w:rPr>
                <w:sz w:val="16"/>
                <w:szCs w:val="16"/>
              </w:rPr>
            </w:pPr>
            <w:r w:rsidRPr="001E6DFD">
              <w:rPr>
                <w:sz w:val="16"/>
                <w:szCs w:val="16"/>
              </w:rPr>
              <w:t>40%</w:t>
            </w:r>
          </w:p>
        </w:tc>
      </w:tr>
      <w:tr w:rsidR="00F96912" w:rsidRPr="001E6DFD" w14:paraId="4888698D" w14:textId="77777777" w:rsidTr="006658D5">
        <w:trPr>
          <w:jc w:val="center"/>
        </w:trPr>
        <w:tc>
          <w:tcPr>
            <w:tcW w:w="2470" w:type="dxa"/>
            <w:tcBorders>
              <w:top w:val="nil"/>
              <w:left w:val="nil"/>
              <w:bottom w:val="nil"/>
              <w:right w:val="nil"/>
            </w:tcBorders>
            <w:shd w:val="clear" w:color="auto" w:fill="auto"/>
            <w:noWrap/>
            <w:vAlign w:val="center"/>
            <w:hideMark/>
          </w:tcPr>
          <w:p w14:paraId="03D1D191" w14:textId="77777777" w:rsidR="00F96912" w:rsidRPr="001E6DFD" w:rsidRDefault="00F96912" w:rsidP="006658D5">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23614846" w14:textId="77777777" w:rsidR="00F96912" w:rsidRPr="001E6DFD" w:rsidRDefault="00F96912" w:rsidP="006658D5">
            <w:pPr>
              <w:jc w:val="center"/>
              <w:rPr>
                <w:sz w:val="16"/>
                <w:szCs w:val="16"/>
              </w:rPr>
            </w:pPr>
            <w:r w:rsidRPr="001E6DFD">
              <w:rPr>
                <w:sz w:val="16"/>
                <w:szCs w:val="16"/>
              </w:rPr>
              <w:t xml:space="preserve">211 </w:t>
            </w:r>
          </w:p>
        </w:tc>
        <w:tc>
          <w:tcPr>
            <w:tcW w:w="1438" w:type="dxa"/>
            <w:tcBorders>
              <w:top w:val="nil"/>
              <w:left w:val="nil"/>
              <w:bottom w:val="nil"/>
              <w:right w:val="nil"/>
            </w:tcBorders>
            <w:shd w:val="clear" w:color="auto" w:fill="auto"/>
            <w:vAlign w:val="center"/>
            <w:hideMark/>
          </w:tcPr>
          <w:p w14:paraId="661E596E" w14:textId="77777777" w:rsidR="00F96912" w:rsidRPr="001E6DFD" w:rsidRDefault="00F96912" w:rsidP="006658D5">
            <w:pPr>
              <w:jc w:val="center"/>
              <w:rPr>
                <w:sz w:val="16"/>
                <w:szCs w:val="16"/>
              </w:rPr>
            </w:pPr>
            <w:r w:rsidRPr="001E6DFD">
              <w:rPr>
                <w:sz w:val="16"/>
                <w:szCs w:val="16"/>
              </w:rPr>
              <w:t xml:space="preserve">211 </w:t>
            </w:r>
          </w:p>
        </w:tc>
        <w:tc>
          <w:tcPr>
            <w:tcW w:w="1438" w:type="dxa"/>
            <w:tcBorders>
              <w:top w:val="nil"/>
              <w:left w:val="nil"/>
              <w:bottom w:val="nil"/>
              <w:right w:val="nil"/>
            </w:tcBorders>
            <w:shd w:val="clear" w:color="auto" w:fill="auto"/>
            <w:vAlign w:val="center"/>
            <w:hideMark/>
          </w:tcPr>
          <w:p w14:paraId="3559AD0C" w14:textId="77777777" w:rsidR="00F96912" w:rsidRPr="001E6DFD" w:rsidRDefault="00F96912" w:rsidP="006658D5">
            <w:pPr>
              <w:jc w:val="center"/>
              <w:rPr>
                <w:sz w:val="16"/>
                <w:szCs w:val="16"/>
              </w:rPr>
            </w:pPr>
            <w:r w:rsidRPr="001E6DFD">
              <w:rPr>
                <w:sz w:val="16"/>
                <w:szCs w:val="16"/>
              </w:rPr>
              <w:t xml:space="preserve">82 </w:t>
            </w:r>
          </w:p>
        </w:tc>
        <w:tc>
          <w:tcPr>
            <w:tcW w:w="1438" w:type="dxa"/>
            <w:tcBorders>
              <w:top w:val="nil"/>
              <w:left w:val="nil"/>
              <w:bottom w:val="nil"/>
              <w:right w:val="nil"/>
            </w:tcBorders>
            <w:shd w:val="clear" w:color="auto" w:fill="auto"/>
            <w:vAlign w:val="center"/>
            <w:hideMark/>
          </w:tcPr>
          <w:p w14:paraId="4C508844" w14:textId="77777777" w:rsidR="00F96912" w:rsidRPr="001E6DFD" w:rsidRDefault="00F96912" w:rsidP="006658D5">
            <w:pPr>
              <w:jc w:val="center"/>
              <w:rPr>
                <w:sz w:val="16"/>
                <w:szCs w:val="16"/>
              </w:rPr>
            </w:pPr>
            <w:r w:rsidRPr="001E6DFD">
              <w:rPr>
                <w:sz w:val="16"/>
                <w:szCs w:val="16"/>
              </w:rPr>
              <w:t>39%</w:t>
            </w:r>
          </w:p>
        </w:tc>
      </w:tr>
      <w:tr w:rsidR="00F96912" w:rsidRPr="001E6DFD" w14:paraId="346BE180" w14:textId="77777777" w:rsidTr="006658D5">
        <w:trPr>
          <w:jc w:val="center"/>
        </w:trPr>
        <w:tc>
          <w:tcPr>
            <w:tcW w:w="2470" w:type="dxa"/>
            <w:tcBorders>
              <w:top w:val="nil"/>
              <w:left w:val="nil"/>
              <w:bottom w:val="nil"/>
              <w:right w:val="nil"/>
            </w:tcBorders>
            <w:shd w:val="clear" w:color="000000" w:fill="C5D9F1"/>
            <w:noWrap/>
            <w:vAlign w:val="center"/>
            <w:hideMark/>
          </w:tcPr>
          <w:p w14:paraId="34461FB0" w14:textId="77777777" w:rsidR="00F96912" w:rsidRPr="001E6DFD" w:rsidRDefault="00F96912" w:rsidP="006658D5">
            <w:pPr>
              <w:jc w:val="right"/>
              <w:rPr>
                <w:b/>
                <w:bCs/>
                <w:sz w:val="16"/>
                <w:szCs w:val="16"/>
              </w:rPr>
            </w:pPr>
            <w:r w:rsidRPr="001E6DFD">
              <w:rPr>
                <w:b/>
                <w:bCs/>
                <w:sz w:val="16"/>
                <w:szCs w:val="16"/>
              </w:rPr>
              <w:t xml:space="preserve">Total </w:t>
            </w:r>
          </w:p>
        </w:tc>
        <w:tc>
          <w:tcPr>
            <w:tcW w:w="1438" w:type="dxa"/>
            <w:tcBorders>
              <w:top w:val="nil"/>
              <w:left w:val="nil"/>
              <w:bottom w:val="nil"/>
              <w:right w:val="nil"/>
            </w:tcBorders>
            <w:shd w:val="clear" w:color="000000" w:fill="C5D9F1"/>
            <w:vAlign w:val="center"/>
            <w:hideMark/>
          </w:tcPr>
          <w:p w14:paraId="013A7823" w14:textId="77777777" w:rsidR="00F96912" w:rsidRPr="001E6DFD" w:rsidRDefault="00F96912" w:rsidP="006658D5">
            <w:pPr>
              <w:jc w:val="center"/>
              <w:rPr>
                <w:b/>
                <w:bCs/>
                <w:sz w:val="16"/>
                <w:szCs w:val="16"/>
              </w:rPr>
            </w:pPr>
            <w:r w:rsidRPr="001E6DFD">
              <w:rPr>
                <w:b/>
                <w:bCs/>
                <w:sz w:val="16"/>
                <w:szCs w:val="16"/>
              </w:rPr>
              <w:t xml:space="preserve">1 335 </w:t>
            </w:r>
          </w:p>
        </w:tc>
        <w:tc>
          <w:tcPr>
            <w:tcW w:w="1438" w:type="dxa"/>
            <w:tcBorders>
              <w:top w:val="nil"/>
              <w:left w:val="nil"/>
              <w:bottom w:val="nil"/>
              <w:right w:val="nil"/>
            </w:tcBorders>
            <w:shd w:val="clear" w:color="000000" w:fill="C5D9F1"/>
            <w:vAlign w:val="center"/>
            <w:hideMark/>
          </w:tcPr>
          <w:p w14:paraId="3B1F77FC" w14:textId="77777777" w:rsidR="00F96912" w:rsidRPr="001E6DFD" w:rsidRDefault="00F96912" w:rsidP="006658D5">
            <w:pPr>
              <w:jc w:val="center"/>
              <w:rPr>
                <w:b/>
                <w:bCs/>
                <w:sz w:val="16"/>
                <w:szCs w:val="16"/>
              </w:rPr>
            </w:pPr>
            <w:r w:rsidRPr="001E6DFD">
              <w:rPr>
                <w:b/>
                <w:bCs/>
                <w:sz w:val="16"/>
                <w:szCs w:val="16"/>
              </w:rPr>
              <w:t xml:space="preserve">1 584 </w:t>
            </w:r>
          </w:p>
        </w:tc>
        <w:tc>
          <w:tcPr>
            <w:tcW w:w="1438" w:type="dxa"/>
            <w:tcBorders>
              <w:top w:val="nil"/>
              <w:left w:val="nil"/>
              <w:bottom w:val="nil"/>
              <w:right w:val="nil"/>
            </w:tcBorders>
            <w:shd w:val="clear" w:color="000000" w:fill="C5D9F1"/>
            <w:vAlign w:val="center"/>
            <w:hideMark/>
          </w:tcPr>
          <w:p w14:paraId="414ACAE6" w14:textId="77777777" w:rsidR="00F96912" w:rsidRPr="001E6DFD" w:rsidRDefault="00F96912" w:rsidP="006658D5">
            <w:pPr>
              <w:jc w:val="center"/>
              <w:rPr>
                <w:b/>
                <w:bCs/>
                <w:sz w:val="16"/>
                <w:szCs w:val="16"/>
              </w:rPr>
            </w:pPr>
            <w:r w:rsidRPr="001E6DFD">
              <w:rPr>
                <w:b/>
                <w:bCs/>
                <w:sz w:val="16"/>
                <w:szCs w:val="16"/>
              </w:rPr>
              <w:t xml:space="preserve">636 </w:t>
            </w:r>
          </w:p>
        </w:tc>
        <w:tc>
          <w:tcPr>
            <w:tcW w:w="1438" w:type="dxa"/>
            <w:tcBorders>
              <w:top w:val="nil"/>
              <w:left w:val="nil"/>
              <w:bottom w:val="nil"/>
              <w:right w:val="nil"/>
            </w:tcBorders>
            <w:shd w:val="clear" w:color="000000" w:fill="C5D9F1"/>
            <w:vAlign w:val="center"/>
            <w:hideMark/>
          </w:tcPr>
          <w:p w14:paraId="6D56C260" w14:textId="77777777" w:rsidR="00F96912" w:rsidRPr="001E6DFD" w:rsidRDefault="00F96912" w:rsidP="006658D5">
            <w:pPr>
              <w:jc w:val="center"/>
              <w:rPr>
                <w:b/>
                <w:bCs/>
                <w:sz w:val="16"/>
                <w:szCs w:val="16"/>
              </w:rPr>
            </w:pPr>
            <w:r w:rsidRPr="001E6DFD">
              <w:rPr>
                <w:b/>
                <w:bCs/>
                <w:sz w:val="16"/>
                <w:szCs w:val="16"/>
              </w:rPr>
              <w:t>40%</w:t>
            </w:r>
          </w:p>
        </w:tc>
      </w:tr>
      <w:tr w:rsidR="00F96912" w:rsidRPr="001E6DFD" w14:paraId="60E34D20"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29B6B24F" w14:textId="77777777" w:rsidR="00F96912" w:rsidRPr="001E6DFD" w:rsidRDefault="00F96912" w:rsidP="006658D5">
            <w:pPr>
              <w:rPr>
                <w:i/>
                <w:iCs/>
                <w:sz w:val="16"/>
                <w:szCs w:val="16"/>
              </w:rPr>
            </w:pPr>
            <w:r w:rsidRPr="001E6DFD">
              <w:rPr>
                <w:i/>
                <w:iCs/>
                <w:sz w:val="16"/>
                <w:szCs w:val="16"/>
              </w:rPr>
              <w:t xml:space="preserve">*Les chiffres des dépenses pour 2016 sont préliminaires, sous réserve d’audit par les vérificateurs externes des comptes </w:t>
            </w:r>
          </w:p>
        </w:tc>
      </w:tr>
    </w:tbl>
    <w:p w14:paraId="0B12A8F5" w14:textId="77777777" w:rsidR="00F96912" w:rsidRPr="001E6DFD" w:rsidRDefault="00F96912" w:rsidP="00F96912">
      <w:pPr>
        <w:jc w:val="center"/>
        <w:rPr>
          <w:sz w:val="20"/>
        </w:rPr>
      </w:pPr>
    </w:p>
    <w:p w14:paraId="65E87ACB" w14:textId="26BF427B" w:rsidR="00F96912" w:rsidRPr="001E6DFD" w:rsidRDefault="00F96912" w:rsidP="00F96912">
      <w:pPr>
        <w:keepNext/>
        <w:keepLines/>
        <w:ind w:left="567" w:right="282"/>
        <w:rPr>
          <w:i/>
          <w:sz w:val="16"/>
          <w:szCs w:val="16"/>
        </w:rPr>
      </w:pPr>
      <w:r w:rsidRPr="001E6DFD">
        <w:rPr>
          <w:i/>
          <w:sz w:val="16"/>
          <w:szCs w:val="16"/>
        </w:rPr>
        <w:t>NOTE : Le budget</w:t>
      </w:r>
      <w:r>
        <w:rPr>
          <w:i/>
          <w:sz w:val="16"/>
          <w:szCs w:val="16"/>
        </w:rPr>
        <w:t> </w:t>
      </w:r>
      <w:r w:rsidRPr="001E6DFD">
        <w:rPr>
          <w:i/>
          <w:sz w:val="16"/>
          <w:szCs w:val="16"/>
        </w:rPr>
        <w:t>2016</w:t>
      </w:r>
      <w:r w:rsidRPr="001E6DFD">
        <w:rPr>
          <w:i/>
          <w:sz w:val="16"/>
          <w:szCs w:val="16"/>
        </w:rPr>
        <w:noBreakHyphen/>
        <w:t xml:space="preserve">2017 après virements tient compte des virements effectués </w:t>
      </w:r>
      <w:r w:rsidR="00945B76">
        <w:rPr>
          <w:i/>
          <w:sz w:val="16"/>
          <w:szCs w:val="16"/>
        </w:rPr>
        <w:t>au 8 mars 2017</w:t>
      </w:r>
      <w:r w:rsidRPr="001E6DFD">
        <w:rPr>
          <w:i/>
          <w:sz w:val="16"/>
          <w:szCs w:val="16"/>
        </w:rPr>
        <w:t xml:space="preserve"> pour répondre aux besoins durant l’exercice biennal 2016</w:t>
      </w:r>
      <w:r w:rsidRPr="001E6DFD">
        <w:rPr>
          <w:i/>
          <w:sz w:val="16"/>
          <w:szCs w:val="16"/>
        </w:rPr>
        <w:noBreakHyphen/>
        <w:t>2017 conformément à l’article 5.5 du Règlement financier.</w:t>
      </w:r>
    </w:p>
    <w:p w14:paraId="22BBBC01" w14:textId="77777777" w:rsidR="00F96912" w:rsidRPr="001E6DFD" w:rsidRDefault="00F96912" w:rsidP="00F96912">
      <w:pPr>
        <w:rPr>
          <w:sz w:val="20"/>
        </w:rPr>
      </w:pPr>
    </w:p>
    <w:p w14:paraId="17282851" w14:textId="77777777" w:rsidR="00F96912" w:rsidRPr="001E6DFD" w:rsidRDefault="00F96912" w:rsidP="00F96912">
      <w:pPr>
        <w:rPr>
          <w:sz w:val="20"/>
        </w:rPr>
      </w:pPr>
    </w:p>
    <w:p w14:paraId="7A9F5682" w14:textId="77777777" w:rsidR="00F96912" w:rsidRPr="001F2738" w:rsidRDefault="00F96912" w:rsidP="00F96912">
      <w:pPr>
        <w:keepNext/>
        <w:rPr>
          <w:sz w:val="20"/>
          <w:u w:val="single"/>
        </w:rPr>
      </w:pPr>
      <w:r w:rsidRPr="001F2738">
        <w:rPr>
          <w:sz w:val="20"/>
        </w:rPr>
        <w:t>A.</w:t>
      </w:r>
      <w:r w:rsidRPr="001F2738">
        <w:rPr>
          <w:sz w:val="20"/>
        </w:rPr>
        <w:tab/>
      </w:r>
      <w:r w:rsidRPr="001F2738">
        <w:rPr>
          <w:sz w:val="20"/>
          <w:u w:val="single"/>
        </w:rPr>
        <w:t>Budget 2016</w:t>
      </w:r>
      <w:r w:rsidRPr="001F2738">
        <w:rPr>
          <w:sz w:val="20"/>
          <w:u w:val="single"/>
        </w:rPr>
        <w:noBreakHyphen/>
        <w:t>2017 après virements</w:t>
      </w:r>
    </w:p>
    <w:p w14:paraId="4DC6A413" w14:textId="77777777" w:rsidR="00F96912" w:rsidRPr="001F2738" w:rsidRDefault="00F96912" w:rsidP="00F96912">
      <w:pPr>
        <w:keepNext/>
        <w:rPr>
          <w:sz w:val="20"/>
        </w:rPr>
      </w:pPr>
    </w:p>
    <w:p w14:paraId="5891477D" w14:textId="7654A7BA" w:rsidR="00F96912" w:rsidRPr="001F2738" w:rsidRDefault="00F96912" w:rsidP="00D544B8">
      <w:pPr>
        <w:pStyle w:val="ListParagraph"/>
        <w:numPr>
          <w:ilvl w:val="0"/>
          <w:numId w:val="26"/>
        </w:numPr>
        <w:ind w:left="0" w:firstLine="0"/>
        <w:jc w:val="both"/>
        <w:rPr>
          <w:rFonts w:ascii="Arial" w:hAnsi="Arial" w:cs="Arial"/>
          <w:sz w:val="20"/>
          <w:szCs w:val="20"/>
        </w:rPr>
      </w:pPr>
      <w:r w:rsidRPr="001F2738">
        <w:rPr>
          <w:rFonts w:ascii="Arial" w:hAnsi="Arial" w:cs="Arial"/>
          <w:sz w:val="20"/>
        </w:rPr>
        <w:t>L’augmentation des ressources en personnel et dans l’ensemble des résultats escomptés s’expliquait par le transfert</w:t>
      </w:r>
      <w:r w:rsidRPr="001F2738">
        <w:rPr>
          <w:rFonts w:ascii="Arial" w:eastAsia="Times New Roman" w:hAnsi="Arial" w:cs="Arial"/>
          <w:sz w:val="20"/>
          <w:szCs w:val="20"/>
          <w:lang w:eastAsia="en-US"/>
        </w:rPr>
        <w:t xml:space="preserve"> </w:t>
      </w:r>
      <w:r w:rsidRPr="001F2738">
        <w:rPr>
          <w:rFonts w:ascii="Arial" w:hAnsi="Arial" w:cs="Arial"/>
          <w:sz w:val="20"/>
        </w:rPr>
        <w:t xml:space="preserve">en décembre 2015, dans le programme, du nouveau directeur du Service d’enregistrement de Lisbonne dans le cadre du plan de relève en prévision du départ en retraite du </w:t>
      </w:r>
      <w:r w:rsidRPr="001F2738">
        <w:rPr>
          <w:rFonts w:ascii="Arial" w:hAnsi="Arial" w:cs="Arial"/>
          <w:sz w:val="20"/>
          <w:szCs w:val="20"/>
        </w:rPr>
        <w:t>responsable de ce programme en février 2016</w:t>
      </w:r>
      <w:r w:rsidR="00A369A1" w:rsidRPr="001F2738">
        <w:rPr>
          <w:rFonts w:ascii="Arial" w:hAnsi="Arial" w:cs="Arial"/>
          <w:sz w:val="20"/>
          <w:szCs w:val="20"/>
        </w:rPr>
        <w:t xml:space="preserve"> (</w:t>
      </w:r>
      <w:r w:rsidR="00CA7EBF" w:rsidRPr="001F2738">
        <w:rPr>
          <w:rFonts w:ascii="Arial" w:hAnsi="Arial" w:cs="Arial"/>
          <w:sz w:val="20"/>
          <w:szCs w:val="20"/>
        </w:rPr>
        <w:t>chevauchement temporaire de ressources</w:t>
      </w:r>
      <w:r w:rsidR="001F2738" w:rsidRPr="001F2738">
        <w:rPr>
          <w:rFonts w:ascii="Arial" w:hAnsi="Arial" w:cs="Arial"/>
          <w:sz w:val="20"/>
          <w:szCs w:val="20"/>
        </w:rPr>
        <w:t>)</w:t>
      </w:r>
      <w:r w:rsidR="00A369A1" w:rsidRPr="001F2738">
        <w:rPr>
          <w:rFonts w:ascii="Arial" w:hAnsi="Arial" w:cs="Arial"/>
          <w:sz w:val="20"/>
          <w:szCs w:val="20"/>
        </w:rPr>
        <w:t>.</w:t>
      </w:r>
    </w:p>
    <w:p w14:paraId="58707767" w14:textId="77777777" w:rsidR="00F96912" w:rsidRPr="00BC1038" w:rsidRDefault="00F96912" w:rsidP="00F96912">
      <w:pPr>
        <w:jc w:val="both"/>
        <w:rPr>
          <w:sz w:val="20"/>
        </w:rPr>
      </w:pPr>
    </w:p>
    <w:p w14:paraId="6DA180F5" w14:textId="77777777" w:rsidR="00F96912" w:rsidRPr="00BC1038" w:rsidRDefault="00F96912" w:rsidP="00F96912">
      <w:pPr>
        <w:jc w:val="both"/>
        <w:rPr>
          <w:sz w:val="20"/>
          <w:u w:val="single"/>
        </w:rPr>
      </w:pPr>
      <w:r w:rsidRPr="00BC1038">
        <w:rPr>
          <w:sz w:val="20"/>
        </w:rPr>
        <w:t>B.</w:t>
      </w:r>
      <w:r w:rsidRPr="00BC1038">
        <w:rPr>
          <w:sz w:val="20"/>
        </w:rPr>
        <w:tab/>
      </w:r>
      <w:r w:rsidRPr="00BC1038">
        <w:rPr>
          <w:sz w:val="20"/>
          <w:u w:val="single"/>
        </w:rPr>
        <w:t>Utilisation du budget 2016</w:t>
      </w:r>
      <w:r w:rsidRPr="00BC1038">
        <w:rPr>
          <w:sz w:val="20"/>
          <w:u w:val="single"/>
        </w:rPr>
        <w:noBreakHyphen/>
        <w:t>2017</w:t>
      </w:r>
    </w:p>
    <w:p w14:paraId="67DD2F56" w14:textId="77777777" w:rsidR="00F96912" w:rsidRPr="00BC1038" w:rsidRDefault="00F96912" w:rsidP="00F96912">
      <w:pPr>
        <w:jc w:val="both"/>
        <w:rPr>
          <w:sz w:val="20"/>
        </w:rPr>
      </w:pPr>
    </w:p>
    <w:p w14:paraId="2B6DEB82" w14:textId="53A732E9" w:rsidR="00F96912" w:rsidRPr="001F2738" w:rsidRDefault="00F96912" w:rsidP="00D544B8">
      <w:pPr>
        <w:pStyle w:val="ListParagraph"/>
        <w:numPr>
          <w:ilvl w:val="0"/>
          <w:numId w:val="26"/>
        </w:numPr>
        <w:ind w:left="0" w:firstLine="0"/>
        <w:jc w:val="both"/>
        <w:rPr>
          <w:rFonts w:ascii="Arial" w:hAnsi="Arial" w:cs="Arial"/>
          <w:sz w:val="20"/>
        </w:rPr>
      </w:pPr>
      <w:r w:rsidRPr="001F2738">
        <w:rPr>
          <w:rFonts w:ascii="Arial" w:hAnsi="Arial" w:cs="Arial"/>
          <w:sz w:val="20"/>
        </w:rPr>
        <w:t>La légère sous</w:t>
      </w:r>
      <w:r w:rsidRPr="001F2738">
        <w:rPr>
          <w:rFonts w:ascii="Arial" w:hAnsi="Arial" w:cs="Arial"/>
          <w:sz w:val="20"/>
        </w:rPr>
        <w:noBreakHyphen/>
        <w:t xml:space="preserve">utilisation des ressources autres que pour le personnel était principalement due au report de </w:t>
      </w:r>
      <w:r w:rsidR="001F2738" w:rsidRPr="001F2738">
        <w:rPr>
          <w:rFonts w:ascii="Arial" w:hAnsi="Arial" w:cs="Arial"/>
          <w:sz w:val="20"/>
        </w:rPr>
        <w:t>certaines activités telles que des séminaires et des missions consultatives dont il est rendu compte sous le résultat escompté II.10</w:t>
      </w:r>
      <w:r w:rsidRPr="001F2738">
        <w:rPr>
          <w:rFonts w:ascii="Arial" w:hAnsi="Arial" w:cs="Arial"/>
          <w:sz w:val="20"/>
        </w:rPr>
        <w:t>.</w:t>
      </w:r>
    </w:p>
    <w:p w14:paraId="62F418CC" w14:textId="77777777" w:rsidR="00561B47" w:rsidRDefault="00561B47">
      <w:pPr>
        <w:rPr>
          <w:b/>
          <w:bCs/>
          <w:iCs/>
          <w:caps/>
          <w:szCs w:val="28"/>
        </w:rPr>
      </w:pPr>
      <w:r>
        <w:rPr>
          <w:b/>
          <w:bCs/>
          <w:iCs/>
          <w:caps/>
          <w:szCs w:val="28"/>
        </w:rPr>
        <w:br w:type="page"/>
      </w:r>
    </w:p>
    <w:p w14:paraId="6F51E559" w14:textId="43C14A90" w:rsidR="001F64B1" w:rsidRPr="001E6DFD" w:rsidRDefault="00463DF3" w:rsidP="006658D5">
      <w:pPr>
        <w:pStyle w:val="Heading3"/>
      </w:pPr>
      <w:bookmarkStart w:id="38" w:name="_Toc482774598"/>
      <w:r w:rsidRPr="001E6DFD">
        <w:lastRenderedPageBreak/>
        <w:t>Programme</w:t>
      </w:r>
      <w:r w:rsidR="00B4191E">
        <w:t> </w:t>
      </w:r>
      <w:r w:rsidRPr="001E6DFD">
        <w:t>7</w:t>
      </w:r>
      <w:r w:rsidRPr="001E6DFD">
        <w:tab/>
        <w:t>Centre d</w:t>
      </w:r>
      <w:r w:rsidR="00FA22F6" w:rsidRPr="001E6DFD">
        <w:t>’</w:t>
      </w:r>
      <w:r w:rsidRPr="001E6DFD">
        <w:t>arbitrage et de médiation de l</w:t>
      </w:r>
      <w:r w:rsidR="00FA22F6" w:rsidRPr="001E6DFD">
        <w:t>’</w:t>
      </w:r>
      <w:r w:rsidRPr="001E6DFD">
        <w:t>OMPI</w:t>
      </w:r>
      <w:bookmarkEnd w:id="38"/>
    </w:p>
    <w:p w14:paraId="33D86B5D" w14:textId="77777777" w:rsidR="001F64B1" w:rsidRPr="001E6DFD" w:rsidRDefault="001F64B1" w:rsidP="00F85BB6">
      <w:pPr>
        <w:tabs>
          <w:tab w:val="left" w:pos="2268"/>
        </w:tabs>
        <w:ind w:left="2268" w:hanging="2268"/>
        <w:rPr>
          <w:sz w:val="20"/>
        </w:rPr>
      </w:pPr>
    </w:p>
    <w:p w14:paraId="109B9525" w14:textId="77777777" w:rsidR="001F64B1" w:rsidRPr="001E6DFD" w:rsidRDefault="00463DF3" w:rsidP="00F85BB6">
      <w:pPr>
        <w:tabs>
          <w:tab w:val="left" w:pos="2268"/>
        </w:tabs>
        <w:ind w:left="2268" w:hanging="2268"/>
        <w:rPr>
          <w:b/>
          <w:sz w:val="20"/>
          <w:szCs w:val="22"/>
        </w:rPr>
      </w:pPr>
      <w:r w:rsidRPr="001E6DFD">
        <w:rPr>
          <w:b/>
          <w:sz w:val="20"/>
          <w:szCs w:val="22"/>
        </w:rPr>
        <w:t>Chef de programme</w:t>
      </w:r>
      <w:r w:rsidRPr="001E6DFD">
        <w:rPr>
          <w:b/>
          <w:sz w:val="20"/>
          <w:szCs w:val="22"/>
        </w:rPr>
        <w:tab/>
        <w:t>M. J. Sandage</w:t>
      </w:r>
    </w:p>
    <w:p w14:paraId="3BB5756C" w14:textId="77777777" w:rsidR="00BA5EA9" w:rsidRPr="001E6DFD" w:rsidRDefault="0097226C" w:rsidP="0097226C">
      <w:pPr>
        <w:jc w:val="center"/>
        <w:rPr>
          <w:sz w:val="20"/>
        </w:rPr>
      </w:pPr>
      <w:r w:rsidRPr="001E6DFD">
        <w:rPr>
          <w:noProof/>
          <w:lang w:val="en-US"/>
        </w:rPr>
        <w:drawing>
          <wp:inline distT="0" distB="0" distL="0" distR="0" wp14:anchorId="5EC853CD" wp14:editId="4643BCC2">
            <wp:extent cx="3963600" cy="27360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jc w:val="center"/>
        <w:tblCellMar>
          <w:top w:w="57" w:type="dxa"/>
          <w:bottom w:w="57" w:type="dxa"/>
        </w:tblCellMar>
        <w:tblLook w:val="0000" w:firstRow="0" w:lastRow="0" w:firstColumn="0" w:lastColumn="0" w:noHBand="0" w:noVBand="0"/>
      </w:tblPr>
      <w:tblGrid>
        <w:gridCol w:w="1719"/>
        <w:gridCol w:w="2631"/>
        <w:gridCol w:w="1961"/>
        <w:gridCol w:w="1766"/>
        <w:gridCol w:w="1110"/>
      </w:tblGrid>
      <w:tr w:rsidR="00BA5EA9" w:rsidRPr="001E6DFD" w14:paraId="67531201" w14:textId="77777777" w:rsidTr="0097226C">
        <w:trPr>
          <w:jc w:val="center"/>
        </w:trPr>
        <w:tc>
          <w:tcPr>
            <w:tcW w:w="5000" w:type="pct"/>
            <w:gridSpan w:val="5"/>
            <w:shd w:val="clear" w:color="auto" w:fill="C6D9F1" w:themeFill="text2" w:themeFillTint="33"/>
            <w:tcMar>
              <w:left w:w="58" w:type="dxa"/>
              <w:right w:w="58" w:type="dxa"/>
            </w:tcMar>
            <w:vAlign w:val="center"/>
          </w:tcPr>
          <w:p w14:paraId="3B6686ED" w14:textId="6F3CBC16" w:rsidR="00BA5EA9" w:rsidRPr="001E6DFD" w:rsidRDefault="00463DF3"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II.8 De plus en plus de litiges internationaux ou nationaux de propriété intellectuelle sont évités ou réglés par la médiation, l</w:t>
            </w:r>
            <w:r w:rsidR="00FA22F6" w:rsidRPr="001E6DFD">
              <w:rPr>
                <w:bCs/>
                <w:sz w:val="16"/>
                <w:szCs w:val="16"/>
              </w:rPr>
              <w:t>’</w:t>
            </w:r>
            <w:r w:rsidRPr="001E6DFD">
              <w:rPr>
                <w:bCs/>
                <w:sz w:val="16"/>
                <w:szCs w:val="16"/>
              </w:rPr>
              <w:t>arbitrage et d</w:t>
            </w:r>
            <w:r w:rsidR="00FA22F6" w:rsidRPr="001E6DFD">
              <w:rPr>
                <w:bCs/>
                <w:sz w:val="16"/>
                <w:szCs w:val="16"/>
              </w:rPr>
              <w:t>’</w:t>
            </w:r>
            <w:r w:rsidRPr="001E6DFD">
              <w:rPr>
                <w:bCs/>
                <w:sz w:val="16"/>
                <w:szCs w:val="16"/>
              </w:rPr>
              <w:t>autres modes extrajudiciaires de règlement des litiges de l</w:t>
            </w:r>
            <w:r w:rsidR="00FA22F6" w:rsidRPr="001E6DFD">
              <w:rPr>
                <w:bCs/>
                <w:sz w:val="16"/>
                <w:szCs w:val="16"/>
              </w:rPr>
              <w:t>’</w:t>
            </w:r>
            <w:r w:rsidRPr="001E6DFD">
              <w:rPr>
                <w:bCs/>
                <w:sz w:val="16"/>
                <w:szCs w:val="16"/>
              </w:rPr>
              <w:t>OMPI</w:t>
            </w:r>
          </w:p>
        </w:tc>
      </w:tr>
      <w:tr w:rsidR="00BA5EA9" w:rsidRPr="001E6DFD" w14:paraId="287B9FAD" w14:textId="77777777" w:rsidTr="0097226C">
        <w:trPr>
          <w:jc w:val="center"/>
        </w:trPr>
        <w:tc>
          <w:tcPr>
            <w:tcW w:w="936" w:type="pct"/>
            <w:shd w:val="clear" w:color="auto" w:fill="auto"/>
            <w:tcMar>
              <w:left w:w="58" w:type="dxa"/>
              <w:right w:w="58" w:type="dxa"/>
            </w:tcMar>
            <w:vAlign w:val="center"/>
          </w:tcPr>
          <w:p w14:paraId="78E69D61" w14:textId="4DA0DDE1" w:rsidR="00BA5EA9" w:rsidRPr="001E6DFD" w:rsidRDefault="00463DF3"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432" w:type="pct"/>
            <w:shd w:val="clear" w:color="auto" w:fill="auto"/>
            <w:tcMar>
              <w:left w:w="58" w:type="dxa"/>
              <w:right w:w="58" w:type="dxa"/>
            </w:tcMar>
            <w:vAlign w:val="center"/>
          </w:tcPr>
          <w:p w14:paraId="42309D75" w14:textId="77777777" w:rsidR="00BA5EA9" w:rsidRPr="001E6DFD" w:rsidRDefault="00463DF3" w:rsidP="0097226C">
            <w:pPr>
              <w:jc w:val="center"/>
              <w:rPr>
                <w:b/>
                <w:bCs/>
                <w:sz w:val="16"/>
                <w:szCs w:val="16"/>
              </w:rPr>
            </w:pPr>
            <w:r w:rsidRPr="001E6DFD">
              <w:rPr>
                <w:b/>
                <w:bCs/>
                <w:sz w:val="16"/>
                <w:szCs w:val="16"/>
              </w:rPr>
              <w:t>Niveaux de référence</w:t>
            </w:r>
          </w:p>
        </w:tc>
        <w:tc>
          <w:tcPr>
            <w:tcW w:w="1067" w:type="pct"/>
            <w:shd w:val="clear" w:color="auto" w:fill="auto"/>
            <w:tcMar>
              <w:top w:w="110" w:type="dxa"/>
              <w:left w:w="58" w:type="dxa"/>
              <w:right w:w="58" w:type="dxa"/>
            </w:tcMar>
            <w:vAlign w:val="center"/>
          </w:tcPr>
          <w:p w14:paraId="5E1557DC" w14:textId="77777777" w:rsidR="00BA5EA9" w:rsidRPr="001E6DFD" w:rsidRDefault="00463DF3" w:rsidP="0097226C">
            <w:pPr>
              <w:tabs>
                <w:tab w:val="left" w:pos="290"/>
              </w:tabs>
              <w:jc w:val="center"/>
              <w:rPr>
                <w:b/>
                <w:bCs/>
                <w:sz w:val="16"/>
                <w:szCs w:val="16"/>
              </w:rPr>
            </w:pPr>
            <w:r w:rsidRPr="001E6DFD">
              <w:rPr>
                <w:b/>
                <w:bCs/>
                <w:sz w:val="16"/>
                <w:szCs w:val="16"/>
              </w:rPr>
              <w:t>Objectifs visés</w:t>
            </w:r>
          </w:p>
        </w:tc>
        <w:tc>
          <w:tcPr>
            <w:tcW w:w="961" w:type="pct"/>
            <w:shd w:val="clear" w:color="auto" w:fill="FFFFFF"/>
            <w:tcMar>
              <w:top w:w="110" w:type="dxa"/>
              <w:left w:w="58" w:type="dxa"/>
              <w:right w:w="58" w:type="dxa"/>
            </w:tcMar>
            <w:vAlign w:val="center"/>
          </w:tcPr>
          <w:p w14:paraId="73D88243" w14:textId="7C696430" w:rsidR="00BA5EA9" w:rsidRPr="001E6DFD" w:rsidRDefault="00463DF3"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603" w:type="pct"/>
            <w:shd w:val="clear" w:color="auto" w:fill="auto"/>
            <w:tcMar>
              <w:top w:w="110" w:type="dxa"/>
              <w:left w:w="58" w:type="dxa"/>
              <w:right w:w="58" w:type="dxa"/>
            </w:tcMar>
            <w:vAlign w:val="center"/>
          </w:tcPr>
          <w:p w14:paraId="540A4165" w14:textId="07D3B318"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6072E7A1" w14:textId="77777777" w:rsidTr="0097226C">
        <w:trPr>
          <w:jc w:val="center"/>
        </w:trPr>
        <w:tc>
          <w:tcPr>
            <w:tcW w:w="936" w:type="pct"/>
            <w:vMerge w:val="restart"/>
            <w:shd w:val="clear" w:color="auto" w:fill="auto"/>
            <w:tcMar>
              <w:left w:w="58" w:type="dxa"/>
              <w:right w:w="58" w:type="dxa"/>
            </w:tcMar>
          </w:tcPr>
          <w:p w14:paraId="29A97D7A" w14:textId="5855FA75" w:rsidR="00BA5EA9" w:rsidRPr="001E6DFD" w:rsidRDefault="00463DF3" w:rsidP="0097226C">
            <w:pPr>
              <w:keepLines/>
              <w:ind w:right="43"/>
              <w:rPr>
                <w:sz w:val="16"/>
                <w:szCs w:val="16"/>
              </w:rPr>
            </w:pPr>
            <w:r w:rsidRPr="001E6DFD">
              <w:rPr>
                <w:sz w:val="16"/>
                <w:szCs w:val="16"/>
              </w:rPr>
              <w:t>Utilisation accrue de services et de clauses de règlement extrajudiciaire des litiges dans les transactions et les enregistrements de titres de propriété intellectuelle, notamment par le recours aux procédures de l</w:t>
            </w:r>
            <w:r w:rsidR="00FA22F6" w:rsidRPr="001E6DFD">
              <w:rPr>
                <w:sz w:val="16"/>
                <w:szCs w:val="16"/>
              </w:rPr>
              <w:t>’</w:t>
            </w:r>
            <w:r w:rsidRPr="001E6DFD">
              <w:rPr>
                <w:sz w:val="16"/>
                <w:szCs w:val="16"/>
              </w:rPr>
              <w:t>OMPI</w:t>
            </w:r>
            <w:r w:rsidR="00BA5EA9" w:rsidRPr="001E6DFD">
              <w:rPr>
                <w:sz w:val="16"/>
                <w:szCs w:val="16"/>
              </w:rPr>
              <w:t xml:space="preserve"> </w:t>
            </w:r>
          </w:p>
        </w:tc>
        <w:tc>
          <w:tcPr>
            <w:tcW w:w="1432" w:type="pct"/>
            <w:shd w:val="clear" w:color="auto" w:fill="auto"/>
            <w:tcMar>
              <w:left w:w="58" w:type="dxa"/>
              <w:right w:w="58" w:type="dxa"/>
            </w:tcMar>
          </w:tcPr>
          <w:p w14:paraId="34E35DFF" w14:textId="2D0BF3D6"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2A132BE3" w14:textId="68F43213" w:rsidR="001F64B1" w:rsidRPr="001E6DFD" w:rsidRDefault="008726C8" w:rsidP="0097226C">
            <w:pPr>
              <w:rPr>
                <w:color w:val="002060"/>
                <w:sz w:val="16"/>
                <w:szCs w:val="16"/>
              </w:rPr>
            </w:pPr>
            <w:r w:rsidRPr="001E6DFD">
              <w:rPr>
                <w:color w:val="002060"/>
                <w:sz w:val="16"/>
                <w:szCs w:val="16"/>
              </w:rPr>
              <w:t>422 litiges et 202</w:t>
            </w:r>
            <w:r w:rsidR="00B4191E">
              <w:rPr>
                <w:color w:val="002060"/>
                <w:sz w:val="16"/>
                <w:szCs w:val="16"/>
              </w:rPr>
              <w:t> </w:t>
            </w:r>
            <w:r w:rsidRPr="001E6DFD">
              <w:rPr>
                <w:color w:val="002060"/>
                <w:sz w:val="16"/>
                <w:szCs w:val="16"/>
              </w:rPr>
              <w:t>bons offices (</w:t>
            </w:r>
            <w:r w:rsidR="006C5CB0" w:rsidRPr="001E6DFD">
              <w:rPr>
                <w:color w:val="002060"/>
                <w:sz w:val="16"/>
                <w:szCs w:val="16"/>
              </w:rPr>
              <w:t>total</w:t>
            </w:r>
            <w:r w:rsidRPr="001E6DFD">
              <w:rPr>
                <w:color w:val="002060"/>
                <w:sz w:val="16"/>
                <w:szCs w:val="16"/>
              </w:rPr>
              <w:t xml:space="preserve"> à la fin de 2015)</w:t>
            </w:r>
          </w:p>
          <w:p w14:paraId="3C875AFD" w14:textId="77777777" w:rsidR="001F64B1" w:rsidRPr="001E6DFD" w:rsidRDefault="001F64B1" w:rsidP="0097226C">
            <w:pPr>
              <w:rPr>
                <w:sz w:val="16"/>
                <w:szCs w:val="16"/>
              </w:rPr>
            </w:pPr>
          </w:p>
          <w:p w14:paraId="52C396D3" w14:textId="1CDC1BDE" w:rsidR="00FA22F6" w:rsidRPr="001E6DFD" w:rsidRDefault="00E64532" w:rsidP="0097226C">
            <w:pPr>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1CF11332" w14:textId="473B252A" w:rsidR="00BA5EA9" w:rsidRPr="001E6DFD" w:rsidRDefault="008726C8" w:rsidP="0097226C">
            <w:pPr>
              <w:keepLines/>
              <w:rPr>
                <w:sz w:val="16"/>
                <w:szCs w:val="16"/>
              </w:rPr>
            </w:pPr>
            <w:r w:rsidRPr="001E6DFD">
              <w:rPr>
                <w:sz w:val="16"/>
                <w:szCs w:val="16"/>
              </w:rPr>
              <w:t>393 litiges et 148</w:t>
            </w:r>
            <w:r w:rsidR="00B4191E">
              <w:rPr>
                <w:sz w:val="16"/>
                <w:szCs w:val="16"/>
              </w:rPr>
              <w:t> </w:t>
            </w:r>
            <w:r w:rsidRPr="001E6DFD">
              <w:rPr>
                <w:sz w:val="16"/>
                <w:szCs w:val="16"/>
              </w:rPr>
              <w:t>bons offices (</w:t>
            </w:r>
            <w:r w:rsidR="006C5CB0" w:rsidRPr="001E6DFD">
              <w:rPr>
                <w:sz w:val="16"/>
                <w:szCs w:val="16"/>
              </w:rPr>
              <w:t>total</w:t>
            </w:r>
            <w:r w:rsidRPr="001E6DFD">
              <w:rPr>
                <w:sz w:val="16"/>
                <w:szCs w:val="16"/>
              </w:rPr>
              <w:t xml:space="preserve"> à la fin de 2014)</w:t>
            </w:r>
          </w:p>
        </w:tc>
        <w:tc>
          <w:tcPr>
            <w:tcW w:w="1067" w:type="pct"/>
            <w:shd w:val="clear" w:color="auto" w:fill="auto"/>
            <w:tcMar>
              <w:top w:w="110" w:type="dxa"/>
              <w:left w:w="58" w:type="dxa"/>
              <w:right w:w="58" w:type="dxa"/>
            </w:tcMar>
          </w:tcPr>
          <w:p w14:paraId="71B3080D" w14:textId="0C9D7A78"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11CCEA3B" w14:textId="77777777" w:rsidR="00FA22F6" w:rsidRPr="001E6DFD" w:rsidRDefault="008726C8" w:rsidP="0097226C">
            <w:pPr>
              <w:keepLines/>
              <w:rPr>
                <w:color w:val="002060"/>
                <w:sz w:val="16"/>
                <w:szCs w:val="16"/>
              </w:rPr>
            </w:pPr>
            <w:r w:rsidRPr="001E6DFD">
              <w:rPr>
                <w:color w:val="002060"/>
                <w:sz w:val="16"/>
                <w:szCs w:val="16"/>
              </w:rPr>
              <w:t>150 litiges et bons offices supplémentaires</w:t>
            </w:r>
          </w:p>
          <w:p w14:paraId="58E08B11" w14:textId="7C48D97F" w:rsidR="001F64B1" w:rsidRPr="001303B4" w:rsidRDefault="001F64B1" w:rsidP="0097226C">
            <w:pPr>
              <w:keepLines/>
              <w:rPr>
                <w:sz w:val="16"/>
                <w:szCs w:val="16"/>
              </w:rPr>
            </w:pPr>
          </w:p>
          <w:p w14:paraId="7461DA51" w14:textId="77777777" w:rsidR="00D332FB" w:rsidRPr="001303B4" w:rsidRDefault="00D332FB" w:rsidP="0097226C">
            <w:pPr>
              <w:keepLines/>
              <w:rPr>
                <w:sz w:val="16"/>
                <w:szCs w:val="16"/>
              </w:rPr>
            </w:pPr>
          </w:p>
          <w:p w14:paraId="5FD34C87" w14:textId="1B188B04" w:rsidR="00FA22F6" w:rsidRPr="001E6DFD" w:rsidRDefault="006C5CB0" w:rsidP="0097226C">
            <w:pPr>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BAD2805" w14:textId="347DF957" w:rsidR="00BA5EA9" w:rsidRPr="001E6DFD" w:rsidRDefault="008726C8" w:rsidP="0097226C">
            <w:pPr>
              <w:keepLines/>
              <w:ind w:right="34"/>
              <w:rPr>
                <w:sz w:val="16"/>
                <w:szCs w:val="16"/>
              </w:rPr>
            </w:pPr>
            <w:r w:rsidRPr="001E6DFD">
              <w:rPr>
                <w:sz w:val="16"/>
                <w:szCs w:val="16"/>
              </w:rPr>
              <w:t>40 litiges et bons offices supplémentaires</w:t>
            </w:r>
          </w:p>
        </w:tc>
        <w:tc>
          <w:tcPr>
            <w:tcW w:w="961" w:type="pct"/>
            <w:shd w:val="clear" w:color="auto" w:fill="FFFFFF"/>
            <w:tcMar>
              <w:top w:w="110" w:type="dxa"/>
              <w:left w:w="58" w:type="dxa"/>
              <w:right w:w="58" w:type="dxa"/>
            </w:tcMar>
          </w:tcPr>
          <w:p w14:paraId="3CE54313" w14:textId="7A63D8D7" w:rsidR="001F64B1" w:rsidRPr="001E6DFD" w:rsidRDefault="008726C8" w:rsidP="0097226C">
            <w:pPr>
              <w:rPr>
                <w:sz w:val="16"/>
                <w:szCs w:val="16"/>
              </w:rPr>
            </w:pPr>
            <w:r w:rsidRPr="001E6DFD">
              <w:rPr>
                <w:sz w:val="16"/>
                <w:szCs w:val="16"/>
              </w:rPr>
              <w:t>60 litiges supplémentaires et 54</w:t>
            </w:r>
            <w:r w:rsidR="00B4191E">
              <w:rPr>
                <w:sz w:val="16"/>
                <w:szCs w:val="16"/>
              </w:rPr>
              <w:t> </w:t>
            </w:r>
            <w:r w:rsidRPr="001E6DFD">
              <w:rPr>
                <w:sz w:val="16"/>
                <w:szCs w:val="16"/>
              </w:rPr>
              <w:t>bons offices supplémentaires</w:t>
            </w:r>
          </w:p>
          <w:p w14:paraId="424B0219" w14:textId="77777777" w:rsidR="001F64B1" w:rsidRPr="001E6DFD" w:rsidRDefault="001F64B1" w:rsidP="0097226C">
            <w:pPr>
              <w:rPr>
                <w:sz w:val="16"/>
                <w:szCs w:val="16"/>
              </w:rPr>
            </w:pPr>
          </w:p>
          <w:p w14:paraId="529C5CE3" w14:textId="240F4259" w:rsidR="00BA5EA9" w:rsidRPr="001E6DFD" w:rsidRDefault="00BA5EA9" w:rsidP="0097226C">
            <w:pPr>
              <w:rPr>
                <w:sz w:val="16"/>
                <w:szCs w:val="16"/>
              </w:rPr>
            </w:pPr>
            <w:r w:rsidRPr="001E6DFD">
              <w:rPr>
                <w:sz w:val="16"/>
                <w:szCs w:val="16"/>
              </w:rPr>
              <w:t xml:space="preserve">482 </w:t>
            </w:r>
            <w:r w:rsidR="006C5CB0" w:rsidRPr="001E6DFD">
              <w:rPr>
                <w:sz w:val="16"/>
                <w:szCs w:val="16"/>
              </w:rPr>
              <w:t>litiges et</w:t>
            </w:r>
            <w:r w:rsidRPr="001E6DFD">
              <w:rPr>
                <w:sz w:val="16"/>
                <w:szCs w:val="16"/>
              </w:rPr>
              <w:t xml:space="preserve"> 256</w:t>
            </w:r>
            <w:r w:rsidR="00B4191E">
              <w:rPr>
                <w:sz w:val="16"/>
                <w:szCs w:val="16"/>
              </w:rPr>
              <w:t> </w:t>
            </w:r>
            <w:r w:rsidRPr="001E6DFD">
              <w:rPr>
                <w:sz w:val="16"/>
                <w:szCs w:val="16"/>
              </w:rPr>
              <w:t>bons offices (</w:t>
            </w:r>
            <w:r w:rsidR="006C5CB0" w:rsidRPr="001E6DFD">
              <w:rPr>
                <w:sz w:val="16"/>
                <w:szCs w:val="16"/>
              </w:rPr>
              <w:t xml:space="preserve">total à la fin </w:t>
            </w:r>
            <w:r w:rsidR="00FA22F6" w:rsidRPr="001E6DFD">
              <w:rPr>
                <w:sz w:val="16"/>
                <w:szCs w:val="16"/>
              </w:rPr>
              <w:t>de 2016</w:t>
            </w:r>
            <w:r w:rsidRPr="001E6DFD">
              <w:rPr>
                <w:sz w:val="16"/>
                <w:szCs w:val="16"/>
              </w:rPr>
              <w:t>)</w:t>
            </w:r>
          </w:p>
        </w:tc>
        <w:tc>
          <w:tcPr>
            <w:tcW w:w="603" w:type="pct"/>
            <w:shd w:val="clear" w:color="auto" w:fill="auto"/>
            <w:tcMar>
              <w:top w:w="110" w:type="dxa"/>
              <w:left w:w="58" w:type="dxa"/>
              <w:right w:w="58" w:type="dxa"/>
            </w:tcMar>
          </w:tcPr>
          <w:p w14:paraId="53A44834" w14:textId="77777777" w:rsidR="00BA5EA9" w:rsidRPr="001E6DFD" w:rsidRDefault="00A43B2F" w:rsidP="0097226C">
            <w:pPr>
              <w:keepLines/>
              <w:jc w:val="center"/>
              <w:rPr>
                <w:b/>
                <w:sz w:val="16"/>
                <w:szCs w:val="16"/>
              </w:rPr>
            </w:pPr>
            <w:r w:rsidRPr="001E6DFD">
              <w:rPr>
                <w:b/>
                <w:color w:val="00B050"/>
                <w:sz w:val="16"/>
                <w:szCs w:val="16"/>
              </w:rPr>
              <w:t>En bonne voie</w:t>
            </w:r>
          </w:p>
        </w:tc>
      </w:tr>
      <w:tr w:rsidR="00BA5EA9" w:rsidRPr="001E6DFD" w14:paraId="2883D41D" w14:textId="77777777" w:rsidTr="0097226C">
        <w:trPr>
          <w:jc w:val="center"/>
        </w:trPr>
        <w:tc>
          <w:tcPr>
            <w:tcW w:w="936" w:type="pct"/>
            <w:vMerge/>
            <w:shd w:val="clear" w:color="auto" w:fill="auto"/>
            <w:tcMar>
              <w:left w:w="58" w:type="dxa"/>
              <w:right w:w="58" w:type="dxa"/>
            </w:tcMar>
          </w:tcPr>
          <w:p w14:paraId="332CE52E" w14:textId="77777777" w:rsidR="00BA5EA9" w:rsidRPr="001E6DFD" w:rsidRDefault="00BA5EA9" w:rsidP="0097226C">
            <w:pPr>
              <w:keepLines/>
              <w:ind w:right="43"/>
              <w:rPr>
                <w:sz w:val="16"/>
                <w:szCs w:val="16"/>
              </w:rPr>
            </w:pPr>
          </w:p>
        </w:tc>
        <w:tc>
          <w:tcPr>
            <w:tcW w:w="1432" w:type="pct"/>
            <w:shd w:val="clear" w:color="auto" w:fill="auto"/>
            <w:tcMar>
              <w:left w:w="58" w:type="dxa"/>
              <w:right w:w="58" w:type="dxa"/>
            </w:tcMar>
          </w:tcPr>
          <w:p w14:paraId="546363C4" w14:textId="20B54B9C"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0A82CC0D" w14:textId="03988AF9" w:rsidR="001F64B1" w:rsidRPr="001E6DFD" w:rsidRDefault="006C5CB0" w:rsidP="0097226C">
            <w:pPr>
              <w:rPr>
                <w:color w:val="002060"/>
                <w:sz w:val="16"/>
                <w:szCs w:val="16"/>
              </w:rPr>
            </w:pPr>
            <w:r w:rsidRPr="001E6DFD">
              <w:rPr>
                <w:color w:val="002060"/>
                <w:sz w:val="16"/>
                <w:szCs w:val="16"/>
              </w:rPr>
              <w:t>7</w:t>
            </w:r>
            <w:r w:rsidR="00BA5EA9" w:rsidRPr="001E6DFD">
              <w:rPr>
                <w:color w:val="002060"/>
                <w:sz w:val="16"/>
                <w:szCs w:val="16"/>
              </w:rPr>
              <w:t xml:space="preserve">500 </w:t>
            </w:r>
            <w:r w:rsidRPr="001E6DFD">
              <w:rPr>
                <w:color w:val="002060"/>
                <w:sz w:val="16"/>
                <w:szCs w:val="16"/>
              </w:rPr>
              <w:t xml:space="preserve">demandes supplémentaires </w:t>
            </w:r>
            <w:r w:rsidR="00BA5EA9" w:rsidRPr="001E6DFD">
              <w:rPr>
                <w:color w:val="002060"/>
                <w:sz w:val="16"/>
                <w:szCs w:val="16"/>
              </w:rPr>
              <w:t>(2014</w:t>
            </w:r>
            <w:r w:rsidR="006A41CF" w:rsidRPr="001E6DFD">
              <w:rPr>
                <w:color w:val="002060"/>
                <w:sz w:val="16"/>
                <w:szCs w:val="16"/>
              </w:rPr>
              <w:noBreakHyphen/>
            </w:r>
            <w:r w:rsidRPr="001E6DFD">
              <w:rPr>
                <w:color w:val="002060"/>
                <w:sz w:val="16"/>
                <w:szCs w:val="16"/>
              </w:rPr>
              <w:t>20</w:t>
            </w:r>
            <w:r w:rsidR="00BA5EA9" w:rsidRPr="001E6DFD">
              <w:rPr>
                <w:color w:val="002060"/>
                <w:sz w:val="16"/>
                <w:szCs w:val="16"/>
              </w:rPr>
              <w:t>15)</w:t>
            </w:r>
          </w:p>
          <w:p w14:paraId="56DAB5D6" w14:textId="77777777" w:rsidR="001F64B1" w:rsidRPr="001E6DFD" w:rsidRDefault="001F64B1" w:rsidP="0097226C">
            <w:pPr>
              <w:rPr>
                <w:sz w:val="16"/>
                <w:szCs w:val="16"/>
              </w:rPr>
            </w:pPr>
          </w:p>
          <w:p w14:paraId="3DCF9E19" w14:textId="4CED5098" w:rsidR="00FA22F6" w:rsidRPr="001E6DFD" w:rsidRDefault="00E64532" w:rsidP="0097226C">
            <w:pPr>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8A16DF5" w14:textId="0C3333A6" w:rsidR="00BA5EA9" w:rsidRPr="001E6DFD" w:rsidRDefault="008726C8" w:rsidP="0097226C">
            <w:pPr>
              <w:rPr>
                <w:i/>
                <w:sz w:val="16"/>
                <w:szCs w:val="16"/>
              </w:rPr>
            </w:pPr>
            <w:r w:rsidRPr="001E6DFD">
              <w:rPr>
                <w:i/>
                <w:sz w:val="16"/>
                <w:szCs w:val="16"/>
              </w:rPr>
              <w:t>4000 demandes (2012</w:t>
            </w:r>
            <w:r w:rsidR="006A41CF" w:rsidRPr="001E6DFD">
              <w:rPr>
                <w:i/>
                <w:sz w:val="16"/>
                <w:szCs w:val="16"/>
              </w:rPr>
              <w:noBreakHyphen/>
            </w:r>
            <w:r w:rsidRPr="001E6DFD">
              <w:rPr>
                <w:i/>
                <w:sz w:val="16"/>
                <w:szCs w:val="16"/>
              </w:rPr>
              <w:t>2013)</w:t>
            </w:r>
          </w:p>
        </w:tc>
        <w:tc>
          <w:tcPr>
            <w:tcW w:w="1067" w:type="pct"/>
            <w:shd w:val="clear" w:color="auto" w:fill="auto"/>
            <w:tcMar>
              <w:top w:w="110" w:type="dxa"/>
              <w:left w:w="58" w:type="dxa"/>
              <w:right w:w="58" w:type="dxa"/>
            </w:tcMar>
          </w:tcPr>
          <w:p w14:paraId="7D52963E" w14:textId="5216841C"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6F448F73" w14:textId="7D428E1B" w:rsidR="001F64B1" w:rsidRPr="001E6DFD" w:rsidRDefault="00BA5EA9" w:rsidP="0097226C">
            <w:pPr>
              <w:keepLines/>
              <w:rPr>
                <w:color w:val="002060"/>
                <w:sz w:val="16"/>
                <w:szCs w:val="16"/>
              </w:rPr>
            </w:pPr>
            <w:r w:rsidRPr="001E6DFD">
              <w:rPr>
                <w:color w:val="002060"/>
                <w:sz w:val="16"/>
                <w:szCs w:val="16"/>
              </w:rPr>
              <w:t xml:space="preserve">7500 </w:t>
            </w:r>
            <w:r w:rsidR="006C5CB0" w:rsidRPr="001E6DFD">
              <w:rPr>
                <w:color w:val="002060"/>
                <w:sz w:val="16"/>
                <w:szCs w:val="16"/>
              </w:rPr>
              <w:t>demandes supplémentaires</w:t>
            </w:r>
          </w:p>
          <w:p w14:paraId="344012A8" w14:textId="77777777" w:rsidR="001F64B1" w:rsidRPr="001303B4" w:rsidRDefault="001F64B1" w:rsidP="0097226C">
            <w:pPr>
              <w:keepLines/>
              <w:rPr>
                <w:sz w:val="16"/>
                <w:szCs w:val="16"/>
              </w:rPr>
            </w:pPr>
          </w:p>
          <w:p w14:paraId="18A9F2D3" w14:textId="7B23C950" w:rsidR="00FA22F6" w:rsidRPr="001E6DFD" w:rsidRDefault="006C5CB0" w:rsidP="0097226C">
            <w:pPr>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F384425" w14:textId="60F1006B" w:rsidR="00BA5EA9" w:rsidRPr="001E6DFD" w:rsidRDefault="008726C8" w:rsidP="0097226C">
            <w:pPr>
              <w:keepLines/>
              <w:ind w:right="34"/>
              <w:rPr>
                <w:sz w:val="16"/>
                <w:szCs w:val="16"/>
              </w:rPr>
            </w:pPr>
            <w:r w:rsidRPr="001E6DFD">
              <w:rPr>
                <w:sz w:val="16"/>
                <w:szCs w:val="16"/>
              </w:rPr>
              <w:t>4000 demandes supplémentaires</w:t>
            </w:r>
          </w:p>
        </w:tc>
        <w:tc>
          <w:tcPr>
            <w:tcW w:w="961" w:type="pct"/>
            <w:shd w:val="clear" w:color="auto" w:fill="FFFFFF"/>
            <w:tcMar>
              <w:top w:w="110" w:type="dxa"/>
              <w:left w:w="58" w:type="dxa"/>
              <w:right w:w="58" w:type="dxa"/>
            </w:tcMar>
          </w:tcPr>
          <w:p w14:paraId="0C9B3BC0" w14:textId="77777777" w:rsidR="00BA5EA9" w:rsidRPr="001E6DFD" w:rsidRDefault="006C5CB0" w:rsidP="0097226C">
            <w:pPr>
              <w:rPr>
                <w:sz w:val="16"/>
                <w:szCs w:val="16"/>
              </w:rPr>
            </w:pPr>
            <w:r w:rsidRPr="001E6DFD">
              <w:rPr>
                <w:sz w:val="16"/>
                <w:szCs w:val="16"/>
              </w:rPr>
              <w:t>3</w:t>
            </w:r>
            <w:r w:rsidR="00BA5EA9" w:rsidRPr="001E6DFD">
              <w:rPr>
                <w:sz w:val="16"/>
                <w:szCs w:val="16"/>
              </w:rPr>
              <w:t xml:space="preserve">865 </w:t>
            </w:r>
            <w:r w:rsidRPr="001E6DFD">
              <w:rPr>
                <w:sz w:val="16"/>
                <w:szCs w:val="16"/>
              </w:rPr>
              <w:t>demandes supplémentaires</w:t>
            </w:r>
          </w:p>
        </w:tc>
        <w:tc>
          <w:tcPr>
            <w:tcW w:w="603" w:type="pct"/>
            <w:shd w:val="clear" w:color="auto" w:fill="auto"/>
            <w:tcMar>
              <w:top w:w="110" w:type="dxa"/>
              <w:left w:w="58" w:type="dxa"/>
              <w:right w:w="58" w:type="dxa"/>
            </w:tcMar>
          </w:tcPr>
          <w:p w14:paraId="3A4FF557"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29655AC8" w14:textId="77777777" w:rsidTr="0097226C">
        <w:trPr>
          <w:jc w:val="center"/>
        </w:trPr>
        <w:tc>
          <w:tcPr>
            <w:tcW w:w="936" w:type="pct"/>
            <w:vMerge/>
            <w:shd w:val="clear" w:color="auto" w:fill="auto"/>
            <w:tcMar>
              <w:left w:w="58" w:type="dxa"/>
              <w:right w:w="58" w:type="dxa"/>
            </w:tcMar>
          </w:tcPr>
          <w:p w14:paraId="646D1747" w14:textId="77777777" w:rsidR="00BA5EA9" w:rsidRPr="001E6DFD" w:rsidRDefault="00BA5EA9" w:rsidP="0097226C">
            <w:pPr>
              <w:keepLines/>
              <w:ind w:right="43"/>
              <w:rPr>
                <w:sz w:val="16"/>
                <w:szCs w:val="16"/>
              </w:rPr>
            </w:pPr>
          </w:p>
        </w:tc>
        <w:tc>
          <w:tcPr>
            <w:tcW w:w="1432" w:type="pct"/>
            <w:shd w:val="clear" w:color="auto" w:fill="auto"/>
            <w:tcMar>
              <w:left w:w="58" w:type="dxa"/>
              <w:right w:w="58" w:type="dxa"/>
            </w:tcMar>
          </w:tcPr>
          <w:p w14:paraId="7084DA43" w14:textId="4E5844EA"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7E33759F" w14:textId="3B590F50" w:rsidR="001F64B1" w:rsidRPr="001E6DFD" w:rsidRDefault="00BA5EA9" w:rsidP="0097226C">
            <w:pPr>
              <w:rPr>
                <w:color w:val="002060"/>
                <w:sz w:val="16"/>
                <w:szCs w:val="16"/>
              </w:rPr>
            </w:pPr>
            <w:r w:rsidRPr="001E6DFD">
              <w:rPr>
                <w:color w:val="002060"/>
                <w:sz w:val="16"/>
                <w:szCs w:val="16"/>
              </w:rPr>
              <w:t>3</w:t>
            </w:r>
            <w:r w:rsidR="008726C8" w:rsidRPr="001E6DFD">
              <w:rPr>
                <w:color w:val="002060"/>
                <w:sz w:val="16"/>
                <w:szCs w:val="16"/>
              </w:rPr>
              <w:t>,</w:t>
            </w:r>
            <w:r w:rsidR="00FA22F6" w:rsidRPr="001E6DFD">
              <w:rPr>
                <w:color w:val="002060"/>
                <w:sz w:val="16"/>
                <w:szCs w:val="16"/>
              </w:rPr>
              <w:t>1 million</w:t>
            </w:r>
            <w:r w:rsidR="008726C8" w:rsidRPr="001E6DFD">
              <w:rPr>
                <w:color w:val="002060"/>
                <w:sz w:val="16"/>
                <w:szCs w:val="16"/>
              </w:rPr>
              <w:t>s</w:t>
            </w:r>
            <w:r w:rsidRPr="001E6DFD">
              <w:rPr>
                <w:color w:val="002060"/>
                <w:sz w:val="16"/>
                <w:szCs w:val="16"/>
              </w:rPr>
              <w:t xml:space="preserve"> </w:t>
            </w:r>
            <w:r w:rsidR="008726C8" w:rsidRPr="001E6DFD">
              <w:rPr>
                <w:color w:val="002060"/>
                <w:sz w:val="16"/>
                <w:szCs w:val="16"/>
              </w:rPr>
              <w:t xml:space="preserve">de consultations supplémentaires </w:t>
            </w:r>
            <w:r w:rsidRPr="001E6DFD">
              <w:rPr>
                <w:color w:val="002060"/>
                <w:sz w:val="16"/>
                <w:szCs w:val="16"/>
              </w:rPr>
              <w:t>(2014</w:t>
            </w:r>
            <w:r w:rsidR="006A41CF" w:rsidRPr="001E6DFD">
              <w:rPr>
                <w:color w:val="002060"/>
                <w:sz w:val="16"/>
                <w:szCs w:val="16"/>
              </w:rPr>
              <w:noBreakHyphen/>
            </w:r>
            <w:r w:rsidR="008726C8" w:rsidRPr="001E6DFD">
              <w:rPr>
                <w:color w:val="002060"/>
                <w:sz w:val="16"/>
                <w:szCs w:val="16"/>
              </w:rPr>
              <w:t>20</w:t>
            </w:r>
            <w:r w:rsidRPr="001E6DFD">
              <w:rPr>
                <w:color w:val="002060"/>
                <w:sz w:val="16"/>
                <w:szCs w:val="16"/>
              </w:rPr>
              <w:t>15)</w:t>
            </w:r>
          </w:p>
          <w:p w14:paraId="17344754" w14:textId="77777777" w:rsidR="001F64B1" w:rsidRPr="001E6DFD" w:rsidRDefault="001F64B1" w:rsidP="0097226C">
            <w:pPr>
              <w:rPr>
                <w:sz w:val="16"/>
                <w:szCs w:val="16"/>
              </w:rPr>
            </w:pPr>
          </w:p>
          <w:p w14:paraId="70127FB1" w14:textId="2DC50B69" w:rsidR="00FA22F6" w:rsidRPr="001E6DFD" w:rsidRDefault="00E64532" w:rsidP="0097226C">
            <w:pPr>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1E23595" w14:textId="5FD2C215" w:rsidR="00BA5EA9" w:rsidRPr="001E6DFD" w:rsidRDefault="008726C8" w:rsidP="0097226C">
            <w:pPr>
              <w:rPr>
                <w:i/>
                <w:sz w:val="16"/>
                <w:szCs w:val="16"/>
              </w:rPr>
            </w:pPr>
            <w:r w:rsidRPr="001E6DFD">
              <w:rPr>
                <w:sz w:val="16"/>
                <w:szCs w:val="16"/>
              </w:rPr>
              <w:t>1,55</w:t>
            </w:r>
            <w:r w:rsidR="00FA22F6" w:rsidRPr="001E6DFD">
              <w:rPr>
                <w:sz w:val="16"/>
                <w:szCs w:val="16"/>
              </w:rPr>
              <w:t>3 million</w:t>
            </w:r>
            <w:r w:rsidRPr="001E6DFD">
              <w:rPr>
                <w:sz w:val="16"/>
                <w:szCs w:val="16"/>
              </w:rPr>
              <w:t xml:space="preserve"> de consultations sur Internet (2014)</w:t>
            </w:r>
            <w:r w:rsidR="00BA5EA9" w:rsidRPr="001E6DFD">
              <w:rPr>
                <w:sz w:val="16"/>
                <w:szCs w:val="16"/>
              </w:rPr>
              <w:t xml:space="preserve"> </w:t>
            </w:r>
          </w:p>
        </w:tc>
        <w:tc>
          <w:tcPr>
            <w:tcW w:w="1067" w:type="pct"/>
            <w:shd w:val="clear" w:color="auto" w:fill="auto"/>
            <w:tcMar>
              <w:top w:w="110" w:type="dxa"/>
              <w:left w:w="58" w:type="dxa"/>
              <w:right w:w="58" w:type="dxa"/>
            </w:tcMar>
          </w:tcPr>
          <w:p w14:paraId="0B600779" w14:textId="72F55832"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2F904066" w14:textId="6EF2481B" w:rsidR="001F64B1" w:rsidRPr="001E6DFD" w:rsidRDefault="008726C8" w:rsidP="0097226C">
            <w:pPr>
              <w:keepLines/>
              <w:rPr>
                <w:color w:val="002060"/>
                <w:sz w:val="16"/>
                <w:szCs w:val="16"/>
              </w:rPr>
            </w:pPr>
            <w:r w:rsidRPr="001E6DFD">
              <w:rPr>
                <w:color w:val="002060"/>
                <w:sz w:val="16"/>
                <w:szCs w:val="16"/>
              </w:rPr>
              <w:t>3,</w:t>
            </w:r>
            <w:r w:rsidR="00FA22F6" w:rsidRPr="001E6DFD">
              <w:rPr>
                <w:color w:val="002060"/>
                <w:sz w:val="16"/>
                <w:szCs w:val="16"/>
              </w:rPr>
              <w:t>1 million</w:t>
            </w:r>
            <w:r w:rsidRPr="001E6DFD">
              <w:rPr>
                <w:color w:val="002060"/>
                <w:sz w:val="16"/>
                <w:szCs w:val="16"/>
              </w:rPr>
              <w:t>s de consultations supplémentaires</w:t>
            </w:r>
          </w:p>
          <w:p w14:paraId="4C035F12" w14:textId="77777777" w:rsidR="001F64B1" w:rsidRPr="001303B4" w:rsidRDefault="001F64B1" w:rsidP="0097226C">
            <w:pPr>
              <w:keepLines/>
              <w:rPr>
                <w:sz w:val="16"/>
                <w:szCs w:val="16"/>
              </w:rPr>
            </w:pPr>
          </w:p>
          <w:p w14:paraId="39DFD71E" w14:textId="4CDB6382" w:rsidR="00FA22F6" w:rsidRPr="001E6DFD" w:rsidRDefault="006C5CB0" w:rsidP="0097226C">
            <w:pPr>
              <w:keepLines/>
              <w:ind w:right="34"/>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E542B40" w14:textId="2B57EDB9" w:rsidR="00BA5EA9" w:rsidRPr="001E6DFD" w:rsidRDefault="00BA5EA9" w:rsidP="0097226C">
            <w:pPr>
              <w:keepLines/>
              <w:ind w:right="34"/>
              <w:rPr>
                <w:sz w:val="16"/>
                <w:szCs w:val="16"/>
              </w:rPr>
            </w:pPr>
            <w:r w:rsidRPr="001E6DFD">
              <w:rPr>
                <w:sz w:val="16"/>
                <w:szCs w:val="16"/>
              </w:rPr>
              <w:t>1</w:t>
            </w:r>
            <w:r w:rsidR="008726C8" w:rsidRPr="001E6DFD">
              <w:rPr>
                <w:sz w:val="16"/>
                <w:szCs w:val="16"/>
              </w:rPr>
              <w:t>,</w:t>
            </w:r>
            <w:r w:rsidR="00FA22F6" w:rsidRPr="001E6DFD">
              <w:rPr>
                <w:sz w:val="16"/>
                <w:szCs w:val="16"/>
              </w:rPr>
              <w:t>5 million</w:t>
            </w:r>
            <w:r w:rsidRPr="001E6DFD">
              <w:rPr>
                <w:sz w:val="16"/>
                <w:szCs w:val="16"/>
              </w:rPr>
              <w:t xml:space="preserve"> </w:t>
            </w:r>
            <w:r w:rsidR="008726C8" w:rsidRPr="001E6DFD">
              <w:rPr>
                <w:sz w:val="16"/>
                <w:szCs w:val="16"/>
              </w:rPr>
              <w:t>de consultations supplémentaires</w:t>
            </w:r>
          </w:p>
        </w:tc>
        <w:tc>
          <w:tcPr>
            <w:tcW w:w="961" w:type="pct"/>
            <w:shd w:val="clear" w:color="auto" w:fill="FFFFFF"/>
            <w:tcMar>
              <w:top w:w="110" w:type="dxa"/>
              <w:left w:w="58" w:type="dxa"/>
              <w:right w:w="58" w:type="dxa"/>
            </w:tcMar>
          </w:tcPr>
          <w:p w14:paraId="0E0C17BC" w14:textId="241383B0" w:rsidR="00BA5EA9" w:rsidRPr="001E6DFD" w:rsidRDefault="008726C8" w:rsidP="0097226C">
            <w:pPr>
              <w:rPr>
                <w:sz w:val="16"/>
                <w:szCs w:val="16"/>
              </w:rPr>
            </w:pPr>
            <w:r w:rsidRPr="001E6DFD">
              <w:rPr>
                <w:sz w:val="16"/>
                <w:szCs w:val="16"/>
              </w:rPr>
              <w:t>1,49</w:t>
            </w:r>
            <w:r w:rsidR="00FA22F6" w:rsidRPr="001E6DFD">
              <w:rPr>
                <w:sz w:val="16"/>
                <w:szCs w:val="16"/>
              </w:rPr>
              <w:t>5 million</w:t>
            </w:r>
            <w:r w:rsidRPr="001E6DFD">
              <w:rPr>
                <w:sz w:val="16"/>
                <w:szCs w:val="16"/>
              </w:rPr>
              <w:t>s de consultations supplémentaires</w:t>
            </w:r>
            <w:r w:rsidR="00BA5EA9" w:rsidRPr="001E6DFD">
              <w:rPr>
                <w:sz w:val="16"/>
                <w:szCs w:val="16"/>
              </w:rPr>
              <w:t xml:space="preserve"> </w:t>
            </w:r>
          </w:p>
        </w:tc>
        <w:tc>
          <w:tcPr>
            <w:tcW w:w="603" w:type="pct"/>
            <w:shd w:val="clear" w:color="auto" w:fill="auto"/>
            <w:tcMar>
              <w:top w:w="110" w:type="dxa"/>
              <w:left w:w="58" w:type="dxa"/>
              <w:right w:w="58" w:type="dxa"/>
            </w:tcMar>
          </w:tcPr>
          <w:p w14:paraId="00F746D7"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32C8A232" w14:textId="77777777" w:rsidTr="0097226C">
        <w:trPr>
          <w:jc w:val="center"/>
        </w:trPr>
        <w:tc>
          <w:tcPr>
            <w:tcW w:w="936" w:type="pct"/>
            <w:vMerge/>
            <w:shd w:val="clear" w:color="auto" w:fill="auto"/>
            <w:tcMar>
              <w:left w:w="58" w:type="dxa"/>
              <w:right w:w="58" w:type="dxa"/>
            </w:tcMar>
          </w:tcPr>
          <w:p w14:paraId="305878BC" w14:textId="77777777" w:rsidR="00BA5EA9" w:rsidRPr="001E6DFD" w:rsidRDefault="00BA5EA9" w:rsidP="0097226C">
            <w:pPr>
              <w:keepLines/>
              <w:ind w:right="43"/>
              <w:rPr>
                <w:sz w:val="16"/>
                <w:szCs w:val="16"/>
              </w:rPr>
            </w:pPr>
          </w:p>
        </w:tc>
        <w:tc>
          <w:tcPr>
            <w:tcW w:w="1432" w:type="pct"/>
            <w:shd w:val="clear" w:color="auto" w:fill="auto"/>
            <w:tcMar>
              <w:left w:w="58" w:type="dxa"/>
              <w:right w:w="58" w:type="dxa"/>
            </w:tcMar>
          </w:tcPr>
          <w:p w14:paraId="4D1C8D9D" w14:textId="03F20411" w:rsidR="001F64B1"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5B71A2E7" w14:textId="70707216" w:rsidR="001F64B1" w:rsidRPr="001E6DFD" w:rsidRDefault="008726C8" w:rsidP="0097226C">
            <w:pPr>
              <w:rPr>
                <w:color w:val="002060"/>
                <w:sz w:val="16"/>
                <w:szCs w:val="16"/>
              </w:rPr>
            </w:pPr>
            <w:r w:rsidRPr="001E6DFD">
              <w:rPr>
                <w:color w:val="002060"/>
                <w:sz w:val="16"/>
                <w:szCs w:val="16"/>
              </w:rPr>
              <w:t>262 participants à des manifestations du Centre (2014</w:t>
            </w:r>
            <w:r w:rsidR="006A41CF" w:rsidRPr="001E6DFD">
              <w:rPr>
                <w:color w:val="002060"/>
                <w:sz w:val="16"/>
                <w:szCs w:val="16"/>
              </w:rPr>
              <w:noBreakHyphen/>
            </w:r>
            <w:r w:rsidRPr="001E6DFD">
              <w:rPr>
                <w:color w:val="002060"/>
                <w:sz w:val="16"/>
                <w:szCs w:val="16"/>
              </w:rPr>
              <w:t>2015)</w:t>
            </w:r>
          </w:p>
          <w:p w14:paraId="3183586D" w14:textId="77777777" w:rsidR="001F64B1" w:rsidRPr="001E6DFD" w:rsidRDefault="001F64B1" w:rsidP="0097226C">
            <w:pPr>
              <w:rPr>
                <w:sz w:val="16"/>
                <w:szCs w:val="16"/>
              </w:rPr>
            </w:pPr>
          </w:p>
          <w:p w14:paraId="2017BECA" w14:textId="331ACC2D" w:rsidR="00FA22F6" w:rsidRPr="001E6DFD" w:rsidRDefault="00E64532" w:rsidP="0097226C">
            <w:pPr>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984C877" w14:textId="726BF504" w:rsidR="00BA5EA9" w:rsidRPr="001E6DFD" w:rsidRDefault="008726C8" w:rsidP="0097226C">
            <w:pPr>
              <w:rPr>
                <w:i/>
                <w:sz w:val="16"/>
                <w:szCs w:val="16"/>
              </w:rPr>
            </w:pPr>
            <w:r w:rsidRPr="001E6DFD">
              <w:rPr>
                <w:i/>
                <w:sz w:val="16"/>
                <w:szCs w:val="16"/>
              </w:rPr>
              <w:t>408 participants à des manifestations du Centre (2012</w:t>
            </w:r>
            <w:r w:rsidR="006A41CF" w:rsidRPr="001E6DFD">
              <w:rPr>
                <w:i/>
                <w:sz w:val="16"/>
                <w:szCs w:val="16"/>
              </w:rPr>
              <w:noBreakHyphen/>
            </w:r>
            <w:r w:rsidRPr="001E6DFD">
              <w:rPr>
                <w:i/>
                <w:sz w:val="16"/>
                <w:szCs w:val="16"/>
              </w:rPr>
              <w:t>2013)</w:t>
            </w:r>
          </w:p>
        </w:tc>
        <w:tc>
          <w:tcPr>
            <w:tcW w:w="1067" w:type="pct"/>
            <w:shd w:val="clear" w:color="auto" w:fill="auto"/>
            <w:tcMar>
              <w:top w:w="110" w:type="dxa"/>
              <w:left w:w="58" w:type="dxa"/>
              <w:right w:w="58" w:type="dxa"/>
            </w:tcMar>
          </w:tcPr>
          <w:p w14:paraId="177C1D1C" w14:textId="1F2EACA7"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7999FBEB" w14:textId="7E0B6DB1" w:rsidR="001F64B1" w:rsidRPr="001E6DFD" w:rsidRDefault="0024402A" w:rsidP="0097226C">
            <w:pPr>
              <w:keepLines/>
              <w:ind w:right="34"/>
              <w:rPr>
                <w:color w:val="002060"/>
                <w:sz w:val="16"/>
                <w:szCs w:val="16"/>
                <w:lang w:bidi="th-TH"/>
              </w:rPr>
            </w:pPr>
            <w:r w:rsidRPr="001E6DFD">
              <w:rPr>
                <w:color w:val="002060"/>
                <w:sz w:val="16"/>
                <w:szCs w:val="16"/>
                <w:lang w:bidi="th-TH"/>
              </w:rPr>
              <w:t>400 participants à des manifestations du Centre</w:t>
            </w:r>
          </w:p>
          <w:p w14:paraId="23626048" w14:textId="77777777" w:rsidR="001F64B1" w:rsidRPr="001E6DFD" w:rsidRDefault="001F64B1" w:rsidP="0097226C">
            <w:pPr>
              <w:keepLines/>
              <w:ind w:right="34"/>
              <w:rPr>
                <w:sz w:val="16"/>
                <w:szCs w:val="16"/>
                <w:lang w:bidi="th-TH"/>
              </w:rPr>
            </w:pPr>
          </w:p>
          <w:p w14:paraId="59C889F5" w14:textId="4A26088E" w:rsidR="00FA22F6" w:rsidRPr="001E6DFD" w:rsidRDefault="006C5CB0" w:rsidP="0097226C">
            <w:pPr>
              <w:keepLines/>
              <w:ind w:right="34"/>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B66BE58" w14:textId="49FF14AA" w:rsidR="00BA5EA9" w:rsidRPr="001E6DFD" w:rsidRDefault="0024402A" w:rsidP="0097226C">
            <w:pPr>
              <w:keepLines/>
              <w:ind w:right="34"/>
              <w:rPr>
                <w:sz w:val="16"/>
                <w:szCs w:val="16"/>
              </w:rPr>
            </w:pPr>
            <w:r w:rsidRPr="001E6DFD">
              <w:rPr>
                <w:sz w:val="16"/>
                <w:szCs w:val="16"/>
              </w:rPr>
              <w:t>250 participants à des manifestations du Centre</w:t>
            </w:r>
          </w:p>
        </w:tc>
        <w:tc>
          <w:tcPr>
            <w:tcW w:w="961" w:type="pct"/>
            <w:shd w:val="clear" w:color="auto" w:fill="FFFFFF"/>
            <w:tcMar>
              <w:top w:w="110" w:type="dxa"/>
              <w:left w:w="58" w:type="dxa"/>
              <w:right w:w="58" w:type="dxa"/>
            </w:tcMar>
          </w:tcPr>
          <w:p w14:paraId="2FA12D55" w14:textId="77777777" w:rsidR="00BA5EA9" w:rsidRPr="001E6DFD" w:rsidRDefault="0024402A" w:rsidP="0097226C">
            <w:pPr>
              <w:rPr>
                <w:sz w:val="16"/>
                <w:szCs w:val="16"/>
              </w:rPr>
            </w:pPr>
            <w:r w:rsidRPr="001E6DFD">
              <w:rPr>
                <w:sz w:val="16"/>
                <w:szCs w:val="16"/>
              </w:rPr>
              <w:t>859 participants à des manifestations du Centre</w:t>
            </w:r>
            <w:r w:rsidR="00BA5EA9" w:rsidRPr="001E6DFD">
              <w:rPr>
                <w:sz w:val="16"/>
                <w:szCs w:val="16"/>
              </w:rPr>
              <w:t xml:space="preserve"> </w:t>
            </w:r>
          </w:p>
        </w:tc>
        <w:tc>
          <w:tcPr>
            <w:tcW w:w="603" w:type="pct"/>
            <w:shd w:val="clear" w:color="auto" w:fill="auto"/>
            <w:tcMar>
              <w:top w:w="110" w:type="dxa"/>
              <w:left w:w="58" w:type="dxa"/>
              <w:right w:w="58" w:type="dxa"/>
            </w:tcMar>
          </w:tcPr>
          <w:p w14:paraId="5554D6FE"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2D4F4927" w14:textId="77777777" w:rsidTr="0097226C">
        <w:trPr>
          <w:jc w:val="center"/>
        </w:trPr>
        <w:tc>
          <w:tcPr>
            <w:tcW w:w="936" w:type="pct"/>
            <w:vMerge/>
            <w:shd w:val="clear" w:color="auto" w:fill="auto"/>
            <w:tcMar>
              <w:left w:w="58" w:type="dxa"/>
              <w:right w:w="58" w:type="dxa"/>
            </w:tcMar>
          </w:tcPr>
          <w:p w14:paraId="56031C6C" w14:textId="77777777" w:rsidR="00BA5EA9" w:rsidRPr="001E6DFD" w:rsidRDefault="00BA5EA9" w:rsidP="0097226C">
            <w:pPr>
              <w:keepLines/>
              <w:ind w:right="43"/>
              <w:rPr>
                <w:sz w:val="16"/>
                <w:szCs w:val="16"/>
              </w:rPr>
            </w:pPr>
          </w:p>
        </w:tc>
        <w:tc>
          <w:tcPr>
            <w:tcW w:w="1432" w:type="pct"/>
            <w:shd w:val="clear" w:color="auto" w:fill="auto"/>
            <w:tcMar>
              <w:left w:w="58" w:type="dxa"/>
              <w:right w:w="58" w:type="dxa"/>
            </w:tcMar>
          </w:tcPr>
          <w:p w14:paraId="1E5740E8" w14:textId="73341429"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7EC96C25" w14:textId="4C723DA8" w:rsidR="001F64B1" w:rsidRPr="001E6DFD" w:rsidRDefault="006C5CB0" w:rsidP="0097226C">
            <w:pPr>
              <w:rPr>
                <w:color w:val="002060"/>
                <w:sz w:val="16"/>
                <w:szCs w:val="16"/>
              </w:rPr>
            </w:pPr>
            <w:r w:rsidRPr="001E6DFD">
              <w:rPr>
                <w:color w:val="002060"/>
                <w:sz w:val="16"/>
                <w:szCs w:val="16"/>
              </w:rPr>
              <w:t>9</w:t>
            </w:r>
            <w:r w:rsidR="00BA5EA9" w:rsidRPr="001E6DFD">
              <w:rPr>
                <w:color w:val="002060"/>
                <w:sz w:val="16"/>
                <w:szCs w:val="16"/>
              </w:rPr>
              <w:t xml:space="preserve">670 </w:t>
            </w:r>
            <w:r w:rsidRPr="001E6DFD">
              <w:rPr>
                <w:color w:val="002060"/>
                <w:sz w:val="16"/>
                <w:szCs w:val="16"/>
              </w:rPr>
              <w:t>participants à des manifestations où était représenté le Centre</w:t>
            </w:r>
            <w:r w:rsidR="00BA5EA9" w:rsidRPr="001E6DFD">
              <w:rPr>
                <w:color w:val="002060"/>
                <w:sz w:val="16"/>
                <w:szCs w:val="16"/>
              </w:rPr>
              <w:t xml:space="preserve"> (2014</w:t>
            </w:r>
            <w:r w:rsidR="006A41CF" w:rsidRPr="001E6DFD">
              <w:rPr>
                <w:color w:val="002060"/>
                <w:sz w:val="16"/>
                <w:szCs w:val="16"/>
              </w:rPr>
              <w:noBreakHyphen/>
            </w:r>
            <w:r w:rsidRPr="001E6DFD">
              <w:rPr>
                <w:color w:val="002060"/>
                <w:sz w:val="16"/>
                <w:szCs w:val="16"/>
              </w:rPr>
              <w:t>20</w:t>
            </w:r>
            <w:r w:rsidR="00BA5EA9" w:rsidRPr="001E6DFD">
              <w:rPr>
                <w:color w:val="002060"/>
                <w:sz w:val="16"/>
                <w:szCs w:val="16"/>
              </w:rPr>
              <w:t>15)</w:t>
            </w:r>
          </w:p>
          <w:p w14:paraId="1046C33A" w14:textId="77777777" w:rsidR="001F64B1" w:rsidRPr="001E6DFD" w:rsidRDefault="001F64B1" w:rsidP="0097226C">
            <w:pPr>
              <w:rPr>
                <w:sz w:val="16"/>
                <w:szCs w:val="16"/>
              </w:rPr>
            </w:pPr>
          </w:p>
          <w:p w14:paraId="03606453" w14:textId="7BBFF9A3" w:rsidR="00FA22F6" w:rsidRPr="001E6DFD" w:rsidRDefault="00E64532" w:rsidP="0097226C">
            <w:pPr>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1ACB6E1" w14:textId="32F14358" w:rsidR="00BA5EA9" w:rsidRPr="001E6DFD" w:rsidRDefault="00BA5EA9" w:rsidP="0097226C">
            <w:pPr>
              <w:rPr>
                <w:i/>
                <w:sz w:val="16"/>
                <w:szCs w:val="16"/>
              </w:rPr>
            </w:pPr>
            <w:r w:rsidRPr="001E6DFD">
              <w:rPr>
                <w:sz w:val="16"/>
                <w:szCs w:val="16"/>
              </w:rPr>
              <w:t xml:space="preserve">4000 </w:t>
            </w:r>
            <w:r w:rsidR="006C5CB0" w:rsidRPr="001E6DFD">
              <w:rPr>
                <w:sz w:val="16"/>
                <w:szCs w:val="16"/>
              </w:rPr>
              <w:t xml:space="preserve">participants à des manifestations où était représenté le Centre </w:t>
            </w:r>
            <w:r w:rsidRPr="001E6DFD">
              <w:rPr>
                <w:sz w:val="16"/>
                <w:szCs w:val="16"/>
              </w:rPr>
              <w:t>(2012</w:t>
            </w:r>
            <w:r w:rsidR="006A41CF" w:rsidRPr="001E6DFD">
              <w:rPr>
                <w:sz w:val="16"/>
                <w:szCs w:val="16"/>
              </w:rPr>
              <w:noBreakHyphen/>
            </w:r>
            <w:r w:rsidR="006C5CB0" w:rsidRPr="001E6DFD">
              <w:rPr>
                <w:sz w:val="16"/>
                <w:szCs w:val="16"/>
              </w:rPr>
              <w:t>20</w:t>
            </w:r>
            <w:r w:rsidRPr="001E6DFD">
              <w:rPr>
                <w:sz w:val="16"/>
                <w:szCs w:val="16"/>
              </w:rPr>
              <w:t>13)</w:t>
            </w:r>
          </w:p>
        </w:tc>
        <w:tc>
          <w:tcPr>
            <w:tcW w:w="1067" w:type="pct"/>
            <w:shd w:val="clear" w:color="auto" w:fill="auto"/>
            <w:tcMar>
              <w:top w:w="110" w:type="dxa"/>
              <w:left w:w="58" w:type="dxa"/>
              <w:right w:w="58" w:type="dxa"/>
            </w:tcMar>
          </w:tcPr>
          <w:p w14:paraId="27002988" w14:textId="006FBB4E"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1C7F0CA3" w14:textId="0F756DC0" w:rsidR="001F64B1" w:rsidRPr="001E6DFD" w:rsidRDefault="0024402A" w:rsidP="0097226C">
            <w:pPr>
              <w:rPr>
                <w:color w:val="002060"/>
                <w:sz w:val="16"/>
                <w:szCs w:val="16"/>
              </w:rPr>
            </w:pPr>
            <w:r w:rsidRPr="001E6DFD">
              <w:rPr>
                <w:color w:val="002060"/>
                <w:sz w:val="16"/>
                <w:szCs w:val="16"/>
              </w:rPr>
              <w:t>9670 participants à des manifestations où était représenté le Centre</w:t>
            </w:r>
          </w:p>
          <w:p w14:paraId="51148947" w14:textId="77777777" w:rsidR="001F64B1" w:rsidRPr="001303B4" w:rsidRDefault="001F64B1" w:rsidP="0097226C">
            <w:pPr>
              <w:keepLines/>
              <w:rPr>
                <w:sz w:val="16"/>
                <w:szCs w:val="16"/>
              </w:rPr>
            </w:pPr>
          </w:p>
          <w:p w14:paraId="1C9EDA48" w14:textId="6A23EAA8" w:rsidR="00FA22F6" w:rsidRPr="001E6DFD" w:rsidRDefault="006C5CB0" w:rsidP="0097226C">
            <w:pPr>
              <w:keepLines/>
              <w:ind w:right="34"/>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A3D9E7A" w14:textId="23F58292" w:rsidR="00BA5EA9" w:rsidRPr="001E6DFD" w:rsidRDefault="0024402A" w:rsidP="0097226C">
            <w:pPr>
              <w:keepLines/>
              <w:ind w:right="34"/>
              <w:rPr>
                <w:sz w:val="16"/>
                <w:szCs w:val="16"/>
              </w:rPr>
            </w:pPr>
            <w:r w:rsidRPr="001E6DFD">
              <w:rPr>
                <w:sz w:val="16"/>
                <w:szCs w:val="16"/>
              </w:rPr>
              <w:t>6000 participants à des manifestations où était représenté le Centre</w:t>
            </w:r>
          </w:p>
        </w:tc>
        <w:tc>
          <w:tcPr>
            <w:tcW w:w="961" w:type="pct"/>
            <w:shd w:val="clear" w:color="auto" w:fill="FFFFFF"/>
            <w:tcMar>
              <w:top w:w="110" w:type="dxa"/>
              <w:left w:w="58" w:type="dxa"/>
              <w:right w:w="58" w:type="dxa"/>
            </w:tcMar>
          </w:tcPr>
          <w:p w14:paraId="28F59520" w14:textId="77777777" w:rsidR="00BA5EA9" w:rsidRPr="001E6DFD" w:rsidRDefault="0024402A" w:rsidP="0097226C">
            <w:pPr>
              <w:rPr>
                <w:sz w:val="16"/>
                <w:szCs w:val="16"/>
              </w:rPr>
            </w:pPr>
            <w:r w:rsidRPr="001E6DFD">
              <w:rPr>
                <w:sz w:val="16"/>
                <w:szCs w:val="16"/>
              </w:rPr>
              <w:t>5302 participants à des manifestations où était représenté le Centre</w:t>
            </w:r>
            <w:r w:rsidR="00BA5EA9" w:rsidRPr="001E6DFD">
              <w:rPr>
                <w:sz w:val="16"/>
                <w:szCs w:val="16"/>
              </w:rPr>
              <w:t xml:space="preserve"> </w:t>
            </w:r>
          </w:p>
        </w:tc>
        <w:tc>
          <w:tcPr>
            <w:tcW w:w="603" w:type="pct"/>
            <w:shd w:val="clear" w:color="auto" w:fill="auto"/>
            <w:tcMar>
              <w:top w:w="110" w:type="dxa"/>
              <w:left w:w="58" w:type="dxa"/>
              <w:right w:w="58" w:type="dxa"/>
            </w:tcMar>
          </w:tcPr>
          <w:p w14:paraId="7066A831"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29B5D669" w14:textId="77777777" w:rsidTr="0097226C">
        <w:trPr>
          <w:jc w:val="center"/>
        </w:trPr>
        <w:tc>
          <w:tcPr>
            <w:tcW w:w="936" w:type="pct"/>
            <w:shd w:val="clear" w:color="auto" w:fill="auto"/>
            <w:tcMar>
              <w:left w:w="58" w:type="dxa"/>
              <w:right w:w="58" w:type="dxa"/>
            </w:tcMar>
          </w:tcPr>
          <w:p w14:paraId="55B61FA1" w14:textId="52BD25E6" w:rsidR="00BA5EA9" w:rsidRPr="001E6DFD" w:rsidRDefault="0024402A" w:rsidP="0097226C">
            <w:pPr>
              <w:ind w:right="43"/>
              <w:rPr>
                <w:sz w:val="16"/>
                <w:szCs w:val="16"/>
              </w:rPr>
            </w:pPr>
            <w:r w:rsidRPr="001E6DFD">
              <w:rPr>
                <w:sz w:val="16"/>
                <w:szCs w:val="16"/>
              </w:rPr>
              <w:t>Politiques de règlement extrajudiciaire des litiges pour lesquelles le Centre a contribué à l</w:t>
            </w:r>
            <w:r w:rsidR="00FA22F6" w:rsidRPr="001E6DFD">
              <w:rPr>
                <w:sz w:val="16"/>
                <w:szCs w:val="16"/>
              </w:rPr>
              <w:t>’</w:t>
            </w:r>
            <w:r w:rsidRPr="001E6DFD">
              <w:rPr>
                <w:sz w:val="16"/>
                <w:szCs w:val="16"/>
              </w:rPr>
              <w:t>élaboration et à la mise en œuvre</w:t>
            </w:r>
          </w:p>
        </w:tc>
        <w:tc>
          <w:tcPr>
            <w:tcW w:w="1432" w:type="pct"/>
            <w:shd w:val="clear" w:color="auto" w:fill="auto"/>
            <w:tcMar>
              <w:left w:w="58" w:type="dxa"/>
              <w:right w:w="58" w:type="dxa"/>
            </w:tcMar>
          </w:tcPr>
          <w:p w14:paraId="46E841BF" w14:textId="170EA52A" w:rsidR="001F64B1"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572F298E" w14:textId="0F49C87E" w:rsidR="001F64B1" w:rsidRPr="001E6DFD" w:rsidRDefault="00BA5EA9" w:rsidP="0097226C">
            <w:pPr>
              <w:rPr>
                <w:color w:val="002060"/>
                <w:sz w:val="16"/>
                <w:szCs w:val="16"/>
              </w:rPr>
            </w:pPr>
            <w:r w:rsidRPr="001E6DFD">
              <w:rPr>
                <w:color w:val="002060"/>
                <w:sz w:val="16"/>
                <w:szCs w:val="16"/>
              </w:rPr>
              <w:t xml:space="preserve">23 </w:t>
            </w:r>
            <w:r w:rsidR="006C5CB0" w:rsidRPr="001E6DFD">
              <w:rPr>
                <w:color w:val="002060"/>
                <w:sz w:val="16"/>
                <w:szCs w:val="16"/>
              </w:rPr>
              <w:t>programmes adoptés</w:t>
            </w:r>
            <w:r w:rsidRPr="001E6DFD">
              <w:rPr>
                <w:color w:val="002060"/>
                <w:sz w:val="16"/>
                <w:szCs w:val="16"/>
              </w:rPr>
              <w:t xml:space="preserve"> (ABF, AEF, AGICOA, DESCA, DGIPR, DNDA, EGEDA, ETSI, Film &amp; Media, </w:t>
            </w:r>
            <w:proofErr w:type="spellStart"/>
            <w:r w:rsidRPr="001E6DFD">
              <w:rPr>
                <w:color w:val="002060"/>
                <w:sz w:val="16"/>
                <w:szCs w:val="16"/>
              </w:rPr>
              <w:t>German</w:t>
            </w:r>
            <w:proofErr w:type="spellEnd"/>
            <w:r w:rsidRPr="001E6DFD">
              <w:rPr>
                <w:color w:val="002060"/>
                <w:sz w:val="16"/>
                <w:szCs w:val="16"/>
              </w:rPr>
              <w:t xml:space="preserve"> R&amp;D, ICOM, IEEE, IMPI, INPI</w:t>
            </w:r>
            <w:r w:rsidR="006A41CF" w:rsidRPr="001E6DFD">
              <w:rPr>
                <w:color w:val="002060"/>
                <w:sz w:val="16"/>
                <w:szCs w:val="16"/>
              </w:rPr>
              <w:noBreakHyphen/>
            </w:r>
            <w:r w:rsidRPr="001E6DFD">
              <w:rPr>
                <w:color w:val="002060"/>
                <w:sz w:val="16"/>
                <w:szCs w:val="16"/>
              </w:rPr>
              <w:t xml:space="preserve">BR, IPAG, IPOPHL, IPOS(M)/IPOS(ED), KCC, KOCCA, ITPGRFA, </w:t>
            </w:r>
            <w:proofErr w:type="spellStart"/>
            <w:r w:rsidRPr="001E6DFD">
              <w:rPr>
                <w:color w:val="002060"/>
                <w:sz w:val="16"/>
                <w:szCs w:val="16"/>
              </w:rPr>
              <w:t>Palexpo</w:t>
            </w:r>
            <w:proofErr w:type="spellEnd"/>
            <w:r w:rsidRPr="001E6DFD">
              <w:rPr>
                <w:color w:val="002060"/>
                <w:sz w:val="16"/>
                <w:szCs w:val="16"/>
              </w:rPr>
              <w:t>, SFA, USPTO) (</w:t>
            </w:r>
            <w:r w:rsidR="006C5CB0" w:rsidRPr="001E6DFD">
              <w:rPr>
                <w:color w:val="002060"/>
                <w:sz w:val="16"/>
                <w:szCs w:val="16"/>
              </w:rPr>
              <w:t xml:space="preserve">total à la fin </w:t>
            </w:r>
            <w:r w:rsidR="00FA22F6" w:rsidRPr="001E6DFD">
              <w:rPr>
                <w:color w:val="002060"/>
                <w:sz w:val="16"/>
                <w:szCs w:val="16"/>
              </w:rPr>
              <w:t>de 2015</w:t>
            </w:r>
            <w:r w:rsidRPr="001E6DFD">
              <w:rPr>
                <w:color w:val="002060"/>
                <w:sz w:val="16"/>
                <w:szCs w:val="16"/>
              </w:rPr>
              <w:t>)</w:t>
            </w:r>
            <w:r w:rsidRPr="001E6DFD">
              <w:rPr>
                <w:rStyle w:val="FootnoteReference"/>
                <w:rFonts w:cs="Arial"/>
                <w:color w:val="002060"/>
                <w:szCs w:val="16"/>
              </w:rPr>
              <w:footnoteReference w:id="46"/>
            </w:r>
          </w:p>
          <w:p w14:paraId="475A1F60" w14:textId="77777777" w:rsidR="001F64B1" w:rsidRPr="001E6DFD" w:rsidRDefault="001F64B1" w:rsidP="0097226C">
            <w:pPr>
              <w:rPr>
                <w:sz w:val="16"/>
                <w:szCs w:val="16"/>
              </w:rPr>
            </w:pPr>
          </w:p>
          <w:p w14:paraId="56A71759" w14:textId="5A8AEC28"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02CCF0C" w14:textId="7BE4E90E" w:rsidR="00BA5EA9" w:rsidRPr="001E6DFD" w:rsidRDefault="0024402A" w:rsidP="0097226C">
            <w:pPr>
              <w:rPr>
                <w:sz w:val="16"/>
                <w:szCs w:val="16"/>
              </w:rPr>
            </w:pPr>
            <w:r w:rsidRPr="001E6DFD">
              <w:rPr>
                <w:sz w:val="16"/>
                <w:szCs w:val="16"/>
              </w:rPr>
              <w:t>15 programmes adoptés (AEF, AGICOA, DGIPR, DNDA, EGEDA, ETSI, Film and Media, ICOM, IMPI, INPI</w:t>
            </w:r>
            <w:r w:rsidR="006A41CF" w:rsidRPr="001E6DFD">
              <w:rPr>
                <w:sz w:val="16"/>
                <w:szCs w:val="16"/>
              </w:rPr>
              <w:noBreakHyphen/>
            </w:r>
            <w:r w:rsidRPr="001E6DFD">
              <w:rPr>
                <w:sz w:val="16"/>
                <w:szCs w:val="16"/>
              </w:rPr>
              <w:t>BR, IPAG, IPOPHL, IPOS(M), IPOS(ED), ITPGRFA) (</w:t>
            </w:r>
            <w:r w:rsidR="006C5CB0" w:rsidRPr="001E6DFD">
              <w:rPr>
                <w:sz w:val="16"/>
                <w:szCs w:val="16"/>
              </w:rPr>
              <w:t>total</w:t>
            </w:r>
            <w:r w:rsidRPr="001E6DFD">
              <w:rPr>
                <w:sz w:val="16"/>
                <w:szCs w:val="16"/>
              </w:rPr>
              <w:t xml:space="preserve"> à la fin </w:t>
            </w:r>
            <w:r w:rsidR="00FA22F6" w:rsidRPr="001E6DFD">
              <w:rPr>
                <w:sz w:val="16"/>
                <w:szCs w:val="16"/>
              </w:rPr>
              <w:t>de 2014</w:t>
            </w:r>
            <w:r w:rsidRPr="001E6DFD">
              <w:rPr>
                <w:sz w:val="16"/>
                <w:szCs w:val="16"/>
              </w:rPr>
              <w:t>)</w:t>
            </w:r>
          </w:p>
        </w:tc>
        <w:tc>
          <w:tcPr>
            <w:tcW w:w="1067" w:type="pct"/>
            <w:shd w:val="clear" w:color="auto" w:fill="auto"/>
            <w:tcMar>
              <w:top w:w="110" w:type="dxa"/>
              <w:left w:w="58" w:type="dxa"/>
              <w:right w:w="58" w:type="dxa"/>
            </w:tcMar>
          </w:tcPr>
          <w:p w14:paraId="35285269" w14:textId="6281BBF6"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74C18E8F" w14:textId="28464D57" w:rsidR="001F64B1" w:rsidRPr="001E6DFD" w:rsidRDefault="0024402A" w:rsidP="0097226C">
            <w:pPr>
              <w:keepLines/>
              <w:rPr>
                <w:color w:val="002060"/>
                <w:sz w:val="16"/>
                <w:szCs w:val="16"/>
              </w:rPr>
            </w:pPr>
            <w:r w:rsidRPr="001E6DFD">
              <w:rPr>
                <w:color w:val="002060"/>
                <w:sz w:val="16"/>
                <w:szCs w:val="16"/>
              </w:rPr>
              <w:t>4 à 6</w:t>
            </w:r>
            <w:r w:rsidR="00B4191E">
              <w:rPr>
                <w:color w:val="002060"/>
                <w:sz w:val="16"/>
                <w:szCs w:val="16"/>
              </w:rPr>
              <w:t> </w:t>
            </w:r>
            <w:r w:rsidRPr="001E6DFD">
              <w:rPr>
                <w:color w:val="002060"/>
                <w:sz w:val="16"/>
                <w:szCs w:val="16"/>
              </w:rPr>
              <w:t>programmes supplémentaires</w:t>
            </w:r>
          </w:p>
          <w:p w14:paraId="4086FBC3" w14:textId="77777777" w:rsidR="001F64B1" w:rsidRPr="001E6DFD" w:rsidRDefault="001F64B1" w:rsidP="0097226C">
            <w:pPr>
              <w:keepLines/>
              <w:ind w:right="34"/>
              <w:rPr>
                <w:i/>
                <w:sz w:val="16"/>
                <w:szCs w:val="16"/>
                <w:lang w:bidi="th-TH"/>
              </w:rPr>
            </w:pPr>
          </w:p>
          <w:p w14:paraId="66361965" w14:textId="4A0CFA03" w:rsidR="00FA22F6" w:rsidRPr="001E6DFD" w:rsidRDefault="006C5CB0" w:rsidP="0097226C">
            <w:pPr>
              <w:keepLines/>
              <w:ind w:right="34"/>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B35269C" w14:textId="40BC3BB2" w:rsidR="00BA5EA9" w:rsidRPr="001E6DFD" w:rsidRDefault="0024402A" w:rsidP="0097226C">
            <w:pPr>
              <w:ind w:right="34"/>
              <w:rPr>
                <w:sz w:val="16"/>
                <w:szCs w:val="16"/>
              </w:rPr>
            </w:pPr>
            <w:r w:rsidRPr="001E6DFD">
              <w:rPr>
                <w:sz w:val="16"/>
                <w:szCs w:val="16"/>
              </w:rPr>
              <w:t>1 à 3</w:t>
            </w:r>
            <w:r w:rsidR="00B4191E">
              <w:rPr>
                <w:sz w:val="16"/>
                <w:szCs w:val="16"/>
              </w:rPr>
              <w:t> </w:t>
            </w:r>
            <w:r w:rsidRPr="001E6DFD">
              <w:rPr>
                <w:sz w:val="16"/>
                <w:szCs w:val="16"/>
              </w:rPr>
              <w:t>programmes supplémentaires</w:t>
            </w:r>
          </w:p>
        </w:tc>
        <w:tc>
          <w:tcPr>
            <w:tcW w:w="961" w:type="pct"/>
            <w:shd w:val="clear" w:color="auto" w:fill="FFFFFF"/>
            <w:tcMar>
              <w:top w:w="110" w:type="dxa"/>
              <w:left w:w="58" w:type="dxa"/>
              <w:right w:w="58" w:type="dxa"/>
            </w:tcMar>
          </w:tcPr>
          <w:p w14:paraId="605E29CE" w14:textId="24E49B18" w:rsidR="00FA22F6" w:rsidRPr="001E6DFD" w:rsidRDefault="00BA5EA9" w:rsidP="0097226C">
            <w:pPr>
              <w:keepLines/>
              <w:rPr>
                <w:sz w:val="16"/>
                <w:szCs w:val="16"/>
              </w:rPr>
            </w:pPr>
            <w:r w:rsidRPr="001E6DFD">
              <w:rPr>
                <w:sz w:val="16"/>
                <w:szCs w:val="16"/>
              </w:rPr>
              <w:t xml:space="preserve">5 </w:t>
            </w:r>
            <w:r w:rsidR="00CF59B4" w:rsidRPr="001E6DFD">
              <w:rPr>
                <w:sz w:val="16"/>
                <w:szCs w:val="16"/>
              </w:rPr>
              <w:t>programmes supplémentaires adoptés</w:t>
            </w:r>
            <w:r w:rsidR="00FA22F6" w:rsidRPr="001E6DFD">
              <w:rPr>
                <w:sz w:val="16"/>
                <w:szCs w:val="16"/>
              </w:rPr>
              <w:t> :</w:t>
            </w:r>
            <w:r w:rsidRPr="001E6DFD">
              <w:rPr>
                <w:sz w:val="16"/>
                <w:szCs w:val="16"/>
              </w:rPr>
              <w:t xml:space="preserve"> </w:t>
            </w:r>
            <w:r w:rsidR="00CF59B4" w:rsidRPr="001E6DFD">
              <w:rPr>
                <w:sz w:val="16"/>
                <w:szCs w:val="16"/>
              </w:rPr>
              <w:t xml:space="preserve">i) Centre national des registres (CNR) (El Salvador);  </w:t>
            </w:r>
            <w:r w:rsidRPr="001E6DFD">
              <w:rPr>
                <w:sz w:val="16"/>
                <w:szCs w:val="16"/>
              </w:rPr>
              <w:t>ii)</w:t>
            </w:r>
            <w:r w:rsidR="00CF59B4" w:rsidRPr="001E6DFD">
              <w:rPr>
                <w:sz w:val="16"/>
                <w:szCs w:val="16"/>
              </w:rPr>
              <w:t> Direction nationale de la propriété intellectuelle</w:t>
            </w:r>
            <w:r w:rsidRPr="001E6DFD">
              <w:rPr>
                <w:sz w:val="16"/>
                <w:szCs w:val="16"/>
              </w:rPr>
              <w:t xml:space="preserve"> (DINAPI) (</w:t>
            </w:r>
            <w:r w:rsidR="00CF59B4" w:rsidRPr="001E6DFD">
              <w:rPr>
                <w:sz w:val="16"/>
                <w:szCs w:val="16"/>
              </w:rPr>
              <w:t xml:space="preserve">Paraguay);  </w:t>
            </w:r>
            <w:r w:rsidRPr="001E6DFD">
              <w:rPr>
                <w:sz w:val="16"/>
                <w:szCs w:val="16"/>
              </w:rPr>
              <w:t>iii)</w:t>
            </w:r>
            <w:r w:rsidR="00CF59B4" w:rsidRPr="001E6DFD">
              <w:rPr>
                <w:sz w:val="16"/>
                <w:szCs w:val="16"/>
              </w:rPr>
              <w:t> Office espagnol des brevets et des marques</w:t>
            </w:r>
            <w:r w:rsidRPr="001E6DFD">
              <w:rPr>
                <w:sz w:val="16"/>
                <w:szCs w:val="16"/>
              </w:rPr>
              <w:t xml:space="preserve"> </w:t>
            </w:r>
            <w:r w:rsidR="00CF59B4" w:rsidRPr="001E6DFD">
              <w:rPr>
                <w:sz w:val="16"/>
                <w:szCs w:val="16"/>
              </w:rPr>
              <w:t>(OEPM) (R</w:t>
            </w:r>
            <w:r w:rsidR="006A41CF" w:rsidRPr="001E6DFD">
              <w:rPr>
                <w:sz w:val="16"/>
                <w:szCs w:val="16"/>
              </w:rPr>
              <w:noBreakHyphen/>
            </w:r>
            <w:r w:rsidR="00CF59B4" w:rsidRPr="001E6DFD">
              <w:rPr>
                <w:sz w:val="16"/>
                <w:szCs w:val="16"/>
              </w:rPr>
              <w:t xml:space="preserve">D);  </w:t>
            </w:r>
            <w:r w:rsidRPr="001E6DFD">
              <w:rPr>
                <w:sz w:val="16"/>
                <w:szCs w:val="16"/>
              </w:rPr>
              <w:t>iv)</w:t>
            </w:r>
            <w:r w:rsidR="004D421A" w:rsidRPr="001E6DFD">
              <w:rPr>
                <w:sz w:val="16"/>
                <w:szCs w:val="16"/>
              </w:rPr>
              <w:t> </w:t>
            </w:r>
            <w:r w:rsidRPr="001E6DFD">
              <w:rPr>
                <w:sz w:val="16"/>
                <w:szCs w:val="16"/>
              </w:rPr>
              <w:t>Small &amp; Medium Business A</w:t>
            </w:r>
            <w:r w:rsidR="00CF59B4" w:rsidRPr="001E6DFD">
              <w:rPr>
                <w:sz w:val="16"/>
                <w:szCs w:val="16"/>
              </w:rPr>
              <w:t xml:space="preserve">dministration (SMBA) (République de Corée);  </w:t>
            </w:r>
            <w:r w:rsidRPr="001E6DFD">
              <w:rPr>
                <w:sz w:val="16"/>
                <w:szCs w:val="16"/>
              </w:rPr>
              <w:t>v)</w:t>
            </w:r>
            <w:r w:rsidR="004D421A" w:rsidRPr="001E6DFD">
              <w:rPr>
                <w:sz w:val="16"/>
                <w:szCs w:val="16"/>
              </w:rPr>
              <w:t> </w:t>
            </w:r>
            <w:r w:rsidR="00CF59B4" w:rsidRPr="001E6DFD">
              <w:rPr>
                <w:sz w:val="16"/>
                <w:szCs w:val="16"/>
              </w:rPr>
              <w:t>centres d</w:t>
            </w:r>
            <w:r w:rsidR="00FA22F6" w:rsidRPr="001E6DFD">
              <w:rPr>
                <w:sz w:val="16"/>
                <w:szCs w:val="16"/>
              </w:rPr>
              <w:t>’</w:t>
            </w:r>
            <w:r w:rsidR="00CF59B4" w:rsidRPr="001E6DFD">
              <w:rPr>
                <w:sz w:val="16"/>
                <w:szCs w:val="16"/>
              </w:rPr>
              <w:t>appui à la technologie et à l</w:t>
            </w:r>
            <w:r w:rsidR="00FA22F6" w:rsidRPr="001E6DFD">
              <w:rPr>
                <w:sz w:val="16"/>
                <w:szCs w:val="16"/>
              </w:rPr>
              <w:t>’</w:t>
            </w:r>
            <w:r w:rsidR="00CF59B4" w:rsidRPr="001E6DFD">
              <w:rPr>
                <w:sz w:val="16"/>
                <w:szCs w:val="16"/>
              </w:rPr>
              <w:t>innovation</w:t>
            </w:r>
            <w:r w:rsidRPr="001E6DFD">
              <w:rPr>
                <w:sz w:val="16"/>
                <w:szCs w:val="16"/>
              </w:rPr>
              <w:t xml:space="preserve"> (</w:t>
            </w:r>
            <w:r w:rsidR="00CF59B4" w:rsidRPr="001E6DFD">
              <w:rPr>
                <w:sz w:val="16"/>
                <w:szCs w:val="16"/>
              </w:rPr>
              <w:t>CATI</w:t>
            </w:r>
            <w:r w:rsidRPr="001E6DFD">
              <w:rPr>
                <w:sz w:val="16"/>
                <w:szCs w:val="16"/>
              </w:rPr>
              <w:t>)</w:t>
            </w:r>
          </w:p>
          <w:p w14:paraId="7E887A69" w14:textId="66EE55CB" w:rsidR="001F64B1" w:rsidRPr="001E6DFD" w:rsidRDefault="0024402A" w:rsidP="0097226C">
            <w:pPr>
              <w:keepLines/>
              <w:rPr>
                <w:sz w:val="16"/>
                <w:szCs w:val="16"/>
              </w:rPr>
            </w:pPr>
            <w:r w:rsidRPr="001E6DFD">
              <w:rPr>
                <w:sz w:val="16"/>
                <w:szCs w:val="16"/>
              </w:rPr>
              <w:t>(28 au total)</w:t>
            </w:r>
          </w:p>
          <w:p w14:paraId="54CD02F5" w14:textId="77777777" w:rsidR="001F64B1" w:rsidRPr="001E6DFD" w:rsidRDefault="001F64B1" w:rsidP="0097226C">
            <w:pPr>
              <w:keepLines/>
              <w:rPr>
                <w:sz w:val="16"/>
                <w:szCs w:val="16"/>
              </w:rPr>
            </w:pPr>
          </w:p>
          <w:p w14:paraId="57F751BC" w14:textId="425C2EFC" w:rsidR="00BA5EA9" w:rsidRPr="001E6DFD" w:rsidRDefault="00BA5EA9" w:rsidP="0097226C">
            <w:pPr>
              <w:keepLines/>
              <w:rPr>
                <w:sz w:val="16"/>
                <w:szCs w:val="16"/>
              </w:rPr>
            </w:pPr>
            <w:r w:rsidRPr="001E6DFD">
              <w:rPr>
                <w:sz w:val="16"/>
                <w:szCs w:val="16"/>
              </w:rPr>
              <w:t xml:space="preserve">3 </w:t>
            </w:r>
            <w:r w:rsidR="00CF59B4" w:rsidRPr="001E6DFD">
              <w:rPr>
                <w:sz w:val="16"/>
                <w:szCs w:val="16"/>
              </w:rPr>
              <w:t>programmes appuyés</w:t>
            </w:r>
            <w:r w:rsidR="00FA22F6" w:rsidRPr="001E6DFD">
              <w:rPr>
                <w:sz w:val="16"/>
                <w:szCs w:val="16"/>
              </w:rPr>
              <w:t> :</w:t>
            </w:r>
            <w:r w:rsidRPr="001E6DFD">
              <w:rPr>
                <w:sz w:val="16"/>
                <w:szCs w:val="16"/>
              </w:rPr>
              <w:t xml:space="preserve"> i)</w:t>
            </w:r>
            <w:r w:rsidR="00CF59B4" w:rsidRPr="001E6DFD">
              <w:rPr>
                <w:sz w:val="16"/>
                <w:szCs w:val="16"/>
              </w:rPr>
              <w:t xml:space="preserve"> Institut mexicain de la propriété industrielle </w:t>
            </w:r>
            <w:r w:rsidRPr="001E6DFD">
              <w:rPr>
                <w:sz w:val="16"/>
                <w:szCs w:val="16"/>
              </w:rPr>
              <w:t>(IMPI);  ii)</w:t>
            </w:r>
            <w:r w:rsidR="004D421A" w:rsidRPr="001E6DFD">
              <w:rPr>
                <w:sz w:val="16"/>
                <w:szCs w:val="16"/>
              </w:rPr>
              <w:t> </w:t>
            </w:r>
            <w:r w:rsidR="00CF59B4" w:rsidRPr="001E6DFD">
              <w:rPr>
                <w:sz w:val="16"/>
                <w:szCs w:val="16"/>
              </w:rPr>
              <w:t>Office de la propriété intellectuelle de Singapour</w:t>
            </w:r>
            <w:r w:rsidRPr="001E6DFD">
              <w:rPr>
                <w:sz w:val="16"/>
                <w:szCs w:val="16"/>
              </w:rPr>
              <w:t xml:space="preserve"> (IPOS);  iii)</w:t>
            </w:r>
            <w:r w:rsidR="00CF59B4" w:rsidRPr="001E6DFD">
              <w:rPr>
                <w:sz w:val="16"/>
                <w:szCs w:val="16"/>
              </w:rPr>
              <w:t> Office des brevets et des marques des États</w:t>
            </w:r>
            <w:r w:rsidR="006A41CF" w:rsidRPr="001E6DFD">
              <w:rPr>
                <w:sz w:val="16"/>
                <w:szCs w:val="16"/>
              </w:rPr>
              <w:noBreakHyphen/>
            </w:r>
            <w:r w:rsidR="00CF59B4" w:rsidRPr="001E6DFD">
              <w:rPr>
                <w:sz w:val="16"/>
                <w:szCs w:val="16"/>
              </w:rPr>
              <w:t>Unis d</w:t>
            </w:r>
            <w:r w:rsidR="00FA22F6" w:rsidRPr="001E6DFD">
              <w:rPr>
                <w:sz w:val="16"/>
                <w:szCs w:val="16"/>
              </w:rPr>
              <w:t>’</w:t>
            </w:r>
            <w:r w:rsidR="00CF59B4" w:rsidRPr="001E6DFD">
              <w:rPr>
                <w:sz w:val="16"/>
                <w:szCs w:val="16"/>
              </w:rPr>
              <w:t xml:space="preserve">Amérique </w:t>
            </w:r>
            <w:r w:rsidRPr="001E6DFD">
              <w:rPr>
                <w:sz w:val="16"/>
                <w:szCs w:val="16"/>
              </w:rPr>
              <w:t>(USPTO)</w:t>
            </w:r>
          </w:p>
        </w:tc>
        <w:tc>
          <w:tcPr>
            <w:tcW w:w="603" w:type="pct"/>
            <w:shd w:val="clear" w:color="auto" w:fill="auto"/>
            <w:tcMar>
              <w:top w:w="110" w:type="dxa"/>
              <w:left w:w="58" w:type="dxa"/>
              <w:right w:w="58" w:type="dxa"/>
            </w:tcMar>
          </w:tcPr>
          <w:p w14:paraId="4607863E"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5922B6FD" w14:textId="77777777" w:rsidTr="0097226C">
        <w:trPr>
          <w:jc w:val="center"/>
        </w:trPr>
        <w:tc>
          <w:tcPr>
            <w:tcW w:w="5000" w:type="pct"/>
            <w:gridSpan w:val="5"/>
            <w:shd w:val="clear" w:color="auto" w:fill="C6D9F1" w:themeFill="text2" w:themeFillTint="33"/>
            <w:tcMar>
              <w:left w:w="58" w:type="dxa"/>
              <w:right w:w="58" w:type="dxa"/>
            </w:tcMar>
            <w:vAlign w:val="center"/>
          </w:tcPr>
          <w:p w14:paraId="3FEF4479" w14:textId="52B1F101" w:rsidR="00BA5EA9" w:rsidRPr="001E6DFD" w:rsidRDefault="0024402A"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 xml:space="preserve">II.9 Protection efficace de la propriété intellectuelle dans les </w:t>
            </w:r>
            <w:proofErr w:type="spellStart"/>
            <w:r w:rsidRPr="001E6DFD">
              <w:rPr>
                <w:bCs/>
                <w:sz w:val="16"/>
                <w:szCs w:val="16"/>
              </w:rPr>
              <w:t>gTLD</w:t>
            </w:r>
            <w:proofErr w:type="spellEnd"/>
            <w:r w:rsidRPr="001E6DFD">
              <w:rPr>
                <w:bCs/>
                <w:sz w:val="16"/>
                <w:szCs w:val="16"/>
              </w:rPr>
              <w:t xml:space="preserve"> et les </w:t>
            </w:r>
            <w:proofErr w:type="spellStart"/>
            <w:r w:rsidRPr="001E6DFD">
              <w:rPr>
                <w:bCs/>
                <w:sz w:val="16"/>
                <w:szCs w:val="16"/>
              </w:rPr>
              <w:t>ccTLD</w:t>
            </w:r>
            <w:proofErr w:type="spellEnd"/>
          </w:p>
        </w:tc>
      </w:tr>
      <w:tr w:rsidR="00BA5EA9" w:rsidRPr="001E6DFD" w14:paraId="1BD001FF" w14:textId="77777777" w:rsidTr="0097226C">
        <w:trPr>
          <w:jc w:val="center"/>
        </w:trPr>
        <w:tc>
          <w:tcPr>
            <w:tcW w:w="936" w:type="pct"/>
            <w:shd w:val="clear" w:color="auto" w:fill="auto"/>
            <w:tcMar>
              <w:left w:w="58" w:type="dxa"/>
              <w:right w:w="58" w:type="dxa"/>
            </w:tcMar>
            <w:vAlign w:val="center"/>
          </w:tcPr>
          <w:p w14:paraId="23D2EA5E" w14:textId="09FA8AB3" w:rsidR="00BA5EA9" w:rsidRPr="001E6DFD" w:rsidRDefault="0024402A" w:rsidP="0097226C">
            <w:pPr>
              <w:keepNext/>
              <w:ind w:right="-52"/>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432" w:type="pct"/>
            <w:shd w:val="clear" w:color="auto" w:fill="auto"/>
            <w:tcMar>
              <w:left w:w="58" w:type="dxa"/>
              <w:right w:w="58" w:type="dxa"/>
            </w:tcMar>
            <w:vAlign w:val="center"/>
          </w:tcPr>
          <w:p w14:paraId="6D75E58C" w14:textId="77777777" w:rsidR="00BA5EA9" w:rsidRPr="001E6DFD" w:rsidRDefault="0024402A" w:rsidP="0097226C">
            <w:pPr>
              <w:keepNext/>
              <w:jc w:val="center"/>
              <w:rPr>
                <w:b/>
                <w:bCs/>
                <w:sz w:val="16"/>
                <w:szCs w:val="16"/>
              </w:rPr>
            </w:pPr>
            <w:r w:rsidRPr="001E6DFD">
              <w:rPr>
                <w:b/>
                <w:bCs/>
                <w:sz w:val="16"/>
                <w:szCs w:val="16"/>
              </w:rPr>
              <w:t>Niveaux de référence</w:t>
            </w:r>
          </w:p>
        </w:tc>
        <w:tc>
          <w:tcPr>
            <w:tcW w:w="1067" w:type="pct"/>
            <w:shd w:val="clear" w:color="auto" w:fill="auto"/>
            <w:tcMar>
              <w:top w:w="110" w:type="dxa"/>
              <w:left w:w="58" w:type="dxa"/>
              <w:right w:w="58" w:type="dxa"/>
            </w:tcMar>
            <w:vAlign w:val="center"/>
          </w:tcPr>
          <w:p w14:paraId="5EF41E0C" w14:textId="77777777" w:rsidR="00BA5EA9" w:rsidRPr="001E6DFD" w:rsidRDefault="0024402A" w:rsidP="0097226C">
            <w:pPr>
              <w:keepNext/>
              <w:jc w:val="center"/>
              <w:rPr>
                <w:b/>
                <w:bCs/>
                <w:sz w:val="16"/>
                <w:szCs w:val="16"/>
              </w:rPr>
            </w:pPr>
            <w:r w:rsidRPr="001E6DFD">
              <w:rPr>
                <w:b/>
                <w:bCs/>
                <w:sz w:val="16"/>
                <w:szCs w:val="16"/>
              </w:rPr>
              <w:t>Objectifs visés</w:t>
            </w:r>
          </w:p>
        </w:tc>
        <w:tc>
          <w:tcPr>
            <w:tcW w:w="961" w:type="pct"/>
            <w:shd w:val="clear" w:color="auto" w:fill="FFFFFF"/>
            <w:tcMar>
              <w:top w:w="110" w:type="dxa"/>
              <w:left w:w="58" w:type="dxa"/>
              <w:right w:w="58" w:type="dxa"/>
            </w:tcMar>
            <w:vAlign w:val="center"/>
          </w:tcPr>
          <w:p w14:paraId="5631ABAB" w14:textId="17A24970" w:rsidR="00BA5EA9" w:rsidRPr="001E6DFD" w:rsidRDefault="0024402A" w:rsidP="0097226C">
            <w:pPr>
              <w:keepNext/>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603" w:type="pct"/>
            <w:shd w:val="clear" w:color="auto" w:fill="auto"/>
            <w:tcMar>
              <w:top w:w="110" w:type="dxa"/>
              <w:left w:w="58" w:type="dxa"/>
              <w:right w:w="58" w:type="dxa"/>
            </w:tcMar>
            <w:vAlign w:val="center"/>
          </w:tcPr>
          <w:p w14:paraId="4A939BE2" w14:textId="2C6A23F2"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38C606E3" w14:textId="77777777" w:rsidTr="0097226C">
        <w:trPr>
          <w:jc w:val="center"/>
        </w:trPr>
        <w:tc>
          <w:tcPr>
            <w:tcW w:w="936" w:type="pct"/>
            <w:vMerge w:val="restart"/>
            <w:shd w:val="clear" w:color="auto" w:fill="auto"/>
            <w:tcMar>
              <w:left w:w="58" w:type="dxa"/>
              <w:right w:w="58" w:type="dxa"/>
            </w:tcMar>
          </w:tcPr>
          <w:p w14:paraId="15E965C3" w14:textId="77777777" w:rsidR="00BA5EA9" w:rsidRPr="001E6DFD" w:rsidRDefault="0024402A" w:rsidP="0097226C">
            <w:pPr>
              <w:ind w:right="43"/>
              <w:rPr>
                <w:sz w:val="16"/>
                <w:szCs w:val="16"/>
              </w:rPr>
            </w:pPr>
            <w:r w:rsidRPr="001E6DFD">
              <w:rPr>
                <w:sz w:val="16"/>
                <w:szCs w:val="16"/>
              </w:rPr>
              <w:t xml:space="preserve">Nombre de litiges relatifs à des </w:t>
            </w:r>
            <w:proofErr w:type="spellStart"/>
            <w:r w:rsidRPr="001E6DFD">
              <w:rPr>
                <w:sz w:val="16"/>
                <w:szCs w:val="16"/>
              </w:rPr>
              <w:t>gTLD</w:t>
            </w:r>
            <w:proofErr w:type="spellEnd"/>
            <w:r w:rsidRPr="001E6DFD">
              <w:rPr>
                <w:sz w:val="16"/>
                <w:szCs w:val="16"/>
              </w:rPr>
              <w:t xml:space="preserve"> et des </w:t>
            </w:r>
            <w:proofErr w:type="spellStart"/>
            <w:r w:rsidRPr="001E6DFD">
              <w:rPr>
                <w:sz w:val="16"/>
                <w:szCs w:val="16"/>
              </w:rPr>
              <w:t>ccTLD</w:t>
            </w:r>
            <w:proofErr w:type="spellEnd"/>
            <w:r w:rsidRPr="001E6DFD">
              <w:rPr>
                <w:sz w:val="16"/>
                <w:szCs w:val="16"/>
              </w:rPr>
              <w:t xml:space="preserve"> administrés par le Centre au titre des principes UDRP</w:t>
            </w:r>
          </w:p>
        </w:tc>
        <w:tc>
          <w:tcPr>
            <w:tcW w:w="1432" w:type="pct"/>
            <w:shd w:val="clear" w:color="auto" w:fill="auto"/>
            <w:tcMar>
              <w:left w:w="58" w:type="dxa"/>
              <w:right w:w="58" w:type="dxa"/>
            </w:tcMar>
          </w:tcPr>
          <w:p w14:paraId="756E4B62" w14:textId="4ADF90C4"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119FF8EE" w14:textId="44791D85" w:rsidR="001F64B1" w:rsidRPr="001E6DFD" w:rsidRDefault="001D4859" w:rsidP="0097226C">
            <w:pPr>
              <w:rPr>
                <w:color w:val="002060"/>
                <w:sz w:val="16"/>
                <w:szCs w:val="16"/>
                <w:lang w:bidi="th-TH"/>
              </w:rPr>
            </w:pPr>
            <w:r w:rsidRPr="001E6DFD">
              <w:rPr>
                <w:color w:val="002060"/>
                <w:sz w:val="16"/>
                <w:szCs w:val="16"/>
                <w:lang w:bidi="th-TH"/>
              </w:rPr>
              <w:t xml:space="preserve">29 567 litiges relatifs à des </w:t>
            </w:r>
            <w:proofErr w:type="spellStart"/>
            <w:r w:rsidRPr="001E6DFD">
              <w:rPr>
                <w:color w:val="002060"/>
                <w:sz w:val="16"/>
                <w:szCs w:val="16"/>
                <w:lang w:bidi="th-TH"/>
              </w:rPr>
              <w:t>gTLD</w:t>
            </w:r>
            <w:proofErr w:type="spellEnd"/>
            <w:r w:rsidRPr="001E6DFD">
              <w:rPr>
                <w:color w:val="002060"/>
                <w:sz w:val="16"/>
                <w:szCs w:val="16"/>
                <w:lang w:bidi="th-TH"/>
              </w:rPr>
              <w:t xml:space="preserve"> administrés par le Centre (cumul à la fin de 2015)</w:t>
            </w:r>
          </w:p>
          <w:p w14:paraId="411D6A19" w14:textId="77777777" w:rsidR="001F64B1" w:rsidRPr="001E6DFD" w:rsidRDefault="001F64B1" w:rsidP="0097226C">
            <w:pPr>
              <w:rPr>
                <w:sz w:val="16"/>
                <w:szCs w:val="16"/>
              </w:rPr>
            </w:pPr>
          </w:p>
          <w:p w14:paraId="2506F3C7" w14:textId="7B873E99" w:rsidR="00FA22F6" w:rsidRPr="001E6DFD" w:rsidRDefault="00E64532" w:rsidP="0097226C">
            <w:pPr>
              <w:ind w:right="273"/>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4A2FB96" w14:textId="6D14E624" w:rsidR="00BA5EA9" w:rsidRPr="001E6DFD" w:rsidRDefault="00BA5EA9" w:rsidP="0097226C">
            <w:pPr>
              <w:ind w:right="273"/>
              <w:rPr>
                <w:sz w:val="16"/>
                <w:szCs w:val="16"/>
              </w:rPr>
            </w:pPr>
            <w:r w:rsidRPr="001E6DFD">
              <w:rPr>
                <w:sz w:val="16"/>
                <w:szCs w:val="16"/>
              </w:rPr>
              <w:t>27</w:t>
            </w:r>
            <w:r w:rsidR="004D421A" w:rsidRPr="001E6DFD">
              <w:rPr>
                <w:sz w:val="16"/>
                <w:szCs w:val="16"/>
              </w:rPr>
              <w:t> </w:t>
            </w:r>
            <w:r w:rsidRPr="001E6DFD">
              <w:rPr>
                <w:sz w:val="16"/>
                <w:szCs w:val="16"/>
              </w:rPr>
              <w:t xml:space="preserve">189 </w:t>
            </w:r>
            <w:r w:rsidR="001D4859" w:rsidRPr="001E6DFD">
              <w:rPr>
                <w:sz w:val="16"/>
                <w:szCs w:val="16"/>
                <w:lang w:bidi="th-TH"/>
              </w:rPr>
              <w:t xml:space="preserve">litiges relatifs à des </w:t>
            </w:r>
            <w:proofErr w:type="spellStart"/>
            <w:r w:rsidR="001D4859" w:rsidRPr="001E6DFD">
              <w:rPr>
                <w:sz w:val="16"/>
                <w:szCs w:val="16"/>
                <w:lang w:bidi="th-TH"/>
              </w:rPr>
              <w:t>gTLD</w:t>
            </w:r>
            <w:proofErr w:type="spellEnd"/>
            <w:r w:rsidR="001D4859" w:rsidRPr="001E6DFD">
              <w:rPr>
                <w:sz w:val="16"/>
                <w:szCs w:val="16"/>
                <w:lang w:bidi="th-TH"/>
              </w:rPr>
              <w:t xml:space="preserve"> administrés par le Centre (</w:t>
            </w:r>
            <w:r w:rsidR="0063461B" w:rsidRPr="001E6DFD">
              <w:rPr>
                <w:sz w:val="16"/>
                <w:szCs w:val="16"/>
                <w:lang w:bidi="th-TH"/>
              </w:rPr>
              <w:t>total</w:t>
            </w:r>
            <w:r w:rsidR="001D4859" w:rsidRPr="001E6DFD">
              <w:rPr>
                <w:sz w:val="16"/>
                <w:szCs w:val="16"/>
                <w:lang w:bidi="th-TH"/>
              </w:rPr>
              <w:t xml:space="preserve"> à la fin de </w:t>
            </w:r>
            <w:r w:rsidRPr="001E6DFD">
              <w:rPr>
                <w:sz w:val="16"/>
                <w:szCs w:val="16"/>
              </w:rPr>
              <w:t>2014)</w:t>
            </w:r>
          </w:p>
        </w:tc>
        <w:tc>
          <w:tcPr>
            <w:tcW w:w="1067" w:type="pct"/>
            <w:shd w:val="clear" w:color="auto" w:fill="auto"/>
            <w:tcMar>
              <w:top w:w="110" w:type="dxa"/>
              <w:left w:w="58" w:type="dxa"/>
              <w:right w:w="58" w:type="dxa"/>
            </w:tcMar>
          </w:tcPr>
          <w:p w14:paraId="3FFB5FF2" w14:textId="7090B5A9" w:rsidR="00FA22F6" w:rsidRPr="001E6DFD" w:rsidRDefault="00AC7D97" w:rsidP="0097226C">
            <w:pPr>
              <w:rPr>
                <w:i/>
                <w:color w:val="002060"/>
                <w:sz w:val="16"/>
                <w:szCs w:val="16"/>
              </w:rPr>
            </w:pPr>
            <w:r w:rsidRPr="001E6DFD">
              <w:rPr>
                <w:i/>
                <w:color w:val="002060"/>
                <w:sz w:val="16"/>
                <w:szCs w:val="16"/>
              </w:rPr>
              <w:t>Objectif actualisé</w:t>
            </w:r>
            <w:r w:rsidR="00FA22F6" w:rsidRPr="001E6DFD">
              <w:rPr>
                <w:i/>
                <w:color w:val="002060"/>
                <w:sz w:val="16"/>
                <w:szCs w:val="16"/>
              </w:rPr>
              <w:t> :</w:t>
            </w:r>
          </w:p>
          <w:p w14:paraId="42903B56" w14:textId="1776B49B" w:rsidR="001F64B1" w:rsidRPr="001E6DFD" w:rsidRDefault="001D4859" w:rsidP="0097226C">
            <w:pPr>
              <w:keepLines/>
              <w:rPr>
                <w:color w:val="002060"/>
                <w:sz w:val="16"/>
                <w:szCs w:val="16"/>
              </w:rPr>
            </w:pPr>
            <w:r w:rsidRPr="001E6DFD">
              <w:rPr>
                <w:color w:val="002060"/>
                <w:sz w:val="16"/>
                <w:szCs w:val="16"/>
                <w:lang w:bidi="th-TH"/>
              </w:rPr>
              <w:t>4</w:t>
            </w:r>
            <w:r w:rsidR="00BA5EA9" w:rsidRPr="001E6DFD">
              <w:rPr>
                <w:color w:val="002060"/>
                <w:sz w:val="16"/>
                <w:szCs w:val="16"/>
                <w:lang w:bidi="th-TH"/>
              </w:rPr>
              <w:t xml:space="preserve">000 </w:t>
            </w:r>
            <w:r w:rsidRPr="001E6DFD">
              <w:rPr>
                <w:color w:val="002060"/>
                <w:sz w:val="16"/>
                <w:szCs w:val="16"/>
              </w:rPr>
              <w:t xml:space="preserve">litiges relatifs à des </w:t>
            </w:r>
            <w:proofErr w:type="spellStart"/>
            <w:r w:rsidRPr="001E6DFD">
              <w:rPr>
                <w:color w:val="002060"/>
                <w:sz w:val="16"/>
                <w:szCs w:val="16"/>
              </w:rPr>
              <w:t>gTLD</w:t>
            </w:r>
            <w:proofErr w:type="spellEnd"/>
            <w:r w:rsidRPr="001E6DFD">
              <w:rPr>
                <w:color w:val="002060"/>
                <w:sz w:val="16"/>
                <w:szCs w:val="16"/>
              </w:rPr>
              <w:t xml:space="preserve"> supplémentaires</w:t>
            </w:r>
          </w:p>
          <w:p w14:paraId="324118FA" w14:textId="77777777" w:rsidR="001F64B1" w:rsidRPr="001E6DFD" w:rsidRDefault="001F64B1" w:rsidP="0097226C">
            <w:pPr>
              <w:keepLines/>
              <w:rPr>
                <w:sz w:val="16"/>
                <w:szCs w:val="16"/>
              </w:rPr>
            </w:pPr>
          </w:p>
          <w:p w14:paraId="4AF14AD5" w14:textId="62730DC0" w:rsidR="00FA22F6" w:rsidRPr="001E6DFD" w:rsidRDefault="006C5CB0" w:rsidP="0097226C">
            <w:pPr>
              <w:keepLines/>
              <w:ind w:right="34"/>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D13303E" w14:textId="16C2D1A4" w:rsidR="00BA5EA9" w:rsidRPr="001E6DFD" w:rsidRDefault="001D4859" w:rsidP="0097226C">
            <w:pPr>
              <w:ind w:right="34"/>
              <w:rPr>
                <w:sz w:val="16"/>
                <w:szCs w:val="16"/>
              </w:rPr>
            </w:pPr>
            <w:r w:rsidRPr="001E6DFD">
              <w:rPr>
                <w:sz w:val="16"/>
                <w:szCs w:val="16"/>
              </w:rPr>
              <w:t xml:space="preserve">3000 litiges relatifs à des </w:t>
            </w:r>
            <w:proofErr w:type="spellStart"/>
            <w:r w:rsidRPr="001E6DFD">
              <w:rPr>
                <w:sz w:val="16"/>
                <w:szCs w:val="16"/>
              </w:rPr>
              <w:t>gTLD</w:t>
            </w:r>
            <w:proofErr w:type="spellEnd"/>
            <w:r w:rsidRPr="001E6DFD">
              <w:rPr>
                <w:sz w:val="16"/>
                <w:szCs w:val="16"/>
              </w:rPr>
              <w:t xml:space="preserve"> supplémentaires</w:t>
            </w:r>
          </w:p>
        </w:tc>
        <w:tc>
          <w:tcPr>
            <w:tcW w:w="961" w:type="pct"/>
            <w:shd w:val="clear" w:color="auto" w:fill="FFFFFF"/>
            <w:tcMar>
              <w:top w:w="110" w:type="dxa"/>
              <w:left w:w="58" w:type="dxa"/>
              <w:right w:w="58" w:type="dxa"/>
            </w:tcMar>
          </w:tcPr>
          <w:p w14:paraId="442E9C4E" w14:textId="77777777" w:rsidR="001F64B1" w:rsidRPr="001E6DFD" w:rsidRDefault="001D4859" w:rsidP="0097226C">
            <w:pPr>
              <w:rPr>
                <w:sz w:val="16"/>
                <w:szCs w:val="16"/>
              </w:rPr>
            </w:pPr>
            <w:r w:rsidRPr="001E6DFD">
              <w:rPr>
                <w:sz w:val="16"/>
                <w:szCs w:val="16"/>
              </w:rPr>
              <w:t>2</w:t>
            </w:r>
            <w:r w:rsidR="00BA5EA9" w:rsidRPr="001E6DFD">
              <w:rPr>
                <w:sz w:val="16"/>
                <w:szCs w:val="16"/>
              </w:rPr>
              <w:t xml:space="preserve">653 </w:t>
            </w:r>
            <w:r w:rsidRPr="001E6DFD">
              <w:rPr>
                <w:sz w:val="16"/>
                <w:szCs w:val="16"/>
              </w:rPr>
              <w:t xml:space="preserve">litiges relatifs à des </w:t>
            </w:r>
            <w:proofErr w:type="spellStart"/>
            <w:r w:rsidRPr="001E6DFD">
              <w:rPr>
                <w:sz w:val="16"/>
                <w:szCs w:val="16"/>
              </w:rPr>
              <w:t>gTLD</w:t>
            </w:r>
            <w:proofErr w:type="spellEnd"/>
            <w:r w:rsidRPr="001E6DFD">
              <w:rPr>
                <w:sz w:val="16"/>
                <w:szCs w:val="16"/>
              </w:rPr>
              <w:t xml:space="preserve"> supplémentaires</w:t>
            </w:r>
          </w:p>
          <w:p w14:paraId="4B2F37C0" w14:textId="77777777" w:rsidR="001F64B1" w:rsidRPr="001E6DFD" w:rsidRDefault="001F64B1" w:rsidP="0097226C">
            <w:pPr>
              <w:rPr>
                <w:sz w:val="16"/>
                <w:szCs w:val="16"/>
              </w:rPr>
            </w:pPr>
          </w:p>
          <w:p w14:paraId="6D7A8B4D" w14:textId="0614CCC4" w:rsidR="00BA5EA9" w:rsidRPr="001E6DFD" w:rsidRDefault="00BA5EA9" w:rsidP="0097226C">
            <w:pPr>
              <w:rPr>
                <w:sz w:val="16"/>
                <w:szCs w:val="16"/>
              </w:rPr>
            </w:pPr>
            <w:r w:rsidRPr="001E6DFD">
              <w:rPr>
                <w:sz w:val="16"/>
                <w:szCs w:val="16"/>
              </w:rPr>
              <w:t>32</w:t>
            </w:r>
            <w:r w:rsidR="001D4859" w:rsidRPr="001E6DFD">
              <w:rPr>
                <w:sz w:val="16"/>
                <w:szCs w:val="16"/>
              </w:rPr>
              <w:t> </w:t>
            </w:r>
            <w:r w:rsidRPr="001E6DFD">
              <w:rPr>
                <w:sz w:val="16"/>
                <w:szCs w:val="16"/>
              </w:rPr>
              <w:t xml:space="preserve">220 </w:t>
            </w:r>
            <w:r w:rsidR="0063461B" w:rsidRPr="001E6DFD">
              <w:rPr>
                <w:sz w:val="16"/>
                <w:szCs w:val="16"/>
              </w:rPr>
              <w:t>au total</w:t>
            </w:r>
            <w:r w:rsidRPr="001E6DFD">
              <w:rPr>
                <w:sz w:val="16"/>
                <w:szCs w:val="16"/>
              </w:rPr>
              <w:t xml:space="preserve"> (</w:t>
            </w:r>
            <w:r w:rsidR="0063461B" w:rsidRPr="001E6DFD">
              <w:rPr>
                <w:sz w:val="16"/>
                <w:szCs w:val="16"/>
              </w:rPr>
              <w:t>fin</w:t>
            </w:r>
            <w:r w:rsidR="00B4191E">
              <w:rPr>
                <w:sz w:val="16"/>
                <w:szCs w:val="16"/>
              </w:rPr>
              <w:t> </w:t>
            </w:r>
            <w:r w:rsidRPr="001E6DFD">
              <w:rPr>
                <w:sz w:val="16"/>
                <w:szCs w:val="16"/>
              </w:rPr>
              <w:t>2016)</w:t>
            </w:r>
          </w:p>
        </w:tc>
        <w:tc>
          <w:tcPr>
            <w:tcW w:w="603" w:type="pct"/>
            <w:shd w:val="clear" w:color="auto" w:fill="auto"/>
            <w:tcMar>
              <w:top w:w="110" w:type="dxa"/>
              <w:left w:w="58" w:type="dxa"/>
              <w:right w:w="58" w:type="dxa"/>
            </w:tcMar>
          </w:tcPr>
          <w:p w14:paraId="113EFEEA"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50F6E913" w14:textId="77777777" w:rsidTr="0097226C">
        <w:trPr>
          <w:jc w:val="center"/>
        </w:trPr>
        <w:tc>
          <w:tcPr>
            <w:tcW w:w="936" w:type="pct"/>
            <w:vMerge/>
            <w:shd w:val="clear" w:color="auto" w:fill="auto"/>
            <w:tcMar>
              <w:left w:w="58" w:type="dxa"/>
              <w:right w:w="58" w:type="dxa"/>
            </w:tcMar>
          </w:tcPr>
          <w:p w14:paraId="20030EEE" w14:textId="77777777" w:rsidR="00BA5EA9" w:rsidRPr="001E6DFD" w:rsidRDefault="00BA5EA9" w:rsidP="0097226C">
            <w:pPr>
              <w:ind w:right="43"/>
              <w:rPr>
                <w:sz w:val="16"/>
                <w:szCs w:val="16"/>
              </w:rPr>
            </w:pPr>
          </w:p>
        </w:tc>
        <w:tc>
          <w:tcPr>
            <w:tcW w:w="1432" w:type="pct"/>
            <w:shd w:val="clear" w:color="auto" w:fill="auto"/>
            <w:tcMar>
              <w:left w:w="58" w:type="dxa"/>
              <w:right w:w="58" w:type="dxa"/>
            </w:tcMar>
          </w:tcPr>
          <w:p w14:paraId="50B480A0" w14:textId="0BC3E9A1"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0021464B" w14:textId="25D0A772" w:rsidR="001F64B1" w:rsidRPr="001E6DFD" w:rsidRDefault="001D4859" w:rsidP="0097226C">
            <w:pPr>
              <w:keepLines/>
              <w:rPr>
                <w:color w:val="002060"/>
                <w:sz w:val="16"/>
                <w:szCs w:val="16"/>
                <w:lang w:bidi="th-TH"/>
              </w:rPr>
            </w:pPr>
            <w:r w:rsidRPr="001E6DFD">
              <w:rPr>
                <w:color w:val="002060"/>
                <w:sz w:val="16"/>
                <w:szCs w:val="16"/>
                <w:lang w:bidi="th-TH"/>
              </w:rPr>
              <w:t xml:space="preserve">3520 litiges portant uniquement sur des </w:t>
            </w:r>
            <w:proofErr w:type="spellStart"/>
            <w:r w:rsidRPr="001E6DFD">
              <w:rPr>
                <w:color w:val="002060"/>
                <w:sz w:val="16"/>
                <w:szCs w:val="16"/>
                <w:lang w:bidi="th-TH"/>
              </w:rPr>
              <w:t>ccTLD</w:t>
            </w:r>
            <w:proofErr w:type="spellEnd"/>
            <w:r w:rsidRPr="001E6DFD">
              <w:rPr>
                <w:color w:val="002060"/>
                <w:sz w:val="16"/>
                <w:szCs w:val="16"/>
                <w:lang w:bidi="th-TH"/>
              </w:rPr>
              <w:t xml:space="preserve"> administrés par le Centre (cumul à la fin de 2015)</w:t>
            </w:r>
          </w:p>
          <w:p w14:paraId="17926039" w14:textId="77777777" w:rsidR="001F64B1" w:rsidRPr="001E6DFD" w:rsidRDefault="001F64B1" w:rsidP="0097226C">
            <w:pPr>
              <w:rPr>
                <w:sz w:val="16"/>
                <w:szCs w:val="16"/>
              </w:rPr>
            </w:pPr>
          </w:p>
          <w:p w14:paraId="12F1304E" w14:textId="1945ADF3"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E36D54F" w14:textId="37B76D84" w:rsidR="00BA5EA9" w:rsidRPr="001E6DFD" w:rsidRDefault="001D4859" w:rsidP="0097226C">
            <w:pPr>
              <w:rPr>
                <w:i/>
                <w:sz w:val="16"/>
                <w:szCs w:val="16"/>
              </w:rPr>
            </w:pPr>
            <w:r w:rsidRPr="001E6DFD">
              <w:rPr>
                <w:i/>
                <w:sz w:val="16"/>
                <w:szCs w:val="16"/>
              </w:rPr>
              <w:lastRenderedPageBreak/>
              <w:t xml:space="preserve">3144 litiges portant uniquement sur des </w:t>
            </w:r>
            <w:proofErr w:type="spellStart"/>
            <w:r w:rsidRPr="001E6DFD">
              <w:rPr>
                <w:i/>
                <w:sz w:val="16"/>
                <w:szCs w:val="16"/>
              </w:rPr>
              <w:t>ccTLD</w:t>
            </w:r>
            <w:proofErr w:type="spellEnd"/>
            <w:r w:rsidRPr="001E6DFD">
              <w:rPr>
                <w:i/>
                <w:sz w:val="16"/>
                <w:szCs w:val="16"/>
              </w:rPr>
              <w:t xml:space="preserve"> administrés par le Centre (</w:t>
            </w:r>
            <w:r w:rsidR="0063461B" w:rsidRPr="001E6DFD">
              <w:rPr>
                <w:i/>
                <w:sz w:val="16"/>
                <w:szCs w:val="16"/>
              </w:rPr>
              <w:t>total</w:t>
            </w:r>
            <w:r w:rsidRPr="001E6DFD">
              <w:rPr>
                <w:i/>
                <w:sz w:val="16"/>
                <w:szCs w:val="16"/>
              </w:rPr>
              <w:t xml:space="preserve"> à la fin de 2014)</w:t>
            </w:r>
          </w:p>
        </w:tc>
        <w:tc>
          <w:tcPr>
            <w:tcW w:w="1067" w:type="pct"/>
            <w:shd w:val="clear" w:color="auto" w:fill="auto"/>
            <w:tcMar>
              <w:top w:w="110" w:type="dxa"/>
              <w:left w:w="58" w:type="dxa"/>
              <w:right w:w="58" w:type="dxa"/>
            </w:tcMar>
          </w:tcPr>
          <w:p w14:paraId="797C5606" w14:textId="4D0AE1B8" w:rsidR="00FA22F6" w:rsidRPr="001E6DFD" w:rsidRDefault="00AC7D97" w:rsidP="0097226C">
            <w:pPr>
              <w:rPr>
                <w:i/>
                <w:color w:val="002060"/>
                <w:sz w:val="16"/>
                <w:szCs w:val="16"/>
              </w:rPr>
            </w:pPr>
            <w:r w:rsidRPr="001E6DFD">
              <w:rPr>
                <w:i/>
                <w:color w:val="002060"/>
                <w:sz w:val="16"/>
                <w:szCs w:val="16"/>
              </w:rPr>
              <w:lastRenderedPageBreak/>
              <w:t>Objectif actualisé</w:t>
            </w:r>
            <w:r w:rsidR="00FA22F6" w:rsidRPr="001E6DFD">
              <w:rPr>
                <w:i/>
                <w:color w:val="002060"/>
                <w:sz w:val="16"/>
                <w:szCs w:val="16"/>
              </w:rPr>
              <w:t> :</w:t>
            </w:r>
          </w:p>
          <w:p w14:paraId="54C8F39C" w14:textId="77777777" w:rsidR="00FA22F6" w:rsidRPr="001E6DFD" w:rsidRDefault="001D4859" w:rsidP="0097226C">
            <w:pPr>
              <w:keepLines/>
              <w:rPr>
                <w:color w:val="002060"/>
                <w:sz w:val="16"/>
                <w:szCs w:val="16"/>
                <w:lang w:bidi="th-TH"/>
              </w:rPr>
            </w:pPr>
            <w:r w:rsidRPr="001E6DFD">
              <w:rPr>
                <w:color w:val="002060"/>
                <w:sz w:val="16"/>
                <w:szCs w:val="16"/>
                <w:lang w:bidi="th-TH"/>
              </w:rPr>
              <w:t xml:space="preserve">450 litiges portant uniquement sur des </w:t>
            </w:r>
            <w:proofErr w:type="spellStart"/>
            <w:r w:rsidRPr="001E6DFD">
              <w:rPr>
                <w:color w:val="002060"/>
                <w:sz w:val="16"/>
                <w:szCs w:val="16"/>
                <w:lang w:bidi="th-TH"/>
              </w:rPr>
              <w:t>ccTLD</w:t>
            </w:r>
            <w:proofErr w:type="spellEnd"/>
            <w:r w:rsidRPr="001E6DFD">
              <w:rPr>
                <w:color w:val="002060"/>
                <w:sz w:val="16"/>
                <w:szCs w:val="16"/>
                <w:lang w:bidi="th-TH"/>
              </w:rPr>
              <w:t xml:space="preserve"> supplémentaires</w:t>
            </w:r>
          </w:p>
          <w:p w14:paraId="242369C2" w14:textId="31FD12DA" w:rsidR="001F64B1" w:rsidRPr="001303B4" w:rsidRDefault="001F64B1" w:rsidP="0097226C">
            <w:pPr>
              <w:keepLines/>
              <w:rPr>
                <w:sz w:val="16"/>
                <w:szCs w:val="16"/>
              </w:rPr>
            </w:pPr>
          </w:p>
          <w:p w14:paraId="5396AC91" w14:textId="232D0B3C" w:rsidR="00FA22F6" w:rsidRPr="001E6DFD" w:rsidRDefault="006C5CB0" w:rsidP="0097226C">
            <w:pPr>
              <w:keepLines/>
              <w:ind w:right="34"/>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B2A3F12" w14:textId="49D6E186" w:rsidR="00BA5EA9" w:rsidRPr="001E6DFD" w:rsidRDefault="001D4859" w:rsidP="0097226C">
            <w:pPr>
              <w:ind w:right="34"/>
              <w:rPr>
                <w:sz w:val="16"/>
                <w:szCs w:val="16"/>
              </w:rPr>
            </w:pPr>
            <w:r w:rsidRPr="001E6DFD">
              <w:rPr>
                <w:sz w:val="16"/>
                <w:szCs w:val="16"/>
              </w:rPr>
              <w:lastRenderedPageBreak/>
              <w:t xml:space="preserve">350 litiges portant uniquement sur des </w:t>
            </w:r>
            <w:proofErr w:type="spellStart"/>
            <w:r w:rsidRPr="001E6DFD">
              <w:rPr>
                <w:sz w:val="16"/>
                <w:szCs w:val="16"/>
              </w:rPr>
              <w:t>ccTLD</w:t>
            </w:r>
            <w:proofErr w:type="spellEnd"/>
            <w:r w:rsidRPr="001E6DFD">
              <w:rPr>
                <w:sz w:val="16"/>
                <w:szCs w:val="16"/>
              </w:rPr>
              <w:t xml:space="preserve"> supplémentaires</w:t>
            </w:r>
          </w:p>
        </w:tc>
        <w:tc>
          <w:tcPr>
            <w:tcW w:w="961" w:type="pct"/>
            <w:shd w:val="clear" w:color="auto" w:fill="FFFFFF"/>
            <w:tcMar>
              <w:top w:w="110" w:type="dxa"/>
              <w:left w:w="58" w:type="dxa"/>
              <w:right w:w="58" w:type="dxa"/>
            </w:tcMar>
          </w:tcPr>
          <w:p w14:paraId="13D69BF6" w14:textId="77777777" w:rsidR="00FA22F6" w:rsidRPr="001E6DFD" w:rsidRDefault="001D4859" w:rsidP="0097226C">
            <w:pPr>
              <w:rPr>
                <w:sz w:val="16"/>
                <w:szCs w:val="16"/>
              </w:rPr>
            </w:pPr>
            <w:r w:rsidRPr="001E6DFD">
              <w:rPr>
                <w:sz w:val="16"/>
                <w:szCs w:val="16"/>
              </w:rPr>
              <w:lastRenderedPageBreak/>
              <w:t xml:space="preserve">383 litiges portant uniquement sur des </w:t>
            </w:r>
            <w:proofErr w:type="spellStart"/>
            <w:r w:rsidRPr="001E6DFD">
              <w:rPr>
                <w:sz w:val="16"/>
                <w:szCs w:val="16"/>
              </w:rPr>
              <w:t>ccTLD</w:t>
            </w:r>
            <w:proofErr w:type="spellEnd"/>
            <w:r w:rsidRPr="001E6DFD">
              <w:rPr>
                <w:sz w:val="16"/>
                <w:szCs w:val="16"/>
              </w:rPr>
              <w:t xml:space="preserve"> supplémentaires</w:t>
            </w:r>
          </w:p>
          <w:p w14:paraId="2EC86C81" w14:textId="3C368D46" w:rsidR="001F64B1" w:rsidRPr="001E6DFD" w:rsidRDefault="001F64B1" w:rsidP="0097226C">
            <w:pPr>
              <w:rPr>
                <w:sz w:val="16"/>
                <w:szCs w:val="16"/>
              </w:rPr>
            </w:pPr>
          </w:p>
          <w:p w14:paraId="59F76A1A" w14:textId="27145DE3" w:rsidR="00BA5EA9" w:rsidRPr="001E6DFD" w:rsidRDefault="0063461B" w:rsidP="0097226C">
            <w:pPr>
              <w:rPr>
                <w:sz w:val="16"/>
                <w:szCs w:val="16"/>
              </w:rPr>
            </w:pPr>
            <w:r w:rsidRPr="001E6DFD">
              <w:rPr>
                <w:sz w:val="16"/>
                <w:szCs w:val="16"/>
              </w:rPr>
              <w:t>3</w:t>
            </w:r>
            <w:r w:rsidR="00BA5EA9" w:rsidRPr="001E6DFD">
              <w:rPr>
                <w:sz w:val="16"/>
                <w:szCs w:val="16"/>
              </w:rPr>
              <w:t xml:space="preserve">903 </w:t>
            </w:r>
            <w:r w:rsidRPr="001E6DFD">
              <w:rPr>
                <w:sz w:val="16"/>
                <w:szCs w:val="16"/>
              </w:rPr>
              <w:t xml:space="preserve">au total </w:t>
            </w:r>
            <w:r w:rsidR="00BA5EA9" w:rsidRPr="001E6DFD">
              <w:rPr>
                <w:sz w:val="16"/>
                <w:szCs w:val="16"/>
              </w:rPr>
              <w:t>(</w:t>
            </w:r>
            <w:r w:rsidRPr="001E6DFD">
              <w:rPr>
                <w:sz w:val="16"/>
                <w:szCs w:val="16"/>
              </w:rPr>
              <w:t>fin</w:t>
            </w:r>
            <w:r w:rsidR="00B4191E">
              <w:rPr>
                <w:sz w:val="16"/>
                <w:szCs w:val="16"/>
              </w:rPr>
              <w:t> </w:t>
            </w:r>
            <w:r w:rsidR="00BA5EA9" w:rsidRPr="001E6DFD">
              <w:rPr>
                <w:sz w:val="16"/>
                <w:szCs w:val="16"/>
              </w:rPr>
              <w:t>2016)</w:t>
            </w:r>
          </w:p>
        </w:tc>
        <w:tc>
          <w:tcPr>
            <w:tcW w:w="603" w:type="pct"/>
            <w:shd w:val="clear" w:color="auto" w:fill="auto"/>
            <w:tcMar>
              <w:top w:w="110" w:type="dxa"/>
              <w:left w:w="58" w:type="dxa"/>
              <w:right w:w="58" w:type="dxa"/>
            </w:tcMar>
          </w:tcPr>
          <w:p w14:paraId="03AE4E1A"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7FDDDDC9" w14:textId="77777777" w:rsidTr="0097226C">
        <w:trPr>
          <w:jc w:val="center"/>
        </w:trPr>
        <w:tc>
          <w:tcPr>
            <w:tcW w:w="936" w:type="pct"/>
            <w:shd w:val="clear" w:color="auto" w:fill="auto"/>
            <w:tcMar>
              <w:left w:w="58" w:type="dxa"/>
              <w:right w:w="58" w:type="dxa"/>
            </w:tcMar>
          </w:tcPr>
          <w:p w14:paraId="2B586F7F" w14:textId="1CE953E5" w:rsidR="00BA5EA9" w:rsidRPr="001E6DFD" w:rsidRDefault="008726C8" w:rsidP="0097226C">
            <w:pPr>
              <w:ind w:right="43"/>
              <w:rPr>
                <w:sz w:val="16"/>
                <w:szCs w:val="16"/>
              </w:rPr>
            </w:pPr>
            <w:r w:rsidRPr="001E6DFD">
              <w:rPr>
                <w:sz w:val="16"/>
                <w:szCs w:val="16"/>
              </w:rPr>
              <w:lastRenderedPageBreak/>
              <w:t>Politiques de règlement des litiges dans le système des noms de domaine pour lesquelles le Centre a contribué à l</w:t>
            </w:r>
            <w:r w:rsidR="00FA22F6" w:rsidRPr="001E6DFD">
              <w:rPr>
                <w:sz w:val="16"/>
                <w:szCs w:val="16"/>
              </w:rPr>
              <w:t>’</w:t>
            </w:r>
            <w:r w:rsidRPr="001E6DFD">
              <w:rPr>
                <w:sz w:val="16"/>
                <w:szCs w:val="16"/>
              </w:rPr>
              <w:t>élaboration et à la mise en œuvre</w:t>
            </w:r>
          </w:p>
        </w:tc>
        <w:tc>
          <w:tcPr>
            <w:tcW w:w="1432" w:type="pct"/>
            <w:shd w:val="clear" w:color="auto" w:fill="auto"/>
            <w:tcMar>
              <w:left w:w="58" w:type="dxa"/>
              <w:right w:w="58" w:type="dxa"/>
            </w:tcMar>
          </w:tcPr>
          <w:p w14:paraId="4CD733C5" w14:textId="058928C3" w:rsidR="00FA22F6"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50EBD665" w14:textId="2F141549" w:rsidR="001F64B1" w:rsidRPr="001E6DFD" w:rsidRDefault="00F01DD0" w:rsidP="00F01DD0">
            <w:pPr>
              <w:rPr>
                <w:color w:val="002060"/>
                <w:sz w:val="16"/>
                <w:szCs w:val="16"/>
                <w:lang w:bidi="th-TH"/>
              </w:rPr>
            </w:pPr>
            <w:r w:rsidRPr="001E6DFD">
              <w:rPr>
                <w:color w:val="002060"/>
                <w:sz w:val="16"/>
                <w:szCs w:val="16"/>
                <w:lang w:bidi="th-TH"/>
              </w:rPr>
              <w:t>Principes UDRP, actualisation des principes UDRP compte tenu des nouvelles dispositions sur le verrouillage des noms de domaine par les bureaux d</w:t>
            </w:r>
            <w:r w:rsidR="00FA22F6" w:rsidRPr="001E6DFD">
              <w:rPr>
                <w:color w:val="002060"/>
                <w:sz w:val="16"/>
                <w:szCs w:val="16"/>
                <w:lang w:bidi="th-TH"/>
              </w:rPr>
              <w:t>’</w:t>
            </w:r>
            <w:r w:rsidRPr="001E6DFD">
              <w:rPr>
                <w:color w:val="002060"/>
                <w:sz w:val="16"/>
                <w:szCs w:val="16"/>
                <w:lang w:bidi="th-TH"/>
              </w:rPr>
              <w:t>enregistrement, procédure de l</w:t>
            </w:r>
            <w:r w:rsidR="00FA22F6" w:rsidRPr="001E6DFD">
              <w:rPr>
                <w:color w:val="002060"/>
                <w:sz w:val="16"/>
                <w:szCs w:val="16"/>
                <w:lang w:bidi="th-TH"/>
              </w:rPr>
              <w:t>’</w:t>
            </w:r>
            <w:r w:rsidRPr="001E6DFD">
              <w:rPr>
                <w:color w:val="002060"/>
                <w:sz w:val="16"/>
                <w:szCs w:val="16"/>
                <w:lang w:bidi="th-TH"/>
              </w:rPr>
              <w:t>ICANN de règlement des litiges antérieure à l</w:t>
            </w:r>
            <w:r w:rsidR="00FA22F6" w:rsidRPr="001E6DFD">
              <w:rPr>
                <w:color w:val="002060"/>
                <w:sz w:val="16"/>
                <w:szCs w:val="16"/>
                <w:lang w:bidi="th-TH"/>
              </w:rPr>
              <w:t>’</w:t>
            </w:r>
            <w:r w:rsidRPr="001E6DFD">
              <w:rPr>
                <w:color w:val="002060"/>
                <w:sz w:val="16"/>
                <w:szCs w:val="16"/>
                <w:lang w:bidi="th-TH"/>
              </w:rPr>
              <w:t>attribution, procédure de l</w:t>
            </w:r>
            <w:r w:rsidR="00FA22F6" w:rsidRPr="001E6DFD">
              <w:rPr>
                <w:color w:val="002060"/>
                <w:sz w:val="16"/>
                <w:szCs w:val="16"/>
                <w:lang w:bidi="th-TH"/>
              </w:rPr>
              <w:t>’</w:t>
            </w:r>
            <w:r w:rsidRPr="001E6DFD">
              <w:rPr>
                <w:color w:val="002060"/>
                <w:sz w:val="16"/>
                <w:szCs w:val="16"/>
                <w:lang w:bidi="th-TH"/>
              </w:rPr>
              <w:t>ICANN de règlement des litiges postérieure à l</w:t>
            </w:r>
            <w:r w:rsidR="00FA22F6" w:rsidRPr="001E6DFD">
              <w:rPr>
                <w:color w:val="002060"/>
                <w:sz w:val="16"/>
                <w:szCs w:val="16"/>
                <w:lang w:bidi="th-TH"/>
              </w:rPr>
              <w:t>’</w:t>
            </w:r>
            <w:r w:rsidRPr="001E6DFD">
              <w:rPr>
                <w:color w:val="002060"/>
                <w:sz w:val="16"/>
                <w:szCs w:val="16"/>
                <w:lang w:bidi="th-TH"/>
              </w:rPr>
              <w:t xml:space="preserve">attribution (cumul à la fin </w:t>
            </w:r>
            <w:r w:rsidR="00FA22F6" w:rsidRPr="001E6DFD">
              <w:rPr>
                <w:color w:val="002060"/>
                <w:sz w:val="16"/>
                <w:szCs w:val="16"/>
                <w:lang w:bidi="th-TH"/>
              </w:rPr>
              <w:t>de 2015</w:t>
            </w:r>
            <w:r w:rsidRPr="001E6DFD">
              <w:rPr>
                <w:color w:val="002060"/>
                <w:sz w:val="16"/>
                <w:szCs w:val="16"/>
                <w:lang w:bidi="th-TH"/>
              </w:rPr>
              <w:t>);</w:t>
            </w:r>
          </w:p>
          <w:p w14:paraId="028CB2BE" w14:textId="77777777" w:rsidR="001F64B1" w:rsidRPr="001E6DFD" w:rsidRDefault="001F64B1" w:rsidP="0097226C">
            <w:pPr>
              <w:rPr>
                <w:color w:val="002060"/>
                <w:sz w:val="16"/>
                <w:szCs w:val="16"/>
              </w:rPr>
            </w:pPr>
          </w:p>
          <w:p w14:paraId="0544A073" w14:textId="4019EF53" w:rsidR="00FA22F6" w:rsidRPr="001E6DFD" w:rsidRDefault="00E64532" w:rsidP="0097226C">
            <w:pPr>
              <w:ind w:right="273"/>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2E66507" w14:textId="3233A4F8" w:rsidR="00BA5EA9" w:rsidRPr="001E6DFD" w:rsidRDefault="008726C8" w:rsidP="0097226C">
            <w:pPr>
              <w:ind w:right="273"/>
              <w:rPr>
                <w:sz w:val="16"/>
                <w:szCs w:val="16"/>
              </w:rPr>
            </w:pPr>
            <w:r w:rsidRPr="001E6DFD">
              <w:rPr>
                <w:sz w:val="16"/>
                <w:szCs w:val="16"/>
              </w:rPr>
              <w:t>Principes UDRP, procédure de règlement des litiges antérieure à l</w:t>
            </w:r>
            <w:r w:rsidR="00FA22F6" w:rsidRPr="001E6DFD">
              <w:rPr>
                <w:sz w:val="16"/>
                <w:szCs w:val="16"/>
              </w:rPr>
              <w:t>’</w:t>
            </w:r>
            <w:r w:rsidRPr="001E6DFD">
              <w:rPr>
                <w:sz w:val="16"/>
                <w:szCs w:val="16"/>
              </w:rPr>
              <w:t>attribution, procédure de règlement des litiges postérieure à l</w:t>
            </w:r>
            <w:r w:rsidR="00FA22F6" w:rsidRPr="001E6DFD">
              <w:rPr>
                <w:sz w:val="16"/>
                <w:szCs w:val="16"/>
              </w:rPr>
              <w:t>’</w:t>
            </w:r>
            <w:r w:rsidRPr="001E6DFD">
              <w:rPr>
                <w:sz w:val="16"/>
                <w:szCs w:val="16"/>
              </w:rPr>
              <w:t>attribution (</w:t>
            </w:r>
            <w:r w:rsidR="0063461B" w:rsidRPr="001E6DFD">
              <w:rPr>
                <w:sz w:val="16"/>
                <w:szCs w:val="16"/>
              </w:rPr>
              <w:t>total</w:t>
            </w:r>
            <w:r w:rsidRPr="001E6DFD">
              <w:rPr>
                <w:sz w:val="16"/>
                <w:szCs w:val="16"/>
              </w:rPr>
              <w:t xml:space="preserve"> à la fin </w:t>
            </w:r>
            <w:r w:rsidR="00FA22F6" w:rsidRPr="001E6DFD">
              <w:rPr>
                <w:sz w:val="16"/>
                <w:szCs w:val="16"/>
              </w:rPr>
              <w:t>de 2014</w:t>
            </w:r>
            <w:r w:rsidRPr="001E6DFD">
              <w:rPr>
                <w:sz w:val="16"/>
                <w:szCs w:val="16"/>
              </w:rPr>
              <w:t>)</w:t>
            </w:r>
          </w:p>
        </w:tc>
        <w:tc>
          <w:tcPr>
            <w:tcW w:w="1067" w:type="pct"/>
            <w:shd w:val="clear" w:color="auto" w:fill="auto"/>
            <w:tcMar>
              <w:top w:w="110" w:type="dxa"/>
              <w:left w:w="58" w:type="dxa"/>
              <w:right w:w="58" w:type="dxa"/>
            </w:tcMar>
          </w:tcPr>
          <w:p w14:paraId="1BBEA22D" w14:textId="4EA166AD" w:rsidR="00BA5EA9" w:rsidRPr="001E6DFD" w:rsidRDefault="008726C8" w:rsidP="0097226C">
            <w:pPr>
              <w:ind w:right="34"/>
              <w:rPr>
                <w:sz w:val="16"/>
                <w:szCs w:val="16"/>
              </w:rPr>
            </w:pPr>
            <w:r w:rsidRPr="001E6DFD">
              <w:rPr>
                <w:sz w:val="16"/>
                <w:szCs w:val="16"/>
              </w:rPr>
              <w:t>Mise en œuvre au sein du système des noms de domaine des recommandations de l</w:t>
            </w:r>
            <w:r w:rsidR="00FA22F6" w:rsidRPr="001E6DFD">
              <w:rPr>
                <w:sz w:val="16"/>
                <w:szCs w:val="16"/>
              </w:rPr>
              <w:t>’</w:t>
            </w:r>
            <w:r w:rsidRPr="001E6DFD">
              <w:rPr>
                <w:sz w:val="16"/>
                <w:szCs w:val="16"/>
              </w:rPr>
              <w:t>OMPI en matière de principes et de procédures</w:t>
            </w:r>
          </w:p>
        </w:tc>
        <w:tc>
          <w:tcPr>
            <w:tcW w:w="961" w:type="pct"/>
            <w:shd w:val="clear" w:color="auto" w:fill="FFFFFF"/>
            <w:tcMar>
              <w:top w:w="110" w:type="dxa"/>
              <w:left w:w="58" w:type="dxa"/>
              <w:right w:w="58" w:type="dxa"/>
            </w:tcMar>
          </w:tcPr>
          <w:p w14:paraId="7B6049A6" w14:textId="78FA6B0D" w:rsidR="00BA5EA9" w:rsidRPr="001E6DFD" w:rsidRDefault="00C2239E" w:rsidP="004A4D21">
            <w:pPr>
              <w:rPr>
                <w:sz w:val="16"/>
                <w:szCs w:val="16"/>
              </w:rPr>
            </w:pPr>
            <w:r w:rsidRPr="001E6DFD">
              <w:rPr>
                <w:sz w:val="16"/>
                <w:szCs w:val="16"/>
                <w:lang w:bidi="th-TH"/>
              </w:rPr>
              <w:t>Principes UDRP, actualisation des principes UDRP compte tenu des nouvelles dispositions sur le verrouillage des noms de domaine par les bureaux d</w:t>
            </w:r>
            <w:r w:rsidR="00FA22F6" w:rsidRPr="001E6DFD">
              <w:rPr>
                <w:sz w:val="16"/>
                <w:szCs w:val="16"/>
                <w:lang w:bidi="th-TH"/>
              </w:rPr>
              <w:t>’</w:t>
            </w:r>
            <w:r w:rsidRPr="001E6DFD">
              <w:rPr>
                <w:sz w:val="16"/>
                <w:szCs w:val="16"/>
                <w:lang w:bidi="th-TH"/>
              </w:rPr>
              <w:t>enregistrement, procédure de l</w:t>
            </w:r>
            <w:r w:rsidR="00FA22F6" w:rsidRPr="001E6DFD">
              <w:rPr>
                <w:sz w:val="16"/>
                <w:szCs w:val="16"/>
                <w:lang w:bidi="th-TH"/>
              </w:rPr>
              <w:t>’</w:t>
            </w:r>
            <w:r w:rsidRPr="001E6DFD">
              <w:rPr>
                <w:sz w:val="16"/>
                <w:szCs w:val="16"/>
                <w:lang w:bidi="th-TH"/>
              </w:rPr>
              <w:t>ICANN de règlement des litiges antérieure à l</w:t>
            </w:r>
            <w:r w:rsidR="00FA22F6" w:rsidRPr="001E6DFD">
              <w:rPr>
                <w:sz w:val="16"/>
                <w:szCs w:val="16"/>
                <w:lang w:bidi="th-TH"/>
              </w:rPr>
              <w:t>’</w:t>
            </w:r>
            <w:r w:rsidRPr="001E6DFD">
              <w:rPr>
                <w:sz w:val="16"/>
                <w:szCs w:val="16"/>
                <w:lang w:bidi="th-TH"/>
              </w:rPr>
              <w:t>attribution, procédure de l</w:t>
            </w:r>
            <w:r w:rsidR="00FA22F6" w:rsidRPr="001E6DFD">
              <w:rPr>
                <w:sz w:val="16"/>
                <w:szCs w:val="16"/>
                <w:lang w:bidi="th-TH"/>
              </w:rPr>
              <w:t>’</w:t>
            </w:r>
            <w:r w:rsidRPr="001E6DFD">
              <w:rPr>
                <w:sz w:val="16"/>
                <w:szCs w:val="16"/>
                <w:lang w:bidi="th-TH"/>
              </w:rPr>
              <w:t>ICANN de règlement des litiges postérieure à l</w:t>
            </w:r>
            <w:r w:rsidR="00FA22F6" w:rsidRPr="001E6DFD">
              <w:rPr>
                <w:sz w:val="16"/>
                <w:szCs w:val="16"/>
                <w:lang w:bidi="th-TH"/>
              </w:rPr>
              <w:t>’</w:t>
            </w:r>
            <w:r w:rsidRPr="001E6DFD">
              <w:rPr>
                <w:sz w:val="16"/>
                <w:szCs w:val="16"/>
                <w:lang w:bidi="th-TH"/>
              </w:rPr>
              <w:t xml:space="preserve">attribution (cumul à la fin </w:t>
            </w:r>
            <w:r w:rsidR="00FA22F6" w:rsidRPr="001E6DFD">
              <w:rPr>
                <w:sz w:val="16"/>
                <w:szCs w:val="16"/>
                <w:lang w:bidi="th-TH"/>
              </w:rPr>
              <w:t>de 2016</w:t>
            </w:r>
            <w:r w:rsidRPr="001E6DFD">
              <w:rPr>
                <w:sz w:val="16"/>
                <w:szCs w:val="16"/>
                <w:lang w:bidi="th-TH"/>
              </w:rPr>
              <w:t xml:space="preserve">). </w:t>
            </w:r>
            <w:r w:rsidR="004D421A" w:rsidRPr="001E6DFD">
              <w:rPr>
                <w:sz w:val="16"/>
                <w:szCs w:val="16"/>
                <w:lang w:bidi="th-TH"/>
              </w:rPr>
              <w:t xml:space="preserve"> </w:t>
            </w:r>
            <w:r w:rsidRPr="001E6DFD">
              <w:rPr>
                <w:sz w:val="16"/>
                <w:szCs w:val="16"/>
                <w:lang w:bidi="th-TH"/>
              </w:rPr>
              <w:t>Pas de politiques ou de recommandations supplémentaires à mettre en œuvre.</w:t>
            </w:r>
          </w:p>
        </w:tc>
        <w:tc>
          <w:tcPr>
            <w:tcW w:w="603" w:type="pct"/>
            <w:shd w:val="clear" w:color="auto" w:fill="auto"/>
            <w:tcMar>
              <w:top w:w="110" w:type="dxa"/>
              <w:left w:w="58" w:type="dxa"/>
              <w:right w:w="58" w:type="dxa"/>
            </w:tcMar>
          </w:tcPr>
          <w:p w14:paraId="37F65313" w14:textId="77777777" w:rsidR="00BA5EA9" w:rsidRPr="001E6DFD" w:rsidRDefault="00A43B2F" w:rsidP="0097226C">
            <w:pPr>
              <w:keepLines/>
              <w:jc w:val="center"/>
              <w:rPr>
                <w:sz w:val="16"/>
                <w:szCs w:val="16"/>
              </w:rPr>
            </w:pPr>
            <w:r w:rsidRPr="001E6DFD">
              <w:rPr>
                <w:b/>
                <w:color w:val="00B050"/>
                <w:sz w:val="16"/>
                <w:szCs w:val="16"/>
              </w:rPr>
              <w:t>En bonne voie</w:t>
            </w:r>
          </w:p>
        </w:tc>
      </w:tr>
      <w:tr w:rsidR="00BA5EA9" w:rsidRPr="001E6DFD" w14:paraId="1910A412" w14:textId="77777777" w:rsidTr="0097226C">
        <w:trPr>
          <w:jc w:val="center"/>
        </w:trPr>
        <w:tc>
          <w:tcPr>
            <w:tcW w:w="936" w:type="pct"/>
            <w:shd w:val="clear" w:color="auto" w:fill="auto"/>
            <w:tcMar>
              <w:left w:w="58" w:type="dxa"/>
              <w:right w:w="58" w:type="dxa"/>
            </w:tcMar>
          </w:tcPr>
          <w:p w14:paraId="7D9258B5" w14:textId="77777777" w:rsidR="00BA5EA9" w:rsidRPr="001E6DFD" w:rsidRDefault="00BA5EA9" w:rsidP="0097226C">
            <w:pPr>
              <w:ind w:right="43"/>
              <w:rPr>
                <w:sz w:val="16"/>
                <w:szCs w:val="16"/>
              </w:rPr>
            </w:pPr>
          </w:p>
        </w:tc>
        <w:tc>
          <w:tcPr>
            <w:tcW w:w="1432" w:type="pct"/>
            <w:shd w:val="clear" w:color="auto" w:fill="auto"/>
            <w:tcMar>
              <w:left w:w="58" w:type="dxa"/>
              <w:right w:w="58" w:type="dxa"/>
            </w:tcMar>
          </w:tcPr>
          <w:p w14:paraId="72621F26" w14:textId="2360B273" w:rsidR="001F64B1" w:rsidRPr="001E6DFD" w:rsidRDefault="00E64532" w:rsidP="0097226C">
            <w:pPr>
              <w:rPr>
                <w:i/>
                <w:color w:val="002060"/>
                <w:sz w:val="16"/>
                <w:szCs w:val="16"/>
              </w:rPr>
            </w:pPr>
            <w:r w:rsidRPr="001E6DFD">
              <w:rPr>
                <w:i/>
                <w:color w:val="002060"/>
                <w:sz w:val="16"/>
                <w:szCs w:val="16"/>
              </w:rPr>
              <w:t>Niveau de référence actualisé à fin</w:t>
            </w:r>
            <w:r w:rsidR="00B4191E">
              <w:rPr>
                <w:i/>
                <w:color w:val="002060"/>
                <w:sz w:val="16"/>
                <w:szCs w:val="16"/>
              </w:rPr>
              <w:t> </w:t>
            </w:r>
            <w:r w:rsidRPr="001E6DFD">
              <w:rPr>
                <w:i/>
                <w:color w:val="002060"/>
                <w:sz w:val="16"/>
                <w:szCs w:val="16"/>
              </w:rPr>
              <w:t>2015</w:t>
            </w:r>
            <w:r w:rsidR="00FA22F6" w:rsidRPr="001E6DFD">
              <w:rPr>
                <w:i/>
                <w:color w:val="002060"/>
                <w:sz w:val="16"/>
                <w:szCs w:val="16"/>
              </w:rPr>
              <w:t> :</w:t>
            </w:r>
          </w:p>
          <w:p w14:paraId="3951D756" w14:textId="5A0B866B" w:rsidR="001F64B1" w:rsidRPr="001E6DFD" w:rsidRDefault="00BA5EA9" w:rsidP="0097226C">
            <w:pPr>
              <w:rPr>
                <w:color w:val="002060"/>
                <w:sz w:val="16"/>
                <w:szCs w:val="16"/>
                <w:lang w:bidi="th-TH"/>
              </w:rPr>
            </w:pPr>
            <w:r w:rsidRPr="001E6DFD">
              <w:rPr>
                <w:color w:val="002060"/>
                <w:sz w:val="16"/>
                <w:szCs w:val="16"/>
                <w:lang w:bidi="th-TH"/>
              </w:rPr>
              <w:t xml:space="preserve">71 </w:t>
            </w:r>
            <w:r w:rsidR="0063461B" w:rsidRPr="001E6DFD">
              <w:rPr>
                <w:color w:val="002060"/>
                <w:sz w:val="16"/>
                <w:szCs w:val="16"/>
                <w:lang w:bidi="th-TH"/>
              </w:rPr>
              <w:t xml:space="preserve">administrateurs de </w:t>
            </w:r>
            <w:proofErr w:type="spellStart"/>
            <w:r w:rsidR="0063461B" w:rsidRPr="001E6DFD">
              <w:rPr>
                <w:color w:val="002060"/>
                <w:sz w:val="16"/>
                <w:szCs w:val="16"/>
                <w:lang w:bidi="th-TH"/>
              </w:rPr>
              <w:t>ccTLD</w:t>
            </w:r>
            <w:proofErr w:type="spellEnd"/>
            <w:r w:rsidRPr="001E6DFD">
              <w:rPr>
                <w:color w:val="002060"/>
                <w:sz w:val="16"/>
                <w:szCs w:val="16"/>
                <w:lang w:bidi="th-TH"/>
              </w:rPr>
              <w:t xml:space="preserve"> (</w:t>
            </w:r>
            <w:r w:rsidR="0063461B" w:rsidRPr="001E6DFD">
              <w:rPr>
                <w:color w:val="002060"/>
                <w:sz w:val="16"/>
                <w:szCs w:val="16"/>
                <w:lang w:bidi="th-TH"/>
              </w:rPr>
              <w:t xml:space="preserve">total à la fin </w:t>
            </w:r>
            <w:r w:rsidR="00FA22F6" w:rsidRPr="001E6DFD">
              <w:rPr>
                <w:color w:val="002060"/>
                <w:sz w:val="16"/>
                <w:szCs w:val="16"/>
                <w:lang w:bidi="th-TH"/>
              </w:rPr>
              <w:t>de 2015</w:t>
            </w:r>
            <w:r w:rsidRPr="001E6DFD">
              <w:rPr>
                <w:color w:val="002060"/>
                <w:sz w:val="16"/>
                <w:szCs w:val="16"/>
                <w:lang w:bidi="th-TH"/>
              </w:rPr>
              <w:t>)</w:t>
            </w:r>
          </w:p>
          <w:p w14:paraId="13BED2B0" w14:textId="77777777" w:rsidR="001F64B1" w:rsidRPr="001E6DFD" w:rsidRDefault="001F64B1" w:rsidP="0097226C">
            <w:pPr>
              <w:ind w:right="273"/>
              <w:rPr>
                <w:i/>
                <w:sz w:val="16"/>
                <w:szCs w:val="16"/>
                <w:lang w:bidi="th-TH"/>
              </w:rPr>
            </w:pPr>
          </w:p>
          <w:p w14:paraId="14243A45" w14:textId="7E5B95B4" w:rsidR="00FA22F6" w:rsidRPr="001E6DFD" w:rsidRDefault="00E64532" w:rsidP="0097226C">
            <w:pPr>
              <w:ind w:right="273"/>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910EE3C" w14:textId="34CC13E6" w:rsidR="00BA5EA9" w:rsidRPr="001E6DFD" w:rsidRDefault="00374E71" w:rsidP="0097226C">
            <w:pPr>
              <w:rPr>
                <w:i/>
                <w:sz w:val="16"/>
                <w:szCs w:val="16"/>
              </w:rPr>
            </w:pPr>
            <w:r w:rsidRPr="001E6DFD">
              <w:rPr>
                <w:i/>
                <w:sz w:val="16"/>
                <w:szCs w:val="16"/>
              </w:rPr>
              <w:t xml:space="preserve">72 administrateurs de </w:t>
            </w:r>
            <w:proofErr w:type="spellStart"/>
            <w:r w:rsidRPr="001E6DFD">
              <w:rPr>
                <w:i/>
                <w:sz w:val="16"/>
                <w:szCs w:val="16"/>
              </w:rPr>
              <w:t>ccTLD</w:t>
            </w:r>
            <w:proofErr w:type="spellEnd"/>
            <w:r w:rsidRPr="001E6DFD">
              <w:rPr>
                <w:i/>
                <w:sz w:val="16"/>
                <w:szCs w:val="16"/>
              </w:rPr>
              <w:t xml:space="preserve"> (cumul à la fin de 2014)</w:t>
            </w:r>
          </w:p>
        </w:tc>
        <w:tc>
          <w:tcPr>
            <w:tcW w:w="1067" w:type="pct"/>
            <w:shd w:val="clear" w:color="auto" w:fill="auto"/>
            <w:tcMar>
              <w:top w:w="110" w:type="dxa"/>
              <w:left w:w="58" w:type="dxa"/>
              <w:right w:w="58" w:type="dxa"/>
            </w:tcMar>
          </w:tcPr>
          <w:p w14:paraId="79904D68" w14:textId="251B3A29" w:rsidR="00BA5EA9" w:rsidRPr="001E6DFD" w:rsidRDefault="0063461B" w:rsidP="0097226C">
            <w:pPr>
              <w:ind w:right="34"/>
              <w:rPr>
                <w:sz w:val="16"/>
                <w:szCs w:val="16"/>
              </w:rPr>
            </w:pPr>
            <w:r w:rsidRPr="001E6DFD">
              <w:rPr>
                <w:sz w:val="16"/>
                <w:szCs w:val="16"/>
              </w:rPr>
              <w:t>2 à 4</w:t>
            </w:r>
            <w:r w:rsidR="00B4191E">
              <w:rPr>
                <w:sz w:val="16"/>
                <w:szCs w:val="16"/>
              </w:rPr>
              <w:t> </w:t>
            </w:r>
            <w:r w:rsidRPr="001E6DFD">
              <w:rPr>
                <w:sz w:val="16"/>
                <w:szCs w:val="16"/>
              </w:rPr>
              <w:t xml:space="preserve">nouveaux </w:t>
            </w:r>
            <w:r w:rsidRPr="001E6DFD">
              <w:rPr>
                <w:sz w:val="16"/>
                <w:szCs w:val="16"/>
                <w:lang w:bidi="th-TH"/>
              </w:rPr>
              <w:t xml:space="preserve">administrateurs de </w:t>
            </w:r>
            <w:proofErr w:type="spellStart"/>
            <w:r w:rsidRPr="001E6DFD">
              <w:rPr>
                <w:sz w:val="16"/>
                <w:szCs w:val="16"/>
                <w:lang w:bidi="th-TH"/>
              </w:rPr>
              <w:t>ccTLD</w:t>
            </w:r>
            <w:proofErr w:type="spellEnd"/>
          </w:p>
        </w:tc>
        <w:tc>
          <w:tcPr>
            <w:tcW w:w="961" w:type="pct"/>
            <w:shd w:val="clear" w:color="auto" w:fill="FFFFFF"/>
            <w:tcMar>
              <w:top w:w="110" w:type="dxa"/>
              <w:left w:w="58" w:type="dxa"/>
              <w:right w:w="58" w:type="dxa"/>
            </w:tcMar>
          </w:tcPr>
          <w:p w14:paraId="01324AFF" w14:textId="77777777" w:rsidR="00FA22F6" w:rsidRPr="001E6DFD" w:rsidRDefault="00BA5EA9" w:rsidP="0097226C">
            <w:pPr>
              <w:keepLines/>
              <w:ind w:right="-104"/>
              <w:rPr>
                <w:sz w:val="16"/>
                <w:szCs w:val="16"/>
              </w:rPr>
            </w:pPr>
            <w:r w:rsidRPr="001E6DFD">
              <w:rPr>
                <w:sz w:val="16"/>
                <w:szCs w:val="16"/>
              </w:rPr>
              <w:t xml:space="preserve">4 </w:t>
            </w:r>
            <w:r w:rsidR="0063461B" w:rsidRPr="001E6DFD">
              <w:rPr>
                <w:sz w:val="16"/>
                <w:szCs w:val="16"/>
                <w:lang w:bidi="th-TH"/>
              </w:rPr>
              <w:t xml:space="preserve">administrateurs de </w:t>
            </w:r>
            <w:proofErr w:type="spellStart"/>
            <w:r w:rsidR="0063461B" w:rsidRPr="001E6DFD">
              <w:rPr>
                <w:sz w:val="16"/>
                <w:szCs w:val="16"/>
                <w:lang w:bidi="th-TH"/>
              </w:rPr>
              <w:t>ccTLD</w:t>
            </w:r>
            <w:proofErr w:type="spellEnd"/>
            <w:r w:rsidR="0063461B" w:rsidRPr="001E6DFD">
              <w:rPr>
                <w:sz w:val="16"/>
                <w:szCs w:val="16"/>
                <w:lang w:bidi="th-TH"/>
              </w:rPr>
              <w:t xml:space="preserve"> supplémentaires </w:t>
            </w:r>
            <w:r w:rsidRPr="001E6DFD">
              <w:rPr>
                <w:sz w:val="16"/>
                <w:szCs w:val="16"/>
              </w:rPr>
              <w:t>(.PM, .TF, .WF, .YT)</w:t>
            </w:r>
          </w:p>
          <w:p w14:paraId="223C9B42" w14:textId="59C2E146" w:rsidR="001F64B1" w:rsidRPr="001E6DFD" w:rsidRDefault="00BA5EA9" w:rsidP="0097226C">
            <w:pPr>
              <w:keepLines/>
              <w:rPr>
                <w:sz w:val="16"/>
                <w:szCs w:val="16"/>
              </w:rPr>
            </w:pPr>
            <w:r w:rsidRPr="001E6DFD">
              <w:rPr>
                <w:sz w:val="16"/>
                <w:szCs w:val="16"/>
              </w:rPr>
              <w:t xml:space="preserve">(74 </w:t>
            </w:r>
            <w:r w:rsidR="007655E7" w:rsidRPr="001E6DFD">
              <w:rPr>
                <w:sz w:val="16"/>
                <w:szCs w:val="16"/>
              </w:rPr>
              <w:t xml:space="preserve">au total à la fin </w:t>
            </w:r>
            <w:r w:rsidR="00FA22F6" w:rsidRPr="001E6DFD">
              <w:rPr>
                <w:sz w:val="16"/>
                <w:szCs w:val="16"/>
              </w:rPr>
              <w:t>de 2016</w:t>
            </w:r>
            <w:r w:rsidR="007655E7" w:rsidRPr="001E6DFD">
              <w:rPr>
                <w:sz w:val="16"/>
                <w:szCs w:val="16"/>
              </w:rPr>
              <w:t xml:space="preserve"> après un retrait</w:t>
            </w:r>
            <w:r w:rsidRPr="001E6DFD">
              <w:rPr>
                <w:sz w:val="16"/>
                <w:szCs w:val="16"/>
              </w:rPr>
              <w:t>)</w:t>
            </w:r>
          </w:p>
          <w:p w14:paraId="0A1D070D" w14:textId="77777777" w:rsidR="001F64B1" w:rsidRPr="001E6DFD" w:rsidRDefault="001F64B1" w:rsidP="0097226C">
            <w:pPr>
              <w:keepLines/>
              <w:rPr>
                <w:sz w:val="16"/>
                <w:szCs w:val="16"/>
              </w:rPr>
            </w:pPr>
          </w:p>
          <w:p w14:paraId="16A4298F" w14:textId="39E9CB42" w:rsidR="00BA5EA9" w:rsidRPr="001E6DFD" w:rsidRDefault="0075276A" w:rsidP="0097226C">
            <w:pPr>
              <w:keepLines/>
              <w:rPr>
                <w:sz w:val="16"/>
                <w:szCs w:val="16"/>
              </w:rPr>
            </w:pPr>
            <w:r w:rsidRPr="001E6DFD">
              <w:rPr>
                <w:sz w:val="16"/>
                <w:szCs w:val="16"/>
              </w:rPr>
              <w:t xml:space="preserve">4 politiques en matière de </w:t>
            </w:r>
            <w:proofErr w:type="spellStart"/>
            <w:r w:rsidR="00BA5EA9" w:rsidRPr="001E6DFD">
              <w:rPr>
                <w:sz w:val="16"/>
                <w:szCs w:val="16"/>
              </w:rPr>
              <w:t>ccTLD</w:t>
            </w:r>
            <w:proofErr w:type="spellEnd"/>
            <w:r w:rsidR="00BA5EA9" w:rsidRPr="001E6DFD">
              <w:rPr>
                <w:sz w:val="16"/>
                <w:szCs w:val="16"/>
              </w:rPr>
              <w:t xml:space="preserve"> </w:t>
            </w:r>
            <w:r w:rsidR="0065135E" w:rsidRPr="001E6DFD">
              <w:rPr>
                <w:sz w:val="16"/>
                <w:szCs w:val="16"/>
              </w:rPr>
              <w:t>financées</w:t>
            </w:r>
            <w:r w:rsidR="00664ABA" w:rsidRPr="001E6DFD">
              <w:rPr>
                <w:sz w:val="16"/>
                <w:szCs w:val="16"/>
              </w:rPr>
              <w:t xml:space="preserve"> </w:t>
            </w:r>
            <w:r w:rsidR="00BA5EA9" w:rsidRPr="001E6DFD">
              <w:rPr>
                <w:sz w:val="16"/>
                <w:szCs w:val="16"/>
              </w:rPr>
              <w:t xml:space="preserve">(.BH, .FR, .NI </w:t>
            </w:r>
            <w:r w:rsidR="0063461B" w:rsidRPr="001E6DFD">
              <w:rPr>
                <w:sz w:val="16"/>
                <w:szCs w:val="16"/>
              </w:rPr>
              <w:t>et</w:t>
            </w:r>
            <w:r w:rsidR="00BA5EA9" w:rsidRPr="001E6DFD">
              <w:rPr>
                <w:sz w:val="16"/>
                <w:szCs w:val="16"/>
              </w:rPr>
              <w:t xml:space="preserve"> .RE)</w:t>
            </w:r>
          </w:p>
        </w:tc>
        <w:tc>
          <w:tcPr>
            <w:tcW w:w="603" w:type="pct"/>
            <w:shd w:val="clear" w:color="auto" w:fill="auto"/>
            <w:tcMar>
              <w:top w:w="110" w:type="dxa"/>
              <w:left w:w="58" w:type="dxa"/>
              <w:right w:w="58" w:type="dxa"/>
            </w:tcMar>
          </w:tcPr>
          <w:p w14:paraId="32DB1064" w14:textId="77777777" w:rsidR="00BA5EA9" w:rsidRPr="001E6DFD" w:rsidRDefault="00A43B2F" w:rsidP="0097226C">
            <w:pPr>
              <w:keepLines/>
              <w:jc w:val="center"/>
              <w:rPr>
                <w:sz w:val="16"/>
                <w:szCs w:val="16"/>
              </w:rPr>
            </w:pPr>
            <w:r w:rsidRPr="001E6DFD">
              <w:rPr>
                <w:b/>
                <w:color w:val="00B050"/>
                <w:sz w:val="16"/>
                <w:szCs w:val="16"/>
              </w:rPr>
              <w:t>En bonne voie</w:t>
            </w:r>
          </w:p>
        </w:tc>
      </w:tr>
    </w:tbl>
    <w:p w14:paraId="2E7314EA" w14:textId="77777777" w:rsidR="001F64B1" w:rsidRPr="001E6DFD" w:rsidRDefault="001F64B1" w:rsidP="0097226C">
      <w:pPr>
        <w:tabs>
          <w:tab w:val="left" w:pos="6011"/>
        </w:tabs>
        <w:rPr>
          <w:sz w:val="20"/>
        </w:rPr>
      </w:pPr>
    </w:p>
    <w:p w14:paraId="0FF62EB3" w14:textId="77777777" w:rsidR="00BA5EA9" w:rsidRPr="001E6DFD" w:rsidRDefault="00BA5EA9" w:rsidP="0097226C">
      <w:pPr>
        <w:rPr>
          <w:sz w:val="20"/>
        </w:rPr>
      </w:pPr>
    </w:p>
    <w:tbl>
      <w:tblPr>
        <w:tblStyle w:val="TableGrid"/>
        <w:tblW w:w="49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BA5EA9" w:rsidRPr="001E6DFD" w14:paraId="730FB678" w14:textId="77777777" w:rsidTr="002307FD">
        <w:trPr>
          <w:trHeight w:val="423"/>
          <w:jc w:val="center"/>
        </w:trPr>
        <w:tc>
          <w:tcPr>
            <w:tcW w:w="9193" w:type="dxa"/>
            <w:shd w:val="clear" w:color="auto" w:fill="C6D9F1" w:themeFill="text2" w:themeFillTint="33"/>
            <w:vAlign w:val="center"/>
          </w:tcPr>
          <w:p w14:paraId="726A4CC3" w14:textId="5F056170"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7</w:t>
            </w:r>
          </w:p>
        </w:tc>
      </w:tr>
    </w:tbl>
    <w:p w14:paraId="3CD80D82" w14:textId="77777777" w:rsidR="001F64B1" w:rsidRPr="001E6DFD" w:rsidRDefault="001F64B1" w:rsidP="0097226C">
      <w:pPr>
        <w:rPr>
          <w:sz w:val="20"/>
        </w:rPr>
      </w:pPr>
    </w:p>
    <w:p w14:paraId="478B0E11" w14:textId="77777777" w:rsidR="001F64B1" w:rsidRPr="001E6DFD" w:rsidRDefault="00374E71" w:rsidP="0097226C">
      <w:pPr>
        <w:keepNext/>
        <w:keepLines/>
        <w:jc w:val="center"/>
        <w:rPr>
          <w:sz w:val="18"/>
          <w:szCs w:val="18"/>
        </w:rPr>
      </w:pPr>
      <w:r w:rsidRPr="001E6DFD">
        <w:rPr>
          <w:sz w:val="18"/>
          <w:szCs w:val="18"/>
        </w:rPr>
        <w:t>Budget et dépenses effectives (par résultat)</w:t>
      </w:r>
    </w:p>
    <w:p w14:paraId="3CA773D9" w14:textId="77777777" w:rsidR="001F64B1" w:rsidRPr="001E6DFD" w:rsidRDefault="00374E71" w:rsidP="0097226C">
      <w:pPr>
        <w:keepNext/>
        <w:keepLines/>
        <w:jc w:val="center"/>
        <w:rPr>
          <w:i/>
          <w:iCs/>
          <w:sz w:val="16"/>
          <w:szCs w:val="16"/>
        </w:rPr>
      </w:pPr>
      <w:r w:rsidRPr="001E6DFD">
        <w:rPr>
          <w:i/>
          <w:iCs/>
          <w:sz w:val="16"/>
          <w:szCs w:val="16"/>
        </w:rPr>
        <w:t>(en milliers de francs suisses)</w:t>
      </w:r>
    </w:p>
    <w:p w14:paraId="7F142538"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439"/>
        <w:gridCol w:w="4243"/>
        <w:gridCol w:w="1577"/>
        <w:gridCol w:w="1577"/>
        <w:gridCol w:w="1435"/>
      </w:tblGrid>
      <w:tr w:rsidR="00BA5EA9" w:rsidRPr="001E6DFD" w14:paraId="632F93CC" w14:textId="77777777" w:rsidTr="0097226C">
        <w:trPr>
          <w:jc w:val="center"/>
        </w:trPr>
        <w:tc>
          <w:tcPr>
            <w:tcW w:w="4682" w:type="dxa"/>
            <w:gridSpan w:val="2"/>
            <w:tcBorders>
              <w:top w:val="nil"/>
              <w:left w:val="nil"/>
              <w:bottom w:val="nil"/>
              <w:right w:val="nil"/>
            </w:tcBorders>
            <w:shd w:val="clear" w:color="000000" w:fill="C5D9F1"/>
            <w:noWrap/>
            <w:vAlign w:val="center"/>
            <w:hideMark/>
          </w:tcPr>
          <w:p w14:paraId="42E4C9EF" w14:textId="77777777" w:rsidR="00BA5EA9" w:rsidRPr="001E6DFD" w:rsidRDefault="00374E71"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80" w:type="dxa"/>
            <w:tcBorders>
              <w:top w:val="nil"/>
              <w:left w:val="nil"/>
              <w:bottom w:val="nil"/>
              <w:right w:val="nil"/>
            </w:tcBorders>
            <w:shd w:val="clear" w:color="000000" w:fill="C5D9F1"/>
            <w:vAlign w:val="center"/>
            <w:hideMark/>
          </w:tcPr>
          <w:p w14:paraId="5E23A193" w14:textId="515EE654" w:rsidR="00BA5EA9" w:rsidRPr="001E6DFD" w:rsidRDefault="00B649F5"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 xml:space="preserve">2017 approuvé </w:t>
            </w:r>
          </w:p>
        </w:tc>
        <w:tc>
          <w:tcPr>
            <w:tcW w:w="1180" w:type="dxa"/>
            <w:tcBorders>
              <w:top w:val="nil"/>
              <w:left w:val="nil"/>
              <w:bottom w:val="nil"/>
              <w:right w:val="nil"/>
            </w:tcBorders>
            <w:shd w:val="clear" w:color="000000" w:fill="C5D9F1"/>
            <w:vAlign w:val="center"/>
            <w:hideMark/>
          </w:tcPr>
          <w:p w14:paraId="17FA76BF" w14:textId="4ACF521F"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80" w:type="dxa"/>
            <w:tcBorders>
              <w:top w:val="nil"/>
              <w:left w:val="nil"/>
              <w:bottom w:val="nil"/>
              <w:right w:val="nil"/>
            </w:tcBorders>
            <w:shd w:val="clear" w:color="000000" w:fill="C5D9F1"/>
            <w:vAlign w:val="center"/>
            <w:hideMark/>
          </w:tcPr>
          <w:p w14:paraId="7EAA37E7" w14:textId="0512AB0D"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263BE14F" w14:textId="77777777" w:rsidTr="0097226C">
        <w:trPr>
          <w:jc w:val="center"/>
        </w:trPr>
        <w:tc>
          <w:tcPr>
            <w:tcW w:w="439" w:type="dxa"/>
            <w:tcBorders>
              <w:top w:val="nil"/>
              <w:left w:val="nil"/>
              <w:bottom w:val="nil"/>
              <w:right w:val="nil"/>
            </w:tcBorders>
            <w:shd w:val="clear" w:color="auto" w:fill="auto"/>
            <w:noWrap/>
            <w:vAlign w:val="center"/>
            <w:hideMark/>
          </w:tcPr>
          <w:p w14:paraId="3345F51E" w14:textId="77777777" w:rsidR="00BA5EA9" w:rsidRPr="001E6DFD" w:rsidRDefault="00BA5EA9" w:rsidP="0097226C">
            <w:pPr>
              <w:rPr>
                <w:sz w:val="16"/>
                <w:szCs w:val="16"/>
              </w:rPr>
            </w:pPr>
            <w:r w:rsidRPr="001E6DFD">
              <w:rPr>
                <w:sz w:val="16"/>
                <w:szCs w:val="16"/>
              </w:rPr>
              <w:t>II.8</w:t>
            </w:r>
          </w:p>
        </w:tc>
        <w:tc>
          <w:tcPr>
            <w:tcW w:w="4243" w:type="dxa"/>
            <w:tcBorders>
              <w:top w:val="nil"/>
              <w:left w:val="nil"/>
              <w:bottom w:val="nil"/>
              <w:right w:val="nil"/>
            </w:tcBorders>
            <w:shd w:val="clear" w:color="auto" w:fill="auto"/>
            <w:vAlign w:val="center"/>
            <w:hideMark/>
          </w:tcPr>
          <w:p w14:paraId="1DD94AFB" w14:textId="1F3D3339" w:rsidR="00BA5EA9" w:rsidRPr="001E6DFD" w:rsidRDefault="00374E71" w:rsidP="0097226C">
            <w:pPr>
              <w:rPr>
                <w:sz w:val="16"/>
                <w:szCs w:val="16"/>
              </w:rPr>
            </w:pPr>
            <w:r w:rsidRPr="001E6DFD">
              <w:rPr>
                <w:sz w:val="16"/>
                <w:szCs w:val="16"/>
              </w:rPr>
              <w:t>De plus en plus de litiges internationaux ou nationaux de propriété intellectuelle sont évités ou réglés par la médiation, l</w:t>
            </w:r>
            <w:r w:rsidR="00FA22F6" w:rsidRPr="001E6DFD">
              <w:rPr>
                <w:sz w:val="16"/>
                <w:szCs w:val="16"/>
              </w:rPr>
              <w:t>’</w:t>
            </w:r>
            <w:r w:rsidRPr="001E6DFD">
              <w:rPr>
                <w:sz w:val="16"/>
                <w:szCs w:val="16"/>
              </w:rPr>
              <w:t>arbitrage et d</w:t>
            </w:r>
            <w:r w:rsidR="00FA22F6" w:rsidRPr="001E6DFD">
              <w:rPr>
                <w:sz w:val="16"/>
                <w:szCs w:val="16"/>
              </w:rPr>
              <w:t>’</w:t>
            </w:r>
            <w:r w:rsidRPr="001E6DFD">
              <w:rPr>
                <w:sz w:val="16"/>
                <w:szCs w:val="16"/>
              </w:rPr>
              <w:t>autres modes extrajudiciaires de règlement des litiges de l</w:t>
            </w:r>
            <w:r w:rsidR="00FA22F6" w:rsidRPr="001E6DFD">
              <w:rPr>
                <w:sz w:val="16"/>
                <w:szCs w:val="16"/>
              </w:rPr>
              <w:t>’</w:t>
            </w:r>
            <w:r w:rsidRPr="001E6DFD">
              <w:rPr>
                <w:sz w:val="16"/>
                <w:szCs w:val="16"/>
              </w:rPr>
              <w:t>OMPI</w:t>
            </w:r>
          </w:p>
        </w:tc>
        <w:tc>
          <w:tcPr>
            <w:tcW w:w="1180" w:type="dxa"/>
            <w:tcBorders>
              <w:top w:val="nil"/>
              <w:left w:val="nil"/>
              <w:bottom w:val="nil"/>
              <w:right w:val="nil"/>
            </w:tcBorders>
            <w:shd w:val="clear" w:color="auto" w:fill="auto"/>
            <w:noWrap/>
            <w:vAlign w:val="center"/>
            <w:hideMark/>
          </w:tcPr>
          <w:p w14:paraId="341E32CF" w14:textId="77777777" w:rsidR="00BA5EA9" w:rsidRPr="001E6DFD" w:rsidRDefault="00282CF5" w:rsidP="0097226C">
            <w:pPr>
              <w:jc w:val="center"/>
              <w:rPr>
                <w:sz w:val="16"/>
                <w:szCs w:val="16"/>
              </w:rPr>
            </w:pPr>
            <w:r w:rsidRPr="001E6DFD">
              <w:rPr>
                <w:sz w:val="16"/>
                <w:szCs w:val="16"/>
              </w:rPr>
              <w:t>4 459</w:t>
            </w:r>
          </w:p>
        </w:tc>
        <w:tc>
          <w:tcPr>
            <w:tcW w:w="1180" w:type="dxa"/>
            <w:tcBorders>
              <w:top w:val="nil"/>
              <w:left w:val="nil"/>
              <w:bottom w:val="nil"/>
              <w:right w:val="nil"/>
            </w:tcBorders>
            <w:shd w:val="clear" w:color="auto" w:fill="auto"/>
            <w:noWrap/>
            <w:vAlign w:val="center"/>
            <w:hideMark/>
          </w:tcPr>
          <w:p w14:paraId="05900ED0" w14:textId="77777777" w:rsidR="00BA5EA9" w:rsidRPr="001E6DFD" w:rsidRDefault="00282CF5" w:rsidP="0097226C">
            <w:pPr>
              <w:jc w:val="center"/>
              <w:rPr>
                <w:sz w:val="16"/>
                <w:szCs w:val="16"/>
              </w:rPr>
            </w:pPr>
            <w:r w:rsidRPr="001E6DFD">
              <w:rPr>
                <w:sz w:val="16"/>
                <w:szCs w:val="16"/>
              </w:rPr>
              <w:t>4 139</w:t>
            </w:r>
          </w:p>
        </w:tc>
        <w:tc>
          <w:tcPr>
            <w:tcW w:w="1180" w:type="dxa"/>
            <w:tcBorders>
              <w:top w:val="nil"/>
              <w:left w:val="nil"/>
              <w:bottom w:val="nil"/>
              <w:right w:val="nil"/>
            </w:tcBorders>
            <w:shd w:val="clear" w:color="auto" w:fill="auto"/>
            <w:noWrap/>
            <w:vAlign w:val="center"/>
            <w:hideMark/>
          </w:tcPr>
          <w:p w14:paraId="0294EC5A" w14:textId="77777777" w:rsidR="00BA5EA9" w:rsidRPr="001E6DFD" w:rsidRDefault="00282CF5" w:rsidP="0097226C">
            <w:pPr>
              <w:jc w:val="center"/>
              <w:rPr>
                <w:sz w:val="16"/>
                <w:szCs w:val="16"/>
              </w:rPr>
            </w:pPr>
            <w:r w:rsidRPr="001E6DFD">
              <w:rPr>
                <w:sz w:val="16"/>
                <w:szCs w:val="16"/>
              </w:rPr>
              <w:t>1 908</w:t>
            </w:r>
          </w:p>
        </w:tc>
      </w:tr>
      <w:tr w:rsidR="00BA5EA9" w:rsidRPr="001E6DFD" w14:paraId="168E486E" w14:textId="77777777" w:rsidTr="0097226C">
        <w:trPr>
          <w:jc w:val="center"/>
        </w:trPr>
        <w:tc>
          <w:tcPr>
            <w:tcW w:w="439" w:type="dxa"/>
            <w:tcBorders>
              <w:top w:val="nil"/>
              <w:left w:val="nil"/>
              <w:bottom w:val="nil"/>
              <w:right w:val="nil"/>
            </w:tcBorders>
            <w:shd w:val="clear" w:color="auto" w:fill="auto"/>
            <w:noWrap/>
            <w:vAlign w:val="center"/>
            <w:hideMark/>
          </w:tcPr>
          <w:p w14:paraId="623F5869" w14:textId="77777777" w:rsidR="00BA5EA9" w:rsidRPr="001E6DFD" w:rsidRDefault="00BA5EA9" w:rsidP="0097226C">
            <w:pPr>
              <w:rPr>
                <w:sz w:val="16"/>
                <w:szCs w:val="16"/>
              </w:rPr>
            </w:pPr>
            <w:r w:rsidRPr="001E6DFD">
              <w:rPr>
                <w:sz w:val="16"/>
                <w:szCs w:val="16"/>
              </w:rPr>
              <w:t>II.9</w:t>
            </w:r>
          </w:p>
        </w:tc>
        <w:tc>
          <w:tcPr>
            <w:tcW w:w="4243" w:type="dxa"/>
            <w:tcBorders>
              <w:top w:val="nil"/>
              <w:left w:val="nil"/>
              <w:bottom w:val="nil"/>
              <w:right w:val="nil"/>
            </w:tcBorders>
            <w:shd w:val="clear" w:color="auto" w:fill="auto"/>
            <w:vAlign w:val="center"/>
            <w:hideMark/>
          </w:tcPr>
          <w:p w14:paraId="332F9447" w14:textId="77777777" w:rsidR="00BA5EA9" w:rsidRPr="001E6DFD" w:rsidRDefault="00374E71" w:rsidP="0097226C">
            <w:pPr>
              <w:rPr>
                <w:sz w:val="16"/>
                <w:szCs w:val="16"/>
              </w:rPr>
            </w:pPr>
            <w:r w:rsidRPr="001E6DFD">
              <w:rPr>
                <w:sz w:val="16"/>
                <w:szCs w:val="16"/>
              </w:rPr>
              <w:t xml:space="preserve">Protection efficace de la propriété intellectuelle dans les </w:t>
            </w:r>
            <w:proofErr w:type="spellStart"/>
            <w:r w:rsidRPr="001E6DFD">
              <w:rPr>
                <w:sz w:val="16"/>
                <w:szCs w:val="16"/>
              </w:rPr>
              <w:t>gTLD</w:t>
            </w:r>
            <w:proofErr w:type="spellEnd"/>
            <w:r w:rsidRPr="001E6DFD">
              <w:rPr>
                <w:sz w:val="16"/>
                <w:szCs w:val="16"/>
              </w:rPr>
              <w:t xml:space="preserve"> et les </w:t>
            </w:r>
            <w:proofErr w:type="spellStart"/>
            <w:r w:rsidRPr="001E6DFD">
              <w:rPr>
                <w:sz w:val="16"/>
                <w:szCs w:val="16"/>
              </w:rPr>
              <w:t>ccTLD</w:t>
            </w:r>
            <w:proofErr w:type="spellEnd"/>
          </w:p>
        </w:tc>
        <w:tc>
          <w:tcPr>
            <w:tcW w:w="1180" w:type="dxa"/>
            <w:tcBorders>
              <w:top w:val="nil"/>
              <w:left w:val="nil"/>
              <w:bottom w:val="nil"/>
              <w:right w:val="nil"/>
            </w:tcBorders>
            <w:shd w:val="clear" w:color="auto" w:fill="auto"/>
            <w:noWrap/>
            <w:vAlign w:val="center"/>
            <w:hideMark/>
          </w:tcPr>
          <w:p w14:paraId="4358435B" w14:textId="77777777" w:rsidR="00BA5EA9" w:rsidRPr="001E6DFD" w:rsidRDefault="00282CF5" w:rsidP="0097226C">
            <w:pPr>
              <w:jc w:val="center"/>
              <w:rPr>
                <w:sz w:val="16"/>
                <w:szCs w:val="16"/>
              </w:rPr>
            </w:pPr>
            <w:r w:rsidRPr="001E6DFD">
              <w:rPr>
                <w:sz w:val="16"/>
                <w:szCs w:val="16"/>
              </w:rPr>
              <w:t>6 899</w:t>
            </w:r>
          </w:p>
        </w:tc>
        <w:tc>
          <w:tcPr>
            <w:tcW w:w="1180" w:type="dxa"/>
            <w:tcBorders>
              <w:top w:val="nil"/>
              <w:left w:val="nil"/>
              <w:bottom w:val="nil"/>
              <w:right w:val="nil"/>
            </w:tcBorders>
            <w:shd w:val="clear" w:color="auto" w:fill="auto"/>
            <w:noWrap/>
            <w:vAlign w:val="center"/>
            <w:hideMark/>
          </w:tcPr>
          <w:p w14:paraId="2C1CD28D" w14:textId="77777777" w:rsidR="00BA5EA9" w:rsidRPr="001E6DFD" w:rsidRDefault="00282CF5" w:rsidP="0097226C">
            <w:pPr>
              <w:jc w:val="center"/>
              <w:rPr>
                <w:sz w:val="16"/>
                <w:szCs w:val="16"/>
              </w:rPr>
            </w:pPr>
            <w:r w:rsidRPr="001E6DFD">
              <w:rPr>
                <w:sz w:val="16"/>
                <w:szCs w:val="16"/>
              </w:rPr>
              <w:t>7 199</w:t>
            </w:r>
          </w:p>
        </w:tc>
        <w:tc>
          <w:tcPr>
            <w:tcW w:w="1180" w:type="dxa"/>
            <w:tcBorders>
              <w:top w:val="nil"/>
              <w:left w:val="nil"/>
              <w:bottom w:val="nil"/>
              <w:right w:val="nil"/>
            </w:tcBorders>
            <w:shd w:val="clear" w:color="auto" w:fill="auto"/>
            <w:noWrap/>
            <w:vAlign w:val="center"/>
            <w:hideMark/>
          </w:tcPr>
          <w:p w14:paraId="68C6328D" w14:textId="77777777" w:rsidR="00BA5EA9" w:rsidRPr="001E6DFD" w:rsidRDefault="00282CF5" w:rsidP="0097226C">
            <w:pPr>
              <w:jc w:val="center"/>
              <w:rPr>
                <w:sz w:val="16"/>
                <w:szCs w:val="16"/>
              </w:rPr>
            </w:pPr>
            <w:r w:rsidRPr="001E6DFD">
              <w:rPr>
                <w:sz w:val="16"/>
                <w:szCs w:val="16"/>
              </w:rPr>
              <w:t>3 169</w:t>
            </w:r>
          </w:p>
        </w:tc>
      </w:tr>
      <w:tr w:rsidR="00BA5EA9" w:rsidRPr="001E6DFD" w14:paraId="50B03FEA" w14:textId="77777777" w:rsidTr="0097226C">
        <w:trPr>
          <w:jc w:val="center"/>
        </w:trPr>
        <w:tc>
          <w:tcPr>
            <w:tcW w:w="439" w:type="dxa"/>
            <w:tcBorders>
              <w:top w:val="nil"/>
              <w:left w:val="nil"/>
              <w:bottom w:val="nil"/>
              <w:right w:val="nil"/>
            </w:tcBorders>
            <w:shd w:val="clear" w:color="000000" w:fill="C5D9F1"/>
            <w:noWrap/>
            <w:vAlign w:val="bottom"/>
            <w:hideMark/>
          </w:tcPr>
          <w:p w14:paraId="6B7D6B71" w14:textId="1273E47F" w:rsidR="00BA5EA9" w:rsidRPr="001E6DFD" w:rsidRDefault="00BA5EA9" w:rsidP="0097226C">
            <w:pPr>
              <w:rPr>
                <w:sz w:val="16"/>
                <w:szCs w:val="16"/>
              </w:rPr>
            </w:pPr>
          </w:p>
        </w:tc>
        <w:tc>
          <w:tcPr>
            <w:tcW w:w="4243" w:type="dxa"/>
            <w:tcBorders>
              <w:top w:val="nil"/>
              <w:left w:val="nil"/>
              <w:bottom w:val="nil"/>
              <w:right w:val="nil"/>
            </w:tcBorders>
            <w:shd w:val="clear" w:color="000000" w:fill="C5D9F1"/>
            <w:noWrap/>
            <w:vAlign w:val="bottom"/>
            <w:hideMark/>
          </w:tcPr>
          <w:p w14:paraId="458FB2D4" w14:textId="77777777" w:rsidR="00BA5EA9" w:rsidRPr="001E6DFD" w:rsidRDefault="001D4859" w:rsidP="0097226C">
            <w:pPr>
              <w:jc w:val="right"/>
              <w:rPr>
                <w:b/>
                <w:bCs/>
                <w:sz w:val="16"/>
                <w:szCs w:val="16"/>
              </w:rPr>
            </w:pPr>
            <w:r w:rsidRPr="001E6DFD">
              <w:rPr>
                <w:b/>
                <w:bCs/>
                <w:sz w:val="16"/>
                <w:szCs w:val="16"/>
              </w:rPr>
              <w:t>Total</w:t>
            </w:r>
          </w:p>
        </w:tc>
        <w:tc>
          <w:tcPr>
            <w:tcW w:w="1180" w:type="dxa"/>
            <w:tcBorders>
              <w:top w:val="nil"/>
              <w:left w:val="nil"/>
              <w:bottom w:val="nil"/>
              <w:right w:val="nil"/>
            </w:tcBorders>
            <w:shd w:val="clear" w:color="000000" w:fill="C5D9F1"/>
            <w:noWrap/>
            <w:vAlign w:val="center"/>
            <w:hideMark/>
          </w:tcPr>
          <w:p w14:paraId="34CC54B2" w14:textId="77777777" w:rsidR="00BA5EA9" w:rsidRPr="001E6DFD" w:rsidRDefault="00282CF5" w:rsidP="0097226C">
            <w:pPr>
              <w:jc w:val="center"/>
              <w:rPr>
                <w:sz w:val="16"/>
                <w:szCs w:val="16"/>
              </w:rPr>
            </w:pPr>
            <w:r w:rsidRPr="001E6DFD">
              <w:rPr>
                <w:sz w:val="16"/>
                <w:szCs w:val="16"/>
              </w:rPr>
              <w:t>11 358</w:t>
            </w:r>
          </w:p>
        </w:tc>
        <w:tc>
          <w:tcPr>
            <w:tcW w:w="1180" w:type="dxa"/>
            <w:tcBorders>
              <w:top w:val="nil"/>
              <w:left w:val="nil"/>
              <w:bottom w:val="nil"/>
              <w:right w:val="nil"/>
            </w:tcBorders>
            <w:shd w:val="clear" w:color="000000" w:fill="C5D9F1"/>
            <w:noWrap/>
            <w:vAlign w:val="center"/>
            <w:hideMark/>
          </w:tcPr>
          <w:p w14:paraId="1DD9F6CD" w14:textId="77777777" w:rsidR="00BA5EA9" w:rsidRPr="001E6DFD" w:rsidRDefault="00282CF5" w:rsidP="0097226C">
            <w:pPr>
              <w:jc w:val="center"/>
              <w:rPr>
                <w:sz w:val="16"/>
                <w:szCs w:val="16"/>
              </w:rPr>
            </w:pPr>
            <w:r w:rsidRPr="001E6DFD">
              <w:rPr>
                <w:sz w:val="16"/>
                <w:szCs w:val="16"/>
              </w:rPr>
              <w:t>11 338</w:t>
            </w:r>
          </w:p>
        </w:tc>
        <w:tc>
          <w:tcPr>
            <w:tcW w:w="1180" w:type="dxa"/>
            <w:tcBorders>
              <w:top w:val="nil"/>
              <w:left w:val="nil"/>
              <w:bottom w:val="nil"/>
              <w:right w:val="nil"/>
            </w:tcBorders>
            <w:shd w:val="clear" w:color="000000" w:fill="C5D9F1"/>
            <w:noWrap/>
            <w:vAlign w:val="center"/>
            <w:hideMark/>
          </w:tcPr>
          <w:p w14:paraId="4DDDCA8C" w14:textId="77777777" w:rsidR="00BA5EA9" w:rsidRPr="001E6DFD" w:rsidRDefault="00282CF5" w:rsidP="0097226C">
            <w:pPr>
              <w:jc w:val="center"/>
              <w:rPr>
                <w:sz w:val="16"/>
                <w:szCs w:val="16"/>
              </w:rPr>
            </w:pPr>
            <w:r w:rsidRPr="001E6DFD">
              <w:rPr>
                <w:sz w:val="16"/>
                <w:szCs w:val="16"/>
              </w:rPr>
              <w:t>5 077</w:t>
            </w:r>
          </w:p>
        </w:tc>
      </w:tr>
      <w:tr w:rsidR="0063461B" w:rsidRPr="001E6DFD" w14:paraId="12F386F9" w14:textId="77777777" w:rsidTr="0097226C">
        <w:trPr>
          <w:jc w:val="center"/>
        </w:trPr>
        <w:tc>
          <w:tcPr>
            <w:tcW w:w="8222" w:type="dxa"/>
            <w:gridSpan w:val="5"/>
            <w:tcBorders>
              <w:top w:val="nil"/>
              <w:left w:val="nil"/>
              <w:bottom w:val="nil"/>
              <w:right w:val="nil"/>
            </w:tcBorders>
            <w:shd w:val="clear" w:color="auto" w:fill="auto"/>
            <w:noWrap/>
            <w:vAlign w:val="center"/>
            <w:hideMark/>
          </w:tcPr>
          <w:p w14:paraId="1490D2CC" w14:textId="5BF58AC5" w:rsidR="0063461B" w:rsidRPr="001E6DFD" w:rsidRDefault="0063461B"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238DAE0A" w14:textId="77777777" w:rsidR="001F64B1" w:rsidRPr="001E6DFD" w:rsidRDefault="001F64B1" w:rsidP="0097226C">
      <w:pPr>
        <w:rPr>
          <w:bCs/>
          <w:sz w:val="20"/>
        </w:rPr>
      </w:pPr>
    </w:p>
    <w:p w14:paraId="0D5A7639" w14:textId="77777777" w:rsidR="0097226C" w:rsidRPr="001E6DFD" w:rsidRDefault="0097226C">
      <w:pPr>
        <w:rPr>
          <w:sz w:val="18"/>
          <w:szCs w:val="18"/>
        </w:rPr>
      </w:pPr>
      <w:r w:rsidRPr="001E6DFD">
        <w:rPr>
          <w:sz w:val="18"/>
          <w:szCs w:val="18"/>
        </w:rPr>
        <w:br w:type="page"/>
      </w:r>
    </w:p>
    <w:p w14:paraId="53AF1798" w14:textId="77777777" w:rsidR="00FA22F6" w:rsidRPr="001E6DFD" w:rsidRDefault="00374E71" w:rsidP="0097226C">
      <w:pPr>
        <w:keepNext/>
        <w:keepLines/>
        <w:jc w:val="center"/>
        <w:rPr>
          <w:sz w:val="18"/>
          <w:szCs w:val="18"/>
        </w:rPr>
      </w:pPr>
      <w:r w:rsidRPr="001E6DFD">
        <w:rPr>
          <w:sz w:val="18"/>
          <w:szCs w:val="18"/>
        </w:rPr>
        <w:lastRenderedPageBreak/>
        <w:t>Budget et dépenses effectives (dépenses de personnel et autres dépenses)</w:t>
      </w:r>
    </w:p>
    <w:p w14:paraId="6B7122B9" w14:textId="0173D495" w:rsidR="001F64B1" w:rsidRPr="001E6DFD" w:rsidRDefault="00374E71" w:rsidP="0097226C">
      <w:pPr>
        <w:keepNext/>
        <w:keepLines/>
        <w:jc w:val="center"/>
        <w:rPr>
          <w:i/>
          <w:iCs/>
          <w:sz w:val="16"/>
          <w:szCs w:val="16"/>
        </w:rPr>
      </w:pPr>
      <w:r w:rsidRPr="001E6DFD">
        <w:rPr>
          <w:i/>
          <w:iCs/>
          <w:sz w:val="16"/>
          <w:szCs w:val="16"/>
        </w:rPr>
        <w:t>(en milliers de francs suisses)</w:t>
      </w:r>
    </w:p>
    <w:p w14:paraId="6E4DFCA1"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492B08B1" w14:textId="77777777" w:rsidTr="0097226C">
        <w:trPr>
          <w:jc w:val="center"/>
        </w:trPr>
        <w:tc>
          <w:tcPr>
            <w:tcW w:w="2470" w:type="dxa"/>
            <w:tcBorders>
              <w:top w:val="nil"/>
              <w:left w:val="nil"/>
              <w:bottom w:val="nil"/>
              <w:right w:val="nil"/>
            </w:tcBorders>
            <w:shd w:val="clear" w:color="000000" w:fill="C5D9F1"/>
            <w:noWrap/>
            <w:vAlign w:val="center"/>
            <w:hideMark/>
          </w:tcPr>
          <w:p w14:paraId="40E19C35" w14:textId="0311A9C4"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2A327080" w14:textId="73D853DF" w:rsidR="00BA5EA9" w:rsidRPr="001E6DFD" w:rsidRDefault="00374E71" w:rsidP="0097226C">
            <w:pPr>
              <w:jc w:val="center"/>
              <w:rPr>
                <w:b/>
                <w:bCs/>
                <w:sz w:val="16"/>
                <w:szCs w:val="16"/>
              </w:rPr>
            </w:pPr>
            <w:r w:rsidRPr="001E6DFD">
              <w:rPr>
                <w:b/>
                <w:bCs/>
                <w:sz w:val="16"/>
                <w:szCs w:val="16"/>
              </w:rPr>
              <w:t>Budget</w:t>
            </w:r>
            <w:r w:rsidR="00B4191E">
              <w:rPr>
                <w:b/>
                <w:bCs/>
                <w:sz w:val="16"/>
                <w:szCs w:val="16"/>
              </w:rPr>
              <w:t> </w:t>
            </w:r>
            <w:r w:rsidR="00AC7D97" w:rsidRPr="001E6DFD">
              <w:rPr>
                <w:b/>
                <w:bCs/>
                <w:sz w:val="16"/>
                <w:szCs w:val="16"/>
              </w:rPr>
              <w:t>2016</w:t>
            </w:r>
            <w:r w:rsidR="006A41CF" w:rsidRPr="001E6DFD">
              <w:rPr>
                <w:b/>
                <w:bCs/>
                <w:sz w:val="16"/>
                <w:szCs w:val="16"/>
              </w:rPr>
              <w:noBreakHyphen/>
            </w:r>
            <w:r w:rsidR="00AC7D97" w:rsidRPr="001E6DFD">
              <w:rPr>
                <w:b/>
                <w:bCs/>
                <w:sz w:val="16"/>
                <w:szCs w:val="16"/>
              </w:rPr>
              <w:t>2017</w:t>
            </w:r>
            <w:r w:rsidRPr="001E6DFD">
              <w:rPr>
                <w:b/>
                <w:bCs/>
                <w:sz w:val="16"/>
                <w:szCs w:val="16"/>
              </w:rPr>
              <w:t xml:space="preserve"> approuvé</w:t>
            </w:r>
          </w:p>
        </w:tc>
        <w:tc>
          <w:tcPr>
            <w:tcW w:w="1438" w:type="dxa"/>
            <w:tcBorders>
              <w:top w:val="nil"/>
              <w:left w:val="nil"/>
              <w:bottom w:val="nil"/>
              <w:right w:val="nil"/>
            </w:tcBorders>
            <w:shd w:val="clear" w:color="000000" w:fill="C5D9F1"/>
            <w:vAlign w:val="center"/>
            <w:hideMark/>
          </w:tcPr>
          <w:p w14:paraId="6C12B0C5" w14:textId="732B39CC" w:rsidR="00BA5EA9" w:rsidRPr="001E6DFD" w:rsidRDefault="00374E71"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24146057" w14:textId="4D86C647" w:rsidR="00BA5EA9" w:rsidRPr="001E6DFD" w:rsidRDefault="00374E71"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3CC0BD4D" w14:textId="3740022F" w:rsidR="00BA5EA9" w:rsidRPr="001E6DFD" w:rsidRDefault="00374E71"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30517798" w14:textId="77777777" w:rsidTr="0097226C">
        <w:trPr>
          <w:jc w:val="center"/>
        </w:trPr>
        <w:tc>
          <w:tcPr>
            <w:tcW w:w="2470" w:type="dxa"/>
            <w:tcBorders>
              <w:top w:val="nil"/>
              <w:left w:val="nil"/>
              <w:bottom w:val="nil"/>
              <w:right w:val="nil"/>
            </w:tcBorders>
            <w:shd w:val="clear" w:color="auto" w:fill="auto"/>
            <w:noWrap/>
            <w:vAlign w:val="center"/>
            <w:hideMark/>
          </w:tcPr>
          <w:p w14:paraId="12F9405A"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7F266C32" w14:textId="77777777" w:rsidR="00BA5EA9" w:rsidRPr="001E6DFD" w:rsidRDefault="00282CF5" w:rsidP="0097226C">
            <w:pPr>
              <w:jc w:val="center"/>
              <w:rPr>
                <w:sz w:val="16"/>
                <w:szCs w:val="16"/>
              </w:rPr>
            </w:pPr>
            <w:r w:rsidRPr="001E6DFD">
              <w:rPr>
                <w:sz w:val="16"/>
                <w:szCs w:val="16"/>
              </w:rPr>
              <w:t>8 357</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0011C084" w14:textId="77777777" w:rsidR="00BA5EA9" w:rsidRPr="001E6DFD" w:rsidRDefault="00282CF5" w:rsidP="0097226C">
            <w:pPr>
              <w:jc w:val="center"/>
              <w:rPr>
                <w:sz w:val="16"/>
                <w:szCs w:val="16"/>
              </w:rPr>
            </w:pPr>
            <w:r w:rsidRPr="001E6DFD">
              <w:rPr>
                <w:sz w:val="16"/>
                <w:szCs w:val="16"/>
              </w:rPr>
              <w:t>8 400</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4132F4A" w14:textId="77777777" w:rsidR="00BA5EA9" w:rsidRPr="001E6DFD" w:rsidRDefault="00282CF5" w:rsidP="0097226C">
            <w:pPr>
              <w:jc w:val="center"/>
              <w:rPr>
                <w:sz w:val="16"/>
                <w:szCs w:val="16"/>
              </w:rPr>
            </w:pPr>
            <w:r w:rsidRPr="001E6DFD">
              <w:rPr>
                <w:sz w:val="16"/>
                <w:szCs w:val="16"/>
              </w:rPr>
              <w:t>3 914</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F0A1196" w14:textId="77777777" w:rsidR="00BA5EA9" w:rsidRPr="001E6DFD" w:rsidRDefault="00BA5EA9" w:rsidP="0097226C">
            <w:pPr>
              <w:jc w:val="center"/>
              <w:rPr>
                <w:sz w:val="16"/>
                <w:szCs w:val="16"/>
              </w:rPr>
            </w:pPr>
            <w:r w:rsidRPr="001E6DFD">
              <w:rPr>
                <w:sz w:val="16"/>
                <w:szCs w:val="16"/>
              </w:rPr>
              <w:t>47%</w:t>
            </w:r>
          </w:p>
        </w:tc>
      </w:tr>
      <w:tr w:rsidR="00BA5EA9" w:rsidRPr="001E6DFD" w14:paraId="097D2578" w14:textId="77777777" w:rsidTr="0097226C">
        <w:trPr>
          <w:jc w:val="center"/>
        </w:trPr>
        <w:tc>
          <w:tcPr>
            <w:tcW w:w="2470" w:type="dxa"/>
            <w:tcBorders>
              <w:top w:val="nil"/>
              <w:left w:val="nil"/>
              <w:bottom w:val="nil"/>
              <w:right w:val="nil"/>
            </w:tcBorders>
            <w:shd w:val="clear" w:color="auto" w:fill="auto"/>
            <w:noWrap/>
            <w:vAlign w:val="center"/>
            <w:hideMark/>
          </w:tcPr>
          <w:p w14:paraId="4065BC5D"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19F813D4" w14:textId="77777777" w:rsidR="00BA5EA9" w:rsidRPr="001E6DFD" w:rsidRDefault="00282CF5" w:rsidP="0097226C">
            <w:pPr>
              <w:jc w:val="center"/>
              <w:rPr>
                <w:sz w:val="16"/>
                <w:szCs w:val="16"/>
              </w:rPr>
            </w:pPr>
            <w:r w:rsidRPr="001E6DFD">
              <w:rPr>
                <w:sz w:val="16"/>
                <w:szCs w:val="16"/>
              </w:rPr>
              <w:t>3 002</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D1D6FE6" w14:textId="77777777" w:rsidR="00BA5EA9" w:rsidRPr="001E6DFD" w:rsidRDefault="00282CF5" w:rsidP="0097226C">
            <w:pPr>
              <w:jc w:val="center"/>
              <w:rPr>
                <w:sz w:val="16"/>
                <w:szCs w:val="16"/>
              </w:rPr>
            </w:pPr>
            <w:r w:rsidRPr="001E6DFD">
              <w:rPr>
                <w:sz w:val="16"/>
                <w:szCs w:val="16"/>
              </w:rPr>
              <w:t>2 939</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D5ABA1F" w14:textId="77777777" w:rsidR="00BA5EA9" w:rsidRPr="001E6DFD" w:rsidRDefault="00282CF5" w:rsidP="0097226C">
            <w:pPr>
              <w:jc w:val="center"/>
              <w:rPr>
                <w:sz w:val="16"/>
                <w:szCs w:val="16"/>
              </w:rPr>
            </w:pPr>
            <w:r w:rsidRPr="001E6DFD">
              <w:rPr>
                <w:sz w:val="16"/>
                <w:szCs w:val="16"/>
              </w:rPr>
              <w:t>1 163</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CA322DC" w14:textId="77777777" w:rsidR="00BA5EA9" w:rsidRPr="001E6DFD" w:rsidRDefault="00BA5EA9" w:rsidP="0097226C">
            <w:pPr>
              <w:jc w:val="center"/>
              <w:rPr>
                <w:sz w:val="16"/>
                <w:szCs w:val="16"/>
              </w:rPr>
            </w:pPr>
            <w:r w:rsidRPr="001E6DFD">
              <w:rPr>
                <w:sz w:val="16"/>
                <w:szCs w:val="16"/>
              </w:rPr>
              <w:t>40%</w:t>
            </w:r>
          </w:p>
        </w:tc>
      </w:tr>
      <w:tr w:rsidR="00BA5EA9" w:rsidRPr="001E6DFD" w14:paraId="0A1D9130" w14:textId="77777777" w:rsidTr="0097226C">
        <w:trPr>
          <w:jc w:val="center"/>
        </w:trPr>
        <w:tc>
          <w:tcPr>
            <w:tcW w:w="2470" w:type="dxa"/>
            <w:tcBorders>
              <w:top w:val="nil"/>
              <w:left w:val="nil"/>
              <w:bottom w:val="nil"/>
              <w:right w:val="nil"/>
            </w:tcBorders>
            <w:shd w:val="clear" w:color="000000" w:fill="C5D9F1"/>
            <w:noWrap/>
            <w:vAlign w:val="center"/>
            <w:hideMark/>
          </w:tcPr>
          <w:p w14:paraId="21133461" w14:textId="59276E47" w:rsidR="00BA5EA9" w:rsidRPr="001E6DFD" w:rsidRDefault="001D4859"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8CD2129" w14:textId="77777777" w:rsidR="00BA5EA9" w:rsidRPr="001E6DFD" w:rsidRDefault="00282CF5" w:rsidP="0097226C">
            <w:pPr>
              <w:jc w:val="center"/>
              <w:rPr>
                <w:b/>
                <w:bCs/>
                <w:sz w:val="16"/>
                <w:szCs w:val="16"/>
              </w:rPr>
            </w:pPr>
            <w:r w:rsidRPr="001E6DFD">
              <w:rPr>
                <w:b/>
                <w:bCs/>
                <w:sz w:val="16"/>
                <w:szCs w:val="16"/>
              </w:rPr>
              <w:t>11 358</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07E1D60" w14:textId="77777777" w:rsidR="00BA5EA9" w:rsidRPr="001E6DFD" w:rsidRDefault="00282CF5" w:rsidP="0097226C">
            <w:pPr>
              <w:jc w:val="center"/>
              <w:rPr>
                <w:b/>
                <w:bCs/>
                <w:sz w:val="16"/>
                <w:szCs w:val="16"/>
              </w:rPr>
            </w:pPr>
            <w:r w:rsidRPr="001E6DFD">
              <w:rPr>
                <w:b/>
                <w:bCs/>
                <w:sz w:val="16"/>
                <w:szCs w:val="16"/>
              </w:rPr>
              <w:t>11 338</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3139D2E7" w14:textId="77777777" w:rsidR="00BA5EA9" w:rsidRPr="001E6DFD" w:rsidRDefault="00282CF5" w:rsidP="0097226C">
            <w:pPr>
              <w:jc w:val="center"/>
              <w:rPr>
                <w:b/>
                <w:bCs/>
                <w:sz w:val="16"/>
                <w:szCs w:val="16"/>
              </w:rPr>
            </w:pPr>
            <w:r w:rsidRPr="001E6DFD">
              <w:rPr>
                <w:b/>
                <w:bCs/>
                <w:sz w:val="16"/>
                <w:szCs w:val="16"/>
              </w:rPr>
              <w:t>5 077</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125CB878" w14:textId="77777777" w:rsidR="00BA5EA9" w:rsidRPr="001E6DFD" w:rsidRDefault="00BA5EA9" w:rsidP="0097226C">
            <w:pPr>
              <w:jc w:val="center"/>
              <w:rPr>
                <w:b/>
                <w:bCs/>
                <w:sz w:val="16"/>
                <w:szCs w:val="16"/>
              </w:rPr>
            </w:pPr>
            <w:r w:rsidRPr="001E6DFD">
              <w:rPr>
                <w:b/>
                <w:bCs/>
                <w:sz w:val="16"/>
                <w:szCs w:val="16"/>
              </w:rPr>
              <w:t>45%</w:t>
            </w:r>
          </w:p>
        </w:tc>
      </w:tr>
      <w:tr w:rsidR="00BA5EA9" w:rsidRPr="001E6DFD" w14:paraId="5B4BBB3F" w14:textId="77777777" w:rsidTr="0097226C">
        <w:trPr>
          <w:jc w:val="center"/>
        </w:trPr>
        <w:tc>
          <w:tcPr>
            <w:tcW w:w="8222" w:type="dxa"/>
            <w:gridSpan w:val="5"/>
            <w:tcBorders>
              <w:top w:val="nil"/>
              <w:left w:val="nil"/>
              <w:bottom w:val="nil"/>
              <w:right w:val="nil"/>
            </w:tcBorders>
            <w:shd w:val="clear" w:color="auto" w:fill="auto"/>
            <w:noWrap/>
            <w:vAlign w:val="center"/>
            <w:hideMark/>
          </w:tcPr>
          <w:p w14:paraId="2B579DC1" w14:textId="58BE88B0"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035B3A54" w14:textId="77777777" w:rsidR="001F64B1" w:rsidRPr="001E6DFD" w:rsidRDefault="001F64B1" w:rsidP="0097226C">
      <w:pPr>
        <w:rPr>
          <w:sz w:val="20"/>
        </w:rPr>
      </w:pPr>
    </w:p>
    <w:p w14:paraId="5DD96535" w14:textId="760D77A1" w:rsidR="001F64B1" w:rsidRPr="001E6DFD" w:rsidRDefault="00374E71" w:rsidP="0097226C">
      <w:pPr>
        <w:ind w:left="567" w:right="438"/>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780C8109" w14:textId="77777777" w:rsidR="001F64B1" w:rsidRPr="001E6DFD" w:rsidRDefault="001F64B1" w:rsidP="0097226C">
      <w:pPr>
        <w:rPr>
          <w:sz w:val="20"/>
        </w:rPr>
      </w:pPr>
    </w:p>
    <w:p w14:paraId="12BF2DDC" w14:textId="77777777" w:rsidR="001F64B1" w:rsidRPr="001E6DFD" w:rsidRDefault="001F64B1" w:rsidP="0097226C">
      <w:pPr>
        <w:rPr>
          <w:sz w:val="20"/>
        </w:rPr>
      </w:pPr>
    </w:p>
    <w:p w14:paraId="4B4F0080" w14:textId="524E6024" w:rsidR="001F64B1" w:rsidRPr="001E6DFD" w:rsidRDefault="00BA5EA9" w:rsidP="0097226C">
      <w:pPr>
        <w:jc w:val="both"/>
        <w:rPr>
          <w:sz w:val="20"/>
          <w:u w:val="single"/>
        </w:rPr>
      </w:pPr>
      <w:r w:rsidRPr="001E6DFD">
        <w:rPr>
          <w:sz w:val="20"/>
        </w:rPr>
        <w:t>A.</w:t>
      </w:r>
      <w:r w:rsidRPr="001E6DFD">
        <w:rPr>
          <w:sz w:val="20"/>
        </w:rPr>
        <w:tab/>
      </w:r>
      <w:r w:rsidR="00F3341E" w:rsidRPr="001E6DFD">
        <w:rPr>
          <w:sz w:val="20"/>
          <w:u w:val="single"/>
        </w:rPr>
        <w:t>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 après virements</w:t>
      </w:r>
    </w:p>
    <w:p w14:paraId="30D31574" w14:textId="77777777" w:rsidR="001F64B1" w:rsidRPr="001E6DFD" w:rsidRDefault="001F64B1" w:rsidP="0097226C">
      <w:pPr>
        <w:jc w:val="both"/>
        <w:rPr>
          <w:sz w:val="20"/>
        </w:rPr>
      </w:pPr>
    </w:p>
    <w:p w14:paraId="0524BC68" w14:textId="1D500224" w:rsidR="004D065D" w:rsidRPr="001E6DFD" w:rsidRDefault="004D065D" w:rsidP="00D544B8">
      <w:pPr>
        <w:pStyle w:val="ListParagraph"/>
        <w:numPr>
          <w:ilvl w:val="0"/>
          <w:numId w:val="10"/>
        </w:numPr>
        <w:tabs>
          <w:tab w:val="left" w:pos="0"/>
          <w:tab w:val="left" w:pos="709"/>
        </w:tabs>
        <w:autoSpaceDE w:val="0"/>
        <w:autoSpaceDN w:val="0"/>
        <w:ind w:left="0" w:firstLine="0"/>
        <w:jc w:val="both"/>
        <w:rPr>
          <w:rFonts w:ascii="Arial" w:hAnsi="Arial" w:cs="Arial"/>
          <w:sz w:val="20"/>
        </w:rPr>
      </w:pPr>
      <w:r w:rsidRPr="001E6DFD">
        <w:rPr>
          <w:rFonts w:ascii="Arial" w:hAnsi="Arial" w:cs="Arial"/>
          <w:sz w:val="20"/>
        </w:rPr>
        <w:t xml:space="preserve">La légère augmentation nette des ressources </w:t>
      </w:r>
      <w:r w:rsidR="00B516DC" w:rsidRPr="001E6DFD">
        <w:rPr>
          <w:rFonts w:ascii="Arial" w:hAnsi="Arial" w:cs="Arial"/>
          <w:sz w:val="20"/>
        </w:rPr>
        <w:t>e</w:t>
      </w:r>
      <w:r w:rsidR="00381826" w:rsidRPr="001E6DFD">
        <w:rPr>
          <w:rFonts w:ascii="Arial" w:hAnsi="Arial" w:cs="Arial"/>
          <w:sz w:val="20"/>
        </w:rPr>
        <w:t>n</w:t>
      </w:r>
      <w:r w:rsidR="00B516DC" w:rsidRPr="001E6DFD">
        <w:rPr>
          <w:rFonts w:ascii="Arial" w:hAnsi="Arial" w:cs="Arial"/>
          <w:sz w:val="20"/>
        </w:rPr>
        <w:t xml:space="preserve"> </w:t>
      </w:r>
      <w:r w:rsidRPr="001E6DFD">
        <w:rPr>
          <w:rFonts w:ascii="Arial" w:hAnsi="Arial" w:cs="Arial"/>
          <w:sz w:val="20"/>
        </w:rPr>
        <w:t>personnel par rapport au budget</w:t>
      </w:r>
      <w:r w:rsidR="00B4191E">
        <w:rPr>
          <w:rFonts w:ascii="Arial" w:hAnsi="Arial" w:cs="Arial"/>
          <w:sz w:val="20"/>
        </w:rPr>
        <w:t> </w:t>
      </w:r>
      <w:r w:rsidRPr="001E6DFD">
        <w:rPr>
          <w:rFonts w:ascii="Arial" w:hAnsi="Arial" w:cs="Arial"/>
          <w:sz w:val="20"/>
        </w:rPr>
        <w:t>2016</w:t>
      </w:r>
      <w:r w:rsidR="006A41CF" w:rsidRPr="001E6DFD">
        <w:rPr>
          <w:rFonts w:ascii="Arial" w:hAnsi="Arial" w:cs="Arial"/>
          <w:sz w:val="20"/>
        </w:rPr>
        <w:noBreakHyphen/>
      </w:r>
      <w:r w:rsidRPr="001E6DFD">
        <w:rPr>
          <w:rFonts w:ascii="Arial" w:hAnsi="Arial" w:cs="Arial"/>
          <w:sz w:val="20"/>
        </w:rPr>
        <w:t xml:space="preserve">2017 approuvé </w:t>
      </w:r>
      <w:r w:rsidR="00B516DC" w:rsidRPr="001E6DFD">
        <w:rPr>
          <w:rFonts w:ascii="Arial" w:hAnsi="Arial" w:cs="Arial"/>
          <w:sz w:val="20"/>
        </w:rPr>
        <w:t xml:space="preserve">était </w:t>
      </w:r>
      <w:r w:rsidRPr="001E6DFD">
        <w:rPr>
          <w:rFonts w:ascii="Arial" w:hAnsi="Arial" w:cs="Arial"/>
          <w:sz w:val="20"/>
        </w:rPr>
        <w:t>principalement due, d</w:t>
      </w:r>
      <w:r w:rsidR="00FA22F6" w:rsidRPr="001E6DFD">
        <w:rPr>
          <w:rFonts w:ascii="Arial" w:hAnsi="Arial" w:cs="Arial"/>
          <w:sz w:val="20"/>
        </w:rPr>
        <w:t>’</w:t>
      </w:r>
      <w:r w:rsidRPr="001E6DFD">
        <w:rPr>
          <w:rFonts w:ascii="Arial" w:hAnsi="Arial" w:cs="Arial"/>
          <w:sz w:val="20"/>
        </w:rPr>
        <w:t>une part, à la régularisation de deux</w:t>
      </w:r>
      <w:r w:rsidR="004D421A" w:rsidRPr="001E6DFD">
        <w:rPr>
          <w:rFonts w:ascii="Arial" w:hAnsi="Arial" w:cs="Arial"/>
          <w:sz w:val="20"/>
        </w:rPr>
        <w:t> </w:t>
      </w:r>
      <w:r w:rsidRPr="001E6DFD">
        <w:rPr>
          <w:rFonts w:ascii="Arial" w:hAnsi="Arial" w:cs="Arial"/>
          <w:sz w:val="20"/>
        </w:rPr>
        <w:t>personnes exerçant des fonctions continues et, d</w:t>
      </w:r>
      <w:r w:rsidR="00FA22F6" w:rsidRPr="001E6DFD">
        <w:rPr>
          <w:rFonts w:ascii="Arial" w:hAnsi="Arial" w:cs="Arial"/>
          <w:sz w:val="20"/>
        </w:rPr>
        <w:t>’</w:t>
      </w:r>
      <w:r w:rsidRPr="001E6DFD">
        <w:rPr>
          <w:rFonts w:ascii="Arial" w:hAnsi="Arial" w:cs="Arial"/>
          <w:sz w:val="20"/>
        </w:rPr>
        <w:t>autre part, au redéploiement</w:t>
      </w:r>
      <w:r w:rsidR="00B516DC" w:rsidRPr="001E6DFD">
        <w:rPr>
          <w:rFonts w:ascii="Arial" w:hAnsi="Arial" w:cs="Arial"/>
          <w:sz w:val="20"/>
        </w:rPr>
        <w:t>, du programme vers d</w:t>
      </w:r>
      <w:r w:rsidR="00FA22F6" w:rsidRPr="001E6DFD">
        <w:rPr>
          <w:rFonts w:ascii="Arial" w:hAnsi="Arial" w:cs="Arial"/>
          <w:sz w:val="20"/>
        </w:rPr>
        <w:t>’</w:t>
      </w:r>
      <w:r w:rsidR="00B516DC" w:rsidRPr="001E6DFD">
        <w:rPr>
          <w:rFonts w:ascii="Arial" w:hAnsi="Arial" w:cs="Arial"/>
          <w:sz w:val="20"/>
        </w:rPr>
        <w:t>autres priorités de l</w:t>
      </w:r>
      <w:r w:rsidR="00FA22F6" w:rsidRPr="001E6DFD">
        <w:rPr>
          <w:rFonts w:ascii="Arial" w:hAnsi="Arial" w:cs="Arial"/>
          <w:sz w:val="20"/>
        </w:rPr>
        <w:t>’</w:t>
      </w:r>
      <w:r w:rsidR="00B516DC" w:rsidRPr="001E6DFD">
        <w:rPr>
          <w:rFonts w:ascii="Arial" w:hAnsi="Arial" w:cs="Arial"/>
          <w:sz w:val="20"/>
        </w:rPr>
        <w:t>Organisation,</w:t>
      </w:r>
      <w:r w:rsidRPr="001E6DFD">
        <w:rPr>
          <w:rFonts w:ascii="Arial" w:hAnsi="Arial" w:cs="Arial"/>
          <w:sz w:val="20"/>
        </w:rPr>
        <w:t xml:space="preserve"> des économies </w:t>
      </w:r>
      <w:r w:rsidR="00B516DC" w:rsidRPr="001E6DFD">
        <w:rPr>
          <w:rFonts w:ascii="Arial" w:hAnsi="Arial" w:cs="Arial"/>
          <w:sz w:val="20"/>
        </w:rPr>
        <w:t>dégagées au titre du personn</w:t>
      </w:r>
      <w:r w:rsidR="004A4D21" w:rsidRPr="001E6DFD">
        <w:rPr>
          <w:rFonts w:ascii="Arial" w:hAnsi="Arial" w:cs="Arial"/>
          <w:sz w:val="20"/>
        </w:rPr>
        <w:t>el.  La</w:t>
      </w:r>
      <w:r w:rsidRPr="001E6DFD">
        <w:rPr>
          <w:rFonts w:ascii="Arial" w:hAnsi="Arial" w:cs="Arial"/>
          <w:sz w:val="20"/>
        </w:rPr>
        <w:t xml:space="preserve"> faible réduction </w:t>
      </w:r>
      <w:r w:rsidR="00DE67EF" w:rsidRPr="001E6DFD">
        <w:rPr>
          <w:rFonts w:ascii="Arial" w:hAnsi="Arial" w:cs="Arial"/>
          <w:sz w:val="20"/>
        </w:rPr>
        <w:t xml:space="preserve">des ressources </w:t>
      </w:r>
      <w:r w:rsidR="00B516DC" w:rsidRPr="001E6DFD">
        <w:rPr>
          <w:rFonts w:ascii="Arial" w:hAnsi="Arial" w:cs="Arial"/>
          <w:sz w:val="20"/>
        </w:rPr>
        <w:t>autres que pour le p</w:t>
      </w:r>
      <w:r w:rsidR="00DE67EF" w:rsidRPr="001E6DFD">
        <w:rPr>
          <w:rFonts w:ascii="Arial" w:hAnsi="Arial" w:cs="Arial"/>
          <w:sz w:val="20"/>
        </w:rPr>
        <w:t xml:space="preserve">ersonnel </w:t>
      </w:r>
      <w:r w:rsidR="00B516DC" w:rsidRPr="001E6DFD">
        <w:rPr>
          <w:rFonts w:ascii="Arial" w:hAnsi="Arial" w:cs="Arial"/>
          <w:sz w:val="20"/>
        </w:rPr>
        <w:t xml:space="preserve">découlait </w:t>
      </w:r>
      <w:r w:rsidRPr="001E6DFD">
        <w:rPr>
          <w:rFonts w:ascii="Arial" w:hAnsi="Arial" w:cs="Arial"/>
          <w:sz w:val="20"/>
        </w:rPr>
        <w:t xml:space="preserve">du </w:t>
      </w:r>
      <w:r w:rsidR="00B97C33" w:rsidRPr="001E6DFD">
        <w:rPr>
          <w:rFonts w:ascii="Arial" w:eastAsia="Times New Roman" w:hAnsi="Arial" w:cs="Arial"/>
          <w:sz w:val="20"/>
          <w:szCs w:val="20"/>
          <w:lang w:eastAsia="ko-KR"/>
        </w:rPr>
        <w:t>transfert des ressources pour les stages</w:t>
      </w:r>
      <w:r w:rsidR="00B516DC" w:rsidRPr="001E6DFD">
        <w:rPr>
          <w:rFonts w:ascii="Arial" w:eastAsia="Times New Roman" w:hAnsi="Arial" w:cs="Arial"/>
          <w:sz w:val="20"/>
          <w:szCs w:val="20"/>
          <w:lang w:eastAsia="ko-KR"/>
        </w:rPr>
        <w:t xml:space="preserve"> vers</w:t>
      </w:r>
      <w:r w:rsidR="00FA22F6" w:rsidRPr="001E6DFD">
        <w:rPr>
          <w:rFonts w:ascii="Arial" w:eastAsia="Times New Roman" w:hAnsi="Arial" w:cs="Arial"/>
          <w:sz w:val="20"/>
          <w:szCs w:val="20"/>
          <w:lang w:eastAsia="ko-KR"/>
        </w:rPr>
        <w:t xml:space="preserve"> le DGR</w:t>
      </w:r>
      <w:r w:rsidR="00B97C33" w:rsidRPr="001E6DFD">
        <w:rPr>
          <w:rFonts w:ascii="Arial" w:eastAsia="Times New Roman" w:hAnsi="Arial" w:cs="Arial"/>
          <w:sz w:val="20"/>
          <w:szCs w:val="20"/>
          <w:lang w:eastAsia="ko-KR"/>
        </w:rPr>
        <w:t>H (programme</w:t>
      </w:r>
      <w:r w:rsidR="00B4191E">
        <w:rPr>
          <w:rFonts w:ascii="Arial" w:eastAsia="Times New Roman" w:hAnsi="Arial" w:cs="Arial"/>
          <w:sz w:val="20"/>
          <w:szCs w:val="20"/>
          <w:lang w:eastAsia="ko-KR"/>
        </w:rPr>
        <w:t> </w:t>
      </w:r>
      <w:r w:rsidR="00B97C33" w:rsidRPr="001E6DFD">
        <w:rPr>
          <w:rFonts w:ascii="Arial" w:eastAsia="Times New Roman" w:hAnsi="Arial" w:cs="Arial"/>
          <w:sz w:val="20"/>
          <w:szCs w:val="20"/>
          <w:lang w:eastAsia="ko-KR"/>
        </w:rPr>
        <w:t>23)</w:t>
      </w:r>
      <w:r w:rsidRPr="001E6DFD">
        <w:rPr>
          <w:rFonts w:ascii="Arial" w:hAnsi="Arial" w:cs="Arial"/>
          <w:sz w:val="20"/>
        </w:rPr>
        <w:t xml:space="preserve">, </w:t>
      </w:r>
      <w:r w:rsidR="00DE67EF" w:rsidRPr="001E6DFD">
        <w:rPr>
          <w:rFonts w:ascii="Arial" w:hAnsi="Arial" w:cs="Arial"/>
          <w:sz w:val="20"/>
        </w:rPr>
        <w:t>qui gère les stagiaires de manière centralisée</w:t>
      </w:r>
      <w:r w:rsidR="00B97C33" w:rsidRPr="001E6DFD">
        <w:rPr>
          <w:rFonts w:ascii="Arial" w:hAnsi="Arial" w:cs="Arial"/>
          <w:sz w:val="20"/>
        </w:rPr>
        <w:t xml:space="preserve">, et </w:t>
      </w:r>
      <w:r w:rsidR="00B516DC" w:rsidRPr="001E6DFD">
        <w:rPr>
          <w:rFonts w:ascii="Arial" w:hAnsi="Arial" w:cs="Arial"/>
          <w:sz w:val="20"/>
        </w:rPr>
        <w:t xml:space="preserve">vers le </w:t>
      </w:r>
      <w:r w:rsidR="00B97C33" w:rsidRPr="001E6DFD">
        <w:rPr>
          <w:rFonts w:ascii="Arial" w:hAnsi="Arial" w:cs="Arial"/>
          <w:sz w:val="20"/>
        </w:rPr>
        <w:t>système</w:t>
      </w:r>
      <w:r w:rsidR="00FA22F6" w:rsidRPr="001E6DFD">
        <w:rPr>
          <w:rFonts w:ascii="Arial" w:hAnsi="Arial" w:cs="Arial"/>
          <w:sz w:val="20"/>
        </w:rPr>
        <w:t xml:space="preserve"> du PCT</w:t>
      </w:r>
      <w:r w:rsidR="00B97C33" w:rsidRPr="001E6DFD">
        <w:rPr>
          <w:rFonts w:ascii="Arial" w:hAnsi="Arial" w:cs="Arial"/>
          <w:sz w:val="20"/>
        </w:rPr>
        <w:t xml:space="preserve"> (programme</w:t>
      </w:r>
      <w:r w:rsidR="00B4191E">
        <w:rPr>
          <w:rFonts w:ascii="Arial" w:hAnsi="Arial" w:cs="Arial"/>
          <w:sz w:val="20"/>
        </w:rPr>
        <w:t> </w:t>
      </w:r>
      <w:r w:rsidR="00B97C33" w:rsidRPr="001E6DFD">
        <w:rPr>
          <w:rFonts w:ascii="Arial" w:hAnsi="Arial" w:cs="Arial"/>
          <w:sz w:val="20"/>
        </w:rPr>
        <w:t>5)</w:t>
      </w:r>
      <w:r w:rsidRPr="001E6DFD">
        <w:rPr>
          <w:rFonts w:ascii="Arial" w:hAnsi="Arial" w:cs="Arial"/>
          <w:sz w:val="20"/>
        </w:rPr>
        <w:t xml:space="preserve"> pour un achat exceptionnel de </w:t>
      </w:r>
      <w:r w:rsidR="00B97C33" w:rsidRPr="001E6DFD">
        <w:rPr>
          <w:rFonts w:ascii="Arial" w:hAnsi="Arial" w:cs="Arial"/>
          <w:sz w:val="20"/>
        </w:rPr>
        <w:t>mobilier et de matériel.</w:t>
      </w:r>
    </w:p>
    <w:p w14:paraId="46B9B70C" w14:textId="77777777" w:rsidR="001F64B1" w:rsidRPr="001E6DFD" w:rsidRDefault="001F64B1" w:rsidP="0097226C">
      <w:pPr>
        <w:tabs>
          <w:tab w:val="left" w:pos="0"/>
          <w:tab w:val="left" w:pos="709"/>
        </w:tabs>
        <w:autoSpaceDE w:val="0"/>
        <w:autoSpaceDN w:val="0"/>
        <w:contextualSpacing/>
        <w:jc w:val="both"/>
        <w:rPr>
          <w:sz w:val="20"/>
          <w:lang w:eastAsia="ko-KR"/>
        </w:rPr>
      </w:pPr>
    </w:p>
    <w:p w14:paraId="5DB030C8" w14:textId="35A9EB13" w:rsidR="001F64B1" w:rsidRPr="001E6DFD" w:rsidRDefault="00BA5EA9" w:rsidP="0097226C">
      <w:pPr>
        <w:jc w:val="both"/>
        <w:rPr>
          <w:sz w:val="20"/>
          <w:u w:val="single"/>
        </w:rPr>
      </w:pPr>
      <w:r w:rsidRPr="001E6DFD">
        <w:rPr>
          <w:sz w:val="20"/>
        </w:rPr>
        <w:t>B.</w:t>
      </w:r>
      <w:r w:rsidRPr="001E6DFD">
        <w:rPr>
          <w:sz w:val="20"/>
        </w:rPr>
        <w:tab/>
      </w:r>
      <w:r w:rsidR="00F3341E" w:rsidRPr="001E6DFD">
        <w:rPr>
          <w:sz w:val="20"/>
          <w:u w:val="single"/>
        </w:rPr>
        <w:t>Utilisation du 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w:t>
      </w:r>
    </w:p>
    <w:p w14:paraId="4B4C584D" w14:textId="77777777" w:rsidR="001F64B1" w:rsidRPr="001E6DFD" w:rsidRDefault="001F64B1" w:rsidP="0097226C">
      <w:pPr>
        <w:jc w:val="both"/>
        <w:rPr>
          <w:sz w:val="20"/>
          <w:u w:val="single"/>
          <w:lang w:eastAsia="ko-KR"/>
        </w:rPr>
      </w:pPr>
    </w:p>
    <w:p w14:paraId="4AE44E2D" w14:textId="47D7A4BF" w:rsidR="001F64B1" w:rsidRPr="001E6DFD" w:rsidRDefault="00EC540A" w:rsidP="00D544B8">
      <w:pPr>
        <w:pStyle w:val="ListParagraph"/>
        <w:numPr>
          <w:ilvl w:val="0"/>
          <w:numId w:val="10"/>
        </w:numPr>
        <w:tabs>
          <w:tab w:val="left" w:pos="0"/>
        </w:tabs>
        <w:autoSpaceDE w:val="0"/>
        <w:autoSpaceDN w:val="0"/>
        <w:ind w:left="0" w:firstLine="0"/>
        <w:jc w:val="both"/>
        <w:rPr>
          <w:rFonts w:ascii="Arial" w:hAnsi="Arial" w:cs="Arial"/>
          <w:sz w:val="20"/>
          <w:lang w:eastAsia="ko-KR"/>
        </w:rPr>
      </w:pPr>
      <w:r w:rsidRPr="001E6DFD">
        <w:rPr>
          <w:rFonts w:ascii="Arial" w:hAnsi="Arial" w:cs="Arial"/>
          <w:sz w:val="20"/>
          <w:lang w:eastAsia="ko-KR"/>
        </w:rPr>
        <w:t>L</w:t>
      </w:r>
      <w:r w:rsidR="00FA22F6" w:rsidRPr="001E6DFD">
        <w:rPr>
          <w:rFonts w:ascii="Arial" w:hAnsi="Arial" w:cs="Arial"/>
          <w:sz w:val="20"/>
          <w:lang w:eastAsia="ko-KR"/>
        </w:rPr>
        <w:t>’</w:t>
      </w:r>
      <w:r w:rsidRPr="001E6DFD">
        <w:rPr>
          <w:rFonts w:ascii="Arial" w:hAnsi="Arial" w:cs="Arial"/>
          <w:sz w:val="20"/>
          <w:lang w:eastAsia="ko-KR"/>
        </w:rPr>
        <w:t>utilisation du budget se situait dans la fourchette prévue des 40 à 60% pour la première année de l</w:t>
      </w:r>
      <w:r w:rsidR="00FA22F6" w:rsidRPr="001E6DFD">
        <w:rPr>
          <w:rFonts w:ascii="Arial" w:hAnsi="Arial" w:cs="Arial"/>
          <w:sz w:val="20"/>
          <w:lang w:eastAsia="ko-KR"/>
        </w:rPr>
        <w:t>’</w:t>
      </w:r>
      <w:r w:rsidRPr="001E6DFD">
        <w:rPr>
          <w:rFonts w:ascii="Arial" w:hAnsi="Arial" w:cs="Arial"/>
          <w:sz w:val="20"/>
          <w:lang w:eastAsia="ko-KR"/>
        </w:rPr>
        <w:t>exercice biennal.</w:t>
      </w:r>
    </w:p>
    <w:p w14:paraId="3397E3C6" w14:textId="77777777" w:rsidR="001F64B1" w:rsidRPr="001E6DFD" w:rsidRDefault="001F64B1" w:rsidP="0097226C">
      <w:pPr>
        <w:tabs>
          <w:tab w:val="left" w:pos="6011"/>
        </w:tabs>
        <w:rPr>
          <w:sz w:val="20"/>
        </w:rPr>
      </w:pPr>
    </w:p>
    <w:p w14:paraId="6509EB15" w14:textId="77777777" w:rsidR="0063461B" w:rsidRPr="001E6DFD" w:rsidRDefault="0063461B" w:rsidP="0097226C">
      <w:pPr>
        <w:rPr>
          <w:b/>
          <w:bCs/>
          <w:iCs/>
          <w:szCs w:val="28"/>
        </w:rPr>
      </w:pPr>
      <w:r w:rsidRPr="001E6DFD">
        <w:rPr>
          <w:b/>
          <w:bCs/>
          <w:iCs/>
          <w:szCs w:val="28"/>
        </w:rPr>
        <w:br w:type="page"/>
      </w:r>
    </w:p>
    <w:p w14:paraId="548D2117" w14:textId="61B68362" w:rsidR="009709C2" w:rsidRPr="009709C2" w:rsidRDefault="009761D3" w:rsidP="009761D3">
      <w:pPr>
        <w:pStyle w:val="Heading2"/>
      </w:pPr>
      <w:bookmarkStart w:id="39" w:name="_Toc482774599"/>
      <w:r>
        <w:lastRenderedPageBreak/>
        <w:t>Objectif stratégique III</w:t>
      </w:r>
      <w:bookmarkEnd w:id="39"/>
    </w:p>
    <w:p w14:paraId="453B56E8" w14:textId="77777777" w:rsidR="009709C2" w:rsidRPr="00A859F2" w:rsidRDefault="009709C2" w:rsidP="009709C2">
      <w:pPr>
        <w:rPr>
          <w:sz w:val="20"/>
        </w:rPr>
      </w:pPr>
    </w:p>
    <w:p w14:paraId="1081DD2C" w14:textId="77777777" w:rsidR="009709C2" w:rsidRPr="00A859F2" w:rsidRDefault="009709C2" w:rsidP="009709C2">
      <w:pPr>
        <w:jc w:val="center"/>
        <w:rPr>
          <w:rFonts w:ascii="Arial Bold" w:hAnsi="Arial Bold"/>
          <w:b/>
          <w:caps/>
          <w:sz w:val="20"/>
        </w:rPr>
      </w:pPr>
      <w:r w:rsidRPr="00A859F2">
        <w:rPr>
          <w:rFonts w:ascii="Arial Bold" w:hAnsi="Arial Bold"/>
          <w:b/>
          <w:caps/>
          <w:sz w:val="20"/>
        </w:rPr>
        <w:t>favoriser l’utilisation de la propriété intellectuelle au service du développement</w:t>
      </w:r>
    </w:p>
    <w:p w14:paraId="610EA11F" w14:textId="77777777" w:rsidR="009709C2" w:rsidRPr="00A859F2" w:rsidRDefault="009709C2" w:rsidP="009709C2">
      <w:pPr>
        <w:rPr>
          <w:sz w:val="20"/>
        </w:rPr>
      </w:pPr>
    </w:p>
    <w:p w14:paraId="09480EB0" w14:textId="77777777" w:rsidR="009709C2" w:rsidRPr="00A859F2" w:rsidRDefault="009709C2" w:rsidP="009709C2">
      <w:pPr>
        <w:jc w:val="center"/>
        <w:rPr>
          <w:b/>
          <w:sz w:val="20"/>
        </w:rPr>
      </w:pPr>
      <w:r w:rsidRPr="00A859F2">
        <w:rPr>
          <w:b/>
          <w:sz w:val="20"/>
        </w:rPr>
        <w:t>Tableau de bord de l’exécution du programme à mi</w:t>
      </w:r>
      <w:r>
        <w:rPr>
          <w:b/>
          <w:sz w:val="20"/>
        </w:rPr>
        <w:noBreakHyphen/>
      </w:r>
      <w:r w:rsidRPr="00A859F2">
        <w:rPr>
          <w:b/>
          <w:sz w:val="20"/>
        </w:rPr>
        <w:t>parcours (2016)</w:t>
      </w:r>
    </w:p>
    <w:p w14:paraId="2C68230C" w14:textId="77777777" w:rsidR="009709C2" w:rsidRPr="00A859F2" w:rsidRDefault="009709C2" w:rsidP="009709C2">
      <w:pPr>
        <w:jc w:val="both"/>
        <w:rPr>
          <w:sz w:val="20"/>
        </w:rPr>
      </w:pPr>
    </w:p>
    <w:p w14:paraId="3215442C" w14:textId="77777777" w:rsidR="009709C2" w:rsidRPr="00A859F2" w:rsidRDefault="009709C2" w:rsidP="009709C2">
      <w:pPr>
        <w:jc w:val="both"/>
        <w:rPr>
          <w:sz w:val="20"/>
        </w:rPr>
      </w:pPr>
      <w:r w:rsidRPr="00A859F2">
        <w:rPr>
          <w:sz w:val="20"/>
        </w:rPr>
        <w:t>Le tableau de bord ci</w:t>
      </w:r>
      <w:r>
        <w:rPr>
          <w:sz w:val="20"/>
        </w:rPr>
        <w:noBreakHyphen/>
      </w:r>
      <w:r w:rsidRPr="00A859F2">
        <w:rPr>
          <w:sz w:val="20"/>
        </w:rPr>
        <w:t>dessous présente un résumé de l’état d’avancement de la réalisation des résultats en 2016, telle que mesurée par les indicateurs au titre des programmes contribuant à cet objectif stratégique.</w:t>
      </w:r>
    </w:p>
    <w:p w14:paraId="74E52A64" w14:textId="77777777" w:rsidR="009709C2" w:rsidRPr="00A859F2" w:rsidRDefault="009709C2" w:rsidP="009709C2">
      <w:pPr>
        <w:ind w:left="567"/>
        <w:jc w:val="center"/>
      </w:pPr>
      <w:r w:rsidRPr="00B00E14">
        <w:rPr>
          <w:noProof/>
          <w:lang w:val="en-US"/>
        </w:rPr>
        <w:drawing>
          <wp:inline distT="0" distB="0" distL="0" distR="0" wp14:anchorId="755E3729" wp14:editId="3A770CFE">
            <wp:extent cx="3693600" cy="2421451"/>
            <wp:effectExtent l="0" t="0" r="254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93600" cy="2421451"/>
                    </a:xfrm>
                    <a:prstGeom prst="rect">
                      <a:avLst/>
                    </a:prstGeom>
                    <a:noFill/>
                    <a:ln>
                      <a:noFill/>
                    </a:ln>
                  </pic:spPr>
                </pic:pic>
              </a:graphicData>
            </a:graphic>
          </wp:inline>
        </w:drawing>
      </w:r>
    </w:p>
    <w:tbl>
      <w:tblPr>
        <w:tblW w:w="9459" w:type="dxa"/>
        <w:tblInd w:w="108" w:type="dxa"/>
        <w:tblLayout w:type="fixed"/>
        <w:tblCellMar>
          <w:left w:w="115" w:type="dxa"/>
          <w:right w:w="115" w:type="dxa"/>
        </w:tblCellMar>
        <w:tblLook w:val="0000" w:firstRow="0" w:lastRow="0" w:firstColumn="0" w:lastColumn="0" w:noHBand="0" w:noVBand="0"/>
      </w:tblPr>
      <w:tblGrid>
        <w:gridCol w:w="6"/>
        <w:gridCol w:w="2723"/>
        <w:gridCol w:w="3853"/>
        <w:gridCol w:w="6"/>
        <w:gridCol w:w="1582"/>
        <w:gridCol w:w="6"/>
        <w:gridCol w:w="1283"/>
      </w:tblGrid>
      <w:tr w:rsidR="009709C2" w:rsidRPr="00A859F2" w14:paraId="695B2EEA" w14:textId="77777777" w:rsidTr="00394CA8">
        <w:trPr>
          <w:trHeight w:val="535"/>
          <w:tblHeader/>
        </w:trPr>
        <w:tc>
          <w:tcPr>
            <w:tcW w:w="1443" w:type="pct"/>
            <w:gridSpan w:val="2"/>
            <w:shd w:val="clear" w:color="auto" w:fill="B8CCE4" w:themeFill="accent1" w:themeFillTint="66"/>
            <w:tcMar>
              <w:top w:w="113" w:type="dxa"/>
              <w:bottom w:w="113" w:type="dxa"/>
            </w:tcMar>
            <w:vAlign w:val="center"/>
          </w:tcPr>
          <w:p w14:paraId="16983970" w14:textId="77777777" w:rsidR="009709C2" w:rsidRPr="00A859F2" w:rsidRDefault="009709C2" w:rsidP="00394CA8">
            <w:pPr>
              <w:rPr>
                <w:b/>
                <w:bCs/>
                <w:sz w:val="18"/>
                <w:szCs w:val="18"/>
              </w:rPr>
            </w:pPr>
            <w:r w:rsidRPr="00A859F2">
              <w:rPr>
                <w:b/>
                <w:bCs/>
                <w:sz w:val="18"/>
                <w:szCs w:val="18"/>
              </w:rPr>
              <w:t>Résultats escomptés</w:t>
            </w:r>
          </w:p>
        </w:tc>
        <w:tc>
          <w:tcPr>
            <w:tcW w:w="2037" w:type="pct"/>
            <w:shd w:val="clear" w:color="auto" w:fill="B8CCE4" w:themeFill="accent1" w:themeFillTint="66"/>
            <w:tcMar>
              <w:top w:w="113" w:type="dxa"/>
              <w:bottom w:w="113" w:type="dxa"/>
            </w:tcMar>
            <w:vAlign w:val="center"/>
          </w:tcPr>
          <w:p w14:paraId="68E041F2" w14:textId="77777777" w:rsidR="009709C2" w:rsidRPr="00A859F2" w:rsidRDefault="009709C2" w:rsidP="00394CA8">
            <w:pPr>
              <w:rPr>
                <w:b/>
                <w:sz w:val="18"/>
                <w:szCs w:val="18"/>
              </w:rPr>
            </w:pPr>
            <w:r w:rsidRPr="00A859F2">
              <w:rPr>
                <w:b/>
                <w:sz w:val="18"/>
                <w:szCs w:val="18"/>
              </w:rPr>
              <w:t>Indicateurs d’exécution</w:t>
            </w:r>
          </w:p>
        </w:tc>
        <w:tc>
          <w:tcPr>
            <w:tcW w:w="839" w:type="pct"/>
            <w:gridSpan w:val="2"/>
            <w:shd w:val="clear" w:color="auto" w:fill="B8CCE4" w:themeFill="accent1" w:themeFillTint="66"/>
            <w:tcMar>
              <w:top w:w="113" w:type="dxa"/>
              <w:bottom w:w="113" w:type="dxa"/>
            </w:tcMar>
            <w:vAlign w:val="center"/>
          </w:tcPr>
          <w:p w14:paraId="7E4ECCF5" w14:textId="77777777" w:rsidR="009709C2" w:rsidRPr="00A859F2" w:rsidRDefault="009709C2" w:rsidP="00394CA8">
            <w:pPr>
              <w:ind w:left="85"/>
              <w:jc w:val="center"/>
              <w:rPr>
                <w:sz w:val="18"/>
                <w:szCs w:val="18"/>
              </w:rPr>
            </w:pPr>
            <w:r w:rsidRPr="00A859F2">
              <w:rPr>
                <w:b/>
                <w:sz w:val="18"/>
                <w:szCs w:val="18"/>
              </w:rPr>
              <w:t>Programme(s)concerné(s)</w:t>
            </w:r>
          </w:p>
        </w:tc>
        <w:tc>
          <w:tcPr>
            <w:tcW w:w="682" w:type="pct"/>
            <w:gridSpan w:val="2"/>
            <w:shd w:val="clear" w:color="auto" w:fill="B8CCE4" w:themeFill="accent1" w:themeFillTint="66"/>
            <w:vAlign w:val="center"/>
          </w:tcPr>
          <w:p w14:paraId="3019D05C" w14:textId="77777777" w:rsidR="009709C2" w:rsidRPr="00A859F2" w:rsidRDefault="009709C2" w:rsidP="00394CA8">
            <w:pPr>
              <w:ind w:left="85"/>
              <w:jc w:val="center"/>
              <w:rPr>
                <w:b/>
                <w:bCs/>
                <w:sz w:val="18"/>
                <w:szCs w:val="18"/>
              </w:rPr>
            </w:pPr>
            <w:r w:rsidRPr="00A859F2">
              <w:rPr>
                <w:b/>
                <w:bCs/>
                <w:sz w:val="18"/>
                <w:szCs w:val="18"/>
              </w:rPr>
              <w:t>Code de couleurs</w:t>
            </w:r>
          </w:p>
        </w:tc>
      </w:tr>
      <w:tr w:rsidR="009709C2" w:rsidRPr="00A859F2" w14:paraId="0DE5794A" w14:textId="77777777" w:rsidTr="00394CA8">
        <w:tblPrEx>
          <w:tblCellMar>
            <w:left w:w="108" w:type="dxa"/>
            <w:right w:w="108" w:type="dxa"/>
          </w:tblCellMar>
        </w:tblPrEx>
        <w:trPr>
          <w:gridBefore w:val="1"/>
          <w:wBefore w:w="3" w:type="pct"/>
          <w:cantSplit/>
        </w:trPr>
        <w:tc>
          <w:tcPr>
            <w:tcW w:w="1439" w:type="pct"/>
            <w:vMerge w:val="restart"/>
            <w:shd w:val="clear" w:color="auto" w:fill="auto"/>
            <w:tcMar>
              <w:top w:w="113" w:type="dxa"/>
              <w:bottom w:w="57" w:type="dxa"/>
            </w:tcMar>
          </w:tcPr>
          <w:p w14:paraId="6A23AA83" w14:textId="77777777" w:rsidR="009709C2" w:rsidRPr="00A859F2" w:rsidRDefault="009709C2" w:rsidP="00394CA8">
            <w:pPr>
              <w:rPr>
                <w:sz w:val="16"/>
                <w:szCs w:val="16"/>
              </w:rPr>
            </w:pPr>
            <w:r w:rsidRPr="00A859F2">
              <w:rPr>
                <w:sz w:val="16"/>
                <w:szCs w:val="16"/>
              </w:rPr>
              <w:t>III.1 Stratégies et plans nationaux en matière d’innovation et de propriété intellectuelle conformes aux objectifs de développement nationaux</w:t>
            </w:r>
          </w:p>
        </w:tc>
        <w:tc>
          <w:tcPr>
            <w:tcW w:w="2040" w:type="pct"/>
            <w:gridSpan w:val="2"/>
            <w:shd w:val="clear" w:color="auto" w:fill="auto"/>
            <w:tcMar>
              <w:top w:w="113" w:type="dxa"/>
              <w:bottom w:w="57" w:type="dxa"/>
            </w:tcMar>
          </w:tcPr>
          <w:p w14:paraId="755145D1" w14:textId="77777777" w:rsidR="009709C2" w:rsidRPr="00A859F2" w:rsidRDefault="009709C2" w:rsidP="00394CA8">
            <w:pPr>
              <w:rPr>
                <w:sz w:val="16"/>
                <w:szCs w:val="16"/>
              </w:rPr>
            </w:pPr>
            <w:r w:rsidRPr="00A859F2">
              <w:rPr>
                <w:sz w:val="16"/>
                <w:szCs w:val="16"/>
              </w:rPr>
              <w:t>Nombre de pays en train de formuler des stratégies nationales de propriété intellectuelle</w:t>
            </w:r>
          </w:p>
        </w:tc>
        <w:tc>
          <w:tcPr>
            <w:tcW w:w="839" w:type="pct"/>
            <w:gridSpan w:val="2"/>
            <w:shd w:val="clear" w:color="auto" w:fill="FFFFFF"/>
            <w:tcMar>
              <w:top w:w="113" w:type="dxa"/>
              <w:bottom w:w="57" w:type="dxa"/>
            </w:tcMar>
          </w:tcPr>
          <w:p w14:paraId="49F06826"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9</w:t>
            </w:r>
          </w:p>
          <w:p w14:paraId="26D851FF" w14:textId="77777777" w:rsidR="009709C2" w:rsidRPr="00A859F2" w:rsidRDefault="009709C2" w:rsidP="00394CA8">
            <w:pPr>
              <w:jc w:val="center"/>
              <w:rPr>
                <w:sz w:val="6"/>
                <w:szCs w:val="6"/>
              </w:rPr>
            </w:pPr>
          </w:p>
          <w:p w14:paraId="53CE7575" w14:textId="77777777" w:rsidR="009709C2" w:rsidRPr="00A859F2" w:rsidRDefault="009709C2" w:rsidP="00394CA8">
            <w:pPr>
              <w:jc w:val="center"/>
              <w:rPr>
                <w:sz w:val="16"/>
                <w:szCs w:val="16"/>
              </w:rPr>
            </w:pPr>
            <w:r w:rsidRPr="00A859F2">
              <w:rPr>
                <w:sz w:val="16"/>
                <w:szCs w:val="16"/>
              </w:rPr>
              <w:t>Programme</w:t>
            </w:r>
            <w:r>
              <w:rPr>
                <w:sz w:val="16"/>
                <w:szCs w:val="16"/>
              </w:rPr>
              <w:t> </w:t>
            </w:r>
            <w:r w:rsidRPr="00A859F2">
              <w:rPr>
                <w:sz w:val="16"/>
                <w:szCs w:val="16"/>
              </w:rPr>
              <w:t>10</w:t>
            </w:r>
          </w:p>
        </w:tc>
        <w:tc>
          <w:tcPr>
            <w:tcW w:w="679" w:type="pct"/>
            <w:shd w:val="clear" w:color="auto" w:fill="FFFFFF"/>
          </w:tcPr>
          <w:p w14:paraId="327CF0D5" w14:textId="77777777" w:rsidR="009709C2" w:rsidRPr="00A859F2" w:rsidRDefault="009709C2" w:rsidP="00394CA8">
            <w:pPr>
              <w:jc w:val="center"/>
              <w:rPr>
                <w:color w:val="00B05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p w14:paraId="7E2FE15C" w14:textId="77777777" w:rsidR="009709C2" w:rsidRPr="00A859F2" w:rsidRDefault="009709C2" w:rsidP="00394CA8">
            <w:pPr>
              <w:jc w:val="center"/>
            </w:pPr>
            <w:r w:rsidRPr="00A859F2">
              <w:rPr>
                <w:color w:val="00B050"/>
                <w:szCs w:val="22"/>
              </w:rPr>
              <w:sym w:font="Wingdings" w:char="F06C"/>
            </w:r>
          </w:p>
        </w:tc>
      </w:tr>
      <w:tr w:rsidR="009709C2" w:rsidRPr="00A859F2" w14:paraId="19FD6928" w14:textId="77777777" w:rsidTr="00394CA8">
        <w:tblPrEx>
          <w:tblCellMar>
            <w:left w:w="108" w:type="dxa"/>
            <w:right w:w="108" w:type="dxa"/>
          </w:tblCellMar>
        </w:tblPrEx>
        <w:trPr>
          <w:gridBefore w:val="1"/>
          <w:wBefore w:w="3" w:type="pct"/>
          <w:cantSplit/>
          <w:trHeight w:val="538"/>
        </w:trPr>
        <w:tc>
          <w:tcPr>
            <w:tcW w:w="1439" w:type="pct"/>
            <w:vMerge/>
            <w:shd w:val="clear" w:color="auto" w:fill="auto"/>
            <w:tcMar>
              <w:top w:w="113" w:type="dxa"/>
              <w:bottom w:w="57" w:type="dxa"/>
            </w:tcMar>
          </w:tcPr>
          <w:p w14:paraId="376AD0E5"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17DC9FD6" w14:textId="77777777" w:rsidR="009709C2" w:rsidRPr="00A859F2" w:rsidRDefault="009709C2" w:rsidP="00394CA8">
            <w:pPr>
              <w:rPr>
                <w:sz w:val="16"/>
                <w:szCs w:val="16"/>
              </w:rPr>
            </w:pPr>
            <w:r w:rsidRPr="00A859F2">
              <w:rPr>
                <w:sz w:val="16"/>
                <w:szCs w:val="16"/>
              </w:rPr>
              <w:t>Nombre de pays en train de mettre en œuvre des stratégies en matière d’innovation et de propriété intellectuelle et des plans de développement relatifs à la propriété intellectuelle à l’échelle nationale</w:t>
            </w:r>
          </w:p>
        </w:tc>
        <w:tc>
          <w:tcPr>
            <w:tcW w:w="839" w:type="pct"/>
            <w:gridSpan w:val="2"/>
            <w:shd w:val="clear" w:color="auto" w:fill="FFFFFF"/>
            <w:tcMar>
              <w:top w:w="113" w:type="dxa"/>
              <w:bottom w:w="57" w:type="dxa"/>
            </w:tcMar>
          </w:tcPr>
          <w:p w14:paraId="05EC8287"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9</w:t>
            </w:r>
          </w:p>
        </w:tc>
        <w:tc>
          <w:tcPr>
            <w:tcW w:w="679" w:type="pct"/>
            <w:shd w:val="clear" w:color="auto" w:fill="FFFFFF"/>
          </w:tcPr>
          <w:p w14:paraId="5D5827D8" w14:textId="77777777" w:rsidR="009709C2" w:rsidRPr="00A859F2" w:rsidRDefault="009709C2" w:rsidP="00394CA8">
            <w:pPr>
              <w:jc w:val="center"/>
              <w:rPr>
                <w:color w:val="A6A6A6" w:themeColor="background1" w:themeShade="A6"/>
                <w:szCs w:val="22"/>
              </w:rPr>
            </w:pPr>
            <w:r w:rsidRPr="00A859F2">
              <w:rPr>
                <w:color w:val="00B050"/>
                <w:szCs w:val="22"/>
              </w:rPr>
              <w:sym w:font="Wingdings" w:char="F06C"/>
            </w:r>
            <w:r w:rsidRPr="00A859F2">
              <w:rPr>
                <w:color w:val="FF000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1FB94BD9" w14:textId="77777777" w:rsidTr="00394CA8">
        <w:tblPrEx>
          <w:tblCellMar>
            <w:left w:w="108" w:type="dxa"/>
            <w:right w:w="108" w:type="dxa"/>
          </w:tblCellMar>
        </w:tblPrEx>
        <w:trPr>
          <w:gridBefore w:val="1"/>
          <w:wBefore w:w="3" w:type="pct"/>
          <w:cantSplit/>
          <w:trHeight w:val="381"/>
        </w:trPr>
        <w:tc>
          <w:tcPr>
            <w:tcW w:w="1439" w:type="pct"/>
            <w:vMerge/>
            <w:shd w:val="clear" w:color="auto" w:fill="auto"/>
            <w:tcMar>
              <w:top w:w="113" w:type="dxa"/>
              <w:bottom w:w="57" w:type="dxa"/>
            </w:tcMar>
          </w:tcPr>
          <w:p w14:paraId="29B7D549"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C7E1C60" w14:textId="77777777" w:rsidR="009709C2" w:rsidRPr="00A859F2" w:rsidRDefault="009709C2" w:rsidP="00394CA8">
            <w:pPr>
              <w:rPr>
                <w:sz w:val="16"/>
                <w:szCs w:val="16"/>
              </w:rPr>
            </w:pPr>
            <w:r w:rsidRPr="00A859F2">
              <w:rPr>
                <w:sz w:val="16"/>
                <w:szCs w:val="16"/>
              </w:rPr>
              <w:t>Nombre de pays ayant adopté des stratégies nationales en matière d’innovation et de propriété intellectuelle</w:t>
            </w:r>
          </w:p>
        </w:tc>
        <w:tc>
          <w:tcPr>
            <w:tcW w:w="839" w:type="pct"/>
            <w:gridSpan w:val="2"/>
            <w:shd w:val="clear" w:color="auto" w:fill="FFFFFF"/>
            <w:tcMar>
              <w:top w:w="113" w:type="dxa"/>
              <w:bottom w:w="57" w:type="dxa"/>
            </w:tcMar>
          </w:tcPr>
          <w:p w14:paraId="5D1353F5"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9</w:t>
            </w:r>
          </w:p>
        </w:tc>
        <w:tc>
          <w:tcPr>
            <w:tcW w:w="679" w:type="pct"/>
            <w:shd w:val="clear" w:color="auto" w:fill="FFFFFF"/>
          </w:tcPr>
          <w:p w14:paraId="4988C9FA" w14:textId="77777777" w:rsidR="009709C2" w:rsidRPr="00A859F2" w:rsidRDefault="009709C2" w:rsidP="00394CA8">
            <w:pPr>
              <w:spacing w:before="40"/>
              <w:jc w:val="center"/>
            </w:pPr>
            <w:r w:rsidRPr="00A859F2">
              <w:rPr>
                <w:color w:val="00B050"/>
                <w:szCs w:val="22"/>
              </w:rPr>
              <w:sym w:font="Wingdings" w:char="F06C"/>
            </w:r>
            <w:r w:rsidRPr="00A859F2">
              <w:rPr>
                <w:color w:val="FF0000"/>
                <w:szCs w:val="22"/>
              </w:rPr>
              <w:sym w:font="Wingdings" w:char="F06C"/>
            </w:r>
            <w:r w:rsidRPr="00A859F2">
              <w:rPr>
                <w:color w:val="FF0000"/>
                <w:szCs w:val="22"/>
              </w:rPr>
              <w:sym w:font="Wingdings" w:char="F06C"/>
            </w:r>
            <w:r w:rsidRPr="00A859F2">
              <w:rPr>
                <w:color w:val="00B050"/>
                <w:szCs w:val="22"/>
              </w:rPr>
              <w:sym w:font="Wingdings" w:char="F06C"/>
            </w:r>
          </w:p>
        </w:tc>
      </w:tr>
      <w:tr w:rsidR="009709C2" w:rsidRPr="00A859F2" w14:paraId="6C6221B7" w14:textId="77777777" w:rsidTr="00394CA8">
        <w:tblPrEx>
          <w:tblCellMar>
            <w:left w:w="108" w:type="dxa"/>
            <w:right w:w="108" w:type="dxa"/>
          </w:tblCellMar>
        </w:tblPrEx>
        <w:trPr>
          <w:gridBefore w:val="1"/>
          <w:wBefore w:w="3" w:type="pct"/>
          <w:cantSplit/>
          <w:trHeight w:val="532"/>
        </w:trPr>
        <w:tc>
          <w:tcPr>
            <w:tcW w:w="1439" w:type="pct"/>
            <w:vMerge/>
            <w:shd w:val="clear" w:color="auto" w:fill="auto"/>
            <w:tcMar>
              <w:top w:w="113" w:type="dxa"/>
              <w:bottom w:w="57" w:type="dxa"/>
            </w:tcMar>
          </w:tcPr>
          <w:p w14:paraId="229F7703"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5AA563E3" w14:textId="77777777" w:rsidR="009709C2" w:rsidRPr="00A859F2" w:rsidRDefault="009709C2" w:rsidP="00394CA8">
            <w:pPr>
              <w:rPr>
                <w:sz w:val="16"/>
                <w:szCs w:val="16"/>
              </w:rPr>
            </w:pPr>
            <w:r w:rsidRPr="00A859F2">
              <w:rPr>
                <w:sz w:val="16"/>
                <w:szCs w:val="16"/>
              </w:rPr>
              <w:t>Nombre de pays ayant élaboré des stratégies ou des plans nationaux en matière de propriété intellectuelle conformes aux objectifs nationaux de développement</w:t>
            </w:r>
          </w:p>
        </w:tc>
        <w:tc>
          <w:tcPr>
            <w:tcW w:w="839" w:type="pct"/>
            <w:gridSpan w:val="2"/>
            <w:shd w:val="clear" w:color="auto" w:fill="FFFFFF"/>
            <w:tcMar>
              <w:top w:w="113" w:type="dxa"/>
              <w:bottom w:w="57" w:type="dxa"/>
            </w:tcMar>
          </w:tcPr>
          <w:p w14:paraId="15F5E557"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10</w:t>
            </w:r>
          </w:p>
        </w:tc>
        <w:tc>
          <w:tcPr>
            <w:tcW w:w="679" w:type="pct"/>
            <w:shd w:val="clear" w:color="auto" w:fill="FFFFFF"/>
          </w:tcPr>
          <w:p w14:paraId="156C0756" w14:textId="77777777" w:rsidR="009709C2" w:rsidRPr="00A859F2" w:rsidRDefault="009709C2" w:rsidP="00394CA8">
            <w:pPr>
              <w:jc w:val="center"/>
            </w:pPr>
            <w:r w:rsidRPr="00A859F2">
              <w:rPr>
                <w:color w:val="FF0000"/>
                <w:szCs w:val="22"/>
              </w:rPr>
              <w:sym w:font="Wingdings" w:char="F06C"/>
            </w:r>
          </w:p>
        </w:tc>
      </w:tr>
      <w:tr w:rsidR="009709C2" w:rsidRPr="00A859F2" w14:paraId="68084C59" w14:textId="77777777" w:rsidTr="00394CA8">
        <w:tblPrEx>
          <w:tblCellMar>
            <w:left w:w="108" w:type="dxa"/>
            <w:right w:w="108" w:type="dxa"/>
          </w:tblCellMar>
        </w:tblPrEx>
        <w:trPr>
          <w:gridBefore w:val="1"/>
          <w:wBefore w:w="3" w:type="pct"/>
          <w:cantSplit/>
          <w:trHeight w:val="226"/>
        </w:trPr>
        <w:tc>
          <w:tcPr>
            <w:tcW w:w="1439" w:type="pct"/>
            <w:vMerge/>
            <w:shd w:val="clear" w:color="auto" w:fill="auto"/>
            <w:tcMar>
              <w:top w:w="113" w:type="dxa"/>
              <w:bottom w:w="57" w:type="dxa"/>
            </w:tcMar>
          </w:tcPr>
          <w:p w14:paraId="0BB46185"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220DDE58" w14:textId="77777777" w:rsidR="009709C2" w:rsidRPr="00A859F2" w:rsidRDefault="009709C2" w:rsidP="00394CA8">
            <w:pPr>
              <w:rPr>
                <w:sz w:val="16"/>
                <w:szCs w:val="16"/>
              </w:rPr>
            </w:pPr>
            <w:r w:rsidRPr="00A859F2">
              <w:rPr>
                <w:sz w:val="16"/>
                <w:szCs w:val="16"/>
              </w:rPr>
              <w:t>Nombre de stratégies nationales en matière de propriété intellectuelle relatives à la promotion de la créativité et de l’innovation</w:t>
            </w:r>
          </w:p>
        </w:tc>
        <w:tc>
          <w:tcPr>
            <w:tcW w:w="839" w:type="pct"/>
            <w:gridSpan w:val="2"/>
            <w:shd w:val="clear" w:color="auto" w:fill="FFFFFF"/>
            <w:tcMar>
              <w:top w:w="113" w:type="dxa"/>
              <w:bottom w:w="57" w:type="dxa"/>
            </w:tcMar>
          </w:tcPr>
          <w:p w14:paraId="0917A433"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6B02DDEA" w14:textId="77777777" w:rsidR="009709C2" w:rsidRPr="00A859F2" w:rsidRDefault="009709C2" w:rsidP="00394CA8">
            <w:pPr>
              <w:jc w:val="center"/>
            </w:pPr>
            <w:r w:rsidRPr="00A859F2">
              <w:rPr>
                <w:color w:val="FF0000"/>
                <w:szCs w:val="22"/>
              </w:rPr>
              <w:sym w:font="Wingdings" w:char="F06C"/>
            </w:r>
          </w:p>
        </w:tc>
      </w:tr>
      <w:tr w:rsidR="009709C2" w:rsidRPr="00A859F2" w14:paraId="0424C74F" w14:textId="77777777" w:rsidTr="00394CA8">
        <w:tblPrEx>
          <w:tblCellMar>
            <w:left w:w="108" w:type="dxa"/>
            <w:right w:w="108" w:type="dxa"/>
          </w:tblCellMar>
        </w:tblPrEx>
        <w:trPr>
          <w:gridBefore w:val="1"/>
          <w:wBefore w:w="3" w:type="pct"/>
          <w:cantSplit/>
          <w:trHeight w:val="562"/>
        </w:trPr>
        <w:tc>
          <w:tcPr>
            <w:tcW w:w="1439" w:type="pct"/>
            <w:vMerge w:val="restart"/>
            <w:shd w:val="clear" w:color="auto" w:fill="auto"/>
            <w:tcMar>
              <w:top w:w="113" w:type="dxa"/>
              <w:bottom w:w="57" w:type="dxa"/>
            </w:tcMar>
          </w:tcPr>
          <w:p w14:paraId="2165D337" w14:textId="77777777" w:rsidR="009709C2" w:rsidRPr="00A859F2" w:rsidRDefault="009709C2" w:rsidP="00394CA8">
            <w:pPr>
              <w:rPr>
                <w:sz w:val="16"/>
                <w:szCs w:val="16"/>
              </w:rPr>
            </w:pPr>
            <w:r w:rsidRPr="00A859F2">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040" w:type="pct"/>
            <w:gridSpan w:val="2"/>
            <w:shd w:val="clear" w:color="auto" w:fill="auto"/>
            <w:tcMar>
              <w:top w:w="113" w:type="dxa"/>
              <w:bottom w:w="57" w:type="dxa"/>
            </w:tcMar>
          </w:tcPr>
          <w:p w14:paraId="5A64B980" w14:textId="77777777" w:rsidR="009709C2" w:rsidRPr="00A859F2" w:rsidRDefault="009709C2" w:rsidP="00394CA8">
            <w:pPr>
              <w:rPr>
                <w:sz w:val="16"/>
                <w:szCs w:val="16"/>
              </w:rPr>
            </w:pPr>
            <w:r w:rsidRPr="00A859F2">
              <w:rPr>
                <w:sz w:val="16"/>
                <w:szCs w:val="16"/>
              </w:rPr>
              <w:t>Pourcentage des participants à des ateliers de renforcement des capacités ayant indiqué utiliser en pratique les connaissances acquises neuf mois après la participation aux ateliers</w:t>
            </w:r>
          </w:p>
        </w:tc>
        <w:tc>
          <w:tcPr>
            <w:tcW w:w="839" w:type="pct"/>
            <w:gridSpan w:val="2"/>
            <w:shd w:val="clear" w:color="auto" w:fill="FFFFFF"/>
            <w:tcMar>
              <w:top w:w="113" w:type="dxa"/>
              <w:bottom w:w="57" w:type="dxa"/>
            </w:tcMar>
          </w:tcPr>
          <w:p w14:paraId="652D3924"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12F60B86" w14:textId="77777777" w:rsidR="009709C2" w:rsidRPr="00A859F2" w:rsidRDefault="009709C2" w:rsidP="00394CA8">
            <w:pPr>
              <w:jc w:val="center"/>
              <w:rPr>
                <w:color w:val="008000"/>
                <w:szCs w:val="22"/>
              </w:rPr>
            </w:pPr>
            <w:r w:rsidRPr="00A859F2">
              <w:rPr>
                <w:color w:val="00B050"/>
                <w:szCs w:val="22"/>
              </w:rPr>
              <w:sym w:font="Wingdings" w:char="F06C"/>
            </w:r>
          </w:p>
        </w:tc>
      </w:tr>
      <w:tr w:rsidR="009709C2" w:rsidRPr="00A859F2" w14:paraId="4BA63AD9" w14:textId="77777777" w:rsidTr="00394CA8">
        <w:tblPrEx>
          <w:tblCellMar>
            <w:left w:w="108" w:type="dxa"/>
            <w:right w:w="108" w:type="dxa"/>
          </w:tblCellMar>
        </w:tblPrEx>
        <w:trPr>
          <w:gridBefore w:val="1"/>
          <w:wBefore w:w="3" w:type="pct"/>
          <w:cantSplit/>
          <w:trHeight w:val="545"/>
        </w:trPr>
        <w:tc>
          <w:tcPr>
            <w:tcW w:w="1439" w:type="pct"/>
            <w:vMerge/>
            <w:shd w:val="clear" w:color="auto" w:fill="auto"/>
            <w:tcMar>
              <w:top w:w="113" w:type="dxa"/>
              <w:bottom w:w="57" w:type="dxa"/>
            </w:tcMar>
          </w:tcPr>
          <w:p w14:paraId="11FEDAF3"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7922470F" w14:textId="77777777" w:rsidR="009709C2" w:rsidRPr="00A859F2" w:rsidRDefault="009709C2" w:rsidP="00394CA8">
            <w:pPr>
              <w:rPr>
                <w:sz w:val="16"/>
                <w:szCs w:val="16"/>
              </w:rPr>
            </w:pPr>
            <w:r w:rsidRPr="00A859F2">
              <w:rPr>
                <w:sz w:val="16"/>
                <w:szCs w:val="16"/>
              </w:rPr>
              <w:t>Pourcentage de participants satisfaits des réunions et des ateliers de renforcement des capacités liées au droit d’auteur et aux droits connexes, et les ayant évalués comme utiles</w:t>
            </w:r>
          </w:p>
        </w:tc>
        <w:tc>
          <w:tcPr>
            <w:tcW w:w="839" w:type="pct"/>
            <w:gridSpan w:val="2"/>
            <w:shd w:val="clear" w:color="auto" w:fill="FFFFFF"/>
            <w:tcMar>
              <w:top w:w="113" w:type="dxa"/>
              <w:bottom w:w="57" w:type="dxa"/>
            </w:tcMar>
          </w:tcPr>
          <w:p w14:paraId="330CFFCA"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14BDAD18" w14:textId="77777777" w:rsidR="009709C2" w:rsidRPr="00A859F2" w:rsidRDefault="009709C2" w:rsidP="00394CA8">
            <w:pPr>
              <w:jc w:val="center"/>
            </w:pPr>
            <w:r w:rsidRPr="00A859F2">
              <w:rPr>
                <w:color w:val="00B050"/>
                <w:szCs w:val="22"/>
              </w:rPr>
              <w:sym w:font="Wingdings" w:char="F06C"/>
            </w:r>
          </w:p>
        </w:tc>
      </w:tr>
      <w:tr w:rsidR="009709C2" w:rsidRPr="00A859F2" w14:paraId="1EEAA442" w14:textId="77777777" w:rsidTr="00394CA8">
        <w:tblPrEx>
          <w:tblCellMar>
            <w:left w:w="108" w:type="dxa"/>
            <w:right w:w="108" w:type="dxa"/>
          </w:tblCellMar>
        </w:tblPrEx>
        <w:trPr>
          <w:gridBefore w:val="1"/>
          <w:wBefore w:w="3" w:type="pct"/>
          <w:cantSplit/>
          <w:trHeight w:val="257"/>
        </w:trPr>
        <w:tc>
          <w:tcPr>
            <w:tcW w:w="1439" w:type="pct"/>
            <w:vMerge/>
            <w:shd w:val="clear" w:color="auto" w:fill="auto"/>
            <w:tcMar>
              <w:top w:w="113" w:type="dxa"/>
              <w:bottom w:w="57" w:type="dxa"/>
            </w:tcMar>
          </w:tcPr>
          <w:p w14:paraId="432C7B76"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1C893589" w14:textId="77777777" w:rsidR="009709C2" w:rsidRPr="00A859F2" w:rsidRDefault="009709C2" w:rsidP="00394CA8">
            <w:pPr>
              <w:rPr>
                <w:sz w:val="16"/>
                <w:szCs w:val="16"/>
              </w:rPr>
            </w:pPr>
            <w:r w:rsidRPr="00A859F2">
              <w:rPr>
                <w:sz w:val="16"/>
                <w:szCs w:val="16"/>
              </w:rPr>
              <w:t>Pourcentage de participants ayant présenté un rapport positif sur les programmes de renforcement des capacités en matière de gestion collective</w:t>
            </w:r>
          </w:p>
        </w:tc>
        <w:tc>
          <w:tcPr>
            <w:tcW w:w="839" w:type="pct"/>
            <w:gridSpan w:val="2"/>
            <w:shd w:val="clear" w:color="auto" w:fill="FFFFFF"/>
            <w:tcMar>
              <w:top w:w="113" w:type="dxa"/>
              <w:bottom w:w="57" w:type="dxa"/>
            </w:tcMar>
          </w:tcPr>
          <w:p w14:paraId="56D7902D"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26C2EC29" w14:textId="77777777" w:rsidR="009709C2" w:rsidRPr="00A859F2" w:rsidRDefault="009709C2" w:rsidP="00394CA8">
            <w:pPr>
              <w:jc w:val="center"/>
            </w:pPr>
            <w:r w:rsidRPr="00A859F2">
              <w:rPr>
                <w:color w:val="00B050"/>
                <w:szCs w:val="22"/>
              </w:rPr>
              <w:sym w:font="Wingdings" w:char="F06C"/>
            </w:r>
          </w:p>
        </w:tc>
      </w:tr>
      <w:tr w:rsidR="009709C2" w:rsidRPr="00A859F2" w14:paraId="2DBE7D1F" w14:textId="77777777" w:rsidTr="00394CA8">
        <w:tblPrEx>
          <w:tblCellMar>
            <w:left w:w="108" w:type="dxa"/>
            <w:right w:w="108" w:type="dxa"/>
          </w:tblCellMar>
        </w:tblPrEx>
        <w:trPr>
          <w:gridBefore w:val="1"/>
          <w:wBefore w:w="3" w:type="pct"/>
          <w:cantSplit/>
          <w:trHeight w:val="563"/>
        </w:trPr>
        <w:tc>
          <w:tcPr>
            <w:tcW w:w="1439" w:type="pct"/>
            <w:vMerge/>
            <w:shd w:val="clear" w:color="auto" w:fill="auto"/>
            <w:tcMar>
              <w:top w:w="113" w:type="dxa"/>
              <w:bottom w:w="57" w:type="dxa"/>
            </w:tcMar>
          </w:tcPr>
          <w:p w14:paraId="2AAC36C5"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2BBDDF49" w14:textId="77777777" w:rsidR="009709C2" w:rsidRPr="00A859F2" w:rsidRDefault="009709C2" w:rsidP="00394CA8">
            <w:pPr>
              <w:rPr>
                <w:sz w:val="16"/>
                <w:szCs w:val="16"/>
              </w:rPr>
            </w:pPr>
            <w:r w:rsidRPr="00A859F2">
              <w:rPr>
                <w:sz w:val="16"/>
                <w:szCs w:val="16"/>
              </w:rPr>
              <w:t>Pourcentage de participants ayant des connaissances et des compétences accrues en matière de mise en œuvre d’activités de formation dans leurs pays respectifs</w:t>
            </w:r>
          </w:p>
        </w:tc>
        <w:tc>
          <w:tcPr>
            <w:tcW w:w="839" w:type="pct"/>
            <w:gridSpan w:val="2"/>
            <w:shd w:val="clear" w:color="auto" w:fill="FFFFFF"/>
            <w:tcMar>
              <w:top w:w="113" w:type="dxa"/>
              <w:bottom w:w="57" w:type="dxa"/>
            </w:tcMar>
          </w:tcPr>
          <w:p w14:paraId="2E2BC472"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601C037B" w14:textId="77777777" w:rsidR="009709C2" w:rsidRPr="00A859F2" w:rsidRDefault="009709C2" w:rsidP="00394CA8">
            <w:pPr>
              <w:jc w:val="center"/>
            </w:pPr>
            <w:r w:rsidRPr="00A859F2">
              <w:rPr>
                <w:color w:val="00B050"/>
                <w:szCs w:val="22"/>
              </w:rPr>
              <w:sym w:font="Wingdings" w:char="F06C"/>
            </w:r>
          </w:p>
        </w:tc>
      </w:tr>
      <w:tr w:rsidR="009709C2" w:rsidRPr="00A859F2" w14:paraId="2D9E081B" w14:textId="77777777" w:rsidTr="00394CA8">
        <w:tblPrEx>
          <w:tblCellMar>
            <w:left w:w="108" w:type="dxa"/>
            <w:right w:w="108" w:type="dxa"/>
          </w:tblCellMar>
        </w:tblPrEx>
        <w:trPr>
          <w:gridBefore w:val="1"/>
          <w:wBefore w:w="3" w:type="pct"/>
          <w:cantSplit/>
          <w:trHeight w:val="389"/>
        </w:trPr>
        <w:tc>
          <w:tcPr>
            <w:tcW w:w="1439" w:type="pct"/>
            <w:vMerge/>
            <w:shd w:val="clear" w:color="auto" w:fill="auto"/>
            <w:tcMar>
              <w:top w:w="113" w:type="dxa"/>
              <w:bottom w:w="57" w:type="dxa"/>
            </w:tcMar>
          </w:tcPr>
          <w:p w14:paraId="7FD2D644"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5672DDE5" w14:textId="77777777" w:rsidR="009709C2" w:rsidRPr="00A859F2" w:rsidRDefault="009709C2" w:rsidP="00394CA8">
            <w:pPr>
              <w:rPr>
                <w:sz w:val="16"/>
                <w:szCs w:val="16"/>
              </w:rPr>
            </w:pPr>
            <w:r w:rsidRPr="00A859F2">
              <w:rPr>
                <w:sz w:val="16"/>
                <w:szCs w:val="16"/>
              </w:rPr>
              <w:t xml:space="preserve">Nombre de livres en format accessible prêtés à des personnes ayant des difficultés de lecture des textes imprimés </w:t>
            </w:r>
          </w:p>
        </w:tc>
        <w:tc>
          <w:tcPr>
            <w:tcW w:w="839" w:type="pct"/>
            <w:gridSpan w:val="2"/>
            <w:shd w:val="clear" w:color="auto" w:fill="FFFFFF"/>
            <w:tcMar>
              <w:top w:w="113" w:type="dxa"/>
              <w:bottom w:w="57" w:type="dxa"/>
            </w:tcMar>
          </w:tcPr>
          <w:p w14:paraId="0FB78950"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0F1B83DA" w14:textId="77777777" w:rsidR="009709C2" w:rsidRPr="00A859F2" w:rsidRDefault="009709C2" w:rsidP="00394CA8">
            <w:pPr>
              <w:jc w:val="center"/>
            </w:pPr>
            <w:r w:rsidRPr="00A859F2">
              <w:rPr>
                <w:color w:val="00B050"/>
                <w:szCs w:val="22"/>
              </w:rPr>
              <w:sym w:font="Wingdings" w:char="F06C"/>
            </w:r>
          </w:p>
        </w:tc>
      </w:tr>
      <w:tr w:rsidR="009709C2" w:rsidRPr="00A859F2" w14:paraId="522F0039" w14:textId="77777777" w:rsidTr="00394CA8">
        <w:tblPrEx>
          <w:tblCellMar>
            <w:left w:w="108" w:type="dxa"/>
            <w:right w:w="108" w:type="dxa"/>
          </w:tblCellMar>
        </w:tblPrEx>
        <w:trPr>
          <w:gridBefore w:val="1"/>
          <w:wBefore w:w="3" w:type="pct"/>
          <w:cantSplit/>
          <w:trHeight w:val="203"/>
        </w:trPr>
        <w:tc>
          <w:tcPr>
            <w:tcW w:w="1439" w:type="pct"/>
            <w:vMerge/>
            <w:shd w:val="clear" w:color="auto" w:fill="auto"/>
            <w:tcMar>
              <w:top w:w="113" w:type="dxa"/>
              <w:bottom w:w="57" w:type="dxa"/>
            </w:tcMar>
          </w:tcPr>
          <w:p w14:paraId="22A9B958"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64382E06" w14:textId="77777777" w:rsidR="009709C2" w:rsidRPr="00A859F2" w:rsidRDefault="009709C2" w:rsidP="00394CA8">
            <w:pPr>
              <w:rPr>
                <w:sz w:val="16"/>
                <w:szCs w:val="16"/>
              </w:rPr>
            </w:pPr>
            <w:r w:rsidRPr="00A859F2">
              <w:rPr>
                <w:sz w:val="16"/>
                <w:szCs w:val="16"/>
              </w:rPr>
              <w:t>Nombre d’organismes de gestion collective demandant une accréditation TAG</w:t>
            </w:r>
          </w:p>
        </w:tc>
        <w:tc>
          <w:tcPr>
            <w:tcW w:w="839" w:type="pct"/>
            <w:gridSpan w:val="2"/>
            <w:shd w:val="clear" w:color="auto" w:fill="FFFFFF"/>
            <w:tcMar>
              <w:top w:w="113" w:type="dxa"/>
              <w:bottom w:w="57" w:type="dxa"/>
            </w:tcMar>
          </w:tcPr>
          <w:p w14:paraId="5A4A79D7"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763108E4" w14:textId="77777777" w:rsidR="009709C2" w:rsidRPr="00A859F2" w:rsidRDefault="009709C2" w:rsidP="00394CA8">
            <w:pPr>
              <w:jc w:val="center"/>
            </w:pPr>
            <w:r w:rsidRPr="00A859F2">
              <w:rPr>
                <w:szCs w:val="22"/>
              </w:rPr>
              <w:sym w:font="Wingdings" w:char="F06C"/>
            </w:r>
          </w:p>
        </w:tc>
      </w:tr>
      <w:tr w:rsidR="009709C2" w:rsidRPr="00A859F2" w14:paraId="0016D9E6" w14:textId="77777777" w:rsidTr="00394CA8">
        <w:tblPrEx>
          <w:tblCellMar>
            <w:left w:w="108" w:type="dxa"/>
            <w:right w:w="108" w:type="dxa"/>
          </w:tblCellMar>
        </w:tblPrEx>
        <w:trPr>
          <w:gridBefore w:val="1"/>
          <w:wBefore w:w="3" w:type="pct"/>
          <w:cantSplit/>
          <w:trHeight w:val="389"/>
        </w:trPr>
        <w:tc>
          <w:tcPr>
            <w:tcW w:w="1439" w:type="pct"/>
            <w:vMerge/>
            <w:shd w:val="clear" w:color="auto" w:fill="auto"/>
            <w:tcMar>
              <w:top w:w="113" w:type="dxa"/>
              <w:bottom w:w="57" w:type="dxa"/>
            </w:tcMar>
          </w:tcPr>
          <w:p w14:paraId="70286C09" w14:textId="77777777" w:rsidR="009709C2" w:rsidRPr="00A859F2" w:rsidRDefault="009709C2" w:rsidP="00394CA8">
            <w:pPr>
              <w:rPr>
                <w:sz w:val="16"/>
                <w:szCs w:val="16"/>
              </w:rPr>
            </w:pPr>
          </w:p>
        </w:tc>
        <w:tc>
          <w:tcPr>
            <w:tcW w:w="2040" w:type="pct"/>
            <w:gridSpan w:val="2"/>
            <w:shd w:val="clear" w:color="auto" w:fill="auto"/>
            <w:tcMar>
              <w:top w:w="113" w:type="dxa"/>
              <w:bottom w:w="0" w:type="dxa"/>
            </w:tcMar>
          </w:tcPr>
          <w:p w14:paraId="59C59399" w14:textId="77777777" w:rsidR="009709C2" w:rsidRPr="00A859F2" w:rsidRDefault="009709C2" w:rsidP="00394CA8">
            <w:pPr>
              <w:rPr>
                <w:sz w:val="16"/>
                <w:szCs w:val="16"/>
              </w:rPr>
            </w:pPr>
            <w:r w:rsidRPr="00A859F2">
              <w:rPr>
                <w:sz w:val="16"/>
                <w:szCs w:val="16"/>
              </w:rPr>
              <w:t>Nombre de bureaux nationaux du droit d’auteur participant activement au processus de consultation dans le cadre du projet TAG</w:t>
            </w:r>
          </w:p>
        </w:tc>
        <w:tc>
          <w:tcPr>
            <w:tcW w:w="839" w:type="pct"/>
            <w:gridSpan w:val="2"/>
            <w:shd w:val="clear" w:color="auto" w:fill="FFFFFF"/>
            <w:tcMar>
              <w:top w:w="113" w:type="dxa"/>
              <w:bottom w:w="57" w:type="dxa"/>
            </w:tcMar>
          </w:tcPr>
          <w:p w14:paraId="0BBC37DE"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4EB7E69C" w14:textId="77777777" w:rsidR="009709C2" w:rsidRPr="00A859F2" w:rsidRDefault="009709C2" w:rsidP="00394CA8">
            <w:pPr>
              <w:jc w:val="center"/>
              <w:rPr>
                <w:szCs w:val="22"/>
              </w:rPr>
            </w:pPr>
            <w:r w:rsidRPr="00A859F2">
              <w:rPr>
                <w:szCs w:val="22"/>
              </w:rPr>
              <w:sym w:font="Wingdings" w:char="F06C"/>
            </w:r>
          </w:p>
        </w:tc>
      </w:tr>
      <w:tr w:rsidR="009709C2" w:rsidRPr="00A859F2" w14:paraId="580A972E" w14:textId="77777777" w:rsidTr="00394CA8">
        <w:tblPrEx>
          <w:tblCellMar>
            <w:left w:w="108" w:type="dxa"/>
            <w:right w:w="108" w:type="dxa"/>
          </w:tblCellMar>
        </w:tblPrEx>
        <w:trPr>
          <w:gridBefore w:val="1"/>
          <w:wBefore w:w="3" w:type="pct"/>
          <w:cantSplit/>
          <w:trHeight w:val="363"/>
        </w:trPr>
        <w:tc>
          <w:tcPr>
            <w:tcW w:w="1439" w:type="pct"/>
            <w:vMerge/>
            <w:shd w:val="clear" w:color="auto" w:fill="auto"/>
            <w:tcMar>
              <w:top w:w="113" w:type="dxa"/>
              <w:bottom w:w="57" w:type="dxa"/>
            </w:tcMar>
          </w:tcPr>
          <w:p w14:paraId="07B1FD43"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524DA95D" w14:textId="77777777" w:rsidR="009709C2" w:rsidRPr="00A859F2" w:rsidRDefault="009709C2" w:rsidP="00394CA8">
            <w:pPr>
              <w:rPr>
                <w:sz w:val="16"/>
                <w:szCs w:val="16"/>
              </w:rPr>
            </w:pPr>
            <w:r w:rsidRPr="00A859F2">
              <w:rPr>
                <w:sz w:val="16"/>
                <w:szCs w:val="16"/>
              </w:rPr>
              <w:t>Nombre de maisons d’</w:t>
            </w:r>
            <w:r>
              <w:rPr>
                <w:sz w:val="16"/>
                <w:szCs w:val="16"/>
              </w:rPr>
              <w:t>édition signant la Charte </w:t>
            </w:r>
            <w:r w:rsidRPr="00A859F2">
              <w:rPr>
                <w:sz w:val="16"/>
                <w:szCs w:val="16"/>
              </w:rPr>
              <w:t>ABC de l’édition en format accessible (“Charte”)</w:t>
            </w:r>
          </w:p>
        </w:tc>
        <w:tc>
          <w:tcPr>
            <w:tcW w:w="839" w:type="pct"/>
            <w:gridSpan w:val="2"/>
            <w:shd w:val="clear" w:color="auto" w:fill="FFFFFF"/>
            <w:tcMar>
              <w:top w:w="113" w:type="dxa"/>
              <w:bottom w:w="57" w:type="dxa"/>
            </w:tcMar>
          </w:tcPr>
          <w:p w14:paraId="08673ADC"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7B49C4AA" w14:textId="77777777" w:rsidR="009709C2" w:rsidRPr="00A859F2" w:rsidRDefault="009709C2" w:rsidP="00394CA8">
            <w:pPr>
              <w:jc w:val="center"/>
            </w:pPr>
            <w:r w:rsidRPr="00A859F2">
              <w:rPr>
                <w:szCs w:val="22"/>
              </w:rPr>
              <w:sym w:font="Wingdings" w:char="F06C"/>
            </w:r>
          </w:p>
        </w:tc>
      </w:tr>
      <w:tr w:rsidR="009709C2" w:rsidRPr="00A859F2" w14:paraId="7767ED6D" w14:textId="77777777" w:rsidTr="00394CA8">
        <w:tblPrEx>
          <w:tblCellMar>
            <w:left w:w="108" w:type="dxa"/>
            <w:right w:w="108" w:type="dxa"/>
          </w:tblCellMar>
        </w:tblPrEx>
        <w:trPr>
          <w:gridBefore w:val="1"/>
          <w:wBefore w:w="3" w:type="pct"/>
          <w:cantSplit/>
          <w:trHeight w:val="243"/>
        </w:trPr>
        <w:tc>
          <w:tcPr>
            <w:tcW w:w="1439" w:type="pct"/>
            <w:vMerge/>
            <w:shd w:val="clear" w:color="auto" w:fill="auto"/>
            <w:tcMar>
              <w:top w:w="113" w:type="dxa"/>
              <w:bottom w:w="57" w:type="dxa"/>
            </w:tcMar>
          </w:tcPr>
          <w:p w14:paraId="2956AF6E"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7D94E221" w14:textId="77777777" w:rsidR="009709C2" w:rsidRPr="00A859F2" w:rsidRDefault="009709C2" w:rsidP="00394CA8">
            <w:pPr>
              <w:rPr>
                <w:sz w:val="16"/>
                <w:szCs w:val="16"/>
              </w:rPr>
            </w:pPr>
            <w:r w:rsidRPr="00A859F2">
              <w:rPr>
                <w:sz w:val="16"/>
                <w:szCs w:val="16"/>
              </w:rPr>
              <w:t>Nombre de visites sur le Portail de l’infrastructure du droit d’auteur</w:t>
            </w:r>
          </w:p>
        </w:tc>
        <w:tc>
          <w:tcPr>
            <w:tcW w:w="839" w:type="pct"/>
            <w:gridSpan w:val="2"/>
            <w:shd w:val="clear" w:color="auto" w:fill="FFFFFF"/>
            <w:tcMar>
              <w:top w:w="113" w:type="dxa"/>
              <w:bottom w:w="57" w:type="dxa"/>
            </w:tcMar>
          </w:tcPr>
          <w:p w14:paraId="53B3FDA7"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w:t>
            </w:r>
          </w:p>
        </w:tc>
        <w:tc>
          <w:tcPr>
            <w:tcW w:w="679" w:type="pct"/>
            <w:shd w:val="clear" w:color="auto" w:fill="FFFFFF"/>
          </w:tcPr>
          <w:p w14:paraId="3B16DEA3" w14:textId="77777777" w:rsidR="009709C2" w:rsidRPr="00A859F2" w:rsidRDefault="009709C2" w:rsidP="00394CA8">
            <w:pPr>
              <w:jc w:val="center"/>
            </w:pPr>
            <w:r w:rsidRPr="00A859F2">
              <w:rPr>
                <w:color w:val="0070C0"/>
                <w:szCs w:val="22"/>
              </w:rPr>
              <w:sym w:font="Wingdings" w:char="F06C"/>
            </w:r>
          </w:p>
        </w:tc>
      </w:tr>
      <w:tr w:rsidR="009709C2" w:rsidRPr="00A859F2" w14:paraId="557851C6" w14:textId="77777777" w:rsidTr="00394CA8">
        <w:tblPrEx>
          <w:tblCellMar>
            <w:left w:w="108" w:type="dxa"/>
            <w:right w:w="108" w:type="dxa"/>
          </w:tblCellMar>
        </w:tblPrEx>
        <w:trPr>
          <w:gridBefore w:val="1"/>
          <w:wBefore w:w="3" w:type="pct"/>
          <w:cantSplit/>
          <w:trHeight w:val="604"/>
        </w:trPr>
        <w:tc>
          <w:tcPr>
            <w:tcW w:w="1439" w:type="pct"/>
            <w:vMerge/>
            <w:shd w:val="clear" w:color="auto" w:fill="auto"/>
            <w:tcMar>
              <w:top w:w="113" w:type="dxa"/>
              <w:bottom w:w="57" w:type="dxa"/>
            </w:tcMar>
          </w:tcPr>
          <w:p w14:paraId="690C631C"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1B431466" w14:textId="77777777" w:rsidR="009709C2" w:rsidRPr="00A859F2" w:rsidRDefault="009709C2" w:rsidP="00394CA8">
            <w:pPr>
              <w:rPr>
                <w:sz w:val="16"/>
                <w:szCs w:val="16"/>
              </w:rPr>
            </w:pPr>
            <w:r w:rsidRPr="00A859F2">
              <w:rPr>
                <w:sz w:val="16"/>
                <w:szCs w:val="16"/>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839" w:type="pct"/>
            <w:gridSpan w:val="2"/>
            <w:shd w:val="clear" w:color="auto" w:fill="FFFFFF"/>
            <w:tcMar>
              <w:top w:w="113" w:type="dxa"/>
              <w:bottom w:w="57" w:type="dxa"/>
            </w:tcMar>
          </w:tcPr>
          <w:p w14:paraId="77723DC1"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4</w:t>
            </w:r>
          </w:p>
        </w:tc>
        <w:tc>
          <w:tcPr>
            <w:tcW w:w="679" w:type="pct"/>
            <w:shd w:val="clear" w:color="auto" w:fill="FFFFFF"/>
          </w:tcPr>
          <w:p w14:paraId="74B817DC" w14:textId="77777777" w:rsidR="009709C2" w:rsidRPr="00A859F2" w:rsidRDefault="009709C2" w:rsidP="00394CA8">
            <w:pPr>
              <w:jc w:val="center"/>
            </w:pPr>
            <w:r w:rsidRPr="00A859F2">
              <w:rPr>
                <w:color w:val="00B050"/>
                <w:szCs w:val="22"/>
              </w:rPr>
              <w:sym w:font="Wingdings" w:char="F06C"/>
            </w:r>
          </w:p>
        </w:tc>
      </w:tr>
      <w:tr w:rsidR="009709C2" w:rsidRPr="00A859F2" w14:paraId="69FC8CAE" w14:textId="77777777" w:rsidTr="00394CA8">
        <w:tblPrEx>
          <w:tblCellMar>
            <w:left w:w="108" w:type="dxa"/>
            <w:right w:w="108" w:type="dxa"/>
          </w:tblCellMar>
        </w:tblPrEx>
        <w:trPr>
          <w:gridBefore w:val="1"/>
          <w:wBefore w:w="3" w:type="pct"/>
          <w:cantSplit/>
          <w:trHeight w:val="535"/>
        </w:trPr>
        <w:tc>
          <w:tcPr>
            <w:tcW w:w="1439" w:type="pct"/>
            <w:vMerge/>
            <w:shd w:val="clear" w:color="auto" w:fill="auto"/>
            <w:tcMar>
              <w:top w:w="113" w:type="dxa"/>
              <w:bottom w:w="57" w:type="dxa"/>
            </w:tcMar>
          </w:tcPr>
          <w:p w14:paraId="03E606B4"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2A9BDED7" w14:textId="77777777" w:rsidR="009709C2" w:rsidRPr="00A859F2" w:rsidRDefault="009709C2" w:rsidP="00394CA8">
            <w:pPr>
              <w:rPr>
                <w:sz w:val="16"/>
                <w:szCs w:val="16"/>
              </w:rPr>
            </w:pPr>
            <w:r w:rsidRPr="00A859F2">
              <w:rPr>
                <w:sz w:val="16"/>
                <w:szCs w:val="16"/>
              </w:rPr>
              <w:t>Pourcentage d’experts nationaux et régionaux en propriété intellectuelle faisant office d’animateurs de manifestations de l’OMPI</w:t>
            </w:r>
          </w:p>
        </w:tc>
        <w:tc>
          <w:tcPr>
            <w:tcW w:w="839" w:type="pct"/>
            <w:gridSpan w:val="2"/>
            <w:shd w:val="clear" w:color="auto" w:fill="FFFFFF"/>
            <w:tcMar>
              <w:top w:w="113" w:type="dxa"/>
              <w:bottom w:w="57" w:type="dxa"/>
            </w:tcMar>
          </w:tcPr>
          <w:p w14:paraId="38C0A177"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9</w:t>
            </w:r>
          </w:p>
        </w:tc>
        <w:tc>
          <w:tcPr>
            <w:tcW w:w="679" w:type="pct"/>
            <w:shd w:val="clear" w:color="auto" w:fill="FFFFFF"/>
          </w:tcPr>
          <w:p w14:paraId="50FF3762" w14:textId="77777777" w:rsidR="009709C2" w:rsidRPr="00A859F2" w:rsidRDefault="009709C2" w:rsidP="00394CA8">
            <w:pPr>
              <w:jc w:val="center"/>
            </w:pP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r w:rsidRPr="00A859F2">
              <w:rPr>
                <w:color w:val="00B050"/>
                <w:szCs w:val="22"/>
              </w:rPr>
              <w:sym w:font="Wingdings" w:char="F06C"/>
            </w:r>
            <w:r w:rsidRPr="00A859F2">
              <w:rPr>
                <w:color w:val="FF0000"/>
                <w:szCs w:val="22"/>
              </w:rPr>
              <w:sym w:font="Wingdings" w:char="F06C"/>
            </w:r>
          </w:p>
        </w:tc>
      </w:tr>
      <w:tr w:rsidR="009709C2" w:rsidRPr="00A859F2" w14:paraId="3F244D54" w14:textId="77777777" w:rsidTr="00394CA8">
        <w:tblPrEx>
          <w:tblCellMar>
            <w:left w:w="108" w:type="dxa"/>
            <w:right w:w="108" w:type="dxa"/>
          </w:tblCellMar>
        </w:tblPrEx>
        <w:trPr>
          <w:gridBefore w:val="1"/>
          <w:wBefore w:w="3" w:type="pct"/>
          <w:cantSplit/>
          <w:trHeight w:val="547"/>
        </w:trPr>
        <w:tc>
          <w:tcPr>
            <w:tcW w:w="1439" w:type="pct"/>
            <w:vMerge/>
            <w:shd w:val="clear" w:color="auto" w:fill="auto"/>
            <w:tcMar>
              <w:top w:w="113" w:type="dxa"/>
              <w:bottom w:w="57" w:type="dxa"/>
            </w:tcMar>
          </w:tcPr>
          <w:p w14:paraId="18ADE680"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62707691" w14:textId="77777777" w:rsidR="009709C2" w:rsidRPr="00A859F2" w:rsidRDefault="009709C2" w:rsidP="00394CA8">
            <w:pPr>
              <w:rPr>
                <w:sz w:val="16"/>
                <w:szCs w:val="16"/>
              </w:rPr>
            </w:pPr>
            <w:r w:rsidRPr="00A859F2">
              <w:rPr>
                <w:sz w:val="16"/>
                <w:szCs w:val="16"/>
              </w:rPr>
              <w:t>Pourcentage de participants à des manifestations de l’OMPI qui font part de leur satisfaction à l’égard du contenu et de l’organisation de ces manifestations</w:t>
            </w:r>
          </w:p>
        </w:tc>
        <w:tc>
          <w:tcPr>
            <w:tcW w:w="839" w:type="pct"/>
            <w:gridSpan w:val="2"/>
            <w:shd w:val="clear" w:color="auto" w:fill="FFFFFF"/>
            <w:tcMar>
              <w:top w:w="113" w:type="dxa"/>
              <w:bottom w:w="57" w:type="dxa"/>
            </w:tcMar>
          </w:tcPr>
          <w:p w14:paraId="0F81901D"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9</w:t>
            </w:r>
          </w:p>
        </w:tc>
        <w:tc>
          <w:tcPr>
            <w:tcW w:w="679" w:type="pct"/>
            <w:shd w:val="clear" w:color="auto" w:fill="FFFFFF"/>
          </w:tcPr>
          <w:p w14:paraId="7882708A" w14:textId="77777777" w:rsidR="009709C2" w:rsidRPr="00A859F2" w:rsidRDefault="009709C2" w:rsidP="00394CA8">
            <w:pPr>
              <w:jc w:val="center"/>
            </w:pPr>
            <w:r w:rsidRPr="00A859F2">
              <w:rPr>
                <w:color w:val="808080"/>
                <w:szCs w:val="22"/>
              </w:rPr>
              <w:sym w:font="Wingdings" w:char="F06C"/>
            </w:r>
            <w:r w:rsidRPr="00A859F2">
              <w:rPr>
                <w:color w:val="808080"/>
                <w:szCs w:val="22"/>
              </w:rPr>
              <w:sym w:font="Wingdings" w:char="F06C"/>
            </w:r>
            <w:r w:rsidRPr="00A859F2">
              <w:rPr>
                <w:color w:val="00B050"/>
                <w:szCs w:val="22"/>
              </w:rPr>
              <w:sym w:font="Wingdings" w:char="F06C"/>
            </w:r>
            <w:r w:rsidRPr="00A859F2">
              <w:rPr>
                <w:color w:val="808080"/>
                <w:szCs w:val="22"/>
              </w:rPr>
              <w:sym w:font="Wingdings" w:char="F06C"/>
            </w:r>
            <w:r w:rsidRPr="00A859F2">
              <w:rPr>
                <w:color w:val="00B050"/>
                <w:szCs w:val="22"/>
              </w:rPr>
              <w:sym w:font="Wingdings" w:char="F06C"/>
            </w:r>
          </w:p>
        </w:tc>
      </w:tr>
      <w:tr w:rsidR="009709C2" w:rsidRPr="00A859F2" w14:paraId="49151EDC"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6EB75845"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AC23738" w14:textId="77777777" w:rsidR="009709C2" w:rsidRPr="00A859F2" w:rsidRDefault="009709C2" w:rsidP="00394CA8">
            <w:pPr>
              <w:keepNext/>
              <w:keepLines/>
              <w:rPr>
                <w:sz w:val="16"/>
                <w:szCs w:val="16"/>
              </w:rPr>
            </w:pPr>
            <w:r w:rsidRPr="00A859F2">
              <w:rPr>
                <w:sz w:val="16"/>
                <w:szCs w:val="16"/>
              </w:rPr>
              <w:t>Pourcentage de participants à des ateliers de l’OMPI qui mettent en pratique, dans le cadre de leur travail ou de leur entreprise, les compétences acquises.</w:t>
            </w:r>
          </w:p>
        </w:tc>
        <w:tc>
          <w:tcPr>
            <w:tcW w:w="839" w:type="pct"/>
            <w:gridSpan w:val="2"/>
            <w:shd w:val="clear" w:color="auto" w:fill="FFFFFF"/>
            <w:tcMar>
              <w:top w:w="113" w:type="dxa"/>
              <w:bottom w:w="57" w:type="dxa"/>
            </w:tcMar>
          </w:tcPr>
          <w:p w14:paraId="57CD2540"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9</w:t>
            </w:r>
          </w:p>
        </w:tc>
        <w:tc>
          <w:tcPr>
            <w:tcW w:w="679" w:type="pct"/>
            <w:shd w:val="clear" w:color="auto" w:fill="FFFFFF"/>
          </w:tcPr>
          <w:p w14:paraId="741AF425" w14:textId="77777777" w:rsidR="009709C2" w:rsidRPr="00A859F2" w:rsidRDefault="009709C2" w:rsidP="00394CA8">
            <w:pPr>
              <w:jc w:val="center"/>
            </w:pPr>
            <w:r w:rsidRPr="00A859F2">
              <w:rPr>
                <w:color w:val="808080"/>
                <w:szCs w:val="22"/>
              </w:rPr>
              <w:sym w:font="Wingdings" w:char="F06C"/>
            </w:r>
            <w:r w:rsidRPr="00A859F2">
              <w:rPr>
                <w:color w:val="808080"/>
                <w:szCs w:val="22"/>
              </w:rPr>
              <w:sym w:font="Wingdings" w:char="F06C"/>
            </w:r>
            <w:r w:rsidRPr="00A859F2">
              <w:rPr>
                <w:color w:val="00B050"/>
                <w:szCs w:val="22"/>
              </w:rPr>
              <w:sym w:font="Wingdings" w:char="F06C"/>
            </w:r>
            <w:r w:rsidRPr="00A859F2">
              <w:rPr>
                <w:color w:val="808080"/>
                <w:szCs w:val="22"/>
              </w:rPr>
              <w:sym w:font="Wingdings" w:char="F06C"/>
            </w:r>
            <w:r w:rsidRPr="00A859F2">
              <w:rPr>
                <w:color w:val="FF0000"/>
                <w:szCs w:val="22"/>
              </w:rPr>
              <w:sym w:font="Wingdings" w:char="F06C"/>
            </w:r>
          </w:p>
        </w:tc>
      </w:tr>
      <w:tr w:rsidR="009709C2" w:rsidRPr="00A859F2" w14:paraId="09428917"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4A4DBBA8"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2324FECA" w14:textId="77777777" w:rsidR="009709C2" w:rsidRPr="00A859F2" w:rsidRDefault="009709C2" w:rsidP="00394CA8">
            <w:pPr>
              <w:keepNext/>
              <w:keepLines/>
              <w:rPr>
                <w:sz w:val="16"/>
                <w:szCs w:val="16"/>
              </w:rPr>
            </w:pPr>
            <w:r w:rsidRPr="00A859F2">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839" w:type="pct"/>
            <w:gridSpan w:val="2"/>
            <w:shd w:val="clear" w:color="auto" w:fill="FFFFFF"/>
            <w:tcMar>
              <w:top w:w="113" w:type="dxa"/>
              <w:bottom w:w="57" w:type="dxa"/>
            </w:tcMar>
          </w:tcPr>
          <w:p w14:paraId="5D4F4E4B"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10</w:t>
            </w:r>
          </w:p>
        </w:tc>
        <w:tc>
          <w:tcPr>
            <w:tcW w:w="679" w:type="pct"/>
            <w:shd w:val="clear" w:color="auto" w:fill="FFFFFF"/>
          </w:tcPr>
          <w:p w14:paraId="467B74F4"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06735F9E"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5891DFAA"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6F3E7251" w14:textId="77777777" w:rsidR="009709C2" w:rsidRPr="00A859F2" w:rsidRDefault="009709C2" w:rsidP="00394CA8">
            <w:pPr>
              <w:keepNext/>
              <w:keepLines/>
              <w:rPr>
                <w:sz w:val="16"/>
                <w:szCs w:val="16"/>
              </w:rPr>
            </w:pPr>
            <w:r w:rsidRPr="00A859F2">
              <w:rPr>
                <w:sz w:val="16"/>
                <w:szCs w:val="16"/>
              </w:rPr>
              <w:t>Nombre de pays à économie en transition ayant mis en place des programmes et/ou cours de formation annuels en matière de propriété intellectuelle à l’intention de spécialistes de la propriété intellectuelle</w:t>
            </w:r>
          </w:p>
        </w:tc>
        <w:tc>
          <w:tcPr>
            <w:tcW w:w="839" w:type="pct"/>
            <w:gridSpan w:val="2"/>
            <w:shd w:val="clear" w:color="auto" w:fill="FFFFFF"/>
            <w:tcMar>
              <w:top w:w="113" w:type="dxa"/>
              <w:bottom w:w="57" w:type="dxa"/>
            </w:tcMar>
          </w:tcPr>
          <w:p w14:paraId="49B48D67"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10</w:t>
            </w:r>
          </w:p>
        </w:tc>
        <w:tc>
          <w:tcPr>
            <w:tcW w:w="679" w:type="pct"/>
            <w:shd w:val="clear" w:color="auto" w:fill="FFFFFF"/>
          </w:tcPr>
          <w:p w14:paraId="2EA18B8D"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55C853CA"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1327D724"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7A753007" w14:textId="77777777" w:rsidR="009709C2" w:rsidRPr="00A859F2" w:rsidRDefault="009709C2" w:rsidP="00394CA8">
            <w:pPr>
              <w:keepNext/>
              <w:keepLines/>
              <w:rPr>
                <w:sz w:val="16"/>
                <w:szCs w:val="16"/>
              </w:rPr>
            </w:pPr>
            <w:r w:rsidRPr="00A859F2">
              <w:rPr>
                <w:sz w:val="16"/>
                <w:szCs w:val="16"/>
              </w:rPr>
              <w:t>Pourcentage d’augmentation du nombre de participants suivant les cours d’enseignement à distance de l’Académie</w:t>
            </w:r>
          </w:p>
        </w:tc>
        <w:tc>
          <w:tcPr>
            <w:tcW w:w="839" w:type="pct"/>
            <w:gridSpan w:val="2"/>
            <w:shd w:val="clear" w:color="auto" w:fill="FFFFFF"/>
            <w:tcMar>
              <w:top w:w="113" w:type="dxa"/>
              <w:bottom w:w="57" w:type="dxa"/>
            </w:tcMar>
          </w:tcPr>
          <w:p w14:paraId="7CC08655"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00EE6C95"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385FFE80"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0143470D"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D09746C" w14:textId="77777777" w:rsidR="009709C2" w:rsidRPr="00A859F2" w:rsidRDefault="009709C2" w:rsidP="00394CA8">
            <w:pPr>
              <w:keepNext/>
              <w:keepLines/>
              <w:rPr>
                <w:sz w:val="16"/>
                <w:szCs w:val="16"/>
              </w:rPr>
            </w:pPr>
            <w:r w:rsidRPr="00A859F2">
              <w:rPr>
                <w:sz w:val="16"/>
                <w:szCs w:val="16"/>
              </w:rPr>
              <w:t>Pourcentage des participants utilisant des connaissances et des compétences nouvelles dans divers domaines de la propriété intellectuelle</w:t>
            </w:r>
          </w:p>
        </w:tc>
        <w:tc>
          <w:tcPr>
            <w:tcW w:w="839" w:type="pct"/>
            <w:gridSpan w:val="2"/>
            <w:shd w:val="clear" w:color="auto" w:fill="FFFFFF"/>
            <w:tcMar>
              <w:top w:w="113" w:type="dxa"/>
              <w:bottom w:w="57" w:type="dxa"/>
            </w:tcMar>
          </w:tcPr>
          <w:p w14:paraId="3EC41DA4"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04B1E9B9" w14:textId="77777777" w:rsidR="009709C2" w:rsidRPr="00A859F2" w:rsidRDefault="009709C2" w:rsidP="00394CA8">
            <w:pPr>
              <w:jc w:val="center"/>
              <w:rPr>
                <w:color w:val="0070C0"/>
                <w:szCs w:val="22"/>
              </w:rPr>
            </w:pPr>
            <w:r w:rsidRPr="00A859F2">
              <w:rPr>
                <w:color w:val="0070C0"/>
                <w:szCs w:val="22"/>
              </w:rPr>
              <w:sym w:font="Wingdings" w:char="F06C"/>
            </w:r>
          </w:p>
        </w:tc>
      </w:tr>
      <w:tr w:rsidR="009709C2" w:rsidRPr="00A859F2" w14:paraId="28F7F00B"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55B3595A"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5C77BE44" w14:textId="77777777" w:rsidR="009709C2" w:rsidRPr="00A859F2" w:rsidRDefault="009709C2" w:rsidP="00394CA8">
            <w:pPr>
              <w:keepNext/>
              <w:keepLines/>
              <w:rPr>
                <w:sz w:val="16"/>
                <w:szCs w:val="16"/>
              </w:rPr>
            </w:pPr>
            <w:r w:rsidRPr="00A859F2">
              <w:rPr>
                <w:sz w:val="16"/>
                <w:szCs w:val="16"/>
              </w:rPr>
              <w:t>Pourcentage des personnes formées et des supérieurs hiérarchiques satisfaits des programmes de formations créés sur la base des exercices d’évaluation des besoins en matière de formation</w:t>
            </w:r>
          </w:p>
        </w:tc>
        <w:tc>
          <w:tcPr>
            <w:tcW w:w="839" w:type="pct"/>
            <w:gridSpan w:val="2"/>
            <w:shd w:val="clear" w:color="auto" w:fill="FFFFFF"/>
            <w:tcMar>
              <w:top w:w="113" w:type="dxa"/>
              <w:bottom w:w="57" w:type="dxa"/>
            </w:tcMar>
          </w:tcPr>
          <w:p w14:paraId="78CB181B"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2268C91C" w14:textId="77777777" w:rsidR="009709C2" w:rsidRPr="00A859F2" w:rsidRDefault="009709C2" w:rsidP="00394CA8">
            <w:pPr>
              <w:jc w:val="center"/>
              <w:rPr>
                <w:color w:val="0070C0"/>
                <w:szCs w:val="22"/>
              </w:rPr>
            </w:pPr>
            <w:r w:rsidRPr="00A859F2">
              <w:rPr>
                <w:color w:val="0070C0"/>
                <w:szCs w:val="22"/>
              </w:rPr>
              <w:sym w:font="Wingdings" w:char="F06C"/>
            </w:r>
          </w:p>
        </w:tc>
      </w:tr>
      <w:tr w:rsidR="009709C2" w:rsidRPr="00A859F2" w14:paraId="5AC8EA06"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4AC0AAAA"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5C601F56" w14:textId="77777777" w:rsidR="009709C2" w:rsidRPr="00A859F2" w:rsidRDefault="009709C2" w:rsidP="00394CA8">
            <w:pPr>
              <w:keepNext/>
              <w:keepLines/>
              <w:rPr>
                <w:sz w:val="16"/>
                <w:szCs w:val="16"/>
              </w:rPr>
            </w:pPr>
            <w:r w:rsidRPr="00A859F2">
              <w:rPr>
                <w:sz w:val="16"/>
                <w:szCs w:val="16"/>
              </w:rPr>
              <w:t>Meilleur équilibre dans la répartition géographique des cours d’été</w:t>
            </w:r>
          </w:p>
        </w:tc>
        <w:tc>
          <w:tcPr>
            <w:tcW w:w="839" w:type="pct"/>
            <w:gridSpan w:val="2"/>
            <w:shd w:val="clear" w:color="auto" w:fill="FFFFFF"/>
            <w:tcMar>
              <w:top w:w="113" w:type="dxa"/>
              <w:bottom w:w="57" w:type="dxa"/>
            </w:tcMar>
          </w:tcPr>
          <w:p w14:paraId="6E9F0F70"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67203CC9"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49756659"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68C6BD72"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2B5EB361" w14:textId="77777777" w:rsidR="009709C2" w:rsidRPr="00A859F2" w:rsidRDefault="009709C2" w:rsidP="00394CA8">
            <w:pPr>
              <w:keepNext/>
              <w:keepLines/>
              <w:rPr>
                <w:sz w:val="16"/>
                <w:szCs w:val="16"/>
              </w:rPr>
            </w:pPr>
            <w:r w:rsidRPr="00A859F2">
              <w:rPr>
                <w:sz w:val="16"/>
                <w:szCs w:val="16"/>
              </w:rPr>
              <w:t>Nouveaux cours et programmes d’enseignement améliorés dans le domaine de la propriété intellectuelle dispensés dans les établissements d’enseignement</w:t>
            </w:r>
          </w:p>
        </w:tc>
        <w:tc>
          <w:tcPr>
            <w:tcW w:w="839" w:type="pct"/>
            <w:gridSpan w:val="2"/>
            <w:shd w:val="clear" w:color="auto" w:fill="FFFFFF"/>
            <w:tcMar>
              <w:top w:w="113" w:type="dxa"/>
              <w:bottom w:w="57" w:type="dxa"/>
            </w:tcMar>
          </w:tcPr>
          <w:p w14:paraId="6B145878"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0692D155"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0E5B9307"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37E42E36"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47CDAB34" w14:textId="77777777" w:rsidR="009709C2" w:rsidRPr="00A859F2" w:rsidRDefault="009709C2" w:rsidP="00394CA8">
            <w:pPr>
              <w:keepNext/>
              <w:keepLines/>
              <w:rPr>
                <w:sz w:val="16"/>
                <w:szCs w:val="16"/>
              </w:rPr>
            </w:pPr>
            <w:r w:rsidRPr="00A859F2">
              <w:rPr>
                <w:sz w:val="16"/>
                <w:szCs w:val="16"/>
              </w:rPr>
              <w:t>Nombre d’accords de coopération et de partenariats conclus conformément à la nouvelle ligne de l’Académie</w:t>
            </w:r>
          </w:p>
        </w:tc>
        <w:tc>
          <w:tcPr>
            <w:tcW w:w="839" w:type="pct"/>
            <w:gridSpan w:val="2"/>
            <w:shd w:val="clear" w:color="auto" w:fill="FFFFFF"/>
            <w:tcMar>
              <w:top w:w="113" w:type="dxa"/>
              <w:bottom w:w="57" w:type="dxa"/>
            </w:tcMar>
          </w:tcPr>
          <w:p w14:paraId="382DBEB6"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4DFA1745"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407DAEE6"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6A2428AA"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838F9A6" w14:textId="77777777" w:rsidR="009709C2" w:rsidRPr="00A859F2" w:rsidRDefault="009709C2" w:rsidP="00394CA8">
            <w:pPr>
              <w:keepNext/>
              <w:keepLines/>
              <w:rPr>
                <w:sz w:val="16"/>
                <w:szCs w:val="16"/>
              </w:rPr>
            </w:pPr>
            <w:r w:rsidRPr="00A859F2">
              <w:rPr>
                <w:sz w:val="16"/>
                <w:szCs w:val="16"/>
              </w:rPr>
              <w:t>Nombre de cours d’enseignement à distance ayant été examinés et mis à jour</w:t>
            </w:r>
          </w:p>
        </w:tc>
        <w:tc>
          <w:tcPr>
            <w:tcW w:w="839" w:type="pct"/>
            <w:gridSpan w:val="2"/>
            <w:shd w:val="clear" w:color="auto" w:fill="FFFFFF"/>
            <w:tcMar>
              <w:top w:w="113" w:type="dxa"/>
              <w:bottom w:w="57" w:type="dxa"/>
            </w:tcMar>
          </w:tcPr>
          <w:p w14:paraId="0CCDFA66"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550BCB28"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1BCAECA7"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30AB8094"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3E706B22" w14:textId="77777777" w:rsidR="009709C2" w:rsidRPr="00A859F2" w:rsidRDefault="009709C2" w:rsidP="00394CA8">
            <w:pPr>
              <w:keepNext/>
              <w:keepLines/>
              <w:rPr>
                <w:sz w:val="16"/>
                <w:szCs w:val="16"/>
              </w:rPr>
            </w:pPr>
            <w:r w:rsidRPr="00A859F2">
              <w:rPr>
                <w:sz w:val="16"/>
                <w:szCs w:val="16"/>
              </w:rPr>
              <w:t>Nombre de nouvelles académies nationales créées dans le cadre du projet devenues viables</w:t>
            </w:r>
          </w:p>
        </w:tc>
        <w:tc>
          <w:tcPr>
            <w:tcW w:w="839" w:type="pct"/>
            <w:gridSpan w:val="2"/>
            <w:shd w:val="clear" w:color="auto" w:fill="FFFFFF"/>
            <w:tcMar>
              <w:top w:w="113" w:type="dxa"/>
              <w:bottom w:w="57" w:type="dxa"/>
            </w:tcMar>
          </w:tcPr>
          <w:p w14:paraId="79CAC81F"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11</w:t>
            </w:r>
          </w:p>
        </w:tc>
        <w:tc>
          <w:tcPr>
            <w:tcW w:w="679" w:type="pct"/>
            <w:shd w:val="clear" w:color="auto" w:fill="FFFFFF"/>
          </w:tcPr>
          <w:p w14:paraId="736C461E" w14:textId="77777777" w:rsidR="009709C2" w:rsidRPr="00A859F2" w:rsidRDefault="009709C2" w:rsidP="00394CA8">
            <w:pPr>
              <w:jc w:val="center"/>
              <w:rPr>
                <w:color w:val="0070C0"/>
                <w:szCs w:val="22"/>
              </w:rPr>
            </w:pPr>
            <w:r w:rsidRPr="00A859F2">
              <w:rPr>
                <w:color w:val="0070C0"/>
                <w:szCs w:val="22"/>
              </w:rPr>
              <w:sym w:font="Wingdings" w:char="F06C"/>
            </w:r>
          </w:p>
        </w:tc>
      </w:tr>
      <w:tr w:rsidR="009709C2" w:rsidRPr="00A859F2" w14:paraId="343FD402"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52E590F8"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4BF74CD0" w14:textId="77777777" w:rsidR="009709C2" w:rsidRPr="00A859F2" w:rsidRDefault="009709C2" w:rsidP="00394CA8">
            <w:pPr>
              <w:keepNext/>
              <w:keepLines/>
              <w:rPr>
                <w:sz w:val="16"/>
                <w:szCs w:val="16"/>
              </w:rPr>
            </w:pPr>
            <w:r w:rsidRPr="00A859F2">
              <w:rPr>
                <w:sz w:val="16"/>
                <w:szCs w:val="16"/>
              </w:rPr>
              <w:t>Pourcentage de participants formés faisant état de leur satisfaction quant à l’utilité de la formation reçue et à sa pertinence pour l’exercice de leurs activités professionnelles</w:t>
            </w:r>
          </w:p>
        </w:tc>
        <w:tc>
          <w:tcPr>
            <w:tcW w:w="839" w:type="pct"/>
            <w:gridSpan w:val="2"/>
            <w:shd w:val="clear" w:color="auto" w:fill="FFFFFF"/>
            <w:tcMar>
              <w:top w:w="113" w:type="dxa"/>
              <w:bottom w:w="57" w:type="dxa"/>
            </w:tcMar>
          </w:tcPr>
          <w:p w14:paraId="694AB5C8"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17</w:t>
            </w:r>
          </w:p>
        </w:tc>
        <w:tc>
          <w:tcPr>
            <w:tcW w:w="679" w:type="pct"/>
            <w:shd w:val="clear" w:color="auto" w:fill="FFFFFF"/>
          </w:tcPr>
          <w:p w14:paraId="722C9AE9"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7EA6C64E"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0FB511D8"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307A3907" w14:textId="77777777" w:rsidR="009709C2" w:rsidRPr="00A859F2" w:rsidRDefault="009709C2" w:rsidP="00394CA8">
            <w:pPr>
              <w:keepNext/>
              <w:keepLines/>
              <w:rPr>
                <w:sz w:val="16"/>
                <w:szCs w:val="16"/>
              </w:rPr>
            </w:pPr>
            <w:r w:rsidRPr="00A859F2">
              <w:rPr>
                <w:sz w:val="16"/>
                <w:szCs w:val="16"/>
              </w:rPr>
              <w:t>Pourcentage de participants ayant suivi le module d’enseignement à distance sur la propriété intellectuelle relative à la santé qui sont favorables à l’utilisation de la propriété intellectuelle au service du développement grâce au transfert de connaissances et à l’acquisition de compétences</w:t>
            </w:r>
          </w:p>
        </w:tc>
        <w:tc>
          <w:tcPr>
            <w:tcW w:w="839" w:type="pct"/>
            <w:gridSpan w:val="2"/>
            <w:shd w:val="clear" w:color="auto" w:fill="FFFFFF"/>
            <w:tcMar>
              <w:top w:w="113" w:type="dxa"/>
              <w:bottom w:w="57" w:type="dxa"/>
            </w:tcMar>
          </w:tcPr>
          <w:p w14:paraId="5BEA85CD"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18</w:t>
            </w:r>
          </w:p>
        </w:tc>
        <w:tc>
          <w:tcPr>
            <w:tcW w:w="679" w:type="pct"/>
            <w:shd w:val="clear" w:color="auto" w:fill="FFFFFF"/>
          </w:tcPr>
          <w:p w14:paraId="4F1BF585"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3B7FA097" w14:textId="77777777" w:rsidTr="00394CA8">
        <w:tblPrEx>
          <w:tblCellMar>
            <w:left w:w="108" w:type="dxa"/>
            <w:right w:w="108" w:type="dxa"/>
          </w:tblCellMar>
        </w:tblPrEx>
        <w:trPr>
          <w:gridBefore w:val="1"/>
          <w:wBefore w:w="3" w:type="pct"/>
          <w:cantSplit/>
          <w:trHeight w:val="421"/>
        </w:trPr>
        <w:tc>
          <w:tcPr>
            <w:tcW w:w="1439" w:type="pct"/>
            <w:vMerge/>
            <w:shd w:val="clear" w:color="auto" w:fill="auto"/>
            <w:tcMar>
              <w:top w:w="113" w:type="dxa"/>
              <w:bottom w:w="57" w:type="dxa"/>
            </w:tcMar>
          </w:tcPr>
          <w:p w14:paraId="5F129A1E"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67AF4D6F" w14:textId="77777777" w:rsidR="009709C2" w:rsidRPr="00A859F2" w:rsidRDefault="009709C2" w:rsidP="00394CA8">
            <w:pPr>
              <w:keepNext/>
              <w:keepLines/>
              <w:rPr>
                <w:sz w:val="16"/>
                <w:szCs w:val="16"/>
              </w:rPr>
            </w:pPr>
            <w:r w:rsidRPr="00A859F2">
              <w:rPr>
                <w:sz w:val="16"/>
                <w:szCs w:val="16"/>
              </w:rPr>
              <w:t>Nombre de dispositions prises pour l’hébergement de scientifiques de pays en développement</w:t>
            </w:r>
          </w:p>
        </w:tc>
        <w:tc>
          <w:tcPr>
            <w:tcW w:w="839" w:type="pct"/>
            <w:gridSpan w:val="2"/>
            <w:shd w:val="clear" w:color="auto" w:fill="FFFFFF"/>
            <w:tcMar>
              <w:top w:w="113" w:type="dxa"/>
              <w:bottom w:w="57" w:type="dxa"/>
            </w:tcMar>
          </w:tcPr>
          <w:p w14:paraId="4B3A81AD"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18</w:t>
            </w:r>
          </w:p>
        </w:tc>
        <w:tc>
          <w:tcPr>
            <w:tcW w:w="679" w:type="pct"/>
            <w:shd w:val="clear" w:color="auto" w:fill="FFFFFF"/>
          </w:tcPr>
          <w:p w14:paraId="1E8DA856" w14:textId="77777777" w:rsidR="009709C2" w:rsidRPr="00A859F2" w:rsidRDefault="009709C2" w:rsidP="00394CA8">
            <w:pPr>
              <w:jc w:val="center"/>
              <w:rPr>
                <w:color w:val="0070C0"/>
                <w:szCs w:val="22"/>
              </w:rPr>
            </w:pPr>
            <w:r w:rsidRPr="00A859F2">
              <w:rPr>
                <w:color w:val="FF0000"/>
                <w:szCs w:val="22"/>
              </w:rPr>
              <w:sym w:font="Wingdings" w:char="F06C"/>
            </w:r>
          </w:p>
        </w:tc>
      </w:tr>
      <w:tr w:rsidR="009709C2" w:rsidRPr="00A859F2" w14:paraId="561D8E02"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2A40A749"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D5E5A9D" w14:textId="77777777" w:rsidR="009709C2" w:rsidRPr="00A859F2" w:rsidRDefault="009709C2" w:rsidP="00394CA8">
            <w:pPr>
              <w:keepNext/>
              <w:keepLines/>
              <w:rPr>
                <w:sz w:val="16"/>
                <w:szCs w:val="16"/>
              </w:rPr>
            </w:pPr>
            <w:r w:rsidRPr="00A859F2">
              <w:rPr>
                <w:sz w:val="16"/>
                <w:szCs w:val="16"/>
              </w:rPr>
              <w:t>Pourcentage de décideurs, de fonctionnaires gouvernementaux, de spécialistes de la propriété intellectuelle et d’autres groupes cibles, y compris les universités, les organisations de gestion collective, et les journalistes ayant une connaissance approfondie en matière de propriété intellectuelle et d’utilisation du développement de la propriété intellectuelle</w:t>
            </w:r>
          </w:p>
        </w:tc>
        <w:tc>
          <w:tcPr>
            <w:tcW w:w="839" w:type="pct"/>
            <w:gridSpan w:val="2"/>
            <w:shd w:val="clear" w:color="auto" w:fill="FFFFFF"/>
            <w:tcMar>
              <w:top w:w="113" w:type="dxa"/>
              <w:bottom w:w="57" w:type="dxa"/>
            </w:tcMar>
          </w:tcPr>
          <w:p w14:paraId="77C6EA43"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20</w:t>
            </w:r>
          </w:p>
        </w:tc>
        <w:tc>
          <w:tcPr>
            <w:tcW w:w="679" w:type="pct"/>
            <w:shd w:val="clear" w:color="auto" w:fill="FFFFFF"/>
          </w:tcPr>
          <w:p w14:paraId="2515F325" w14:textId="77777777" w:rsidR="009709C2" w:rsidRPr="00A859F2" w:rsidRDefault="009709C2" w:rsidP="00394CA8">
            <w:pPr>
              <w:jc w:val="center"/>
              <w:rPr>
                <w:color w:val="0070C0"/>
                <w:szCs w:val="22"/>
              </w:rPr>
            </w:pPr>
            <w:r w:rsidRPr="00A859F2">
              <w:rPr>
                <w:color w:val="80808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00E7BD77" w14:textId="77777777" w:rsidTr="00394CA8">
        <w:tblPrEx>
          <w:tblCellMar>
            <w:left w:w="108" w:type="dxa"/>
            <w:right w:w="108" w:type="dxa"/>
          </w:tblCellMar>
        </w:tblPrEx>
        <w:trPr>
          <w:gridBefore w:val="1"/>
          <w:wBefore w:w="3" w:type="pct"/>
          <w:cantSplit/>
          <w:trHeight w:val="323"/>
        </w:trPr>
        <w:tc>
          <w:tcPr>
            <w:tcW w:w="1439" w:type="pct"/>
            <w:vMerge/>
            <w:shd w:val="clear" w:color="auto" w:fill="auto"/>
            <w:tcMar>
              <w:top w:w="113" w:type="dxa"/>
              <w:bottom w:w="57" w:type="dxa"/>
            </w:tcMar>
          </w:tcPr>
          <w:p w14:paraId="46DDCC13"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45EADD94" w14:textId="77777777" w:rsidR="009709C2" w:rsidRPr="00A859F2" w:rsidRDefault="009709C2" w:rsidP="00394CA8">
            <w:pPr>
              <w:keepNext/>
              <w:keepLines/>
              <w:rPr>
                <w:sz w:val="16"/>
                <w:szCs w:val="16"/>
              </w:rPr>
            </w:pPr>
            <w:r w:rsidRPr="00A859F2">
              <w:rPr>
                <w:sz w:val="16"/>
                <w:szCs w:val="16"/>
              </w:rPr>
              <w:t>Pourcentage de professionnels de la propriété intellectuelle formés qui utilisent leurs compétences améliorées dans le cadre de leur travail</w:t>
            </w:r>
          </w:p>
        </w:tc>
        <w:tc>
          <w:tcPr>
            <w:tcW w:w="839" w:type="pct"/>
            <w:gridSpan w:val="2"/>
            <w:shd w:val="clear" w:color="auto" w:fill="FFFFFF"/>
            <w:tcMar>
              <w:top w:w="113" w:type="dxa"/>
              <w:bottom w:w="57" w:type="dxa"/>
            </w:tcMar>
          </w:tcPr>
          <w:p w14:paraId="5E434716"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560B0C67"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27241F29" w14:textId="77777777" w:rsidTr="00394CA8">
        <w:tblPrEx>
          <w:tblCellMar>
            <w:left w:w="108" w:type="dxa"/>
            <w:right w:w="108" w:type="dxa"/>
          </w:tblCellMar>
        </w:tblPrEx>
        <w:trPr>
          <w:gridBefore w:val="1"/>
          <w:wBefore w:w="3" w:type="pct"/>
          <w:cantSplit/>
          <w:trHeight w:val="463"/>
        </w:trPr>
        <w:tc>
          <w:tcPr>
            <w:tcW w:w="1439" w:type="pct"/>
            <w:vMerge w:val="restart"/>
            <w:shd w:val="clear" w:color="auto" w:fill="auto"/>
            <w:tcMar>
              <w:top w:w="113" w:type="dxa"/>
              <w:bottom w:w="57" w:type="dxa"/>
            </w:tcMar>
          </w:tcPr>
          <w:p w14:paraId="555C1CE0" w14:textId="77777777" w:rsidR="009709C2" w:rsidRPr="00A859F2" w:rsidRDefault="009709C2" w:rsidP="00394CA8">
            <w:pPr>
              <w:rPr>
                <w:sz w:val="16"/>
                <w:szCs w:val="16"/>
              </w:rPr>
            </w:pPr>
            <w:r>
              <w:rPr>
                <w:sz w:val="16"/>
                <w:szCs w:val="16"/>
              </w:rPr>
              <w:t xml:space="preserve">III.3 </w:t>
            </w:r>
            <w:r w:rsidRPr="00A859F2">
              <w:rPr>
                <w:sz w:val="16"/>
                <w:szCs w:val="16"/>
              </w:rPr>
              <w:t>Intégration des recommandations du Plan d’action pour le développement dans les travaux de l’OMPI</w:t>
            </w:r>
          </w:p>
        </w:tc>
        <w:tc>
          <w:tcPr>
            <w:tcW w:w="2040" w:type="pct"/>
            <w:gridSpan w:val="2"/>
            <w:shd w:val="clear" w:color="auto" w:fill="auto"/>
            <w:tcMar>
              <w:top w:w="113" w:type="dxa"/>
              <w:bottom w:w="57" w:type="dxa"/>
            </w:tcMar>
          </w:tcPr>
          <w:p w14:paraId="49CCA261" w14:textId="77777777" w:rsidR="009709C2" w:rsidRPr="00A859F2" w:rsidRDefault="009709C2" w:rsidP="00394CA8">
            <w:pPr>
              <w:keepNext/>
              <w:keepLines/>
              <w:rPr>
                <w:sz w:val="16"/>
                <w:szCs w:val="16"/>
              </w:rPr>
            </w:pPr>
            <w:r w:rsidRPr="00A859F2">
              <w:rPr>
                <w:sz w:val="16"/>
                <w:szCs w:val="16"/>
              </w:rPr>
              <w:t>Principes de développement énoncés dans les recommandations du Plan d’action pour le développement efficacement intégrés dans les programmes de l’OMPI</w:t>
            </w:r>
          </w:p>
        </w:tc>
        <w:tc>
          <w:tcPr>
            <w:tcW w:w="839" w:type="pct"/>
            <w:gridSpan w:val="2"/>
            <w:shd w:val="clear" w:color="auto" w:fill="FFFFFF"/>
            <w:tcMar>
              <w:top w:w="113" w:type="dxa"/>
              <w:bottom w:w="57" w:type="dxa"/>
            </w:tcMar>
          </w:tcPr>
          <w:p w14:paraId="4A7E42D9"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8</w:t>
            </w:r>
          </w:p>
        </w:tc>
        <w:tc>
          <w:tcPr>
            <w:tcW w:w="679" w:type="pct"/>
            <w:shd w:val="clear" w:color="auto" w:fill="FFFFFF"/>
          </w:tcPr>
          <w:p w14:paraId="68D74FFA"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3CDB5F20"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2FCC2C9B"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46D7FF70" w14:textId="77777777" w:rsidR="009709C2" w:rsidRPr="00A859F2" w:rsidRDefault="009709C2" w:rsidP="00394CA8">
            <w:pPr>
              <w:keepNext/>
              <w:keepLines/>
              <w:rPr>
                <w:sz w:val="16"/>
                <w:szCs w:val="16"/>
              </w:rPr>
            </w:pPr>
            <w:r w:rsidRPr="00A859F2">
              <w:rPr>
                <w:sz w:val="16"/>
                <w:szCs w:val="16"/>
              </w:rPr>
              <w:t>Suivi efficace de la mise en œuvre des recommandations de l’examen indépendant du Plan d’action pour le développement</w:t>
            </w:r>
          </w:p>
        </w:tc>
        <w:tc>
          <w:tcPr>
            <w:tcW w:w="839" w:type="pct"/>
            <w:gridSpan w:val="2"/>
            <w:shd w:val="clear" w:color="auto" w:fill="FFFFFF"/>
            <w:tcMar>
              <w:top w:w="113" w:type="dxa"/>
              <w:bottom w:w="57" w:type="dxa"/>
            </w:tcMar>
          </w:tcPr>
          <w:p w14:paraId="676F5050"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8</w:t>
            </w:r>
          </w:p>
        </w:tc>
        <w:tc>
          <w:tcPr>
            <w:tcW w:w="679" w:type="pct"/>
            <w:shd w:val="clear" w:color="auto" w:fill="FFFFFF"/>
          </w:tcPr>
          <w:p w14:paraId="34690B18"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47D6CF68"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46DD2C6F"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2DFE880D" w14:textId="77777777" w:rsidR="009709C2" w:rsidRPr="00A859F2" w:rsidRDefault="009709C2" w:rsidP="00394CA8">
            <w:pPr>
              <w:keepNext/>
              <w:keepLines/>
              <w:rPr>
                <w:sz w:val="16"/>
                <w:szCs w:val="16"/>
              </w:rPr>
            </w:pPr>
            <w:r w:rsidRPr="00A859F2">
              <w:rPr>
                <w:sz w:val="16"/>
                <w:szCs w:val="16"/>
              </w:rPr>
              <w:t>Mécanisme amélioré pour la création, la mise en œuvre, le suivi et l’évaluation de nouveaux projets et de nouvelles activités relatifs au Plan d’action pour le développement et l’établissement de rapports sur ces projets et activités</w:t>
            </w:r>
          </w:p>
        </w:tc>
        <w:tc>
          <w:tcPr>
            <w:tcW w:w="839" w:type="pct"/>
            <w:gridSpan w:val="2"/>
            <w:shd w:val="clear" w:color="auto" w:fill="FFFFFF"/>
            <w:tcMar>
              <w:top w:w="113" w:type="dxa"/>
              <w:bottom w:w="57" w:type="dxa"/>
            </w:tcMar>
          </w:tcPr>
          <w:p w14:paraId="18B61984"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8</w:t>
            </w:r>
          </w:p>
        </w:tc>
        <w:tc>
          <w:tcPr>
            <w:tcW w:w="679" w:type="pct"/>
            <w:shd w:val="clear" w:color="auto" w:fill="FFFFFF"/>
          </w:tcPr>
          <w:p w14:paraId="1CFD98AC"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1A0013FB" w14:textId="77777777" w:rsidTr="00394CA8">
        <w:tblPrEx>
          <w:tblCellMar>
            <w:left w:w="108" w:type="dxa"/>
            <w:right w:w="108" w:type="dxa"/>
          </w:tblCellMar>
        </w:tblPrEx>
        <w:trPr>
          <w:gridBefore w:val="1"/>
          <w:wBefore w:w="3" w:type="pct"/>
          <w:cantSplit/>
          <w:trHeight w:val="463"/>
        </w:trPr>
        <w:tc>
          <w:tcPr>
            <w:tcW w:w="1439" w:type="pct"/>
            <w:vMerge w:val="restart"/>
            <w:shd w:val="clear" w:color="auto" w:fill="auto"/>
            <w:tcMar>
              <w:top w:w="113" w:type="dxa"/>
              <w:bottom w:w="57" w:type="dxa"/>
            </w:tcMar>
          </w:tcPr>
          <w:p w14:paraId="16DFA938" w14:textId="77777777" w:rsidR="009709C2" w:rsidRPr="00A859F2" w:rsidRDefault="009709C2" w:rsidP="00394CA8">
            <w:pPr>
              <w:keepNext/>
              <w:keepLines/>
              <w:rPr>
                <w:sz w:val="16"/>
                <w:szCs w:val="16"/>
              </w:rPr>
            </w:pPr>
            <w:r w:rsidRPr="00A859F2">
              <w:rPr>
                <w:sz w:val="16"/>
                <w:szCs w:val="16"/>
              </w:rPr>
              <w:lastRenderedPageBreak/>
              <w:t>III.4 Mécanismes et programmes de coopération renforcés, adaptés aux besoins des pays en développement, des PMA et des pays en transition</w:t>
            </w:r>
          </w:p>
        </w:tc>
        <w:tc>
          <w:tcPr>
            <w:tcW w:w="2040" w:type="pct"/>
            <w:gridSpan w:val="2"/>
            <w:shd w:val="clear" w:color="auto" w:fill="auto"/>
            <w:tcMar>
              <w:top w:w="113" w:type="dxa"/>
              <w:bottom w:w="57" w:type="dxa"/>
            </w:tcMar>
          </w:tcPr>
          <w:p w14:paraId="1D6B740E" w14:textId="77777777" w:rsidR="009709C2" w:rsidRPr="00A859F2" w:rsidRDefault="009709C2" w:rsidP="00394CA8">
            <w:pPr>
              <w:keepNext/>
              <w:keepLines/>
              <w:rPr>
                <w:sz w:val="16"/>
                <w:szCs w:val="16"/>
              </w:rPr>
            </w:pPr>
            <w:r w:rsidRPr="00A859F2">
              <w:rPr>
                <w:sz w:val="16"/>
                <w:szCs w:val="16"/>
              </w:rPr>
              <w:t xml:space="preserve">Nombre d’accords de coopération, de projets, de programmes et de partenariats à l’échelle nationale, </w:t>
            </w:r>
            <w:proofErr w:type="spellStart"/>
            <w:r w:rsidRPr="00A859F2">
              <w:rPr>
                <w:sz w:val="16"/>
                <w:szCs w:val="16"/>
              </w:rPr>
              <w:t>sous</w:t>
            </w:r>
            <w:r>
              <w:rPr>
                <w:sz w:val="16"/>
                <w:szCs w:val="16"/>
              </w:rPr>
              <w:noBreakHyphen/>
            </w:r>
            <w:r w:rsidRPr="00A859F2">
              <w:rPr>
                <w:sz w:val="16"/>
                <w:szCs w:val="16"/>
              </w:rPr>
              <w:t>régionale</w:t>
            </w:r>
            <w:proofErr w:type="spellEnd"/>
            <w:r w:rsidRPr="00A859F2">
              <w:rPr>
                <w:sz w:val="16"/>
                <w:szCs w:val="16"/>
              </w:rPr>
              <w:t xml:space="preserve"> et régionale ou interrégionale visant à promouvoir l’utilisation efficace des systèmes de propriété intellectuelle fondée sur le partage de bonnes pratiques.</w:t>
            </w:r>
          </w:p>
        </w:tc>
        <w:tc>
          <w:tcPr>
            <w:tcW w:w="839" w:type="pct"/>
            <w:gridSpan w:val="2"/>
            <w:shd w:val="clear" w:color="auto" w:fill="FFFFFF"/>
            <w:tcMar>
              <w:top w:w="113" w:type="dxa"/>
              <w:bottom w:w="57" w:type="dxa"/>
            </w:tcMar>
          </w:tcPr>
          <w:p w14:paraId="3E500518" w14:textId="77777777" w:rsidR="009709C2" w:rsidRPr="00A859F2" w:rsidRDefault="009709C2" w:rsidP="00394CA8">
            <w:pPr>
              <w:keepNext/>
              <w:keepLines/>
              <w:spacing w:before="40"/>
              <w:jc w:val="center"/>
              <w:rPr>
                <w:sz w:val="16"/>
                <w:szCs w:val="16"/>
                <w:lang w:bidi="th-TH"/>
              </w:rPr>
            </w:pPr>
            <w:r w:rsidRPr="00A859F2">
              <w:rPr>
                <w:sz w:val="16"/>
                <w:szCs w:val="16"/>
              </w:rPr>
              <w:t>Programme</w:t>
            </w:r>
            <w:r>
              <w:rPr>
                <w:sz w:val="16"/>
                <w:szCs w:val="16"/>
              </w:rPr>
              <w:t> </w:t>
            </w:r>
            <w:r w:rsidRPr="00A859F2">
              <w:rPr>
                <w:sz w:val="16"/>
                <w:szCs w:val="16"/>
              </w:rPr>
              <w:t>9</w:t>
            </w:r>
          </w:p>
        </w:tc>
        <w:tc>
          <w:tcPr>
            <w:tcW w:w="679" w:type="pct"/>
            <w:shd w:val="clear" w:color="auto" w:fill="FFFFFF"/>
          </w:tcPr>
          <w:p w14:paraId="1EE0328D" w14:textId="77777777" w:rsidR="009709C2" w:rsidRPr="00A859F2" w:rsidRDefault="009709C2" w:rsidP="00394CA8">
            <w:pPr>
              <w:keepNext/>
              <w:keepLines/>
              <w:jc w:val="center"/>
              <w:rPr>
                <w:color w:val="0070C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9709C2" w:rsidRPr="00A859F2" w14:paraId="50826E26" w14:textId="77777777" w:rsidTr="00394CA8">
        <w:tblPrEx>
          <w:tblCellMar>
            <w:left w:w="108" w:type="dxa"/>
            <w:right w:w="108" w:type="dxa"/>
          </w:tblCellMar>
        </w:tblPrEx>
        <w:trPr>
          <w:gridBefore w:val="1"/>
          <w:wBefore w:w="3" w:type="pct"/>
          <w:cantSplit/>
          <w:trHeight w:val="221"/>
        </w:trPr>
        <w:tc>
          <w:tcPr>
            <w:tcW w:w="1439" w:type="pct"/>
            <w:vMerge/>
            <w:shd w:val="clear" w:color="auto" w:fill="auto"/>
            <w:tcMar>
              <w:top w:w="113" w:type="dxa"/>
              <w:bottom w:w="57" w:type="dxa"/>
            </w:tcMar>
          </w:tcPr>
          <w:p w14:paraId="100B45F9" w14:textId="77777777" w:rsidR="009709C2" w:rsidRPr="00A859F2" w:rsidRDefault="009709C2" w:rsidP="00394CA8">
            <w:pPr>
              <w:keepNext/>
              <w:keepLines/>
              <w:rPr>
                <w:sz w:val="16"/>
                <w:szCs w:val="16"/>
              </w:rPr>
            </w:pPr>
          </w:p>
        </w:tc>
        <w:tc>
          <w:tcPr>
            <w:tcW w:w="2040" w:type="pct"/>
            <w:gridSpan w:val="2"/>
            <w:shd w:val="clear" w:color="auto" w:fill="auto"/>
            <w:tcMar>
              <w:top w:w="113" w:type="dxa"/>
              <w:bottom w:w="57" w:type="dxa"/>
            </w:tcMar>
          </w:tcPr>
          <w:p w14:paraId="1B88275E" w14:textId="77777777" w:rsidR="009709C2" w:rsidRPr="00A859F2" w:rsidRDefault="009709C2" w:rsidP="00394CA8">
            <w:pPr>
              <w:keepNext/>
              <w:keepLines/>
              <w:rPr>
                <w:sz w:val="16"/>
                <w:szCs w:val="16"/>
              </w:rPr>
            </w:pPr>
            <w:r w:rsidRPr="00A859F2">
              <w:rPr>
                <w:sz w:val="16"/>
                <w:szCs w:val="16"/>
              </w:rPr>
              <w:t>Nombre de partenariats établis</w:t>
            </w:r>
          </w:p>
        </w:tc>
        <w:tc>
          <w:tcPr>
            <w:tcW w:w="839" w:type="pct"/>
            <w:gridSpan w:val="2"/>
            <w:shd w:val="clear" w:color="auto" w:fill="FFFFFF"/>
            <w:tcMar>
              <w:top w:w="113" w:type="dxa"/>
              <w:bottom w:w="57" w:type="dxa"/>
            </w:tcMar>
          </w:tcPr>
          <w:p w14:paraId="515B06AE" w14:textId="77777777" w:rsidR="009709C2" w:rsidRPr="00A859F2" w:rsidRDefault="009709C2" w:rsidP="00394CA8">
            <w:pPr>
              <w:keepNext/>
              <w:keepLines/>
              <w:spacing w:before="40"/>
              <w:jc w:val="center"/>
              <w:rPr>
                <w:sz w:val="16"/>
                <w:szCs w:val="16"/>
                <w:lang w:bidi="th-TH"/>
              </w:rPr>
            </w:pPr>
            <w:r w:rsidRPr="00A859F2">
              <w:rPr>
                <w:sz w:val="16"/>
                <w:szCs w:val="16"/>
              </w:rPr>
              <w:t>Programme</w:t>
            </w:r>
            <w:r>
              <w:rPr>
                <w:sz w:val="16"/>
                <w:szCs w:val="16"/>
              </w:rPr>
              <w:t> </w:t>
            </w:r>
            <w:r w:rsidRPr="00A859F2">
              <w:rPr>
                <w:sz w:val="16"/>
                <w:szCs w:val="16"/>
              </w:rPr>
              <w:t>10</w:t>
            </w:r>
          </w:p>
        </w:tc>
        <w:tc>
          <w:tcPr>
            <w:tcW w:w="679" w:type="pct"/>
            <w:shd w:val="clear" w:color="auto" w:fill="FFFFFF"/>
          </w:tcPr>
          <w:p w14:paraId="2C1C30A1" w14:textId="77777777" w:rsidR="009709C2" w:rsidRPr="00A859F2" w:rsidRDefault="009709C2" w:rsidP="00394CA8">
            <w:pPr>
              <w:keepNext/>
              <w:keepLines/>
              <w:jc w:val="center"/>
              <w:rPr>
                <w:color w:val="0070C0"/>
                <w:szCs w:val="22"/>
              </w:rPr>
            </w:pPr>
            <w:r w:rsidRPr="00A859F2">
              <w:rPr>
                <w:color w:val="00B050"/>
                <w:szCs w:val="22"/>
              </w:rPr>
              <w:sym w:font="Wingdings" w:char="F06C"/>
            </w:r>
          </w:p>
        </w:tc>
      </w:tr>
      <w:tr w:rsidR="009709C2" w:rsidRPr="00A859F2" w14:paraId="31A56900" w14:textId="77777777" w:rsidTr="00394CA8">
        <w:tblPrEx>
          <w:tblCellMar>
            <w:left w:w="108" w:type="dxa"/>
            <w:right w:w="108" w:type="dxa"/>
          </w:tblCellMar>
        </w:tblPrEx>
        <w:trPr>
          <w:gridBefore w:val="1"/>
          <w:wBefore w:w="3" w:type="pct"/>
          <w:cantSplit/>
          <w:trHeight w:val="463"/>
        </w:trPr>
        <w:tc>
          <w:tcPr>
            <w:tcW w:w="1439" w:type="pct"/>
            <w:vMerge w:val="restart"/>
            <w:shd w:val="clear" w:color="auto" w:fill="auto"/>
            <w:tcMar>
              <w:top w:w="113" w:type="dxa"/>
              <w:bottom w:w="57" w:type="dxa"/>
            </w:tcMar>
          </w:tcPr>
          <w:p w14:paraId="36C88398" w14:textId="77777777" w:rsidR="009709C2" w:rsidRPr="00A859F2" w:rsidRDefault="009709C2" w:rsidP="00394CA8">
            <w:pPr>
              <w:rPr>
                <w:sz w:val="16"/>
                <w:szCs w:val="16"/>
              </w:rPr>
            </w:pPr>
            <w:r w:rsidRPr="00A859F2">
              <w:rPr>
                <w:sz w:val="16"/>
                <w:szCs w:val="16"/>
              </w:rPr>
              <w:t>III.5 Meilleure connaissance du Plan d’action pour le développement de la part des États membres, des organisations intergouvernementales, de la société civile et d’autres parties prenantes</w:t>
            </w:r>
          </w:p>
        </w:tc>
        <w:tc>
          <w:tcPr>
            <w:tcW w:w="2040" w:type="pct"/>
            <w:gridSpan w:val="2"/>
            <w:shd w:val="clear" w:color="auto" w:fill="auto"/>
            <w:tcMar>
              <w:top w:w="113" w:type="dxa"/>
              <w:bottom w:w="57" w:type="dxa"/>
            </w:tcMar>
          </w:tcPr>
          <w:p w14:paraId="456D2540" w14:textId="77777777" w:rsidR="009709C2" w:rsidRPr="00A859F2" w:rsidRDefault="009709C2" w:rsidP="00394CA8">
            <w:pPr>
              <w:keepNext/>
              <w:keepLines/>
              <w:rPr>
                <w:sz w:val="16"/>
                <w:szCs w:val="16"/>
              </w:rPr>
            </w:pPr>
            <w:r w:rsidRPr="00A859F2">
              <w:rPr>
                <w:sz w:val="16"/>
                <w:szCs w:val="16"/>
              </w:rPr>
              <w:t>Pourcentage de participants satisfaits dans les manifestations relatives au Plan d’action de l’OMPI pour le développement visant les États membres, les organisations intergouvernementales, la société civile et d’autres parties prenantes</w:t>
            </w:r>
          </w:p>
        </w:tc>
        <w:tc>
          <w:tcPr>
            <w:tcW w:w="839" w:type="pct"/>
            <w:gridSpan w:val="2"/>
            <w:shd w:val="clear" w:color="auto" w:fill="FFFFFF"/>
            <w:tcMar>
              <w:top w:w="113" w:type="dxa"/>
              <w:bottom w:w="57" w:type="dxa"/>
            </w:tcMar>
          </w:tcPr>
          <w:p w14:paraId="073AE996"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8</w:t>
            </w:r>
          </w:p>
        </w:tc>
        <w:tc>
          <w:tcPr>
            <w:tcW w:w="679" w:type="pct"/>
            <w:shd w:val="clear" w:color="auto" w:fill="FFFFFF"/>
          </w:tcPr>
          <w:p w14:paraId="7A1FD117" w14:textId="77777777" w:rsidR="009709C2" w:rsidRPr="00A859F2" w:rsidRDefault="009709C2" w:rsidP="00394CA8">
            <w:pPr>
              <w:jc w:val="center"/>
              <w:rPr>
                <w:color w:val="0070C0"/>
                <w:szCs w:val="22"/>
              </w:rPr>
            </w:pPr>
            <w:r w:rsidRPr="00A859F2">
              <w:rPr>
                <w:color w:val="00B050"/>
                <w:szCs w:val="22"/>
              </w:rPr>
              <w:sym w:font="Wingdings" w:char="F06C"/>
            </w:r>
          </w:p>
        </w:tc>
      </w:tr>
      <w:tr w:rsidR="009709C2" w:rsidRPr="00A859F2" w14:paraId="30CA35F9"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31B9F267"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4595253F" w14:textId="77777777" w:rsidR="009709C2" w:rsidRPr="00A859F2" w:rsidRDefault="009709C2" w:rsidP="00394CA8">
            <w:pPr>
              <w:keepNext/>
              <w:keepLines/>
              <w:rPr>
                <w:sz w:val="16"/>
                <w:szCs w:val="16"/>
              </w:rPr>
            </w:pPr>
            <w:r w:rsidRPr="00A859F2">
              <w:rPr>
                <w:sz w:val="16"/>
                <w:szCs w:val="16"/>
              </w:rPr>
              <w:t>Les activités d’assistance technique menées par l’OMPI tiennent compte de la dimension du Plan d’action pour le développement et des résultats des projets relatifs au Plan d’action pour le développement.</w:t>
            </w:r>
          </w:p>
        </w:tc>
        <w:tc>
          <w:tcPr>
            <w:tcW w:w="839" w:type="pct"/>
            <w:gridSpan w:val="2"/>
            <w:shd w:val="clear" w:color="auto" w:fill="FFFFFF"/>
            <w:tcMar>
              <w:top w:w="113" w:type="dxa"/>
              <w:bottom w:w="57" w:type="dxa"/>
            </w:tcMar>
          </w:tcPr>
          <w:p w14:paraId="05C2B4D6"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8</w:t>
            </w:r>
          </w:p>
        </w:tc>
        <w:tc>
          <w:tcPr>
            <w:tcW w:w="679" w:type="pct"/>
            <w:shd w:val="clear" w:color="auto" w:fill="FFFFFF"/>
          </w:tcPr>
          <w:p w14:paraId="19A02C25" w14:textId="77777777" w:rsidR="009709C2" w:rsidRPr="00A859F2" w:rsidRDefault="009709C2" w:rsidP="00394CA8">
            <w:pPr>
              <w:jc w:val="center"/>
            </w:pPr>
            <w:r w:rsidRPr="00A859F2">
              <w:rPr>
                <w:color w:val="FF0000"/>
                <w:szCs w:val="22"/>
              </w:rPr>
              <w:sym w:font="Wingdings" w:char="F06C"/>
            </w:r>
          </w:p>
        </w:tc>
      </w:tr>
      <w:tr w:rsidR="009709C2" w:rsidRPr="00A859F2" w14:paraId="1835D4BE" w14:textId="77777777" w:rsidTr="00394CA8">
        <w:tblPrEx>
          <w:tblCellMar>
            <w:left w:w="108" w:type="dxa"/>
            <w:right w:w="108" w:type="dxa"/>
          </w:tblCellMar>
        </w:tblPrEx>
        <w:trPr>
          <w:gridBefore w:val="1"/>
          <w:wBefore w:w="3" w:type="pct"/>
          <w:cantSplit/>
          <w:trHeight w:val="463"/>
        </w:trPr>
        <w:tc>
          <w:tcPr>
            <w:tcW w:w="1439" w:type="pct"/>
            <w:vMerge w:val="restart"/>
            <w:shd w:val="clear" w:color="auto" w:fill="auto"/>
            <w:tcMar>
              <w:top w:w="113" w:type="dxa"/>
              <w:bottom w:w="57" w:type="dxa"/>
            </w:tcMar>
          </w:tcPr>
          <w:p w14:paraId="58856394" w14:textId="77777777" w:rsidR="009709C2" w:rsidRPr="00A859F2" w:rsidRDefault="009709C2" w:rsidP="00394CA8">
            <w:pPr>
              <w:rPr>
                <w:sz w:val="16"/>
                <w:szCs w:val="16"/>
              </w:rPr>
            </w:pPr>
            <w:r w:rsidRPr="00A859F2">
              <w:rPr>
                <w:sz w:val="16"/>
                <w:szCs w:val="16"/>
              </w:rPr>
              <w:t>III.6 Renforcement des capacités des PME s’agissant de mettre la propriété intellectuelle au service de l’innovation</w:t>
            </w:r>
          </w:p>
        </w:tc>
        <w:tc>
          <w:tcPr>
            <w:tcW w:w="2040" w:type="pct"/>
            <w:gridSpan w:val="2"/>
            <w:shd w:val="clear" w:color="auto" w:fill="auto"/>
            <w:tcMar>
              <w:top w:w="113" w:type="dxa"/>
              <w:bottom w:w="57" w:type="dxa"/>
            </w:tcMar>
          </w:tcPr>
          <w:p w14:paraId="104A019B" w14:textId="77777777" w:rsidR="009709C2" w:rsidRPr="00A859F2" w:rsidRDefault="009709C2" w:rsidP="00394CA8">
            <w:pPr>
              <w:rPr>
                <w:sz w:val="16"/>
                <w:szCs w:val="16"/>
              </w:rPr>
            </w:pPr>
            <w:r w:rsidRPr="00A859F2">
              <w:rPr>
                <w:sz w:val="16"/>
                <w:szCs w:val="16"/>
              </w:rPr>
              <w:t>Pourcentage des participants à des programmes de formation visant les institutions d’appui aux PME qui utilisent des connaissances nouvelles et des compétences améliorées dans le cadre de leurs activités professionnelles</w:t>
            </w:r>
          </w:p>
        </w:tc>
        <w:tc>
          <w:tcPr>
            <w:tcW w:w="839" w:type="pct"/>
            <w:gridSpan w:val="2"/>
            <w:shd w:val="clear" w:color="auto" w:fill="FFFFFF"/>
            <w:tcMar>
              <w:top w:w="113" w:type="dxa"/>
              <w:bottom w:w="57" w:type="dxa"/>
            </w:tcMar>
          </w:tcPr>
          <w:p w14:paraId="022C4CD0"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788B6F32" w14:textId="77777777" w:rsidR="009709C2" w:rsidRPr="00A859F2" w:rsidRDefault="009709C2" w:rsidP="00394CA8">
            <w:pPr>
              <w:jc w:val="center"/>
              <w:rPr>
                <w:color w:val="A6A6A6" w:themeColor="background1" w:themeShade="A6"/>
                <w:szCs w:val="22"/>
              </w:rPr>
            </w:pPr>
            <w:r w:rsidRPr="00A859F2">
              <w:rPr>
                <w:color w:val="0070C0"/>
                <w:szCs w:val="22"/>
              </w:rPr>
              <w:sym w:font="Wingdings" w:char="F06C"/>
            </w:r>
          </w:p>
        </w:tc>
      </w:tr>
      <w:tr w:rsidR="009709C2" w:rsidRPr="00A859F2" w14:paraId="1F0F02BC"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642F45ED"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49A8B30" w14:textId="77777777" w:rsidR="009709C2" w:rsidRPr="00A859F2" w:rsidRDefault="009709C2" w:rsidP="00394CA8">
            <w:pPr>
              <w:rPr>
                <w:sz w:val="16"/>
                <w:szCs w:val="16"/>
              </w:rPr>
            </w:pPr>
            <w:r w:rsidRPr="00A859F2">
              <w:rPr>
                <w:sz w:val="16"/>
                <w:szCs w:val="16"/>
              </w:rPr>
              <w:t>Pourcentage des participants à des programmes de formation visant les institutions d’appui aux PME qui se sont dits satisfaits du contenu et de l’organisation de ces événements</w:t>
            </w:r>
          </w:p>
        </w:tc>
        <w:tc>
          <w:tcPr>
            <w:tcW w:w="839" w:type="pct"/>
            <w:gridSpan w:val="2"/>
            <w:shd w:val="clear" w:color="auto" w:fill="FFFFFF"/>
            <w:tcMar>
              <w:top w:w="113" w:type="dxa"/>
              <w:bottom w:w="57" w:type="dxa"/>
            </w:tcMar>
          </w:tcPr>
          <w:p w14:paraId="37DA6E1B" w14:textId="77777777" w:rsidR="009709C2" w:rsidRPr="00A859F2" w:rsidRDefault="009709C2" w:rsidP="00394CA8">
            <w:pPr>
              <w:spacing w:before="40"/>
              <w:jc w:val="center"/>
              <w:rPr>
                <w:sz w:val="16"/>
                <w:szCs w:val="16"/>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51BEC817" w14:textId="77777777" w:rsidR="009709C2" w:rsidRPr="00A859F2" w:rsidRDefault="009709C2" w:rsidP="00394CA8">
            <w:pPr>
              <w:jc w:val="center"/>
              <w:rPr>
                <w:color w:val="A6A6A6" w:themeColor="background1" w:themeShade="A6"/>
                <w:szCs w:val="22"/>
              </w:rPr>
            </w:pPr>
            <w:r w:rsidRPr="00A859F2">
              <w:rPr>
                <w:color w:val="00B050"/>
                <w:szCs w:val="22"/>
              </w:rPr>
              <w:sym w:font="Wingdings" w:char="F06C"/>
            </w:r>
          </w:p>
        </w:tc>
      </w:tr>
      <w:tr w:rsidR="009709C2" w:rsidRPr="00A859F2" w14:paraId="23037325"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1DE89AC0"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7F8570EB" w14:textId="77777777" w:rsidR="009709C2" w:rsidRPr="00A859F2" w:rsidRDefault="009709C2" w:rsidP="00394CA8">
            <w:pPr>
              <w:rPr>
                <w:sz w:val="16"/>
                <w:szCs w:val="16"/>
              </w:rPr>
            </w:pPr>
            <w:r w:rsidRPr="00A859F2">
              <w:rPr>
                <w:sz w:val="16"/>
                <w:szCs w:val="16"/>
              </w:rPr>
              <w:t>Pourcentage d’institutions d’appui aux PME ayant obtenu une formation qui fournissent des informations sur la propriété intellectuelle et des services d’orientation sur la gestion des actifs de propriété intellectuelle</w:t>
            </w:r>
          </w:p>
        </w:tc>
        <w:tc>
          <w:tcPr>
            <w:tcW w:w="839" w:type="pct"/>
            <w:gridSpan w:val="2"/>
            <w:shd w:val="clear" w:color="auto" w:fill="FFFFFF"/>
            <w:tcMar>
              <w:top w:w="113" w:type="dxa"/>
              <w:bottom w:w="57" w:type="dxa"/>
            </w:tcMar>
          </w:tcPr>
          <w:p w14:paraId="3D49D7EA"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54ECFF1A" w14:textId="77777777" w:rsidR="009709C2" w:rsidRPr="00A859F2" w:rsidRDefault="009709C2" w:rsidP="00394CA8">
            <w:pPr>
              <w:jc w:val="center"/>
              <w:rPr>
                <w:color w:val="A6A6A6" w:themeColor="background1" w:themeShade="A6"/>
                <w:szCs w:val="22"/>
              </w:rPr>
            </w:pPr>
            <w:r w:rsidRPr="00A859F2">
              <w:rPr>
                <w:color w:val="00B050"/>
                <w:szCs w:val="22"/>
              </w:rPr>
              <w:sym w:font="Wingdings" w:char="F06C"/>
            </w:r>
          </w:p>
        </w:tc>
      </w:tr>
      <w:tr w:rsidR="009709C2" w:rsidRPr="00A859F2" w14:paraId="3C2A6AEC"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56651F18"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066AE98" w14:textId="77777777" w:rsidR="009709C2" w:rsidRPr="00A859F2" w:rsidRDefault="009709C2" w:rsidP="00394CA8">
            <w:pPr>
              <w:keepNext/>
              <w:keepLines/>
              <w:rPr>
                <w:sz w:val="16"/>
                <w:szCs w:val="16"/>
              </w:rPr>
            </w:pPr>
            <w:r w:rsidRPr="00A859F2">
              <w:rPr>
                <w:sz w:val="16"/>
                <w:szCs w:val="16"/>
              </w:rPr>
              <w:t>Nombre de pays ayant créé ou amélioré des programmes de formation en matière de propriété intellectuelle à l’intention des PME</w:t>
            </w:r>
          </w:p>
        </w:tc>
        <w:tc>
          <w:tcPr>
            <w:tcW w:w="839" w:type="pct"/>
            <w:gridSpan w:val="2"/>
            <w:shd w:val="clear" w:color="auto" w:fill="FFFFFF"/>
            <w:tcMar>
              <w:top w:w="113" w:type="dxa"/>
              <w:bottom w:w="57" w:type="dxa"/>
            </w:tcMar>
          </w:tcPr>
          <w:p w14:paraId="7E44ACA5"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2BA03553" w14:textId="77777777" w:rsidR="009709C2" w:rsidRPr="00A859F2" w:rsidRDefault="009709C2" w:rsidP="00394CA8">
            <w:pPr>
              <w:jc w:val="center"/>
            </w:pPr>
            <w:r w:rsidRPr="00A859F2">
              <w:rPr>
                <w:color w:val="00B050"/>
                <w:szCs w:val="22"/>
              </w:rPr>
              <w:sym w:font="Wingdings" w:char="F06C"/>
            </w:r>
          </w:p>
        </w:tc>
      </w:tr>
      <w:tr w:rsidR="009709C2" w:rsidRPr="00A859F2" w14:paraId="3A7D4E32" w14:textId="77777777" w:rsidTr="00394CA8">
        <w:tblPrEx>
          <w:tblCellMar>
            <w:left w:w="108" w:type="dxa"/>
            <w:right w:w="108" w:type="dxa"/>
          </w:tblCellMar>
        </w:tblPrEx>
        <w:trPr>
          <w:gridBefore w:val="1"/>
          <w:wBefore w:w="3" w:type="pct"/>
          <w:cantSplit/>
          <w:trHeight w:val="388"/>
        </w:trPr>
        <w:tc>
          <w:tcPr>
            <w:tcW w:w="1439" w:type="pct"/>
            <w:vMerge/>
            <w:shd w:val="clear" w:color="auto" w:fill="auto"/>
            <w:tcMar>
              <w:top w:w="113" w:type="dxa"/>
              <w:bottom w:w="57" w:type="dxa"/>
            </w:tcMar>
          </w:tcPr>
          <w:p w14:paraId="4254BB4C"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47A22B19" w14:textId="77777777" w:rsidR="009709C2" w:rsidRPr="00A859F2" w:rsidRDefault="009709C2" w:rsidP="00394CA8">
            <w:pPr>
              <w:keepNext/>
              <w:keepLines/>
              <w:rPr>
                <w:sz w:val="16"/>
                <w:szCs w:val="16"/>
              </w:rPr>
            </w:pPr>
            <w:r w:rsidRPr="00A859F2">
              <w:rPr>
                <w:sz w:val="16"/>
                <w:szCs w:val="16"/>
              </w:rPr>
              <w:t>Nombre de pays dans lesquels des politiques en matière de propriété intellectuelle ont été élaborées ou adoptées en faveur des PME</w:t>
            </w:r>
          </w:p>
        </w:tc>
        <w:tc>
          <w:tcPr>
            <w:tcW w:w="839" w:type="pct"/>
            <w:gridSpan w:val="2"/>
            <w:shd w:val="clear" w:color="auto" w:fill="FFFFFF"/>
            <w:tcMar>
              <w:top w:w="113" w:type="dxa"/>
              <w:bottom w:w="57" w:type="dxa"/>
            </w:tcMar>
          </w:tcPr>
          <w:p w14:paraId="335C4BC7" w14:textId="77777777" w:rsidR="009709C2" w:rsidRPr="00A859F2" w:rsidRDefault="009709C2" w:rsidP="00394CA8">
            <w:pPr>
              <w:spacing w:before="40"/>
              <w:jc w:val="center"/>
              <w:rPr>
                <w:sz w:val="16"/>
                <w:szCs w:val="16"/>
                <w:lang w:bidi="th-TH"/>
              </w:rPr>
            </w:pPr>
            <w:r w:rsidRPr="00A859F2">
              <w:rPr>
                <w:sz w:val="16"/>
                <w:szCs w:val="16"/>
              </w:rPr>
              <w:t>Programme 30</w:t>
            </w:r>
          </w:p>
        </w:tc>
        <w:tc>
          <w:tcPr>
            <w:tcW w:w="679" w:type="pct"/>
            <w:shd w:val="clear" w:color="auto" w:fill="FFFFFF"/>
          </w:tcPr>
          <w:p w14:paraId="76D3E822" w14:textId="77777777" w:rsidR="009709C2" w:rsidRPr="00A859F2" w:rsidRDefault="009709C2" w:rsidP="00394CA8">
            <w:pPr>
              <w:jc w:val="center"/>
            </w:pPr>
            <w:r w:rsidRPr="00A859F2">
              <w:rPr>
                <w:color w:val="FF0000"/>
                <w:szCs w:val="22"/>
              </w:rPr>
              <w:sym w:font="Wingdings" w:char="F06C"/>
            </w:r>
          </w:p>
        </w:tc>
      </w:tr>
      <w:tr w:rsidR="009709C2" w:rsidRPr="00A859F2" w14:paraId="7AFC9863"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742DB8F1"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191CDB28" w14:textId="77777777" w:rsidR="009709C2" w:rsidRPr="00A859F2" w:rsidRDefault="009709C2" w:rsidP="00394CA8">
            <w:pPr>
              <w:keepNext/>
              <w:keepLines/>
              <w:rPr>
                <w:sz w:val="16"/>
                <w:szCs w:val="16"/>
                <w:lang w:bidi="th-TH"/>
              </w:rPr>
            </w:pPr>
            <w:r w:rsidRPr="00A859F2">
              <w:rPr>
                <w:sz w:val="16"/>
                <w:szCs w:val="16"/>
                <w:lang w:bidi="th-TH"/>
              </w:rPr>
              <w:t>Nombre de téléchargements de supports et directives concernant les PME</w:t>
            </w:r>
          </w:p>
        </w:tc>
        <w:tc>
          <w:tcPr>
            <w:tcW w:w="839" w:type="pct"/>
            <w:gridSpan w:val="2"/>
            <w:shd w:val="clear" w:color="auto" w:fill="FFFFFF"/>
            <w:tcMar>
              <w:top w:w="113" w:type="dxa"/>
              <w:bottom w:w="57" w:type="dxa"/>
            </w:tcMar>
          </w:tcPr>
          <w:p w14:paraId="03104CB3"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235B273A" w14:textId="77777777" w:rsidR="009709C2" w:rsidRPr="00A859F2" w:rsidRDefault="009709C2" w:rsidP="00394CA8">
            <w:pPr>
              <w:jc w:val="center"/>
            </w:pPr>
            <w:r w:rsidRPr="00A859F2">
              <w:rPr>
                <w:color w:val="FF0000"/>
                <w:szCs w:val="22"/>
              </w:rPr>
              <w:sym w:font="Wingdings" w:char="F06C"/>
            </w:r>
            <w:r w:rsidRPr="00A859F2">
              <w:rPr>
                <w:color w:val="00B050"/>
                <w:szCs w:val="22"/>
              </w:rPr>
              <w:sym w:font="Wingdings" w:char="F06C"/>
            </w:r>
          </w:p>
        </w:tc>
      </w:tr>
      <w:tr w:rsidR="009709C2" w:rsidRPr="00A859F2" w14:paraId="2511170F" w14:textId="77777777" w:rsidTr="00394CA8">
        <w:tblPrEx>
          <w:tblCellMar>
            <w:left w:w="108" w:type="dxa"/>
            <w:right w:w="108" w:type="dxa"/>
          </w:tblCellMar>
        </w:tblPrEx>
        <w:trPr>
          <w:gridBefore w:val="1"/>
          <w:wBefore w:w="3" w:type="pct"/>
          <w:cantSplit/>
          <w:trHeight w:val="463"/>
        </w:trPr>
        <w:tc>
          <w:tcPr>
            <w:tcW w:w="1439" w:type="pct"/>
            <w:vMerge/>
            <w:shd w:val="clear" w:color="auto" w:fill="auto"/>
            <w:tcMar>
              <w:top w:w="113" w:type="dxa"/>
              <w:bottom w:w="57" w:type="dxa"/>
            </w:tcMar>
          </w:tcPr>
          <w:p w14:paraId="476F0746" w14:textId="77777777" w:rsidR="009709C2" w:rsidRPr="00A859F2" w:rsidRDefault="009709C2" w:rsidP="00394CA8">
            <w:pPr>
              <w:rPr>
                <w:sz w:val="16"/>
                <w:szCs w:val="16"/>
              </w:rPr>
            </w:pPr>
          </w:p>
        </w:tc>
        <w:tc>
          <w:tcPr>
            <w:tcW w:w="2040" w:type="pct"/>
            <w:gridSpan w:val="2"/>
            <w:shd w:val="clear" w:color="auto" w:fill="auto"/>
            <w:tcMar>
              <w:top w:w="113" w:type="dxa"/>
              <w:bottom w:w="57" w:type="dxa"/>
            </w:tcMar>
          </w:tcPr>
          <w:p w14:paraId="0976E545" w14:textId="77777777" w:rsidR="009709C2" w:rsidRPr="00A859F2" w:rsidRDefault="009709C2" w:rsidP="00394CA8">
            <w:pPr>
              <w:keepNext/>
              <w:keepLines/>
              <w:rPr>
                <w:sz w:val="16"/>
                <w:szCs w:val="16"/>
                <w:lang w:bidi="th-TH"/>
              </w:rPr>
            </w:pPr>
            <w:r w:rsidRPr="00A859F2">
              <w:rPr>
                <w:sz w:val="16"/>
                <w:szCs w:val="16"/>
                <w:lang w:bidi="th-TH"/>
              </w:rPr>
              <w:t>Nombre d’abonnements au bulletin des PME</w:t>
            </w:r>
          </w:p>
        </w:tc>
        <w:tc>
          <w:tcPr>
            <w:tcW w:w="839" w:type="pct"/>
            <w:gridSpan w:val="2"/>
            <w:shd w:val="clear" w:color="auto" w:fill="FFFFFF"/>
            <w:tcMar>
              <w:top w:w="113" w:type="dxa"/>
              <w:bottom w:w="57" w:type="dxa"/>
            </w:tcMar>
          </w:tcPr>
          <w:p w14:paraId="31463D91" w14:textId="77777777" w:rsidR="009709C2" w:rsidRPr="00A859F2" w:rsidRDefault="009709C2"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30</w:t>
            </w:r>
          </w:p>
        </w:tc>
        <w:tc>
          <w:tcPr>
            <w:tcW w:w="679" w:type="pct"/>
            <w:shd w:val="clear" w:color="auto" w:fill="FFFFFF"/>
          </w:tcPr>
          <w:p w14:paraId="6EB4B1AC" w14:textId="77777777" w:rsidR="009709C2" w:rsidRPr="00A859F2" w:rsidRDefault="009709C2" w:rsidP="00394CA8">
            <w:pPr>
              <w:jc w:val="center"/>
            </w:pPr>
            <w:r w:rsidRPr="00A859F2">
              <w:rPr>
                <w:szCs w:val="22"/>
              </w:rPr>
              <w:sym w:font="Wingdings" w:char="F06C"/>
            </w:r>
          </w:p>
        </w:tc>
      </w:tr>
    </w:tbl>
    <w:p w14:paraId="1BAE72CB" w14:textId="77777777" w:rsidR="009709C2" w:rsidRPr="00A859F2" w:rsidRDefault="009709C2" w:rsidP="009709C2">
      <w:pPr>
        <w:rPr>
          <w:bCs/>
          <w:sz w:val="20"/>
        </w:rPr>
      </w:pPr>
    </w:p>
    <w:p w14:paraId="0E768F25" w14:textId="77777777" w:rsidR="009709C2" w:rsidRPr="00A859F2" w:rsidRDefault="009709C2" w:rsidP="009709C2">
      <w:pPr>
        <w:pStyle w:val="ListParagraph"/>
        <w:ind w:left="0"/>
        <w:jc w:val="both"/>
      </w:pPr>
      <w:r w:rsidRPr="00A859F2">
        <w:br w:type="page"/>
      </w:r>
    </w:p>
    <w:p w14:paraId="684DD36D" w14:textId="77777777" w:rsidR="00561B47" w:rsidRPr="00D2431B" w:rsidRDefault="00561B47" w:rsidP="006658D5">
      <w:pPr>
        <w:pStyle w:val="Heading3"/>
      </w:pPr>
      <w:bookmarkStart w:id="40" w:name="_Toc482774600"/>
      <w:r w:rsidRPr="00D2431B">
        <w:lastRenderedPageBreak/>
        <w:t>P</w:t>
      </w:r>
      <w:r>
        <w:t>rogramme 8</w:t>
      </w:r>
      <w:r>
        <w:tab/>
        <w:t>C</w:t>
      </w:r>
      <w:r w:rsidRPr="00D2431B">
        <w:t>oordination du Plan d’action pour le développement</w:t>
      </w:r>
      <w:bookmarkEnd w:id="40"/>
    </w:p>
    <w:p w14:paraId="0CB4F3F6" w14:textId="77777777" w:rsidR="00561B47" w:rsidRPr="00CD000E" w:rsidRDefault="00561B47" w:rsidP="00561B47">
      <w:pPr>
        <w:tabs>
          <w:tab w:val="left" w:pos="1985"/>
        </w:tabs>
        <w:jc w:val="both"/>
        <w:rPr>
          <w:sz w:val="20"/>
        </w:rPr>
      </w:pPr>
    </w:p>
    <w:p w14:paraId="14FFE568" w14:textId="77777777" w:rsidR="00561B47" w:rsidRPr="00CD000E" w:rsidRDefault="00561B47" w:rsidP="00561B47">
      <w:pPr>
        <w:tabs>
          <w:tab w:val="left" w:pos="2268"/>
        </w:tabs>
        <w:jc w:val="both"/>
        <w:rPr>
          <w:b/>
          <w:sz w:val="20"/>
        </w:rPr>
      </w:pPr>
      <w:r w:rsidRPr="00CD000E">
        <w:rPr>
          <w:b/>
          <w:sz w:val="20"/>
        </w:rPr>
        <w:t>Chef de programme</w:t>
      </w:r>
      <w:r w:rsidRPr="00CD000E">
        <w:rPr>
          <w:b/>
          <w:sz w:val="20"/>
        </w:rPr>
        <w:tab/>
        <w:t>M. M. Matus</w:t>
      </w:r>
    </w:p>
    <w:p w14:paraId="381093BC" w14:textId="77777777" w:rsidR="00561B47" w:rsidRPr="00CD000E" w:rsidRDefault="00561B47" w:rsidP="00561B47">
      <w:pPr>
        <w:jc w:val="center"/>
        <w:rPr>
          <w:sz w:val="20"/>
        </w:rPr>
      </w:pPr>
      <w:r w:rsidRPr="00CD000E">
        <w:rPr>
          <w:noProof/>
          <w:lang w:val="en-US"/>
        </w:rPr>
        <w:drawing>
          <wp:inline distT="0" distB="0" distL="0" distR="0" wp14:anchorId="2E1A8825" wp14:editId="4AE5ADF6">
            <wp:extent cx="3960778" cy="273600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2083"/>
        <w:gridCol w:w="2355"/>
        <w:gridCol w:w="1611"/>
        <w:gridCol w:w="2088"/>
        <w:gridCol w:w="1050"/>
      </w:tblGrid>
      <w:tr w:rsidR="00561B47" w:rsidRPr="00CD000E" w14:paraId="7BC9E784" w14:textId="77777777" w:rsidTr="00561B47">
        <w:tc>
          <w:tcPr>
            <w:tcW w:w="5000" w:type="pct"/>
            <w:gridSpan w:val="5"/>
            <w:shd w:val="clear" w:color="auto" w:fill="C6D9F1" w:themeFill="text2" w:themeFillTint="33"/>
            <w:tcMar>
              <w:left w:w="58" w:type="dxa"/>
              <w:right w:w="58" w:type="dxa"/>
            </w:tcMar>
            <w:vAlign w:val="center"/>
          </w:tcPr>
          <w:p w14:paraId="6F005BAD" w14:textId="77777777" w:rsidR="00561B47" w:rsidRPr="00CD000E" w:rsidRDefault="00561B47" w:rsidP="00561B47">
            <w:pPr>
              <w:keepNext/>
              <w:keepLines/>
              <w:tabs>
                <w:tab w:val="left" w:pos="1452"/>
              </w:tabs>
              <w:rPr>
                <w:b/>
                <w:bCs/>
                <w:sz w:val="16"/>
                <w:szCs w:val="16"/>
              </w:rPr>
            </w:pPr>
            <w:r w:rsidRPr="00CD000E">
              <w:rPr>
                <w:b/>
                <w:bCs/>
                <w:sz w:val="16"/>
                <w:szCs w:val="16"/>
              </w:rPr>
              <w:t xml:space="preserve">Résultat escompté : </w:t>
            </w:r>
            <w:r w:rsidRPr="00CD000E">
              <w:rPr>
                <w:bCs/>
                <w:sz w:val="16"/>
                <w:szCs w:val="16"/>
              </w:rPr>
              <w:t>III.3 Intégration des recommandations du Plan d’action pour le développement dans les travaux de l’OMPI</w:t>
            </w:r>
          </w:p>
        </w:tc>
      </w:tr>
      <w:tr w:rsidR="00561B47" w:rsidRPr="00CD000E" w14:paraId="40E9A578" w14:textId="77777777" w:rsidTr="00561B47">
        <w:tc>
          <w:tcPr>
            <w:tcW w:w="1172" w:type="pct"/>
            <w:shd w:val="clear" w:color="auto" w:fill="auto"/>
            <w:tcMar>
              <w:left w:w="58" w:type="dxa"/>
              <w:right w:w="58" w:type="dxa"/>
            </w:tcMar>
            <w:vAlign w:val="center"/>
          </w:tcPr>
          <w:p w14:paraId="0BC3B3E9" w14:textId="77777777" w:rsidR="00561B47" w:rsidRPr="00CD000E" w:rsidRDefault="00561B47" w:rsidP="00561B47">
            <w:pPr>
              <w:jc w:val="center"/>
              <w:rPr>
                <w:b/>
                <w:bCs/>
                <w:sz w:val="16"/>
                <w:szCs w:val="16"/>
              </w:rPr>
            </w:pPr>
            <w:r w:rsidRPr="00CD000E">
              <w:rPr>
                <w:b/>
                <w:bCs/>
                <w:sz w:val="16"/>
                <w:szCs w:val="16"/>
              </w:rPr>
              <w:t>Indicateurs d’exécution</w:t>
            </w:r>
          </w:p>
        </w:tc>
        <w:tc>
          <w:tcPr>
            <w:tcW w:w="1319" w:type="pct"/>
            <w:shd w:val="clear" w:color="auto" w:fill="auto"/>
            <w:tcMar>
              <w:left w:w="58" w:type="dxa"/>
              <w:right w:w="58" w:type="dxa"/>
            </w:tcMar>
            <w:vAlign w:val="center"/>
          </w:tcPr>
          <w:p w14:paraId="6DD995FB" w14:textId="77777777" w:rsidR="00561B47" w:rsidRPr="00CD000E" w:rsidRDefault="00561B47" w:rsidP="00561B47">
            <w:pPr>
              <w:jc w:val="center"/>
              <w:rPr>
                <w:b/>
                <w:bCs/>
                <w:sz w:val="16"/>
                <w:szCs w:val="16"/>
              </w:rPr>
            </w:pPr>
            <w:r w:rsidRPr="00CD000E">
              <w:rPr>
                <w:b/>
                <w:bCs/>
                <w:sz w:val="16"/>
                <w:szCs w:val="16"/>
              </w:rPr>
              <w:t>Niveaux de référence</w:t>
            </w:r>
          </w:p>
        </w:tc>
        <w:tc>
          <w:tcPr>
            <w:tcW w:w="829" w:type="pct"/>
            <w:shd w:val="clear" w:color="auto" w:fill="auto"/>
            <w:tcMar>
              <w:top w:w="110" w:type="dxa"/>
              <w:left w:w="58" w:type="dxa"/>
              <w:right w:w="58" w:type="dxa"/>
            </w:tcMar>
            <w:vAlign w:val="center"/>
          </w:tcPr>
          <w:p w14:paraId="4F5BC20F" w14:textId="77777777" w:rsidR="00561B47" w:rsidRPr="00CD000E" w:rsidRDefault="00561B47" w:rsidP="00561B47">
            <w:pPr>
              <w:tabs>
                <w:tab w:val="left" w:pos="290"/>
              </w:tabs>
              <w:jc w:val="center"/>
              <w:rPr>
                <w:b/>
                <w:bCs/>
                <w:sz w:val="16"/>
                <w:szCs w:val="16"/>
              </w:rPr>
            </w:pPr>
            <w:r w:rsidRPr="00CD000E">
              <w:rPr>
                <w:b/>
                <w:bCs/>
                <w:sz w:val="16"/>
                <w:szCs w:val="16"/>
              </w:rPr>
              <w:t>Objectifs visés</w:t>
            </w:r>
          </w:p>
        </w:tc>
        <w:tc>
          <w:tcPr>
            <w:tcW w:w="1174" w:type="pct"/>
            <w:shd w:val="clear" w:color="auto" w:fill="FFFFFF"/>
            <w:tcMar>
              <w:top w:w="110" w:type="dxa"/>
              <w:left w:w="58" w:type="dxa"/>
              <w:right w:w="58" w:type="dxa"/>
            </w:tcMar>
            <w:vAlign w:val="center"/>
          </w:tcPr>
          <w:p w14:paraId="0E30874E" w14:textId="77777777" w:rsidR="00561B47" w:rsidRPr="00CD000E" w:rsidRDefault="00561B47" w:rsidP="00561B47">
            <w:pPr>
              <w:jc w:val="center"/>
              <w:rPr>
                <w:b/>
                <w:bCs/>
                <w:sz w:val="16"/>
                <w:szCs w:val="16"/>
              </w:rPr>
            </w:pPr>
            <w:r w:rsidRPr="00CD000E">
              <w:rPr>
                <w:b/>
                <w:bCs/>
                <w:sz w:val="16"/>
                <w:szCs w:val="16"/>
              </w:rPr>
              <w:t>Données relatives à l’exécution</w:t>
            </w:r>
          </w:p>
        </w:tc>
        <w:tc>
          <w:tcPr>
            <w:tcW w:w="506" w:type="pct"/>
            <w:shd w:val="clear" w:color="auto" w:fill="auto"/>
            <w:tcMar>
              <w:top w:w="110" w:type="dxa"/>
              <w:left w:w="58" w:type="dxa"/>
              <w:right w:w="58" w:type="dxa"/>
            </w:tcMar>
            <w:vAlign w:val="center"/>
          </w:tcPr>
          <w:p w14:paraId="76C3643E" w14:textId="77777777" w:rsidR="00561B47" w:rsidRPr="00CD000E" w:rsidRDefault="00561B47" w:rsidP="00561B47">
            <w:pPr>
              <w:keepNext/>
              <w:keepLines/>
              <w:jc w:val="center"/>
              <w:rPr>
                <w:b/>
                <w:bCs/>
                <w:sz w:val="16"/>
                <w:szCs w:val="16"/>
              </w:rPr>
            </w:pPr>
            <w:r w:rsidRPr="00CD000E">
              <w:rPr>
                <w:b/>
                <w:bCs/>
                <w:sz w:val="16"/>
                <w:szCs w:val="16"/>
              </w:rPr>
              <w:t>Code d’évaluation</w:t>
            </w:r>
          </w:p>
        </w:tc>
      </w:tr>
      <w:tr w:rsidR="00561B47" w:rsidRPr="00CD000E" w14:paraId="648A41AA" w14:textId="77777777" w:rsidTr="00561B47">
        <w:tc>
          <w:tcPr>
            <w:tcW w:w="1172" w:type="pct"/>
            <w:shd w:val="clear" w:color="auto" w:fill="auto"/>
            <w:tcMar>
              <w:left w:w="58" w:type="dxa"/>
              <w:right w:w="58" w:type="dxa"/>
            </w:tcMar>
          </w:tcPr>
          <w:p w14:paraId="5E7DCBAD" w14:textId="77777777" w:rsidR="00561B47" w:rsidRPr="00CD000E" w:rsidRDefault="00561B47" w:rsidP="00561B47">
            <w:pPr>
              <w:rPr>
                <w:color w:val="000000"/>
                <w:sz w:val="16"/>
                <w:szCs w:val="16"/>
              </w:rPr>
            </w:pPr>
            <w:r w:rsidRPr="00CD000E">
              <w:rPr>
                <w:sz w:val="16"/>
                <w:szCs w:val="16"/>
              </w:rPr>
              <w:t>Principes de développement énoncés dans les recommandations du Plan d’action pour le développement efficacement intégrés dans les programmes de l’OMPI</w:t>
            </w:r>
          </w:p>
        </w:tc>
        <w:tc>
          <w:tcPr>
            <w:tcW w:w="1319" w:type="pct"/>
            <w:shd w:val="clear" w:color="auto" w:fill="auto"/>
            <w:tcMar>
              <w:left w:w="58" w:type="dxa"/>
              <w:right w:w="58" w:type="dxa"/>
            </w:tcMar>
          </w:tcPr>
          <w:p w14:paraId="1AFB98F2" w14:textId="77777777" w:rsidR="00561B47" w:rsidRPr="005035EE" w:rsidRDefault="00561B47" w:rsidP="00561B47">
            <w:pPr>
              <w:rPr>
                <w:i/>
                <w:color w:val="002060"/>
                <w:sz w:val="16"/>
                <w:szCs w:val="16"/>
              </w:rPr>
            </w:pPr>
            <w:r w:rsidRPr="005035EE">
              <w:rPr>
                <w:i/>
                <w:color w:val="002060"/>
                <w:sz w:val="16"/>
                <w:szCs w:val="16"/>
              </w:rPr>
              <w:t>Niveau de référence actualisé à fin 2015 :</w:t>
            </w:r>
          </w:p>
          <w:p w14:paraId="4127415F" w14:textId="77777777" w:rsidR="00561B47" w:rsidRPr="005035EE" w:rsidRDefault="00561B47" w:rsidP="00561B47">
            <w:pPr>
              <w:rPr>
                <w:color w:val="002060"/>
                <w:sz w:val="16"/>
                <w:szCs w:val="16"/>
              </w:rPr>
            </w:pPr>
            <w:r w:rsidRPr="005035EE">
              <w:rPr>
                <w:color w:val="002060"/>
                <w:sz w:val="16"/>
                <w:szCs w:val="16"/>
              </w:rPr>
              <w:t>23 programmes du programme et budget pour 2014</w:t>
            </w:r>
            <w:r w:rsidRPr="005035EE">
              <w:rPr>
                <w:color w:val="002060"/>
                <w:sz w:val="16"/>
                <w:szCs w:val="16"/>
              </w:rPr>
              <w:noBreakHyphen/>
              <w:t>2015 ont témoigné de l’intégration des activités du Plan d’action pour le développement</w:t>
            </w:r>
          </w:p>
          <w:p w14:paraId="1A03C1F7" w14:textId="77777777" w:rsidR="00561B47" w:rsidRPr="005035EE" w:rsidRDefault="00561B47" w:rsidP="00561B47">
            <w:pPr>
              <w:rPr>
                <w:color w:val="000000"/>
                <w:sz w:val="16"/>
                <w:szCs w:val="16"/>
              </w:rPr>
            </w:pPr>
          </w:p>
          <w:p w14:paraId="1D34DC27" w14:textId="77777777" w:rsidR="00561B47" w:rsidRPr="005035EE" w:rsidRDefault="00561B47" w:rsidP="00561B47">
            <w:pPr>
              <w:rPr>
                <w:i/>
                <w:sz w:val="16"/>
                <w:szCs w:val="16"/>
                <w:lang w:bidi="th-TH"/>
              </w:rPr>
            </w:pPr>
            <w:r w:rsidRPr="005035EE">
              <w:rPr>
                <w:i/>
                <w:sz w:val="16"/>
                <w:szCs w:val="16"/>
                <w:lang w:bidi="th-TH"/>
              </w:rPr>
              <w:t>Niveau de référence initial dans le programme et budget 2016</w:t>
            </w:r>
            <w:r w:rsidRPr="005035EE">
              <w:rPr>
                <w:i/>
                <w:sz w:val="16"/>
                <w:szCs w:val="16"/>
                <w:lang w:bidi="th-TH"/>
              </w:rPr>
              <w:noBreakHyphen/>
              <w:t>2017 :</w:t>
            </w:r>
          </w:p>
          <w:p w14:paraId="0FEE7938" w14:textId="77777777" w:rsidR="00561B47" w:rsidRPr="005035EE" w:rsidRDefault="00561B47" w:rsidP="00561B47">
            <w:pPr>
              <w:rPr>
                <w:color w:val="000000"/>
                <w:sz w:val="16"/>
                <w:szCs w:val="16"/>
              </w:rPr>
            </w:pPr>
            <w:proofErr w:type="spellStart"/>
            <w:r w:rsidRPr="005035EE">
              <w:rPr>
                <w:color w:val="000000"/>
                <w:sz w:val="16"/>
                <w:szCs w:val="16"/>
              </w:rPr>
              <w:t>s.o</w:t>
            </w:r>
            <w:proofErr w:type="spellEnd"/>
            <w:r w:rsidRPr="005035EE">
              <w:rPr>
                <w:color w:val="000000"/>
                <w:sz w:val="16"/>
                <w:szCs w:val="16"/>
              </w:rPr>
              <w:t xml:space="preserve">. </w:t>
            </w:r>
            <w:r w:rsidRPr="005035EE">
              <w:rPr>
                <w:sz w:val="16"/>
                <w:szCs w:val="16"/>
              </w:rPr>
              <w:t>(nouvel indicateur)</w:t>
            </w:r>
          </w:p>
        </w:tc>
        <w:tc>
          <w:tcPr>
            <w:tcW w:w="829" w:type="pct"/>
            <w:shd w:val="clear" w:color="auto" w:fill="auto"/>
            <w:tcMar>
              <w:top w:w="110" w:type="dxa"/>
              <w:left w:w="58" w:type="dxa"/>
              <w:right w:w="58" w:type="dxa"/>
            </w:tcMar>
          </w:tcPr>
          <w:p w14:paraId="4AAD23E6" w14:textId="77777777" w:rsidR="00561B47" w:rsidRPr="005035EE" w:rsidRDefault="00561B47" w:rsidP="00561B47">
            <w:pPr>
              <w:rPr>
                <w:color w:val="000000"/>
                <w:sz w:val="16"/>
                <w:szCs w:val="16"/>
              </w:rPr>
            </w:pPr>
            <w:r w:rsidRPr="005035EE">
              <w:rPr>
                <w:sz w:val="16"/>
                <w:szCs w:val="16"/>
              </w:rPr>
              <w:t>Intégration accrue des principes énoncés dans les 45 recommandations du Plan d’action pour le développement dans les programmes de l’OMPI</w:t>
            </w:r>
          </w:p>
        </w:tc>
        <w:tc>
          <w:tcPr>
            <w:tcW w:w="1174" w:type="pct"/>
            <w:shd w:val="clear" w:color="auto" w:fill="FFFFFF"/>
            <w:tcMar>
              <w:top w:w="110" w:type="dxa"/>
              <w:left w:w="58" w:type="dxa"/>
              <w:right w:w="58" w:type="dxa"/>
            </w:tcMar>
          </w:tcPr>
          <w:p w14:paraId="6F46FE20" w14:textId="77777777" w:rsidR="00561B47" w:rsidRPr="005035EE" w:rsidRDefault="00561B47" w:rsidP="00561B47">
            <w:pPr>
              <w:rPr>
                <w:color w:val="000000"/>
                <w:sz w:val="16"/>
                <w:szCs w:val="16"/>
              </w:rPr>
            </w:pPr>
            <w:r w:rsidRPr="005035EE">
              <w:rPr>
                <w:color w:val="000000"/>
                <w:sz w:val="16"/>
                <w:szCs w:val="16"/>
              </w:rPr>
              <w:noBreakHyphen/>
              <w:t xml:space="preserve"> 12 programmes ont participé à la mise en œuvre des activités approuvées par le CDIP;</w:t>
            </w:r>
          </w:p>
          <w:p w14:paraId="11900E16" w14:textId="77777777" w:rsidR="00561B47" w:rsidRPr="005035EE" w:rsidRDefault="00561B47" w:rsidP="00561B47">
            <w:pPr>
              <w:rPr>
                <w:color w:val="000000"/>
                <w:sz w:val="16"/>
                <w:szCs w:val="16"/>
              </w:rPr>
            </w:pPr>
            <w:r w:rsidRPr="005035EE">
              <w:rPr>
                <w:color w:val="000000"/>
                <w:sz w:val="16"/>
                <w:szCs w:val="16"/>
              </w:rPr>
              <w:noBreakHyphen/>
              <w:t xml:space="preserve"> 23 programmes ont témoigné de l’intégration du Plan d’action pour le développement dans leurs travaux</w:t>
            </w:r>
          </w:p>
        </w:tc>
        <w:tc>
          <w:tcPr>
            <w:tcW w:w="506" w:type="pct"/>
            <w:shd w:val="clear" w:color="auto" w:fill="auto"/>
            <w:tcMar>
              <w:top w:w="110" w:type="dxa"/>
              <w:left w:w="58" w:type="dxa"/>
              <w:right w:w="58" w:type="dxa"/>
            </w:tcMar>
          </w:tcPr>
          <w:p w14:paraId="5E790A3A" w14:textId="77777777" w:rsidR="00561B47" w:rsidRPr="00CD000E" w:rsidRDefault="00561B47" w:rsidP="00561B47">
            <w:pPr>
              <w:keepNext/>
              <w:keepLines/>
              <w:jc w:val="center"/>
              <w:rPr>
                <w:b/>
                <w:color w:val="000000"/>
                <w:sz w:val="16"/>
                <w:szCs w:val="16"/>
              </w:rPr>
            </w:pPr>
            <w:r w:rsidRPr="00CD000E">
              <w:rPr>
                <w:b/>
                <w:color w:val="00B050"/>
                <w:sz w:val="16"/>
                <w:szCs w:val="16"/>
              </w:rPr>
              <w:t>En bonne voie</w:t>
            </w:r>
          </w:p>
        </w:tc>
      </w:tr>
      <w:tr w:rsidR="00561B47" w:rsidRPr="00CD000E" w14:paraId="541E99FE" w14:textId="77777777" w:rsidTr="00561B47">
        <w:tc>
          <w:tcPr>
            <w:tcW w:w="1172" w:type="pct"/>
            <w:shd w:val="clear" w:color="auto" w:fill="auto"/>
            <w:tcMar>
              <w:left w:w="58" w:type="dxa"/>
              <w:right w:w="58" w:type="dxa"/>
            </w:tcMar>
          </w:tcPr>
          <w:p w14:paraId="2705F47F" w14:textId="77777777" w:rsidR="00561B47" w:rsidRPr="00CD000E" w:rsidRDefault="00561B47" w:rsidP="00561B47">
            <w:pPr>
              <w:rPr>
                <w:color w:val="000000"/>
                <w:sz w:val="16"/>
                <w:szCs w:val="16"/>
              </w:rPr>
            </w:pPr>
            <w:r w:rsidRPr="00CD000E">
              <w:rPr>
                <w:sz w:val="16"/>
                <w:szCs w:val="16"/>
              </w:rPr>
              <w:t>Suivi efficace de la mise en œuvre des recommandations de l’examen indépendant du Plan d’action pour le développement</w:t>
            </w:r>
          </w:p>
        </w:tc>
        <w:tc>
          <w:tcPr>
            <w:tcW w:w="1319" w:type="pct"/>
            <w:shd w:val="clear" w:color="auto" w:fill="auto"/>
            <w:tcMar>
              <w:left w:w="58" w:type="dxa"/>
              <w:right w:w="58" w:type="dxa"/>
            </w:tcMar>
          </w:tcPr>
          <w:p w14:paraId="2A816888" w14:textId="77777777" w:rsidR="00561B47" w:rsidRPr="005035EE" w:rsidRDefault="00561B47" w:rsidP="00561B47">
            <w:pPr>
              <w:rPr>
                <w:i/>
                <w:color w:val="002060"/>
                <w:sz w:val="16"/>
                <w:szCs w:val="16"/>
              </w:rPr>
            </w:pPr>
            <w:r w:rsidRPr="005035EE">
              <w:rPr>
                <w:i/>
                <w:color w:val="002060"/>
                <w:sz w:val="16"/>
                <w:szCs w:val="16"/>
              </w:rPr>
              <w:t>Niveau de référence actualisé à fin 2015 :</w:t>
            </w:r>
          </w:p>
          <w:p w14:paraId="4193EC51" w14:textId="77777777" w:rsidR="00561B47" w:rsidRPr="005035EE" w:rsidRDefault="00561B47" w:rsidP="00561B47">
            <w:pPr>
              <w:rPr>
                <w:color w:val="002060"/>
                <w:sz w:val="16"/>
                <w:szCs w:val="16"/>
              </w:rPr>
            </w:pPr>
            <w:r w:rsidRPr="005035EE">
              <w:rPr>
                <w:color w:val="002060"/>
                <w:sz w:val="16"/>
                <w:szCs w:val="16"/>
              </w:rPr>
              <w:t>À la fin de 2015, l’examen indépendant du Plan d’action pour le développement était toujours en cours</w:t>
            </w:r>
          </w:p>
          <w:p w14:paraId="62DDC121" w14:textId="77777777" w:rsidR="00561B47" w:rsidRPr="005035EE" w:rsidRDefault="00561B47" w:rsidP="00561B47">
            <w:pPr>
              <w:rPr>
                <w:color w:val="000000"/>
                <w:sz w:val="16"/>
                <w:szCs w:val="16"/>
              </w:rPr>
            </w:pPr>
          </w:p>
          <w:p w14:paraId="704709CB" w14:textId="77777777" w:rsidR="00561B47" w:rsidRPr="005035EE" w:rsidRDefault="00561B47" w:rsidP="00561B47">
            <w:pPr>
              <w:rPr>
                <w:i/>
                <w:sz w:val="16"/>
                <w:szCs w:val="16"/>
                <w:lang w:bidi="th-TH"/>
              </w:rPr>
            </w:pPr>
            <w:r w:rsidRPr="005035EE">
              <w:rPr>
                <w:i/>
                <w:sz w:val="16"/>
                <w:szCs w:val="16"/>
                <w:lang w:bidi="th-TH"/>
              </w:rPr>
              <w:t>Niveau de référence initial dans le programme et budget 2016</w:t>
            </w:r>
            <w:r w:rsidRPr="005035EE">
              <w:rPr>
                <w:i/>
                <w:sz w:val="16"/>
                <w:szCs w:val="16"/>
                <w:lang w:bidi="th-TH"/>
              </w:rPr>
              <w:noBreakHyphen/>
              <w:t>2017 :</w:t>
            </w:r>
          </w:p>
          <w:p w14:paraId="704FA5C8" w14:textId="77777777" w:rsidR="00561B47" w:rsidRPr="005035EE" w:rsidRDefault="00561B47" w:rsidP="00561B47">
            <w:pPr>
              <w:rPr>
                <w:color w:val="000000"/>
                <w:sz w:val="16"/>
                <w:szCs w:val="16"/>
              </w:rPr>
            </w:pPr>
            <w:proofErr w:type="spellStart"/>
            <w:r w:rsidRPr="005035EE">
              <w:rPr>
                <w:color w:val="000000"/>
                <w:sz w:val="16"/>
                <w:szCs w:val="16"/>
              </w:rPr>
              <w:t>s.o</w:t>
            </w:r>
            <w:proofErr w:type="spellEnd"/>
            <w:r w:rsidRPr="005035EE">
              <w:rPr>
                <w:color w:val="000000"/>
                <w:sz w:val="16"/>
                <w:szCs w:val="16"/>
              </w:rPr>
              <w:t>.</w:t>
            </w:r>
            <w:r w:rsidRPr="005035EE">
              <w:rPr>
                <w:color w:val="000000"/>
                <w:sz w:val="16"/>
              </w:rPr>
              <w:t xml:space="preserve"> </w:t>
            </w:r>
            <w:r w:rsidRPr="005035EE">
              <w:rPr>
                <w:sz w:val="16"/>
                <w:szCs w:val="16"/>
              </w:rPr>
              <w:t>(nouvel indicateur)</w:t>
            </w:r>
          </w:p>
        </w:tc>
        <w:tc>
          <w:tcPr>
            <w:tcW w:w="829" w:type="pct"/>
            <w:shd w:val="clear" w:color="auto" w:fill="auto"/>
            <w:tcMar>
              <w:top w:w="110" w:type="dxa"/>
              <w:left w:w="58" w:type="dxa"/>
              <w:right w:w="58" w:type="dxa"/>
            </w:tcMar>
          </w:tcPr>
          <w:p w14:paraId="3A97DF38" w14:textId="77777777" w:rsidR="00561B47" w:rsidRPr="005035EE" w:rsidRDefault="00561B47" w:rsidP="00561B47">
            <w:pPr>
              <w:rPr>
                <w:color w:val="000000"/>
                <w:sz w:val="16"/>
                <w:szCs w:val="16"/>
              </w:rPr>
            </w:pPr>
            <w:r w:rsidRPr="005035EE">
              <w:rPr>
                <w:sz w:val="16"/>
                <w:szCs w:val="16"/>
              </w:rPr>
              <w:t>L’OMPI dispose d’un système efficace pour suivre la mise en œuvre des recommandations découlant de l’examen</w:t>
            </w:r>
          </w:p>
        </w:tc>
        <w:tc>
          <w:tcPr>
            <w:tcW w:w="1174" w:type="pct"/>
            <w:shd w:val="clear" w:color="auto" w:fill="FFFFFF"/>
            <w:tcMar>
              <w:top w:w="110" w:type="dxa"/>
              <w:left w:w="58" w:type="dxa"/>
              <w:right w:w="58" w:type="dxa"/>
            </w:tcMar>
          </w:tcPr>
          <w:p w14:paraId="6F5B4108" w14:textId="77777777" w:rsidR="00561B47" w:rsidRPr="005035EE" w:rsidRDefault="00561B47" w:rsidP="00561B47">
            <w:pPr>
              <w:rPr>
                <w:color w:val="000000"/>
                <w:sz w:val="16"/>
                <w:szCs w:val="16"/>
              </w:rPr>
            </w:pPr>
            <w:r w:rsidRPr="005035EE">
              <w:rPr>
                <w:color w:val="000000"/>
                <w:sz w:val="16"/>
                <w:szCs w:val="16"/>
              </w:rPr>
              <w:t>À sa dix</w:t>
            </w:r>
            <w:r w:rsidRPr="005035EE">
              <w:rPr>
                <w:color w:val="000000"/>
                <w:sz w:val="16"/>
                <w:szCs w:val="16"/>
              </w:rPr>
              <w:noBreakHyphen/>
              <w:t>huitième session, le CDIP a pris note de l’examen indépendant du Plan d’action pour le développement qu’il a étudié</w:t>
            </w:r>
            <w:r w:rsidRPr="005035EE">
              <w:rPr>
                <w:rStyle w:val="FootnoteReference"/>
                <w:rFonts w:cs="Arial"/>
                <w:color w:val="000000"/>
              </w:rPr>
              <w:footnoteReference w:id="47"/>
            </w:r>
            <w:r w:rsidRPr="005035EE">
              <w:rPr>
                <w:color w:val="000000"/>
                <w:sz w:val="16"/>
                <w:szCs w:val="16"/>
              </w:rPr>
              <w:t xml:space="preserve"> et a demandé au Secrétariat d’établir un document contenant sa réponse aux recommandations qui lui ont été adressées, en tenant compte des contributions fournies par les États membres</w:t>
            </w:r>
          </w:p>
        </w:tc>
        <w:tc>
          <w:tcPr>
            <w:tcW w:w="506" w:type="pct"/>
            <w:shd w:val="clear" w:color="auto" w:fill="auto"/>
            <w:tcMar>
              <w:top w:w="110" w:type="dxa"/>
              <w:left w:w="58" w:type="dxa"/>
              <w:right w:w="58" w:type="dxa"/>
            </w:tcMar>
          </w:tcPr>
          <w:p w14:paraId="1ADABA02" w14:textId="77777777" w:rsidR="00561B47" w:rsidRPr="00CD000E" w:rsidRDefault="00561B47" w:rsidP="00561B47">
            <w:pPr>
              <w:keepNext/>
              <w:keepLines/>
              <w:jc w:val="center"/>
              <w:rPr>
                <w:color w:val="000000"/>
                <w:sz w:val="16"/>
                <w:szCs w:val="16"/>
              </w:rPr>
            </w:pPr>
            <w:r w:rsidRPr="00CD000E">
              <w:rPr>
                <w:b/>
                <w:color w:val="00B050"/>
                <w:sz w:val="16"/>
                <w:szCs w:val="16"/>
              </w:rPr>
              <w:t>En bonne voie</w:t>
            </w:r>
          </w:p>
        </w:tc>
      </w:tr>
      <w:tr w:rsidR="00561B47" w:rsidRPr="00CD000E" w14:paraId="49B0C6CE" w14:textId="77777777" w:rsidTr="00561B47">
        <w:tc>
          <w:tcPr>
            <w:tcW w:w="1172" w:type="pct"/>
            <w:shd w:val="clear" w:color="auto" w:fill="auto"/>
            <w:tcMar>
              <w:left w:w="58" w:type="dxa"/>
              <w:right w:w="58" w:type="dxa"/>
            </w:tcMar>
          </w:tcPr>
          <w:p w14:paraId="3506991D" w14:textId="77777777" w:rsidR="00561B47" w:rsidRPr="00CD000E" w:rsidRDefault="00561B47" w:rsidP="00561B47">
            <w:pPr>
              <w:keepNext/>
              <w:keepLines/>
              <w:rPr>
                <w:color w:val="000000"/>
                <w:sz w:val="16"/>
                <w:szCs w:val="16"/>
              </w:rPr>
            </w:pPr>
            <w:r w:rsidRPr="00CD000E">
              <w:rPr>
                <w:sz w:val="16"/>
                <w:szCs w:val="16"/>
              </w:rPr>
              <w:lastRenderedPageBreak/>
              <w:t>Mécanisme amélioré pour la création, la mise en œuvre, le suivi et l’évaluation de nouveaux projets et de nouvelles activités relatifs au Plan d’action pour le développement et l’établissement de rapports sur ces projets et activités</w:t>
            </w:r>
          </w:p>
        </w:tc>
        <w:tc>
          <w:tcPr>
            <w:tcW w:w="1319" w:type="pct"/>
            <w:shd w:val="clear" w:color="auto" w:fill="auto"/>
            <w:tcMar>
              <w:left w:w="58" w:type="dxa"/>
              <w:right w:w="58" w:type="dxa"/>
            </w:tcMar>
          </w:tcPr>
          <w:p w14:paraId="592CC054" w14:textId="77777777" w:rsidR="00561B47" w:rsidRPr="005035EE" w:rsidRDefault="00561B47" w:rsidP="00561B47">
            <w:pPr>
              <w:keepNext/>
              <w:keepLines/>
              <w:rPr>
                <w:i/>
                <w:color w:val="002060"/>
                <w:sz w:val="16"/>
                <w:szCs w:val="16"/>
              </w:rPr>
            </w:pPr>
            <w:r w:rsidRPr="005035EE">
              <w:rPr>
                <w:i/>
                <w:color w:val="002060"/>
                <w:sz w:val="16"/>
                <w:szCs w:val="16"/>
              </w:rPr>
              <w:t>Niveau de référence actualisé à fin 2015 :</w:t>
            </w:r>
          </w:p>
          <w:p w14:paraId="24DB4BB5" w14:textId="77777777" w:rsidR="00561B47" w:rsidRPr="005035EE" w:rsidRDefault="00561B47" w:rsidP="00561B47">
            <w:pPr>
              <w:keepNext/>
              <w:keepLines/>
              <w:rPr>
                <w:color w:val="002060"/>
                <w:sz w:val="16"/>
                <w:szCs w:val="16"/>
                <w:lang w:bidi="th-TH"/>
              </w:rPr>
            </w:pPr>
            <w:r w:rsidRPr="005035EE">
              <w:rPr>
                <w:color w:val="002060"/>
                <w:sz w:val="16"/>
                <w:szCs w:val="16"/>
                <w:lang w:bidi="th-TH"/>
              </w:rPr>
              <w:t>Tous les programmes concernés étaient dotés d’un système efficace de planification, de suivi et d’évaluation de la mise en œuvre des recommandations du Plan d’action pour le développement</w:t>
            </w:r>
          </w:p>
          <w:p w14:paraId="0BF41588" w14:textId="77777777" w:rsidR="00561B47" w:rsidRPr="005035EE" w:rsidRDefault="00561B47" w:rsidP="00561B47">
            <w:pPr>
              <w:keepNext/>
              <w:keepLines/>
              <w:rPr>
                <w:i/>
                <w:sz w:val="16"/>
                <w:szCs w:val="16"/>
                <w:lang w:bidi="th-TH"/>
              </w:rPr>
            </w:pPr>
          </w:p>
          <w:p w14:paraId="2DEAAD6B" w14:textId="77777777" w:rsidR="00561B47" w:rsidRPr="005035EE" w:rsidRDefault="00561B47" w:rsidP="00561B47">
            <w:pPr>
              <w:keepNext/>
              <w:keepLines/>
              <w:rPr>
                <w:i/>
                <w:sz w:val="16"/>
                <w:szCs w:val="16"/>
                <w:lang w:bidi="th-TH"/>
              </w:rPr>
            </w:pPr>
            <w:r w:rsidRPr="005035EE">
              <w:rPr>
                <w:i/>
                <w:sz w:val="16"/>
                <w:szCs w:val="16"/>
                <w:lang w:bidi="th-TH"/>
              </w:rPr>
              <w:t>Niveau de référence initial dans le programme et budget 2016</w:t>
            </w:r>
            <w:r w:rsidRPr="005035EE">
              <w:rPr>
                <w:i/>
                <w:sz w:val="16"/>
                <w:szCs w:val="16"/>
                <w:lang w:bidi="th-TH"/>
              </w:rPr>
              <w:noBreakHyphen/>
              <w:t>2017 :</w:t>
            </w:r>
          </w:p>
          <w:p w14:paraId="1F0B9F64" w14:textId="77777777" w:rsidR="00561B47" w:rsidRPr="005035EE" w:rsidRDefault="00561B47" w:rsidP="00561B47">
            <w:pPr>
              <w:keepNext/>
              <w:keepLines/>
              <w:rPr>
                <w:color w:val="000000"/>
                <w:sz w:val="16"/>
                <w:szCs w:val="16"/>
              </w:rPr>
            </w:pPr>
            <w:proofErr w:type="spellStart"/>
            <w:r w:rsidRPr="005035EE">
              <w:rPr>
                <w:color w:val="000000"/>
                <w:sz w:val="16"/>
                <w:szCs w:val="16"/>
              </w:rPr>
              <w:t>s.o</w:t>
            </w:r>
            <w:proofErr w:type="spellEnd"/>
            <w:r w:rsidRPr="005035EE">
              <w:rPr>
                <w:color w:val="000000"/>
                <w:sz w:val="16"/>
                <w:szCs w:val="16"/>
              </w:rPr>
              <w:t>. (nouvel indicateur)</w:t>
            </w:r>
          </w:p>
        </w:tc>
        <w:tc>
          <w:tcPr>
            <w:tcW w:w="829" w:type="pct"/>
            <w:shd w:val="clear" w:color="auto" w:fill="auto"/>
            <w:tcMar>
              <w:top w:w="110" w:type="dxa"/>
              <w:left w:w="58" w:type="dxa"/>
              <w:right w:w="58" w:type="dxa"/>
            </w:tcMar>
          </w:tcPr>
          <w:p w14:paraId="1BEE77AD" w14:textId="77777777" w:rsidR="00561B47" w:rsidRPr="005035EE" w:rsidRDefault="00561B47" w:rsidP="00561B47">
            <w:pPr>
              <w:keepNext/>
              <w:keepLines/>
              <w:rPr>
                <w:color w:val="000000"/>
                <w:sz w:val="16"/>
                <w:szCs w:val="16"/>
              </w:rPr>
            </w:pPr>
            <w:r w:rsidRPr="005035EE">
              <w:rPr>
                <w:sz w:val="16"/>
                <w:szCs w:val="16"/>
              </w:rPr>
              <w:t>Nouveau mécanisme prenant en considération les recommandations découlant de l’évaluation des projets relatifs au Plan d’action pour le développement examinés durant les douzième, treizième, quatorzième et quinzième sessions du CDIP.</w:t>
            </w:r>
          </w:p>
        </w:tc>
        <w:tc>
          <w:tcPr>
            <w:tcW w:w="1174" w:type="pct"/>
            <w:shd w:val="clear" w:color="auto" w:fill="FFFFFF"/>
            <w:tcMar>
              <w:top w:w="110" w:type="dxa"/>
              <w:left w:w="58" w:type="dxa"/>
              <w:right w:w="58" w:type="dxa"/>
            </w:tcMar>
          </w:tcPr>
          <w:p w14:paraId="2671F21A" w14:textId="77777777" w:rsidR="00561B47" w:rsidRPr="005035EE" w:rsidRDefault="00561B47" w:rsidP="00561B47">
            <w:pPr>
              <w:keepNext/>
              <w:keepLines/>
              <w:rPr>
                <w:color w:val="000000"/>
                <w:sz w:val="16"/>
                <w:szCs w:val="16"/>
              </w:rPr>
            </w:pPr>
            <w:r w:rsidRPr="005035EE">
              <w:rPr>
                <w:color w:val="000000"/>
                <w:sz w:val="16"/>
                <w:szCs w:val="16"/>
              </w:rPr>
              <w:t>Tous les programmes concernés étaient dotés d’un nouveau système de planification, de suivi et d’évaluation de la mise en œuvre des recommandations du Plan d’action pour le développement prenant en considération les recommandations découlant de l’évaluation des projets relatifs au Plan d’action pour le développement examinés jusqu’à la dix</w:t>
            </w:r>
            <w:r w:rsidRPr="005035EE">
              <w:rPr>
                <w:color w:val="000000"/>
                <w:sz w:val="16"/>
                <w:szCs w:val="16"/>
              </w:rPr>
              <w:noBreakHyphen/>
              <w:t>huitième session du CDIP</w:t>
            </w:r>
          </w:p>
        </w:tc>
        <w:tc>
          <w:tcPr>
            <w:tcW w:w="506" w:type="pct"/>
            <w:shd w:val="clear" w:color="auto" w:fill="auto"/>
            <w:tcMar>
              <w:top w:w="110" w:type="dxa"/>
              <w:left w:w="58" w:type="dxa"/>
              <w:right w:w="58" w:type="dxa"/>
            </w:tcMar>
          </w:tcPr>
          <w:p w14:paraId="7C61A981" w14:textId="77777777" w:rsidR="00561B47" w:rsidRPr="00CD000E" w:rsidRDefault="00561B47" w:rsidP="00561B47">
            <w:pPr>
              <w:keepNext/>
              <w:keepLines/>
              <w:jc w:val="center"/>
              <w:rPr>
                <w:color w:val="000000"/>
                <w:sz w:val="16"/>
                <w:szCs w:val="16"/>
              </w:rPr>
            </w:pPr>
            <w:r w:rsidRPr="00CD000E">
              <w:rPr>
                <w:b/>
                <w:color w:val="00B050"/>
                <w:sz w:val="16"/>
                <w:szCs w:val="16"/>
              </w:rPr>
              <w:t>En bonne voie</w:t>
            </w:r>
          </w:p>
        </w:tc>
      </w:tr>
      <w:tr w:rsidR="00561B47" w:rsidRPr="00CD000E" w14:paraId="0D696282" w14:textId="77777777" w:rsidTr="00561B47">
        <w:tc>
          <w:tcPr>
            <w:tcW w:w="5000" w:type="pct"/>
            <w:gridSpan w:val="5"/>
            <w:shd w:val="clear" w:color="auto" w:fill="C6D9F1" w:themeFill="text2" w:themeFillTint="33"/>
            <w:tcMar>
              <w:left w:w="58" w:type="dxa"/>
              <w:right w:w="58" w:type="dxa"/>
            </w:tcMar>
            <w:vAlign w:val="center"/>
          </w:tcPr>
          <w:p w14:paraId="1DC799F1" w14:textId="77777777" w:rsidR="00561B47" w:rsidRPr="00CD000E" w:rsidRDefault="00561B47" w:rsidP="00561B47">
            <w:pPr>
              <w:keepNext/>
              <w:keepLines/>
              <w:tabs>
                <w:tab w:val="left" w:pos="1452"/>
              </w:tabs>
              <w:rPr>
                <w:b/>
                <w:bCs/>
                <w:sz w:val="16"/>
                <w:szCs w:val="16"/>
              </w:rPr>
            </w:pPr>
            <w:r w:rsidRPr="00CD000E">
              <w:rPr>
                <w:b/>
                <w:bCs/>
                <w:sz w:val="16"/>
                <w:szCs w:val="16"/>
              </w:rPr>
              <w:t xml:space="preserve">Résultat escompté : </w:t>
            </w:r>
            <w:r w:rsidRPr="00CD000E">
              <w:rPr>
                <w:bCs/>
                <w:sz w:val="16"/>
                <w:szCs w:val="16"/>
              </w:rPr>
              <w:t>III.5 Meilleure connaissance du Plan d’action pour le développement de la part des États membres, des organisations intergouvernementales, de la société civile et d’autres parties prenantes</w:t>
            </w:r>
          </w:p>
        </w:tc>
      </w:tr>
      <w:tr w:rsidR="00561B47" w:rsidRPr="00CD000E" w14:paraId="1AD767AC" w14:textId="77777777" w:rsidTr="00561B47">
        <w:tc>
          <w:tcPr>
            <w:tcW w:w="1172" w:type="pct"/>
            <w:shd w:val="clear" w:color="auto" w:fill="auto"/>
            <w:tcMar>
              <w:left w:w="58" w:type="dxa"/>
              <w:right w:w="58" w:type="dxa"/>
            </w:tcMar>
            <w:vAlign w:val="center"/>
          </w:tcPr>
          <w:p w14:paraId="1EF4D24C" w14:textId="77777777" w:rsidR="00561B47" w:rsidRPr="00CD000E" w:rsidRDefault="00561B47" w:rsidP="00561B47">
            <w:pPr>
              <w:keepNext/>
              <w:jc w:val="center"/>
              <w:rPr>
                <w:b/>
                <w:bCs/>
                <w:sz w:val="16"/>
                <w:szCs w:val="16"/>
              </w:rPr>
            </w:pPr>
            <w:r w:rsidRPr="00CD000E">
              <w:rPr>
                <w:b/>
                <w:bCs/>
                <w:sz w:val="16"/>
                <w:szCs w:val="16"/>
              </w:rPr>
              <w:t>Indicateurs d’exécution</w:t>
            </w:r>
          </w:p>
        </w:tc>
        <w:tc>
          <w:tcPr>
            <w:tcW w:w="1319" w:type="pct"/>
            <w:shd w:val="clear" w:color="auto" w:fill="auto"/>
            <w:tcMar>
              <w:left w:w="58" w:type="dxa"/>
              <w:right w:w="58" w:type="dxa"/>
            </w:tcMar>
            <w:vAlign w:val="center"/>
          </w:tcPr>
          <w:p w14:paraId="31346283" w14:textId="77777777" w:rsidR="00561B47" w:rsidRPr="00CD000E" w:rsidRDefault="00561B47" w:rsidP="00561B47">
            <w:pPr>
              <w:keepNext/>
              <w:jc w:val="center"/>
              <w:rPr>
                <w:b/>
                <w:bCs/>
                <w:sz w:val="16"/>
                <w:szCs w:val="16"/>
              </w:rPr>
            </w:pPr>
            <w:r w:rsidRPr="00CD000E">
              <w:rPr>
                <w:b/>
                <w:bCs/>
                <w:sz w:val="16"/>
                <w:szCs w:val="16"/>
              </w:rPr>
              <w:t>Niveaux de référence</w:t>
            </w:r>
          </w:p>
        </w:tc>
        <w:tc>
          <w:tcPr>
            <w:tcW w:w="829" w:type="pct"/>
            <w:shd w:val="clear" w:color="auto" w:fill="auto"/>
            <w:tcMar>
              <w:top w:w="110" w:type="dxa"/>
              <w:left w:w="58" w:type="dxa"/>
              <w:right w:w="58" w:type="dxa"/>
            </w:tcMar>
            <w:vAlign w:val="center"/>
          </w:tcPr>
          <w:p w14:paraId="41B3F835" w14:textId="77777777" w:rsidR="00561B47" w:rsidRPr="00CD000E" w:rsidRDefault="00561B47" w:rsidP="00561B47">
            <w:pPr>
              <w:keepNext/>
              <w:jc w:val="center"/>
              <w:rPr>
                <w:b/>
                <w:bCs/>
                <w:sz w:val="16"/>
                <w:szCs w:val="16"/>
              </w:rPr>
            </w:pPr>
            <w:r w:rsidRPr="00CD000E">
              <w:rPr>
                <w:b/>
                <w:bCs/>
                <w:sz w:val="16"/>
                <w:szCs w:val="16"/>
              </w:rPr>
              <w:t>Objectifs visés</w:t>
            </w:r>
          </w:p>
        </w:tc>
        <w:tc>
          <w:tcPr>
            <w:tcW w:w="1174" w:type="pct"/>
            <w:shd w:val="clear" w:color="auto" w:fill="FFFFFF"/>
            <w:tcMar>
              <w:top w:w="110" w:type="dxa"/>
              <w:left w:w="58" w:type="dxa"/>
              <w:right w:w="58" w:type="dxa"/>
            </w:tcMar>
            <w:vAlign w:val="center"/>
          </w:tcPr>
          <w:p w14:paraId="3045E112" w14:textId="77777777" w:rsidR="00561B47" w:rsidRPr="00CD000E" w:rsidRDefault="00561B47" w:rsidP="00561B47">
            <w:pPr>
              <w:keepNext/>
              <w:jc w:val="center"/>
              <w:rPr>
                <w:b/>
                <w:bCs/>
                <w:sz w:val="16"/>
                <w:szCs w:val="16"/>
              </w:rPr>
            </w:pPr>
            <w:r w:rsidRPr="00CD000E">
              <w:rPr>
                <w:b/>
                <w:bCs/>
                <w:sz w:val="16"/>
                <w:szCs w:val="16"/>
              </w:rPr>
              <w:t>Données relatives à l’exécution</w:t>
            </w:r>
          </w:p>
        </w:tc>
        <w:tc>
          <w:tcPr>
            <w:tcW w:w="506" w:type="pct"/>
            <w:shd w:val="clear" w:color="auto" w:fill="auto"/>
            <w:tcMar>
              <w:top w:w="110" w:type="dxa"/>
              <w:left w:w="58" w:type="dxa"/>
              <w:right w:w="58" w:type="dxa"/>
            </w:tcMar>
            <w:vAlign w:val="center"/>
          </w:tcPr>
          <w:p w14:paraId="03D844E3" w14:textId="77777777" w:rsidR="00561B47" w:rsidRPr="00CD000E" w:rsidRDefault="00561B47" w:rsidP="00561B47">
            <w:pPr>
              <w:keepNext/>
              <w:keepLines/>
              <w:jc w:val="center"/>
              <w:rPr>
                <w:b/>
                <w:bCs/>
                <w:sz w:val="16"/>
                <w:szCs w:val="16"/>
              </w:rPr>
            </w:pPr>
            <w:r w:rsidRPr="00CD000E">
              <w:rPr>
                <w:b/>
                <w:bCs/>
                <w:sz w:val="16"/>
                <w:szCs w:val="16"/>
              </w:rPr>
              <w:t>Code d’évaluation</w:t>
            </w:r>
          </w:p>
        </w:tc>
      </w:tr>
      <w:tr w:rsidR="00561B47" w:rsidRPr="00CD000E" w14:paraId="7E1D8255" w14:textId="77777777" w:rsidTr="00561B47">
        <w:tc>
          <w:tcPr>
            <w:tcW w:w="1172" w:type="pct"/>
            <w:shd w:val="clear" w:color="auto" w:fill="auto"/>
            <w:tcMar>
              <w:left w:w="58" w:type="dxa"/>
              <w:right w:w="58" w:type="dxa"/>
            </w:tcMar>
          </w:tcPr>
          <w:p w14:paraId="54B0F598" w14:textId="77777777" w:rsidR="00561B47" w:rsidRPr="005035EE" w:rsidRDefault="00561B47" w:rsidP="00561B47">
            <w:pPr>
              <w:rPr>
                <w:color w:val="000000"/>
                <w:sz w:val="16"/>
                <w:szCs w:val="16"/>
              </w:rPr>
            </w:pPr>
            <w:r w:rsidRPr="005035EE">
              <w:rPr>
                <w:sz w:val="16"/>
                <w:szCs w:val="16"/>
              </w:rPr>
              <w:t>Les activités d’assistance technique menées par l’OMPI tiennent compte de la dimension du Plan d’action pour le développement et des résultats des projets relatifs au Plan d’action pour le développement.</w:t>
            </w:r>
          </w:p>
        </w:tc>
        <w:tc>
          <w:tcPr>
            <w:tcW w:w="1319" w:type="pct"/>
            <w:shd w:val="clear" w:color="auto" w:fill="auto"/>
            <w:tcMar>
              <w:left w:w="58" w:type="dxa"/>
              <w:right w:w="58" w:type="dxa"/>
            </w:tcMar>
          </w:tcPr>
          <w:p w14:paraId="23CAA655" w14:textId="77777777" w:rsidR="00561B47" w:rsidRPr="005035EE" w:rsidRDefault="00561B47" w:rsidP="00561B47">
            <w:pPr>
              <w:rPr>
                <w:i/>
                <w:color w:val="002060"/>
                <w:sz w:val="16"/>
                <w:szCs w:val="16"/>
              </w:rPr>
            </w:pPr>
            <w:r w:rsidRPr="005035EE">
              <w:rPr>
                <w:i/>
                <w:color w:val="002060"/>
                <w:sz w:val="16"/>
                <w:szCs w:val="16"/>
              </w:rPr>
              <w:t>Niveau de référence actualisé à fin 2015 :</w:t>
            </w:r>
          </w:p>
          <w:p w14:paraId="305BC3C0" w14:textId="77777777" w:rsidR="00561B47" w:rsidRPr="005035EE" w:rsidRDefault="00561B47" w:rsidP="00561B47">
            <w:pPr>
              <w:rPr>
                <w:color w:val="002060"/>
                <w:sz w:val="16"/>
                <w:szCs w:val="16"/>
                <w:lang w:bidi="th-TH"/>
              </w:rPr>
            </w:pPr>
            <w:r w:rsidRPr="005035EE">
              <w:rPr>
                <w:color w:val="002060"/>
                <w:sz w:val="16"/>
                <w:szCs w:val="16"/>
                <w:lang w:bidi="th-TH"/>
              </w:rPr>
              <w:t>Pas de système en place</w:t>
            </w:r>
          </w:p>
          <w:p w14:paraId="4B71716B" w14:textId="77777777" w:rsidR="00561B47" w:rsidRPr="005035EE" w:rsidRDefault="00561B47" w:rsidP="00561B47">
            <w:pPr>
              <w:rPr>
                <w:i/>
                <w:sz w:val="16"/>
                <w:szCs w:val="16"/>
                <w:lang w:bidi="th-TH"/>
              </w:rPr>
            </w:pPr>
          </w:p>
          <w:p w14:paraId="5A18F973" w14:textId="77777777" w:rsidR="00561B47" w:rsidRPr="005035EE" w:rsidRDefault="00561B47" w:rsidP="00561B47">
            <w:pPr>
              <w:rPr>
                <w:i/>
                <w:sz w:val="16"/>
                <w:szCs w:val="16"/>
                <w:lang w:bidi="th-TH"/>
              </w:rPr>
            </w:pPr>
            <w:r w:rsidRPr="005035EE">
              <w:rPr>
                <w:i/>
                <w:sz w:val="16"/>
                <w:szCs w:val="16"/>
                <w:lang w:bidi="th-TH"/>
              </w:rPr>
              <w:t>Niveau de référence initial dans le programme et budget 2016</w:t>
            </w:r>
            <w:r w:rsidRPr="005035EE">
              <w:rPr>
                <w:i/>
                <w:sz w:val="16"/>
                <w:szCs w:val="16"/>
                <w:lang w:bidi="th-TH"/>
              </w:rPr>
              <w:noBreakHyphen/>
              <w:t>2017 :</w:t>
            </w:r>
          </w:p>
          <w:p w14:paraId="0B2699FB" w14:textId="77777777" w:rsidR="00561B47" w:rsidRPr="005035EE" w:rsidRDefault="00561B47" w:rsidP="00561B47">
            <w:pPr>
              <w:rPr>
                <w:color w:val="000000"/>
                <w:sz w:val="16"/>
                <w:szCs w:val="16"/>
              </w:rPr>
            </w:pPr>
            <w:proofErr w:type="spellStart"/>
            <w:r w:rsidRPr="005035EE">
              <w:rPr>
                <w:color w:val="000000"/>
                <w:sz w:val="16"/>
                <w:szCs w:val="16"/>
              </w:rPr>
              <w:t>s.o</w:t>
            </w:r>
            <w:proofErr w:type="spellEnd"/>
            <w:r w:rsidRPr="005035EE">
              <w:rPr>
                <w:color w:val="000000"/>
                <w:sz w:val="16"/>
                <w:szCs w:val="16"/>
              </w:rPr>
              <w:t>. (nouvel indicateur)</w:t>
            </w:r>
          </w:p>
        </w:tc>
        <w:tc>
          <w:tcPr>
            <w:tcW w:w="829" w:type="pct"/>
            <w:shd w:val="clear" w:color="auto" w:fill="auto"/>
            <w:tcMar>
              <w:top w:w="110" w:type="dxa"/>
              <w:left w:w="58" w:type="dxa"/>
              <w:right w:w="58" w:type="dxa"/>
            </w:tcMar>
          </w:tcPr>
          <w:p w14:paraId="62EDE68F" w14:textId="77777777" w:rsidR="00561B47" w:rsidRPr="005035EE" w:rsidRDefault="00561B47" w:rsidP="00561B47">
            <w:pPr>
              <w:rPr>
                <w:color w:val="000000"/>
                <w:sz w:val="16"/>
                <w:szCs w:val="16"/>
              </w:rPr>
            </w:pPr>
            <w:r w:rsidRPr="005035EE">
              <w:rPr>
                <w:sz w:val="16"/>
                <w:szCs w:val="16"/>
              </w:rPr>
              <w:t>Système mis en place pour assurer que toutes les activités d’assistance technique menées soient conformes aux principes du Plan d’action pour le développement</w:t>
            </w:r>
          </w:p>
        </w:tc>
        <w:tc>
          <w:tcPr>
            <w:tcW w:w="1174" w:type="pct"/>
            <w:shd w:val="clear" w:color="auto" w:fill="FFFFFF"/>
            <w:tcMar>
              <w:top w:w="110" w:type="dxa"/>
              <w:left w:w="58" w:type="dxa"/>
              <w:right w:w="58" w:type="dxa"/>
            </w:tcMar>
          </w:tcPr>
          <w:p w14:paraId="5BB2D483" w14:textId="77777777" w:rsidR="00561B47" w:rsidRPr="005035EE" w:rsidRDefault="00561B47" w:rsidP="00561B47">
            <w:pPr>
              <w:rPr>
                <w:color w:val="000000"/>
                <w:sz w:val="16"/>
                <w:szCs w:val="16"/>
              </w:rPr>
            </w:pPr>
            <w:r w:rsidRPr="005035EE">
              <w:rPr>
                <w:color w:val="000000"/>
                <w:sz w:val="16"/>
                <w:szCs w:val="16"/>
              </w:rPr>
              <w:t>Pas de système en place</w:t>
            </w:r>
          </w:p>
        </w:tc>
        <w:tc>
          <w:tcPr>
            <w:tcW w:w="506" w:type="pct"/>
            <w:shd w:val="clear" w:color="auto" w:fill="auto"/>
            <w:tcMar>
              <w:top w:w="110" w:type="dxa"/>
              <w:left w:w="58" w:type="dxa"/>
              <w:right w:w="58" w:type="dxa"/>
            </w:tcMar>
          </w:tcPr>
          <w:p w14:paraId="768F9A40" w14:textId="77777777" w:rsidR="00561B47" w:rsidRPr="00CD000E" w:rsidRDefault="00561B47" w:rsidP="00561B47">
            <w:pPr>
              <w:keepNext/>
              <w:keepLines/>
              <w:jc w:val="center"/>
              <w:rPr>
                <w:b/>
                <w:color w:val="000000"/>
                <w:sz w:val="16"/>
                <w:szCs w:val="16"/>
              </w:rPr>
            </w:pPr>
            <w:r w:rsidRPr="00CD000E">
              <w:rPr>
                <w:b/>
                <w:color w:val="FF0000"/>
                <w:sz w:val="16"/>
                <w:szCs w:val="16"/>
              </w:rPr>
              <w:t>Pas en bonne voie</w:t>
            </w:r>
          </w:p>
        </w:tc>
      </w:tr>
      <w:tr w:rsidR="00561B47" w:rsidRPr="00CD000E" w14:paraId="3568A5A1" w14:textId="77777777" w:rsidTr="00561B47">
        <w:tc>
          <w:tcPr>
            <w:tcW w:w="1172" w:type="pct"/>
            <w:shd w:val="clear" w:color="auto" w:fill="auto"/>
            <w:tcMar>
              <w:left w:w="58" w:type="dxa"/>
              <w:right w:w="58" w:type="dxa"/>
            </w:tcMar>
          </w:tcPr>
          <w:p w14:paraId="4D1DE519" w14:textId="77777777" w:rsidR="00561B47" w:rsidRPr="00CD000E" w:rsidRDefault="00561B47" w:rsidP="00561B47">
            <w:pPr>
              <w:rPr>
                <w:color w:val="000000"/>
                <w:sz w:val="16"/>
                <w:szCs w:val="16"/>
              </w:rPr>
            </w:pPr>
            <w:r w:rsidRPr="00CD000E">
              <w:rPr>
                <w:sz w:val="16"/>
                <w:szCs w:val="16"/>
              </w:rPr>
              <w:t>Pourcentage de participants satisfaits dans les manifestations relatives au Plan d’action de l’OMPI pour le développement visant les États membres, les organisations intergouvernementales, la société civile et d’autres parties prenantes</w:t>
            </w:r>
          </w:p>
        </w:tc>
        <w:tc>
          <w:tcPr>
            <w:tcW w:w="1319" w:type="pct"/>
            <w:shd w:val="clear" w:color="auto" w:fill="auto"/>
            <w:tcMar>
              <w:left w:w="58" w:type="dxa"/>
              <w:right w:w="58" w:type="dxa"/>
            </w:tcMar>
          </w:tcPr>
          <w:p w14:paraId="0EEAD16B" w14:textId="77777777" w:rsidR="00561B47" w:rsidRPr="00CD000E" w:rsidRDefault="00561B47" w:rsidP="00561B47">
            <w:pPr>
              <w:rPr>
                <w:i/>
                <w:color w:val="002060"/>
                <w:sz w:val="16"/>
                <w:szCs w:val="16"/>
              </w:rPr>
            </w:pPr>
            <w:r w:rsidRPr="00CD000E">
              <w:rPr>
                <w:i/>
                <w:color w:val="002060"/>
                <w:sz w:val="16"/>
                <w:szCs w:val="16"/>
              </w:rPr>
              <w:t>Niveau de référence actualisé à fin 2015 :</w:t>
            </w:r>
          </w:p>
          <w:p w14:paraId="6170A779" w14:textId="77777777" w:rsidR="00561B47" w:rsidRPr="00CD000E" w:rsidRDefault="00561B47" w:rsidP="00561B47">
            <w:pPr>
              <w:rPr>
                <w:color w:val="002060"/>
                <w:sz w:val="16"/>
                <w:szCs w:val="16"/>
                <w:lang w:bidi="th-TH"/>
              </w:rPr>
            </w:pPr>
            <w:r w:rsidRPr="00CD000E">
              <w:rPr>
                <w:color w:val="002060"/>
                <w:sz w:val="16"/>
                <w:szCs w:val="16"/>
                <w:lang w:bidi="th-TH"/>
              </w:rPr>
              <w:t>78,57%</w:t>
            </w:r>
          </w:p>
          <w:p w14:paraId="39D5B03D" w14:textId="77777777" w:rsidR="00561B47" w:rsidRPr="00CD000E" w:rsidRDefault="00561B47" w:rsidP="00561B47">
            <w:pPr>
              <w:rPr>
                <w:color w:val="000000"/>
                <w:sz w:val="16"/>
                <w:szCs w:val="16"/>
              </w:rPr>
            </w:pPr>
          </w:p>
          <w:p w14:paraId="55D6E17C" w14:textId="77777777" w:rsidR="00561B47" w:rsidRPr="00CD000E" w:rsidRDefault="00561B47" w:rsidP="00561B47">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2F953D45" w14:textId="77777777" w:rsidR="00561B47" w:rsidRPr="00CD000E" w:rsidRDefault="00561B47" w:rsidP="00561B47">
            <w:pPr>
              <w:rPr>
                <w:color w:val="000000"/>
                <w:sz w:val="16"/>
                <w:szCs w:val="16"/>
              </w:rPr>
            </w:pPr>
            <w:proofErr w:type="spellStart"/>
            <w:r w:rsidRPr="00CD000E">
              <w:rPr>
                <w:color w:val="000000"/>
                <w:sz w:val="16"/>
                <w:szCs w:val="16"/>
              </w:rPr>
              <w:t>s.o</w:t>
            </w:r>
            <w:proofErr w:type="spellEnd"/>
            <w:r w:rsidRPr="00CD000E">
              <w:rPr>
                <w:color w:val="000000"/>
                <w:sz w:val="16"/>
                <w:szCs w:val="16"/>
              </w:rPr>
              <w:t>.</w:t>
            </w:r>
            <w:r w:rsidRPr="00CD000E">
              <w:rPr>
                <w:color w:val="000000"/>
                <w:sz w:val="16"/>
              </w:rPr>
              <w:t xml:space="preserve"> </w:t>
            </w:r>
            <w:r w:rsidRPr="00CD000E">
              <w:rPr>
                <w:sz w:val="16"/>
                <w:szCs w:val="16"/>
              </w:rPr>
              <w:t>en 2014 (selon Rapport sur l’exécution du programme en 2014)</w:t>
            </w:r>
          </w:p>
        </w:tc>
        <w:tc>
          <w:tcPr>
            <w:tcW w:w="829" w:type="pct"/>
            <w:shd w:val="clear" w:color="auto" w:fill="auto"/>
            <w:tcMar>
              <w:top w:w="110" w:type="dxa"/>
              <w:left w:w="58" w:type="dxa"/>
              <w:right w:w="58" w:type="dxa"/>
            </w:tcMar>
          </w:tcPr>
          <w:p w14:paraId="0B5C5723" w14:textId="77777777" w:rsidR="00561B47" w:rsidRPr="00CD000E" w:rsidRDefault="00561B47" w:rsidP="00561B47">
            <w:pPr>
              <w:rPr>
                <w:color w:val="000000"/>
                <w:sz w:val="16"/>
                <w:szCs w:val="16"/>
              </w:rPr>
            </w:pPr>
            <w:r w:rsidRPr="00CD000E">
              <w:rPr>
                <w:color w:val="000000"/>
                <w:sz w:val="16"/>
                <w:szCs w:val="16"/>
              </w:rPr>
              <w:t>80%</w:t>
            </w:r>
          </w:p>
        </w:tc>
        <w:tc>
          <w:tcPr>
            <w:tcW w:w="1174" w:type="pct"/>
            <w:shd w:val="clear" w:color="auto" w:fill="FFFFFF"/>
            <w:tcMar>
              <w:top w:w="110" w:type="dxa"/>
              <w:left w:w="58" w:type="dxa"/>
              <w:right w:w="58" w:type="dxa"/>
            </w:tcMar>
          </w:tcPr>
          <w:p w14:paraId="70878FBC" w14:textId="77777777" w:rsidR="00561B47" w:rsidRPr="00CD000E" w:rsidRDefault="00561B47" w:rsidP="00561B47">
            <w:pPr>
              <w:keepNext/>
              <w:keepLines/>
              <w:rPr>
                <w:color w:val="000000"/>
                <w:sz w:val="16"/>
                <w:szCs w:val="16"/>
              </w:rPr>
            </w:pPr>
            <w:r w:rsidRPr="00CD000E">
              <w:rPr>
                <w:color w:val="000000"/>
                <w:sz w:val="16"/>
                <w:szCs w:val="16"/>
              </w:rPr>
              <w:t>86,6%</w:t>
            </w:r>
          </w:p>
        </w:tc>
        <w:tc>
          <w:tcPr>
            <w:tcW w:w="506" w:type="pct"/>
            <w:shd w:val="clear" w:color="auto" w:fill="auto"/>
            <w:tcMar>
              <w:top w:w="110" w:type="dxa"/>
              <w:left w:w="58" w:type="dxa"/>
              <w:right w:w="58" w:type="dxa"/>
            </w:tcMar>
          </w:tcPr>
          <w:p w14:paraId="1BA21E14" w14:textId="77777777" w:rsidR="00561B47" w:rsidRPr="00CD000E" w:rsidRDefault="00561B47" w:rsidP="00561B47">
            <w:pPr>
              <w:keepNext/>
              <w:keepLines/>
              <w:jc w:val="center"/>
              <w:rPr>
                <w:color w:val="000000"/>
                <w:sz w:val="16"/>
                <w:szCs w:val="16"/>
              </w:rPr>
            </w:pPr>
            <w:r w:rsidRPr="00CD000E">
              <w:rPr>
                <w:b/>
                <w:color w:val="00B050"/>
                <w:sz w:val="16"/>
                <w:szCs w:val="16"/>
              </w:rPr>
              <w:t>En bonne voie</w:t>
            </w:r>
          </w:p>
        </w:tc>
      </w:tr>
    </w:tbl>
    <w:p w14:paraId="0AA6EC74" w14:textId="77777777" w:rsidR="00561B47" w:rsidRPr="00CD000E" w:rsidRDefault="00561B47" w:rsidP="00561B47">
      <w:pPr>
        <w:rPr>
          <w:color w:val="000000"/>
          <w:sz w:val="20"/>
        </w:rPr>
      </w:pPr>
    </w:p>
    <w:p w14:paraId="40C9E53F" w14:textId="77777777" w:rsidR="00561B47" w:rsidRPr="00CD000E" w:rsidRDefault="00561B47" w:rsidP="00561B47">
      <w:pPr>
        <w:rPr>
          <w:color w:val="000000"/>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561B47" w:rsidRPr="00CD000E" w14:paraId="0AFE2749" w14:textId="77777777" w:rsidTr="00561B47">
        <w:trPr>
          <w:trHeight w:val="425"/>
        </w:trPr>
        <w:tc>
          <w:tcPr>
            <w:tcW w:w="9572" w:type="dxa"/>
            <w:shd w:val="clear" w:color="auto" w:fill="C6D9F1" w:themeFill="text2" w:themeFillTint="33"/>
            <w:vAlign w:val="center"/>
          </w:tcPr>
          <w:p w14:paraId="1C6C8A30" w14:textId="77777777" w:rsidR="00561B47" w:rsidRPr="00CD000E" w:rsidRDefault="00561B47" w:rsidP="00561B47">
            <w:pPr>
              <w:keepNext/>
              <w:keepLines/>
              <w:jc w:val="center"/>
              <w:rPr>
                <w:b/>
                <w:color w:val="000000"/>
                <w:sz w:val="20"/>
              </w:rPr>
            </w:pPr>
            <w:r w:rsidRPr="00CD000E">
              <w:rPr>
                <w:sz w:val="20"/>
              </w:rPr>
              <w:br w:type="page"/>
            </w:r>
            <w:r w:rsidRPr="00CD000E">
              <w:rPr>
                <w:b/>
                <w:color w:val="000000"/>
                <w:sz w:val="20"/>
              </w:rPr>
              <w:t>Utilisation des ressources au titre du programme 8</w:t>
            </w:r>
          </w:p>
        </w:tc>
      </w:tr>
    </w:tbl>
    <w:p w14:paraId="5335D8CF" w14:textId="77777777" w:rsidR="00561B47" w:rsidRPr="00CD000E" w:rsidRDefault="00561B47" w:rsidP="00561B47">
      <w:pPr>
        <w:rPr>
          <w:sz w:val="20"/>
        </w:rPr>
      </w:pPr>
    </w:p>
    <w:p w14:paraId="53CB6D5E" w14:textId="77777777" w:rsidR="00561B47" w:rsidRPr="00CD000E" w:rsidRDefault="00561B47" w:rsidP="00561B47">
      <w:pPr>
        <w:pStyle w:val="NormalWeb"/>
        <w:keepNext/>
        <w:keepLines/>
        <w:spacing w:before="0" w:beforeAutospacing="0" w:after="0" w:afterAutospacing="0"/>
        <w:jc w:val="center"/>
      </w:pPr>
      <w:r w:rsidRPr="00CD000E">
        <w:rPr>
          <w:color w:val="000000"/>
        </w:rPr>
        <w:t>Budget et dépenses effectives (par résultat)</w:t>
      </w:r>
    </w:p>
    <w:p w14:paraId="3E2F85C4" w14:textId="77777777" w:rsidR="00561B47" w:rsidRPr="00CD000E" w:rsidRDefault="00561B47" w:rsidP="00561B47">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402B8925" w14:textId="77777777" w:rsidR="00561B47" w:rsidRPr="00CD000E" w:rsidRDefault="00561B47" w:rsidP="00561B47">
      <w:pPr>
        <w:rPr>
          <w:sz w:val="20"/>
        </w:rPr>
      </w:pPr>
    </w:p>
    <w:tbl>
      <w:tblPr>
        <w:tblW w:w="4300" w:type="pct"/>
        <w:jc w:val="center"/>
        <w:tblCellMar>
          <w:top w:w="57" w:type="dxa"/>
          <w:bottom w:w="57" w:type="dxa"/>
        </w:tblCellMar>
        <w:tblLook w:val="04A0" w:firstRow="1" w:lastRow="0" w:firstColumn="1" w:lastColumn="0" w:noHBand="0" w:noVBand="1"/>
      </w:tblPr>
      <w:tblGrid>
        <w:gridCol w:w="483"/>
        <w:gridCol w:w="4227"/>
        <w:gridCol w:w="1573"/>
        <w:gridCol w:w="1573"/>
        <w:gridCol w:w="1431"/>
      </w:tblGrid>
      <w:tr w:rsidR="00561B47" w:rsidRPr="00CD000E" w14:paraId="78B9B24F" w14:textId="77777777" w:rsidTr="00561B47">
        <w:trPr>
          <w:jc w:val="center"/>
        </w:trPr>
        <w:tc>
          <w:tcPr>
            <w:tcW w:w="4722" w:type="dxa"/>
            <w:gridSpan w:val="2"/>
            <w:tcBorders>
              <w:top w:val="nil"/>
              <w:left w:val="nil"/>
              <w:bottom w:val="nil"/>
              <w:right w:val="nil"/>
            </w:tcBorders>
            <w:shd w:val="clear" w:color="000000" w:fill="C5D9F1"/>
            <w:noWrap/>
            <w:vAlign w:val="center"/>
            <w:hideMark/>
          </w:tcPr>
          <w:p w14:paraId="61391B38" w14:textId="77777777" w:rsidR="00561B47" w:rsidRPr="00CD000E" w:rsidRDefault="00561B47" w:rsidP="00561B47">
            <w:pPr>
              <w:jc w:val="center"/>
              <w:rPr>
                <w:b/>
                <w:bCs/>
                <w:sz w:val="16"/>
                <w:szCs w:val="16"/>
              </w:rPr>
            </w:pPr>
            <w:r w:rsidRPr="00CD000E">
              <w:rPr>
                <w:b/>
                <w:bCs/>
                <w:sz w:val="16"/>
                <w:szCs w:val="16"/>
              </w:rPr>
              <w:t>Numéro et description du résultat escompté</w:t>
            </w:r>
          </w:p>
        </w:tc>
        <w:tc>
          <w:tcPr>
            <w:tcW w:w="1168" w:type="dxa"/>
            <w:tcBorders>
              <w:top w:val="nil"/>
              <w:left w:val="nil"/>
              <w:bottom w:val="nil"/>
              <w:right w:val="nil"/>
            </w:tcBorders>
            <w:shd w:val="clear" w:color="000000" w:fill="C5D9F1"/>
            <w:vAlign w:val="center"/>
            <w:hideMark/>
          </w:tcPr>
          <w:p w14:paraId="66D617D2" w14:textId="4ACA57C3" w:rsidR="00561B47" w:rsidRPr="00CD000E" w:rsidRDefault="00147255" w:rsidP="00561B47">
            <w:pPr>
              <w:jc w:val="center"/>
              <w:rPr>
                <w:b/>
                <w:bCs/>
                <w:sz w:val="16"/>
                <w:szCs w:val="16"/>
              </w:rPr>
            </w:pPr>
            <w:r>
              <w:rPr>
                <w:b/>
                <w:bCs/>
                <w:sz w:val="16"/>
                <w:szCs w:val="16"/>
              </w:rPr>
              <w:t>Budget </w:t>
            </w:r>
            <w:r w:rsidR="00561B47" w:rsidRPr="00CD000E">
              <w:rPr>
                <w:b/>
                <w:bCs/>
                <w:sz w:val="16"/>
                <w:szCs w:val="16"/>
              </w:rPr>
              <w:t>2016</w:t>
            </w:r>
            <w:r w:rsidR="00561B47">
              <w:rPr>
                <w:b/>
                <w:bCs/>
                <w:sz w:val="16"/>
                <w:szCs w:val="16"/>
              </w:rPr>
              <w:noBreakHyphen/>
            </w:r>
            <w:r w:rsidR="00561B47" w:rsidRPr="00CD000E">
              <w:rPr>
                <w:b/>
                <w:bCs/>
                <w:sz w:val="16"/>
                <w:szCs w:val="16"/>
              </w:rPr>
              <w:t>2017 approuvé</w:t>
            </w:r>
          </w:p>
        </w:tc>
        <w:tc>
          <w:tcPr>
            <w:tcW w:w="1167" w:type="dxa"/>
            <w:tcBorders>
              <w:top w:val="nil"/>
              <w:left w:val="nil"/>
              <w:bottom w:val="nil"/>
              <w:right w:val="nil"/>
            </w:tcBorders>
            <w:shd w:val="clear" w:color="000000" w:fill="C5D9F1"/>
            <w:vAlign w:val="center"/>
            <w:hideMark/>
          </w:tcPr>
          <w:p w14:paraId="3E5CC362" w14:textId="601EF699" w:rsidR="00561B47" w:rsidRPr="00CD000E" w:rsidRDefault="00147255" w:rsidP="00561B47">
            <w:pPr>
              <w:jc w:val="center"/>
              <w:rPr>
                <w:b/>
                <w:bCs/>
                <w:sz w:val="16"/>
                <w:szCs w:val="16"/>
              </w:rPr>
            </w:pPr>
            <w:r>
              <w:rPr>
                <w:b/>
                <w:bCs/>
                <w:sz w:val="16"/>
                <w:szCs w:val="16"/>
              </w:rPr>
              <w:t>Budget </w:t>
            </w:r>
            <w:r w:rsidR="00561B47" w:rsidRPr="00CD000E">
              <w:rPr>
                <w:b/>
                <w:bCs/>
                <w:sz w:val="16"/>
                <w:szCs w:val="16"/>
              </w:rPr>
              <w:t>2016</w:t>
            </w:r>
            <w:r w:rsidR="00561B47">
              <w:rPr>
                <w:b/>
                <w:bCs/>
                <w:sz w:val="16"/>
                <w:szCs w:val="16"/>
              </w:rPr>
              <w:noBreakHyphen/>
            </w:r>
            <w:r w:rsidR="00561B47" w:rsidRPr="00CD000E">
              <w:rPr>
                <w:b/>
                <w:bCs/>
                <w:sz w:val="16"/>
                <w:szCs w:val="16"/>
              </w:rPr>
              <w:t>2017 après virements</w:t>
            </w:r>
          </w:p>
        </w:tc>
        <w:tc>
          <w:tcPr>
            <w:tcW w:w="1175" w:type="dxa"/>
            <w:tcBorders>
              <w:top w:val="nil"/>
              <w:left w:val="nil"/>
              <w:bottom w:val="nil"/>
              <w:right w:val="nil"/>
            </w:tcBorders>
            <w:shd w:val="clear" w:color="000000" w:fill="C5D9F1"/>
            <w:vAlign w:val="center"/>
            <w:hideMark/>
          </w:tcPr>
          <w:p w14:paraId="07C05641" w14:textId="6857442F" w:rsidR="00561B47" w:rsidRPr="00CD000E" w:rsidRDefault="00147255" w:rsidP="00561B47">
            <w:pPr>
              <w:jc w:val="center"/>
              <w:rPr>
                <w:b/>
                <w:bCs/>
                <w:sz w:val="16"/>
                <w:szCs w:val="16"/>
              </w:rPr>
            </w:pPr>
            <w:r>
              <w:rPr>
                <w:b/>
                <w:bCs/>
                <w:sz w:val="16"/>
                <w:szCs w:val="16"/>
              </w:rPr>
              <w:t>Dépenses </w:t>
            </w:r>
            <w:r w:rsidR="00561B47" w:rsidRPr="00CD000E">
              <w:rPr>
                <w:b/>
                <w:bCs/>
                <w:sz w:val="16"/>
                <w:szCs w:val="16"/>
              </w:rPr>
              <w:t>2016*</w:t>
            </w:r>
          </w:p>
        </w:tc>
      </w:tr>
      <w:tr w:rsidR="00561B47" w:rsidRPr="00CD000E" w14:paraId="5247EF80" w14:textId="77777777" w:rsidTr="00561B47">
        <w:trPr>
          <w:jc w:val="center"/>
        </w:trPr>
        <w:tc>
          <w:tcPr>
            <w:tcW w:w="483" w:type="dxa"/>
            <w:tcBorders>
              <w:top w:val="nil"/>
              <w:left w:val="nil"/>
              <w:bottom w:val="nil"/>
              <w:right w:val="nil"/>
            </w:tcBorders>
            <w:shd w:val="clear" w:color="auto" w:fill="auto"/>
            <w:noWrap/>
            <w:vAlign w:val="center"/>
            <w:hideMark/>
          </w:tcPr>
          <w:p w14:paraId="06FA7178" w14:textId="77777777" w:rsidR="00561B47" w:rsidRPr="00CD000E" w:rsidRDefault="00561B47" w:rsidP="00561B47">
            <w:pPr>
              <w:rPr>
                <w:sz w:val="16"/>
                <w:szCs w:val="16"/>
              </w:rPr>
            </w:pPr>
            <w:r w:rsidRPr="00CD000E">
              <w:rPr>
                <w:sz w:val="16"/>
                <w:szCs w:val="16"/>
              </w:rPr>
              <w:t>III.3</w:t>
            </w:r>
          </w:p>
        </w:tc>
        <w:tc>
          <w:tcPr>
            <w:tcW w:w="4239" w:type="dxa"/>
            <w:tcBorders>
              <w:top w:val="nil"/>
              <w:left w:val="nil"/>
              <w:bottom w:val="nil"/>
              <w:right w:val="nil"/>
            </w:tcBorders>
            <w:shd w:val="clear" w:color="auto" w:fill="auto"/>
            <w:vAlign w:val="center"/>
            <w:hideMark/>
          </w:tcPr>
          <w:p w14:paraId="50DFCA4E" w14:textId="77777777" w:rsidR="00561B47" w:rsidRPr="00CD000E" w:rsidRDefault="00561B47" w:rsidP="00561B47">
            <w:pPr>
              <w:rPr>
                <w:sz w:val="16"/>
                <w:szCs w:val="16"/>
              </w:rPr>
            </w:pPr>
            <w:r w:rsidRPr="00CD000E">
              <w:rPr>
                <w:sz w:val="16"/>
                <w:szCs w:val="16"/>
              </w:rPr>
              <w:t>Intégration des recommandations du Plan d’action pour le développement dans les travaux de l’OMPI</w:t>
            </w:r>
          </w:p>
        </w:tc>
        <w:tc>
          <w:tcPr>
            <w:tcW w:w="1168" w:type="dxa"/>
            <w:tcBorders>
              <w:top w:val="nil"/>
              <w:left w:val="nil"/>
              <w:bottom w:val="nil"/>
              <w:right w:val="nil"/>
            </w:tcBorders>
            <w:shd w:val="clear" w:color="auto" w:fill="auto"/>
            <w:noWrap/>
            <w:vAlign w:val="center"/>
            <w:hideMark/>
          </w:tcPr>
          <w:p w14:paraId="3460F7A4" w14:textId="77777777" w:rsidR="00561B47" w:rsidRPr="00CD000E" w:rsidRDefault="00561B47" w:rsidP="00561B47">
            <w:pPr>
              <w:jc w:val="center"/>
              <w:rPr>
                <w:color w:val="000000"/>
                <w:sz w:val="16"/>
                <w:szCs w:val="16"/>
              </w:rPr>
            </w:pPr>
            <w:r w:rsidRPr="00CD000E">
              <w:rPr>
                <w:color w:val="000000"/>
                <w:sz w:val="16"/>
                <w:szCs w:val="16"/>
              </w:rPr>
              <w:t>2 278</w:t>
            </w:r>
          </w:p>
        </w:tc>
        <w:tc>
          <w:tcPr>
            <w:tcW w:w="1167" w:type="dxa"/>
            <w:tcBorders>
              <w:top w:val="nil"/>
              <w:left w:val="nil"/>
              <w:bottom w:val="nil"/>
              <w:right w:val="nil"/>
            </w:tcBorders>
            <w:shd w:val="clear" w:color="auto" w:fill="auto"/>
            <w:noWrap/>
            <w:vAlign w:val="center"/>
            <w:hideMark/>
          </w:tcPr>
          <w:p w14:paraId="0709183D" w14:textId="77777777" w:rsidR="00561B47" w:rsidRPr="00CD000E" w:rsidRDefault="00561B47" w:rsidP="00561B47">
            <w:pPr>
              <w:jc w:val="center"/>
              <w:rPr>
                <w:color w:val="000000"/>
                <w:sz w:val="16"/>
                <w:szCs w:val="16"/>
              </w:rPr>
            </w:pPr>
            <w:r w:rsidRPr="00CD000E">
              <w:rPr>
                <w:color w:val="000000"/>
                <w:sz w:val="16"/>
                <w:szCs w:val="16"/>
              </w:rPr>
              <w:t>2 363</w:t>
            </w:r>
          </w:p>
        </w:tc>
        <w:tc>
          <w:tcPr>
            <w:tcW w:w="1175" w:type="dxa"/>
            <w:tcBorders>
              <w:top w:val="nil"/>
              <w:left w:val="nil"/>
              <w:bottom w:val="nil"/>
              <w:right w:val="nil"/>
            </w:tcBorders>
            <w:shd w:val="clear" w:color="auto" w:fill="auto"/>
            <w:noWrap/>
            <w:vAlign w:val="center"/>
            <w:hideMark/>
          </w:tcPr>
          <w:p w14:paraId="02F37E7B" w14:textId="77777777" w:rsidR="00561B47" w:rsidRPr="00CD000E" w:rsidRDefault="00561B47" w:rsidP="00561B47">
            <w:pPr>
              <w:jc w:val="center"/>
              <w:rPr>
                <w:color w:val="000000"/>
                <w:sz w:val="16"/>
                <w:szCs w:val="16"/>
              </w:rPr>
            </w:pPr>
            <w:r w:rsidRPr="00CD000E">
              <w:rPr>
                <w:color w:val="000000"/>
                <w:sz w:val="16"/>
                <w:szCs w:val="16"/>
              </w:rPr>
              <w:t>1 008</w:t>
            </w:r>
          </w:p>
        </w:tc>
      </w:tr>
      <w:tr w:rsidR="00561B47" w:rsidRPr="00CD000E" w14:paraId="7B9AD9BD" w14:textId="77777777" w:rsidTr="00561B47">
        <w:trPr>
          <w:jc w:val="center"/>
        </w:trPr>
        <w:tc>
          <w:tcPr>
            <w:tcW w:w="483" w:type="dxa"/>
            <w:tcBorders>
              <w:top w:val="nil"/>
              <w:left w:val="nil"/>
              <w:bottom w:val="nil"/>
              <w:right w:val="nil"/>
            </w:tcBorders>
            <w:shd w:val="clear" w:color="auto" w:fill="auto"/>
            <w:noWrap/>
            <w:vAlign w:val="center"/>
            <w:hideMark/>
          </w:tcPr>
          <w:p w14:paraId="2CBBF1E5" w14:textId="77777777" w:rsidR="00561B47" w:rsidRPr="00CD000E" w:rsidRDefault="00561B47" w:rsidP="00561B47">
            <w:pPr>
              <w:rPr>
                <w:sz w:val="16"/>
                <w:szCs w:val="16"/>
              </w:rPr>
            </w:pPr>
            <w:r w:rsidRPr="00CD000E">
              <w:rPr>
                <w:sz w:val="16"/>
                <w:szCs w:val="16"/>
              </w:rPr>
              <w:t>III.5</w:t>
            </w:r>
          </w:p>
        </w:tc>
        <w:tc>
          <w:tcPr>
            <w:tcW w:w="4239" w:type="dxa"/>
            <w:tcBorders>
              <w:top w:val="nil"/>
              <w:left w:val="nil"/>
              <w:bottom w:val="nil"/>
              <w:right w:val="nil"/>
            </w:tcBorders>
            <w:shd w:val="clear" w:color="auto" w:fill="auto"/>
            <w:vAlign w:val="center"/>
            <w:hideMark/>
          </w:tcPr>
          <w:p w14:paraId="413BBA5A" w14:textId="77777777" w:rsidR="00561B47" w:rsidRPr="00CD000E" w:rsidRDefault="00561B47" w:rsidP="00561B47">
            <w:pPr>
              <w:rPr>
                <w:sz w:val="16"/>
                <w:szCs w:val="16"/>
              </w:rPr>
            </w:pPr>
            <w:r w:rsidRPr="00CD000E">
              <w:rPr>
                <w:sz w:val="16"/>
                <w:szCs w:val="16"/>
              </w:rPr>
              <w:t>Meilleure connaissance du Plan d’action pour le développement de la part des États membres, des organisations intergouvernementales, de la société civile et d’autres parties prenantes</w:t>
            </w:r>
          </w:p>
        </w:tc>
        <w:tc>
          <w:tcPr>
            <w:tcW w:w="1168" w:type="dxa"/>
            <w:tcBorders>
              <w:top w:val="nil"/>
              <w:left w:val="nil"/>
              <w:bottom w:val="nil"/>
              <w:right w:val="nil"/>
            </w:tcBorders>
            <w:shd w:val="clear" w:color="auto" w:fill="auto"/>
            <w:noWrap/>
            <w:vAlign w:val="center"/>
            <w:hideMark/>
          </w:tcPr>
          <w:p w14:paraId="2B68F892" w14:textId="77777777" w:rsidR="00561B47" w:rsidRPr="00CD000E" w:rsidRDefault="00561B47" w:rsidP="00561B47">
            <w:pPr>
              <w:jc w:val="center"/>
              <w:rPr>
                <w:color w:val="000000"/>
                <w:sz w:val="16"/>
                <w:szCs w:val="16"/>
              </w:rPr>
            </w:pPr>
            <w:r w:rsidRPr="00CD000E">
              <w:rPr>
                <w:color w:val="000000"/>
                <w:sz w:val="16"/>
                <w:szCs w:val="16"/>
              </w:rPr>
              <w:t>1 393</w:t>
            </w:r>
          </w:p>
        </w:tc>
        <w:tc>
          <w:tcPr>
            <w:tcW w:w="1167" w:type="dxa"/>
            <w:tcBorders>
              <w:top w:val="nil"/>
              <w:left w:val="nil"/>
              <w:bottom w:val="nil"/>
              <w:right w:val="nil"/>
            </w:tcBorders>
            <w:shd w:val="clear" w:color="auto" w:fill="auto"/>
            <w:noWrap/>
            <w:vAlign w:val="center"/>
            <w:hideMark/>
          </w:tcPr>
          <w:p w14:paraId="7514C5C3" w14:textId="77777777" w:rsidR="00561B47" w:rsidRPr="00CD000E" w:rsidRDefault="00561B47" w:rsidP="00561B47">
            <w:pPr>
              <w:jc w:val="center"/>
              <w:rPr>
                <w:color w:val="000000"/>
                <w:sz w:val="16"/>
                <w:szCs w:val="16"/>
              </w:rPr>
            </w:pPr>
            <w:r w:rsidRPr="00CD000E">
              <w:rPr>
                <w:color w:val="000000"/>
                <w:sz w:val="16"/>
                <w:szCs w:val="16"/>
              </w:rPr>
              <w:t>1 224</w:t>
            </w:r>
          </w:p>
        </w:tc>
        <w:tc>
          <w:tcPr>
            <w:tcW w:w="1175" w:type="dxa"/>
            <w:tcBorders>
              <w:top w:val="nil"/>
              <w:left w:val="nil"/>
              <w:bottom w:val="nil"/>
              <w:right w:val="nil"/>
            </w:tcBorders>
            <w:shd w:val="clear" w:color="auto" w:fill="auto"/>
            <w:noWrap/>
            <w:vAlign w:val="center"/>
            <w:hideMark/>
          </w:tcPr>
          <w:p w14:paraId="38F3CA0B" w14:textId="77777777" w:rsidR="00561B47" w:rsidRPr="00CD000E" w:rsidRDefault="00561B47" w:rsidP="00561B47">
            <w:pPr>
              <w:jc w:val="center"/>
              <w:rPr>
                <w:color w:val="000000"/>
                <w:sz w:val="16"/>
                <w:szCs w:val="16"/>
              </w:rPr>
            </w:pPr>
            <w:r w:rsidRPr="00CD000E">
              <w:rPr>
                <w:color w:val="000000"/>
                <w:sz w:val="16"/>
                <w:szCs w:val="16"/>
              </w:rPr>
              <w:t>636</w:t>
            </w:r>
          </w:p>
        </w:tc>
      </w:tr>
      <w:tr w:rsidR="00561B47" w:rsidRPr="00CD000E" w14:paraId="082A35AB" w14:textId="77777777" w:rsidTr="00561B47">
        <w:trPr>
          <w:jc w:val="center"/>
        </w:trPr>
        <w:tc>
          <w:tcPr>
            <w:tcW w:w="483" w:type="dxa"/>
            <w:tcBorders>
              <w:top w:val="nil"/>
              <w:left w:val="nil"/>
              <w:bottom w:val="nil"/>
              <w:right w:val="nil"/>
            </w:tcBorders>
            <w:shd w:val="clear" w:color="000000" w:fill="C5D9F1"/>
            <w:noWrap/>
            <w:vAlign w:val="bottom"/>
            <w:hideMark/>
          </w:tcPr>
          <w:p w14:paraId="7EA02E61" w14:textId="77777777" w:rsidR="00561B47" w:rsidRPr="00CD000E" w:rsidRDefault="00561B47" w:rsidP="00561B47">
            <w:pPr>
              <w:rPr>
                <w:sz w:val="16"/>
                <w:szCs w:val="16"/>
              </w:rPr>
            </w:pPr>
            <w:r w:rsidRPr="00CD000E">
              <w:rPr>
                <w:sz w:val="16"/>
                <w:szCs w:val="16"/>
              </w:rPr>
              <w:t> </w:t>
            </w:r>
          </w:p>
        </w:tc>
        <w:tc>
          <w:tcPr>
            <w:tcW w:w="4239" w:type="dxa"/>
            <w:tcBorders>
              <w:top w:val="nil"/>
              <w:left w:val="nil"/>
              <w:bottom w:val="nil"/>
              <w:right w:val="nil"/>
            </w:tcBorders>
            <w:shd w:val="clear" w:color="000000" w:fill="C5D9F1"/>
            <w:noWrap/>
            <w:vAlign w:val="bottom"/>
            <w:hideMark/>
          </w:tcPr>
          <w:p w14:paraId="62202FB4" w14:textId="77777777" w:rsidR="00561B47" w:rsidRPr="00CD000E" w:rsidRDefault="00561B47" w:rsidP="00561B47">
            <w:pPr>
              <w:jc w:val="right"/>
              <w:rPr>
                <w:b/>
                <w:bCs/>
                <w:sz w:val="16"/>
                <w:szCs w:val="16"/>
              </w:rPr>
            </w:pPr>
            <w:r w:rsidRPr="00CD000E">
              <w:rPr>
                <w:b/>
                <w:bCs/>
                <w:sz w:val="16"/>
                <w:szCs w:val="16"/>
              </w:rPr>
              <w:t>Total</w:t>
            </w:r>
          </w:p>
        </w:tc>
        <w:tc>
          <w:tcPr>
            <w:tcW w:w="1168" w:type="dxa"/>
            <w:tcBorders>
              <w:top w:val="nil"/>
              <w:left w:val="nil"/>
              <w:bottom w:val="nil"/>
              <w:right w:val="nil"/>
            </w:tcBorders>
            <w:shd w:val="clear" w:color="000000" w:fill="C5D9F1"/>
            <w:noWrap/>
            <w:vAlign w:val="center"/>
            <w:hideMark/>
          </w:tcPr>
          <w:p w14:paraId="07D2FEF6" w14:textId="77777777" w:rsidR="00561B47" w:rsidRPr="00CD000E" w:rsidRDefault="00561B47" w:rsidP="00561B47">
            <w:pPr>
              <w:jc w:val="center"/>
              <w:rPr>
                <w:color w:val="000000"/>
                <w:sz w:val="16"/>
                <w:szCs w:val="16"/>
              </w:rPr>
            </w:pPr>
            <w:r w:rsidRPr="00CD000E">
              <w:rPr>
                <w:color w:val="000000"/>
                <w:sz w:val="16"/>
                <w:szCs w:val="16"/>
              </w:rPr>
              <w:t>3 671</w:t>
            </w:r>
          </w:p>
        </w:tc>
        <w:tc>
          <w:tcPr>
            <w:tcW w:w="1167" w:type="dxa"/>
            <w:tcBorders>
              <w:top w:val="nil"/>
              <w:left w:val="nil"/>
              <w:bottom w:val="nil"/>
              <w:right w:val="nil"/>
            </w:tcBorders>
            <w:shd w:val="clear" w:color="000000" w:fill="C5D9F1"/>
            <w:noWrap/>
            <w:vAlign w:val="center"/>
            <w:hideMark/>
          </w:tcPr>
          <w:p w14:paraId="448BCC6E" w14:textId="77777777" w:rsidR="00561B47" w:rsidRPr="00CD000E" w:rsidRDefault="00561B47" w:rsidP="00561B47">
            <w:pPr>
              <w:jc w:val="center"/>
              <w:rPr>
                <w:color w:val="000000"/>
                <w:sz w:val="16"/>
                <w:szCs w:val="16"/>
              </w:rPr>
            </w:pPr>
            <w:r w:rsidRPr="00CD000E">
              <w:rPr>
                <w:color w:val="000000"/>
                <w:sz w:val="16"/>
                <w:szCs w:val="16"/>
              </w:rPr>
              <w:t>3 587</w:t>
            </w:r>
          </w:p>
        </w:tc>
        <w:tc>
          <w:tcPr>
            <w:tcW w:w="1175" w:type="dxa"/>
            <w:tcBorders>
              <w:top w:val="nil"/>
              <w:left w:val="nil"/>
              <w:bottom w:val="nil"/>
              <w:right w:val="nil"/>
            </w:tcBorders>
            <w:shd w:val="clear" w:color="000000" w:fill="C5D9F1"/>
            <w:noWrap/>
            <w:vAlign w:val="center"/>
            <w:hideMark/>
          </w:tcPr>
          <w:p w14:paraId="422E601E" w14:textId="77777777" w:rsidR="00561B47" w:rsidRPr="00CD000E" w:rsidRDefault="00561B47" w:rsidP="00561B47">
            <w:pPr>
              <w:jc w:val="center"/>
              <w:rPr>
                <w:color w:val="000000"/>
                <w:sz w:val="16"/>
                <w:szCs w:val="16"/>
              </w:rPr>
            </w:pPr>
            <w:r w:rsidRPr="00CD000E">
              <w:rPr>
                <w:color w:val="000000"/>
                <w:sz w:val="16"/>
                <w:szCs w:val="16"/>
              </w:rPr>
              <w:t>1 645</w:t>
            </w:r>
          </w:p>
        </w:tc>
      </w:tr>
      <w:tr w:rsidR="00561B47" w:rsidRPr="00CD000E" w14:paraId="13E226FB" w14:textId="77777777" w:rsidTr="00561B47">
        <w:trPr>
          <w:jc w:val="center"/>
        </w:trPr>
        <w:tc>
          <w:tcPr>
            <w:tcW w:w="7057" w:type="dxa"/>
            <w:gridSpan w:val="4"/>
            <w:tcBorders>
              <w:top w:val="nil"/>
              <w:left w:val="nil"/>
              <w:bottom w:val="nil"/>
              <w:right w:val="nil"/>
            </w:tcBorders>
            <w:shd w:val="clear" w:color="auto" w:fill="auto"/>
            <w:noWrap/>
            <w:vAlign w:val="center"/>
            <w:hideMark/>
          </w:tcPr>
          <w:p w14:paraId="5659A1A2" w14:textId="77777777" w:rsidR="00561B47" w:rsidRPr="00CD000E" w:rsidRDefault="00561B47" w:rsidP="00561B47">
            <w:pPr>
              <w:rPr>
                <w:i/>
                <w:iCs/>
                <w:sz w:val="16"/>
                <w:szCs w:val="16"/>
              </w:rPr>
            </w:pPr>
            <w:r w:rsidRPr="00CD000E">
              <w:rPr>
                <w:i/>
                <w:iCs/>
                <w:sz w:val="16"/>
                <w:szCs w:val="16"/>
              </w:rPr>
              <w:t>*Les chiffres des dépenses pour 2016 sont préliminaires, sous réserve d’audit par les vérificateurs externes des comptes</w:t>
            </w:r>
          </w:p>
        </w:tc>
        <w:tc>
          <w:tcPr>
            <w:tcW w:w="1175" w:type="dxa"/>
            <w:tcBorders>
              <w:top w:val="nil"/>
              <w:left w:val="nil"/>
              <w:bottom w:val="nil"/>
              <w:right w:val="nil"/>
            </w:tcBorders>
            <w:shd w:val="clear" w:color="auto" w:fill="auto"/>
            <w:noWrap/>
            <w:vAlign w:val="center"/>
            <w:hideMark/>
          </w:tcPr>
          <w:p w14:paraId="479AACC0" w14:textId="77777777" w:rsidR="00561B47" w:rsidRPr="00CD000E" w:rsidRDefault="00561B47" w:rsidP="00561B47">
            <w:pPr>
              <w:rPr>
                <w:sz w:val="16"/>
                <w:szCs w:val="16"/>
              </w:rPr>
            </w:pPr>
          </w:p>
        </w:tc>
      </w:tr>
    </w:tbl>
    <w:p w14:paraId="65FE2DDE" w14:textId="77777777" w:rsidR="00561B47" w:rsidRPr="005035EE" w:rsidRDefault="00561B47" w:rsidP="00561B47">
      <w:pPr>
        <w:rPr>
          <w:sz w:val="20"/>
        </w:rPr>
      </w:pPr>
    </w:p>
    <w:p w14:paraId="633290D0" w14:textId="77777777" w:rsidR="00561B47" w:rsidRDefault="00561B47" w:rsidP="00561B47">
      <w:pPr>
        <w:rPr>
          <w:color w:val="000000"/>
          <w:sz w:val="18"/>
          <w:szCs w:val="18"/>
        </w:rPr>
      </w:pPr>
      <w:r>
        <w:rPr>
          <w:color w:val="000000"/>
        </w:rPr>
        <w:br w:type="page"/>
      </w:r>
    </w:p>
    <w:p w14:paraId="25EA5C5F" w14:textId="77777777" w:rsidR="00561B47" w:rsidRPr="00CD000E" w:rsidRDefault="00561B47" w:rsidP="00561B47">
      <w:pPr>
        <w:pStyle w:val="NormalWeb"/>
        <w:keepNext/>
        <w:keepLines/>
        <w:spacing w:before="0" w:beforeAutospacing="0" w:after="0" w:afterAutospacing="0"/>
        <w:jc w:val="center"/>
        <w:rPr>
          <w:color w:val="000000"/>
        </w:rPr>
      </w:pPr>
      <w:r w:rsidRPr="00CD000E">
        <w:rPr>
          <w:color w:val="000000"/>
        </w:rPr>
        <w:lastRenderedPageBreak/>
        <w:t>Budget et dépenses effectives (dépenses de personnel et autres dépenses)</w:t>
      </w:r>
    </w:p>
    <w:p w14:paraId="2AE67610" w14:textId="77777777" w:rsidR="00561B47" w:rsidRPr="00CD000E" w:rsidRDefault="00561B47" w:rsidP="00561B47">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664C1D93" w14:textId="77777777" w:rsidR="00561B47" w:rsidRPr="00CD000E" w:rsidRDefault="00561B47" w:rsidP="00561B47">
      <w:pPr>
        <w:rPr>
          <w:sz w:val="20"/>
        </w:rPr>
      </w:pPr>
    </w:p>
    <w:tbl>
      <w:tblPr>
        <w:tblW w:w="8222" w:type="dxa"/>
        <w:jc w:val="center"/>
        <w:tblLook w:val="04A0" w:firstRow="1" w:lastRow="0" w:firstColumn="1" w:lastColumn="0" w:noHBand="0" w:noVBand="1"/>
      </w:tblPr>
      <w:tblGrid>
        <w:gridCol w:w="2440"/>
        <w:gridCol w:w="1577"/>
        <w:gridCol w:w="1577"/>
        <w:gridCol w:w="1435"/>
        <w:gridCol w:w="1193"/>
      </w:tblGrid>
      <w:tr w:rsidR="00561B47" w:rsidRPr="005035EE" w14:paraId="0207DD7B" w14:textId="77777777" w:rsidTr="00561B47">
        <w:trPr>
          <w:trHeight w:val="720"/>
          <w:jc w:val="center"/>
        </w:trPr>
        <w:tc>
          <w:tcPr>
            <w:tcW w:w="2440" w:type="dxa"/>
            <w:tcBorders>
              <w:top w:val="nil"/>
              <w:left w:val="nil"/>
              <w:bottom w:val="nil"/>
              <w:right w:val="nil"/>
            </w:tcBorders>
            <w:shd w:val="clear" w:color="000000" w:fill="C5D9F1"/>
            <w:noWrap/>
            <w:vAlign w:val="center"/>
            <w:hideMark/>
          </w:tcPr>
          <w:p w14:paraId="11178179" w14:textId="77777777" w:rsidR="00561B47" w:rsidRPr="00CD000E" w:rsidRDefault="00561B47" w:rsidP="00561B47">
            <w:pPr>
              <w:rPr>
                <w:color w:val="000000"/>
                <w:sz w:val="16"/>
                <w:szCs w:val="16"/>
              </w:rPr>
            </w:pPr>
            <w:r w:rsidRPr="00CD000E">
              <w:rPr>
                <w:color w:val="000000"/>
                <w:sz w:val="16"/>
                <w:szCs w:val="16"/>
              </w:rPr>
              <w:t> </w:t>
            </w:r>
          </w:p>
        </w:tc>
        <w:tc>
          <w:tcPr>
            <w:tcW w:w="1420" w:type="dxa"/>
            <w:tcBorders>
              <w:top w:val="nil"/>
              <w:left w:val="nil"/>
              <w:bottom w:val="nil"/>
              <w:right w:val="nil"/>
            </w:tcBorders>
            <w:shd w:val="clear" w:color="000000" w:fill="C5D9F1"/>
            <w:vAlign w:val="center"/>
            <w:hideMark/>
          </w:tcPr>
          <w:p w14:paraId="4DCEB61B" w14:textId="3C74861C" w:rsidR="00561B47" w:rsidRPr="00CD000E" w:rsidRDefault="00147255" w:rsidP="00561B47">
            <w:pPr>
              <w:jc w:val="center"/>
              <w:rPr>
                <w:b/>
                <w:bCs/>
                <w:color w:val="000000"/>
                <w:sz w:val="16"/>
                <w:szCs w:val="16"/>
              </w:rPr>
            </w:pPr>
            <w:r>
              <w:rPr>
                <w:b/>
                <w:bCs/>
                <w:color w:val="000000"/>
                <w:sz w:val="16"/>
                <w:szCs w:val="16"/>
              </w:rPr>
              <w:t>Budget </w:t>
            </w:r>
            <w:r w:rsidR="00561B47" w:rsidRPr="00CD000E">
              <w:rPr>
                <w:b/>
                <w:bCs/>
                <w:color w:val="000000"/>
                <w:sz w:val="16"/>
                <w:szCs w:val="16"/>
              </w:rPr>
              <w:t>2016</w:t>
            </w:r>
            <w:r w:rsidR="00561B47">
              <w:rPr>
                <w:b/>
                <w:bCs/>
                <w:color w:val="000000"/>
                <w:sz w:val="16"/>
                <w:szCs w:val="16"/>
              </w:rPr>
              <w:noBreakHyphen/>
            </w:r>
            <w:r w:rsidR="00561B47" w:rsidRPr="00CD000E">
              <w:rPr>
                <w:b/>
                <w:bCs/>
                <w:color w:val="000000"/>
                <w:sz w:val="16"/>
                <w:szCs w:val="16"/>
              </w:rPr>
              <w:t>2017 approuvé</w:t>
            </w:r>
          </w:p>
        </w:tc>
        <w:tc>
          <w:tcPr>
            <w:tcW w:w="1420" w:type="dxa"/>
            <w:tcBorders>
              <w:top w:val="nil"/>
              <w:left w:val="nil"/>
              <w:bottom w:val="nil"/>
              <w:right w:val="nil"/>
            </w:tcBorders>
            <w:shd w:val="clear" w:color="000000" w:fill="C5D9F1"/>
            <w:vAlign w:val="center"/>
            <w:hideMark/>
          </w:tcPr>
          <w:p w14:paraId="0E2CF7AA" w14:textId="13FE0954" w:rsidR="00561B47" w:rsidRPr="00CD000E" w:rsidRDefault="00147255" w:rsidP="00561B47">
            <w:pPr>
              <w:jc w:val="center"/>
              <w:rPr>
                <w:b/>
                <w:bCs/>
                <w:color w:val="000000"/>
                <w:sz w:val="16"/>
                <w:szCs w:val="16"/>
              </w:rPr>
            </w:pPr>
            <w:r>
              <w:rPr>
                <w:b/>
                <w:bCs/>
                <w:color w:val="000000"/>
                <w:sz w:val="16"/>
                <w:szCs w:val="16"/>
              </w:rPr>
              <w:t>Budget </w:t>
            </w:r>
            <w:r w:rsidR="00561B47" w:rsidRPr="00CD000E">
              <w:rPr>
                <w:b/>
                <w:bCs/>
                <w:color w:val="000000"/>
                <w:sz w:val="16"/>
                <w:szCs w:val="16"/>
              </w:rPr>
              <w:t>2016</w:t>
            </w:r>
            <w:r w:rsidR="00561B47">
              <w:rPr>
                <w:b/>
                <w:bCs/>
                <w:color w:val="000000"/>
                <w:sz w:val="16"/>
                <w:szCs w:val="16"/>
              </w:rPr>
              <w:noBreakHyphen/>
            </w:r>
            <w:r w:rsidR="00561B47" w:rsidRPr="00CD000E">
              <w:rPr>
                <w:b/>
                <w:bCs/>
                <w:color w:val="000000"/>
                <w:sz w:val="16"/>
                <w:szCs w:val="16"/>
              </w:rPr>
              <w:t>2017 après virements</w:t>
            </w:r>
          </w:p>
        </w:tc>
        <w:tc>
          <w:tcPr>
            <w:tcW w:w="1420" w:type="dxa"/>
            <w:tcBorders>
              <w:top w:val="nil"/>
              <w:left w:val="nil"/>
              <w:bottom w:val="nil"/>
              <w:right w:val="nil"/>
            </w:tcBorders>
            <w:shd w:val="clear" w:color="000000" w:fill="C5D9F1"/>
            <w:vAlign w:val="center"/>
            <w:hideMark/>
          </w:tcPr>
          <w:p w14:paraId="6E25DDAB" w14:textId="480778D0" w:rsidR="00561B47" w:rsidRPr="00CD000E" w:rsidRDefault="00147255" w:rsidP="00561B47">
            <w:pPr>
              <w:jc w:val="center"/>
              <w:rPr>
                <w:b/>
                <w:bCs/>
                <w:color w:val="000000"/>
                <w:sz w:val="16"/>
                <w:szCs w:val="16"/>
              </w:rPr>
            </w:pPr>
            <w:r>
              <w:rPr>
                <w:b/>
                <w:bCs/>
                <w:color w:val="000000"/>
                <w:sz w:val="16"/>
                <w:szCs w:val="16"/>
              </w:rPr>
              <w:t>Dépenses </w:t>
            </w:r>
            <w:r w:rsidR="00561B47" w:rsidRPr="00CD000E">
              <w:rPr>
                <w:b/>
                <w:bCs/>
                <w:color w:val="000000"/>
                <w:sz w:val="16"/>
                <w:szCs w:val="16"/>
              </w:rPr>
              <w:t>2016*</w:t>
            </w:r>
          </w:p>
        </w:tc>
        <w:tc>
          <w:tcPr>
            <w:tcW w:w="1420" w:type="dxa"/>
            <w:tcBorders>
              <w:top w:val="nil"/>
              <w:left w:val="nil"/>
              <w:bottom w:val="nil"/>
              <w:right w:val="nil"/>
            </w:tcBorders>
            <w:shd w:val="clear" w:color="000000" w:fill="C5D9F1"/>
            <w:vAlign w:val="center"/>
            <w:hideMark/>
          </w:tcPr>
          <w:p w14:paraId="3DB5C9B4" w14:textId="77777777" w:rsidR="00561B47" w:rsidRPr="005035EE" w:rsidRDefault="00561B47" w:rsidP="00561B47">
            <w:pPr>
              <w:jc w:val="center"/>
              <w:rPr>
                <w:b/>
                <w:bCs/>
                <w:sz w:val="16"/>
                <w:szCs w:val="16"/>
              </w:rPr>
            </w:pPr>
            <w:r w:rsidRPr="005035EE">
              <w:rPr>
                <w:b/>
                <w:bCs/>
                <w:sz w:val="16"/>
                <w:szCs w:val="16"/>
              </w:rPr>
              <w:t>Taux d’utilisation (%)</w:t>
            </w:r>
          </w:p>
        </w:tc>
      </w:tr>
      <w:tr w:rsidR="00561B47" w:rsidRPr="00CD000E" w14:paraId="383CD647" w14:textId="77777777" w:rsidTr="00561B47">
        <w:trPr>
          <w:trHeight w:val="315"/>
          <w:jc w:val="center"/>
        </w:trPr>
        <w:tc>
          <w:tcPr>
            <w:tcW w:w="2440" w:type="dxa"/>
            <w:tcBorders>
              <w:top w:val="nil"/>
              <w:left w:val="nil"/>
              <w:bottom w:val="nil"/>
              <w:right w:val="nil"/>
            </w:tcBorders>
            <w:shd w:val="clear" w:color="auto" w:fill="auto"/>
            <w:noWrap/>
            <w:vAlign w:val="center"/>
            <w:hideMark/>
          </w:tcPr>
          <w:p w14:paraId="02C8580F" w14:textId="77777777" w:rsidR="00561B47" w:rsidRPr="00CD000E" w:rsidRDefault="00561B47" w:rsidP="00561B47">
            <w:pPr>
              <w:rPr>
                <w:color w:val="000000"/>
                <w:sz w:val="16"/>
                <w:szCs w:val="16"/>
              </w:rPr>
            </w:pPr>
            <w:r w:rsidRPr="00CD000E">
              <w:rPr>
                <w:sz w:val="16"/>
                <w:szCs w:val="16"/>
              </w:rPr>
              <w:t>Ressources en personnel</w:t>
            </w:r>
            <w:r w:rsidRPr="00CD000E">
              <w:rPr>
                <w:color w:val="000000"/>
                <w:sz w:val="16"/>
                <w:szCs w:val="16"/>
              </w:rPr>
              <w:t xml:space="preserve"> </w:t>
            </w:r>
          </w:p>
        </w:tc>
        <w:tc>
          <w:tcPr>
            <w:tcW w:w="1420" w:type="dxa"/>
            <w:tcBorders>
              <w:top w:val="nil"/>
              <w:left w:val="nil"/>
              <w:bottom w:val="nil"/>
              <w:right w:val="nil"/>
            </w:tcBorders>
            <w:shd w:val="clear" w:color="auto" w:fill="auto"/>
            <w:vAlign w:val="center"/>
            <w:hideMark/>
          </w:tcPr>
          <w:p w14:paraId="5AE6D68C" w14:textId="77777777" w:rsidR="00561B47" w:rsidRPr="00CD000E" w:rsidRDefault="00561B47" w:rsidP="00561B47">
            <w:pPr>
              <w:jc w:val="center"/>
              <w:rPr>
                <w:color w:val="000000"/>
                <w:sz w:val="16"/>
                <w:szCs w:val="16"/>
              </w:rPr>
            </w:pPr>
            <w:r w:rsidRPr="00CD000E">
              <w:rPr>
                <w:color w:val="000000"/>
                <w:sz w:val="16"/>
                <w:szCs w:val="16"/>
              </w:rPr>
              <w:t xml:space="preserve">2 462 </w:t>
            </w:r>
          </w:p>
        </w:tc>
        <w:tc>
          <w:tcPr>
            <w:tcW w:w="1420" w:type="dxa"/>
            <w:tcBorders>
              <w:top w:val="nil"/>
              <w:left w:val="nil"/>
              <w:bottom w:val="nil"/>
              <w:right w:val="nil"/>
            </w:tcBorders>
            <w:shd w:val="clear" w:color="auto" w:fill="auto"/>
            <w:vAlign w:val="center"/>
            <w:hideMark/>
          </w:tcPr>
          <w:p w14:paraId="64C191F1" w14:textId="77777777" w:rsidR="00561B47" w:rsidRPr="00CD000E" w:rsidRDefault="00561B47" w:rsidP="00561B47">
            <w:pPr>
              <w:jc w:val="center"/>
              <w:rPr>
                <w:color w:val="000000"/>
                <w:sz w:val="16"/>
                <w:szCs w:val="16"/>
              </w:rPr>
            </w:pPr>
            <w:r w:rsidRPr="00CD000E">
              <w:rPr>
                <w:color w:val="000000"/>
                <w:sz w:val="16"/>
                <w:szCs w:val="16"/>
              </w:rPr>
              <w:t xml:space="preserve">2 401 </w:t>
            </w:r>
          </w:p>
        </w:tc>
        <w:tc>
          <w:tcPr>
            <w:tcW w:w="1420" w:type="dxa"/>
            <w:tcBorders>
              <w:top w:val="nil"/>
              <w:left w:val="nil"/>
              <w:bottom w:val="nil"/>
              <w:right w:val="nil"/>
            </w:tcBorders>
            <w:shd w:val="clear" w:color="auto" w:fill="auto"/>
            <w:vAlign w:val="center"/>
            <w:hideMark/>
          </w:tcPr>
          <w:p w14:paraId="7108C1FC" w14:textId="77777777" w:rsidR="00561B47" w:rsidRPr="00CD000E" w:rsidRDefault="00561B47" w:rsidP="00561B47">
            <w:pPr>
              <w:jc w:val="center"/>
              <w:rPr>
                <w:color w:val="000000"/>
                <w:sz w:val="16"/>
                <w:szCs w:val="16"/>
              </w:rPr>
            </w:pPr>
            <w:r w:rsidRPr="00CD000E">
              <w:rPr>
                <w:color w:val="000000"/>
                <w:sz w:val="16"/>
                <w:szCs w:val="16"/>
              </w:rPr>
              <w:t xml:space="preserve">992 </w:t>
            </w:r>
          </w:p>
        </w:tc>
        <w:tc>
          <w:tcPr>
            <w:tcW w:w="1420" w:type="dxa"/>
            <w:tcBorders>
              <w:top w:val="nil"/>
              <w:left w:val="nil"/>
              <w:bottom w:val="nil"/>
              <w:right w:val="nil"/>
            </w:tcBorders>
            <w:shd w:val="clear" w:color="auto" w:fill="auto"/>
            <w:vAlign w:val="center"/>
            <w:hideMark/>
          </w:tcPr>
          <w:p w14:paraId="7806CEEA" w14:textId="77777777" w:rsidR="00561B47" w:rsidRPr="00CD000E" w:rsidRDefault="00561B47" w:rsidP="00561B47">
            <w:pPr>
              <w:jc w:val="center"/>
              <w:rPr>
                <w:color w:val="000000"/>
                <w:sz w:val="16"/>
                <w:szCs w:val="16"/>
              </w:rPr>
            </w:pPr>
            <w:r w:rsidRPr="00CD000E">
              <w:rPr>
                <w:color w:val="000000"/>
                <w:sz w:val="16"/>
                <w:szCs w:val="16"/>
              </w:rPr>
              <w:t>41%</w:t>
            </w:r>
          </w:p>
        </w:tc>
      </w:tr>
      <w:tr w:rsidR="00561B47" w:rsidRPr="00CD000E" w14:paraId="6CC41C84" w14:textId="77777777" w:rsidTr="00561B47">
        <w:trPr>
          <w:trHeight w:val="315"/>
          <w:jc w:val="center"/>
        </w:trPr>
        <w:tc>
          <w:tcPr>
            <w:tcW w:w="2440" w:type="dxa"/>
            <w:tcBorders>
              <w:top w:val="nil"/>
              <w:left w:val="nil"/>
              <w:bottom w:val="nil"/>
              <w:right w:val="nil"/>
            </w:tcBorders>
            <w:shd w:val="clear" w:color="auto" w:fill="auto"/>
            <w:noWrap/>
            <w:vAlign w:val="center"/>
            <w:hideMark/>
          </w:tcPr>
          <w:p w14:paraId="10F53198" w14:textId="77777777" w:rsidR="00561B47" w:rsidRPr="00CD000E" w:rsidRDefault="00561B47" w:rsidP="00561B47">
            <w:pPr>
              <w:rPr>
                <w:color w:val="000000"/>
                <w:sz w:val="16"/>
                <w:szCs w:val="16"/>
              </w:rPr>
            </w:pPr>
            <w:r w:rsidRPr="00CD000E">
              <w:rPr>
                <w:sz w:val="16"/>
                <w:szCs w:val="16"/>
              </w:rPr>
              <w:t>Autres ressources</w:t>
            </w:r>
            <w:r w:rsidRPr="00CD000E">
              <w:rPr>
                <w:color w:val="000000"/>
                <w:sz w:val="16"/>
                <w:szCs w:val="16"/>
              </w:rPr>
              <w:t xml:space="preserve"> </w:t>
            </w:r>
          </w:p>
        </w:tc>
        <w:tc>
          <w:tcPr>
            <w:tcW w:w="1420" w:type="dxa"/>
            <w:tcBorders>
              <w:top w:val="nil"/>
              <w:left w:val="nil"/>
              <w:bottom w:val="nil"/>
              <w:right w:val="nil"/>
            </w:tcBorders>
            <w:shd w:val="clear" w:color="auto" w:fill="auto"/>
            <w:vAlign w:val="center"/>
            <w:hideMark/>
          </w:tcPr>
          <w:p w14:paraId="297C58DB" w14:textId="77777777" w:rsidR="00561B47" w:rsidRPr="00CD000E" w:rsidRDefault="00561B47" w:rsidP="00561B47">
            <w:pPr>
              <w:jc w:val="center"/>
              <w:rPr>
                <w:color w:val="000000"/>
                <w:sz w:val="16"/>
                <w:szCs w:val="16"/>
              </w:rPr>
            </w:pPr>
            <w:r w:rsidRPr="00CD000E">
              <w:rPr>
                <w:color w:val="000000"/>
                <w:sz w:val="16"/>
                <w:szCs w:val="16"/>
              </w:rPr>
              <w:t xml:space="preserve">1 209 </w:t>
            </w:r>
          </w:p>
        </w:tc>
        <w:tc>
          <w:tcPr>
            <w:tcW w:w="1420" w:type="dxa"/>
            <w:tcBorders>
              <w:top w:val="nil"/>
              <w:left w:val="nil"/>
              <w:bottom w:val="nil"/>
              <w:right w:val="nil"/>
            </w:tcBorders>
            <w:shd w:val="clear" w:color="auto" w:fill="auto"/>
            <w:vAlign w:val="center"/>
            <w:hideMark/>
          </w:tcPr>
          <w:p w14:paraId="22698BB9" w14:textId="77777777" w:rsidR="00561B47" w:rsidRPr="00CD000E" w:rsidRDefault="00561B47" w:rsidP="00561B47">
            <w:pPr>
              <w:jc w:val="center"/>
              <w:rPr>
                <w:color w:val="000000"/>
                <w:sz w:val="16"/>
                <w:szCs w:val="16"/>
              </w:rPr>
            </w:pPr>
            <w:r w:rsidRPr="00CD000E">
              <w:rPr>
                <w:color w:val="000000"/>
                <w:sz w:val="16"/>
                <w:szCs w:val="16"/>
              </w:rPr>
              <w:t xml:space="preserve">1 186 </w:t>
            </w:r>
          </w:p>
        </w:tc>
        <w:tc>
          <w:tcPr>
            <w:tcW w:w="1420" w:type="dxa"/>
            <w:tcBorders>
              <w:top w:val="nil"/>
              <w:left w:val="nil"/>
              <w:bottom w:val="nil"/>
              <w:right w:val="nil"/>
            </w:tcBorders>
            <w:shd w:val="clear" w:color="auto" w:fill="auto"/>
            <w:vAlign w:val="center"/>
            <w:hideMark/>
          </w:tcPr>
          <w:p w14:paraId="4621FA98" w14:textId="77777777" w:rsidR="00561B47" w:rsidRPr="00CD000E" w:rsidRDefault="00561B47" w:rsidP="00561B47">
            <w:pPr>
              <w:jc w:val="center"/>
              <w:rPr>
                <w:color w:val="000000"/>
                <w:sz w:val="16"/>
                <w:szCs w:val="16"/>
              </w:rPr>
            </w:pPr>
            <w:r w:rsidRPr="00CD000E">
              <w:rPr>
                <w:color w:val="000000"/>
                <w:sz w:val="16"/>
                <w:szCs w:val="16"/>
              </w:rPr>
              <w:t xml:space="preserve">652 </w:t>
            </w:r>
          </w:p>
        </w:tc>
        <w:tc>
          <w:tcPr>
            <w:tcW w:w="1420" w:type="dxa"/>
            <w:tcBorders>
              <w:top w:val="nil"/>
              <w:left w:val="nil"/>
              <w:bottom w:val="nil"/>
              <w:right w:val="nil"/>
            </w:tcBorders>
            <w:shd w:val="clear" w:color="auto" w:fill="auto"/>
            <w:vAlign w:val="center"/>
            <w:hideMark/>
          </w:tcPr>
          <w:p w14:paraId="20977083" w14:textId="77777777" w:rsidR="00561B47" w:rsidRPr="00CD000E" w:rsidRDefault="00561B47" w:rsidP="00561B47">
            <w:pPr>
              <w:jc w:val="center"/>
              <w:rPr>
                <w:color w:val="000000"/>
                <w:sz w:val="16"/>
                <w:szCs w:val="16"/>
              </w:rPr>
            </w:pPr>
            <w:r w:rsidRPr="00CD000E">
              <w:rPr>
                <w:color w:val="000000"/>
                <w:sz w:val="16"/>
                <w:szCs w:val="16"/>
              </w:rPr>
              <w:t>55%</w:t>
            </w:r>
          </w:p>
        </w:tc>
      </w:tr>
      <w:tr w:rsidR="00561B47" w:rsidRPr="00CD000E" w14:paraId="3FEA1E9F" w14:textId="77777777" w:rsidTr="00561B47">
        <w:trPr>
          <w:trHeight w:val="225"/>
          <w:jc w:val="center"/>
        </w:trPr>
        <w:tc>
          <w:tcPr>
            <w:tcW w:w="2440" w:type="dxa"/>
            <w:tcBorders>
              <w:top w:val="nil"/>
              <w:left w:val="nil"/>
              <w:bottom w:val="nil"/>
              <w:right w:val="nil"/>
            </w:tcBorders>
            <w:shd w:val="clear" w:color="000000" w:fill="C5D9F1"/>
            <w:noWrap/>
            <w:vAlign w:val="center"/>
            <w:hideMark/>
          </w:tcPr>
          <w:p w14:paraId="3A86E65F" w14:textId="76DF9E15" w:rsidR="00561B47" w:rsidRPr="00CD000E" w:rsidRDefault="00561B47" w:rsidP="00561B47">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20" w:type="dxa"/>
            <w:tcBorders>
              <w:top w:val="nil"/>
              <w:left w:val="nil"/>
              <w:bottom w:val="nil"/>
              <w:right w:val="nil"/>
            </w:tcBorders>
            <w:shd w:val="clear" w:color="000000" w:fill="C5D9F1"/>
            <w:vAlign w:val="center"/>
            <w:hideMark/>
          </w:tcPr>
          <w:p w14:paraId="64408C12" w14:textId="77777777" w:rsidR="00561B47" w:rsidRPr="00CD000E" w:rsidRDefault="00561B47" w:rsidP="00561B47">
            <w:pPr>
              <w:jc w:val="center"/>
              <w:rPr>
                <w:b/>
                <w:bCs/>
                <w:color w:val="000000"/>
                <w:sz w:val="16"/>
                <w:szCs w:val="16"/>
              </w:rPr>
            </w:pPr>
            <w:r w:rsidRPr="00CD000E">
              <w:rPr>
                <w:b/>
                <w:bCs/>
                <w:color w:val="000000"/>
                <w:sz w:val="16"/>
                <w:szCs w:val="16"/>
              </w:rPr>
              <w:t xml:space="preserve">3 671 </w:t>
            </w:r>
          </w:p>
        </w:tc>
        <w:tc>
          <w:tcPr>
            <w:tcW w:w="1420" w:type="dxa"/>
            <w:tcBorders>
              <w:top w:val="nil"/>
              <w:left w:val="nil"/>
              <w:bottom w:val="nil"/>
              <w:right w:val="nil"/>
            </w:tcBorders>
            <w:shd w:val="clear" w:color="000000" w:fill="C5D9F1"/>
            <w:vAlign w:val="center"/>
            <w:hideMark/>
          </w:tcPr>
          <w:p w14:paraId="1B4A8C45" w14:textId="77777777" w:rsidR="00561B47" w:rsidRPr="00CD000E" w:rsidRDefault="00561B47" w:rsidP="00561B47">
            <w:pPr>
              <w:jc w:val="center"/>
              <w:rPr>
                <w:b/>
                <w:bCs/>
                <w:color w:val="000000"/>
                <w:sz w:val="16"/>
                <w:szCs w:val="16"/>
              </w:rPr>
            </w:pPr>
            <w:r w:rsidRPr="00CD000E">
              <w:rPr>
                <w:b/>
                <w:bCs/>
                <w:color w:val="000000"/>
                <w:sz w:val="16"/>
                <w:szCs w:val="16"/>
              </w:rPr>
              <w:t xml:space="preserve">3 587 </w:t>
            </w:r>
          </w:p>
        </w:tc>
        <w:tc>
          <w:tcPr>
            <w:tcW w:w="1420" w:type="dxa"/>
            <w:tcBorders>
              <w:top w:val="nil"/>
              <w:left w:val="nil"/>
              <w:bottom w:val="nil"/>
              <w:right w:val="nil"/>
            </w:tcBorders>
            <w:shd w:val="clear" w:color="000000" w:fill="C5D9F1"/>
            <w:vAlign w:val="center"/>
            <w:hideMark/>
          </w:tcPr>
          <w:p w14:paraId="15F404F7" w14:textId="77777777" w:rsidR="00561B47" w:rsidRPr="00CD000E" w:rsidRDefault="00561B47" w:rsidP="00561B47">
            <w:pPr>
              <w:jc w:val="center"/>
              <w:rPr>
                <w:b/>
                <w:bCs/>
                <w:color w:val="000000"/>
                <w:sz w:val="16"/>
                <w:szCs w:val="16"/>
              </w:rPr>
            </w:pPr>
            <w:r w:rsidRPr="00CD000E">
              <w:rPr>
                <w:b/>
                <w:bCs/>
                <w:color w:val="000000"/>
                <w:sz w:val="16"/>
                <w:szCs w:val="16"/>
              </w:rPr>
              <w:t xml:space="preserve">1 645 </w:t>
            </w:r>
          </w:p>
        </w:tc>
        <w:tc>
          <w:tcPr>
            <w:tcW w:w="1420" w:type="dxa"/>
            <w:tcBorders>
              <w:top w:val="nil"/>
              <w:left w:val="nil"/>
              <w:bottom w:val="nil"/>
              <w:right w:val="nil"/>
            </w:tcBorders>
            <w:shd w:val="clear" w:color="000000" w:fill="C5D9F1"/>
            <w:vAlign w:val="center"/>
            <w:hideMark/>
          </w:tcPr>
          <w:p w14:paraId="4D6F3FA9" w14:textId="77777777" w:rsidR="00561B47" w:rsidRPr="00CD000E" w:rsidRDefault="00561B47" w:rsidP="00561B47">
            <w:pPr>
              <w:jc w:val="center"/>
              <w:rPr>
                <w:b/>
                <w:bCs/>
                <w:color w:val="000000"/>
                <w:sz w:val="16"/>
                <w:szCs w:val="16"/>
              </w:rPr>
            </w:pPr>
            <w:r w:rsidRPr="00CD000E">
              <w:rPr>
                <w:b/>
                <w:bCs/>
                <w:color w:val="000000"/>
                <w:sz w:val="16"/>
                <w:szCs w:val="16"/>
              </w:rPr>
              <w:t>46%</w:t>
            </w:r>
          </w:p>
        </w:tc>
      </w:tr>
      <w:tr w:rsidR="00561B47" w:rsidRPr="00CD000E" w14:paraId="502B02FD" w14:textId="77777777" w:rsidTr="00561B47">
        <w:trPr>
          <w:trHeight w:val="300"/>
          <w:jc w:val="center"/>
        </w:trPr>
        <w:tc>
          <w:tcPr>
            <w:tcW w:w="8120" w:type="dxa"/>
            <w:gridSpan w:val="5"/>
            <w:tcBorders>
              <w:top w:val="nil"/>
              <w:left w:val="nil"/>
              <w:bottom w:val="nil"/>
              <w:right w:val="nil"/>
            </w:tcBorders>
            <w:shd w:val="clear" w:color="auto" w:fill="auto"/>
            <w:noWrap/>
            <w:vAlign w:val="center"/>
            <w:hideMark/>
          </w:tcPr>
          <w:p w14:paraId="13A586A4" w14:textId="77777777" w:rsidR="00561B47" w:rsidRPr="00CD000E" w:rsidRDefault="00561B47" w:rsidP="00561B47">
            <w:pPr>
              <w:rPr>
                <w:i/>
                <w:iCs/>
                <w:color w:val="000000"/>
                <w:sz w:val="16"/>
                <w:szCs w:val="16"/>
              </w:rPr>
            </w:pPr>
            <w:r w:rsidRPr="00CD000E">
              <w:rPr>
                <w:i/>
                <w:iCs/>
                <w:color w:val="000000"/>
                <w:sz w:val="16"/>
                <w:szCs w:val="16"/>
              </w:rPr>
              <w:t xml:space="preserve">*Les chiffres des dépenses pour 2016 sont préliminaires, sous réserve d’audit par les vérificateurs externes des comptes </w:t>
            </w:r>
          </w:p>
        </w:tc>
      </w:tr>
    </w:tbl>
    <w:p w14:paraId="1D1E93B5" w14:textId="77777777" w:rsidR="00561B47" w:rsidRPr="00CD000E" w:rsidRDefault="00561B47" w:rsidP="00561B47">
      <w:pPr>
        <w:keepNext/>
        <w:keepLines/>
        <w:ind w:left="567" w:right="424"/>
        <w:rPr>
          <w:i/>
          <w:sz w:val="16"/>
          <w:szCs w:val="16"/>
        </w:rPr>
      </w:pPr>
    </w:p>
    <w:p w14:paraId="39153A88" w14:textId="60EED3CB" w:rsidR="00561B47" w:rsidRPr="00CD000E" w:rsidRDefault="00561B47" w:rsidP="00561B47">
      <w:pPr>
        <w:keepNext/>
        <w:keepLines/>
        <w:ind w:left="567" w:right="424"/>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7E733A96" w14:textId="77777777" w:rsidR="00561B47" w:rsidRPr="00CD000E" w:rsidRDefault="00561B47" w:rsidP="00561B47">
      <w:pPr>
        <w:rPr>
          <w:sz w:val="20"/>
        </w:rPr>
      </w:pPr>
    </w:p>
    <w:p w14:paraId="259B7BC3" w14:textId="77777777" w:rsidR="00561B47" w:rsidRPr="00CD000E" w:rsidRDefault="00561B47" w:rsidP="00561B47">
      <w:pPr>
        <w:jc w:val="both"/>
        <w:rPr>
          <w:sz w:val="20"/>
        </w:rPr>
      </w:pPr>
    </w:p>
    <w:p w14:paraId="58E7B7A3" w14:textId="77777777" w:rsidR="00561B47" w:rsidRPr="00CD000E" w:rsidRDefault="00561B47" w:rsidP="00561B47">
      <w:pPr>
        <w:keepNext/>
        <w:jc w:val="both"/>
        <w:rPr>
          <w:sz w:val="20"/>
          <w:u w:val="single"/>
        </w:rPr>
      </w:pPr>
      <w:r w:rsidRPr="00CD000E">
        <w:rPr>
          <w:sz w:val="20"/>
        </w:rPr>
        <w:t>A.</w:t>
      </w:r>
      <w:r w:rsidRPr="00CD000E">
        <w:rPr>
          <w:sz w:val="20"/>
        </w:rPr>
        <w:tab/>
      </w:r>
      <w:r w:rsidRPr="00CD000E">
        <w:rPr>
          <w:sz w:val="20"/>
          <w:u w:val="single"/>
        </w:rPr>
        <w:t>Budget 2016</w:t>
      </w:r>
      <w:r>
        <w:rPr>
          <w:sz w:val="20"/>
          <w:u w:val="single"/>
        </w:rPr>
        <w:noBreakHyphen/>
      </w:r>
      <w:r w:rsidRPr="00CD000E">
        <w:rPr>
          <w:sz w:val="20"/>
          <w:u w:val="single"/>
        </w:rPr>
        <w:t>2017 après virements</w:t>
      </w:r>
    </w:p>
    <w:p w14:paraId="4C7CD336" w14:textId="77777777" w:rsidR="00561B47" w:rsidRPr="00CD000E" w:rsidRDefault="00561B47" w:rsidP="00561B47">
      <w:pPr>
        <w:keepNext/>
        <w:jc w:val="both"/>
        <w:rPr>
          <w:sz w:val="20"/>
        </w:rPr>
      </w:pPr>
    </w:p>
    <w:p w14:paraId="6BBFA724" w14:textId="77777777" w:rsidR="00561B47" w:rsidRPr="005035EE" w:rsidRDefault="00561B47" w:rsidP="00D544B8">
      <w:pPr>
        <w:pStyle w:val="ListParagraph"/>
        <w:numPr>
          <w:ilvl w:val="0"/>
          <w:numId w:val="28"/>
        </w:numPr>
        <w:tabs>
          <w:tab w:val="left" w:pos="0"/>
          <w:tab w:val="left" w:pos="709"/>
        </w:tabs>
        <w:autoSpaceDE w:val="0"/>
        <w:autoSpaceDN w:val="0"/>
        <w:ind w:left="0" w:firstLine="0"/>
        <w:jc w:val="both"/>
        <w:rPr>
          <w:rFonts w:ascii="Arial" w:hAnsi="Arial" w:cs="Arial"/>
          <w:color w:val="000000"/>
          <w:sz w:val="20"/>
          <w:lang w:eastAsia="zh-CN"/>
        </w:rPr>
      </w:pPr>
      <w:r w:rsidRPr="005035EE">
        <w:rPr>
          <w:rFonts w:ascii="Arial" w:hAnsi="Arial" w:cs="Arial"/>
          <w:color w:val="000000"/>
          <w:sz w:val="20"/>
          <w:lang w:eastAsia="zh-CN"/>
        </w:rPr>
        <w:t>La légère diminution des dépenses de personnel par rapport au budget 2016</w:t>
      </w:r>
      <w:r w:rsidRPr="005035EE">
        <w:rPr>
          <w:rFonts w:ascii="Arial" w:hAnsi="Arial" w:cs="Arial"/>
          <w:color w:val="000000"/>
          <w:sz w:val="20"/>
          <w:lang w:eastAsia="zh-CN"/>
        </w:rPr>
        <w:noBreakHyphen/>
        <w:t>2017 approuvé résultait du transfert de ressources (autres que les ressources de personnel) au service chargé des communications Web pour la migration de la base de données sur les éléments de flexibilité dans le système de la propriété intellectuelle.  La légère baisse des dépenses autres que celles de personnel était due au transfert de ressources pour des stagiaires auprès du DGRH (programme 23), qui centralise la gestion des stagiaires.  La légère augmentation des dépenses au titre du résultat escompté III.3 (Intégration des recommandations du Plan d’action pour le développement) témoignait d’une restructuration interne des ressources allouées aux événements et activités en rapport avec le CDIP.</w:t>
      </w:r>
    </w:p>
    <w:p w14:paraId="327BF8D4" w14:textId="77777777" w:rsidR="00561B47" w:rsidRPr="005035EE" w:rsidRDefault="00561B47" w:rsidP="00561B47">
      <w:pPr>
        <w:jc w:val="both"/>
        <w:rPr>
          <w:sz w:val="20"/>
        </w:rPr>
      </w:pPr>
    </w:p>
    <w:p w14:paraId="5905B44E" w14:textId="77777777" w:rsidR="00561B47" w:rsidRPr="005035EE" w:rsidRDefault="00561B47" w:rsidP="00561B47">
      <w:pPr>
        <w:keepNext/>
        <w:keepLines/>
        <w:jc w:val="both"/>
        <w:rPr>
          <w:sz w:val="20"/>
          <w:u w:val="single"/>
        </w:rPr>
      </w:pPr>
      <w:r w:rsidRPr="005035EE">
        <w:rPr>
          <w:sz w:val="20"/>
        </w:rPr>
        <w:t>B.</w:t>
      </w:r>
      <w:r w:rsidRPr="005035EE">
        <w:rPr>
          <w:sz w:val="20"/>
        </w:rPr>
        <w:tab/>
      </w:r>
      <w:r w:rsidRPr="005035EE">
        <w:rPr>
          <w:sz w:val="20"/>
          <w:u w:val="single"/>
        </w:rPr>
        <w:t>Utilisation du budget 2016</w:t>
      </w:r>
      <w:r w:rsidRPr="005035EE">
        <w:rPr>
          <w:sz w:val="20"/>
          <w:u w:val="single"/>
        </w:rPr>
        <w:noBreakHyphen/>
        <w:t>2017</w:t>
      </w:r>
    </w:p>
    <w:p w14:paraId="4AE305A1" w14:textId="77777777" w:rsidR="00561B47" w:rsidRPr="005035EE" w:rsidRDefault="00561B47" w:rsidP="00561B47">
      <w:pPr>
        <w:keepNext/>
        <w:keepLines/>
        <w:jc w:val="both"/>
        <w:rPr>
          <w:sz w:val="20"/>
        </w:rPr>
      </w:pPr>
    </w:p>
    <w:p w14:paraId="025BBD8B" w14:textId="77777777" w:rsidR="00561B47" w:rsidRPr="005035EE" w:rsidRDefault="00561B47" w:rsidP="00D544B8">
      <w:pPr>
        <w:pStyle w:val="ListParagraph"/>
        <w:keepNext/>
        <w:keepLines/>
        <w:numPr>
          <w:ilvl w:val="0"/>
          <w:numId w:val="28"/>
        </w:numPr>
        <w:tabs>
          <w:tab w:val="left" w:pos="0"/>
        </w:tabs>
        <w:autoSpaceDE w:val="0"/>
        <w:autoSpaceDN w:val="0"/>
        <w:ind w:left="0" w:firstLine="0"/>
        <w:jc w:val="both"/>
        <w:rPr>
          <w:rFonts w:ascii="Arial" w:hAnsi="Arial" w:cs="Arial"/>
          <w:color w:val="000000"/>
          <w:sz w:val="20"/>
          <w:lang w:eastAsia="zh-CN"/>
        </w:rPr>
      </w:pPr>
      <w:r w:rsidRPr="005035EE">
        <w:rPr>
          <w:rFonts w:ascii="Arial" w:hAnsi="Arial" w:cs="Arial"/>
          <w:color w:val="000000"/>
          <w:sz w:val="20"/>
          <w:lang w:eastAsia="zh-CN"/>
        </w:rPr>
        <w:t>Les dépenses de personnel pour le programme étaient légèrement inférieures à l’objectif en raison du remplacement de deux postes vacants.  Les dépenses autres que les dépenses de personnel se situaient dans la fourchette prévue des 40 à 60% pour la première année de l’exercice biennal.</w:t>
      </w:r>
    </w:p>
    <w:p w14:paraId="14833EFD" w14:textId="77777777" w:rsidR="00561B47" w:rsidRPr="00CD000E" w:rsidRDefault="00561B47" w:rsidP="00561B47">
      <w:pPr>
        <w:rPr>
          <w:b/>
          <w:bCs/>
          <w:iCs/>
        </w:rPr>
      </w:pPr>
      <w:bookmarkStart w:id="41" w:name="_Toc422210505"/>
      <w:r w:rsidRPr="00CD000E">
        <w:rPr>
          <w:b/>
          <w:bCs/>
          <w:iCs/>
        </w:rPr>
        <w:br w:type="page"/>
      </w:r>
    </w:p>
    <w:p w14:paraId="0A1419F3" w14:textId="77777777" w:rsidR="00561B47" w:rsidRPr="00266EB9" w:rsidRDefault="00561B47" w:rsidP="006658D5">
      <w:pPr>
        <w:pStyle w:val="Heading3"/>
      </w:pPr>
      <w:bookmarkStart w:id="42" w:name="_Toc482774601"/>
      <w:bookmarkStart w:id="43" w:name="_Toc392610038"/>
      <w:bookmarkEnd w:id="41"/>
      <w:r w:rsidRPr="00266EB9">
        <w:lastRenderedPageBreak/>
        <w:t>Programme 9</w:t>
      </w:r>
      <w:r w:rsidRPr="00266EB9">
        <w:tab/>
        <w:t>Afrique, pays arabes, Asie et Pacifique, pays d’Amérique latine et des Caraïbes, pays les moins avancés</w:t>
      </w:r>
      <w:bookmarkEnd w:id="42"/>
    </w:p>
    <w:p w14:paraId="403445EF" w14:textId="77777777" w:rsidR="00561B47" w:rsidRPr="006658D5" w:rsidRDefault="00561B47" w:rsidP="006658D5">
      <w:pPr>
        <w:rPr>
          <w:sz w:val="20"/>
        </w:rPr>
      </w:pPr>
    </w:p>
    <w:p w14:paraId="306BC6AE" w14:textId="77777777" w:rsidR="00561B47" w:rsidRPr="006658D5" w:rsidRDefault="00561B47" w:rsidP="006658D5">
      <w:pPr>
        <w:rPr>
          <w:b/>
          <w:sz w:val="20"/>
        </w:rPr>
      </w:pPr>
      <w:r w:rsidRPr="006658D5">
        <w:rPr>
          <w:b/>
          <w:sz w:val="20"/>
        </w:rPr>
        <w:t>Chef de programme</w:t>
      </w:r>
      <w:r w:rsidRPr="006658D5">
        <w:rPr>
          <w:b/>
          <w:sz w:val="20"/>
        </w:rPr>
        <w:tab/>
        <w:t>M. M. Matus</w:t>
      </w:r>
    </w:p>
    <w:bookmarkEnd w:id="43"/>
    <w:p w14:paraId="31A3123D" w14:textId="3FABEB2F" w:rsidR="006658D5" w:rsidRPr="00266EB9" w:rsidRDefault="006D78C1" w:rsidP="006658D5">
      <w:pPr>
        <w:jc w:val="center"/>
        <w:rPr>
          <w:sz w:val="20"/>
          <w:szCs w:val="22"/>
        </w:rPr>
      </w:pPr>
      <w:r w:rsidRPr="006D78C1">
        <w:rPr>
          <w:noProof/>
          <w:lang w:val="en-US"/>
        </w:rPr>
        <w:drawing>
          <wp:inline distT="0" distB="0" distL="0" distR="0" wp14:anchorId="68C3FAF9" wp14:editId="093894C8">
            <wp:extent cx="3960000" cy="2734721"/>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71"/>
        <w:gridCol w:w="2350"/>
        <w:gridCol w:w="1573"/>
        <w:gridCol w:w="2243"/>
        <w:gridCol w:w="1150"/>
      </w:tblGrid>
      <w:tr w:rsidR="00561B47" w:rsidRPr="00266EB9" w14:paraId="7CD4C3B9" w14:textId="77777777" w:rsidTr="006658D5">
        <w:trPr>
          <w:cantSplit/>
        </w:trPr>
        <w:tc>
          <w:tcPr>
            <w:tcW w:w="5000" w:type="pct"/>
            <w:gridSpan w:val="5"/>
            <w:shd w:val="clear" w:color="auto" w:fill="C6D9F1" w:themeFill="text2" w:themeFillTint="33"/>
            <w:tcMar>
              <w:left w:w="108" w:type="dxa"/>
              <w:right w:w="108" w:type="dxa"/>
            </w:tcMar>
            <w:vAlign w:val="center"/>
          </w:tcPr>
          <w:p w14:paraId="0C3C3548" w14:textId="77777777" w:rsidR="00561B47" w:rsidRPr="00266EB9" w:rsidRDefault="00561B47" w:rsidP="006658D5">
            <w:pPr>
              <w:tabs>
                <w:tab w:val="left" w:pos="1452"/>
              </w:tabs>
              <w:rPr>
                <w:b/>
                <w:bCs/>
                <w:sz w:val="16"/>
                <w:szCs w:val="16"/>
              </w:rPr>
            </w:pPr>
            <w:r w:rsidRPr="00266EB9">
              <w:rPr>
                <w:b/>
                <w:bCs/>
                <w:sz w:val="16"/>
                <w:szCs w:val="16"/>
              </w:rPr>
              <w:t xml:space="preserve">Résultat escompté : </w:t>
            </w:r>
            <w:r w:rsidRPr="00266EB9">
              <w:rPr>
                <w:bCs/>
                <w:sz w:val="16"/>
                <w:szCs w:val="16"/>
              </w:rPr>
              <w:t>I.2 Cadres législatifs, réglementaires et politiques adaptés et équilibrés en matière de propriété intellectuelle</w:t>
            </w:r>
          </w:p>
        </w:tc>
      </w:tr>
      <w:tr w:rsidR="00561B47" w:rsidRPr="00266EB9" w14:paraId="0B2A5093" w14:textId="77777777" w:rsidTr="006658D5">
        <w:trPr>
          <w:cantSplit/>
        </w:trPr>
        <w:tc>
          <w:tcPr>
            <w:tcW w:w="1066" w:type="pct"/>
            <w:shd w:val="clear" w:color="auto" w:fill="auto"/>
            <w:tcMar>
              <w:left w:w="108" w:type="dxa"/>
              <w:right w:w="108" w:type="dxa"/>
            </w:tcMar>
            <w:vAlign w:val="center"/>
          </w:tcPr>
          <w:p w14:paraId="096595BC" w14:textId="77777777" w:rsidR="00561B47" w:rsidRPr="00266EB9" w:rsidRDefault="00561B47" w:rsidP="006658D5">
            <w:pPr>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192DF4A3" w14:textId="77777777" w:rsidR="00561B47" w:rsidRPr="00266EB9" w:rsidRDefault="00561B47" w:rsidP="006658D5">
            <w:pPr>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130ED28E" w14:textId="77777777" w:rsidR="00561B47" w:rsidRPr="00266EB9" w:rsidRDefault="00561B47" w:rsidP="006658D5">
            <w:pPr>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3AB0540C" w14:textId="77777777" w:rsidR="00561B47" w:rsidRPr="00266EB9" w:rsidRDefault="00561B47" w:rsidP="006658D5">
            <w:pPr>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19952E9F" w14:textId="77777777" w:rsidR="00561B47" w:rsidRPr="00266EB9" w:rsidRDefault="00561B47" w:rsidP="006658D5">
            <w:pPr>
              <w:jc w:val="center"/>
              <w:rPr>
                <w:b/>
                <w:bCs/>
                <w:sz w:val="16"/>
                <w:szCs w:val="16"/>
              </w:rPr>
            </w:pPr>
            <w:r w:rsidRPr="00266EB9">
              <w:rPr>
                <w:b/>
                <w:bCs/>
                <w:sz w:val="16"/>
                <w:szCs w:val="16"/>
              </w:rPr>
              <w:t>Code d’évaluation</w:t>
            </w:r>
          </w:p>
        </w:tc>
      </w:tr>
      <w:tr w:rsidR="00561B47" w:rsidRPr="00266EB9" w14:paraId="289EAE51" w14:textId="77777777" w:rsidTr="006658D5">
        <w:trPr>
          <w:cantSplit/>
        </w:trPr>
        <w:tc>
          <w:tcPr>
            <w:tcW w:w="1066" w:type="pct"/>
            <w:shd w:val="clear" w:color="auto" w:fill="auto"/>
            <w:tcMar>
              <w:left w:w="108" w:type="dxa"/>
              <w:right w:w="108" w:type="dxa"/>
            </w:tcMar>
          </w:tcPr>
          <w:p w14:paraId="7161BD77" w14:textId="77777777" w:rsidR="00561B47" w:rsidRPr="00266EB9" w:rsidRDefault="00561B47" w:rsidP="006658D5">
            <w:pPr>
              <w:rPr>
                <w:color w:val="000000"/>
                <w:sz w:val="16"/>
                <w:szCs w:val="16"/>
              </w:rPr>
            </w:pPr>
            <w:r w:rsidRPr="00266EB9">
              <w:rPr>
                <w:color w:val="000000"/>
                <w:sz w:val="16"/>
                <w:szCs w:val="16"/>
              </w:rPr>
              <w:t>Nombre et/ou pourcentage de pays ayant donné un retour d’information positif sur les conseils fournis par l’OMPI dans les domaines législatif et politique</w:t>
            </w:r>
          </w:p>
        </w:tc>
        <w:tc>
          <w:tcPr>
            <w:tcW w:w="1270" w:type="pct"/>
            <w:shd w:val="clear" w:color="auto" w:fill="auto"/>
            <w:tcMar>
              <w:left w:w="108" w:type="dxa"/>
              <w:right w:w="108" w:type="dxa"/>
            </w:tcMar>
          </w:tcPr>
          <w:p w14:paraId="4DAE628F" w14:textId="77777777" w:rsidR="00561B47" w:rsidRPr="00266EB9" w:rsidRDefault="00561B47" w:rsidP="006658D5">
            <w:pPr>
              <w:rPr>
                <w:i/>
                <w:color w:val="002060"/>
                <w:sz w:val="16"/>
                <w:szCs w:val="16"/>
              </w:rPr>
            </w:pPr>
            <w:r w:rsidRPr="00266EB9">
              <w:rPr>
                <w:i/>
                <w:color w:val="002060"/>
                <w:sz w:val="16"/>
                <w:szCs w:val="16"/>
              </w:rPr>
              <w:t>Niveau de référence actualisé à fin 2015 :</w:t>
            </w:r>
          </w:p>
          <w:p w14:paraId="3607EA2E" w14:textId="77777777" w:rsidR="00561B47" w:rsidRPr="00266EB9" w:rsidRDefault="00561B47" w:rsidP="006658D5">
            <w:pPr>
              <w:rPr>
                <w:color w:val="002060"/>
                <w:sz w:val="16"/>
                <w:szCs w:val="16"/>
                <w:lang w:bidi="th-TH"/>
              </w:rPr>
            </w:pPr>
            <w:r w:rsidRPr="00266EB9">
              <w:rPr>
                <w:color w:val="002060"/>
                <w:sz w:val="16"/>
                <w:szCs w:val="16"/>
                <w:lang w:bidi="th-TH"/>
              </w:rPr>
              <w:t>En 2014</w:t>
            </w:r>
            <w:r>
              <w:rPr>
                <w:color w:val="002060"/>
                <w:sz w:val="16"/>
                <w:szCs w:val="16"/>
                <w:lang w:bidi="th-TH"/>
              </w:rPr>
              <w:noBreakHyphen/>
            </w:r>
            <w:r w:rsidRPr="00266EB9">
              <w:rPr>
                <w:color w:val="002060"/>
                <w:sz w:val="16"/>
                <w:szCs w:val="16"/>
                <w:lang w:bidi="th-TH"/>
              </w:rPr>
              <w:t>2015 :</w:t>
            </w:r>
          </w:p>
          <w:p w14:paraId="68AFC591" w14:textId="77777777" w:rsidR="00561B47" w:rsidRPr="00266EB9" w:rsidRDefault="00561B47" w:rsidP="006658D5">
            <w:pPr>
              <w:rPr>
                <w:color w:val="002060"/>
                <w:sz w:val="16"/>
                <w:szCs w:val="16"/>
                <w:lang w:bidi="th-TH"/>
              </w:rPr>
            </w:pPr>
            <w:r w:rsidRPr="00266EB9">
              <w:rPr>
                <w:color w:val="002060"/>
                <w:sz w:val="16"/>
                <w:szCs w:val="16"/>
                <w:lang w:bidi="th-TH"/>
              </w:rPr>
              <w:t>– 7 participants ont fait état d’un taux de satisfaction de 94% concernant les conseils fournis (Afrique : 3;  pays arabes : 1;  Asie et Pacifique : 2;  Amérique latine et Caraïbes : 1) (programme 1)</w:t>
            </w:r>
          </w:p>
          <w:p w14:paraId="3A3B4A3B" w14:textId="77777777" w:rsidR="00561B47" w:rsidRPr="00266EB9" w:rsidRDefault="00561B47" w:rsidP="006658D5">
            <w:pPr>
              <w:rPr>
                <w:color w:val="002060"/>
                <w:sz w:val="16"/>
                <w:szCs w:val="16"/>
                <w:lang w:bidi="th-TH"/>
              </w:rPr>
            </w:pPr>
            <w:r w:rsidRPr="00266EB9">
              <w:rPr>
                <w:color w:val="002060"/>
                <w:sz w:val="16"/>
                <w:szCs w:val="16"/>
                <w:lang w:bidi="th-TH"/>
              </w:rPr>
              <w:t>– 10 participants de 8 pays ont fait état d’un taux de satisfaction de 100% concernant les conseils fournis (Afrique : 1;  Asie et Pacifique : 7;  Amérique latine et Caraïbes : 2) (programme 2)</w:t>
            </w:r>
          </w:p>
          <w:p w14:paraId="0F9B8B42" w14:textId="77777777" w:rsidR="00561B47" w:rsidRPr="00266EB9" w:rsidRDefault="00561B47" w:rsidP="006658D5">
            <w:pPr>
              <w:rPr>
                <w:color w:val="002060"/>
                <w:sz w:val="16"/>
                <w:szCs w:val="16"/>
                <w:lang w:bidi="th-TH"/>
              </w:rPr>
            </w:pPr>
            <w:r w:rsidRPr="00266EB9">
              <w:rPr>
                <w:color w:val="002060"/>
                <w:sz w:val="16"/>
                <w:szCs w:val="16"/>
                <w:lang w:bidi="th-TH"/>
              </w:rPr>
              <w:t>– 13 participants ont fait état d’un taux de satisfaction de 100% concernant les conseils fournis (Afrique : 3;  pays arabes : 3;  Asie et Pacifique : 4;  Amérique latine et Caraïbes : 3) (programme 3)</w:t>
            </w:r>
          </w:p>
          <w:p w14:paraId="5D3A23F0" w14:textId="77777777" w:rsidR="00561B47" w:rsidRPr="00266EB9" w:rsidRDefault="00561B47" w:rsidP="006658D5">
            <w:pPr>
              <w:rPr>
                <w:sz w:val="16"/>
                <w:szCs w:val="16"/>
              </w:rPr>
            </w:pPr>
          </w:p>
          <w:p w14:paraId="1A819A89"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79124645" w14:textId="77777777" w:rsidR="00561B47" w:rsidRPr="00266EB9" w:rsidRDefault="00561B47" w:rsidP="006658D5">
            <w:pPr>
              <w:rPr>
                <w:color w:val="000000"/>
                <w:sz w:val="16"/>
                <w:szCs w:val="16"/>
              </w:rPr>
            </w:pPr>
            <w:r w:rsidRPr="00266EB9">
              <w:rPr>
                <w:sz w:val="16"/>
                <w:szCs w:val="16"/>
              </w:rPr>
              <w:t>Ventilation régionale à déterminer en coopération avec les programmes 1, 2, 3 et 4</w:t>
            </w:r>
          </w:p>
        </w:tc>
        <w:tc>
          <w:tcPr>
            <w:tcW w:w="851" w:type="pct"/>
            <w:shd w:val="clear" w:color="auto" w:fill="auto"/>
            <w:tcMar>
              <w:top w:w="57" w:type="dxa"/>
              <w:left w:w="108" w:type="dxa"/>
              <w:right w:w="108" w:type="dxa"/>
            </w:tcMar>
          </w:tcPr>
          <w:p w14:paraId="4D1EB05D" w14:textId="77777777" w:rsidR="00561B47" w:rsidRPr="00266EB9" w:rsidRDefault="00561B47" w:rsidP="006658D5">
            <w:pPr>
              <w:rPr>
                <w:i/>
                <w:color w:val="002060"/>
                <w:sz w:val="16"/>
                <w:szCs w:val="16"/>
              </w:rPr>
            </w:pPr>
            <w:r w:rsidRPr="00266EB9">
              <w:rPr>
                <w:i/>
                <w:color w:val="002060"/>
                <w:sz w:val="16"/>
                <w:szCs w:val="16"/>
              </w:rPr>
              <w:t>Objectif actualisé :</w:t>
            </w:r>
          </w:p>
          <w:p w14:paraId="2D60BDD2" w14:textId="77777777" w:rsidR="00561B47" w:rsidRPr="00266EB9" w:rsidRDefault="00561B47" w:rsidP="006658D5">
            <w:pPr>
              <w:rPr>
                <w:color w:val="002060"/>
                <w:sz w:val="16"/>
                <w:szCs w:val="16"/>
              </w:rPr>
            </w:pPr>
            <w:r w:rsidRPr="00266EB9">
              <w:rPr>
                <w:color w:val="002060"/>
                <w:sz w:val="16"/>
                <w:szCs w:val="16"/>
              </w:rPr>
              <w:t>90%</w:t>
            </w:r>
          </w:p>
          <w:p w14:paraId="735EF98D" w14:textId="77777777" w:rsidR="00561B47" w:rsidRPr="00266EB9" w:rsidRDefault="00561B47" w:rsidP="006658D5">
            <w:pPr>
              <w:rPr>
                <w:color w:val="000000"/>
                <w:sz w:val="16"/>
                <w:szCs w:val="16"/>
              </w:rPr>
            </w:pPr>
          </w:p>
          <w:p w14:paraId="1D989561" w14:textId="77777777" w:rsidR="00561B47" w:rsidRPr="00266EB9" w:rsidRDefault="00561B47" w:rsidP="006658D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01A76729"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(90%)</w:t>
            </w:r>
          </w:p>
          <w:p w14:paraId="0E2D36DC"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(90%)</w:t>
            </w:r>
          </w:p>
          <w:p w14:paraId="779E5AC7"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(90%)</w:t>
            </w:r>
          </w:p>
          <w:p w14:paraId="110D8D3A" w14:textId="77777777" w:rsidR="00561B47" w:rsidRPr="00266EB9" w:rsidRDefault="00561B47" w:rsidP="006658D5">
            <w:pPr>
              <w:rPr>
                <w:color w:val="000000"/>
                <w:sz w:val="16"/>
                <w:szCs w:val="16"/>
              </w:rPr>
            </w:pPr>
            <w:r w:rsidRPr="00266EB9">
              <w:rPr>
                <w:rFonts w:hint="eastAsia"/>
                <w:sz w:val="16"/>
                <w:szCs w:val="16"/>
              </w:rPr>
              <w:t>–</w:t>
            </w:r>
            <w:r w:rsidRPr="00266EB9">
              <w:rPr>
                <w:sz w:val="16"/>
                <w:szCs w:val="16"/>
              </w:rPr>
              <w:t> Amérique latine et Caraïbes (90%)</w:t>
            </w:r>
          </w:p>
        </w:tc>
        <w:tc>
          <w:tcPr>
            <w:tcW w:w="1212" w:type="pct"/>
            <w:shd w:val="clear" w:color="auto" w:fill="FFFFFF"/>
            <w:tcMar>
              <w:top w:w="57" w:type="dxa"/>
              <w:left w:w="108" w:type="dxa"/>
              <w:right w:w="108" w:type="dxa"/>
            </w:tcMar>
          </w:tcPr>
          <w:p w14:paraId="4FEFAEC7" w14:textId="77777777" w:rsidR="00561B47" w:rsidRPr="002758AC" w:rsidRDefault="00561B47" w:rsidP="006658D5">
            <w:pPr>
              <w:tabs>
                <w:tab w:val="left" w:pos="209"/>
              </w:tabs>
              <w:rPr>
                <w:sz w:val="16"/>
                <w:szCs w:val="16"/>
              </w:rPr>
            </w:pPr>
            <w:r w:rsidRPr="00266EB9">
              <w:rPr>
                <w:color w:val="000000"/>
                <w:sz w:val="16"/>
                <w:szCs w:val="16"/>
              </w:rPr>
              <w:t>– </w:t>
            </w:r>
            <w:r w:rsidRPr="002758AC">
              <w:rPr>
                <w:sz w:val="16"/>
                <w:szCs w:val="16"/>
              </w:rPr>
              <w:t xml:space="preserve">7 participants ont fait état d’un taux de satisfaction de 100% concernant les conseils fournis </w:t>
            </w:r>
            <w:r w:rsidRPr="002758AC">
              <w:rPr>
                <w:sz w:val="16"/>
                <w:szCs w:val="16"/>
                <w:lang w:bidi="th-TH"/>
              </w:rPr>
              <w:t>(Afrique : 1;  pays arabes : 1;  Asie et Pacifique : 2;  Amérique latine et Caraïbes : 3) (programme 1)</w:t>
            </w:r>
          </w:p>
          <w:p w14:paraId="3910F7C9" w14:textId="77777777" w:rsidR="00561B47" w:rsidRPr="002758AC" w:rsidRDefault="00561B47" w:rsidP="006658D5">
            <w:pPr>
              <w:tabs>
                <w:tab w:val="left" w:pos="209"/>
              </w:tabs>
              <w:rPr>
                <w:sz w:val="16"/>
                <w:szCs w:val="16"/>
              </w:rPr>
            </w:pPr>
          </w:p>
          <w:p w14:paraId="5AFEBEA6" w14:textId="77777777" w:rsidR="00561B47" w:rsidRPr="002758AC" w:rsidRDefault="00561B47" w:rsidP="006658D5">
            <w:pPr>
              <w:tabs>
                <w:tab w:val="left" w:pos="220"/>
              </w:tabs>
              <w:rPr>
                <w:sz w:val="16"/>
                <w:szCs w:val="16"/>
              </w:rPr>
            </w:pPr>
            <w:r w:rsidRPr="002758AC">
              <w:rPr>
                <w:sz w:val="16"/>
                <w:szCs w:val="16"/>
              </w:rPr>
              <w:t xml:space="preserve">– 2 participants ont fait état d’un taux de satisfaction de 100% concernant les conseils fournis </w:t>
            </w:r>
            <w:r w:rsidRPr="002758AC">
              <w:rPr>
                <w:sz w:val="16"/>
                <w:szCs w:val="16"/>
                <w:lang w:bidi="th-TH"/>
              </w:rPr>
              <w:t>(Afrique : 1;  Amérique latine et Caraïbes : 1) (programme 2)</w:t>
            </w:r>
          </w:p>
          <w:p w14:paraId="79E4BDF8" w14:textId="77777777" w:rsidR="00561B47" w:rsidRPr="002758AC" w:rsidRDefault="00561B47" w:rsidP="006658D5">
            <w:pPr>
              <w:rPr>
                <w:sz w:val="16"/>
                <w:szCs w:val="16"/>
              </w:rPr>
            </w:pPr>
          </w:p>
          <w:p w14:paraId="5758C0DD" w14:textId="77777777" w:rsidR="00561B47" w:rsidRPr="00266EB9" w:rsidRDefault="00561B47" w:rsidP="006658D5">
            <w:pPr>
              <w:tabs>
                <w:tab w:val="left" w:pos="253"/>
              </w:tabs>
              <w:rPr>
                <w:color w:val="000000"/>
                <w:sz w:val="16"/>
                <w:szCs w:val="16"/>
              </w:rPr>
            </w:pPr>
            <w:r w:rsidRPr="002758AC">
              <w:rPr>
                <w:sz w:val="16"/>
                <w:szCs w:val="16"/>
              </w:rPr>
              <w:t xml:space="preserve">– 13 participants ont fait état d’un taux de satisfaction de 100% concernant les conseils fournis </w:t>
            </w:r>
            <w:r w:rsidRPr="002758AC">
              <w:rPr>
                <w:sz w:val="16"/>
                <w:szCs w:val="16"/>
                <w:lang w:bidi="th-TH"/>
              </w:rPr>
              <w:t>(Afrique : 2;  Asie et Pacifique : 7;  Amérique latine et Caraïbes : 4) (programme 3)</w:t>
            </w:r>
          </w:p>
        </w:tc>
        <w:tc>
          <w:tcPr>
            <w:tcW w:w="601" w:type="pct"/>
            <w:shd w:val="clear" w:color="auto" w:fill="auto"/>
            <w:tcMar>
              <w:top w:w="57" w:type="dxa"/>
              <w:left w:w="108" w:type="dxa"/>
              <w:right w:w="108" w:type="dxa"/>
            </w:tcMar>
          </w:tcPr>
          <w:p w14:paraId="02EBBC2D" w14:textId="77777777" w:rsidR="00561B47" w:rsidRPr="00266EB9" w:rsidRDefault="00561B47" w:rsidP="006658D5">
            <w:pPr>
              <w:jc w:val="center"/>
              <w:rPr>
                <w:b/>
                <w:color w:val="000000"/>
                <w:sz w:val="16"/>
                <w:szCs w:val="16"/>
              </w:rPr>
            </w:pPr>
            <w:r w:rsidRPr="00266EB9">
              <w:rPr>
                <w:b/>
                <w:color w:val="00B050"/>
                <w:sz w:val="16"/>
                <w:szCs w:val="16"/>
              </w:rPr>
              <w:t>En bonne voie</w:t>
            </w:r>
          </w:p>
        </w:tc>
      </w:tr>
      <w:tr w:rsidR="00561B47" w:rsidRPr="00266EB9" w14:paraId="0119D62F" w14:textId="77777777" w:rsidTr="006658D5">
        <w:trPr>
          <w:cantSplit/>
        </w:trPr>
        <w:tc>
          <w:tcPr>
            <w:tcW w:w="5000" w:type="pct"/>
            <w:gridSpan w:val="5"/>
            <w:shd w:val="clear" w:color="auto" w:fill="C6D9F1" w:themeFill="text2" w:themeFillTint="33"/>
            <w:tcMar>
              <w:left w:w="108" w:type="dxa"/>
              <w:right w:w="108" w:type="dxa"/>
            </w:tcMar>
            <w:vAlign w:val="center"/>
          </w:tcPr>
          <w:p w14:paraId="6A921418" w14:textId="77777777" w:rsidR="00561B47" w:rsidRPr="00266EB9" w:rsidRDefault="00561B47" w:rsidP="006658D5">
            <w:pPr>
              <w:keepNext/>
              <w:keepLines/>
              <w:tabs>
                <w:tab w:val="left" w:pos="1452"/>
              </w:tabs>
              <w:rPr>
                <w:b/>
                <w:bCs/>
                <w:sz w:val="16"/>
                <w:szCs w:val="16"/>
              </w:rPr>
            </w:pPr>
            <w:r w:rsidRPr="00266EB9">
              <w:rPr>
                <w:b/>
                <w:bCs/>
                <w:sz w:val="16"/>
                <w:szCs w:val="16"/>
              </w:rPr>
              <w:lastRenderedPageBreak/>
              <w:t xml:space="preserve">Résultat escompté : </w:t>
            </w:r>
            <w:r w:rsidRPr="00266EB9">
              <w:rPr>
                <w:color w:val="000000"/>
                <w:sz w:val="16"/>
                <w:szCs w:val="16"/>
              </w:rPr>
              <w:t>II.1 Utilisation élargie et plus efficace du système du PCT pour le dépôt des demandes internationales de brevet</w:t>
            </w:r>
          </w:p>
        </w:tc>
      </w:tr>
      <w:tr w:rsidR="00561B47" w:rsidRPr="00266EB9" w14:paraId="430C264E" w14:textId="77777777" w:rsidTr="006658D5">
        <w:trPr>
          <w:cantSplit/>
        </w:trPr>
        <w:tc>
          <w:tcPr>
            <w:tcW w:w="1066" w:type="pct"/>
            <w:shd w:val="clear" w:color="auto" w:fill="auto"/>
            <w:tcMar>
              <w:left w:w="108" w:type="dxa"/>
              <w:right w:w="108" w:type="dxa"/>
            </w:tcMar>
            <w:vAlign w:val="center"/>
          </w:tcPr>
          <w:p w14:paraId="573A670B" w14:textId="77777777" w:rsidR="00561B47" w:rsidRPr="00266EB9" w:rsidRDefault="00561B47" w:rsidP="006658D5">
            <w:pPr>
              <w:keepNext/>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76900402" w14:textId="77777777" w:rsidR="00561B47" w:rsidRPr="00266EB9" w:rsidRDefault="00561B47" w:rsidP="006658D5">
            <w:pPr>
              <w:keepNext/>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0DF6C56E" w14:textId="77777777" w:rsidR="00561B47" w:rsidRPr="00266EB9" w:rsidRDefault="00561B47" w:rsidP="006658D5">
            <w:pPr>
              <w:keepNext/>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4F00B473" w14:textId="77777777" w:rsidR="00561B47" w:rsidRPr="00266EB9" w:rsidRDefault="00561B47" w:rsidP="006658D5">
            <w:pPr>
              <w:keepNext/>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69176F0D" w14:textId="77777777" w:rsidR="00561B47" w:rsidRPr="00266EB9" w:rsidRDefault="00561B47" w:rsidP="006658D5">
            <w:pPr>
              <w:keepNext/>
              <w:jc w:val="center"/>
              <w:rPr>
                <w:b/>
                <w:bCs/>
                <w:sz w:val="16"/>
                <w:szCs w:val="16"/>
              </w:rPr>
            </w:pPr>
            <w:r w:rsidRPr="00266EB9">
              <w:rPr>
                <w:b/>
                <w:bCs/>
                <w:sz w:val="16"/>
                <w:szCs w:val="16"/>
              </w:rPr>
              <w:t>Code d’évaluation</w:t>
            </w:r>
          </w:p>
        </w:tc>
      </w:tr>
      <w:tr w:rsidR="00561B47" w:rsidRPr="00266EB9" w14:paraId="32A2B3E2" w14:textId="77777777" w:rsidTr="006658D5">
        <w:trPr>
          <w:cantSplit/>
        </w:trPr>
        <w:tc>
          <w:tcPr>
            <w:tcW w:w="1066" w:type="pct"/>
            <w:shd w:val="clear" w:color="auto" w:fill="auto"/>
            <w:tcMar>
              <w:left w:w="108" w:type="dxa"/>
              <w:right w:w="108" w:type="dxa"/>
            </w:tcMar>
          </w:tcPr>
          <w:p w14:paraId="44265D58" w14:textId="77777777" w:rsidR="00561B47" w:rsidRPr="00266EB9" w:rsidRDefault="00561B47" w:rsidP="006658D5">
            <w:pPr>
              <w:keepNext/>
              <w:keepLines/>
              <w:rPr>
                <w:color w:val="000000"/>
                <w:sz w:val="16"/>
                <w:szCs w:val="16"/>
              </w:rPr>
            </w:pPr>
            <w:r w:rsidRPr="00266EB9">
              <w:rPr>
                <w:sz w:val="16"/>
                <w:szCs w:val="16"/>
              </w:rPr>
              <w:t>Nombre de demandes selon le PCT originaires de pays en développement et de PMA</w:t>
            </w:r>
          </w:p>
        </w:tc>
        <w:tc>
          <w:tcPr>
            <w:tcW w:w="1270" w:type="pct"/>
            <w:shd w:val="clear" w:color="auto" w:fill="auto"/>
            <w:tcMar>
              <w:left w:w="108" w:type="dxa"/>
              <w:right w:w="108" w:type="dxa"/>
            </w:tcMar>
          </w:tcPr>
          <w:p w14:paraId="0ED7DF19" w14:textId="77777777" w:rsidR="00561B47" w:rsidRPr="00266EB9" w:rsidRDefault="00561B47" w:rsidP="006658D5">
            <w:pPr>
              <w:keepNext/>
              <w:keepLines/>
              <w:rPr>
                <w:i/>
                <w:color w:val="002060"/>
                <w:sz w:val="16"/>
                <w:szCs w:val="16"/>
              </w:rPr>
            </w:pPr>
            <w:r w:rsidRPr="00266EB9">
              <w:rPr>
                <w:i/>
                <w:color w:val="002060"/>
                <w:sz w:val="16"/>
                <w:szCs w:val="16"/>
              </w:rPr>
              <w:t>Niveau de référence actualisé à fin 2015 :</w:t>
            </w:r>
          </w:p>
          <w:p w14:paraId="0A968BAA" w14:textId="77777777" w:rsidR="00561B47" w:rsidRPr="002655A7" w:rsidRDefault="00561B47" w:rsidP="006658D5">
            <w:pPr>
              <w:keepNext/>
              <w:keepLines/>
              <w:rPr>
                <w:color w:val="002060"/>
                <w:sz w:val="16"/>
                <w:szCs w:val="16"/>
              </w:rPr>
            </w:pPr>
            <w:r w:rsidRPr="00266EB9">
              <w:rPr>
                <w:color w:val="002060"/>
                <w:sz w:val="16"/>
                <w:szCs w:val="16"/>
              </w:rPr>
              <w:t>49 </w:t>
            </w:r>
            <w:r w:rsidRPr="002655A7">
              <w:rPr>
                <w:color w:val="002060"/>
                <w:sz w:val="16"/>
                <w:szCs w:val="16"/>
              </w:rPr>
              <w:t>524 (2015)</w:t>
            </w:r>
          </w:p>
          <w:p w14:paraId="4C78BA78" w14:textId="77777777" w:rsidR="00561B47" w:rsidRPr="002655A7" w:rsidRDefault="00561B47" w:rsidP="006658D5">
            <w:pPr>
              <w:keepNext/>
              <w:keepLines/>
              <w:rPr>
                <w:color w:val="002060"/>
                <w:sz w:val="16"/>
                <w:szCs w:val="16"/>
              </w:rPr>
            </w:pPr>
            <w:r w:rsidRPr="002655A7">
              <w:rPr>
                <w:rFonts w:hint="eastAsia"/>
                <w:color w:val="002060"/>
                <w:sz w:val="16"/>
                <w:szCs w:val="16"/>
              </w:rPr>
              <w:t>–</w:t>
            </w:r>
            <w:r w:rsidRPr="002655A7">
              <w:rPr>
                <w:color w:val="002060"/>
                <w:sz w:val="16"/>
                <w:szCs w:val="16"/>
              </w:rPr>
              <w:t> Afrique (374)</w:t>
            </w:r>
          </w:p>
          <w:p w14:paraId="4E9672E5" w14:textId="77777777" w:rsidR="00561B47" w:rsidRPr="002655A7" w:rsidRDefault="00561B47" w:rsidP="006658D5">
            <w:pPr>
              <w:keepNext/>
              <w:keepLines/>
              <w:rPr>
                <w:color w:val="002060"/>
                <w:sz w:val="16"/>
                <w:szCs w:val="16"/>
              </w:rPr>
            </w:pPr>
            <w:r w:rsidRPr="002655A7">
              <w:rPr>
                <w:rFonts w:hint="eastAsia"/>
                <w:color w:val="002060"/>
                <w:sz w:val="16"/>
                <w:szCs w:val="16"/>
              </w:rPr>
              <w:t>–</w:t>
            </w:r>
            <w:r w:rsidRPr="002655A7">
              <w:rPr>
                <w:color w:val="002060"/>
                <w:sz w:val="16"/>
                <w:szCs w:val="16"/>
              </w:rPr>
              <w:t> Pays arabes (507)</w:t>
            </w:r>
          </w:p>
          <w:p w14:paraId="7CC2AB35" w14:textId="77777777" w:rsidR="00561B47" w:rsidRPr="002655A7" w:rsidRDefault="00561B47" w:rsidP="006658D5">
            <w:pPr>
              <w:keepNext/>
              <w:keepLines/>
              <w:rPr>
                <w:color w:val="002060"/>
                <w:sz w:val="16"/>
                <w:szCs w:val="16"/>
              </w:rPr>
            </w:pPr>
            <w:r w:rsidRPr="002655A7">
              <w:rPr>
                <w:rFonts w:hint="eastAsia"/>
                <w:color w:val="002060"/>
                <w:sz w:val="16"/>
                <w:szCs w:val="16"/>
              </w:rPr>
              <w:t>–</w:t>
            </w:r>
            <w:r w:rsidRPr="002655A7">
              <w:rPr>
                <w:color w:val="002060"/>
                <w:sz w:val="16"/>
                <w:szCs w:val="16"/>
              </w:rPr>
              <w:t> Asie et Pacifique (47 284)</w:t>
            </w:r>
          </w:p>
          <w:p w14:paraId="532EFF4C" w14:textId="77777777" w:rsidR="00561B47" w:rsidRPr="002655A7" w:rsidRDefault="00561B47" w:rsidP="006658D5">
            <w:pPr>
              <w:keepNext/>
              <w:keepLines/>
              <w:rPr>
                <w:color w:val="002060"/>
                <w:sz w:val="16"/>
                <w:szCs w:val="16"/>
              </w:rPr>
            </w:pPr>
            <w:r w:rsidRPr="002655A7">
              <w:rPr>
                <w:rFonts w:hint="eastAsia"/>
                <w:color w:val="002060"/>
                <w:sz w:val="16"/>
                <w:szCs w:val="16"/>
              </w:rPr>
              <w:t>–</w:t>
            </w:r>
            <w:r w:rsidRPr="002655A7">
              <w:rPr>
                <w:color w:val="002060"/>
                <w:sz w:val="16"/>
                <w:szCs w:val="16"/>
              </w:rPr>
              <w:t> Amérique latine et Caraïbes (1359)</w:t>
            </w:r>
          </w:p>
          <w:p w14:paraId="4D04E7CA" w14:textId="77777777" w:rsidR="00561B47" w:rsidRPr="00266EB9" w:rsidRDefault="00561B47" w:rsidP="006658D5">
            <w:pPr>
              <w:keepNext/>
              <w:keepLines/>
              <w:rPr>
                <w:color w:val="000000"/>
                <w:sz w:val="16"/>
                <w:szCs w:val="16"/>
              </w:rPr>
            </w:pPr>
          </w:p>
          <w:p w14:paraId="503D20C6" w14:textId="77777777" w:rsidR="00561B47" w:rsidRPr="00266EB9" w:rsidRDefault="00561B47" w:rsidP="006658D5">
            <w:pPr>
              <w:keepNext/>
              <w:keepLines/>
              <w:rPr>
                <w:color w:val="000000"/>
                <w:sz w:val="16"/>
                <w:szCs w:val="16"/>
              </w:rPr>
            </w:pPr>
          </w:p>
          <w:p w14:paraId="541F3773" w14:textId="77777777" w:rsidR="00561B47" w:rsidRPr="00266EB9" w:rsidRDefault="00561B47" w:rsidP="006658D5">
            <w:pPr>
              <w:keepNext/>
              <w:keepLines/>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4C9F29B8" w14:textId="77777777" w:rsidR="00561B47" w:rsidRPr="00266EB9" w:rsidRDefault="00561B47" w:rsidP="006658D5">
            <w:pPr>
              <w:keepNext/>
              <w:keepLines/>
              <w:rPr>
                <w:sz w:val="16"/>
                <w:szCs w:val="16"/>
              </w:rPr>
            </w:pPr>
            <w:r w:rsidRPr="00266EB9">
              <w:rPr>
                <w:sz w:val="16"/>
                <w:szCs w:val="16"/>
              </w:rPr>
              <w:t>43 972 (2014)</w:t>
            </w:r>
          </w:p>
          <w:p w14:paraId="111043C0"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Afrique (352)</w:t>
            </w:r>
          </w:p>
          <w:p w14:paraId="3803D04D"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Pays arabes (616)</w:t>
            </w:r>
          </w:p>
          <w:p w14:paraId="055AF29E"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Asie et Pacifique (41 569)</w:t>
            </w:r>
          </w:p>
          <w:p w14:paraId="0D1A464F"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Amérique latine et Caraïbes (1412)</w:t>
            </w:r>
          </w:p>
        </w:tc>
        <w:tc>
          <w:tcPr>
            <w:tcW w:w="851" w:type="pct"/>
            <w:shd w:val="clear" w:color="auto" w:fill="auto"/>
            <w:tcMar>
              <w:top w:w="57" w:type="dxa"/>
              <w:left w:w="108" w:type="dxa"/>
              <w:right w:w="108" w:type="dxa"/>
            </w:tcMar>
          </w:tcPr>
          <w:p w14:paraId="4407ECF0"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Afrique (maintien)</w:t>
            </w:r>
          </w:p>
          <w:p w14:paraId="7F197B6A"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Pays arabes (2% par an)</w:t>
            </w:r>
          </w:p>
          <w:p w14:paraId="0FA0959C"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Asie et Pacifique (2,5% par an)</w:t>
            </w:r>
          </w:p>
          <w:p w14:paraId="1E983E24" w14:textId="77777777" w:rsidR="00561B47" w:rsidRPr="00266EB9" w:rsidRDefault="00561B47" w:rsidP="006658D5">
            <w:pPr>
              <w:keepNext/>
              <w:keepLines/>
              <w:rPr>
                <w:sz w:val="16"/>
                <w:szCs w:val="16"/>
              </w:rPr>
            </w:pPr>
            <w:r w:rsidRPr="00266EB9">
              <w:rPr>
                <w:rFonts w:hint="eastAsia"/>
                <w:sz w:val="16"/>
                <w:szCs w:val="16"/>
              </w:rPr>
              <w:t>–</w:t>
            </w:r>
            <w:r w:rsidRPr="00266EB9">
              <w:rPr>
                <w:sz w:val="16"/>
                <w:szCs w:val="16"/>
              </w:rPr>
              <w:t> Amérique latine et Caraïbes (1,5% par an)</w:t>
            </w:r>
          </w:p>
        </w:tc>
        <w:tc>
          <w:tcPr>
            <w:tcW w:w="1212" w:type="pct"/>
            <w:shd w:val="clear" w:color="auto" w:fill="FFFFFF"/>
            <w:tcMar>
              <w:top w:w="57" w:type="dxa"/>
              <w:left w:w="108" w:type="dxa"/>
              <w:right w:w="108" w:type="dxa"/>
            </w:tcMar>
          </w:tcPr>
          <w:p w14:paraId="5194B4F5" w14:textId="77777777" w:rsidR="00561B47" w:rsidRPr="00266EB9" w:rsidRDefault="00561B47" w:rsidP="006658D5">
            <w:pPr>
              <w:keepNext/>
              <w:keepLines/>
              <w:rPr>
                <w:sz w:val="16"/>
                <w:szCs w:val="16"/>
              </w:rPr>
            </w:pPr>
            <w:r w:rsidRPr="00266EB9">
              <w:rPr>
                <w:sz w:val="16"/>
                <w:szCs w:val="16"/>
              </w:rPr>
              <w:t>63 957</w:t>
            </w:r>
            <w:r w:rsidRPr="00266EB9">
              <w:rPr>
                <w:color w:val="000000"/>
                <w:sz w:val="16"/>
                <w:szCs w:val="16"/>
              </w:rPr>
              <w:t xml:space="preserve"> </w:t>
            </w:r>
            <w:r w:rsidRPr="00266EB9">
              <w:rPr>
                <w:sz w:val="16"/>
                <w:szCs w:val="16"/>
              </w:rPr>
              <w:t>demande</w:t>
            </w:r>
            <w:r w:rsidRPr="00266EB9">
              <w:rPr>
                <w:color w:val="000000"/>
                <w:sz w:val="16"/>
                <w:szCs w:val="16"/>
              </w:rPr>
              <w:t>s</w:t>
            </w:r>
          </w:p>
          <w:p w14:paraId="50EEF897" w14:textId="77777777" w:rsidR="00561B47" w:rsidRDefault="00561B47" w:rsidP="006658D5">
            <w:pPr>
              <w:keepNext/>
              <w:keepLines/>
              <w:rPr>
                <w:sz w:val="16"/>
                <w:szCs w:val="16"/>
              </w:rPr>
            </w:pPr>
            <w:r w:rsidRPr="00266EB9">
              <w:rPr>
                <w:rFonts w:hint="eastAsia"/>
                <w:sz w:val="16"/>
                <w:szCs w:val="16"/>
              </w:rPr>
              <w:t>–</w:t>
            </w:r>
            <w:r w:rsidRPr="00266EB9">
              <w:rPr>
                <w:sz w:val="16"/>
                <w:szCs w:val="16"/>
              </w:rPr>
              <w:t> Afrique (327)</w:t>
            </w:r>
          </w:p>
          <w:p w14:paraId="7AC38DAC" w14:textId="77777777" w:rsidR="00561B47" w:rsidRPr="00266EB9" w:rsidRDefault="00561B47" w:rsidP="006658D5">
            <w:pPr>
              <w:keepNext/>
              <w:keepLines/>
              <w:rPr>
                <w:sz w:val="16"/>
                <w:szCs w:val="16"/>
              </w:rPr>
            </w:pPr>
          </w:p>
          <w:p w14:paraId="3B1EF100" w14:textId="77777777" w:rsidR="00561B47" w:rsidRDefault="00561B47" w:rsidP="006658D5">
            <w:pPr>
              <w:keepNext/>
              <w:keepLines/>
              <w:rPr>
                <w:sz w:val="16"/>
                <w:szCs w:val="16"/>
              </w:rPr>
            </w:pPr>
            <w:r w:rsidRPr="00266EB9">
              <w:rPr>
                <w:rFonts w:hint="eastAsia"/>
                <w:sz w:val="16"/>
                <w:szCs w:val="16"/>
              </w:rPr>
              <w:t>–</w:t>
            </w:r>
            <w:r w:rsidRPr="00266EB9">
              <w:rPr>
                <w:sz w:val="16"/>
                <w:szCs w:val="16"/>
              </w:rPr>
              <w:t> Pays arabes (517)</w:t>
            </w:r>
          </w:p>
          <w:p w14:paraId="2D106E09" w14:textId="77777777" w:rsidR="00561B47" w:rsidRPr="00266EB9" w:rsidRDefault="00561B47" w:rsidP="006658D5">
            <w:pPr>
              <w:keepNext/>
              <w:keepLines/>
              <w:rPr>
                <w:sz w:val="16"/>
                <w:szCs w:val="16"/>
              </w:rPr>
            </w:pPr>
          </w:p>
          <w:p w14:paraId="6A5A0B5C" w14:textId="77777777" w:rsidR="00561B47" w:rsidRDefault="00561B47" w:rsidP="006658D5">
            <w:pPr>
              <w:keepNext/>
              <w:keepLines/>
              <w:rPr>
                <w:sz w:val="16"/>
                <w:szCs w:val="16"/>
              </w:rPr>
            </w:pPr>
            <w:r w:rsidRPr="00266EB9">
              <w:rPr>
                <w:rFonts w:hint="eastAsia"/>
                <w:sz w:val="16"/>
                <w:szCs w:val="16"/>
              </w:rPr>
              <w:t>–</w:t>
            </w:r>
            <w:r w:rsidRPr="00266EB9">
              <w:rPr>
                <w:sz w:val="16"/>
                <w:szCs w:val="16"/>
              </w:rPr>
              <w:t> Asie et Pacifique (61</w:t>
            </w:r>
            <w:r>
              <w:rPr>
                <w:sz w:val="16"/>
                <w:szCs w:val="16"/>
              </w:rPr>
              <w:t> </w:t>
            </w:r>
            <w:r w:rsidRPr="00266EB9">
              <w:rPr>
                <w:sz w:val="16"/>
                <w:szCs w:val="16"/>
              </w:rPr>
              <w:t>629)</w:t>
            </w:r>
          </w:p>
          <w:p w14:paraId="1B72BC30" w14:textId="77777777" w:rsidR="00561B47" w:rsidRPr="00266EB9" w:rsidRDefault="00561B47" w:rsidP="006658D5">
            <w:pPr>
              <w:keepNext/>
              <w:keepLines/>
              <w:rPr>
                <w:sz w:val="16"/>
                <w:szCs w:val="16"/>
              </w:rPr>
            </w:pPr>
          </w:p>
          <w:p w14:paraId="6EC988A5" w14:textId="1F3B8857" w:rsidR="00561B47" w:rsidRPr="00266EB9" w:rsidRDefault="00561B47" w:rsidP="006658D5">
            <w:pPr>
              <w:keepNext/>
              <w:keepLines/>
              <w:rPr>
                <w:color w:val="000000"/>
                <w:sz w:val="16"/>
                <w:szCs w:val="16"/>
              </w:rPr>
            </w:pPr>
            <w:r w:rsidRPr="00266EB9">
              <w:rPr>
                <w:rFonts w:hint="eastAsia"/>
                <w:sz w:val="16"/>
                <w:szCs w:val="16"/>
              </w:rPr>
              <w:t>–</w:t>
            </w:r>
            <w:r w:rsidRPr="00266EB9">
              <w:rPr>
                <w:sz w:val="16"/>
                <w:szCs w:val="16"/>
              </w:rPr>
              <w:t> Amérique latine et Caraïbes (1484)</w:t>
            </w:r>
          </w:p>
        </w:tc>
        <w:tc>
          <w:tcPr>
            <w:tcW w:w="601" w:type="pct"/>
            <w:shd w:val="clear" w:color="auto" w:fill="auto"/>
            <w:tcMar>
              <w:top w:w="57" w:type="dxa"/>
              <w:left w:w="108" w:type="dxa"/>
              <w:right w:w="108" w:type="dxa"/>
            </w:tcMar>
          </w:tcPr>
          <w:p w14:paraId="448C2511" w14:textId="77777777" w:rsidR="00561B47" w:rsidRPr="00266EB9" w:rsidRDefault="00561B47" w:rsidP="006658D5">
            <w:pPr>
              <w:keepNext/>
              <w:keepLines/>
              <w:jc w:val="center"/>
              <w:rPr>
                <w:b/>
                <w:color w:val="000000"/>
                <w:sz w:val="16"/>
                <w:szCs w:val="16"/>
              </w:rPr>
            </w:pPr>
          </w:p>
          <w:p w14:paraId="4F76D212" w14:textId="77777777" w:rsidR="00561B47" w:rsidRPr="00266EB9" w:rsidRDefault="00561B47" w:rsidP="006658D5">
            <w:pPr>
              <w:keepNext/>
              <w:keepLines/>
              <w:jc w:val="center"/>
              <w:rPr>
                <w:b/>
                <w:color w:val="FF0000"/>
                <w:sz w:val="16"/>
                <w:szCs w:val="16"/>
              </w:rPr>
            </w:pPr>
            <w:r w:rsidRPr="00266EB9">
              <w:rPr>
                <w:b/>
                <w:color w:val="FF0000"/>
                <w:sz w:val="16"/>
                <w:szCs w:val="16"/>
              </w:rPr>
              <w:t>Pas en bonne voie</w:t>
            </w:r>
          </w:p>
          <w:p w14:paraId="1C65CEAA" w14:textId="77777777" w:rsidR="00561B47" w:rsidRPr="00266EB9" w:rsidRDefault="00561B47" w:rsidP="006658D5">
            <w:pPr>
              <w:keepNext/>
              <w:keepLines/>
              <w:jc w:val="center"/>
              <w:rPr>
                <w:b/>
                <w:color w:val="00B050"/>
                <w:sz w:val="16"/>
                <w:szCs w:val="16"/>
              </w:rPr>
            </w:pPr>
            <w:r w:rsidRPr="00266EB9">
              <w:rPr>
                <w:b/>
                <w:color w:val="00B050"/>
                <w:sz w:val="16"/>
                <w:szCs w:val="16"/>
              </w:rPr>
              <w:t>En bonne voie</w:t>
            </w:r>
          </w:p>
          <w:p w14:paraId="08B6063C" w14:textId="77777777" w:rsidR="00561B47" w:rsidRPr="00266EB9" w:rsidRDefault="00561B47" w:rsidP="006658D5">
            <w:pPr>
              <w:keepNext/>
              <w:keepLines/>
              <w:jc w:val="center"/>
              <w:rPr>
                <w:b/>
                <w:color w:val="00B050"/>
                <w:sz w:val="16"/>
                <w:szCs w:val="16"/>
              </w:rPr>
            </w:pPr>
            <w:r w:rsidRPr="00266EB9">
              <w:rPr>
                <w:b/>
                <w:color w:val="00B050"/>
                <w:sz w:val="16"/>
                <w:szCs w:val="16"/>
              </w:rPr>
              <w:t>En bonne voie</w:t>
            </w:r>
          </w:p>
          <w:p w14:paraId="5DE4EE9C" w14:textId="61B2B0F5" w:rsidR="00561B47" w:rsidRPr="00266EB9" w:rsidRDefault="00561B47" w:rsidP="006658D5">
            <w:pPr>
              <w:keepNext/>
              <w:keepLines/>
              <w:jc w:val="center"/>
              <w:rPr>
                <w:b/>
                <w:color w:val="000000"/>
                <w:sz w:val="16"/>
                <w:szCs w:val="16"/>
              </w:rPr>
            </w:pPr>
            <w:r w:rsidRPr="00266EB9">
              <w:rPr>
                <w:b/>
                <w:color w:val="00B050"/>
                <w:sz w:val="16"/>
                <w:szCs w:val="16"/>
              </w:rPr>
              <w:t>En bonne voie</w:t>
            </w:r>
          </w:p>
        </w:tc>
      </w:tr>
      <w:tr w:rsidR="00561B47" w:rsidRPr="00266EB9" w14:paraId="56FF77CF" w14:textId="77777777" w:rsidTr="006658D5">
        <w:trPr>
          <w:cantSplit/>
        </w:trPr>
        <w:tc>
          <w:tcPr>
            <w:tcW w:w="5000" w:type="pct"/>
            <w:gridSpan w:val="5"/>
            <w:shd w:val="clear" w:color="auto" w:fill="C6D9F1" w:themeFill="text2" w:themeFillTint="33"/>
            <w:tcMar>
              <w:left w:w="108" w:type="dxa"/>
              <w:right w:w="108" w:type="dxa"/>
            </w:tcMar>
            <w:vAlign w:val="center"/>
          </w:tcPr>
          <w:p w14:paraId="26DBBD72" w14:textId="77777777" w:rsidR="00561B47" w:rsidRPr="00266EB9" w:rsidRDefault="00561B47" w:rsidP="006658D5">
            <w:pPr>
              <w:tabs>
                <w:tab w:val="left" w:pos="1452"/>
              </w:tabs>
              <w:rPr>
                <w:b/>
                <w:bCs/>
                <w:sz w:val="16"/>
                <w:szCs w:val="16"/>
              </w:rPr>
            </w:pPr>
            <w:r w:rsidRPr="00266EB9">
              <w:rPr>
                <w:b/>
                <w:bCs/>
                <w:color w:val="000000"/>
                <w:sz w:val="16"/>
                <w:szCs w:val="16"/>
              </w:rPr>
              <w:t xml:space="preserve">Résultat escompté : </w:t>
            </w:r>
            <w:r w:rsidRPr="00266EB9">
              <w:rPr>
                <w:bCs/>
                <w:sz w:val="16"/>
                <w:szCs w:val="16"/>
              </w:rPr>
              <w:t>II.4 Utilisation élargie et plus efficace du système de La Haye, notamment par les pays en développement et les PMA</w:t>
            </w:r>
          </w:p>
        </w:tc>
      </w:tr>
      <w:tr w:rsidR="00561B47" w:rsidRPr="00266EB9" w14:paraId="0E29B3B7" w14:textId="77777777" w:rsidTr="006658D5">
        <w:trPr>
          <w:cantSplit/>
        </w:trPr>
        <w:tc>
          <w:tcPr>
            <w:tcW w:w="1066" w:type="pct"/>
            <w:shd w:val="clear" w:color="auto" w:fill="auto"/>
            <w:tcMar>
              <w:left w:w="108" w:type="dxa"/>
              <w:right w:w="108" w:type="dxa"/>
            </w:tcMar>
            <w:vAlign w:val="center"/>
          </w:tcPr>
          <w:p w14:paraId="21A41F49" w14:textId="77777777" w:rsidR="00561B47" w:rsidRPr="00266EB9" w:rsidRDefault="00561B47" w:rsidP="006658D5">
            <w:pPr>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3050FA41" w14:textId="77777777" w:rsidR="00561B47" w:rsidRPr="00266EB9" w:rsidRDefault="00561B47" w:rsidP="006658D5">
            <w:pPr>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2D9D5513" w14:textId="77777777" w:rsidR="00561B47" w:rsidRPr="00266EB9" w:rsidRDefault="00561B47" w:rsidP="006658D5">
            <w:pPr>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07D57BFE" w14:textId="77777777" w:rsidR="00561B47" w:rsidRPr="00266EB9" w:rsidRDefault="00561B47" w:rsidP="006658D5">
            <w:pPr>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24027AB2" w14:textId="77777777" w:rsidR="00561B47" w:rsidRPr="00266EB9" w:rsidRDefault="00561B47" w:rsidP="006658D5">
            <w:pPr>
              <w:jc w:val="center"/>
              <w:rPr>
                <w:b/>
                <w:bCs/>
                <w:sz w:val="16"/>
                <w:szCs w:val="16"/>
              </w:rPr>
            </w:pPr>
            <w:r w:rsidRPr="00266EB9">
              <w:rPr>
                <w:b/>
                <w:bCs/>
                <w:sz w:val="16"/>
                <w:szCs w:val="16"/>
              </w:rPr>
              <w:t>Code d’évaluation</w:t>
            </w:r>
          </w:p>
        </w:tc>
      </w:tr>
      <w:tr w:rsidR="00561B47" w:rsidRPr="00266EB9" w14:paraId="1E29019E" w14:textId="77777777" w:rsidTr="006658D5">
        <w:trPr>
          <w:cantSplit/>
        </w:trPr>
        <w:tc>
          <w:tcPr>
            <w:tcW w:w="1066" w:type="pct"/>
            <w:shd w:val="clear" w:color="auto" w:fill="auto"/>
            <w:tcMar>
              <w:left w:w="108" w:type="dxa"/>
              <w:right w:w="108" w:type="dxa"/>
            </w:tcMar>
          </w:tcPr>
          <w:p w14:paraId="70E03E08" w14:textId="77777777" w:rsidR="00561B47" w:rsidRPr="00266EB9" w:rsidRDefault="00561B47" w:rsidP="006658D5">
            <w:pPr>
              <w:rPr>
                <w:color w:val="000000"/>
                <w:sz w:val="16"/>
                <w:szCs w:val="16"/>
              </w:rPr>
            </w:pPr>
            <w:r w:rsidRPr="00266EB9">
              <w:rPr>
                <w:sz w:val="16"/>
                <w:szCs w:val="16"/>
              </w:rPr>
              <w:t>Nombre de demandes déposées selon le système de La Haye émanant de pays en développement et de PMA</w:t>
            </w:r>
          </w:p>
        </w:tc>
        <w:tc>
          <w:tcPr>
            <w:tcW w:w="1270" w:type="pct"/>
            <w:shd w:val="clear" w:color="auto" w:fill="auto"/>
            <w:tcMar>
              <w:left w:w="108" w:type="dxa"/>
              <w:right w:w="108" w:type="dxa"/>
            </w:tcMar>
          </w:tcPr>
          <w:p w14:paraId="65B8AED7" w14:textId="77777777" w:rsidR="00561B47" w:rsidRPr="002655A7" w:rsidRDefault="00561B47" w:rsidP="006658D5">
            <w:pPr>
              <w:rPr>
                <w:i/>
                <w:color w:val="002060"/>
                <w:sz w:val="16"/>
                <w:szCs w:val="16"/>
              </w:rPr>
            </w:pPr>
            <w:r w:rsidRPr="00266EB9">
              <w:rPr>
                <w:i/>
                <w:color w:val="002060"/>
                <w:sz w:val="16"/>
                <w:szCs w:val="16"/>
              </w:rPr>
              <w:t>Niveau de référence actualisé à fin</w:t>
            </w:r>
            <w:r w:rsidRPr="002655A7">
              <w:rPr>
                <w:i/>
                <w:color w:val="002060"/>
                <w:sz w:val="16"/>
                <w:szCs w:val="16"/>
              </w:rPr>
              <w:t> 2015 :</w:t>
            </w:r>
          </w:p>
          <w:p w14:paraId="79186A8F" w14:textId="77777777" w:rsidR="00561B47" w:rsidRPr="002655A7" w:rsidRDefault="00561B47" w:rsidP="006658D5">
            <w:pPr>
              <w:rPr>
                <w:color w:val="002060"/>
                <w:sz w:val="16"/>
                <w:szCs w:val="16"/>
              </w:rPr>
            </w:pPr>
            <w:r w:rsidRPr="002655A7">
              <w:rPr>
                <w:color w:val="002060"/>
                <w:sz w:val="16"/>
                <w:szCs w:val="16"/>
              </w:rPr>
              <w:t>604 (2015)</w:t>
            </w:r>
          </w:p>
          <w:p w14:paraId="38BCE4D7"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Afrique (4)</w:t>
            </w:r>
          </w:p>
          <w:p w14:paraId="41A3CD5E"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Pays arabes (8)</w:t>
            </w:r>
          </w:p>
          <w:p w14:paraId="440A7101" w14:textId="77777777" w:rsidR="00561B47" w:rsidRPr="002655A7" w:rsidRDefault="00561B47" w:rsidP="006658D5">
            <w:pPr>
              <w:rPr>
                <w:color w:val="002060"/>
                <w:sz w:val="16"/>
                <w:szCs w:val="16"/>
              </w:rPr>
            </w:pPr>
            <w:r w:rsidRPr="002655A7">
              <w:rPr>
                <w:color w:val="002060"/>
                <w:sz w:val="16"/>
                <w:szCs w:val="16"/>
              </w:rPr>
              <w:t>Asie et Pacifique (590)</w:t>
            </w:r>
          </w:p>
          <w:p w14:paraId="5F9E15BE" w14:textId="77777777" w:rsidR="00561B47" w:rsidRPr="00266EB9" w:rsidRDefault="00561B47" w:rsidP="006658D5">
            <w:pPr>
              <w:rPr>
                <w:color w:val="000000"/>
                <w:sz w:val="16"/>
                <w:szCs w:val="16"/>
              </w:rPr>
            </w:pPr>
          </w:p>
          <w:p w14:paraId="4EB506D2"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11D3763E" w14:textId="77777777" w:rsidR="00561B47" w:rsidRPr="00266EB9" w:rsidRDefault="00561B47" w:rsidP="006658D5">
            <w:pPr>
              <w:rPr>
                <w:sz w:val="16"/>
                <w:szCs w:val="16"/>
              </w:rPr>
            </w:pPr>
            <w:r w:rsidRPr="00266EB9">
              <w:rPr>
                <w:sz w:val="16"/>
                <w:szCs w:val="16"/>
              </w:rPr>
              <w:t>105 (2014)</w:t>
            </w:r>
          </w:p>
          <w:p w14:paraId="786BD4BA"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(5)</w:t>
            </w:r>
          </w:p>
          <w:p w14:paraId="5BCCEA37"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(6)</w:t>
            </w:r>
          </w:p>
          <w:p w14:paraId="5F42298E"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(94)</w:t>
            </w:r>
          </w:p>
        </w:tc>
        <w:tc>
          <w:tcPr>
            <w:tcW w:w="851" w:type="pct"/>
            <w:shd w:val="clear" w:color="auto" w:fill="auto"/>
            <w:tcMar>
              <w:top w:w="57" w:type="dxa"/>
              <w:left w:w="108" w:type="dxa"/>
              <w:right w:w="108" w:type="dxa"/>
            </w:tcMar>
          </w:tcPr>
          <w:p w14:paraId="084103CE"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(maintien)</w:t>
            </w:r>
          </w:p>
          <w:p w14:paraId="413BB9CC"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(maintien)</w:t>
            </w:r>
          </w:p>
          <w:p w14:paraId="2B539749"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(10% par an)</w:t>
            </w:r>
          </w:p>
        </w:tc>
        <w:tc>
          <w:tcPr>
            <w:tcW w:w="1212" w:type="pct"/>
            <w:shd w:val="clear" w:color="auto" w:fill="FFFFFF"/>
            <w:tcMar>
              <w:top w:w="57" w:type="dxa"/>
              <w:left w:w="108" w:type="dxa"/>
              <w:right w:w="108" w:type="dxa"/>
            </w:tcMar>
          </w:tcPr>
          <w:p w14:paraId="40DF8CA2" w14:textId="77777777" w:rsidR="00561B47" w:rsidRPr="00266EB9" w:rsidRDefault="00561B47" w:rsidP="006658D5">
            <w:pPr>
              <w:rPr>
                <w:sz w:val="16"/>
                <w:szCs w:val="16"/>
              </w:rPr>
            </w:pPr>
            <w:r w:rsidRPr="00266EB9">
              <w:rPr>
                <w:sz w:val="16"/>
                <w:szCs w:val="16"/>
              </w:rPr>
              <w:t>1362 demande</w:t>
            </w:r>
            <w:r w:rsidRPr="00266EB9">
              <w:rPr>
                <w:color w:val="000000"/>
                <w:sz w:val="16"/>
                <w:szCs w:val="16"/>
              </w:rPr>
              <w:t>s</w:t>
            </w:r>
          </w:p>
          <w:p w14:paraId="5B22F6C5" w14:textId="77777777" w:rsidR="00561B47" w:rsidRDefault="00561B47" w:rsidP="006658D5">
            <w:pPr>
              <w:rPr>
                <w:sz w:val="16"/>
                <w:szCs w:val="16"/>
              </w:rPr>
            </w:pPr>
            <w:r w:rsidRPr="00266EB9">
              <w:rPr>
                <w:rFonts w:hint="eastAsia"/>
                <w:sz w:val="16"/>
                <w:szCs w:val="16"/>
              </w:rPr>
              <w:t>–</w:t>
            </w:r>
            <w:r w:rsidRPr="00266EB9">
              <w:rPr>
                <w:sz w:val="16"/>
                <w:szCs w:val="16"/>
              </w:rPr>
              <w:t> Afrique (5)</w:t>
            </w:r>
          </w:p>
          <w:p w14:paraId="6761CE30" w14:textId="77777777" w:rsidR="00561B47" w:rsidRPr="00266EB9" w:rsidRDefault="00561B47" w:rsidP="006658D5">
            <w:pPr>
              <w:rPr>
                <w:sz w:val="16"/>
                <w:szCs w:val="16"/>
              </w:rPr>
            </w:pPr>
          </w:p>
          <w:p w14:paraId="2E2FF37C" w14:textId="77777777" w:rsidR="00561B47" w:rsidRDefault="00561B47" w:rsidP="006658D5">
            <w:pPr>
              <w:rPr>
                <w:sz w:val="16"/>
                <w:szCs w:val="16"/>
              </w:rPr>
            </w:pPr>
            <w:r w:rsidRPr="00266EB9">
              <w:rPr>
                <w:rFonts w:hint="eastAsia"/>
                <w:sz w:val="16"/>
                <w:szCs w:val="16"/>
              </w:rPr>
              <w:t>–</w:t>
            </w:r>
            <w:r w:rsidRPr="00266EB9">
              <w:rPr>
                <w:sz w:val="16"/>
                <w:szCs w:val="16"/>
              </w:rPr>
              <w:t> Pays arabes (6)</w:t>
            </w:r>
          </w:p>
          <w:p w14:paraId="009CB30B" w14:textId="77777777" w:rsidR="00561B47" w:rsidRPr="00266EB9" w:rsidRDefault="00561B47" w:rsidP="006658D5">
            <w:pPr>
              <w:rPr>
                <w:sz w:val="16"/>
                <w:szCs w:val="16"/>
              </w:rPr>
            </w:pPr>
          </w:p>
          <w:p w14:paraId="168D5C0E" w14:textId="77777777" w:rsidR="00561B47" w:rsidRPr="00266EB9" w:rsidRDefault="00561B47" w:rsidP="006658D5">
            <w:pPr>
              <w:rPr>
                <w:color w:val="000000"/>
                <w:sz w:val="16"/>
                <w:szCs w:val="16"/>
              </w:rPr>
            </w:pPr>
            <w:r w:rsidRPr="00266EB9">
              <w:rPr>
                <w:rFonts w:hint="eastAsia"/>
                <w:sz w:val="16"/>
                <w:szCs w:val="16"/>
              </w:rPr>
              <w:t>–</w:t>
            </w:r>
            <w:r w:rsidRPr="00266EB9">
              <w:rPr>
                <w:sz w:val="16"/>
                <w:szCs w:val="16"/>
              </w:rPr>
              <w:t> Asie et Pacifique (1351)</w:t>
            </w:r>
          </w:p>
        </w:tc>
        <w:tc>
          <w:tcPr>
            <w:tcW w:w="601" w:type="pct"/>
            <w:shd w:val="clear" w:color="auto" w:fill="auto"/>
            <w:tcMar>
              <w:top w:w="57" w:type="dxa"/>
              <w:left w:w="108" w:type="dxa"/>
              <w:right w:w="108" w:type="dxa"/>
            </w:tcMar>
          </w:tcPr>
          <w:p w14:paraId="48113B43" w14:textId="77777777" w:rsidR="00561B47" w:rsidRPr="00266EB9" w:rsidRDefault="00561B47" w:rsidP="006658D5">
            <w:pPr>
              <w:jc w:val="center"/>
              <w:rPr>
                <w:b/>
                <w:color w:val="000000"/>
                <w:sz w:val="16"/>
                <w:szCs w:val="16"/>
              </w:rPr>
            </w:pPr>
          </w:p>
          <w:p w14:paraId="581B44D4" w14:textId="77777777" w:rsidR="00561B47" w:rsidRPr="00266EB9" w:rsidRDefault="00561B47" w:rsidP="006658D5">
            <w:pPr>
              <w:jc w:val="center"/>
              <w:rPr>
                <w:b/>
                <w:color w:val="00B050"/>
                <w:sz w:val="16"/>
                <w:szCs w:val="16"/>
              </w:rPr>
            </w:pPr>
            <w:r w:rsidRPr="00266EB9">
              <w:rPr>
                <w:b/>
                <w:color w:val="00B050"/>
                <w:sz w:val="16"/>
                <w:szCs w:val="16"/>
              </w:rPr>
              <w:t>En bonne voie</w:t>
            </w:r>
          </w:p>
          <w:p w14:paraId="292C6630" w14:textId="77777777" w:rsidR="00561B47" w:rsidRPr="00266EB9" w:rsidRDefault="00561B47" w:rsidP="006658D5">
            <w:pPr>
              <w:jc w:val="center"/>
              <w:rPr>
                <w:b/>
                <w:color w:val="FF0000"/>
                <w:sz w:val="16"/>
                <w:szCs w:val="16"/>
              </w:rPr>
            </w:pPr>
            <w:r w:rsidRPr="00266EB9">
              <w:rPr>
                <w:b/>
                <w:color w:val="FF0000"/>
                <w:sz w:val="16"/>
                <w:szCs w:val="16"/>
              </w:rPr>
              <w:t>Pas en bonne voie</w:t>
            </w:r>
          </w:p>
          <w:p w14:paraId="27590BDE" w14:textId="77777777" w:rsidR="00561B47" w:rsidRPr="00266EB9" w:rsidRDefault="00561B47" w:rsidP="006658D5">
            <w:pPr>
              <w:jc w:val="center"/>
              <w:rPr>
                <w:b/>
                <w:color w:val="000000"/>
                <w:sz w:val="16"/>
                <w:szCs w:val="16"/>
              </w:rPr>
            </w:pPr>
            <w:r w:rsidRPr="00266EB9">
              <w:rPr>
                <w:b/>
                <w:color w:val="00B050"/>
                <w:sz w:val="16"/>
                <w:szCs w:val="16"/>
              </w:rPr>
              <w:t>En bonne voie</w:t>
            </w:r>
          </w:p>
        </w:tc>
      </w:tr>
      <w:tr w:rsidR="00561B47" w:rsidRPr="00266EB9" w14:paraId="11D31DB2" w14:textId="77777777" w:rsidTr="006658D5">
        <w:trPr>
          <w:cantSplit/>
        </w:trPr>
        <w:tc>
          <w:tcPr>
            <w:tcW w:w="5000" w:type="pct"/>
            <w:gridSpan w:val="5"/>
            <w:shd w:val="clear" w:color="auto" w:fill="C6D9F1" w:themeFill="text2" w:themeFillTint="33"/>
            <w:tcMar>
              <w:left w:w="108" w:type="dxa"/>
              <w:right w:w="108" w:type="dxa"/>
            </w:tcMar>
            <w:vAlign w:val="center"/>
          </w:tcPr>
          <w:p w14:paraId="262FC631" w14:textId="77777777" w:rsidR="00561B47" w:rsidRPr="00266EB9" w:rsidRDefault="00561B47" w:rsidP="006658D5">
            <w:pPr>
              <w:tabs>
                <w:tab w:val="left" w:pos="1452"/>
              </w:tabs>
              <w:rPr>
                <w:b/>
                <w:bCs/>
                <w:sz w:val="16"/>
                <w:szCs w:val="16"/>
              </w:rPr>
            </w:pPr>
            <w:r w:rsidRPr="00266EB9">
              <w:rPr>
                <w:b/>
                <w:bCs/>
                <w:color w:val="000000"/>
                <w:sz w:val="16"/>
                <w:szCs w:val="16"/>
              </w:rPr>
              <w:t xml:space="preserve">Résultat escompté : </w:t>
            </w:r>
            <w:r w:rsidRPr="00266EB9">
              <w:rPr>
                <w:bCs/>
                <w:sz w:val="16"/>
                <w:szCs w:val="16"/>
              </w:rPr>
              <w:t>II.6 Utilisation élargie et plus efficace du système de Madrid, notamment par les pays en développement et les PMA</w:t>
            </w:r>
          </w:p>
        </w:tc>
      </w:tr>
      <w:tr w:rsidR="00561B47" w:rsidRPr="00266EB9" w14:paraId="168B2B73" w14:textId="77777777" w:rsidTr="006658D5">
        <w:trPr>
          <w:cantSplit/>
        </w:trPr>
        <w:tc>
          <w:tcPr>
            <w:tcW w:w="1066" w:type="pct"/>
            <w:shd w:val="clear" w:color="auto" w:fill="auto"/>
            <w:tcMar>
              <w:left w:w="108" w:type="dxa"/>
              <w:right w:w="108" w:type="dxa"/>
            </w:tcMar>
            <w:vAlign w:val="center"/>
          </w:tcPr>
          <w:p w14:paraId="6B26EB9C" w14:textId="77777777" w:rsidR="00561B47" w:rsidRPr="00266EB9" w:rsidRDefault="00561B47" w:rsidP="006658D5">
            <w:pPr>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4F29B77B" w14:textId="77777777" w:rsidR="00561B47" w:rsidRPr="00266EB9" w:rsidRDefault="00561B47" w:rsidP="006658D5">
            <w:pPr>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0E70D49C" w14:textId="77777777" w:rsidR="00561B47" w:rsidRPr="00266EB9" w:rsidRDefault="00561B47" w:rsidP="006658D5">
            <w:pPr>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19991FDE" w14:textId="77777777" w:rsidR="00561B47" w:rsidRPr="00266EB9" w:rsidRDefault="00561B47" w:rsidP="006658D5">
            <w:pPr>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22684E28" w14:textId="77777777" w:rsidR="00561B47" w:rsidRPr="00266EB9" w:rsidRDefault="00561B47" w:rsidP="006658D5">
            <w:pPr>
              <w:jc w:val="center"/>
              <w:rPr>
                <w:b/>
                <w:bCs/>
                <w:sz w:val="16"/>
                <w:szCs w:val="16"/>
              </w:rPr>
            </w:pPr>
            <w:r w:rsidRPr="00266EB9">
              <w:rPr>
                <w:b/>
                <w:bCs/>
                <w:sz w:val="16"/>
                <w:szCs w:val="16"/>
              </w:rPr>
              <w:t>Code d’évaluation</w:t>
            </w:r>
          </w:p>
        </w:tc>
      </w:tr>
      <w:tr w:rsidR="00561B47" w:rsidRPr="00266EB9" w14:paraId="24CB6533" w14:textId="77777777" w:rsidTr="006658D5">
        <w:trPr>
          <w:cantSplit/>
        </w:trPr>
        <w:tc>
          <w:tcPr>
            <w:tcW w:w="1066" w:type="pct"/>
            <w:shd w:val="clear" w:color="auto" w:fill="auto"/>
            <w:tcMar>
              <w:left w:w="108" w:type="dxa"/>
              <w:right w:w="108" w:type="dxa"/>
            </w:tcMar>
          </w:tcPr>
          <w:p w14:paraId="740EA939" w14:textId="77777777" w:rsidR="00561B47" w:rsidRPr="00266EB9" w:rsidRDefault="00561B47" w:rsidP="006658D5">
            <w:pPr>
              <w:rPr>
                <w:color w:val="000000"/>
                <w:sz w:val="16"/>
                <w:szCs w:val="16"/>
              </w:rPr>
            </w:pPr>
            <w:r w:rsidRPr="00266EB9">
              <w:rPr>
                <w:sz w:val="16"/>
                <w:szCs w:val="16"/>
              </w:rPr>
              <w:t>Nombre de demandes déposées selon le système de Madrid émanant de pays en développement et de PMA</w:t>
            </w:r>
          </w:p>
        </w:tc>
        <w:tc>
          <w:tcPr>
            <w:tcW w:w="1270" w:type="pct"/>
            <w:shd w:val="clear" w:color="auto" w:fill="auto"/>
            <w:tcMar>
              <w:left w:w="108" w:type="dxa"/>
              <w:right w:w="108" w:type="dxa"/>
            </w:tcMar>
          </w:tcPr>
          <w:p w14:paraId="717EF6BA" w14:textId="77777777" w:rsidR="00561B47" w:rsidRPr="00266EB9" w:rsidRDefault="00561B47" w:rsidP="006658D5">
            <w:pPr>
              <w:rPr>
                <w:i/>
                <w:color w:val="002060"/>
                <w:sz w:val="16"/>
                <w:szCs w:val="16"/>
              </w:rPr>
            </w:pPr>
            <w:r w:rsidRPr="00266EB9">
              <w:rPr>
                <w:i/>
                <w:color w:val="002060"/>
                <w:sz w:val="16"/>
                <w:szCs w:val="16"/>
              </w:rPr>
              <w:t>Niveau de référence actualisé à fin 2015 :</w:t>
            </w:r>
          </w:p>
          <w:p w14:paraId="2ECC238D" w14:textId="77777777" w:rsidR="00561B47" w:rsidRPr="002655A7" w:rsidRDefault="00561B47" w:rsidP="006658D5">
            <w:pPr>
              <w:rPr>
                <w:color w:val="002060"/>
                <w:sz w:val="16"/>
                <w:szCs w:val="16"/>
              </w:rPr>
            </w:pPr>
            <w:r w:rsidRPr="00266EB9">
              <w:rPr>
                <w:color w:val="002060"/>
                <w:sz w:val="16"/>
                <w:szCs w:val="16"/>
              </w:rPr>
              <w:t>4130 (2</w:t>
            </w:r>
            <w:r w:rsidRPr="002655A7">
              <w:rPr>
                <w:color w:val="002060"/>
                <w:sz w:val="16"/>
                <w:szCs w:val="16"/>
              </w:rPr>
              <w:t>015)</w:t>
            </w:r>
          </w:p>
          <w:p w14:paraId="687C93F0"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Afrique (52)</w:t>
            </w:r>
          </w:p>
          <w:p w14:paraId="0E44557A"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Pays arabes (191)</w:t>
            </w:r>
          </w:p>
          <w:p w14:paraId="6E8FE363"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Asie et Pacifique (3668)</w:t>
            </w:r>
          </w:p>
          <w:p w14:paraId="21134467" w14:textId="77777777" w:rsidR="00561B47" w:rsidRPr="002655A7" w:rsidRDefault="00561B47" w:rsidP="006658D5">
            <w:pPr>
              <w:rPr>
                <w:color w:val="002060"/>
                <w:sz w:val="16"/>
                <w:szCs w:val="16"/>
              </w:rPr>
            </w:pPr>
            <w:r w:rsidRPr="002655A7">
              <w:rPr>
                <w:color w:val="002060"/>
                <w:sz w:val="16"/>
                <w:szCs w:val="16"/>
              </w:rPr>
              <w:t>Amérique latine et Caraïbes (219)</w:t>
            </w:r>
          </w:p>
          <w:p w14:paraId="7B33EB6C" w14:textId="77777777" w:rsidR="00561B47" w:rsidRPr="00266EB9" w:rsidRDefault="00561B47" w:rsidP="006658D5">
            <w:pPr>
              <w:rPr>
                <w:color w:val="000000"/>
                <w:sz w:val="16"/>
                <w:szCs w:val="16"/>
              </w:rPr>
            </w:pPr>
          </w:p>
          <w:p w14:paraId="11DB7D6E"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2C67ADB8" w14:textId="77777777" w:rsidR="00561B47" w:rsidRPr="00266EB9" w:rsidRDefault="00561B47" w:rsidP="006658D5">
            <w:pPr>
              <w:rPr>
                <w:sz w:val="16"/>
                <w:szCs w:val="16"/>
              </w:rPr>
            </w:pPr>
            <w:r w:rsidRPr="00266EB9">
              <w:rPr>
                <w:sz w:val="16"/>
                <w:szCs w:val="16"/>
              </w:rPr>
              <w:t>3629 (2014)</w:t>
            </w:r>
          </w:p>
          <w:p w14:paraId="20802DA2"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(18)</w:t>
            </w:r>
          </w:p>
          <w:p w14:paraId="706365C2"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(122)</w:t>
            </w:r>
          </w:p>
          <w:p w14:paraId="3043AF60"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(3338)</w:t>
            </w:r>
          </w:p>
          <w:p w14:paraId="2FABBEEE"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(151)</w:t>
            </w:r>
          </w:p>
        </w:tc>
        <w:tc>
          <w:tcPr>
            <w:tcW w:w="851" w:type="pct"/>
            <w:shd w:val="clear" w:color="auto" w:fill="auto"/>
            <w:tcMar>
              <w:top w:w="57" w:type="dxa"/>
              <w:left w:w="108" w:type="dxa"/>
              <w:right w:w="108" w:type="dxa"/>
            </w:tcMar>
          </w:tcPr>
          <w:p w14:paraId="6AC88E1E"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(maintien)</w:t>
            </w:r>
          </w:p>
          <w:p w14:paraId="2B01170D"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(maintien)</w:t>
            </w:r>
          </w:p>
          <w:p w14:paraId="63DE14D4"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(5% par an)</w:t>
            </w:r>
          </w:p>
          <w:p w14:paraId="59D1F151"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(10% par an)</w:t>
            </w:r>
          </w:p>
        </w:tc>
        <w:tc>
          <w:tcPr>
            <w:tcW w:w="1212" w:type="pct"/>
            <w:shd w:val="clear" w:color="auto" w:fill="FFFFFF"/>
            <w:tcMar>
              <w:top w:w="57" w:type="dxa"/>
              <w:left w:w="108" w:type="dxa"/>
              <w:right w:w="108" w:type="dxa"/>
            </w:tcMar>
          </w:tcPr>
          <w:p w14:paraId="66238445" w14:textId="77777777" w:rsidR="00561B47" w:rsidRPr="00266EB9" w:rsidRDefault="00561B47" w:rsidP="006658D5">
            <w:pPr>
              <w:rPr>
                <w:sz w:val="16"/>
                <w:szCs w:val="16"/>
              </w:rPr>
            </w:pPr>
            <w:r w:rsidRPr="00266EB9">
              <w:rPr>
                <w:sz w:val="16"/>
                <w:szCs w:val="16"/>
              </w:rPr>
              <w:t>5479</w:t>
            </w:r>
            <w:r w:rsidRPr="00266EB9">
              <w:rPr>
                <w:color w:val="000000"/>
                <w:sz w:val="16"/>
                <w:szCs w:val="16"/>
              </w:rPr>
              <w:t xml:space="preserve"> </w:t>
            </w:r>
            <w:r w:rsidRPr="00266EB9">
              <w:rPr>
                <w:sz w:val="16"/>
                <w:szCs w:val="16"/>
              </w:rPr>
              <w:t>demande</w:t>
            </w:r>
            <w:r w:rsidRPr="00266EB9">
              <w:rPr>
                <w:color w:val="000000"/>
                <w:sz w:val="16"/>
                <w:szCs w:val="16"/>
              </w:rPr>
              <w:t>s</w:t>
            </w:r>
          </w:p>
          <w:p w14:paraId="7B962EB8" w14:textId="77777777" w:rsidR="00561B47" w:rsidRDefault="00561B47" w:rsidP="006658D5">
            <w:pPr>
              <w:rPr>
                <w:sz w:val="16"/>
                <w:szCs w:val="16"/>
              </w:rPr>
            </w:pPr>
            <w:r w:rsidRPr="00266EB9">
              <w:rPr>
                <w:rFonts w:hint="eastAsia"/>
                <w:sz w:val="16"/>
                <w:szCs w:val="16"/>
              </w:rPr>
              <w:t>–</w:t>
            </w:r>
            <w:r w:rsidRPr="00266EB9">
              <w:rPr>
                <w:sz w:val="16"/>
                <w:szCs w:val="16"/>
              </w:rPr>
              <w:t> Afrique (38)</w:t>
            </w:r>
          </w:p>
          <w:p w14:paraId="4B8B3903" w14:textId="77777777" w:rsidR="00561B47" w:rsidRPr="00266EB9" w:rsidRDefault="00561B47" w:rsidP="006658D5">
            <w:pPr>
              <w:rPr>
                <w:sz w:val="16"/>
                <w:szCs w:val="16"/>
              </w:rPr>
            </w:pPr>
          </w:p>
          <w:p w14:paraId="3716FEC8" w14:textId="77777777" w:rsidR="00561B47" w:rsidRDefault="00561B47" w:rsidP="006658D5">
            <w:pPr>
              <w:rPr>
                <w:sz w:val="16"/>
                <w:szCs w:val="16"/>
              </w:rPr>
            </w:pPr>
            <w:r w:rsidRPr="00266EB9">
              <w:rPr>
                <w:rFonts w:hint="eastAsia"/>
                <w:sz w:val="16"/>
                <w:szCs w:val="16"/>
              </w:rPr>
              <w:t>–</w:t>
            </w:r>
            <w:r w:rsidRPr="00266EB9">
              <w:rPr>
                <w:sz w:val="16"/>
                <w:szCs w:val="16"/>
              </w:rPr>
              <w:t> Pays arabes (178)</w:t>
            </w:r>
          </w:p>
          <w:p w14:paraId="08391E91" w14:textId="77777777" w:rsidR="00561B47" w:rsidRPr="00266EB9" w:rsidRDefault="00561B47" w:rsidP="006658D5">
            <w:pPr>
              <w:rPr>
                <w:sz w:val="16"/>
                <w:szCs w:val="16"/>
              </w:rPr>
            </w:pPr>
          </w:p>
          <w:p w14:paraId="12566756" w14:textId="77777777" w:rsidR="00561B47" w:rsidRDefault="00561B47" w:rsidP="006658D5">
            <w:pPr>
              <w:rPr>
                <w:sz w:val="16"/>
                <w:szCs w:val="16"/>
              </w:rPr>
            </w:pPr>
            <w:r w:rsidRPr="00266EB9">
              <w:rPr>
                <w:rFonts w:hint="eastAsia"/>
                <w:sz w:val="16"/>
                <w:szCs w:val="16"/>
              </w:rPr>
              <w:t>–</w:t>
            </w:r>
            <w:r w:rsidRPr="00266EB9">
              <w:rPr>
                <w:sz w:val="16"/>
                <w:szCs w:val="16"/>
              </w:rPr>
              <w:t> Asie et Pacifique (5075)</w:t>
            </w:r>
          </w:p>
          <w:p w14:paraId="17C70CBC" w14:textId="77777777" w:rsidR="00561B47" w:rsidRPr="00266EB9" w:rsidRDefault="00561B47" w:rsidP="006658D5">
            <w:pPr>
              <w:rPr>
                <w:sz w:val="16"/>
                <w:szCs w:val="16"/>
              </w:rPr>
            </w:pPr>
          </w:p>
          <w:p w14:paraId="4A404E81" w14:textId="77777777" w:rsidR="00561B47" w:rsidRPr="00266EB9" w:rsidRDefault="00561B47" w:rsidP="006658D5">
            <w:pPr>
              <w:rPr>
                <w:color w:val="000000"/>
                <w:sz w:val="16"/>
                <w:szCs w:val="16"/>
              </w:rPr>
            </w:pPr>
            <w:r w:rsidRPr="00266EB9">
              <w:rPr>
                <w:rFonts w:hint="eastAsia"/>
                <w:sz w:val="16"/>
                <w:szCs w:val="16"/>
              </w:rPr>
              <w:t>–</w:t>
            </w:r>
            <w:r w:rsidRPr="00266EB9">
              <w:rPr>
                <w:sz w:val="16"/>
                <w:szCs w:val="16"/>
              </w:rPr>
              <w:t> Amérique latine et Caraïbes (188)</w:t>
            </w:r>
          </w:p>
        </w:tc>
        <w:tc>
          <w:tcPr>
            <w:tcW w:w="601" w:type="pct"/>
            <w:shd w:val="clear" w:color="auto" w:fill="auto"/>
            <w:tcMar>
              <w:top w:w="57" w:type="dxa"/>
              <w:left w:w="108" w:type="dxa"/>
              <w:right w:w="108" w:type="dxa"/>
            </w:tcMar>
          </w:tcPr>
          <w:p w14:paraId="20108C46" w14:textId="77777777" w:rsidR="00561B47" w:rsidRPr="00266EB9" w:rsidRDefault="00561B47" w:rsidP="006658D5">
            <w:pPr>
              <w:jc w:val="center"/>
              <w:rPr>
                <w:b/>
                <w:color w:val="FF0000"/>
                <w:sz w:val="16"/>
                <w:szCs w:val="16"/>
              </w:rPr>
            </w:pPr>
          </w:p>
          <w:p w14:paraId="35E21200" w14:textId="77777777" w:rsidR="00561B47" w:rsidRPr="00266EB9" w:rsidRDefault="00561B47" w:rsidP="006658D5">
            <w:pPr>
              <w:jc w:val="center"/>
              <w:rPr>
                <w:b/>
                <w:color w:val="FF0000"/>
                <w:sz w:val="16"/>
                <w:szCs w:val="16"/>
              </w:rPr>
            </w:pPr>
            <w:r w:rsidRPr="00266EB9">
              <w:rPr>
                <w:b/>
                <w:color w:val="FF0000"/>
                <w:sz w:val="16"/>
                <w:szCs w:val="16"/>
              </w:rPr>
              <w:t>Pas en bonne voie</w:t>
            </w:r>
          </w:p>
          <w:p w14:paraId="3CD96929" w14:textId="77777777" w:rsidR="00561B47" w:rsidRPr="00266EB9" w:rsidRDefault="00561B47" w:rsidP="006658D5">
            <w:pPr>
              <w:jc w:val="center"/>
              <w:rPr>
                <w:b/>
                <w:color w:val="FF0000"/>
                <w:sz w:val="16"/>
                <w:szCs w:val="16"/>
              </w:rPr>
            </w:pPr>
            <w:r w:rsidRPr="00266EB9">
              <w:rPr>
                <w:b/>
                <w:color w:val="FF0000"/>
                <w:sz w:val="16"/>
                <w:szCs w:val="16"/>
              </w:rPr>
              <w:t>Pas en bonne voie</w:t>
            </w:r>
          </w:p>
          <w:p w14:paraId="7BA41798" w14:textId="77777777" w:rsidR="00561B47" w:rsidRPr="00266EB9" w:rsidRDefault="00561B47" w:rsidP="006658D5">
            <w:pPr>
              <w:jc w:val="center"/>
              <w:rPr>
                <w:b/>
                <w:color w:val="FF0000"/>
                <w:sz w:val="16"/>
                <w:szCs w:val="16"/>
              </w:rPr>
            </w:pPr>
            <w:r w:rsidRPr="00266EB9">
              <w:rPr>
                <w:b/>
                <w:color w:val="00B050"/>
                <w:sz w:val="16"/>
                <w:szCs w:val="16"/>
              </w:rPr>
              <w:t>En bonne voie</w:t>
            </w:r>
          </w:p>
          <w:p w14:paraId="612A09EB" w14:textId="77777777" w:rsidR="00561B47" w:rsidRPr="00266EB9" w:rsidRDefault="00561B47" w:rsidP="006658D5">
            <w:pPr>
              <w:jc w:val="center"/>
              <w:rPr>
                <w:b/>
                <w:color w:val="FF0000"/>
                <w:sz w:val="16"/>
                <w:szCs w:val="16"/>
              </w:rPr>
            </w:pPr>
            <w:r w:rsidRPr="00266EB9">
              <w:rPr>
                <w:b/>
                <w:color w:val="FF0000"/>
                <w:sz w:val="16"/>
                <w:szCs w:val="16"/>
              </w:rPr>
              <w:t>Pas en bonne voie</w:t>
            </w:r>
          </w:p>
        </w:tc>
      </w:tr>
      <w:tr w:rsidR="00561B47" w:rsidRPr="00266EB9" w14:paraId="5F6DD567" w14:textId="77777777" w:rsidTr="006658D5">
        <w:trPr>
          <w:cantSplit/>
        </w:trPr>
        <w:tc>
          <w:tcPr>
            <w:tcW w:w="5000" w:type="pct"/>
            <w:gridSpan w:val="5"/>
            <w:shd w:val="clear" w:color="auto" w:fill="C6D9F1" w:themeFill="text2" w:themeFillTint="33"/>
            <w:tcMar>
              <w:left w:w="108" w:type="dxa"/>
              <w:right w:w="108" w:type="dxa"/>
            </w:tcMar>
            <w:vAlign w:val="center"/>
          </w:tcPr>
          <w:p w14:paraId="29F60D6D" w14:textId="77777777" w:rsidR="00561B47" w:rsidRPr="00266EB9" w:rsidRDefault="00561B47" w:rsidP="006658D5">
            <w:pPr>
              <w:keepNext/>
              <w:tabs>
                <w:tab w:val="left" w:pos="1452"/>
              </w:tabs>
              <w:rPr>
                <w:b/>
                <w:bCs/>
                <w:sz w:val="16"/>
                <w:szCs w:val="16"/>
              </w:rPr>
            </w:pPr>
            <w:r w:rsidRPr="00266EB9">
              <w:rPr>
                <w:b/>
                <w:bCs/>
                <w:color w:val="000000"/>
                <w:sz w:val="16"/>
                <w:szCs w:val="16"/>
              </w:rPr>
              <w:lastRenderedPageBreak/>
              <w:t xml:space="preserve">Résultat escompté : </w:t>
            </w:r>
            <w:r w:rsidRPr="00266EB9">
              <w:rPr>
                <w:bCs/>
                <w:sz w:val="16"/>
                <w:szCs w:val="16"/>
              </w:rPr>
              <w:t>II.10 Utilisation élargie et plus efficace du système de Lisbonne, notamment par les pays en développement et les PMA</w:t>
            </w:r>
          </w:p>
        </w:tc>
      </w:tr>
      <w:tr w:rsidR="00561B47" w:rsidRPr="00266EB9" w14:paraId="2E0313F4" w14:textId="77777777" w:rsidTr="006658D5">
        <w:trPr>
          <w:cantSplit/>
        </w:trPr>
        <w:tc>
          <w:tcPr>
            <w:tcW w:w="1066" w:type="pct"/>
            <w:shd w:val="clear" w:color="auto" w:fill="auto"/>
            <w:tcMar>
              <w:left w:w="108" w:type="dxa"/>
              <w:right w:w="108" w:type="dxa"/>
            </w:tcMar>
            <w:vAlign w:val="center"/>
          </w:tcPr>
          <w:p w14:paraId="13A0C336" w14:textId="77777777" w:rsidR="00561B47" w:rsidRPr="00266EB9" w:rsidRDefault="00561B47" w:rsidP="006658D5">
            <w:pPr>
              <w:keepNext/>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196DAC96" w14:textId="77777777" w:rsidR="00561B47" w:rsidRPr="00266EB9" w:rsidRDefault="00561B47" w:rsidP="006658D5">
            <w:pPr>
              <w:keepNext/>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1F82B24A" w14:textId="77777777" w:rsidR="00561B47" w:rsidRPr="00266EB9" w:rsidRDefault="00561B47" w:rsidP="006658D5">
            <w:pPr>
              <w:keepNext/>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73FE7268" w14:textId="77777777" w:rsidR="00561B47" w:rsidRPr="00266EB9" w:rsidRDefault="00561B47" w:rsidP="006658D5">
            <w:pPr>
              <w:keepNext/>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03780276" w14:textId="77777777" w:rsidR="00561B47" w:rsidRPr="00266EB9" w:rsidRDefault="00561B47" w:rsidP="006658D5">
            <w:pPr>
              <w:keepNext/>
              <w:jc w:val="center"/>
              <w:rPr>
                <w:b/>
                <w:bCs/>
                <w:sz w:val="16"/>
                <w:szCs w:val="16"/>
              </w:rPr>
            </w:pPr>
            <w:r w:rsidRPr="00266EB9">
              <w:rPr>
                <w:b/>
                <w:bCs/>
                <w:sz w:val="16"/>
                <w:szCs w:val="16"/>
              </w:rPr>
              <w:t>Code d’évaluation</w:t>
            </w:r>
          </w:p>
        </w:tc>
      </w:tr>
      <w:tr w:rsidR="00561B47" w:rsidRPr="00266EB9" w14:paraId="5BBD3B63" w14:textId="77777777" w:rsidTr="006658D5">
        <w:trPr>
          <w:cantSplit/>
        </w:trPr>
        <w:tc>
          <w:tcPr>
            <w:tcW w:w="1066" w:type="pct"/>
            <w:shd w:val="clear" w:color="auto" w:fill="auto"/>
            <w:tcMar>
              <w:left w:w="108" w:type="dxa"/>
              <w:right w:w="108" w:type="dxa"/>
            </w:tcMar>
          </w:tcPr>
          <w:p w14:paraId="47213C20" w14:textId="77777777" w:rsidR="00561B47" w:rsidRPr="00266EB9" w:rsidRDefault="00561B47" w:rsidP="006658D5">
            <w:pPr>
              <w:rPr>
                <w:color w:val="000000"/>
                <w:sz w:val="16"/>
                <w:szCs w:val="16"/>
              </w:rPr>
            </w:pPr>
            <w:r w:rsidRPr="00266EB9">
              <w:rPr>
                <w:sz w:val="16"/>
                <w:szCs w:val="16"/>
              </w:rPr>
              <w:t>Nombre d’enregistrements internationaux en vigueur en vertu du système de Lisbonne concernant des pays en développement et des PMA (par rapport au nombre total)</w:t>
            </w:r>
          </w:p>
        </w:tc>
        <w:tc>
          <w:tcPr>
            <w:tcW w:w="1270" w:type="pct"/>
            <w:shd w:val="clear" w:color="auto" w:fill="auto"/>
            <w:tcMar>
              <w:left w:w="108" w:type="dxa"/>
              <w:right w:w="108" w:type="dxa"/>
            </w:tcMar>
          </w:tcPr>
          <w:p w14:paraId="610C7236" w14:textId="77777777" w:rsidR="00561B47" w:rsidRPr="00266EB9" w:rsidRDefault="00561B47" w:rsidP="006658D5">
            <w:pPr>
              <w:rPr>
                <w:i/>
                <w:color w:val="002060"/>
                <w:sz w:val="16"/>
                <w:szCs w:val="16"/>
              </w:rPr>
            </w:pPr>
            <w:r w:rsidRPr="00266EB9">
              <w:rPr>
                <w:i/>
                <w:color w:val="002060"/>
                <w:sz w:val="16"/>
                <w:szCs w:val="16"/>
              </w:rPr>
              <w:t>Niveau de référence actualisé à fin 2015 :</w:t>
            </w:r>
          </w:p>
          <w:p w14:paraId="3586729C" w14:textId="77777777" w:rsidR="00561B47" w:rsidRPr="002655A7" w:rsidRDefault="00561B47" w:rsidP="006658D5">
            <w:pPr>
              <w:rPr>
                <w:color w:val="002060"/>
                <w:sz w:val="16"/>
                <w:szCs w:val="16"/>
              </w:rPr>
            </w:pPr>
            <w:r w:rsidRPr="00266EB9">
              <w:rPr>
                <w:color w:val="002060"/>
                <w:sz w:val="16"/>
                <w:szCs w:val="16"/>
              </w:rPr>
              <w:t>95 sur</w:t>
            </w:r>
            <w:r w:rsidRPr="002655A7">
              <w:rPr>
                <w:color w:val="002060"/>
                <w:sz w:val="16"/>
                <w:szCs w:val="16"/>
              </w:rPr>
              <w:t xml:space="preserve"> 931 :</w:t>
            </w:r>
          </w:p>
          <w:p w14:paraId="01E7A138" w14:textId="77777777" w:rsidR="00561B47" w:rsidRDefault="00561B47" w:rsidP="006658D5">
            <w:pPr>
              <w:rPr>
                <w:color w:val="002060"/>
                <w:sz w:val="16"/>
                <w:szCs w:val="16"/>
              </w:rPr>
            </w:pPr>
            <w:r w:rsidRPr="002655A7">
              <w:rPr>
                <w:rFonts w:hint="eastAsia"/>
                <w:color w:val="002060"/>
                <w:sz w:val="16"/>
                <w:szCs w:val="16"/>
              </w:rPr>
              <w:t>–</w:t>
            </w:r>
            <w:r w:rsidRPr="002655A7">
              <w:rPr>
                <w:color w:val="002060"/>
                <w:sz w:val="16"/>
                <w:szCs w:val="16"/>
              </w:rPr>
              <w:t> Pays arabes (14), Asie et Pacifique (38), Amérique latine et Caraïbes (43)</w:t>
            </w:r>
          </w:p>
          <w:p w14:paraId="2E208CF4" w14:textId="77777777" w:rsidR="00561B47" w:rsidRPr="002655A7" w:rsidRDefault="00561B47" w:rsidP="006658D5">
            <w:pPr>
              <w:rPr>
                <w:sz w:val="16"/>
                <w:szCs w:val="16"/>
              </w:rPr>
            </w:pPr>
          </w:p>
          <w:p w14:paraId="31CC3B8B"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0315183E" w14:textId="77777777" w:rsidR="00561B47" w:rsidRPr="00266EB9" w:rsidRDefault="00561B47" w:rsidP="006658D5">
            <w:pPr>
              <w:rPr>
                <w:sz w:val="16"/>
                <w:szCs w:val="16"/>
              </w:rPr>
            </w:pPr>
            <w:r w:rsidRPr="00266EB9">
              <w:rPr>
                <w:sz w:val="16"/>
                <w:szCs w:val="16"/>
              </w:rPr>
              <w:t>78 sur 896 :</w:t>
            </w:r>
          </w:p>
          <w:p w14:paraId="5B4FC6B5"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(14)</w:t>
            </w:r>
          </w:p>
          <w:p w14:paraId="1E86F2D6"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(22)</w:t>
            </w:r>
          </w:p>
          <w:p w14:paraId="3A1EC77F"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(42)</w:t>
            </w:r>
          </w:p>
          <w:p w14:paraId="49D81F1D" w14:textId="77777777" w:rsidR="00561B47" w:rsidRPr="00266EB9" w:rsidRDefault="00561B47" w:rsidP="006658D5">
            <w:pPr>
              <w:rPr>
                <w:sz w:val="16"/>
                <w:szCs w:val="16"/>
              </w:rPr>
            </w:pPr>
            <w:r w:rsidRPr="00266EB9">
              <w:rPr>
                <w:color w:val="000000"/>
                <w:sz w:val="16"/>
                <w:szCs w:val="16"/>
              </w:rPr>
              <w:t>(</w:t>
            </w:r>
            <w:r w:rsidRPr="00266EB9">
              <w:rPr>
                <w:sz w:val="16"/>
                <w:szCs w:val="16"/>
              </w:rPr>
              <w:t>mars 2015</w:t>
            </w:r>
            <w:r w:rsidRPr="00266EB9">
              <w:rPr>
                <w:color w:val="000000"/>
                <w:sz w:val="16"/>
                <w:szCs w:val="16"/>
              </w:rPr>
              <w:t>)</w:t>
            </w:r>
          </w:p>
        </w:tc>
        <w:tc>
          <w:tcPr>
            <w:tcW w:w="851" w:type="pct"/>
            <w:shd w:val="clear" w:color="auto" w:fill="auto"/>
            <w:tcMar>
              <w:top w:w="57" w:type="dxa"/>
              <w:left w:w="108" w:type="dxa"/>
              <w:right w:w="108" w:type="dxa"/>
            </w:tcMar>
          </w:tcPr>
          <w:p w14:paraId="1A5DEDCD" w14:textId="77777777" w:rsidR="00A369A1" w:rsidRPr="00266EB9" w:rsidRDefault="00A369A1" w:rsidP="00A369A1">
            <w:pPr>
              <w:rPr>
                <w:i/>
                <w:color w:val="002060"/>
                <w:sz w:val="16"/>
                <w:szCs w:val="16"/>
              </w:rPr>
            </w:pPr>
            <w:r w:rsidRPr="00266EB9">
              <w:rPr>
                <w:i/>
                <w:color w:val="002060"/>
                <w:sz w:val="16"/>
                <w:szCs w:val="16"/>
              </w:rPr>
              <w:t>Objectif actualisé :</w:t>
            </w:r>
          </w:p>
          <w:p w14:paraId="2078828E" w14:textId="17446F09" w:rsidR="00A369A1" w:rsidRPr="00266EB9" w:rsidRDefault="00A369A1" w:rsidP="00A369A1">
            <w:pPr>
              <w:rPr>
                <w:color w:val="002060"/>
                <w:sz w:val="16"/>
                <w:szCs w:val="16"/>
              </w:rPr>
            </w:pPr>
            <w:r>
              <w:rPr>
                <w:color w:val="002060"/>
                <w:sz w:val="16"/>
                <w:szCs w:val="16"/>
              </w:rPr>
              <w:t>10</w:t>
            </w:r>
            <w:r w:rsidRPr="00266EB9">
              <w:rPr>
                <w:color w:val="002060"/>
                <w:sz w:val="16"/>
                <w:szCs w:val="16"/>
              </w:rPr>
              <w:t>0</w:t>
            </w:r>
            <w:r>
              <w:rPr>
                <w:color w:val="002060"/>
                <w:sz w:val="16"/>
                <w:szCs w:val="16"/>
              </w:rPr>
              <w:t xml:space="preserve"> (sur 971)</w:t>
            </w:r>
          </w:p>
          <w:p w14:paraId="4A353416" w14:textId="77777777" w:rsidR="00A369A1" w:rsidRPr="00266EB9" w:rsidRDefault="00A369A1" w:rsidP="00A369A1">
            <w:pPr>
              <w:rPr>
                <w:color w:val="000000"/>
                <w:sz w:val="16"/>
                <w:szCs w:val="16"/>
              </w:rPr>
            </w:pPr>
          </w:p>
          <w:p w14:paraId="761C1A2A" w14:textId="77777777" w:rsidR="00A369A1" w:rsidRPr="00266EB9" w:rsidRDefault="00A369A1" w:rsidP="00A369A1">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032E7C6C" w14:textId="376474E0" w:rsidR="00561B47" w:rsidRPr="00266EB9" w:rsidRDefault="00561B47" w:rsidP="00A369A1">
            <w:pPr>
              <w:rPr>
                <w:sz w:val="16"/>
                <w:szCs w:val="16"/>
              </w:rPr>
            </w:pPr>
            <w:r w:rsidRPr="00266EB9">
              <w:rPr>
                <w:sz w:val="16"/>
                <w:szCs w:val="16"/>
              </w:rPr>
              <w:t>90 (sur 950)</w:t>
            </w:r>
          </w:p>
        </w:tc>
        <w:tc>
          <w:tcPr>
            <w:tcW w:w="1212" w:type="pct"/>
            <w:shd w:val="clear" w:color="auto" w:fill="FFFFFF"/>
            <w:tcMar>
              <w:top w:w="57" w:type="dxa"/>
              <w:left w:w="108" w:type="dxa"/>
              <w:right w:w="108" w:type="dxa"/>
            </w:tcMar>
          </w:tcPr>
          <w:p w14:paraId="2967E964" w14:textId="77777777" w:rsidR="00561B47" w:rsidRPr="00266EB9" w:rsidRDefault="00561B47" w:rsidP="006658D5">
            <w:pPr>
              <w:rPr>
                <w:rFonts w:eastAsiaTheme="minorEastAsia"/>
                <w:sz w:val="16"/>
                <w:szCs w:val="16"/>
                <w:lang w:eastAsia="ja-JP"/>
              </w:rPr>
            </w:pPr>
            <w:r w:rsidRPr="00266EB9">
              <w:rPr>
                <w:rFonts w:eastAsiaTheme="minorEastAsia"/>
                <w:sz w:val="16"/>
                <w:szCs w:val="16"/>
                <w:lang w:eastAsia="ja-JP"/>
              </w:rPr>
              <w:t>95 (sur 1020) :</w:t>
            </w:r>
          </w:p>
          <w:p w14:paraId="127176FA"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(14)</w:t>
            </w:r>
          </w:p>
          <w:p w14:paraId="25EE108A" w14:textId="77777777" w:rsidR="00561B47" w:rsidRPr="00266EB9" w:rsidRDefault="00561B47" w:rsidP="006658D5">
            <w:pPr>
              <w:rPr>
                <w:rFonts w:eastAsiaTheme="minorEastAsia"/>
                <w:sz w:val="16"/>
                <w:szCs w:val="16"/>
                <w:lang w:eastAsia="ja-JP"/>
              </w:rPr>
            </w:pPr>
            <w:r w:rsidRPr="00266EB9">
              <w:rPr>
                <w:rFonts w:eastAsiaTheme="minorEastAsia"/>
                <w:sz w:val="16"/>
                <w:szCs w:val="16"/>
                <w:lang w:eastAsia="ja-JP"/>
              </w:rPr>
              <w:t>–</w:t>
            </w:r>
            <w:r w:rsidRPr="00266EB9">
              <w:rPr>
                <w:rFonts w:eastAsiaTheme="minorEastAsia" w:hint="eastAsia"/>
                <w:sz w:val="16"/>
                <w:szCs w:val="16"/>
                <w:lang w:eastAsia="ja-JP"/>
              </w:rPr>
              <w:t> </w:t>
            </w:r>
            <w:r w:rsidRPr="00266EB9">
              <w:rPr>
                <w:rFonts w:eastAsiaTheme="minorEastAsia"/>
                <w:sz w:val="16"/>
                <w:szCs w:val="16"/>
                <w:lang w:eastAsia="ja-JP"/>
              </w:rPr>
              <w:t>Asie et Pacifique (38)</w:t>
            </w:r>
          </w:p>
          <w:p w14:paraId="38FD4F0E" w14:textId="77777777" w:rsidR="00561B47" w:rsidRPr="00266EB9" w:rsidRDefault="00561B47" w:rsidP="006658D5">
            <w:pPr>
              <w:rPr>
                <w:color w:val="000000"/>
                <w:sz w:val="16"/>
                <w:szCs w:val="16"/>
              </w:rPr>
            </w:pPr>
            <w:r w:rsidRPr="00266EB9">
              <w:rPr>
                <w:rFonts w:hint="eastAsia"/>
                <w:sz w:val="16"/>
                <w:szCs w:val="16"/>
              </w:rPr>
              <w:t>–</w:t>
            </w:r>
            <w:r w:rsidRPr="00266EB9">
              <w:rPr>
                <w:sz w:val="16"/>
                <w:szCs w:val="16"/>
              </w:rPr>
              <w:t> Amérique latine et Caraïbes (43)</w:t>
            </w:r>
          </w:p>
        </w:tc>
        <w:tc>
          <w:tcPr>
            <w:tcW w:w="601" w:type="pct"/>
            <w:shd w:val="clear" w:color="auto" w:fill="auto"/>
            <w:tcMar>
              <w:top w:w="57" w:type="dxa"/>
              <w:left w:w="108" w:type="dxa"/>
              <w:right w:w="108" w:type="dxa"/>
            </w:tcMar>
          </w:tcPr>
          <w:p w14:paraId="68CEAC84" w14:textId="12656202" w:rsidR="00561B47" w:rsidRPr="00A369A1" w:rsidRDefault="00A369A1" w:rsidP="00A369A1">
            <w:pPr>
              <w:jc w:val="center"/>
              <w:rPr>
                <w:b/>
                <w:color w:val="FF0000"/>
                <w:sz w:val="16"/>
                <w:szCs w:val="16"/>
              </w:rPr>
            </w:pPr>
            <w:r w:rsidRPr="00A369A1">
              <w:rPr>
                <w:b/>
                <w:color w:val="FF0000"/>
                <w:sz w:val="16"/>
                <w:szCs w:val="16"/>
              </w:rPr>
              <w:t>Pas e</w:t>
            </w:r>
            <w:r w:rsidR="00561B47" w:rsidRPr="00A369A1">
              <w:rPr>
                <w:b/>
                <w:color w:val="FF0000"/>
                <w:sz w:val="16"/>
                <w:szCs w:val="16"/>
              </w:rPr>
              <w:t>n bonne voie</w:t>
            </w:r>
          </w:p>
        </w:tc>
      </w:tr>
      <w:tr w:rsidR="00561B47" w:rsidRPr="00266EB9" w14:paraId="546A3312" w14:textId="77777777" w:rsidTr="006658D5">
        <w:trPr>
          <w:cantSplit/>
        </w:trPr>
        <w:tc>
          <w:tcPr>
            <w:tcW w:w="5000" w:type="pct"/>
            <w:gridSpan w:val="5"/>
            <w:shd w:val="clear" w:color="auto" w:fill="C6D9F1" w:themeFill="text2" w:themeFillTint="33"/>
            <w:tcMar>
              <w:left w:w="108" w:type="dxa"/>
              <w:right w:w="108" w:type="dxa"/>
            </w:tcMar>
            <w:vAlign w:val="center"/>
          </w:tcPr>
          <w:p w14:paraId="059C3357" w14:textId="77777777" w:rsidR="00561B47" w:rsidRPr="00266EB9" w:rsidRDefault="00561B47" w:rsidP="006658D5">
            <w:pPr>
              <w:keepNext/>
              <w:tabs>
                <w:tab w:val="left" w:pos="1452"/>
              </w:tabs>
              <w:rPr>
                <w:b/>
                <w:bCs/>
                <w:sz w:val="16"/>
                <w:szCs w:val="16"/>
              </w:rPr>
            </w:pPr>
            <w:r w:rsidRPr="00266EB9">
              <w:rPr>
                <w:b/>
                <w:bCs/>
                <w:sz w:val="16"/>
                <w:szCs w:val="16"/>
              </w:rPr>
              <w:t>Résultat escompté</w:t>
            </w:r>
            <w:r w:rsidRPr="00266EB9">
              <w:rPr>
                <w:b/>
                <w:bCs/>
                <w:color w:val="000000"/>
                <w:sz w:val="16"/>
                <w:szCs w:val="16"/>
              </w:rPr>
              <w:t> :</w:t>
            </w:r>
            <w:r w:rsidRPr="00266EB9">
              <w:rPr>
                <w:b/>
                <w:bCs/>
                <w:sz w:val="16"/>
                <w:szCs w:val="16"/>
              </w:rPr>
              <w:t xml:space="preserve"> </w:t>
            </w:r>
            <w:r w:rsidRPr="00266EB9">
              <w:rPr>
                <w:bCs/>
                <w:sz w:val="16"/>
                <w:szCs w:val="16"/>
              </w:rPr>
              <w:t>III.1 Stratégies et plans nationaux en matière d’innovation et de propriété intellectuelle conformes aux objectifs de développement nationaux.</w:t>
            </w:r>
          </w:p>
        </w:tc>
      </w:tr>
      <w:tr w:rsidR="00561B47" w:rsidRPr="00266EB9" w14:paraId="274DC521" w14:textId="77777777" w:rsidTr="006658D5">
        <w:trPr>
          <w:cantSplit/>
        </w:trPr>
        <w:tc>
          <w:tcPr>
            <w:tcW w:w="1066" w:type="pct"/>
            <w:shd w:val="clear" w:color="auto" w:fill="auto"/>
            <w:tcMar>
              <w:left w:w="108" w:type="dxa"/>
              <w:right w:w="108" w:type="dxa"/>
            </w:tcMar>
            <w:vAlign w:val="center"/>
          </w:tcPr>
          <w:p w14:paraId="093628A9" w14:textId="77777777" w:rsidR="00561B47" w:rsidRPr="00266EB9" w:rsidRDefault="00561B47" w:rsidP="006658D5">
            <w:pPr>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7DC29D2E" w14:textId="77777777" w:rsidR="00561B47" w:rsidRPr="00266EB9" w:rsidRDefault="00561B47" w:rsidP="006658D5">
            <w:pPr>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2E14D9FC" w14:textId="77777777" w:rsidR="00561B47" w:rsidRPr="00266EB9" w:rsidRDefault="00561B47" w:rsidP="006658D5">
            <w:pPr>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70FB5E27" w14:textId="77777777" w:rsidR="00561B47" w:rsidRPr="00266EB9" w:rsidRDefault="00561B47" w:rsidP="006658D5">
            <w:pPr>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7657F48D" w14:textId="77777777" w:rsidR="00561B47" w:rsidRPr="00266EB9" w:rsidRDefault="00561B47" w:rsidP="006658D5">
            <w:pPr>
              <w:jc w:val="center"/>
              <w:rPr>
                <w:b/>
                <w:bCs/>
                <w:sz w:val="16"/>
                <w:szCs w:val="16"/>
              </w:rPr>
            </w:pPr>
            <w:r w:rsidRPr="00266EB9">
              <w:rPr>
                <w:b/>
                <w:bCs/>
                <w:sz w:val="16"/>
                <w:szCs w:val="16"/>
              </w:rPr>
              <w:t>Code d’évaluation</w:t>
            </w:r>
          </w:p>
        </w:tc>
      </w:tr>
      <w:tr w:rsidR="00561B47" w:rsidRPr="00266EB9" w14:paraId="3AB86120" w14:textId="77777777" w:rsidTr="006658D5">
        <w:trPr>
          <w:cantSplit/>
        </w:trPr>
        <w:tc>
          <w:tcPr>
            <w:tcW w:w="1066" w:type="pct"/>
            <w:shd w:val="clear" w:color="auto" w:fill="auto"/>
            <w:tcMar>
              <w:left w:w="108" w:type="dxa"/>
              <w:right w:w="108" w:type="dxa"/>
            </w:tcMar>
          </w:tcPr>
          <w:p w14:paraId="6D9038DC" w14:textId="77777777" w:rsidR="00561B47" w:rsidRPr="00266EB9" w:rsidRDefault="00561B47" w:rsidP="006658D5">
            <w:pPr>
              <w:rPr>
                <w:color w:val="000000"/>
                <w:sz w:val="16"/>
                <w:szCs w:val="16"/>
              </w:rPr>
            </w:pPr>
            <w:r w:rsidRPr="00266EB9">
              <w:rPr>
                <w:sz w:val="16"/>
                <w:szCs w:val="16"/>
              </w:rPr>
              <w:t>Nombre de pays en train de formuler des stratégies nationales de propriété intellectuelle</w:t>
            </w:r>
          </w:p>
        </w:tc>
        <w:tc>
          <w:tcPr>
            <w:tcW w:w="1270" w:type="pct"/>
            <w:shd w:val="clear" w:color="auto" w:fill="auto"/>
            <w:tcMar>
              <w:left w:w="108" w:type="dxa"/>
              <w:right w:w="108" w:type="dxa"/>
            </w:tcMar>
          </w:tcPr>
          <w:p w14:paraId="50E240C3" w14:textId="77777777" w:rsidR="00561B47" w:rsidRPr="002655A7" w:rsidRDefault="00561B47" w:rsidP="006658D5">
            <w:pPr>
              <w:rPr>
                <w:i/>
                <w:color w:val="002060"/>
                <w:sz w:val="16"/>
                <w:szCs w:val="16"/>
              </w:rPr>
            </w:pPr>
            <w:r w:rsidRPr="00266EB9">
              <w:rPr>
                <w:i/>
                <w:color w:val="002060"/>
                <w:sz w:val="16"/>
                <w:szCs w:val="16"/>
              </w:rPr>
              <w:t>Nive</w:t>
            </w:r>
            <w:r w:rsidRPr="002655A7">
              <w:rPr>
                <w:i/>
                <w:color w:val="002060"/>
                <w:sz w:val="16"/>
                <w:szCs w:val="16"/>
              </w:rPr>
              <w:t>au de référence actualisé à fin 2015 :</w:t>
            </w:r>
          </w:p>
          <w:p w14:paraId="12DB67D0" w14:textId="485990B0" w:rsidR="00561B47" w:rsidRPr="002655A7" w:rsidRDefault="00561B47" w:rsidP="006658D5">
            <w:pPr>
              <w:rPr>
                <w:color w:val="002060"/>
                <w:sz w:val="16"/>
                <w:szCs w:val="16"/>
              </w:rPr>
            </w:pPr>
            <w:r w:rsidRPr="002655A7">
              <w:rPr>
                <w:color w:val="002060"/>
                <w:sz w:val="16"/>
                <w:szCs w:val="16"/>
              </w:rPr>
              <w:t xml:space="preserve">Afrique : </w:t>
            </w:r>
            <w:r w:rsidR="00A369A1">
              <w:rPr>
                <w:color w:val="002060"/>
                <w:sz w:val="16"/>
                <w:szCs w:val="16"/>
              </w:rPr>
              <w:t>8</w:t>
            </w:r>
          </w:p>
          <w:p w14:paraId="062A4A6B" w14:textId="77777777" w:rsidR="00561B47" w:rsidRPr="002655A7" w:rsidRDefault="00561B47" w:rsidP="006658D5">
            <w:pPr>
              <w:rPr>
                <w:color w:val="002060"/>
                <w:sz w:val="16"/>
                <w:szCs w:val="16"/>
                <w:lang w:bidi="th-TH"/>
              </w:rPr>
            </w:pPr>
            <w:r w:rsidRPr="002655A7">
              <w:rPr>
                <w:color w:val="002060"/>
                <w:sz w:val="16"/>
                <w:szCs w:val="16"/>
                <w:lang w:bidi="th-TH"/>
              </w:rPr>
              <w:t>Pays arabes : 2</w:t>
            </w:r>
          </w:p>
          <w:p w14:paraId="1F7592A9" w14:textId="77777777" w:rsidR="00561B47" w:rsidRPr="002655A7" w:rsidRDefault="00561B47" w:rsidP="006658D5">
            <w:pPr>
              <w:rPr>
                <w:color w:val="002060"/>
                <w:sz w:val="16"/>
                <w:szCs w:val="16"/>
                <w:lang w:bidi="th-TH"/>
              </w:rPr>
            </w:pPr>
            <w:r w:rsidRPr="002655A7">
              <w:rPr>
                <w:color w:val="002060"/>
                <w:sz w:val="16"/>
                <w:szCs w:val="16"/>
                <w:lang w:bidi="th-TH"/>
              </w:rPr>
              <w:t>Asie et Pacifique : 10</w:t>
            </w:r>
          </w:p>
          <w:p w14:paraId="7C88222D" w14:textId="77777777" w:rsidR="00561B47" w:rsidRPr="002655A7" w:rsidRDefault="00561B47" w:rsidP="006658D5">
            <w:pPr>
              <w:rPr>
                <w:color w:val="002060"/>
                <w:sz w:val="16"/>
                <w:szCs w:val="16"/>
                <w:lang w:bidi="th-TH"/>
              </w:rPr>
            </w:pPr>
            <w:r w:rsidRPr="002655A7">
              <w:rPr>
                <w:color w:val="002060"/>
                <w:sz w:val="16"/>
                <w:szCs w:val="16"/>
                <w:lang w:bidi="th-TH"/>
              </w:rPr>
              <w:t>Amérique latine et Caraïbes : 7</w:t>
            </w:r>
          </w:p>
          <w:p w14:paraId="0D940ED0" w14:textId="77777777" w:rsidR="00561B47" w:rsidRPr="00266EB9" w:rsidRDefault="00561B47" w:rsidP="006658D5">
            <w:pPr>
              <w:rPr>
                <w:color w:val="000000"/>
                <w:sz w:val="16"/>
                <w:szCs w:val="16"/>
              </w:rPr>
            </w:pPr>
          </w:p>
          <w:p w14:paraId="0408FBC9"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67B006AA"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(24 pays en tout)</w:t>
            </w:r>
          </w:p>
          <w:p w14:paraId="66FC8DE2"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(4 en 2014)</w:t>
            </w:r>
          </w:p>
          <w:p w14:paraId="01DC070C"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(14 pays en tout)</w:t>
            </w:r>
          </w:p>
          <w:p w14:paraId="71071912"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(12 pays en tout)</w:t>
            </w:r>
          </w:p>
        </w:tc>
        <w:tc>
          <w:tcPr>
            <w:tcW w:w="851" w:type="pct"/>
            <w:shd w:val="clear" w:color="auto" w:fill="auto"/>
            <w:tcMar>
              <w:top w:w="57" w:type="dxa"/>
              <w:left w:w="108" w:type="dxa"/>
              <w:right w:w="108" w:type="dxa"/>
            </w:tcMar>
          </w:tcPr>
          <w:p w14:paraId="3859ACD8"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(3 pays supplémentaires)</w:t>
            </w:r>
          </w:p>
          <w:p w14:paraId="6348BB0D"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(4 pays supplémentaires)</w:t>
            </w:r>
          </w:p>
          <w:p w14:paraId="783CC0BB"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(4</w:t>
            </w:r>
            <w:r w:rsidRPr="00266EB9">
              <w:rPr>
                <w:color w:val="000000"/>
                <w:sz w:val="16"/>
                <w:szCs w:val="16"/>
              </w:rPr>
              <w:t xml:space="preserve"> pays supplémentaires</w:t>
            </w:r>
            <w:r w:rsidRPr="00266EB9">
              <w:rPr>
                <w:sz w:val="16"/>
                <w:szCs w:val="16"/>
              </w:rPr>
              <w:t>)</w:t>
            </w:r>
          </w:p>
          <w:p w14:paraId="4DBAAC0F"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(5</w:t>
            </w:r>
            <w:r w:rsidRPr="00266EB9">
              <w:rPr>
                <w:color w:val="000000"/>
                <w:sz w:val="16"/>
                <w:szCs w:val="16"/>
              </w:rPr>
              <w:t xml:space="preserve"> pays supplémentaires</w:t>
            </w:r>
            <w:r w:rsidRPr="00266EB9">
              <w:rPr>
                <w:sz w:val="16"/>
                <w:szCs w:val="16"/>
              </w:rPr>
              <w:t>)</w:t>
            </w:r>
          </w:p>
        </w:tc>
        <w:tc>
          <w:tcPr>
            <w:tcW w:w="1212" w:type="pct"/>
            <w:shd w:val="clear" w:color="auto" w:fill="FFFFFF"/>
            <w:tcMar>
              <w:top w:w="57" w:type="dxa"/>
              <w:left w:w="108" w:type="dxa"/>
              <w:right w:w="108" w:type="dxa"/>
            </w:tcMar>
          </w:tcPr>
          <w:p w14:paraId="0D67AB78" w14:textId="77777777" w:rsidR="00561B47" w:rsidRPr="002758AC" w:rsidRDefault="00561B47" w:rsidP="006658D5">
            <w:pPr>
              <w:rPr>
                <w:sz w:val="16"/>
                <w:szCs w:val="16"/>
              </w:rPr>
            </w:pPr>
            <w:r w:rsidRPr="002758AC">
              <w:rPr>
                <w:sz w:val="16"/>
                <w:szCs w:val="16"/>
              </w:rPr>
              <w:t>Afrique (3 pays supplémentaires) : Guinée, Guinée</w:t>
            </w:r>
            <w:r w:rsidRPr="002758AC">
              <w:rPr>
                <w:sz w:val="16"/>
                <w:szCs w:val="16"/>
              </w:rPr>
              <w:noBreakHyphen/>
              <w:t>Bissau, Namibie</w:t>
            </w:r>
          </w:p>
          <w:p w14:paraId="5D29E346" w14:textId="77777777" w:rsidR="00561B47" w:rsidRPr="002758AC" w:rsidRDefault="00561B47" w:rsidP="006658D5">
            <w:pPr>
              <w:rPr>
                <w:sz w:val="16"/>
                <w:szCs w:val="16"/>
              </w:rPr>
            </w:pPr>
          </w:p>
          <w:p w14:paraId="2B00D59D" w14:textId="77777777" w:rsidR="00561B47" w:rsidRPr="002758AC" w:rsidRDefault="00561B47" w:rsidP="006658D5">
            <w:pPr>
              <w:rPr>
                <w:sz w:val="16"/>
                <w:szCs w:val="16"/>
              </w:rPr>
            </w:pPr>
            <w:r w:rsidRPr="002758AC">
              <w:rPr>
                <w:sz w:val="16"/>
                <w:szCs w:val="16"/>
              </w:rPr>
              <w:t>Pays arabes (2 pays supplémentaires) : Djibouti, Jordanie</w:t>
            </w:r>
          </w:p>
          <w:p w14:paraId="5A0FB210" w14:textId="77777777" w:rsidR="00561B47" w:rsidRPr="002758AC" w:rsidRDefault="00561B47" w:rsidP="006658D5">
            <w:pPr>
              <w:rPr>
                <w:sz w:val="16"/>
                <w:szCs w:val="16"/>
              </w:rPr>
            </w:pPr>
          </w:p>
          <w:p w14:paraId="272EFB56" w14:textId="77777777" w:rsidR="00561B47" w:rsidRPr="002758AC" w:rsidRDefault="00561B47" w:rsidP="006658D5">
            <w:pPr>
              <w:rPr>
                <w:sz w:val="16"/>
                <w:szCs w:val="16"/>
              </w:rPr>
            </w:pPr>
            <w:r w:rsidRPr="002758AC">
              <w:rPr>
                <w:sz w:val="16"/>
                <w:szCs w:val="16"/>
              </w:rPr>
              <w:t>Asie et Pacifique (2 pays supplémentaires) (Indonésie, République démocratique populaire lao)</w:t>
            </w:r>
          </w:p>
          <w:p w14:paraId="506CDED1" w14:textId="77777777" w:rsidR="00561B47" w:rsidRPr="002758AC" w:rsidRDefault="00561B47" w:rsidP="006658D5">
            <w:pPr>
              <w:rPr>
                <w:sz w:val="16"/>
                <w:szCs w:val="16"/>
              </w:rPr>
            </w:pPr>
          </w:p>
          <w:p w14:paraId="33A133B7" w14:textId="468EBB01" w:rsidR="00561B47" w:rsidRPr="002758AC" w:rsidRDefault="00561B47" w:rsidP="00A369A1">
            <w:pPr>
              <w:rPr>
                <w:sz w:val="16"/>
                <w:szCs w:val="16"/>
              </w:rPr>
            </w:pPr>
            <w:r w:rsidRPr="002758AC">
              <w:rPr>
                <w:sz w:val="16"/>
                <w:szCs w:val="16"/>
              </w:rPr>
              <w:t xml:space="preserve">Amérique latine et Caraïbes (4 pays supplémentaires) : Belize, Dominique, Jamaïque, </w:t>
            </w:r>
            <w:r w:rsidR="00A369A1">
              <w:rPr>
                <w:sz w:val="16"/>
                <w:szCs w:val="16"/>
              </w:rPr>
              <w:t>Para</w:t>
            </w:r>
            <w:r w:rsidRPr="002758AC">
              <w:rPr>
                <w:sz w:val="16"/>
                <w:szCs w:val="16"/>
              </w:rPr>
              <w:t>guay</w:t>
            </w:r>
          </w:p>
        </w:tc>
        <w:tc>
          <w:tcPr>
            <w:tcW w:w="601" w:type="pct"/>
            <w:shd w:val="clear" w:color="auto" w:fill="auto"/>
            <w:tcMar>
              <w:top w:w="57" w:type="dxa"/>
              <w:left w:w="108" w:type="dxa"/>
              <w:right w:w="108" w:type="dxa"/>
            </w:tcMar>
          </w:tcPr>
          <w:p w14:paraId="4A49CC1F" w14:textId="77777777" w:rsidR="00561B47" w:rsidRPr="00266EB9" w:rsidRDefault="00561B47" w:rsidP="006658D5">
            <w:pPr>
              <w:jc w:val="center"/>
              <w:rPr>
                <w:b/>
                <w:color w:val="00B050"/>
                <w:sz w:val="16"/>
                <w:szCs w:val="16"/>
              </w:rPr>
            </w:pPr>
            <w:r w:rsidRPr="00266EB9">
              <w:rPr>
                <w:b/>
                <w:color w:val="00B050"/>
                <w:sz w:val="16"/>
                <w:szCs w:val="16"/>
              </w:rPr>
              <w:t>En bonne voie</w:t>
            </w:r>
          </w:p>
          <w:p w14:paraId="0C289689" w14:textId="77777777" w:rsidR="00561B47" w:rsidRPr="00266EB9" w:rsidRDefault="00561B47" w:rsidP="006658D5">
            <w:pPr>
              <w:jc w:val="center"/>
              <w:rPr>
                <w:b/>
                <w:color w:val="000000"/>
                <w:sz w:val="16"/>
                <w:szCs w:val="16"/>
              </w:rPr>
            </w:pPr>
          </w:p>
          <w:p w14:paraId="0C23AE02" w14:textId="77777777" w:rsidR="00561B47" w:rsidRPr="00266EB9" w:rsidRDefault="00561B47" w:rsidP="006658D5">
            <w:pPr>
              <w:tabs>
                <w:tab w:val="left" w:pos="145"/>
              </w:tabs>
              <w:jc w:val="center"/>
              <w:rPr>
                <w:b/>
                <w:color w:val="000000"/>
                <w:sz w:val="16"/>
                <w:szCs w:val="16"/>
              </w:rPr>
            </w:pPr>
          </w:p>
          <w:p w14:paraId="4FD74AF5" w14:textId="77777777" w:rsidR="00561B47" w:rsidRPr="00266EB9" w:rsidRDefault="00561B47" w:rsidP="006658D5">
            <w:pPr>
              <w:tabs>
                <w:tab w:val="left" w:pos="145"/>
              </w:tabs>
              <w:jc w:val="center"/>
              <w:rPr>
                <w:b/>
                <w:color w:val="00B050"/>
                <w:sz w:val="16"/>
                <w:szCs w:val="16"/>
              </w:rPr>
            </w:pPr>
            <w:r w:rsidRPr="00266EB9">
              <w:rPr>
                <w:b/>
                <w:color w:val="00B050"/>
                <w:sz w:val="16"/>
                <w:szCs w:val="16"/>
              </w:rPr>
              <w:t>En bonne voie</w:t>
            </w:r>
          </w:p>
          <w:p w14:paraId="116376BE" w14:textId="77777777" w:rsidR="00561B47" w:rsidRPr="00266EB9" w:rsidRDefault="00561B47" w:rsidP="006658D5">
            <w:pPr>
              <w:tabs>
                <w:tab w:val="left" w:pos="145"/>
              </w:tabs>
              <w:jc w:val="center"/>
              <w:rPr>
                <w:b/>
                <w:color w:val="000000"/>
                <w:sz w:val="16"/>
                <w:szCs w:val="16"/>
              </w:rPr>
            </w:pPr>
          </w:p>
          <w:p w14:paraId="2FCF136B" w14:textId="77777777" w:rsidR="00561B47" w:rsidRPr="00266EB9" w:rsidRDefault="00561B47" w:rsidP="006658D5">
            <w:pPr>
              <w:tabs>
                <w:tab w:val="left" w:pos="145"/>
              </w:tabs>
              <w:jc w:val="center"/>
              <w:rPr>
                <w:b/>
                <w:color w:val="000000"/>
                <w:sz w:val="16"/>
                <w:szCs w:val="16"/>
              </w:rPr>
            </w:pPr>
          </w:p>
          <w:p w14:paraId="3628B2C8" w14:textId="77777777" w:rsidR="00561B47" w:rsidRPr="00266EB9" w:rsidRDefault="00561B47" w:rsidP="006658D5">
            <w:pPr>
              <w:tabs>
                <w:tab w:val="left" w:pos="145"/>
              </w:tabs>
              <w:jc w:val="center"/>
              <w:rPr>
                <w:b/>
                <w:color w:val="00B050"/>
                <w:sz w:val="16"/>
                <w:szCs w:val="16"/>
              </w:rPr>
            </w:pPr>
            <w:r w:rsidRPr="00266EB9">
              <w:rPr>
                <w:b/>
                <w:color w:val="00B050"/>
                <w:sz w:val="16"/>
                <w:szCs w:val="16"/>
              </w:rPr>
              <w:t>En bonne voie</w:t>
            </w:r>
          </w:p>
          <w:p w14:paraId="525F845D" w14:textId="77777777" w:rsidR="00561B47" w:rsidRPr="00266EB9" w:rsidRDefault="00561B47" w:rsidP="006658D5">
            <w:pPr>
              <w:tabs>
                <w:tab w:val="left" w:pos="145"/>
              </w:tabs>
              <w:jc w:val="center"/>
              <w:rPr>
                <w:b/>
                <w:color w:val="000000"/>
                <w:sz w:val="16"/>
                <w:szCs w:val="16"/>
              </w:rPr>
            </w:pPr>
          </w:p>
          <w:p w14:paraId="3565B83B" w14:textId="77777777" w:rsidR="00561B47" w:rsidRPr="00266EB9" w:rsidRDefault="00561B47" w:rsidP="006658D5">
            <w:pPr>
              <w:tabs>
                <w:tab w:val="left" w:pos="145"/>
              </w:tabs>
              <w:jc w:val="center"/>
              <w:rPr>
                <w:b/>
                <w:color w:val="000000"/>
                <w:sz w:val="16"/>
                <w:szCs w:val="16"/>
              </w:rPr>
            </w:pPr>
          </w:p>
          <w:p w14:paraId="1A597E1C" w14:textId="77777777" w:rsidR="00561B47" w:rsidRPr="00266EB9" w:rsidRDefault="00561B47" w:rsidP="006658D5">
            <w:pPr>
              <w:tabs>
                <w:tab w:val="left" w:pos="145"/>
              </w:tabs>
              <w:jc w:val="center"/>
              <w:rPr>
                <w:b/>
                <w:color w:val="000000"/>
                <w:sz w:val="16"/>
                <w:szCs w:val="16"/>
              </w:rPr>
            </w:pPr>
          </w:p>
          <w:p w14:paraId="7647C75E" w14:textId="77777777" w:rsidR="00561B47" w:rsidRPr="00266EB9" w:rsidRDefault="00561B47" w:rsidP="006658D5">
            <w:pPr>
              <w:tabs>
                <w:tab w:val="left" w:pos="145"/>
              </w:tabs>
              <w:jc w:val="center"/>
              <w:rPr>
                <w:b/>
                <w:color w:val="000000"/>
                <w:sz w:val="16"/>
                <w:szCs w:val="16"/>
              </w:rPr>
            </w:pPr>
            <w:r w:rsidRPr="00266EB9">
              <w:rPr>
                <w:b/>
                <w:color w:val="00B050"/>
                <w:sz w:val="16"/>
                <w:szCs w:val="16"/>
              </w:rPr>
              <w:t>En bonne voie</w:t>
            </w:r>
          </w:p>
        </w:tc>
      </w:tr>
      <w:tr w:rsidR="00561B47" w:rsidRPr="00266EB9" w14:paraId="03BEDDDA" w14:textId="77777777" w:rsidTr="006658D5">
        <w:trPr>
          <w:cantSplit/>
        </w:trPr>
        <w:tc>
          <w:tcPr>
            <w:tcW w:w="1066" w:type="pct"/>
            <w:shd w:val="clear" w:color="auto" w:fill="auto"/>
            <w:tcMar>
              <w:left w:w="108" w:type="dxa"/>
              <w:right w:w="108" w:type="dxa"/>
            </w:tcMar>
          </w:tcPr>
          <w:p w14:paraId="4E72EBC1" w14:textId="77777777" w:rsidR="00561B47" w:rsidRPr="00266EB9" w:rsidRDefault="00561B47" w:rsidP="006658D5">
            <w:pPr>
              <w:rPr>
                <w:color w:val="000000"/>
                <w:sz w:val="16"/>
                <w:szCs w:val="16"/>
              </w:rPr>
            </w:pPr>
            <w:r w:rsidRPr="00266EB9">
              <w:rPr>
                <w:sz w:val="16"/>
                <w:szCs w:val="16"/>
              </w:rPr>
              <w:t>Nombre de pays ayant adopté des stratégies nationales en matière d’innovation et de propriété intellectuelle</w:t>
            </w:r>
          </w:p>
        </w:tc>
        <w:tc>
          <w:tcPr>
            <w:tcW w:w="1270" w:type="pct"/>
            <w:shd w:val="clear" w:color="auto" w:fill="auto"/>
            <w:tcMar>
              <w:left w:w="108" w:type="dxa"/>
              <w:right w:w="108" w:type="dxa"/>
            </w:tcMar>
          </w:tcPr>
          <w:p w14:paraId="29CB30DE" w14:textId="77777777" w:rsidR="00561B47" w:rsidRPr="002655A7" w:rsidRDefault="00561B47" w:rsidP="006658D5">
            <w:pPr>
              <w:rPr>
                <w:i/>
                <w:color w:val="002060"/>
                <w:sz w:val="16"/>
                <w:szCs w:val="16"/>
              </w:rPr>
            </w:pPr>
            <w:r w:rsidRPr="00266EB9">
              <w:rPr>
                <w:i/>
                <w:color w:val="002060"/>
                <w:sz w:val="16"/>
                <w:szCs w:val="16"/>
              </w:rPr>
              <w:t>Niveau de référence actualisé à fin</w:t>
            </w:r>
            <w:r w:rsidRPr="002655A7">
              <w:rPr>
                <w:i/>
                <w:color w:val="002060"/>
                <w:sz w:val="16"/>
                <w:szCs w:val="16"/>
              </w:rPr>
              <w:t> 2015 :</w:t>
            </w:r>
          </w:p>
          <w:p w14:paraId="731E81BF" w14:textId="77777777" w:rsidR="00561B47" w:rsidRPr="002655A7" w:rsidRDefault="00561B47" w:rsidP="006658D5">
            <w:pPr>
              <w:rPr>
                <w:color w:val="002060"/>
                <w:sz w:val="16"/>
                <w:szCs w:val="16"/>
              </w:rPr>
            </w:pPr>
            <w:r w:rsidRPr="002655A7">
              <w:rPr>
                <w:color w:val="002060"/>
                <w:sz w:val="16"/>
                <w:szCs w:val="16"/>
              </w:rPr>
              <w:t>Afrique (21 pays au total)</w:t>
            </w:r>
          </w:p>
          <w:p w14:paraId="74647911" w14:textId="77777777" w:rsidR="00561B47" w:rsidRPr="002655A7" w:rsidRDefault="00561B47" w:rsidP="006658D5">
            <w:pPr>
              <w:rPr>
                <w:color w:val="002060"/>
                <w:sz w:val="16"/>
                <w:szCs w:val="16"/>
                <w:lang w:bidi="th-TH"/>
              </w:rPr>
            </w:pPr>
            <w:r w:rsidRPr="002655A7">
              <w:rPr>
                <w:color w:val="002060"/>
                <w:sz w:val="16"/>
                <w:szCs w:val="16"/>
                <w:lang w:bidi="th-TH"/>
              </w:rPr>
              <w:t>Pays arabes (2 pays au total)</w:t>
            </w:r>
          </w:p>
          <w:p w14:paraId="4D85649B" w14:textId="77777777" w:rsidR="00561B47" w:rsidRPr="002655A7" w:rsidRDefault="00561B47" w:rsidP="006658D5">
            <w:pPr>
              <w:rPr>
                <w:color w:val="002060"/>
                <w:sz w:val="16"/>
                <w:szCs w:val="16"/>
                <w:lang w:bidi="th-TH"/>
              </w:rPr>
            </w:pPr>
            <w:r w:rsidRPr="002655A7">
              <w:rPr>
                <w:color w:val="002060"/>
                <w:sz w:val="16"/>
                <w:szCs w:val="16"/>
                <w:lang w:bidi="th-TH"/>
              </w:rPr>
              <w:t>Asie et Pacifique (7 pays au total)</w:t>
            </w:r>
            <w:r w:rsidRPr="002655A7">
              <w:rPr>
                <w:rStyle w:val="FootnoteReference"/>
                <w:rFonts w:cs="Arial"/>
                <w:color w:val="002060"/>
                <w:lang w:bidi="th-TH"/>
              </w:rPr>
              <w:footnoteReference w:id="48"/>
            </w:r>
          </w:p>
          <w:p w14:paraId="117169A6" w14:textId="77777777" w:rsidR="00561B47" w:rsidRPr="002655A7" w:rsidRDefault="00561B47" w:rsidP="006658D5">
            <w:pPr>
              <w:rPr>
                <w:color w:val="002060"/>
                <w:sz w:val="16"/>
                <w:szCs w:val="16"/>
                <w:lang w:bidi="th-TH"/>
              </w:rPr>
            </w:pPr>
            <w:r w:rsidRPr="002655A7">
              <w:rPr>
                <w:color w:val="002060"/>
                <w:sz w:val="16"/>
                <w:szCs w:val="16"/>
                <w:lang w:bidi="th-TH"/>
              </w:rPr>
              <w:t>Amérique latine et Caraïbes (7 pays au total)</w:t>
            </w:r>
          </w:p>
          <w:p w14:paraId="46EEC8E4" w14:textId="77777777" w:rsidR="00561B47" w:rsidRPr="00266EB9" w:rsidRDefault="00561B47" w:rsidP="006658D5">
            <w:pPr>
              <w:rPr>
                <w:color w:val="000000"/>
                <w:sz w:val="16"/>
                <w:szCs w:val="16"/>
              </w:rPr>
            </w:pPr>
          </w:p>
          <w:p w14:paraId="519DA686"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280A3866"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(21 pays au total)</w:t>
            </w:r>
          </w:p>
          <w:p w14:paraId="2B22731A"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(2 pays au total)</w:t>
            </w:r>
          </w:p>
          <w:p w14:paraId="63A68250" w14:textId="77777777" w:rsidR="00561B47" w:rsidRPr="00266EB9" w:rsidRDefault="00561B47" w:rsidP="006658D5">
            <w:pPr>
              <w:rPr>
                <w:sz w:val="16"/>
                <w:szCs w:val="16"/>
              </w:rPr>
            </w:pPr>
            <w:r w:rsidRPr="00266EB9">
              <w:rPr>
                <w:rFonts w:hint="eastAsia"/>
                <w:sz w:val="16"/>
                <w:szCs w:val="16"/>
              </w:rPr>
              <w:t>–</w:t>
            </w:r>
            <w:r w:rsidRPr="00266EB9">
              <w:rPr>
                <w:sz w:val="16"/>
                <w:szCs w:val="16"/>
              </w:rPr>
              <w:t xml:space="preserve"> Asie et Pacifique (8 pays </w:t>
            </w:r>
            <w:r w:rsidRPr="00266EB9">
              <w:rPr>
                <w:color w:val="000000"/>
                <w:sz w:val="16"/>
                <w:szCs w:val="16"/>
              </w:rPr>
              <w:t>au total</w:t>
            </w:r>
            <w:r w:rsidRPr="00266EB9">
              <w:rPr>
                <w:sz w:val="16"/>
                <w:szCs w:val="16"/>
              </w:rPr>
              <w:t>)</w:t>
            </w:r>
          </w:p>
          <w:p w14:paraId="05E2170D"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(6 pays au total)</w:t>
            </w:r>
          </w:p>
        </w:tc>
        <w:tc>
          <w:tcPr>
            <w:tcW w:w="851" w:type="pct"/>
            <w:shd w:val="clear" w:color="auto" w:fill="auto"/>
            <w:tcMar>
              <w:top w:w="57" w:type="dxa"/>
              <w:left w:w="108" w:type="dxa"/>
              <w:right w:w="108" w:type="dxa"/>
            </w:tcMar>
          </w:tcPr>
          <w:p w14:paraId="4D9AF4FC"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(8 pays supplémentaires)</w:t>
            </w:r>
          </w:p>
          <w:p w14:paraId="4CB54847"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(2 pays supplémentaires)</w:t>
            </w:r>
          </w:p>
          <w:p w14:paraId="61A2B8BD"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(7</w:t>
            </w:r>
            <w:r w:rsidRPr="00266EB9">
              <w:rPr>
                <w:color w:val="000000"/>
                <w:sz w:val="16"/>
                <w:szCs w:val="16"/>
              </w:rPr>
              <w:t xml:space="preserve"> pays supplémentaires</w:t>
            </w:r>
            <w:r w:rsidRPr="00266EB9">
              <w:rPr>
                <w:sz w:val="16"/>
                <w:szCs w:val="16"/>
              </w:rPr>
              <w:t>)</w:t>
            </w:r>
          </w:p>
          <w:p w14:paraId="3A96088C" w14:textId="77777777" w:rsidR="00561B47" w:rsidRPr="00266EB9" w:rsidRDefault="00561B47" w:rsidP="006658D5">
            <w:pPr>
              <w:rPr>
                <w:sz w:val="16"/>
                <w:szCs w:val="16"/>
              </w:rPr>
            </w:pPr>
            <w:r w:rsidRPr="00266EB9">
              <w:rPr>
                <w:rFonts w:hint="eastAsia"/>
                <w:color w:val="000000"/>
                <w:sz w:val="16"/>
                <w:szCs w:val="16"/>
              </w:rPr>
              <w:t>–</w:t>
            </w:r>
            <w:r w:rsidRPr="00266EB9">
              <w:rPr>
                <w:color w:val="000000"/>
                <w:sz w:val="16"/>
                <w:szCs w:val="16"/>
              </w:rPr>
              <w:t xml:space="preserve"> Amérique </w:t>
            </w:r>
            <w:r w:rsidRPr="00266EB9">
              <w:rPr>
                <w:sz w:val="16"/>
                <w:szCs w:val="16"/>
              </w:rPr>
              <w:t>latine et Caraïbes (2</w:t>
            </w:r>
            <w:r w:rsidRPr="00266EB9">
              <w:rPr>
                <w:color w:val="000000"/>
                <w:sz w:val="16"/>
                <w:szCs w:val="16"/>
              </w:rPr>
              <w:t xml:space="preserve"> pays supplémentaires</w:t>
            </w:r>
            <w:r w:rsidRPr="00266EB9">
              <w:rPr>
                <w:sz w:val="16"/>
                <w:szCs w:val="16"/>
              </w:rPr>
              <w:t>)</w:t>
            </w:r>
          </w:p>
        </w:tc>
        <w:tc>
          <w:tcPr>
            <w:tcW w:w="1212" w:type="pct"/>
            <w:shd w:val="clear" w:color="auto" w:fill="FFFFFF"/>
            <w:tcMar>
              <w:top w:w="57" w:type="dxa"/>
              <w:left w:w="108" w:type="dxa"/>
              <w:right w:w="108" w:type="dxa"/>
            </w:tcMar>
          </w:tcPr>
          <w:p w14:paraId="28D2AD31" w14:textId="77777777" w:rsidR="00561B47" w:rsidRPr="002758AC" w:rsidRDefault="00561B47" w:rsidP="006658D5">
            <w:pPr>
              <w:rPr>
                <w:sz w:val="16"/>
                <w:szCs w:val="16"/>
              </w:rPr>
            </w:pPr>
            <w:r w:rsidRPr="002758AC">
              <w:rPr>
                <w:sz w:val="16"/>
                <w:szCs w:val="16"/>
              </w:rPr>
              <w:t>Afrique (4 pays supplémentaires) : Gambie, Guinée, Namibie, Sierra Leone</w:t>
            </w:r>
          </w:p>
          <w:p w14:paraId="354AEB78" w14:textId="77777777" w:rsidR="00561B47" w:rsidRPr="002758AC" w:rsidRDefault="00561B47" w:rsidP="006658D5">
            <w:pPr>
              <w:rPr>
                <w:sz w:val="16"/>
                <w:szCs w:val="16"/>
              </w:rPr>
            </w:pPr>
            <w:r w:rsidRPr="002758AC">
              <w:rPr>
                <w:sz w:val="16"/>
                <w:szCs w:val="16"/>
              </w:rPr>
              <w:t>(25 au total)</w:t>
            </w:r>
          </w:p>
          <w:p w14:paraId="16383D0D" w14:textId="77777777" w:rsidR="00561B47" w:rsidRPr="002758AC" w:rsidRDefault="00561B47" w:rsidP="006658D5">
            <w:pPr>
              <w:rPr>
                <w:sz w:val="16"/>
                <w:szCs w:val="16"/>
              </w:rPr>
            </w:pPr>
          </w:p>
          <w:p w14:paraId="068AE921" w14:textId="77777777" w:rsidR="00561B47" w:rsidRPr="002758AC" w:rsidRDefault="00561B47" w:rsidP="006658D5">
            <w:pPr>
              <w:rPr>
                <w:sz w:val="16"/>
                <w:szCs w:val="16"/>
              </w:rPr>
            </w:pPr>
            <w:r w:rsidRPr="002758AC">
              <w:rPr>
                <w:sz w:val="16"/>
                <w:szCs w:val="16"/>
              </w:rPr>
              <w:t>Pays arabes (aucun pays supplémentaire)</w:t>
            </w:r>
          </w:p>
          <w:p w14:paraId="1A1E3C74" w14:textId="77777777" w:rsidR="00561B47" w:rsidRPr="002758AC" w:rsidRDefault="00561B47" w:rsidP="006658D5">
            <w:pPr>
              <w:rPr>
                <w:sz w:val="16"/>
                <w:szCs w:val="16"/>
              </w:rPr>
            </w:pPr>
            <w:r w:rsidRPr="002758AC">
              <w:rPr>
                <w:sz w:val="16"/>
                <w:szCs w:val="16"/>
              </w:rPr>
              <w:t>(2 au total)</w:t>
            </w:r>
          </w:p>
          <w:p w14:paraId="15020117" w14:textId="77777777" w:rsidR="00561B47" w:rsidRPr="002758AC" w:rsidRDefault="00561B47" w:rsidP="006658D5">
            <w:pPr>
              <w:rPr>
                <w:sz w:val="16"/>
                <w:szCs w:val="16"/>
              </w:rPr>
            </w:pPr>
          </w:p>
          <w:p w14:paraId="08F085C2" w14:textId="77777777" w:rsidR="00561B47" w:rsidRPr="002758AC" w:rsidRDefault="00561B47" w:rsidP="006658D5">
            <w:pPr>
              <w:rPr>
                <w:sz w:val="16"/>
                <w:szCs w:val="16"/>
              </w:rPr>
            </w:pPr>
            <w:r w:rsidRPr="002758AC">
              <w:rPr>
                <w:sz w:val="16"/>
                <w:szCs w:val="16"/>
              </w:rPr>
              <w:t>Asie et Pacifique (aucun pays supplémentaire)</w:t>
            </w:r>
          </w:p>
          <w:p w14:paraId="0E481203" w14:textId="77777777" w:rsidR="00561B47" w:rsidRPr="002758AC" w:rsidRDefault="00561B47" w:rsidP="006658D5">
            <w:pPr>
              <w:rPr>
                <w:sz w:val="16"/>
                <w:szCs w:val="16"/>
              </w:rPr>
            </w:pPr>
            <w:r w:rsidRPr="002758AC">
              <w:rPr>
                <w:sz w:val="16"/>
                <w:szCs w:val="16"/>
              </w:rPr>
              <w:t>(7 au total)</w:t>
            </w:r>
          </w:p>
          <w:p w14:paraId="7DE7A8D8" w14:textId="77777777" w:rsidR="00561B47" w:rsidRPr="002758AC" w:rsidRDefault="00561B47" w:rsidP="006658D5">
            <w:pPr>
              <w:rPr>
                <w:sz w:val="16"/>
                <w:szCs w:val="16"/>
              </w:rPr>
            </w:pPr>
          </w:p>
          <w:p w14:paraId="3B4569AB" w14:textId="77777777" w:rsidR="00561B47" w:rsidRPr="002758AC" w:rsidRDefault="00561B47" w:rsidP="006658D5">
            <w:pPr>
              <w:rPr>
                <w:sz w:val="16"/>
                <w:szCs w:val="16"/>
              </w:rPr>
            </w:pPr>
            <w:r w:rsidRPr="002758AC">
              <w:rPr>
                <w:sz w:val="16"/>
                <w:szCs w:val="16"/>
              </w:rPr>
              <w:t>Amérique latine et Caraïbes (1 pays supplémentaire) : Chili</w:t>
            </w:r>
          </w:p>
          <w:p w14:paraId="70F3A10E" w14:textId="77777777" w:rsidR="00561B47" w:rsidRPr="002758AC" w:rsidRDefault="00561B47" w:rsidP="006658D5">
            <w:pPr>
              <w:rPr>
                <w:sz w:val="16"/>
                <w:szCs w:val="16"/>
              </w:rPr>
            </w:pPr>
            <w:r w:rsidRPr="002758AC">
              <w:rPr>
                <w:sz w:val="16"/>
                <w:szCs w:val="16"/>
              </w:rPr>
              <w:t>(8 au total)</w:t>
            </w:r>
          </w:p>
          <w:p w14:paraId="4D76916B" w14:textId="77777777" w:rsidR="00561B47" w:rsidRPr="002758AC" w:rsidRDefault="00561B47" w:rsidP="006658D5">
            <w:pPr>
              <w:rPr>
                <w:sz w:val="16"/>
                <w:szCs w:val="16"/>
              </w:rPr>
            </w:pPr>
          </w:p>
          <w:p w14:paraId="58B58EF6" w14:textId="77777777" w:rsidR="00561B47" w:rsidRPr="002758AC" w:rsidRDefault="00561B47" w:rsidP="006658D5">
            <w:pPr>
              <w:rPr>
                <w:sz w:val="16"/>
                <w:szCs w:val="16"/>
              </w:rPr>
            </w:pPr>
            <w:r w:rsidRPr="002758AC">
              <w:rPr>
                <w:sz w:val="16"/>
                <w:szCs w:val="16"/>
              </w:rPr>
              <w:t>20 PMA inclus dans la ventilation régionale ci</w:t>
            </w:r>
            <w:r w:rsidRPr="002758AC">
              <w:rPr>
                <w:sz w:val="16"/>
                <w:szCs w:val="16"/>
              </w:rPr>
              <w:noBreakHyphen/>
              <w:t>dessus</w:t>
            </w:r>
          </w:p>
        </w:tc>
        <w:tc>
          <w:tcPr>
            <w:tcW w:w="601" w:type="pct"/>
            <w:shd w:val="clear" w:color="auto" w:fill="auto"/>
            <w:tcMar>
              <w:top w:w="57" w:type="dxa"/>
              <w:left w:w="108" w:type="dxa"/>
              <w:right w:w="108" w:type="dxa"/>
            </w:tcMar>
          </w:tcPr>
          <w:p w14:paraId="483A4C15" w14:textId="77777777" w:rsidR="00561B47" w:rsidRPr="00266EB9" w:rsidRDefault="00561B47" w:rsidP="006658D5">
            <w:pPr>
              <w:jc w:val="center"/>
              <w:rPr>
                <w:b/>
                <w:color w:val="FF0000"/>
                <w:sz w:val="16"/>
                <w:szCs w:val="16"/>
              </w:rPr>
            </w:pPr>
            <w:r w:rsidRPr="00266EB9">
              <w:rPr>
                <w:b/>
                <w:color w:val="00B050"/>
                <w:sz w:val="16"/>
                <w:szCs w:val="16"/>
              </w:rPr>
              <w:t>En bonne voie</w:t>
            </w:r>
          </w:p>
          <w:p w14:paraId="7F859DDD" w14:textId="77777777" w:rsidR="00561B47" w:rsidRPr="00266EB9" w:rsidRDefault="00561B47" w:rsidP="006658D5">
            <w:pPr>
              <w:jc w:val="center"/>
              <w:rPr>
                <w:b/>
                <w:color w:val="FF0000"/>
                <w:sz w:val="16"/>
                <w:szCs w:val="16"/>
              </w:rPr>
            </w:pPr>
          </w:p>
          <w:p w14:paraId="44061821" w14:textId="77777777" w:rsidR="00561B47" w:rsidRPr="00266EB9" w:rsidRDefault="00561B47" w:rsidP="006658D5">
            <w:pPr>
              <w:jc w:val="center"/>
              <w:rPr>
                <w:b/>
                <w:color w:val="FF0000"/>
                <w:sz w:val="16"/>
                <w:szCs w:val="16"/>
              </w:rPr>
            </w:pPr>
          </w:p>
          <w:p w14:paraId="38D87298" w14:textId="77777777" w:rsidR="00561B47" w:rsidRPr="00266EB9" w:rsidRDefault="00561B47" w:rsidP="006658D5">
            <w:pPr>
              <w:jc w:val="center"/>
              <w:rPr>
                <w:b/>
                <w:color w:val="FF0000"/>
                <w:sz w:val="16"/>
                <w:szCs w:val="16"/>
              </w:rPr>
            </w:pPr>
          </w:p>
          <w:p w14:paraId="62B10B6E" w14:textId="77777777" w:rsidR="00561B47" w:rsidRPr="00266EB9" w:rsidRDefault="00561B47" w:rsidP="006658D5">
            <w:pPr>
              <w:jc w:val="center"/>
              <w:rPr>
                <w:b/>
                <w:color w:val="FF0000"/>
                <w:sz w:val="16"/>
                <w:szCs w:val="16"/>
              </w:rPr>
            </w:pPr>
          </w:p>
          <w:p w14:paraId="3D106F7A" w14:textId="77777777" w:rsidR="00561B47" w:rsidRPr="00266EB9" w:rsidRDefault="00561B47" w:rsidP="006658D5">
            <w:pPr>
              <w:jc w:val="center"/>
              <w:rPr>
                <w:b/>
                <w:color w:val="FF0000"/>
                <w:sz w:val="16"/>
                <w:szCs w:val="16"/>
              </w:rPr>
            </w:pPr>
            <w:r w:rsidRPr="00266EB9">
              <w:rPr>
                <w:b/>
                <w:color w:val="FF0000"/>
                <w:sz w:val="16"/>
                <w:szCs w:val="16"/>
              </w:rPr>
              <w:t>Pas en bonne voie</w:t>
            </w:r>
          </w:p>
          <w:p w14:paraId="3A91601B" w14:textId="77777777" w:rsidR="00561B47" w:rsidRPr="00266EB9" w:rsidRDefault="00561B47" w:rsidP="006658D5">
            <w:pPr>
              <w:jc w:val="center"/>
              <w:rPr>
                <w:b/>
                <w:color w:val="000000"/>
                <w:sz w:val="16"/>
                <w:szCs w:val="16"/>
              </w:rPr>
            </w:pPr>
          </w:p>
          <w:p w14:paraId="7620BBE7" w14:textId="77777777" w:rsidR="00561B47" w:rsidRPr="00266EB9" w:rsidRDefault="00561B47" w:rsidP="006658D5">
            <w:pPr>
              <w:jc w:val="center"/>
              <w:rPr>
                <w:b/>
                <w:color w:val="000000"/>
                <w:sz w:val="16"/>
                <w:szCs w:val="16"/>
              </w:rPr>
            </w:pPr>
          </w:p>
          <w:p w14:paraId="60D593CA" w14:textId="77777777" w:rsidR="00561B47" w:rsidRPr="00266EB9" w:rsidRDefault="00561B47" w:rsidP="006658D5">
            <w:pPr>
              <w:jc w:val="center"/>
              <w:rPr>
                <w:b/>
                <w:color w:val="FF0000"/>
                <w:sz w:val="16"/>
                <w:szCs w:val="16"/>
              </w:rPr>
            </w:pPr>
            <w:r w:rsidRPr="00266EB9">
              <w:rPr>
                <w:b/>
                <w:color w:val="FF0000"/>
                <w:sz w:val="16"/>
                <w:szCs w:val="16"/>
              </w:rPr>
              <w:t>Pas en bonne voie</w:t>
            </w:r>
          </w:p>
          <w:p w14:paraId="7C93846C" w14:textId="77777777" w:rsidR="00561B47" w:rsidRPr="00266EB9" w:rsidRDefault="00561B47" w:rsidP="006658D5">
            <w:pPr>
              <w:jc w:val="center"/>
              <w:rPr>
                <w:b/>
                <w:color w:val="000000"/>
                <w:sz w:val="16"/>
                <w:szCs w:val="16"/>
              </w:rPr>
            </w:pPr>
          </w:p>
          <w:p w14:paraId="424C0D7C" w14:textId="77777777" w:rsidR="00561B47" w:rsidRPr="00266EB9" w:rsidRDefault="00561B47" w:rsidP="006658D5">
            <w:pPr>
              <w:jc w:val="center"/>
              <w:rPr>
                <w:b/>
                <w:color w:val="000000"/>
                <w:sz w:val="16"/>
                <w:szCs w:val="16"/>
              </w:rPr>
            </w:pPr>
          </w:p>
          <w:p w14:paraId="7AAE1740" w14:textId="77777777" w:rsidR="00561B47" w:rsidRPr="00266EB9" w:rsidRDefault="00561B47" w:rsidP="006658D5">
            <w:pPr>
              <w:jc w:val="center"/>
              <w:rPr>
                <w:b/>
                <w:color w:val="000000"/>
                <w:sz w:val="16"/>
                <w:szCs w:val="16"/>
              </w:rPr>
            </w:pPr>
            <w:r w:rsidRPr="00266EB9">
              <w:rPr>
                <w:b/>
                <w:color w:val="00B050"/>
                <w:sz w:val="16"/>
                <w:szCs w:val="16"/>
              </w:rPr>
              <w:t>En bonne voie</w:t>
            </w:r>
          </w:p>
        </w:tc>
      </w:tr>
      <w:tr w:rsidR="00561B47" w:rsidRPr="00266EB9" w14:paraId="6AEF86C5" w14:textId="77777777" w:rsidTr="006658D5">
        <w:trPr>
          <w:cantSplit/>
        </w:trPr>
        <w:tc>
          <w:tcPr>
            <w:tcW w:w="1066" w:type="pct"/>
            <w:shd w:val="clear" w:color="auto" w:fill="auto"/>
            <w:tcMar>
              <w:left w:w="108" w:type="dxa"/>
              <w:right w:w="108" w:type="dxa"/>
            </w:tcMar>
          </w:tcPr>
          <w:p w14:paraId="4C51A160" w14:textId="77777777" w:rsidR="00561B47" w:rsidRPr="00266EB9" w:rsidRDefault="00561B47" w:rsidP="006658D5">
            <w:pPr>
              <w:rPr>
                <w:color w:val="000000"/>
                <w:sz w:val="16"/>
                <w:szCs w:val="16"/>
              </w:rPr>
            </w:pPr>
            <w:r w:rsidRPr="00266EB9">
              <w:rPr>
                <w:sz w:val="16"/>
                <w:szCs w:val="16"/>
              </w:rPr>
              <w:lastRenderedPageBreak/>
              <w:t>Nombre de pays en train de mettre en œuvre des stratégies en matière d’innovation et de propriété intellectuelle et des plans de développement relatifs à la propriété intellectuelle à l’échelle nationale</w:t>
            </w:r>
          </w:p>
        </w:tc>
        <w:tc>
          <w:tcPr>
            <w:tcW w:w="1270" w:type="pct"/>
            <w:shd w:val="clear" w:color="auto" w:fill="auto"/>
            <w:tcMar>
              <w:left w:w="108" w:type="dxa"/>
              <w:right w:w="108" w:type="dxa"/>
            </w:tcMar>
          </w:tcPr>
          <w:p w14:paraId="72A8CE04" w14:textId="77777777" w:rsidR="00561B47" w:rsidRPr="002655A7" w:rsidRDefault="00561B47" w:rsidP="006658D5">
            <w:pPr>
              <w:rPr>
                <w:i/>
                <w:color w:val="002060"/>
                <w:sz w:val="16"/>
                <w:szCs w:val="16"/>
              </w:rPr>
            </w:pPr>
            <w:r w:rsidRPr="00266EB9">
              <w:rPr>
                <w:i/>
                <w:color w:val="002060"/>
                <w:sz w:val="16"/>
                <w:szCs w:val="16"/>
              </w:rPr>
              <w:t>Niveau de référence actualisé à fin</w:t>
            </w:r>
            <w:r w:rsidRPr="002655A7">
              <w:rPr>
                <w:i/>
                <w:color w:val="002060"/>
                <w:sz w:val="16"/>
                <w:szCs w:val="16"/>
              </w:rPr>
              <w:t> 2015 :</w:t>
            </w:r>
          </w:p>
          <w:p w14:paraId="50F4701B" w14:textId="77777777" w:rsidR="00561B47" w:rsidRPr="002655A7" w:rsidRDefault="00561B47" w:rsidP="006658D5">
            <w:pPr>
              <w:rPr>
                <w:color w:val="002060"/>
                <w:sz w:val="16"/>
                <w:szCs w:val="16"/>
              </w:rPr>
            </w:pPr>
            <w:r w:rsidRPr="002655A7">
              <w:rPr>
                <w:color w:val="002060"/>
                <w:sz w:val="16"/>
                <w:szCs w:val="16"/>
              </w:rPr>
              <w:t>Afrique : 21 (au total)</w:t>
            </w:r>
          </w:p>
          <w:p w14:paraId="4C7D9100" w14:textId="77777777" w:rsidR="00561B47" w:rsidRPr="002655A7" w:rsidRDefault="00561B47" w:rsidP="006658D5">
            <w:pPr>
              <w:rPr>
                <w:color w:val="002060"/>
                <w:sz w:val="16"/>
                <w:szCs w:val="16"/>
                <w:lang w:bidi="th-TH"/>
              </w:rPr>
            </w:pPr>
            <w:r w:rsidRPr="002655A7">
              <w:rPr>
                <w:color w:val="002060"/>
                <w:sz w:val="16"/>
                <w:szCs w:val="16"/>
                <w:lang w:bidi="th-TH"/>
              </w:rPr>
              <w:t>Pays arabes : 2 (au total)</w:t>
            </w:r>
          </w:p>
          <w:p w14:paraId="08309B00" w14:textId="77777777" w:rsidR="00561B47" w:rsidRPr="002655A7" w:rsidRDefault="00561B47" w:rsidP="006658D5">
            <w:pPr>
              <w:rPr>
                <w:color w:val="002060"/>
                <w:sz w:val="16"/>
                <w:szCs w:val="16"/>
              </w:rPr>
            </w:pPr>
            <w:r w:rsidRPr="002655A7">
              <w:rPr>
                <w:color w:val="002060"/>
                <w:sz w:val="16"/>
                <w:szCs w:val="16"/>
              </w:rPr>
              <w:t>Asie et Pacifique : 5 (au total)</w:t>
            </w:r>
          </w:p>
          <w:p w14:paraId="4BB6F4FD" w14:textId="77777777" w:rsidR="00561B47" w:rsidRPr="002655A7" w:rsidRDefault="00561B47" w:rsidP="006658D5">
            <w:pPr>
              <w:rPr>
                <w:color w:val="002060"/>
                <w:sz w:val="16"/>
                <w:szCs w:val="16"/>
                <w:lang w:bidi="th-TH"/>
              </w:rPr>
            </w:pPr>
            <w:r w:rsidRPr="002655A7">
              <w:rPr>
                <w:color w:val="002060"/>
                <w:sz w:val="16"/>
                <w:szCs w:val="16"/>
                <w:lang w:bidi="th-TH"/>
              </w:rPr>
              <w:t>Amérique latine et Caraïbes : 5 (au total)</w:t>
            </w:r>
          </w:p>
          <w:p w14:paraId="44E16B45" w14:textId="77777777" w:rsidR="00561B47" w:rsidRPr="00266EB9" w:rsidRDefault="00561B47" w:rsidP="006658D5">
            <w:pPr>
              <w:rPr>
                <w:color w:val="000000"/>
                <w:sz w:val="16"/>
                <w:szCs w:val="16"/>
              </w:rPr>
            </w:pPr>
          </w:p>
          <w:p w14:paraId="16DD1C59"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3B95337C" w14:textId="77777777" w:rsidR="00561B47" w:rsidRPr="00266EB9" w:rsidRDefault="00561B47" w:rsidP="006658D5">
            <w:pPr>
              <w:rPr>
                <w:sz w:val="16"/>
                <w:szCs w:val="16"/>
              </w:rPr>
            </w:pPr>
            <w:r w:rsidRPr="00266EB9">
              <w:rPr>
                <w:rFonts w:hint="eastAsia"/>
                <w:sz w:val="16"/>
                <w:szCs w:val="16"/>
              </w:rPr>
              <w:t>–</w:t>
            </w:r>
            <w:r w:rsidRPr="00266EB9">
              <w:rPr>
                <w:sz w:val="16"/>
                <w:szCs w:val="16"/>
              </w:rPr>
              <w:t xml:space="preserve"> Afrique (21 </w:t>
            </w:r>
            <w:r w:rsidRPr="00266EB9">
              <w:rPr>
                <w:color w:val="000000"/>
                <w:sz w:val="16"/>
                <w:szCs w:val="16"/>
              </w:rPr>
              <w:t>au total</w:t>
            </w:r>
            <w:r w:rsidRPr="00266EB9">
              <w:rPr>
                <w:sz w:val="16"/>
                <w:szCs w:val="16"/>
              </w:rPr>
              <w:t>)</w:t>
            </w:r>
          </w:p>
          <w:p w14:paraId="65E4FBE1"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(2 au total)</w:t>
            </w:r>
          </w:p>
          <w:p w14:paraId="1C9FCCCB"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(4 </w:t>
            </w:r>
            <w:r w:rsidRPr="00266EB9">
              <w:rPr>
                <w:color w:val="000000"/>
                <w:sz w:val="16"/>
                <w:szCs w:val="16"/>
              </w:rPr>
              <w:t>au total</w:t>
            </w:r>
            <w:r w:rsidRPr="00266EB9">
              <w:rPr>
                <w:sz w:val="16"/>
                <w:szCs w:val="16"/>
              </w:rPr>
              <w:t>)</w:t>
            </w:r>
          </w:p>
          <w:p w14:paraId="39804A5C" w14:textId="77777777" w:rsidR="00561B47" w:rsidRPr="00266EB9" w:rsidRDefault="00561B47" w:rsidP="006658D5">
            <w:pPr>
              <w:rPr>
                <w:sz w:val="16"/>
                <w:szCs w:val="16"/>
              </w:rPr>
            </w:pPr>
            <w:r w:rsidRPr="00266EB9">
              <w:rPr>
                <w:rFonts w:hint="eastAsia"/>
                <w:sz w:val="16"/>
                <w:szCs w:val="16"/>
              </w:rPr>
              <w:t>–</w:t>
            </w:r>
            <w:r w:rsidRPr="00266EB9">
              <w:rPr>
                <w:sz w:val="16"/>
                <w:szCs w:val="16"/>
              </w:rPr>
              <w:t xml:space="preserve"> Amérique latine et Caraïbes (6 </w:t>
            </w:r>
            <w:r w:rsidRPr="00266EB9">
              <w:rPr>
                <w:color w:val="000000"/>
                <w:sz w:val="16"/>
                <w:szCs w:val="16"/>
              </w:rPr>
              <w:t>au total</w:t>
            </w:r>
            <w:r w:rsidRPr="00266EB9">
              <w:rPr>
                <w:sz w:val="16"/>
                <w:szCs w:val="16"/>
              </w:rPr>
              <w:t>)</w:t>
            </w:r>
          </w:p>
        </w:tc>
        <w:tc>
          <w:tcPr>
            <w:tcW w:w="851" w:type="pct"/>
            <w:shd w:val="clear" w:color="auto" w:fill="auto"/>
            <w:tcMar>
              <w:top w:w="57" w:type="dxa"/>
              <w:left w:w="108" w:type="dxa"/>
              <w:right w:w="108" w:type="dxa"/>
            </w:tcMar>
          </w:tcPr>
          <w:p w14:paraId="09B17142"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(8 pays supplémentaires)</w:t>
            </w:r>
          </w:p>
          <w:p w14:paraId="7752AF8A"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(2 pays supplémentaires)</w:t>
            </w:r>
          </w:p>
          <w:p w14:paraId="3A2534AC"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(7</w:t>
            </w:r>
            <w:r w:rsidRPr="00266EB9">
              <w:rPr>
                <w:color w:val="000000"/>
                <w:sz w:val="16"/>
                <w:szCs w:val="16"/>
              </w:rPr>
              <w:t xml:space="preserve"> pays supplémentaires</w:t>
            </w:r>
            <w:r w:rsidRPr="00266EB9">
              <w:rPr>
                <w:sz w:val="16"/>
                <w:szCs w:val="16"/>
              </w:rPr>
              <w:t>)</w:t>
            </w:r>
          </w:p>
          <w:p w14:paraId="406287C5" w14:textId="77777777" w:rsidR="00561B47" w:rsidRPr="00266EB9" w:rsidRDefault="00561B47" w:rsidP="006658D5">
            <w:pPr>
              <w:rPr>
                <w:sz w:val="16"/>
                <w:szCs w:val="16"/>
              </w:rPr>
            </w:pPr>
            <w:r w:rsidRPr="00266EB9">
              <w:rPr>
                <w:rFonts w:hint="eastAsia"/>
                <w:color w:val="000000"/>
                <w:sz w:val="16"/>
                <w:szCs w:val="16"/>
              </w:rPr>
              <w:t>–</w:t>
            </w:r>
            <w:r w:rsidRPr="00266EB9">
              <w:rPr>
                <w:color w:val="000000"/>
                <w:sz w:val="16"/>
                <w:szCs w:val="16"/>
              </w:rPr>
              <w:t xml:space="preserve"> Amérique </w:t>
            </w:r>
            <w:r w:rsidRPr="00266EB9">
              <w:rPr>
                <w:sz w:val="16"/>
                <w:szCs w:val="16"/>
              </w:rPr>
              <w:t>latine et Caraïbes (2</w:t>
            </w:r>
            <w:r w:rsidRPr="00266EB9">
              <w:rPr>
                <w:color w:val="000000"/>
                <w:sz w:val="16"/>
                <w:szCs w:val="16"/>
              </w:rPr>
              <w:t xml:space="preserve"> pays supplémentaires</w:t>
            </w:r>
            <w:r w:rsidRPr="00266EB9">
              <w:rPr>
                <w:sz w:val="16"/>
                <w:szCs w:val="16"/>
              </w:rPr>
              <w:t>)</w:t>
            </w:r>
          </w:p>
        </w:tc>
        <w:tc>
          <w:tcPr>
            <w:tcW w:w="1212" w:type="pct"/>
            <w:shd w:val="clear" w:color="auto" w:fill="FFFFFF"/>
            <w:tcMar>
              <w:top w:w="57" w:type="dxa"/>
              <w:left w:w="108" w:type="dxa"/>
              <w:right w:w="108" w:type="dxa"/>
            </w:tcMar>
          </w:tcPr>
          <w:p w14:paraId="1EFF6FE1" w14:textId="77777777" w:rsidR="00561B47" w:rsidRPr="002758AC" w:rsidRDefault="00561B47" w:rsidP="006658D5">
            <w:pPr>
              <w:rPr>
                <w:sz w:val="16"/>
                <w:szCs w:val="16"/>
              </w:rPr>
            </w:pPr>
            <w:r w:rsidRPr="00266EB9">
              <w:rPr>
                <w:sz w:val="16"/>
                <w:szCs w:val="16"/>
              </w:rPr>
              <w:t>Af</w:t>
            </w:r>
            <w:r w:rsidRPr="002758AC">
              <w:rPr>
                <w:sz w:val="16"/>
                <w:szCs w:val="16"/>
              </w:rPr>
              <w:t>rique (6 pays supplémentaires) :</w:t>
            </w:r>
          </w:p>
          <w:p w14:paraId="4873C003" w14:textId="77777777" w:rsidR="00561B47" w:rsidRPr="002758AC" w:rsidRDefault="00561B47" w:rsidP="006658D5">
            <w:pPr>
              <w:rPr>
                <w:sz w:val="16"/>
                <w:szCs w:val="16"/>
              </w:rPr>
            </w:pPr>
            <w:r w:rsidRPr="002758AC">
              <w:rPr>
                <w:sz w:val="16"/>
                <w:szCs w:val="16"/>
              </w:rPr>
              <w:t>Bénin, Congo, Madagascar, Malawi, Swaziland, Zimbabwe</w:t>
            </w:r>
          </w:p>
          <w:p w14:paraId="1B9A128D" w14:textId="77777777" w:rsidR="00561B47" w:rsidRPr="002758AC" w:rsidRDefault="00561B47" w:rsidP="006658D5">
            <w:pPr>
              <w:rPr>
                <w:sz w:val="16"/>
                <w:szCs w:val="16"/>
              </w:rPr>
            </w:pPr>
            <w:r w:rsidRPr="002758AC">
              <w:rPr>
                <w:sz w:val="16"/>
                <w:szCs w:val="16"/>
              </w:rPr>
              <w:t>(27 au total)</w:t>
            </w:r>
          </w:p>
          <w:p w14:paraId="00C66E70" w14:textId="77777777" w:rsidR="00561B47" w:rsidRPr="002758AC" w:rsidRDefault="00561B47" w:rsidP="006658D5">
            <w:pPr>
              <w:rPr>
                <w:sz w:val="16"/>
                <w:szCs w:val="16"/>
              </w:rPr>
            </w:pPr>
          </w:p>
          <w:p w14:paraId="57876F8A" w14:textId="77777777" w:rsidR="00561B47" w:rsidRPr="002758AC" w:rsidRDefault="00561B47" w:rsidP="006658D5">
            <w:pPr>
              <w:rPr>
                <w:sz w:val="16"/>
                <w:szCs w:val="16"/>
              </w:rPr>
            </w:pPr>
            <w:r w:rsidRPr="002758AC">
              <w:rPr>
                <w:sz w:val="16"/>
                <w:szCs w:val="16"/>
              </w:rPr>
              <w:t>Pays arabes (aucun pays supplémentaire)</w:t>
            </w:r>
          </w:p>
          <w:p w14:paraId="01CEEB76" w14:textId="77777777" w:rsidR="00561B47" w:rsidRPr="002758AC" w:rsidRDefault="00561B47" w:rsidP="006658D5">
            <w:pPr>
              <w:rPr>
                <w:sz w:val="16"/>
                <w:szCs w:val="16"/>
              </w:rPr>
            </w:pPr>
            <w:r w:rsidRPr="002758AC">
              <w:rPr>
                <w:sz w:val="16"/>
                <w:szCs w:val="16"/>
              </w:rPr>
              <w:t>(2 au total)</w:t>
            </w:r>
          </w:p>
          <w:p w14:paraId="7A2BC323" w14:textId="77777777" w:rsidR="00561B47" w:rsidRPr="002758AC" w:rsidRDefault="00561B47" w:rsidP="006658D5">
            <w:pPr>
              <w:rPr>
                <w:sz w:val="16"/>
                <w:szCs w:val="16"/>
              </w:rPr>
            </w:pPr>
          </w:p>
          <w:p w14:paraId="7BEA1B89" w14:textId="77777777" w:rsidR="00561B47" w:rsidRPr="002758AC" w:rsidRDefault="00561B47" w:rsidP="006658D5">
            <w:pPr>
              <w:rPr>
                <w:sz w:val="16"/>
                <w:szCs w:val="16"/>
              </w:rPr>
            </w:pPr>
            <w:r w:rsidRPr="002758AC">
              <w:rPr>
                <w:sz w:val="16"/>
                <w:szCs w:val="16"/>
              </w:rPr>
              <w:t xml:space="preserve">Asie et Pacifique (4 pays supplémentaires) : </w:t>
            </w:r>
            <w:proofErr w:type="spellStart"/>
            <w:r w:rsidRPr="002758AC">
              <w:rPr>
                <w:sz w:val="16"/>
                <w:szCs w:val="16"/>
              </w:rPr>
              <w:t>Brunéi</w:t>
            </w:r>
            <w:proofErr w:type="spellEnd"/>
            <w:r w:rsidRPr="002758AC">
              <w:rPr>
                <w:sz w:val="16"/>
                <w:szCs w:val="16"/>
              </w:rPr>
              <w:t xml:space="preserve"> Darussalam, Cambodge, Fidji, Mongolie</w:t>
            </w:r>
          </w:p>
          <w:p w14:paraId="5F2F5745" w14:textId="77777777" w:rsidR="00561B47" w:rsidRPr="002758AC" w:rsidRDefault="00561B47" w:rsidP="006658D5">
            <w:pPr>
              <w:rPr>
                <w:sz w:val="16"/>
                <w:szCs w:val="16"/>
              </w:rPr>
            </w:pPr>
            <w:r w:rsidRPr="002758AC">
              <w:rPr>
                <w:sz w:val="16"/>
                <w:szCs w:val="16"/>
              </w:rPr>
              <w:t>(9 au total)</w:t>
            </w:r>
          </w:p>
          <w:p w14:paraId="3633DFB0" w14:textId="77777777" w:rsidR="00561B47" w:rsidRPr="002758AC" w:rsidRDefault="00561B47" w:rsidP="006658D5">
            <w:pPr>
              <w:rPr>
                <w:sz w:val="16"/>
                <w:szCs w:val="16"/>
              </w:rPr>
            </w:pPr>
          </w:p>
          <w:p w14:paraId="7F1932CF" w14:textId="4B741999" w:rsidR="00561B47" w:rsidRPr="00266EB9" w:rsidRDefault="00561B47" w:rsidP="006658D5">
            <w:pPr>
              <w:rPr>
                <w:color w:val="000000"/>
                <w:sz w:val="16"/>
                <w:szCs w:val="16"/>
              </w:rPr>
            </w:pPr>
            <w:r w:rsidRPr="002758AC">
              <w:rPr>
                <w:sz w:val="16"/>
                <w:szCs w:val="16"/>
              </w:rPr>
              <w:t>Améri</w:t>
            </w:r>
            <w:r w:rsidRPr="00266EB9">
              <w:rPr>
                <w:color w:val="000000"/>
                <w:sz w:val="16"/>
                <w:szCs w:val="16"/>
              </w:rPr>
              <w:t>que latine et Caraïbes (</w:t>
            </w:r>
            <w:r w:rsidR="00A369A1">
              <w:rPr>
                <w:color w:val="000000"/>
                <w:sz w:val="16"/>
                <w:szCs w:val="16"/>
              </w:rPr>
              <w:t>Saint</w:t>
            </w:r>
            <w:r w:rsidR="00A369A1">
              <w:rPr>
                <w:color w:val="000000"/>
                <w:sz w:val="16"/>
                <w:szCs w:val="16"/>
              </w:rPr>
              <w:noBreakHyphen/>
              <w:t>Kitts</w:t>
            </w:r>
            <w:r w:rsidR="00A369A1">
              <w:rPr>
                <w:color w:val="000000"/>
                <w:sz w:val="16"/>
                <w:szCs w:val="16"/>
              </w:rPr>
              <w:noBreakHyphen/>
              <w:t>et</w:t>
            </w:r>
            <w:r w:rsidR="00A369A1">
              <w:rPr>
                <w:color w:val="000000"/>
                <w:sz w:val="16"/>
                <w:szCs w:val="16"/>
              </w:rPr>
              <w:noBreakHyphen/>
              <w:t>Nevis</w:t>
            </w:r>
            <w:r w:rsidRPr="00266EB9">
              <w:rPr>
                <w:color w:val="000000"/>
                <w:sz w:val="16"/>
                <w:szCs w:val="16"/>
              </w:rPr>
              <w:t>)</w:t>
            </w:r>
          </w:p>
          <w:p w14:paraId="04BF212B" w14:textId="2BC301E3" w:rsidR="00561B47" w:rsidRPr="00266EB9" w:rsidRDefault="00A369A1" w:rsidP="006658D5">
            <w:pPr>
              <w:rPr>
                <w:color w:val="000000"/>
                <w:sz w:val="16"/>
                <w:szCs w:val="16"/>
              </w:rPr>
            </w:pPr>
            <w:r>
              <w:rPr>
                <w:sz w:val="16"/>
                <w:szCs w:val="16"/>
              </w:rPr>
              <w:t>(6</w:t>
            </w:r>
            <w:r w:rsidR="00561B47" w:rsidRPr="00266EB9">
              <w:rPr>
                <w:sz w:val="16"/>
                <w:szCs w:val="16"/>
              </w:rPr>
              <w:t xml:space="preserve"> au total)</w:t>
            </w:r>
          </w:p>
          <w:p w14:paraId="33682CBD" w14:textId="77777777" w:rsidR="00561B47" w:rsidRPr="00266EB9" w:rsidRDefault="00561B47" w:rsidP="006658D5">
            <w:pPr>
              <w:rPr>
                <w:color w:val="000000"/>
                <w:sz w:val="16"/>
                <w:szCs w:val="16"/>
              </w:rPr>
            </w:pPr>
          </w:p>
          <w:p w14:paraId="3E891864" w14:textId="77777777" w:rsidR="00561B47" w:rsidRPr="00266EB9" w:rsidRDefault="00561B47" w:rsidP="006658D5">
            <w:pPr>
              <w:rPr>
                <w:sz w:val="16"/>
                <w:szCs w:val="16"/>
              </w:rPr>
            </w:pPr>
            <w:r w:rsidRPr="00266EB9">
              <w:rPr>
                <w:sz w:val="16"/>
                <w:szCs w:val="16"/>
              </w:rPr>
              <w:t>20 PMA inclus dans la ventilation régionale ci</w:t>
            </w:r>
            <w:r>
              <w:rPr>
                <w:sz w:val="16"/>
                <w:szCs w:val="16"/>
              </w:rPr>
              <w:noBreakHyphen/>
            </w:r>
            <w:r w:rsidRPr="00266EB9">
              <w:rPr>
                <w:sz w:val="16"/>
                <w:szCs w:val="16"/>
              </w:rPr>
              <w:t>dessus</w:t>
            </w:r>
          </w:p>
        </w:tc>
        <w:tc>
          <w:tcPr>
            <w:tcW w:w="601" w:type="pct"/>
            <w:shd w:val="clear" w:color="auto" w:fill="auto"/>
            <w:tcMar>
              <w:top w:w="57" w:type="dxa"/>
              <w:left w:w="108" w:type="dxa"/>
              <w:right w:w="108" w:type="dxa"/>
            </w:tcMar>
          </w:tcPr>
          <w:p w14:paraId="2C7983FA" w14:textId="77777777" w:rsidR="00561B47" w:rsidRPr="00266EB9" w:rsidRDefault="00561B47" w:rsidP="00A369A1">
            <w:pPr>
              <w:jc w:val="center"/>
              <w:rPr>
                <w:b/>
                <w:color w:val="00B050"/>
                <w:sz w:val="16"/>
                <w:szCs w:val="16"/>
              </w:rPr>
            </w:pPr>
            <w:r w:rsidRPr="00266EB9">
              <w:rPr>
                <w:b/>
                <w:color w:val="00B050"/>
                <w:sz w:val="16"/>
                <w:szCs w:val="16"/>
              </w:rPr>
              <w:t>En bonne voie</w:t>
            </w:r>
          </w:p>
          <w:p w14:paraId="4CC8EAE1" w14:textId="77777777" w:rsidR="00561B47" w:rsidRPr="00A369A1" w:rsidRDefault="00561B47" w:rsidP="00A369A1">
            <w:pPr>
              <w:jc w:val="center"/>
              <w:rPr>
                <w:b/>
                <w:color w:val="00B050"/>
                <w:sz w:val="16"/>
                <w:szCs w:val="16"/>
              </w:rPr>
            </w:pPr>
          </w:p>
          <w:p w14:paraId="52E7AA81" w14:textId="77777777" w:rsidR="00561B47" w:rsidRPr="00A369A1" w:rsidRDefault="00561B47" w:rsidP="00A369A1">
            <w:pPr>
              <w:jc w:val="center"/>
              <w:rPr>
                <w:b/>
                <w:color w:val="00B050"/>
                <w:sz w:val="16"/>
                <w:szCs w:val="16"/>
              </w:rPr>
            </w:pPr>
          </w:p>
          <w:p w14:paraId="1C84FEDE" w14:textId="77777777" w:rsidR="00561B47" w:rsidRPr="00A369A1" w:rsidRDefault="00561B47" w:rsidP="00A369A1">
            <w:pPr>
              <w:jc w:val="center"/>
              <w:rPr>
                <w:b/>
                <w:color w:val="00B050"/>
                <w:sz w:val="16"/>
                <w:szCs w:val="16"/>
              </w:rPr>
            </w:pPr>
          </w:p>
          <w:p w14:paraId="3532429F" w14:textId="77777777" w:rsidR="00561B47" w:rsidRPr="00A369A1" w:rsidRDefault="00561B47" w:rsidP="00A369A1">
            <w:pPr>
              <w:jc w:val="center"/>
              <w:rPr>
                <w:b/>
                <w:color w:val="00B050"/>
                <w:sz w:val="16"/>
                <w:szCs w:val="16"/>
              </w:rPr>
            </w:pPr>
          </w:p>
          <w:p w14:paraId="64329B89" w14:textId="77777777" w:rsidR="00561B47" w:rsidRPr="00A369A1" w:rsidRDefault="00561B47" w:rsidP="00A369A1">
            <w:pPr>
              <w:jc w:val="center"/>
              <w:rPr>
                <w:b/>
                <w:color w:val="00B050"/>
                <w:sz w:val="16"/>
                <w:szCs w:val="16"/>
              </w:rPr>
            </w:pPr>
          </w:p>
          <w:p w14:paraId="0485C571" w14:textId="77777777" w:rsidR="00561B47" w:rsidRPr="00266EB9" w:rsidRDefault="00561B47" w:rsidP="00A369A1">
            <w:pPr>
              <w:jc w:val="center"/>
              <w:rPr>
                <w:b/>
                <w:color w:val="FF0000"/>
                <w:sz w:val="16"/>
                <w:szCs w:val="16"/>
              </w:rPr>
            </w:pPr>
            <w:r w:rsidRPr="00266EB9">
              <w:rPr>
                <w:b/>
                <w:color w:val="FF0000"/>
                <w:sz w:val="16"/>
                <w:szCs w:val="16"/>
              </w:rPr>
              <w:t>Pas en bonne voie</w:t>
            </w:r>
          </w:p>
          <w:p w14:paraId="1AF43E65" w14:textId="77777777" w:rsidR="00561B47" w:rsidRPr="00A369A1" w:rsidRDefault="00561B47" w:rsidP="00A369A1">
            <w:pPr>
              <w:jc w:val="center"/>
              <w:rPr>
                <w:b/>
                <w:color w:val="00B050"/>
                <w:sz w:val="16"/>
                <w:szCs w:val="16"/>
              </w:rPr>
            </w:pPr>
          </w:p>
          <w:p w14:paraId="270A60F7" w14:textId="77777777" w:rsidR="00561B47" w:rsidRPr="00A369A1" w:rsidRDefault="00561B47" w:rsidP="00A369A1">
            <w:pPr>
              <w:jc w:val="center"/>
              <w:rPr>
                <w:b/>
                <w:color w:val="00B050"/>
                <w:sz w:val="16"/>
                <w:szCs w:val="16"/>
              </w:rPr>
            </w:pPr>
          </w:p>
          <w:p w14:paraId="5436A704" w14:textId="77777777" w:rsidR="00561B47" w:rsidRPr="00A369A1" w:rsidRDefault="00561B47" w:rsidP="00A369A1">
            <w:pPr>
              <w:jc w:val="center"/>
              <w:rPr>
                <w:b/>
                <w:color w:val="00B050"/>
                <w:sz w:val="16"/>
                <w:szCs w:val="16"/>
              </w:rPr>
            </w:pPr>
            <w:r w:rsidRPr="00A369A1">
              <w:rPr>
                <w:b/>
                <w:color w:val="00B050"/>
                <w:sz w:val="16"/>
                <w:szCs w:val="16"/>
              </w:rPr>
              <w:t>En bonne voie</w:t>
            </w:r>
          </w:p>
          <w:p w14:paraId="4FB222A3" w14:textId="77777777" w:rsidR="00561B47" w:rsidRPr="00A369A1" w:rsidRDefault="00561B47" w:rsidP="00A369A1">
            <w:pPr>
              <w:jc w:val="center"/>
              <w:rPr>
                <w:b/>
                <w:color w:val="00B050"/>
                <w:sz w:val="16"/>
                <w:szCs w:val="16"/>
              </w:rPr>
            </w:pPr>
          </w:p>
          <w:p w14:paraId="7FE7AD6A" w14:textId="77777777" w:rsidR="00561B47" w:rsidRPr="00A369A1" w:rsidRDefault="00561B47" w:rsidP="00A369A1">
            <w:pPr>
              <w:jc w:val="center"/>
              <w:rPr>
                <w:b/>
                <w:color w:val="00B050"/>
                <w:sz w:val="16"/>
                <w:szCs w:val="16"/>
              </w:rPr>
            </w:pPr>
          </w:p>
          <w:p w14:paraId="75F4B26B" w14:textId="77777777" w:rsidR="00561B47" w:rsidRPr="00A369A1" w:rsidRDefault="00561B47" w:rsidP="00A369A1">
            <w:pPr>
              <w:jc w:val="center"/>
              <w:rPr>
                <w:b/>
                <w:color w:val="00B050"/>
                <w:sz w:val="16"/>
                <w:szCs w:val="16"/>
              </w:rPr>
            </w:pPr>
          </w:p>
          <w:p w14:paraId="476D96E6" w14:textId="77777777" w:rsidR="00561B47" w:rsidRPr="00A369A1" w:rsidRDefault="00561B47" w:rsidP="00A369A1">
            <w:pPr>
              <w:jc w:val="center"/>
              <w:rPr>
                <w:b/>
                <w:color w:val="00B050"/>
                <w:sz w:val="16"/>
                <w:szCs w:val="16"/>
              </w:rPr>
            </w:pPr>
          </w:p>
          <w:p w14:paraId="0D35A415" w14:textId="77777777" w:rsidR="00A369A1" w:rsidRPr="00A369A1" w:rsidRDefault="00A369A1" w:rsidP="00A369A1">
            <w:pPr>
              <w:jc w:val="center"/>
              <w:rPr>
                <w:b/>
                <w:color w:val="00B050"/>
                <w:sz w:val="16"/>
                <w:szCs w:val="16"/>
              </w:rPr>
            </w:pPr>
            <w:r w:rsidRPr="00A369A1">
              <w:rPr>
                <w:b/>
                <w:color w:val="00B050"/>
                <w:sz w:val="16"/>
                <w:szCs w:val="16"/>
              </w:rPr>
              <w:t>En bonne voie</w:t>
            </w:r>
          </w:p>
          <w:p w14:paraId="5242E246" w14:textId="0236D929" w:rsidR="00561B47" w:rsidRPr="00266EB9" w:rsidRDefault="00561B47" w:rsidP="006658D5">
            <w:pPr>
              <w:jc w:val="center"/>
              <w:rPr>
                <w:b/>
                <w:color w:val="000000"/>
                <w:sz w:val="16"/>
                <w:szCs w:val="16"/>
              </w:rPr>
            </w:pPr>
          </w:p>
        </w:tc>
      </w:tr>
      <w:tr w:rsidR="00561B47" w:rsidRPr="00266EB9" w14:paraId="0EE023C0" w14:textId="77777777" w:rsidTr="006658D5">
        <w:trPr>
          <w:cantSplit/>
        </w:trPr>
        <w:tc>
          <w:tcPr>
            <w:tcW w:w="5000" w:type="pct"/>
            <w:gridSpan w:val="5"/>
            <w:shd w:val="clear" w:color="auto" w:fill="C6D9F1" w:themeFill="text2" w:themeFillTint="33"/>
            <w:tcMar>
              <w:left w:w="108" w:type="dxa"/>
              <w:right w:w="108" w:type="dxa"/>
            </w:tcMar>
            <w:vAlign w:val="center"/>
          </w:tcPr>
          <w:p w14:paraId="021230A0" w14:textId="77777777" w:rsidR="00561B47" w:rsidRPr="00266EB9" w:rsidRDefault="00561B47" w:rsidP="006658D5">
            <w:pPr>
              <w:tabs>
                <w:tab w:val="left" w:pos="1452"/>
              </w:tabs>
              <w:rPr>
                <w:b/>
                <w:bCs/>
                <w:sz w:val="16"/>
                <w:szCs w:val="16"/>
              </w:rPr>
            </w:pPr>
            <w:r w:rsidRPr="00266EB9">
              <w:rPr>
                <w:b/>
                <w:bCs/>
                <w:color w:val="000000"/>
                <w:sz w:val="16"/>
                <w:szCs w:val="16"/>
              </w:rPr>
              <w:t>Résultat escompté :</w:t>
            </w:r>
            <w:r w:rsidRPr="00266EB9">
              <w:rPr>
                <w:bCs/>
                <w:color w:val="000000"/>
                <w:sz w:val="16"/>
                <w:szCs w:val="16"/>
              </w:rPr>
              <w:t xml:space="preserve"> </w:t>
            </w:r>
            <w:r w:rsidRPr="00266EB9">
              <w:rPr>
                <w:bCs/>
                <w:sz w:val="16"/>
                <w:szCs w:val="16"/>
              </w:rPr>
              <w:t>III.2</w:t>
            </w:r>
            <w:r w:rsidRPr="00266EB9">
              <w:rPr>
                <w:bCs/>
                <w:color w:val="000000"/>
                <w:sz w:val="16"/>
                <w:szCs w:val="16"/>
              </w:rPr>
              <w:t xml:space="preserve"> </w:t>
            </w:r>
            <w:r w:rsidRPr="00266EB9">
              <w:rPr>
                <w:bCs/>
                <w:sz w:val="16"/>
                <w:szCs w:val="16"/>
              </w:rPr>
              <w:t>Mise en valeur des ressources humaines pour répondre aux diverses exigences en matière d’utilisation efficace de la propriété intellectuelle au service du développement dans les pays en développement, les PMA et les pays en transition</w:t>
            </w:r>
          </w:p>
        </w:tc>
      </w:tr>
      <w:tr w:rsidR="00561B47" w:rsidRPr="00266EB9" w14:paraId="304CDF3C" w14:textId="77777777" w:rsidTr="006658D5">
        <w:trPr>
          <w:cantSplit/>
        </w:trPr>
        <w:tc>
          <w:tcPr>
            <w:tcW w:w="1066" w:type="pct"/>
            <w:shd w:val="clear" w:color="auto" w:fill="auto"/>
            <w:tcMar>
              <w:left w:w="108" w:type="dxa"/>
              <w:right w:w="108" w:type="dxa"/>
            </w:tcMar>
            <w:vAlign w:val="center"/>
          </w:tcPr>
          <w:p w14:paraId="47C82404" w14:textId="77777777" w:rsidR="00561B47" w:rsidRPr="00266EB9" w:rsidRDefault="00561B47" w:rsidP="006658D5">
            <w:pPr>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641A7ED3" w14:textId="77777777" w:rsidR="00561B47" w:rsidRPr="00266EB9" w:rsidRDefault="00561B47" w:rsidP="006658D5">
            <w:pPr>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67804888" w14:textId="77777777" w:rsidR="00561B47" w:rsidRPr="00266EB9" w:rsidRDefault="00561B47" w:rsidP="006658D5">
            <w:pPr>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3F6B681E" w14:textId="77777777" w:rsidR="00561B47" w:rsidRPr="00266EB9" w:rsidRDefault="00561B47" w:rsidP="006658D5">
            <w:pPr>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16861128" w14:textId="77777777" w:rsidR="00561B47" w:rsidRPr="00266EB9" w:rsidRDefault="00561B47" w:rsidP="006658D5">
            <w:pPr>
              <w:jc w:val="center"/>
              <w:rPr>
                <w:b/>
                <w:bCs/>
                <w:sz w:val="16"/>
                <w:szCs w:val="16"/>
              </w:rPr>
            </w:pPr>
            <w:r w:rsidRPr="00266EB9">
              <w:rPr>
                <w:b/>
                <w:bCs/>
                <w:sz w:val="16"/>
                <w:szCs w:val="16"/>
              </w:rPr>
              <w:t>Code d’évaluation</w:t>
            </w:r>
          </w:p>
        </w:tc>
      </w:tr>
      <w:tr w:rsidR="00561B47" w:rsidRPr="00266EB9" w14:paraId="5F3AA6E1" w14:textId="77777777" w:rsidTr="006658D5">
        <w:trPr>
          <w:cantSplit/>
        </w:trPr>
        <w:tc>
          <w:tcPr>
            <w:tcW w:w="1066" w:type="pct"/>
            <w:shd w:val="clear" w:color="auto" w:fill="auto"/>
            <w:tcMar>
              <w:left w:w="108" w:type="dxa"/>
              <w:right w:w="108" w:type="dxa"/>
            </w:tcMar>
          </w:tcPr>
          <w:p w14:paraId="101CC104" w14:textId="77777777" w:rsidR="00561B47" w:rsidRPr="00266EB9" w:rsidRDefault="00561B47" w:rsidP="006658D5">
            <w:pPr>
              <w:rPr>
                <w:color w:val="000000"/>
                <w:sz w:val="16"/>
                <w:szCs w:val="16"/>
              </w:rPr>
            </w:pPr>
            <w:r w:rsidRPr="00266EB9">
              <w:rPr>
                <w:sz w:val="16"/>
                <w:szCs w:val="16"/>
              </w:rPr>
              <w:t>Pourcentage de participants à des manifestations de l’OMPI qui font part de leur satisfaction à l’égard du contenu et de l’organisation de ces manifestations</w:t>
            </w:r>
          </w:p>
        </w:tc>
        <w:tc>
          <w:tcPr>
            <w:tcW w:w="1270" w:type="pct"/>
            <w:shd w:val="clear" w:color="auto" w:fill="auto"/>
            <w:tcMar>
              <w:left w:w="108" w:type="dxa"/>
              <w:right w:w="108" w:type="dxa"/>
            </w:tcMar>
          </w:tcPr>
          <w:p w14:paraId="3A255D1E" w14:textId="77777777" w:rsidR="00561B47" w:rsidRPr="002655A7" w:rsidRDefault="00561B47" w:rsidP="006658D5">
            <w:pPr>
              <w:rPr>
                <w:i/>
                <w:color w:val="002060"/>
                <w:sz w:val="16"/>
                <w:szCs w:val="16"/>
              </w:rPr>
            </w:pPr>
            <w:r w:rsidRPr="00266EB9">
              <w:rPr>
                <w:i/>
                <w:color w:val="002060"/>
                <w:sz w:val="16"/>
                <w:szCs w:val="16"/>
              </w:rPr>
              <w:t>Niveau de référence actualisé à fin </w:t>
            </w:r>
            <w:r w:rsidRPr="002655A7">
              <w:rPr>
                <w:i/>
                <w:color w:val="002060"/>
                <w:sz w:val="16"/>
                <w:szCs w:val="16"/>
              </w:rPr>
              <w:t>2015 :</w:t>
            </w:r>
          </w:p>
          <w:p w14:paraId="4672173F" w14:textId="77777777" w:rsidR="00561B47" w:rsidRPr="002655A7" w:rsidRDefault="00561B47" w:rsidP="006658D5">
            <w:pPr>
              <w:rPr>
                <w:color w:val="002060"/>
                <w:sz w:val="16"/>
                <w:szCs w:val="16"/>
                <w:lang w:bidi="th-TH"/>
              </w:rPr>
            </w:pPr>
            <w:r w:rsidRPr="002655A7">
              <w:rPr>
                <w:color w:val="002060"/>
                <w:sz w:val="16"/>
                <w:szCs w:val="16"/>
                <w:lang w:bidi="th-TH"/>
              </w:rPr>
              <w:t>Afrique (75%)</w:t>
            </w:r>
          </w:p>
          <w:p w14:paraId="21F2B371" w14:textId="77777777" w:rsidR="00561B47" w:rsidRPr="002655A7" w:rsidRDefault="00561B47" w:rsidP="006658D5">
            <w:pPr>
              <w:rPr>
                <w:color w:val="002060"/>
                <w:sz w:val="16"/>
                <w:szCs w:val="16"/>
                <w:lang w:bidi="th-TH"/>
              </w:rPr>
            </w:pPr>
            <w:r w:rsidRPr="002655A7">
              <w:rPr>
                <w:color w:val="002060"/>
                <w:sz w:val="16"/>
                <w:szCs w:val="16"/>
                <w:lang w:bidi="th-TH"/>
              </w:rPr>
              <w:t>Pays arabes (90%)</w:t>
            </w:r>
          </w:p>
          <w:p w14:paraId="76DAAA93" w14:textId="77777777" w:rsidR="00561B47" w:rsidRPr="002655A7" w:rsidRDefault="00561B47" w:rsidP="006658D5">
            <w:pPr>
              <w:rPr>
                <w:color w:val="002060"/>
                <w:sz w:val="16"/>
                <w:szCs w:val="16"/>
                <w:lang w:bidi="th-TH"/>
              </w:rPr>
            </w:pPr>
            <w:r w:rsidRPr="002655A7">
              <w:rPr>
                <w:color w:val="002060"/>
                <w:sz w:val="16"/>
                <w:szCs w:val="16"/>
                <w:lang w:bidi="th-TH"/>
              </w:rPr>
              <w:t>Asie et Pacifique (95%)</w:t>
            </w:r>
          </w:p>
          <w:p w14:paraId="3DCEAFE8" w14:textId="77777777" w:rsidR="00561B47" w:rsidRPr="002655A7" w:rsidRDefault="00561B47" w:rsidP="006658D5">
            <w:pPr>
              <w:rPr>
                <w:color w:val="002060"/>
                <w:sz w:val="16"/>
                <w:szCs w:val="16"/>
                <w:lang w:bidi="th-TH"/>
              </w:rPr>
            </w:pPr>
            <w:r w:rsidRPr="002655A7">
              <w:rPr>
                <w:color w:val="002060"/>
                <w:sz w:val="16"/>
                <w:szCs w:val="16"/>
                <w:lang w:bidi="th-TH"/>
              </w:rPr>
              <w:t>Amérique latine et Caraïbes (80%)</w:t>
            </w:r>
          </w:p>
          <w:p w14:paraId="3D3F1D57" w14:textId="77777777" w:rsidR="00561B47" w:rsidRPr="002655A7" w:rsidRDefault="00561B47" w:rsidP="006658D5">
            <w:pPr>
              <w:rPr>
                <w:color w:val="002060"/>
                <w:sz w:val="16"/>
                <w:szCs w:val="16"/>
                <w:lang w:bidi="th-TH"/>
              </w:rPr>
            </w:pPr>
            <w:r w:rsidRPr="002655A7">
              <w:rPr>
                <w:color w:val="002060"/>
                <w:sz w:val="16"/>
                <w:szCs w:val="16"/>
                <w:lang w:bidi="th-TH"/>
              </w:rPr>
              <w:t>PMA (85%)</w:t>
            </w:r>
          </w:p>
          <w:p w14:paraId="39556614" w14:textId="77777777" w:rsidR="00561B47" w:rsidRPr="00266EB9" w:rsidRDefault="00561B47" w:rsidP="006658D5">
            <w:pPr>
              <w:rPr>
                <w:color w:val="000000"/>
                <w:sz w:val="16"/>
                <w:szCs w:val="16"/>
              </w:rPr>
            </w:pPr>
          </w:p>
          <w:p w14:paraId="1C39CE15" w14:textId="77777777" w:rsidR="00561B47" w:rsidRPr="00266EB9" w:rsidRDefault="00561B47" w:rsidP="006658D5">
            <w:pPr>
              <w:rPr>
                <w:color w:val="000000"/>
                <w:sz w:val="16"/>
                <w:szCs w:val="16"/>
              </w:rPr>
            </w:pPr>
          </w:p>
          <w:p w14:paraId="70A3B3AC"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5330C897"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(70%)</w:t>
            </w:r>
          </w:p>
          <w:p w14:paraId="118C337B"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w:t>
            </w:r>
          </w:p>
          <w:p w14:paraId="4A9FBB5E" w14:textId="77777777" w:rsidR="00561B47" w:rsidRPr="00266EB9" w:rsidRDefault="00561B47" w:rsidP="006658D5">
            <w:pPr>
              <w:rPr>
                <w:sz w:val="16"/>
                <w:szCs w:val="16"/>
              </w:rPr>
            </w:pPr>
            <w:r w:rsidRPr="00266EB9">
              <w:rPr>
                <w:sz w:val="16"/>
                <w:szCs w:val="16"/>
              </w:rPr>
              <w:t>(non disponible en 2014;  le système devait être mis en œuvre en 2015)</w:t>
            </w:r>
          </w:p>
          <w:p w14:paraId="6CE3DC23"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(92)</w:t>
            </w:r>
            <w:r w:rsidRPr="00266EB9">
              <w:rPr>
                <w:color w:val="000000"/>
                <w:sz w:val="16"/>
                <w:szCs w:val="16"/>
              </w:rPr>
              <w:br/>
              <w:t>A</w:t>
            </w:r>
            <w:r w:rsidRPr="00266EB9">
              <w:rPr>
                <w:sz w:val="16"/>
                <w:szCs w:val="16"/>
              </w:rPr>
              <w:t>mérique latine et Caraïbes</w:t>
            </w:r>
          </w:p>
          <w:p w14:paraId="7C81267E" w14:textId="77777777" w:rsidR="00561B47" w:rsidRPr="00266EB9" w:rsidRDefault="00561B47" w:rsidP="006658D5">
            <w:pPr>
              <w:rPr>
                <w:sz w:val="16"/>
                <w:szCs w:val="16"/>
              </w:rPr>
            </w:pPr>
            <w:r w:rsidRPr="00266EB9">
              <w:rPr>
                <w:sz w:val="16"/>
                <w:szCs w:val="16"/>
              </w:rPr>
              <w:t>(non disponible en 2014;  le système devait être mis en œuvre en 2015)</w:t>
            </w:r>
          </w:p>
          <w:p w14:paraId="01AEB2AD" w14:textId="77777777" w:rsidR="00561B47" w:rsidRPr="00266EB9" w:rsidRDefault="00561B47" w:rsidP="006658D5">
            <w:pPr>
              <w:rPr>
                <w:sz w:val="16"/>
                <w:szCs w:val="16"/>
              </w:rPr>
            </w:pPr>
            <w:r w:rsidRPr="00266EB9">
              <w:rPr>
                <w:rFonts w:hint="eastAsia"/>
                <w:sz w:val="16"/>
                <w:szCs w:val="16"/>
              </w:rPr>
              <w:t>–</w:t>
            </w:r>
            <w:r w:rsidRPr="00266EB9">
              <w:rPr>
                <w:sz w:val="16"/>
                <w:szCs w:val="16"/>
              </w:rPr>
              <w:t> PMA (90%)</w:t>
            </w:r>
          </w:p>
        </w:tc>
        <w:tc>
          <w:tcPr>
            <w:tcW w:w="851" w:type="pct"/>
            <w:shd w:val="clear" w:color="auto" w:fill="auto"/>
            <w:tcMar>
              <w:top w:w="57" w:type="dxa"/>
              <w:left w:w="108" w:type="dxa"/>
              <w:right w:w="108" w:type="dxa"/>
            </w:tcMar>
          </w:tcPr>
          <w:p w14:paraId="260956EA" w14:textId="77777777" w:rsidR="00561B47" w:rsidRPr="002758AC" w:rsidRDefault="00561B47" w:rsidP="006658D5">
            <w:pPr>
              <w:rPr>
                <w:i/>
                <w:color w:val="002060"/>
                <w:sz w:val="16"/>
                <w:szCs w:val="16"/>
              </w:rPr>
            </w:pPr>
            <w:r w:rsidRPr="00266EB9">
              <w:rPr>
                <w:i/>
                <w:color w:val="002060"/>
                <w:sz w:val="16"/>
                <w:szCs w:val="16"/>
              </w:rPr>
              <w:t>Objectif</w:t>
            </w:r>
            <w:r w:rsidRPr="002758AC">
              <w:rPr>
                <w:i/>
                <w:color w:val="002060"/>
                <w:sz w:val="16"/>
                <w:szCs w:val="16"/>
              </w:rPr>
              <w:t xml:space="preserve"> actualisé :</w:t>
            </w:r>
          </w:p>
          <w:p w14:paraId="4F580E19" w14:textId="77777777" w:rsidR="00561B47" w:rsidRPr="002758AC" w:rsidRDefault="00561B47" w:rsidP="006658D5">
            <w:pPr>
              <w:rPr>
                <w:color w:val="002060"/>
                <w:sz w:val="16"/>
                <w:szCs w:val="16"/>
              </w:rPr>
            </w:pPr>
            <w:r w:rsidRPr="002758AC">
              <w:rPr>
                <w:rFonts w:hint="eastAsia"/>
                <w:color w:val="002060"/>
                <w:sz w:val="16"/>
                <w:szCs w:val="16"/>
              </w:rPr>
              <w:t>–</w:t>
            </w:r>
            <w:r w:rsidRPr="002758AC">
              <w:rPr>
                <w:color w:val="002060"/>
                <w:sz w:val="16"/>
                <w:szCs w:val="16"/>
              </w:rPr>
              <w:t> Afrique (75%)</w:t>
            </w:r>
          </w:p>
          <w:p w14:paraId="0021C3AE" w14:textId="77777777" w:rsidR="00561B47" w:rsidRPr="002758AC" w:rsidRDefault="00561B47" w:rsidP="006658D5">
            <w:pPr>
              <w:rPr>
                <w:color w:val="002060"/>
                <w:sz w:val="16"/>
                <w:szCs w:val="16"/>
              </w:rPr>
            </w:pPr>
            <w:r w:rsidRPr="002758AC">
              <w:rPr>
                <w:rFonts w:hint="eastAsia"/>
                <w:color w:val="002060"/>
                <w:sz w:val="16"/>
                <w:szCs w:val="16"/>
              </w:rPr>
              <w:t>–</w:t>
            </w:r>
            <w:r w:rsidRPr="002758AC">
              <w:rPr>
                <w:color w:val="002060"/>
                <w:sz w:val="16"/>
                <w:szCs w:val="16"/>
              </w:rPr>
              <w:t> Pays arabes (90%)</w:t>
            </w:r>
          </w:p>
          <w:p w14:paraId="2A5CA196" w14:textId="77777777" w:rsidR="00561B47" w:rsidRPr="002758AC" w:rsidRDefault="00561B47" w:rsidP="006658D5">
            <w:pPr>
              <w:rPr>
                <w:color w:val="002060"/>
                <w:sz w:val="16"/>
                <w:szCs w:val="16"/>
              </w:rPr>
            </w:pPr>
            <w:r w:rsidRPr="002758AC">
              <w:rPr>
                <w:rFonts w:hint="eastAsia"/>
                <w:color w:val="002060"/>
                <w:sz w:val="16"/>
                <w:szCs w:val="16"/>
              </w:rPr>
              <w:t>–</w:t>
            </w:r>
            <w:r w:rsidRPr="002758AC">
              <w:rPr>
                <w:color w:val="002060"/>
                <w:sz w:val="16"/>
                <w:szCs w:val="16"/>
              </w:rPr>
              <w:t> Asie et Pacifique (95%)</w:t>
            </w:r>
          </w:p>
          <w:p w14:paraId="3EAFB3E3" w14:textId="77777777" w:rsidR="00561B47" w:rsidRPr="002758AC" w:rsidRDefault="00561B47" w:rsidP="006658D5">
            <w:pPr>
              <w:rPr>
                <w:color w:val="002060"/>
                <w:sz w:val="16"/>
                <w:szCs w:val="16"/>
              </w:rPr>
            </w:pPr>
            <w:r w:rsidRPr="002758AC">
              <w:rPr>
                <w:rFonts w:hint="eastAsia"/>
                <w:color w:val="002060"/>
                <w:sz w:val="16"/>
                <w:szCs w:val="16"/>
              </w:rPr>
              <w:t>–</w:t>
            </w:r>
            <w:r w:rsidRPr="002758AC">
              <w:rPr>
                <w:color w:val="002060"/>
                <w:sz w:val="16"/>
                <w:szCs w:val="16"/>
              </w:rPr>
              <w:t> Amérique latine et Caraïbes (85%)</w:t>
            </w:r>
          </w:p>
          <w:p w14:paraId="7594DCC2" w14:textId="77777777" w:rsidR="00561B47" w:rsidRPr="002758AC" w:rsidRDefault="00561B47" w:rsidP="006658D5">
            <w:pPr>
              <w:rPr>
                <w:color w:val="002060"/>
                <w:sz w:val="16"/>
                <w:szCs w:val="16"/>
              </w:rPr>
            </w:pPr>
            <w:r w:rsidRPr="002758AC">
              <w:rPr>
                <w:rFonts w:hint="eastAsia"/>
                <w:color w:val="002060"/>
                <w:sz w:val="16"/>
                <w:szCs w:val="16"/>
              </w:rPr>
              <w:t>–</w:t>
            </w:r>
            <w:r w:rsidRPr="002758AC">
              <w:rPr>
                <w:color w:val="002060"/>
                <w:sz w:val="16"/>
                <w:szCs w:val="16"/>
              </w:rPr>
              <w:t> PMA (85%)</w:t>
            </w:r>
          </w:p>
          <w:p w14:paraId="6AE601C0" w14:textId="77777777" w:rsidR="00561B47" w:rsidRPr="00266EB9" w:rsidRDefault="00561B47" w:rsidP="006658D5">
            <w:pPr>
              <w:rPr>
                <w:color w:val="000000"/>
                <w:sz w:val="16"/>
                <w:szCs w:val="16"/>
              </w:rPr>
            </w:pPr>
          </w:p>
          <w:p w14:paraId="14DE0595" w14:textId="77777777" w:rsidR="00561B47" w:rsidRPr="00266EB9" w:rsidRDefault="00561B47" w:rsidP="006658D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2488EF16" w14:textId="77777777" w:rsidR="00561B47" w:rsidRPr="00266EB9" w:rsidRDefault="00561B47" w:rsidP="006658D5">
            <w:pPr>
              <w:rPr>
                <w:sz w:val="16"/>
                <w:szCs w:val="16"/>
              </w:rPr>
            </w:pPr>
            <w:r w:rsidRPr="00266EB9">
              <w:rPr>
                <w:rFonts w:hint="eastAsia"/>
                <w:sz w:val="16"/>
                <w:szCs w:val="16"/>
              </w:rPr>
              <w:t>–</w:t>
            </w:r>
            <w:r w:rsidRPr="00266EB9">
              <w:rPr>
                <w:sz w:val="16"/>
                <w:szCs w:val="16"/>
              </w:rPr>
              <w:t xml:space="preserve"> Afrique (70%)</w:t>
            </w:r>
          </w:p>
          <w:p w14:paraId="3448DD2F"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(70%)</w:t>
            </w:r>
          </w:p>
          <w:p w14:paraId="6A5A24C5"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(70%)</w:t>
            </w:r>
          </w:p>
          <w:p w14:paraId="1F418B76"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(85%)</w:t>
            </w:r>
          </w:p>
          <w:p w14:paraId="308FE4F1" w14:textId="77777777" w:rsidR="00561B47" w:rsidRPr="00266EB9" w:rsidRDefault="00561B47" w:rsidP="006658D5">
            <w:pPr>
              <w:rPr>
                <w:sz w:val="16"/>
                <w:szCs w:val="16"/>
              </w:rPr>
            </w:pPr>
            <w:r w:rsidRPr="00266EB9">
              <w:rPr>
                <w:rFonts w:hint="eastAsia"/>
                <w:sz w:val="16"/>
                <w:szCs w:val="16"/>
              </w:rPr>
              <w:t>–</w:t>
            </w:r>
            <w:r w:rsidRPr="00266EB9">
              <w:rPr>
                <w:sz w:val="16"/>
                <w:szCs w:val="16"/>
              </w:rPr>
              <w:t> PMA (70%)</w:t>
            </w:r>
          </w:p>
        </w:tc>
        <w:tc>
          <w:tcPr>
            <w:tcW w:w="1212" w:type="pct"/>
            <w:shd w:val="clear" w:color="auto" w:fill="FFFFFF"/>
            <w:tcMar>
              <w:top w:w="57" w:type="dxa"/>
              <w:left w:w="108" w:type="dxa"/>
              <w:right w:w="108" w:type="dxa"/>
            </w:tcMar>
          </w:tcPr>
          <w:p w14:paraId="1B4EB86F" w14:textId="15BE220E" w:rsidR="00561B47" w:rsidRPr="00266EB9" w:rsidRDefault="00561B47" w:rsidP="006658D5">
            <w:pPr>
              <w:rPr>
                <w:color w:val="000000"/>
                <w:sz w:val="16"/>
                <w:szCs w:val="16"/>
              </w:rPr>
            </w:pPr>
            <w:r w:rsidRPr="00266EB9">
              <w:rPr>
                <w:sz w:val="16"/>
                <w:szCs w:val="16"/>
              </w:rPr>
              <w:t xml:space="preserve">Afrique </w:t>
            </w:r>
            <w:r w:rsidR="00A369A1">
              <w:rPr>
                <w:color w:val="000000"/>
                <w:sz w:val="16"/>
                <w:szCs w:val="16"/>
              </w:rPr>
              <w:t>(d</w:t>
            </w:r>
            <w:r w:rsidR="00CA7EBF">
              <w:rPr>
                <w:color w:val="000000"/>
                <w:sz w:val="16"/>
                <w:szCs w:val="16"/>
              </w:rPr>
              <w:t>onnées partielles uniquement</w:t>
            </w:r>
            <w:r w:rsidR="00A369A1">
              <w:rPr>
                <w:color w:val="000000"/>
                <w:sz w:val="16"/>
                <w:szCs w:val="16"/>
              </w:rPr>
              <w:t>)</w:t>
            </w:r>
          </w:p>
          <w:p w14:paraId="36064DB8" w14:textId="77777777" w:rsidR="00561B47" w:rsidRDefault="00561B47" w:rsidP="006658D5">
            <w:pPr>
              <w:rPr>
                <w:color w:val="000000"/>
                <w:sz w:val="16"/>
                <w:szCs w:val="16"/>
              </w:rPr>
            </w:pPr>
          </w:p>
          <w:p w14:paraId="2AE06C0E" w14:textId="77777777" w:rsidR="00561B47" w:rsidRPr="00266EB9" w:rsidRDefault="00561B47" w:rsidP="006658D5">
            <w:pPr>
              <w:rPr>
                <w:color w:val="000000"/>
                <w:sz w:val="16"/>
                <w:szCs w:val="16"/>
              </w:rPr>
            </w:pPr>
          </w:p>
          <w:p w14:paraId="7E9E1140" w14:textId="7CA47FBA" w:rsidR="00561B47" w:rsidRPr="00266EB9" w:rsidRDefault="00561B47" w:rsidP="006658D5">
            <w:pPr>
              <w:rPr>
                <w:color w:val="000000"/>
                <w:sz w:val="16"/>
                <w:szCs w:val="16"/>
              </w:rPr>
            </w:pPr>
            <w:r w:rsidRPr="00266EB9">
              <w:rPr>
                <w:sz w:val="16"/>
                <w:szCs w:val="16"/>
              </w:rPr>
              <w:t>Pays arabes</w:t>
            </w:r>
            <w:r w:rsidR="00CA7EBF" w:rsidRPr="00266EB9">
              <w:rPr>
                <w:sz w:val="16"/>
                <w:szCs w:val="16"/>
              </w:rPr>
              <w:t xml:space="preserve"> </w:t>
            </w:r>
            <w:r w:rsidR="00CA7EBF">
              <w:rPr>
                <w:color w:val="000000"/>
                <w:sz w:val="16"/>
                <w:szCs w:val="16"/>
              </w:rPr>
              <w:t>(données partielles uniquement)</w:t>
            </w:r>
          </w:p>
          <w:p w14:paraId="1108BEFC" w14:textId="77777777" w:rsidR="00561B47" w:rsidRDefault="00561B47" w:rsidP="006658D5">
            <w:pPr>
              <w:rPr>
                <w:color w:val="000000"/>
                <w:sz w:val="16"/>
                <w:szCs w:val="16"/>
              </w:rPr>
            </w:pPr>
          </w:p>
          <w:p w14:paraId="17939142" w14:textId="77777777" w:rsidR="00561B47" w:rsidRPr="00266EB9" w:rsidRDefault="00561B47" w:rsidP="006658D5">
            <w:pPr>
              <w:rPr>
                <w:color w:val="000000"/>
                <w:sz w:val="16"/>
                <w:szCs w:val="16"/>
              </w:rPr>
            </w:pPr>
          </w:p>
          <w:p w14:paraId="13383DF0" w14:textId="77777777" w:rsidR="00561B47" w:rsidRPr="00266EB9" w:rsidRDefault="00561B47" w:rsidP="006658D5">
            <w:pPr>
              <w:rPr>
                <w:color w:val="000000"/>
                <w:sz w:val="16"/>
                <w:szCs w:val="16"/>
              </w:rPr>
            </w:pPr>
            <w:r w:rsidRPr="00266EB9">
              <w:rPr>
                <w:sz w:val="16"/>
                <w:szCs w:val="16"/>
              </w:rPr>
              <w:t>Asie et Pacifique (99%)</w:t>
            </w:r>
          </w:p>
          <w:p w14:paraId="6FACD310" w14:textId="77777777" w:rsidR="00561B47" w:rsidRDefault="00561B47" w:rsidP="006658D5">
            <w:pPr>
              <w:rPr>
                <w:color w:val="000000"/>
                <w:sz w:val="16"/>
                <w:szCs w:val="16"/>
              </w:rPr>
            </w:pPr>
          </w:p>
          <w:p w14:paraId="5429F377" w14:textId="77777777" w:rsidR="00561B47" w:rsidRPr="00266EB9" w:rsidRDefault="00561B47" w:rsidP="006658D5">
            <w:pPr>
              <w:rPr>
                <w:color w:val="000000"/>
                <w:sz w:val="16"/>
                <w:szCs w:val="16"/>
              </w:rPr>
            </w:pPr>
          </w:p>
          <w:p w14:paraId="686DF039" w14:textId="1C0500B7" w:rsidR="00561B47" w:rsidRPr="00266EB9" w:rsidRDefault="00561B47" w:rsidP="006658D5">
            <w:pPr>
              <w:rPr>
                <w:color w:val="000000"/>
                <w:sz w:val="16"/>
                <w:szCs w:val="16"/>
              </w:rPr>
            </w:pPr>
            <w:r w:rsidRPr="00266EB9">
              <w:rPr>
                <w:color w:val="000000"/>
                <w:sz w:val="16"/>
                <w:szCs w:val="16"/>
              </w:rPr>
              <w:t xml:space="preserve">Amérique latine et Caraïbes </w:t>
            </w:r>
            <w:r w:rsidR="00CA7EBF" w:rsidRPr="00266EB9">
              <w:rPr>
                <w:sz w:val="16"/>
                <w:szCs w:val="16"/>
              </w:rPr>
              <w:t xml:space="preserve"> </w:t>
            </w:r>
            <w:r w:rsidR="00CA7EBF">
              <w:rPr>
                <w:color w:val="000000"/>
                <w:sz w:val="16"/>
                <w:szCs w:val="16"/>
              </w:rPr>
              <w:t>(données partielles uniquement)</w:t>
            </w:r>
          </w:p>
          <w:p w14:paraId="5CA5AC4C" w14:textId="77777777" w:rsidR="00561B47" w:rsidRPr="00266EB9" w:rsidRDefault="00561B47" w:rsidP="006658D5">
            <w:pPr>
              <w:rPr>
                <w:color w:val="000000"/>
                <w:sz w:val="16"/>
                <w:szCs w:val="16"/>
              </w:rPr>
            </w:pPr>
          </w:p>
          <w:p w14:paraId="5ACFC789" w14:textId="77777777" w:rsidR="00561B47" w:rsidRPr="00266EB9" w:rsidRDefault="00561B47" w:rsidP="006658D5">
            <w:pPr>
              <w:rPr>
                <w:color w:val="000000"/>
                <w:sz w:val="16"/>
                <w:szCs w:val="16"/>
              </w:rPr>
            </w:pPr>
            <w:r w:rsidRPr="00266EB9">
              <w:rPr>
                <w:sz w:val="16"/>
                <w:szCs w:val="16"/>
              </w:rPr>
              <w:t>PMA (95%)</w:t>
            </w:r>
          </w:p>
        </w:tc>
        <w:tc>
          <w:tcPr>
            <w:tcW w:w="601" w:type="pct"/>
            <w:shd w:val="clear" w:color="auto" w:fill="auto"/>
            <w:tcMar>
              <w:top w:w="57" w:type="dxa"/>
              <w:left w:w="108" w:type="dxa"/>
              <w:right w:w="108" w:type="dxa"/>
            </w:tcMar>
          </w:tcPr>
          <w:p w14:paraId="62290E12" w14:textId="77777777" w:rsidR="00A369A1" w:rsidRPr="00266EB9" w:rsidRDefault="00A369A1" w:rsidP="00A369A1">
            <w:pPr>
              <w:jc w:val="center"/>
              <w:rPr>
                <w:b/>
                <w:color w:val="808080"/>
                <w:sz w:val="16"/>
                <w:szCs w:val="16"/>
              </w:rPr>
            </w:pPr>
            <w:r w:rsidRPr="00266EB9">
              <w:rPr>
                <w:b/>
                <w:color w:val="A6A6A6" w:themeColor="background1" w:themeShade="A6"/>
                <w:sz w:val="16"/>
                <w:szCs w:val="16"/>
              </w:rPr>
              <w:t>Non évaluable</w:t>
            </w:r>
          </w:p>
          <w:p w14:paraId="1659D29D" w14:textId="77777777" w:rsidR="00561B47" w:rsidRDefault="00561B47" w:rsidP="006658D5">
            <w:pPr>
              <w:jc w:val="center"/>
              <w:rPr>
                <w:b/>
                <w:color w:val="000000"/>
                <w:sz w:val="16"/>
                <w:szCs w:val="16"/>
              </w:rPr>
            </w:pPr>
          </w:p>
          <w:p w14:paraId="73BAC8BD" w14:textId="77777777" w:rsidR="00A369A1" w:rsidRPr="00266EB9" w:rsidRDefault="00A369A1" w:rsidP="006658D5">
            <w:pPr>
              <w:jc w:val="center"/>
              <w:rPr>
                <w:b/>
                <w:color w:val="000000"/>
                <w:sz w:val="16"/>
                <w:szCs w:val="16"/>
              </w:rPr>
            </w:pPr>
          </w:p>
          <w:p w14:paraId="5C0DA0A7" w14:textId="77777777" w:rsidR="00A369A1" w:rsidRPr="00266EB9" w:rsidRDefault="00A369A1" w:rsidP="00A369A1">
            <w:pPr>
              <w:jc w:val="center"/>
              <w:rPr>
                <w:b/>
                <w:color w:val="808080"/>
                <w:sz w:val="16"/>
                <w:szCs w:val="16"/>
              </w:rPr>
            </w:pPr>
            <w:r w:rsidRPr="00266EB9">
              <w:rPr>
                <w:b/>
                <w:color w:val="A6A6A6" w:themeColor="background1" w:themeShade="A6"/>
                <w:sz w:val="16"/>
                <w:szCs w:val="16"/>
              </w:rPr>
              <w:t>Non évaluable</w:t>
            </w:r>
          </w:p>
          <w:p w14:paraId="658903D3" w14:textId="77777777" w:rsidR="00561B47" w:rsidRDefault="00561B47" w:rsidP="006658D5">
            <w:pPr>
              <w:jc w:val="center"/>
              <w:rPr>
                <w:b/>
                <w:color w:val="00B050"/>
                <w:sz w:val="16"/>
                <w:szCs w:val="16"/>
              </w:rPr>
            </w:pPr>
          </w:p>
          <w:p w14:paraId="5FB3ED13" w14:textId="77777777" w:rsidR="00A369A1" w:rsidRPr="00266EB9" w:rsidRDefault="00A369A1" w:rsidP="006658D5">
            <w:pPr>
              <w:jc w:val="center"/>
              <w:rPr>
                <w:b/>
                <w:color w:val="00B050"/>
                <w:sz w:val="16"/>
                <w:szCs w:val="16"/>
              </w:rPr>
            </w:pPr>
          </w:p>
          <w:p w14:paraId="5464A4C5" w14:textId="77777777" w:rsidR="00561B47" w:rsidRPr="00266EB9" w:rsidRDefault="00561B47" w:rsidP="006658D5">
            <w:pPr>
              <w:jc w:val="center"/>
              <w:rPr>
                <w:b/>
                <w:color w:val="00B050"/>
                <w:sz w:val="16"/>
                <w:szCs w:val="16"/>
              </w:rPr>
            </w:pPr>
            <w:r w:rsidRPr="00266EB9">
              <w:rPr>
                <w:b/>
                <w:color w:val="00B050"/>
                <w:sz w:val="16"/>
                <w:szCs w:val="16"/>
              </w:rPr>
              <w:t>En bonne voie</w:t>
            </w:r>
          </w:p>
          <w:p w14:paraId="341201B8" w14:textId="77777777" w:rsidR="00561B47" w:rsidRPr="00266EB9" w:rsidRDefault="00561B47" w:rsidP="006658D5">
            <w:pPr>
              <w:jc w:val="center"/>
              <w:rPr>
                <w:b/>
                <w:color w:val="00B050"/>
                <w:sz w:val="16"/>
                <w:szCs w:val="16"/>
              </w:rPr>
            </w:pPr>
          </w:p>
          <w:p w14:paraId="31D8B5C1" w14:textId="77777777" w:rsidR="00561B47" w:rsidRPr="00266EB9" w:rsidRDefault="00561B47" w:rsidP="006658D5">
            <w:pPr>
              <w:jc w:val="center"/>
              <w:rPr>
                <w:b/>
                <w:color w:val="808080"/>
                <w:sz w:val="16"/>
                <w:szCs w:val="16"/>
              </w:rPr>
            </w:pPr>
            <w:r w:rsidRPr="00266EB9">
              <w:rPr>
                <w:b/>
                <w:color w:val="A6A6A6" w:themeColor="background1" w:themeShade="A6"/>
                <w:sz w:val="16"/>
                <w:szCs w:val="16"/>
              </w:rPr>
              <w:t>Non évaluable</w:t>
            </w:r>
          </w:p>
          <w:p w14:paraId="61C172A5" w14:textId="77777777" w:rsidR="00561B47" w:rsidRDefault="00561B47" w:rsidP="00CE0AA4">
            <w:pPr>
              <w:jc w:val="center"/>
              <w:rPr>
                <w:b/>
                <w:color w:val="00B050"/>
                <w:sz w:val="16"/>
                <w:szCs w:val="16"/>
              </w:rPr>
            </w:pPr>
          </w:p>
          <w:p w14:paraId="0C59E594" w14:textId="77777777" w:rsidR="00CE0AA4" w:rsidRPr="00266EB9" w:rsidRDefault="00CE0AA4" w:rsidP="00CE0AA4">
            <w:pPr>
              <w:jc w:val="center"/>
              <w:rPr>
                <w:b/>
                <w:color w:val="00B050"/>
                <w:sz w:val="16"/>
                <w:szCs w:val="16"/>
              </w:rPr>
            </w:pPr>
          </w:p>
          <w:p w14:paraId="27075452" w14:textId="6FC9098C" w:rsidR="00561B47" w:rsidRPr="00CE0AA4" w:rsidRDefault="00561B47" w:rsidP="00CE0AA4">
            <w:pPr>
              <w:jc w:val="center"/>
              <w:rPr>
                <w:b/>
                <w:color w:val="00B050"/>
                <w:sz w:val="16"/>
                <w:szCs w:val="16"/>
              </w:rPr>
            </w:pPr>
            <w:r w:rsidRPr="00266EB9">
              <w:rPr>
                <w:b/>
                <w:color w:val="00B050"/>
                <w:sz w:val="16"/>
                <w:szCs w:val="16"/>
              </w:rPr>
              <w:t>En bonne voie</w:t>
            </w:r>
          </w:p>
        </w:tc>
      </w:tr>
      <w:tr w:rsidR="00561B47" w:rsidRPr="00266EB9" w14:paraId="23614A1A" w14:textId="77777777" w:rsidTr="006658D5">
        <w:trPr>
          <w:cantSplit/>
        </w:trPr>
        <w:tc>
          <w:tcPr>
            <w:tcW w:w="1066" w:type="pct"/>
            <w:shd w:val="clear" w:color="auto" w:fill="auto"/>
            <w:tcMar>
              <w:left w:w="108" w:type="dxa"/>
              <w:right w:w="108" w:type="dxa"/>
            </w:tcMar>
          </w:tcPr>
          <w:p w14:paraId="6820DE74" w14:textId="77777777" w:rsidR="00561B47" w:rsidRPr="00266EB9" w:rsidRDefault="00561B47" w:rsidP="006658D5">
            <w:pPr>
              <w:rPr>
                <w:color w:val="000000"/>
                <w:sz w:val="16"/>
                <w:szCs w:val="16"/>
              </w:rPr>
            </w:pPr>
            <w:r w:rsidRPr="00266EB9">
              <w:rPr>
                <w:sz w:val="16"/>
                <w:szCs w:val="16"/>
              </w:rPr>
              <w:lastRenderedPageBreak/>
              <w:t>Pourcentage de participants à des ateliers de l’OMPI qui mettent en pratique, dans leur travail ou leur entreprise, les compétences acquises</w:t>
            </w:r>
          </w:p>
        </w:tc>
        <w:tc>
          <w:tcPr>
            <w:tcW w:w="1270" w:type="pct"/>
            <w:shd w:val="clear" w:color="auto" w:fill="auto"/>
            <w:tcMar>
              <w:left w:w="108" w:type="dxa"/>
              <w:right w:w="108" w:type="dxa"/>
            </w:tcMar>
          </w:tcPr>
          <w:p w14:paraId="5002E460" w14:textId="77777777" w:rsidR="00561B47" w:rsidRPr="002655A7" w:rsidRDefault="00561B47" w:rsidP="006658D5">
            <w:pPr>
              <w:rPr>
                <w:i/>
                <w:color w:val="002060"/>
                <w:sz w:val="16"/>
                <w:szCs w:val="16"/>
              </w:rPr>
            </w:pPr>
            <w:r w:rsidRPr="00266EB9">
              <w:rPr>
                <w:i/>
                <w:color w:val="002060"/>
                <w:sz w:val="16"/>
                <w:szCs w:val="16"/>
              </w:rPr>
              <w:t>Niveau de référence actualisé à fin</w:t>
            </w:r>
            <w:r w:rsidRPr="002655A7">
              <w:rPr>
                <w:i/>
                <w:color w:val="002060"/>
                <w:sz w:val="16"/>
                <w:szCs w:val="16"/>
              </w:rPr>
              <w:t> 2015 :</w:t>
            </w:r>
          </w:p>
          <w:p w14:paraId="1A0027B8" w14:textId="77777777" w:rsidR="00561B47" w:rsidRPr="002655A7" w:rsidRDefault="00561B47" w:rsidP="006658D5">
            <w:pPr>
              <w:rPr>
                <w:color w:val="002060"/>
                <w:sz w:val="16"/>
                <w:szCs w:val="16"/>
                <w:lang w:bidi="th-TH"/>
              </w:rPr>
            </w:pPr>
            <w:r w:rsidRPr="002655A7">
              <w:rPr>
                <w:color w:val="002060"/>
                <w:sz w:val="16"/>
                <w:szCs w:val="16"/>
                <w:lang w:bidi="th-TH"/>
              </w:rPr>
              <w:t>Afrique (70%)</w:t>
            </w:r>
          </w:p>
          <w:p w14:paraId="13008674" w14:textId="77777777" w:rsidR="00561B47" w:rsidRPr="002655A7" w:rsidRDefault="00561B47" w:rsidP="006658D5">
            <w:pPr>
              <w:rPr>
                <w:color w:val="002060"/>
                <w:sz w:val="16"/>
                <w:szCs w:val="16"/>
                <w:lang w:bidi="th-TH"/>
              </w:rPr>
            </w:pPr>
            <w:r w:rsidRPr="002655A7">
              <w:rPr>
                <w:color w:val="002060"/>
                <w:sz w:val="16"/>
                <w:szCs w:val="16"/>
                <w:lang w:bidi="th-TH"/>
              </w:rPr>
              <w:t>Pays arabes : non disponible</w:t>
            </w:r>
            <w:r w:rsidRPr="002655A7">
              <w:rPr>
                <w:rStyle w:val="FootnoteReference"/>
                <w:rFonts w:cs="Arial"/>
                <w:b/>
                <w:bCs/>
                <w:color w:val="002060"/>
                <w:szCs w:val="16"/>
                <w:lang w:val="fr-CH"/>
              </w:rPr>
              <w:footnoteReference w:id="49"/>
            </w:r>
          </w:p>
          <w:p w14:paraId="1632C3FE" w14:textId="77777777" w:rsidR="00561B47" w:rsidRPr="002655A7" w:rsidRDefault="00561B47" w:rsidP="006658D5">
            <w:pPr>
              <w:rPr>
                <w:color w:val="002060"/>
                <w:sz w:val="16"/>
                <w:szCs w:val="16"/>
                <w:lang w:bidi="th-TH"/>
              </w:rPr>
            </w:pPr>
            <w:r w:rsidRPr="002655A7">
              <w:rPr>
                <w:color w:val="002060"/>
                <w:sz w:val="16"/>
                <w:szCs w:val="16"/>
                <w:lang w:bidi="th-TH"/>
              </w:rPr>
              <w:t>Asie et Pacifique (91%)</w:t>
            </w:r>
          </w:p>
          <w:p w14:paraId="3495B56D" w14:textId="77777777" w:rsidR="00561B47" w:rsidRPr="002655A7" w:rsidRDefault="00561B47" w:rsidP="006658D5">
            <w:pPr>
              <w:rPr>
                <w:color w:val="002060"/>
                <w:sz w:val="16"/>
                <w:szCs w:val="16"/>
                <w:lang w:bidi="th-TH"/>
              </w:rPr>
            </w:pPr>
            <w:r w:rsidRPr="002655A7">
              <w:rPr>
                <w:color w:val="002060"/>
                <w:sz w:val="16"/>
                <w:szCs w:val="16"/>
                <w:lang w:bidi="th-TH"/>
              </w:rPr>
              <w:t>Amérique latine et Caraïbes (90%)</w:t>
            </w:r>
          </w:p>
          <w:p w14:paraId="6E5DDB61" w14:textId="77777777" w:rsidR="00561B47" w:rsidRPr="002655A7" w:rsidRDefault="00561B47" w:rsidP="006658D5">
            <w:pPr>
              <w:rPr>
                <w:color w:val="002060"/>
                <w:sz w:val="16"/>
                <w:szCs w:val="16"/>
                <w:lang w:bidi="th-TH"/>
              </w:rPr>
            </w:pPr>
            <w:r w:rsidRPr="002655A7">
              <w:rPr>
                <w:color w:val="002060"/>
                <w:sz w:val="16"/>
                <w:szCs w:val="16"/>
                <w:lang w:bidi="th-TH"/>
              </w:rPr>
              <w:t>PMA (90%)</w:t>
            </w:r>
          </w:p>
          <w:p w14:paraId="21B60EB4" w14:textId="77777777" w:rsidR="00561B47" w:rsidRPr="00266EB9" w:rsidRDefault="00561B47" w:rsidP="006658D5">
            <w:pPr>
              <w:rPr>
                <w:i/>
                <w:color w:val="002060"/>
                <w:sz w:val="16"/>
                <w:szCs w:val="16"/>
                <w:u w:val="single"/>
                <w:lang w:bidi="th-TH"/>
              </w:rPr>
            </w:pPr>
          </w:p>
          <w:p w14:paraId="605EC99C"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2F6944AF"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(70%)</w:t>
            </w:r>
          </w:p>
          <w:p w14:paraId="747CAD56"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(non disponible</w:t>
            </w:r>
            <w:r w:rsidRPr="00266EB9">
              <w:rPr>
                <w:color w:val="000000"/>
                <w:sz w:val="16"/>
                <w:szCs w:val="16"/>
              </w:rPr>
              <w:t xml:space="preserve"> en 2014</w:t>
            </w:r>
            <w:r w:rsidRPr="00266EB9">
              <w:rPr>
                <w:sz w:val="16"/>
                <w:szCs w:val="16"/>
              </w:rPr>
              <w:t>;  système à mettre en œuvre en 2015)</w:t>
            </w:r>
          </w:p>
          <w:p w14:paraId="6E12AC2F"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(89)</w:t>
            </w:r>
            <w:r w:rsidRPr="00266EB9">
              <w:rPr>
                <w:color w:val="000000"/>
                <w:sz w:val="16"/>
                <w:szCs w:val="16"/>
              </w:rPr>
              <w:br/>
              <w:t>A</w:t>
            </w:r>
            <w:r w:rsidRPr="00266EB9">
              <w:rPr>
                <w:sz w:val="16"/>
                <w:szCs w:val="16"/>
              </w:rPr>
              <w:t>mérique latine et Caraïbes</w:t>
            </w:r>
          </w:p>
          <w:p w14:paraId="5D646F26" w14:textId="77777777" w:rsidR="00561B47" w:rsidRPr="00266EB9" w:rsidRDefault="00561B47" w:rsidP="006658D5">
            <w:pPr>
              <w:rPr>
                <w:sz w:val="16"/>
                <w:szCs w:val="16"/>
              </w:rPr>
            </w:pPr>
            <w:r w:rsidRPr="00266EB9">
              <w:rPr>
                <w:sz w:val="16"/>
                <w:szCs w:val="16"/>
              </w:rPr>
              <w:t>(non disponible</w:t>
            </w:r>
            <w:r w:rsidRPr="00266EB9">
              <w:rPr>
                <w:color w:val="000000"/>
                <w:sz w:val="16"/>
                <w:szCs w:val="16"/>
              </w:rPr>
              <w:t xml:space="preserve"> en 2014</w:t>
            </w:r>
            <w:r w:rsidRPr="00266EB9">
              <w:rPr>
                <w:sz w:val="16"/>
                <w:szCs w:val="16"/>
              </w:rPr>
              <w:t>;  système à mettre en œuvre en 2015)</w:t>
            </w:r>
          </w:p>
          <w:p w14:paraId="7108EA2E" w14:textId="77777777" w:rsidR="00561B47" w:rsidRPr="00266EB9" w:rsidRDefault="00561B47" w:rsidP="006658D5">
            <w:pPr>
              <w:rPr>
                <w:sz w:val="16"/>
                <w:szCs w:val="16"/>
              </w:rPr>
            </w:pPr>
            <w:r w:rsidRPr="00266EB9">
              <w:rPr>
                <w:rFonts w:hint="eastAsia"/>
                <w:sz w:val="16"/>
                <w:szCs w:val="16"/>
              </w:rPr>
              <w:t>–</w:t>
            </w:r>
            <w:r w:rsidRPr="00266EB9">
              <w:rPr>
                <w:sz w:val="16"/>
                <w:szCs w:val="16"/>
              </w:rPr>
              <w:t> PMA (95%)</w:t>
            </w:r>
          </w:p>
        </w:tc>
        <w:tc>
          <w:tcPr>
            <w:tcW w:w="851" w:type="pct"/>
            <w:shd w:val="clear" w:color="auto" w:fill="auto"/>
            <w:tcMar>
              <w:top w:w="57" w:type="dxa"/>
              <w:left w:w="108" w:type="dxa"/>
              <w:right w:w="108" w:type="dxa"/>
            </w:tcMar>
          </w:tcPr>
          <w:p w14:paraId="7E0CDDB2" w14:textId="77777777" w:rsidR="00561B47" w:rsidRPr="002655A7" w:rsidRDefault="00561B47" w:rsidP="006658D5">
            <w:pPr>
              <w:rPr>
                <w:i/>
                <w:color w:val="002060"/>
                <w:sz w:val="16"/>
                <w:szCs w:val="16"/>
              </w:rPr>
            </w:pPr>
            <w:r w:rsidRPr="00266EB9">
              <w:rPr>
                <w:i/>
                <w:color w:val="002060"/>
                <w:sz w:val="16"/>
                <w:szCs w:val="16"/>
              </w:rPr>
              <w:t>O</w:t>
            </w:r>
            <w:r w:rsidRPr="002655A7">
              <w:rPr>
                <w:i/>
                <w:color w:val="002060"/>
                <w:sz w:val="16"/>
                <w:szCs w:val="16"/>
              </w:rPr>
              <w:t>bjectif actualisé :</w:t>
            </w:r>
          </w:p>
          <w:p w14:paraId="4EA1E096"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Afrique (70%)</w:t>
            </w:r>
          </w:p>
          <w:p w14:paraId="3331BC20"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Pays arabes (50%)</w:t>
            </w:r>
          </w:p>
          <w:p w14:paraId="160AE51B"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Asie et Pacifique (91%)</w:t>
            </w:r>
          </w:p>
          <w:p w14:paraId="3B03E93E"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Amérique latine et Caraïbes (90%)</w:t>
            </w:r>
          </w:p>
          <w:p w14:paraId="2017BE5A"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PMA (90%)</w:t>
            </w:r>
          </w:p>
          <w:p w14:paraId="49EE3978" w14:textId="77777777" w:rsidR="00561B47" w:rsidRPr="00266EB9" w:rsidRDefault="00561B47" w:rsidP="006658D5">
            <w:pPr>
              <w:rPr>
                <w:color w:val="000000"/>
                <w:sz w:val="16"/>
                <w:szCs w:val="16"/>
              </w:rPr>
            </w:pPr>
          </w:p>
          <w:p w14:paraId="531F81F7" w14:textId="77777777" w:rsidR="00561B47" w:rsidRPr="00266EB9" w:rsidRDefault="00561B47" w:rsidP="006658D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7AC9C49B"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(70%)</w:t>
            </w:r>
          </w:p>
          <w:p w14:paraId="29887362"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(50%)</w:t>
            </w:r>
          </w:p>
          <w:p w14:paraId="72BF40DA"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(70</w:t>
            </w:r>
            <w:r w:rsidRPr="00266EB9">
              <w:rPr>
                <w:color w:val="000000"/>
                <w:sz w:val="16"/>
                <w:szCs w:val="16"/>
              </w:rPr>
              <w:t>%</w:t>
            </w:r>
            <w:r w:rsidRPr="00266EB9">
              <w:rPr>
                <w:sz w:val="16"/>
                <w:szCs w:val="16"/>
              </w:rPr>
              <w:t>)</w:t>
            </w:r>
          </w:p>
          <w:p w14:paraId="2E27EBA0" w14:textId="77777777" w:rsidR="00561B47" w:rsidRPr="00266EB9" w:rsidRDefault="00561B47" w:rsidP="006658D5">
            <w:pPr>
              <w:rPr>
                <w:sz w:val="16"/>
                <w:szCs w:val="16"/>
              </w:rPr>
            </w:pPr>
            <w:r w:rsidRPr="00266EB9">
              <w:rPr>
                <w:rFonts w:hint="eastAsia"/>
                <w:sz w:val="16"/>
                <w:szCs w:val="16"/>
              </w:rPr>
              <w:t>–</w:t>
            </w:r>
            <w:r w:rsidRPr="00266EB9">
              <w:rPr>
                <w:sz w:val="16"/>
                <w:szCs w:val="16"/>
              </w:rPr>
              <w:t> Amérique latine et Caraïbes (45%)</w:t>
            </w:r>
          </w:p>
          <w:p w14:paraId="4C871957" w14:textId="77777777" w:rsidR="00561B47" w:rsidRPr="00266EB9" w:rsidRDefault="00561B47" w:rsidP="006658D5">
            <w:pPr>
              <w:rPr>
                <w:sz w:val="16"/>
                <w:szCs w:val="16"/>
              </w:rPr>
            </w:pPr>
            <w:r w:rsidRPr="00266EB9">
              <w:rPr>
                <w:rFonts w:hint="eastAsia"/>
                <w:sz w:val="16"/>
                <w:szCs w:val="16"/>
              </w:rPr>
              <w:t>–</w:t>
            </w:r>
            <w:r w:rsidRPr="00266EB9">
              <w:rPr>
                <w:sz w:val="16"/>
                <w:szCs w:val="16"/>
              </w:rPr>
              <w:t> PMA (50%)</w:t>
            </w:r>
          </w:p>
        </w:tc>
        <w:tc>
          <w:tcPr>
            <w:tcW w:w="1212" w:type="pct"/>
            <w:shd w:val="clear" w:color="auto" w:fill="FFFFFF"/>
            <w:tcMar>
              <w:top w:w="57" w:type="dxa"/>
              <w:left w:w="108" w:type="dxa"/>
              <w:right w:w="108" w:type="dxa"/>
            </w:tcMar>
          </w:tcPr>
          <w:p w14:paraId="75E3EBA1" w14:textId="433E24A9" w:rsidR="00561B47" w:rsidRPr="00266EB9" w:rsidRDefault="00561B47" w:rsidP="006658D5">
            <w:pPr>
              <w:rPr>
                <w:color w:val="000000"/>
                <w:sz w:val="16"/>
                <w:szCs w:val="16"/>
              </w:rPr>
            </w:pPr>
            <w:r w:rsidRPr="00266EB9">
              <w:rPr>
                <w:sz w:val="16"/>
                <w:szCs w:val="16"/>
              </w:rPr>
              <w:t xml:space="preserve">Afrique </w:t>
            </w:r>
            <w:r w:rsidR="00CA7EBF">
              <w:rPr>
                <w:color w:val="000000"/>
                <w:sz w:val="16"/>
                <w:szCs w:val="16"/>
              </w:rPr>
              <w:t>(données partielles uniquement)</w:t>
            </w:r>
          </w:p>
          <w:p w14:paraId="43D37533" w14:textId="77777777" w:rsidR="00561B47" w:rsidRDefault="00561B47" w:rsidP="006658D5">
            <w:pPr>
              <w:rPr>
                <w:color w:val="000000"/>
                <w:sz w:val="16"/>
                <w:szCs w:val="16"/>
              </w:rPr>
            </w:pPr>
          </w:p>
          <w:p w14:paraId="107E8F90" w14:textId="288808EC" w:rsidR="00561B47" w:rsidRDefault="00561B47" w:rsidP="006658D5">
            <w:pPr>
              <w:rPr>
                <w:color w:val="000000"/>
                <w:sz w:val="16"/>
                <w:szCs w:val="16"/>
              </w:rPr>
            </w:pPr>
            <w:r w:rsidRPr="00266EB9">
              <w:rPr>
                <w:sz w:val="16"/>
                <w:szCs w:val="16"/>
              </w:rPr>
              <w:t xml:space="preserve">Pays arabes </w:t>
            </w:r>
            <w:r w:rsidR="00CA7EBF" w:rsidRPr="00266EB9">
              <w:rPr>
                <w:sz w:val="16"/>
                <w:szCs w:val="16"/>
              </w:rPr>
              <w:t xml:space="preserve"> </w:t>
            </w:r>
            <w:r w:rsidR="00CA7EBF">
              <w:rPr>
                <w:color w:val="000000"/>
                <w:sz w:val="16"/>
                <w:szCs w:val="16"/>
              </w:rPr>
              <w:t>(données partielles uniquement)</w:t>
            </w:r>
          </w:p>
          <w:p w14:paraId="05CB110B" w14:textId="77777777" w:rsidR="00CA7EBF" w:rsidRDefault="00CA7EBF" w:rsidP="006658D5">
            <w:pPr>
              <w:rPr>
                <w:color w:val="000000"/>
                <w:sz w:val="16"/>
                <w:szCs w:val="16"/>
              </w:rPr>
            </w:pPr>
          </w:p>
          <w:p w14:paraId="23F16856" w14:textId="77777777" w:rsidR="00561B47" w:rsidRPr="00266EB9" w:rsidRDefault="00561B47" w:rsidP="006658D5">
            <w:pPr>
              <w:rPr>
                <w:color w:val="000000"/>
                <w:sz w:val="16"/>
                <w:szCs w:val="16"/>
              </w:rPr>
            </w:pPr>
            <w:r w:rsidRPr="00266EB9">
              <w:rPr>
                <w:sz w:val="16"/>
                <w:szCs w:val="16"/>
              </w:rPr>
              <w:t>Asie et Pacifique (96</w:t>
            </w:r>
            <w:r w:rsidRPr="00266EB9">
              <w:rPr>
                <w:color w:val="000000"/>
                <w:sz w:val="16"/>
                <w:szCs w:val="16"/>
              </w:rPr>
              <w:t>%</w:t>
            </w:r>
            <w:r w:rsidRPr="00266EB9">
              <w:rPr>
                <w:sz w:val="16"/>
                <w:szCs w:val="16"/>
              </w:rPr>
              <w:t>)</w:t>
            </w:r>
          </w:p>
          <w:p w14:paraId="7F3C7DCF" w14:textId="77777777" w:rsidR="00561B47" w:rsidRDefault="00561B47" w:rsidP="006658D5">
            <w:pPr>
              <w:rPr>
                <w:color w:val="000000"/>
                <w:sz w:val="16"/>
                <w:szCs w:val="16"/>
              </w:rPr>
            </w:pPr>
          </w:p>
          <w:p w14:paraId="3E34FD9A" w14:textId="77777777" w:rsidR="00CE0AA4" w:rsidRDefault="00CE0AA4" w:rsidP="006658D5">
            <w:pPr>
              <w:rPr>
                <w:color w:val="000000"/>
                <w:sz w:val="16"/>
                <w:szCs w:val="16"/>
              </w:rPr>
            </w:pPr>
          </w:p>
          <w:p w14:paraId="55966C0B" w14:textId="34F09F81" w:rsidR="00561B47" w:rsidRPr="00266EB9" w:rsidRDefault="00561B47" w:rsidP="006658D5">
            <w:pPr>
              <w:rPr>
                <w:color w:val="000000"/>
                <w:sz w:val="16"/>
                <w:szCs w:val="16"/>
              </w:rPr>
            </w:pPr>
            <w:r w:rsidRPr="00266EB9">
              <w:rPr>
                <w:color w:val="000000"/>
                <w:sz w:val="16"/>
                <w:szCs w:val="16"/>
              </w:rPr>
              <w:t xml:space="preserve">Amérique latine et Caraïbes </w:t>
            </w:r>
            <w:r w:rsidR="00CE0AA4" w:rsidRPr="00266EB9">
              <w:rPr>
                <w:sz w:val="16"/>
                <w:szCs w:val="16"/>
              </w:rPr>
              <w:t xml:space="preserve"> </w:t>
            </w:r>
            <w:r w:rsidR="00CA7EBF" w:rsidRPr="00266EB9">
              <w:rPr>
                <w:sz w:val="16"/>
                <w:szCs w:val="16"/>
              </w:rPr>
              <w:t xml:space="preserve"> </w:t>
            </w:r>
            <w:r w:rsidR="00CA7EBF">
              <w:rPr>
                <w:color w:val="000000"/>
                <w:sz w:val="16"/>
                <w:szCs w:val="16"/>
              </w:rPr>
              <w:t>(données partielles uniquement)</w:t>
            </w:r>
          </w:p>
          <w:p w14:paraId="06BBB937" w14:textId="77777777" w:rsidR="00561B47" w:rsidRPr="00266EB9" w:rsidRDefault="00561B47" w:rsidP="006658D5">
            <w:pPr>
              <w:rPr>
                <w:color w:val="000000"/>
                <w:sz w:val="16"/>
                <w:szCs w:val="16"/>
              </w:rPr>
            </w:pPr>
          </w:p>
          <w:p w14:paraId="6ABD36F0" w14:textId="77777777" w:rsidR="00561B47" w:rsidRPr="00266EB9" w:rsidRDefault="00561B47" w:rsidP="006658D5">
            <w:pPr>
              <w:rPr>
                <w:color w:val="000000"/>
                <w:sz w:val="16"/>
                <w:szCs w:val="16"/>
              </w:rPr>
            </w:pPr>
            <w:r w:rsidRPr="00266EB9">
              <w:rPr>
                <w:sz w:val="16"/>
                <w:szCs w:val="16"/>
              </w:rPr>
              <w:t>PMA (85%)</w:t>
            </w:r>
          </w:p>
        </w:tc>
        <w:tc>
          <w:tcPr>
            <w:tcW w:w="601" w:type="pct"/>
            <w:shd w:val="clear" w:color="auto" w:fill="auto"/>
            <w:tcMar>
              <w:top w:w="57" w:type="dxa"/>
              <w:left w:w="108" w:type="dxa"/>
              <w:right w:w="108" w:type="dxa"/>
            </w:tcMar>
          </w:tcPr>
          <w:p w14:paraId="51775782" w14:textId="77777777" w:rsidR="00CE0AA4" w:rsidRPr="00266EB9" w:rsidRDefault="00CE0AA4" w:rsidP="00CE0AA4">
            <w:pPr>
              <w:jc w:val="center"/>
              <w:rPr>
                <w:b/>
                <w:color w:val="808080"/>
                <w:sz w:val="16"/>
                <w:szCs w:val="16"/>
              </w:rPr>
            </w:pPr>
            <w:r w:rsidRPr="00266EB9">
              <w:rPr>
                <w:b/>
                <w:color w:val="A6A6A6" w:themeColor="background1" w:themeShade="A6"/>
                <w:sz w:val="16"/>
                <w:szCs w:val="16"/>
              </w:rPr>
              <w:t>Non évaluable</w:t>
            </w:r>
          </w:p>
          <w:p w14:paraId="088A1FB0" w14:textId="77777777" w:rsidR="00561B47" w:rsidRPr="00266EB9" w:rsidRDefault="00561B47" w:rsidP="00CE0AA4">
            <w:pPr>
              <w:jc w:val="center"/>
              <w:rPr>
                <w:b/>
                <w:color w:val="000000"/>
                <w:sz w:val="16"/>
                <w:szCs w:val="16"/>
              </w:rPr>
            </w:pPr>
          </w:p>
          <w:p w14:paraId="6A64F6A8" w14:textId="77777777" w:rsidR="00CE0AA4" w:rsidRPr="00266EB9" w:rsidRDefault="00CE0AA4" w:rsidP="00CE0AA4">
            <w:pPr>
              <w:jc w:val="center"/>
              <w:rPr>
                <w:b/>
                <w:color w:val="808080"/>
                <w:sz w:val="16"/>
                <w:szCs w:val="16"/>
              </w:rPr>
            </w:pPr>
            <w:r w:rsidRPr="00266EB9">
              <w:rPr>
                <w:b/>
                <w:color w:val="A6A6A6" w:themeColor="background1" w:themeShade="A6"/>
                <w:sz w:val="16"/>
                <w:szCs w:val="16"/>
              </w:rPr>
              <w:t>Non évaluable</w:t>
            </w:r>
          </w:p>
          <w:p w14:paraId="1295BC45" w14:textId="77777777" w:rsidR="00561B47" w:rsidRPr="00266EB9" w:rsidRDefault="00561B47" w:rsidP="00CE0AA4">
            <w:pPr>
              <w:jc w:val="center"/>
              <w:rPr>
                <w:b/>
                <w:color w:val="000000"/>
                <w:sz w:val="16"/>
                <w:szCs w:val="16"/>
              </w:rPr>
            </w:pPr>
          </w:p>
          <w:p w14:paraId="156464A2" w14:textId="77777777" w:rsidR="00561B47" w:rsidRPr="00266EB9" w:rsidRDefault="00561B47" w:rsidP="00CE0AA4">
            <w:pPr>
              <w:jc w:val="center"/>
              <w:rPr>
                <w:b/>
                <w:color w:val="00B050"/>
                <w:sz w:val="16"/>
                <w:szCs w:val="16"/>
              </w:rPr>
            </w:pPr>
            <w:r w:rsidRPr="00266EB9">
              <w:rPr>
                <w:b/>
                <w:color w:val="00B050"/>
                <w:sz w:val="16"/>
                <w:szCs w:val="16"/>
              </w:rPr>
              <w:t>En bonne voie</w:t>
            </w:r>
          </w:p>
          <w:p w14:paraId="47754BDB" w14:textId="77777777" w:rsidR="00561B47" w:rsidRPr="00266EB9" w:rsidRDefault="00561B47" w:rsidP="00CE0AA4">
            <w:pPr>
              <w:jc w:val="center"/>
              <w:rPr>
                <w:b/>
                <w:color w:val="000000"/>
                <w:sz w:val="16"/>
                <w:szCs w:val="16"/>
              </w:rPr>
            </w:pPr>
          </w:p>
          <w:p w14:paraId="79EBE274" w14:textId="77777777" w:rsidR="00561B47" w:rsidRPr="00266EB9" w:rsidRDefault="00561B47" w:rsidP="00CE0AA4">
            <w:pPr>
              <w:jc w:val="center"/>
              <w:rPr>
                <w:b/>
                <w:color w:val="808080"/>
                <w:sz w:val="16"/>
                <w:szCs w:val="16"/>
              </w:rPr>
            </w:pPr>
            <w:r w:rsidRPr="00266EB9">
              <w:rPr>
                <w:b/>
                <w:color w:val="A6A6A6" w:themeColor="background1" w:themeShade="A6"/>
                <w:sz w:val="16"/>
                <w:szCs w:val="16"/>
              </w:rPr>
              <w:t>Non évaluable</w:t>
            </w:r>
          </w:p>
          <w:p w14:paraId="695B6A6F" w14:textId="77777777" w:rsidR="00561B47" w:rsidRDefault="00561B47" w:rsidP="00CE0AA4">
            <w:pPr>
              <w:jc w:val="center"/>
              <w:rPr>
                <w:b/>
                <w:color w:val="00B050"/>
                <w:sz w:val="16"/>
                <w:szCs w:val="16"/>
              </w:rPr>
            </w:pPr>
          </w:p>
          <w:p w14:paraId="11F1C5C7" w14:textId="77777777" w:rsidR="00CE0AA4" w:rsidRPr="00266EB9" w:rsidRDefault="00CE0AA4" w:rsidP="00CE0AA4">
            <w:pPr>
              <w:jc w:val="center"/>
              <w:rPr>
                <w:b/>
                <w:color w:val="00B050"/>
                <w:sz w:val="16"/>
                <w:szCs w:val="16"/>
              </w:rPr>
            </w:pPr>
          </w:p>
          <w:p w14:paraId="730F0C8C" w14:textId="77777777" w:rsidR="00561B47" w:rsidRPr="00266EB9" w:rsidRDefault="00561B47" w:rsidP="00CE0AA4">
            <w:pPr>
              <w:jc w:val="center"/>
              <w:rPr>
                <w:b/>
                <w:color w:val="000000"/>
                <w:sz w:val="16"/>
                <w:szCs w:val="16"/>
              </w:rPr>
            </w:pPr>
            <w:r w:rsidRPr="00266EB9">
              <w:rPr>
                <w:b/>
                <w:color w:val="FF0000"/>
                <w:sz w:val="16"/>
                <w:szCs w:val="16"/>
              </w:rPr>
              <w:t>Pas en bonne voie</w:t>
            </w:r>
          </w:p>
        </w:tc>
      </w:tr>
      <w:tr w:rsidR="00561B47" w:rsidRPr="00266EB9" w14:paraId="26E87845" w14:textId="77777777" w:rsidTr="006658D5">
        <w:trPr>
          <w:cantSplit/>
        </w:trPr>
        <w:tc>
          <w:tcPr>
            <w:tcW w:w="1066" w:type="pct"/>
            <w:shd w:val="clear" w:color="auto" w:fill="auto"/>
            <w:tcMar>
              <w:left w:w="108" w:type="dxa"/>
              <w:right w:w="108" w:type="dxa"/>
            </w:tcMar>
          </w:tcPr>
          <w:p w14:paraId="666488DB" w14:textId="77777777" w:rsidR="00561B47" w:rsidRPr="00266EB9" w:rsidRDefault="00561B47" w:rsidP="006658D5">
            <w:pPr>
              <w:rPr>
                <w:color w:val="000000"/>
                <w:sz w:val="16"/>
                <w:szCs w:val="16"/>
              </w:rPr>
            </w:pPr>
            <w:r w:rsidRPr="00266EB9">
              <w:rPr>
                <w:sz w:val="16"/>
                <w:szCs w:val="16"/>
              </w:rPr>
              <w:t>Pourcentage d’experts nationaux et régionaux en propriété intellectuelle faisant office d’animateurs de manifestations de l’OMPI</w:t>
            </w:r>
          </w:p>
        </w:tc>
        <w:tc>
          <w:tcPr>
            <w:tcW w:w="1270" w:type="pct"/>
            <w:shd w:val="clear" w:color="auto" w:fill="auto"/>
            <w:tcMar>
              <w:left w:w="108" w:type="dxa"/>
              <w:right w:w="108" w:type="dxa"/>
            </w:tcMar>
          </w:tcPr>
          <w:p w14:paraId="39E3295A" w14:textId="77777777" w:rsidR="00561B47" w:rsidRPr="002655A7" w:rsidRDefault="00561B47" w:rsidP="006658D5">
            <w:pPr>
              <w:rPr>
                <w:i/>
                <w:color w:val="002060"/>
                <w:sz w:val="16"/>
                <w:szCs w:val="16"/>
              </w:rPr>
            </w:pPr>
            <w:r w:rsidRPr="00266EB9">
              <w:rPr>
                <w:i/>
                <w:color w:val="002060"/>
                <w:sz w:val="16"/>
                <w:szCs w:val="16"/>
              </w:rPr>
              <w:t>Niveau de référence actualisé à fin </w:t>
            </w:r>
            <w:r w:rsidRPr="002655A7">
              <w:rPr>
                <w:i/>
                <w:color w:val="002060"/>
                <w:sz w:val="16"/>
                <w:szCs w:val="16"/>
              </w:rPr>
              <w:t>2015 :</w:t>
            </w:r>
          </w:p>
          <w:p w14:paraId="5AB63BD5" w14:textId="77777777" w:rsidR="00561B47" w:rsidRPr="002655A7" w:rsidRDefault="00561B47" w:rsidP="006658D5">
            <w:pPr>
              <w:rPr>
                <w:color w:val="002060"/>
                <w:sz w:val="16"/>
                <w:szCs w:val="16"/>
                <w:lang w:bidi="th-TH"/>
              </w:rPr>
            </w:pPr>
            <w:r w:rsidRPr="002655A7">
              <w:rPr>
                <w:color w:val="002060"/>
                <w:sz w:val="16"/>
                <w:szCs w:val="16"/>
                <w:lang w:bidi="th-TH"/>
              </w:rPr>
              <w:t>Afrique (75%)</w:t>
            </w:r>
          </w:p>
          <w:p w14:paraId="1C2247ED" w14:textId="77777777" w:rsidR="00561B47" w:rsidRPr="002655A7" w:rsidRDefault="00561B47" w:rsidP="006658D5">
            <w:pPr>
              <w:rPr>
                <w:color w:val="002060"/>
                <w:sz w:val="16"/>
                <w:szCs w:val="16"/>
                <w:lang w:bidi="th-TH"/>
              </w:rPr>
            </w:pPr>
            <w:r w:rsidRPr="002655A7">
              <w:rPr>
                <w:color w:val="002060"/>
                <w:sz w:val="16"/>
                <w:szCs w:val="16"/>
                <w:lang w:bidi="th-TH"/>
              </w:rPr>
              <w:t>Pays arabes (55%)</w:t>
            </w:r>
          </w:p>
          <w:p w14:paraId="6A2E1800" w14:textId="77777777" w:rsidR="00561B47" w:rsidRPr="002655A7" w:rsidRDefault="00561B47" w:rsidP="006658D5">
            <w:pPr>
              <w:rPr>
                <w:color w:val="002060"/>
                <w:sz w:val="16"/>
                <w:szCs w:val="16"/>
                <w:lang w:bidi="th-TH"/>
              </w:rPr>
            </w:pPr>
            <w:r w:rsidRPr="002655A7">
              <w:rPr>
                <w:color w:val="002060"/>
                <w:sz w:val="16"/>
                <w:szCs w:val="16"/>
                <w:lang w:bidi="th-TH"/>
              </w:rPr>
              <w:t>Asie et Pacifique (66%)</w:t>
            </w:r>
          </w:p>
          <w:p w14:paraId="055BAE17" w14:textId="77777777" w:rsidR="00561B47" w:rsidRPr="002655A7" w:rsidRDefault="00561B47" w:rsidP="006658D5">
            <w:pPr>
              <w:rPr>
                <w:color w:val="002060"/>
                <w:sz w:val="16"/>
                <w:szCs w:val="16"/>
                <w:lang w:bidi="th-TH"/>
              </w:rPr>
            </w:pPr>
            <w:r w:rsidRPr="002655A7">
              <w:rPr>
                <w:color w:val="002060"/>
                <w:sz w:val="16"/>
                <w:szCs w:val="16"/>
                <w:lang w:bidi="th-TH"/>
              </w:rPr>
              <w:t>Amérique latine et Caraïbes (80%)</w:t>
            </w:r>
          </w:p>
          <w:p w14:paraId="29326606" w14:textId="77777777" w:rsidR="00561B47" w:rsidRPr="002655A7" w:rsidRDefault="00561B47" w:rsidP="006658D5">
            <w:pPr>
              <w:rPr>
                <w:color w:val="002060"/>
                <w:sz w:val="16"/>
                <w:szCs w:val="16"/>
                <w:lang w:bidi="th-TH"/>
              </w:rPr>
            </w:pPr>
            <w:r w:rsidRPr="002655A7">
              <w:rPr>
                <w:color w:val="002060"/>
                <w:sz w:val="16"/>
                <w:szCs w:val="16"/>
                <w:lang w:bidi="th-TH"/>
              </w:rPr>
              <w:t>PMA (85%)</w:t>
            </w:r>
          </w:p>
          <w:p w14:paraId="0D80BA77" w14:textId="77777777" w:rsidR="00561B47" w:rsidRPr="00266EB9" w:rsidRDefault="00561B47" w:rsidP="006658D5">
            <w:pPr>
              <w:rPr>
                <w:color w:val="000000"/>
                <w:sz w:val="16"/>
                <w:szCs w:val="16"/>
              </w:rPr>
            </w:pPr>
          </w:p>
          <w:p w14:paraId="1E7E293F" w14:textId="77777777" w:rsidR="00561B47" w:rsidRPr="00266EB9" w:rsidRDefault="00561B47" w:rsidP="006658D5">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69010A56"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(80%)</w:t>
            </w:r>
          </w:p>
          <w:p w14:paraId="67F664C6"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(35%)</w:t>
            </w:r>
          </w:p>
          <w:p w14:paraId="7284F078"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(71%)</w:t>
            </w:r>
          </w:p>
          <w:p w14:paraId="710A250D" w14:textId="77777777" w:rsidR="00561B47" w:rsidRPr="00266EB9" w:rsidRDefault="00561B47" w:rsidP="006658D5">
            <w:pPr>
              <w:rPr>
                <w:sz w:val="16"/>
                <w:szCs w:val="16"/>
              </w:rPr>
            </w:pPr>
            <w:r w:rsidRPr="00266EB9">
              <w:rPr>
                <w:rFonts w:hint="eastAsia"/>
                <w:sz w:val="16"/>
                <w:szCs w:val="16"/>
              </w:rPr>
              <w:t>–</w:t>
            </w:r>
            <w:r w:rsidRPr="00266EB9">
              <w:rPr>
                <w:sz w:val="16"/>
                <w:szCs w:val="16"/>
              </w:rPr>
              <w:t xml:space="preserve"> Amérique latine et Caraïbes </w:t>
            </w:r>
            <w:r w:rsidRPr="00266EB9">
              <w:rPr>
                <w:color w:val="000000"/>
                <w:sz w:val="16"/>
                <w:szCs w:val="16"/>
              </w:rPr>
              <w:t>(</w:t>
            </w:r>
            <w:r w:rsidRPr="00266EB9">
              <w:rPr>
                <w:sz w:val="16"/>
                <w:szCs w:val="16"/>
              </w:rPr>
              <w:t>80%</w:t>
            </w:r>
            <w:r w:rsidRPr="00266EB9">
              <w:rPr>
                <w:color w:val="000000"/>
                <w:sz w:val="16"/>
                <w:szCs w:val="16"/>
              </w:rPr>
              <w:t>)</w:t>
            </w:r>
          </w:p>
          <w:p w14:paraId="2D3C4E7F" w14:textId="77777777" w:rsidR="00561B47" w:rsidRPr="00266EB9" w:rsidRDefault="00561B47" w:rsidP="006658D5">
            <w:pPr>
              <w:rPr>
                <w:sz w:val="16"/>
                <w:szCs w:val="16"/>
              </w:rPr>
            </w:pPr>
            <w:r w:rsidRPr="00266EB9">
              <w:rPr>
                <w:rFonts w:hint="eastAsia"/>
                <w:sz w:val="16"/>
                <w:szCs w:val="16"/>
              </w:rPr>
              <w:t>–</w:t>
            </w:r>
            <w:r w:rsidRPr="00266EB9">
              <w:rPr>
                <w:sz w:val="16"/>
                <w:szCs w:val="16"/>
              </w:rPr>
              <w:t> PMA (95%)</w:t>
            </w:r>
          </w:p>
        </w:tc>
        <w:tc>
          <w:tcPr>
            <w:tcW w:w="851" w:type="pct"/>
            <w:shd w:val="clear" w:color="auto" w:fill="auto"/>
            <w:tcMar>
              <w:top w:w="57" w:type="dxa"/>
              <w:left w:w="108" w:type="dxa"/>
              <w:right w:w="108" w:type="dxa"/>
            </w:tcMar>
          </w:tcPr>
          <w:p w14:paraId="7D9C31D4" w14:textId="77777777" w:rsidR="00561B47" w:rsidRPr="002655A7" w:rsidRDefault="00561B47" w:rsidP="006658D5">
            <w:pPr>
              <w:rPr>
                <w:i/>
                <w:color w:val="002060"/>
                <w:sz w:val="16"/>
                <w:szCs w:val="16"/>
              </w:rPr>
            </w:pPr>
            <w:r w:rsidRPr="002655A7">
              <w:rPr>
                <w:i/>
                <w:color w:val="002060"/>
                <w:sz w:val="16"/>
                <w:szCs w:val="16"/>
              </w:rPr>
              <w:t>Objectif actualisé :</w:t>
            </w:r>
          </w:p>
          <w:p w14:paraId="6C308E18"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Afrique (85%)</w:t>
            </w:r>
          </w:p>
          <w:p w14:paraId="1DC82722"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Pays arabes (55%)</w:t>
            </w:r>
          </w:p>
          <w:p w14:paraId="2291F2EF"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Asie et Pacifique (66%)</w:t>
            </w:r>
          </w:p>
          <w:p w14:paraId="54217B69"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Amérique latine et Caraïbes (80%)</w:t>
            </w:r>
          </w:p>
          <w:p w14:paraId="23885B04" w14:textId="77777777" w:rsidR="00561B47" w:rsidRPr="002655A7" w:rsidRDefault="00561B47" w:rsidP="006658D5">
            <w:pPr>
              <w:rPr>
                <w:color w:val="002060"/>
                <w:sz w:val="16"/>
                <w:szCs w:val="16"/>
              </w:rPr>
            </w:pPr>
            <w:r w:rsidRPr="002655A7">
              <w:rPr>
                <w:rFonts w:hint="eastAsia"/>
                <w:color w:val="002060"/>
                <w:sz w:val="16"/>
                <w:szCs w:val="16"/>
              </w:rPr>
              <w:t>–</w:t>
            </w:r>
            <w:r w:rsidRPr="002655A7">
              <w:rPr>
                <w:color w:val="002060"/>
                <w:sz w:val="16"/>
                <w:szCs w:val="16"/>
              </w:rPr>
              <w:t> PMA (85%)</w:t>
            </w:r>
          </w:p>
          <w:p w14:paraId="41186332" w14:textId="77777777" w:rsidR="00561B47" w:rsidRPr="00266EB9" w:rsidRDefault="00561B47" w:rsidP="006658D5">
            <w:pPr>
              <w:rPr>
                <w:color w:val="000000"/>
                <w:sz w:val="16"/>
                <w:szCs w:val="16"/>
              </w:rPr>
            </w:pPr>
          </w:p>
          <w:p w14:paraId="5FA25E96" w14:textId="77777777" w:rsidR="00561B47" w:rsidRPr="00266EB9" w:rsidRDefault="00561B47" w:rsidP="006658D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73139022" w14:textId="77777777" w:rsidR="00561B47" w:rsidRPr="00266EB9" w:rsidRDefault="00561B47" w:rsidP="006658D5">
            <w:pPr>
              <w:rPr>
                <w:sz w:val="16"/>
                <w:szCs w:val="16"/>
              </w:rPr>
            </w:pPr>
            <w:r w:rsidRPr="00266EB9">
              <w:rPr>
                <w:rFonts w:hint="eastAsia"/>
                <w:sz w:val="16"/>
                <w:szCs w:val="16"/>
              </w:rPr>
              <w:t>–</w:t>
            </w:r>
            <w:r w:rsidRPr="00266EB9">
              <w:rPr>
                <w:sz w:val="16"/>
                <w:szCs w:val="16"/>
              </w:rPr>
              <w:t> Afrique (85%)</w:t>
            </w:r>
          </w:p>
          <w:p w14:paraId="508D5AEB" w14:textId="77777777" w:rsidR="00561B47" w:rsidRPr="00266EB9" w:rsidRDefault="00561B47" w:rsidP="006658D5">
            <w:pPr>
              <w:rPr>
                <w:sz w:val="16"/>
                <w:szCs w:val="16"/>
              </w:rPr>
            </w:pPr>
            <w:r w:rsidRPr="00266EB9">
              <w:rPr>
                <w:rFonts w:hint="eastAsia"/>
                <w:sz w:val="16"/>
                <w:szCs w:val="16"/>
              </w:rPr>
              <w:t>–</w:t>
            </w:r>
            <w:r w:rsidRPr="00266EB9">
              <w:rPr>
                <w:sz w:val="16"/>
                <w:szCs w:val="16"/>
              </w:rPr>
              <w:t> Pays arabes (55%)</w:t>
            </w:r>
          </w:p>
          <w:p w14:paraId="59E5B8DE" w14:textId="77777777" w:rsidR="00561B47" w:rsidRPr="00266EB9" w:rsidRDefault="00561B47" w:rsidP="006658D5">
            <w:pPr>
              <w:rPr>
                <w:sz w:val="16"/>
                <w:szCs w:val="16"/>
              </w:rPr>
            </w:pPr>
            <w:r w:rsidRPr="00266EB9">
              <w:rPr>
                <w:rFonts w:hint="eastAsia"/>
                <w:sz w:val="16"/>
                <w:szCs w:val="16"/>
              </w:rPr>
              <w:t>–</w:t>
            </w:r>
            <w:r w:rsidRPr="00266EB9">
              <w:rPr>
                <w:sz w:val="16"/>
                <w:szCs w:val="16"/>
              </w:rPr>
              <w:t> Asie et Pacifique (40%)</w:t>
            </w:r>
          </w:p>
          <w:p w14:paraId="5CF21222" w14:textId="77777777" w:rsidR="00561B47" w:rsidRPr="00266EB9" w:rsidRDefault="00561B47" w:rsidP="006658D5">
            <w:pPr>
              <w:rPr>
                <w:sz w:val="16"/>
                <w:szCs w:val="16"/>
              </w:rPr>
            </w:pPr>
            <w:r w:rsidRPr="00266EB9">
              <w:rPr>
                <w:rFonts w:hint="eastAsia"/>
                <w:sz w:val="16"/>
                <w:szCs w:val="16"/>
              </w:rPr>
              <w:t>–</w:t>
            </w:r>
            <w:r w:rsidRPr="00266EB9">
              <w:rPr>
                <w:sz w:val="16"/>
                <w:szCs w:val="16"/>
              </w:rPr>
              <w:t xml:space="preserve"> Amérique latine et Caraïbes </w:t>
            </w:r>
            <w:r w:rsidRPr="00266EB9">
              <w:rPr>
                <w:color w:val="000000"/>
                <w:sz w:val="16"/>
                <w:szCs w:val="16"/>
              </w:rPr>
              <w:t>(</w:t>
            </w:r>
            <w:r w:rsidRPr="00266EB9">
              <w:rPr>
                <w:sz w:val="16"/>
                <w:szCs w:val="16"/>
              </w:rPr>
              <w:t>80%</w:t>
            </w:r>
            <w:r w:rsidRPr="00266EB9">
              <w:rPr>
                <w:color w:val="000000"/>
                <w:sz w:val="16"/>
                <w:szCs w:val="16"/>
              </w:rPr>
              <w:t>)</w:t>
            </w:r>
          </w:p>
          <w:p w14:paraId="4DAE9B5C" w14:textId="77777777" w:rsidR="00561B47" w:rsidRPr="00266EB9" w:rsidRDefault="00561B47" w:rsidP="006658D5">
            <w:pPr>
              <w:rPr>
                <w:sz w:val="16"/>
                <w:szCs w:val="16"/>
              </w:rPr>
            </w:pPr>
            <w:r w:rsidRPr="00266EB9">
              <w:rPr>
                <w:rFonts w:hint="eastAsia"/>
                <w:sz w:val="16"/>
                <w:szCs w:val="16"/>
              </w:rPr>
              <w:t>–</w:t>
            </w:r>
            <w:r w:rsidRPr="00266EB9">
              <w:rPr>
                <w:sz w:val="16"/>
                <w:szCs w:val="16"/>
              </w:rPr>
              <w:t> PMA (70%)</w:t>
            </w:r>
          </w:p>
        </w:tc>
        <w:tc>
          <w:tcPr>
            <w:tcW w:w="1212" w:type="pct"/>
            <w:shd w:val="clear" w:color="auto" w:fill="FFFFFF"/>
            <w:tcMar>
              <w:top w:w="57" w:type="dxa"/>
              <w:left w:w="108" w:type="dxa"/>
              <w:right w:w="108" w:type="dxa"/>
            </w:tcMar>
          </w:tcPr>
          <w:p w14:paraId="3E8AFFAC" w14:textId="77777777" w:rsidR="00561B47" w:rsidRPr="00266EB9" w:rsidRDefault="00561B47" w:rsidP="006658D5">
            <w:pPr>
              <w:rPr>
                <w:color w:val="000000"/>
                <w:sz w:val="16"/>
                <w:szCs w:val="16"/>
              </w:rPr>
            </w:pPr>
            <w:r w:rsidRPr="00266EB9">
              <w:rPr>
                <w:sz w:val="16"/>
                <w:szCs w:val="16"/>
              </w:rPr>
              <w:t>Afrique (85%)</w:t>
            </w:r>
          </w:p>
          <w:p w14:paraId="757F4EDC" w14:textId="77777777" w:rsidR="00561B47" w:rsidRDefault="00561B47" w:rsidP="006658D5">
            <w:pPr>
              <w:rPr>
                <w:color w:val="000000"/>
                <w:sz w:val="16"/>
                <w:szCs w:val="16"/>
              </w:rPr>
            </w:pPr>
          </w:p>
          <w:p w14:paraId="300144E9" w14:textId="77777777" w:rsidR="00561B47" w:rsidRPr="00266EB9" w:rsidRDefault="00561B47" w:rsidP="006658D5">
            <w:pPr>
              <w:rPr>
                <w:color w:val="000000"/>
                <w:sz w:val="16"/>
                <w:szCs w:val="16"/>
              </w:rPr>
            </w:pPr>
          </w:p>
          <w:p w14:paraId="3BBD6334" w14:textId="77777777" w:rsidR="00561B47" w:rsidRPr="00266EB9" w:rsidRDefault="00561B47" w:rsidP="006658D5">
            <w:pPr>
              <w:rPr>
                <w:color w:val="000000"/>
                <w:sz w:val="16"/>
                <w:szCs w:val="16"/>
              </w:rPr>
            </w:pPr>
            <w:r w:rsidRPr="00266EB9">
              <w:rPr>
                <w:sz w:val="16"/>
                <w:szCs w:val="16"/>
              </w:rPr>
              <w:t>Pays arabes (55%)</w:t>
            </w:r>
          </w:p>
          <w:p w14:paraId="6B93A372" w14:textId="77777777" w:rsidR="00561B47" w:rsidRDefault="00561B47" w:rsidP="006658D5">
            <w:pPr>
              <w:rPr>
                <w:color w:val="000000"/>
                <w:sz w:val="16"/>
                <w:szCs w:val="16"/>
              </w:rPr>
            </w:pPr>
          </w:p>
          <w:p w14:paraId="19F2394A" w14:textId="77777777" w:rsidR="00561B47" w:rsidRPr="00266EB9" w:rsidRDefault="00561B47" w:rsidP="006658D5">
            <w:pPr>
              <w:rPr>
                <w:color w:val="000000"/>
                <w:sz w:val="16"/>
                <w:szCs w:val="16"/>
              </w:rPr>
            </w:pPr>
          </w:p>
          <w:p w14:paraId="7C8C7C82" w14:textId="77777777" w:rsidR="00561B47" w:rsidRPr="00266EB9" w:rsidRDefault="00561B47" w:rsidP="006658D5">
            <w:pPr>
              <w:rPr>
                <w:color w:val="000000"/>
                <w:sz w:val="16"/>
                <w:szCs w:val="16"/>
              </w:rPr>
            </w:pPr>
            <w:r w:rsidRPr="00266EB9">
              <w:rPr>
                <w:sz w:val="16"/>
                <w:szCs w:val="16"/>
              </w:rPr>
              <w:t>Asie et Pacifique (29</w:t>
            </w:r>
            <w:r w:rsidRPr="00266EB9">
              <w:rPr>
                <w:color w:val="000000"/>
                <w:sz w:val="16"/>
                <w:szCs w:val="16"/>
              </w:rPr>
              <w:t>%</w:t>
            </w:r>
            <w:r w:rsidRPr="00266EB9">
              <w:rPr>
                <w:sz w:val="16"/>
                <w:szCs w:val="16"/>
              </w:rPr>
              <w:t>)</w:t>
            </w:r>
          </w:p>
          <w:p w14:paraId="34918302" w14:textId="77777777" w:rsidR="00561B47" w:rsidRDefault="00561B47" w:rsidP="006658D5">
            <w:pPr>
              <w:rPr>
                <w:color w:val="000000"/>
                <w:sz w:val="16"/>
                <w:szCs w:val="16"/>
              </w:rPr>
            </w:pPr>
          </w:p>
          <w:p w14:paraId="4D5BC043" w14:textId="77777777" w:rsidR="00561B47" w:rsidRPr="00266EB9" w:rsidRDefault="00561B47" w:rsidP="006658D5">
            <w:pPr>
              <w:rPr>
                <w:color w:val="000000"/>
                <w:sz w:val="16"/>
                <w:szCs w:val="16"/>
              </w:rPr>
            </w:pPr>
          </w:p>
          <w:p w14:paraId="53EBB0B1" w14:textId="77777777" w:rsidR="00561B47" w:rsidRPr="00266EB9" w:rsidRDefault="00561B47" w:rsidP="006658D5">
            <w:pPr>
              <w:rPr>
                <w:color w:val="000000"/>
                <w:sz w:val="16"/>
                <w:szCs w:val="16"/>
              </w:rPr>
            </w:pPr>
            <w:r w:rsidRPr="00266EB9">
              <w:rPr>
                <w:sz w:val="16"/>
                <w:szCs w:val="16"/>
              </w:rPr>
              <w:t>Amérique latine et Caraïbes (85</w:t>
            </w:r>
            <w:r w:rsidRPr="00266EB9">
              <w:rPr>
                <w:color w:val="000000"/>
                <w:sz w:val="16"/>
                <w:szCs w:val="16"/>
              </w:rPr>
              <w:t>%</w:t>
            </w:r>
            <w:r w:rsidRPr="00266EB9">
              <w:rPr>
                <w:sz w:val="16"/>
                <w:szCs w:val="16"/>
              </w:rPr>
              <w:t>)</w:t>
            </w:r>
          </w:p>
          <w:p w14:paraId="13E654CA" w14:textId="77777777" w:rsidR="00561B47" w:rsidRDefault="00561B47" w:rsidP="006658D5">
            <w:pPr>
              <w:rPr>
                <w:color w:val="000000"/>
                <w:sz w:val="16"/>
                <w:szCs w:val="16"/>
              </w:rPr>
            </w:pPr>
          </w:p>
          <w:p w14:paraId="064F7EBC" w14:textId="77777777" w:rsidR="00561B47" w:rsidRPr="00266EB9" w:rsidRDefault="00561B47" w:rsidP="006658D5">
            <w:pPr>
              <w:rPr>
                <w:color w:val="000000"/>
                <w:sz w:val="16"/>
                <w:szCs w:val="16"/>
              </w:rPr>
            </w:pPr>
          </w:p>
          <w:p w14:paraId="32BDB25D" w14:textId="77777777" w:rsidR="00561B47" w:rsidRPr="00266EB9" w:rsidRDefault="00561B47" w:rsidP="006658D5">
            <w:pPr>
              <w:rPr>
                <w:color w:val="000000"/>
                <w:sz w:val="16"/>
                <w:szCs w:val="16"/>
              </w:rPr>
            </w:pPr>
            <w:r w:rsidRPr="00266EB9">
              <w:rPr>
                <w:sz w:val="16"/>
                <w:szCs w:val="16"/>
              </w:rPr>
              <w:t>PMA (75%)</w:t>
            </w:r>
            <w:r w:rsidRPr="00266EB9">
              <w:rPr>
                <w:color w:val="000000"/>
                <w:sz w:val="16"/>
                <w:szCs w:val="16"/>
              </w:rPr>
              <w:t xml:space="preserve"> </w:t>
            </w:r>
          </w:p>
        </w:tc>
        <w:tc>
          <w:tcPr>
            <w:tcW w:w="601" w:type="pct"/>
            <w:shd w:val="clear" w:color="auto" w:fill="auto"/>
            <w:tcMar>
              <w:top w:w="57" w:type="dxa"/>
              <w:left w:w="108" w:type="dxa"/>
              <w:right w:w="108" w:type="dxa"/>
            </w:tcMar>
          </w:tcPr>
          <w:p w14:paraId="327058E0" w14:textId="77777777" w:rsidR="00561B47" w:rsidRPr="00266EB9" w:rsidRDefault="00561B47" w:rsidP="006658D5">
            <w:pPr>
              <w:jc w:val="center"/>
              <w:rPr>
                <w:b/>
                <w:color w:val="00B050"/>
                <w:sz w:val="16"/>
                <w:szCs w:val="16"/>
              </w:rPr>
            </w:pPr>
            <w:r w:rsidRPr="00266EB9">
              <w:rPr>
                <w:b/>
                <w:color w:val="00B050"/>
                <w:sz w:val="16"/>
                <w:szCs w:val="16"/>
              </w:rPr>
              <w:t>En bonne voie</w:t>
            </w:r>
          </w:p>
          <w:p w14:paraId="1B0E60F8" w14:textId="77777777" w:rsidR="00561B47" w:rsidRPr="00266EB9" w:rsidRDefault="00561B47" w:rsidP="006658D5">
            <w:pPr>
              <w:rPr>
                <w:b/>
                <w:color w:val="00B050"/>
                <w:sz w:val="16"/>
                <w:szCs w:val="16"/>
              </w:rPr>
            </w:pPr>
          </w:p>
          <w:p w14:paraId="11AACA89" w14:textId="77777777" w:rsidR="00561B47" w:rsidRPr="00266EB9" w:rsidRDefault="00561B47" w:rsidP="006658D5">
            <w:pPr>
              <w:jc w:val="center"/>
              <w:rPr>
                <w:b/>
                <w:color w:val="00B050"/>
                <w:sz w:val="16"/>
                <w:szCs w:val="16"/>
              </w:rPr>
            </w:pPr>
            <w:r w:rsidRPr="00266EB9">
              <w:rPr>
                <w:b/>
                <w:color w:val="00B050"/>
                <w:sz w:val="16"/>
                <w:szCs w:val="16"/>
              </w:rPr>
              <w:t>En bonne voie</w:t>
            </w:r>
          </w:p>
          <w:p w14:paraId="6028A556" w14:textId="77777777" w:rsidR="00561B47" w:rsidRPr="00266EB9" w:rsidRDefault="00561B47" w:rsidP="006658D5">
            <w:pPr>
              <w:rPr>
                <w:b/>
                <w:color w:val="00B050"/>
                <w:sz w:val="16"/>
                <w:szCs w:val="16"/>
              </w:rPr>
            </w:pPr>
          </w:p>
          <w:p w14:paraId="125BBD98" w14:textId="77777777" w:rsidR="00561B47" w:rsidRPr="00266EB9" w:rsidRDefault="00561B47" w:rsidP="006658D5">
            <w:pPr>
              <w:jc w:val="center"/>
              <w:rPr>
                <w:b/>
                <w:color w:val="00B050"/>
                <w:sz w:val="16"/>
                <w:szCs w:val="16"/>
              </w:rPr>
            </w:pPr>
            <w:r w:rsidRPr="00266EB9">
              <w:rPr>
                <w:b/>
                <w:color w:val="FF0000"/>
                <w:sz w:val="16"/>
                <w:szCs w:val="16"/>
              </w:rPr>
              <w:t>Pas en bonne voie</w:t>
            </w:r>
          </w:p>
          <w:p w14:paraId="64853287" w14:textId="77777777" w:rsidR="00561B47" w:rsidRPr="00266EB9" w:rsidRDefault="00561B47" w:rsidP="006658D5">
            <w:pPr>
              <w:jc w:val="center"/>
              <w:rPr>
                <w:b/>
                <w:color w:val="00B050"/>
                <w:sz w:val="16"/>
                <w:szCs w:val="16"/>
              </w:rPr>
            </w:pPr>
          </w:p>
          <w:p w14:paraId="64F05BBA" w14:textId="77777777" w:rsidR="00561B47" w:rsidRPr="00266EB9" w:rsidRDefault="00561B47" w:rsidP="006658D5">
            <w:pPr>
              <w:jc w:val="center"/>
              <w:rPr>
                <w:b/>
                <w:color w:val="00B050"/>
                <w:sz w:val="16"/>
                <w:szCs w:val="16"/>
              </w:rPr>
            </w:pPr>
            <w:r w:rsidRPr="00266EB9">
              <w:rPr>
                <w:b/>
                <w:color w:val="00B050"/>
                <w:sz w:val="16"/>
                <w:szCs w:val="16"/>
              </w:rPr>
              <w:t>En bonne voie</w:t>
            </w:r>
          </w:p>
          <w:p w14:paraId="73FBE3FB" w14:textId="77777777" w:rsidR="00561B47" w:rsidRPr="00266EB9" w:rsidRDefault="00561B47" w:rsidP="006658D5">
            <w:pPr>
              <w:jc w:val="center"/>
              <w:rPr>
                <w:b/>
                <w:color w:val="00B050"/>
                <w:sz w:val="16"/>
                <w:szCs w:val="16"/>
              </w:rPr>
            </w:pPr>
          </w:p>
          <w:p w14:paraId="2166063A" w14:textId="77777777" w:rsidR="00561B47" w:rsidRPr="00266EB9" w:rsidRDefault="00561B47" w:rsidP="006658D5">
            <w:pPr>
              <w:rPr>
                <w:b/>
                <w:color w:val="00B050"/>
                <w:sz w:val="16"/>
                <w:szCs w:val="16"/>
              </w:rPr>
            </w:pPr>
          </w:p>
          <w:p w14:paraId="6209A414" w14:textId="77777777" w:rsidR="00561B47" w:rsidRPr="00266EB9" w:rsidRDefault="00561B47" w:rsidP="006658D5">
            <w:pPr>
              <w:jc w:val="center"/>
              <w:rPr>
                <w:color w:val="000000"/>
                <w:sz w:val="16"/>
                <w:szCs w:val="16"/>
              </w:rPr>
            </w:pPr>
            <w:r w:rsidRPr="00266EB9">
              <w:rPr>
                <w:b/>
                <w:color w:val="FF0000"/>
                <w:sz w:val="16"/>
                <w:szCs w:val="16"/>
              </w:rPr>
              <w:t>Pas en bonne voie</w:t>
            </w:r>
            <w:r w:rsidRPr="00266EB9" w:rsidDel="00F5511C">
              <w:rPr>
                <w:b/>
                <w:color w:val="00B050"/>
                <w:sz w:val="16"/>
                <w:szCs w:val="16"/>
              </w:rPr>
              <w:t xml:space="preserve"> </w:t>
            </w:r>
          </w:p>
        </w:tc>
      </w:tr>
    </w:tbl>
    <w:p w14:paraId="3F5AC336" w14:textId="77777777" w:rsidR="00561B47" w:rsidRDefault="00561B47" w:rsidP="00561B47">
      <w:r>
        <w:br w:type="page"/>
      </w:r>
    </w:p>
    <w:tbl>
      <w:tblPr>
        <w:tblW w:w="5000" w:type="pct"/>
        <w:tblCellMar>
          <w:top w:w="57" w:type="dxa"/>
          <w:bottom w:w="57" w:type="dxa"/>
        </w:tblCellMar>
        <w:tblLook w:val="0000" w:firstRow="0" w:lastRow="0" w:firstColumn="0" w:lastColumn="0" w:noHBand="0" w:noVBand="0"/>
      </w:tblPr>
      <w:tblGrid>
        <w:gridCol w:w="1952"/>
        <w:gridCol w:w="2331"/>
        <w:gridCol w:w="1630"/>
        <w:gridCol w:w="2224"/>
        <w:gridCol w:w="1150"/>
      </w:tblGrid>
      <w:tr w:rsidR="00561B47" w:rsidRPr="00266EB9" w14:paraId="4AA02357" w14:textId="77777777" w:rsidTr="00561B47">
        <w:tc>
          <w:tcPr>
            <w:tcW w:w="5000" w:type="pct"/>
            <w:gridSpan w:val="5"/>
            <w:shd w:val="clear" w:color="auto" w:fill="C6D9F1" w:themeFill="text2" w:themeFillTint="33"/>
            <w:tcMar>
              <w:left w:w="108" w:type="dxa"/>
              <w:right w:w="108" w:type="dxa"/>
            </w:tcMar>
            <w:vAlign w:val="center"/>
          </w:tcPr>
          <w:p w14:paraId="17FFC7C9" w14:textId="77777777" w:rsidR="00561B47" w:rsidRPr="00266EB9" w:rsidRDefault="00561B47" w:rsidP="00561B47">
            <w:pPr>
              <w:keepNext/>
              <w:tabs>
                <w:tab w:val="left" w:pos="1452"/>
              </w:tabs>
              <w:rPr>
                <w:b/>
                <w:bCs/>
                <w:sz w:val="16"/>
                <w:szCs w:val="16"/>
              </w:rPr>
            </w:pPr>
            <w:r w:rsidRPr="00266EB9">
              <w:rPr>
                <w:b/>
                <w:bCs/>
                <w:color w:val="000000"/>
                <w:sz w:val="16"/>
                <w:szCs w:val="16"/>
              </w:rPr>
              <w:lastRenderedPageBreak/>
              <w:t xml:space="preserve">Résultat escompté : </w:t>
            </w:r>
            <w:r w:rsidRPr="00266EB9">
              <w:rPr>
                <w:bCs/>
                <w:sz w:val="16"/>
                <w:szCs w:val="16"/>
              </w:rPr>
              <w:t>III.4 Mécanismes et programmes de coopération renforcés, adaptés aux besoins des pays en développement, des PMA et des pays en transition</w:t>
            </w:r>
          </w:p>
        </w:tc>
      </w:tr>
      <w:tr w:rsidR="00561B47" w:rsidRPr="00266EB9" w14:paraId="1806F5E7" w14:textId="77777777" w:rsidTr="00561B47">
        <w:tc>
          <w:tcPr>
            <w:tcW w:w="1066" w:type="pct"/>
            <w:shd w:val="clear" w:color="auto" w:fill="auto"/>
            <w:tcMar>
              <w:left w:w="108" w:type="dxa"/>
              <w:right w:w="108" w:type="dxa"/>
            </w:tcMar>
            <w:vAlign w:val="center"/>
          </w:tcPr>
          <w:p w14:paraId="7C7898B8" w14:textId="77777777" w:rsidR="00561B47" w:rsidRPr="00266EB9" w:rsidRDefault="00561B47" w:rsidP="00561B47">
            <w:pPr>
              <w:keepNext/>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3987BC10" w14:textId="77777777" w:rsidR="00561B47" w:rsidRPr="00266EB9" w:rsidRDefault="00561B47" w:rsidP="00561B47">
            <w:pPr>
              <w:keepNext/>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274676F9" w14:textId="77777777" w:rsidR="00561B47" w:rsidRPr="00266EB9" w:rsidRDefault="00561B47" w:rsidP="00561B47">
            <w:pPr>
              <w:keepNext/>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554EFB08" w14:textId="77777777" w:rsidR="00561B47" w:rsidRPr="00266EB9" w:rsidRDefault="00561B47" w:rsidP="00561B47">
            <w:pPr>
              <w:keepNext/>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5201542C" w14:textId="77777777" w:rsidR="00561B47" w:rsidRPr="00266EB9" w:rsidRDefault="00561B47" w:rsidP="00561B47">
            <w:pPr>
              <w:keepNext/>
              <w:jc w:val="center"/>
              <w:rPr>
                <w:b/>
                <w:bCs/>
                <w:sz w:val="16"/>
                <w:szCs w:val="16"/>
              </w:rPr>
            </w:pPr>
            <w:r w:rsidRPr="00266EB9">
              <w:rPr>
                <w:b/>
                <w:bCs/>
                <w:sz w:val="16"/>
                <w:szCs w:val="16"/>
              </w:rPr>
              <w:t>Code d’évaluation</w:t>
            </w:r>
          </w:p>
        </w:tc>
      </w:tr>
      <w:tr w:rsidR="00561B47" w:rsidRPr="00266EB9" w14:paraId="576FAA16" w14:textId="77777777" w:rsidTr="00561B47">
        <w:tc>
          <w:tcPr>
            <w:tcW w:w="1066" w:type="pct"/>
            <w:shd w:val="clear" w:color="auto" w:fill="auto"/>
            <w:tcMar>
              <w:left w:w="108" w:type="dxa"/>
              <w:right w:w="108" w:type="dxa"/>
            </w:tcMar>
          </w:tcPr>
          <w:p w14:paraId="5E145131" w14:textId="77777777" w:rsidR="00561B47" w:rsidRPr="00266EB9" w:rsidRDefault="00561B47" w:rsidP="00561B47">
            <w:pPr>
              <w:rPr>
                <w:color w:val="000000"/>
                <w:sz w:val="16"/>
                <w:szCs w:val="16"/>
              </w:rPr>
            </w:pPr>
            <w:r w:rsidRPr="00266EB9">
              <w:rPr>
                <w:sz w:val="16"/>
                <w:szCs w:val="16"/>
              </w:rPr>
              <w:t xml:space="preserve">Nombre d’accords de coopération, de projets, de programmes et de partenariats à l’échelle nationale, </w:t>
            </w:r>
            <w:proofErr w:type="spellStart"/>
            <w:r w:rsidRPr="00266EB9">
              <w:rPr>
                <w:sz w:val="16"/>
                <w:szCs w:val="16"/>
              </w:rPr>
              <w:t>sous</w:t>
            </w:r>
            <w:r>
              <w:rPr>
                <w:sz w:val="16"/>
                <w:szCs w:val="16"/>
              </w:rPr>
              <w:noBreakHyphen/>
            </w:r>
            <w:r w:rsidRPr="00266EB9">
              <w:rPr>
                <w:sz w:val="16"/>
                <w:szCs w:val="16"/>
              </w:rPr>
              <w:t>régionale</w:t>
            </w:r>
            <w:proofErr w:type="spellEnd"/>
            <w:r w:rsidRPr="00266EB9">
              <w:rPr>
                <w:sz w:val="16"/>
                <w:szCs w:val="16"/>
              </w:rPr>
              <w:t xml:space="preserve"> et régionale ou interrégionale visant à promouvoir l’utilisation efficace des systèmes de propriété intellectuelle fondée sur le partage de bonnes pratiques.</w:t>
            </w:r>
            <w:r w:rsidRPr="00266EB9">
              <w:rPr>
                <w:sz w:val="16"/>
              </w:rPr>
              <w:t xml:space="preserve"> </w:t>
            </w:r>
            <w:r w:rsidRPr="00266EB9">
              <w:rPr>
                <w:sz w:val="16"/>
                <w:szCs w:val="16"/>
              </w:rPr>
              <w:t xml:space="preserve"> </w:t>
            </w:r>
          </w:p>
        </w:tc>
        <w:tc>
          <w:tcPr>
            <w:tcW w:w="1270" w:type="pct"/>
            <w:shd w:val="clear" w:color="auto" w:fill="auto"/>
            <w:tcMar>
              <w:left w:w="108" w:type="dxa"/>
              <w:right w:w="108" w:type="dxa"/>
            </w:tcMar>
          </w:tcPr>
          <w:p w14:paraId="4C7BC06F" w14:textId="77777777" w:rsidR="00561B47" w:rsidRPr="002655A7" w:rsidRDefault="00561B47" w:rsidP="00561B47">
            <w:pPr>
              <w:rPr>
                <w:i/>
                <w:color w:val="002060"/>
                <w:sz w:val="16"/>
                <w:szCs w:val="16"/>
              </w:rPr>
            </w:pPr>
            <w:r w:rsidRPr="00266EB9">
              <w:rPr>
                <w:i/>
                <w:color w:val="002060"/>
                <w:sz w:val="16"/>
                <w:szCs w:val="16"/>
              </w:rPr>
              <w:t>Niveau de référence actualisé à fin 2</w:t>
            </w:r>
            <w:r w:rsidRPr="002655A7">
              <w:rPr>
                <w:i/>
                <w:color w:val="002060"/>
                <w:sz w:val="16"/>
                <w:szCs w:val="16"/>
              </w:rPr>
              <w:t>015 :</w:t>
            </w:r>
          </w:p>
          <w:p w14:paraId="429230ED" w14:textId="77777777" w:rsidR="00561B47" w:rsidRPr="002655A7" w:rsidRDefault="00561B47" w:rsidP="00561B47">
            <w:pPr>
              <w:rPr>
                <w:color w:val="002060"/>
                <w:sz w:val="16"/>
                <w:szCs w:val="16"/>
                <w:lang w:bidi="th-TH"/>
              </w:rPr>
            </w:pPr>
            <w:r w:rsidRPr="002655A7">
              <w:rPr>
                <w:color w:val="002060"/>
                <w:sz w:val="16"/>
                <w:szCs w:val="16"/>
                <w:lang w:bidi="th-TH"/>
              </w:rPr>
              <w:t>Afrique (2)</w:t>
            </w:r>
          </w:p>
          <w:p w14:paraId="7D6BBC53" w14:textId="77777777" w:rsidR="00561B47" w:rsidRPr="002655A7" w:rsidRDefault="00561B47" w:rsidP="00561B47">
            <w:pPr>
              <w:rPr>
                <w:color w:val="002060"/>
                <w:sz w:val="16"/>
                <w:szCs w:val="16"/>
                <w:lang w:bidi="th-TH"/>
              </w:rPr>
            </w:pPr>
            <w:r w:rsidRPr="002655A7">
              <w:rPr>
                <w:color w:val="002060"/>
                <w:sz w:val="16"/>
                <w:szCs w:val="16"/>
                <w:lang w:bidi="th-TH"/>
              </w:rPr>
              <w:t>Pays arabes (1)</w:t>
            </w:r>
          </w:p>
          <w:p w14:paraId="2924C041" w14:textId="77777777" w:rsidR="00561B47" w:rsidRPr="002655A7" w:rsidRDefault="00561B47" w:rsidP="00561B47">
            <w:pPr>
              <w:rPr>
                <w:color w:val="002060"/>
                <w:sz w:val="16"/>
                <w:szCs w:val="16"/>
                <w:lang w:bidi="th-TH"/>
              </w:rPr>
            </w:pPr>
            <w:r w:rsidRPr="002655A7">
              <w:rPr>
                <w:color w:val="002060"/>
                <w:sz w:val="16"/>
                <w:szCs w:val="16"/>
                <w:lang w:bidi="th-TH"/>
              </w:rPr>
              <w:t>Asie et Pacifique (1)</w:t>
            </w:r>
          </w:p>
          <w:p w14:paraId="01F03A16" w14:textId="77777777" w:rsidR="00561B47" w:rsidRPr="002655A7" w:rsidRDefault="00561B47" w:rsidP="00561B47">
            <w:pPr>
              <w:rPr>
                <w:color w:val="002060"/>
                <w:sz w:val="16"/>
              </w:rPr>
            </w:pPr>
            <w:r w:rsidRPr="002655A7">
              <w:rPr>
                <w:color w:val="002060"/>
                <w:sz w:val="16"/>
              </w:rPr>
              <w:t>Amérique latine et Caraïbes : 9 projets en cours</w:t>
            </w:r>
          </w:p>
          <w:p w14:paraId="77F10181" w14:textId="77777777" w:rsidR="00561B47" w:rsidRPr="00266EB9" w:rsidRDefault="00561B47" w:rsidP="00561B47">
            <w:pPr>
              <w:rPr>
                <w:i/>
                <w:color w:val="002060"/>
                <w:sz w:val="16"/>
                <w:szCs w:val="16"/>
                <w:u w:val="single"/>
                <w:lang w:bidi="th-TH"/>
              </w:rPr>
            </w:pPr>
          </w:p>
          <w:p w14:paraId="73D3B5D0" w14:textId="77777777" w:rsidR="00561B47" w:rsidRPr="00266EB9" w:rsidRDefault="00561B47" w:rsidP="00561B47">
            <w:pPr>
              <w:rPr>
                <w:i/>
                <w:color w:val="002060"/>
                <w:sz w:val="16"/>
                <w:szCs w:val="16"/>
                <w:u w:val="single"/>
                <w:lang w:bidi="th-TH"/>
              </w:rPr>
            </w:pPr>
          </w:p>
          <w:p w14:paraId="1BF2D863"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4E641020" w14:textId="77777777" w:rsidR="00561B47" w:rsidRPr="00266EB9" w:rsidRDefault="00561B47" w:rsidP="00561B47">
            <w:pPr>
              <w:rPr>
                <w:sz w:val="16"/>
                <w:szCs w:val="16"/>
              </w:rPr>
            </w:pPr>
            <w:r w:rsidRPr="00266EB9">
              <w:rPr>
                <w:rFonts w:hint="eastAsia"/>
                <w:sz w:val="16"/>
                <w:szCs w:val="16"/>
              </w:rPr>
              <w:t>–</w:t>
            </w:r>
            <w:r w:rsidRPr="00266EB9">
              <w:rPr>
                <w:sz w:val="16"/>
                <w:szCs w:val="16"/>
              </w:rPr>
              <w:t> Afrique (1 en 2014)</w:t>
            </w:r>
          </w:p>
          <w:p w14:paraId="6FCB845F" w14:textId="77777777" w:rsidR="00561B47" w:rsidRPr="00266EB9" w:rsidRDefault="00561B47" w:rsidP="00561B47">
            <w:pPr>
              <w:rPr>
                <w:sz w:val="16"/>
                <w:szCs w:val="16"/>
              </w:rPr>
            </w:pPr>
            <w:r w:rsidRPr="00266EB9">
              <w:rPr>
                <w:rFonts w:hint="eastAsia"/>
                <w:sz w:val="16"/>
                <w:szCs w:val="16"/>
              </w:rPr>
              <w:t>–</w:t>
            </w:r>
            <w:r w:rsidRPr="00266EB9">
              <w:rPr>
                <w:sz w:val="16"/>
                <w:szCs w:val="16"/>
              </w:rPr>
              <w:t> Pays arabes (1 en 2014)</w:t>
            </w:r>
          </w:p>
          <w:p w14:paraId="6DA22E2A" w14:textId="77777777" w:rsidR="00561B47" w:rsidRPr="00266EB9" w:rsidRDefault="00561B47" w:rsidP="00561B47">
            <w:pPr>
              <w:rPr>
                <w:sz w:val="16"/>
                <w:szCs w:val="16"/>
              </w:rPr>
            </w:pPr>
            <w:r w:rsidRPr="00266EB9">
              <w:rPr>
                <w:rFonts w:hint="eastAsia"/>
                <w:sz w:val="16"/>
                <w:szCs w:val="16"/>
              </w:rPr>
              <w:t>–</w:t>
            </w:r>
            <w:r w:rsidRPr="00266EB9">
              <w:rPr>
                <w:sz w:val="16"/>
                <w:szCs w:val="16"/>
              </w:rPr>
              <w:t> Asie et Pacifique (2 en 2014)</w:t>
            </w:r>
          </w:p>
          <w:p w14:paraId="01D1F2A1" w14:textId="77777777" w:rsidR="00561B47" w:rsidRPr="00266EB9" w:rsidRDefault="00561B47" w:rsidP="00561B47">
            <w:pPr>
              <w:rPr>
                <w:sz w:val="16"/>
                <w:szCs w:val="16"/>
              </w:rPr>
            </w:pPr>
            <w:r w:rsidRPr="00266EB9">
              <w:rPr>
                <w:rFonts w:hint="eastAsia"/>
                <w:sz w:val="16"/>
                <w:szCs w:val="16"/>
              </w:rPr>
              <w:t>–</w:t>
            </w:r>
            <w:r w:rsidRPr="00266EB9">
              <w:rPr>
                <w:sz w:val="16"/>
                <w:szCs w:val="16"/>
              </w:rPr>
              <w:t> Amérique latine et Caraïbes (6 en 2014)</w:t>
            </w:r>
          </w:p>
          <w:p w14:paraId="6E55B738" w14:textId="77777777" w:rsidR="00561B47" w:rsidRPr="00266EB9" w:rsidRDefault="00561B47" w:rsidP="00561B47">
            <w:pPr>
              <w:rPr>
                <w:sz w:val="16"/>
                <w:szCs w:val="16"/>
              </w:rPr>
            </w:pPr>
            <w:r w:rsidRPr="00266EB9">
              <w:rPr>
                <w:rFonts w:hint="eastAsia"/>
                <w:sz w:val="16"/>
                <w:szCs w:val="16"/>
              </w:rPr>
              <w:t>–</w:t>
            </w:r>
            <w:r w:rsidRPr="00266EB9">
              <w:rPr>
                <w:sz w:val="16"/>
                <w:szCs w:val="16"/>
              </w:rPr>
              <w:t> PMA : 1 programme à l’échelle régionale/</w:t>
            </w:r>
            <w:proofErr w:type="spellStart"/>
            <w:r w:rsidRPr="00266EB9">
              <w:rPr>
                <w:sz w:val="16"/>
                <w:szCs w:val="16"/>
              </w:rPr>
              <w:t>sous</w:t>
            </w:r>
            <w:r>
              <w:rPr>
                <w:sz w:val="16"/>
                <w:szCs w:val="16"/>
              </w:rPr>
              <w:noBreakHyphen/>
            </w:r>
            <w:r w:rsidRPr="00266EB9">
              <w:rPr>
                <w:sz w:val="16"/>
                <w:szCs w:val="16"/>
              </w:rPr>
              <w:t>régionale</w:t>
            </w:r>
            <w:proofErr w:type="spellEnd"/>
            <w:r w:rsidRPr="00266EB9">
              <w:rPr>
                <w:sz w:val="16"/>
                <w:szCs w:val="16"/>
              </w:rPr>
              <w:t>, 4 programmes à l’échelle nationale (2014)</w:t>
            </w:r>
          </w:p>
        </w:tc>
        <w:tc>
          <w:tcPr>
            <w:tcW w:w="851" w:type="pct"/>
            <w:shd w:val="clear" w:color="auto" w:fill="auto"/>
            <w:tcMar>
              <w:top w:w="57" w:type="dxa"/>
              <w:left w:w="108" w:type="dxa"/>
              <w:right w:w="108" w:type="dxa"/>
            </w:tcMar>
          </w:tcPr>
          <w:p w14:paraId="6962CA0B" w14:textId="77777777" w:rsidR="00561B47" w:rsidRPr="00266EB9" w:rsidRDefault="00561B47" w:rsidP="00561B47">
            <w:pPr>
              <w:rPr>
                <w:sz w:val="16"/>
                <w:szCs w:val="16"/>
              </w:rPr>
            </w:pPr>
            <w:r w:rsidRPr="00266EB9">
              <w:rPr>
                <w:rFonts w:hint="eastAsia"/>
                <w:sz w:val="16"/>
                <w:szCs w:val="16"/>
              </w:rPr>
              <w:t>–</w:t>
            </w:r>
            <w:r w:rsidRPr="00266EB9">
              <w:rPr>
                <w:sz w:val="16"/>
                <w:szCs w:val="16"/>
              </w:rPr>
              <w:t> Afrique (2 supplémentaires)</w:t>
            </w:r>
          </w:p>
          <w:p w14:paraId="0DEDEB94" w14:textId="77777777" w:rsidR="00561B47" w:rsidRPr="00266EB9" w:rsidRDefault="00561B47" w:rsidP="00561B47">
            <w:pPr>
              <w:rPr>
                <w:sz w:val="16"/>
                <w:szCs w:val="16"/>
              </w:rPr>
            </w:pPr>
            <w:r w:rsidRPr="00266EB9">
              <w:rPr>
                <w:rFonts w:hint="eastAsia"/>
                <w:sz w:val="16"/>
                <w:szCs w:val="16"/>
              </w:rPr>
              <w:t>–</w:t>
            </w:r>
            <w:r w:rsidRPr="00266EB9">
              <w:rPr>
                <w:sz w:val="16"/>
                <w:szCs w:val="16"/>
              </w:rPr>
              <w:t> Pays arabes (2 supplémentaires)</w:t>
            </w:r>
          </w:p>
          <w:p w14:paraId="7B734F99" w14:textId="77777777" w:rsidR="00561B47" w:rsidRPr="00266EB9" w:rsidRDefault="00561B47" w:rsidP="00561B47">
            <w:pPr>
              <w:rPr>
                <w:sz w:val="16"/>
                <w:szCs w:val="16"/>
              </w:rPr>
            </w:pPr>
            <w:r w:rsidRPr="00266EB9">
              <w:rPr>
                <w:rFonts w:hint="eastAsia"/>
                <w:sz w:val="16"/>
                <w:szCs w:val="16"/>
              </w:rPr>
              <w:t>–</w:t>
            </w:r>
            <w:r w:rsidRPr="00266EB9">
              <w:rPr>
                <w:sz w:val="16"/>
                <w:szCs w:val="16"/>
              </w:rPr>
              <w:t> Asie et Pacifique (1</w:t>
            </w:r>
            <w:r w:rsidRPr="00266EB9">
              <w:rPr>
                <w:color w:val="000000"/>
                <w:sz w:val="16"/>
                <w:szCs w:val="16"/>
              </w:rPr>
              <w:t xml:space="preserve"> supplémentaire</w:t>
            </w:r>
            <w:r w:rsidRPr="00266EB9">
              <w:rPr>
                <w:sz w:val="16"/>
                <w:szCs w:val="16"/>
              </w:rPr>
              <w:t>)</w:t>
            </w:r>
          </w:p>
          <w:p w14:paraId="11C1A1B0" w14:textId="77777777" w:rsidR="00561B47" w:rsidRPr="00266EB9" w:rsidRDefault="00561B47" w:rsidP="00561B47">
            <w:pPr>
              <w:rPr>
                <w:sz w:val="16"/>
                <w:szCs w:val="16"/>
              </w:rPr>
            </w:pPr>
            <w:r w:rsidRPr="00266EB9">
              <w:rPr>
                <w:rFonts w:hint="eastAsia"/>
                <w:sz w:val="16"/>
                <w:szCs w:val="16"/>
              </w:rPr>
              <w:t>–</w:t>
            </w:r>
            <w:r w:rsidRPr="00266EB9">
              <w:rPr>
                <w:sz w:val="16"/>
                <w:szCs w:val="16"/>
              </w:rPr>
              <w:t> Amérique latine et Caraïbes (4 supplémentaires)</w:t>
            </w:r>
          </w:p>
          <w:p w14:paraId="4C648F37" w14:textId="77777777" w:rsidR="00561B47" w:rsidRPr="00266EB9" w:rsidRDefault="00561B47" w:rsidP="00561B47">
            <w:pPr>
              <w:rPr>
                <w:sz w:val="16"/>
                <w:szCs w:val="16"/>
              </w:rPr>
            </w:pPr>
          </w:p>
          <w:p w14:paraId="48D70640" w14:textId="77777777" w:rsidR="00561B47" w:rsidRPr="00266EB9" w:rsidRDefault="00561B47" w:rsidP="00561B47">
            <w:pPr>
              <w:rPr>
                <w:sz w:val="16"/>
                <w:szCs w:val="16"/>
              </w:rPr>
            </w:pPr>
            <w:r w:rsidRPr="00266EB9">
              <w:rPr>
                <w:color w:val="000000"/>
                <w:sz w:val="16"/>
                <w:szCs w:val="16"/>
              </w:rPr>
              <w:t>PMA :</w:t>
            </w:r>
          </w:p>
          <w:p w14:paraId="7C1793D9" w14:textId="77777777" w:rsidR="00561B47" w:rsidRPr="00266EB9" w:rsidRDefault="00561B47" w:rsidP="00561B47">
            <w:pPr>
              <w:rPr>
                <w:sz w:val="16"/>
                <w:szCs w:val="16"/>
              </w:rPr>
            </w:pPr>
            <w:r w:rsidRPr="00266EB9">
              <w:rPr>
                <w:rFonts w:hint="eastAsia"/>
                <w:sz w:val="16"/>
                <w:szCs w:val="16"/>
              </w:rPr>
              <w:t>–</w:t>
            </w:r>
            <w:r w:rsidRPr="00266EB9">
              <w:rPr>
                <w:sz w:val="16"/>
                <w:szCs w:val="16"/>
              </w:rPr>
              <w:t xml:space="preserve"> 3 programmes à l’échelle régionale/ </w:t>
            </w:r>
            <w:proofErr w:type="spellStart"/>
            <w:r w:rsidRPr="00266EB9">
              <w:rPr>
                <w:sz w:val="16"/>
                <w:szCs w:val="16"/>
              </w:rPr>
              <w:t>sous</w:t>
            </w:r>
            <w:r>
              <w:rPr>
                <w:sz w:val="16"/>
                <w:szCs w:val="16"/>
              </w:rPr>
              <w:noBreakHyphen/>
            </w:r>
            <w:r w:rsidRPr="00266EB9">
              <w:rPr>
                <w:sz w:val="16"/>
                <w:szCs w:val="16"/>
              </w:rPr>
              <w:t>régionale</w:t>
            </w:r>
            <w:proofErr w:type="spellEnd"/>
            <w:r w:rsidRPr="00266EB9">
              <w:rPr>
                <w:sz w:val="16"/>
                <w:szCs w:val="16"/>
              </w:rPr>
              <w:t>,</w:t>
            </w:r>
          </w:p>
          <w:p w14:paraId="2F8FDA6D" w14:textId="77777777" w:rsidR="00561B47" w:rsidRPr="00266EB9" w:rsidRDefault="00561B47" w:rsidP="00561B47">
            <w:pPr>
              <w:rPr>
                <w:sz w:val="16"/>
                <w:szCs w:val="16"/>
              </w:rPr>
            </w:pPr>
            <w:r w:rsidRPr="00266EB9">
              <w:rPr>
                <w:rFonts w:hint="eastAsia"/>
                <w:sz w:val="16"/>
                <w:szCs w:val="16"/>
              </w:rPr>
              <w:t>–</w:t>
            </w:r>
            <w:r w:rsidRPr="00266EB9">
              <w:rPr>
                <w:sz w:val="16"/>
                <w:szCs w:val="16"/>
              </w:rPr>
              <w:t> 8 programmes nationaux</w:t>
            </w:r>
          </w:p>
        </w:tc>
        <w:tc>
          <w:tcPr>
            <w:tcW w:w="1212" w:type="pct"/>
            <w:shd w:val="clear" w:color="auto" w:fill="FFFFFF"/>
            <w:tcMar>
              <w:top w:w="57" w:type="dxa"/>
              <w:left w:w="108" w:type="dxa"/>
              <w:right w:w="108" w:type="dxa"/>
            </w:tcMar>
          </w:tcPr>
          <w:p w14:paraId="3CBB6555" w14:textId="77777777" w:rsidR="00561B47" w:rsidRPr="00266EB9" w:rsidRDefault="00561B47" w:rsidP="00561B47">
            <w:pPr>
              <w:rPr>
                <w:color w:val="000000"/>
                <w:sz w:val="16"/>
                <w:szCs w:val="16"/>
              </w:rPr>
            </w:pPr>
            <w:r w:rsidRPr="00266EB9">
              <w:rPr>
                <w:color w:val="000000"/>
                <w:sz w:val="16"/>
                <w:szCs w:val="16"/>
              </w:rPr>
              <w:t>Afrique : Progrès dans l’établissement de 2 nouveaux mémorandums d’accord, qui devraient être prêts en 2017 :</w:t>
            </w:r>
          </w:p>
          <w:p w14:paraId="7C2B50A2" w14:textId="77777777" w:rsidR="00561B47" w:rsidRPr="00266EB9" w:rsidRDefault="00561B47" w:rsidP="00561B47">
            <w:pPr>
              <w:rPr>
                <w:color w:val="000000"/>
                <w:sz w:val="16"/>
                <w:szCs w:val="16"/>
              </w:rPr>
            </w:pPr>
            <w:r w:rsidRPr="00266EB9">
              <w:rPr>
                <w:sz w:val="16"/>
                <w:szCs w:val="16"/>
              </w:rPr>
              <w:t>– Nouveau partenariat pour le développement de l’Afrique (NEPAD)</w:t>
            </w:r>
          </w:p>
          <w:p w14:paraId="24C14021" w14:textId="77777777" w:rsidR="00561B47" w:rsidRPr="00266EB9" w:rsidRDefault="00561B47" w:rsidP="00561B47">
            <w:pPr>
              <w:rPr>
                <w:color w:val="000000"/>
                <w:sz w:val="16"/>
                <w:szCs w:val="16"/>
              </w:rPr>
            </w:pPr>
            <w:r w:rsidRPr="00266EB9">
              <w:rPr>
                <w:sz w:val="16"/>
                <w:szCs w:val="16"/>
              </w:rPr>
              <w:t>– Communauté économique des États de l’Afrique de l’Ouest (CEDEAO)</w:t>
            </w:r>
          </w:p>
          <w:p w14:paraId="24C5ED69" w14:textId="77777777" w:rsidR="00561B47" w:rsidRPr="00266EB9" w:rsidRDefault="00561B47" w:rsidP="00561B47">
            <w:pPr>
              <w:rPr>
                <w:color w:val="000000"/>
                <w:sz w:val="16"/>
                <w:szCs w:val="16"/>
              </w:rPr>
            </w:pPr>
            <w:r w:rsidRPr="00266EB9">
              <w:rPr>
                <w:sz w:val="16"/>
                <w:szCs w:val="16"/>
              </w:rPr>
              <w:t>(2 au total)</w:t>
            </w:r>
          </w:p>
          <w:p w14:paraId="58318A31" w14:textId="77777777" w:rsidR="00561B47" w:rsidRPr="002655A7" w:rsidRDefault="00561B47" w:rsidP="00561B47">
            <w:pPr>
              <w:rPr>
                <w:color w:val="000000"/>
                <w:sz w:val="16"/>
                <w:szCs w:val="16"/>
              </w:rPr>
            </w:pPr>
          </w:p>
          <w:p w14:paraId="7F8F6AB7" w14:textId="77777777" w:rsidR="00561B47" w:rsidRPr="00266EB9" w:rsidRDefault="00561B47" w:rsidP="00561B47">
            <w:pPr>
              <w:rPr>
                <w:color w:val="000000"/>
                <w:sz w:val="16"/>
                <w:szCs w:val="16"/>
              </w:rPr>
            </w:pPr>
            <w:r w:rsidRPr="00266EB9">
              <w:rPr>
                <w:color w:val="000000"/>
                <w:sz w:val="16"/>
                <w:szCs w:val="16"/>
              </w:rPr>
              <w:t>Pays arabes : 3 nouveaux mémorandums d’accord :</w:t>
            </w:r>
          </w:p>
          <w:p w14:paraId="3BFDE46B" w14:textId="77777777" w:rsidR="00561B47" w:rsidRPr="001E3776" w:rsidRDefault="00561B47" w:rsidP="00561B47">
            <w:pPr>
              <w:rPr>
                <w:color w:val="000000"/>
                <w:sz w:val="16"/>
                <w:szCs w:val="16"/>
                <w:lang w:val="en-US"/>
              </w:rPr>
            </w:pPr>
            <w:r w:rsidRPr="001E3776">
              <w:rPr>
                <w:color w:val="000000"/>
                <w:sz w:val="16"/>
                <w:szCs w:val="16"/>
                <w:lang w:val="en-US"/>
              </w:rPr>
              <w:t>– Central Organization for Standardization and Quality Control (COSCQ)</w:t>
            </w:r>
          </w:p>
          <w:p w14:paraId="1630B2F7" w14:textId="77777777" w:rsidR="00561B47" w:rsidRPr="00266EB9" w:rsidRDefault="00561B47" w:rsidP="00561B47">
            <w:pPr>
              <w:rPr>
                <w:color w:val="000000"/>
                <w:sz w:val="16"/>
                <w:szCs w:val="16"/>
              </w:rPr>
            </w:pPr>
            <w:r w:rsidRPr="00266EB9">
              <w:rPr>
                <w:sz w:val="16"/>
                <w:szCs w:val="16"/>
              </w:rPr>
              <w:t>– Office marocain de la propriété industrielle et commerciale (OMPIC)</w:t>
            </w:r>
          </w:p>
          <w:p w14:paraId="654E7C41" w14:textId="77777777" w:rsidR="00561B47" w:rsidRPr="001E3776" w:rsidRDefault="00561B47" w:rsidP="00561B47">
            <w:pPr>
              <w:rPr>
                <w:color w:val="000000"/>
                <w:sz w:val="16"/>
                <w:szCs w:val="16"/>
                <w:lang w:val="en-US"/>
              </w:rPr>
            </w:pPr>
            <w:r w:rsidRPr="001E3776">
              <w:rPr>
                <w:color w:val="000000"/>
                <w:sz w:val="16"/>
                <w:szCs w:val="16"/>
                <w:lang w:val="en-US"/>
              </w:rPr>
              <w:t>– Public Authority for Craft Industries (PACI)</w:t>
            </w:r>
          </w:p>
          <w:p w14:paraId="0F01B13E" w14:textId="77777777" w:rsidR="00561B47" w:rsidRPr="00266EB9" w:rsidRDefault="00561B47" w:rsidP="00561B47">
            <w:pPr>
              <w:rPr>
                <w:color w:val="000000"/>
                <w:sz w:val="16"/>
                <w:szCs w:val="16"/>
              </w:rPr>
            </w:pPr>
            <w:r w:rsidRPr="00266EB9">
              <w:rPr>
                <w:sz w:val="16"/>
                <w:szCs w:val="16"/>
              </w:rPr>
              <w:t>(4 au total)</w:t>
            </w:r>
          </w:p>
          <w:p w14:paraId="4EF95304" w14:textId="77777777" w:rsidR="00561B47" w:rsidRPr="002655A7" w:rsidRDefault="00561B47" w:rsidP="00561B47">
            <w:pPr>
              <w:rPr>
                <w:color w:val="000000"/>
                <w:sz w:val="16"/>
                <w:szCs w:val="16"/>
              </w:rPr>
            </w:pPr>
          </w:p>
          <w:p w14:paraId="4DF2A2D5" w14:textId="77777777" w:rsidR="00561B47" w:rsidRPr="00266EB9" w:rsidRDefault="00561B47" w:rsidP="00561B47">
            <w:pPr>
              <w:rPr>
                <w:color w:val="000000"/>
                <w:sz w:val="16"/>
                <w:szCs w:val="16"/>
              </w:rPr>
            </w:pPr>
            <w:r w:rsidRPr="00266EB9">
              <w:rPr>
                <w:sz w:val="16"/>
                <w:szCs w:val="16"/>
              </w:rPr>
              <w:t>Asie et Pacifique (10)</w:t>
            </w:r>
          </w:p>
          <w:p w14:paraId="705DB22C" w14:textId="77777777" w:rsidR="00561B47" w:rsidRPr="002655A7" w:rsidRDefault="00561B47" w:rsidP="00561B47">
            <w:pPr>
              <w:rPr>
                <w:sz w:val="16"/>
                <w:szCs w:val="16"/>
              </w:rPr>
            </w:pPr>
            <w:r w:rsidRPr="00266EB9">
              <w:rPr>
                <w:sz w:val="16"/>
                <w:szCs w:val="16"/>
              </w:rPr>
              <w:t>– Lancement d’un projet pilote sur l’élaboration des plans pa</w:t>
            </w:r>
            <w:r w:rsidRPr="002655A7">
              <w:rPr>
                <w:sz w:val="16"/>
                <w:szCs w:val="16"/>
              </w:rPr>
              <w:t>r pays (Thaïlande)</w:t>
            </w:r>
          </w:p>
          <w:p w14:paraId="5589384C" w14:textId="77777777" w:rsidR="00561B47" w:rsidRPr="002655A7" w:rsidRDefault="00561B47" w:rsidP="00561B47">
            <w:pPr>
              <w:rPr>
                <w:sz w:val="16"/>
                <w:szCs w:val="16"/>
              </w:rPr>
            </w:pPr>
            <w:r w:rsidRPr="002655A7">
              <w:rPr>
                <w:sz w:val="16"/>
                <w:szCs w:val="16"/>
              </w:rPr>
              <w:t>– Lancement de 3 projets sur les diagnostics des offices de propriété intellectuelle (Philippines, Sri Lanka, Thaïlande)</w:t>
            </w:r>
          </w:p>
          <w:p w14:paraId="0C418E42" w14:textId="26B35781" w:rsidR="00561B47" w:rsidRPr="002655A7" w:rsidRDefault="00561B47" w:rsidP="00561B47">
            <w:pPr>
              <w:rPr>
                <w:sz w:val="16"/>
                <w:szCs w:val="16"/>
              </w:rPr>
            </w:pPr>
            <w:r w:rsidRPr="002655A7">
              <w:rPr>
                <w:sz w:val="16"/>
                <w:szCs w:val="16"/>
              </w:rPr>
              <w:t xml:space="preserve">– Lancement de 4 projets sur la mise en place d’un environnement propice à la propriété intellectuelle (transfert de technologie) </w:t>
            </w:r>
            <w:r w:rsidR="00CE0AA4">
              <w:rPr>
                <w:sz w:val="16"/>
                <w:szCs w:val="16"/>
              </w:rPr>
              <w:t>(</w:t>
            </w:r>
            <w:r w:rsidRPr="002655A7">
              <w:rPr>
                <w:sz w:val="16"/>
                <w:szCs w:val="16"/>
              </w:rPr>
              <w:t>Malaisie, Philippines, Sri Lanka, Thaïlande)</w:t>
            </w:r>
          </w:p>
          <w:p w14:paraId="49FB3ADD" w14:textId="77777777" w:rsidR="00561B47" w:rsidRDefault="00561B47" w:rsidP="00561B47">
            <w:pPr>
              <w:rPr>
                <w:sz w:val="16"/>
                <w:szCs w:val="16"/>
              </w:rPr>
            </w:pPr>
            <w:r w:rsidRPr="002655A7">
              <w:rPr>
                <w:sz w:val="16"/>
                <w:szCs w:val="16"/>
              </w:rPr>
              <w:t>– 2 conférences des directeurs d’offices de propriété intell</w:t>
            </w:r>
            <w:r w:rsidRPr="00266EB9">
              <w:rPr>
                <w:sz w:val="16"/>
                <w:szCs w:val="16"/>
              </w:rPr>
              <w:t>ectuelle (une pour les pays de l’ASEAN et de l’ASACR, l’autre pour les pays insulaires du Pacifique)</w:t>
            </w:r>
          </w:p>
          <w:p w14:paraId="486BEB3F" w14:textId="1FBFF303" w:rsidR="00CE0AA4" w:rsidRPr="00266EB9" w:rsidRDefault="00CE0AA4" w:rsidP="00CE0AA4">
            <w:pPr>
              <w:rPr>
                <w:color w:val="000000"/>
                <w:sz w:val="16"/>
                <w:szCs w:val="16"/>
              </w:rPr>
            </w:pPr>
            <w:r w:rsidRPr="00266EB9">
              <w:rPr>
                <w:sz w:val="16"/>
                <w:szCs w:val="16"/>
              </w:rPr>
              <w:t>(</w:t>
            </w:r>
            <w:r>
              <w:rPr>
                <w:sz w:val="16"/>
                <w:szCs w:val="16"/>
              </w:rPr>
              <w:t>11</w:t>
            </w:r>
            <w:r w:rsidRPr="00266EB9">
              <w:rPr>
                <w:sz w:val="16"/>
                <w:szCs w:val="16"/>
              </w:rPr>
              <w:t xml:space="preserve"> au total)</w:t>
            </w:r>
          </w:p>
          <w:p w14:paraId="460E15AA" w14:textId="77777777" w:rsidR="00561B47" w:rsidRPr="00266EB9" w:rsidRDefault="00561B47" w:rsidP="00561B47">
            <w:pPr>
              <w:rPr>
                <w:color w:val="000000"/>
                <w:sz w:val="16"/>
                <w:szCs w:val="16"/>
              </w:rPr>
            </w:pPr>
          </w:p>
          <w:p w14:paraId="2561EB62" w14:textId="77777777" w:rsidR="00561B47" w:rsidRPr="00266EB9" w:rsidRDefault="00561B47" w:rsidP="00561B47">
            <w:pPr>
              <w:rPr>
                <w:color w:val="000000"/>
                <w:sz w:val="16"/>
                <w:szCs w:val="12"/>
              </w:rPr>
            </w:pPr>
            <w:r w:rsidRPr="00266EB9">
              <w:rPr>
                <w:color w:val="000000"/>
                <w:sz w:val="16"/>
                <w:szCs w:val="16"/>
              </w:rPr>
              <w:t>Amérique latine et Caraïbes :</w:t>
            </w:r>
            <w:r w:rsidRPr="00266EB9">
              <w:rPr>
                <w:color w:val="000000"/>
                <w:sz w:val="16"/>
                <w:szCs w:val="12"/>
              </w:rPr>
              <w:t xml:space="preserve"> </w:t>
            </w:r>
            <w:r w:rsidRPr="00266EB9">
              <w:rPr>
                <w:color w:val="000000"/>
                <w:sz w:val="16"/>
                <w:szCs w:val="16"/>
              </w:rPr>
              <w:t>Lancement de 2 nouveaux projets :</w:t>
            </w:r>
          </w:p>
          <w:p w14:paraId="388FD329" w14:textId="77777777" w:rsidR="00561B47" w:rsidRPr="00266EB9" w:rsidRDefault="00561B47" w:rsidP="00561B47">
            <w:pPr>
              <w:rPr>
                <w:color w:val="000000"/>
                <w:sz w:val="16"/>
                <w:szCs w:val="16"/>
              </w:rPr>
            </w:pPr>
            <w:r w:rsidRPr="00266EB9">
              <w:rPr>
                <w:color w:val="000000"/>
                <w:sz w:val="16"/>
                <w:szCs w:val="16"/>
              </w:rPr>
              <w:t>– Création d’une base de données mondiale (WIPO</w:t>
            </w:r>
            <w:r>
              <w:rPr>
                <w:color w:val="000000"/>
                <w:sz w:val="16"/>
                <w:szCs w:val="16"/>
              </w:rPr>
              <w:noBreakHyphen/>
            </w:r>
            <w:r w:rsidRPr="00266EB9">
              <w:rPr>
                <w:color w:val="000000"/>
                <w:sz w:val="16"/>
                <w:szCs w:val="16"/>
              </w:rPr>
              <w:t>JURIS) sur les décisions judiciaires majeures en matière de propriété intellectuelle (projet pilote en Amérique latine)</w:t>
            </w:r>
          </w:p>
          <w:p w14:paraId="00A4AD75" w14:textId="77777777" w:rsidR="00561B47" w:rsidRDefault="00561B47" w:rsidP="00561B47">
            <w:pPr>
              <w:rPr>
                <w:color w:val="000000"/>
                <w:sz w:val="16"/>
                <w:szCs w:val="16"/>
              </w:rPr>
            </w:pPr>
            <w:r w:rsidRPr="00266EB9">
              <w:rPr>
                <w:color w:val="000000"/>
                <w:sz w:val="16"/>
                <w:szCs w:val="16"/>
              </w:rPr>
              <w:t xml:space="preserve">– Création d’un manuel sur les procédures et l’examen concernant les marques (Communauté des </w:t>
            </w:r>
            <w:r w:rsidRPr="00266EB9">
              <w:rPr>
                <w:color w:val="000000"/>
                <w:sz w:val="16"/>
                <w:szCs w:val="16"/>
              </w:rPr>
              <w:lastRenderedPageBreak/>
              <w:t>Caraïbes)</w:t>
            </w:r>
          </w:p>
          <w:p w14:paraId="489F01A6" w14:textId="77777777" w:rsidR="00561B47" w:rsidRPr="00266EB9" w:rsidRDefault="00561B47" w:rsidP="00561B47">
            <w:pPr>
              <w:rPr>
                <w:color w:val="000000"/>
                <w:sz w:val="16"/>
                <w:szCs w:val="16"/>
              </w:rPr>
            </w:pPr>
            <w:r w:rsidRPr="00266EB9">
              <w:rPr>
                <w:color w:val="000000"/>
                <w:sz w:val="16"/>
                <w:szCs w:val="16"/>
              </w:rPr>
              <w:t>7 projets en cours</w:t>
            </w:r>
            <w:r w:rsidRPr="00266EB9">
              <w:rPr>
                <w:rStyle w:val="FootnoteReference"/>
                <w:rFonts w:cs="Arial"/>
                <w:color w:val="000000"/>
                <w:lang w:val="fr-CH"/>
              </w:rPr>
              <w:footnoteReference w:id="50"/>
            </w:r>
          </w:p>
          <w:p w14:paraId="170F143A" w14:textId="77777777" w:rsidR="00561B47" w:rsidRPr="00266EB9" w:rsidRDefault="00561B47" w:rsidP="00561B47">
            <w:pPr>
              <w:rPr>
                <w:sz w:val="16"/>
                <w:szCs w:val="16"/>
              </w:rPr>
            </w:pPr>
            <w:r w:rsidRPr="00266EB9">
              <w:rPr>
                <w:sz w:val="16"/>
                <w:szCs w:val="16"/>
              </w:rPr>
              <w:t>(11 projets au total)</w:t>
            </w:r>
          </w:p>
          <w:p w14:paraId="3887A89F" w14:textId="77777777" w:rsidR="00561B47" w:rsidRPr="00266EB9" w:rsidRDefault="00561B47" w:rsidP="00561B47">
            <w:pPr>
              <w:rPr>
                <w:color w:val="000000"/>
                <w:sz w:val="16"/>
                <w:szCs w:val="16"/>
              </w:rPr>
            </w:pPr>
          </w:p>
          <w:p w14:paraId="475CB467" w14:textId="77777777" w:rsidR="00561B47" w:rsidRPr="00266EB9" w:rsidRDefault="00561B47" w:rsidP="00561B47">
            <w:pPr>
              <w:rPr>
                <w:sz w:val="16"/>
                <w:szCs w:val="16"/>
              </w:rPr>
            </w:pPr>
            <w:r w:rsidRPr="00266EB9">
              <w:rPr>
                <w:sz w:val="16"/>
                <w:szCs w:val="16"/>
              </w:rPr>
              <w:t>PMA : 8 programmes</w:t>
            </w:r>
          </w:p>
          <w:p w14:paraId="4A81A8B0" w14:textId="77777777" w:rsidR="00561B47" w:rsidRPr="00266EB9" w:rsidRDefault="00561B47" w:rsidP="00561B47">
            <w:pPr>
              <w:rPr>
                <w:color w:val="000000"/>
                <w:sz w:val="16"/>
                <w:szCs w:val="16"/>
              </w:rPr>
            </w:pPr>
            <w:r w:rsidRPr="00266EB9">
              <w:rPr>
                <w:color w:val="000000"/>
                <w:sz w:val="16"/>
                <w:szCs w:val="16"/>
              </w:rPr>
              <w:t>– 4 projets communs OMPI</w:t>
            </w:r>
            <w:r>
              <w:rPr>
                <w:color w:val="000000"/>
                <w:sz w:val="16"/>
                <w:szCs w:val="16"/>
              </w:rPr>
              <w:noBreakHyphen/>
            </w:r>
            <w:r w:rsidRPr="00266EB9">
              <w:rPr>
                <w:color w:val="000000"/>
                <w:sz w:val="16"/>
                <w:szCs w:val="16"/>
              </w:rPr>
              <w:t>ASDI (Agence suédoise de coopération pour le développement international) de formation et de conseil pour les PMA</w:t>
            </w:r>
          </w:p>
          <w:p w14:paraId="6B313689" w14:textId="77777777" w:rsidR="00561B47" w:rsidRPr="00266EB9" w:rsidRDefault="00561B47" w:rsidP="00561B47">
            <w:pPr>
              <w:rPr>
                <w:color w:val="000000"/>
                <w:sz w:val="16"/>
                <w:szCs w:val="16"/>
              </w:rPr>
            </w:pPr>
            <w:r w:rsidRPr="00266EB9">
              <w:rPr>
                <w:color w:val="000000"/>
                <w:sz w:val="16"/>
                <w:szCs w:val="16"/>
              </w:rPr>
              <w:t>– 1 programme commun OMPI</w:t>
            </w:r>
            <w:r>
              <w:rPr>
                <w:color w:val="000000"/>
                <w:sz w:val="16"/>
                <w:szCs w:val="16"/>
              </w:rPr>
              <w:noBreakHyphen/>
            </w:r>
            <w:r w:rsidRPr="00266EB9">
              <w:rPr>
                <w:color w:val="000000"/>
                <w:sz w:val="16"/>
                <w:szCs w:val="16"/>
              </w:rPr>
              <w:t>UNESCO pour les PMA</w:t>
            </w:r>
          </w:p>
          <w:p w14:paraId="5A06145D" w14:textId="77777777" w:rsidR="00561B47" w:rsidRPr="00266EB9" w:rsidRDefault="00561B47" w:rsidP="00561B47">
            <w:pPr>
              <w:rPr>
                <w:color w:val="000000"/>
                <w:sz w:val="16"/>
                <w:szCs w:val="16"/>
              </w:rPr>
            </w:pPr>
            <w:r w:rsidRPr="00266EB9">
              <w:rPr>
                <w:color w:val="000000"/>
                <w:sz w:val="16"/>
                <w:szCs w:val="16"/>
              </w:rPr>
              <w:t>– 2 programmes nationaux (renforcement des capacités techniques dans le secteur du miel) (Zambie);  consultation nationale sur le renforcement des capacités en matière de propriété intellectuelle dans les institutions (Népal)</w:t>
            </w:r>
          </w:p>
          <w:p w14:paraId="36481185" w14:textId="77777777" w:rsidR="00561B47" w:rsidRPr="00266EB9" w:rsidRDefault="00561B47" w:rsidP="00561B47">
            <w:pPr>
              <w:rPr>
                <w:color w:val="000000"/>
                <w:sz w:val="16"/>
                <w:szCs w:val="16"/>
              </w:rPr>
            </w:pPr>
            <w:r w:rsidRPr="00266EB9">
              <w:rPr>
                <w:color w:val="000000"/>
                <w:sz w:val="16"/>
                <w:szCs w:val="16"/>
              </w:rPr>
              <w:t>– 1 programme commun OMPI</w:t>
            </w:r>
            <w:r>
              <w:rPr>
                <w:color w:val="000000"/>
                <w:sz w:val="16"/>
                <w:szCs w:val="16"/>
              </w:rPr>
              <w:noBreakHyphen/>
            </w:r>
            <w:r w:rsidRPr="00266EB9">
              <w:rPr>
                <w:color w:val="000000"/>
                <w:sz w:val="16"/>
                <w:szCs w:val="16"/>
              </w:rPr>
              <w:t>CESAP pour les PMA dans la région Asie</w:t>
            </w:r>
            <w:r>
              <w:rPr>
                <w:color w:val="000000"/>
                <w:sz w:val="16"/>
                <w:szCs w:val="16"/>
              </w:rPr>
              <w:noBreakHyphen/>
            </w:r>
            <w:r w:rsidRPr="00266EB9">
              <w:rPr>
                <w:color w:val="000000"/>
                <w:sz w:val="16"/>
                <w:szCs w:val="16"/>
              </w:rPr>
              <w:t>Pacifique</w:t>
            </w:r>
          </w:p>
        </w:tc>
        <w:tc>
          <w:tcPr>
            <w:tcW w:w="601" w:type="pct"/>
            <w:shd w:val="clear" w:color="auto" w:fill="auto"/>
            <w:tcMar>
              <w:top w:w="57" w:type="dxa"/>
              <w:left w:w="108" w:type="dxa"/>
              <w:right w:w="108" w:type="dxa"/>
            </w:tcMar>
          </w:tcPr>
          <w:p w14:paraId="05D4FE13" w14:textId="77777777" w:rsidR="00561B47" w:rsidRPr="00266EB9" w:rsidRDefault="00561B47" w:rsidP="00561B47">
            <w:pPr>
              <w:jc w:val="center"/>
              <w:rPr>
                <w:b/>
                <w:color w:val="00B050"/>
                <w:sz w:val="16"/>
                <w:szCs w:val="16"/>
              </w:rPr>
            </w:pPr>
            <w:r w:rsidRPr="00266EB9">
              <w:rPr>
                <w:b/>
                <w:color w:val="00B050"/>
                <w:sz w:val="16"/>
                <w:szCs w:val="16"/>
              </w:rPr>
              <w:lastRenderedPageBreak/>
              <w:t>En bonne voie</w:t>
            </w:r>
          </w:p>
          <w:p w14:paraId="5723E1D0" w14:textId="77777777" w:rsidR="00561B47" w:rsidRPr="00266EB9" w:rsidRDefault="00561B47" w:rsidP="00561B47">
            <w:pPr>
              <w:jc w:val="center"/>
              <w:rPr>
                <w:b/>
                <w:color w:val="00B050"/>
                <w:sz w:val="16"/>
                <w:szCs w:val="16"/>
              </w:rPr>
            </w:pPr>
          </w:p>
          <w:p w14:paraId="169ACA46" w14:textId="77777777" w:rsidR="00561B47" w:rsidRPr="00266EB9" w:rsidRDefault="00561B47" w:rsidP="00561B47">
            <w:pPr>
              <w:jc w:val="center"/>
              <w:rPr>
                <w:b/>
                <w:color w:val="00B050"/>
                <w:sz w:val="16"/>
                <w:szCs w:val="16"/>
              </w:rPr>
            </w:pPr>
          </w:p>
          <w:p w14:paraId="4B4E8D83" w14:textId="77777777" w:rsidR="00561B47" w:rsidRPr="00266EB9" w:rsidRDefault="00561B47" w:rsidP="00561B47">
            <w:pPr>
              <w:jc w:val="center"/>
              <w:rPr>
                <w:b/>
                <w:color w:val="00B050"/>
                <w:sz w:val="16"/>
                <w:szCs w:val="16"/>
              </w:rPr>
            </w:pPr>
          </w:p>
          <w:p w14:paraId="1F97A944" w14:textId="77777777" w:rsidR="00561B47" w:rsidRPr="00266EB9" w:rsidRDefault="00561B47" w:rsidP="00561B47">
            <w:pPr>
              <w:jc w:val="center"/>
              <w:rPr>
                <w:b/>
                <w:color w:val="00B050"/>
                <w:sz w:val="16"/>
                <w:szCs w:val="16"/>
              </w:rPr>
            </w:pPr>
          </w:p>
          <w:p w14:paraId="184564E8" w14:textId="77777777" w:rsidR="00561B47" w:rsidRPr="00266EB9" w:rsidRDefault="00561B47" w:rsidP="00561B47">
            <w:pPr>
              <w:jc w:val="center"/>
              <w:rPr>
                <w:b/>
                <w:color w:val="00B050"/>
                <w:sz w:val="16"/>
                <w:szCs w:val="16"/>
              </w:rPr>
            </w:pPr>
          </w:p>
          <w:p w14:paraId="393CCB88" w14:textId="77777777" w:rsidR="00561B47" w:rsidRPr="00266EB9" w:rsidRDefault="00561B47" w:rsidP="00561B47">
            <w:pPr>
              <w:jc w:val="center"/>
              <w:rPr>
                <w:b/>
                <w:color w:val="00B050"/>
                <w:sz w:val="16"/>
                <w:szCs w:val="16"/>
              </w:rPr>
            </w:pPr>
          </w:p>
          <w:p w14:paraId="6C590389" w14:textId="77777777" w:rsidR="00561B47" w:rsidRPr="00266EB9" w:rsidRDefault="00561B47" w:rsidP="00561B47">
            <w:pPr>
              <w:jc w:val="center"/>
              <w:rPr>
                <w:b/>
                <w:color w:val="00B050"/>
                <w:sz w:val="16"/>
                <w:szCs w:val="16"/>
              </w:rPr>
            </w:pPr>
          </w:p>
          <w:p w14:paraId="2DE98486" w14:textId="77777777" w:rsidR="00561B47" w:rsidRPr="00266EB9" w:rsidRDefault="00561B47" w:rsidP="00561B47">
            <w:pPr>
              <w:jc w:val="center"/>
              <w:rPr>
                <w:b/>
                <w:color w:val="00B050"/>
                <w:sz w:val="16"/>
                <w:szCs w:val="16"/>
              </w:rPr>
            </w:pPr>
          </w:p>
          <w:p w14:paraId="728DD5C7" w14:textId="77777777" w:rsidR="00561B47" w:rsidRDefault="00561B47" w:rsidP="00561B47">
            <w:pPr>
              <w:jc w:val="center"/>
              <w:rPr>
                <w:b/>
                <w:color w:val="00B050"/>
                <w:sz w:val="16"/>
                <w:szCs w:val="16"/>
              </w:rPr>
            </w:pPr>
          </w:p>
          <w:p w14:paraId="146CB40B" w14:textId="77777777" w:rsidR="0048606A" w:rsidRDefault="0048606A" w:rsidP="00561B47">
            <w:pPr>
              <w:jc w:val="center"/>
              <w:rPr>
                <w:b/>
                <w:color w:val="00B050"/>
                <w:sz w:val="16"/>
                <w:szCs w:val="16"/>
              </w:rPr>
            </w:pPr>
          </w:p>
          <w:p w14:paraId="464F2FF9" w14:textId="77777777" w:rsidR="00561B47" w:rsidRPr="00266EB9" w:rsidRDefault="00561B47" w:rsidP="00561B47">
            <w:pPr>
              <w:jc w:val="center"/>
              <w:rPr>
                <w:b/>
                <w:color w:val="00B050"/>
                <w:sz w:val="16"/>
                <w:szCs w:val="16"/>
              </w:rPr>
            </w:pPr>
          </w:p>
          <w:p w14:paraId="66F046E3" w14:textId="77777777" w:rsidR="00561B47" w:rsidRPr="00266EB9" w:rsidRDefault="00561B47" w:rsidP="00561B47">
            <w:pPr>
              <w:jc w:val="center"/>
              <w:rPr>
                <w:b/>
                <w:color w:val="00B050"/>
                <w:sz w:val="16"/>
                <w:szCs w:val="16"/>
              </w:rPr>
            </w:pPr>
          </w:p>
          <w:p w14:paraId="2ADC4DBB" w14:textId="77777777" w:rsidR="00561B47" w:rsidRPr="00266EB9" w:rsidRDefault="00561B47" w:rsidP="00561B47">
            <w:pPr>
              <w:jc w:val="center"/>
              <w:rPr>
                <w:b/>
                <w:color w:val="00B050"/>
                <w:sz w:val="16"/>
                <w:szCs w:val="16"/>
              </w:rPr>
            </w:pPr>
            <w:r w:rsidRPr="00266EB9">
              <w:rPr>
                <w:b/>
                <w:color w:val="00B050"/>
                <w:sz w:val="16"/>
                <w:szCs w:val="16"/>
              </w:rPr>
              <w:t>En bonne voie</w:t>
            </w:r>
          </w:p>
          <w:p w14:paraId="609EBB8D" w14:textId="77777777" w:rsidR="00561B47" w:rsidRPr="00266EB9" w:rsidRDefault="00561B47" w:rsidP="00561B47">
            <w:pPr>
              <w:jc w:val="center"/>
              <w:rPr>
                <w:b/>
                <w:color w:val="00B050"/>
                <w:sz w:val="16"/>
                <w:szCs w:val="16"/>
              </w:rPr>
            </w:pPr>
          </w:p>
          <w:p w14:paraId="448DE80A" w14:textId="77777777" w:rsidR="00561B47" w:rsidRPr="00266EB9" w:rsidRDefault="00561B47" w:rsidP="00561B47">
            <w:pPr>
              <w:jc w:val="center"/>
              <w:rPr>
                <w:b/>
                <w:color w:val="00B050"/>
                <w:sz w:val="16"/>
                <w:szCs w:val="16"/>
              </w:rPr>
            </w:pPr>
          </w:p>
          <w:p w14:paraId="130B9CFB" w14:textId="77777777" w:rsidR="00561B47" w:rsidRPr="00266EB9" w:rsidRDefault="00561B47" w:rsidP="00561B47">
            <w:pPr>
              <w:jc w:val="center"/>
              <w:rPr>
                <w:b/>
                <w:color w:val="00B050"/>
                <w:sz w:val="16"/>
                <w:szCs w:val="16"/>
              </w:rPr>
            </w:pPr>
          </w:p>
          <w:p w14:paraId="3F91F864" w14:textId="77777777" w:rsidR="00561B47" w:rsidRPr="00266EB9" w:rsidRDefault="00561B47" w:rsidP="00561B47">
            <w:pPr>
              <w:jc w:val="center"/>
              <w:rPr>
                <w:b/>
                <w:color w:val="00B050"/>
                <w:sz w:val="16"/>
                <w:szCs w:val="16"/>
              </w:rPr>
            </w:pPr>
          </w:p>
          <w:p w14:paraId="5DF2D870" w14:textId="77777777" w:rsidR="00561B47" w:rsidRPr="00266EB9" w:rsidRDefault="00561B47" w:rsidP="00561B47">
            <w:pPr>
              <w:jc w:val="center"/>
              <w:rPr>
                <w:b/>
                <w:color w:val="00B050"/>
                <w:sz w:val="16"/>
                <w:szCs w:val="16"/>
              </w:rPr>
            </w:pPr>
          </w:p>
          <w:p w14:paraId="48661ECC" w14:textId="77777777" w:rsidR="00561B47" w:rsidRPr="00266EB9" w:rsidRDefault="00561B47" w:rsidP="00561B47">
            <w:pPr>
              <w:jc w:val="center"/>
              <w:rPr>
                <w:b/>
                <w:color w:val="00B050"/>
                <w:sz w:val="16"/>
                <w:szCs w:val="16"/>
              </w:rPr>
            </w:pPr>
          </w:p>
          <w:p w14:paraId="10B85759" w14:textId="77777777" w:rsidR="00561B47" w:rsidRPr="00266EB9" w:rsidRDefault="00561B47" w:rsidP="00561B47">
            <w:pPr>
              <w:jc w:val="center"/>
              <w:rPr>
                <w:b/>
                <w:color w:val="00B050"/>
                <w:sz w:val="16"/>
                <w:szCs w:val="16"/>
              </w:rPr>
            </w:pPr>
          </w:p>
          <w:p w14:paraId="0AFB9FA4" w14:textId="77777777" w:rsidR="00561B47" w:rsidRPr="00266EB9" w:rsidRDefault="00561B47" w:rsidP="00561B47">
            <w:pPr>
              <w:jc w:val="center"/>
              <w:rPr>
                <w:b/>
                <w:color w:val="00B050"/>
                <w:sz w:val="16"/>
                <w:szCs w:val="16"/>
              </w:rPr>
            </w:pPr>
          </w:p>
          <w:p w14:paraId="722813CB" w14:textId="77777777" w:rsidR="00561B47" w:rsidRPr="00266EB9" w:rsidRDefault="00561B47" w:rsidP="00561B47">
            <w:pPr>
              <w:jc w:val="center"/>
              <w:rPr>
                <w:b/>
                <w:color w:val="00B050"/>
                <w:sz w:val="16"/>
                <w:szCs w:val="16"/>
              </w:rPr>
            </w:pPr>
          </w:p>
          <w:p w14:paraId="068C3BF3" w14:textId="77777777" w:rsidR="00561B47" w:rsidRPr="00266EB9" w:rsidRDefault="00561B47" w:rsidP="00561B47">
            <w:pPr>
              <w:jc w:val="center"/>
              <w:rPr>
                <w:b/>
                <w:color w:val="00B050"/>
                <w:sz w:val="16"/>
                <w:szCs w:val="16"/>
              </w:rPr>
            </w:pPr>
          </w:p>
          <w:p w14:paraId="4CE48DA7" w14:textId="77777777" w:rsidR="00561B47" w:rsidRPr="00266EB9" w:rsidRDefault="00561B47" w:rsidP="00561B47">
            <w:pPr>
              <w:jc w:val="center"/>
              <w:rPr>
                <w:b/>
                <w:color w:val="00B050"/>
                <w:sz w:val="16"/>
                <w:szCs w:val="16"/>
              </w:rPr>
            </w:pPr>
            <w:r w:rsidRPr="00266EB9">
              <w:rPr>
                <w:b/>
                <w:color w:val="00B050"/>
                <w:sz w:val="16"/>
                <w:szCs w:val="16"/>
              </w:rPr>
              <w:t>En bonne voie</w:t>
            </w:r>
          </w:p>
          <w:p w14:paraId="771B183B" w14:textId="77777777" w:rsidR="00561B47" w:rsidRPr="00266EB9" w:rsidRDefault="00561B47" w:rsidP="00561B47">
            <w:pPr>
              <w:jc w:val="center"/>
              <w:rPr>
                <w:color w:val="000000"/>
                <w:sz w:val="16"/>
                <w:szCs w:val="16"/>
              </w:rPr>
            </w:pPr>
          </w:p>
          <w:p w14:paraId="657D8418" w14:textId="77777777" w:rsidR="00561B47" w:rsidRPr="00266EB9" w:rsidRDefault="00561B47" w:rsidP="00561B47">
            <w:pPr>
              <w:jc w:val="center"/>
              <w:rPr>
                <w:color w:val="000000"/>
                <w:sz w:val="16"/>
                <w:szCs w:val="16"/>
              </w:rPr>
            </w:pPr>
          </w:p>
          <w:p w14:paraId="1B4185E1" w14:textId="77777777" w:rsidR="00561B47" w:rsidRPr="00266EB9" w:rsidRDefault="00561B47" w:rsidP="00561B47">
            <w:pPr>
              <w:jc w:val="center"/>
              <w:rPr>
                <w:b/>
                <w:color w:val="00B050"/>
                <w:sz w:val="16"/>
                <w:szCs w:val="16"/>
              </w:rPr>
            </w:pPr>
          </w:p>
          <w:p w14:paraId="3BB9D790" w14:textId="77777777" w:rsidR="00561B47" w:rsidRPr="00266EB9" w:rsidRDefault="00561B47" w:rsidP="00561B47">
            <w:pPr>
              <w:jc w:val="center"/>
              <w:rPr>
                <w:b/>
                <w:color w:val="00B050"/>
                <w:sz w:val="16"/>
                <w:szCs w:val="16"/>
              </w:rPr>
            </w:pPr>
          </w:p>
          <w:p w14:paraId="638F8C72" w14:textId="77777777" w:rsidR="00561B47" w:rsidRPr="00266EB9" w:rsidRDefault="00561B47" w:rsidP="00561B47">
            <w:pPr>
              <w:jc w:val="center"/>
              <w:rPr>
                <w:b/>
                <w:color w:val="00B050"/>
                <w:sz w:val="16"/>
                <w:szCs w:val="16"/>
              </w:rPr>
            </w:pPr>
          </w:p>
          <w:p w14:paraId="150BE927" w14:textId="77777777" w:rsidR="00561B47" w:rsidRPr="00266EB9" w:rsidRDefault="00561B47" w:rsidP="00561B47">
            <w:pPr>
              <w:jc w:val="center"/>
              <w:rPr>
                <w:b/>
                <w:color w:val="00B050"/>
                <w:sz w:val="16"/>
                <w:szCs w:val="16"/>
              </w:rPr>
            </w:pPr>
          </w:p>
          <w:p w14:paraId="04FC3AB0" w14:textId="77777777" w:rsidR="00561B47" w:rsidRPr="00266EB9" w:rsidRDefault="00561B47" w:rsidP="00561B47">
            <w:pPr>
              <w:jc w:val="center"/>
              <w:rPr>
                <w:b/>
                <w:color w:val="00B050"/>
                <w:sz w:val="16"/>
                <w:szCs w:val="16"/>
              </w:rPr>
            </w:pPr>
          </w:p>
          <w:p w14:paraId="5B642A48" w14:textId="77777777" w:rsidR="00561B47" w:rsidRPr="00266EB9" w:rsidRDefault="00561B47" w:rsidP="00561B47">
            <w:pPr>
              <w:jc w:val="center"/>
              <w:rPr>
                <w:b/>
                <w:color w:val="00B050"/>
                <w:sz w:val="16"/>
                <w:szCs w:val="16"/>
              </w:rPr>
            </w:pPr>
          </w:p>
          <w:p w14:paraId="2CB6FCC6" w14:textId="77777777" w:rsidR="00561B47" w:rsidRPr="00266EB9" w:rsidRDefault="00561B47" w:rsidP="00561B47">
            <w:pPr>
              <w:jc w:val="center"/>
              <w:rPr>
                <w:b/>
                <w:color w:val="00B050"/>
                <w:sz w:val="16"/>
                <w:szCs w:val="16"/>
              </w:rPr>
            </w:pPr>
          </w:p>
          <w:p w14:paraId="030C11FF" w14:textId="77777777" w:rsidR="00561B47" w:rsidRPr="00266EB9" w:rsidRDefault="00561B47" w:rsidP="00561B47">
            <w:pPr>
              <w:jc w:val="center"/>
              <w:rPr>
                <w:b/>
                <w:color w:val="00B050"/>
                <w:sz w:val="16"/>
                <w:szCs w:val="16"/>
              </w:rPr>
            </w:pPr>
          </w:p>
          <w:p w14:paraId="011B23DB" w14:textId="77777777" w:rsidR="00561B47" w:rsidRPr="00266EB9" w:rsidRDefault="00561B47" w:rsidP="00561B47">
            <w:pPr>
              <w:jc w:val="center"/>
              <w:rPr>
                <w:b/>
                <w:color w:val="00B050"/>
                <w:sz w:val="16"/>
                <w:szCs w:val="16"/>
              </w:rPr>
            </w:pPr>
          </w:p>
          <w:p w14:paraId="093B2F3A" w14:textId="77777777" w:rsidR="00561B47" w:rsidRPr="00266EB9" w:rsidRDefault="00561B47" w:rsidP="00561B47">
            <w:pPr>
              <w:jc w:val="center"/>
              <w:rPr>
                <w:b/>
                <w:color w:val="00B050"/>
                <w:sz w:val="16"/>
                <w:szCs w:val="16"/>
              </w:rPr>
            </w:pPr>
          </w:p>
          <w:p w14:paraId="3E8F840E" w14:textId="77777777" w:rsidR="00561B47" w:rsidRPr="00266EB9" w:rsidRDefault="00561B47" w:rsidP="00561B47">
            <w:pPr>
              <w:jc w:val="center"/>
              <w:rPr>
                <w:b/>
                <w:color w:val="00B050"/>
                <w:sz w:val="16"/>
                <w:szCs w:val="16"/>
              </w:rPr>
            </w:pPr>
          </w:p>
          <w:p w14:paraId="22C9D872" w14:textId="77777777" w:rsidR="00561B47" w:rsidRPr="00266EB9" w:rsidRDefault="00561B47" w:rsidP="00561B47">
            <w:pPr>
              <w:jc w:val="center"/>
              <w:rPr>
                <w:b/>
                <w:color w:val="00B050"/>
                <w:sz w:val="16"/>
                <w:szCs w:val="16"/>
              </w:rPr>
            </w:pPr>
          </w:p>
          <w:p w14:paraId="348164C8" w14:textId="77777777" w:rsidR="00561B47" w:rsidRPr="00266EB9" w:rsidRDefault="00561B47" w:rsidP="00561B47">
            <w:pPr>
              <w:jc w:val="center"/>
              <w:rPr>
                <w:b/>
                <w:color w:val="00B050"/>
                <w:sz w:val="16"/>
                <w:szCs w:val="16"/>
              </w:rPr>
            </w:pPr>
          </w:p>
          <w:p w14:paraId="63041E8D" w14:textId="77777777" w:rsidR="00561B47" w:rsidRPr="00266EB9" w:rsidRDefault="00561B47" w:rsidP="00561B47">
            <w:pPr>
              <w:jc w:val="center"/>
              <w:rPr>
                <w:b/>
                <w:color w:val="00B050"/>
                <w:sz w:val="16"/>
                <w:szCs w:val="16"/>
              </w:rPr>
            </w:pPr>
          </w:p>
          <w:p w14:paraId="3014F585" w14:textId="77777777" w:rsidR="00561B47" w:rsidRPr="00266EB9" w:rsidRDefault="00561B47" w:rsidP="00561B47">
            <w:pPr>
              <w:jc w:val="center"/>
              <w:rPr>
                <w:b/>
                <w:color w:val="00B050"/>
                <w:sz w:val="16"/>
                <w:szCs w:val="16"/>
              </w:rPr>
            </w:pPr>
          </w:p>
          <w:p w14:paraId="2F1BB12E" w14:textId="77777777" w:rsidR="00561B47" w:rsidRPr="00266EB9" w:rsidRDefault="00561B47" w:rsidP="00561B47">
            <w:pPr>
              <w:jc w:val="center"/>
              <w:rPr>
                <w:b/>
                <w:color w:val="00B050"/>
                <w:sz w:val="16"/>
                <w:szCs w:val="16"/>
              </w:rPr>
            </w:pPr>
          </w:p>
          <w:p w14:paraId="5468FE96" w14:textId="77777777" w:rsidR="00561B47" w:rsidRPr="00266EB9" w:rsidRDefault="00561B47" w:rsidP="00561B47">
            <w:pPr>
              <w:jc w:val="center"/>
              <w:rPr>
                <w:b/>
                <w:color w:val="00B050"/>
                <w:sz w:val="16"/>
                <w:szCs w:val="16"/>
              </w:rPr>
            </w:pPr>
          </w:p>
          <w:p w14:paraId="03732880" w14:textId="77777777" w:rsidR="00561B47" w:rsidRDefault="00561B47" w:rsidP="00561B47">
            <w:pPr>
              <w:jc w:val="center"/>
              <w:rPr>
                <w:b/>
                <w:color w:val="00B050"/>
                <w:sz w:val="16"/>
                <w:szCs w:val="16"/>
              </w:rPr>
            </w:pPr>
          </w:p>
          <w:p w14:paraId="73E56A46" w14:textId="77777777" w:rsidR="00561B47" w:rsidRDefault="00561B47" w:rsidP="00561B47">
            <w:pPr>
              <w:jc w:val="center"/>
              <w:rPr>
                <w:b/>
                <w:color w:val="00B050"/>
                <w:sz w:val="16"/>
                <w:szCs w:val="16"/>
              </w:rPr>
            </w:pPr>
          </w:p>
          <w:p w14:paraId="21DA7942" w14:textId="77777777" w:rsidR="00CE0AA4" w:rsidRDefault="00CE0AA4" w:rsidP="00561B47">
            <w:pPr>
              <w:jc w:val="center"/>
              <w:rPr>
                <w:b/>
                <w:color w:val="00B050"/>
                <w:sz w:val="16"/>
                <w:szCs w:val="16"/>
              </w:rPr>
            </w:pPr>
          </w:p>
          <w:p w14:paraId="432AECFA" w14:textId="77777777" w:rsidR="00561B47" w:rsidRPr="00266EB9" w:rsidRDefault="00561B47" w:rsidP="00561B47">
            <w:pPr>
              <w:jc w:val="center"/>
              <w:rPr>
                <w:b/>
                <w:color w:val="00B050"/>
                <w:sz w:val="16"/>
                <w:szCs w:val="16"/>
              </w:rPr>
            </w:pPr>
          </w:p>
          <w:p w14:paraId="60D1FBB9" w14:textId="77777777" w:rsidR="00561B47" w:rsidRPr="00266EB9" w:rsidRDefault="00561B47" w:rsidP="00561B47">
            <w:pPr>
              <w:jc w:val="center"/>
              <w:rPr>
                <w:b/>
                <w:color w:val="00B050"/>
                <w:sz w:val="16"/>
                <w:szCs w:val="16"/>
              </w:rPr>
            </w:pPr>
            <w:r w:rsidRPr="00266EB9">
              <w:rPr>
                <w:b/>
                <w:color w:val="00B050"/>
                <w:sz w:val="16"/>
                <w:szCs w:val="16"/>
              </w:rPr>
              <w:t>En bonne voie</w:t>
            </w:r>
          </w:p>
          <w:p w14:paraId="72B2DE4B" w14:textId="77777777" w:rsidR="00561B47" w:rsidRPr="00266EB9" w:rsidRDefault="00561B47" w:rsidP="00561B47">
            <w:pPr>
              <w:jc w:val="center"/>
              <w:rPr>
                <w:b/>
                <w:color w:val="00B050"/>
                <w:sz w:val="16"/>
                <w:szCs w:val="16"/>
              </w:rPr>
            </w:pPr>
          </w:p>
          <w:p w14:paraId="5306C746" w14:textId="77777777" w:rsidR="00561B47" w:rsidRPr="00266EB9" w:rsidRDefault="00561B47" w:rsidP="00561B47">
            <w:pPr>
              <w:jc w:val="center"/>
              <w:rPr>
                <w:b/>
                <w:color w:val="00B050"/>
                <w:sz w:val="16"/>
                <w:szCs w:val="16"/>
              </w:rPr>
            </w:pPr>
          </w:p>
          <w:p w14:paraId="4617B527" w14:textId="77777777" w:rsidR="00561B47" w:rsidRPr="00266EB9" w:rsidRDefault="00561B47" w:rsidP="00561B47">
            <w:pPr>
              <w:jc w:val="center"/>
              <w:rPr>
                <w:b/>
                <w:color w:val="00B050"/>
                <w:sz w:val="16"/>
                <w:szCs w:val="16"/>
              </w:rPr>
            </w:pPr>
          </w:p>
          <w:p w14:paraId="168D6227" w14:textId="77777777" w:rsidR="00561B47" w:rsidRPr="00266EB9" w:rsidRDefault="00561B47" w:rsidP="00561B47">
            <w:pPr>
              <w:jc w:val="center"/>
              <w:rPr>
                <w:b/>
                <w:color w:val="00B050"/>
                <w:sz w:val="16"/>
                <w:szCs w:val="16"/>
              </w:rPr>
            </w:pPr>
          </w:p>
          <w:p w14:paraId="48FB227F" w14:textId="77777777" w:rsidR="00561B47" w:rsidRPr="00266EB9" w:rsidRDefault="00561B47" w:rsidP="00561B47">
            <w:pPr>
              <w:jc w:val="center"/>
              <w:rPr>
                <w:b/>
                <w:color w:val="00B050"/>
                <w:sz w:val="16"/>
                <w:szCs w:val="16"/>
              </w:rPr>
            </w:pPr>
          </w:p>
          <w:p w14:paraId="6567420B" w14:textId="77777777" w:rsidR="00561B47" w:rsidRPr="00266EB9" w:rsidRDefault="00561B47" w:rsidP="00561B47">
            <w:pPr>
              <w:jc w:val="center"/>
              <w:rPr>
                <w:b/>
                <w:color w:val="00B050"/>
                <w:sz w:val="16"/>
                <w:szCs w:val="16"/>
              </w:rPr>
            </w:pPr>
          </w:p>
          <w:p w14:paraId="455D8D04" w14:textId="77777777" w:rsidR="00561B47" w:rsidRPr="00266EB9" w:rsidRDefault="00561B47" w:rsidP="00561B47">
            <w:pPr>
              <w:jc w:val="center"/>
              <w:rPr>
                <w:b/>
                <w:color w:val="00B050"/>
                <w:sz w:val="16"/>
                <w:szCs w:val="16"/>
              </w:rPr>
            </w:pPr>
          </w:p>
          <w:p w14:paraId="30F7B74F" w14:textId="77777777" w:rsidR="00561B47" w:rsidRPr="00266EB9" w:rsidRDefault="00561B47" w:rsidP="00561B47">
            <w:pPr>
              <w:jc w:val="center"/>
              <w:rPr>
                <w:b/>
                <w:color w:val="00B050"/>
                <w:sz w:val="16"/>
                <w:szCs w:val="16"/>
              </w:rPr>
            </w:pPr>
          </w:p>
          <w:p w14:paraId="2A4017E9" w14:textId="77777777" w:rsidR="00561B47" w:rsidRPr="00266EB9" w:rsidRDefault="00561B47" w:rsidP="00561B47">
            <w:pPr>
              <w:jc w:val="center"/>
              <w:rPr>
                <w:b/>
                <w:color w:val="00B050"/>
                <w:sz w:val="16"/>
                <w:szCs w:val="16"/>
              </w:rPr>
            </w:pPr>
          </w:p>
          <w:p w14:paraId="77E200AF" w14:textId="77777777" w:rsidR="00561B47" w:rsidRPr="00266EB9" w:rsidRDefault="00561B47" w:rsidP="00561B47">
            <w:pPr>
              <w:jc w:val="center"/>
              <w:rPr>
                <w:b/>
                <w:color w:val="00B050"/>
                <w:sz w:val="16"/>
                <w:szCs w:val="16"/>
              </w:rPr>
            </w:pPr>
          </w:p>
          <w:p w14:paraId="34413EDF" w14:textId="77777777" w:rsidR="00561B47" w:rsidRPr="00266EB9" w:rsidRDefault="00561B47" w:rsidP="00561B47">
            <w:pPr>
              <w:jc w:val="center"/>
              <w:rPr>
                <w:b/>
                <w:color w:val="00B050"/>
                <w:sz w:val="16"/>
                <w:szCs w:val="16"/>
              </w:rPr>
            </w:pPr>
          </w:p>
          <w:p w14:paraId="4615D03F" w14:textId="77777777" w:rsidR="00561B47" w:rsidRPr="00266EB9" w:rsidRDefault="00561B47" w:rsidP="00561B47">
            <w:pPr>
              <w:jc w:val="center"/>
              <w:rPr>
                <w:b/>
                <w:color w:val="00B050"/>
                <w:sz w:val="16"/>
                <w:szCs w:val="16"/>
              </w:rPr>
            </w:pPr>
          </w:p>
          <w:p w14:paraId="4DE2D58E" w14:textId="77777777" w:rsidR="00561B47" w:rsidRPr="00266EB9" w:rsidRDefault="00561B47" w:rsidP="00561B47">
            <w:pPr>
              <w:jc w:val="center"/>
              <w:rPr>
                <w:b/>
                <w:color w:val="00B050"/>
                <w:sz w:val="16"/>
                <w:szCs w:val="16"/>
              </w:rPr>
            </w:pPr>
          </w:p>
          <w:p w14:paraId="12278C2B" w14:textId="77777777" w:rsidR="00561B47" w:rsidRDefault="00561B47" w:rsidP="00561B47">
            <w:pPr>
              <w:jc w:val="center"/>
              <w:rPr>
                <w:b/>
                <w:color w:val="00B050"/>
                <w:sz w:val="16"/>
                <w:szCs w:val="16"/>
              </w:rPr>
            </w:pPr>
          </w:p>
          <w:p w14:paraId="556A912C" w14:textId="77777777" w:rsidR="00CE0AA4" w:rsidRDefault="00CE0AA4" w:rsidP="00561B47">
            <w:pPr>
              <w:jc w:val="center"/>
              <w:rPr>
                <w:b/>
                <w:color w:val="00B050"/>
                <w:sz w:val="16"/>
                <w:szCs w:val="16"/>
              </w:rPr>
            </w:pPr>
          </w:p>
          <w:p w14:paraId="745027A9" w14:textId="77777777" w:rsidR="00CE0AA4" w:rsidRDefault="00CE0AA4" w:rsidP="00561B47">
            <w:pPr>
              <w:jc w:val="center"/>
              <w:rPr>
                <w:b/>
                <w:color w:val="00B050"/>
                <w:sz w:val="16"/>
                <w:szCs w:val="16"/>
              </w:rPr>
            </w:pPr>
          </w:p>
          <w:p w14:paraId="420E8710" w14:textId="77777777" w:rsidR="00CE0AA4" w:rsidRPr="00266EB9" w:rsidRDefault="00CE0AA4" w:rsidP="00561B47">
            <w:pPr>
              <w:jc w:val="center"/>
              <w:rPr>
                <w:b/>
                <w:color w:val="00B050"/>
                <w:sz w:val="16"/>
                <w:szCs w:val="16"/>
              </w:rPr>
            </w:pPr>
          </w:p>
          <w:p w14:paraId="3239333E" w14:textId="77777777" w:rsidR="00561B47" w:rsidRPr="00266EB9" w:rsidRDefault="00561B47" w:rsidP="00561B47">
            <w:pPr>
              <w:jc w:val="center"/>
              <w:rPr>
                <w:b/>
                <w:color w:val="000000"/>
                <w:sz w:val="16"/>
                <w:szCs w:val="16"/>
              </w:rPr>
            </w:pPr>
            <w:r w:rsidRPr="00266EB9">
              <w:rPr>
                <w:b/>
                <w:color w:val="00B050"/>
                <w:sz w:val="16"/>
                <w:szCs w:val="16"/>
              </w:rPr>
              <w:t>En bonne voie</w:t>
            </w:r>
          </w:p>
        </w:tc>
      </w:tr>
      <w:tr w:rsidR="00561B47" w:rsidRPr="00266EB9" w14:paraId="46BBB9C1" w14:textId="77777777" w:rsidTr="00561B47">
        <w:tc>
          <w:tcPr>
            <w:tcW w:w="5000" w:type="pct"/>
            <w:gridSpan w:val="5"/>
            <w:shd w:val="clear" w:color="auto" w:fill="C6D9F1" w:themeFill="text2" w:themeFillTint="33"/>
            <w:tcMar>
              <w:left w:w="108" w:type="dxa"/>
              <w:right w:w="108" w:type="dxa"/>
            </w:tcMar>
            <w:vAlign w:val="center"/>
          </w:tcPr>
          <w:p w14:paraId="71DD02A7" w14:textId="77777777" w:rsidR="00561B47" w:rsidRPr="00266EB9" w:rsidRDefault="00561B47" w:rsidP="00561B47">
            <w:pPr>
              <w:tabs>
                <w:tab w:val="left" w:pos="1452"/>
              </w:tabs>
              <w:rPr>
                <w:b/>
                <w:bCs/>
                <w:sz w:val="16"/>
                <w:szCs w:val="16"/>
              </w:rPr>
            </w:pPr>
            <w:r w:rsidRPr="00266EB9">
              <w:rPr>
                <w:b/>
                <w:bCs/>
                <w:sz w:val="16"/>
                <w:szCs w:val="16"/>
              </w:rPr>
              <w:lastRenderedPageBreak/>
              <w:t>Résultat escompté :</w:t>
            </w:r>
            <w:r w:rsidRPr="00266EB9">
              <w:rPr>
                <w:b/>
                <w:bCs/>
                <w:color w:val="000000"/>
                <w:sz w:val="16"/>
                <w:szCs w:val="16"/>
              </w:rPr>
              <w:t xml:space="preserve"> </w:t>
            </w:r>
            <w:r w:rsidRPr="00266EB9">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561B47" w:rsidRPr="00266EB9" w14:paraId="5C05BF59" w14:textId="77777777" w:rsidTr="00561B47">
        <w:tc>
          <w:tcPr>
            <w:tcW w:w="1066" w:type="pct"/>
            <w:shd w:val="clear" w:color="auto" w:fill="auto"/>
            <w:tcMar>
              <w:left w:w="108" w:type="dxa"/>
              <w:right w:w="108" w:type="dxa"/>
            </w:tcMar>
            <w:vAlign w:val="center"/>
          </w:tcPr>
          <w:p w14:paraId="2AD1E8F9" w14:textId="77777777" w:rsidR="00561B47" w:rsidRPr="00266EB9" w:rsidRDefault="00561B47" w:rsidP="00561B47">
            <w:pPr>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51E3535A" w14:textId="77777777" w:rsidR="00561B47" w:rsidRPr="00266EB9" w:rsidRDefault="00561B47" w:rsidP="00561B47">
            <w:pPr>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190174B2" w14:textId="77777777" w:rsidR="00561B47" w:rsidRPr="00266EB9" w:rsidRDefault="00561B47" w:rsidP="00561B47">
            <w:pPr>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67E691B3" w14:textId="77777777" w:rsidR="00561B47" w:rsidRPr="00266EB9" w:rsidRDefault="00561B47" w:rsidP="00561B47">
            <w:pPr>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13707358" w14:textId="77777777" w:rsidR="00561B47" w:rsidRPr="00266EB9" w:rsidRDefault="00561B47" w:rsidP="00561B47">
            <w:pPr>
              <w:jc w:val="center"/>
              <w:rPr>
                <w:b/>
                <w:bCs/>
                <w:sz w:val="16"/>
                <w:szCs w:val="16"/>
              </w:rPr>
            </w:pPr>
            <w:r w:rsidRPr="00266EB9">
              <w:rPr>
                <w:b/>
                <w:bCs/>
                <w:sz w:val="16"/>
                <w:szCs w:val="16"/>
              </w:rPr>
              <w:t>Code d’évaluation</w:t>
            </w:r>
          </w:p>
        </w:tc>
      </w:tr>
      <w:tr w:rsidR="00561B47" w:rsidRPr="00266EB9" w14:paraId="17CDAA37" w14:textId="77777777" w:rsidTr="00561B47">
        <w:tc>
          <w:tcPr>
            <w:tcW w:w="1066" w:type="pct"/>
            <w:shd w:val="clear" w:color="auto" w:fill="auto"/>
            <w:tcMar>
              <w:left w:w="108" w:type="dxa"/>
              <w:right w:w="108" w:type="dxa"/>
            </w:tcMar>
          </w:tcPr>
          <w:p w14:paraId="638AA501" w14:textId="77777777" w:rsidR="00561B47" w:rsidRPr="00266EB9" w:rsidRDefault="00561B47" w:rsidP="00561B47">
            <w:pPr>
              <w:rPr>
                <w:color w:val="000000"/>
                <w:sz w:val="16"/>
                <w:szCs w:val="16"/>
              </w:rPr>
            </w:pPr>
            <w:r w:rsidRPr="00266EB9">
              <w:rPr>
                <w:sz w:val="16"/>
                <w:szCs w:val="16"/>
              </w:rPr>
              <w:t>Nombre de réseaux nationaux de centres d’appui à la technologie et à l’innovation (CATI) durables</w:t>
            </w:r>
            <w:r w:rsidRPr="00266EB9">
              <w:rPr>
                <w:rStyle w:val="FootnoteReference"/>
                <w:rFonts w:cs="Arial"/>
              </w:rPr>
              <w:footnoteReference w:id="51"/>
            </w:r>
            <w:r w:rsidRPr="00266EB9">
              <w:rPr>
                <w:sz w:val="16"/>
                <w:szCs w:val="16"/>
              </w:rPr>
              <w:t xml:space="preserve"> (données cumulées)</w:t>
            </w:r>
          </w:p>
        </w:tc>
        <w:tc>
          <w:tcPr>
            <w:tcW w:w="1270" w:type="pct"/>
            <w:shd w:val="clear" w:color="auto" w:fill="auto"/>
            <w:tcMar>
              <w:left w:w="108" w:type="dxa"/>
              <w:right w:w="108" w:type="dxa"/>
            </w:tcMar>
          </w:tcPr>
          <w:p w14:paraId="58E8F1E0"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7B940865" w14:textId="77777777" w:rsidR="00561B47" w:rsidRPr="00266EB9" w:rsidRDefault="00561B47" w:rsidP="00561B47">
            <w:pPr>
              <w:rPr>
                <w:color w:val="002060"/>
                <w:sz w:val="16"/>
                <w:szCs w:val="16"/>
              </w:rPr>
            </w:pPr>
            <w:r w:rsidRPr="00266EB9">
              <w:rPr>
                <w:color w:val="002060"/>
                <w:sz w:val="16"/>
                <w:szCs w:val="16"/>
              </w:rPr>
              <w:t>23 réseaux nationaux durables, sur un total de 50 créés officiellement</w:t>
            </w:r>
          </w:p>
          <w:p w14:paraId="79130BB7" w14:textId="77777777" w:rsidR="00561B47" w:rsidRPr="002655A7" w:rsidRDefault="00561B47" w:rsidP="00561B47">
            <w:pPr>
              <w:rPr>
                <w:color w:val="002060"/>
                <w:sz w:val="16"/>
                <w:szCs w:val="16"/>
              </w:rPr>
            </w:pPr>
          </w:p>
          <w:p w14:paraId="6AB56370" w14:textId="77777777" w:rsidR="00561B47" w:rsidRPr="002655A7" w:rsidRDefault="00561B47" w:rsidP="00561B47">
            <w:pPr>
              <w:rPr>
                <w:color w:val="002060"/>
                <w:sz w:val="16"/>
                <w:szCs w:val="16"/>
              </w:rPr>
            </w:pPr>
            <w:r w:rsidRPr="002655A7">
              <w:rPr>
                <w:color w:val="002060"/>
                <w:sz w:val="16"/>
                <w:szCs w:val="16"/>
              </w:rPr>
              <w:t>Développement niveau 1 :</w:t>
            </w:r>
          </w:p>
          <w:p w14:paraId="4BB4B88C" w14:textId="77777777" w:rsidR="00561B47" w:rsidRPr="002655A7" w:rsidRDefault="00561B47" w:rsidP="00561B47">
            <w:pPr>
              <w:rPr>
                <w:color w:val="002060"/>
                <w:sz w:val="16"/>
                <w:szCs w:val="16"/>
              </w:rPr>
            </w:pPr>
            <w:r w:rsidRPr="002655A7">
              <w:rPr>
                <w:color w:val="002060"/>
                <w:sz w:val="16"/>
                <w:szCs w:val="16"/>
              </w:rPr>
              <w:t>Afrique (8 dont 6 PMA)</w:t>
            </w:r>
          </w:p>
          <w:p w14:paraId="6F18AC2C" w14:textId="77777777" w:rsidR="00561B47" w:rsidRPr="002655A7" w:rsidRDefault="00561B47" w:rsidP="00561B47">
            <w:pPr>
              <w:rPr>
                <w:color w:val="002060"/>
                <w:sz w:val="16"/>
                <w:szCs w:val="16"/>
              </w:rPr>
            </w:pPr>
            <w:r w:rsidRPr="002655A7">
              <w:rPr>
                <w:color w:val="002060"/>
                <w:sz w:val="16"/>
                <w:szCs w:val="16"/>
              </w:rPr>
              <w:t>Pays arabes (1)</w:t>
            </w:r>
          </w:p>
          <w:p w14:paraId="2092019B" w14:textId="77777777" w:rsidR="00561B47" w:rsidRPr="002655A7" w:rsidRDefault="00561B47" w:rsidP="00561B47">
            <w:pPr>
              <w:rPr>
                <w:color w:val="002060"/>
                <w:sz w:val="16"/>
                <w:szCs w:val="16"/>
              </w:rPr>
            </w:pPr>
            <w:r w:rsidRPr="002655A7">
              <w:rPr>
                <w:color w:val="002060"/>
                <w:sz w:val="16"/>
                <w:szCs w:val="16"/>
              </w:rPr>
              <w:t>Asie et Pacifique (3)</w:t>
            </w:r>
          </w:p>
          <w:p w14:paraId="1C546742" w14:textId="77777777" w:rsidR="00561B47" w:rsidRPr="002655A7" w:rsidRDefault="00561B47" w:rsidP="00561B47">
            <w:pPr>
              <w:rPr>
                <w:color w:val="002060"/>
                <w:sz w:val="16"/>
                <w:szCs w:val="16"/>
              </w:rPr>
            </w:pPr>
            <w:r w:rsidRPr="002655A7">
              <w:rPr>
                <w:color w:val="002060"/>
                <w:sz w:val="16"/>
                <w:szCs w:val="16"/>
              </w:rPr>
              <w:t>Amérique latine et Caraïbes (5)</w:t>
            </w:r>
          </w:p>
          <w:p w14:paraId="6D0A218C" w14:textId="77777777" w:rsidR="00561B47" w:rsidRPr="002655A7" w:rsidRDefault="00561B47" w:rsidP="00561B47">
            <w:pPr>
              <w:rPr>
                <w:color w:val="002060"/>
                <w:sz w:val="16"/>
                <w:szCs w:val="16"/>
              </w:rPr>
            </w:pPr>
            <w:r w:rsidRPr="002655A7">
              <w:rPr>
                <w:color w:val="002060"/>
                <w:sz w:val="16"/>
                <w:szCs w:val="16"/>
              </w:rPr>
              <w:t>(17 au total)</w:t>
            </w:r>
          </w:p>
          <w:p w14:paraId="38B5D825" w14:textId="77777777" w:rsidR="00561B47" w:rsidRPr="002655A7" w:rsidRDefault="00561B47" w:rsidP="00561B47">
            <w:pPr>
              <w:rPr>
                <w:color w:val="002060"/>
                <w:sz w:val="16"/>
                <w:szCs w:val="16"/>
              </w:rPr>
            </w:pPr>
          </w:p>
          <w:p w14:paraId="3331C6A7" w14:textId="77777777" w:rsidR="00561B47" w:rsidRPr="002655A7" w:rsidRDefault="00561B47" w:rsidP="00561B47">
            <w:pPr>
              <w:rPr>
                <w:color w:val="002060"/>
                <w:sz w:val="16"/>
                <w:szCs w:val="16"/>
              </w:rPr>
            </w:pPr>
            <w:r w:rsidRPr="002655A7">
              <w:rPr>
                <w:color w:val="002060"/>
                <w:sz w:val="16"/>
                <w:szCs w:val="16"/>
              </w:rPr>
              <w:t>Développement niveau 2 :</w:t>
            </w:r>
          </w:p>
          <w:p w14:paraId="179ECBE3" w14:textId="77777777" w:rsidR="00561B47" w:rsidRPr="002655A7" w:rsidRDefault="00561B47" w:rsidP="00561B47">
            <w:pPr>
              <w:rPr>
                <w:color w:val="002060"/>
                <w:sz w:val="16"/>
                <w:szCs w:val="16"/>
              </w:rPr>
            </w:pPr>
            <w:r w:rsidRPr="002655A7">
              <w:rPr>
                <w:color w:val="002060"/>
                <w:sz w:val="16"/>
                <w:szCs w:val="16"/>
              </w:rPr>
              <w:t>Afrique (2 dont 1 PMA)</w:t>
            </w:r>
          </w:p>
          <w:p w14:paraId="4200876D" w14:textId="77777777" w:rsidR="00561B47" w:rsidRPr="002655A7" w:rsidRDefault="00561B47" w:rsidP="00561B47">
            <w:pPr>
              <w:rPr>
                <w:color w:val="002060"/>
                <w:sz w:val="16"/>
                <w:szCs w:val="16"/>
              </w:rPr>
            </w:pPr>
            <w:r w:rsidRPr="002655A7">
              <w:rPr>
                <w:color w:val="002060"/>
                <w:sz w:val="16"/>
                <w:szCs w:val="16"/>
              </w:rPr>
              <w:t>Pays arabes (0)</w:t>
            </w:r>
          </w:p>
          <w:p w14:paraId="295830C6" w14:textId="77777777" w:rsidR="00561B47" w:rsidRPr="002655A7" w:rsidRDefault="00561B47" w:rsidP="00561B47">
            <w:pPr>
              <w:rPr>
                <w:color w:val="002060"/>
                <w:sz w:val="16"/>
                <w:szCs w:val="16"/>
              </w:rPr>
            </w:pPr>
            <w:r w:rsidRPr="002655A7">
              <w:rPr>
                <w:color w:val="002060"/>
                <w:sz w:val="16"/>
                <w:szCs w:val="16"/>
              </w:rPr>
              <w:t>Asie et Pacifique (0)</w:t>
            </w:r>
          </w:p>
          <w:p w14:paraId="3753DD0B" w14:textId="77777777" w:rsidR="00561B47" w:rsidRPr="002655A7" w:rsidRDefault="00561B47" w:rsidP="00561B47">
            <w:pPr>
              <w:rPr>
                <w:color w:val="002060"/>
                <w:sz w:val="16"/>
                <w:szCs w:val="16"/>
              </w:rPr>
            </w:pPr>
            <w:r w:rsidRPr="002655A7">
              <w:rPr>
                <w:color w:val="002060"/>
                <w:sz w:val="16"/>
                <w:szCs w:val="16"/>
              </w:rPr>
              <w:t>Amérique latine et Caraïbes (2)</w:t>
            </w:r>
          </w:p>
          <w:p w14:paraId="2753C2EB" w14:textId="77777777" w:rsidR="00561B47" w:rsidRPr="002655A7" w:rsidRDefault="00561B47" w:rsidP="00561B47">
            <w:pPr>
              <w:rPr>
                <w:color w:val="002060"/>
                <w:sz w:val="16"/>
                <w:szCs w:val="16"/>
              </w:rPr>
            </w:pPr>
            <w:r w:rsidRPr="002655A7">
              <w:rPr>
                <w:color w:val="002060"/>
                <w:sz w:val="16"/>
                <w:szCs w:val="16"/>
              </w:rPr>
              <w:lastRenderedPageBreak/>
              <w:t>(4 au total)</w:t>
            </w:r>
          </w:p>
          <w:p w14:paraId="536975A1" w14:textId="77777777" w:rsidR="00561B47" w:rsidRPr="002655A7" w:rsidRDefault="00561B47" w:rsidP="00561B47">
            <w:pPr>
              <w:rPr>
                <w:color w:val="002060"/>
                <w:sz w:val="16"/>
                <w:szCs w:val="16"/>
              </w:rPr>
            </w:pPr>
          </w:p>
          <w:p w14:paraId="0FD28D8A" w14:textId="381CB1E5" w:rsidR="00561B47" w:rsidRPr="002655A7" w:rsidRDefault="00561B47" w:rsidP="00561B47">
            <w:pPr>
              <w:rPr>
                <w:color w:val="002060"/>
                <w:sz w:val="16"/>
                <w:szCs w:val="16"/>
              </w:rPr>
            </w:pPr>
            <w:r w:rsidRPr="002655A7">
              <w:rPr>
                <w:color w:val="002060"/>
                <w:sz w:val="16"/>
                <w:szCs w:val="16"/>
              </w:rPr>
              <w:t>Développement niveau 3, y compris prestation de services à valeur ajoutée</w:t>
            </w:r>
            <w:r w:rsidR="00CE0AA4" w:rsidRPr="00B20F1B">
              <w:rPr>
                <w:rStyle w:val="FootnoteReference"/>
                <w:color w:val="000000"/>
                <w:szCs w:val="16"/>
              </w:rPr>
              <w:footnoteReference w:id="52"/>
            </w:r>
            <w:r w:rsidRPr="002655A7">
              <w:rPr>
                <w:color w:val="002060"/>
                <w:sz w:val="16"/>
                <w:szCs w:val="16"/>
              </w:rPr>
              <w:t> :</w:t>
            </w:r>
          </w:p>
          <w:p w14:paraId="1B8C97C4" w14:textId="77777777" w:rsidR="00561B47" w:rsidRPr="002655A7" w:rsidRDefault="00561B47" w:rsidP="00561B47">
            <w:pPr>
              <w:rPr>
                <w:color w:val="002060"/>
                <w:sz w:val="16"/>
                <w:szCs w:val="16"/>
              </w:rPr>
            </w:pPr>
            <w:r w:rsidRPr="002655A7">
              <w:rPr>
                <w:color w:val="002060"/>
                <w:sz w:val="16"/>
                <w:szCs w:val="16"/>
              </w:rPr>
              <w:t>Afrique (0)</w:t>
            </w:r>
          </w:p>
          <w:p w14:paraId="7BA6E941" w14:textId="77777777" w:rsidR="00561B47" w:rsidRPr="002655A7" w:rsidRDefault="00561B47" w:rsidP="00561B47">
            <w:pPr>
              <w:rPr>
                <w:color w:val="002060"/>
                <w:sz w:val="16"/>
                <w:szCs w:val="16"/>
              </w:rPr>
            </w:pPr>
            <w:r w:rsidRPr="002655A7">
              <w:rPr>
                <w:color w:val="002060"/>
                <w:sz w:val="16"/>
                <w:szCs w:val="16"/>
              </w:rPr>
              <w:t>Pays arabes (1)</w:t>
            </w:r>
          </w:p>
          <w:p w14:paraId="4D4F6583" w14:textId="77777777" w:rsidR="00561B47" w:rsidRPr="002655A7" w:rsidRDefault="00561B47" w:rsidP="00561B47">
            <w:pPr>
              <w:rPr>
                <w:color w:val="002060"/>
                <w:sz w:val="16"/>
                <w:szCs w:val="16"/>
              </w:rPr>
            </w:pPr>
            <w:r w:rsidRPr="002655A7">
              <w:rPr>
                <w:color w:val="002060"/>
                <w:sz w:val="16"/>
                <w:szCs w:val="16"/>
              </w:rPr>
              <w:t>Asie et Pacifique (1)</w:t>
            </w:r>
          </w:p>
          <w:p w14:paraId="79F63903" w14:textId="77777777" w:rsidR="00561B47" w:rsidRPr="002655A7" w:rsidRDefault="00561B47" w:rsidP="00561B47">
            <w:pPr>
              <w:rPr>
                <w:color w:val="002060"/>
                <w:sz w:val="16"/>
                <w:szCs w:val="16"/>
              </w:rPr>
            </w:pPr>
            <w:r w:rsidRPr="002655A7">
              <w:rPr>
                <w:color w:val="002060"/>
                <w:sz w:val="16"/>
                <w:szCs w:val="16"/>
              </w:rPr>
              <w:t>Amérique latine et Caraïbes (0)</w:t>
            </w:r>
          </w:p>
          <w:p w14:paraId="75F633E7" w14:textId="77777777" w:rsidR="00561B47" w:rsidRPr="002655A7" w:rsidRDefault="00561B47" w:rsidP="00561B47">
            <w:pPr>
              <w:rPr>
                <w:color w:val="002060"/>
                <w:sz w:val="16"/>
                <w:szCs w:val="16"/>
              </w:rPr>
            </w:pPr>
            <w:r w:rsidRPr="002655A7">
              <w:rPr>
                <w:color w:val="002060"/>
                <w:sz w:val="16"/>
                <w:szCs w:val="16"/>
              </w:rPr>
              <w:t>(2 au total)</w:t>
            </w:r>
          </w:p>
          <w:p w14:paraId="013222E0" w14:textId="77777777" w:rsidR="00561B47" w:rsidRPr="00266EB9" w:rsidRDefault="00561B47" w:rsidP="00561B47">
            <w:pPr>
              <w:rPr>
                <w:color w:val="000000"/>
                <w:sz w:val="16"/>
                <w:szCs w:val="16"/>
              </w:rPr>
            </w:pPr>
          </w:p>
          <w:p w14:paraId="7B70ABE3"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2C7F0C5E" w14:textId="77777777" w:rsidR="00561B47" w:rsidRPr="00266EB9" w:rsidRDefault="00561B47" w:rsidP="00561B47">
            <w:pPr>
              <w:rPr>
                <w:color w:val="000000"/>
                <w:sz w:val="16"/>
                <w:szCs w:val="16"/>
              </w:rPr>
            </w:pPr>
            <w:r w:rsidRPr="00266EB9">
              <w:rPr>
                <w:rFonts w:hint="eastAsia"/>
                <w:sz w:val="16"/>
                <w:szCs w:val="16"/>
              </w:rPr>
              <w:t>–</w:t>
            </w:r>
            <w:r w:rsidRPr="00266EB9">
              <w:rPr>
                <w:sz w:val="16"/>
                <w:szCs w:val="16"/>
              </w:rPr>
              <w:t> Afrique (9)</w:t>
            </w:r>
          </w:p>
          <w:p w14:paraId="210A3C8E" w14:textId="77777777" w:rsidR="00561B47" w:rsidRPr="00266EB9" w:rsidRDefault="00561B47" w:rsidP="00561B47">
            <w:pPr>
              <w:rPr>
                <w:color w:val="000000"/>
                <w:sz w:val="16"/>
                <w:szCs w:val="16"/>
              </w:rPr>
            </w:pPr>
            <w:r w:rsidRPr="00266EB9">
              <w:rPr>
                <w:rFonts w:hint="eastAsia"/>
                <w:sz w:val="16"/>
                <w:szCs w:val="16"/>
              </w:rPr>
              <w:t>–</w:t>
            </w:r>
            <w:r w:rsidRPr="00266EB9">
              <w:rPr>
                <w:sz w:val="16"/>
                <w:szCs w:val="16"/>
              </w:rPr>
              <w:t> Pays arabes (2)</w:t>
            </w:r>
          </w:p>
          <w:p w14:paraId="20C1D53A" w14:textId="77777777" w:rsidR="00561B47" w:rsidRPr="00266EB9" w:rsidRDefault="00561B47" w:rsidP="00561B47">
            <w:pPr>
              <w:rPr>
                <w:color w:val="000000"/>
                <w:sz w:val="16"/>
                <w:szCs w:val="16"/>
              </w:rPr>
            </w:pPr>
            <w:r w:rsidRPr="00266EB9">
              <w:rPr>
                <w:rFonts w:hint="eastAsia"/>
                <w:sz w:val="16"/>
                <w:szCs w:val="16"/>
              </w:rPr>
              <w:t>–</w:t>
            </w:r>
            <w:r w:rsidRPr="00266EB9">
              <w:rPr>
                <w:sz w:val="16"/>
                <w:szCs w:val="16"/>
              </w:rPr>
              <w:t> Asie et Pacifique (3)</w:t>
            </w:r>
          </w:p>
          <w:p w14:paraId="471DCA0B" w14:textId="47B8494E" w:rsidR="00561B47" w:rsidRPr="00266EB9" w:rsidRDefault="00561B47" w:rsidP="00561B47">
            <w:pPr>
              <w:rPr>
                <w:color w:val="000000"/>
                <w:sz w:val="16"/>
                <w:szCs w:val="16"/>
              </w:rPr>
            </w:pPr>
            <w:r w:rsidRPr="00266EB9">
              <w:rPr>
                <w:rFonts w:hint="eastAsia"/>
                <w:sz w:val="16"/>
                <w:szCs w:val="16"/>
              </w:rPr>
              <w:t>–</w:t>
            </w:r>
            <w:r w:rsidRPr="00266EB9">
              <w:rPr>
                <w:sz w:val="16"/>
                <w:szCs w:val="16"/>
              </w:rPr>
              <w:t> Amérique latine et Caraïbes (5)</w:t>
            </w:r>
          </w:p>
        </w:tc>
        <w:tc>
          <w:tcPr>
            <w:tcW w:w="851" w:type="pct"/>
            <w:shd w:val="clear" w:color="auto" w:fill="auto"/>
            <w:tcMar>
              <w:top w:w="57" w:type="dxa"/>
              <w:left w:w="108" w:type="dxa"/>
              <w:right w:w="108" w:type="dxa"/>
            </w:tcMar>
          </w:tcPr>
          <w:p w14:paraId="5CDCD5C5" w14:textId="77777777" w:rsidR="00561B47" w:rsidRPr="00266EB9" w:rsidRDefault="00561B47" w:rsidP="00561B47">
            <w:pPr>
              <w:rPr>
                <w:sz w:val="16"/>
                <w:szCs w:val="16"/>
              </w:rPr>
            </w:pPr>
            <w:r w:rsidRPr="00266EB9">
              <w:rPr>
                <w:sz w:val="16"/>
                <w:szCs w:val="16"/>
              </w:rPr>
              <w:lastRenderedPageBreak/>
              <w:t>– Afrique (11)</w:t>
            </w:r>
          </w:p>
          <w:p w14:paraId="1F01D53D" w14:textId="77777777" w:rsidR="00561B47" w:rsidRPr="00266EB9" w:rsidRDefault="00561B47" w:rsidP="00561B47">
            <w:pPr>
              <w:rPr>
                <w:sz w:val="16"/>
                <w:szCs w:val="16"/>
              </w:rPr>
            </w:pPr>
            <w:r w:rsidRPr="00266EB9">
              <w:rPr>
                <w:rFonts w:hint="eastAsia"/>
                <w:sz w:val="16"/>
                <w:szCs w:val="16"/>
              </w:rPr>
              <w:t>–</w:t>
            </w:r>
            <w:r w:rsidRPr="00266EB9">
              <w:rPr>
                <w:sz w:val="16"/>
                <w:szCs w:val="16"/>
              </w:rPr>
              <w:t> Pays arabes (4)</w:t>
            </w:r>
          </w:p>
          <w:p w14:paraId="245E4381" w14:textId="77777777" w:rsidR="00561B47" w:rsidRPr="00266EB9" w:rsidRDefault="00561B47" w:rsidP="00561B47">
            <w:pPr>
              <w:rPr>
                <w:sz w:val="16"/>
                <w:szCs w:val="16"/>
              </w:rPr>
            </w:pPr>
            <w:r w:rsidRPr="00266EB9">
              <w:rPr>
                <w:rFonts w:hint="eastAsia"/>
                <w:sz w:val="16"/>
                <w:szCs w:val="16"/>
              </w:rPr>
              <w:t>–</w:t>
            </w:r>
            <w:r w:rsidRPr="00266EB9">
              <w:rPr>
                <w:sz w:val="16"/>
                <w:szCs w:val="16"/>
              </w:rPr>
              <w:t> Asie et Pacifique (5)</w:t>
            </w:r>
          </w:p>
          <w:p w14:paraId="4F506422" w14:textId="77777777" w:rsidR="00561B47" w:rsidRPr="00266EB9" w:rsidRDefault="00561B47" w:rsidP="00561B47">
            <w:pPr>
              <w:rPr>
                <w:sz w:val="16"/>
                <w:szCs w:val="16"/>
              </w:rPr>
            </w:pPr>
            <w:r w:rsidRPr="00266EB9">
              <w:rPr>
                <w:rFonts w:hint="eastAsia"/>
                <w:sz w:val="16"/>
                <w:szCs w:val="16"/>
              </w:rPr>
              <w:t>–</w:t>
            </w:r>
            <w:r w:rsidRPr="00266EB9">
              <w:rPr>
                <w:sz w:val="16"/>
                <w:szCs w:val="16"/>
              </w:rPr>
              <w:t> Amérique latine et Caraïbes (8)</w:t>
            </w:r>
          </w:p>
        </w:tc>
        <w:tc>
          <w:tcPr>
            <w:tcW w:w="1212" w:type="pct"/>
            <w:shd w:val="clear" w:color="auto" w:fill="FFFFFF"/>
            <w:tcMar>
              <w:top w:w="57" w:type="dxa"/>
              <w:left w:w="108" w:type="dxa"/>
              <w:right w:w="108" w:type="dxa"/>
            </w:tcMar>
          </w:tcPr>
          <w:p w14:paraId="5A1E5600" w14:textId="77777777" w:rsidR="00561B47" w:rsidRPr="00266EB9" w:rsidRDefault="00561B47" w:rsidP="00561B47">
            <w:pPr>
              <w:rPr>
                <w:sz w:val="16"/>
                <w:szCs w:val="16"/>
              </w:rPr>
            </w:pPr>
            <w:r w:rsidRPr="00266EB9">
              <w:rPr>
                <w:sz w:val="16"/>
                <w:szCs w:val="16"/>
              </w:rPr>
              <w:t>27 réseaux nationaux durables (chiffre cumulé, à fin 2016)</w:t>
            </w:r>
          </w:p>
          <w:p w14:paraId="58D61C2F" w14:textId="77777777" w:rsidR="00561B47" w:rsidRPr="00266EB9" w:rsidRDefault="00561B47" w:rsidP="00561B47">
            <w:pPr>
              <w:rPr>
                <w:color w:val="000000"/>
                <w:sz w:val="16"/>
                <w:szCs w:val="16"/>
              </w:rPr>
            </w:pPr>
          </w:p>
          <w:p w14:paraId="29041D47" w14:textId="77777777" w:rsidR="00561B47" w:rsidRPr="00266EB9" w:rsidRDefault="00561B47" w:rsidP="00561B47">
            <w:pPr>
              <w:rPr>
                <w:color w:val="000000"/>
                <w:sz w:val="16"/>
                <w:szCs w:val="16"/>
              </w:rPr>
            </w:pPr>
            <w:r w:rsidRPr="00266EB9">
              <w:rPr>
                <w:sz w:val="16"/>
                <w:szCs w:val="16"/>
              </w:rPr>
              <w:t>Développement niveau 1</w:t>
            </w:r>
            <w:r w:rsidRPr="00266EB9">
              <w:rPr>
                <w:color w:val="000000"/>
                <w:sz w:val="16"/>
                <w:szCs w:val="16"/>
              </w:rPr>
              <w:t> :</w:t>
            </w:r>
          </w:p>
          <w:p w14:paraId="1DE3FD58" w14:textId="77777777" w:rsidR="00561B47" w:rsidRPr="00266EB9" w:rsidRDefault="00561B47" w:rsidP="00561B47">
            <w:pPr>
              <w:rPr>
                <w:color w:val="000000"/>
                <w:sz w:val="16"/>
                <w:szCs w:val="16"/>
              </w:rPr>
            </w:pPr>
            <w:r w:rsidRPr="00266EB9">
              <w:rPr>
                <w:color w:val="000000"/>
                <w:sz w:val="16"/>
                <w:szCs w:val="16"/>
              </w:rPr>
              <w:t>Afrique (3 dont 1 PMA)</w:t>
            </w:r>
          </w:p>
          <w:p w14:paraId="4E7AD68F" w14:textId="77777777" w:rsidR="00561B47" w:rsidRPr="00266EB9" w:rsidRDefault="00561B47" w:rsidP="00561B47">
            <w:pPr>
              <w:rPr>
                <w:color w:val="000000"/>
                <w:sz w:val="16"/>
                <w:szCs w:val="16"/>
              </w:rPr>
            </w:pPr>
            <w:r w:rsidRPr="00266EB9">
              <w:rPr>
                <w:sz w:val="16"/>
                <w:szCs w:val="16"/>
              </w:rPr>
              <w:t>Asie et Pacifique (2)</w:t>
            </w:r>
          </w:p>
          <w:p w14:paraId="598611A0" w14:textId="77777777" w:rsidR="00561B47" w:rsidRPr="00266EB9" w:rsidRDefault="00561B47" w:rsidP="00561B47">
            <w:pPr>
              <w:rPr>
                <w:color w:val="000000"/>
                <w:sz w:val="16"/>
                <w:szCs w:val="16"/>
              </w:rPr>
            </w:pPr>
            <w:r w:rsidRPr="00266EB9">
              <w:rPr>
                <w:sz w:val="16"/>
                <w:szCs w:val="16"/>
              </w:rPr>
              <w:t>Amérique latine et Caraïbes (2)</w:t>
            </w:r>
          </w:p>
          <w:p w14:paraId="075F13A0" w14:textId="77777777" w:rsidR="00561B47" w:rsidRPr="00266EB9" w:rsidRDefault="00561B47" w:rsidP="00561B47">
            <w:pPr>
              <w:rPr>
                <w:color w:val="000000"/>
                <w:sz w:val="16"/>
                <w:szCs w:val="16"/>
              </w:rPr>
            </w:pPr>
            <w:r w:rsidRPr="00266EB9">
              <w:rPr>
                <w:color w:val="000000"/>
                <w:sz w:val="16"/>
                <w:szCs w:val="16"/>
              </w:rPr>
              <w:t>(</w:t>
            </w:r>
            <w:r w:rsidRPr="00266EB9">
              <w:rPr>
                <w:sz w:val="16"/>
                <w:szCs w:val="16"/>
              </w:rPr>
              <w:t>7 au total</w:t>
            </w:r>
            <w:r w:rsidRPr="00266EB9">
              <w:rPr>
                <w:color w:val="000000"/>
                <w:sz w:val="16"/>
                <w:szCs w:val="16"/>
              </w:rPr>
              <w:t>)</w:t>
            </w:r>
          </w:p>
          <w:p w14:paraId="65809533" w14:textId="77777777" w:rsidR="00561B47" w:rsidRPr="00266EB9" w:rsidRDefault="00561B47" w:rsidP="00561B47">
            <w:pPr>
              <w:rPr>
                <w:color w:val="000000"/>
                <w:sz w:val="16"/>
                <w:szCs w:val="16"/>
              </w:rPr>
            </w:pPr>
          </w:p>
          <w:p w14:paraId="10E8A896" w14:textId="77777777" w:rsidR="00561B47" w:rsidRPr="00266EB9" w:rsidRDefault="00561B47" w:rsidP="00561B47">
            <w:pPr>
              <w:rPr>
                <w:color w:val="000000"/>
                <w:sz w:val="16"/>
                <w:szCs w:val="16"/>
              </w:rPr>
            </w:pPr>
            <w:r w:rsidRPr="00266EB9">
              <w:rPr>
                <w:sz w:val="16"/>
                <w:szCs w:val="16"/>
              </w:rPr>
              <w:t>Développement niveau 2</w:t>
            </w:r>
            <w:r w:rsidRPr="00266EB9">
              <w:rPr>
                <w:color w:val="000000"/>
                <w:sz w:val="16"/>
                <w:szCs w:val="16"/>
              </w:rPr>
              <w:t> :</w:t>
            </w:r>
          </w:p>
          <w:p w14:paraId="48983AEA" w14:textId="77777777" w:rsidR="00561B47" w:rsidRPr="00266EB9" w:rsidRDefault="00561B47" w:rsidP="00561B47">
            <w:pPr>
              <w:rPr>
                <w:color w:val="000000"/>
                <w:sz w:val="16"/>
                <w:szCs w:val="16"/>
              </w:rPr>
            </w:pPr>
            <w:r w:rsidRPr="00266EB9">
              <w:rPr>
                <w:sz w:val="16"/>
                <w:szCs w:val="16"/>
              </w:rPr>
              <w:t>Afrique (8 dont 6 PMA)</w:t>
            </w:r>
          </w:p>
          <w:p w14:paraId="1318F43C" w14:textId="77777777" w:rsidR="00561B47" w:rsidRPr="00266EB9" w:rsidRDefault="00561B47" w:rsidP="00561B47">
            <w:pPr>
              <w:rPr>
                <w:color w:val="000000"/>
                <w:sz w:val="16"/>
                <w:szCs w:val="16"/>
              </w:rPr>
            </w:pPr>
            <w:r w:rsidRPr="00266EB9">
              <w:rPr>
                <w:sz w:val="16"/>
                <w:szCs w:val="16"/>
              </w:rPr>
              <w:t>Pays arabes (1)</w:t>
            </w:r>
          </w:p>
          <w:p w14:paraId="3F5E5160" w14:textId="77777777" w:rsidR="00561B47" w:rsidRPr="00266EB9" w:rsidRDefault="00561B47" w:rsidP="00561B47">
            <w:pPr>
              <w:rPr>
                <w:color w:val="000000"/>
                <w:sz w:val="16"/>
                <w:szCs w:val="16"/>
              </w:rPr>
            </w:pPr>
            <w:r w:rsidRPr="00266EB9">
              <w:rPr>
                <w:sz w:val="16"/>
                <w:szCs w:val="16"/>
              </w:rPr>
              <w:t>Asie et Pacifique (2)</w:t>
            </w:r>
          </w:p>
          <w:p w14:paraId="2064B6D4" w14:textId="77777777" w:rsidR="00561B47" w:rsidRPr="00266EB9" w:rsidRDefault="00561B47" w:rsidP="00561B47">
            <w:pPr>
              <w:rPr>
                <w:color w:val="000000"/>
                <w:sz w:val="16"/>
                <w:szCs w:val="16"/>
              </w:rPr>
            </w:pPr>
            <w:r w:rsidRPr="00266EB9">
              <w:rPr>
                <w:sz w:val="16"/>
                <w:szCs w:val="16"/>
              </w:rPr>
              <w:t>Amérique latine et Caraïbes (4)</w:t>
            </w:r>
          </w:p>
          <w:p w14:paraId="52C6AC85" w14:textId="77777777" w:rsidR="00561B47" w:rsidRPr="00266EB9" w:rsidRDefault="00561B47" w:rsidP="00561B47">
            <w:pPr>
              <w:rPr>
                <w:color w:val="000000"/>
                <w:sz w:val="16"/>
                <w:szCs w:val="16"/>
              </w:rPr>
            </w:pPr>
            <w:r w:rsidRPr="00266EB9">
              <w:rPr>
                <w:color w:val="000000"/>
                <w:sz w:val="16"/>
                <w:szCs w:val="16"/>
              </w:rPr>
              <w:t>(</w:t>
            </w:r>
            <w:r w:rsidRPr="00266EB9">
              <w:rPr>
                <w:sz w:val="16"/>
                <w:szCs w:val="16"/>
              </w:rPr>
              <w:t>15 au total</w:t>
            </w:r>
            <w:r w:rsidRPr="00266EB9">
              <w:rPr>
                <w:color w:val="000000"/>
                <w:sz w:val="16"/>
                <w:szCs w:val="16"/>
              </w:rPr>
              <w:t>)</w:t>
            </w:r>
          </w:p>
          <w:p w14:paraId="2AD54B6D" w14:textId="77777777" w:rsidR="00561B47" w:rsidRDefault="00561B47" w:rsidP="00561B47">
            <w:pPr>
              <w:rPr>
                <w:color w:val="000000"/>
                <w:sz w:val="16"/>
                <w:szCs w:val="16"/>
              </w:rPr>
            </w:pPr>
          </w:p>
          <w:p w14:paraId="03E10D15" w14:textId="77777777" w:rsidR="00CE0AA4" w:rsidRPr="00266EB9" w:rsidRDefault="00CE0AA4" w:rsidP="00561B47">
            <w:pPr>
              <w:rPr>
                <w:color w:val="000000"/>
                <w:sz w:val="16"/>
                <w:szCs w:val="16"/>
              </w:rPr>
            </w:pPr>
          </w:p>
          <w:p w14:paraId="53BB57A8" w14:textId="0C02840D" w:rsidR="00561B47" w:rsidRPr="00266EB9" w:rsidRDefault="00561B47" w:rsidP="00561B47">
            <w:pPr>
              <w:rPr>
                <w:color w:val="000000"/>
                <w:sz w:val="16"/>
                <w:szCs w:val="16"/>
              </w:rPr>
            </w:pPr>
            <w:r w:rsidRPr="00266EB9">
              <w:rPr>
                <w:sz w:val="16"/>
                <w:szCs w:val="16"/>
              </w:rPr>
              <w:lastRenderedPageBreak/>
              <w:t>Développement niveau 3, y compris prestation de services à valeur ajoutée</w:t>
            </w:r>
            <w:r w:rsidR="00CE0AA4" w:rsidRPr="00B20F1B">
              <w:rPr>
                <w:rStyle w:val="FootnoteReference"/>
                <w:color w:val="000000"/>
                <w:szCs w:val="16"/>
              </w:rPr>
              <w:footnoteReference w:id="53"/>
            </w:r>
            <w:r w:rsidRPr="00266EB9">
              <w:rPr>
                <w:color w:val="000000"/>
                <w:sz w:val="16"/>
                <w:szCs w:val="16"/>
              </w:rPr>
              <w:t> :</w:t>
            </w:r>
          </w:p>
          <w:p w14:paraId="551EB7AC" w14:textId="77777777" w:rsidR="00561B47" w:rsidRPr="00266EB9" w:rsidRDefault="00561B47" w:rsidP="00561B47">
            <w:pPr>
              <w:rPr>
                <w:color w:val="000000"/>
                <w:sz w:val="16"/>
                <w:szCs w:val="16"/>
              </w:rPr>
            </w:pPr>
            <w:r w:rsidRPr="00266EB9">
              <w:rPr>
                <w:sz w:val="16"/>
                <w:szCs w:val="16"/>
              </w:rPr>
              <w:t>Afrique (1)</w:t>
            </w:r>
          </w:p>
          <w:p w14:paraId="1679340D" w14:textId="77777777" w:rsidR="00561B47" w:rsidRPr="00266EB9" w:rsidRDefault="00561B47" w:rsidP="00561B47">
            <w:pPr>
              <w:rPr>
                <w:color w:val="000000"/>
                <w:sz w:val="16"/>
                <w:szCs w:val="16"/>
              </w:rPr>
            </w:pPr>
            <w:r w:rsidRPr="00266EB9">
              <w:rPr>
                <w:sz w:val="16"/>
                <w:szCs w:val="16"/>
              </w:rPr>
              <w:t>Pays arabes (1)</w:t>
            </w:r>
          </w:p>
          <w:p w14:paraId="42CEA626" w14:textId="77777777" w:rsidR="00561B47" w:rsidRPr="00266EB9" w:rsidRDefault="00561B47" w:rsidP="00561B47">
            <w:pPr>
              <w:rPr>
                <w:color w:val="000000"/>
                <w:sz w:val="16"/>
                <w:szCs w:val="16"/>
              </w:rPr>
            </w:pPr>
            <w:r w:rsidRPr="00266EB9">
              <w:rPr>
                <w:sz w:val="16"/>
                <w:szCs w:val="16"/>
              </w:rPr>
              <w:t>Asie et Pacifique (1)</w:t>
            </w:r>
          </w:p>
          <w:p w14:paraId="0CC8C7F7" w14:textId="77777777" w:rsidR="00561B47" w:rsidRPr="00266EB9" w:rsidRDefault="00561B47" w:rsidP="00561B47">
            <w:pPr>
              <w:rPr>
                <w:color w:val="000000"/>
                <w:sz w:val="16"/>
                <w:szCs w:val="16"/>
              </w:rPr>
            </w:pPr>
            <w:r w:rsidRPr="00266EB9">
              <w:rPr>
                <w:sz w:val="16"/>
                <w:szCs w:val="16"/>
              </w:rPr>
              <w:t>Amérique latine et Caraïbes (2)</w:t>
            </w:r>
          </w:p>
          <w:p w14:paraId="71A1121E" w14:textId="6C27A380" w:rsidR="00561B47" w:rsidRPr="00266EB9" w:rsidRDefault="00561B47" w:rsidP="00CE0AA4">
            <w:pPr>
              <w:rPr>
                <w:color w:val="000000"/>
                <w:sz w:val="16"/>
                <w:szCs w:val="16"/>
              </w:rPr>
            </w:pPr>
            <w:r w:rsidRPr="00266EB9">
              <w:rPr>
                <w:color w:val="000000"/>
                <w:sz w:val="16"/>
                <w:szCs w:val="16"/>
              </w:rPr>
              <w:t>(</w:t>
            </w:r>
            <w:r w:rsidRPr="00266EB9">
              <w:rPr>
                <w:sz w:val="16"/>
                <w:szCs w:val="16"/>
              </w:rPr>
              <w:t>5 au total</w:t>
            </w:r>
            <w:r w:rsidRPr="00266EB9">
              <w:rPr>
                <w:color w:val="000000"/>
                <w:sz w:val="16"/>
                <w:szCs w:val="16"/>
              </w:rPr>
              <w:t>)</w:t>
            </w:r>
          </w:p>
        </w:tc>
        <w:tc>
          <w:tcPr>
            <w:tcW w:w="601" w:type="pct"/>
            <w:shd w:val="clear" w:color="auto" w:fill="auto"/>
            <w:tcMar>
              <w:top w:w="57" w:type="dxa"/>
              <w:left w:w="108" w:type="dxa"/>
              <w:right w:w="108" w:type="dxa"/>
            </w:tcMar>
          </w:tcPr>
          <w:p w14:paraId="4B4100EF" w14:textId="77777777" w:rsidR="00561B47" w:rsidRPr="00266EB9" w:rsidRDefault="00561B47" w:rsidP="00561B47">
            <w:pPr>
              <w:jc w:val="center"/>
              <w:rPr>
                <w:color w:val="000000"/>
                <w:sz w:val="16"/>
                <w:szCs w:val="16"/>
              </w:rPr>
            </w:pPr>
            <w:r w:rsidRPr="00266EB9">
              <w:rPr>
                <w:b/>
                <w:color w:val="00B050"/>
                <w:sz w:val="16"/>
                <w:szCs w:val="16"/>
              </w:rPr>
              <w:lastRenderedPageBreak/>
              <w:t>En bonne voie</w:t>
            </w:r>
          </w:p>
        </w:tc>
      </w:tr>
      <w:tr w:rsidR="00561B47" w:rsidRPr="00266EB9" w14:paraId="3273A103" w14:textId="77777777" w:rsidTr="00561B47">
        <w:tc>
          <w:tcPr>
            <w:tcW w:w="1066" w:type="pct"/>
            <w:shd w:val="clear" w:color="auto" w:fill="auto"/>
            <w:tcMar>
              <w:left w:w="108" w:type="dxa"/>
              <w:right w:w="108" w:type="dxa"/>
            </w:tcMar>
          </w:tcPr>
          <w:p w14:paraId="4807CE35" w14:textId="77777777" w:rsidR="00561B47" w:rsidRPr="00266EB9" w:rsidRDefault="00561B47" w:rsidP="00561B47">
            <w:pPr>
              <w:rPr>
                <w:color w:val="000000"/>
                <w:sz w:val="16"/>
                <w:szCs w:val="16"/>
              </w:rPr>
            </w:pPr>
            <w:r w:rsidRPr="00266EB9">
              <w:rPr>
                <w:sz w:val="16"/>
                <w:szCs w:val="16"/>
              </w:rPr>
              <w:lastRenderedPageBreak/>
              <w:t>Nombre d’organisations, de communautés, de particuliers qui appliquent ou utilisent la technologie appropriée comme solution aux défis de développement recensés dans les PMA</w:t>
            </w:r>
          </w:p>
        </w:tc>
        <w:tc>
          <w:tcPr>
            <w:tcW w:w="1270" w:type="pct"/>
            <w:shd w:val="clear" w:color="auto" w:fill="auto"/>
            <w:tcMar>
              <w:left w:w="108" w:type="dxa"/>
              <w:right w:w="108" w:type="dxa"/>
            </w:tcMar>
          </w:tcPr>
          <w:p w14:paraId="6E7E9301" w14:textId="77777777" w:rsidR="00561B47" w:rsidRPr="002655A7" w:rsidRDefault="00561B47" w:rsidP="00561B47">
            <w:pPr>
              <w:rPr>
                <w:i/>
                <w:color w:val="002060"/>
                <w:sz w:val="16"/>
                <w:szCs w:val="16"/>
              </w:rPr>
            </w:pPr>
            <w:r w:rsidRPr="00266EB9">
              <w:rPr>
                <w:i/>
                <w:color w:val="002060"/>
                <w:sz w:val="16"/>
                <w:szCs w:val="16"/>
              </w:rPr>
              <w:t>Niveau de référence actualisé à fin </w:t>
            </w:r>
            <w:r w:rsidRPr="002655A7">
              <w:rPr>
                <w:i/>
                <w:color w:val="002060"/>
                <w:sz w:val="16"/>
                <w:szCs w:val="16"/>
              </w:rPr>
              <w:t>2015 :</w:t>
            </w:r>
          </w:p>
          <w:p w14:paraId="08DA7FB5" w14:textId="77777777" w:rsidR="00561B47" w:rsidRPr="002655A7" w:rsidRDefault="00561B47" w:rsidP="00561B47">
            <w:pPr>
              <w:rPr>
                <w:color w:val="002060"/>
                <w:sz w:val="16"/>
                <w:szCs w:val="16"/>
              </w:rPr>
            </w:pPr>
            <w:r w:rsidRPr="002655A7">
              <w:rPr>
                <w:color w:val="002060"/>
                <w:sz w:val="16"/>
                <w:szCs w:val="16"/>
              </w:rPr>
              <w:t>6 organisations dans des PMA</w:t>
            </w:r>
          </w:p>
          <w:p w14:paraId="4161FD46" w14:textId="77777777" w:rsidR="00561B47" w:rsidRPr="00266EB9" w:rsidRDefault="00561B47" w:rsidP="00561B47">
            <w:pPr>
              <w:rPr>
                <w:color w:val="000000"/>
                <w:sz w:val="16"/>
                <w:szCs w:val="16"/>
              </w:rPr>
            </w:pPr>
          </w:p>
          <w:p w14:paraId="673E3AF2"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596851EB" w14:textId="77777777" w:rsidR="00561B47" w:rsidRPr="00266EB9" w:rsidRDefault="00561B47" w:rsidP="00561B47">
            <w:pPr>
              <w:rPr>
                <w:color w:val="000000"/>
                <w:sz w:val="16"/>
                <w:szCs w:val="16"/>
              </w:rPr>
            </w:pPr>
            <w:r w:rsidRPr="00266EB9">
              <w:rPr>
                <w:sz w:val="16"/>
                <w:szCs w:val="16"/>
              </w:rPr>
              <w:t>Organisations dans 6 PMA (2014)</w:t>
            </w:r>
          </w:p>
        </w:tc>
        <w:tc>
          <w:tcPr>
            <w:tcW w:w="851" w:type="pct"/>
            <w:shd w:val="clear" w:color="auto" w:fill="auto"/>
            <w:tcMar>
              <w:top w:w="57" w:type="dxa"/>
              <w:left w:w="108" w:type="dxa"/>
              <w:right w:w="108" w:type="dxa"/>
            </w:tcMar>
          </w:tcPr>
          <w:p w14:paraId="121B95D1" w14:textId="77777777" w:rsidR="00561B47" w:rsidRPr="00266EB9" w:rsidRDefault="00561B47" w:rsidP="00561B47">
            <w:pPr>
              <w:rPr>
                <w:color w:val="000000"/>
                <w:sz w:val="16"/>
                <w:szCs w:val="16"/>
              </w:rPr>
            </w:pPr>
            <w:r w:rsidRPr="00266EB9">
              <w:rPr>
                <w:sz w:val="16"/>
                <w:szCs w:val="16"/>
              </w:rPr>
              <w:t>Organisations dans 3 PMA supplémentaires</w:t>
            </w:r>
          </w:p>
        </w:tc>
        <w:tc>
          <w:tcPr>
            <w:tcW w:w="1212" w:type="pct"/>
            <w:shd w:val="clear" w:color="auto" w:fill="FFFFFF"/>
            <w:tcMar>
              <w:top w:w="57" w:type="dxa"/>
              <w:left w:w="108" w:type="dxa"/>
              <w:right w:w="108" w:type="dxa"/>
            </w:tcMar>
          </w:tcPr>
          <w:p w14:paraId="474F268D" w14:textId="77777777" w:rsidR="00561B47" w:rsidRPr="002758AC" w:rsidRDefault="00561B47" w:rsidP="00561B47">
            <w:pPr>
              <w:rPr>
                <w:sz w:val="16"/>
                <w:szCs w:val="16"/>
              </w:rPr>
            </w:pPr>
            <w:r w:rsidRPr="002758AC">
              <w:rPr>
                <w:sz w:val="16"/>
                <w:szCs w:val="16"/>
              </w:rPr>
              <w:t>4 organisations qui utilisent la technologie appropriée dans 3 PMA</w:t>
            </w:r>
          </w:p>
          <w:p w14:paraId="4286CED5" w14:textId="77777777" w:rsidR="00561B47" w:rsidRPr="002758AC" w:rsidRDefault="00561B47" w:rsidP="00561B47">
            <w:pPr>
              <w:rPr>
                <w:sz w:val="16"/>
                <w:szCs w:val="16"/>
              </w:rPr>
            </w:pPr>
          </w:p>
          <w:p w14:paraId="48B99287" w14:textId="77777777" w:rsidR="00561B47" w:rsidRPr="002758AC" w:rsidRDefault="00561B47" w:rsidP="00561B47">
            <w:pPr>
              <w:tabs>
                <w:tab w:val="left" w:pos="1065"/>
              </w:tabs>
              <w:rPr>
                <w:sz w:val="16"/>
                <w:szCs w:val="16"/>
              </w:rPr>
            </w:pPr>
            <w:r w:rsidRPr="002758AC">
              <w:rPr>
                <w:sz w:val="16"/>
                <w:szCs w:val="16"/>
              </w:rPr>
              <w:t xml:space="preserve">Éthiopie (1) : </w:t>
            </w:r>
            <w:r w:rsidRPr="002758AC">
              <w:rPr>
                <w:sz w:val="16"/>
                <w:szCs w:val="16"/>
              </w:rPr>
              <w:tab/>
            </w:r>
          </w:p>
          <w:p w14:paraId="12371405" w14:textId="77777777" w:rsidR="00561B47" w:rsidRPr="002758AC" w:rsidRDefault="00561B47" w:rsidP="00561B47">
            <w:pPr>
              <w:tabs>
                <w:tab w:val="left" w:pos="1065"/>
              </w:tabs>
              <w:rPr>
                <w:sz w:val="16"/>
                <w:szCs w:val="16"/>
              </w:rPr>
            </w:pPr>
            <w:r w:rsidRPr="002758AC">
              <w:rPr>
                <w:sz w:val="16"/>
                <w:szCs w:val="16"/>
              </w:rPr>
              <w:t>Ministère de la science et de la technologie</w:t>
            </w:r>
          </w:p>
          <w:p w14:paraId="6607C886" w14:textId="77777777" w:rsidR="00561B47" w:rsidRPr="002758AC" w:rsidRDefault="00561B47" w:rsidP="00561B47">
            <w:pPr>
              <w:rPr>
                <w:sz w:val="16"/>
                <w:szCs w:val="16"/>
              </w:rPr>
            </w:pPr>
          </w:p>
          <w:p w14:paraId="53A4AC2C" w14:textId="77777777" w:rsidR="00561B47" w:rsidRPr="002758AC" w:rsidRDefault="00561B47" w:rsidP="00561B47">
            <w:pPr>
              <w:tabs>
                <w:tab w:val="left" w:pos="1065"/>
              </w:tabs>
              <w:rPr>
                <w:sz w:val="16"/>
                <w:szCs w:val="16"/>
              </w:rPr>
            </w:pPr>
            <w:r w:rsidRPr="002758AC">
              <w:rPr>
                <w:sz w:val="16"/>
                <w:szCs w:val="16"/>
              </w:rPr>
              <w:t xml:space="preserve">Rwanda (1) : </w:t>
            </w:r>
            <w:r w:rsidRPr="002758AC">
              <w:rPr>
                <w:sz w:val="16"/>
                <w:szCs w:val="16"/>
              </w:rPr>
              <w:tab/>
            </w:r>
          </w:p>
          <w:p w14:paraId="6F6DF89C" w14:textId="77777777" w:rsidR="00561B47" w:rsidRPr="002758AC" w:rsidRDefault="00561B47" w:rsidP="00561B47">
            <w:pPr>
              <w:tabs>
                <w:tab w:val="left" w:pos="1065"/>
              </w:tabs>
              <w:rPr>
                <w:sz w:val="16"/>
                <w:szCs w:val="16"/>
              </w:rPr>
            </w:pPr>
            <w:r w:rsidRPr="002758AC">
              <w:rPr>
                <w:sz w:val="16"/>
                <w:szCs w:val="16"/>
              </w:rPr>
              <w:t>Agence nationale de recherche et de développement industriels (NIRDA)</w:t>
            </w:r>
          </w:p>
          <w:p w14:paraId="68E776B3" w14:textId="77777777" w:rsidR="00561B47" w:rsidRPr="002758AC" w:rsidRDefault="00561B47" w:rsidP="00561B47">
            <w:pPr>
              <w:rPr>
                <w:sz w:val="16"/>
                <w:szCs w:val="16"/>
              </w:rPr>
            </w:pPr>
          </w:p>
          <w:p w14:paraId="12C19ECD" w14:textId="77777777" w:rsidR="00561B47" w:rsidRPr="002758AC" w:rsidRDefault="00561B47" w:rsidP="00561B47">
            <w:pPr>
              <w:tabs>
                <w:tab w:val="left" w:pos="1065"/>
                <w:tab w:val="left" w:pos="1167"/>
              </w:tabs>
              <w:rPr>
                <w:sz w:val="16"/>
                <w:szCs w:val="16"/>
              </w:rPr>
            </w:pPr>
            <w:r w:rsidRPr="002758AC">
              <w:rPr>
                <w:sz w:val="16"/>
                <w:szCs w:val="16"/>
              </w:rPr>
              <w:t>République</w:t>
            </w:r>
            <w:r w:rsidRPr="002758AC">
              <w:rPr>
                <w:sz w:val="16"/>
                <w:szCs w:val="16"/>
              </w:rPr>
              <w:noBreakHyphen/>
              <w:t>Unie de Tanzanie (2) :</w:t>
            </w:r>
          </w:p>
          <w:p w14:paraId="28F5D5EC" w14:textId="77777777" w:rsidR="00561B47" w:rsidRPr="002758AC" w:rsidRDefault="00561B47" w:rsidP="00561B47">
            <w:pPr>
              <w:tabs>
                <w:tab w:val="left" w:pos="80"/>
                <w:tab w:val="left" w:pos="1065"/>
                <w:tab w:val="left" w:pos="1167"/>
              </w:tabs>
              <w:rPr>
                <w:sz w:val="16"/>
                <w:szCs w:val="16"/>
              </w:rPr>
            </w:pPr>
            <w:r w:rsidRPr="002758AC">
              <w:rPr>
                <w:sz w:val="16"/>
                <w:szCs w:val="16"/>
              </w:rPr>
              <w:noBreakHyphen/>
              <w:t xml:space="preserve"> Commission scientifique et technique (COSTECH) de la République</w:t>
            </w:r>
            <w:r w:rsidRPr="002758AC">
              <w:rPr>
                <w:sz w:val="16"/>
                <w:szCs w:val="16"/>
              </w:rPr>
              <w:noBreakHyphen/>
              <w:t>Unie de Tanzanie</w:t>
            </w:r>
          </w:p>
          <w:p w14:paraId="7A1C8217" w14:textId="77777777" w:rsidR="00561B47" w:rsidRPr="002758AC" w:rsidRDefault="00561B47" w:rsidP="00561B47">
            <w:pPr>
              <w:tabs>
                <w:tab w:val="left" w:pos="1071"/>
              </w:tabs>
              <w:rPr>
                <w:sz w:val="16"/>
                <w:szCs w:val="16"/>
              </w:rPr>
            </w:pPr>
            <w:r w:rsidRPr="002758AC">
              <w:rPr>
                <w:sz w:val="16"/>
                <w:szCs w:val="16"/>
              </w:rPr>
              <w:noBreakHyphen/>
              <w:t xml:space="preserve"> Université de Zanzibar</w:t>
            </w:r>
          </w:p>
          <w:p w14:paraId="32B7B7E0" w14:textId="77777777" w:rsidR="00561B47" w:rsidRPr="002758AC" w:rsidRDefault="00561B47" w:rsidP="00561B47">
            <w:pPr>
              <w:rPr>
                <w:sz w:val="16"/>
                <w:szCs w:val="16"/>
              </w:rPr>
            </w:pPr>
          </w:p>
          <w:p w14:paraId="4D15C818" w14:textId="77777777" w:rsidR="00561B47" w:rsidRPr="002758AC" w:rsidRDefault="00561B47" w:rsidP="00561B47">
            <w:pPr>
              <w:rPr>
                <w:sz w:val="16"/>
                <w:szCs w:val="16"/>
              </w:rPr>
            </w:pPr>
            <w:r w:rsidRPr="002758AC">
              <w:rPr>
                <w:sz w:val="16"/>
                <w:szCs w:val="16"/>
              </w:rPr>
              <w:t>(10 organisations dans 6 PMA au total)</w:t>
            </w:r>
          </w:p>
        </w:tc>
        <w:tc>
          <w:tcPr>
            <w:tcW w:w="601" w:type="pct"/>
            <w:shd w:val="clear" w:color="auto" w:fill="auto"/>
            <w:tcMar>
              <w:top w:w="57" w:type="dxa"/>
              <w:left w:w="108" w:type="dxa"/>
              <w:right w:w="108" w:type="dxa"/>
            </w:tcMar>
          </w:tcPr>
          <w:p w14:paraId="57AA11A4" w14:textId="77777777" w:rsidR="00561B47" w:rsidRPr="00266EB9" w:rsidRDefault="00561B47" w:rsidP="00561B47">
            <w:pPr>
              <w:jc w:val="center"/>
              <w:rPr>
                <w:b/>
                <w:color w:val="000000"/>
                <w:sz w:val="16"/>
                <w:szCs w:val="16"/>
              </w:rPr>
            </w:pPr>
            <w:r w:rsidRPr="00266EB9">
              <w:rPr>
                <w:b/>
                <w:color w:val="00B050"/>
                <w:sz w:val="16"/>
                <w:szCs w:val="16"/>
              </w:rPr>
              <w:t>En bonne voie</w:t>
            </w:r>
          </w:p>
        </w:tc>
      </w:tr>
      <w:tr w:rsidR="00561B47" w:rsidRPr="00266EB9" w14:paraId="177AC061" w14:textId="77777777" w:rsidTr="00561B47">
        <w:tc>
          <w:tcPr>
            <w:tcW w:w="1066" w:type="pct"/>
            <w:shd w:val="clear" w:color="auto" w:fill="auto"/>
            <w:tcMar>
              <w:left w:w="108" w:type="dxa"/>
              <w:right w:w="108" w:type="dxa"/>
            </w:tcMar>
          </w:tcPr>
          <w:p w14:paraId="18F4C12A" w14:textId="77777777" w:rsidR="00561B47" w:rsidRPr="00266EB9" w:rsidRDefault="00561B47" w:rsidP="00561B47">
            <w:pPr>
              <w:rPr>
                <w:color w:val="000000"/>
                <w:sz w:val="16"/>
                <w:szCs w:val="16"/>
              </w:rPr>
            </w:pPr>
            <w:r w:rsidRPr="00266EB9">
              <w:rPr>
                <w:sz w:val="16"/>
                <w:szCs w:val="16"/>
              </w:rPr>
              <w:t>Utilisation d’une technologie appropriée pour le développement par les recherches en matière de brevets et les rapports, panoramas technologiques, plans d’action (nombre d’experts, groupes d’experts nationaux dans les PMA)</w:t>
            </w:r>
          </w:p>
        </w:tc>
        <w:tc>
          <w:tcPr>
            <w:tcW w:w="1270" w:type="pct"/>
            <w:shd w:val="clear" w:color="auto" w:fill="auto"/>
            <w:tcMar>
              <w:left w:w="108" w:type="dxa"/>
              <w:right w:w="108" w:type="dxa"/>
            </w:tcMar>
          </w:tcPr>
          <w:p w14:paraId="00A33045" w14:textId="77777777" w:rsidR="00561B47" w:rsidRPr="00266EB9" w:rsidRDefault="00561B47" w:rsidP="00561B47">
            <w:pPr>
              <w:rPr>
                <w:color w:val="000000"/>
                <w:sz w:val="16"/>
                <w:szCs w:val="16"/>
              </w:rPr>
            </w:pPr>
            <w:r w:rsidRPr="00266EB9">
              <w:rPr>
                <w:sz w:val="16"/>
                <w:szCs w:val="16"/>
              </w:rPr>
              <w:t xml:space="preserve">6 dans des PMA </w:t>
            </w:r>
          </w:p>
        </w:tc>
        <w:tc>
          <w:tcPr>
            <w:tcW w:w="851" w:type="pct"/>
            <w:shd w:val="clear" w:color="auto" w:fill="auto"/>
            <w:tcMar>
              <w:top w:w="57" w:type="dxa"/>
              <w:left w:w="108" w:type="dxa"/>
              <w:right w:w="108" w:type="dxa"/>
            </w:tcMar>
          </w:tcPr>
          <w:p w14:paraId="0F7F6989" w14:textId="77777777" w:rsidR="00561B47" w:rsidRPr="00266EB9" w:rsidRDefault="00561B47" w:rsidP="00561B47">
            <w:pPr>
              <w:rPr>
                <w:color w:val="000000"/>
                <w:sz w:val="16"/>
                <w:szCs w:val="16"/>
              </w:rPr>
            </w:pPr>
            <w:r w:rsidRPr="00266EB9">
              <w:rPr>
                <w:sz w:val="16"/>
                <w:szCs w:val="16"/>
              </w:rPr>
              <w:t>3 supplémentaires dans des PMA</w:t>
            </w:r>
          </w:p>
        </w:tc>
        <w:tc>
          <w:tcPr>
            <w:tcW w:w="1212" w:type="pct"/>
            <w:shd w:val="clear" w:color="auto" w:fill="FFFFFF"/>
            <w:tcMar>
              <w:top w:w="57" w:type="dxa"/>
              <w:left w:w="108" w:type="dxa"/>
              <w:right w:w="108" w:type="dxa"/>
            </w:tcMar>
          </w:tcPr>
          <w:p w14:paraId="26007587" w14:textId="77777777" w:rsidR="00561B47" w:rsidRPr="002758AC" w:rsidRDefault="00561B47" w:rsidP="00561B47">
            <w:pPr>
              <w:rPr>
                <w:sz w:val="16"/>
                <w:szCs w:val="16"/>
              </w:rPr>
            </w:pPr>
            <w:r w:rsidRPr="002758AC">
              <w:rPr>
                <w:sz w:val="16"/>
                <w:szCs w:val="16"/>
              </w:rPr>
              <w:t>9 experts/groupes d’experts nationaux supplémentaires :</w:t>
            </w:r>
          </w:p>
          <w:p w14:paraId="7AA98954" w14:textId="77777777" w:rsidR="00561B47" w:rsidRPr="002758AC" w:rsidRDefault="00561B47" w:rsidP="00561B47">
            <w:pPr>
              <w:rPr>
                <w:sz w:val="16"/>
                <w:szCs w:val="16"/>
              </w:rPr>
            </w:pPr>
            <w:r w:rsidRPr="002758AC">
              <w:rPr>
                <w:sz w:val="16"/>
                <w:szCs w:val="16"/>
              </w:rPr>
              <w:t>– Nomination de 3 experts nationaux (Éthiopie, République</w:t>
            </w:r>
            <w:r w:rsidRPr="002758AC">
              <w:rPr>
                <w:sz w:val="16"/>
                <w:szCs w:val="16"/>
              </w:rPr>
              <w:noBreakHyphen/>
              <w:t>Unie de Tanzanie, Rwanda);</w:t>
            </w:r>
          </w:p>
          <w:p w14:paraId="5506566F" w14:textId="77777777" w:rsidR="00561B47" w:rsidRPr="002758AC" w:rsidRDefault="00561B47" w:rsidP="00561B47">
            <w:pPr>
              <w:rPr>
                <w:sz w:val="16"/>
                <w:szCs w:val="16"/>
              </w:rPr>
            </w:pPr>
            <w:r w:rsidRPr="002758AC">
              <w:rPr>
                <w:sz w:val="16"/>
                <w:szCs w:val="16"/>
              </w:rPr>
              <w:t>– Nomination de 3 experts internationaux (Éthiopie, République</w:t>
            </w:r>
            <w:r w:rsidRPr="002758AC">
              <w:rPr>
                <w:sz w:val="16"/>
                <w:szCs w:val="16"/>
              </w:rPr>
              <w:noBreakHyphen/>
              <w:t>Unie de Tanzanie, Rwanda)</w:t>
            </w:r>
          </w:p>
          <w:p w14:paraId="6F2ECC98" w14:textId="77777777" w:rsidR="00561B47" w:rsidRPr="002758AC" w:rsidRDefault="00561B47" w:rsidP="00561B47">
            <w:pPr>
              <w:rPr>
                <w:sz w:val="16"/>
                <w:szCs w:val="16"/>
              </w:rPr>
            </w:pPr>
            <w:r w:rsidRPr="002758AC">
              <w:rPr>
                <w:sz w:val="16"/>
                <w:szCs w:val="16"/>
              </w:rPr>
              <w:t>– Création de 3 groupes d’experts nationaux (Éthiopie, République</w:t>
            </w:r>
            <w:r w:rsidRPr="002758AC">
              <w:rPr>
                <w:sz w:val="16"/>
                <w:szCs w:val="16"/>
              </w:rPr>
              <w:noBreakHyphen/>
              <w:t>Unie de Tanzanie, Rwanda)</w:t>
            </w:r>
          </w:p>
          <w:p w14:paraId="716BCF1D" w14:textId="77777777" w:rsidR="00561B47" w:rsidRPr="002758AC" w:rsidRDefault="00561B47" w:rsidP="00561B47">
            <w:pPr>
              <w:rPr>
                <w:sz w:val="16"/>
                <w:szCs w:val="16"/>
              </w:rPr>
            </w:pPr>
            <w:r w:rsidRPr="002758AC">
              <w:rPr>
                <w:sz w:val="16"/>
                <w:szCs w:val="16"/>
              </w:rPr>
              <w:t>(6 groupes d’experts nationaux dans 6 PMA au total)</w:t>
            </w:r>
          </w:p>
        </w:tc>
        <w:tc>
          <w:tcPr>
            <w:tcW w:w="601" w:type="pct"/>
            <w:shd w:val="clear" w:color="auto" w:fill="auto"/>
            <w:tcMar>
              <w:top w:w="57" w:type="dxa"/>
              <w:left w:w="108" w:type="dxa"/>
              <w:right w:w="108" w:type="dxa"/>
            </w:tcMar>
          </w:tcPr>
          <w:p w14:paraId="4FF57AF4" w14:textId="77777777" w:rsidR="00561B47" w:rsidRPr="00266EB9" w:rsidRDefault="00561B47" w:rsidP="00561B47">
            <w:pPr>
              <w:jc w:val="center"/>
              <w:rPr>
                <w:b/>
                <w:color w:val="00B050"/>
                <w:sz w:val="16"/>
                <w:szCs w:val="16"/>
              </w:rPr>
            </w:pPr>
            <w:r w:rsidRPr="00266EB9">
              <w:rPr>
                <w:b/>
                <w:color w:val="00B050"/>
                <w:sz w:val="16"/>
                <w:szCs w:val="16"/>
              </w:rPr>
              <w:t>En bonne voie</w:t>
            </w:r>
          </w:p>
        </w:tc>
      </w:tr>
      <w:tr w:rsidR="00561B47" w:rsidRPr="00266EB9" w14:paraId="390F314A" w14:textId="77777777" w:rsidTr="00561B47">
        <w:tc>
          <w:tcPr>
            <w:tcW w:w="1066" w:type="pct"/>
            <w:shd w:val="clear" w:color="auto" w:fill="auto"/>
            <w:tcMar>
              <w:left w:w="108" w:type="dxa"/>
              <w:right w:w="108" w:type="dxa"/>
            </w:tcMar>
          </w:tcPr>
          <w:p w14:paraId="5B3305A1" w14:textId="77777777" w:rsidR="00561B47" w:rsidRPr="00266EB9" w:rsidRDefault="00561B47" w:rsidP="00561B47">
            <w:pPr>
              <w:rPr>
                <w:color w:val="000000"/>
                <w:sz w:val="16"/>
                <w:szCs w:val="16"/>
              </w:rPr>
            </w:pPr>
            <w:r w:rsidRPr="00266EB9">
              <w:rPr>
                <w:sz w:val="16"/>
                <w:szCs w:val="16"/>
              </w:rPr>
              <w:t>Technologie appropriée recensée commercialisée dans les PMA</w:t>
            </w:r>
          </w:p>
        </w:tc>
        <w:tc>
          <w:tcPr>
            <w:tcW w:w="1270" w:type="pct"/>
            <w:shd w:val="clear" w:color="auto" w:fill="auto"/>
            <w:tcMar>
              <w:left w:w="108" w:type="dxa"/>
              <w:right w:w="108" w:type="dxa"/>
            </w:tcMar>
          </w:tcPr>
          <w:p w14:paraId="4F6BDAC3" w14:textId="77777777" w:rsidR="00561B47" w:rsidRPr="00266EB9" w:rsidRDefault="00561B47" w:rsidP="00561B47">
            <w:pPr>
              <w:rPr>
                <w:i/>
                <w:color w:val="002060"/>
                <w:sz w:val="16"/>
                <w:szCs w:val="16"/>
              </w:rPr>
            </w:pPr>
            <w:r w:rsidRPr="00266EB9">
              <w:rPr>
                <w:i/>
                <w:color w:val="002060"/>
                <w:sz w:val="16"/>
                <w:szCs w:val="16"/>
              </w:rPr>
              <w:t>Niveau de référence actualisé à fin 2015 :</w:t>
            </w:r>
          </w:p>
          <w:p w14:paraId="77B44C8B" w14:textId="77777777" w:rsidR="00561B47" w:rsidRPr="00266EB9" w:rsidRDefault="00561B47" w:rsidP="00561B47">
            <w:pPr>
              <w:rPr>
                <w:color w:val="002060"/>
                <w:sz w:val="16"/>
                <w:szCs w:val="16"/>
              </w:rPr>
            </w:pPr>
            <w:r w:rsidRPr="00266EB9">
              <w:rPr>
                <w:color w:val="002060"/>
                <w:sz w:val="16"/>
                <w:szCs w:val="16"/>
              </w:rPr>
              <w:t>6 technologies appropriées examinées aux fins de commercialisation au niveau du gouvernement</w:t>
            </w:r>
          </w:p>
          <w:p w14:paraId="5AE96B4D" w14:textId="77777777" w:rsidR="00561B47" w:rsidRPr="00266EB9" w:rsidRDefault="00561B47" w:rsidP="00561B47">
            <w:pPr>
              <w:rPr>
                <w:color w:val="000000"/>
                <w:sz w:val="16"/>
                <w:szCs w:val="16"/>
              </w:rPr>
            </w:pPr>
          </w:p>
          <w:p w14:paraId="47C65E16" w14:textId="77777777" w:rsidR="00561B47" w:rsidRPr="00266EB9" w:rsidRDefault="00561B47" w:rsidP="00561B47">
            <w:pPr>
              <w:rPr>
                <w:i/>
                <w:sz w:val="16"/>
                <w:szCs w:val="16"/>
                <w:lang w:bidi="th-TH"/>
              </w:rPr>
            </w:pPr>
            <w:r w:rsidRPr="00266EB9">
              <w:rPr>
                <w:i/>
                <w:sz w:val="16"/>
                <w:szCs w:val="16"/>
                <w:lang w:bidi="th-TH"/>
              </w:rPr>
              <w:lastRenderedPageBreak/>
              <w:t>Niveau de référence initial dans le programme et budget 2016</w:t>
            </w:r>
            <w:r>
              <w:rPr>
                <w:i/>
                <w:sz w:val="16"/>
                <w:szCs w:val="16"/>
                <w:lang w:bidi="th-TH"/>
              </w:rPr>
              <w:noBreakHyphen/>
            </w:r>
            <w:r w:rsidRPr="00266EB9">
              <w:rPr>
                <w:i/>
                <w:sz w:val="16"/>
                <w:szCs w:val="16"/>
                <w:lang w:bidi="th-TH"/>
              </w:rPr>
              <w:t>2017 :</w:t>
            </w:r>
          </w:p>
          <w:p w14:paraId="20144829" w14:textId="77777777" w:rsidR="00561B47" w:rsidRPr="00266EB9" w:rsidRDefault="00561B47" w:rsidP="00561B47">
            <w:pPr>
              <w:rPr>
                <w:color w:val="000000"/>
                <w:sz w:val="16"/>
                <w:szCs w:val="16"/>
              </w:rPr>
            </w:pPr>
            <w:r w:rsidRPr="00266EB9">
              <w:rPr>
                <w:color w:val="000000"/>
                <w:sz w:val="16"/>
                <w:szCs w:val="16"/>
              </w:rPr>
              <w:t xml:space="preserve">6 technologies appropriées </w:t>
            </w:r>
          </w:p>
        </w:tc>
        <w:tc>
          <w:tcPr>
            <w:tcW w:w="851" w:type="pct"/>
            <w:shd w:val="clear" w:color="auto" w:fill="auto"/>
            <w:tcMar>
              <w:top w:w="57" w:type="dxa"/>
              <w:left w:w="108" w:type="dxa"/>
              <w:right w:w="108" w:type="dxa"/>
            </w:tcMar>
          </w:tcPr>
          <w:p w14:paraId="45212263" w14:textId="77777777" w:rsidR="00561B47" w:rsidRPr="00266EB9" w:rsidRDefault="00561B47" w:rsidP="00561B47">
            <w:pPr>
              <w:rPr>
                <w:color w:val="000000"/>
                <w:sz w:val="16"/>
                <w:szCs w:val="16"/>
              </w:rPr>
            </w:pPr>
            <w:r w:rsidRPr="00266EB9">
              <w:rPr>
                <w:color w:val="000000"/>
                <w:sz w:val="16"/>
                <w:szCs w:val="16"/>
              </w:rPr>
              <w:lastRenderedPageBreak/>
              <w:t>Au moins 3 technologies appropriées supplémentaires</w:t>
            </w:r>
          </w:p>
        </w:tc>
        <w:tc>
          <w:tcPr>
            <w:tcW w:w="1212" w:type="pct"/>
            <w:shd w:val="clear" w:color="auto" w:fill="FFFFFF"/>
            <w:tcMar>
              <w:top w:w="57" w:type="dxa"/>
              <w:left w:w="108" w:type="dxa"/>
              <w:right w:w="108" w:type="dxa"/>
            </w:tcMar>
          </w:tcPr>
          <w:p w14:paraId="23311379" w14:textId="66783FF3" w:rsidR="00561B47" w:rsidRPr="00266EB9" w:rsidRDefault="00561B47" w:rsidP="00561B47">
            <w:pPr>
              <w:rPr>
                <w:color w:val="000000"/>
                <w:sz w:val="16"/>
                <w:szCs w:val="16"/>
              </w:rPr>
            </w:pPr>
            <w:r w:rsidRPr="00266EB9">
              <w:rPr>
                <w:color w:val="000000"/>
                <w:sz w:val="16"/>
                <w:szCs w:val="16"/>
              </w:rPr>
              <w:t>3 technologies appropriées commercialisées</w:t>
            </w:r>
          </w:p>
          <w:p w14:paraId="2CC4C4D4" w14:textId="77777777" w:rsidR="00561B47" w:rsidRPr="00266EB9" w:rsidRDefault="00561B47" w:rsidP="00561B47">
            <w:pPr>
              <w:rPr>
                <w:color w:val="000000"/>
                <w:sz w:val="16"/>
                <w:szCs w:val="16"/>
              </w:rPr>
            </w:pPr>
            <w:r w:rsidRPr="00266EB9">
              <w:rPr>
                <w:color w:val="000000"/>
                <w:sz w:val="16"/>
                <w:szCs w:val="16"/>
              </w:rPr>
              <w:t>– Népal (1)</w:t>
            </w:r>
          </w:p>
          <w:p w14:paraId="13BFB184" w14:textId="77777777" w:rsidR="00561B47" w:rsidRPr="00266EB9" w:rsidRDefault="00561B47" w:rsidP="00561B47">
            <w:pPr>
              <w:rPr>
                <w:color w:val="000000"/>
                <w:sz w:val="16"/>
                <w:szCs w:val="16"/>
              </w:rPr>
            </w:pPr>
            <w:r w:rsidRPr="00266EB9">
              <w:rPr>
                <w:sz w:val="16"/>
                <w:szCs w:val="16"/>
              </w:rPr>
              <w:t>– Zambie (2)</w:t>
            </w:r>
          </w:p>
          <w:p w14:paraId="3C09C6C8" w14:textId="77777777" w:rsidR="00561B47" w:rsidRPr="00266EB9" w:rsidRDefault="00561B47" w:rsidP="00561B47">
            <w:pPr>
              <w:rPr>
                <w:color w:val="000000"/>
                <w:sz w:val="16"/>
                <w:szCs w:val="16"/>
              </w:rPr>
            </w:pPr>
          </w:p>
          <w:p w14:paraId="5E1BB87A" w14:textId="77777777" w:rsidR="00561B47" w:rsidRPr="00266EB9" w:rsidRDefault="00561B47" w:rsidP="00561B47">
            <w:pPr>
              <w:rPr>
                <w:color w:val="000000"/>
                <w:sz w:val="16"/>
                <w:szCs w:val="16"/>
              </w:rPr>
            </w:pPr>
            <w:r w:rsidRPr="00266EB9">
              <w:rPr>
                <w:color w:val="000000"/>
                <w:sz w:val="16"/>
                <w:szCs w:val="16"/>
              </w:rPr>
              <w:t xml:space="preserve">3 technologies appropriées examinées aux fins de </w:t>
            </w:r>
            <w:r w:rsidRPr="00266EB9">
              <w:rPr>
                <w:color w:val="000000"/>
                <w:sz w:val="16"/>
                <w:szCs w:val="16"/>
              </w:rPr>
              <w:lastRenderedPageBreak/>
              <w:t>commercialisation au niveau du gouvernement</w:t>
            </w:r>
          </w:p>
        </w:tc>
        <w:tc>
          <w:tcPr>
            <w:tcW w:w="601" w:type="pct"/>
            <w:shd w:val="clear" w:color="auto" w:fill="auto"/>
            <w:tcMar>
              <w:top w:w="57" w:type="dxa"/>
              <w:left w:w="108" w:type="dxa"/>
              <w:right w:w="108" w:type="dxa"/>
            </w:tcMar>
          </w:tcPr>
          <w:p w14:paraId="688107A5" w14:textId="77777777" w:rsidR="00561B47" w:rsidRPr="00266EB9" w:rsidRDefault="00561B47" w:rsidP="00561B47">
            <w:pPr>
              <w:jc w:val="center"/>
              <w:rPr>
                <w:b/>
                <w:color w:val="00B050"/>
                <w:sz w:val="16"/>
                <w:szCs w:val="16"/>
              </w:rPr>
            </w:pPr>
            <w:r w:rsidRPr="00266EB9">
              <w:rPr>
                <w:b/>
                <w:color w:val="00B050"/>
                <w:sz w:val="16"/>
                <w:szCs w:val="16"/>
              </w:rPr>
              <w:lastRenderedPageBreak/>
              <w:t>En bonne voie</w:t>
            </w:r>
            <w:r w:rsidRPr="00266EB9" w:rsidDel="0019101B">
              <w:rPr>
                <w:b/>
                <w:color w:val="00B050"/>
                <w:sz w:val="16"/>
                <w:szCs w:val="16"/>
              </w:rPr>
              <w:t xml:space="preserve"> </w:t>
            </w:r>
          </w:p>
        </w:tc>
      </w:tr>
      <w:tr w:rsidR="00561B47" w:rsidRPr="00266EB9" w14:paraId="263CEFEE" w14:textId="77777777" w:rsidTr="00561B47">
        <w:tc>
          <w:tcPr>
            <w:tcW w:w="1066" w:type="pct"/>
            <w:shd w:val="clear" w:color="auto" w:fill="auto"/>
            <w:tcMar>
              <w:left w:w="108" w:type="dxa"/>
              <w:right w:w="108" w:type="dxa"/>
            </w:tcMar>
          </w:tcPr>
          <w:p w14:paraId="16E2B063" w14:textId="77777777" w:rsidR="00561B47" w:rsidRPr="00266EB9" w:rsidRDefault="00561B47" w:rsidP="00561B47">
            <w:pPr>
              <w:rPr>
                <w:color w:val="000000"/>
                <w:sz w:val="16"/>
                <w:szCs w:val="16"/>
              </w:rPr>
            </w:pPr>
            <w:r w:rsidRPr="00266EB9">
              <w:rPr>
                <w:sz w:val="16"/>
                <w:szCs w:val="16"/>
              </w:rPr>
              <w:lastRenderedPageBreak/>
              <w:t>Projets reproduits dans d’autres secteurs dans les PMA</w:t>
            </w:r>
            <w:r w:rsidRPr="00266EB9">
              <w:rPr>
                <w:color w:val="000000"/>
                <w:sz w:val="16"/>
                <w:szCs w:val="16"/>
              </w:rPr>
              <w:t xml:space="preserve"> </w:t>
            </w:r>
          </w:p>
        </w:tc>
        <w:tc>
          <w:tcPr>
            <w:tcW w:w="1270" w:type="pct"/>
            <w:shd w:val="clear" w:color="auto" w:fill="auto"/>
            <w:tcMar>
              <w:left w:w="108" w:type="dxa"/>
              <w:right w:w="108" w:type="dxa"/>
            </w:tcMar>
          </w:tcPr>
          <w:p w14:paraId="11958AE7" w14:textId="77777777" w:rsidR="00561B47" w:rsidRPr="00266EB9" w:rsidRDefault="00561B47" w:rsidP="00561B47">
            <w:pPr>
              <w:rPr>
                <w:color w:val="000000"/>
                <w:sz w:val="16"/>
                <w:szCs w:val="16"/>
              </w:rPr>
            </w:pPr>
            <w:proofErr w:type="spellStart"/>
            <w:r w:rsidRPr="00266EB9">
              <w:rPr>
                <w:color w:val="000000"/>
                <w:sz w:val="16"/>
                <w:szCs w:val="16"/>
              </w:rPr>
              <w:t>n.d</w:t>
            </w:r>
            <w:proofErr w:type="spellEnd"/>
            <w:r w:rsidRPr="00266EB9">
              <w:rPr>
                <w:color w:val="000000"/>
                <w:sz w:val="16"/>
                <w:szCs w:val="16"/>
              </w:rPr>
              <w:t>.</w:t>
            </w:r>
          </w:p>
        </w:tc>
        <w:tc>
          <w:tcPr>
            <w:tcW w:w="851" w:type="pct"/>
            <w:shd w:val="clear" w:color="auto" w:fill="auto"/>
            <w:tcMar>
              <w:top w:w="57" w:type="dxa"/>
              <w:left w:w="108" w:type="dxa"/>
              <w:right w:w="108" w:type="dxa"/>
            </w:tcMar>
          </w:tcPr>
          <w:p w14:paraId="30FE7797" w14:textId="77777777" w:rsidR="00561B47" w:rsidRPr="00266EB9" w:rsidRDefault="00561B47" w:rsidP="00561B47">
            <w:pPr>
              <w:rPr>
                <w:color w:val="000000"/>
                <w:sz w:val="16"/>
                <w:szCs w:val="16"/>
              </w:rPr>
            </w:pPr>
            <w:r w:rsidRPr="00266EB9">
              <w:rPr>
                <w:sz w:val="16"/>
                <w:szCs w:val="16"/>
              </w:rPr>
              <w:t>1 PMA</w:t>
            </w:r>
          </w:p>
        </w:tc>
        <w:tc>
          <w:tcPr>
            <w:tcW w:w="1212" w:type="pct"/>
            <w:shd w:val="clear" w:color="auto" w:fill="FFFFFF"/>
            <w:tcMar>
              <w:top w:w="57" w:type="dxa"/>
              <w:left w:w="108" w:type="dxa"/>
              <w:right w:w="108" w:type="dxa"/>
            </w:tcMar>
          </w:tcPr>
          <w:p w14:paraId="2D3EB41F" w14:textId="77777777" w:rsidR="00561B47" w:rsidRPr="00266EB9" w:rsidRDefault="00561B47" w:rsidP="00561B47">
            <w:pPr>
              <w:rPr>
                <w:color w:val="000000"/>
                <w:sz w:val="16"/>
                <w:szCs w:val="16"/>
              </w:rPr>
            </w:pPr>
            <w:r w:rsidRPr="00266EB9">
              <w:rPr>
                <w:color w:val="000000"/>
                <w:sz w:val="16"/>
                <w:szCs w:val="16"/>
              </w:rPr>
              <w:t>Aucun</w:t>
            </w:r>
          </w:p>
        </w:tc>
        <w:tc>
          <w:tcPr>
            <w:tcW w:w="601" w:type="pct"/>
            <w:shd w:val="clear" w:color="auto" w:fill="auto"/>
            <w:tcMar>
              <w:top w:w="57" w:type="dxa"/>
              <w:left w:w="108" w:type="dxa"/>
              <w:right w:w="108" w:type="dxa"/>
            </w:tcMar>
          </w:tcPr>
          <w:p w14:paraId="5990E20D" w14:textId="77777777" w:rsidR="00561B47" w:rsidRPr="00266EB9" w:rsidRDefault="00561B47" w:rsidP="00561B47">
            <w:pPr>
              <w:jc w:val="center"/>
              <w:rPr>
                <w:b/>
                <w:color w:val="00B050"/>
                <w:sz w:val="16"/>
                <w:szCs w:val="16"/>
              </w:rPr>
            </w:pPr>
            <w:r w:rsidRPr="00266EB9">
              <w:rPr>
                <w:b/>
                <w:color w:val="FF0000"/>
                <w:sz w:val="16"/>
                <w:szCs w:val="16"/>
              </w:rPr>
              <w:t>Pas en bonne voie</w:t>
            </w:r>
          </w:p>
        </w:tc>
      </w:tr>
      <w:tr w:rsidR="00561B47" w:rsidRPr="00266EB9" w14:paraId="200DA7CA" w14:textId="77777777" w:rsidTr="00561B47">
        <w:tc>
          <w:tcPr>
            <w:tcW w:w="1066" w:type="pct"/>
            <w:shd w:val="clear" w:color="auto" w:fill="auto"/>
            <w:tcMar>
              <w:left w:w="108" w:type="dxa"/>
              <w:right w:w="108" w:type="dxa"/>
            </w:tcMar>
          </w:tcPr>
          <w:p w14:paraId="0ACD43D2" w14:textId="77777777" w:rsidR="00561B47" w:rsidRPr="00266EB9" w:rsidRDefault="00561B47" w:rsidP="00561B47">
            <w:pPr>
              <w:rPr>
                <w:color w:val="000000"/>
                <w:sz w:val="16"/>
                <w:szCs w:val="16"/>
              </w:rPr>
            </w:pPr>
            <w:r w:rsidRPr="00266EB9">
              <w:rPr>
                <w:sz w:val="16"/>
                <w:szCs w:val="16"/>
              </w:rPr>
              <w:t>Institutions créées pour continuer à travailler sur la technologie appropriée dans les PMA</w:t>
            </w:r>
          </w:p>
        </w:tc>
        <w:tc>
          <w:tcPr>
            <w:tcW w:w="1270" w:type="pct"/>
            <w:shd w:val="clear" w:color="auto" w:fill="auto"/>
            <w:tcMar>
              <w:left w:w="108" w:type="dxa"/>
              <w:right w:w="108" w:type="dxa"/>
            </w:tcMar>
          </w:tcPr>
          <w:p w14:paraId="7FAF9844" w14:textId="77777777" w:rsidR="00561B47" w:rsidRPr="002655A7" w:rsidRDefault="00561B47" w:rsidP="00561B47">
            <w:pPr>
              <w:rPr>
                <w:i/>
                <w:color w:val="002060"/>
                <w:sz w:val="16"/>
                <w:szCs w:val="16"/>
              </w:rPr>
            </w:pPr>
            <w:r w:rsidRPr="002655A7">
              <w:rPr>
                <w:i/>
                <w:color w:val="002060"/>
                <w:sz w:val="16"/>
                <w:szCs w:val="16"/>
              </w:rPr>
              <w:t>Niveau de référence actualisé à fin 2015 :</w:t>
            </w:r>
          </w:p>
          <w:p w14:paraId="0E7165C3" w14:textId="77777777" w:rsidR="00561B47" w:rsidRPr="002655A7" w:rsidRDefault="00561B47" w:rsidP="00561B47">
            <w:pPr>
              <w:rPr>
                <w:color w:val="002060"/>
                <w:sz w:val="16"/>
                <w:szCs w:val="16"/>
              </w:rPr>
            </w:pPr>
            <w:r w:rsidRPr="002655A7">
              <w:rPr>
                <w:color w:val="002060"/>
                <w:sz w:val="16"/>
                <w:szCs w:val="16"/>
              </w:rPr>
              <w:t>– 3 groupes d’experts nationaux dans 3 PMA</w:t>
            </w:r>
          </w:p>
          <w:p w14:paraId="2F59A376" w14:textId="77777777" w:rsidR="00561B47" w:rsidRPr="00266EB9" w:rsidRDefault="00561B47" w:rsidP="00561B47">
            <w:pPr>
              <w:rPr>
                <w:color w:val="002060"/>
                <w:sz w:val="16"/>
                <w:szCs w:val="16"/>
              </w:rPr>
            </w:pPr>
            <w:r w:rsidRPr="002655A7">
              <w:rPr>
                <w:color w:val="002060"/>
                <w:sz w:val="16"/>
                <w:szCs w:val="16"/>
              </w:rPr>
              <w:t>– 3 groupes m</w:t>
            </w:r>
            <w:r w:rsidRPr="00266EB9">
              <w:rPr>
                <w:color w:val="002060"/>
                <w:sz w:val="16"/>
                <w:szCs w:val="16"/>
              </w:rPr>
              <w:t>ultipartites dans 3 PMA</w:t>
            </w:r>
          </w:p>
          <w:p w14:paraId="1CE0B37F" w14:textId="77777777" w:rsidR="00561B47" w:rsidRPr="00266EB9" w:rsidRDefault="00561B47" w:rsidP="00561B47">
            <w:pPr>
              <w:rPr>
                <w:color w:val="000000"/>
                <w:sz w:val="16"/>
                <w:szCs w:val="16"/>
              </w:rPr>
            </w:pPr>
          </w:p>
          <w:p w14:paraId="7352C981"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4A0946CF" w14:textId="77777777" w:rsidR="00561B47" w:rsidRPr="00266EB9" w:rsidRDefault="00561B47" w:rsidP="00561B47">
            <w:pPr>
              <w:rPr>
                <w:color w:val="000000"/>
                <w:sz w:val="16"/>
                <w:szCs w:val="16"/>
              </w:rPr>
            </w:pPr>
            <w:r w:rsidRPr="00266EB9">
              <w:rPr>
                <w:sz w:val="16"/>
                <w:szCs w:val="16"/>
              </w:rPr>
              <w:t>3 institutions</w:t>
            </w:r>
            <w:r w:rsidRPr="00266EB9">
              <w:rPr>
                <w:color w:val="000000"/>
                <w:sz w:val="16"/>
                <w:szCs w:val="16"/>
              </w:rPr>
              <w:t xml:space="preserve"> </w:t>
            </w:r>
          </w:p>
        </w:tc>
        <w:tc>
          <w:tcPr>
            <w:tcW w:w="851" w:type="pct"/>
            <w:shd w:val="clear" w:color="auto" w:fill="auto"/>
            <w:tcMar>
              <w:top w:w="57" w:type="dxa"/>
              <w:left w:w="108" w:type="dxa"/>
              <w:right w:w="108" w:type="dxa"/>
            </w:tcMar>
          </w:tcPr>
          <w:p w14:paraId="60EE5115" w14:textId="77777777" w:rsidR="00561B47" w:rsidRPr="00266EB9" w:rsidRDefault="00561B47" w:rsidP="00561B47">
            <w:pPr>
              <w:rPr>
                <w:color w:val="000000"/>
                <w:sz w:val="16"/>
                <w:szCs w:val="16"/>
              </w:rPr>
            </w:pPr>
            <w:r w:rsidRPr="00266EB9">
              <w:rPr>
                <w:color w:val="000000"/>
                <w:sz w:val="16"/>
                <w:szCs w:val="16"/>
              </w:rPr>
              <w:t>3 institutions supplémentaires</w:t>
            </w:r>
          </w:p>
        </w:tc>
        <w:tc>
          <w:tcPr>
            <w:tcW w:w="1212" w:type="pct"/>
            <w:shd w:val="clear" w:color="auto" w:fill="FFFFFF"/>
            <w:tcMar>
              <w:top w:w="57" w:type="dxa"/>
              <w:left w:w="108" w:type="dxa"/>
              <w:right w:w="108" w:type="dxa"/>
            </w:tcMar>
          </w:tcPr>
          <w:p w14:paraId="31A98352" w14:textId="77777777" w:rsidR="00561B47" w:rsidRPr="002758AC" w:rsidRDefault="00561B47" w:rsidP="00561B47">
            <w:pPr>
              <w:rPr>
                <w:sz w:val="16"/>
                <w:szCs w:val="16"/>
              </w:rPr>
            </w:pPr>
            <w:r w:rsidRPr="00266EB9">
              <w:rPr>
                <w:sz w:val="16"/>
                <w:szCs w:val="16"/>
              </w:rPr>
              <w:t>3 gr</w:t>
            </w:r>
            <w:r w:rsidRPr="002758AC">
              <w:rPr>
                <w:sz w:val="16"/>
                <w:szCs w:val="16"/>
              </w:rPr>
              <w:t>oupes d’experts nationaux créés (Éthiopie, République</w:t>
            </w:r>
            <w:r w:rsidRPr="002758AC">
              <w:rPr>
                <w:sz w:val="16"/>
                <w:szCs w:val="16"/>
              </w:rPr>
              <w:noBreakHyphen/>
              <w:t>Unie de Tanzanie, Rwanda)</w:t>
            </w:r>
          </w:p>
          <w:p w14:paraId="4F1FC1D2" w14:textId="77777777" w:rsidR="00561B47" w:rsidRPr="00266EB9" w:rsidRDefault="00561B47" w:rsidP="00561B47">
            <w:pPr>
              <w:rPr>
                <w:color w:val="000000"/>
                <w:sz w:val="16"/>
                <w:szCs w:val="16"/>
              </w:rPr>
            </w:pPr>
            <w:r w:rsidRPr="002758AC">
              <w:rPr>
                <w:sz w:val="16"/>
                <w:szCs w:val="16"/>
              </w:rPr>
              <w:t>(6 groupes d’experts nationau</w:t>
            </w:r>
            <w:r w:rsidRPr="00266EB9">
              <w:rPr>
                <w:sz w:val="16"/>
                <w:szCs w:val="16"/>
              </w:rPr>
              <w:t>x dans 6 PMA au total)</w:t>
            </w:r>
          </w:p>
        </w:tc>
        <w:tc>
          <w:tcPr>
            <w:tcW w:w="601" w:type="pct"/>
            <w:shd w:val="clear" w:color="auto" w:fill="auto"/>
            <w:tcMar>
              <w:top w:w="57" w:type="dxa"/>
              <w:left w:w="108" w:type="dxa"/>
              <w:right w:w="108" w:type="dxa"/>
            </w:tcMar>
          </w:tcPr>
          <w:p w14:paraId="105B77C0" w14:textId="77777777" w:rsidR="00561B47" w:rsidRPr="00266EB9" w:rsidRDefault="00561B47" w:rsidP="00561B47">
            <w:pPr>
              <w:jc w:val="center"/>
              <w:rPr>
                <w:b/>
                <w:color w:val="00B050"/>
                <w:sz w:val="16"/>
                <w:szCs w:val="16"/>
              </w:rPr>
            </w:pPr>
            <w:r w:rsidRPr="00266EB9">
              <w:rPr>
                <w:b/>
                <w:color w:val="00B050"/>
                <w:sz w:val="16"/>
                <w:szCs w:val="16"/>
              </w:rPr>
              <w:t>En bonne voie</w:t>
            </w:r>
            <w:r w:rsidRPr="00266EB9" w:rsidDel="0019101B">
              <w:rPr>
                <w:b/>
                <w:color w:val="00B050"/>
                <w:sz w:val="16"/>
                <w:szCs w:val="16"/>
              </w:rPr>
              <w:t xml:space="preserve"> </w:t>
            </w:r>
          </w:p>
        </w:tc>
      </w:tr>
      <w:tr w:rsidR="00561B47" w:rsidRPr="00266EB9" w14:paraId="117C6D7B" w14:textId="77777777" w:rsidTr="00561B47">
        <w:tc>
          <w:tcPr>
            <w:tcW w:w="1066" w:type="pct"/>
            <w:shd w:val="clear" w:color="auto" w:fill="auto"/>
            <w:tcMar>
              <w:left w:w="108" w:type="dxa"/>
              <w:right w:w="108" w:type="dxa"/>
            </w:tcMar>
          </w:tcPr>
          <w:p w14:paraId="46EABC36" w14:textId="77777777" w:rsidR="00561B47" w:rsidRPr="00266EB9" w:rsidRDefault="00561B47" w:rsidP="00561B47">
            <w:pPr>
              <w:rPr>
                <w:color w:val="000000"/>
                <w:sz w:val="16"/>
                <w:szCs w:val="16"/>
              </w:rPr>
            </w:pPr>
            <w:r w:rsidRPr="00266EB9">
              <w:rPr>
                <w:sz w:val="16"/>
                <w:szCs w:val="16"/>
              </w:rPr>
              <w:t>Poursuite et développement des programmes nationaux de renforcement des capacités techniques relatifs aux technologies appropriées dans les PMA</w:t>
            </w:r>
          </w:p>
        </w:tc>
        <w:tc>
          <w:tcPr>
            <w:tcW w:w="1270" w:type="pct"/>
            <w:shd w:val="clear" w:color="auto" w:fill="auto"/>
            <w:tcMar>
              <w:left w:w="108" w:type="dxa"/>
              <w:right w:w="108" w:type="dxa"/>
            </w:tcMar>
          </w:tcPr>
          <w:p w14:paraId="36433690" w14:textId="77777777" w:rsidR="00561B47" w:rsidRPr="00266EB9" w:rsidRDefault="00561B47" w:rsidP="00561B47">
            <w:pPr>
              <w:rPr>
                <w:color w:val="000000"/>
                <w:sz w:val="16"/>
                <w:szCs w:val="16"/>
              </w:rPr>
            </w:pPr>
            <w:r w:rsidRPr="00266EB9">
              <w:rPr>
                <w:sz w:val="16"/>
                <w:szCs w:val="16"/>
              </w:rPr>
              <w:t>7 programmes</w:t>
            </w:r>
            <w:r w:rsidRPr="00266EB9">
              <w:rPr>
                <w:color w:val="000000"/>
                <w:sz w:val="16"/>
                <w:szCs w:val="16"/>
              </w:rPr>
              <w:t xml:space="preserve"> </w:t>
            </w:r>
          </w:p>
        </w:tc>
        <w:tc>
          <w:tcPr>
            <w:tcW w:w="851" w:type="pct"/>
            <w:shd w:val="clear" w:color="auto" w:fill="auto"/>
            <w:tcMar>
              <w:top w:w="57" w:type="dxa"/>
              <w:left w:w="108" w:type="dxa"/>
              <w:right w:w="108" w:type="dxa"/>
            </w:tcMar>
          </w:tcPr>
          <w:p w14:paraId="4B910F13" w14:textId="77777777" w:rsidR="00561B47" w:rsidRPr="00266EB9" w:rsidRDefault="00561B47" w:rsidP="00561B47">
            <w:pPr>
              <w:rPr>
                <w:color w:val="000000"/>
                <w:sz w:val="16"/>
                <w:szCs w:val="16"/>
              </w:rPr>
            </w:pPr>
            <w:r w:rsidRPr="00266EB9">
              <w:rPr>
                <w:sz w:val="16"/>
                <w:szCs w:val="16"/>
              </w:rPr>
              <w:t>6 programmes supplémentaires</w:t>
            </w:r>
            <w:r w:rsidRPr="00266EB9">
              <w:rPr>
                <w:color w:val="000000"/>
                <w:sz w:val="16"/>
                <w:szCs w:val="16"/>
              </w:rPr>
              <w:t xml:space="preserve"> </w:t>
            </w:r>
          </w:p>
        </w:tc>
        <w:tc>
          <w:tcPr>
            <w:tcW w:w="1212" w:type="pct"/>
            <w:shd w:val="clear" w:color="auto" w:fill="FFFFFF"/>
            <w:tcMar>
              <w:top w:w="57" w:type="dxa"/>
              <w:left w:w="108" w:type="dxa"/>
              <w:right w:w="108" w:type="dxa"/>
            </w:tcMar>
          </w:tcPr>
          <w:p w14:paraId="16FC20CD" w14:textId="77777777" w:rsidR="00561B47" w:rsidRPr="00266EB9" w:rsidRDefault="00561B47" w:rsidP="00561B47">
            <w:pPr>
              <w:rPr>
                <w:sz w:val="16"/>
                <w:szCs w:val="16"/>
              </w:rPr>
            </w:pPr>
            <w:r w:rsidRPr="00266EB9">
              <w:rPr>
                <w:sz w:val="16"/>
                <w:szCs w:val="16"/>
              </w:rPr>
              <w:t>4 programmes nationaux de renforcement des capacités techniques relatifs aux technologies appropriées ont été menés dans 3 PMA :</w:t>
            </w:r>
          </w:p>
          <w:p w14:paraId="6183043B" w14:textId="77777777" w:rsidR="00561B47" w:rsidRPr="00266EB9" w:rsidRDefault="00561B47" w:rsidP="00561B47">
            <w:pPr>
              <w:rPr>
                <w:sz w:val="16"/>
                <w:szCs w:val="16"/>
              </w:rPr>
            </w:pPr>
            <w:r w:rsidRPr="00266EB9">
              <w:rPr>
                <w:sz w:val="16"/>
                <w:szCs w:val="16"/>
              </w:rPr>
              <w:t>Éthiopie</w:t>
            </w:r>
            <w:r w:rsidRPr="00266EB9">
              <w:rPr>
                <w:color w:val="000000"/>
                <w:sz w:val="16"/>
                <w:szCs w:val="16"/>
              </w:rPr>
              <w:t xml:space="preserve"> (1)</w:t>
            </w:r>
          </w:p>
          <w:p w14:paraId="7A462844" w14:textId="77777777" w:rsidR="00561B47" w:rsidRPr="00266EB9" w:rsidRDefault="00561B47" w:rsidP="00561B47">
            <w:pPr>
              <w:rPr>
                <w:sz w:val="16"/>
                <w:szCs w:val="16"/>
              </w:rPr>
            </w:pPr>
            <w:r w:rsidRPr="00266EB9">
              <w:rPr>
                <w:sz w:val="16"/>
                <w:szCs w:val="16"/>
              </w:rPr>
              <w:t>Rwanda (1)</w:t>
            </w:r>
          </w:p>
          <w:p w14:paraId="7083BAED" w14:textId="77777777" w:rsidR="00561B47" w:rsidRPr="00266EB9" w:rsidRDefault="00561B47" w:rsidP="00561B47">
            <w:pPr>
              <w:rPr>
                <w:sz w:val="16"/>
                <w:szCs w:val="16"/>
              </w:rPr>
            </w:pPr>
            <w:r w:rsidRPr="00266EB9">
              <w:rPr>
                <w:sz w:val="16"/>
                <w:szCs w:val="16"/>
              </w:rPr>
              <w:t>République</w:t>
            </w:r>
            <w:r>
              <w:rPr>
                <w:sz w:val="16"/>
                <w:szCs w:val="16"/>
              </w:rPr>
              <w:noBreakHyphen/>
            </w:r>
            <w:r w:rsidRPr="00266EB9">
              <w:rPr>
                <w:sz w:val="16"/>
                <w:szCs w:val="16"/>
              </w:rPr>
              <w:t>Unie de Tanzanie</w:t>
            </w:r>
            <w:r w:rsidRPr="00266EB9">
              <w:rPr>
                <w:color w:val="000000"/>
                <w:sz w:val="16"/>
                <w:szCs w:val="16"/>
              </w:rPr>
              <w:t xml:space="preserve"> (2)</w:t>
            </w:r>
          </w:p>
          <w:p w14:paraId="08A70A77" w14:textId="77777777" w:rsidR="00561B47" w:rsidRPr="00266EB9" w:rsidRDefault="00561B47" w:rsidP="00561B47">
            <w:pPr>
              <w:rPr>
                <w:color w:val="000000"/>
                <w:sz w:val="16"/>
                <w:szCs w:val="16"/>
              </w:rPr>
            </w:pPr>
            <w:r w:rsidRPr="00266EB9">
              <w:rPr>
                <w:sz w:val="16"/>
                <w:szCs w:val="16"/>
              </w:rPr>
              <w:t>(11 au total)</w:t>
            </w:r>
            <w:r w:rsidRPr="00266EB9" w:rsidDel="0019101B">
              <w:rPr>
                <w:color w:val="000000"/>
                <w:sz w:val="16"/>
                <w:szCs w:val="16"/>
              </w:rPr>
              <w:t xml:space="preserve"> </w:t>
            </w:r>
          </w:p>
        </w:tc>
        <w:tc>
          <w:tcPr>
            <w:tcW w:w="601" w:type="pct"/>
            <w:shd w:val="clear" w:color="auto" w:fill="auto"/>
            <w:tcMar>
              <w:top w:w="57" w:type="dxa"/>
              <w:left w:w="108" w:type="dxa"/>
              <w:right w:w="108" w:type="dxa"/>
            </w:tcMar>
          </w:tcPr>
          <w:p w14:paraId="0B492E28" w14:textId="77777777" w:rsidR="00561B47" w:rsidRPr="00266EB9" w:rsidRDefault="00561B47" w:rsidP="00561B47">
            <w:pPr>
              <w:jc w:val="center"/>
              <w:rPr>
                <w:b/>
                <w:color w:val="00B050"/>
                <w:sz w:val="16"/>
                <w:szCs w:val="16"/>
              </w:rPr>
            </w:pPr>
            <w:r w:rsidRPr="00266EB9">
              <w:rPr>
                <w:b/>
                <w:color w:val="00B050"/>
                <w:sz w:val="16"/>
                <w:szCs w:val="16"/>
              </w:rPr>
              <w:t>En bonne voie</w:t>
            </w:r>
          </w:p>
        </w:tc>
      </w:tr>
      <w:tr w:rsidR="00561B47" w:rsidRPr="00266EB9" w14:paraId="1DB6059C" w14:textId="77777777" w:rsidTr="00561B47">
        <w:tc>
          <w:tcPr>
            <w:tcW w:w="1066" w:type="pct"/>
            <w:shd w:val="clear" w:color="auto" w:fill="auto"/>
            <w:tcMar>
              <w:left w:w="108" w:type="dxa"/>
              <w:right w:w="108" w:type="dxa"/>
            </w:tcMar>
          </w:tcPr>
          <w:p w14:paraId="6D80BCF5" w14:textId="77777777" w:rsidR="00561B47" w:rsidRPr="00266EB9" w:rsidRDefault="00561B47" w:rsidP="00561B47">
            <w:pPr>
              <w:rPr>
                <w:color w:val="000000"/>
                <w:sz w:val="16"/>
                <w:szCs w:val="16"/>
              </w:rPr>
            </w:pPr>
            <w:r w:rsidRPr="00266EB9">
              <w:rPr>
                <w:sz w:val="16"/>
                <w:szCs w:val="16"/>
              </w:rPr>
              <w:t>Utilisation d’une technologie appropriée pour le développement économique prévue dans les politiques et stratégies nationales en matière d’innovation et de propriété intellectuelle dans les PMA</w:t>
            </w:r>
          </w:p>
        </w:tc>
        <w:tc>
          <w:tcPr>
            <w:tcW w:w="1270" w:type="pct"/>
            <w:shd w:val="clear" w:color="auto" w:fill="auto"/>
            <w:tcMar>
              <w:left w:w="108" w:type="dxa"/>
              <w:right w:w="108" w:type="dxa"/>
            </w:tcMar>
          </w:tcPr>
          <w:p w14:paraId="7EDDE276" w14:textId="77777777" w:rsidR="00561B47" w:rsidRPr="00266EB9" w:rsidRDefault="00561B47" w:rsidP="00561B47">
            <w:pPr>
              <w:rPr>
                <w:color w:val="000000"/>
                <w:sz w:val="16"/>
                <w:szCs w:val="16"/>
              </w:rPr>
            </w:pPr>
            <w:proofErr w:type="spellStart"/>
            <w:r w:rsidRPr="00266EB9">
              <w:rPr>
                <w:color w:val="000000"/>
                <w:sz w:val="16"/>
                <w:szCs w:val="16"/>
              </w:rPr>
              <w:t>n.d</w:t>
            </w:r>
            <w:proofErr w:type="spellEnd"/>
            <w:r w:rsidRPr="00266EB9">
              <w:rPr>
                <w:color w:val="000000"/>
                <w:sz w:val="16"/>
                <w:szCs w:val="16"/>
              </w:rPr>
              <w:t>.</w:t>
            </w:r>
          </w:p>
        </w:tc>
        <w:tc>
          <w:tcPr>
            <w:tcW w:w="851" w:type="pct"/>
            <w:shd w:val="clear" w:color="auto" w:fill="auto"/>
            <w:tcMar>
              <w:top w:w="57" w:type="dxa"/>
              <w:left w:w="108" w:type="dxa"/>
              <w:right w:w="108" w:type="dxa"/>
            </w:tcMar>
          </w:tcPr>
          <w:p w14:paraId="2145B271" w14:textId="77777777" w:rsidR="00561B47" w:rsidRPr="00266EB9" w:rsidRDefault="00561B47" w:rsidP="00561B47">
            <w:pPr>
              <w:rPr>
                <w:color w:val="000000"/>
                <w:sz w:val="16"/>
                <w:szCs w:val="16"/>
              </w:rPr>
            </w:pPr>
            <w:r w:rsidRPr="00266EB9">
              <w:rPr>
                <w:sz w:val="16"/>
                <w:szCs w:val="16"/>
              </w:rPr>
              <w:t>1 PMA</w:t>
            </w:r>
            <w:r w:rsidRPr="00266EB9">
              <w:rPr>
                <w:color w:val="000000"/>
                <w:sz w:val="16"/>
                <w:szCs w:val="16"/>
              </w:rPr>
              <w:t xml:space="preserve"> </w:t>
            </w:r>
          </w:p>
        </w:tc>
        <w:tc>
          <w:tcPr>
            <w:tcW w:w="1212" w:type="pct"/>
            <w:shd w:val="clear" w:color="auto" w:fill="FFFFFF"/>
            <w:tcMar>
              <w:top w:w="57" w:type="dxa"/>
              <w:left w:w="108" w:type="dxa"/>
              <w:right w:w="108" w:type="dxa"/>
            </w:tcMar>
          </w:tcPr>
          <w:p w14:paraId="09DB7059" w14:textId="77777777" w:rsidR="00561B47" w:rsidRPr="00266EB9" w:rsidRDefault="00561B47" w:rsidP="00561B47">
            <w:pPr>
              <w:rPr>
                <w:color w:val="000000"/>
                <w:sz w:val="16"/>
                <w:szCs w:val="16"/>
              </w:rPr>
            </w:pPr>
            <w:r w:rsidRPr="00266EB9">
              <w:rPr>
                <w:color w:val="000000"/>
                <w:sz w:val="16"/>
                <w:szCs w:val="16"/>
              </w:rPr>
              <w:t>Aucune</w:t>
            </w:r>
          </w:p>
        </w:tc>
        <w:tc>
          <w:tcPr>
            <w:tcW w:w="601" w:type="pct"/>
            <w:shd w:val="clear" w:color="auto" w:fill="auto"/>
            <w:tcMar>
              <w:top w:w="57" w:type="dxa"/>
              <w:left w:w="108" w:type="dxa"/>
              <w:right w:w="108" w:type="dxa"/>
            </w:tcMar>
          </w:tcPr>
          <w:p w14:paraId="4271AAE6" w14:textId="77777777" w:rsidR="00561B47" w:rsidRPr="00266EB9" w:rsidRDefault="00561B47" w:rsidP="00561B47">
            <w:pPr>
              <w:jc w:val="center"/>
              <w:rPr>
                <w:b/>
                <w:color w:val="00B050"/>
                <w:sz w:val="16"/>
                <w:szCs w:val="16"/>
              </w:rPr>
            </w:pPr>
            <w:r w:rsidRPr="00266EB9">
              <w:rPr>
                <w:b/>
                <w:color w:val="FF0000"/>
                <w:sz w:val="16"/>
                <w:szCs w:val="16"/>
              </w:rPr>
              <w:t>Pas en bonne voie</w:t>
            </w:r>
          </w:p>
        </w:tc>
      </w:tr>
      <w:tr w:rsidR="00561B47" w:rsidRPr="00266EB9" w14:paraId="44DA3C4B" w14:textId="77777777" w:rsidTr="00561B47">
        <w:tc>
          <w:tcPr>
            <w:tcW w:w="5000" w:type="pct"/>
            <w:gridSpan w:val="5"/>
            <w:shd w:val="clear" w:color="auto" w:fill="C6D9F1" w:themeFill="text2" w:themeFillTint="33"/>
            <w:tcMar>
              <w:left w:w="108" w:type="dxa"/>
              <w:right w:w="108" w:type="dxa"/>
            </w:tcMar>
            <w:vAlign w:val="center"/>
          </w:tcPr>
          <w:p w14:paraId="6B01F328" w14:textId="77777777" w:rsidR="00561B47" w:rsidRPr="00266EB9" w:rsidRDefault="00561B47" w:rsidP="00561B47">
            <w:pPr>
              <w:tabs>
                <w:tab w:val="left" w:pos="1452"/>
              </w:tabs>
              <w:rPr>
                <w:b/>
                <w:bCs/>
                <w:sz w:val="16"/>
                <w:szCs w:val="16"/>
              </w:rPr>
            </w:pPr>
            <w:r w:rsidRPr="00266EB9">
              <w:rPr>
                <w:b/>
                <w:bCs/>
                <w:color w:val="000000"/>
                <w:sz w:val="16"/>
                <w:szCs w:val="16"/>
              </w:rPr>
              <w:t xml:space="preserve">Résultat escompté : </w:t>
            </w:r>
            <w:r w:rsidRPr="00266EB9">
              <w:rPr>
                <w:bCs/>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r>
      <w:tr w:rsidR="00561B47" w:rsidRPr="00266EB9" w14:paraId="3B19437C" w14:textId="77777777" w:rsidTr="00561B47">
        <w:tc>
          <w:tcPr>
            <w:tcW w:w="1066" w:type="pct"/>
            <w:shd w:val="clear" w:color="auto" w:fill="auto"/>
            <w:tcMar>
              <w:left w:w="108" w:type="dxa"/>
              <w:right w:w="108" w:type="dxa"/>
            </w:tcMar>
            <w:vAlign w:val="center"/>
          </w:tcPr>
          <w:p w14:paraId="0347DF58" w14:textId="77777777" w:rsidR="00561B47" w:rsidRPr="00266EB9" w:rsidRDefault="00561B47" w:rsidP="00561B47">
            <w:pPr>
              <w:jc w:val="center"/>
              <w:rPr>
                <w:b/>
                <w:bCs/>
                <w:sz w:val="16"/>
                <w:szCs w:val="16"/>
              </w:rPr>
            </w:pPr>
            <w:r w:rsidRPr="00266EB9">
              <w:rPr>
                <w:b/>
                <w:bCs/>
                <w:sz w:val="16"/>
                <w:szCs w:val="16"/>
              </w:rPr>
              <w:t>Indicateurs d’exécution</w:t>
            </w:r>
          </w:p>
        </w:tc>
        <w:tc>
          <w:tcPr>
            <w:tcW w:w="1270" w:type="pct"/>
            <w:shd w:val="clear" w:color="auto" w:fill="auto"/>
            <w:tcMar>
              <w:left w:w="108" w:type="dxa"/>
              <w:right w:w="108" w:type="dxa"/>
            </w:tcMar>
            <w:vAlign w:val="center"/>
          </w:tcPr>
          <w:p w14:paraId="774FDB21" w14:textId="77777777" w:rsidR="00561B47" w:rsidRPr="00266EB9" w:rsidRDefault="00561B47" w:rsidP="00561B47">
            <w:pPr>
              <w:jc w:val="center"/>
              <w:rPr>
                <w:b/>
                <w:bCs/>
                <w:sz w:val="16"/>
                <w:szCs w:val="16"/>
              </w:rPr>
            </w:pPr>
            <w:r w:rsidRPr="00266EB9">
              <w:rPr>
                <w:b/>
                <w:bCs/>
                <w:sz w:val="16"/>
                <w:szCs w:val="16"/>
              </w:rPr>
              <w:t>Niveaux de référence</w:t>
            </w:r>
          </w:p>
        </w:tc>
        <w:tc>
          <w:tcPr>
            <w:tcW w:w="851" w:type="pct"/>
            <w:shd w:val="clear" w:color="auto" w:fill="auto"/>
            <w:tcMar>
              <w:top w:w="57" w:type="dxa"/>
              <w:left w:w="108" w:type="dxa"/>
              <w:right w:w="108" w:type="dxa"/>
            </w:tcMar>
            <w:vAlign w:val="center"/>
          </w:tcPr>
          <w:p w14:paraId="4D96689E" w14:textId="77777777" w:rsidR="00561B47" w:rsidRPr="00266EB9" w:rsidRDefault="00561B47" w:rsidP="00561B47">
            <w:pPr>
              <w:jc w:val="center"/>
              <w:rPr>
                <w:b/>
                <w:bCs/>
                <w:sz w:val="16"/>
                <w:szCs w:val="16"/>
              </w:rPr>
            </w:pPr>
            <w:r w:rsidRPr="00266EB9">
              <w:rPr>
                <w:b/>
                <w:bCs/>
                <w:sz w:val="16"/>
                <w:szCs w:val="16"/>
              </w:rPr>
              <w:t>Objectifs visés</w:t>
            </w:r>
          </w:p>
        </w:tc>
        <w:tc>
          <w:tcPr>
            <w:tcW w:w="1212" w:type="pct"/>
            <w:shd w:val="clear" w:color="auto" w:fill="FFFFFF"/>
            <w:tcMar>
              <w:top w:w="57" w:type="dxa"/>
              <w:left w:w="108" w:type="dxa"/>
              <w:right w:w="108" w:type="dxa"/>
            </w:tcMar>
            <w:vAlign w:val="center"/>
          </w:tcPr>
          <w:p w14:paraId="1E3847E6" w14:textId="77777777" w:rsidR="00561B47" w:rsidRPr="00266EB9" w:rsidRDefault="00561B47" w:rsidP="00561B47">
            <w:pPr>
              <w:jc w:val="center"/>
              <w:rPr>
                <w:b/>
                <w:bCs/>
                <w:sz w:val="16"/>
                <w:szCs w:val="16"/>
              </w:rPr>
            </w:pPr>
            <w:r w:rsidRPr="00266EB9">
              <w:rPr>
                <w:b/>
                <w:bCs/>
                <w:sz w:val="16"/>
                <w:szCs w:val="16"/>
              </w:rPr>
              <w:t>Données relatives à l’exécution</w:t>
            </w:r>
          </w:p>
        </w:tc>
        <w:tc>
          <w:tcPr>
            <w:tcW w:w="601" w:type="pct"/>
            <w:shd w:val="clear" w:color="auto" w:fill="auto"/>
            <w:tcMar>
              <w:top w:w="57" w:type="dxa"/>
              <w:left w:w="108" w:type="dxa"/>
              <w:right w:w="108" w:type="dxa"/>
            </w:tcMar>
            <w:vAlign w:val="center"/>
          </w:tcPr>
          <w:p w14:paraId="702AF581" w14:textId="77777777" w:rsidR="00561B47" w:rsidRPr="00266EB9" w:rsidRDefault="00561B47" w:rsidP="00561B47">
            <w:pPr>
              <w:jc w:val="center"/>
              <w:rPr>
                <w:b/>
                <w:bCs/>
                <w:sz w:val="16"/>
                <w:szCs w:val="16"/>
              </w:rPr>
            </w:pPr>
            <w:r w:rsidRPr="00266EB9">
              <w:rPr>
                <w:b/>
                <w:bCs/>
                <w:sz w:val="16"/>
                <w:szCs w:val="16"/>
              </w:rPr>
              <w:t>Code d’évaluation</w:t>
            </w:r>
          </w:p>
        </w:tc>
      </w:tr>
      <w:tr w:rsidR="00561B47" w:rsidRPr="00266EB9" w14:paraId="492AB4AA" w14:textId="77777777" w:rsidTr="00561B47">
        <w:tc>
          <w:tcPr>
            <w:tcW w:w="1066" w:type="pct"/>
            <w:shd w:val="clear" w:color="auto" w:fill="auto"/>
            <w:tcMar>
              <w:left w:w="108" w:type="dxa"/>
              <w:right w:w="108" w:type="dxa"/>
            </w:tcMar>
          </w:tcPr>
          <w:p w14:paraId="533EBBFF" w14:textId="77777777" w:rsidR="00561B47" w:rsidRPr="00266EB9" w:rsidRDefault="00561B47" w:rsidP="00561B47">
            <w:pPr>
              <w:rPr>
                <w:color w:val="000000"/>
                <w:sz w:val="16"/>
                <w:szCs w:val="16"/>
              </w:rPr>
            </w:pPr>
            <w:r w:rsidRPr="00266EB9">
              <w:rPr>
                <w:sz w:val="16"/>
                <w:szCs w:val="16"/>
              </w:rPr>
              <w:t>Niveau de service moyen des offices de propriété intellectuelle bénéficiant d’une assistance (de 1 à 5)</w:t>
            </w:r>
          </w:p>
        </w:tc>
        <w:tc>
          <w:tcPr>
            <w:tcW w:w="1270" w:type="pct"/>
            <w:shd w:val="clear" w:color="auto" w:fill="auto"/>
            <w:tcMar>
              <w:left w:w="108" w:type="dxa"/>
              <w:right w:w="108" w:type="dxa"/>
            </w:tcMar>
          </w:tcPr>
          <w:p w14:paraId="28BEF836" w14:textId="77777777" w:rsidR="00561B47" w:rsidRPr="002655A7" w:rsidRDefault="00561B47" w:rsidP="00561B47">
            <w:pPr>
              <w:rPr>
                <w:i/>
                <w:color w:val="002060"/>
                <w:sz w:val="16"/>
                <w:szCs w:val="16"/>
              </w:rPr>
            </w:pPr>
            <w:r w:rsidRPr="00266EB9">
              <w:rPr>
                <w:i/>
                <w:color w:val="002060"/>
                <w:sz w:val="16"/>
                <w:szCs w:val="16"/>
              </w:rPr>
              <w:t>Niveau de référence actualisé à fin</w:t>
            </w:r>
            <w:r w:rsidRPr="002655A7">
              <w:rPr>
                <w:i/>
                <w:color w:val="002060"/>
                <w:sz w:val="16"/>
                <w:szCs w:val="16"/>
              </w:rPr>
              <w:t> 2015 :</w:t>
            </w:r>
          </w:p>
          <w:p w14:paraId="4144E989" w14:textId="77777777" w:rsidR="00561B47" w:rsidRPr="002655A7" w:rsidRDefault="00561B47" w:rsidP="00561B47">
            <w:pPr>
              <w:rPr>
                <w:color w:val="002060"/>
                <w:sz w:val="16"/>
                <w:szCs w:val="16"/>
              </w:rPr>
            </w:pPr>
            <w:r w:rsidRPr="002655A7">
              <w:rPr>
                <w:color w:val="002060"/>
                <w:sz w:val="16"/>
                <w:szCs w:val="16"/>
              </w:rPr>
              <w:t>Moyenne globale : 2,9</w:t>
            </w:r>
          </w:p>
          <w:p w14:paraId="0BC01646" w14:textId="77777777" w:rsidR="00561B47" w:rsidRPr="002655A7" w:rsidRDefault="00561B47" w:rsidP="00D544B8">
            <w:pPr>
              <w:pStyle w:val="ListParagraph"/>
              <w:numPr>
                <w:ilvl w:val="0"/>
                <w:numId w:val="17"/>
              </w:numPr>
              <w:tabs>
                <w:tab w:val="left" w:pos="230"/>
              </w:tabs>
              <w:ind w:left="0" w:firstLine="0"/>
              <w:contextualSpacing w:val="0"/>
              <w:rPr>
                <w:rFonts w:ascii="Arial" w:hAnsi="Arial" w:cs="Arial"/>
                <w:color w:val="002060"/>
                <w:sz w:val="16"/>
                <w:szCs w:val="16"/>
              </w:rPr>
            </w:pPr>
            <w:r w:rsidRPr="002655A7">
              <w:rPr>
                <w:rFonts w:ascii="Arial" w:hAnsi="Arial" w:cs="Arial"/>
                <w:color w:val="002060"/>
                <w:sz w:val="16"/>
                <w:szCs w:val="16"/>
              </w:rPr>
              <w:t>Afrique : 2,9</w:t>
            </w:r>
          </w:p>
          <w:p w14:paraId="63232550" w14:textId="77777777" w:rsidR="00561B47" w:rsidRPr="002655A7" w:rsidRDefault="00561B47" w:rsidP="00D544B8">
            <w:pPr>
              <w:pStyle w:val="ListParagraph"/>
              <w:numPr>
                <w:ilvl w:val="0"/>
                <w:numId w:val="17"/>
              </w:numPr>
              <w:tabs>
                <w:tab w:val="left" w:pos="230"/>
              </w:tabs>
              <w:ind w:left="0" w:firstLine="0"/>
              <w:contextualSpacing w:val="0"/>
              <w:rPr>
                <w:rFonts w:ascii="Arial" w:hAnsi="Arial" w:cs="Arial"/>
                <w:color w:val="002060"/>
                <w:sz w:val="16"/>
                <w:szCs w:val="16"/>
              </w:rPr>
            </w:pPr>
            <w:r w:rsidRPr="002655A7">
              <w:rPr>
                <w:rFonts w:ascii="Arial" w:hAnsi="Arial" w:cs="Arial"/>
                <w:color w:val="002060"/>
                <w:sz w:val="16"/>
                <w:szCs w:val="16"/>
              </w:rPr>
              <w:t>Pays arabes : 2,8</w:t>
            </w:r>
          </w:p>
          <w:p w14:paraId="565B5C81" w14:textId="77777777" w:rsidR="00561B47" w:rsidRPr="002655A7" w:rsidRDefault="00561B47" w:rsidP="00D544B8">
            <w:pPr>
              <w:pStyle w:val="ListParagraph"/>
              <w:numPr>
                <w:ilvl w:val="0"/>
                <w:numId w:val="17"/>
              </w:numPr>
              <w:tabs>
                <w:tab w:val="left" w:pos="230"/>
              </w:tabs>
              <w:ind w:left="0" w:firstLine="0"/>
              <w:contextualSpacing w:val="0"/>
              <w:rPr>
                <w:rFonts w:ascii="Arial" w:hAnsi="Arial" w:cs="Arial"/>
                <w:color w:val="002060"/>
                <w:sz w:val="16"/>
                <w:szCs w:val="16"/>
              </w:rPr>
            </w:pPr>
            <w:r w:rsidRPr="002655A7">
              <w:rPr>
                <w:rFonts w:ascii="Arial" w:hAnsi="Arial" w:cs="Arial"/>
                <w:color w:val="002060"/>
                <w:sz w:val="16"/>
                <w:szCs w:val="16"/>
              </w:rPr>
              <w:t>Asie et Pacifique : 2,7</w:t>
            </w:r>
          </w:p>
          <w:p w14:paraId="09F8B707" w14:textId="77777777" w:rsidR="00561B47" w:rsidRPr="002655A7" w:rsidRDefault="00561B47" w:rsidP="00D544B8">
            <w:pPr>
              <w:pStyle w:val="ListParagraph"/>
              <w:numPr>
                <w:ilvl w:val="0"/>
                <w:numId w:val="17"/>
              </w:numPr>
              <w:tabs>
                <w:tab w:val="left" w:pos="230"/>
              </w:tabs>
              <w:ind w:left="0" w:firstLine="0"/>
              <w:contextualSpacing w:val="0"/>
              <w:rPr>
                <w:rFonts w:ascii="Arial" w:hAnsi="Arial" w:cs="Arial"/>
                <w:color w:val="002060"/>
                <w:sz w:val="16"/>
                <w:szCs w:val="16"/>
              </w:rPr>
            </w:pPr>
            <w:r w:rsidRPr="002655A7">
              <w:rPr>
                <w:rFonts w:ascii="Arial" w:hAnsi="Arial" w:cs="Arial"/>
                <w:color w:val="002060"/>
                <w:sz w:val="16"/>
                <w:szCs w:val="16"/>
              </w:rPr>
              <w:t>Amérique latine et Caraïbes : 3</w:t>
            </w:r>
          </w:p>
          <w:p w14:paraId="25924C2E" w14:textId="77777777" w:rsidR="00561B47" w:rsidRPr="00266EB9" w:rsidRDefault="00561B47" w:rsidP="00561B47">
            <w:pPr>
              <w:rPr>
                <w:color w:val="002060"/>
                <w:sz w:val="16"/>
                <w:szCs w:val="16"/>
              </w:rPr>
            </w:pPr>
          </w:p>
          <w:p w14:paraId="788142DF" w14:textId="77777777" w:rsidR="00561B47" w:rsidRPr="00266EB9" w:rsidRDefault="00561B47" w:rsidP="00561B47">
            <w:pPr>
              <w:rPr>
                <w:i/>
                <w:sz w:val="16"/>
                <w:szCs w:val="16"/>
                <w:lang w:bidi="th-TH"/>
              </w:rPr>
            </w:pPr>
            <w:r w:rsidRPr="00266EB9">
              <w:rPr>
                <w:i/>
                <w:sz w:val="16"/>
                <w:szCs w:val="16"/>
                <w:lang w:bidi="th-TH"/>
              </w:rPr>
              <w:t>Niveau de référence initial dans le programme et budget 2016</w:t>
            </w:r>
            <w:r>
              <w:rPr>
                <w:i/>
                <w:sz w:val="16"/>
                <w:szCs w:val="16"/>
                <w:lang w:bidi="th-TH"/>
              </w:rPr>
              <w:noBreakHyphen/>
            </w:r>
            <w:r w:rsidRPr="00266EB9">
              <w:rPr>
                <w:i/>
                <w:sz w:val="16"/>
                <w:szCs w:val="16"/>
                <w:lang w:bidi="th-TH"/>
              </w:rPr>
              <w:t>2017 :</w:t>
            </w:r>
          </w:p>
          <w:p w14:paraId="11EF4DC4" w14:textId="77777777" w:rsidR="00561B47" w:rsidRPr="00266EB9" w:rsidRDefault="00561B47" w:rsidP="00561B47">
            <w:pPr>
              <w:rPr>
                <w:color w:val="000000"/>
                <w:sz w:val="16"/>
                <w:szCs w:val="16"/>
              </w:rPr>
            </w:pPr>
            <w:r w:rsidRPr="00266EB9">
              <w:rPr>
                <w:sz w:val="16"/>
                <w:szCs w:val="16"/>
              </w:rPr>
              <w:t>Niveau de service moyen selon le rapport sur l’exécution du programme en 2014 : 2,9</w:t>
            </w:r>
          </w:p>
        </w:tc>
        <w:tc>
          <w:tcPr>
            <w:tcW w:w="851" w:type="pct"/>
            <w:shd w:val="clear" w:color="auto" w:fill="auto"/>
            <w:tcMar>
              <w:top w:w="57" w:type="dxa"/>
              <w:left w:w="108" w:type="dxa"/>
              <w:right w:w="108" w:type="dxa"/>
            </w:tcMar>
          </w:tcPr>
          <w:p w14:paraId="24870922" w14:textId="77777777" w:rsidR="00561B47" w:rsidRPr="00266EB9" w:rsidRDefault="00561B47" w:rsidP="00561B47">
            <w:pPr>
              <w:rPr>
                <w:sz w:val="16"/>
                <w:szCs w:val="16"/>
              </w:rPr>
            </w:pPr>
            <w:r w:rsidRPr="00266EB9">
              <w:rPr>
                <w:sz w:val="16"/>
                <w:szCs w:val="16"/>
              </w:rPr>
              <w:t>Moyenne de 3,0 (à la fin de 2017)</w:t>
            </w:r>
          </w:p>
        </w:tc>
        <w:tc>
          <w:tcPr>
            <w:tcW w:w="1212" w:type="pct"/>
            <w:shd w:val="clear" w:color="auto" w:fill="FFFFFF"/>
            <w:tcMar>
              <w:top w:w="57" w:type="dxa"/>
              <w:left w:w="108" w:type="dxa"/>
              <w:right w:w="108" w:type="dxa"/>
            </w:tcMar>
          </w:tcPr>
          <w:p w14:paraId="6B762847" w14:textId="77777777" w:rsidR="00561B47" w:rsidRPr="00266EB9" w:rsidRDefault="00561B47" w:rsidP="00561B47">
            <w:pPr>
              <w:keepNext/>
              <w:keepLines/>
              <w:rPr>
                <w:color w:val="000000"/>
                <w:sz w:val="16"/>
                <w:szCs w:val="16"/>
              </w:rPr>
            </w:pPr>
            <w:r w:rsidRPr="00266EB9">
              <w:rPr>
                <w:sz w:val="16"/>
                <w:szCs w:val="16"/>
              </w:rPr>
              <w:t>Moyenne globale : 2,8</w:t>
            </w:r>
          </w:p>
          <w:p w14:paraId="2EF41E36" w14:textId="77777777" w:rsidR="00561B47" w:rsidRPr="00266EB9" w:rsidRDefault="00561B47" w:rsidP="00D544B8">
            <w:pPr>
              <w:keepNext/>
              <w:keepLines/>
              <w:numPr>
                <w:ilvl w:val="0"/>
                <w:numId w:val="18"/>
              </w:numPr>
              <w:tabs>
                <w:tab w:val="left" w:pos="279"/>
              </w:tabs>
              <w:ind w:left="0" w:firstLine="0"/>
              <w:rPr>
                <w:color w:val="000000"/>
                <w:sz w:val="16"/>
                <w:szCs w:val="16"/>
              </w:rPr>
            </w:pPr>
            <w:r w:rsidRPr="00266EB9">
              <w:rPr>
                <w:sz w:val="16"/>
                <w:szCs w:val="16"/>
              </w:rPr>
              <w:t>Afrique :</w:t>
            </w:r>
            <w:r w:rsidRPr="00266EB9">
              <w:rPr>
                <w:color w:val="000000"/>
                <w:sz w:val="16"/>
                <w:szCs w:val="16"/>
              </w:rPr>
              <w:t xml:space="preserve"> </w:t>
            </w:r>
            <w:r w:rsidRPr="00266EB9">
              <w:rPr>
                <w:sz w:val="16"/>
                <w:szCs w:val="16"/>
              </w:rPr>
              <w:t>3</w:t>
            </w:r>
            <w:r w:rsidRPr="00266EB9">
              <w:rPr>
                <w:color w:val="000000"/>
                <w:sz w:val="16"/>
                <w:szCs w:val="16"/>
              </w:rPr>
              <w:t>,</w:t>
            </w:r>
            <w:r w:rsidRPr="00266EB9">
              <w:rPr>
                <w:sz w:val="16"/>
                <w:szCs w:val="16"/>
              </w:rPr>
              <w:t>0</w:t>
            </w:r>
          </w:p>
          <w:p w14:paraId="6637BF2D" w14:textId="77777777" w:rsidR="00561B47" w:rsidRPr="00266EB9" w:rsidRDefault="00561B47" w:rsidP="00D544B8">
            <w:pPr>
              <w:keepNext/>
              <w:keepLines/>
              <w:numPr>
                <w:ilvl w:val="0"/>
                <w:numId w:val="18"/>
              </w:numPr>
              <w:tabs>
                <w:tab w:val="left" w:pos="279"/>
              </w:tabs>
              <w:ind w:left="0" w:firstLine="0"/>
              <w:rPr>
                <w:color w:val="000000"/>
                <w:sz w:val="16"/>
                <w:szCs w:val="16"/>
              </w:rPr>
            </w:pPr>
            <w:r w:rsidRPr="00266EB9">
              <w:rPr>
                <w:sz w:val="16"/>
                <w:szCs w:val="16"/>
              </w:rPr>
              <w:t>Pays arabes :</w:t>
            </w:r>
            <w:r w:rsidRPr="00266EB9">
              <w:rPr>
                <w:color w:val="000000"/>
                <w:sz w:val="16"/>
                <w:szCs w:val="16"/>
              </w:rPr>
              <w:t xml:space="preserve"> </w:t>
            </w:r>
            <w:r w:rsidRPr="00266EB9">
              <w:rPr>
                <w:sz w:val="16"/>
                <w:szCs w:val="16"/>
              </w:rPr>
              <w:t>2</w:t>
            </w:r>
            <w:r w:rsidRPr="00266EB9">
              <w:rPr>
                <w:color w:val="000000"/>
                <w:sz w:val="16"/>
                <w:szCs w:val="16"/>
              </w:rPr>
              <w:t>,</w:t>
            </w:r>
            <w:r w:rsidRPr="00266EB9">
              <w:rPr>
                <w:sz w:val="16"/>
                <w:szCs w:val="16"/>
              </w:rPr>
              <w:t>9</w:t>
            </w:r>
          </w:p>
          <w:p w14:paraId="03AE1F15" w14:textId="77777777" w:rsidR="00561B47" w:rsidRPr="00266EB9" w:rsidRDefault="00561B47" w:rsidP="00D544B8">
            <w:pPr>
              <w:keepNext/>
              <w:keepLines/>
              <w:numPr>
                <w:ilvl w:val="0"/>
                <w:numId w:val="18"/>
              </w:numPr>
              <w:tabs>
                <w:tab w:val="left" w:pos="279"/>
              </w:tabs>
              <w:ind w:left="0" w:firstLine="0"/>
              <w:rPr>
                <w:color w:val="000000"/>
                <w:sz w:val="16"/>
                <w:szCs w:val="16"/>
              </w:rPr>
            </w:pPr>
            <w:r w:rsidRPr="00266EB9">
              <w:rPr>
                <w:sz w:val="16"/>
                <w:szCs w:val="16"/>
              </w:rPr>
              <w:t>Asie et Pacifique</w:t>
            </w:r>
            <w:r w:rsidRPr="00266EB9">
              <w:rPr>
                <w:color w:val="000000"/>
                <w:sz w:val="16"/>
                <w:szCs w:val="16"/>
              </w:rPr>
              <w:t xml:space="preserve"> : </w:t>
            </w:r>
            <w:r w:rsidRPr="00266EB9">
              <w:rPr>
                <w:sz w:val="16"/>
                <w:szCs w:val="16"/>
              </w:rPr>
              <w:t>3</w:t>
            </w:r>
            <w:r w:rsidRPr="00266EB9">
              <w:rPr>
                <w:color w:val="000000"/>
                <w:sz w:val="16"/>
                <w:szCs w:val="16"/>
              </w:rPr>
              <w:t>,</w:t>
            </w:r>
            <w:r w:rsidRPr="00266EB9">
              <w:rPr>
                <w:sz w:val="16"/>
                <w:szCs w:val="16"/>
              </w:rPr>
              <w:t>4</w:t>
            </w:r>
          </w:p>
          <w:p w14:paraId="49EB1429" w14:textId="77777777" w:rsidR="00561B47" w:rsidRPr="00266EB9" w:rsidRDefault="00561B47" w:rsidP="00D544B8">
            <w:pPr>
              <w:keepNext/>
              <w:keepLines/>
              <w:numPr>
                <w:ilvl w:val="0"/>
                <w:numId w:val="18"/>
              </w:numPr>
              <w:tabs>
                <w:tab w:val="left" w:pos="279"/>
              </w:tabs>
              <w:ind w:left="0" w:firstLine="0"/>
              <w:rPr>
                <w:color w:val="000000"/>
                <w:sz w:val="16"/>
                <w:szCs w:val="16"/>
              </w:rPr>
            </w:pPr>
            <w:r w:rsidRPr="00266EB9">
              <w:rPr>
                <w:sz w:val="16"/>
                <w:szCs w:val="16"/>
              </w:rPr>
              <w:t>Amérique latine et Caraïbes</w:t>
            </w:r>
            <w:r w:rsidRPr="00266EB9">
              <w:rPr>
                <w:color w:val="000000"/>
                <w:sz w:val="16"/>
                <w:szCs w:val="16"/>
              </w:rPr>
              <w:t xml:space="preserve"> : </w:t>
            </w:r>
            <w:r w:rsidRPr="00266EB9">
              <w:rPr>
                <w:sz w:val="16"/>
                <w:szCs w:val="16"/>
              </w:rPr>
              <w:t>3</w:t>
            </w:r>
            <w:r w:rsidRPr="00266EB9">
              <w:rPr>
                <w:color w:val="000000"/>
                <w:sz w:val="16"/>
                <w:szCs w:val="16"/>
              </w:rPr>
              <w:t>,</w:t>
            </w:r>
            <w:r w:rsidRPr="00266EB9">
              <w:rPr>
                <w:sz w:val="16"/>
                <w:szCs w:val="16"/>
              </w:rPr>
              <w:t>2</w:t>
            </w:r>
          </w:p>
        </w:tc>
        <w:tc>
          <w:tcPr>
            <w:tcW w:w="601" w:type="pct"/>
            <w:shd w:val="clear" w:color="auto" w:fill="auto"/>
            <w:tcMar>
              <w:top w:w="57" w:type="dxa"/>
              <w:left w:w="108" w:type="dxa"/>
              <w:right w:w="108" w:type="dxa"/>
            </w:tcMar>
          </w:tcPr>
          <w:p w14:paraId="5A715730" w14:textId="77777777" w:rsidR="00561B47" w:rsidRPr="00266EB9" w:rsidRDefault="00561B47" w:rsidP="00561B47">
            <w:pPr>
              <w:jc w:val="center"/>
              <w:rPr>
                <w:b/>
                <w:color w:val="000000"/>
                <w:sz w:val="16"/>
                <w:szCs w:val="16"/>
              </w:rPr>
            </w:pPr>
            <w:r w:rsidRPr="00266EB9">
              <w:rPr>
                <w:b/>
                <w:color w:val="FF0000"/>
                <w:sz w:val="16"/>
                <w:szCs w:val="16"/>
              </w:rPr>
              <w:t>Pas en bonne voie</w:t>
            </w:r>
          </w:p>
        </w:tc>
      </w:tr>
    </w:tbl>
    <w:p w14:paraId="0661AAA3" w14:textId="77777777" w:rsidR="00561B47" w:rsidRPr="00266EB9" w:rsidRDefault="00561B47" w:rsidP="00561B47">
      <w:pPr>
        <w:rPr>
          <w:color w:val="000000"/>
          <w:sz w:val="20"/>
        </w:rPr>
      </w:pPr>
    </w:p>
    <w:p w14:paraId="6BDBF0A0" w14:textId="77777777" w:rsidR="00561B47" w:rsidRPr="00266EB9" w:rsidRDefault="00561B47" w:rsidP="00561B47">
      <w:pPr>
        <w:rPr>
          <w:color w:val="000000"/>
          <w:sz w:val="20"/>
        </w:rPr>
      </w:pPr>
    </w:p>
    <w:p w14:paraId="0C9BC64B" w14:textId="77777777" w:rsidR="00CE0AA4" w:rsidRDefault="00CE0AA4">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561B47" w:rsidRPr="00266EB9" w14:paraId="120E2683" w14:textId="77777777" w:rsidTr="00CE0AA4">
        <w:trPr>
          <w:cantSplit/>
        </w:trPr>
        <w:tc>
          <w:tcPr>
            <w:tcW w:w="9287" w:type="dxa"/>
            <w:shd w:val="clear" w:color="auto" w:fill="C6D9F1" w:themeFill="text2" w:themeFillTint="33"/>
            <w:vAlign w:val="center"/>
          </w:tcPr>
          <w:p w14:paraId="6FAB19EA" w14:textId="2E3A45FD" w:rsidR="00561B47" w:rsidRPr="00266EB9" w:rsidRDefault="00561B47" w:rsidP="00561B47">
            <w:pPr>
              <w:keepNext/>
              <w:keepLines/>
              <w:jc w:val="center"/>
              <w:rPr>
                <w:b/>
                <w:color w:val="000000"/>
                <w:sz w:val="20"/>
              </w:rPr>
            </w:pPr>
            <w:r w:rsidRPr="00266EB9">
              <w:rPr>
                <w:sz w:val="20"/>
              </w:rPr>
              <w:lastRenderedPageBreak/>
              <w:br w:type="page"/>
            </w:r>
            <w:r w:rsidRPr="00266EB9">
              <w:rPr>
                <w:b/>
                <w:color w:val="000000"/>
                <w:sz w:val="20"/>
              </w:rPr>
              <w:t>Utilisation des ressources au titre du programme 9</w:t>
            </w:r>
          </w:p>
        </w:tc>
      </w:tr>
    </w:tbl>
    <w:p w14:paraId="43E836D9" w14:textId="77777777" w:rsidR="00561B47" w:rsidRPr="00266EB9" w:rsidRDefault="00561B47" w:rsidP="00561B47">
      <w:pPr>
        <w:rPr>
          <w:sz w:val="20"/>
        </w:rPr>
      </w:pPr>
    </w:p>
    <w:p w14:paraId="3E8CF2B5" w14:textId="77777777" w:rsidR="00561B47" w:rsidRPr="00266EB9" w:rsidRDefault="00561B47" w:rsidP="00561B47">
      <w:pPr>
        <w:pStyle w:val="NormalWeb"/>
        <w:keepNext/>
        <w:keepLines/>
        <w:spacing w:before="0" w:beforeAutospacing="0" w:after="0" w:afterAutospacing="0"/>
        <w:jc w:val="center"/>
      </w:pPr>
      <w:r w:rsidRPr="00266EB9">
        <w:rPr>
          <w:color w:val="000000"/>
        </w:rPr>
        <w:t>Budget et dépenses effectives (par résultat)</w:t>
      </w:r>
    </w:p>
    <w:p w14:paraId="4047D55B" w14:textId="77777777" w:rsidR="00561B47" w:rsidRPr="00266EB9" w:rsidRDefault="00561B47" w:rsidP="00561B47">
      <w:pPr>
        <w:pStyle w:val="NormalWeb"/>
        <w:keepNext/>
        <w:keepLines/>
        <w:spacing w:before="0" w:beforeAutospacing="0" w:after="0" w:afterAutospacing="0"/>
        <w:jc w:val="center"/>
      </w:pPr>
      <w:r w:rsidRPr="00266EB9">
        <w:rPr>
          <w:i/>
          <w:iCs/>
          <w:color w:val="000000"/>
          <w:sz w:val="16"/>
          <w:szCs w:val="16"/>
        </w:rPr>
        <w:t>(en milliers de francs suisses)</w:t>
      </w:r>
    </w:p>
    <w:p w14:paraId="1ED0E877" w14:textId="77777777" w:rsidR="00561B47" w:rsidRPr="00266EB9" w:rsidRDefault="00561B47" w:rsidP="00561B47">
      <w:pPr>
        <w:rPr>
          <w:sz w:val="20"/>
        </w:rPr>
      </w:pPr>
    </w:p>
    <w:tbl>
      <w:tblPr>
        <w:tblW w:w="4300" w:type="pct"/>
        <w:jc w:val="center"/>
        <w:tblCellMar>
          <w:top w:w="57" w:type="dxa"/>
          <w:bottom w:w="57" w:type="dxa"/>
        </w:tblCellMar>
        <w:tblLook w:val="04A0" w:firstRow="1" w:lastRow="0" w:firstColumn="1" w:lastColumn="0" w:noHBand="0" w:noVBand="1"/>
      </w:tblPr>
      <w:tblGrid>
        <w:gridCol w:w="501"/>
        <w:gridCol w:w="4248"/>
        <w:gridCol w:w="1161"/>
        <w:gridCol w:w="1160"/>
        <w:gridCol w:w="1174"/>
      </w:tblGrid>
      <w:tr w:rsidR="00561B47" w:rsidRPr="00266EB9" w14:paraId="605524BE" w14:textId="77777777" w:rsidTr="00561B47">
        <w:trPr>
          <w:cantSplit/>
          <w:jc w:val="center"/>
        </w:trPr>
        <w:tc>
          <w:tcPr>
            <w:tcW w:w="4727" w:type="dxa"/>
            <w:gridSpan w:val="2"/>
            <w:tcBorders>
              <w:top w:val="nil"/>
              <w:left w:val="nil"/>
              <w:bottom w:val="nil"/>
              <w:right w:val="nil"/>
            </w:tcBorders>
            <w:shd w:val="clear" w:color="000000" w:fill="C5D9F1"/>
            <w:noWrap/>
            <w:vAlign w:val="center"/>
            <w:hideMark/>
          </w:tcPr>
          <w:p w14:paraId="4F72DFFE" w14:textId="77777777" w:rsidR="00561B47" w:rsidRPr="00266EB9" w:rsidRDefault="00561B47" w:rsidP="00561B47">
            <w:pPr>
              <w:jc w:val="center"/>
              <w:rPr>
                <w:b/>
                <w:bCs/>
                <w:sz w:val="16"/>
                <w:szCs w:val="16"/>
              </w:rPr>
            </w:pPr>
            <w:r w:rsidRPr="00266EB9">
              <w:rPr>
                <w:b/>
                <w:bCs/>
                <w:sz w:val="16"/>
                <w:szCs w:val="16"/>
              </w:rPr>
              <w:t>Numéro et description du résultat escompté</w:t>
            </w:r>
          </w:p>
        </w:tc>
        <w:tc>
          <w:tcPr>
            <w:tcW w:w="1161" w:type="dxa"/>
            <w:tcBorders>
              <w:top w:val="nil"/>
              <w:left w:val="nil"/>
              <w:bottom w:val="nil"/>
              <w:right w:val="nil"/>
            </w:tcBorders>
            <w:shd w:val="clear" w:color="000000" w:fill="C5D9F1"/>
            <w:vAlign w:val="center"/>
            <w:hideMark/>
          </w:tcPr>
          <w:p w14:paraId="0507E70C" w14:textId="77777777" w:rsidR="00561B47" w:rsidRPr="00266EB9" w:rsidRDefault="00561B47" w:rsidP="00561B47">
            <w:pPr>
              <w:jc w:val="center"/>
              <w:rPr>
                <w:b/>
                <w:bCs/>
                <w:sz w:val="16"/>
                <w:szCs w:val="16"/>
              </w:rPr>
            </w:pPr>
            <w:r w:rsidRPr="00266EB9">
              <w:rPr>
                <w:b/>
                <w:bCs/>
                <w:sz w:val="16"/>
                <w:szCs w:val="16"/>
              </w:rPr>
              <w:t>Budget 2016</w:t>
            </w:r>
            <w:r>
              <w:rPr>
                <w:b/>
                <w:bCs/>
                <w:sz w:val="16"/>
                <w:szCs w:val="16"/>
              </w:rPr>
              <w:noBreakHyphen/>
            </w:r>
            <w:r w:rsidRPr="00266EB9">
              <w:rPr>
                <w:b/>
                <w:bCs/>
                <w:sz w:val="16"/>
                <w:szCs w:val="16"/>
              </w:rPr>
              <w:t>2017 approuvé</w:t>
            </w:r>
          </w:p>
        </w:tc>
        <w:tc>
          <w:tcPr>
            <w:tcW w:w="1160" w:type="dxa"/>
            <w:tcBorders>
              <w:top w:val="nil"/>
              <w:left w:val="nil"/>
              <w:bottom w:val="nil"/>
              <w:right w:val="nil"/>
            </w:tcBorders>
            <w:shd w:val="clear" w:color="000000" w:fill="C5D9F1"/>
            <w:vAlign w:val="center"/>
            <w:hideMark/>
          </w:tcPr>
          <w:p w14:paraId="1B376DAF" w14:textId="77777777" w:rsidR="00561B47" w:rsidRPr="00266EB9" w:rsidRDefault="00561B47" w:rsidP="00561B47">
            <w:pPr>
              <w:jc w:val="center"/>
              <w:rPr>
                <w:b/>
                <w:bCs/>
                <w:sz w:val="16"/>
                <w:szCs w:val="16"/>
              </w:rPr>
            </w:pPr>
            <w:r w:rsidRPr="00266EB9">
              <w:rPr>
                <w:b/>
                <w:bCs/>
                <w:sz w:val="16"/>
                <w:szCs w:val="16"/>
              </w:rPr>
              <w:t>Budget 2016</w:t>
            </w:r>
            <w:r>
              <w:rPr>
                <w:b/>
                <w:bCs/>
                <w:sz w:val="16"/>
                <w:szCs w:val="16"/>
              </w:rPr>
              <w:noBreakHyphen/>
            </w:r>
            <w:r w:rsidRPr="00266EB9">
              <w:rPr>
                <w:b/>
                <w:bCs/>
                <w:sz w:val="16"/>
                <w:szCs w:val="16"/>
              </w:rPr>
              <w:t>2017 après virements</w:t>
            </w:r>
          </w:p>
        </w:tc>
        <w:tc>
          <w:tcPr>
            <w:tcW w:w="1174" w:type="dxa"/>
            <w:tcBorders>
              <w:top w:val="nil"/>
              <w:left w:val="nil"/>
              <w:bottom w:val="nil"/>
              <w:right w:val="nil"/>
            </w:tcBorders>
            <w:shd w:val="clear" w:color="000000" w:fill="C5D9F1"/>
            <w:vAlign w:val="center"/>
            <w:hideMark/>
          </w:tcPr>
          <w:p w14:paraId="3877A080" w14:textId="77777777" w:rsidR="00561B47" w:rsidRPr="00266EB9" w:rsidRDefault="00561B47" w:rsidP="00561B47">
            <w:pPr>
              <w:jc w:val="center"/>
              <w:rPr>
                <w:b/>
                <w:bCs/>
                <w:sz w:val="16"/>
                <w:szCs w:val="16"/>
              </w:rPr>
            </w:pPr>
            <w:r w:rsidRPr="00266EB9">
              <w:rPr>
                <w:b/>
                <w:bCs/>
                <w:sz w:val="16"/>
                <w:szCs w:val="16"/>
              </w:rPr>
              <w:t>Dépenses 2016*</w:t>
            </w:r>
          </w:p>
        </w:tc>
      </w:tr>
      <w:tr w:rsidR="00561B47" w:rsidRPr="00266EB9" w14:paraId="7A3C8132" w14:textId="77777777" w:rsidTr="00561B47">
        <w:trPr>
          <w:cantSplit/>
          <w:jc w:val="center"/>
        </w:trPr>
        <w:tc>
          <w:tcPr>
            <w:tcW w:w="479" w:type="dxa"/>
            <w:tcBorders>
              <w:top w:val="nil"/>
              <w:left w:val="nil"/>
              <w:bottom w:val="nil"/>
              <w:right w:val="nil"/>
            </w:tcBorders>
            <w:shd w:val="clear" w:color="auto" w:fill="auto"/>
            <w:noWrap/>
            <w:vAlign w:val="center"/>
            <w:hideMark/>
          </w:tcPr>
          <w:p w14:paraId="3D6F697C" w14:textId="77777777" w:rsidR="00561B47" w:rsidRPr="00266EB9" w:rsidRDefault="00561B47" w:rsidP="00561B47">
            <w:pPr>
              <w:rPr>
                <w:sz w:val="16"/>
                <w:szCs w:val="16"/>
              </w:rPr>
            </w:pPr>
            <w:r w:rsidRPr="00266EB9">
              <w:rPr>
                <w:sz w:val="16"/>
                <w:szCs w:val="16"/>
              </w:rPr>
              <w:t>I.2</w:t>
            </w:r>
          </w:p>
        </w:tc>
        <w:tc>
          <w:tcPr>
            <w:tcW w:w="4248" w:type="dxa"/>
            <w:tcBorders>
              <w:top w:val="nil"/>
              <w:left w:val="nil"/>
              <w:bottom w:val="nil"/>
              <w:right w:val="nil"/>
            </w:tcBorders>
            <w:shd w:val="clear" w:color="auto" w:fill="auto"/>
            <w:vAlign w:val="center"/>
            <w:hideMark/>
          </w:tcPr>
          <w:p w14:paraId="762E996D" w14:textId="77777777" w:rsidR="00561B47" w:rsidRPr="00266EB9" w:rsidRDefault="00561B47" w:rsidP="00561B47">
            <w:pPr>
              <w:rPr>
                <w:sz w:val="16"/>
                <w:szCs w:val="16"/>
              </w:rPr>
            </w:pPr>
            <w:r w:rsidRPr="00266EB9">
              <w:rPr>
                <w:sz w:val="16"/>
                <w:szCs w:val="16"/>
              </w:rPr>
              <w:t>Cadres législatifs, réglementaires et politiques adaptés et équilibrés en matière de propriété intellectuelle</w:t>
            </w:r>
          </w:p>
        </w:tc>
        <w:tc>
          <w:tcPr>
            <w:tcW w:w="1161" w:type="dxa"/>
            <w:tcBorders>
              <w:top w:val="nil"/>
              <w:left w:val="nil"/>
              <w:bottom w:val="nil"/>
              <w:right w:val="nil"/>
            </w:tcBorders>
            <w:shd w:val="clear" w:color="auto" w:fill="auto"/>
            <w:noWrap/>
            <w:vAlign w:val="center"/>
            <w:hideMark/>
          </w:tcPr>
          <w:p w14:paraId="74C0F390" w14:textId="77777777" w:rsidR="00561B47" w:rsidRPr="00266EB9" w:rsidRDefault="00561B47" w:rsidP="00561B47">
            <w:pPr>
              <w:jc w:val="center"/>
              <w:rPr>
                <w:sz w:val="16"/>
                <w:szCs w:val="16"/>
              </w:rPr>
            </w:pPr>
            <w:r w:rsidRPr="00266EB9">
              <w:rPr>
                <w:sz w:val="16"/>
                <w:szCs w:val="16"/>
              </w:rPr>
              <w:t>792</w:t>
            </w:r>
          </w:p>
        </w:tc>
        <w:tc>
          <w:tcPr>
            <w:tcW w:w="1160" w:type="dxa"/>
            <w:tcBorders>
              <w:top w:val="nil"/>
              <w:left w:val="nil"/>
              <w:bottom w:val="nil"/>
              <w:right w:val="nil"/>
            </w:tcBorders>
            <w:shd w:val="clear" w:color="auto" w:fill="auto"/>
            <w:noWrap/>
            <w:vAlign w:val="center"/>
            <w:hideMark/>
          </w:tcPr>
          <w:p w14:paraId="294CDD04" w14:textId="77777777" w:rsidR="00561B47" w:rsidRPr="00266EB9" w:rsidRDefault="00561B47" w:rsidP="00561B47">
            <w:pPr>
              <w:jc w:val="center"/>
              <w:rPr>
                <w:sz w:val="16"/>
                <w:szCs w:val="16"/>
              </w:rPr>
            </w:pPr>
            <w:r w:rsidRPr="00266EB9">
              <w:rPr>
                <w:sz w:val="16"/>
                <w:szCs w:val="16"/>
              </w:rPr>
              <w:t>604</w:t>
            </w:r>
          </w:p>
        </w:tc>
        <w:tc>
          <w:tcPr>
            <w:tcW w:w="1174" w:type="dxa"/>
            <w:tcBorders>
              <w:top w:val="nil"/>
              <w:left w:val="nil"/>
              <w:bottom w:val="nil"/>
              <w:right w:val="nil"/>
            </w:tcBorders>
            <w:shd w:val="clear" w:color="auto" w:fill="auto"/>
            <w:noWrap/>
            <w:vAlign w:val="center"/>
            <w:hideMark/>
          </w:tcPr>
          <w:p w14:paraId="04C7A61E" w14:textId="77777777" w:rsidR="00561B47" w:rsidRPr="00266EB9" w:rsidRDefault="00561B47" w:rsidP="00561B47">
            <w:pPr>
              <w:jc w:val="center"/>
              <w:rPr>
                <w:sz w:val="16"/>
                <w:szCs w:val="16"/>
              </w:rPr>
            </w:pPr>
            <w:r w:rsidRPr="00266EB9">
              <w:rPr>
                <w:sz w:val="16"/>
                <w:szCs w:val="16"/>
              </w:rPr>
              <w:t>265</w:t>
            </w:r>
          </w:p>
        </w:tc>
      </w:tr>
      <w:tr w:rsidR="00561B47" w:rsidRPr="00266EB9" w14:paraId="49BAFAE4" w14:textId="77777777" w:rsidTr="00561B47">
        <w:trPr>
          <w:cantSplit/>
          <w:jc w:val="center"/>
        </w:trPr>
        <w:tc>
          <w:tcPr>
            <w:tcW w:w="479" w:type="dxa"/>
            <w:tcBorders>
              <w:top w:val="nil"/>
              <w:left w:val="nil"/>
              <w:bottom w:val="nil"/>
              <w:right w:val="nil"/>
            </w:tcBorders>
            <w:shd w:val="clear" w:color="auto" w:fill="auto"/>
            <w:noWrap/>
            <w:vAlign w:val="center"/>
            <w:hideMark/>
          </w:tcPr>
          <w:p w14:paraId="7E35531F" w14:textId="77777777" w:rsidR="00561B47" w:rsidRPr="00266EB9" w:rsidRDefault="00561B47" w:rsidP="00561B47">
            <w:pPr>
              <w:rPr>
                <w:sz w:val="16"/>
                <w:szCs w:val="16"/>
              </w:rPr>
            </w:pPr>
            <w:r w:rsidRPr="00266EB9">
              <w:rPr>
                <w:sz w:val="16"/>
                <w:szCs w:val="16"/>
              </w:rPr>
              <w:t>III.1</w:t>
            </w:r>
          </w:p>
        </w:tc>
        <w:tc>
          <w:tcPr>
            <w:tcW w:w="4248" w:type="dxa"/>
            <w:tcBorders>
              <w:top w:val="nil"/>
              <w:left w:val="nil"/>
              <w:bottom w:val="nil"/>
              <w:right w:val="nil"/>
            </w:tcBorders>
            <w:shd w:val="clear" w:color="auto" w:fill="auto"/>
            <w:vAlign w:val="center"/>
            <w:hideMark/>
          </w:tcPr>
          <w:p w14:paraId="5EC2C51F" w14:textId="77777777" w:rsidR="00561B47" w:rsidRPr="00266EB9" w:rsidRDefault="00561B47" w:rsidP="00561B47">
            <w:pPr>
              <w:rPr>
                <w:sz w:val="16"/>
                <w:szCs w:val="16"/>
              </w:rPr>
            </w:pPr>
            <w:r w:rsidRPr="00266EB9">
              <w:rPr>
                <w:sz w:val="16"/>
                <w:szCs w:val="16"/>
              </w:rPr>
              <w:t>Stratégies et plans nationaux en matière d’innovation et de propriété intellectuelle conformes aux objectifs de développement national</w:t>
            </w:r>
          </w:p>
        </w:tc>
        <w:tc>
          <w:tcPr>
            <w:tcW w:w="1161" w:type="dxa"/>
            <w:tcBorders>
              <w:top w:val="nil"/>
              <w:left w:val="nil"/>
              <w:bottom w:val="nil"/>
              <w:right w:val="nil"/>
            </w:tcBorders>
            <w:shd w:val="clear" w:color="auto" w:fill="auto"/>
            <w:noWrap/>
            <w:vAlign w:val="center"/>
            <w:hideMark/>
          </w:tcPr>
          <w:p w14:paraId="71110FA6" w14:textId="77777777" w:rsidR="00561B47" w:rsidRPr="00266EB9" w:rsidRDefault="00561B47" w:rsidP="00561B47">
            <w:pPr>
              <w:jc w:val="center"/>
              <w:rPr>
                <w:sz w:val="16"/>
                <w:szCs w:val="16"/>
              </w:rPr>
            </w:pPr>
            <w:r w:rsidRPr="00266EB9">
              <w:rPr>
                <w:sz w:val="16"/>
                <w:szCs w:val="16"/>
              </w:rPr>
              <w:t>8 440</w:t>
            </w:r>
          </w:p>
        </w:tc>
        <w:tc>
          <w:tcPr>
            <w:tcW w:w="1160" w:type="dxa"/>
            <w:tcBorders>
              <w:top w:val="nil"/>
              <w:left w:val="nil"/>
              <w:bottom w:val="nil"/>
              <w:right w:val="nil"/>
            </w:tcBorders>
            <w:shd w:val="clear" w:color="auto" w:fill="auto"/>
            <w:noWrap/>
            <w:vAlign w:val="center"/>
            <w:hideMark/>
          </w:tcPr>
          <w:p w14:paraId="369247E5" w14:textId="77777777" w:rsidR="00561B47" w:rsidRPr="00266EB9" w:rsidRDefault="00561B47" w:rsidP="00561B47">
            <w:pPr>
              <w:jc w:val="center"/>
              <w:rPr>
                <w:sz w:val="16"/>
                <w:szCs w:val="16"/>
              </w:rPr>
            </w:pPr>
            <w:r w:rsidRPr="00266EB9">
              <w:rPr>
                <w:sz w:val="16"/>
                <w:szCs w:val="16"/>
              </w:rPr>
              <w:t>8 992</w:t>
            </w:r>
          </w:p>
        </w:tc>
        <w:tc>
          <w:tcPr>
            <w:tcW w:w="1174" w:type="dxa"/>
            <w:tcBorders>
              <w:top w:val="nil"/>
              <w:left w:val="nil"/>
              <w:bottom w:val="nil"/>
              <w:right w:val="nil"/>
            </w:tcBorders>
            <w:shd w:val="clear" w:color="auto" w:fill="auto"/>
            <w:noWrap/>
            <w:vAlign w:val="center"/>
            <w:hideMark/>
          </w:tcPr>
          <w:p w14:paraId="24DCE7F2" w14:textId="77777777" w:rsidR="00561B47" w:rsidRPr="00266EB9" w:rsidRDefault="00561B47" w:rsidP="00561B47">
            <w:pPr>
              <w:jc w:val="center"/>
              <w:rPr>
                <w:sz w:val="16"/>
                <w:szCs w:val="16"/>
              </w:rPr>
            </w:pPr>
            <w:r w:rsidRPr="00266EB9">
              <w:rPr>
                <w:sz w:val="16"/>
                <w:szCs w:val="16"/>
              </w:rPr>
              <w:t>4 065</w:t>
            </w:r>
          </w:p>
        </w:tc>
      </w:tr>
      <w:tr w:rsidR="00561B47" w:rsidRPr="00266EB9" w14:paraId="2AC04069" w14:textId="77777777" w:rsidTr="00561B47">
        <w:trPr>
          <w:cantSplit/>
          <w:jc w:val="center"/>
        </w:trPr>
        <w:tc>
          <w:tcPr>
            <w:tcW w:w="479" w:type="dxa"/>
            <w:tcBorders>
              <w:top w:val="nil"/>
              <w:left w:val="nil"/>
              <w:bottom w:val="nil"/>
              <w:right w:val="nil"/>
            </w:tcBorders>
            <w:shd w:val="clear" w:color="auto" w:fill="auto"/>
            <w:noWrap/>
            <w:vAlign w:val="center"/>
            <w:hideMark/>
          </w:tcPr>
          <w:p w14:paraId="2537DDB6" w14:textId="77777777" w:rsidR="00561B47" w:rsidRPr="00266EB9" w:rsidRDefault="00561B47" w:rsidP="00561B47">
            <w:pPr>
              <w:rPr>
                <w:sz w:val="16"/>
                <w:szCs w:val="16"/>
              </w:rPr>
            </w:pPr>
            <w:r w:rsidRPr="00266EB9">
              <w:rPr>
                <w:sz w:val="16"/>
                <w:szCs w:val="16"/>
              </w:rPr>
              <w:t>III.2</w:t>
            </w:r>
          </w:p>
        </w:tc>
        <w:tc>
          <w:tcPr>
            <w:tcW w:w="4248" w:type="dxa"/>
            <w:tcBorders>
              <w:top w:val="nil"/>
              <w:left w:val="nil"/>
              <w:bottom w:val="nil"/>
              <w:right w:val="nil"/>
            </w:tcBorders>
            <w:shd w:val="clear" w:color="auto" w:fill="auto"/>
            <w:vAlign w:val="center"/>
            <w:hideMark/>
          </w:tcPr>
          <w:p w14:paraId="6B4163A2" w14:textId="77777777" w:rsidR="00561B47" w:rsidRPr="00266EB9" w:rsidRDefault="00561B47" w:rsidP="00561B47">
            <w:pPr>
              <w:rPr>
                <w:sz w:val="16"/>
                <w:szCs w:val="16"/>
              </w:rPr>
            </w:pPr>
            <w:r w:rsidRPr="00266EB9">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161" w:type="dxa"/>
            <w:tcBorders>
              <w:top w:val="nil"/>
              <w:left w:val="nil"/>
              <w:bottom w:val="nil"/>
              <w:right w:val="nil"/>
            </w:tcBorders>
            <w:shd w:val="clear" w:color="auto" w:fill="auto"/>
            <w:noWrap/>
            <w:vAlign w:val="center"/>
            <w:hideMark/>
          </w:tcPr>
          <w:p w14:paraId="469839DC" w14:textId="77777777" w:rsidR="00561B47" w:rsidRPr="00266EB9" w:rsidRDefault="00561B47" w:rsidP="00561B47">
            <w:pPr>
              <w:jc w:val="center"/>
              <w:rPr>
                <w:sz w:val="16"/>
                <w:szCs w:val="16"/>
              </w:rPr>
            </w:pPr>
            <w:r w:rsidRPr="00266EB9">
              <w:rPr>
                <w:sz w:val="16"/>
                <w:szCs w:val="16"/>
              </w:rPr>
              <w:t>11 174</w:t>
            </w:r>
          </w:p>
        </w:tc>
        <w:tc>
          <w:tcPr>
            <w:tcW w:w="1160" w:type="dxa"/>
            <w:tcBorders>
              <w:top w:val="nil"/>
              <w:left w:val="nil"/>
              <w:bottom w:val="nil"/>
              <w:right w:val="nil"/>
            </w:tcBorders>
            <w:shd w:val="clear" w:color="auto" w:fill="auto"/>
            <w:noWrap/>
            <w:vAlign w:val="center"/>
            <w:hideMark/>
          </w:tcPr>
          <w:p w14:paraId="58F07813" w14:textId="77777777" w:rsidR="00561B47" w:rsidRPr="00266EB9" w:rsidRDefault="00561B47" w:rsidP="00561B47">
            <w:pPr>
              <w:jc w:val="center"/>
              <w:rPr>
                <w:sz w:val="16"/>
                <w:szCs w:val="16"/>
              </w:rPr>
            </w:pPr>
            <w:r w:rsidRPr="00266EB9">
              <w:rPr>
                <w:sz w:val="16"/>
                <w:szCs w:val="16"/>
              </w:rPr>
              <w:t>9 855</w:t>
            </w:r>
          </w:p>
        </w:tc>
        <w:tc>
          <w:tcPr>
            <w:tcW w:w="1174" w:type="dxa"/>
            <w:tcBorders>
              <w:top w:val="nil"/>
              <w:left w:val="nil"/>
              <w:bottom w:val="nil"/>
              <w:right w:val="nil"/>
            </w:tcBorders>
            <w:shd w:val="clear" w:color="auto" w:fill="auto"/>
            <w:noWrap/>
            <w:vAlign w:val="center"/>
            <w:hideMark/>
          </w:tcPr>
          <w:p w14:paraId="1C3B51DD" w14:textId="77777777" w:rsidR="00561B47" w:rsidRPr="00266EB9" w:rsidRDefault="00561B47" w:rsidP="00561B47">
            <w:pPr>
              <w:jc w:val="center"/>
              <w:rPr>
                <w:sz w:val="16"/>
                <w:szCs w:val="16"/>
              </w:rPr>
            </w:pPr>
            <w:r w:rsidRPr="00266EB9">
              <w:rPr>
                <w:sz w:val="16"/>
                <w:szCs w:val="16"/>
              </w:rPr>
              <w:t>4 574</w:t>
            </w:r>
          </w:p>
        </w:tc>
      </w:tr>
      <w:tr w:rsidR="00561B47" w:rsidRPr="00266EB9" w14:paraId="1EAF1CB0" w14:textId="77777777" w:rsidTr="00561B47">
        <w:trPr>
          <w:cantSplit/>
          <w:jc w:val="center"/>
        </w:trPr>
        <w:tc>
          <w:tcPr>
            <w:tcW w:w="479" w:type="dxa"/>
            <w:tcBorders>
              <w:top w:val="nil"/>
              <w:left w:val="nil"/>
              <w:bottom w:val="nil"/>
              <w:right w:val="nil"/>
            </w:tcBorders>
            <w:shd w:val="clear" w:color="auto" w:fill="auto"/>
            <w:noWrap/>
            <w:vAlign w:val="center"/>
            <w:hideMark/>
          </w:tcPr>
          <w:p w14:paraId="2C73CDAB" w14:textId="77777777" w:rsidR="00561B47" w:rsidRPr="00266EB9" w:rsidRDefault="00561B47" w:rsidP="00561B47">
            <w:pPr>
              <w:rPr>
                <w:sz w:val="16"/>
                <w:szCs w:val="16"/>
              </w:rPr>
            </w:pPr>
            <w:r w:rsidRPr="00266EB9">
              <w:rPr>
                <w:sz w:val="16"/>
                <w:szCs w:val="16"/>
              </w:rPr>
              <w:t>III.3</w:t>
            </w:r>
          </w:p>
        </w:tc>
        <w:tc>
          <w:tcPr>
            <w:tcW w:w="4248" w:type="dxa"/>
            <w:tcBorders>
              <w:top w:val="nil"/>
              <w:left w:val="nil"/>
              <w:bottom w:val="nil"/>
              <w:right w:val="nil"/>
            </w:tcBorders>
            <w:shd w:val="clear" w:color="auto" w:fill="auto"/>
            <w:vAlign w:val="center"/>
            <w:hideMark/>
          </w:tcPr>
          <w:p w14:paraId="71A5E492" w14:textId="77777777" w:rsidR="00561B47" w:rsidRPr="00266EB9" w:rsidRDefault="00561B47" w:rsidP="00561B47">
            <w:pPr>
              <w:rPr>
                <w:sz w:val="16"/>
                <w:szCs w:val="16"/>
              </w:rPr>
            </w:pPr>
            <w:r w:rsidRPr="00266EB9">
              <w:rPr>
                <w:sz w:val="16"/>
                <w:szCs w:val="16"/>
              </w:rPr>
              <w:t>Intégration des recommandations du Plan d’action pour le développement dans les travaux de l’OMPI</w:t>
            </w:r>
          </w:p>
        </w:tc>
        <w:tc>
          <w:tcPr>
            <w:tcW w:w="1161" w:type="dxa"/>
            <w:tcBorders>
              <w:top w:val="nil"/>
              <w:left w:val="nil"/>
              <w:bottom w:val="nil"/>
              <w:right w:val="nil"/>
            </w:tcBorders>
            <w:shd w:val="clear" w:color="auto" w:fill="auto"/>
            <w:noWrap/>
            <w:vAlign w:val="center"/>
            <w:hideMark/>
          </w:tcPr>
          <w:p w14:paraId="043EB1E0" w14:textId="77777777" w:rsidR="00561B47" w:rsidRPr="00266EB9" w:rsidRDefault="00561B47" w:rsidP="00561B47">
            <w:pPr>
              <w:jc w:val="center"/>
              <w:rPr>
                <w:sz w:val="16"/>
                <w:szCs w:val="16"/>
              </w:rPr>
            </w:pPr>
            <w:r w:rsidRPr="00266EB9">
              <w:rPr>
                <w:sz w:val="16"/>
                <w:szCs w:val="16"/>
              </w:rPr>
              <w:t>214</w:t>
            </w:r>
          </w:p>
        </w:tc>
        <w:tc>
          <w:tcPr>
            <w:tcW w:w="1160" w:type="dxa"/>
            <w:tcBorders>
              <w:top w:val="nil"/>
              <w:left w:val="nil"/>
              <w:bottom w:val="nil"/>
              <w:right w:val="nil"/>
            </w:tcBorders>
            <w:shd w:val="clear" w:color="auto" w:fill="auto"/>
            <w:noWrap/>
            <w:vAlign w:val="center"/>
            <w:hideMark/>
          </w:tcPr>
          <w:p w14:paraId="743A8303" w14:textId="77777777" w:rsidR="00561B47" w:rsidRPr="00266EB9" w:rsidRDefault="00561B47" w:rsidP="00561B47">
            <w:pPr>
              <w:jc w:val="center"/>
              <w:rPr>
                <w:sz w:val="16"/>
                <w:szCs w:val="16"/>
              </w:rPr>
            </w:pPr>
            <w:r w:rsidRPr="00266EB9">
              <w:rPr>
                <w:sz w:val="16"/>
                <w:szCs w:val="16"/>
              </w:rPr>
              <w:t>201</w:t>
            </w:r>
          </w:p>
        </w:tc>
        <w:tc>
          <w:tcPr>
            <w:tcW w:w="1174" w:type="dxa"/>
            <w:tcBorders>
              <w:top w:val="nil"/>
              <w:left w:val="nil"/>
              <w:bottom w:val="nil"/>
              <w:right w:val="nil"/>
            </w:tcBorders>
            <w:shd w:val="clear" w:color="auto" w:fill="auto"/>
            <w:noWrap/>
            <w:vAlign w:val="center"/>
            <w:hideMark/>
          </w:tcPr>
          <w:p w14:paraId="03C1037A" w14:textId="77777777" w:rsidR="00561B47" w:rsidRPr="00266EB9" w:rsidRDefault="00561B47" w:rsidP="00561B47">
            <w:pPr>
              <w:jc w:val="center"/>
              <w:rPr>
                <w:sz w:val="16"/>
                <w:szCs w:val="16"/>
              </w:rPr>
            </w:pPr>
            <w:r w:rsidRPr="00266EB9">
              <w:rPr>
                <w:sz w:val="16"/>
                <w:szCs w:val="16"/>
              </w:rPr>
              <w:t>96</w:t>
            </w:r>
          </w:p>
        </w:tc>
      </w:tr>
      <w:tr w:rsidR="00561B47" w:rsidRPr="00266EB9" w14:paraId="34E3926D" w14:textId="77777777" w:rsidTr="00561B47">
        <w:trPr>
          <w:cantSplit/>
          <w:jc w:val="center"/>
        </w:trPr>
        <w:tc>
          <w:tcPr>
            <w:tcW w:w="479" w:type="dxa"/>
            <w:tcBorders>
              <w:top w:val="nil"/>
              <w:left w:val="nil"/>
              <w:bottom w:val="nil"/>
              <w:right w:val="nil"/>
            </w:tcBorders>
            <w:shd w:val="clear" w:color="auto" w:fill="auto"/>
            <w:noWrap/>
            <w:vAlign w:val="center"/>
            <w:hideMark/>
          </w:tcPr>
          <w:p w14:paraId="3EEC5CB6" w14:textId="77777777" w:rsidR="00561B47" w:rsidRPr="00266EB9" w:rsidRDefault="00561B47" w:rsidP="00561B47">
            <w:pPr>
              <w:rPr>
                <w:sz w:val="16"/>
                <w:szCs w:val="16"/>
              </w:rPr>
            </w:pPr>
            <w:r w:rsidRPr="00266EB9">
              <w:rPr>
                <w:sz w:val="16"/>
                <w:szCs w:val="16"/>
              </w:rPr>
              <w:t>III.4</w:t>
            </w:r>
          </w:p>
        </w:tc>
        <w:tc>
          <w:tcPr>
            <w:tcW w:w="4248" w:type="dxa"/>
            <w:tcBorders>
              <w:top w:val="nil"/>
              <w:left w:val="nil"/>
              <w:bottom w:val="nil"/>
              <w:right w:val="nil"/>
            </w:tcBorders>
            <w:shd w:val="clear" w:color="auto" w:fill="auto"/>
            <w:vAlign w:val="center"/>
            <w:hideMark/>
          </w:tcPr>
          <w:p w14:paraId="0CAD849E" w14:textId="77777777" w:rsidR="00561B47" w:rsidRPr="00266EB9" w:rsidRDefault="00561B47" w:rsidP="00561B47">
            <w:pPr>
              <w:rPr>
                <w:sz w:val="16"/>
                <w:szCs w:val="16"/>
              </w:rPr>
            </w:pPr>
            <w:r w:rsidRPr="00266EB9">
              <w:rPr>
                <w:sz w:val="16"/>
                <w:szCs w:val="16"/>
              </w:rPr>
              <w:t>Mécanismes et programmes de coopération renforcés, adaptés aux besoins des pays en développement et des PMA</w:t>
            </w:r>
          </w:p>
        </w:tc>
        <w:tc>
          <w:tcPr>
            <w:tcW w:w="1161" w:type="dxa"/>
            <w:tcBorders>
              <w:top w:val="nil"/>
              <w:left w:val="nil"/>
              <w:bottom w:val="nil"/>
              <w:right w:val="nil"/>
            </w:tcBorders>
            <w:shd w:val="clear" w:color="auto" w:fill="auto"/>
            <w:noWrap/>
            <w:vAlign w:val="center"/>
            <w:hideMark/>
          </w:tcPr>
          <w:p w14:paraId="77C55459" w14:textId="77777777" w:rsidR="00561B47" w:rsidRPr="00266EB9" w:rsidRDefault="00561B47" w:rsidP="00561B47">
            <w:pPr>
              <w:jc w:val="center"/>
              <w:rPr>
                <w:sz w:val="16"/>
                <w:szCs w:val="16"/>
              </w:rPr>
            </w:pPr>
            <w:r w:rsidRPr="00266EB9">
              <w:rPr>
                <w:sz w:val="16"/>
                <w:szCs w:val="16"/>
              </w:rPr>
              <w:t>5 383</w:t>
            </w:r>
          </w:p>
        </w:tc>
        <w:tc>
          <w:tcPr>
            <w:tcW w:w="1160" w:type="dxa"/>
            <w:tcBorders>
              <w:top w:val="nil"/>
              <w:left w:val="nil"/>
              <w:bottom w:val="nil"/>
              <w:right w:val="nil"/>
            </w:tcBorders>
            <w:shd w:val="clear" w:color="auto" w:fill="auto"/>
            <w:noWrap/>
            <w:vAlign w:val="center"/>
            <w:hideMark/>
          </w:tcPr>
          <w:p w14:paraId="6841C7F3" w14:textId="77777777" w:rsidR="00561B47" w:rsidRPr="00266EB9" w:rsidRDefault="00561B47" w:rsidP="00561B47">
            <w:pPr>
              <w:jc w:val="center"/>
              <w:rPr>
                <w:sz w:val="16"/>
                <w:szCs w:val="16"/>
              </w:rPr>
            </w:pPr>
            <w:r w:rsidRPr="00266EB9">
              <w:rPr>
                <w:sz w:val="16"/>
                <w:szCs w:val="16"/>
              </w:rPr>
              <w:t>6 347</w:t>
            </w:r>
          </w:p>
        </w:tc>
        <w:tc>
          <w:tcPr>
            <w:tcW w:w="1174" w:type="dxa"/>
            <w:tcBorders>
              <w:top w:val="nil"/>
              <w:left w:val="nil"/>
              <w:bottom w:val="nil"/>
              <w:right w:val="nil"/>
            </w:tcBorders>
            <w:shd w:val="clear" w:color="auto" w:fill="auto"/>
            <w:noWrap/>
            <w:vAlign w:val="center"/>
            <w:hideMark/>
          </w:tcPr>
          <w:p w14:paraId="3EA0AB97" w14:textId="77777777" w:rsidR="00561B47" w:rsidRPr="00266EB9" w:rsidRDefault="00561B47" w:rsidP="00561B47">
            <w:pPr>
              <w:jc w:val="center"/>
              <w:rPr>
                <w:sz w:val="16"/>
                <w:szCs w:val="16"/>
              </w:rPr>
            </w:pPr>
            <w:r w:rsidRPr="00266EB9">
              <w:rPr>
                <w:sz w:val="16"/>
                <w:szCs w:val="16"/>
              </w:rPr>
              <w:t>3 063</w:t>
            </w:r>
          </w:p>
        </w:tc>
      </w:tr>
      <w:tr w:rsidR="00561B47" w:rsidRPr="00266EB9" w14:paraId="518ADBA5" w14:textId="77777777" w:rsidTr="00561B47">
        <w:trPr>
          <w:cantSplit/>
          <w:jc w:val="center"/>
        </w:trPr>
        <w:tc>
          <w:tcPr>
            <w:tcW w:w="479" w:type="dxa"/>
            <w:tcBorders>
              <w:top w:val="nil"/>
              <w:left w:val="nil"/>
              <w:bottom w:val="nil"/>
              <w:right w:val="nil"/>
            </w:tcBorders>
            <w:shd w:val="clear" w:color="auto" w:fill="auto"/>
            <w:noWrap/>
            <w:vAlign w:val="center"/>
            <w:hideMark/>
          </w:tcPr>
          <w:p w14:paraId="19753FE2" w14:textId="77777777" w:rsidR="00561B47" w:rsidRPr="00266EB9" w:rsidRDefault="00561B47" w:rsidP="00561B47">
            <w:pPr>
              <w:rPr>
                <w:sz w:val="16"/>
                <w:szCs w:val="16"/>
              </w:rPr>
            </w:pPr>
            <w:r w:rsidRPr="00266EB9">
              <w:rPr>
                <w:sz w:val="16"/>
                <w:szCs w:val="16"/>
              </w:rPr>
              <w:t>IV.2</w:t>
            </w:r>
          </w:p>
        </w:tc>
        <w:tc>
          <w:tcPr>
            <w:tcW w:w="4248" w:type="dxa"/>
            <w:tcBorders>
              <w:top w:val="nil"/>
              <w:left w:val="nil"/>
              <w:bottom w:val="nil"/>
              <w:right w:val="nil"/>
            </w:tcBorders>
            <w:shd w:val="clear" w:color="auto" w:fill="auto"/>
            <w:vAlign w:val="center"/>
            <w:hideMark/>
          </w:tcPr>
          <w:p w14:paraId="4220843D" w14:textId="77777777" w:rsidR="00561B47" w:rsidRPr="00266EB9" w:rsidRDefault="00561B47" w:rsidP="00561B47">
            <w:pPr>
              <w:rPr>
                <w:sz w:val="16"/>
                <w:szCs w:val="16"/>
              </w:rPr>
            </w:pPr>
            <w:r w:rsidRPr="00266EB9">
              <w:rPr>
                <w:sz w:val="16"/>
                <w:szCs w:val="16"/>
              </w:rPr>
              <w:t>Amélioration de l’accessibilité et de l’utilisation de l’information en matière de propriété intellectuelle par les institutions compétentes et le public afin de promouvoir l’innovation et la créativité</w:t>
            </w:r>
          </w:p>
        </w:tc>
        <w:tc>
          <w:tcPr>
            <w:tcW w:w="1161" w:type="dxa"/>
            <w:tcBorders>
              <w:top w:val="nil"/>
              <w:left w:val="nil"/>
              <w:bottom w:val="nil"/>
              <w:right w:val="nil"/>
            </w:tcBorders>
            <w:shd w:val="clear" w:color="auto" w:fill="auto"/>
            <w:noWrap/>
            <w:vAlign w:val="center"/>
            <w:hideMark/>
          </w:tcPr>
          <w:p w14:paraId="747DE868" w14:textId="77777777" w:rsidR="00561B47" w:rsidRPr="00266EB9" w:rsidRDefault="00561B47" w:rsidP="00561B47">
            <w:pPr>
              <w:jc w:val="center"/>
              <w:rPr>
                <w:sz w:val="16"/>
                <w:szCs w:val="16"/>
              </w:rPr>
            </w:pPr>
            <w:r w:rsidRPr="00266EB9">
              <w:rPr>
                <w:sz w:val="16"/>
                <w:szCs w:val="16"/>
              </w:rPr>
              <w:t>4 564</w:t>
            </w:r>
          </w:p>
        </w:tc>
        <w:tc>
          <w:tcPr>
            <w:tcW w:w="1160" w:type="dxa"/>
            <w:tcBorders>
              <w:top w:val="nil"/>
              <w:left w:val="nil"/>
              <w:bottom w:val="nil"/>
              <w:right w:val="nil"/>
            </w:tcBorders>
            <w:shd w:val="clear" w:color="auto" w:fill="auto"/>
            <w:noWrap/>
            <w:vAlign w:val="center"/>
            <w:hideMark/>
          </w:tcPr>
          <w:p w14:paraId="1D49CC3A" w14:textId="77777777" w:rsidR="00561B47" w:rsidRPr="00266EB9" w:rsidRDefault="00561B47" w:rsidP="00561B47">
            <w:pPr>
              <w:jc w:val="center"/>
              <w:rPr>
                <w:sz w:val="16"/>
                <w:szCs w:val="16"/>
              </w:rPr>
            </w:pPr>
            <w:r w:rsidRPr="00266EB9">
              <w:rPr>
                <w:sz w:val="16"/>
                <w:szCs w:val="16"/>
              </w:rPr>
              <w:t>3 844</w:t>
            </w:r>
          </w:p>
        </w:tc>
        <w:tc>
          <w:tcPr>
            <w:tcW w:w="1174" w:type="dxa"/>
            <w:tcBorders>
              <w:top w:val="nil"/>
              <w:left w:val="nil"/>
              <w:bottom w:val="nil"/>
              <w:right w:val="nil"/>
            </w:tcBorders>
            <w:shd w:val="clear" w:color="auto" w:fill="auto"/>
            <w:noWrap/>
            <w:vAlign w:val="center"/>
            <w:hideMark/>
          </w:tcPr>
          <w:p w14:paraId="332C9CDF" w14:textId="77777777" w:rsidR="00561B47" w:rsidRPr="00266EB9" w:rsidRDefault="00561B47" w:rsidP="00561B47">
            <w:pPr>
              <w:jc w:val="center"/>
              <w:rPr>
                <w:sz w:val="16"/>
                <w:szCs w:val="16"/>
              </w:rPr>
            </w:pPr>
            <w:r w:rsidRPr="00266EB9">
              <w:rPr>
                <w:sz w:val="16"/>
                <w:szCs w:val="16"/>
              </w:rPr>
              <w:t>1 816</w:t>
            </w:r>
          </w:p>
        </w:tc>
      </w:tr>
      <w:tr w:rsidR="00561B47" w:rsidRPr="00266EB9" w14:paraId="3DADABB7" w14:textId="77777777" w:rsidTr="00561B47">
        <w:trPr>
          <w:cantSplit/>
          <w:jc w:val="center"/>
        </w:trPr>
        <w:tc>
          <w:tcPr>
            <w:tcW w:w="479" w:type="dxa"/>
            <w:tcBorders>
              <w:top w:val="nil"/>
              <w:left w:val="nil"/>
              <w:bottom w:val="nil"/>
              <w:right w:val="nil"/>
            </w:tcBorders>
            <w:shd w:val="clear" w:color="auto" w:fill="auto"/>
            <w:noWrap/>
            <w:vAlign w:val="center"/>
            <w:hideMark/>
          </w:tcPr>
          <w:p w14:paraId="57193177" w14:textId="77777777" w:rsidR="00561B47" w:rsidRPr="00266EB9" w:rsidRDefault="00561B47" w:rsidP="00561B47">
            <w:pPr>
              <w:rPr>
                <w:sz w:val="16"/>
                <w:szCs w:val="16"/>
              </w:rPr>
            </w:pPr>
            <w:r w:rsidRPr="00266EB9">
              <w:rPr>
                <w:sz w:val="16"/>
                <w:szCs w:val="16"/>
              </w:rPr>
              <w:t>IV.4</w:t>
            </w:r>
          </w:p>
        </w:tc>
        <w:tc>
          <w:tcPr>
            <w:tcW w:w="4248" w:type="dxa"/>
            <w:tcBorders>
              <w:top w:val="nil"/>
              <w:left w:val="nil"/>
              <w:bottom w:val="nil"/>
              <w:right w:val="nil"/>
            </w:tcBorders>
            <w:shd w:val="clear" w:color="auto" w:fill="auto"/>
            <w:vAlign w:val="center"/>
            <w:hideMark/>
          </w:tcPr>
          <w:p w14:paraId="7C8B8AFA" w14:textId="77777777" w:rsidR="00561B47" w:rsidRPr="00266EB9" w:rsidRDefault="00561B47" w:rsidP="00561B47">
            <w:pPr>
              <w:rPr>
                <w:sz w:val="16"/>
                <w:szCs w:val="16"/>
              </w:rPr>
            </w:pPr>
            <w:r w:rsidRPr="00266EB9">
              <w:rPr>
                <w:sz w:val="16"/>
                <w:szCs w:val="16"/>
              </w:rPr>
              <w:t>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1161" w:type="dxa"/>
            <w:tcBorders>
              <w:top w:val="nil"/>
              <w:left w:val="nil"/>
              <w:bottom w:val="nil"/>
              <w:right w:val="nil"/>
            </w:tcBorders>
            <w:shd w:val="clear" w:color="auto" w:fill="auto"/>
            <w:noWrap/>
            <w:vAlign w:val="center"/>
            <w:hideMark/>
          </w:tcPr>
          <w:p w14:paraId="105F967A" w14:textId="77777777" w:rsidR="00561B47" w:rsidRPr="00266EB9" w:rsidRDefault="00561B47" w:rsidP="00561B47">
            <w:pPr>
              <w:jc w:val="center"/>
              <w:rPr>
                <w:sz w:val="16"/>
                <w:szCs w:val="16"/>
              </w:rPr>
            </w:pPr>
            <w:r w:rsidRPr="00266EB9">
              <w:rPr>
                <w:sz w:val="16"/>
                <w:szCs w:val="16"/>
              </w:rPr>
              <w:t>1 339</w:t>
            </w:r>
          </w:p>
        </w:tc>
        <w:tc>
          <w:tcPr>
            <w:tcW w:w="1160" w:type="dxa"/>
            <w:tcBorders>
              <w:top w:val="nil"/>
              <w:left w:val="nil"/>
              <w:bottom w:val="nil"/>
              <w:right w:val="nil"/>
            </w:tcBorders>
            <w:shd w:val="clear" w:color="auto" w:fill="auto"/>
            <w:noWrap/>
            <w:vAlign w:val="center"/>
            <w:hideMark/>
          </w:tcPr>
          <w:p w14:paraId="3E1C9153" w14:textId="77777777" w:rsidR="00561B47" w:rsidRPr="00266EB9" w:rsidRDefault="00561B47" w:rsidP="00561B47">
            <w:pPr>
              <w:jc w:val="center"/>
              <w:rPr>
                <w:sz w:val="16"/>
                <w:szCs w:val="16"/>
              </w:rPr>
            </w:pPr>
            <w:r w:rsidRPr="00266EB9">
              <w:rPr>
                <w:sz w:val="16"/>
                <w:szCs w:val="16"/>
              </w:rPr>
              <w:t>1 120</w:t>
            </w:r>
          </w:p>
        </w:tc>
        <w:tc>
          <w:tcPr>
            <w:tcW w:w="1174" w:type="dxa"/>
            <w:tcBorders>
              <w:top w:val="nil"/>
              <w:left w:val="nil"/>
              <w:bottom w:val="nil"/>
              <w:right w:val="nil"/>
            </w:tcBorders>
            <w:shd w:val="clear" w:color="auto" w:fill="auto"/>
            <w:noWrap/>
            <w:vAlign w:val="center"/>
            <w:hideMark/>
          </w:tcPr>
          <w:p w14:paraId="68FFF02C" w14:textId="77777777" w:rsidR="00561B47" w:rsidRPr="00266EB9" w:rsidRDefault="00561B47" w:rsidP="00561B47">
            <w:pPr>
              <w:jc w:val="center"/>
              <w:rPr>
                <w:sz w:val="16"/>
                <w:szCs w:val="16"/>
              </w:rPr>
            </w:pPr>
            <w:r w:rsidRPr="00266EB9">
              <w:rPr>
                <w:sz w:val="16"/>
                <w:szCs w:val="16"/>
              </w:rPr>
              <w:t>281</w:t>
            </w:r>
          </w:p>
        </w:tc>
      </w:tr>
      <w:tr w:rsidR="00561B47" w:rsidRPr="00266EB9" w14:paraId="72955A3D" w14:textId="77777777" w:rsidTr="00561B47">
        <w:trPr>
          <w:cantSplit/>
          <w:jc w:val="center"/>
        </w:trPr>
        <w:tc>
          <w:tcPr>
            <w:tcW w:w="479" w:type="dxa"/>
            <w:tcBorders>
              <w:top w:val="nil"/>
              <w:left w:val="nil"/>
              <w:bottom w:val="nil"/>
              <w:right w:val="nil"/>
            </w:tcBorders>
            <w:shd w:val="clear" w:color="000000" w:fill="C5D9F1"/>
            <w:noWrap/>
            <w:vAlign w:val="bottom"/>
            <w:hideMark/>
          </w:tcPr>
          <w:p w14:paraId="4AA15C41" w14:textId="77777777" w:rsidR="00561B47" w:rsidRPr="00266EB9" w:rsidRDefault="00561B47" w:rsidP="00561B47">
            <w:pPr>
              <w:rPr>
                <w:sz w:val="16"/>
                <w:szCs w:val="16"/>
              </w:rPr>
            </w:pPr>
            <w:r w:rsidRPr="00266EB9">
              <w:rPr>
                <w:sz w:val="16"/>
                <w:szCs w:val="16"/>
              </w:rPr>
              <w:t> </w:t>
            </w:r>
          </w:p>
        </w:tc>
        <w:tc>
          <w:tcPr>
            <w:tcW w:w="4248" w:type="dxa"/>
            <w:tcBorders>
              <w:top w:val="nil"/>
              <w:left w:val="nil"/>
              <w:bottom w:val="nil"/>
              <w:right w:val="nil"/>
            </w:tcBorders>
            <w:shd w:val="clear" w:color="000000" w:fill="C5D9F1"/>
            <w:noWrap/>
            <w:vAlign w:val="bottom"/>
            <w:hideMark/>
          </w:tcPr>
          <w:p w14:paraId="2B5CFC1C" w14:textId="77777777" w:rsidR="00561B47" w:rsidRPr="00266EB9" w:rsidRDefault="00561B47" w:rsidP="00561B47">
            <w:pPr>
              <w:jc w:val="right"/>
              <w:rPr>
                <w:b/>
                <w:bCs/>
                <w:sz w:val="16"/>
                <w:szCs w:val="16"/>
              </w:rPr>
            </w:pPr>
            <w:r w:rsidRPr="00266EB9">
              <w:rPr>
                <w:b/>
                <w:bCs/>
                <w:sz w:val="16"/>
                <w:szCs w:val="16"/>
              </w:rPr>
              <w:t>Total</w:t>
            </w:r>
          </w:p>
        </w:tc>
        <w:tc>
          <w:tcPr>
            <w:tcW w:w="1161" w:type="dxa"/>
            <w:tcBorders>
              <w:top w:val="nil"/>
              <w:left w:val="nil"/>
              <w:bottom w:val="nil"/>
              <w:right w:val="nil"/>
            </w:tcBorders>
            <w:shd w:val="clear" w:color="000000" w:fill="C5D9F1"/>
            <w:noWrap/>
            <w:vAlign w:val="center"/>
            <w:hideMark/>
          </w:tcPr>
          <w:p w14:paraId="2940977D" w14:textId="77777777" w:rsidR="00561B47" w:rsidRPr="00266EB9" w:rsidRDefault="00561B47" w:rsidP="00561B47">
            <w:pPr>
              <w:jc w:val="center"/>
              <w:rPr>
                <w:sz w:val="16"/>
                <w:szCs w:val="16"/>
              </w:rPr>
            </w:pPr>
            <w:r w:rsidRPr="00266EB9">
              <w:rPr>
                <w:sz w:val="16"/>
                <w:szCs w:val="16"/>
              </w:rPr>
              <w:t>31 907</w:t>
            </w:r>
          </w:p>
        </w:tc>
        <w:tc>
          <w:tcPr>
            <w:tcW w:w="1160" w:type="dxa"/>
            <w:tcBorders>
              <w:top w:val="nil"/>
              <w:left w:val="nil"/>
              <w:bottom w:val="nil"/>
              <w:right w:val="nil"/>
            </w:tcBorders>
            <w:shd w:val="clear" w:color="000000" w:fill="C5D9F1"/>
            <w:noWrap/>
            <w:vAlign w:val="center"/>
            <w:hideMark/>
          </w:tcPr>
          <w:p w14:paraId="2E005DAB" w14:textId="77777777" w:rsidR="00561B47" w:rsidRPr="00266EB9" w:rsidRDefault="00561B47" w:rsidP="00561B47">
            <w:pPr>
              <w:jc w:val="center"/>
              <w:rPr>
                <w:sz w:val="16"/>
                <w:szCs w:val="16"/>
              </w:rPr>
            </w:pPr>
            <w:r w:rsidRPr="00266EB9">
              <w:rPr>
                <w:sz w:val="16"/>
                <w:szCs w:val="16"/>
              </w:rPr>
              <w:t>30 962</w:t>
            </w:r>
          </w:p>
        </w:tc>
        <w:tc>
          <w:tcPr>
            <w:tcW w:w="1174" w:type="dxa"/>
            <w:tcBorders>
              <w:top w:val="nil"/>
              <w:left w:val="nil"/>
              <w:bottom w:val="nil"/>
              <w:right w:val="nil"/>
            </w:tcBorders>
            <w:shd w:val="clear" w:color="000000" w:fill="C5D9F1"/>
            <w:noWrap/>
            <w:vAlign w:val="center"/>
            <w:hideMark/>
          </w:tcPr>
          <w:p w14:paraId="5F1638FE" w14:textId="77777777" w:rsidR="00561B47" w:rsidRPr="00266EB9" w:rsidRDefault="00561B47" w:rsidP="00561B47">
            <w:pPr>
              <w:jc w:val="center"/>
              <w:rPr>
                <w:sz w:val="16"/>
                <w:szCs w:val="16"/>
              </w:rPr>
            </w:pPr>
            <w:r w:rsidRPr="00266EB9">
              <w:rPr>
                <w:sz w:val="16"/>
                <w:szCs w:val="16"/>
              </w:rPr>
              <w:t>14 160</w:t>
            </w:r>
          </w:p>
        </w:tc>
      </w:tr>
      <w:tr w:rsidR="00561B47" w:rsidRPr="00266EB9" w14:paraId="2EA20F75" w14:textId="77777777" w:rsidTr="00561B47">
        <w:trPr>
          <w:cantSplit/>
          <w:jc w:val="center"/>
        </w:trPr>
        <w:tc>
          <w:tcPr>
            <w:tcW w:w="7048" w:type="dxa"/>
            <w:gridSpan w:val="4"/>
            <w:tcBorders>
              <w:top w:val="nil"/>
              <w:left w:val="nil"/>
              <w:bottom w:val="nil"/>
              <w:right w:val="nil"/>
            </w:tcBorders>
            <w:shd w:val="clear" w:color="auto" w:fill="auto"/>
            <w:noWrap/>
            <w:vAlign w:val="center"/>
            <w:hideMark/>
          </w:tcPr>
          <w:p w14:paraId="66B3BA90" w14:textId="77777777" w:rsidR="00561B47" w:rsidRPr="00266EB9" w:rsidRDefault="00561B47" w:rsidP="00561B47">
            <w:pPr>
              <w:rPr>
                <w:i/>
                <w:iCs/>
                <w:sz w:val="16"/>
                <w:szCs w:val="16"/>
              </w:rPr>
            </w:pPr>
            <w:r w:rsidRPr="00266EB9">
              <w:rPr>
                <w:i/>
                <w:iCs/>
                <w:sz w:val="16"/>
                <w:szCs w:val="16"/>
              </w:rPr>
              <w:t>*Les chiffres des dépenses pour 2016 sont préliminaires, sous réserve d’audit par les vérificateurs externes des comptes</w:t>
            </w:r>
          </w:p>
        </w:tc>
        <w:tc>
          <w:tcPr>
            <w:tcW w:w="1174" w:type="dxa"/>
            <w:tcBorders>
              <w:top w:val="nil"/>
              <w:left w:val="nil"/>
              <w:bottom w:val="nil"/>
              <w:right w:val="nil"/>
            </w:tcBorders>
            <w:shd w:val="clear" w:color="auto" w:fill="auto"/>
            <w:noWrap/>
            <w:vAlign w:val="center"/>
            <w:hideMark/>
          </w:tcPr>
          <w:p w14:paraId="18090F71" w14:textId="77777777" w:rsidR="00561B47" w:rsidRPr="00266EB9" w:rsidRDefault="00561B47" w:rsidP="00561B47">
            <w:pPr>
              <w:rPr>
                <w:sz w:val="16"/>
                <w:szCs w:val="16"/>
              </w:rPr>
            </w:pPr>
          </w:p>
        </w:tc>
      </w:tr>
    </w:tbl>
    <w:p w14:paraId="1A37D831" w14:textId="77777777" w:rsidR="00561B47" w:rsidRPr="00266EB9" w:rsidRDefault="00561B47" w:rsidP="00561B47">
      <w:pPr>
        <w:rPr>
          <w:sz w:val="20"/>
        </w:rPr>
      </w:pPr>
    </w:p>
    <w:p w14:paraId="6B6D9DB9" w14:textId="77777777" w:rsidR="00561B47" w:rsidRPr="00266EB9" w:rsidRDefault="00561B47" w:rsidP="00561B47">
      <w:pPr>
        <w:pStyle w:val="NormalWeb"/>
        <w:keepNext/>
        <w:keepLines/>
        <w:spacing w:before="0" w:beforeAutospacing="0" w:after="0" w:afterAutospacing="0"/>
        <w:jc w:val="center"/>
        <w:rPr>
          <w:color w:val="000000"/>
        </w:rPr>
      </w:pPr>
      <w:r w:rsidRPr="00266EB9">
        <w:rPr>
          <w:color w:val="000000"/>
        </w:rPr>
        <w:t>Budget et dépenses effectives (dépenses de personnel et autres dépenses)</w:t>
      </w:r>
    </w:p>
    <w:p w14:paraId="6748BED0" w14:textId="77777777" w:rsidR="00561B47" w:rsidRPr="00266EB9" w:rsidRDefault="00561B47" w:rsidP="00561B47">
      <w:pPr>
        <w:pStyle w:val="NormalWeb"/>
        <w:keepNext/>
        <w:keepLines/>
        <w:spacing w:before="0" w:beforeAutospacing="0" w:after="0" w:afterAutospacing="0"/>
        <w:jc w:val="center"/>
      </w:pPr>
      <w:r w:rsidRPr="00266EB9">
        <w:rPr>
          <w:i/>
          <w:iCs/>
          <w:color w:val="000000"/>
          <w:sz w:val="16"/>
          <w:szCs w:val="16"/>
        </w:rPr>
        <w:t>(en milliers de francs suisses)</w:t>
      </w:r>
    </w:p>
    <w:p w14:paraId="6CCD0E19" w14:textId="77777777" w:rsidR="00561B47" w:rsidRPr="00266EB9" w:rsidRDefault="00561B47" w:rsidP="00561B47">
      <w:pPr>
        <w:rPr>
          <w:sz w:val="20"/>
        </w:rPr>
      </w:pPr>
    </w:p>
    <w:tbl>
      <w:tblPr>
        <w:tblW w:w="4300" w:type="pct"/>
        <w:jc w:val="center"/>
        <w:tblCellMar>
          <w:top w:w="57" w:type="dxa"/>
          <w:bottom w:w="57" w:type="dxa"/>
        </w:tblCellMar>
        <w:tblLook w:val="04A0" w:firstRow="1" w:lastRow="0" w:firstColumn="1" w:lastColumn="0" w:noHBand="0" w:noVBand="1"/>
      </w:tblPr>
      <w:tblGrid>
        <w:gridCol w:w="2470"/>
        <w:gridCol w:w="1438"/>
        <w:gridCol w:w="1438"/>
        <w:gridCol w:w="1438"/>
        <w:gridCol w:w="1438"/>
      </w:tblGrid>
      <w:tr w:rsidR="00561B47" w:rsidRPr="00266EB9" w14:paraId="348ADADE" w14:textId="77777777" w:rsidTr="00561B47">
        <w:trPr>
          <w:cantSplit/>
          <w:jc w:val="center"/>
        </w:trPr>
        <w:tc>
          <w:tcPr>
            <w:tcW w:w="2470" w:type="dxa"/>
            <w:tcBorders>
              <w:top w:val="nil"/>
              <w:left w:val="nil"/>
              <w:bottom w:val="nil"/>
              <w:right w:val="nil"/>
            </w:tcBorders>
            <w:shd w:val="clear" w:color="000000" w:fill="C5D9F1"/>
            <w:noWrap/>
            <w:vAlign w:val="center"/>
            <w:hideMark/>
          </w:tcPr>
          <w:p w14:paraId="11A2BB70" w14:textId="77777777" w:rsidR="00561B47" w:rsidRPr="00266EB9" w:rsidRDefault="00561B47" w:rsidP="00561B47">
            <w:pPr>
              <w:rPr>
                <w:color w:val="000000"/>
                <w:sz w:val="16"/>
                <w:szCs w:val="16"/>
              </w:rPr>
            </w:pPr>
            <w:r w:rsidRPr="00266EB9">
              <w:rPr>
                <w:color w:val="000000"/>
                <w:sz w:val="16"/>
                <w:szCs w:val="16"/>
              </w:rPr>
              <w:t> </w:t>
            </w:r>
          </w:p>
        </w:tc>
        <w:tc>
          <w:tcPr>
            <w:tcW w:w="1438" w:type="dxa"/>
            <w:tcBorders>
              <w:top w:val="nil"/>
              <w:left w:val="nil"/>
              <w:bottom w:val="nil"/>
              <w:right w:val="nil"/>
            </w:tcBorders>
            <w:shd w:val="clear" w:color="000000" w:fill="C5D9F1"/>
            <w:vAlign w:val="center"/>
            <w:hideMark/>
          </w:tcPr>
          <w:p w14:paraId="2AFD6FCF" w14:textId="77777777" w:rsidR="00561B47" w:rsidRPr="00266EB9" w:rsidRDefault="00561B47" w:rsidP="00561B47">
            <w:pPr>
              <w:jc w:val="center"/>
              <w:rPr>
                <w:b/>
                <w:bCs/>
                <w:sz w:val="16"/>
                <w:szCs w:val="16"/>
              </w:rPr>
            </w:pPr>
            <w:r w:rsidRPr="00266EB9">
              <w:rPr>
                <w:b/>
                <w:bCs/>
                <w:sz w:val="16"/>
                <w:szCs w:val="16"/>
              </w:rPr>
              <w:t>Budget 2016</w:t>
            </w:r>
            <w:r>
              <w:rPr>
                <w:b/>
                <w:bCs/>
                <w:sz w:val="16"/>
                <w:szCs w:val="16"/>
              </w:rPr>
              <w:noBreakHyphen/>
            </w:r>
            <w:r w:rsidRPr="00266EB9">
              <w:rPr>
                <w:b/>
                <w:bCs/>
                <w:sz w:val="16"/>
                <w:szCs w:val="16"/>
              </w:rPr>
              <w:t>2017 approuvé</w:t>
            </w:r>
          </w:p>
        </w:tc>
        <w:tc>
          <w:tcPr>
            <w:tcW w:w="1438" w:type="dxa"/>
            <w:tcBorders>
              <w:top w:val="nil"/>
              <w:left w:val="nil"/>
              <w:bottom w:val="nil"/>
              <w:right w:val="nil"/>
            </w:tcBorders>
            <w:shd w:val="clear" w:color="000000" w:fill="C5D9F1"/>
            <w:vAlign w:val="center"/>
            <w:hideMark/>
          </w:tcPr>
          <w:p w14:paraId="57B733E9" w14:textId="77777777" w:rsidR="00561B47" w:rsidRPr="00266EB9" w:rsidRDefault="00561B47" w:rsidP="00561B47">
            <w:pPr>
              <w:jc w:val="center"/>
              <w:rPr>
                <w:b/>
                <w:bCs/>
                <w:sz w:val="16"/>
                <w:szCs w:val="16"/>
              </w:rPr>
            </w:pPr>
            <w:r w:rsidRPr="00266EB9">
              <w:rPr>
                <w:b/>
                <w:bCs/>
                <w:sz w:val="16"/>
                <w:szCs w:val="16"/>
              </w:rPr>
              <w:t>Budget 2016</w:t>
            </w:r>
            <w:r>
              <w:rPr>
                <w:b/>
                <w:bCs/>
                <w:sz w:val="16"/>
                <w:szCs w:val="16"/>
              </w:rPr>
              <w:noBreakHyphen/>
            </w:r>
            <w:r w:rsidRPr="00266EB9">
              <w:rPr>
                <w:b/>
                <w:bCs/>
                <w:sz w:val="16"/>
                <w:szCs w:val="16"/>
              </w:rPr>
              <w:t>2017 après virements</w:t>
            </w:r>
          </w:p>
        </w:tc>
        <w:tc>
          <w:tcPr>
            <w:tcW w:w="1438" w:type="dxa"/>
            <w:tcBorders>
              <w:top w:val="nil"/>
              <w:left w:val="nil"/>
              <w:bottom w:val="nil"/>
              <w:right w:val="nil"/>
            </w:tcBorders>
            <w:shd w:val="clear" w:color="000000" w:fill="C5D9F1"/>
            <w:vAlign w:val="center"/>
            <w:hideMark/>
          </w:tcPr>
          <w:p w14:paraId="2A4F5813" w14:textId="77777777" w:rsidR="00561B47" w:rsidRPr="00266EB9" w:rsidRDefault="00561B47" w:rsidP="00561B47">
            <w:pPr>
              <w:jc w:val="center"/>
              <w:rPr>
                <w:b/>
                <w:bCs/>
                <w:sz w:val="16"/>
                <w:szCs w:val="16"/>
              </w:rPr>
            </w:pPr>
            <w:r w:rsidRPr="00266EB9">
              <w:rPr>
                <w:b/>
                <w:bCs/>
                <w:sz w:val="16"/>
                <w:szCs w:val="16"/>
              </w:rPr>
              <w:t>Dépenses 2016*</w:t>
            </w:r>
          </w:p>
        </w:tc>
        <w:tc>
          <w:tcPr>
            <w:tcW w:w="1438" w:type="dxa"/>
            <w:tcBorders>
              <w:top w:val="nil"/>
              <w:left w:val="nil"/>
              <w:bottom w:val="nil"/>
              <w:right w:val="nil"/>
            </w:tcBorders>
            <w:shd w:val="clear" w:color="000000" w:fill="C5D9F1"/>
            <w:vAlign w:val="center"/>
            <w:hideMark/>
          </w:tcPr>
          <w:p w14:paraId="40F28FFE" w14:textId="77777777" w:rsidR="00561B47" w:rsidRPr="00266EB9" w:rsidRDefault="00561B47" w:rsidP="00561B47">
            <w:pPr>
              <w:jc w:val="center"/>
              <w:rPr>
                <w:b/>
                <w:bCs/>
                <w:sz w:val="16"/>
                <w:szCs w:val="16"/>
              </w:rPr>
            </w:pPr>
            <w:r w:rsidRPr="00266EB9">
              <w:rPr>
                <w:b/>
                <w:bCs/>
                <w:sz w:val="16"/>
                <w:szCs w:val="16"/>
              </w:rPr>
              <w:t>Taux d’utilisation (%)</w:t>
            </w:r>
          </w:p>
        </w:tc>
      </w:tr>
      <w:tr w:rsidR="00561B47" w:rsidRPr="00266EB9" w14:paraId="30ACAB72" w14:textId="77777777" w:rsidTr="00561B47">
        <w:trPr>
          <w:cantSplit/>
          <w:jc w:val="center"/>
        </w:trPr>
        <w:tc>
          <w:tcPr>
            <w:tcW w:w="2470" w:type="dxa"/>
            <w:tcBorders>
              <w:top w:val="nil"/>
              <w:left w:val="nil"/>
              <w:bottom w:val="nil"/>
              <w:right w:val="nil"/>
            </w:tcBorders>
            <w:shd w:val="clear" w:color="auto" w:fill="auto"/>
            <w:noWrap/>
            <w:vAlign w:val="center"/>
            <w:hideMark/>
          </w:tcPr>
          <w:p w14:paraId="4DFB3716" w14:textId="77777777" w:rsidR="00561B47" w:rsidRPr="00266EB9" w:rsidRDefault="00561B47" w:rsidP="00561B47">
            <w:pPr>
              <w:rPr>
                <w:color w:val="000000"/>
                <w:sz w:val="16"/>
                <w:szCs w:val="16"/>
              </w:rPr>
            </w:pPr>
            <w:r w:rsidRPr="00266EB9">
              <w:rPr>
                <w:sz w:val="16"/>
                <w:szCs w:val="16"/>
              </w:rPr>
              <w:t>Ressources en personnel</w:t>
            </w:r>
            <w:r w:rsidRPr="00266EB9">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397D28ED" w14:textId="77777777" w:rsidR="00561B47" w:rsidRPr="00266EB9" w:rsidRDefault="00561B47" w:rsidP="00561B47">
            <w:pPr>
              <w:jc w:val="center"/>
              <w:rPr>
                <w:color w:val="000000"/>
                <w:sz w:val="16"/>
                <w:szCs w:val="16"/>
              </w:rPr>
            </w:pPr>
            <w:r w:rsidRPr="00266EB9">
              <w:rPr>
                <w:color w:val="000000"/>
                <w:sz w:val="16"/>
                <w:szCs w:val="16"/>
              </w:rPr>
              <w:t xml:space="preserve">22 993 </w:t>
            </w:r>
          </w:p>
        </w:tc>
        <w:tc>
          <w:tcPr>
            <w:tcW w:w="1438" w:type="dxa"/>
            <w:tcBorders>
              <w:top w:val="nil"/>
              <w:left w:val="nil"/>
              <w:bottom w:val="nil"/>
              <w:right w:val="nil"/>
            </w:tcBorders>
            <w:shd w:val="clear" w:color="auto" w:fill="auto"/>
            <w:vAlign w:val="center"/>
            <w:hideMark/>
          </w:tcPr>
          <w:p w14:paraId="1197CF16" w14:textId="77777777" w:rsidR="00561B47" w:rsidRPr="00266EB9" w:rsidRDefault="00561B47" w:rsidP="00561B47">
            <w:pPr>
              <w:jc w:val="center"/>
              <w:rPr>
                <w:color w:val="000000"/>
                <w:sz w:val="16"/>
                <w:szCs w:val="16"/>
              </w:rPr>
            </w:pPr>
            <w:r w:rsidRPr="00266EB9">
              <w:rPr>
                <w:color w:val="000000"/>
                <w:sz w:val="16"/>
                <w:szCs w:val="16"/>
              </w:rPr>
              <w:t xml:space="preserve">22 088 </w:t>
            </w:r>
          </w:p>
        </w:tc>
        <w:tc>
          <w:tcPr>
            <w:tcW w:w="1438" w:type="dxa"/>
            <w:tcBorders>
              <w:top w:val="nil"/>
              <w:left w:val="nil"/>
              <w:bottom w:val="nil"/>
              <w:right w:val="nil"/>
            </w:tcBorders>
            <w:shd w:val="clear" w:color="auto" w:fill="auto"/>
            <w:vAlign w:val="center"/>
            <w:hideMark/>
          </w:tcPr>
          <w:p w14:paraId="07F0414F" w14:textId="77777777" w:rsidR="00561B47" w:rsidRPr="00266EB9" w:rsidRDefault="00561B47" w:rsidP="00561B47">
            <w:pPr>
              <w:jc w:val="center"/>
              <w:rPr>
                <w:color w:val="000000"/>
                <w:sz w:val="16"/>
                <w:szCs w:val="16"/>
              </w:rPr>
            </w:pPr>
            <w:r w:rsidRPr="00266EB9">
              <w:rPr>
                <w:color w:val="000000"/>
                <w:sz w:val="16"/>
                <w:szCs w:val="16"/>
              </w:rPr>
              <w:t xml:space="preserve">10 968 </w:t>
            </w:r>
          </w:p>
        </w:tc>
        <w:tc>
          <w:tcPr>
            <w:tcW w:w="1438" w:type="dxa"/>
            <w:tcBorders>
              <w:top w:val="nil"/>
              <w:left w:val="nil"/>
              <w:bottom w:val="nil"/>
              <w:right w:val="nil"/>
            </w:tcBorders>
            <w:shd w:val="clear" w:color="auto" w:fill="auto"/>
            <w:vAlign w:val="center"/>
            <w:hideMark/>
          </w:tcPr>
          <w:p w14:paraId="27061DA9" w14:textId="77777777" w:rsidR="00561B47" w:rsidRPr="00266EB9" w:rsidRDefault="00561B47" w:rsidP="00561B47">
            <w:pPr>
              <w:jc w:val="center"/>
              <w:rPr>
                <w:color w:val="000000"/>
                <w:sz w:val="16"/>
                <w:szCs w:val="16"/>
              </w:rPr>
            </w:pPr>
            <w:r w:rsidRPr="00266EB9">
              <w:rPr>
                <w:color w:val="000000"/>
                <w:sz w:val="16"/>
                <w:szCs w:val="16"/>
              </w:rPr>
              <w:t>50%</w:t>
            </w:r>
          </w:p>
        </w:tc>
      </w:tr>
      <w:tr w:rsidR="00561B47" w:rsidRPr="00266EB9" w14:paraId="058DCE12" w14:textId="77777777" w:rsidTr="00561B47">
        <w:trPr>
          <w:cantSplit/>
          <w:jc w:val="center"/>
        </w:trPr>
        <w:tc>
          <w:tcPr>
            <w:tcW w:w="2470" w:type="dxa"/>
            <w:tcBorders>
              <w:top w:val="nil"/>
              <w:left w:val="nil"/>
              <w:bottom w:val="nil"/>
              <w:right w:val="nil"/>
            </w:tcBorders>
            <w:shd w:val="clear" w:color="auto" w:fill="auto"/>
            <w:noWrap/>
            <w:vAlign w:val="center"/>
            <w:hideMark/>
          </w:tcPr>
          <w:p w14:paraId="6B3A0017" w14:textId="77777777" w:rsidR="00561B47" w:rsidRPr="00266EB9" w:rsidRDefault="00561B47" w:rsidP="00561B47">
            <w:pPr>
              <w:rPr>
                <w:color w:val="000000"/>
                <w:sz w:val="16"/>
                <w:szCs w:val="16"/>
              </w:rPr>
            </w:pPr>
            <w:r w:rsidRPr="00266EB9">
              <w:rPr>
                <w:sz w:val="16"/>
                <w:szCs w:val="16"/>
              </w:rPr>
              <w:t>Autres ressources</w:t>
            </w:r>
            <w:r w:rsidRPr="00266EB9">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2B225DBB" w14:textId="77777777" w:rsidR="00561B47" w:rsidRPr="00266EB9" w:rsidRDefault="00561B47" w:rsidP="00561B47">
            <w:pPr>
              <w:jc w:val="center"/>
              <w:rPr>
                <w:color w:val="000000"/>
                <w:sz w:val="16"/>
                <w:szCs w:val="16"/>
              </w:rPr>
            </w:pPr>
            <w:r w:rsidRPr="00266EB9">
              <w:rPr>
                <w:color w:val="000000"/>
                <w:sz w:val="16"/>
                <w:szCs w:val="16"/>
              </w:rPr>
              <w:t xml:space="preserve">8 913 </w:t>
            </w:r>
          </w:p>
        </w:tc>
        <w:tc>
          <w:tcPr>
            <w:tcW w:w="1438" w:type="dxa"/>
            <w:tcBorders>
              <w:top w:val="nil"/>
              <w:left w:val="nil"/>
              <w:bottom w:val="nil"/>
              <w:right w:val="nil"/>
            </w:tcBorders>
            <w:shd w:val="clear" w:color="auto" w:fill="auto"/>
            <w:vAlign w:val="center"/>
            <w:hideMark/>
          </w:tcPr>
          <w:p w14:paraId="60728DA6" w14:textId="77777777" w:rsidR="00561B47" w:rsidRPr="00266EB9" w:rsidRDefault="00561B47" w:rsidP="00561B47">
            <w:pPr>
              <w:jc w:val="center"/>
              <w:rPr>
                <w:color w:val="000000"/>
                <w:sz w:val="16"/>
                <w:szCs w:val="16"/>
              </w:rPr>
            </w:pPr>
            <w:r w:rsidRPr="00266EB9">
              <w:rPr>
                <w:color w:val="000000"/>
                <w:sz w:val="16"/>
                <w:szCs w:val="16"/>
              </w:rPr>
              <w:t xml:space="preserve">8 874 </w:t>
            </w:r>
          </w:p>
        </w:tc>
        <w:tc>
          <w:tcPr>
            <w:tcW w:w="1438" w:type="dxa"/>
            <w:tcBorders>
              <w:top w:val="nil"/>
              <w:left w:val="nil"/>
              <w:bottom w:val="nil"/>
              <w:right w:val="nil"/>
            </w:tcBorders>
            <w:shd w:val="clear" w:color="auto" w:fill="auto"/>
            <w:vAlign w:val="center"/>
            <w:hideMark/>
          </w:tcPr>
          <w:p w14:paraId="25B0F46B" w14:textId="77777777" w:rsidR="00561B47" w:rsidRPr="00266EB9" w:rsidRDefault="00561B47" w:rsidP="00561B47">
            <w:pPr>
              <w:jc w:val="center"/>
              <w:rPr>
                <w:color w:val="000000"/>
                <w:sz w:val="16"/>
                <w:szCs w:val="16"/>
              </w:rPr>
            </w:pPr>
            <w:r w:rsidRPr="00266EB9">
              <w:rPr>
                <w:color w:val="000000"/>
                <w:sz w:val="16"/>
                <w:szCs w:val="16"/>
              </w:rPr>
              <w:t xml:space="preserve">3 192 </w:t>
            </w:r>
          </w:p>
        </w:tc>
        <w:tc>
          <w:tcPr>
            <w:tcW w:w="1438" w:type="dxa"/>
            <w:tcBorders>
              <w:top w:val="nil"/>
              <w:left w:val="nil"/>
              <w:bottom w:val="nil"/>
              <w:right w:val="nil"/>
            </w:tcBorders>
            <w:shd w:val="clear" w:color="auto" w:fill="auto"/>
            <w:vAlign w:val="center"/>
            <w:hideMark/>
          </w:tcPr>
          <w:p w14:paraId="109D81EB" w14:textId="77777777" w:rsidR="00561B47" w:rsidRPr="00266EB9" w:rsidRDefault="00561B47" w:rsidP="00561B47">
            <w:pPr>
              <w:jc w:val="center"/>
              <w:rPr>
                <w:color w:val="000000"/>
                <w:sz w:val="16"/>
                <w:szCs w:val="16"/>
              </w:rPr>
            </w:pPr>
            <w:r w:rsidRPr="00266EB9">
              <w:rPr>
                <w:color w:val="000000"/>
                <w:sz w:val="16"/>
                <w:szCs w:val="16"/>
              </w:rPr>
              <w:t>36%</w:t>
            </w:r>
          </w:p>
        </w:tc>
      </w:tr>
      <w:tr w:rsidR="00561B47" w:rsidRPr="00266EB9" w14:paraId="7EC99325" w14:textId="77777777" w:rsidTr="00561B47">
        <w:trPr>
          <w:cantSplit/>
          <w:jc w:val="center"/>
        </w:trPr>
        <w:tc>
          <w:tcPr>
            <w:tcW w:w="2470" w:type="dxa"/>
            <w:tcBorders>
              <w:top w:val="nil"/>
              <w:left w:val="nil"/>
              <w:bottom w:val="nil"/>
              <w:right w:val="nil"/>
            </w:tcBorders>
            <w:shd w:val="clear" w:color="000000" w:fill="C5D9F1"/>
            <w:noWrap/>
            <w:vAlign w:val="center"/>
            <w:hideMark/>
          </w:tcPr>
          <w:p w14:paraId="2C2736C5" w14:textId="77777777" w:rsidR="00561B47" w:rsidRPr="00266EB9" w:rsidRDefault="00561B47" w:rsidP="00561B47">
            <w:pPr>
              <w:jc w:val="right"/>
              <w:rPr>
                <w:b/>
                <w:bCs/>
                <w:color w:val="000000"/>
                <w:sz w:val="16"/>
                <w:szCs w:val="16"/>
              </w:rPr>
            </w:pPr>
            <w:r w:rsidRPr="00266EB9">
              <w:rPr>
                <w:b/>
                <w:bCs/>
                <w:color w:val="000000"/>
                <w:sz w:val="16"/>
                <w:szCs w:val="16"/>
              </w:rPr>
              <w:t>Total</w:t>
            </w:r>
          </w:p>
        </w:tc>
        <w:tc>
          <w:tcPr>
            <w:tcW w:w="1438" w:type="dxa"/>
            <w:tcBorders>
              <w:top w:val="nil"/>
              <w:left w:val="nil"/>
              <w:bottom w:val="nil"/>
              <w:right w:val="nil"/>
            </w:tcBorders>
            <w:shd w:val="clear" w:color="000000" w:fill="C5D9F1"/>
            <w:vAlign w:val="center"/>
            <w:hideMark/>
          </w:tcPr>
          <w:p w14:paraId="776D002D" w14:textId="77777777" w:rsidR="00561B47" w:rsidRPr="00266EB9" w:rsidRDefault="00561B47" w:rsidP="00561B47">
            <w:pPr>
              <w:jc w:val="center"/>
              <w:rPr>
                <w:b/>
                <w:bCs/>
                <w:color w:val="000000"/>
                <w:sz w:val="16"/>
                <w:szCs w:val="16"/>
              </w:rPr>
            </w:pPr>
            <w:r w:rsidRPr="00266EB9">
              <w:rPr>
                <w:b/>
                <w:bCs/>
                <w:color w:val="000000"/>
                <w:sz w:val="16"/>
                <w:szCs w:val="16"/>
              </w:rPr>
              <w:t xml:space="preserve">31 907 </w:t>
            </w:r>
          </w:p>
        </w:tc>
        <w:tc>
          <w:tcPr>
            <w:tcW w:w="1438" w:type="dxa"/>
            <w:tcBorders>
              <w:top w:val="nil"/>
              <w:left w:val="nil"/>
              <w:bottom w:val="nil"/>
              <w:right w:val="nil"/>
            </w:tcBorders>
            <w:shd w:val="clear" w:color="000000" w:fill="C5D9F1"/>
            <w:vAlign w:val="center"/>
            <w:hideMark/>
          </w:tcPr>
          <w:p w14:paraId="2BACABAB" w14:textId="77777777" w:rsidR="00561B47" w:rsidRPr="00266EB9" w:rsidRDefault="00561B47" w:rsidP="00561B47">
            <w:pPr>
              <w:jc w:val="center"/>
              <w:rPr>
                <w:b/>
                <w:bCs/>
                <w:color w:val="000000"/>
                <w:sz w:val="16"/>
                <w:szCs w:val="16"/>
              </w:rPr>
            </w:pPr>
            <w:r w:rsidRPr="00266EB9">
              <w:rPr>
                <w:b/>
                <w:bCs/>
                <w:color w:val="000000"/>
                <w:sz w:val="16"/>
                <w:szCs w:val="16"/>
              </w:rPr>
              <w:t xml:space="preserve">30 962 </w:t>
            </w:r>
          </w:p>
        </w:tc>
        <w:tc>
          <w:tcPr>
            <w:tcW w:w="1438" w:type="dxa"/>
            <w:tcBorders>
              <w:top w:val="nil"/>
              <w:left w:val="nil"/>
              <w:bottom w:val="nil"/>
              <w:right w:val="nil"/>
            </w:tcBorders>
            <w:shd w:val="clear" w:color="000000" w:fill="C5D9F1"/>
            <w:vAlign w:val="center"/>
            <w:hideMark/>
          </w:tcPr>
          <w:p w14:paraId="1A429990" w14:textId="77777777" w:rsidR="00561B47" w:rsidRPr="00266EB9" w:rsidRDefault="00561B47" w:rsidP="00561B47">
            <w:pPr>
              <w:jc w:val="center"/>
              <w:rPr>
                <w:b/>
                <w:bCs/>
                <w:color w:val="000000"/>
                <w:sz w:val="16"/>
                <w:szCs w:val="16"/>
              </w:rPr>
            </w:pPr>
            <w:r w:rsidRPr="00266EB9">
              <w:rPr>
                <w:b/>
                <w:bCs/>
                <w:color w:val="000000"/>
                <w:sz w:val="16"/>
                <w:szCs w:val="16"/>
              </w:rPr>
              <w:t xml:space="preserve">14 160 </w:t>
            </w:r>
          </w:p>
        </w:tc>
        <w:tc>
          <w:tcPr>
            <w:tcW w:w="1438" w:type="dxa"/>
            <w:tcBorders>
              <w:top w:val="nil"/>
              <w:left w:val="nil"/>
              <w:bottom w:val="nil"/>
              <w:right w:val="nil"/>
            </w:tcBorders>
            <w:shd w:val="clear" w:color="000000" w:fill="C5D9F1"/>
            <w:vAlign w:val="center"/>
            <w:hideMark/>
          </w:tcPr>
          <w:p w14:paraId="0809E602" w14:textId="77777777" w:rsidR="00561B47" w:rsidRPr="00266EB9" w:rsidRDefault="00561B47" w:rsidP="00561B47">
            <w:pPr>
              <w:jc w:val="center"/>
              <w:rPr>
                <w:b/>
                <w:bCs/>
                <w:color w:val="000000"/>
                <w:sz w:val="16"/>
                <w:szCs w:val="16"/>
              </w:rPr>
            </w:pPr>
            <w:r w:rsidRPr="00266EB9">
              <w:rPr>
                <w:b/>
                <w:bCs/>
                <w:color w:val="000000"/>
                <w:sz w:val="16"/>
                <w:szCs w:val="16"/>
              </w:rPr>
              <w:t>46%</w:t>
            </w:r>
          </w:p>
        </w:tc>
      </w:tr>
      <w:tr w:rsidR="00561B47" w:rsidRPr="00266EB9" w14:paraId="3B04E47D" w14:textId="77777777" w:rsidTr="00561B47">
        <w:trPr>
          <w:cantSplit/>
          <w:jc w:val="center"/>
        </w:trPr>
        <w:tc>
          <w:tcPr>
            <w:tcW w:w="8222" w:type="dxa"/>
            <w:gridSpan w:val="5"/>
            <w:tcBorders>
              <w:top w:val="nil"/>
              <w:left w:val="nil"/>
              <w:bottom w:val="nil"/>
              <w:right w:val="nil"/>
            </w:tcBorders>
            <w:shd w:val="clear" w:color="auto" w:fill="auto"/>
            <w:noWrap/>
            <w:vAlign w:val="center"/>
            <w:hideMark/>
          </w:tcPr>
          <w:p w14:paraId="161EEA08" w14:textId="77777777" w:rsidR="00561B47" w:rsidRPr="00266EB9" w:rsidRDefault="00561B47" w:rsidP="00561B47">
            <w:pPr>
              <w:rPr>
                <w:i/>
                <w:iCs/>
                <w:color w:val="000000"/>
                <w:sz w:val="16"/>
                <w:szCs w:val="16"/>
              </w:rPr>
            </w:pPr>
            <w:r w:rsidRPr="00266EB9">
              <w:rPr>
                <w:i/>
                <w:iCs/>
                <w:sz w:val="16"/>
                <w:szCs w:val="16"/>
              </w:rPr>
              <w:t>*Les chiffres des dépenses pour 2016 sont préliminaires, sous réserve d’audit par les vérificateurs externes des comptes</w:t>
            </w:r>
          </w:p>
        </w:tc>
      </w:tr>
    </w:tbl>
    <w:p w14:paraId="45BE5000" w14:textId="77777777" w:rsidR="00561B47" w:rsidRPr="00266EB9" w:rsidRDefault="00561B47" w:rsidP="00561B47">
      <w:pPr>
        <w:jc w:val="center"/>
        <w:rPr>
          <w:sz w:val="20"/>
        </w:rPr>
      </w:pPr>
    </w:p>
    <w:p w14:paraId="310FD982" w14:textId="425831A9" w:rsidR="00561B47" w:rsidRPr="00266EB9" w:rsidRDefault="00561B47" w:rsidP="00561B47">
      <w:pPr>
        <w:keepNext/>
        <w:keepLines/>
        <w:ind w:left="567" w:right="424"/>
        <w:rPr>
          <w:i/>
          <w:sz w:val="16"/>
          <w:szCs w:val="16"/>
        </w:rPr>
      </w:pPr>
      <w:r w:rsidRPr="00266EB9">
        <w:rPr>
          <w:i/>
          <w:sz w:val="16"/>
          <w:szCs w:val="16"/>
        </w:rPr>
        <w:t>NOTE : Le budget 2016</w:t>
      </w:r>
      <w:r>
        <w:rPr>
          <w:i/>
          <w:sz w:val="16"/>
          <w:szCs w:val="16"/>
        </w:rPr>
        <w:noBreakHyphen/>
      </w:r>
      <w:r w:rsidRPr="00266EB9">
        <w:rPr>
          <w:i/>
          <w:sz w:val="16"/>
          <w:szCs w:val="16"/>
        </w:rPr>
        <w:t xml:space="preserve">2017 après virements tient compte des virements effectués </w:t>
      </w:r>
      <w:r w:rsidR="00945B76">
        <w:rPr>
          <w:i/>
          <w:sz w:val="16"/>
          <w:szCs w:val="16"/>
        </w:rPr>
        <w:t>au 8 mars 2017</w:t>
      </w:r>
      <w:r w:rsidRPr="00266EB9">
        <w:rPr>
          <w:i/>
          <w:sz w:val="16"/>
          <w:szCs w:val="16"/>
        </w:rPr>
        <w:t xml:space="preserve"> pour répondre aux besoins durant l’exercice biennal 2016</w:t>
      </w:r>
      <w:r>
        <w:rPr>
          <w:i/>
          <w:sz w:val="16"/>
          <w:szCs w:val="16"/>
        </w:rPr>
        <w:noBreakHyphen/>
      </w:r>
      <w:r w:rsidRPr="00266EB9">
        <w:rPr>
          <w:i/>
          <w:sz w:val="16"/>
          <w:szCs w:val="16"/>
        </w:rPr>
        <w:t>2017 conformément à l’article 5.5 du Règlement financier.</w:t>
      </w:r>
    </w:p>
    <w:p w14:paraId="48180AF8" w14:textId="77777777" w:rsidR="00561B47" w:rsidRPr="00561B47" w:rsidRDefault="00561B47" w:rsidP="00561B47">
      <w:pPr>
        <w:rPr>
          <w:sz w:val="20"/>
        </w:rPr>
      </w:pPr>
    </w:p>
    <w:p w14:paraId="5D69B584" w14:textId="77777777" w:rsidR="00561B47" w:rsidRPr="00561B47" w:rsidRDefault="00561B47" w:rsidP="00561B47">
      <w:pPr>
        <w:rPr>
          <w:sz w:val="20"/>
        </w:rPr>
      </w:pPr>
    </w:p>
    <w:p w14:paraId="3B657899" w14:textId="77777777" w:rsidR="00561B47" w:rsidRPr="00561B47" w:rsidRDefault="00561B47" w:rsidP="00561B47">
      <w:pPr>
        <w:keepNext/>
        <w:jc w:val="both"/>
        <w:rPr>
          <w:sz w:val="20"/>
          <w:u w:val="single"/>
        </w:rPr>
      </w:pPr>
      <w:r w:rsidRPr="00561B47">
        <w:rPr>
          <w:sz w:val="20"/>
        </w:rPr>
        <w:t>A.</w:t>
      </w:r>
      <w:r w:rsidRPr="00561B47">
        <w:rPr>
          <w:sz w:val="20"/>
        </w:rPr>
        <w:tab/>
      </w:r>
      <w:r w:rsidRPr="00561B47">
        <w:rPr>
          <w:sz w:val="20"/>
          <w:u w:val="single"/>
        </w:rPr>
        <w:t>Budget 2016</w:t>
      </w:r>
      <w:r w:rsidRPr="00561B47">
        <w:rPr>
          <w:sz w:val="20"/>
          <w:u w:val="single"/>
        </w:rPr>
        <w:noBreakHyphen/>
        <w:t>2017 après virements</w:t>
      </w:r>
    </w:p>
    <w:p w14:paraId="3ED051C9" w14:textId="77777777" w:rsidR="00561B47" w:rsidRPr="00561B47" w:rsidRDefault="00561B47" w:rsidP="00561B47">
      <w:pPr>
        <w:jc w:val="both"/>
        <w:rPr>
          <w:sz w:val="20"/>
        </w:rPr>
      </w:pPr>
    </w:p>
    <w:p w14:paraId="58DE5B71" w14:textId="77777777" w:rsidR="00561B47" w:rsidRPr="00561B47" w:rsidRDefault="00561B47" w:rsidP="00D544B8">
      <w:pPr>
        <w:pStyle w:val="ListParagraph"/>
        <w:numPr>
          <w:ilvl w:val="0"/>
          <w:numId w:val="42"/>
        </w:numPr>
        <w:ind w:left="0" w:firstLine="0"/>
        <w:contextualSpacing w:val="0"/>
        <w:jc w:val="both"/>
        <w:rPr>
          <w:rFonts w:ascii="Arial" w:hAnsi="Arial" w:cs="Arial"/>
          <w:sz w:val="20"/>
          <w:szCs w:val="20"/>
        </w:rPr>
      </w:pPr>
      <w:r w:rsidRPr="00561B47">
        <w:rPr>
          <w:rFonts w:ascii="Arial" w:hAnsi="Arial" w:cs="Arial"/>
          <w:sz w:val="20"/>
          <w:szCs w:val="20"/>
        </w:rPr>
        <w:t>La légère baisse dans les autres ressources s’explique par le transfert de ressources depuis le programme vers le DGRH (programme 23) pour la participation de deux membres du personnel à des formations.  Les changements dans les divers résultats escomptés ont traduit la réaffectation des ressources en personnel et des autres ressources conformément aux plans de travail 2016.</w:t>
      </w:r>
    </w:p>
    <w:p w14:paraId="6566EC91" w14:textId="77777777" w:rsidR="00561B47" w:rsidRPr="00561B47" w:rsidRDefault="00561B47" w:rsidP="00561B47">
      <w:pPr>
        <w:jc w:val="both"/>
        <w:rPr>
          <w:sz w:val="20"/>
        </w:rPr>
      </w:pPr>
    </w:p>
    <w:p w14:paraId="388E73CF" w14:textId="77777777" w:rsidR="00561B47" w:rsidRPr="00561B47" w:rsidRDefault="00561B47" w:rsidP="00561B47">
      <w:pPr>
        <w:jc w:val="both"/>
        <w:rPr>
          <w:sz w:val="20"/>
          <w:u w:val="single"/>
        </w:rPr>
      </w:pPr>
      <w:r w:rsidRPr="00561B47">
        <w:rPr>
          <w:sz w:val="20"/>
        </w:rPr>
        <w:t>B.</w:t>
      </w:r>
      <w:r w:rsidRPr="00561B47">
        <w:rPr>
          <w:sz w:val="20"/>
        </w:rPr>
        <w:tab/>
      </w:r>
      <w:r w:rsidRPr="00561B47">
        <w:rPr>
          <w:sz w:val="20"/>
          <w:u w:val="single"/>
        </w:rPr>
        <w:t>Utilisation du budget 2016</w:t>
      </w:r>
      <w:r w:rsidRPr="00561B47">
        <w:rPr>
          <w:sz w:val="20"/>
          <w:u w:val="single"/>
        </w:rPr>
        <w:noBreakHyphen/>
        <w:t>2017</w:t>
      </w:r>
    </w:p>
    <w:p w14:paraId="4BFD8CB6" w14:textId="77777777" w:rsidR="00561B47" w:rsidRPr="00561B47" w:rsidRDefault="00561B47" w:rsidP="00561B47">
      <w:pPr>
        <w:jc w:val="both"/>
        <w:rPr>
          <w:sz w:val="20"/>
        </w:rPr>
      </w:pPr>
    </w:p>
    <w:p w14:paraId="590C0B04" w14:textId="77777777" w:rsidR="00561B47" w:rsidRPr="00561B47" w:rsidRDefault="00561B47" w:rsidP="00D544B8">
      <w:pPr>
        <w:pStyle w:val="ListParagraph"/>
        <w:numPr>
          <w:ilvl w:val="0"/>
          <w:numId w:val="42"/>
        </w:numPr>
        <w:ind w:left="0" w:firstLine="0"/>
        <w:contextualSpacing w:val="0"/>
        <w:jc w:val="both"/>
        <w:rPr>
          <w:rFonts w:ascii="Arial" w:hAnsi="Arial" w:cs="Arial"/>
          <w:sz w:val="20"/>
          <w:szCs w:val="20"/>
        </w:rPr>
      </w:pPr>
      <w:r w:rsidRPr="00561B47">
        <w:rPr>
          <w:rFonts w:ascii="Arial" w:hAnsi="Arial" w:cs="Arial"/>
          <w:sz w:val="20"/>
          <w:szCs w:val="20"/>
        </w:rPr>
        <w:t>L’utilisation des ressources en personnel était conforme à l’objectif.  Le niveau des autres dépenses était inférieur à l’objectif en raison du report et/ou de l’annulation de plusieurs activités dans les régions Afrique et pays arabes, notamment dans des PMA.  Par ailleurs, le taux d’utilisation pour le projet sur la propriété intellectuelle et le tourisme mené dans le cadre du Plan d’action pour le développement était moins élevé que prévu en raison du report de certaines activités à 2017.</w:t>
      </w:r>
    </w:p>
    <w:p w14:paraId="3E0F7DAF" w14:textId="77777777" w:rsidR="00561B47" w:rsidRPr="00561B47" w:rsidRDefault="00561B47" w:rsidP="00561B47">
      <w:pPr>
        <w:rPr>
          <w:color w:val="000000"/>
          <w:sz w:val="20"/>
        </w:rPr>
      </w:pPr>
    </w:p>
    <w:p w14:paraId="73556542" w14:textId="77777777" w:rsidR="00561B47" w:rsidRPr="00266EB9" w:rsidRDefault="00561B47" w:rsidP="00561B47">
      <w:pPr>
        <w:rPr>
          <w:b/>
          <w:bCs/>
          <w:iCs/>
        </w:rPr>
      </w:pPr>
      <w:bookmarkStart w:id="44" w:name="_Toc422210512"/>
      <w:r w:rsidRPr="00266EB9">
        <w:rPr>
          <w:b/>
          <w:bCs/>
          <w:iCs/>
        </w:rPr>
        <w:br w:type="page"/>
      </w:r>
    </w:p>
    <w:p w14:paraId="3522BC71" w14:textId="2D9EDE4B" w:rsidR="00FA22F6" w:rsidRPr="001E6DFD" w:rsidRDefault="00374E71" w:rsidP="006658D5">
      <w:pPr>
        <w:pStyle w:val="Heading3"/>
      </w:pPr>
      <w:bookmarkStart w:id="45" w:name="_Toc482774602"/>
      <w:bookmarkEnd w:id="44"/>
      <w:r w:rsidRPr="001E6DFD">
        <w:lastRenderedPageBreak/>
        <w:t>Programme</w:t>
      </w:r>
      <w:r w:rsidR="00B4191E">
        <w:t> </w:t>
      </w:r>
      <w:r w:rsidRPr="001E6DFD">
        <w:t>10</w:t>
      </w:r>
      <w:r w:rsidRPr="001E6DFD">
        <w:tab/>
        <w:t>Pays en transition et pays développés</w:t>
      </w:r>
      <w:bookmarkEnd w:id="45"/>
    </w:p>
    <w:p w14:paraId="515AD65A" w14:textId="4CDC2921" w:rsidR="001F64B1" w:rsidRPr="001E6DFD" w:rsidRDefault="001F64B1" w:rsidP="00B4191E">
      <w:pPr>
        <w:tabs>
          <w:tab w:val="left" w:pos="2268"/>
        </w:tabs>
        <w:ind w:left="2268" w:hanging="2268"/>
        <w:rPr>
          <w:sz w:val="20"/>
        </w:rPr>
      </w:pPr>
    </w:p>
    <w:p w14:paraId="24DE2399" w14:textId="77777777" w:rsidR="001F64B1" w:rsidRPr="001E6DFD" w:rsidRDefault="00374E71" w:rsidP="00B4191E">
      <w:pPr>
        <w:tabs>
          <w:tab w:val="left" w:pos="2268"/>
        </w:tabs>
        <w:ind w:left="2268" w:hanging="2268"/>
        <w:rPr>
          <w:b/>
          <w:sz w:val="20"/>
          <w:szCs w:val="22"/>
        </w:rPr>
      </w:pPr>
      <w:r w:rsidRPr="001E6DFD">
        <w:rPr>
          <w:b/>
          <w:sz w:val="20"/>
          <w:szCs w:val="22"/>
        </w:rPr>
        <w:t>Chef de programme</w:t>
      </w:r>
      <w:r w:rsidRPr="001E6DFD">
        <w:rPr>
          <w:sz w:val="20"/>
          <w:szCs w:val="22"/>
        </w:rPr>
        <w:tab/>
      </w:r>
      <w:r w:rsidRPr="001E6DFD">
        <w:rPr>
          <w:b/>
          <w:sz w:val="20"/>
          <w:szCs w:val="22"/>
        </w:rPr>
        <w:t>Le Directeur général</w:t>
      </w:r>
    </w:p>
    <w:p w14:paraId="79086372" w14:textId="77777777" w:rsidR="001F64B1" w:rsidRPr="001E6DFD" w:rsidRDefault="001F64B1" w:rsidP="0097226C">
      <w:pPr>
        <w:tabs>
          <w:tab w:val="left" w:pos="1985"/>
        </w:tabs>
        <w:rPr>
          <w:sz w:val="20"/>
        </w:rPr>
      </w:pPr>
    </w:p>
    <w:p w14:paraId="51DBF576" w14:textId="77777777" w:rsidR="00BA5EA9" w:rsidRPr="001E6DFD" w:rsidRDefault="0097226C" w:rsidP="0097226C">
      <w:pPr>
        <w:jc w:val="center"/>
        <w:rPr>
          <w:sz w:val="20"/>
        </w:rPr>
      </w:pPr>
      <w:r w:rsidRPr="001E6DFD">
        <w:rPr>
          <w:noProof/>
          <w:lang w:val="en-US"/>
        </w:rPr>
        <w:drawing>
          <wp:inline distT="0" distB="0" distL="0" distR="0" wp14:anchorId="2FAD3DC9" wp14:editId="242823A9">
            <wp:extent cx="3963600" cy="27360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32"/>
        <w:gridCol w:w="2288"/>
        <w:gridCol w:w="1356"/>
        <w:gridCol w:w="2521"/>
        <w:gridCol w:w="40"/>
        <w:gridCol w:w="1050"/>
      </w:tblGrid>
      <w:tr w:rsidR="00BA5EA9" w:rsidRPr="001E6DFD" w14:paraId="75D50A74" w14:textId="77777777" w:rsidTr="0097226C">
        <w:tc>
          <w:tcPr>
            <w:tcW w:w="5000" w:type="pct"/>
            <w:gridSpan w:val="6"/>
            <w:shd w:val="clear" w:color="auto" w:fill="C6D9F1" w:themeFill="text2" w:themeFillTint="33"/>
            <w:tcMar>
              <w:left w:w="58" w:type="dxa"/>
              <w:right w:w="58" w:type="dxa"/>
            </w:tcMar>
            <w:vAlign w:val="center"/>
          </w:tcPr>
          <w:p w14:paraId="7E64A32E" w14:textId="79F24135" w:rsidR="00BA5EA9" w:rsidRPr="001E6DFD" w:rsidRDefault="00374E71" w:rsidP="0097226C">
            <w:pPr>
              <w:tabs>
                <w:tab w:val="left" w:pos="1452"/>
              </w:tabs>
              <w:rPr>
                <w:b/>
                <w:bCs/>
                <w:sz w:val="16"/>
                <w:szCs w:val="16"/>
              </w:rPr>
            </w:pPr>
            <w:r w:rsidRPr="001E6DFD">
              <w:rPr>
                <w:b/>
                <w:bCs/>
                <w:sz w:val="16"/>
                <w:szCs w:val="16"/>
              </w:rPr>
              <w:t>Résultat escompté</w:t>
            </w:r>
            <w:r w:rsidR="00FA22F6" w:rsidRPr="001E6DFD">
              <w:rPr>
                <w:b/>
                <w:bCs/>
                <w:i/>
                <w:sz w:val="16"/>
                <w:szCs w:val="16"/>
              </w:rPr>
              <w:t> :</w:t>
            </w:r>
            <w:r w:rsidRPr="001E6DFD">
              <w:rPr>
                <w:b/>
                <w:bCs/>
                <w:sz w:val="16"/>
                <w:szCs w:val="16"/>
              </w:rPr>
              <w:t xml:space="preserve"> </w:t>
            </w:r>
            <w:r w:rsidRPr="001E6DFD">
              <w:rPr>
                <w:bCs/>
                <w:sz w:val="16"/>
                <w:szCs w:val="16"/>
              </w:rPr>
              <w:t>I.2 Cadres législatifs, réglementaires et politiques de propriété intellectuelle adaptés et équilibrés</w:t>
            </w:r>
          </w:p>
        </w:tc>
      </w:tr>
      <w:tr w:rsidR="00FA6040" w:rsidRPr="001E6DFD" w14:paraId="5E703B29" w14:textId="77777777" w:rsidTr="0097226C">
        <w:tc>
          <w:tcPr>
            <w:tcW w:w="1072" w:type="pct"/>
            <w:shd w:val="clear" w:color="auto" w:fill="auto"/>
            <w:tcMar>
              <w:left w:w="58" w:type="dxa"/>
              <w:right w:w="58" w:type="dxa"/>
            </w:tcMar>
            <w:vAlign w:val="center"/>
          </w:tcPr>
          <w:p w14:paraId="08FEEFF7" w14:textId="19F33692" w:rsidR="00BA5EA9" w:rsidRPr="001E6DFD" w:rsidRDefault="00374E71"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374898E5" w14:textId="77777777" w:rsidR="00BA5EA9" w:rsidRPr="001E6DFD" w:rsidRDefault="00374E71" w:rsidP="0097226C">
            <w:pPr>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771E4B93" w14:textId="77777777" w:rsidR="00BA5EA9" w:rsidRPr="001E6DFD" w:rsidRDefault="00374E71" w:rsidP="0097226C">
            <w:pPr>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6046440E" w14:textId="557555D8" w:rsidR="00BA5EA9" w:rsidRPr="001E6DFD" w:rsidRDefault="00374E71"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02ADBE75" w14:textId="547D3FF5"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097E8C2A" w14:textId="77777777" w:rsidTr="0097226C">
        <w:tc>
          <w:tcPr>
            <w:tcW w:w="1072" w:type="pct"/>
            <w:shd w:val="clear" w:color="auto" w:fill="auto"/>
            <w:tcMar>
              <w:left w:w="58" w:type="dxa"/>
              <w:right w:w="58" w:type="dxa"/>
            </w:tcMar>
          </w:tcPr>
          <w:p w14:paraId="129A77A1" w14:textId="77777777" w:rsidR="00BA5EA9" w:rsidRPr="001E6DFD" w:rsidRDefault="00374E71" w:rsidP="0097226C">
            <w:pPr>
              <w:rPr>
                <w:sz w:val="16"/>
                <w:szCs w:val="16"/>
              </w:rPr>
            </w:pPr>
            <w:r w:rsidRPr="001E6DFD">
              <w:rPr>
                <w:sz w:val="16"/>
                <w:szCs w:val="16"/>
              </w:rPr>
              <w:t>Nombre de pays en transition ayant actualisé leurs lois et réglementations</w:t>
            </w:r>
            <w:r w:rsidR="00BA5EA9" w:rsidRPr="001E6DFD">
              <w:rPr>
                <w:sz w:val="16"/>
                <w:szCs w:val="16"/>
              </w:rPr>
              <w:t xml:space="preserve"> </w:t>
            </w:r>
          </w:p>
        </w:tc>
        <w:tc>
          <w:tcPr>
            <w:tcW w:w="1266" w:type="pct"/>
            <w:shd w:val="clear" w:color="auto" w:fill="auto"/>
            <w:tcMar>
              <w:left w:w="58" w:type="dxa"/>
              <w:right w:w="58" w:type="dxa"/>
            </w:tcMar>
          </w:tcPr>
          <w:p w14:paraId="4AEC1CE6" w14:textId="40CC09F8" w:rsidR="001F64B1" w:rsidRPr="00B4191E" w:rsidRDefault="00E64532" w:rsidP="0097226C">
            <w:pPr>
              <w:rPr>
                <w:i/>
                <w:color w:val="002060"/>
                <w:sz w:val="16"/>
                <w:szCs w:val="16"/>
              </w:rPr>
            </w:pPr>
            <w:r w:rsidRPr="00B4191E">
              <w:rPr>
                <w:i/>
                <w:color w:val="002060"/>
                <w:sz w:val="16"/>
                <w:szCs w:val="16"/>
              </w:rPr>
              <w:t>Niveau de référence actualisé à fin</w:t>
            </w:r>
            <w:r w:rsidR="00B4191E" w:rsidRPr="00B4191E">
              <w:rPr>
                <w:i/>
                <w:color w:val="002060"/>
                <w:sz w:val="16"/>
                <w:szCs w:val="16"/>
              </w:rPr>
              <w:t> </w:t>
            </w:r>
            <w:r w:rsidRPr="00B4191E">
              <w:rPr>
                <w:i/>
                <w:color w:val="002060"/>
                <w:sz w:val="16"/>
                <w:szCs w:val="16"/>
              </w:rPr>
              <w:t>2015</w:t>
            </w:r>
            <w:r w:rsidR="00FA22F6" w:rsidRPr="00B4191E">
              <w:rPr>
                <w:i/>
                <w:color w:val="002060"/>
                <w:sz w:val="16"/>
                <w:szCs w:val="16"/>
              </w:rPr>
              <w:t> :</w:t>
            </w:r>
          </w:p>
          <w:p w14:paraId="5F1D9359" w14:textId="77777777" w:rsidR="001F64B1" w:rsidRPr="00B4191E" w:rsidRDefault="00BA5EA9" w:rsidP="0097226C">
            <w:pPr>
              <w:rPr>
                <w:color w:val="002060"/>
                <w:sz w:val="16"/>
                <w:szCs w:val="16"/>
              </w:rPr>
            </w:pPr>
            <w:r w:rsidRPr="00B4191E">
              <w:rPr>
                <w:color w:val="002060"/>
                <w:sz w:val="16"/>
                <w:szCs w:val="16"/>
              </w:rPr>
              <w:t>9 (</w:t>
            </w:r>
            <w:r w:rsidR="0063461B" w:rsidRPr="00B4191E">
              <w:rPr>
                <w:color w:val="002060"/>
                <w:sz w:val="16"/>
                <w:szCs w:val="16"/>
              </w:rPr>
              <w:t>Fédération de Russie, Kazakhstan, Kirghizistan, Lettonie, Lituanie, Monténégro, République de Moldova, Tadjikistan, Turkménistan</w:t>
            </w:r>
            <w:r w:rsidRPr="00B4191E">
              <w:rPr>
                <w:color w:val="002060"/>
                <w:sz w:val="16"/>
                <w:szCs w:val="16"/>
              </w:rPr>
              <w:t>)</w:t>
            </w:r>
          </w:p>
          <w:p w14:paraId="0CAA9779" w14:textId="77777777" w:rsidR="001F64B1" w:rsidRPr="001E6DFD" w:rsidRDefault="001F64B1" w:rsidP="0097226C">
            <w:pPr>
              <w:rPr>
                <w:sz w:val="16"/>
                <w:szCs w:val="16"/>
              </w:rPr>
            </w:pPr>
          </w:p>
          <w:p w14:paraId="0781C425" w14:textId="395DC396"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184E61FC" w14:textId="77777777" w:rsidR="00BA5EA9" w:rsidRPr="001E6DFD" w:rsidRDefault="00374E71" w:rsidP="0097226C">
            <w:pPr>
              <w:rPr>
                <w:sz w:val="16"/>
                <w:szCs w:val="16"/>
              </w:rPr>
            </w:pPr>
            <w:r w:rsidRPr="001E6DFD">
              <w:rPr>
                <w:sz w:val="16"/>
                <w:szCs w:val="16"/>
              </w:rPr>
              <w:t>6 pays (2014)</w:t>
            </w:r>
          </w:p>
        </w:tc>
        <w:tc>
          <w:tcPr>
            <w:tcW w:w="758" w:type="pct"/>
            <w:shd w:val="clear" w:color="auto" w:fill="auto"/>
            <w:tcMar>
              <w:top w:w="110" w:type="dxa"/>
              <w:left w:w="58" w:type="dxa"/>
              <w:right w:w="58" w:type="dxa"/>
            </w:tcMar>
          </w:tcPr>
          <w:p w14:paraId="1211D046" w14:textId="77777777" w:rsidR="00BA5EA9" w:rsidRPr="001E6DFD" w:rsidRDefault="00374E71" w:rsidP="0097226C">
            <w:pPr>
              <w:rPr>
                <w:sz w:val="16"/>
                <w:szCs w:val="16"/>
              </w:rPr>
            </w:pPr>
            <w:r w:rsidRPr="001E6DFD">
              <w:rPr>
                <w:sz w:val="16"/>
                <w:szCs w:val="16"/>
              </w:rPr>
              <w:t>6 pays supplémentaires</w:t>
            </w:r>
          </w:p>
        </w:tc>
        <w:tc>
          <w:tcPr>
            <w:tcW w:w="1392" w:type="pct"/>
            <w:shd w:val="clear" w:color="auto" w:fill="FFFFFF"/>
            <w:tcMar>
              <w:top w:w="110" w:type="dxa"/>
              <w:left w:w="58" w:type="dxa"/>
              <w:right w:w="58" w:type="dxa"/>
            </w:tcMar>
          </w:tcPr>
          <w:p w14:paraId="506FCB18" w14:textId="77777777" w:rsidR="00BA5EA9" w:rsidRPr="001E6DFD" w:rsidRDefault="00BA5EA9" w:rsidP="0097226C">
            <w:pPr>
              <w:rPr>
                <w:sz w:val="16"/>
                <w:szCs w:val="16"/>
              </w:rPr>
            </w:pPr>
            <w:r w:rsidRPr="001E6DFD">
              <w:rPr>
                <w:sz w:val="16"/>
                <w:szCs w:val="16"/>
              </w:rPr>
              <w:t xml:space="preserve">6 </w:t>
            </w:r>
            <w:r w:rsidR="0063461B" w:rsidRPr="001E6DFD">
              <w:rPr>
                <w:sz w:val="16"/>
                <w:szCs w:val="16"/>
              </w:rPr>
              <w:t>pays</w:t>
            </w:r>
            <w:r w:rsidRPr="001E6DFD">
              <w:rPr>
                <w:sz w:val="16"/>
                <w:szCs w:val="16"/>
              </w:rPr>
              <w:t xml:space="preserve"> (</w:t>
            </w:r>
            <w:r w:rsidR="0063461B" w:rsidRPr="001E6DFD">
              <w:rPr>
                <w:sz w:val="16"/>
                <w:szCs w:val="16"/>
              </w:rPr>
              <w:t>Albanie, Fédération de Russie, Kazakhstan, Lettonie, Monténégro, République de Moldova</w:t>
            </w:r>
            <w:r w:rsidRPr="001E6DFD">
              <w:rPr>
                <w:sz w:val="16"/>
                <w:szCs w:val="16"/>
              </w:rPr>
              <w:t>)</w:t>
            </w:r>
          </w:p>
        </w:tc>
        <w:tc>
          <w:tcPr>
            <w:tcW w:w="512" w:type="pct"/>
            <w:gridSpan w:val="2"/>
            <w:shd w:val="clear" w:color="auto" w:fill="auto"/>
            <w:tcMar>
              <w:top w:w="110" w:type="dxa"/>
              <w:left w:w="58" w:type="dxa"/>
              <w:right w:w="58" w:type="dxa"/>
            </w:tcMar>
          </w:tcPr>
          <w:p w14:paraId="6BCF445D" w14:textId="77777777" w:rsidR="00BA5EA9" w:rsidRPr="001E6DFD" w:rsidRDefault="00A43B2F" w:rsidP="0097226C">
            <w:pPr>
              <w:jc w:val="center"/>
              <w:rPr>
                <w:sz w:val="16"/>
                <w:szCs w:val="16"/>
              </w:rPr>
            </w:pPr>
            <w:r w:rsidRPr="001E6DFD">
              <w:rPr>
                <w:b/>
                <w:color w:val="00B050"/>
                <w:sz w:val="16"/>
                <w:szCs w:val="16"/>
              </w:rPr>
              <w:t>En bonne voie</w:t>
            </w:r>
          </w:p>
        </w:tc>
      </w:tr>
      <w:tr w:rsidR="00FA6040" w:rsidRPr="001E6DFD" w14:paraId="66E93825" w14:textId="77777777" w:rsidTr="0097226C">
        <w:tc>
          <w:tcPr>
            <w:tcW w:w="1072" w:type="pct"/>
            <w:shd w:val="clear" w:color="auto" w:fill="auto"/>
            <w:tcMar>
              <w:left w:w="58" w:type="dxa"/>
              <w:right w:w="58" w:type="dxa"/>
            </w:tcMar>
          </w:tcPr>
          <w:p w14:paraId="56D3DBC8" w14:textId="27312E17" w:rsidR="00BA5EA9" w:rsidRPr="001E6DFD" w:rsidRDefault="00374E71" w:rsidP="0097226C">
            <w:pPr>
              <w:rPr>
                <w:sz w:val="16"/>
                <w:szCs w:val="16"/>
              </w:rPr>
            </w:pPr>
            <w:r w:rsidRPr="001E6DFD">
              <w:rPr>
                <w:sz w:val="16"/>
                <w:szCs w:val="16"/>
              </w:rPr>
              <w:t>Nombre de ratifications de traités administrés par l</w:t>
            </w:r>
            <w:r w:rsidR="00FA22F6" w:rsidRPr="001E6DFD">
              <w:rPr>
                <w:sz w:val="16"/>
                <w:szCs w:val="16"/>
              </w:rPr>
              <w:t>’</w:t>
            </w:r>
            <w:r w:rsidRPr="001E6DFD">
              <w:rPr>
                <w:sz w:val="16"/>
                <w:szCs w:val="16"/>
              </w:rPr>
              <w:t>OMPI</w:t>
            </w:r>
          </w:p>
        </w:tc>
        <w:tc>
          <w:tcPr>
            <w:tcW w:w="1266" w:type="pct"/>
            <w:shd w:val="clear" w:color="auto" w:fill="auto"/>
            <w:tcMar>
              <w:left w:w="58" w:type="dxa"/>
              <w:right w:w="58" w:type="dxa"/>
            </w:tcMar>
          </w:tcPr>
          <w:p w14:paraId="18A36E29" w14:textId="247495AD" w:rsidR="001F64B1" w:rsidRPr="00BD157F" w:rsidRDefault="00E64532" w:rsidP="0097226C">
            <w:pPr>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50C5E0F4" w14:textId="77777777" w:rsidR="001F64B1" w:rsidRPr="00BD157F" w:rsidRDefault="00BA5EA9" w:rsidP="0097226C">
            <w:pPr>
              <w:rPr>
                <w:color w:val="002060"/>
                <w:sz w:val="16"/>
                <w:szCs w:val="16"/>
              </w:rPr>
            </w:pPr>
            <w:r w:rsidRPr="00BD157F">
              <w:rPr>
                <w:color w:val="002060"/>
                <w:sz w:val="16"/>
                <w:szCs w:val="16"/>
              </w:rPr>
              <w:t>10</w:t>
            </w:r>
          </w:p>
          <w:p w14:paraId="5253C41C" w14:textId="77777777" w:rsidR="001F64B1" w:rsidRPr="001E6DFD" w:rsidRDefault="001F64B1" w:rsidP="0097226C">
            <w:pPr>
              <w:rPr>
                <w:sz w:val="16"/>
                <w:szCs w:val="16"/>
              </w:rPr>
            </w:pPr>
          </w:p>
          <w:p w14:paraId="72974D58" w14:textId="7604CD29"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17F2DBE" w14:textId="77777777" w:rsidR="00BA5EA9" w:rsidRPr="001E6DFD" w:rsidRDefault="00374E71" w:rsidP="0097226C">
            <w:pPr>
              <w:rPr>
                <w:sz w:val="16"/>
                <w:szCs w:val="16"/>
              </w:rPr>
            </w:pPr>
            <w:proofErr w:type="spellStart"/>
            <w:r w:rsidRPr="001E6DFD">
              <w:rPr>
                <w:sz w:val="16"/>
                <w:szCs w:val="16"/>
              </w:rPr>
              <w:t>n.d</w:t>
            </w:r>
            <w:proofErr w:type="spellEnd"/>
            <w:r w:rsidRPr="001E6DFD">
              <w:rPr>
                <w:sz w:val="16"/>
                <w:szCs w:val="16"/>
              </w:rPr>
              <w:t>.</w:t>
            </w:r>
          </w:p>
        </w:tc>
        <w:tc>
          <w:tcPr>
            <w:tcW w:w="758" w:type="pct"/>
            <w:shd w:val="clear" w:color="auto" w:fill="auto"/>
            <w:tcMar>
              <w:top w:w="110" w:type="dxa"/>
              <w:left w:w="58" w:type="dxa"/>
              <w:right w:w="58" w:type="dxa"/>
            </w:tcMar>
          </w:tcPr>
          <w:p w14:paraId="63366C43" w14:textId="6EAD2629" w:rsidR="00FA22F6" w:rsidRPr="00BD157F" w:rsidRDefault="00AC7D97" w:rsidP="0097226C">
            <w:pPr>
              <w:rPr>
                <w:i/>
                <w:color w:val="002060"/>
                <w:sz w:val="16"/>
                <w:szCs w:val="16"/>
              </w:rPr>
            </w:pPr>
            <w:r w:rsidRPr="00BD157F">
              <w:rPr>
                <w:i/>
                <w:color w:val="002060"/>
                <w:sz w:val="16"/>
                <w:szCs w:val="16"/>
              </w:rPr>
              <w:t>Objectif actualisé</w:t>
            </w:r>
            <w:r w:rsidR="00FA22F6" w:rsidRPr="00BD157F">
              <w:rPr>
                <w:i/>
                <w:color w:val="002060"/>
                <w:sz w:val="16"/>
                <w:szCs w:val="16"/>
              </w:rPr>
              <w:t> :</w:t>
            </w:r>
          </w:p>
          <w:p w14:paraId="6EAC97C0" w14:textId="7F2901C9" w:rsidR="001F64B1" w:rsidRPr="001303B4" w:rsidRDefault="00374E71" w:rsidP="0097226C">
            <w:pPr>
              <w:rPr>
                <w:color w:val="002060"/>
                <w:sz w:val="16"/>
                <w:szCs w:val="16"/>
              </w:rPr>
            </w:pPr>
            <w:r w:rsidRPr="00BD157F">
              <w:rPr>
                <w:color w:val="002060"/>
                <w:sz w:val="16"/>
                <w:szCs w:val="16"/>
              </w:rPr>
              <w:t>12 pays supplémentaires</w:t>
            </w:r>
          </w:p>
          <w:p w14:paraId="6E4685FA" w14:textId="77777777" w:rsidR="001F64B1" w:rsidRPr="001303B4" w:rsidRDefault="001F64B1" w:rsidP="0097226C">
            <w:pPr>
              <w:rPr>
                <w:sz w:val="16"/>
                <w:szCs w:val="16"/>
              </w:rPr>
            </w:pPr>
          </w:p>
          <w:p w14:paraId="016C0462" w14:textId="6EB56CDE" w:rsidR="00FA22F6" w:rsidRPr="001E6DFD" w:rsidRDefault="00AC7D97" w:rsidP="0097226C">
            <w:pPr>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72707C2" w14:textId="10A412A5" w:rsidR="00BA5EA9" w:rsidRPr="001E6DFD" w:rsidRDefault="00D34365" w:rsidP="0097226C">
            <w:pPr>
              <w:rPr>
                <w:sz w:val="16"/>
                <w:szCs w:val="16"/>
              </w:rPr>
            </w:pPr>
            <w:r w:rsidRPr="001E6DFD">
              <w:rPr>
                <w:sz w:val="16"/>
                <w:szCs w:val="16"/>
              </w:rPr>
              <w:t>4 pays supplémentaires</w:t>
            </w:r>
          </w:p>
        </w:tc>
        <w:tc>
          <w:tcPr>
            <w:tcW w:w="1392" w:type="pct"/>
            <w:shd w:val="clear" w:color="auto" w:fill="FFFFFF"/>
            <w:tcMar>
              <w:top w:w="110" w:type="dxa"/>
              <w:left w:w="58" w:type="dxa"/>
              <w:right w:w="58" w:type="dxa"/>
            </w:tcMar>
          </w:tcPr>
          <w:p w14:paraId="0F618122" w14:textId="77777777" w:rsidR="00BA5EA9" w:rsidRPr="001E6DFD" w:rsidRDefault="00BA5EA9" w:rsidP="0097226C">
            <w:pPr>
              <w:rPr>
                <w:sz w:val="16"/>
                <w:szCs w:val="16"/>
              </w:rPr>
            </w:pPr>
            <w:r w:rsidRPr="001E6DFD">
              <w:rPr>
                <w:sz w:val="16"/>
                <w:szCs w:val="16"/>
              </w:rPr>
              <w:t>7 ratifications (</w:t>
            </w:r>
            <w:r w:rsidR="0063461B" w:rsidRPr="001E6DFD">
              <w:rPr>
                <w:sz w:val="16"/>
                <w:szCs w:val="16"/>
              </w:rPr>
              <w:t xml:space="preserve">Australie, </w:t>
            </w:r>
            <w:proofErr w:type="spellStart"/>
            <w:r w:rsidR="0063461B" w:rsidRPr="001E6DFD">
              <w:rPr>
                <w:sz w:val="16"/>
                <w:szCs w:val="16"/>
              </w:rPr>
              <w:t>Bélarus</w:t>
            </w:r>
            <w:proofErr w:type="spellEnd"/>
            <w:r w:rsidR="0063461B" w:rsidRPr="001E6DFD">
              <w:rPr>
                <w:sz w:val="16"/>
                <w:szCs w:val="16"/>
              </w:rPr>
              <w:t>, Canada, Finlande, Israël, Japon, Turkménistan</w:t>
            </w:r>
            <w:r w:rsidRPr="001E6DFD">
              <w:rPr>
                <w:sz w:val="16"/>
                <w:szCs w:val="16"/>
              </w:rPr>
              <w:t>)</w:t>
            </w:r>
          </w:p>
        </w:tc>
        <w:tc>
          <w:tcPr>
            <w:tcW w:w="512" w:type="pct"/>
            <w:gridSpan w:val="2"/>
            <w:shd w:val="clear" w:color="auto" w:fill="auto"/>
            <w:tcMar>
              <w:top w:w="110" w:type="dxa"/>
              <w:left w:w="58" w:type="dxa"/>
              <w:right w:w="58" w:type="dxa"/>
            </w:tcMar>
          </w:tcPr>
          <w:p w14:paraId="2AA3BF28"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74D6842A" w14:textId="77777777" w:rsidTr="0097226C">
        <w:tc>
          <w:tcPr>
            <w:tcW w:w="5000" w:type="pct"/>
            <w:gridSpan w:val="6"/>
            <w:shd w:val="clear" w:color="auto" w:fill="C6D9F1" w:themeFill="text2" w:themeFillTint="33"/>
            <w:tcMar>
              <w:left w:w="58" w:type="dxa"/>
              <w:right w:w="58" w:type="dxa"/>
            </w:tcMar>
            <w:vAlign w:val="center"/>
          </w:tcPr>
          <w:p w14:paraId="1C1BE2BF" w14:textId="00ADD5D9" w:rsidR="00BA5EA9" w:rsidRPr="001E6DFD" w:rsidRDefault="00D34365" w:rsidP="0097226C">
            <w:pPr>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II.1 Utilisation élargie et plus efficace du système</w:t>
            </w:r>
            <w:r w:rsidR="00FA22F6" w:rsidRPr="001E6DFD">
              <w:rPr>
                <w:bCs/>
                <w:sz w:val="16"/>
                <w:szCs w:val="16"/>
              </w:rPr>
              <w:t xml:space="preserve"> du PCT</w:t>
            </w:r>
            <w:r w:rsidRPr="001E6DFD">
              <w:rPr>
                <w:bCs/>
                <w:sz w:val="16"/>
                <w:szCs w:val="16"/>
              </w:rPr>
              <w:t xml:space="preserve"> pour le dépôt des demandes internationales de brevet</w:t>
            </w:r>
          </w:p>
        </w:tc>
      </w:tr>
      <w:tr w:rsidR="00FA6040" w:rsidRPr="001E6DFD" w14:paraId="04DE813D" w14:textId="77777777" w:rsidTr="0097226C">
        <w:tc>
          <w:tcPr>
            <w:tcW w:w="1072" w:type="pct"/>
            <w:shd w:val="clear" w:color="auto" w:fill="auto"/>
            <w:tcMar>
              <w:left w:w="58" w:type="dxa"/>
              <w:right w:w="58" w:type="dxa"/>
            </w:tcMar>
            <w:vAlign w:val="center"/>
          </w:tcPr>
          <w:p w14:paraId="649923BC" w14:textId="3ECD2D03" w:rsidR="00BA5EA9" w:rsidRPr="001E6DFD" w:rsidRDefault="00D34365"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61FCD376" w14:textId="77777777" w:rsidR="00BA5EA9" w:rsidRPr="001E6DFD" w:rsidRDefault="00D34365" w:rsidP="0097226C">
            <w:pPr>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3B4952D9" w14:textId="77777777" w:rsidR="00BA5EA9" w:rsidRPr="001E6DFD" w:rsidRDefault="00D34365" w:rsidP="0097226C">
            <w:pPr>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06FC27C7" w14:textId="45CF1F6D" w:rsidR="00BA5EA9" w:rsidRPr="001E6DFD" w:rsidRDefault="00D34365"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128EA1B6" w14:textId="21E99EBE"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706D94A9" w14:textId="77777777" w:rsidTr="0097226C">
        <w:tc>
          <w:tcPr>
            <w:tcW w:w="1072" w:type="pct"/>
            <w:shd w:val="clear" w:color="auto" w:fill="auto"/>
            <w:tcMar>
              <w:left w:w="58" w:type="dxa"/>
              <w:right w:w="58" w:type="dxa"/>
            </w:tcMar>
          </w:tcPr>
          <w:p w14:paraId="6710A486" w14:textId="0631D9DF" w:rsidR="00BA5EA9" w:rsidRPr="001E6DFD" w:rsidRDefault="00D34365" w:rsidP="0097226C">
            <w:pPr>
              <w:ind w:right="176"/>
              <w:rPr>
                <w:sz w:val="16"/>
                <w:szCs w:val="16"/>
              </w:rPr>
            </w:pPr>
            <w:r w:rsidRPr="001E6DFD">
              <w:rPr>
                <w:sz w:val="16"/>
                <w:szCs w:val="16"/>
              </w:rPr>
              <w:t>Nombre de demandes selon</w:t>
            </w:r>
            <w:r w:rsidR="00FA22F6" w:rsidRPr="001E6DFD">
              <w:rPr>
                <w:sz w:val="16"/>
                <w:szCs w:val="16"/>
              </w:rPr>
              <w:t xml:space="preserve"> le PCT</w:t>
            </w:r>
            <w:r w:rsidRPr="001E6DFD">
              <w:rPr>
                <w:sz w:val="16"/>
                <w:szCs w:val="16"/>
              </w:rPr>
              <w:t xml:space="preserve"> originaires de pays en transition et de pays développés</w:t>
            </w:r>
          </w:p>
        </w:tc>
        <w:tc>
          <w:tcPr>
            <w:tcW w:w="1266" w:type="pct"/>
            <w:shd w:val="clear" w:color="auto" w:fill="auto"/>
            <w:tcMar>
              <w:left w:w="58" w:type="dxa"/>
              <w:right w:w="58" w:type="dxa"/>
            </w:tcMar>
          </w:tcPr>
          <w:p w14:paraId="04849EB2" w14:textId="146AB0CA" w:rsidR="001F64B1" w:rsidRPr="00BD157F" w:rsidRDefault="00E64532" w:rsidP="0097226C">
            <w:pPr>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6EC8C95C" w14:textId="77777777" w:rsidR="001F64B1" w:rsidRPr="00BD157F" w:rsidRDefault="00BA5EA9" w:rsidP="0097226C">
            <w:pPr>
              <w:rPr>
                <w:color w:val="002060"/>
                <w:sz w:val="16"/>
                <w:szCs w:val="16"/>
              </w:rPr>
            </w:pPr>
            <w:r w:rsidRPr="00BD157F">
              <w:rPr>
                <w:color w:val="002060"/>
                <w:sz w:val="16"/>
                <w:szCs w:val="16"/>
              </w:rPr>
              <w:t>1</w:t>
            </w:r>
            <w:r w:rsidR="00282CF5" w:rsidRPr="00BD157F">
              <w:rPr>
                <w:color w:val="002060"/>
                <w:sz w:val="16"/>
                <w:szCs w:val="16"/>
              </w:rPr>
              <w:t>70 177</w:t>
            </w:r>
            <w:r w:rsidRPr="00BD157F">
              <w:rPr>
                <w:color w:val="002060"/>
                <w:sz w:val="16"/>
                <w:szCs w:val="16"/>
              </w:rPr>
              <w:t xml:space="preserve"> (2014) (+2.15%)</w:t>
            </w:r>
          </w:p>
          <w:p w14:paraId="27E1BF31" w14:textId="4690476A" w:rsidR="001F64B1" w:rsidRPr="00BD157F" w:rsidRDefault="00BA5EA9" w:rsidP="0097226C">
            <w:pPr>
              <w:rPr>
                <w:color w:val="002060"/>
                <w:sz w:val="16"/>
                <w:szCs w:val="16"/>
              </w:rPr>
            </w:pPr>
            <w:r w:rsidRPr="00BD157F">
              <w:rPr>
                <w:color w:val="002060"/>
                <w:sz w:val="16"/>
                <w:szCs w:val="16"/>
              </w:rPr>
              <w:t>1</w:t>
            </w:r>
            <w:r w:rsidR="00282CF5" w:rsidRPr="00BD157F">
              <w:rPr>
                <w:color w:val="002060"/>
                <w:sz w:val="16"/>
                <w:szCs w:val="16"/>
              </w:rPr>
              <w:t>68 207</w:t>
            </w:r>
            <w:r w:rsidRPr="00BD157F">
              <w:rPr>
                <w:color w:val="002060"/>
                <w:sz w:val="16"/>
                <w:szCs w:val="16"/>
              </w:rPr>
              <w:t xml:space="preserve"> (2015) (</w:t>
            </w:r>
            <w:r w:rsidR="006A41CF" w:rsidRPr="00BD157F">
              <w:rPr>
                <w:color w:val="002060"/>
                <w:sz w:val="16"/>
                <w:szCs w:val="16"/>
              </w:rPr>
              <w:noBreakHyphen/>
            </w:r>
            <w:r w:rsidRPr="00BD157F">
              <w:rPr>
                <w:color w:val="002060"/>
                <w:sz w:val="16"/>
                <w:szCs w:val="16"/>
              </w:rPr>
              <w:t>1.17%)</w:t>
            </w:r>
          </w:p>
          <w:p w14:paraId="1A707C84" w14:textId="77777777" w:rsidR="001F64B1" w:rsidRPr="00BD157F" w:rsidRDefault="00C8218F" w:rsidP="0097226C">
            <w:pPr>
              <w:rPr>
                <w:color w:val="002060"/>
                <w:sz w:val="16"/>
                <w:szCs w:val="16"/>
              </w:rPr>
            </w:pPr>
            <w:r w:rsidRPr="00BD157F">
              <w:rPr>
                <w:color w:val="002060"/>
                <w:sz w:val="16"/>
                <w:szCs w:val="16"/>
              </w:rPr>
              <w:t>+3,5% (exercice biennal)</w:t>
            </w:r>
          </w:p>
          <w:p w14:paraId="686592E4" w14:textId="77777777" w:rsidR="001F64B1" w:rsidRPr="001E6DFD" w:rsidRDefault="001F64B1" w:rsidP="0097226C">
            <w:pPr>
              <w:rPr>
                <w:sz w:val="16"/>
                <w:szCs w:val="16"/>
              </w:rPr>
            </w:pPr>
          </w:p>
          <w:p w14:paraId="1BC124D9" w14:textId="1F0AFD26"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BAF6183" w14:textId="77777777" w:rsidR="00BA5EA9" w:rsidRPr="001E6DFD" w:rsidRDefault="00BA5EA9" w:rsidP="0097226C">
            <w:pPr>
              <w:rPr>
                <w:sz w:val="16"/>
                <w:szCs w:val="16"/>
                <w:lang w:bidi="th-TH"/>
              </w:rPr>
            </w:pPr>
            <w:r w:rsidRPr="001E6DFD">
              <w:rPr>
                <w:sz w:val="16"/>
                <w:szCs w:val="16"/>
                <w:lang w:bidi="th-TH"/>
              </w:rPr>
              <w:t>1</w:t>
            </w:r>
            <w:r w:rsidR="00282CF5" w:rsidRPr="001E6DFD">
              <w:rPr>
                <w:sz w:val="16"/>
                <w:szCs w:val="16"/>
                <w:lang w:bidi="th-TH"/>
              </w:rPr>
              <w:t>70 317</w:t>
            </w:r>
            <w:r w:rsidRPr="001E6DFD">
              <w:rPr>
                <w:sz w:val="16"/>
                <w:szCs w:val="16"/>
                <w:lang w:bidi="th-TH"/>
              </w:rPr>
              <w:t xml:space="preserve"> (2014)</w:t>
            </w:r>
          </w:p>
        </w:tc>
        <w:tc>
          <w:tcPr>
            <w:tcW w:w="758" w:type="pct"/>
            <w:shd w:val="clear" w:color="auto" w:fill="auto"/>
            <w:tcMar>
              <w:top w:w="110" w:type="dxa"/>
              <w:left w:w="58" w:type="dxa"/>
              <w:right w:w="58" w:type="dxa"/>
            </w:tcMar>
          </w:tcPr>
          <w:p w14:paraId="723CBFC5" w14:textId="77777777" w:rsidR="00BA5EA9" w:rsidRPr="001E6DFD" w:rsidRDefault="00D34365" w:rsidP="0097226C">
            <w:pPr>
              <w:rPr>
                <w:sz w:val="16"/>
                <w:szCs w:val="16"/>
              </w:rPr>
            </w:pPr>
            <w:r w:rsidRPr="001E6DFD">
              <w:rPr>
                <w:sz w:val="16"/>
                <w:szCs w:val="16"/>
              </w:rPr>
              <w:t>1,5% (par an)</w:t>
            </w:r>
          </w:p>
        </w:tc>
        <w:tc>
          <w:tcPr>
            <w:tcW w:w="1392" w:type="pct"/>
            <w:shd w:val="clear" w:color="auto" w:fill="FFFFFF"/>
            <w:tcMar>
              <w:top w:w="110" w:type="dxa"/>
              <w:left w:w="58" w:type="dxa"/>
              <w:right w:w="58" w:type="dxa"/>
            </w:tcMar>
          </w:tcPr>
          <w:p w14:paraId="1F95D8F6" w14:textId="028E8300" w:rsidR="001F64B1" w:rsidRPr="001E6DFD" w:rsidRDefault="00BA5EA9" w:rsidP="0097226C">
            <w:pPr>
              <w:rPr>
                <w:sz w:val="16"/>
                <w:szCs w:val="16"/>
              </w:rPr>
            </w:pPr>
            <w:r w:rsidRPr="001E6DFD">
              <w:rPr>
                <w:sz w:val="16"/>
                <w:szCs w:val="16"/>
              </w:rPr>
              <w:t>1</w:t>
            </w:r>
            <w:r w:rsidR="00282CF5" w:rsidRPr="001E6DFD">
              <w:rPr>
                <w:sz w:val="16"/>
                <w:szCs w:val="16"/>
              </w:rPr>
              <w:t>68 832</w:t>
            </w:r>
          </w:p>
          <w:p w14:paraId="52B11A86" w14:textId="77777777" w:rsidR="00BA5EA9" w:rsidRPr="001E6DFD" w:rsidRDefault="00BA5EA9" w:rsidP="0097226C">
            <w:pPr>
              <w:rPr>
                <w:sz w:val="16"/>
                <w:szCs w:val="16"/>
              </w:rPr>
            </w:pPr>
            <w:r w:rsidRPr="001E6DFD">
              <w:rPr>
                <w:sz w:val="16"/>
                <w:szCs w:val="16"/>
              </w:rPr>
              <w:t>+</w:t>
            </w:r>
            <w:r w:rsidR="00505EF6" w:rsidRPr="001E6DFD">
              <w:rPr>
                <w:sz w:val="16"/>
                <w:szCs w:val="16"/>
              </w:rPr>
              <w:t>0,4%</w:t>
            </w:r>
          </w:p>
        </w:tc>
        <w:tc>
          <w:tcPr>
            <w:tcW w:w="512" w:type="pct"/>
            <w:gridSpan w:val="2"/>
            <w:shd w:val="clear" w:color="auto" w:fill="auto"/>
            <w:tcMar>
              <w:top w:w="110" w:type="dxa"/>
              <w:left w:w="58" w:type="dxa"/>
              <w:right w:w="58" w:type="dxa"/>
            </w:tcMar>
          </w:tcPr>
          <w:p w14:paraId="6F53799E" w14:textId="77777777" w:rsidR="00BA5EA9" w:rsidRPr="001E6DFD" w:rsidRDefault="00505EF6" w:rsidP="0097226C">
            <w:pPr>
              <w:jc w:val="center"/>
              <w:rPr>
                <w:b/>
                <w:sz w:val="16"/>
                <w:szCs w:val="16"/>
              </w:rPr>
            </w:pPr>
            <w:r w:rsidRPr="001E6DFD">
              <w:rPr>
                <w:b/>
                <w:color w:val="FF0000"/>
                <w:sz w:val="16"/>
                <w:szCs w:val="16"/>
              </w:rPr>
              <w:t>Pas en bonne voie</w:t>
            </w:r>
          </w:p>
        </w:tc>
      </w:tr>
      <w:tr w:rsidR="00FA6040" w:rsidRPr="001E6DFD" w14:paraId="1A8D388D" w14:textId="77777777" w:rsidTr="0097226C">
        <w:tc>
          <w:tcPr>
            <w:tcW w:w="1072" w:type="pct"/>
            <w:shd w:val="clear" w:color="auto" w:fill="auto"/>
            <w:tcMar>
              <w:left w:w="58" w:type="dxa"/>
              <w:right w:w="58" w:type="dxa"/>
            </w:tcMar>
          </w:tcPr>
          <w:p w14:paraId="36ED17BF" w14:textId="58CA0507" w:rsidR="00BA5EA9" w:rsidRPr="001E6DFD" w:rsidRDefault="00D34365" w:rsidP="00BD157F">
            <w:pPr>
              <w:keepNext/>
              <w:keepLines/>
              <w:ind w:right="176"/>
              <w:rPr>
                <w:sz w:val="16"/>
                <w:szCs w:val="16"/>
              </w:rPr>
            </w:pPr>
            <w:r w:rsidRPr="001E6DFD">
              <w:rPr>
                <w:sz w:val="16"/>
                <w:szCs w:val="16"/>
              </w:rPr>
              <w:lastRenderedPageBreak/>
              <w:t>Pourcentage de répondants ayant utilisé plus fréquemment les services de l</w:t>
            </w:r>
            <w:r w:rsidR="00FA22F6" w:rsidRPr="001E6DFD">
              <w:rPr>
                <w:sz w:val="16"/>
                <w:szCs w:val="16"/>
              </w:rPr>
              <w:t>’</w:t>
            </w:r>
            <w:r w:rsidRPr="001E6DFD">
              <w:rPr>
                <w:sz w:val="16"/>
                <w:szCs w:val="16"/>
              </w:rPr>
              <w:t>OMPI dans les six</w:t>
            </w:r>
            <w:r w:rsidR="004D421A" w:rsidRPr="001E6DFD">
              <w:rPr>
                <w:sz w:val="16"/>
                <w:szCs w:val="16"/>
              </w:rPr>
              <w:t> </w:t>
            </w:r>
            <w:r w:rsidRPr="001E6DFD">
              <w:rPr>
                <w:sz w:val="16"/>
                <w:szCs w:val="16"/>
              </w:rPr>
              <w:t>mois suivant leur participation aux Séminaires itinérants consacrés aux services et initiatives de l</w:t>
            </w:r>
            <w:r w:rsidR="00FA22F6" w:rsidRPr="001E6DFD">
              <w:rPr>
                <w:sz w:val="16"/>
                <w:szCs w:val="16"/>
              </w:rPr>
              <w:t>’</w:t>
            </w:r>
            <w:r w:rsidRPr="001E6DFD">
              <w:rPr>
                <w:sz w:val="16"/>
                <w:szCs w:val="16"/>
              </w:rPr>
              <w:t>OMPI</w:t>
            </w:r>
          </w:p>
        </w:tc>
        <w:tc>
          <w:tcPr>
            <w:tcW w:w="1266" w:type="pct"/>
            <w:shd w:val="clear" w:color="auto" w:fill="auto"/>
            <w:tcMar>
              <w:left w:w="58" w:type="dxa"/>
              <w:right w:w="58" w:type="dxa"/>
            </w:tcMar>
          </w:tcPr>
          <w:p w14:paraId="40B4DA12" w14:textId="74D86267" w:rsidR="001F64B1" w:rsidRPr="00BD157F" w:rsidRDefault="00E64532" w:rsidP="00BD157F">
            <w:pPr>
              <w:keepNext/>
              <w:keepLines/>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751EBCA7" w14:textId="77777777" w:rsidR="001F64B1" w:rsidRPr="00BD157F" w:rsidRDefault="00BA5EA9" w:rsidP="00BD157F">
            <w:pPr>
              <w:keepNext/>
              <w:keepLines/>
              <w:rPr>
                <w:color w:val="002060"/>
                <w:sz w:val="16"/>
                <w:szCs w:val="16"/>
              </w:rPr>
            </w:pPr>
            <w:r w:rsidRPr="00BD157F">
              <w:rPr>
                <w:color w:val="002060"/>
                <w:sz w:val="16"/>
                <w:szCs w:val="16"/>
              </w:rPr>
              <w:t>35%</w:t>
            </w:r>
          </w:p>
          <w:p w14:paraId="373843E3" w14:textId="77777777" w:rsidR="001F64B1" w:rsidRPr="001E6DFD" w:rsidRDefault="001F64B1" w:rsidP="00BD157F">
            <w:pPr>
              <w:keepNext/>
              <w:keepLines/>
              <w:rPr>
                <w:sz w:val="16"/>
                <w:szCs w:val="16"/>
              </w:rPr>
            </w:pPr>
          </w:p>
          <w:p w14:paraId="049120A1" w14:textId="6FF95A9A" w:rsidR="001F64B1" w:rsidRPr="001E6DFD" w:rsidRDefault="00E64532" w:rsidP="00BD157F">
            <w:pPr>
              <w:keepNext/>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E9D66B3" w14:textId="77777777" w:rsidR="00BA5EA9" w:rsidRPr="001E6DFD" w:rsidRDefault="00BA5EA9" w:rsidP="00BD157F">
            <w:pPr>
              <w:keepNext/>
              <w:keepLines/>
              <w:rPr>
                <w:sz w:val="16"/>
                <w:szCs w:val="16"/>
                <w:lang w:bidi="th-TH"/>
              </w:rPr>
            </w:pPr>
            <w:r w:rsidRPr="001E6DFD">
              <w:rPr>
                <w:sz w:val="16"/>
                <w:szCs w:val="16"/>
                <w:lang w:bidi="th-TH"/>
              </w:rPr>
              <w:t>18%</w:t>
            </w:r>
          </w:p>
        </w:tc>
        <w:tc>
          <w:tcPr>
            <w:tcW w:w="758" w:type="pct"/>
            <w:shd w:val="clear" w:color="auto" w:fill="auto"/>
            <w:tcMar>
              <w:top w:w="110" w:type="dxa"/>
              <w:left w:w="58" w:type="dxa"/>
              <w:right w:w="58" w:type="dxa"/>
            </w:tcMar>
          </w:tcPr>
          <w:p w14:paraId="00430FEC" w14:textId="3B617670" w:rsidR="00FA22F6" w:rsidRPr="00BD157F" w:rsidRDefault="00AC7D97" w:rsidP="00BD157F">
            <w:pPr>
              <w:keepNext/>
              <w:keepLines/>
              <w:rPr>
                <w:i/>
                <w:color w:val="002060"/>
                <w:sz w:val="16"/>
                <w:szCs w:val="16"/>
              </w:rPr>
            </w:pPr>
            <w:r w:rsidRPr="00BD157F">
              <w:rPr>
                <w:i/>
                <w:color w:val="002060"/>
                <w:sz w:val="16"/>
                <w:szCs w:val="16"/>
              </w:rPr>
              <w:t>Objectif actualisé</w:t>
            </w:r>
            <w:r w:rsidR="00FA22F6" w:rsidRPr="00BD157F">
              <w:rPr>
                <w:i/>
                <w:color w:val="002060"/>
                <w:sz w:val="16"/>
                <w:szCs w:val="16"/>
              </w:rPr>
              <w:t> :</w:t>
            </w:r>
          </w:p>
          <w:p w14:paraId="67ABBE28" w14:textId="5CE55447" w:rsidR="001F64B1" w:rsidRPr="00BD157F" w:rsidRDefault="00D34365" w:rsidP="00BD157F">
            <w:pPr>
              <w:keepNext/>
              <w:keepLines/>
              <w:rPr>
                <w:color w:val="002060"/>
                <w:sz w:val="16"/>
                <w:szCs w:val="16"/>
              </w:rPr>
            </w:pPr>
            <w:r w:rsidRPr="00BD157F">
              <w:rPr>
                <w:color w:val="002060"/>
                <w:sz w:val="16"/>
                <w:szCs w:val="16"/>
              </w:rPr>
              <w:t>25% de répondants ayant utilisé plus fréquemment les services de l</w:t>
            </w:r>
            <w:r w:rsidR="00FA22F6" w:rsidRPr="00BD157F">
              <w:rPr>
                <w:color w:val="002060"/>
                <w:sz w:val="16"/>
                <w:szCs w:val="16"/>
              </w:rPr>
              <w:t>’</w:t>
            </w:r>
            <w:r w:rsidRPr="00BD157F">
              <w:rPr>
                <w:color w:val="002060"/>
                <w:sz w:val="16"/>
                <w:szCs w:val="16"/>
              </w:rPr>
              <w:t>OMPI</w:t>
            </w:r>
          </w:p>
          <w:p w14:paraId="42AB0389" w14:textId="77777777" w:rsidR="001F64B1" w:rsidRPr="001E6DFD" w:rsidRDefault="001F64B1" w:rsidP="00BD157F">
            <w:pPr>
              <w:keepNext/>
              <w:keepLines/>
              <w:rPr>
                <w:sz w:val="16"/>
                <w:szCs w:val="16"/>
              </w:rPr>
            </w:pPr>
          </w:p>
          <w:p w14:paraId="35B3740A" w14:textId="7B0EC996" w:rsidR="001F64B1" w:rsidRPr="001E6DFD" w:rsidRDefault="006C5CB0" w:rsidP="00BD157F">
            <w:pPr>
              <w:keepNext/>
              <w:keepLines/>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077723C" w14:textId="5E92C461" w:rsidR="00BA5EA9" w:rsidRPr="001E6DFD" w:rsidRDefault="00D34365" w:rsidP="00BD157F">
            <w:pPr>
              <w:keepNext/>
              <w:keepLines/>
              <w:rPr>
                <w:sz w:val="16"/>
                <w:szCs w:val="16"/>
              </w:rPr>
            </w:pPr>
            <w:r w:rsidRPr="001E6DFD">
              <w:rPr>
                <w:sz w:val="16"/>
                <w:szCs w:val="16"/>
              </w:rPr>
              <w:t>20% de répondants ayant utilisé plus fréquemment les services de l</w:t>
            </w:r>
            <w:r w:rsidR="00FA22F6" w:rsidRPr="001E6DFD">
              <w:rPr>
                <w:sz w:val="16"/>
                <w:szCs w:val="16"/>
              </w:rPr>
              <w:t>’</w:t>
            </w:r>
            <w:r w:rsidRPr="001E6DFD">
              <w:rPr>
                <w:sz w:val="16"/>
                <w:szCs w:val="16"/>
              </w:rPr>
              <w:t>OMPI</w:t>
            </w:r>
          </w:p>
        </w:tc>
        <w:tc>
          <w:tcPr>
            <w:tcW w:w="1392" w:type="pct"/>
            <w:shd w:val="clear" w:color="auto" w:fill="FFFFFF"/>
            <w:tcMar>
              <w:top w:w="110" w:type="dxa"/>
              <w:left w:w="58" w:type="dxa"/>
              <w:right w:w="58" w:type="dxa"/>
            </w:tcMar>
          </w:tcPr>
          <w:p w14:paraId="41663007" w14:textId="158DE9FC" w:rsidR="00BA5EA9" w:rsidRPr="00BD157F" w:rsidRDefault="00BA5EA9" w:rsidP="00BD157F">
            <w:pPr>
              <w:keepNext/>
              <w:keepLines/>
              <w:rPr>
                <w:sz w:val="16"/>
                <w:szCs w:val="16"/>
              </w:rPr>
            </w:pPr>
            <w:r w:rsidRPr="00BD157F">
              <w:rPr>
                <w:sz w:val="16"/>
                <w:szCs w:val="16"/>
              </w:rPr>
              <w:t xml:space="preserve">20% </w:t>
            </w:r>
            <w:r w:rsidR="00E546C8" w:rsidRPr="00BD157F">
              <w:rPr>
                <w:sz w:val="16"/>
                <w:szCs w:val="16"/>
              </w:rPr>
              <w:t xml:space="preserve">des </w:t>
            </w:r>
            <w:r w:rsidR="0002542E" w:rsidRPr="00BD157F">
              <w:rPr>
                <w:sz w:val="16"/>
                <w:szCs w:val="16"/>
              </w:rPr>
              <w:t>répondants</w:t>
            </w:r>
            <w:r w:rsidR="00E546C8" w:rsidRPr="00BD157F">
              <w:rPr>
                <w:sz w:val="16"/>
                <w:szCs w:val="16"/>
              </w:rPr>
              <w:t xml:space="preserve"> ont déclaré </w:t>
            </w:r>
            <w:r w:rsidR="002F6633" w:rsidRPr="00BD157F">
              <w:rPr>
                <w:sz w:val="16"/>
                <w:szCs w:val="16"/>
              </w:rPr>
              <w:t>utiliser plus fréquemment les services de l</w:t>
            </w:r>
            <w:r w:rsidR="00FA22F6" w:rsidRPr="00BD157F">
              <w:rPr>
                <w:sz w:val="16"/>
                <w:szCs w:val="16"/>
              </w:rPr>
              <w:t>’</w:t>
            </w:r>
            <w:r w:rsidR="002F6633" w:rsidRPr="00BD157F">
              <w:rPr>
                <w:sz w:val="16"/>
                <w:szCs w:val="16"/>
              </w:rPr>
              <w:t>OMPI</w:t>
            </w:r>
          </w:p>
        </w:tc>
        <w:tc>
          <w:tcPr>
            <w:tcW w:w="512" w:type="pct"/>
            <w:gridSpan w:val="2"/>
            <w:shd w:val="clear" w:color="auto" w:fill="auto"/>
            <w:tcMar>
              <w:top w:w="110" w:type="dxa"/>
              <w:left w:w="58" w:type="dxa"/>
              <w:right w:w="58" w:type="dxa"/>
            </w:tcMar>
          </w:tcPr>
          <w:p w14:paraId="084D5A48" w14:textId="77777777" w:rsidR="00BA5EA9" w:rsidRPr="001E6DFD" w:rsidRDefault="00A43B2F" w:rsidP="00BD157F">
            <w:pPr>
              <w:keepNext/>
              <w:keepLines/>
              <w:jc w:val="center"/>
              <w:rPr>
                <w:sz w:val="16"/>
                <w:szCs w:val="16"/>
              </w:rPr>
            </w:pPr>
            <w:r w:rsidRPr="001E6DFD">
              <w:rPr>
                <w:b/>
                <w:color w:val="00B050"/>
                <w:sz w:val="16"/>
                <w:szCs w:val="16"/>
              </w:rPr>
              <w:t>En bonne voie</w:t>
            </w:r>
          </w:p>
        </w:tc>
      </w:tr>
      <w:tr w:rsidR="00BA5EA9" w:rsidRPr="001E6DFD" w14:paraId="6172C60E" w14:textId="77777777" w:rsidTr="0097226C">
        <w:tc>
          <w:tcPr>
            <w:tcW w:w="5000" w:type="pct"/>
            <w:gridSpan w:val="6"/>
            <w:shd w:val="clear" w:color="auto" w:fill="C6D9F1" w:themeFill="text2" w:themeFillTint="33"/>
            <w:tcMar>
              <w:left w:w="58" w:type="dxa"/>
              <w:right w:w="58" w:type="dxa"/>
            </w:tcMar>
            <w:vAlign w:val="center"/>
          </w:tcPr>
          <w:p w14:paraId="36BF3C22" w14:textId="3056633D" w:rsidR="00BA5EA9" w:rsidRPr="001E6DFD" w:rsidRDefault="00D34365" w:rsidP="0097226C">
            <w:pPr>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 xml:space="preserve">II.4 Utilisation élargie et plus efficace du système de </w:t>
            </w:r>
            <w:r w:rsidR="00FA22F6" w:rsidRPr="001E6DFD">
              <w:rPr>
                <w:bCs/>
                <w:sz w:val="16"/>
                <w:szCs w:val="16"/>
              </w:rPr>
              <w:t>La Haye</w:t>
            </w:r>
            <w:r w:rsidRPr="001E6DFD">
              <w:rPr>
                <w:bCs/>
                <w:sz w:val="16"/>
                <w:szCs w:val="16"/>
              </w:rPr>
              <w:t>, notamment par les pays en développement et</w:t>
            </w:r>
            <w:r w:rsidR="00FA22F6" w:rsidRPr="001E6DFD">
              <w:rPr>
                <w:bCs/>
                <w:sz w:val="16"/>
                <w:szCs w:val="16"/>
              </w:rPr>
              <w:t xml:space="preserve"> les PMA</w:t>
            </w:r>
          </w:p>
        </w:tc>
      </w:tr>
      <w:tr w:rsidR="00FA6040" w:rsidRPr="001E6DFD" w14:paraId="41873B40" w14:textId="77777777" w:rsidTr="0097226C">
        <w:tc>
          <w:tcPr>
            <w:tcW w:w="1072" w:type="pct"/>
            <w:shd w:val="clear" w:color="auto" w:fill="auto"/>
            <w:tcMar>
              <w:left w:w="58" w:type="dxa"/>
              <w:right w:w="58" w:type="dxa"/>
            </w:tcMar>
            <w:vAlign w:val="center"/>
          </w:tcPr>
          <w:p w14:paraId="0B2501E6" w14:textId="3AEAC06E" w:rsidR="00BA5EA9" w:rsidRPr="001E6DFD" w:rsidRDefault="00D34365"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25C67CDE" w14:textId="77777777" w:rsidR="00BA5EA9" w:rsidRPr="001E6DFD" w:rsidRDefault="00D34365" w:rsidP="0097226C">
            <w:pPr>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4AB11FD9" w14:textId="77777777" w:rsidR="00BA5EA9" w:rsidRPr="001E6DFD" w:rsidRDefault="00D34365" w:rsidP="0097226C">
            <w:pPr>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081FA173" w14:textId="2000FC7A" w:rsidR="00BA5EA9" w:rsidRPr="001E6DFD" w:rsidRDefault="00D34365"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4081758B" w14:textId="6FB3D56E"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30FF4ACC" w14:textId="77777777" w:rsidTr="0097226C">
        <w:tc>
          <w:tcPr>
            <w:tcW w:w="1072" w:type="pct"/>
            <w:shd w:val="clear" w:color="auto" w:fill="auto"/>
            <w:tcMar>
              <w:left w:w="58" w:type="dxa"/>
              <w:right w:w="58" w:type="dxa"/>
            </w:tcMar>
          </w:tcPr>
          <w:p w14:paraId="7BF8D359" w14:textId="32ED688B" w:rsidR="00BA5EA9" w:rsidRPr="001E6DFD" w:rsidRDefault="00D34365" w:rsidP="0097226C">
            <w:pPr>
              <w:rPr>
                <w:sz w:val="16"/>
                <w:szCs w:val="16"/>
              </w:rPr>
            </w:pPr>
            <w:r w:rsidRPr="001E6DFD">
              <w:rPr>
                <w:sz w:val="16"/>
                <w:szCs w:val="16"/>
              </w:rPr>
              <w:t xml:space="preserve">Nombre de demandes déposées selon le système de </w:t>
            </w:r>
            <w:r w:rsidR="00FA22F6" w:rsidRPr="001E6DFD">
              <w:rPr>
                <w:sz w:val="16"/>
                <w:szCs w:val="16"/>
              </w:rPr>
              <w:t>La Haye</w:t>
            </w:r>
            <w:r w:rsidRPr="001E6DFD">
              <w:rPr>
                <w:sz w:val="16"/>
                <w:szCs w:val="16"/>
              </w:rPr>
              <w:t xml:space="preserve"> émanant de pays en transition et de pays développés</w:t>
            </w:r>
          </w:p>
        </w:tc>
        <w:tc>
          <w:tcPr>
            <w:tcW w:w="1266" w:type="pct"/>
            <w:shd w:val="clear" w:color="auto" w:fill="auto"/>
            <w:tcMar>
              <w:left w:w="58" w:type="dxa"/>
              <w:right w:w="58" w:type="dxa"/>
            </w:tcMar>
          </w:tcPr>
          <w:p w14:paraId="13D0FA04" w14:textId="48ECED9D" w:rsidR="001F64B1" w:rsidRPr="00BD157F" w:rsidRDefault="00E64532" w:rsidP="0097226C">
            <w:pPr>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53142885" w14:textId="77777777" w:rsidR="001F64B1" w:rsidRPr="00BD157F" w:rsidRDefault="00BA5EA9" w:rsidP="0097226C">
            <w:pPr>
              <w:rPr>
                <w:color w:val="002060"/>
                <w:sz w:val="16"/>
                <w:szCs w:val="16"/>
              </w:rPr>
            </w:pPr>
            <w:r w:rsidRPr="00BD157F">
              <w:rPr>
                <w:color w:val="002060"/>
                <w:sz w:val="16"/>
                <w:szCs w:val="16"/>
              </w:rPr>
              <w:t>3448 (2015) +24%</w:t>
            </w:r>
          </w:p>
          <w:p w14:paraId="47635194" w14:textId="77777777" w:rsidR="001F64B1" w:rsidRPr="001E6DFD" w:rsidRDefault="001F64B1" w:rsidP="0097226C">
            <w:pPr>
              <w:rPr>
                <w:sz w:val="16"/>
                <w:szCs w:val="16"/>
              </w:rPr>
            </w:pPr>
          </w:p>
          <w:p w14:paraId="483D7DBF" w14:textId="37E8E6B6"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A0DE033" w14:textId="77777777" w:rsidR="00BA5EA9" w:rsidRPr="001E6DFD" w:rsidRDefault="00BA5EA9" w:rsidP="0097226C">
            <w:pPr>
              <w:rPr>
                <w:sz w:val="16"/>
                <w:szCs w:val="16"/>
                <w:lang w:bidi="th-TH"/>
              </w:rPr>
            </w:pPr>
            <w:r w:rsidRPr="001E6DFD">
              <w:rPr>
                <w:sz w:val="16"/>
                <w:szCs w:val="16"/>
                <w:lang w:bidi="th-TH"/>
              </w:rPr>
              <w:t>2776 (2014)</w:t>
            </w:r>
          </w:p>
        </w:tc>
        <w:tc>
          <w:tcPr>
            <w:tcW w:w="758" w:type="pct"/>
            <w:shd w:val="clear" w:color="auto" w:fill="auto"/>
            <w:tcMar>
              <w:top w:w="110" w:type="dxa"/>
              <w:left w:w="58" w:type="dxa"/>
              <w:right w:w="58" w:type="dxa"/>
            </w:tcMar>
          </w:tcPr>
          <w:p w14:paraId="039776A4" w14:textId="5407DF1C" w:rsidR="00FA22F6" w:rsidRPr="00BD157F" w:rsidRDefault="00AC7D97" w:rsidP="0097226C">
            <w:pPr>
              <w:rPr>
                <w:i/>
                <w:color w:val="002060"/>
                <w:sz w:val="16"/>
                <w:szCs w:val="16"/>
              </w:rPr>
            </w:pPr>
            <w:r w:rsidRPr="00BD157F">
              <w:rPr>
                <w:i/>
                <w:color w:val="002060"/>
                <w:sz w:val="16"/>
                <w:szCs w:val="16"/>
              </w:rPr>
              <w:t>Objectif actualisé</w:t>
            </w:r>
            <w:r w:rsidR="00FA22F6" w:rsidRPr="00BD157F">
              <w:rPr>
                <w:i/>
                <w:color w:val="002060"/>
                <w:sz w:val="16"/>
                <w:szCs w:val="16"/>
              </w:rPr>
              <w:t> :</w:t>
            </w:r>
          </w:p>
          <w:p w14:paraId="3498D371" w14:textId="27C67587" w:rsidR="001F64B1" w:rsidRPr="00BD157F" w:rsidRDefault="00F13A68" w:rsidP="0097226C">
            <w:pPr>
              <w:rPr>
                <w:color w:val="002060"/>
                <w:sz w:val="16"/>
                <w:szCs w:val="16"/>
              </w:rPr>
            </w:pPr>
            <w:r w:rsidRPr="00BD157F">
              <w:rPr>
                <w:color w:val="002060"/>
                <w:sz w:val="16"/>
                <w:szCs w:val="16"/>
              </w:rPr>
              <w:t xml:space="preserve">augmentation de </w:t>
            </w:r>
            <w:r w:rsidR="00BA5EA9" w:rsidRPr="00BD157F">
              <w:rPr>
                <w:color w:val="002060"/>
                <w:sz w:val="16"/>
                <w:szCs w:val="16"/>
              </w:rPr>
              <w:t>10% (</w:t>
            </w:r>
            <w:r w:rsidRPr="00BD157F">
              <w:rPr>
                <w:color w:val="002060"/>
                <w:sz w:val="16"/>
                <w:szCs w:val="16"/>
              </w:rPr>
              <w:t>par an</w:t>
            </w:r>
            <w:r w:rsidR="00BA5EA9" w:rsidRPr="00BD157F">
              <w:rPr>
                <w:color w:val="002060"/>
                <w:sz w:val="16"/>
                <w:szCs w:val="16"/>
              </w:rPr>
              <w:t>)</w:t>
            </w:r>
          </w:p>
          <w:p w14:paraId="65F46121" w14:textId="77777777" w:rsidR="001F64B1" w:rsidRPr="001303B4" w:rsidRDefault="001F64B1" w:rsidP="0097226C">
            <w:pPr>
              <w:rPr>
                <w:sz w:val="16"/>
                <w:szCs w:val="16"/>
              </w:rPr>
            </w:pPr>
          </w:p>
          <w:p w14:paraId="5EAE5DF8" w14:textId="5F3A4AF1" w:rsidR="00FA22F6" w:rsidRPr="001E6DFD" w:rsidRDefault="006C5CB0" w:rsidP="0097226C">
            <w:pPr>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6E017A9D" w14:textId="27F0DF2C" w:rsidR="00BA5EA9" w:rsidRPr="001E6DFD" w:rsidRDefault="00F13A68" w:rsidP="0097226C">
            <w:pPr>
              <w:rPr>
                <w:sz w:val="16"/>
                <w:szCs w:val="16"/>
              </w:rPr>
            </w:pPr>
            <w:r w:rsidRPr="001E6DFD">
              <w:rPr>
                <w:sz w:val="16"/>
                <w:szCs w:val="16"/>
              </w:rPr>
              <w:t xml:space="preserve">augmentation de </w:t>
            </w:r>
            <w:r w:rsidR="00505EF6" w:rsidRPr="001E6DFD">
              <w:rPr>
                <w:sz w:val="16"/>
                <w:szCs w:val="16"/>
              </w:rPr>
              <w:t>1,5%</w:t>
            </w:r>
            <w:r w:rsidR="00BA5EA9" w:rsidRPr="001E6DFD">
              <w:rPr>
                <w:sz w:val="16"/>
                <w:szCs w:val="16"/>
              </w:rPr>
              <w:t xml:space="preserve"> (</w:t>
            </w:r>
            <w:r w:rsidRPr="001E6DFD">
              <w:rPr>
                <w:sz w:val="16"/>
                <w:szCs w:val="16"/>
              </w:rPr>
              <w:t>par an</w:t>
            </w:r>
            <w:r w:rsidR="00BA5EA9" w:rsidRPr="001E6DFD">
              <w:rPr>
                <w:sz w:val="16"/>
                <w:szCs w:val="16"/>
              </w:rPr>
              <w:t>)</w:t>
            </w:r>
          </w:p>
        </w:tc>
        <w:tc>
          <w:tcPr>
            <w:tcW w:w="1392" w:type="pct"/>
            <w:shd w:val="clear" w:color="auto" w:fill="FFFFFF"/>
            <w:tcMar>
              <w:top w:w="110" w:type="dxa"/>
              <w:left w:w="58" w:type="dxa"/>
              <w:right w:w="58" w:type="dxa"/>
            </w:tcMar>
          </w:tcPr>
          <w:p w14:paraId="49C9C143" w14:textId="75A8C69A" w:rsidR="001F64B1" w:rsidRPr="001E6DFD" w:rsidRDefault="00CE0AA4" w:rsidP="0097226C">
            <w:pPr>
              <w:rPr>
                <w:sz w:val="16"/>
                <w:szCs w:val="16"/>
              </w:rPr>
            </w:pPr>
            <w:r>
              <w:rPr>
                <w:sz w:val="16"/>
                <w:szCs w:val="16"/>
              </w:rPr>
              <w:t>4 </w:t>
            </w:r>
            <w:r w:rsidR="00BA5EA9" w:rsidRPr="001E6DFD">
              <w:rPr>
                <w:sz w:val="16"/>
                <w:szCs w:val="16"/>
              </w:rPr>
              <w:t>132</w:t>
            </w:r>
          </w:p>
          <w:p w14:paraId="5C07F44A" w14:textId="77777777" w:rsidR="00BA5EA9" w:rsidRPr="001E6DFD" w:rsidRDefault="00BA5EA9" w:rsidP="0097226C">
            <w:pPr>
              <w:rPr>
                <w:sz w:val="16"/>
                <w:szCs w:val="16"/>
              </w:rPr>
            </w:pPr>
            <w:r w:rsidRPr="001E6DFD">
              <w:rPr>
                <w:sz w:val="16"/>
                <w:szCs w:val="16"/>
              </w:rPr>
              <w:t>+1</w:t>
            </w:r>
            <w:r w:rsidR="00505EF6" w:rsidRPr="001E6DFD">
              <w:rPr>
                <w:sz w:val="16"/>
                <w:szCs w:val="16"/>
              </w:rPr>
              <w:t>9,8%</w:t>
            </w:r>
          </w:p>
        </w:tc>
        <w:tc>
          <w:tcPr>
            <w:tcW w:w="512" w:type="pct"/>
            <w:gridSpan w:val="2"/>
            <w:shd w:val="clear" w:color="auto" w:fill="auto"/>
            <w:tcMar>
              <w:top w:w="110" w:type="dxa"/>
              <w:left w:w="58" w:type="dxa"/>
              <w:right w:w="58" w:type="dxa"/>
            </w:tcMar>
          </w:tcPr>
          <w:p w14:paraId="3833A9A1" w14:textId="77777777" w:rsidR="00BA5EA9" w:rsidRPr="001E6DFD" w:rsidRDefault="00A43B2F" w:rsidP="0097226C">
            <w:pPr>
              <w:jc w:val="center"/>
              <w:rPr>
                <w:b/>
                <w:sz w:val="16"/>
                <w:szCs w:val="16"/>
              </w:rPr>
            </w:pPr>
            <w:r w:rsidRPr="001E6DFD">
              <w:rPr>
                <w:b/>
                <w:color w:val="00B050"/>
                <w:sz w:val="16"/>
                <w:szCs w:val="16"/>
              </w:rPr>
              <w:t>En bonne voie</w:t>
            </w:r>
          </w:p>
        </w:tc>
      </w:tr>
      <w:tr w:rsidR="00BA5EA9" w:rsidRPr="001E6DFD" w14:paraId="140613CA" w14:textId="77777777" w:rsidTr="0097226C">
        <w:tc>
          <w:tcPr>
            <w:tcW w:w="5000" w:type="pct"/>
            <w:gridSpan w:val="6"/>
            <w:shd w:val="clear" w:color="auto" w:fill="C6D9F1" w:themeFill="text2" w:themeFillTint="33"/>
            <w:tcMar>
              <w:left w:w="58" w:type="dxa"/>
              <w:right w:w="58" w:type="dxa"/>
            </w:tcMar>
            <w:vAlign w:val="center"/>
          </w:tcPr>
          <w:p w14:paraId="4CE54E9F" w14:textId="5FFE51FB" w:rsidR="00BA5EA9" w:rsidRPr="001E6DFD" w:rsidRDefault="00C10A48" w:rsidP="0097226C">
            <w:pPr>
              <w:tabs>
                <w:tab w:val="left" w:pos="1452"/>
              </w:tabs>
              <w:jc w:val="center"/>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II.6 Utilisation élargie et plus efficace du système de Madrid, notamment par les pays en développement et</w:t>
            </w:r>
            <w:r w:rsidR="00FA22F6" w:rsidRPr="001E6DFD">
              <w:rPr>
                <w:bCs/>
                <w:sz w:val="16"/>
                <w:szCs w:val="16"/>
              </w:rPr>
              <w:t xml:space="preserve"> les PMA</w:t>
            </w:r>
          </w:p>
        </w:tc>
      </w:tr>
      <w:tr w:rsidR="00FA6040" w:rsidRPr="001E6DFD" w14:paraId="73DAA3A5" w14:textId="77777777" w:rsidTr="0097226C">
        <w:tc>
          <w:tcPr>
            <w:tcW w:w="1072" w:type="pct"/>
            <w:shd w:val="clear" w:color="auto" w:fill="auto"/>
            <w:tcMar>
              <w:left w:w="58" w:type="dxa"/>
              <w:right w:w="58" w:type="dxa"/>
            </w:tcMar>
            <w:vAlign w:val="center"/>
          </w:tcPr>
          <w:p w14:paraId="4831E0AF" w14:textId="3842AA67" w:rsidR="00BA5EA9" w:rsidRPr="001E6DFD" w:rsidRDefault="00C10A48"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3C856B2C" w14:textId="77777777" w:rsidR="00BA5EA9" w:rsidRPr="001E6DFD" w:rsidRDefault="00C10A48" w:rsidP="0097226C">
            <w:pPr>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656D4967" w14:textId="77777777" w:rsidR="00BA5EA9" w:rsidRPr="001E6DFD" w:rsidRDefault="00C10A48" w:rsidP="0097226C">
            <w:pPr>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2CA5ED21" w14:textId="6007206A" w:rsidR="00BA5EA9" w:rsidRPr="001E6DFD" w:rsidRDefault="00C10A48"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7486D65D" w14:textId="4511614F"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51CEBA86" w14:textId="77777777" w:rsidTr="0097226C">
        <w:tc>
          <w:tcPr>
            <w:tcW w:w="1072" w:type="pct"/>
            <w:shd w:val="clear" w:color="auto" w:fill="auto"/>
            <w:tcMar>
              <w:left w:w="58" w:type="dxa"/>
              <w:right w:w="58" w:type="dxa"/>
            </w:tcMar>
          </w:tcPr>
          <w:p w14:paraId="25C4E681" w14:textId="77777777" w:rsidR="00BA5EA9" w:rsidRPr="001E6DFD" w:rsidRDefault="00C10A48" w:rsidP="0097226C">
            <w:pPr>
              <w:rPr>
                <w:sz w:val="16"/>
                <w:szCs w:val="16"/>
              </w:rPr>
            </w:pPr>
            <w:r w:rsidRPr="001E6DFD">
              <w:rPr>
                <w:sz w:val="16"/>
                <w:szCs w:val="16"/>
              </w:rPr>
              <w:t>Nombre de demandes déposées selon le système de Madrid émanant de pays en transition et de pays développés</w:t>
            </w:r>
          </w:p>
        </w:tc>
        <w:tc>
          <w:tcPr>
            <w:tcW w:w="1266" w:type="pct"/>
            <w:shd w:val="clear" w:color="auto" w:fill="auto"/>
            <w:tcMar>
              <w:left w:w="58" w:type="dxa"/>
              <w:right w:w="58" w:type="dxa"/>
            </w:tcMar>
          </w:tcPr>
          <w:p w14:paraId="61502113" w14:textId="5C3188BA" w:rsidR="00FA22F6" w:rsidRPr="00BD157F" w:rsidRDefault="00E64532" w:rsidP="0097226C">
            <w:pPr>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5C0D5752" w14:textId="6257E745" w:rsidR="001F64B1" w:rsidRPr="00BD157F" w:rsidRDefault="00282CF5" w:rsidP="0097226C">
            <w:pPr>
              <w:rPr>
                <w:color w:val="002060"/>
                <w:sz w:val="16"/>
                <w:szCs w:val="16"/>
              </w:rPr>
            </w:pPr>
            <w:r w:rsidRPr="00BD157F">
              <w:rPr>
                <w:color w:val="002060"/>
                <w:sz w:val="16"/>
                <w:szCs w:val="16"/>
              </w:rPr>
              <w:t>44 570</w:t>
            </w:r>
            <w:r w:rsidR="00BA5EA9" w:rsidRPr="00BD157F">
              <w:rPr>
                <w:color w:val="002060"/>
                <w:sz w:val="16"/>
                <w:szCs w:val="16"/>
              </w:rPr>
              <w:t xml:space="preserve"> (2015) +</w:t>
            </w:r>
            <w:r w:rsidR="00505EF6" w:rsidRPr="00BD157F">
              <w:rPr>
                <w:color w:val="002060"/>
                <w:sz w:val="16"/>
                <w:szCs w:val="16"/>
              </w:rPr>
              <w:t>1,8%</w:t>
            </w:r>
          </w:p>
          <w:p w14:paraId="06DBC66D" w14:textId="77777777" w:rsidR="001F64B1" w:rsidRPr="00BD157F" w:rsidRDefault="00282CF5" w:rsidP="0097226C">
            <w:pPr>
              <w:rPr>
                <w:color w:val="002060"/>
                <w:sz w:val="16"/>
                <w:szCs w:val="16"/>
              </w:rPr>
            </w:pPr>
            <w:r w:rsidRPr="00BD157F">
              <w:rPr>
                <w:color w:val="002060"/>
                <w:sz w:val="16"/>
                <w:szCs w:val="16"/>
              </w:rPr>
              <w:t>43 748</w:t>
            </w:r>
            <w:r w:rsidR="00BA5EA9" w:rsidRPr="00BD157F">
              <w:rPr>
                <w:color w:val="002060"/>
                <w:sz w:val="16"/>
                <w:szCs w:val="16"/>
              </w:rPr>
              <w:t xml:space="preserve"> (2014)</w:t>
            </w:r>
          </w:p>
          <w:p w14:paraId="3857EAB6" w14:textId="77777777" w:rsidR="001F64B1" w:rsidRPr="001E6DFD" w:rsidRDefault="001F64B1" w:rsidP="0097226C">
            <w:pPr>
              <w:rPr>
                <w:sz w:val="16"/>
                <w:szCs w:val="16"/>
              </w:rPr>
            </w:pPr>
          </w:p>
          <w:p w14:paraId="7567487C" w14:textId="43B0A61B"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71951D6" w14:textId="758632D1" w:rsidR="00BA5EA9" w:rsidRPr="001E6DFD" w:rsidRDefault="00C10A48" w:rsidP="0097226C">
            <w:pPr>
              <w:rPr>
                <w:sz w:val="16"/>
                <w:szCs w:val="16"/>
                <w:lang w:bidi="th-TH"/>
              </w:rPr>
            </w:pPr>
            <w:r w:rsidRPr="001E6DFD">
              <w:rPr>
                <w:sz w:val="16"/>
                <w:szCs w:val="16"/>
                <w:lang w:bidi="th-TH"/>
              </w:rPr>
              <w:t>43</w:t>
            </w:r>
            <w:r w:rsidR="004D421A" w:rsidRPr="001E6DFD">
              <w:rPr>
                <w:sz w:val="16"/>
                <w:szCs w:val="16"/>
                <w:lang w:bidi="th-TH"/>
              </w:rPr>
              <w:t> </w:t>
            </w:r>
            <w:r w:rsidRPr="001E6DFD">
              <w:rPr>
                <w:sz w:val="16"/>
                <w:szCs w:val="16"/>
                <w:lang w:bidi="th-TH"/>
              </w:rPr>
              <w:t>748 (estimation</w:t>
            </w:r>
            <w:r w:rsidR="00B4191E">
              <w:rPr>
                <w:sz w:val="16"/>
                <w:szCs w:val="16"/>
                <w:lang w:bidi="th-TH"/>
              </w:rPr>
              <w:t> </w:t>
            </w:r>
            <w:r w:rsidRPr="001E6DFD">
              <w:rPr>
                <w:sz w:val="16"/>
                <w:szCs w:val="16"/>
                <w:lang w:bidi="th-TH"/>
              </w:rPr>
              <w:t>2014)</w:t>
            </w:r>
          </w:p>
        </w:tc>
        <w:tc>
          <w:tcPr>
            <w:tcW w:w="758" w:type="pct"/>
            <w:shd w:val="clear" w:color="auto" w:fill="auto"/>
            <w:tcMar>
              <w:top w:w="110" w:type="dxa"/>
              <w:left w:w="58" w:type="dxa"/>
              <w:right w:w="58" w:type="dxa"/>
            </w:tcMar>
          </w:tcPr>
          <w:p w14:paraId="11653585" w14:textId="77777777" w:rsidR="00BA5EA9" w:rsidRPr="001E6DFD" w:rsidRDefault="00F13A68" w:rsidP="0097226C">
            <w:pPr>
              <w:rPr>
                <w:sz w:val="16"/>
                <w:szCs w:val="16"/>
              </w:rPr>
            </w:pPr>
            <w:r w:rsidRPr="001E6DFD">
              <w:rPr>
                <w:sz w:val="16"/>
                <w:szCs w:val="16"/>
              </w:rPr>
              <w:t xml:space="preserve">Augmentation de </w:t>
            </w:r>
            <w:r w:rsidR="00BA5EA9" w:rsidRPr="001E6DFD">
              <w:rPr>
                <w:sz w:val="16"/>
                <w:szCs w:val="16"/>
              </w:rPr>
              <w:t>2% (</w:t>
            </w:r>
            <w:r w:rsidRPr="001E6DFD">
              <w:rPr>
                <w:sz w:val="16"/>
                <w:szCs w:val="16"/>
              </w:rPr>
              <w:t>par an</w:t>
            </w:r>
            <w:r w:rsidR="00BA5EA9" w:rsidRPr="001E6DFD">
              <w:rPr>
                <w:sz w:val="16"/>
                <w:szCs w:val="16"/>
              </w:rPr>
              <w:t>)</w:t>
            </w:r>
          </w:p>
        </w:tc>
        <w:tc>
          <w:tcPr>
            <w:tcW w:w="1392" w:type="pct"/>
            <w:shd w:val="clear" w:color="auto" w:fill="FFFFFF"/>
            <w:tcMar>
              <w:top w:w="110" w:type="dxa"/>
              <w:left w:w="58" w:type="dxa"/>
              <w:right w:w="58" w:type="dxa"/>
            </w:tcMar>
          </w:tcPr>
          <w:p w14:paraId="0441A30C" w14:textId="499D6DD6" w:rsidR="00FA22F6" w:rsidRPr="001E6DFD" w:rsidRDefault="00282CF5" w:rsidP="0097226C">
            <w:pPr>
              <w:rPr>
                <w:sz w:val="16"/>
                <w:szCs w:val="16"/>
              </w:rPr>
            </w:pPr>
            <w:r w:rsidRPr="001E6DFD">
              <w:rPr>
                <w:sz w:val="16"/>
                <w:szCs w:val="16"/>
              </w:rPr>
              <w:t>47 094</w:t>
            </w:r>
          </w:p>
          <w:p w14:paraId="383E8608" w14:textId="1F93CD8F" w:rsidR="00BA5EA9" w:rsidRPr="001E6DFD" w:rsidRDefault="00BA5EA9" w:rsidP="0097226C">
            <w:pPr>
              <w:rPr>
                <w:sz w:val="16"/>
                <w:szCs w:val="16"/>
              </w:rPr>
            </w:pPr>
            <w:r w:rsidRPr="001E6DFD">
              <w:rPr>
                <w:sz w:val="16"/>
                <w:szCs w:val="16"/>
              </w:rPr>
              <w:t>+</w:t>
            </w:r>
            <w:r w:rsidR="00505EF6" w:rsidRPr="001E6DFD">
              <w:rPr>
                <w:sz w:val="16"/>
                <w:szCs w:val="16"/>
              </w:rPr>
              <w:t>5,7%</w:t>
            </w:r>
          </w:p>
        </w:tc>
        <w:tc>
          <w:tcPr>
            <w:tcW w:w="512" w:type="pct"/>
            <w:gridSpan w:val="2"/>
            <w:shd w:val="clear" w:color="auto" w:fill="auto"/>
            <w:tcMar>
              <w:top w:w="110" w:type="dxa"/>
              <w:left w:w="58" w:type="dxa"/>
              <w:right w:w="58" w:type="dxa"/>
            </w:tcMar>
          </w:tcPr>
          <w:p w14:paraId="51A8BFB1"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7977C6B6" w14:textId="77777777" w:rsidTr="0097226C">
        <w:tc>
          <w:tcPr>
            <w:tcW w:w="5000" w:type="pct"/>
            <w:gridSpan w:val="6"/>
            <w:shd w:val="clear" w:color="auto" w:fill="C6D9F1" w:themeFill="text2" w:themeFillTint="33"/>
            <w:tcMar>
              <w:left w:w="58" w:type="dxa"/>
              <w:right w:w="58" w:type="dxa"/>
            </w:tcMar>
            <w:vAlign w:val="center"/>
          </w:tcPr>
          <w:p w14:paraId="02D67CA0" w14:textId="56670190" w:rsidR="00BA5EA9" w:rsidRPr="001E6DFD" w:rsidRDefault="00C10A48" w:rsidP="0097226C">
            <w:pPr>
              <w:keepNext/>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II.8 De plus en plus de litiges internationaux ou nationaux de propriété intellectuelle sont évités ou réglés par la médiation, l</w:t>
            </w:r>
            <w:r w:rsidR="00FA22F6" w:rsidRPr="001E6DFD">
              <w:rPr>
                <w:bCs/>
                <w:sz w:val="16"/>
                <w:szCs w:val="16"/>
              </w:rPr>
              <w:t>’</w:t>
            </w:r>
            <w:r w:rsidRPr="001E6DFD">
              <w:rPr>
                <w:bCs/>
                <w:sz w:val="16"/>
                <w:szCs w:val="16"/>
              </w:rPr>
              <w:t>arbitrage et d</w:t>
            </w:r>
            <w:r w:rsidR="00FA22F6" w:rsidRPr="001E6DFD">
              <w:rPr>
                <w:bCs/>
                <w:sz w:val="16"/>
                <w:szCs w:val="16"/>
              </w:rPr>
              <w:t>’</w:t>
            </w:r>
            <w:r w:rsidRPr="001E6DFD">
              <w:rPr>
                <w:bCs/>
                <w:sz w:val="16"/>
                <w:szCs w:val="16"/>
              </w:rPr>
              <w:t>autres modes extrajudiciaires de règlement des litiges de l</w:t>
            </w:r>
            <w:r w:rsidR="00FA22F6" w:rsidRPr="001E6DFD">
              <w:rPr>
                <w:bCs/>
                <w:sz w:val="16"/>
                <w:szCs w:val="16"/>
              </w:rPr>
              <w:t>’</w:t>
            </w:r>
            <w:r w:rsidRPr="001E6DFD">
              <w:rPr>
                <w:bCs/>
                <w:sz w:val="16"/>
                <w:szCs w:val="16"/>
              </w:rPr>
              <w:t>OMPI</w:t>
            </w:r>
          </w:p>
        </w:tc>
      </w:tr>
      <w:tr w:rsidR="00FA6040" w:rsidRPr="001E6DFD" w14:paraId="371C4FEC" w14:textId="77777777" w:rsidTr="0097226C">
        <w:tc>
          <w:tcPr>
            <w:tcW w:w="1072" w:type="pct"/>
            <w:shd w:val="clear" w:color="auto" w:fill="auto"/>
            <w:tcMar>
              <w:left w:w="58" w:type="dxa"/>
              <w:right w:w="58" w:type="dxa"/>
            </w:tcMar>
            <w:vAlign w:val="center"/>
          </w:tcPr>
          <w:p w14:paraId="030F23FE" w14:textId="356B5E7F" w:rsidR="00BA5EA9" w:rsidRPr="001E6DFD" w:rsidRDefault="00C10A48" w:rsidP="0097226C">
            <w:pPr>
              <w:keepNext/>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76E472A7" w14:textId="77777777" w:rsidR="00BA5EA9" w:rsidRPr="001E6DFD" w:rsidRDefault="00C10A48" w:rsidP="0097226C">
            <w:pPr>
              <w:keepNext/>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350F7764" w14:textId="77777777" w:rsidR="00BA5EA9" w:rsidRPr="001E6DFD" w:rsidRDefault="00C10A48" w:rsidP="0097226C">
            <w:pPr>
              <w:keepNext/>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2D641883" w14:textId="0564BB96" w:rsidR="00BA5EA9" w:rsidRPr="001E6DFD" w:rsidRDefault="00C10A48" w:rsidP="0097226C">
            <w:pPr>
              <w:keepNext/>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740D239E" w14:textId="507694A0" w:rsidR="00BA5EA9" w:rsidRPr="001E6DFD" w:rsidRDefault="00EA6936" w:rsidP="0097226C">
            <w:pPr>
              <w:keepNext/>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59D0F928" w14:textId="77777777" w:rsidTr="0097226C">
        <w:tc>
          <w:tcPr>
            <w:tcW w:w="1072" w:type="pct"/>
            <w:shd w:val="clear" w:color="auto" w:fill="auto"/>
            <w:tcMar>
              <w:left w:w="58" w:type="dxa"/>
              <w:right w:w="58" w:type="dxa"/>
            </w:tcMar>
          </w:tcPr>
          <w:p w14:paraId="5432DD63" w14:textId="6D340E5E" w:rsidR="00BA5EA9" w:rsidRPr="001E6DFD" w:rsidRDefault="00C10A48" w:rsidP="0097226C">
            <w:pPr>
              <w:rPr>
                <w:sz w:val="16"/>
                <w:szCs w:val="16"/>
              </w:rPr>
            </w:pPr>
            <w:r w:rsidRPr="001E6DFD">
              <w:rPr>
                <w:sz w:val="16"/>
                <w:szCs w:val="16"/>
              </w:rPr>
              <w:t>Nombre de litiges en matière de propriété intellectuelle originaires de pays en transition ou de pays développés ayant été prévenus/réglés grâce à la médiation, à l</w:t>
            </w:r>
            <w:r w:rsidR="00FA22F6" w:rsidRPr="001E6DFD">
              <w:rPr>
                <w:sz w:val="16"/>
                <w:szCs w:val="16"/>
              </w:rPr>
              <w:t>’</w:t>
            </w:r>
            <w:r w:rsidRPr="001E6DFD">
              <w:rPr>
                <w:sz w:val="16"/>
                <w:szCs w:val="16"/>
              </w:rPr>
              <w:t>arbitrage et à d</w:t>
            </w:r>
            <w:r w:rsidR="00FA22F6" w:rsidRPr="001E6DFD">
              <w:rPr>
                <w:sz w:val="16"/>
                <w:szCs w:val="16"/>
              </w:rPr>
              <w:t>’</w:t>
            </w:r>
            <w:r w:rsidRPr="001E6DFD">
              <w:rPr>
                <w:sz w:val="16"/>
                <w:szCs w:val="16"/>
              </w:rPr>
              <w:t xml:space="preserve">autres modes extrajudiciaires de règlement des litiges de </w:t>
            </w:r>
            <w:r w:rsidRPr="001E6DFD">
              <w:rPr>
                <w:sz w:val="16"/>
                <w:szCs w:val="16"/>
              </w:rPr>
              <w:lastRenderedPageBreak/>
              <w:t>l</w:t>
            </w:r>
            <w:r w:rsidR="00FA22F6" w:rsidRPr="001E6DFD">
              <w:rPr>
                <w:sz w:val="16"/>
                <w:szCs w:val="16"/>
              </w:rPr>
              <w:t>’</w:t>
            </w:r>
            <w:r w:rsidRPr="001E6DFD">
              <w:rPr>
                <w:sz w:val="16"/>
                <w:szCs w:val="16"/>
              </w:rPr>
              <w:t>OMPI</w:t>
            </w:r>
          </w:p>
        </w:tc>
        <w:tc>
          <w:tcPr>
            <w:tcW w:w="1266" w:type="pct"/>
            <w:shd w:val="clear" w:color="auto" w:fill="auto"/>
            <w:tcMar>
              <w:left w:w="58" w:type="dxa"/>
              <w:right w:w="58" w:type="dxa"/>
            </w:tcMar>
          </w:tcPr>
          <w:p w14:paraId="3E63F1D6" w14:textId="329C7265" w:rsidR="001F64B1" w:rsidRPr="00BD157F" w:rsidRDefault="00E64532" w:rsidP="0097226C">
            <w:pPr>
              <w:rPr>
                <w:i/>
                <w:color w:val="002060"/>
                <w:sz w:val="16"/>
                <w:szCs w:val="16"/>
              </w:rPr>
            </w:pPr>
            <w:r w:rsidRPr="00BD157F">
              <w:rPr>
                <w:i/>
                <w:color w:val="002060"/>
                <w:sz w:val="16"/>
                <w:szCs w:val="16"/>
              </w:rPr>
              <w:lastRenderedPageBreak/>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1B41748A" w14:textId="41D6B1EC" w:rsidR="001F64B1" w:rsidRPr="00BD157F" w:rsidRDefault="00C10A48" w:rsidP="0097226C">
            <w:pPr>
              <w:rPr>
                <w:color w:val="002060"/>
                <w:sz w:val="16"/>
                <w:szCs w:val="16"/>
              </w:rPr>
            </w:pPr>
            <w:r w:rsidRPr="00BD157F">
              <w:rPr>
                <w:color w:val="002060"/>
                <w:sz w:val="16"/>
                <w:szCs w:val="16"/>
              </w:rPr>
              <w:t>412 litiges et 160</w:t>
            </w:r>
            <w:r w:rsidR="00B4191E" w:rsidRPr="00BD157F">
              <w:rPr>
                <w:color w:val="002060"/>
                <w:sz w:val="16"/>
                <w:szCs w:val="16"/>
              </w:rPr>
              <w:t> </w:t>
            </w:r>
            <w:r w:rsidRPr="00BD157F">
              <w:rPr>
                <w:color w:val="002060"/>
                <w:sz w:val="16"/>
                <w:szCs w:val="16"/>
              </w:rPr>
              <w:t xml:space="preserve">bons offices impliquant des parties originaires de pays en transition et de pays développés (total à la fin </w:t>
            </w:r>
            <w:r w:rsidR="00FA22F6" w:rsidRPr="00BD157F">
              <w:rPr>
                <w:color w:val="002060"/>
                <w:sz w:val="16"/>
                <w:szCs w:val="16"/>
              </w:rPr>
              <w:t>de 2015</w:t>
            </w:r>
            <w:r w:rsidRPr="00BD157F">
              <w:rPr>
                <w:color w:val="002060"/>
                <w:sz w:val="16"/>
                <w:szCs w:val="16"/>
              </w:rPr>
              <w:t>)</w:t>
            </w:r>
            <w:r w:rsidRPr="00BD157F">
              <w:rPr>
                <w:rStyle w:val="FootnoteReference"/>
                <w:rFonts w:cs="Arial"/>
                <w:color w:val="002060"/>
              </w:rPr>
              <w:footnoteReference w:id="54"/>
            </w:r>
          </w:p>
          <w:p w14:paraId="392084C9" w14:textId="77777777" w:rsidR="001F64B1" w:rsidRPr="001E6DFD" w:rsidRDefault="001F64B1" w:rsidP="0097226C">
            <w:pPr>
              <w:rPr>
                <w:sz w:val="16"/>
                <w:szCs w:val="16"/>
              </w:rPr>
            </w:pPr>
          </w:p>
          <w:p w14:paraId="2F92E4C5" w14:textId="5A0915B0" w:rsidR="001F64B1" w:rsidRPr="001E6DFD" w:rsidRDefault="00E64532" w:rsidP="0097226C">
            <w:pPr>
              <w:rPr>
                <w:i/>
                <w:sz w:val="16"/>
                <w:szCs w:val="16"/>
                <w:lang w:bidi="th-TH"/>
              </w:rPr>
            </w:pPr>
            <w:r w:rsidRPr="001E6DFD">
              <w:rPr>
                <w:i/>
                <w:sz w:val="16"/>
                <w:szCs w:val="16"/>
                <w:lang w:bidi="th-TH"/>
              </w:rPr>
              <w:t xml:space="preserve">Niveau de référence initial dans le programme et budget </w:t>
            </w:r>
            <w:r w:rsidRPr="001E6DFD">
              <w:rPr>
                <w:i/>
                <w:sz w:val="16"/>
                <w:szCs w:val="16"/>
                <w:lang w:bidi="th-TH"/>
              </w:rPr>
              <w:lastRenderedPageBreak/>
              <w:t>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15F1390" w14:textId="643456E7" w:rsidR="001F64B1" w:rsidRPr="001E6DFD" w:rsidRDefault="00C10A48" w:rsidP="0097226C">
            <w:pPr>
              <w:rPr>
                <w:sz w:val="16"/>
                <w:szCs w:val="16"/>
                <w:lang w:bidi="th-TH"/>
              </w:rPr>
            </w:pPr>
            <w:r w:rsidRPr="001E6DFD">
              <w:rPr>
                <w:sz w:val="16"/>
                <w:szCs w:val="16"/>
                <w:lang w:bidi="th-TH"/>
              </w:rPr>
              <w:t>18 litiges et 25</w:t>
            </w:r>
            <w:r w:rsidR="00B4191E">
              <w:rPr>
                <w:sz w:val="16"/>
                <w:szCs w:val="16"/>
                <w:lang w:bidi="th-TH"/>
              </w:rPr>
              <w:t> </w:t>
            </w:r>
            <w:r w:rsidRPr="001E6DFD">
              <w:rPr>
                <w:sz w:val="16"/>
                <w:szCs w:val="16"/>
                <w:lang w:bidi="th-TH"/>
              </w:rPr>
              <w:t>bons offices supplémentaires impliquant des parties originaires de pays en transition et de pays développés (2014)</w:t>
            </w:r>
          </w:p>
          <w:p w14:paraId="277E456B" w14:textId="77777777" w:rsidR="001F64B1" w:rsidRPr="001E6DFD" w:rsidRDefault="001F64B1" w:rsidP="0097226C">
            <w:pPr>
              <w:rPr>
                <w:sz w:val="16"/>
                <w:szCs w:val="16"/>
                <w:lang w:bidi="th-TH"/>
              </w:rPr>
            </w:pPr>
          </w:p>
          <w:p w14:paraId="3239E600" w14:textId="77777777" w:rsidR="00BA5EA9" w:rsidRPr="001E6DFD" w:rsidRDefault="00C10A48" w:rsidP="0097226C">
            <w:pPr>
              <w:rPr>
                <w:sz w:val="16"/>
                <w:szCs w:val="16"/>
                <w:lang w:bidi="th-TH"/>
              </w:rPr>
            </w:pPr>
            <w:r w:rsidRPr="001E6DFD">
              <w:rPr>
                <w:sz w:val="16"/>
                <w:szCs w:val="16"/>
                <w:lang w:bidi="th-TH"/>
              </w:rPr>
              <w:t>377 litiges et bons offices (</w:t>
            </w:r>
            <w:r w:rsidR="00F13A68" w:rsidRPr="001E6DFD">
              <w:rPr>
                <w:sz w:val="16"/>
                <w:szCs w:val="16"/>
                <w:lang w:bidi="th-TH"/>
              </w:rPr>
              <w:t>total</w:t>
            </w:r>
            <w:r w:rsidRPr="001E6DFD">
              <w:rPr>
                <w:sz w:val="16"/>
                <w:szCs w:val="16"/>
                <w:lang w:bidi="th-TH"/>
              </w:rPr>
              <w:t>)</w:t>
            </w:r>
          </w:p>
        </w:tc>
        <w:tc>
          <w:tcPr>
            <w:tcW w:w="758" w:type="pct"/>
            <w:shd w:val="clear" w:color="auto" w:fill="auto"/>
            <w:tcMar>
              <w:top w:w="110" w:type="dxa"/>
              <w:left w:w="58" w:type="dxa"/>
              <w:right w:w="58" w:type="dxa"/>
            </w:tcMar>
          </w:tcPr>
          <w:p w14:paraId="72395674" w14:textId="77777777" w:rsidR="00BA5EA9" w:rsidRPr="001E6DFD" w:rsidRDefault="00C10A48" w:rsidP="0097226C">
            <w:pPr>
              <w:rPr>
                <w:sz w:val="16"/>
                <w:szCs w:val="16"/>
              </w:rPr>
            </w:pPr>
            <w:r w:rsidRPr="001E6DFD">
              <w:rPr>
                <w:sz w:val="16"/>
                <w:szCs w:val="16"/>
              </w:rPr>
              <w:lastRenderedPageBreak/>
              <w:t>33 litiges et bons offices supplémentaires impliquant des parties originaires de pays en transition et de pays développés</w:t>
            </w:r>
          </w:p>
        </w:tc>
        <w:tc>
          <w:tcPr>
            <w:tcW w:w="1392" w:type="pct"/>
            <w:shd w:val="clear" w:color="auto" w:fill="FFFFFF"/>
            <w:tcMar>
              <w:top w:w="110" w:type="dxa"/>
              <w:left w:w="58" w:type="dxa"/>
              <w:right w:w="58" w:type="dxa"/>
            </w:tcMar>
          </w:tcPr>
          <w:p w14:paraId="1CB692C9" w14:textId="5F24C835" w:rsidR="001F64B1" w:rsidRPr="001E6DFD" w:rsidRDefault="00C10A48" w:rsidP="0097226C">
            <w:pPr>
              <w:rPr>
                <w:sz w:val="16"/>
                <w:szCs w:val="16"/>
              </w:rPr>
            </w:pPr>
            <w:r w:rsidRPr="001E6DFD">
              <w:rPr>
                <w:sz w:val="16"/>
                <w:szCs w:val="16"/>
              </w:rPr>
              <w:t>57</w:t>
            </w:r>
            <w:r w:rsidR="00B4191E">
              <w:rPr>
                <w:sz w:val="16"/>
                <w:szCs w:val="16"/>
              </w:rPr>
              <w:t> </w:t>
            </w:r>
            <w:r w:rsidRPr="001E6DFD">
              <w:rPr>
                <w:sz w:val="16"/>
                <w:szCs w:val="16"/>
              </w:rPr>
              <w:t>litiges et 46</w:t>
            </w:r>
            <w:r w:rsidR="00B4191E">
              <w:rPr>
                <w:sz w:val="16"/>
                <w:szCs w:val="16"/>
              </w:rPr>
              <w:t> </w:t>
            </w:r>
            <w:r w:rsidRPr="001E6DFD">
              <w:rPr>
                <w:sz w:val="16"/>
                <w:szCs w:val="16"/>
              </w:rPr>
              <w:t>bons offices supplémentaires impliquant des parties originaires de pays en transition et de pays développés</w:t>
            </w:r>
          </w:p>
          <w:p w14:paraId="2329D933" w14:textId="77777777" w:rsidR="001F64B1" w:rsidRPr="001E6DFD" w:rsidRDefault="001F64B1" w:rsidP="0097226C">
            <w:pPr>
              <w:rPr>
                <w:sz w:val="16"/>
                <w:szCs w:val="16"/>
              </w:rPr>
            </w:pPr>
          </w:p>
          <w:p w14:paraId="177E4B80" w14:textId="378B9238" w:rsidR="00BA5EA9" w:rsidRPr="001E6DFD" w:rsidRDefault="00BA5EA9" w:rsidP="00CE0AA4">
            <w:pPr>
              <w:rPr>
                <w:sz w:val="16"/>
                <w:szCs w:val="16"/>
              </w:rPr>
            </w:pPr>
            <w:r w:rsidRPr="001E6DFD">
              <w:rPr>
                <w:sz w:val="16"/>
                <w:szCs w:val="16"/>
              </w:rPr>
              <w:t xml:space="preserve">469 </w:t>
            </w:r>
            <w:r w:rsidR="00F13A68" w:rsidRPr="001E6DFD">
              <w:rPr>
                <w:sz w:val="16"/>
                <w:szCs w:val="16"/>
              </w:rPr>
              <w:t>litiges et</w:t>
            </w:r>
            <w:r w:rsidRPr="001E6DFD">
              <w:rPr>
                <w:sz w:val="16"/>
                <w:szCs w:val="16"/>
              </w:rPr>
              <w:t xml:space="preserve"> 206</w:t>
            </w:r>
            <w:r w:rsidR="00B4191E">
              <w:rPr>
                <w:sz w:val="16"/>
                <w:szCs w:val="16"/>
              </w:rPr>
              <w:t> </w:t>
            </w:r>
            <w:r w:rsidRPr="001E6DFD">
              <w:rPr>
                <w:sz w:val="16"/>
                <w:szCs w:val="16"/>
              </w:rPr>
              <w:t xml:space="preserve">bons offices </w:t>
            </w:r>
            <w:r w:rsidR="00F13A68" w:rsidRPr="001E6DFD">
              <w:rPr>
                <w:sz w:val="16"/>
                <w:szCs w:val="16"/>
              </w:rPr>
              <w:t xml:space="preserve">impliquant des parties originaires de pays en transition et de pays développés </w:t>
            </w:r>
            <w:r w:rsidRPr="001E6DFD">
              <w:rPr>
                <w:sz w:val="16"/>
                <w:szCs w:val="16"/>
              </w:rPr>
              <w:t>(</w:t>
            </w:r>
            <w:r w:rsidR="00F13A68" w:rsidRPr="001E6DFD">
              <w:rPr>
                <w:sz w:val="16"/>
                <w:szCs w:val="16"/>
              </w:rPr>
              <w:t>total</w:t>
            </w:r>
            <w:r w:rsidRPr="001E6DFD">
              <w:rPr>
                <w:sz w:val="16"/>
                <w:szCs w:val="16"/>
              </w:rPr>
              <w:t>)</w:t>
            </w:r>
          </w:p>
        </w:tc>
        <w:tc>
          <w:tcPr>
            <w:tcW w:w="512" w:type="pct"/>
            <w:gridSpan w:val="2"/>
            <w:shd w:val="clear" w:color="auto" w:fill="auto"/>
            <w:tcMar>
              <w:top w:w="110" w:type="dxa"/>
              <w:left w:w="58" w:type="dxa"/>
              <w:right w:w="58" w:type="dxa"/>
            </w:tcMar>
          </w:tcPr>
          <w:p w14:paraId="63233C66"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54C8DAB2" w14:textId="77777777" w:rsidTr="0097226C">
        <w:tc>
          <w:tcPr>
            <w:tcW w:w="5000" w:type="pct"/>
            <w:gridSpan w:val="6"/>
            <w:shd w:val="clear" w:color="auto" w:fill="C6D9F1" w:themeFill="text2" w:themeFillTint="33"/>
            <w:tcMar>
              <w:left w:w="58" w:type="dxa"/>
              <w:right w:w="58" w:type="dxa"/>
            </w:tcMar>
            <w:vAlign w:val="center"/>
          </w:tcPr>
          <w:p w14:paraId="40F36725" w14:textId="75C24B32" w:rsidR="00BA5EA9" w:rsidRPr="001E6DFD" w:rsidRDefault="00C10A48" w:rsidP="0097226C">
            <w:pPr>
              <w:keepNext/>
              <w:keepLines/>
              <w:tabs>
                <w:tab w:val="left" w:pos="1452"/>
              </w:tabs>
              <w:rPr>
                <w:b/>
                <w:bCs/>
                <w:sz w:val="16"/>
                <w:szCs w:val="16"/>
              </w:rPr>
            </w:pPr>
            <w:r w:rsidRPr="001E6DFD">
              <w:rPr>
                <w:b/>
                <w:bCs/>
                <w:sz w:val="16"/>
                <w:szCs w:val="16"/>
              </w:rPr>
              <w:lastRenderedPageBreak/>
              <w:t>Résultat escompté</w:t>
            </w:r>
            <w:r w:rsidR="00FA22F6" w:rsidRPr="001E6DFD">
              <w:rPr>
                <w:b/>
                <w:bCs/>
                <w:sz w:val="16"/>
                <w:szCs w:val="16"/>
              </w:rPr>
              <w:t> :</w:t>
            </w:r>
            <w:r w:rsidRPr="001E6DFD">
              <w:rPr>
                <w:b/>
                <w:bCs/>
                <w:sz w:val="16"/>
                <w:szCs w:val="16"/>
              </w:rPr>
              <w:t xml:space="preserve"> </w:t>
            </w:r>
            <w:r w:rsidRPr="001E6DFD">
              <w:rPr>
                <w:bCs/>
                <w:sz w:val="16"/>
                <w:szCs w:val="16"/>
              </w:rPr>
              <w:t>II.10 Utilisation élargie et plus efficace du système de Lisbonne, notamment par les pays en développement et</w:t>
            </w:r>
            <w:r w:rsidR="00FA22F6" w:rsidRPr="001E6DFD">
              <w:rPr>
                <w:bCs/>
                <w:sz w:val="16"/>
                <w:szCs w:val="16"/>
              </w:rPr>
              <w:t xml:space="preserve"> les PMA</w:t>
            </w:r>
          </w:p>
        </w:tc>
      </w:tr>
      <w:tr w:rsidR="00FA6040" w:rsidRPr="001E6DFD" w14:paraId="065634C0" w14:textId="77777777" w:rsidTr="0097226C">
        <w:tc>
          <w:tcPr>
            <w:tcW w:w="1072" w:type="pct"/>
            <w:shd w:val="clear" w:color="auto" w:fill="auto"/>
            <w:tcMar>
              <w:left w:w="58" w:type="dxa"/>
              <w:right w:w="58" w:type="dxa"/>
            </w:tcMar>
            <w:vAlign w:val="center"/>
          </w:tcPr>
          <w:p w14:paraId="387AB9DA" w14:textId="1422F035" w:rsidR="00BA5EA9" w:rsidRPr="001E6DFD" w:rsidRDefault="00C10A48" w:rsidP="0097226C">
            <w:pPr>
              <w:keepNext/>
              <w:keepLines/>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5738BC35" w14:textId="77777777" w:rsidR="00BA5EA9" w:rsidRPr="001E6DFD" w:rsidRDefault="00C10A48" w:rsidP="0097226C">
            <w:pPr>
              <w:keepNext/>
              <w:keepLines/>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36991931" w14:textId="77777777" w:rsidR="00BA5EA9" w:rsidRPr="001E6DFD" w:rsidRDefault="00C10A48" w:rsidP="0097226C">
            <w:pPr>
              <w:keepNext/>
              <w:keepLines/>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2A6841C5" w14:textId="2FB5638B" w:rsidR="00BA5EA9" w:rsidRPr="001E6DFD" w:rsidRDefault="00C10A48" w:rsidP="0097226C">
            <w:pPr>
              <w:keepNext/>
              <w:keepLines/>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7CAFFBA7" w14:textId="31B0213B"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4AA795B1" w14:textId="77777777" w:rsidTr="0097226C">
        <w:tc>
          <w:tcPr>
            <w:tcW w:w="1072" w:type="pct"/>
            <w:shd w:val="clear" w:color="auto" w:fill="auto"/>
            <w:tcMar>
              <w:left w:w="58" w:type="dxa"/>
              <w:right w:w="58" w:type="dxa"/>
            </w:tcMar>
          </w:tcPr>
          <w:p w14:paraId="34325FA0" w14:textId="5441AC79" w:rsidR="00BA5EA9" w:rsidRPr="001E6DFD" w:rsidRDefault="00C10A48" w:rsidP="0097226C">
            <w:pPr>
              <w:keepNext/>
              <w:keepLines/>
              <w:rPr>
                <w:sz w:val="16"/>
                <w:szCs w:val="16"/>
              </w:rPr>
            </w:pPr>
            <w:r w:rsidRPr="001E6DFD">
              <w:rPr>
                <w:sz w:val="16"/>
                <w:szCs w:val="16"/>
              </w:rPr>
              <w:t>Nombre d</w:t>
            </w:r>
            <w:r w:rsidR="00FA22F6" w:rsidRPr="001E6DFD">
              <w:rPr>
                <w:sz w:val="16"/>
                <w:szCs w:val="16"/>
              </w:rPr>
              <w:t>’</w:t>
            </w:r>
            <w:r w:rsidRPr="001E6DFD">
              <w:rPr>
                <w:sz w:val="16"/>
                <w:szCs w:val="16"/>
              </w:rPr>
              <w:t>enregistrements internationaux dans le cadre du système de Lisbonne en vigueur pour les pays en transition et les pays développés</w:t>
            </w:r>
          </w:p>
        </w:tc>
        <w:tc>
          <w:tcPr>
            <w:tcW w:w="1266" w:type="pct"/>
            <w:shd w:val="clear" w:color="auto" w:fill="auto"/>
            <w:tcMar>
              <w:left w:w="58" w:type="dxa"/>
              <w:right w:w="58" w:type="dxa"/>
            </w:tcMar>
          </w:tcPr>
          <w:p w14:paraId="0B8B479B" w14:textId="6676E3CB" w:rsidR="001F64B1" w:rsidRPr="00BD157F" w:rsidRDefault="00E64532" w:rsidP="0097226C">
            <w:pPr>
              <w:keepNext/>
              <w:keepLines/>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2C566439" w14:textId="29ECA875" w:rsidR="001F64B1" w:rsidRPr="00BD157F" w:rsidRDefault="00BA5EA9" w:rsidP="0097226C">
            <w:pPr>
              <w:keepNext/>
              <w:keepLines/>
              <w:rPr>
                <w:color w:val="002060"/>
                <w:sz w:val="16"/>
                <w:szCs w:val="16"/>
              </w:rPr>
            </w:pPr>
            <w:r w:rsidRPr="00BD157F">
              <w:rPr>
                <w:color w:val="002060"/>
                <w:sz w:val="16"/>
                <w:szCs w:val="16"/>
              </w:rPr>
              <w:t xml:space="preserve">836 </w:t>
            </w:r>
            <w:r w:rsidR="00B302EF" w:rsidRPr="00BD157F">
              <w:rPr>
                <w:color w:val="002060"/>
                <w:sz w:val="16"/>
                <w:szCs w:val="16"/>
              </w:rPr>
              <w:t xml:space="preserve">enregistrements en vigueur sur </w:t>
            </w:r>
            <w:r w:rsidRPr="00BD157F">
              <w:rPr>
                <w:color w:val="002060"/>
                <w:sz w:val="16"/>
                <w:szCs w:val="16"/>
              </w:rPr>
              <w:t xml:space="preserve">931 </w:t>
            </w:r>
            <w:r w:rsidR="00B302EF" w:rsidRPr="00BD157F">
              <w:rPr>
                <w:color w:val="002060"/>
                <w:sz w:val="16"/>
                <w:szCs w:val="16"/>
              </w:rPr>
              <w:t xml:space="preserve">provenant des pays en transition et des pays développés à la fin </w:t>
            </w:r>
            <w:r w:rsidR="00FA22F6" w:rsidRPr="00BD157F">
              <w:rPr>
                <w:color w:val="002060"/>
                <w:sz w:val="16"/>
                <w:szCs w:val="16"/>
              </w:rPr>
              <w:t>de 2014</w:t>
            </w:r>
            <w:r w:rsidR="006A41CF" w:rsidRPr="00BD157F">
              <w:rPr>
                <w:color w:val="002060"/>
                <w:sz w:val="16"/>
                <w:szCs w:val="16"/>
              </w:rPr>
              <w:noBreakHyphen/>
            </w:r>
            <w:r w:rsidR="00B302EF" w:rsidRPr="00BD157F">
              <w:rPr>
                <w:color w:val="002060"/>
                <w:sz w:val="16"/>
                <w:szCs w:val="16"/>
              </w:rPr>
              <w:t xml:space="preserve">2015 </w:t>
            </w:r>
            <w:r w:rsidRPr="00BD157F">
              <w:rPr>
                <w:color w:val="002060"/>
                <w:sz w:val="16"/>
                <w:szCs w:val="16"/>
              </w:rPr>
              <w:t>(+1</w:t>
            </w:r>
            <w:r w:rsidR="00505EF6" w:rsidRPr="00BD157F">
              <w:rPr>
                <w:color w:val="002060"/>
                <w:sz w:val="16"/>
                <w:szCs w:val="16"/>
              </w:rPr>
              <w:t>1,6%</w:t>
            </w:r>
            <w:r w:rsidRPr="00BD157F">
              <w:rPr>
                <w:color w:val="002060"/>
                <w:sz w:val="16"/>
                <w:szCs w:val="16"/>
              </w:rPr>
              <w:t xml:space="preserve"> </w:t>
            </w:r>
            <w:r w:rsidR="00245573" w:rsidRPr="00BD157F">
              <w:rPr>
                <w:color w:val="002060"/>
                <w:sz w:val="16"/>
                <w:szCs w:val="16"/>
              </w:rPr>
              <w:t xml:space="preserve">sur </w:t>
            </w:r>
            <w:r w:rsidRPr="00BD157F">
              <w:rPr>
                <w:color w:val="002060"/>
                <w:sz w:val="16"/>
                <w:szCs w:val="16"/>
              </w:rPr>
              <w:t>2012</w:t>
            </w:r>
            <w:r w:rsidR="006A41CF" w:rsidRPr="00BD157F">
              <w:rPr>
                <w:color w:val="002060"/>
                <w:sz w:val="16"/>
                <w:szCs w:val="16"/>
              </w:rPr>
              <w:noBreakHyphen/>
            </w:r>
            <w:r w:rsidR="00245573" w:rsidRPr="00BD157F">
              <w:rPr>
                <w:color w:val="002060"/>
                <w:sz w:val="16"/>
                <w:szCs w:val="16"/>
              </w:rPr>
              <w:t>20</w:t>
            </w:r>
            <w:r w:rsidRPr="00BD157F">
              <w:rPr>
                <w:color w:val="002060"/>
                <w:sz w:val="16"/>
                <w:szCs w:val="16"/>
              </w:rPr>
              <w:t>13)</w:t>
            </w:r>
          </w:p>
          <w:p w14:paraId="094FACDC" w14:textId="77777777" w:rsidR="001F64B1" w:rsidRPr="001E6DFD" w:rsidRDefault="001F64B1" w:rsidP="0097226C">
            <w:pPr>
              <w:keepNext/>
              <w:keepLines/>
              <w:rPr>
                <w:sz w:val="16"/>
                <w:szCs w:val="16"/>
              </w:rPr>
            </w:pPr>
          </w:p>
          <w:p w14:paraId="50A738B5" w14:textId="6EC1AF17" w:rsidR="001F64B1" w:rsidRPr="001E6DFD" w:rsidRDefault="00E64532" w:rsidP="0097226C">
            <w:pPr>
              <w:keepNext/>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A3747DA" w14:textId="77777777" w:rsidR="00BA5EA9" w:rsidRPr="001E6DFD" w:rsidRDefault="00C10A48" w:rsidP="0097226C">
            <w:pPr>
              <w:keepNext/>
              <w:keepLines/>
              <w:rPr>
                <w:sz w:val="16"/>
                <w:szCs w:val="16"/>
                <w:lang w:bidi="th-TH"/>
              </w:rPr>
            </w:pPr>
            <w:r w:rsidRPr="001E6DFD">
              <w:rPr>
                <w:sz w:val="16"/>
                <w:szCs w:val="16"/>
                <w:lang w:bidi="th-TH"/>
              </w:rPr>
              <w:t>818 enregistrements en vigueur sur 896 (2014)</w:t>
            </w:r>
          </w:p>
        </w:tc>
        <w:tc>
          <w:tcPr>
            <w:tcW w:w="758" w:type="pct"/>
            <w:shd w:val="clear" w:color="auto" w:fill="auto"/>
            <w:tcMar>
              <w:top w:w="110" w:type="dxa"/>
              <w:left w:w="58" w:type="dxa"/>
              <w:right w:w="58" w:type="dxa"/>
            </w:tcMar>
          </w:tcPr>
          <w:p w14:paraId="75CC56B3" w14:textId="18248520" w:rsidR="00BA5EA9" w:rsidRPr="001E6DFD" w:rsidRDefault="00F13A68" w:rsidP="0097226C">
            <w:pPr>
              <w:keepNext/>
              <w:keepLines/>
              <w:rPr>
                <w:sz w:val="16"/>
                <w:szCs w:val="16"/>
              </w:rPr>
            </w:pPr>
            <w:r w:rsidRPr="00BD157F">
              <w:rPr>
                <w:sz w:val="16"/>
                <w:szCs w:val="16"/>
              </w:rPr>
              <w:t xml:space="preserve">Augmentation de </w:t>
            </w:r>
            <w:r w:rsidR="00BA5EA9" w:rsidRPr="00BD157F">
              <w:rPr>
                <w:sz w:val="16"/>
                <w:szCs w:val="16"/>
              </w:rPr>
              <w:t>2% (</w:t>
            </w:r>
            <w:r w:rsidR="00712ECF" w:rsidRPr="00BD157F">
              <w:rPr>
                <w:sz w:val="16"/>
                <w:szCs w:val="16"/>
              </w:rPr>
              <w:t>biennal</w:t>
            </w:r>
            <w:r w:rsidR="00BA5EA9" w:rsidRPr="00BD157F">
              <w:rPr>
                <w:sz w:val="16"/>
                <w:szCs w:val="16"/>
              </w:rPr>
              <w:t>)</w:t>
            </w:r>
          </w:p>
        </w:tc>
        <w:tc>
          <w:tcPr>
            <w:tcW w:w="1392" w:type="pct"/>
            <w:shd w:val="clear" w:color="auto" w:fill="FFFFFF"/>
            <w:tcMar>
              <w:top w:w="110" w:type="dxa"/>
              <w:left w:w="58" w:type="dxa"/>
              <w:right w:w="58" w:type="dxa"/>
            </w:tcMar>
          </w:tcPr>
          <w:p w14:paraId="3B270F6F" w14:textId="00754245" w:rsidR="00BA5EA9" w:rsidRPr="00BD157F" w:rsidRDefault="00BA5EA9" w:rsidP="00CE0AA4">
            <w:pPr>
              <w:keepNext/>
              <w:keepLines/>
              <w:rPr>
                <w:sz w:val="16"/>
                <w:szCs w:val="16"/>
              </w:rPr>
            </w:pPr>
            <w:r w:rsidRPr="00BD157F">
              <w:rPr>
                <w:sz w:val="16"/>
                <w:szCs w:val="16"/>
              </w:rPr>
              <w:t xml:space="preserve">861 </w:t>
            </w:r>
            <w:r w:rsidR="00D72942" w:rsidRPr="00BD157F">
              <w:rPr>
                <w:sz w:val="16"/>
                <w:szCs w:val="16"/>
              </w:rPr>
              <w:t xml:space="preserve">enregistrements en vigueur sur 956 provenant des pays en transition et des pays développés </w:t>
            </w:r>
            <w:r w:rsidRPr="00BD157F">
              <w:rPr>
                <w:sz w:val="16"/>
                <w:szCs w:val="16"/>
              </w:rPr>
              <w:t>(+1</w:t>
            </w:r>
            <w:r w:rsidR="00505EF6" w:rsidRPr="00BD157F">
              <w:rPr>
                <w:sz w:val="16"/>
                <w:szCs w:val="16"/>
              </w:rPr>
              <w:t>0,6%</w:t>
            </w:r>
            <w:r w:rsidRPr="00BD157F">
              <w:rPr>
                <w:sz w:val="16"/>
                <w:szCs w:val="16"/>
              </w:rPr>
              <w:t xml:space="preserve"> </w:t>
            </w:r>
            <w:r w:rsidR="00D72942" w:rsidRPr="00BD157F">
              <w:rPr>
                <w:sz w:val="16"/>
                <w:szCs w:val="16"/>
              </w:rPr>
              <w:t xml:space="preserve">sur </w:t>
            </w:r>
            <w:r w:rsidRPr="00BD157F">
              <w:rPr>
                <w:sz w:val="16"/>
                <w:szCs w:val="16"/>
              </w:rPr>
              <w:t>2015)</w:t>
            </w:r>
          </w:p>
        </w:tc>
        <w:tc>
          <w:tcPr>
            <w:tcW w:w="512" w:type="pct"/>
            <w:gridSpan w:val="2"/>
            <w:shd w:val="clear" w:color="auto" w:fill="auto"/>
            <w:tcMar>
              <w:top w:w="110" w:type="dxa"/>
              <w:left w:w="58" w:type="dxa"/>
              <w:right w:w="58" w:type="dxa"/>
            </w:tcMar>
          </w:tcPr>
          <w:p w14:paraId="6487D948"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BA5EA9" w:rsidRPr="001E6DFD" w14:paraId="54403C36" w14:textId="77777777" w:rsidTr="0097226C">
        <w:tc>
          <w:tcPr>
            <w:tcW w:w="5000" w:type="pct"/>
            <w:gridSpan w:val="6"/>
            <w:shd w:val="clear" w:color="auto" w:fill="C6D9F1" w:themeFill="text2" w:themeFillTint="33"/>
            <w:tcMar>
              <w:left w:w="58" w:type="dxa"/>
              <w:right w:w="58" w:type="dxa"/>
            </w:tcMar>
            <w:vAlign w:val="center"/>
          </w:tcPr>
          <w:p w14:paraId="1A268EC8" w14:textId="06DE776A" w:rsidR="00BA5EA9" w:rsidRPr="001E6DFD" w:rsidRDefault="00C10A48" w:rsidP="0097226C">
            <w:pPr>
              <w:tabs>
                <w:tab w:val="left" w:pos="1452"/>
              </w:tabs>
              <w:rPr>
                <w:b/>
                <w:bCs/>
                <w:sz w:val="16"/>
                <w:szCs w:val="16"/>
              </w:rPr>
            </w:pPr>
            <w:r w:rsidRPr="001E6DFD">
              <w:rPr>
                <w:b/>
                <w:bCs/>
                <w:sz w:val="16"/>
                <w:szCs w:val="16"/>
              </w:rPr>
              <w:t>Résultat escompté III.1</w:t>
            </w:r>
            <w:r w:rsidR="00FA22F6" w:rsidRPr="001E6DFD">
              <w:rPr>
                <w:b/>
                <w:bCs/>
                <w:sz w:val="16"/>
                <w:szCs w:val="16"/>
              </w:rPr>
              <w:t> :</w:t>
            </w:r>
            <w:r w:rsidRPr="001E6DFD">
              <w:rPr>
                <w:b/>
                <w:bCs/>
                <w:sz w:val="16"/>
                <w:szCs w:val="16"/>
              </w:rPr>
              <w:t xml:space="preserve"> </w:t>
            </w:r>
            <w:r w:rsidRPr="001E6DFD">
              <w:rPr>
                <w:bCs/>
                <w:sz w:val="16"/>
                <w:szCs w:val="16"/>
              </w:rPr>
              <w:t>Stratégies et plans nationaux en matière d</w:t>
            </w:r>
            <w:r w:rsidR="00FA22F6" w:rsidRPr="001E6DFD">
              <w:rPr>
                <w:bCs/>
                <w:sz w:val="16"/>
                <w:szCs w:val="16"/>
              </w:rPr>
              <w:t>’</w:t>
            </w:r>
            <w:r w:rsidRPr="001E6DFD">
              <w:rPr>
                <w:bCs/>
                <w:sz w:val="16"/>
                <w:szCs w:val="16"/>
              </w:rPr>
              <w:t>innovation et de propriété intellectuelle conformes aux objectifs de développement nationaux</w:t>
            </w:r>
          </w:p>
        </w:tc>
      </w:tr>
      <w:tr w:rsidR="00FA6040" w:rsidRPr="001E6DFD" w14:paraId="1417D15E" w14:textId="77777777" w:rsidTr="0097226C">
        <w:tc>
          <w:tcPr>
            <w:tcW w:w="1072" w:type="pct"/>
            <w:shd w:val="clear" w:color="auto" w:fill="auto"/>
            <w:tcMar>
              <w:left w:w="58" w:type="dxa"/>
              <w:right w:w="58" w:type="dxa"/>
            </w:tcMar>
            <w:vAlign w:val="center"/>
          </w:tcPr>
          <w:p w14:paraId="3F52CE3E" w14:textId="1D75AE04" w:rsidR="00BA5EA9" w:rsidRPr="001E6DFD" w:rsidRDefault="00C10A48"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66BEE634" w14:textId="77777777" w:rsidR="00BA5EA9" w:rsidRPr="001E6DFD" w:rsidRDefault="00C10A48" w:rsidP="0097226C">
            <w:pPr>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4492563F" w14:textId="77777777" w:rsidR="00BA5EA9" w:rsidRPr="001E6DFD" w:rsidRDefault="00C10A48" w:rsidP="0097226C">
            <w:pPr>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3D03844E" w14:textId="3ED7E2BC" w:rsidR="00BA5EA9" w:rsidRPr="001E6DFD" w:rsidRDefault="00C10A48"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4AF780DF" w14:textId="667FB8A9"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5ED04B57" w14:textId="77777777" w:rsidTr="0097226C">
        <w:tc>
          <w:tcPr>
            <w:tcW w:w="1072" w:type="pct"/>
            <w:shd w:val="clear" w:color="auto" w:fill="auto"/>
            <w:tcMar>
              <w:left w:w="58" w:type="dxa"/>
              <w:right w:w="58" w:type="dxa"/>
            </w:tcMar>
          </w:tcPr>
          <w:p w14:paraId="70C7BB44" w14:textId="77777777" w:rsidR="00BA5EA9" w:rsidRPr="001E6DFD" w:rsidRDefault="00C10A48" w:rsidP="0097226C">
            <w:pPr>
              <w:rPr>
                <w:sz w:val="16"/>
                <w:szCs w:val="16"/>
              </w:rPr>
            </w:pPr>
            <w:r w:rsidRPr="001E6DFD">
              <w:rPr>
                <w:sz w:val="16"/>
                <w:szCs w:val="16"/>
              </w:rPr>
              <w:t>Nombre de pays en train de formuler des stratégies nationales de propriété intellectuelle</w:t>
            </w:r>
          </w:p>
        </w:tc>
        <w:tc>
          <w:tcPr>
            <w:tcW w:w="1266" w:type="pct"/>
            <w:shd w:val="clear" w:color="auto" w:fill="auto"/>
            <w:tcMar>
              <w:left w:w="58" w:type="dxa"/>
              <w:right w:w="58" w:type="dxa"/>
            </w:tcMar>
          </w:tcPr>
          <w:p w14:paraId="396821C8" w14:textId="7D6FE7FF" w:rsidR="001F64B1" w:rsidRPr="00BD157F" w:rsidRDefault="00E64532" w:rsidP="0097226C">
            <w:pPr>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30948015" w14:textId="1274E5A0" w:rsidR="00FA22F6" w:rsidRPr="00BD157F" w:rsidRDefault="00BA5EA9" w:rsidP="0097226C">
            <w:pPr>
              <w:rPr>
                <w:color w:val="002060"/>
                <w:sz w:val="16"/>
                <w:szCs w:val="16"/>
              </w:rPr>
            </w:pPr>
            <w:r w:rsidRPr="00BD157F">
              <w:rPr>
                <w:color w:val="002060"/>
                <w:sz w:val="16"/>
                <w:szCs w:val="16"/>
              </w:rPr>
              <w:t xml:space="preserve">4 </w:t>
            </w:r>
            <w:r w:rsidR="00972C9E" w:rsidRPr="00BD157F">
              <w:rPr>
                <w:color w:val="002060"/>
                <w:sz w:val="16"/>
                <w:szCs w:val="16"/>
              </w:rPr>
              <w:t>pays</w:t>
            </w:r>
            <w:r w:rsidR="00FA22F6" w:rsidRPr="00BD157F">
              <w:rPr>
                <w:color w:val="002060"/>
                <w:sz w:val="16"/>
                <w:szCs w:val="16"/>
              </w:rPr>
              <w:t> :</w:t>
            </w:r>
            <w:r w:rsidRPr="00BD157F">
              <w:rPr>
                <w:color w:val="002060"/>
                <w:sz w:val="16"/>
                <w:szCs w:val="16"/>
              </w:rPr>
              <w:t xml:space="preserve"> </w:t>
            </w:r>
            <w:r w:rsidR="00972C9E" w:rsidRPr="00BD157F">
              <w:rPr>
                <w:color w:val="002060"/>
                <w:sz w:val="16"/>
                <w:szCs w:val="16"/>
              </w:rPr>
              <w:t>Albanie, Géorgie, Lettonie, Pologne</w:t>
            </w:r>
          </w:p>
          <w:p w14:paraId="631C394B" w14:textId="64AF3516" w:rsidR="001F64B1" w:rsidRPr="001E6DFD" w:rsidRDefault="001F64B1" w:rsidP="0097226C">
            <w:pPr>
              <w:rPr>
                <w:i/>
                <w:sz w:val="16"/>
                <w:szCs w:val="16"/>
                <w:lang w:bidi="th-TH"/>
              </w:rPr>
            </w:pPr>
          </w:p>
          <w:p w14:paraId="4CCEF05A" w14:textId="66C5CB43"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9E77B12" w14:textId="1D33C546" w:rsidR="001F64B1" w:rsidRPr="001E6DFD" w:rsidRDefault="00C10A48" w:rsidP="0097226C">
            <w:pPr>
              <w:rPr>
                <w:sz w:val="16"/>
                <w:szCs w:val="16"/>
              </w:rPr>
            </w:pPr>
            <w:r w:rsidRPr="001E6DFD">
              <w:rPr>
                <w:sz w:val="16"/>
                <w:szCs w:val="16"/>
              </w:rPr>
              <w:t xml:space="preserve">4 pays </w:t>
            </w:r>
            <w:r w:rsidR="00FA22F6" w:rsidRPr="001E6DFD">
              <w:rPr>
                <w:sz w:val="16"/>
                <w:szCs w:val="16"/>
              </w:rPr>
              <w:t>en 2014</w:t>
            </w:r>
          </w:p>
          <w:p w14:paraId="00693B3C" w14:textId="77777777" w:rsidR="00BA5EA9" w:rsidRPr="001E6DFD" w:rsidRDefault="00C10A48" w:rsidP="0097226C">
            <w:pPr>
              <w:rPr>
                <w:sz w:val="16"/>
                <w:szCs w:val="16"/>
              </w:rPr>
            </w:pPr>
            <w:r w:rsidRPr="001E6DFD">
              <w:rPr>
                <w:sz w:val="16"/>
                <w:szCs w:val="16"/>
              </w:rPr>
              <w:t>(21 au total)</w:t>
            </w:r>
          </w:p>
        </w:tc>
        <w:tc>
          <w:tcPr>
            <w:tcW w:w="758" w:type="pct"/>
            <w:shd w:val="clear" w:color="auto" w:fill="auto"/>
            <w:tcMar>
              <w:top w:w="110" w:type="dxa"/>
              <w:left w:w="58" w:type="dxa"/>
              <w:right w:w="58" w:type="dxa"/>
            </w:tcMar>
          </w:tcPr>
          <w:p w14:paraId="60120A2B" w14:textId="77777777" w:rsidR="00BA5EA9" w:rsidRPr="001E6DFD" w:rsidRDefault="00C10A48" w:rsidP="0097226C">
            <w:pPr>
              <w:rPr>
                <w:sz w:val="16"/>
                <w:szCs w:val="16"/>
              </w:rPr>
            </w:pPr>
            <w:r w:rsidRPr="001E6DFD">
              <w:rPr>
                <w:sz w:val="16"/>
                <w:szCs w:val="16"/>
              </w:rPr>
              <w:t>7 pays supplémentaires</w:t>
            </w:r>
          </w:p>
        </w:tc>
        <w:tc>
          <w:tcPr>
            <w:tcW w:w="1392" w:type="pct"/>
            <w:shd w:val="clear" w:color="auto" w:fill="FFFFFF"/>
            <w:tcMar>
              <w:top w:w="110" w:type="dxa"/>
              <w:left w:w="58" w:type="dxa"/>
              <w:right w:w="58" w:type="dxa"/>
            </w:tcMar>
          </w:tcPr>
          <w:p w14:paraId="16E0F045" w14:textId="2D7BEEF7" w:rsidR="00FA22F6" w:rsidRPr="00BD157F" w:rsidRDefault="00BA5EA9" w:rsidP="0097226C">
            <w:pPr>
              <w:rPr>
                <w:sz w:val="16"/>
                <w:szCs w:val="16"/>
              </w:rPr>
            </w:pPr>
            <w:r w:rsidRPr="00BD157F">
              <w:rPr>
                <w:sz w:val="16"/>
                <w:szCs w:val="16"/>
              </w:rPr>
              <w:t xml:space="preserve">3 </w:t>
            </w:r>
            <w:r w:rsidR="007B38A5" w:rsidRPr="00BD157F">
              <w:rPr>
                <w:sz w:val="16"/>
                <w:szCs w:val="16"/>
              </w:rPr>
              <w:t xml:space="preserve">pays supplémentaires en train de formuler ou de reformuler </w:t>
            </w:r>
            <w:r w:rsidR="00B84C8D" w:rsidRPr="00BD157F">
              <w:rPr>
                <w:sz w:val="16"/>
                <w:szCs w:val="16"/>
              </w:rPr>
              <w:t>leur</w:t>
            </w:r>
            <w:r w:rsidR="007B38A5" w:rsidRPr="00BD157F">
              <w:rPr>
                <w:sz w:val="16"/>
                <w:szCs w:val="16"/>
              </w:rPr>
              <w:t xml:space="preserve"> </w:t>
            </w:r>
            <w:r w:rsidR="00B84C8D" w:rsidRPr="00BD157F">
              <w:rPr>
                <w:sz w:val="16"/>
                <w:szCs w:val="16"/>
              </w:rPr>
              <w:t>stratégie</w:t>
            </w:r>
            <w:r w:rsidR="007B38A5" w:rsidRPr="00BD157F">
              <w:rPr>
                <w:sz w:val="16"/>
                <w:szCs w:val="16"/>
              </w:rPr>
              <w:t xml:space="preserve"> de propriété intellectuelle</w:t>
            </w:r>
            <w:r w:rsidR="00FA22F6" w:rsidRPr="00BD157F">
              <w:rPr>
                <w:sz w:val="16"/>
                <w:szCs w:val="16"/>
              </w:rPr>
              <w:t> :</w:t>
            </w:r>
            <w:r w:rsidR="007B38A5" w:rsidRPr="00BD157F">
              <w:rPr>
                <w:sz w:val="16"/>
                <w:szCs w:val="16"/>
              </w:rPr>
              <w:t xml:space="preserve"> </w:t>
            </w:r>
            <w:r w:rsidR="00972C9E" w:rsidRPr="00BD157F">
              <w:rPr>
                <w:sz w:val="16"/>
                <w:szCs w:val="16"/>
              </w:rPr>
              <w:t>Kirghizistan, Slovaquie, Ukraine</w:t>
            </w:r>
          </w:p>
          <w:p w14:paraId="04F99A7B" w14:textId="4C027F78" w:rsidR="001F64B1" w:rsidRPr="00BD157F" w:rsidRDefault="001F64B1" w:rsidP="0097226C">
            <w:pPr>
              <w:rPr>
                <w:sz w:val="16"/>
                <w:szCs w:val="16"/>
              </w:rPr>
            </w:pPr>
          </w:p>
          <w:p w14:paraId="76A80851" w14:textId="3B7845AE" w:rsidR="00BA5EA9" w:rsidRPr="00BD157F" w:rsidRDefault="00BA5EA9" w:rsidP="0097226C">
            <w:pPr>
              <w:rPr>
                <w:sz w:val="16"/>
                <w:szCs w:val="16"/>
              </w:rPr>
            </w:pPr>
            <w:r w:rsidRPr="00BD157F">
              <w:rPr>
                <w:sz w:val="16"/>
                <w:szCs w:val="16"/>
              </w:rPr>
              <w:t xml:space="preserve">2 </w:t>
            </w:r>
            <w:r w:rsidR="00972C9E" w:rsidRPr="00BD157F">
              <w:rPr>
                <w:sz w:val="16"/>
                <w:szCs w:val="16"/>
              </w:rPr>
              <w:t>pays</w:t>
            </w:r>
            <w:r w:rsidRPr="00BD157F">
              <w:rPr>
                <w:sz w:val="16"/>
                <w:szCs w:val="16"/>
              </w:rPr>
              <w:t xml:space="preserve"> (</w:t>
            </w:r>
            <w:r w:rsidR="00972C9E" w:rsidRPr="00BD157F">
              <w:rPr>
                <w:sz w:val="16"/>
                <w:szCs w:val="16"/>
              </w:rPr>
              <w:t>Géorgie, Lettonie</w:t>
            </w:r>
            <w:r w:rsidRPr="00BD157F">
              <w:rPr>
                <w:sz w:val="16"/>
                <w:szCs w:val="16"/>
              </w:rPr>
              <w:t xml:space="preserve">) </w:t>
            </w:r>
            <w:r w:rsidR="005927AB" w:rsidRPr="00BD157F">
              <w:rPr>
                <w:sz w:val="16"/>
                <w:szCs w:val="16"/>
              </w:rPr>
              <w:t xml:space="preserve">étaient en cours de finalisation de </w:t>
            </w:r>
            <w:r w:rsidR="00B84C8D" w:rsidRPr="00BD157F">
              <w:rPr>
                <w:sz w:val="16"/>
                <w:szCs w:val="16"/>
              </w:rPr>
              <w:t>leur</w:t>
            </w:r>
            <w:r w:rsidR="005927AB" w:rsidRPr="00BD157F">
              <w:rPr>
                <w:sz w:val="16"/>
                <w:szCs w:val="16"/>
              </w:rPr>
              <w:t xml:space="preserve"> </w:t>
            </w:r>
            <w:r w:rsidR="00B84C8D" w:rsidRPr="00BD157F">
              <w:rPr>
                <w:sz w:val="16"/>
                <w:szCs w:val="16"/>
              </w:rPr>
              <w:t>stratégie</w:t>
            </w:r>
            <w:r w:rsidR="005927AB" w:rsidRPr="00BD157F">
              <w:rPr>
                <w:sz w:val="16"/>
                <w:szCs w:val="16"/>
              </w:rPr>
              <w:t xml:space="preserve"> de propriété intellectuelle à la fin </w:t>
            </w:r>
            <w:r w:rsidR="00FA22F6" w:rsidRPr="00BD157F">
              <w:rPr>
                <w:sz w:val="16"/>
                <w:szCs w:val="16"/>
              </w:rPr>
              <w:t>de 2016</w:t>
            </w:r>
          </w:p>
        </w:tc>
        <w:tc>
          <w:tcPr>
            <w:tcW w:w="512" w:type="pct"/>
            <w:gridSpan w:val="2"/>
            <w:shd w:val="clear" w:color="auto" w:fill="auto"/>
            <w:tcMar>
              <w:top w:w="110" w:type="dxa"/>
              <w:left w:w="58" w:type="dxa"/>
              <w:right w:w="58" w:type="dxa"/>
            </w:tcMar>
          </w:tcPr>
          <w:p w14:paraId="27540F00" w14:textId="77777777" w:rsidR="00BA5EA9" w:rsidRPr="001E6DFD" w:rsidRDefault="00A43B2F" w:rsidP="0097226C">
            <w:pPr>
              <w:jc w:val="center"/>
              <w:rPr>
                <w:sz w:val="16"/>
                <w:szCs w:val="16"/>
              </w:rPr>
            </w:pPr>
            <w:r w:rsidRPr="001E6DFD">
              <w:rPr>
                <w:b/>
                <w:color w:val="00B050"/>
                <w:sz w:val="16"/>
                <w:szCs w:val="16"/>
              </w:rPr>
              <w:t>En bonne voie</w:t>
            </w:r>
          </w:p>
        </w:tc>
      </w:tr>
      <w:tr w:rsidR="00FA6040" w:rsidRPr="001E6DFD" w14:paraId="4BAF9490" w14:textId="77777777" w:rsidTr="0097226C">
        <w:tc>
          <w:tcPr>
            <w:tcW w:w="1072" w:type="pct"/>
            <w:shd w:val="clear" w:color="auto" w:fill="auto"/>
            <w:tcMar>
              <w:left w:w="58" w:type="dxa"/>
              <w:right w:w="58" w:type="dxa"/>
            </w:tcMar>
          </w:tcPr>
          <w:p w14:paraId="77E7285C" w14:textId="77777777" w:rsidR="00BA5EA9" w:rsidRPr="001E6DFD" w:rsidRDefault="00C10A48" w:rsidP="0097226C">
            <w:pPr>
              <w:rPr>
                <w:sz w:val="16"/>
                <w:szCs w:val="16"/>
              </w:rPr>
            </w:pPr>
            <w:r w:rsidRPr="001E6DFD">
              <w:rPr>
                <w:sz w:val="16"/>
                <w:szCs w:val="16"/>
              </w:rPr>
              <w:t>Nombre de pays ayant élaboré des stratégies ou des plans nationaux en matière de propriété intellectuelle conformes aux objectifs nationaux de développement</w:t>
            </w:r>
          </w:p>
        </w:tc>
        <w:tc>
          <w:tcPr>
            <w:tcW w:w="1266" w:type="pct"/>
            <w:shd w:val="clear" w:color="auto" w:fill="auto"/>
            <w:tcMar>
              <w:left w:w="58" w:type="dxa"/>
              <w:right w:w="58" w:type="dxa"/>
            </w:tcMar>
          </w:tcPr>
          <w:p w14:paraId="7A0456DE" w14:textId="07AF23D3" w:rsidR="001F64B1" w:rsidRPr="00BD157F" w:rsidRDefault="00E64532" w:rsidP="0097226C">
            <w:pPr>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13856FD2" w14:textId="0930A1CE" w:rsidR="001F64B1" w:rsidRPr="00BD157F" w:rsidRDefault="00AA6AF2" w:rsidP="0097226C">
            <w:pPr>
              <w:rPr>
                <w:color w:val="002060"/>
                <w:sz w:val="16"/>
                <w:szCs w:val="16"/>
              </w:rPr>
            </w:pPr>
            <w:r w:rsidRPr="00BD157F">
              <w:rPr>
                <w:color w:val="002060"/>
                <w:sz w:val="16"/>
                <w:szCs w:val="16"/>
              </w:rPr>
              <w:t xml:space="preserve">6 pays ont élaboré des stratégies de propriété intellectuelle </w:t>
            </w:r>
            <w:r w:rsidR="00FA22F6" w:rsidRPr="00BD157F">
              <w:rPr>
                <w:color w:val="002060"/>
                <w:sz w:val="16"/>
                <w:szCs w:val="16"/>
              </w:rPr>
              <w:t>en 2014</w:t>
            </w:r>
            <w:r w:rsidR="006A41CF" w:rsidRPr="00BD157F">
              <w:rPr>
                <w:color w:val="002060"/>
                <w:sz w:val="16"/>
                <w:szCs w:val="16"/>
              </w:rPr>
              <w:noBreakHyphen/>
            </w:r>
            <w:r w:rsidRPr="00BD157F">
              <w:rPr>
                <w:color w:val="002060"/>
                <w:sz w:val="16"/>
                <w:szCs w:val="16"/>
              </w:rPr>
              <w:t>2015</w:t>
            </w:r>
            <w:r w:rsidR="00FA22F6" w:rsidRPr="00BD157F">
              <w:rPr>
                <w:color w:val="002060"/>
                <w:sz w:val="16"/>
                <w:szCs w:val="16"/>
              </w:rPr>
              <w:t> :</w:t>
            </w:r>
            <w:r w:rsidRPr="00BD157F">
              <w:rPr>
                <w:color w:val="002060"/>
                <w:sz w:val="16"/>
                <w:szCs w:val="16"/>
              </w:rPr>
              <w:t xml:space="preserve"> </w:t>
            </w:r>
            <w:r w:rsidR="00972C9E" w:rsidRPr="00BD157F">
              <w:rPr>
                <w:color w:val="002060"/>
                <w:sz w:val="16"/>
                <w:szCs w:val="16"/>
              </w:rPr>
              <w:t xml:space="preserve">Bulgarie, Slovaquie, Tadjikistan, Turquie, Turkménistan, </w:t>
            </w:r>
            <w:r w:rsidR="00BA5EA9" w:rsidRPr="00BD157F">
              <w:rPr>
                <w:color w:val="002060"/>
                <w:sz w:val="16"/>
                <w:szCs w:val="16"/>
              </w:rPr>
              <w:t>Ukraine</w:t>
            </w:r>
          </w:p>
          <w:p w14:paraId="011F97CC" w14:textId="77777777" w:rsidR="001F64B1" w:rsidRPr="00BD157F" w:rsidRDefault="00C10A48" w:rsidP="0097226C">
            <w:pPr>
              <w:rPr>
                <w:color w:val="002060"/>
                <w:sz w:val="16"/>
                <w:szCs w:val="16"/>
              </w:rPr>
            </w:pPr>
            <w:r w:rsidRPr="00BD157F">
              <w:rPr>
                <w:color w:val="002060"/>
                <w:sz w:val="16"/>
                <w:szCs w:val="16"/>
              </w:rPr>
              <w:t>(20 au total)</w:t>
            </w:r>
          </w:p>
          <w:p w14:paraId="340F0BAE" w14:textId="77777777" w:rsidR="001F64B1" w:rsidRPr="001E6DFD" w:rsidRDefault="001F64B1" w:rsidP="0097226C">
            <w:pPr>
              <w:rPr>
                <w:sz w:val="16"/>
                <w:szCs w:val="16"/>
              </w:rPr>
            </w:pPr>
          </w:p>
          <w:p w14:paraId="403FF03F" w14:textId="2D6AEFD5"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5B778F1" w14:textId="5DD1D0CD" w:rsidR="00FA22F6" w:rsidRPr="001E6DFD" w:rsidRDefault="00C10A48" w:rsidP="0097226C">
            <w:pPr>
              <w:rPr>
                <w:sz w:val="16"/>
                <w:szCs w:val="16"/>
              </w:rPr>
            </w:pPr>
            <w:r w:rsidRPr="001E6DFD">
              <w:rPr>
                <w:sz w:val="16"/>
                <w:szCs w:val="16"/>
              </w:rPr>
              <w:t xml:space="preserve">3 pays </w:t>
            </w:r>
            <w:r w:rsidR="00FA22F6" w:rsidRPr="001E6DFD">
              <w:rPr>
                <w:sz w:val="16"/>
                <w:szCs w:val="16"/>
              </w:rPr>
              <w:t>en 2014</w:t>
            </w:r>
          </w:p>
          <w:p w14:paraId="791DE211" w14:textId="4E6E3A18" w:rsidR="00BA5EA9" w:rsidRPr="001E6DFD" w:rsidRDefault="00C10A48" w:rsidP="0097226C">
            <w:pPr>
              <w:rPr>
                <w:sz w:val="16"/>
                <w:szCs w:val="16"/>
              </w:rPr>
            </w:pPr>
            <w:r w:rsidRPr="001E6DFD">
              <w:rPr>
                <w:sz w:val="16"/>
                <w:szCs w:val="16"/>
              </w:rPr>
              <w:t>(17 au total)</w:t>
            </w:r>
          </w:p>
        </w:tc>
        <w:tc>
          <w:tcPr>
            <w:tcW w:w="758" w:type="pct"/>
            <w:shd w:val="clear" w:color="auto" w:fill="auto"/>
            <w:tcMar>
              <w:top w:w="110" w:type="dxa"/>
              <w:left w:w="58" w:type="dxa"/>
              <w:right w:w="58" w:type="dxa"/>
            </w:tcMar>
          </w:tcPr>
          <w:p w14:paraId="0A76997E" w14:textId="77777777" w:rsidR="00BA5EA9" w:rsidRPr="001E6DFD" w:rsidRDefault="00C10A48" w:rsidP="0097226C">
            <w:pPr>
              <w:rPr>
                <w:sz w:val="16"/>
                <w:szCs w:val="16"/>
              </w:rPr>
            </w:pPr>
            <w:r w:rsidRPr="001E6DFD">
              <w:rPr>
                <w:sz w:val="16"/>
                <w:szCs w:val="16"/>
              </w:rPr>
              <w:t>7 pays supplémentaires</w:t>
            </w:r>
          </w:p>
        </w:tc>
        <w:tc>
          <w:tcPr>
            <w:tcW w:w="1392" w:type="pct"/>
            <w:shd w:val="clear" w:color="auto" w:fill="FFFFFF"/>
            <w:tcMar>
              <w:top w:w="110" w:type="dxa"/>
              <w:left w:w="58" w:type="dxa"/>
              <w:right w:w="58" w:type="dxa"/>
            </w:tcMar>
          </w:tcPr>
          <w:p w14:paraId="02EB3F3C" w14:textId="068B3F6B" w:rsidR="001F64B1" w:rsidRPr="00BD157F" w:rsidRDefault="00BA5EA9" w:rsidP="0097226C">
            <w:pPr>
              <w:rPr>
                <w:sz w:val="16"/>
                <w:szCs w:val="16"/>
              </w:rPr>
            </w:pPr>
            <w:r w:rsidRPr="00BD157F">
              <w:rPr>
                <w:sz w:val="16"/>
                <w:szCs w:val="16"/>
              </w:rPr>
              <w:t xml:space="preserve">1 </w:t>
            </w:r>
            <w:r w:rsidR="00B84C8D" w:rsidRPr="00BD157F">
              <w:rPr>
                <w:sz w:val="16"/>
                <w:szCs w:val="16"/>
              </w:rPr>
              <w:t>pays supplémentaire a élaboré une stratégie de propriété intellectuelle</w:t>
            </w:r>
            <w:r w:rsidR="00FA22F6" w:rsidRPr="00BD157F">
              <w:rPr>
                <w:sz w:val="16"/>
                <w:szCs w:val="16"/>
              </w:rPr>
              <w:t> :</w:t>
            </w:r>
            <w:r w:rsidRPr="00BD157F">
              <w:rPr>
                <w:sz w:val="16"/>
                <w:szCs w:val="16"/>
              </w:rPr>
              <w:t xml:space="preserve"> Albani</w:t>
            </w:r>
            <w:r w:rsidR="00972C9E" w:rsidRPr="00BD157F">
              <w:rPr>
                <w:sz w:val="16"/>
                <w:szCs w:val="16"/>
              </w:rPr>
              <w:t>e</w:t>
            </w:r>
          </w:p>
          <w:p w14:paraId="15E586B7" w14:textId="77777777" w:rsidR="001F64B1" w:rsidRPr="00BD157F" w:rsidRDefault="001F64B1" w:rsidP="0097226C">
            <w:pPr>
              <w:rPr>
                <w:sz w:val="16"/>
                <w:szCs w:val="16"/>
              </w:rPr>
            </w:pPr>
          </w:p>
          <w:p w14:paraId="216DCA84" w14:textId="270CA801" w:rsidR="00BA5EA9" w:rsidRPr="00BD157F" w:rsidRDefault="00BA5EA9" w:rsidP="00CE0AA4">
            <w:pPr>
              <w:rPr>
                <w:sz w:val="16"/>
                <w:szCs w:val="16"/>
              </w:rPr>
            </w:pPr>
            <w:r w:rsidRPr="00BD157F">
              <w:rPr>
                <w:sz w:val="16"/>
                <w:szCs w:val="16"/>
              </w:rPr>
              <w:t xml:space="preserve">21 </w:t>
            </w:r>
            <w:r w:rsidR="00972C9E" w:rsidRPr="00BD157F">
              <w:rPr>
                <w:sz w:val="16"/>
                <w:szCs w:val="16"/>
              </w:rPr>
              <w:t>pays</w:t>
            </w:r>
            <w:r w:rsidRPr="00BD157F">
              <w:rPr>
                <w:sz w:val="16"/>
                <w:szCs w:val="16"/>
              </w:rPr>
              <w:t xml:space="preserve"> (</w:t>
            </w:r>
            <w:r w:rsidR="00972C9E" w:rsidRPr="00BD157F">
              <w:rPr>
                <w:sz w:val="16"/>
                <w:szCs w:val="16"/>
              </w:rPr>
              <w:t>total</w:t>
            </w:r>
            <w:r w:rsidRPr="00BD157F">
              <w:rPr>
                <w:sz w:val="16"/>
                <w:szCs w:val="16"/>
              </w:rPr>
              <w:t>)</w:t>
            </w:r>
          </w:p>
        </w:tc>
        <w:tc>
          <w:tcPr>
            <w:tcW w:w="512" w:type="pct"/>
            <w:gridSpan w:val="2"/>
            <w:shd w:val="clear" w:color="auto" w:fill="auto"/>
            <w:tcMar>
              <w:top w:w="110" w:type="dxa"/>
              <w:left w:w="58" w:type="dxa"/>
              <w:right w:w="58" w:type="dxa"/>
            </w:tcMar>
          </w:tcPr>
          <w:p w14:paraId="0BFEDEA2" w14:textId="77777777" w:rsidR="00BA5EA9" w:rsidRPr="001E6DFD" w:rsidRDefault="00505EF6" w:rsidP="0097226C">
            <w:pPr>
              <w:jc w:val="center"/>
              <w:rPr>
                <w:sz w:val="16"/>
                <w:szCs w:val="16"/>
              </w:rPr>
            </w:pPr>
            <w:r w:rsidRPr="001E6DFD">
              <w:rPr>
                <w:b/>
                <w:color w:val="FF0000"/>
                <w:sz w:val="16"/>
                <w:szCs w:val="16"/>
              </w:rPr>
              <w:t>Pas en bonne voie</w:t>
            </w:r>
          </w:p>
        </w:tc>
      </w:tr>
      <w:tr w:rsidR="00BA5EA9" w:rsidRPr="001E6DFD" w14:paraId="0D9481FF" w14:textId="77777777" w:rsidTr="0097226C">
        <w:tc>
          <w:tcPr>
            <w:tcW w:w="5000" w:type="pct"/>
            <w:gridSpan w:val="6"/>
            <w:shd w:val="clear" w:color="auto" w:fill="C6D9F1" w:themeFill="text2" w:themeFillTint="33"/>
            <w:tcMar>
              <w:left w:w="58" w:type="dxa"/>
              <w:right w:w="58" w:type="dxa"/>
            </w:tcMar>
            <w:vAlign w:val="center"/>
          </w:tcPr>
          <w:p w14:paraId="29E33C7E" w14:textId="54209F3D" w:rsidR="00BA5EA9" w:rsidRPr="001E6DFD" w:rsidRDefault="00C10A48" w:rsidP="0097226C">
            <w:pPr>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III.2 Renforcement des capacités en matière de ressources humaines pour pouvoir répondre aux nombreuses exigences en ce qui concerne l</w:t>
            </w:r>
            <w:r w:rsidR="00FA22F6" w:rsidRPr="001E6DFD">
              <w:rPr>
                <w:bCs/>
                <w:sz w:val="16"/>
                <w:szCs w:val="16"/>
              </w:rPr>
              <w:t>’</w:t>
            </w:r>
            <w:r w:rsidRPr="001E6DFD">
              <w:rPr>
                <w:bCs/>
                <w:sz w:val="16"/>
                <w:szCs w:val="16"/>
              </w:rPr>
              <w:t>utilisation efficace de la propriété intellectuelle au service du développement dans les pays en développement,</w:t>
            </w:r>
            <w:r w:rsidR="00FA22F6" w:rsidRPr="001E6DFD">
              <w:rPr>
                <w:bCs/>
                <w:sz w:val="16"/>
                <w:szCs w:val="16"/>
              </w:rPr>
              <w:t xml:space="preserve"> les PMA</w:t>
            </w:r>
            <w:r w:rsidRPr="001E6DFD">
              <w:rPr>
                <w:bCs/>
                <w:sz w:val="16"/>
                <w:szCs w:val="16"/>
              </w:rPr>
              <w:t xml:space="preserve"> et les pays en transition.</w:t>
            </w:r>
          </w:p>
        </w:tc>
      </w:tr>
      <w:tr w:rsidR="00FA6040" w:rsidRPr="001E6DFD" w14:paraId="2F008AFF" w14:textId="77777777" w:rsidTr="0097226C">
        <w:tc>
          <w:tcPr>
            <w:tcW w:w="1072" w:type="pct"/>
            <w:shd w:val="clear" w:color="auto" w:fill="auto"/>
            <w:tcMar>
              <w:left w:w="58" w:type="dxa"/>
              <w:right w:w="58" w:type="dxa"/>
            </w:tcMar>
            <w:vAlign w:val="center"/>
          </w:tcPr>
          <w:p w14:paraId="154BCD69" w14:textId="0CC6AF66" w:rsidR="00BA5EA9" w:rsidRPr="001E6DFD" w:rsidRDefault="00C10A48"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1813EA59" w14:textId="77777777" w:rsidR="00BA5EA9" w:rsidRPr="001E6DFD" w:rsidRDefault="00C10A48" w:rsidP="0097226C">
            <w:pPr>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4F120A75" w14:textId="77777777" w:rsidR="00BA5EA9" w:rsidRPr="001E6DFD" w:rsidRDefault="00C10A48" w:rsidP="0097226C">
            <w:pPr>
              <w:tabs>
                <w:tab w:val="left" w:pos="290"/>
              </w:tabs>
              <w:jc w:val="center"/>
              <w:rPr>
                <w:b/>
                <w:bCs/>
                <w:sz w:val="16"/>
                <w:szCs w:val="16"/>
              </w:rPr>
            </w:pPr>
            <w:r w:rsidRPr="001E6DFD">
              <w:rPr>
                <w:b/>
                <w:bCs/>
                <w:sz w:val="16"/>
                <w:szCs w:val="16"/>
              </w:rPr>
              <w:t>Objectifs visés</w:t>
            </w:r>
          </w:p>
        </w:tc>
        <w:tc>
          <w:tcPr>
            <w:tcW w:w="1392" w:type="pct"/>
            <w:shd w:val="clear" w:color="auto" w:fill="FFFFFF"/>
            <w:tcMar>
              <w:top w:w="110" w:type="dxa"/>
              <w:left w:w="58" w:type="dxa"/>
              <w:right w:w="58" w:type="dxa"/>
            </w:tcMar>
            <w:vAlign w:val="center"/>
          </w:tcPr>
          <w:p w14:paraId="02281834" w14:textId="643C6232" w:rsidR="00BA5EA9" w:rsidRPr="001E6DFD" w:rsidRDefault="00C10A48"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gridSpan w:val="2"/>
            <w:shd w:val="clear" w:color="auto" w:fill="auto"/>
            <w:tcMar>
              <w:top w:w="110" w:type="dxa"/>
              <w:left w:w="58" w:type="dxa"/>
              <w:right w:w="58" w:type="dxa"/>
            </w:tcMar>
            <w:vAlign w:val="center"/>
          </w:tcPr>
          <w:p w14:paraId="5735335E" w14:textId="60AAAF56"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4F2CD35F" w14:textId="77777777" w:rsidTr="0097226C">
        <w:tc>
          <w:tcPr>
            <w:tcW w:w="1072" w:type="pct"/>
            <w:shd w:val="clear" w:color="auto" w:fill="auto"/>
            <w:tcMar>
              <w:left w:w="58" w:type="dxa"/>
              <w:right w:w="58" w:type="dxa"/>
            </w:tcMar>
          </w:tcPr>
          <w:p w14:paraId="42E12E0E" w14:textId="44BB8D1B" w:rsidR="00BA5EA9" w:rsidRPr="001E6DFD" w:rsidRDefault="00C10A48" w:rsidP="0097226C">
            <w:pPr>
              <w:rPr>
                <w:sz w:val="16"/>
                <w:szCs w:val="16"/>
              </w:rPr>
            </w:pPr>
            <w:r w:rsidRPr="001E6DFD">
              <w:rPr>
                <w:sz w:val="16"/>
                <w:szCs w:val="16"/>
              </w:rPr>
              <w:t>Nombre de pays à économie en transition ayant mis en place des programmes et/ou cours de formation annuels en matière de propriété intellectuelle à l</w:t>
            </w:r>
            <w:r w:rsidR="00FA22F6" w:rsidRPr="001E6DFD">
              <w:rPr>
                <w:sz w:val="16"/>
                <w:szCs w:val="16"/>
              </w:rPr>
              <w:t>’</w:t>
            </w:r>
            <w:r w:rsidRPr="001E6DFD">
              <w:rPr>
                <w:sz w:val="16"/>
                <w:szCs w:val="16"/>
              </w:rPr>
              <w:t xml:space="preserve">intention </w:t>
            </w:r>
            <w:r w:rsidRPr="001E6DFD">
              <w:rPr>
                <w:sz w:val="16"/>
                <w:szCs w:val="16"/>
              </w:rPr>
              <w:lastRenderedPageBreak/>
              <w:t>de spécialistes de la propriété intellectuelle</w:t>
            </w:r>
          </w:p>
        </w:tc>
        <w:tc>
          <w:tcPr>
            <w:tcW w:w="1266" w:type="pct"/>
            <w:shd w:val="clear" w:color="auto" w:fill="auto"/>
            <w:tcMar>
              <w:left w:w="58" w:type="dxa"/>
              <w:right w:w="58" w:type="dxa"/>
            </w:tcMar>
          </w:tcPr>
          <w:p w14:paraId="53B0AB9F" w14:textId="02071946" w:rsidR="001F64B1" w:rsidRPr="00BD157F" w:rsidRDefault="00E64532" w:rsidP="0097226C">
            <w:pPr>
              <w:rPr>
                <w:i/>
                <w:color w:val="002060"/>
                <w:sz w:val="16"/>
                <w:szCs w:val="16"/>
              </w:rPr>
            </w:pPr>
            <w:r w:rsidRPr="00BD157F">
              <w:rPr>
                <w:i/>
                <w:color w:val="002060"/>
                <w:sz w:val="16"/>
                <w:szCs w:val="16"/>
              </w:rPr>
              <w:lastRenderedPageBreak/>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3BB4D91D" w14:textId="77777777" w:rsidR="001F64B1" w:rsidRPr="00BD157F" w:rsidRDefault="00BA5EA9" w:rsidP="0097226C">
            <w:pPr>
              <w:rPr>
                <w:color w:val="002060"/>
                <w:sz w:val="16"/>
                <w:szCs w:val="16"/>
              </w:rPr>
            </w:pPr>
            <w:r w:rsidRPr="00BD157F">
              <w:rPr>
                <w:color w:val="002060"/>
                <w:sz w:val="16"/>
                <w:szCs w:val="16"/>
              </w:rPr>
              <w:t>9 (</w:t>
            </w:r>
            <w:r w:rsidR="007E3753" w:rsidRPr="00BD157F">
              <w:rPr>
                <w:color w:val="002060"/>
                <w:sz w:val="16"/>
                <w:szCs w:val="16"/>
              </w:rPr>
              <w:t>Bulgarie, Croatie, Géorgie, Kazakhstan, Pologne, République tchèque, Roumanie, Slovaquie, Turquie</w:t>
            </w:r>
            <w:r w:rsidRPr="00BD157F">
              <w:rPr>
                <w:color w:val="002060"/>
                <w:sz w:val="16"/>
                <w:szCs w:val="16"/>
              </w:rPr>
              <w:t>)</w:t>
            </w:r>
          </w:p>
          <w:p w14:paraId="23FA0C06" w14:textId="77777777" w:rsidR="001F64B1" w:rsidRPr="001E6DFD" w:rsidRDefault="001F64B1" w:rsidP="0097226C">
            <w:pPr>
              <w:rPr>
                <w:sz w:val="16"/>
                <w:szCs w:val="16"/>
              </w:rPr>
            </w:pPr>
          </w:p>
          <w:p w14:paraId="4AABF787" w14:textId="0A41E211"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243DC78" w14:textId="77777777" w:rsidR="00BA5EA9" w:rsidRPr="001E6DFD" w:rsidRDefault="00C10A48" w:rsidP="0097226C">
            <w:pPr>
              <w:rPr>
                <w:sz w:val="16"/>
                <w:szCs w:val="16"/>
              </w:rPr>
            </w:pPr>
            <w:r w:rsidRPr="001E6DFD">
              <w:rPr>
                <w:sz w:val="16"/>
                <w:szCs w:val="16"/>
              </w:rPr>
              <w:t>6 pays (2014)</w:t>
            </w:r>
          </w:p>
        </w:tc>
        <w:tc>
          <w:tcPr>
            <w:tcW w:w="758" w:type="pct"/>
            <w:shd w:val="clear" w:color="auto" w:fill="auto"/>
            <w:tcMar>
              <w:top w:w="110" w:type="dxa"/>
              <w:left w:w="58" w:type="dxa"/>
              <w:right w:w="58" w:type="dxa"/>
            </w:tcMar>
          </w:tcPr>
          <w:p w14:paraId="406DCD0C" w14:textId="77777777" w:rsidR="00BA5EA9" w:rsidRPr="001E6DFD" w:rsidRDefault="00C10A48" w:rsidP="0097226C">
            <w:pPr>
              <w:rPr>
                <w:sz w:val="16"/>
                <w:szCs w:val="16"/>
              </w:rPr>
            </w:pPr>
            <w:r w:rsidRPr="001E6DFD">
              <w:rPr>
                <w:sz w:val="16"/>
                <w:szCs w:val="16"/>
              </w:rPr>
              <w:lastRenderedPageBreak/>
              <w:t>8 pays</w:t>
            </w:r>
          </w:p>
        </w:tc>
        <w:tc>
          <w:tcPr>
            <w:tcW w:w="1392" w:type="pct"/>
            <w:shd w:val="clear" w:color="auto" w:fill="FFFFFF"/>
            <w:tcMar>
              <w:top w:w="110" w:type="dxa"/>
              <w:left w:w="58" w:type="dxa"/>
              <w:right w:w="58" w:type="dxa"/>
            </w:tcMar>
          </w:tcPr>
          <w:p w14:paraId="4F601CF3" w14:textId="2B95EC11" w:rsidR="001F64B1" w:rsidRPr="00BD157F" w:rsidRDefault="00BA5EA9" w:rsidP="0097226C">
            <w:pPr>
              <w:rPr>
                <w:sz w:val="16"/>
                <w:szCs w:val="16"/>
              </w:rPr>
            </w:pPr>
            <w:r w:rsidRPr="00BD157F">
              <w:rPr>
                <w:sz w:val="16"/>
                <w:szCs w:val="16"/>
              </w:rPr>
              <w:t xml:space="preserve">4 </w:t>
            </w:r>
            <w:r w:rsidR="00A5398B" w:rsidRPr="00BD157F">
              <w:rPr>
                <w:sz w:val="16"/>
                <w:szCs w:val="16"/>
              </w:rPr>
              <w:t xml:space="preserve">pays supplémentaires ont mis en place des programmes et/ou cours de formation annuels en matière de propriété </w:t>
            </w:r>
            <w:r w:rsidR="000F5728" w:rsidRPr="00BD157F">
              <w:rPr>
                <w:sz w:val="16"/>
                <w:szCs w:val="16"/>
              </w:rPr>
              <w:t>intellectuelle</w:t>
            </w:r>
            <w:r w:rsidR="00FA22F6" w:rsidRPr="00BD157F">
              <w:rPr>
                <w:sz w:val="16"/>
                <w:szCs w:val="16"/>
              </w:rPr>
              <w:t> :</w:t>
            </w:r>
            <w:r w:rsidRPr="00BD157F">
              <w:rPr>
                <w:sz w:val="16"/>
                <w:szCs w:val="16"/>
              </w:rPr>
              <w:t xml:space="preserve"> </w:t>
            </w:r>
            <w:r w:rsidR="007E3753" w:rsidRPr="00BD157F">
              <w:rPr>
                <w:sz w:val="16"/>
                <w:szCs w:val="16"/>
              </w:rPr>
              <w:t>Azerbaïdjan, Fédération de Russie, Lettonie, République de Moldova</w:t>
            </w:r>
          </w:p>
          <w:p w14:paraId="35437D14" w14:textId="77777777" w:rsidR="001F64B1" w:rsidRPr="00BD157F" w:rsidRDefault="001F64B1" w:rsidP="0097226C">
            <w:pPr>
              <w:rPr>
                <w:sz w:val="16"/>
                <w:szCs w:val="16"/>
              </w:rPr>
            </w:pPr>
          </w:p>
          <w:p w14:paraId="79224A32" w14:textId="318E2520" w:rsidR="001F64B1" w:rsidRPr="00BD157F" w:rsidRDefault="00BA5EA9" w:rsidP="0097226C">
            <w:pPr>
              <w:rPr>
                <w:sz w:val="16"/>
                <w:szCs w:val="16"/>
              </w:rPr>
            </w:pPr>
            <w:r w:rsidRPr="00BD157F">
              <w:rPr>
                <w:sz w:val="16"/>
                <w:szCs w:val="16"/>
              </w:rPr>
              <w:t xml:space="preserve">2 </w:t>
            </w:r>
            <w:r w:rsidR="000F5728" w:rsidRPr="00BD157F">
              <w:rPr>
                <w:sz w:val="16"/>
                <w:szCs w:val="16"/>
              </w:rPr>
              <w:t>pays de référence ont mis en place des programmes et/ou cours supplémentaires de formation en matière de propriété intellectuelle</w:t>
            </w:r>
            <w:r w:rsidR="00FA22F6" w:rsidRPr="00BD157F">
              <w:rPr>
                <w:sz w:val="16"/>
                <w:szCs w:val="16"/>
              </w:rPr>
              <w:t> :</w:t>
            </w:r>
            <w:r w:rsidRPr="00BD157F">
              <w:rPr>
                <w:sz w:val="16"/>
                <w:szCs w:val="16"/>
              </w:rPr>
              <w:t xml:space="preserve"> </w:t>
            </w:r>
            <w:r w:rsidR="007E3753" w:rsidRPr="00BD157F">
              <w:rPr>
                <w:sz w:val="16"/>
                <w:szCs w:val="16"/>
              </w:rPr>
              <w:t>Géorgie</w:t>
            </w:r>
            <w:r w:rsidRPr="00BD157F">
              <w:rPr>
                <w:sz w:val="16"/>
                <w:szCs w:val="16"/>
              </w:rPr>
              <w:t xml:space="preserve">, </w:t>
            </w:r>
            <w:r w:rsidR="007E3753" w:rsidRPr="00BD157F">
              <w:rPr>
                <w:sz w:val="16"/>
                <w:szCs w:val="16"/>
              </w:rPr>
              <w:t>Pologne</w:t>
            </w:r>
          </w:p>
          <w:p w14:paraId="33854984" w14:textId="77777777" w:rsidR="001F64B1" w:rsidRPr="00BD157F" w:rsidRDefault="001F64B1" w:rsidP="0097226C">
            <w:pPr>
              <w:rPr>
                <w:sz w:val="16"/>
                <w:szCs w:val="16"/>
              </w:rPr>
            </w:pPr>
          </w:p>
          <w:p w14:paraId="1B620F6B" w14:textId="35330FC2" w:rsidR="00BA5EA9" w:rsidRPr="00BD157F" w:rsidRDefault="00BA5EA9" w:rsidP="00CE0AA4">
            <w:pPr>
              <w:rPr>
                <w:sz w:val="16"/>
                <w:szCs w:val="16"/>
              </w:rPr>
            </w:pPr>
            <w:r w:rsidRPr="00BD157F">
              <w:rPr>
                <w:sz w:val="16"/>
                <w:szCs w:val="16"/>
              </w:rPr>
              <w:t xml:space="preserve">15 </w:t>
            </w:r>
            <w:r w:rsidR="000D6657" w:rsidRPr="00BD157F">
              <w:rPr>
                <w:sz w:val="16"/>
                <w:szCs w:val="16"/>
              </w:rPr>
              <w:t>programmes et/ou cours dans 13</w:t>
            </w:r>
            <w:r w:rsidR="00B4191E" w:rsidRPr="00BD157F">
              <w:rPr>
                <w:sz w:val="16"/>
                <w:szCs w:val="16"/>
              </w:rPr>
              <w:t> </w:t>
            </w:r>
            <w:r w:rsidR="000D6657" w:rsidRPr="00BD157F">
              <w:rPr>
                <w:sz w:val="16"/>
                <w:szCs w:val="16"/>
              </w:rPr>
              <w:t>pays</w:t>
            </w:r>
            <w:r w:rsidRPr="00BD157F">
              <w:rPr>
                <w:sz w:val="16"/>
                <w:szCs w:val="16"/>
              </w:rPr>
              <w:t xml:space="preserve"> (</w:t>
            </w:r>
            <w:r w:rsidR="007E3753" w:rsidRPr="00BD157F">
              <w:rPr>
                <w:sz w:val="16"/>
                <w:szCs w:val="16"/>
              </w:rPr>
              <w:t>total</w:t>
            </w:r>
            <w:r w:rsidRPr="00BD157F">
              <w:rPr>
                <w:sz w:val="16"/>
                <w:szCs w:val="16"/>
              </w:rPr>
              <w:t>)</w:t>
            </w:r>
          </w:p>
        </w:tc>
        <w:tc>
          <w:tcPr>
            <w:tcW w:w="512" w:type="pct"/>
            <w:gridSpan w:val="2"/>
            <w:shd w:val="clear" w:color="auto" w:fill="auto"/>
            <w:tcMar>
              <w:top w:w="110" w:type="dxa"/>
              <w:left w:w="58" w:type="dxa"/>
              <w:right w:w="58" w:type="dxa"/>
            </w:tcMar>
          </w:tcPr>
          <w:p w14:paraId="1BF633C5" w14:textId="77777777" w:rsidR="00BA5EA9" w:rsidRPr="001E6DFD" w:rsidRDefault="00A43B2F" w:rsidP="0097226C">
            <w:pPr>
              <w:jc w:val="center"/>
              <w:rPr>
                <w:sz w:val="16"/>
                <w:szCs w:val="16"/>
              </w:rPr>
            </w:pPr>
            <w:r w:rsidRPr="001E6DFD">
              <w:rPr>
                <w:b/>
                <w:color w:val="00B050"/>
                <w:sz w:val="16"/>
                <w:szCs w:val="16"/>
              </w:rPr>
              <w:lastRenderedPageBreak/>
              <w:t>En bonne voie</w:t>
            </w:r>
          </w:p>
        </w:tc>
      </w:tr>
      <w:tr w:rsidR="00FA6040" w:rsidRPr="001E6DFD" w14:paraId="4EBA1E47" w14:textId="77777777" w:rsidTr="0097226C">
        <w:tc>
          <w:tcPr>
            <w:tcW w:w="1072" w:type="pct"/>
            <w:shd w:val="clear" w:color="auto" w:fill="auto"/>
            <w:tcMar>
              <w:left w:w="58" w:type="dxa"/>
              <w:right w:w="58" w:type="dxa"/>
            </w:tcMar>
          </w:tcPr>
          <w:p w14:paraId="05B5D64E" w14:textId="77777777" w:rsidR="00BA5EA9" w:rsidRPr="001E6DFD" w:rsidRDefault="00C10A48" w:rsidP="0097226C">
            <w:pPr>
              <w:rPr>
                <w:sz w:val="16"/>
                <w:szCs w:val="16"/>
              </w:rPr>
            </w:pPr>
            <w:r w:rsidRPr="001E6DFD">
              <w:rPr>
                <w:sz w:val="16"/>
                <w:szCs w:val="16"/>
              </w:rPr>
              <w:lastRenderedPageBreak/>
              <w:t>Pourcentage de professionnels formés en matière de propriété intellectuelle et de fonctionnaires des offices de propriété intellectuelle qui utilisent des compétences améliorées dans le cadre de leurs activités professionnelles</w:t>
            </w:r>
          </w:p>
        </w:tc>
        <w:tc>
          <w:tcPr>
            <w:tcW w:w="1266" w:type="pct"/>
            <w:shd w:val="clear" w:color="auto" w:fill="auto"/>
            <w:tcMar>
              <w:left w:w="58" w:type="dxa"/>
              <w:right w:w="58" w:type="dxa"/>
            </w:tcMar>
          </w:tcPr>
          <w:p w14:paraId="2BEB2C4E" w14:textId="60F17960" w:rsidR="001F64B1" w:rsidRPr="00BD157F" w:rsidRDefault="00E64532" w:rsidP="0097226C">
            <w:pPr>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780F6820" w14:textId="77777777" w:rsidR="001F64B1" w:rsidRPr="00BD157F" w:rsidRDefault="00BA5EA9" w:rsidP="0097226C">
            <w:pPr>
              <w:rPr>
                <w:color w:val="002060"/>
                <w:sz w:val="16"/>
                <w:szCs w:val="16"/>
              </w:rPr>
            </w:pPr>
            <w:r w:rsidRPr="00BD157F">
              <w:rPr>
                <w:color w:val="002060"/>
                <w:sz w:val="16"/>
                <w:szCs w:val="16"/>
              </w:rPr>
              <w:t>8</w:t>
            </w:r>
            <w:r w:rsidR="00505EF6" w:rsidRPr="00BD157F">
              <w:rPr>
                <w:color w:val="002060"/>
                <w:sz w:val="16"/>
                <w:szCs w:val="16"/>
              </w:rPr>
              <w:t>2,7%</w:t>
            </w:r>
          </w:p>
          <w:p w14:paraId="021A91E2" w14:textId="77777777" w:rsidR="001F64B1" w:rsidRPr="001E6DFD" w:rsidRDefault="001F64B1" w:rsidP="0097226C">
            <w:pPr>
              <w:rPr>
                <w:sz w:val="16"/>
                <w:szCs w:val="16"/>
              </w:rPr>
            </w:pPr>
          </w:p>
          <w:p w14:paraId="505B4120" w14:textId="008D4524"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7DE410B" w14:textId="77777777" w:rsidR="00BA5EA9" w:rsidRPr="001E6DFD" w:rsidRDefault="00BA5EA9" w:rsidP="0097226C">
            <w:pPr>
              <w:rPr>
                <w:sz w:val="16"/>
                <w:szCs w:val="16"/>
              </w:rPr>
            </w:pPr>
            <w:r w:rsidRPr="001E6DFD">
              <w:rPr>
                <w:sz w:val="16"/>
                <w:szCs w:val="16"/>
              </w:rPr>
              <w:t>80%</w:t>
            </w:r>
          </w:p>
        </w:tc>
        <w:tc>
          <w:tcPr>
            <w:tcW w:w="758" w:type="pct"/>
            <w:shd w:val="clear" w:color="auto" w:fill="auto"/>
            <w:tcMar>
              <w:top w:w="110" w:type="dxa"/>
              <w:left w:w="58" w:type="dxa"/>
              <w:right w:w="58" w:type="dxa"/>
            </w:tcMar>
          </w:tcPr>
          <w:p w14:paraId="2CD8172D" w14:textId="1B2A12B8" w:rsidR="00FA22F6" w:rsidRPr="00BD157F" w:rsidRDefault="00AC7D97" w:rsidP="0097226C">
            <w:pPr>
              <w:rPr>
                <w:i/>
                <w:color w:val="002060"/>
                <w:sz w:val="16"/>
                <w:szCs w:val="16"/>
              </w:rPr>
            </w:pPr>
            <w:r w:rsidRPr="00BD157F">
              <w:rPr>
                <w:i/>
                <w:color w:val="002060"/>
                <w:sz w:val="16"/>
                <w:szCs w:val="16"/>
              </w:rPr>
              <w:t>Objectif actualisé</w:t>
            </w:r>
            <w:r w:rsidR="00FA22F6" w:rsidRPr="00BD157F">
              <w:rPr>
                <w:i/>
                <w:color w:val="002060"/>
                <w:sz w:val="16"/>
                <w:szCs w:val="16"/>
              </w:rPr>
              <w:t> :</w:t>
            </w:r>
          </w:p>
          <w:p w14:paraId="286A33AF" w14:textId="1AA7A7AB" w:rsidR="001F64B1" w:rsidRPr="00BD157F" w:rsidRDefault="00BA5EA9" w:rsidP="0097226C">
            <w:pPr>
              <w:rPr>
                <w:color w:val="002060"/>
                <w:sz w:val="16"/>
                <w:szCs w:val="16"/>
              </w:rPr>
            </w:pPr>
            <w:r w:rsidRPr="00BD157F">
              <w:rPr>
                <w:color w:val="002060"/>
                <w:sz w:val="16"/>
                <w:szCs w:val="16"/>
              </w:rPr>
              <w:t>80%</w:t>
            </w:r>
          </w:p>
          <w:p w14:paraId="0D4D8882" w14:textId="77777777" w:rsidR="001F64B1" w:rsidRPr="001E6DFD" w:rsidRDefault="001F64B1" w:rsidP="0097226C">
            <w:pPr>
              <w:rPr>
                <w:i/>
                <w:sz w:val="16"/>
                <w:szCs w:val="16"/>
              </w:rPr>
            </w:pPr>
          </w:p>
          <w:p w14:paraId="484F7BA4" w14:textId="54B6CE8E" w:rsidR="00FA22F6" w:rsidRPr="001E6DFD" w:rsidRDefault="00AC7D97" w:rsidP="0097226C">
            <w:pPr>
              <w:rPr>
                <w:i/>
                <w:sz w:val="16"/>
                <w:szCs w:val="16"/>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661C303B" w14:textId="1654A520" w:rsidR="00BA5EA9" w:rsidRPr="001E6DFD" w:rsidRDefault="00BA5EA9" w:rsidP="0097226C">
            <w:pPr>
              <w:rPr>
                <w:sz w:val="16"/>
                <w:szCs w:val="16"/>
              </w:rPr>
            </w:pPr>
            <w:r w:rsidRPr="001E6DFD">
              <w:rPr>
                <w:sz w:val="16"/>
                <w:szCs w:val="16"/>
              </w:rPr>
              <w:t>70%</w:t>
            </w:r>
          </w:p>
        </w:tc>
        <w:tc>
          <w:tcPr>
            <w:tcW w:w="1392" w:type="pct"/>
            <w:shd w:val="clear" w:color="auto" w:fill="FFFFFF"/>
            <w:tcMar>
              <w:top w:w="110" w:type="dxa"/>
              <w:left w:w="58" w:type="dxa"/>
              <w:right w:w="58" w:type="dxa"/>
            </w:tcMar>
          </w:tcPr>
          <w:p w14:paraId="62732F5B" w14:textId="77777777" w:rsidR="00BA5EA9" w:rsidRPr="001E6DFD" w:rsidRDefault="00BA5EA9" w:rsidP="0097226C">
            <w:pPr>
              <w:rPr>
                <w:sz w:val="16"/>
                <w:szCs w:val="16"/>
              </w:rPr>
            </w:pPr>
            <w:r w:rsidRPr="001E6DFD">
              <w:rPr>
                <w:sz w:val="16"/>
                <w:szCs w:val="16"/>
              </w:rPr>
              <w:t>83%</w:t>
            </w:r>
          </w:p>
        </w:tc>
        <w:tc>
          <w:tcPr>
            <w:tcW w:w="512" w:type="pct"/>
            <w:gridSpan w:val="2"/>
            <w:shd w:val="clear" w:color="auto" w:fill="auto"/>
            <w:tcMar>
              <w:top w:w="110" w:type="dxa"/>
              <w:left w:w="58" w:type="dxa"/>
              <w:right w:w="58" w:type="dxa"/>
            </w:tcMar>
          </w:tcPr>
          <w:p w14:paraId="77ECB3C9"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0C96AC17" w14:textId="77777777" w:rsidTr="0097226C">
        <w:tc>
          <w:tcPr>
            <w:tcW w:w="5000" w:type="pct"/>
            <w:gridSpan w:val="6"/>
            <w:shd w:val="clear" w:color="auto" w:fill="C6D9F1" w:themeFill="text2" w:themeFillTint="33"/>
            <w:tcMar>
              <w:left w:w="58" w:type="dxa"/>
              <w:right w:w="58" w:type="dxa"/>
            </w:tcMar>
            <w:vAlign w:val="center"/>
          </w:tcPr>
          <w:p w14:paraId="55287829" w14:textId="34CDAC9C" w:rsidR="00BA5EA9" w:rsidRPr="001E6DFD" w:rsidRDefault="00C10A48"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III.4 Mécanismes et programmes de coopération renforcés, adaptés aux besoins des pays en développement,</w:t>
            </w:r>
            <w:r w:rsidR="00FA22F6" w:rsidRPr="001E6DFD">
              <w:rPr>
                <w:bCs/>
                <w:sz w:val="16"/>
                <w:szCs w:val="16"/>
              </w:rPr>
              <w:t xml:space="preserve"> des PMA</w:t>
            </w:r>
            <w:r w:rsidRPr="001E6DFD">
              <w:rPr>
                <w:bCs/>
                <w:sz w:val="16"/>
                <w:szCs w:val="16"/>
              </w:rPr>
              <w:t xml:space="preserve"> et des pays en transition</w:t>
            </w:r>
          </w:p>
        </w:tc>
      </w:tr>
      <w:tr w:rsidR="00FA6040" w:rsidRPr="001E6DFD" w14:paraId="66C66CA0" w14:textId="77777777" w:rsidTr="0097226C">
        <w:tc>
          <w:tcPr>
            <w:tcW w:w="1072" w:type="pct"/>
            <w:shd w:val="clear" w:color="auto" w:fill="auto"/>
            <w:tcMar>
              <w:left w:w="58" w:type="dxa"/>
              <w:right w:w="58" w:type="dxa"/>
            </w:tcMar>
            <w:vAlign w:val="center"/>
          </w:tcPr>
          <w:p w14:paraId="0B54B71D" w14:textId="119C2F42" w:rsidR="00BA5EA9" w:rsidRPr="001E6DFD" w:rsidRDefault="00C10A48" w:rsidP="0097226C">
            <w:pPr>
              <w:keepNext/>
              <w:keepLines/>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66" w:type="pct"/>
            <w:shd w:val="clear" w:color="auto" w:fill="auto"/>
            <w:tcMar>
              <w:left w:w="58" w:type="dxa"/>
              <w:right w:w="58" w:type="dxa"/>
            </w:tcMar>
            <w:vAlign w:val="center"/>
          </w:tcPr>
          <w:p w14:paraId="4C019552" w14:textId="77777777" w:rsidR="00BA5EA9" w:rsidRPr="001E6DFD" w:rsidRDefault="00C10A48" w:rsidP="0097226C">
            <w:pPr>
              <w:keepNext/>
              <w:keepLines/>
              <w:jc w:val="center"/>
              <w:rPr>
                <w:b/>
                <w:bCs/>
                <w:sz w:val="16"/>
                <w:szCs w:val="16"/>
              </w:rPr>
            </w:pPr>
            <w:r w:rsidRPr="001E6DFD">
              <w:rPr>
                <w:b/>
                <w:bCs/>
                <w:sz w:val="16"/>
                <w:szCs w:val="16"/>
              </w:rPr>
              <w:t>Niveaux de référence</w:t>
            </w:r>
          </w:p>
        </w:tc>
        <w:tc>
          <w:tcPr>
            <w:tcW w:w="758" w:type="pct"/>
            <w:shd w:val="clear" w:color="auto" w:fill="auto"/>
            <w:tcMar>
              <w:top w:w="110" w:type="dxa"/>
              <w:left w:w="58" w:type="dxa"/>
              <w:right w:w="58" w:type="dxa"/>
            </w:tcMar>
            <w:vAlign w:val="center"/>
          </w:tcPr>
          <w:p w14:paraId="73CA570F" w14:textId="77777777" w:rsidR="00BA5EA9" w:rsidRPr="001E6DFD" w:rsidRDefault="00C10A48" w:rsidP="0097226C">
            <w:pPr>
              <w:keepNext/>
              <w:keepLines/>
              <w:tabs>
                <w:tab w:val="left" w:pos="290"/>
              </w:tabs>
              <w:jc w:val="center"/>
              <w:rPr>
                <w:b/>
                <w:bCs/>
                <w:sz w:val="16"/>
                <w:szCs w:val="16"/>
              </w:rPr>
            </w:pPr>
            <w:r w:rsidRPr="001E6DFD">
              <w:rPr>
                <w:b/>
                <w:bCs/>
                <w:sz w:val="16"/>
                <w:szCs w:val="16"/>
              </w:rPr>
              <w:t>Objectifs visés</w:t>
            </w:r>
          </w:p>
        </w:tc>
        <w:tc>
          <w:tcPr>
            <w:tcW w:w="1434" w:type="pct"/>
            <w:gridSpan w:val="2"/>
            <w:shd w:val="clear" w:color="auto" w:fill="FFFFFF"/>
            <w:tcMar>
              <w:top w:w="110" w:type="dxa"/>
              <w:left w:w="58" w:type="dxa"/>
              <w:right w:w="58" w:type="dxa"/>
            </w:tcMar>
            <w:vAlign w:val="center"/>
          </w:tcPr>
          <w:p w14:paraId="347AC659" w14:textId="01EE2059" w:rsidR="00BA5EA9" w:rsidRPr="001E6DFD" w:rsidRDefault="00C10A48" w:rsidP="0097226C">
            <w:pPr>
              <w:keepNext/>
              <w:keepLines/>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70" w:type="pct"/>
            <w:shd w:val="clear" w:color="auto" w:fill="auto"/>
            <w:tcMar>
              <w:top w:w="110" w:type="dxa"/>
              <w:left w:w="58" w:type="dxa"/>
              <w:right w:w="58" w:type="dxa"/>
            </w:tcMar>
            <w:vAlign w:val="center"/>
          </w:tcPr>
          <w:p w14:paraId="65180D63" w14:textId="03743188"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FA6040" w:rsidRPr="001E6DFD" w14:paraId="3CC6CDFA" w14:textId="77777777" w:rsidTr="0097226C">
        <w:tc>
          <w:tcPr>
            <w:tcW w:w="1072" w:type="pct"/>
            <w:shd w:val="clear" w:color="auto" w:fill="auto"/>
            <w:tcMar>
              <w:left w:w="58" w:type="dxa"/>
              <w:right w:w="58" w:type="dxa"/>
            </w:tcMar>
          </w:tcPr>
          <w:p w14:paraId="654211E9" w14:textId="77777777" w:rsidR="00BA5EA9" w:rsidRPr="001E6DFD" w:rsidRDefault="00C10A48" w:rsidP="0097226C">
            <w:pPr>
              <w:keepNext/>
              <w:keepLines/>
              <w:rPr>
                <w:sz w:val="16"/>
                <w:szCs w:val="16"/>
              </w:rPr>
            </w:pPr>
            <w:r w:rsidRPr="001E6DFD">
              <w:rPr>
                <w:sz w:val="16"/>
                <w:szCs w:val="16"/>
              </w:rPr>
              <w:t>Nombre de partenariats établis</w:t>
            </w:r>
          </w:p>
        </w:tc>
        <w:tc>
          <w:tcPr>
            <w:tcW w:w="1266" w:type="pct"/>
            <w:shd w:val="clear" w:color="auto" w:fill="auto"/>
            <w:tcMar>
              <w:left w:w="58" w:type="dxa"/>
              <w:right w:w="58" w:type="dxa"/>
            </w:tcMar>
          </w:tcPr>
          <w:p w14:paraId="32B6050A" w14:textId="2BA836B8" w:rsidR="001F64B1" w:rsidRPr="00BD157F" w:rsidRDefault="00E64532" w:rsidP="0097226C">
            <w:pPr>
              <w:keepNext/>
              <w:keepLines/>
              <w:rPr>
                <w:i/>
                <w:color w:val="002060"/>
                <w:sz w:val="16"/>
                <w:szCs w:val="16"/>
              </w:rPr>
            </w:pPr>
            <w:r w:rsidRPr="00BD157F">
              <w:rPr>
                <w:i/>
                <w:color w:val="002060"/>
                <w:sz w:val="16"/>
                <w:szCs w:val="16"/>
              </w:rPr>
              <w:t>Niveau de référence actualisé à fin</w:t>
            </w:r>
            <w:r w:rsidR="00B4191E" w:rsidRPr="00BD157F">
              <w:rPr>
                <w:i/>
                <w:color w:val="002060"/>
                <w:sz w:val="16"/>
                <w:szCs w:val="16"/>
              </w:rPr>
              <w:t> </w:t>
            </w:r>
            <w:r w:rsidRPr="00BD157F">
              <w:rPr>
                <w:i/>
                <w:color w:val="002060"/>
                <w:sz w:val="16"/>
                <w:szCs w:val="16"/>
              </w:rPr>
              <w:t>2015</w:t>
            </w:r>
            <w:r w:rsidR="00FA22F6" w:rsidRPr="00BD157F">
              <w:rPr>
                <w:i/>
                <w:color w:val="002060"/>
                <w:sz w:val="16"/>
                <w:szCs w:val="16"/>
              </w:rPr>
              <w:t> :</w:t>
            </w:r>
          </w:p>
          <w:p w14:paraId="0BEC31F8" w14:textId="394B3FA3" w:rsidR="001F64B1" w:rsidRPr="00BD157F" w:rsidRDefault="00BD157F" w:rsidP="00BD157F">
            <w:pPr>
              <w:keepNext/>
              <w:keepLines/>
              <w:rPr>
                <w:color w:val="002060"/>
                <w:sz w:val="16"/>
                <w:szCs w:val="16"/>
              </w:rPr>
            </w:pPr>
            <w:r w:rsidRPr="00BD157F">
              <w:rPr>
                <w:color w:val="002060"/>
                <w:sz w:val="16"/>
                <w:szCs w:val="16"/>
              </w:rPr>
              <w:t xml:space="preserve">– </w:t>
            </w:r>
            <w:r w:rsidR="00C10A48" w:rsidRPr="00BD157F">
              <w:rPr>
                <w:color w:val="002060"/>
                <w:sz w:val="16"/>
                <w:szCs w:val="16"/>
              </w:rPr>
              <w:t>5 nouveaux mémorandums d</w:t>
            </w:r>
            <w:r w:rsidR="00FA22F6" w:rsidRPr="00BD157F">
              <w:rPr>
                <w:color w:val="002060"/>
                <w:sz w:val="16"/>
                <w:szCs w:val="16"/>
              </w:rPr>
              <w:t>’</w:t>
            </w:r>
            <w:r w:rsidR="00C10A48" w:rsidRPr="00BD157F">
              <w:rPr>
                <w:color w:val="002060"/>
                <w:sz w:val="16"/>
                <w:szCs w:val="16"/>
              </w:rPr>
              <w:t>accord (Allemagne, Danemark, Espagne, France, Israël)</w:t>
            </w:r>
          </w:p>
          <w:p w14:paraId="7F45A8B1" w14:textId="2381D1CF" w:rsidR="001F64B1" w:rsidRPr="00BD157F" w:rsidRDefault="00BD157F" w:rsidP="00BD157F">
            <w:pPr>
              <w:keepNext/>
              <w:keepLines/>
              <w:rPr>
                <w:color w:val="002060"/>
                <w:sz w:val="16"/>
                <w:szCs w:val="16"/>
              </w:rPr>
            </w:pPr>
            <w:r w:rsidRPr="00BD157F">
              <w:rPr>
                <w:color w:val="002060"/>
                <w:sz w:val="16"/>
                <w:szCs w:val="16"/>
              </w:rPr>
              <w:t xml:space="preserve">– </w:t>
            </w:r>
            <w:r w:rsidR="00BA5EA9" w:rsidRPr="00BD157F">
              <w:rPr>
                <w:color w:val="002060"/>
                <w:sz w:val="16"/>
                <w:szCs w:val="16"/>
              </w:rPr>
              <w:t>1 collaboration (USPTO</w:t>
            </w:r>
            <w:r w:rsidR="006A41CF" w:rsidRPr="00BD157F">
              <w:rPr>
                <w:color w:val="002060"/>
                <w:sz w:val="16"/>
                <w:szCs w:val="16"/>
              </w:rPr>
              <w:noBreakHyphen/>
            </w:r>
            <w:r w:rsidR="00271523" w:rsidRPr="00BD157F">
              <w:rPr>
                <w:color w:val="002060"/>
                <w:sz w:val="16"/>
                <w:szCs w:val="16"/>
              </w:rPr>
              <w:t>OMPI</w:t>
            </w:r>
            <w:r w:rsidR="00BA5EA9" w:rsidRPr="00BD157F">
              <w:rPr>
                <w:color w:val="002060"/>
                <w:sz w:val="16"/>
                <w:szCs w:val="16"/>
              </w:rPr>
              <w:t xml:space="preserve">) </w:t>
            </w:r>
            <w:r w:rsidR="009769AD" w:rsidRPr="00BD157F">
              <w:rPr>
                <w:color w:val="002060"/>
                <w:sz w:val="16"/>
                <w:szCs w:val="16"/>
              </w:rPr>
              <w:t xml:space="preserve">pour </w:t>
            </w:r>
            <w:r w:rsidR="00A212A1" w:rsidRPr="00BD157F">
              <w:rPr>
                <w:color w:val="002060"/>
                <w:sz w:val="16"/>
                <w:szCs w:val="16"/>
              </w:rPr>
              <w:t xml:space="preserve">la promotion de la </w:t>
            </w:r>
            <w:r w:rsidR="003078C8" w:rsidRPr="00BD157F">
              <w:rPr>
                <w:color w:val="002060"/>
                <w:sz w:val="16"/>
                <w:szCs w:val="16"/>
              </w:rPr>
              <w:t>base de données de mise en parallèle des besoins de développement liés à la propriété intellectuelle (IP DMD)</w:t>
            </w:r>
          </w:p>
          <w:p w14:paraId="2E6597F2" w14:textId="77777777" w:rsidR="001F64B1" w:rsidRPr="00BD157F" w:rsidRDefault="001F64B1" w:rsidP="0097226C">
            <w:pPr>
              <w:keepNext/>
              <w:keepLines/>
              <w:rPr>
                <w:sz w:val="16"/>
                <w:szCs w:val="16"/>
              </w:rPr>
            </w:pPr>
          </w:p>
          <w:p w14:paraId="0A82EC52" w14:textId="7ACBB646" w:rsidR="001F64B1" w:rsidRPr="00BD157F" w:rsidRDefault="00E64532" w:rsidP="0097226C">
            <w:pPr>
              <w:keepNext/>
              <w:keepLines/>
              <w:rPr>
                <w:i/>
                <w:sz w:val="16"/>
                <w:szCs w:val="16"/>
                <w:lang w:bidi="th-TH"/>
              </w:rPr>
            </w:pPr>
            <w:r w:rsidRPr="00BD157F">
              <w:rPr>
                <w:i/>
                <w:sz w:val="16"/>
                <w:szCs w:val="16"/>
                <w:lang w:bidi="th-TH"/>
              </w:rPr>
              <w:t>Niveau de référence initial dans le programme et budget 2016</w:t>
            </w:r>
            <w:r w:rsidR="006A41CF" w:rsidRPr="00BD157F">
              <w:rPr>
                <w:i/>
                <w:sz w:val="16"/>
                <w:szCs w:val="16"/>
                <w:lang w:bidi="th-TH"/>
              </w:rPr>
              <w:noBreakHyphen/>
            </w:r>
            <w:r w:rsidRPr="00BD157F">
              <w:rPr>
                <w:i/>
                <w:sz w:val="16"/>
                <w:szCs w:val="16"/>
                <w:lang w:bidi="th-TH"/>
              </w:rPr>
              <w:t>2017</w:t>
            </w:r>
            <w:r w:rsidR="00FA22F6" w:rsidRPr="00BD157F">
              <w:rPr>
                <w:i/>
                <w:sz w:val="16"/>
                <w:szCs w:val="16"/>
                <w:lang w:bidi="th-TH"/>
              </w:rPr>
              <w:t> :</w:t>
            </w:r>
          </w:p>
          <w:p w14:paraId="5BB0AB40" w14:textId="2C174468" w:rsidR="00BA5EA9" w:rsidRPr="00BD157F" w:rsidRDefault="00C10A48" w:rsidP="0097226C">
            <w:pPr>
              <w:keepNext/>
              <w:keepLines/>
              <w:rPr>
                <w:sz w:val="16"/>
                <w:szCs w:val="16"/>
              </w:rPr>
            </w:pPr>
            <w:r w:rsidRPr="00BD157F">
              <w:rPr>
                <w:sz w:val="16"/>
                <w:szCs w:val="16"/>
              </w:rPr>
              <w:t>4 mémorandums d</w:t>
            </w:r>
            <w:r w:rsidR="00FA22F6" w:rsidRPr="00BD157F">
              <w:rPr>
                <w:sz w:val="16"/>
                <w:szCs w:val="16"/>
              </w:rPr>
              <w:t>’</w:t>
            </w:r>
            <w:r w:rsidRPr="00BD157F">
              <w:rPr>
                <w:sz w:val="16"/>
                <w:szCs w:val="16"/>
              </w:rPr>
              <w:t>accord signés (2014)</w:t>
            </w:r>
            <w:r w:rsidR="00BA5EA9" w:rsidRPr="00BD157F">
              <w:rPr>
                <w:sz w:val="16"/>
                <w:szCs w:val="16"/>
              </w:rPr>
              <w:t xml:space="preserve"> </w:t>
            </w:r>
          </w:p>
        </w:tc>
        <w:tc>
          <w:tcPr>
            <w:tcW w:w="758" w:type="pct"/>
            <w:shd w:val="clear" w:color="auto" w:fill="auto"/>
            <w:tcMar>
              <w:top w:w="110" w:type="dxa"/>
              <w:left w:w="58" w:type="dxa"/>
              <w:right w:w="58" w:type="dxa"/>
            </w:tcMar>
          </w:tcPr>
          <w:p w14:paraId="23A6AF90" w14:textId="77777777" w:rsidR="00BA5EA9" w:rsidRPr="001E6DFD" w:rsidRDefault="00C10A48" w:rsidP="0097226C">
            <w:pPr>
              <w:keepNext/>
              <w:keepLines/>
              <w:rPr>
                <w:sz w:val="16"/>
                <w:szCs w:val="16"/>
              </w:rPr>
            </w:pPr>
            <w:r w:rsidRPr="001E6DFD">
              <w:rPr>
                <w:sz w:val="16"/>
                <w:szCs w:val="16"/>
              </w:rPr>
              <w:t>6 partenariats établis dans le domaine de la propriété intellectuelle</w:t>
            </w:r>
            <w:r w:rsidR="00BA5EA9" w:rsidRPr="001E6DFD">
              <w:rPr>
                <w:sz w:val="16"/>
                <w:szCs w:val="16"/>
              </w:rPr>
              <w:t xml:space="preserve"> </w:t>
            </w:r>
          </w:p>
        </w:tc>
        <w:tc>
          <w:tcPr>
            <w:tcW w:w="1434" w:type="pct"/>
            <w:gridSpan w:val="2"/>
            <w:shd w:val="clear" w:color="auto" w:fill="FFFFFF"/>
            <w:tcMar>
              <w:top w:w="110" w:type="dxa"/>
              <w:left w:w="58" w:type="dxa"/>
              <w:right w:w="58" w:type="dxa"/>
            </w:tcMar>
          </w:tcPr>
          <w:p w14:paraId="4CA9DDB6" w14:textId="309AD425" w:rsidR="001F64B1" w:rsidRPr="00BD157F" w:rsidRDefault="00BA5EA9" w:rsidP="0097226C">
            <w:pPr>
              <w:keepNext/>
              <w:keepLines/>
              <w:rPr>
                <w:sz w:val="16"/>
                <w:szCs w:val="16"/>
              </w:rPr>
            </w:pPr>
            <w:r w:rsidRPr="00BD157F">
              <w:rPr>
                <w:sz w:val="16"/>
                <w:szCs w:val="16"/>
              </w:rPr>
              <w:t>6</w:t>
            </w:r>
            <w:r w:rsidR="00B4191E" w:rsidRPr="00BD157F">
              <w:rPr>
                <w:sz w:val="16"/>
                <w:szCs w:val="16"/>
              </w:rPr>
              <w:t> </w:t>
            </w:r>
            <w:r w:rsidR="00A212A1" w:rsidRPr="00BD157F">
              <w:rPr>
                <w:sz w:val="16"/>
                <w:szCs w:val="16"/>
              </w:rPr>
              <w:t>pa</w:t>
            </w:r>
            <w:r w:rsidR="00A212A1" w:rsidRPr="001303B4">
              <w:rPr>
                <w:sz w:val="16"/>
                <w:szCs w:val="16"/>
              </w:rPr>
              <w:t>rtenariats établis dans le domaine de la propriété intellectuelle</w:t>
            </w:r>
            <w:r w:rsidR="00FA22F6" w:rsidRPr="001303B4">
              <w:rPr>
                <w:sz w:val="16"/>
                <w:szCs w:val="16"/>
              </w:rPr>
              <w:t> :</w:t>
            </w:r>
          </w:p>
          <w:p w14:paraId="2BAB6403" w14:textId="64422539" w:rsidR="001F64B1" w:rsidRPr="00BD157F" w:rsidRDefault="00BD157F" w:rsidP="00BD157F">
            <w:pPr>
              <w:keepNext/>
              <w:keepLines/>
              <w:rPr>
                <w:sz w:val="16"/>
                <w:szCs w:val="16"/>
              </w:rPr>
            </w:pPr>
            <w:r>
              <w:rPr>
                <w:sz w:val="16"/>
                <w:szCs w:val="16"/>
              </w:rPr>
              <w:t xml:space="preserve">– </w:t>
            </w:r>
            <w:r w:rsidR="00BA5EA9" w:rsidRPr="00BD157F">
              <w:rPr>
                <w:sz w:val="16"/>
                <w:szCs w:val="16"/>
              </w:rPr>
              <w:t xml:space="preserve">2 </w:t>
            </w:r>
            <w:r w:rsidR="009769AD" w:rsidRPr="00BD157F">
              <w:rPr>
                <w:sz w:val="16"/>
                <w:szCs w:val="16"/>
              </w:rPr>
              <w:t>mémorandums d</w:t>
            </w:r>
            <w:r w:rsidR="00FA22F6" w:rsidRPr="00BD157F">
              <w:rPr>
                <w:sz w:val="16"/>
                <w:szCs w:val="16"/>
              </w:rPr>
              <w:t>’</w:t>
            </w:r>
            <w:r w:rsidR="009769AD" w:rsidRPr="00BD157F">
              <w:rPr>
                <w:sz w:val="16"/>
                <w:szCs w:val="16"/>
              </w:rPr>
              <w:t xml:space="preserve">accord entre </w:t>
            </w:r>
            <w:r w:rsidR="00BA5EA9" w:rsidRPr="00BD157F">
              <w:rPr>
                <w:sz w:val="16"/>
                <w:szCs w:val="16"/>
              </w:rPr>
              <w:t>l</w:t>
            </w:r>
            <w:r w:rsidR="00FA22F6" w:rsidRPr="00BD157F">
              <w:rPr>
                <w:sz w:val="16"/>
                <w:szCs w:val="16"/>
              </w:rPr>
              <w:t>’</w:t>
            </w:r>
            <w:r w:rsidR="00BA5EA9" w:rsidRPr="00BD157F">
              <w:rPr>
                <w:sz w:val="16"/>
                <w:szCs w:val="16"/>
              </w:rPr>
              <w:t xml:space="preserve">Institut </w:t>
            </w:r>
            <w:r w:rsidR="001E6DFD" w:rsidRPr="00BD157F">
              <w:rPr>
                <w:sz w:val="16"/>
                <w:szCs w:val="16"/>
              </w:rPr>
              <w:t>n</w:t>
            </w:r>
            <w:r w:rsidR="00BA5EA9" w:rsidRPr="00BD157F">
              <w:rPr>
                <w:sz w:val="16"/>
                <w:szCs w:val="16"/>
              </w:rPr>
              <w:t xml:space="preserve">ational de la </w:t>
            </w:r>
            <w:r w:rsidR="001E6DFD" w:rsidRPr="00BD157F">
              <w:rPr>
                <w:sz w:val="16"/>
                <w:szCs w:val="16"/>
              </w:rPr>
              <w:t>p</w:t>
            </w:r>
            <w:r w:rsidR="00BA5EA9" w:rsidRPr="00BD157F">
              <w:rPr>
                <w:sz w:val="16"/>
                <w:szCs w:val="16"/>
              </w:rPr>
              <w:t xml:space="preserve">ropriété </w:t>
            </w:r>
            <w:r w:rsidR="001E6DFD" w:rsidRPr="00BD157F">
              <w:rPr>
                <w:sz w:val="16"/>
                <w:szCs w:val="16"/>
              </w:rPr>
              <w:t>i</w:t>
            </w:r>
            <w:r w:rsidR="00BA5EA9" w:rsidRPr="00BD157F">
              <w:rPr>
                <w:sz w:val="16"/>
                <w:szCs w:val="16"/>
              </w:rPr>
              <w:t xml:space="preserve">ndustrielle (INPI) (France) </w:t>
            </w:r>
            <w:r w:rsidR="009769AD" w:rsidRPr="00BD157F">
              <w:rPr>
                <w:sz w:val="16"/>
                <w:szCs w:val="16"/>
              </w:rPr>
              <w:t>et l</w:t>
            </w:r>
            <w:r w:rsidR="00FA22F6" w:rsidRPr="00BD157F">
              <w:rPr>
                <w:sz w:val="16"/>
                <w:szCs w:val="16"/>
              </w:rPr>
              <w:t>’</w:t>
            </w:r>
            <w:r w:rsidR="009769AD" w:rsidRPr="00BD157F">
              <w:rPr>
                <w:sz w:val="16"/>
                <w:szCs w:val="16"/>
              </w:rPr>
              <w:t>OMPI</w:t>
            </w:r>
          </w:p>
          <w:p w14:paraId="69289936" w14:textId="6356F12D" w:rsidR="001F64B1" w:rsidRPr="00BD157F" w:rsidRDefault="00BD157F" w:rsidP="00BD157F">
            <w:pPr>
              <w:keepNext/>
              <w:keepLines/>
              <w:rPr>
                <w:sz w:val="16"/>
                <w:szCs w:val="16"/>
              </w:rPr>
            </w:pPr>
            <w:r>
              <w:rPr>
                <w:sz w:val="16"/>
                <w:szCs w:val="16"/>
              </w:rPr>
              <w:t xml:space="preserve">– </w:t>
            </w:r>
            <w:r w:rsidR="00BA5EA9" w:rsidRPr="00BD157F">
              <w:rPr>
                <w:sz w:val="16"/>
                <w:szCs w:val="16"/>
              </w:rPr>
              <w:t xml:space="preserve">1 </w:t>
            </w:r>
            <w:r w:rsidR="009769AD" w:rsidRPr="00BD157F">
              <w:rPr>
                <w:sz w:val="16"/>
                <w:szCs w:val="16"/>
              </w:rPr>
              <w:t>mémorandum d</w:t>
            </w:r>
            <w:r w:rsidR="00FA22F6" w:rsidRPr="00BD157F">
              <w:rPr>
                <w:sz w:val="16"/>
                <w:szCs w:val="16"/>
              </w:rPr>
              <w:t>’</w:t>
            </w:r>
            <w:r w:rsidR="009769AD" w:rsidRPr="00BD157F">
              <w:rPr>
                <w:sz w:val="16"/>
                <w:szCs w:val="16"/>
              </w:rPr>
              <w:t>accord entre l</w:t>
            </w:r>
            <w:r w:rsidR="00FA22F6" w:rsidRPr="00BD157F">
              <w:rPr>
                <w:sz w:val="16"/>
                <w:szCs w:val="16"/>
              </w:rPr>
              <w:t>’</w:t>
            </w:r>
            <w:r w:rsidR="009769AD" w:rsidRPr="00BD157F">
              <w:rPr>
                <w:sz w:val="16"/>
                <w:szCs w:val="16"/>
              </w:rPr>
              <w:t xml:space="preserve">Institut </w:t>
            </w:r>
            <w:r w:rsidR="001E6DFD" w:rsidRPr="00BD157F">
              <w:rPr>
                <w:sz w:val="16"/>
                <w:szCs w:val="16"/>
              </w:rPr>
              <w:t>n</w:t>
            </w:r>
            <w:r w:rsidR="009769AD" w:rsidRPr="00BD157F">
              <w:rPr>
                <w:sz w:val="16"/>
                <w:szCs w:val="16"/>
              </w:rPr>
              <w:t xml:space="preserve">ational de la </w:t>
            </w:r>
            <w:r w:rsidR="001E6DFD" w:rsidRPr="00BD157F">
              <w:rPr>
                <w:sz w:val="16"/>
                <w:szCs w:val="16"/>
              </w:rPr>
              <w:t>p</w:t>
            </w:r>
            <w:r w:rsidR="009769AD" w:rsidRPr="00BD157F">
              <w:rPr>
                <w:sz w:val="16"/>
                <w:szCs w:val="16"/>
              </w:rPr>
              <w:t xml:space="preserve">ropriété </w:t>
            </w:r>
            <w:r w:rsidR="001E6DFD" w:rsidRPr="00BD157F">
              <w:rPr>
                <w:sz w:val="16"/>
                <w:szCs w:val="16"/>
              </w:rPr>
              <w:t>i</w:t>
            </w:r>
            <w:r w:rsidR="009769AD" w:rsidRPr="00BD157F">
              <w:rPr>
                <w:sz w:val="16"/>
                <w:szCs w:val="16"/>
              </w:rPr>
              <w:t>ndustrielle du Kazakhstan et l</w:t>
            </w:r>
            <w:r w:rsidR="00FA22F6" w:rsidRPr="00BD157F">
              <w:rPr>
                <w:sz w:val="16"/>
                <w:szCs w:val="16"/>
              </w:rPr>
              <w:t>’</w:t>
            </w:r>
            <w:r w:rsidR="009769AD" w:rsidRPr="00BD157F">
              <w:rPr>
                <w:sz w:val="16"/>
                <w:szCs w:val="16"/>
              </w:rPr>
              <w:t>Office des brevets et des marques des États</w:t>
            </w:r>
            <w:r w:rsidR="006A41CF" w:rsidRPr="00BD157F">
              <w:rPr>
                <w:sz w:val="16"/>
                <w:szCs w:val="16"/>
              </w:rPr>
              <w:noBreakHyphen/>
            </w:r>
            <w:r w:rsidR="009769AD" w:rsidRPr="00BD157F">
              <w:rPr>
                <w:sz w:val="16"/>
                <w:szCs w:val="16"/>
              </w:rPr>
              <w:t>Unis d</w:t>
            </w:r>
            <w:r w:rsidR="00FA22F6" w:rsidRPr="00BD157F">
              <w:rPr>
                <w:sz w:val="16"/>
                <w:szCs w:val="16"/>
              </w:rPr>
              <w:t>’</w:t>
            </w:r>
            <w:r w:rsidR="009769AD" w:rsidRPr="00BD157F">
              <w:rPr>
                <w:sz w:val="16"/>
                <w:szCs w:val="16"/>
              </w:rPr>
              <w:t>Amérique (USPTO)</w:t>
            </w:r>
          </w:p>
          <w:p w14:paraId="558A8974" w14:textId="678EADBB" w:rsidR="001F64B1" w:rsidRPr="00BD157F" w:rsidRDefault="00BD157F" w:rsidP="00BD157F">
            <w:pPr>
              <w:keepNext/>
              <w:keepLines/>
              <w:rPr>
                <w:sz w:val="16"/>
                <w:szCs w:val="16"/>
              </w:rPr>
            </w:pPr>
            <w:r>
              <w:rPr>
                <w:sz w:val="16"/>
                <w:szCs w:val="16"/>
              </w:rPr>
              <w:t xml:space="preserve">– </w:t>
            </w:r>
            <w:r w:rsidR="009769AD" w:rsidRPr="00BD157F">
              <w:rPr>
                <w:sz w:val="16"/>
                <w:szCs w:val="16"/>
              </w:rPr>
              <w:t>1 accord entre l</w:t>
            </w:r>
            <w:r w:rsidR="00FA22F6" w:rsidRPr="00BD157F">
              <w:rPr>
                <w:sz w:val="16"/>
                <w:szCs w:val="16"/>
              </w:rPr>
              <w:t>’</w:t>
            </w:r>
            <w:r w:rsidR="009769AD" w:rsidRPr="00BD157F">
              <w:rPr>
                <w:sz w:val="16"/>
                <w:szCs w:val="16"/>
              </w:rPr>
              <w:t xml:space="preserve">OMPI et </w:t>
            </w:r>
            <w:r w:rsidR="00F7495E" w:rsidRPr="00BD157F">
              <w:rPr>
                <w:sz w:val="16"/>
                <w:szCs w:val="16"/>
              </w:rPr>
              <w:t>l</w:t>
            </w:r>
            <w:r w:rsidR="00FA22F6" w:rsidRPr="00BD157F">
              <w:rPr>
                <w:sz w:val="16"/>
                <w:szCs w:val="16"/>
              </w:rPr>
              <w:t>’</w:t>
            </w:r>
            <w:r w:rsidR="00F7495E" w:rsidRPr="00BD157F">
              <w:rPr>
                <w:sz w:val="16"/>
                <w:szCs w:val="16"/>
              </w:rPr>
              <w:t xml:space="preserve">Organisation hellénique de la propriété industrielle (OBI) </w:t>
            </w:r>
            <w:r w:rsidR="00FA6040" w:rsidRPr="00BD157F">
              <w:rPr>
                <w:sz w:val="16"/>
                <w:szCs w:val="16"/>
              </w:rPr>
              <w:t>concernant la traduction en grec et l</w:t>
            </w:r>
            <w:r w:rsidR="00FA22F6" w:rsidRPr="00BD157F">
              <w:rPr>
                <w:sz w:val="16"/>
                <w:szCs w:val="16"/>
              </w:rPr>
              <w:t>’</w:t>
            </w:r>
            <w:r w:rsidR="00FA6040" w:rsidRPr="00BD157F">
              <w:rPr>
                <w:sz w:val="16"/>
                <w:szCs w:val="16"/>
              </w:rPr>
              <w:t>impression d</w:t>
            </w:r>
            <w:r w:rsidR="00FA22F6" w:rsidRPr="00BD157F">
              <w:rPr>
                <w:sz w:val="16"/>
                <w:szCs w:val="16"/>
              </w:rPr>
              <w:t>’</w:t>
            </w:r>
            <w:r w:rsidR="00FA6040" w:rsidRPr="00BD157F">
              <w:rPr>
                <w:sz w:val="16"/>
                <w:szCs w:val="16"/>
              </w:rPr>
              <w:t>une publication de l</w:t>
            </w:r>
            <w:r w:rsidR="00FA22F6" w:rsidRPr="00BD157F">
              <w:rPr>
                <w:sz w:val="16"/>
                <w:szCs w:val="16"/>
              </w:rPr>
              <w:t>’</w:t>
            </w:r>
            <w:r w:rsidR="00FA6040" w:rsidRPr="00BD157F">
              <w:rPr>
                <w:sz w:val="16"/>
                <w:szCs w:val="16"/>
              </w:rPr>
              <w:t>OMPI (Brevets)</w:t>
            </w:r>
          </w:p>
          <w:p w14:paraId="3EC80301" w14:textId="22856AEA" w:rsidR="001F64B1" w:rsidRPr="00BD157F" w:rsidRDefault="00BD157F" w:rsidP="00BD157F">
            <w:pPr>
              <w:keepNext/>
              <w:keepLines/>
              <w:rPr>
                <w:sz w:val="16"/>
                <w:szCs w:val="16"/>
              </w:rPr>
            </w:pPr>
            <w:r>
              <w:rPr>
                <w:sz w:val="16"/>
                <w:szCs w:val="16"/>
              </w:rPr>
              <w:t xml:space="preserve">– </w:t>
            </w:r>
            <w:r w:rsidR="001E6DFD" w:rsidRPr="00BD157F">
              <w:rPr>
                <w:sz w:val="16"/>
                <w:szCs w:val="16"/>
              </w:rPr>
              <w:t>Dixième</w:t>
            </w:r>
            <w:r w:rsidR="001D5730" w:rsidRPr="00BD157F">
              <w:rPr>
                <w:sz w:val="16"/>
                <w:szCs w:val="16"/>
              </w:rPr>
              <w:t xml:space="preserve"> Forum </w:t>
            </w:r>
            <w:r w:rsidR="00FA790E" w:rsidRPr="00BD157F">
              <w:rPr>
                <w:sz w:val="16"/>
                <w:szCs w:val="16"/>
              </w:rPr>
              <w:t xml:space="preserve">avancé </w:t>
            </w:r>
            <w:r w:rsidR="001D5730" w:rsidRPr="00BD157F">
              <w:rPr>
                <w:sz w:val="16"/>
                <w:szCs w:val="16"/>
              </w:rPr>
              <w:t>de recherche sur la</w:t>
            </w:r>
            <w:r w:rsidR="00FA790E" w:rsidRPr="00BD157F">
              <w:rPr>
                <w:sz w:val="16"/>
                <w:szCs w:val="16"/>
              </w:rPr>
              <w:t xml:space="preserve"> propriété intellectuelle </w:t>
            </w:r>
            <w:r w:rsidR="001D5730" w:rsidRPr="00BD157F">
              <w:rPr>
                <w:sz w:val="16"/>
                <w:szCs w:val="16"/>
              </w:rPr>
              <w:t>(Israël)</w:t>
            </w:r>
          </w:p>
          <w:p w14:paraId="1A280B5E" w14:textId="651E917C" w:rsidR="00BA5EA9" w:rsidRPr="00BD157F" w:rsidRDefault="00BD157F" w:rsidP="00BD157F">
            <w:pPr>
              <w:keepNext/>
              <w:keepLines/>
              <w:rPr>
                <w:sz w:val="16"/>
                <w:szCs w:val="16"/>
              </w:rPr>
            </w:pPr>
            <w:r>
              <w:rPr>
                <w:sz w:val="16"/>
                <w:szCs w:val="16"/>
              </w:rPr>
              <w:t xml:space="preserve">– </w:t>
            </w:r>
            <w:r w:rsidR="006105E7" w:rsidRPr="00BD157F">
              <w:rPr>
                <w:sz w:val="16"/>
                <w:szCs w:val="16"/>
              </w:rPr>
              <w:t xml:space="preserve">Séminaire organisé par le Ono </w:t>
            </w:r>
            <w:proofErr w:type="spellStart"/>
            <w:r w:rsidR="006105E7" w:rsidRPr="00BD157F">
              <w:rPr>
                <w:sz w:val="16"/>
                <w:szCs w:val="16"/>
              </w:rPr>
              <w:t>Academic</w:t>
            </w:r>
            <w:proofErr w:type="spellEnd"/>
            <w:r w:rsidR="006105E7" w:rsidRPr="00BD157F">
              <w:rPr>
                <w:sz w:val="16"/>
                <w:szCs w:val="16"/>
              </w:rPr>
              <w:t xml:space="preserve"> </w:t>
            </w:r>
            <w:proofErr w:type="spellStart"/>
            <w:r w:rsidR="006105E7" w:rsidRPr="00BD157F">
              <w:rPr>
                <w:sz w:val="16"/>
                <w:szCs w:val="16"/>
              </w:rPr>
              <w:t>College</w:t>
            </w:r>
            <w:proofErr w:type="spellEnd"/>
            <w:r w:rsidR="006105E7" w:rsidRPr="00BD157F">
              <w:rPr>
                <w:sz w:val="16"/>
                <w:szCs w:val="16"/>
              </w:rPr>
              <w:t xml:space="preserve"> (Israël) et l</w:t>
            </w:r>
            <w:r w:rsidR="00FA22F6" w:rsidRPr="00BD157F">
              <w:rPr>
                <w:sz w:val="16"/>
                <w:szCs w:val="16"/>
              </w:rPr>
              <w:t>’</w:t>
            </w:r>
            <w:r w:rsidR="006105E7" w:rsidRPr="00BD157F">
              <w:rPr>
                <w:sz w:val="16"/>
                <w:szCs w:val="16"/>
              </w:rPr>
              <w:t>OMPI</w:t>
            </w:r>
          </w:p>
        </w:tc>
        <w:tc>
          <w:tcPr>
            <w:tcW w:w="470" w:type="pct"/>
            <w:shd w:val="clear" w:color="auto" w:fill="auto"/>
            <w:tcMar>
              <w:top w:w="110" w:type="dxa"/>
              <w:left w:w="58" w:type="dxa"/>
              <w:right w:w="58" w:type="dxa"/>
            </w:tcMar>
          </w:tcPr>
          <w:p w14:paraId="0D48CC00" w14:textId="77777777" w:rsidR="00BA5EA9" w:rsidRPr="001E6DFD" w:rsidRDefault="00A43B2F" w:rsidP="0097226C">
            <w:pPr>
              <w:keepNext/>
              <w:keepLines/>
              <w:jc w:val="center"/>
              <w:rPr>
                <w:sz w:val="16"/>
                <w:szCs w:val="16"/>
              </w:rPr>
            </w:pPr>
            <w:r w:rsidRPr="001E6DFD">
              <w:rPr>
                <w:b/>
                <w:color w:val="00B050"/>
                <w:sz w:val="16"/>
                <w:szCs w:val="16"/>
              </w:rPr>
              <w:t>En bonne voie</w:t>
            </w:r>
          </w:p>
        </w:tc>
      </w:tr>
    </w:tbl>
    <w:p w14:paraId="31D8CF94" w14:textId="77777777" w:rsidR="001F64B1" w:rsidRPr="001E6DFD" w:rsidRDefault="001F64B1" w:rsidP="0097226C">
      <w:pPr>
        <w:rPr>
          <w:sz w:val="20"/>
          <w:szCs w:val="22"/>
        </w:rPr>
      </w:pPr>
    </w:p>
    <w:p w14:paraId="4FBE54ED" w14:textId="77777777" w:rsidR="00BA5EA9" w:rsidRPr="001E6DFD" w:rsidRDefault="00BA5EA9" w:rsidP="0097226C">
      <w:pPr>
        <w:rPr>
          <w:sz w:val="20"/>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78B666D1" w14:textId="77777777" w:rsidTr="002307FD">
        <w:trPr>
          <w:trHeight w:val="423"/>
          <w:jc w:val="center"/>
        </w:trPr>
        <w:tc>
          <w:tcPr>
            <w:tcW w:w="9571" w:type="dxa"/>
            <w:shd w:val="clear" w:color="auto" w:fill="C6D9F1" w:themeFill="text2" w:themeFillTint="33"/>
            <w:vAlign w:val="center"/>
          </w:tcPr>
          <w:p w14:paraId="53CCF3EB" w14:textId="39E5AC36"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10</w:t>
            </w:r>
          </w:p>
        </w:tc>
      </w:tr>
    </w:tbl>
    <w:p w14:paraId="08936813" w14:textId="77777777" w:rsidR="001F64B1" w:rsidRDefault="001F64B1" w:rsidP="0097226C">
      <w:pPr>
        <w:rPr>
          <w:sz w:val="20"/>
        </w:rPr>
      </w:pPr>
    </w:p>
    <w:p w14:paraId="73ABC03E" w14:textId="77777777" w:rsidR="00AA64E5" w:rsidRPr="001E6DFD" w:rsidRDefault="00AA64E5" w:rsidP="00AA64E5">
      <w:pPr>
        <w:pStyle w:val="NormalWeb"/>
        <w:keepNext/>
        <w:keepLines/>
        <w:spacing w:before="0" w:beforeAutospacing="0" w:after="0" w:afterAutospacing="0"/>
        <w:jc w:val="center"/>
      </w:pPr>
      <w:r w:rsidRPr="001E6DFD">
        <w:t>Budget et dépenses effectives (dépenses de personnel et autres dépenses)</w:t>
      </w:r>
    </w:p>
    <w:p w14:paraId="1EFB1152" w14:textId="77777777" w:rsidR="00AA64E5" w:rsidRPr="001E6DFD" w:rsidRDefault="00AA64E5" w:rsidP="00AA64E5">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20D447F0" w14:textId="77777777" w:rsidR="00AA64E5" w:rsidRPr="001E6DFD" w:rsidRDefault="00AA64E5" w:rsidP="00AA64E5">
      <w:pPr>
        <w:keepNext/>
        <w:keepLines/>
        <w:rPr>
          <w:bCs/>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AA64E5" w:rsidRPr="001E6DFD" w14:paraId="4C4FA60D" w14:textId="77777777" w:rsidTr="00B705C2">
        <w:trPr>
          <w:jc w:val="center"/>
        </w:trPr>
        <w:tc>
          <w:tcPr>
            <w:tcW w:w="2470" w:type="dxa"/>
            <w:tcBorders>
              <w:top w:val="nil"/>
              <w:left w:val="nil"/>
              <w:bottom w:val="nil"/>
              <w:right w:val="nil"/>
            </w:tcBorders>
            <w:shd w:val="clear" w:color="000000" w:fill="C5D9F1"/>
            <w:noWrap/>
            <w:vAlign w:val="center"/>
            <w:hideMark/>
          </w:tcPr>
          <w:p w14:paraId="0AD8912A" w14:textId="77777777" w:rsidR="00AA64E5" w:rsidRPr="001E6DFD" w:rsidRDefault="00AA64E5" w:rsidP="00B705C2">
            <w:pPr>
              <w:keepNext/>
              <w:keepLines/>
              <w:rPr>
                <w:sz w:val="16"/>
                <w:szCs w:val="16"/>
              </w:rPr>
            </w:pPr>
          </w:p>
        </w:tc>
        <w:tc>
          <w:tcPr>
            <w:tcW w:w="1438" w:type="dxa"/>
            <w:tcBorders>
              <w:top w:val="nil"/>
              <w:left w:val="nil"/>
              <w:bottom w:val="nil"/>
              <w:right w:val="nil"/>
            </w:tcBorders>
            <w:shd w:val="clear" w:color="000000" w:fill="C5D9F1"/>
            <w:vAlign w:val="center"/>
            <w:hideMark/>
          </w:tcPr>
          <w:p w14:paraId="3145BCF8" w14:textId="77777777" w:rsidR="00AA64E5" w:rsidRPr="001E6DFD" w:rsidRDefault="00AA64E5" w:rsidP="00B705C2">
            <w:pPr>
              <w:keepNext/>
              <w:keepLines/>
              <w:jc w:val="center"/>
              <w:rPr>
                <w:b/>
                <w:bCs/>
                <w:sz w:val="16"/>
                <w:szCs w:val="16"/>
              </w:rPr>
            </w:pPr>
            <w:r>
              <w:rPr>
                <w:b/>
                <w:bCs/>
                <w:sz w:val="16"/>
                <w:szCs w:val="16"/>
              </w:rPr>
              <w:t>Budget </w:t>
            </w:r>
            <w:r w:rsidRPr="001E6DFD">
              <w:rPr>
                <w:b/>
                <w:bCs/>
                <w:sz w:val="16"/>
                <w:szCs w:val="16"/>
              </w:rPr>
              <w:t>2016</w:t>
            </w:r>
            <w:r w:rsidRPr="001E6DFD">
              <w:rPr>
                <w:b/>
                <w:bCs/>
                <w:sz w:val="16"/>
                <w:szCs w:val="16"/>
              </w:rPr>
              <w:noBreakHyphen/>
              <w:t>2017 approuvé</w:t>
            </w:r>
          </w:p>
        </w:tc>
        <w:tc>
          <w:tcPr>
            <w:tcW w:w="1438" w:type="dxa"/>
            <w:tcBorders>
              <w:top w:val="nil"/>
              <w:left w:val="nil"/>
              <w:bottom w:val="nil"/>
              <w:right w:val="nil"/>
            </w:tcBorders>
            <w:shd w:val="clear" w:color="000000" w:fill="C5D9F1"/>
            <w:vAlign w:val="center"/>
            <w:hideMark/>
          </w:tcPr>
          <w:p w14:paraId="5B6F3F39" w14:textId="77777777" w:rsidR="00AA64E5" w:rsidRPr="001E6DFD" w:rsidRDefault="00AA64E5" w:rsidP="00B705C2">
            <w:pPr>
              <w:keepNext/>
              <w:keepLines/>
              <w:jc w:val="center"/>
              <w:rPr>
                <w:b/>
                <w:bCs/>
                <w:sz w:val="16"/>
                <w:szCs w:val="16"/>
              </w:rPr>
            </w:pPr>
            <w:r w:rsidRPr="001E6DFD">
              <w:rPr>
                <w:b/>
                <w:bCs/>
                <w:sz w:val="16"/>
                <w:szCs w:val="16"/>
              </w:rPr>
              <w:t>Budget</w:t>
            </w:r>
            <w:r>
              <w:rPr>
                <w:b/>
                <w:bCs/>
                <w:sz w:val="16"/>
                <w:szCs w:val="16"/>
              </w:rPr>
              <w:t> </w:t>
            </w:r>
            <w:r w:rsidRPr="001E6DFD">
              <w:rPr>
                <w:b/>
                <w:bCs/>
                <w:sz w:val="16"/>
                <w:szCs w:val="16"/>
              </w:rPr>
              <w:t>2016</w:t>
            </w:r>
            <w:r w:rsidRPr="001E6DFD">
              <w:rPr>
                <w:b/>
                <w:bCs/>
                <w:sz w:val="16"/>
                <w:szCs w:val="16"/>
              </w:rPr>
              <w:noBreakHyphen/>
              <w:t>2017 après virements</w:t>
            </w:r>
          </w:p>
        </w:tc>
        <w:tc>
          <w:tcPr>
            <w:tcW w:w="1438" w:type="dxa"/>
            <w:tcBorders>
              <w:top w:val="nil"/>
              <w:left w:val="nil"/>
              <w:bottom w:val="nil"/>
              <w:right w:val="nil"/>
            </w:tcBorders>
            <w:shd w:val="clear" w:color="000000" w:fill="C5D9F1"/>
            <w:vAlign w:val="center"/>
            <w:hideMark/>
          </w:tcPr>
          <w:p w14:paraId="55D95256" w14:textId="77777777" w:rsidR="00AA64E5" w:rsidRPr="001E6DFD" w:rsidRDefault="00AA64E5" w:rsidP="00B705C2">
            <w:pPr>
              <w:keepNext/>
              <w:keepLines/>
              <w:jc w:val="center"/>
              <w:rPr>
                <w:b/>
                <w:bCs/>
                <w:sz w:val="16"/>
                <w:szCs w:val="16"/>
              </w:rPr>
            </w:pPr>
            <w:r>
              <w:rPr>
                <w:b/>
                <w:bCs/>
                <w:sz w:val="16"/>
                <w:szCs w:val="16"/>
              </w:rPr>
              <w:t>Dépenses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0D3884E9" w14:textId="77777777" w:rsidR="00AA64E5" w:rsidRPr="001E6DFD" w:rsidRDefault="00AA64E5" w:rsidP="00B705C2">
            <w:pPr>
              <w:keepNext/>
              <w:keepLines/>
              <w:jc w:val="center"/>
              <w:rPr>
                <w:b/>
                <w:bCs/>
                <w:sz w:val="16"/>
                <w:szCs w:val="16"/>
              </w:rPr>
            </w:pPr>
            <w:r w:rsidRPr="001E6DFD">
              <w:rPr>
                <w:b/>
                <w:bCs/>
                <w:sz w:val="16"/>
                <w:szCs w:val="16"/>
              </w:rPr>
              <w:t>Taux d’utilisation (%)</w:t>
            </w:r>
          </w:p>
        </w:tc>
      </w:tr>
      <w:tr w:rsidR="00AA64E5" w:rsidRPr="001E6DFD" w14:paraId="47FC265C" w14:textId="77777777" w:rsidTr="00B705C2">
        <w:trPr>
          <w:jc w:val="center"/>
        </w:trPr>
        <w:tc>
          <w:tcPr>
            <w:tcW w:w="2470" w:type="dxa"/>
            <w:tcBorders>
              <w:top w:val="nil"/>
              <w:left w:val="nil"/>
              <w:bottom w:val="nil"/>
              <w:right w:val="nil"/>
            </w:tcBorders>
            <w:shd w:val="clear" w:color="auto" w:fill="auto"/>
            <w:noWrap/>
            <w:vAlign w:val="center"/>
            <w:hideMark/>
          </w:tcPr>
          <w:p w14:paraId="26A21E89" w14:textId="77777777" w:rsidR="00AA64E5" w:rsidRPr="001E6DFD" w:rsidRDefault="00AA64E5" w:rsidP="00B705C2">
            <w:pPr>
              <w:keepNext/>
              <w:keepLines/>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347A3122" w14:textId="77777777" w:rsidR="00AA64E5" w:rsidRPr="001E6DFD" w:rsidRDefault="00AA64E5" w:rsidP="00B705C2">
            <w:pPr>
              <w:keepNext/>
              <w:keepLines/>
              <w:jc w:val="center"/>
              <w:rPr>
                <w:sz w:val="16"/>
                <w:szCs w:val="16"/>
              </w:rPr>
            </w:pPr>
            <w:r w:rsidRPr="001E6DFD">
              <w:rPr>
                <w:sz w:val="16"/>
                <w:szCs w:val="16"/>
              </w:rPr>
              <w:t xml:space="preserve">6 021 </w:t>
            </w:r>
          </w:p>
        </w:tc>
        <w:tc>
          <w:tcPr>
            <w:tcW w:w="1438" w:type="dxa"/>
            <w:tcBorders>
              <w:top w:val="nil"/>
              <w:left w:val="nil"/>
              <w:bottom w:val="nil"/>
              <w:right w:val="nil"/>
            </w:tcBorders>
            <w:shd w:val="clear" w:color="auto" w:fill="auto"/>
            <w:vAlign w:val="center"/>
            <w:hideMark/>
          </w:tcPr>
          <w:p w14:paraId="4EBBA424" w14:textId="77777777" w:rsidR="00AA64E5" w:rsidRPr="001E6DFD" w:rsidRDefault="00AA64E5" w:rsidP="00B705C2">
            <w:pPr>
              <w:keepNext/>
              <w:keepLines/>
              <w:jc w:val="center"/>
              <w:rPr>
                <w:sz w:val="16"/>
                <w:szCs w:val="16"/>
              </w:rPr>
            </w:pPr>
            <w:r w:rsidRPr="001E6DFD">
              <w:rPr>
                <w:sz w:val="16"/>
                <w:szCs w:val="16"/>
              </w:rPr>
              <w:t xml:space="preserve">6 447 </w:t>
            </w:r>
          </w:p>
        </w:tc>
        <w:tc>
          <w:tcPr>
            <w:tcW w:w="1438" w:type="dxa"/>
            <w:tcBorders>
              <w:top w:val="nil"/>
              <w:left w:val="nil"/>
              <w:bottom w:val="nil"/>
              <w:right w:val="nil"/>
            </w:tcBorders>
            <w:shd w:val="clear" w:color="auto" w:fill="auto"/>
            <w:vAlign w:val="center"/>
            <w:hideMark/>
          </w:tcPr>
          <w:p w14:paraId="0F94DB2A" w14:textId="77777777" w:rsidR="00AA64E5" w:rsidRPr="001E6DFD" w:rsidRDefault="00AA64E5" w:rsidP="00B705C2">
            <w:pPr>
              <w:keepNext/>
              <w:keepLines/>
              <w:jc w:val="center"/>
              <w:rPr>
                <w:sz w:val="16"/>
                <w:szCs w:val="16"/>
              </w:rPr>
            </w:pPr>
            <w:r w:rsidRPr="001E6DFD">
              <w:rPr>
                <w:sz w:val="16"/>
                <w:szCs w:val="16"/>
              </w:rPr>
              <w:t xml:space="preserve">2 864 </w:t>
            </w:r>
          </w:p>
        </w:tc>
        <w:tc>
          <w:tcPr>
            <w:tcW w:w="1438" w:type="dxa"/>
            <w:tcBorders>
              <w:top w:val="nil"/>
              <w:left w:val="nil"/>
              <w:bottom w:val="nil"/>
              <w:right w:val="nil"/>
            </w:tcBorders>
            <w:shd w:val="clear" w:color="auto" w:fill="auto"/>
            <w:vAlign w:val="center"/>
            <w:hideMark/>
          </w:tcPr>
          <w:p w14:paraId="5CA884D1" w14:textId="77777777" w:rsidR="00AA64E5" w:rsidRPr="001E6DFD" w:rsidRDefault="00AA64E5" w:rsidP="00B705C2">
            <w:pPr>
              <w:keepNext/>
              <w:keepLines/>
              <w:jc w:val="center"/>
              <w:rPr>
                <w:sz w:val="16"/>
                <w:szCs w:val="16"/>
              </w:rPr>
            </w:pPr>
            <w:r w:rsidRPr="001E6DFD">
              <w:rPr>
                <w:sz w:val="16"/>
                <w:szCs w:val="16"/>
              </w:rPr>
              <w:t>44%</w:t>
            </w:r>
          </w:p>
        </w:tc>
      </w:tr>
      <w:tr w:rsidR="00AA64E5" w:rsidRPr="001E6DFD" w14:paraId="0D376FFB" w14:textId="77777777" w:rsidTr="00B705C2">
        <w:trPr>
          <w:jc w:val="center"/>
        </w:trPr>
        <w:tc>
          <w:tcPr>
            <w:tcW w:w="2470" w:type="dxa"/>
            <w:tcBorders>
              <w:top w:val="nil"/>
              <w:left w:val="nil"/>
              <w:bottom w:val="nil"/>
              <w:right w:val="nil"/>
            </w:tcBorders>
            <w:shd w:val="clear" w:color="auto" w:fill="auto"/>
            <w:noWrap/>
            <w:vAlign w:val="center"/>
            <w:hideMark/>
          </w:tcPr>
          <w:p w14:paraId="2F58687F" w14:textId="77777777" w:rsidR="00AA64E5" w:rsidRPr="001E6DFD" w:rsidRDefault="00AA64E5" w:rsidP="00B705C2">
            <w:pPr>
              <w:keepNext/>
              <w:keepLines/>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6DAD9824" w14:textId="77777777" w:rsidR="00AA64E5" w:rsidRPr="001E6DFD" w:rsidRDefault="00AA64E5" w:rsidP="00B705C2">
            <w:pPr>
              <w:keepNext/>
              <w:keepLines/>
              <w:jc w:val="center"/>
              <w:rPr>
                <w:sz w:val="16"/>
                <w:szCs w:val="16"/>
              </w:rPr>
            </w:pPr>
            <w:r w:rsidRPr="001E6DFD">
              <w:rPr>
                <w:sz w:val="16"/>
                <w:szCs w:val="16"/>
              </w:rPr>
              <w:t xml:space="preserve">1 898 </w:t>
            </w:r>
          </w:p>
        </w:tc>
        <w:tc>
          <w:tcPr>
            <w:tcW w:w="1438" w:type="dxa"/>
            <w:tcBorders>
              <w:top w:val="nil"/>
              <w:left w:val="nil"/>
              <w:bottom w:val="nil"/>
              <w:right w:val="nil"/>
            </w:tcBorders>
            <w:shd w:val="clear" w:color="auto" w:fill="auto"/>
            <w:vAlign w:val="center"/>
            <w:hideMark/>
          </w:tcPr>
          <w:p w14:paraId="37B28C46" w14:textId="77777777" w:rsidR="00AA64E5" w:rsidRPr="001E6DFD" w:rsidRDefault="00AA64E5" w:rsidP="00B705C2">
            <w:pPr>
              <w:keepNext/>
              <w:keepLines/>
              <w:jc w:val="center"/>
              <w:rPr>
                <w:sz w:val="16"/>
                <w:szCs w:val="16"/>
              </w:rPr>
            </w:pPr>
            <w:r w:rsidRPr="001E6DFD">
              <w:rPr>
                <w:sz w:val="16"/>
                <w:szCs w:val="16"/>
              </w:rPr>
              <w:t xml:space="preserve">1 866 </w:t>
            </w:r>
          </w:p>
        </w:tc>
        <w:tc>
          <w:tcPr>
            <w:tcW w:w="1438" w:type="dxa"/>
            <w:tcBorders>
              <w:top w:val="nil"/>
              <w:left w:val="nil"/>
              <w:bottom w:val="nil"/>
              <w:right w:val="nil"/>
            </w:tcBorders>
            <w:shd w:val="clear" w:color="auto" w:fill="auto"/>
            <w:vAlign w:val="center"/>
            <w:hideMark/>
          </w:tcPr>
          <w:p w14:paraId="57BC222F" w14:textId="77777777" w:rsidR="00AA64E5" w:rsidRPr="001E6DFD" w:rsidRDefault="00AA64E5" w:rsidP="00B705C2">
            <w:pPr>
              <w:keepNext/>
              <w:keepLines/>
              <w:jc w:val="center"/>
              <w:rPr>
                <w:sz w:val="16"/>
                <w:szCs w:val="16"/>
              </w:rPr>
            </w:pPr>
            <w:r w:rsidRPr="001E6DFD">
              <w:rPr>
                <w:sz w:val="16"/>
                <w:szCs w:val="16"/>
              </w:rPr>
              <w:t xml:space="preserve">825 </w:t>
            </w:r>
          </w:p>
        </w:tc>
        <w:tc>
          <w:tcPr>
            <w:tcW w:w="1438" w:type="dxa"/>
            <w:tcBorders>
              <w:top w:val="nil"/>
              <w:left w:val="nil"/>
              <w:bottom w:val="nil"/>
              <w:right w:val="nil"/>
            </w:tcBorders>
            <w:shd w:val="clear" w:color="auto" w:fill="auto"/>
            <w:vAlign w:val="center"/>
            <w:hideMark/>
          </w:tcPr>
          <w:p w14:paraId="67784D39" w14:textId="77777777" w:rsidR="00AA64E5" w:rsidRPr="001E6DFD" w:rsidRDefault="00AA64E5" w:rsidP="00B705C2">
            <w:pPr>
              <w:keepNext/>
              <w:keepLines/>
              <w:jc w:val="center"/>
              <w:rPr>
                <w:sz w:val="16"/>
                <w:szCs w:val="16"/>
              </w:rPr>
            </w:pPr>
            <w:r w:rsidRPr="001E6DFD">
              <w:rPr>
                <w:sz w:val="16"/>
                <w:szCs w:val="16"/>
              </w:rPr>
              <w:t>44%</w:t>
            </w:r>
          </w:p>
        </w:tc>
      </w:tr>
      <w:tr w:rsidR="00AA64E5" w:rsidRPr="001E6DFD" w14:paraId="61E990EA" w14:textId="77777777" w:rsidTr="00B705C2">
        <w:trPr>
          <w:jc w:val="center"/>
        </w:trPr>
        <w:tc>
          <w:tcPr>
            <w:tcW w:w="2470" w:type="dxa"/>
            <w:tcBorders>
              <w:top w:val="nil"/>
              <w:left w:val="nil"/>
              <w:bottom w:val="nil"/>
              <w:right w:val="nil"/>
            </w:tcBorders>
            <w:shd w:val="clear" w:color="000000" w:fill="C5D9F1"/>
            <w:noWrap/>
            <w:vAlign w:val="center"/>
            <w:hideMark/>
          </w:tcPr>
          <w:p w14:paraId="22CFB5B8" w14:textId="77777777" w:rsidR="00AA64E5" w:rsidRPr="001E6DFD" w:rsidRDefault="00AA64E5" w:rsidP="00B705C2">
            <w:pPr>
              <w:keepNext/>
              <w:keepLines/>
              <w:jc w:val="right"/>
              <w:rPr>
                <w:b/>
                <w:bCs/>
                <w:sz w:val="16"/>
                <w:szCs w:val="16"/>
              </w:rPr>
            </w:pPr>
            <w:r w:rsidRPr="001E6DFD">
              <w:rPr>
                <w:b/>
                <w:bCs/>
                <w:sz w:val="16"/>
                <w:szCs w:val="16"/>
              </w:rPr>
              <w:t xml:space="preserve">Total </w:t>
            </w:r>
          </w:p>
        </w:tc>
        <w:tc>
          <w:tcPr>
            <w:tcW w:w="1438" w:type="dxa"/>
            <w:tcBorders>
              <w:top w:val="nil"/>
              <w:left w:val="nil"/>
              <w:bottom w:val="nil"/>
              <w:right w:val="nil"/>
            </w:tcBorders>
            <w:shd w:val="clear" w:color="000000" w:fill="C5D9F1"/>
            <w:vAlign w:val="center"/>
            <w:hideMark/>
          </w:tcPr>
          <w:p w14:paraId="157B1CE7" w14:textId="77777777" w:rsidR="00AA64E5" w:rsidRPr="001E6DFD" w:rsidRDefault="00AA64E5" w:rsidP="00B705C2">
            <w:pPr>
              <w:keepNext/>
              <w:keepLines/>
              <w:jc w:val="center"/>
              <w:rPr>
                <w:b/>
                <w:bCs/>
                <w:sz w:val="16"/>
                <w:szCs w:val="16"/>
              </w:rPr>
            </w:pPr>
            <w:r w:rsidRPr="001E6DFD">
              <w:rPr>
                <w:b/>
                <w:bCs/>
                <w:sz w:val="16"/>
                <w:szCs w:val="16"/>
              </w:rPr>
              <w:t xml:space="preserve">7 919 </w:t>
            </w:r>
          </w:p>
        </w:tc>
        <w:tc>
          <w:tcPr>
            <w:tcW w:w="1438" w:type="dxa"/>
            <w:tcBorders>
              <w:top w:val="nil"/>
              <w:left w:val="nil"/>
              <w:bottom w:val="nil"/>
              <w:right w:val="nil"/>
            </w:tcBorders>
            <w:shd w:val="clear" w:color="000000" w:fill="C5D9F1"/>
            <w:vAlign w:val="center"/>
            <w:hideMark/>
          </w:tcPr>
          <w:p w14:paraId="2F108137" w14:textId="77777777" w:rsidR="00AA64E5" w:rsidRPr="001E6DFD" w:rsidRDefault="00AA64E5" w:rsidP="00B705C2">
            <w:pPr>
              <w:keepNext/>
              <w:keepLines/>
              <w:jc w:val="center"/>
              <w:rPr>
                <w:b/>
                <w:bCs/>
                <w:sz w:val="16"/>
                <w:szCs w:val="16"/>
              </w:rPr>
            </w:pPr>
            <w:r w:rsidRPr="001E6DFD">
              <w:rPr>
                <w:b/>
                <w:bCs/>
                <w:sz w:val="16"/>
                <w:szCs w:val="16"/>
              </w:rPr>
              <w:t xml:space="preserve">8 313 </w:t>
            </w:r>
          </w:p>
        </w:tc>
        <w:tc>
          <w:tcPr>
            <w:tcW w:w="1438" w:type="dxa"/>
            <w:tcBorders>
              <w:top w:val="nil"/>
              <w:left w:val="nil"/>
              <w:bottom w:val="nil"/>
              <w:right w:val="nil"/>
            </w:tcBorders>
            <w:shd w:val="clear" w:color="000000" w:fill="C5D9F1"/>
            <w:vAlign w:val="center"/>
            <w:hideMark/>
          </w:tcPr>
          <w:p w14:paraId="2739F6C5" w14:textId="77777777" w:rsidR="00AA64E5" w:rsidRPr="001E6DFD" w:rsidRDefault="00AA64E5" w:rsidP="00B705C2">
            <w:pPr>
              <w:keepNext/>
              <w:keepLines/>
              <w:jc w:val="center"/>
              <w:rPr>
                <w:b/>
                <w:bCs/>
                <w:sz w:val="16"/>
                <w:szCs w:val="16"/>
              </w:rPr>
            </w:pPr>
            <w:r w:rsidRPr="001E6DFD">
              <w:rPr>
                <w:b/>
                <w:bCs/>
                <w:sz w:val="16"/>
                <w:szCs w:val="16"/>
              </w:rPr>
              <w:t xml:space="preserve">3 690 </w:t>
            </w:r>
          </w:p>
        </w:tc>
        <w:tc>
          <w:tcPr>
            <w:tcW w:w="1438" w:type="dxa"/>
            <w:tcBorders>
              <w:top w:val="nil"/>
              <w:left w:val="nil"/>
              <w:bottom w:val="nil"/>
              <w:right w:val="nil"/>
            </w:tcBorders>
            <w:shd w:val="clear" w:color="000000" w:fill="C5D9F1"/>
            <w:vAlign w:val="center"/>
            <w:hideMark/>
          </w:tcPr>
          <w:p w14:paraId="75BCAA98" w14:textId="77777777" w:rsidR="00AA64E5" w:rsidRPr="001E6DFD" w:rsidRDefault="00AA64E5" w:rsidP="00B705C2">
            <w:pPr>
              <w:keepNext/>
              <w:keepLines/>
              <w:jc w:val="center"/>
              <w:rPr>
                <w:b/>
                <w:bCs/>
                <w:sz w:val="16"/>
                <w:szCs w:val="16"/>
              </w:rPr>
            </w:pPr>
            <w:r w:rsidRPr="001E6DFD">
              <w:rPr>
                <w:b/>
                <w:bCs/>
                <w:sz w:val="16"/>
                <w:szCs w:val="16"/>
              </w:rPr>
              <w:t>44%</w:t>
            </w:r>
          </w:p>
        </w:tc>
      </w:tr>
      <w:tr w:rsidR="00AA64E5" w:rsidRPr="001E6DFD" w14:paraId="57BE6B9B" w14:textId="77777777" w:rsidTr="00B705C2">
        <w:trPr>
          <w:jc w:val="center"/>
        </w:trPr>
        <w:tc>
          <w:tcPr>
            <w:tcW w:w="8222" w:type="dxa"/>
            <w:gridSpan w:val="5"/>
            <w:tcBorders>
              <w:top w:val="nil"/>
              <w:left w:val="nil"/>
              <w:bottom w:val="nil"/>
              <w:right w:val="nil"/>
            </w:tcBorders>
            <w:shd w:val="clear" w:color="auto" w:fill="auto"/>
            <w:noWrap/>
            <w:vAlign w:val="center"/>
            <w:hideMark/>
          </w:tcPr>
          <w:p w14:paraId="5869390C" w14:textId="77777777" w:rsidR="00AA64E5" w:rsidRPr="001E6DFD" w:rsidRDefault="00AA64E5" w:rsidP="00B705C2">
            <w:pPr>
              <w:keepNext/>
              <w:keepLines/>
              <w:rPr>
                <w:i/>
                <w:iCs/>
                <w:sz w:val="16"/>
                <w:szCs w:val="16"/>
              </w:rPr>
            </w:pPr>
            <w:r w:rsidRPr="001E6DFD">
              <w:rPr>
                <w:i/>
                <w:iCs/>
                <w:sz w:val="16"/>
                <w:szCs w:val="16"/>
              </w:rPr>
              <w:t xml:space="preserve">*Les chiffres des dépenses pour 2016 sont préliminaires, sous réserve d’audit par les vérificateurs externes des comptes </w:t>
            </w:r>
          </w:p>
        </w:tc>
      </w:tr>
    </w:tbl>
    <w:p w14:paraId="3F3308E1" w14:textId="77777777" w:rsidR="00AA64E5" w:rsidRPr="001E6DFD" w:rsidRDefault="00AA64E5" w:rsidP="00AA64E5">
      <w:pPr>
        <w:keepNext/>
        <w:keepLines/>
        <w:rPr>
          <w:i/>
          <w:sz w:val="20"/>
        </w:rPr>
      </w:pPr>
    </w:p>
    <w:p w14:paraId="23E864F9" w14:textId="77777777" w:rsidR="00AA64E5" w:rsidRPr="001E6DFD" w:rsidRDefault="00AA64E5" w:rsidP="00AA64E5">
      <w:pPr>
        <w:keepNext/>
        <w:keepLines/>
        <w:ind w:left="567" w:right="424"/>
        <w:rPr>
          <w:i/>
          <w:sz w:val="16"/>
          <w:szCs w:val="16"/>
        </w:rPr>
      </w:pPr>
      <w:r w:rsidRPr="001E6DFD">
        <w:rPr>
          <w:i/>
          <w:sz w:val="16"/>
          <w:szCs w:val="16"/>
        </w:rPr>
        <w:t>NOTE : Le budget</w:t>
      </w:r>
      <w:r>
        <w:rPr>
          <w:i/>
          <w:sz w:val="16"/>
          <w:szCs w:val="16"/>
        </w:rPr>
        <w:t> </w:t>
      </w:r>
      <w:r w:rsidRPr="001E6DFD">
        <w:rPr>
          <w:i/>
          <w:sz w:val="16"/>
          <w:szCs w:val="16"/>
        </w:rPr>
        <w:t>2016</w:t>
      </w:r>
      <w:r w:rsidRPr="001E6DFD">
        <w:rPr>
          <w:i/>
          <w:sz w:val="16"/>
          <w:szCs w:val="16"/>
        </w:rPr>
        <w:noBreakHyphen/>
        <w:t xml:space="preserve">2017 après virements tient compte des virements effectués </w:t>
      </w:r>
      <w:r>
        <w:rPr>
          <w:i/>
          <w:sz w:val="16"/>
          <w:szCs w:val="16"/>
        </w:rPr>
        <w:t>au 8 mars 2017</w:t>
      </w:r>
      <w:r w:rsidRPr="001E6DFD">
        <w:rPr>
          <w:i/>
          <w:sz w:val="16"/>
          <w:szCs w:val="16"/>
        </w:rPr>
        <w:t xml:space="preserve"> pour répondre aux besoins durant l’exercice biennal 2016</w:t>
      </w:r>
      <w:r w:rsidRPr="001E6DFD">
        <w:rPr>
          <w:i/>
          <w:sz w:val="16"/>
          <w:szCs w:val="16"/>
        </w:rPr>
        <w:noBreakHyphen/>
        <w:t>2017 conformément à l’article 5.5 du Règlement financier.</w:t>
      </w:r>
    </w:p>
    <w:p w14:paraId="45A8B16F" w14:textId="77777777" w:rsidR="00AA64E5" w:rsidRPr="001E6DFD" w:rsidRDefault="00AA64E5" w:rsidP="0097226C">
      <w:pPr>
        <w:rPr>
          <w:sz w:val="20"/>
        </w:rPr>
      </w:pPr>
    </w:p>
    <w:p w14:paraId="1A0C5607" w14:textId="77777777" w:rsidR="001F64B1" w:rsidRPr="001E6DFD" w:rsidRDefault="00C10A48" w:rsidP="0097226C">
      <w:pPr>
        <w:pStyle w:val="NormalWeb"/>
        <w:keepNext/>
        <w:keepLines/>
        <w:spacing w:before="0" w:beforeAutospacing="0" w:after="0" w:afterAutospacing="0"/>
        <w:jc w:val="center"/>
      </w:pPr>
      <w:r w:rsidRPr="001E6DFD">
        <w:lastRenderedPageBreak/>
        <w:t>Budget et dépenses effectives (par résultat)</w:t>
      </w:r>
    </w:p>
    <w:p w14:paraId="664D1C10" w14:textId="77777777" w:rsidR="001F64B1" w:rsidRPr="001E6DFD" w:rsidRDefault="00C10A48"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373A83A1"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537"/>
        <w:gridCol w:w="4199"/>
        <w:gridCol w:w="1564"/>
        <w:gridCol w:w="1564"/>
        <w:gridCol w:w="1423"/>
      </w:tblGrid>
      <w:tr w:rsidR="00BA5EA9" w:rsidRPr="001E6DFD" w14:paraId="77D5E4AB" w14:textId="77777777" w:rsidTr="0097226C">
        <w:trPr>
          <w:jc w:val="center"/>
        </w:trPr>
        <w:tc>
          <w:tcPr>
            <w:tcW w:w="4779" w:type="dxa"/>
            <w:gridSpan w:val="2"/>
            <w:tcBorders>
              <w:top w:val="nil"/>
              <w:left w:val="nil"/>
              <w:bottom w:val="nil"/>
              <w:right w:val="nil"/>
            </w:tcBorders>
            <w:shd w:val="clear" w:color="000000" w:fill="C5D9F1"/>
            <w:noWrap/>
            <w:vAlign w:val="center"/>
            <w:hideMark/>
          </w:tcPr>
          <w:p w14:paraId="5AD88DF4" w14:textId="77777777" w:rsidR="00BA5EA9" w:rsidRPr="001E6DFD" w:rsidRDefault="00C10A48"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40" w:type="dxa"/>
            <w:tcBorders>
              <w:top w:val="nil"/>
              <w:left w:val="nil"/>
              <w:bottom w:val="nil"/>
              <w:right w:val="nil"/>
            </w:tcBorders>
            <w:shd w:val="clear" w:color="000000" w:fill="C5D9F1"/>
            <w:vAlign w:val="center"/>
            <w:hideMark/>
          </w:tcPr>
          <w:p w14:paraId="40CABB02" w14:textId="678DAAA3" w:rsidR="00BA5EA9" w:rsidRPr="001E6DFD" w:rsidRDefault="00B649F5"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 xml:space="preserve">2017 approuvé </w:t>
            </w:r>
          </w:p>
        </w:tc>
        <w:tc>
          <w:tcPr>
            <w:tcW w:w="1138" w:type="dxa"/>
            <w:tcBorders>
              <w:top w:val="nil"/>
              <w:left w:val="nil"/>
              <w:bottom w:val="nil"/>
              <w:right w:val="nil"/>
            </w:tcBorders>
            <w:shd w:val="clear" w:color="000000" w:fill="C5D9F1"/>
            <w:vAlign w:val="center"/>
            <w:hideMark/>
          </w:tcPr>
          <w:p w14:paraId="3C750EBF" w14:textId="400A7445"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65" w:type="dxa"/>
            <w:tcBorders>
              <w:top w:val="nil"/>
              <w:left w:val="nil"/>
              <w:bottom w:val="nil"/>
              <w:right w:val="nil"/>
            </w:tcBorders>
            <w:shd w:val="clear" w:color="000000" w:fill="C5D9F1"/>
            <w:vAlign w:val="center"/>
            <w:hideMark/>
          </w:tcPr>
          <w:p w14:paraId="71C3991D" w14:textId="6D227625"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3AB33A11" w14:textId="77777777" w:rsidTr="0097226C">
        <w:trPr>
          <w:jc w:val="center"/>
        </w:trPr>
        <w:tc>
          <w:tcPr>
            <w:tcW w:w="541" w:type="dxa"/>
            <w:tcBorders>
              <w:top w:val="nil"/>
              <w:left w:val="nil"/>
              <w:bottom w:val="nil"/>
              <w:right w:val="nil"/>
            </w:tcBorders>
            <w:shd w:val="clear" w:color="auto" w:fill="auto"/>
            <w:noWrap/>
            <w:vAlign w:val="center"/>
            <w:hideMark/>
          </w:tcPr>
          <w:p w14:paraId="63B26D21" w14:textId="77777777" w:rsidR="00BA5EA9" w:rsidRPr="001E6DFD" w:rsidRDefault="00BA5EA9" w:rsidP="0097226C">
            <w:pPr>
              <w:rPr>
                <w:sz w:val="16"/>
                <w:szCs w:val="16"/>
              </w:rPr>
            </w:pPr>
            <w:r w:rsidRPr="001E6DFD">
              <w:rPr>
                <w:sz w:val="16"/>
                <w:szCs w:val="16"/>
              </w:rPr>
              <w:t>I.2</w:t>
            </w:r>
          </w:p>
        </w:tc>
        <w:tc>
          <w:tcPr>
            <w:tcW w:w="4238" w:type="dxa"/>
            <w:tcBorders>
              <w:top w:val="nil"/>
              <w:left w:val="nil"/>
              <w:bottom w:val="nil"/>
              <w:right w:val="nil"/>
            </w:tcBorders>
            <w:shd w:val="clear" w:color="auto" w:fill="auto"/>
            <w:vAlign w:val="center"/>
            <w:hideMark/>
          </w:tcPr>
          <w:p w14:paraId="4F117250" w14:textId="77777777" w:rsidR="00BA5EA9" w:rsidRPr="001E6DFD" w:rsidRDefault="00C10A48" w:rsidP="0097226C">
            <w:pPr>
              <w:rPr>
                <w:sz w:val="16"/>
                <w:szCs w:val="16"/>
              </w:rPr>
            </w:pPr>
            <w:r w:rsidRPr="001E6DFD">
              <w:rPr>
                <w:sz w:val="16"/>
                <w:szCs w:val="16"/>
              </w:rPr>
              <w:t>Cadres législatifs, réglementaires et politiques adaptés et équilibrés en matière de propriété intellectuelle</w:t>
            </w:r>
          </w:p>
        </w:tc>
        <w:tc>
          <w:tcPr>
            <w:tcW w:w="1140" w:type="dxa"/>
            <w:tcBorders>
              <w:top w:val="nil"/>
              <w:left w:val="nil"/>
              <w:bottom w:val="nil"/>
              <w:right w:val="nil"/>
            </w:tcBorders>
            <w:shd w:val="clear" w:color="auto" w:fill="auto"/>
            <w:noWrap/>
            <w:vAlign w:val="center"/>
            <w:hideMark/>
          </w:tcPr>
          <w:p w14:paraId="6B5B5368" w14:textId="77777777" w:rsidR="00BA5EA9" w:rsidRPr="001E6DFD" w:rsidRDefault="00BA5EA9" w:rsidP="0097226C">
            <w:pPr>
              <w:jc w:val="center"/>
              <w:rPr>
                <w:sz w:val="16"/>
                <w:szCs w:val="16"/>
              </w:rPr>
            </w:pPr>
            <w:r w:rsidRPr="001E6DFD">
              <w:rPr>
                <w:sz w:val="16"/>
                <w:szCs w:val="16"/>
              </w:rPr>
              <w:t>833</w:t>
            </w:r>
          </w:p>
        </w:tc>
        <w:tc>
          <w:tcPr>
            <w:tcW w:w="1138" w:type="dxa"/>
            <w:tcBorders>
              <w:top w:val="nil"/>
              <w:left w:val="nil"/>
              <w:bottom w:val="nil"/>
              <w:right w:val="nil"/>
            </w:tcBorders>
            <w:shd w:val="clear" w:color="auto" w:fill="auto"/>
            <w:noWrap/>
            <w:vAlign w:val="center"/>
            <w:hideMark/>
          </w:tcPr>
          <w:p w14:paraId="299BAFA6" w14:textId="77777777" w:rsidR="00BA5EA9" w:rsidRPr="001E6DFD" w:rsidRDefault="00BA5EA9" w:rsidP="0097226C">
            <w:pPr>
              <w:jc w:val="center"/>
              <w:rPr>
                <w:sz w:val="16"/>
                <w:szCs w:val="16"/>
              </w:rPr>
            </w:pPr>
            <w:r w:rsidRPr="001E6DFD">
              <w:rPr>
                <w:sz w:val="16"/>
                <w:szCs w:val="16"/>
              </w:rPr>
              <w:t>752</w:t>
            </w:r>
          </w:p>
        </w:tc>
        <w:tc>
          <w:tcPr>
            <w:tcW w:w="1165" w:type="dxa"/>
            <w:tcBorders>
              <w:top w:val="nil"/>
              <w:left w:val="nil"/>
              <w:bottom w:val="nil"/>
              <w:right w:val="nil"/>
            </w:tcBorders>
            <w:shd w:val="clear" w:color="auto" w:fill="auto"/>
            <w:noWrap/>
            <w:vAlign w:val="center"/>
            <w:hideMark/>
          </w:tcPr>
          <w:p w14:paraId="54AE3850" w14:textId="77777777" w:rsidR="00BA5EA9" w:rsidRPr="001E6DFD" w:rsidRDefault="00BA5EA9" w:rsidP="0097226C">
            <w:pPr>
              <w:jc w:val="center"/>
              <w:rPr>
                <w:sz w:val="16"/>
                <w:szCs w:val="16"/>
              </w:rPr>
            </w:pPr>
            <w:r w:rsidRPr="001E6DFD">
              <w:rPr>
                <w:sz w:val="16"/>
                <w:szCs w:val="16"/>
              </w:rPr>
              <w:t>339</w:t>
            </w:r>
          </w:p>
        </w:tc>
      </w:tr>
      <w:tr w:rsidR="00BA5EA9" w:rsidRPr="001E6DFD" w14:paraId="128523E5" w14:textId="77777777" w:rsidTr="0097226C">
        <w:trPr>
          <w:jc w:val="center"/>
        </w:trPr>
        <w:tc>
          <w:tcPr>
            <w:tcW w:w="541" w:type="dxa"/>
            <w:tcBorders>
              <w:top w:val="nil"/>
              <w:left w:val="nil"/>
              <w:bottom w:val="nil"/>
              <w:right w:val="nil"/>
            </w:tcBorders>
            <w:shd w:val="clear" w:color="auto" w:fill="auto"/>
            <w:noWrap/>
            <w:vAlign w:val="center"/>
            <w:hideMark/>
          </w:tcPr>
          <w:p w14:paraId="08C77253" w14:textId="77777777" w:rsidR="00BA5EA9" w:rsidRPr="001E6DFD" w:rsidRDefault="00BA5EA9" w:rsidP="0097226C">
            <w:pPr>
              <w:rPr>
                <w:sz w:val="16"/>
                <w:szCs w:val="16"/>
              </w:rPr>
            </w:pPr>
            <w:r w:rsidRPr="001E6DFD">
              <w:rPr>
                <w:sz w:val="16"/>
                <w:szCs w:val="16"/>
              </w:rPr>
              <w:t>II.1</w:t>
            </w:r>
          </w:p>
        </w:tc>
        <w:tc>
          <w:tcPr>
            <w:tcW w:w="4238" w:type="dxa"/>
            <w:tcBorders>
              <w:top w:val="nil"/>
              <w:left w:val="nil"/>
              <w:bottom w:val="nil"/>
              <w:right w:val="nil"/>
            </w:tcBorders>
            <w:shd w:val="clear" w:color="auto" w:fill="auto"/>
            <w:vAlign w:val="center"/>
            <w:hideMark/>
          </w:tcPr>
          <w:p w14:paraId="66798CF4" w14:textId="77777777" w:rsidR="00BA5EA9" w:rsidRPr="001E6DFD" w:rsidRDefault="00C10A48" w:rsidP="0097226C">
            <w:pPr>
              <w:rPr>
                <w:sz w:val="16"/>
                <w:szCs w:val="16"/>
              </w:rPr>
            </w:pPr>
            <w:r w:rsidRPr="001E6DFD">
              <w:rPr>
                <w:sz w:val="16"/>
                <w:szCs w:val="16"/>
              </w:rPr>
              <w:t>Utilisation élargie et plus efficace du système du PCT pour le dépôt des demandes internationales de brevet</w:t>
            </w:r>
          </w:p>
        </w:tc>
        <w:tc>
          <w:tcPr>
            <w:tcW w:w="1140" w:type="dxa"/>
            <w:tcBorders>
              <w:top w:val="nil"/>
              <w:left w:val="nil"/>
              <w:bottom w:val="nil"/>
              <w:right w:val="nil"/>
            </w:tcBorders>
            <w:shd w:val="clear" w:color="auto" w:fill="auto"/>
            <w:noWrap/>
            <w:vAlign w:val="center"/>
            <w:hideMark/>
          </w:tcPr>
          <w:p w14:paraId="60214C53" w14:textId="77777777" w:rsidR="00BA5EA9" w:rsidRPr="001E6DFD" w:rsidRDefault="00282CF5" w:rsidP="0097226C">
            <w:pPr>
              <w:jc w:val="center"/>
              <w:rPr>
                <w:sz w:val="16"/>
                <w:szCs w:val="16"/>
              </w:rPr>
            </w:pPr>
            <w:r w:rsidRPr="001E6DFD">
              <w:rPr>
                <w:sz w:val="16"/>
                <w:szCs w:val="16"/>
              </w:rPr>
              <w:t>1 170</w:t>
            </w:r>
          </w:p>
        </w:tc>
        <w:tc>
          <w:tcPr>
            <w:tcW w:w="1138" w:type="dxa"/>
            <w:tcBorders>
              <w:top w:val="nil"/>
              <w:left w:val="nil"/>
              <w:bottom w:val="nil"/>
              <w:right w:val="nil"/>
            </w:tcBorders>
            <w:shd w:val="clear" w:color="auto" w:fill="auto"/>
            <w:noWrap/>
            <w:vAlign w:val="center"/>
            <w:hideMark/>
          </w:tcPr>
          <w:p w14:paraId="7879E444" w14:textId="77777777" w:rsidR="00BA5EA9" w:rsidRPr="001E6DFD" w:rsidRDefault="00282CF5" w:rsidP="0097226C">
            <w:pPr>
              <w:jc w:val="center"/>
              <w:rPr>
                <w:sz w:val="16"/>
                <w:szCs w:val="16"/>
              </w:rPr>
            </w:pPr>
            <w:r w:rsidRPr="001E6DFD">
              <w:rPr>
                <w:sz w:val="16"/>
                <w:szCs w:val="16"/>
              </w:rPr>
              <w:t>1 295</w:t>
            </w:r>
          </w:p>
        </w:tc>
        <w:tc>
          <w:tcPr>
            <w:tcW w:w="1165" w:type="dxa"/>
            <w:tcBorders>
              <w:top w:val="nil"/>
              <w:left w:val="nil"/>
              <w:bottom w:val="nil"/>
              <w:right w:val="nil"/>
            </w:tcBorders>
            <w:shd w:val="clear" w:color="auto" w:fill="auto"/>
            <w:noWrap/>
            <w:vAlign w:val="center"/>
            <w:hideMark/>
          </w:tcPr>
          <w:p w14:paraId="7736F5EB" w14:textId="77777777" w:rsidR="00BA5EA9" w:rsidRPr="001E6DFD" w:rsidRDefault="00BA5EA9" w:rsidP="0097226C">
            <w:pPr>
              <w:jc w:val="center"/>
              <w:rPr>
                <w:sz w:val="16"/>
                <w:szCs w:val="16"/>
              </w:rPr>
            </w:pPr>
            <w:r w:rsidRPr="001E6DFD">
              <w:rPr>
                <w:sz w:val="16"/>
                <w:szCs w:val="16"/>
              </w:rPr>
              <w:t>602</w:t>
            </w:r>
          </w:p>
        </w:tc>
      </w:tr>
      <w:tr w:rsidR="00BA5EA9" w:rsidRPr="001E6DFD" w14:paraId="457980C5" w14:textId="77777777" w:rsidTr="0097226C">
        <w:trPr>
          <w:jc w:val="center"/>
        </w:trPr>
        <w:tc>
          <w:tcPr>
            <w:tcW w:w="541" w:type="dxa"/>
            <w:tcBorders>
              <w:top w:val="nil"/>
              <w:left w:val="nil"/>
              <w:bottom w:val="nil"/>
              <w:right w:val="nil"/>
            </w:tcBorders>
            <w:shd w:val="clear" w:color="auto" w:fill="auto"/>
            <w:noWrap/>
            <w:vAlign w:val="center"/>
            <w:hideMark/>
          </w:tcPr>
          <w:p w14:paraId="18BED4D9" w14:textId="77777777" w:rsidR="00BA5EA9" w:rsidRPr="001E6DFD" w:rsidRDefault="00BA5EA9" w:rsidP="0097226C">
            <w:pPr>
              <w:rPr>
                <w:sz w:val="16"/>
                <w:szCs w:val="16"/>
              </w:rPr>
            </w:pPr>
            <w:r w:rsidRPr="001E6DFD">
              <w:rPr>
                <w:sz w:val="16"/>
                <w:szCs w:val="16"/>
              </w:rPr>
              <w:t>II.4</w:t>
            </w:r>
          </w:p>
        </w:tc>
        <w:tc>
          <w:tcPr>
            <w:tcW w:w="4238" w:type="dxa"/>
            <w:tcBorders>
              <w:top w:val="nil"/>
              <w:left w:val="nil"/>
              <w:bottom w:val="nil"/>
              <w:right w:val="nil"/>
            </w:tcBorders>
            <w:shd w:val="clear" w:color="auto" w:fill="auto"/>
            <w:vAlign w:val="center"/>
            <w:hideMark/>
          </w:tcPr>
          <w:p w14:paraId="6BF83556" w14:textId="50D9ED18" w:rsidR="00BA5EA9" w:rsidRPr="001E6DFD" w:rsidRDefault="00C10A48" w:rsidP="0097226C">
            <w:pPr>
              <w:rPr>
                <w:sz w:val="16"/>
                <w:szCs w:val="16"/>
              </w:rPr>
            </w:pPr>
            <w:r w:rsidRPr="001E6DFD">
              <w:rPr>
                <w:sz w:val="16"/>
                <w:szCs w:val="16"/>
              </w:rPr>
              <w:t xml:space="preserve">Utilisation élargie et plus efficace du système de </w:t>
            </w:r>
            <w:r w:rsidR="00FA22F6" w:rsidRPr="001E6DFD">
              <w:rPr>
                <w:sz w:val="16"/>
                <w:szCs w:val="16"/>
              </w:rPr>
              <w:t>La Haye</w:t>
            </w:r>
            <w:r w:rsidRPr="001E6DFD">
              <w:rPr>
                <w:sz w:val="16"/>
                <w:szCs w:val="16"/>
              </w:rPr>
              <w:t>, notamment par les pays en développement et les PMA</w:t>
            </w:r>
          </w:p>
        </w:tc>
        <w:tc>
          <w:tcPr>
            <w:tcW w:w="1140" w:type="dxa"/>
            <w:tcBorders>
              <w:top w:val="nil"/>
              <w:left w:val="nil"/>
              <w:bottom w:val="nil"/>
              <w:right w:val="nil"/>
            </w:tcBorders>
            <w:shd w:val="clear" w:color="auto" w:fill="auto"/>
            <w:noWrap/>
            <w:vAlign w:val="center"/>
            <w:hideMark/>
          </w:tcPr>
          <w:p w14:paraId="2C232066" w14:textId="77777777" w:rsidR="00BA5EA9" w:rsidRPr="001E6DFD" w:rsidRDefault="00BA5EA9" w:rsidP="0097226C">
            <w:pPr>
              <w:jc w:val="center"/>
              <w:rPr>
                <w:sz w:val="16"/>
                <w:szCs w:val="16"/>
              </w:rPr>
            </w:pPr>
            <w:r w:rsidRPr="001E6DFD">
              <w:rPr>
                <w:sz w:val="16"/>
                <w:szCs w:val="16"/>
              </w:rPr>
              <w:t>550</w:t>
            </w:r>
          </w:p>
        </w:tc>
        <w:tc>
          <w:tcPr>
            <w:tcW w:w="1138" w:type="dxa"/>
            <w:tcBorders>
              <w:top w:val="nil"/>
              <w:left w:val="nil"/>
              <w:bottom w:val="nil"/>
              <w:right w:val="nil"/>
            </w:tcBorders>
            <w:shd w:val="clear" w:color="auto" w:fill="auto"/>
            <w:noWrap/>
            <w:vAlign w:val="center"/>
            <w:hideMark/>
          </w:tcPr>
          <w:p w14:paraId="5A9EC225" w14:textId="77777777" w:rsidR="00BA5EA9" w:rsidRPr="001E6DFD" w:rsidRDefault="00BA5EA9" w:rsidP="0097226C">
            <w:pPr>
              <w:jc w:val="center"/>
              <w:rPr>
                <w:sz w:val="16"/>
                <w:szCs w:val="16"/>
              </w:rPr>
            </w:pPr>
            <w:r w:rsidRPr="001E6DFD">
              <w:rPr>
                <w:sz w:val="16"/>
                <w:szCs w:val="16"/>
              </w:rPr>
              <w:t>528</w:t>
            </w:r>
          </w:p>
        </w:tc>
        <w:tc>
          <w:tcPr>
            <w:tcW w:w="1165" w:type="dxa"/>
            <w:tcBorders>
              <w:top w:val="nil"/>
              <w:left w:val="nil"/>
              <w:bottom w:val="nil"/>
              <w:right w:val="nil"/>
            </w:tcBorders>
            <w:shd w:val="clear" w:color="auto" w:fill="auto"/>
            <w:noWrap/>
            <w:vAlign w:val="center"/>
            <w:hideMark/>
          </w:tcPr>
          <w:p w14:paraId="178ADE29" w14:textId="77777777" w:rsidR="00BA5EA9" w:rsidRPr="001E6DFD" w:rsidRDefault="00BA5EA9" w:rsidP="0097226C">
            <w:pPr>
              <w:jc w:val="center"/>
              <w:rPr>
                <w:sz w:val="16"/>
                <w:szCs w:val="16"/>
              </w:rPr>
            </w:pPr>
            <w:r w:rsidRPr="001E6DFD">
              <w:rPr>
                <w:sz w:val="16"/>
                <w:szCs w:val="16"/>
              </w:rPr>
              <w:t>241</w:t>
            </w:r>
          </w:p>
        </w:tc>
      </w:tr>
      <w:tr w:rsidR="00BA5EA9" w:rsidRPr="001E6DFD" w14:paraId="6B09D0A6" w14:textId="77777777" w:rsidTr="0097226C">
        <w:trPr>
          <w:jc w:val="center"/>
        </w:trPr>
        <w:tc>
          <w:tcPr>
            <w:tcW w:w="541" w:type="dxa"/>
            <w:tcBorders>
              <w:top w:val="nil"/>
              <w:left w:val="nil"/>
              <w:bottom w:val="nil"/>
              <w:right w:val="nil"/>
            </w:tcBorders>
            <w:shd w:val="clear" w:color="auto" w:fill="auto"/>
            <w:noWrap/>
            <w:vAlign w:val="center"/>
            <w:hideMark/>
          </w:tcPr>
          <w:p w14:paraId="614DD00B" w14:textId="77777777" w:rsidR="00BA5EA9" w:rsidRPr="001E6DFD" w:rsidRDefault="00BA5EA9" w:rsidP="0097226C">
            <w:pPr>
              <w:rPr>
                <w:sz w:val="16"/>
                <w:szCs w:val="16"/>
              </w:rPr>
            </w:pPr>
            <w:r w:rsidRPr="001E6DFD">
              <w:rPr>
                <w:sz w:val="16"/>
                <w:szCs w:val="16"/>
              </w:rPr>
              <w:t>II.6</w:t>
            </w:r>
          </w:p>
        </w:tc>
        <w:tc>
          <w:tcPr>
            <w:tcW w:w="4238" w:type="dxa"/>
            <w:tcBorders>
              <w:top w:val="nil"/>
              <w:left w:val="nil"/>
              <w:bottom w:val="nil"/>
              <w:right w:val="nil"/>
            </w:tcBorders>
            <w:shd w:val="clear" w:color="auto" w:fill="auto"/>
            <w:vAlign w:val="center"/>
            <w:hideMark/>
          </w:tcPr>
          <w:p w14:paraId="013324F8" w14:textId="6010CC02" w:rsidR="00BA5EA9" w:rsidRPr="001E6DFD" w:rsidRDefault="00C10A48" w:rsidP="0097226C">
            <w:pPr>
              <w:rPr>
                <w:sz w:val="16"/>
                <w:szCs w:val="16"/>
              </w:rPr>
            </w:pPr>
            <w:r w:rsidRPr="001E6DFD">
              <w:rPr>
                <w:sz w:val="16"/>
                <w:szCs w:val="16"/>
              </w:rPr>
              <w:t>Utilisation élargie et plus efficace du système de Madrid, notamment par les pays en développement et</w:t>
            </w:r>
            <w:r w:rsidR="00FA22F6" w:rsidRPr="001E6DFD">
              <w:rPr>
                <w:sz w:val="16"/>
                <w:szCs w:val="16"/>
              </w:rPr>
              <w:t xml:space="preserve"> les PMA</w:t>
            </w:r>
          </w:p>
        </w:tc>
        <w:tc>
          <w:tcPr>
            <w:tcW w:w="1140" w:type="dxa"/>
            <w:tcBorders>
              <w:top w:val="nil"/>
              <w:left w:val="nil"/>
              <w:bottom w:val="nil"/>
              <w:right w:val="nil"/>
            </w:tcBorders>
            <w:shd w:val="clear" w:color="auto" w:fill="auto"/>
            <w:noWrap/>
            <w:vAlign w:val="center"/>
            <w:hideMark/>
          </w:tcPr>
          <w:p w14:paraId="221DF1F2" w14:textId="77777777" w:rsidR="00BA5EA9" w:rsidRPr="001E6DFD" w:rsidRDefault="00BA5EA9" w:rsidP="0097226C">
            <w:pPr>
              <w:jc w:val="center"/>
              <w:rPr>
                <w:sz w:val="16"/>
                <w:szCs w:val="16"/>
              </w:rPr>
            </w:pPr>
            <w:r w:rsidRPr="001E6DFD">
              <w:rPr>
                <w:sz w:val="16"/>
                <w:szCs w:val="16"/>
              </w:rPr>
              <w:t>526</w:t>
            </w:r>
          </w:p>
        </w:tc>
        <w:tc>
          <w:tcPr>
            <w:tcW w:w="1138" w:type="dxa"/>
            <w:tcBorders>
              <w:top w:val="nil"/>
              <w:left w:val="nil"/>
              <w:bottom w:val="nil"/>
              <w:right w:val="nil"/>
            </w:tcBorders>
            <w:shd w:val="clear" w:color="auto" w:fill="auto"/>
            <w:noWrap/>
            <w:vAlign w:val="center"/>
            <w:hideMark/>
          </w:tcPr>
          <w:p w14:paraId="71D79F10" w14:textId="77777777" w:rsidR="00BA5EA9" w:rsidRPr="001E6DFD" w:rsidRDefault="00BA5EA9" w:rsidP="0097226C">
            <w:pPr>
              <w:jc w:val="center"/>
              <w:rPr>
                <w:sz w:val="16"/>
                <w:szCs w:val="16"/>
              </w:rPr>
            </w:pPr>
            <w:r w:rsidRPr="001E6DFD">
              <w:rPr>
                <w:sz w:val="16"/>
                <w:szCs w:val="16"/>
              </w:rPr>
              <w:t>555</w:t>
            </w:r>
          </w:p>
        </w:tc>
        <w:tc>
          <w:tcPr>
            <w:tcW w:w="1165" w:type="dxa"/>
            <w:tcBorders>
              <w:top w:val="nil"/>
              <w:left w:val="nil"/>
              <w:bottom w:val="nil"/>
              <w:right w:val="nil"/>
            </w:tcBorders>
            <w:shd w:val="clear" w:color="auto" w:fill="auto"/>
            <w:noWrap/>
            <w:vAlign w:val="center"/>
            <w:hideMark/>
          </w:tcPr>
          <w:p w14:paraId="77FE1F75" w14:textId="77777777" w:rsidR="00BA5EA9" w:rsidRPr="001E6DFD" w:rsidRDefault="00BA5EA9" w:rsidP="0097226C">
            <w:pPr>
              <w:jc w:val="center"/>
              <w:rPr>
                <w:sz w:val="16"/>
                <w:szCs w:val="16"/>
              </w:rPr>
            </w:pPr>
            <w:r w:rsidRPr="001E6DFD">
              <w:rPr>
                <w:sz w:val="16"/>
                <w:szCs w:val="16"/>
              </w:rPr>
              <w:t>245</w:t>
            </w:r>
          </w:p>
        </w:tc>
      </w:tr>
      <w:tr w:rsidR="00BA5EA9" w:rsidRPr="001E6DFD" w14:paraId="3400F198" w14:textId="77777777" w:rsidTr="0097226C">
        <w:trPr>
          <w:jc w:val="center"/>
        </w:trPr>
        <w:tc>
          <w:tcPr>
            <w:tcW w:w="541" w:type="dxa"/>
            <w:tcBorders>
              <w:top w:val="nil"/>
              <w:left w:val="nil"/>
              <w:bottom w:val="nil"/>
              <w:right w:val="nil"/>
            </w:tcBorders>
            <w:shd w:val="clear" w:color="auto" w:fill="auto"/>
            <w:noWrap/>
            <w:vAlign w:val="center"/>
            <w:hideMark/>
          </w:tcPr>
          <w:p w14:paraId="729667F6" w14:textId="77777777" w:rsidR="00BA5EA9" w:rsidRPr="001E6DFD" w:rsidRDefault="00BA5EA9" w:rsidP="0097226C">
            <w:pPr>
              <w:rPr>
                <w:sz w:val="16"/>
                <w:szCs w:val="16"/>
              </w:rPr>
            </w:pPr>
            <w:r w:rsidRPr="001E6DFD">
              <w:rPr>
                <w:sz w:val="16"/>
                <w:szCs w:val="16"/>
              </w:rPr>
              <w:t>II.8</w:t>
            </w:r>
          </w:p>
        </w:tc>
        <w:tc>
          <w:tcPr>
            <w:tcW w:w="4238" w:type="dxa"/>
            <w:tcBorders>
              <w:top w:val="nil"/>
              <w:left w:val="nil"/>
              <w:bottom w:val="nil"/>
              <w:right w:val="nil"/>
            </w:tcBorders>
            <w:shd w:val="clear" w:color="auto" w:fill="auto"/>
            <w:vAlign w:val="center"/>
            <w:hideMark/>
          </w:tcPr>
          <w:p w14:paraId="0F1F4BB8" w14:textId="742991E2" w:rsidR="00BA5EA9" w:rsidRPr="001E6DFD" w:rsidRDefault="00C10A48" w:rsidP="0097226C">
            <w:pPr>
              <w:rPr>
                <w:sz w:val="16"/>
                <w:szCs w:val="16"/>
              </w:rPr>
            </w:pPr>
            <w:r w:rsidRPr="001E6DFD">
              <w:rPr>
                <w:sz w:val="16"/>
                <w:szCs w:val="16"/>
              </w:rPr>
              <w:t>De plus en plus de litiges internationaux ou nationaux de propriété intellectuelle sont évités ou réglés par la médiation, l</w:t>
            </w:r>
            <w:r w:rsidR="00FA22F6" w:rsidRPr="001E6DFD">
              <w:rPr>
                <w:sz w:val="16"/>
                <w:szCs w:val="16"/>
              </w:rPr>
              <w:t>’</w:t>
            </w:r>
            <w:r w:rsidRPr="001E6DFD">
              <w:rPr>
                <w:sz w:val="16"/>
                <w:szCs w:val="16"/>
              </w:rPr>
              <w:t>arbitrage et d</w:t>
            </w:r>
            <w:r w:rsidR="00FA22F6" w:rsidRPr="001E6DFD">
              <w:rPr>
                <w:sz w:val="16"/>
                <w:szCs w:val="16"/>
              </w:rPr>
              <w:t>’</w:t>
            </w:r>
            <w:r w:rsidRPr="001E6DFD">
              <w:rPr>
                <w:sz w:val="16"/>
                <w:szCs w:val="16"/>
              </w:rPr>
              <w:t>autres modes extrajudiciaires de règlement des litiges de l</w:t>
            </w:r>
            <w:r w:rsidR="00FA22F6" w:rsidRPr="001E6DFD">
              <w:rPr>
                <w:sz w:val="16"/>
                <w:szCs w:val="16"/>
              </w:rPr>
              <w:t>’</w:t>
            </w:r>
            <w:r w:rsidRPr="001E6DFD">
              <w:rPr>
                <w:sz w:val="16"/>
                <w:szCs w:val="16"/>
              </w:rPr>
              <w:t>OMPI</w:t>
            </w:r>
          </w:p>
        </w:tc>
        <w:tc>
          <w:tcPr>
            <w:tcW w:w="1140" w:type="dxa"/>
            <w:tcBorders>
              <w:top w:val="nil"/>
              <w:left w:val="nil"/>
              <w:bottom w:val="nil"/>
              <w:right w:val="nil"/>
            </w:tcBorders>
            <w:shd w:val="clear" w:color="auto" w:fill="auto"/>
            <w:noWrap/>
            <w:vAlign w:val="center"/>
            <w:hideMark/>
          </w:tcPr>
          <w:p w14:paraId="3EA8955B" w14:textId="77777777" w:rsidR="00BA5EA9" w:rsidRPr="001E6DFD" w:rsidRDefault="00BA5EA9" w:rsidP="0097226C">
            <w:pPr>
              <w:jc w:val="center"/>
              <w:rPr>
                <w:sz w:val="16"/>
                <w:szCs w:val="16"/>
              </w:rPr>
            </w:pPr>
            <w:r w:rsidRPr="001E6DFD">
              <w:rPr>
                <w:sz w:val="16"/>
                <w:szCs w:val="16"/>
              </w:rPr>
              <w:t>343</w:t>
            </w:r>
          </w:p>
        </w:tc>
        <w:tc>
          <w:tcPr>
            <w:tcW w:w="1138" w:type="dxa"/>
            <w:tcBorders>
              <w:top w:val="nil"/>
              <w:left w:val="nil"/>
              <w:bottom w:val="nil"/>
              <w:right w:val="nil"/>
            </w:tcBorders>
            <w:shd w:val="clear" w:color="auto" w:fill="auto"/>
            <w:noWrap/>
            <w:vAlign w:val="center"/>
            <w:hideMark/>
          </w:tcPr>
          <w:p w14:paraId="647690C9" w14:textId="77777777" w:rsidR="00BA5EA9" w:rsidRPr="001E6DFD" w:rsidRDefault="00BA5EA9" w:rsidP="0097226C">
            <w:pPr>
              <w:jc w:val="center"/>
              <w:rPr>
                <w:sz w:val="16"/>
                <w:szCs w:val="16"/>
              </w:rPr>
            </w:pPr>
            <w:r w:rsidRPr="001E6DFD">
              <w:rPr>
                <w:sz w:val="16"/>
                <w:szCs w:val="16"/>
              </w:rPr>
              <w:t>352</w:t>
            </w:r>
          </w:p>
        </w:tc>
        <w:tc>
          <w:tcPr>
            <w:tcW w:w="1165" w:type="dxa"/>
            <w:tcBorders>
              <w:top w:val="nil"/>
              <w:left w:val="nil"/>
              <w:bottom w:val="nil"/>
              <w:right w:val="nil"/>
            </w:tcBorders>
            <w:shd w:val="clear" w:color="auto" w:fill="auto"/>
            <w:noWrap/>
            <w:vAlign w:val="center"/>
            <w:hideMark/>
          </w:tcPr>
          <w:p w14:paraId="339D48DC" w14:textId="77777777" w:rsidR="00BA5EA9" w:rsidRPr="001E6DFD" w:rsidRDefault="00BA5EA9" w:rsidP="0097226C">
            <w:pPr>
              <w:jc w:val="center"/>
              <w:rPr>
                <w:sz w:val="16"/>
                <w:szCs w:val="16"/>
              </w:rPr>
            </w:pPr>
            <w:r w:rsidRPr="001E6DFD">
              <w:rPr>
                <w:sz w:val="16"/>
                <w:szCs w:val="16"/>
              </w:rPr>
              <w:t>152</w:t>
            </w:r>
          </w:p>
        </w:tc>
      </w:tr>
      <w:tr w:rsidR="00BA5EA9" w:rsidRPr="001E6DFD" w14:paraId="49530B74" w14:textId="77777777" w:rsidTr="0097226C">
        <w:trPr>
          <w:jc w:val="center"/>
        </w:trPr>
        <w:tc>
          <w:tcPr>
            <w:tcW w:w="541" w:type="dxa"/>
            <w:tcBorders>
              <w:top w:val="nil"/>
              <w:left w:val="nil"/>
              <w:bottom w:val="nil"/>
              <w:right w:val="nil"/>
            </w:tcBorders>
            <w:shd w:val="clear" w:color="auto" w:fill="auto"/>
            <w:noWrap/>
            <w:vAlign w:val="center"/>
            <w:hideMark/>
          </w:tcPr>
          <w:p w14:paraId="23412D9C" w14:textId="77777777" w:rsidR="00BA5EA9" w:rsidRPr="001E6DFD" w:rsidRDefault="00BA5EA9" w:rsidP="0097226C">
            <w:pPr>
              <w:rPr>
                <w:sz w:val="16"/>
                <w:szCs w:val="16"/>
              </w:rPr>
            </w:pPr>
            <w:r w:rsidRPr="001E6DFD">
              <w:rPr>
                <w:sz w:val="16"/>
                <w:szCs w:val="16"/>
              </w:rPr>
              <w:t>II.10</w:t>
            </w:r>
          </w:p>
        </w:tc>
        <w:tc>
          <w:tcPr>
            <w:tcW w:w="4238" w:type="dxa"/>
            <w:tcBorders>
              <w:top w:val="nil"/>
              <w:left w:val="nil"/>
              <w:bottom w:val="nil"/>
              <w:right w:val="nil"/>
            </w:tcBorders>
            <w:shd w:val="clear" w:color="auto" w:fill="auto"/>
            <w:vAlign w:val="center"/>
            <w:hideMark/>
          </w:tcPr>
          <w:p w14:paraId="167F87E6" w14:textId="5421EB22" w:rsidR="00BA5EA9" w:rsidRPr="001E6DFD" w:rsidRDefault="00C10A48" w:rsidP="0097226C">
            <w:pPr>
              <w:rPr>
                <w:sz w:val="16"/>
                <w:szCs w:val="16"/>
              </w:rPr>
            </w:pPr>
            <w:r w:rsidRPr="001E6DFD">
              <w:rPr>
                <w:sz w:val="16"/>
                <w:szCs w:val="16"/>
              </w:rPr>
              <w:t>Utilisation élargie et plus efficace du système de Lisbonne, notamment par les pays en développement et</w:t>
            </w:r>
            <w:r w:rsidR="00FA22F6" w:rsidRPr="001E6DFD">
              <w:rPr>
                <w:sz w:val="16"/>
                <w:szCs w:val="16"/>
              </w:rPr>
              <w:t xml:space="preserve"> les PMA</w:t>
            </w:r>
          </w:p>
        </w:tc>
        <w:tc>
          <w:tcPr>
            <w:tcW w:w="1140" w:type="dxa"/>
            <w:tcBorders>
              <w:top w:val="nil"/>
              <w:left w:val="nil"/>
              <w:bottom w:val="nil"/>
              <w:right w:val="nil"/>
            </w:tcBorders>
            <w:shd w:val="clear" w:color="auto" w:fill="auto"/>
            <w:noWrap/>
            <w:vAlign w:val="center"/>
            <w:hideMark/>
          </w:tcPr>
          <w:p w14:paraId="358D4E4F" w14:textId="77777777" w:rsidR="00BA5EA9" w:rsidRPr="001E6DFD" w:rsidRDefault="00BA5EA9" w:rsidP="0097226C">
            <w:pPr>
              <w:jc w:val="center"/>
              <w:rPr>
                <w:sz w:val="16"/>
                <w:szCs w:val="16"/>
              </w:rPr>
            </w:pPr>
            <w:r w:rsidRPr="001E6DFD">
              <w:rPr>
                <w:sz w:val="16"/>
                <w:szCs w:val="16"/>
              </w:rPr>
              <w:t>111</w:t>
            </w:r>
          </w:p>
        </w:tc>
        <w:tc>
          <w:tcPr>
            <w:tcW w:w="1138" w:type="dxa"/>
            <w:tcBorders>
              <w:top w:val="nil"/>
              <w:left w:val="nil"/>
              <w:bottom w:val="nil"/>
              <w:right w:val="nil"/>
            </w:tcBorders>
            <w:shd w:val="clear" w:color="auto" w:fill="auto"/>
            <w:noWrap/>
            <w:vAlign w:val="center"/>
            <w:hideMark/>
          </w:tcPr>
          <w:p w14:paraId="0901F8AE" w14:textId="77777777" w:rsidR="00BA5EA9" w:rsidRPr="001E6DFD" w:rsidRDefault="00BA5EA9" w:rsidP="0097226C">
            <w:pPr>
              <w:jc w:val="center"/>
              <w:rPr>
                <w:sz w:val="16"/>
                <w:szCs w:val="16"/>
              </w:rPr>
            </w:pPr>
            <w:r w:rsidRPr="001E6DFD">
              <w:rPr>
                <w:sz w:val="16"/>
                <w:szCs w:val="16"/>
              </w:rPr>
              <w:t>128</w:t>
            </w:r>
          </w:p>
        </w:tc>
        <w:tc>
          <w:tcPr>
            <w:tcW w:w="1165" w:type="dxa"/>
            <w:tcBorders>
              <w:top w:val="nil"/>
              <w:left w:val="nil"/>
              <w:bottom w:val="nil"/>
              <w:right w:val="nil"/>
            </w:tcBorders>
            <w:shd w:val="clear" w:color="auto" w:fill="auto"/>
            <w:noWrap/>
            <w:vAlign w:val="center"/>
            <w:hideMark/>
          </w:tcPr>
          <w:p w14:paraId="2BADE5BB" w14:textId="77777777" w:rsidR="00BA5EA9" w:rsidRPr="001E6DFD" w:rsidRDefault="00BA5EA9" w:rsidP="0097226C">
            <w:pPr>
              <w:jc w:val="center"/>
              <w:rPr>
                <w:sz w:val="16"/>
                <w:szCs w:val="16"/>
              </w:rPr>
            </w:pPr>
            <w:r w:rsidRPr="001E6DFD">
              <w:rPr>
                <w:sz w:val="16"/>
                <w:szCs w:val="16"/>
              </w:rPr>
              <w:t>66</w:t>
            </w:r>
          </w:p>
        </w:tc>
      </w:tr>
      <w:tr w:rsidR="00BA5EA9" w:rsidRPr="001E6DFD" w14:paraId="2EAD409E" w14:textId="77777777" w:rsidTr="0097226C">
        <w:trPr>
          <w:jc w:val="center"/>
        </w:trPr>
        <w:tc>
          <w:tcPr>
            <w:tcW w:w="541" w:type="dxa"/>
            <w:tcBorders>
              <w:top w:val="nil"/>
              <w:left w:val="nil"/>
              <w:bottom w:val="nil"/>
              <w:right w:val="nil"/>
            </w:tcBorders>
            <w:shd w:val="clear" w:color="auto" w:fill="auto"/>
            <w:noWrap/>
            <w:vAlign w:val="center"/>
            <w:hideMark/>
          </w:tcPr>
          <w:p w14:paraId="11EB36C9" w14:textId="77777777" w:rsidR="00BA5EA9" w:rsidRPr="001E6DFD" w:rsidRDefault="00BA5EA9" w:rsidP="0097226C">
            <w:pPr>
              <w:rPr>
                <w:sz w:val="16"/>
                <w:szCs w:val="16"/>
              </w:rPr>
            </w:pPr>
            <w:r w:rsidRPr="001E6DFD">
              <w:rPr>
                <w:sz w:val="16"/>
                <w:szCs w:val="16"/>
              </w:rPr>
              <w:t>III.1</w:t>
            </w:r>
          </w:p>
        </w:tc>
        <w:tc>
          <w:tcPr>
            <w:tcW w:w="4238" w:type="dxa"/>
            <w:tcBorders>
              <w:top w:val="nil"/>
              <w:left w:val="nil"/>
              <w:bottom w:val="nil"/>
              <w:right w:val="nil"/>
            </w:tcBorders>
            <w:shd w:val="clear" w:color="auto" w:fill="auto"/>
            <w:vAlign w:val="center"/>
            <w:hideMark/>
          </w:tcPr>
          <w:p w14:paraId="07A1881A" w14:textId="0339074B" w:rsidR="00BA5EA9" w:rsidRPr="001E6DFD" w:rsidRDefault="00C10A48" w:rsidP="0097226C">
            <w:pPr>
              <w:rPr>
                <w:sz w:val="16"/>
                <w:szCs w:val="16"/>
              </w:rPr>
            </w:pPr>
            <w:r w:rsidRPr="001E6DFD">
              <w:rPr>
                <w:sz w:val="16"/>
                <w:szCs w:val="16"/>
              </w:rPr>
              <w:t>Stratégies et plans nationaux en matière d</w:t>
            </w:r>
            <w:r w:rsidR="00FA22F6" w:rsidRPr="001E6DFD">
              <w:rPr>
                <w:sz w:val="16"/>
                <w:szCs w:val="16"/>
              </w:rPr>
              <w:t>’</w:t>
            </w:r>
            <w:r w:rsidRPr="001E6DFD">
              <w:rPr>
                <w:sz w:val="16"/>
                <w:szCs w:val="16"/>
              </w:rPr>
              <w:t>innovation et de propriété intellectuelle conformes aux objectifs de développement national</w:t>
            </w:r>
          </w:p>
        </w:tc>
        <w:tc>
          <w:tcPr>
            <w:tcW w:w="1140" w:type="dxa"/>
            <w:tcBorders>
              <w:top w:val="nil"/>
              <w:left w:val="nil"/>
              <w:bottom w:val="nil"/>
              <w:right w:val="nil"/>
            </w:tcBorders>
            <w:shd w:val="clear" w:color="auto" w:fill="auto"/>
            <w:noWrap/>
            <w:vAlign w:val="center"/>
            <w:hideMark/>
          </w:tcPr>
          <w:p w14:paraId="5AEF0112" w14:textId="77777777" w:rsidR="00BA5EA9" w:rsidRPr="001E6DFD" w:rsidRDefault="00282CF5" w:rsidP="0097226C">
            <w:pPr>
              <w:jc w:val="center"/>
              <w:rPr>
                <w:sz w:val="16"/>
                <w:szCs w:val="16"/>
              </w:rPr>
            </w:pPr>
            <w:r w:rsidRPr="001E6DFD">
              <w:rPr>
                <w:sz w:val="16"/>
                <w:szCs w:val="16"/>
              </w:rPr>
              <w:t>1 497</w:t>
            </w:r>
          </w:p>
        </w:tc>
        <w:tc>
          <w:tcPr>
            <w:tcW w:w="1138" w:type="dxa"/>
            <w:tcBorders>
              <w:top w:val="nil"/>
              <w:left w:val="nil"/>
              <w:bottom w:val="nil"/>
              <w:right w:val="nil"/>
            </w:tcBorders>
            <w:shd w:val="clear" w:color="auto" w:fill="auto"/>
            <w:noWrap/>
            <w:vAlign w:val="center"/>
            <w:hideMark/>
          </w:tcPr>
          <w:p w14:paraId="1E08EF26" w14:textId="77777777" w:rsidR="00BA5EA9" w:rsidRPr="001E6DFD" w:rsidRDefault="00282CF5" w:rsidP="0097226C">
            <w:pPr>
              <w:jc w:val="center"/>
              <w:rPr>
                <w:sz w:val="16"/>
                <w:szCs w:val="16"/>
              </w:rPr>
            </w:pPr>
            <w:r w:rsidRPr="001E6DFD">
              <w:rPr>
                <w:sz w:val="16"/>
                <w:szCs w:val="16"/>
              </w:rPr>
              <w:t>1 791</w:t>
            </w:r>
          </w:p>
        </w:tc>
        <w:tc>
          <w:tcPr>
            <w:tcW w:w="1165" w:type="dxa"/>
            <w:tcBorders>
              <w:top w:val="nil"/>
              <w:left w:val="nil"/>
              <w:bottom w:val="nil"/>
              <w:right w:val="nil"/>
            </w:tcBorders>
            <w:shd w:val="clear" w:color="auto" w:fill="auto"/>
            <w:noWrap/>
            <w:vAlign w:val="center"/>
            <w:hideMark/>
          </w:tcPr>
          <w:p w14:paraId="57CB55F3" w14:textId="77777777" w:rsidR="00BA5EA9" w:rsidRPr="001E6DFD" w:rsidRDefault="00BA5EA9" w:rsidP="0097226C">
            <w:pPr>
              <w:jc w:val="center"/>
              <w:rPr>
                <w:sz w:val="16"/>
                <w:szCs w:val="16"/>
              </w:rPr>
            </w:pPr>
            <w:r w:rsidRPr="001E6DFD">
              <w:rPr>
                <w:sz w:val="16"/>
                <w:szCs w:val="16"/>
              </w:rPr>
              <w:t>777</w:t>
            </w:r>
          </w:p>
        </w:tc>
      </w:tr>
      <w:tr w:rsidR="00BA5EA9" w:rsidRPr="001E6DFD" w14:paraId="0C3980DD" w14:textId="77777777" w:rsidTr="0097226C">
        <w:trPr>
          <w:jc w:val="center"/>
        </w:trPr>
        <w:tc>
          <w:tcPr>
            <w:tcW w:w="541" w:type="dxa"/>
            <w:tcBorders>
              <w:top w:val="nil"/>
              <w:left w:val="nil"/>
              <w:bottom w:val="nil"/>
              <w:right w:val="nil"/>
            </w:tcBorders>
            <w:shd w:val="clear" w:color="auto" w:fill="auto"/>
            <w:noWrap/>
            <w:vAlign w:val="center"/>
            <w:hideMark/>
          </w:tcPr>
          <w:p w14:paraId="4794B21C" w14:textId="77777777" w:rsidR="00BA5EA9" w:rsidRPr="001E6DFD" w:rsidRDefault="00BA5EA9" w:rsidP="0097226C">
            <w:pPr>
              <w:rPr>
                <w:sz w:val="16"/>
                <w:szCs w:val="16"/>
              </w:rPr>
            </w:pPr>
            <w:r w:rsidRPr="001E6DFD">
              <w:rPr>
                <w:sz w:val="16"/>
                <w:szCs w:val="16"/>
              </w:rPr>
              <w:t>III.2</w:t>
            </w:r>
          </w:p>
        </w:tc>
        <w:tc>
          <w:tcPr>
            <w:tcW w:w="4238" w:type="dxa"/>
            <w:tcBorders>
              <w:top w:val="nil"/>
              <w:left w:val="nil"/>
              <w:bottom w:val="nil"/>
              <w:right w:val="nil"/>
            </w:tcBorders>
            <w:shd w:val="clear" w:color="auto" w:fill="auto"/>
            <w:vAlign w:val="center"/>
            <w:hideMark/>
          </w:tcPr>
          <w:p w14:paraId="2E81A54E" w14:textId="72068D02" w:rsidR="00BA5EA9" w:rsidRPr="001E6DFD" w:rsidRDefault="00C10A48" w:rsidP="0097226C">
            <w:pPr>
              <w:rPr>
                <w:sz w:val="16"/>
                <w:szCs w:val="16"/>
              </w:rPr>
            </w:pPr>
            <w:r w:rsidRPr="001E6DFD">
              <w:rPr>
                <w:sz w:val="16"/>
                <w:szCs w:val="16"/>
              </w:rPr>
              <w:t>Renforcement des capacités en matière de ressources humaines pour pouvoir répondre aux nombreuses exigences en ce qui concerne l</w:t>
            </w:r>
            <w:r w:rsidR="00FA22F6" w:rsidRPr="001E6DFD">
              <w:rPr>
                <w:sz w:val="16"/>
                <w:szCs w:val="16"/>
              </w:rPr>
              <w:t>’</w:t>
            </w:r>
            <w:r w:rsidRPr="001E6DFD">
              <w:rPr>
                <w:sz w:val="16"/>
                <w:szCs w:val="16"/>
              </w:rPr>
              <w:t>utilisation efficace de la propriété intellectuelle au service du développement dans les pays en développement,</w:t>
            </w:r>
            <w:r w:rsidR="00FA22F6" w:rsidRPr="001E6DFD">
              <w:rPr>
                <w:sz w:val="16"/>
                <w:szCs w:val="16"/>
              </w:rPr>
              <w:t xml:space="preserve"> les PMA</w:t>
            </w:r>
            <w:r w:rsidRPr="001E6DFD">
              <w:rPr>
                <w:sz w:val="16"/>
                <w:szCs w:val="16"/>
              </w:rPr>
              <w:t xml:space="preserve"> et les pays en transition</w:t>
            </w:r>
          </w:p>
        </w:tc>
        <w:tc>
          <w:tcPr>
            <w:tcW w:w="1140" w:type="dxa"/>
            <w:tcBorders>
              <w:top w:val="nil"/>
              <w:left w:val="nil"/>
              <w:bottom w:val="nil"/>
              <w:right w:val="nil"/>
            </w:tcBorders>
            <w:shd w:val="clear" w:color="auto" w:fill="auto"/>
            <w:noWrap/>
            <w:vAlign w:val="center"/>
            <w:hideMark/>
          </w:tcPr>
          <w:p w14:paraId="3EAF5F9A" w14:textId="77777777" w:rsidR="00BA5EA9" w:rsidRPr="001E6DFD" w:rsidRDefault="00282CF5" w:rsidP="0097226C">
            <w:pPr>
              <w:jc w:val="center"/>
              <w:rPr>
                <w:sz w:val="16"/>
                <w:szCs w:val="16"/>
              </w:rPr>
            </w:pPr>
            <w:r w:rsidRPr="001E6DFD">
              <w:rPr>
                <w:sz w:val="16"/>
                <w:szCs w:val="16"/>
              </w:rPr>
              <w:t>1 999</w:t>
            </w:r>
          </w:p>
        </w:tc>
        <w:tc>
          <w:tcPr>
            <w:tcW w:w="1138" w:type="dxa"/>
            <w:tcBorders>
              <w:top w:val="nil"/>
              <w:left w:val="nil"/>
              <w:bottom w:val="nil"/>
              <w:right w:val="nil"/>
            </w:tcBorders>
            <w:shd w:val="clear" w:color="auto" w:fill="auto"/>
            <w:noWrap/>
            <w:vAlign w:val="center"/>
            <w:hideMark/>
          </w:tcPr>
          <w:p w14:paraId="68F36E9C" w14:textId="77777777" w:rsidR="00BA5EA9" w:rsidRPr="001E6DFD" w:rsidRDefault="00282CF5" w:rsidP="0097226C">
            <w:pPr>
              <w:jc w:val="center"/>
              <w:rPr>
                <w:sz w:val="16"/>
                <w:szCs w:val="16"/>
              </w:rPr>
            </w:pPr>
            <w:r w:rsidRPr="001E6DFD">
              <w:rPr>
                <w:sz w:val="16"/>
                <w:szCs w:val="16"/>
              </w:rPr>
              <w:t>2 000</w:t>
            </w:r>
          </w:p>
        </w:tc>
        <w:tc>
          <w:tcPr>
            <w:tcW w:w="1165" w:type="dxa"/>
            <w:tcBorders>
              <w:top w:val="nil"/>
              <w:left w:val="nil"/>
              <w:bottom w:val="nil"/>
              <w:right w:val="nil"/>
            </w:tcBorders>
            <w:shd w:val="clear" w:color="auto" w:fill="auto"/>
            <w:noWrap/>
            <w:vAlign w:val="center"/>
            <w:hideMark/>
          </w:tcPr>
          <w:p w14:paraId="5DE74471" w14:textId="77777777" w:rsidR="00BA5EA9" w:rsidRPr="001E6DFD" w:rsidRDefault="00BA5EA9" w:rsidP="0097226C">
            <w:pPr>
              <w:jc w:val="center"/>
              <w:rPr>
                <w:sz w:val="16"/>
                <w:szCs w:val="16"/>
              </w:rPr>
            </w:pPr>
            <w:r w:rsidRPr="001E6DFD">
              <w:rPr>
                <w:sz w:val="16"/>
                <w:szCs w:val="16"/>
              </w:rPr>
              <w:t>871</w:t>
            </w:r>
          </w:p>
        </w:tc>
      </w:tr>
      <w:tr w:rsidR="00BA5EA9" w:rsidRPr="001E6DFD" w14:paraId="20A942B3" w14:textId="77777777" w:rsidTr="0097226C">
        <w:trPr>
          <w:jc w:val="center"/>
        </w:trPr>
        <w:tc>
          <w:tcPr>
            <w:tcW w:w="541" w:type="dxa"/>
            <w:tcBorders>
              <w:top w:val="nil"/>
              <w:left w:val="nil"/>
              <w:bottom w:val="nil"/>
              <w:right w:val="nil"/>
            </w:tcBorders>
            <w:shd w:val="clear" w:color="auto" w:fill="auto"/>
            <w:noWrap/>
            <w:vAlign w:val="center"/>
            <w:hideMark/>
          </w:tcPr>
          <w:p w14:paraId="151161A6" w14:textId="77777777" w:rsidR="00BA5EA9" w:rsidRPr="001E6DFD" w:rsidRDefault="00BA5EA9" w:rsidP="0097226C">
            <w:pPr>
              <w:rPr>
                <w:sz w:val="16"/>
                <w:szCs w:val="16"/>
              </w:rPr>
            </w:pPr>
            <w:r w:rsidRPr="001E6DFD">
              <w:rPr>
                <w:sz w:val="16"/>
                <w:szCs w:val="16"/>
              </w:rPr>
              <w:t>III.4</w:t>
            </w:r>
          </w:p>
        </w:tc>
        <w:tc>
          <w:tcPr>
            <w:tcW w:w="4238" w:type="dxa"/>
            <w:tcBorders>
              <w:top w:val="nil"/>
              <w:left w:val="nil"/>
              <w:bottom w:val="nil"/>
              <w:right w:val="nil"/>
            </w:tcBorders>
            <w:shd w:val="clear" w:color="auto" w:fill="auto"/>
            <w:vAlign w:val="center"/>
            <w:hideMark/>
          </w:tcPr>
          <w:p w14:paraId="56DBDC18" w14:textId="54A1BE9B" w:rsidR="00BA5EA9" w:rsidRPr="001E6DFD" w:rsidRDefault="00C10A48" w:rsidP="0097226C">
            <w:pPr>
              <w:rPr>
                <w:sz w:val="16"/>
                <w:szCs w:val="16"/>
              </w:rPr>
            </w:pPr>
            <w:r w:rsidRPr="001E6DFD">
              <w:rPr>
                <w:sz w:val="16"/>
                <w:szCs w:val="16"/>
              </w:rPr>
              <w:t>Mécanismes et programmes de coopération renforcés, adaptés aux besoins des pays en développement et</w:t>
            </w:r>
            <w:r w:rsidR="00FA22F6" w:rsidRPr="001E6DFD">
              <w:rPr>
                <w:sz w:val="16"/>
                <w:szCs w:val="16"/>
              </w:rPr>
              <w:t xml:space="preserve"> des PMA</w:t>
            </w:r>
          </w:p>
        </w:tc>
        <w:tc>
          <w:tcPr>
            <w:tcW w:w="1140" w:type="dxa"/>
            <w:tcBorders>
              <w:top w:val="nil"/>
              <w:left w:val="nil"/>
              <w:bottom w:val="nil"/>
              <w:right w:val="nil"/>
            </w:tcBorders>
            <w:shd w:val="clear" w:color="auto" w:fill="auto"/>
            <w:noWrap/>
            <w:vAlign w:val="center"/>
            <w:hideMark/>
          </w:tcPr>
          <w:p w14:paraId="4B9766CD" w14:textId="77777777" w:rsidR="00BA5EA9" w:rsidRPr="001E6DFD" w:rsidRDefault="00BA5EA9" w:rsidP="0097226C">
            <w:pPr>
              <w:jc w:val="center"/>
              <w:rPr>
                <w:sz w:val="16"/>
                <w:szCs w:val="16"/>
              </w:rPr>
            </w:pPr>
            <w:r w:rsidRPr="001E6DFD">
              <w:rPr>
                <w:sz w:val="16"/>
                <w:szCs w:val="16"/>
              </w:rPr>
              <w:t>890</w:t>
            </w:r>
          </w:p>
        </w:tc>
        <w:tc>
          <w:tcPr>
            <w:tcW w:w="1138" w:type="dxa"/>
            <w:tcBorders>
              <w:top w:val="nil"/>
              <w:left w:val="nil"/>
              <w:bottom w:val="nil"/>
              <w:right w:val="nil"/>
            </w:tcBorders>
            <w:shd w:val="clear" w:color="auto" w:fill="auto"/>
            <w:noWrap/>
            <w:vAlign w:val="center"/>
            <w:hideMark/>
          </w:tcPr>
          <w:p w14:paraId="0A4F9766" w14:textId="77777777" w:rsidR="00BA5EA9" w:rsidRPr="001E6DFD" w:rsidRDefault="00BA5EA9" w:rsidP="0097226C">
            <w:pPr>
              <w:jc w:val="center"/>
              <w:rPr>
                <w:sz w:val="16"/>
                <w:szCs w:val="16"/>
              </w:rPr>
            </w:pPr>
            <w:r w:rsidRPr="001E6DFD">
              <w:rPr>
                <w:sz w:val="16"/>
                <w:szCs w:val="16"/>
              </w:rPr>
              <w:t>911</w:t>
            </w:r>
          </w:p>
        </w:tc>
        <w:tc>
          <w:tcPr>
            <w:tcW w:w="1165" w:type="dxa"/>
            <w:tcBorders>
              <w:top w:val="nil"/>
              <w:left w:val="nil"/>
              <w:bottom w:val="nil"/>
              <w:right w:val="nil"/>
            </w:tcBorders>
            <w:shd w:val="clear" w:color="auto" w:fill="auto"/>
            <w:noWrap/>
            <w:vAlign w:val="center"/>
            <w:hideMark/>
          </w:tcPr>
          <w:p w14:paraId="2A6FDE20" w14:textId="77777777" w:rsidR="00BA5EA9" w:rsidRPr="001E6DFD" w:rsidRDefault="00BA5EA9" w:rsidP="0097226C">
            <w:pPr>
              <w:jc w:val="center"/>
              <w:rPr>
                <w:sz w:val="16"/>
                <w:szCs w:val="16"/>
              </w:rPr>
            </w:pPr>
            <w:r w:rsidRPr="001E6DFD">
              <w:rPr>
                <w:sz w:val="16"/>
                <w:szCs w:val="16"/>
              </w:rPr>
              <w:t>397</w:t>
            </w:r>
          </w:p>
        </w:tc>
      </w:tr>
      <w:tr w:rsidR="00BA5EA9" w:rsidRPr="001E6DFD" w14:paraId="3203504C" w14:textId="77777777" w:rsidTr="0097226C">
        <w:trPr>
          <w:jc w:val="center"/>
        </w:trPr>
        <w:tc>
          <w:tcPr>
            <w:tcW w:w="541" w:type="dxa"/>
            <w:tcBorders>
              <w:top w:val="nil"/>
              <w:left w:val="nil"/>
              <w:bottom w:val="nil"/>
              <w:right w:val="nil"/>
            </w:tcBorders>
            <w:shd w:val="clear" w:color="000000" w:fill="C5D9F1"/>
            <w:noWrap/>
            <w:vAlign w:val="bottom"/>
            <w:hideMark/>
          </w:tcPr>
          <w:p w14:paraId="18709509" w14:textId="77777777" w:rsidR="00BA5EA9" w:rsidRPr="001E6DFD" w:rsidRDefault="00BA5EA9" w:rsidP="0097226C">
            <w:pPr>
              <w:rPr>
                <w:sz w:val="16"/>
                <w:szCs w:val="16"/>
              </w:rPr>
            </w:pPr>
            <w:r w:rsidRPr="001E6DFD">
              <w:rPr>
                <w:sz w:val="16"/>
                <w:szCs w:val="16"/>
              </w:rPr>
              <w:t> </w:t>
            </w:r>
          </w:p>
        </w:tc>
        <w:tc>
          <w:tcPr>
            <w:tcW w:w="4238" w:type="dxa"/>
            <w:tcBorders>
              <w:top w:val="nil"/>
              <w:left w:val="nil"/>
              <w:bottom w:val="nil"/>
              <w:right w:val="nil"/>
            </w:tcBorders>
            <w:shd w:val="clear" w:color="000000" w:fill="C5D9F1"/>
            <w:noWrap/>
            <w:vAlign w:val="bottom"/>
            <w:hideMark/>
          </w:tcPr>
          <w:p w14:paraId="3212431A" w14:textId="77777777" w:rsidR="00BA5EA9" w:rsidRPr="001E6DFD" w:rsidRDefault="00C8218F" w:rsidP="0097226C">
            <w:pPr>
              <w:jc w:val="right"/>
              <w:rPr>
                <w:b/>
                <w:bCs/>
                <w:sz w:val="16"/>
                <w:szCs w:val="16"/>
              </w:rPr>
            </w:pPr>
            <w:r w:rsidRPr="001E6DFD">
              <w:rPr>
                <w:b/>
                <w:bCs/>
                <w:sz w:val="16"/>
                <w:szCs w:val="16"/>
              </w:rPr>
              <w:t>Total</w:t>
            </w:r>
          </w:p>
        </w:tc>
        <w:tc>
          <w:tcPr>
            <w:tcW w:w="1140" w:type="dxa"/>
            <w:tcBorders>
              <w:top w:val="nil"/>
              <w:left w:val="nil"/>
              <w:bottom w:val="nil"/>
              <w:right w:val="nil"/>
            </w:tcBorders>
            <w:shd w:val="clear" w:color="000000" w:fill="C5D9F1"/>
            <w:noWrap/>
            <w:vAlign w:val="center"/>
            <w:hideMark/>
          </w:tcPr>
          <w:p w14:paraId="01A50534" w14:textId="77777777" w:rsidR="00BA5EA9" w:rsidRPr="001E6DFD" w:rsidRDefault="00282CF5" w:rsidP="0097226C">
            <w:pPr>
              <w:jc w:val="center"/>
              <w:rPr>
                <w:sz w:val="16"/>
                <w:szCs w:val="16"/>
              </w:rPr>
            </w:pPr>
            <w:r w:rsidRPr="001E6DFD">
              <w:rPr>
                <w:sz w:val="16"/>
                <w:szCs w:val="16"/>
              </w:rPr>
              <w:t>7 919</w:t>
            </w:r>
          </w:p>
        </w:tc>
        <w:tc>
          <w:tcPr>
            <w:tcW w:w="1138" w:type="dxa"/>
            <w:tcBorders>
              <w:top w:val="nil"/>
              <w:left w:val="nil"/>
              <w:bottom w:val="nil"/>
              <w:right w:val="nil"/>
            </w:tcBorders>
            <w:shd w:val="clear" w:color="000000" w:fill="C5D9F1"/>
            <w:noWrap/>
            <w:vAlign w:val="center"/>
            <w:hideMark/>
          </w:tcPr>
          <w:p w14:paraId="32C55DAE" w14:textId="77777777" w:rsidR="00BA5EA9" w:rsidRPr="001E6DFD" w:rsidRDefault="00282CF5" w:rsidP="0097226C">
            <w:pPr>
              <w:jc w:val="center"/>
              <w:rPr>
                <w:sz w:val="16"/>
                <w:szCs w:val="16"/>
              </w:rPr>
            </w:pPr>
            <w:r w:rsidRPr="001E6DFD">
              <w:rPr>
                <w:sz w:val="16"/>
                <w:szCs w:val="16"/>
              </w:rPr>
              <w:t>8 313</w:t>
            </w:r>
          </w:p>
        </w:tc>
        <w:tc>
          <w:tcPr>
            <w:tcW w:w="1165" w:type="dxa"/>
            <w:tcBorders>
              <w:top w:val="nil"/>
              <w:left w:val="nil"/>
              <w:bottom w:val="nil"/>
              <w:right w:val="nil"/>
            </w:tcBorders>
            <w:shd w:val="clear" w:color="000000" w:fill="C5D9F1"/>
            <w:noWrap/>
            <w:vAlign w:val="center"/>
            <w:hideMark/>
          </w:tcPr>
          <w:p w14:paraId="58A7A21E" w14:textId="77777777" w:rsidR="00BA5EA9" w:rsidRPr="001E6DFD" w:rsidRDefault="00282CF5" w:rsidP="0097226C">
            <w:pPr>
              <w:jc w:val="center"/>
              <w:rPr>
                <w:sz w:val="16"/>
                <w:szCs w:val="16"/>
              </w:rPr>
            </w:pPr>
            <w:r w:rsidRPr="001E6DFD">
              <w:rPr>
                <w:sz w:val="16"/>
                <w:szCs w:val="16"/>
              </w:rPr>
              <w:t>3 690</w:t>
            </w:r>
          </w:p>
        </w:tc>
      </w:tr>
      <w:tr w:rsidR="007703CF" w:rsidRPr="001E6DFD" w14:paraId="7250AA32" w14:textId="77777777" w:rsidTr="0097226C">
        <w:trPr>
          <w:jc w:val="center"/>
        </w:trPr>
        <w:tc>
          <w:tcPr>
            <w:tcW w:w="8222" w:type="dxa"/>
            <w:gridSpan w:val="5"/>
            <w:tcBorders>
              <w:top w:val="nil"/>
              <w:left w:val="nil"/>
              <w:bottom w:val="nil"/>
              <w:right w:val="nil"/>
            </w:tcBorders>
            <w:shd w:val="clear" w:color="auto" w:fill="auto"/>
            <w:noWrap/>
            <w:vAlign w:val="center"/>
            <w:hideMark/>
          </w:tcPr>
          <w:p w14:paraId="442C4B47" w14:textId="47174893" w:rsidR="007703CF" w:rsidRPr="001E6DFD" w:rsidRDefault="007703CF"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1B9E4457" w14:textId="77777777" w:rsidR="00271523" w:rsidRPr="001E6DFD" w:rsidRDefault="00271523" w:rsidP="0097226C">
      <w:pPr>
        <w:pStyle w:val="NormalWeb"/>
        <w:keepNext/>
        <w:keepLines/>
        <w:spacing w:before="0" w:beforeAutospacing="0" w:after="0" w:afterAutospacing="0"/>
        <w:jc w:val="center"/>
      </w:pPr>
    </w:p>
    <w:p w14:paraId="199602CD" w14:textId="77777777" w:rsidR="001F64B1" w:rsidRPr="001E6DFD" w:rsidRDefault="001F64B1" w:rsidP="0097226C">
      <w:pPr>
        <w:rPr>
          <w:sz w:val="20"/>
        </w:rPr>
      </w:pPr>
    </w:p>
    <w:p w14:paraId="2AF63516" w14:textId="77777777" w:rsidR="001F64B1" w:rsidRPr="001E6DFD" w:rsidRDefault="001F64B1" w:rsidP="0097226C">
      <w:pPr>
        <w:rPr>
          <w:sz w:val="20"/>
        </w:rPr>
      </w:pPr>
    </w:p>
    <w:p w14:paraId="425F52D3" w14:textId="5EA95291" w:rsidR="001F64B1" w:rsidRPr="00BD157F" w:rsidRDefault="00BA5EA9" w:rsidP="0097226C">
      <w:pPr>
        <w:jc w:val="both"/>
        <w:rPr>
          <w:sz w:val="20"/>
          <w:u w:val="single"/>
        </w:rPr>
      </w:pPr>
      <w:r w:rsidRPr="00BD157F">
        <w:rPr>
          <w:sz w:val="20"/>
        </w:rPr>
        <w:t>A.</w:t>
      </w:r>
      <w:r w:rsidRPr="00BD157F">
        <w:rPr>
          <w:sz w:val="20"/>
        </w:rPr>
        <w:tab/>
      </w:r>
      <w:r w:rsidR="00F3341E" w:rsidRPr="00BD157F">
        <w:rPr>
          <w:sz w:val="20"/>
          <w:u w:val="single"/>
        </w:rPr>
        <w:t>Budget</w:t>
      </w:r>
      <w:r w:rsidR="00B4191E" w:rsidRPr="00BD157F">
        <w:rPr>
          <w:sz w:val="20"/>
          <w:u w:val="single"/>
        </w:rPr>
        <w:t> </w:t>
      </w:r>
      <w:r w:rsidR="00F3341E" w:rsidRPr="00BD157F">
        <w:rPr>
          <w:sz w:val="20"/>
          <w:u w:val="single"/>
        </w:rPr>
        <w:t>2016</w:t>
      </w:r>
      <w:r w:rsidR="006A41CF" w:rsidRPr="00BD157F">
        <w:rPr>
          <w:sz w:val="20"/>
          <w:u w:val="single"/>
        </w:rPr>
        <w:noBreakHyphen/>
      </w:r>
      <w:r w:rsidR="00F3341E" w:rsidRPr="00BD157F">
        <w:rPr>
          <w:sz w:val="20"/>
          <w:u w:val="single"/>
        </w:rPr>
        <w:t>2017 après virements</w:t>
      </w:r>
    </w:p>
    <w:p w14:paraId="5DF94D94" w14:textId="77777777" w:rsidR="001F64B1" w:rsidRPr="00BD157F" w:rsidRDefault="001F64B1" w:rsidP="0097226C">
      <w:pPr>
        <w:jc w:val="both"/>
        <w:rPr>
          <w:sz w:val="20"/>
        </w:rPr>
      </w:pPr>
    </w:p>
    <w:p w14:paraId="40221A4E" w14:textId="7E7ECFC0" w:rsidR="001F64B1" w:rsidRPr="00BD157F" w:rsidRDefault="000B7161" w:rsidP="00D544B8">
      <w:pPr>
        <w:pStyle w:val="ListParagraph"/>
        <w:numPr>
          <w:ilvl w:val="0"/>
          <w:numId w:val="11"/>
        </w:numPr>
        <w:tabs>
          <w:tab w:val="left" w:pos="0"/>
        </w:tabs>
        <w:ind w:left="0" w:firstLine="0"/>
        <w:jc w:val="both"/>
        <w:rPr>
          <w:rFonts w:ascii="Arial" w:hAnsi="Arial" w:cs="Arial"/>
          <w:sz w:val="20"/>
          <w:lang w:eastAsia="ko-KR"/>
        </w:rPr>
      </w:pPr>
      <w:r w:rsidRPr="00BD157F">
        <w:rPr>
          <w:rFonts w:ascii="Arial" w:hAnsi="Arial" w:cs="Arial"/>
          <w:sz w:val="20"/>
          <w:lang w:eastAsia="ko-KR"/>
        </w:rPr>
        <w:t>L</w:t>
      </w:r>
      <w:r w:rsidR="00021E86" w:rsidRPr="00BD157F">
        <w:rPr>
          <w:rFonts w:ascii="Arial" w:hAnsi="Arial" w:cs="Arial"/>
          <w:sz w:val="20"/>
          <w:lang w:eastAsia="ko-KR"/>
        </w:rPr>
        <w:t xml:space="preserve">a hausse </w:t>
      </w:r>
      <w:r w:rsidRPr="00BD157F">
        <w:rPr>
          <w:rFonts w:ascii="Arial" w:hAnsi="Arial" w:cs="Arial"/>
          <w:sz w:val="20"/>
          <w:lang w:eastAsia="ko-KR"/>
        </w:rPr>
        <w:t>globale du budget</w:t>
      </w:r>
      <w:r w:rsidR="00B4191E" w:rsidRPr="00BD157F">
        <w:rPr>
          <w:rFonts w:ascii="Arial" w:hAnsi="Arial" w:cs="Arial"/>
          <w:sz w:val="20"/>
          <w:lang w:eastAsia="ko-KR"/>
        </w:rPr>
        <w:t> </w:t>
      </w:r>
      <w:r w:rsidRPr="00BD157F">
        <w:rPr>
          <w:rFonts w:ascii="Arial" w:hAnsi="Arial" w:cs="Arial"/>
          <w:sz w:val="20"/>
          <w:lang w:eastAsia="ko-KR"/>
        </w:rPr>
        <w:t>2016</w:t>
      </w:r>
      <w:r w:rsidR="006A41CF" w:rsidRPr="00BD157F">
        <w:rPr>
          <w:rFonts w:ascii="Arial" w:hAnsi="Arial" w:cs="Arial"/>
          <w:sz w:val="20"/>
          <w:lang w:eastAsia="ko-KR"/>
        </w:rPr>
        <w:noBreakHyphen/>
      </w:r>
      <w:r w:rsidRPr="00BD157F">
        <w:rPr>
          <w:rFonts w:ascii="Arial" w:hAnsi="Arial" w:cs="Arial"/>
          <w:sz w:val="20"/>
          <w:lang w:eastAsia="ko-KR"/>
        </w:rPr>
        <w:t xml:space="preserve">2017 après </w:t>
      </w:r>
      <w:r w:rsidR="00FF3362" w:rsidRPr="00BD157F">
        <w:rPr>
          <w:rFonts w:ascii="Arial" w:hAnsi="Arial" w:cs="Arial"/>
          <w:sz w:val="20"/>
          <w:lang w:eastAsia="ko-KR"/>
        </w:rPr>
        <w:t>virements</w:t>
      </w:r>
      <w:r w:rsidR="00D66310" w:rsidRPr="00BD157F">
        <w:rPr>
          <w:rFonts w:ascii="Arial" w:hAnsi="Arial" w:cs="Arial"/>
          <w:sz w:val="20"/>
          <w:lang w:eastAsia="ko-KR"/>
        </w:rPr>
        <w:t xml:space="preserve"> </w:t>
      </w:r>
      <w:r w:rsidRPr="00BD157F">
        <w:rPr>
          <w:rFonts w:ascii="Arial" w:hAnsi="Arial" w:cs="Arial"/>
          <w:sz w:val="20"/>
          <w:lang w:eastAsia="ko-KR"/>
        </w:rPr>
        <w:t>par rapport au budget</w:t>
      </w:r>
      <w:r w:rsidR="00B4191E" w:rsidRPr="00BD157F">
        <w:rPr>
          <w:rFonts w:ascii="Arial" w:hAnsi="Arial" w:cs="Arial"/>
          <w:sz w:val="20"/>
          <w:lang w:eastAsia="ko-KR"/>
        </w:rPr>
        <w:t> </w:t>
      </w:r>
      <w:r w:rsidRPr="00BD157F">
        <w:rPr>
          <w:rFonts w:ascii="Arial" w:hAnsi="Arial" w:cs="Arial"/>
          <w:sz w:val="20"/>
          <w:lang w:eastAsia="ko-KR"/>
        </w:rPr>
        <w:t>2016</w:t>
      </w:r>
      <w:r w:rsidR="006A41CF" w:rsidRPr="00BD157F">
        <w:rPr>
          <w:rFonts w:ascii="Arial" w:hAnsi="Arial" w:cs="Arial"/>
          <w:sz w:val="20"/>
          <w:lang w:eastAsia="ko-KR"/>
        </w:rPr>
        <w:noBreakHyphen/>
      </w:r>
      <w:r w:rsidRPr="00BD157F">
        <w:rPr>
          <w:rFonts w:ascii="Arial" w:hAnsi="Arial" w:cs="Arial"/>
          <w:sz w:val="20"/>
          <w:lang w:eastAsia="ko-KR"/>
        </w:rPr>
        <w:t>2017 approuvé</w:t>
      </w:r>
      <w:r w:rsidR="00CB4928" w:rsidRPr="00BD157F">
        <w:rPr>
          <w:rFonts w:ascii="Arial" w:hAnsi="Arial" w:cs="Arial"/>
          <w:sz w:val="20"/>
          <w:lang w:eastAsia="ko-KR"/>
        </w:rPr>
        <w:t xml:space="preserve"> </w:t>
      </w:r>
      <w:r w:rsidR="00D66310" w:rsidRPr="00BD157F">
        <w:rPr>
          <w:rFonts w:ascii="Arial" w:hAnsi="Arial" w:cs="Arial"/>
          <w:sz w:val="20"/>
          <w:lang w:eastAsia="ko-KR"/>
        </w:rPr>
        <w:t xml:space="preserve">résultait </w:t>
      </w:r>
      <w:r w:rsidRPr="00BD157F">
        <w:rPr>
          <w:rFonts w:ascii="Arial" w:hAnsi="Arial" w:cs="Arial"/>
          <w:sz w:val="20"/>
          <w:lang w:eastAsia="ko-KR"/>
        </w:rPr>
        <w:t>d</w:t>
      </w:r>
      <w:r w:rsidR="00FA22F6" w:rsidRPr="00BD157F">
        <w:rPr>
          <w:rFonts w:ascii="Arial" w:hAnsi="Arial" w:cs="Arial"/>
          <w:sz w:val="20"/>
          <w:lang w:eastAsia="ko-KR"/>
        </w:rPr>
        <w:t>’</w:t>
      </w:r>
      <w:r w:rsidRPr="00BD157F">
        <w:rPr>
          <w:rFonts w:ascii="Arial" w:hAnsi="Arial" w:cs="Arial"/>
          <w:sz w:val="20"/>
          <w:lang w:eastAsia="ko-KR"/>
        </w:rPr>
        <w:t xml:space="preserve">une augmentation des ressources </w:t>
      </w:r>
      <w:r w:rsidR="00D66310" w:rsidRPr="00BD157F">
        <w:rPr>
          <w:rFonts w:ascii="Arial" w:hAnsi="Arial" w:cs="Arial"/>
          <w:sz w:val="20"/>
          <w:lang w:eastAsia="ko-KR"/>
        </w:rPr>
        <w:t>e</w:t>
      </w:r>
      <w:r w:rsidR="00381826" w:rsidRPr="00BD157F">
        <w:rPr>
          <w:rFonts w:ascii="Arial" w:hAnsi="Arial" w:cs="Arial"/>
          <w:sz w:val="20"/>
          <w:lang w:eastAsia="ko-KR"/>
        </w:rPr>
        <w:t>n</w:t>
      </w:r>
      <w:r w:rsidR="00D66310" w:rsidRPr="00BD157F">
        <w:rPr>
          <w:rFonts w:ascii="Arial" w:hAnsi="Arial" w:cs="Arial"/>
          <w:sz w:val="20"/>
          <w:lang w:eastAsia="ko-KR"/>
        </w:rPr>
        <w:t xml:space="preserve"> </w:t>
      </w:r>
      <w:r w:rsidRPr="00BD157F">
        <w:rPr>
          <w:rFonts w:ascii="Arial" w:hAnsi="Arial" w:cs="Arial"/>
          <w:sz w:val="20"/>
          <w:lang w:eastAsia="ko-KR"/>
        </w:rPr>
        <w:t>personnel en raison</w:t>
      </w:r>
      <w:r w:rsidR="00FA22F6" w:rsidRPr="00BD157F">
        <w:rPr>
          <w:rFonts w:ascii="Arial" w:hAnsi="Arial" w:cs="Arial"/>
          <w:sz w:val="20"/>
          <w:lang w:eastAsia="ko-KR"/>
        </w:rPr>
        <w:t> :</w:t>
      </w:r>
      <w:r w:rsidRPr="00BD157F">
        <w:rPr>
          <w:rFonts w:ascii="Arial" w:hAnsi="Arial" w:cs="Arial"/>
          <w:sz w:val="20"/>
          <w:lang w:eastAsia="ko-KR"/>
        </w:rPr>
        <w:t xml:space="preserve"> </w:t>
      </w:r>
      <w:r w:rsidR="000160BF" w:rsidRPr="00BD157F">
        <w:rPr>
          <w:rFonts w:ascii="Arial" w:hAnsi="Arial" w:cs="Arial"/>
          <w:sz w:val="20"/>
          <w:lang w:eastAsia="ko-KR"/>
        </w:rPr>
        <w:t>i)</w:t>
      </w:r>
      <w:r w:rsidR="004D421A" w:rsidRPr="00BD157F">
        <w:rPr>
          <w:rFonts w:ascii="Arial" w:hAnsi="Arial" w:cs="Arial"/>
          <w:sz w:val="20"/>
          <w:lang w:eastAsia="ko-KR"/>
        </w:rPr>
        <w:t> </w:t>
      </w:r>
      <w:r w:rsidR="000160BF" w:rsidRPr="00BD157F">
        <w:rPr>
          <w:rFonts w:ascii="Arial" w:hAnsi="Arial" w:cs="Arial"/>
          <w:sz w:val="20"/>
          <w:lang w:eastAsia="ko-KR"/>
        </w:rPr>
        <w:t>du reclassement</w:t>
      </w:r>
      <w:r w:rsidRPr="00BD157F">
        <w:rPr>
          <w:rFonts w:ascii="Arial" w:hAnsi="Arial" w:cs="Arial"/>
          <w:sz w:val="20"/>
          <w:lang w:eastAsia="ko-KR"/>
        </w:rPr>
        <w:t xml:space="preserve"> de deux</w:t>
      </w:r>
      <w:r w:rsidR="004D421A" w:rsidRPr="00BD157F">
        <w:rPr>
          <w:rFonts w:ascii="Arial" w:hAnsi="Arial" w:cs="Arial"/>
          <w:sz w:val="20"/>
          <w:lang w:eastAsia="ko-KR"/>
        </w:rPr>
        <w:t> </w:t>
      </w:r>
      <w:r w:rsidRPr="00BD157F">
        <w:rPr>
          <w:rFonts w:ascii="Arial" w:hAnsi="Arial" w:cs="Arial"/>
          <w:sz w:val="20"/>
          <w:lang w:eastAsia="ko-KR"/>
        </w:rPr>
        <w:t>postes;  ii)</w:t>
      </w:r>
      <w:r w:rsidR="004D421A" w:rsidRPr="00BD157F">
        <w:rPr>
          <w:rFonts w:ascii="Arial" w:hAnsi="Arial" w:cs="Arial"/>
          <w:sz w:val="20"/>
          <w:lang w:eastAsia="ko-KR"/>
        </w:rPr>
        <w:t> </w:t>
      </w:r>
      <w:r w:rsidR="00362405" w:rsidRPr="00BD157F">
        <w:rPr>
          <w:rFonts w:ascii="Arial" w:hAnsi="Arial" w:cs="Arial"/>
          <w:sz w:val="20"/>
          <w:lang w:eastAsia="ko-KR"/>
        </w:rPr>
        <w:t xml:space="preserve">de la </w:t>
      </w:r>
      <w:r w:rsidRPr="00BD157F">
        <w:rPr>
          <w:rFonts w:ascii="Arial" w:hAnsi="Arial" w:cs="Arial"/>
          <w:sz w:val="20"/>
          <w:lang w:eastAsia="ko-KR"/>
        </w:rPr>
        <w:t xml:space="preserve">régularisation </w:t>
      </w:r>
      <w:r w:rsidR="00362405" w:rsidRPr="00BD157F">
        <w:rPr>
          <w:rFonts w:ascii="Arial" w:hAnsi="Arial" w:cs="Arial"/>
          <w:sz w:val="20"/>
          <w:lang w:eastAsia="ko-KR"/>
        </w:rPr>
        <w:t>d</w:t>
      </w:r>
      <w:r w:rsidR="00FA22F6" w:rsidRPr="00BD157F">
        <w:rPr>
          <w:rFonts w:ascii="Arial" w:hAnsi="Arial" w:cs="Arial"/>
          <w:sz w:val="20"/>
          <w:lang w:eastAsia="ko-KR"/>
        </w:rPr>
        <w:t>’</w:t>
      </w:r>
      <w:r w:rsidR="00362405" w:rsidRPr="00BD157F">
        <w:rPr>
          <w:rFonts w:ascii="Arial" w:hAnsi="Arial" w:cs="Arial"/>
          <w:sz w:val="20"/>
          <w:lang w:eastAsia="ko-KR"/>
        </w:rPr>
        <w:t xml:space="preserve">une personne exerçant </w:t>
      </w:r>
      <w:r w:rsidRPr="00BD157F">
        <w:rPr>
          <w:rFonts w:ascii="Arial" w:hAnsi="Arial" w:cs="Arial"/>
          <w:sz w:val="20"/>
          <w:lang w:eastAsia="ko-KR"/>
        </w:rPr>
        <w:t xml:space="preserve">une fonction continue </w:t>
      </w:r>
      <w:r w:rsidR="00D66310" w:rsidRPr="00BD157F">
        <w:rPr>
          <w:rFonts w:ascii="Arial" w:hAnsi="Arial" w:cs="Arial"/>
          <w:sz w:val="20"/>
          <w:lang w:eastAsia="ko-KR"/>
        </w:rPr>
        <w:t xml:space="preserve">pour faciliter le bon déroulement des </w:t>
      </w:r>
      <w:r w:rsidRPr="00BD157F">
        <w:rPr>
          <w:rFonts w:ascii="Arial" w:hAnsi="Arial" w:cs="Arial"/>
          <w:sz w:val="20"/>
          <w:lang w:eastAsia="ko-KR"/>
        </w:rPr>
        <w:t xml:space="preserve">séminaires </w:t>
      </w:r>
      <w:r w:rsidR="00362405" w:rsidRPr="00BD157F">
        <w:rPr>
          <w:rFonts w:ascii="Arial" w:hAnsi="Arial" w:cs="Arial"/>
          <w:sz w:val="20"/>
          <w:lang w:eastAsia="ko-KR"/>
        </w:rPr>
        <w:t>itinérants</w:t>
      </w:r>
      <w:r w:rsidRPr="00BD157F">
        <w:rPr>
          <w:rFonts w:ascii="Arial" w:hAnsi="Arial" w:cs="Arial"/>
          <w:sz w:val="20"/>
          <w:lang w:eastAsia="ko-KR"/>
        </w:rPr>
        <w:t xml:space="preserve"> dans </w:t>
      </w:r>
      <w:r w:rsidR="00362405" w:rsidRPr="00BD157F">
        <w:rPr>
          <w:rFonts w:ascii="Arial" w:hAnsi="Arial" w:cs="Arial"/>
          <w:sz w:val="20"/>
          <w:lang w:eastAsia="ko-KR"/>
        </w:rPr>
        <w:t>les pays développés et les pays en transition</w:t>
      </w:r>
      <w:r w:rsidRPr="00BD157F">
        <w:rPr>
          <w:rFonts w:ascii="Arial" w:hAnsi="Arial" w:cs="Arial"/>
          <w:sz w:val="20"/>
          <w:lang w:eastAsia="ko-KR"/>
        </w:rPr>
        <w:t xml:space="preserve">; </w:t>
      </w:r>
      <w:r w:rsidR="00362405" w:rsidRPr="00BD157F">
        <w:rPr>
          <w:rFonts w:ascii="Arial" w:hAnsi="Arial" w:cs="Arial"/>
          <w:sz w:val="20"/>
          <w:lang w:eastAsia="ko-KR"/>
        </w:rPr>
        <w:t xml:space="preserve"> e</w:t>
      </w:r>
      <w:r w:rsidRPr="00BD157F">
        <w:rPr>
          <w:rFonts w:ascii="Arial" w:hAnsi="Arial" w:cs="Arial"/>
          <w:sz w:val="20"/>
          <w:lang w:eastAsia="ko-KR"/>
        </w:rPr>
        <w:t xml:space="preserve">t </w:t>
      </w:r>
      <w:r w:rsidR="000160BF" w:rsidRPr="00BD157F">
        <w:rPr>
          <w:rFonts w:ascii="Arial" w:hAnsi="Arial" w:cs="Arial"/>
          <w:sz w:val="20"/>
          <w:lang w:eastAsia="ko-KR"/>
        </w:rPr>
        <w:t>iii)</w:t>
      </w:r>
      <w:r w:rsidR="004D421A" w:rsidRPr="00BD157F">
        <w:rPr>
          <w:rFonts w:ascii="Arial" w:hAnsi="Arial" w:cs="Arial"/>
          <w:sz w:val="20"/>
          <w:lang w:eastAsia="ko-KR"/>
        </w:rPr>
        <w:t> </w:t>
      </w:r>
      <w:r w:rsidR="000160BF" w:rsidRPr="00BD157F">
        <w:rPr>
          <w:rFonts w:ascii="Arial" w:hAnsi="Arial" w:cs="Arial"/>
          <w:sz w:val="20"/>
          <w:lang w:eastAsia="ko-KR"/>
        </w:rPr>
        <w:t>du</w:t>
      </w:r>
      <w:r w:rsidRPr="00BD157F">
        <w:rPr>
          <w:rFonts w:ascii="Arial" w:hAnsi="Arial" w:cs="Arial"/>
          <w:sz w:val="20"/>
          <w:lang w:eastAsia="ko-KR"/>
        </w:rPr>
        <w:t xml:space="preserve"> transfert</w:t>
      </w:r>
      <w:r w:rsidR="00D66310" w:rsidRPr="00BD157F">
        <w:rPr>
          <w:rFonts w:ascii="Arial" w:hAnsi="Arial" w:cs="Arial"/>
          <w:sz w:val="20"/>
          <w:lang w:eastAsia="ko-KR"/>
        </w:rPr>
        <w:t>,</w:t>
      </w:r>
      <w:r w:rsidRPr="00BD157F">
        <w:rPr>
          <w:rFonts w:ascii="Arial" w:hAnsi="Arial" w:cs="Arial"/>
          <w:sz w:val="20"/>
          <w:lang w:eastAsia="ko-KR"/>
        </w:rPr>
        <w:t xml:space="preserve"> </w:t>
      </w:r>
      <w:r w:rsidR="00D66310" w:rsidRPr="00BD157F">
        <w:rPr>
          <w:rFonts w:ascii="Arial" w:hAnsi="Arial" w:cs="Arial"/>
          <w:sz w:val="20"/>
          <w:lang w:eastAsia="ko-KR"/>
        </w:rPr>
        <w:t xml:space="preserve">dans le programme, </w:t>
      </w:r>
      <w:r w:rsidRPr="00BD157F">
        <w:rPr>
          <w:rFonts w:ascii="Arial" w:hAnsi="Arial" w:cs="Arial"/>
          <w:sz w:val="20"/>
          <w:lang w:eastAsia="ko-KR"/>
        </w:rPr>
        <w:t>d</w:t>
      </w:r>
      <w:r w:rsidR="00FA22F6" w:rsidRPr="00BD157F">
        <w:rPr>
          <w:rFonts w:ascii="Arial" w:hAnsi="Arial" w:cs="Arial"/>
          <w:sz w:val="20"/>
          <w:lang w:eastAsia="ko-KR"/>
        </w:rPr>
        <w:t>’</w:t>
      </w:r>
      <w:r w:rsidRPr="00BD157F">
        <w:rPr>
          <w:rFonts w:ascii="Arial" w:hAnsi="Arial" w:cs="Arial"/>
          <w:sz w:val="20"/>
          <w:lang w:eastAsia="ko-KR"/>
        </w:rPr>
        <w:t xml:space="preserve">un </w:t>
      </w:r>
      <w:r w:rsidR="00CF3391" w:rsidRPr="00BD157F">
        <w:rPr>
          <w:rFonts w:ascii="Arial" w:hAnsi="Arial" w:cs="Arial"/>
          <w:sz w:val="20"/>
          <w:lang w:eastAsia="ko-KR"/>
        </w:rPr>
        <w:t>administrateur adjoint de programme</w:t>
      </w:r>
      <w:r w:rsidRPr="00BD157F">
        <w:rPr>
          <w:rFonts w:ascii="Arial" w:hAnsi="Arial" w:cs="Arial"/>
          <w:sz w:val="20"/>
          <w:lang w:eastAsia="ko-KR"/>
        </w:rPr>
        <w:t xml:space="preserve"> </w:t>
      </w:r>
      <w:r w:rsidR="00CF3391" w:rsidRPr="00BD157F">
        <w:rPr>
          <w:rFonts w:ascii="Arial" w:hAnsi="Arial" w:cs="Arial"/>
          <w:sz w:val="20"/>
          <w:lang w:eastAsia="ko-KR"/>
        </w:rPr>
        <w:t xml:space="preserve">en vue de </w:t>
      </w:r>
      <w:r w:rsidRPr="00BD157F">
        <w:rPr>
          <w:rFonts w:ascii="Arial" w:hAnsi="Arial" w:cs="Arial"/>
          <w:sz w:val="20"/>
          <w:lang w:eastAsia="ko-KR"/>
        </w:rPr>
        <w:t>renforcer le</w:t>
      </w:r>
      <w:r w:rsidR="00D66310" w:rsidRPr="00BD157F">
        <w:rPr>
          <w:rFonts w:ascii="Arial" w:hAnsi="Arial" w:cs="Arial"/>
          <w:sz w:val="20"/>
          <w:lang w:eastAsia="ko-KR"/>
        </w:rPr>
        <w:t>s travaux</w:t>
      </w:r>
      <w:r w:rsidRPr="00BD157F">
        <w:rPr>
          <w:rFonts w:ascii="Arial" w:hAnsi="Arial" w:cs="Arial"/>
          <w:sz w:val="20"/>
          <w:lang w:eastAsia="ko-KR"/>
        </w:rPr>
        <w:t xml:space="preserve"> dans les pays </w:t>
      </w:r>
      <w:r w:rsidR="00CF3391" w:rsidRPr="00BD157F">
        <w:rPr>
          <w:rFonts w:ascii="Arial" w:hAnsi="Arial" w:cs="Arial"/>
          <w:sz w:val="20"/>
          <w:lang w:eastAsia="ko-KR"/>
        </w:rPr>
        <w:t>d</w:t>
      </w:r>
      <w:r w:rsidR="00FA22F6" w:rsidRPr="00BD157F">
        <w:rPr>
          <w:rFonts w:ascii="Arial" w:hAnsi="Arial" w:cs="Arial"/>
          <w:sz w:val="20"/>
          <w:lang w:eastAsia="ko-KR"/>
        </w:rPr>
        <w:t>’</w:t>
      </w:r>
      <w:r w:rsidR="00CF3391" w:rsidRPr="00BD157F">
        <w:rPr>
          <w:rFonts w:ascii="Arial" w:hAnsi="Arial" w:cs="Arial"/>
          <w:sz w:val="20"/>
          <w:lang w:eastAsia="ko-KR"/>
        </w:rPr>
        <w:t>Asie centrale, du Caucase et d</w:t>
      </w:r>
      <w:r w:rsidR="00FA22F6" w:rsidRPr="00BD157F">
        <w:rPr>
          <w:rFonts w:ascii="Arial" w:hAnsi="Arial" w:cs="Arial"/>
          <w:sz w:val="20"/>
          <w:lang w:eastAsia="ko-KR"/>
        </w:rPr>
        <w:t>’</w:t>
      </w:r>
      <w:r w:rsidR="00CF3391" w:rsidRPr="00BD157F">
        <w:rPr>
          <w:rFonts w:ascii="Arial" w:hAnsi="Arial" w:cs="Arial"/>
          <w:sz w:val="20"/>
          <w:lang w:eastAsia="ko-KR"/>
        </w:rPr>
        <w:t>Europe orientale</w:t>
      </w:r>
      <w:r w:rsidRPr="00BD157F">
        <w:rPr>
          <w:rFonts w:ascii="Arial" w:hAnsi="Arial" w:cs="Arial"/>
          <w:sz w:val="20"/>
          <w:lang w:eastAsia="ko-KR"/>
        </w:rPr>
        <w:t xml:space="preserve">, </w:t>
      </w:r>
      <w:r w:rsidR="00D66310" w:rsidRPr="00BD157F">
        <w:rPr>
          <w:rFonts w:ascii="Arial" w:hAnsi="Arial" w:cs="Arial"/>
          <w:sz w:val="20"/>
          <w:lang w:eastAsia="ko-KR"/>
        </w:rPr>
        <w:t xml:space="preserve">tel que </w:t>
      </w:r>
      <w:r w:rsidRPr="00BD157F">
        <w:rPr>
          <w:rFonts w:ascii="Arial" w:hAnsi="Arial" w:cs="Arial"/>
          <w:sz w:val="20"/>
          <w:lang w:eastAsia="ko-KR"/>
        </w:rPr>
        <w:t>principalement</w:t>
      </w:r>
      <w:r w:rsidR="00D66310" w:rsidRPr="00BD157F">
        <w:rPr>
          <w:rFonts w:ascii="Arial" w:hAnsi="Arial" w:cs="Arial"/>
          <w:sz w:val="20"/>
          <w:lang w:eastAsia="ko-KR"/>
        </w:rPr>
        <w:t xml:space="preserve"> indiqué au</w:t>
      </w:r>
      <w:r w:rsidRPr="00BD157F">
        <w:rPr>
          <w:rFonts w:ascii="Arial" w:hAnsi="Arial" w:cs="Arial"/>
          <w:sz w:val="20"/>
          <w:lang w:eastAsia="ko-KR"/>
        </w:rPr>
        <w:t xml:space="preserve"> </w:t>
      </w:r>
      <w:r w:rsidR="00A04AA4" w:rsidRPr="00BD157F">
        <w:rPr>
          <w:rFonts w:ascii="Arial" w:hAnsi="Arial" w:cs="Arial"/>
          <w:sz w:val="20"/>
          <w:lang w:eastAsia="ko-KR"/>
        </w:rPr>
        <w:t xml:space="preserve">résultat escompté </w:t>
      </w:r>
      <w:r w:rsidRPr="00BD157F">
        <w:rPr>
          <w:rFonts w:ascii="Arial" w:hAnsi="Arial" w:cs="Arial"/>
          <w:sz w:val="20"/>
          <w:lang w:eastAsia="ko-KR"/>
        </w:rPr>
        <w:t>III.1 (</w:t>
      </w:r>
      <w:r w:rsidR="00A04AA4" w:rsidRPr="00BD157F">
        <w:rPr>
          <w:rFonts w:ascii="Arial" w:hAnsi="Arial" w:cs="Arial"/>
          <w:sz w:val="20"/>
          <w:lang w:eastAsia="ko-KR"/>
        </w:rPr>
        <w:t>Stratégies et plans nationaux en matière d</w:t>
      </w:r>
      <w:r w:rsidR="00FA22F6" w:rsidRPr="00BD157F">
        <w:rPr>
          <w:rFonts w:ascii="Arial" w:hAnsi="Arial" w:cs="Arial"/>
          <w:sz w:val="20"/>
          <w:lang w:eastAsia="ko-KR"/>
        </w:rPr>
        <w:t>’</w:t>
      </w:r>
      <w:r w:rsidR="00A04AA4" w:rsidRPr="00BD157F">
        <w:rPr>
          <w:rFonts w:ascii="Arial" w:hAnsi="Arial" w:cs="Arial"/>
          <w:sz w:val="20"/>
          <w:lang w:eastAsia="ko-KR"/>
        </w:rPr>
        <w:t>innovation et de propriété intellectuel</w:t>
      </w:r>
      <w:r w:rsidR="004A4D21" w:rsidRPr="00BD157F">
        <w:rPr>
          <w:rFonts w:ascii="Arial" w:hAnsi="Arial" w:cs="Arial"/>
          <w:sz w:val="20"/>
          <w:lang w:eastAsia="ko-KR"/>
        </w:rPr>
        <w:t>le).  La</w:t>
      </w:r>
      <w:r w:rsidR="00CD26FE" w:rsidRPr="00BD157F">
        <w:rPr>
          <w:rFonts w:ascii="Arial" w:hAnsi="Arial" w:cs="Arial"/>
          <w:sz w:val="20"/>
          <w:lang w:eastAsia="ko-KR"/>
        </w:rPr>
        <w:t xml:space="preserve"> légère diminution des ressources autres </w:t>
      </w:r>
      <w:r w:rsidR="00D66310" w:rsidRPr="00BD157F">
        <w:rPr>
          <w:rFonts w:ascii="Arial" w:hAnsi="Arial" w:cs="Arial"/>
          <w:sz w:val="20"/>
          <w:lang w:eastAsia="ko-KR"/>
        </w:rPr>
        <w:t xml:space="preserve">que pour le personnel était </w:t>
      </w:r>
      <w:r w:rsidR="00CD26FE" w:rsidRPr="00BD157F">
        <w:rPr>
          <w:rFonts w:ascii="Arial" w:hAnsi="Arial" w:cs="Arial"/>
          <w:sz w:val="20"/>
          <w:lang w:eastAsia="ko-KR"/>
        </w:rPr>
        <w:t xml:space="preserve">due au transfert </w:t>
      </w:r>
      <w:r w:rsidR="00CD26FE" w:rsidRPr="00BD157F">
        <w:rPr>
          <w:rFonts w:ascii="Arial" w:eastAsia="Times New Roman" w:hAnsi="Arial" w:cs="Arial"/>
          <w:sz w:val="20"/>
          <w:szCs w:val="20"/>
          <w:lang w:eastAsia="ko-KR"/>
        </w:rPr>
        <w:t>des ressources pour les stages</w:t>
      </w:r>
      <w:r w:rsidR="00D66310" w:rsidRPr="00BD157F">
        <w:rPr>
          <w:rFonts w:ascii="Arial" w:eastAsia="Times New Roman" w:hAnsi="Arial" w:cs="Arial"/>
          <w:sz w:val="20"/>
          <w:szCs w:val="20"/>
          <w:lang w:eastAsia="ko-KR"/>
        </w:rPr>
        <w:t xml:space="preserve"> vers</w:t>
      </w:r>
      <w:r w:rsidR="00FA22F6" w:rsidRPr="00BD157F">
        <w:rPr>
          <w:rFonts w:ascii="Arial" w:eastAsia="Times New Roman" w:hAnsi="Arial" w:cs="Arial"/>
          <w:sz w:val="20"/>
          <w:szCs w:val="20"/>
          <w:lang w:eastAsia="ko-KR"/>
        </w:rPr>
        <w:t xml:space="preserve"> le DGR</w:t>
      </w:r>
      <w:r w:rsidR="00CD26FE" w:rsidRPr="00BD157F">
        <w:rPr>
          <w:rFonts w:ascii="Arial" w:eastAsia="Times New Roman" w:hAnsi="Arial" w:cs="Arial"/>
          <w:sz w:val="20"/>
          <w:szCs w:val="20"/>
          <w:lang w:eastAsia="ko-KR"/>
        </w:rPr>
        <w:t>H (programme</w:t>
      </w:r>
      <w:r w:rsidR="00B4191E" w:rsidRPr="00BD157F">
        <w:rPr>
          <w:rFonts w:ascii="Arial" w:eastAsia="Times New Roman" w:hAnsi="Arial" w:cs="Arial"/>
          <w:sz w:val="20"/>
          <w:szCs w:val="20"/>
          <w:lang w:eastAsia="ko-KR"/>
        </w:rPr>
        <w:t> </w:t>
      </w:r>
      <w:r w:rsidR="00CD26FE" w:rsidRPr="00BD157F">
        <w:rPr>
          <w:rFonts w:ascii="Arial" w:eastAsia="Times New Roman" w:hAnsi="Arial" w:cs="Arial"/>
          <w:sz w:val="20"/>
          <w:szCs w:val="20"/>
          <w:lang w:eastAsia="ko-KR"/>
        </w:rPr>
        <w:t>23)</w:t>
      </w:r>
      <w:r w:rsidR="00CD26FE" w:rsidRPr="00BD157F">
        <w:rPr>
          <w:rFonts w:ascii="Arial" w:eastAsia="Times New Roman" w:hAnsi="Arial" w:cs="Arial"/>
          <w:sz w:val="20"/>
          <w:szCs w:val="20"/>
          <w:lang w:eastAsia="en-US"/>
        </w:rPr>
        <w:t>, qui gère les stagiaires de manière centralisée.</w:t>
      </w:r>
    </w:p>
    <w:p w14:paraId="7757FF9E" w14:textId="77777777" w:rsidR="001F64B1" w:rsidRPr="00BD157F" w:rsidRDefault="001F64B1" w:rsidP="0097226C">
      <w:pPr>
        <w:jc w:val="both"/>
        <w:rPr>
          <w:sz w:val="20"/>
        </w:rPr>
      </w:pPr>
    </w:p>
    <w:p w14:paraId="05F65613" w14:textId="0F7249A2" w:rsidR="001F64B1" w:rsidRPr="00BD157F" w:rsidRDefault="00BA5EA9" w:rsidP="0097226C">
      <w:pPr>
        <w:jc w:val="both"/>
        <w:rPr>
          <w:sz w:val="20"/>
          <w:u w:val="single"/>
        </w:rPr>
      </w:pPr>
      <w:r w:rsidRPr="00BD157F">
        <w:rPr>
          <w:sz w:val="20"/>
        </w:rPr>
        <w:t>B.</w:t>
      </w:r>
      <w:r w:rsidRPr="00BD157F">
        <w:rPr>
          <w:sz w:val="20"/>
        </w:rPr>
        <w:tab/>
      </w:r>
      <w:r w:rsidR="00F3341E" w:rsidRPr="00BD157F">
        <w:rPr>
          <w:sz w:val="20"/>
          <w:u w:val="single"/>
        </w:rPr>
        <w:t>Utilisation du budget</w:t>
      </w:r>
      <w:r w:rsidR="00B4191E" w:rsidRPr="00BD157F">
        <w:rPr>
          <w:sz w:val="20"/>
          <w:u w:val="single"/>
        </w:rPr>
        <w:t> </w:t>
      </w:r>
      <w:r w:rsidR="00F3341E" w:rsidRPr="00BD157F">
        <w:rPr>
          <w:sz w:val="20"/>
          <w:u w:val="single"/>
        </w:rPr>
        <w:t>2016</w:t>
      </w:r>
      <w:r w:rsidR="006A41CF" w:rsidRPr="00BD157F">
        <w:rPr>
          <w:sz w:val="20"/>
          <w:u w:val="single"/>
        </w:rPr>
        <w:noBreakHyphen/>
      </w:r>
      <w:r w:rsidR="00F3341E" w:rsidRPr="00BD157F">
        <w:rPr>
          <w:sz w:val="20"/>
          <w:u w:val="single"/>
        </w:rPr>
        <w:t>2017</w:t>
      </w:r>
    </w:p>
    <w:p w14:paraId="5650CC2D" w14:textId="77777777" w:rsidR="001F64B1" w:rsidRPr="00BD157F" w:rsidRDefault="001F64B1" w:rsidP="0097226C">
      <w:pPr>
        <w:jc w:val="both"/>
        <w:rPr>
          <w:sz w:val="20"/>
        </w:rPr>
      </w:pPr>
    </w:p>
    <w:p w14:paraId="74B5B9CE" w14:textId="7D988DD4" w:rsidR="001F64B1" w:rsidRPr="00BD157F" w:rsidRDefault="00EC540A" w:rsidP="00D544B8">
      <w:pPr>
        <w:pStyle w:val="ListParagraph"/>
        <w:numPr>
          <w:ilvl w:val="0"/>
          <w:numId w:val="11"/>
        </w:numPr>
        <w:ind w:left="0" w:firstLine="0"/>
        <w:jc w:val="both"/>
        <w:rPr>
          <w:rFonts w:ascii="Arial" w:hAnsi="Arial" w:cs="Arial"/>
          <w:sz w:val="20"/>
          <w:lang w:eastAsia="zh-CN"/>
        </w:rPr>
      </w:pPr>
      <w:r w:rsidRPr="00BD157F">
        <w:rPr>
          <w:rFonts w:ascii="Arial" w:hAnsi="Arial" w:cs="Arial"/>
          <w:sz w:val="20"/>
          <w:lang w:eastAsia="zh-CN"/>
        </w:rPr>
        <w:t>L</w:t>
      </w:r>
      <w:r w:rsidR="00FA22F6" w:rsidRPr="00BD157F">
        <w:rPr>
          <w:rFonts w:ascii="Arial" w:hAnsi="Arial" w:cs="Arial"/>
          <w:sz w:val="20"/>
          <w:lang w:eastAsia="zh-CN"/>
        </w:rPr>
        <w:t>’</w:t>
      </w:r>
      <w:r w:rsidRPr="00BD157F">
        <w:rPr>
          <w:rFonts w:ascii="Arial" w:hAnsi="Arial" w:cs="Arial"/>
          <w:sz w:val="20"/>
          <w:lang w:eastAsia="zh-CN"/>
        </w:rPr>
        <w:t>utilisation du budget se situait dans la fourchette prévue des 40 à 60% pour la première année de l</w:t>
      </w:r>
      <w:r w:rsidR="00FA22F6" w:rsidRPr="00BD157F">
        <w:rPr>
          <w:rFonts w:ascii="Arial" w:hAnsi="Arial" w:cs="Arial"/>
          <w:sz w:val="20"/>
          <w:lang w:eastAsia="zh-CN"/>
        </w:rPr>
        <w:t>’</w:t>
      </w:r>
      <w:r w:rsidRPr="00BD157F">
        <w:rPr>
          <w:rFonts w:ascii="Arial" w:hAnsi="Arial" w:cs="Arial"/>
          <w:sz w:val="20"/>
          <w:lang w:eastAsia="zh-CN"/>
        </w:rPr>
        <w:t>exercice biennal.</w:t>
      </w:r>
    </w:p>
    <w:p w14:paraId="7AA5FD68" w14:textId="77777777" w:rsidR="00271523" w:rsidRPr="001E6DFD" w:rsidRDefault="00271523" w:rsidP="0097226C">
      <w:pPr>
        <w:rPr>
          <w:b/>
          <w:bCs/>
          <w:iCs/>
          <w:szCs w:val="22"/>
        </w:rPr>
      </w:pPr>
      <w:r w:rsidRPr="001E6DFD">
        <w:rPr>
          <w:b/>
          <w:bCs/>
          <w:iCs/>
          <w:szCs w:val="22"/>
        </w:rPr>
        <w:br w:type="page"/>
      </w:r>
    </w:p>
    <w:p w14:paraId="4CF77C6F" w14:textId="6D052285" w:rsidR="001F64B1" w:rsidRPr="001E6DFD" w:rsidRDefault="00C10A48" w:rsidP="006658D5">
      <w:pPr>
        <w:pStyle w:val="Heading3"/>
      </w:pPr>
      <w:bookmarkStart w:id="46" w:name="_Toc482774603"/>
      <w:r w:rsidRPr="001E6DFD">
        <w:lastRenderedPageBreak/>
        <w:t>Programme</w:t>
      </w:r>
      <w:r w:rsidR="00B4191E">
        <w:t> </w:t>
      </w:r>
      <w:r w:rsidRPr="001E6DFD">
        <w:t>11</w:t>
      </w:r>
      <w:r w:rsidRPr="001E6DFD">
        <w:tab/>
        <w:t>Académie de l</w:t>
      </w:r>
      <w:r w:rsidR="00FA22F6" w:rsidRPr="001E6DFD">
        <w:t>’</w:t>
      </w:r>
      <w:r w:rsidRPr="001E6DFD">
        <w:t>OMPI</w:t>
      </w:r>
      <w:bookmarkEnd w:id="46"/>
    </w:p>
    <w:p w14:paraId="4D6D9FB1" w14:textId="77777777" w:rsidR="001F64B1" w:rsidRPr="001E6DFD" w:rsidRDefault="001F64B1" w:rsidP="000C5A53">
      <w:pPr>
        <w:tabs>
          <w:tab w:val="left" w:pos="2268"/>
        </w:tabs>
        <w:ind w:left="2268" w:hanging="2268"/>
        <w:rPr>
          <w:sz w:val="20"/>
        </w:rPr>
      </w:pPr>
    </w:p>
    <w:p w14:paraId="01941C53" w14:textId="57B24237" w:rsidR="001F64B1" w:rsidRPr="001E6DFD" w:rsidRDefault="00C10A48" w:rsidP="000C5A53">
      <w:pPr>
        <w:tabs>
          <w:tab w:val="left" w:pos="2268"/>
        </w:tabs>
        <w:ind w:left="2268" w:hanging="2268"/>
        <w:rPr>
          <w:b/>
          <w:sz w:val="20"/>
        </w:rPr>
      </w:pPr>
      <w:r w:rsidRPr="001E6DFD">
        <w:rPr>
          <w:b/>
          <w:sz w:val="20"/>
        </w:rPr>
        <w:t>Chef de programme</w:t>
      </w:r>
      <w:r w:rsidRPr="001E6DFD">
        <w:rPr>
          <w:sz w:val="20"/>
        </w:rPr>
        <w:tab/>
      </w:r>
      <w:r w:rsidRPr="001E6DFD">
        <w:rPr>
          <w:b/>
          <w:sz w:val="20"/>
        </w:rPr>
        <w:t>M.</w:t>
      </w:r>
      <w:r w:rsidR="004D421A" w:rsidRPr="001E6DFD">
        <w:rPr>
          <w:sz w:val="20"/>
        </w:rPr>
        <w:t> </w:t>
      </w:r>
      <w:r w:rsidRPr="001E6DFD">
        <w:rPr>
          <w:b/>
          <w:sz w:val="20"/>
        </w:rPr>
        <w:t>M.</w:t>
      </w:r>
      <w:r w:rsidR="004D421A" w:rsidRPr="001E6DFD">
        <w:rPr>
          <w:b/>
          <w:sz w:val="20"/>
        </w:rPr>
        <w:t> </w:t>
      </w:r>
      <w:r w:rsidRPr="001E6DFD">
        <w:rPr>
          <w:b/>
          <w:sz w:val="20"/>
        </w:rPr>
        <w:t>Matus</w:t>
      </w:r>
    </w:p>
    <w:p w14:paraId="2A0F5985" w14:textId="77777777" w:rsidR="00BA5EA9" w:rsidRPr="001E6DFD" w:rsidRDefault="00A055E7" w:rsidP="0097226C">
      <w:pPr>
        <w:ind w:left="1985" w:hanging="1985"/>
        <w:jc w:val="center"/>
        <w:rPr>
          <w:b/>
          <w:sz w:val="20"/>
        </w:rPr>
      </w:pPr>
      <w:r w:rsidRPr="001E6DFD">
        <w:rPr>
          <w:noProof/>
          <w:lang w:val="en-US"/>
        </w:rPr>
        <w:drawing>
          <wp:inline distT="0" distB="0" distL="0" distR="0" wp14:anchorId="32ECC37E" wp14:editId="40147BFC">
            <wp:extent cx="3963600" cy="273600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23"/>
        <w:gridCol w:w="2369"/>
        <w:gridCol w:w="1104"/>
        <w:gridCol w:w="2741"/>
        <w:gridCol w:w="1050"/>
      </w:tblGrid>
      <w:tr w:rsidR="00BA5EA9" w:rsidRPr="001E6DFD" w14:paraId="1411945B" w14:textId="77777777" w:rsidTr="00A055E7">
        <w:tc>
          <w:tcPr>
            <w:tcW w:w="5000" w:type="pct"/>
            <w:gridSpan w:val="5"/>
            <w:shd w:val="clear" w:color="auto" w:fill="C6D9F1" w:themeFill="text2" w:themeFillTint="33"/>
            <w:tcMar>
              <w:left w:w="58" w:type="dxa"/>
              <w:right w:w="58" w:type="dxa"/>
            </w:tcMar>
            <w:vAlign w:val="center"/>
          </w:tcPr>
          <w:p w14:paraId="29EA1418" w14:textId="4E063FEA" w:rsidR="00BA5EA9" w:rsidRPr="001E6DFD" w:rsidRDefault="00C10A48"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III.2 Renforcement des capacités en matière de ressources humaines pour pouvoir répondre aux nombreuses exigences en ce qui concerne l</w:t>
            </w:r>
            <w:r w:rsidR="00FA22F6" w:rsidRPr="001E6DFD">
              <w:rPr>
                <w:bCs/>
                <w:sz w:val="16"/>
                <w:szCs w:val="16"/>
              </w:rPr>
              <w:t>’</w:t>
            </w:r>
            <w:r w:rsidRPr="001E6DFD">
              <w:rPr>
                <w:bCs/>
                <w:sz w:val="16"/>
                <w:szCs w:val="16"/>
              </w:rPr>
              <w:t>utilisation efficace de la propriété intellectuelle au service du développement dans les pays en développement,</w:t>
            </w:r>
            <w:r w:rsidR="00FA22F6" w:rsidRPr="001E6DFD">
              <w:rPr>
                <w:bCs/>
                <w:sz w:val="16"/>
                <w:szCs w:val="16"/>
              </w:rPr>
              <w:t xml:space="preserve"> les PMA</w:t>
            </w:r>
            <w:r w:rsidRPr="001E6DFD">
              <w:rPr>
                <w:bCs/>
                <w:sz w:val="16"/>
                <w:szCs w:val="16"/>
              </w:rPr>
              <w:t xml:space="preserve"> et les pays en transition.</w:t>
            </w:r>
          </w:p>
        </w:tc>
      </w:tr>
      <w:tr w:rsidR="00BA5EA9" w:rsidRPr="001E6DFD" w14:paraId="6FFFF352" w14:textId="77777777" w:rsidTr="00A055E7">
        <w:tc>
          <w:tcPr>
            <w:tcW w:w="1072" w:type="pct"/>
            <w:shd w:val="clear" w:color="auto" w:fill="auto"/>
            <w:tcMar>
              <w:left w:w="58" w:type="dxa"/>
              <w:right w:w="58" w:type="dxa"/>
            </w:tcMar>
            <w:vAlign w:val="center"/>
          </w:tcPr>
          <w:p w14:paraId="017528AA" w14:textId="71DC20C8" w:rsidR="00BA5EA9" w:rsidRPr="001E6DFD" w:rsidRDefault="00C10A48"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315" w:type="pct"/>
            <w:shd w:val="clear" w:color="auto" w:fill="auto"/>
            <w:tcMar>
              <w:left w:w="58" w:type="dxa"/>
              <w:right w:w="58" w:type="dxa"/>
            </w:tcMar>
            <w:vAlign w:val="center"/>
          </w:tcPr>
          <w:p w14:paraId="06A5A311" w14:textId="77777777" w:rsidR="00BA5EA9" w:rsidRPr="001E6DFD" w:rsidRDefault="00C10A48" w:rsidP="0097226C">
            <w:pPr>
              <w:jc w:val="center"/>
              <w:rPr>
                <w:b/>
                <w:bCs/>
                <w:sz w:val="16"/>
                <w:szCs w:val="16"/>
              </w:rPr>
            </w:pPr>
            <w:r w:rsidRPr="001E6DFD">
              <w:rPr>
                <w:b/>
                <w:bCs/>
                <w:sz w:val="16"/>
                <w:szCs w:val="16"/>
              </w:rPr>
              <w:t>Niveaux de référence</w:t>
            </w:r>
          </w:p>
        </w:tc>
        <w:tc>
          <w:tcPr>
            <w:tcW w:w="584" w:type="pct"/>
            <w:shd w:val="clear" w:color="auto" w:fill="auto"/>
            <w:tcMar>
              <w:top w:w="110" w:type="dxa"/>
              <w:left w:w="58" w:type="dxa"/>
              <w:right w:w="58" w:type="dxa"/>
            </w:tcMar>
            <w:vAlign w:val="center"/>
          </w:tcPr>
          <w:p w14:paraId="1B6D7FD5" w14:textId="77777777" w:rsidR="00BA5EA9" w:rsidRPr="001E6DFD" w:rsidRDefault="00C10A48" w:rsidP="0097226C">
            <w:pPr>
              <w:tabs>
                <w:tab w:val="left" w:pos="290"/>
              </w:tabs>
              <w:jc w:val="center"/>
              <w:rPr>
                <w:b/>
                <w:bCs/>
                <w:sz w:val="16"/>
                <w:szCs w:val="16"/>
              </w:rPr>
            </w:pPr>
            <w:r w:rsidRPr="001E6DFD">
              <w:rPr>
                <w:b/>
                <w:bCs/>
                <w:sz w:val="16"/>
                <w:szCs w:val="16"/>
              </w:rPr>
              <w:t>Objectifs visés</w:t>
            </w:r>
          </w:p>
        </w:tc>
        <w:tc>
          <w:tcPr>
            <w:tcW w:w="1517" w:type="pct"/>
            <w:shd w:val="clear" w:color="auto" w:fill="FFFFFF"/>
            <w:tcMar>
              <w:top w:w="110" w:type="dxa"/>
              <w:left w:w="58" w:type="dxa"/>
              <w:right w:w="58" w:type="dxa"/>
            </w:tcMar>
            <w:vAlign w:val="center"/>
          </w:tcPr>
          <w:p w14:paraId="52CDE1FE" w14:textId="204C0CEC" w:rsidR="00BA5EA9" w:rsidRPr="001E6DFD" w:rsidRDefault="00C10A48"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shd w:val="clear" w:color="auto" w:fill="auto"/>
            <w:tcMar>
              <w:top w:w="110" w:type="dxa"/>
              <w:left w:w="58" w:type="dxa"/>
              <w:right w:w="58" w:type="dxa"/>
            </w:tcMar>
            <w:vAlign w:val="center"/>
          </w:tcPr>
          <w:p w14:paraId="3F63BABE" w14:textId="127D23F9"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59DD86E0" w14:textId="77777777" w:rsidTr="00A055E7">
        <w:tc>
          <w:tcPr>
            <w:tcW w:w="1072" w:type="pct"/>
            <w:shd w:val="clear" w:color="auto" w:fill="auto"/>
            <w:tcMar>
              <w:left w:w="58" w:type="dxa"/>
              <w:right w:w="58" w:type="dxa"/>
            </w:tcMar>
          </w:tcPr>
          <w:p w14:paraId="49268AFF" w14:textId="6F1B7B04" w:rsidR="00BA5EA9" w:rsidRPr="001E6DFD" w:rsidRDefault="00C10A48" w:rsidP="0097226C">
            <w:pPr>
              <w:rPr>
                <w:sz w:val="16"/>
                <w:szCs w:val="16"/>
              </w:rPr>
            </w:pPr>
            <w:r w:rsidRPr="001E6DFD">
              <w:rPr>
                <w:sz w:val="16"/>
                <w:szCs w:val="16"/>
              </w:rPr>
              <w:t>Pourcentage des personnes formées et des supérieurs hiérarchiques satisfaits des programmes de formations créés sur la base des exercices d</w:t>
            </w:r>
            <w:r w:rsidR="00FA22F6" w:rsidRPr="001E6DFD">
              <w:rPr>
                <w:sz w:val="16"/>
                <w:szCs w:val="16"/>
              </w:rPr>
              <w:t>’</w:t>
            </w:r>
            <w:r w:rsidRPr="001E6DFD">
              <w:rPr>
                <w:sz w:val="16"/>
                <w:szCs w:val="16"/>
              </w:rPr>
              <w:t>évaluation des besoins en matière de formation</w:t>
            </w:r>
            <w:r w:rsidR="00BA5EA9" w:rsidRPr="001E6DFD">
              <w:rPr>
                <w:sz w:val="16"/>
                <w:szCs w:val="16"/>
              </w:rPr>
              <w:t xml:space="preserve"> </w:t>
            </w:r>
          </w:p>
        </w:tc>
        <w:tc>
          <w:tcPr>
            <w:tcW w:w="1315" w:type="pct"/>
            <w:shd w:val="clear" w:color="auto" w:fill="auto"/>
            <w:tcMar>
              <w:left w:w="58" w:type="dxa"/>
              <w:right w:w="58" w:type="dxa"/>
            </w:tcMar>
          </w:tcPr>
          <w:p w14:paraId="66AF3C5D" w14:textId="77777777" w:rsidR="00BA5EA9" w:rsidRPr="001E6DFD" w:rsidRDefault="00C10A48" w:rsidP="0097226C">
            <w:pPr>
              <w:rPr>
                <w:sz w:val="16"/>
                <w:szCs w:val="16"/>
              </w:rPr>
            </w:pPr>
            <w:r w:rsidRPr="001E6DFD">
              <w:rPr>
                <w:sz w:val="16"/>
                <w:szCs w:val="16"/>
              </w:rPr>
              <w:t>Aucune donnée disponible</w:t>
            </w:r>
            <w:r w:rsidR="00BA5EA9" w:rsidRPr="001E6DFD">
              <w:rPr>
                <w:sz w:val="16"/>
                <w:szCs w:val="16"/>
              </w:rPr>
              <w:t xml:space="preserve"> </w:t>
            </w:r>
          </w:p>
        </w:tc>
        <w:tc>
          <w:tcPr>
            <w:tcW w:w="584" w:type="pct"/>
            <w:shd w:val="clear" w:color="auto" w:fill="auto"/>
            <w:tcMar>
              <w:top w:w="110" w:type="dxa"/>
              <w:left w:w="58" w:type="dxa"/>
              <w:right w:w="58" w:type="dxa"/>
            </w:tcMar>
          </w:tcPr>
          <w:p w14:paraId="6BABB2EB" w14:textId="77777777" w:rsidR="00BA5EA9" w:rsidRPr="001E6DFD" w:rsidRDefault="00C10A48" w:rsidP="0097226C">
            <w:pPr>
              <w:rPr>
                <w:sz w:val="16"/>
                <w:szCs w:val="16"/>
              </w:rPr>
            </w:pPr>
            <w:r w:rsidRPr="001E6DFD">
              <w:rPr>
                <w:sz w:val="16"/>
                <w:szCs w:val="16"/>
              </w:rPr>
              <w:t>70% des personnes ayant répondu</w:t>
            </w:r>
          </w:p>
        </w:tc>
        <w:tc>
          <w:tcPr>
            <w:tcW w:w="1517" w:type="pct"/>
            <w:shd w:val="clear" w:color="auto" w:fill="FFFFFF"/>
            <w:tcMar>
              <w:top w:w="110" w:type="dxa"/>
              <w:left w:w="58" w:type="dxa"/>
              <w:right w:w="58" w:type="dxa"/>
            </w:tcMar>
          </w:tcPr>
          <w:p w14:paraId="34FBDA3B" w14:textId="7373A4DC" w:rsidR="00BA5EA9" w:rsidRPr="000C5A53" w:rsidRDefault="00277F3C" w:rsidP="0097226C">
            <w:pPr>
              <w:rPr>
                <w:sz w:val="16"/>
                <w:szCs w:val="16"/>
              </w:rPr>
            </w:pPr>
            <w:r w:rsidRPr="000C5A53">
              <w:rPr>
                <w:sz w:val="16"/>
                <w:szCs w:val="16"/>
              </w:rPr>
              <w:t xml:space="preserve">Les données seront recueillies </w:t>
            </w:r>
            <w:r w:rsidR="00FA22F6" w:rsidRPr="000C5A53">
              <w:rPr>
                <w:sz w:val="16"/>
                <w:szCs w:val="16"/>
              </w:rPr>
              <w:t>en 2017</w:t>
            </w:r>
          </w:p>
        </w:tc>
        <w:tc>
          <w:tcPr>
            <w:tcW w:w="512" w:type="pct"/>
            <w:shd w:val="clear" w:color="auto" w:fill="auto"/>
            <w:tcMar>
              <w:top w:w="110" w:type="dxa"/>
              <w:left w:w="58" w:type="dxa"/>
              <w:right w:w="58" w:type="dxa"/>
            </w:tcMar>
          </w:tcPr>
          <w:p w14:paraId="3CEFE2D3" w14:textId="5927AA17" w:rsidR="00BA5EA9" w:rsidRPr="001E6DFD" w:rsidRDefault="00B649F5" w:rsidP="0097226C">
            <w:pPr>
              <w:keepNext/>
              <w:keepLines/>
              <w:jc w:val="center"/>
              <w:rPr>
                <w:b/>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65A8C880" w14:textId="77777777" w:rsidTr="00A055E7">
        <w:tc>
          <w:tcPr>
            <w:tcW w:w="1072" w:type="pct"/>
            <w:shd w:val="clear" w:color="auto" w:fill="auto"/>
            <w:tcMar>
              <w:left w:w="58" w:type="dxa"/>
              <w:right w:w="58" w:type="dxa"/>
            </w:tcMar>
          </w:tcPr>
          <w:p w14:paraId="228C317E" w14:textId="77777777" w:rsidR="00BA5EA9" w:rsidRPr="001E6DFD" w:rsidRDefault="00C10A48" w:rsidP="0097226C">
            <w:pPr>
              <w:rPr>
                <w:sz w:val="16"/>
                <w:szCs w:val="16"/>
              </w:rPr>
            </w:pPr>
            <w:r w:rsidRPr="001E6DFD">
              <w:rPr>
                <w:sz w:val="16"/>
                <w:szCs w:val="16"/>
              </w:rPr>
              <w:t>Pourcentage des participants utilisant des connaissances et des compétences nouvelles dans divers domaines de la propriété intellectuelle</w:t>
            </w:r>
            <w:r w:rsidR="00BA5EA9" w:rsidRPr="001E6DFD">
              <w:rPr>
                <w:sz w:val="16"/>
                <w:szCs w:val="16"/>
              </w:rPr>
              <w:t xml:space="preserve"> </w:t>
            </w:r>
          </w:p>
        </w:tc>
        <w:tc>
          <w:tcPr>
            <w:tcW w:w="1315" w:type="pct"/>
            <w:shd w:val="clear" w:color="auto" w:fill="auto"/>
            <w:tcMar>
              <w:left w:w="58" w:type="dxa"/>
              <w:right w:w="58" w:type="dxa"/>
            </w:tcMar>
          </w:tcPr>
          <w:p w14:paraId="77537ABF" w14:textId="77777777" w:rsidR="00BA5EA9" w:rsidRPr="001E6DFD" w:rsidRDefault="00C10A48" w:rsidP="0097226C">
            <w:pPr>
              <w:rPr>
                <w:sz w:val="16"/>
                <w:szCs w:val="16"/>
              </w:rPr>
            </w:pPr>
            <w:r w:rsidRPr="001E6DFD">
              <w:rPr>
                <w:sz w:val="16"/>
                <w:szCs w:val="16"/>
              </w:rPr>
              <w:t>Aucune donnée disponible</w:t>
            </w:r>
          </w:p>
        </w:tc>
        <w:tc>
          <w:tcPr>
            <w:tcW w:w="584" w:type="pct"/>
            <w:shd w:val="clear" w:color="auto" w:fill="auto"/>
            <w:tcMar>
              <w:top w:w="110" w:type="dxa"/>
              <w:left w:w="58" w:type="dxa"/>
              <w:right w:w="58" w:type="dxa"/>
            </w:tcMar>
          </w:tcPr>
          <w:p w14:paraId="5898F8A2" w14:textId="77777777" w:rsidR="00BA5EA9" w:rsidRPr="001E6DFD" w:rsidRDefault="00C10A48" w:rsidP="0097226C">
            <w:pPr>
              <w:rPr>
                <w:sz w:val="16"/>
                <w:szCs w:val="16"/>
              </w:rPr>
            </w:pPr>
            <w:r w:rsidRPr="001E6DFD">
              <w:rPr>
                <w:sz w:val="16"/>
                <w:szCs w:val="16"/>
              </w:rPr>
              <w:t>60% des personnes ayant répondu</w:t>
            </w:r>
          </w:p>
        </w:tc>
        <w:tc>
          <w:tcPr>
            <w:tcW w:w="1517" w:type="pct"/>
            <w:shd w:val="clear" w:color="auto" w:fill="FFFFFF"/>
            <w:tcMar>
              <w:top w:w="110" w:type="dxa"/>
              <w:left w:w="58" w:type="dxa"/>
              <w:right w:w="58" w:type="dxa"/>
            </w:tcMar>
          </w:tcPr>
          <w:p w14:paraId="7F873371" w14:textId="5ADD241C" w:rsidR="00BA5EA9" w:rsidRPr="000C5A53" w:rsidRDefault="00EF4694" w:rsidP="0097226C">
            <w:pPr>
              <w:keepNext/>
              <w:keepLines/>
              <w:rPr>
                <w:sz w:val="16"/>
                <w:szCs w:val="16"/>
              </w:rPr>
            </w:pPr>
            <w:r w:rsidRPr="000C5A53">
              <w:rPr>
                <w:sz w:val="16"/>
                <w:szCs w:val="16"/>
              </w:rPr>
              <w:t xml:space="preserve">Les données seront recueillies </w:t>
            </w:r>
            <w:r w:rsidR="00FA22F6" w:rsidRPr="000C5A53">
              <w:rPr>
                <w:sz w:val="16"/>
                <w:szCs w:val="16"/>
              </w:rPr>
              <w:t>en 2017</w:t>
            </w:r>
          </w:p>
        </w:tc>
        <w:tc>
          <w:tcPr>
            <w:tcW w:w="512" w:type="pct"/>
            <w:shd w:val="clear" w:color="auto" w:fill="auto"/>
            <w:tcMar>
              <w:top w:w="110" w:type="dxa"/>
              <w:left w:w="58" w:type="dxa"/>
              <w:right w:w="58" w:type="dxa"/>
            </w:tcMar>
          </w:tcPr>
          <w:p w14:paraId="00CD7908" w14:textId="519181D5" w:rsidR="00BA5EA9" w:rsidRPr="001E6DFD" w:rsidRDefault="00B649F5" w:rsidP="0097226C">
            <w:pPr>
              <w:keepNext/>
              <w:keepLines/>
              <w:jc w:val="center"/>
              <w:rPr>
                <w:b/>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204D058E" w14:textId="77777777" w:rsidTr="00A055E7">
        <w:tc>
          <w:tcPr>
            <w:tcW w:w="1072" w:type="pct"/>
            <w:shd w:val="clear" w:color="auto" w:fill="auto"/>
            <w:tcMar>
              <w:left w:w="58" w:type="dxa"/>
              <w:right w:w="58" w:type="dxa"/>
            </w:tcMar>
          </w:tcPr>
          <w:p w14:paraId="1720B0DE" w14:textId="015904D7" w:rsidR="00BA5EA9" w:rsidRPr="001E6DFD" w:rsidRDefault="00C10A48" w:rsidP="0097226C">
            <w:pPr>
              <w:rPr>
                <w:sz w:val="16"/>
                <w:szCs w:val="16"/>
              </w:rPr>
            </w:pPr>
            <w:r w:rsidRPr="001E6DFD">
              <w:rPr>
                <w:sz w:val="16"/>
                <w:szCs w:val="16"/>
              </w:rPr>
              <w:t>Nombre d</w:t>
            </w:r>
            <w:r w:rsidR="00FA22F6" w:rsidRPr="001E6DFD">
              <w:rPr>
                <w:sz w:val="16"/>
                <w:szCs w:val="16"/>
              </w:rPr>
              <w:t>’</w:t>
            </w:r>
            <w:r w:rsidRPr="001E6DFD">
              <w:rPr>
                <w:sz w:val="16"/>
                <w:szCs w:val="16"/>
              </w:rPr>
              <w:t>accords de coopération et de partenariats conclus conformément à la nouvelle ligne de l</w:t>
            </w:r>
            <w:r w:rsidR="00FA22F6" w:rsidRPr="001E6DFD">
              <w:rPr>
                <w:sz w:val="16"/>
                <w:szCs w:val="16"/>
              </w:rPr>
              <w:t>’</w:t>
            </w:r>
            <w:r w:rsidRPr="001E6DFD">
              <w:rPr>
                <w:sz w:val="16"/>
                <w:szCs w:val="16"/>
              </w:rPr>
              <w:t>Académie</w:t>
            </w:r>
          </w:p>
        </w:tc>
        <w:tc>
          <w:tcPr>
            <w:tcW w:w="1315" w:type="pct"/>
            <w:shd w:val="clear" w:color="auto" w:fill="auto"/>
            <w:tcMar>
              <w:left w:w="58" w:type="dxa"/>
              <w:right w:w="58" w:type="dxa"/>
            </w:tcMar>
          </w:tcPr>
          <w:p w14:paraId="5C2DF5D6" w14:textId="195955D4" w:rsidR="001F64B1" w:rsidRPr="000C5A53" w:rsidRDefault="00E64532" w:rsidP="0097226C">
            <w:pPr>
              <w:rPr>
                <w:color w:val="002060"/>
                <w:sz w:val="16"/>
                <w:szCs w:val="16"/>
              </w:rPr>
            </w:pPr>
            <w:r w:rsidRPr="000C5A53">
              <w:rPr>
                <w:i/>
                <w:color w:val="002060"/>
                <w:sz w:val="16"/>
                <w:szCs w:val="16"/>
              </w:rPr>
              <w:t>Niveau de référence actualisé à fin</w:t>
            </w:r>
            <w:r w:rsidR="00B4191E" w:rsidRPr="000C5A53">
              <w:rPr>
                <w:i/>
                <w:color w:val="002060"/>
                <w:sz w:val="16"/>
                <w:szCs w:val="16"/>
              </w:rPr>
              <w:t> </w:t>
            </w:r>
            <w:r w:rsidRPr="000C5A53">
              <w:rPr>
                <w:i/>
                <w:color w:val="002060"/>
                <w:sz w:val="16"/>
                <w:szCs w:val="16"/>
              </w:rPr>
              <w:t>2015</w:t>
            </w:r>
            <w:r w:rsidR="00FA22F6" w:rsidRPr="000C5A53">
              <w:rPr>
                <w:i/>
                <w:color w:val="002060"/>
                <w:sz w:val="16"/>
                <w:szCs w:val="16"/>
              </w:rPr>
              <w:t> :</w:t>
            </w:r>
          </w:p>
          <w:p w14:paraId="6A3CEDA1" w14:textId="77777777" w:rsidR="001F64B1" w:rsidRPr="000C5A53" w:rsidRDefault="00BA5EA9" w:rsidP="0097226C">
            <w:pPr>
              <w:rPr>
                <w:color w:val="002060"/>
                <w:sz w:val="16"/>
                <w:szCs w:val="16"/>
              </w:rPr>
            </w:pPr>
            <w:r w:rsidRPr="000C5A53">
              <w:rPr>
                <w:color w:val="002060"/>
                <w:sz w:val="16"/>
                <w:szCs w:val="16"/>
              </w:rPr>
              <w:t>0</w:t>
            </w:r>
          </w:p>
          <w:p w14:paraId="3E751FFE" w14:textId="77777777" w:rsidR="001F64B1" w:rsidRPr="001E6DFD" w:rsidRDefault="001F64B1" w:rsidP="0097226C">
            <w:pPr>
              <w:rPr>
                <w:sz w:val="16"/>
                <w:szCs w:val="16"/>
              </w:rPr>
            </w:pPr>
          </w:p>
          <w:p w14:paraId="3DB87673" w14:textId="22A83415"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B2DA55A" w14:textId="2C471334" w:rsidR="00BA5EA9" w:rsidRPr="001E6DFD" w:rsidRDefault="00C10A48" w:rsidP="0097226C">
            <w:pPr>
              <w:rPr>
                <w:sz w:val="16"/>
                <w:szCs w:val="16"/>
              </w:rPr>
            </w:pPr>
            <w:proofErr w:type="spellStart"/>
            <w:r w:rsidRPr="001E6DFD">
              <w:rPr>
                <w:sz w:val="16"/>
                <w:szCs w:val="16"/>
              </w:rPr>
              <w:t>n.d</w:t>
            </w:r>
            <w:proofErr w:type="spellEnd"/>
            <w:r w:rsidRPr="001E6DFD">
              <w:rPr>
                <w:sz w:val="16"/>
                <w:szCs w:val="16"/>
              </w:rPr>
              <w:t>.</w:t>
            </w:r>
          </w:p>
        </w:tc>
        <w:tc>
          <w:tcPr>
            <w:tcW w:w="584" w:type="pct"/>
            <w:shd w:val="clear" w:color="auto" w:fill="auto"/>
            <w:tcMar>
              <w:top w:w="110" w:type="dxa"/>
              <w:left w:w="58" w:type="dxa"/>
              <w:right w:w="58" w:type="dxa"/>
            </w:tcMar>
          </w:tcPr>
          <w:p w14:paraId="112D2E83" w14:textId="77777777" w:rsidR="00BA5EA9" w:rsidRPr="001E6DFD" w:rsidRDefault="00BA5EA9" w:rsidP="0097226C">
            <w:pPr>
              <w:rPr>
                <w:sz w:val="16"/>
                <w:szCs w:val="16"/>
              </w:rPr>
            </w:pPr>
            <w:r w:rsidRPr="001E6DFD">
              <w:rPr>
                <w:sz w:val="16"/>
                <w:szCs w:val="16"/>
              </w:rPr>
              <w:t>5</w:t>
            </w:r>
          </w:p>
        </w:tc>
        <w:tc>
          <w:tcPr>
            <w:tcW w:w="1517" w:type="pct"/>
            <w:shd w:val="clear" w:color="auto" w:fill="FFFFFF"/>
            <w:tcMar>
              <w:top w:w="110" w:type="dxa"/>
              <w:left w:w="58" w:type="dxa"/>
              <w:right w:w="58" w:type="dxa"/>
            </w:tcMar>
          </w:tcPr>
          <w:p w14:paraId="0D5E0FA4" w14:textId="21770488" w:rsidR="00BA5EA9" w:rsidRPr="000C5A53" w:rsidRDefault="00FA22F6" w:rsidP="0097226C">
            <w:pPr>
              <w:keepNext/>
              <w:keepLines/>
              <w:rPr>
                <w:sz w:val="16"/>
                <w:szCs w:val="16"/>
              </w:rPr>
            </w:pPr>
            <w:r w:rsidRPr="000C5A53">
              <w:rPr>
                <w:sz w:val="16"/>
                <w:szCs w:val="16"/>
              </w:rPr>
              <w:t>En 2016</w:t>
            </w:r>
            <w:r w:rsidR="00BA5EA9" w:rsidRPr="000C5A53">
              <w:rPr>
                <w:sz w:val="16"/>
                <w:szCs w:val="16"/>
              </w:rPr>
              <w:t>, 6</w:t>
            </w:r>
            <w:r w:rsidR="00B4191E" w:rsidRPr="000C5A53">
              <w:rPr>
                <w:sz w:val="16"/>
                <w:szCs w:val="16"/>
              </w:rPr>
              <w:t> </w:t>
            </w:r>
            <w:r w:rsidR="00756CE2" w:rsidRPr="000C5A53">
              <w:rPr>
                <w:sz w:val="16"/>
                <w:szCs w:val="16"/>
              </w:rPr>
              <w:t xml:space="preserve">accords de coopération et de partenariats </w:t>
            </w:r>
            <w:r w:rsidR="003F1677" w:rsidRPr="000C5A53">
              <w:rPr>
                <w:sz w:val="16"/>
                <w:szCs w:val="16"/>
              </w:rPr>
              <w:t xml:space="preserve">impliquant la </w:t>
            </w:r>
            <w:r w:rsidR="00BA5EA9" w:rsidRPr="000C5A53">
              <w:rPr>
                <w:sz w:val="16"/>
                <w:szCs w:val="16"/>
              </w:rPr>
              <w:t>Chin</w:t>
            </w:r>
            <w:r w:rsidR="00271523" w:rsidRPr="000C5A53">
              <w:rPr>
                <w:sz w:val="16"/>
                <w:szCs w:val="16"/>
              </w:rPr>
              <w:t>e</w:t>
            </w:r>
            <w:r w:rsidR="003F1677" w:rsidRPr="000C5A53">
              <w:rPr>
                <w:sz w:val="16"/>
                <w:szCs w:val="16"/>
              </w:rPr>
              <w:t xml:space="preserve"> (2), la France, la Malaisie</w:t>
            </w:r>
            <w:r w:rsidR="00BA5EA9" w:rsidRPr="000C5A53">
              <w:rPr>
                <w:sz w:val="16"/>
                <w:szCs w:val="16"/>
              </w:rPr>
              <w:t xml:space="preserve">, </w:t>
            </w:r>
            <w:r w:rsidR="003F1677" w:rsidRPr="000C5A53">
              <w:rPr>
                <w:sz w:val="16"/>
                <w:szCs w:val="16"/>
              </w:rPr>
              <w:t xml:space="preserve">le </w:t>
            </w:r>
            <w:r w:rsidR="00271523" w:rsidRPr="000C5A53">
              <w:rPr>
                <w:sz w:val="16"/>
                <w:szCs w:val="16"/>
              </w:rPr>
              <w:t>Maroc</w:t>
            </w:r>
            <w:r w:rsidR="00BA5EA9" w:rsidRPr="000C5A53">
              <w:rPr>
                <w:sz w:val="16"/>
                <w:szCs w:val="16"/>
              </w:rPr>
              <w:t xml:space="preserve">, </w:t>
            </w:r>
            <w:r w:rsidR="003F1677" w:rsidRPr="000C5A53">
              <w:rPr>
                <w:sz w:val="16"/>
                <w:szCs w:val="16"/>
              </w:rPr>
              <w:t xml:space="preserve">le </w:t>
            </w:r>
            <w:r w:rsidR="00BA5EA9" w:rsidRPr="000C5A53">
              <w:rPr>
                <w:sz w:val="16"/>
                <w:szCs w:val="16"/>
              </w:rPr>
              <w:t xml:space="preserve">Nicaragua </w:t>
            </w:r>
            <w:r w:rsidR="00271523" w:rsidRPr="000C5A53">
              <w:rPr>
                <w:sz w:val="16"/>
                <w:szCs w:val="16"/>
              </w:rPr>
              <w:t>et</w:t>
            </w:r>
            <w:r w:rsidR="00BA5EA9" w:rsidRPr="000C5A53">
              <w:rPr>
                <w:sz w:val="16"/>
                <w:szCs w:val="16"/>
              </w:rPr>
              <w:t xml:space="preserve"> </w:t>
            </w:r>
            <w:r w:rsidR="003F1677" w:rsidRPr="000C5A53">
              <w:rPr>
                <w:sz w:val="16"/>
                <w:szCs w:val="16"/>
              </w:rPr>
              <w:t xml:space="preserve">la </w:t>
            </w:r>
            <w:r w:rsidR="00271523" w:rsidRPr="000C5A53">
              <w:rPr>
                <w:sz w:val="16"/>
                <w:szCs w:val="16"/>
              </w:rPr>
              <w:t xml:space="preserve">Turquie </w:t>
            </w:r>
            <w:r w:rsidR="003F1677" w:rsidRPr="000C5A53">
              <w:rPr>
                <w:sz w:val="16"/>
                <w:szCs w:val="16"/>
              </w:rPr>
              <w:t>ont été conclus conformément à la nouvelle ligne de l</w:t>
            </w:r>
            <w:r w:rsidRPr="000C5A53">
              <w:rPr>
                <w:sz w:val="16"/>
                <w:szCs w:val="16"/>
              </w:rPr>
              <w:t>’</w:t>
            </w:r>
            <w:r w:rsidR="003F1677" w:rsidRPr="000C5A53">
              <w:rPr>
                <w:sz w:val="16"/>
                <w:szCs w:val="16"/>
              </w:rPr>
              <w:t>Académie</w:t>
            </w:r>
            <w:r w:rsidR="00BA5EA9" w:rsidRPr="000C5A53">
              <w:rPr>
                <w:sz w:val="16"/>
                <w:szCs w:val="16"/>
              </w:rPr>
              <w:t>.</w:t>
            </w:r>
          </w:p>
        </w:tc>
        <w:tc>
          <w:tcPr>
            <w:tcW w:w="512" w:type="pct"/>
            <w:shd w:val="clear" w:color="auto" w:fill="auto"/>
            <w:tcMar>
              <w:top w:w="110" w:type="dxa"/>
              <w:left w:w="58" w:type="dxa"/>
              <w:right w:w="58" w:type="dxa"/>
            </w:tcMar>
          </w:tcPr>
          <w:p w14:paraId="6C8AB4F5"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2789AFB0" w14:textId="77777777" w:rsidTr="00A055E7">
        <w:tc>
          <w:tcPr>
            <w:tcW w:w="1072" w:type="pct"/>
            <w:shd w:val="clear" w:color="auto" w:fill="auto"/>
            <w:tcMar>
              <w:left w:w="58" w:type="dxa"/>
              <w:right w:w="58" w:type="dxa"/>
            </w:tcMar>
          </w:tcPr>
          <w:p w14:paraId="45DAD773" w14:textId="191CC315" w:rsidR="00BA5EA9" w:rsidRPr="001E6DFD" w:rsidRDefault="00C10A48" w:rsidP="0097226C">
            <w:pPr>
              <w:rPr>
                <w:sz w:val="16"/>
                <w:szCs w:val="16"/>
              </w:rPr>
            </w:pPr>
            <w:r w:rsidRPr="001E6DFD">
              <w:rPr>
                <w:sz w:val="16"/>
                <w:szCs w:val="16"/>
              </w:rPr>
              <w:t>Pourcentage d</w:t>
            </w:r>
            <w:r w:rsidR="00FA22F6" w:rsidRPr="001E6DFD">
              <w:rPr>
                <w:sz w:val="16"/>
                <w:szCs w:val="16"/>
              </w:rPr>
              <w:t>’</w:t>
            </w:r>
            <w:r w:rsidRPr="001E6DFD">
              <w:rPr>
                <w:sz w:val="16"/>
                <w:szCs w:val="16"/>
              </w:rPr>
              <w:t>augmentation du nombre de participants suivant les cours d</w:t>
            </w:r>
            <w:r w:rsidR="00FA22F6" w:rsidRPr="001E6DFD">
              <w:rPr>
                <w:sz w:val="16"/>
                <w:szCs w:val="16"/>
              </w:rPr>
              <w:t>’</w:t>
            </w:r>
            <w:r w:rsidRPr="001E6DFD">
              <w:rPr>
                <w:sz w:val="16"/>
                <w:szCs w:val="16"/>
              </w:rPr>
              <w:t>enseignement à distance de l</w:t>
            </w:r>
            <w:r w:rsidR="00FA22F6" w:rsidRPr="001E6DFD">
              <w:rPr>
                <w:sz w:val="16"/>
                <w:szCs w:val="16"/>
              </w:rPr>
              <w:t>’</w:t>
            </w:r>
            <w:r w:rsidRPr="001E6DFD">
              <w:rPr>
                <w:sz w:val="16"/>
                <w:szCs w:val="16"/>
              </w:rPr>
              <w:t>Académie</w:t>
            </w:r>
          </w:p>
        </w:tc>
        <w:tc>
          <w:tcPr>
            <w:tcW w:w="1315" w:type="pct"/>
            <w:shd w:val="clear" w:color="auto" w:fill="auto"/>
            <w:tcMar>
              <w:left w:w="58" w:type="dxa"/>
              <w:right w:w="58" w:type="dxa"/>
            </w:tcMar>
          </w:tcPr>
          <w:p w14:paraId="1C4AD8C1" w14:textId="5CC4E85F" w:rsidR="00FA22F6" w:rsidRPr="000C5A53" w:rsidRDefault="00E64532" w:rsidP="0097226C">
            <w:pPr>
              <w:rPr>
                <w:i/>
                <w:color w:val="002060"/>
                <w:sz w:val="16"/>
                <w:szCs w:val="16"/>
              </w:rPr>
            </w:pPr>
            <w:r w:rsidRPr="000C5A53">
              <w:rPr>
                <w:i/>
                <w:color w:val="002060"/>
                <w:sz w:val="16"/>
                <w:szCs w:val="16"/>
              </w:rPr>
              <w:t>Niveau de référence actualisé à fin</w:t>
            </w:r>
            <w:r w:rsidR="00B4191E" w:rsidRPr="000C5A53">
              <w:rPr>
                <w:i/>
                <w:color w:val="002060"/>
                <w:sz w:val="16"/>
                <w:szCs w:val="16"/>
              </w:rPr>
              <w:t> </w:t>
            </w:r>
            <w:r w:rsidRPr="000C5A53">
              <w:rPr>
                <w:i/>
                <w:color w:val="002060"/>
                <w:sz w:val="16"/>
                <w:szCs w:val="16"/>
              </w:rPr>
              <w:t>2015</w:t>
            </w:r>
            <w:r w:rsidR="00FA22F6" w:rsidRPr="000C5A53">
              <w:rPr>
                <w:i/>
                <w:color w:val="002060"/>
                <w:sz w:val="16"/>
                <w:szCs w:val="16"/>
              </w:rPr>
              <w:t> :</w:t>
            </w:r>
          </w:p>
          <w:p w14:paraId="46A7B292" w14:textId="1012CEFD" w:rsidR="00FA22F6" w:rsidRPr="000C5A53" w:rsidRDefault="00282CF5" w:rsidP="0097226C">
            <w:pPr>
              <w:rPr>
                <w:color w:val="002060"/>
                <w:sz w:val="16"/>
                <w:szCs w:val="16"/>
              </w:rPr>
            </w:pPr>
            <w:r w:rsidRPr="000C5A53">
              <w:rPr>
                <w:color w:val="002060"/>
                <w:sz w:val="16"/>
                <w:szCs w:val="16"/>
              </w:rPr>
              <w:t>78 551</w:t>
            </w:r>
            <w:r w:rsidR="004D421A" w:rsidRPr="000C5A53">
              <w:rPr>
                <w:color w:val="002060"/>
                <w:sz w:val="16"/>
                <w:szCs w:val="16"/>
              </w:rPr>
              <w:t> </w:t>
            </w:r>
            <w:r w:rsidR="00BA5EA9" w:rsidRPr="000C5A53">
              <w:rPr>
                <w:color w:val="002060"/>
                <w:sz w:val="16"/>
                <w:szCs w:val="16"/>
              </w:rPr>
              <w:t>:</w:t>
            </w:r>
          </w:p>
          <w:p w14:paraId="095F56D0" w14:textId="7E6A14AA" w:rsidR="001F64B1" w:rsidRPr="000C5A53" w:rsidRDefault="00BA5EA9" w:rsidP="0097226C">
            <w:pPr>
              <w:rPr>
                <w:color w:val="002060"/>
                <w:sz w:val="16"/>
                <w:szCs w:val="16"/>
              </w:rPr>
            </w:pPr>
            <w:r w:rsidRPr="000C5A53">
              <w:rPr>
                <w:color w:val="002060"/>
                <w:sz w:val="16"/>
                <w:szCs w:val="16"/>
              </w:rPr>
              <w:t>2015 (</w:t>
            </w:r>
            <w:r w:rsidR="00282CF5" w:rsidRPr="000C5A53">
              <w:rPr>
                <w:color w:val="002060"/>
                <w:sz w:val="16"/>
                <w:szCs w:val="16"/>
              </w:rPr>
              <w:t>43 616</w:t>
            </w:r>
            <w:r w:rsidRPr="000C5A53">
              <w:rPr>
                <w:color w:val="002060"/>
                <w:sz w:val="16"/>
                <w:szCs w:val="16"/>
              </w:rPr>
              <w:t>)</w:t>
            </w:r>
          </w:p>
          <w:p w14:paraId="299217B8" w14:textId="77777777" w:rsidR="001F64B1" w:rsidRPr="000C5A53" w:rsidRDefault="00BA5EA9" w:rsidP="0097226C">
            <w:pPr>
              <w:rPr>
                <w:color w:val="002060"/>
                <w:sz w:val="16"/>
                <w:szCs w:val="16"/>
              </w:rPr>
            </w:pPr>
            <w:r w:rsidRPr="000C5A53">
              <w:rPr>
                <w:color w:val="002060"/>
                <w:sz w:val="16"/>
                <w:szCs w:val="16"/>
              </w:rPr>
              <w:t>2014 (</w:t>
            </w:r>
            <w:r w:rsidR="00282CF5" w:rsidRPr="000C5A53">
              <w:rPr>
                <w:color w:val="002060"/>
                <w:sz w:val="16"/>
                <w:szCs w:val="16"/>
              </w:rPr>
              <w:t>34 935</w:t>
            </w:r>
            <w:r w:rsidRPr="000C5A53">
              <w:rPr>
                <w:color w:val="002060"/>
                <w:sz w:val="16"/>
                <w:szCs w:val="16"/>
              </w:rPr>
              <w:t>)</w:t>
            </w:r>
          </w:p>
          <w:p w14:paraId="64A4C37C" w14:textId="77777777" w:rsidR="001F64B1" w:rsidRPr="001E6DFD" w:rsidRDefault="001F64B1" w:rsidP="0097226C">
            <w:pPr>
              <w:rPr>
                <w:sz w:val="16"/>
                <w:szCs w:val="16"/>
              </w:rPr>
            </w:pPr>
          </w:p>
          <w:p w14:paraId="35855183" w14:textId="7A60C7C5"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9CB5E66" w14:textId="2A7A6BC6" w:rsidR="00BA5EA9" w:rsidRPr="001E6DFD" w:rsidRDefault="00282CF5" w:rsidP="0097226C">
            <w:pPr>
              <w:rPr>
                <w:sz w:val="16"/>
                <w:szCs w:val="16"/>
              </w:rPr>
            </w:pPr>
            <w:r w:rsidRPr="001E6DFD">
              <w:rPr>
                <w:sz w:val="16"/>
                <w:szCs w:val="16"/>
              </w:rPr>
              <w:t>35 000</w:t>
            </w:r>
            <w:r w:rsidR="00BA5EA9" w:rsidRPr="001E6DFD">
              <w:rPr>
                <w:sz w:val="16"/>
                <w:szCs w:val="16"/>
              </w:rPr>
              <w:t xml:space="preserve"> (2014)</w:t>
            </w:r>
            <w:r w:rsidR="00BA5EA9" w:rsidRPr="001E6DFD">
              <w:rPr>
                <w:rStyle w:val="FootnoteReference"/>
                <w:rFonts w:cs="Arial"/>
                <w:szCs w:val="16"/>
              </w:rPr>
              <w:footnoteReference w:id="55"/>
            </w:r>
            <w:r w:rsidR="00BA5EA9" w:rsidRPr="001E6DFD">
              <w:rPr>
                <w:sz w:val="16"/>
                <w:szCs w:val="16"/>
              </w:rPr>
              <w:t xml:space="preserve"> </w:t>
            </w:r>
          </w:p>
        </w:tc>
        <w:tc>
          <w:tcPr>
            <w:tcW w:w="584" w:type="pct"/>
            <w:shd w:val="clear" w:color="auto" w:fill="auto"/>
            <w:tcMar>
              <w:top w:w="110" w:type="dxa"/>
              <w:left w:w="58" w:type="dxa"/>
              <w:right w:w="58" w:type="dxa"/>
            </w:tcMar>
          </w:tcPr>
          <w:p w14:paraId="19F14EAA" w14:textId="77777777" w:rsidR="00BA5EA9" w:rsidRPr="001E6DFD" w:rsidRDefault="00BA5EA9" w:rsidP="0097226C">
            <w:pPr>
              <w:rPr>
                <w:sz w:val="16"/>
                <w:szCs w:val="16"/>
              </w:rPr>
            </w:pPr>
            <w:r w:rsidRPr="001E6DFD">
              <w:rPr>
                <w:sz w:val="16"/>
                <w:szCs w:val="16"/>
              </w:rPr>
              <w:t>10%</w:t>
            </w:r>
          </w:p>
        </w:tc>
        <w:tc>
          <w:tcPr>
            <w:tcW w:w="1517" w:type="pct"/>
            <w:shd w:val="clear" w:color="auto" w:fill="FFFFFF"/>
            <w:tcMar>
              <w:top w:w="110" w:type="dxa"/>
              <w:left w:w="58" w:type="dxa"/>
              <w:right w:w="58" w:type="dxa"/>
            </w:tcMar>
          </w:tcPr>
          <w:p w14:paraId="5963A0E7" w14:textId="3E0A25A6" w:rsidR="00BA5EA9" w:rsidRPr="000C5A53" w:rsidRDefault="00BA5EA9" w:rsidP="0097226C">
            <w:pPr>
              <w:keepNext/>
              <w:keepLines/>
              <w:rPr>
                <w:sz w:val="16"/>
                <w:szCs w:val="16"/>
              </w:rPr>
            </w:pPr>
            <w:r w:rsidRPr="000C5A53">
              <w:rPr>
                <w:sz w:val="16"/>
                <w:szCs w:val="16"/>
              </w:rPr>
              <w:t>25% (</w:t>
            </w:r>
            <w:r w:rsidR="00282CF5" w:rsidRPr="000C5A53">
              <w:rPr>
                <w:sz w:val="16"/>
                <w:szCs w:val="16"/>
              </w:rPr>
              <w:t>54 596</w:t>
            </w:r>
            <w:r w:rsidRPr="000C5A53">
              <w:rPr>
                <w:sz w:val="16"/>
                <w:szCs w:val="16"/>
              </w:rPr>
              <w:t>)</w:t>
            </w:r>
            <w:r w:rsidR="00C0602C" w:rsidRPr="000C5A53">
              <w:rPr>
                <w:sz w:val="16"/>
                <w:szCs w:val="16"/>
              </w:rPr>
              <w:t xml:space="preserve"> d</w:t>
            </w:r>
            <w:r w:rsidR="00FA22F6" w:rsidRPr="000C5A53">
              <w:rPr>
                <w:sz w:val="16"/>
                <w:szCs w:val="16"/>
              </w:rPr>
              <w:t>’</w:t>
            </w:r>
            <w:r w:rsidR="00C0602C" w:rsidRPr="000C5A53">
              <w:rPr>
                <w:sz w:val="16"/>
                <w:szCs w:val="16"/>
              </w:rPr>
              <w:t>augmentation par rapport à</w:t>
            </w:r>
            <w:r w:rsidRPr="000C5A53">
              <w:rPr>
                <w:sz w:val="16"/>
                <w:szCs w:val="16"/>
              </w:rPr>
              <w:t xml:space="preserve"> 2015</w:t>
            </w:r>
          </w:p>
        </w:tc>
        <w:tc>
          <w:tcPr>
            <w:tcW w:w="512" w:type="pct"/>
            <w:shd w:val="clear" w:color="auto" w:fill="auto"/>
            <w:tcMar>
              <w:top w:w="110" w:type="dxa"/>
              <w:left w:w="58" w:type="dxa"/>
              <w:right w:w="58" w:type="dxa"/>
            </w:tcMar>
          </w:tcPr>
          <w:p w14:paraId="5E20B341"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2BF6175C" w14:textId="77777777" w:rsidTr="00A055E7">
        <w:tc>
          <w:tcPr>
            <w:tcW w:w="1072" w:type="pct"/>
            <w:shd w:val="clear" w:color="auto" w:fill="auto"/>
            <w:tcMar>
              <w:left w:w="58" w:type="dxa"/>
              <w:right w:w="58" w:type="dxa"/>
            </w:tcMar>
          </w:tcPr>
          <w:p w14:paraId="6825BC11" w14:textId="5F1B4294" w:rsidR="00BA5EA9" w:rsidRPr="001E6DFD" w:rsidRDefault="00C10A48" w:rsidP="000C5A53">
            <w:pPr>
              <w:keepNext/>
              <w:keepLines/>
              <w:rPr>
                <w:sz w:val="16"/>
                <w:szCs w:val="16"/>
              </w:rPr>
            </w:pPr>
            <w:r w:rsidRPr="001E6DFD">
              <w:rPr>
                <w:sz w:val="16"/>
                <w:szCs w:val="16"/>
              </w:rPr>
              <w:lastRenderedPageBreak/>
              <w:t>Nombre de cours d</w:t>
            </w:r>
            <w:r w:rsidR="00FA22F6" w:rsidRPr="001E6DFD">
              <w:rPr>
                <w:sz w:val="16"/>
                <w:szCs w:val="16"/>
              </w:rPr>
              <w:t>’</w:t>
            </w:r>
            <w:r w:rsidRPr="001E6DFD">
              <w:rPr>
                <w:sz w:val="16"/>
                <w:szCs w:val="16"/>
              </w:rPr>
              <w:t>enseignement à distance ayant été examinés et mis à jour</w:t>
            </w:r>
          </w:p>
        </w:tc>
        <w:tc>
          <w:tcPr>
            <w:tcW w:w="1315" w:type="pct"/>
            <w:shd w:val="clear" w:color="auto" w:fill="auto"/>
            <w:tcMar>
              <w:left w:w="58" w:type="dxa"/>
              <w:right w:w="58" w:type="dxa"/>
            </w:tcMar>
          </w:tcPr>
          <w:p w14:paraId="0AACBCCF" w14:textId="49171D59" w:rsidR="001F64B1" w:rsidRPr="000C5A53" w:rsidRDefault="00E64532" w:rsidP="000C5A53">
            <w:pPr>
              <w:keepNext/>
              <w:keepLines/>
              <w:rPr>
                <w:i/>
                <w:color w:val="002060"/>
                <w:sz w:val="16"/>
                <w:szCs w:val="16"/>
              </w:rPr>
            </w:pPr>
            <w:r w:rsidRPr="000C5A53">
              <w:rPr>
                <w:i/>
                <w:color w:val="002060"/>
                <w:sz w:val="16"/>
                <w:szCs w:val="16"/>
              </w:rPr>
              <w:t>Niveau de référence actualisé à fin</w:t>
            </w:r>
            <w:r w:rsidR="00B4191E" w:rsidRPr="000C5A53">
              <w:rPr>
                <w:i/>
                <w:color w:val="002060"/>
                <w:sz w:val="16"/>
                <w:szCs w:val="16"/>
              </w:rPr>
              <w:t> </w:t>
            </w:r>
            <w:r w:rsidRPr="000C5A53">
              <w:rPr>
                <w:i/>
                <w:color w:val="002060"/>
                <w:sz w:val="16"/>
                <w:szCs w:val="16"/>
              </w:rPr>
              <w:t>2015</w:t>
            </w:r>
            <w:r w:rsidR="00FA22F6" w:rsidRPr="000C5A53">
              <w:rPr>
                <w:i/>
                <w:color w:val="002060"/>
                <w:sz w:val="16"/>
                <w:szCs w:val="16"/>
              </w:rPr>
              <w:t> :</w:t>
            </w:r>
          </w:p>
          <w:p w14:paraId="1FD40281" w14:textId="77777777" w:rsidR="001F64B1" w:rsidRPr="000C5A53" w:rsidRDefault="00BA5EA9" w:rsidP="000C5A53">
            <w:pPr>
              <w:keepNext/>
              <w:keepLines/>
              <w:rPr>
                <w:color w:val="002060"/>
                <w:sz w:val="16"/>
                <w:szCs w:val="16"/>
              </w:rPr>
            </w:pPr>
            <w:r w:rsidRPr="000C5A53">
              <w:rPr>
                <w:color w:val="002060"/>
                <w:sz w:val="16"/>
                <w:szCs w:val="16"/>
              </w:rPr>
              <w:t>2</w:t>
            </w:r>
          </w:p>
          <w:p w14:paraId="2370D646" w14:textId="77777777" w:rsidR="001F64B1" w:rsidRPr="001E6DFD" w:rsidRDefault="001F64B1" w:rsidP="000C5A53">
            <w:pPr>
              <w:keepNext/>
              <w:keepLines/>
              <w:rPr>
                <w:sz w:val="16"/>
                <w:szCs w:val="16"/>
              </w:rPr>
            </w:pPr>
          </w:p>
          <w:p w14:paraId="2A40CEA7" w14:textId="4B9DE32D" w:rsidR="00FA22F6" w:rsidRPr="001E6DFD" w:rsidRDefault="00E64532" w:rsidP="000C5A53">
            <w:pPr>
              <w:keepNext/>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FEA651A" w14:textId="5694EC79" w:rsidR="00BA5EA9" w:rsidRPr="001E6DFD" w:rsidRDefault="00BA5EA9" w:rsidP="000C5A53">
            <w:pPr>
              <w:keepNext/>
              <w:keepLines/>
              <w:rPr>
                <w:i/>
                <w:sz w:val="16"/>
                <w:szCs w:val="16"/>
                <w:lang w:bidi="th-TH"/>
              </w:rPr>
            </w:pPr>
            <w:r w:rsidRPr="001E6DFD">
              <w:rPr>
                <w:sz w:val="16"/>
                <w:szCs w:val="16"/>
              </w:rPr>
              <w:t>0</w:t>
            </w:r>
          </w:p>
        </w:tc>
        <w:tc>
          <w:tcPr>
            <w:tcW w:w="584" w:type="pct"/>
            <w:shd w:val="clear" w:color="auto" w:fill="auto"/>
            <w:tcMar>
              <w:top w:w="110" w:type="dxa"/>
              <w:left w:w="58" w:type="dxa"/>
              <w:right w:w="58" w:type="dxa"/>
            </w:tcMar>
          </w:tcPr>
          <w:p w14:paraId="4E35553C" w14:textId="77777777" w:rsidR="00BA5EA9" w:rsidRPr="001E6DFD" w:rsidRDefault="00BA5EA9" w:rsidP="000C5A53">
            <w:pPr>
              <w:keepNext/>
              <w:keepLines/>
              <w:rPr>
                <w:sz w:val="16"/>
                <w:szCs w:val="16"/>
              </w:rPr>
            </w:pPr>
            <w:r w:rsidRPr="001E6DFD">
              <w:rPr>
                <w:sz w:val="16"/>
                <w:szCs w:val="16"/>
              </w:rPr>
              <w:t>4</w:t>
            </w:r>
          </w:p>
        </w:tc>
        <w:tc>
          <w:tcPr>
            <w:tcW w:w="1517" w:type="pct"/>
            <w:shd w:val="clear" w:color="auto" w:fill="FFFFFF"/>
            <w:tcMar>
              <w:top w:w="110" w:type="dxa"/>
              <w:left w:w="58" w:type="dxa"/>
              <w:right w:w="58" w:type="dxa"/>
            </w:tcMar>
          </w:tcPr>
          <w:p w14:paraId="6F13C0E0" w14:textId="16C659D3" w:rsidR="001F64B1" w:rsidRPr="000C5A53" w:rsidRDefault="00BA5EA9" w:rsidP="000C5A53">
            <w:pPr>
              <w:keepNext/>
              <w:keepLines/>
              <w:rPr>
                <w:sz w:val="16"/>
                <w:szCs w:val="16"/>
              </w:rPr>
            </w:pPr>
            <w:r w:rsidRPr="000C5A53">
              <w:rPr>
                <w:sz w:val="16"/>
                <w:szCs w:val="16"/>
              </w:rPr>
              <w:t xml:space="preserve">2 </w:t>
            </w:r>
            <w:r w:rsidR="000542D7" w:rsidRPr="000C5A53">
              <w:rPr>
                <w:sz w:val="16"/>
                <w:szCs w:val="16"/>
              </w:rPr>
              <w:t xml:space="preserve">cours supplémentaires </w:t>
            </w:r>
            <w:r w:rsidR="00FA22F6" w:rsidRPr="000C5A53">
              <w:rPr>
                <w:sz w:val="16"/>
                <w:szCs w:val="16"/>
              </w:rPr>
              <w:t>en 2016 :</w:t>
            </w:r>
          </w:p>
          <w:p w14:paraId="63DB48A9" w14:textId="1DEBCA7C" w:rsidR="001F64B1" w:rsidRPr="000C5A53" w:rsidRDefault="000C5A53" w:rsidP="000C5A53">
            <w:pPr>
              <w:keepNext/>
              <w:keepLines/>
              <w:rPr>
                <w:sz w:val="16"/>
                <w:szCs w:val="16"/>
              </w:rPr>
            </w:pPr>
            <w:r>
              <w:rPr>
                <w:sz w:val="16"/>
                <w:szCs w:val="16"/>
              </w:rPr>
              <w:t xml:space="preserve">– </w:t>
            </w:r>
            <w:r w:rsidR="00BA5EA9" w:rsidRPr="000C5A53">
              <w:rPr>
                <w:sz w:val="16"/>
                <w:szCs w:val="16"/>
              </w:rPr>
              <w:t>DL318</w:t>
            </w:r>
            <w:r w:rsidR="00FA22F6" w:rsidRPr="000C5A53">
              <w:rPr>
                <w:sz w:val="16"/>
                <w:szCs w:val="16"/>
              </w:rPr>
              <w:t> :</w:t>
            </w:r>
            <w:r w:rsidR="00BA5EA9" w:rsidRPr="000C5A53">
              <w:rPr>
                <w:sz w:val="16"/>
                <w:szCs w:val="16"/>
              </w:rPr>
              <w:t xml:space="preserve"> </w:t>
            </w:r>
            <w:r w:rsidR="000542D7" w:rsidRPr="000C5A53">
              <w:rPr>
                <w:sz w:val="16"/>
                <w:szCs w:val="16"/>
              </w:rPr>
              <w:t>recherches d</w:t>
            </w:r>
            <w:r w:rsidR="00FA22F6" w:rsidRPr="000C5A53">
              <w:rPr>
                <w:sz w:val="16"/>
                <w:szCs w:val="16"/>
              </w:rPr>
              <w:t>’</w:t>
            </w:r>
            <w:r w:rsidR="000542D7" w:rsidRPr="000C5A53">
              <w:rPr>
                <w:sz w:val="16"/>
                <w:szCs w:val="16"/>
              </w:rPr>
              <w:t>information</w:t>
            </w:r>
            <w:r w:rsidR="00CB225F" w:rsidRPr="000C5A53">
              <w:rPr>
                <w:sz w:val="16"/>
                <w:szCs w:val="16"/>
              </w:rPr>
              <w:t>s</w:t>
            </w:r>
            <w:r w:rsidR="000542D7" w:rsidRPr="000C5A53">
              <w:rPr>
                <w:sz w:val="16"/>
                <w:szCs w:val="16"/>
              </w:rPr>
              <w:t xml:space="preserve"> en matière de </w:t>
            </w:r>
            <w:r w:rsidR="004D421A" w:rsidRPr="000C5A53">
              <w:rPr>
                <w:sz w:val="16"/>
                <w:szCs w:val="16"/>
              </w:rPr>
              <w:t>brevets</w:t>
            </w:r>
          </w:p>
          <w:p w14:paraId="6E7F5BD3" w14:textId="4813860B" w:rsidR="001F64B1" w:rsidRPr="000C5A53" w:rsidRDefault="000C5A53" w:rsidP="000C5A53">
            <w:pPr>
              <w:keepNext/>
              <w:keepLines/>
              <w:rPr>
                <w:sz w:val="16"/>
                <w:szCs w:val="16"/>
              </w:rPr>
            </w:pPr>
            <w:r>
              <w:rPr>
                <w:sz w:val="16"/>
                <w:szCs w:val="16"/>
              </w:rPr>
              <w:t xml:space="preserve">– </w:t>
            </w:r>
            <w:r w:rsidR="00BA5EA9" w:rsidRPr="000C5A53">
              <w:rPr>
                <w:sz w:val="16"/>
                <w:szCs w:val="16"/>
              </w:rPr>
              <w:t>DL320</w:t>
            </w:r>
            <w:r w:rsidR="00FA22F6" w:rsidRPr="000C5A53">
              <w:rPr>
                <w:sz w:val="16"/>
                <w:szCs w:val="16"/>
              </w:rPr>
              <w:t> :</w:t>
            </w:r>
            <w:r w:rsidR="00F94AC1" w:rsidRPr="000C5A53">
              <w:rPr>
                <w:sz w:val="16"/>
                <w:szCs w:val="16"/>
              </w:rPr>
              <w:t xml:space="preserve"> principes applicables à la rédaction des demandes de brevet</w:t>
            </w:r>
          </w:p>
          <w:p w14:paraId="26F2A517" w14:textId="45C8F61B" w:rsidR="00BA5EA9" w:rsidRPr="000C5A53" w:rsidRDefault="00BA5EA9" w:rsidP="000C5A53">
            <w:pPr>
              <w:keepNext/>
              <w:keepLines/>
              <w:rPr>
                <w:sz w:val="16"/>
                <w:szCs w:val="16"/>
              </w:rPr>
            </w:pPr>
            <w:r w:rsidRPr="000C5A53">
              <w:rPr>
                <w:sz w:val="16"/>
                <w:szCs w:val="16"/>
              </w:rPr>
              <w:t>(4</w:t>
            </w:r>
            <w:r w:rsidR="00CB225F" w:rsidRPr="000C5A53">
              <w:rPr>
                <w:sz w:val="16"/>
                <w:szCs w:val="16"/>
              </w:rPr>
              <w:t xml:space="preserve"> au total)</w:t>
            </w:r>
          </w:p>
        </w:tc>
        <w:tc>
          <w:tcPr>
            <w:tcW w:w="512" w:type="pct"/>
            <w:shd w:val="clear" w:color="auto" w:fill="auto"/>
            <w:tcMar>
              <w:top w:w="110" w:type="dxa"/>
              <w:left w:w="58" w:type="dxa"/>
              <w:right w:w="58" w:type="dxa"/>
            </w:tcMar>
          </w:tcPr>
          <w:p w14:paraId="45B42B83" w14:textId="77777777" w:rsidR="00BA5EA9" w:rsidRPr="001E6DFD" w:rsidRDefault="00A43B2F" w:rsidP="000C5A53">
            <w:pPr>
              <w:keepNext/>
              <w:keepLines/>
              <w:jc w:val="center"/>
              <w:rPr>
                <w:b/>
                <w:sz w:val="16"/>
                <w:szCs w:val="16"/>
              </w:rPr>
            </w:pPr>
            <w:r w:rsidRPr="001E6DFD">
              <w:rPr>
                <w:b/>
                <w:color w:val="00B050"/>
                <w:sz w:val="16"/>
                <w:szCs w:val="16"/>
              </w:rPr>
              <w:t>En bonne voie</w:t>
            </w:r>
          </w:p>
        </w:tc>
      </w:tr>
      <w:tr w:rsidR="00BA5EA9" w:rsidRPr="001E6DFD" w14:paraId="192836A8" w14:textId="77777777" w:rsidTr="00A055E7">
        <w:tc>
          <w:tcPr>
            <w:tcW w:w="1072" w:type="pct"/>
            <w:shd w:val="clear" w:color="auto" w:fill="auto"/>
            <w:tcMar>
              <w:left w:w="58" w:type="dxa"/>
              <w:right w:w="58" w:type="dxa"/>
            </w:tcMar>
          </w:tcPr>
          <w:p w14:paraId="1AEAE4F0" w14:textId="77777777" w:rsidR="00BA5EA9" w:rsidRPr="001E6DFD" w:rsidRDefault="00C10A48" w:rsidP="0097226C">
            <w:pPr>
              <w:rPr>
                <w:sz w:val="16"/>
                <w:szCs w:val="16"/>
              </w:rPr>
            </w:pPr>
            <w:r w:rsidRPr="001E6DFD">
              <w:rPr>
                <w:sz w:val="16"/>
                <w:szCs w:val="16"/>
              </w:rPr>
              <w:t>Nombre de nouvelles académies nationales créées dans le cadre du projet devenues viables</w:t>
            </w:r>
            <w:r w:rsidRPr="001E6DFD">
              <w:rPr>
                <w:rStyle w:val="FootnoteReference"/>
                <w:rFonts w:cs="Arial"/>
                <w:szCs w:val="16"/>
              </w:rPr>
              <w:footnoteReference w:id="56"/>
            </w:r>
          </w:p>
        </w:tc>
        <w:tc>
          <w:tcPr>
            <w:tcW w:w="1315" w:type="pct"/>
            <w:shd w:val="clear" w:color="auto" w:fill="auto"/>
            <w:tcMar>
              <w:left w:w="58" w:type="dxa"/>
              <w:right w:w="58" w:type="dxa"/>
            </w:tcMar>
          </w:tcPr>
          <w:p w14:paraId="405D8DB9" w14:textId="77777777" w:rsidR="00BA5EA9" w:rsidRPr="001E6DFD" w:rsidRDefault="00BA5EA9" w:rsidP="0097226C">
            <w:pPr>
              <w:rPr>
                <w:sz w:val="16"/>
                <w:szCs w:val="16"/>
              </w:rPr>
            </w:pPr>
            <w:r w:rsidRPr="001E6DFD">
              <w:rPr>
                <w:sz w:val="16"/>
                <w:szCs w:val="16"/>
              </w:rPr>
              <w:t xml:space="preserve">0 </w:t>
            </w:r>
          </w:p>
        </w:tc>
        <w:tc>
          <w:tcPr>
            <w:tcW w:w="584" w:type="pct"/>
            <w:shd w:val="clear" w:color="auto" w:fill="auto"/>
            <w:tcMar>
              <w:top w:w="110" w:type="dxa"/>
              <w:left w:w="58" w:type="dxa"/>
              <w:right w:w="58" w:type="dxa"/>
            </w:tcMar>
          </w:tcPr>
          <w:p w14:paraId="6012D76F" w14:textId="77777777" w:rsidR="00BA5EA9" w:rsidRPr="001E6DFD" w:rsidRDefault="00BA5EA9" w:rsidP="0097226C">
            <w:pPr>
              <w:rPr>
                <w:sz w:val="16"/>
                <w:szCs w:val="16"/>
              </w:rPr>
            </w:pPr>
            <w:r w:rsidRPr="001E6DFD">
              <w:rPr>
                <w:sz w:val="16"/>
                <w:szCs w:val="16"/>
              </w:rPr>
              <w:t>4</w:t>
            </w:r>
          </w:p>
        </w:tc>
        <w:tc>
          <w:tcPr>
            <w:tcW w:w="1517" w:type="pct"/>
            <w:shd w:val="clear" w:color="auto" w:fill="FFFFFF"/>
            <w:tcMar>
              <w:top w:w="110" w:type="dxa"/>
              <w:left w:w="58" w:type="dxa"/>
              <w:right w:w="58" w:type="dxa"/>
            </w:tcMar>
          </w:tcPr>
          <w:p w14:paraId="4DDFA660" w14:textId="79D47BE4" w:rsidR="00BA5EA9" w:rsidRPr="000C5A53" w:rsidRDefault="005444D1" w:rsidP="0097226C">
            <w:pPr>
              <w:keepNext/>
              <w:keepLines/>
              <w:rPr>
                <w:sz w:val="16"/>
                <w:szCs w:val="16"/>
              </w:rPr>
            </w:pPr>
            <w:r w:rsidRPr="000C5A53">
              <w:rPr>
                <w:sz w:val="16"/>
                <w:szCs w:val="16"/>
              </w:rPr>
              <w:t xml:space="preserve">Les données seront recueillies </w:t>
            </w:r>
            <w:r w:rsidR="00FA22F6" w:rsidRPr="000C5A53">
              <w:rPr>
                <w:sz w:val="16"/>
                <w:szCs w:val="16"/>
              </w:rPr>
              <w:t>en 2017</w:t>
            </w:r>
          </w:p>
        </w:tc>
        <w:tc>
          <w:tcPr>
            <w:tcW w:w="512" w:type="pct"/>
            <w:shd w:val="clear" w:color="auto" w:fill="auto"/>
            <w:tcMar>
              <w:top w:w="110" w:type="dxa"/>
              <w:left w:w="58" w:type="dxa"/>
              <w:right w:w="58" w:type="dxa"/>
            </w:tcMar>
          </w:tcPr>
          <w:p w14:paraId="17FE7DAE" w14:textId="3605BF98" w:rsidR="00BA5EA9" w:rsidRPr="001E6DFD" w:rsidRDefault="00B649F5" w:rsidP="0097226C">
            <w:pPr>
              <w:keepNext/>
              <w:keepLines/>
              <w:jc w:val="center"/>
              <w:rPr>
                <w:b/>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2E6A0799" w14:textId="77777777" w:rsidTr="00A055E7">
        <w:tc>
          <w:tcPr>
            <w:tcW w:w="1072" w:type="pct"/>
            <w:shd w:val="clear" w:color="auto" w:fill="auto"/>
            <w:tcMar>
              <w:left w:w="58" w:type="dxa"/>
              <w:right w:w="58" w:type="dxa"/>
            </w:tcMar>
          </w:tcPr>
          <w:p w14:paraId="36C59895" w14:textId="7F835C49" w:rsidR="00BA5EA9" w:rsidRPr="001E6DFD" w:rsidRDefault="00C10A48" w:rsidP="0097226C">
            <w:pPr>
              <w:rPr>
                <w:sz w:val="16"/>
                <w:szCs w:val="16"/>
              </w:rPr>
            </w:pPr>
            <w:r w:rsidRPr="001E6DFD">
              <w:rPr>
                <w:sz w:val="16"/>
                <w:szCs w:val="16"/>
              </w:rPr>
              <w:t>Nouveaux cours et programmes d</w:t>
            </w:r>
            <w:r w:rsidR="00FA22F6" w:rsidRPr="001E6DFD">
              <w:rPr>
                <w:sz w:val="16"/>
                <w:szCs w:val="16"/>
              </w:rPr>
              <w:t>’</w:t>
            </w:r>
            <w:r w:rsidRPr="001E6DFD">
              <w:rPr>
                <w:sz w:val="16"/>
                <w:szCs w:val="16"/>
              </w:rPr>
              <w:t>enseignement améliorés dans le domaine de la propriété intellectuelle dispensés dans les établissements d</w:t>
            </w:r>
            <w:r w:rsidR="00FA22F6" w:rsidRPr="001E6DFD">
              <w:rPr>
                <w:sz w:val="16"/>
                <w:szCs w:val="16"/>
              </w:rPr>
              <w:t>’</w:t>
            </w:r>
            <w:r w:rsidRPr="001E6DFD">
              <w:rPr>
                <w:sz w:val="16"/>
                <w:szCs w:val="16"/>
              </w:rPr>
              <w:t>enseignement</w:t>
            </w:r>
          </w:p>
        </w:tc>
        <w:tc>
          <w:tcPr>
            <w:tcW w:w="1315" w:type="pct"/>
            <w:shd w:val="clear" w:color="auto" w:fill="auto"/>
            <w:tcMar>
              <w:left w:w="58" w:type="dxa"/>
              <w:right w:w="58" w:type="dxa"/>
            </w:tcMar>
          </w:tcPr>
          <w:p w14:paraId="557B65E4" w14:textId="6C822773" w:rsidR="001F64B1" w:rsidRPr="000C5A53" w:rsidRDefault="00E64532" w:rsidP="0097226C">
            <w:pPr>
              <w:rPr>
                <w:color w:val="002060"/>
                <w:sz w:val="16"/>
                <w:szCs w:val="16"/>
              </w:rPr>
            </w:pPr>
            <w:r w:rsidRPr="000C5A53">
              <w:rPr>
                <w:i/>
                <w:color w:val="002060"/>
                <w:sz w:val="16"/>
                <w:szCs w:val="16"/>
              </w:rPr>
              <w:t>Niveau de référence actualisé à fin</w:t>
            </w:r>
            <w:r w:rsidR="00B4191E" w:rsidRPr="000C5A53">
              <w:rPr>
                <w:i/>
                <w:color w:val="002060"/>
                <w:sz w:val="16"/>
                <w:szCs w:val="16"/>
              </w:rPr>
              <w:t> </w:t>
            </w:r>
            <w:r w:rsidRPr="000C5A53">
              <w:rPr>
                <w:i/>
                <w:color w:val="002060"/>
                <w:sz w:val="16"/>
                <w:szCs w:val="16"/>
              </w:rPr>
              <w:t>2015</w:t>
            </w:r>
            <w:r w:rsidR="00FA22F6" w:rsidRPr="000C5A53">
              <w:rPr>
                <w:i/>
                <w:color w:val="002060"/>
                <w:sz w:val="16"/>
                <w:szCs w:val="16"/>
              </w:rPr>
              <w:t> :</w:t>
            </w:r>
          </w:p>
          <w:p w14:paraId="19D18983" w14:textId="3AE95537" w:rsidR="00FA22F6" w:rsidRPr="000C5A53" w:rsidRDefault="00BA5EA9" w:rsidP="0097226C">
            <w:pPr>
              <w:rPr>
                <w:color w:val="002060"/>
                <w:sz w:val="16"/>
                <w:szCs w:val="16"/>
              </w:rPr>
            </w:pPr>
            <w:r w:rsidRPr="000C5A53">
              <w:rPr>
                <w:color w:val="002060"/>
                <w:sz w:val="16"/>
                <w:szCs w:val="16"/>
              </w:rPr>
              <w:t xml:space="preserve">3 </w:t>
            </w:r>
            <w:r w:rsidR="00E45878" w:rsidRPr="000C5A53">
              <w:rPr>
                <w:color w:val="002060"/>
                <w:sz w:val="16"/>
                <w:szCs w:val="16"/>
              </w:rPr>
              <w:t>nouveaux programmes d</w:t>
            </w:r>
            <w:r w:rsidR="00FA22F6" w:rsidRPr="000C5A53">
              <w:rPr>
                <w:color w:val="002060"/>
                <w:sz w:val="16"/>
                <w:szCs w:val="16"/>
              </w:rPr>
              <w:t>’</w:t>
            </w:r>
            <w:r w:rsidR="00E45878" w:rsidRPr="000C5A53">
              <w:rPr>
                <w:color w:val="002060"/>
                <w:sz w:val="16"/>
                <w:szCs w:val="16"/>
              </w:rPr>
              <w:t>enseignement</w:t>
            </w:r>
          </w:p>
          <w:p w14:paraId="0BC14AB5" w14:textId="24C987B3" w:rsidR="001F64B1" w:rsidRPr="000C5A53" w:rsidRDefault="00BA5EA9" w:rsidP="0097226C">
            <w:pPr>
              <w:rPr>
                <w:color w:val="002060"/>
                <w:sz w:val="16"/>
                <w:szCs w:val="16"/>
              </w:rPr>
            </w:pPr>
            <w:r w:rsidRPr="000C5A53">
              <w:rPr>
                <w:color w:val="002060"/>
                <w:sz w:val="16"/>
                <w:szCs w:val="16"/>
              </w:rPr>
              <w:t xml:space="preserve">5 </w:t>
            </w:r>
            <w:r w:rsidR="00E45878" w:rsidRPr="000C5A53">
              <w:rPr>
                <w:color w:val="002060"/>
                <w:sz w:val="16"/>
                <w:szCs w:val="16"/>
              </w:rPr>
              <w:t>universités ont amélioré leurs programmes d</w:t>
            </w:r>
            <w:r w:rsidR="00FA22F6" w:rsidRPr="000C5A53">
              <w:rPr>
                <w:color w:val="002060"/>
                <w:sz w:val="16"/>
                <w:szCs w:val="16"/>
              </w:rPr>
              <w:t>’</w:t>
            </w:r>
            <w:r w:rsidR="00E45878" w:rsidRPr="000C5A53">
              <w:rPr>
                <w:color w:val="002060"/>
                <w:sz w:val="16"/>
                <w:szCs w:val="16"/>
              </w:rPr>
              <w:t>enseignement en matière de propriété intellectuelle (</w:t>
            </w:r>
            <w:r w:rsidR="00FA22F6" w:rsidRPr="000C5A53">
              <w:rPr>
                <w:color w:val="002060"/>
                <w:sz w:val="16"/>
                <w:szCs w:val="16"/>
              </w:rPr>
              <w:t>en 2014</w:t>
            </w:r>
            <w:r w:rsidR="006A41CF" w:rsidRPr="000C5A53">
              <w:rPr>
                <w:color w:val="002060"/>
                <w:sz w:val="16"/>
                <w:szCs w:val="16"/>
              </w:rPr>
              <w:noBreakHyphen/>
            </w:r>
            <w:r w:rsidR="00E45878" w:rsidRPr="000C5A53">
              <w:rPr>
                <w:color w:val="002060"/>
                <w:sz w:val="16"/>
                <w:szCs w:val="16"/>
              </w:rPr>
              <w:t>2015)</w:t>
            </w:r>
          </w:p>
          <w:p w14:paraId="115BA93F" w14:textId="77777777" w:rsidR="001F64B1" w:rsidRPr="001E6DFD" w:rsidRDefault="001F64B1" w:rsidP="0097226C">
            <w:pPr>
              <w:rPr>
                <w:sz w:val="16"/>
                <w:szCs w:val="16"/>
              </w:rPr>
            </w:pPr>
          </w:p>
          <w:p w14:paraId="04787ECD" w14:textId="3DB582F7"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1DA538B2" w14:textId="77777777" w:rsidR="00BA5EA9" w:rsidRPr="001E6DFD" w:rsidRDefault="00BA5EA9" w:rsidP="0097226C">
            <w:pPr>
              <w:rPr>
                <w:sz w:val="16"/>
                <w:szCs w:val="16"/>
              </w:rPr>
            </w:pPr>
            <w:r w:rsidRPr="001E6DFD">
              <w:rPr>
                <w:sz w:val="16"/>
                <w:szCs w:val="16"/>
              </w:rPr>
              <w:t>5</w:t>
            </w:r>
          </w:p>
        </w:tc>
        <w:tc>
          <w:tcPr>
            <w:tcW w:w="584" w:type="pct"/>
            <w:shd w:val="clear" w:color="auto" w:fill="auto"/>
            <w:tcMar>
              <w:top w:w="110" w:type="dxa"/>
              <w:left w:w="58" w:type="dxa"/>
              <w:right w:w="58" w:type="dxa"/>
            </w:tcMar>
          </w:tcPr>
          <w:p w14:paraId="667CBD4F" w14:textId="77777777" w:rsidR="00BA5EA9" w:rsidRPr="001E6DFD" w:rsidRDefault="00C10A48" w:rsidP="0097226C">
            <w:pPr>
              <w:rPr>
                <w:sz w:val="16"/>
                <w:szCs w:val="16"/>
              </w:rPr>
            </w:pPr>
            <w:r w:rsidRPr="001E6DFD">
              <w:rPr>
                <w:sz w:val="16"/>
                <w:szCs w:val="16"/>
              </w:rPr>
              <w:t>Augmentation de 20%</w:t>
            </w:r>
          </w:p>
        </w:tc>
        <w:tc>
          <w:tcPr>
            <w:tcW w:w="1517" w:type="pct"/>
            <w:shd w:val="clear" w:color="auto" w:fill="FFFFFF"/>
            <w:tcMar>
              <w:top w:w="110" w:type="dxa"/>
              <w:left w:w="58" w:type="dxa"/>
              <w:right w:w="58" w:type="dxa"/>
            </w:tcMar>
          </w:tcPr>
          <w:p w14:paraId="5A7765D3" w14:textId="7513A7BC" w:rsidR="001F64B1" w:rsidRPr="000C5A53" w:rsidRDefault="00BA5EA9" w:rsidP="00DF598E">
            <w:pPr>
              <w:rPr>
                <w:sz w:val="16"/>
                <w:szCs w:val="16"/>
              </w:rPr>
            </w:pPr>
            <w:r w:rsidRPr="000C5A53">
              <w:rPr>
                <w:sz w:val="16"/>
                <w:szCs w:val="16"/>
              </w:rPr>
              <w:t xml:space="preserve">3 </w:t>
            </w:r>
            <w:r w:rsidR="00DF598E" w:rsidRPr="000C5A53">
              <w:rPr>
                <w:sz w:val="16"/>
                <w:szCs w:val="16"/>
              </w:rPr>
              <w:t>universités ont mis en place de nouveaux programmes d</w:t>
            </w:r>
            <w:r w:rsidR="00FA22F6" w:rsidRPr="000C5A53">
              <w:rPr>
                <w:sz w:val="16"/>
                <w:szCs w:val="16"/>
              </w:rPr>
              <w:t>’</w:t>
            </w:r>
            <w:r w:rsidR="00DF598E" w:rsidRPr="000C5A53">
              <w:rPr>
                <w:sz w:val="16"/>
                <w:szCs w:val="16"/>
              </w:rPr>
              <w:t>enseignement</w:t>
            </w:r>
            <w:r w:rsidR="00FA22F6" w:rsidRPr="000C5A53">
              <w:rPr>
                <w:sz w:val="16"/>
                <w:szCs w:val="16"/>
              </w:rPr>
              <w:t> :</w:t>
            </w:r>
          </w:p>
          <w:p w14:paraId="318A3F99" w14:textId="15D7AEC5" w:rsidR="001F64B1" w:rsidRPr="000C5A53" w:rsidRDefault="000C5A53" w:rsidP="000C5A53">
            <w:pPr>
              <w:keepNext/>
              <w:rPr>
                <w:sz w:val="16"/>
                <w:szCs w:val="16"/>
              </w:rPr>
            </w:pPr>
            <w:r w:rsidRPr="000C5A53">
              <w:rPr>
                <w:sz w:val="16"/>
                <w:szCs w:val="16"/>
              </w:rPr>
              <w:t xml:space="preserve">– </w:t>
            </w:r>
            <w:r w:rsidR="00DF598E" w:rsidRPr="000C5A53">
              <w:rPr>
                <w:sz w:val="16"/>
                <w:szCs w:val="16"/>
              </w:rPr>
              <w:t>L</w:t>
            </w:r>
            <w:r w:rsidR="00FA22F6" w:rsidRPr="000C5A53">
              <w:rPr>
                <w:sz w:val="16"/>
                <w:szCs w:val="16"/>
              </w:rPr>
              <w:t>’</w:t>
            </w:r>
            <w:r w:rsidR="00DF598E" w:rsidRPr="000C5A53">
              <w:rPr>
                <w:sz w:val="16"/>
                <w:szCs w:val="16"/>
              </w:rPr>
              <w:t>Université d</w:t>
            </w:r>
            <w:r w:rsidR="00FA22F6" w:rsidRPr="000C5A53">
              <w:rPr>
                <w:sz w:val="16"/>
                <w:szCs w:val="16"/>
              </w:rPr>
              <w:t>’</w:t>
            </w:r>
            <w:r w:rsidR="00DF598E" w:rsidRPr="000C5A53">
              <w:rPr>
                <w:sz w:val="16"/>
                <w:szCs w:val="16"/>
              </w:rPr>
              <w:t>Ankara avec l</w:t>
            </w:r>
            <w:r w:rsidR="00FA22F6" w:rsidRPr="000C5A53">
              <w:rPr>
                <w:sz w:val="16"/>
                <w:szCs w:val="16"/>
              </w:rPr>
              <w:t>’</w:t>
            </w:r>
            <w:r w:rsidR="00DF598E" w:rsidRPr="000C5A53">
              <w:rPr>
                <w:sz w:val="16"/>
                <w:szCs w:val="16"/>
              </w:rPr>
              <w:t xml:space="preserve">Office turc des brevets et des marques </w:t>
            </w:r>
            <w:r w:rsidR="00BA5EA9" w:rsidRPr="000C5A53">
              <w:rPr>
                <w:sz w:val="16"/>
                <w:szCs w:val="16"/>
              </w:rPr>
              <w:t>(</w:t>
            </w:r>
            <w:r w:rsidR="00271523" w:rsidRPr="000C5A53">
              <w:rPr>
                <w:sz w:val="16"/>
                <w:szCs w:val="16"/>
              </w:rPr>
              <w:t>Turquie</w:t>
            </w:r>
            <w:r w:rsidR="00BA5EA9" w:rsidRPr="000C5A53">
              <w:rPr>
                <w:sz w:val="16"/>
                <w:szCs w:val="16"/>
              </w:rPr>
              <w:t>)</w:t>
            </w:r>
          </w:p>
          <w:p w14:paraId="1FB6924C" w14:textId="671C22E5" w:rsidR="001F64B1" w:rsidRPr="000C5A53" w:rsidRDefault="000C5A53" w:rsidP="000C5A53">
            <w:pPr>
              <w:keepNext/>
              <w:rPr>
                <w:sz w:val="16"/>
                <w:szCs w:val="16"/>
              </w:rPr>
            </w:pPr>
            <w:r w:rsidRPr="000C5A53">
              <w:rPr>
                <w:sz w:val="16"/>
                <w:szCs w:val="16"/>
              </w:rPr>
              <w:t xml:space="preserve">– </w:t>
            </w:r>
            <w:r w:rsidR="00A7027B" w:rsidRPr="000C5A53">
              <w:rPr>
                <w:sz w:val="16"/>
                <w:szCs w:val="16"/>
              </w:rPr>
              <w:t>L</w:t>
            </w:r>
            <w:r w:rsidR="00FA22F6" w:rsidRPr="000C5A53">
              <w:rPr>
                <w:sz w:val="16"/>
                <w:szCs w:val="16"/>
              </w:rPr>
              <w:t>’</w:t>
            </w:r>
            <w:r w:rsidR="00DF598E" w:rsidRPr="000C5A53">
              <w:rPr>
                <w:sz w:val="16"/>
                <w:szCs w:val="16"/>
              </w:rPr>
              <w:t xml:space="preserve">Université </w:t>
            </w:r>
            <w:proofErr w:type="spellStart"/>
            <w:r w:rsidR="00DF598E" w:rsidRPr="000C5A53">
              <w:rPr>
                <w:sz w:val="16"/>
                <w:szCs w:val="16"/>
              </w:rPr>
              <w:t>Tongji</w:t>
            </w:r>
            <w:proofErr w:type="spellEnd"/>
            <w:r w:rsidR="00BA5EA9" w:rsidRPr="000C5A53">
              <w:rPr>
                <w:sz w:val="16"/>
                <w:szCs w:val="16"/>
              </w:rPr>
              <w:t xml:space="preserve"> (Chin</w:t>
            </w:r>
            <w:r w:rsidR="00271523" w:rsidRPr="000C5A53">
              <w:rPr>
                <w:sz w:val="16"/>
                <w:szCs w:val="16"/>
              </w:rPr>
              <w:t>e</w:t>
            </w:r>
            <w:r w:rsidR="00BA5EA9" w:rsidRPr="000C5A53">
              <w:rPr>
                <w:sz w:val="16"/>
                <w:szCs w:val="16"/>
              </w:rPr>
              <w:t>)</w:t>
            </w:r>
          </w:p>
          <w:p w14:paraId="3A172C8D" w14:textId="21003387" w:rsidR="001F64B1" w:rsidRPr="000C5A53" w:rsidRDefault="000C5A53" w:rsidP="000C5A53">
            <w:pPr>
              <w:keepNext/>
              <w:rPr>
                <w:sz w:val="16"/>
                <w:szCs w:val="16"/>
              </w:rPr>
            </w:pPr>
            <w:r w:rsidRPr="000C5A53">
              <w:rPr>
                <w:sz w:val="16"/>
                <w:szCs w:val="16"/>
              </w:rPr>
              <w:t xml:space="preserve">– </w:t>
            </w:r>
            <w:r w:rsidR="00A7027B" w:rsidRPr="000C5A53">
              <w:rPr>
                <w:sz w:val="16"/>
                <w:szCs w:val="16"/>
              </w:rPr>
              <w:t>L</w:t>
            </w:r>
            <w:r w:rsidR="00FA22F6" w:rsidRPr="000C5A53">
              <w:rPr>
                <w:sz w:val="16"/>
                <w:szCs w:val="16"/>
              </w:rPr>
              <w:t>’</w:t>
            </w:r>
            <w:r w:rsidR="00A7027B" w:rsidRPr="000C5A53">
              <w:rPr>
                <w:sz w:val="16"/>
                <w:szCs w:val="16"/>
              </w:rPr>
              <w:t>Université des Antilles, campus de Mona (Jamaïque)</w:t>
            </w:r>
          </w:p>
          <w:p w14:paraId="2614E6E1" w14:textId="77777777" w:rsidR="001F64B1" w:rsidRPr="001303B4" w:rsidRDefault="001F64B1" w:rsidP="000C5A53">
            <w:pPr>
              <w:keepNext/>
              <w:rPr>
                <w:sz w:val="16"/>
                <w:szCs w:val="16"/>
              </w:rPr>
            </w:pPr>
          </w:p>
          <w:p w14:paraId="0AEA0E6C" w14:textId="4621F227" w:rsidR="001F64B1" w:rsidRPr="000C5A53" w:rsidRDefault="00BA5EA9" w:rsidP="0097226C">
            <w:pPr>
              <w:keepNext/>
              <w:rPr>
                <w:sz w:val="16"/>
                <w:szCs w:val="16"/>
              </w:rPr>
            </w:pPr>
            <w:r w:rsidRPr="000C5A53">
              <w:rPr>
                <w:sz w:val="16"/>
                <w:szCs w:val="16"/>
              </w:rPr>
              <w:t xml:space="preserve">2 </w:t>
            </w:r>
            <w:r w:rsidR="006C14BB" w:rsidRPr="000C5A53">
              <w:rPr>
                <w:sz w:val="16"/>
                <w:szCs w:val="16"/>
              </w:rPr>
              <w:t>universités ont amélioré leurs programmes d</w:t>
            </w:r>
            <w:r w:rsidR="00FA22F6" w:rsidRPr="000C5A53">
              <w:rPr>
                <w:sz w:val="16"/>
                <w:szCs w:val="16"/>
              </w:rPr>
              <w:t>’</w:t>
            </w:r>
            <w:r w:rsidR="006C14BB" w:rsidRPr="000C5A53">
              <w:rPr>
                <w:sz w:val="16"/>
                <w:szCs w:val="16"/>
              </w:rPr>
              <w:t>enseignement</w:t>
            </w:r>
            <w:r w:rsidR="00FA22F6" w:rsidRPr="000C5A53">
              <w:rPr>
                <w:sz w:val="16"/>
                <w:szCs w:val="16"/>
              </w:rPr>
              <w:t> :</w:t>
            </w:r>
          </w:p>
          <w:p w14:paraId="7326B80D" w14:textId="0228901D" w:rsidR="00FA22F6" w:rsidRPr="000C5A53" w:rsidRDefault="000C5A53" w:rsidP="000C5A53">
            <w:pPr>
              <w:keepNext/>
              <w:rPr>
                <w:sz w:val="16"/>
                <w:szCs w:val="16"/>
              </w:rPr>
            </w:pPr>
            <w:r>
              <w:rPr>
                <w:sz w:val="16"/>
                <w:szCs w:val="16"/>
              </w:rPr>
              <w:t xml:space="preserve">– </w:t>
            </w:r>
            <w:r w:rsidR="004B3EF7" w:rsidRPr="000C5A53">
              <w:rPr>
                <w:sz w:val="16"/>
                <w:szCs w:val="16"/>
              </w:rPr>
              <w:t xml:space="preserve">Le Conseil du Nicaragua pour la science et la technologie </w:t>
            </w:r>
            <w:r w:rsidR="00BA5EA9" w:rsidRPr="000C5A53">
              <w:rPr>
                <w:sz w:val="16"/>
                <w:szCs w:val="16"/>
              </w:rPr>
              <w:t xml:space="preserve">(CONICYT) </w:t>
            </w:r>
            <w:r w:rsidR="004B3EF7" w:rsidRPr="000C5A53">
              <w:rPr>
                <w:sz w:val="16"/>
                <w:szCs w:val="16"/>
              </w:rPr>
              <w:t>et</w:t>
            </w:r>
            <w:r w:rsidR="00BA5EA9" w:rsidRPr="000C5A53">
              <w:rPr>
                <w:sz w:val="16"/>
                <w:szCs w:val="16"/>
              </w:rPr>
              <w:t xml:space="preserve"> </w:t>
            </w:r>
            <w:r w:rsidR="004B3EF7" w:rsidRPr="000C5A53">
              <w:rPr>
                <w:sz w:val="16"/>
                <w:szCs w:val="16"/>
              </w:rPr>
              <w:t>l</w:t>
            </w:r>
            <w:r w:rsidR="00FA22F6" w:rsidRPr="000C5A53">
              <w:rPr>
                <w:sz w:val="16"/>
                <w:szCs w:val="16"/>
              </w:rPr>
              <w:t>’</w:t>
            </w:r>
            <w:r w:rsidR="004B3EF7" w:rsidRPr="000C5A53">
              <w:rPr>
                <w:sz w:val="16"/>
                <w:szCs w:val="16"/>
              </w:rPr>
              <w:t xml:space="preserve">Université Martin Luther </w:t>
            </w:r>
            <w:r w:rsidR="00BA5EA9" w:rsidRPr="000C5A53">
              <w:rPr>
                <w:sz w:val="16"/>
                <w:szCs w:val="16"/>
              </w:rPr>
              <w:t>(Nicaragua)</w:t>
            </w:r>
          </w:p>
          <w:p w14:paraId="0F66E31E" w14:textId="42564C23" w:rsidR="001F64B1" w:rsidRPr="000C5A53" w:rsidRDefault="000C5A53" w:rsidP="000C5A53">
            <w:pPr>
              <w:keepNext/>
              <w:rPr>
                <w:sz w:val="16"/>
                <w:szCs w:val="16"/>
              </w:rPr>
            </w:pPr>
            <w:r>
              <w:rPr>
                <w:sz w:val="16"/>
                <w:szCs w:val="16"/>
              </w:rPr>
              <w:t xml:space="preserve">– </w:t>
            </w:r>
            <w:r w:rsidR="00A44EDC" w:rsidRPr="000C5A53">
              <w:rPr>
                <w:sz w:val="16"/>
                <w:szCs w:val="16"/>
              </w:rPr>
              <w:t>L</w:t>
            </w:r>
            <w:r w:rsidR="00FA22F6" w:rsidRPr="000C5A53">
              <w:rPr>
                <w:sz w:val="16"/>
                <w:szCs w:val="16"/>
              </w:rPr>
              <w:t>’</w:t>
            </w:r>
            <w:r w:rsidR="00A44EDC" w:rsidRPr="000C5A53">
              <w:rPr>
                <w:sz w:val="16"/>
                <w:szCs w:val="16"/>
              </w:rPr>
              <w:t>Université des Antilles, campus de Cave Hill</w:t>
            </w:r>
            <w:r w:rsidR="00BA5EA9" w:rsidRPr="000C5A53">
              <w:rPr>
                <w:sz w:val="16"/>
                <w:szCs w:val="16"/>
              </w:rPr>
              <w:t xml:space="preserve"> (</w:t>
            </w:r>
            <w:r w:rsidR="00271523" w:rsidRPr="000C5A53">
              <w:rPr>
                <w:sz w:val="16"/>
                <w:szCs w:val="16"/>
              </w:rPr>
              <w:t>Barbade</w:t>
            </w:r>
            <w:r w:rsidR="00BA5EA9" w:rsidRPr="000C5A53">
              <w:rPr>
                <w:sz w:val="16"/>
                <w:szCs w:val="16"/>
              </w:rPr>
              <w:t>)</w:t>
            </w:r>
          </w:p>
          <w:p w14:paraId="7923BB0E" w14:textId="77777777" w:rsidR="00BA5EA9" w:rsidRPr="000C5A53" w:rsidRDefault="00BA5EA9" w:rsidP="000C5A53">
            <w:pPr>
              <w:rPr>
                <w:sz w:val="16"/>
                <w:szCs w:val="16"/>
              </w:rPr>
            </w:pPr>
            <w:r w:rsidRPr="000C5A53">
              <w:rPr>
                <w:sz w:val="16"/>
                <w:szCs w:val="16"/>
              </w:rPr>
              <w:t>(2016)</w:t>
            </w:r>
          </w:p>
        </w:tc>
        <w:tc>
          <w:tcPr>
            <w:tcW w:w="512" w:type="pct"/>
            <w:shd w:val="clear" w:color="auto" w:fill="auto"/>
            <w:tcMar>
              <w:top w:w="110" w:type="dxa"/>
              <w:left w:w="58" w:type="dxa"/>
              <w:right w:w="58" w:type="dxa"/>
            </w:tcMar>
          </w:tcPr>
          <w:p w14:paraId="6ACBFB06" w14:textId="77777777" w:rsidR="00BA5EA9" w:rsidRPr="001E6DFD" w:rsidRDefault="00A43B2F" w:rsidP="0097226C">
            <w:pPr>
              <w:keepNext/>
              <w:keepLines/>
              <w:jc w:val="center"/>
              <w:rPr>
                <w:b/>
                <w:sz w:val="16"/>
                <w:szCs w:val="16"/>
              </w:rPr>
            </w:pPr>
            <w:r w:rsidRPr="001E6DFD">
              <w:rPr>
                <w:b/>
                <w:color w:val="00B050"/>
                <w:sz w:val="16"/>
                <w:szCs w:val="16"/>
              </w:rPr>
              <w:t>En bonne voie</w:t>
            </w:r>
            <w:r w:rsidR="00BA5EA9" w:rsidRPr="001E6DFD">
              <w:rPr>
                <w:b/>
                <w:sz w:val="16"/>
                <w:szCs w:val="16"/>
              </w:rPr>
              <w:t xml:space="preserve"> </w:t>
            </w:r>
          </w:p>
        </w:tc>
      </w:tr>
      <w:tr w:rsidR="00BA5EA9" w:rsidRPr="001E6DFD" w14:paraId="57E28618" w14:textId="77777777" w:rsidTr="00A055E7">
        <w:tc>
          <w:tcPr>
            <w:tcW w:w="1072" w:type="pct"/>
            <w:shd w:val="clear" w:color="auto" w:fill="auto"/>
            <w:tcMar>
              <w:left w:w="58" w:type="dxa"/>
              <w:right w:w="58" w:type="dxa"/>
            </w:tcMar>
          </w:tcPr>
          <w:p w14:paraId="34B23A25" w14:textId="55A0E919" w:rsidR="00BA5EA9" w:rsidRPr="001E6DFD" w:rsidRDefault="00C10A48" w:rsidP="0097226C">
            <w:pPr>
              <w:rPr>
                <w:sz w:val="16"/>
                <w:szCs w:val="16"/>
              </w:rPr>
            </w:pPr>
            <w:r w:rsidRPr="001E6DFD">
              <w:rPr>
                <w:sz w:val="16"/>
                <w:szCs w:val="16"/>
              </w:rPr>
              <w:t>Meilleur équilibre dans la répartition géographique des cours d</w:t>
            </w:r>
            <w:r w:rsidR="00FA22F6" w:rsidRPr="001E6DFD">
              <w:rPr>
                <w:sz w:val="16"/>
                <w:szCs w:val="16"/>
              </w:rPr>
              <w:t>’</w:t>
            </w:r>
            <w:r w:rsidRPr="001E6DFD">
              <w:rPr>
                <w:sz w:val="16"/>
                <w:szCs w:val="16"/>
              </w:rPr>
              <w:t>été</w:t>
            </w:r>
          </w:p>
        </w:tc>
        <w:tc>
          <w:tcPr>
            <w:tcW w:w="1315" w:type="pct"/>
            <w:shd w:val="clear" w:color="auto" w:fill="auto"/>
            <w:tcMar>
              <w:left w:w="58" w:type="dxa"/>
              <w:right w:w="58" w:type="dxa"/>
            </w:tcMar>
          </w:tcPr>
          <w:p w14:paraId="346D74CF" w14:textId="4FDAEBBF" w:rsidR="00271523" w:rsidRPr="000C5A53" w:rsidRDefault="00E64532" w:rsidP="0097226C">
            <w:pPr>
              <w:rPr>
                <w:i/>
                <w:color w:val="002060"/>
                <w:sz w:val="16"/>
                <w:szCs w:val="16"/>
              </w:rPr>
            </w:pPr>
            <w:r w:rsidRPr="000C5A53">
              <w:rPr>
                <w:i/>
                <w:color w:val="002060"/>
                <w:sz w:val="16"/>
                <w:szCs w:val="16"/>
              </w:rPr>
              <w:t>Niveau de référence actualisé à fin</w:t>
            </w:r>
            <w:r w:rsidR="00B4191E" w:rsidRPr="000C5A53">
              <w:rPr>
                <w:i/>
                <w:color w:val="002060"/>
                <w:sz w:val="16"/>
                <w:szCs w:val="16"/>
              </w:rPr>
              <w:t> </w:t>
            </w:r>
            <w:r w:rsidRPr="000C5A53">
              <w:rPr>
                <w:i/>
                <w:color w:val="002060"/>
                <w:sz w:val="16"/>
                <w:szCs w:val="16"/>
              </w:rPr>
              <w:t>2015</w:t>
            </w:r>
            <w:r w:rsidR="00FA22F6" w:rsidRPr="000C5A53">
              <w:rPr>
                <w:i/>
                <w:color w:val="002060"/>
                <w:sz w:val="16"/>
                <w:szCs w:val="16"/>
              </w:rPr>
              <w:t> :</w:t>
            </w:r>
          </w:p>
          <w:p w14:paraId="6626FB18" w14:textId="2B906527" w:rsidR="001F64B1" w:rsidRPr="000C5A53" w:rsidRDefault="00BA5EA9" w:rsidP="0097226C">
            <w:pPr>
              <w:rPr>
                <w:color w:val="002060"/>
                <w:sz w:val="16"/>
                <w:szCs w:val="16"/>
              </w:rPr>
            </w:pPr>
            <w:r w:rsidRPr="000C5A53">
              <w:rPr>
                <w:color w:val="002060"/>
                <w:sz w:val="16"/>
                <w:szCs w:val="16"/>
              </w:rPr>
              <w:t xml:space="preserve">7 </w:t>
            </w:r>
            <w:r w:rsidR="00E94653" w:rsidRPr="000C5A53">
              <w:rPr>
                <w:color w:val="002060"/>
                <w:sz w:val="16"/>
                <w:szCs w:val="16"/>
              </w:rPr>
              <w:t>régions</w:t>
            </w:r>
            <w:r w:rsidR="00FA22F6" w:rsidRPr="000C5A53">
              <w:rPr>
                <w:color w:val="002060"/>
                <w:sz w:val="16"/>
                <w:szCs w:val="16"/>
              </w:rPr>
              <w:t> :</w:t>
            </w:r>
            <w:r w:rsidRPr="000C5A53">
              <w:rPr>
                <w:color w:val="002060"/>
                <w:sz w:val="16"/>
                <w:szCs w:val="16"/>
              </w:rPr>
              <w:t xml:space="preserve"> </w:t>
            </w:r>
            <w:r w:rsidR="00271523" w:rsidRPr="000C5A53">
              <w:rPr>
                <w:color w:val="002060"/>
                <w:sz w:val="16"/>
                <w:szCs w:val="16"/>
              </w:rPr>
              <w:t>Afrique, Asie, Chine</w:t>
            </w:r>
            <w:r w:rsidRPr="000C5A53">
              <w:rPr>
                <w:color w:val="002060"/>
                <w:sz w:val="16"/>
                <w:szCs w:val="16"/>
              </w:rPr>
              <w:t xml:space="preserve">, </w:t>
            </w:r>
            <w:r w:rsidR="00271523" w:rsidRPr="000C5A53">
              <w:rPr>
                <w:color w:val="002060"/>
                <w:sz w:val="16"/>
                <w:szCs w:val="16"/>
              </w:rPr>
              <w:t>Europe centrale et orientale</w:t>
            </w:r>
            <w:r w:rsidRPr="000C5A53">
              <w:rPr>
                <w:color w:val="002060"/>
                <w:sz w:val="16"/>
                <w:szCs w:val="16"/>
              </w:rPr>
              <w:t xml:space="preserve">, </w:t>
            </w:r>
            <w:r w:rsidR="00271523" w:rsidRPr="000C5A53">
              <w:rPr>
                <w:color w:val="002060"/>
                <w:sz w:val="16"/>
                <w:szCs w:val="16"/>
              </w:rPr>
              <w:t>Europe occidentale, Amérique latine</w:t>
            </w:r>
            <w:r w:rsidRPr="000C5A53">
              <w:rPr>
                <w:color w:val="002060"/>
                <w:sz w:val="16"/>
                <w:szCs w:val="16"/>
              </w:rPr>
              <w:t xml:space="preserve">, </w:t>
            </w:r>
            <w:r w:rsidR="00271523" w:rsidRPr="000C5A53">
              <w:rPr>
                <w:color w:val="002060"/>
                <w:sz w:val="16"/>
                <w:szCs w:val="16"/>
              </w:rPr>
              <w:t>Amérique du Nord</w:t>
            </w:r>
          </w:p>
          <w:p w14:paraId="007BB604" w14:textId="77777777" w:rsidR="001F64B1" w:rsidRPr="001E6DFD" w:rsidRDefault="001F64B1" w:rsidP="0097226C">
            <w:pPr>
              <w:rPr>
                <w:sz w:val="16"/>
                <w:szCs w:val="16"/>
              </w:rPr>
            </w:pPr>
          </w:p>
          <w:p w14:paraId="25027951" w14:textId="54DBB599" w:rsidR="00271523"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6AF4E54D" w14:textId="77777777" w:rsidR="00BA5EA9" w:rsidRPr="001E6DFD" w:rsidRDefault="00BA5EA9" w:rsidP="0097226C">
            <w:pPr>
              <w:rPr>
                <w:i/>
                <w:sz w:val="16"/>
                <w:szCs w:val="16"/>
                <w:lang w:bidi="th-TH"/>
              </w:rPr>
            </w:pPr>
            <w:r w:rsidRPr="001E6DFD">
              <w:rPr>
                <w:sz w:val="16"/>
                <w:szCs w:val="16"/>
              </w:rPr>
              <w:t xml:space="preserve">6 </w:t>
            </w:r>
            <w:r w:rsidR="00271523" w:rsidRPr="001E6DFD">
              <w:rPr>
                <w:sz w:val="16"/>
                <w:szCs w:val="16"/>
              </w:rPr>
              <w:t>régions</w:t>
            </w:r>
            <w:r w:rsidRPr="001E6DFD">
              <w:rPr>
                <w:sz w:val="16"/>
                <w:szCs w:val="16"/>
              </w:rPr>
              <w:t xml:space="preserve"> </w:t>
            </w:r>
          </w:p>
        </w:tc>
        <w:tc>
          <w:tcPr>
            <w:tcW w:w="584" w:type="pct"/>
            <w:shd w:val="clear" w:color="auto" w:fill="auto"/>
            <w:tcMar>
              <w:top w:w="110" w:type="dxa"/>
              <w:left w:w="58" w:type="dxa"/>
              <w:right w:w="58" w:type="dxa"/>
            </w:tcMar>
          </w:tcPr>
          <w:p w14:paraId="6A50AB50" w14:textId="6D804868" w:rsidR="00FA22F6" w:rsidRPr="000C5A53" w:rsidRDefault="00AC7D97" w:rsidP="0097226C">
            <w:pPr>
              <w:rPr>
                <w:i/>
                <w:color w:val="002060"/>
                <w:sz w:val="16"/>
                <w:szCs w:val="16"/>
              </w:rPr>
            </w:pPr>
            <w:r w:rsidRPr="000C5A53">
              <w:rPr>
                <w:i/>
                <w:color w:val="002060"/>
                <w:sz w:val="16"/>
                <w:szCs w:val="16"/>
              </w:rPr>
              <w:t>Objectif actualisé</w:t>
            </w:r>
            <w:r w:rsidR="00FA22F6" w:rsidRPr="000C5A53">
              <w:rPr>
                <w:i/>
                <w:color w:val="002060"/>
                <w:sz w:val="16"/>
                <w:szCs w:val="16"/>
              </w:rPr>
              <w:t> :</w:t>
            </w:r>
          </w:p>
          <w:p w14:paraId="44DE136B" w14:textId="029654FD" w:rsidR="00FA22F6" w:rsidRPr="000C5A53" w:rsidRDefault="00EA27F2" w:rsidP="0097226C">
            <w:pPr>
              <w:rPr>
                <w:color w:val="002060"/>
                <w:sz w:val="16"/>
                <w:szCs w:val="16"/>
              </w:rPr>
            </w:pPr>
            <w:r w:rsidRPr="000C5A53">
              <w:rPr>
                <w:color w:val="002060"/>
                <w:sz w:val="16"/>
                <w:szCs w:val="16"/>
              </w:rPr>
              <w:t>Maintien de 7</w:t>
            </w:r>
            <w:r w:rsidR="00B4191E" w:rsidRPr="000C5A53">
              <w:rPr>
                <w:color w:val="002060"/>
                <w:sz w:val="16"/>
                <w:szCs w:val="16"/>
              </w:rPr>
              <w:t> </w:t>
            </w:r>
            <w:r w:rsidRPr="000C5A53">
              <w:rPr>
                <w:color w:val="002060"/>
                <w:sz w:val="16"/>
                <w:szCs w:val="16"/>
              </w:rPr>
              <w:t>régions</w:t>
            </w:r>
          </w:p>
          <w:p w14:paraId="0CF1B1E0" w14:textId="33C91958" w:rsidR="001F64B1" w:rsidRPr="001303B4" w:rsidRDefault="001F64B1" w:rsidP="0097226C">
            <w:pPr>
              <w:keepNext/>
              <w:keepLines/>
              <w:rPr>
                <w:sz w:val="16"/>
                <w:szCs w:val="16"/>
              </w:rPr>
            </w:pPr>
          </w:p>
          <w:p w14:paraId="496EA0B3" w14:textId="29E784F5" w:rsidR="00FA22F6" w:rsidRPr="001E6DFD" w:rsidRDefault="00604D96" w:rsidP="0097226C">
            <w:pPr>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38A9298" w14:textId="13449757" w:rsidR="00BA5EA9" w:rsidRPr="001E6DFD" w:rsidRDefault="00C8218F" w:rsidP="0097226C">
            <w:pPr>
              <w:keepNext/>
              <w:keepLines/>
              <w:rPr>
                <w:sz w:val="16"/>
                <w:szCs w:val="16"/>
                <w:highlight w:val="yellow"/>
              </w:rPr>
            </w:pPr>
            <w:r w:rsidRPr="001E6DFD">
              <w:rPr>
                <w:sz w:val="16"/>
                <w:szCs w:val="16"/>
              </w:rPr>
              <w:t>7 régions</w:t>
            </w:r>
          </w:p>
        </w:tc>
        <w:tc>
          <w:tcPr>
            <w:tcW w:w="1517" w:type="pct"/>
            <w:shd w:val="clear" w:color="auto" w:fill="FFFFFF"/>
            <w:tcMar>
              <w:top w:w="110" w:type="dxa"/>
              <w:left w:w="58" w:type="dxa"/>
              <w:right w:w="58" w:type="dxa"/>
            </w:tcMar>
          </w:tcPr>
          <w:p w14:paraId="7626775B" w14:textId="28BE08E5" w:rsidR="00BA5EA9" w:rsidRPr="000C5A53" w:rsidRDefault="00EA27F2" w:rsidP="0097226C">
            <w:pPr>
              <w:keepNext/>
              <w:keepLines/>
              <w:rPr>
                <w:sz w:val="16"/>
                <w:szCs w:val="16"/>
              </w:rPr>
            </w:pPr>
            <w:r w:rsidRPr="000C5A53">
              <w:rPr>
                <w:sz w:val="16"/>
                <w:szCs w:val="16"/>
              </w:rPr>
              <w:t>7 régions maintenues</w:t>
            </w:r>
          </w:p>
        </w:tc>
        <w:tc>
          <w:tcPr>
            <w:tcW w:w="512" w:type="pct"/>
            <w:shd w:val="clear" w:color="auto" w:fill="auto"/>
            <w:tcMar>
              <w:top w:w="110" w:type="dxa"/>
              <w:left w:w="58" w:type="dxa"/>
              <w:right w:w="58" w:type="dxa"/>
            </w:tcMar>
          </w:tcPr>
          <w:p w14:paraId="3CBDC95B"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bl>
    <w:p w14:paraId="283F1EFC" w14:textId="77777777" w:rsidR="001F64B1" w:rsidRPr="001E6DFD" w:rsidRDefault="001F64B1" w:rsidP="0097226C">
      <w:pPr>
        <w:rPr>
          <w:sz w:val="20"/>
        </w:rPr>
      </w:pPr>
    </w:p>
    <w:p w14:paraId="18948257" w14:textId="77777777" w:rsidR="00BA5EA9" w:rsidRPr="001E6DFD" w:rsidRDefault="00BA5EA9" w:rsidP="0097226C">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35730223" w14:textId="77777777" w:rsidTr="002307FD">
        <w:trPr>
          <w:trHeight w:val="423"/>
          <w:jc w:val="center"/>
        </w:trPr>
        <w:tc>
          <w:tcPr>
            <w:tcW w:w="9571" w:type="dxa"/>
            <w:shd w:val="clear" w:color="auto" w:fill="C6D9F1" w:themeFill="text2" w:themeFillTint="33"/>
            <w:vAlign w:val="center"/>
          </w:tcPr>
          <w:p w14:paraId="14590073" w14:textId="48D156FE"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11</w:t>
            </w:r>
          </w:p>
        </w:tc>
      </w:tr>
    </w:tbl>
    <w:p w14:paraId="1825C1B3" w14:textId="77777777" w:rsidR="001F64B1" w:rsidRPr="001E6DFD" w:rsidRDefault="001F64B1" w:rsidP="0097226C">
      <w:pPr>
        <w:rPr>
          <w:sz w:val="20"/>
        </w:rPr>
      </w:pPr>
    </w:p>
    <w:p w14:paraId="7B84A05A" w14:textId="77777777" w:rsidR="001F64B1" w:rsidRPr="001E6DFD" w:rsidRDefault="00C10A48" w:rsidP="0097226C">
      <w:pPr>
        <w:pStyle w:val="NormalWeb"/>
        <w:keepNext/>
        <w:keepLines/>
        <w:spacing w:before="0" w:beforeAutospacing="0" w:after="0" w:afterAutospacing="0"/>
        <w:jc w:val="center"/>
      </w:pPr>
      <w:r w:rsidRPr="001E6DFD">
        <w:t>Budget et dépenses effectives (par résultat)</w:t>
      </w:r>
    </w:p>
    <w:p w14:paraId="2A08A2F8" w14:textId="77777777" w:rsidR="001F64B1" w:rsidRPr="001E6DFD" w:rsidRDefault="00C10A48"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2860CAC1"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484"/>
        <w:gridCol w:w="4229"/>
        <w:gridCol w:w="1572"/>
        <w:gridCol w:w="1572"/>
        <w:gridCol w:w="1430"/>
      </w:tblGrid>
      <w:tr w:rsidR="00BA5EA9" w:rsidRPr="001E6DFD" w14:paraId="03340739" w14:textId="77777777" w:rsidTr="00A055E7">
        <w:trPr>
          <w:jc w:val="center"/>
        </w:trPr>
        <w:tc>
          <w:tcPr>
            <w:tcW w:w="4730" w:type="dxa"/>
            <w:gridSpan w:val="2"/>
            <w:tcBorders>
              <w:top w:val="nil"/>
              <w:left w:val="nil"/>
              <w:bottom w:val="nil"/>
              <w:right w:val="nil"/>
            </w:tcBorders>
            <w:shd w:val="clear" w:color="000000" w:fill="C5D9F1"/>
            <w:noWrap/>
            <w:vAlign w:val="center"/>
            <w:hideMark/>
          </w:tcPr>
          <w:p w14:paraId="244F0C9B" w14:textId="77777777" w:rsidR="00BA5EA9" w:rsidRPr="001E6DFD" w:rsidRDefault="00C10A48"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60" w:type="dxa"/>
            <w:tcBorders>
              <w:top w:val="nil"/>
              <w:left w:val="nil"/>
              <w:bottom w:val="nil"/>
              <w:right w:val="nil"/>
            </w:tcBorders>
            <w:shd w:val="clear" w:color="000000" w:fill="C5D9F1"/>
            <w:vAlign w:val="center"/>
            <w:hideMark/>
          </w:tcPr>
          <w:p w14:paraId="07A35C85" w14:textId="6D6BDA9C" w:rsidR="00BA5EA9" w:rsidRPr="001E6DFD" w:rsidRDefault="00B649F5"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 xml:space="preserve">2017 approuvé </w:t>
            </w:r>
          </w:p>
        </w:tc>
        <w:tc>
          <w:tcPr>
            <w:tcW w:w="1159" w:type="dxa"/>
            <w:tcBorders>
              <w:top w:val="nil"/>
              <w:left w:val="nil"/>
              <w:bottom w:val="nil"/>
              <w:right w:val="nil"/>
            </w:tcBorders>
            <w:shd w:val="clear" w:color="000000" w:fill="C5D9F1"/>
            <w:vAlign w:val="center"/>
            <w:hideMark/>
          </w:tcPr>
          <w:p w14:paraId="2121155D" w14:textId="0D1A4EFD"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73" w:type="dxa"/>
            <w:tcBorders>
              <w:top w:val="nil"/>
              <w:left w:val="nil"/>
              <w:bottom w:val="nil"/>
              <w:right w:val="nil"/>
            </w:tcBorders>
            <w:shd w:val="clear" w:color="000000" w:fill="C5D9F1"/>
            <w:vAlign w:val="center"/>
            <w:hideMark/>
          </w:tcPr>
          <w:p w14:paraId="0D3D495C" w14:textId="6A7C66EE"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1C81E121" w14:textId="77777777" w:rsidTr="00A055E7">
        <w:trPr>
          <w:jc w:val="center"/>
        </w:trPr>
        <w:tc>
          <w:tcPr>
            <w:tcW w:w="485" w:type="dxa"/>
            <w:tcBorders>
              <w:top w:val="nil"/>
              <w:left w:val="nil"/>
              <w:bottom w:val="nil"/>
              <w:right w:val="nil"/>
            </w:tcBorders>
            <w:shd w:val="clear" w:color="auto" w:fill="auto"/>
            <w:noWrap/>
            <w:vAlign w:val="center"/>
            <w:hideMark/>
          </w:tcPr>
          <w:p w14:paraId="7E05BD0A" w14:textId="77777777" w:rsidR="00BA5EA9" w:rsidRPr="001E6DFD" w:rsidRDefault="00BA5EA9" w:rsidP="0097226C">
            <w:pPr>
              <w:rPr>
                <w:sz w:val="16"/>
                <w:szCs w:val="16"/>
              </w:rPr>
            </w:pPr>
            <w:r w:rsidRPr="001E6DFD">
              <w:rPr>
                <w:sz w:val="16"/>
                <w:szCs w:val="16"/>
              </w:rPr>
              <w:t>III.2</w:t>
            </w:r>
          </w:p>
        </w:tc>
        <w:tc>
          <w:tcPr>
            <w:tcW w:w="4245" w:type="dxa"/>
            <w:tcBorders>
              <w:top w:val="nil"/>
              <w:left w:val="nil"/>
              <w:bottom w:val="nil"/>
              <w:right w:val="nil"/>
            </w:tcBorders>
            <w:shd w:val="clear" w:color="auto" w:fill="auto"/>
            <w:vAlign w:val="center"/>
            <w:hideMark/>
          </w:tcPr>
          <w:p w14:paraId="3D3236B3" w14:textId="78C1AFB9" w:rsidR="00BA5EA9" w:rsidRPr="001E6DFD" w:rsidRDefault="00C10A48" w:rsidP="0097226C">
            <w:pPr>
              <w:rPr>
                <w:sz w:val="16"/>
                <w:szCs w:val="16"/>
              </w:rPr>
            </w:pPr>
            <w:r w:rsidRPr="001E6DFD">
              <w:rPr>
                <w:sz w:val="16"/>
                <w:szCs w:val="16"/>
              </w:rPr>
              <w:t>Renforcement des capacités en matière de ressources humaines pour pouvoir répondre aux nombreuses exigences en ce qui concerne l</w:t>
            </w:r>
            <w:r w:rsidR="00FA22F6" w:rsidRPr="001E6DFD">
              <w:rPr>
                <w:sz w:val="16"/>
                <w:szCs w:val="16"/>
              </w:rPr>
              <w:t>’</w:t>
            </w:r>
            <w:r w:rsidRPr="001E6DFD">
              <w:rPr>
                <w:sz w:val="16"/>
                <w:szCs w:val="16"/>
              </w:rPr>
              <w:t>utilisation efficace de la propriété intellectuelle au service du développement dans les pays en développement,</w:t>
            </w:r>
            <w:r w:rsidR="00FA22F6" w:rsidRPr="001E6DFD">
              <w:rPr>
                <w:sz w:val="16"/>
                <w:szCs w:val="16"/>
              </w:rPr>
              <w:t xml:space="preserve"> les PMA</w:t>
            </w:r>
            <w:r w:rsidRPr="001E6DFD">
              <w:rPr>
                <w:sz w:val="16"/>
                <w:szCs w:val="16"/>
              </w:rPr>
              <w:t xml:space="preserve"> et les pays en transition</w:t>
            </w:r>
          </w:p>
        </w:tc>
        <w:tc>
          <w:tcPr>
            <w:tcW w:w="1160" w:type="dxa"/>
            <w:tcBorders>
              <w:top w:val="nil"/>
              <w:left w:val="nil"/>
              <w:bottom w:val="nil"/>
              <w:right w:val="nil"/>
            </w:tcBorders>
            <w:shd w:val="clear" w:color="auto" w:fill="auto"/>
            <w:noWrap/>
            <w:vAlign w:val="center"/>
            <w:hideMark/>
          </w:tcPr>
          <w:p w14:paraId="4A694A91" w14:textId="77777777" w:rsidR="00BA5EA9" w:rsidRPr="001E6DFD" w:rsidRDefault="00282CF5" w:rsidP="0097226C">
            <w:pPr>
              <w:jc w:val="center"/>
              <w:rPr>
                <w:sz w:val="16"/>
                <w:szCs w:val="16"/>
              </w:rPr>
            </w:pPr>
            <w:r w:rsidRPr="001E6DFD">
              <w:rPr>
                <w:sz w:val="16"/>
                <w:szCs w:val="16"/>
              </w:rPr>
              <w:t>13 083</w:t>
            </w:r>
          </w:p>
        </w:tc>
        <w:tc>
          <w:tcPr>
            <w:tcW w:w="1159" w:type="dxa"/>
            <w:tcBorders>
              <w:top w:val="nil"/>
              <w:left w:val="nil"/>
              <w:bottom w:val="nil"/>
              <w:right w:val="nil"/>
            </w:tcBorders>
            <w:shd w:val="clear" w:color="auto" w:fill="auto"/>
            <w:noWrap/>
            <w:vAlign w:val="center"/>
            <w:hideMark/>
          </w:tcPr>
          <w:p w14:paraId="445E78D6" w14:textId="77777777" w:rsidR="00BA5EA9" w:rsidRPr="001E6DFD" w:rsidRDefault="00282CF5" w:rsidP="0097226C">
            <w:pPr>
              <w:jc w:val="center"/>
              <w:rPr>
                <w:sz w:val="16"/>
                <w:szCs w:val="16"/>
              </w:rPr>
            </w:pPr>
            <w:r w:rsidRPr="001E6DFD">
              <w:rPr>
                <w:sz w:val="16"/>
                <w:szCs w:val="16"/>
              </w:rPr>
              <w:t>13 333</w:t>
            </w:r>
          </w:p>
        </w:tc>
        <w:tc>
          <w:tcPr>
            <w:tcW w:w="1173" w:type="dxa"/>
            <w:tcBorders>
              <w:top w:val="nil"/>
              <w:left w:val="nil"/>
              <w:bottom w:val="nil"/>
              <w:right w:val="nil"/>
            </w:tcBorders>
            <w:shd w:val="clear" w:color="auto" w:fill="auto"/>
            <w:noWrap/>
            <w:vAlign w:val="center"/>
            <w:hideMark/>
          </w:tcPr>
          <w:p w14:paraId="774E939D" w14:textId="77777777" w:rsidR="00BA5EA9" w:rsidRPr="001E6DFD" w:rsidRDefault="00282CF5" w:rsidP="0097226C">
            <w:pPr>
              <w:jc w:val="center"/>
              <w:rPr>
                <w:sz w:val="16"/>
                <w:szCs w:val="16"/>
              </w:rPr>
            </w:pPr>
            <w:r w:rsidRPr="001E6DFD">
              <w:rPr>
                <w:sz w:val="16"/>
                <w:szCs w:val="16"/>
              </w:rPr>
              <w:t>5 765</w:t>
            </w:r>
          </w:p>
        </w:tc>
      </w:tr>
      <w:tr w:rsidR="00BA5EA9" w:rsidRPr="001E6DFD" w14:paraId="4496812C" w14:textId="77777777" w:rsidTr="00A055E7">
        <w:trPr>
          <w:jc w:val="center"/>
        </w:trPr>
        <w:tc>
          <w:tcPr>
            <w:tcW w:w="485" w:type="dxa"/>
            <w:tcBorders>
              <w:top w:val="nil"/>
              <w:left w:val="nil"/>
              <w:bottom w:val="nil"/>
              <w:right w:val="nil"/>
            </w:tcBorders>
            <w:shd w:val="clear" w:color="000000" w:fill="C5D9F1"/>
            <w:noWrap/>
            <w:vAlign w:val="bottom"/>
            <w:hideMark/>
          </w:tcPr>
          <w:p w14:paraId="3DA66277" w14:textId="70234AA4" w:rsidR="00BA5EA9" w:rsidRPr="001E6DFD" w:rsidRDefault="00BA5EA9" w:rsidP="0097226C">
            <w:pPr>
              <w:rPr>
                <w:sz w:val="16"/>
                <w:szCs w:val="16"/>
              </w:rPr>
            </w:pPr>
          </w:p>
        </w:tc>
        <w:tc>
          <w:tcPr>
            <w:tcW w:w="4245" w:type="dxa"/>
            <w:tcBorders>
              <w:top w:val="nil"/>
              <w:left w:val="nil"/>
              <w:bottom w:val="nil"/>
              <w:right w:val="nil"/>
            </w:tcBorders>
            <w:shd w:val="clear" w:color="000000" w:fill="C5D9F1"/>
            <w:noWrap/>
            <w:vAlign w:val="bottom"/>
            <w:hideMark/>
          </w:tcPr>
          <w:p w14:paraId="331C40E7" w14:textId="77777777" w:rsidR="00BA5EA9" w:rsidRPr="001E6DFD" w:rsidRDefault="00C8218F" w:rsidP="0097226C">
            <w:pPr>
              <w:jc w:val="right"/>
              <w:rPr>
                <w:b/>
                <w:bCs/>
                <w:sz w:val="16"/>
                <w:szCs w:val="16"/>
              </w:rPr>
            </w:pPr>
            <w:r w:rsidRPr="001E6DFD">
              <w:rPr>
                <w:b/>
                <w:bCs/>
                <w:sz w:val="16"/>
                <w:szCs w:val="16"/>
              </w:rPr>
              <w:t>Total</w:t>
            </w:r>
          </w:p>
        </w:tc>
        <w:tc>
          <w:tcPr>
            <w:tcW w:w="1160" w:type="dxa"/>
            <w:tcBorders>
              <w:top w:val="nil"/>
              <w:left w:val="nil"/>
              <w:bottom w:val="nil"/>
              <w:right w:val="nil"/>
            </w:tcBorders>
            <w:shd w:val="clear" w:color="000000" w:fill="C5D9F1"/>
            <w:noWrap/>
            <w:vAlign w:val="center"/>
            <w:hideMark/>
          </w:tcPr>
          <w:p w14:paraId="5DF2B74E" w14:textId="77777777" w:rsidR="00BA5EA9" w:rsidRPr="001E6DFD" w:rsidRDefault="00282CF5" w:rsidP="0097226C">
            <w:pPr>
              <w:jc w:val="center"/>
              <w:rPr>
                <w:sz w:val="16"/>
                <w:szCs w:val="16"/>
              </w:rPr>
            </w:pPr>
            <w:r w:rsidRPr="001E6DFD">
              <w:rPr>
                <w:sz w:val="16"/>
                <w:szCs w:val="16"/>
              </w:rPr>
              <w:t>13 083</w:t>
            </w:r>
          </w:p>
        </w:tc>
        <w:tc>
          <w:tcPr>
            <w:tcW w:w="1159" w:type="dxa"/>
            <w:tcBorders>
              <w:top w:val="nil"/>
              <w:left w:val="nil"/>
              <w:bottom w:val="nil"/>
              <w:right w:val="nil"/>
            </w:tcBorders>
            <w:shd w:val="clear" w:color="000000" w:fill="C5D9F1"/>
            <w:noWrap/>
            <w:vAlign w:val="center"/>
            <w:hideMark/>
          </w:tcPr>
          <w:p w14:paraId="436F1FED" w14:textId="77777777" w:rsidR="00BA5EA9" w:rsidRPr="001E6DFD" w:rsidRDefault="00282CF5" w:rsidP="0097226C">
            <w:pPr>
              <w:jc w:val="center"/>
              <w:rPr>
                <w:sz w:val="16"/>
                <w:szCs w:val="16"/>
              </w:rPr>
            </w:pPr>
            <w:r w:rsidRPr="001E6DFD">
              <w:rPr>
                <w:sz w:val="16"/>
                <w:szCs w:val="16"/>
              </w:rPr>
              <w:t>13 333</w:t>
            </w:r>
          </w:p>
        </w:tc>
        <w:tc>
          <w:tcPr>
            <w:tcW w:w="1173" w:type="dxa"/>
            <w:tcBorders>
              <w:top w:val="nil"/>
              <w:left w:val="nil"/>
              <w:bottom w:val="nil"/>
              <w:right w:val="nil"/>
            </w:tcBorders>
            <w:shd w:val="clear" w:color="000000" w:fill="C5D9F1"/>
            <w:noWrap/>
            <w:vAlign w:val="center"/>
            <w:hideMark/>
          </w:tcPr>
          <w:p w14:paraId="192892DA" w14:textId="77777777" w:rsidR="00BA5EA9" w:rsidRPr="001E6DFD" w:rsidRDefault="00282CF5" w:rsidP="0097226C">
            <w:pPr>
              <w:jc w:val="center"/>
              <w:rPr>
                <w:sz w:val="16"/>
                <w:szCs w:val="16"/>
              </w:rPr>
            </w:pPr>
            <w:r w:rsidRPr="001E6DFD">
              <w:rPr>
                <w:sz w:val="16"/>
                <w:szCs w:val="16"/>
              </w:rPr>
              <w:t>5 765</w:t>
            </w:r>
          </w:p>
        </w:tc>
      </w:tr>
      <w:tr w:rsidR="007703CF" w:rsidRPr="001E6DFD" w14:paraId="0B78FA2C"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5CE655DD" w14:textId="205688C3" w:rsidR="007703CF" w:rsidRPr="001E6DFD" w:rsidRDefault="007703CF"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3B221944" w14:textId="77777777" w:rsidR="001F64B1" w:rsidRPr="001E6DFD" w:rsidRDefault="001F64B1" w:rsidP="0097226C">
      <w:pPr>
        <w:rPr>
          <w:sz w:val="18"/>
          <w:szCs w:val="18"/>
        </w:rPr>
      </w:pPr>
    </w:p>
    <w:p w14:paraId="729BB105" w14:textId="77777777" w:rsidR="00FA22F6" w:rsidRPr="001E6DFD" w:rsidRDefault="00C10A48" w:rsidP="0097226C">
      <w:pPr>
        <w:pStyle w:val="NormalWeb"/>
        <w:keepNext/>
        <w:keepLines/>
        <w:spacing w:before="0" w:beforeAutospacing="0" w:after="0" w:afterAutospacing="0"/>
        <w:jc w:val="center"/>
      </w:pPr>
      <w:r w:rsidRPr="001E6DFD">
        <w:lastRenderedPageBreak/>
        <w:t>Budget et dépenses effectives (dépenses de personnel et autres dépenses)</w:t>
      </w:r>
    </w:p>
    <w:p w14:paraId="1D00A2A6" w14:textId="169BD088" w:rsidR="001F64B1" w:rsidRPr="001E6DFD" w:rsidRDefault="00C10A48"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3C6C738D" w14:textId="77777777" w:rsidR="00BA5EA9" w:rsidRPr="001E6DFD" w:rsidRDefault="00BA5EA9" w:rsidP="0097226C">
      <w:pPr>
        <w:keepNext/>
        <w:keepLines/>
        <w:rPr>
          <w:bCs/>
          <w:sz w:val="18"/>
          <w:szCs w:val="18"/>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19C20CBF" w14:textId="77777777" w:rsidTr="00A055E7">
        <w:trPr>
          <w:jc w:val="center"/>
        </w:trPr>
        <w:tc>
          <w:tcPr>
            <w:tcW w:w="2470" w:type="dxa"/>
            <w:tcBorders>
              <w:top w:val="nil"/>
              <w:left w:val="nil"/>
              <w:bottom w:val="nil"/>
              <w:right w:val="nil"/>
            </w:tcBorders>
            <w:shd w:val="clear" w:color="000000" w:fill="C5D9F1"/>
            <w:noWrap/>
            <w:vAlign w:val="center"/>
            <w:hideMark/>
          </w:tcPr>
          <w:p w14:paraId="2799B95F" w14:textId="5950DE8B"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4F69407C" w14:textId="77F3EE65" w:rsidR="00BA5EA9" w:rsidRPr="001E6DFD" w:rsidRDefault="00A806A7" w:rsidP="000C5A53">
            <w:pPr>
              <w:jc w:val="center"/>
              <w:rPr>
                <w:b/>
                <w:bCs/>
                <w:sz w:val="16"/>
                <w:szCs w:val="16"/>
              </w:rPr>
            </w:pPr>
            <w:r>
              <w:rPr>
                <w:b/>
                <w:bCs/>
                <w:sz w:val="16"/>
                <w:szCs w:val="16"/>
              </w:rPr>
              <w:t>Budget </w:t>
            </w:r>
            <w:r w:rsidR="00AC7D97" w:rsidRPr="001E6DFD">
              <w:rPr>
                <w:b/>
                <w:bCs/>
                <w:sz w:val="16"/>
                <w:szCs w:val="16"/>
              </w:rPr>
              <w:t>2016</w:t>
            </w:r>
            <w:r w:rsidR="006A41CF" w:rsidRPr="001E6DFD">
              <w:rPr>
                <w:b/>
                <w:bCs/>
                <w:sz w:val="16"/>
                <w:szCs w:val="16"/>
              </w:rPr>
              <w:noBreakHyphen/>
            </w:r>
            <w:r w:rsidR="00AC7D97" w:rsidRPr="001E6DFD">
              <w:rPr>
                <w:b/>
                <w:bCs/>
                <w:sz w:val="16"/>
                <w:szCs w:val="16"/>
              </w:rPr>
              <w:t>2017</w:t>
            </w:r>
            <w:r w:rsidR="00C10A48" w:rsidRPr="001E6DFD">
              <w:rPr>
                <w:b/>
                <w:bCs/>
                <w:sz w:val="16"/>
                <w:szCs w:val="16"/>
              </w:rPr>
              <w:t xml:space="preserve"> approuvé</w:t>
            </w:r>
          </w:p>
        </w:tc>
        <w:tc>
          <w:tcPr>
            <w:tcW w:w="1438" w:type="dxa"/>
            <w:tcBorders>
              <w:top w:val="nil"/>
              <w:left w:val="nil"/>
              <w:bottom w:val="nil"/>
              <w:right w:val="nil"/>
            </w:tcBorders>
            <w:shd w:val="clear" w:color="000000" w:fill="C5D9F1"/>
            <w:vAlign w:val="center"/>
            <w:hideMark/>
          </w:tcPr>
          <w:p w14:paraId="13DBC01F" w14:textId="6E6C508B" w:rsidR="00BA5EA9" w:rsidRPr="001E6DFD" w:rsidRDefault="00C10A48" w:rsidP="000C5A53">
            <w:pPr>
              <w:jc w:val="center"/>
              <w:rPr>
                <w:b/>
                <w:bCs/>
                <w:sz w:val="16"/>
                <w:szCs w:val="16"/>
              </w:rPr>
            </w:pPr>
            <w:r w:rsidRPr="001E6DFD">
              <w:rPr>
                <w:b/>
                <w:bCs/>
                <w:sz w:val="16"/>
                <w:szCs w:val="16"/>
              </w:rPr>
              <w:t>Budget</w:t>
            </w:r>
            <w:r w:rsidR="000C5A53">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70662E64" w14:textId="421882C9" w:rsidR="00BA5EA9" w:rsidRPr="001E6DFD" w:rsidRDefault="00C10A48"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1B0E96F6" w14:textId="7132F368" w:rsidR="00BA5EA9" w:rsidRPr="001E6DFD" w:rsidRDefault="00C10A48"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3BCBD6E3" w14:textId="77777777" w:rsidTr="00A055E7">
        <w:trPr>
          <w:jc w:val="center"/>
        </w:trPr>
        <w:tc>
          <w:tcPr>
            <w:tcW w:w="2470" w:type="dxa"/>
            <w:tcBorders>
              <w:top w:val="nil"/>
              <w:left w:val="nil"/>
              <w:bottom w:val="nil"/>
              <w:right w:val="nil"/>
            </w:tcBorders>
            <w:shd w:val="clear" w:color="auto" w:fill="auto"/>
            <w:noWrap/>
            <w:vAlign w:val="center"/>
            <w:hideMark/>
          </w:tcPr>
          <w:p w14:paraId="446FC9C3"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0F9C1788" w14:textId="77777777" w:rsidR="00BA5EA9" w:rsidRPr="001E6DFD" w:rsidRDefault="00282CF5" w:rsidP="0097226C">
            <w:pPr>
              <w:jc w:val="center"/>
              <w:rPr>
                <w:sz w:val="16"/>
                <w:szCs w:val="16"/>
              </w:rPr>
            </w:pPr>
            <w:r w:rsidRPr="001E6DFD">
              <w:rPr>
                <w:sz w:val="16"/>
                <w:szCs w:val="16"/>
              </w:rPr>
              <w:t>7 779</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723F8024" w14:textId="77777777" w:rsidR="00BA5EA9" w:rsidRPr="001E6DFD" w:rsidRDefault="00282CF5" w:rsidP="0097226C">
            <w:pPr>
              <w:jc w:val="center"/>
              <w:rPr>
                <w:sz w:val="16"/>
                <w:szCs w:val="16"/>
              </w:rPr>
            </w:pPr>
            <w:r w:rsidRPr="001E6DFD">
              <w:rPr>
                <w:sz w:val="16"/>
                <w:szCs w:val="16"/>
              </w:rPr>
              <w:t>7 939</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0923C6B7" w14:textId="77777777" w:rsidR="00BA5EA9" w:rsidRPr="001E6DFD" w:rsidRDefault="00282CF5" w:rsidP="0097226C">
            <w:pPr>
              <w:jc w:val="center"/>
              <w:rPr>
                <w:sz w:val="16"/>
                <w:szCs w:val="16"/>
              </w:rPr>
            </w:pPr>
            <w:r w:rsidRPr="001E6DFD">
              <w:rPr>
                <w:sz w:val="16"/>
                <w:szCs w:val="16"/>
              </w:rPr>
              <w:t>3 639</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3C8B01AB" w14:textId="77777777" w:rsidR="00BA5EA9" w:rsidRPr="001E6DFD" w:rsidRDefault="00BA5EA9" w:rsidP="0097226C">
            <w:pPr>
              <w:jc w:val="center"/>
              <w:rPr>
                <w:sz w:val="16"/>
                <w:szCs w:val="16"/>
              </w:rPr>
            </w:pPr>
            <w:r w:rsidRPr="001E6DFD">
              <w:rPr>
                <w:sz w:val="16"/>
                <w:szCs w:val="16"/>
              </w:rPr>
              <w:t>46%</w:t>
            </w:r>
          </w:p>
        </w:tc>
      </w:tr>
      <w:tr w:rsidR="00BA5EA9" w:rsidRPr="001E6DFD" w14:paraId="5C21E5DB" w14:textId="77777777" w:rsidTr="00A055E7">
        <w:trPr>
          <w:jc w:val="center"/>
        </w:trPr>
        <w:tc>
          <w:tcPr>
            <w:tcW w:w="2470" w:type="dxa"/>
            <w:tcBorders>
              <w:top w:val="nil"/>
              <w:left w:val="nil"/>
              <w:bottom w:val="nil"/>
              <w:right w:val="nil"/>
            </w:tcBorders>
            <w:shd w:val="clear" w:color="auto" w:fill="auto"/>
            <w:noWrap/>
            <w:vAlign w:val="center"/>
            <w:hideMark/>
          </w:tcPr>
          <w:p w14:paraId="15FF8D2C"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07D78823" w14:textId="77777777" w:rsidR="00BA5EA9" w:rsidRPr="001E6DFD" w:rsidRDefault="00282CF5" w:rsidP="0097226C">
            <w:pPr>
              <w:jc w:val="center"/>
              <w:rPr>
                <w:sz w:val="16"/>
                <w:szCs w:val="16"/>
              </w:rPr>
            </w:pPr>
            <w:r w:rsidRPr="001E6DFD">
              <w:rPr>
                <w:sz w:val="16"/>
                <w:szCs w:val="16"/>
              </w:rPr>
              <w:t>5 304</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728E4E33" w14:textId="77777777" w:rsidR="00BA5EA9" w:rsidRPr="001E6DFD" w:rsidRDefault="00282CF5" w:rsidP="0097226C">
            <w:pPr>
              <w:jc w:val="center"/>
              <w:rPr>
                <w:sz w:val="16"/>
                <w:szCs w:val="16"/>
              </w:rPr>
            </w:pPr>
            <w:r w:rsidRPr="001E6DFD">
              <w:rPr>
                <w:sz w:val="16"/>
                <w:szCs w:val="16"/>
              </w:rPr>
              <w:t>5 394</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85AF02A" w14:textId="77777777" w:rsidR="00BA5EA9" w:rsidRPr="001E6DFD" w:rsidRDefault="00282CF5" w:rsidP="0097226C">
            <w:pPr>
              <w:jc w:val="center"/>
              <w:rPr>
                <w:sz w:val="16"/>
                <w:szCs w:val="16"/>
              </w:rPr>
            </w:pPr>
            <w:r w:rsidRPr="001E6DFD">
              <w:rPr>
                <w:sz w:val="16"/>
                <w:szCs w:val="16"/>
              </w:rPr>
              <w:t>2 126</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33BC5BFE" w14:textId="77777777" w:rsidR="00BA5EA9" w:rsidRPr="001E6DFD" w:rsidRDefault="00BA5EA9" w:rsidP="0097226C">
            <w:pPr>
              <w:jc w:val="center"/>
              <w:rPr>
                <w:sz w:val="16"/>
                <w:szCs w:val="16"/>
              </w:rPr>
            </w:pPr>
            <w:r w:rsidRPr="001E6DFD">
              <w:rPr>
                <w:sz w:val="16"/>
                <w:szCs w:val="16"/>
              </w:rPr>
              <w:t>39%</w:t>
            </w:r>
          </w:p>
        </w:tc>
      </w:tr>
      <w:tr w:rsidR="00BA5EA9" w:rsidRPr="001E6DFD" w14:paraId="2C0E6E46" w14:textId="77777777" w:rsidTr="00A055E7">
        <w:trPr>
          <w:jc w:val="center"/>
        </w:trPr>
        <w:tc>
          <w:tcPr>
            <w:tcW w:w="2470" w:type="dxa"/>
            <w:tcBorders>
              <w:top w:val="nil"/>
              <w:left w:val="nil"/>
              <w:bottom w:val="nil"/>
              <w:right w:val="nil"/>
            </w:tcBorders>
            <w:shd w:val="clear" w:color="000000" w:fill="C5D9F1"/>
            <w:noWrap/>
            <w:vAlign w:val="center"/>
            <w:hideMark/>
          </w:tcPr>
          <w:p w14:paraId="1B7BE072" w14:textId="03B3AA38" w:rsidR="00BA5EA9" w:rsidRPr="001E6DFD" w:rsidRDefault="00C8218F"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A5E3FBD" w14:textId="77777777" w:rsidR="00BA5EA9" w:rsidRPr="001E6DFD" w:rsidRDefault="00282CF5" w:rsidP="0097226C">
            <w:pPr>
              <w:jc w:val="center"/>
              <w:rPr>
                <w:b/>
                <w:bCs/>
                <w:sz w:val="16"/>
                <w:szCs w:val="16"/>
              </w:rPr>
            </w:pPr>
            <w:r w:rsidRPr="001E6DFD">
              <w:rPr>
                <w:b/>
                <w:bCs/>
                <w:sz w:val="16"/>
                <w:szCs w:val="16"/>
              </w:rPr>
              <w:t>13 083</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0CC03D0F" w14:textId="77777777" w:rsidR="00BA5EA9" w:rsidRPr="001E6DFD" w:rsidRDefault="00282CF5" w:rsidP="0097226C">
            <w:pPr>
              <w:jc w:val="center"/>
              <w:rPr>
                <w:b/>
                <w:bCs/>
                <w:sz w:val="16"/>
                <w:szCs w:val="16"/>
              </w:rPr>
            </w:pPr>
            <w:r w:rsidRPr="001E6DFD">
              <w:rPr>
                <w:b/>
                <w:bCs/>
                <w:sz w:val="16"/>
                <w:szCs w:val="16"/>
              </w:rPr>
              <w:t>13 333</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45F3249E" w14:textId="77777777" w:rsidR="00BA5EA9" w:rsidRPr="001E6DFD" w:rsidRDefault="00282CF5" w:rsidP="0097226C">
            <w:pPr>
              <w:jc w:val="center"/>
              <w:rPr>
                <w:b/>
                <w:bCs/>
                <w:sz w:val="16"/>
                <w:szCs w:val="16"/>
              </w:rPr>
            </w:pPr>
            <w:r w:rsidRPr="001E6DFD">
              <w:rPr>
                <w:b/>
                <w:bCs/>
                <w:sz w:val="16"/>
                <w:szCs w:val="16"/>
              </w:rPr>
              <w:t>5 765</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1BD095C5" w14:textId="77777777" w:rsidR="00BA5EA9" w:rsidRPr="001E6DFD" w:rsidRDefault="00BA5EA9" w:rsidP="0097226C">
            <w:pPr>
              <w:jc w:val="center"/>
              <w:rPr>
                <w:b/>
                <w:bCs/>
                <w:sz w:val="16"/>
                <w:szCs w:val="16"/>
              </w:rPr>
            </w:pPr>
            <w:r w:rsidRPr="001E6DFD">
              <w:rPr>
                <w:b/>
                <w:bCs/>
                <w:sz w:val="16"/>
                <w:szCs w:val="16"/>
              </w:rPr>
              <w:t>43%</w:t>
            </w:r>
          </w:p>
        </w:tc>
      </w:tr>
      <w:tr w:rsidR="00BA5EA9" w:rsidRPr="001E6DFD" w14:paraId="390C0CFE"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40A946C0" w14:textId="14F36AB2"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1E5B2C90" w14:textId="77777777" w:rsidR="00A055E7" w:rsidRPr="001E6DFD" w:rsidRDefault="00A055E7" w:rsidP="0097226C">
      <w:pPr>
        <w:keepNext/>
        <w:keepLines/>
        <w:ind w:left="567" w:right="425"/>
        <w:rPr>
          <w:i/>
          <w:sz w:val="16"/>
          <w:szCs w:val="16"/>
        </w:rPr>
      </w:pPr>
    </w:p>
    <w:p w14:paraId="2AC9644F" w14:textId="04BD9D99" w:rsidR="001F64B1" w:rsidRPr="001E6DFD" w:rsidRDefault="00C10A48" w:rsidP="0097226C">
      <w:pPr>
        <w:keepNext/>
        <w:keepLines/>
        <w:ind w:left="567" w:right="425"/>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0B19F5EE" w14:textId="77777777" w:rsidR="001F64B1" w:rsidRPr="001E6DFD" w:rsidRDefault="001F64B1" w:rsidP="0097226C">
      <w:pPr>
        <w:rPr>
          <w:sz w:val="20"/>
        </w:rPr>
      </w:pPr>
    </w:p>
    <w:p w14:paraId="7DFC6D05" w14:textId="77777777" w:rsidR="00A055E7" w:rsidRPr="001E6DFD" w:rsidRDefault="00A055E7" w:rsidP="0097226C">
      <w:pPr>
        <w:rPr>
          <w:sz w:val="20"/>
        </w:rPr>
      </w:pPr>
    </w:p>
    <w:p w14:paraId="57EF568C" w14:textId="515010EB" w:rsidR="001F64B1" w:rsidRPr="000C5A53" w:rsidRDefault="00BA5EA9" w:rsidP="0097226C">
      <w:pPr>
        <w:jc w:val="both"/>
        <w:rPr>
          <w:sz w:val="20"/>
          <w:u w:val="single"/>
        </w:rPr>
      </w:pPr>
      <w:r w:rsidRPr="000C5A53">
        <w:rPr>
          <w:sz w:val="20"/>
        </w:rPr>
        <w:t>A.</w:t>
      </w:r>
      <w:r w:rsidRPr="000C5A53">
        <w:rPr>
          <w:sz w:val="20"/>
        </w:rPr>
        <w:tab/>
      </w:r>
      <w:r w:rsidR="00F3341E" w:rsidRPr="000C5A53">
        <w:rPr>
          <w:sz w:val="20"/>
          <w:u w:val="single"/>
        </w:rPr>
        <w:t>Budget</w:t>
      </w:r>
      <w:r w:rsidR="00B4191E" w:rsidRPr="000C5A53">
        <w:rPr>
          <w:sz w:val="20"/>
          <w:u w:val="single"/>
        </w:rPr>
        <w:t> </w:t>
      </w:r>
      <w:r w:rsidR="00F3341E" w:rsidRPr="000C5A53">
        <w:rPr>
          <w:sz w:val="20"/>
          <w:u w:val="single"/>
        </w:rPr>
        <w:t>2016</w:t>
      </w:r>
      <w:r w:rsidR="006A41CF" w:rsidRPr="000C5A53">
        <w:rPr>
          <w:sz w:val="20"/>
          <w:u w:val="single"/>
        </w:rPr>
        <w:noBreakHyphen/>
      </w:r>
      <w:r w:rsidR="00F3341E" w:rsidRPr="000C5A53">
        <w:rPr>
          <w:sz w:val="20"/>
          <w:u w:val="single"/>
        </w:rPr>
        <w:t>2017 après virements</w:t>
      </w:r>
    </w:p>
    <w:p w14:paraId="13D80AE9" w14:textId="77777777" w:rsidR="001F64B1" w:rsidRPr="000C5A53" w:rsidRDefault="001F64B1" w:rsidP="0097226C">
      <w:pPr>
        <w:jc w:val="both"/>
        <w:rPr>
          <w:sz w:val="20"/>
        </w:rPr>
      </w:pPr>
    </w:p>
    <w:p w14:paraId="62273C26" w14:textId="0E276E10" w:rsidR="001F64B1" w:rsidRPr="000C5A53" w:rsidRDefault="00A27EC6" w:rsidP="00D544B8">
      <w:pPr>
        <w:pStyle w:val="ListParagraph"/>
        <w:numPr>
          <w:ilvl w:val="0"/>
          <w:numId w:val="12"/>
        </w:numPr>
        <w:ind w:left="0" w:firstLine="0"/>
        <w:contextualSpacing w:val="0"/>
        <w:jc w:val="both"/>
        <w:rPr>
          <w:rFonts w:ascii="Arial" w:hAnsi="Arial" w:cs="Arial"/>
          <w:sz w:val="20"/>
          <w:szCs w:val="20"/>
        </w:rPr>
      </w:pPr>
      <w:r w:rsidRPr="000C5A53">
        <w:rPr>
          <w:rFonts w:ascii="Arial" w:hAnsi="Arial" w:cs="Arial"/>
          <w:sz w:val="20"/>
          <w:szCs w:val="20"/>
        </w:rPr>
        <w:t xml:space="preserve">La légère augmentation des ressources </w:t>
      </w:r>
      <w:r w:rsidR="00AE2955" w:rsidRPr="000C5A53">
        <w:rPr>
          <w:rFonts w:ascii="Arial" w:hAnsi="Arial" w:cs="Arial"/>
          <w:sz w:val="20"/>
          <w:szCs w:val="20"/>
        </w:rPr>
        <w:t xml:space="preserve">autres que </w:t>
      </w:r>
      <w:r w:rsidR="00B65DDA" w:rsidRPr="000C5A53">
        <w:rPr>
          <w:rFonts w:ascii="Arial" w:hAnsi="Arial" w:cs="Arial"/>
          <w:sz w:val="20"/>
          <w:szCs w:val="20"/>
        </w:rPr>
        <w:t xml:space="preserve">pour le </w:t>
      </w:r>
      <w:r w:rsidRPr="000C5A53">
        <w:rPr>
          <w:rFonts w:ascii="Arial" w:hAnsi="Arial" w:cs="Arial"/>
          <w:sz w:val="20"/>
          <w:szCs w:val="20"/>
        </w:rPr>
        <w:t>personnel par rapport au budget</w:t>
      </w:r>
      <w:r w:rsidR="00B4191E" w:rsidRPr="000C5A53">
        <w:rPr>
          <w:rFonts w:ascii="Arial" w:hAnsi="Arial" w:cs="Arial"/>
          <w:sz w:val="20"/>
          <w:szCs w:val="20"/>
        </w:rPr>
        <w:t> </w:t>
      </w:r>
      <w:r w:rsidR="00AE2955" w:rsidRPr="000C5A53">
        <w:rPr>
          <w:rFonts w:ascii="Arial" w:hAnsi="Arial" w:cs="Arial"/>
          <w:sz w:val="20"/>
          <w:szCs w:val="20"/>
        </w:rPr>
        <w:t>2016</w:t>
      </w:r>
      <w:r w:rsidR="006A41CF" w:rsidRPr="000C5A53">
        <w:rPr>
          <w:rFonts w:ascii="Arial" w:hAnsi="Arial" w:cs="Arial"/>
          <w:sz w:val="20"/>
          <w:szCs w:val="20"/>
        </w:rPr>
        <w:noBreakHyphen/>
      </w:r>
      <w:r w:rsidR="00AE2955" w:rsidRPr="000C5A53">
        <w:rPr>
          <w:rFonts w:ascii="Arial" w:hAnsi="Arial" w:cs="Arial"/>
          <w:sz w:val="20"/>
          <w:szCs w:val="20"/>
        </w:rPr>
        <w:t xml:space="preserve">2017 </w:t>
      </w:r>
      <w:r w:rsidRPr="000C5A53">
        <w:rPr>
          <w:rFonts w:ascii="Arial" w:hAnsi="Arial" w:cs="Arial"/>
          <w:sz w:val="20"/>
          <w:szCs w:val="20"/>
        </w:rPr>
        <w:t xml:space="preserve">approuvé </w:t>
      </w:r>
      <w:r w:rsidR="00B65DDA" w:rsidRPr="000C5A53">
        <w:rPr>
          <w:rFonts w:ascii="Arial" w:hAnsi="Arial" w:cs="Arial"/>
          <w:sz w:val="20"/>
          <w:szCs w:val="20"/>
        </w:rPr>
        <w:t>s</w:t>
      </w:r>
      <w:r w:rsidR="00FA22F6" w:rsidRPr="000C5A53">
        <w:rPr>
          <w:rFonts w:ascii="Arial" w:hAnsi="Arial" w:cs="Arial"/>
          <w:sz w:val="20"/>
          <w:szCs w:val="20"/>
        </w:rPr>
        <w:t>’</w:t>
      </w:r>
      <w:r w:rsidR="00B65DDA" w:rsidRPr="000C5A53">
        <w:rPr>
          <w:rFonts w:ascii="Arial" w:hAnsi="Arial" w:cs="Arial"/>
          <w:sz w:val="20"/>
          <w:szCs w:val="20"/>
        </w:rPr>
        <w:t xml:space="preserve">expliquait </w:t>
      </w:r>
      <w:r w:rsidR="00AE2955" w:rsidRPr="000C5A53">
        <w:rPr>
          <w:rFonts w:ascii="Arial" w:hAnsi="Arial" w:cs="Arial"/>
          <w:sz w:val="20"/>
          <w:szCs w:val="20"/>
        </w:rPr>
        <w:t xml:space="preserve">par le </w:t>
      </w:r>
      <w:r w:rsidRPr="000C5A53">
        <w:rPr>
          <w:rFonts w:ascii="Arial" w:hAnsi="Arial" w:cs="Arial"/>
          <w:sz w:val="20"/>
          <w:szCs w:val="20"/>
        </w:rPr>
        <w:t>transfert</w:t>
      </w:r>
      <w:r w:rsidR="00B65DDA" w:rsidRPr="000C5A53">
        <w:rPr>
          <w:rFonts w:ascii="Arial" w:hAnsi="Arial" w:cs="Arial"/>
          <w:sz w:val="20"/>
          <w:szCs w:val="20"/>
        </w:rPr>
        <w:t>, depuis le programme</w:t>
      </w:r>
      <w:r w:rsidR="00B4191E" w:rsidRPr="000C5A53">
        <w:rPr>
          <w:rFonts w:ascii="Arial" w:hAnsi="Arial" w:cs="Arial"/>
          <w:sz w:val="20"/>
          <w:szCs w:val="20"/>
        </w:rPr>
        <w:t> </w:t>
      </w:r>
      <w:r w:rsidR="00B65DDA" w:rsidRPr="000C5A53">
        <w:rPr>
          <w:rFonts w:ascii="Arial" w:hAnsi="Arial" w:cs="Arial"/>
          <w:sz w:val="20"/>
          <w:szCs w:val="20"/>
        </w:rPr>
        <w:t>30 (Appui</w:t>
      </w:r>
      <w:r w:rsidR="00FA22F6" w:rsidRPr="000C5A53">
        <w:rPr>
          <w:rFonts w:ascii="Arial" w:hAnsi="Arial" w:cs="Arial"/>
          <w:sz w:val="20"/>
          <w:szCs w:val="20"/>
        </w:rPr>
        <w:t xml:space="preserve"> aux PME</w:t>
      </w:r>
      <w:r w:rsidR="00B65DDA" w:rsidRPr="000C5A53">
        <w:rPr>
          <w:rFonts w:ascii="Arial" w:hAnsi="Arial" w:cs="Arial"/>
          <w:sz w:val="20"/>
          <w:szCs w:val="20"/>
        </w:rPr>
        <w:t xml:space="preserve"> et à la création d</w:t>
      </w:r>
      <w:r w:rsidR="00FA22F6" w:rsidRPr="000C5A53">
        <w:rPr>
          <w:rFonts w:ascii="Arial" w:hAnsi="Arial" w:cs="Arial"/>
          <w:sz w:val="20"/>
          <w:szCs w:val="20"/>
        </w:rPr>
        <w:t>’</w:t>
      </w:r>
      <w:r w:rsidR="00B65DDA" w:rsidRPr="000C5A53">
        <w:rPr>
          <w:rFonts w:ascii="Arial" w:hAnsi="Arial" w:cs="Arial"/>
          <w:sz w:val="20"/>
          <w:szCs w:val="20"/>
        </w:rPr>
        <w:t>entreprises) vers l</w:t>
      </w:r>
      <w:r w:rsidR="00FA22F6" w:rsidRPr="000C5A53">
        <w:rPr>
          <w:rFonts w:ascii="Arial" w:hAnsi="Arial" w:cs="Arial"/>
          <w:sz w:val="20"/>
          <w:szCs w:val="20"/>
        </w:rPr>
        <w:t>’</w:t>
      </w:r>
      <w:r w:rsidR="00B65DDA" w:rsidRPr="000C5A53">
        <w:rPr>
          <w:rFonts w:ascii="Arial" w:hAnsi="Arial" w:cs="Arial"/>
          <w:sz w:val="20"/>
          <w:szCs w:val="20"/>
        </w:rPr>
        <w:t>Académie de l</w:t>
      </w:r>
      <w:r w:rsidR="00FA22F6" w:rsidRPr="000C5A53">
        <w:rPr>
          <w:rFonts w:ascii="Arial" w:hAnsi="Arial" w:cs="Arial"/>
          <w:sz w:val="20"/>
          <w:szCs w:val="20"/>
        </w:rPr>
        <w:t>’</w:t>
      </w:r>
      <w:r w:rsidR="00B65DDA" w:rsidRPr="000C5A53">
        <w:rPr>
          <w:rFonts w:ascii="Arial" w:hAnsi="Arial" w:cs="Arial"/>
          <w:sz w:val="20"/>
          <w:szCs w:val="20"/>
        </w:rPr>
        <w:t>OMPI,</w:t>
      </w:r>
      <w:r w:rsidRPr="000C5A53">
        <w:rPr>
          <w:rFonts w:ascii="Arial" w:hAnsi="Arial" w:cs="Arial"/>
          <w:sz w:val="20"/>
          <w:szCs w:val="20"/>
        </w:rPr>
        <w:t xml:space="preserve"> de la responsabilité de la gestion </w:t>
      </w:r>
      <w:r w:rsidR="00AE2955" w:rsidRPr="000C5A53">
        <w:rPr>
          <w:rFonts w:ascii="Arial" w:hAnsi="Arial" w:cs="Arial"/>
          <w:sz w:val="20"/>
          <w:szCs w:val="20"/>
        </w:rPr>
        <w:t>du cours de formation avancé sur la propriété intellectuelle</w:t>
      </w:r>
      <w:r w:rsidRPr="000C5A53">
        <w:rPr>
          <w:rFonts w:ascii="Arial" w:hAnsi="Arial" w:cs="Arial"/>
          <w:sz w:val="20"/>
          <w:szCs w:val="20"/>
        </w:rPr>
        <w:t>.</w:t>
      </w:r>
    </w:p>
    <w:p w14:paraId="163B5DCA" w14:textId="77777777" w:rsidR="001F64B1" w:rsidRPr="000C5A53" w:rsidRDefault="001F64B1" w:rsidP="0097226C">
      <w:pPr>
        <w:jc w:val="both"/>
        <w:rPr>
          <w:sz w:val="20"/>
        </w:rPr>
      </w:pPr>
    </w:p>
    <w:p w14:paraId="7E89DC01" w14:textId="7B805881" w:rsidR="001F64B1" w:rsidRPr="000C5A53" w:rsidRDefault="00BA5EA9" w:rsidP="0097226C">
      <w:pPr>
        <w:jc w:val="both"/>
        <w:rPr>
          <w:sz w:val="20"/>
          <w:u w:val="single"/>
        </w:rPr>
      </w:pPr>
      <w:r w:rsidRPr="000C5A53">
        <w:rPr>
          <w:sz w:val="20"/>
        </w:rPr>
        <w:t>B.</w:t>
      </w:r>
      <w:r w:rsidRPr="000C5A53">
        <w:rPr>
          <w:sz w:val="20"/>
        </w:rPr>
        <w:tab/>
      </w:r>
      <w:r w:rsidR="00F3341E" w:rsidRPr="000C5A53">
        <w:rPr>
          <w:sz w:val="20"/>
          <w:u w:val="single"/>
        </w:rPr>
        <w:t>Utilisation du budget</w:t>
      </w:r>
      <w:r w:rsidR="00B4191E" w:rsidRPr="000C5A53">
        <w:rPr>
          <w:sz w:val="20"/>
          <w:u w:val="single"/>
        </w:rPr>
        <w:t> </w:t>
      </w:r>
      <w:r w:rsidR="00F3341E" w:rsidRPr="000C5A53">
        <w:rPr>
          <w:sz w:val="20"/>
          <w:u w:val="single"/>
        </w:rPr>
        <w:t>2016</w:t>
      </w:r>
      <w:r w:rsidR="006A41CF" w:rsidRPr="000C5A53">
        <w:rPr>
          <w:sz w:val="20"/>
          <w:u w:val="single"/>
        </w:rPr>
        <w:noBreakHyphen/>
      </w:r>
      <w:r w:rsidR="00F3341E" w:rsidRPr="000C5A53">
        <w:rPr>
          <w:sz w:val="20"/>
          <w:u w:val="single"/>
        </w:rPr>
        <w:t>2017</w:t>
      </w:r>
    </w:p>
    <w:p w14:paraId="09CA1976" w14:textId="77777777" w:rsidR="001F64B1" w:rsidRPr="000C5A53" w:rsidRDefault="001F64B1" w:rsidP="0097226C">
      <w:pPr>
        <w:jc w:val="both"/>
        <w:rPr>
          <w:sz w:val="20"/>
        </w:rPr>
      </w:pPr>
    </w:p>
    <w:p w14:paraId="71F0DE9B" w14:textId="4AA6EC27" w:rsidR="00FA22F6" w:rsidRPr="000C5A53" w:rsidRDefault="00C05954" w:rsidP="00D544B8">
      <w:pPr>
        <w:pStyle w:val="ListParagraph"/>
        <w:numPr>
          <w:ilvl w:val="0"/>
          <w:numId w:val="12"/>
        </w:numPr>
        <w:ind w:left="0" w:firstLine="0"/>
        <w:contextualSpacing w:val="0"/>
        <w:jc w:val="both"/>
        <w:rPr>
          <w:rFonts w:ascii="Arial" w:hAnsi="Arial" w:cs="Arial"/>
          <w:sz w:val="20"/>
          <w:szCs w:val="20"/>
        </w:rPr>
      </w:pPr>
      <w:r w:rsidRPr="000C5A53">
        <w:rPr>
          <w:rFonts w:ascii="Arial" w:hAnsi="Arial" w:cs="Arial"/>
          <w:sz w:val="20"/>
          <w:szCs w:val="20"/>
        </w:rPr>
        <w:t>L</w:t>
      </w:r>
      <w:r w:rsidR="00FA22F6" w:rsidRPr="000C5A53">
        <w:rPr>
          <w:rFonts w:ascii="Arial" w:hAnsi="Arial" w:cs="Arial"/>
          <w:sz w:val="20"/>
          <w:szCs w:val="20"/>
        </w:rPr>
        <w:t>’</w:t>
      </w:r>
      <w:r w:rsidRPr="000C5A53">
        <w:rPr>
          <w:rFonts w:ascii="Arial" w:hAnsi="Arial" w:cs="Arial"/>
          <w:sz w:val="20"/>
          <w:szCs w:val="20"/>
        </w:rPr>
        <w:t>utilisation du budget pour le personnel se situait dans la fourchette prévue des 40 à 60% pour la première année de l</w:t>
      </w:r>
      <w:r w:rsidR="00FA22F6" w:rsidRPr="000C5A53">
        <w:rPr>
          <w:rFonts w:ascii="Arial" w:hAnsi="Arial" w:cs="Arial"/>
          <w:sz w:val="20"/>
          <w:szCs w:val="20"/>
        </w:rPr>
        <w:t>’</w:t>
      </w:r>
      <w:r w:rsidRPr="000C5A53">
        <w:rPr>
          <w:rFonts w:ascii="Arial" w:hAnsi="Arial" w:cs="Arial"/>
          <w:sz w:val="20"/>
          <w:szCs w:val="20"/>
        </w:rPr>
        <w:t>exercice bienn</w:t>
      </w:r>
      <w:r w:rsidR="004A4D21" w:rsidRPr="000C5A53">
        <w:rPr>
          <w:rFonts w:ascii="Arial" w:hAnsi="Arial" w:cs="Arial"/>
          <w:sz w:val="20"/>
          <w:szCs w:val="20"/>
        </w:rPr>
        <w:t>al.  Le</w:t>
      </w:r>
      <w:r w:rsidR="00B51C90" w:rsidRPr="000C5A53">
        <w:rPr>
          <w:rFonts w:ascii="Arial" w:hAnsi="Arial" w:cs="Arial"/>
          <w:sz w:val="20"/>
          <w:szCs w:val="20"/>
        </w:rPr>
        <w:t xml:space="preserve"> taux </w:t>
      </w:r>
      <w:r w:rsidR="00647472" w:rsidRPr="000C5A53">
        <w:rPr>
          <w:rFonts w:ascii="Arial" w:hAnsi="Arial" w:cs="Arial"/>
          <w:sz w:val="20"/>
          <w:szCs w:val="20"/>
        </w:rPr>
        <w:t>d</w:t>
      </w:r>
      <w:r w:rsidR="00FA22F6" w:rsidRPr="000C5A53">
        <w:rPr>
          <w:rFonts w:ascii="Arial" w:hAnsi="Arial" w:cs="Arial"/>
          <w:sz w:val="20"/>
          <w:szCs w:val="20"/>
        </w:rPr>
        <w:t>’</w:t>
      </w:r>
      <w:r w:rsidR="00647472" w:rsidRPr="000C5A53">
        <w:rPr>
          <w:rFonts w:ascii="Arial" w:hAnsi="Arial" w:cs="Arial"/>
          <w:sz w:val="20"/>
          <w:szCs w:val="20"/>
        </w:rPr>
        <w:t xml:space="preserve">utilisation </w:t>
      </w:r>
      <w:r w:rsidR="00B51C90" w:rsidRPr="000C5A53">
        <w:rPr>
          <w:rFonts w:ascii="Arial" w:hAnsi="Arial" w:cs="Arial"/>
          <w:sz w:val="20"/>
          <w:szCs w:val="20"/>
        </w:rPr>
        <w:t xml:space="preserve">de 39% </w:t>
      </w:r>
      <w:r w:rsidR="00647472" w:rsidRPr="000C5A53">
        <w:rPr>
          <w:rFonts w:ascii="Arial" w:hAnsi="Arial" w:cs="Arial"/>
          <w:sz w:val="20"/>
          <w:szCs w:val="20"/>
        </w:rPr>
        <w:t xml:space="preserve">des ressources </w:t>
      </w:r>
      <w:r w:rsidR="00B51C90" w:rsidRPr="000C5A53">
        <w:rPr>
          <w:rFonts w:ascii="Arial" w:hAnsi="Arial" w:cs="Arial"/>
          <w:sz w:val="20"/>
          <w:szCs w:val="20"/>
        </w:rPr>
        <w:t xml:space="preserve">autres que pour le </w:t>
      </w:r>
      <w:r w:rsidR="00647472" w:rsidRPr="000C5A53">
        <w:rPr>
          <w:rFonts w:ascii="Arial" w:hAnsi="Arial" w:cs="Arial"/>
          <w:sz w:val="20"/>
          <w:szCs w:val="20"/>
        </w:rPr>
        <w:t xml:space="preserve">personnel </w:t>
      </w:r>
      <w:r w:rsidRPr="000C5A53">
        <w:rPr>
          <w:rFonts w:ascii="Arial" w:hAnsi="Arial" w:cs="Arial"/>
          <w:sz w:val="20"/>
          <w:szCs w:val="20"/>
        </w:rPr>
        <w:t>étai</w:t>
      </w:r>
      <w:r w:rsidR="00B51C90" w:rsidRPr="000C5A53">
        <w:rPr>
          <w:rFonts w:ascii="Arial" w:hAnsi="Arial" w:cs="Arial"/>
          <w:sz w:val="20"/>
          <w:szCs w:val="20"/>
        </w:rPr>
        <w:t>t principalement dû</w:t>
      </w:r>
      <w:r w:rsidRPr="000C5A53">
        <w:rPr>
          <w:rFonts w:ascii="Arial" w:hAnsi="Arial" w:cs="Arial"/>
          <w:sz w:val="20"/>
          <w:szCs w:val="20"/>
        </w:rPr>
        <w:t xml:space="preserve"> à une mise en œuvre plus lente que prév</w:t>
      </w:r>
      <w:r w:rsidR="00647472" w:rsidRPr="000C5A53">
        <w:rPr>
          <w:rFonts w:ascii="Arial" w:hAnsi="Arial" w:cs="Arial"/>
          <w:sz w:val="20"/>
          <w:szCs w:val="20"/>
        </w:rPr>
        <w:t>u du</w:t>
      </w:r>
      <w:r w:rsidR="006564E6" w:rsidRPr="000C5A53">
        <w:rPr>
          <w:rFonts w:ascii="Arial" w:hAnsi="Arial" w:cs="Arial"/>
          <w:sz w:val="20"/>
          <w:szCs w:val="20"/>
        </w:rPr>
        <w:t xml:space="preserve"> projet de</w:t>
      </w:r>
      <w:r w:rsidR="00647472" w:rsidRPr="000C5A53">
        <w:rPr>
          <w:rFonts w:ascii="Arial" w:hAnsi="Arial" w:cs="Arial"/>
          <w:sz w:val="20"/>
          <w:szCs w:val="20"/>
        </w:rPr>
        <w:t xml:space="preserve"> Plan</w:t>
      </w:r>
      <w:r w:rsidR="00941556" w:rsidRPr="000C5A53">
        <w:rPr>
          <w:rFonts w:ascii="Arial" w:hAnsi="Arial" w:cs="Arial"/>
          <w:sz w:val="20"/>
          <w:szCs w:val="20"/>
        </w:rPr>
        <w:t xml:space="preserve"> d</w:t>
      </w:r>
      <w:r w:rsidR="00FA22F6" w:rsidRPr="000C5A53">
        <w:rPr>
          <w:rFonts w:ascii="Arial" w:hAnsi="Arial" w:cs="Arial"/>
          <w:sz w:val="20"/>
          <w:szCs w:val="20"/>
        </w:rPr>
        <w:t>’</w:t>
      </w:r>
      <w:r w:rsidR="00941556" w:rsidRPr="000C5A53">
        <w:rPr>
          <w:rFonts w:ascii="Arial" w:hAnsi="Arial" w:cs="Arial"/>
          <w:sz w:val="20"/>
          <w:szCs w:val="20"/>
        </w:rPr>
        <w:t xml:space="preserve">action </w:t>
      </w:r>
      <w:r w:rsidR="006564E6" w:rsidRPr="000C5A53">
        <w:rPr>
          <w:rFonts w:ascii="Arial" w:hAnsi="Arial" w:cs="Arial"/>
          <w:sz w:val="20"/>
          <w:szCs w:val="20"/>
        </w:rPr>
        <w:t xml:space="preserve">sur la </w:t>
      </w:r>
      <w:r w:rsidR="00647472" w:rsidRPr="000C5A53">
        <w:rPr>
          <w:rFonts w:ascii="Arial" w:hAnsi="Arial" w:cs="Arial"/>
          <w:sz w:val="20"/>
          <w:szCs w:val="20"/>
        </w:rPr>
        <w:t>Coopération avec les instituts de formation judiciaires d</w:t>
      </w:r>
      <w:r w:rsidR="006564E6" w:rsidRPr="000C5A53">
        <w:rPr>
          <w:rFonts w:ascii="Arial" w:hAnsi="Arial" w:cs="Arial"/>
          <w:sz w:val="20"/>
          <w:szCs w:val="20"/>
        </w:rPr>
        <w:t>ans les pays en développement et les pays les moins avancés</w:t>
      </w:r>
      <w:r w:rsidR="00647472" w:rsidRPr="000C5A53">
        <w:rPr>
          <w:rFonts w:ascii="Arial" w:hAnsi="Arial" w:cs="Arial"/>
          <w:sz w:val="20"/>
          <w:szCs w:val="20"/>
        </w:rPr>
        <w:t>.</w:t>
      </w:r>
      <w:r w:rsidRPr="000C5A53">
        <w:rPr>
          <w:rFonts w:ascii="Arial" w:hAnsi="Arial" w:cs="Arial"/>
          <w:sz w:val="20"/>
          <w:szCs w:val="20"/>
        </w:rPr>
        <w:t xml:space="preserve"> </w:t>
      </w:r>
      <w:r w:rsidR="00647472" w:rsidRPr="000C5A53">
        <w:rPr>
          <w:rFonts w:ascii="Arial" w:hAnsi="Arial" w:cs="Arial"/>
          <w:sz w:val="20"/>
          <w:szCs w:val="20"/>
        </w:rPr>
        <w:t xml:space="preserve"> </w:t>
      </w:r>
    </w:p>
    <w:p w14:paraId="05B21B89" w14:textId="59E2EED2" w:rsidR="007A2632" w:rsidRPr="000C5A53" w:rsidRDefault="007A2632" w:rsidP="0097226C">
      <w:pPr>
        <w:rPr>
          <w:b/>
          <w:bCs/>
          <w:iCs/>
          <w:szCs w:val="28"/>
        </w:rPr>
      </w:pPr>
      <w:r w:rsidRPr="000C5A53">
        <w:rPr>
          <w:b/>
          <w:bCs/>
          <w:iCs/>
          <w:szCs w:val="28"/>
        </w:rPr>
        <w:br w:type="page"/>
      </w:r>
    </w:p>
    <w:p w14:paraId="417F8833" w14:textId="77777777" w:rsidR="00F96912" w:rsidRPr="00CD000E" w:rsidRDefault="00F96912" w:rsidP="006658D5">
      <w:pPr>
        <w:pStyle w:val="Heading3"/>
      </w:pPr>
      <w:bookmarkStart w:id="47" w:name="_Toc482774604"/>
      <w:r w:rsidRPr="00CD000E">
        <w:rPr>
          <w:color w:val="000000"/>
        </w:rPr>
        <w:lastRenderedPageBreak/>
        <w:t>P</w:t>
      </w:r>
      <w:r w:rsidRPr="00CD000E">
        <w:t>rogramme 30</w:t>
      </w:r>
      <w:r w:rsidRPr="00CD000E">
        <w:tab/>
        <w:t>Appui aux petites et moyennes entreprises (PME) et à la création d’entreprises</w:t>
      </w:r>
      <w:bookmarkEnd w:id="47"/>
    </w:p>
    <w:p w14:paraId="5498D249" w14:textId="77777777" w:rsidR="00F96912" w:rsidRPr="00CD000E" w:rsidRDefault="00F96912" w:rsidP="00F96912">
      <w:pPr>
        <w:tabs>
          <w:tab w:val="left" w:pos="2268"/>
        </w:tabs>
        <w:ind w:left="2268" w:hanging="2268"/>
        <w:rPr>
          <w:sz w:val="20"/>
        </w:rPr>
      </w:pPr>
    </w:p>
    <w:p w14:paraId="05C8187C" w14:textId="77777777" w:rsidR="00F96912" w:rsidRPr="00CD000E" w:rsidRDefault="00F96912" w:rsidP="00F96912">
      <w:pPr>
        <w:tabs>
          <w:tab w:val="left" w:pos="2268"/>
        </w:tabs>
        <w:ind w:left="2268" w:hanging="2268"/>
        <w:rPr>
          <w:b/>
          <w:sz w:val="20"/>
        </w:rPr>
      </w:pPr>
      <w:r w:rsidRPr="00CD000E">
        <w:rPr>
          <w:b/>
          <w:sz w:val="20"/>
        </w:rPr>
        <w:t>Chef de programme</w:t>
      </w:r>
      <w:r w:rsidRPr="00CD000E">
        <w:rPr>
          <w:sz w:val="20"/>
        </w:rPr>
        <w:tab/>
      </w:r>
      <w:r w:rsidRPr="00CD000E">
        <w:rPr>
          <w:b/>
          <w:sz w:val="20"/>
        </w:rPr>
        <w:t>Le Directeur général</w:t>
      </w:r>
    </w:p>
    <w:p w14:paraId="685FF7FB" w14:textId="77777777" w:rsidR="00F96912" w:rsidRPr="00D97E5E" w:rsidRDefault="00F96912" w:rsidP="00F96912">
      <w:pPr>
        <w:ind w:left="1985" w:hanging="1985"/>
        <w:rPr>
          <w:sz w:val="20"/>
        </w:rPr>
      </w:pPr>
    </w:p>
    <w:p w14:paraId="44B93518" w14:textId="77777777" w:rsidR="00F96912" w:rsidRPr="00D97E5E" w:rsidRDefault="00F96912" w:rsidP="00F96912">
      <w:pPr>
        <w:ind w:left="1985" w:hanging="1985"/>
        <w:jc w:val="center"/>
        <w:rPr>
          <w:sz w:val="20"/>
        </w:rPr>
      </w:pPr>
      <w:r w:rsidRPr="00D97E5E">
        <w:rPr>
          <w:noProof/>
          <w:lang w:val="en-US"/>
        </w:rPr>
        <w:drawing>
          <wp:inline distT="0" distB="0" distL="0" distR="0" wp14:anchorId="466948DE" wp14:editId="501D345B">
            <wp:extent cx="3960778" cy="273600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898"/>
        <w:gridCol w:w="2457"/>
        <w:gridCol w:w="1290"/>
        <w:gridCol w:w="2492"/>
        <w:gridCol w:w="1050"/>
      </w:tblGrid>
      <w:tr w:rsidR="00F96912" w:rsidRPr="00CD000E" w14:paraId="1EEC371B" w14:textId="77777777" w:rsidTr="006658D5">
        <w:tc>
          <w:tcPr>
            <w:tcW w:w="5000" w:type="pct"/>
            <w:gridSpan w:val="5"/>
            <w:shd w:val="clear" w:color="auto" w:fill="C6D9F1" w:themeFill="text2" w:themeFillTint="33"/>
            <w:tcMar>
              <w:left w:w="58" w:type="dxa"/>
              <w:right w:w="58" w:type="dxa"/>
            </w:tcMar>
            <w:vAlign w:val="center"/>
          </w:tcPr>
          <w:p w14:paraId="1036BC8D" w14:textId="77777777" w:rsidR="00F96912" w:rsidRPr="00CD000E" w:rsidRDefault="00F96912" w:rsidP="006658D5">
            <w:pPr>
              <w:keepNext/>
              <w:keepLines/>
              <w:tabs>
                <w:tab w:val="left" w:pos="1452"/>
              </w:tabs>
              <w:rPr>
                <w:b/>
                <w:bCs/>
                <w:sz w:val="16"/>
                <w:szCs w:val="16"/>
              </w:rPr>
            </w:pPr>
            <w:r w:rsidRPr="00CD000E">
              <w:rPr>
                <w:b/>
                <w:bCs/>
                <w:sz w:val="16"/>
                <w:szCs w:val="16"/>
              </w:rPr>
              <w:t>Résultat escompté :</w:t>
            </w:r>
            <w:r w:rsidRPr="00CD000E">
              <w:rPr>
                <w:b/>
                <w:bCs/>
                <w:color w:val="000000"/>
                <w:sz w:val="16"/>
                <w:szCs w:val="16"/>
              </w:rPr>
              <w:t xml:space="preserve"> </w:t>
            </w:r>
            <w:r w:rsidRPr="00CD000E">
              <w:rPr>
                <w:bCs/>
                <w:sz w:val="16"/>
                <w:szCs w:val="16"/>
              </w:rPr>
              <w:t>III.1 Stratégies et plans nationaux en matière d’innovation et de propriété intellectuelle conformes aux objectifs de développement nationaux.</w:t>
            </w:r>
          </w:p>
        </w:tc>
      </w:tr>
      <w:tr w:rsidR="00F96912" w:rsidRPr="00CD000E" w14:paraId="6DAF17E8" w14:textId="77777777" w:rsidTr="006658D5">
        <w:tc>
          <w:tcPr>
            <w:tcW w:w="1046" w:type="pct"/>
            <w:shd w:val="clear" w:color="auto" w:fill="auto"/>
            <w:tcMar>
              <w:left w:w="58" w:type="dxa"/>
              <w:right w:w="58" w:type="dxa"/>
            </w:tcMar>
            <w:vAlign w:val="center"/>
          </w:tcPr>
          <w:p w14:paraId="670ABE07" w14:textId="77777777" w:rsidR="00F96912" w:rsidRPr="00CD000E" w:rsidRDefault="00F96912" w:rsidP="006658D5">
            <w:pPr>
              <w:jc w:val="center"/>
              <w:rPr>
                <w:b/>
                <w:bCs/>
                <w:sz w:val="16"/>
                <w:szCs w:val="16"/>
              </w:rPr>
            </w:pPr>
            <w:r w:rsidRPr="00CD000E">
              <w:rPr>
                <w:b/>
                <w:bCs/>
                <w:sz w:val="16"/>
                <w:szCs w:val="16"/>
              </w:rPr>
              <w:t>Indicateurs d’exécution</w:t>
            </w:r>
          </w:p>
        </w:tc>
        <w:tc>
          <w:tcPr>
            <w:tcW w:w="1350" w:type="pct"/>
            <w:shd w:val="clear" w:color="auto" w:fill="auto"/>
            <w:tcMar>
              <w:left w:w="58" w:type="dxa"/>
              <w:right w:w="58" w:type="dxa"/>
            </w:tcMar>
            <w:vAlign w:val="center"/>
          </w:tcPr>
          <w:p w14:paraId="22290DBA" w14:textId="77777777" w:rsidR="00F96912" w:rsidRPr="00CD000E" w:rsidRDefault="00F96912" w:rsidP="006658D5">
            <w:pPr>
              <w:jc w:val="center"/>
              <w:rPr>
                <w:b/>
                <w:bCs/>
                <w:sz w:val="16"/>
                <w:szCs w:val="16"/>
              </w:rPr>
            </w:pPr>
            <w:r w:rsidRPr="00CD000E">
              <w:rPr>
                <w:b/>
                <w:bCs/>
                <w:sz w:val="16"/>
                <w:szCs w:val="16"/>
              </w:rPr>
              <w:t>Niveaux de référence</w:t>
            </w:r>
          </w:p>
        </w:tc>
        <w:tc>
          <w:tcPr>
            <w:tcW w:w="681" w:type="pct"/>
            <w:shd w:val="clear" w:color="auto" w:fill="auto"/>
            <w:tcMar>
              <w:top w:w="110" w:type="dxa"/>
              <w:left w:w="58" w:type="dxa"/>
              <w:right w:w="58" w:type="dxa"/>
            </w:tcMar>
            <w:vAlign w:val="center"/>
          </w:tcPr>
          <w:p w14:paraId="1C0063BA"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369" w:type="pct"/>
            <w:shd w:val="clear" w:color="auto" w:fill="FFFFFF"/>
            <w:tcMar>
              <w:top w:w="110" w:type="dxa"/>
              <w:left w:w="58" w:type="dxa"/>
              <w:right w:w="58" w:type="dxa"/>
            </w:tcMar>
            <w:vAlign w:val="center"/>
          </w:tcPr>
          <w:p w14:paraId="55FE912A"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554" w:type="pct"/>
            <w:shd w:val="clear" w:color="auto" w:fill="auto"/>
            <w:tcMar>
              <w:top w:w="110" w:type="dxa"/>
              <w:left w:w="58" w:type="dxa"/>
              <w:right w:w="58" w:type="dxa"/>
            </w:tcMar>
            <w:vAlign w:val="center"/>
          </w:tcPr>
          <w:p w14:paraId="2213D3BF"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6CA0FCD6" w14:textId="77777777" w:rsidTr="006658D5">
        <w:tc>
          <w:tcPr>
            <w:tcW w:w="1046" w:type="pct"/>
            <w:shd w:val="clear" w:color="auto" w:fill="auto"/>
            <w:tcMar>
              <w:left w:w="58" w:type="dxa"/>
              <w:right w:w="58" w:type="dxa"/>
            </w:tcMar>
          </w:tcPr>
          <w:p w14:paraId="71351118" w14:textId="77777777" w:rsidR="00F96912" w:rsidRPr="00D97E5E" w:rsidRDefault="00F96912" w:rsidP="006658D5">
            <w:pPr>
              <w:rPr>
                <w:color w:val="000000"/>
                <w:sz w:val="16"/>
                <w:szCs w:val="16"/>
              </w:rPr>
            </w:pPr>
            <w:r w:rsidRPr="00D97E5E">
              <w:rPr>
                <w:sz w:val="16"/>
                <w:szCs w:val="16"/>
              </w:rPr>
              <w:t>Nombre de stratégies nationales en matière de propriété intellectuelle relatives à la promotion de la créativité et de l’innovation</w:t>
            </w:r>
          </w:p>
        </w:tc>
        <w:tc>
          <w:tcPr>
            <w:tcW w:w="1350" w:type="pct"/>
            <w:shd w:val="clear" w:color="auto" w:fill="auto"/>
            <w:tcMar>
              <w:left w:w="58" w:type="dxa"/>
              <w:right w:w="58" w:type="dxa"/>
            </w:tcMar>
          </w:tcPr>
          <w:p w14:paraId="1BDDC2A0" w14:textId="77777777" w:rsidR="00F96912" w:rsidRPr="00D97E5E" w:rsidRDefault="00F96912" w:rsidP="006658D5">
            <w:pPr>
              <w:rPr>
                <w:i/>
                <w:color w:val="002060"/>
                <w:sz w:val="16"/>
                <w:szCs w:val="16"/>
              </w:rPr>
            </w:pPr>
            <w:r w:rsidRPr="00D97E5E">
              <w:rPr>
                <w:i/>
                <w:color w:val="002060"/>
                <w:sz w:val="16"/>
                <w:szCs w:val="16"/>
              </w:rPr>
              <w:t>Niveau de référence actualisé à fin 2015 :</w:t>
            </w:r>
          </w:p>
          <w:p w14:paraId="2580462C" w14:textId="1D423C55" w:rsidR="00F96912" w:rsidRPr="00D97E5E" w:rsidRDefault="00F96912" w:rsidP="006658D5">
            <w:pPr>
              <w:rPr>
                <w:color w:val="002060"/>
                <w:sz w:val="16"/>
                <w:szCs w:val="16"/>
              </w:rPr>
            </w:pPr>
            <w:r w:rsidRPr="00D97E5E">
              <w:rPr>
                <w:color w:val="002060"/>
                <w:sz w:val="16"/>
                <w:szCs w:val="16"/>
              </w:rPr>
              <w:t>Stratégies engagées dans 6 pays (Cameroun, Jamaïque, Rwanda, Serbie, Sri Lanka, Trinité</w:t>
            </w:r>
            <w:r w:rsidRPr="00D97E5E">
              <w:rPr>
                <w:color w:val="002060"/>
                <w:sz w:val="16"/>
                <w:szCs w:val="16"/>
              </w:rPr>
              <w:noBreakHyphen/>
              <w:t>et</w:t>
            </w:r>
            <w:r w:rsidRPr="00D97E5E">
              <w:rPr>
                <w:color w:val="002060"/>
                <w:sz w:val="16"/>
                <w:szCs w:val="16"/>
              </w:rPr>
              <w:noBreakHyphen/>
              <w:t>Tobago)</w:t>
            </w:r>
          </w:p>
          <w:p w14:paraId="4510DBDA" w14:textId="77777777" w:rsidR="00F96912" w:rsidRPr="00D97E5E" w:rsidRDefault="00F96912" w:rsidP="006658D5">
            <w:pPr>
              <w:rPr>
                <w:sz w:val="16"/>
                <w:szCs w:val="16"/>
              </w:rPr>
            </w:pPr>
          </w:p>
          <w:p w14:paraId="32CF1A2E" w14:textId="77777777" w:rsidR="00F96912" w:rsidRPr="00D97E5E" w:rsidRDefault="00F96912" w:rsidP="006658D5">
            <w:pPr>
              <w:rPr>
                <w:i/>
                <w:sz w:val="16"/>
                <w:szCs w:val="16"/>
                <w:lang w:bidi="th-TH"/>
              </w:rPr>
            </w:pPr>
            <w:r w:rsidRPr="00D97E5E">
              <w:rPr>
                <w:i/>
                <w:sz w:val="16"/>
                <w:szCs w:val="16"/>
                <w:lang w:bidi="th-TH"/>
              </w:rPr>
              <w:t>Niveau de référence initial dans le programme et budget 2016</w:t>
            </w:r>
            <w:r w:rsidRPr="00D97E5E">
              <w:rPr>
                <w:i/>
                <w:sz w:val="16"/>
                <w:szCs w:val="16"/>
                <w:lang w:bidi="th-TH"/>
              </w:rPr>
              <w:noBreakHyphen/>
              <w:t>2017 :</w:t>
            </w:r>
          </w:p>
          <w:p w14:paraId="4E2C2456" w14:textId="77777777" w:rsidR="00F96912" w:rsidRPr="00D97E5E" w:rsidRDefault="00F96912" w:rsidP="006658D5">
            <w:pPr>
              <w:rPr>
                <w:color w:val="000000"/>
                <w:sz w:val="16"/>
                <w:szCs w:val="16"/>
              </w:rPr>
            </w:pPr>
            <w:r w:rsidRPr="00D97E5E">
              <w:rPr>
                <w:color w:val="000000"/>
                <w:sz w:val="16"/>
                <w:szCs w:val="16"/>
              </w:rPr>
              <w:t>4 stratégies engagées (2014)</w:t>
            </w:r>
          </w:p>
        </w:tc>
        <w:tc>
          <w:tcPr>
            <w:tcW w:w="681" w:type="pct"/>
            <w:shd w:val="clear" w:color="auto" w:fill="auto"/>
            <w:tcMar>
              <w:top w:w="110" w:type="dxa"/>
              <w:left w:w="58" w:type="dxa"/>
              <w:right w:w="58" w:type="dxa"/>
            </w:tcMar>
          </w:tcPr>
          <w:p w14:paraId="0E7AD7FA" w14:textId="77777777" w:rsidR="00F96912" w:rsidRPr="00D97E5E" w:rsidRDefault="00F96912" w:rsidP="006658D5">
            <w:pPr>
              <w:rPr>
                <w:color w:val="000000"/>
                <w:sz w:val="16"/>
                <w:szCs w:val="16"/>
              </w:rPr>
            </w:pPr>
            <w:r w:rsidRPr="00D97E5E">
              <w:rPr>
                <w:sz w:val="16"/>
                <w:szCs w:val="16"/>
              </w:rPr>
              <w:t>5 pays</w:t>
            </w:r>
          </w:p>
        </w:tc>
        <w:tc>
          <w:tcPr>
            <w:tcW w:w="1369" w:type="pct"/>
            <w:shd w:val="clear" w:color="auto" w:fill="FFFFFF"/>
            <w:tcMar>
              <w:top w:w="110" w:type="dxa"/>
              <w:left w:w="58" w:type="dxa"/>
              <w:right w:w="58" w:type="dxa"/>
            </w:tcMar>
          </w:tcPr>
          <w:p w14:paraId="19BC5868" w14:textId="77777777" w:rsidR="00F96912" w:rsidRPr="00D97E5E" w:rsidRDefault="00F96912" w:rsidP="006658D5">
            <w:pPr>
              <w:rPr>
                <w:sz w:val="16"/>
                <w:szCs w:val="16"/>
              </w:rPr>
            </w:pPr>
            <w:r w:rsidRPr="00D97E5E">
              <w:rPr>
                <w:sz w:val="16"/>
                <w:szCs w:val="16"/>
              </w:rPr>
              <w:t>1 stratégie nationale élaborée en matière de propriété intellectuelle relative à la promotion de la créativité et de l’innovation (Albanie)</w:t>
            </w:r>
          </w:p>
          <w:p w14:paraId="6998454D" w14:textId="77777777" w:rsidR="00F96912" w:rsidRPr="00D97E5E" w:rsidRDefault="00F96912" w:rsidP="006658D5">
            <w:pPr>
              <w:rPr>
                <w:sz w:val="16"/>
                <w:szCs w:val="16"/>
              </w:rPr>
            </w:pPr>
          </w:p>
          <w:p w14:paraId="11A78BAB" w14:textId="5F44E9B5" w:rsidR="00F96912" w:rsidRPr="00D97E5E" w:rsidRDefault="00F96912" w:rsidP="00C27BF5">
            <w:pPr>
              <w:rPr>
                <w:sz w:val="16"/>
                <w:szCs w:val="16"/>
              </w:rPr>
            </w:pPr>
            <w:r w:rsidRPr="00D97E5E">
              <w:rPr>
                <w:sz w:val="16"/>
                <w:szCs w:val="16"/>
              </w:rPr>
              <w:t>Stratégies nationales en matière de propriété intellectuelle engagées dans 3 pays supplémentaires (Géorgie, Lettonie</w:t>
            </w:r>
            <w:r w:rsidR="00C27BF5">
              <w:rPr>
                <w:sz w:val="16"/>
                <w:szCs w:val="16"/>
              </w:rPr>
              <w:t>, Slovaquie</w:t>
            </w:r>
            <w:r w:rsidRPr="00D97E5E">
              <w:rPr>
                <w:sz w:val="16"/>
                <w:szCs w:val="16"/>
              </w:rPr>
              <w:t>)</w:t>
            </w:r>
          </w:p>
        </w:tc>
        <w:tc>
          <w:tcPr>
            <w:tcW w:w="554" w:type="pct"/>
            <w:shd w:val="clear" w:color="auto" w:fill="auto"/>
            <w:tcMar>
              <w:top w:w="110" w:type="dxa"/>
              <w:left w:w="58" w:type="dxa"/>
              <w:right w:w="58" w:type="dxa"/>
            </w:tcMar>
          </w:tcPr>
          <w:p w14:paraId="63A5D9CA" w14:textId="77777777" w:rsidR="00F96912" w:rsidRPr="00CD000E" w:rsidRDefault="00F96912" w:rsidP="006658D5">
            <w:pPr>
              <w:keepNext/>
              <w:keepLines/>
              <w:jc w:val="center"/>
              <w:rPr>
                <w:b/>
                <w:color w:val="000000"/>
                <w:sz w:val="16"/>
                <w:szCs w:val="16"/>
              </w:rPr>
            </w:pPr>
            <w:r w:rsidRPr="00D97E5E">
              <w:rPr>
                <w:b/>
                <w:color w:val="FF0000"/>
                <w:sz w:val="16"/>
                <w:szCs w:val="16"/>
              </w:rPr>
              <w:t>Pas en bonne voie</w:t>
            </w:r>
          </w:p>
        </w:tc>
      </w:tr>
      <w:tr w:rsidR="00F96912" w:rsidRPr="00CD000E" w14:paraId="51AAF421" w14:textId="77777777" w:rsidTr="006658D5">
        <w:tc>
          <w:tcPr>
            <w:tcW w:w="5000" w:type="pct"/>
            <w:gridSpan w:val="5"/>
            <w:shd w:val="clear" w:color="auto" w:fill="C6D9F1" w:themeFill="text2" w:themeFillTint="33"/>
            <w:tcMar>
              <w:left w:w="58" w:type="dxa"/>
              <w:right w:w="58" w:type="dxa"/>
            </w:tcMar>
            <w:vAlign w:val="center"/>
          </w:tcPr>
          <w:p w14:paraId="77109181" w14:textId="77777777" w:rsidR="00F96912" w:rsidRPr="00CD000E" w:rsidRDefault="00F96912" w:rsidP="006658D5">
            <w:pPr>
              <w:keepNext/>
              <w:keepLines/>
              <w:tabs>
                <w:tab w:val="left" w:pos="1452"/>
              </w:tabs>
              <w:rPr>
                <w:b/>
                <w:bCs/>
                <w:sz w:val="16"/>
                <w:szCs w:val="16"/>
              </w:rPr>
            </w:pPr>
            <w:r w:rsidRPr="00CD000E">
              <w:rPr>
                <w:b/>
                <w:bCs/>
                <w:sz w:val="16"/>
                <w:szCs w:val="16"/>
              </w:rPr>
              <w:t>Résultat escompté</w:t>
            </w:r>
            <w:r w:rsidRPr="00CD000E">
              <w:rPr>
                <w:b/>
                <w:bCs/>
                <w:color w:val="000000"/>
                <w:sz w:val="16"/>
                <w:szCs w:val="16"/>
              </w:rPr>
              <w:t> :</w:t>
            </w:r>
            <w:r w:rsidRPr="00CD000E">
              <w:rPr>
                <w:b/>
                <w:bCs/>
                <w:sz w:val="16"/>
                <w:szCs w:val="16"/>
              </w:rPr>
              <w:t xml:space="preserve"> </w:t>
            </w:r>
            <w:r w:rsidRPr="00CD000E">
              <w:rPr>
                <w:bCs/>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F96912" w:rsidRPr="00CD000E" w14:paraId="7FA21BF8" w14:textId="77777777" w:rsidTr="006658D5">
        <w:tc>
          <w:tcPr>
            <w:tcW w:w="1046" w:type="pct"/>
            <w:shd w:val="clear" w:color="auto" w:fill="auto"/>
            <w:tcMar>
              <w:left w:w="58" w:type="dxa"/>
              <w:right w:w="58" w:type="dxa"/>
            </w:tcMar>
            <w:vAlign w:val="center"/>
          </w:tcPr>
          <w:p w14:paraId="26646FFB" w14:textId="77777777" w:rsidR="00F96912" w:rsidRPr="00CD000E" w:rsidRDefault="00F96912" w:rsidP="006658D5">
            <w:pPr>
              <w:jc w:val="center"/>
              <w:rPr>
                <w:b/>
                <w:bCs/>
                <w:sz w:val="16"/>
                <w:szCs w:val="16"/>
              </w:rPr>
            </w:pPr>
            <w:r w:rsidRPr="00CD000E">
              <w:rPr>
                <w:b/>
                <w:bCs/>
                <w:sz w:val="16"/>
                <w:szCs w:val="16"/>
              </w:rPr>
              <w:t>Indicateurs d’exécution</w:t>
            </w:r>
          </w:p>
        </w:tc>
        <w:tc>
          <w:tcPr>
            <w:tcW w:w="1350" w:type="pct"/>
            <w:shd w:val="clear" w:color="auto" w:fill="auto"/>
            <w:tcMar>
              <w:left w:w="58" w:type="dxa"/>
              <w:right w:w="58" w:type="dxa"/>
            </w:tcMar>
            <w:vAlign w:val="center"/>
          </w:tcPr>
          <w:p w14:paraId="7628A96D" w14:textId="77777777" w:rsidR="00F96912" w:rsidRPr="00CD000E" w:rsidRDefault="00F96912" w:rsidP="006658D5">
            <w:pPr>
              <w:jc w:val="center"/>
              <w:rPr>
                <w:b/>
                <w:bCs/>
                <w:sz w:val="16"/>
                <w:szCs w:val="16"/>
              </w:rPr>
            </w:pPr>
            <w:r w:rsidRPr="00CD000E">
              <w:rPr>
                <w:b/>
                <w:bCs/>
                <w:sz w:val="16"/>
                <w:szCs w:val="16"/>
              </w:rPr>
              <w:t>Niveaux de référence</w:t>
            </w:r>
          </w:p>
        </w:tc>
        <w:tc>
          <w:tcPr>
            <w:tcW w:w="681" w:type="pct"/>
            <w:shd w:val="clear" w:color="auto" w:fill="auto"/>
            <w:tcMar>
              <w:top w:w="110" w:type="dxa"/>
              <w:left w:w="58" w:type="dxa"/>
              <w:right w:w="58" w:type="dxa"/>
            </w:tcMar>
            <w:vAlign w:val="center"/>
          </w:tcPr>
          <w:p w14:paraId="10F8B21D" w14:textId="77777777" w:rsidR="00F96912" w:rsidRPr="00CD000E" w:rsidRDefault="00F96912" w:rsidP="006658D5">
            <w:pPr>
              <w:jc w:val="center"/>
              <w:rPr>
                <w:b/>
                <w:bCs/>
                <w:sz w:val="16"/>
                <w:szCs w:val="16"/>
              </w:rPr>
            </w:pPr>
            <w:r w:rsidRPr="00CD000E">
              <w:rPr>
                <w:b/>
                <w:bCs/>
                <w:sz w:val="16"/>
                <w:szCs w:val="16"/>
              </w:rPr>
              <w:t>Objectifs visés</w:t>
            </w:r>
          </w:p>
        </w:tc>
        <w:tc>
          <w:tcPr>
            <w:tcW w:w="1369" w:type="pct"/>
            <w:shd w:val="clear" w:color="auto" w:fill="FFFFFF"/>
            <w:tcMar>
              <w:top w:w="110" w:type="dxa"/>
              <w:left w:w="58" w:type="dxa"/>
              <w:right w:w="58" w:type="dxa"/>
            </w:tcMar>
            <w:vAlign w:val="center"/>
          </w:tcPr>
          <w:p w14:paraId="2FD5AB39"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554" w:type="pct"/>
            <w:shd w:val="clear" w:color="auto" w:fill="auto"/>
            <w:tcMar>
              <w:top w:w="110" w:type="dxa"/>
              <w:left w:w="58" w:type="dxa"/>
              <w:right w:w="58" w:type="dxa"/>
            </w:tcMar>
            <w:vAlign w:val="center"/>
          </w:tcPr>
          <w:p w14:paraId="33167563"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246542D8" w14:textId="77777777" w:rsidTr="006658D5">
        <w:tc>
          <w:tcPr>
            <w:tcW w:w="1046" w:type="pct"/>
            <w:shd w:val="clear" w:color="auto" w:fill="auto"/>
            <w:tcMar>
              <w:left w:w="58" w:type="dxa"/>
              <w:right w:w="58" w:type="dxa"/>
            </w:tcMar>
          </w:tcPr>
          <w:p w14:paraId="09180477" w14:textId="77777777" w:rsidR="00F96912" w:rsidRPr="00CD000E" w:rsidRDefault="00F96912" w:rsidP="006658D5">
            <w:pPr>
              <w:rPr>
                <w:color w:val="000000"/>
                <w:sz w:val="16"/>
                <w:szCs w:val="16"/>
              </w:rPr>
            </w:pPr>
            <w:r w:rsidRPr="00CD000E">
              <w:rPr>
                <w:sz w:val="16"/>
                <w:szCs w:val="16"/>
              </w:rPr>
              <w:t>Pourcentage de professionnels formés en matière de propriété intellectuelle qui utilisent des compétences améliorées dans le cadre de leurs activités professionnelles</w:t>
            </w:r>
          </w:p>
        </w:tc>
        <w:tc>
          <w:tcPr>
            <w:tcW w:w="1350" w:type="pct"/>
            <w:shd w:val="clear" w:color="auto" w:fill="auto"/>
            <w:tcMar>
              <w:left w:w="58" w:type="dxa"/>
              <w:right w:w="58" w:type="dxa"/>
            </w:tcMar>
          </w:tcPr>
          <w:p w14:paraId="796FF702"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57640741" w14:textId="77777777" w:rsidR="00F96912" w:rsidRPr="00CD000E" w:rsidRDefault="00F96912" w:rsidP="006658D5">
            <w:pPr>
              <w:rPr>
                <w:color w:val="002060"/>
                <w:sz w:val="16"/>
                <w:szCs w:val="16"/>
              </w:rPr>
            </w:pPr>
            <w:r w:rsidRPr="00CD000E">
              <w:rPr>
                <w:color w:val="002060"/>
                <w:sz w:val="16"/>
                <w:szCs w:val="16"/>
              </w:rPr>
              <w:t>77%</w:t>
            </w:r>
          </w:p>
          <w:p w14:paraId="3377284C" w14:textId="77777777" w:rsidR="00F96912" w:rsidRPr="00CD000E" w:rsidRDefault="00F96912" w:rsidP="006658D5">
            <w:pPr>
              <w:rPr>
                <w:color w:val="000000"/>
                <w:sz w:val="16"/>
                <w:szCs w:val="16"/>
              </w:rPr>
            </w:pPr>
          </w:p>
          <w:p w14:paraId="7D51C3B9" w14:textId="77777777" w:rsidR="00F96912" w:rsidRPr="00CD000E" w:rsidRDefault="00F96912" w:rsidP="006658D5">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44CE816C" w14:textId="77777777" w:rsidR="00F96912" w:rsidRPr="00CD000E" w:rsidRDefault="00F96912" w:rsidP="006658D5">
            <w:pPr>
              <w:rPr>
                <w:color w:val="000000"/>
                <w:sz w:val="16"/>
                <w:szCs w:val="16"/>
              </w:rPr>
            </w:pPr>
            <w:r w:rsidRPr="00CD000E">
              <w:rPr>
                <w:color w:val="000000"/>
                <w:sz w:val="16"/>
                <w:szCs w:val="16"/>
              </w:rPr>
              <w:t>&gt;60%</w:t>
            </w:r>
          </w:p>
        </w:tc>
        <w:tc>
          <w:tcPr>
            <w:tcW w:w="681" w:type="pct"/>
            <w:shd w:val="clear" w:color="auto" w:fill="auto"/>
            <w:tcMar>
              <w:top w:w="110" w:type="dxa"/>
              <w:left w:w="58" w:type="dxa"/>
              <w:right w:w="58" w:type="dxa"/>
            </w:tcMar>
          </w:tcPr>
          <w:p w14:paraId="4147F7C2" w14:textId="77777777" w:rsidR="00F96912" w:rsidRPr="00CD000E" w:rsidRDefault="00F96912" w:rsidP="006658D5">
            <w:pPr>
              <w:rPr>
                <w:i/>
                <w:color w:val="002060"/>
                <w:sz w:val="16"/>
                <w:szCs w:val="16"/>
              </w:rPr>
            </w:pPr>
            <w:r w:rsidRPr="00CD000E">
              <w:rPr>
                <w:i/>
                <w:color w:val="002060"/>
                <w:sz w:val="16"/>
                <w:szCs w:val="16"/>
              </w:rPr>
              <w:t>Objectif actualisé :</w:t>
            </w:r>
          </w:p>
          <w:p w14:paraId="00F89A0F" w14:textId="77777777" w:rsidR="00F96912" w:rsidRPr="00CD000E" w:rsidRDefault="00F96912" w:rsidP="006658D5">
            <w:pPr>
              <w:rPr>
                <w:color w:val="002060"/>
                <w:sz w:val="16"/>
                <w:szCs w:val="16"/>
              </w:rPr>
            </w:pPr>
            <w:r w:rsidRPr="00CD000E">
              <w:rPr>
                <w:color w:val="002060"/>
                <w:sz w:val="16"/>
                <w:szCs w:val="16"/>
              </w:rPr>
              <w:t>70%</w:t>
            </w:r>
          </w:p>
          <w:p w14:paraId="5C3AD6FD" w14:textId="77777777" w:rsidR="00F96912" w:rsidRPr="00CD000E" w:rsidRDefault="00F96912" w:rsidP="006658D5">
            <w:pPr>
              <w:rPr>
                <w:color w:val="000000"/>
                <w:sz w:val="16"/>
                <w:szCs w:val="16"/>
              </w:rPr>
            </w:pPr>
          </w:p>
          <w:p w14:paraId="585681D3" w14:textId="77777777" w:rsidR="00F96912" w:rsidRPr="00CD000E" w:rsidRDefault="00F96912" w:rsidP="006658D5">
            <w:pPr>
              <w:rPr>
                <w:i/>
                <w:color w:val="000000"/>
                <w:sz w:val="16"/>
                <w:szCs w:val="16"/>
              </w:rPr>
            </w:pPr>
            <w:r w:rsidRPr="00CD000E">
              <w:rPr>
                <w:i/>
                <w:color w:val="000000"/>
                <w:sz w:val="16"/>
                <w:szCs w:val="16"/>
              </w:rPr>
              <w:t>Objectif initial dans le programme et budget 2016</w:t>
            </w:r>
            <w:r>
              <w:rPr>
                <w:i/>
                <w:color w:val="000000"/>
                <w:sz w:val="16"/>
                <w:szCs w:val="16"/>
              </w:rPr>
              <w:noBreakHyphen/>
            </w:r>
            <w:r w:rsidRPr="00CD000E">
              <w:rPr>
                <w:i/>
                <w:color w:val="000000"/>
                <w:sz w:val="16"/>
                <w:szCs w:val="16"/>
              </w:rPr>
              <w:t>2017 :</w:t>
            </w:r>
          </w:p>
          <w:p w14:paraId="09BF5FC3" w14:textId="77777777" w:rsidR="00F96912" w:rsidRPr="00CD000E" w:rsidRDefault="00F96912" w:rsidP="006658D5">
            <w:pPr>
              <w:rPr>
                <w:color w:val="000000"/>
                <w:sz w:val="16"/>
                <w:szCs w:val="16"/>
              </w:rPr>
            </w:pPr>
            <w:r w:rsidRPr="00CD000E">
              <w:rPr>
                <w:color w:val="000000"/>
                <w:sz w:val="16"/>
                <w:szCs w:val="16"/>
              </w:rPr>
              <w:t>50%</w:t>
            </w:r>
          </w:p>
        </w:tc>
        <w:tc>
          <w:tcPr>
            <w:tcW w:w="1369" w:type="pct"/>
            <w:shd w:val="clear" w:color="auto" w:fill="FFFFFF"/>
            <w:tcMar>
              <w:top w:w="110" w:type="dxa"/>
              <w:left w:w="58" w:type="dxa"/>
              <w:right w:w="58" w:type="dxa"/>
            </w:tcMar>
          </w:tcPr>
          <w:p w14:paraId="0DC962BB" w14:textId="77777777" w:rsidR="00F96912" w:rsidRPr="00CD000E" w:rsidRDefault="00F96912" w:rsidP="006658D5">
            <w:pPr>
              <w:rPr>
                <w:sz w:val="16"/>
                <w:szCs w:val="16"/>
              </w:rPr>
            </w:pPr>
            <w:r w:rsidRPr="00CD000E">
              <w:rPr>
                <w:sz w:val="16"/>
                <w:szCs w:val="16"/>
              </w:rPr>
              <w:t>63%</w:t>
            </w:r>
          </w:p>
        </w:tc>
        <w:tc>
          <w:tcPr>
            <w:tcW w:w="554" w:type="pct"/>
            <w:shd w:val="clear" w:color="auto" w:fill="auto"/>
            <w:tcMar>
              <w:top w:w="110" w:type="dxa"/>
              <w:left w:w="58" w:type="dxa"/>
              <w:right w:w="58" w:type="dxa"/>
            </w:tcMar>
          </w:tcPr>
          <w:p w14:paraId="01DD5DD4" w14:textId="77777777" w:rsidR="00F96912" w:rsidRPr="00CD000E" w:rsidRDefault="00F96912" w:rsidP="006658D5">
            <w:pPr>
              <w:keepNext/>
              <w:keepLines/>
              <w:jc w:val="center"/>
              <w:rPr>
                <w:b/>
                <w:color w:val="000000"/>
                <w:sz w:val="16"/>
                <w:szCs w:val="16"/>
              </w:rPr>
            </w:pPr>
            <w:r w:rsidRPr="00CD000E">
              <w:rPr>
                <w:b/>
                <w:color w:val="00B050"/>
                <w:sz w:val="16"/>
                <w:szCs w:val="16"/>
              </w:rPr>
              <w:t>En bonne voie</w:t>
            </w:r>
          </w:p>
        </w:tc>
      </w:tr>
      <w:tr w:rsidR="00F96912" w:rsidRPr="00CD000E" w14:paraId="3EA487D7" w14:textId="77777777" w:rsidTr="006658D5">
        <w:tc>
          <w:tcPr>
            <w:tcW w:w="5000" w:type="pct"/>
            <w:gridSpan w:val="5"/>
            <w:shd w:val="clear" w:color="auto" w:fill="C6D9F1" w:themeFill="text2" w:themeFillTint="33"/>
            <w:tcMar>
              <w:left w:w="58" w:type="dxa"/>
              <w:right w:w="58" w:type="dxa"/>
            </w:tcMar>
            <w:vAlign w:val="center"/>
          </w:tcPr>
          <w:p w14:paraId="5BC20E1E" w14:textId="77777777" w:rsidR="00F96912" w:rsidRPr="00CD000E" w:rsidRDefault="00F96912" w:rsidP="006658D5">
            <w:pPr>
              <w:keepNext/>
              <w:keepLines/>
              <w:tabs>
                <w:tab w:val="left" w:pos="1452"/>
              </w:tabs>
              <w:rPr>
                <w:b/>
                <w:bCs/>
                <w:sz w:val="16"/>
                <w:szCs w:val="16"/>
              </w:rPr>
            </w:pPr>
            <w:r w:rsidRPr="00CD000E">
              <w:rPr>
                <w:b/>
                <w:bCs/>
                <w:sz w:val="16"/>
                <w:szCs w:val="16"/>
              </w:rPr>
              <w:lastRenderedPageBreak/>
              <w:t xml:space="preserve">Résultat escompté : </w:t>
            </w:r>
            <w:r w:rsidRPr="00CD000E">
              <w:rPr>
                <w:bCs/>
                <w:sz w:val="16"/>
                <w:szCs w:val="16"/>
              </w:rPr>
              <w:t>III.6 Renforcement des capacités des PME de mettre la propriété intellectuelle au service de l’innovation</w:t>
            </w:r>
          </w:p>
        </w:tc>
      </w:tr>
      <w:tr w:rsidR="00F96912" w:rsidRPr="00CD000E" w14:paraId="1833DC73" w14:textId="77777777" w:rsidTr="006658D5">
        <w:tc>
          <w:tcPr>
            <w:tcW w:w="1046" w:type="pct"/>
            <w:shd w:val="clear" w:color="auto" w:fill="auto"/>
            <w:tcMar>
              <w:left w:w="58" w:type="dxa"/>
              <w:right w:w="58" w:type="dxa"/>
            </w:tcMar>
            <w:vAlign w:val="center"/>
          </w:tcPr>
          <w:p w14:paraId="48FC0F02" w14:textId="77777777" w:rsidR="00F96912" w:rsidRPr="00CD000E" w:rsidRDefault="00F96912" w:rsidP="006658D5">
            <w:pPr>
              <w:keepNext/>
              <w:keepLines/>
              <w:jc w:val="center"/>
              <w:rPr>
                <w:b/>
                <w:bCs/>
                <w:sz w:val="16"/>
                <w:szCs w:val="16"/>
              </w:rPr>
            </w:pPr>
            <w:r w:rsidRPr="00CD000E">
              <w:rPr>
                <w:b/>
                <w:bCs/>
                <w:sz w:val="16"/>
                <w:szCs w:val="16"/>
              </w:rPr>
              <w:t>Indicateurs d’exécution</w:t>
            </w:r>
          </w:p>
        </w:tc>
        <w:tc>
          <w:tcPr>
            <w:tcW w:w="1350" w:type="pct"/>
            <w:shd w:val="clear" w:color="auto" w:fill="auto"/>
            <w:tcMar>
              <w:left w:w="58" w:type="dxa"/>
              <w:right w:w="58" w:type="dxa"/>
            </w:tcMar>
            <w:vAlign w:val="center"/>
          </w:tcPr>
          <w:p w14:paraId="08D899A5" w14:textId="77777777" w:rsidR="00F96912" w:rsidRPr="00CD000E" w:rsidRDefault="00F96912" w:rsidP="006658D5">
            <w:pPr>
              <w:keepNext/>
              <w:keepLines/>
              <w:jc w:val="center"/>
              <w:rPr>
                <w:b/>
                <w:bCs/>
                <w:sz w:val="16"/>
                <w:szCs w:val="16"/>
              </w:rPr>
            </w:pPr>
            <w:r w:rsidRPr="00CD000E">
              <w:rPr>
                <w:b/>
                <w:bCs/>
                <w:sz w:val="16"/>
                <w:szCs w:val="16"/>
              </w:rPr>
              <w:t>Niveaux de référence</w:t>
            </w:r>
          </w:p>
        </w:tc>
        <w:tc>
          <w:tcPr>
            <w:tcW w:w="681" w:type="pct"/>
            <w:shd w:val="clear" w:color="auto" w:fill="auto"/>
            <w:tcMar>
              <w:top w:w="110" w:type="dxa"/>
              <w:left w:w="58" w:type="dxa"/>
              <w:right w:w="58" w:type="dxa"/>
            </w:tcMar>
            <w:vAlign w:val="center"/>
          </w:tcPr>
          <w:p w14:paraId="788B0137" w14:textId="77777777" w:rsidR="00F96912" w:rsidRPr="00CD000E" w:rsidRDefault="00F96912" w:rsidP="006658D5">
            <w:pPr>
              <w:keepNext/>
              <w:keepLines/>
              <w:jc w:val="center"/>
              <w:rPr>
                <w:b/>
                <w:bCs/>
                <w:sz w:val="16"/>
                <w:szCs w:val="16"/>
              </w:rPr>
            </w:pPr>
            <w:r w:rsidRPr="00CD000E">
              <w:rPr>
                <w:b/>
                <w:bCs/>
                <w:sz w:val="16"/>
                <w:szCs w:val="16"/>
              </w:rPr>
              <w:t>Objectifs visés</w:t>
            </w:r>
          </w:p>
        </w:tc>
        <w:tc>
          <w:tcPr>
            <w:tcW w:w="1369" w:type="pct"/>
            <w:shd w:val="clear" w:color="auto" w:fill="FFFFFF"/>
            <w:tcMar>
              <w:top w:w="110" w:type="dxa"/>
              <w:left w:w="58" w:type="dxa"/>
              <w:right w:w="58" w:type="dxa"/>
            </w:tcMar>
            <w:vAlign w:val="center"/>
          </w:tcPr>
          <w:p w14:paraId="07BA969E" w14:textId="77777777" w:rsidR="00F96912" w:rsidRPr="00CD000E" w:rsidRDefault="00F96912" w:rsidP="006658D5">
            <w:pPr>
              <w:keepNext/>
              <w:keepLines/>
              <w:jc w:val="center"/>
              <w:rPr>
                <w:b/>
                <w:bCs/>
                <w:sz w:val="16"/>
                <w:szCs w:val="16"/>
              </w:rPr>
            </w:pPr>
            <w:r w:rsidRPr="00CD000E">
              <w:rPr>
                <w:b/>
                <w:bCs/>
                <w:sz w:val="16"/>
                <w:szCs w:val="16"/>
              </w:rPr>
              <w:t>Données relatives à l’exécution</w:t>
            </w:r>
          </w:p>
        </w:tc>
        <w:tc>
          <w:tcPr>
            <w:tcW w:w="554" w:type="pct"/>
            <w:shd w:val="clear" w:color="auto" w:fill="auto"/>
            <w:tcMar>
              <w:top w:w="110" w:type="dxa"/>
              <w:left w:w="58" w:type="dxa"/>
              <w:right w:w="58" w:type="dxa"/>
            </w:tcMar>
            <w:vAlign w:val="center"/>
          </w:tcPr>
          <w:p w14:paraId="1C30D3A3"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73148422" w14:textId="77777777" w:rsidTr="006658D5">
        <w:tc>
          <w:tcPr>
            <w:tcW w:w="1046" w:type="pct"/>
            <w:shd w:val="clear" w:color="auto" w:fill="auto"/>
            <w:tcMar>
              <w:left w:w="58" w:type="dxa"/>
              <w:right w:w="58" w:type="dxa"/>
            </w:tcMar>
          </w:tcPr>
          <w:p w14:paraId="189CDF27" w14:textId="77777777" w:rsidR="00F96912" w:rsidRPr="00D97E5E" w:rsidRDefault="00F96912" w:rsidP="006658D5">
            <w:pPr>
              <w:keepNext/>
              <w:keepLines/>
              <w:rPr>
                <w:color w:val="000000"/>
                <w:sz w:val="16"/>
                <w:szCs w:val="16"/>
              </w:rPr>
            </w:pPr>
            <w:r w:rsidRPr="00D97E5E">
              <w:rPr>
                <w:sz w:val="16"/>
                <w:szCs w:val="16"/>
              </w:rPr>
              <w:t>Nombre d’abonnements au bulletin des PME</w:t>
            </w:r>
          </w:p>
        </w:tc>
        <w:tc>
          <w:tcPr>
            <w:tcW w:w="1350" w:type="pct"/>
            <w:shd w:val="clear" w:color="auto" w:fill="auto"/>
            <w:tcMar>
              <w:left w:w="58" w:type="dxa"/>
              <w:right w:w="58" w:type="dxa"/>
            </w:tcMar>
          </w:tcPr>
          <w:p w14:paraId="5529978F" w14:textId="77777777" w:rsidR="00F96912" w:rsidRPr="00D97E5E" w:rsidRDefault="00F96912" w:rsidP="006658D5">
            <w:pPr>
              <w:keepNext/>
              <w:keepLines/>
              <w:rPr>
                <w:i/>
                <w:color w:val="002060"/>
                <w:sz w:val="16"/>
                <w:szCs w:val="16"/>
              </w:rPr>
            </w:pPr>
            <w:r w:rsidRPr="00D97E5E">
              <w:rPr>
                <w:i/>
                <w:color w:val="002060"/>
                <w:sz w:val="16"/>
                <w:szCs w:val="16"/>
              </w:rPr>
              <w:t>Niveau de référence actualisé à fin 2015 :</w:t>
            </w:r>
          </w:p>
          <w:p w14:paraId="37A83239" w14:textId="77777777" w:rsidR="00F96912" w:rsidRPr="00D97E5E" w:rsidRDefault="00F96912" w:rsidP="006658D5">
            <w:pPr>
              <w:keepNext/>
              <w:keepLines/>
              <w:jc w:val="both"/>
              <w:rPr>
                <w:color w:val="002060"/>
                <w:sz w:val="16"/>
                <w:szCs w:val="16"/>
                <w:lang w:bidi="th-TH"/>
              </w:rPr>
            </w:pPr>
            <w:r w:rsidRPr="00D97E5E">
              <w:rPr>
                <w:color w:val="002060"/>
                <w:sz w:val="16"/>
                <w:szCs w:val="16"/>
                <w:lang w:bidi="th-TH"/>
              </w:rPr>
              <w:t>6657 (2015)</w:t>
            </w:r>
            <w:r w:rsidRPr="00D97E5E">
              <w:rPr>
                <w:rStyle w:val="FootnoteReference"/>
                <w:color w:val="002060"/>
                <w:lang w:bidi="th-TH"/>
              </w:rPr>
              <w:footnoteReference w:id="57"/>
            </w:r>
          </w:p>
          <w:p w14:paraId="4A9B966A" w14:textId="77777777" w:rsidR="00F96912" w:rsidRPr="00D97E5E" w:rsidRDefault="00F96912" w:rsidP="006658D5">
            <w:pPr>
              <w:keepNext/>
              <w:keepLines/>
              <w:rPr>
                <w:color w:val="000000"/>
                <w:sz w:val="16"/>
                <w:szCs w:val="16"/>
              </w:rPr>
            </w:pPr>
          </w:p>
          <w:p w14:paraId="4DE634F4" w14:textId="77777777" w:rsidR="00F96912" w:rsidRPr="00D97E5E" w:rsidRDefault="00F96912" w:rsidP="006658D5">
            <w:pPr>
              <w:keepNext/>
              <w:keepLines/>
              <w:rPr>
                <w:i/>
                <w:sz w:val="16"/>
                <w:szCs w:val="16"/>
                <w:lang w:bidi="th-TH"/>
              </w:rPr>
            </w:pPr>
            <w:r w:rsidRPr="00D97E5E">
              <w:rPr>
                <w:i/>
                <w:sz w:val="16"/>
                <w:szCs w:val="16"/>
                <w:lang w:bidi="th-TH"/>
              </w:rPr>
              <w:t>Niveau de référence initial dans le programme et budget 2016</w:t>
            </w:r>
            <w:r w:rsidRPr="00D97E5E">
              <w:rPr>
                <w:i/>
                <w:sz w:val="16"/>
                <w:szCs w:val="16"/>
                <w:lang w:bidi="th-TH"/>
              </w:rPr>
              <w:noBreakHyphen/>
              <w:t>2017 :</w:t>
            </w:r>
          </w:p>
          <w:p w14:paraId="138A4352" w14:textId="77777777" w:rsidR="00F96912" w:rsidRPr="00D97E5E" w:rsidRDefault="00F96912" w:rsidP="006658D5">
            <w:pPr>
              <w:keepNext/>
              <w:keepLines/>
              <w:rPr>
                <w:color w:val="000000"/>
                <w:sz w:val="16"/>
                <w:szCs w:val="16"/>
              </w:rPr>
            </w:pPr>
            <w:r w:rsidRPr="00D97E5E">
              <w:rPr>
                <w:color w:val="000000"/>
                <w:sz w:val="16"/>
                <w:szCs w:val="16"/>
              </w:rPr>
              <w:t>40 510 (2014)</w:t>
            </w:r>
          </w:p>
        </w:tc>
        <w:tc>
          <w:tcPr>
            <w:tcW w:w="681" w:type="pct"/>
            <w:shd w:val="clear" w:color="auto" w:fill="auto"/>
            <w:tcMar>
              <w:top w:w="110" w:type="dxa"/>
              <w:left w:w="58" w:type="dxa"/>
              <w:right w:w="58" w:type="dxa"/>
            </w:tcMar>
          </w:tcPr>
          <w:p w14:paraId="3A4549A0" w14:textId="77777777" w:rsidR="00F96912" w:rsidRPr="00D97E5E" w:rsidRDefault="00F96912" w:rsidP="006658D5">
            <w:pPr>
              <w:keepNext/>
              <w:keepLines/>
              <w:rPr>
                <w:color w:val="000000"/>
                <w:sz w:val="16"/>
                <w:szCs w:val="16"/>
              </w:rPr>
            </w:pPr>
            <w:r w:rsidRPr="00D97E5E">
              <w:rPr>
                <w:color w:val="000000"/>
                <w:sz w:val="16"/>
                <w:szCs w:val="16"/>
              </w:rPr>
              <w:t>10%</w:t>
            </w:r>
          </w:p>
        </w:tc>
        <w:tc>
          <w:tcPr>
            <w:tcW w:w="1369" w:type="pct"/>
            <w:shd w:val="clear" w:color="auto" w:fill="FFFFFF"/>
            <w:tcMar>
              <w:top w:w="110" w:type="dxa"/>
              <w:left w:w="58" w:type="dxa"/>
              <w:right w:w="58" w:type="dxa"/>
            </w:tcMar>
          </w:tcPr>
          <w:p w14:paraId="0F2658BE" w14:textId="77777777" w:rsidR="00F96912" w:rsidRPr="00D97E5E" w:rsidRDefault="00F96912" w:rsidP="006658D5">
            <w:pPr>
              <w:pStyle w:val="FootnoteText"/>
              <w:keepNext/>
              <w:keepLines/>
              <w:rPr>
                <w:sz w:val="16"/>
                <w:szCs w:val="16"/>
              </w:rPr>
            </w:pPr>
            <w:r w:rsidRPr="00D97E5E">
              <w:rPr>
                <w:color w:val="000000"/>
                <w:sz w:val="16"/>
                <w:szCs w:val="16"/>
              </w:rPr>
              <w:t>La publication du bulletin des PME a été abandonnée en juin 2015, suite au lancement de la plateforme de diffusion des bulletins électroniques</w:t>
            </w:r>
          </w:p>
        </w:tc>
        <w:tc>
          <w:tcPr>
            <w:tcW w:w="554" w:type="pct"/>
            <w:shd w:val="clear" w:color="auto" w:fill="auto"/>
            <w:tcMar>
              <w:top w:w="110" w:type="dxa"/>
              <w:left w:w="58" w:type="dxa"/>
              <w:right w:w="58" w:type="dxa"/>
            </w:tcMar>
          </w:tcPr>
          <w:p w14:paraId="4D272DCA" w14:textId="77777777" w:rsidR="00F96912" w:rsidRPr="00CD000E" w:rsidRDefault="00F96912" w:rsidP="006658D5">
            <w:pPr>
              <w:keepNext/>
              <w:keepLines/>
              <w:jc w:val="center"/>
              <w:rPr>
                <w:b/>
                <w:color w:val="000000"/>
                <w:sz w:val="13"/>
                <w:szCs w:val="13"/>
              </w:rPr>
            </w:pPr>
            <w:r w:rsidRPr="00D97E5E">
              <w:rPr>
                <w:b/>
                <w:sz w:val="16"/>
                <w:szCs w:val="16"/>
              </w:rPr>
              <w:t>Abandonné</w:t>
            </w:r>
          </w:p>
        </w:tc>
      </w:tr>
      <w:tr w:rsidR="00F96912" w:rsidRPr="00CD000E" w14:paraId="0074A3E2" w14:textId="77777777" w:rsidTr="006658D5">
        <w:tc>
          <w:tcPr>
            <w:tcW w:w="1046" w:type="pct"/>
            <w:shd w:val="clear" w:color="auto" w:fill="auto"/>
            <w:tcMar>
              <w:left w:w="58" w:type="dxa"/>
              <w:right w:w="58" w:type="dxa"/>
            </w:tcMar>
          </w:tcPr>
          <w:p w14:paraId="751DFFD0" w14:textId="77777777" w:rsidR="00F96912" w:rsidRPr="00CD000E" w:rsidRDefault="00F96912" w:rsidP="006658D5">
            <w:pPr>
              <w:rPr>
                <w:color w:val="000000"/>
                <w:sz w:val="16"/>
                <w:szCs w:val="16"/>
              </w:rPr>
            </w:pPr>
            <w:r w:rsidRPr="00CD000E">
              <w:rPr>
                <w:sz w:val="16"/>
                <w:szCs w:val="16"/>
              </w:rPr>
              <w:t>Nombre de téléchargements de supports et directives concernant les PME</w:t>
            </w:r>
          </w:p>
        </w:tc>
        <w:tc>
          <w:tcPr>
            <w:tcW w:w="1350" w:type="pct"/>
            <w:shd w:val="clear" w:color="auto" w:fill="auto"/>
            <w:tcMar>
              <w:left w:w="58" w:type="dxa"/>
              <w:right w:w="58" w:type="dxa"/>
            </w:tcMar>
          </w:tcPr>
          <w:p w14:paraId="1AEBCB52" w14:textId="77777777" w:rsidR="00F96912" w:rsidRPr="00D97E5E" w:rsidRDefault="00F96912" w:rsidP="006658D5">
            <w:pPr>
              <w:rPr>
                <w:i/>
                <w:color w:val="002060"/>
                <w:sz w:val="16"/>
                <w:szCs w:val="16"/>
              </w:rPr>
            </w:pPr>
            <w:r w:rsidRPr="00CD000E">
              <w:rPr>
                <w:i/>
                <w:color w:val="002060"/>
                <w:sz w:val="16"/>
                <w:szCs w:val="16"/>
              </w:rPr>
              <w:t xml:space="preserve">Niveau de référence actualisé à </w:t>
            </w:r>
            <w:r w:rsidRPr="00D97E5E">
              <w:rPr>
                <w:i/>
                <w:color w:val="002060"/>
                <w:sz w:val="16"/>
                <w:szCs w:val="16"/>
              </w:rPr>
              <w:t>fin 2015 :</w:t>
            </w:r>
          </w:p>
          <w:p w14:paraId="62E3CCE6" w14:textId="77777777" w:rsidR="00F96912" w:rsidRPr="00D97E5E" w:rsidRDefault="00F96912" w:rsidP="006658D5">
            <w:pPr>
              <w:rPr>
                <w:color w:val="002060"/>
                <w:sz w:val="16"/>
                <w:szCs w:val="16"/>
                <w:lang w:bidi="th-TH"/>
              </w:rPr>
            </w:pPr>
            <w:r w:rsidRPr="00D97E5E">
              <w:rPr>
                <w:color w:val="002060"/>
                <w:sz w:val="16"/>
                <w:szCs w:val="16"/>
                <w:lang w:bidi="th-TH"/>
              </w:rPr>
              <w:t>2015 :</w:t>
            </w:r>
          </w:p>
          <w:p w14:paraId="583871AA" w14:textId="77777777" w:rsidR="00F96912" w:rsidRPr="00D97E5E" w:rsidRDefault="00F96912" w:rsidP="006658D5">
            <w:pPr>
              <w:rPr>
                <w:color w:val="002060"/>
                <w:sz w:val="16"/>
                <w:szCs w:val="16"/>
                <w:lang w:bidi="th-TH"/>
              </w:rPr>
            </w:pPr>
            <w:r w:rsidRPr="00D97E5E">
              <w:rPr>
                <w:color w:val="002060"/>
                <w:sz w:val="16"/>
                <w:szCs w:val="16"/>
                <w:lang w:bidi="th-TH"/>
              </w:rPr>
              <w:t>– nombre de téléchargements : 71 867</w:t>
            </w:r>
          </w:p>
          <w:p w14:paraId="086D65FF" w14:textId="77777777" w:rsidR="00F96912" w:rsidRPr="00D97E5E" w:rsidRDefault="00F96912" w:rsidP="006658D5">
            <w:pPr>
              <w:rPr>
                <w:color w:val="002060"/>
                <w:sz w:val="16"/>
                <w:szCs w:val="16"/>
                <w:lang w:bidi="th-TH"/>
              </w:rPr>
            </w:pPr>
            <w:r w:rsidRPr="00D97E5E">
              <w:rPr>
                <w:color w:val="002060"/>
                <w:sz w:val="16"/>
                <w:szCs w:val="16"/>
                <w:lang w:bidi="th-TH"/>
              </w:rPr>
              <w:t>– nombre de consultations de la page consacrée aux PME sur le site Web : 960 196</w:t>
            </w:r>
          </w:p>
          <w:p w14:paraId="67EE95F1" w14:textId="77777777" w:rsidR="00F96912" w:rsidRPr="00CD000E" w:rsidRDefault="00F96912" w:rsidP="006658D5">
            <w:pPr>
              <w:rPr>
                <w:color w:val="000000"/>
                <w:sz w:val="16"/>
                <w:szCs w:val="16"/>
              </w:rPr>
            </w:pPr>
          </w:p>
          <w:p w14:paraId="46FB2221" w14:textId="77777777" w:rsidR="00F96912" w:rsidRPr="00CD000E" w:rsidRDefault="00F96912" w:rsidP="006658D5">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2B593530" w14:textId="77777777" w:rsidR="00F96912" w:rsidRPr="00CD000E" w:rsidRDefault="00F96912" w:rsidP="006658D5">
            <w:pPr>
              <w:rPr>
                <w:color w:val="000000"/>
                <w:sz w:val="16"/>
                <w:szCs w:val="16"/>
              </w:rPr>
            </w:pPr>
            <w:r w:rsidRPr="00CD000E">
              <w:rPr>
                <w:color w:val="000000"/>
                <w:sz w:val="16"/>
                <w:szCs w:val="16"/>
              </w:rPr>
              <w:t>2014 :</w:t>
            </w:r>
          </w:p>
          <w:p w14:paraId="185A4D2E" w14:textId="77777777" w:rsidR="00F96912" w:rsidRPr="00CD000E" w:rsidRDefault="00F96912" w:rsidP="006658D5">
            <w:pPr>
              <w:rPr>
                <w:color w:val="000000"/>
                <w:sz w:val="16"/>
                <w:szCs w:val="16"/>
              </w:rPr>
            </w:pPr>
            <w:r w:rsidRPr="00CD000E">
              <w:rPr>
                <w:sz w:val="16"/>
                <w:szCs w:val="16"/>
                <w:lang w:bidi="th-TH"/>
              </w:rPr>
              <w:t>–</w:t>
            </w:r>
            <w:r w:rsidRPr="00CD000E">
              <w:rPr>
                <w:sz w:val="16"/>
                <w:szCs w:val="16"/>
              </w:rPr>
              <w:t> nombre de téléchargements : 70 559</w:t>
            </w:r>
          </w:p>
          <w:p w14:paraId="5B4F8FE9" w14:textId="77777777" w:rsidR="00F96912" w:rsidRPr="00CD000E" w:rsidRDefault="00F96912" w:rsidP="006658D5">
            <w:pPr>
              <w:rPr>
                <w:color w:val="000000"/>
                <w:sz w:val="16"/>
                <w:szCs w:val="16"/>
              </w:rPr>
            </w:pPr>
            <w:r w:rsidRPr="00CD000E">
              <w:rPr>
                <w:sz w:val="16"/>
                <w:szCs w:val="16"/>
                <w:lang w:bidi="th-TH"/>
              </w:rPr>
              <w:t>–</w:t>
            </w:r>
            <w:r w:rsidRPr="00CD000E">
              <w:rPr>
                <w:sz w:val="16"/>
                <w:szCs w:val="16"/>
              </w:rPr>
              <w:t> nombre de consultations de la page consacrée aux PME sur le site Web : 821 150</w:t>
            </w:r>
          </w:p>
        </w:tc>
        <w:tc>
          <w:tcPr>
            <w:tcW w:w="681" w:type="pct"/>
            <w:shd w:val="clear" w:color="auto" w:fill="auto"/>
            <w:tcMar>
              <w:top w:w="110" w:type="dxa"/>
              <w:left w:w="58" w:type="dxa"/>
              <w:right w:w="58" w:type="dxa"/>
            </w:tcMar>
          </w:tcPr>
          <w:p w14:paraId="1650D250" w14:textId="77777777" w:rsidR="00F96912" w:rsidRPr="00CD000E" w:rsidRDefault="00F96912" w:rsidP="006658D5">
            <w:pPr>
              <w:rPr>
                <w:color w:val="000000"/>
                <w:sz w:val="16"/>
                <w:szCs w:val="16"/>
              </w:rPr>
            </w:pPr>
          </w:p>
          <w:p w14:paraId="35A0F36C" w14:textId="77777777" w:rsidR="00F96912" w:rsidRPr="00CD000E" w:rsidRDefault="00F96912" w:rsidP="006658D5">
            <w:pPr>
              <w:rPr>
                <w:color w:val="000000"/>
                <w:sz w:val="16"/>
                <w:szCs w:val="16"/>
              </w:rPr>
            </w:pPr>
          </w:p>
          <w:p w14:paraId="7AA73E16" w14:textId="77777777" w:rsidR="00F96912" w:rsidRPr="00CD000E" w:rsidRDefault="00F96912" w:rsidP="006658D5">
            <w:pPr>
              <w:rPr>
                <w:color w:val="000000"/>
                <w:sz w:val="16"/>
                <w:szCs w:val="16"/>
              </w:rPr>
            </w:pPr>
          </w:p>
          <w:p w14:paraId="7D05D99C" w14:textId="77777777" w:rsidR="00F96912" w:rsidRPr="00CD000E" w:rsidRDefault="00F96912" w:rsidP="006658D5">
            <w:pPr>
              <w:rPr>
                <w:color w:val="000000"/>
                <w:sz w:val="16"/>
                <w:szCs w:val="16"/>
              </w:rPr>
            </w:pPr>
            <w:r w:rsidRPr="00CD000E">
              <w:rPr>
                <w:color w:val="000000"/>
                <w:sz w:val="16"/>
                <w:szCs w:val="16"/>
              </w:rPr>
              <w:t>10%</w:t>
            </w:r>
          </w:p>
          <w:p w14:paraId="647A2D08" w14:textId="77777777" w:rsidR="00F96912" w:rsidRDefault="00F96912" w:rsidP="006658D5">
            <w:pPr>
              <w:rPr>
                <w:color w:val="000000"/>
                <w:sz w:val="16"/>
                <w:szCs w:val="16"/>
              </w:rPr>
            </w:pPr>
          </w:p>
          <w:p w14:paraId="3E1E7362" w14:textId="77777777" w:rsidR="00F96912" w:rsidRPr="00CD000E" w:rsidRDefault="00F96912" w:rsidP="006658D5">
            <w:pPr>
              <w:rPr>
                <w:color w:val="000000"/>
                <w:sz w:val="16"/>
                <w:szCs w:val="16"/>
              </w:rPr>
            </w:pPr>
            <w:r w:rsidRPr="00CD000E">
              <w:rPr>
                <w:color w:val="000000"/>
                <w:sz w:val="16"/>
                <w:szCs w:val="16"/>
              </w:rPr>
              <w:t>10%</w:t>
            </w:r>
          </w:p>
        </w:tc>
        <w:tc>
          <w:tcPr>
            <w:tcW w:w="1369" w:type="pct"/>
            <w:shd w:val="clear" w:color="auto" w:fill="FFFFFF"/>
            <w:tcMar>
              <w:top w:w="110" w:type="dxa"/>
              <w:left w:w="58" w:type="dxa"/>
              <w:right w:w="58" w:type="dxa"/>
            </w:tcMar>
          </w:tcPr>
          <w:p w14:paraId="313D4A86" w14:textId="77777777" w:rsidR="00F96912" w:rsidRPr="00CD000E" w:rsidRDefault="00F96912" w:rsidP="006658D5">
            <w:pPr>
              <w:rPr>
                <w:sz w:val="16"/>
                <w:szCs w:val="16"/>
                <w:lang w:bidi="th-TH"/>
              </w:rPr>
            </w:pPr>
            <w:r w:rsidRPr="00CD000E">
              <w:rPr>
                <w:sz w:val="16"/>
                <w:szCs w:val="16"/>
                <w:lang w:bidi="th-TH"/>
              </w:rPr>
              <w:t>– nombre de téléchargements : 58 733</w:t>
            </w:r>
            <w:r w:rsidRPr="00CD000E">
              <w:rPr>
                <w:rStyle w:val="FootnoteReference"/>
                <w:lang w:bidi="th-TH"/>
              </w:rPr>
              <w:footnoteReference w:id="58"/>
            </w:r>
            <w:r>
              <w:rPr>
                <w:sz w:val="16"/>
                <w:szCs w:val="16"/>
                <w:lang w:bidi="th-TH"/>
              </w:rPr>
              <w:t xml:space="preserve"> </w:t>
            </w:r>
            <w:r w:rsidRPr="00CD000E">
              <w:rPr>
                <w:sz w:val="16"/>
                <w:szCs w:val="16"/>
                <w:lang w:bidi="th-TH"/>
              </w:rPr>
              <w:t>(</w:t>
            </w:r>
            <w:r>
              <w:rPr>
                <w:sz w:val="16"/>
                <w:szCs w:val="16"/>
                <w:lang w:bidi="th-TH"/>
              </w:rPr>
              <w:noBreakHyphen/>
            </w:r>
            <w:r w:rsidRPr="00CD000E">
              <w:rPr>
                <w:sz w:val="16"/>
                <w:szCs w:val="16"/>
                <w:lang w:bidi="th-TH"/>
              </w:rPr>
              <w:t>18% par rapport à 2015)</w:t>
            </w:r>
          </w:p>
          <w:p w14:paraId="1760BAF1" w14:textId="77777777" w:rsidR="00F96912" w:rsidRPr="00CD000E" w:rsidRDefault="00F96912" w:rsidP="006658D5">
            <w:pPr>
              <w:rPr>
                <w:color w:val="000000"/>
                <w:sz w:val="16"/>
                <w:szCs w:val="16"/>
              </w:rPr>
            </w:pPr>
            <w:r w:rsidRPr="00CD000E">
              <w:rPr>
                <w:sz w:val="16"/>
                <w:szCs w:val="16"/>
                <w:lang w:bidi="th-TH"/>
              </w:rPr>
              <w:t xml:space="preserve">– nombre de consultations de la page consacrée aux PME sur le site Web : </w:t>
            </w:r>
            <w:r w:rsidRPr="00CD000E">
              <w:rPr>
                <w:color w:val="000000"/>
                <w:sz w:val="16"/>
                <w:szCs w:val="16"/>
                <w:lang w:bidi="th-TH"/>
              </w:rPr>
              <w:t>1</w:t>
            </w:r>
            <w:r w:rsidRPr="00CD000E">
              <w:rPr>
                <w:sz w:val="16"/>
              </w:rPr>
              <w:t> </w:t>
            </w:r>
            <w:r w:rsidRPr="00CD000E">
              <w:rPr>
                <w:color w:val="000000"/>
                <w:sz w:val="16"/>
                <w:szCs w:val="16"/>
                <w:lang w:bidi="th-TH"/>
              </w:rPr>
              <w:t>144</w:t>
            </w:r>
            <w:r w:rsidRPr="00CD000E">
              <w:rPr>
                <w:sz w:val="16"/>
              </w:rPr>
              <w:t> </w:t>
            </w:r>
            <w:r w:rsidRPr="00CD000E">
              <w:rPr>
                <w:color w:val="000000"/>
                <w:sz w:val="16"/>
                <w:szCs w:val="16"/>
                <w:lang w:bidi="th-TH"/>
              </w:rPr>
              <w:t>629</w:t>
            </w:r>
            <w:r w:rsidRPr="00CD000E">
              <w:rPr>
                <w:sz w:val="16"/>
                <w:szCs w:val="16"/>
                <w:lang w:bidi="th-TH"/>
              </w:rPr>
              <w:t xml:space="preserve"> (–19% par rapport à 2015)</w:t>
            </w:r>
          </w:p>
        </w:tc>
        <w:tc>
          <w:tcPr>
            <w:tcW w:w="554" w:type="pct"/>
            <w:shd w:val="clear" w:color="auto" w:fill="auto"/>
            <w:tcMar>
              <w:top w:w="110" w:type="dxa"/>
              <w:left w:w="58" w:type="dxa"/>
              <w:right w:w="58" w:type="dxa"/>
            </w:tcMar>
          </w:tcPr>
          <w:p w14:paraId="74F0753B" w14:textId="77777777" w:rsidR="00F96912" w:rsidRPr="00CD000E" w:rsidRDefault="00F96912" w:rsidP="006658D5">
            <w:pPr>
              <w:keepNext/>
              <w:keepLines/>
              <w:jc w:val="center"/>
              <w:rPr>
                <w:b/>
                <w:color w:val="FF0000"/>
                <w:sz w:val="16"/>
                <w:szCs w:val="16"/>
              </w:rPr>
            </w:pPr>
            <w:r w:rsidRPr="00CD000E">
              <w:rPr>
                <w:b/>
                <w:color w:val="FF0000"/>
                <w:sz w:val="16"/>
                <w:szCs w:val="16"/>
              </w:rPr>
              <w:t>Pas en bonne voie</w:t>
            </w:r>
          </w:p>
          <w:p w14:paraId="47CE55CA" w14:textId="77777777" w:rsidR="00F96912" w:rsidRPr="00CD000E" w:rsidRDefault="00F96912" w:rsidP="006658D5">
            <w:pPr>
              <w:keepNext/>
              <w:keepLines/>
              <w:jc w:val="center"/>
              <w:rPr>
                <w:color w:val="FF0000"/>
                <w:sz w:val="16"/>
                <w:szCs w:val="16"/>
              </w:rPr>
            </w:pPr>
          </w:p>
          <w:p w14:paraId="51BDFBE0" w14:textId="77777777" w:rsidR="00F96912" w:rsidRPr="00CD000E" w:rsidRDefault="00F96912" w:rsidP="006658D5">
            <w:pPr>
              <w:keepNext/>
              <w:keepLines/>
              <w:jc w:val="center"/>
              <w:rPr>
                <w:b/>
                <w:color w:val="000000"/>
                <w:sz w:val="16"/>
                <w:szCs w:val="16"/>
              </w:rPr>
            </w:pPr>
            <w:r w:rsidRPr="00CD000E">
              <w:rPr>
                <w:b/>
                <w:color w:val="00B050"/>
                <w:sz w:val="16"/>
                <w:szCs w:val="16"/>
              </w:rPr>
              <w:t>En bonne voie</w:t>
            </w:r>
          </w:p>
        </w:tc>
      </w:tr>
      <w:tr w:rsidR="00F96912" w:rsidRPr="00D97E5E" w14:paraId="61BC69CE" w14:textId="77777777" w:rsidTr="006658D5">
        <w:tc>
          <w:tcPr>
            <w:tcW w:w="1046" w:type="pct"/>
            <w:shd w:val="clear" w:color="auto" w:fill="auto"/>
            <w:tcMar>
              <w:left w:w="58" w:type="dxa"/>
              <w:right w:w="58" w:type="dxa"/>
            </w:tcMar>
          </w:tcPr>
          <w:p w14:paraId="15BFD0F9" w14:textId="77777777" w:rsidR="00F96912" w:rsidRPr="00D97E5E" w:rsidRDefault="00F96912" w:rsidP="006658D5">
            <w:pPr>
              <w:rPr>
                <w:color w:val="000000"/>
                <w:sz w:val="16"/>
                <w:szCs w:val="16"/>
              </w:rPr>
            </w:pPr>
            <w:r w:rsidRPr="00D97E5E">
              <w:rPr>
                <w:sz w:val="16"/>
                <w:szCs w:val="16"/>
              </w:rPr>
              <w:t>Pourcentage des participants à des programmes de formation visant les institutions d’appui aux PME qui se sont dits satisfaits du contenu et de l’organisation de ces événements</w:t>
            </w:r>
          </w:p>
        </w:tc>
        <w:tc>
          <w:tcPr>
            <w:tcW w:w="1350" w:type="pct"/>
            <w:shd w:val="clear" w:color="auto" w:fill="auto"/>
            <w:tcMar>
              <w:left w:w="58" w:type="dxa"/>
              <w:right w:w="58" w:type="dxa"/>
            </w:tcMar>
          </w:tcPr>
          <w:p w14:paraId="7AC098F3" w14:textId="77777777" w:rsidR="00F96912" w:rsidRPr="00D97E5E" w:rsidRDefault="00F96912" w:rsidP="006658D5">
            <w:pPr>
              <w:rPr>
                <w:i/>
                <w:color w:val="002060"/>
                <w:sz w:val="16"/>
                <w:szCs w:val="16"/>
              </w:rPr>
            </w:pPr>
            <w:r w:rsidRPr="00D97E5E">
              <w:rPr>
                <w:i/>
                <w:color w:val="002060"/>
                <w:sz w:val="16"/>
                <w:szCs w:val="16"/>
              </w:rPr>
              <w:t>Niveau de référence actualisé à fin 2015 :</w:t>
            </w:r>
          </w:p>
          <w:p w14:paraId="49B8AC55" w14:textId="77777777" w:rsidR="00F96912" w:rsidRPr="00D97E5E" w:rsidRDefault="00F96912" w:rsidP="006658D5">
            <w:pPr>
              <w:pStyle w:val="Default"/>
              <w:ind w:right="0"/>
              <w:rPr>
                <w:color w:val="002060"/>
                <w:sz w:val="16"/>
                <w:szCs w:val="16"/>
                <w:lang w:val="fr-FR"/>
              </w:rPr>
            </w:pPr>
            <w:r w:rsidRPr="00D97E5E">
              <w:rPr>
                <w:color w:val="002060"/>
                <w:sz w:val="16"/>
                <w:szCs w:val="16"/>
                <w:lang w:val="fr-FR"/>
              </w:rPr>
              <w:t>100% (46% très satisfaits;  54% satisfaits)</w:t>
            </w:r>
          </w:p>
          <w:p w14:paraId="4CB81950" w14:textId="77777777" w:rsidR="00F96912" w:rsidRPr="00D97E5E" w:rsidRDefault="00F96912" w:rsidP="006658D5">
            <w:pPr>
              <w:rPr>
                <w:color w:val="000000"/>
                <w:sz w:val="16"/>
                <w:szCs w:val="16"/>
              </w:rPr>
            </w:pPr>
          </w:p>
          <w:p w14:paraId="4DAFE322" w14:textId="77777777" w:rsidR="00F96912" w:rsidRPr="00D97E5E" w:rsidRDefault="00F96912" w:rsidP="006658D5">
            <w:pPr>
              <w:rPr>
                <w:i/>
                <w:sz w:val="16"/>
                <w:szCs w:val="16"/>
                <w:lang w:bidi="th-TH"/>
              </w:rPr>
            </w:pPr>
            <w:r w:rsidRPr="00D97E5E">
              <w:rPr>
                <w:i/>
                <w:sz w:val="16"/>
                <w:szCs w:val="16"/>
                <w:lang w:bidi="th-TH"/>
              </w:rPr>
              <w:t>Niveau de référence initial dans le programme et budget 2016</w:t>
            </w:r>
            <w:r w:rsidRPr="00D97E5E">
              <w:rPr>
                <w:i/>
                <w:sz w:val="16"/>
                <w:szCs w:val="16"/>
                <w:lang w:bidi="th-TH"/>
              </w:rPr>
              <w:noBreakHyphen/>
              <w:t>2017 :</w:t>
            </w:r>
          </w:p>
          <w:p w14:paraId="6FA97DB8" w14:textId="77777777" w:rsidR="00F96912" w:rsidRPr="00D97E5E" w:rsidRDefault="00F96912" w:rsidP="006658D5">
            <w:pPr>
              <w:rPr>
                <w:color w:val="000000"/>
                <w:sz w:val="16"/>
                <w:szCs w:val="16"/>
              </w:rPr>
            </w:pPr>
            <w:r w:rsidRPr="00D97E5E">
              <w:rPr>
                <w:color w:val="000000"/>
                <w:sz w:val="16"/>
                <w:szCs w:val="16"/>
              </w:rPr>
              <w:t>100%</w:t>
            </w:r>
          </w:p>
        </w:tc>
        <w:tc>
          <w:tcPr>
            <w:tcW w:w="681" w:type="pct"/>
            <w:shd w:val="clear" w:color="auto" w:fill="auto"/>
            <w:tcMar>
              <w:top w:w="110" w:type="dxa"/>
              <w:left w:w="58" w:type="dxa"/>
              <w:right w:w="58" w:type="dxa"/>
            </w:tcMar>
          </w:tcPr>
          <w:p w14:paraId="5448EB09" w14:textId="77777777" w:rsidR="00F96912" w:rsidRPr="00D97E5E" w:rsidRDefault="00F96912" w:rsidP="006658D5">
            <w:pPr>
              <w:rPr>
                <w:color w:val="000000"/>
                <w:sz w:val="16"/>
                <w:szCs w:val="16"/>
              </w:rPr>
            </w:pPr>
            <w:r w:rsidRPr="00D97E5E">
              <w:rPr>
                <w:color w:val="000000"/>
                <w:sz w:val="16"/>
                <w:szCs w:val="16"/>
              </w:rPr>
              <w:t>90%</w:t>
            </w:r>
          </w:p>
        </w:tc>
        <w:tc>
          <w:tcPr>
            <w:tcW w:w="1369" w:type="pct"/>
            <w:shd w:val="clear" w:color="auto" w:fill="FFFFFF"/>
            <w:tcMar>
              <w:top w:w="110" w:type="dxa"/>
              <w:left w:w="58" w:type="dxa"/>
              <w:right w:w="58" w:type="dxa"/>
            </w:tcMar>
          </w:tcPr>
          <w:p w14:paraId="0C6DA764" w14:textId="77777777" w:rsidR="00F96912" w:rsidRPr="00D97E5E" w:rsidRDefault="00F96912" w:rsidP="006658D5">
            <w:pPr>
              <w:rPr>
                <w:color w:val="000000"/>
                <w:sz w:val="16"/>
                <w:szCs w:val="16"/>
              </w:rPr>
            </w:pPr>
            <w:r w:rsidRPr="00D97E5E">
              <w:rPr>
                <w:sz w:val="16"/>
                <w:szCs w:val="16"/>
              </w:rPr>
              <w:t>90% (42% très satisfaits;  48% satisfaits)</w:t>
            </w:r>
          </w:p>
        </w:tc>
        <w:tc>
          <w:tcPr>
            <w:tcW w:w="554" w:type="pct"/>
            <w:shd w:val="clear" w:color="auto" w:fill="auto"/>
            <w:tcMar>
              <w:top w:w="110" w:type="dxa"/>
              <w:left w:w="58" w:type="dxa"/>
              <w:right w:w="58" w:type="dxa"/>
            </w:tcMar>
          </w:tcPr>
          <w:p w14:paraId="65BB691D" w14:textId="77777777" w:rsidR="00F96912" w:rsidRPr="00D97E5E" w:rsidRDefault="00F96912" w:rsidP="006658D5">
            <w:pPr>
              <w:keepNext/>
              <w:keepLines/>
              <w:jc w:val="center"/>
              <w:rPr>
                <w:b/>
                <w:color w:val="000000"/>
                <w:sz w:val="16"/>
                <w:szCs w:val="16"/>
              </w:rPr>
            </w:pPr>
            <w:r w:rsidRPr="00D97E5E">
              <w:rPr>
                <w:b/>
                <w:color w:val="00B050"/>
                <w:sz w:val="16"/>
                <w:szCs w:val="16"/>
              </w:rPr>
              <w:t>En bonne voie</w:t>
            </w:r>
          </w:p>
        </w:tc>
      </w:tr>
      <w:tr w:rsidR="00F96912" w:rsidRPr="00CD000E" w14:paraId="4BD8F4B9" w14:textId="77777777" w:rsidTr="006658D5">
        <w:tc>
          <w:tcPr>
            <w:tcW w:w="1046" w:type="pct"/>
            <w:shd w:val="clear" w:color="auto" w:fill="auto"/>
            <w:tcMar>
              <w:left w:w="58" w:type="dxa"/>
              <w:right w:w="58" w:type="dxa"/>
            </w:tcMar>
          </w:tcPr>
          <w:p w14:paraId="1433EFBC" w14:textId="77777777" w:rsidR="00F96912" w:rsidRPr="00D97E5E" w:rsidRDefault="00F96912" w:rsidP="006658D5">
            <w:pPr>
              <w:rPr>
                <w:color w:val="000000"/>
                <w:sz w:val="16"/>
                <w:szCs w:val="16"/>
              </w:rPr>
            </w:pPr>
            <w:r w:rsidRPr="00D97E5E">
              <w:rPr>
                <w:sz w:val="16"/>
                <w:szCs w:val="16"/>
              </w:rPr>
              <w:t>Pourcentage d’institutions d’appui aux PME ayant obtenu une formation qui fournissent des informations sur la propriété intellectuelle et des services d’orientation sur la gestion des actifs de propriété intellectuelle</w:t>
            </w:r>
          </w:p>
        </w:tc>
        <w:tc>
          <w:tcPr>
            <w:tcW w:w="1350" w:type="pct"/>
            <w:shd w:val="clear" w:color="auto" w:fill="auto"/>
            <w:tcMar>
              <w:left w:w="58" w:type="dxa"/>
              <w:right w:w="58" w:type="dxa"/>
            </w:tcMar>
          </w:tcPr>
          <w:p w14:paraId="2780C85B" w14:textId="77777777" w:rsidR="00F96912" w:rsidRPr="00D97E5E" w:rsidRDefault="00F96912" w:rsidP="006658D5">
            <w:pPr>
              <w:rPr>
                <w:i/>
                <w:color w:val="002060"/>
                <w:sz w:val="16"/>
                <w:szCs w:val="16"/>
              </w:rPr>
            </w:pPr>
            <w:r w:rsidRPr="00D97E5E">
              <w:rPr>
                <w:i/>
                <w:color w:val="002060"/>
                <w:sz w:val="16"/>
                <w:szCs w:val="16"/>
              </w:rPr>
              <w:t>Niveau de référence actualisé à fin 2015 :</w:t>
            </w:r>
          </w:p>
          <w:p w14:paraId="1293025C" w14:textId="77777777" w:rsidR="00F96912" w:rsidRPr="00D97E5E" w:rsidRDefault="00F96912" w:rsidP="006658D5">
            <w:pPr>
              <w:rPr>
                <w:color w:val="002060"/>
                <w:sz w:val="16"/>
                <w:szCs w:val="16"/>
              </w:rPr>
            </w:pPr>
            <w:r w:rsidRPr="00D97E5E">
              <w:rPr>
                <w:color w:val="002060"/>
                <w:sz w:val="16"/>
                <w:szCs w:val="16"/>
              </w:rPr>
              <w:t>100% :</w:t>
            </w:r>
          </w:p>
          <w:p w14:paraId="2CCE38D9" w14:textId="77777777" w:rsidR="00F96912" w:rsidRPr="00D97E5E" w:rsidRDefault="00F96912" w:rsidP="006658D5">
            <w:pPr>
              <w:rPr>
                <w:color w:val="002060"/>
                <w:sz w:val="16"/>
                <w:szCs w:val="16"/>
              </w:rPr>
            </w:pPr>
            <w:r w:rsidRPr="00D97E5E">
              <w:rPr>
                <w:color w:val="002060"/>
                <w:sz w:val="16"/>
                <w:szCs w:val="16"/>
              </w:rPr>
              <w:t>très souvent (48%);  souvent (32%);  parfois (20%)</w:t>
            </w:r>
          </w:p>
          <w:p w14:paraId="7E67A3DC" w14:textId="77777777" w:rsidR="00F96912" w:rsidRPr="00D97E5E" w:rsidRDefault="00F96912" w:rsidP="006658D5">
            <w:pPr>
              <w:rPr>
                <w:color w:val="000000"/>
                <w:sz w:val="16"/>
                <w:szCs w:val="16"/>
              </w:rPr>
            </w:pPr>
          </w:p>
          <w:p w14:paraId="6906369D" w14:textId="77777777" w:rsidR="00F96912" w:rsidRPr="00D97E5E" w:rsidRDefault="00F96912" w:rsidP="006658D5">
            <w:pPr>
              <w:rPr>
                <w:i/>
                <w:sz w:val="16"/>
                <w:szCs w:val="16"/>
                <w:lang w:bidi="th-TH"/>
              </w:rPr>
            </w:pPr>
            <w:r w:rsidRPr="00D97E5E">
              <w:rPr>
                <w:i/>
                <w:sz w:val="16"/>
                <w:szCs w:val="16"/>
                <w:lang w:bidi="th-TH"/>
              </w:rPr>
              <w:t>Niveau de référence initial dans le programme et budget 2016</w:t>
            </w:r>
            <w:r w:rsidRPr="00D97E5E">
              <w:rPr>
                <w:i/>
                <w:sz w:val="16"/>
                <w:szCs w:val="16"/>
                <w:lang w:bidi="th-TH"/>
              </w:rPr>
              <w:noBreakHyphen/>
              <w:t>2017 :</w:t>
            </w:r>
          </w:p>
          <w:p w14:paraId="2E6A2371" w14:textId="77777777" w:rsidR="00F96912" w:rsidRPr="00D97E5E" w:rsidRDefault="00F96912" w:rsidP="006658D5">
            <w:pPr>
              <w:rPr>
                <w:color w:val="000000"/>
                <w:sz w:val="16"/>
                <w:szCs w:val="16"/>
              </w:rPr>
            </w:pPr>
            <w:r w:rsidRPr="00D97E5E">
              <w:rPr>
                <w:color w:val="000000"/>
                <w:sz w:val="16"/>
                <w:szCs w:val="16"/>
              </w:rPr>
              <w:t>100%</w:t>
            </w:r>
          </w:p>
        </w:tc>
        <w:tc>
          <w:tcPr>
            <w:tcW w:w="681" w:type="pct"/>
            <w:shd w:val="clear" w:color="auto" w:fill="auto"/>
            <w:tcMar>
              <w:top w:w="110" w:type="dxa"/>
              <w:left w:w="58" w:type="dxa"/>
              <w:right w:w="58" w:type="dxa"/>
            </w:tcMar>
          </w:tcPr>
          <w:p w14:paraId="38DE69F0" w14:textId="77777777" w:rsidR="00F96912" w:rsidRPr="00D97E5E" w:rsidRDefault="00F96912" w:rsidP="006658D5">
            <w:pPr>
              <w:rPr>
                <w:color w:val="000000"/>
                <w:sz w:val="16"/>
                <w:szCs w:val="16"/>
              </w:rPr>
            </w:pPr>
            <w:r w:rsidRPr="00D97E5E">
              <w:rPr>
                <w:color w:val="000000"/>
                <w:sz w:val="16"/>
                <w:szCs w:val="16"/>
              </w:rPr>
              <w:t>80%</w:t>
            </w:r>
          </w:p>
        </w:tc>
        <w:tc>
          <w:tcPr>
            <w:tcW w:w="1369" w:type="pct"/>
            <w:shd w:val="clear" w:color="auto" w:fill="FFFFFF"/>
            <w:tcMar>
              <w:top w:w="110" w:type="dxa"/>
              <w:left w:w="58" w:type="dxa"/>
              <w:right w:w="58" w:type="dxa"/>
            </w:tcMar>
          </w:tcPr>
          <w:p w14:paraId="4792E564" w14:textId="77777777" w:rsidR="00F96912" w:rsidRPr="00D97E5E" w:rsidRDefault="00F96912" w:rsidP="006658D5">
            <w:pPr>
              <w:rPr>
                <w:sz w:val="16"/>
                <w:szCs w:val="16"/>
              </w:rPr>
            </w:pPr>
            <w:r w:rsidRPr="00D97E5E">
              <w:rPr>
                <w:sz w:val="16"/>
                <w:szCs w:val="16"/>
              </w:rPr>
              <w:t>100%</w:t>
            </w:r>
          </w:p>
          <w:p w14:paraId="697718EC" w14:textId="77777777" w:rsidR="00F96912" w:rsidRPr="00D97E5E" w:rsidRDefault="00F96912" w:rsidP="006658D5">
            <w:pPr>
              <w:rPr>
                <w:sz w:val="16"/>
                <w:szCs w:val="16"/>
              </w:rPr>
            </w:pPr>
            <w:r w:rsidRPr="00D97E5E">
              <w:rPr>
                <w:sz w:val="16"/>
                <w:szCs w:val="16"/>
              </w:rPr>
              <w:t>Très souvent (80%);  souvent (20%)</w:t>
            </w:r>
          </w:p>
        </w:tc>
        <w:tc>
          <w:tcPr>
            <w:tcW w:w="554" w:type="pct"/>
            <w:shd w:val="clear" w:color="auto" w:fill="auto"/>
            <w:tcMar>
              <w:top w:w="110" w:type="dxa"/>
              <w:left w:w="58" w:type="dxa"/>
              <w:right w:w="58" w:type="dxa"/>
            </w:tcMar>
          </w:tcPr>
          <w:p w14:paraId="19040FA5" w14:textId="77777777" w:rsidR="00F96912" w:rsidRPr="00CD000E" w:rsidRDefault="00F96912" w:rsidP="006658D5">
            <w:pPr>
              <w:keepNext/>
              <w:keepLines/>
              <w:jc w:val="center"/>
              <w:rPr>
                <w:b/>
                <w:color w:val="000000"/>
                <w:sz w:val="16"/>
                <w:szCs w:val="16"/>
              </w:rPr>
            </w:pPr>
            <w:r w:rsidRPr="00D97E5E">
              <w:rPr>
                <w:b/>
                <w:color w:val="00B050"/>
                <w:sz w:val="16"/>
                <w:szCs w:val="16"/>
              </w:rPr>
              <w:t>En bonne voie</w:t>
            </w:r>
          </w:p>
        </w:tc>
      </w:tr>
      <w:tr w:rsidR="00F96912" w:rsidRPr="00CD000E" w14:paraId="70E64C8D" w14:textId="77777777" w:rsidTr="006658D5">
        <w:tc>
          <w:tcPr>
            <w:tcW w:w="1046" w:type="pct"/>
            <w:shd w:val="clear" w:color="auto" w:fill="auto"/>
            <w:tcMar>
              <w:left w:w="58" w:type="dxa"/>
              <w:right w:w="58" w:type="dxa"/>
            </w:tcMar>
          </w:tcPr>
          <w:p w14:paraId="5D31377F" w14:textId="77777777" w:rsidR="00F96912" w:rsidRPr="00CD000E" w:rsidRDefault="00F96912" w:rsidP="006658D5">
            <w:pPr>
              <w:rPr>
                <w:color w:val="000000"/>
                <w:sz w:val="16"/>
                <w:szCs w:val="16"/>
              </w:rPr>
            </w:pPr>
            <w:r w:rsidRPr="00CD000E">
              <w:rPr>
                <w:sz w:val="16"/>
                <w:szCs w:val="16"/>
              </w:rPr>
              <w:t>Pourcentage des participants à des programmes de formation visant les institutions d’appui aux PME qui utilisent des connaissances nouvelles et des compétences améliorées dans le cadre de leurs activités professionnelles</w:t>
            </w:r>
          </w:p>
        </w:tc>
        <w:tc>
          <w:tcPr>
            <w:tcW w:w="1350" w:type="pct"/>
            <w:shd w:val="clear" w:color="auto" w:fill="auto"/>
            <w:tcMar>
              <w:left w:w="58" w:type="dxa"/>
              <w:right w:w="58" w:type="dxa"/>
            </w:tcMar>
          </w:tcPr>
          <w:p w14:paraId="442AD841" w14:textId="77777777" w:rsidR="00F96912" w:rsidRPr="00CD000E" w:rsidRDefault="00F96912" w:rsidP="006658D5">
            <w:pPr>
              <w:rPr>
                <w:color w:val="000000"/>
                <w:sz w:val="16"/>
                <w:szCs w:val="16"/>
              </w:rPr>
            </w:pPr>
            <w:proofErr w:type="spellStart"/>
            <w:r w:rsidRPr="00CD000E">
              <w:rPr>
                <w:color w:val="000000"/>
                <w:sz w:val="16"/>
                <w:szCs w:val="16"/>
              </w:rPr>
              <w:t>n.d</w:t>
            </w:r>
            <w:proofErr w:type="spellEnd"/>
            <w:r w:rsidRPr="00CD000E">
              <w:rPr>
                <w:color w:val="000000"/>
                <w:sz w:val="16"/>
                <w:szCs w:val="16"/>
              </w:rPr>
              <w:t>.</w:t>
            </w:r>
          </w:p>
        </w:tc>
        <w:tc>
          <w:tcPr>
            <w:tcW w:w="681" w:type="pct"/>
            <w:shd w:val="clear" w:color="auto" w:fill="auto"/>
            <w:tcMar>
              <w:top w:w="110" w:type="dxa"/>
              <w:left w:w="58" w:type="dxa"/>
              <w:right w:w="58" w:type="dxa"/>
            </w:tcMar>
          </w:tcPr>
          <w:p w14:paraId="3AB71CA4" w14:textId="77777777" w:rsidR="00F96912" w:rsidRPr="00CD000E" w:rsidRDefault="00F96912" w:rsidP="006658D5">
            <w:pPr>
              <w:rPr>
                <w:color w:val="000000"/>
                <w:sz w:val="16"/>
                <w:szCs w:val="16"/>
              </w:rPr>
            </w:pPr>
            <w:r w:rsidRPr="00CD000E">
              <w:rPr>
                <w:color w:val="000000"/>
                <w:sz w:val="16"/>
                <w:szCs w:val="16"/>
              </w:rPr>
              <w:t>50%</w:t>
            </w:r>
          </w:p>
        </w:tc>
        <w:tc>
          <w:tcPr>
            <w:tcW w:w="1369" w:type="pct"/>
            <w:shd w:val="clear" w:color="auto" w:fill="FFFFFF"/>
            <w:tcMar>
              <w:top w:w="110" w:type="dxa"/>
              <w:left w:w="58" w:type="dxa"/>
              <w:right w:w="58" w:type="dxa"/>
            </w:tcMar>
          </w:tcPr>
          <w:p w14:paraId="1DD2900E" w14:textId="77777777" w:rsidR="00F96912" w:rsidRPr="00CD000E" w:rsidRDefault="00F96912" w:rsidP="006658D5">
            <w:pPr>
              <w:rPr>
                <w:sz w:val="16"/>
                <w:szCs w:val="16"/>
              </w:rPr>
            </w:pPr>
            <w:r w:rsidRPr="00CD000E">
              <w:rPr>
                <w:sz w:val="16"/>
                <w:szCs w:val="16"/>
              </w:rPr>
              <w:t>Aucune donnée disponible</w:t>
            </w:r>
          </w:p>
        </w:tc>
        <w:tc>
          <w:tcPr>
            <w:tcW w:w="554" w:type="pct"/>
            <w:shd w:val="clear" w:color="auto" w:fill="auto"/>
            <w:tcMar>
              <w:top w:w="110" w:type="dxa"/>
              <w:left w:w="58" w:type="dxa"/>
              <w:right w:w="58" w:type="dxa"/>
            </w:tcMar>
          </w:tcPr>
          <w:p w14:paraId="31ED1FB6" w14:textId="77777777" w:rsidR="00F96912" w:rsidRPr="00CD000E" w:rsidRDefault="00F96912" w:rsidP="006658D5">
            <w:pPr>
              <w:keepNext/>
              <w:keepLines/>
              <w:jc w:val="center"/>
              <w:rPr>
                <w:b/>
                <w:color w:val="000000"/>
                <w:sz w:val="16"/>
                <w:szCs w:val="16"/>
              </w:rPr>
            </w:pPr>
            <w:proofErr w:type="spellStart"/>
            <w:r w:rsidRPr="00CD000E">
              <w:rPr>
                <w:b/>
                <w:color w:val="0070C0"/>
                <w:sz w:val="16"/>
                <w:szCs w:val="16"/>
              </w:rPr>
              <w:t>n.d</w:t>
            </w:r>
            <w:proofErr w:type="spellEnd"/>
            <w:r w:rsidRPr="00CD000E">
              <w:rPr>
                <w:b/>
                <w:color w:val="0070C0"/>
                <w:sz w:val="16"/>
                <w:szCs w:val="16"/>
              </w:rPr>
              <w:t>. pour 2016</w:t>
            </w:r>
          </w:p>
        </w:tc>
      </w:tr>
      <w:tr w:rsidR="00F96912" w:rsidRPr="00CD000E" w14:paraId="1238B191" w14:textId="77777777" w:rsidTr="006658D5">
        <w:tc>
          <w:tcPr>
            <w:tcW w:w="1046" w:type="pct"/>
            <w:shd w:val="clear" w:color="auto" w:fill="auto"/>
            <w:tcMar>
              <w:left w:w="58" w:type="dxa"/>
              <w:right w:w="58" w:type="dxa"/>
            </w:tcMar>
          </w:tcPr>
          <w:p w14:paraId="4E13A958" w14:textId="77777777" w:rsidR="00F96912" w:rsidRPr="00CD000E" w:rsidRDefault="00F96912" w:rsidP="006658D5">
            <w:pPr>
              <w:keepNext/>
              <w:keepLines/>
              <w:rPr>
                <w:color w:val="000000"/>
                <w:sz w:val="16"/>
                <w:szCs w:val="16"/>
              </w:rPr>
            </w:pPr>
            <w:r w:rsidRPr="00CD000E">
              <w:rPr>
                <w:sz w:val="16"/>
                <w:szCs w:val="16"/>
              </w:rPr>
              <w:lastRenderedPageBreak/>
              <w:t>Nombre de pays ayant créé ou amélioré des programmes de formation en matière de propriété intellectuelle à l’intention des PME</w:t>
            </w:r>
          </w:p>
        </w:tc>
        <w:tc>
          <w:tcPr>
            <w:tcW w:w="1350" w:type="pct"/>
            <w:shd w:val="clear" w:color="auto" w:fill="auto"/>
            <w:tcMar>
              <w:left w:w="58" w:type="dxa"/>
              <w:right w:w="58" w:type="dxa"/>
            </w:tcMar>
          </w:tcPr>
          <w:p w14:paraId="63547300" w14:textId="77777777" w:rsidR="00F96912" w:rsidRPr="00CD000E" w:rsidRDefault="00F96912" w:rsidP="006658D5">
            <w:pPr>
              <w:keepNext/>
              <w:keepLines/>
              <w:rPr>
                <w:i/>
                <w:color w:val="002060"/>
                <w:sz w:val="16"/>
                <w:szCs w:val="16"/>
              </w:rPr>
            </w:pPr>
            <w:r w:rsidRPr="00CD000E">
              <w:rPr>
                <w:i/>
                <w:color w:val="002060"/>
                <w:sz w:val="16"/>
                <w:szCs w:val="16"/>
              </w:rPr>
              <w:t>Niveau de référence actualisé à fin 2015 :</w:t>
            </w:r>
          </w:p>
          <w:p w14:paraId="39CCC5A1" w14:textId="77777777" w:rsidR="00F96912" w:rsidRPr="00CD000E" w:rsidRDefault="00F96912" w:rsidP="006658D5">
            <w:pPr>
              <w:pStyle w:val="Default"/>
              <w:keepNext/>
              <w:keepLines/>
              <w:ind w:right="0"/>
              <w:rPr>
                <w:color w:val="002060"/>
                <w:sz w:val="16"/>
                <w:szCs w:val="16"/>
                <w:lang w:val="fr-FR"/>
              </w:rPr>
            </w:pPr>
            <w:r w:rsidRPr="00CD000E">
              <w:rPr>
                <w:color w:val="002060"/>
                <w:sz w:val="16"/>
                <w:szCs w:val="16"/>
                <w:lang w:val="fr-FR"/>
              </w:rPr>
              <w:t>18 pays/organisations régionales (au total)</w:t>
            </w:r>
          </w:p>
          <w:p w14:paraId="7FC68A46" w14:textId="77777777" w:rsidR="00F96912" w:rsidRPr="00CD000E" w:rsidRDefault="00F96912" w:rsidP="006658D5">
            <w:pPr>
              <w:keepNext/>
              <w:keepLines/>
              <w:rPr>
                <w:color w:val="000000"/>
                <w:sz w:val="16"/>
                <w:szCs w:val="16"/>
              </w:rPr>
            </w:pPr>
          </w:p>
          <w:p w14:paraId="7EB3A8FF" w14:textId="77777777" w:rsidR="00F96912" w:rsidRPr="00CD000E" w:rsidRDefault="00F96912" w:rsidP="006658D5">
            <w:pPr>
              <w:keepNext/>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4D672B5B" w14:textId="77777777" w:rsidR="00F96912" w:rsidRPr="00CD000E" w:rsidRDefault="00F96912" w:rsidP="006658D5">
            <w:pPr>
              <w:keepNext/>
              <w:keepLines/>
              <w:rPr>
                <w:color w:val="000000"/>
                <w:sz w:val="16"/>
                <w:szCs w:val="16"/>
              </w:rPr>
            </w:pPr>
            <w:r w:rsidRPr="00CD000E">
              <w:rPr>
                <w:color w:val="000000"/>
                <w:sz w:val="16"/>
                <w:szCs w:val="16"/>
              </w:rPr>
              <w:t>13</w:t>
            </w:r>
          </w:p>
        </w:tc>
        <w:tc>
          <w:tcPr>
            <w:tcW w:w="681" w:type="pct"/>
            <w:shd w:val="clear" w:color="auto" w:fill="auto"/>
            <w:tcMar>
              <w:top w:w="110" w:type="dxa"/>
              <w:left w:w="58" w:type="dxa"/>
              <w:right w:w="58" w:type="dxa"/>
            </w:tcMar>
          </w:tcPr>
          <w:p w14:paraId="09F7317B" w14:textId="77777777" w:rsidR="00F96912" w:rsidRPr="00CD000E" w:rsidRDefault="00F96912" w:rsidP="006658D5">
            <w:pPr>
              <w:keepNext/>
              <w:keepLines/>
              <w:rPr>
                <w:color w:val="000000"/>
                <w:sz w:val="16"/>
                <w:szCs w:val="16"/>
              </w:rPr>
            </w:pPr>
            <w:r w:rsidRPr="00CD000E">
              <w:rPr>
                <w:sz w:val="16"/>
                <w:szCs w:val="16"/>
              </w:rPr>
              <w:t>10 supplémentaires</w:t>
            </w:r>
          </w:p>
        </w:tc>
        <w:tc>
          <w:tcPr>
            <w:tcW w:w="1369" w:type="pct"/>
            <w:shd w:val="clear" w:color="auto" w:fill="FFFFFF"/>
            <w:tcMar>
              <w:top w:w="110" w:type="dxa"/>
              <w:left w:w="58" w:type="dxa"/>
              <w:right w:w="58" w:type="dxa"/>
            </w:tcMar>
          </w:tcPr>
          <w:p w14:paraId="6B31F2FA" w14:textId="77777777" w:rsidR="00F96912" w:rsidRPr="00CD000E" w:rsidRDefault="00F96912" w:rsidP="006658D5">
            <w:pPr>
              <w:keepNext/>
              <w:keepLines/>
              <w:rPr>
                <w:sz w:val="16"/>
                <w:szCs w:val="16"/>
              </w:rPr>
            </w:pPr>
            <w:r w:rsidRPr="00CD000E">
              <w:rPr>
                <w:sz w:val="16"/>
                <w:szCs w:val="16"/>
              </w:rPr>
              <w:t>Des institutions dans 4</w:t>
            </w:r>
            <w:r>
              <w:rPr>
                <w:sz w:val="16"/>
                <w:szCs w:val="16"/>
              </w:rPr>
              <w:t> </w:t>
            </w:r>
            <w:r w:rsidRPr="00CD000E">
              <w:rPr>
                <w:sz w:val="16"/>
                <w:szCs w:val="16"/>
              </w:rPr>
              <w:t>pays (Afrique du Sud, Fédération de Russie, Iran (République islami</w:t>
            </w:r>
            <w:r w:rsidRPr="00D97E5E">
              <w:rPr>
                <w:sz w:val="16"/>
                <w:szCs w:val="16"/>
              </w:rPr>
              <w:t>que d’), Seychelles) ont indiqué avoir créé ou amélioré des programmes de formation et d’aide aux P</w:t>
            </w:r>
            <w:r w:rsidRPr="00CD000E">
              <w:rPr>
                <w:sz w:val="16"/>
                <w:szCs w:val="16"/>
              </w:rPr>
              <w:t>ME</w:t>
            </w:r>
          </w:p>
        </w:tc>
        <w:tc>
          <w:tcPr>
            <w:tcW w:w="554" w:type="pct"/>
            <w:shd w:val="clear" w:color="auto" w:fill="auto"/>
            <w:tcMar>
              <w:top w:w="110" w:type="dxa"/>
              <w:left w:w="58" w:type="dxa"/>
              <w:right w:w="58" w:type="dxa"/>
            </w:tcMar>
          </w:tcPr>
          <w:p w14:paraId="764362F8" w14:textId="77777777" w:rsidR="00F96912" w:rsidRPr="00CD000E" w:rsidRDefault="00F96912" w:rsidP="006658D5">
            <w:pPr>
              <w:keepNext/>
              <w:keepLines/>
              <w:jc w:val="center"/>
              <w:rPr>
                <w:b/>
                <w:color w:val="000000"/>
                <w:sz w:val="16"/>
                <w:szCs w:val="16"/>
              </w:rPr>
            </w:pPr>
            <w:r w:rsidRPr="00CD000E">
              <w:rPr>
                <w:b/>
                <w:color w:val="00B050"/>
                <w:sz w:val="16"/>
                <w:szCs w:val="16"/>
              </w:rPr>
              <w:t>En bonne voie</w:t>
            </w:r>
          </w:p>
        </w:tc>
      </w:tr>
      <w:tr w:rsidR="00F96912" w:rsidRPr="00CD000E" w14:paraId="347A8FF6" w14:textId="77777777" w:rsidTr="006658D5">
        <w:tc>
          <w:tcPr>
            <w:tcW w:w="1046" w:type="pct"/>
            <w:shd w:val="clear" w:color="auto" w:fill="auto"/>
            <w:tcMar>
              <w:left w:w="58" w:type="dxa"/>
              <w:right w:w="58" w:type="dxa"/>
            </w:tcMar>
          </w:tcPr>
          <w:p w14:paraId="2400C9B1" w14:textId="77777777" w:rsidR="00F96912" w:rsidRPr="00CD000E" w:rsidRDefault="00F96912" w:rsidP="006658D5">
            <w:pPr>
              <w:rPr>
                <w:color w:val="000000"/>
                <w:sz w:val="16"/>
                <w:szCs w:val="16"/>
              </w:rPr>
            </w:pPr>
            <w:r w:rsidRPr="00CD000E">
              <w:rPr>
                <w:sz w:val="16"/>
                <w:szCs w:val="16"/>
              </w:rPr>
              <w:t>Nombre de pays dans lesquels des politiques en matière de propriété intellectuelle ont été élaborées ou adoptées en faveur des PME</w:t>
            </w:r>
          </w:p>
        </w:tc>
        <w:tc>
          <w:tcPr>
            <w:tcW w:w="1350" w:type="pct"/>
            <w:shd w:val="clear" w:color="auto" w:fill="auto"/>
            <w:tcMar>
              <w:left w:w="58" w:type="dxa"/>
              <w:right w:w="58" w:type="dxa"/>
            </w:tcMar>
          </w:tcPr>
          <w:p w14:paraId="4D463FC0" w14:textId="77777777" w:rsidR="00F96912" w:rsidRPr="00CD000E" w:rsidRDefault="00F96912" w:rsidP="006658D5">
            <w:pPr>
              <w:rPr>
                <w:color w:val="000000"/>
                <w:sz w:val="16"/>
                <w:szCs w:val="16"/>
              </w:rPr>
            </w:pPr>
            <w:proofErr w:type="spellStart"/>
            <w:r w:rsidRPr="00CD000E">
              <w:rPr>
                <w:color w:val="000000"/>
                <w:sz w:val="16"/>
                <w:szCs w:val="16"/>
              </w:rPr>
              <w:t>n.d</w:t>
            </w:r>
            <w:proofErr w:type="spellEnd"/>
            <w:r w:rsidRPr="00CD000E">
              <w:rPr>
                <w:color w:val="000000"/>
                <w:sz w:val="16"/>
                <w:szCs w:val="16"/>
              </w:rPr>
              <w:t>.</w:t>
            </w:r>
          </w:p>
        </w:tc>
        <w:tc>
          <w:tcPr>
            <w:tcW w:w="681" w:type="pct"/>
            <w:shd w:val="clear" w:color="auto" w:fill="auto"/>
            <w:tcMar>
              <w:top w:w="110" w:type="dxa"/>
              <w:left w:w="58" w:type="dxa"/>
              <w:right w:w="58" w:type="dxa"/>
            </w:tcMar>
          </w:tcPr>
          <w:p w14:paraId="1B088849" w14:textId="77777777" w:rsidR="00F96912" w:rsidRPr="00CD000E" w:rsidRDefault="00F96912" w:rsidP="006658D5">
            <w:pPr>
              <w:rPr>
                <w:color w:val="000000"/>
                <w:sz w:val="16"/>
                <w:szCs w:val="16"/>
              </w:rPr>
            </w:pPr>
            <w:r w:rsidRPr="00CD000E">
              <w:rPr>
                <w:sz w:val="16"/>
                <w:szCs w:val="16"/>
              </w:rPr>
              <w:t>5 pays</w:t>
            </w:r>
          </w:p>
        </w:tc>
        <w:tc>
          <w:tcPr>
            <w:tcW w:w="1369" w:type="pct"/>
            <w:shd w:val="clear" w:color="auto" w:fill="FFFFFF"/>
            <w:tcMar>
              <w:top w:w="110" w:type="dxa"/>
              <w:left w:w="58" w:type="dxa"/>
              <w:right w:w="58" w:type="dxa"/>
            </w:tcMar>
          </w:tcPr>
          <w:p w14:paraId="316122B3" w14:textId="77777777" w:rsidR="00F96912" w:rsidRPr="00CD000E" w:rsidRDefault="00F96912" w:rsidP="006658D5">
            <w:pPr>
              <w:rPr>
                <w:sz w:val="16"/>
                <w:szCs w:val="16"/>
              </w:rPr>
            </w:pPr>
            <w:r w:rsidRPr="00CD000E">
              <w:rPr>
                <w:color w:val="000000"/>
                <w:sz w:val="16"/>
                <w:szCs w:val="16"/>
              </w:rPr>
              <w:t>Aucun</w:t>
            </w:r>
          </w:p>
        </w:tc>
        <w:tc>
          <w:tcPr>
            <w:tcW w:w="554" w:type="pct"/>
            <w:shd w:val="clear" w:color="auto" w:fill="auto"/>
            <w:tcMar>
              <w:top w:w="110" w:type="dxa"/>
              <w:left w:w="58" w:type="dxa"/>
              <w:right w:w="58" w:type="dxa"/>
            </w:tcMar>
          </w:tcPr>
          <w:p w14:paraId="767D001F" w14:textId="77777777" w:rsidR="00F96912" w:rsidRPr="00CD000E" w:rsidRDefault="00F96912" w:rsidP="006658D5">
            <w:pPr>
              <w:keepNext/>
              <w:keepLines/>
              <w:jc w:val="center"/>
              <w:rPr>
                <w:b/>
                <w:color w:val="000000"/>
                <w:sz w:val="16"/>
                <w:szCs w:val="16"/>
              </w:rPr>
            </w:pPr>
            <w:r w:rsidRPr="00CD000E">
              <w:rPr>
                <w:b/>
                <w:color w:val="FF0000"/>
                <w:sz w:val="16"/>
                <w:szCs w:val="16"/>
              </w:rPr>
              <w:t>Pas en bonne voie</w:t>
            </w:r>
          </w:p>
        </w:tc>
      </w:tr>
      <w:tr w:rsidR="00F96912" w:rsidRPr="00CD000E" w14:paraId="3C219BB0" w14:textId="77777777" w:rsidTr="006658D5">
        <w:tc>
          <w:tcPr>
            <w:tcW w:w="5000" w:type="pct"/>
            <w:gridSpan w:val="5"/>
            <w:shd w:val="clear" w:color="auto" w:fill="C6D9F1" w:themeFill="text2" w:themeFillTint="33"/>
            <w:tcMar>
              <w:left w:w="58" w:type="dxa"/>
              <w:right w:w="58" w:type="dxa"/>
            </w:tcMar>
            <w:vAlign w:val="center"/>
          </w:tcPr>
          <w:p w14:paraId="5CF19D04" w14:textId="77777777" w:rsidR="00F96912" w:rsidRPr="00CD000E" w:rsidRDefault="00F96912" w:rsidP="006658D5">
            <w:pPr>
              <w:keepNext/>
              <w:keepLines/>
              <w:tabs>
                <w:tab w:val="left" w:pos="1452"/>
              </w:tabs>
              <w:rPr>
                <w:b/>
                <w:bCs/>
                <w:sz w:val="16"/>
                <w:szCs w:val="16"/>
              </w:rPr>
            </w:pPr>
            <w:r w:rsidRPr="00CD000E">
              <w:rPr>
                <w:b/>
                <w:bCs/>
                <w:sz w:val="16"/>
                <w:szCs w:val="16"/>
              </w:rPr>
              <w:t xml:space="preserve">Résultat escompté : </w:t>
            </w:r>
            <w:r w:rsidRPr="00D97E5E">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F96912" w:rsidRPr="00CD000E" w14:paraId="7849062D" w14:textId="77777777" w:rsidTr="006658D5">
        <w:tc>
          <w:tcPr>
            <w:tcW w:w="1046" w:type="pct"/>
            <w:shd w:val="clear" w:color="auto" w:fill="auto"/>
            <w:tcMar>
              <w:left w:w="58" w:type="dxa"/>
              <w:right w:w="58" w:type="dxa"/>
            </w:tcMar>
            <w:vAlign w:val="center"/>
          </w:tcPr>
          <w:p w14:paraId="705E84BA" w14:textId="77777777" w:rsidR="00F96912" w:rsidRPr="00CD000E" w:rsidRDefault="00F96912" w:rsidP="006658D5">
            <w:pPr>
              <w:rPr>
                <w:b/>
                <w:bCs/>
                <w:sz w:val="16"/>
                <w:szCs w:val="16"/>
              </w:rPr>
            </w:pPr>
            <w:r w:rsidRPr="00CD000E">
              <w:rPr>
                <w:b/>
                <w:bCs/>
                <w:sz w:val="16"/>
                <w:szCs w:val="16"/>
              </w:rPr>
              <w:t>Indicateurs d’exécution</w:t>
            </w:r>
          </w:p>
        </w:tc>
        <w:tc>
          <w:tcPr>
            <w:tcW w:w="1350" w:type="pct"/>
            <w:shd w:val="clear" w:color="auto" w:fill="auto"/>
            <w:tcMar>
              <w:left w:w="58" w:type="dxa"/>
              <w:right w:w="58" w:type="dxa"/>
            </w:tcMar>
            <w:vAlign w:val="center"/>
          </w:tcPr>
          <w:p w14:paraId="7516D2F2" w14:textId="77777777" w:rsidR="00F96912" w:rsidRPr="00CD000E" w:rsidRDefault="00F96912" w:rsidP="006658D5">
            <w:pPr>
              <w:rPr>
                <w:b/>
                <w:bCs/>
                <w:sz w:val="16"/>
                <w:szCs w:val="16"/>
              </w:rPr>
            </w:pPr>
            <w:r w:rsidRPr="00CD000E">
              <w:rPr>
                <w:b/>
                <w:bCs/>
                <w:sz w:val="16"/>
                <w:szCs w:val="16"/>
              </w:rPr>
              <w:t>Niveaux de référence</w:t>
            </w:r>
          </w:p>
        </w:tc>
        <w:tc>
          <w:tcPr>
            <w:tcW w:w="681" w:type="pct"/>
            <w:shd w:val="clear" w:color="auto" w:fill="auto"/>
            <w:tcMar>
              <w:top w:w="110" w:type="dxa"/>
              <w:left w:w="58" w:type="dxa"/>
              <w:right w:w="58" w:type="dxa"/>
            </w:tcMar>
            <w:vAlign w:val="center"/>
          </w:tcPr>
          <w:p w14:paraId="07A78607" w14:textId="77777777" w:rsidR="00F96912" w:rsidRPr="00CD000E" w:rsidRDefault="00F96912" w:rsidP="006658D5">
            <w:pPr>
              <w:rPr>
                <w:b/>
                <w:bCs/>
                <w:sz w:val="16"/>
                <w:szCs w:val="16"/>
              </w:rPr>
            </w:pPr>
            <w:r w:rsidRPr="00CD000E">
              <w:rPr>
                <w:b/>
                <w:bCs/>
                <w:sz w:val="16"/>
                <w:szCs w:val="16"/>
              </w:rPr>
              <w:t>Objectifs visés</w:t>
            </w:r>
          </w:p>
        </w:tc>
        <w:tc>
          <w:tcPr>
            <w:tcW w:w="1369" w:type="pct"/>
            <w:shd w:val="clear" w:color="auto" w:fill="FFFFFF"/>
            <w:tcMar>
              <w:top w:w="110" w:type="dxa"/>
              <w:left w:w="58" w:type="dxa"/>
              <w:right w:w="58" w:type="dxa"/>
            </w:tcMar>
            <w:vAlign w:val="center"/>
          </w:tcPr>
          <w:p w14:paraId="40CD749D" w14:textId="77777777" w:rsidR="00F96912" w:rsidRPr="00CD000E" w:rsidRDefault="00F96912" w:rsidP="006658D5">
            <w:pPr>
              <w:rPr>
                <w:b/>
                <w:bCs/>
                <w:sz w:val="16"/>
                <w:szCs w:val="16"/>
              </w:rPr>
            </w:pPr>
            <w:r w:rsidRPr="00CD000E">
              <w:rPr>
                <w:b/>
                <w:bCs/>
                <w:sz w:val="16"/>
                <w:szCs w:val="16"/>
              </w:rPr>
              <w:t>Données relatives à l’exécution</w:t>
            </w:r>
          </w:p>
        </w:tc>
        <w:tc>
          <w:tcPr>
            <w:tcW w:w="554" w:type="pct"/>
            <w:shd w:val="clear" w:color="auto" w:fill="auto"/>
            <w:tcMar>
              <w:top w:w="110" w:type="dxa"/>
              <w:left w:w="58" w:type="dxa"/>
              <w:right w:w="58" w:type="dxa"/>
            </w:tcMar>
            <w:vAlign w:val="center"/>
          </w:tcPr>
          <w:p w14:paraId="24FF7C1C"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0A5387EA" w14:textId="77777777" w:rsidTr="006658D5">
        <w:tc>
          <w:tcPr>
            <w:tcW w:w="1046" w:type="pct"/>
            <w:shd w:val="clear" w:color="auto" w:fill="auto"/>
            <w:tcMar>
              <w:left w:w="58" w:type="dxa"/>
              <w:right w:w="58" w:type="dxa"/>
            </w:tcMar>
          </w:tcPr>
          <w:p w14:paraId="247EDB8B" w14:textId="77777777" w:rsidR="00F96912" w:rsidRPr="00CD000E" w:rsidRDefault="00F96912" w:rsidP="006658D5">
            <w:pPr>
              <w:rPr>
                <w:color w:val="000000"/>
                <w:sz w:val="16"/>
                <w:szCs w:val="16"/>
              </w:rPr>
            </w:pPr>
            <w:r w:rsidRPr="00CD000E">
              <w:rPr>
                <w:sz w:val="16"/>
                <w:szCs w:val="16"/>
              </w:rPr>
              <w:t>Nombre de bureaux de transfert de technologie ayant été créés ou renforcés au sein d’universités ou d’instituts de R</w:t>
            </w:r>
            <w:r>
              <w:rPr>
                <w:sz w:val="16"/>
                <w:szCs w:val="16"/>
              </w:rPr>
              <w:noBreakHyphen/>
            </w:r>
            <w:r w:rsidRPr="00CD000E">
              <w:rPr>
                <w:sz w:val="16"/>
                <w:szCs w:val="16"/>
              </w:rPr>
              <w:t>D dans le cadre de l’initiative de l’OMPI en faveur des universités</w:t>
            </w:r>
          </w:p>
        </w:tc>
        <w:tc>
          <w:tcPr>
            <w:tcW w:w="1350" w:type="pct"/>
            <w:shd w:val="clear" w:color="auto" w:fill="auto"/>
            <w:tcMar>
              <w:left w:w="58" w:type="dxa"/>
              <w:right w:w="58" w:type="dxa"/>
            </w:tcMar>
          </w:tcPr>
          <w:p w14:paraId="31B92C41"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27E37B67" w14:textId="77777777" w:rsidR="00F96912" w:rsidRPr="00CD000E" w:rsidRDefault="00F96912" w:rsidP="006658D5">
            <w:pPr>
              <w:rPr>
                <w:color w:val="002060"/>
                <w:sz w:val="16"/>
                <w:szCs w:val="16"/>
              </w:rPr>
            </w:pPr>
            <w:r w:rsidRPr="00CD000E">
              <w:rPr>
                <w:color w:val="002060"/>
                <w:sz w:val="16"/>
                <w:szCs w:val="16"/>
              </w:rPr>
              <w:t>10 en 2014</w:t>
            </w:r>
            <w:r>
              <w:rPr>
                <w:color w:val="002060"/>
                <w:sz w:val="16"/>
                <w:szCs w:val="16"/>
              </w:rPr>
              <w:noBreakHyphen/>
            </w:r>
            <w:r w:rsidRPr="00CD000E">
              <w:rPr>
                <w:color w:val="002060"/>
                <w:sz w:val="16"/>
                <w:szCs w:val="16"/>
              </w:rPr>
              <w:t>2015 : Tunisie (4);  Philippines (6)</w:t>
            </w:r>
          </w:p>
          <w:p w14:paraId="5D01E453" w14:textId="77777777" w:rsidR="00F96912" w:rsidRPr="00CD000E" w:rsidRDefault="00F96912" w:rsidP="006658D5">
            <w:pPr>
              <w:rPr>
                <w:i/>
                <w:sz w:val="16"/>
                <w:szCs w:val="16"/>
                <w:lang w:bidi="th-TH"/>
              </w:rPr>
            </w:pPr>
          </w:p>
          <w:p w14:paraId="2CA1300D" w14:textId="77777777" w:rsidR="00F96912" w:rsidRPr="00CD000E" w:rsidRDefault="00F96912" w:rsidP="006658D5">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3EBD2BC7" w14:textId="77777777" w:rsidR="00F96912" w:rsidRPr="00CD000E" w:rsidRDefault="00F96912" w:rsidP="006658D5">
            <w:pPr>
              <w:rPr>
                <w:color w:val="000000"/>
                <w:sz w:val="16"/>
                <w:szCs w:val="16"/>
              </w:rPr>
            </w:pPr>
            <w:r w:rsidRPr="00CD000E">
              <w:rPr>
                <w:sz w:val="16"/>
                <w:szCs w:val="16"/>
              </w:rPr>
              <w:t>à déterminer</w:t>
            </w:r>
          </w:p>
        </w:tc>
        <w:tc>
          <w:tcPr>
            <w:tcW w:w="681" w:type="pct"/>
            <w:shd w:val="clear" w:color="auto" w:fill="auto"/>
            <w:tcMar>
              <w:top w:w="110" w:type="dxa"/>
              <w:left w:w="58" w:type="dxa"/>
              <w:right w:w="58" w:type="dxa"/>
            </w:tcMar>
          </w:tcPr>
          <w:p w14:paraId="7A454EF3" w14:textId="77777777" w:rsidR="00F96912" w:rsidRPr="00D97E5E" w:rsidRDefault="00F96912" w:rsidP="006658D5">
            <w:pPr>
              <w:rPr>
                <w:i/>
                <w:color w:val="002060"/>
                <w:sz w:val="16"/>
                <w:szCs w:val="16"/>
              </w:rPr>
            </w:pPr>
            <w:r w:rsidRPr="00CD000E">
              <w:rPr>
                <w:i/>
                <w:color w:val="002060"/>
                <w:sz w:val="16"/>
                <w:szCs w:val="16"/>
              </w:rPr>
              <w:t xml:space="preserve">Objectif </w:t>
            </w:r>
            <w:r w:rsidRPr="00D97E5E">
              <w:rPr>
                <w:i/>
                <w:color w:val="002060"/>
                <w:sz w:val="16"/>
                <w:szCs w:val="16"/>
              </w:rPr>
              <w:t>actualisé :</w:t>
            </w:r>
          </w:p>
          <w:p w14:paraId="4FF2C26D" w14:textId="77777777" w:rsidR="00F96912" w:rsidRPr="00D97E5E" w:rsidRDefault="00F96912" w:rsidP="006658D5">
            <w:pPr>
              <w:rPr>
                <w:color w:val="002060"/>
                <w:sz w:val="16"/>
                <w:szCs w:val="16"/>
              </w:rPr>
            </w:pPr>
            <w:r w:rsidRPr="00D97E5E">
              <w:rPr>
                <w:color w:val="002060"/>
                <w:sz w:val="16"/>
                <w:szCs w:val="16"/>
              </w:rPr>
              <w:t>6 bureaux de transfert de technologie supplémentaires (16 au total)</w:t>
            </w:r>
          </w:p>
          <w:p w14:paraId="2F19BD12" w14:textId="77777777" w:rsidR="00F96912" w:rsidRPr="00CD000E" w:rsidRDefault="00F96912" w:rsidP="006658D5">
            <w:pPr>
              <w:rPr>
                <w:color w:val="000000"/>
                <w:sz w:val="16"/>
                <w:szCs w:val="16"/>
              </w:rPr>
            </w:pPr>
          </w:p>
          <w:p w14:paraId="09771D7B" w14:textId="77777777" w:rsidR="00F96912" w:rsidRPr="00CD000E" w:rsidRDefault="00F96912" w:rsidP="006658D5">
            <w:pPr>
              <w:rPr>
                <w:i/>
                <w:color w:val="000000"/>
                <w:sz w:val="16"/>
                <w:szCs w:val="16"/>
              </w:rPr>
            </w:pPr>
            <w:r w:rsidRPr="00CD000E">
              <w:rPr>
                <w:i/>
                <w:color w:val="000000"/>
                <w:sz w:val="16"/>
                <w:szCs w:val="16"/>
              </w:rPr>
              <w:t>Objectif initial dans le programme et budget 2016</w:t>
            </w:r>
            <w:r>
              <w:rPr>
                <w:i/>
                <w:color w:val="000000"/>
                <w:sz w:val="16"/>
                <w:szCs w:val="16"/>
              </w:rPr>
              <w:noBreakHyphen/>
            </w:r>
            <w:r w:rsidRPr="00CD000E">
              <w:rPr>
                <w:i/>
                <w:color w:val="000000"/>
                <w:sz w:val="16"/>
                <w:szCs w:val="16"/>
              </w:rPr>
              <w:t>2017 :</w:t>
            </w:r>
          </w:p>
          <w:p w14:paraId="39B2A52A" w14:textId="77777777" w:rsidR="00F96912" w:rsidRPr="00CD000E" w:rsidRDefault="00F96912" w:rsidP="006658D5">
            <w:pPr>
              <w:rPr>
                <w:color w:val="000000"/>
                <w:sz w:val="16"/>
                <w:szCs w:val="16"/>
              </w:rPr>
            </w:pPr>
            <w:r w:rsidRPr="00CD000E">
              <w:rPr>
                <w:sz w:val="16"/>
                <w:szCs w:val="16"/>
              </w:rPr>
              <w:t>6 bureaux de transfert de technologie</w:t>
            </w:r>
          </w:p>
        </w:tc>
        <w:tc>
          <w:tcPr>
            <w:tcW w:w="1369" w:type="pct"/>
            <w:shd w:val="clear" w:color="auto" w:fill="FFFFFF"/>
            <w:tcMar>
              <w:top w:w="110" w:type="dxa"/>
              <w:left w:w="58" w:type="dxa"/>
              <w:right w:w="58" w:type="dxa"/>
            </w:tcMar>
          </w:tcPr>
          <w:p w14:paraId="15771FEA" w14:textId="77777777" w:rsidR="00F96912" w:rsidRPr="00D97E5E" w:rsidRDefault="00F96912" w:rsidP="006658D5">
            <w:pPr>
              <w:rPr>
                <w:sz w:val="16"/>
                <w:szCs w:val="16"/>
              </w:rPr>
            </w:pPr>
            <w:r w:rsidRPr="00D97E5E">
              <w:rPr>
                <w:sz w:val="16"/>
                <w:szCs w:val="16"/>
              </w:rPr>
              <w:t>1 bureau de transfert de technologie créé au sein du Ministère des sciences du Monténégro</w:t>
            </w:r>
          </w:p>
          <w:p w14:paraId="16101DD1" w14:textId="77777777" w:rsidR="00F96912" w:rsidRPr="00D97E5E" w:rsidRDefault="00F96912" w:rsidP="006658D5">
            <w:pPr>
              <w:rPr>
                <w:sz w:val="16"/>
                <w:szCs w:val="16"/>
              </w:rPr>
            </w:pPr>
          </w:p>
          <w:p w14:paraId="03548B2F" w14:textId="77777777" w:rsidR="00F96912" w:rsidRPr="00D97E5E" w:rsidRDefault="00F96912" w:rsidP="006658D5">
            <w:pPr>
              <w:rPr>
                <w:sz w:val="16"/>
                <w:szCs w:val="16"/>
              </w:rPr>
            </w:pPr>
            <w:r w:rsidRPr="00D97E5E">
              <w:rPr>
                <w:sz w:val="16"/>
                <w:szCs w:val="16"/>
              </w:rPr>
              <w:t>Poursuite des progrès réalisés en vue de renforcer 4 bureaux de transfert de technologie en Tunisie afin qu’ils deviennent indépendants et viables sur le plan opérationnel en 2016 :</w:t>
            </w:r>
          </w:p>
          <w:p w14:paraId="5D6C3CA6" w14:textId="77777777" w:rsidR="00F96912" w:rsidRPr="00D97E5E" w:rsidRDefault="00F96912" w:rsidP="00D544B8">
            <w:pPr>
              <w:pStyle w:val="ListParagraph"/>
              <w:numPr>
                <w:ilvl w:val="0"/>
                <w:numId w:val="40"/>
              </w:numPr>
              <w:tabs>
                <w:tab w:val="left" w:pos="296"/>
              </w:tabs>
              <w:ind w:left="0" w:firstLine="0"/>
              <w:contextualSpacing w:val="0"/>
              <w:rPr>
                <w:rFonts w:ascii="Arial" w:hAnsi="Arial" w:cs="Arial"/>
                <w:sz w:val="16"/>
                <w:szCs w:val="16"/>
              </w:rPr>
            </w:pPr>
            <w:r w:rsidRPr="00D97E5E">
              <w:rPr>
                <w:rFonts w:ascii="Arial" w:hAnsi="Arial" w:cs="Arial"/>
                <w:sz w:val="16"/>
                <w:szCs w:val="16"/>
              </w:rPr>
              <w:t xml:space="preserve">Centre </w:t>
            </w:r>
            <w:r w:rsidRPr="00D97E5E">
              <w:rPr>
                <w:rFonts w:ascii="Arial" w:hAnsi="Arial" w:cs="Arial"/>
                <w:color w:val="000000"/>
                <w:sz w:val="16"/>
                <w:szCs w:val="16"/>
              </w:rPr>
              <w:t>t</w:t>
            </w:r>
            <w:r w:rsidRPr="00D97E5E">
              <w:rPr>
                <w:rFonts w:ascii="Arial" w:hAnsi="Arial" w:cs="Arial"/>
                <w:sz w:val="16"/>
                <w:szCs w:val="16"/>
              </w:rPr>
              <w:t xml:space="preserve">echnique de la </w:t>
            </w:r>
            <w:r w:rsidRPr="00D97E5E">
              <w:rPr>
                <w:rFonts w:ascii="Arial" w:hAnsi="Arial" w:cs="Arial"/>
                <w:color w:val="000000"/>
                <w:sz w:val="16"/>
                <w:szCs w:val="16"/>
              </w:rPr>
              <w:t>c</w:t>
            </w:r>
            <w:r w:rsidRPr="00D97E5E">
              <w:rPr>
                <w:rFonts w:ascii="Arial" w:hAnsi="Arial" w:cs="Arial"/>
                <w:sz w:val="16"/>
                <w:szCs w:val="16"/>
              </w:rPr>
              <w:t>himie (CTC)</w:t>
            </w:r>
          </w:p>
          <w:p w14:paraId="1C5F9D74" w14:textId="77777777" w:rsidR="00F96912" w:rsidRPr="00D97E5E" w:rsidRDefault="00F96912" w:rsidP="00D544B8">
            <w:pPr>
              <w:pStyle w:val="ListParagraph"/>
              <w:numPr>
                <w:ilvl w:val="0"/>
                <w:numId w:val="40"/>
              </w:numPr>
              <w:tabs>
                <w:tab w:val="left" w:pos="296"/>
              </w:tabs>
              <w:ind w:left="0" w:firstLine="0"/>
              <w:contextualSpacing w:val="0"/>
              <w:rPr>
                <w:rFonts w:ascii="Arial" w:hAnsi="Arial" w:cs="Arial"/>
                <w:sz w:val="16"/>
                <w:szCs w:val="16"/>
              </w:rPr>
            </w:pPr>
            <w:proofErr w:type="spellStart"/>
            <w:r w:rsidRPr="00D97E5E">
              <w:rPr>
                <w:rFonts w:ascii="Arial" w:hAnsi="Arial" w:cs="Arial"/>
                <w:sz w:val="16"/>
                <w:szCs w:val="16"/>
              </w:rPr>
              <w:t>Technopark</w:t>
            </w:r>
            <w:proofErr w:type="spellEnd"/>
            <w:r w:rsidRPr="00D97E5E">
              <w:rPr>
                <w:rFonts w:ascii="Arial" w:hAnsi="Arial" w:cs="Arial"/>
                <w:sz w:val="16"/>
                <w:szCs w:val="16"/>
              </w:rPr>
              <w:t xml:space="preserve"> El </w:t>
            </w:r>
            <w:proofErr w:type="spellStart"/>
            <w:r w:rsidRPr="00D97E5E">
              <w:rPr>
                <w:rFonts w:ascii="Arial" w:hAnsi="Arial" w:cs="Arial"/>
                <w:sz w:val="16"/>
                <w:szCs w:val="16"/>
              </w:rPr>
              <w:t>Ghazala</w:t>
            </w:r>
            <w:proofErr w:type="spellEnd"/>
          </w:p>
          <w:p w14:paraId="1B2819E6" w14:textId="77777777" w:rsidR="00F96912" w:rsidRPr="00CD000E" w:rsidRDefault="00F96912" w:rsidP="00D544B8">
            <w:pPr>
              <w:pStyle w:val="ListParagraph"/>
              <w:numPr>
                <w:ilvl w:val="0"/>
                <w:numId w:val="40"/>
              </w:numPr>
              <w:tabs>
                <w:tab w:val="left" w:pos="296"/>
              </w:tabs>
              <w:ind w:left="0" w:firstLine="0"/>
              <w:contextualSpacing w:val="0"/>
              <w:rPr>
                <w:rFonts w:ascii="Arial" w:hAnsi="Arial" w:cs="Arial"/>
                <w:sz w:val="16"/>
                <w:szCs w:val="16"/>
              </w:rPr>
            </w:pPr>
            <w:r w:rsidRPr="00D97E5E">
              <w:rPr>
                <w:rFonts w:ascii="Arial" w:hAnsi="Arial" w:cs="Arial"/>
                <w:sz w:val="16"/>
                <w:szCs w:val="16"/>
              </w:rPr>
              <w:t xml:space="preserve">Centre technique d’emballage </w:t>
            </w:r>
            <w:proofErr w:type="spellStart"/>
            <w:r w:rsidRPr="00D97E5E">
              <w:rPr>
                <w:rFonts w:ascii="Arial" w:hAnsi="Arial" w:cs="Arial"/>
                <w:sz w:val="16"/>
                <w:szCs w:val="16"/>
              </w:rPr>
              <w:t>Packtec</w:t>
            </w:r>
            <w:proofErr w:type="spellEnd"/>
            <w:r w:rsidRPr="00D97E5E">
              <w:rPr>
                <w:rFonts w:ascii="Arial" w:hAnsi="Arial" w:cs="Arial"/>
                <w:sz w:val="16"/>
                <w:szCs w:val="16"/>
              </w:rPr>
              <w:t xml:space="preserve"> (</w:t>
            </w:r>
            <w:proofErr w:type="spellStart"/>
            <w:r w:rsidRPr="00D97E5E">
              <w:rPr>
                <w:rFonts w:ascii="Arial" w:hAnsi="Arial" w:cs="Arial"/>
                <w:sz w:val="16"/>
                <w:szCs w:val="16"/>
              </w:rPr>
              <w:t>Packtec</w:t>
            </w:r>
            <w:proofErr w:type="spellEnd"/>
            <w:r w:rsidRPr="00D97E5E">
              <w:rPr>
                <w:rFonts w:ascii="Arial" w:hAnsi="Arial" w:cs="Arial"/>
                <w:sz w:val="16"/>
                <w:szCs w:val="16"/>
              </w:rPr>
              <w:t xml:space="preserve"> </w:t>
            </w:r>
            <w:proofErr w:type="spellStart"/>
            <w:r w:rsidRPr="00D97E5E">
              <w:rPr>
                <w:rFonts w:ascii="Arial" w:hAnsi="Arial" w:cs="Arial"/>
                <w:sz w:val="16"/>
                <w:szCs w:val="16"/>
              </w:rPr>
              <w:t>Technical</w:t>
            </w:r>
            <w:proofErr w:type="spellEnd"/>
            <w:r w:rsidRPr="00D97E5E">
              <w:rPr>
                <w:rFonts w:ascii="Arial" w:hAnsi="Arial" w:cs="Arial"/>
                <w:sz w:val="16"/>
                <w:szCs w:val="16"/>
              </w:rPr>
              <w:t xml:space="preserve"> Center f</w:t>
            </w:r>
            <w:r w:rsidRPr="00CD000E">
              <w:rPr>
                <w:rFonts w:ascii="Arial" w:hAnsi="Arial" w:cs="Arial"/>
                <w:sz w:val="16"/>
                <w:szCs w:val="16"/>
              </w:rPr>
              <w:t>or Packaging)</w:t>
            </w:r>
          </w:p>
          <w:p w14:paraId="6C764D37" w14:textId="77777777" w:rsidR="00F96912" w:rsidRPr="00CD000E" w:rsidRDefault="00F96912" w:rsidP="00D544B8">
            <w:pPr>
              <w:pStyle w:val="ListParagraph"/>
              <w:numPr>
                <w:ilvl w:val="0"/>
                <w:numId w:val="40"/>
              </w:numPr>
              <w:tabs>
                <w:tab w:val="left" w:pos="296"/>
              </w:tabs>
              <w:ind w:left="0" w:firstLine="0"/>
              <w:contextualSpacing w:val="0"/>
              <w:rPr>
                <w:rFonts w:ascii="Arial" w:hAnsi="Arial" w:cs="Arial"/>
                <w:sz w:val="16"/>
                <w:szCs w:val="16"/>
              </w:rPr>
            </w:pPr>
            <w:proofErr w:type="spellStart"/>
            <w:r w:rsidRPr="00CD000E">
              <w:rPr>
                <w:rFonts w:ascii="Arial" w:hAnsi="Arial" w:cs="Arial"/>
                <w:sz w:val="16"/>
                <w:szCs w:val="16"/>
              </w:rPr>
              <w:t>Technopark</w:t>
            </w:r>
            <w:proofErr w:type="spellEnd"/>
            <w:r w:rsidRPr="00CD000E">
              <w:rPr>
                <w:rFonts w:ascii="Arial" w:hAnsi="Arial" w:cs="Arial"/>
                <w:sz w:val="16"/>
                <w:szCs w:val="16"/>
              </w:rPr>
              <w:t xml:space="preserve"> de Sidi </w:t>
            </w:r>
            <w:proofErr w:type="spellStart"/>
            <w:r w:rsidRPr="00CD000E">
              <w:rPr>
                <w:rFonts w:ascii="Arial" w:hAnsi="Arial" w:cs="Arial"/>
                <w:sz w:val="16"/>
                <w:szCs w:val="16"/>
              </w:rPr>
              <w:t>Thabet</w:t>
            </w:r>
            <w:proofErr w:type="spellEnd"/>
            <w:r w:rsidRPr="00CD000E">
              <w:rPr>
                <w:rFonts w:ascii="Arial" w:hAnsi="Arial" w:cs="Arial"/>
                <w:sz w:val="16"/>
                <w:szCs w:val="16"/>
              </w:rPr>
              <w:t xml:space="preserve"> (TST)</w:t>
            </w:r>
          </w:p>
        </w:tc>
        <w:tc>
          <w:tcPr>
            <w:tcW w:w="554" w:type="pct"/>
            <w:shd w:val="clear" w:color="auto" w:fill="auto"/>
            <w:tcMar>
              <w:top w:w="110" w:type="dxa"/>
              <w:left w:w="58" w:type="dxa"/>
              <w:right w:w="58" w:type="dxa"/>
            </w:tcMar>
          </w:tcPr>
          <w:p w14:paraId="117D2DD2" w14:textId="77777777" w:rsidR="00F96912" w:rsidRPr="00CD000E" w:rsidRDefault="00F96912" w:rsidP="006658D5">
            <w:pPr>
              <w:keepNext/>
              <w:keepLines/>
              <w:jc w:val="center"/>
              <w:rPr>
                <w:b/>
                <w:color w:val="000000"/>
                <w:sz w:val="16"/>
                <w:szCs w:val="16"/>
              </w:rPr>
            </w:pPr>
            <w:r w:rsidRPr="00CD000E">
              <w:rPr>
                <w:b/>
                <w:color w:val="FF0000"/>
                <w:sz w:val="16"/>
                <w:szCs w:val="16"/>
              </w:rPr>
              <w:t>Pas en bonne voie</w:t>
            </w:r>
          </w:p>
        </w:tc>
      </w:tr>
      <w:tr w:rsidR="00F96912" w:rsidRPr="00CD000E" w14:paraId="7D346030" w14:textId="77777777" w:rsidTr="006658D5">
        <w:tc>
          <w:tcPr>
            <w:tcW w:w="1046" w:type="pct"/>
            <w:shd w:val="clear" w:color="auto" w:fill="auto"/>
            <w:tcMar>
              <w:left w:w="58" w:type="dxa"/>
              <w:right w:w="58" w:type="dxa"/>
            </w:tcMar>
          </w:tcPr>
          <w:p w14:paraId="4191DF72" w14:textId="77777777" w:rsidR="00F96912" w:rsidRPr="00D97E5E" w:rsidRDefault="00F96912" w:rsidP="006658D5">
            <w:pPr>
              <w:rPr>
                <w:color w:val="000000"/>
                <w:sz w:val="16"/>
                <w:szCs w:val="16"/>
              </w:rPr>
            </w:pPr>
            <w:r w:rsidRPr="00D97E5E">
              <w:rPr>
                <w:sz w:val="16"/>
                <w:szCs w:val="16"/>
              </w:rPr>
              <w:t>Nombre d’universités ou d’instituts de recherche ayant élaboré ou amélioré leurs politiques en matière de propriété intellectuelle</w:t>
            </w:r>
            <w:r w:rsidRPr="00D97E5E">
              <w:rPr>
                <w:color w:val="000000"/>
                <w:sz w:val="16"/>
                <w:szCs w:val="16"/>
              </w:rPr>
              <w:t xml:space="preserve"> </w:t>
            </w:r>
          </w:p>
        </w:tc>
        <w:tc>
          <w:tcPr>
            <w:tcW w:w="1350" w:type="pct"/>
            <w:shd w:val="clear" w:color="auto" w:fill="auto"/>
            <w:tcMar>
              <w:left w:w="58" w:type="dxa"/>
              <w:right w:w="58" w:type="dxa"/>
            </w:tcMar>
          </w:tcPr>
          <w:p w14:paraId="1435DE2D" w14:textId="77777777" w:rsidR="00F96912" w:rsidRPr="00D97E5E" w:rsidRDefault="00F96912" w:rsidP="006658D5">
            <w:pPr>
              <w:rPr>
                <w:i/>
                <w:color w:val="002060"/>
                <w:sz w:val="16"/>
                <w:szCs w:val="16"/>
              </w:rPr>
            </w:pPr>
            <w:r w:rsidRPr="00D97E5E">
              <w:rPr>
                <w:i/>
                <w:color w:val="002060"/>
                <w:sz w:val="16"/>
                <w:szCs w:val="16"/>
              </w:rPr>
              <w:t>Niveau de référence actualisé à fin 2015 :</w:t>
            </w:r>
          </w:p>
          <w:p w14:paraId="71991BF1" w14:textId="77777777" w:rsidR="00F96912" w:rsidRPr="00D97E5E" w:rsidRDefault="00F96912" w:rsidP="006658D5">
            <w:pPr>
              <w:rPr>
                <w:color w:val="002060"/>
                <w:sz w:val="16"/>
                <w:szCs w:val="16"/>
              </w:rPr>
            </w:pPr>
            <w:r w:rsidRPr="00D97E5E">
              <w:rPr>
                <w:color w:val="002060"/>
                <w:sz w:val="16"/>
                <w:szCs w:val="16"/>
              </w:rPr>
              <w:t>436 universités</w:t>
            </w:r>
          </w:p>
          <w:p w14:paraId="19D1E437" w14:textId="77777777" w:rsidR="00F96912" w:rsidRPr="00D97E5E" w:rsidRDefault="00F96912" w:rsidP="006658D5">
            <w:pPr>
              <w:pStyle w:val="ListParagraph"/>
              <w:ind w:left="0"/>
              <w:contextualSpacing w:val="0"/>
              <w:rPr>
                <w:rFonts w:ascii="Arial" w:hAnsi="Arial" w:cs="Arial"/>
                <w:color w:val="002060"/>
                <w:sz w:val="16"/>
                <w:szCs w:val="16"/>
              </w:rPr>
            </w:pPr>
            <w:r w:rsidRPr="00D97E5E">
              <w:rPr>
                <w:rFonts w:ascii="Arial" w:hAnsi="Arial" w:cs="Arial"/>
                <w:color w:val="002060"/>
                <w:sz w:val="16"/>
                <w:szCs w:val="16"/>
              </w:rPr>
              <w:t>– Pologne (434)</w:t>
            </w:r>
          </w:p>
          <w:p w14:paraId="242CC89B" w14:textId="77777777" w:rsidR="00F96912" w:rsidRPr="00D97E5E" w:rsidRDefault="00F96912" w:rsidP="006658D5">
            <w:pPr>
              <w:pStyle w:val="ListParagraph"/>
              <w:ind w:left="0"/>
              <w:contextualSpacing w:val="0"/>
              <w:rPr>
                <w:rFonts w:ascii="Arial" w:hAnsi="Arial" w:cs="Arial"/>
                <w:color w:val="002060"/>
                <w:sz w:val="16"/>
                <w:szCs w:val="16"/>
              </w:rPr>
            </w:pPr>
            <w:r w:rsidRPr="00D97E5E">
              <w:rPr>
                <w:rFonts w:ascii="Arial" w:hAnsi="Arial" w:cs="Arial"/>
                <w:color w:val="002060"/>
                <w:sz w:val="16"/>
                <w:szCs w:val="16"/>
              </w:rPr>
              <w:t>– Fédération de Russie (1)</w:t>
            </w:r>
          </w:p>
          <w:p w14:paraId="6518A5BE" w14:textId="77777777" w:rsidR="00F96912" w:rsidRPr="00D97E5E" w:rsidRDefault="00F96912" w:rsidP="006658D5">
            <w:pPr>
              <w:pStyle w:val="ListParagraph"/>
              <w:ind w:left="0"/>
              <w:contextualSpacing w:val="0"/>
              <w:rPr>
                <w:rFonts w:ascii="Arial" w:hAnsi="Arial" w:cs="Arial"/>
                <w:color w:val="002060"/>
                <w:sz w:val="16"/>
                <w:szCs w:val="16"/>
              </w:rPr>
            </w:pPr>
            <w:r w:rsidRPr="00D97E5E">
              <w:rPr>
                <w:rFonts w:ascii="Arial" w:hAnsi="Arial" w:cs="Arial"/>
                <w:color w:val="002060"/>
                <w:sz w:val="16"/>
                <w:szCs w:val="16"/>
              </w:rPr>
              <w:t>– Ouzbékistan (1)</w:t>
            </w:r>
          </w:p>
          <w:p w14:paraId="7D9B5624" w14:textId="77777777" w:rsidR="00F96912" w:rsidRPr="00D97E5E" w:rsidRDefault="00F96912" w:rsidP="006658D5">
            <w:pPr>
              <w:rPr>
                <w:color w:val="000000"/>
                <w:sz w:val="16"/>
                <w:szCs w:val="16"/>
              </w:rPr>
            </w:pPr>
          </w:p>
          <w:p w14:paraId="4B44A767" w14:textId="77777777" w:rsidR="00F96912" w:rsidRPr="00D97E5E" w:rsidRDefault="00F96912" w:rsidP="006658D5">
            <w:pPr>
              <w:rPr>
                <w:i/>
                <w:sz w:val="16"/>
                <w:szCs w:val="16"/>
                <w:lang w:bidi="th-TH"/>
              </w:rPr>
            </w:pPr>
            <w:r w:rsidRPr="00D97E5E">
              <w:rPr>
                <w:i/>
                <w:sz w:val="16"/>
                <w:szCs w:val="16"/>
                <w:lang w:bidi="th-TH"/>
              </w:rPr>
              <w:t>Niveau de référence initial dans le programme et budget 2016</w:t>
            </w:r>
            <w:r w:rsidRPr="00D97E5E">
              <w:rPr>
                <w:i/>
                <w:sz w:val="16"/>
                <w:szCs w:val="16"/>
                <w:lang w:bidi="th-TH"/>
              </w:rPr>
              <w:noBreakHyphen/>
              <w:t>2017 :</w:t>
            </w:r>
          </w:p>
          <w:p w14:paraId="23D6EBB8" w14:textId="77777777" w:rsidR="00F96912" w:rsidRPr="00D97E5E" w:rsidRDefault="00F96912" w:rsidP="006658D5">
            <w:pPr>
              <w:rPr>
                <w:color w:val="000000"/>
                <w:sz w:val="16"/>
                <w:szCs w:val="16"/>
              </w:rPr>
            </w:pPr>
            <w:r w:rsidRPr="00D97E5E">
              <w:rPr>
                <w:sz w:val="16"/>
                <w:szCs w:val="16"/>
              </w:rPr>
              <w:t>150 universités dans des pays en transition (2014)</w:t>
            </w:r>
          </w:p>
        </w:tc>
        <w:tc>
          <w:tcPr>
            <w:tcW w:w="681" w:type="pct"/>
            <w:shd w:val="clear" w:color="auto" w:fill="auto"/>
            <w:tcMar>
              <w:top w:w="110" w:type="dxa"/>
              <w:left w:w="58" w:type="dxa"/>
              <w:right w:w="58" w:type="dxa"/>
            </w:tcMar>
          </w:tcPr>
          <w:p w14:paraId="071DA865" w14:textId="77777777" w:rsidR="00F96912" w:rsidRPr="00D97E5E" w:rsidRDefault="00F96912" w:rsidP="006658D5">
            <w:pPr>
              <w:rPr>
                <w:color w:val="000000"/>
                <w:sz w:val="16"/>
                <w:szCs w:val="16"/>
              </w:rPr>
            </w:pPr>
            <w:r w:rsidRPr="00D97E5E">
              <w:rPr>
                <w:sz w:val="16"/>
                <w:szCs w:val="16"/>
              </w:rPr>
              <w:t>10 universités supplémentaires</w:t>
            </w:r>
          </w:p>
        </w:tc>
        <w:tc>
          <w:tcPr>
            <w:tcW w:w="1369" w:type="pct"/>
            <w:shd w:val="clear" w:color="auto" w:fill="FFFFFF"/>
            <w:tcMar>
              <w:top w:w="110" w:type="dxa"/>
              <w:left w:w="58" w:type="dxa"/>
              <w:right w:w="58" w:type="dxa"/>
            </w:tcMar>
          </w:tcPr>
          <w:p w14:paraId="17D1E729" w14:textId="77777777" w:rsidR="00F96912" w:rsidRPr="00D97E5E" w:rsidRDefault="00F96912" w:rsidP="006658D5">
            <w:pPr>
              <w:rPr>
                <w:sz w:val="16"/>
                <w:szCs w:val="16"/>
              </w:rPr>
            </w:pPr>
            <w:r w:rsidRPr="00D97E5E">
              <w:rPr>
                <w:sz w:val="16"/>
                <w:szCs w:val="16"/>
              </w:rPr>
              <w:t>3 universités ou instituts de recherche ont élaboré des politiques en matière de propriété intellectuelle :</w:t>
            </w:r>
          </w:p>
          <w:p w14:paraId="6A9DD9C6" w14:textId="77777777" w:rsidR="00F96912" w:rsidRPr="00D97E5E" w:rsidRDefault="00F96912" w:rsidP="006658D5">
            <w:pPr>
              <w:rPr>
                <w:sz w:val="16"/>
                <w:szCs w:val="16"/>
              </w:rPr>
            </w:pPr>
            <w:r w:rsidRPr="00D97E5E">
              <w:rPr>
                <w:sz w:val="16"/>
                <w:szCs w:val="16"/>
              </w:rPr>
              <w:t>– Université d’agriculture et de ressources naturelles du Botswana (BUAN) (Botswana)</w:t>
            </w:r>
          </w:p>
          <w:p w14:paraId="44B85E84" w14:textId="77777777" w:rsidR="00F96912" w:rsidRPr="00D97E5E" w:rsidRDefault="00F96912" w:rsidP="006658D5">
            <w:pPr>
              <w:rPr>
                <w:sz w:val="16"/>
                <w:szCs w:val="16"/>
              </w:rPr>
            </w:pPr>
            <w:r w:rsidRPr="00D97E5E">
              <w:rPr>
                <w:i/>
                <w:sz w:val="16"/>
                <w:szCs w:val="16"/>
              </w:rPr>
              <w:t>–</w:t>
            </w:r>
            <w:r w:rsidRPr="00D97E5E">
              <w:t xml:space="preserve"> </w:t>
            </w:r>
            <w:proofErr w:type="spellStart"/>
            <w:r w:rsidRPr="00D97E5E">
              <w:rPr>
                <w:i/>
                <w:sz w:val="16"/>
                <w:szCs w:val="16"/>
              </w:rPr>
              <w:t>Instituto</w:t>
            </w:r>
            <w:proofErr w:type="spellEnd"/>
            <w:r w:rsidRPr="00D97E5E">
              <w:rPr>
                <w:i/>
                <w:sz w:val="16"/>
                <w:szCs w:val="16"/>
              </w:rPr>
              <w:t xml:space="preserve"> Superior de </w:t>
            </w:r>
            <w:proofErr w:type="spellStart"/>
            <w:r w:rsidRPr="00D97E5E">
              <w:rPr>
                <w:i/>
                <w:sz w:val="16"/>
                <w:szCs w:val="16"/>
              </w:rPr>
              <w:t>Ciências</w:t>
            </w:r>
            <w:proofErr w:type="spellEnd"/>
            <w:r w:rsidRPr="00D97E5E">
              <w:rPr>
                <w:i/>
                <w:sz w:val="16"/>
                <w:szCs w:val="16"/>
              </w:rPr>
              <w:t xml:space="preserve"> e </w:t>
            </w:r>
            <w:proofErr w:type="spellStart"/>
            <w:r w:rsidRPr="00D97E5E">
              <w:rPr>
                <w:i/>
                <w:sz w:val="16"/>
                <w:szCs w:val="16"/>
              </w:rPr>
              <w:t>Tecnologia</w:t>
            </w:r>
            <w:proofErr w:type="spellEnd"/>
            <w:r w:rsidRPr="00D97E5E">
              <w:rPr>
                <w:i/>
                <w:sz w:val="16"/>
                <w:szCs w:val="16"/>
              </w:rPr>
              <w:t xml:space="preserve"> de </w:t>
            </w:r>
            <w:proofErr w:type="spellStart"/>
            <w:r w:rsidRPr="00D97E5E">
              <w:rPr>
                <w:i/>
                <w:sz w:val="16"/>
                <w:szCs w:val="16"/>
              </w:rPr>
              <w:t>Moçambique</w:t>
            </w:r>
            <w:proofErr w:type="spellEnd"/>
            <w:r w:rsidRPr="00D97E5E">
              <w:rPr>
                <w:sz w:val="16"/>
                <w:szCs w:val="16"/>
              </w:rPr>
              <w:t xml:space="preserve"> (ISCTEM) (Mozambique)</w:t>
            </w:r>
          </w:p>
          <w:p w14:paraId="700EC2C5" w14:textId="77777777" w:rsidR="00F96912" w:rsidRPr="00D97E5E" w:rsidRDefault="00F96912" w:rsidP="006658D5">
            <w:pPr>
              <w:rPr>
                <w:sz w:val="16"/>
                <w:szCs w:val="16"/>
              </w:rPr>
            </w:pPr>
            <w:r w:rsidRPr="00D97E5E">
              <w:rPr>
                <w:i/>
                <w:sz w:val="16"/>
                <w:szCs w:val="16"/>
              </w:rPr>
              <w:t xml:space="preserve">– </w:t>
            </w:r>
            <w:proofErr w:type="spellStart"/>
            <w:r w:rsidRPr="00D97E5E">
              <w:rPr>
                <w:i/>
                <w:sz w:val="16"/>
                <w:szCs w:val="16"/>
              </w:rPr>
              <w:t>Universidade</w:t>
            </w:r>
            <w:proofErr w:type="spellEnd"/>
            <w:r w:rsidRPr="00D97E5E">
              <w:rPr>
                <w:i/>
                <w:sz w:val="16"/>
                <w:szCs w:val="16"/>
              </w:rPr>
              <w:t xml:space="preserve"> Eduardo </w:t>
            </w:r>
            <w:proofErr w:type="spellStart"/>
            <w:r w:rsidRPr="00D97E5E">
              <w:rPr>
                <w:i/>
                <w:sz w:val="16"/>
                <w:szCs w:val="16"/>
              </w:rPr>
              <w:t>Mondlane</w:t>
            </w:r>
            <w:proofErr w:type="spellEnd"/>
            <w:r w:rsidRPr="00D97E5E">
              <w:rPr>
                <w:i/>
                <w:sz w:val="16"/>
                <w:szCs w:val="16"/>
              </w:rPr>
              <w:t xml:space="preserve">, Centro de </w:t>
            </w:r>
            <w:proofErr w:type="spellStart"/>
            <w:r w:rsidRPr="00D97E5E">
              <w:rPr>
                <w:i/>
                <w:sz w:val="16"/>
                <w:szCs w:val="16"/>
              </w:rPr>
              <w:t>Estudos</w:t>
            </w:r>
            <w:proofErr w:type="spellEnd"/>
            <w:r w:rsidRPr="00D97E5E">
              <w:rPr>
                <w:i/>
                <w:sz w:val="16"/>
                <w:szCs w:val="16"/>
              </w:rPr>
              <w:t xml:space="preserve"> sobre </w:t>
            </w:r>
            <w:proofErr w:type="spellStart"/>
            <w:r w:rsidRPr="00D97E5E">
              <w:rPr>
                <w:i/>
                <w:sz w:val="16"/>
                <w:szCs w:val="16"/>
              </w:rPr>
              <w:t>Direito</w:t>
            </w:r>
            <w:proofErr w:type="spellEnd"/>
            <w:r w:rsidRPr="00D97E5E">
              <w:rPr>
                <w:i/>
                <w:sz w:val="16"/>
                <w:szCs w:val="16"/>
              </w:rPr>
              <w:t xml:space="preserve"> de </w:t>
            </w:r>
            <w:proofErr w:type="spellStart"/>
            <w:r w:rsidRPr="00D97E5E">
              <w:rPr>
                <w:i/>
                <w:sz w:val="16"/>
                <w:szCs w:val="16"/>
              </w:rPr>
              <w:t>Integração</w:t>
            </w:r>
            <w:proofErr w:type="spellEnd"/>
            <w:r w:rsidRPr="00D97E5E">
              <w:rPr>
                <w:i/>
                <w:sz w:val="16"/>
                <w:szCs w:val="16"/>
              </w:rPr>
              <w:t xml:space="preserve"> </w:t>
            </w:r>
            <w:proofErr w:type="spellStart"/>
            <w:r w:rsidRPr="00D97E5E">
              <w:rPr>
                <w:i/>
                <w:sz w:val="16"/>
                <w:szCs w:val="16"/>
              </w:rPr>
              <w:t>Regional</w:t>
            </w:r>
            <w:proofErr w:type="spellEnd"/>
            <w:r w:rsidRPr="00D97E5E">
              <w:rPr>
                <w:i/>
                <w:sz w:val="16"/>
                <w:szCs w:val="16"/>
              </w:rPr>
              <w:t xml:space="preserve"> da SADC</w:t>
            </w:r>
            <w:r w:rsidRPr="00D97E5E">
              <w:rPr>
                <w:i/>
                <w:sz w:val="16"/>
                <w:szCs w:val="16"/>
              </w:rPr>
              <w:noBreakHyphen/>
              <w:t>CEDIR</w:t>
            </w:r>
            <w:r w:rsidRPr="00D97E5E">
              <w:rPr>
                <w:sz w:val="16"/>
                <w:szCs w:val="16"/>
              </w:rPr>
              <w:t xml:space="preserve"> (Mozambique);  et</w:t>
            </w:r>
          </w:p>
          <w:p w14:paraId="0152F116" w14:textId="77777777" w:rsidR="00F96912" w:rsidRPr="00D97E5E" w:rsidRDefault="00F96912" w:rsidP="006658D5">
            <w:pPr>
              <w:rPr>
                <w:sz w:val="16"/>
                <w:szCs w:val="16"/>
              </w:rPr>
            </w:pPr>
            <w:r w:rsidRPr="00D97E5E">
              <w:rPr>
                <w:sz w:val="16"/>
                <w:szCs w:val="16"/>
              </w:rPr>
              <w:t>4 universités ou instituts de</w:t>
            </w:r>
          </w:p>
          <w:p w14:paraId="65F793A9" w14:textId="77777777" w:rsidR="00F96912" w:rsidRPr="00D97E5E" w:rsidRDefault="00F96912" w:rsidP="006658D5">
            <w:pPr>
              <w:rPr>
                <w:sz w:val="16"/>
                <w:szCs w:val="16"/>
              </w:rPr>
            </w:pPr>
            <w:r w:rsidRPr="00D97E5E">
              <w:rPr>
                <w:sz w:val="16"/>
                <w:szCs w:val="16"/>
              </w:rPr>
              <w:t>recherche ont renforcé leurs politiques en matière de propriété intellectuelle :</w:t>
            </w:r>
          </w:p>
          <w:p w14:paraId="65E89CD9" w14:textId="77777777" w:rsidR="00F96912" w:rsidRPr="00D97E5E" w:rsidRDefault="00F96912" w:rsidP="006658D5">
            <w:pPr>
              <w:rPr>
                <w:sz w:val="16"/>
                <w:szCs w:val="16"/>
              </w:rPr>
            </w:pPr>
            <w:r w:rsidRPr="00D97E5E">
              <w:rPr>
                <w:sz w:val="16"/>
                <w:szCs w:val="16"/>
              </w:rPr>
              <w:t>–</w:t>
            </w:r>
            <w:r w:rsidRPr="00D97E5E">
              <w:t xml:space="preserve"> </w:t>
            </w:r>
            <w:r w:rsidRPr="00D97E5E">
              <w:rPr>
                <w:sz w:val="16"/>
                <w:szCs w:val="16"/>
              </w:rPr>
              <w:t xml:space="preserve">Ilia State </w:t>
            </w:r>
            <w:proofErr w:type="spellStart"/>
            <w:r w:rsidRPr="00D97E5E">
              <w:rPr>
                <w:sz w:val="16"/>
                <w:szCs w:val="16"/>
              </w:rPr>
              <w:t>University</w:t>
            </w:r>
            <w:proofErr w:type="spellEnd"/>
            <w:r w:rsidRPr="00D97E5E">
              <w:rPr>
                <w:sz w:val="16"/>
                <w:szCs w:val="16"/>
              </w:rPr>
              <w:t>, Tbilissi (Géorgie)</w:t>
            </w:r>
          </w:p>
          <w:p w14:paraId="27D63010" w14:textId="77777777" w:rsidR="00F96912" w:rsidRPr="00D97E5E" w:rsidRDefault="00F96912" w:rsidP="006658D5">
            <w:pPr>
              <w:rPr>
                <w:sz w:val="16"/>
                <w:szCs w:val="16"/>
              </w:rPr>
            </w:pPr>
            <w:r w:rsidRPr="00D97E5E">
              <w:rPr>
                <w:i/>
                <w:sz w:val="16"/>
                <w:szCs w:val="16"/>
              </w:rPr>
              <w:t xml:space="preserve">– </w:t>
            </w:r>
            <w:proofErr w:type="spellStart"/>
            <w:r w:rsidRPr="00D97E5E">
              <w:rPr>
                <w:i/>
                <w:sz w:val="16"/>
                <w:szCs w:val="16"/>
              </w:rPr>
              <w:t>Pavol</w:t>
            </w:r>
            <w:proofErr w:type="spellEnd"/>
            <w:r w:rsidRPr="00D97E5E">
              <w:rPr>
                <w:i/>
                <w:sz w:val="16"/>
                <w:szCs w:val="16"/>
              </w:rPr>
              <w:t xml:space="preserve"> Jozef </w:t>
            </w:r>
            <w:proofErr w:type="spellStart"/>
            <w:r w:rsidRPr="00D97E5E">
              <w:rPr>
                <w:i/>
                <w:sz w:val="16"/>
                <w:szCs w:val="16"/>
              </w:rPr>
              <w:t>Šafárik</w:t>
            </w:r>
            <w:proofErr w:type="spellEnd"/>
            <w:r w:rsidRPr="00D97E5E">
              <w:rPr>
                <w:i/>
                <w:sz w:val="16"/>
                <w:szCs w:val="16"/>
              </w:rPr>
              <w:t xml:space="preserve"> </w:t>
            </w:r>
            <w:proofErr w:type="spellStart"/>
            <w:r w:rsidRPr="00D97E5E">
              <w:rPr>
                <w:i/>
                <w:sz w:val="16"/>
                <w:szCs w:val="16"/>
              </w:rPr>
              <w:t>University</w:t>
            </w:r>
            <w:proofErr w:type="spellEnd"/>
            <w:r w:rsidRPr="00D97E5E">
              <w:rPr>
                <w:sz w:val="16"/>
                <w:szCs w:val="16"/>
              </w:rPr>
              <w:t xml:space="preserve"> (Slovaquie)</w:t>
            </w:r>
          </w:p>
          <w:p w14:paraId="5EFE999F" w14:textId="77777777" w:rsidR="00F96912" w:rsidRPr="00D97E5E" w:rsidRDefault="00F96912" w:rsidP="006658D5">
            <w:pPr>
              <w:rPr>
                <w:sz w:val="16"/>
                <w:szCs w:val="16"/>
              </w:rPr>
            </w:pPr>
            <w:r w:rsidRPr="00D97E5E">
              <w:rPr>
                <w:sz w:val="16"/>
                <w:szCs w:val="16"/>
              </w:rPr>
              <w:t xml:space="preserve">– </w:t>
            </w:r>
            <w:proofErr w:type="spellStart"/>
            <w:r w:rsidRPr="00D97E5E">
              <w:rPr>
                <w:sz w:val="16"/>
                <w:szCs w:val="16"/>
              </w:rPr>
              <w:t>Jagiellonian</w:t>
            </w:r>
            <w:proofErr w:type="spellEnd"/>
            <w:r w:rsidRPr="00D97E5E">
              <w:rPr>
                <w:sz w:val="16"/>
                <w:szCs w:val="16"/>
              </w:rPr>
              <w:t xml:space="preserve"> </w:t>
            </w:r>
            <w:proofErr w:type="spellStart"/>
            <w:r w:rsidRPr="00D97E5E">
              <w:rPr>
                <w:sz w:val="16"/>
                <w:szCs w:val="16"/>
              </w:rPr>
              <w:t>University</w:t>
            </w:r>
            <w:proofErr w:type="spellEnd"/>
            <w:r w:rsidRPr="00D97E5E">
              <w:rPr>
                <w:sz w:val="16"/>
                <w:szCs w:val="16"/>
              </w:rPr>
              <w:t xml:space="preserve"> (Pologne)</w:t>
            </w:r>
          </w:p>
          <w:p w14:paraId="6858515C" w14:textId="77777777" w:rsidR="00F96912" w:rsidRPr="00D97E5E" w:rsidRDefault="00F96912" w:rsidP="006658D5">
            <w:pPr>
              <w:rPr>
                <w:sz w:val="16"/>
                <w:szCs w:val="16"/>
              </w:rPr>
            </w:pPr>
            <w:r w:rsidRPr="00D97E5E">
              <w:rPr>
                <w:sz w:val="16"/>
                <w:szCs w:val="16"/>
              </w:rPr>
              <w:t>– Ministère des sciences du Monténégro (Monténégro)</w:t>
            </w:r>
          </w:p>
          <w:p w14:paraId="1F362624" w14:textId="77777777" w:rsidR="00F96912" w:rsidRPr="00D97E5E" w:rsidRDefault="00F96912" w:rsidP="006658D5">
            <w:pPr>
              <w:rPr>
                <w:sz w:val="16"/>
                <w:szCs w:val="16"/>
              </w:rPr>
            </w:pPr>
          </w:p>
          <w:p w14:paraId="7B62063F" w14:textId="77777777" w:rsidR="00F96912" w:rsidRPr="00D97E5E" w:rsidRDefault="00F96912" w:rsidP="006658D5">
            <w:pPr>
              <w:rPr>
                <w:sz w:val="16"/>
                <w:szCs w:val="16"/>
              </w:rPr>
            </w:pPr>
            <w:r w:rsidRPr="00D97E5E">
              <w:rPr>
                <w:sz w:val="16"/>
                <w:szCs w:val="16"/>
              </w:rPr>
              <w:t>(444 universités ou instituts de recherche cumulés)</w:t>
            </w:r>
          </w:p>
        </w:tc>
        <w:tc>
          <w:tcPr>
            <w:tcW w:w="554" w:type="pct"/>
            <w:shd w:val="clear" w:color="auto" w:fill="auto"/>
            <w:tcMar>
              <w:top w:w="110" w:type="dxa"/>
              <w:left w:w="58" w:type="dxa"/>
              <w:right w:w="58" w:type="dxa"/>
            </w:tcMar>
          </w:tcPr>
          <w:p w14:paraId="7A96908D" w14:textId="77777777" w:rsidR="00F96912" w:rsidRPr="00CD000E" w:rsidRDefault="00F96912" w:rsidP="006658D5">
            <w:pPr>
              <w:keepNext/>
              <w:keepLines/>
              <w:jc w:val="center"/>
              <w:rPr>
                <w:color w:val="000000"/>
                <w:sz w:val="16"/>
                <w:szCs w:val="16"/>
              </w:rPr>
            </w:pPr>
            <w:r w:rsidRPr="00D97E5E">
              <w:rPr>
                <w:b/>
                <w:color w:val="00B050"/>
                <w:sz w:val="16"/>
                <w:szCs w:val="16"/>
              </w:rPr>
              <w:t>En bonne voie</w:t>
            </w:r>
          </w:p>
        </w:tc>
      </w:tr>
    </w:tbl>
    <w:p w14:paraId="5D5B1217" w14:textId="77777777" w:rsidR="00F96912" w:rsidRPr="00CD000E" w:rsidRDefault="00F96912" w:rsidP="00F96912">
      <w:pPr>
        <w:rPr>
          <w:color w:val="000000"/>
          <w:sz w:val="20"/>
        </w:rPr>
      </w:pPr>
    </w:p>
    <w:p w14:paraId="09D1D18D" w14:textId="77777777" w:rsidR="00F96912" w:rsidRPr="00CD000E" w:rsidRDefault="00F96912" w:rsidP="00F96912">
      <w:pPr>
        <w:rPr>
          <w:color w:val="000000"/>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0AF8FEEA" w14:textId="77777777" w:rsidTr="006658D5">
        <w:trPr>
          <w:trHeight w:val="425"/>
          <w:jc w:val="center"/>
        </w:trPr>
        <w:tc>
          <w:tcPr>
            <w:tcW w:w="9289" w:type="dxa"/>
            <w:shd w:val="clear" w:color="auto" w:fill="C6D9F1" w:themeFill="text2" w:themeFillTint="33"/>
            <w:vAlign w:val="center"/>
          </w:tcPr>
          <w:p w14:paraId="5160D5DA" w14:textId="77777777" w:rsidR="00F96912" w:rsidRPr="00CD000E" w:rsidRDefault="00F96912" w:rsidP="006658D5">
            <w:pPr>
              <w:keepNext/>
              <w:keepLines/>
              <w:jc w:val="center"/>
              <w:rPr>
                <w:b/>
                <w:color w:val="000000"/>
                <w:sz w:val="20"/>
              </w:rPr>
            </w:pPr>
            <w:r w:rsidRPr="00CD000E">
              <w:rPr>
                <w:b/>
                <w:color w:val="000000"/>
                <w:sz w:val="20"/>
              </w:rPr>
              <w:lastRenderedPageBreak/>
              <w:t>Utilisation des ressources au titre du programme 30</w:t>
            </w:r>
          </w:p>
        </w:tc>
      </w:tr>
    </w:tbl>
    <w:p w14:paraId="0D580E02" w14:textId="77777777" w:rsidR="00F96912" w:rsidRPr="00CD000E" w:rsidRDefault="00F96912" w:rsidP="00F96912">
      <w:pPr>
        <w:keepNext/>
        <w:keepLines/>
        <w:rPr>
          <w:sz w:val="20"/>
        </w:rPr>
      </w:pPr>
    </w:p>
    <w:p w14:paraId="061E22A5" w14:textId="77777777" w:rsidR="00F96912" w:rsidRPr="00CD000E" w:rsidRDefault="00F96912" w:rsidP="00F96912">
      <w:pPr>
        <w:keepNext/>
        <w:keepLines/>
        <w:jc w:val="center"/>
        <w:rPr>
          <w:sz w:val="18"/>
          <w:szCs w:val="18"/>
        </w:rPr>
      </w:pPr>
      <w:r w:rsidRPr="00CD000E">
        <w:rPr>
          <w:color w:val="000000"/>
          <w:sz w:val="18"/>
          <w:szCs w:val="18"/>
        </w:rPr>
        <w:t>Budget et dépenses effectives (par résultat)</w:t>
      </w:r>
    </w:p>
    <w:p w14:paraId="4D23C518" w14:textId="77777777" w:rsidR="00F96912" w:rsidRPr="00CD000E" w:rsidRDefault="00F96912" w:rsidP="00F96912">
      <w:pPr>
        <w:keepNext/>
        <w:keepLines/>
        <w:jc w:val="center"/>
        <w:rPr>
          <w:i/>
          <w:iCs/>
          <w:color w:val="000000"/>
          <w:sz w:val="16"/>
          <w:szCs w:val="16"/>
        </w:rPr>
      </w:pPr>
      <w:r w:rsidRPr="00CD000E">
        <w:rPr>
          <w:i/>
          <w:iCs/>
          <w:color w:val="000000"/>
          <w:sz w:val="16"/>
          <w:szCs w:val="16"/>
        </w:rPr>
        <w:t>(en milliers de francs suisses)</w:t>
      </w:r>
    </w:p>
    <w:p w14:paraId="704D098D"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515"/>
        <w:gridCol w:w="4232"/>
        <w:gridCol w:w="1560"/>
        <w:gridCol w:w="1560"/>
        <w:gridCol w:w="1420"/>
      </w:tblGrid>
      <w:tr w:rsidR="00F96912" w:rsidRPr="00CD000E" w14:paraId="3D6C2CE8" w14:textId="77777777" w:rsidTr="006658D5">
        <w:trPr>
          <w:jc w:val="center"/>
        </w:trPr>
        <w:tc>
          <w:tcPr>
            <w:tcW w:w="4800" w:type="dxa"/>
            <w:gridSpan w:val="2"/>
            <w:tcBorders>
              <w:top w:val="nil"/>
              <w:left w:val="nil"/>
              <w:bottom w:val="nil"/>
              <w:right w:val="nil"/>
            </w:tcBorders>
            <w:shd w:val="clear" w:color="000000" w:fill="C5D9F1"/>
            <w:noWrap/>
            <w:vAlign w:val="center"/>
            <w:hideMark/>
          </w:tcPr>
          <w:p w14:paraId="56744C46" w14:textId="77777777" w:rsidR="00F96912" w:rsidRPr="00CD000E" w:rsidRDefault="00F96912" w:rsidP="006658D5">
            <w:pPr>
              <w:jc w:val="center"/>
              <w:rPr>
                <w:b/>
                <w:bCs/>
                <w:sz w:val="16"/>
                <w:szCs w:val="16"/>
              </w:rPr>
            </w:pPr>
            <w:r w:rsidRPr="00CD000E">
              <w:rPr>
                <w:b/>
                <w:bCs/>
                <w:sz w:val="16"/>
                <w:szCs w:val="16"/>
              </w:rPr>
              <w:t>Numéro et description du résultat escompté</w:t>
            </w:r>
          </w:p>
        </w:tc>
        <w:tc>
          <w:tcPr>
            <w:tcW w:w="1180" w:type="dxa"/>
            <w:tcBorders>
              <w:top w:val="nil"/>
              <w:left w:val="nil"/>
              <w:bottom w:val="nil"/>
              <w:right w:val="nil"/>
            </w:tcBorders>
            <w:shd w:val="clear" w:color="000000" w:fill="C5D9F1"/>
            <w:vAlign w:val="center"/>
            <w:hideMark/>
          </w:tcPr>
          <w:p w14:paraId="469F0267" w14:textId="43C61145"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80" w:type="dxa"/>
            <w:tcBorders>
              <w:top w:val="nil"/>
              <w:left w:val="nil"/>
              <w:bottom w:val="nil"/>
              <w:right w:val="nil"/>
            </w:tcBorders>
            <w:shd w:val="clear" w:color="000000" w:fill="C5D9F1"/>
            <w:vAlign w:val="center"/>
            <w:hideMark/>
          </w:tcPr>
          <w:p w14:paraId="5D2C159D" w14:textId="293BB79F"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80" w:type="dxa"/>
            <w:tcBorders>
              <w:top w:val="nil"/>
              <w:left w:val="nil"/>
              <w:bottom w:val="nil"/>
              <w:right w:val="nil"/>
            </w:tcBorders>
            <w:shd w:val="clear" w:color="000000" w:fill="C5D9F1"/>
            <w:vAlign w:val="center"/>
            <w:hideMark/>
          </w:tcPr>
          <w:p w14:paraId="7F460CF6" w14:textId="09B10901" w:rsidR="00F96912" w:rsidRPr="00CD000E" w:rsidRDefault="00F96912" w:rsidP="006658D5">
            <w:pPr>
              <w:jc w:val="center"/>
              <w:rPr>
                <w:b/>
                <w:bCs/>
                <w:sz w:val="16"/>
                <w:szCs w:val="16"/>
              </w:rPr>
            </w:pPr>
            <w:r>
              <w:rPr>
                <w:b/>
                <w:bCs/>
                <w:sz w:val="16"/>
                <w:szCs w:val="16"/>
              </w:rPr>
              <w:t>Dépenses </w:t>
            </w:r>
            <w:r w:rsidRPr="00CD000E">
              <w:rPr>
                <w:b/>
                <w:bCs/>
                <w:sz w:val="16"/>
                <w:szCs w:val="16"/>
              </w:rPr>
              <w:t>2016*</w:t>
            </w:r>
          </w:p>
        </w:tc>
      </w:tr>
      <w:tr w:rsidR="00F96912" w:rsidRPr="00CD000E" w14:paraId="0898D74B" w14:textId="77777777" w:rsidTr="006658D5">
        <w:trPr>
          <w:jc w:val="center"/>
        </w:trPr>
        <w:tc>
          <w:tcPr>
            <w:tcW w:w="518" w:type="dxa"/>
            <w:tcBorders>
              <w:top w:val="nil"/>
              <w:left w:val="nil"/>
              <w:bottom w:val="nil"/>
              <w:right w:val="nil"/>
            </w:tcBorders>
            <w:shd w:val="clear" w:color="auto" w:fill="auto"/>
            <w:noWrap/>
            <w:vAlign w:val="center"/>
            <w:hideMark/>
          </w:tcPr>
          <w:p w14:paraId="7A039D90" w14:textId="77777777" w:rsidR="00F96912" w:rsidRPr="00CD000E" w:rsidRDefault="00F96912" w:rsidP="006658D5">
            <w:pPr>
              <w:rPr>
                <w:sz w:val="16"/>
                <w:szCs w:val="16"/>
              </w:rPr>
            </w:pPr>
            <w:r w:rsidRPr="00CD000E">
              <w:rPr>
                <w:sz w:val="16"/>
                <w:szCs w:val="16"/>
              </w:rPr>
              <w:t>III.1</w:t>
            </w:r>
          </w:p>
        </w:tc>
        <w:tc>
          <w:tcPr>
            <w:tcW w:w="4282" w:type="dxa"/>
            <w:tcBorders>
              <w:top w:val="nil"/>
              <w:left w:val="nil"/>
              <w:bottom w:val="nil"/>
              <w:right w:val="nil"/>
            </w:tcBorders>
            <w:shd w:val="clear" w:color="auto" w:fill="auto"/>
            <w:vAlign w:val="center"/>
            <w:hideMark/>
          </w:tcPr>
          <w:p w14:paraId="77C0A2FB" w14:textId="77777777" w:rsidR="00F96912" w:rsidRPr="00CD000E" w:rsidRDefault="00F96912" w:rsidP="006658D5">
            <w:pPr>
              <w:rPr>
                <w:sz w:val="16"/>
                <w:szCs w:val="16"/>
              </w:rPr>
            </w:pPr>
            <w:r w:rsidRPr="00CD000E">
              <w:rPr>
                <w:sz w:val="16"/>
                <w:szCs w:val="16"/>
              </w:rPr>
              <w:t>Stratégies et plans nationaux en matière d’innovation et de propriété intellectuelle conformes aux objectifs de développement national</w:t>
            </w:r>
          </w:p>
        </w:tc>
        <w:tc>
          <w:tcPr>
            <w:tcW w:w="1180" w:type="dxa"/>
            <w:tcBorders>
              <w:top w:val="nil"/>
              <w:left w:val="nil"/>
              <w:bottom w:val="nil"/>
              <w:right w:val="nil"/>
            </w:tcBorders>
            <w:shd w:val="clear" w:color="auto" w:fill="auto"/>
            <w:noWrap/>
            <w:vAlign w:val="center"/>
            <w:hideMark/>
          </w:tcPr>
          <w:p w14:paraId="3439792F" w14:textId="77777777" w:rsidR="00F96912" w:rsidRPr="00CD000E" w:rsidRDefault="00F96912" w:rsidP="006658D5">
            <w:pPr>
              <w:jc w:val="center"/>
              <w:rPr>
                <w:color w:val="000000"/>
                <w:sz w:val="16"/>
                <w:szCs w:val="16"/>
              </w:rPr>
            </w:pPr>
            <w:r w:rsidRPr="00CD000E">
              <w:rPr>
                <w:color w:val="000000"/>
                <w:sz w:val="16"/>
                <w:szCs w:val="16"/>
              </w:rPr>
              <w:t>1 020</w:t>
            </w:r>
          </w:p>
        </w:tc>
        <w:tc>
          <w:tcPr>
            <w:tcW w:w="1180" w:type="dxa"/>
            <w:tcBorders>
              <w:top w:val="nil"/>
              <w:left w:val="nil"/>
              <w:bottom w:val="nil"/>
              <w:right w:val="nil"/>
            </w:tcBorders>
            <w:shd w:val="clear" w:color="auto" w:fill="auto"/>
            <w:noWrap/>
            <w:vAlign w:val="center"/>
            <w:hideMark/>
          </w:tcPr>
          <w:p w14:paraId="1BEADF9C" w14:textId="77777777" w:rsidR="00F96912" w:rsidRPr="00CD000E" w:rsidRDefault="00F96912" w:rsidP="006658D5">
            <w:pPr>
              <w:jc w:val="center"/>
              <w:rPr>
                <w:color w:val="000000"/>
                <w:sz w:val="16"/>
                <w:szCs w:val="16"/>
              </w:rPr>
            </w:pPr>
            <w:r w:rsidRPr="00CD000E">
              <w:rPr>
                <w:color w:val="000000"/>
                <w:sz w:val="16"/>
                <w:szCs w:val="16"/>
              </w:rPr>
              <w:t>895</w:t>
            </w:r>
          </w:p>
        </w:tc>
        <w:tc>
          <w:tcPr>
            <w:tcW w:w="1180" w:type="dxa"/>
            <w:tcBorders>
              <w:top w:val="nil"/>
              <w:left w:val="nil"/>
              <w:bottom w:val="nil"/>
              <w:right w:val="nil"/>
            </w:tcBorders>
            <w:shd w:val="clear" w:color="auto" w:fill="auto"/>
            <w:noWrap/>
            <w:vAlign w:val="center"/>
            <w:hideMark/>
          </w:tcPr>
          <w:p w14:paraId="1C912DDA" w14:textId="77777777" w:rsidR="00F96912" w:rsidRPr="00CD000E" w:rsidRDefault="00F96912" w:rsidP="006658D5">
            <w:pPr>
              <w:jc w:val="center"/>
              <w:rPr>
                <w:color w:val="000000"/>
                <w:sz w:val="16"/>
                <w:szCs w:val="16"/>
              </w:rPr>
            </w:pPr>
            <w:r w:rsidRPr="00CD000E">
              <w:rPr>
                <w:color w:val="000000"/>
                <w:sz w:val="16"/>
                <w:szCs w:val="16"/>
              </w:rPr>
              <w:t>402</w:t>
            </w:r>
          </w:p>
        </w:tc>
      </w:tr>
      <w:tr w:rsidR="00F96912" w:rsidRPr="00CD000E" w14:paraId="7BFBF198" w14:textId="77777777" w:rsidTr="006658D5">
        <w:trPr>
          <w:jc w:val="center"/>
        </w:trPr>
        <w:tc>
          <w:tcPr>
            <w:tcW w:w="518" w:type="dxa"/>
            <w:tcBorders>
              <w:top w:val="nil"/>
              <w:left w:val="nil"/>
              <w:bottom w:val="nil"/>
              <w:right w:val="nil"/>
            </w:tcBorders>
            <w:shd w:val="clear" w:color="auto" w:fill="auto"/>
            <w:noWrap/>
            <w:vAlign w:val="center"/>
            <w:hideMark/>
          </w:tcPr>
          <w:p w14:paraId="6A881C94" w14:textId="77777777" w:rsidR="00F96912" w:rsidRPr="00CD000E" w:rsidRDefault="00F96912" w:rsidP="006658D5">
            <w:pPr>
              <w:rPr>
                <w:sz w:val="16"/>
                <w:szCs w:val="16"/>
              </w:rPr>
            </w:pPr>
            <w:r w:rsidRPr="00CD000E">
              <w:rPr>
                <w:sz w:val="16"/>
                <w:szCs w:val="16"/>
              </w:rPr>
              <w:t>III.2</w:t>
            </w:r>
          </w:p>
        </w:tc>
        <w:tc>
          <w:tcPr>
            <w:tcW w:w="4282" w:type="dxa"/>
            <w:tcBorders>
              <w:top w:val="nil"/>
              <w:left w:val="nil"/>
              <w:bottom w:val="nil"/>
              <w:right w:val="nil"/>
            </w:tcBorders>
            <w:shd w:val="clear" w:color="auto" w:fill="auto"/>
            <w:vAlign w:val="center"/>
            <w:hideMark/>
          </w:tcPr>
          <w:p w14:paraId="02BD4CC9" w14:textId="77777777" w:rsidR="00F96912" w:rsidRPr="00CD000E" w:rsidRDefault="00F96912" w:rsidP="006658D5">
            <w:pPr>
              <w:rPr>
                <w:sz w:val="16"/>
                <w:szCs w:val="16"/>
              </w:rPr>
            </w:pPr>
            <w:r w:rsidRPr="00CD000E">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180" w:type="dxa"/>
            <w:tcBorders>
              <w:top w:val="nil"/>
              <w:left w:val="nil"/>
              <w:bottom w:val="nil"/>
              <w:right w:val="nil"/>
            </w:tcBorders>
            <w:shd w:val="clear" w:color="auto" w:fill="auto"/>
            <w:noWrap/>
            <w:vAlign w:val="center"/>
            <w:hideMark/>
          </w:tcPr>
          <w:p w14:paraId="33376787" w14:textId="77777777" w:rsidR="00F96912" w:rsidRPr="00CD000E" w:rsidRDefault="00F96912" w:rsidP="006658D5">
            <w:pPr>
              <w:jc w:val="center"/>
              <w:rPr>
                <w:color w:val="000000"/>
                <w:sz w:val="16"/>
                <w:szCs w:val="16"/>
              </w:rPr>
            </w:pPr>
            <w:r w:rsidRPr="00CD000E">
              <w:rPr>
                <w:color w:val="000000"/>
                <w:sz w:val="16"/>
                <w:szCs w:val="16"/>
              </w:rPr>
              <w:t>962</w:t>
            </w:r>
          </w:p>
        </w:tc>
        <w:tc>
          <w:tcPr>
            <w:tcW w:w="1180" w:type="dxa"/>
            <w:tcBorders>
              <w:top w:val="nil"/>
              <w:left w:val="nil"/>
              <w:bottom w:val="nil"/>
              <w:right w:val="nil"/>
            </w:tcBorders>
            <w:shd w:val="clear" w:color="auto" w:fill="auto"/>
            <w:noWrap/>
            <w:vAlign w:val="center"/>
            <w:hideMark/>
          </w:tcPr>
          <w:p w14:paraId="6F8B7BD6" w14:textId="77777777" w:rsidR="00F96912" w:rsidRPr="00CD000E" w:rsidRDefault="00F96912" w:rsidP="006658D5">
            <w:pPr>
              <w:jc w:val="center"/>
              <w:rPr>
                <w:color w:val="000000"/>
                <w:sz w:val="16"/>
                <w:szCs w:val="16"/>
              </w:rPr>
            </w:pPr>
            <w:r w:rsidRPr="00CD000E">
              <w:rPr>
                <w:color w:val="000000"/>
                <w:sz w:val="16"/>
                <w:szCs w:val="16"/>
              </w:rPr>
              <w:t>746</w:t>
            </w:r>
          </w:p>
        </w:tc>
        <w:tc>
          <w:tcPr>
            <w:tcW w:w="1180" w:type="dxa"/>
            <w:tcBorders>
              <w:top w:val="nil"/>
              <w:left w:val="nil"/>
              <w:bottom w:val="nil"/>
              <w:right w:val="nil"/>
            </w:tcBorders>
            <w:shd w:val="clear" w:color="auto" w:fill="auto"/>
            <w:noWrap/>
            <w:vAlign w:val="center"/>
            <w:hideMark/>
          </w:tcPr>
          <w:p w14:paraId="551AB0C2" w14:textId="77777777" w:rsidR="00F96912" w:rsidRPr="00CD000E" w:rsidRDefault="00F96912" w:rsidP="006658D5">
            <w:pPr>
              <w:jc w:val="center"/>
              <w:rPr>
                <w:color w:val="000000"/>
                <w:sz w:val="16"/>
                <w:szCs w:val="16"/>
              </w:rPr>
            </w:pPr>
            <w:r w:rsidRPr="00CD000E">
              <w:rPr>
                <w:color w:val="000000"/>
                <w:sz w:val="16"/>
                <w:szCs w:val="16"/>
              </w:rPr>
              <w:t>458</w:t>
            </w:r>
          </w:p>
        </w:tc>
      </w:tr>
      <w:tr w:rsidR="00F96912" w:rsidRPr="00CD000E" w14:paraId="77878805" w14:textId="77777777" w:rsidTr="006658D5">
        <w:trPr>
          <w:jc w:val="center"/>
        </w:trPr>
        <w:tc>
          <w:tcPr>
            <w:tcW w:w="518" w:type="dxa"/>
            <w:tcBorders>
              <w:top w:val="nil"/>
              <w:left w:val="nil"/>
              <w:bottom w:val="nil"/>
              <w:right w:val="nil"/>
            </w:tcBorders>
            <w:shd w:val="clear" w:color="auto" w:fill="auto"/>
            <w:noWrap/>
            <w:vAlign w:val="center"/>
            <w:hideMark/>
          </w:tcPr>
          <w:p w14:paraId="0B703C5F" w14:textId="77777777" w:rsidR="00F96912" w:rsidRPr="00CD000E" w:rsidRDefault="00F96912" w:rsidP="006658D5">
            <w:pPr>
              <w:rPr>
                <w:sz w:val="16"/>
                <w:szCs w:val="16"/>
              </w:rPr>
            </w:pPr>
            <w:r w:rsidRPr="00CD000E">
              <w:rPr>
                <w:sz w:val="16"/>
                <w:szCs w:val="16"/>
              </w:rPr>
              <w:t>III.6</w:t>
            </w:r>
          </w:p>
        </w:tc>
        <w:tc>
          <w:tcPr>
            <w:tcW w:w="4282" w:type="dxa"/>
            <w:tcBorders>
              <w:top w:val="nil"/>
              <w:left w:val="nil"/>
              <w:bottom w:val="nil"/>
              <w:right w:val="nil"/>
            </w:tcBorders>
            <w:shd w:val="clear" w:color="auto" w:fill="auto"/>
            <w:vAlign w:val="center"/>
            <w:hideMark/>
          </w:tcPr>
          <w:p w14:paraId="6BC8CE6B" w14:textId="77777777" w:rsidR="00F96912" w:rsidRPr="00CD000E" w:rsidRDefault="00F96912" w:rsidP="006658D5">
            <w:pPr>
              <w:rPr>
                <w:sz w:val="16"/>
                <w:szCs w:val="16"/>
              </w:rPr>
            </w:pPr>
            <w:r w:rsidRPr="00CD000E">
              <w:rPr>
                <w:sz w:val="16"/>
                <w:szCs w:val="16"/>
              </w:rPr>
              <w:t>Renforcement des capacités des PME de mettre la propriété intellectuelle au service de l’innovation</w:t>
            </w:r>
          </w:p>
        </w:tc>
        <w:tc>
          <w:tcPr>
            <w:tcW w:w="1180" w:type="dxa"/>
            <w:tcBorders>
              <w:top w:val="nil"/>
              <w:left w:val="nil"/>
              <w:bottom w:val="nil"/>
              <w:right w:val="nil"/>
            </w:tcBorders>
            <w:shd w:val="clear" w:color="auto" w:fill="auto"/>
            <w:noWrap/>
            <w:vAlign w:val="center"/>
            <w:hideMark/>
          </w:tcPr>
          <w:p w14:paraId="11A3CAC5" w14:textId="77777777" w:rsidR="00F96912" w:rsidRPr="00CD000E" w:rsidRDefault="00F96912" w:rsidP="006658D5">
            <w:pPr>
              <w:jc w:val="center"/>
              <w:rPr>
                <w:color w:val="000000"/>
                <w:sz w:val="16"/>
                <w:szCs w:val="16"/>
              </w:rPr>
            </w:pPr>
            <w:r w:rsidRPr="00CD000E">
              <w:rPr>
                <w:color w:val="000000"/>
                <w:sz w:val="16"/>
                <w:szCs w:val="16"/>
              </w:rPr>
              <w:t>3 125</w:t>
            </w:r>
          </w:p>
        </w:tc>
        <w:tc>
          <w:tcPr>
            <w:tcW w:w="1180" w:type="dxa"/>
            <w:tcBorders>
              <w:top w:val="nil"/>
              <w:left w:val="nil"/>
              <w:bottom w:val="nil"/>
              <w:right w:val="nil"/>
            </w:tcBorders>
            <w:shd w:val="clear" w:color="auto" w:fill="auto"/>
            <w:noWrap/>
            <w:vAlign w:val="center"/>
            <w:hideMark/>
          </w:tcPr>
          <w:p w14:paraId="53A6B09F" w14:textId="77777777" w:rsidR="00F96912" w:rsidRPr="00CD000E" w:rsidRDefault="00F96912" w:rsidP="006658D5">
            <w:pPr>
              <w:jc w:val="center"/>
              <w:rPr>
                <w:color w:val="000000"/>
                <w:sz w:val="16"/>
                <w:szCs w:val="16"/>
              </w:rPr>
            </w:pPr>
            <w:r w:rsidRPr="00CD000E">
              <w:rPr>
                <w:color w:val="000000"/>
                <w:sz w:val="16"/>
                <w:szCs w:val="16"/>
              </w:rPr>
              <w:t>3 100</w:t>
            </w:r>
          </w:p>
        </w:tc>
        <w:tc>
          <w:tcPr>
            <w:tcW w:w="1180" w:type="dxa"/>
            <w:tcBorders>
              <w:top w:val="nil"/>
              <w:left w:val="nil"/>
              <w:bottom w:val="nil"/>
              <w:right w:val="nil"/>
            </w:tcBorders>
            <w:shd w:val="clear" w:color="auto" w:fill="auto"/>
            <w:noWrap/>
            <w:vAlign w:val="center"/>
            <w:hideMark/>
          </w:tcPr>
          <w:p w14:paraId="3CD2A16C" w14:textId="77777777" w:rsidR="00F96912" w:rsidRPr="00CD000E" w:rsidRDefault="00F96912" w:rsidP="006658D5">
            <w:pPr>
              <w:jc w:val="center"/>
              <w:rPr>
                <w:color w:val="000000"/>
                <w:sz w:val="16"/>
                <w:szCs w:val="16"/>
              </w:rPr>
            </w:pPr>
            <w:r w:rsidRPr="00CD000E">
              <w:rPr>
                <w:color w:val="000000"/>
                <w:sz w:val="16"/>
                <w:szCs w:val="16"/>
              </w:rPr>
              <w:t>1 369</w:t>
            </w:r>
          </w:p>
        </w:tc>
      </w:tr>
      <w:tr w:rsidR="00F96912" w:rsidRPr="00CD000E" w14:paraId="40F9141E" w14:textId="77777777" w:rsidTr="006658D5">
        <w:trPr>
          <w:jc w:val="center"/>
        </w:trPr>
        <w:tc>
          <w:tcPr>
            <w:tcW w:w="518" w:type="dxa"/>
            <w:tcBorders>
              <w:top w:val="nil"/>
              <w:left w:val="nil"/>
              <w:bottom w:val="nil"/>
              <w:right w:val="nil"/>
            </w:tcBorders>
            <w:shd w:val="clear" w:color="auto" w:fill="auto"/>
            <w:noWrap/>
            <w:vAlign w:val="center"/>
            <w:hideMark/>
          </w:tcPr>
          <w:p w14:paraId="257A1537" w14:textId="77777777" w:rsidR="00F96912" w:rsidRPr="00CD000E" w:rsidRDefault="00F96912" w:rsidP="006658D5">
            <w:pPr>
              <w:rPr>
                <w:sz w:val="16"/>
                <w:szCs w:val="16"/>
              </w:rPr>
            </w:pPr>
            <w:r w:rsidRPr="00CD000E">
              <w:rPr>
                <w:sz w:val="16"/>
                <w:szCs w:val="16"/>
              </w:rPr>
              <w:t>IV.2</w:t>
            </w:r>
          </w:p>
        </w:tc>
        <w:tc>
          <w:tcPr>
            <w:tcW w:w="4282" w:type="dxa"/>
            <w:tcBorders>
              <w:top w:val="nil"/>
              <w:left w:val="nil"/>
              <w:bottom w:val="nil"/>
              <w:right w:val="nil"/>
            </w:tcBorders>
            <w:shd w:val="clear" w:color="auto" w:fill="auto"/>
            <w:vAlign w:val="center"/>
            <w:hideMark/>
          </w:tcPr>
          <w:p w14:paraId="578C99F3" w14:textId="77777777" w:rsidR="00F96912" w:rsidRPr="00CD000E" w:rsidRDefault="00F96912" w:rsidP="006658D5">
            <w:pPr>
              <w:rPr>
                <w:sz w:val="16"/>
                <w:szCs w:val="16"/>
              </w:rPr>
            </w:pPr>
            <w:r w:rsidRPr="00CD000E">
              <w:rPr>
                <w:sz w:val="16"/>
                <w:szCs w:val="16"/>
              </w:rPr>
              <w:t>Amélioration de l’accessibilité et de l’utilisation de l’information en matière de propriété intellectuelle par les institutions compétentes et le public afin de promouvoir l’innovation et la créativité</w:t>
            </w:r>
          </w:p>
        </w:tc>
        <w:tc>
          <w:tcPr>
            <w:tcW w:w="1180" w:type="dxa"/>
            <w:tcBorders>
              <w:top w:val="nil"/>
              <w:left w:val="nil"/>
              <w:bottom w:val="nil"/>
              <w:right w:val="nil"/>
            </w:tcBorders>
            <w:shd w:val="clear" w:color="auto" w:fill="auto"/>
            <w:noWrap/>
            <w:vAlign w:val="center"/>
            <w:hideMark/>
          </w:tcPr>
          <w:p w14:paraId="47FAD73E" w14:textId="77777777" w:rsidR="00F96912" w:rsidRPr="00CD000E" w:rsidRDefault="00F96912" w:rsidP="006658D5">
            <w:pPr>
              <w:jc w:val="center"/>
              <w:rPr>
                <w:color w:val="000000"/>
                <w:sz w:val="16"/>
                <w:szCs w:val="16"/>
              </w:rPr>
            </w:pPr>
            <w:r w:rsidRPr="00CD000E">
              <w:rPr>
                <w:color w:val="000000"/>
                <w:sz w:val="16"/>
                <w:szCs w:val="16"/>
              </w:rPr>
              <w:t>976</w:t>
            </w:r>
          </w:p>
        </w:tc>
        <w:tc>
          <w:tcPr>
            <w:tcW w:w="1180" w:type="dxa"/>
            <w:tcBorders>
              <w:top w:val="nil"/>
              <w:left w:val="nil"/>
              <w:bottom w:val="nil"/>
              <w:right w:val="nil"/>
            </w:tcBorders>
            <w:shd w:val="clear" w:color="auto" w:fill="auto"/>
            <w:noWrap/>
            <w:vAlign w:val="center"/>
            <w:hideMark/>
          </w:tcPr>
          <w:p w14:paraId="7D2048CD" w14:textId="77777777" w:rsidR="00F96912" w:rsidRPr="00CD000E" w:rsidRDefault="00F96912" w:rsidP="006658D5">
            <w:pPr>
              <w:jc w:val="center"/>
              <w:rPr>
                <w:color w:val="000000"/>
                <w:sz w:val="16"/>
                <w:szCs w:val="16"/>
              </w:rPr>
            </w:pPr>
            <w:r w:rsidRPr="00CD000E">
              <w:rPr>
                <w:color w:val="000000"/>
                <w:sz w:val="16"/>
                <w:szCs w:val="16"/>
              </w:rPr>
              <w:t>1 521</w:t>
            </w:r>
          </w:p>
        </w:tc>
        <w:tc>
          <w:tcPr>
            <w:tcW w:w="1180" w:type="dxa"/>
            <w:tcBorders>
              <w:top w:val="nil"/>
              <w:left w:val="nil"/>
              <w:bottom w:val="nil"/>
              <w:right w:val="nil"/>
            </w:tcBorders>
            <w:shd w:val="clear" w:color="auto" w:fill="auto"/>
            <w:noWrap/>
            <w:vAlign w:val="center"/>
            <w:hideMark/>
          </w:tcPr>
          <w:p w14:paraId="5A95D429" w14:textId="77777777" w:rsidR="00F96912" w:rsidRPr="00CD000E" w:rsidRDefault="00F96912" w:rsidP="006658D5">
            <w:pPr>
              <w:jc w:val="center"/>
              <w:rPr>
                <w:color w:val="000000"/>
                <w:sz w:val="16"/>
                <w:szCs w:val="16"/>
              </w:rPr>
            </w:pPr>
            <w:r w:rsidRPr="00CD000E">
              <w:rPr>
                <w:color w:val="000000"/>
                <w:sz w:val="16"/>
                <w:szCs w:val="16"/>
              </w:rPr>
              <w:t>629</w:t>
            </w:r>
          </w:p>
        </w:tc>
      </w:tr>
      <w:tr w:rsidR="00F96912" w:rsidRPr="00CD000E" w14:paraId="1CD73071" w14:textId="77777777" w:rsidTr="006658D5">
        <w:trPr>
          <w:jc w:val="center"/>
        </w:trPr>
        <w:tc>
          <w:tcPr>
            <w:tcW w:w="518" w:type="dxa"/>
            <w:tcBorders>
              <w:top w:val="nil"/>
              <w:left w:val="nil"/>
              <w:bottom w:val="nil"/>
              <w:right w:val="nil"/>
            </w:tcBorders>
            <w:shd w:val="clear" w:color="000000" w:fill="C5D9F1"/>
            <w:noWrap/>
            <w:vAlign w:val="bottom"/>
            <w:hideMark/>
          </w:tcPr>
          <w:p w14:paraId="2E8599F7" w14:textId="77777777" w:rsidR="00F96912" w:rsidRPr="00CD000E" w:rsidRDefault="00F96912" w:rsidP="006658D5">
            <w:pPr>
              <w:rPr>
                <w:sz w:val="16"/>
                <w:szCs w:val="16"/>
              </w:rPr>
            </w:pPr>
            <w:r w:rsidRPr="00CD000E">
              <w:rPr>
                <w:sz w:val="16"/>
                <w:szCs w:val="16"/>
              </w:rPr>
              <w:t> </w:t>
            </w:r>
          </w:p>
        </w:tc>
        <w:tc>
          <w:tcPr>
            <w:tcW w:w="4282" w:type="dxa"/>
            <w:tcBorders>
              <w:top w:val="nil"/>
              <w:left w:val="nil"/>
              <w:bottom w:val="nil"/>
              <w:right w:val="nil"/>
            </w:tcBorders>
            <w:shd w:val="clear" w:color="000000" w:fill="C5D9F1"/>
            <w:noWrap/>
            <w:vAlign w:val="bottom"/>
            <w:hideMark/>
          </w:tcPr>
          <w:p w14:paraId="5670751E" w14:textId="77777777" w:rsidR="00F96912" w:rsidRPr="00CD000E" w:rsidRDefault="00F96912" w:rsidP="006658D5">
            <w:pPr>
              <w:jc w:val="right"/>
              <w:rPr>
                <w:b/>
                <w:bCs/>
                <w:sz w:val="16"/>
                <w:szCs w:val="16"/>
              </w:rPr>
            </w:pPr>
            <w:r w:rsidRPr="00CD000E">
              <w:rPr>
                <w:b/>
                <w:bCs/>
                <w:sz w:val="16"/>
                <w:szCs w:val="16"/>
              </w:rPr>
              <w:t>Total</w:t>
            </w:r>
          </w:p>
        </w:tc>
        <w:tc>
          <w:tcPr>
            <w:tcW w:w="1180" w:type="dxa"/>
            <w:tcBorders>
              <w:top w:val="nil"/>
              <w:left w:val="nil"/>
              <w:bottom w:val="nil"/>
              <w:right w:val="nil"/>
            </w:tcBorders>
            <w:shd w:val="clear" w:color="000000" w:fill="C5D9F1"/>
            <w:noWrap/>
            <w:vAlign w:val="center"/>
            <w:hideMark/>
          </w:tcPr>
          <w:p w14:paraId="3349D851" w14:textId="77777777" w:rsidR="00F96912" w:rsidRPr="00CD000E" w:rsidRDefault="00F96912" w:rsidP="006658D5">
            <w:pPr>
              <w:jc w:val="center"/>
              <w:rPr>
                <w:color w:val="000000"/>
                <w:sz w:val="16"/>
                <w:szCs w:val="16"/>
              </w:rPr>
            </w:pPr>
            <w:r w:rsidRPr="00CD000E">
              <w:rPr>
                <w:color w:val="000000"/>
                <w:sz w:val="16"/>
                <w:szCs w:val="16"/>
              </w:rPr>
              <w:t>6 083</w:t>
            </w:r>
          </w:p>
        </w:tc>
        <w:tc>
          <w:tcPr>
            <w:tcW w:w="1180" w:type="dxa"/>
            <w:tcBorders>
              <w:top w:val="nil"/>
              <w:left w:val="nil"/>
              <w:bottom w:val="nil"/>
              <w:right w:val="nil"/>
            </w:tcBorders>
            <w:shd w:val="clear" w:color="000000" w:fill="C5D9F1"/>
            <w:noWrap/>
            <w:vAlign w:val="center"/>
            <w:hideMark/>
          </w:tcPr>
          <w:p w14:paraId="32FC5BCA" w14:textId="77777777" w:rsidR="00F96912" w:rsidRPr="00CD000E" w:rsidRDefault="00F96912" w:rsidP="006658D5">
            <w:pPr>
              <w:jc w:val="center"/>
              <w:rPr>
                <w:color w:val="000000"/>
                <w:sz w:val="16"/>
                <w:szCs w:val="16"/>
              </w:rPr>
            </w:pPr>
            <w:r w:rsidRPr="00CD000E">
              <w:rPr>
                <w:color w:val="000000"/>
                <w:sz w:val="16"/>
                <w:szCs w:val="16"/>
              </w:rPr>
              <w:t>6 262</w:t>
            </w:r>
          </w:p>
        </w:tc>
        <w:tc>
          <w:tcPr>
            <w:tcW w:w="1180" w:type="dxa"/>
            <w:tcBorders>
              <w:top w:val="nil"/>
              <w:left w:val="nil"/>
              <w:bottom w:val="nil"/>
              <w:right w:val="nil"/>
            </w:tcBorders>
            <w:shd w:val="clear" w:color="000000" w:fill="C5D9F1"/>
            <w:noWrap/>
            <w:vAlign w:val="center"/>
            <w:hideMark/>
          </w:tcPr>
          <w:p w14:paraId="165A2F59" w14:textId="77777777" w:rsidR="00F96912" w:rsidRPr="00CD000E" w:rsidRDefault="00F96912" w:rsidP="006658D5">
            <w:pPr>
              <w:jc w:val="center"/>
              <w:rPr>
                <w:color w:val="000000"/>
                <w:sz w:val="16"/>
                <w:szCs w:val="16"/>
              </w:rPr>
            </w:pPr>
            <w:r w:rsidRPr="00CD000E">
              <w:rPr>
                <w:color w:val="000000"/>
                <w:sz w:val="16"/>
                <w:szCs w:val="16"/>
              </w:rPr>
              <w:t>2 857</w:t>
            </w:r>
          </w:p>
        </w:tc>
      </w:tr>
      <w:tr w:rsidR="00F96912" w:rsidRPr="00CD000E" w14:paraId="479998C5" w14:textId="77777777" w:rsidTr="006658D5">
        <w:trPr>
          <w:jc w:val="center"/>
        </w:trPr>
        <w:tc>
          <w:tcPr>
            <w:tcW w:w="7160" w:type="dxa"/>
            <w:gridSpan w:val="4"/>
            <w:tcBorders>
              <w:top w:val="nil"/>
              <w:left w:val="nil"/>
              <w:bottom w:val="nil"/>
              <w:right w:val="nil"/>
            </w:tcBorders>
            <w:shd w:val="clear" w:color="auto" w:fill="auto"/>
            <w:noWrap/>
            <w:vAlign w:val="center"/>
            <w:hideMark/>
          </w:tcPr>
          <w:p w14:paraId="066A20FE" w14:textId="77777777" w:rsidR="00F96912" w:rsidRPr="00CD000E" w:rsidRDefault="00F96912" w:rsidP="006658D5">
            <w:pPr>
              <w:rPr>
                <w:i/>
                <w:iCs/>
                <w:sz w:val="16"/>
                <w:szCs w:val="16"/>
              </w:rPr>
            </w:pPr>
            <w:r w:rsidRPr="00CD000E">
              <w:rPr>
                <w:i/>
                <w:iCs/>
                <w:sz w:val="16"/>
                <w:szCs w:val="16"/>
              </w:rPr>
              <w:t>*Les chiffres des dépenses pour 2016 sont préliminaires, sous réserve d’audit par les vérificateurs externes des comptes</w:t>
            </w:r>
          </w:p>
        </w:tc>
        <w:tc>
          <w:tcPr>
            <w:tcW w:w="1180" w:type="dxa"/>
            <w:tcBorders>
              <w:top w:val="nil"/>
              <w:left w:val="nil"/>
              <w:bottom w:val="nil"/>
              <w:right w:val="nil"/>
            </w:tcBorders>
            <w:shd w:val="clear" w:color="auto" w:fill="auto"/>
            <w:noWrap/>
            <w:vAlign w:val="center"/>
            <w:hideMark/>
          </w:tcPr>
          <w:p w14:paraId="30805DC2" w14:textId="77777777" w:rsidR="00F96912" w:rsidRPr="00CD000E" w:rsidRDefault="00F96912" w:rsidP="006658D5">
            <w:pPr>
              <w:rPr>
                <w:sz w:val="16"/>
                <w:szCs w:val="16"/>
              </w:rPr>
            </w:pPr>
          </w:p>
        </w:tc>
      </w:tr>
    </w:tbl>
    <w:p w14:paraId="6A86875E" w14:textId="77777777" w:rsidR="00F96912" w:rsidRPr="00CD000E" w:rsidRDefault="00F96912" w:rsidP="00F96912">
      <w:pPr>
        <w:rPr>
          <w:sz w:val="20"/>
        </w:rPr>
      </w:pPr>
    </w:p>
    <w:p w14:paraId="46041E21" w14:textId="77777777" w:rsidR="00F96912" w:rsidRPr="00CD000E" w:rsidRDefault="00F96912" w:rsidP="00F96912">
      <w:pPr>
        <w:keepNext/>
        <w:keepLines/>
        <w:jc w:val="center"/>
        <w:rPr>
          <w:color w:val="000000"/>
          <w:sz w:val="18"/>
          <w:szCs w:val="18"/>
        </w:rPr>
      </w:pPr>
      <w:r w:rsidRPr="00CD000E">
        <w:rPr>
          <w:color w:val="000000"/>
          <w:sz w:val="18"/>
          <w:szCs w:val="18"/>
        </w:rPr>
        <w:t>Budget et dépenses effectives (dépenses de personnel et autres dépenses)</w:t>
      </w:r>
    </w:p>
    <w:p w14:paraId="2704B0EE" w14:textId="77777777" w:rsidR="00F96912" w:rsidRPr="00CD000E" w:rsidRDefault="00F96912" w:rsidP="00F96912">
      <w:pPr>
        <w:keepNext/>
        <w:keepLines/>
        <w:jc w:val="center"/>
        <w:rPr>
          <w:i/>
          <w:iCs/>
          <w:color w:val="000000"/>
          <w:sz w:val="16"/>
          <w:szCs w:val="16"/>
        </w:rPr>
      </w:pPr>
      <w:r w:rsidRPr="00CD000E">
        <w:rPr>
          <w:i/>
          <w:iCs/>
          <w:color w:val="000000"/>
          <w:sz w:val="16"/>
          <w:szCs w:val="16"/>
        </w:rPr>
        <w:t>(en milliers de francs suisses)</w:t>
      </w:r>
    </w:p>
    <w:p w14:paraId="7A04653C" w14:textId="77777777" w:rsidR="00F96912" w:rsidRPr="00CD000E" w:rsidRDefault="00F96912" w:rsidP="00F96912">
      <w:pPr>
        <w:keepNext/>
        <w:keepLines/>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CD000E" w14:paraId="6017EC16" w14:textId="77777777" w:rsidTr="006658D5">
        <w:trPr>
          <w:jc w:val="center"/>
        </w:trPr>
        <w:tc>
          <w:tcPr>
            <w:tcW w:w="2470" w:type="dxa"/>
            <w:tcBorders>
              <w:top w:val="nil"/>
              <w:left w:val="nil"/>
              <w:bottom w:val="nil"/>
              <w:right w:val="nil"/>
            </w:tcBorders>
            <w:shd w:val="clear" w:color="000000" w:fill="C5D9F1"/>
            <w:noWrap/>
            <w:vAlign w:val="center"/>
            <w:hideMark/>
          </w:tcPr>
          <w:p w14:paraId="15ACB9A4" w14:textId="77777777" w:rsidR="00F96912" w:rsidRPr="00CD000E" w:rsidRDefault="00F96912" w:rsidP="006658D5">
            <w:pPr>
              <w:keepNext/>
              <w:keepLines/>
              <w:rPr>
                <w:color w:val="000000"/>
                <w:sz w:val="16"/>
                <w:szCs w:val="16"/>
              </w:rPr>
            </w:pPr>
          </w:p>
        </w:tc>
        <w:tc>
          <w:tcPr>
            <w:tcW w:w="1438" w:type="dxa"/>
            <w:tcBorders>
              <w:top w:val="nil"/>
              <w:left w:val="nil"/>
              <w:bottom w:val="nil"/>
              <w:right w:val="nil"/>
            </w:tcBorders>
            <w:shd w:val="clear" w:color="000000" w:fill="C5D9F1"/>
            <w:vAlign w:val="center"/>
            <w:hideMark/>
          </w:tcPr>
          <w:p w14:paraId="1E5A9263" w14:textId="5DDE0DD6" w:rsidR="00F96912" w:rsidRPr="00CD000E" w:rsidRDefault="00F96912" w:rsidP="006658D5">
            <w:pPr>
              <w:keepNext/>
              <w:keepLines/>
              <w:jc w:val="center"/>
              <w:rPr>
                <w:b/>
                <w:bCs/>
                <w:color w:val="000000"/>
                <w:sz w:val="16"/>
                <w:szCs w:val="16"/>
              </w:rPr>
            </w:pPr>
            <w:r w:rsidRPr="00CD000E">
              <w:rPr>
                <w:b/>
                <w:bCs/>
                <w:color w:val="000000"/>
                <w:sz w:val="16"/>
                <w:szCs w:val="16"/>
              </w:rPr>
              <w:t>Budget</w:t>
            </w:r>
            <w:r>
              <w:rPr>
                <w:b/>
                <w:bCs/>
                <w:color w:val="000000"/>
                <w:sz w:val="16"/>
                <w:szCs w:val="16"/>
              </w:rPr>
              <w: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13AE9039" w14:textId="2CC59BC3" w:rsidR="00F96912" w:rsidRPr="00CD000E" w:rsidRDefault="00F96912" w:rsidP="006658D5">
            <w:pPr>
              <w:keepNext/>
              <w:keepLines/>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2ADF8D49" w14:textId="62912FE3" w:rsidR="00F96912" w:rsidRPr="00CD000E" w:rsidRDefault="00F96912" w:rsidP="006658D5">
            <w:pPr>
              <w:keepNext/>
              <w:keepLines/>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5D3BF44C" w14:textId="77777777" w:rsidR="00F96912" w:rsidRPr="00D97E5E" w:rsidRDefault="00F96912" w:rsidP="006658D5">
            <w:pPr>
              <w:keepNext/>
              <w:keepLines/>
              <w:jc w:val="center"/>
              <w:rPr>
                <w:b/>
                <w:bCs/>
                <w:sz w:val="16"/>
                <w:szCs w:val="16"/>
              </w:rPr>
            </w:pPr>
            <w:r w:rsidRPr="00D97E5E">
              <w:rPr>
                <w:b/>
                <w:bCs/>
                <w:sz w:val="16"/>
                <w:szCs w:val="16"/>
              </w:rPr>
              <w:t>Taux d’utilisation (%)</w:t>
            </w:r>
          </w:p>
        </w:tc>
      </w:tr>
      <w:tr w:rsidR="00F96912" w:rsidRPr="00CD000E" w14:paraId="7F971268" w14:textId="77777777" w:rsidTr="006658D5">
        <w:trPr>
          <w:jc w:val="center"/>
        </w:trPr>
        <w:tc>
          <w:tcPr>
            <w:tcW w:w="2470" w:type="dxa"/>
            <w:tcBorders>
              <w:top w:val="nil"/>
              <w:left w:val="nil"/>
              <w:bottom w:val="nil"/>
              <w:right w:val="nil"/>
            </w:tcBorders>
            <w:shd w:val="clear" w:color="auto" w:fill="auto"/>
            <w:noWrap/>
            <w:vAlign w:val="center"/>
            <w:hideMark/>
          </w:tcPr>
          <w:p w14:paraId="10C8F817" w14:textId="77777777" w:rsidR="00F96912" w:rsidRPr="00CD000E" w:rsidRDefault="00F96912" w:rsidP="006658D5">
            <w:pPr>
              <w:keepNext/>
              <w:keepLines/>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08E233A5" w14:textId="77777777" w:rsidR="00F96912" w:rsidRPr="00CD000E" w:rsidRDefault="00F96912" w:rsidP="006658D5">
            <w:pPr>
              <w:keepNext/>
              <w:keepLines/>
              <w:jc w:val="center"/>
              <w:rPr>
                <w:color w:val="000000"/>
                <w:sz w:val="16"/>
                <w:szCs w:val="16"/>
              </w:rPr>
            </w:pPr>
            <w:r w:rsidRPr="00CD000E">
              <w:rPr>
                <w:color w:val="000000"/>
                <w:sz w:val="16"/>
                <w:szCs w:val="16"/>
              </w:rPr>
              <w:t xml:space="preserve">4 522 </w:t>
            </w:r>
          </w:p>
        </w:tc>
        <w:tc>
          <w:tcPr>
            <w:tcW w:w="1438" w:type="dxa"/>
            <w:tcBorders>
              <w:top w:val="nil"/>
              <w:left w:val="nil"/>
              <w:bottom w:val="nil"/>
              <w:right w:val="nil"/>
            </w:tcBorders>
            <w:shd w:val="clear" w:color="auto" w:fill="auto"/>
            <w:vAlign w:val="center"/>
            <w:hideMark/>
          </w:tcPr>
          <w:p w14:paraId="68E3F7A3" w14:textId="77777777" w:rsidR="00F96912" w:rsidRPr="00CD000E" w:rsidRDefault="00F96912" w:rsidP="006658D5">
            <w:pPr>
              <w:keepNext/>
              <w:keepLines/>
              <w:jc w:val="center"/>
              <w:rPr>
                <w:color w:val="000000"/>
                <w:sz w:val="16"/>
                <w:szCs w:val="16"/>
              </w:rPr>
            </w:pPr>
            <w:r w:rsidRPr="00CD000E">
              <w:rPr>
                <w:color w:val="000000"/>
                <w:sz w:val="16"/>
                <w:szCs w:val="16"/>
              </w:rPr>
              <w:t xml:space="preserve">4 908 </w:t>
            </w:r>
          </w:p>
        </w:tc>
        <w:tc>
          <w:tcPr>
            <w:tcW w:w="1438" w:type="dxa"/>
            <w:tcBorders>
              <w:top w:val="nil"/>
              <w:left w:val="nil"/>
              <w:bottom w:val="nil"/>
              <w:right w:val="nil"/>
            </w:tcBorders>
            <w:shd w:val="clear" w:color="auto" w:fill="auto"/>
            <w:vAlign w:val="center"/>
            <w:hideMark/>
          </w:tcPr>
          <w:p w14:paraId="0CA018FC" w14:textId="77777777" w:rsidR="00F96912" w:rsidRPr="00CD000E" w:rsidRDefault="00F96912" w:rsidP="006658D5">
            <w:pPr>
              <w:keepNext/>
              <w:keepLines/>
              <w:jc w:val="center"/>
              <w:rPr>
                <w:color w:val="000000"/>
                <w:sz w:val="16"/>
                <w:szCs w:val="16"/>
              </w:rPr>
            </w:pPr>
            <w:r w:rsidRPr="00CD000E">
              <w:rPr>
                <w:color w:val="000000"/>
                <w:sz w:val="16"/>
                <w:szCs w:val="16"/>
              </w:rPr>
              <w:t xml:space="preserve">2 338 </w:t>
            </w:r>
          </w:p>
        </w:tc>
        <w:tc>
          <w:tcPr>
            <w:tcW w:w="1438" w:type="dxa"/>
            <w:tcBorders>
              <w:top w:val="nil"/>
              <w:left w:val="nil"/>
              <w:bottom w:val="nil"/>
              <w:right w:val="nil"/>
            </w:tcBorders>
            <w:shd w:val="clear" w:color="auto" w:fill="auto"/>
            <w:vAlign w:val="center"/>
            <w:hideMark/>
          </w:tcPr>
          <w:p w14:paraId="74EB3D2E" w14:textId="77777777" w:rsidR="00F96912" w:rsidRPr="00D97E5E" w:rsidRDefault="00F96912" w:rsidP="006658D5">
            <w:pPr>
              <w:keepNext/>
              <w:keepLines/>
              <w:jc w:val="center"/>
              <w:rPr>
                <w:sz w:val="16"/>
                <w:szCs w:val="16"/>
              </w:rPr>
            </w:pPr>
            <w:r w:rsidRPr="00D97E5E">
              <w:rPr>
                <w:sz w:val="16"/>
                <w:szCs w:val="16"/>
              </w:rPr>
              <w:t>48%</w:t>
            </w:r>
          </w:p>
        </w:tc>
      </w:tr>
      <w:tr w:rsidR="00F96912" w:rsidRPr="00CD000E" w14:paraId="375A8783" w14:textId="77777777" w:rsidTr="006658D5">
        <w:trPr>
          <w:jc w:val="center"/>
        </w:trPr>
        <w:tc>
          <w:tcPr>
            <w:tcW w:w="2470" w:type="dxa"/>
            <w:tcBorders>
              <w:top w:val="nil"/>
              <w:left w:val="nil"/>
              <w:bottom w:val="nil"/>
              <w:right w:val="nil"/>
            </w:tcBorders>
            <w:shd w:val="clear" w:color="auto" w:fill="auto"/>
            <w:noWrap/>
            <w:vAlign w:val="center"/>
            <w:hideMark/>
          </w:tcPr>
          <w:p w14:paraId="61AA13FE" w14:textId="77777777" w:rsidR="00F96912" w:rsidRPr="00CD000E" w:rsidRDefault="00F96912" w:rsidP="006658D5">
            <w:pPr>
              <w:keepNext/>
              <w:keepLines/>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54CDECFC" w14:textId="77777777" w:rsidR="00F96912" w:rsidRPr="00CD000E" w:rsidRDefault="00F96912" w:rsidP="006658D5">
            <w:pPr>
              <w:keepNext/>
              <w:keepLines/>
              <w:jc w:val="center"/>
              <w:rPr>
                <w:color w:val="000000"/>
                <w:sz w:val="16"/>
                <w:szCs w:val="16"/>
              </w:rPr>
            </w:pPr>
            <w:r w:rsidRPr="00CD000E">
              <w:rPr>
                <w:color w:val="000000"/>
                <w:sz w:val="16"/>
                <w:szCs w:val="16"/>
              </w:rPr>
              <w:t xml:space="preserve">1 561 </w:t>
            </w:r>
          </w:p>
        </w:tc>
        <w:tc>
          <w:tcPr>
            <w:tcW w:w="1438" w:type="dxa"/>
            <w:tcBorders>
              <w:top w:val="nil"/>
              <w:left w:val="nil"/>
              <w:bottom w:val="nil"/>
              <w:right w:val="nil"/>
            </w:tcBorders>
            <w:shd w:val="clear" w:color="auto" w:fill="auto"/>
            <w:vAlign w:val="center"/>
            <w:hideMark/>
          </w:tcPr>
          <w:p w14:paraId="7B096718" w14:textId="77777777" w:rsidR="00F96912" w:rsidRPr="00CD000E" w:rsidRDefault="00F96912" w:rsidP="006658D5">
            <w:pPr>
              <w:keepNext/>
              <w:keepLines/>
              <w:jc w:val="center"/>
              <w:rPr>
                <w:color w:val="000000"/>
                <w:sz w:val="16"/>
                <w:szCs w:val="16"/>
              </w:rPr>
            </w:pPr>
            <w:r w:rsidRPr="00CD000E">
              <w:rPr>
                <w:color w:val="000000"/>
                <w:sz w:val="16"/>
                <w:szCs w:val="16"/>
              </w:rPr>
              <w:t xml:space="preserve">1 354 </w:t>
            </w:r>
          </w:p>
        </w:tc>
        <w:tc>
          <w:tcPr>
            <w:tcW w:w="1438" w:type="dxa"/>
            <w:tcBorders>
              <w:top w:val="nil"/>
              <w:left w:val="nil"/>
              <w:bottom w:val="nil"/>
              <w:right w:val="nil"/>
            </w:tcBorders>
            <w:shd w:val="clear" w:color="auto" w:fill="auto"/>
            <w:vAlign w:val="center"/>
            <w:hideMark/>
          </w:tcPr>
          <w:p w14:paraId="32C504F9" w14:textId="77777777" w:rsidR="00F96912" w:rsidRPr="00CD000E" w:rsidRDefault="00F96912" w:rsidP="006658D5">
            <w:pPr>
              <w:keepNext/>
              <w:keepLines/>
              <w:jc w:val="center"/>
              <w:rPr>
                <w:color w:val="000000"/>
                <w:sz w:val="16"/>
                <w:szCs w:val="16"/>
              </w:rPr>
            </w:pPr>
            <w:r w:rsidRPr="00CD000E">
              <w:rPr>
                <w:color w:val="000000"/>
                <w:sz w:val="16"/>
                <w:szCs w:val="16"/>
              </w:rPr>
              <w:t xml:space="preserve">520 </w:t>
            </w:r>
          </w:p>
        </w:tc>
        <w:tc>
          <w:tcPr>
            <w:tcW w:w="1438" w:type="dxa"/>
            <w:tcBorders>
              <w:top w:val="nil"/>
              <w:left w:val="nil"/>
              <w:bottom w:val="nil"/>
              <w:right w:val="nil"/>
            </w:tcBorders>
            <w:shd w:val="clear" w:color="auto" w:fill="auto"/>
            <w:vAlign w:val="center"/>
            <w:hideMark/>
          </w:tcPr>
          <w:p w14:paraId="4B5C84AC" w14:textId="77777777" w:rsidR="00F96912" w:rsidRPr="00D97E5E" w:rsidRDefault="00F96912" w:rsidP="006658D5">
            <w:pPr>
              <w:keepNext/>
              <w:keepLines/>
              <w:jc w:val="center"/>
              <w:rPr>
                <w:sz w:val="16"/>
                <w:szCs w:val="16"/>
              </w:rPr>
            </w:pPr>
            <w:r w:rsidRPr="00D97E5E">
              <w:rPr>
                <w:sz w:val="16"/>
                <w:szCs w:val="16"/>
              </w:rPr>
              <w:t>38%</w:t>
            </w:r>
          </w:p>
        </w:tc>
      </w:tr>
      <w:tr w:rsidR="00F96912" w:rsidRPr="00CD000E" w14:paraId="287199F1" w14:textId="77777777" w:rsidTr="006658D5">
        <w:trPr>
          <w:jc w:val="center"/>
        </w:trPr>
        <w:tc>
          <w:tcPr>
            <w:tcW w:w="2470" w:type="dxa"/>
            <w:tcBorders>
              <w:top w:val="nil"/>
              <w:left w:val="nil"/>
              <w:bottom w:val="nil"/>
              <w:right w:val="nil"/>
            </w:tcBorders>
            <w:shd w:val="clear" w:color="000000" w:fill="C5D9F1"/>
            <w:noWrap/>
            <w:vAlign w:val="center"/>
            <w:hideMark/>
          </w:tcPr>
          <w:p w14:paraId="270D7BF1" w14:textId="77777777" w:rsidR="00F96912" w:rsidRPr="00CD000E" w:rsidRDefault="00F96912" w:rsidP="006658D5">
            <w:pPr>
              <w:keepNext/>
              <w:keepLines/>
              <w:jc w:val="right"/>
              <w:rPr>
                <w:b/>
                <w:bCs/>
                <w:color w:val="000000"/>
                <w:sz w:val="16"/>
                <w:szCs w:val="16"/>
              </w:rPr>
            </w:pPr>
            <w:r w:rsidRPr="00CD000E">
              <w:rPr>
                <w:b/>
                <w:bCs/>
                <w:color w:val="000000"/>
                <w:sz w:val="16"/>
                <w:szCs w:val="16"/>
              </w:rPr>
              <w:t xml:space="preserve"> </w:t>
            </w: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4B588DBD" w14:textId="77777777" w:rsidR="00F96912" w:rsidRPr="00CD000E" w:rsidRDefault="00F96912" w:rsidP="006658D5">
            <w:pPr>
              <w:keepNext/>
              <w:keepLines/>
              <w:jc w:val="center"/>
              <w:rPr>
                <w:b/>
                <w:bCs/>
                <w:color w:val="000000"/>
                <w:sz w:val="16"/>
                <w:szCs w:val="16"/>
              </w:rPr>
            </w:pPr>
            <w:r w:rsidRPr="00CD000E">
              <w:rPr>
                <w:b/>
                <w:bCs/>
                <w:color w:val="000000"/>
                <w:sz w:val="16"/>
                <w:szCs w:val="16"/>
              </w:rPr>
              <w:t xml:space="preserve">6 083 </w:t>
            </w:r>
          </w:p>
        </w:tc>
        <w:tc>
          <w:tcPr>
            <w:tcW w:w="1438" w:type="dxa"/>
            <w:tcBorders>
              <w:top w:val="nil"/>
              <w:left w:val="nil"/>
              <w:bottom w:val="nil"/>
              <w:right w:val="nil"/>
            </w:tcBorders>
            <w:shd w:val="clear" w:color="000000" w:fill="C5D9F1"/>
            <w:vAlign w:val="center"/>
            <w:hideMark/>
          </w:tcPr>
          <w:p w14:paraId="1F42668D" w14:textId="77777777" w:rsidR="00F96912" w:rsidRPr="00CD000E" w:rsidRDefault="00F96912" w:rsidP="006658D5">
            <w:pPr>
              <w:keepNext/>
              <w:keepLines/>
              <w:jc w:val="center"/>
              <w:rPr>
                <w:b/>
                <w:bCs/>
                <w:color w:val="000000"/>
                <w:sz w:val="16"/>
                <w:szCs w:val="16"/>
              </w:rPr>
            </w:pPr>
            <w:r w:rsidRPr="00CD000E">
              <w:rPr>
                <w:b/>
                <w:bCs/>
                <w:color w:val="000000"/>
                <w:sz w:val="16"/>
                <w:szCs w:val="16"/>
              </w:rPr>
              <w:t xml:space="preserve">6 262 </w:t>
            </w:r>
          </w:p>
        </w:tc>
        <w:tc>
          <w:tcPr>
            <w:tcW w:w="1438" w:type="dxa"/>
            <w:tcBorders>
              <w:top w:val="nil"/>
              <w:left w:val="nil"/>
              <w:bottom w:val="nil"/>
              <w:right w:val="nil"/>
            </w:tcBorders>
            <w:shd w:val="clear" w:color="000000" w:fill="C5D9F1"/>
            <w:vAlign w:val="center"/>
            <w:hideMark/>
          </w:tcPr>
          <w:p w14:paraId="5164EF5C" w14:textId="77777777" w:rsidR="00F96912" w:rsidRPr="00CD000E" w:rsidRDefault="00F96912" w:rsidP="006658D5">
            <w:pPr>
              <w:keepNext/>
              <w:keepLines/>
              <w:jc w:val="center"/>
              <w:rPr>
                <w:b/>
                <w:bCs/>
                <w:color w:val="000000"/>
                <w:sz w:val="16"/>
                <w:szCs w:val="16"/>
              </w:rPr>
            </w:pPr>
            <w:r w:rsidRPr="00CD000E">
              <w:rPr>
                <w:b/>
                <w:bCs/>
                <w:color w:val="000000"/>
                <w:sz w:val="16"/>
                <w:szCs w:val="16"/>
              </w:rPr>
              <w:t xml:space="preserve">2 857 </w:t>
            </w:r>
          </w:p>
        </w:tc>
        <w:tc>
          <w:tcPr>
            <w:tcW w:w="1438" w:type="dxa"/>
            <w:tcBorders>
              <w:top w:val="nil"/>
              <w:left w:val="nil"/>
              <w:bottom w:val="nil"/>
              <w:right w:val="nil"/>
            </w:tcBorders>
            <w:shd w:val="clear" w:color="000000" w:fill="C5D9F1"/>
            <w:vAlign w:val="center"/>
            <w:hideMark/>
          </w:tcPr>
          <w:p w14:paraId="283F88D8" w14:textId="77777777" w:rsidR="00F96912" w:rsidRPr="00D97E5E" w:rsidRDefault="00F96912" w:rsidP="006658D5">
            <w:pPr>
              <w:keepNext/>
              <w:keepLines/>
              <w:jc w:val="center"/>
              <w:rPr>
                <w:b/>
                <w:bCs/>
                <w:sz w:val="16"/>
                <w:szCs w:val="16"/>
              </w:rPr>
            </w:pPr>
            <w:r w:rsidRPr="00D97E5E">
              <w:rPr>
                <w:b/>
                <w:bCs/>
                <w:sz w:val="16"/>
                <w:szCs w:val="16"/>
              </w:rPr>
              <w:t>46%</w:t>
            </w:r>
          </w:p>
        </w:tc>
      </w:tr>
      <w:tr w:rsidR="00F96912" w:rsidRPr="00CD000E" w14:paraId="02F59533"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292B735E" w14:textId="77777777" w:rsidR="00F96912" w:rsidRPr="00D97E5E" w:rsidRDefault="00F96912" w:rsidP="006658D5">
            <w:pPr>
              <w:keepNext/>
              <w:keepLines/>
              <w:rPr>
                <w:i/>
                <w:iCs/>
                <w:sz w:val="16"/>
                <w:szCs w:val="16"/>
              </w:rPr>
            </w:pPr>
            <w:r w:rsidRPr="00D97E5E">
              <w:rPr>
                <w:i/>
                <w:iCs/>
                <w:sz w:val="16"/>
                <w:szCs w:val="16"/>
              </w:rPr>
              <w:t xml:space="preserve">*Les chiffres des dépenses pour 2016 sont préliminaires, sous réserve d’audit par les vérificateurs externes des comptes </w:t>
            </w:r>
          </w:p>
        </w:tc>
      </w:tr>
    </w:tbl>
    <w:p w14:paraId="226973E9" w14:textId="77777777" w:rsidR="00F96912" w:rsidRPr="00CD000E" w:rsidRDefault="00F96912" w:rsidP="00F96912">
      <w:pPr>
        <w:rPr>
          <w:sz w:val="20"/>
        </w:rPr>
      </w:pPr>
    </w:p>
    <w:p w14:paraId="429075D5" w14:textId="17D86855" w:rsidR="00F96912" w:rsidRPr="00CD000E" w:rsidRDefault="00F96912" w:rsidP="00F96912">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3B054219" w14:textId="77777777" w:rsidR="00F96912" w:rsidRPr="00CD000E" w:rsidRDefault="00F96912" w:rsidP="00F96912">
      <w:pPr>
        <w:jc w:val="both"/>
        <w:rPr>
          <w:sz w:val="20"/>
        </w:rPr>
      </w:pPr>
    </w:p>
    <w:p w14:paraId="53C58B21" w14:textId="77777777" w:rsidR="00F96912" w:rsidRPr="00CD000E" w:rsidRDefault="00F96912" w:rsidP="00F96912">
      <w:pPr>
        <w:jc w:val="both"/>
        <w:rPr>
          <w:sz w:val="20"/>
        </w:rPr>
      </w:pPr>
    </w:p>
    <w:p w14:paraId="5C7746DB" w14:textId="77777777" w:rsidR="00F96912" w:rsidRPr="00D97E5E" w:rsidRDefault="00F96912" w:rsidP="00F96912">
      <w:pPr>
        <w:jc w:val="both"/>
        <w:rPr>
          <w:sz w:val="20"/>
          <w:u w:val="single"/>
        </w:rPr>
      </w:pPr>
      <w:r w:rsidRPr="00D97E5E">
        <w:rPr>
          <w:sz w:val="20"/>
        </w:rPr>
        <w:t>A.</w:t>
      </w:r>
      <w:r w:rsidRPr="00D97E5E">
        <w:rPr>
          <w:sz w:val="20"/>
        </w:rPr>
        <w:tab/>
      </w:r>
      <w:r w:rsidRPr="00D97E5E">
        <w:rPr>
          <w:sz w:val="20"/>
          <w:u w:val="single"/>
        </w:rPr>
        <w:t>Budget 2016</w:t>
      </w:r>
      <w:r w:rsidRPr="00D97E5E">
        <w:rPr>
          <w:sz w:val="20"/>
          <w:u w:val="single"/>
        </w:rPr>
        <w:noBreakHyphen/>
        <w:t>2017 après virements</w:t>
      </w:r>
    </w:p>
    <w:p w14:paraId="66E61F8A" w14:textId="77777777" w:rsidR="00F96912" w:rsidRPr="00D97E5E" w:rsidRDefault="00F96912" w:rsidP="00F96912">
      <w:pPr>
        <w:jc w:val="both"/>
        <w:rPr>
          <w:sz w:val="20"/>
        </w:rPr>
      </w:pPr>
    </w:p>
    <w:p w14:paraId="2554E520" w14:textId="77777777" w:rsidR="00F96912" w:rsidRPr="00D97E5E" w:rsidRDefault="00F96912" w:rsidP="00D544B8">
      <w:pPr>
        <w:pStyle w:val="ListParagraph"/>
        <w:numPr>
          <w:ilvl w:val="0"/>
          <w:numId w:val="39"/>
        </w:numPr>
        <w:tabs>
          <w:tab w:val="left" w:pos="0"/>
        </w:tabs>
        <w:autoSpaceDE w:val="0"/>
        <w:autoSpaceDN w:val="0"/>
        <w:ind w:left="0" w:firstLine="0"/>
        <w:jc w:val="both"/>
        <w:rPr>
          <w:rFonts w:ascii="Arial" w:hAnsi="Arial" w:cs="Arial"/>
          <w:sz w:val="20"/>
          <w:szCs w:val="20"/>
          <w:lang w:eastAsia="ko-KR"/>
        </w:rPr>
      </w:pPr>
      <w:r w:rsidRPr="00D97E5E">
        <w:rPr>
          <w:rFonts w:ascii="Arial" w:hAnsi="Arial" w:cs="Arial"/>
          <w:color w:val="000000"/>
          <w:sz w:val="20"/>
          <w:szCs w:val="20"/>
          <w:lang w:eastAsia="zh-CN"/>
        </w:rPr>
        <w:t>L’augmentation</w:t>
      </w:r>
      <w:r w:rsidRPr="00D97E5E">
        <w:rPr>
          <w:rFonts w:ascii="Arial" w:hAnsi="Arial" w:cs="Arial"/>
          <w:sz w:val="20"/>
          <w:szCs w:val="20"/>
          <w:lang w:eastAsia="ko-KR"/>
        </w:rPr>
        <w:t xml:space="preserve"> nette des dépenses de personnel par rapport au budget 2016</w:t>
      </w:r>
      <w:r w:rsidRPr="00D97E5E">
        <w:rPr>
          <w:rFonts w:ascii="Arial" w:hAnsi="Arial" w:cs="Arial"/>
          <w:sz w:val="20"/>
          <w:szCs w:val="20"/>
          <w:lang w:eastAsia="ko-KR"/>
        </w:rPr>
        <w:noBreakHyphen/>
        <w:t>2017 approuvé découlait principalement, d’une part : i) du transfert au programme de deux postes (un poste et un poste temporaire) du Droit d’auteur et droits connexes (programme 3) et de la Sécurité des informations, des biens et des personnes (programme 28) en vue de renforcer la capacité de la Division des PME, et ii) de reclassements au sein du programme;  et, d’autre part, du transfert d’un poste à l’Académie de l’OMPI (programme 11) pour appuyer la gestion, la planification stratégique et la coordination.</w:t>
      </w:r>
    </w:p>
    <w:p w14:paraId="44E6B6FF" w14:textId="77777777" w:rsidR="00F96912" w:rsidRPr="00D97E5E" w:rsidRDefault="00F96912" w:rsidP="00F96912">
      <w:pPr>
        <w:tabs>
          <w:tab w:val="left" w:pos="0"/>
          <w:tab w:val="left" w:pos="709"/>
        </w:tabs>
        <w:autoSpaceDE w:val="0"/>
        <w:autoSpaceDN w:val="0"/>
        <w:contextualSpacing/>
        <w:jc w:val="both"/>
        <w:rPr>
          <w:sz w:val="20"/>
          <w:lang w:eastAsia="ko-KR"/>
        </w:rPr>
      </w:pPr>
    </w:p>
    <w:p w14:paraId="62071B38" w14:textId="77777777" w:rsidR="00F96912" w:rsidRPr="00D97E5E" w:rsidRDefault="00F96912" w:rsidP="00D544B8">
      <w:pPr>
        <w:pStyle w:val="ListParagraph"/>
        <w:numPr>
          <w:ilvl w:val="0"/>
          <w:numId w:val="39"/>
        </w:numPr>
        <w:tabs>
          <w:tab w:val="left" w:pos="0"/>
        </w:tabs>
        <w:autoSpaceDE w:val="0"/>
        <w:autoSpaceDN w:val="0"/>
        <w:ind w:left="0" w:firstLine="0"/>
        <w:jc w:val="both"/>
        <w:rPr>
          <w:rFonts w:ascii="Arial" w:hAnsi="Arial" w:cs="Arial"/>
          <w:sz w:val="20"/>
          <w:szCs w:val="20"/>
          <w:lang w:eastAsia="ko-KR"/>
        </w:rPr>
      </w:pPr>
      <w:r w:rsidRPr="00D97E5E">
        <w:rPr>
          <w:rFonts w:ascii="Arial" w:hAnsi="Arial" w:cs="Arial"/>
          <w:sz w:val="20"/>
          <w:szCs w:val="20"/>
          <w:lang w:eastAsia="ko-KR"/>
        </w:rPr>
        <w:t>La diminution des dépenses hors personnel découlait du transfert de ressources du programme en faveur : i) de l’Académie de l’OMPI (programme 11) pour la collaboration avec des établissements en vue de dispenser des</w:t>
      </w:r>
      <w:r w:rsidRPr="00D97E5E">
        <w:rPr>
          <w:sz w:val="20"/>
          <w:szCs w:val="20"/>
        </w:rPr>
        <w:t xml:space="preserve"> </w:t>
      </w:r>
      <w:r w:rsidRPr="00D97E5E">
        <w:rPr>
          <w:rFonts w:ascii="Arial" w:hAnsi="Arial" w:cs="Arial"/>
          <w:sz w:val="20"/>
          <w:szCs w:val="20"/>
          <w:lang w:eastAsia="ko-KR"/>
        </w:rPr>
        <w:t>cours internationaux de niveau avancé sanctionnés par un certificat;  ii) de la propriété intellectuelle et des défis mondiaux (programme 18) à l’appui de travaux sur la propriété intellectuelle et la politique en matière de concurrence;  et iii) du DGRH (programme 23) pour financer le coût des stagiaires.  Une partie des soldes non dépensés en 2016 a en outre été réaffectée à d’autres priorités de l’Organisation.</w:t>
      </w:r>
    </w:p>
    <w:p w14:paraId="45AC113B" w14:textId="77777777" w:rsidR="00F96912" w:rsidRPr="00D97E5E" w:rsidRDefault="00F96912" w:rsidP="00F96912">
      <w:pPr>
        <w:tabs>
          <w:tab w:val="left" w:pos="0"/>
          <w:tab w:val="left" w:pos="709"/>
        </w:tabs>
        <w:autoSpaceDE w:val="0"/>
        <w:autoSpaceDN w:val="0"/>
        <w:contextualSpacing/>
        <w:jc w:val="both"/>
        <w:rPr>
          <w:sz w:val="20"/>
          <w:lang w:eastAsia="ko-KR"/>
        </w:rPr>
      </w:pPr>
    </w:p>
    <w:p w14:paraId="751DCEC2" w14:textId="77777777" w:rsidR="00F96912" w:rsidRPr="00D97E5E" w:rsidRDefault="00F96912" w:rsidP="00F96912">
      <w:pPr>
        <w:keepNext/>
        <w:keepLines/>
        <w:jc w:val="both"/>
        <w:rPr>
          <w:sz w:val="20"/>
          <w:u w:val="single"/>
        </w:rPr>
      </w:pPr>
      <w:r w:rsidRPr="00D97E5E">
        <w:rPr>
          <w:sz w:val="20"/>
        </w:rPr>
        <w:lastRenderedPageBreak/>
        <w:t>B.</w:t>
      </w:r>
      <w:r w:rsidRPr="00D97E5E">
        <w:rPr>
          <w:sz w:val="20"/>
        </w:rPr>
        <w:tab/>
      </w:r>
      <w:r w:rsidRPr="00D97E5E">
        <w:rPr>
          <w:sz w:val="20"/>
          <w:u w:val="single"/>
        </w:rPr>
        <w:t>Utilisation du budget 2016</w:t>
      </w:r>
      <w:r w:rsidRPr="00D97E5E">
        <w:rPr>
          <w:sz w:val="20"/>
          <w:u w:val="single"/>
        </w:rPr>
        <w:noBreakHyphen/>
        <w:t>2017</w:t>
      </w:r>
    </w:p>
    <w:p w14:paraId="1391EFE0" w14:textId="77777777" w:rsidR="00F96912" w:rsidRPr="00D97E5E" w:rsidRDefault="00F96912" w:rsidP="00F96912">
      <w:pPr>
        <w:keepNext/>
        <w:keepLines/>
        <w:jc w:val="both"/>
        <w:rPr>
          <w:sz w:val="20"/>
        </w:rPr>
      </w:pPr>
    </w:p>
    <w:p w14:paraId="60AC208A" w14:textId="77777777" w:rsidR="00F96912" w:rsidRPr="00D97E5E" w:rsidRDefault="00F96912" w:rsidP="00D544B8">
      <w:pPr>
        <w:pStyle w:val="ListParagraph"/>
        <w:keepNext/>
        <w:keepLines/>
        <w:numPr>
          <w:ilvl w:val="0"/>
          <w:numId w:val="39"/>
        </w:numPr>
        <w:tabs>
          <w:tab w:val="left" w:pos="0"/>
        </w:tabs>
        <w:autoSpaceDE w:val="0"/>
        <w:autoSpaceDN w:val="0"/>
        <w:ind w:left="0" w:firstLine="0"/>
        <w:jc w:val="both"/>
        <w:rPr>
          <w:rFonts w:ascii="Arial" w:hAnsi="Arial" w:cs="Arial"/>
          <w:sz w:val="20"/>
          <w:szCs w:val="20"/>
        </w:rPr>
      </w:pPr>
      <w:r w:rsidRPr="00D97E5E">
        <w:rPr>
          <w:rFonts w:ascii="Arial" w:hAnsi="Arial" w:cs="Arial"/>
          <w:sz w:val="20"/>
          <w:szCs w:val="20"/>
        </w:rPr>
        <w:t>L’utilisation du budget pour les dépenses de personnel se situe dans la fourchette prévue des 40 à 60% pour la première année de l’exercice biennal.  Les dépenses hors personnel pour 2016 ont été inférieures à l’objectif en raison de retards observés dans la mise en œuvre des activités : i) de sensibilisation et de renforcement des capacités en vue de soutenir les entreprises et institutions innovantes;  ii) de commercialisation de la propriété intellectuelle;  et iii) de sensibilisation et de renforcement des capacités ainsi que les services de conseil destinés aux PME.</w:t>
      </w:r>
    </w:p>
    <w:p w14:paraId="51AB8E73" w14:textId="77777777" w:rsidR="00F96912" w:rsidRDefault="00F96912">
      <w:pPr>
        <w:rPr>
          <w:b/>
          <w:bCs/>
          <w:iCs/>
          <w:caps/>
          <w:szCs w:val="28"/>
        </w:rPr>
      </w:pPr>
      <w:r>
        <w:rPr>
          <w:b/>
          <w:bCs/>
          <w:iCs/>
          <w:caps/>
          <w:szCs w:val="28"/>
        </w:rPr>
        <w:br w:type="page"/>
      </w:r>
    </w:p>
    <w:p w14:paraId="600D5531" w14:textId="5BCFD6A7" w:rsidR="00394CA8" w:rsidRPr="00FE57FA" w:rsidRDefault="009761D3" w:rsidP="009761D3">
      <w:pPr>
        <w:pStyle w:val="Heading2"/>
      </w:pPr>
      <w:bookmarkStart w:id="48" w:name="_Toc482774605"/>
      <w:bookmarkStart w:id="49" w:name="_Toc367350587"/>
      <w:r>
        <w:lastRenderedPageBreak/>
        <w:t>Objectif stratégique IV</w:t>
      </w:r>
      <w:bookmarkEnd w:id="48"/>
    </w:p>
    <w:p w14:paraId="7A8A3208" w14:textId="77777777" w:rsidR="00394CA8" w:rsidRPr="00A859F2" w:rsidRDefault="00394CA8" w:rsidP="00394CA8">
      <w:pPr>
        <w:jc w:val="center"/>
        <w:rPr>
          <w:b/>
          <w:sz w:val="20"/>
        </w:rPr>
      </w:pPr>
    </w:p>
    <w:p w14:paraId="22AE5911" w14:textId="77777777" w:rsidR="00394CA8" w:rsidRPr="00A859F2" w:rsidRDefault="00394CA8" w:rsidP="00394CA8">
      <w:pPr>
        <w:jc w:val="center"/>
        <w:rPr>
          <w:rFonts w:ascii="Arial Bold" w:hAnsi="Arial Bold"/>
          <w:b/>
          <w:caps/>
          <w:sz w:val="20"/>
        </w:rPr>
      </w:pPr>
      <w:r w:rsidRPr="00A859F2">
        <w:rPr>
          <w:rFonts w:ascii="Arial Bold" w:hAnsi="Arial Bold"/>
          <w:b/>
          <w:caps/>
          <w:sz w:val="20"/>
        </w:rPr>
        <w:t>coordination et développement de l’infrastructure mondiale en matière de propriété intellectuelle</w:t>
      </w:r>
    </w:p>
    <w:p w14:paraId="159B93E8" w14:textId="77777777" w:rsidR="00394CA8" w:rsidRPr="00A859F2" w:rsidRDefault="00394CA8" w:rsidP="00394CA8">
      <w:pPr>
        <w:rPr>
          <w:sz w:val="20"/>
        </w:rPr>
      </w:pPr>
    </w:p>
    <w:p w14:paraId="0C85DDA3" w14:textId="77777777" w:rsidR="00394CA8" w:rsidRPr="00A859F2" w:rsidRDefault="00394CA8" w:rsidP="00394CA8">
      <w:pPr>
        <w:jc w:val="center"/>
        <w:rPr>
          <w:b/>
          <w:sz w:val="20"/>
        </w:rPr>
      </w:pPr>
      <w:r w:rsidRPr="00A859F2">
        <w:rPr>
          <w:b/>
          <w:sz w:val="20"/>
        </w:rPr>
        <w:t>Tableau de bord de l’exécution du programme à mi</w:t>
      </w:r>
      <w:r>
        <w:rPr>
          <w:b/>
          <w:sz w:val="20"/>
        </w:rPr>
        <w:noBreakHyphen/>
      </w:r>
      <w:r w:rsidRPr="00A859F2">
        <w:rPr>
          <w:b/>
          <w:sz w:val="20"/>
        </w:rPr>
        <w:t>parcours (2016)</w:t>
      </w:r>
    </w:p>
    <w:p w14:paraId="06946C18" w14:textId="77777777" w:rsidR="00394CA8" w:rsidRPr="00A859F2" w:rsidRDefault="00394CA8" w:rsidP="00394CA8">
      <w:pPr>
        <w:jc w:val="both"/>
        <w:rPr>
          <w:sz w:val="20"/>
        </w:rPr>
      </w:pPr>
    </w:p>
    <w:p w14:paraId="070378D7" w14:textId="77777777" w:rsidR="00394CA8" w:rsidRPr="00A859F2" w:rsidRDefault="00394CA8" w:rsidP="00394CA8">
      <w:pPr>
        <w:jc w:val="both"/>
        <w:rPr>
          <w:sz w:val="20"/>
        </w:rPr>
      </w:pPr>
      <w:r w:rsidRPr="00A859F2">
        <w:rPr>
          <w:sz w:val="20"/>
        </w:rPr>
        <w:t>Le tableau de bord ci</w:t>
      </w:r>
      <w:r>
        <w:rPr>
          <w:sz w:val="20"/>
        </w:rPr>
        <w:noBreakHyphen/>
      </w:r>
      <w:r w:rsidRPr="00A859F2">
        <w:rPr>
          <w:sz w:val="20"/>
        </w:rPr>
        <w:t>dessous présente un résumé de l’état d’avancement de la réalisation des résultats en 2016, telle que mesurée par les indicateurs au titre des programmes contribuant à cet objectif stratégique.</w:t>
      </w:r>
    </w:p>
    <w:p w14:paraId="2B3F7259" w14:textId="77777777" w:rsidR="00394CA8" w:rsidRPr="00A859F2" w:rsidRDefault="00394CA8" w:rsidP="00394CA8">
      <w:pPr>
        <w:jc w:val="center"/>
      </w:pPr>
      <w:r w:rsidRPr="0074225E">
        <w:rPr>
          <w:noProof/>
          <w:lang w:val="en-US"/>
        </w:rPr>
        <w:drawing>
          <wp:inline distT="0" distB="0" distL="0" distR="0" wp14:anchorId="539CEFDB" wp14:editId="46AA7C26">
            <wp:extent cx="3693600" cy="2492679"/>
            <wp:effectExtent l="0" t="0" r="254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93600" cy="2492679"/>
                    </a:xfrm>
                    <a:prstGeom prst="rect">
                      <a:avLst/>
                    </a:prstGeom>
                    <a:noFill/>
                    <a:ln>
                      <a:noFill/>
                    </a:ln>
                  </pic:spPr>
                </pic:pic>
              </a:graphicData>
            </a:graphic>
          </wp:inline>
        </w:drawing>
      </w:r>
    </w:p>
    <w:tbl>
      <w:tblPr>
        <w:tblW w:w="9455" w:type="dxa"/>
        <w:tblInd w:w="108" w:type="dxa"/>
        <w:tblLayout w:type="fixed"/>
        <w:tblCellMar>
          <w:left w:w="115" w:type="dxa"/>
          <w:right w:w="115" w:type="dxa"/>
        </w:tblCellMar>
        <w:tblLook w:val="0000" w:firstRow="0" w:lastRow="0" w:firstColumn="0" w:lastColumn="0" w:noHBand="0" w:noVBand="0"/>
      </w:tblPr>
      <w:tblGrid>
        <w:gridCol w:w="8"/>
        <w:gridCol w:w="2723"/>
        <w:gridCol w:w="3856"/>
        <w:gridCol w:w="1588"/>
        <w:gridCol w:w="1280"/>
      </w:tblGrid>
      <w:tr w:rsidR="00394CA8" w:rsidRPr="00A859F2" w14:paraId="44301577" w14:textId="77777777" w:rsidTr="00394CA8">
        <w:trPr>
          <w:trHeight w:val="535"/>
          <w:tblHeader/>
        </w:trPr>
        <w:tc>
          <w:tcPr>
            <w:tcW w:w="1444" w:type="pct"/>
            <w:gridSpan w:val="2"/>
            <w:shd w:val="clear" w:color="auto" w:fill="B8CCE4" w:themeFill="accent1" w:themeFillTint="66"/>
            <w:tcMar>
              <w:top w:w="113" w:type="dxa"/>
              <w:bottom w:w="113" w:type="dxa"/>
            </w:tcMar>
            <w:vAlign w:val="center"/>
          </w:tcPr>
          <w:p w14:paraId="3C129A8C" w14:textId="77777777" w:rsidR="00394CA8" w:rsidRPr="00A859F2" w:rsidRDefault="00394CA8" w:rsidP="00394CA8">
            <w:pPr>
              <w:rPr>
                <w:b/>
                <w:bCs/>
                <w:sz w:val="18"/>
                <w:szCs w:val="18"/>
              </w:rPr>
            </w:pPr>
            <w:r w:rsidRPr="00A859F2">
              <w:rPr>
                <w:b/>
                <w:bCs/>
                <w:sz w:val="18"/>
                <w:szCs w:val="18"/>
              </w:rPr>
              <w:t>Résultats escomptés</w:t>
            </w:r>
          </w:p>
        </w:tc>
        <w:tc>
          <w:tcPr>
            <w:tcW w:w="2039" w:type="pct"/>
            <w:shd w:val="clear" w:color="auto" w:fill="B8CCE4" w:themeFill="accent1" w:themeFillTint="66"/>
            <w:tcMar>
              <w:top w:w="113" w:type="dxa"/>
              <w:bottom w:w="113" w:type="dxa"/>
            </w:tcMar>
            <w:vAlign w:val="center"/>
          </w:tcPr>
          <w:p w14:paraId="30BFBB03" w14:textId="77777777" w:rsidR="00394CA8" w:rsidRPr="00A859F2" w:rsidRDefault="00394CA8" w:rsidP="00394CA8">
            <w:pPr>
              <w:rPr>
                <w:b/>
                <w:sz w:val="18"/>
                <w:szCs w:val="18"/>
              </w:rPr>
            </w:pPr>
            <w:r w:rsidRPr="00A859F2">
              <w:rPr>
                <w:b/>
                <w:sz w:val="18"/>
                <w:szCs w:val="18"/>
              </w:rPr>
              <w:t>Indicateurs d’exécution</w:t>
            </w:r>
          </w:p>
        </w:tc>
        <w:tc>
          <w:tcPr>
            <w:tcW w:w="840" w:type="pct"/>
            <w:shd w:val="clear" w:color="auto" w:fill="B8CCE4" w:themeFill="accent1" w:themeFillTint="66"/>
            <w:tcMar>
              <w:top w:w="113" w:type="dxa"/>
              <w:bottom w:w="113" w:type="dxa"/>
            </w:tcMar>
            <w:vAlign w:val="center"/>
          </w:tcPr>
          <w:p w14:paraId="467626E0" w14:textId="77777777" w:rsidR="00394CA8" w:rsidRPr="00A859F2" w:rsidRDefault="00394CA8" w:rsidP="00394CA8">
            <w:pPr>
              <w:ind w:left="85"/>
              <w:jc w:val="center"/>
              <w:rPr>
                <w:sz w:val="18"/>
                <w:szCs w:val="18"/>
              </w:rPr>
            </w:pPr>
            <w:r w:rsidRPr="00A859F2">
              <w:rPr>
                <w:b/>
                <w:sz w:val="18"/>
                <w:szCs w:val="18"/>
              </w:rPr>
              <w:t>Programme(s)concerné(s)</w:t>
            </w:r>
          </w:p>
        </w:tc>
        <w:tc>
          <w:tcPr>
            <w:tcW w:w="677" w:type="pct"/>
            <w:shd w:val="clear" w:color="auto" w:fill="B8CCE4" w:themeFill="accent1" w:themeFillTint="66"/>
            <w:vAlign w:val="center"/>
          </w:tcPr>
          <w:p w14:paraId="3DBE2F79" w14:textId="77777777" w:rsidR="00394CA8" w:rsidRPr="00A859F2" w:rsidRDefault="00394CA8" w:rsidP="00394CA8">
            <w:pPr>
              <w:ind w:left="85"/>
              <w:jc w:val="center"/>
              <w:rPr>
                <w:b/>
                <w:bCs/>
                <w:sz w:val="18"/>
                <w:szCs w:val="18"/>
              </w:rPr>
            </w:pPr>
            <w:r w:rsidRPr="00A859F2">
              <w:rPr>
                <w:b/>
                <w:bCs/>
                <w:sz w:val="18"/>
                <w:szCs w:val="18"/>
              </w:rPr>
              <w:t>Code de couleurs</w:t>
            </w:r>
          </w:p>
        </w:tc>
      </w:tr>
      <w:tr w:rsidR="00394CA8" w:rsidRPr="00A859F2" w14:paraId="4EECBA89" w14:textId="77777777" w:rsidTr="00394CA8">
        <w:tblPrEx>
          <w:tblCellMar>
            <w:left w:w="108" w:type="dxa"/>
            <w:right w:w="108" w:type="dxa"/>
          </w:tblCellMar>
        </w:tblPrEx>
        <w:trPr>
          <w:gridBefore w:val="1"/>
          <w:wBefore w:w="4" w:type="pct"/>
          <w:cantSplit/>
          <w:trHeight w:val="363"/>
        </w:trPr>
        <w:tc>
          <w:tcPr>
            <w:tcW w:w="1439" w:type="pct"/>
            <w:vMerge w:val="restart"/>
            <w:shd w:val="clear" w:color="auto" w:fill="auto"/>
            <w:tcMar>
              <w:top w:w="85" w:type="dxa"/>
              <w:bottom w:w="85" w:type="dxa"/>
            </w:tcMar>
          </w:tcPr>
          <w:p w14:paraId="03B44E46" w14:textId="77777777" w:rsidR="00394CA8" w:rsidRPr="00A859F2" w:rsidRDefault="00394CA8" w:rsidP="00394CA8">
            <w:pPr>
              <w:rPr>
                <w:sz w:val="16"/>
                <w:szCs w:val="16"/>
              </w:rPr>
            </w:pPr>
            <w:r w:rsidRPr="00A859F2">
              <w:rPr>
                <w:sz w:val="16"/>
                <w:szCs w:val="16"/>
              </w:rPr>
              <w:t>IV.1 Système actualisé et mondialement accepté des classifications internationales et des normes de l’OMPI pour faciliter l’accès des parties prenantes du monde entier à l’information en matière de propriété intellectuelle, ainsi que son utilisation et sa diffusion</w:t>
            </w:r>
          </w:p>
        </w:tc>
        <w:tc>
          <w:tcPr>
            <w:tcW w:w="2039" w:type="pct"/>
            <w:shd w:val="clear" w:color="auto" w:fill="auto"/>
            <w:tcMar>
              <w:top w:w="85" w:type="dxa"/>
              <w:bottom w:w="85" w:type="dxa"/>
            </w:tcMar>
          </w:tcPr>
          <w:p w14:paraId="372B9751" w14:textId="77777777" w:rsidR="00394CA8" w:rsidRPr="00A859F2" w:rsidRDefault="00394CA8" w:rsidP="00394CA8">
            <w:pPr>
              <w:rPr>
                <w:sz w:val="16"/>
                <w:szCs w:val="16"/>
              </w:rPr>
            </w:pPr>
            <w:r w:rsidRPr="00A859F2">
              <w:rPr>
                <w:sz w:val="16"/>
                <w:szCs w:val="16"/>
              </w:rPr>
              <w:t xml:space="preserve">Nombre de modifications et de dossiers d’information introduits dans la classification de Nice </w:t>
            </w:r>
          </w:p>
        </w:tc>
        <w:tc>
          <w:tcPr>
            <w:tcW w:w="840" w:type="pct"/>
            <w:shd w:val="clear" w:color="auto" w:fill="FFFFFF"/>
            <w:tcMar>
              <w:top w:w="85" w:type="dxa"/>
              <w:bottom w:w="85" w:type="dxa"/>
            </w:tcMar>
          </w:tcPr>
          <w:p w14:paraId="1E58C7A2"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12</w:t>
            </w:r>
          </w:p>
        </w:tc>
        <w:tc>
          <w:tcPr>
            <w:tcW w:w="677" w:type="pct"/>
            <w:shd w:val="clear" w:color="auto" w:fill="FFFFFF"/>
          </w:tcPr>
          <w:p w14:paraId="4EEF5716" w14:textId="77777777" w:rsidR="00394CA8" w:rsidRPr="00A859F2" w:rsidRDefault="00394CA8" w:rsidP="00394CA8">
            <w:pPr>
              <w:ind w:left="167"/>
              <w:jc w:val="center"/>
              <w:rPr>
                <w:color w:val="00800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305EF20E" w14:textId="77777777" w:rsidTr="00394CA8">
        <w:tblPrEx>
          <w:tblCellMar>
            <w:left w:w="108" w:type="dxa"/>
            <w:right w:w="108" w:type="dxa"/>
          </w:tblCellMar>
        </w:tblPrEx>
        <w:trPr>
          <w:gridBefore w:val="1"/>
          <w:wBefore w:w="4" w:type="pct"/>
          <w:cantSplit/>
          <w:trHeight w:val="399"/>
        </w:trPr>
        <w:tc>
          <w:tcPr>
            <w:tcW w:w="1439" w:type="pct"/>
            <w:vMerge/>
            <w:shd w:val="clear" w:color="auto" w:fill="auto"/>
            <w:tcMar>
              <w:top w:w="85" w:type="dxa"/>
              <w:bottom w:w="85" w:type="dxa"/>
            </w:tcMar>
          </w:tcPr>
          <w:p w14:paraId="6ABD07E9" w14:textId="77777777" w:rsidR="00394CA8" w:rsidRPr="00A859F2" w:rsidRDefault="00394CA8" w:rsidP="00394CA8">
            <w:pPr>
              <w:rPr>
                <w:sz w:val="16"/>
                <w:szCs w:val="16"/>
              </w:rPr>
            </w:pPr>
          </w:p>
        </w:tc>
        <w:tc>
          <w:tcPr>
            <w:tcW w:w="2039" w:type="pct"/>
            <w:shd w:val="clear" w:color="auto" w:fill="auto"/>
            <w:tcMar>
              <w:top w:w="85" w:type="dxa"/>
              <w:bottom w:w="85" w:type="dxa"/>
            </w:tcMar>
          </w:tcPr>
          <w:p w14:paraId="70E5764B" w14:textId="77777777" w:rsidR="00394CA8" w:rsidRPr="00A859F2" w:rsidRDefault="00394CA8" w:rsidP="00394CA8">
            <w:pPr>
              <w:rPr>
                <w:sz w:val="16"/>
                <w:szCs w:val="16"/>
              </w:rPr>
            </w:pPr>
            <w:r w:rsidRPr="00A859F2">
              <w:rPr>
                <w:sz w:val="16"/>
                <w:szCs w:val="16"/>
              </w:rPr>
              <w:t>Nombre de nouvelles subdivisions introduites sur un an dans la CIB</w:t>
            </w:r>
          </w:p>
        </w:tc>
        <w:tc>
          <w:tcPr>
            <w:tcW w:w="840" w:type="pct"/>
            <w:shd w:val="clear" w:color="auto" w:fill="FFFFFF"/>
            <w:tcMar>
              <w:top w:w="85" w:type="dxa"/>
              <w:bottom w:w="85" w:type="dxa"/>
            </w:tcMar>
          </w:tcPr>
          <w:p w14:paraId="2DF816BB" w14:textId="77777777" w:rsidR="00394CA8" w:rsidRPr="00A859F2" w:rsidRDefault="00394CA8" w:rsidP="00394CA8">
            <w:pPr>
              <w:spacing w:before="40"/>
              <w:jc w:val="center"/>
              <w:rPr>
                <w:sz w:val="16"/>
                <w:szCs w:val="16"/>
              </w:rPr>
            </w:pPr>
            <w:r w:rsidRPr="00A859F2">
              <w:rPr>
                <w:sz w:val="16"/>
                <w:szCs w:val="16"/>
                <w:lang w:bidi="th-TH"/>
              </w:rPr>
              <w:t>Programme</w:t>
            </w:r>
            <w:r>
              <w:rPr>
                <w:sz w:val="16"/>
                <w:szCs w:val="16"/>
                <w:lang w:bidi="th-TH"/>
              </w:rPr>
              <w:t> </w:t>
            </w:r>
            <w:r w:rsidRPr="00A859F2">
              <w:rPr>
                <w:sz w:val="16"/>
                <w:szCs w:val="16"/>
                <w:lang w:bidi="th-TH"/>
              </w:rPr>
              <w:t>12</w:t>
            </w:r>
          </w:p>
        </w:tc>
        <w:tc>
          <w:tcPr>
            <w:tcW w:w="677" w:type="pct"/>
            <w:shd w:val="clear" w:color="auto" w:fill="FFFFFF"/>
          </w:tcPr>
          <w:p w14:paraId="218CC499" w14:textId="77777777" w:rsidR="00394CA8" w:rsidRPr="00A859F2" w:rsidRDefault="00394CA8" w:rsidP="00394CA8">
            <w:pPr>
              <w:ind w:left="167"/>
              <w:jc w:val="center"/>
              <w:rPr>
                <w:color w:val="FF0000"/>
                <w:szCs w:val="22"/>
              </w:rPr>
            </w:pPr>
            <w:r w:rsidRPr="00A859F2">
              <w:rPr>
                <w:color w:val="00B050"/>
                <w:szCs w:val="22"/>
              </w:rPr>
              <w:sym w:font="Wingdings" w:char="F06C"/>
            </w:r>
          </w:p>
        </w:tc>
      </w:tr>
      <w:tr w:rsidR="00394CA8" w:rsidRPr="00A859F2" w14:paraId="5B675CAF" w14:textId="77777777" w:rsidTr="00394CA8">
        <w:tblPrEx>
          <w:tblCellMar>
            <w:left w:w="108" w:type="dxa"/>
            <w:right w:w="108" w:type="dxa"/>
          </w:tblCellMar>
        </w:tblPrEx>
        <w:trPr>
          <w:gridBefore w:val="1"/>
          <w:wBefore w:w="4" w:type="pct"/>
          <w:cantSplit/>
          <w:trHeight w:val="20"/>
        </w:trPr>
        <w:tc>
          <w:tcPr>
            <w:tcW w:w="1439" w:type="pct"/>
            <w:vMerge/>
            <w:shd w:val="clear" w:color="auto" w:fill="auto"/>
            <w:tcMar>
              <w:top w:w="85" w:type="dxa"/>
              <w:bottom w:w="85" w:type="dxa"/>
            </w:tcMar>
          </w:tcPr>
          <w:p w14:paraId="4578E012" w14:textId="77777777" w:rsidR="00394CA8" w:rsidRPr="00A859F2" w:rsidRDefault="00394CA8" w:rsidP="00394CA8">
            <w:pPr>
              <w:rPr>
                <w:sz w:val="16"/>
                <w:szCs w:val="16"/>
              </w:rPr>
            </w:pPr>
          </w:p>
        </w:tc>
        <w:tc>
          <w:tcPr>
            <w:tcW w:w="2039" w:type="pct"/>
            <w:shd w:val="clear" w:color="auto" w:fill="auto"/>
            <w:tcMar>
              <w:top w:w="85" w:type="dxa"/>
              <w:bottom w:w="85" w:type="dxa"/>
            </w:tcMar>
          </w:tcPr>
          <w:p w14:paraId="4938FC56" w14:textId="77777777" w:rsidR="00394CA8" w:rsidRPr="00A859F2" w:rsidRDefault="00394CA8" w:rsidP="00394CA8">
            <w:pPr>
              <w:rPr>
                <w:sz w:val="16"/>
                <w:szCs w:val="16"/>
              </w:rPr>
            </w:pPr>
            <w:r w:rsidRPr="00A859F2">
              <w:rPr>
                <w:sz w:val="16"/>
                <w:szCs w:val="16"/>
              </w:rPr>
              <w:t>Nombre de normes modifiées et nouvelles adoptées</w:t>
            </w:r>
          </w:p>
        </w:tc>
        <w:tc>
          <w:tcPr>
            <w:tcW w:w="840" w:type="pct"/>
            <w:shd w:val="clear" w:color="auto" w:fill="FFFFFF"/>
            <w:tcMar>
              <w:top w:w="85" w:type="dxa"/>
              <w:bottom w:w="85" w:type="dxa"/>
            </w:tcMar>
          </w:tcPr>
          <w:p w14:paraId="2A355B5E"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12</w:t>
            </w:r>
          </w:p>
        </w:tc>
        <w:tc>
          <w:tcPr>
            <w:tcW w:w="677" w:type="pct"/>
            <w:shd w:val="clear" w:color="auto" w:fill="FFFFFF"/>
          </w:tcPr>
          <w:p w14:paraId="5BFEDCBE" w14:textId="77777777" w:rsidR="00394CA8" w:rsidRPr="00A859F2" w:rsidRDefault="00394CA8" w:rsidP="00394CA8">
            <w:pPr>
              <w:ind w:left="167"/>
              <w:jc w:val="center"/>
              <w:rPr>
                <w:color w:val="FF0000"/>
                <w:szCs w:val="22"/>
              </w:rPr>
            </w:pPr>
            <w:r w:rsidRPr="00A859F2">
              <w:rPr>
                <w:color w:val="00B050"/>
                <w:szCs w:val="22"/>
              </w:rPr>
              <w:sym w:font="Wingdings" w:char="F06C"/>
            </w:r>
          </w:p>
        </w:tc>
      </w:tr>
      <w:tr w:rsidR="00394CA8" w:rsidRPr="00A859F2" w14:paraId="1B0F794E" w14:textId="77777777" w:rsidTr="00394CA8">
        <w:tblPrEx>
          <w:tblCellMar>
            <w:left w:w="108" w:type="dxa"/>
            <w:right w:w="108" w:type="dxa"/>
          </w:tblCellMar>
        </w:tblPrEx>
        <w:trPr>
          <w:gridBefore w:val="1"/>
          <w:wBefore w:w="4" w:type="pct"/>
          <w:cantSplit/>
          <w:trHeight w:val="299"/>
        </w:trPr>
        <w:tc>
          <w:tcPr>
            <w:tcW w:w="1439" w:type="pct"/>
            <w:vMerge/>
            <w:shd w:val="clear" w:color="auto" w:fill="auto"/>
            <w:tcMar>
              <w:top w:w="85" w:type="dxa"/>
              <w:bottom w:w="85" w:type="dxa"/>
            </w:tcMar>
          </w:tcPr>
          <w:p w14:paraId="275B827D" w14:textId="77777777" w:rsidR="00394CA8" w:rsidRPr="00A859F2" w:rsidRDefault="00394CA8" w:rsidP="00394CA8">
            <w:pPr>
              <w:rPr>
                <w:sz w:val="16"/>
                <w:szCs w:val="16"/>
              </w:rPr>
            </w:pPr>
          </w:p>
        </w:tc>
        <w:tc>
          <w:tcPr>
            <w:tcW w:w="2039" w:type="pct"/>
            <w:shd w:val="clear" w:color="auto" w:fill="auto"/>
            <w:tcMar>
              <w:top w:w="85" w:type="dxa"/>
              <w:bottom w:w="85" w:type="dxa"/>
            </w:tcMar>
          </w:tcPr>
          <w:p w14:paraId="7CA9B1E0" w14:textId="77777777" w:rsidR="00394CA8" w:rsidRPr="00A859F2" w:rsidRDefault="00394CA8" w:rsidP="00394CA8">
            <w:pPr>
              <w:rPr>
                <w:sz w:val="16"/>
                <w:szCs w:val="16"/>
              </w:rPr>
            </w:pPr>
            <w:r w:rsidRPr="00A859F2">
              <w:rPr>
                <w:sz w:val="16"/>
                <w:szCs w:val="16"/>
              </w:rPr>
              <w:t>Nombre d’utilisateurs consultant les publications sur l’Internet des classifications internationales et des normes, notamment dans les pays en développement</w:t>
            </w:r>
          </w:p>
        </w:tc>
        <w:tc>
          <w:tcPr>
            <w:tcW w:w="840" w:type="pct"/>
            <w:shd w:val="clear" w:color="auto" w:fill="FFFFFF"/>
            <w:tcMar>
              <w:top w:w="85" w:type="dxa"/>
              <w:bottom w:w="85" w:type="dxa"/>
            </w:tcMar>
          </w:tcPr>
          <w:p w14:paraId="1519CE9F" w14:textId="77777777" w:rsidR="00394CA8" w:rsidRPr="00A859F2" w:rsidRDefault="00394CA8" w:rsidP="00394CA8">
            <w:pPr>
              <w:spacing w:before="40"/>
              <w:jc w:val="center"/>
              <w:rPr>
                <w:sz w:val="16"/>
                <w:szCs w:val="16"/>
              </w:rPr>
            </w:pPr>
            <w:r w:rsidRPr="00A859F2">
              <w:rPr>
                <w:sz w:val="16"/>
                <w:szCs w:val="16"/>
                <w:lang w:bidi="th-TH"/>
              </w:rPr>
              <w:t>Programme</w:t>
            </w:r>
            <w:r>
              <w:rPr>
                <w:sz w:val="16"/>
                <w:szCs w:val="16"/>
                <w:lang w:bidi="th-TH"/>
              </w:rPr>
              <w:t> </w:t>
            </w:r>
            <w:r w:rsidRPr="00A859F2">
              <w:rPr>
                <w:sz w:val="16"/>
                <w:szCs w:val="16"/>
                <w:lang w:bidi="th-TH"/>
              </w:rPr>
              <w:t>12</w:t>
            </w:r>
          </w:p>
        </w:tc>
        <w:tc>
          <w:tcPr>
            <w:tcW w:w="677" w:type="pct"/>
            <w:shd w:val="clear" w:color="auto" w:fill="FFFFFF"/>
          </w:tcPr>
          <w:p w14:paraId="1A1860FD" w14:textId="77777777" w:rsidR="00394CA8" w:rsidRPr="00A859F2" w:rsidRDefault="00394CA8" w:rsidP="00394CA8">
            <w:pPr>
              <w:ind w:left="167"/>
              <w:jc w:val="center"/>
              <w:rPr>
                <w:color w:val="00B050"/>
                <w:szCs w:val="22"/>
              </w:rPr>
            </w:pPr>
            <w:r w:rsidRPr="00A859F2">
              <w:rPr>
                <w:color w:val="FF0000"/>
                <w:szCs w:val="22"/>
              </w:rPr>
              <w:sym w:font="Wingdings" w:char="F06C"/>
            </w:r>
            <w:r w:rsidRPr="00A859F2">
              <w:rPr>
                <w:color w:val="FF0000"/>
                <w:szCs w:val="22"/>
              </w:rPr>
              <w:sym w:font="Wingdings" w:char="F06C"/>
            </w:r>
            <w:r w:rsidRPr="00A859F2">
              <w:rPr>
                <w:color w:val="FF0000"/>
                <w:szCs w:val="22"/>
              </w:rPr>
              <w:sym w:font="Wingdings" w:char="F06C"/>
            </w:r>
            <w:r w:rsidRPr="00A859F2">
              <w:rPr>
                <w:color w:val="00B050"/>
                <w:szCs w:val="22"/>
              </w:rPr>
              <w:sym w:font="Wingdings" w:char="F06C"/>
            </w:r>
          </w:p>
          <w:p w14:paraId="344D785E" w14:textId="77777777" w:rsidR="00394CA8" w:rsidRPr="00A859F2" w:rsidRDefault="00394CA8" w:rsidP="00394CA8">
            <w:pPr>
              <w:ind w:left="167"/>
              <w:jc w:val="center"/>
              <w:rPr>
                <w:color w:val="FF0000"/>
                <w:szCs w:val="22"/>
              </w:rPr>
            </w:pPr>
            <w:r w:rsidRPr="00A859F2">
              <w:rPr>
                <w:color w:val="FF0000"/>
                <w:szCs w:val="22"/>
              </w:rPr>
              <w:sym w:font="Wingdings" w:char="F06C"/>
            </w:r>
            <w:r w:rsidRPr="00A859F2">
              <w:rPr>
                <w:color w:val="00B050"/>
                <w:szCs w:val="22"/>
              </w:rPr>
              <w:sym w:font="Wingdings" w:char="F06C"/>
            </w:r>
            <w:r w:rsidRPr="00A859F2">
              <w:rPr>
                <w:color w:val="FF0000"/>
                <w:szCs w:val="22"/>
              </w:rPr>
              <w:sym w:font="Wingdings" w:char="F06C"/>
            </w:r>
          </w:p>
        </w:tc>
      </w:tr>
      <w:tr w:rsidR="00394CA8" w:rsidRPr="00A859F2" w14:paraId="0F456CA5" w14:textId="77777777" w:rsidTr="00394CA8">
        <w:tblPrEx>
          <w:tblCellMar>
            <w:left w:w="108" w:type="dxa"/>
            <w:right w:w="108" w:type="dxa"/>
          </w:tblCellMar>
        </w:tblPrEx>
        <w:trPr>
          <w:gridBefore w:val="1"/>
          <w:wBefore w:w="4" w:type="pct"/>
          <w:cantSplit/>
          <w:trHeight w:val="118"/>
        </w:trPr>
        <w:tc>
          <w:tcPr>
            <w:tcW w:w="1439" w:type="pct"/>
            <w:vMerge w:val="restart"/>
            <w:shd w:val="clear" w:color="auto" w:fill="auto"/>
            <w:tcMar>
              <w:top w:w="85" w:type="dxa"/>
              <w:bottom w:w="85" w:type="dxa"/>
            </w:tcMar>
          </w:tcPr>
          <w:p w14:paraId="3BAD5FEE" w14:textId="77777777" w:rsidR="00394CA8" w:rsidRPr="00A859F2" w:rsidRDefault="00394CA8" w:rsidP="00394CA8">
            <w:pPr>
              <w:rPr>
                <w:sz w:val="16"/>
                <w:szCs w:val="16"/>
              </w:rPr>
            </w:pPr>
            <w:r w:rsidRPr="00A859F2">
              <w:rPr>
                <w:sz w:val="16"/>
                <w:szCs w:val="16"/>
              </w:rPr>
              <w:t>IV.2 Amélioration de l’accessibilité et de l’utilisation de l’information en matière de propriété intellectuelle par les institutions compétentes et le public afin de promouvoir l’innovation et la créativité</w:t>
            </w:r>
          </w:p>
        </w:tc>
        <w:tc>
          <w:tcPr>
            <w:tcW w:w="2039" w:type="pct"/>
            <w:shd w:val="clear" w:color="auto" w:fill="auto"/>
            <w:tcMar>
              <w:top w:w="85" w:type="dxa"/>
              <w:bottom w:w="85" w:type="dxa"/>
            </w:tcMar>
          </w:tcPr>
          <w:p w14:paraId="054608F4" w14:textId="77777777" w:rsidR="00394CA8" w:rsidRPr="00A859F2" w:rsidRDefault="00394CA8" w:rsidP="00394CA8">
            <w:pPr>
              <w:rPr>
                <w:sz w:val="16"/>
                <w:szCs w:val="16"/>
              </w:rPr>
            </w:pPr>
            <w:r w:rsidRPr="00A859F2">
              <w:rPr>
                <w:sz w:val="16"/>
                <w:szCs w:val="16"/>
              </w:rPr>
              <w:t>Nombre de membres constitutifs du Consortium pour des livres accessibles</w:t>
            </w:r>
          </w:p>
        </w:tc>
        <w:tc>
          <w:tcPr>
            <w:tcW w:w="840" w:type="pct"/>
            <w:shd w:val="clear" w:color="auto" w:fill="FFFFFF"/>
            <w:tcMar>
              <w:top w:w="85" w:type="dxa"/>
              <w:bottom w:w="85" w:type="dxa"/>
            </w:tcMar>
          </w:tcPr>
          <w:p w14:paraId="6AD223CC"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3</w:t>
            </w:r>
          </w:p>
        </w:tc>
        <w:tc>
          <w:tcPr>
            <w:tcW w:w="677" w:type="pct"/>
            <w:shd w:val="clear" w:color="auto" w:fill="FFFFFF"/>
          </w:tcPr>
          <w:p w14:paraId="1AB43AEE" w14:textId="77777777" w:rsidR="00394CA8" w:rsidRPr="00A859F2" w:rsidRDefault="00394CA8" w:rsidP="00394CA8">
            <w:pPr>
              <w:ind w:left="167"/>
              <w:jc w:val="center"/>
              <w:rPr>
                <w:color w:val="FF0000"/>
                <w:szCs w:val="22"/>
              </w:rPr>
            </w:pPr>
            <w:r w:rsidRPr="00A859F2">
              <w:rPr>
                <w:color w:val="00B050"/>
                <w:szCs w:val="22"/>
              </w:rPr>
              <w:sym w:font="Wingdings" w:char="F06C"/>
            </w:r>
          </w:p>
        </w:tc>
      </w:tr>
      <w:tr w:rsidR="00394CA8" w:rsidRPr="00A859F2" w14:paraId="00ABC034" w14:textId="77777777" w:rsidTr="00394CA8">
        <w:tblPrEx>
          <w:tblCellMar>
            <w:left w:w="108" w:type="dxa"/>
            <w:right w:w="108" w:type="dxa"/>
          </w:tblCellMar>
        </w:tblPrEx>
        <w:trPr>
          <w:gridBefore w:val="1"/>
          <w:wBefore w:w="4" w:type="pct"/>
          <w:cantSplit/>
          <w:trHeight w:val="20"/>
        </w:trPr>
        <w:tc>
          <w:tcPr>
            <w:tcW w:w="1439" w:type="pct"/>
            <w:vMerge/>
            <w:shd w:val="clear" w:color="auto" w:fill="auto"/>
            <w:tcMar>
              <w:top w:w="85" w:type="dxa"/>
              <w:bottom w:w="85" w:type="dxa"/>
            </w:tcMar>
          </w:tcPr>
          <w:p w14:paraId="7565A18C" w14:textId="77777777" w:rsidR="00394CA8" w:rsidRPr="00A859F2" w:rsidRDefault="00394CA8" w:rsidP="00394CA8">
            <w:pPr>
              <w:rPr>
                <w:sz w:val="16"/>
                <w:szCs w:val="16"/>
              </w:rPr>
            </w:pPr>
          </w:p>
        </w:tc>
        <w:tc>
          <w:tcPr>
            <w:tcW w:w="2039" w:type="pct"/>
            <w:shd w:val="clear" w:color="auto" w:fill="auto"/>
            <w:tcMar>
              <w:top w:w="85" w:type="dxa"/>
              <w:bottom w:w="85" w:type="dxa"/>
            </w:tcMar>
          </w:tcPr>
          <w:p w14:paraId="56F36D1F" w14:textId="77777777" w:rsidR="00394CA8" w:rsidRPr="00A859F2" w:rsidRDefault="00394CA8" w:rsidP="00394CA8">
            <w:pPr>
              <w:rPr>
                <w:sz w:val="16"/>
                <w:szCs w:val="16"/>
              </w:rPr>
            </w:pPr>
            <w:r w:rsidRPr="00A859F2">
              <w:rPr>
                <w:sz w:val="16"/>
                <w:szCs w:val="16"/>
              </w:rPr>
              <w:t>Nombre de donateurs</w:t>
            </w:r>
          </w:p>
        </w:tc>
        <w:tc>
          <w:tcPr>
            <w:tcW w:w="840" w:type="pct"/>
            <w:shd w:val="clear" w:color="auto" w:fill="FFFFFF"/>
            <w:tcMar>
              <w:top w:w="85" w:type="dxa"/>
              <w:bottom w:w="85" w:type="dxa"/>
            </w:tcMar>
          </w:tcPr>
          <w:p w14:paraId="53AE227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3</w:t>
            </w:r>
          </w:p>
        </w:tc>
        <w:tc>
          <w:tcPr>
            <w:tcW w:w="677" w:type="pct"/>
            <w:shd w:val="clear" w:color="auto" w:fill="FFFFFF"/>
          </w:tcPr>
          <w:p w14:paraId="5A6C1D45" w14:textId="77777777" w:rsidR="00394CA8" w:rsidRPr="00A859F2" w:rsidRDefault="00394CA8" w:rsidP="00394CA8">
            <w:pPr>
              <w:ind w:left="167"/>
              <w:jc w:val="center"/>
              <w:rPr>
                <w:color w:val="FF0000"/>
                <w:szCs w:val="22"/>
              </w:rPr>
            </w:pPr>
            <w:r w:rsidRPr="00A859F2">
              <w:rPr>
                <w:color w:val="00B050"/>
                <w:szCs w:val="22"/>
              </w:rPr>
              <w:sym w:font="Wingdings" w:char="F06C"/>
            </w:r>
          </w:p>
        </w:tc>
      </w:tr>
      <w:tr w:rsidR="00394CA8" w:rsidRPr="00A859F2" w14:paraId="0630AE34" w14:textId="77777777" w:rsidTr="00394CA8">
        <w:tblPrEx>
          <w:tblCellMar>
            <w:left w:w="108" w:type="dxa"/>
            <w:right w:w="108" w:type="dxa"/>
          </w:tblCellMar>
        </w:tblPrEx>
        <w:trPr>
          <w:gridBefore w:val="1"/>
          <w:wBefore w:w="4" w:type="pct"/>
          <w:cantSplit/>
          <w:trHeight w:val="620"/>
        </w:trPr>
        <w:tc>
          <w:tcPr>
            <w:tcW w:w="1439" w:type="pct"/>
            <w:vMerge/>
            <w:shd w:val="clear" w:color="auto" w:fill="auto"/>
            <w:tcMar>
              <w:top w:w="85" w:type="dxa"/>
              <w:bottom w:w="85" w:type="dxa"/>
            </w:tcMar>
          </w:tcPr>
          <w:p w14:paraId="57F94017" w14:textId="77777777" w:rsidR="00394CA8" w:rsidRPr="00A859F2" w:rsidRDefault="00394CA8" w:rsidP="00394CA8">
            <w:pPr>
              <w:rPr>
                <w:sz w:val="16"/>
                <w:szCs w:val="16"/>
              </w:rPr>
            </w:pPr>
          </w:p>
        </w:tc>
        <w:tc>
          <w:tcPr>
            <w:tcW w:w="2039" w:type="pct"/>
            <w:shd w:val="clear" w:color="auto" w:fill="auto"/>
            <w:tcMar>
              <w:top w:w="85" w:type="dxa"/>
              <w:bottom w:w="85" w:type="dxa"/>
            </w:tcMar>
          </w:tcPr>
          <w:p w14:paraId="101C8ADA" w14:textId="77777777" w:rsidR="00394CA8" w:rsidRPr="00A859F2" w:rsidRDefault="00394CA8" w:rsidP="00394CA8">
            <w:pPr>
              <w:rPr>
                <w:sz w:val="16"/>
                <w:szCs w:val="16"/>
              </w:rPr>
            </w:pPr>
            <w:r w:rsidRPr="00A859F2">
              <w:rPr>
                <w:sz w:val="16"/>
                <w:szCs w:val="16"/>
              </w:rPr>
              <w:t>Nombre d’instruments juridiques, de lignes directrices, de déclarations de principes autres que les instruments contraignants avec la participation de parties prenantes concernées dans des domaines tels que les nouveaux traités sur le droit d’auteur et le droit d’auteur dans l’environnement numérique</w:t>
            </w:r>
          </w:p>
        </w:tc>
        <w:tc>
          <w:tcPr>
            <w:tcW w:w="840" w:type="pct"/>
            <w:shd w:val="clear" w:color="auto" w:fill="FFFFFF"/>
            <w:tcMar>
              <w:top w:w="85" w:type="dxa"/>
              <w:bottom w:w="85" w:type="dxa"/>
            </w:tcMar>
          </w:tcPr>
          <w:p w14:paraId="320779A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3</w:t>
            </w:r>
          </w:p>
        </w:tc>
        <w:tc>
          <w:tcPr>
            <w:tcW w:w="677" w:type="pct"/>
            <w:shd w:val="clear" w:color="auto" w:fill="FFFFFF"/>
          </w:tcPr>
          <w:p w14:paraId="63D1E450" w14:textId="77777777" w:rsidR="00394CA8" w:rsidRPr="00A859F2" w:rsidRDefault="00394CA8" w:rsidP="00394CA8">
            <w:pPr>
              <w:ind w:left="167"/>
              <w:jc w:val="center"/>
              <w:rPr>
                <w:color w:val="FF0000"/>
                <w:szCs w:val="22"/>
              </w:rPr>
            </w:pPr>
            <w:r w:rsidRPr="00A859F2">
              <w:rPr>
                <w:color w:val="00B050"/>
                <w:szCs w:val="22"/>
              </w:rPr>
              <w:sym w:font="Wingdings" w:char="F06C"/>
            </w:r>
          </w:p>
        </w:tc>
      </w:tr>
      <w:tr w:rsidR="00394CA8" w:rsidRPr="00A859F2" w14:paraId="374F1463" w14:textId="77777777" w:rsidTr="00394CA8">
        <w:tblPrEx>
          <w:tblCellMar>
            <w:left w:w="108" w:type="dxa"/>
            <w:right w:w="108" w:type="dxa"/>
          </w:tblCellMar>
        </w:tblPrEx>
        <w:trPr>
          <w:gridBefore w:val="1"/>
          <w:wBefore w:w="4" w:type="pct"/>
          <w:cantSplit/>
          <w:trHeight w:val="492"/>
        </w:trPr>
        <w:tc>
          <w:tcPr>
            <w:tcW w:w="1439" w:type="pct"/>
            <w:shd w:val="clear" w:color="auto" w:fill="auto"/>
            <w:tcMar>
              <w:top w:w="85" w:type="dxa"/>
              <w:bottom w:w="85" w:type="dxa"/>
            </w:tcMar>
          </w:tcPr>
          <w:p w14:paraId="1497ABE7" w14:textId="77777777" w:rsidR="00394CA8" w:rsidRPr="00A859F2" w:rsidRDefault="00394CA8" w:rsidP="00394CA8">
            <w:pPr>
              <w:rPr>
                <w:sz w:val="16"/>
                <w:szCs w:val="16"/>
              </w:rPr>
            </w:pPr>
          </w:p>
        </w:tc>
        <w:tc>
          <w:tcPr>
            <w:tcW w:w="2039" w:type="pct"/>
            <w:shd w:val="clear" w:color="auto" w:fill="auto"/>
            <w:tcMar>
              <w:top w:w="85" w:type="dxa"/>
              <w:bottom w:w="85" w:type="dxa"/>
            </w:tcMar>
          </w:tcPr>
          <w:p w14:paraId="19AA7A70" w14:textId="77777777" w:rsidR="00394CA8" w:rsidRPr="00A859F2" w:rsidRDefault="00394CA8" w:rsidP="00394CA8">
            <w:pPr>
              <w:rPr>
                <w:sz w:val="16"/>
                <w:szCs w:val="16"/>
              </w:rPr>
            </w:pPr>
            <w:r w:rsidRPr="00A859F2">
              <w:rPr>
                <w:sz w:val="16"/>
                <w:szCs w:val="16"/>
              </w:rPr>
              <w:t>Nombre de réseaux nationaux de centres d’appui à la technologie et à l’innovation (CATI) durables</w:t>
            </w:r>
            <w:r w:rsidRPr="00A859F2">
              <w:rPr>
                <w:rStyle w:val="FootnoteReference"/>
                <w:rFonts w:eastAsia="SimSun"/>
                <w:szCs w:val="16"/>
              </w:rPr>
              <w:footnoteReference w:id="59"/>
            </w:r>
            <w:r w:rsidRPr="00A859F2">
              <w:rPr>
                <w:sz w:val="16"/>
                <w:szCs w:val="16"/>
              </w:rPr>
              <w:t xml:space="preserve"> (données cumulées)</w:t>
            </w:r>
          </w:p>
        </w:tc>
        <w:tc>
          <w:tcPr>
            <w:tcW w:w="840" w:type="pct"/>
            <w:shd w:val="clear" w:color="auto" w:fill="FFFFFF"/>
            <w:tcMar>
              <w:top w:w="85" w:type="dxa"/>
              <w:bottom w:w="85" w:type="dxa"/>
            </w:tcMar>
          </w:tcPr>
          <w:p w14:paraId="3C27D309"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9</w:t>
            </w:r>
          </w:p>
          <w:p w14:paraId="5ED7CA86"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14</w:t>
            </w:r>
          </w:p>
          <w:p w14:paraId="178150BF" w14:textId="77777777" w:rsidR="00394CA8" w:rsidRPr="00A859F2" w:rsidRDefault="00394CA8" w:rsidP="00394CA8">
            <w:pPr>
              <w:spacing w:before="40"/>
              <w:jc w:val="center"/>
              <w:rPr>
                <w:color w:val="000000"/>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7" w:type="pct"/>
            <w:shd w:val="clear" w:color="auto" w:fill="FFFFFF"/>
          </w:tcPr>
          <w:p w14:paraId="57036F99" w14:textId="77777777" w:rsidR="00394CA8" w:rsidRPr="00A859F2" w:rsidRDefault="00394CA8" w:rsidP="00394CA8">
            <w:pPr>
              <w:jc w:val="center"/>
              <w:rPr>
                <w:color w:val="00B050"/>
                <w:szCs w:val="22"/>
              </w:rPr>
            </w:pPr>
            <w:r w:rsidRPr="00A859F2">
              <w:rPr>
                <w:color w:val="00B050"/>
                <w:szCs w:val="22"/>
              </w:rPr>
              <w:sym w:font="Wingdings" w:char="F06C"/>
            </w:r>
          </w:p>
          <w:p w14:paraId="39DD33F9" w14:textId="77777777" w:rsidR="00394CA8" w:rsidRPr="00A859F2" w:rsidRDefault="00394CA8" w:rsidP="00394CA8">
            <w:pPr>
              <w:jc w:val="center"/>
              <w:rPr>
                <w:color w:val="00B050"/>
                <w:szCs w:val="22"/>
              </w:rPr>
            </w:pPr>
            <w:r w:rsidRPr="00A859F2">
              <w:rPr>
                <w:color w:val="00B050"/>
                <w:szCs w:val="22"/>
              </w:rPr>
              <w:sym w:font="Wingdings" w:char="F06C"/>
            </w:r>
          </w:p>
          <w:p w14:paraId="761FA6CE" w14:textId="77777777" w:rsidR="00394CA8" w:rsidRPr="00A859F2" w:rsidRDefault="00394CA8" w:rsidP="00394CA8">
            <w:pPr>
              <w:jc w:val="center"/>
              <w:rPr>
                <w:color w:val="00B050"/>
                <w:szCs w:val="22"/>
              </w:rPr>
            </w:pPr>
            <w:r w:rsidRPr="00A859F2">
              <w:rPr>
                <w:color w:val="00B050"/>
                <w:szCs w:val="22"/>
              </w:rPr>
              <w:sym w:font="Wingdings" w:char="F06C"/>
            </w:r>
          </w:p>
        </w:tc>
      </w:tr>
      <w:tr w:rsidR="00394CA8" w:rsidRPr="00A859F2" w14:paraId="521C030B" w14:textId="77777777" w:rsidTr="00394CA8">
        <w:tblPrEx>
          <w:tblCellMar>
            <w:left w:w="108" w:type="dxa"/>
            <w:right w:w="108" w:type="dxa"/>
          </w:tblCellMar>
        </w:tblPrEx>
        <w:trPr>
          <w:gridBefore w:val="1"/>
          <w:wBefore w:w="4" w:type="pct"/>
          <w:cantSplit/>
          <w:trHeight w:val="762"/>
        </w:trPr>
        <w:tc>
          <w:tcPr>
            <w:tcW w:w="1439" w:type="pct"/>
            <w:shd w:val="clear" w:color="auto" w:fill="auto"/>
            <w:tcMar>
              <w:top w:w="85" w:type="dxa"/>
              <w:bottom w:w="85" w:type="dxa"/>
            </w:tcMar>
          </w:tcPr>
          <w:p w14:paraId="6FCDF4DA" w14:textId="77777777" w:rsidR="00394CA8" w:rsidRPr="00A859F2" w:rsidRDefault="00394CA8" w:rsidP="00394CA8">
            <w:pPr>
              <w:rPr>
                <w:sz w:val="16"/>
                <w:szCs w:val="16"/>
              </w:rPr>
            </w:pPr>
          </w:p>
        </w:tc>
        <w:tc>
          <w:tcPr>
            <w:tcW w:w="2039" w:type="pct"/>
            <w:shd w:val="clear" w:color="auto" w:fill="auto"/>
            <w:tcMar>
              <w:top w:w="85" w:type="dxa"/>
              <w:bottom w:w="85" w:type="dxa"/>
            </w:tcMar>
          </w:tcPr>
          <w:p w14:paraId="4B3735B2" w14:textId="77777777" w:rsidR="00394CA8" w:rsidRPr="00A859F2" w:rsidRDefault="00394CA8" w:rsidP="00394CA8">
            <w:pPr>
              <w:rPr>
                <w:sz w:val="16"/>
                <w:szCs w:val="16"/>
              </w:rPr>
            </w:pPr>
            <w:r w:rsidRPr="00A859F2">
              <w:rPr>
                <w:sz w:val="16"/>
                <w:szCs w:val="16"/>
              </w:rPr>
              <w:t>Nombre d’organisations, de communautés, de particuliers qui appliquent ou utilisent la technologie appropriée comme solution aux défis de développement recensés dans les PMA</w:t>
            </w:r>
          </w:p>
        </w:tc>
        <w:tc>
          <w:tcPr>
            <w:tcW w:w="840" w:type="pct"/>
            <w:shd w:val="clear" w:color="auto" w:fill="FFFFFF"/>
            <w:tcMar>
              <w:top w:w="85" w:type="dxa"/>
              <w:bottom w:w="85" w:type="dxa"/>
            </w:tcMar>
          </w:tcPr>
          <w:p w14:paraId="2013DA16" w14:textId="77777777" w:rsidR="00394CA8" w:rsidRPr="00A859F2" w:rsidRDefault="00394CA8" w:rsidP="00394CA8">
            <w:pPr>
              <w:spacing w:before="40"/>
              <w:jc w:val="center"/>
              <w:rPr>
                <w:sz w:val="16"/>
                <w:szCs w:val="16"/>
                <w:highlight w:val="yellow"/>
                <w:lang w:bidi="th-TH"/>
              </w:rPr>
            </w:pPr>
            <w:r w:rsidRPr="00A859F2">
              <w:rPr>
                <w:sz w:val="16"/>
                <w:szCs w:val="16"/>
                <w:lang w:bidi="th-TH"/>
              </w:rPr>
              <w:t>Programme</w:t>
            </w:r>
            <w:r>
              <w:rPr>
                <w:sz w:val="16"/>
                <w:szCs w:val="16"/>
                <w:lang w:bidi="th-TH"/>
              </w:rPr>
              <w:t> </w:t>
            </w:r>
            <w:r w:rsidRPr="00A859F2">
              <w:rPr>
                <w:sz w:val="16"/>
                <w:szCs w:val="16"/>
                <w:lang w:bidi="th-TH"/>
              </w:rPr>
              <w:t>9</w:t>
            </w:r>
          </w:p>
        </w:tc>
        <w:tc>
          <w:tcPr>
            <w:tcW w:w="677" w:type="pct"/>
            <w:shd w:val="clear" w:color="auto" w:fill="FFFFFF"/>
          </w:tcPr>
          <w:p w14:paraId="34A25177"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36CFDEEB" w14:textId="77777777" w:rsidTr="00394CA8">
        <w:tblPrEx>
          <w:tblCellMar>
            <w:left w:w="108" w:type="dxa"/>
            <w:right w:w="108" w:type="dxa"/>
          </w:tblCellMar>
        </w:tblPrEx>
        <w:trPr>
          <w:gridBefore w:val="1"/>
          <w:wBefore w:w="4" w:type="pct"/>
          <w:cantSplit/>
          <w:trHeight w:val="762"/>
        </w:trPr>
        <w:tc>
          <w:tcPr>
            <w:tcW w:w="1439" w:type="pct"/>
            <w:shd w:val="clear" w:color="auto" w:fill="auto"/>
            <w:tcMar>
              <w:top w:w="85" w:type="dxa"/>
              <w:bottom w:w="85" w:type="dxa"/>
            </w:tcMar>
          </w:tcPr>
          <w:p w14:paraId="17AD9B69" w14:textId="77777777" w:rsidR="00394CA8" w:rsidRPr="00A859F2" w:rsidRDefault="00394CA8" w:rsidP="00394CA8">
            <w:pPr>
              <w:rPr>
                <w:sz w:val="16"/>
                <w:szCs w:val="16"/>
              </w:rPr>
            </w:pPr>
          </w:p>
        </w:tc>
        <w:tc>
          <w:tcPr>
            <w:tcW w:w="2039" w:type="pct"/>
            <w:shd w:val="clear" w:color="auto" w:fill="auto"/>
            <w:tcMar>
              <w:top w:w="85" w:type="dxa"/>
              <w:bottom w:w="85" w:type="dxa"/>
            </w:tcMar>
          </w:tcPr>
          <w:p w14:paraId="7A2FB986" w14:textId="77777777" w:rsidR="00394CA8" w:rsidRPr="00A859F2" w:rsidRDefault="00394CA8" w:rsidP="00394CA8">
            <w:pPr>
              <w:rPr>
                <w:sz w:val="16"/>
                <w:szCs w:val="16"/>
              </w:rPr>
            </w:pPr>
            <w:r w:rsidRPr="00A859F2">
              <w:rPr>
                <w:sz w:val="16"/>
                <w:szCs w:val="16"/>
              </w:rPr>
              <w:t>Utilisation d’une technologie appropriée pour le développement par les recherches en matière de brevets et les rapports, panoramas technologiques, plans d’action (nombre d’experts, groupes d’experts nationaux dans les PMA)</w:t>
            </w:r>
          </w:p>
        </w:tc>
        <w:tc>
          <w:tcPr>
            <w:tcW w:w="840" w:type="pct"/>
            <w:shd w:val="clear" w:color="auto" w:fill="FFFFFF"/>
            <w:tcMar>
              <w:top w:w="85" w:type="dxa"/>
              <w:bottom w:w="85" w:type="dxa"/>
            </w:tcMar>
          </w:tcPr>
          <w:p w14:paraId="13ED343B"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9</w:t>
            </w:r>
          </w:p>
        </w:tc>
        <w:tc>
          <w:tcPr>
            <w:tcW w:w="677" w:type="pct"/>
            <w:shd w:val="clear" w:color="auto" w:fill="FFFFFF"/>
          </w:tcPr>
          <w:p w14:paraId="0DF97A27"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1C81C42C" w14:textId="77777777" w:rsidTr="00394CA8">
        <w:tblPrEx>
          <w:tblCellMar>
            <w:left w:w="108" w:type="dxa"/>
            <w:right w:w="108" w:type="dxa"/>
          </w:tblCellMar>
        </w:tblPrEx>
        <w:trPr>
          <w:gridBefore w:val="1"/>
          <w:wBefore w:w="4" w:type="pct"/>
          <w:cantSplit/>
          <w:trHeight w:val="167"/>
        </w:trPr>
        <w:tc>
          <w:tcPr>
            <w:tcW w:w="1439" w:type="pct"/>
            <w:shd w:val="clear" w:color="auto" w:fill="auto"/>
            <w:tcMar>
              <w:top w:w="85" w:type="dxa"/>
              <w:bottom w:w="85" w:type="dxa"/>
            </w:tcMar>
          </w:tcPr>
          <w:p w14:paraId="5FA7B26A" w14:textId="77777777" w:rsidR="00394CA8" w:rsidRPr="00A859F2" w:rsidRDefault="00394CA8" w:rsidP="00394CA8">
            <w:pPr>
              <w:rPr>
                <w:sz w:val="16"/>
                <w:szCs w:val="16"/>
              </w:rPr>
            </w:pPr>
          </w:p>
        </w:tc>
        <w:tc>
          <w:tcPr>
            <w:tcW w:w="2039" w:type="pct"/>
            <w:shd w:val="clear" w:color="auto" w:fill="auto"/>
            <w:tcMar>
              <w:top w:w="85" w:type="dxa"/>
              <w:bottom w:w="85" w:type="dxa"/>
            </w:tcMar>
          </w:tcPr>
          <w:p w14:paraId="3F746C91" w14:textId="77777777" w:rsidR="00394CA8" w:rsidRPr="00A859F2" w:rsidRDefault="00394CA8" w:rsidP="00394CA8">
            <w:pPr>
              <w:rPr>
                <w:sz w:val="16"/>
                <w:szCs w:val="16"/>
              </w:rPr>
            </w:pPr>
            <w:r w:rsidRPr="00A859F2">
              <w:rPr>
                <w:sz w:val="16"/>
                <w:szCs w:val="16"/>
              </w:rPr>
              <w:t>Technologie appropriée recensée commercialisée dans les PMA</w:t>
            </w:r>
          </w:p>
        </w:tc>
        <w:tc>
          <w:tcPr>
            <w:tcW w:w="840" w:type="pct"/>
            <w:shd w:val="clear" w:color="auto" w:fill="FFFFFF"/>
            <w:tcMar>
              <w:top w:w="85" w:type="dxa"/>
              <w:bottom w:w="85" w:type="dxa"/>
            </w:tcMar>
          </w:tcPr>
          <w:p w14:paraId="7075CB4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9</w:t>
            </w:r>
          </w:p>
        </w:tc>
        <w:tc>
          <w:tcPr>
            <w:tcW w:w="677" w:type="pct"/>
            <w:shd w:val="clear" w:color="auto" w:fill="FFFFFF"/>
          </w:tcPr>
          <w:p w14:paraId="7203F2AD"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554A92FC" w14:textId="77777777" w:rsidTr="00394CA8">
        <w:tblPrEx>
          <w:tblCellMar>
            <w:left w:w="108" w:type="dxa"/>
            <w:right w:w="108" w:type="dxa"/>
          </w:tblCellMar>
        </w:tblPrEx>
        <w:trPr>
          <w:gridBefore w:val="1"/>
          <w:wBefore w:w="4" w:type="pct"/>
          <w:cantSplit/>
          <w:trHeight w:val="62"/>
        </w:trPr>
        <w:tc>
          <w:tcPr>
            <w:tcW w:w="1439" w:type="pct"/>
            <w:shd w:val="clear" w:color="auto" w:fill="auto"/>
            <w:tcMar>
              <w:top w:w="85" w:type="dxa"/>
              <w:bottom w:w="85" w:type="dxa"/>
            </w:tcMar>
          </w:tcPr>
          <w:p w14:paraId="394F800F" w14:textId="77777777" w:rsidR="00394CA8" w:rsidRPr="00A859F2" w:rsidRDefault="00394CA8" w:rsidP="00394CA8">
            <w:pPr>
              <w:rPr>
                <w:sz w:val="16"/>
                <w:szCs w:val="16"/>
              </w:rPr>
            </w:pPr>
          </w:p>
        </w:tc>
        <w:tc>
          <w:tcPr>
            <w:tcW w:w="2039" w:type="pct"/>
            <w:shd w:val="clear" w:color="auto" w:fill="auto"/>
            <w:tcMar>
              <w:top w:w="85" w:type="dxa"/>
              <w:bottom w:w="85" w:type="dxa"/>
            </w:tcMar>
          </w:tcPr>
          <w:p w14:paraId="39F0A281" w14:textId="77777777" w:rsidR="00394CA8" w:rsidRPr="00A859F2" w:rsidRDefault="00394CA8" w:rsidP="00394CA8">
            <w:pPr>
              <w:rPr>
                <w:sz w:val="16"/>
                <w:szCs w:val="16"/>
              </w:rPr>
            </w:pPr>
            <w:r w:rsidRPr="00A859F2">
              <w:rPr>
                <w:sz w:val="16"/>
                <w:szCs w:val="16"/>
              </w:rPr>
              <w:t>Projets reproduits dans d’autres secteurs dans les PMA</w:t>
            </w:r>
          </w:p>
        </w:tc>
        <w:tc>
          <w:tcPr>
            <w:tcW w:w="840" w:type="pct"/>
            <w:shd w:val="clear" w:color="auto" w:fill="FFFFFF"/>
            <w:tcMar>
              <w:top w:w="85" w:type="dxa"/>
              <w:bottom w:w="85" w:type="dxa"/>
            </w:tcMar>
          </w:tcPr>
          <w:p w14:paraId="5F970DA5"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9</w:t>
            </w:r>
          </w:p>
        </w:tc>
        <w:tc>
          <w:tcPr>
            <w:tcW w:w="677" w:type="pct"/>
            <w:shd w:val="clear" w:color="auto" w:fill="FFFFFF"/>
          </w:tcPr>
          <w:p w14:paraId="40F36A87" w14:textId="77777777" w:rsidR="00394CA8" w:rsidRPr="00A859F2" w:rsidRDefault="00394CA8" w:rsidP="00394CA8">
            <w:pPr>
              <w:jc w:val="center"/>
              <w:rPr>
                <w:color w:val="FF0000"/>
                <w:szCs w:val="22"/>
              </w:rPr>
            </w:pPr>
            <w:r w:rsidRPr="00A859F2">
              <w:rPr>
                <w:color w:val="FF0000"/>
                <w:szCs w:val="22"/>
              </w:rPr>
              <w:sym w:font="Wingdings" w:char="F06C"/>
            </w:r>
          </w:p>
        </w:tc>
      </w:tr>
      <w:tr w:rsidR="00394CA8" w:rsidRPr="00A859F2" w14:paraId="550E0518" w14:textId="77777777" w:rsidTr="00394CA8">
        <w:tblPrEx>
          <w:tblCellMar>
            <w:left w:w="108" w:type="dxa"/>
            <w:right w:w="108" w:type="dxa"/>
          </w:tblCellMar>
        </w:tblPrEx>
        <w:trPr>
          <w:gridBefore w:val="1"/>
          <w:wBefore w:w="4" w:type="pct"/>
          <w:cantSplit/>
          <w:trHeight w:val="338"/>
        </w:trPr>
        <w:tc>
          <w:tcPr>
            <w:tcW w:w="1439" w:type="pct"/>
            <w:shd w:val="clear" w:color="auto" w:fill="auto"/>
            <w:tcMar>
              <w:top w:w="85" w:type="dxa"/>
              <w:bottom w:w="85" w:type="dxa"/>
            </w:tcMar>
          </w:tcPr>
          <w:p w14:paraId="28F5B480" w14:textId="77777777" w:rsidR="00394CA8" w:rsidRPr="00A859F2" w:rsidRDefault="00394CA8" w:rsidP="00394CA8">
            <w:pPr>
              <w:rPr>
                <w:sz w:val="16"/>
                <w:szCs w:val="16"/>
              </w:rPr>
            </w:pPr>
          </w:p>
        </w:tc>
        <w:tc>
          <w:tcPr>
            <w:tcW w:w="2039" w:type="pct"/>
            <w:shd w:val="clear" w:color="auto" w:fill="auto"/>
            <w:tcMar>
              <w:top w:w="85" w:type="dxa"/>
              <w:bottom w:w="85" w:type="dxa"/>
            </w:tcMar>
          </w:tcPr>
          <w:p w14:paraId="751A5C00" w14:textId="77777777" w:rsidR="00394CA8" w:rsidRPr="00A859F2" w:rsidRDefault="00394CA8" w:rsidP="00394CA8">
            <w:pPr>
              <w:rPr>
                <w:sz w:val="16"/>
                <w:szCs w:val="16"/>
              </w:rPr>
            </w:pPr>
            <w:r w:rsidRPr="00A859F2">
              <w:rPr>
                <w:sz w:val="16"/>
                <w:szCs w:val="16"/>
              </w:rPr>
              <w:t>Institutions créées pour continuer à travailler sur la technologie appropriée dans les PMA</w:t>
            </w:r>
          </w:p>
        </w:tc>
        <w:tc>
          <w:tcPr>
            <w:tcW w:w="840" w:type="pct"/>
            <w:shd w:val="clear" w:color="auto" w:fill="FFFFFF"/>
            <w:tcMar>
              <w:top w:w="85" w:type="dxa"/>
              <w:bottom w:w="85" w:type="dxa"/>
            </w:tcMar>
          </w:tcPr>
          <w:p w14:paraId="0F487379"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9</w:t>
            </w:r>
          </w:p>
        </w:tc>
        <w:tc>
          <w:tcPr>
            <w:tcW w:w="677" w:type="pct"/>
            <w:shd w:val="clear" w:color="auto" w:fill="FFFFFF"/>
          </w:tcPr>
          <w:p w14:paraId="6982AC04"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53359F36" w14:textId="77777777" w:rsidTr="00394CA8">
        <w:tblPrEx>
          <w:tblCellMar>
            <w:left w:w="108" w:type="dxa"/>
            <w:right w:w="108" w:type="dxa"/>
          </w:tblCellMar>
        </w:tblPrEx>
        <w:trPr>
          <w:gridBefore w:val="1"/>
          <w:wBefore w:w="4" w:type="pct"/>
          <w:cantSplit/>
          <w:trHeight w:val="388"/>
        </w:trPr>
        <w:tc>
          <w:tcPr>
            <w:tcW w:w="1439" w:type="pct"/>
            <w:shd w:val="clear" w:color="auto" w:fill="auto"/>
            <w:tcMar>
              <w:top w:w="85" w:type="dxa"/>
              <w:bottom w:w="85" w:type="dxa"/>
            </w:tcMar>
          </w:tcPr>
          <w:p w14:paraId="15E65C49" w14:textId="77777777" w:rsidR="00394CA8" w:rsidRPr="00A859F2" w:rsidRDefault="00394CA8" w:rsidP="00394CA8">
            <w:pPr>
              <w:rPr>
                <w:sz w:val="16"/>
                <w:szCs w:val="16"/>
              </w:rPr>
            </w:pPr>
          </w:p>
        </w:tc>
        <w:tc>
          <w:tcPr>
            <w:tcW w:w="2039" w:type="pct"/>
            <w:shd w:val="clear" w:color="auto" w:fill="auto"/>
            <w:tcMar>
              <w:top w:w="85" w:type="dxa"/>
              <w:bottom w:w="85" w:type="dxa"/>
            </w:tcMar>
          </w:tcPr>
          <w:p w14:paraId="416F2BF2" w14:textId="77777777" w:rsidR="00394CA8" w:rsidRPr="00A859F2" w:rsidRDefault="00394CA8" w:rsidP="00394CA8">
            <w:pPr>
              <w:rPr>
                <w:sz w:val="16"/>
                <w:szCs w:val="16"/>
              </w:rPr>
            </w:pPr>
            <w:r w:rsidRPr="00A859F2">
              <w:rPr>
                <w:sz w:val="16"/>
                <w:szCs w:val="16"/>
              </w:rPr>
              <w:t>Poursuite et développement des programmes nationaux de renforcement des capacités techniques relatifs aux technologies appropriées dans les PMA</w:t>
            </w:r>
          </w:p>
        </w:tc>
        <w:tc>
          <w:tcPr>
            <w:tcW w:w="840" w:type="pct"/>
            <w:shd w:val="clear" w:color="auto" w:fill="FFFFFF"/>
            <w:tcMar>
              <w:top w:w="85" w:type="dxa"/>
              <w:bottom w:w="85" w:type="dxa"/>
            </w:tcMar>
          </w:tcPr>
          <w:p w14:paraId="60F5AB11" w14:textId="77777777" w:rsidR="00394CA8" w:rsidRPr="00A859F2" w:rsidRDefault="00394CA8" w:rsidP="00394CA8">
            <w:pPr>
              <w:spacing w:before="40"/>
              <w:jc w:val="center"/>
              <w:rPr>
                <w:sz w:val="16"/>
                <w:szCs w:val="16"/>
                <w:lang w:bidi="th-TH"/>
              </w:rPr>
            </w:pPr>
            <w:r w:rsidRPr="00A859F2">
              <w:rPr>
                <w:sz w:val="16"/>
                <w:szCs w:val="16"/>
                <w:lang w:bidi="th-TH"/>
              </w:rPr>
              <w:t>Programme 9</w:t>
            </w:r>
          </w:p>
        </w:tc>
        <w:tc>
          <w:tcPr>
            <w:tcW w:w="677" w:type="pct"/>
            <w:shd w:val="clear" w:color="auto" w:fill="FFFFFF"/>
          </w:tcPr>
          <w:p w14:paraId="4BB0A84E"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3A64CE63" w14:textId="77777777" w:rsidTr="00394CA8">
        <w:tblPrEx>
          <w:tblCellMar>
            <w:left w:w="108" w:type="dxa"/>
            <w:right w:w="108" w:type="dxa"/>
          </w:tblCellMar>
        </w:tblPrEx>
        <w:trPr>
          <w:gridBefore w:val="1"/>
          <w:wBefore w:w="4" w:type="pct"/>
          <w:cantSplit/>
          <w:trHeight w:val="511"/>
        </w:trPr>
        <w:tc>
          <w:tcPr>
            <w:tcW w:w="1439" w:type="pct"/>
            <w:shd w:val="clear" w:color="auto" w:fill="auto"/>
            <w:tcMar>
              <w:top w:w="85" w:type="dxa"/>
              <w:bottom w:w="85" w:type="dxa"/>
            </w:tcMar>
          </w:tcPr>
          <w:p w14:paraId="4B29C384" w14:textId="77777777" w:rsidR="00394CA8" w:rsidRPr="00A859F2" w:rsidRDefault="00394CA8" w:rsidP="00394CA8">
            <w:pPr>
              <w:rPr>
                <w:sz w:val="16"/>
                <w:szCs w:val="16"/>
              </w:rPr>
            </w:pPr>
          </w:p>
        </w:tc>
        <w:tc>
          <w:tcPr>
            <w:tcW w:w="2039" w:type="pct"/>
            <w:shd w:val="clear" w:color="auto" w:fill="auto"/>
            <w:tcMar>
              <w:top w:w="85" w:type="dxa"/>
              <w:bottom w:w="85" w:type="dxa"/>
            </w:tcMar>
          </w:tcPr>
          <w:p w14:paraId="1C3E842F" w14:textId="77777777" w:rsidR="00394CA8" w:rsidRPr="00A859F2" w:rsidRDefault="00394CA8" w:rsidP="00394CA8">
            <w:pPr>
              <w:rPr>
                <w:sz w:val="16"/>
                <w:szCs w:val="16"/>
              </w:rPr>
            </w:pPr>
            <w:r w:rsidRPr="00A859F2">
              <w:rPr>
                <w:sz w:val="16"/>
                <w:szCs w:val="16"/>
              </w:rPr>
              <w:t>Utilisation d’une technologie appropriée pour le développement économique prévue dans les politiques et stratégies nationales en matière d’innovation et de propriété intellectuelle dans les PMA</w:t>
            </w:r>
          </w:p>
        </w:tc>
        <w:tc>
          <w:tcPr>
            <w:tcW w:w="840" w:type="pct"/>
            <w:shd w:val="clear" w:color="auto" w:fill="FFFFFF"/>
            <w:tcMar>
              <w:top w:w="85" w:type="dxa"/>
              <w:bottom w:w="85" w:type="dxa"/>
            </w:tcMar>
          </w:tcPr>
          <w:p w14:paraId="2561C1C3" w14:textId="77777777" w:rsidR="00394CA8" w:rsidRPr="00A859F2" w:rsidRDefault="00394CA8" w:rsidP="00394CA8">
            <w:pPr>
              <w:spacing w:before="40"/>
              <w:jc w:val="center"/>
              <w:rPr>
                <w:sz w:val="16"/>
                <w:szCs w:val="16"/>
                <w:lang w:bidi="th-TH"/>
              </w:rPr>
            </w:pPr>
            <w:r w:rsidRPr="00A859F2">
              <w:rPr>
                <w:sz w:val="16"/>
                <w:szCs w:val="16"/>
                <w:lang w:bidi="th-TH"/>
              </w:rPr>
              <w:t>Programme 9</w:t>
            </w:r>
          </w:p>
        </w:tc>
        <w:tc>
          <w:tcPr>
            <w:tcW w:w="677" w:type="pct"/>
            <w:shd w:val="clear" w:color="auto" w:fill="FFFFFF"/>
          </w:tcPr>
          <w:p w14:paraId="325322A4" w14:textId="77777777" w:rsidR="00394CA8" w:rsidRPr="00A859F2" w:rsidRDefault="00394CA8" w:rsidP="00394CA8">
            <w:pPr>
              <w:jc w:val="center"/>
              <w:rPr>
                <w:color w:val="FF0000"/>
                <w:szCs w:val="22"/>
              </w:rPr>
            </w:pPr>
            <w:r w:rsidRPr="00A859F2">
              <w:rPr>
                <w:color w:val="FF0000"/>
                <w:szCs w:val="22"/>
              </w:rPr>
              <w:sym w:font="Wingdings" w:char="F06C"/>
            </w:r>
          </w:p>
        </w:tc>
      </w:tr>
      <w:tr w:rsidR="00394CA8" w:rsidRPr="00A859F2" w14:paraId="71FB755C" w14:textId="77777777" w:rsidTr="00394CA8">
        <w:tblPrEx>
          <w:tblCellMar>
            <w:left w:w="108" w:type="dxa"/>
            <w:right w:w="108" w:type="dxa"/>
          </w:tblCellMar>
        </w:tblPrEx>
        <w:trPr>
          <w:gridBefore w:val="1"/>
          <w:wBefore w:w="4" w:type="pct"/>
          <w:cantSplit/>
          <w:trHeight w:val="368"/>
        </w:trPr>
        <w:tc>
          <w:tcPr>
            <w:tcW w:w="1439" w:type="pct"/>
            <w:shd w:val="clear" w:color="auto" w:fill="auto"/>
            <w:tcMar>
              <w:top w:w="85" w:type="dxa"/>
              <w:bottom w:w="85" w:type="dxa"/>
            </w:tcMar>
          </w:tcPr>
          <w:p w14:paraId="484E7984" w14:textId="77777777" w:rsidR="00394CA8" w:rsidRPr="00A859F2" w:rsidRDefault="00394CA8" w:rsidP="00394CA8">
            <w:pPr>
              <w:rPr>
                <w:sz w:val="16"/>
                <w:szCs w:val="16"/>
              </w:rPr>
            </w:pPr>
          </w:p>
        </w:tc>
        <w:tc>
          <w:tcPr>
            <w:tcW w:w="2039" w:type="pct"/>
            <w:shd w:val="clear" w:color="auto" w:fill="auto"/>
            <w:tcMar>
              <w:top w:w="85" w:type="dxa"/>
              <w:bottom w:w="85" w:type="dxa"/>
            </w:tcMar>
          </w:tcPr>
          <w:p w14:paraId="059896B9" w14:textId="77777777" w:rsidR="00394CA8" w:rsidRPr="00A859F2" w:rsidRDefault="00394CA8" w:rsidP="00394CA8">
            <w:pPr>
              <w:rPr>
                <w:sz w:val="16"/>
                <w:szCs w:val="16"/>
              </w:rPr>
            </w:pPr>
            <w:r w:rsidRPr="00A859F2">
              <w:rPr>
                <w:sz w:val="16"/>
                <w:szCs w:val="16"/>
              </w:rPr>
              <w:t>Nombre d’utilisateurs différents par trimestre dans tous les systèmes de bases de données mondiales</w:t>
            </w:r>
          </w:p>
        </w:tc>
        <w:tc>
          <w:tcPr>
            <w:tcW w:w="840" w:type="pct"/>
            <w:shd w:val="clear" w:color="auto" w:fill="FFFFFF"/>
            <w:tcMar>
              <w:top w:w="85" w:type="dxa"/>
              <w:bottom w:w="85" w:type="dxa"/>
            </w:tcMar>
          </w:tcPr>
          <w:p w14:paraId="49DADB8C"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6C25675E"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256023DE" w14:textId="77777777" w:rsidTr="00394CA8">
        <w:tblPrEx>
          <w:tblCellMar>
            <w:left w:w="108" w:type="dxa"/>
            <w:right w:w="108" w:type="dxa"/>
          </w:tblCellMar>
        </w:tblPrEx>
        <w:trPr>
          <w:gridBefore w:val="1"/>
          <w:wBefore w:w="4" w:type="pct"/>
          <w:cantSplit/>
          <w:trHeight w:val="399"/>
        </w:trPr>
        <w:tc>
          <w:tcPr>
            <w:tcW w:w="1439" w:type="pct"/>
            <w:shd w:val="clear" w:color="auto" w:fill="auto"/>
            <w:tcMar>
              <w:top w:w="85" w:type="dxa"/>
              <w:bottom w:w="85" w:type="dxa"/>
            </w:tcMar>
          </w:tcPr>
          <w:p w14:paraId="56D24022" w14:textId="77777777" w:rsidR="00394CA8" w:rsidRPr="00A859F2" w:rsidRDefault="00394CA8" w:rsidP="00394CA8">
            <w:pPr>
              <w:rPr>
                <w:sz w:val="16"/>
                <w:szCs w:val="16"/>
              </w:rPr>
            </w:pPr>
          </w:p>
        </w:tc>
        <w:tc>
          <w:tcPr>
            <w:tcW w:w="2039" w:type="pct"/>
            <w:shd w:val="clear" w:color="auto" w:fill="auto"/>
            <w:tcMar>
              <w:top w:w="85" w:type="dxa"/>
              <w:bottom w:w="85" w:type="dxa"/>
            </w:tcMar>
          </w:tcPr>
          <w:p w14:paraId="5AF33FFA" w14:textId="77777777" w:rsidR="00394CA8" w:rsidRPr="00A859F2" w:rsidRDefault="00394CA8" w:rsidP="00394CA8">
            <w:pPr>
              <w:rPr>
                <w:sz w:val="16"/>
                <w:szCs w:val="16"/>
              </w:rPr>
            </w:pPr>
            <w:r w:rsidRPr="00A859F2">
              <w:rPr>
                <w:sz w:val="16"/>
                <w:szCs w:val="16"/>
              </w:rPr>
              <w:t>Nombre de langues dans lesquelles il est possible de faire des recherches multilingues</w:t>
            </w:r>
          </w:p>
        </w:tc>
        <w:tc>
          <w:tcPr>
            <w:tcW w:w="840" w:type="pct"/>
            <w:shd w:val="clear" w:color="auto" w:fill="FFFFFF"/>
            <w:tcMar>
              <w:top w:w="85" w:type="dxa"/>
              <w:bottom w:w="85" w:type="dxa"/>
            </w:tcMar>
          </w:tcPr>
          <w:p w14:paraId="40EA3BAD"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75003E3A"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3824D80B" w14:textId="77777777" w:rsidTr="00394CA8">
        <w:tblPrEx>
          <w:tblCellMar>
            <w:left w:w="108" w:type="dxa"/>
            <w:right w:w="108" w:type="dxa"/>
          </w:tblCellMar>
        </w:tblPrEx>
        <w:trPr>
          <w:gridBefore w:val="1"/>
          <w:wBefore w:w="4" w:type="pct"/>
          <w:cantSplit/>
          <w:trHeight w:val="384"/>
        </w:trPr>
        <w:tc>
          <w:tcPr>
            <w:tcW w:w="1439" w:type="pct"/>
            <w:shd w:val="clear" w:color="auto" w:fill="auto"/>
            <w:tcMar>
              <w:top w:w="85" w:type="dxa"/>
              <w:bottom w:w="85" w:type="dxa"/>
            </w:tcMar>
          </w:tcPr>
          <w:p w14:paraId="744CCB98" w14:textId="77777777" w:rsidR="00394CA8" w:rsidRPr="00A859F2" w:rsidRDefault="00394CA8" w:rsidP="00394CA8">
            <w:pPr>
              <w:rPr>
                <w:sz w:val="16"/>
                <w:szCs w:val="16"/>
              </w:rPr>
            </w:pPr>
          </w:p>
        </w:tc>
        <w:tc>
          <w:tcPr>
            <w:tcW w:w="2039" w:type="pct"/>
            <w:shd w:val="clear" w:color="auto" w:fill="auto"/>
            <w:tcMar>
              <w:top w:w="85" w:type="dxa"/>
              <w:bottom w:w="85" w:type="dxa"/>
            </w:tcMar>
          </w:tcPr>
          <w:p w14:paraId="412B7F27" w14:textId="77777777" w:rsidR="00394CA8" w:rsidRPr="00A859F2" w:rsidRDefault="00394CA8" w:rsidP="00394CA8">
            <w:pPr>
              <w:rPr>
                <w:sz w:val="16"/>
                <w:szCs w:val="16"/>
              </w:rPr>
            </w:pPr>
            <w:r w:rsidRPr="00A859F2">
              <w:rPr>
                <w:sz w:val="16"/>
                <w:szCs w:val="16"/>
              </w:rPr>
              <w:t>Nombre de combinaisons linguistiques disponibles pour la traduction des descriptions et des revendications</w:t>
            </w:r>
          </w:p>
        </w:tc>
        <w:tc>
          <w:tcPr>
            <w:tcW w:w="840" w:type="pct"/>
            <w:shd w:val="clear" w:color="auto" w:fill="FFFFFF"/>
            <w:tcMar>
              <w:top w:w="85" w:type="dxa"/>
              <w:bottom w:w="85" w:type="dxa"/>
            </w:tcMar>
          </w:tcPr>
          <w:p w14:paraId="3CB9DB7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4124B447"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2674C5D9" w14:textId="77777777" w:rsidTr="00394CA8">
        <w:tblPrEx>
          <w:tblCellMar>
            <w:left w:w="108" w:type="dxa"/>
            <w:right w:w="108" w:type="dxa"/>
          </w:tblCellMar>
        </w:tblPrEx>
        <w:trPr>
          <w:gridBefore w:val="1"/>
          <w:wBefore w:w="4" w:type="pct"/>
          <w:cantSplit/>
          <w:trHeight w:val="120"/>
        </w:trPr>
        <w:tc>
          <w:tcPr>
            <w:tcW w:w="1439" w:type="pct"/>
            <w:shd w:val="clear" w:color="auto" w:fill="auto"/>
            <w:tcMar>
              <w:top w:w="85" w:type="dxa"/>
              <w:bottom w:w="85" w:type="dxa"/>
            </w:tcMar>
          </w:tcPr>
          <w:p w14:paraId="7880E613" w14:textId="77777777" w:rsidR="00394CA8" w:rsidRPr="00A859F2" w:rsidRDefault="00394CA8" w:rsidP="00394CA8">
            <w:pPr>
              <w:rPr>
                <w:sz w:val="16"/>
                <w:szCs w:val="16"/>
              </w:rPr>
            </w:pPr>
          </w:p>
        </w:tc>
        <w:tc>
          <w:tcPr>
            <w:tcW w:w="2039" w:type="pct"/>
            <w:shd w:val="clear" w:color="auto" w:fill="auto"/>
            <w:tcMar>
              <w:top w:w="85" w:type="dxa"/>
              <w:bottom w:w="85" w:type="dxa"/>
            </w:tcMar>
          </w:tcPr>
          <w:p w14:paraId="04075D11" w14:textId="77777777" w:rsidR="00394CA8" w:rsidRPr="00A859F2" w:rsidRDefault="00394CA8" w:rsidP="00394CA8">
            <w:pPr>
              <w:rPr>
                <w:sz w:val="16"/>
                <w:szCs w:val="16"/>
              </w:rPr>
            </w:pPr>
            <w:r w:rsidRPr="00A859F2">
              <w:rPr>
                <w:sz w:val="16"/>
                <w:szCs w:val="16"/>
              </w:rPr>
              <w:t>Nombre d’entrées figurant dans PATENTSCOPE</w:t>
            </w:r>
          </w:p>
        </w:tc>
        <w:tc>
          <w:tcPr>
            <w:tcW w:w="840" w:type="pct"/>
            <w:shd w:val="clear" w:color="auto" w:fill="FFFFFF"/>
            <w:tcMar>
              <w:top w:w="85" w:type="dxa"/>
              <w:bottom w:w="85" w:type="dxa"/>
            </w:tcMar>
          </w:tcPr>
          <w:p w14:paraId="298A19E3"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320FE299"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5D83C86B" w14:textId="77777777" w:rsidTr="00394CA8">
        <w:tblPrEx>
          <w:tblCellMar>
            <w:left w:w="108" w:type="dxa"/>
            <w:right w:w="108" w:type="dxa"/>
          </w:tblCellMar>
        </w:tblPrEx>
        <w:trPr>
          <w:gridBefore w:val="1"/>
          <w:wBefore w:w="4" w:type="pct"/>
          <w:cantSplit/>
          <w:trHeight w:val="389"/>
        </w:trPr>
        <w:tc>
          <w:tcPr>
            <w:tcW w:w="1439" w:type="pct"/>
            <w:shd w:val="clear" w:color="auto" w:fill="auto"/>
            <w:tcMar>
              <w:top w:w="85" w:type="dxa"/>
              <w:bottom w:w="85" w:type="dxa"/>
            </w:tcMar>
          </w:tcPr>
          <w:p w14:paraId="68D6ED7F" w14:textId="77777777" w:rsidR="00394CA8" w:rsidRPr="00A859F2" w:rsidRDefault="00394CA8" w:rsidP="00394CA8">
            <w:pPr>
              <w:rPr>
                <w:sz w:val="16"/>
                <w:szCs w:val="16"/>
              </w:rPr>
            </w:pPr>
          </w:p>
        </w:tc>
        <w:tc>
          <w:tcPr>
            <w:tcW w:w="2039" w:type="pct"/>
            <w:shd w:val="clear" w:color="auto" w:fill="auto"/>
            <w:tcMar>
              <w:top w:w="85" w:type="dxa"/>
              <w:bottom w:w="85" w:type="dxa"/>
            </w:tcMar>
          </w:tcPr>
          <w:p w14:paraId="18620EE9" w14:textId="77777777" w:rsidR="00394CA8" w:rsidRPr="00A859F2" w:rsidRDefault="00394CA8" w:rsidP="00394CA8">
            <w:pPr>
              <w:rPr>
                <w:sz w:val="16"/>
                <w:szCs w:val="16"/>
              </w:rPr>
            </w:pPr>
            <w:r w:rsidRPr="00A859F2">
              <w:rPr>
                <w:sz w:val="16"/>
                <w:szCs w:val="16"/>
              </w:rPr>
              <w:t>Délai de téléchargement des données (nombre moyen de jours entre la date de publication des enregistrements dans le registre officiel et leur mise à disposition dans les bases de données mondiales pour un sous</w:t>
            </w:r>
            <w:r>
              <w:rPr>
                <w:sz w:val="16"/>
                <w:szCs w:val="16"/>
              </w:rPr>
              <w:noBreakHyphen/>
            </w:r>
            <w:r w:rsidRPr="00A859F2">
              <w:rPr>
                <w:sz w:val="16"/>
                <w:szCs w:val="16"/>
              </w:rPr>
              <w:t>ensemble représentatif de collections nationales)</w:t>
            </w:r>
          </w:p>
        </w:tc>
        <w:tc>
          <w:tcPr>
            <w:tcW w:w="840" w:type="pct"/>
            <w:shd w:val="clear" w:color="auto" w:fill="FFFFFF"/>
            <w:tcMar>
              <w:top w:w="85" w:type="dxa"/>
              <w:bottom w:w="85" w:type="dxa"/>
            </w:tcMar>
          </w:tcPr>
          <w:p w14:paraId="04E2B818"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08BD3415"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46DD51E0" w14:textId="77777777" w:rsidTr="00394CA8">
        <w:tblPrEx>
          <w:tblCellMar>
            <w:left w:w="108" w:type="dxa"/>
            <w:right w:w="108" w:type="dxa"/>
          </w:tblCellMar>
        </w:tblPrEx>
        <w:trPr>
          <w:gridBefore w:val="1"/>
          <w:wBefore w:w="4" w:type="pct"/>
          <w:cantSplit/>
          <w:trHeight w:val="170"/>
        </w:trPr>
        <w:tc>
          <w:tcPr>
            <w:tcW w:w="1439" w:type="pct"/>
            <w:shd w:val="clear" w:color="auto" w:fill="auto"/>
            <w:tcMar>
              <w:top w:w="85" w:type="dxa"/>
              <w:bottom w:w="85" w:type="dxa"/>
            </w:tcMar>
          </w:tcPr>
          <w:p w14:paraId="23AC92F4" w14:textId="77777777" w:rsidR="00394CA8" w:rsidRPr="00A859F2" w:rsidRDefault="00394CA8" w:rsidP="00394CA8">
            <w:pPr>
              <w:rPr>
                <w:sz w:val="16"/>
                <w:szCs w:val="16"/>
              </w:rPr>
            </w:pPr>
          </w:p>
        </w:tc>
        <w:tc>
          <w:tcPr>
            <w:tcW w:w="2039" w:type="pct"/>
            <w:shd w:val="clear" w:color="auto" w:fill="auto"/>
            <w:tcMar>
              <w:top w:w="85" w:type="dxa"/>
              <w:bottom w:w="85" w:type="dxa"/>
            </w:tcMar>
          </w:tcPr>
          <w:p w14:paraId="2E8E6B91" w14:textId="77777777" w:rsidR="00394CA8" w:rsidRPr="00A859F2" w:rsidRDefault="00394CA8" w:rsidP="00394CA8">
            <w:pPr>
              <w:rPr>
                <w:sz w:val="16"/>
                <w:szCs w:val="16"/>
              </w:rPr>
            </w:pPr>
            <w:r w:rsidRPr="00A859F2">
              <w:rPr>
                <w:sz w:val="16"/>
                <w:szCs w:val="16"/>
              </w:rPr>
              <w:t>Nombre moyen d’utilisateurs ayant bénéficié des services des CATI par an</w:t>
            </w:r>
          </w:p>
        </w:tc>
        <w:tc>
          <w:tcPr>
            <w:tcW w:w="840" w:type="pct"/>
            <w:shd w:val="clear" w:color="auto" w:fill="FFFFFF"/>
            <w:tcMar>
              <w:top w:w="85" w:type="dxa"/>
              <w:bottom w:w="85" w:type="dxa"/>
            </w:tcMar>
          </w:tcPr>
          <w:p w14:paraId="28C153BF"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14</w:t>
            </w:r>
          </w:p>
        </w:tc>
        <w:tc>
          <w:tcPr>
            <w:tcW w:w="677" w:type="pct"/>
            <w:shd w:val="clear" w:color="auto" w:fill="FFFFFF"/>
          </w:tcPr>
          <w:p w14:paraId="1BB69776"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787DFBD6" w14:textId="77777777" w:rsidTr="00394CA8">
        <w:tblPrEx>
          <w:tblCellMar>
            <w:left w:w="108" w:type="dxa"/>
            <w:right w:w="108" w:type="dxa"/>
          </w:tblCellMar>
        </w:tblPrEx>
        <w:trPr>
          <w:gridBefore w:val="1"/>
          <w:wBefore w:w="4" w:type="pct"/>
          <w:cantSplit/>
          <w:trHeight w:val="397"/>
        </w:trPr>
        <w:tc>
          <w:tcPr>
            <w:tcW w:w="1439" w:type="pct"/>
            <w:shd w:val="clear" w:color="auto" w:fill="auto"/>
            <w:tcMar>
              <w:top w:w="85" w:type="dxa"/>
              <w:bottom w:w="85" w:type="dxa"/>
            </w:tcMar>
          </w:tcPr>
          <w:p w14:paraId="339AC735" w14:textId="77777777" w:rsidR="00394CA8" w:rsidRPr="00A859F2" w:rsidRDefault="00394CA8" w:rsidP="00394CA8">
            <w:pPr>
              <w:rPr>
                <w:sz w:val="16"/>
                <w:szCs w:val="16"/>
              </w:rPr>
            </w:pPr>
          </w:p>
        </w:tc>
        <w:tc>
          <w:tcPr>
            <w:tcW w:w="2039" w:type="pct"/>
            <w:shd w:val="clear" w:color="auto" w:fill="auto"/>
            <w:tcMar>
              <w:top w:w="85" w:type="dxa"/>
              <w:bottom w:w="85" w:type="dxa"/>
            </w:tcMar>
          </w:tcPr>
          <w:p w14:paraId="53D90502" w14:textId="77777777" w:rsidR="00394CA8" w:rsidRPr="00A859F2" w:rsidRDefault="00394CA8" w:rsidP="00394CA8">
            <w:pPr>
              <w:rPr>
                <w:sz w:val="16"/>
                <w:szCs w:val="16"/>
              </w:rPr>
            </w:pPr>
            <w:r w:rsidRPr="00A859F2">
              <w:rPr>
                <w:sz w:val="16"/>
                <w:szCs w:val="16"/>
              </w:rPr>
              <w:t>Nombre des États membres dans les régions concernées qui collaborent avec les bases de données mondiales</w:t>
            </w:r>
          </w:p>
        </w:tc>
        <w:tc>
          <w:tcPr>
            <w:tcW w:w="840" w:type="pct"/>
            <w:shd w:val="clear" w:color="auto" w:fill="FFFFFF"/>
            <w:tcMar>
              <w:top w:w="85" w:type="dxa"/>
              <w:bottom w:w="85" w:type="dxa"/>
            </w:tcMar>
          </w:tcPr>
          <w:p w14:paraId="47A205E0"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14</w:t>
            </w:r>
          </w:p>
        </w:tc>
        <w:tc>
          <w:tcPr>
            <w:tcW w:w="677" w:type="pct"/>
            <w:shd w:val="clear" w:color="auto" w:fill="FFFFFF"/>
          </w:tcPr>
          <w:p w14:paraId="2DC84EA6" w14:textId="77777777" w:rsidR="00394CA8" w:rsidRPr="00A859F2" w:rsidRDefault="00394CA8" w:rsidP="00394CA8">
            <w:pPr>
              <w:jc w:val="center"/>
              <w:rPr>
                <w:color w:val="FF0000"/>
                <w:szCs w:val="22"/>
              </w:rPr>
            </w:pPr>
            <w:r w:rsidRPr="00A859F2">
              <w:rPr>
                <w:color w:val="FF0000"/>
                <w:szCs w:val="22"/>
              </w:rPr>
              <w:sym w:font="Wingdings" w:char="F06C"/>
            </w:r>
          </w:p>
        </w:tc>
      </w:tr>
      <w:tr w:rsidR="00394CA8" w:rsidRPr="00A859F2" w14:paraId="3B1D8FD1" w14:textId="77777777" w:rsidTr="00394CA8">
        <w:tblPrEx>
          <w:tblCellMar>
            <w:left w:w="108" w:type="dxa"/>
            <w:right w:w="108" w:type="dxa"/>
          </w:tblCellMar>
        </w:tblPrEx>
        <w:trPr>
          <w:gridBefore w:val="1"/>
          <w:wBefore w:w="4" w:type="pct"/>
          <w:cantSplit/>
          <w:trHeight w:val="163"/>
        </w:trPr>
        <w:tc>
          <w:tcPr>
            <w:tcW w:w="1439" w:type="pct"/>
            <w:shd w:val="clear" w:color="auto" w:fill="auto"/>
            <w:tcMar>
              <w:top w:w="85" w:type="dxa"/>
              <w:bottom w:w="85" w:type="dxa"/>
            </w:tcMar>
          </w:tcPr>
          <w:p w14:paraId="1433302A" w14:textId="77777777" w:rsidR="00394CA8" w:rsidRPr="00A859F2" w:rsidRDefault="00394CA8" w:rsidP="00394CA8">
            <w:pPr>
              <w:rPr>
                <w:sz w:val="16"/>
                <w:szCs w:val="16"/>
              </w:rPr>
            </w:pPr>
          </w:p>
        </w:tc>
        <w:tc>
          <w:tcPr>
            <w:tcW w:w="2039" w:type="pct"/>
            <w:shd w:val="clear" w:color="auto" w:fill="auto"/>
            <w:tcMar>
              <w:top w:w="85" w:type="dxa"/>
              <w:bottom w:w="85" w:type="dxa"/>
            </w:tcMar>
          </w:tcPr>
          <w:p w14:paraId="0ACB72A2" w14:textId="77777777" w:rsidR="00394CA8" w:rsidRPr="00A859F2" w:rsidRDefault="00394CA8" w:rsidP="00394CA8">
            <w:pPr>
              <w:rPr>
                <w:sz w:val="16"/>
                <w:szCs w:val="16"/>
              </w:rPr>
            </w:pPr>
            <w:r w:rsidRPr="00A859F2">
              <w:rPr>
                <w:sz w:val="16"/>
                <w:szCs w:val="16"/>
              </w:rPr>
              <w:t>Nombre d’utilisateurs actifs inscrits aux programmes ARDI et ASPI</w:t>
            </w:r>
          </w:p>
        </w:tc>
        <w:tc>
          <w:tcPr>
            <w:tcW w:w="840" w:type="pct"/>
            <w:shd w:val="clear" w:color="auto" w:fill="FFFFFF"/>
            <w:tcMar>
              <w:top w:w="85" w:type="dxa"/>
              <w:bottom w:w="85" w:type="dxa"/>
            </w:tcMar>
          </w:tcPr>
          <w:p w14:paraId="39F96D3F"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14</w:t>
            </w:r>
          </w:p>
        </w:tc>
        <w:tc>
          <w:tcPr>
            <w:tcW w:w="677" w:type="pct"/>
            <w:shd w:val="clear" w:color="auto" w:fill="FFFFFF"/>
          </w:tcPr>
          <w:p w14:paraId="30E0CCCD"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13A79605" w14:textId="77777777" w:rsidTr="00394CA8">
        <w:tblPrEx>
          <w:tblCellMar>
            <w:left w:w="108" w:type="dxa"/>
            <w:right w:w="108" w:type="dxa"/>
          </w:tblCellMar>
        </w:tblPrEx>
        <w:trPr>
          <w:gridBefore w:val="1"/>
          <w:wBefore w:w="4" w:type="pct"/>
          <w:cantSplit/>
          <w:trHeight w:val="163"/>
        </w:trPr>
        <w:tc>
          <w:tcPr>
            <w:tcW w:w="1439" w:type="pct"/>
            <w:shd w:val="clear" w:color="auto" w:fill="auto"/>
            <w:tcMar>
              <w:top w:w="85" w:type="dxa"/>
              <w:bottom w:w="85" w:type="dxa"/>
            </w:tcMar>
          </w:tcPr>
          <w:p w14:paraId="7823195E" w14:textId="77777777" w:rsidR="00394CA8" w:rsidRPr="00A859F2" w:rsidRDefault="00394CA8" w:rsidP="00394CA8">
            <w:pPr>
              <w:rPr>
                <w:sz w:val="16"/>
                <w:szCs w:val="16"/>
              </w:rPr>
            </w:pPr>
          </w:p>
        </w:tc>
        <w:tc>
          <w:tcPr>
            <w:tcW w:w="2039" w:type="pct"/>
            <w:shd w:val="clear" w:color="auto" w:fill="auto"/>
            <w:tcMar>
              <w:top w:w="85" w:type="dxa"/>
              <w:bottom w:w="85" w:type="dxa"/>
            </w:tcMar>
          </w:tcPr>
          <w:p w14:paraId="7591202F" w14:textId="77777777" w:rsidR="00394CA8" w:rsidRPr="00A859F2" w:rsidRDefault="00394CA8" w:rsidP="00394CA8">
            <w:pPr>
              <w:rPr>
                <w:sz w:val="16"/>
                <w:szCs w:val="16"/>
              </w:rPr>
            </w:pPr>
            <w:r w:rsidRPr="00A859F2">
              <w:rPr>
                <w:sz w:val="16"/>
                <w:szCs w:val="16"/>
              </w:rPr>
              <w:t>Nombre de demandes adressées aux CATI dans le cadre du projet de “premier guichet”</w:t>
            </w:r>
          </w:p>
        </w:tc>
        <w:tc>
          <w:tcPr>
            <w:tcW w:w="840" w:type="pct"/>
            <w:shd w:val="clear" w:color="auto" w:fill="FFFFFF"/>
            <w:tcMar>
              <w:top w:w="85" w:type="dxa"/>
              <w:bottom w:w="85" w:type="dxa"/>
            </w:tcMar>
          </w:tcPr>
          <w:p w14:paraId="5B8CA0A3"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14</w:t>
            </w:r>
          </w:p>
        </w:tc>
        <w:tc>
          <w:tcPr>
            <w:tcW w:w="677" w:type="pct"/>
            <w:shd w:val="clear" w:color="auto" w:fill="FFFFFF"/>
          </w:tcPr>
          <w:p w14:paraId="3CFB66E8"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203803C5" w14:textId="77777777" w:rsidTr="00394CA8">
        <w:tblPrEx>
          <w:tblCellMar>
            <w:left w:w="108" w:type="dxa"/>
            <w:right w:w="108" w:type="dxa"/>
          </w:tblCellMar>
        </w:tblPrEx>
        <w:trPr>
          <w:gridBefore w:val="1"/>
          <w:wBefore w:w="4" w:type="pct"/>
          <w:cantSplit/>
          <w:trHeight w:val="196"/>
        </w:trPr>
        <w:tc>
          <w:tcPr>
            <w:tcW w:w="1439" w:type="pct"/>
            <w:shd w:val="clear" w:color="auto" w:fill="auto"/>
            <w:tcMar>
              <w:top w:w="85" w:type="dxa"/>
              <w:bottom w:w="85" w:type="dxa"/>
            </w:tcMar>
          </w:tcPr>
          <w:p w14:paraId="1F32F916" w14:textId="77777777" w:rsidR="00394CA8" w:rsidRPr="00A859F2" w:rsidRDefault="00394CA8" w:rsidP="00394CA8">
            <w:pPr>
              <w:rPr>
                <w:sz w:val="16"/>
                <w:szCs w:val="16"/>
              </w:rPr>
            </w:pPr>
          </w:p>
        </w:tc>
        <w:tc>
          <w:tcPr>
            <w:tcW w:w="2039" w:type="pct"/>
            <w:shd w:val="clear" w:color="auto" w:fill="auto"/>
            <w:tcMar>
              <w:top w:w="85" w:type="dxa"/>
              <w:bottom w:w="85" w:type="dxa"/>
            </w:tcMar>
          </w:tcPr>
          <w:p w14:paraId="018A8E79" w14:textId="77777777" w:rsidR="00394CA8" w:rsidRPr="00A859F2" w:rsidRDefault="00394CA8" w:rsidP="00394CA8">
            <w:pPr>
              <w:rPr>
                <w:sz w:val="16"/>
                <w:szCs w:val="16"/>
              </w:rPr>
            </w:pPr>
            <w:r w:rsidRPr="00A859F2">
              <w:rPr>
                <w:sz w:val="16"/>
                <w:szCs w:val="16"/>
              </w:rPr>
              <w:t>Nombre de CATI offrant des services d’analyse des brevets</w:t>
            </w:r>
          </w:p>
        </w:tc>
        <w:tc>
          <w:tcPr>
            <w:tcW w:w="840" w:type="pct"/>
            <w:shd w:val="clear" w:color="auto" w:fill="FFFFFF"/>
            <w:tcMar>
              <w:top w:w="85" w:type="dxa"/>
              <w:bottom w:w="85" w:type="dxa"/>
            </w:tcMar>
          </w:tcPr>
          <w:p w14:paraId="3B88646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14</w:t>
            </w:r>
          </w:p>
        </w:tc>
        <w:tc>
          <w:tcPr>
            <w:tcW w:w="677" w:type="pct"/>
            <w:shd w:val="clear" w:color="auto" w:fill="FFFFFF"/>
          </w:tcPr>
          <w:p w14:paraId="7A801F27"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5932F66C" w14:textId="77777777" w:rsidTr="00394CA8">
        <w:tblPrEx>
          <w:tblCellMar>
            <w:left w:w="108" w:type="dxa"/>
            <w:right w:w="108" w:type="dxa"/>
          </w:tblCellMar>
        </w:tblPrEx>
        <w:trPr>
          <w:gridBefore w:val="1"/>
          <w:wBefore w:w="4" w:type="pct"/>
          <w:cantSplit/>
          <w:trHeight w:val="357"/>
        </w:trPr>
        <w:tc>
          <w:tcPr>
            <w:tcW w:w="1439" w:type="pct"/>
            <w:shd w:val="clear" w:color="auto" w:fill="auto"/>
            <w:tcMar>
              <w:top w:w="85" w:type="dxa"/>
              <w:bottom w:w="85" w:type="dxa"/>
            </w:tcMar>
          </w:tcPr>
          <w:p w14:paraId="1FF565EC" w14:textId="77777777" w:rsidR="00394CA8" w:rsidRPr="00A859F2" w:rsidRDefault="00394CA8" w:rsidP="00394CA8">
            <w:pPr>
              <w:rPr>
                <w:sz w:val="16"/>
                <w:szCs w:val="16"/>
              </w:rPr>
            </w:pPr>
          </w:p>
        </w:tc>
        <w:tc>
          <w:tcPr>
            <w:tcW w:w="2039" w:type="pct"/>
            <w:shd w:val="clear" w:color="auto" w:fill="auto"/>
            <w:tcMar>
              <w:top w:w="85" w:type="dxa"/>
              <w:bottom w:w="85" w:type="dxa"/>
            </w:tcMar>
          </w:tcPr>
          <w:p w14:paraId="2453E1E8" w14:textId="77777777" w:rsidR="00394CA8" w:rsidRPr="00A859F2" w:rsidRDefault="00394CA8" w:rsidP="00394CA8">
            <w:pPr>
              <w:rPr>
                <w:sz w:val="16"/>
                <w:szCs w:val="16"/>
              </w:rPr>
            </w:pPr>
            <w:r w:rsidRPr="00A859F2">
              <w:rPr>
                <w:sz w:val="16"/>
                <w:szCs w:val="16"/>
              </w:rPr>
              <w:t xml:space="preserve">Nombre d’utilisateurs des bases de données mondiales de l’OMPI : PATENTSCOPE, Base de données mondiale sur les marques et Base de données des dessins et modèles </w:t>
            </w:r>
          </w:p>
        </w:tc>
        <w:tc>
          <w:tcPr>
            <w:tcW w:w="840" w:type="pct"/>
            <w:shd w:val="clear" w:color="auto" w:fill="FFFFFF"/>
            <w:tcMar>
              <w:top w:w="85" w:type="dxa"/>
              <w:bottom w:w="85" w:type="dxa"/>
            </w:tcMar>
          </w:tcPr>
          <w:p w14:paraId="410E4C96"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7" w:type="pct"/>
            <w:shd w:val="clear" w:color="auto" w:fill="FFFFFF"/>
          </w:tcPr>
          <w:p w14:paraId="5C9CDF05" w14:textId="77777777" w:rsidR="00394CA8" w:rsidRPr="00A859F2" w:rsidRDefault="00394CA8" w:rsidP="00394CA8">
            <w:pPr>
              <w:jc w:val="center"/>
              <w:rPr>
                <w:color w:val="00B05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p w14:paraId="0924BC6E" w14:textId="77777777" w:rsidR="00394CA8" w:rsidRPr="00A859F2" w:rsidRDefault="00394CA8" w:rsidP="00394CA8">
            <w:pPr>
              <w:jc w:val="center"/>
              <w:rPr>
                <w:color w:val="00B05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p w14:paraId="615D73DE" w14:textId="77777777" w:rsidR="00394CA8" w:rsidRPr="00A859F2" w:rsidRDefault="00394CA8" w:rsidP="00394CA8">
            <w:pPr>
              <w:jc w:val="center"/>
              <w:rPr>
                <w:color w:val="00B050"/>
                <w:szCs w:val="22"/>
              </w:rPr>
            </w:pP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743F4694" w14:textId="77777777" w:rsidTr="00394CA8">
        <w:tblPrEx>
          <w:tblCellMar>
            <w:left w:w="108" w:type="dxa"/>
            <w:right w:w="108" w:type="dxa"/>
          </w:tblCellMar>
        </w:tblPrEx>
        <w:trPr>
          <w:gridBefore w:val="1"/>
          <w:wBefore w:w="4" w:type="pct"/>
          <w:cantSplit/>
          <w:trHeight w:val="238"/>
        </w:trPr>
        <w:tc>
          <w:tcPr>
            <w:tcW w:w="1439" w:type="pct"/>
            <w:shd w:val="clear" w:color="auto" w:fill="auto"/>
            <w:tcMar>
              <w:top w:w="85" w:type="dxa"/>
              <w:bottom w:w="85" w:type="dxa"/>
            </w:tcMar>
          </w:tcPr>
          <w:p w14:paraId="132460DB" w14:textId="77777777" w:rsidR="00394CA8" w:rsidRPr="00A859F2" w:rsidRDefault="00394CA8" w:rsidP="00394CA8">
            <w:pPr>
              <w:rPr>
                <w:sz w:val="16"/>
                <w:szCs w:val="16"/>
              </w:rPr>
            </w:pPr>
          </w:p>
        </w:tc>
        <w:tc>
          <w:tcPr>
            <w:tcW w:w="2039" w:type="pct"/>
            <w:shd w:val="clear" w:color="auto" w:fill="auto"/>
            <w:tcMar>
              <w:top w:w="85" w:type="dxa"/>
              <w:bottom w:w="85" w:type="dxa"/>
            </w:tcMar>
          </w:tcPr>
          <w:p w14:paraId="75A4804E" w14:textId="77777777" w:rsidR="00394CA8" w:rsidRPr="00B234E5" w:rsidRDefault="00394CA8" w:rsidP="00394CA8">
            <w:pPr>
              <w:rPr>
                <w:sz w:val="16"/>
                <w:szCs w:val="16"/>
              </w:rPr>
            </w:pPr>
            <w:r w:rsidRPr="00B234E5">
              <w:rPr>
                <w:sz w:val="16"/>
                <w:szCs w:val="16"/>
              </w:rPr>
              <w:t xml:space="preserve">Augmentation du nombre d’utilisateurs de WIPO LEX </w:t>
            </w:r>
          </w:p>
        </w:tc>
        <w:tc>
          <w:tcPr>
            <w:tcW w:w="840" w:type="pct"/>
            <w:shd w:val="clear" w:color="auto" w:fill="FFFFFF"/>
            <w:tcMar>
              <w:top w:w="85" w:type="dxa"/>
              <w:bottom w:w="85" w:type="dxa"/>
            </w:tcMar>
          </w:tcPr>
          <w:p w14:paraId="42DB2CDE"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7" w:type="pct"/>
            <w:shd w:val="clear" w:color="auto" w:fill="FFFFFF"/>
          </w:tcPr>
          <w:p w14:paraId="6D551624"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7E31F5B2" w14:textId="77777777" w:rsidTr="00394CA8">
        <w:tblPrEx>
          <w:tblCellMar>
            <w:left w:w="108" w:type="dxa"/>
            <w:right w:w="108" w:type="dxa"/>
          </w:tblCellMar>
        </w:tblPrEx>
        <w:trPr>
          <w:gridBefore w:val="1"/>
          <w:wBefore w:w="4" w:type="pct"/>
          <w:cantSplit/>
          <w:trHeight w:val="346"/>
        </w:trPr>
        <w:tc>
          <w:tcPr>
            <w:tcW w:w="1439" w:type="pct"/>
            <w:shd w:val="clear" w:color="auto" w:fill="auto"/>
            <w:tcMar>
              <w:top w:w="85" w:type="dxa"/>
              <w:bottom w:w="85" w:type="dxa"/>
            </w:tcMar>
          </w:tcPr>
          <w:p w14:paraId="3A83A45C" w14:textId="77777777" w:rsidR="00394CA8" w:rsidRPr="00A859F2" w:rsidRDefault="00394CA8" w:rsidP="00394CA8">
            <w:pPr>
              <w:rPr>
                <w:sz w:val="16"/>
                <w:szCs w:val="16"/>
              </w:rPr>
            </w:pPr>
          </w:p>
        </w:tc>
        <w:tc>
          <w:tcPr>
            <w:tcW w:w="2039" w:type="pct"/>
            <w:shd w:val="clear" w:color="auto" w:fill="auto"/>
            <w:tcMar>
              <w:top w:w="85" w:type="dxa"/>
              <w:bottom w:w="85" w:type="dxa"/>
            </w:tcMar>
          </w:tcPr>
          <w:p w14:paraId="67453C5B" w14:textId="77777777" w:rsidR="00394CA8" w:rsidRPr="00B234E5" w:rsidRDefault="00394CA8" w:rsidP="00394CA8">
            <w:pPr>
              <w:rPr>
                <w:sz w:val="16"/>
                <w:szCs w:val="16"/>
              </w:rPr>
            </w:pPr>
            <w:r w:rsidRPr="00B234E5">
              <w:rPr>
                <w:sz w:val="16"/>
                <w:szCs w:val="16"/>
              </w:rPr>
              <w:t>Nombre de bureaux de transfert de technologie ayant été créés ou renforcés au sein d’universités ou d’instituts de R</w:t>
            </w:r>
            <w:r w:rsidRPr="00B234E5">
              <w:rPr>
                <w:sz w:val="16"/>
                <w:szCs w:val="16"/>
              </w:rPr>
              <w:noBreakHyphen/>
              <w:t>D dans le cadre de l’initiative de l’OMPI en faveur des universités</w:t>
            </w:r>
          </w:p>
        </w:tc>
        <w:tc>
          <w:tcPr>
            <w:tcW w:w="840" w:type="pct"/>
            <w:shd w:val="clear" w:color="auto" w:fill="FFFFFF"/>
            <w:tcMar>
              <w:top w:w="85" w:type="dxa"/>
              <w:bottom w:w="85" w:type="dxa"/>
            </w:tcMar>
          </w:tcPr>
          <w:p w14:paraId="66294E37"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30</w:t>
            </w:r>
          </w:p>
        </w:tc>
        <w:tc>
          <w:tcPr>
            <w:tcW w:w="677" w:type="pct"/>
            <w:shd w:val="clear" w:color="auto" w:fill="FFFFFF"/>
          </w:tcPr>
          <w:p w14:paraId="59AA880B" w14:textId="77777777" w:rsidR="00394CA8" w:rsidRPr="00A859F2" w:rsidRDefault="00394CA8" w:rsidP="00394CA8">
            <w:pPr>
              <w:jc w:val="center"/>
              <w:rPr>
                <w:color w:val="FF0000"/>
                <w:szCs w:val="22"/>
              </w:rPr>
            </w:pPr>
            <w:r w:rsidRPr="00A859F2">
              <w:rPr>
                <w:color w:val="FF0000"/>
                <w:szCs w:val="22"/>
              </w:rPr>
              <w:sym w:font="Wingdings" w:char="F06C"/>
            </w:r>
          </w:p>
        </w:tc>
      </w:tr>
      <w:tr w:rsidR="00394CA8" w:rsidRPr="00A859F2" w14:paraId="16776805" w14:textId="77777777" w:rsidTr="00394CA8">
        <w:tblPrEx>
          <w:tblCellMar>
            <w:left w:w="108" w:type="dxa"/>
            <w:right w:w="108" w:type="dxa"/>
          </w:tblCellMar>
        </w:tblPrEx>
        <w:trPr>
          <w:gridBefore w:val="1"/>
          <w:wBefore w:w="4" w:type="pct"/>
          <w:cantSplit/>
          <w:trHeight w:val="346"/>
        </w:trPr>
        <w:tc>
          <w:tcPr>
            <w:tcW w:w="1439" w:type="pct"/>
            <w:shd w:val="clear" w:color="auto" w:fill="auto"/>
            <w:tcMar>
              <w:top w:w="85" w:type="dxa"/>
              <w:bottom w:w="85" w:type="dxa"/>
            </w:tcMar>
          </w:tcPr>
          <w:p w14:paraId="5DAB967D" w14:textId="77777777" w:rsidR="00394CA8" w:rsidRPr="00A859F2" w:rsidRDefault="00394CA8" w:rsidP="00394CA8">
            <w:pPr>
              <w:rPr>
                <w:sz w:val="16"/>
                <w:szCs w:val="16"/>
              </w:rPr>
            </w:pPr>
          </w:p>
        </w:tc>
        <w:tc>
          <w:tcPr>
            <w:tcW w:w="2039" w:type="pct"/>
            <w:shd w:val="clear" w:color="auto" w:fill="auto"/>
            <w:tcMar>
              <w:top w:w="85" w:type="dxa"/>
              <w:bottom w:w="85" w:type="dxa"/>
            </w:tcMar>
          </w:tcPr>
          <w:p w14:paraId="1AB917BF" w14:textId="77777777" w:rsidR="00394CA8" w:rsidRPr="00B234E5" w:rsidRDefault="00394CA8" w:rsidP="00394CA8">
            <w:pPr>
              <w:rPr>
                <w:sz w:val="16"/>
                <w:szCs w:val="16"/>
              </w:rPr>
            </w:pPr>
            <w:r w:rsidRPr="00B234E5">
              <w:rPr>
                <w:sz w:val="16"/>
                <w:szCs w:val="16"/>
              </w:rPr>
              <w:t>Nombre d’universités ou d’instituts de recherche ayant élaboré ou amélioré leurs politiques en matière de propriété intellectuelle</w:t>
            </w:r>
          </w:p>
        </w:tc>
        <w:tc>
          <w:tcPr>
            <w:tcW w:w="840" w:type="pct"/>
            <w:shd w:val="clear" w:color="auto" w:fill="FFFFFF"/>
            <w:tcMar>
              <w:top w:w="85" w:type="dxa"/>
              <w:bottom w:w="85" w:type="dxa"/>
            </w:tcMar>
          </w:tcPr>
          <w:p w14:paraId="49D0C829"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30</w:t>
            </w:r>
          </w:p>
        </w:tc>
        <w:tc>
          <w:tcPr>
            <w:tcW w:w="677" w:type="pct"/>
            <w:shd w:val="clear" w:color="auto" w:fill="FFFFFF"/>
          </w:tcPr>
          <w:p w14:paraId="699BBB90"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2D6CFA4F" w14:textId="77777777" w:rsidTr="00394CA8">
        <w:tblPrEx>
          <w:tblCellMar>
            <w:left w:w="108" w:type="dxa"/>
            <w:right w:w="108" w:type="dxa"/>
          </w:tblCellMar>
        </w:tblPrEx>
        <w:trPr>
          <w:gridBefore w:val="1"/>
          <w:wBefore w:w="4" w:type="pct"/>
          <w:cantSplit/>
          <w:trHeight w:val="851"/>
        </w:trPr>
        <w:tc>
          <w:tcPr>
            <w:tcW w:w="1439" w:type="pct"/>
            <w:shd w:val="clear" w:color="auto" w:fill="auto"/>
            <w:tcMar>
              <w:top w:w="85" w:type="dxa"/>
              <w:bottom w:w="85" w:type="dxa"/>
            </w:tcMar>
          </w:tcPr>
          <w:p w14:paraId="7DDE4016" w14:textId="77777777" w:rsidR="00394CA8" w:rsidRPr="00A859F2" w:rsidRDefault="00394CA8" w:rsidP="00394CA8">
            <w:pPr>
              <w:rPr>
                <w:sz w:val="16"/>
                <w:szCs w:val="16"/>
              </w:rPr>
            </w:pPr>
            <w:r w:rsidRPr="00A859F2">
              <w:rPr>
                <w:sz w:val="16"/>
                <w:szCs w:val="16"/>
              </w:rPr>
              <w:t>IV.3 Élargissement de la portée géographique du contenu et de l’utilisation des bases de données mondiales de l’OMPI en matière de propriété intellectuelle</w:t>
            </w:r>
          </w:p>
        </w:tc>
        <w:tc>
          <w:tcPr>
            <w:tcW w:w="2039" w:type="pct"/>
            <w:shd w:val="clear" w:color="auto" w:fill="auto"/>
            <w:tcMar>
              <w:top w:w="85" w:type="dxa"/>
              <w:bottom w:w="85" w:type="dxa"/>
            </w:tcMar>
          </w:tcPr>
          <w:p w14:paraId="524D75A4" w14:textId="77777777" w:rsidR="00394CA8" w:rsidRPr="00A859F2" w:rsidRDefault="00394CA8" w:rsidP="00394CA8">
            <w:pPr>
              <w:rPr>
                <w:sz w:val="16"/>
                <w:szCs w:val="16"/>
              </w:rPr>
            </w:pPr>
            <w:r w:rsidRPr="00A859F2">
              <w:rPr>
                <w:sz w:val="16"/>
                <w:szCs w:val="16"/>
              </w:rPr>
              <w:t>Nombre d’entrées figurant dans la base de données mondiale sur les marques</w:t>
            </w:r>
          </w:p>
          <w:p w14:paraId="00A6F2C4" w14:textId="77777777" w:rsidR="00394CA8" w:rsidRPr="00A859F2" w:rsidRDefault="00394CA8" w:rsidP="00394CA8">
            <w:pPr>
              <w:rPr>
                <w:sz w:val="16"/>
                <w:szCs w:val="16"/>
              </w:rPr>
            </w:pPr>
          </w:p>
          <w:p w14:paraId="1FBC090B" w14:textId="77777777" w:rsidR="00394CA8" w:rsidRPr="00A859F2" w:rsidRDefault="00394CA8" w:rsidP="00394CA8">
            <w:pPr>
              <w:rPr>
                <w:sz w:val="16"/>
                <w:szCs w:val="16"/>
              </w:rPr>
            </w:pPr>
            <w:r w:rsidRPr="00A859F2">
              <w:rPr>
                <w:sz w:val="16"/>
                <w:szCs w:val="16"/>
              </w:rPr>
              <w:t>Nombre d’entrées figurant dans la base de données mondiale sur les dessins et modèles</w:t>
            </w:r>
          </w:p>
        </w:tc>
        <w:tc>
          <w:tcPr>
            <w:tcW w:w="840" w:type="pct"/>
            <w:shd w:val="clear" w:color="auto" w:fill="FFFFFF"/>
            <w:tcMar>
              <w:top w:w="85" w:type="dxa"/>
              <w:bottom w:w="85" w:type="dxa"/>
            </w:tcMar>
          </w:tcPr>
          <w:p w14:paraId="0BB3BB8C"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p w14:paraId="092EB2F5" w14:textId="77777777" w:rsidR="00394CA8" w:rsidRPr="00A859F2" w:rsidRDefault="00394CA8" w:rsidP="00394CA8">
            <w:pPr>
              <w:spacing w:before="40"/>
              <w:jc w:val="center"/>
              <w:rPr>
                <w:sz w:val="16"/>
                <w:szCs w:val="16"/>
                <w:lang w:bidi="th-TH"/>
              </w:rPr>
            </w:pPr>
          </w:p>
          <w:p w14:paraId="5F94089A" w14:textId="77777777" w:rsidR="00394CA8" w:rsidRPr="00A859F2" w:rsidRDefault="00394CA8" w:rsidP="00394CA8">
            <w:pPr>
              <w:spacing w:before="40"/>
              <w:jc w:val="center"/>
              <w:rPr>
                <w:sz w:val="16"/>
                <w:szCs w:val="16"/>
                <w:lang w:bidi="th-TH"/>
              </w:rPr>
            </w:pPr>
          </w:p>
          <w:p w14:paraId="4D1AE8DA"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1C63E0D1" w14:textId="77777777" w:rsidR="00394CA8" w:rsidRPr="00A859F2" w:rsidRDefault="00394CA8" w:rsidP="00394CA8">
            <w:pPr>
              <w:jc w:val="center"/>
              <w:rPr>
                <w:color w:val="00B050"/>
                <w:szCs w:val="22"/>
              </w:rPr>
            </w:pPr>
            <w:r w:rsidRPr="00A859F2">
              <w:rPr>
                <w:color w:val="00B050"/>
                <w:szCs w:val="22"/>
              </w:rPr>
              <w:sym w:font="Wingdings" w:char="F06C"/>
            </w:r>
          </w:p>
          <w:p w14:paraId="3EB481CD" w14:textId="77777777" w:rsidR="00394CA8" w:rsidRPr="00A859F2" w:rsidRDefault="00394CA8" w:rsidP="00394CA8">
            <w:pPr>
              <w:jc w:val="center"/>
              <w:rPr>
                <w:color w:val="00B050"/>
                <w:szCs w:val="22"/>
              </w:rPr>
            </w:pPr>
          </w:p>
          <w:p w14:paraId="2DE46114" w14:textId="77777777" w:rsidR="00394CA8" w:rsidRPr="00A859F2" w:rsidRDefault="00394CA8" w:rsidP="00394CA8">
            <w:pPr>
              <w:jc w:val="center"/>
              <w:rPr>
                <w:color w:val="00B050"/>
                <w:szCs w:val="22"/>
              </w:rPr>
            </w:pPr>
            <w:r w:rsidRPr="00A859F2">
              <w:rPr>
                <w:color w:val="00B050"/>
                <w:szCs w:val="22"/>
              </w:rPr>
              <w:sym w:font="Wingdings" w:char="F06C"/>
            </w:r>
          </w:p>
        </w:tc>
      </w:tr>
      <w:tr w:rsidR="00394CA8" w:rsidRPr="00A859F2" w14:paraId="7CBC49B5" w14:textId="77777777" w:rsidTr="00394CA8">
        <w:tblPrEx>
          <w:tblCellMar>
            <w:left w:w="108" w:type="dxa"/>
            <w:right w:w="108" w:type="dxa"/>
          </w:tblCellMar>
        </w:tblPrEx>
        <w:trPr>
          <w:gridBefore w:val="1"/>
          <w:wBefore w:w="4" w:type="pct"/>
          <w:cantSplit/>
          <w:trHeight w:val="199"/>
        </w:trPr>
        <w:tc>
          <w:tcPr>
            <w:tcW w:w="1439" w:type="pct"/>
            <w:shd w:val="clear" w:color="auto" w:fill="auto"/>
            <w:tcMar>
              <w:top w:w="85" w:type="dxa"/>
              <w:bottom w:w="85" w:type="dxa"/>
            </w:tcMar>
          </w:tcPr>
          <w:p w14:paraId="48CB6B76" w14:textId="77777777" w:rsidR="00394CA8" w:rsidRPr="00A859F2" w:rsidRDefault="00394CA8" w:rsidP="00394CA8">
            <w:pPr>
              <w:rPr>
                <w:sz w:val="16"/>
                <w:szCs w:val="16"/>
              </w:rPr>
            </w:pPr>
          </w:p>
        </w:tc>
        <w:tc>
          <w:tcPr>
            <w:tcW w:w="2039" w:type="pct"/>
            <w:shd w:val="clear" w:color="auto" w:fill="auto"/>
            <w:tcMar>
              <w:top w:w="85" w:type="dxa"/>
              <w:bottom w:w="85" w:type="dxa"/>
            </w:tcMar>
          </w:tcPr>
          <w:p w14:paraId="3EE661A3" w14:textId="77777777" w:rsidR="00394CA8" w:rsidRPr="00A859F2" w:rsidRDefault="00394CA8" w:rsidP="00394CA8">
            <w:pPr>
              <w:rPr>
                <w:sz w:val="16"/>
                <w:szCs w:val="16"/>
              </w:rPr>
            </w:pPr>
            <w:r w:rsidRPr="00A859F2">
              <w:rPr>
                <w:sz w:val="16"/>
                <w:szCs w:val="16"/>
              </w:rPr>
              <w:t>Nombre de collections nationales dans PATENTSCOPE</w:t>
            </w:r>
          </w:p>
        </w:tc>
        <w:tc>
          <w:tcPr>
            <w:tcW w:w="840" w:type="pct"/>
            <w:shd w:val="clear" w:color="auto" w:fill="FFFFFF"/>
            <w:tcMar>
              <w:top w:w="85" w:type="dxa"/>
              <w:bottom w:w="85" w:type="dxa"/>
            </w:tcMar>
          </w:tcPr>
          <w:p w14:paraId="273C86E7"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581019D8"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27FAFFA2" w14:textId="77777777" w:rsidTr="00394CA8">
        <w:tblPrEx>
          <w:tblCellMar>
            <w:left w:w="108" w:type="dxa"/>
            <w:right w:w="108" w:type="dxa"/>
          </w:tblCellMar>
        </w:tblPrEx>
        <w:trPr>
          <w:gridBefore w:val="1"/>
          <w:wBefore w:w="4" w:type="pct"/>
          <w:cantSplit/>
          <w:trHeight w:val="445"/>
        </w:trPr>
        <w:tc>
          <w:tcPr>
            <w:tcW w:w="1439" w:type="pct"/>
            <w:shd w:val="clear" w:color="auto" w:fill="auto"/>
            <w:tcMar>
              <w:top w:w="85" w:type="dxa"/>
              <w:bottom w:w="85" w:type="dxa"/>
            </w:tcMar>
          </w:tcPr>
          <w:p w14:paraId="5E64A794" w14:textId="77777777" w:rsidR="00394CA8" w:rsidRPr="00A859F2" w:rsidRDefault="00394CA8" w:rsidP="00394CA8">
            <w:pPr>
              <w:rPr>
                <w:sz w:val="16"/>
                <w:szCs w:val="16"/>
              </w:rPr>
            </w:pPr>
          </w:p>
        </w:tc>
        <w:tc>
          <w:tcPr>
            <w:tcW w:w="2039" w:type="pct"/>
            <w:shd w:val="clear" w:color="auto" w:fill="auto"/>
            <w:tcMar>
              <w:top w:w="85" w:type="dxa"/>
              <w:bottom w:w="85" w:type="dxa"/>
            </w:tcMar>
          </w:tcPr>
          <w:p w14:paraId="567DB826" w14:textId="77777777" w:rsidR="00394CA8" w:rsidRPr="00A859F2" w:rsidRDefault="00394CA8" w:rsidP="00394CA8">
            <w:pPr>
              <w:rPr>
                <w:sz w:val="16"/>
                <w:szCs w:val="16"/>
              </w:rPr>
            </w:pPr>
            <w:r w:rsidRPr="00A859F2">
              <w:rPr>
                <w:sz w:val="16"/>
                <w:szCs w:val="16"/>
              </w:rPr>
              <w:t>Nombre de collections nationales dans la Base de données mondiale sur les marques</w:t>
            </w:r>
          </w:p>
        </w:tc>
        <w:tc>
          <w:tcPr>
            <w:tcW w:w="840" w:type="pct"/>
            <w:shd w:val="clear" w:color="auto" w:fill="FFFFFF"/>
            <w:tcMar>
              <w:top w:w="85" w:type="dxa"/>
              <w:bottom w:w="85" w:type="dxa"/>
            </w:tcMar>
          </w:tcPr>
          <w:p w14:paraId="300E6C69"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13</w:t>
            </w:r>
          </w:p>
        </w:tc>
        <w:tc>
          <w:tcPr>
            <w:tcW w:w="677" w:type="pct"/>
            <w:shd w:val="clear" w:color="auto" w:fill="FFFFFF"/>
          </w:tcPr>
          <w:p w14:paraId="3461D37C"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57E6B811" w14:textId="77777777" w:rsidTr="00394CA8">
        <w:tblPrEx>
          <w:tblCellMar>
            <w:left w:w="108" w:type="dxa"/>
            <w:right w:w="108" w:type="dxa"/>
          </w:tblCellMar>
        </w:tblPrEx>
        <w:trPr>
          <w:gridBefore w:val="1"/>
          <w:wBefore w:w="4" w:type="pct"/>
          <w:cantSplit/>
          <w:trHeight w:val="195"/>
        </w:trPr>
        <w:tc>
          <w:tcPr>
            <w:tcW w:w="1439" w:type="pct"/>
            <w:vMerge w:val="restart"/>
            <w:shd w:val="clear" w:color="auto" w:fill="auto"/>
            <w:tcMar>
              <w:top w:w="85" w:type="dxa"/>
              <w:bottom w:w="85" w:type="dxa"/>
            </w:tcMar>
          </w:tcPr>
          <w:p w14:paraId="632DBD8B" w14:textId="77777777" w:rsidR="00394CA8" w:rsidRPr="00A859F2" w:rsidRDefault="00394CA8" w:rsidP="00394CA8">
            <w:pPr>
              <w:rPr>
                <w:sz w:val="16"/>
                <w:szCs w:val="16"/>
              </w:rPr>
            </w:pPr>
            <w:r w:rsidRPr="00A859F2">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2039" w:type="pct"/>
            <w:shd w:val="clear" w:color="auto" w:fill="auto"/>
            <w:tcMar>
              <w:top w:w="85" w:type="dxa"/>
              <w:bottom w:w="85" w:type="dxa"/>
            </w:tcMar>
          </w:tcPr>
          <w:p w14:paraId="6CCD7993" w14:textId="77777777" w:rsidR="00394CA8" w:rsidRPr="00A859F2" w:rsidRDefault="00394CA8" w:rsidP="00394CA8">
            <w:pPr>
              <w:rPr>
                <w:sz w:val="16"/>
                <w:szCs w:val="16"/>
              </w:rPr>
            </w:pPr>
            <w:r w:rsidRPr="00A859F2">
              <w:rPr>
                <w:sz w:val="16"/>
                <w:szCs w:val="16"/>
              </w:rPr>
              <w:t>Nombre d’offices utilisant les plateformes d’infrastructure de l’OMPI</w:t>
            </w:r>
          </w:p>
        </w:tc>
        <w:tc>
          <w:tcPr>
            <w:tcW w:w="840" w:type="pct"/>
            <w:shd w:val="clear" w:color="auto" w:fill="FFFFFF"/>
            <w:tcMar>
              <w:top w:w="85" w:type="dxa"/>
              <w:bottom w:w="85" w:type="dxa"/>
            </w:tcMar>
          </w:tcPr>
          <w:p w14:paraId="21BDF4D0"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15</w:t>
            </w:r>
          </w:p>
          <w:p w14:paraId="0F65A582"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7" w:type="pct"/>
            <w:shd w:val="clear" w:color="auto" w:fill="FFFFFF"/>
          </w:tcPr>
          <w:p w14:paraId="498B2CD1" w14:textId="77777777" w:rsidR="00394CA8" w:rsidRPr="00A859F2" w:rsidRDefault="00394CA8" w:rsidP="00394CA8">
            <w:pPr>
              <w:jc w:val="center"/>
              <w:rPr>
                <w:color w:val="00B050"/>
                <w:szCs w:val="22"/>
              </w:rPr>
            </w:pPr>
            <w:r w:rsidRPr="00A859F2">
              <w:rPr>
                <w:color w:val="00B050"/>
                <w:szCs w:val="22"/>
              </w:rPr>
              <w:sym w:font="Wingdings" w:char="F06C"/>
            </w:r>
          </w:p>
          <w:p w14:paraId="7B43176D" w14:textId="77777777" w:rsidR="00394CA8" w:rsidRPr="00A859F2" w:rsidRDefault="00394CA8" w:rsidP="00394CA8">
            <w:pPr>
              <w:jc w:val="center"/>
              <w:rPr>
                <w:color w:val="00B050"/>
                <w:szCs w:val="22"/>
              </w:rPr>
            </w:pPr>
            <w:r w:rsidRPr="00A859F2">
              <w:rPr>
                <w:color w:val="00B050"/>
                <w:szCs w:val="22"/>
              </w:rPr>
              <w:sym w:font="Wingdings" w:char="F06C"/>
            </w:r>
          </w:p>
        </w:tc>
      </w:tr>
      <w:tr w:rsidR="00394CA8" w:rsidRPr="00A859F2" w14:paraId="6CDF56A2" w14:textId="77777777" w:rsidTr="00394CA8">
        <w:tblPrEx>
          <w:tblCellMar>
            <w:left w:w="108" w:type="dxa"/>
            <w:right w:w="108" w:type="dxa"/>
          </w:tblCellMar>
        </w:tblPrEx>
        <w:trPr>
          <w:gridBefore w:val="1"/>
          <w:wBefore w:w="4" w:type="pct"/>
          <w:cantSplit/>
          <w:trHeight w:val="247"/>
        </w:trPr>
        <w:tc>
          <w:tcPr>
            <w:tcW w:w="1439" w:type="pct"/>
            <w:vMerge/>
            <w:shd w:val="clear" w:color="auto" w:fill="auto"/>
            <w:tcMar>
              <w:top w:w="85" w:type="dxa"/>
              <w:bottom w:w="85" w:type="dxa"/>
            </w:tcMar>
          </w:tcPr>
          <w:p w14:paraId="49304D9A" w14:textId="77777777" w:rsidR="00394CA8" w:rsidRPr="00A859F2" w:rsidRDefault="00394CA8" w:rsidP="00394CA8">
            <w:pPr>
              <w:rPr>
                <w:sz w:val="16"/>
                <w:szCs w:val="16"/>
              </w:rPr>
            </w:pPr>
          </w:p>
        </w:tc>
        <w:tc>
          <w:tcPr>
            <w:tcW w:w="2039" w:type="pct"/>
            <w:shd w:val="clear" w:color="auto" w:fill="auto"/>
            <w:tcMar>
              <w:top w:w="85" w:type="dxa"/>
              <w:bottom w:w="85" w:type="dxa"/>
            </w:tcMar>
          </w:tcPr>
          <w:p w14:paraId="5D1DD639" w14:textId="77777777" w:rsidR="00394CA8" w:rsidRPr="00A859F2" w:rsidRDefault="00394CA8" w:rsidP="00394CA8">
            <w:pPr>
              <w:rPr>
                <w:sz w:val="16"/>
                <w:szCs w:val="16"/>
              </w:rPr>
            </w:pPr>
            <w:r w:rsidRPr="008625B4">
              <w:rPr>
                <w:sz w:val="16"/>
                <w:szCs w:val="16"/>
              </w:rPr>
              <w:t>Niveau de service moyen des offices de propriété intellectuelle bénéf</w:t>
            </w:r>
            <w:r>
              <w:rPr>
                <w:sz w:val="16"/>
                <w:szCs w:val="16"/>
              </w:rPr>
              <w:t xml:space="preserve">iciant d’une assistance </w:t>
            </w:r>
            <w:r>
              <w:rPr>
                <w:sz w:val="16"/>
                <w:szCs w:val="16"/>
              </w:rPr>
              <w:br/>
              <w:t>(de 1 à </w:t>
            </w:r>
            <w:r w:rsidRPr="008625B4">
              <w:rPr>
                <w:sz w:val="16"/>
                <w:szCs w:val="16"/>
              </w:rPr>
              <w:t>5)</w:t>
            </w:r>
          </w:p>
        </w:tc>
        <w:tc>
          <w:tcPr>
            <w:tcW w:w="840" w:type="pct"/>
            <w:shd w:val="clear" w:color="auto" w:fill="FFFFFF"/>
            <w:tcMar>
              <w:top w:w="85" w:type="dxa"/>
              <w:bottom w:w="85" w:type="dxa"/>
            </w:tcMar>
          </w:tcPr>
          <w:p w14:paraId="5CB03B45"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9</w:t>
            </w:r>
          </w:p>
          <w:p w14:paraId="6FDEBBDA" w14:textId="77777777" w:rsidR="00394CA8" w:rsidRPr="00A859F2" w:rsidRDefault="00394CA8" w:rsidP="00394CA8">
            <w:pPr>
              <w:spacing w:before="40"/>
              <w:jc w:val="center"/>
              <w:rPr>
                <w:sz w:val="16"/>
                <w:szCs w:val="16"/>
                <w:lang w:bidi="th-TH"/>
              </w:rPr>
            </w:pPr>
            <w:r w:rsidRPr="00A859F2">
              <w:rPr>
                <w:color w:val="000000"/>
                <w:sz w:val="16"/>
                <w:szCs w:val="16"/>
                <w:lang w:bidi="th-TH"/>
              </w:rPr>
              <w:t>Programme</w:t>
            </w:r>
            <w:r>
              <w:rPr>
                <w:color w:val="000000"/>
                <w:sz w:val="16"/>
                <w:szCs w:val="16"/>
                <w:lang w:bidi="th-TH"/>
              </w:rPr>
              <w:t> </w:t>
            </w:r>
            <w:r w:rsidRPr="00A859F2">
              <w:rPr>
                <w:color w:val="000000"/>
                <w:sz w:val="16"/>
                <w:szCs w:val="16"/>
                <w:lang w:bidi="th-TH"/>
              </w:rPr>
              <w:t>15</w:t>
            </w:r>
          </w:p>
        </w:tc>
        <w:tc>
          <w:tcPr>
            <w:tcW w:w="677" w:type="pct"/>
            <w:shd w:val="clear" w:color="auto" w:fill="FFFFFF"/>
          </w:tcPr>
          <w:p w14:paraId="4ED988B7" w14:textId="77777777" w:rsidR="00394CA8" w:rsidRPr="00A859F2" w:rsidRDefault="00394CA8" w:rsidP="00394CA8">
            <w:pPr>
              <w:jc w:val="center"/>
              <w:rPr>
                <w:color w:val="FF0000"/>
                <w:szCs w:val="22"/>
              </w:rPr>
            </w:pPr>
            <w:r w:rsidRPr="00A859F2">
              <w:rPr>
                <w:color w:val="FF0000"/>
                <w:szCs w:val="22"/>
              </w:rPr>
              <w:sym w:font="Wingdings" w:char="F06C"/>
            </w:r>
          </w:p>
          <w:p w14:paraId="0A5EAB53" w14:textId="77777777" w:rsidR="00394CA8" w:rsidRPr="00A859F2" w:rsidRDefault="00394CA8" w:rsidP="00394CA8">
            <w:pPr>
              <w:jc w:val="center"/>
              <w:rPr>
                <w:color w:val="FF0000"/>
                <w:szCs w:val="22"/>
              </w:rPr>
            </w:pPr>
            <w:r w:rsidRPr="00A859F2">
              <w:rPr>
                <w:color w:val="00B050"/>
                <w:szCs w:val="22"/>
              </w:rPr>
              <w:sym w:font="Wingdings" w:char="F06C"/>
            </w:r>
          </w:p>
        </w:tc>
      </w:tr>
      <w:tr w:rsidR="00394CA8" w:rsidRPr="00A859F2" w14:paraId="4D5CF847" w14:textId="77777777" w:rsidTr="00394CA8">
        <w:tblPrEx>
          <w:tblCellMar>
            <w:left w:w="108" w:type="dxa"/>
            <w:right w:w="108" w:type="dxa"/>
          </w:tblCellMar>
        </w:tblPrEx>
        <w:trPr>
          <w:gridBefore w:val="1"/>
          <w:wBefore w:w="4" w:type="pct"/>
          <w:cantSplit/>
          <w:trHeight w:val="404"/>
        </w:trPr>
        <w:tc>
          <w:tcPr>
            <w:tcW w:w="1439" w:type="pct"/>
            <w:vMerge/>
            <w:shd w:val="clear" w:color="auto" w:fill="auto"/>
            <w:tcMar>
              <w:top w:w="85" w:type="dxa"/>
              <w:bottom w:w="85" w:type="dxa"/>
            </w:tcMar>
          </w:tcPr>
          <w:p w14:paraId="4F0B69A1" w14:textId="77777777" w:rsidR="00394CA8" w:rsidRPr="00A859F2" w:rsidRDefault="00394CA8" w:rsidP="00394CA8">
            <w:pPr>
              <w:rPr>
                <w:sz w:val="16"/>
                <w:szCs w:val="16"/>
              </w:rPr>
            </w:pPr>
          </w:p>
        </w:tc>
        <w:tc>
          <w:tcPr>
            <w:tcW w:w="2039" w:type="pct"/>
            <w:shd w:val="clear" w:color="auto" w:fill="auto"/>
            <w:tcMar>
              <w:top w:w="85" w:type="dxa"/>
              <w:bottom w:w="85" w:type="dxa"/>
            </w:tcMar>
          </w:tcPr>
          <w:p w14:paraId="03E02B2C" w14:textId="77777777" w:rsidR="00394CA8" w:rsidRPr="00A859F2" w:rsidRDefault="00394CA8" w:rsidP="00394CA8">
            <w:pPr>
              <w:rPr>
                <w:sz w:val="16"/>
                <w:szCs w:val="16"/>
              </w:rPr>
            </w:pPr>
            <w:r w:rsidRPr="00A859F2">
              <w:rPr>
                <w:sz w:val="16"/>
                <w:szCs w:val="16"/>
              </w:rPr>
              <w:t>Nombre d’organismes de gestion collective dans les pays en développement et les PMA participant à des réseaux régionaux et mondiaux avec le concours de l’OMPI</w:t>
            </w:r>
          </w:p>
        </w:tc>
        <w:tc>
          <w:tcPr>
            <w:tcW w:w="840" w:type="pct"/>
            <w:shd w:val="clear" w:color="auto" w:fill="FFFFFF"/>
            <w:tcMar>
              <w:top w:w="85" w:type="dxa"/>
              <w:bottom w:w="85" w:type="dxa"/>
            </w:tcMar>
          </w:tcPr>
          <w:p w14:paraId="49E4D6C1" w14:textId="77777777" w:rsidR="00394CA8" w:rsidRPr="00A859F2" w:rsidRDefault="00394CA8" w:rsidP="00394CA8">
            <w:pPr>
              <w:spacing w:before="40"/>
              <w:jc w:val="center"/>
              <w:rPr>
                <w:sz w:val="16"/>
                <w:szCs w:val="16"/>
                <w:lang w:bidi="th-TH"/>
              </w:rPr>
            </w:pPr>
            <w:r w:rsidRPr="00A859F2">
              <w:rPr>
                <w:color w:val="000000"/>
                <w:sz w:val="16"/>
                <w:szCs w:val="16"/>
                <w:lang w:bidi="th-TH"/>
              </w:rPr>
              <w:t>Programme</w:t>
            </w:r>
            <w:r>
              <w:rPr>
                <w:color w:val="000000"/>
                <w:sz w:val="16"/>
                <w:szCs w:val="16"/>
                <w:lang w:bidi="th-TH"/>
              </w:rPr>
              <w:t> </w:t>
            </w:r>
            <w:r w:rsidRPr="00A859F2">
              <w:rPr>
                <w:color w:val="000000"/>
                <w:sz w:val="16"/>
                <w:szCs w:val="16"/>
                <w:lang w:bidi="th-TH"/>
              </w:rPr>
              <w:t>15</w:t>
            </w:r>
          </w:p>
        </w:tc>
        <w:tc>
          <w:tcPr>
            <w:tcW w:w="677" w:type="pct"/>
            <w:shd w:val="clear" w:color="auto" w:fill="FFFFFF"/>
          </w:tcPr>
          <w:p w14:paraId="6B0F848D" w14:textId="77777777" w:rsidR="00394CA8" w:rsidRPr="00A859F2" w:rsidRDefault="00394CA8" w:rsidP="00394CA8">
            <w:pPr>
              <w:jc w:val="center"/>
              <w:rPr>
                <w:color w:val="FF0000"/>
                <w:szCs w:val="22"/>
              </w:rPr>
            </w:pPr>
            <w:r w:rsidRPr="00A859F2">
              <w:rPr>
                <w:color w:val="FF0000"/>
                <w:szCs w:val="22"/>
              </w:rPr>
              <w:sym w:font="Wingdings" w:char="F06C"/>
            </w:r>
          </w:p>
        </w:tc>
      </w:tr>
    </w:tbl>
    <w:p w14:paraId="02AD9A95" w14:textId="77777777" w:rsidR="00394CA8" w:rsidRPr="00A859F2" w:rsidRDefault="00394CA8" w:rsidP="00394CA8">
      <w:pPr>
        <w:jc w:val="both"/>
      </w:pPr>
    </w:p>
    <w:bookmarkEnd w:id="49"/>
    <w:p w14:paraId="590FF0FD" w14:textId="77777777" w:rsidR="00394CA8" w:rsidRPr="00A859F2" w:rsidRDefault="00394CA8" w:rsidP="00394CA8">
      <w:pPr>
        <w:pStyle w:val="ListParagraph"/>
        <w:ind w:left="0"/>
        <w:jc w:val="both"/>
      </w:pPr>
      <w:r w:rsidRPr="00A859F2">
        <w:br w:type="page"/>
      </w:r>
    </w:p>
    <w:p w14:paraId="1CD71CFB" w14:textId="1CB472F9" w:rsidR="001F64B1" w:rsidRPr="001E6DFD" w:rsidRDefault="00C10A48" w:rsidP="006658D5">
      <w:pPr>
        <w:pStyle w:val="Heading3"/>
      </w:pPr>
      <w:bookmarkStart w:id="50" w:name="_Toc482774606"/>
      <w:r w:rsidRPr="001E6DFD">
        <w:lastRenderedPageBreak/>
        <w:t>Programme</w:t>
      </w:r>
      <w:r w:rsidR="00B4191E">
        <w:t> </w:t>
      </w:r>
      <w:r w:rsidRPr="001E6DFD">
        <w:t>12</w:t>
      </w:r>
      <w:r w:rsidRPr="001E6DFD">
        <w:tab/>
        <w:t>Classifications internationales et normes</w:t>
      </w:r>
      <w:bookmarkEnd w:id="50"/>
    </w:p>
    <w:p w14:paraId="037F843B" w14:textId="77777777" w:rsidR="001F64B1" w:rsidRPr="001E6DFD" w:rsidRDefault="001F64B1" w:rsidP="00AD39EC">
      <w:pPr>
        <w:tabs>
          <w:tab w:val="left" w:pos="2268"/>
        </w:tabs>
        <w:ind w:left="2268" w:hanging="2268"/>
        <w:jc w:val="both"/>
        <w:rPr>
          <w:sz w:val="20"/>
        </w:rPr>
      </w:pPr>
    </w:p>
    <w:p w14:paraId="04D4F987" w14:textId="6DEE3582" w:rsidR="001F64B1" w:rsidRPr="001E6DFD" w:rsidRDefault="00C10A48" w:rsidP="00AA64E5">
      <w:pPr>
        <w:tabs>
          <w:tab w:val="left" w:pos="2268"/>
        </w:tabs>
        <w:ind w:left="2268" w:hanging="2268"/>
        <w:jc w:val="both"/>
        <w:rPr>
          <w:b/>
          <w:sz w:val="20"/>
          <w:szCs w:val="22"/>
        </w:rPr>
      </w:pPr>
      <w:r w:rsidRPr="001E6DFD">
        <w:rPr>
          <w:b/>
          <w:sz w:val="20"/>
          <w:szCs w:val="22"/>
        </w:rPr>
        <w:t>Chef de programme</w:t>
      </w:r>
      <w:r w:rsidRPr="001E6DFD">
        <w:rPr>
          <w:sz w:val="20"/>
          <w:szCs w:val="22"/>
        </w:rPr>
        <w:tab/>
      </w:r>
      <w:r w:rsidRPr="001E6DFD">
        <w:rPr>
          <w:b/>
          <w:sz w:val="20"/>
          <w:szCs w:val="22"/>
        </w:rPr>
        <w:t>M.</w:t>
      </w:r>
      <w:r w:rsidR="004D421A" w:rsidRPr="001E6DFD">
        <w:rPr>
          <w:sz w:val="20"/>
          <w:szCs w:val="22"/>
        </w:rPr>
        <w:t> </w:t>
      </w:r>
      <w:r w:rsidRPr="001E6DFD">
        <w:rPr>
          <w:b/>
          <w:sz w:val="20"/>
          <w:szCs w:val="22"/>
        </w:rPr>
        <w:t>Y</w:t>
      </w:r>
      <w:r w:rsidRPr="001E6DFD">
        <w:rPr>
          <w:sz w:val="20"/>
        </w:rPr>
        <w:t>.</w:t>
      </w:r>
      <w:r w:rsidR="004D421A" w:rsidRPr="001E6DFD">
        <w:rPr>
          <w:sz w:val="20"/>
          <w:szCs w:val="22"/>
        </w:rPr>
        <w:t> </w:t>
      </w:r>
      <w:r w:rsidRPr="001E6DFD">
        <w:rPr>
          <w:b/>
          <w:sz w:val="20"/>
          <w:szCs w:val="22"/>
        </w:rPr>
        <w:t>Takagi</w:t>
      </w:r>
    </w:p>
    <w:p w14:paraId="79755761" w14:textId="77777777" w:rsidR="00BA5EA9" w:rsidRPr="001E6DFD" w:rsidRDefault="00A055E7" w:rsidP="0097226C">
      <w:pPr>
        <w:jc w:val="center"/>
        <w:rPr>
          <w:szCs w:val="22"/>
        </w:rPr>
      </w:pPr>
      <w:r w:rsidRPr="001E6DFD">
        <w:rPr>
          <w:noProof/>
          <w:lang w:val="en-US"/>
        </w:rPr>
        <w:drawing>
          <wp:inline distT="0" distB="0" distL="0" distR="0" wp14:anchorId="6CE549C3" wp14:editId="334BA82A">
            <wp:extent cx="3963600" cy="273600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57"/>
        <w:gridCol w:w="2247"/>
        <w:gridCol w:w="1209"/>
        <w:gridCol w:w="2723"/>
        <w:gridCol w:w="1051"/>
      </w:tblGrid>
      <w:tr w:rsidR="00BA5EA9" w:rsidRPr="001E6DFD" w14:paraId="6E24DF02" w14:textId="77777777" w:rsidTr="00A055E7">
        <w:tc>
          <w:tcPr>
            <w:tcW w:w="5000" w:type="pct"/>
            <w:gridSpan w:val="5"/>
            <w:shd w:val="clear" w:color="auto" w:fill="C6D9F1" w:themeFill="text2" w:themeFillTint="33"/>
            <w:tcMar>
              <w:left w:w="58" w:type="dxa"/>
              <w:right w:w="58" w:type="dxa"/>
            </w:tcMar>
            <w:vAlign w:val="center"/>
          </w:tcPr>
          <w:p w14:paraId="25A60BF1" w14:textId="216772DA" w:rsidR="00BA5EA9" w:rsidRPr="001E6DFD" w:rsidRDefault="00C10A48"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Cs/>
                <w:sz w:val="16"/>
                <w:szCs w:val="16"/>
              </w:rPr>
              <w:t xml:space="preserve"> IV.1 Système actualisé et mondialement accepté des classifications internationales et des normes de l</w:t>
            </w:r>
            <w:r w:rsidR="00FA22F6" w:rsidRPr="001E6DFD">
              <w:rPr>
                <w:bCs/>
                <w:sz w:val="16"/>
                <w:szCs w:val="16"/>
              </w:rPr>
              <w:t>’</w:t>
            </w:r>
            <w:r w:rsidRPr="001E6DFD">
              <w:rPr>
                <w:bCs/>
                <w:sz w:val="16"/>
                <w:szCs w:val="16"/>
              </w:rPr>
              <w:t>OMPI pour faciliter l</w:t>
            </w:r>
            <w:r w:rsidR="00FA22F6" w:rsidRPr="001E6DFD">
              <w:rPr>
                <w:bCs/>
                <w:sz w:val="16"/>
                <w:szCs w:val="16"/>
              </w:rPr>
              <w:t>’</w:t>
            </w:r>
            <w:r w:rsidRPr="001E6DFD">
              <w:rPr>
                <w:bCs/>
                <w:sz w:val="16"/>
                <w:szCs w:val="16"/>
              </w:rPr>
              <w:t>accès des parties prenantes dans le monde à l</w:t>
            </w:r>
            <w:r w:rsidR="00FA22F6" w:rsidRPr="001E6DFD">
              <w:rPr>
                <w:bCs/>
                <w:sz w:val="16"/>
                <w:szCs w:val="16"/>
              </w:rPr>
              <w:t>’</w:t>
            </w:r>
            <w:r w:rsidRPr="001E6DFD">
              <w:rPr>
                <w:bCs/>
                <w:sz w:val="16"/>
                <w:szCs w:val="16"/>
              </w:rPr>
              <w:t>information en matière de propriété intellectuelle, ainsi que l</w:t>
            </w:r>
            <w:r w:rsidR="00FA22F6" w:rsidRPr="001E6DFD">
              <w:rPr>
                <w:bCs/>
                <w:sz w:val="16"/>
                <w:szCs w:val="16"/>
              </w:rPr>
              <w:t>’</w:t>
            </w:r>
            <w:r w:rsidRPr="001E6DFD">
              <w:rPr>
                <w:bCs/>
                <w:sz w:val="16"/>
                <w:szCs w:val="16"/>
              </w:rPr>
              <w:t>utilisation et la diffusion de celle</w:t>
            </w:r>
            <w:r w:rsidR="006A41CF" w:rsidRPr="001E6DFD">
              <w:rPr>
                <w:bCs/>
                <w:sz w:val="16"/>
                <w:szCs w:val="16"/>
              </w:rPr>
              <w:noBreakHyphen/>
            </w:r>
            <w:r w:rsidRPr="001E6DFD">
              <w:rPr>
                <w:bCs/>
                <w:sz w:val="16"/>
                <w:szCs w:val="16"/>
              </w:rPr>
              <w:t>ci</w:t>
            </w:r>
          </w:p>
        </w:tc>
      </w:tr>
      <w:tr w:rsidR="00BA5EA9" w:rsidRPr="001E6DFD" w14:paraId="1018AA58" w14:textId="77777777" w:rsidTr="00A055E7">
        <w:tc>
          <w:tcPr>
            <w:tcW w:w="1082" w:type="pct"/>
            <w:shd w:val="clear" w:color="auto" w:fill="auto"/>
            <w:tcMar>
              <w:left w:w="58" w:type="dxa"/>
              <w:right w:w="58" w:type="dxa"/>
            </w:tcMar>
            <w:vAlign w:val="center"/>
          </w:tcPr>
          <w:p w14:paraId="178C545A" w14:textId="06CD9C59" w:rsidR="00BA5EA9" w:rsidRPr="001E6DFD" w:rsidRDefault="00C10A48" w:rsidP="0097226C">
            <w:pPr>
              <w:ind w:right="-57"/>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40" w:type="pct"/>
            <w:shd w:val="clear" w:color="auto" w:fill="auto"/>
            <w:tcMar>
              <w:left w:w="58" w:type="dxa"/>
              <w:right w:w="58" w:type="dxa"/>
            </w:tcMar>
            <w:vAlign w:val="center"/>
          </w:tcPr>
          <w:p w14:paraId="7D8CC7A6" w14:textId="77777777" w:rsidR="00BA5EA9" w:rsidRPr="001E6DFD" w:rsidRDefault="00C10A48" w:rsidP="0097226C">
            <w:pPr>
              <w:ind w:right="-58"/>
              <w:jc w:val="center"/>
              <w:rPr>
                <w:b/>
                <w:bCs/>
                <w:sz w:val="16"/>
                <w:szCs w:val="16"/>
              </w:rPr>
            </w:pPr>
            <w:r w:rsidRPr="001E6DFD">
              <w:rPr>
                <w:b/>
                <w:bCs/>
                <w:sz w:val="16"/>
                <w:szCs w:val="16"/>
              </w:rPr>
              <w:t>Niveaux de référence</w:t>
            </w:r>
          </w:p>
        </w:tc>
        <w:tc>
          <w:tcPr>
            <w:tcW w:w="675" w:type="pct"/>
            <w:shd w:val="clear" w:color="auto" w:fill="auto"/>
            <w:tcMar>
              <w:top w:w="110" w:type="dxa"/>
              <w:left w:w="58" w:type="dxa"/>
              <w:right w:w="58" w:type="dxa"/>
            </w:tcMar>
            <w:vAlign w:val="center"/>
          </w:tcPr>
          <w:p w14:paraId="1CD42C09" w14:textId="77777777" w:rsidR="00BA5EA9" w:rsidRPr="001E6DFD" w:rsidRDefault="00C10A48" w:rsidP="0097226C">
            <w:pPr>
              <w:tabs>
                <w:tab w:val="left" w:pos="290"/>
              </w:tabs>
              <w:jc w:val="center"/>
              <w:rPr>
                <w:b/>
                <w:bCs/>
                <w:sz w:val="16"/>
                <w:szCs w:val="16"/>
              </w:rPr>
            </w:pPr>
            <w:r w:rsidRPr="001E6DFD">
              <w:rPr>
                <w:b/>
                <w:bCs/>
                <w:sz w:val="16"/>
                <w:szCs w:val="16"/>
              </w:rPr>
              <w:t>Objectifs visés</w:t>
            </w:r>
          </w:p>
        </w:tc>
        <w:tc>
          <w:tcPr>
            <w:tcW w:w="1499" w:type="pct"/>
            <w:shd w:val="clear" w:color="auto" w:fill="FFFFFF"/>
            <w:tcMar>
              <w:top w:w="110" w:type="dxa"/>
              <w:left w:w="58" w:type="dxa"/>
              <w:right w:w="58" w:type="dxa"/>
            </w:tcMar>
            <w:vAlign w:val="center"/>
          </w:tcPr>
          <w:p w14:paraId="12AA0B25" w14:textId="57116933" w:rsidR="00BA5EA9" w:rsidRPr="001E6DFD" w:rsidRDefault="00C10A48" w:rsidP="0097226C">
            <w:pPr>
              <w:ind w:right="30"/>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04" w:type="pct"/>
            <w:shd w:val="clear" w:color="auto" w:fill="auto"/>
            <w:tcMar>
              <w:top w:w="110" w:type="dxa"/>
              <w:left w:w="58" w:type="dxa"/>
              <w:right w:w="58" w:type="dxa"/>
            </w:tcMar>
            <w:vAlign w:val="center"/>
          </w:tcPr>
          <w:p w14:paraId="207A54EC" w14:textId="0CA4857A" w:rsidR="00BA5EA9" w:rsidRPr="001E6DFD" w:rsidRDefault="00EA6936" w:rsidP="0097226C">
            <w:pPr>
              <w:keepNext/>
              <w:keepLines/>
              <w:ind w:right="1"/>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6D1D412E" w14:textId="77777777" w:rsidTr="00A055E7">
        <w:tc>
          <w:tcPr>
            <w:tcW w:w="1082" w:type="pct"/>
            <w:shd w:val="clear" w:color="auto" w:fill="auto"/>
            <w:tcMar>
              <w:left w:w="58" w:type="dxa"/>
              <w:right w:w="58" w:type="dxa"/>
            </w:tcMar>
          </w:tcPr>
          <w:p w14:paraId="1D4BA5D2" w14:textId="2CAA442E" w:rsidR="00BA5EA9" w:rsidRPr="001E6DFD" w:rsidRDefault="00C10A48" w:rsidP="0097226C">
            <w:pPr>
              <w:keepLines/>
              <w:ind w:right="-57"/>
              <w:rPr>
                <w:sz w:val="16"/>
                <w:szCs w:val="16"/>
              </w:rPr>
            </w:pPr>
            <w:r w:rsidRPr="001E6DFD">
              <w:rPr>
                <w:sz w:val="16"/>
                <w:szCs w:val="16"/>
              </w:rPr>
              <w:t>Nombre de modifications et de dossiers d</w:t>
            </w:r>
            <w:r w:rsidR="00FA22F6" w:rsidRPr="001E6DFD">
              <w:rPr>
                <w:sz w:val="16"/>
                <w:szCs w:val="16"/>
              </w:rPr>
              <w:t>’</w:t>
            </w:r>
            <w:r w:rsidRPr="001E6DFD">
              <w:rPr>
                <w:sz w:val="16"/>
                <w:szCs w:val="16"/>
              </w:rPr>
              <w:t>information introduits dans la classification de Nice</w:t>
            </w:r>
          </w:p>
        </w:tc>
        <w:tc>
          <w:tcPr>
            <w:tcW w:w="1240" w:type="pct"/>
            <w:shd w:val="clear" w:color="auto" w:fill="auto"/>
            <w:tcMar>
              <w:left w:w="58" w:type="dxa"/>
              <w:right w:w="58" w:type="dxa"/>
            </w:tcMar>
          </w:tcPr>
          <w:p w14:paraId="7A253770" w14:textId="30AF4829" w:rsidR="001F64B1" w:rsidRPr="00AD39EC" w:rsidRDefault="00E64532" w:rsidP="0097226C">
            <w:pPr>
              <w:ind w:right="-58"/>
              <w:rPr>
                <w:i/>
                <w:color w:val="002060"/>
                <w:sz w:val="16"/>
                <w:szCs w:val="16"/>
              </w:rPr>
            </w:pPr>
            <w:r w:rsidRPr="00AD39EC">
              <w:rPr>
                <w:i/>
                <w:color w:val="002060"/>
                <w:sz w:val="16"/>
                <w:szCs w:val="16"/>
              </w:rPr>
              <w:t>Niveau de référence actualisé à fin</w:t>
            </w:r>
            <w:r w:rsidR="00B4191E" w:rsidRPr="00AD39EC">
              <w:rPr>
                <w:i/>
                <w:color w:val="002060"/>
                <w:sz w:val="16"/>
                <w:szCs w:val="16"/>
              </w:rPr>
              <w:t> </w:t>
            </w:r>
            <w:r w:rsidRPr="00AD39EC">
              <w:rPr>
                <w:i/>
                <w:color w:val="002060"/>
                <w:sz w:val="16"/>
                <w:szCs w:val="16"/>
              </w:rPr>
              <w:t>2015</w:t>
            </w:r>
            <w:r w:rsidR="00FA22F6" w:rsidRPr="00AD39EC">
              <w:rPr>
                <w:i/>
                <w:color w:val="002060"/>
                <w:sz w:val="16"/>
                <w:szCs w:val="16"/>
              </w:rPr>
              <w:t> :</w:t>
            </w:r>
          </w:p>
          <w:p w14:paraId="122FAA48" w14:textId="5F5474B0" w:rsidR="00FA22F6" w:rsidRPr="00AD39EC" w:rsidRDefault="00BA5EA9" w:rsidP="0097226C">
            <w:pPr>
              <w:pStyle w:val="Default"/>
              <w:keepNext/>
              <w:keepLines/>
              <w:ind w:right="-58"/>
              <w:rPr>
                <w:color w:val="002060"/>
                <w:sz w:val="16"/>
                <w:szCs w:val="16"/>
                <w:lang w:val="fr-FR"/>
              </w:rPr>
            </w:pPr>
            <w:r w:rsidRPr="00AD39EC">
              <w:rPr>
                <w:color w:val="002060"/>
                <w:sz w:val="16"/>
                <w:szCs w:val="16"/>
                <w:lang w:val="fr-FR"/>
              </w:rPr>
              <w:t xml:space="preserve">1480 </w:t>
            </w:r>
            <w:r w:rsidR="007A2632" w:rsidRPr="00AD39EC">
              <w:rPr>
                <w:color w:val="002060"/>
                <w:sz w:val="16"/>
                <w:szCs w:val="16"/>
                <w:lang w:val="fr-FR"/>
              </w:rPr>
              <w:t>modifications au cours de l</w:t>
            </w:r>
            <w:r w:rsidR="00FA22F6" w:rsidRPr="00AD39EC">
              <w:rPr>
                <w:color w:val="002060"/>
                <w:sz w:val="16"/>
                <w:szCs w:val="16"/>
                <w:lang w:val="fr-FR"/>
              </w:rPr>
              <w:t>’</w:t>
            </w:r>
            <w:r w:rsidR="007A2632" w:rsidRPr="00AD39EC">
              <w:rPr>
                <w:color w:val="002060"/>
                <w:sz w:val="16"/>
                <w:szCs w:val="16"/>
                <w:lang w:val="fr-FR"/>
              </w:rPr>
              <w:t>exercice biennal</w:t>
            </w:r>
            <w:r w:rsidR="00FA22F6" w:rsidRPr="00AD39EC">
              <w:rPr>
                <w:color w:val="002060"/>
                <w:sz w:val="16"/>
                <w:szCs w:val="16"/>
                <w:lang w:val="fr-FR"/>
              </w:rPr>
              <w:t> :</w:t>
            </w:r>
          </w:p>
          <w:p w14:paraId="475C17FE" w14:textId="68D1A326" w:rsidR="001F64B1" w:rsidRPr="00AD39EC" w:rsidRDefault="00BA5EA9" w:rsidP="0097226C">
            <w:pPr>
              <w:pStyle w:val="Default"/>
              <w:keepNext/>
              <w:keepLines/>
              <w:ind w:right="-58"/>
              <w:rPr>
                <w:color w:val="002060"/>
                <w:sz w:val="16"/>
                <w:szCs w:val="16"/>
                <w:lang w:val="fr-FR"/>
              </w:rPr>
            </w:pPr>
            <w:r w:rsidRPr="00AD39EC">
              <w:rPr>
                <w:color w:val="002060"/>
                <w:sz w:val="16"/>
                <w:szCs w:val="16"/>
                <w:lang w:val="fr-FR"/>
              </w:rPr>
              <w:t xml:space="preserve">560 </w:t>
            </w:r>
            <w:r w:rsidR="007A2632" w:rsidRPr="00AD39EC">
              <w:rPr>
                <w:color w:val="002060"/>
                <w:sz w:val="16"/>
                <w:szCs w:val="16"/>
                <w:lang w:val="fr-FR"/>
              </w:rPr>
              <w:t xml:space="preserve">modifications </w:t>
            </w:r>
            <w:r w:rsidR="00FA22F6" w:rsidRPr="00AD39EC">
              <w:rPr>
                <w:color w:val="002060"/>
                <w:sz w:val="16"/>
                <w:szCs w:val="16"/>
                <w:lang w:val="fr-FR"/>
              </w:rPr>
              <w:t>en 2014</w:t>
            </w:r>
            <w:r w:rsidRPr="00AD39EC">
              <w:rPr>
                <w:rStyle w:val="FootnoteReference"/>
                <w:rFonts w:eastAsia="Batang" w:cs="Arial"/>
                <w:color w:val="002060"/>
                <w:szCs w:val="16"/>
                <w:lang w:val="fr-FR"/>
              </w:rPr>
              <w:footnoteReference w:id="60"/>
            </w:r>
          </w:p>
          <w:p w14:paraId="3311335B" w14:textId="42A3ABBD"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BA5EA9" w:rsidRPr="00AD39EC">
              <w:rPr>
                <w:color w:val="002060"/>
                <w:sz w:val="16"/>
                <w:szCs w:val="16"/>
                <w:lang w:val="fr-FR"/>
              </w:rPr>
              <w:t xml:space="preserve">274 </w:t>
            </w:r>
            <w:r w:rsidR="007A2632" w:rsidRPr="00AD39EC">
              <w:rPr>
                <w:color w:val="002060"/>
                <w:sz w:val="16"/>
                <w:szCs w:val="16"/>
                <w:lang w:val="fr-FR"/>
              </w:rPr>
              <w:t>en anglais</w:t>
            </w:r>
          </w:p>
          <w:p w14:paraId="35EC0552" w14:textId="1C005791"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C10A48" w:rsidRPr="00AD39EC">
              <w:rPr>
                <w:color w:val="002060"/>
                <w:sz w:val="16"/>
                <w:szCs w:val="16"/>
                <w:lang w:val="fr-FR"/>
              </w:rPr>
              <w:t>286 en français</w:t>
            </w:r>
          </w:p>
          <w:p w14:paraId="3A94FDC5" w14:textId="06264747" w:rsidR="001F64B1" w:rsidRPr="00AD39EC" w:rsidRDefault="00BA5EA9" w:rsidP="0097226C">
            <w:pPr>
              <w:pStyle w:val="Default"/>
              <w:keepNext/>
              <w:keepLines/>
              <w:ind w:right="-58"/>
              <w:rPr>
                <w:color w:val="002060"/>
                <w:sz w:val="16"/>
                <w:szCs w:val="16"/>
                <w:lang w:val="fr-FR"/>
              </w:rPr>
            </w:pPr>
            <w:r w:rsidRPr="00AD39EC">
              <w:rPr>
                <w:color w:val="002060"/>
                <w:sz w:val="16"/>
                <w:szCs w:val="16"/>
                <w:lang w:val="fr-FR"/>
              </w:rPr>
              <w:t xml:space="preserve">920 </w:t>
            </w:r>
            <w:r w:rsidR="007A2632" w:rsidRPr="00AD39EC">
              <w:rPr>
                <w:color w:val="002060"/>
                <w:sz w:val="16"/>
                <w:szCs w:val="16"/>
                <w:lang w:val="fr-FR"/>
              </w:rPr>
              <w:t xml:space="preserve">modifications </w:t>
            </w:r>
            <w:r w:rsidR="00FA22F6" w:rsidRPr="00AD39EC">
              <w:rPr>
                <w:color w:val="002060"/>
                <w:sz w:val="16"/>
                <w:szCs w:val="16"/>
                <w:lang w:val="fr-FR"/>
              </w:rPr>
              <w:t>en 2015</w:t>
            </w:r>
          </w:p>
          <w:p w14:paraId="00D84663" w14:textId="542C0A59"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BA5EA9" w:rsidRPr="00AD39EC">
              <w:rPr>
                <w:color w:val="002060"/>
                <w:sz w:val="16"/>
                <w:szCs w:val="16"/>
                <w:lang w:val="fr-FR"/>
              </w:rPr>
              <w:t xml:space="preserve">496 </w:t>
            </w:r>
            <w:r w:rsidR="007A2632" w:rsidRPr="00AD39EC">
              <w:rPr>
                <w:color w:val="002060"/>
                <w:sz w:val="16"/>
                <w:szCs w:val="16"/>
                <w:lang w:val="fr-FR"/>
              </w:rPr>
              <w:t>en anglais</w:t>
            </w:r>
          </w:p>
          <w:p w14:paraId="0410F2F3" w14:textId="3895ECC5"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C10A48" w:rsidRPr="00AD39EC">
              <w:rPr>
                <w:color w:val="002060"/>
                <w:sz w:val="16"/>
                <w:szCs w:val="16"/>
                <w:lang w:val="fr-FR"/>
              </w:rPr>
              <w:t>424 en français</w:t>
            </w:r>
          </w:p>
          <w:p w14:paraId="1945037C" w14:textId="77777777" w:rsidR="001F64B1" w:rsidRPr="00AD39EC" w:rsidRDefault="001F64B1" w:rsidP="0097226C">
            <w:pPr>
              <w:ind w:right="-58"/>
              <w:rPr>
                <w:color w:val="002060"/>
                <w:sz w:val="16"/>
                <w:szCs w:val="16"/>
              </w:rPr>
            </w:pPr>
          </w:p>
          <w:p w14:paraId="3FC522FC" w14:textId="0E28FB0C" w:rsidR="00FA22F6" w:rsidRPr="00AD39EC" w:rsidRDefault="00C10A48" w:rsidP="0097226C">
            <w:pPr>
              <w:keepNext/>
              <w:keepLines/>
              <w:ind w:right="-58"/>
              <w:rPr>
                <w:color w:val="002060"/>
                <w:sz w:val="16"/>
                <w:szCs w:val="16"/>
              </w:rPr>
            </w:pPr>
            <w:r w:rsidRPr="00AD39EC">
              <w:rPr>
                <w:color w:val="002060"/>
                <w:sz w:val="16"/>
                <w:szCs w:val="16"/>
              </w:rPr>
              <w:t>43 dossiers d</w:t>
            </w:r>
            <w:r w:rsidR="00FA22F6" w:rsidRPr="00AD39EC">
              <w:rPr>
                <w:color w:val="002060"/>
                <w:sz w:val="16"/>
                <w:szCs w:val="16"/>
              </w:rPr>
              <w:t>’</w:t>
            </w:r>
            <w:r w:rsidRPr="00AD39EC">
              <w:rPr>
                <w:color w:val="002060"/>
                <w:sz w:val="16"/>
                <w:szCs w:val="16"/>
              </w:rPr>
              <w:t>information révisés</w:t>
            </w:r>
          </w:p>
          <w:p w14:paraId="25CB9ACE" w14:textId="6AA925BE"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BA5EA9" w:rsidRPr="00AD39EC">
              <w:rPr>
                <w:color w:val="002060"/>
                <w:sz w:val="16"/>
                <w:szCs w:val="16"/>
                <w:lang w:val="fr-FR"/>
              </w:rPr>
              <w:t>39 (2014)</w:t>
            </w:r>
          </w:p>
          <w:p w14:paraId="0EFE9468" w14:textId="7619E49A"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BA5EA9" w:rsidRPr="00AD39EC">
              <w:rPr>
                <w:color w:val="002060"/>
                <w:sz w:val="16"/>
                <w:szCs w:val="16"/>
                <w:lang w:val="fr-FR"/>
              </w:rPr>
              <w:t>4 (2015)</w:t>
            </w:r>
          </w:p>
          <w:p w14:paraId="57900EFB" w14:textId="77777777" w:rsidR="001F64B1" w:rsidRPr="00AD39EC" w:rsidRDefault="001F64B1" w:rsidP="0097226C">
            <w:pPr>
              <w:pStyle w:val="Default"/>
              <w:keepNext/>
              <w:keepLines/>
              <w:ind w:right="-58"/>
              <w:rPr>
                <w:color w:val="002060"/>
                <w:sz w:val="16"/>
                <w:szCs w:val="16"/>
                <w:lang w:val="fr-FR"/>
              </w:rPr>
            </w:pPr>
          </w:p>
          <w:p w14:paraId="77895B56" w14:textId="3DC976C1" w:rsidR="00FA22F6" w:rsidRPr="00AD39EC" w:rsidRDefault="00BA5EA9" w:rsidP="0097226C">
            <w:pPr>
              <w:pStyle w:val="Default"/>
              <w:keepNext/>
              <w:keepLines/>
              <w:ind w:right="-58"/>
              <w:rPr>
                <w:color w:val="002060"/>
                <w:sz w:val="16"/>
                <w:szCs w:val="16"/>
                <w:lang w:val="fr-FR"/>
              </w:rPr>
            </w:pPr>
            <w:r w:rsidRPr="00AD39EC">
              <w:rPr>
                <w:color w:val="002060"/>
                <w:sz w:val="16"/>
                <w:szCs w:val="16"/>
                <w:lang w:val="fr-FR"/>
              </w:rPr>
              <w:t xml:space="preserve">25 </w:t>
            </w:r>
            <w:r w:rsidR="00732EA4" w:rsidRPr="00AD39EC">
              <w:rPr>
                <w:color w:val="002060"/>
                <w:sz w:val="16"/>
                <w:szCs w:val="16"/>
                <w:lang w:val="fr-FR"/>
              </w:rPr>
              <w:t>nouveaux dossiers d</w:t>
            </w:r>
            <w:r w:rsidR="00FA22F6" w:rsidRPr="00AD39EC">
              <w:rPr>
                <w:color w:val="002060"/>
                <w:sz w:val="16"/>
                <w:szCs w:val="16"/>
                <w:lang w:val="fr-FR"/>
              </w:rPr>
              <w:t>’</w:t>
            </w:r>
            <w:r w:rsidR="00732EA4" w:rsidRPr="00AD39EC">
              <w:rPr>
                <w:color w:val="002060"/>
                <w:sz w:val="16"/>
                <w:szCs w:val="16"/>
                <w:lang w:val="fr-FR"/>
              </w:rPr>
              <w:t>information introduits</w:t>
            </w:r>
          </w:p>
          <w:p w14:paraId="064A332F" w14:textId="5A63EE71"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BA5EA9" w:rsidRPr="00AD39EC">
              <w:rPr>
                <w:color w:val="002060"/>
                <w:sz w:val="16"/>
                <w:szCs w:val="16"/>
                <w:lang w:val="fr-FR"/>
              </w:rPr>
              <w:t>20 (2014)</w:t>
            </w:r>
          </w:p>
          <w:p w14:paraId="679A428D" w14:textId="46BF40B0" w:rsidR="001F64B1" w:rsidRPr="00AD39EC" w:rsidRDefault="00AD39EC" w:rsidP="00AD39EC">
            <w:pPr>
              <w:pStyle w:val="Default"/>
              <w:keepNext/>
              <w:keepLines/>
              <w:ind w:right="-58"/>
              <w:rPr>
                <w:color w:val="002060"/>
                <w:sz w:val="16"/>
                <w:szCs w:val="16"/>
                <w:lang w:val="fr-FR"/>
              </w:rPr>
            </w:pPr>
            <w:r>
              <w:rPr>
                <w:color w:val="002060"/>
                <w:sz w:val="16"/>
                <w:szCs w:val="16"/>
                <w:lang w:val="fr-FR"/>
              </w:rPr>
              <w:t xml:space="preserve">– </w:t>
            </w:r>
            <w:r w:rsidR="00BA5EA9" w:rsidRPr="00AD39EC">
              <w:rPr>
                <w:color w:val="002060"/>
                <w:sz w:val="16"/>
                <w:szCs w:val="16"/>
                <w:lang w:val="fr-FR"/>
              </w:rPr>
              <w:t>5 (2015)</w:t>
            </w:r>
          </w:p>
          <w:p w14:paraId="23F80912" w14:textId="77777777" w:rsidR="001F64B1" w:rsidRPr="001E6DFD" w:rsidRDefault="001F64B1" w:rsidP="0097226C">
            <w:pPr>
              <w:ind w:right="-58"/>
              <w:rPr>
                <w:sz w:val="16"/>
                <w:szCs w:val="16"/>
              </w:rPr>
            </w:pPr>
          </w:p>
          <w:p w14:paraId="3C6C440F" w14:textId="61119C76" w:rsidR="00FA22F6" w:rsidRPr="001E6DFD" w:rsidRDefault="00E64532" w:rsidP="0097226C">
            <w:pPr>
              <w:ind w:right="-58"/>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DD1373E" w14:textId="30629E6F" w:rsidR="00BA5EA9" w:rsidRPr="001E6DFD" w:rsidRDefault="00C10A48" w:rsidP="0097226C">
            <w:pPr>
              <w:keepNext/>
              <w:keepLines/>
              <w:ind w:right="-57"/>
              <w:rPr>
                <w:sz w:val="16"/>
                <w:szCs w:val="16"/>
              </w:rPr>
            </w:pPr>
            <w:r w:rsidRPr="001E6DFD">
              <w:rPr>
                <w:sz w:val="16"/>
                <w:szCs w:val="16"/>
              </w:rPr>
              <w:t>570 modifications en anglais et en français, 50</w:t>
            </w:r>
            <w:r w:rsidR="00B4191E">
              <w:rPr>
                <w:sz w:val="16"/>
                <w:szCs w:val="16"/>
              </w:rPr>
              <w:t> </w:t>
            </w:r>
            <w:r w:rsidRPr="001E6DFD">
              <w:rPr>
                <w:sz w:val="16"/>
                <w:szCs w:val="16"/>
              </w:rPr>
              <w:t>dossiers d</w:t>
            </w:r>
            <w:r w:rsidR="00FA22F6" w:rsidRPr="001E6DFD">
              <w:rPr>
                <w:sz w:val="16"/>
                <w:szCs w:val="16"/>
              </w:rPr>
              <w:t>’</w:t>
            </w:r>
            <w:r w:rsidRPr="001E6DFD">
              <w:rPr>
                <w:sz w:val="16"/>
                <w:szCs w:val="16"/>
              </w:rPr>
              <w:t>information nouveaux ou modifiés (2014)</w:t>
            </w:r>
          </w:p>
        </w:tc>
        <w:tc>
          <w:tcPr>
            <w:tcW w:w="675" w:type="pct"/>
            <w:shd w:val="clear" w:color="auto" w:fill="auto"/>
            <w:tcMar>
              <w:top w:w="110" w:type="dxa"/>
              <w:left w:w="58" w:type="dxa"/>
              <w:right w:w="58" w:type="dxa"/>
            </w:tcMar>
          </w:tcPr>
          <w:p w14:paraId="6E412B0C" w14:textId="77777777" w:rsidR="00BA5EA9" w:rsidRPr="001E6DFD" w:rsidRDefault="00C10A48" w:rsidP="0097226C">
            <w:pPr>
              <w:keepNext/>
              <w:keepLines/>
              <w:rPr>
                <w:sz w:val="16"/>
                <w:szCs w:val="16"/>
              </w:rPr>
            </w:pPr>
            <w:r w:rsidRPr="001E6DFD">
              <w:rPr>
                <w:sz w:val="16"/>
                <w:szCs w:val="16"/>
              </w:rPr>
              <w:t>Hausse par rapport au niveau de référence</w:t>
            </w:r>
          </w:p>
        </w:tc>
        <w:tc>
          <w:tcPr>
            <w:tcW w:w="1499" w:type="pct"/>
            <w:shd w:val="clear" w:color="auto" w:fill="FFFFFF"/>
            <w:tcMar>
              <w:top w:w="110" w:type="dxa"/>
              <w:left w:w="58" w:type="dxa"/>
              <w:right w:w="58" w:type="dxa"/>
            </w:tcMar>
          </w:tcPr>
          <w:p w14:paraId="706791CD" w14:textId="77777777" w:rsidR="00FA22F6" w:rsidRPr="001E6DFD" w:rsidRDefault="00C10A48" w:rsidP="0097226C">
            <w:pPr>
              <w:ind w:right="30"/>
              <w:rPr>
                <w:sz w:val="16"/>
                <w:szCs w:val="16"/>
              </w:rPr>
            </w:pPr>
            <w:r w:rsidRPr="001E6DFD">
              <w:rPr>
                <w:sz w:val="16"/>
                <w:szCs w:val="16"/>
              </w:rPr>
              <w:t>1213 modifications</w:t>
            </w:r>
          </w:p>
          <w:p w14:paraId="65695CFC" w14:textId="6B81DF7C" w:rsidR="001F64B1" w:rsidRPr="001E6DFD" w:rsidRDefault="00BA5EA9" w:rsidP="00D544B8">
            <w:pPr>
              <w:pStyle w:val="ListParagraph"/>
              <w:numPr>
                <w:ilvl w:val="0"/>
                <w:numId w:val="13"/>
              </w:numPr>
              <w:ind w:left="213" w:right="30" w:hanging="147"/>
              <w:rPr>
                <w:rFonts w:ascii="Arial" w:hAnsi="Arial" w:cs="Arial"/>
                <w:sz w:val="16"/>
                <w:szCs w:val="16"/>
              </w:rPr>
            </w:pPr>
            <w:r w:rsidRPr="001E6DFD">
              <w:rPr>
                <w:rFonts w:ascii="Arial" w:hAnsi="Arial" w:cs="Arial"/>
                <w:sz w:val="16"/>
                <w:szCs w:val="16"/>
              </w:rPr>
              <w:t xml:space="preserve">651 </w:t>
            </w:r>
            <w:r w:rsidR="007A2632" w:rsidRPr="001E6DFD">
              <w:rPr>
                <w:rFonts w:ascii="Arial" w:hAnsi="Arial" w:cs="Arial"/>
                <w:sz w:val="16"/>
                <w:szCs w:val="16"/>
              </w:rPr>
              <w:t>en anglais</w:t>
            </w:r>
          </w:p>
          <w:p w14:paraId="16211FCB" w14:textId="77777777" w:rsidR="001F64B1" w:rsidRPr="001E6DFD" w:rsidRDefault="00C10A48" w:rsidP="00D544B8">
            <w:pPr>
              <w:pStyle w:val="ListParagraph"/>
              <w:numPr>
                <w:ilvl w:val="0"/>
                <w:numId w:val="13"/>
              </w:numPr>
              <w:ind w:left="213" w:right="30" w:hanging="147"/>
              <w:rPr>
                <w:rFonts w:ascii="Arial" w:hAnsi="Arial" w:cs="Arial"/>
                <w:sz w:val="16"/>
                <w:szCs w:val="16"/>
              </w:rPr>
            </w:pPr>
            <w:r w:rsidRPr="001E6DFD">
              <w:rPr>
                <w:rFonts w:ascii="Arial" w:hAnsi="Arial" w:cs="Arial"/>
                <w:sz w:val="16"/>
                <w:szCs w:val="16"/>
              </w:rPr>
              <w:t>562 en français</w:t>
            </w:r>
          </w:p>
          <w:p w14:paraId="0FCD65F9" w14:textId="77777777" w:rsidR="001F64B1" w:rsidRPr="001E6DFD" w:rsidRDefault="001F64B1" w:rsidP="0097226C">
            <w:pPr>
              <w:pStyle w:val="ListParagraph"/>
              <w:ind w:left="360" w:right="30"/>
              <w:rPr>
                <w:rFonts w:ascii="Arial" w:hAnsi="Arial" w:cs="Arial"/>
                <w:sz w:val="16"/>
                <w:szCs w:val="16"/>
              </w:rPr>
            </w:pPr>
          </w:p>
          <w:p w14:paraId="55CDAFE9" w14:textId="77777777" w:rsidR="001F64B1" w:rsidRPr="001E6DFD" w:rsidRDefault="001F64B1" w:rsidP="0097226C">
            <w:pPr>
              <w:ind w:right="30"/>
              <w:rPr>
                <w:sz w:val="16"/>
                <w:szCs w:val="16"/>
              </w:rPr>
            </w:pPr>
          </w:p>
          <w:p w14:paraId="4EE26F29" w14:textId="77777777" w:rsidR="001F64B1" w:rsidRPr="001E6DFD" w:rsidRDefault="001F64B1" w:rsidP="0097226C">
            <w:pPr>
              <w:ind w:right="30"/>
              <w:rPr>
                <w:sz w:val="16"/>
                <w:szCs w:val="16"/>
              </w:rPr>
            </w:pPr>
          </w:p>
          <w:p w14:paraId="5FCF58DA" w14:textId="77777777" w:rsidR="001F64B1" w:rsidRPr="001E6DFD" w:rsidRDefault="001F64B1" w:rsidP="0097226C">
            <w:pPr>
              <w:ind w:right="30"/>
              <w:rPr>
                <w:sz w:val="16"/>
                <w:szCs w:val="16"/>
              </w:rPr>
            </w:pPr>
          </w:p>
          <w:p w14:paraId="30907EAF" w14:textId="77777777" w:rsidR="001F64B1" w:rsidRPr="001E6DFD" w:rsidRDefault="001F64B1" w:rsidP="0097226C">
            <w:pPr>
              <w:ind w:right="30"/>
              <w:rPr>
                <w:sz w:val="16"/>
                <w:szCs w:val="16"/>
              </w:rPr>
            </w:pPr>
          </w:p>
          <w:p w14:paraId="3258D119" w14:textId="77777777" w:rsidR="001F64B1" w:rsidRPr="001E6DFD" w:rsidRDefault="001F64B1" w:rsidP="0097226C">
            <w:pPr>
              <w:ind w:right="30"/>
              <w:rPr>
                <w:sz w:val="16"/>
                <w:szCs w:val="16"/>
              </w:rPr>
            </w:pPr>
          </w:p>
          <w:p w14:paraId="145A778A" w14:textId="77777777" w:rsidR="001F64B1" w:rsidRPr="00AD39EC" w:rsidRDefault="001F64B1" w:rsidP="0097226C">
            <w:pPr>
              <w:ind w:right="30"/>
              <w:rPr>
                <w:sz w:val="16"/>
                <w:szCs w:val="16"/>
              </w:rPr>
            </w:pPr>
          </w:p>
          <w:p w14:paraId="6DA8993C" w14:textId="77777777" w:rsidR="001F64B1" w:rsidRPr="00AD39EC" w:rsidRDefault="001F64B1" w:rsidP="0097226C">
            <w:pPr>
              <w:ind w:right="30"/>
              <w:rPr>
                <w:sz w:val="16"/>
                <w:szCs w:val="16"/>
              </w:rPr>
            </w:pPr>
          </w:p>
          <w:p w14:paraId="780B8429" w14:textId="291C0420" w:rsidR="001F64B1" w:rsidRPr="00AD39EC" w:rsidRDefault="00C10A48" w:rsidP="0097226C">
            <w:pPr>
              <w:ind w:right="30"/>
              <w:rPr>
                <w:sz w:val="16"/>
                <w:szCs w:val="16"/>
              </w:rPr>
            </w:pPr>
            <w:r w:rsidRPr="00AD39EC">
              <w:rPr>
                <w:sz w:val="16"/>
                <w:szCs w:val="16"/>
              </w:rPr>
              <w:t>148 dossiers d</w:t>
            </w:r>
            <w:r w:rsidR="00FA22F6" w:rsidRPr="00AD39EC">
              <w:rPr>
                <w:sz w:val="16"/>
                <w:szCs w:val="16"/>
              </w:rPr>
              <w:t>’</w:t>
            </w:r>
            <w:r w:rsidRPr="00AD39EC">
              <w:rPr>
                <w:sz w:val="16"/>
                <w:szCs w:val="16"/>
              </w:rPr>
              <w:t>information révisés</w:t>
            </w:r>
          </w:p>
          <w:p w14:paraId="6CDA125A" w14:textId="77777777" w:rsidR="001F64B1" w:rsidRPr="00AD39EC" w:rsidRDefault="001F64B1" w:rsidP="0097226C">
            <w:pPr>
              <w:ind w:right="30"/>
              <w:rPr>
                <w:sz w:val="16"/>
                <w:szCs w:val="16"/>
              </w:rPr>
            </w:pPr>
          </w:p>
          <w:p w14:paraId="04FEF179" w14:textId="77777777" w:rsidR="001F64B1" w:rsidRPr="00AD39EC" w:rsidRDefault="001F64B1" w:rsidP="0097226C">
            <w:pPr>
              <w:ind w:right="30"/>
              <w:rPr>
                <w:sz w:val="16"/>
                <w:szCs w:val="16"/>
              </w:rPr>
            </w:pPr>
          </w:p>
          <w:p w14:paraId="43825C4A" w14:textId="77777777" w:rsidR="001F64B1" w:rsidRPr="00AD39EC" w:rsidRDefault="001F64B1" w:rsidP="0097226C">
            <w:pPr>
              <w:ind w:right="30"/>
              <w:rPr>
                <w:sz w:val="16"/>
                <w:szCs w:val="16"/>
              </w:rPr>
            </w:pPr>
          </w:p>
          <w:p w14:paraId="3ACABC92" w14:textId="77777777" w:rsidR="004A4D21" w:rsidRPr="00AD39EC" w:rsidRDefault="004A4D21" w:rsidP="0097226C">
            <w:pPr>
              <w:ind w:right="30"/>
              <w:rPr>
                <w:sz w:val="16"/>
                <w:szCs w:val="16"/>
              </w:rPr>
            </w:pPr>
          </w:p>
          <w:p w14:paraId="7B1B5899" w14:textId="7DD1003D" w:rsidR="00BA5EA9" w:rsidRPr="001E6DFD" w:rsidRDefault="00BA5EA9" w:rsidP="0097226C">
            <w:pPr>
              <w:ind w:right="30"/>
              <w:rPr>
                <w:sz w:val="16"/>
                <w:szCs w:val="16"/>
              </w:rPr>
            </w:pPr>
            <w:r w:rsidRPr="00AD39EC">
              <w:rPr>
                <w:sz w:val="16"/>
                <w:szCs w:val="16"/>
              </w:rPr>
              <w:t xml:space="preserve">30 </w:t>
            </w:r>
            <w:r w:rsidR="00732EA4" w:rsidRPr="00AD39EC">
              <w:rPr>
                <w:sz w:val="16"/>
                <w:szCs w:val="16"/>
              </w:rPr>
              <w:t>nouveaux dossiers d</w:t>
            </w:r>
            <w:r w:rsidR="00FA22F6" w:rsidRPr="00AD39EC">
              <w:rPr>
                <w:sz w:val="16"/>
                <w:szCs w:val="16"/>
              </w:rPr>
              <w:t>’</w:t>
            </w:r>
            <w:r w:rsidR="00732EA4" w:rsidRPr="00AD39EC">
              <w:rPr>
                <w:sz w:val="16"/>
                <w:szCs w:val="16"/>
              </w:rPr>
              <w:t xml:space="preserve">information introduits </w:t>
            </w:r>
          </w:p>
        </w:tc>
        <w:tc>
          <w:tcPr>
            <w:tcW w:w="504" w:type="pct"/>
            <w:shd w:val="clear" w:color="auto" w:fill="auto"/>
            <w:tcMar>
              <w:top w:w="110" w:type="dxa"/>
              <w:left w:w="58" w:type="dxa"/>
              <w:right w:w="58" w:type="dxa"/>
            </w:tcMar>
          </w:tcPr>
          <w:p w14:paraId="6322DDFD" w14:textId="77777777" w:rsidR="001F64B1" w:rsidRPr="001E6DFD" w:rsidRDefault="00A43B2F" w:rsidP="0097226C">
            <w:pPr>
              <w:keepNext/>
              <w:keepLines/>
              <w:ind w:right="1"/>
              <w:jc w:val="center"/>
              <w:rPr>
                <w:b/>
                <w:sz w:val="16"/>
                <w:szCs w:val="16"/>
              </w:rPr>
            </w:pPr>
            <w:r w:rsidRPr="001E6DFD">
              <w:rPr>
                <w:b/>
                <w:color w:val="00B050"/>
                <w:sz w:val="16"/>
                <w:szCs w:val="16"/>
              </w:rPr>
              <w:t>En bonne voie</w:t>
            </w:r>
          </w:p>
          <w:p w14:paraId="4BAB2F37" w14:textId="77777777" w:rsidR="001F64B1" w:rsidRPr="001E6DFD" w:rsidRDefault="001F64B1" w:rsidP="0097226C">
            <w:pPr>
              <w:keepNext/>
              <w:keepLines/>
              <w:ind w:right="1"/>
              <w:jc w:val="center"/>
              <w:rPr>
                <w:sz w:val="16"/>
                <w:szCs w:val="16"/>
              </w:rPr>
            </w:pPr>
          </w:p>
          <w:p w14:paraId="013F37F0" w14:textId="77777777" w:rsidR="001F64B1" w:rsidRPr="001E6DFD" w:rsidRDefault="001F64B1" w:rsidP="0097226C">
            <w:pPr>
              <w:keepNext/>
              <w:keepLines/>
              <w:ind w:right="1"/>
              <w:jc w:val="center"/>
              <w:rPr>
                <w:sz w:val="16"/>
                <w:szCs w:val="16"/>
              </w:rPr>
            </w:pPr>
          </w:p>
          <w:p w14:paraId="71519554" w14:textId="77777777" w:rsidR="001F64B1" w:rsidRPr="001E6DFD" w:rsidRDefault="001F64B1" w:rsidP="0097226C">
            <w:pPr>
              <w:keepNext/>
              <w:keepLines/>
              <w:ind w:right="1"/>
              <w:jc w:val="center"/>
              <w:rPr>
                <w:sz w:val="16"/>
                <w:szCs w:val="16"/>
              </w:rPr>
            </w:pPr>
          </w:p>
          <w:p w14:paraId="61DA989F" w14:textId="77777777" w:rsidR="001F64B1" w:rsidRPr="001E6DFD" w:rsidRDefault="001F64B1" w:rsidP="0097226C">
            <w:pPr>
              <w:keepNext/>
              <w:keepLines/>
              <w:ind w:right="1"/>
              <w:jc w:val="center"/>
              <w:rPr>
                <w:sz w:val="16"/>
                <w:szCs w:val="16"/>
              </w:rPr>
            </w:pPr>
          </w:p>
          <w:p w14:paraId="1A1E00BA" w14:textId="77777777" w:rsidR="001F64B1" w:rsidRPr="001E6DFD" w:rsidRDefault="001F64B1" w:rsidP="0097226C">
            <w:pPr>
              <w:keepNext/>
              <w:keepLines/>
              <w:ind w:right="1"/>
              <w:jc w:val="center"/>
              <w:rPr>
                <w:sz w:val="16"/>
                <w:szCs w:val="16"/>
              </w:rPr>
            </w:pPr>
          </w:p>
          <w:p w14:paraId="0C0EA7CE" w14:textId="77777777" w:rsidR="001F64B1" w:rsidRPr="001E6DFD" w:rsidRDefault="001F64B1" w:rsidP="0097226C">
            <w:pPr>
              <w:keepNext/>
              <w:keepLines/>
              <w:ind w:right="1"/>
              <w:jc w:val="center"/>
              <w:rPr>
                <w:sz w:val="16"/>
                <w:szCs w:val="16"/>
              </w:rPr>
            </w:pPr>
          </w:p>
          <w:p w14:paraId="29484136" w14:textId="77777777" w:rsidR="001F64B1" w:rsidRPr="001E6DFD" w:rsidRDefault="001F64B1" w:rsidP="004A4D21">
            <w:pPr>
              <w:keepNext/>
              <w:keepLines/>
              <w:ind w:right="1"/>
              <w:jc w:val="center"/>
              <w:rPr>
                <w:sz w:val="16"/>
                <w:szCs w:val="16"/>
              </w:rPr>
            </w:pPr>
          </w:p>
          <w:p w14:paraId="53FA7102" w14:textId="77777777" w:rsidR="001F64B1" w:rsidRPr="001E6DFD" w:rsidRDefault="001F64B1" w:rsidP="004A4D21">
            <w:pPr>
              <w:keepNext/>
              <w:keepLines/>
              <w:ind w:right="1"/>
              <w:jc w:val="center"/>
              <w:rPr>
                <w:sz w:val="16"/>
                <w:szCs w:val="16"/>
              </w:rPr>
            </w:pPr>
          </w:p>
          <w:p w14:paraId="08ED38B6" w14:textId="77777777" w:rsidR="001F64B1" w:rsidRPr="001E6DFD" w:rsidRDefault="001F64B1" w:rsidP="004A4D21">
            <w:pPr>
              <w:keepNext/>
              <w:keepLines/>
              <w:ind w:right="1"/>
              <w:jc w:val="center"/>
              <w:rPr>
                <w:b/>
                <w:sz w:val="16"/>
                <w:szCs w:val="16"/>
              </w:rPr>
            </w:pPr>
          </w:p>
          <w:p w14:paraId="0FA54C34" w14:textId="77777777" w:rsidR="001F64B1" w:rsidRPr="001E6DFD" w:rsidRDefault="00A43B2F" w:rsidP="004A4D21">
            <w:pPr>
              <w:keepNext/>
              <w:keepLines/>
              <w:ind w:right="1"/>
              <w:jc w:val="center"/>
              <w:rPr>
                <w:b/>
                <w:sz w:val="16"/>
                <w:szCs w:val="16"/>
              </w:rPr>
            </w:pPr>
            <w:r w:rsidRPr="001E6DFD">
              <w:rPr>
                <w:b/>
                <w:color w:val="00B050"/>
                <w:sz w:val="16"/>
                <w:szCs w:val="16"/>
              </w:rPr>
              <w:t>En bonne voie</w:t>
            </w:r>
          </w:p>
          <w:p w14:paraId="53690F34" w14:textId="77777777" w:rsidR="001F64B1" w:rsidRPr="001E6DFD" w:rsidRDefault="001F64B1" w:rsidP="004A4D21">
            <w:pPr>
              <w:keepNext/>
              <w:keepLines/>
              <w:ind w:right="1"/>
              <w:jc w:val="center"/>
              <w:rPr>
                <w:sz w:val="16"/>
                <w:szCs w:val="16"/>
              </w:rPr>
            </w:pPr>
          </w:p>
          <w:p w14:paraId="0EB10861" w14:textId="77777777" w:rsidR="004A4D21" w:rsidRPr="001E6DFD" w:rsidRDefault="004A4D21" w:rsidP="004A4D21">
            <w:pPr>
              <w:keepNext/>
              <w:keepLines/>
              <w:ind w:right="1"/>
              <w:jc w:val="center"/>
              <w:rPr>
                <w:sz w:val="16"/>
                <w:szCs w:val="16"/>
              </w:rPr>
            </w:pPr>
          </w:p>
          <w:p w14:paraId="389B34D3" w14:textId="77777777" w:rsidR="004A4D21" w:rsidRPr="001E6DFD" w:rsidRDefault="004A4D21" w:rsidP="004A4D21">
            <w:pPr>
              <w:keepNext/>
              <w:keepLines/>
              <w:ind w:right="1"/>
              <w:jc w:val="center"/>
              <w:rPr>
                <w:sz w:val="16"/>
                <w:szCs w:val="16"/>
              </w:rPr>
            </w:pPr>
          </w:p>
          <w:p w14:paraId="71E158EC" w14:textId="0E7656F6" w:rsidR="00BA5EA9" w:rsidRPr="001E6DFD" w:rsidRDefault="00A43B2F" w:rsidP="004A4D21">
            <w:pPr>
              <w:keepNext/>
              <w:keepLines/>
              <w:ind w:right="1"/>
              <w:jc w:val="center"/>
              <w:rPr>
                <w:sz w:val="16"/>
                <w:szCs w:val="16"/>
              </w:rPr>
            </w:pPr>
            <w:r w:rsidRPr="001E6DFD">
              <w:rPr>
                <w:b/>
                <w:color w:val="00B050"/>
                <w:sz w:val="16"/>
                <w:szCs w:val="16"/>
              </w:rPr>
              <w:t>En bonne voie</w:t>
            </w:r>
          </w:p>
        </w:tc>
      </w:tr>
      <w:tr w:rsidR="00BA5EA9" w:rsidRPr="001E6DFD" w14:paraId="234BA3CC" w14:textId="77777777" w:rsidTr="00A055E7">
        <w:tc>
          <w:tcPr>
            <w:tcW w:w="1082" w:type="pct"/>
            <w:shd w:val="clear" w:color="auto" w:fill="auto"/>
            <w:tcMar>
              <w:left w:w="58" w:type="dxa"/>
              <w:right w:w="58" w:type="dxa"/>
            </w:tcMar>
          </w:tcPr>
          <w:p w14:paraId="165A6DD6" w14:textId="77777777" w:rsidR="00BA5EA9" w:rsidRPr="001E6DFD" w:rsidRDefault="00C10A48" w:rsidP="00AA64E5">
            <w:pPr>
              <w:ind w:right="-57"/>
              <w:rPr>
                <w:sz w:val="16"/>
                <w:szCs w:val="16"/>
              </w:rPr>
            </w:pPr>
            <w:r w:rsidRPr="001E6DFD">
              <w:rPr>
                <w:sz w:val="16"/>
                <w:szCs w:val="16"/>
              </w:rPr>
              <w:t>Nombre de nouvelles subdivisions introduites sur un an dans la CIB</w:t>
            </w:r>
          </w:p>
        </w:tc>
        <w:tc>
          <w:tcPr>
            <w:tcW w:w="1240" w:type="pct"/>
            <w:shd w:val="clear" w:color="auto" w:fill="auto"/>
            <w:tcMar>
              <w:left w:w="58" w:type="dxa"/>
              <w:right w:w="58" w:type="dxa"/>
            </w:tcMar>
          </w:tcPr>
          <w:p w14:paraId="2634626A" w14:textId="192F52A4" w:rsidR="001F64B1" w:rsidRPr="00AD39EC" w:rsidRDefault="00E64532" w:rsidP="00AA64E5">
            <w:pPr>
              <w:ind w:right="-58"/>
              <w:rPr>
                <w:i/>
                <w:color w:val="002060"/>
                <w:sz w:val="16"/>
                <w:szCs w:val="16"/>
              </w:rPr>
            </w:pPr>
            <w:r w:rsidRPr="00AD39EC">
              <w:rPr>
                <w:i/>
                <w:color w:val="002060"/>
                <w:sz w:val="16"/>
                <w:szCs w:val="16"/>
              </w:rPr>
              <w:t>Niveau de référence actualisé à fin</w:t>
            </w:r>
            <w:r w:rsidR="00B4191E" w:rsidRPr="00AD39EC">
              <w:rPr>
                <w:i/>
                <w:color w:val="002060"/>
                <w:sz w:val="16"/>
                <w:szCs w:val="16"/>
              </w:rPr>
              <w:t> </w:t>
            </w:r>
            <w:r w:rsidRPr="00AD39EC">
              <w:rPr>
                <w:i/>
                <w:color w:val="002060"/>
                <w:sz w:val="16"/>
                <w:szCs w:val="16"/>
              </w:rPr>
              <w:t>2015</w:t>
            </w:r>
            <w:r w:rsidR="00FA22F6" w:rsidRPr="00AD39EC">
              <w:rPr>
                <w:i/>
                <w:color w:val="002060"/>
                <w:sz w:val="16"/>
                <w:szCs w:val="16"/>
              </w:rPr>
              <w:t> :</w:t>
            </w:r>
          </w:p>
          <w:p w14:paraId="5EADA479" w14:textId="647330A5" w:rsidR="00FA22F6" w:rsidRPr="00AD39EC" w:rsidRDefault="00C10A48" w:rsidP="00AA64E5">
            <w:pPr>
              <w:pStyle w:val="Default"/>
              <w:ind w:right="-58"/>
              <w:rPr>
                <w:color w:val="002060"/>
                <w:sz w:val="16"/>
                <w:szCs w:val="16"/>
                <w:lang w:val="fr-FR"/>
              </w:rPr>
            </w:pPr>
            <w:r w:rsidRPr="00AD39EC">
              <w:rPr>
                <w:color w:val="002060"/>
                <w:sz w:val="16"/>
                <w:szCs w:val="16"/>
                <w:lang w:val="fr-FR"/>
              </w:rPr>
              <w:t>2015</w:t>
            </w:r>
            <w:r w:rsidR="00FA22F6" w:rsidRPr="00AD39EC">
              <w:rPr>
                <w:color w:val="002060"/>
                <w:sz w:val="16"/>
                <w:szCs w:val="16"/>
                <w:lang w:val="fr-FR"/>
              </w:rPr>
              <w:t> :</w:t>
            </w:r>
            <w:r w:rsidRPr="00AD39EC">
              <w:rPr>
                <w:color w:val="002060"/>
                <w:sz w:val="16"/>
                <w:szCs w:val="16"/>
                <w:lang w:val="fr-FR"/>
              </w:rPr>
              <w:t xml:space="preserve"> 1031 nouveaux groupes ont été introduits dans la version</w:t>
            </w:r>
            <w:r w:rsidR="00B4191E" w:rsidRPr="00AD39EC">
              <w:rPr>
                <w:color w:val="002060"/>
                <w:sz w:val="16"/>
                <w:szCs w:val="16"/>
                <w:lang w:val="fr-FR"/>
              </w:rPr>
              <w:t> </w:t>
            </w:r>
            <w:r w:rsidRPr="00AD39EC">
              <w:rPr>
                <w:color w:val="002060"/>
                <w:sz w:val="16"/>
                <w:szCs w:val="16"/>
                <w:lang w:val="fr-FR"/>
              </w:rPr>
              <w:t>2016.01 de</w:t>
            </w:r>
            <w:r w:rsidR="00FA22F6" w:rsidRPr="00AD39EC">
              <w:rPr>
                <w:color w:val="002060"/>
                <w:sz w:val="16"/>
                <w:szCs w:val="16"/>
                <w:lang w:val="fr-FR"/>
              </w:rPr>
              <w:t xml:space="preserve"> la CIB</w:t>
            </w:r>
          </w:p>
          <w:p w14:paraId="4977089D" w14:textId="5C6D1536" w:rsidR="00BA5EA9" w:rsidRPr="00AA64E5" w:rsidRDefault="00C10A48" w:rsidP="00AA64E5">
            <w:pPr>
              <w:ind w:right="-58"/>
              <w:rPr>
                <w:color w:val="002060"/>
                <w:sz w:val="16"/>
                <w:szCs w:val="16"/>
              </w:rPr>
            </w:pPr>
            <w:r w:rsidRPr="00AD39EC">
              <w:rPr>
                <w:color w:val="002060"/>
                <w:sz w:val="16"/>
                <w:szCs w:val="16"/>
              </w:rPr>
              <w:t>2014</w:t>
            </w:r>
            <w:r w:rsidR="00FA22F6" w:rsidRPr="00AD39EC">
              <w:rPr>
                <w:color w:val="002060"/>
                <w:sz w:val="16"/>
                <w:szCs w:val="16"/>
              </w:rPr>
              <w:t> :</w:t>
            </w:r>
            <w:r w:rsidRPr="00AD39EC">
              <w:rPr>
                <w:color w:val="002060"/>
                <w:sz w:val="16"/>
                <w:szCs w:val="16"/>
              </w:rPr>
              <w:t xml:space="preserve"> 337 nouveaux groupes ont été introduits dans la version</w:t>
            </w:r>
            <w:r w:rsidR="00B4191E" w:rsidRPr="00AD39EC">
              <w:rPr>
                <w:color w:val="002060"/>
                <w:sz w:val="16"/>
                <w:szCs w:val="16"/>
              </w:rPr>
              <w:t> </w:t>
            </w:r>
            <w:r w:rsidRPr="00AD39EC">
              <w:rPr>
                <w:color w:val="002060"/>
                <w:sz w:val="16"/>
                <w:szCs w:val="16"/>
              </w:rPr>
              <w:t>2015.01 de</w:t>
            </w:r>
            <w:r w:rsidR="00FA22F6" w:rsidRPr="00AD39EC">
              <w:rPr>
                <w:color w:val="002060"/>
                <w:sz w:val="16"/>
                <w:szCs w:val="16"/>
              </w:rPr>
              <w:t xml:space="preserve"> la CIB</w:t>
            </w:r>
          </w:p>
        </w:tc>
        <w:tc>
          <w:tcPr>
            <w:tcW w:w="675" w:type="pct"/>
            <w:shd w:val="clear" w:color="auto" w:fill="auto"/>
            <w:tcMar>
              <w:top w:w="110" w:type="dxa"/>
              <w:left w:w="58" w:type="dxa"/>
              <w:right w:w="58" w:type="dxa"/>
            </w:tcMar>
          </w:tcPr>
          <w:p w14:paraId="76923CBC" w14:textId="77777777" w:rsidR="00BA5EA9" w:rsidRPr="001E6DFD" w:rsidRDefault="00C10A48" w:rsidP="00AA64E5">
            <w:pPr>
              <w:rPr>
                <w:sz w:val="16"/>
                <w:szCs w:val="16"/>
              </w:rPr>
            </w:pPr>
            <w:r w:rsidRPr="001E6DFD">
              <w:rPr>
                <w:sz w:val="16"/>
                <w:szCs w:val="16"/>
              </w:rPr>
              <w:t>Hausse par rapport au niveau de référence</w:t>
            </w:r>
          </w:p>
        </w:tc>
        <w:tc>
          <w:tcPr>
            <w:tcW w:w="1499" w:type="pct"/>
            <w:shd w:val="clear" w:color="auto" w:fill="FFFFFF"/>
            <w:tcMar>
              <w:top w:w="110" w:type="dxa"/>
              <w:left w:w="58" w:type="dxa"/>
              <w:right w:w="58" w:type="dxa"/>
            </w:tcMar>
          </w:tcPr>
          <w:p w14:paraId="6330DFFF" w14:textId="403D0C53" w:rsidR="00BA5EA9" w:rsidRPr="001E6DFD" w:rsidRDefault="00C10A48" w:rsidP="00AA64E5">
            <w:pPr>
              <w:ind w:right="30"/>
              <w:rPr>
                <w:sz w:val="16"/>
                <w:szCs w:val="16"/>
              </w:rPr>
            </w:pPr>
            <w:r w:rsidRPr="001E6DFD">
              <w:rPr>
                <w:sz w:val="16"/>
                <w:szCs w:val="16"/>
              </w:rPr>
              <w:t>684 nouveaux groupes ont été introduits dans la version</w:t>
            </w:r>
            <w:r w:rsidR="00B4191E">
              <w:rPr>
                <w:sz w:val="16"/>
                <w:szCs w:val="16"/>
              </w:rPr>
              <w:t> </w:t>
            </w:r>
            <w:r w:rsidRPr="001E6DFD">
              <w:rPr>
                <w:sz w:val="16"/>
                <w:szCs w:val="16"/>
              </w:rPr>
              <w:t>2017.01 de</w:t>
            </w:r>
            <w:r w:rsidR="00FA22F6" w:rsidRPr="001E6DFD">
              <w:rPr>
                <w:sz w:val="16"/>
                <w:szCs w:val="16"/>
              </w:rPr>
              <w:t xml:space="preserve"> la CIB</w:t>
            </w:r>
          </w:p>
        </w:tc>
        <w:tc>
          <w:tcPr>
            <w:tcW w:w="504" w:type="pct"/>
            <w:shd w:val="clear" w:color="auto" w:fill="auto"/>
            <w:tcMar>
              <w:top w:w="110" w:type="dxa"/>
              <w:left w:w="58" w:type="dxa"/>
              <w:right w:w="58" w:type="dxa"/>
            </w:tcMar>
          </w:tcPr>
          <w:p w14:paraId="6A4CE720" w14:textId="6CF2D463" w:rsidR="00BA5EA9" w:rsidRPr="001E6DFD" w:rsidRDefault="00A43B2F" w:rsidP="00AA64E5">
            <w:pPr>
              <w:ind w:right="1"/>
              <w:jc w:val="center"/>
              <w:rPr>
                <w:sz w:val="16"/>
                <w:szCs w:val="16"/>
              </w:rPr>
            </w:pPr>
            <w:r w:rsidRPr="001E6DFD">
              <w:rPr>
                <w:b/>
                <w:color w:val="00B050"/>
                <w:sz w:val="16"/>
                <w:szCs w:val="16"/>
              </w:rPr>
              <w:t>En bonne voie</w:t>
            </w:r>
          </w:p>
        </w:tc>
      </w:tr>
      <w:tr w:rsidR="00AA64E5" w:rsidRPr="001E6DFD" w14:paraId="2BB257B2" w14:textId="77777777" w:rsidTr="00A055E7">
        <w:tc>
          <w:tcPr>
            <w:tcW w:w="1082" w:type="pct"/>
            <w:shd w:val="clear" w:color="auto" w:fill="auto"/>
            <w:tcMar>
              <w:left w:w="58" w:type="dxa"/>
              <w:right w:w="58" w:type="dxa"/>
            </w:tcMar>
          </w:tcPr>
          <w:p w14:paraId="72E8BD38" w14:textId="77777777" w:rsidR="00AA64E5" w:rsidRPr="001E6DFD" w:rsidRDefault="00AA64E5" w:rsidP="00AA64E5">
            <w:pPr>
              <w:ind w:right="-57"/>
              <w:rPr>
                <w:sz w:val="16"/>
                <w:szCs w:val="16"/>
              </w:rPr>
            </w:pPr>
          </w:p>
        </w:tc>
        <w:tc>
          <w:tcPr>
            <w:tcW w:w="1240" w:type="pct"/>
            <w:shd w:val="clear" w:color="auto" w:fill="auto"/>
            <w:tcMar>
              <w:left w:w="58" w:type="dxa"/>
              <w:right w:w="58" w:type="dxa"/>
            </w:tcMar>
          </w:tcPr>
          <w:p w14:paraId="612AC9E7" w14:textId="77777777" w:rsidR="00AA64E5" w:rsidRPr="001E6DFD" w:rsidRDefault="00AA64E5" w:rsidP="00AA64E5">
            <w:pPr>
              <w:ind w:right="-58"/>
              <w:rPr>
                <w:i/>
                <w:sz w:val="16"/>
                <w:szCs w:val="16"/>
                <w:lang w:bidi="th-TH"/>
              </w:rPr>
            </w:pPr>
            <w:r w:rsidRPr="001E6DFD">
              <w:rPr>
                <w:i/>
                <w:sz w:val="16"/>
                <w:szCs w:val="16"/>
                <w:lang w:bidi="th-TH"/>
              </w:rPr>
              <w:t>Niveau de référence initial dans le programme et budget 2016</w:t>
            </w:r>
            <w:r w:rsidRPr="001E6DFD">
              <w:rPr>
                <w:i/>
                <w:sz w:val="16"/>
                <w:szCs w:val="16"/>
                <w:lang w:bidi="th-TH"/>
              </w:rPr>
              <w:noBreakHyphen/>
              <w:t>2017 :</w:t>
            </w:r>
          </w:p>
          <w:p w14:paraId="65B010B1" w14:textId="419083CE" w:rsidR="00AA64E5" w:rsidRPr="00AD39EC" w:rsidRDefault="00AA64E5" w:rsidP="00AA64E5">
            <w:pPr>
              <w:ind w:right="-58"/>
              <w:rPr>
                <w:i/>
                <w:color w:val="002060"/>
                <w:sz w:val="16"/>
                <w:szCs w:val="16"/>
              </w:rPr>
            </w:pPr>
            <w:r w:rsidRPr="001E6DFD">
              <w:rPr>
                <w:sz w:val="16"/>
                <w:szCs w:val="16"/>
              </w:rPr>
              <w:t>2014 : 337 nouveaux groupes ont été introduits dans la version</w:t>
            </w:r>
            <w:r>
              <w:rPr>
                <w:sz w:val="16"/>
                <w:szCs w:val="16"/>
              </w:rPr>
              <w:t> </w:t>
            </w:r>
            <w:r w:rsidRPr="001E6DFD">
              <w:rPr>
                <w:sz w:val="16"/>
                <w:szCs w:val="16"/>
              </w:rPr>
              <w:t>2015.01 de la CIB</w:t>
            </w:r>
          </w:p>
        </w:tc>
        <w:tc>
          <w:tcPr>
            <w:tcW w:w="675" w:type="pct"/>
            <w:shd w:val="clear" w:color="auto" w:fill="auto"/>
            <w:tcMar>
              <w:top w:w="110" w:type="dxa"/>
              <w:left w:w="58" w:type="dxa"/>
              <w:right w:w="58" w:type="dxa"/>
            </w:tcMar>
          </w:tcPr>
          <w:p w14:paraId="2E7D402D" w14:textId="77777777" w:rsidR="00AA64E5" w:rsidRPr="001E6DFD" w:rsidRDefault="00AA64E5" w:rsidP="00AA64E5">
            <w:pPr>
              <w:rPr>
                <w:sz w:val="16"/>
                <w:szCs w:val="16"/>
              </w:rPr>
            </w:pPr>
          </w:p>
        </w:tc>
        <w:tc>
          <w:tcPr>
            <w:tcW w:w="1499" w:type="pct"/>
            <w:shd w:val="clear" w:color="auto" w:fill="FFFFFF"/>
            <w:tcMar>
              <w:top w:w="110" w:type="dxa"/>
              <w:left w:w="58" w:type="dxa"/>
              <w:right w:w="58" w:type="dxa"/>
            </w:tcMar>
          </w:tcPr>
          <w:p w14:paraId="1613CB14" w14:textId="77777777" w:rsidR="00AA64E5" w:rsidRPr="001E6DFD" w:rsidRDefault="00AA64E5" w:rsidP="00AA64E5">
            <w:pPr>
              <w:ind w:right="30"/>
              <w:rPr>
                <w:sz w:val="16"/>
                <w:szCs w:val="16"/>
              </w:rPr>
            </w:pPr>
          </w:p>
        </w:tc>
        <w:tc>
          <w:tcPr>
            <w:tcW w:w="504" w:type="pct"/>
            <w:shd w:val="clear" w:color="auto" w:fill="auto"/>
            <w:tcMar>
              <w:top w:w="110" w:type="dxa"/>
              <w:left w:w="58" w:type="dxa"/>
              <w:right w:w="58" w:type="dxa"/>
            </w:tcMar>
          </w:tcPr>
          <w:p w14:paraId="106271BF" w14:textId="77777777" w:rsidR="00AA64E5" w:rsidRPr="001E6DFD" w:rsidRDefault="00AA64E5" w:rsidP="00AA64E5">
            <w:pPr>
              <w:ind w:right="1"/>
              <w:jc w:val="center"/>
              <w:rPr>
                <w:b/>
                <w:color w:val="00B050"/>
                <w:sz w:val="16"/>
                <w:szCs w:val="16"/>
              </w:rPr>
            </w:pPr>
          </w:p>
        </w:tc>
      </w:tr>
      <w:tr w:rsidR="00BA5EA9" w:rsidRPr="001E6DFD" w14:paraId="06E6854D" w14:textId="77777777" w:rsidTr="00A055E7">
        <w:tc>
          <w:tcPr>
            <w:tcW w:w="1082" w:type="pct"/>
            <w:shd w:val="clear" w:color="auto" w:fill="auto"/>
            <w:tcMar>
              <w:left w:w="58" w:type="dxa"/>
              <w:right w:w="58" w:type="dxa"/>
            </w:tcMar>
          </w:tcPr>
          <w:p w14:paraId="27D7958A" w14:textId="77777777" w:rsidR="00BA5EA9" w:rsidRPr="001E6DFD" w:rsidRDefault="00C10A48" w:rsidP="0097226C">
            <w:pPr>
              <w:keepLines/>
              <w:ind w:right="-57"/>
              <w:rPr>
                <w:sz w:val="16"/>
                <w:szCs w:val="16"/>
              </w:rPr>
            </w:pPr>
            <w:r w:rsidRPr="001E6DFD">
              <w:rPr>
                <w:sz w:val="16"/>
                <w:szCs w:val="16"/>
              </w:rPr>
              <w:t>Nombre de normes modifiées et nouvelles adoptées</w:t>
            </w:r>
          </w:p>
        </w:tc>
        <w:tc>
          <w:tcPr>
            <w:tcW w:w="1240" w:type="pct"/>
            <w:shd w:val="clear" w:color="auto" w:fill="auto"/>
            <w:tcMar>
              <w:left w:w="58" w:type="dxa"/>
              <w:right w:w="58" w:type="dxa"/>
            </w:tcMar>
          </w:tcPr>
          <w:p w14:paraId="14908D1A" w14:textId="2B13E6A9" w:rsidR="001F64B1" w:rsidRPr="00AD39EC" w:rsidRDefault="00E64532" w:rsidP="0097226C">
            <w:pPr>
              <w:ind w:right="-58"/>
              <w:rPr>
                <w:i/>
                <w:color w:val="002060"/>
                <w:sz w:val="16"/>
                <w:szCs w:val="16"/>
              </w:rPr>
            </w:pPr>
            <w:r w:rsidRPr="00AD39EC">
              <w:rPr>
                <w:i/>
                <w:color w:val="002060"/>
                <w:sz w:val="16"/>
                <w:szCs w:val="16"/>
              </w:rPr>
              <w:t>Niveau de référence actualisé à fin</w:t>
            </w:r>
            <w:r w:rsidR="00B4191E" w:rsidRPr="00AD39EC">
              <w:rPr>
                <w:i/>
                <w:color w:val="002060"/>
                <w:sz w:val="16"/>
                <w:szCs w:val="16"/>
              </w:rPr>
              <w:t> </w:t>
            </w:r>
            <w:r w:rsidRPr="00AD39EC">
              <w:rPr>
                <w:i/>
                <w:color w:val="002060"/>
                <w:sz w:val="16"/>
                <w:szCs w:val="16"/>
              </w:rPr>
              <w:t>2015</w:t>
            </w:r>
            <w:r w:rsidR="00FA22F6" w:rsidRPr="00AD39EC">
              <w:rPr>
                <w:i/>
                <w:color w:val="002060"/>
                <w:sz w:val="16"/>
                <w:szCs w:val="16"/>
              </w:rPr>
              <w:t> :</w:t>
            </w:r>
          </w:p>
          <w:p w14:paraId="0881DA3E" w14:textId="0000BC91" w:rsidR="001F64B1" w:rsidRPr="00AD39EC" w:rsidRDefault="00BA5EA9" w:rsidP="0097226C">
            <w:pPr>
              <w:pStyle w:val="Default"/>
              <w:ind w:right="-58"/>
              <w:rPr>
                <w:color w:val="002060"/>
                <w:sz w:val="16"/>
                <w:szCs w:val="16"/>
                <w:lang w:val="fr-FR"/>
              </w:rPr>
            </w:pPr>
            <w:r w:rsidRPr="00AD39EC">
              <w:rPr>
                <w:color w:val="002060"/>
                <w:sz w:val="16"/>
                <w:szCs w:val="16"/>
                <w:lang w:val="fr-FR"/>
              </w:rPr>
              <w:t xml:space="preserve">1 </w:t>
            </w:r>
            <w:r w:rsidR="0033075B" w:rsidRPr="00AD39EC">
              <w:rPr>
                <w:color w:val="002060"/>
                <w:sz w:val="16"/>
                <w:szCs w:val="16"/>
                <w:lang w:val="fr-FR"/>
              </w:rPr>
              <w:t>nouvelle norme adoptée non</w:t>
            </w:r>
            <w:r w:rsidR="00B4191E" w:rsidRPr="00AD39EC">
              <w:rPr>
                <w:color w:val="002060"/>
                <w:sz w:val="16"/>
                <w:szCs w:val="16"/>
                <w:lang w:val="fr-FR"/>
              </w:rPr>
              <w:t xml:space="preserve"> o</w:t>
            </w:r>
            <w:r w:rsidR="0033075B" w:rsidRPr="00AD39EC">
              <w:rPr>
                <w:color w:val="002060"/>
                <w:sz w:val="16"/>
                <w:szCs w:val="16"/>
                <w:lang w:val="fr-FR"/>
              </w:rPr>
              <w:t>fficiellement et 1</w:t>
            </w:r>
            <w:r w:rsidR="00B4191E" w:rsidRPr="00AD39EC">
              <w:rPr>
                <w:color w:val="002060"/>
                <w:sz w:val="16"/>
                <w:szCs w:val="16"/>
                <w:lang w:val="fr-FR"/>
              </w:rPr>
              <w:t> </w:t>
            </w:r>
            <w:r w:rsidR="0033075B" w:rsidRPr="00AD39EC">
              <w:rPr>
                <w:color w:val="002060"/>
                <w:sz w:val="16"/>
                <w:szCs w:val="16"/>
                <w:lang w:val="fr-FR"/>
              </w:rPr>
              <w:t xml:space="preserve">norme révisée </w:t>
            </w:r>
            <w:r w:rsidRPr="00AD39EC">
              <w:rPr>
                <w:color w:val="002060"/>
                <w:sz w:val="16"/>
                <w:szCs w:val="16"/>
                <w:lang w:val="fr-FR"/>
              </w:rPr>
              <w:t>(2014)</w:t>
            </w:r>
          </w:p>
          <w:p w14:paraId="0784EC8F" w14:textId="0E7680B5" w:rsidR="0033075B" w:rsidRPr="00AD39EC" w:rsidRDefault="0033075B" w:rsidP="0033075B">
            <w:pPr>
              <w:pStyle w:val="Default"/>
              <w:ind w:right="-58"/>
              <w:rPr>
                <w:color w:val="002060"/>
                <w:sz w:val="16"/>
                <w:szCs w:val="16"/>
                <w:lang w:val="fr-FR"/>
              </w:rPr>
            </w:pPr>
            <w:r w:rsidRPr="00AD39EC">
              <w:rPr>
                <w:color w:val="002060"/>
                <w:sz w:val="16"/>
                <w:szCs w:val="16"/>
                <w:lang w:val="fr-FR"/>
              </w:rPr>
              <w:t>Aucune adoption</w:t>
            </w:r>
            <w:r w:rsidR="00966AC1" w:rsidRPr="00AD39EC">
              <w:rPr>
                <w:color w:val="002060"/>
                <w:sz w:val="16"/>
                <w:szCs w:val="16"/>
                <w:lang w:val="fr-FR"/>
              </w:rPr>
              <w:t xml:space="preserve"> officielle de nouvelles normes</w:t>
            </w:r>
          </w:p>
          <w:p w14:paraId="789E2E0C" w14:textId="7BE13C87" w:rsidR="001F64B1" w:rsidRPr="00AD39EC" w:rsidRDefault="0033075B" w:rsidP="0033075B">
            <w:pPr>
              <w:pStyle w:val="Default"/>
              <w:ind w:right="-58"/>
              <w:rPr>
                <w:color w:val="002060"/>
                <w:sz w:val="16"/>
                <w:szCs w:val="16"/>
                <w:lang w:val="fr-FR"/>
              </w:rPr>
            </w:pPr>
            <w:r w:rsidRPr="00AD39EC">
              <w:rPr>
                <w:color w:val="002060"/>
                <w:sz w:val="16"/>
                <w:szCs w:val="16"/>
                <w:lang w:val="fr-FR"/>
              </w:rPr>
              <w:t>2 normes révisées (2015)</w:t>
            </w:r>
          </w:p>
          <w:p w14:paraId="67598508" w14:textId="77777777" w:rsidR="001F64B1" w:rsidRPr="00094CEB" w:rsidRDefault="001F64B1" w:rsidP="0097226C">
            <w:pPr>
              <w:ind w:right="-58"/>
              <w:rPr>
                <w:sz w:val="16"/>
                <w:szCs w:val="16"/>
              </w:rPr>
            </w:pPr>
          </w:p>
          <w:p w14:paraId="70517BB7" w14:textId="5005265E" w:rsidR="001F64B1" w:rsidRPr="00094CEB" w:rsidRDefault="00E64532" w:rsidP="0097226C">
            <w:pPr>
              <w:ind w:right="-58"/>
              <w:rPr>
                <w:i/>
                <w:sz w:val="16"/>
                <w:szCs w:val="16"/>
                <w:lang w:bidi="th-TH"/>
              </w:rPr>
            </w:pPr>
            <w:r w:rsidRPr="00094CEB">
              <w:rPr>
                <w:i/>
                <w:sz w:val="16"/>
                <w:szCs w:val="16"/>
                <w:lang w:bidi="th-TH"/>
              </w:rPr>
              <w:t>Niveau de référence initial dans le programme et budget 2016</w:t>
            </w:r>
            <w:r w:rsidR="006A41CF" w:rsidRPr="00094CEB">
              <w:rPr>
                <w:i/>
                <w:sz w:val="16"/>
                <w:szCs w:val="16"/>
                <w:lang w:bidi="th-TH"/>
              </w:rPr>
              <w:noBreakHyphen/>
            </w:r>
            <w:r w:rsidRPr="00094CEB">
              <w:rPr>
                <w:i/>
                <w:sz w:val="16"/>
                <w:szCs w:val="16"/>
                <w:lang w:bidi="th-TH"/>
              </w:rPr>
              <w:t>2017</w:t>
            </w:r>
            <w:r w:rsidR="00FA22F6" w:rsidRPr="00094CEB">
              <w:rPr>
                <w:i/>
                <w:sz w:val="16"/>
                <w:szCs w:val="16"/>
                <w:lang w:bidi="th-TH"/>
              </w:rPr>
              <w:t> :</w:t>
            </w:r>
          </w:p>
          <w:p w14:paraId="01040655" w14:textId="79AA1758" w:rsidR="00BA5EA9" w:rsidRPr="001E6DFD" w:rsidRDefault="00BA5EA9" w:rsidP="0097226C">
            <w:pPr>
              <w:keepLines/>
              <w:ind w:right="-58"/>
              <w:rPr>
                <w:sz w:val="16"/>
                <w:szCs w:val="16"/>
              </w:rPr>
            </w:pPr>
            <w:r w:rsidRPr="00094CEB">
              <w:rPr>
                <w:sz w:val="16"/>
                <w:szCs w:val="16"/>
              </w:rPr>
              <w:t xml:space="preserve">2 </w:t>
            </w:r>
            <w:r w:rsidR="008D77C5" w:rsidRPr="00094CEB">
              <w:rPr>
                <w:sz w:val="16"/>
                <w:szCs w:val="16"/>
              </w:rPr>
              <w:t xml:space="preserve">nouvelles normes </w:t>
            </w:r>
            <w:r w:rsidRPr="00094CEB">
              <w:rPr>
                <w:sz w:val="16"/>
                <w:szCs w:val="16"/>
              </w:rPr>
              <w:t>(2014)</w:t>
            </w:r>
          </w:p>
        </w:tc>
        <w:tc>
          <w:tcPr>
            <w:tcW w:w="675" w:type="pct"/>
            <w:shd w:val="clear" w:color="auto" w:fill="auto"/>
            <w:tcMar>
              <w:top w:w="110" w:type="dxa"/>
              <w:left w:w="58" w:type="dxa"/>
              <w:right w:w="58" w:type="dxa"/>
            </w:tcMar>
          </w:tcPr>
          <w:p w14:paraId="72B3BB4E" w14:textId="69223E07" w:rsidR="00FA22F6" w:rsidRPr="00094CEB" w:rsidRDefault="00AC7D97" w:rsidP="0097226C">
            <w:pPr>
              <w:rPr>
                <w:i/>
                <w:color w:val="002060"/>
                <w:sz w:val="16"/>
                <w:szCs w:val="16"/>
              </w:rPr>
            </w:pPr>
            <w:r w:rsidRPr="00094CEB">
              <w:rPr>
                <w:i/>
                <w:color w:val="002060"/>
                <w:sz w:val="16"/>
                <w:szCs w:val="16"/>
              </w:rPr>
              <w:t>Objectif actualisé</w:t>
            </w:r>
            <w:r w:rsidR="00FA22F6" w:rsidRPr="00094CEB">
              <w:rPr>
                <w:i/>
                <w:color w:val="002060"/>
                <w:sz w:val="16"/>
                <w:szCs w:val="16"/>
              </w:rPr>
              <w:t> :</w:t>
            </w:r>
          </w:p>
          <w:p w14:paraId="78B1592D" w14:textId="468B8D2C" w:rsidR="001F64B1" w:rsidRPr="00094CEB" w:rsidRDefault="00716DA5" w:rsidP="0097226C">
            <w:pPr>
              <w:rPr>
                <w:color w:val="002060"/>
                <w:sz w:val="16"/>
                <w:szCs w:val="16"/>
              </w:rPr>
            </w:pPr>
            <w:r w:rsidRPr="00094CEB">
              <w:rPr>
                <w:color w:val="002060"/>
                <w:sz w:val="16"/>
                <w:szCs w:val="16"/>
              </w:rPr>
              <w:t xml:space="preserve">Hausse par rapport au niveau de référence </w:t>
            </w:r>
            <w:r w:rsidR="00BA5EA9" w:rsidRPr="00094CEB">
              <w:rPr>
                <w:color w:val="002060"/>
                <w:sz w:val="16"/>
                <w:szCs w:val="16"/>
              </w:rPr>
              <w:t xml:space="preserve">(Adoption </w:t>
            </w:r>
            <w:r w:rsidRPr="00094CEB">
              <w:rPr>
                <w:color w:val="002060"/>
                <w:sz w:val="16"/>
                <w:szCs w:val="16"/>
              </w:rPr>
              <w:t xml:space="preserve">de </w:t>
            </w:r>
            <w:r w:rsidR="00724403" w:rsidRPr="00094CEB">
              <w:rPr>
                <w:color w:val="002060"/>
                <w:sz w:val="16"/>
                <w:szCs w:val="16"/>
              </w:rPr>
              <w:t xml:space="preserve">nouvelle(s) </w:t>
            </w:r>
            <w:r w:rsidRPr="00094CEB">
              <w:rPr>
                <w:color w:val="002060"/>
                <w:sz w:val="16"/>
                <w:szCs w:val="16"/>
              </w:rPr>
              <w:t>norme(s)</w:t>
            </w:r>
            <w:r w:rsidR="00BA5EA9" w:rsidRPr="00094CEB">
              <w:rPr>
                <w:color w:val="002060"/>
                <w:sz w:val="16"/>
                <w:szCs w:val="16"/>
              </w:rPr>
              <w:t>)</w:t>
            </w:r>
          </w:p>
          <w:p w14:paraId="46B71383" w14:textId="77777777" w:rsidR="001F64B1" w:rsidRPr="001303B4" w:rsidRDefault="001F64B1" w:rsidP="0097226C">
            <w:pPr>
              <w:rPr>
                <w:sz w:val="16"/>
                <w:szCs w:val="16"/>
              </w:rPr>
            </w:pPr>
          </w:p>
          <w:p w14:paraId="72F1ECC0" w14:textId="77777777" w:rsidR="00094CEB" w:rsidRPr="001E6DFD" w:rsidRDefault="00094CEB" w:rsidP="00094CEB">
            <w:pPr>
              <w:rPr>
                <w:i/>
                <w:sz w:val="16"/>
                <w:szCs w:val="16"/>
                <w:lang w:bidi="th-TH"/>
              </w:rPr>
            </w:pPr>
            <w:r w:rsidRPr="001E6DFD">
              <w:rPr>
                <w:i/>
                <w:sz w:val="16"/>
                <w:szCs w:val="16"/>
                <w:lang w:bidi="th-TH"/>
              </w:rPr>
              <w:t>Objectif initial dans le programme et budget 2016</w:t>
            </w:r>
            <w:r w:rsidRPr="001E6DFD">
              <w:rPr>
                <w:i/>
                <w:sz w:val="16"/>
                <w:szCs w:val="16"/>
                <w:lang w:bidi="th-TH"/>
              </w:rPr>
              <w:noBreakHyphen/>
              <w:t>2017 :</w:t>
            </w:r>
          </w:p>
          <w:p w14:paraId="5C013C16" w14:textId="207BD04A" w:rsidR="00BA5EA9" w:rsidRPr="001E6DFD" w:rsidRDefault="00C10A48" w:rsidP="0097226C">
            <w:pPr>
              <w:rPr>
                <w:i/>
                <w:sz w:val="16"/>
                <w:szCs w:val="16"/>
                <w:lang w:bidi="th-TH"/>
              </w:rPr>
            </w:pPr>
            <w:r w:rsidRPr="001E6DFD">
              <w:rPr>
                <w:sz w:val="16"/>
                <w:szCs w:val="16"/>
              </w:rPr>
              <w:t>Hausse par rapport au niveau de référence</w:t>
            </w:r>
            <w:r w:rsidR="00BA5EA9" w:rsidRPr="001E6DFD">
              <w:rPr>
                <w:sz w:val="16"/>
                <w:szCs w:val="16"/>
              </w:rPr>
              <w:t xml:space="preserve"> </w:t>
            </w:r>
          </w:p>
        </w:tc>
        <w:tc>
          <w:tcPr>
            <w:tcW w:w="1499" w:type="pct"/>
            <w:shd w:val="clear" w:color="auto" w:fill="FFFFFF"/>
            <w:tcMar>
              <w:top w:w="110" w:type="dxa"/>
              <w:left w:w="58" w:type="dxa"/>
              <w:right w:w="58" w:type="dxa"/>
            </w:tcMar>
          </w:tcPr>
          <w:p w14:paraId="366B0C6F" w14:textId="63B54B6A" w:rsidR="00BA5EA9" w:rsidRPr="00094CEB" w:rsidRDefault="00BA5EA9" w:rsidP="0097226C">
            <w:pPr>
              <w:keepLines/>
              <w:ind w:right="30"/>
              <w:rPr>
                <w:sz w:val="16"/>
                <w:szCs w:val="16"/>
              </w:rPr>
            </w:pPr>
            <w:r w:rsidRPr="00094CEB">
              <w:rPr>
                <w:sz w:val="16"/>
                <w:szCs w:val="16"/>
              </w:rPr>
              <w:t xml:space="preserve">2 </w:t>
            </w:r>
            <w:r w:rsidR="00724403" w:rsidRPr="00094CEB">
              <w:rPr>
                <w:sz w:val="16"/>
                <w:szCs w:val="16"/>
              </w:rPr>
              <w:t xml:space="preserve">nouvelles </w:t>
            </w:r>
            <w:r w:rsidR="00716DA5" w:rsidRPr="00094CEB">
              <w:rPr>
                <w:sz w:val="16"/>
                <w:szCs w:val="16"/>
              </w:rPr>
              <w:t>normes adoptées et 3</w:t>
            </w:r>
            <w:r w:rsidR="00B4191E" w:rsidRPr="00094CEB">
              <w:rPr>
                <w:sz w:val="16"/>
                <w:szCs w:val="16"/>
              </w:rPr>
              <w:t> </w:t>
            </w:r>
            <w:r w:rsidR="0033075B" w:rsidRPr="00094CEB">
              <w:rPr>
                <w:sz w:val="16"/>
                <w:szCs w:val="16"/>
              </w:rPr>
              <w:t>normes révisée</w:t>
            </w:r>
            <w:r w:rsidR="00716DA5" w:rsidRPr="00094CEB">
              <w:rPr>
                <w:sz w:val="16"/>
                <w:szCs w:val="16"/>
              </w:rPr>
              <w:t xml:space="preserve">s </w:t>
            </w:r>
          </w:p>
        </w:tc>
        <w:tc>
          <w:tcPr>
            <w:tcW w:w="504" w:type="pct"/>
            <w:shd w:val="clear" w:color="auto" w:fill="auto"/>
            <w:tcMar>
              <w:top w:w="110" w:type="dxa"/>
              <w:left w:w="58" w:type="dxa"/>
              <w:right w:w="58" w:type="dxa"/>
            </w:tcMar>
          </w:tcPr>
          <w:p w14:paraId="43C8BC24" w14:textId="77777777" w:rsidR="00BA5EA9" w:rsidRPr="001E6DFD" w:rsidRDefault="00A43B2F" w:rsidP="0097226C">
            <w:pPr>
              <w:keepNext/>
              <w:keepLines/>
              <w:ind w:right="1"/>
              <w:jc w:val="center"/>
              <w:rPr>
                <w:sz w:val="16"/>
                <w:szCs w:val="16"/>
              </w:rPr>
            </w:pPr>
            <w:r w:rsidRPr="001E6DFD">
              <w:rPr>
                <w:b/>
                <w:color w:val="00B050"/>
                <w:sz w:val="16"/>
                <w:szCs w:val="16"/>
              </w:rPr>
              <w:t>En bonne voie</w:t>
            </w:r>
          </w:p>
        </w:tc>
      </w:tr>
      <w:tr w:rsidR="00BA5EA9" w:rsidRPr="001E6DFD" w14:paraId="50C634A9" w14:textId="77777777" w:rsidTr="00A055E7">
        <w:tc>
          <w:tcPr>
            <w:tcW w:w="1082" w:type="pct"/>
            <w:shd w:val="clear" w:color="auto" w:fill="auto"/>
            <w:tcMar>
              <w:left w:w="58" w:type="dxa"/>
              <w:right w:w="58" w:type="dxa"/>
            </w:tcMar>
          </w:tcPr>
          <w:p w14:paraId="549494BE" w14:textId="72D47B76" w:rsidR="00BA5EA9" w:rsidRPr="001E6DFD" w:rsidRDefault="00C10A48" w:rsidP="00094CEB">
            <w:pPr>
              <w:ind w:right="-57"/>
              <w:rPr>
                <w:sz w:val="16"/>
                <w:szCs w:val="16"/>
              </w:rPr>
            </w:pPr>
            <w:r w:rsidRPr="001E6DFD">
              <w:rPr>
                <w:sz w:val="16"/>
                <w:szCs w:val="16"/>
              </w:rPr>
              <w:t>Nombre d</w:t>
            </w:r>
            <w:r w:rsidR="00FA22F6" w:rsidRPr="001E6DFD">
              <w:rPr>
                <w:sz w:val="16"/>
                <w:szCs w:val="16"/>
              </w:rPr>
              <w:t>’</w:t>
            </w:r>
            <w:r w:rsidRPr="001E6DFD">
              <w:rPr>
                <w:sz w:val="16"/>
                <w:szCs w:val="16"/>
              </w:rPr>
              <w:t>utilisateurs consultant les publications sur l</w:t>
            </w:r>
            <w:r w:rsidR="00FA22F6" w:rsidRPr="001E6DFD">
              <w:rPr>
                <w:sz w:val="16"/>
                <w:szCs w:val="16"/>
              </w:rPr>
              <w:t>’</w:t>
            </w:r>
            <w:r w:rsidRPr="001E6DFD">
              <w:rPr>
                <w:sz w:val="16"/>
                <w:szCs w:val="16"/>
              </w:rPr>
              <w:t>Internet des classifications internationales et des normes, notamment dans les pays en développement</w:t>
            </w:r>
          </w:p>
        </w:tc>
        <w:tc>
          <w:tcPr>
            <w:tcW w:w="1240" w:type="pct"/>
            <w:shd w:val="clear" w:color="auto" w:fill="auto"/>
            <w:tcMar>
              <w:left w:w="58" w:type="dxa"/>
              <w:right w:w="58" w:type="dxa"/>
            </w:tcMar>
          </w:tcPr>
          <w:p w14:paraId="631B1896" w14:textId="67A2EB6A" w:rsidR="001F64B1" w:rsidRPr="00094CEB" w:rsidRDefault="00E64532" w:rsidP="00094CEB">
            <w:pPr>
              <w:keepNext/>
              <w:keepLines/>
              <w:ind w:right="-58"/>
              <w:rPr>
                <w:i/>
                <w:color w:val="002060"/>
                <w:sz w:val="16"/>
                <w:szCs w:val="16"/>
              </w:rPr>
            </w:pPr>
            <w:r w:rsidRPr="00094CEB">
              <w:rPr>
                <w:i/>
                <w:color w:val="002060"/>
                <w:sz w:val="16"/>
                <w:szCs w:val="16"/>
              </w:rPr>
              <w:t>Niveau de référence actualisé à fin</w:t>
            </w:r>
            <w:r w:rsidR="00B4191E" w:rsidRPr="00094CEB">
              <w:rPr>
                <w:i/>
                <w:color w:val="002060"/>
                <w:sz w:val="16"/>
                <w:szCs w:val="16"/>
              </w:rPr>
              <w:t> </w:t>
            </w:r>
            <w:r w:rsidRPr="00094CEB">
              <w:rPr>
                <w:i/>
                <w:color w:val="002060"/>
                <w:sz w:val="16"/>
                <w:szCs w:val="16"/>
              </w:rPr>
              <w:t>2015</w:t>
            </w:r>
            <w:r w:rsidR="00FA22F6" w:rsidRPr="00094CEB">
              <w:rPr>
                <w:i/>
                <w:color w:val="002060"/>
                <w:sz w:val="16"/>
                <w:szCs w:val="16"/>
              </w:rPr>
              <w:t> :</w:t>
            </w:r>
          </w:p>
          <w:p w14:paraId="218B0AFC" w14:textId="4CBF0DB8" w:rsidR="0028746D" w:rsidRPr="00094CEB" w:rsidRDefault="0028746D" w:rsidP="00094CEB">
            <w:pPr>
              <w:pStyle w:val="Default"/>
              <w:keepNext/>
              <w:keepLines/>
              <w:ind w:right="-58"/>
              <w:rPr>
                <w:color w:val="002060"/>
                <w:sz w:val="16"/>
                <w:szCs w:val="16"/>
                <w:lang w:val="fr-FR"/>
              </w:rPr>
            </w:pPr>
            <w:r w:rsidRPr="00094CEB">
              <w:rPr>
                <w:color w:val="002060"/>
                <w:sz w:val="16"/>
                <w:szCs w:val="16"/>
                <w:lang w:val="fr-FR"/>
              </w:rPr>
              <w:t>Page d</w:t>
            </w:r>
            <w:r w:rsidR="00FA22F6" w:rsidRPr="00094CEB">
              <w:rPr>
                <w:color w:val="002060"/>
                <w:sz w:val="16"/>
                <w:szCs w:val="16"/>
                <w:lang w:val="fr-FR"/>
              </w:rPr>
              <w:t>’</w:t>
            </w:r>
            <w:r w:rsidRPr="00094CEB">
              <w:rPr>
                <w:color w:val="002060"/>
                <w:sz w:val="16"/>
                <w:szCs w:val="16"/>
                <w:lang w:val="fr-FR"/>
              </w:rPr>
              <w:t>accueil de la CIB</w:t>
            </w:r>
            <w:r w:rsidR="00FA22F6" w:rsidRPr="00094CEB">
              <w:rPr>
                <w:color w:val="002060"/>
                <w:sz w:val="16"/>
                <w:szCs w:val="16"/>
                <w:lang w:val="fr-FR"/>
              </w:rPr>
              <w:t> :</w:t>
            </w:r>
            <w:r w:rsidRPr="00094CEB">
              <w:rPr>
                <w:color w:val="002060"/>
                <w:sz w:val="16"/>
                <w:szCs w:val="16"/>
                <w:lang w:val="fr-FR"/>
              </w:rPr>
              <w:t xml:space="preserve"> 361 378 (48,1% de consultations en provenance de pays en développement)</w:t>
            </w:r>
          </w:p>
          <w:p w14:paraId="6E312CE0" w14:textId="77777777" w:rsidR="0028746D" w:rsidRPr="00094CEB" w:rsidRDefault="0028746D" w:rsidP="00094CEB">
            <w:pPr>
              <w:pStyle w:val="Default"/>
              <w:keepNext/>
              <w:keepLines/>
              <w:ind w:right="-58"/>
              <w:rPr>
                <w:color w:val="002060"/>
                <w:sz w:val="16"/>
                <w:szCs w:val="16"/>
                <w:lang w:val="fr-FR"/>
              </w:rPr>
            </w:pPr>
          </w:p>
          <w:p w14:paraId="6F938A94" w14:textId="206E894E" w:rsidR="0028746D" w:rsidRPr="00094CEB" w:rsidRDefault="0028746D" w:rsidP="00094CEB">
            <w:pPr>
              <w:pStyle w:val="Default"/>
              <w:keepNext/>
              <w:keepLines/>
              <w:ind w:right="-58"/>
              <w:rPr>
                <w:color w:val="002060"/>
                <w:sz w:val="16"/>
                <w:szCs w:val="16"/>
                <w:lang w:val="fr-FR"/>
              </w:rPr>
            </w:pPr>
            <w:r w:rsidRPr="00094CEB">
              <w:rPr>
                <w:color w:val="002060"/>
                <w:sz w:val="16"/>
                <w:szCs w:val="16"/>
                <w:lang w:val="fr-FR"/>
              </w:rPr>
              <w:t>Publication CIB</w:t>
            </w:r>
            <w:r w:rsidR="00FA22F6" w:rsidRPr="00094CEB">
              <w:rPr>
                <w:color w:val="002060"/>
                <w:sz w:val="16"/>
                <w:szCs w:val="16"/>
                <w:lang w:val="fr-FR"/>
              </w:rPr>
              <w:t> :</w:t>
            </w:r>
            <w:r w:rsidRPr="00094CEB">
              <w:rPr>
                <w:color w:val="002060"/>
                <w:sz w:val="16"/>
                <w:szCs w:val="16"/>
                <w:lang w:val="fr-FR"/>
              </w:rPr>
              <w:t xml:space="preserve"> 1 389 644 (36,3% de consultations en provenance de pays en développement)</w:t>
            </w:r>
          </w:p>
          <w:p w14:paraId="0A383DB0" w14:textId="77777777" w:rsidR="0028746D" w:rsidRPr="00094CEB" w:rsidRDefault="0028746D" w:rsidP="00094CEB">
            <w:pPr>
              <w:pStyle w:val="Default"/>
              <w:keepNext/>
              <w:keepLines/>
              <w:ind w:right="-58"/>
              <w:rPr>
                <w:color w:val="002060"/>
                <w:sz w:val="16"/>
                <w:szCs w:val="16"/>
                <w:lang w:val="fr-FR"/>
              </w:rPr>
            </w:pPr>
          </w:p>
          <w:p w14:paraId="2AA34E66" w14:textId="7DF0B448" w:rsidR="0028746D" w:rsidRPr="00094CEB" w:rsidRDefault="0028746D" w:rsidP="00094CEB">
            <w:pPr>
              <w:pStyle w:val="Default"/>
              <w:keepNext/>
              <w:keepLines/>
              <w:ind w:right="-58"/>
              <w:rPr>
                <w:color w:val="002060"/>
                <w:sz w:val="16"/>
                <w:szCs w:val="16"/>
                <w:lang w:val="fr-FR"/>
              </w:rPr>
            </w:pPr>
            <w:r w:rsidRPr="00094CEB">
              <w:rPr>
                <w:color w:val="002060"/>
                <w:sz w:val="16"/>
                <w:szCs w:val="16"/>
                <w:lang w:val="fr-FR"/>
              </w:rPr>
              <w:t>Page d</w:t>
            </w:r>
            <w:r w:rsidR="00FA22F6" w:rsidRPr="00094CEB">
              <w:rPr>
                <w:color w:val="002060"/>
                <w:sz w:val="16"/>
                <w:szCs w:val="16"/>
                <w:lang w:val="fr-FR"/>
              </w:rPr>
              <w:t>’</w:t>
            </w:r>
            <w:r w:rsidRPr="00094CEB">
              <w:rPr>
                <w:color w:val="002060"/>
                <w:sz w:val="16"/>
                <w:szCs w:val="16"/>
                <w:lang w:val="fr-FR"/>
              </w:rPr>
              <w:t>accueil de la classification de Nice</w:t>
            </w:r>
            <w:r w:rsidR="00FA22F6" w:rsidRPr="00094CEB">
              <w:rPr>
                <w:color w:val="002060"/>
                <w:sz w:val="16"/>
                <w:szCs w:val="16"/>
                <w:lang w:val="fr-FR"/>
              </w:rPr>
              <w:t> :</w:t>
            </w:r>
            <w:r w:rsidRPr="00094CEB">
              <w:rPr>
                <w:color w:val="002060"/>
                <w:sz w:val="16"/>
                <w:szCs w:val="16"/>
                <w:lang w:val="fr-FR"/>
              </w:rPr>
              <w:t xml:space="preserve"> 532 493 (47,8% de consultations en provenance de pays en développement)</w:t>
            </w:r>
          </w:p>
          <w:p w14:paraId="56036124" w14:textId="77777777" w:rsidR="0028746D" w:rsidRPr="00094CEB" w:rsidRDefault="0028746D" w:rsidP="00094CEB">
            <w:pPr>
              <w:pStyle w:val="Default"/>
              <w:keepNext/>
              <w:keepLines/>
              <w:ind w:right="-58"/>
              <w:rPr>
                <w:color w:val="002060"/>
                <w:sz w:val="16"/>
                <w:szCs w:val="16"/>
                <w:lang w:val="fr-FR"/>
              </w:rPr>
            </w:pPr>
          </w:p>
          <w:p w14:paraId="5AB283DC" w14:textId="627365A2" w:rsidR="0028746D" w:rsidRPr="00094CEB" w:rsidRDefault="0028746D" w:rsidP="00094CEB">
            <w:pPr>
              <w:pStyle w:val="Default"/>
              <w:keepNext/>
              <w:keepLines/>
              <w:ind w:right="-58"/>
              <w:rPr>
                <w:color w:val="002060"/>
                <w:sz w:val="16"/>
                <w:szCs w:val="16"/>
                <w:lang w:val="fr-FR"/>
              </w:rPr>
            </w:pPr>
            <w:r w:rsidRPr="00094CEB">
              <w:rPr>
                <w:color w:val="002060"/>
                <w:sz w:val="16"/>
                <w:szCs w:val="16"/>
                <w:lang w:val="fr-FR"/>
              </w:rPr>
              <w:t>Publication de la classification de Nice</w:t>
            </w:r>
            <w:r w:rsidR="00FA22F6" w:rsidRPr="00094CEB">
              <w:rPr>
                <w:color w:val="002060"/>
                <w:sz w:val="16"/>
                <w:szCs w:val="16"/>
                <w:lang w:val="fr-FR"/>
              </w:rPr>
              <w:t> :</w:t>
            </w:r>
            <w:r w:rsidRPr="00094CEB">
              <w:rPr>
                <w:color w:val="002060"/>
                <w:sz w:val="16"/>
                <w:szCs w:val="16"/>
                <w:lang w:val="fr-FR"/>
              </w:rPr>
              <w:t xml:space="preserve"> 2 721 537 (49,1% de consultations en provenance de pays en développement)</w:t>
            </w:r>
          </w:p>
          <w:p w14:paraId="0D796A56" w14:textId="77777777" w:rsidR="0028746D" w:rsidRPr="00094CEB" w:rsidRDefault="0028746D" w:rsidP="00094CEB">
            <w:pPr>
              <w:pStyle w:val="Default"/>
              <w:keepNext/>
              <w:keepLines/>
              <w:ind w:right="-58"/>
              <w:rPr>
                <w:color w:val="002060"/>
                <w:sz w:val="16"/>
                <w:szCs w:val="16"/>
                <w:lang w:val="fr-FR"/>
              </w:rPr>
            </w:pPr>
          </w:p>
          <w:p w14:paraId="05F12FCD" w14:textId="5C6E7EAC" w:rsidR="0028746D" w:rsidRPr="00094CEB" w:rsidRDefault="0028746D" w:rsidP="00094CEB">
            <w:pPr>
              <w:pStyle w:val="Default"/>
              <w:keepNext/>
              <w:keepLines/>
              <w:ind w:right="-58"/>
              <w:rPr>
                <w:color w:val="002060"/>
                <w:sz w:val="16"/>
                <w:szCs w:val="16"/>
                <w:lang w:val="fr-FR"/>
              </w:rPr>
            </w:pPr>
            <w:r w:rsidRPr="00094CEB">
              <w:rPr>
                <w:color w:val="002060"/>
                <w:sz w:val="16"/>
                <w:szCs w:val="16"/>
                <w:lang w:val="fr-FR"/>
              </w:rPr>
              <w:t>Page d</w:t>
            </w:r>
            <w:r w:rsidR="00FA22F6" w:rsidRPr="00094CEB">
              <w:rPr>
                <w:color w:val="002060"/>
                <w:sz w:val="16"/>
                <w:szCs w:val="16"/>
                <w:lang w:val="fr-FR"/>
              </w:rPr>
              <w:t>’</w:t>
            </w:r>
            <w:r w:rsidRPr="00094CEB">
              <w:rPr>
                <w:color w:val="002060"/>
                <w:sz w:val="16"/>
                <w:szCs w:val="16"/>
                <w:lang w:val="fr-FR"/>
              </w:rPr>
              <w:t>accueil de la classification de Locarno</w:t>
            </w:r>
            <w:r w:rsidR="00FA22F6" w:rsidRPr="00094CEB">
              <w:rPr>
                <w:color w:val="002060"/>
                <w:sz w:val="16"/>
                <w:szCs w:val="16"/>
                <w:lang w:val="fr-FR"/>
              </w:rPr>
              <w:t> :</w:t>
            </w:r>
            <w:r w:rsidRPr="00094CEB">
              <w:rPr>
                <w:color w:val="002060"/>
                <w:sz w:val="16"/>
                <w:szCs w:val="16"/>
                <w:lang w:val="fr-FR"/>
              </w:rPr>
              <w:t xml:space="preserve"> 51 075 (33,5% de consultations en provenance de pays en développement)</w:t>
            </w:r>
          </w:p>
          <w:p w14:paraId="10C374B0" w14:textId="77777777" w:rsidR="0028746D" w:rsidRPr="00094CEB" w:rsidRDefault="0028746D" w:rsidP="00094CEB">
            <w:pPr>
              <w:pStyle w:val="Default"/>
              <w:keepNext/>
              <w:keepLines/>
              <w:ind w:right="-58"/>
              <w:rPr>
                <w:color w:val="002060"/>
                <w:sz w:val="16"/>
                <w:szCs w:val="16"/>
                <w:lang w:val="fr-FR"/>
              </w:rPr>
            </w:pPr>
          </w:p>
          <w:p w14:paraId="356033AB" w14:textId="5D321E1B" w:rsidR="0028746D" w:rsidRPr="00094CEB" w:rsidRDefault="0028746D" w:rsidP="00094CEB">
            <w:pPr>
              <w:pStyle w:val="Default"/>
              <w:keepNext/>
              <w:keepLines/>
              <w:ind w:right="-58"/>
              <w:rPr>
                <w:color w:val="002060"/>
                <w:sz w:val="16"/>
                <w:szCs w:val="16"/>
                <w:lang w:val="fr-FR"/>
              </w:rPr>
            </w:pPr>
            <w:r w:rsidRPr="00094CEB">
              <w:rPr>
                <w:color w:val="002060"/>
                <w:sz w:val="16"/>
                <w:szCs w:val="16"/>
                <w:lang w:val="fr-FR"/>
              </w:rPr>
              <w:t>Page d</w:t>
            </w:r>
            <w:r w:rsidR="00FA22F6" w:rsidRPr="00094CEB">
              <w:rPr>
                <w:color w:val="002060"/>
                <w:sz w:val="16"/>
                <w:szCs w:val="16"/>
                <w:lang w:val="fr-FR"/>
              </w:rPr>
              <w:t>’</w:t>
            </w:r>
            <w:r w:rsidRPr="00094CEB">
              <w:rPr>
                <w:color w:val="002060"/>
                <w:sz w:val="16"/>
                <w:szCs w:val="16"/>
                <w:lang w:val="fr-FR"/>
              </w:rPr>
              <w:t>accueil de la classification de Vienne</w:t>
            </w:r>
            <w:r w:rsidR="00FA22F6" w:rsidRPr="00094CEB">
              <w:rPr>
                <w:color w:val="002060"/>
                <w:sz w:val="16"/>
                <w:szCs w:val="16"/>
                <w:lang w:val="fr-FR"/>
              </w:rPr>
              <w:t> :</w:t>
            </w:r>
            <w:r w:rsidRPr="00094CEB">
              <w:rPr>
                <w:color w:val="002060"/>
                <w:sz w:val="16"/>
                <w:szCs w:val="16"/>
                <w:lang w:val="fr-FR"/>
              </w:rPr>
              <w:t xml:space="preserve"> 34 830 (38,8% de consultations en provenance de pays en développement)</w:t>
            </w:r>
          </w:p>
          <w:p w14:paraId="46AAF5A5" w14:textId="77777777" w:rsidR="0028746D" w:rsidRPr="00094CEB" w:rsidRDefault="0028746D" w:rsidP="00094CEB">
            <w:pPr>
              <w:pStyle w:val="Default"/>
              <w:keepNext/>
              <w:keepLines/>
              <w:ind w:right="-58"/>
              <w:rPr>
                <w:color w:val="002060"/>
                <w:sz w:val="16"/>
                <w:szCs w:val="16"/>
                <w:lang w:val="fr-FR"/>
              </w:rPr>
            </w:pPr>
          </w:p>
          <w:p w14:paraId="279EA292" w14:textId="0255FF01" w:rsidR="001F64B1" w:rsidRPr="00094CEB" w:rsidRDefault="0028746D" w:rsidP="00094CEB">
            <w:pPr>
              <w:keepNext/>
              <w:keepLines/>
              <w:ind w:right="-58"/>
              <w:rPr>
                <w:color w:val="002060"/>
                <w:sz w:val="16"/>
                <w:szCs w:val="16"/>
              </w:rPr>
            </w:pPr>
            <w:r w:rsidRPr="00094CEB">
              <w:rPr>
                <w:color w:val="002060"/>
                <w:sz w:val="16"/>
                <w:szCs w:val="16"/>
              </w:rPr>
              <w:t>Normes de l</w:t>
            </w:r>
            <w:r w:rsidR="00FA22F6" w:rsidRPr="00094CEB">
              <w:rPr>
                <w:color w:val="002060"/>
                <w:sz w:val="16"/>
                <w:szCs w:val="16"/>
              </w:rPr>
              <w:t>’</w:t>
            </w:r>
            <w:r w:rsidRPr="00094CEB">
              <w:rPr>
                <w:color w:val="002060"/>
                <w:sz w:val="16"/>
                <w:szCs w:val="16"/>
              </w:rPr>
              <w:t>OMPI (Manuel)</w:t>
            </w:r>
            <w:r w:rsidR="00FA22F6" w:rsidRPr="00094CEB">
              <w:rPr>
                <w:color w:val="002060"/>
                <w:sz w:val="16"/>
                <w:szCs w:val="16"/>
              </w:rPr>
              <w:t> :</w:t>
            </w:r>
            <w:r w:rsidRPr="00094CEB">
              <w:rPr>
                <w:color w:val="002060"/>
                <w:sz w:val="16"/>
                <w:szCs w:val="16"/>
              </w:rPr>
              <w:t xml:space="preserve"> 69 288 (33,6% de consultations en provenance de pays en développement)</w:t>
            </w:r>
          </w:p>
          <w:p w14:paraId="0BCF7689" w14:textId="77777777" w:rsidR="0028746D" w:rsidRPr="00094CEB" w:rsidRDefault="0028746D" w:rsidP="00094CEB">
            <w:pPr>
              <w:keepNext/>
              <w:keepLines/>
              <w:ind w:right="-58"/>
              <w:rPr>
                <w:color w:val="002060"/>
                <w:sz w:val="16"/>
                <w:szCs w:val="16"/>
              </w:rPr>
            </w:pPr>
          </w:p>
          <w:p w14:paraId="60E49628" w14:textId="6DC24DC3" w:rsidR="00FA22F6" w:rsidRPr="001E6DFD" w:rsidRDefault="00E64532" w:rsidP="00094CEB">
            <w:pPr>
              <w:keepNext/>
              <w:keepLines/>
              <w:ind w:right="-58"/>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603408D0" w14:textId="533111BD" w:rsidR="00BA5EA9" w:rsidRPr="001E6DFD" w:rsidRDefault="00FA22F6" w:rsidP="00094CEB">
            <w:pPr>
              <w:keepNext/>
              <w:keepLines/>
              <w:ind w:right="-58"/>
              <w:rPr>
                <w:sz w:val="16"/>
                <w:szCs w:val="16"/>
              </w:rPr>
            </w:pPr>
            <w:r w:rsidRPr="001E6DFD">
              <w:rPr>
                <w:sz w:val="16"/>
                <w:szCs w:val="16"/>
              </w:rPr>
              <w:t>Page N</w:t>
            </w:r>
            <w:r w:rsidR="00C8218F" w:rsidRPr="001E6DFD">
              <w:rPr>
                <w:sz w:val="16"/>
                <w:szCs w:val="16"/>
              </w:rPr>
              <w:t>ice</w:t>
            </w:r>
            <w:r w:rsidRPr="001E6DFD">
              <w:rPr>
                <w:sz w:val="16"/>
                <w:szCs w:val="16"/>
              </w:rPr>
              <w:t> :</w:t>
            </w:r>
            <w:r w:rsidR="00C8218F" w:rsidRPr="001E6DFD">
              <w:rPr>
                <w:sz w:val="16"/>
                <w:szCs w:val="16"/>
              </w:rPr>
              <w:t xml:space="preserve"> 2</w:t>
            </w:r>
            <w:r w:rsidR="004D421A" w:rsidRPr="001E6DFD">
              <w:rPr>
                <w:sz w:val="16"/>
                <w:szCs w:val="16"/>
              </w:rPr>
              <w:t> </w:t>
            </w:r>
            <w:r w:rsidR="00C8218F" w:rsidRPr="001E6DFD">
              <w:rPr>
                <w:sz w:val="16"/>
                <w:szCs w:val="16"/>
              </w:rPr>
              <w:t>587</w:t>
            </w:r>
            <w:r w:rsidR="004D421A" w:rsidRPr="001E6DFD">
              <w:rPr>
                <w:sz w:val="16"/>
                <w:szCs w:val="16"/>
              </w:rPr>
              <w:t> </w:t>
            </w:r>
            <w:r w:rsidR="00C8218F" w:rsidRPr="001E6DFD">
              <w:rPr>
                <w:sz w:val="16"/>
                <w:szCs w:val="16"/>
              </w:rPr>
              <w:t>788</w:t>
            </w:r>
            <w:r w:rsidR="00C8218F" w:rsidRPr="001E6DFD">
              <w:rPr>
                <w:sz w:val="16"/>
                <w:szCs w:val="16"/>
              </w:rPr>
              <w:br/>
            </w:r>
            <w:r w:rsidRPr="001E6DFD">
              <w:rPr>
                <w:sz w:val="16"/>
                <w:szCs w:val="16"/>
              </w:rPr>
              <w:t>Page L</w:t>
            </w:r>
            <w:r w:rsidR="00C8218F" w:rsidRPr="001E6DFD">
              <w:rPr>
                <w:sz w:val="16"/>
                <w:szCs w:val="16"/>
              </w:rPr>
              <w:t>ocarno</w:t>
            </w:r>
            <w:r w:rsidRPr="001E6DFD">
              <w:rPr>
                <w:sz w:val="16"/>
                <w:szCs w:val="16"/>
              </w:rPr>
              <w:t> :</w:t>
            </w:r>
            <w:r w:rsidR="00C8218F" w:rsidRPr="001E6DFD">
              <w:rPr>
                <w:sz w:val="16"/>
                <w:szCs w:val="16"/>
              </w:rPr>
              <w:t xml:space="preserve"> 44</w:t>
            </w:r>
            <w:r w:rsidR="004D421A" w:rsidRPr="001E6DFD">
              <w:rPr>
                <w:sz w:val="16"/>
                <w:szCs w:val="16"/>
              </w:rPr>
              <w:t> </w:t>
            </w:r>
            <w:r w:rsidR="00C8218F" w:rsidRPr="001E6DFD">
              <w:rPr>
                <w:sz w:val="16"/>
                <w:szCs w:val="16"/>
              </w:rPr>
              <w:t>557</w:t>
            </w:r>
            <w:r w:rsidR="00C8218F" w:rsidRPr="001E6DFD">
              <w:rPr>
                <w:sz w:val="16"/>
                <w:szCs w:val="16"/>
              </w:rPr>
              <w:br/>
            </w:r>
            <w:r w:rsidRPr="001E6DFD">
              <w:rPr>
                <w:sz w:val="16"/>
                <w:szCs w:val="16"/>
              </w:rPr>
              <w:t>Page V</w:t>
            </w:r>
            <w:r w:rsidR="00C8218F" w:rsidRPr="001E6DFD">
              <w:rPr>
                <w:sz w:val="16"/>
                <w:szCs w:val="16"/>
              </w:rPr>
              <w:t>ienne</w:t>
            </w:r>
            <w:r w:rsidRPr="001E6DFD">
              <w:rPr>
                <w:sz w:val="16"/>
                <w:szCs w:val="16"/>
              </w:rPr>
              <w:t> :</w:t>
            </w:r>
            <w:r w:rsidR="00C8218F" w:rsidRPr="001E6DFD">
              <w:rPr>
                <w:sz w:val="16"/>
                <w:szCs w:val="16"/>
              </w:rPr>
              <w:t xml:space="preserve"> 29</w:t>
            </w:r>
            <w:r w:rsidR="004D421A" w:rsidRPr="001E6DFD">
              <w:rPr>
                <w:sz w:val="16"/>
                <w:szCs w:val="16"/>
              </w:rPr>
              <w:t> </w:t>
            </w:r>
            <w:r w:rsidR="00C8218F" w:rsidRPr="001E6DFD">
              <w:rPr>
                <w:sz w:val="16"/>
                <w:szCs w:val="16"/>
              </w:rPr>
              <w:t>596</w:t>
            </w:r>
            <w:r w:rsidR="00C8218F" w:rsidRPr="001E6DFD">
              <w:rPr>
                <w:sz w:val="16"/>
                <w:szCs w:val="16"/>
              </w:rPr>
              <w:br/>
              <w:t>Publication CIB</w:t>
            </w:r>
            <w:r w:rsidRPr="001E6DFD">
              <w:rPr>
                <w:sz w:val="16"/>
                <w:szCs w:val="16"/>
              </w:rPr>
              <w:t> :</w:t>
            </w:r>
            <w:r w:rsidR="00C8218F" w:rsidRPr="001E6DFD">
              <w:rPr>
                <w:sz w:val="16"/>
                <w:szCs w:val="16"/>
              </w:rPr>
              <w:t xml:space="preserve"> 1</w:t>
            </w:r>
            <w:r w:rsidR="004D421A" w:rsidRPr="001E6DFD">
              <w:rPr>
                <w:sz w:val="16"/>
                <w:szCs w:val="16"/>
              </w:rPr>
              <w:t> </w:t>
            </w:r>
            <w:r w:rsidR="00C8218F" w:rsidRPr="001E6DFD">
              <w:rPr>
                <w:sz w:val="16"/>
                <w:szCs w:val="16"/>
              </w:rPr>
              <w:t>170</w:t>
            </w:r>
            <w:r w:rsidR="004D421A" w:rsidRPr="001E6DFD">
              <w:rPr>
                <w:sz w:val="16"/>
                <w:szCs w:val="16"/>
              </w:rPr>
              <w:t> </w:t>
            </w:r>
            <w:r w:rsidR="00C8218F" w:rsidRPr="001E6DFD">
              <w:rPr>
                <w:sz w:val="16"/>
                <w:szCs w:val="16"/>
              </w:rPr>
              <w:t>000</w:t>
            </w:r>
            <w:r w:rsidR="00C8218F" w:rsidRPr="001E6DFD">
              <w:rPr>
                <w:sz w:val="16"/>
                <w:szCs w:val="16"/>
              </w:rPr>
              <w:br/>
              <w:t>Normes de l</w:t>
            </w:r>
            <w:r w:rsidRPr="001E6DFD">
              <w:rPr>
                <w:sz w:val="16"/>
                <w:szCs w:val="16"/>
              </w:rPr>
              <w:t>’</w:t>
            </w:r>
            <w:r w:rsidR="00C8218F" w:rsidRPr="001E6DFD">
              <w:rPr>
                <w:sz w:val="16"/>
                <w:szCs w:val="16"/>
              </w:rPr>
              <w:t>OMPI (Manuel)</w:t>
            </w:r>
            <w:r w:rsidRPr="001E6DFD">
              <w:rPr>
                <w:sz w:val="16"/>
                <w:szCs w:val="16"/>
              </w:rPr>
              <w:t> :</w:t>
            </w:r>
            <w:r w:rsidR="00C8218F" w:rsidRPr="001E6DFD">
              <w:rPr>
                <w:sz w:val="16"/>
                <w:szCs w:val="16"/>
              </w:rPr>
              <w:t xml:space="preserve"> 66</w:t>
            </w:r>
            <w:r w:rsidR="007A2632" w:rsidRPr="001E6DFD">
              <w:rPr>
                <w:sz w:val="16"/>
                <w:szCs w:val="16"/>
              </w:rPr>
              <w:t> </w:t>
            </w:r>
            <w:r w:rsidR="00C8218F" w:rsidRPr="001E6DFD">
              <w:rPr>
                <w:sz w:val="16"/>
                <w:szCs w:val="16"/>
              </w:rPr>
              <w:t>399</w:t>
            </w:r>
          </w:p>
        </w:tc>
        <w:tc>
          <w:tcPr>
            <w:tcW w:w="675" w:type="pct"/>
            <w:shd w:val="clear" w:color="auto" w:fill="auto"/>
            <w:tcMar>
              <w:top w:w="110" w:type="dxa"/>
              <w:left w:w="58" w:type="dxa"/>
              <w:right w:w="58" w:type="dxa"/>
            </w:tcMar>
          </w:tcPr>
          <w:p w14:paraId="71DEA8F1" w14:textId="67E89000" w:rsidR="00BA5EA9" w:rsidRPr="001E6DFD" w:rsidRDefault="00C8218F" w:rsidP="00094CEB">
            <w:pPr>
              <w:keepNext/>
              <w:keepLines/>
              <w:rPr>
                <w:sz w:val="16"/>
                <w:szCs w:val="16"/>
              </w:rPr>
            </w:pPr>
            <w:r w:rsidRPr="001E6DFD">
              <w:rPr>
                <w:sz w:val="16"/>
                <w:szCs w:val="16"/>
              </w:rPr>
              <w:t>Hausse de 5% par rapport au niveau de référence</w:t>
            </w:r>
          </w:p>
        </w:tc>
        <w:tc>
          <w:tcPr>
            <w:tcW w:w="1499" w:type="pct"/>
            <w:shd w:val="clear" w:color="auto" w:fill="FFFFFF"/>
            <w:tcMar>
              <w:top w:w="110" w:type="dxa"/>
              <w:left w:w="58" w:type="dxa"/>
              <w:right w:w="58" w:type="dxa"/>
            </w:tcMar>
          </w:tcPr>
          <w:p w14:paraId="06042C33" w14:textId="4CB8320D" w:rsidR="0028746D" w:rsidRPr="001E6DFD" w:rsidRDefault="0028746D" w:rsidP="00094CEB">
            <w:pPr>
              <w:keepNext/>
              <w:keepLines/>
              <w:ind w:right="-45"/>
              <w:rPr>
                <w:sz w:val="16"/>
                <w:szCs w:val="16"/>
              </w:rPr>
            </w:pPr>
            <w:r w:rsidRPr="001E6DFD">
              <w:rPr>
                <w:sz w:val="16"/>
                <w:szCs w:val="16"/>
              </w:rPr>
              <w:t>Page d</w:t>
            </w:r>
            <w:r w:rsidR="00FA22F6" w:rsidRPr="001E6DFD">
              <w:rPr>
                <w:sz w:val="16"/>
                <w:szCs w:val="16"/>
              </w:rPr>
              <w:t>’</w:t>
            </w:r>
            <w:r w:rsidRPr="001E6DFD">
              <w:rPr>
                <w:sz w:val="16"/>
                <w:szCs w:val="16"/>
              </w:rPr>
              <w:t>accueil de la CIB</w:t>
            </w:r>
            <w:r w:rsidR="00FA22F6" w:rsidRPr="001E6DFD">
              <w:rPr>
                <w:sz w:val="16"/>
                <w:szCs w:val="16"/>
              </w:rPr>
              <w:t> :</w:t>
            </w:r>
          </w:p>
          <w:p w14:paraId="692063BC" w14:textId="77777777" w:rsidR="007A2632" w:rsidRPr="001E6DFD" w:rsidRDefault="007A2632" w:rsidP="00094CEB">
            <w:pPr>
              <w:keepNext/>
              <w:keepLines/>
              <w:ind w:right="-45"/>
              <w:rPr>
                <w:sz w:val="16"/>
                <w:szCs w:val="16"/>
              </w:rPr>
            </w:pPr>
            <w:r w:rsidRPr="001E6DFD">
              <w:rPr>
                <w:sz w:val="16"/>
                <w:szCs w:val="16"/>
              </w:rPr>
              <w:t xml:space="preserve">324 981 </w:t>
            </w:r>
            <w:r w:rsidR="0028746D" w:rsidRPr="001E6DFD">
              <w:rPr>
                <w:sz w:val="16"/>
                <w:szCs w:val="16"/>
              </w:rPr>
              <w:t xml:space="preserve">consultations </w:t>
            </w:r>
            <w:r w:rsidRPr="001E6DFD">
              <w:rPr>
                <w:sz w:val="16"/>
                <w:szCs w:val="16"/>
              </w:rPr>
              <w:t>(</w:t>
            </w:r>
            <w:r w:rsidRPr="001E6DFD">
              <w:rPr>
                <w:sz w:val="16"/>
                <w:szCs w:val="16"/>
              </w:rPr>
              <w:sym w:font="Symbol" w:char="F02D"/>
            </w:r>
            <w:r w:rsidRPr="001E6DFD">
              <w:rPr>
                <w:sz w:val="16"/>
                <w:szCs w:val="16"/>
              </w:rPr>
              <w:t xml:space="preserve">10,4%) </w:t>
            </w:r>
            <w:r w:rsidR="0028746D" w:rsidRPr="001E6DFD">
              <w:rPr>
                <w:sz w:val="16"/>
                <w:szCs w:val="16"/>
              </w:rPr>
              <w:t xml:space="preserve">dont </w:t>
            </w:r>
            <w:r w:rsidRPr="001E6DFD">
              <w:rPr>
                <w:sz w:val="16"/>
                <w:szCs w:val="16"/>
              </w:rPr>
              <w:t>114 068 (</w:t>
            </w:r>
            <w:r w:rsidRPr="001E6DFD">
              <w:rPr>
                <w:sz w:val="16"/>
                <w:szCs w:val="16"/>
              </w:rPr>
              <w:sym w:font="Symbol" w:char="F02D"/>
            </w:r>
            <w:r w:rsidRPr="001E6DFD">
              <w:rPr>
                <w:sz w:val="16"/>
                <w:szCs w:val="16"/>
              </w:rPr>
              <w:t xml:space="preserve">34,4%) </w:t>
            </w:r>
            <w:r w:rsidR="0028746D" w:rsidRPr="001E6DFD">
              <w:rPr>
                <w:sz w:val="16"/>
                <w:szCs w:val="16"/>
              </w:rPr>
              <w:t>en provenance de pays en développement</w:t>
            </w:r>
          </w:p>
          <w:p w14:paraId="1A9F20E1" w14:textId="77777777" w:rsidR="007A2632" w:rsidRPr="001E6DFD" w:rsidRDefault="007A2632" w:rsidP="00094CEB">
            <w:pPr>
              <w:keepNext/>
              <w:keepLines/>
              <w:ind w:right="-45"/>
              <w:rPr>
                <w:sz w:val="16"/>
                <w:szCs w:val="16"/>
              </w:rPr>
            </w:pPr>
          </w:p>
          <w:p w14:paraId="65BD1BB2" w14:textId="158E32DB" w:rsidR="007A2632" w:rsidRPr="001E6DFD" w:rsidRDefault="0028746D" w:rsidP="00094CEB">
            <w:pPr>
              <w:keepNext/>
              <w:keepLines/>
              <w:ind w:right="-45"/>
              <w:rPr>
                <w:sz w:val="16"/>
                <w:szCs w:val="16"/>
              </w:rPr>
            </w:pPr>
            <w:r w:rsidRPr="001E6DFD">
              <w:rPr>
                <w:sz w:val="16"/>
                <w:szCs w:val="16"/>
              </w:rPr>
              <w:t>Publication CIB</w:t>
            </w:r>
            <w:r w:rsidR="00FA22F6" w:rsidRPr="001E6DFD">
              <w:rPr>
                <w:sz w:val="16"/>
                <w:szCs w:val="16"/>
              </w:rPr>
              <w:t> :</w:t>
            </w:r>
          </w:p>
          <w:p w14:paraId="22DC7234" w14:textId="77777777" w:rsidR="007A2632" w:rsidRPr="001E6DFD" w:rsidRDefault="007A2632" w:rsidP="00094CEB">
            <w:pPr>
              <w:keepNext/>
              <w:keepLines/>
              <w:ind w:right="-45"/>
              <w:rPr>
                <w:sz w:val="16"/>
                <w:szCs w:val="16"/>
              </w:rPr>
            </w:pPr>
            <w:r w:rsidRPr="001E6DFD">
              <w:rPr>
                <w:sz w:val="16"/>
                <w:szCs w:val="16"/>
              </w:rPr>
              <w:t xml:space="preserve">1 386 029 </w:t>
            </w:r>
            <w:r w:rsidR="0028746D" w:rsidRPr="001E6DFD">
              <w:rPr>
                <w:sz w:val="16"/>
                <w:szCs w:val="16"/>
              </w:rPr>
              <w:t xml:space="preserve">consultations </w:t>
            </w:r>
            <w:r w:rsidRPr="001E6DFD">
              <w:rPr>
                <w:sz w:val="16"/>
                <w:szCs w:val="16"/>
              </w:rPr>
              <w:t>(</w:t>
            </w:r>
            <w:r w:rsidRPr="001E6DFD">
              <w:rPr>
                <w:sz w:val="16"/>
                <w:szCs w:val="16"/>
              </w:rPr>
              <w:sym w:font="Symbol" w:char="F02D"/>
            </w:r>
            <w:r w:rsidRPr="001E6DFD">
              <w:rPr>
                <w:sz w:val="16"/>
                <w:szCs w:val="16"/>
              </w:rPr>
              <w:t xml:space="preserve">0,3%) </w:t>
            </w:r>
            <w:r w:rsidR="0028746D" w:rsidRPr="001E6DFD">
              <w:rPr>
                <w:sz w:val="16"/>
                <w:szCs w:val="16"/>
              </w:rPr>
              <w:t xml:space="preserve">dont </w:t>
            </w:r>
            <w:r w:rsidRPr="001E6DFD">
              <w:rPr>
                <w:sz w:val="16"/>
                <w:szCs w:val="16"/>
              </w:rPr>
              <w:t xml:space="preserve">539 165 (+6,9%) </w:t>
            </w:r>
            <w:r w:rsidR="0028746D" w:rsidRPr="001E6DFD">
              <w:rPr>
                <w:sz w:val="16"/>
                <w:szCs w:val="16"/>
              </w:rPr>
              <w:t>en provenance de pays en développement</w:t>
            </w:r>
          </w:p>
          <w:p w14:paraId="7E15F600" w14:textId="77777777" w:rsidR="007A2632" w:rsidRPr="001E6DFD" w:rsidRDefault="007A2632" w:rsidP="00094CEB">
            <w:pPr>
              <w:keepNext/>
              <w:keepLines/>
              <w:ind w:right="-45"/>
              <w:rPr>
                <w:sz w:val="16"/>
                <w:szCs w:val="16"/>
              </w:rPr>
            </w:pPr>
          </w:p>
          <w:p w14:paraId="2B8B5849" w14:textId="2A53987A" w:rsidR="007A2632" w:rsidRPr="001E6DFD" w:rsidRDefault="0028746D" w:rsidP="00094CEB">
            <w:pPr>
              <w:keepNext/>
              <w:keepLines/>
              <w:rPr>
                <w:sz w:val="16"/>
                <w:szCs w:val="16"/>
              </w:rPr>
            </w:pPr>
            <w:r w:rsidRPr="001E6DFD">
              <w:rPr>
                <w:sz w:val="16"/>
                <w:szCs w:val="16"/>
              </w:rPr>
              <w:t>Page d</w:t>
            </w:r>
            <w:r w:rsidR="00FA22F6" w:rsidRPr="001E6DFD">
              <w:rPr>
                <w:sz w:val="16"/>
                <w:szCs w:val="16"/>
              </w:rPr>
              <w:t>’</w:t>
            </w:r>
            <w:r w:rsidRPr="001E6DFD">
              <w:rPr>
                <w:sz w:val="16"/>
                <w:szCs w:val="16"/>
              </w:rPr>
              <w:t>accueil de la classification de Nice</w:t>
            </w:r>
            <w:r w:rsidR="00FA22F6" w:rsidRPr="001E6DFD">
              <w:rPr>
                <w:sz w:val="16"/>
                <w:szCs w:val="16"/>
              </w:rPr>
              <w:t> :</w:t>
            </w:r>
            <w:r w:rsidR="007A2632" w:rsidRPr="001E6DFD">
              <w:rPr>
                <w:sz w:val="16"/>
                <w:szCs w:val="16"/>
              </w:rPr>
              <w:t xml:space="preserve"> </w:t>
            </w:r>
            <w:r w:rsidR="007A2632" w:rsidRPr="001E6DFD">
              <w:rPr>
                <w:sz w:val="16"/>
                <w:szCs w:val="16"/>
              </w:rPr>
              <w:br/>
              <w:t xml:space="preserve">529 804 </w:t>
            </w:r>
            <w:r w:rsidRPr="001E6DFD">
              <w:rPr>
                <w:sz w:val="16"/>
                <w:szCs w:val="16"/>
              </w:rPr>
              <w:t xml:space="preserve">consultations </w:t>
            </w:r>
            <w:r w:rsidR="007A2632" w:rsidRPr="001E6DFD">
              <w:rPr>
                <w:sz w:val="16"/>
                <w:szCs w:val="16"/>
              </w:rPr>
              <w:t>(</w:t>
            </w:r>
            <w:r w:rsidR="007A2632" w:rsidRPr="001E6DFD">
              <w:rPr>
                <w:sz w:val="16"/>
                <w:szCs w:val="16"/>
              </w:rPr>
              <w:sym w:font="Symbol" w:char="F02D"/>
            </w:r>
            <w:r w:rsidR="007A2632" w:rsidRPr="001E6DFD">
              <w:rPr>
                <w:sz w:val="16"/>
                <w:szCs w:val="16"/>
              </w:rPr>
              <w:t xml:space="preserve">0,5%) </w:t>
            </w:r>
            <w:r w:rsidRPr="001E6DFD">
              <w:rPr>
                <w:sz w:val="16"/>
                <w:szCs w:val="16"/>
              </w:rPr>
              <w:t xml:space="preserve">dont </w:t>
            </w:r>
            <w:r w:rsidR="007A2632" w:rsidRPr="001E6DFD">
              <w:rPr>
                <w:sz w:val="16"/>
                <w:szCs w:val="16"/>
              </w:rPr>
              <w:t>247 418 (</w:t>
            </w:r>
            <w:r w:rsidR="007A2632" w:rsidRPr="001E6DFD">
              <w:rPr>
                <w:sz w:val="16"/>
                <w:szCs w:val="16"/>
              </w:rPr>
              <w:sym w:font="Symbol" w:char="F02D"/>
            </w:r>
            <w:r w:rsidR="007A2632" w:rsidRPr="001E6DFD">
              <w:rPr>
                <w:sz w:val="16"/>
                <w:szCs w:val="16"/>
              </w:rPr>
              <w:t xml:space="preserve">2,8%) </w:t>
            </w:r>
            <w:r w:rsidRPr="001E6DFD">
              <w:rPr>
                <w:sz w:val="16"/>
                <w:szCs w:val="16"/>
              </w:rPr>
              <w:t>en provenance de pays en développement</w:t>
            </w:r>
          </w:p>
          <w:p w14:paraId="1BC6ACC8" w14:textId="77777777" w:rsidR="007A2632" w:rsidRPr="001E6DFD" w:rsidRDefault="007A2632" w:rsidP="00094CEB">
            <w:pPr>
              <w:keepNext/>
              <w:keepLines/>
              <w:ind w:right="-45"/>
              <w:rPr>
                <w:sz w:val="16"/>
                <w:szCs w:val="16"/>
              </w:rPr>
            </w:pPr>
          </w:p>
          <w:p w14:paraId="2FDF3A57" w14:textId="2C0E10C9" w:rsidR="007A2632" w:rsidRPr="001E6DFD" w:rsidRDefault="0028746D" w:rsidP="00094CEB">
            <w:pPr>
              <w:keepNext/>
              <w:keepLines/>
              <w:rPr>
                <w:sz w:val="16"/>
                <w:szCs w:val="16"/>
              </w:rPr>
            </w:pPr>
            <w:r w:rsidRPr="001E6DFD">
              <w:rPr>
                <w:sz w:val="16"/>
                <w:szCs w:val="16"/>
              </w:rPr>
              <w:t>Publication de la classification de Nice</w:t>
            </w:r>
            <w:r w:rsidR="00FA22F6" w:rsidRPr="001E6DFD">
              <w:rPr>
                <w:sz w:val="16"/>
                <w:szCs w:val="16"/>
              </w:rPr>
              <w:t> :</w:t>
            </w:r>
            <w:r w:rsidR="007A2632" w:rsidRPr="001E6DFD">
              <w:rPr>
                <w:sz w:val="16"/>
                <w:szCs w:val="16"/>
              </w:rPr>
              <w:br/>
              <w:t xml:space="preserve">3 767 636 </w:t>
            </w:r>
            <w:r w:rsidRPr="001E6DFD">
              <w:rPr>
                <w:sz w:val="16"/>
                <w:szCs w:val="16"/>
              </w:rPr>
              <w:t xml:space="preserve">consultations </w:t>
            </w:r>
            <w:r w:rsidR="007A2632" w:rsidRPr="001E6DFD">
              <w:rPr>
                <w:sz w:val="16"/>
                <w:szCs w:val="16"/>
              </w:rPr>
              <w:t xml:space="preserve">(+38,4%) </w:t>
            </w:r>
            <w:r w:rsidRPr="001E6DFD">
              <w:rPr>
                <w:sz w:val="16"/>
                <w:szCs w:val="16"/>
              </w:rPr>
              <w:t xml:space="preserve">dont </w:t>
            </w:r>
            <w:r w:rsidR="007A2632" w:rsidRPr="001E6DFD">
              <w:rPr>
                <w:sz w:val="16"/>
                <w:szCs w:val="16"/>
              </w:rPr>
              <w:t xml:space="preserve">1 936 565 (+45%) </w:t>
            </w:r>
            <w:r w:rsidRPr="001E6DFD">
              <w:rPr>
                <w:sz w:val="16"/>
                <w:szCs w:val="16"/>
              </w:rPr>
              <w:t>en provenance de pays en développement</w:t>
            </w:r>
          </w:p>
          <w:p w14:paraId="21CDF299" w14:textId="77777777" w:rsidR="007A2632" w:rsidRPr="001E6DFD" w:rsidRDefault="007A2632" w:rsidP="00094CEB">
            <w:pPr>
              <w:keepNext/>
              <w:keepLines/>
              <w:ind w:right="-45"/>
              <w:rPr>
                <w:sz w:val="16"/>
                <w:szCs w:val="16"/>
              </w:rPr>
            </w:pPr>
          </w:p>
          <w:p w14:paraId="74E0ACFF" w14:textId="6BFE6E75" w:rsidR="007A2632" w:rsidRPr="001E6DFD" w:rsidRDefault="0028746D" w:rsidP="00094CEB">
            <w:pPr>
              <w:keepNext/>
              <w:keepLines/>
              <w:rPr>
                <w:sz w:val="16"/>
                <w:szCs w:val="16"/>
              </w:rPr>
            </w:pPr>
            <w:r w:rsidRPr="001E6DFD">
              <w:rPr>
                <w:sz w:val="16"/>
                <w:szCs w:val="16"/>
              </w:rPr>
              <w:t>Page d</w:t>
            </w:r>
            <w:r w:rsidR="00FA22F6" w:rsidRPr="001E6DFD">
              <w:rPr>
                <w:sz w:val="16"/>
                <w:szCs w:val="16"/>
              </w:rPr>
              <w:t>’</w:t>
            </w:r>
            <w:r w:rsidRPr="001E6DFD">
              <w:rPr>
                <w:sz w:val="16"/>
                <w:szCs w:val="16"/>
              </w:rPr>
              <w:t>accueil de la classification de Locarno</w:t>
            </w:r>
            <w:r w:rsidR="00FA22F6" w:rsidRPr="001E6DFD">
              <w:rPr>
                <w:sz w:val="16"/>
                <w:szCs w:val="16"/>
              </w:rPr>
              <w:t> :</w:t>
            </w:r>
            <w:r w:rsidR="007A2632" w:rsidRPr="001E6DFD">
              <w:rPr>
                <w:sz w:val="16"/>
                <w:szCs w:val="16"/>
              </w:rPr>
              <w:br/>
              <w:t xml:space="preserve">46 719 </w:t>
            </w:r>
            <w:r w:rsidRPr="001E6DFD">
              <w:rPr>
                <w:sz w:val="16"/>
                <w:szCs w:val="16"/>
              </w:rPr>
              <w:t xml:space="preserve">consultations </w:t>
            </w:r>
            <w:r w:rsidR="007A2632" w:rsidRPr="001E6DFD">
              <w:rPr>
                <w:sz w:val="16"/>
                <w:szCs w:val="16"/>
              </w:rPr>
              <w:t>(</w:t>
            </w:r>
            <w:r w:rsidRPr="001E6DFD">
              <w:rPr>
                <w:sz w:val="16"/>
                <w:szCs w:val="16"/>
              </w:rPr>
              <w:t>–</w:t>
            </w:r>
            <w:r w:rsidR="007A2632" w:rsidRPr="001E6DFD">
              <w:rPr>
                <w:sz w:val="16"/>
                <w:szCs w:val="16"/>
              </w:rPr>
              <w:t xml:space="preserve">8,5%) </w:t>
            </w:r>
            <w:r w:rsidRPr="001E6DFD">
              <w:rPr>
                <w:sz w:val="16"/>
                <w:szCs w:val="16"/>
              </w:rPr>
              <w:t xml:space="preserve">dont </w:t>
            </w:r>
            <w:r w:rsidR="007A2632" w:rsidRPr="001E6DFD">
              <w:rPr>
                <w:sz w:val="16"/>
                <w:szCs w:val="16"/>
              </w:rPr>
              <w:t>16 123 (</w:t>
            </w:r>
            <w:r w:rsidR="007A2632" w:rsidRPr="001E6DFD">
              <w:rPr>
                <w:sz w:val="16"/>
                <w:szCs w:val="16"/>
              </w:rPr>
              <w:sym w:font="Symbol" w:char="F02D"/>
            </w:r>
            <w:r w:rsidR="007A2632" w:rsidRPr="001E6DFD">
              <w:rPr>
                <w:sz w:val="16"/>
                <w:szCs w:val="16"/>
              </w:rPr>
              <w:t xml:space="preserve">5,8%) </w:t>
            </w:r>
            <w:r w:rsidRPr="001E6DFD">
              <w:rPr>
                <w:sz w:val="16"/>
                <w:szCs w:val="16"/>
              </w:rPr>
              <w:t>en provenance de pays en développement</w:t>
            </w:r>
          </w:p>
          <w:p w14:paraId="6A59B589" w14:textId="77777777" w:rsidR="007A2632" w:rsidRPr="001E6DFD" w:rsidRDefault="007A2632" w:rsidP="00094CEB">
            <w:pPr>
              <w:keepNext/>
              <w:keepLines/>
              <w:ind w:right="-45"/>
              <w:rPr>
                <w:sz w:val="16"/>
                <w:szCs w:val="16"/>
              </w:rPr>
            </w:pPr>
          </w:p>
          <w:p w14:paraId="0E962F33" w14:textId="2E533AFE" w:rsidR="007A2632" w:rsidRPr="001E6DFD" w:rsidRDefault="0028746D" w:rsidP="00094CEB">
            <w:pPr>
              <w:keepNext/>
              <w:keepLines/>
              <w:rPr>
                <w:sz w:val="16"/>
                <w:szCs w:val="16"/>
              </w:rPr>
            </w:pPr>
            <w:r w:rsidRPr="001E6DFD">
              <w:rPr>
                <w:sz w:val="16"/>
                <w:szCs w:val="16"/>
              </w:rPr>
              <w:t>Page d</w:t>
            </w:r>
            <w:r w:rsidR="00FA22F6" w:rsidRPr="001E6DFD">
              <w:rPr>
                <w:sz w:val="16"/>
                <w:szCs w:val="16"/>
              </w:rPr>
              <w:t>’</w:t>
            </w:r>
            <w:r w:rsidRPr="001E6DFD">
              <w:rPr>
                <w:sz w:val="16"/>
                <w:szCs w:val="16"/>
              </w:rPr>
              <w:t>accueil de la classification de Vienne</w:t>
            </w:r>
            <w:r w:rsidR="00FA22F6" w:rsidRPr="001E6DFD">
              <w:rPr>
                <w:sz w:val="16"/>
                <w:szCs w:val="16"/>
              </w:rPr>
              <w:t> :</w:t>
            </w:r>
            <w:r w:rsidR="007A2632" w:rsidRPr="001E6DFD">
              <w:rPr>
                <w:sz w:val="16"/>
                <w:szCs w:val="16"/>
              </w:rPr>
              <w:t xml:space="preserve"> </w:t>
            </w:r>
            <w:r w:rsidR="007A2632" w:rsidRPr="001E6DFD">
              <w:rPr>
                <w:sz w:val="16"/>
                <w:szCs w:val="16"/>
              </w:rPr>
              <w:br/>
              <w:t xml:space="preserve">36 902 </w:t>
            </w:r>
            <w:r w:rsidRPr="001E6DFD">
              <w:rPr>
                <w:sz w:val="16"/>
                <w:szCs w:val="16"/>
              </w:rPr>
              <w:t xml:space="preserve">consultations </w:t>
            </w:r>
            <w:r w:rsidR="007A2632" w:rsidRPr="001E6DFD">
              <w:rPr>
                <w:sz w:val="16"/>
                <w:szCs w:val="16"/>
              </w:rPr>
              <w:t xml:space="preserve">(+6,0%) </w:t>
            </w:r>
            <w:r w:rsidRPr="001E6DFD">
              <w:rPr>
                <w:sz w:val="16"/>
                <w:szCs w:val="16"/>
              </w:rPr>
              <w:t xml:space="preserve">dont </w:t>
            </w:r>
            <w:r w:rsidR="007A2632" w:rsidRPr="001E6DFD">
              <w:rPr>
                <w:sz w:val="16"/>
                <w:szCs w:val="16"/>
              </w:rPr>
              <w:t xml:space="preserve">19 078 (+41,2%) </w:t>
            </w:r>
            <w:r w:rsidRPr="001E6DFD">
              <w:rPr>
                <w:sz w:val="16"/>
                <w:szCs w:val="16"/>
              </w:rPr>
              <w:t>en provenance de pays en développement</w:t>
            </w:r>
          </w:p>
          <w:p w14:paraId="329D769E" w14:textId="77777777" w:rsidR="007A2632" w:rsidRPr="001E6DFD" w:rsidRDefault="007A2632" w:rsidP="00094CEB">
            <w:pPr>
              <w:keepNext/>
              <w:keepLines/>
              <w:ind w:right="-45"/>
              <w:rPr>
                <w:sz w:val="16"/>
                <w:szCs w:val="16"/>
              </w:rPr>
            </w:pPr>
          </w:p>
          <w:p w14:paraId="5DDC62FD" w14:textId="1FC1F560" w:rsidR="00BA5EA9" w:rsidRPr="001E6DFD" w:rsidRDefault="0028746D" w:rsidP="00094CEB">
            <w:pPr>
              <w:keepNext/>
              <w:keepLines/>
              <w:rPr>
                <w:sz w:val="16"/>
                <w:szCs w:val="16"/>
              </w:rPr>
            </w:pPr>
            <w:r w:rsidRPr="001E6DFD">
              <w:rPr>
                <w:sz w:val="16"/>
                <w:szCs w:val="16"/>
              </w:rPr>
              <w:t>Normes de l</w:t>
            </w:r>
            <w:r w:rsidR="00FA22F6" w:rsidRPr="001E6DFD">
              <w:rPr>
                <w:sz w:val="16"/>
                <w:szCs w:val="16"/>
              </w:rPr>
              <w:t>’</w:t>
            </w:r>
            <w:r w:rsidRPr="001E6DFD">
              <w:rPr>
                <w:sz w:val="16"/>
                <w:szCs w:val="16"/>
              </w:rPr>
              <w:t>OMPI (Manuel)</w:t>
            </w:r>
            <w:r w:rsidR="00FA22F6" w:rsidRPr="001E6DFD">
              <w:rPr>
                <w:sz w:val="16"/>
                <w:szCs w:val="16"/>
              </w:rPr>
              <w:t> :</w:t>
            </w:r>
            <w:r w:rsidR="007A2632" w:rsidRPr="001E6DFD">
              <w:rPr>
                <w:sz w:val="16"/>
                <w:szCs w:val="16"/>
              </w:rPr>
              <w:br/>
              <w:t xml:space="preserve">70 115 </w:t>
            </w:r>
            <w:r w:rsidRPr="001E6DFD">
              <w:rPr>
                <w:sz w:val="16"/>
                <w:szCs w:val="16"/>
              </w:rPr>
              <w:t xml:space="preserve">consultations </w:t>
            </w:r>
            <w:r w:rsidR="007A2632" w:rsidRPr="001E6DFD">
              <w:rPr>
                <w:sz w:val="16"/>
                <w:szCs w:val="16"/>
              </w:rPr>
              <w:t xml:space="preserve">(+1,2%) </w:t>
            </w:r>
            <w:r w:rsidRPr="001E6DFD">
              <w:rPr>
                <w:sz w:val="16"/>
                <w:szCs w:val="16"/>
              </w:rPr>
              <w:t xml:space="preserve">dont </w:t>
            </w:r>
            <w:r w:rsidR="007A2632" w:rsidRPr="001E6DFD">
              <w:rPr>
                <w:sz w:val="16"/>
                <w:szCs w:val="16"/>
              </w:rPr>
              <w:t xml:space="preserve">28 467 (+22,3%) </w:t>
            </w:r>
            <w:r w:rsidRPr="001E6DFD">
              <w:rPr>
                <w:sz w:val="16"/>
                <w:szCs w:val="16"/>
              </w:rPr>
              <w:t>en provenance de pays en développement</w:t>
            </w:r>
          </w:p>
        </w:tc>
        <w:tc>
          <w:tcPr>
            <w:tcW w:w="504" w:type="pct"/>
            <w:shd w:val="clear" w:color="auto" w:fill="auto"/>
            <w:tcMar>
              <w:top w:w="110" w:type="dxa"/>
              <w:left w:w="58" w:type="dxa"/>
              <w:right w:w="58" w:type="dxa"/>
            </w:tcMar>
          </w:tcPr>
          <w:p w14:paraId="6ACE6AB6" w14:textId="77777777" w:rsidR="001F64B1" w:rsidRPr="001E6DFD" w:rsidRDefault="001F64B1" w:rsidP="00094CEB">
            <w:pPr>
              <w:keepNext/>
              <w:keepLines/>
              <w:ind w:right="1"/>
              <w:jc w:val="center"/>
              <w:rPr>
                <w:b/>
                <w:sz w:val="16"/>
                <w:szCs w:val="16"/>
              </w:rPr>
            </w:pPr>
          </w:p>
          <w:p w14:paraId="0BE0AA0D" w14:textId="77777777" w:rsidR="001F64B1" w:rsidRPr="001E6DFD" w:rsidRDefault="00505EF6" w:rsidP="00094CEB">
            <w:pPr>
              <w:keepNext/>
              <w:keepLines/>
              <w:ind w:right="1"/>
              <w:jc w:val="center"/>
              <w:rPr>
                <w:b/>
                <w:sz w:val="16"/>
                <w:szCs w:val="16"/>
              </w:rPr>
            </w:pPr>
            <w:r w:rsidRPr="001E6DFD">
              <w:rPr>
                <w:b/>
                <w:color w:val="FF0000"/>
                <w:sz w:val="16"/>
                <w:szCs w:val="16"/>
              </w:rPr>
              <w:t>Pas en bonne voie</w:t>
            </w:r>
          </w:p>
          <w:p w14:paraId="44E877C9" w14:textId="77777777" w:rsidR="001F64B1" w:rsidRPr="001E6DFD" w:rsidRDefault="001F64B1" w:rsidP="00094CEB">
            <w:pPr>
              <w:keepNext/>
              <w:keepLines/>
              <w:ind w:right="1"/>
              <w:jc w:val="center"/>
              <w:rPr>
                <w:b/>
                <w:sz w:val="16"/>
                <w:szCs w:val="16"/>
              </w:rPr>
            </w:pPr>
          </w:p>
          <w:p w14:paraId="2548234D" w14:textId="77777777" w:rsidR="001F64B1" w:rsidRPr="001E6DFD" w:rsidRDefault="001F64B1" w:rsidP="00094CEB">
            <w:pPr>
              <w:keepNext/>
              <w:keepLines/>
              <w:ind w:right="1"/>
              <w:jc w:val="center"/>
              <w:rPr>
                <w:b/>
                <w:sz w:val="16"/>
                <w:szCs w:val="16"/>
              </w:rPr>
            </w:pPr>
          </w:p>
          <w:p w14:paraId="5B7F0D2C" w14:textId="77777777" w:rsidR="001F64B1" w:rsidRPr="001E6DFD" w:rsidRDefault="001F64B1" w:rsidP="00094CEB">
            <w:pPr>
              <w:keepNext/>
              <w:keepLines/>
              <w:ind w:right="1"/>
              <w:jc w:val="center"/>
              <w:rPr>
                <w:b/>
                <w:sz w:val="16"/>
                <w:szCs w:val="16"/>
              </w:rPr>
            </w:pPr>
          </w:p>
          <w:p w14:paraId="342946C6" w14:textId="77777777" w:rsidR="001F64B1" w:rsidRPr="001E6DFD" w:rsidRDefault="00505EF6" w:rsidP="00094CEB">
            <w:pPr>
              <w:keepNext/>
              <w:keepLines/>
              <w:ind w:right="1"/>
              <w:jc w:val="center"/>
              <w:rPr>
                <w:b/>
                <w:sz w:val="16"/>
                <w:szCs w:val="16"/>
              </w:rPr>
            </w:pPr>
            <w:r w:rsidRPr="001E6DFD">
              <w:rPr>
                <w:b/>
                <w:color w:val="FF0000"/>
                <w:sz w:val="16"/>
                <w:szCs w:val="16"/>
              </w:rPr>
              <w:t>Pas en bonne voie</w:t>
            </w:r>
          </w:p>
          <w:p w14:paraId="2E8CE216" w14:textId="77777777" w:rsidR="001F64B1" w:rsidRPr="001E6DFD" w:rsidRDefault="001F64B1" w:rsidP="00094CEB">
            <w:pPr>
              <w:keepNext/>
              <w:keepLines/>
              <w:ind w:right="1"/>
              <w:jc w:val="center"/>
              <w:rPr>
                <w:b/>
                <w:sz w:val="16"/>
                <w:szCs w:val="16"/>
              </w:rPr>
            </w:pPr>
          </w:p>
          <w:p w14:paraId="6DCA3CC2" w14:textId="77777777" w:rsidR="001F64B1" w:rsidRPr="001E6DFD" w:rsidRDefault="001F64B1" w:rsidP="00094CEB">
            <w:pPr>
              <w:keepNext/>
              <w:keepLines/>
              <w:ind w:right="1"/>
              <w:jc w:val="center"/>
              <w:rPr>
                <w:b/>
                <w:sz w:val="16"/>
                <w:szCs w:val="16"/>
              </w:rPr>
            </w:pPr>
          </w:p>
          <w:p w14:paraId="0289C55B" w14:textId="77777777" w:rsidR="001F64B1" w:rsidRPr="001E6DFD" w:rsidRDefault="001F64B1" w:rsidP="00094CEB">
            <w:pPr>
              <w:keepNext/>
              <w:keepLines/>
              <w:ind w:right="1"/>
              <w:jc w:val="center"/>
              <w:rPr>
                <w:b/>
                <w:sz w:val="16"/>
                <w:szCs w:val="16"/>
              </w:rPr>
            </w:pPr>
          </w:p>
          <w:p w14:paraId="03EE6BE4" w14:textId="77777777" w:rsidR="006A41CF" w:rsidRPr="001E6DFD" w:rsidRDefault="006A41CF" w:rsidP="00094CEB">
            <w:pPr>
              <w:keepNext/>
              <w:keepLines/>
              <w:ind w:right="1"/>
              <w:jc w:val="center"/>
              <w:rPr>
                <w:b/>
                <w:sz w:val="16"/>
                <w:szCs w:val="16"/>
              </w:rPr>
            </w:pPr>
          </w:p>
          <w:p w14:paraId="7A64F6AB" w14:textId="77777777" w:rsidR="001F64B1" w:rsidRPr="001E6DFD" w:rsidRDefault="00505EF6" w:rsidP="00094CEB">
            <w:pPr>
              <w:keepNext/>
              <w:keepLines/>
              <w:ind w:right="1"/>
              <w:jc w:val="center"/>
              <w:rPr>
                <w:b/>
                <w:sz w:val="16"/>
                <w:szCs w:val="16"/>
              </w:rPr>
            </w:pPr>
            <w:r w:rsidRPr="001E6DFD">
              <w:rPr>
                <w:b/>
                <w:color w:val="FF0000"/>
                <w:sz w:val="16"/>
                <w:szCs w:val="16"/>
              </w:rPr>
              <w:t>Pas en bonne voie</w:t>
            </w:r>
          </w:p>
          <w:p w14:paraId="0E57EA53" w14:textId="77777777" w:rsidR="001F64B1" w:rsidRPr="001E6DFD" w:rsidRDefault="001F64B1" w:rsidP="00094CEB">
            <w:pPr>
              <w:keepNext/>
              <w:keepLines/>
              <w:ind w:right="1"/>
              <w:jc w:val="center"/>
              <w:rPr>
                <w:b/>
                <w:sz w:val="16"/>
                <w:szCs w:val="16"/>
              </w:rPr>
            </w:pPr>
          </w:p>
          <w:p w14:paraId="5DC5216E" w14:textId="77777777" w:rsidR="001F64B1" w:rsidRPr="001E6DFD" w:rsidRDefault="001F64B1" w:rsidP="00094CEB">
            <w:pPr>
              <w:keepNext/>
              <w:keepLines/>
              <w:ind w:right="1"/>
              <w:jc w:val="center"/>
              <w:rPr>
                <w:b/>
                <w:sz w:val="16"/>
                <w:szCs w:val="16"/>
              </w:rPr>
            </w:pPr>
          </w:p>
          <w:p w14:paraId="6EA06A66" w14:textId="77777777" w:rsidR="001F64B1" w:rsidRPr="001E6DFD" w:rsidRDefault="001F64B1" w:rsidP="00094CEB">
            <w:pPr>
              <w:keepNext/>
              <w:keepLines/>
              <w:ind w:right="1"/>
              <w:jc w:val="center"/>
              <w:rPr>
                <w:b/>
                <w:sz w:val="16"/>
                <w:szCs w:val="16"/>
              </w:rPr>
            </w:pPr>
          </w:p>
          <w:p w14:paraId="6CADB3DC" w14:textId="77777777" w:rsidR="006A41CF" w:rsidRPr="001E6DFD" w:rsidRDefault="006A41CF" w:rsidP="00094CEB">
            <w:pPr>
              <w:keepNext/>
              <w:keepLines/>
              <w:ind w:right="1"/>
              <w:jc w:val="center"/>
              <w:rPr>
                <w:b/>
                <w:sz w:val="16"/>
                <w:szCs w:val="16"/>
              </w:rPr>
            </w:pPr>
          </w:p>
          <w:p w14:paraId="1B1ECB69" w14:textId="77777777" w:rsidR="001F64B1" w:rsidRPr="001E6DFD" w:rsidRDefault="00A43B2F" w:rsidP="00094CEB">
            <w:pPr>
              <w:keepNext/>
              <w:keepLines/>
              <w:ind w:right="1"/>
              <w:jc w:val="center"/>
              <w:rPr>
                <w:b/>
                <w:sz w:val="16"/>
                <w:szCs w:val="16"/>
              </w:rPr>
            </w:pPr>
            <w:r w:rsidRPr="001E6DFD">
              <w:rPr>
                <w:b/>
                <w:color w:val="00B050"/>
                <w:sz w:val="16"/>
                <w:szCs w:val="16"/>
              </w:rPr>
              <w:t>En bonne voie</w:t>
            </w:r>
          </w:p>
          <w:p w14:paraId="076E3478" w14:textId="77777777" w:rsidR="001F64B1" w:rsidRPr="001E6DFD" w:rsidRDefault="001F64B1" w:rsidP="00094CEB">
            <w:pPr>
              <w:keepNext/>
              <w:keepLines/>
              <w:ind w:right="1"/>
              <w:jc w:val="center"/>
              <w:rPr>
                <w:b/>
                <w:sz w:val="16"/>
                <w:szCs w:val="16"/>
              </w:rPr>
            </w:pPr>
          </w:p>
          <w:p w14:paraId="29DF9159" w14:textId="77777777" w:rsidR="001F64B1" w:rsidRPr="001E6DFD" w:rsidRDefault="001F64B1" w:rsidP="00094CEB">
            <w:pPr>
              <w:keepNext/>
              <w:keepLines/>
              <w:ind w:right="1"/>
              <w:jc w:val="center"/>
              <w:rPr>
                <w:b/>
                <w:sz w:val="16"/>
                <w:szCs w:val="16"/>
              </w:rPr>
            </w:pPr>
          </w:p>
          <w:p w14:paraId="00D7CE31" w14:textId="77777777" w:rsidR="001F64B1" w:rsidRPr="001E6DFD" w:rsidRDefault="001F64B1" w:rsidP="00094CEB">
            <w:pPr>
              <w:keepNext/>
              <w:keepLines/>
              <w:ind w:right="1"/>
              <w:jc w:val="center"/>
              <w:rPr>
                <w:b/>
                <w:sz w:val="16"/>
                <w:szCs w:val="16"/>
              </w:rPr>
            </w:pPr>
          </w:p>
          <w:p w14:paraId="720DCC85" w14:textId="77777777" w:rsidR="001F64B1" w:rsidRPr="001E6DFD" w:rsidRDefault="001F64B1" w:rsidP="00094CEB">
            <w:pPr>
              <w:keepNext/>
              <w:keepLines/>
              <w:ind w:right="1"/>
              <w:jc w:val="center"/>
              <w:rPr>
                <w:b/>
                <w:sz w:val="16"/>
                <w:szCs w:val="16"/>
              </w:rPr>
            </w:pPr>
          </w:p>
          <w:p w14:paraId="5ED9FB4D" w14:textId="77777777" w:rsidR="006A41CF" w:rsidRPr="001E6DFD" w:rsidRDefault="006A41CF" w:rsidP="00094CEB">
            <w:pPr>
              <w:keepNext/>
              <w:keepLines/>
              <w:ind w:right="1"/>
              <w:jc w:val="center"/>
              <w:rPr>
                <w:b/>
                <w:sz w:val="16"/>
                <w:szCs w:val="16"/>
              </w:rPr>
            </w:pPr>
          </w:p>
          <w:p w14:paraId="166BF64B" w14:textId="77777777" w:rsidR="001F64B1" w:rsidRPr="001E6DFD" w:rsidRDefault="00505EF6" w:rsidP="00094CEB">
            <w:pPr>
              <w:keepNext/>
              <w:keepLines/>
              <w:ind w:right="1"/>
              <w:jc w:val="center"/>
              <w:rPr>
                <w:b/>
                <w:sz w:val="16"/>
                <w:szCs w:val="16"/>
              </w:rPr>
            </w:pPr>
            <w:r w:rsidRPr="001E6DFD">
              <w:rPr>
                <w:b/>
                <w:color w:val="FF0000"/>
                <w:sz w:val="16"/>
                <w:szCs w:val="16"/>
              </w:rPr>
              <w:t>Pas en bonne voie</w:t>
            </w:r>
          </w:p>
          <w:p w14:paraId="46D45085" w14:textId="77777777" w:rsidR="001F64B1" w:rsidRPr="001E6DFD" w:rsidRDefault="001F64B1" w:rsidP="00094CEB">
            <w:pPr>
              <w:keepNext/>
              <w:keepLines/>
              <w:ind w:right="1"/>
              <w:jc w:val="center"/>
              <w:rPr>
                <w:b/>
                <w:sz w:val="16"/>
                <w:szCs w:val="16"/>
              </w:rPr>
            </w:pPr>
          </w:p>
          <w:p w14:paraId="5A21DDC6" w14:textId="77777777" w:rsidR="001F64B1" w:rsidRPr="001E6DFD" w:rsidRDefault="001F64B1" w:rsidP="00094CEB">
            <w:pPr>
              <w:keepNext/>
              <w:keepLines/>
              <w:ind w:right="1"/>
              <w:jc w:val="center"/>
              <w:rPr>
                <w:b/>
                <w:sz w:val="16"/>
                <w:szCs w:val="16"/>
              </w:rPr>
            </w:pPr>
          </w:p>
          <w:p w14:paraId="6045DE81" w14:textId="77777777" w:rsidR="001F64B1" w:rsidRPr="001E6DFD" w:rsidRDefault="001F64B1" w:rsidP="00094CEB">
            <w:pPr>
              <w:keepNext/>
              <w:keepLines/>
              <w:ind w:right="1"/>
              <w:jc w:val="center"/>
              <w:rPr>
                <w:b/>
                <w:sz w:val="16"/>
                <w:szCs w:val="16"/>
              </w:rPr>
            </w:pPr>
          </w:p>
          <w:p w14:paraId="41316493" w14:textId="77777777" w:rsidR="006A41CF" w:rsidRPr="001E6DFD" w:rsidRDefault="006A41CF" w:rsidP="00094CEB">
            <w:pPr>
              <w:keepNext/>
              <w:keepLines/>
              <w:ind w:right="1"/>
              <w:jc w:val="center"/>
              <w:rPr>
                <w:b/>
                <w:sz w:val="16"/>
                <w:szCs w:val="16"/>
              </w:rPr>
            </w:pPr>
          </w:p>
          <w:p w14:paraId="7375D214" w14:textId="77777777" w:rsidR="001F64B1" w:rsidRPr="001E6DFD" w:rsidRDefault="00A43B2F" w:rsidP="00094CEB">
            <w:pPr>
              <w:keepNext/>
              <w:keepLines/>
              <w:ind w:right="1"/>
              <w:jc w:val="center"/>
              <w:rPr>
                <w:b/>
                <w:sz w:val="16"/>
                <w:szCs w:val="16"/>
              </w:rPr>
            </w:pPr>
            <w:r w:rsidRPr="001E6DFD">
              <w:rPr>
                <w:b/>
                <w:color w:val="00B050"/>
                <w:sz w:val="16"/>
                <w:szCs w:val="16"/>
              </w:rPr>
              <w:t>En bonne voie</w:t>
            </w:r>
          </w:p>
          <w:p w14:paraId="0A093398" w14:textId="77777777" w:rsidR="001F64B1" w:rsidRPr="001E6DFD" w:rsidRDefault="001F64B1" w:rsidP="00094CEB">
            <w:pPr>
              <w:keepNext/>
              <w:keepLines/>
              <w:ind w:right="1"/>
              <w:jc w:val="center"/>
              <w:rPr>
                <w:b/>
                <w:sz w:val="16"/>
                <w:szCs w:val="16"/>
              </w:rPr>
            </w:pPr>
          </w:p>
          <w:p w14:paraId="1E0CF81B" w14:textId="77777777" w:rsidR="001F64B1" w:rsidRPr="001E6DFD" w:rsidRDefault="001F64B1" w:rsidP="00094CEB">
            <w:pPr>
              <w:keepNext/>
              <w:keepLines/>
              <w:ind w:right="1"/>
              <w:jc w:val="center"/>
              <w:rPr>
                <w:b/>
                <w:sz w:val="16"/>
                <w:szCs w:val="16"/>
              </w:rPr>
            </w:pPr>
          </w:p>
          <w:p w14:paraId="22E459A1" w14:textId="77777777" w:rsidR="001F64B1" w:rsidRPr="001E6DFD" w:rsidRDefault="001F64B1" w:rsidP="00094CEB">
            <w:pPr>
              <w:keepNext/>
              <w:keepLines/>
              <w:ind w:right="1"/>
              <w:jc w:val="center"/>
              <w:rPr>
                <w:b/>
                <w:sz w:val="16"/>
                <w:szCs w:val="16"/>
              </w:rPr>
            </w:pPr>
          </w:p>
          <w:p w14:paraId="53787FA8" w14:textId="1EEC3CE3" w:rsidR="00BA5EA9" w:rsidRPr="001E6DFD" w:rsidRDefault="00505EF6" w:rsidP="00094CEB">
            <w:pPr>
              <w:keepNext/>
              <w:keepLines/>
              <w:ind w:right="1"/>
              <w:jc w:val="center"/>
              <w:rPr>
                <w:sz w:val="16"/>
                <w:szCs w:val="16"/>
              </w:rPr>
            </w:pPr>
            <w:r w:rsidRPr="001E6DFD">
              <w:rPr>
                <w:b/>
                <w:color w:val="FF0000"/>
                <w:sz w:val="16"/>
                <w:szCs w:val="16"/>
              </w:rPr>
              <w:t>Pas en bonne voie</w:t>
            </w:r>
          </w:p>
        </w:tc>
      </w:tr>
    </w:tbl>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tblGrid>
      <w:tr w:rsidR="00BA5EA9" w:rsidRPr="001E6DFD" w14:paraId="1ACE5BE5" w14:textId="77777777" w:rsidTr="002307FD">
        <w:trPr>
          <w:trHeight w:val="423"/>
        </w:trPr>
        <w:tc>
          <w:tcPr>
            <w:tcW w:w="9072" w:type="dxa"/>
            <w:shd w:val="clear" w:color="auto" w:fill="C6D9F1" w:themeFill="text2" w:themeFillTint="33"/>
            <w:vAlign w:val="center"/>
          </w:tcPr>
          <w:p w14:paraId="0C7C6228" w14:textId="3845A42E" w:rsidR="00BA5EA9" w:rsidRPr="001E6DFD" w:rsidRDefault="00BA5EA9" w:rsidP="0097226C">
            <w:pPr>
              <w:keepNext/>
              <w:keepLines/>
              <w:jc w:val="center"/>
              <w:rPr>
                <w:b/>
                <w:sz w:val="20"/>
              </w:rPr>
            </w:pPr>
            <w:r w:rsidRPr="001E6DFD">
              <w:rPr>
                <w:sz w:val="20"/>
              </w:rPr>
              <w:lastRenderedPageBreak/>
              <w:br w:type="page"/>
            </w:r>
            <w:r w:rsidR="002F00FF" w:rsidRPr="001E6DFD">
              <w:rPr>
                <w:b/>
                <w:sz w:val="20"/>
              </w:rPr>
              <w:t>Utilisation des ressources au titre du programme</w:t>
            </w:r>
            <w:r w:rsidR="00B4191E">
              <w:rPr>
                <w:b/>
                <w:sz w:val="20"/>
              </w:rPr>
              <w:t> </w:t>
            </w:r>
            <w:r w:rsidRPr="001E6DFD">
              <w:rPr>
                <w:b/>
                <w:sz w:val="20"/>
              </w:rPr>
              <w:t>12</w:t>
            </w:r>
          </w:p>
        </w:tc>
      </w:tr>
    </w:tbl>
    <w:p w14:paraId="79A81EFA" w14:textId="77777777" w:rsidR="001F64B1" w:rsidRPr="001E6DFD" w:rsidRDefault="001F64B1" w:rsidP="0097226C">
      <w:pPr>
        <w:keepNext/>
        <w:keepLines/>
        <w:rPr>
          <w:sz w:val="20"/>
        </w:rPr>
      </w:pPr>
    </w:p>
    <w:p w14:paraId="41B96544" w14:textId="77777777" w:rsidR="001F64B1" w:rsidRPr="001E6DFD" w:rsidRDefault="00C8218F" w:rsidP="0097226C">
      <w:pPr>
        <w:keepNext/>
        <w:keepLines/>
        <w:jc w:val="center"/>
        <w:rPr>
          <w:sz w:val="18"/>
          <w:szCs w:val="18"/>
        </w:rPr>
      </w:pPr>
      <w:r w:rsidRPr="001E6DFD">
        <w:rPr>
          <w:sz w:val="18"/>
          <w:szCs w:val="18"/>
        </w:rPr>
        <w:t>Budget et dépenses effectives (par résultat)</w:t>
      </w:r>
    </w:p>
    <w:p w14:paraId="006EB2B4" w14:textId="77777777" w:rsidR="001F64B1" w:rsidRPr="001E6DFD" w:rsidRDefault="00C8218F" w:rsidP="0097226C">
      <w:pPr>
        <w:keepNext/>
        <w:keepLines/>
        <w:jc w:val="center"/>
        <w:rPr>
          <w:i/>
          <w:iCs/>
          <w:sz w:val="16"/>
          <w:szCs w:val="16"/>
        </w:rPr>
      </w:pPr>
      <w:r w:rsidRPr="001E6DFD">
        <w:rPr>
          <w:i/>
          <w:iCs/>
          <w:sz w:val="16"/>
          <w:szCs w:val="16"/>
        </w:rPr>
        <w:t>(en milliers de francs suisses)</w:t>
      </w:r>
    </w:p>
    <w:p w14:paraId="31CA646E" w14:textId="77777777" w:rsidR="00BA5EA9" w:rsidRPr="001E6DFD" w:rsidRDefault="00BA5EA9" w:rsidP="0097226C">
      <w:pPr>
        <w:keepNext/>
        <w:keepLines/>
        <w:rPr>
          <w:sz w:val="20"/>
        </w:rPr>
      </w:pPr>
    </w:p>
    <w:tbl>
      <w:tblPr>
        <w:tblW w:w="4300" w:type="pct"/>
        <w:jc w:val="center"/>
        <w:tblCellMar>
          <w:top w:w="57" w:type="dxa"/>
          <w:bottom w:w="57" w:type="dxa"/>
        </w:tblCellMar>
        <w:tblLook w:val="04A0" w:firstRow="1" w:lastRow="0" w:firstColumn="1" w:lastColumn="0" w:noHBand="0" w:noVBand="1"/>
      </w:tblPr>
      <w:tblGrid>
        <w:gridCol w:w="500"/>
        <w:gridCol w:w="4221"/>
        <w:gridCol w:w="1569"/>
        <w:gridCol w:w="1569"/>
        <w:gridCol w:w="1428"/>
      </w:tblGrid>
      <w:tr w:rsidR="00BA5EA9" w:rsidRPr="001E6DFD" w14:paraId="29C998C6" w14:textId="77777777" w:rsidTr="00A055E7">
        <w:trPr>
          <w:jc w:val="center"/>
        </w:trPr>
        <w:tc>
          <w:tcPr>
            <w:tcW w:w="4746" w:type="dxa"/>
            <w:gridSpan w:val="2"/>
            <w:tcBorders>
              <w:top w:val="nil"/>
              <w:left w:val="nil"/>
              <w:bottom w:val="nil"/>
              <w:right w:val="nil"/>
            </w:tcBorders>
            <w:shd w:val="clear" w:color="000000" w:fill="C5D9F1"/>
            <w:noWrap/>
            <w:vAlign w:val="center"/>
            <w:hideMark/>
          </w:tcPr>
          <w:p w14:paraId="3C7B9CEA" w14:textId="77777777" w:rsidR="00BA5EA9" w:rsidRPr="001E6DFD" w:rsidRDefault="00C8218F" w:rsidP="0097226C">
            <w:pPr>
              <w:keepNext/>
              <w:keepLines/>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53" w:type="dxa"/>
            <w:tcBorders>
              <w:top w:val="nil"/>
              <w:left w:val="nil"/>
              <w:bottom w:val="nil"/>
              <w:right w:val="nil"/>
            </w:tcBorders>
            <w:shd w:val="clear" w:color="000000" w:fill="C5D9F1"/>
            <w:vAlign w:val="center"/>
            <w:hideMark/>
          </w:tcPr>
          <w:p w14:paraId="6D3F90E3" w14:textId="52F64BE5" w:rsidR="00BA5EA9" w:rsidRPr="001E6DFD" w:rsidRDefault="002A49FC" w:rsidP="0097226C">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52" w:type="dxa"/>
            <w:tcBorders>
              <w:top w:val="nil"/>
              <w:left w:val="nil"/>
              <w:bottom w:val="nil"/>
              <w:right w:val="nil"/>
            </w:tcBorders>
            <w:shd w:val="clear" w:color="000000" w:fill="C5D9F1"/>
            <w:vAlign w:val="center"/>
            <w:hideMark/>
          </w:tcPr>
          <w:p w14:paraId="3AA64EC0" w14:textId="6BE7A8D5" w:rsidR="00BA5EA9" w:rsidRPr="001E6DFD" w:rsidRDefault="002A49FC" w:rsidP="0097226C">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71" w:type="dxa"/>
            <w:tcBorders>
              <w:top w:val="nil"/>
              <w:left w:val="nil"/>
              <w:bottom w:val="nil"/>
              <w:right w:val="nil"/>
            </w:tcBorders>
            <w:shd w:val="clear" w:color="000000" w:fill="C5D9F1"/>
            <w:vAlign w:val="center"/>
            <w:hideMark/>
          </w:tcPr>
          <w:p w14:paraId="1927E003" w14:textId="391F9C78" w:rsidR="00BA5EA9" w:rsidRPr="001E6DFD" w:rsidRDefault="002A49FC" w:rsidP="0097226C">
            <w:pPr>
              <w:keepNext/>
              <w:keepLines/>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47E421AE" w14:textId="77777777" w:rsidTr="00A055E7">
        <w:trPr>
          <w:jc w:val="center"/>
        </w:trPr>
        <w:tc>
          <w:tcPr>
            <w:tcW w:w="502" w:type="dxa"/>
            <w:tcBorders>
              <w:top w:val="nil"/>
              <w:left w:val="nil"/>
              <w:bottom w:val="nil"/>
              <w:right w:val="nil"/>
            </w:tcBorders>
            <w:shd w:val="clear" w:color="auto" w:fill="auto"/>
            <w:noWrap/>
            <w:vAlign w:val="center"/>
            <w:hideMark/>
          </w:tcPr>
          <w:p w14:paraId="35F6BAEC" w14:textId="77777777" w:rsidR="00BA5EA9" w:rsidRPr="001E6DFD" w:rsidRDefault="00BA5EA9" w:rsidP="0097226C">
            <w:pPr>
              <w:keepNext/>
              <w:keepLines/>
              <w:rPr>
                <w:sz w:val="16"/>
                <w:szCs w:val="16"/>
              </w:rPr>
            </w:pPr>
            <w:r w:rsidRPr="001E6DFD">
              <w:rPr>
                <w:sz w:val="16"/>
                <w:szCs w:val="16"/>
              </w:rPr>
              <w:t>IV.1</w:t>
            </w:r>
          </w:p>
        </w:tc>
        <w:tc>
          <w:tcPr>
            <w:tcW w:w="4244" w:type="dxa"/>
            <w:tcBorders>
              <w:top w:val="nil"/>
              <w:left w:val="nil"/>
              <w:bottom w:val="nil"/>
              <w:right w:val="nil"/>
            </w:tcBorders>
            <w:shd w:val="clear" w:color="auto" w:fill="auto"/>
            <w:vAlign w:val="center"/>
            <w:hideMark/>
          </w:tcPr>
          <w:p w14:paraId="556DC527" w14:textId="45AFFAE5" w:rsidR="00BA5EA9" w:rsidRPr="001E6DFD" w:rsidRDefault="00C8218F" w:rsidP="0097226C">
            <w:pPr>
              <w:keepNext/>
              <w:keepLines/>
              <w:rPr>
                <w:sz w:val="16"/>
                <w:szCs w:val="16"/>
              </w:rPr>
            </w:pPr>
            <w:r w:rsidRPr="001E6DFD">
              <w:rPr>
                <w:sz w:val="16"/>
                <w:szCs w:val="16"/>
              </w:rPr>
              <w:t>Système actualisé et mondialement accepté des classifications internationales et des normes de l</w:t>
            </w:r>
            <w:r w:rsidR="00FA22F6" w:rsidRPr="001E6DFD">
              <w:rPr>
                <w:sz w:val="16"/>
                <w:szCs w:val="16"/>
              </w:rPr>
              <w:t>’</w:t>
            </w:r>
            <w:r w:rsidRPr="001E6DFD">
              <w:rPr>
                <w:sz w:val="16"/>
                <w:szCs w:val="16"/>
              </w:rPr>
              <w:t>OMPI pour faciliter l</w:t>
            </w:r>
            <w:r w:rsidR="00FA22F6" w:rsidRPr="001E6DFD">
              <w:rPr>
                <w:sz w:val="16"/>
                <w:szCs w:val="16"/>
              </w:rPr>
              <w:t>’</w:t>
            </w:r>
            <w:r w:rsidRPr="001E6DFD">
              <w:rPr>
                <w:sz w:val="16"/>
                <w:szCs w:val="16"/>
              </w:rPr>
              <w:t>accès des parties prenantes dans le monde à l</w:t>
            </w:r>
            <w:r w:rsidR="00FA22F6" w:rsidRPr="001E6DFD">
              <w:rPr>
                <w:sz w:val="16"/>
                <w:szCs w:val="16"/>
              </w:rPr>
              <w:t>’</w:t>
            </w:r>
            <w:r w:rsidRPr="001E6DFD">
              <w:rPr>
                <w:sz w:val="16"/>
                <w:szCs w:val="16"/>
              </w:rPr>
              <w:t>information en matière de propriété intellectuelle, ainsi que l</w:t>
            </w:r>
            <w:r w:rsidR="00FA22F6" w:rsidRPr="001E6DFD">
              <w:rPr>
                <w:sz w:val="16"/>
                <w:szCs w:val="16"/>
              </w:rPr>
              <w:t>’</w:t>
            </w:r>
            <w:r w:rsidRPr="001E6DFD">
              <w:rPr>
                <w:sz w:val="16"/>
                <w:szCs w:val="16"/>
              </w:rPr>
              <w:t>utilisation et la diffusion de celle</w:t>
            </w:r>
            <w:r w:rsidR="006A41CF" w:rsidRPr="001E6DFD">
              <w:rPr>
                <w:sz w:val="16"/>
                <w:szCs w:val="16"/>
              </w:rPr>
              <w:noBreakHyphen/>
            </w:r>
            <w:r w:rsidRPr="001E6DFD">
              <w:rPr>
                <w:sz w:val="16"/>
                <w:szCs w:val="16"/>
              </w:rPr>
              <w:t>ci</w:t>
            </w:r>
          </w:p>
        </w:tc>
        <w:tc>
          <w:tcPr>
            <w:tcW w:w="1153" w:type="dxa"/>
            <w:tcBorders>
              <w:top w:val="nil"/>
              <w:left w:val="nil"/>
              <w:bottom w:val="nil"/>
              <w:right w:val="nil"/>
            </w:tcBorders>
            <w:shd w:val="clear" w:color="auto" w:fill="auto"/>
            <w:noWrap/>
            <w:vAlign w:val="center"/>
            <w:hideMark/>
          </w:tcPr>
          <w:p w14:paraId="6F3145B4" w14:textId="77777777" w:rsidR="00BA5EA9" w:rsidRPr="001E6DFD" w:rsidRDefault="00282CF5" w:rsidP="0097226C">
            <w:pPr>
              <w:keepNext/>
              <w:keepLines/>
              <w:jc w:val="center"/>
              <w:rPr>
                <w:sz w:val="16"/>
                <w:szCs w:val="16"/>
              </w:rPr>
            </w:pPr>
            <w:r w:rsidRPr="001E6DFD">
              <w:rPr>
                <w:sz w:val="16"/>
                <w:szCs w:val="16"/>
              </w:rPr>
              <w:t>7 070</w:t>
            </w:r>
          </w:p>
        </w:tc>
        <w:tc>
          <w:tcPr>
            <w:tcW w:w="1152" w:type="dxa"/>
            <w:tcBorders>
              <w:top w:val="nil"/>
              <w:left w:val="nil"/>
              <w:bottom w:val="nil"/>
              <w:right w:val="nil"/>
            </w:tcBorders>
            <w:shd w:val="clear" w:color="auto" w:fill="auto"/>
            <w:noWrap/>
            <w:vAlign w:val="center"/>
            <w:hideMark/>
          </w:tcPr>
          <w:p w14:paraId="504BF0BE" w14:textId="77777777" w:rsidR="00BA5EA9" w:rsidRPr="001E6DFD" w:rsidRDefault="00282CF5" w:rsidP="0097226C">
            <w:pPr>
              <w:keepNext/>
              <w:keepLines/>
              <w:jc w:val="center"/>
              <w:rPr>
                <w:sz w:val="16"/>
                <w:szCs w:val="16"/>
              </w:rPr>
            </w:pPr>
            <w:r w:rsidRPr="001E6DFD">
              <w:rPr>
                <w:sz w:val="16"/>
                <w:szCs w:val="16"/>
              </w:rPr>
              <w:t>7 250</w:t>
            </w:r>
          </w:p>
        </w:tc>
        <w:tc>
          <w:tcPr>
            <w:tcW w:w="1171" w:type="dxa"/>
            <w:tcBorders>
              <w:top w:val="nil"/>
              <w:left w:val="nil"/>
              <w:bottom w:val="nil"/>
              <w:right w:val="nil"/>
            </w:tcBorders>
            <w:shd w:val="clear" w:color="auto" w:fill="auto"/>
            <w:noWrap/>
            <w:vAlign w:val="center"/>
            <w:hideMark/>
          </w:tcPr>
          <w:p w14:paraId="0C5F87A9" w14:textId="77777777" w:rsidR="00BA5EA9" w:rsidRPr="001E6DFD" w:rsidRDefault="00282CF5" w:rsidP="0097226C">
            <w:pPr>
              <w:keepNext/>
              <w:keepLines/>
              <w:jc w:val="center"/>
              <w:rPr>
                <w:sz w:val="16"/>
                <w:szCs w:val="16"/>
              </w:rPr>
            </w:pPr>
            <w:r w:rsidRPr="001E6DFD">
              <w:rPr>
                <w:sz w:val="16"/>
                <w:szCs w:val="16"/>
              </w:rPr>
              <w:t>3 118</w:t>
            </w:r>
          </w:p>
        </w:tc>
      </w:tr>
      <w:tr w:rsidR="00BA5EA9" w:rsidRPr="001E6DFD" w14:paraId="6E93579C" w14:textId="77777777" w:rsidTr="00A055E7">
        <w:trPr>
          <w:jc w:val="center"/>
        </w:trPr>
        <w:tc>
          <w:tcPr>
            <w:tcW w:w="502" w:type="dxa"/>
            <w:tcBorders>
              <w:top w:val="nil"/>
              <w:left w:val="nil"/>
              <w:bottom w:val="nil"/>
              <w:right w:val="nil"/>
            </w:tcBorders>
            <w:shd w:val="clear" w:color="000000" w:fill="C5D9F1"/>
            <w:noWrap/>
            <w:vAlign w:val="bottom"/>
            <w:hideMark/>
          </w:tcPr>
          <w:p w14:paraId="15ECEE66" w14:textId="5FE95166" w:rsidR="00BA5EA9" w:rsidRPr="001E6DFD" w:rsidRDefault="00BA5EA9" w:rsidP="0097226C">
            <w:pPr>
              <w:keepNext/>
              <w:keepLines/>
              <w:rPr>
                <w:sz w:val="16"/>
                <w:szCs w:val="16"/>
              </w:rPr>
            </w:pPr>
          </w:p>
        </w:tc>
        <w:tc>
          <w:tcPr>
            <w:tcW w:w="4244" w:type="dxa"/>
            <w:tcBorders>
              <w:top w:val="nil"/>
              <w:left w:val="nil"/>
              <w:bottom w:val="nil"/>
              <w:right w:val="nil"/>
            </w:tcBorders>
            <w:shd w:val="clear" w:color="000000" w:fill="C5D9F1"/>
            <w:noWrap/>
            <w:vAlign w:val="bottom"/>
            <w:hideMark/>
          </w:tcPr>
          <w:p w14:paraId="3D827EE5" w14:textId="77777777" w:rsidR="00BA5EA9" w:rsidRPr="001E6DFD" w:rsidRDefault="00C8218F" w:rsidP="0097226C">
            <w:pPr>
              <w:keepNext/>
              <w:keepLines/>
              <w:jc w:val="right"/>
              <w:rPr>
                <w:b/>
                <w:bCs/>
                <w:sz w:val="16"/>
                <w:szCs w:val="16"/>
              </w:rPr>
            </w:pPr>
            <w:r w:rsidRPr="001E6DFD">
              <w:rPr>
                <w:b/>
                <w:bCs/>
                <w:sz w:val="16"/>
                <w:szCs w:val="16"/>
              </w:rPr>
              <w:t>Total</w:t>
            </w:r>
          </w:p>
        </w:tc>
        <w:tc>
          <w:tcPr>
            <w:tcW w:w="1153" w:type="dxa"/>
            <w:tcBorders>
              <w:top w:val="nil"/>
              <w:left w:val="nil"/>
              <w:bottom w:val="nil"/>
              <w:right w:val="nil"/>
            </w:tcBorders>
            <w:shd w:val="clear" w:color="000000" w:fill="C5D9F1"/>
            <w:noWrap/>
            <w:vAlign w:val="center"/>
            <w:hideMark/>
          </w:tcPr>
          <w:p w14:paraId="524AE7BD" w14:textId="77777777" w:rsidR="00BA5EA9" w:rsidRPr="001E6DFD" w:rsidRDefault="00282CF5" w:rsidP="0097226C">
            <w:pPr>
              <w:keepNext/>
              <w:keepLines/>
              <w:jc w:val="center"/>
              <w:rPr>
                <w:sz w:val="16"/>
                <w:szCs w:val="16"/>
              </w:rPr>
            </w:pPr>
            <w:r w:rsidRPr="001E6DFD">
              <w:rPr>
                <w:sz w:val="16"/>
                <w:szCs w:val="16"/>
              </w:rPr>
              <w:t>7 070</w:t>
            </w:r>
          </w:p>
        </w:tc>
        <w:tc>
          <w:tcPr>
            <w:tcW w:w="1152" w:type="dxa"/>
            <w:tcBorders>
              <w:top w:val="nil"/>
              <w:left w:val="nil"/>
              <w:bottom w:val="nil"/>
              <w:right w:val="nil"/>
            </w:tcBorders>
            <w:shd w:val="clear" w:color="000000" w:fill="C5D9F1"/>
            <w:noWrap/>
            <w:vAlign w:val="center"/>
            <w:hideMark/>
          </w:tcPr>
          <w:p w14:paraId="1EA9219E" w14:textId="77777777" w:rsidR="00BA5EA9" w:rsidRPr="001E6DFD" w:rsidRDefault="00282CF5" w:rsidP="0097226C">
            <w:pPr>
              <w:keepNext/>
              <w:keepLines/>
              <w:jc w:val="center"/>
              <w:rPr>
                <w:sz w:val="16"/>
                <w:szCs w:val="16"/>
              </w:rPr>
            </w:pPr>
            <w:r w:rsidRPr="001E6DFD">
              <w:rPr>
                <w:sz w:val="16"/>
                <w:szCs w:val="16"/>
              </w:rPr>
              <w:t>7 250</w:t>
            </w:r>
          </w:p>
        </w:tc>
        <w:tc>
          <w:tcPr>
            <w:tcW w:w="1171" w:type="dxa"/>
            <w:tcBorders>
              <w:top w:val="nil"/>
              <w:left w:val="nil"/>
              <w:bottom w:val="nil"/>
              <w:right w:val="nil"/>
            </w:tcBorders>
            <w:shd w:val="clear" w:color="000000" w:fill="C5D9F1"/>
            <w:noWrap/>
            <w:vAlign w:val="center"/>
            <w:hideMark/>
          </w:tcPr>
          <w:p w14:paraId="597B69B6" w14:textId="77777777" w:rsidR="00BA5EA9" w:rsidRPr="001E6DFD" w:rsidRDefault="00282CF5" w:rsidP="0097226C">
            <w:pPr>
              <w:keepNext/>
              <w:keepLines/>
              <w:jc w:val="center"/>
              <w:rPr>
                <w:sz w:val="16"/>
                <w:szCs w:val="16"/>
              </w:rPr>
            </w:pPr>
            <w:r w:rsidRPr="001E6DFD">
              <w:rPr>
                <w:sz w:val="16"/>
                <w:szCs w:val="16"/>
              </w:rPr>
              <w:t>3 118</w:t>
            </w:r>
          </w:p>
        </w:tc>
      </w:tr>
      <w:tr w:rsidR="007703CF" w:rsidRPr="001E6DFD" w14:paraId="5FA69116"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2594FC7A" w14:textId="0CA97A02" w:rsidR="007703CF" w:rsidRPr="001E6DFD" w:rsidRDefault="007703CF" w:rsidP="0097226C">
            <w:pPr>
              <w:keepNext/>
              <w:keepLines/>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1418DEBF" w14:textId="77777777" w:rsidR="001F64B1" w:rsidRPr="001E6DFD" w:rsidRDefault="001F64B1" w:rsidP="00A055E7">
      <w:pPr>
        <w:keepLines/>
        <w:jc w:val="center"/>
        <w:rPr>
          <w:sz w:val="20"/>
        </w:rPr>
      </w:pPr>
    </w:p>
    <w:p w14:paraId="06EA990A" w14:textId="77777777" w:rsidR="00FA22F6" w:rsidRPr="001E6DFD" w:rsidRDefault="00C8218F" w:rsidP="0097226C">
      <w:pPr>
        <w:keepNext/>
        <w:keepLines/>
        <w:jc w:val="center"/>
        <w:rPr>
          <w:sz w:val="18"/>
          <w:szCs w:val="18"/>
        </w:rPr>
      </w:pPr>
      <w:r w:rsidRPr="001E6DFD">
        <w:rPr>
          <w:sz w:val="18"/>
          <w:szCs w:val="18"/>
        </w:rPr>
        <w:t>Budget et dépenses effectives (dépenses de personnel et autres dépenses)</w:t>
      </w:r>
    </w:p>
    <w:p w14:paraId="64A01BBA" w14:textId="53B5F7A7" w:rsidR="001F64B1" w:rsidRPr="001E6DFD" w:rsidRDefault="00C8218F" w:rsidP="0097226C">
      <w:pPr>
        <w:keepNext/>
        <w:keepLines/>
        <w:jc w:val="center"/>
        <w:rPr>
          <w:i/>
          <w:iCs/>
          <w:sz w:val="16"/>
          <w:szCs w:val="16"/>
        </w:rPr>
      </w:pPr>
      <w:r w:rsidRPr="001E6DFD">
        <w:rPr>
          <w:i/>
          <w:iCs/>
          <w:sz w:val="16"/>
          <w:szCs w:val="16"/>
        </w:rPr>
        <w:t>(en milliers de francs suisses)</w:t>
      </w:r>
    </w:p>
    <w:p w14:paraId="6D5491FF" w14:textId="77777777" w:rsidR="00BA5EA9" w:rsidRPr="001E6DFD" w:rsidRDefault="00BA5EA9" w:rsidP="0097226C">
      <w:pPr>
        <w:rPr>
          <w:bCs/>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2A186D02" w14:textId="77777777" w:rsidTr="00A055E7">
        <w:trPr>
          <w:jc w:val="center"/>
        </w:trPr>
        <w:tc>
          <w:tcPr>
            <w:tcW w:w="2470" w:type="dxa"/>
            <w:tcBorders>
              <w:top w:val="nil"/>
              <w:left w:val="nil"/>
              <w:bottom w:val="nil"/>
              <w:right w:val="nil"/>
            </w:tcBorders>
            <w:shd w:val="clear" w:color="000000" w:fill="C5D9F1"/>
            <w:noWrap/>
            <w:vAlign w:val="center"/>
            <w:hideMark/>
          </w:tcPr>
          <w:p w14:paraId="6071E543" w14:textId="14E4AA7F"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0C751E79" w14:textId="1B3484C9" w:rsidR="00BA5EA9" w:rsidRPr="001E6DFD" w:rsidRDefault="00C8218F"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438" w:type="dxa"/>
            <w:tcBorders>
              <w:top w:val="nil"/>
              <w:left w:val="nil"/>
              <w:bottom w:val="nil"/>
              <w:right w:val="nil"/>
            </w:tcBorders>
            <w:shd w:val="clear" w:color="000000" w:fill="C5D9F1"/>
            <w:vAlign w:val="center"/>
            <w:hideMark/>
          </w:tcPr>
          <w:p w14:paraId="041EC75A" w14:textId="74F98BBE" w:rsidR="00BA5EA9" w:rsidRPr="001E6DFD" w:rsidRDefault="00F3341E"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2BD26E6F" w14:textId="67CF5014" w:rsidR="00BA5EA9" w:rsidRPr="001E6DFD" w:rsidRDefault="00C8218F"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42E36EA4" w14:textId="725AED49" w:rsidR="00BA5EA9" w:rsidRPr="001E6DFD" w:rsidRDefault="00C8218F"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0DF2C178" w14:textId="77777777" w:rsidTr="00A055E7">
        <w:trPr>
          <w:jc w:val="center"/>
        </w:trPr>
        <w:tc>
          <w:tcPr>
            <w:tcW w:w="2470" w:type="dxa"/>
            <w:tcBorders>
              <w:top w:val="nil"/>
              <w:left w:val="nil"/>
              <w:bottom w:val="nil"/>
              <w:right w:val="nil"/>
            </w:tcBorders>
            <w:shd w:val="clear" w:color="auto" w:fill="auto"/>
            <w:noWrap/>
            <w:vAlign w:val="center"/>
            <w:hideMark/>
          </w:tcPr>
          <w:p w14:paraId="061AC0FE"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4B6A8CE4" w14:textId="77777777" w:rsidR="00BA5EA9" w:rsidRPr="001E6DFD" w:rsidRDefault="00282CF5" w:rsidP="0097226C">
            <w:pPr>
              <w:jc w:val="center"/>
              <w:rPr>
                <w:sz w:val="16"/>
                <w:szCs w:val="16"/>
              </w:rPr>
            </w:pPr>
            <w:r w:rsidRPr="001E6DFD">
              <w:rPr>
                <w:sz w:val="16"/>
                <w:szCs w:val="16"/>
              </w:rPr>
              <w:t>5 675</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1ABDEA5" w14:textId="77777777" w:rsidR="00BA5EA9" w:rsidRPr="001E6DFD" w:rsidRDefault="00282CF5" w:rsidP="0097226C">
            <w:pPr>
              <w:jc w:val="center"/>
              <w:rPr>
                <w:sz w:val="16"/>
                <w:szCs w:val="16"/>
              </w:rPr>
            </w:pPr>
            <w:r w:rsidRPr="001E6DFD">
              <w:rPr>
                <w:sz w:val="16"/>
                <w:szCs w:val="16"/>
              </w:rPr>
              <w:t>5 823</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9893549" w14:textId="77777777" w:rsidR="00BA5EA9" w:rsidRPr="001E6DFD" w:rsidRDefault="00282CF5" w:rsidP="0097226C">
            <w:pPr>
              <w:jc w:val="center"/>
              <w:rPr>
                <w:sz w:val="16"/>
                <w:szCs w:val="16"/>
              </w:rPr>
            </w:pPr>
            <w:r w:rsidRPr="001E6DFD">
              <w:rPr>
                <w:sz w:val="16"/>
                <w:szCs w:val="16"/>
              </w:rPr>
              <w:t>2 653</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FCE0717" w14:textId="77777777" w:rsidR="00BA5EA9" w:rsidRPr="001E6DFD" w:rsidRDefault="00BA5EA9" w:rsidP="0097226C">
            <w:pPr>
              <w:jc w:val="center"/>
              <w:rPr>
                <w:sz w:val="16"/>
                <w:szCs w:val="16"/>
              </w:rPr>
            </w:pPr>
            <w:r w:rsidRPr="001E6DFD">
              <w:rPr>
                <w:sz w:val="16"/>
                <w:szCs w:val="16"/>
              </w:rPr>
              <w:t>46%</w:t>
            </w:r>
          </w:p>
        </w:tc>
      </w:tr>
      <w:tr w:rsidR="00BA5EA9" w:rsidRPr="001E6DFD" w14:paraId="0EDAFF57" w14:textId="77777777" w:rsidTr="00A055E7">
        <w:trPr>
          <w:jc w:val="center"/>
        </w:trPr>
        <w:tc>
          <w:tcPr>
            <w:tcW w:w="2470" w:type="dxa"/>
            <w:tcBorders>
              <w:top w:val="nil"/>
              <w:left w:val="nil"/>
              <w:bottom w:val="nil"/>
              <w:right w:val="nil"/>
            </w:tcBorders>
            <w:shd w:val="clear" w:color="auto" w:fill="auto"/>
            <w:noWrap/>
            <w:vAlign w:val="center"/>
            <w:hideMark/>
          </w:tcPr>
          <w:p w14:paraId="34F4D057"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2EE978D7" w14:textId="77777777" w:rsidR="00BA5EA9" w:rsidRPr="001E6DFD" w:rsidRDefault="00282CF5" w:rsidP="0097226C">
            <w:pPr>
              <w:jc w:val="center"/>
              <w:rPr>
                <w:sz w:val="16"/>
                <w:szCs w:val="16"/>
              </w:rPr>
            </w:pPr>
            <w:r w:rsidRPr="001E6DFD">
              <w:rPr>
                <w:sz w:val="16"/>
                <w:szCs w:val="16"/>
              </w:rPr>
              <w:t>1 395</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DCDA4C6" w14:textId="77777777" w:rsidR="00BA5EA9" w:rsidRPr="001E6DFD" w:rsidRDefault="00282CF5" w:rsidP="0097226C">
            <w:pPr>
              <w:jc w:val="center"/>
              <w:rPr>
                <w:sz w:val="16"/>
                <w:szCs w:val="16"/>
              </w:rPr>
            </w:pPr>
            <w:r w:rsidRPr="001E6DFD">
              <w:rPr>
                <w:sz w:val="16"/>
                <w:szCs w:val="16"/>
              </w:rPr>
              <w:t>1 427</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65372382" w14:textId="77777777" w:rsidR="00BA5EA9" w:rsidRPr="001E6DFD" w:rsidRDefault="00BA5EA9" w:rsidP="0097226C">
            <w:pPr>
              <w:jc w:val="center"/>
              <w:rPr>
                <w:sz w:val="16"/>
                <w:szCs w:val="16"/>
              </w:rPr>
            </w:pPr>
            <w:r w:rsidRPr="001E6DFD">
              <w:rPr>
                <w:sz w:val="16"/>
                <w:szCs w:val="16"/>
              </w:rPr>
              <w:t xml:space="preserve">466 </w:t>
            </w:r>
          </w:p>
        </w:tc>
        <w:tc>
          <w:tcPr>
            <w:tcW w:w="1438" w:type="dxa"/>
            <w:tcBorders>
              <w:top w:val="nil"/>
              <w:left w:val="nil"/>
              <w:bottom w:val="nil"/>
              <w:right w:val="nil"/>
            </w:tcBorders>
            <w:shd w:val="clear" w:color="auto" w:fill="auto"/>
            <w:vAlign w:val="center"/>
            <w:hideMark/>
          </w:tcPr>
          <w:p w14:paraId="0F5A1B6E" w14:textId="77777777" w:rsidR="00BA5EA9" w:rsidRPr="001E6DFD" w:rsidRDefault="00BA5EA9" w:rsidP="0097226C">
            <w:pPr>
              <w:jc w:val="center"/>
              <w:rPr>
                <w:sz w:val="16"/>
                <w:szCs w:val="16"/>
              </w:rPr>
            </w:pPr>
            <w:r w:rsidRPr="001E6DFD">
              <w:rPr>
                <w:sz w:val="16"/>
                <w:szCs w:val="16"/>
              </w:rPr>
              <w:t>33%</w:t>
            </w:r>
          </w:p>
        </w:tc>
      </w:tr>
      <w:tr w:rsidR="00BA5EA9" w:rsidRPr="001E6DFD" w14:paraId="018ADF79" w14:textId="77777777" w:rsidTr="00A055E7">
        <w:trPr>
          <w:jc w:val="center"/>
        </w:trPr>
        <w:tc>
          <w:tcPr>
            <w:tcW w:w="2470" w:type="dxa"/>
            <w:tcBorders>
              <w:top w:val="nil"/>
              <w:left w:val="nil"/>
              <w:bottom w:val="nil"/>
              <w:right w:val="nil"/>
            </w:tcBorders>
            <w:shd w:val="clear" w:color="000000" w:fill="C5D9F1"/>
            <w:noWrap/>
            <w:vAlign w:val="center"/>
            <w:hideMark/>
          </w:tcPr>
          <w:p w14:paraId="02825ED0" w14:textId="791F895E" w:rsidR="00BA5EA9" w:rsidRPr="001E6DFD" w:rsidRDefault="00C8218F"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5E7BF97F" w14:textId="77777777" w:rsidR="00BA5EA9" w:rsidRPr="001E6DFD" w:rsidRDefault="00282CF5" w:rsidP="0097226C">
            <w:pPr>
              <w:jc w:val="center"/>
              <w:rPr>
                <w:b/>
                <w:bCs/>
                <w:sz w:val="16"/>
                <w:szCs w:val="16"/>
              </w:rPr>
            </w:pPr>
            <w:r w:rsidRPr="001E6DFD">
              <w:rPr>
                <w:b/>
                <w:bCs/>
                <w:sz w:val="16"/>
                <w:szCs w:val="16"/>
              </w:rPr>
              <w:t>7 070</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551F7639" w14:textId="77777777" w:rsidR="00BA5EA9" w:rsidRPr="001E6DFD" w:rsidRDefault="00282CF5" w:rsidP="0097226C">
            <w:pPr>
              <w:jc w:val="center"/>
              <w:rPr>
                <w:b/>
                <w:bCs/>
                <w:sz w:val="16"/>
                <w:szCs w:val="16"/>
              </w:rPr>
            </w:pPr>
            <w:r w:rsidRPr="001E6DFD">
              <w:rPr>
                <w:b/>
                <w:bCs/>
                <w:sz w:val="16"/>
                <w:szCs w:val="16"/>
              </w:rPr>
              <w:t>7 250</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33074791" w14:textId="77777777" w:rsidR="00BA5EA9" w:rsidRPr="001E6DFD" w:rsidRDefault="00282CF5" w:rsidP="0097226C">
            <w:pPr>
              <w:jc w:val="center"/>
              <w:rPr>
                <w:b/>
                <w:bCs/>
                <w:sz w:val="16"/>
                <w:szCs w:val="16"/>
              </w:rPr>
            </w:pPr>
            <w:r w:rsidRPr="001E6DFD">
              <w:rPr>
                <w:b/>
                <w:bCs/>
                <w:sz w:val="16"/>
                <w:szCs w:val="16"/>
              </w:rPr>
              <w:t>3 118</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39515DDE" w14:textId="77777777" w:rsidR="00BA5EA9" w:rsidRPr="001E6DFD" w:rsidRDefault="00BA5EA9" w:rsidP="0097226C">
            <w:pPr>
              <w:jc w:val="center"/>
              <w:rPr>
                <w:b/>
                <w:bCs/>
                <w:sz w:val="16"/>
                <w:szCs w:val="16"/>
              </w:rPr>
            </w:pPr>
            <w:r w:rsidRPr="001E6DFD">
              <w:rPr>
                <w:b/>
                <w:bCs/>
                <w:sz w:val="16"/>
                <w:szCs w:val="16"/>
              </w:rPr>
              <w:t>43%</w:t>
            </w:r>
          </w:p>
        </w:tc>
      </w:tr>
      <w:tr w:rsidR="00BA5EA9" w:rsidRPr="001E6DFD" w14:paraId="28A054B8"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47ABE5EB" w14:textId="236D87F4"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29DEEED0" w14:textId="77777777" w:rsidR="001F64B1" w:rsidRPr="001E6DFD" w:rsidRDefault="001F64B1" w:rsidP="0097226C">
      <w:pPr>
        <w:rPr>
          <w:sz w:val="20"/>
        </w:rPr>
      </w:pPr>
    </w:p>
    <w:p w14:paraId="687C5E7A" w14:textId="5324E4A3" w:rsidR="001F64B1" w:rsidRPr="001E6DFD" w:rsidRDefault="00C8218F"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06416203" w14:textId="77777777" w:rsidR="001F64B1" w:rsidRPr="001E6DFD" w:rsidRDefault="001F64B1" w:rsidP="0097226C">
      <w:pPr>
        <w:rPr>
          <w:sz w:val="20"/>
        </w:rPr>
      </w:pPr>
    </w:p>
    <w:p w14:paraId="1559D1F4" w14:textId="77777777" w:rsidR="001F64B1" w:rsidRPr="00094CEB" w:rsidRDefault="001F64B1" w:rsidP="0097226C">
      <w:pPr>
        <w:rPr>
          <w:sz w:val="20"/>
        </w:rPr>
      </w:pPr>
    </w:p>
    <w:p w14:paraId="31D82E58" w14:textId="51993B23" w:rsidR="001F64B1" w:rsidRPr="00094CEB" w:rsidRDefault="00BA5EA9" w:rsidP="0097226C">
      <w:pPr>
        <w:jc w:val="both"/>
        <w:rPr>
          <w:sz w:val="20"/>
          <w:u w:val="single"/>
        </w:rPr>
      </w:pPr>
      <w:r w:rsidRPr="00094CEB">
        <w:rPr>
          <w:sz w:val="20"/>
        </w:rPr>
        <w:t>A.</w:t>
      </w:r>
      <w:r w:rsidRPr="00094CEB">
        <w:rPr>
          <w:sz w:val="20"/>
        </w:rPr>
        <w:tab/>
      </w:r>
      <w:r w:rsidR="00F3341E" w:rsidRPr="00094CEB">
        <w:rPr>
          <w:sz w:val="20"/>
          <w:u w:val="single"/>
        </w:rPr>
        <w:t>Budget</w:t>
      </w:r>
      <w:r w:rsidR="00B4191E" w:rsidRPr="00094CEB">
        <w:rPr>
          <w:sz w:val="20"/>
          <w:u w:val="single"/>
        </w:rPr>
        <w:t> </w:t>
      </w:r>
      <w:r w:rsidR="00F3341E" w:rsidRPr="00094CEB">
        <w:rPr>
          <w:sz w:val="20"/>
          <w:u w:val="single"/>
        </w:rPr>
        <w:t>2016</w:t>
      </w:r>
      <w:r w:rsidR="006A41CF" w:rsidRPr="00094CEB">
        <w:rPr>
          <w:sz w:val="20"/>
          <w:u w:val="single"/>
        </w:rPr>
        <w:noBreakHyphen/>
      </w:r>
      <w:r w:rsidR="00F3341E" w:rsidRPr="00094CEB">
        <w:rPr>
          <w:sz w:val="20"/>
          <w:u w:val="single"/>
        </w:rPr>
        <w:t>2017 après virements</w:t>
      </w:r>
    </w:p>
    <w:p w14:paraId="4D76C25B" w14:textId="77777777" w:rsidR="001F64B1" w:rsidRPr="00094CEB" w:rsidRDefault="001F64B1" w:rsidP="0097226C">
      <w:pPr>
        <w:jc w:val="both"/>
        <w:rPr>
          <w:sz w:val="20"/>
        </w:rPr>
      </w:pPr>
    </w:p>
    <w:p w14:paraId="1F7809B0" w14:textId="64437EC1" w:rsidR="001F64B1" w:rsidRPr="00094CEB" w:rsidRDefault="00E27BAA" w:rsidP="00D544B8">
      <w:pPr>
        <w:pStyle w:val="ListParagraph"/>
        <w:numPr>
          <w:ilvl w:val="0"/>
          <w:numId w:val="14"/>
        </w:numPr>
        <w:tabs>
          <w:tab w:val="left" w:pos="709"/>
        </w:tabs>
        <w:ind w:left="0" w:firstLine="0"/>
        <w:jc w:val="both"/>
        <w:rPr>
          <w:sz w:val="20"/>
        </w:rPr>
      </w:pPr>
      <w:r w:rsidRPr="00094CEB">
        <w:rPr>
          <w:rFonts w:ascii="Arial" w:hAnsi="Arial" w:cs="Arial"/>
          <w:sz w:val="20"/>
        </w:rPr>
        <w:t>L</w:t>
      </w:r>
      <w:r w:rsidR="00FA22F6" w:rsidRPr="00094CEB">
        <w:rPr>
          <w:rFonts w:ascii="Arial" w:hAnsi="Arial" w:cs="Arial"/>
          <w:sz w:val="20"/>
        </w:rPr>
        <w:t>’</w:t>
      </w:r>
      <w:r w:rsidRPr="00094CEB">
        <w:rPr>
          <w:rFonts w:ascii="Arial" w:hAnsi="Arial" w:cs="Arial"/>
          <w:sz w:val="20"/>
        </w:rPr>
        <w:t xml:space="preserve">augmentation des ressources </w:t>
      </w:r>
      <w:r w:rsidR="00B65443" w:rsidRPr="00094CEB">
        <w:rPr>
          <w:rFonts w:ascii="Arial" w:hAnsi="Arial" w:cs="Arial"/>
          <w:sz w:val="20"/>
        </w:rPr>
        <w:t>e</w:t>
      </w:r>
      <w:r w:rsidR="00381826" w:rsidRPr="00094CEB">
        <w:rPr>
          <w:rFonts w:ascii="Arial" w:hAnsi="Arial" w:cs="Arial"/>
          <w:sz w:val="20"/>
        </w:rPr>
        <w:t>n</w:t>
      </w:r>
      <w:r w:rsidR="00B65443" w:rsidRPr="00094CEB">
        <w:rPr>
          <w:rFonts w:ascii="Arial" w:hAnsi="Arial" w:cs="Arial"/>
          <w:sz w:val="20"/>
        </w:rPr>
        <w:t xml:space="preserve"> p</w:t>
      </w:r>
      <w:r w:rsidRPr="00094CEB">
        <w:rPr>
          <w:rFonts w:ascii="Arial" w:hAnsi="Arial" w:cs="Arial"/>
          <w:sz w:val="20"/>
        </w:rPr>
        <w:t>ersonnel par rapport au budget</w:t>
      </w:r>
      <w:r w:rsidR="00B4191E" w:rsidRPr="00094CEB">
        <w:rPr>
          <w:rFonts w:ascii="Arial" w:hAnsi="Arial" w:cs="Arial"/>
          <w:sz w:val="20"/>
        </w:rPr>
        <w:t> </w:t>
      </w:r>
      <w:r w:rsidRPr="00094CEB">
        <w:rPr>
          <w:rFonts w:ascii="Arial" w:hAnsi="Arial" w:cs="Arial"/>
          <w:sz w:val="20"/>
        </w:rPr>
        <w:t>2016</w:t>
      </w:r>
      <w:r w:rsidR="006A41CF" w:rsidRPr="00094CEB">
        <w:rPr>
          <w:rFonts w:ascii="Arial" w:hAnsi="Arial" w:cs="Arial"/>
          <w:sz w:val="20"/>
        </w:rPr>
        <w:noBreakHyphen/>
      </w:r>
      <w:r w:rsidRPr="00094CEB">
        <w:rPr>
          <w:rFonts w:ascii="Arial" w:hAnsi="Arial" w:cs="Arial"/>
          <w:sz w:val="20"/>
        </w:rPr>
        <w:t xml:space="preserve">2017 approuvé </w:t>
      </w:r>
      <w:r w:rsidR="00B65443" w:rsidRPr="00094CEB">
        <w:rPr>
          <w:rFonts w:ascii="Arial" w:hAnsi="Arial" w:cs="Arial"/>
          <w:sz w:val="20"/>
        </w:rPr>
        <w:t>s</w:t>
      </w:r>
      <w:r w:rsidR="00FA22F6" w:rsidRPr="00094CEB">
        <w:rPr>
          <w:rFonts w:ascii="Arial" w:hAnsi="Arial" w:cs="Arial"/>
          <w:sz w:val="20"/>
        </w:rPr>
        <w:t>’</w:t>
      </w:r>
      <w:r w:rsidR="00B65443" w:rsidRPr="00094CEB">
        <w:rPr>
          <w:rFonts w:ascii="Arial" w:hAnsi="Arial" w:cs="Arial"/>
          <w:sz w:val="20"/>
        </w:rPr>
        <w:t xml:space="preserve">expliquait </w:t>
      </w:r>
      <w:r w:rsidR="00161BFD" w:rsidRPr="00094CEB">
        <w:rPr>
          <w:rFonts w:ascii="Arial" w:hAnsi="Arial" w:cs="Arial"/>
          <w:sz w:val="20"/>
        </w:rPr>
        <w:t xml:space="preserve">par </w:t>
      </w:r>
      <w:r w:rsidRPr="00094CEB">
        <w:rPr>
          <w:rFonts w:ascii="Arial" w:hAnsi="Arial" w:cs="Arial"/>
          <w:sz w:val="20"/>
        </w:rPr>
        <w:t>la régularisation d</w:t>
      </w:r>
      <w:r w:rsidR="00FA22F6" w:rsidRPr="00094CEB">
        <w:rPr>
          <w:rFonts w:ascii="Arial" w:hAnsi="Arial" w:cs="Arial"/>
          <w:sz w:val="20"/>
        </w:rPr>
        <w:t>’</w:t>
      </w:r>
      <w:r w:rsidRPr="00094CEB">
        <w:rPr>
          <w:rFonts w:ascii="Arial" w:hAnsi="Arial" w:cs="Arial"/>
          <w:sz w:val="20"/>
        </w:rPr>
        <w:t xml:space="preserve">une personne exerçant une fonction continue et </w:t>
      </w:r>
      <w:r w:rsidR="00B65443" w:rsidRPr="00094CEB">
        <w:rPr>
          <w:rFonts w:ascii="Arial" w:hAnsi="Arial" w:cs="Arial"/>
          <w:sz w:val="20"/>
        </w:rPr>
        <w:t xml:space="preserve">par </w:t>
      </w:r>
      <w:r w:rsidR="00161BFD" w:rsidRPr="00094CEB">
        <w:rPr>
          <w:rFonts w:ascii="Arial" w:hAnsi="Arial" w:cs="Arial"/>
          <w:sz w:val="20"/>
        </w:rPr>
        <w:t>le</w:t>
      </w:r>
      <w:r w:rsidRPr="00094CEB">
        <w:rPr>
          <w:rFonts w:ascii="Arial" w:hAnsi="Arial" w:cs="Arial"/>
          <w:sz w:val="20"/>
        </w:rPr>
        <w:t xml:space="preserve"> reclassement de deux</w:t>
      </w:r>
      <w:r w:rsidR="004D421A" w:rsidRPr="00094CEB">
        <w:rPr>
          <w:rFonts w:ascii="Arial" w:hAnsi="Arial" w:cs="Arial"/>
          <w:sz w:val="20"/>
        </w:rPr>
        <w:t> </w:t>
      </w:r>
      <w:r w:rsidRPr="00094CEB">
        <w:rPr>
          <w:rFonts w:ascii="Arial" w:hAnsi="Arial" w:cs="Arial"/>
          <w:sz w:val="20"/>
        </w:rPr>
        <w:t>post</w:t>
      </w:r>
      <w:r w:rsidR="004A4D21" w:rsidRPr="00094CEB">
        <w:rPr>
          <w:rFonts w:ascii="Arial" w:hAnsi="Arial" w:cs="Arial"/>
          <w:sz w:val="20"/>
        </w:rPr>
        <w:t>es.  La</w:t>
      </w:r>
      <w:r w:rsidR="004C6FA8" w:rsidRPr="00094CEB">
        <w:rPr>
          <w:rFonts w:ascii="Arial" w:hAnsi="Arial" w:cs="Arial"/>
          <w:sz w:val="20"/>
        </w:rPr>
        <w:t xml:space="preserve"> légère diminution des ressources autres que </w:t>
      </w:r>
      <w:r w:rsidR="00B65443" w:rsidRPr="00094CEB">
        <w:rPr>
          <w:rFonts w:ascii="Arial" w:hAnsi="Arial" w:cs="Arial"/>
          <w:sz w:val="20"/>
        </w:rPr>
        <w:t xml:space="preserve">pour le </w:t>
      </w:r>
      <w:r w:rsidR="004C6FA8" w:rsidRPr="00094CEB">
        <w:rPr>
          <w:rFonts w:ascii="Arial" w:hAnsi="Arial" w:cs="Arial"/>
          <w:sz w:val="20"/>
        </w:rPr>
        <w:t>personnel</w:t>
      </w:r>
      <w:r w:rsidR="00B65443" w:rsidRPr="00094CEB">
        <w:rPr>
          <w:rFonts w:ascii="Arial" w:hAnsi="Arial" w:cs="Arial"/>
          <w:sz w:val="20"/>
        </w:rPr>
        <w:t xml:space="preserve"> était due </w:t>
      </w:r>
      <w:r w:rsidR="004C6FA8" w:rsidRPr="00094CEB">
        <w:rPr>
          <w:rFonts w:ascii="Arial" w:hAnsi="Arial" w:cs="Arial"/>
          <w:sz w:val="20"/>
        </w:rPr>
        <w:t xml:space="preserve">au transfert de </w:t>
      </w:r>
      <w:r w:rsidR="00F93C72" w:rsidRPr="00094CEB">
        <w:rPr>
          <w:rFonts w:ascii="Arial" w:hAnsi="Arial" w:cs="Arial"/>
          <w:sz w:val="20"/>
        </w:rPr>
        <w:t>ces ressources pour les stages</w:t>
      </w:r>
      <w:r w:rsidR="00B65443" w:rsidRPr="00094CEB">
        <w:rPr>
          <w:rFonts w:ascii="Arial" w:hAnsi="Arial" w:cs="Arial"/>
          <w:sz w:val="20"/>
        </w:rPr>
        <w:t xml:space="preserve"> vers</w:t>
      </w:r>
      <w:r w:rsidR="00FA22F6" w:rsidRPr="00094CEB">
        <w:rPr>
          <w:rFonts w:ascii="Arial" w:hAnsi="Arial" w:cs="Arial"/>
          <w:sz w:val="20"/>
        </w:rPr>
        <w:t xml:space="preserve"> le DGR</w:t>
      </w:r>
      <w:r w:rsidR="00F93C72" w:rsidRPr="00094CEB">
        <w:rPr>
          <w:rFonts w:ascii="Arial" w:hAnsi="Arial" w:cs="Arial"/>
          <w:sz w:val="20"/>
        </w:rPr>
        <w:t>H (programme</w:t>
      </w:r>
      <w:r w:rsidR="00B4191E" w:rsidRPr="00094CEB">
        <w:rPr>
          <w:rFonts w:ascii="Arial" w:hAnsi="Arial" w:cs="Arial"/>
          <w:sz w:val="20"/>
        </w:rPr>
        <w:t> </w:t>
      </w:r>
      <w:r w:rsidR="00F93C72" w:rsidRPr="00094CEB">
        <w:rPr>
          <w:rFonts w:ascii="Arial" w:hAnsi="Arial" w:cs="Arial"/>
          <w:sz w:val="20"/>
        </w:rPr>
        <w:t>23), qui gère les stagiaires de manière centralisée.</w:t>
      </w:r>
    </w:p>
    <w:p w14:paraId="39B9D2A5" w14:textId="77777777" w:rsidR="00F93C72" w:rsidRPr="00094CEB" w:rsidRDefault="00F93C72" w:rsidP="00F93C72">
      <w:pPr>
        <w:pStyle w:val="ListParagraph"/>
        <w:tabs>
          <w:tab w:val="left" w:pos="709"/>
        </w:tabs>
        <w:ind w:left="0"/>
        <w:jc w:val="both"/>
        <w:rPr>
          <w:sz w:val="20"/>
        </w:rPr>
      </w:pPr>
    </w:p>
    <w:p w14:paraId="5B185989" w14:textId="3EECFB4B" w:rsidR="001F64B1" w:rsidRPr="00094CEB" w:rsidRDefault="00BA5EA9" w:rsidP="0097226C">
      <w:pPr>
        <w:tabs>
          <w:tab w:val="left" w:pos="709"/>
        </w:tabs>
        <w:jc w:val="both"/>
        <w:rPr>
          <w:sz w:val="20"/>
          <w:u w:val="single"/>
        </w:rPr>
      </w:pPr>
      <w:r w:rsidRPr="00094CEB">
        <w:rPr>
          <w:sz w:val="20"/>
        </w:rPr>
        <w:t>B.</w:t>
      </w:r>
      <w:r w:rsidRPr="00094CEB">
        <w:rPr>
          <w:sz w:val="20"/>
        </w:rPr>
        <w:tab/>
      </w:r>
      <w:r w:rsidR="00F3341E" w:rsidRPr="00094CEB">
        <w:rPr>
          <w:sz w:val="20"/>
          <w:u w:val="single"/>
        </w:rPr>
        <w:t>Utilisation du budget</w:t>
      </w:r>
      <w:r w:rsidR="00B4191E" w:rsidRPr="00094CEB">
        <w:rPr>
          <w:sz w:val="20"/>
          <w:u w:val="single"/>
        </w:rPr>
        <w:t> </w:t>
      </w:r>
      <w:r w:rsidR="00F3341E" w:rsidRPr="00094CEB">
        <w:rPr>
          <w:sz w:val="20"/>
          <w:u w:val="single"/>
        </w:rPr>
        <w:t>2016</w:t>
      </w:r>
      <w:r w:rsidR="006A41CF" w:rsidRPr="00094CEB">
        <w:rPr>
          <w:sz w:val="20"/>
          <w:u w:val="single"/>
        </w:rPr>
        <w:noBreakHyphen/>
      </w:r>
      <w:r w:rsidR="00F3341E" w:rsidRPr="00094CEB">
        <w:rPr>
          <w:sz w:val="20"/>
          <w:u w:val="single"/>
        </w:rPr>
        <w:t>2017</w:t>
      </w:r>
    </w:p>
    <w:p w14:paraId="502FCA3D" w14:textId="77777777" w:rsidR="001F64B1" w:rsidRPr="00094CEB" w:rsidRDefault="001F64B1" w:rsidP="0097226C">
      <w:pPr>
        <w:tabs>
          <w:tab w:val="left" w:pos="709"/>
        </w:tabs>
        <w:jc w:val="both"/>
        <w:rPr>
          <w:sz w:val="20"/>
        </w:rPr>
      </w:pPr>
    </w:p>
    <w:p w14:paraId="2B9078B7" w14:textId="436075FC" w:rsidR="007A2632" w:rsidRPr="00644A97" w:rsidRDefault="009E1D29" w:rsidP="0097226C">
      <w:pPr>
        <w:pStyle w:val="ListParagraph"/>
        <w:numPr>
          <w:ilvl w:val="0"/>
          <w:numId w:val="14"/>
        </w:numPr>
        <w:tabs>
          <w:tab w:val="left" w:pos="709"/>
        </w:tabs>
        <w:ind w:left="0" w:firstLine="0"/>
        <w:jc w:val="both"/>
        <w:rPr>
          <w:rFonts w:eastAsia="SimSun"/>
          <w:b/>
          <w:bCs/>
          <w:iCs/>
          <w:caps/>
          <w:szCs w:val="28"/>
        </w:rPr>
      </w:pPr>
      <w:r w:rsidRPr="00644A97">
        <w:rPr>
          <w:rFonts w:ascii="Arial" w:hAnsi="Arial" w:cs="Arial"/>
          <w:sz w:val="20"/>
          <w:lang w:eastAsia="ko-KR"/>
        </w:rPr>
        <w:t>Le</w:t>
      </w:r>
      <w:r w:rsidR="00B65443" w:rsidRPr="00644A97">
        <w:rPr>
          <w:rFonts w:ascii="Arial" w:hAnsi="Arial" w:cs="Arial"/>
          <w:sz w:val="20"/>
          <w:lang w:eastAsia="ko-KR"/>
        </w:rPr>
        <w:t xml:space="preserve"> taux </w:t>
      </w:r>
      <w:r w:rsidRPr="00644A97">
        <w:rPr>
          <w:rFonts w:ascii="Arial" w:hAnsi="Arial" w:cs="Arial"/>
          <w:sz w:val="20"/>
          <w:lang w:eastAsia="ko-KR"/>
        </w:rPr>
        <w:t>d</w:t>
      </w:r>
      <w:r w:rsidR="00FA22F6" w:rsidRPr="00644A97">
        <w:rPr>
          <w:rFonts w:ascii="Arial" w:hAnsi="Arial" w:cs="Arial"/>
          <w:sz w:val="20"/>
          <w:lang w:eastAsia="ko-KR"/>
        </w:rPr>
        <w:t>’</w:t>
      </w:r>
      <w:r w:rsidRPr="00644A97">
        <w:rPr>
          <w:rFonts w:ascii="Arial" w:hAnsi="Arial" w:cs="Arial"/>
          <w:sz w:val="20"/>
          <w:lang w:eastAsia="ko-KR"/>
        </w:rPr>
        <w:t xml:space="preserve">utilisation </w:t>
      </w:r>
      <w:r w:rsidR="00B65443" w:rsidRPr="00644A97">
        <w:rPr>
          <w:rFonts w:ascii="Arial" w:hAnsi="Arial" w:cs="Arial"/>
          <w:sz w:val="20"/>
          <w:lang w:eastAsia="ko-KR"/>
        </w:rPr>
        <w:t xml:space="preserve">de 34% </w:t>
      </w:r>
      <w:r w:rsidRPr="00644A97">
        <w:rPr>
          <w:rFonts w:ascii="Arial" w:hAnsi="Arial" w:cs="Arial"/>
          <w:sz w:val="20"/>
          <w:lang w:eastAsia="ko-KR"/>
        </w:rPr>
        <w:t>d</w:t>
      </w:r>
      <w:r w:rsidR="00F16B2B" w:rsidRPr="00644A97">
        <w:rPr>
          <w:rFonts w:ascii="Arial" w:hAnsi="Arial" w:cs="Arial"/>
          <w:sz w:val="20"/>
          <w:lang w:eastAsia="ko-KR"/>
        </w:rPr>
        <w:t xml:space="preserve">u budget pour les ressources autres que </w:t>
      </w:r>
      <w:r w:rsidR="00B65443" w:rsidRPr="00644A97">
        <w:rPr>
          <w:rFonts w:ascii="Arial" w:hAnsi="Arial" w:cs="Arial"/>
          <w:sz w:val="20"/>
          <w:lang w:eastAsia="ko-KR"/>
        </w:rPr>
        <w:t xml:space="preserve">pour le </w:t>
      </w:r>
      <w:r w:rsidR="00F16B2B" w:rsidRPr="00644A97">
        <w:rPr>
          <w:rFonts w:ascii="Arial" w:hAnsi="Arial" w:cs="Arial"/>
          <w:sz w:val="20"/>
          <w:lang w:eastAsia="ko-KR"/>
        </w:rPr>
        <w:t>personnel é</w:t>
      </w:r>
      <w:r w:rsidRPr="00644A97">
        <w:rPr>
          <w:rFonts w:ascii="Arial" w:hAnsi="Arial" w:cs="Arial"/>
          <w:sz w:val="20"/>
          <w:lang w:eastAsia="ko-KR"/>
        </w:rPr>
        <w:t>tai</w:t>
      </w:r>
      <w:r w:rsidR="00B65443" w:rsidRPr="00644A97">
        <w:rPr>
          <w:rFonts w:ascii="Arial" w:hAnsi="Arial" w:cs="Arial"/>
          <w:sz w:val="20"/>
          <w:lang w:eastAsia="ko-KR"/>
        </w:rPr>
        <w:t>t principalement dû</w:t>
      </w:r>
      <w:r w:rsidRPr="00644A97">
        <w:rPr>
          <w:rFonts w:ascii="Arial" w:hAnsi="Arial" w:cs="Arial"/>
          <w:sz w:val="20"/>
          <w:lang w:eastAsia="ko-KR"/>
        </w:rPr>
        <w:t xml:space="preserve"> </w:t>
      </w:r>
      <w:r w:rsidR="00F16B2B" w:rsidRPr="00644A97">
        <w:rPr>
          <w:rFonts w:ascii="Arial" w:hAnsi="Arial" w:cs="Arial"/>
          <w:sz w:val="20"/>
          <w:lang w:eastAsia="ko-KR"/>
        </w:rPr>
        <w:t xml:space="preserve">au report de certaines activités </w:t>
      </w:r>
      <w:r w:rsidR="00B65443" w:rsidRPr="00644A97">
        <w:rPr>
          <w:rFonts w:ascii="Arial" w:hAnsi="Arial" w:cs="Arial"/>
          <w:sz w:val="20"/>
          <w:lang w:eastAsia="ko-KR"/>
        </w:rPr>
        <w:t xml:space="preserve">sur </w:t>
      </w:r>
      <w:r w:rsidR="00F16B2B" w:rsidRPr="00644A97">
        <w:rPr>
          <w:rFonts w:ascii="Arial" w:hAnsi="Arial" w:cs="Arial"/>
          <w:sz w:val="20"/>
          <w:lang w:eastAsia="ko-KR"/>
        </w:rPr>
        <w:t>2017, notamment</w:t>
      </w:r>
      <w:r w:rsidR="00FA22F6" w:rsidRPr="00644A97">
        <w:rPr>
          <w:rFonts w:ascii="Arial" w:hAnsi="Arial" w:cs="Arial"/>
          <w:sz w:val="20"/>
          <w:lang w:eastAsia="ko-KR"/>
        </w:rPr>
        <w:t> :</w:t>
      </w:r>
      <w:r w:rsidR="00E9322E" w:rsidRPr="00644A97">
        <w:rPr>
          <w:rFonts w:ascii="Arial" w:hAnsi="Arial" w:cs="Arial"/>
          <w:sz w:val="20"/>
          <w:lang w:eastAsia="ko-KR"/>
        </w:rPr>
        <w:t xml:space="preserve"> </w:t>
      </w:r>
      <w:r w:rsidR="00F16B2B" w:rsidRPr="00644A97">
        <w:rPr>
          <w:rFonts w:ascii="Arial" w:hAnsi="Arial" w:cs="Arial"/>
          <w:sz w:val="20"/>
          <w:lang w:eastAsia="ko-KR"/>
        </w:rPr>
        <w:t>i)</w:t>
      </w:r>
      <w:r w:rsidR="004D421A" w:rsidRPr="00644A97">
        <w:rPr>
          <w:rFonts w:ascii="Arial" w:hAnsi="Arial" w:cs="Arial"/>
          <w:sz w:val="20"/>
          <w:lang w:eastAsia="ko-KR"/>
        </w:rPr>
        <w:t> </w:t>
      </w:r>
      <w:r w:rsidR="00F16B2B" w:rsidRPr="00644A97">
        <w:rPr>
          <w:rFonts w:ascii="Arial" w:hAnsi="Arial" w:cs="Arial"/>
          <w:sz w:val="20"/>
          <w:lang w:eastAsia="ko-KR"/>
        </w:rPr>
        <w:t>une étude de faisabilité pour l</w:t>
      </w:r>
      <w:r w:rsidR="00FA22F6" w:rsidRPr="00644A97">
        <w:rPr>
          <w:rFonts w:ascii="Arial" w:hAnsi="Arial" w:cs="Arial"/>
          <w:sz w:val="20"/>
          <w:lang w:eastAsia="ko-KR"/>
        </w:rPr>
        <w:t>’</w:t>
      </w:r>
      <w:r w:rsidR="00FE6A35" w:rsidRPr="00644A97">
        <w:rPr>
          <w:rFonts w:ascii="Arial" w:hAnsi="Arial" w:cs="Arial"/>
          <w:sz w:val="20"/>
          <w:lang w:eastAsia="ko-KR"/>
        </w:rPr>
        <w:t xml:space="preserve">élaboration </w:t>
      </w:r>
      <w:r w:rsidR="00CB3D9A" w:rsidRPr="00644A97">
        <w:rPr>
          <w:rFonts w:ascii="Arial" w:hAnsi="Arial" w:cs="Arial"/>
          <w:sz w:val="20"/>
          <w:lang w:eastAsia="ko-KR"/>
        </w:rPr>
        <w:t>d</w:t>
      </w:r>
      <w:r w:rsidR="00FA22F6" w:rsidRPr="00644A97">
        <w:rPr>
          <w:rFonts w:ascii="Arial" w:hAnsi="Arial" w:cs="Arial"/>
          <w:sz w:val="20"/>
          <w:lang w:eastAsia="ko-KR"/>
        </w:rPr>
        <w:t>’</w:t>
      </w:r>
      <w:r w:rsidR="00CB3D9A" w:rsidRPr="00644A97">
        <w:rPr>
          <w:rFonts w:ascii="Arial" w:hAnsi="Arial" w:cs="Arial"/>
          <w:sz w:val="20"/>
          <w:lang w:eastAsia="ko-KR"/>
        </w:rPr>
        <w:t xml:space="preserve">un cours </w:t>
      </w:r>
      <w:r w:rsidR="00FE6A35" w:rsidRPr="00644A97">
        <w:rPr>
          <w:rFonts w:ascii="Arial" w:hAnsi="Arial" w:cs="Arial"/>
          <w:sz w:val="20"/>
          <w:lang w:eastAsia="ko-KR"/>
        </w:rPr>
        <w:t>à distance sur la classification internationale des brevets (CIB)</w:t>
      </w:r>
      <w:r w:rsidR="00CB3D9A" w:rsidRPr="00644A97">
        <w:rPr>
          <w:rFonts w:ascii="Arial" w:hAnsi="Arial" w:cs="Arial"/>
          <w:sz w:val="20"/>
          <w:lang w:eastAsia="ko-KR"/>
        </w:rPr>
        <w:t>;</w:t>
      </w:r>
      <w:r w:rsidR="00793E74" w:rsidRPr="00644A97">
        <w:rPr>
          <w:rFonts w:ascii="Arial" w:hAnsi="Arial" w:cs="Arial"/>
          <w:sz w:val="20"/>
          <w:lang w:eastAsia="ko-KR"/>
        </w:rPr>
        <w:t xml:space="preserve"> </w:t>
      </w:r>
      <w:r w:rsidR="00CB3D9A" w:rsidRPr="00644A97">
        <w:rPr>
          <w:rFonts w:ascii="Arial" w:hAnsi="Arial" w:cs="Arial"/>
          <w:sz w:val="20"/>
          <w:lang w:eastAsia="ko-KR"/>
        </w:rPr>
        <w:t xml:space="preserve"> i</w:t>
      </w:r>
      <w:r w:rsidR="00F16B2B" w:rsidRPr="00644A97">
        <w:rPr>
          <w:rFonts w:ascii="Arial" w:hAnsi="Arial" w:cs="Arial"/>
          <w:sz w:val="20"/>
          <w:lang w:eastAsia="ko-KR"/>
        </w:rPr>
        <w:t>i)</w:t>
      </w:r>
      <w:r w:rsidR="004D421A" w:rsidRPr="00644A97">
        <w:rPr>
          <w:rFonts w:ascii="Arial" w:hAnsi="Arial" w:cs="Arial"/>
          <w:sz w:val="20"/>
          <w:lang w:eastAsia="ko-KR"/>
        </w:rPr>
        <w:t> </w:t>
      </w:r>
      <w:r w:rsidR="00B65443" w:rsidRPr="00644A97">
        <w:rPr>
          <w:rFonts w:ascii="Arial" w:hAnsi="Arial" w:cs="Arial"/>
          <w:sz w:val="20"/>
          <w:lang w:eastAsia="ko-KR"/>
        </w:rPr>
        <w:t xml:space="preserve">des travaux </w:t>
      </w:r>
      <w:r w:rsidR="00C83E91" w:rsidRPr="00644A97">
        <w:rPr>
          <w:rFonts w:ascii="Arial" w:hAnsi="Arial" w:cs="Arial"/>
          <w:sz w:val="20"/>
          <w:lang w:eastAsia="ko-KR"/>
        </w:rPr>
        <w:t>sur la plate</w:t>
      </w:r>
      <w:r w:rsidR="00F16B2B" w:rsidRPr="00644A97">
        <w:rPr>
          <w:rFonts w:ascii="Arial" w:hAnsi="Arial" w:cs="Arial"/>
          <w:sz w:val="20"/>
          <w:lang w:eastAsia="ko-KR"/>
        </w:rPr>
        <w:t xml:space="preserve">forme de publication de </w:t>
      </w:r>
      <w:r w:rsidR="00C83E91" w:rsidRPr="00644A97">
        <w:rPr>
          <w:rFonts w:ascii="Arial" w:hAnsi="Arial" w:cs="Arial"/>
          <w:sz w:val="20"/>
          <w:lang w:eastAsia="ko-KR"/>
        </w:rPr>
        <w:t>Vienne (</w:t>
      </w:r>
      <w:r w:rsidR="00B65443" w:rsidRPr="00644A97">
        <w:rPr>
          <w:rFonts w:ascii="Arial" w:hAnsi="Arial" w:cs="Arial"/>
          <w:sz w:val="20"/>
          <w:lang w:eastAsia="ko-KR"/>
        </w:rPr>
        <w:t xml:space="preserve">hiérarchisation des </w:t>
      </w:r>
      <w:r w:rsidR="00C83E91" w:rsidRPr="00644A97">
        <w:rPr>
          <w:rFonts w:ascii="Arial" w:hAnsi="Arial" w:cs="Arial"/>
          <w:sz w:val="20"/>
          <w:lang w:eastAsia="ko-KR"/>
        </w:rPr>
        <w:t>plate</w:t>
      </w:r>
      <w:r w:rsidR="00F16B2B" w:rsidRPr="00644A97">
        <w:rPr>
          <w:rFonts w:ascii="Arial" w:hAnsi="Arial" w:cs="Arial"/>
          <w:sz w:val="20"/>
          <w:lang w:eastAsia="ko-KR"/>
        </w:rPr>
        <w:t>formes de publication d</w:t>
      </w:r>
      <w:r w:rsidR="00CB3D9A" w:rsidRPr="00644A97">
        <w:rPr>
          <w:rFonts w:ascii="Arial" w:hAnsi="Arial" w:cs="Arial"/>
          <w:sz w:val="20"/>
          <w:lang w:eastAsia="ko-KR"/>
        </w:rPr>
        <w:t xml:space="preserve">e Nice et Locarno </w:t>
      </w:r>
      <w:r w:rsidR="00FA22F6" w:rsidRPr="00644A97">
        <w:rPr>
          <w:rFonts w:ascii="Arial" w:hAnsi="Arial" w:cs="Arial"/>
          <w:sz w:val="20"/>
          <w:lang w:eastAsia="ko-KR"/>
        </w:rPr>
        <w:t>en 2016</w:t>
      </w:r>
      <w:r w:rsidR="00CB3D9A" w:rsidRPr="00644A97">
        <w:rPr>
          <w:rFonts w:ascii="Arial" w:hAnsi="Arial" w:cs="Arial"/>
          <w:sz w:val="20"/>
          <w:lang w:eastAsia="ko-KR"/>
        </w:rPr>
        <w:t>);</w:t>
      </w:r>
      <w:r w:rsidR="00793E74" w:rsidRPr="00644A97">
        <w:rPr>
          <w:rFonts w:ascii="Arial" w:hAnsi="Arial" w:cs="Arial"/>
          <w:sz w:val="20"/>
          <w:lang w:eastAsia="ko-KR"/>
        </w:rPr>
        <w:t xml:space="preserve"> </w:t>
      </w:r>
      <w:r w:rsidR="00112020" w:rsidRPr="00644A97">
        <w:rPr>
          <w:rFonts w:ascii="Arial" w:hAnsi="Arial" w:cs="Arial"/>
          <w:sz w:val="20"/>
          <w:lang w:eastAsia="ko-KR"/>
        </w:rPr>
        <w:t xml:space="preserve"> e</w:t>
      </w:r>
      <w:r w:rsidR="00CB3D9A" w:rsidRPr="00644A97">
        <w:rPr>
          <w:rFonts w:ascii="Arial" w:hAnsi="Arial" w:cs="Arial"/>
          <w:sz w:val="20"/>
          <w:lang w:eastAsia="ko-KR"/>
        </w:rPr>
        <w:t xml:space="preserve">t </w:t>
      </w:r>
      <w:r w:rsidR="00F16B2B" w:rsidRPr="00644A97">
        <w:rPr>
          <w:rFonts w:ascii="Arial" w:hAnsi="Arial" w:cs="Arial"/>
          <w:sz w:val="20"/>
          <w:lang w:eastAsia="ko-KR"/>
        </w:rPr>
        <w:t>iii)</w:t>
      </w:r>
      <w:r w:rsidR="004D421A" w:rsidRPr="00644A97">
        <w:rPr>
          <w:rFonts w:ascii="Arial" w:hAnsi="Arial" w:cs="Arial"/>
          <w:sz w:val="20"/>
          <w:lang w:eastAsia="ko-KR"/>
        </w:rPr>
        <w:t> </w:t>
      </w:r>
      <w:r w:rsidR="00B64942" w:rsidRPr="00644A97">
        <w:rPr>
          <w:rFonts w:ascii="Arial" w:hAnsi="Arial" w:cs="Arial"/>
          <w:sz w:val="20"/>
          <w:lang w:eastAsia="ko-KR"/>
        </w:rPr>
        <w:t xml:space="preserve">des travaux </w:t>
      </w:r>
      <w:r w:rsidR="00112020" w:rsidRPr="00644A97">
        <w:rPr>
          <w:rFonts w:ascii="Arial" w:hAnsi="Arial" w:cs="Arial"/>
          <w:sz w:val="20"/>
          <w:lang w:eastAsia="ko-KR"/>
        </w:rPr>
        <w:t>spécifique</w:t>
      </w:r>
      <w:r w:rsidR="00B64942" w:rsidRPr="00644A97">
        <w:rPr>
          <w:rFonts w:ascii="Arial" w:hAnsi="Arial" w:cs="Arial"/>
          <w:sz w:val="20"/>
          <w:lang w:eastAsia="ko-KR"/>
        </w:rPr>
        <w:t>s</w:t>
      </w:r>
      <w:r w:rsidR="00F16B2B" w:rsidRPr="00644A97">
        <w:rPr>
          <w:rFonts w:ascii="Arial" w:hAnsi="Arial" w:cs="Arial"/>
          <w:sz w:val="20"/>
          <w:lang w:eastAsia="ko-KR"/>
        </w:rPr>
        <w:t xml:space="preserve"> sur l</w:t>
      </w:r>
      <w:r w:rsidR="00FA22F6" w:rsidRPr="00644A97">
        <w:rPr>
          <w:rFonts w:ascii="Arial" w:hAnsi="Arial" w:cs="Arial"/>
          <w:sz w:val="20"/>
          <w:lang w:eastAsia="ko-KR"/>
        </w:rPr>
        <w:t>’</w:t>
      </w:r>
      <w:r w:rsidR="00F16B2B" w:rsidRPr="00644A97">
        <w:rPr>
          <w:rFonts w:ascii="Arial" w:hAnsi="Arial" w:cs="Arial"/>
          <w:sz w:val="20"/>
          <w:lang w:eastAsia="ko-KR"/>
        </w:rPr>
        <w:t xml:space="preserve">infrastructure et les outils informatiques (migration de </w:t>
      </w:r>
      <w:r w:rsidR="00112020" w:rsidRPr="00644A97">
        <w:rPr>
          <w:rFonts w:ascii="Arial" w:hAnsi="Arial" w:cs="Arial"/>
          <w:sz w:val="20"/>
          <w:lang w:eastAsia="ko-KR"/>
        </w:rPr>
        <w:t xml:space="preserve">la </w:t>
      </w:r>
      <w:r w:rsidR="00B64942" w:rsidRPr="00644A97">
        <w:rPr>
          <w:rFonts w:ascii="Arial" w:hAnsi="Arial" w:cs="Arial"/>
          <w:sz w:val="20"/>
          <w:lang w:eastAsia="ko-KR"/>
        </w:rPr>
        <w:t>b</w:t>
      </w:r>
      <w:r w:rsidR="00112020" w:rsidRPr="00644A97">
        <w:rPr>
          <w:rFonts w:ascii="Arial" w:hAnsi="Arial" w:cs="Arial"/>
          <w:sz w:val="20"/>
          <w:lang w:eastAsia="ko-KR"/>
        </w:rPr>
        <w:t xml:space="preserve">ase de données centrale de classification </w:t>
      </w:r>
      <w:r w:rsidR="00F16B2B" w:rsidRPr="00644A97">
        <w:rPr>
          <w:rFonts w:ascii="Arial" w:hAnsi="Arial" w:cs="Arial"/>
          <w:sz w:val="20"/>
          <w:lang w:eastAsia="ko-KR"/>
        </w:rPr>
        <w:t xml:space="preserve">et gestion de la révision </w:t>
      </w:r>
      <w:r w:rsidR="00B64942" w:rsidRPr="00644A97">
        <w:rPr>
          <w:rFonts w:ascii="Arial" w:hAnsi="Arial" w:cs="Arial"/>
          <w:sz w:val="20"/>
          <w:lang w:eastAsia="ko-KR"/>
        </w:rPr>
        <w:t>des classifications de Nice, Vienne et Locarno (</w:t>
      </w:r>
      <w:r w:rsidR="00F16B2B" w:rsidRPr="00644A97">
        <w:rPr>
          <w:rFonts w:ascii="Arial" w:hAnsi="Arial" w:cs="Arial"/>
          <w:sz w:val="20"/>
          <w:lang w:eastAsia="ko-KR"/>
        </w:rPr>
        <w:t>NVL</w:t>
      </w:r>
      <w:r w:rsidR="00B64942" w:rsidRPr="00644A97">
        <w:rPr>
          <w:rFonts w:ascii="Arial" w:hAnsi="Arial" w:cs="Arial"/>
          <w:sz w:val="20"/>
          <w:lang w:eastAsia="ko-KR"/>
        </w:rPr>
        <w:t>)</w:t>
      </w:r>
      <w:r w:rsidR="00F16B2B" w:rsidRPr="00644A97">
        <w:rPr>
          <w:rFonts w:ascii="Arial" w:hAnsi="Arial" w:cs="Arial"/>
          <w:sz w:val="20"/>
          <w:lang w:eastAsia="ko-KR"/>
        </w:rPr>
        <w:t>).</w:t>
      </w:r>
      <w:r w:rsidR="007A2632" w:rsidRPr="00644A97">
        <w:rPr>
          <w:b/>
        </w:rPr>
        <w:br w:type="page"/>
      </w:r>
    </w:p>
    <w:p w14:paraId="6073C1C5" w14:textId="2530B2FB" w:rsidR="001F64B1" w:rsidRPr="001E6DFD" w:rsidRDefault="00C8218F" w:rsidP="006658D5">
      <w:pPr>
        <w:pStyle w:val="Heading3"/>
      </w:pPr>
      <w:bookmarkStart w:id="51" w:name="_Toc482774607"/>
      <w:r w:rsidRPr="001E6DFD">
        <w:lastRenderedPageBreak/>
        <w:t>Programme</w:t>
      </w:r>
      <w:r w:rsidR="00B4191E">
        <w:t> </w:t>
      </w:r>
      <w:r w:rsidRPr="001E6DFD">
        <w:t>13</w:t>
      </w:r>
      <w:r w:rsidRPr="001E6DFD">
        <w:tab/>
        <w:t>Bases de données mondiales</w:t>
      </w:r>
      <w:bookmarkEnd w:id="51"/>
    </w:p>
    <w:p w14:paraId="53DD92BC" w14:textId="77777777" w:rsidR="001F64B1" w:rsidRPr="001E6DFD" w:rsidRDefault="001F64B1" w:rsidP="00094CEB">
      <w:pPr>
        <w:tabs>
          <w:tab w:val="left" w:pos="2268"/>
        </w:tabs>
        <w:ind w:left="2268" w:hanging="2268"/>
      </w:pPr>
    </w:p>
    <w:p w14:paraId="76530CE9" w14:textId="315D6CA3" w:rsidR="001F64B1" w:rsidRPr="001E6DFD" w:rsidRDefault="00C8218F" w:rsidP="00094CEB">
      <w:pPr>
        <w:tabs>
          <w:tab w:val="left" w:pos="2268"/>
        </w:tabs>
        <w:ind w:left="2268" w:hanging="2268"/>
        <w:rPr>
          <w:b/>
          <w:szCs w:val="22"/>
        </w:rPr>
      </w:pPr>
      <w:r w:rsidRPr="001E6DFD">
        <w:rPr>
          <w:b/>
          <w:szCs w:val="22"/>
        </w:rPr>
        <w:t>Chef de programme</w:t>
      </w:r>
      <w:r w:rsidRPr="001E6DFD">
        <w:rPr>
          <w:szCs w:val="22"/>
        </w:rPr>
        <w:tab/>
      </w:r>
      <w:r w:rsidRPr="001E6DFD">
        <w:rPr>
          <w:b/>
          <w:szCs w:val="22"/>
        </w:rPr>
        <w:t>M.</w:t>
      </w:r>
      <w:r w:rsidR="004D421A" w:rsidRPr="001E6DFD">
        <w:rPr>
          <w:szCs w:val="22"/>
        </w:rPr>
        <w:t> </w:t>
      </w:r>
      <w:r w:rsidRPr="001E6DFD">
        <w:rPr>
          <w:b/>
          <w:szCs w:val="22"/>
        </w:rPr>
        <w:t>Y</w:t>
      </w:r>
      <w:r w:rsidRPr="001E6DFD">
        <w:t>.</w:t>
      </w:r>
      <w:r w:rsidR="004D421A" w:rsidRPr="001E6DFD">
        <w:rPr>
          <w:szCs w:val="22"/>
        </w:rPr>
        <w:t> </w:t>
      </w:r>
      <w:r w:rsidRPr="001E6DFD">
        <w:rPr>
          <w:b/>
          <w:szCs w:val="22"/>
        </w:rPr>
        <w:t>Takagi</w:t>
      </w:r>
    </w:p>
    <w:p w14:paraId="6B2345F2" w14:textId="77777777" w:rsidR="001F64B1" w:rsidRPr="001E6DFD" w:rsidRDefault="001F64B1" w:rsidP="0097226C">
      <w:pPr>
        <w:tabs>
          <w:tab w:val="left" w:pos="1985"/>
        </w:tabs>
        <w:rPr>
          <w:bCs/>
          <w:szCs w:val="22"/>
        </w:rPr>
      </w:pPr>
    </w:p>
    <w:p w14:paraId="433F4621" w14:textId="77777777" w:rsidR="00BA5EA9" w:rsidRPr="001E6DFD" w:rsidRDefault="00A055E7" w:rsidP="0097226C">
      <w:pPr>
        <w:jc w:val="center"/>
        <w:rPr>
          <w:szCs w:val="22"/>
        </w:rPr>
      </w:pPr>
      <w:r w:rsidRPr="001E6DFD">
        <w:rPr>
          <w:noProof/>
          <w:lang w:val="en-US"/>
        </w:rPr>
        <w:drawing>
          <wp:inline distT="0" distB="0" distL="0" distR="0" wp14:anchorId="787F2381" wp14:editId="4081FA4F">
            <wp:extent cx="3963600" cy="273600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40"/>
        <w:gridCol w:w="2032"/>
        <w:gridCol w:w="2032"/>
        <w:gridCol w:w="2133"/>
        <w:gridCol w:w="1050"/>
      </w:tblGrid>
      <w:tr w:rsidR="00BA5EA9" w:rsidRPr="001E6DFD" w14:paraId="54C7AD2A" w14:textId="77777777" w:rsidTr="00A055E7">
        <w:tc>
          <w:tcPr>
            <w:tcW w:w="5000" w:type="pct"/>
            <w:gridSpan w:val="5"/>
            <w:shd w:val="clear" w:color="auto" w:fill="C6D9F1" w:themeFill="text2" w:themeFillTint="33"/>
            <w:tcMar>
              <w:left w:w="58" w:type="dxa"/>
              <w:right w:w="58" w:type="dxa"/>
            </w:tcMar>
            <w:vAlign w:val="center"/>
          </w:tcPr>
          <w:p w14:paraId="6D724B82" w14:textId="40CFBE06" w:rsidR="00BA5EA9" w:rsidRPr="001E6DFD" w:rsidRDefault="00C8218F" w:rsidP="0097226C">
            <w:pPr>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IV.2 Amélioration de l</w:t>
            </w:r>
            <w:r w:rsidR="00FA22F6" w:rsidRPr="001E6DFD">
              <w:rPr>
                <w:bCs/>
                <w:sz w:val="16"/>
                <w:szCs w:val="16"/>
              </w:rPr>
              <w:t>’</w:t>
            </w:r>
            <w:r w:rsidRPr="001E6DFD">
              <w:rPr>
                <w:bCs/>
                <w:sz w:val="16"/>
                <w:szCs w:val="16"/>
              </w:rPr>
              <w:t>accessibilité et de l</w:t>
            </w:r>
            <w:r w:rsidR="00FA22F6" w:rsidRPr="001E6DFD">
              <w:rPr>
                <w:bCs/>
                <w:sz w:val="16"/>
                <w:szCs w:val="16"/>
              </w:rPr>
              <w:t>’</w:t>
            </w:r>
            <w:r w:rsidRPr="001E6DFD">
              <w:rPr>
                <w:bCs/>
                <w:sz w:val="16"/>
                <w:szCs w:val="16"/>
              </w:rPr>
              <w:t>utilisation de l</w:t>
            </w:r>
            <w:r w:rsidR="00FA22F6" w:rsidRPr="001E6DFD">
              <w:rPr>
                <w:bCs/>
                <w:sz w:val="16"/>
                <w:szCs w:val="16"/>
              </w:rPr>
              <w:t>’</w:t>
            </w:r>
            <w:r w:rsidRPr="001E6DFD">
              <w:rPr>
                <w:bCs/>
                <w:sz w:val="16"/>
                <w:szCs w:val="16"/>
              </w:rPr>
              <w:t>information en matière de propriété intellectuelle par les institutions compétentes et le public afin de promouvoir l</w:t>
            </w:r>
            <w:r w:rsidR="00FA22F6" w:rsidRPr="001E6DFD">
              <w:rPr>
                <w:bCs/>
                <w:sz w:val="16"/>
                <w:szCs w:val="16"/>
              </w:rPr>
              <w:t>’</w:t>
            </w:r>
            <w:r w:rsidRPr="001E6DFD">
              <w:rPr>
                <w:bCs/>
                <w:sz w:val="16"/>
                <w:szCs w:val="16"/>
              </w:rPr>
              <w:t>innovation et la créativité.</w:t>
            </w:r>
          </w:p>
        </w:tc>
      </w:tr>
      <w:tr w:rsidR="00BA5EA9" w:rsidRPr="001E6DFD" w14:paraId="3567478A" w14:textId="77777777" w:rsidTr="00A055E7">
        <w:tc>
          <w:tcPr>
            <w:tcW w:w="1074" w:type="pct"/>
            <w:shd w:val="clear" w:color="auto" w:fill="auto"/>
            <w:tcMar>
              <w:left w:w="58" w:type="dxa"/>
              <w:right w:w="58" w:type="dxa"/>
            </w:tcMar>
            <w:vAlign w:val="center"/>
          </w:tcPr>
          <w:p w14:paraId="0B4B16AD" w14:textId="7B174034" w:rsidR="00BA5EA9" w:rsidRPr="001E6DFD" w:rsidRDefault="00C8218F"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124" w:type="pct"/>
            <w:shd w:val="clear" w:color="auto" w:fill="auto"/>
            <w:tcMar>
              <w:left w:w="58" w:type="dxa"/>
              <w:right w:w="58" w:type="dxa"/>
            </w:tcMar>
            <w:vAlign w:val="center"/>
          </w:tcPr>
          <w:p w14:paraId="5AB1AC55" w14:textId="77777777" w:rsidR="00BA5EA9" w:rsidRPr="001E6DFD" w:rsidRDefault="00C8218F" w:rsidP="0097226C">
            <w:pPr>
              <w:jc w:val="center"/>
              <w:rPr>
                <w:b/>
                <w:bCs/>
                <w:sz w:val="16"/>
                <w:szCs w:val="16"/>
              </w:rPr>
            </w:pPr>
            <w:r w:rsidRPr="001E6DFD">
              <w:rPr>
                <w:b/>
                <w:bCs/>
                <w:sz w:val="16"/>
                <w:szCs w:val="16"/>
              </w:rPr>
              <w:t>Niveaux de référence</w:t>
            </w:r>
          </w:p>
        </w:tc>
        <w:tc>
          <w:tcPr>
            <w:tcW w:w="1124" w:type="pct"/>
            <w:shd w:val="clear" w:color="auto" w:fill="auto"/>
            <w:tcMar>
              <w:top w:w="110" w:type="dxa"/>
              <w:left w:w="58" w:type="dxa"/>
              <w:right w:w="58" w:type="dxa"/>
            </w:tcMar>
            <w:vAlign w:val="center"/>
          </w:tcPr>
          <w:p w14:paraId="6D2D2FA3" w14:textId="77777777" w:rsidR="00BA5EA9" w:rsidRPr="001E6DFD" w:rsidRDefault="00C8218F" w:rsidP="0097226C">
            <w:pPr>
              <w:tabs>
                <w:tab w:val="left" w:pos="290"/>
              </w:tabs>
              <w:jc w:val="center"/>
              <w:rPr>
                <w:b/>
                <w:bCs/>
                <w:sz w:val="16"/>
                <w:szCs w:val="16"/>
              </w:rPr>
            </w:pPr>
            <w:r w:rsidRPr="001E6DFD">
              <w:rPr>
                <w:b/>
                <w:bCs/>
                <w:sz w:val="16"/>
                <w:szCs w:val="16"/>
              </w:rPr>
              <w:t>Objectifs visés</w:t>
            </w:r>
          </w:p>
        </w:tc>
        <w:tc>
          <w:tcPr>
            <w:tcW w:w="1179" w:type="pct"/>
            <w:shd w:val="clear" w:color="auto" w:fill="FFFFFF"/>
            <w:tcMar>
              <w:top w:w="110" w:type="dxa"/>
              <w:left w:w="58" w:type="dxa"/>
              <w:right w:w="58" w:type="dxa"/>
            </w:tcMar>
            <w:vAlign w:val="center"/>
          </w:tcPr>
          <w:p w14:paraId="79897C98" w14:textId="18389E59" w:rsidR="00BA5EA9" w:rsidRPr="001E6DFD" w:rsidRDefault="00C8218F"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00" w:type="pct"/>
            <w:shd w:val="clear" w:color="auto" w:fill="auto"/>
            <w:tcMar>
              <w:top w:w="110" w:type="dxa"/>
              <w:left w:w="58" w:type="dxa"/>
              <w:right w:w="58" w:type="dxa"/>
            </w:tcMar>
            <w:vAlign w:val="center"/>
          </w:tcPr>
          <w:p w14:paraId="2A7DC124" w14:textId="03AC8E67"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4C67251B" w14:textId="77777777" w:rsidTr="00A055E7">
        <w:tc>
          <w:tcPr>
            <w:tcW w:w="1074" w:type="pct"/>
            <w:shd w:val="clear" w:color="auto" w:fill="auto"/>
            <w:tcMar>
              <w:left w:w="58" w:type="dxa"/>
              <w:right w:w="58" w:type="dxa"/>
            </w:tcMar>
          </w:tcPr>
          <w:p w14:paraId="56303B38" w14:textId="59522B8C" w:rsidR="00BA5EA9" w:rsidRPr="001E6DFD" w:rsidRDefault="00CB67C4" w:rsidP="0097226C">
            <w:pPr>
              <w:rPr>
                <w:sz w:val="16"/>
                <w:szCs w:val="16"/>
              </w:rPr>
            </w:pPr>
            <w:r w:rsidRPr="001E6DFD">
              <w:rPr>
                <w:sz w:val="16"/>
                <w:szCs w:val="16"/>
              </w:rPr>
              <w:t>Nombre d</w:t>
            </w:r>
            <w:r w:rsidR="00FA22F6" w:rsidRPr="001E6DFD">
              <w:rPr>
                <w:sz w:val="16"/>
                <w:szCs w:val="16"/>
              </w:rPr>
              <w:t>’</w:t>
            </w:r>
            <w:r w:rsidRPr="001E6DFD">
              <w:rPr>
                <w:sz w:val="16"/>
                <w:szCs w:val="16"/>
              </w:rPr>
              <w:t>utilisateurs différents par trimestre dans tous les systèmes de bases de données mondiales</w:t>
            </w:r>
            <w:r w:rsidR="00BA5EA9" w:rsidRPr="001E6DFD">
              <w:rPr>
                <w:sz w:val="16"/>
                <w:szCs w:val="16"/>
              </w:rPr>
              <w:t xml:space="preserve"> </w:t>
            </w:r>
          </w:p>
        </w:tc>
        <w:tc>
          <w:tcPr>
            <w:tcW w:w="1124" w:type="pct"/>
            <w:shd w:val="clear" w:color="auto" w:fill="auto"/>
            <w:tcMar>
              <w:left w:w="58" w:type="dxa"/>
              <w:right w:w="58" w:type="dxa"/>
            </w:tcMar>
          </w:tcPr>
          <w:p w14:paraId="135CB521" w14:textId="6CA78C63" w:rsidR="001F64B1" w:rsidRPr="000F7B07" w:rsidRDefault="00E64532" w:rsidP="0097226C">
            <w:pPr>
              <w:rPr>
                <w:i/>
                <w:color w:val="002060"/>
                <w:sz w:val="16"/>
                <w:szCs w:val="16"/>
              </w:rPr>
            </w:pPr>
            <w:r w:rsidRPr="000F7B07">
              <w:rPr>
                <w:i/>
                <w:color w:val="002060"/>
                <w:sz w:val="16"/>
                <w:szCs w:val="16"/>
              </w:rPr>
              <w:t>Niveau de référence actualisé à fin</w:t>
            </w:r>
            <w:r w:rsidR="00B4191E" w:rsidRPr="000F7B07">
              <w:rPr>
                <w:i/>
                <w:color w:val="002060"/>
                <w:sz w:val="16"/>
                <w:szCs w:val="16"/>
              </w:rPr>
              <w:t> </w:t>
            </w:r>
            <w:r w:rsidRPr="000F7B07">
              <w:rPr>
                <w:i/>
                <w:color w:val="002060"/>
                <w:sz w:val="16"/>
                <w:szCs w:val="16"/>
              </w:rPr>
              <w:t>2015</w:t>
            </w:r>
            <w:r w:rsidR="00FA22F6" w:rsidRPr="000F7B07">
              <w:rPr>
                <w:i/>
                <w:color w:val="002060"/>
                <w:sz w:val="16"/>
                <w:szCs w:val="16"/>
              </w:rPr>
              <w:t> :</w:t>
            </w:r>
          </w:p>
          <w:p w14:paraId="51C1F98D" w14:textId="681D7DA8" w:rsidR="00FA22F6" w:rsidRPr="000F7B07" w:rsidRDefault="003F4719" w:rsidP="0097226C">
            <w:pPr>
              <w:rPr>
                <w:color w:val="002060"/>
                <w:sz w:val="16"/>
                <w:szCs w:val="16"/>
              </w:rPr>
            </w:pPr>
            <w:r w:rsidRPr="000F7B07">
              <w:rPr>
                <w:color w:val="002060"/>
                <w:sz w:val="16"/>
                <w:szCs w:val="16"/>
              </w:rPr>
              <w:t>PATENTSCOPE</w:t>
            </w:r>
            <w:r w:rsidR="00FA22F6" w:rsidRPr="000F7B07">
              <w:rPr>
                <w:color w:val="002060"/>
                <w:sz w:val="16"/>
                <w:szCs w:val="16"/>
              </w:rPr>
              <w:t> :</w:t>
            </w:r>
            <w:r w:rsidR="00BA5EA9" w:rsidRPr="000F7B07">
              <w:rPr>
                <w:color w:val="002060"/>
                <w:sz w:val="16"/>
                <w:szCs w:val="16"/>
              </w:rPr>
              <w:t xml:space="preserve"> 221</w:t>
            </w:r>
            <w:r w:rsidR="004D421A" w:rsidRPr="000F7B07">
              <w:rPr>
                <w:color w:val="002060"/>
                <w:sz w:val="16"/>
                <w:szCs w:val="16"/>
              </w:rPr>
              <w:t> </w:t>
            </w:r>
            <w:r w:rsidR="00BA5EA9" w:rsidRPr="000F7B07">
              <w:rPr>
                <w:color w:val="002060"/>
                <w:sz w:val="16"/>
                <w:szCs w:val="16"/>
              </w:rPr>
              <w:t>981</w:t>
            </w:r>
          </w:p>
          <w:p w14:paraId="30F2CEA8" w14:textId="4E6A8B12" w:rsidR="00FA22F6" w:rsidRPr="000F7B07" w:rsidRDefault="003F4719" w:rsidP="0097226C">
            <w:pPr>
              <w:rPr>
                <w:color w:val="002060"/>
                <w:sz w:val="16"/>
                <w:szCs w:val="16"/>
              </w:rPr>
            </w:pPr>
            <w:r w:rsidRPr="000F7B07">
              <w:rPr>
                <w:color w:val="002060"/>
                <w:sz w:val="16"/>
                <w:szCs w:val="16"/>
              </w:rPr>
              <w:t>Base de données mondiale sur les marques</w:t>
            </w:r>
            <w:r w:rsidR="00FA22F6" w:rsidRPr="000F7B07">
              <w:rPr>
                <w:color w:val="002060"/>
                <w:sz w:val="16"/>
                <w:szCs w:val="16"/>
              </w:rPr>
              <w:t> :</w:t>
            </w:r>
            <w:r w:rsidR="00BA5EA9" w:rsidRPr="000F7B07">
              <w:rPr>
                <w:color w:val="002060"/>
                <w:sz w:val="16"/>
                <w:szCs w:val="16"/>
              </w:rPr>
              <w:t xml:space="preserve"> 80</w:t>
            </w:r>
            <w:r w:rsidR="004D421A" w:rsidRPr="000F7B07">
              <w:rPr>
                <w:color w:val="002060"/>
                <w:sz w:val="16"/>
                <w:szCs w:val="16"/>
              </w:rPr>
              <w:t> </w:t>
            </w:r>
            <w:r w:rsidR="00BA5EA9" w:rsidRPr="000F7B07">
              <w:rPr>
                <w:color w:val="002060"/>
                <w:sz w:val="16"/>
                <w:szCs w:val="16"/>
              </w:rPr>
              <w:t>490</w:t>
            </w:r>
          </w:p>
          <w:p w14:paraId="7D01CEC4" w14:textId="542EEC93" w:rsidR="00FA22F6" w:rsidRPr="000F7B07" w:rsidRDefault="003F4719" w:rsidP="0097226C">
            <w:pPr>
              <w:rPr>
                <w:color w:val="002060"/>
                <w:sz w:val="16"/>
                <w:szCs w:val="16"/>
              </w:rPr>
            </w:pPr>
            <w:r w:rsidRPr="000F7B07">
              <w:rPr>
                <w:color w:val="002060"/>
                <w:sz w:val="16"/>
                <w:szCs w:val="16"/>
              </w:rPr>
              <w:t>Base de données mondiale sur les dessins et modèles</w:t>
            </w:r>
            <w:r w:rsidR="00FA22F6" w:rsidRPr="000F7B07">
              <w:rPr>
                <w:color w:val="002060"/>
                <w:sz w:val="16"/>
                <w:szCs w:val="16"/>
              </w:rPr>
              <w:t> :</w:t>
            </w:r>
          </w:p>
          <w:p w14:paraId="7BF312D7" w14:textId="686600BC" w:rsidR="00FA22F6" w:rsidRPr="000F7B07" w:rsidRDefault="00BA5EA9" w:rsidP="0097226C">
            <w:pPr>
              <w:rPr>
                <w:color w:val="002060"/>
                <w:sz w:val="16"/>
                <w:szCs w:val="16"/>
              </w:rPr>
            </w:pPr>
            <w:r w:rsidRPr="000F7B07">
              <w:rPr>
                <w:color w:val="002060"/>
                <w:sz w:val="16"/>
                <w:szCs w:val="16"/>
              </w:rPr>
              <w:t>13</w:t>
            </w:r>
            <w:r w:rsidR="004D421A" w:rsidRPr="000F7B07">
              <w:rPr>
                <w:color w:val="002060"/>
                <w:sz w:val="16"/>
                <w:szCs w:val="16"/>
              </w:rPr>
              <w:t> </w:t>
            </w:r>
            <w:r w:rsidRPr="000F7B07">
              <w:rPr>
                <w:color w:val="002060"/>
                <w:sz w:val="16"/>
                <w:szCs w:val="16"/>
              </w:rPr>
              <w:t>946</w:t>
            </w:r>
          </w:p>
          <w:p w14:paraId="78A081AC" w14:textId="6DEEC471" w:rsidR="001F64B1" w:rsidRPr="001E6DFD" w:rsidRDefault="001F64B1" w:rsidP="0097226C">
            <w:pPr>
              <w:rPr>
                <w:sz w:val="16"/>
                <w:szCs w:val="16"/>
              </w:rPr>
            </w:pPr>
          </w:p>
          <w:p w14:paraId="71E4DF79" w14:textId="6DDA7547"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8C1DEB7" w14:textId="09368BE4" w:rsidR="00FA22F6" w:rsidRPr="001E6DFD" w:rsidRDefault="00A76AA3" w:rsidP="0097226C">
            <w:pPr>
              <w:rPr>
                <w:sz w:val="16"/>
                <w:szCs w:val="16"/>
              </w:rPr>
            </w:pPr>
            <w:r w:rsidRPr="001E6DFD">
              <w:rPr>
                <w:sz w:val="16"/>
                <w:szCs w:val="16"/>
              </w:rPr>
              <w:t>visiteurs uniques</w:t>
            </w:r>
            <w:r w:rsidR="00BA5EA9" w:rsidRPr="001E6DFD">
              <w:rPr>
                <w:sz w:val="16"/>
                <w:szCs w:val="16"/>
              </w:rPr>
              <w:t xml:space="preserve"> (</w:t>
            </w:r>
            <w:r w:rsidR="003F4719" w:rsidRPr="001E6DFD">
              <w:rPr>
                <w:sz w:val="16"/>
                <w:szCs w:val="16"/>
              </w:rPr>
              <w:t>4</w:t>
            </w:r>
            <w:r w:rsidR="003F4719" w:rsidRPr="001E6DFD">
              <w:rPr>
                <w:sz w:val="16"/>
                <w:szCs w:val="16"/>
                <w:vertAlign w:val="superscript"/>
              </w:rPr>
              <w:t>e</w:t>
            </w:r>
            <w:r w:rsidR="003F4719" w:rsidRPr="001E6DFD">
              <w:rPr>
                <w:sz w:val="16"/>
                <w:szCs w:val="16"/>
              </w:rPr>
              <w:t> trimestre</w:t>
            </w:r>
            <w:r w:rsidR="00B4191E">
              <w:rPr>
                <w:sz w:val="16"/>
                <w:szCs w:val="16"/>
              </w:rPr>
              <w:t> </w:t>
            </w:r>
            <w:r w:rsidR="00BA5EA9" w:rsidRPr="001E6DFD">
              <w:rPr>
                <w:sz w:val="16"/>
                <w:szCs w:val="16"/>
              </w:rPr>
              <w:t>2014) PATENTSCOPE</w:t>
            </w:r>
            <w:r w:rsidR="004D421A" w:rsidRPr="001E6DFD">
              <w:rPr>
                <w:sz w:val="16"/>
                <w:szCs w:val="16"/>
              </w:rPr>
              <w:t> :</w:t>
            </w:r>
            <w:r w:rsidR="00BA5EA9" w:rsidRPr="001E6DFD">
              <w:rPr>
                <w:sz w:val="16"/>
                <w:szCs w:val="16"/>
              </w:rPr>
              <w:t xml:space="preserve"> 5</w:t>
            </w:r>
            <w:r w:rsidR="00282CF5" w:rsidRPr="001E6DFD">
              <w:rPr>
                <w:sz w:val="16"/>
                <w:szCs w:val="16"/>
              </w:rPr>
              <w:t>92 000</w:t>
            </w:r>
            <w:r w:rsidR="00BA5EA9" w:rsidRPr="001E6DFD">
              <w:rPr>
                <w:sz w:val="16"/>
                <w:szCs w:val="16"/>
              </w:rPr>
              <w:t>;</w:t>
            </w:r>
          </w:p>
          <w:p w14:paraId="677DC8F9" w14:textId="5BAA5C8F" w:rsidR="00FA22F6" w:rsidRPr="001E6DFD" w:rsidRDefault="003F4719" w:rsidP="0097226C">
            <w:pPr>
              <w:rPr>
                <w:sz w:val="16"/>
                <w:szCs w:val="16"/>
              </w:rPr>
            </w:pPr>
            <w:r w:rsidRPr="001E6DFD">
              <w:rPr>
                <w:sz w:val="16"/>
                <w:szCs w:val="16"/>
              </w:rPr>
              <w:t>Base de données mondiale sur les marques</w:t>
            </w:r>
            <w:r w:rsidR="00FA22F6" w:rsidRPr="001E6DFD">
              <w:rPr>
                <w:sz w:val="16"/>
                <w:szCs w:val="16"/>
              </w:rPr>
              <w:t> :</w:t>
            </w:r>
            <w:r w:rsidRPr="001E6DFD">
              <w:rPr>
                <w:sz w:val="16"/>
                <w:szCs w:val="16"/>
              </w:rPr>
              <w:t xml:space="preserve"> </w:t>
            </w:r>
            <w:r w:rsidR="00BA5EA9" w:rsidRPr="001E6DFD">
              <w:rPr>
                <w:sz w:val="16"/>
                <w:szCs w:val="16"/>
              </w:rPr>
              <w:t>49</w:t>
            </w:r>
            <w:r w:rsidR="004D421A" w:rsidRPr="001E6DFD">
              <w:rPr>
                <w:sz w:val="16"/>
                <w:szCs w:val="16"/>
              </w:rPr>
              <w:t> </w:t>
            </w:r>
            <w:r w:rsidR="00BA5EA9" w:rsidRPr="001E6DFD">
              <w:rPr>
                <w:sz w:val="16"/>
                <w:szCs w:val="16"/>
              </w:rPr>
              <w:t xml:space="preserve">000;  </w:t>
            </w:r>
            <w:r w:rsidRPr="001E6DFD">
              <w:rPr>
                <w:sz w:val="16"/>
                <w:szCs w:val="16"/>
              </w:rPr>
              <w:t>Base de données mondiale sur les dessins et modèles</w:t>
            </w:r>
            <w:r w:rsidR="00FA22F6" w:rsidRPr="001E6DFD">
              <w:rPr>
                <w:sz w:val="16"/>
                <w:szCs w:val="16"/>
              </w:rPr>
              <w:t> :</w:t>
            </w:r>
          </w:p>
          <w:p w14:paraId="541B4E63" w14:textId="2089F4B7" w:rsidR="00BA5EA9" w:rsidRPr="001E6DFD" w:rsidRDefault="003F4719" w:rsidP="0097226C">
            <w:pPr>
              <w:rPr>
                <w:sz w:val="16"/>
                <w:szCs w:val="16"/>
              </w:rPr>
            </w:pPr>
            <w:proofErr w:type="spellStart"/>
            <w:r w:rsidRPr="001E6DFD">
              <w:rPr>
                <w:sz w:val="16"/>
                <w:szCs w:val="16"/>
              </w:rPr>
              <w:t>n.d</w:t>
            </w:r>
            <w:proofErr w:type="spellEnd"/>
            <w:r w:rsidRPr="001E6DFD">
              <w:rPr>
                <w:sz w:val="16"/>
                <w:szCs w:val="16"/>
              </w:rPr>
              <w:t>.</w:t>
            </w:r>
          </w:p>
        </w:tc>
        <w:tc>
          <w:tcPr>
            <w:tcW w:w="1124" w:type="pct"/>
            <w:shd w:val="clear" w:color="auto" w:fill="auto"/>
            <w:tcMar>
              <w:top w:w="110" w:type="dxa"/>
              <w:left w:w="58" w:type="dxa"/>
              <w:right w:w="58" w:type="dxa"/>
            </w:tcMar>
          </w:tcPr>
          <w:p w14:paraId="6504A1ED" w14:textId="74E71EB9" w:rsidR="00FA22F6" w:rsidRPr="000F7B07" w:rsidRDefault="00AC7D97" w:rsidP="0097226C">
            <w:pPr>
              <w:rPr>
                <w:i/>
                <w:color w:val="002060"/>
                <w:sz w:val="16"/>
                <w:szCs w:val="16"/>
              </w:rPr>
            </w:pPr>
            <w:r w:rsidRPr="000F7B07">
              <w:rPr>
                <w:i/>
                <w:color w:val="002060"/>
                <w:sz w:val="16"/>
                <w:szCs w:val="16"/>
              </w:rPr>
              <w:t>Objectif actualisé</w:t>
            </w:r>
            <w:r w:rsidR="00FA22F6" w:rsidRPr="000F7B07">
              <w:rPr>
                <w:i/>
                <w:color w:val="002060"/>
                <w:sz w:val="16"/>
                <w:szCs w:val="16"/>
              </w:rPr>
              <w:t> :</w:t>
            </w:r>
          </w:p>
          <w:p w14:paraId="756853ED" w14:textId="31ADBFB4" w:rsidR="001F64B1" w:rsidRPr="000F7B07" w:rsidRDefault="003F4719" w:rsidP="0097226C">
            <w:pPr>
              <w:rPr>
                <w:color w:val="002060"/>
                <w:sz w:val="16"/>
                <w:szCs w:val="16"/>
                <w:lang w:bidi="th-TH"/>
              </w:rPr>
            </w:pPr>
            <w:r w:rsidRPr="000F7B07">
              <w:rPr>
                <w:color w:val="002060"/>
                <w:sz w:val="16"/>
                <w:szCs w:val="16"/>
                <w:lang w:bidi="th-TH"/>
              </w:rPr>
              <w:t>PATENTSCOPE</w:t>
            </w:r>
            <w:r w:rsidR="00FA22F6" w:rsidRPr="000F7B07">
              <w:rPr>
                <w:color w:val="002060"/>
                <w:sz w:val="16"/>
                <w:szCs w:val="16"/>
                <w:lang w:bidi="th-TH"/>
              </w:rPr>
              <w:t> :</w:t>
            </w:r>
            <w:r w:rsidRPr="000F7B07">
              <w:rPr>
                <w:color w:val="002060"/>
                <w:sz w:val="16"/>
                <w:szCs w:val="16"/>
                <w:lang w:bidi="th-TH"/>
              </w:rPr>
              <w:t xml:space="preserve"> 250</w:t>
            </w:r>
            <w:r w:rsidR="004D421A" w:rsidRPr="000F7B07">
              <w:rPr>
                <w:color w:val="002060"/>
                <w:sz w:val="16"/>
                <w:szCs w:val="16"/>
                <w:lang w:bidi="th-TH"/>
              </w:rPr>
              <w:t> </w:t>
            </w:r>
            <w:r w:rsidRPr="000F7B07">
              <w:rPr>
                <w:color w:val="002060"/>
                <w:sz w:val="16"/>
                <w:szCs w:val="16"/>
                <w:lang w:bidi="th-TH"/>
              </w:rPr>
              <w:t>000</w:t>
            </w:r>
          </w:p>
          <w:p w14:paraId="3E68A023" w14:textId="463FE31A" w:rsidR="001F64B1" w:rsidRPr="000F7B07" w:rsidRDefault="003F4719" w:rsidP="0097226C">
            <w:pPr>
              <w:rPr>
                <w:color w:val="002060"/>
                <w:sz w:val="16"/>
                <w:szCs w:val="16"/>
                <w:lang w:bidi="th-TH"/>
              </w:rPr>
            </w:pPr>
            <w:r w:rsidRPr="000F7B07">
              <w:rPr>
                <w:color w:val="002060"/>
                <w:sz w:val="16"/>
                <w:szCs w:val="16"/>
              </w:rPr>
              <w:t>Base de données mondiale sur les marques</w:t>
            </w:r>
            <w:r w:rsidR="00FA22F6" w:rsidRPr="000F7B07">
              <w:rPr>
                <w:color w:val="002060"/>
                <w:sz w:val="16"/>
                <w:szCs w:val="16"/>
              </w:rPr>
              <w:t> :</w:t>
            </w:r>
            <w:r w:rsidRPr="000F7B07">
              <w:rPr>
                <w:color w:val="002060"/>
                <w:sz w:val="16"/>
                <w:szCs w:val="16"/>
              </w:rPr>
              <w:t xml:space="preserve"> </w:t>
            </w:r>
            <w:r w:rsidR="00BA5EA9" w:rsidRPr="000F7B07">
              <w:rPr>
                <w:color w:val="002060"/>
                <w:sz w:val="16"/>
                <w:szCs w:val="16"/>
              </w:rPr>
              <w:t>75</w:t>
            </w:r>
            <w:r w:rsidRPr="000F7B07">
              <w:rPr>
                <w:color w:val="002060"/>
                <w:sz w:val="16"/>
                <w:szCs w:val="16"/>
              </w:rPr>
              <w:t> </w:t>
            </w:r>
            <w:r w:rsidR="00BA5EA9" w:rsidRPr="000F7B07">
              <w:rPr>
                <w:color w:val="002060"/>
                <w:sz w:val="16"/>
                <w:szCs w:val="16"/>
              </w:rPr>
              <w:t>000</w:t>
            </w:r>
          </w:p>
          <w:p w14:paraId="4A77FFE9" w14:textId="1DE26DB3" w:rsidR="00FA22F6" w:rsidRPr="000F7B07" w:rsidRDefault="003F4719" w:rsidP="0097226C">
            <w:pPr>
              <w:rPr>
                <w:color w:val="002060"/>
                <w:sz w:val="16"/>
                <w:szCs w:val="16"/>
              </w:rPr>
            </w:pPr>
            <w:r w:rsidRPr="000F7B07">
              <w:rPr>
                <w:color w:val="002060"/>
                <w:sz w:val="16"/>
                <w:szCs w:val="16"/>
              </w:rPr>
              <w:t>Base de données mondiale sur les dessins et modèles</w:t>
            </w:r>
            <w:r w:rsidR="00FA22F6" w:rsidRPr="000F7B07">
              <w:rPr>
                <w:color w:val="002060"/>
                <w:sz w:val="16"/>
                <w:szCs w:val="16"/>
              </w:rPr>
              <w:t> :</w:t>
            </w:r>
          </w:p>
          <w:p w14:paraId="3CF8035D" w14:textId="5F93F702" w:rsidR="001F64B1" w:rsidRPr="000F7B07" w:rsidRDefault="00BA5EA9" w:rsidP="0097226C">
            <w:pPr>
              <w:rPr>
                <w:color w:val="002060"/>
                <w:sz w:val="16"/>
                <w:szCs w:val="16"/>
                <w:lang w:bidi="th-TH"/>
              </w:rPr>
            </w:pPr>
            <w:r w:rsidRPr="000F7B07">
              <w:rPr>
                <w:color w:val="002060"/>
                <w:sz w:val="16"/>
                <w:szCs w:val="16"/>
              </w:rPr>
              <w:t>15</w:t>
            </w:r>
            <w:r w:rsidR="003F4719" w:rsidRPr="000F7B07">
              <w:rPr>
                <w:color w:val="002060"/>
                <w:sz w:val="16"/>
                <w:szCs w:val="16"/>
              </w:rPr>
              <w:t> </w:t>
            </w:r>
            <w:r w:rsidRPr="000F7B07">
              <w:rPr>
                <w:color w:val="002060"/>
                <w:sz w:val="16"/>
                <w:szCs w:val="16"/>
              </w:rPr>
              <w:t>000</w:t>
            </w:r>
          </w:p>
          <w:p w14:paraId="11A5E1AD" w14:textId="77777777" w:rsidR="001F64B1" w:rsidRPr="001E6DFD" w:rsidRDefault="001F64B1" w:rsidP="0097226C">
            <w:pPr>
              <w:rPr>
                <w:i/>
                <w:sz w:val="16"/>
                <w:szCs w:val="16"/>
                <w:lang w:bidi="th-TH"/>
              </w:rPr>
            </w:pPr>
          </w:p>
          <w:p w14:paraId="65113A70" w14:textId="46D413FA" w:rsidR="00FA22F6" w:rsidRPr="001E6DFD" w:rsidRDefault="00AC7D97" w:rsidP="0097226C">
            <w:pPr>
              <w:rPr>
                <w:i/>
                <w:sz w:val="16"/>
                <w:szCs w:val="16"/>
                <w:lang w:bidi="th-TH"/>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085169D9" w14:textId="71A0297D" w:rsidR="00FA22F6" w:rsidRPr="001E6DFD" w:rsidRDefault="003F4719" w:rsidP="0097226C">
            <w:pPr>
              <w:rPr>
                <w:sz w:val="16"/>
                <w:szCs w:val="16"/>
              </w:rPr>
            </w:pPr>
            <w:r w:rsidRPr="001E6DFD">
              <w:rPr>
                <w:sz w:val="16"/>
                <w:szCs w:val="16"/>
              </w:rPr>
              <w:t>PATENTSCOPE</w:t>
            </w:r>
            <w:r w:rsidR="00FA22F6" w:rsidRPr="001E6DFD">
              <w:rPr>
                <w:sz w:val="16"/>
                <w:szCs w:val="16"/>
              </w:rPr>
              <w:t> :</w:t>
            </w:r>
            <w:r w:rsidRPr="001E6DFD">
              <w:rPr>
                <w:sz w:val="16"/>
                <w:szCs w:val="16"/>
              </w:rPr>
              <w:t xml:space="preserve"> 650</w:t>
            </w:r>
            <w:r w:rsidR="004D421A" w:rsidRPr="001E6DFD">
              <w:rPr>
                <w:sz w:val="16"/>
                <w:szCs w:val="16"/>
              </w:rPr>
              <w:t> </w:t>
            </w:r>
            <w:r w:rsidRPr="001E6DFD">
              <w:rPr>
                <w:sz w:val="16"/>
                <w:szCs w:val="16"/>
              </w:rPr>
              <w:t>000</w:t>
            </w:r>
          </w:p>
          <w:p w14:paraId="17F40191" w14:textId="014EC067" w:rsidR="001F64B1" w:rsidRPr="001E6DFD" w:rsidRDefault="003F4719" w:rsidP="0097226C">
            <w:pPr>
              <w:rPr>
                <w:sz w:val="16"/>
                <w:szCs w:val="16"/>
              </w:rPr>
            </w:pPr>
            <w:r w:rsidRPr="001E6DFD">
              <w:rPr>
                <w:sz w:val="16"/>
                <w:szCs w:val="16"/>
              </w:rPr>
              <w:t>Base de données mondiale sur les marques</w:t>
            </w:r>
            <w:r w:rsidR="00FA22F6" w:rsidRPr="001E6DFD">
              <w:rPr>
                <w:sz w:val="16"/>
                <w:szCs w:val="16"/>
              </w:rPr>
              <w:t> :</w:t>
            </w:r>
            <w:r w:rsidRPr="001E6DFD">
              <w:rPr>
                <w:sz w:val="16"/>
                <w:szCs w:val="16"/>
              </w:rPr>
              <w:t xml:space="preserve"> </w:t>
            </w:r>
            <w:r w:rsidR="00BA5EA9" w:rsidRPr="001E6DFD">
              <w:rPr>
                <w:sz w:val="16"/>
                <w:szCs w:val="16"/>
              </w:rPr>
              <w:t>70</w:t>
            </w:r>
            <w:r w:rsidRPr="001E6DFD">
              <w:rPr>
                <w:sz w:val="16"/>
                <w:szCs w:val="16"/>
              </w:rPr>
              <w:t> </w:t>
            </w:r>
            <w:r w:rsidR="00BA5EA9" w:rsidRPr="001E6DFD">
              <w:rPr>
                <w:sz w:val="16"/>
                <w:szCs w:val="16"/>
              </w:rPr>
              <w:t>000</w:t>
            </w:r>
          </w:p>
          <w:p w14:paraId="37098585" w14:textId="0B36664F" w:rsidR="00FA22F6" w:rsidRPr="001E6DFD" w:rsidRDefault="003F4719" w:rsidP="0097226C">
            <w:pPr>
              <w:rPr>
                <w:sz w:val="16"/>
                <w:szCs w:val="16"/>
              </w:rPr>
            </w:pPr>
            <w:r w:rsidRPr="001E6DFD">
              <w:rPr>
                <w:sz w:val="16"/>
                <w:szCs w:val="16"/>
              </w:rPr>
              <w:t>Base de données mondiale sur les dessins et modèles</w:t>
            </w:r>
            <w:r w:rsidR="00FA22F6" w:rsidRPr="001E6DFD">
              <w:rPr>
                <w:sz w:val="16"/>
                <w:szCs w:val="16"/>
              </w:rPr>
              <w:t> :</w:t>
            </w:r>
          </w:p>
          <w:p w14:paraId="473A11D2" w14:textId="60FBCD8D" w:rsidR="00BA5EA9" w:rsidRPr="001E6DFD" w:rsidRDefault="00BA5EA9" w:rsidP="0097226C">
            <w:pPr>
              <w:rPr>
                <w:sz w:val="16"/>
                <w:szCs w:val="16"/>
              </w:rPr>
            </w:pPr>
            <w:r w:rsidRPr="001E6DFD">
              <w:rPr>
                <w:sz w:val="16"/>
                <w:szCs w:val="16"/>
              </w:rPr>
              <w:t>15</w:t>
            </w:r>
            <w:r w:rsidR="003F4719" w:rsidRPr="001E6DFD">
              <w:rPr>
                <w:sz w:val="16"/>
                <w:szCs w:val="16"/>
              </w:rPr>
              <w:t> </w:t>
            </w:r>
            <w:r w:rsidRPr="001E6DFD">
              <w:rPr>
                <w:sz w:val="16"/>
                <w:szCs w:val="16"/>
              </w:rPr>
              <w:t>000</w:t>
            </w:r>
          </w:p>
        </w:tc>
        <w:tc>
          <w:tcPr>
            <w:tcW w:w="1179" w:type="pct"/>
            <w:shd w:val="clear" w:color="auto" w:fill="FFFFFF"/>
            <w:tcMar>
              <w:top w:w="110" w:type="dxa"/>
              <w:left w:w="58" w:type="dxa"/>
              <w:right w:w="58" w:type="dxa"/>
            </w:tcMar>
          </w:tcPr>
          <w:p w14:paraId="19CA7A09" w14:textId="28649D18" w:rsidR="001F64B1" w:rsidRPr="001E6DFD" w:rsidRDefault="003F4719" w:rsidP="0097226C">
            <w:pPr>
              <w:rPr>
                <w:sz w:val="16"/>
                <w:szCs w:val="16"/>
              </w:rPr>
            </w:pPr>
            <w:r w:rsidRPr="001E6DFD">
              <w:rPr>
                <w:sz w:val="16"/>
                <w:szCs w:val="16"/>
              </w:rPr>
              <w:t>PATENTSCOPE</w:t>
            </w:r>
            <w:r w:rsidR="00FA22F6" w:rsidRPr="001E6DFD">
              <w:rPr>
                <w:sz w:val="16"/>
                <w:szCs w:val="16"/>
              </w:rPr>
              <w:t> :</w:t>
            </w:r>
            <w:r w:rsidRPr="001E6DFD">
              <w:rPr>
                <w:sz w:val="16"/>
                <w:szCs w:val="16"/>
              </w:rPr>
              <w:t xml:space="preserve"> 246</w:t>
            </w:r>
            <w:r w:rsidR="004D421A" w:rsidRPr="001E6DFD">
              <w:rPr>
                <w:sz w:val="16"/>
                <w:szCs w:val="16"/>
              </w:rPr>
              <w:t> </w:t>
            </w:r>
            <w:r w:rsidRPr="001E6DFD">
              <w:rPr>
                <w:sz w:val="16"/>
                <w:szCs w:val="16"/>
              </w:rPr>
              <w:t>516</w:t>
            </w:r>
          </w:p>
          <w:p w14:paraId="07B86F75" w14:textId="2CD209DD" w:rsidR="001F64B1" w:rsidRPr="001E6DFD" w:rsidRDefault="003F4719" w:rsidP="0097226C">
            <w:pPr>
              <w:rPr>
                <w:sz w:val="16"/>
                <w:szCs w:val="16"/>
              </w:rPr>
            </w:pPr>
            <w:r w:rsidRPr="001E6DFD">
              <w:rPr>
                <w:sz w:val="16"/>
                <w:szCs w:val="16"/>
              </w:rPr>
              <w:t>Base de données mondiale sur les marques</w:t>
            </w:r>
            <w:r w:rsidR="00FA22F6" w:rsidRPr="001E6DFD">
              <w:rPr>
                <w:sz w:val="16"/>
                <w:szCs w:val="16"/>
              </w:rPr>
              <w:t> :</w:t>
            </w:r>
            <w:r w:rsidRPr="001E6DFD">
              <w:rPr>
                <w:sz w:val="16"/>
                <w:szCs w:val="16"/>
              </w:rPr>
              <w:t xml:space="preserve"> </w:t>
            </w:r>
            <w:r w:rsidR="00BA5EA9" w:rsidRPr="001E6DFD">
              <w:rPr>
                <w:sz w:val="16"/>
                <w:szCs w:val="16"/>
              </w:rPr>
              <w:t>119</w:t>
            </w:r>
            <w:r w:rsidRPr="001E6DFD">
              <w:rPr>
                <w:sz w:val="16"/>
                <w:szCs w:val="16"/>
              </w:rPr>
              <w:t> </w:t>
            </w:r>
            <w:r w:rsidR="00BA5EA9" w:rsidRPr="001E6DFD">
              <w:rPr>
                <w:sz w:val="16"/>
                <w:szCs w:val="16"/>
              </w:rPr>
              <w:t>208</w:t>
            </w:r>
          </w:p>
          <w:p w14:paraId="4CF6DDF6" w14:textId="43B0227D" w:rsidR="00FA22F6" w:rsidRPr="001E6DFD" w:rsidRDefault="003F4719" w:rsidP="0097226C">
            <w:pPr>
              <w:rPr>
                <w:sz w:val="16"/>
                <w:szCs w:val="16"/>
              </w:rPr>
            </w:pPr>
            <w:r w:rsidRPr="001E6DFD">
              <w:rPr>
                <w:sz w:val="16"/>
                <w:szCs w:val="16"/>
              </w:rPr>
              <w:t>Base de données mondiale sur les dessins et modèles</w:t>
            </w:r>
            <w:r w:rsidR="00FA22F6" w:rsidRPr="001E6DFD">
              <w:rPr>
                <w:sz w:val="16"/>
                <w:szCs w:val="16"/>
              </w:rPr>
              <w:t> :</w:t>
            </w:r>
          </w:p>
          <w:p w14:paraId="7E613174" w14:textId="03541D5B" w:rsidR="001F64B1" w:rsidRPr="001E6DFD" w:rsidRDefault="00BA5EA9" w:rsidP="0097226C">
            <w:pPr>
              <w:rPr>
                <w:sz w:val="16"/>
                <w:szCs w:val="16"/>
              </w:rPr>
            </w:pPr>
            <w:r w:rsidRPr="001E6DFD">
              <w:rPr>
                <w:sz w:val="16"/>
                <w:szCs w:val="16"/>
              </w:rPr>
              <w:t>16</w:t>
            </w:r>
            <w:r w:rsidR="003F4719" w:rsidRPr="001E6DFD">
              <w:rPr>
                <w:sz w:val="16"/>
                <w:szCs w:val="16"/>
              </w:rPr>
              <w:t> </w:t>
            </w:r>
            <w:r w:rsidRPr="001E6DFD">
              <w:rPr>
                <w:sz w:val="16"/>
                <w:szCs w:val="16"/>
              </w:rPr>
              <w:t>868</w:t>
            </w:r>
          </w:p>
          <w:p w14:paraId="01741CFF" w14:textId="0230FB4D" w:rsidR="00BA5EA9" w:rsidRPr="001E6DFD" w:rsidRDefault="003F4719" w:rsidP="000F7B07">
            <w:pPr>
              <w:rPr>
                <w:sz w:val="16"/>
                <w:szCs w:val="16"/>
              </w:rPr>
            </w:pPr>
            <w:r w:rsidRPr="001E6DFD">
              <w:rPr>
                <w:sz w:val="16"/>
                <w:szCs w:val="16"/>
              </w:rPr>
              <w:t>(4</w:t>
            </w:r>
            <w:r w:rsidRPr="001E6DFD">
              <w:rPr>
                <w:sz w:val="16"/>
                <w:szCs w:val="16"/>
                <w:vertAlign w:val="superscript"/>
              </w:rPr>
              <w:t>e</w:t>
            </w:r>
            <w:r w:rsidRPr="001E6DFD">
              <w:rPr>
                <w:sz w:val="16"/>
                <w:szCs w:val="16"/>
              </w:rPr>
              <w:t> trimestre 2016)</w:t>
            </w:r>
          </w:p>
        </w:tc>
        <w:tc>
          <w:tcPr>
            <w:tcW w:w="500" w:type="pct"/>
            <w:shd w:val="clear" w:color="auto" w:fill="auto"/>
            <w:tcMar>
              <w:top w:w="110" w:type="dxa"/>
              <w:left w:w="58" w:type="dxa"/>
              <w:right w:w="58" w:type="dxa"/>
            </w:tcMar>
          </w:tcPr>
          <w:p w14:paraId="5E8917E9" w14:textId="77777777" w:rsidR="00BA5EA9" w:rsidRPr="001E6DFD" w:rsidRDefault="00A43B2F" w:rsidP="0097226C">
            <w:pPr>
              <w:jc w:val="center"/>
              <w:rPr>
                <w:b/>
                <w:sz w:val="16"/>
                <w:szCs w:val="16"/>
              </w:rPr>
            </w:pPr>
            <w:r w:rsidRPr="001E6DFD">
              <w:rPr>
                <w:b/>
                <w:color w:val="00B050"/>
                <w:sz w:val="16"/>
                <w:szCs w:val="16"/>
              </w:rPr>
              <w:t>En bonne voie</w:t>
            </w:r>
          </w:p>
        </w:tc>
      </w:tr>
      <w:tr w:rsidR="00BA5EA9" w:rsidRPr="001E6DFD" w14:paraId="25918ADA" w14:textId="77777777" w:rsidTr="00A055E7">
        <w:tc>
          <w:tcPr>
            <w:tcW w:w="1074" w:type="pct"/>
            <w:shd w:val="clear" w:color="auto" w:fill="auto"/>
            <w:tcMar>
              <w:left w:w="58" w:type="dxa"/>
              <w:right w:w="58" w:type="dxa"/>
            </w:tcMar>
          </w:tcPr>
          <w:p w14:paraId="2C074B7C" w14:textId="77777777" w:rsidR="00BA5EA9" w:rsidRPr="001E6DFD" w:rsidRDefault="00A76AA3" w:rsidP="0097226C">
            <w:pPr>
              <w:rPr>
                <w:sz w:val="16"/>
                <w:szCs w:val="16"/>
              </w:rPr>
            </w:pPr>
            <w:r w:rsidRPr="001E6DFD">
              <w:rPr>
                <w:sz w:val="16"/>
                <w:szCs w:val="16"/>
              </w:rPr>
              <w:t>Nombre de langues dans lesquelles il est possible de faire des recherches multilingues</w:t>
            </w:r>
          </w:p>
        </w:tc>
        <w:tc>
          <w:tcPr>
            <w:tcW w:w="1124" w:type="pct"/>
            <w:shd w:val="clear" w:color="auto" w:fill="auto"/>
            <w:tcMar>
              <w:left w:w="58" w:type="dxa"/>
              <w:right w:w="58" w:type="dxa"/>
            </w:tcMar>
          </w:tcPr>
          <w:p w14:paraId="2EE7A33F" w14:textId="2887A85A" w:rsidR="001F64B1" w:rsidRPr="000F7B07" w:rsidRDefault="00E64532" w:rsidP="0097226C">
            <w:pPr>
              <w:rPr>
                <w:i/>
                <w:color w:val="002060"/>
                <w:sz w:val="16"/>
                <w:szCs w:val="16"/>
              </w:rPr>
            </w:pPr>
            <w:r w:rsidRPr="000F7B07">
              <w:rPr>
                <w:i/>
                <w:color w:val="002060"/>
                <w:sz w:val="16"/>
                <w:szCs w:val="16"/>
              </w:rPr>
              <w:t>Niveau de référence actualisé à fin</w:t>
            </w:r>
            <w:r w:rsidR="00B4191E" w:rsidRPr="000F7B07">
              <w:rPr>
                <w:i/>
                <w:color w:val="002060"/>
                <w:sz w:val="16"/>
                <w:szCs w:val="16"/>
              </w:rPr>
              <w:t> </w:t>
            </w:r>
            <w:r w:rsidRPr="000F7B07">
              <w:rPr>
                <w:i/>
                <w:color w:val="002060"/>
                <w:sz w:val="16"/>
                <w:szCs w:val="16"/>
              </w:rPr>
              <w:t>2015</w:t>
            </w:r>
            <w:r w:rsidR="00FA22F6" w:rsidRPr="000F7B07">
              <w:rPr>
                <w:i/>
                <w:color w:val="002060"/>
                <w:sz w:val="16"/>
                <w:szCs w:val="16"/>
              </w:rPr>
              <w:t> :</w:t>
            </w:r>
          </w:p>
          <w:p w14:paraId="076E8181" w14:textId="1CA01207" w:rsidR="007A2632" w:rsidRPr="000F7B07" w:rsidRDefault="00BA5EA9" w:rsidP="0097226C">
            <w:pPr>
              <w:rPr>
                <w:color w:val="002060"/>
                <w:sz w:val="16"/>
                <w:szCs w:val="16"/>
                <w:lang w:bidi="th-TH"/>
              </w:rPr>
            </w:pPr>
            <w:r w:rsidRPr="000F7B07">
              <w:rPr>
                <w:color w:val="002060"/>
                <w:sz w:val="16"/>
                <w:szCs w:val="16"/>
                <w:lang w:bidi="th-TH"/>
              </w:rPr>
              <w:t>14</w:t>
            </w:r>
            <w:r w:rsidR="00FA22F6" w:rsidRPr="000F7B07">
              <w:rPr>
                <w:color w:val="002060"/>
                <w:sz w:val="16"/>
                <w:szCs w:val="16"/>
                <w:lang w:bidi="th-TH"/>
              </w:rPr>
              <w:t> :</w:t>
            </w:r>
            <w:r w:rsidRPr="000F7B07">
              <w:rPr>
                <w:color w:val="002060"/>
                <w:sz w:val="16"/>
                <w:szCs w:val="16"/>
                <w:lang w:bidi="th-TH"/>
              </w:rPr>
              <w:t xml:space="preserve"> </w:t>
            </w:r>
            <w:r w:rsidR="007A2632" w:rsidRPr="000F7B07">
              <w:rPr>
                <w:color w:val="002060"/>
                <w:sz w:val="16"/>
                <w:szCs w:val="16"/>
                <w:lang w:bidi="th-TH"/>
              </w:rPr>
              <w:t>allemand, anglais, chinois, coréen, danois, espagnol, français, italien, japonais, néerlandais, polonais, portugais, russe, suédois</w:t>
            </w:r>
          </w:p>
          <w:p w14:paraId="356AEEA2" w14:textId="77777777" w:rsidR="001F64B1" w:rsidRPr="001E6DFD" w:rsidRDefault="001F64B1" w:rsidP="0097226C">
            <w:pPr>
              <w:rPr>
                <w:sz w:val="16"/>
                <w:szCs w:val="16"/>
              </w:rPr>
            </w:pPr>
          </w:p>
          <w:p w14:paraId="6F229BBD" w14:textId="4DD1B758"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6B18239F" w14:textId="35ADFF29" w:rsidR="00BA5EA9" w:rsidRPr="001E6DFD" w:rsidRDefault="00A76AA3" w:rsidP="0097226C">
            <w:pPr>
              <w:rPr>
                <w:sz w:val="16"/>
                <w:szCs w:val="16"/>
              </w:rPr>
            </w:pPr>
            <w:r w:rsidRPr="001E6DFD">
              <w:rPr>
                <w:sz w:val="16"/>
                <w:szCs w:val="16"/>
              </w:rPr>
              <w:t>12 (fin 2014)</w:t>
            </w:r>
          </w:p>
        </w:tc>
        <w:tc>
          <w:tcPr>
            <w:tcW w:w="1124" w:type="pct"/>
            <w:shd w:val="clear" w:color="auto" w:fill="auto"/>
            <w:tcMar>
              <w:top w:w="110" w:type="dxa"/>
              <w:left w:w="58" w:type="dxa"/>
              <w:right w:w="58" w:type="dxa"/>
            </w:tcMar>
          </w:tcPr>
          <w:p w14:paraId="181B8772" w14:textId="77777777" w:rsidR="00BA5EA9" w:rsidRPr="001E6DFD" w:rsidRDefault="00BA5EA9" w:rsidP="0097226C">
            <w:pPr>
              <w:rPr>
                <w:sz w:val="16"/>
                <w:szCs w:val="16"/>
                <w:lang w:bidi="th-TH"/>
              </w:rPr>
            </w:pPr>
            <w:r w:rsidRPr="001E6DFD">
              <w:rPr>
                <w:sz w:val="16"/>
                <w:szCs w:val="16"/>
                <w:lang w:bidi="th-TH"/>
              </w:rPr>
              <w:t>14</w:t>
            </w:r>
          </w:p>
        </w:tc>
        <w:tc>
          <w:tcPr>
            <w:tcW w:w="1179" w:type="pct"/>
            <w:shd w:val="clear" w:color="auto" w:fill="FFFFFF"/>
            <w:tcMar>
              <w:top w:w="110" w:type="dxa"/>
              <w:left w:w="58" w:type="dxa"/>
              <w:right w:w="58" w:type="dxa"/>
            </w:tcMar>
          </w:tcPr>
          <w:p w14:paraId="7327DD7A" w14:textId="52BD242E" w:rsidR="001F64B1" w:rsidRPr="000F7B07" w:rsidRDefault="005D6DC1" w:rsidP="0097226C">
            <w:pPr>
              <w:rPr>
                <w:sz w:val="16"/>
                <w:szCs w:val="16"/>
              </w:rPr>
            </w:pPr>
            <w:r w:rsidRPr="000F7B07">
              <w:rPr>
                <w:sz w:val="16"/>
                <w:szCs w:val="16"/>
              </w:rPr>
              <w:t xml:space="preserve">Aucune langue supplémentaire </w:t>
            </w:r>
            <w:r w:rsidR="00FA22F6" w:rsidRPr="000F7B07">
              <w:rPr>
                <w:sz w:val="16"/>
                <w:szCs w:val="16"/>
              </w:rPr>
              <w:t>en 2016</w:t>
            </w:r>
          </w:p>
          <w:p w14:paraId="5B6892F2" w14:textId="77777777" w:rsidR="001F64B1" w:rsidRPr="001303B4" w:rsidRDefault="001F64B1" w:rsidP="0097226C">
            <w:pPr>
              <w:rPr>
                <w:sz w:val="16"/>
                <w:szCs w:val="16"/>
              </w:rPr>
            </w:pPr>
          </w:p>
          <w:p w14:paraId="55DA310B" w14:textId="36EB5EC9" w:rsidR="00BA5EA9" w:rsidRPr="000F7B07" w:rsidRDefault="00BA5EA9" w:rsidP="0097226C">
            <w:pPr>
              <w:rPr>
                <w:sz w:val="16"/>
                <w:szCs w:val="16"/>
              </w:rPr>
            </w:pPr>
            <w:r w:rsidRPr="000F7B07">
              <w:rPr>
                <w:sz w:val="16"/>
                <w:szCs w:val="16"/>
              </w:rPr>
              <w:t xml:space="preserve">14 </w:t>
            </w:r>
            <w:r w:rsidR="006D3E1A" w:rsidRPr="000F7B07">
              <w:rPr>
                <w:sz w:val="16"/>
                <w:szCs w:val="16"/>
              </w:rPr>
              <w:t xml:space="preserve">langues au total </w:t>
            </w:r>
          </w:p>
        </w:tc>
        <w:tc>
          <w:tcPr>
            <w:tcW w:w="500" w:type="pct"/>
            <w:shd w:val="clear" w:color="auto" w:fill="auto"/>
            <w:tcMar>
              <w:top w:w="110" w:type="dxa"/>
              <w:left w:w="58" w:type="dxa"/>
              <w:right w:w="58" w:type="dxa"/>
            </w:tcMar>
          </w:tcPr>
          <w:p w14:paraId="2E9858C0" w14:textId="77777777" w:rsidR="00BA5EA9" w:rsidRPr="001E6DFD" w:rsidRDefault="00A43B2F" w:rsidP="0097226C">
            <w:pPr>
              <w:jc w:val="center"/>
              <w:rPr>
                <w:b/>
                <w:sz w:val="16"/>
                <w:szCs w:val="16"/>
              </w:rPr>
            </w:pPr>
            <w:r w:rsidRPr="001E6DFD">
              <w:rPr>
                <w:b/>
                <w:color w:val="00B050"/>
                <w:sz w:val="16"/>
                <w:szCs w:val="16"/>
              </w:rPr>
              <w:t>En bonne voie</w:t>
            </w:r>
          </w:p>
        </w:tc>
      </w:tr>
      <w:tr w:rsidR="00BA5EA9" w:rsidRPr="001E6DFD" w14:paraId="3F5D6561" w14:textId="77777777" w:rsidTr="00A055E7">
        <w:tc>
          <w:tcPr>
            <w:tcW w:w="1074" w:type="pct"/>
            <w:shd w:val="clear" w:color="auto" w:fill="auto"/>
            <w:tcMar>
              <w:left w:w="58" w:type="dxa"/>
              <w:right w:w="58" w:type="dxa"/>
            </w:tcMar>
          </w:tcPr>
          <w:p w14:paraId="5B88A383" w14:textId="77777777" w:rsidR="00BA5EA9" w:rsidRPr="001E6DFD" w:rsidRDefault="00A76AA3" w:rsidP="0048606A">
            <w:pPr>
              <w:keepNext/>
              <w:keepLines/>
              <w:rPr>
                <w:sz w:val="16"/>
                <w:szCs w:val="16"/>
              </w:rPr>
            </w:pPr>
            <w:r w:rsidRPr="001E6DFD">
              <w:rPr>
                <w:sz w:val="16"/>
                <w:szCs w:val="16"/>
              </w:rPr>
              <w:lastRenderedPageBreak/>
              <w:t>Nombre de combinaisons linguistiques disponibles pour la traduction des descriptions et des revendications</w:t>
            </w:r>
          </w:p>
        </w:tc>
        <w:tc>
          <w:tcPr>
            <w:tcW w:w="1124" w:type="pct"/>
            <w:shd w:val="clear" w:color="auto" w:fill="auto"/>
            <w:tcMar>
              <w:left w:w="58" w:type="dxa"/>
              <w:right w:w="58" w:type="dxa"/>
            </w:tcMar>
          </w:tcPr>
          <w:p w14:paraId="23F5BC06" w14:textId="77777777" w:rsidR="001F64B1" w:rsidRPr="001E6DFD" w:rsidRDefault="00A76AA3" w:rsidP="0048606A">
            <w:pPr>
              <w:keepNext/>
              <w:keepLines/>
              <w:rPr>
                <w:sz w:val="16"/>
                <w:szCs w:val="16"/>
              </w:rPr>
            </w:pPr>
            <w:r w:rsidRPr="001E6DFD">
              <w:rPr>
                <w:sz w:val="16"/>
                <w:szCs w:val="16"/>
              </w:rPr>
              <w:t>1 (fin 2015)</w:t>
            </w:r>
          </w:p>
          <w:p w14:paraId="253AE715" w14:textId="4997F567" w:rsidR="00BA5EA9" w:rsidRPr="001E6DFD" w:rsidRDefault="00A76AA3" w:rsidP="0048606A">
            <w:pPr>
              <w:keepNext/>
              <w:keepLines/>
              <w:rPr>
                <w:sz w:val="16"/>
                <w:szCs w:val="16"/>
              </w:rPr>
            </w:pPr>
            <w:r w:rsidRPr="001E6DFD">
              <w:rPr>
                <w:sz w:val="16"/>
                <w:szCs w:val="16"/>
              </w:rPr>
              <w:t>anglais</w:t>
            </w:r>
            <w:r w:rsidR="006A41CF" w:rsidRPr="001E6DFD">
              <w:rPr>
                <w:sz w:val="16"/>
                <w:szCs w:val="16"/>
              </w:rPr>
              <w:noBreakHyphen/>
            </w:r>
            <w:r w:rsidRPr="001E6DFD">
              <w:rPr>
                <w:sz w:val="16"/>
                <w:szCs w:val="16"/>
              </w:rPr>
              <w:t>chinois</w:t>
            </w:r>
          </w:p>
        </w:tc>
        <w:tc>
          <w:tcPr>
            <w:tcW w:w="1124" w:type="pct"/>
            <w:shd w:val="clear" w:color="auto" w:fill="auto"/>
            <w:tcMar>
              <w:top w:w="110" w:type="dxa"/>
              <w:left w:w="58" w:type="dxa"/>
              <w:right w:w="58" w:type="dxa"/>
            </w:tcMar>
          </w:tcPr>
          <w:p w14:paraId="5FBFCD3F" w14:textId="77777777" w:rsidR="00BA5EA9" w:rsidRPr="001E6DFD" w:rsidRDefault="00BA5EA9" w:rsidP="0048606A">
            <w:pPr>
              <w:keepNext/>
              <w:keepLines/>
              <w:rPr>
                <w:sz w:val="16"/>
                <w:szCs w:val="16"/>
              </w:rPr>
            </w:pPr>
            <w:r w:rsidRPr="001E6DFD">
              <w:rPr>
                <w:sz w:val="16"/>
                <w:szCs w:val="16"/>
              </w:rPr>
              <w:t>4</w:t>
            </w:r>
          </w:p>
        </w:tc>
        <w:tc>
          <w:tcPr>
            <w:tcW w:w="1179" w:type="pct"/>
            <w:shd w:val="clear" w:color="auto" w:fill="FFFFFF"/>
            <w:tcMar>
              <w:top w:w="110" w:type="dxa"/>
              <w:left w:w="58" w:type="dxa"/>
              <w:right w:w="58" w:type="dxa"/>
            </w:tcMar>
          </w:tcPr>
          <w:p w14:paraId="5C31C1B4" w14:textId="77777777" w:rsidR="001F64B1" w:rsidRPr="001E6DFD" w:rsidRDefault="00A76AA3" w:rsidP="0048606A">
            <w:pPr>
              <w:keepNext/>
              <w:keepLines/>
              <w:rPr>
                <w:sz w:val="16"/>
                <w:szCs w:val="16"/>
              </w:rPr>
            </w:pPr>
            <w:r w:rsidRPr="001E6DFD">
              <w:rPr>
                <w:sz w:val="16"/>
                <w:szCs w:val="16"/>
              </w:rPr>
              <w:t>2 supplémentaires</w:t>
            </w:r>
          </w:p>
          <w:p w14:paraId="7BE0EBBB" w14:textId="6B4998C4" w:rsidR="001F64B1" w:rsidRPr="001E6DFD" w:rsidRDefault="00A76AA3" w:rsidP="0048606A">
            <w:pPr>
              <w:keepNext/>
              <w:keepLines/>
              <w:rPr>
                <w:sz w:val="16"/>
                <w:szCs w:val="16"/>
              </w:rPr>
            </w:pPr>
            <w:r w:rsidRPr="001E6DFD">
              <w:rPr>
                <w:sz w:val="16"/>
                <w:szCs w:val="16"/>
              </w:rPr>
              <w:t>anglais</w:t>
            </w:r>
            <w:r w:rsidR="006A41CF" w:rsidRPr="001E6DFD">
              <w:rPr>
                <w:sz w:val="16"/>
                <w:szCs w:val="16"/>
              </w:rPr>
              <w:noBreakHyphen/>
            </w:r>
            <w:r w:rsidRPr="001E6DFD">
              <w:rPr>
                <w:sz w:val="16"/>
                <w:szCs w:val="16"/>
              </w:rPr>
              <w:t>français</w:t>
            </w:r>
          </w:p>
          <w:p w14:paraId="7EC060DD" w14:textId="38EC9862" w:rsidR="001F64B1" w:rsidRPr="001E6DFD" w:rsidRDefault="00A76AA3" w:rsidP="0048606A">
            <w:pPr>
              <w:keepNext/>
              <w:keepLines/>
              <w:rPr>
                <w:sz w:val="16"/>
                <w:szCs w:val="16"/>
              </w:rPr>
            </w:pPr>
            <w:r w:rsidRPr="001E6DFD">
              <w:rPr>
                <w:sz w:val="16"/>
                <w:szCs w:val="16"/>
              </w:rPr>
              <w:t>anglais</w:t>
            </w:r>
            <w:r w:rsidR="006A41CF" w:rsidRPr="001E6DFD">
              <w:rPr>
                <w:sz w:val="16"/>
                <w:szCs w:val="16"/>
              </w:rPr>
              <w:noBreakHyphen/>
            </w:r>
            <w:r w:rsidRPr="001E6DFD">
              <w:rPr>
                <w:sz w:val="16"/>
                <w:szCs w:val="16"/>
              </w:rPr>
              <w:t>japonais</w:t>
            </w:r>
          </w:p>
          <w:p w14:paraId="3550E8E9" w14:textId="60A6A605" w:rsidR="00BA5EA9" w:rsidRPr="001E6DFD" w:rsidRDefault="00BA5EA9" w:rsidP="0048606A">
            <w:pPr>
              <w:keepNext/>
              <w:keepLines/>
              <w:rPr>
                <w:sz w:val="16"/>
                <w:szCs w:val="16"/>
              </w:rPr>
            </w:pPr>
            <w:r w:rsidRPr="001E6DFD">
              <w:rPr>
                <w:sz w:val="16"/>
                <w:szCs w:val="16"/>
              </w:rPr>
              <w:t xml:space="preserve">(3 </w:t>
            </w:r>
            <w:r w:rsidR="007A2632" w:rsidRPr="001E6DFD">
              <w:rPr>
                <w:sz w:val="16"/>
                <w:szCs w:val="16"/>
              </w:rPr>
              <w:t xml:space="preserve">au total à la fin </w:t>
            </w:r>
            <w:r w:rsidR="00FA22F6" w:rsidRPr="001E6DFD">
              <w:rPr>
                <w:sz w:val="16"/>
                <w:szCs w:val="16"/>
              </w:rPr>
              <w:t>de 2016</w:t>
            </w:r>
            <w:r w:rsidRPr="001E6DFD">
              <w:rPr>
                <w:sz w:val="16"/>
                <w:szCs w:val="16"/>
              </w:rPr>
              <w:t>)</w:t>
            </w:r>
          </w:p>
        </w:tc>
        <w:tc>
          <w:tcPr>
            <w:tcW w:w="500" w:type="pct"/>
            <w:shd w:val="clear" w:color="auto" w:fill="auto"/>
            <w:tcMar>
              <w:top w:w="110" w:type="dxa"/>
              <w:left w:w="58" w:type="dxa"/>
              <w:right w:w="58" w:type="dxa"/>
            </w:tcMar>
          </w:tcPr>
          <w:p w14:paraId="7C03F866" w14:textId="77777777" w:rsidR="00BA5EA9" w:rsidRPr="001E6DFD" w:rsidRDefault="00A43B2F" w:rsidP="0048606A">
            <w:pPr>
              <w:keepNext/>
              <w:keepLines/>
              <w:jc w:val="center"/>
              <w:rPr>
                <w:sz w:val="16"/>
                <w:szCs w:val="16"/>
              </w:rPr>
            </w:pPr>
            <w:r w:rsidRPr="001E6DFD">
              <w:rPr>
                <w:b/>
                <w:color w:val="00B050"/>
                <w:sz w:val="16"/>
                <w:szCs w:val="16"/>
              </w:rPr>
              <w:t>En bonne voie</w:t>
            </w:r>
          </w:p>
        </w:tc>
      </w:tr>
      <w:tr w:rsidR="00BA5EA9" w:rsidRPr="001E6DFD" w14:paraId="68D2EDF0" w14:textId="77777777" w:rsidTr="00A055E7">
        <w:tc>
          <w:tcPr>
            <w:tcW w:w="1074" w:type="pct"/>
            <w:shd w:val="clear" w:color="auto" w:fill="auto"/>
            <w:tcMar>
              <w:left w:w="58" w:type="dxa"/>
              <w:right w:w="58" w:type="dxa"/>
            </w:tcMar>
          </w:tcPr>
          <w:p w14:paraId="7D070BAF" w14:textId="5B4955EA" w:rsidR="00BA5EA9" w:rsidRPr="001E6DFD" w:rsidRDefault="00A76AA3" w:rsidP="000F7B07">
            <w:pPr>
              <w:keepNext/>
              <w:keepLines/>
              <w:rPr>
                <w:sz w:val="16"/>
                <w:szCs w:val="16"/>
              </w:rPr>
            </w:pPr>
            <w:r w:rsidRPr="001E6DFD">
              <w:rPr>
                <w:sz w:val="16"/>
                <w:szCs w:val="16"/>
              </w:rPr>
              <w:t>Nombre d</w:t>
            </w:r>
            <w:r w:rsidR="00FA22F6" w:rsidRPr="001E6DFD">
              <w:rPr>
                <w:sz w:val="16"/>
                <w:szCs w:val="16"/>
              </w:rPr>
              <w:t>’</w:t>
            </w:r>
            <w:r w:rsidRPr="001E6DFD">
              <w:rPr>
                <w:sz w:val="16"/>
                <w:szCs w:val="16"/>
              </w:rPr>
              <w:t>entrées figurant dans PATENTSCOPE</w:t>
            </w:r>
          </w:p>
        </w:tc>
        <w:tc>
          <w:tcPr>
            <w:tcW w:w="1124" w:type="pct"/>
            <w:shd w:val="clear" w:color="auto" w:fill="auto"/>
            <w:tcMar>
              <w:left w:w="58" w:type="dxa"/>
              <w:right w:w="58" w:type="dxa"/>
            </w:tcMar>
          </w:tcPr>
          <w:p w14:paraId="1258236D" w14:textId="2966F477" w:rsidR="001F64B1" w:rsidRPr="000F7B07" w:rsidRDefault="00E64532" w:rsidP="000F7B07">
            <w:pPr>
              <w:keepNext/>
              <w:keepLines/>
              <w:rPr>
                <w:i/>
                <w:color w:val="002060"/>
                <w:sz w:val="16"/>
                <w:szCs w:val="16"/>
              </w:rPr>
            </w:pPr>
            <w:r w:rsidRPr="000F7B07">
              <w:rPr>
                <w:i/>
                <w:color w:val="002060"/>
                <w:sz w:val="16"/>
                <w:szCs w:val="16"/>
              </w:rPr>
              <w:t>Niveau de référence actualisé à fin</w:t>
            </w:r>
            <w:r w:rsidR="00B4191E" w:rsidRPr="000F7B07">
              <w:rPr>
                <w:i/>
                <w:color w:val="002060"/>
                <w:sz w:val="16"/>
                <w:szCs w:val="16"/>
              </w:rPr>
              <w:t> </w:t>
            </w:r>
            <w:r w:rsidRPr="000F7B07">
              <w:rPr>
                <w:i/>
                <w:color w:val="002060"/>
                <w:sz w:val="16"/>
                <w:szCs w:val="16"/>
              </w:rPr>
              <w:t>2015</w:t>
            </w:r>
            <w:r w:rsidR="00FA22F6" w:rsidRPr="000F7B07">
              <w:rPr>
                <w:i/>
                <w:color w:val="002060"/>
                <w:sz w:val="16"/>
                <w:szCs w:val="16"/>
              </w:rPr>
              <w:t> :</w:t>
            </w:r>
          </w:p>
          <w:p w14:paraId="4F3442EF" w14:textId="77777777" w:rsidR="00FA22F6" w:rsidRPr="000F7B07" w:rsidRDefault="00BA5EA9" w:rsidP="000F7B07">
            <w:pPr>
              <w:keepNext/>
              <w:keepLines/>
              <w:rPr>
                <w:color w:val="002060"/>
                <w:sz w:val="16"/>
                <w:szCs w:val="16"/>
              </w:rPr>
            </w:pPr>
            <w:r w:rsidRPr="000F7B07">
              <w:rPr>
                <w:color w:val="002060"/>
                <w:sz w:val="16"/>
                <w:szCs w:val="16"/>
              </w:rPr>
              <w:t>5</w:t>
            </w:r>
            <w:r w:rsidR="00282CF5" w:rsidRPr="000F7B07">
              <w:rPr>
                <w:color w:val="002060"/>
                <w:sz w:val="16"/>
                <w:szCs w:val="16"/>
              </w:rPr>
              <w:t>0 000 000</w:t>
            </w:r>
          </w:p>
          <w:p w14:paraId="5A1EE905" w14:textId="1686DF61" w:rsidR="001F64B1" w:rsidRPr="000F7B07" w:rsidRDefault="00BA5EA9" w:rsidP="000F7B07">
            <w:pPr>
              <w:keepNext/>
              <w:keepLines/>
              <w:rPr>
                <w:color w:val="002060"/>
                <w:sz w:val="16"/>
                <w:szCs w:val="16"/>
                <w:lang w:bidi="th-TH"/>
              </w:rPr>
            </w:pPr>
            <w:r w:rsidRPr="000F7B07">
              <w:rPr>
                <w:color w:val="002060"/>
                <w:sz w:val="16"/>
                <w:szCs w:val="16"/>
                <w:lang w:bidi="th-TH"/>
              </w:rPr>
              <w:t>(</w:t>
            </w:r>
            <w:r w:rsidR="007A2632" w:rsidRPr="000F7B07">
              <w:rPr>
                <w:color w:val="002060"/>
                <w:sz w:val="16"/>
                <w:szCs w:val="16"/>
                <w:lang w:bidi="th-TH"/>
              </w:rPr>
              <w:t>au total</w:t>
            </w:r>
            <w:r w:rsidRPr="000F7B07">
              <w:rPr>
                <w:color w:val="002060"/>
                <w:sz w:val="16"/>
                <w:szCs w:val="16"/>
                <w:lang w:bidi="th-TH"/>
              </w:rPr>
              <w:t>)</w:t>
            </w:r>
          </w:p>
          <w:p w14:paraId="6EDE597A" w14:textId="77777777" w:rsidR="001F64B1" w:rsidRPr="001E6DFD" w:rsidRDefault="001F64B1" w:rsidP="000F7B07">
            <w:pPr>
              <w:keepNext/>
              <w:keepLines/>
              <w:rPr>
                <w:sz w:val="16"/>
                <w:szCs w:val="16"/>
              </w:rPr>
            </w:pPr>
          </w:p>
          <w:p w14:paraId="0AB03E3C" w14:textId="4F30D78B" w:rsidR="00FA22F6" w:rsidRPr="001E6DFD" w:rsidRDefault="00E64532" w:rsidP="000F7B07">
            <w:pPr>
              <w:keepNext/>
              <w:keepLines/>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465DBA3" w14:textId="1356A925" w:rsidR="00BA5EA9" w:rsidRPr="001E6DFD" w:rsidRDefault="00A76AA3" w:rsidP="000F7B07">
            <w:pPr>
              <w:keepNext/>
              <w:keepLines/>
              <w:rPr>
                <w:sz w:val="16"/>
                <w:szCs w:val="16"/>
              </w:rPr>
            </w:pPr>
            <w:r w:rsidRPr="001E6DFD">
              <w:rPr>
                <w:sz w:val="16"/>
                <w:szCs w:val="16"/>
              </w:rPr>
              <w:t>43</w:t>
            </w:r>
            <w:r w:rsidR="004D421A" w:rsidRPr="001E6DFD">
              <w:rPr>
                <w:sz w:val="16"/>
                <w:szCs w:val="16"/>
              </w:rPr>
              <w:t> </w:t>
            </w:r>
            <w:r w:rsidRPr="001E6DFD">
              <w:rPr>
                <w:sz w:val="16"/>
                <w:szCs w:val="16"/>
              </w:rPr>
              <w:t>000</w:t>
            </w:r>
            <w:r w:rsidR="004D421A" w:rsidRPr="001E6DFD">
              <w:rPr>
                <w:sz w:val="16"/>
                <w:szCs w:val="16"/>
              </w:rPr>
              <w:t> </w:t>
            </w:r>
            <w:r w:rsidRPr="001E6DFD">
              <w:rPr>
                <w:sz w:val="16"/>
                <w:szCs w:val="16"/>
              </w:rPr>
              <w:t>000 (fin</w:t>
            </w:r>
            <w:r w:rsidR="00B4191E">
              <w:rPr>
                <w:sz w:val="16"/>
                <w:szCs w:val="16"/>
              </w:rPr>
              <w:t> </w:t>
            </w:r>
            <w:r w:rsidRPr="001E6DFD">
              <w:rPr>
                <w:sz w:val="16"/>
                <w:szCs w:val="16"/>
              </w:rPr>
              <w:t>2014)</w:t>
            </w:r>
          </w:p>
        </w:tc>
        <w:tc>
          <w:tcPr>
            <w:tcW w:w="1124" w:type="pct"/>
            <w:shd w:val="clear" w:color="auto" w:fill="auto"/>
            <w:tcMar>
              <w:top w:w="110" w:type="dxa"/>
              <w:left w:w="58" w:type="dxa"/>
              <w:right w:w="58" w:type="dxa"/>
            </w:tcMar>
          </w:tcPr>
          <w:p w14:paraId="3B4177DB" w14:textId="5E943997" w:rsidR="00FA22F6" w:rsidRPr="000F7B07" w:rsidRDefault="00AC7D97" w:rsidP="000F7B07">
            <w:pPr>
              <w:keepNext/>
              <w:keepLines/>
              <w:rPr>
                <w:i/>
                <w:color w:val="002060"/>
                <w:sz w:val="16"/>
                <w:szCs w:val="16"/>
              </w:rPr>
            </w:pPr>
            <w:r w:rsidRPr="000F7B07">
              <w:rPr>
                <w:i/>
                <w:color w:val="002060"/>
                <w:sz w:val="16"/>
                <w:szCs w:val="16"/>
              </w:rPr>
              <w:t>Objectif actualisé</w:t>
            </w:r>
            <w:r w:rsidR="00FA22F6" w:rsidRPr="000F7B07">
              <w:rPr>
                <w:i/>
                <w:color w:val="002060"/>
                <w:sz w:val="16"/>
                <w:szCs w:val="16"/>
              </w:rPr>
              <w:t> :</w:t>
            </w:r>
          </w:p>
          <w:p w14:paraId="3CE83BF4" w14:textId="656A899E" w:rsidR="001F64B1" w:rsidRPr="000F7B07" w:rsidRDefault="00A76AA3" w:rsidP="000F7B07">
            <w:pPr>
              <w:keepNext/>
              <w:keepLines/>
              <w:rPr>
                <w:color w:val="002060"/>
                <w:sz w:val="16"/>
                <w:szCs w:val="16"/>
              </w:rPr>
            </w:pPr>
            <w:r w:rsidRPr="000F7B07">
              <w:rPr>
                <w:color w:val="002060"/>
                <w:sz w:val="16"/>
                <w:szCs w:val="16"/>
              </w:rPr>
              <w:t>55</w:t>
            </w:r>
            <w:r w:rsidR="004D421A" w:rsidRPr="000F7B07">
              <w:rPr>
                <w:color w:val="002060"/>
                <w:sz w:val="16"/>
                <w:szCs w:val="16"/>
              </w:rPr>
              <w:t> </w:t>
            </w:r>
            <w:r w:rsidRPr="000F7B07">
              <w:rPr>
                <w:color w:val="002060"/>
                <w:sz w:val="16"/>
                <w:szCs w:val="16"/>
              </w:rPr>
              <w:t>000</w:t>
            </w:r>
            <w:r w:rsidR="004D421A" w:rsidRPr="000F7B07">
              <w:rPr>
                <w:color w:val="002060"/>
                <w:sz w:val="16"/>
                <w:szCs w:val="16"/>
              </w:rPr>
              <w:t> </w:t>
            </w:r>
            <w:r w:rsidRPr="000F7B07">
              <w:rPr>
                <w:color w:val="002060"/>
                <w:sz w:val="16"/>
                <w:szCs w:val="16"/>
              </w:rPr>
              <w:t>000 (au total)</w:t>
            </w:r>
          </w:p>
          <w:p w14:paraId="599FEAE4" w14:textId="77777777" w:rsidR="00FA22F6" w:rsidRPr="001E6DFD" w:rsidRDefault="00FA22F6" w:rsidP="000F7B07">
            <w:pPr>
              <w:keepNext/>
              <w:keepLines/>
              <w:rPr>
                <w:sz w:val="16"/>
                <w:szCs w:val="16"/>
              </w:rPr>
            </w:pPr>
          </w:p>
          <w:p w14:paraId="6DE9AFA9" w14:textId="1988CD93" w:rsidR="00FA22F6" w:rsidRPr="001E6DFD" w:rsidRDefault="00AC7D97" w:rsidP="000F7B07">
            <w:pPr>
              <w:keepNext/>
              <w:keepLines/>
              <w:rPr>
                <w:i/>
                <w:sz w:val="16"/>
                <w:szCs w:val="16"/>
                <w:lang w:bidi="th-TH"/>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3B6CFBA9" w14:textId="2650340D" w:rsidR="00BA5EA9" w:rsidRPr="001E6DFD" w:rsidRDefault="00BA5EA9" w:rsidP="000F7B07">
            <w:pPr>
              <w:keepNext/>
              <w:keepLines/>
              <w:rPr>
                <w:sz w:val="16"/>
                <w:szCs w:val="16"/>
              </w:rPr>
            </w:pPr>
            <w:r w:rsidRPr="001E6DFD">
              <w:rPr>
                <w:sz w:val="16"/>
                <w:szCs w:val="16"/>
              </w:rPr>
              <w:t>5</w:t>
            </w:r>
            <w:r w:rsidR="00282CF5" w:rsidRPr="001E6DFD">
              <w:rPr>
                <w:sz w:val="16"/>
                <w:szCs w:val="16"/>
              </w:rPr>
              <w:t>0 000 000</w:t>
            </w:r>
          </w:p>
        </w:tc>
        <w:tc>
          <w:tcPr>
            <w:tcW w:w="1179" w:type="pct"/>
            <w:shd w:val="clear" w:color="auto" w:fill="FFFFFF"/>
            <w:tcMar>
              <w:top w:w="110" w:type="dxa"/>
              <w:left w:w="58" w:type="dxa"/>
              <w:right w:w="58" w:type="dxa"/>
            </w:tcMar>
          </w:tcPr>
          <w:p w14:paraId="5EFF47B4" w14:textId="66AD5E1A" w:rsidR="00BA5EA9" w:rsidRPr="001E6DFD" w:rsidRDefault="00A76AA3" w:rsidP="000F7B07">
            <w:pPr>
              <w:keepNext/>
              <w:keepLines/>
              <w:rPr>
                <w:sz w:val="16"/>
                <w:szCs w:val="16"/>
              </w:rPr>
            </w:pPr>
            <w:r w:rsidRPr="001E6DFD">
              <w:rPr>
                <w:sz w:val="16"/>
                <w:szCs w:val="16"/>
              </w:rPr>
              <w:t>57</w:t>
            </w:r>
            <w:r w:rsidR="004D421A" w:rsidRPr="001E6DFD">
              <w:rPr>
                <w:sz w:val="16"/>
                <w:szCs w:val="16"/>
              </w:rPr>
              <w:t> </w:t>
            </w:r>
            <w:r w:rsidRPr="001E6DFD">
              <w:rPr>
                <w:sz w:val="16"/>
                <w:szCs w:val="16"/>
              </w:rPr>
              <w:t>820</w:t>
            </w:r>
            <w:r w:rsidR="004D421A" w:rsidRPr="001E6DFD">
              <w:rPr>
                <w:sz w:val="16"/>
                <w:szCs w:val="16"/>
              </w:rPr>
              <w:t> </w:t>
            </w:r>
            <w:r w:rsidRPr="001E6DFD">
              <w:rPr>
                <w:sz w:val="16"/>
                <w:szCs w:val="16"/>
              </w:rPr>
              <w:t>000 (au total)</w:t>
            </w:r>
          </w:p>
        </w:tc>
        <w:tc>
          <w:tcPr>
            <w:tcW w:w="500" w:type="pct"/>
            <w:shd w:val="clear" w:color="auto" w:fill="auto"/>
            <w:tcMar>
              <w:top w:w="110" w:type="dxa"/>
              <w:left w:w="58" w:type="dxa"/>
              <w:right w:w="58" w:type="dxa"/>
            </w:tcMar>
          </w:tcPr>
          <w:p w14:paraId="026E9EE8" w14:textId="77777777" w:rsidR="00BA5EA9" w:rsidRPr="001E6DFD" w:rsidRDefault="00A43B2F" w:rsidP="000F7B07">
            <w:pPr>
              <w:keepNext/>
              <w:keepLines/>
              <w:jc w:val="center"/>
              <w:rPr>
                <w:sz w:val="16"/>
                <w:szCs w:val="16"/>
              </w:rPr>
            </w:pPr>
            <w:r w:rsidRPr="001E6DFD">
              <w:rPr>
                <w:b/>
                <w:color w:val="00B050"/>
                <w:sz w:val="16"/>
                <w:szCs w:val="16"/>
              </w:rPr>
              <w:t>En bonne voie</w:t>
            </w:r>
          </w:p>
        </w:tc>
      </w:tr>
      <w:tr w:rsidR="00BA5EA9" w:rsidRPr="001E6DFD" w14:paraId="56C6B7D6" w14:textId="77777777" w:rsidTr="00A055E7">
        <w:tc>
          <w:tcPr>
            <w:tcW w:w="1074" w:type="pct"/>
            <w:shd w:val="clear" w:color="auto" w:fill="auto"/>
            <w:tcMar>
              <w:left w:w="58" w:type="dxa"/>
              <w:right w:w="58" w:type="dxa"/>
            </w:tcMar>
          </w:tcPr>
          <w:p w14:paraId="7EFF1136" w14:textId="1EFBBB76" w:rsidR="00BA5EA9" w:rsidRPr="001E6DFD" w:rsidRDefault="00A76AA3" w:rsidP="0097226C">
            <w:pPr>
              <w:rPr>
                <w:sz w:val="16"/>
                <w:szCs w:val="16"/>
              </w:rPr>
            </w:pPr>
            <w:r w:rsidRPr="001E6DFD">
              <w:rPr>
                <w:sz w:val="16"/>
                <w:szCs w:val="16"/>
              </w:rPr>
              <w:t>Délai de téléchargement des données (nombre moyen de jours entre la date de publication des enregistrements dans le registre officiel et leur mise à disposition dans les bases de données mondiales pour un sous</w:t>
            </w:r>
            <w:r w:rsidR="006A41CF" w:rsidRPr="001E6DFD">
              <w:rPr>
                <w:sz w:val="16"/>
                <w:szCs w:val="16"/>
              </w:rPr>
              <w:noBreakHyphen/>
            </w:r>
            <w:r w:rsidRPr="001E6DFD">
              <w:rPr>
                <w:sz w:val="16"/>
                <w:szCs w:val="16"/>
              </w:rPr>
              <w:t>ensemble représentatif de collections nationales)</w:t>
            </w:r>
          </w:p>
        </w:tc>
        <w:tc>
          <w:tcPr>
            <w:tcW w:w="1124" w:type="pct"/>
            <w:shd w:val="clear" w:color="auto" w:fill="auto"/>
            <w:tcMar>
              <w:left w:w="58" w:type="dxa"/>
              <w:right w:w="58" w:type="dxa"/>
            </w:tcMar>
          </w:tcPr>
          <w:p w14:paraId="1A445395" w14:textId="56609614" w:rsidR="00BA5EA9" w:rsidRPr="001E6DFD" w:rsidRDefault="006B7103" w:rsidP="0097226C">
            <w:pPr>
              <w:rPr>
                <w:sz w:val="16"/>
                <w:szCs w:val="16"/>
              </w:rPr>
            </w:pPr>
            <w:proofErr w:type="spellStart"/>
            <w:r w:rsidRPr="000F7B07">
              <w:rPr>
                <w:sz w:val="16"/>
                <w:szCs w:val="16"/>
              </w:rPr>
              <w:t>n.d</w:t>
            </w:r>
            <w:proofErr w:type="spellEnd"/>
            <w:r w:rsidRPr="000F7B07">
              <w:rPr>
                <w:sz w:val="16"/>
                <w:szCs w:val="16"/>
              </w:rPr>
              <w:t>. (</w:t>
            </w:r>
            <w:r w:rsidR="005171A6" w:rsidRPr="000F7B07">
              <w:rPr>
                <w:sz w:val="16"/>
                <w:szCs w:val="16"/>
              </w:rPr>
              <w:t>nouvel indicateur d</w:t>
            </w:r>
            <w:r w:rsidR="00FA22F6" w:rsidRPr="000F7B07">
              <w:rPr>
                <w:sz w:val="16"/>
                <w:szCs w:val="16"/>
              </w:rPr>
              <w:t>’</w:t>
            </w:r>
            <w:r w:rsidR="005171A6" w:rsidRPr="000F7B07">
              <w:rPr>
                <w:sz w:val="16"/>
                <w:szCs w:val="16"/>
              </w:rPr>
              <w:t>exécution)</w:t>
            </w:r>
          </w:p>
        </w:tc>
        <w:tc>
          <w:tcPr>
            <w:tcW w:w="1124" w:type="pct"/>
            <w:shd w:val="clear" w:color="auto" w:fill="auto"/>
            <w:tcMar>
              <w:top w:w="110" w:type="dxa"/>
              <w:left w:w="58" w:type="dxa"/>
              <w:right w:w="58" w:type="dxa"/>
            </w:tcMar>
          </w:tcPr>
          <w:p w14:paraId="4A47447C" w14:textId="77777777" w:rsidR="00BA5EA9" w:rsidRPr="001E6DFD" w:rsidRDefault="00A76AA3" w:rsidP="0097226C">
            <w:pPr>
              <w:rPr>
                <w:sz w:val="16"/>
                <w:szCs w:val="16"/>
              </w:rPr>
            </w:pPr>
            <w:r w:rsidRPr="001E6DFD">
              <w:rPr>
                <w:sz w:val="16"/>
                <w:szCs w:val="16"/>
              </w:rPr>
              <w:t>45 jours</w:t>
            </w:r>
          </w:p>
        </w:tc>
        <w:tc>
          <w:tcPr>
            <w:tcW w:w="1179" w:type="pct"/>
            <w:shd w:val="clear" w:color="auto" w:fill="FFFFFF"/>
            <w:tcMar>
              <w:top w:w="110" w:type="dxa"/>
              <w:left w:w="58" w:type="dxa"/>
              <w:right w:w="58" w:type="dxa"/>
            </w:tcMar>
          </w:tcPr>
          <w:p w14:paraId="2B1B1C38" w14:textId="77777777" w:rsidR="00BA5EA9" w:rsidRPr="001E6DFD" w:rsidRDefault="00A76AA3" w:rsidP="0097226C">
            <w:pPr>
              <w:rPr>
                <w:sz w:val="16"/>
                <w:szCs w:val="16"/>
              </w:rPr>
            </w:pPr>
            <w:r w:rsidRPr="001E6DFD">
              <w:rPr>
                <w:sz w:val="16"/>
                <w:szCs w:val="16"/>
              </w:rPr>
              <w:t>5,</w:t>
            </w:r>
            <w:r w:rsidR="00BA5EA9" w:rsidRPr="001E6DFD">
              <w:rPr>
                <w:sz w:val="16"/>
                <w:szCs w:val="16"/>
              </w:rPr>
              <w:t xml:space="preserve">6 </w:t>
            </w:r>
            <w:r w:rsidRPr="001E6DFD">
              <w:rPr>
                <w:sz w:val="16"/>
                <w:szCs w:val="16"/>
              </w:rPr>
              <w:t xml:space="preserve">jours </w:t>
            </w:r>
            <w:r w:rsidR="00BA5EA9" w:rsidRPr="001E6DFD">
              <w:rPr>
                <w:sz w:val="16"/>
                <w:szCs w:val="16"/>
              </w:rPr>
              <w:t>(2016)</w:t>
            </w:r>
          </w:p>
        </w:tc>
        <w:tc>
          <w:tcPr>
            <w:tcW w:w="500" w:type="pct"/>
            <w:shd w:val="clear" w:color="auto" w:fill="auto"/>
            <w:tcMar>
              <w:top w:w="110" w:type="dxa"/>
              <w:left w:w="58" w:type="dxa"/>
              <w:right w:w="58" w:type="dxa"/>
            </w:tcMar>
          </w:tcPr>
          <w:p w14:paraId="4A165BA5"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047A3F2F" w14:textId="77777777" w:rsidTr="00A055E7">
        <w:tc>
          <w:tcPr>
            <w:tcW w:w="5000" w:type="pct"/>
            <w:gridSpan w:val="5"/>
            <w:shd w:val="clear" w:color="auto" w:fill="C6D9F1" w:themeFill="text2" w:themeFillTint="33"/>
            <w:tcMar>
              <w:left w:w="58" w:type="dxa"/>
              <w:right w:w="58" w:type="dxa"/>
            </w:tcMar>
            <w:vAlign w:val="center"/>
          </w:tcPr>
          <w:p w14:paraId="20875FFD" w14:textId="52F88B2A" w:rsidR="00BA5EA9" w:rsidRPr="001E6DFD" w:rsidRDefault="00A76AA3" w:rsidP="0097226C">
            <w:pPr>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Cs/>
                <w:sz w:val="16"/>
                <w:szCs w:val="16"/>
              </w:rPr>
              <w:t xml:space="preserve"> IV.3 Élargissement de la portée géographique du contenu et de l</w:t>
            </w:r>
            <w:r w:rsidR="00FA22F6" w:rsidRPr="001E6DFD">
              <w:rPr>
                <w:bCs/>
                <w:sz w:val="16"/>
                <w:szCs w:val="16"/>
              </w:rPr>
              <w:t>’</w:t>
            </w:r>
            <w:r w:rsidRPr="001E6DFD">
              <w:rPr>
                <w:bCs/>
                <w:sz w:val="16"/>
                <w:szCs w:val="16"/>
              </w:rPr>
              <w:t>utilisation des bases de données mondiales de l</w:t>
            </w:r>
            <w:r w:rsidR="00FA22F6" w:rsidRPr="001E6DFD">
              <w:rPr>
                <w:bCs/>
                <w:sz w:val="16"/>
                <w:szCs w:val="16"/>
              </w:rPr>
              <w:t>’</w:t>
            </w:r>
            <w:r w:rsidRPr="001E6DFD">
              <w:rPr>
                <w:bCs/>
                <w:sz w:val="16"/>
                <w:szCs w:val="16"/>
              </w:rPr>
              <w:t>OMPI en matière de propriété intellectuelle</w:t>
            </w:r>
          </w:p>
        </w:tc>
      </w:tr>
      <w:tr w:rsidR="00BA5EA9" w:rsidRPr="001E6DFD" w14:paraId="27D5E123" w14:textId="77777777" w:rsidTr="00A055E7">
        <w:tc>
          <w:tcPr>
            <w:tcW w:w="1074" w:type="pct"/>
            <w:shd w:val="clear" w:color="auto" w:fill="auto"/>
            <w:tcMar>
              <w:left w:w="58" w:type="dxa"/>
              <w:right w:w="58" w:type="dxa"/>
            </w:tcMar>
            <w:vAlign w:val="center"/>
          </w:tcPr>
          <w:p w14:paraId="60D6B27B" w14:textId="218F0186" w:rsidR="00BA5EA9" w:rsidRPr="001E6DFD" w:rsidRDefault="00A76AA3"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124" w:type="pct"/>
            <w:shd w:val="clear" w:color="auto" w:fill="auto"/>
            <w:tcMar>
              <w:left w:w="58" w:type="dxa"/>
              <w:right w:w="58" w:type="dxa"/>
            </w:tcMar>
            <w:vAlign w:val="center"/>
          </w:tcPr>
          <w:p w14:paraId="278A12AB" w14:textId="77777777" w:rsidR="00BA5EA9" w:rsidRPr="001E6DFD" w:rsidRDefault="00A76AA3" w:rsidP="0097226C">
            <w:pPr>
              <w:jc w:val="center"/>
              <w:rPr>
                <w:b/>
                <w:bCs/>
                <w:sz w:val="16"/>
                <w:szCs w:val="16"/>
              </w:rPr>
            </w:pPr>
            <w:r w:rsidRPr="001E6DFD">
              <w:rPr>
                <w:b/>
                <w:bCs/>
                <w:sz w:val="16"/>
                <w:szCs w:val="16"/>
              </w:rPr>
              <w:t>Niveaux de référence</w:t>
            </w:r>
          </w:p>
        </w:tc>
        <w:tc>
          <w:tcPr>
            <w:tcW w:w="1124" w:type="pct"/>
            <w:shd w:val="clear" w:color="auto" w:fill="auto"/>
            <w:tcMar>
              <w:top w:w="110" w:type="dxa"/>
              <w:left w:w="58" w:type="dxa"/>
              <w:right w:w="58" w:type="dxa"/>
            </w:tcMar>
            <w:vAlign w:val="center"/>
          </w:tcPr>
          <w:p w14:paraId="76FAF8DE" w14:textId="77777777" w:rsidR="00BA5EA9" w:rsidRPr="001E6DFD" w:rsidRDefault="00A76AA3" w:rsidP="0097226C">
            <w:pPr>
              <w:jc w:val="center"/>
              <w:rPr>
                <w:b/>
                <w:bCs/>
                <w:sz w:val="16"/>
                <w:szCs w:val="16"/>
              </w:rPr>
            </w:pPr>
            <w:r w:rsidRPr="001E6DFD">
              <w:rPr>
                <w:b/>
                <w:bCs/>
                <w:sz w:val="16"/>
                <w:szCs w:val="16"/>
              </w:rPr>
              <w:t>Objectifs visés</w:t>
            </w:r>
          </w:p>
        </w:tc>
        <w:tc>
          <w:tcPr>
            <w:tcW w:w="1179" w:type="pct"/>
            <w:shd w:val="clear" w:color="auto" w:fill="FFFFFF"/>
            <w:tcMar>
              <w:top w:w="110" w:type="dxa"/>
              <w:left w:w="58" w:type="dxa"/>
              <w:right w:w="58" w:type="dxa"/>
            </w:tcMar>
            <w:vAlign w:val="center"/>
          </w:tcPr>
          <w:p w14:paraId="152A592F" w14:textId="016DCD29" w:rsidR="00BA5EA9" w:rsidRPr="001E6DFD" w:rsidRDefault="00A76AA3"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00" w:type="pct"/>
            <w:shd w:val="clear" w:color="auto" w:fill="auto"/>
            <w:tcMar>
              <w:top w:w="110" w:type="dxa"/>
              <w:left w:w="58" w:type="dxa"/>
              <w:right w:w="58" w:type="dxa"/>
            </w:tcMar>
            <w:vAlign w:val="center"/>
          </w:tcPr>
          <w:p w14:paraId="14AC0F5B" w14:textId="6183C4CF" w:rsidR="00BA5EA9" w:rsidRPr="001E6DFD" w:rsidRDefault="00EA6936" w:rsidP="0097226C">
            <w:pPr>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1E4B2028" w14:textId="77777777" w:rsidTr="00A055E7">
        <w:tc>
          <w:tcPr>
            <w:tcW w:w="1074" w:type="pct"/>
            <w:shd w:val="clear" w:color="auto" w:fill="auto"/>
            <w:tcMar>
              <w:left w:w="58" w:type="dxa"/>
              <w:right w:w="58" w:type="dxa"/>
            </w:tcMar>
          </w:tcPr>
          <w:p w14:paraId="532AD5B4" w14:textId="154C09C0" w:rsidR="00BA5EA9" w:rsidRPr="001E6DFD" w:rsidRDefault="00A76AA3" w:rsidP="0097226C">
            <w:pPr>
              <w:rPr>
                <w:sz w:val="16"/>
                <w:szCs w:val="16"/>
              </w:rPr>
            </w:pPr>
            <w:r w:rsidRPr="001E6DFD">
              <w:rPr>
                <w:sz w:val="16"/>
                <w:szCs w:val="16"/>
              </w:rPr>
              <w:t>Nombre d</w:t>
            </w:r>
            <w:r w:rsidR="00FA22F6" w:rsidRPr="001E6DFD">
              <w:rPr>
                <w:sz w:val="16"/>
                <w:szCs w:val="16"/>
              </w:rPr>
              <w:t>’</w:t>
            </w:r>
            <w:r w:rsidRPr="001E6DFD">
              <w:rPr>
                <w:sz w:val="16"/>
                <w:szCs w:val="16"/>
              </w:rPr>
              <w:t>entrées figurant dans la Base de données mondiales sur les marques</w:t>
            </w:r>
            <w:r w:rsidR="00BA5EA9" w:rsidRPr="001E6DFD">
              <w:rPr>
                <w:sz w:val="16"/>
                <w:szCs w:val="16"/>
              </w:rPr>
              <w:t xml:space="preserve"> </w:t>
            </w:r>
          </w:p>
        </w:tc>
        <w:tc>
          <w:tcPr>
            <w:tcW w:w="1124" w:type="pct"/>
            <w:shd w:val="clear" w:color="auto" w:fill="auto"/>
            <w:tcMar>
              <w:left w:w="58" w:type="dxa"/>
              <w:right w:w="58" w:type="dxa"/>
            </w:tcMar>
          </w:tcPr>
          <w:p w14:paraId="2D553A00" w14:textId="6860EE32" w:rsidR="001F64B1" w:rsidRPr="000F7B07" w:rsidRDefault="00E64532" w:rsidP="0097226C">
            <w:pPr>
              <w:rPr>
                <w:i/>
                <w:color w:val="002060"/>
                <w:sz w:val="16"/>
                <w:szCs w:val="16"/>
              </w:rPr>
            </w:pPr>
            <w:r w:rsidRPr="000F7B07">
              <w:rPr>
                <w:i/>
                <w:color w:val="002060"/>
                <w:sz w:val="16"/>
                <w:szCs w:val="16"/>
              </w:rPr>
              <w:t>Niveau de référence actualisé à fin</w:t>
            </w:r>
            <w:r w:rsidR="00B4191E" w:rsidRPr="000F7B07">
              <w:rPr>
                <w:i/>
                <w:color w:val="002060"/>
                <w:sz w:val="16"/>
                <w:szCs w:val="16"/>
              </w:rPr>
              <w:t> </w:t>
            </w:r>
            <w:r w:rsidRPr="000F7B07">
              <w:rPr>
                <w:i/>
                <w:color w:val="002060"/>
                <w:sz w:val="16"/>
                <w:szCs w:val="16"/>
              </w:rPr>
              <w:t>2015</w:t>
            </w:r>
            <w:r w:rsidR="00FA22F6" w:rsidRPr="000F7B07">
              <w:rPr>
                <w:i/>
                <w:color w:val="002060"/>
                <w:sz w:val="16"/>
                <w:szCs w:val="16"/>
              </w:rPr>
              <w:t> :</w:t>
            </w:r>
          </w:p>
          <w:p w14:paraId="399EE326" w14:textId="2B28B1E6" w:rsidR="001F64B1" w:rsidRPr="000F7B07" w:rsidRDefault="00A76AA3" w:rsidP="0097226C">
            <w:pPr>
              <w:rPr>
                <w:color w:val="002060"/>
                <w:sz w:val="16"/>
                <w:szCs w:val="16"/>
                <w:lang w:bidi="th-TH"/>
              </w:rPr>
            </w:pPr>
            <w:r w:rsidRPr="000F7B07">
              <w:rPr>
                <w:color w:val="002060"/>
                <w:sz w:val="16"/>
                <w:szCs w:val="16"/>
                <w:lang w:bidi="th-TH"/>
              </w:rPr>
              <w:t>24</w:t>
            </w:r>
            <w:r w:rsidR="004D421A" w:rsidRPr="000F7B07">
              <w:rPr>
                <w:color w:val="002060"/>
                <w:sz w:val="16"/>
                <w:szCs w:val="16"/>
                <w:lang w:bidi="th-TH"/>
              </w:rPr>
              <w:t> </w:t>
            </w:r>
            <w:r w:rsidRPr="000F7B07">
              <w:rPr>
                <w:color w:val="002060"/>
                <w:sz w:val="16"/>
                <w:szCs w:val="16"/>
                <w:lang w:bidi="th-TH"/>
              </w:rPr>
              <w:t>500</w:t>
            </w:r>
            <w:r w:rsidR="004D421A" w:rsidRPr="000F7B07">
              <w:rPr>
                <w:color w:val="002060"/>
                <w:sz w:val="16"/>
                <w:szCs w:val="16"/>
                <w:lang w:bidi="th-TH"/>
              </w:rPr>
              <w:t> </w:t>
            </w:r>
            <w:r w:rsidRPr="000F7B07">
              <w:rPr>
                <w:color w:val="002060"/>
                <w:sz w:val="16"/>
                <w:szCs w:val="16"/>
                <w:lang w:bidi="th-TH"/>
              </w:rPr>
              <w:t>000 (au total)</w:t>
            </w:r>
          </w:p>
          <w:p w14:paraId="1F7CF7C8" w14:textId="77777777" w:rsidR="001F64B1" w:rsidRPr="001E6DFD" w:rsidRDefault="001F64B1" w:rsidP="0097226C">
            <w:pPr>
              <w:rPr>
                <w:sz w:val="16"/>
                <w:szCs w:val="16"/>
              </w:rPr>
            </w:pPr>
          </w:p>
          <w:p w14:paraId="09CD8741" w14:textId="2CC2C7D8"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16287748" w14:textId="0D43432D" w:rsidR="00BA5EA9" w:rsidRPr="001E6DFD" w:rsidRDefault="00A76AA3" w:rsidP="0097226C">
            <w:pPr>
              <w:rPr>
                <w:sz w:val="16"/>
                <w:szCs w:val="16"/>
              </w:rPr>
            </w:pPr>
            <w:r w:rsidRPr="001E6DFD">
              <w:rPr>
                <w:sz w:val="16"/>
                <w:szCs w:val="16"/>
              </w:rPr>
              <w:t>15</w:t>
            </w:r>
            <w:r w:rsidR="004D421A" w:rsidRPr="001E6DFD">
              <w:rPr>
                <w:sz w:val="16"/>
                <w:szCs w:val="16"/>
              </w:rPr>
              <w:t> </w:t>
            </w:r>
            <w:r w:rsidRPr="001E6DFD">
              <w:rPr>
                <w:sz w:val="16"/>
                <w:szCs w:val="16"/>
              </w:rPr>
              <w:t>800</w:t>
            </w:r>
            <w:r w:rsidR="004D421A" w:rsidRPr="001E6DFD">
              <w:rPr>
                <w:sz w:val="16"/>
                <w:szCs w:val="16"/>
              </w:rPr>
              <w:t> </w:t>
            </w:r>
            <w:r w:rsidRPr="001E6DFD">
              <w:rPr>
                <w:sz w:val="16"/>
                <w:szCs w:val="16"/>
              </w:rPr>
              <w:t>000 (fin</w:t>
            </w:r>
            <w:r w:rsidR="00B4191E">
              <w:rPr>
                <w:sz w:val="16"/>
                <w:szCs w:val="16"/>
              </w:rPr>
              <w:t> </w:t>
            </w:r>
            <w:r w:rsidRPr="001E6DFD">
              <w:rPr>
                <w:sz w:val="16"/>
                <w:szCs w:val="16"/>
              </w:rPr>
              <w:t>2014)</w:t>
            </w:r>
          </w:p>
        </w:tc>
        <w:tc>
          <w:tcPr>
            <w:tcW w:w="1124" w:type="pct"/>
            <w:shd w:val="clear" w:color="auto" w:fill="auto"/>
            <w:tcMar>
              <w:top w:w="110" w:type="dxa"/>
              <w:left w:w="58" w:type="dxa"/>
              <w:right w:w="58" w:type="dxa"/>
            </w:tcMar>
          </w:tcPr>
          <w:p w14:paraId="7E149265" w14:textId="7B36042F" w:rsidR="00FA22F6" w:rsidRPr="000F7B07" w:rsidRDefault="00AC7D97" w:rsidP="0097226C">
            <w:pPr>
              <w:rPr>
                <w:i/>
                <w:color w:val="002060"/>
                <w:sz w:val="16"/>
                <w:szCs w:val="16"/>
              </w:rPr>
            </w:pPr>
            <w:r w:rsidRPr="000F7B07">
              <w:rPr>
                <w:i/>
                <w:color w:val="002060"/>
                <w:sz w:val="16"/>
                <w:szCs w:val="16"/>
              </w:rPr>
              <w:t>Objectif actualisé</w:t>
            </w:r>
            <w:r w:rsidR="00FA22F6" w:rsidRPr="000F7B07">
              <w:rPr>
                <w:i/>
                <w:color w:val="002060"/>
                <w:sz w:val="16"/>
                <w:szCs w:val="16"/>
              </w:rPr>
              <w:t> :</w:t>
            </w:r>
          </w:p>
          <w:p w14:paraId="7F79DDE6" w14:textId="670320F7" w:rsidR="001F64B1" w:rsidRPr="000F7B07" w:rsidRDefault="00BA5EA9" w:rsidP="0097226C">
            <w:pPr>
              <w:rPr>
                <w:color w:val="002060"/>
                <w:sz w:val="16"/>
                <w:szCs w:val="16"/>
              </w:rPr>
            </w:pPr>
            <w:r w:rsidRPr="000F7B07">
              <w:rPr>
                <w:color w:val="002060"/>
                <w:sz w:val="16"/>
                <w:szCs w:val="16"/>
              </w:rPr>
              <w:t>3</w:t>
            </w:r>
            <w:r w:rsidR="00282CF5" w:rsidRPr="000F7B07">
              <w:rPr>
                <w:color w:val="002060"/>
                <w:sz w:val="16"/>
                <w:szCs w:val="16"/>
              </w:rPr>
              <w:t>0 000 000</w:t>
            </w:r>
          </w:p>
          <w:p w14:paraId="0142AE54" w14:textId="77777777" w:rsidR="001F64B1" w:rsidRPr="001E6DFD" w:rsidRDefault="001F64B1" w:rsidP="0097226C">
            <w:pPr>
              <w:rPr>
                <w:sz w:val="16"/>
                <w:szCs w:val="16"/>
              </w:rPr>
            </w:pPr>
          </w:p>
          <w:p w14:paraId="6C9D4BD4" w14:textId="1A508F27" w:rsidR="00FA22F6" w:rsidRPr="001E6DFD" w:rsidRDefault="00AC7D97" w:rsidP="0097226C">
            <w:pPr>
              <w:rPr>
                <w:i/>
                <w:sz w:val="16"/>
                <w:szCs w:val="16"/>
                <w:lang w:bidi="th-TH"/>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3EA43DF7" w14:textId="2CCA6BFB" w:rsidR="00BA5EA9" w:rsidRPr="001E6DFD" w:rsidRDefault="00BA5EA9" w:rsidP="0097226C">
            <w:pPr>
              <w:rPr>
                <w:sz w:val="16"/>
                <w:szCs w:val="16"/>
              </w:rPr>
            </w:pPr>
            <w:r w:rsidRPr="001E6DFD">
              <w:rPr>
                <w:sz w:val="16"/>
                <w:szCs w:val="16"/>
              </w:rPr>
              <w:t>2</w:t>
            </w:r>
            <w:r w:rsidR="00282CF5" w:rsidRPr="001E6DFD">
              <w:rPr>
                <w:sz w:val="16"/>
                <w:szCs w:val="16"/>
              </w:rPr>
              <w:t>5 000 000</w:t>
            </w:r>
          </w:p>
        </w:tc>
        <w:tc>
          <w:tcPr>
            <w:tcW w:w="1179" w:type="pct"/>
            <w:shd w:val="clear" w:color="auto" w:fill="FFFFFF"/>
            <w:tcMar>
              <w:top w:w="110" w:type="dxa"/>
              <w:left w:w="58" w:type="dxa"/>
              <w:right w:w="58" w:type="dxa"/>
            </w:tcMar>
          </w:tcPr>
          <w:p w14:paraId="3DE9F2F0" w14:textId="524172BA" w:rsidR="00BA5EA9" w:rsidRPr="001E6DFD" w:rsidRDefault="00A76AA3" w:rsidP="0097226C">
            <w:pPr>
              <w:rPr>
                <w:sz w:val="16"/>
                <w:szCs w:val="16"/>
              </w:rPr>
            </w:pPr>
            <w:r w:rsidRPr="001E6DFD">
              <w:rPr>
                <w:sz w:val="16"/>
                <w:szCs w:val="16"/>
              </w:rPr>
              <w:t>27</w:t>
            </w:r>
            <w:r w:rsidR="004D421A" w:rsidRPr="001E6DFD">
              <w:rPr>
                <w:sz w:val="16"/>
                <w:szCs w:val="16"/>
              </w:rPr>
              <w:t> </w:t>
            </w:r>
            <w:r w:rsidRPr="001E6DFD">
              <w:rPr>
                <w:sz w:val="16"/>
                <w:szCs w:val="16"/>
              </w:rPr>
              <w:t>760</w:t>
            </w:r>
            <w:r w:rsidR="004D421A" w:rsidRPr="001E6DFD">
              <w:rPr>
                <w:sz w:val="16"/>
                <w:szCs w:val="16"/>
              </w:rPr>
              <w:t> </w:t>
            </w:r>
            <w:r w:rsidRPr="001E6DFD">
              <w:rPr>
                <w:sz w:val="16"/>
                <w:szCs w:val="16"/>
              </w:rPr>
              <w:t>000 (au total)</w:t>
            </w:r>
          </w:p>
        </w:tc>
        <w:tc>
          <w:tcPr>
            <w:tcW w:w="500" w:type="pct"/>
            <w:shd w:val="clear" w:color="auto" w:fill="auto"/>
            <w:tcMar>
              <w:top w:w="110" w:type="dxa"/>
              <w:left w:w="58" w:type="dxa"/>
              <w:right w:w="58" w:type="dxa"/>
            </w:tcMar>
          </w:tcPr>
          <w:p w14:paraId="5319C298"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54A81128" w14:textId="77777777" w:rsidTr="00A055E7">
        <w:tc>
          <w:tcPr>
            <w:tcW w:w="1074" w:type="pct"/>
            <w:shd w:val="clear" w:color="auto" w:fill="auto"/>
            <w:tcMar>
              <w:left w:w="58" w:type="dxa"/>
              <w:right w:w="58" w:type="dxa"/>
            </w:tcMar>
          </w:tcPr>
          <w:p w14:paraId="431D5754" w14:textId="354633CB" w:rsidR="00BA5EA9" w:rsidRPr="001E6DFD" w:rsidRDefault="00DF2F12" w:rsidP="0097226C">
            <w:pPr>
              <w:rPr>
                <w:sz w:val="16"/>
                <w:szCs w:val="16"/>
              </w:rPr>
            </w:pPr>
            <w:r w:rsidRPr="001E6DFD">
              <w:rPr>
                <w:sz w:val="16"/>
                <w:szCs w:val="16"/>
              </w:rPr>
              <w:t>Nombre d</w:t>
            </w:r>
            <w:r w:rsidR="00FA22F6" w:rsidRPr="001E6DFD">
              <w:rPr>
                <w:sz w:val="16"/>
                <w:szCs w:val="16"/>
              </w:rPr>
              <w:t>’</w:t>
            </w:r>
            <w:r w:rsidRPr="001E6DFD">
              <w:rPr>
                <w:sz w:val="16"/>
                <w:szCs w:val="16"/>
              </w:rPr>
              <w:t>entrées figurant dans la Base de données mondiale sur les dessins et modèles</w:t>
            </w:r>
          </w:p>
        </w:tc>
        <w:tc>
          <w:tcPr>
            <w:tcW w:w="1124" w:type="pct"/>
            <w:shd w:val="clear" w:color="auto" w:fill="auto"/>
            <w:tcMar>
              <w:left w:w="58" w:type="dxa"/>
              <w:right w:w="58" w:type="dxa"/>
            </w:tcMar>
          </w:tcPr>
          <w:p w14:paraId="57ABFF37" w14:textId="63155AA6" w:rsidR="001F64B1" w:rsidRPr="000F7B07" w:rsidRDefault="00E64532" w:rsidP="0097226C">
            <w:pPr>
              <w:rPr>
                <w:i/>
                <w:color w:val="002060"/>
                <w:sz w:val="16"/>
                <w:szCs w:val="16"/>
              </w:rPr>
            </w:pPr>
            <w:r w:rsidRPr="000F7B07">
              <w:rPr>
                <w:i/>
                <w:color w:val="002060"/>
                <w:sz w:val="16"/>
                <w:szCs w:val="16"/>
              </w:rPr>
              <w:t>Niveau de référence actualisé à fin</w:t>
            </w:r>
            <w:r w:rsidR="00B4191E" w:rsidRPr="000F7B07">
              <w:rPr>
                <w:i/>
                <w:color w:val="002060"/>
                <w:sz w:val="16"/>
                <w:szCs w:val="16"/>
              </w:rPr>
              <w:t> </w:t>
            </w:r>
            <w:r w:rsidRPr="000F7B07">
              <w:rPr>
                <w:i/>
                <w:color w:val="002060"/>
                <w:sz w:val="16"/>
                <w:szCs w:val="16"/>
              </w:rPr>
              <w:t>2015</w:t>
            </w:r>
            <w:r w:rsidR="00FA22F6" w:rsidRPr="000F7B07">
              <w:rPr>
                <w:i/>
                <w:color w:val="002060"/>
                <w:sz w:val="16"/>
                <w:szCs w:val="16"/>
              </w:rPr>
              <w:t> :</w:t>
            </w:r>
          </w:p>
          <w:p w14:paraId="7C6AC8AE" w14:textId="6D084538" w:rsidR="001F64B1" w:rsidRPr="000F7B07" w:rsidRDefault="007703CF" w:rsidP="0097226C">
            <w:pPr>
              <w:rPr>
                <w:color w:val="002060"/>
                <w:sz w:val="16"/>
                <w:szCs w:val="16"/>
              </w:rPr>
            </w:pPr>
            <w:r w:rsidRPr="000F7B07">
              <w:rPr>
                <w:color w:val="002060"/>
                <w:sz w:val="16"/>
                <w:szCs w:val="16"/>
              </w:rPr>
              <w:t xml:space="preserve">Total </w:t>
            </w:r>
            <w:r w:rsidR="00A97ED1" w:rsidRPr="000F7B07">
              <w:rPr>
                <w:color w:val="002060"/>
                <w:sz w:val="16"/>
                <w:szCs w:val="16"/>
              </w:rPr>
              <w:t>des entrées</w:t>
            </w:r>
            <w:r w:rsidR="00FA22F6" w:rsidRPr="000F7B07">
              <w:rPr>
                <w:color w:val="002060"/>
                <w:sz w:val="16"/>
                <w:szCs w:val="16"/>
              </w:rPr>
              <w:t> :</w:t>
            </w:r>
            <w:r w:rsidRPr="000F7B07">
              <w:rPr>
                <w:color w:val="002060"/>
                <w:sz w:val="16"/>
                <w:szCs w:val="16"/>
              </w:rPr>
              <w:t xml:space="preserve"> 1,</w:t>
            </w:r>
            <w:r w:rsidR="00BA5EA9" w:rsidRPr="000F7B07">
              <w:rPr>
                <w:color w:val="002060"/>
                <w:sz w:val="16"/>
                <w:szCs w:val="16"/>
              </w:rPr>
              <w:t>53</w:t>
            </w:r>
            <w:r w:rsidRPr="000F7B07">
              <w:rPr>
                <w:color w:val="002060"/>
                <w:sz w:val="16"/>
                <w:szCs w:val="16"/>
              </w:rPr>
              <w:t> </w:t>
            </w:r>
            <w:r w:rsidR="00BA5EA9" w:rsidRPr="000F7B07">
              <w:rPr>
                <w:color w:val="002060"/>
                <w:sz w:val="16"/>
                <w:szCs w:val="16"/>
              </w:rPr>
              <w:t>million</w:t>
            </w:r>
          </w:p>
          <w:p w14:paraId="27A1A40A" w14:textId="4D4B8EC4" w:rsidR="001F64B1" w:rsidRPr="000F7B07" w:rsidRDefault="00A97ED1" w:rsidP="0097226C">
            <w:pPr>
              <w:rPr>
                <w:color w:val="002060"/>
                <w:sz w:val="16"/>
                <w:szCs w:val="16"/>
              </w:rPr>
            </w:pPr>
            <w:r w:rsidRPr="000F7B07">
              <w:rPr>
                <w:color w:val="002060"/>
                <w:sz w:val="16"/>
                <w:szCs w:val="16"/>
              </w:rPr>
              <w:t>Collections nationales</w:t>
            </w:r>
            <w:r w:rsidR="00FA22F6" w:rsidRPr="000F7B07">
              <w:rPr>
                <w:color w:val="002060"/>
                <w:sz w:val="16"/>
                <w:szCs w:val="16"/>
              </w:rPr>
              <w:t> :</w:t>
            </w:r>
            <w:r w:rsidR="00BA5EA9" w:rsidRPr="000F7B07">
              <w:rPr>
                <w:color w:val="002060"/>
                <w:sz w:val="16"/>
                <w:szCs w:val="16"/>
              </w:rPr>
              <w:t xml:space="preserve"> 5</w:t>
            </w:r>
          </w:p>
          <w:p w14:paraId="7F1ECB9A" w14:textId="77777777" w:rsidR="001F64B1" w:rsidRPr="001E6DFD" w:rsidRDefault="001F64B1" w:rsidP="0097226C">
            <w:pPr>
              <w:rPr>
                <w:sz w:val="16"/>
                <w:szCs w:val="16"/>
              </w:rPr>
            </w:pPr>
          </w:p>
          <w:p w14:paraId="7CF14474" w14:textId="05E14B69"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0635F72" w14:textId="69730770" w:rsidR="00BA5EA9" w:rsidRPr="001E6DFD" w:rsidRDefault="00DF2F12" w:rsidP="0097226C">
            <w:pPr>
              <w:rPr>
                <w:sz w:val="16"/>
                <w:szCs w:val="16"/>
              </w:rPr>
            </w:pPr>
            <w:proofErr w:type="spellStart"/>
            <w:r w:rsidRPr="001E6DFD">
              <w:rPr>
                <w:sz w:val="16"/>
                <w:szCs w:val="16"/>
              </w:rPr>
              <w:t>n.d</w:t>
            </w:r>
            <w:proofErr w:type="spellEnd"/>
            <w:r w:rsidRPr="001E6DFD">
              <w:rPr>
                <w:sz w:val="16"/>
                <w:szCs w:val="16"/>
              </w:rPr>
              <w:t>.</w:t>
            </w:r>
          </w:p>
        </w:tc>
        <w:tc>
          <w:tcPr>
            <w:tcW w:w="1124" w:type="pct"/>
            <w:shd w:val="clear" w:color="auto" w:fill="auto"/>
            <w:tcMar>
              <w:top w:w="110" w:type="dxa"/>
              <w:left w:w="58" w:type="dxa"/>
              <w:right w:w="58" w:type="dxa"/>
            </w:tcMar>
          </w:tcPr>
          <w:p w14:paraId="3F04EC1D" w14:textId="14AABCDD" w:rsidR="00FA22F6" w:rsidRPr="000F7B07" w:rsidRDefault="00AC7D97" w:rsidP="0097226C">
            <w:pPr>
              <w:rPr>
                <w:i/>
                <w:color w:val="002060"/>
                <w:sz w:val="16"/>
                <w:szCs w:val="16"/>
              </w:rPr>
            </w:pPr>
            <w:r w:rsidRPr="000F7B07">
              <w:rPr>
                <w:i/>
                <w:color w:val="002060"/>
                <w:sz w:val="16"/>
                <w:szCs w:val="16"/>
              </w:rPr>
              <w:t>Objectif actualisé</w:t>
            </w:r>
            <w:r w:rsidR="00FA22F6" w:rsidRPr="000F7B07">
              <w:rPr>
                <w:i/>
                <w:color w:val="002060"/>
                <w:sz w:val="16"/>
                <w:szCs w:val="16"/>
              </w:rPr>
              <w:t> :</w:t>
            </w:r>
          </w:p>
          <w:p w14:paraId="2B815159" w14:textId="77777777" w:rsidR="00FA22F6" w:rsidRPr="000F7B07" w:rsidRDefault="00282CF5" w:rsidP="0097226C">
            <w:pPr>
              <w:rPr>
                <w:color w:val="002060"/>
                <w:sz w:val="16"/>
                <w:szCs w:val="16"/>
              </w:rPr>
            </w:pPr>
            <w:r w:rsidRPr="000F7B07">
              <w:rPr>
                <w:color w:val="002060"/>
                <w:sz w:val="16"/>
                <w:szCs w:val="16"/>
              </w:rPr>
              <w:t>2 000 000</w:t>
            </w:r>
          </w:p>
          <w:p w14:paraId="16AB28B9" w14:textId="3AE2D7E5" w:rsidR="001F64B1" w:rsidRPr="001E6DFD" w:rsidRDefault="001F64B1" w:rsidP="0097226C">
            <w:pPr>
              <w:rPr>
                <w:sz w:val="16"/>
                <w:szCs w:val="16"/>
              </w:rPr>
            </w:pPr>
          </w:p>
          <w:p w14:paraId="68B18969" w14:textId="133EA68F" w:rsidR="00FA22F6" w:rsidRPr="001E6DFD" w:rsidRDefault="00AC7D97" w:rsidP="0097226C">
            <w:pPr>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96133E6" w14:textId="4EDBFE24" w:rsidR="00BA5EA9" w:rsidRPr="001E6DFD" w:rsidRDefault="00282CF5" w:rsidP="0097226C">
            <w:pPr>
              <w:rPr>
                <w:sz w:val="16"/>
                <w:szCs w:val="16"/>
              </w:rPr>
            </w:pPr>
            <w:r w:rsidRPr="001E6DFD">
              <w:rPr>
                <w:sz w:val="16"/>
                <w:szCs w:val="16"/>
              </w:rPr>
              <w:t>1 000 000</w:t>
            </w:r>
          </w:p>
        </w:tc>
        <w:tc>
          <w:tcPr>
            <w:tcW w:w="1179" w:type="pct"/>
            <w:shd w:val="clear" w:color="auto" w:fill="FFFFFF"/>
            <w:tcMar>
              <w:top w:w="110" w:type="dxa"/>
              <w:left w:w="58" w:type="dxa"/>
              <w:right w:w="58" w:type="dxa"/>
            </w:tcMar>
          </w:tcPr>
          <w:p w14:paraId="2110F937" w14:textId="7812AE83" w:rsidR="00BA5EA9" w:rsidRPr="001E6DFD" w:rsidRDefault="00DF2F12" w:rsidP="0097226C">
            <w:pPr>
              <w:rPr>
                <w:sz w:val="16"/>
                <w:szCs w:val="16"/>
              </w:rPr>
            </w:pPr>
            <w:r w:rsidRPr="001E6DFD">
              <w:rPr>
                <w:sz w:val="16"/>
                <w:szCs w:val="16"/>
              </w:rPr>
              <w:t>1</w:t>
            </w:r>
            <w:r w:rsidR="004D421A" w:rsidRPr="001E6DFD">
              <w:rPr>
                <w:sz w:val="16"/>
                <w:szCs w:val="16"/>
              </w:rPr>
              <w:t> </w:t>
            </w:r>
            <w:r w:rsidRPr="001E6DFD">
              <w:rPr>
                <w:sz w:val="16"/>
                <w:szCs w:val="16"/>
              </w:rPr>
              <w:t>600</w:t>
            </w:r>
            <w:r w:rsidR="004D421A" w:rsidRPr="001E6DFD">
              <w:rPr>
                <w:sz w:val="16"/>
                <w:szCs w:val="16"/>
              </w:rPr>
              <w:t> </w:t>
            </w:r>
            <w:r w:rsidRPr="001E6DFD">
              <w:rPr>
                <w:sz w:val="16"/>
                <w:szCs w:val="16"/>
              </w:rPr>
              <w:t>000 (au total)</w:t>
            </w:r>
          </w:p>
        </w:tc>
        <w:tc>
          <w:tcPr>
            <w:tcW w:w="500" w:type="pct"/>
            <w:shd w:val="clear" w:color="auto" w:fill="auto"/>
            <w:tcMar>
              <w:top w:w="110" w:type="dxa"/>
              <w:left w:w="58" w:type="dxa"/>
              <w:right w:w="58" w:type="dxa"/>
            </w:tcMar>
          </w:tcPr>
          <w:p w14:paraId="233573CC"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674A0ECB" w14:textId="77777777" w:rsidTr="00A055E7">
        <w:tc>
          <w:tcPr>
            <w:tcW w:w="1074" w:type="pct"/>
            <w:shd w:val="clear" w:color="auto" w:fill="auto"/>
            <w:tcMar>
              <w:left w:w="58" w:type="dxa"/>
              <w:right w:w="58" w:type="dxa"/>
            </w:tcMar>
          </w:tcPr>
          <w:p w14:paraId="4EA70046" w14:textId="77777777" w:rsidR="00BA5EA9" w:rsidRPr="001E6DFD" w:rsidRDefault="00DF2F12" w:rsidP="0097226C">
            <w:pPr>
              <w:rPr>
                <w:sz w:val="16"/>
                <w:szCs w:val="16"/>
              </w:rPr>
            </w:pPr>
            <w:r w:rsidRPr="001E6DFD">
              <w:rPr>
                <w:sz w:val="16"/>
                <w:szCs w:val="16"/>
              </w:rPr>
              <w:t>Nombre de collections nationales dans PATENTSCOPE</w:t>
            </w:r>
          </w:p>
        </w:tc>
        <w:tc>
          <w:tcPr>
            <w:tcW w:w="1124" w:type="pct"/>
            <w:shd w:val="clear" w:color="auto" w:fill="auto"/>
            <w:tcMar>
              <w:left w:w="58" w:type="dxa"/>
              <w:right w:w="58" w:type="dxa"/>
            </w:tcMar>
          </w:tcPr>
          <w:p w14:paraId="77C267FA" w14:textId="4BE55C12" w:rsidR="001F64B1" w:rsidRPr="000F7B07" w:rsidRDefault="00E64532" w:rsidP="0097226C">
            <w:pPr>
              <w:rPr>
                <w:i/>
                <w:color w:val="002060"/>
                <w:sz w:val="16"/>
                <w:szCs w:val="16"/>
              </w:rPr>
            </w:pPr>
            <w:r w:rsidRPr="000F7B07">
              <w:rPr>
                <w:i/>
                <w:color w:val="002060"/>
                <w:sz w:val="16"/>
                <w:szCs w:val="16"/>
              </w:rPr>
              <w:t>Niveau de référence actualisé à fin</w:t>
            </w:r>
            <w:r w:rsidR="00B4191E" w:rsidRPr="000F7B07">
              <w:rPr>
                <w:i/>
                <w:color w:val="002060"/>
                <w:sz w:val="16"/>
                <w:szCs w:val="16"/>
              </w:rPr>
              <w:t> </w:t>
            </w:r>
            <w:r w:rsidRPr="000F7B07">
              <w:rPr>
                <w:i/>
                <w:color w:val="002060"/>
                <w:sz w:val="16"/>
                <w:szCs w:val="16"/>
              </w:rPr>
              <w:t>2015</w:t>
            </w:r>
            <w:r w:rsidR="00FA22F6" w:rsidRPr="000F7B07">
              <w:rPr>
                <w:i/>
                <w:color w:val="002060"/>
                <w:sz w:val="16"/>
                <w:szCs w:val="16"/>
              </w:rPr>
              <w:t> :</w:t>
            </w:r>
          </w:p>
          <w:p w14:paraId="781BC6E5" w14:textId="77777777" w:rsidR="001F64B1" w:rsidRPr="000F7B07" w:rsidRDefault="00DF2F12" w:rsidP="0097226C">
            <w:pPr>
              <w:rPr>
                <w:color w:val="002060"/>
                <w:sz w:val="16"/>
                <w:szCs w:val="16"/>
              </w:rPr>
            </w:pPr>
            <w:r w:rsidRPr="000F7B07">
              <w:rPr>
                <w:color w:val="002060"/>
                <w:sz w:val="16"/>
                <w:szCs w:val="16"/>
              </w:rPr>
              <w:t>43 (au total)</w:t>
            </w:r>
          </w:p>
          <w:p w14:paraId="5CAA40BE" w14:textId="77777777" w:rsidR="001F64B1" w:rsidRPr="001E6DFD" w:rsidRDefault="001F64B1" w:rsidP="0097226C">
            <w:pPr>
              <w:rPr>
                <w:sz w:val="16"/>
                <w:szCs w:val="16"/>
              </w:rPr>
            </w:pPr>
          </w:p>
          <w:p w14:paraId="332D39D4" w14:textId="3F74EB45"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E9F3614" w14:textId="7DF17548" w:rsidR="00BA5EA9" w:rsidRPr="001E6DFD" w:rsidRDefault="00DF2F12" w:rsidP="0097226C">
            <w:pPr>
              <w:rPr>
                <w:sz w:val="16"/>
                <w:szCs w:val="16"/>
              </w:rPr>
            </w:pPr>
            <w:r w:rsidRPr="001E6DFD">
              <w:rPr>
                <w:sz w:val="16"/>
                <w:szCs w:val="16"/>
              </w:rPr>
              <w:t>40 (fin 2014)</w:t>
            </w:r>
          </w:p>
        </w:tc>
        <w:tc>
          <w:tcPr>
            <w:tcW w:w="1124" w:type="pct"/>
            <w:shd w:val="clear" w:color="auto" w:fill="auto"/>
            <w:tcMar>
              <w:top w:w="110" w:type="dxa"/>
              <w:left w:w="58" w:type="dxa"/>
              <w:right w:w="58" w:type="dxa"/>
            </w:tcMar>
          </w:tcPr>
          <w:p w14:paraId="4CEA6E1D" w14:textId="77777777" w:rsidR="00BA5EA9" w:rsidRPr="001E6DFD" w:rsidRDefault="00BA5EA9" w:rsidP="0097226C">
            <w:pPr>
              <w:rPr>
                <w:sz w:val="16"/>
                <w:szCs w:val="16"/>
              </w:rPr>
            </w:pPr>
            <w:r w:rsidRPr="001E6DFD">
              <w:rPr>
                <w:sz w:val="16"/>
                <w:szCs w:val="16"/>
              </w:rPr>
              <w:t>50</w:t>
            </w:r>
          </w:p>
        </w:tc>
        <w:tc>
          <w:tcPr>
            <w:tcW w:w="1179" w:type="pct"/>
            <w:shd w:val="clear" w:color="auto" w:fill="FFFFFF"/>
            <w:tcMar>
              <w:top w:w="110" w:type="dxa"/>
              <w:left w:w="58" w:type="dxa"/>
              <w:right w:w="58" w:type="dxa"/>
            </w:tcMar>
          </w:tcPr>
          <w:p w14:paraId="588F2800" w14:textId="77777777" w:rsidR="00BA5EA9" w:rsidRPr="001E6DFD" w:rsidRDefault="00DF2F12" w:rsidP="0097226C">
            <w:pPr>
              <w:rPr>
                <w:sz w:val="16"/>
                <w:szCs w:val="16"/>
              </w:rPr>
            </w:pPr>
            <w:r w:rsidRPr="001E6DFD">
              <w:rPr>
                <w:sz w:val="16"/>
                <w:szCs w:val="16"/>
              </w:rPr>
              <w:t>43 (au total)</w:t>
            </w:r>
          </w:p>
        </w:tc>
        <w:tc>
          <w:tcPr>
            <w:tcW w:w="500" w:type="pct"/>
            <w:shd w:val="clear" w:color="auto" w:fill="auto"/>
            <w:tcMar>
              <w:top w:w="110" w:type="dxa"/>
              <w:left w:w="58" w:type="dxa"/>
              <w:right w:w="58" w:type="dxa"/>
            </w:tcMar>
          </w:tcPr>
          <w:p w14:paraId="06FE5D33" w14:textId="77777777" w:rsidR="00BA5EA9" w:rsidRPr="001E6DFD" w:rsidRDefault="00A43B2F" w:rsidP="0097226C">
            <w:pPr>
              <w:jc w:val="center"/>
              <w:rPr>
                <w:sz w:val="16"/>
                <w:szCs w:val="16"/>
              </w:rPr>
            </w:pPr>
            <w:r w:rsidRPr="001E6DFD">
              <w:rPr>
                <w:b/>
                <w:color w:val="00B050"/>
                <w:sz w:val="16"/>
                <w:szCs w:val="16"/>
              </w:rPr>
              <w:t>En bonne voie</w:t>
            </w:r>
          </w:p>
        </w:tc>
      </w:tr>
      <w:tr w:rsidR="00BA5EA9" w:rsidRPr="001E6DFD" w14:paraId="31394AC1" w14:textId="77777777" w:rsidTr="00A055E7">
        <w:tc>
          <w:tcPr>
            <w:tcW w:w="1074" w:type="pct"/>
            <w:shd w:val="clear" w:color="auto" w:fill="auto"/>
            <w:tcMar>
              <w:left w:w="58" w:type="dxa"/>
              <w:right w:w="58" w:type="dxa"/>
            </w:tcMar>
          </w:tcPr>
          <w:p w14:paraId="1F267477" w14:textId="77777777" w:rsidR="00BA5EA9" w:rsidRPr="001E6DFD" w:rsidRDefault="00DF2F12" w:rsidP="0097226C">
            <w:pPr>
              <w:rPr>
                <w:sz w:val="16"/>
                <w:szCs w:val="16"/>
              </w:rPr>
            </w:pPr>
            <w:r w:rsidRPr="001E6DFD">
              <w:rPr>
                <w:sz w:val="16"/>
                <w:szCs w:val="16"/>
              </w:rPr>
              <w:t>Nombre de collections nationales dans la Base de données mondiale sur les marques</w:t>
            </w:r>
          </w:p>
        </w:tc>
        <w:tc>
          <w:tcPr>
            <w:tcW w:w="1124" w:type="pct"/>
            <w:shd w:val="clear" w:color="auto" w:fill="auto"/>
            <w:tcMar>
              <w:left w:w="58" w:type="dxa"/>
              <w:right w:w="58" w:type="dxa"/>
            </w:tcMar>
          </w:tcPr>
          <w:p w14:paraId="214EB03B" w14:textId="502E2007" w:rsidR="001F64B1" w:rsidRPr="000F7B07" w:rsidRDefault="00E64532" w:rsidP="0097226C">
            <w:pPr>
              <w:rPr>
                <w:i/>
                <w:color w:val="002060"/>
                <w:sz w:val="16"/>
                <w:szCs w:val="16"/>
              </w:rPr>
            </w:pPr>
            <w:r w:rsidRPr="000F7B07">
              <w:rPr>
                <w:i/>
                <w:color w:val="002060"/>
                <w:sz w:val="16"/>
                <w:szCs w:val="16"/>
              </w:rPr>
              <w:t>Niveau de référence actualisé à fin</w:t>
            </w:r>
            <w:r w:rsidR="00B4191E" w:rsidRPr="000F7B07">
              <w:rPr>
                <w:i/>
                <w:color w:val="002060"/>
                <w:sz w:val="16"/>
                <w:szCs w:val="16"/>
              </w:rPr>
              <w:t> </w:t>
            </w:r>
            <w:r w:rsidRPr="000F7B07">
              <w:rPr>
                <w:i/>
                <w:color w:val="002060"/>
                <w:sz w:val="16"/>
                <w:szCs w:val="16"/>
              </w:rPr>
              <w:t>2015</w:t>
            </w:r>
            <w:r w:rsidR="00FA22F6" w:rsidRPr="000F7B07">
              <w:rPr>
                <w:i/>
                <w:color w:val="002060"/>
                <w:sz w:val="16"/>
                <w:szCs w:val="16"/>
              </w:rPr>
              <w:t> :</w:t>
            </w:r>
          </w:p>
          <w:p w14:paraId="62CB8758" w14:textId="77777777" w:rsidR="001F64B1" w:rsidRPr="000F7B07" w:rsidRDefault="00DF2F12" w:rsidP="0097226C">
            <w:pPr>
              <w:rPr>
                <w:color w:val="002060"/>
                <w:sz w:val="16"/>
                <w:szCs w:val="16"/>
                <w:lang w:bidi="th-TH"/>
              </w:rPr>
            </w:pPr>
            <w:r w:rsidRPr="000F7B07">
              <w:rPr>
                <w:color w:val="002060"/>
                <w:sz w:val="16"/>
                <w:szCs w:val="16"/>
                <w:lang w:bidi="th-TH"/>
              </w:rPr>
              <w:t>26 (au total)</w:t>
            </w:r>
          </w:p>
          <w:p w14:paraId="351438D9" w14:textId="77777777" w:rsidR="001F64B1" w:rsidRPr="001E6DFD" w:rsidRDefault="001F64B1" w:rsidP="0097226C">
            <w:pPr>
              <w:rPr>
                <w:sz w:val="16"/>
                <w:szCs w:val="16"/>
              </w:rPr>
            </w:pPr>
          </w:p>
          <w:p w14:paraId="2E51B991" w14:textId="5A4FE840"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19B3ABD0" w14:textId="6910386E" w:rsidR="00BA5EA9" w:rsidRPr="001E6DFD" w:rsidRDefault="00DF2F12" w:rsidP="0097226C">
            <w:pPr>
              <w:rPr>
                <w:sz w:val="16"/>
                <w:szCs w:val="16"/>
              </w:rPr>
            </w:pPr>
            <w:r w:rsidRPr="001E6DFD">
              <w:rPr>
                <w:sz w:val="16"/>
                <w:szCs w:val="16"/>
              </w:rPr>
              <w:t>18 (fin 2014)</w:t>
            </w:r>
          </w:p>
        </w:tc>
        <w:tc>
          <w:tcPr>
            <w:tcW w:w="1124" w:type="pct"/>
            <w:shd w:val="clear" w:color="auto" w:fill="auto"/>
            <w:tcMar>
              <w:top w:w="110" w:type="dxa"/>
              <w:left w:w="58" w:type="dxa"/>
              <w:right w:w="58" w:type="dxa"/>
            </w:tcMar>
          </w:tcPr>
          <w:p w14:paraId="1CD30D2D" w14:textId="77777777" w:rsidR="00BA5EA9" w:rsidRPr="001E6DFD" w:rsidRDefault="00BA5EA9" w:rsidP="0097226C">
            <w:pPr>
              <w:rPr>
                <w:sz w:val="16"/>
                <w:szCs w:val="16"/>
              </w:rPr>
            </w:pPr>
            <w:r w:rsidRPr="001E6DFD">
              <w:rPr>
                <w:sz w:val="16"/>
                <w:szCs w:val="16"/>
              </w:rPr>
              <w:t>32</w:t>
            </w:r>
          </w:p>
        </w:tc>
        <w:tc>
          <w:tcPr>
            <w:tcW w:w="1179" w:type="pct"/>
            <w:shd w:val="clear" w:color="auto" w:fill="FFFFFF"/>
            <w:tcMar>
              <w:top w:w="110" w:type="dxa"/>
              <w:left w:w="58" w:type="dxa"/>
              <w:right w:w="58" w:type="dxa"/>
            </w:tcMar>
          </w:tcPr>
          <w:p w14:paraId="67AD3D2E" w14:textId="77777777" w:rsidR="00BA5EA9" w:rsidRPr="001E6DFD" w:rsidRDefault="00DF2F12" w:rsidP="0097226C">
            <w:pPr>
              <w:rPr>
                <w:sz w:val="16"/>
                <w:szCs w:val="16"/>
              </w:rPr>
            </w:pPr>
            <w:r w:rsidRPr="001E6DFD">
              <w:rPr>
                <w:sz w:val="16"/>
                <w:szCs w:val="16"/>
              </w:rPr>
              <w:t>32 (au total)</w:t>
            </w:r>
          </w:p>
        </w:tc>
        <w:tc>
          <w:tcPr>
            <w:tcW w:w="500" w:type="pct"/>
            <w:shd w:val="clear" w:color="auto" w:fill="auto"/>
            <w:tcMar>
              <w:top w:w="110" w:type="dxa"/>
              <w:left w:w="58" w:type="dxa"/>
              <w:right w:w="58" w:type="dxa"/>
            </w:tcMar>
          </w:tcPr>
          <w:p w14:paraId="7C10F2A3" w14:textId="77777777" w:rsidR="00BA5EA9" w:rsidRPr="001E6DFD" w:rsidRDefault="00A43B2F" w:rsidP="0097226C">
            <w:pPr>
              <w:jc w:val="center"/>
              <w:rPr>
                <w:sz w:val="16"/>
                <w:szCs w:val="16"/>
              </w:rPr>
            </w:pPr>
            <w:r w:rsidRPr="001E6DFD">
              <w:rPr>
                <w:b/>
                <w:color w:val="00B050"/>
                <w:sz w:val="16"/>
                <w:szCs w:val="16"/>
              </w:rPr>
              <w:t>En bonne voie</w:t>
            </w:r>
          </w:p>
        </w:tc>
      </w:tr>
    </w:tbl>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4"/>
      </w:tblGrid>
      <w:tr w:rsidR="00BA5EA9" w:rsidRPr="001E6DFD" w14:paraId="33A0ECD7" w14:textId="77777777" w:rsidTr="002307FD">
        <w:trPr>
          <w:trHeight w:val="423"/>
        </w:trPr>
        <w:tc>
          <w:tcPr>
            <w:tcW w:w="9214" w:type="dxa"/>
            <w:shd w:val="clear" w:color="auto" w:fill="C6D9F1" w:themeFill="text2" w:themeFillTint="33"/>
            <w:vAlign w:val="center"/>
          </w:tcPr>
          <w:p w14:paraId="58F46A5A" w14:textId="62E39B19" w:rsidR="00BA5EA9" w:rsidRPr="001E6DFD" w:rsidRDefault="00BA5EA9" w:rsidP="0097226C">
            <w:pPr>
              <w:keepNext/>
              <w:keepLines/>
              <w:jc w:val="center"/>
              <w:rPr>
                <w:b/>
              </w:rPr>
            </w:pPr>
            <w:r w:rsidRPr="001E6DFD">
              <w:lastRenderedPageBreak/>
              <w:br w:type="page"/>
            </w:r>
            <w:r w:rsidR="002F00FF" w:rsidRPr="001E6DFD">
              <w:rPr>
                <w:b/>
              </w:rPr>
              <w:t>Utilisation des ressources au titre du programme</w:t>
            </w:r>
            <w:r w:rsidR="00B4191E">
              <w:rPr>
                <w:b/>
              </w:rPr>
              <w:t> </w:t>
            </w:r>
            <w:r w:rsidRPr="001E6DFD">
              <w:rPr>
                <w:b/>
              </w:rPr>
              <w:t>13</w:t>
            </w:r>
          </w:p>
        </w:tc>
      </w:tr>
    </w:tbl>
    <w:p w14:paraId="3FAACE65" w14:textId="77777777" w:rsidR="001F64B1" w:rsidRPr="001E6DFD" w:rsidRDefault="001F64B1" w:rsidP="0097226C">
      <w:pPr>
        <w:keepNext/>
        <w:keepLines/>
      </w:pPr>
    </w:p>
    <w:p w14:paraId="16BCCDD0" w14:textId="77777777" w:rsidR="001F64B1" w:rsidRPr="001E6DFD" w:rsidRDefault="00DF2F12" w:rsidP="0097226C">
      <w:pPr>
        <w:keepNext/>
        <w:keepLines/>
        <w:jc w:val="center"/>
        <w:rPr>
          <w:sz w:val="18"/>
          <w:szCs w:val="18"/>
        </w:rPr>
      </w:pPr>
      <w:r w:rsidRPr="001E6DFD">
        <w:rPr>
          <w:sz w:val="18"/>
          <w:szCs w:val="18"/>
        </w:rPr>
        <w:t>Budget et dépenses effectives (par résultat)</w:t>
      </w:r>
    </w:p>
    <w:p w14:paraId="64306539" w14:textId="77777777" w:rsidR="001F64B1" w:rsidRPr="001E6DFD" w:rsidRDefault="00DF2F12" w:rsidP="0097226C">
      <w:pPr>
        <w:keepNext/>
        <w:keepLines/>
        <w:jc w:val="center"/>
        <w:rPr>
          <w:i/>
          <w:iCs/>
          <w:sz w:val="16"/>
          <w:szCs w:val="16"/>
        </w:rPr>
      </w:pPr>
      <w:r w:rsidRPr="001E6DFD">
        <w:rPr>
          <w:i/>
          <w:iCs/>
          <w:sz w:val="16"/>
          <w:szCs w:val="16"/>
        </w:rPr>
        <w:t>(en milliers de francs suisses)</w:t>
      </w:r>
    </w:p>
    <w:p w14:paraId="2FA8328B" w14:textId="77777777" w:rsidR="00BA5EA9" w:rsidRPr="001E6DFD" w:rsidRDefault="00BA5EA9" w:rsidP="0097226C">
      <w:pPr>
        <w:keepNext/>
        <w:keepLines/>
      </w:pPr>
    </w:p>
    <w:tbl>
      <w:tblPr>
        <w:tblW w:w="4300" w:type="pct"/>
        <w:jc w:val="center"/>
        <w:tblCellMar>
          <w:top w:w="57" w:type="dxa"/>
          <w:bottom w:w="57" w:type="dxa"/>
        </w:tblCellMar>
        <w:tblLook w:val="04A0" w:firstRow="1" w:lastRow="0" w:firstColumn="1" w:lastColumn="0" w:noHBand="0" w:noVBand="1"/>
      </w:tblPr>
      <w:tblGrid>
        <w:gridCol w:w="506"/>
        <w:gridCol w:w="4218"/>
        <w:gridCol w:w="1568"/>
        <w:gridCol w:w="1568"/>
        <w:gridCol w:w="1427"/>
      </w:tblGrid>
      <w:tr w:rsidR="00BA5EA9" w:rsidRPr="001E6DFD" w14:paraId="0F89DC69" w14:textId="77777777" w:rsidTr="00A055E7">
        <w:trPr>
          <w:jc w:val="center"/>
        </w:trPr>
        <w:tc>
          <w:tcPr>
            <w:tcW w:w="4751" w:type="dxa"/>
            <w:gridSpan w:val="2"/>
            <w:tcBorders>
              <w:top w:val="nil"/>
              <w:left w:val="nil"/>
              <w:bottom w:val="nil"/>
              <w:right w:val="nil"/>
            </w:tcBorders>
            <w:shd w:val="clear" w:color="000000" w:fill="C5D9F1"/>
            <w:noWrap/>
            <w:vAlign w:val="center"/>
            <w:hideMark/>
          </w:tcPr>
          <w:p w14:paraId="62A7DB7B" w14:textId="77777777" w:rsidR="00BA5EA9" w:rsidRPr="001E6DFD" w:rsidRDefault="00DF2F12" w:rsidP="0097226C">
            <w:pPr>
              <w:keepNext/>
              <w:keepLines/>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51" w:type="dxa"/>
            <w:tcBorders>
              <w:top w:val="nil"/>
              <w:left w:val="nil"/>
              <w:bottom w:val="nil"/>
              <w:right w:val="nil"/>
            </w:tcBorders>
            <w:shd w:val="clear" w:color="000000" w:fill="C5D9F1"/>
            <w:vAlign w:val="center"/>
            <w:hideMark/>
          </w:tcPr>
          <w:p w14:paraId="5C9BE77B" w14:textId="3B3E4B25" w:rsidR="00BA5EA9" w:rsidRPr="001E6DFD" w:rsidRDefault="002A49FC" w:rsidP="0097226C">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50" w:type="dxa"/>
            <w:tcBorders>
              <w:top w:val="nil"/>
              <w:left w:val="nil"/>
              <w:bottom w:val="nil"/>
              <w:right w:val="nil"/>
            </w:tcBorders>
            <w:shd w:val="clear" w:color="000000" w:fill="C5D9F1"/>
            <w:vAlign w:val="center"/>
            <w:hideMark/>
          </w:tcPr>
          <w:p w14:paraId="640C45CE" w14:textId="23D81B23" w:rsidR="00BA5EA9" w:rsidRPr="001E6DFD" w:rsidRDefault="002A49FC" w:rsidP="0097226C">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70" w:type="dxa"/>
            <w:tcBorders>
              <w:top w:val="nil"/>
              <w:left w:val="nil"/>
              <w:bottom w:val="nil"/>
              <w:right w:val="nil"/>
            </w:tcBorders>
            <w:shd w:val="clear" w:color="000000" w:fill="C5D9F1"/>
            <w:vAlign w:val="center"/>
            <w:hideMark/>
          </w:tcPr>
          <w:p w14:paraId="45DECDCC" w14:textId="74BBD172" w:rsidR="00BA5EA9" w:rsidRPr="001E6DFD" w:rsidRDefault="002A49FC" w:rsidP="0097226C">
            <w:pPr>
              <w:keepNext/>
              <w:keepLines/>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0154223E" w14:textId="77777777" w:rsidTr="00A055E7">
        <w:trPr>
          <w:jc w:val="center"/>
        </w:trPr>
        <w:tc>
          <w:tcPr>
            <w:tcW w:w="507" w:type="dxa"/>
            <w:tcBorders>
              <w:top w:val="nil"/>
              <w:left w:val="nil"/>
              <w:bottom w:val="nil"/>
              <w:right w:val="nil"/>
            </w:tcBorders>
            <w:shd w:val="clear" w:color="auto" w:fill="auto"/>
            <w:noWrap/>
            <w:vAlign w:val="center"/>
            <w:hideMark/>
          </w:tcPr>
          <w:p w14:paraId="36D95EB1" w14:textId="77777777" w:rsidR="00BA5EA9" w:rsidRPr="001E6DFD" w:rsidRDefault="00BA5EA9" w:rsidP="0097226C">
            <w:pPr>
              <w:keepNext/>
              <w:keepLines/>
              <w:rPr>
                <w:sz w:val="16"/>
                <w:szCs w:val="16"/>
              </w:rPr>
            </w:pPr>
            <w:r w:rsidRPr="001E6DFD">
              <w:rPr>
                <w:sz w:val="16"/>
                <w:szCs w:val="16"/>
              </w:rPr>
              <w:t>IV.2</w:t>
            </w:r>
          </w:p>
        </w:tc>
        <w:tc>
          <w:tcPr>
            <w:tcW w:w="4244" w:type="dxa"/>
            <w:tcBorders>
              <w:top w:val="nil"/>
              <w:left w:val="nil"/>
              <w:bottom w:val="nil"/>
              <w:right w:val="nil"/>
            </w:tcBorders>
            <w:shd w:val="clear" w:color="auto" w:fill="auto"/>
            <w:vAlign w:val="center"/>
            <w:hideMark/>
          </w:tcPr>
          <w:p w14:paraId="4C128F21" w14:textId="7C6F75E6" w:rsidR="00BA5EA9" w:rsidRPr="001E6DFD" w:rsidRDefault="00DF2F12" w:rsidP="0097226C">
            <w:pPr>
              <w:keepNext/>
              <w:keepLines/>
              <w:rPr>
                <w:sz w:val="16"/>
                <w:szCs w:val="16"/>
              </w:rPr>
            </w:pPr>
            <w:r w:rsidRPr="001E6DFD">
              <w:rPr>
                <w:sz w:val="16"/>
                <w:szCs w:val="16"/>
              </w:rPr>
              <w:t>Amélioration de l</w:t>
            </w:r>
            <w:r w:rsidR="00FA22F6" w:rsidRPr="001E6DFD">
              <w:rPr>
                <w:sz w:val="16"/>
                <w:szCs w:val="16"/>
              </w:rPr>
              <w:t>’</w:t>
            </w:r>
            <w:r w:rsidRPr="001E6DFD">
              <w:rPr>
                <w:sz w:val="16"/>
                <w:szCs w:val="16"/>
              </w:rPr>
              <w:t>accessibilité et de l</w:t>
            </w:r>
            <w:r w:rsidR="00FA22F6" w:rsidRPr="001E6DFD">
              <w:rPr>
                <w:sz w:val="16"/>
                <w:szCs w:val="16"/>
              </w:rPr>
              <w:t>’</w:t>
            </w:r>
            <w:r w:rsidRPr="001E6DFD">
              <w:rPr>
                <w:sz w:val="16"/>
                <w:szCs w:val="16"/>
              </w:rPr>
              <w:t>utilisation de l</w:t>
            </w:r>
            <w:r w:rsidR="00FA22F6" w:rsidRPr="001E6DFD">
              <w:rPr>
                <w:sz w:val="16"/>
                <w:szCs w:val="16"/>
              </w:rPr>
              <w:t>’</w:t>
            </w:r>
            <w:r w:rsidRPr="001E6DFD">
              <w:rPr>
                <w:sz w:val="16"/>
                <w:szCs w:val="16"/>
              </w:rPr>
              <w:t>information en matière de propriété intellectuelle par les institutions compétentes et le public afin de promouvoir l</w:t>
            </w:r>
            <w:r w:rsidR="00FA22F6" w:rsidRPr="001E6DFD">
              <w:rPr>
                <w:sz w:val="16"/>
                <w:szCs w:val="16"/>
              </w:rPr>
              <w:t>’</w:t>
            </w:r>
            <w:r w:rsidRPr="001E6DFD">
              <w:rPr>
                <w:sz w:val="16"/>
                <w:szCs w:val="16"/>
              </w:rPr>
              <w:t>innovation et la créativité</w:t>
            </w:r>
          </w:p>
        </w:tc>
        <w:tc>
          <w:tcPr>
            <w:tcW w:w="1151" w:type="dxa"/>
            <w:tcBorders>
              <w:top w:val="nil"/>
              <w:left w:val="nil"/>
              <w:bottom w:val="nil"/>
              <w:right w:val="nil"/>
            </w:tcBorders>
            <w:shd w:val="clear" w:color="auto" w:fill="auto"/>
            <w:noWrap/>
            <w:vAlign w:val="center"/>
            <w:hideMark/>
          </w:tcPr>
          <w:p w14:paraId="7F09D53A" w14:textId="77777777" w:rsidR="00BA5EA9" w:rsidRPr="001E6DFD" w:rsidRDefault="00282CF5" w:rsidP="0097226C">
            <w:pPr>
              <w:keepNext/>
              <w:keepLines/>
              <w:jc w:val="center"/>
              <w:rPr>
                <w:sz w:val="16"/>
                <w:szCs w:val="16"/>
              </w:rPr>
            </w:pPr>
            <w:r w:rsidRPr="001E6DFD">
              <w:rPr>
                <w:sz w:val="16"/>
                <w:szCs w:val="16"/>
              </w:rPr>
              <w:t>3 803</w:t>
            </w:r>
          </w:p>
        </w:tc>
        <w:tc>
          <w:tcPr>
            <w:tcW w:w="1150" w:type="dxa"/>
            <w:tcBorders>
              <w:top w:val="nil"/>
              <w:left w:val="nil"/>
              <w:bottom w:val="nil"/>
              <w:right w:val="nil"/>
            </w:tcBorders>
            <w:shd w:val="clear" w:color="auto" w:fill="auto"/>
            <w:noWrap/>
            <w:vAlign w:val="center"/>
            <w:hideMark/>
          </w:tcPr>
          <w:p w14:paraId="37461605" w14:textId="77777777" w:rsidR="00BA5EA9" w:rsidRPr="001E6DFD" w:rsidRDefault="00282CF5" w:rsidP="0097226C">
            <w:pPr>
              <w:keepNext/>
              <w:keepLines/>
              <w:jc w:val="center"/>
              <w:rPr>
                <w:sz w:val="16"/>
                <w:szCs w:val="16"/>
              </w:rPr>
            </w:pPr>
            <w:r w:rsidRPr="001E6DFD">
              <w:rPr>
                <w:sz w:val="16"/>
                <w:szCs w:val="16"/>
              </w:rPr>
              <w:t>5 578</w:t>
            </w:r>
          </w:p>
        </w:tc>
        <w:tc>
          <w:tcPr>
            <w:tcW w:w="1170" w:type="dxa"/>
            <w:tcBorders>
              <w:top w:val="nil"/>
              <w:left w:val="nil"/>
              <w:bottom w:val="nil"/>
              <w:right w:val="nil"/>
            </w:tcBorders>
            <w:shd w:val="clear" w:color="auto" w:fill="auto"/>
            <w:noWrap/>
            <w:vAlign w:val="center"/>
            <w:hideMark/>
          </w:tcPr>
          <w:p w14:paraId="16C792B7" w14:textId="77777777" w:rsidR="00BA5EA9" w:rsidRPr="001E6DFD" w:rsidRDefault="00282CF5" w:rsidP="0097226C">
            <w:pPr>
              <w:keepNext/>
              <w:keepLines/>
              <w:jc w:val="center"/>
              <w:rPr>
                <w:sz w:val="16"/>
                <w:szCs w:val="16"/>
              </w:rPr>
            </w:pPr>
            <w:r w:rsidRPr="001E6DFD">
              <w:rPr>
                <w:sz w:val="16"/>
                <w:szCs w:val="16"/>
              </w:rPr>
              <w:t>2 305</w:t>
            </w:r>
          </w:p>
        </w:tc>
      </w:tr>
      <w:tr w:rsidR="00BA5EA9" w:rsidRPr="001E6DFD" w14:paraId="23772D56" w14:textId="77777777" w:rsidTr="00A055E7">
        <w:trPr>
          <w:jc w:val="center"/>
        </w:trPr>
        <w:tc>
          <w:tcPr>
            <w:tcW w:w="507" w:type="dxa"/>
            <w:tcBorders>
              <w:top w:val="nil"/>
              <w:left w:val="nil"/>
              <w:bottom w:val="nil"/>
              <w:right w:val="nil"/>
            </w:tcBorders>
            <w:shd w:val="clear" w:color="auto" w:fill="auto"/>
            <w:noWrap/>
            <w:vAlign w:val="center"/>
            <w:hideMark/>
          </w:tcPr>
          <w:p w14:paraId="13B25B00" w14:textId="77777777" w:rsidR="00BA5EA9" w:rsidRPr="001E6DFD" w:rsidRDefault="00BA5EA9" w:rsidP="0097226C">
            <w:pPr>
              <w:keepNext/>
              <w:keepLines/>
              <w:rPr>
                <w:sz w:val="16"/>
                <w:szCs w:val="16"/>
              </w:rPr>
            </w:pPr>
            <w:r w:rsidRPr="001E6DFD">
              <w:rPr>
                <w:sz w:val="16"/>
                <w:szCs w:val="16"/>
              </w:rPr>
              <w:t>IV.3</w:t>
            </w:r>
          </w:p>
        </w:tc>
        <w:tc>
          <w:tcPr>
            <w:tcW w:w="4244" w:type="dxa"/>
            <w:tcBorders>
              <w:top w:val="nil"/>
              <w:left w:val="nil"/>
              <w:bottom w:val="nil"/>
              <w:right w:val="nil"/>
            </w:tcBorders>
            <w:shd w:val="clear" w:color="auto" w:fill="auto"/>
            <w:vAlign w:val="center"/>
            <w:hideMark/>
          </w:tcPr>
          <w:p w14:paraId="3C59C480" w14:textId="5EB38FEC" w:rsidR="00BA5EA9" w:rsidRPr="001E6DFD" w:rsidRDefault="00DF2F12" w:rsidP="0097226C">
            <w:pPr>
              <w:keepNext/>
              <w:keepLines/>
              <w:rPr>
                <w:sz w:val="16"/>
                <w:szCs w:val="16"/>
              </w:rPr>
            </w:pPr>
            <w:r w:rsidRPr="001E6DFD">
              <w:rPr>
                <w:sz w:val="16"/>
                <w:szCs w:val="16"/>
              </w:rPr>
              <w:t>Élargissement de la portée géographique du contenu et de l</w:t>
            </w:r>
            <w:r w:rsidR="00FA22F6" w:rsidRPr="001E6DFD">
              <w:rPr>
                <w:sz w:val="16"/>
                <w:szCs w:val="16"/>
              </w:rPr>
              <w:t>’</w:t>
            </w:r>
            <w:r w:rsidRPr="001E6DFD">
              <w:rPr>
                <w:sz w:val="16"/>
                <w:szCs w:val="16"/>
              </w:rPr>
              <w:t>utilisation des bases de données mondiales de l</w:t>
            </w:r>
            <w:r w:rsidR="00FA22F6" w:rsidRPr="001E6DFD">
              <w:rPr>
                <w:sz w:val="16"/>
                <w:szCs w:val="16"/>
              </w:rPr>
              <w:t>’</w:t>
            </w:r>
            <w:r w:rsidRPr="001E6DFD">
              <w:rPr>
                <w:sz w:val="16"/>
                <w:szCs w:val="16"/>
              </w:rPr>
              <w:t>OMPI en matière de propriété intellectuelle</w:t>
            </w:r>
          </w:p>
        </w:tc>
        <w:tc>
          <w:tcPr>
            <w:tcW w:w="1151" w:type="dxa"/>
            <w:tcBorders>
              <w:top w:val="nil"/>
              <w:left w:val="nil"/>
              <w:bottom w:val="nil"/>
              <w:right w:val="nil"/>
            </w:tcBorders>
            <w:shd w:val="clear" w:color="auto" w:fill="auto"/>
            <w:noWrap/>
            <w:vAlign w:val="center"/>
            <w:hideMark/>
          </w:tcPr>
          <w:p w14:paraId="5AD43C00" w14:textId="77777777" w:rsidR="00BA5EA9" w:rsidRPr="001E6DFD" w:rsidRDefault="00282CF5" w:rsidP="0097226C">
            <w:pPr>
              <w:keepNext/>
              <w:keepLines/>
              <w:jc w:val="center"/>
              <w:rPr>
                <w:sz w:val="16"/>
                <w:szCs w:val="16"/>
              </w:rPr>
            </w:pPr>
            <w:r w:rsidRPr="001E6DFD">
              <w:rPr>
                <w:sz w:val="16"/>
                <w:szCs w:val="16"/>
              </w:rPr>
              <w:t>1 956</w:t>
            </w:r>
          </w:p>
        </w:tc>
        <w:tc>
          <w:tcPr>
            <w:tcW w:w="1150" w:type="dxa"/>
            <w:tcBorders>
              <w:top w:val="nil"/>
              <w:left w:val="nil"/>
              <w:bottom w:val="nil"/>
              <w:right w:val="nil"/>
            </w:tcBorders>
            <w:shd w:val="clear" w:color="auto" w:fill="auto"/>
            <w:noWrap/>
            <w:vAlign w:val="center"/>
            <w:hideMark/>
          </w:tcPr>
          <w:p w14:paraId="1B0EB7E6" w14:textId="77777777" w:rsidR="00BA5EA9" w:rsidRPr="001E6DFD" w:rsidRDefault="00282CF5" w:rsidP="0097226C">
            <w:pPr>
              <w:keepNext/>
              <w:keepLines/>
              <w:jc w:val="center"/>
              <w:rPr>
                <w:sz w:val="16"/>
                <w:szCs w:val="16"/>
              </w:rPr>
            </w:pPr>
            <w:r w:rsidRPr="001E6DFD">
              <w:rPr>
                <w:sz w:val="16"/>
                <w:szCs w:val="16"/>
              </w:rPr>
              <w:t>2 196</w:t>
            </w:r>
          </w:p>
        </w:tc>
        <w:tc>
          <w:tcPr>
            <w:tcW w:w="1170" w:type="dxa"/>
            <w:tcBorders>
              <w:top w:val="nil"/>
              <w:left w:val="nil"/>
              <w:bottom w:val="nil"/>
              <w:right w:val="nil"/>
            </w:tcBorders>
            <w:shd w:val="clear" w:color="auto" w:fill="auto"/>
            <w:noWrap/>
            <w:vAlign w:val="center"/>
            <w:hideMark/>
          </w:tcPr>
          <w:p w14:paraId="1EB1BB9D" w14:textId="77777777" w:rsidR="00BA5EA9" w:rsidRPr="001E6DFD" w:rsidRDefault="00BA5EA9" w:rsidP="0097226C">
            <w:pPr>
              <w:keepNext/>
              <w:keepLines/>
              <w:jc w:val="center"/>
              <w:rPr>
                <w:sz w:val="16"/>
                <w:szCs w:val="16"/>
              </w:rPr>
            </w:pPr>
            <w:r w:rsidRPr="001E6DFD">
              <w:rPr>
                <w:sz w:val="16"/>
                <w:szCs w:val="16"/>
              </w:rPr>
              <w:t>851</w:t>
            </w:r>
          </w:p>
        </w:tc>
      </w:tr>
      <w:tr w:rsidR="00BA5EA9" w:rsidRPr="001E6DFD" w14:paraId="6E61CDEA" w14:textId="77777777" w:rsidTr="00A055E7">
        <w:trPr>
          <w:jc w:val="center"/>
        </w:trPr>
        <w:tc>
          <w:tcPr>
            <w:tcW w:w="507" w:type="dxa"/>
            <w:tcBorders>
              <w:top w:val="nil"/>
              <w:left w:val="nil"/>
              <w:bottom w:val="nil"/>
              <w:right w:val="nil"/>
            </w:tcBorders>
            <w:shd w:val="clear" w:color="000000" w:fill="C5D9F1"/>
            <w:noWrap/>
            <w:vAlign w:val="bottom"/>
            <w:hideMark/>
          </w:tcPr>
          <w:p w14:paraId="2E12F1AB" w14:textId="3CFD93A6" w:rsidR="00BA5EA9" w:rsidRPr="001E6DFD" w:rsidRDefault="00BA5EA9" w:rsidP="0097226C">
            <w:pPr>
              <w:keepNext/>
              <w:keepLines/>
              <w:rPr>
                <w:sz w:val="16"/>
                <w:szCs w:val="16"/>
              </w:rPr>
            </w:pPr>
          </w:p>
        </w:tc>
        <w:tc>
          <w:tcPr>
            <w:tcW w:w="4244" w:type="dxa"/>
            <w:tcBorders>
              <w:top w:val="nil"/>
              <w:left w:val="nil"/>
              <w:bottom w:val="nil"/>
              <w:right w:val="nil"/>
            </w:tcBorders>
            <w:shd w:val="clear" w:color="000000" w:fill="C5D9F1"/>
            <w:noWrap/>
            <w:vAlign w:val="bottom"/>
            <w:hideMark/>
          </w:tcPr>
          <w:p w14:paraId="27CDF428" w14:textId="77777777" w:rsidR="00BA5EA9" w:rsidRPr="001E6DFD" w:rsidRDefault="00DF2F12" w:rsidP="0097226C">
            <w:pPr>
              <w:keepNext/>
              <w:keepLines/>
              <w:jc w:val="right"/>
              <w:rPr>
                <w:b/>
                <w:bCs/>
                <w:sz w:val="16"/>
                <w:szCs w:val="16"/>
              </w:rPr>
            </w:pPr>
            <w:r w:rsidRPr="001E6DFD">
              <w:rPr>
                <w:b/>
                <w:bCs/>
                <w:sz w:val="16"/>
                <w:szCs w:val="16"/>
              </w:rPr>
              <w:t>Total</w:t>
            </w:r>
          </w:p>
        </w:tc>
        <w:tc>
          <w:tcPr>
            <w:tcW w:w="1151" w:type="dxa"/>
            <w:tcBorders>
              <w:top w:val="nil"/>
              <w:left w:val="nil"/>
              <w:bottom w:val="nil"/>
              <w:right w:val="nil"/>
            </w:tcBorders>
            <w:shd w:val="clear" w:color="000000" w:fill="C5D9F1"/>
            <w:noWrap/>
            <w:vAlign w:val="center"/>
            <w:hideMark/>
          </w:tcPr>
          <w:p w14:paraId="231C5D80" w14:textId="77777777" w:rsidR="00BA5EA9" w:rsidRPr="001E6DFD" w:rsidRDefault="00282CF5" w:rsidP="0097226C">
            <w:pPr>
              <w:keepNext/>
              <w:keepLines/>
              <w:jc w:val="center"/>
              <w:rPr>
                <w:sz w:val="16"/>
                <w:szCs w:val="16"/>
              </w:rPr>
            </w:pPr>
            <w:r w:rsidRPr="001E6DFD">
              <w:rPr>
                <w:sz w:val="16"/>
                <w:szCs w:val="16"/>
              </w:rPr>
              <w:t>5 758</w:t>
            </w:r>
          </w:p>
        </w:tc>
        <w:tc>
          <w:tcPr>
            <w:tcW w:w="1150" w:type="dxa"/>
            <w:tcBorders>
              <w:top w:val="nil"/>
              <w:left w:val="nil"/>
              <w:bottom w:val="nil"/>
              <w:right w:val="nil"/>
            </w:tcBorders>
            <w:shd w:val="clear" w:color="000000" w:fill="C5D9F1"/>
            <w:noWrap/>
            <w:vAlign w:val="center"/>
            <w:hideMark/>
          </w:tcPr>
          <w:p w14:paraId="123BCF78" w14:textId="77777777" w:rsidR="00BA5EA9" w:rsidRPr="001E6DFD" w:rsidRDefault="00282CF5" w:rsidP="0097226C">
            <w:pPr>
              <w:keepNext/>
              <w:keepLines/>
              <w:jc w:val="center"/>
              <w:rPr>
                <w:sz w:val="16"/>
                <w:szCs w:val="16"/>
              </w:rPr>
            </w:pPr>
            <w:r w:rsidRPr="001E6DFD">
              <w:rPr>
                <w:sz w:val="16"/>
                <w:szCs w:val="16"/>
              </w:rPr>
              <w:t>7 774</w:t>
            </w:r>
          </w:p>
        </w:tc>
        <w:tc>
          <w:tcPr>
            <w:tcW w:w="1170" w:type="dxa"/>
            <w:tcBorders>
              <w:top w:val="nil"/>
              <w:left w:val="nil"/>
              <w:bottom w:val="nil"/>
              <w:right w:val="nil"/>
            </w:tcBorders>
            <w:shd w:val="clear" w:color="000000" w:fill="C5D9F1"/>
            <w:noWrap/>
            <w:vAlign w:val="center"/>
            <w:hideMark/>
          </w:tcPr>
          <w:p w14:paraId="1B92EB83" w14:textId="77777777" w:rsidR="00BA5EA9" w:rsidRPr="001E6DFD" w:rsidRDefault="00282CF5" w:rsidP="0097226C">
            <w:pPr>
              <w:keepNext/>
              <w:keepLines/>
              <w:jc w:val="center"/>
              <w:rPr>
                <w:sz w:val="16"/>
                <w:szCs w:val="16"/>
              </w:rPr>
            </w:pPr>
            <w:r w:rsidRPr="001E6DFD">
              <w:rPr>
                <w:sz w:val="16"/>
                <w:szCs w:val="16"/>
              </w:rPr>
              <w:t>3 156</w:t>
            </w:r>
          </w:p>
        </w:tc>
      </w:tr>
      <w:tr w:rsidR="007703CF" w:rsidRPr="001E6DFD" w14:paraId="6D0F2F93"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3925753B" w14:textId="43673828" w:rsidR="007703CF" w:rsidRPr="001E6DFD" w:rsidRDefault="007703CF" w:rsidP="0097226C">
            <w:pPr>
              <w:keepNext/>
              <w:keepLines/>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7AA0FDC1" w14:textId="77777777" w:rsidR="001F64B1" w:rsidRPr="001E6DFD" w:rsidRDefault="001F64B1" w:rsidP="0097226C"/>
    <w:p w14:paraId="6288E6A5" w14:textId="77777777" w:rsidR="00FA22F6" w:rsidRPr="001E6DFD" w:rsidRDefault="00DF2F12" w:rsidP="0097226C">
      <w:pPr>
        <w:keepNext/>
        <w:keepLines/>
        <w:jc w:val="center"/>
        <w:rPr>
          <w:sz w:val="18"/>
          <w:szCs w:val="18"/>
        </w:rPr>
      </w:pPr>
      <w:r w:rsidRPr="001E6DFD">
        <w:rPr>
          <w:sz w:val="18"/>
          <w:szCs w:val="18"/>
        </w:rPr>
        <w:t>Budget et dépenses effectives (dépenses de personnel et autres dépenses)</w:t>
      </w:r>
    </w:p>
    <w:p w14:paraId="17BC5F7D" w14:textId="1B1A7F0D" w:rsidR="001F64B1" w:rsidRPr="001E6DFD" w:rsidRDefault="00DF2F12" w:rsidP="0097226C">
      <w:pPr>
        <w:keepNext/>
        <w:keepLines/>
        <w:jc w:val="center"/>
        <w:rPr>
          <w:i/>
          <w:iCs/>
          <w:sz w:val="16"/>
          <w:szCs w:val="16"/>
        </w:rPr>
      </w:pPr>
      <w:r w:rsidRPr="001E6DFD">
        <w:rPr>
          <w:i/>
          <w:iCs/>
          <w:sz w:val="16"/>
          <w:szCs w:val="16"/>
        </w:rPr>
        <w:t>(en milliers de francs suisses)</w:t>
      </w:r>
    </w:p>
    <w:p w14:paraId="30A7EE37" w14:textId="77777777" w:rsidR="00BA5EA9" w:rsidRPr="001E6DFD" w:rsidRDefault="00BA5EA9" w:rsidP="0097226C">
      <w:pPr>
        <w:rPr>
          <w:bCs/>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60B84FD8" w14:textId="77777777" w:rsidTr="00A055E7">
        <w:trPr>
          <w:jc w:val="center"/>
        </w:trPr>
        <w:tc>
          <w:tcPr>
            <w:tcW w:w="2470" w:type="dxa"/>
            <w:tcBorders>
              <w:top w:val="nil"/>
              <w:left w:val="nil"/>
              <w:bottom w:val="nil"/>
              <w:right w:val="nil"/>
            </w:tcBorders>
            <w:shd w:val="clear" w:color="000000" w:fill="C5D9F1"/>
            <w:noWrap/>
            <w:vAlign w:val="center"/>
            <w:hideMark/>
          </w:tcPr>
          <w:p w14:paraId="356A897A" w14:textId="3C056FDC"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5328CA76" w14:textId="2BA3BCC5" w:rsidR="00BA5EA9" w:rsidRPr="001E6DFD" w:rsidRDefault="00DF2F12"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438" w:type="dxa"/>
            <w:tcBorders>
              <w:top w:val="nil"/>
              <w:left w:val="nil"/>
              <w:bottom w:val="nil"/>
              <w:right w:val="nil"/>
            </w:tcBorders>
            <w:shd w:val="clear" w:color="000000" w:fill="C5D9F1"/>
            <w:vAlign w:val="center"/>
            <w:hideMark/>
          </w:tcPr>
          <w:p w14:paraId="5EEBF319" w14:textId="283B5CE7" w:rsidR="00BA5EA9" w:rsidRPr="001E6DFD" w:rsidRDefault="00F3341E"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1CD9E4F2" w14:textId="1012EF45" w:rsidR="00BA5EA9" w:rsidRPr="001E6DFD" w:rsidRDefault="00DF2F12"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6E30C9BD" w14:textId="254F7F38" w:rsidR="00BA5EA9" w:rsidRPr="001E6DFD" w:rsidRDefault="00DF2F12"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355BDC4D" w14:textId="77777777" w:rsidTr="00A055E7">
        <w:trPr>
          <w:jc w:val="center"/>
        </w:trPr>
        <w:tc>
          <w:tcPr>
            <w:tcW w:w="2470" w:type="dxa"/>
            <w:tcBorders>
              <w:top w:val="nil"/>
              <w:left w:val="nil"/>
              <w:bottom w:val="nil"/>
              <w:right w:val="nil"/>
            </w:tcBorders>
            <w:shd w:val="clear" w:color="auto" w:fill="auto"/>
            <w:noWrap/>
            <w:vAlign w:val="center"/>
            <w:hideMark/>
          </w:tcPr>
          <w:p w14:paraId="19DBF8CC"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26E47018" w14:textId="77777777" w:rsidR="00BA5EA9" w:rsidRPr="001E6DFD" w:rsidRDefault="00282CF5" w:rsidP="0097226C">
            <w:pPr>
              <w:jc w:val="center"/>
              <w:rPr>
                <w:sz w:val="16"/>
                <w:szCs w:val="16"/>
              </w:rPr>
            </w:pPr>
            <w:r w:rsidRPr="001E6DFD">
              <w:rPr>
                <w:sz w:val="16"/>
                <w:szCs w:val="16"/>
              </w:rPr>
              <w:t>4 551</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4AD1539" w14:textId="77777777" w:rsidR="00BA5EA9" w:rsidRPr="001E6DFD" w:rsidRDefault="00282CF5" w:rsidP="0097226C">
            <w:pPr>
              <w:jc w:val="center"/>
              <w:rPr>
                <w:sz w:val="16"/>
                <w:szCs w:val="16"/>
              </w:rPr>
            </w:pPr>
            <w:r w:rsidRPr="001E6DFD">
              <w:rPr>
                <w:sz w:val="16"/>
                <w:szCs w:val="16"/>
              </w:rPr>
              <w:t>5 742</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1F13F0A5" w14:textId="77777777" w:rsidR="00BA5EA9" w:rsidRPr="001E6DFD" w:rsidRDefault="00282CF5" w:rsidP="0097226C">
            <w:pPr>
              <w:jc w:val="center"/>
              <w:rPr>
                <w:sz w:val="16"/>
                <w:szCs w:val="16"/>
              </w:rPr>
            </w:pPr>
            <w:r w:rsidRPr="001E6DFD">
              <w:rPr>
                <w:sz w:val="16"/>
                <w:szCs w:val="16"/>
              </w:rPr>
              <w:t>2 309</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B03A19D" w14:textId="77777777" w:rsidR="00BA5EA9" w:rsidRPr="001E6DFD" w:rsidRDefault="00BA5EA9" w:rsidP="0097226C">
            <w:pPr>
              <w:jc w:val="center"/>
              <w:rPr>
                <w:sz w:val="16"/>
                <w:szCs w:val="16"/>
              </w:rPr>
            </w:pPr>
            <w:r w:rsidRPr="001E6DFD">
              <w:rPr>
                <w:sz w:val="16"/>
                <w:szCs w:val="16"/>
              </w:rPr>
              <w:t>40%</w:t>
            </w:r>
          </w:p>
        </w:tc>
      </w:tr>
      <w:tr w:rsidR="00BA5EA9" w:rsidRPr="001E6DFD" w14:paraId="210459C5" w14:textId="77777777" w:rsidTr="00A055E7">
        <w:trPr>
          <w:jc w:val="center"/>
        </w:trPr>
        <w:tc>
          <w:tcPr>
            <w:tcW w:w="2470" w:type="dxa"/>
            <w:tcBorders>
              <w:top w:val="nil"/>
              <w:left w:val="nil"/>
              <w:bottom w:val="nil"/>
              <w:right w:val="nil"/>
            </w:tcBorders>
            <w:shd w:val="clear" w:color="auto" w:fill="auto"/>
            <w:noWrap/>
            <w:vAlign w:val="center"/>
            <w:hideMark/>
          </w:tcPr>
          <w:p w14:paraId="201F4EC4"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6C1D720B" w14:textId="77777777" w:rsidR="00BA5EA9" w:rsidRPr="001E6DFD" w:rsidRDefault="00282CF5" w:rsidP="0097226C">
            <w:pPr>
              <w:jc w:val="center"/>
              <w:rPr>
                <w:sz w:val="16"/>
                <w:szCs w:val="16"/>
              </w:rPr>
            </w:pPr>
            <w:r w:rsidRPr="001E6DFD">
              <w:rPr>
                <w:sz w:val="16"/>
                <w:szCs w:val="16"/>
              </w:rPr>
              <w:t>1 208</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0ACFCB8" w14:textId="77777777" w:rsidR="00BA5EA9" w:rsidRPr="001E6DFD" w:rsidRDefault="00282CF5" w:rsidP="0097226C">
            <w:pPr>
              <w:jc w:val="center"/>
              <w:rPr>
                <w:sz w:val="16"/>
                <w:szCs w:val="16"/>
              </w:rPr>
            </w:pPr>
            <w:r w:rsidRPr="001E6DFD">
              <w:rPr>
                <w:sz w:val="16"/>
                <w:szCs w:val="16"/>
              </w:rPr>
              <w:t>2 032</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767E7E6" w14:textId="77777777" w:rsidR="00BA5EA9" w:rsidRPr="001E6DFD" w:rsidRDefault="00BA5EA9" w:rsidP="0097226C">
            <w:pPr>
              <w:jc w:val="center"/>
              <w:rPr>
                <w:sz w:val="16"/>
                <w:szCs w:val="16"/>
              </w:rPr>
            </w:pPr>
            <w:r w:rsidRPr="001E6DFD">
              <w:rPr>
                <w:sz w:val="16"/>
                <w:szCs w:val="16"/>
              </w:rPr>
              <w:t xml:space="preserve">847 </w:t>
            </w:r>
          </w:p>
        </w:tc>
        <w:tc>
          <w:tcPr>
            <w:tcW w:w="1438" w:type="dxa"/>
            <w:tcBorders>
              <w:top w:val="nil"/>
              <w:left w:val="nil"/>
              <w:bottom w:val="nil"/>
              <w:right w:val="nil"/>
            </w:tcBorders>
            <w:shd w:val="clear" w:color="auto" w:fill="auto"/>
            <w:vAlign w:val="center"/>
            <w:hideMark/>
          </w:tcPr>
          <w:p w14:paraId="78384036" w14:textId="77777777" w:rsidR="00BA5EA9" w:rsidRPr="001E6DFD" w:rsidRDefault="00BA5EA9" w:rsidP="0097226C">
            <w:pPr>
              <w:jc w:val="center"/>
              <w:rPr>
                <w:sz w:val="16"/>
                <w:szCs w:val="16"/>
              </w:rPr>
            </w:pPr>
            <w:r w:rsidRPr="001E6DFD">
              <w:rPr>
                <w:sz w:val="16"/>
                <w:szCs w:val="16"/>
              </w:rPr>
              <w:t>42%</w:t>
            </w:r>
          </w:p>
        </w:tc>
      </w:tr>
      <w:tr w:rsidR="00BA5EA9" w:rsidRPr="001E6DFD" w14:paraId="2D3602AD" w14:textId="77777777" w:rsidTr="00A055E7">
        <w:trPr>
          <w:jc w:val="center"/>
        </w:trPr>
        <w:tc>
          <w:tcPr>
            <w:tcW w:w="2470" w:type="dxa"/>
            <w:tcBorders>
              <w:top w:val="nil"/>
              <w:left w:val="nil"/>
              <w:bottom w:val="nil"/>
              <w:right w:val="nil"/>
            </w:tcBorders>
            <w:shd w:val="clear" w:color="000000" w:fill="C5D9F1"/>
            <w:noWrap/>
            <w:vAlign w:val="center"/>
            <w:hideMark/>
          </w:tcPr>
          <w:p w14:paraId="3EF4A1AC" w14:textId="4EDE7E76" w:rsidR="00BA5EA9" w:rsidRPr="001E6DFD" w:rsidRDefault="00DF2F12"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49EB2BC9" w14:textId="77777777" w:rsidR="00BA5EA9" w:rsidRPr="001E6DFD" w:rsidRDefault="00282CF5" w:rsidP="0097226C">
            <w:pPr>
              <w:jc w:val="center"/>
              <w:rPr>
                <w:b/>
                <w:bCs/>
                <w:sz w:val="16"/>
                <w:szCs w:val="16"/>
              </w:rPr>
            </w:pPr>
            <w:r w:rsidRPr="001E6DFD">
              <w:rPr>
                <w:b/>
                <w:bCs/>
                <w:sz w:val="16"/>
                <w:szCs w:val="16"/>
              </w:rPr>
              <w:t>5 758</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5DFB91DD" w14:textId="77777777" w:rsidR="00BA5EA9" w:rsidRPr="001E6DFD" w:rsidRDefault="00282CF5" w:rsidP="0097226C">
            <w:pPr>
              <w:jc w:val="center"/>
              <w:rPr>
                <w:b/>
                <w:bCs/>
                <w:sz w:val="16"/>
                <w:szCs w:val="16"/>
              </w:rPr>
            </w:pPr>
            <w:r w:rsidRPr="001E6DFD">
              <w:rPr>
                <w:b/>
                <w:bCs/>
                <w:sz w:val="16"/>
                <w:szCs w:val="16"/>
              </w:rPr>
              <w:t>7 774</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1717AEF1" w14:textId="77777777" w:rsidR="00BA5EA9" w:rsidRPr="001E6DFD" w:rsidRDefault="00282CF5" w:rsidP="0097226C">
            <w:pPr>
              <w:jc w:val="center"/>
              <w:rPr>
                <w:b/>
                <w:bCs/>
                <w:sz w:val="16"/>
                <w:szCs w:val="16"/>
              </w:rPr>
            </w:pPr>
            <w:r w:rsidRPr="001E6DFD">
              <w:rPr>
                <w:b/>
                <w:bCs/>
                <w:sz w:val="16"/>
                <w:szCs w:val="16"/>
              </w:rPr>
              <w:t>3 156</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029F1D5C" w14:textId="77777777" w:rsidR="00BA5EA9" w:rsidRPr="001E6DFD" w:rsidRDefault="00BA5EA9" w:rsidP="0097226C">
            <w:pPr>
              <w:jc w:val="center"/>
              <w:rPr>
                <w:b/>
                <w:bCs/>
                <w:sz w:val="16"/>
                <w:szCs w:val="16"/>
              </w:rPr>
            </w:pPr>
            <w:r w:rsidRPr="001E6DFD">
              <w:rPr>
                <w:b/>
                <w:bCs/>
                <w:sz w:val="16"/>
                <w:szCs w:val="16"/>
              </w:rPr>
              <w:t>41%</w:t>
            </w:r>
          </w:p>
        </w:tc>
      </w:tr>
      <w:tr w:rsidR="00BA5EA9" w:rsidRPr="001E6DFD" w14:paraId="16604A2B"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0C117FCB" w14:textId="37A12B0E"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070A08AD" w14:textId="77777777" w:rsidR="001F64B1" w:rsidRPr="001E6DFD" w:rsidRDefault="001F64B1" w:rsidP="0097226C"/>
    <w:p w14:paraId="26FB790A" w14:textId="24628C3D" w:rsidR="001F64B1" w:rsidRPr="001E6DFD" w:rsidRDefault="00DF2F12"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185F4436" w14:textId="77777777" w:rsidR="001F64B1" w:rsidRPr="001E6DFD" w:rsidRDefault="001F64B1" w:rsidP="0097226C">
      <w:pPr>
        <w:rPr>
          <w:sz w:val="20"/>
        </w:rPr>
      </w:pPr>
    </w:p>
    <w:p w14:paraId="19C87B59" w14:textId="77777777" w:rsidR="001F64B1" w:rsidRPr="001E6DFD" w:rsidRDefault="001F64B1" w:rsidP="0097226C">
      <w:pPr>
        <w:rPr>
          <w:sz w:val="20"/>
        </w:rPr>
      </w:pPr>
    </w:p>
    <w:p w14:paraId="3B30D3DC" w14:textId="07ACF450" w:rsidR="001F64B1" w:rsidRPr="000F7B07" w:rsidRDefault="00BA5EA9" w:rsidP="0097226C">
      <w:pPr>
        <w:jc w:val="both"/>
        <w:rPr>
          <w:sz w:val="20"/>
          <w:u w:val="single"/>
        </w:rPr>
      </w:pPr>
      <w:r w:rsidRPr="000F7B07">
        <w:rPr>
          <w:sz w:val="20"/>
        </w:rPr>
        <w:t>A.</w:t>
      </w:r>
      <w:r w:rsidRPr="000F7B07">
        <w:rPr>
          <w:sz w:val="20"/>
        </w:rPr>
        <w:tab/>
      </w:r>
      <w:r w:rsidR="00F3341E" w:rsidRPr="000F7B07">
        <w:rPr>
          <w:sz w:val="20"/>
          <w:u w:val="single"/>
        </w:rPr>
        <w:t>Budget</w:t>
      </w:r>
      <w:r w:rsidR="00B4191E" w:rsidRPr="000F7B07">
        <w:rPr>
          <w:sz w:val="20"/>
          <w:u w:val="single"/>
        </w:rPr>
        <w:t> </w:t>
      </w:r>
      <w:r w:rsidR="00F3341E" w:rsidRPr="000F7B07">
        <w:rPr>
          <w:sz w:val="20"/>
          <w:u w:val="single"/>
        </w:rPr>
        <w:t>2016</w:t>
      </w:r>
      <w:r w:rsidR="006A41CF" w:rsidRPr="000F7B07">
        <w:rPr>
          <w:sz w:val="20"/>
          <w:u w:val="single"/>
        </w:rPr>
        <w:noBreakHyphen/>
      </w:r>
      <w:r w:rsidR="00F3341E" w:rsidRPr="000F7B07">
        <w:rPr>
          <w:sz w:val="20"/>
          <w:u w:val="single"/>
        </w:rPr>
        <w:t>2017 après virements</w:t>
      </w:r>
    </w:p>
    <w:p w14:paraId="5B3C602F" w14:textId="77777777" w:rsidR="001F64B1" w:rsidRPr="000F7B07" w:rsidRDefault="001F64B1" w:rsidP="0097226C">
      <w:pPr>
        <w:jc w:val="both"/>
        <w:rPr>
          <w:sz w:val="20"/>
        </w:rPr>
      </w:pPr>
    </w:p>
    <w:p w14:paraId="3642CCEE" w14:textId="51E6D6D0" w:rsidR="001F64B1" w:rsidRPr="000F7B07" w:rsidRDefault="006B7103" w:rsidP="00D544B8">
      <w:pPr>
        <w:pStyle w:val="ListParagraph"/>
        <w:numPr>
          <w:ilvl w:val="0"/>
          <w:numId w:val="15"/>
        </w:numPr>
        <w:tabs>
          <w:tab w:val="left" w:pos="709"/>
        </w:tabs>
        <w:ind w:left="0" w:firstLine="0"/>
        <w:contextualSpacing w:val="0"/>
        <w:jc w:val="both"/>
        <w:rPr>
          <w:rFonts w:ascii="Arial" w:hAnsi="Arial" w:cs="Arial"/>
          <w:sz w:val="20"/>
          <w:szCs w:val="20"/>
        </w:rPr>
      </w:pPr>
      <w:r w:rsidRPr="000F7B07">
        <w:rPr>
          <w:rFonts w:ascii="Arial" w:hAnsi="Arial" w:cs="Arial"/>
          <w:sz w:val="20"/>
          <w:szCs w:val="20"/>
        </w:rPr>
        <w:t>L</w:t>
      </w:r>
      <w:r w:rsidR="00FA22F6" w:rsidRPr="000F7B07">
        <w:rPr>
          <w:rFonts w:ascii="Arial" w:hAnsi="Arial" w:cs="Arial"/>
          <w:sz w:val="20"/>
          <w:szCs w:val="20"/>
        </w:rPr>
        <w:t>’</w:t>
      </w:r>
      <w:r w:rsidRPr="000F7B07">
        <w:rPr>
          <w:rFonts w:ascii="Arial" w:hAnsi="Arial" w:cs="Arial"/>
          <w:sz w:val="20"/>
          <w:szCs w:val="20"/>
        </w:rPr>
        <w:t xml:space="preserve">augmentation des ressources </w:t>
      </w:r>
      <w:r w:rsidR="0043014B" w:rsidRPr="000F7B07">
        <w:rPr>
          <w:rFonts w:ascii="Arial" w:hAnsi="Arial" w:cs="Arial"/>
          <w:sz w:val="20"/>
          <w:szCs w:val="20"/>
        </w:rPr>
        <w:t>e</w:t>
      </w:r>
      <w:r w:rsidR="00381826" w:rsidRPr="000F7B07">
        <w:rPr>
          <w:rFonts w:ascii="Arial" w:hAnsi="Arial" w:cs="Arial"/>
          <w:sz w:val="20"/>
          <w:szCs w:val="20"/>
        </w:rPr>
        <w:t>n</w:t>
      </w:r>
      <w:r w:rsidR="0043014B" w:rsidRPr="000F7B07">
        <w:rPr>
          <w:rFonts w:ascii="Arial" w:hAnsi="Arial" w:cs="Arial"/>
          <w:sz w:val="20"/>
          <w:szCs w:val="20"/>
        </w:rPr>
        <w:t xml:space="preserve"> </w:t>
      </w:r>
      <w:r w:rsidRPr="000F7B07">
        <w:rPr>
          <w:rFonts w:ascii="Arial" w:hAnsi="Arial" w:cs="Arial"/>
          <w:sz w:val="20"/>
          <w:szCs w:val="20"/>
        </w:rPr>
        <w:t>personnel par rapport au budget</w:t>
      </w:r>
      <w:r w:rsidR="00B4191E" w:rsidRPr="000F7B07">
        <w:rPr>
          <w:rFonts w:ascii="Arial" w:hAnsi="Arial" w:cs="Arial"/>
          <w:sz w:val="20"/>
          <w:szCs w:val="20"/>
        </w:rPr>
        <w:t> </w:t>
      </w:r>
      <w:r w:rsidRPr="000F7B07">
        <w:rPr>
          <w:rFonts w:ascii="Arial" w:hAnsi="Arial" w:cs="Arial"/>
          <w:sz w:val="20"/>
          <w:szCs w:val="20"/>
        </w:rPr>
        <w:t>2016</w:t>
      </w:r>
      <w:r w:rsidR="006A41CF" w:rsidRPr="000F7B07">
        <w:rPr>
          <w:rFonts w:ascii="Arial" w:hAnsi="Arial" w:cs="Arial"/>
          <w:sz w:val="20"/>
          <w:szCs w:val="20"/>
        </w:rPr>
        <w:noBreakHyphen/>
      </w:r>
      <w:r w:rsidRPr="000F7B07">
        <w:rPr>
          <w:rFonts w:ascii="Arial" w:hAnsi="Arial" w:cs="Arial"/>
          <w:sz w:val="20"/>
          <w:szCs w:val="20"/>
        </w:rPr>
        <w:t xml:space="preserve">2017 approuvé </w:t>
      </w:r>
      <w:r w:rsidR="00143727" w:rsidRPr="000F7B07">
        <w:rPr>
          <w:rFonts w:ascii="Arial" w:hAnsi="Arial" w:cs="Arial"/>
          <w:sz w:val="20"/>
          <w:szCs w:val="20"/>
        </w:rPr>
        <w:t>était due</w:t>
      </w:r>
      <w:r w:rsidR="00FA22F6" w:rsidRPr="000F7B07">
        <w:rPr>
          <w:rFonts w:ascii="Arial" w:hAnsi="Arial" w:cs="Arial"/>
          <w:sz w:val="20"/>
          <w:szCs w:val="20"/>
        </w:rPr>
        <w:t> :</w:t>
      </w:r>
      <w:r w:rsidRPr="000F7B07">
        <w:rPr>
          <w:rFonts w:ascii="Arial" w:hAnsi="Arial" w:cs="Arial"/>
          <w:sz w:val="20"/>
          <w:szCs w:val="20"/>
        </w:rPr>
        <w:t xml:space="preserve"> i)</w:t>
      </w:r>
      <w:r w:rsidR="004D421A" w:rsidRPr="000F7B07">
        <w:rPr>
          <w:rFonts w:ascii="Arial" w:hAnsi="Arial" w:cs="Arial"/>
          <w:sz w:val="20"/>
          <w:szCs w:val="20"/>
        </w:rPr>
        <w:t> </w:t>
      </w:r>
      <w:r w:rsidR="00143727" w:rsidRPr="000F7B07">
        <w:rPr>
          <w:rFonts w:ascii="Arial" w:hAnsi="Arial" w:cs="Arial"/>
          <w:sz w:val="20"/>
          <w:szCs w:val="20"/>
        </w:rPr>
        <w:t xml:space="preserve">au </w:t>
      </w:r>
      <w:r w:rsidRPr="000F7B07">
        <w:rPr>
          <w:rFonts w:ascii="Arial" w:hAnsi="Arial" w:cs="Arial"/>
          <w:sz w:val="20"/>
          <w:szCs w:val="20"/>
        </w:rPr>
        <w:t xml:space="preserve">transfert </w:t>
      </w:r>
      <w:r w:rsidR="0043014B" w:rsidRPr="000F7B07">
        <w:rPr>
          <w:rFonts w:ascii="Arial" w:hAnsi="Arial" w:cs="Arial"/>
          <w:sz w:val="20"/>
          <w:szCs w:val="20"/>
        </w:rPr>
        <w:t xml:space="preserve">de WIPO </w:t>
      </w:r>
      <w:proofErr w:type="spellStart"/>
      <w:r w:rsidR="0043014B" w:rsidRPr="000F7B07">
        <w:rPr>
          <w:rFonts w:ascii="Arial" w:hAnsi="Arial" w:cs="Arial"/>
          <w:sz w:val="20"/>
          <w:szCs w:val="20"/>
        </w:rPr>
        <w:t>Lex</w:t>
      </w:r>
      <w:proofErr w:type="spellEnd"/>
      <w:r w:rsidR="0043014B" w:rsidRPr="000F7B07">
        <w:rPr>
          <w:rFonts w:ascii="Arial" w:hAnsi="Arial" w:cs="Arial"/>
          <w:sz w:val="20"/>
          <w:szCs w:val="20"/>
        </w:rPr>
        <w:t xml:space="preserve"> </w:t>
      </w:r>
      <w:r w:rsidRPr="000F7B07">
        <w:rPr>
          <w:rFonts w:ascii="Arial" w:hAnsi="Arial" w:cs="Arial"/>
          <w:sz w:val="20"/>
          <w:szCs w:val="20"/>
        </w:rPr>
        <w:t>dans le programme</w:t>
      </w:r>
      <w:r w:rsidR="0043014B" w:rsidRPr="000F7B07">
        <w:rPr>
          <w:rFonts w:ascii="Arial" w:hAnsi="Arial" w:cs="Arial"/>
          <w:sz w:val="20"/>
          <w:szCs w:val="20"/>
        </w:rPr>
        <w:t>,</w:t>
      </w:r>
      <w:r w:rsidRPr="000F7B07">
        <w:rPr>
          <w:rFonts w:ascii="Arial" w:hAnsi="Arial" w:cs="Arial"/>
          <w:sz w:val="20"/>
          <w:szCs w:val="20"/>
        </w:rPr>
        <w:t xml:space="preserve"> de</w:t>
      </w:r>
      <w:r w:rsidR="0043014B" w:rsidRPr="000F7B07">
        <w:rPr>
          <w:rFonts w:ascii="Arial" w:hAnsi="Arial" w:cs="Arial"/>
          <w:sz w:val="20"/>
          <w:szCs w:val="20"/>
        </w:rPr>
        <w:t>puis</w:t>
      </w:r>
      <w:r w:rsidRPr="000F7B07">
        <w:rPr>
          <w:rFonts w:ascii="Arial" w:hAnsi="Arial" w:cs="Arial"/>
          <w:sz w:val="20"/>
          <w:szCs w:val="20"/>
        </w:rPr>
        <w:t xml:space="preserve"> la Direction générale</w:t>
      </w:r>
      <w:r w:rsidR="00445D3C" w:rsidRPr="000F7B07">
        <w:rPr>
          <w:rFonts w:ascii="Arial" w:hAnsi="Arial" w:cs="Arial"/>
          <w:sz w:val="20"/>
          <w:szCs w:val="20"/>
        </w:rPr>
        <w:t xml:space="preserve"> (p</w:t>
      </w:r>
      <w:r w:rsidRPr="000F7B07">
        <w:rPr>
          <w:rFonts w:ascii="Arial" w:hAnsi="Arial" w:cs="Arial"/>
          <w:sz w:val="20"/>
          <w:szCs w:val="20"/>
        </w:rPr>
        <w:t>rogramme</w:t>
      </w:r>
      <w:r w:rsidR="00B4191E" w:rsidRPr="000F7B07">
        <w:rPr>
          <w:rFonts w:ascii="Arial" w:hAnsi="Arial" w:cs="Arial"/>
          <w:sz w:val="20"/>
          <w:szCs w:val="20"/>
        </w:rPr>
        <w:t> </w:t>
      </w:r>
      <w:r w:rsidRPr="000F7B07">
        <w:rPr>
          <w:rFonts w:ascii="Arial" w:hAnsi="Arial" w:cs="Arial"/>
          <w:sz w:val="20"/>
          <w:szCs w:val="20"/>
        </w:rPr>
        <w:t xml:space="preserve">21), </w:t>
      </w:r>
      <w:r w:rsidR="0043014B" w:rsidRPr="000F7B07">
        <w:rPr>
          <w:rFonts w:ascii="Arial" w:hAnsi="Arial" w:cs="Arial"/>
          <w:sz w:val="20"/>
          <w:szCs w:val="20"/>
        </w:rPr>
        <w:t>tel qu</w:t>
      </w:r>
      <w:r w:rsidR="00FA22F6" w:rsidRPr="000F7B07">
        <w:rPr>
          <w:rFonts w:ascii="Arial" w:hAnsi="Arial" w:cs="Arial"/>
          <w:sz w:val="20"/>
          <w:szCs w:val="20"/>
        </w:rPr>
        <w:t>’</w:t>
      </w:r>
      <w:r w:rsidR="0043014B" w:rsidRPr="000F7B07">
        <w:rPr>
          <w:rFonts w:ascii="Arial" w:hAnsi="Arial" w:cs="Arial"/>
          <w:sz w:val="20"/>
          <w:szCs w:val="20"/>
        </w:rPr>
        <w:t xml:space="preserve">indiqué au </w:t>
      </w:r>
      <w:r w:rsidRPr="000F7B07">
        <w:rPr>
          <w:rFonts w:ascii="Arial" w:hAnsi="Arial" w:cs="Arial"/>
          <w:sz w:val="20"/>
          <w:szCs w:val="20"/>
        </w:rPr>
        <w:t xml:space="preserve">résultat </w:t>
      </w:r>
      <w:r w:rsidR="002F44C6" w:rsidRPr="000F7B07">
        <w:rPr>
          <w:rFonts w:ascii="Arial" w:hAnsi="Arial" w:cs="Arial"/>
          <w:sz w:val="20"/>
          <w:szCs w:val="20"/>
        </w:rPr>
        <w:t xml:space="preserve">escompté </w:t>
      </w:r>
      <w:r w:rsidRPr="000F7B07">
        <w:rPr>
          <w:rFonts w:ascii="Arial" w:hAnsi="Arial" w:cs="Arial"/>
          <w:sz w:val="20"/>
          <w:szCs w:val="20"/>
        </w:rPr>
        <w:t>IV.2 (</w:t>
      </w:r>
      <w:r w:rsidR="00143727" w:rsidRPr="000F7B07">
        <w:rPr>
          <w:rFonts w:ascii="Arial" w:hAnsi="Arial" w:cs="Arial"/>
          <w:bCs/>
          <w:sz w:val="20"/>
          <w:szCs w:val="20"/>
        </w:rPr>
        <w:t>Amélioration de l</w:t>
      </w:r>
      <w:r w:rsidR="00FA22F6" w:rsidRPr="000F7B07">
        <w:rPr>
          <w:rFonts w:ascii="Arial" w:hAnsi="Arial" w:cs="Arial"/>
          <w:bCs/>
          <w:sz w:val="20"/>
          <w:szCs w:val="20"/>
        </w:rPr>
        <w:t>’</w:t>
      </w:r>
      <w:r w:rsidR="00143727" w:rsidRPr="000F7B07">
        <w:rPr>
          <w:rFonts w:ascii="Arial" w:hAnsi="Arial" w:cs="Arial"/>
          <w:bCs/>
          <w:sz w:val="20"/>
          <w:szCs w:val="20"/>
        </w:rPr>
        <w:t>accessibilité et de l</w:t>
      </w:r>
      <w:r w:rsidR="00FA22F6" w:rsidRPr="000F7B07">
        <w:rPr>
          <w:rFonts w:ascii="Arial" w:hAnsi="Arial" w:cs="Arial"/>
          <w:bCs/>
          <w:sz w:val="20"/>
          <w:szCs w:val="20"/>
        </w:rPr>
        <w:t>’</w:t>
      </w:r>
      <w:r w:rsidR="00143727" w:rsidRPr="000F7B07">
        <w:rPr>
          <w:rFonts w:ascii="Arial" w:hAnsi="Arial" w:cs="Arial"/>
          <w:bCs/>
          <w:sz w:val="20"/>
          <w:szCs w:val="20"/>
        </w:rPr>
        <w:t>utilisation de l</w:t>
      </w:r>
      <w:r w:rsidR="00FA22F6" w:rsidRPr="000F7B07">
        <w:rPr>
          <w:rFonts w:ascii="Arial" w:hAnsi="Arial" w:cs="Arial"/>
          <w:bCs/>
          <w:sz w:val="20"/>
          <w:szCs w:val="20"/>
        </w:rPr>
        <w:t>’</w:t>
      </w:r>
      <w:r w:rsidR="00143727" w:rsidRPr="000F7B07">
        <w:rPr>
          <w:rFonts w:ascii="Arial" w:hAnsi="Arial" w:cs="Arial"/>
          <w:bCs/>
          <w:sz w:val="20"/>
          <w:szCs w:val="20"/>
        </w:rPr>
        <w:t>information en matière de propriété intellectuelle</w:t>
      </w:r>
      <w:r w:rsidRPr="000F7B07">
        <w:rPr>
          <w:rFonts w:ascii="Arial" w:hAnsi="Arial" w:cs="Arial"/>
          <w:sz w:val="20"/>
          <w:szCs w:val="20"/>
        </w:rPr>
        <w:t>), ii)</w:t>
      </w:r>
      <w:r w:rsidR="004D421A" w:rsidRPr="000F7B07">
        <w:rPr>
          <w:rFonts w:ascii="Arial" w:hAnsi="Arial" w:cs="Arial"/>
          <w:sz w:val="20"/>
          <w:szCs w:val="20"/>
        </w:rPr>
        <w:t> </w:t>
      </w:r>
      <w:r w:rsidR="00143727" w:rsidRPr="000F7B07">
        <w:rPr>
          <w:rFonts w:ascii="Arial" w:hAnsi="Arial" w:cs="Arial"/>
          <w:sz w:val="20"/>
          <w:szCs w:val="20"/>
        </w:rPr>
        <w:t xml:space="preserve">au </w:t>
      </w:r>
      <w:r w:rsidRPr="000F7B07">
        <w:rPr>
          <w:rFonts w:ascii="Arial" w:hAnsi="Arial" w:cs="Arial"/>
          <w:sz w:val="20"/>
          <w:szCs w:val="20"/>
        </w:rPr>
        <w:t>transfert de deux</w:t>
      </w:r>
      <w:r w:rsidR="004D421A" w:rsidRPr="000F7B07">
        <w:rPr>
          <w:rFonts w:ascii="Arial" w:hAnsi="Arial" w:cs="Arial"/>
          <w:sz w:val="20"/>
          <w:szCs w:val="20"/>
        </w:rPr>
        <w:t> </w:t>
      </w:r>
      <w:r w:rsidRPr="000F7B07">
        <w:rPr>
          <w:rFonts w:ascii="Arial" w:hAnsi="Arial" w:cs="Arial"/>
          <w:sz w:val="20"/>
          <w:szCs w:val="20"/>
        </w:rPr>
        <w:t xml:space="preserve">postes </w:t>
      </w:r>
      <w:r w:rsidR="00641886" w:rsidRPr="000F7B07">
        <w:rPr>
          <w:rFonts w:ascii="Arial" w:hAnsi="Arial" w:cs="Arial"/>
          <w:sz w:val="20"/>
          <w:szCs w:val="20"/>
        </w:rPr>
        <w:t xml:space="preserve">afin de </w:t>
      </w:r>
      <w:r w:rsidR="007E05AD" w:rsidRPr="000F7B07">
        <w:rPr>
          <w:rFonts w:ascii="Arial" w:hAnsi="Arial" w:cs="Arial"/>
          <w:sz w:val="20"/>
          <w:szCs w:val="20"/>
        </w:rPr>
        <w:t xml:space="preserve">faire face à </w:t>
      </w:r>
      <w:r w:rsidRPr="000F7B07">
        <w:rPr>
          <w:rFonts w:ascii="Arial" w:hAnsi="Arial" w:cs="Arial"/>
          <w:sz w:val="20"/>
          <w:szCs w:val="20"/>
        </w:rPr>
        <w:t xml:space="preserve">la charge de travail accrue liée au </w:t>
      </w:r>
      <w:r w:rsidR="002F44C6" w:rsidRPr="000F7B07">
        <w:rPr>
          <w:rFonts w:ascii="Arial" w:hAnsi="Arial" w:cs="Arial"/>
          <w:sz w:val="20"/>
          <w:szCs w:val="20"/>
        </w:rPr>
        <w:t>télé</w:t>
      </w:r>
      <w:r w:rsidRPr="000F7B07">
        <w:rPr>
          <w:rFonts w:ascii="Arial" w:hAnsi="Arial" w:cs="Arial"/>
          <w:sz w:val="20"/>
          <w:szCs w:val="20"/>
        </w:rPr>
        <w:t>chargement de</w:t>
      </w:r>
      <w:r w:rsidR="002F44C6" w:rsidRPr="000F7B07">
        <w:rPr>
          <w:rFonts w:ascii="Arial" w:hAnsi="Arial" w:cs="Arial"/>
          <w:sz w:val="20"/>
          <w:szCs w:val="20"/>
        </w:rPr>
        <w:t>s</w:t>
      </w:r>
      <w:r w:rsidRPr="000F7B07">
        <w:rPr>
          <w:rFonts w:ascii="Arial" w:hAnsi="Arial" w:cs="Arial"/>
          <w:sz w:val="20"/>
          <w:szCs w:val="20"/>
        </w:rPr>
        <w:t xml:space="preserve"> collections nationales dans PATENTSCOPE et </w:t>
      </w:r>
      <w:r w:rsidR="00D5174A" w:rsidRPr="000F7B07">
        <w:rPr>
          <w:rFonts w:ascii="Arial" w:hAnsi="Arial" w:cs="Arial"/>
          <w:sz w:val="20"/>
          <w:szCs w:val="20"/>
        </w:rPr>
        <w:t>à l</w:t>
      </w:r>
      <w:r w:rsidR="00FA22F6" w:rsidRPr="000F7B07">
        <w:rPr>
          <w:rFonts w:ascii="Arial" w:hAnsi="Arial" w:cs="Arial"/>
          <w:sz w:val="20"/>
          <w:szCs w:val="20"/>
        </w:rPr>
        <w:t>’</w:t>
      </w:r>
      <w:r w:rsidR="00D5174A" w:rsidRPr="000F7B07">
        <w:rPr>
          <w:rFonts w:ascii="Arial" w:hAnsi="Arial" w:cs="Arial"/>
          <w:sz w:val="20"/>
          <w:szCs w:val="20"/>
        </w:rPr>
        <w:t xml:space="preserve">exploitation </w:t>
      </w:r>
      <w:r w:rsidRPr="000F7B07">
        <w:rPr>
          <w:rFonts w:ascii="Arial" w:hAnsi="Arial" w:cs="Arial"/>
          <w:sz w:val="20"/>
          <w:szCs w:val="20"/>
        </w:rPr>
        <w:t xml:space="preserve">de la base de données </w:t>
      </w:r>
      <w:r w:rsidR="007E05AD" w:rsidRPr="000F7B07">
        <w:rPr>
          <w:rFonts w:ascii="Arial" w:hAnsi="Arial" w:cs="Arial"/>
          <w:sz w:val="20"/>
          <w:szCs w:val="20"/>
        </w:rPr>
        <w:t xml:space="preserve">WIPO </w:t>
      </w:r>
      <w:proofErr w:type="spellStart"/>
      <w:r w:rsidRPr="000F7B07">
        <w:rPr>
          <w:rFonts w:ascii="Arial" w:hAnsi="Arial" w:cs="Arial"/>
          <w:sz w:val="20"/>
          <w:szCs w:val="20"/>
        </w:rPr>
        <w:t>Lex</w:t>
      </w:r>
      <w:proofErr w:type="spellEnd"/>
      <w:r w:rsidR="007E05AD" w:rsidRPr="000F7B07">
        <w:rPr>
          <w:rFonts w:ascii="Arial" w:hAnsi="Arial" w:cs="Arial"/>
          <w:sz w:val="20"/>
          <w:szCs w:val="20"/>
        </w:rPr>
        <w:t xml:space="preserve"> </w:t>
      </w:r>
      <w:r w:rsidRPr="000F7B07">
        <w:rPr>
          <w:rFonts w:ascii="Arial" w:hAnsi="Arial" w:cs="Arial"/>
          <w:sz w:val="20"/>
          <w:szCs w:val="20"/>
        </w:rPr>
        <w:t>et iii)</w:t>
      </w:r>
      <w:r w:rsidR="004D421A" w:rsidRPr="000F7B07">
        <w:rPr>
          <w:rFonts w:ascii="Arial" w:hAnsi="Arial" w:cs="Arial"/>
          <w:sz w:val="20"/>
          <w:szCs w:val="20"/>
        </w:rPr>
        <w:t> </w:t>
      </w:r>
      <w:r w:rsidR="00143727" w:rsidRPr="000F7B07">
        <w:rPr>
          <w:rFonts w:ascii="Arial" w:hAnsi="Arial" w:cs="Arial"/>
          <w:sz w:val="20"/>
          <w:szCs w:val="20"/>
        </w:rPr>
        <w:t xml:space="preserve">au </w:t>
      </w:r>
      <w:r w:rsidRPr="000F7B07">
        <w:rPr>
          <w:rFonts w:ascii="Arial" w:hAnsi="Arial" w:cs="Arial"/>
          <w:sz w:val="20"/>
          <w:szCs w:val="20"/>
        </w:rPr>
        <w:t>reclassement d</w:t>
      </w:r>
      <w:r w:rsidR="00FA22F6" w:rsidRPr="000F7B07">
        <w:rPr>
          <w:rFonts w:ascii="Arial" w:hAnsi="Arial" w:cs="Arial"/>
          <w:sz w:val="20"/>
          <w:szCs w:val="20"/>
        </w:rPr>
        <w:t>’</w:t>
      </w:r>
      <w:r w:rsidRPr="000F7B07">
        <w:rPr>
          <w:rFonts w:ascii="Arial" w:hAnsi="Arial" w:cs="Arial"/>
          <w:sz w:val="20"/>
          <w:szCs w:val="20"/>
        </w:rPr>
        <w:t>un poste.</w:t>
      </w:r>
    </w:p>
    <w:p w14:paraId="3BBCA8D8" w14:textId="77777777" w:rsidR="001F64B1" w:rsidRPr="001303B4" w:rsidRDefault="001F64B1" w:rsidP="0097226C">
      <w:pPr>
        <w:pStyle w:val="ListParagraph"/>
        <w:tabs>
          <w:tab w:val="left" w:pos="709"/>
        </w:tabs>
        <w:ind w:left="0"/>
        <w:contextualSpacing w:val="0"/>
        <w:jc w:val="both"/>
        <w:rPr>
          <w:rFonts w:ascii="Arial" w:hAnsi="Arial" w:cs="Arial"/>
          <w:sz w:val="20"/>
          <w:szCs w:val="20"/>
        </w:rPr>
      </w:pPr>
    </w:p>
    <w:p w14:paraId="4FA62CE7" w14:textId="16F2A5D0" w:rsidR="001F64B1" w:rsidRPr="000F7B07" w:rsidRDefault="002F370A" w:rsidP="00D544B8">
      <w:pPr>
        <w:pStyle w:val="ListParagraph"/>
        <w:numPr>
          <w:ilvl w:val="0"/>
          <w:numId w:val="15"/>
        </w:numPr>
        <w:tabs>
          <w:tab w:val="left" w:pos="709"/>
        </w:tabs>
        <w:ind w:left="0" w:firstLine="0"/>
        <w:contextualSpacing w:val="0"/>
        <w:jc w:val="both"/>
        <w:rPr>
          <w:rFonts w:ascii="Arial" w:hAnsi="Arial" w:cs="Arial"/>
          <w:sz w:val="20"/>
          <w:szCs w:val="20"/>
        </w:rPr>
      </w:pPr>
      <w:r w:rsidRPr="000F7B07">
        <w:rPr>
          <w:rFonts w:ascii="Arial" w:eastAsia="Batang" w:hAnsi="Arial" w:cs="Arial"/>
          <w:sz w:val="20"/>
          <w:szCs w:val="20"/>
          <w:lang w:eastAsia="ko-KR"/>
        </w:rPr>
        <w:t xml:space="preserve">Les </w:t>
      </w:r>
      <w:r w:rsidR="00FE767F" w:rsidRPr="000F7B07">
        <w:rPr>
          <w:rFonts w:ascii="Arial" w:eastAsia="Batang" w:hAnsi="Arial" w:cs="Arial"/>
          <w:sz w:val="20"/>
          <w:szCs w:val="20"/>
          <w:lang w:eastAsia="ko-KR"/>
        </w:rPr>
        <w:t>ressources autre</w:t>
      </w:r>
      <w:r w:rsidR="00907A3B" w:rsidRPr="000F7B07">
        <w:rPr>
          <w:rFonts w:ascii="Arial" w:eastAsia="Batang" w:hAnsi="Arial" w:cs="Arial"/>
          <w:sz w:val="20"/>
          <w:szCs w:val="20"/>
          <w:lang w:eastAsia="ko-KR"/>
        </w:rPr>
        <w:t>s</w:t>
      </w:r>
      <w:r w:rsidR="00FE767F" w:rsidRPr="000F7B07">
        <w:rPr>
          <w:rFonts w:ascii="Arial" w:eastAsia="Batang" w:hAnsi="Arial" w:cs="Arial"/>
          <w:sz w:val="20"/>
          <w:szCs w:val="20"/>
          <w:lang w:eastAsia="ko-KR"/>
        </w:rPr>
        <w:t xml:space="preserve"> que </w:t>
      </w:r>
      <w:r w:rsidR="00B80C82" w:rsidRPr="000F7B07">
        <w:rPr>
          <w:rFonts w:ascii="Arial" w:eastAsia="Batang" w:hAnsi="Arial" w:cs="Arial"/>
          <w:sz w:val="20"/>
          <w:szCs w:val="20"/>
          <w:lang w:eastAsia="ko-KR"/>
        </w:rPr>
        <w:t xml:space="preserve">pour le </w:t>
      </w:r>
      <w:r w:rsidR="00FE767F" w:rsidRPr="000F7B07">
        <w:rPr>
          <w:rFonts w:ascii="Arial" w:eastAsia="Batang" w:hAnsi="Arial" w:cs="Arial"/>
          <w:sz w:val="20"/>
          <w:szCs w:val="20"/>
          <w:lang w:eastAsia="ko-KR"/>
        </w:rPr>
        <w:t xml:space="preserve">personnel </w:t>
      </w:r>
      <w:r w:rsidR="00E94653" w:rsidRPr="000F7B07">
        <w:rPr>
          <w:rFonts w:ascii="Arial" w:eastAsia="Batang" w:hAnsi="Arial" w:cs="Arial"/>
          <w:sz w:val="20"/>
          <w:szCs w:val="20"/>
          <w:lang w:eastAsia="ko-KR"/>
        </w:rPr>
        <w:t>faisaient apparaître</w:t>
      </w:r>
      <w:r w:rsidR="00B80C82" w:rsidRPr="000F7B07">
        <w:rPr>
          <w:rFonts w:ascii="Arial" w:eastAsia="Batang" w:hAnsi="Arial" w:cs="Arial"/>
          <w:sz w:val="20"/>
          <w:szCs w:val="20"/>
          <w:lang w:eastAsia="ko-KR"/>
        </w:rPr>
        <w:t xml:space="preserve"> </w:t>
      </w:r>
      <w:r w:rsidR="00FE767F" w:rsidRPr="000F7B07">
        <w:rPr>
          <w:rFonts w:ascii="Arial" w:eastAsia="Batang" w:hAnsi="Arial" w:cs="Arial"/>
          <w:sz w:val="20"/>
          <w:szCs w:val="20"/>
          <w:lang w:eastAsia="ko-KR"/>
        </w:rPr>
        <w:t>un ajustement à la ha</w:t>
      </w:r>
      <w:r w:rsidR="00B46717" w:rsidRPr="000F7B07">
        <w:rPr>
          <w:rFonts w:ascii="Arial" w:eastAsia="Batang" w:hAnsi="Arial" w:cs="Arial"/>
          <w:sz w:val="20"/>
          <w:szCs w:val="20"/>
          <w:lang w:eastAsia="ko-KR"/>
        </w:rPr>
        <w:t xml:space="preserve">usse résultant </w:t>
      </w:r>
      <w:r w:rsidR="00B80C82" w:rsidRPr="000F7B07">
        <w:rPr>
          <w:rFonts w:ascii="Arial" w:eastAsia="Batang" w:hAnsi="Arial" w:cs="Arial"/>
          <w:sz w:val="20"/>
          <w:szCs w:val="20"/>
          <w:lang w:eastAsia="ko-KR"/>
        </w:rPr>
        <w:t>essentiellement</w:t>
      </w:r>
      <w:r w:rsidR="00FA22F6" w:rsidRPr="000F7B07">
        <w:rPr>
          <w:rFonts w:ascii="Arial" w:eastAsia="Batang" w:hAnsi="Arial" w:cs="Arial"/>
          <w:sz w:val="20"/>
          <w:szCs w:val="20"/>
          <w:lang w:eastAsia="ko-KR"/>
        </w:rPr>
        <w:t> :</w:t>
      </w:r>
      <w:r w:rsidR="00117D1A" w:rsidRPr="000F7B07">
        <w:rPr>
          <w:rFonts w:ascii="Arial" w:eastAsia="Batang" w:hAnsi="Arial" w:cs="Arial"/>
          <w:sz w:val="20"/>
          <w:szCs w:val="20"/>
          <w:lang w:eastAsia="ko-KR"/>
        </w:rPr>
        <w:t xml:space="preserve"> </w:t>
      </w:r>
      <w:r w:rsidR="00FE767F" w:rsidRPr="000F7B07">
        <w:rPr>
          <w:rFonts w:ascii="Arial" w:eastAsia="Batang" w:hAnsi="Arial" w:cs="Arial"/>
          <w:sz w:val="20"/>
          <w:szCs w:val="20"/>
          <w:lang w:eastAsia="ko-KR"/>
        </w:rPr>
        <w:t>i)</w:t>
      </w:r>
      <w:r w:rsidR="004D421A" w:rsidRPr="000F7B07">
        <w:rPr>
          <w:rFonts w:ascii="Arial" w:eastAsia="Batang" w:hAnsi="Arial" w:cs="Arial"/>
          <w:sz w:val="20"/>
          <w:szCs w:val="20"/>
          <w:lang w:eastAsia="ko-KR"/>
        </w:rPr>
        <w:t> </w:t>
      </w:r>
      <w:r w:rsidR="00B46717" w:rsidRPr="000F7B07">
        <w:rPr>
          <w:rFonts w:ascii="Arial" w:eastAsia="Batang" w:hAnsi="Arial" w:cs="Arial"/>
          <w:sz w:val="20"/>
          <w:szCs w:val="20"/>
          <w:lang w:eastAsia="ko-KR"/>
        </w:rPr>
        <w:t>d</w:t>
      </w:r>
      <w:r w:rsidR="00907A3B" w:rsidRPr="000F7B07">
        <w:rPr>
          <w:rFonts w:ascii="Arial" w:eastAsia="Batang" w:hAnsi="Arial" w:cs="Arial"/>
          <w:sz w:val="20"/>
          <w:szCs w:val="20"/>
          <w:lang w:eastAsia="ko-KR"/>
        </w:rPr>
        <w:t>u</w:t>
      </w:r>
      <w:r w:rsidR="00907A3B" w:rsidRPr="000F7B07">
        <w:rPr>
          <w:rFonts w:ascii="Arial" w:eastAsia="Times New Roman" w:hAnsi="Arial" w:cs="Arial"/>
          <w:sz w:val="20"/>
          <w:szCs w:val="20"/>
          <w:lang w:eastAsia="en-US"/>
        </w:rPr>
        <w:t xml:space="preserve"> </w:t>
      </w:r>
      <w:r w:rsidR="00B80C82" w:rsidRPr="000F7B07">
        <w:rPr>
          <w:rFonts w:ascii="Arial" w:eastAsia="Batang" w:hAnsi="Arial" w:cs="Arial"/>
          <w:sz w:val="20"/>
          <w:szCs w:val="20"/>
          <w:lang w:eastAsia="ko-KR"/>
        </w:rPr>
        <w:t xml:space="preserve">transfert de WIPO </w:t>
      </w:r>
      <w:proofErr w:type="spellStart"/>
      <w:r w:rsidR="00B80C82" w:rsidRPr="000F7B07">
        <w:rPr>
          <w:rFonts w:ascii="Arial" w:eastAsia="Batang" w:hAnsi="Arial" w:cs="Arial"/>
          <w:sz w:val="20"/>
          <w:szCs w:val="20"/>
          <w:lang w:eastAsia="ko-KR"/>
        </w:rPr>
        <w:t>Lex</w:t>
      </w:r>
      <w:proofErr w:type="spellEnd"/>
      <w:r w:rsidR="00B80C82" w:rsidRPr="000F7B07">
        <w:rPr>
          <w:rFonts w:ascii="Arial" w:eastAsia="Batang" w:hAnsi="Arial" w:cs="Arial"/>
          <w:sz w:val="20"/>
          <w:szCs w:val="20"/>
          <w:lang w:eastAsia="ko-KR"/>
        </w:rPr>
        <w:t xml:space="preserve"> dans le programme, depuis la Direction générale (programme</w:t>
      </w:r>
      <w:r w:rsidR="00B4191E" w:rsidRPr="000F7B07">
        <w:rPr>
          <w:rFonts w:ascii="Arial" w:eastAsia="Batang" w:hAnsi="Arial" w:cs="Arial"/>
          <w:sz w:val="20"/>
          <w:szCs w:val="20"/>
          <w:lang w:eastAsia="ko-KR"/>
        </w:rPr>
        <w:t> </w:t>
      </w:r>
      <w:r w:rsidR="00B80C82" w:rsidRPr="000F7B07">
        <w:rPr>
          <w:rFonts w:ascii="Arial" w:eastAsia="Batang" w:hAnsi="Arial" w:cs="Arial"/>
          <w:sz w:val="20"/>
          <w:szCs w:val="20"/>
          <w:lang w:eastAsia="ko-KR"/>
        </w:rPr>
        <w:t>21)</w:t>
      </w:r>
      <w:r w:rsidR="00117D1A" w:rsidRPr="000F7B07">
        <w:rPr>
          <w:rFonts w:ascii="Arial" w:eastAsia="Batang" w:hAnsi="Arial" w:cs="Arial"/>
          <w:sz w:val="20"/>
          <w:szCs w:val="20"/>
          <w:lang w:eastAsia="ko-KR"/>
        </w:rPr>
        <w:t>;</w:t>
      </w:r>
      <w:r w:rsidR="00B46717" w:rsidRPr="000F7B07">
        <w:rPr>
          <w:rFonts w:ascii="Arial" w:eastAsia="Batang" w:hAnsi="Arial" w:cs="Arial"/>
          <w:sz w:val="20"/>
          <w:szCs w:val="20"/>
          <w:lang w:eastAsia="ko-KR"/>
        </w:rPr>
        <w:t xml:space="preserve"> </w:t>
      </w:r>
      <w:r w:rsidR="00117D1A" w:rsidRPr="000F7B07">
        <w:rPr>
          <w:rFonts w:ascii="Arial" w:eastAsia="Batang" w:hAnsi="Arial" w:cs="Arial"/>
          <w:sz w:val="20"/>
          <w:szCs w:val="20"/>
          <w:lang w:eastAsia="ko-KR"/>
        </w:rPr>
        <w:t xml:space="preserve"> i</w:t>
      </w:r>
      <w:r w:rsidR="00FE767F" w:rsidRPr="000F7B07">
        <w:rPr>
          <w:rFonts w:ascii="Arial" w:eastAsia="Batang" w:hAnsi="Arial" w:cs="Arial"/>
          <w:sz w:val="20"/>
          <w:szCs w:val="20"/>
          <w:lang w:eastAsia="ko-KR"/>
        </w:rPr>
        <w:t>i)</w:t>
      </w:r>
      <w:r w:rsidR="004D421A" w:rsidRPr="000F7B07">
        <w:rPr>
          <w:rFonts w:ascii="Arial" w:eastAsia="Batang" w:hAnsi="Arial" w:cs="Arial"/>
          <w:sz w:val="20"/>
          <w:szCs w:val="20"/>
          <w:lang w:eastAsia="ko-KR"/>
        </w:rPr>
        <w:t> </w:t>
      </w:r>
      <w:r w:rsidR="005D4D83" w:rsidRPr="000F7B07">
        <w:rPr>
          <w:rFonts w:ascii="Arial" w:eastAsia="Batang" w:hAnsi="Arial" w:cs="Arial"/>
          <w:sz w:val="20"/>
          <w:szCs w:val="20"/>
          <w:lang w:eastAsia="ko-KR"/>
        </w:rPr>
        <w:t xml:space="preserve">du transfert </w:t>
      </w:r>
      <w:r w:rsidR="00B80C82" w:rsidRPr="000F7B07">
        <w:rPr>
          <w:rFonts w:ascii="Arial" w:eastAsia="Batang" w:hAnsi="Arial" w:cs="Arial"/>
          <w:sz w:val="20"/>
          <w:szCs w:val="20"/>
          <w:lang w:eastAsia="ko-KR"/>
        </w:rPr>
        <w:t>dans le programme, depuis les Services d</w:t>
      </w:r>
      <w:r w:rsidR="00FA22F6" w:rsidRPr="000F7B07">
        <w:rPr>
          <w:rFonts w:ascii="Arial" w:eastAsia="Batang" w:hAnsi="Arial" w:cs="Arial"/>
          <w:sz w:val="20"/>
          <w:szCs w:val="20"/>
          <w:lang w:eastAsia="ko-KR"/>
        </w:rPr>
        <w:t>’</w:t>
      </w:r>
      <w:r w:rsidR="00B80C82" w:rsidRPr="000F7B07">
        <w:rPr>
          <w:rFonts w:ascii="Arial" w:eastAsia="Batang" w:hAnsi="Arial" w:cs="Arial"/>
          <w:sz w:val="20"/>
          <w:szCs w:val="20"/>
          <w:lang w:eastAsia="ko-KR"/>
        </w:rPr>
        <w:t>accès à l</w:t>
      </w:r>
      <w:r w:rsidR="00FA22F6" w:rsidRPr="000F7B07">
        <w:rPr>
          <w:rFonts w:ascii="Arial" w:eastAsia="Batang" w:hAnsi="Arial" w:cs="Arial"/>
          <w:sz w:val="20"/>
          <w:szCs w:val="20"/>
          <w:lang w:eastAsia="ko-KR"/>
        </w:rPr>
        <w:t>’</w:t>
      </w:r>
      <w:r w:rsidR="00B80C82" w:rsidRPr="000F7B07">
        <w:rPr>
          <w:rFonts w:ascii="Arial" w:eastAsia="Batang" w:hAnsi="Arial" w:cs="Arial"/>
          <w:sz w:val="20"/>
          <w:szCs w:val="20"/>
          <w:lang w:eastAsia="ko-KR"/>
        </w:rPr>
        <w:t>information et aux savoirs (programme</w:t>
      </w:r>
      <w:r w:rsidR="00B4191E" w:rsidRPr="000F7B07">
        <w:rPr>
          <w:rFonts w:ascii="Arial" w:eastAsia="Batang" w:hAnsi="Arial" w:cs="Arial"/>
          <w:sz w:val="20"/>
          <w:szCs w:val="20"/>
          <w:lang w:eastAsia="ko-KR"/>
        </w:rPr>
        <w:t> </w:t>
      </w:r>
      <w:r w:rsidR="00B80C82" w:rsidRPr="000F7B07">
        <w:rPr>
          <w:rFonts w:ascii="Arial" w:eastAsia="Batang" w:hAnsi="Arial" w:cs="Arial"/>
          <w:sz w:val="20"/>
          <w:szCs w:val="20"/>
          <w:lang w:eastAsia="ko-KR"/>
        </w:rPr>
        <w:t xml:space="preserve">14), </w:t>
      </w:r>
      <w:r w:rsidR="005D4D83" w:rsidRPr="000F7B07">
        <w:rPr>
          <w:rFonts w:ascii="Arial" w:eastAsia="Batang" w:hAnsi="Arial" w:cs="Arial"/>
          <w:sz w:val="20"/>
          <w:szCs w:val="20"/>
          <w:lang w:eastAsia="ko-KR"/>
        </w:rPr>
        <w:t xml:space="preserve">de </w:t>
      </w:r>
      <w:r w:rsidR="00B80C82" w:rsidRPr="000F7B07">
        <w:rPr>
          <w:rFonts w:ascii="Arial" w:eastAsia="Batang" w:hAnsi="Arial" w:cs="Arial"/>
          <w:sz w:val="20"/>
          <w:szCs w:val="20"/>
          <w:lang w:eastAsia="ko-KR"/>
        </w:rPr>
        <w:t xml:space="preserve">la </w:t>
      </w:r>
      <w:r w:rsidR="005D4D83" w:rsidRPr="000F7B07">
        <w:rPr>
          <w:rFonts w:ascii="Arial" w:eastAsia="Batang" w:hAnsi="Arial" w:cs="Arial"/>
          <w:sz w:val="20"/>
          <w:szCs w:val="20"/>
          <w:lang w:eastAsia="ko-KR"/>
        </w:rPr>
        <w:t xml:space="preserve">responsabilité </w:t>
      </w:r>
      <w:r w:rsidR="00B80C82" w:rsidRPr="000F7B07">
        <w:rPr>
          <w:rFonts w:ascii="Arial" w:eastAsia="Batang" w:hAnsi="Arial" w:cs="Arial"/>
          <w:sz w:val="20"/>
          <w:szCs w:val="20"/>
          <w:lang w:eastAsia="ko-KR"/>
        </w:rPr>
        <w:t xml:space="preserve">des </w:t>
      </w:r>
      <w:r w:rsidR="005D4D83" w:rsidRPr="000F7B07">
        <w:rPr>
          <w:rFonts w:ascii="Arial" w:eastAsia="Batang" w:hAnsi="Arial" w:cs="Arial"/>
          <w:sz w:val="20"/>
          <w:szCs w:val="20"/>
          <w:lang w:eastAsia="ko-KR"/>
        </w:rPr>
        <w:t>projets spéciaux d</w:t>
      </w:r>
      <w:r w:rsidR="00FA22F6" w:rsidRPr="000F7B07">
        <w:rPr>
          <w:rFonts w:ascii="Arial" w:eastAsia="Batang" w:hAnsi="Arial" w:cs="Arial"/>
          <w:sz w:val="20"/>
          <w:szCs w:val="20"/>
          <w:lang w:eastAsia="ko-KR"/>
        </w:rPr>
        <w:t>’</w:t>
      </w:r>
      <w:r w:rsidR="005D4D83" w:rsidRPr="000F7B07">
        <w:rPr>
          <w:rFonts w:ascii="Arial" w:eastAsia="Batang" w:hAnsi="Arial" w:cs="Arial"/>
          <w:sz w:val="20"/>
          <w:szCs w:val="20"/>
          <w:lang w:eastAsia="ko-KR"/>
        </w:rPr>
        <w:t>assistance technique (LATIPAT et ARABPAT)</w:t>
      </w:r>
      <w:r w:rsidR="00117D1A" w:rsidRPr="000F7B07">
        <w:rPr>
          <w:rFonts w:ascii="Arial" w:eastAsia="Batang" w:hAnsi="Arial" w:cs="Arial"/>
          <w:sz w:val="20"/>
          <w:szCs w:val="20"/>
          <w:lang w:eastAsia="ko-KR"/>
        </w:rPr>
        <w:t xml:space="preserve">; </w:t>
      </w:r>
      <w:r w:rsidR="00B46717" w:rsidRPr="000F7B07">
        <w:rPr>
          <w:rFonts w:ascii="Arial" w:eastAsia="Batang" w:hAnsi="Arial" w:cs="Arial"/>
          <w:sz w:val="20"/>
          <w:szCs w:val="20"/>
          <w:lang w:eastAsia="ko-KR"/>
        </w:rPr>
        <w:t xml:space="preserve"> e</w:t>
      </w:r>
      <w:r w:rsidR="00117D1A" w:rsidRPr="000F7B07">
        <w:rPr>
          <w:rFonts w:ascii="Arial" w:eastAsia="Batang" w:hAnsi="Arial" w:cs="Arial"/>
          <w:sz w:val="20"/>
          <w:szCs w:val="20"/>
          <w:lang w:eastAsia="ko-KR"/>
        </w:rPr>
        <w:t xml:space="preserve">t </w:t>
      </w:r>
      <w:r w:rsidR="00FE767F" w:rsidRPr="000F7B07">
        <w:rPr>
          <w:rFonts w:ascii="Arial" w:eastAsia="Batang" w:hAnsi="Arial" w:cs="Arial"/>
          <w:sz w:val="20"/>
          <w:szCs w:val="20"/>
          <w:lang w:eastAsia="ko-KR"/>
        </w:rPr>
        <w:t>iii)</w:t>
      </w:r>
      <w:r w:rsidR="004D421A" w:rsidRPr="000F7B07">
        <w:rPr>
          <w:rFonts w:ascii="Arial" w:eastAsia="Batang" w:hAnsi="Arial" w:cs="Arial"/>
          <w:sz w:val="20"/>
          <w:szCs w:val="20"/>
          <w:lang w:eastAsia="ko-KR"/>
        </w:rPr>
        <w:t> </w:t>
      </w:r>
      <w:r w:rsidR="00446C99" w:rsidRPr="000F7B07">
        <w:rPr>
          <w:rFonts w:ascii="Arial" w:eastAsia="Batang" w:hAnsi="Arial" w:cs="Arial"/>
          <w:sz w:val="20"/>
          <w:szCs w:val="20"/>
          <w:lang w:eastAsia="ko-KR"/>
        </w:rPr>
        <w:t>d</w:t>
      </w:r>
      <w:r w:rsidR="00FE767F" w:rsidRPr="000F7B07">
        <w:rPr>
          <w:rFonts w:ascii="Arial" w:eastAsia="Batang" w:hAnsi="Arial" w:cs="Arial"/>
          <w:sz w:val="20"/>
          <w:szCs w:val="20"/>
          <w:lang w:eastAsia="ko-KR"/>
        </w:rPr>
        <w:t xml:space="preserve">es coûts supplémentaires </w:t>
      </w:r>
      <w:r w:rsidR="005E0AE7" w:rsidRPr="000F7B07">
        <w:rPr>
          <w:rFonts w:ascii="Arial" w:eastAsia="Batang" w:hAnsi="Arial" w:cs="Arial"/>
          <w:sz w:val="20"/>
          <w:szCs w:val="20"/>
          <w:lang w:eastAsia="ko-KR"/>
        </w:rPr>
        <w:t>engendrés par</w:t>
      </w:r>
      <w:r w:rsidR="00FE767F" w:rsidRPr="000F7B07">
        <w:rPr>
          <w:rFonts w:ascii="Arial" w:eastAsia="Batang" w:hAnsi="Arial" w:cs="Arial"/>
          <w:sz w:val="20"/>
          <w:szCs w:val="20"/>
          <w:lang w:eastAsia="ko-KR"/>
        </w:rPr>
        <w:t xml:space="preserve"> la sous</w:t>
      </w:r>
      <w:r w:rsidR="006A41CF" w:rsidRPr="000F7B07">
        <w:rPr>
          <w:rFonts w:ascii="Arial" w:eastAsia="Batang" w:hAnsi="Arial" w:cs="Arial"/>
          <w:sz w:val="20"/>
          <w:szCs w:val="20"/>
          <w:lang w:eastAsia="ko-KR"/>
        </w:rPr>
        <w:noBreakHyphen/>
      </w:r>
      <w:r w:rsidR="00FE767F" w:rsidRPr="000F7B07">
        <w:rPr>
          <w:rFonts w:ascii="Arial" w:eastAsia="Batang" w:hAnsi="Arial" w:cs="Arial"/>
          <w:sz w:val="20"/>
          <w:szCs w:val="20"/>
          <w:lang w:eastAsia="ko-KR"/>
        </w:rPr>
        <w:t>traitance</w:t>
      </w:r>
      <w:r w:rsidR="00381A79" w:rsidRPr="000F7B07">
        <w:rPr>
          <w:rFonts w:ascii="Arial" w:eastAsia="Batang" w:hAnsi="Arial" w:cs="Arial"/>
          <w:sz w:val="20"/>
          <w:szCs w:val="20"/>
          <w:lang w:eastAsia="ko-KR"/>
        </w:rPr>
        <w:t>,</w:t>
      </w:r>
      <w:r w:rsidR="00FE767F" w:rsidRPr="000F7B07">
        <w:rPr>
          <w:rFonts w:ascii="Arial" w:eastAsia="Batang" w:hAnsi="Arial" w:cs="Arial"/>
          <w:sz w:val="20"/>
          <w:szCs w:val="20"/>
          <w:lang w:eastAsia="ko-KR"/>
        </w:rPr>
        <w:t xml:space="preserve"> </w:t>
      </w:r>
      <w:r w:rsidR="00775759" w:rsidRPr="000F7B07">
        <w:rPr>
          <w:rFonts w:ascii="Arial" w:eastAsia="Batang" w:hAnsi="Arial" w:cs="Arial"/>
          <w:sz w:val="20"/>
          <w:szCs w:val="20"/>
          <w:lang w:eastAsia="ko-KR"/>
        </w:rPr>
        <w:t>à un prestataire extérieur</w:t>
      </w:r>
      <w:r w:rsidR="00381A79" w:rsidRPr="000F7B07">
        <w:rPr>
          <w:rFonts w:ascii="Arial" w:eastAsia="Batang" w:hAnsi="Arial" w:cs="Arial"/>
          <w:sz w:val="20"/>
          <w:szCs w:val="20"/>
          <w:lang w:eastAsia="ko-KR"/>
        </w:rPr>
        <w:t>, du téléchargement des collections nationales</w:t>
      </w:r>
      <w:r w:rsidR="00FE767F" w:rsidRPr="000F7B07">
        <w:rPr>
          <w:rFonts w:ascii="Arial" w:eastAsia="Batang" w:hAnsi="Arial" w:cs="Arial"/>
          <w:sz w:val="20"/>
          <w:szCs w:val="20"/>
          <w:lang w:eastAsia="ko-KR"/>
        </w:rPr>
        <w:t>.</w:t>
      </w:r>
    </w:p>
    <w:p w14:paraId="432F04F0" w14:textId="77777777" w:rsidR="005D4D83" w:rsidRPr="000F7B07" w:rsidRDefault="005D4D83" w:rsidP="0097226C">
      <w:pPr>
        <w:jc w:val="both"/>
        <w:rPr>
          <w:bCs/>
          <w:sz w:val="20"/>
        </w:rPr>
      </w:pPr>
    </w:p>
    <w:p w14:paraId="118B3C39" w14:textId="42586B31" w:rsidR="001F64B1" w:rsidRPr="000F7B07" w:rsidRDefault="00BA5EA9" w:rsidP="0097226C">
      <w:pPr>
        <w:jc w:val="both"/>
        <w:rPr>
          <w:sz w:val="20"/>
          <w:u w:val="single"/>
        </w:rPr>
      </w:pPr>
      <w:r w:rsidRPr="000F7B07">
        <w:rPr>
          <w:sz w:val="20"/>
        </w:rPr>
        <w:t>B.</w:t>
      </w:r>
      <w:r w:rsidRPr="000F7B07">
        <w:rPr>
          <w:sz w:val="20"/>
        </w:rPr>
        <w:tab/>
      </w:r>
      <w:r w:rsidR="00F3341E" w:rsidRPr="000F7B07">
        <w:rPr>
          <w:sz w:val="20"/>
          <w:u w:val="single"/>
        </w:rPr>
        <w:t>Utilisation du budget</w:t>
      </w:r>
      <w:r w:rsidR="00B4191E" w:rsidRPr="000F7B07">
        <w:rPr>
          <w:sz w:val="20"/>
          <w:u w:val="single"/>
        </w:rPr>
        <w:t> </w:t>
      </w:r>
      <w:r w:rsidR="00F3341E" w:rsidRPr="000F7B07">
        <w:rPr>
          <w:sz w:val="20"/>
          <w:u w:val="single"/>
        </w:rPr>
        <w:t>2016</w:t>
      </w:r>
      <w:r w:rsidR="006A41CF" w:rsidRPr="000F7B07">
        <w:rPr>
          <w:sz w:val="20"/>
          <w:u w:val="single"/>
        </w:rPr>
        <w:noBreakHyphen/>
      </w:r>
      <w:r w:rsidR="00F3341E" w:rsidRPr="000F7B07">
        <w:rPr>
          <w:sz w:val="20"/>
          <w:u w:val="single"/>
        </w:rPr>
        <w:t>2017</w:t>
      </w:r>
    </w:p>
    <w:p w14:paraId="259210A1" w14:textId="77777777" w:rsidR="001F64B1" w:rsidRPr="001E6DFD" w:rsidRDefault="001F64B1" w:rsidP="0097226C">
      <w:pPr>
        <w:jc w:val="both"/>
        <w:rPr>
          <w:sz w:val="20"/>
        </w:rPr>
      </w:pPr>
    </w:p>
    <w:p w14:paraId="6F94B39F" w14:textId="0648288A" w:rsidR="001F64B1" w:rsidRPr="001E6DFD" w:rsidRDefault="00EC540A" w:rsidP="00D544B8">
      <w:pPr>
        <w:pStyle w:val="ListParagraph"/>
        <w:numPr>
          <w:ilvl w:val="0"/>
          <w:numId w:val="15"/>
        </w:numPr>
        <w:tabs>
          <w:tab w:val="left" w:pos="709"/>
        </w:tabs>
        <w:ind w:left="0" w:firstLine="0"/>
        <w:contextualSpacing w:val="0"/>
        <w:jc w:val="both"/>
        <w:rPr>
          <w:rFonts w:ascii="Arial" w:hAnsi="Arial" w:cs="Arial"/>
          <w:sz w:val="20"/>
          <w:szCs w:val="20"/>
        </w:rPr>
      </w:pPr>
      <w:r w:rsidRPr="001E6DFD">
        <w:rPr>
          <w:rFonts w:ascii="Arial" w:hAnsi="Arial" w:cs="Arial"/>
          <w:sz w:val="20"/>
          <w:szCs w:val="20"/>
        </w:rPr>
        <w:t>L</w:t>
      </w:r>
      <w:r w:rsidR="00FA22F6" w:rsidRPr="001E6DFD">
        <w:rPr>
          <w:rFonts w:ascii="Arial" w:hAnsi="Arial" w:cs="Arial"/>
          <w:sz w:val="20"/>
          <w:szCs w:val="20"/>
        </w:rPr>
        <w:t>’</w:t>
      </w:r>
      <w:r w:rsidRPr="001E6DFD">
        <w:rPr>
          <w:rFonts w:ascii="Arial" w:hAnsi="Arial" w:cs="Arial"/>
          <w:sz w:val="20"/>
          <w:szCs w:val="20"/>
        </w:rPr>
        <w:t>utilisation du budget se situait dans la fourchette prévue des 40 à 60% pour la première année de l</w:t>
      </w:r>
      <w:r w:rsidR="00FA22F6" w:rsidRPr="001E6DFD">
        <w:rPr>
          <w:rFonts w:ascii="Arial" w:hAnsi="Arial" w:cs="Arial"/>
          <w:sz w:val="20"/>
          <w:szCs w:val="20"/>
        </w:rPr>
        <w:t>’</w:t>
      </w:r>
      <w:r w:rsidRPr="001E6DFD">
        <w:rPr>
          <w:rFonts w:ascii="Arial" w:hAnsi="Arial" w:cs="Arial"/>
          <w:sz w:val="20"/>
          <w:szCs w:val="20"/>
        </w:rPr>
        <w:t>exercice biennal.</w:t>
      </w:r>
    </w:p>
    <w:p w14:paraId="36BBD160" w14:textId="77777777" w:rsidR="001F64B1" w:rsidRPr="001E6DFD" w:rsidRDefault="001F64B1" w:rsidP="0097226C">
      <w:pPr>
        <w:rPr>
          <w:sz w:val="20"/>
        </w:rPr>
      </w:pPr>
    </w:p>
    <w:p w14:paraId="56CE9C71" w14:textId="77777777" w:rsidR="006A41CF" w:rsidRPr="001E6DFD" w:rsidRDefault="006A41CF">
      <w:pPr>
        <w:rPr>
          <w:b/>
          <w:bCs/>
          <w:iCs/>
          <w:caps/>
          <w:sz w:val="20"/>
        </w:rPr>
      </w:pPr>
      <w:r w:rsidRPr="001E6DFD">
        <w:rPr>
          <w:b/>
          <w:bCs/>
          <w:iCs/>
          <w:caps/>
          <w:sz w:val="20"/>
        </w:rPr>
        <w:br w:type="page"/>
      </w:r>
    </w:p>
    <w:p w14:paraId="0E12C1AD" w14:textId="6D3E85AC" w:rsidR="001F64B1" w:rsidRPr="001E6DFD" w:rsidRDefault="00DF2F12" w:rsidP="006658D5">
      <w:pPr>
        <w:pStyle w:val="Heading3"/>
      </w:pPr>
      <w:bookmarkStart w:id="52" w:name="_Toc482774608"/>
      <w:r w:rsidRPr="001E6DFD">
        <w:lastRenderedPageBreak/>
        <w:t>Programme</w:t>
      </w:r>
      <w:r w:rsidR="00B4191E">
        <w:t> </w:t>
      </w:r>
      <w:r w:rsidRPr="001E6DFD">
        <w:t>14</w:t>
      </w:r>
      <w:r w:rsidRPr="001E6DFD">
        <w:tab/>
        <w:t>Services d</w:t>
      </w:r>
      <w:r w:rsidR="00B4191E">
        <w:t>’</w:t>
      </w:r>
      <w:r w:rsidRPr="001E6DFD">
        <w:t>accès à l</w:t>
      </w:r>
      <w:r w:rsidR="00FA22F6" w:rsidRPr="001E6DFD">
        <w:t>’</w:t>
      </w:r>
      <w:r w:rsidRPr="001E6DFD">
        <w:t>information et aux savoirs</w:t>
      </w:r>
      <w:bookmarkEnd w:id="52"/>
    </w:p>
    <w:p w14:paraId="009CCA5D" w14:textId="77777777" w:rsidR="001F64B1" w:rsidRPr="001E6DFD" w:rsidRDefault="001F64B1" w:rsidP="00B9746D">
      <w:pPr>
        <w:tabs>
          <w:tab w:val="left" w:pos="2268"/>
        </w:tabs>
        <w:ind w:left="2268" w:hanging="2268"/>
        <w:jc w:val="both"/>
        <w:rPr>
          <w:sz w:val="20"/>
        </w:rPr>
      </w:pPr>
    </w:p>
    <w:p w14:paraId="1A0C1453" w14:textId="38832899" w:rsidR="001F64B1" w:rsidRPr="001E6DFD" w:rsidRDefault="00DF2F12" w:rsidP="00B9746D">
      <w:pPr>
        <w:tabs>
          <w:tab w:val="left" w:pos="2268"/>
        </w:tabs>
        <w:ind w:left="2268" w:hanging="2268"/>
        <w:jc w:val="both"/>
        <w:rPr>
          <w:b/>
          <w:sz w:val="20"/>
        </w:rPr>
      </w:pPr>
      <w:r w:rsidRPr="001E6DFD">
        <w:rPr>
          <w:b/>
          <w:sz w:val="20"/>
        </w:rPr>
        <w:t>Chef de programme</w:t>
      </w:r>
      <w:r w:rsidRPr="001E6DFD">
        <w:rPr>
          <w:b/>
          <w:sz w:val="20"/>
        </w:rPr>
        <w:tab/>
        <w:t>M.</w:t>
      </w:r>
      <w:r w:rsidR="004D421A" w:rsidRPr="001E6DFD">
        <w:rPr>
          <w:b/>
          <w:sz w:val="20"/>
        </w:rPr>
        <w:t> </w:t>
      </w:r>
      <w:r w:rsidRPr="001E6DFD">
        <w:rPr>
          <w:b/>
          <w:sz w:val="20"/>
        </w:rPr>
        <w:t>Y.</w:t>
      </w:r>
      <w:r w:rsidR="004D421A" w:rsidRPr="001E6DFD">
        <w:rPr>
          <w:b/>
          <w:sz w:val="20"/>
        </w:rPr>
        <w:t> </w:t>
      </w:r>
      <w:r w:rsidRPr="001E6DFD">
        <w:rPr>
          <w:b/>
          <w:sz w:val="20"/>
        </w:rPr>
        <w:t>Takagi</w:t>
      </w:r>
    </w:p>
    <w:p w14:paraId="5C747304" w14:textId="56C7D75E" w:rsidR="00BA5EA9" w:rsidRPr="001E6DFD" w:rsidRDefault="00343FF9" w:rsidP="00A055E7">
      <w:pPr>
        <w:tabs>
          <w:tab w:val="left" w:pos="1985"/>
        </w:tabs>
        <w:jc w:val="center"/>
        <w:rPr>
          <w:b/>
          <w:sz w:val="20"/>
        </w:rPr>
      </w:pPr>
      <w:r w:rsidRPr="00343FF9">
        <w:rPr>
          <w:noProof/>
          <w:lang w:val="en-US"/>
        </w:rPr>
        <w:drawing>
          <wp:inline distT="0" distB="0" distL="0" distR="0" wp14:anchorId="5E2343F3" wp14:editId="0D502CA1">
            <wp:extent cx="3960000" cy="2734721"/>
            <wp:effectExtent l="0" t="0" r="254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46" w:type="pct"/>
        <w:tblCellMar>
          <w:top w:w="57" w:type="dxa"/>
          <w:bottom w:w="57" w:type="dxa"/>
        </w:tblCellMar>
        <w:tblLook w:val="0000" w:firstRow="0" w:lastRow="0" w:firstColumn="0" w:lastColumn="0" w:noHBand="0" w:noVBand="0"/>
      </w:tblPr>
      <w:tblGrid>
        <w:gridCol w:w="2108"/>
        <w:gridCol w:w="2309"/>
        <w:gridCol w:w="1432"/>
        <w:gridCol w:w="2286"/>
        <w:gridCol w:w="1055"/>
        <w:gridCol w:w="82"/>
      </w:tblGrid>
      <w:tr w:rsidR="00BA5EA9" w:rsidRPr="001E6DFD" w14:paraId="4F62E2C6" w14:textId="77777777" w:rsidTr="00644A97">
        <w:trPr>
          <w:gridAfter w:val="1"/>
          <w:wAfter w:w="44" w:type="pct"/>
        </w:trPr>
        <w:tc>
          <w:tcPr>
            <w:tcW w:w="4956" w:type="pct"/>
            <w:gridSpan w:val="5"/>
            <w:shd w:val="clear" w:color="auto" w:fill="C6D9F1" w:themeFill="text2" w:themeFillTint="33"/>
            <w:tcMar>
              <w:left w:w="58" w:type="dxa"/>
              <w:right w:w="58" w:type="dxa"/>
            </w:tcMar>
            <w:vAlign w:val="center"/>
          </w:tcPr>
          <w:p w14:paraId="7A6D5500" w14:textId="37A70CDC" w:rsidR="00BA5EA9" w:rsidRPr="001E6DFD" w:rsidRDefault="00DF2F12"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IV.2 Amélioration de l</w:t>
            </w:r>
            <w:r w:rsidR="00FA22F6" w:rsidRPr="001E6DFD">
              <w:rPr>
                <w:bCs/>
                <w:sz w:val="16"/>
                <w:szCs w:val="16"/>
              </w:rPr>
              <w:t>’</w:t>
            </w:r>
            <w:r w:rsidRPr="001E6DFD">
              <w:rPr>
                <w:bCs/>
                <w:sz w:val="16"/>
                <w:szCs w:val="16"/>
              </w:rPr>
              <w:t>accessibilité et de l</w:t>
            </w:r>
            <w:r w:rsidR="00FA22F6" w:rsidRPr="001E6DFD">
              <w:rPr>
                <w:bCs/>
                <w:sz w:val="16"/>
                <w:szCs w:val="16"/>
              </w:rPr>
              <w:t>’</w:t>
            </w:r>
            <w:r w:rsidRPr="001E6DFD">
              <w:rPr>
                <w:bCs/>
                <w:sz w:val="16"/>
                <w:szCs w:val="16"/>
              </w:rPr>
              <w:t>utilisation de l</w:t>
            </w:r>
            <w:r w:rsidR="00FA22F6" w:rsidRPr="001E6DFD">
              <w:rPr>
                <w:bCs/>
                <w:sz w:val="16"/>
                <w:szCs w:val="16"/>
              </w:rPr>
              <w:t>’</w:t>
            </w:r>
            <w:r w:rsidRPr="001E6DFD">
              <w:rPr>
                <w:bCs/>
                <w:sz w:val="16"/>
                <w:szCs w:val="16"/>
              </w:rPr>
              <w:t>information en matière de propriété intellectuelle par les institutions compétentes et le public afin de promouvoir l</w:t>
            </w:r>
            <w:r w:rsidR="00FA22F6" w:rsidRPr="001E6DFD">
              <w:rPr>
                <w:bCs/>
                <w:sz w:val="16"/>
                <w:szCs w:val="16"/>
              </w:rPr>
              <w:t>’</w:t>
            </w:r>
            <w:r w:rsidRPr="001E6DFD">
              <w:rPr>
                <w:bCs/>
                <w:sz w:val="16"/>
                <w:szCs w:val="16"/>
              </w:rPr>
              <w:t>innovation et la créativité</w:t>
            </w:r>
          </w:p>
        </w:tc>
      </w:tr>
      <w:tr w:rsidR="00BA5EA9" w:rsidRPr="001E6DFD" w14:paraId="4C2D0991" w14:textId="77777777" w:rsidTr="00644A97">
        <w:trPr>
          <w:gridAfter w:val="1"/>
          <w:wAfter w:w="44" w:type="pct"/>
        </w:trPr>
        <w:tc>
          <w:tcPr>
            <w:tcW w:w="1137" w:type="pct"/>
            <w:shd w:val="clear" w:color="auto" w:fill="auto"/>
            <w:tcMar>
              <w:left w:w="58" w:type="dxa"/>
              <w:right w:w="58" w:type="dxa"/>
            </w:tcMar>
            <w:vAlign w:val="center"/>
          </w:tcPr>
          <w:p w14:paraId="1FA2B6D9" w14:textId="3F24A2AE" w:rsidR="00BA5EA9" w:rsidRPr="001E6DFD" w:rsidRDefault="00DF2F12"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245" w:type="pct"/>
            <w:shd w:val="clear" w:color="auto" w:fill="auto"/>
            <w:tcMar>
              <w:left w:w="58" w:type="dxa"/>
              <w:right w:w="58" w:type="dxa"/>
            </w:tcMar>
            <w:vAlign w:val="center"/>
          </w:tcPr>
          <w:p w14:paraId="404D7268" w14:textId="77777777" w:rsidR="00BA5EA9" w:rsidRPr="001E6DFD" w:rsidRDefault="00DF2F12" w:rsidP="0097226C">
            <w:pPr>
              <w:jc w:val="center"/>
              <w:rPr>
                <w:b/>
                <w:bCs/>
                <w:sz w:val="16"/>
                <w:szCs w:val="16"/>
              </w:rPr>
            </w:pPr>
            <w:r w:rsidRPr="001E6DFD">
              <w:rPr>
                <w:b/>
                <w:bCs/>
                <w:sz w:val="16"/>
                <w:szCs w:val="16"/>
              </w:rPr>
              <w:t>Niveaux de référence</w:t>
            </w:r>
          </w:p>
        </w:tc>
        <w:tc>
          <w:tcPr>
            <w:tcW w:w="772" w:type="pct"/>
            <w:shd w:val="clear" w:color="auto" w:fill="auto"/>
            <w:tcMar>
              <w:top w:w="110" w:type="dxa"/>
              <w:left w:w="58" w:type="dxa"/>
              <w:right w:w="58" w:type="dxa"/>
            </w:tcMar>
            <w:vAlign w:val="center"/>
          </w:tcPr>
          <w:p w14:paraId="762AD5DF" w14:textId="77777777" w:rsidR="00BA5EA9" w:rsidRPr="001E6DFD" w:rsidRDefault="00DF2F12" w:rsidP="0097226C">
            <w:pPr>
              <w:tabs>
                <w:tab w:val="left" w:pos="290"/>
              </w:tabs>
              <w:jc w:val="center"/>
              <w:rPr>
                <w:b/>
                <w:bCs/>
                <w:sz w:val="16"/>
                <w:szCs w:val="16"/>
              </w:rPr>
            </w:pPr>
            <w:r w:rsidRPr="001E6DFD">
              <w:rPr>
                <w:b/>
                <w:bCs/>
                <w:sz w:val="16"/>
                <w:szCs w:val="16"/>
              </w:rPr>
              <w:t>Objectifs visés</w:t>
            </w:r>
          </w:p>
        </w:tc>
        <w:tc>
          <w:tcPr>
            <w:tcW w:w="1233" w:type="pct"/>
            <w:shd w:val="clear" w:color="auto" w:fill="FFFFFF"/>
            <w:tcMar>
              <w:top w:w="110" w:type="dxa"/>
              <w:left w:w="58" w:type="dxa"/>
              <w:right w:w="58" w:type="dxa"/>
            </w:tcMar>
            <w:vAlign w:val="center"/>
          </w:tcPr>
          <w:p w14:paraId="645BC0E6" w14:textId="3C08F78B" w:rsidR="00BA5EA9" w:rsidRPr="001E6DFD" w:rsidRDefault="00DF2F12"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69" w:type="pct"/>
            <w:shd w:val="clear" w:color="auto" w:fill="auto"/>
            <w:tcMar>
              <w:top w:w="110" w:type="dxa"/>
              <w:left w:w="58" w:type="dxa"/>
              <w:right w:w="58" w:type="dxa"/>
            </w:tcMar>
            <w:vAlign w:val="center"/>
          </w:tcPr>
          <w:p w14:paraId="2F041F2F" w14:textId="7F2A69F2"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6C74652F" w14:textId="77777777" w:rsidTr="00644A97">
        <w:trPr>
          <w:gridAfter w:val="1"/>
          <w:wAfter w:w="44" w:type="pct"/>
        </w:trPr>
        <w:tc>
          <w:tcPr>
            <w:tcW w:w="1137" w:type="pct"/>
            <w:shd w:val="clear" w:color="auto" w:fill="auto"/>
            <w:tcMar>
              <w:left w:w="58" w:type="dxa"/>
              <w:right w:w="58" w:type="dxa"/>
            </w:tcMar>
          </w:tcPr>
          <w:p w14:paraId="15EABBF3" w14:textId="6153A31D" w:rsidR="00FA22F6" w:rsidRPr="001E6DFD" w:rsidRDefault="001D1EDF" w:rsidP="0097226C">
            <w:pPr>
              <w:rPr>
                <w:sz w:val="16"/>
                <w:szCs w:val="16"/>
              </w:rPr>
            </w:pPr>
            <w:r w:rsidRPr="001E6DFD">
              <w:rPr>
                <w:sz w:val="16"/>
                <w:szCs w:val="16"/>
              </w:rPr>
              <w:t>Nombre de réseaux nationaux de centres d</w:t>
            </w:r>
            <w:r w:rsidR="00FA22F6" w:rsidRPr="001E6DFD">
              <w:rPr>
                <w:sz w:val="16"/>
                <w:szCs w:val="16"/>
              </w:rPr>
              <w:t>’</w:t>
            </w:r>
            <w:r w:rsidRPr="001E6DFD">
              <w:rPr>
                <w:sz w:val="16"/>
                <w:szCs w:val="16"/>
              </w:rPr>
              <w:t>appui à la technologie et à l</w:t>
            </w:r>
            <w:r w:rsidR="00FA22F6" w:rsidRPr="001E6DFD">
              <w:rPr>
                <w:sz w:val="16"/>
                <w:szCs w:val="16"/>
              </w:rPr>
              <w:t>’</w:t>
            </w:r>
            <w:r w:rsidRPr="001E6DFD">
              <w:rPr>
                <w:sz w:val="16"/>
                <w:szCs w:val="16"/>
              </w:rPr>
              <w:t>innovation durables</w:t>
            </w:r>
            <w:r w:rsidRPr="001E6DFD">
              <w:rPr>
                <w:rStyle w:val="FootnoteReference"/>
                <w:rFonts w:cs="Arial"/>
                <w:szCs w:val="16"/>
              </w:rPr>
              <w:footnoteReference w:id="61"/>
            </w:r>
          </w:p>
          <w:p w14:paraId="5FF11FE1" w14:textId="39052860" w:rsidR="00BA5EA9" w:rsidRPr="001E6DFD" w:rsidRDefault="00BA5EA9" w:rsidP="0097226C">
            <w:pPr>
              <w:rPr>
                <w:sz w:val="16"/>
                <w:szCs w:val="16"/>
              </w:rPr>
            </w:pPr>
            <w:r w:rsidRPr="001E6DFD">
              <w:rPr>
                <w:sz w:val="16"/>
                <w:szCs w:val="16"/>
              </w:rPr>
              <w:t>(</w:t>
            </w:r>
            <w:r w:rsidR="00997A38" w:rsidRPr="001E6DFD">
              <w:rPr>
                <w:sz w:val="16"/>
                <w:szCs w:val="16"/>
              </w:rPr>
              <w:t>nombre total</w:t>
            </w:r>
            <w:r w:rsidRPr="001E6DFD">
              <w:rPr>
                <w:sz w:val="16"/>
                <w:szCs w:val="16"/>
              </w:rPr>
              <w:t>)</w:t>
            </w:r>
          </w:p>
        </w:tc>
        <w:tc>
          <w:tcPr>
            <w:tcW w:w="1245" w:type="pct"/>
            <w:shd w:val="clear" w:color="auto" w:fill="auto"/>
            <w:tcMar>
              <w:left w:w="58" w:type="dxa"/>
              <w:right w:w="58" w:type="dxa"/>
            </w:tcMar>
          </w:tcPr>
          <w:p w14:paraId="4060F10D" w14:textId="5BEDE777" w:rsidR="001F64B1" w:rsidRPr="007419D6" w:rsidRDefault="00E64532" w:rsidP="0097226C">
            <w:pPr>
              <w:rPr>
                <w:i/>
                <w:color w:val="002060"/>
                <w:sz w:val="16"/>
                <w:szCs w:val="16"/>
              </w:rPr>
            </w:pPr>
            <w:r w:rsidRPr="007419D6">
              <w:rPr>
                <w:i/>
                <w:color w:val="002060"/>
                <w:sz w:val="16"/>
                <w:szCs w:val="16"/>
              </w:rPr>
              <w:t>Niveau de référence actualisé à fin</w:t>
            </w:r>
            <w:r w:rsidR="00B4191E" w:rsidRPr="007419D6">
              <w:rPr>
                <w:i/>
                <w:color w:val="002060"/>
                <w:sz w:val="16"/>
                <w:szCs w:val="16"/>
              </w:rPr>
              <w:t> </w:t>
            </w:r>
            <w:r w:rsidRPr="007419D6">
              <w:rPr>
                <w:i/>
                <w:color w:val="002060"/>
                <w:sz w:val="16"/>
                <w:szCs w:val="16"/>
              </w:rPr>
              <w:t>2015</w:t>
            </w:r>
            <w:r w:rsidR="00FA22F6" w:rsidRPr="007419D6">
              <w:rPr>
                <w:i/>
                <w:color w:val="002060"/>
                <w:sz w:val="16"/>
                <w:szCs w:val="16"/>
              </w:rPr>
              <w:t> :</w:t>
            </w:r>
          </w:p>
          <w:p w14:paraId="620C524B" w14:textId="22C169CC" w:rsidR="001F64B1" w:rsidRPr="007419D6" w:rsidRDefault="00997A38" w:rsidP="0097226C">
            <w:pPr>
              <w:rPr>
                <w:color w:val="002060"/>
                <w:sz w:val="16"/>
                <w:szCs w:val="16"/>
              </w:rPr>
            </w:pPr>
            <w:r w:rsidRPr="007419D6">
              <w:rPr>
                <w:color w:val="002060"/>
                <w:sz w:val="16"/>
                <w:szCs w:val="16"/>
              </w:rPr>
              <w:t xml:space="preserve">24 réseaux nationaux durables sur 50 officiellement </w:t>
            </w:r>
            <w:r w:rsidR="0034102B" w:rsidRPr="007419D6">
              <w:rPr>
                <w:color w:val="002060"/>
                <w:sz w:val="16"/>
                <w:szCs w:val="16"/>
              </w:rPr>
              <w:t>mis en place</w:t>
            </w:r>
          </w:p>
          <w:p w14:paraId="0DBDE788" w14:textId="77777777" w:rsidR="001F64B1" w:rsidRPr="007419D6" w:rsidRDefault="001F64B1" w:rsidP="0097226C">
            <w:pPr>
              <w:rPr>
                <w:color w:val="002060"/>
                <w:sz w:val="12"/>
                <w:szCs w:val="16"/>
              </w:rPr>
            </w:pPr>
          </w:p>
          <w:p w14:paraId="49680F8B" w14:textId="300E18FC" w:rsidR="001F64B1" w:rsidRPr="007419D6" w:rsidRDefault="001D1EDF" w:rsidP="0097226C">
            <w:pPr>
              <w:rPr>
                <w:color w:val="002060"/>
                <w:sz w:val="16"/>
                <w:szCs w:val="16"/>
              </w:rPr>
            </w:pPr>
            <w:r w:rsidRPr="007419D6">
              <w:rPr>
                <w:color w:val="002060"/>
                <w:sz w:val="16"/>
                <w:szCs w:val="16"/>
              </w:rPr>
              <w:t>Développement niveau</w:t>
            </w:r>
            <w:r w:rsidR="00B4191E" w:rsidRPr="007419D6">
              <w:rPr>
                <w:color w:val="002060"/>
                <w:sz w:val="16"/>
                <w:szCs w:val="16"/>
              </w:rPr>
              <w:t> </w:t>
            </w:r>
            <w:r w:rsidRPr="007419D6">
              <w:rPr>
                <w:color w:val="002060"/>
                <w:sz w:val="16"/>
                <w:szCs w:val="16"/>
              </w:rPr>
              <w:t>1</w:t>
            </w:r>
            <w:r w:rsidR="00FA22F6" w:rsidRPr="007419D6">
              <w:rPr>
                <w:color w:val="002060"/>
                <w:sz w:val="16"/>
                <w:szCs w:val="16"/>
              </w:rPr>
              <w:t> :</w:t>
            </w:r>
          </w:p>
          <w:p w14:paraId="382917BF" w14:textId="49C3163A" w:rsidR="001F64B1" w:rsidRPr="007419D6" w:rsidRDefault="007703CF" w:rsidP="0097226C">
            <w:pPr>
              <w:rPr>
                <w:color w:val="002060"/>
                <w:sz w:val="16"/>
                <w:szCs w:val="16"/>
              </w:rPr>
            </w:pPr>
            <w:r w:rsidRPr="007419D6">
              <w:rPr>
                <w:color w:val="002060"/>
                <w:sz w:val="16"/>
                <w:szCs w:val="16"/>
              </w:rPr>
              <w:t>Afrique</w:t>
            </w:r>
            <w:r w:rsidR="00FA22F6" w:rsidRPr="007419D6">
              <w:rPr>
                <w:color w:val="002060"/>
                <w:sz w:val="16"/>
                <w:szCs w:val="16"/>
              </w:rPr>
              <w:t> :</w:t>
            </w:r>
            <w:r w:rsidR="00BA5EA9" w:rsidRPr="007419D6">
              <w:rPr>
                <w:color w:val="002060"/>
                <w:sz w:val="16"/>
                <w:szCs w:val="16"/>
              </w:rPr>
              <w:t xml:space="preserve"> (</w:t>
            </w:r>
            <w:r w:rsidRPr="007419D6">
              <w:rPr>
                <w:color w:val="002060"/>
                <w:sz w:val="16"/>
                <w:szCs w:val="16"/>
              </w:rPr>
              <w:t>8, dont 7 PMA</w:t>
            </w:r>
            <w:r w:rsidR="00BA5EA9" w:rsidRPr="007419D6">
              <w:rPr>
                <w:color w:val="002060"/>
                <w:sz w:val="16"/>
                <w:szCs w:val="16"/>
              </w:rPr>
              <w:t>)</w:t>
            </w:r>
          </w:p>
          <w:p w14:paraId="1B80C278" w14:textId="7EC9B13F" w:rsidR="001F64B1" w:rsidRPr="007419D6" w:rsidRDefault="001D1EDF" w:rsidP="0097226C">
            <w:pPr>
              <w:rPr>
                <w:color w:val="002060"/>
                <w:sz w:val="16"/>
                <w:szCs w:val="16"/>
              </w:rPr>
            </w:pPr>
            <w:r w:rsidRPr="007419D6">
              <w:rPr>
                <w:color w:val="002060"/>
                <w:sz w:val="16"/>
                <w:szCs w:val="16"/>
              </w:rPr>
              <w:t>Pays arabes</w:t>
            </w:r>
            <w:r w:rsidR="00FA22F6" w:rsidRPr="007419D6">
              <w:rPr>
                <w:color w:val="002060"/>
                <w:sz w:val="16"/>
                <w:szCs w:val="16"/>
              </w:rPr>
              <w:t> :</w:t>
            </w:r>
            <w:r w:rsidRPr="007419D6">
              <w:rPr>
                <w:color w:val="002060"/>
                <w:sz w:val="16"/>
                <w:szCs w:val="16"/>
              </w:rPr>
              <w:t xml:space="preserve"> (1)</w:t>
            </w:r>
          </w:p>
          <w:p w14:paraId="35B14565" w14:textId="48799BF3" w:rsidR="001F64B1" w:rsidRPr="007419D6" w:rsidRDefault="001D1EDF" w:rsidP="0097226C">
            <w:pPr>
              <w:rPr>
                <w:color w:val="002060"/>
                <w:sz w:val="16"/>
                <w:szCs w:val="16"/>
              </w:rPr>
            </w:pPr>
            <w:r w:rsidRPr="007419D6">
              <w:rPr>
                <w:color w:val="002060"/>
                <w:sz w:val="16"/>
                <w:szCs w:val="16"/>
              </w:rPr>
              <w:t>Asie et Pacifique</w:t>
            </w:r>
            <w:r w:rsidR="00FA22F6" w:rsidRPr="007419D6">
              <w:rPr>
                <w:color w:val="002060"/>
                <w:sz w:val="16"/>
                <w:szCs w:val="16"/>
              </w:rPr>
              <w:t> :</w:t>
            </w:r>
            <w:r w:rsidRPr="007419D6">
              <w:rPr>
                <w:color w:val="002060"/>
                <w:sz w:val="16"/>
                <w:szCs w:val="16"/>
              </w:rPr>
              <w:t xml:space="preserve"> (3)</w:t>
            </w:r>
          </w:p>
          <w:p w14:paraId="6CBFF853" w14:textId="1FF017F6" w:rsidR="001F64B1" w:rsidRPr="007419D6" w:rsidRDefault="00CB2CCA" w:rsidP="0097226C">
            <w:pPr>
              <w:rPr>
                <w:color w:val="002060"/>
                <w:sz w:val="16"/>
                <w:szCs w:val="16"/>
              </w:rPr>
            </w:pPr>
            <w:r w:rsidRPr="007419D6">
              <w:rPr>
                <w:color w:val="002060"/>
                <w:sz w:val="16"/>
                <w:szCs w:val="16"/>
              </w:rPr>
              <w:t>Amérique latine et Caraïbes</w:t>
            </w:r>
            <w:r w:rsidR="00FA22F6" w:rsidRPr="007419D6">
              <w:rPr>
                <w:color w:val="002060"/>
                <w:sz w:val="16"/>
                <w:szCs w:val="16"/>
              </w:rPr>
              <w:t> :</w:t>
            </w:r>
            <w:r w:rsidRPr="007419D6">
              <w:rPr>
                <w:color w:val="002060"/>
                <w:sz w:val="16"/>
                <w:szCs w:val="16"/>
              </w:rPr>
              <w:t xml:space="preserve"> (5)</w:t>
            </w:r>
          </w:p>
          <w:p w14:paraId="1BA670AE" w14:textId="77777777" w:rsidR="001F64B1" w:rsidRPr="007419D6" w:rsidRDefault="00CB2CCA" w:rsidP="0097226C">
            <w:pPr>
              <w:rPr>
                <w:color w:val="002060"/>
                <w:sz w:val="16"/>
                <w:szCs w:val="16"/>
              </w:rPr>
            </w:pPr>
            <w:r w:rsidRPr="007419D6">
              <w:rPr>
                <w:color w:val="002060"/>
                <w:sz w:val="16"/>
                <w:szCs w:val="16"/>
              </w:rPr>
              <w:t>(17 au total)</w:t>
            </w:r>
          </w:p>
          <w:p w14:paraId="5B3D85AC" w14:textId="77777777" w:rsidR="001F64B1" w:rsidRPr="007419D6" w:rsidRDefault="001F64B1" w:rsidP="0097226C">
            <w:pPr>
              <w:rPr>
                <w:color w:val="002060"/>
                <w:sz w:val="12"/>
                <w:szCs w:val="16"/>
              </w:rPr>
            </w:pPr>
          </w:p>
          <w:p w14:paraId="623DF5BE" w14:textId="08EC1BC8" w:rsidR="001F64B1" w:rsidRPr="007419D6" w:rsidRDefault="00CB2CCA" w:rsidP="0097226C">
            <w:pPr>
              <w:rPr>
                <w:color w:val="002060"/>
                <w:sz w:val="16"/>
                <w:szCs w:val="16"/>
              </w:rPr>
            </w:pPr>
            <w:r w:rsidRPr="007419D6">
              <w:rPr>
                <w:color w:val="002060"/>
                <w:sz w:val="16"/>
                <w:szCs w:val="16"/>
              </w:rPr>
              <w:t>Développement niveau</w:t>
            </w:r>
            <w:r w:rsidR="00B4191E" w:rsidRPr="007419D6">
              <w:rPr>
                <w:color w:val="002060"/>
                <w:sz w:val="16"/>
                <w:szCs w:val="16"/>
              </w:rPr>
              <w:t> </w:t>
            </w:r>
            <w:r w:rsidRPr="007419D6">
              <w:rPr>
                <w:color w:val="002060"/>
                <w:sz w:val="16"/>
                <w:szCs w:val="16"/>
              </w:rPr>
              <w:t>2</w:t>
            </w:r>
            <w:r w:rsidR="00FA22F6" w:rsidRPr="007419D6">
              <w:rPr>
                <w:color w:val="002060"/>
                <w:sz w:val="16"/>
                <w:szCs w:val="16"/>
              </w:rPr>
              <w:t> :</w:t>
            </w:r>
          </w:p>
          <w:p w14:paraId="7E096731" w14:textId="354BB743" w:rsidR="001F64B1" w:rsidRPr="007419D6" w:rsidRDefault="007703CF" w:rsidP="0097226C">
            <w:pPr>
              <w:rPr>
                <w:color w:val="002060"/>
                <w:sz w:val="16"/>
                <w:szCs w:val="16"/>
              </w:rPr>
            </w:pPr>
            <w:r w:rsidRPr="007419D6">
              <w:rPr>
                <w:color w:val="002060"/>
                <w:sz w:val="16"/>
                <w:szCs w:val="16"/>
              </w:rPr>
              <w:t>Afrique</w:t>
            </w:r>
            <w:r w:rsidR="00FA22F6" w:rsidRPr="007419D6">
              <w:rPr>
                <w:color w:val="002060"/>
                <w:sz w:val="16"/>
                <w:szCs w:val="16"/>
              </w:rPr>
              <w:t> :</w:t>
            </w:r>
            <w:r w:rsidRPr="007419D6">
              <w:rPr>
                <w:color w:val="002060"/>
                <w:sz w:val="16"/>
                <w:szCs w:val="16"/>
              </w:rPr>
              <w:t xml:space="preserve"> (2, dont 1 PMA</w:t>
            </w:r>
            <w:r w:rsidR="00BA5EA9" w:rsidRPr="007419D6">
              <w:rPr>
                <w:color w:val="002060"/>
                <w:sz w:val="16"/>
                <w:szCs w:val="16"/>
              </w:rPr>
              <w:t>)</w:t>
            </w:r>
          </w:p>
          <w:p w14:paraId="49C8B597" w14:textId="1F79BD02" w:rsidR="001F64B1" w:rsidRPr="007419D6" w:rsidRDefault="00CB2CCA" w:rsidP="0097226C">
            <w:pPr>
              <w:rPr>
                <w:color w:val="002060"/>
                <w:sz w:val="16"/>
                <w:szCs w:val="16"/>
              </w:rPr>
            </w:pPr>
            <w:r w:rsidRPr="007419D6">
              <w:rPr>
                <w:color w:val="002060"/>
                <w:sz w:val="16"/>
                <w:szCs w:val="16"/>
              </w:rPr>
              <w:t>Amérique latine et Caraïbes</w:t>
            </w:r>
            <w:r w:rsidR="00FA22F6" w:rsidRPr="007419D6">
              <w:rPr>
                <w:color w:val="002060"/>
                <w:sz w:val="16"/>
                <w:szCs w:val="16"/>
              </w:rPr>
              <w:t> :</w:t>
            </w:r>
            <w:r w:rsidRPr="007419D6">
              <w:rPr>
                <w:color w:val="002060"/>
                <w:sz w:val="16"/>
                <w:szCs w:val="16"/>
              </w:rPr>
              <w:t xml:space="preserve"> (2)</w:t>
            </w:r>
          </w:p>
          <w:p w14:paraId="33EB462F" w14:textId="77777777" w:rsidR="001F64B1" w:rsidRPr="007419D6" w:rsidRDefault="00CB2CCA" w:rsidP="0097226C">
            <w:pPr>
              <w:rPr>
                <w:color w:val="002060"/>
                <w:sz w:val="16"/>
                <w:szCs w:val="16"/>
              </w:rPr>
            </w:pPr>
            <w:r w:rsidRPr="007419D6">
              <w:rPr>
                <w:color w:val="002060"/>
                <w:sz w:val="16"/>
                <w:szCs w:val="16"/>
              </w:rPr>
              <w:t>(4 au total)</w:t>
            </w:r>
          </w:p>
          <w:p w14:paraId="63F05B3A" w14:textId="77777777" w:rsidR="001F64B1" w:rsidRPr="007419D6" w:rsidRDefault="001F64B1" w:rsidP="0097226C">
            <w:pPr>
              <w:rPr>
                <w:color w:val="002060"/>
                <w:sz w:val="12"/>
                <w:szCs w:val="16"/>
              </w:rPr>
            </w:pPr>
          </w:p>
          <w:p w14:paraId="16E8BE54" w14:textId="44C3E086" w:rsidR="001F64B1" w:rsidRPr="001E6DFD" w:rsidRDefault="00CB2CCA" w:rsidP="0097226C">
            <w:pPr>
              <w:rPr>
                <w:sz w:val="16"/>
                <w:szCs w:val="16"/>
              </w:rPr>
            </w:pPr>
            <w:r w:rsidRPr="007419D6">
              <w:rPr>
                <w:color w:val="002060"/>
                <w:sz w:val="16"/>
                <w:szCs w:val="16"/>
              </w:rPr>
              <w:t>Développement niveau</w:t>
            </w:r>
            <w:r w:rsidR="00B4191E" w:rsidRPr="007419D6">
              <w:rPr>
                <w:color w:val="002060"/>
                <w:sz w:val="16"/>
                <w:szCs w:val="16"/>
              </w:rPr>
              <w:t> </w:t>
            </w:r>
            <w:r w:rsidR="00BA5EA9" w:rsidRPr="007419D6">
              <w:rPr>
                <w:color w:val="002060"/>
                <w:sz w:val="16"/>
                <w:szCs w:val="16"/>
              </w:rPr>
              <w:t xml:space="preserve">3, </w:t>
            </w:r>
            <w:r w:rsidR="00FA22F6" w:rsidRPr="007419D6">
              <w:rPr>
                <w:color w:val="002060"/>
                <w:sz w:val="16"/>
                <w:szCs w:val="16"/>
              </w:rPr>
              <w:t>y compris</w:t>
            </w:r>
            <w:r w:rsidRPr="007419D6">
              <w:rPr>
                <w:color w:val="002060"/>
                <w:sz w:val="16"/>
                <w:szCs w:val="16"/>
              </w:rPr>
              <w:t xml:space="preserve"> prestation de services à valeur ajoutée</w:t>
            </w:r>
            <w:r w:rsidR="00BA5EA9" w:rsidRPr="007419D6">
              <w:rPr>
                <w:rStyle w:val="FootnoteReference"/>
                <w:rFonts w:cs="Arial"/>
                <w:color w:val="002060"/>
                <w:szCs w:val="16"/>
              </w:rPr>
              <w:footnoteReference w:id="62"/>
            </w:r>
            <w:r w:rsidR="00FA22F6" w:rsidRPr="007419D6">
              <w:rPr>
                <w:color w:val="002060"/>
                <w:sz w:val="16"/>
                <w:szCs w:val="16"/>
              </w:rPr>
              <w:t> :</w:t>
            </w:r>
            <w:r w:rsidRPr="007419D6">
              <w:rPr>
                <w:color w:val="002060"/>
                <w:sz w:val="16"/>
                <w:szCs w:val="16"/>
              </w:rPr>
              <w:t xml:space="preserve"> pays arabes</w:t>
            </w:r>
            <w:r w:rsidR="00FA22F6" w:rsidRPr="007419D6">
              <w:rPr>
                <w:color w:val="002060"/>
                <w:sz w:val="16"/>
                <w:szCs w:val="16"/>
              </w:rPr>
              <w:t> :</w:t>
            </w:r>
            <w:r w:rsidRPr="007419D6">
              <w:rPr>
                <w:color w:val="002060"/>
                <w:sz w:val="16"/>
                <w:szCs w:val="16"/>
              </w:rPr>
              <w:t xml:space="preserve"> (1); </w:t>
            </w:r>
            <w:r w:rsidR="007703CF" w:rsidRPr="007419D6">
              <w:rPr>
                <w:color w:val="002060"/>
                <w:sz w:val="16"/>
                <w:szCs w:val="16"/>
              </w:rPr>
              <w:t xml:space="preserve"> </w:t>
            </w:r>
            <w:r w:rsidRPr="007419D6">
              <w:rPr>
                <w:color w:val="002060"/>
                <w:sz w:val="16"/>
                <w:szCs w:val="16"/>
              </w:rPr>
              <w:t>Asie et Pacifique</w:t>
            </w:r>
            <w:r w:rsidR="00FA22F6" w:rsidRPr="007419D6">
              <w:rPr>
                <w:color w:val="002060"/>
                <w:sz w:val="16"/>
                <w:szCs w:val="16"/>
              </w:rPr>
              <w:t> :</w:t>
            </w:r>
            <w:r w:rsidRPr="007419D6">
              <w:rPr>
                <w:color w:val="002060"/>
                <w:sz w:val="16"/>
                <w:szCs w:val="16"/>
              </w:rPr>
              <w:t xml:space="preserve"> (1); </w:t>
            </w:r>
            <w:r w:rsidR="007703CF" w:rsidRPr="007419D6">
              <w:rPr>
                <w:color w:val="002060"/>
                <w:sz w:val="16"/>
                <w:szCs w:val="16"/>
              </w:rPr>
              <w:t xml:space="preserve"> </w:t>
            </w:r>
            <w:r w:rsidRPr="007419D6">
              <w:rPr>
                <w:color w:val="002060"/>
                <w:sz w:val="16"/>
                <w:szCs w:val="16"/>
              </w:rPr>
              <w:t>pays en transition</w:t>
            </w:r>
            <w:r w:rsidR="00FA22F6" w:rsidRPr="007419D6">
              <w:rPr>
                <w:color w:val="002060"/>
                <w:sz w:val="16"/>
                <w:szCs w:val="16"/>
              </w:rPr>
              <w:t> :</w:t>
            </w:r>
            <w:r w:rsidR="00BA5EA9" w:rsidRPr="007419D6">
              <w:rPr>
                <w:color w:val="002060"/>
                <w:sz w:val="16"/>
                <w:szCs w:val="16"/>
              </w:rPr>
              <w:t xml:space="preserve"> (1)</w:t>
            </w:r>
          </w:p>
          <w:p w14:paraId="79DA5276" w14:textId="77777777" w:rsidR="001F64B1" w:rsidRPr="007419D6" w:rsidRDefault="00CB2CCA" w:rsidP="0097226C">
            <w:pPr>
              <w:rPr>
                <w:color w:val="002060"/>
                <w:sz w:val="16"/>
                <w:szCs w:val="16"/>
              </w:rPr>
            </w:pPr>
            <w:r w:rsidRPr="007419D6">
              <w:rPr>
                <w:color w:val="002060"/>
                <w:sz w:val="16"/>
                <w:szCs w:val="16"/>
              </w:rPr>
              <w:lastRenderedPageBreak/>
              <w:t>(3 au total)</w:t>
            </w:r>
          </w:p>
          <w:p w14:paraId="0AE187C6" w14:textId="77777777" w:rsidR="001F64B1" w:rsidRPr="001E6DFD" w:rsidRDefault="001F64B1" w:rsidP="0097226C">
            <w:pPr>
              <w:rPr>
                <w:sz w:val="16"/>
                <w:szCs w:val="16"/>
              </w:rPr>
            </w:pPr>
          </w:p>
          <w:p w14:paraId="4F684CAA" w14:textId="258AE69A"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980FC23" w14:textId="479E6720" w:rsidR="00BA5EA9" w:rsidRPr="001E6DFD" w:rsidRDefault="00CB2CCA" w:rsidP="0097226C">
            <w:pPr>
              <w:rPr>
                <w:sz w:val="16"/>
                <w:szCs w:val="16"/>
              </w:rPr>
            </w:pPr>
            <w:r w:rsidRPr="001E6DFD">
              <w:rPr>
                <w:sz w:val="16"/>
                <w:szCs w:val="16"/>
              </w:rPr>
              <w:t>20 réseaux nationaux durables de CATI sur les 45</w:t>
            </w:r>
            <w:r w:rsidR="00B4191E">
              <w:rPr>
                <w:sz w:val="16"/>
                <w:szCs w:val="16"/>
              </w:rPr>
              <w:t> </w:t>
            </w:r>
            <w:r w:rsidRPr="001E6DFD">
              <w:rPr>
                <w:sz w:val="16"/>
                <w:szCs w:val="16"/>
              </w:rPr>
              <w:t>établis (données cumulées)</w:t>
            </w:r>
            <w:r w:rsidR="00FA22F6" w:rsidRPr="001E6DFD">
              <w:rPr>
                <w:sz w:val="16"/>
                <w:szCs w:val="16"/>
              </w:rPr>
              <w:t> :</w:t>
            </w:r>
            <w:r w:rsidRPr="001E6DFD">
              <w:rPr>
                <w:sz w:val="16"/>
                <w:szCs w:val="16"/>
              </w:rPr>
              <w:t xml:space="preserve"> pays africains (9, dont 6</w:t>
            </w:r>
            <w:r w:rsidR="00B4191E">
              <w:rPr>
                <w:sz w:val="16"/>
                <w:szCs w:val="16"/>
              </w:rPr>
              <w:t> </w:t>
            </w:r>
            <w:r w:rsidRPr="001E6DFD">
              <w:rPr>
                <w:sz w:val="16"/>
                <w:szCs w:val="16"/>
              </w:rPr>
              <w:t>PMA);  pays arabes (2);  Asie et Pacifique (3, dont 1</w:t>
            </w:r>
            <w:r w:rsidR="00B4191E">
              <w:rPr>
                <w:sz w:val="16"/>
                <w:szCs w:val="16"/>
              </w:rPr>
              <w:t> </w:t>
            </w:r>
            <w:r w:rsidRPr="001E6DFD">
              <w:rPr>
                <w:sz w:val="16"/>
                <w:szCs w:val="16"/>
              </w:rPr>
              <w:t>PMA);  pays d</w:t>
            </w:r>
            <w:r w:rsidR="00FA22F6" w:rsidRPr="001E6DFD">
              <w:rPr>
                <w:sz w:val="16"/>
                <w:szCs w:val="16"/>
              </w:rPr>
              <w:t>’</w:t>
            </w:r>
            <w:r w:rsidRPr="001E6DFD">
              <w:rPr>
                <w:sz w:val="16"/>
                <w:szCs w:val="16"/>
              </w:rPr>
              <w:t>Amérique latine et des Caraïbes (5);  certains pays d</w:t>
            </w:r>
            <w:r w:rsidR="00FA22F6" w:rsidRPr="001E6DFD">
              <w:rPr>
                <w:sz w:val="16"/>
                <w:szCs w:val="16"/>
              </w:rPr>
              <w:t>’</w:t>
            </w:r>
            <w:r w:rsidRPr="001E6DFD">
              <w:rPr>
                <w:sz w:val="16"/>
                <w:szCs w:val="16"/>
              </w:rPr>
              <w:t>Europe et d</w:t>
            </w:r>
            <w:r w:rsidR="00FA22F6" w:rsidRPr="001E6DFD">
              <w:rPr>
                <w:sz w:val="16"/>
                <w:szCs w:val="16"/>
              </w:rPr>
              <w:t>’</w:t>
            </w:r>
            <w:r w:rsidRPr="001E6DFD">
              <w:rPr>
                <w:sz w:val="16"/>
                <w:szCs w:val="16"/>
              </w:rPr>
              <w:t>Asie (1)</w:t>
            </w:r>
          </w:p>
        </w:tc>
        <w:tc>
          <w:tcPr>
            <w:tcW w:w="772" w:type="pct"/>
            <w:shd w:val="clear" w:color="auto" w:fill="auto"/>
            <w:tcMar>
              <w:top w:w="110" w:type="dxa"/>
              <w:left w:w="58" w:type="dxa"/>
              <w:right w:w="58" w:type="dxa"/>
            </w:tcMar>
          </w:tcPr>
          <w:p w14:paraId="4FBEB659" w14:textId="0AA1F49A" w:rsidR="00FA22F6" w:rsidRPr="007419D6" w:rsidRDefault="00AC7D97" w:rsidP="0097226C">
            <w:pPr>
              <w:rPr>
                <w:i/>
                <w:color w:val="002060"/>
                <w:sz w:val="16"/>
                <w:szCs w:val="16"/>
              </w:rPr>
            </w:pPr>
            <w:r w:rsidRPr="007419D6">
              <w:rPr>
                <w:i/>
                <w:color w:val="002060"/>
                <w:sz w:val="16"/>
                <w:szCs w:val="16"/>
              </w:rPr>
              <w:lastRenderedPageBreak/>
              <w:t>Objectif actualisé</w:t>
            </w:r>
            <w:r w:rsidR="00FA22F6" w:rsidRPr="007419D6">
              <w:rPr>
                <w:i/>
                <w:color w:val="002060"/>
                <w:sz w:val="16"/>
                <w:szCs w:val="16"/>
              </w:rPr>
              <w:t> :</w:t>
            </w:r>
          </w:p>
          <w:p w14:paraId="4E66D484" w14:textId="69392148" w:rsidR="001F64B1" w:rsidRPr="007419D6" w:rsidRDefault="001F64B1" w:rsidP="0097226C">
            <w:pPr>
              <w:rPr>
                <w:color w:val="002060"/>
                <w:sz w:val="16"/>
                <w:szCs w:val="16"/>
              </w:rPr>
            </w:pPr>
          </w:p>
          <w:p w14:paraId="36B4C2FF" w14:textId="76897E4D" w:rsidR="00FA22F6" w:rsidRPr="007419D6" w:rsidRDefault="00CB2CCA" w:rsidP="0097226C">
            <w:pPr>
              <w:rPr>
                <w:color w:val="002060"/>
                <w:sz w:val="16"/>
                <w:szCs w:val="16"/>
              </w:rPr>
            </w:pPr>
            <w:r w:rsidRPr="007419D6">
              <w:rPr>
                <w:color w:val="002060"/>
                <w:sz w:val="16"/>
                <w:szCs w:val="16"/>
              </w:rPr>
              <w:t xml:space="preserve">30 réseaux nationaux de centres </w:t>
            </w:r>
            <w:r w:rsidR="0034102B" w:rsidRPr="007419D6">
              <w:rPr>
                <w:color w:val="002060"/>
                <w:sz w:val="16"/>
                <w:szCs w:val="16"/>
              </w:rPr>
              <w:t>d</w:t>
            </w:r>
            <w:r w:rsidR="00FA22F6" w:rsidRPr="007419D6">
              <w:rPr>
                <w:color w:val="002060"/>
                <w:sz w:val="16"/>
                <w:szCs w:val="16"/>
              </w:rPr>
              <w:t>’</w:t>
            </w:r>
            <w:r w:rsidR="0034102B" w:rsidRPr="007419D6">
              <w:rPr>
                <w:color w:val="002060"/>
                <w:sz w:val="16"/>
                <w:szCs w:val="16"/>
              </w:rPr>
              <w:t>appui à la technologie et à l</w:t>
            </w:r>
            <w:r w:rsidR="00FA22F6" w:rsidRPr="007419D6">
              <w:rPr>
                <w:color w:val="002060"/>
                <w:sz w:val="16"/>
                <w:szCs w:val="16"/>
              </w:rPr>
              <w:t>’</w:t>
            </w:r>
            <w:r w:rsidR="0034102B" w:rsidRPr="007419D6">
              <w:rPr>
                <w:color w:val="002060"/>
                <w:sz w:val="16"/>
                <w:szCs w:val="16"/>
              </w:rPr>
              <w:t xml:space="preserve">innovation </w:t>
            </w:r>
            <w:r w:rsidRPr="007419D6">
              <w:rPr>
                <w:color w:val="002060"/>
                <w:sz w:val="16"/>
                <w:szCs w:val="16"/>
              </w:rPr>
              <w:t>(en tout)</w:t>
            </w:r>
            <w:r w:rsidR="00FA22F6" w:rsidRPr="007419D6">
              <w:rPr>
                <w:color w:val="002060"/>
                <w:sz w:val="16"/>
                <w:szCs w:val="16"/>
              </w:rPr>
              <w:t> :</w:t>
            </w:r>
          </w:p>
          <w:p w14:paraId="7431C2A5" w14:textId="6F51F870" w:rsidR="001F64B1" w:rsidRPr="007419D6" w:rsidRDefault="001F64B1" w:rsidP="0097226C">
            <w:pPr>
              <w:rPr>
                <w:color w:val="002060"/>
                <w:sz w:val="16"/>
                <w:szCs w:val="16"/>
              </w:rPr>
            </w:pPr>
          </w:p>
          <w:p w14:paraId="323E6984" w14:textId="168A9A34" w:rsidR="00FA22F6" w:rsidRPr="007419D6" w:rsidRDefault="00CB2CCA" w:rsidP="0097226C">
            <w:pPr>
              <w:rPr>
                <w:color w:val="002060"/>
                <w:sz w:val="16"/>
                <w:szCs w:val="16"/>
              </w:rPr>
            </w:pPr>
            <w:r w:rsidRPr="007419D6">
              <w:rPr>
                <w:color w:val="002060"/>
                <w:sz w:val="16"/>
                <w:szCs w:val="16"/>
              </w:rPr>
              <w:t>Afrique</w:t>
            </w:r>
            <w:r w:rsidR="00FA22F6" w:rsidRPr="007419D6">
              <w:rPr>
                <w:color w:val="002060"/>
                <w:sz w:val="16"/>
                <w:szCs w:val="16"/>
              </w:rPr>
              <w:t> :</w:t>
            </w:r>
            <w:r w:rsidRPr="007419D6">
              <w:rPr>
                <w:color w:val="002060"/>
                <w:sz w:val="16"/>
                <w:szCs w:val="16"/>
              </w:rPr>
              <w:t xml:space="preserve"> (13, dont 9</w:t>
            </w:r>
            <w:r w:rsidR="00B4191E" w:rsidRPr="007419D6">
              <w:rPr>
                <w:color w:val="002060"/>
                <w:sz w:val="16"/>
                <w:szCs w:val="16"/>
              </w:rPr>
              <w:t> </w:t>
            </w:r>
            <w:r w:rsidRPr="007419D6">
              <w:rPr>
                <w:color w:val="002060"/>
                <w:sz w:val="16"/>
                <w:szCs w:val="16"/>
              </w:rPr>
              <w:t>PMA)</w:t>
            </w:r>
          </w:p>
          <w:p w14:paraId="47E79304" w14:textId="4FA9701A" w:rsidR="001F64B1" w:rsidRPr="007419D6" w:rsidRDefault="001F64B1" w:rsidP="0097226C">
            <w:pPr>
              <w:rPr>
                <w:color w:val="002060"/>
                <w:sz w:val="16"/>
                <w:szCs w:val="16"/>
              </w:rPr>
            </w:pPr>
          </w:p>
          <w:p w14:paraId="2A4BF89C" w14:textId="6EA53A3C" w:rsidR="00FA22F6" w:rsidRPr="007419D6" w:rsidRDefault="00CB2CCA" w:rsidP="0097226C">
            <w:pPr>
              <w:rPr>
                <w:color w:val="002060"/>
                <w:sz w:val="16"/>
                <w:szCs w:val="16"/>
              </w:rPr>
            </w:pPr>
            <w:r w:rsidRPr="007419D6">
              <w:rPr>
                <w:color w:val="002060"/>
                <w:sz w:val="16"/>
                <w:szCs w:val="16"/>
              </w:rPr>
              <w:t>Pays arabes</w:t>
            </w:r>
            <w:r w:rsidR="00FA22F6" w:rsidRPr="007419D6">
              <w:rPr>
                <w:color w:val="002060"/>
                <w:sz w:val="16"/>
                <w:szCs w:val="16"/>
              </w:rPr>
              <w:t> :</w:t>
            </w:r>
            <w:r w:rsidRPr="007419D6">
              <w:rPr>
                <w:color w:val="002060"/>
                <w:sz w:val="16"/>
                <w:szCs w:val="16"/>
              </w:rPr>
              <w:t xml:space="preserve"> (2)</w:t>
            </w:r>
          </w:p>
          <w:p w14:paraId="09014E6E" w14:textId="1F62BF27" w:rsidR="001F64B1" w:rsidRPr="007419D6" w:rsidRDefault="001F64B1" w:rsidP="0097226C">
            <w:pPr>
              <w:rPr>
                <w:color w:val="002060"/>
                <w:sz w:val="16"/>
                <w:szCs w:val="16"/>
              </w:rPr>
            </w:pPr>
          </w:p>
          <w:p w14:paraId="2B52C0E2" w14:textId="6BA296D7" w:rsidR="00FA22F6" w:rsidRPr="007419D6" w:rsidRDefault="00CB2CCA" w:rsidP="0097226C">
            <w:pPr>
              <w:rPr>
                <w:color w:val="002060"/>
                <w:sz w:val="16"/>
                <w:szCs w:val="16"/>
              </w:rPr>
            </w:pPr>
            <w:r w:rsidRPr="007419D6">
              <w:rPr>
                <w:color w:val="002060"/>
                <w:sz w:val="16"/>
                <w:szCs w:val="16"/>
              </w:rPr>
              <w:t>Asie et Pacifique</w:t>
            </w:r>
            <w:r w:rsidR="00FA22F6" w:rsidRPr="007419D6">
              <w:rPr>
                <w:color w:val="002060"/>
                <w:sz w:val="16"/>
                <w:szCs w:val="16"/>
              </w:rPr>
              <w:t> :</w:t>
            </w:r>
            <w:r w:rsidRPr="007419D6">
              <w:rPr>
                <w:color w:val="002060"/>
                <w:sz w:val="16"/>
                <w:szCs w:val="16"/>
              </w:rPr>
              <w:t xml:space="preserve"> (5, dont 2</w:t>
            </w:r>
            <w:r w:rsidR="00B4191E" w:rsidRPr="007419D6">
              <w:rPr>
                <w:color w:val="002060"/>
                <w:sz w:val="16"/>
                <w:szCs w:val="16"/>
              </w:rPr>
              <w:t> </w:t>
            </w:r>
            <w:r w:rsidRPr="007419D6">
              <w:rPr>
                <w:color w:val="002060"/>
                <w:sz w:val="16"/>
                <w:szCs w:val="16"/>
              </w:rPr>
              <w:t>PMA)</w:t>
            </w:r>
          </w:p>
          <w:p w14:paraId="0228E411" w14:textId="3F8D506A" w:rsidR="001F64B1" w:rsidRPr="007419D6" w:rsidRDefault="001F64B1" w:rsidP="0097226C">
            <w:pPr>
              <w:rPr>
                <w:color w:val="002060"/>
                <w:sz w:val="16"/>
                <w:szCs w:val="16"/>
              </w:rPr>
            </w:pPr>
          </w:p>
          <w:p w14:paraId="75C200B1" w14:textId="3445F0C8" w:rsidR="001F64B1" w:rsidRPr="007419D6" w:rsidRDefault="00CB2CCA" w:rsidP="0097226C">
            <w:pPr>
              <w:rPr>
                <w:color w:val="002060"/>
                <w:sz w:val="16"/>
                <w:szCs w:val="16"/>
              </w:rPr>
            </w:pPr>
            <w:r w:rsidRPr="007419D6">
              <w:rPr>
                <w:color w:val="002060"/>
                <w:sz w:val="16"/>
                <w:szCs w:val="16"/>
              </w:rPr>
              <w:t>Amérique latine et Caraïbes</w:t>
            </w:r>
            <w:r w:rsidR="00FA22F6" w:rsidRPr="007419D6">
              <w:rPr>
                <w:color w:val="002060"/>
                <w:sz w:val="16"/>
                <w:szCs w:val="16"/>
              </w:rPr>
              <w:t> :</w:t>
            </w:r>
            <w:r w:rsidRPr="007419D6">
              <w:rPr>
                <w:color w:val="002060"/>
                <w:sz w:val="16"/>
                <w:szCs w:val="16"/>
              </w:rPr>
              <w:t xml:space="preserve"> (9)</w:t>
            </w:r>
          </w:p>
          <w:p w14:paraId="2EA18010" w14:textId="77777777" w:rsidR="001F64B1" w:rsidRPr="007419D6" w:rsidRDefault="001F64B1" w:rsidP="0097226C">
            <w:pPr>
              <w:rPr>
                <w:color w:val="002060"/>
                <w:sz w:val="16"/>
                <w:szCs w:val="16"/>
              </w:rPr>
            </w:pPr>
          </w:p>
          <w:p w14:paraId="04BAB6AA" w14:textId="0F1F3467" w:rsidR="001F64B1" w:rsidRPr="007419D6" w:rsidRDefault="007703CF" w:rsidP="0097226C">
            <w:pPr>
              <w:rPr>
                <w:color w:val="002060"/>
                <w:sz w:val="16"/>
                <w:szCs w:val="16"/>
              </w:rPr>
            </w:pPr>
            <w:r w:rsidRPr="007419D6">
              <w:rPr>
                <w:color w:val="002060"/>
                <w:sz w:val="16"/>
                <w:szCs w:val="16"/>
              </w:rPr>
              <w:t>Pays en transition</w:t>
            </w:r>
            <w:r w:rsidR="00FA22F6" w:rsidRPr="007419D6">
              <w:rPr>
                <w:color w:val="002060"/>
                <w:sz w:val="16"/>
                <w:szCs w:val="16"/>
              </w:rPr>
              <w:t> :</w:t>
            </w:r>
            <w:r w:rsidR="00E94653" w:rsidRPr="007419D6">
              <w:rPr>
                <w:color w:val="002060"/>
                <w:sz w:val="16"/>
                <w:szCs w:val="16"/>
              </w:rPr>
              <w:t xml:space="preserve"> (</w:t>
            </w:r>
            <w:r w:rsidR="00BA5EA9" w:rsidRPr="007419D6">
              <w:rPr>
                <w:color w:val="002060"/>
                <w:sz w:val="16"/>
                <w:szCs w:val="16"/>
              </w:rPr>
              <w:t>1)</w:t>
            </w:r>
          </w:p>
          <w:p w14:paraId="09FE4ADD" w14:textId="77777777" w:rsidR="001F64B1" w:rsidRPr="001E6DFD" w:rsidRDefault="001F64B1" w:rsidP="0097226C">
            <w:pPr>
              <w:rPr>
                <w:i/>
                <w:sz w:val="16"/>
                <w:szCs w:val="16"/>
                <w:lang w:bidi="th-TH"/>
              </w:rPr>
            </w:pPr>
          </w:p>
          <w:p w14:paraId="7B8AAF1D" w14:textId="77777777" w:rsidR="001F64B1" w:rsidRDefault="001F64B1" w:rsidP="0097226C">
            <w:pPr>
              <w:rPr>
                <w:i/>
                <w:sz w:val="16"/>
                <w:szCs w:val="16"/>
                <w:lang w:bidi="th-TH"/>
              </w:rPr>
            </w:pPr>
          </w:p>
          <w:p w14:paraId="2ADB4ECB" w14:textId="77777777" w:rsidR="007419D6" w:rsidRDefault="007419D6" w:rsidP="0097226C">
            <w:pPr>
              <w:rPr>
                <w:i/>
                <w:sz w:val="16"/>
                <w:szCs w:val="16"/>
                <w:lang w:bidi="th-TH"/>
              </w:rPr>
            </w:pPr>
          </w:p>
          <w:p w14:paraId="3A6A8F13" w14:textId="77777777" w:rsidR="007419D6" w:rsidRPr="001E6DFD" w:rsidRDefault="007419D6" w:rsidP="0097226C">
            <w:pPr>
              <w:rPr>
                <w:i/>
                <w:sz w:val="16"/>
                <w:szCs w:val="16"/>
                <w:lang w:bidi="th-TH"/>
              </w:rPr>
            </w:pPr>
          </w:p>
          <w:p w14:paraId="30CA2F9D" w14:textId="77777777" w:rsidR="007419D6" w:rsidRDefault="007419D6" w:rsidP="0097226C">
            <w:pPr>
              <w:rPr>
                <w:i/>
                <w:sz w:val="16"/>
                <w:szCs w:val="16"/>
                <w:lang w:bidi="th-TH"/>
              </w:rPr>
            </w:pPr>
          </w:p>
          <w:p w14:paraId="46066A7B" w14:textId="6743793D" w:rsidR="00FA22F6" w:rsidRPr="007419D6" w:rsidRDefault="00AC7D97" w:rsidP="0097226C">
            <w:pPr>
              <w:rPr>
                <w:i/>
                <w:sz w:val="16"/>
                <w:szCs w:val="16"/>
                <w:lang w:bidi="th-TH"/>
              </w:rPr>
            </w:pPr>
            <w:r w:rsidRPr="001E6DFD">
              <w:rPr>
                <w:i/>
                <w:sz w:val="16"/>
                <w:szCs w:val="16"/>
                <w:lang w:bidi="th-TH"/>
              </w:rPr>
              <w:t>O</w:t>
            </w:r>
            <w:r w:rsidRPr="007419D6">
              <w:rPr>
                <w:i/>
                <w:sz w:val="16"/>
                <w:szCs w:val="16"/>
                <w:lang w:bidi="th-TH"/>
              </w:rPr>
              <w:t>bjectif initial dans le programme et budget 2016</w:t>
            </w:r>
            <w:r w:rsidR="006A41CF" w:rsidRPr="007419D6">
              <w:rPr>
                <w:i/>
                <w:sz w:val="16"/>
                <w:szCs w:val="16"/>
                <w:lang w:bidi="th-TH"/>
              </w:rPr>
              <w:noBreakHyphen/>
            </w:r>
            <w:r w:rsidRPr="007419D6">
              <w:rPr>
                <w:i/>
                <w:sz w:val="16"/>
                <w:szCs w:val="16"/>
                <w:lang w:bidi="th-TH"/>
              </w:rPr>
              <w:t>2017</w:t>
            </w:r>
            <w:r w:rsidR="00FA22F6" w:rsidRPr="007419D6">
              <w:rPr>
                <w:i/>
                <w:sz w:val="16"/>
                <w:szCs w:val="16"/>
                <w:lang w:bidi="th-TH"/>
              </w:rPr>
              <w:t> :</w:t>
            </w:r>
          </w:p>
          <w:p w14:paraId="74E202C1" w14:textId="23E8C125" w:rsidR="00BA5EA9" w:rsidRPr="001E6DFD" w:rsidRDefault="00BA5EA9" w:rsidP="0097226C">
            <w:pPr>
              <w:rPr>
                <w:sz w:val="16"/>
                <w:szCs w:val="16"/>
                <w:highlight w:val="yellow"/>
              </w:rPr>
            </w:pPr>
            <w:r w:rsidRPr="007419D6">
              <w:rPr>
                <w:sz w:val="16"/>
                <w:szCs w:val="16"/>
              </w:rPr>
              <w:t>30</w:t>
            </w:r>
            <w:r w:rsidR="002B2AB0" w:rsidRPr="007419D6">
              <w:rPr>
                <w:sz w:val="16"/>
                <w:szCs w:val="16"/>
              </w:rPr>
              <w:t xml:space="preserve"> réseaux nationaux durables de CATI</w:t>
            </w:r>
            <w:r w:rsidRPr="007419D6">
              <w:rPr>
                <w:sz w:val="16"/>
                <w:szCs w:val="16"/>
              </w:rPr>
              <w:t xml:space="preserve"> (</w:t>
            </w:r>
            <w:r w:rsidR="000D3825" w:rsidRPr="007419D6">
              <w:rPr>
                <w:sz w:val="16"/>
                <w:szCs w:val="16"/>
              </w:rPr>
              <w:t>données cumulées</w:t>
            </w:r>
            <w:r w:rsidRPr="007419D6">
              <w:rPr>
                <w:sz w:val="16"/>
                <w:szCs w:val="16"/>
              </w:rPr>
              <w:t>)</w:t>
            </w:r>
            <w:r w:rsidR="00FA22F6" w:rsidRPr="007419D6">
              <w:rPr>
                <w:sz w:val="16"/>
                <w:szCs w:val="16"/>
              </w:rPr>
              <w:t> :</w:t>
            </w:r>
            <w:r w:rsidRPr="007419D6">
              <w:rPr>
                <w:sz w:val="16"/>
                <w:szCs w:val="16"/>
              </w:rPr>
              <w:t xml:space="preserve"> </w:t>
            </w:r>
            <w:r w:rsidR="007703CF" w:rsidRPr="007419D6">
              <w:rPr>
                <w:sz w:val="16"/>
                <w:szCs w:val="16"/>
              </w:rPr>
              <w:t>région Afrique</w:t>
            </w:r>
            <w:r w:rsidRPr="007419D6">
              <w:rPr>
                <w:sz w:val="16"/>
                <w:szCs w:val="16"/>
              </w:rPr>
              <w:t xml:space="preserve"> (11</w:t>
            </w:r>
            <w:r w:rsidR="007703CF" w:rsidRPr="007419D6">
              <w:rPr>
                <w:sz w:val="16"/>
                <w:szCs w:val="16"/>
              </w:rPr>
              <w:t>,</w:t>
            </w:r>
            <w:r w:rsidRPr="007419D6">
              <w:rPr>
                <w:sz w:val="16"/>
                <w:szCs w:val="16"/>
              </w:rPr>
              <w:t xml:space="preserve"> </w:t>
            </w:r>
            <w:r w:rsidR="007703CF" w:rsidRPr="007419D6">
              <w:rPr>
                <w:sz w:val="16"/>
                <w:szCs w:val="16"/>
              </w:rPr>
              <w:t>dont 8 PMA</w:t>
            </w:r>
            <w:r w:rsidRPr="001E6DFD">
              <w:rPr>
                <w:sz w:val="16"/>
                <w:szCs w:val="16"/>
              </w:rPr>
              <w:t xml:space="preserve">);  </w:t>
            </w:r>
            <w:r w:rsidR="00CB2CCA" w:rsidRPr="001E6DFD">
              <w:rPr>
                <w:sz w:val="16"/>
                <w:szCs w:val="16"/>
              </w:rPr>
              <w:t>pays arabes (4);</w:t>
            </w:r>
            <w:r w:rsidRPr="001E6DFD">
              <w:rPr>
                <w:sz w:val="16"/>
                <w:szCs w:val="16"/>
              </w:rPr>
              <w:t xml:space="preserve">  </w:t>
            </w:r>
            <w:r w:rsidR="00CB2CCA" w:rsidRPr="001E6DFD">
              <w:rPr>
                <w:sz w:val="16"/>
                <w:szCs w:val="16"/>
              </w:rPr>
              <w:t>région Asie et Pacifique</w:t>
            </w:r>
            <w:r w:rsidR="00FA22F6" w:rsidRPr="001E6DFD">
              <w:rPr>
                <w:sz w:val="16"/>
                <w:szCs w:val="16"/>
              </w:rPr>
              <w:t> :</w:t>
            </w:r>
            <w:r w:rsidR="00CB2CCA" w:rsidRPr="001E6DFD">
              <w:rPr>
                <w:sz w:val="16"/>
                <w:szCs w:val="16"/>
              </w:rPr>
              <w:t xml:space="preserve"> (5, dont 2</w:t>
            </w:r>
            <w:r w:rsidR="00B4191E">
              <w:rPr>
                <w:sz w:val="16"/>
                <w:szCs w:val="16"/>
              </w:rPr>
              <w:t> </w:t>
            </w:r>
            <w:r w:rsidR="00CB2CCA" w:rsidRPr="001E6DFD">
              <w:rPr>
                <w:sz w:val="16"/>
                <w:szCs w:val="16"/>
              </w:rPr>
              <w:t>PMA);</w:t>
            </w:r>
            <w:r w:rsidRPr="001E6DFD">
              <w:rPr>
                <w:sz w:val="16"/>
                <w:szCs w:val="16"/>
              </w:rPr>
              <w:t xml:space="preserve">  </w:t>
            </w:r>
            <w:r w:rsidR="00CB2CCA" w:rsidRPr="001E6DFD">
              <w:rPr>
                <w:sz w:val="16"/>
                <w:szCs w:val="16"/>
              </w:rPr>
              <w:t>région Amérique latine et Caraïbes</w:t>
            </w:r>
            <w:r w:rsidR="00FA22F6" w:rsidRPr="001E6DFD">
              <w:rPr>
                <w:sz w:val="16"/>
                <w:szCs w:val="16"/>
              </w:rPr>
              <w:t> :</w:t>
            </w:r>
            <w:r w:rsidR="00CB2CCA" w:rsidRPr="001E6DFD">
              <w:rPr>
                <w:sz w:val="16"/>
                <w:szCs w:val="16"/>
              </w:rPr>
              <w:t xml:space="preserve"> (7);</w:t>
            </w:r>
            <w:r w:rsidRPr="001E6DFD">
              <w:rPr>
                <w:sz w:val="16"/>
                <w:szCs w:val="16"/>
              </w:rPr>
              <w:t xml:space="preserve">  </w:t>
            </w:r>
            <w:r w:rsidR="00CB2CCA" w:rsidRPr="001E6DFD">
              <w:rPr>
                <w:sz w:val="16"/>
                <w:szCs w:val="16"/>
              </w:rPr>
              <w:t>certains pays d</w:t>
            </w:r>
            <w:r w:rsidR="00FA22F6" w:rsidRPr="001E6DFD">
              <w:rPr>
                <w:sz w:val="16"/>
                <w:szCs w:val="16"/>
              </w:rPr>
              <w:t>’</w:t>
            </w:r>
            <w:r w:rsidR="00CB2CCA" w:rsidRPr="001E6DFD">
              <w:rPr>
                <w:sz w:val="16"/>
                <w:szCs w:val="16"/>
              </w:rPr>
              <w:t>Europe et d</w:t>
            </w:r>
            <w:r w:rsidR="00FA22F6" w:rsidRPr="001E6DFD">
              <w:rPr>
                <w:sz w:val="16"/>
                <w:szCs w:val="16"/>
              </w:rPr>
              <w:t>’</w:t>
            </w:r>
            <w:r w:rsidR="00CB2CCA" w:rsidRPr="001E6DFD">
              <w:rPr>
                <w:sz w:val="16"/>
                <w:szCs w:val="16"/>
              </w:rPr>
              <w:t>Asie</w:t>
            </w:r>
            <w:r w:rsidR="00FA22F6" w:rsidRPr="001E6DFD">
              <w:rPr>
                <w:sz w:val="16"/>
                <w:szCs w:val="16"/>
              </w:rPr>
              <w:t> :</w:t>
            </w:r>
            <w:r w:rsidR="00CB2CCA" w:rsidRPr="001E6DFD">
              <w:rPr>
                <w:sz w:val="16"/>
                <w:szCs w:val="16"/>
              </w:rPr>
              <w:t xml:space="preserve"> (3)</w:t>
            </w:r>
          </w:p>
        </w:tc>
        <w:tc>
          <w:tcPr>
            <w:tcW w:w="1233" w:type="pct"/>
            <w:shd w:val="clear" w:color="auto" w:fill="FFFFFF"/>
            <w:tcMar>
              <w:top w:w="110" w:type="dxa"/>
              <w:left w:w="58" w:type="dxa"/>
              <w:right w:w="58" w:type="dxa"/>
            </w:tcMar>
          </w:tcPr>
          <w:p w14:paraId="1D90A9D7" w14:textId="2E8BA92C" w:rsidR="001F64B1" w:rsidRPr="007419D6" w:rsidRDefault="00BA5EA9" w:rsidP="0097226C">
            <w:pPr>
              <w:rPr>
                <w:sz w:val="16"/>
                <w:szCs w:val="16"/>
              </w:rPr>
            </w:pPr>
            <w:r w:rsidRPr="007419D6">
              <w:rPr>
                <w:sz w:val="16"/>
                <w:szCs w:val="16"/>
              </w:rPr>
              <w:lastRenderedPageBreak/>
              <w:t>28</w:t>
            </w:r>
            <w:r w:rsidR="00B4191E" w:rsidRPr="007419D6">
              <w:rPr>
                <w:sz w:val="16"/>
                <w:szCs w:val="16"/>
              </w:rPr>
              <w:t> </w:t>
            </w:r>
            <w:r w:rsidR="00936ADB" w:rsidRPr="007419D6">
              <w:rPr>
                <w:sz w:val="16"/>
                <w:szCs w:val="16"/>
              </w:rPr>
              <w:t xml:space="preserve">réseaux nationaux durables </w:t>
            </w:r>
            <w:r w:rsidRPr="007419D6">
              <w:rPr>
                <w:sz w:val="16"/>
                <w:szCs w:val="16"/>
              </w:rPr>
              <w:t>(</w:t>
            </w:r>
            <w:r w:rsidR="00936ADB" w:rsidRPr="007419D6">
              <w:rPr>
                <w:sz w:val="16"/>
                <w:szCs w:val="16"/>
              </w:rPr>
              <w:t xml:space="preserve">au total à la fin </w:t>
            </w:r>
            <w:r w:rsidR="00FA22F6" w:rsidRPr="007419D6">
              <w:rPr>
                <w:sz w:val="16"/>
                <w:szCs w:val="16"/>
              </w:rPr>
              <w:t>de 2016</w:t>
            </w:r>
            <w:r w:rsidRPr="007419D6">
              <w:rPr>
                <w:sz w:val="16"/>
                <w:szCs w:val="16"/>
              </w:rPr>
              <w:t>)</w:t>
            </w:r>
          </w:p>
          <w:p w14:paraId="51D05D2B" w14:textId="77777777" w:rsidR="001F64B1" w:rsidRPr="007419D6" w:rsidRDefault="001F64B1" w:rsidP="0097226C">
            <w:pPr>
              <w:rPr>
                <w:sz w:val="16"/>
                <w:szCs w:val="16"/>
              </w:rPr>
            </w:pPr>
          </w:p>
          <w:p w14:paraId="41932013" w14:textId="14D80782" w:rsidR="001F64B1" w:rsidRPr="007419D6" w:rsidRDefault="00CB2CCA" w:rsidP="0097226C">
            <w:pPr>
              <w:rPr>
                <w:sz w:val="16"/>
                <w:szCs w:val="16"/>
              </w:rPr>
            </w:pPr>
            <w:r w:rsidRPr="007419D6">
              <w:rPr>
                <w:sz w:val="16"/>
                <w:szCs w:val="16"/>
              </w:rPr>
              <w:t>Développement niveau</w:t>
            </w:r>
            <w:r w:rsidR="00B4191E" w:rsidRPr="007419D6">
              <w:rPr>
                <w:sz w:val="16"/>
                <w:szCs w:val="16"/>
              </w:rPr>
              <w:t> </w:t>
            </w:r>
            <w:r w:rsidRPr="007419D6">
              <w:rPr>
                <w:sz w:val="16"/>
                <w:szCs w:val="16"/>
              </w:rPr>
              <w:t>1</w:t>
            </w:r>
            <w:r w:rsidR="00FA22F6" w:rsidRPr="007419D6">
              <w:rPr>
                <w:sz w:val="16"/>
                <w:szCs w:val="16"/>
              </w:rPr>
              <w:t> :</w:t>
            </w:r>
          </w:p>
          <w:p w14:paraId="4442507E" w14:textId="1055A683" w:rsidR="001F64B1" w:rsidRPr="007419D6" w:rsidRDefault="00CB2CCA" w:rsidP="0097226C">
            <w:pPr>
              <w:rPr>
                <w:sz w:val="16"/>
                <w:szCs w:val="16"/>
              </w:rPr>
            </w:pPr>
            <w:r w:rsidRPr="007419D6">
              <w:rPr>
                <w:sz w:val="16"/>
                <w:szCs w:val="16"/>
              </w:rPr>
              <w:t>Afrique</w:t>
            </w:r>
            <w:r w:rsidR="00BA5EA9" w:rsidRPr="007419D6">
              <w:rPr>
                <w:sz w:val="16"/>
                <w:szCs w:val="16"/>
              </w:rPr>
              <w:t xml:space="preserve"> (3</w:t>
            </w:r>
            <w:r w:rsidRPr="007419D6">
              <w:rPr>
                <w:sz w:val="16"/>
                <w:szCs w:val="16"/>
              </w:rPr>
              <w:t>, dont 1</w:t>
            </w:r>
            <w:r w:rsidR="00B4191E" w:rsidRPr="007419D6">
              <w:rPr>
                <w:sz w:val="16"/>
                <w:szCs w:val="16"/>
              </w:rPr>
              <w:t> </w:t>
            </w:r>
            <w:r w:rsidRPr="007419D6">
              <w:rPr>
                <w:sz w:val="16"/>
                <w:szCs w:val="16"/>
              </w:rPr>
              <w:t>PMA</w:t>
            </w:r>
            <w:r w:rsidR="00BA5EA9" w:rsidRPr="007419D6">
              <w:rPr>
                <w:sz w:val="16"/>
                <w:szCs w:val="16"/>
              </w:rPr>
              <w:t>)</w:t>
            </w:r>
            <w:r w:rsidRPr="007419D6">
              <w:rPr>
                <w:sz w:val="16"/>
                <w:szCs w:val="16"/>
              </w:rPr>
              <w:t>;</w:t>
            </w:r>
            <w:r w:rsidR="007703CF" w:rsidRPr="007419D6">
              <w:rPr>
                <w:sz w:val="16"/>
                <w:szCs w:val="16"/>
              </w:rPr>
              <w:t xml:space="preserve">  </w:t>
            </w:r>
            <w:r w:rsidRPr="007419D6">
              <w:rPr>
                <w:sz w:val="16"/>
                <w:szCs w:val="16"/>
              </w:rPr>
              <w:t>Asie et Pacifique</w:t>
            </w:r>
            <w:r w:rsidR="00FA22F6" w:rsidRPr="007419D6">
              <w:rPr>
                <w:sz w:val="16"/>
                <w:szCs w:val="16"/>
              </w:rPr>
              <w:t> :</w:t>
            </w:r>
            <w:r w:rsidRPr="007419D6">
              <w:rPr>
                <w:sz w:val="16"/>
                <w:szCs w:val="16"/>
              </w:rPr>
              <w:t xml:space="preserve"> (2);</w:t>
            </w:r>
            <w:r w:rsidR="007703CF" w:rsidRPr="007419D6">
              <w:rPr>
                <w:sz w:val="16"/>
                <w:szCs w:val="16"/>
              </w:rPr>
              <w:t xml:space="preserve">  </w:t>
            </w:r>
            <w:r w:rsidRPr="007419D6">
              <w:rPr>
                <w:sz w:val="16"/>
                <w:szCs w:val="16"/>
              </w:rPr>
              <w:t>Amérique latine et Caraïbes</w:t>
            </w:r>
            <w:r w:rsidR="00FA22F6" w:rsidRPr="007419D6">
              <w:rPr>
                <w:sz w:val="16"/>
                <w:szCs w:val="16"/>
              </w:rPr>
              <w:t> :</w:t>
            </w:r>
            <w:r w:rsidRPr="007419D6">
              <w:rPr>
                <w:sz w:val="16"/>
                <w:szCs w:val="16"/>
              </w:rPr>
              <w:t xml:space="preserve"> (2)</w:t>
            </w:r>
          </w:p>
          <w:p w14:paraId="3F16D893" w14:textId="77777777" w:rsidR="001F64B1" w:rsidRPr="007419D6" w:rsidRDefault="00CB2CCA" w:rsidP="0097226C">
            <w:pPr>
              <w:rPr>
                <w:sz w:val="16"/>
                <w:szCs w:val="16"/>
              </w:rPr>
            </w:pPr>
            <w:r w:rsidRPr="007419D6">
              <w:rPr>
                <w:sz w:val="16"/>
                <w:szCs w:val="16"/>
              </w:rPr>
              <w:t>(7 au total)</w:t>
            </w:r>
          </w:p>
          <w:p w14:paraId="6A7F6155" w14:textId="77777777" w:rsidR="001F64B1" w:rsidRPr="007419D6" w:rsidRDefault="001F64B1" w:rsidP="0097226C">
            <w:pPr>
              <w:rPr>
                <w:sz w:val="16"/>
                <w:szCs w:val="16"/>
              </w:rPr>
            </w:pPr>
          </w:p>
          <w:p w14:paraId="33C5E33B" w14:textId="5035C2E8" w:rsidR="001F64B1" w:rsidRPr="007419D6" w:rsidRDefault="00CB2CCA" w:rsidP="0097226C">
            <w:pPr>
              <w:rPr>
                <w:sz w:val="16"/>
                <w:szCs w:val="16"/>
              </w:rPr>
            </w:pPr>
            <w:r w:rsidRPr="007419D6">
              <w:rPr>
                <w:sz w:val="16"/>
                <w:szCs w:val="16"/>
              </w:rPr>
              <w:t>Développement niveau</w:t>
            </w:r>
            <w:r w:rsidR="00B4191E" w:rsidRPr="007419D6">
              <w:rPr>
                <w:sz w:val="16"/>
                <w:szCs w:val="16"/>
              </w:rPr>
              <w:t> </w:t>
            </w:r>
            <w:r w:rsidRPr="007419D6">
              <w:rPr>
                <w:sz w:val="16"/>
                <w:szCs w:val="16"/>
              </w:rPr>
              <w:t>2</w:t>
            </w:r>
            <w:r w:rsidR="00FA22F6" w:rsidRPr="007419D6">
              <w:rPr>
                <w:sz w:val="16"/>
                <w:szCs w:val="16"/>
              </w:rPr>
              <w:t> :</w:t>
            </w:r>
          </w:p>
          <w:p w14:paraId="49AB10BF" w14:textId="2BA9AFCE" w:rsidR="001F64B1" w:rsidRPr="007419D6" w:rsidRDefault="00CB2CCA" w:rsidP="0097226C">
            <w:pPr>
              <w:rPr>
                <w:sz w:val="16"/>
                <w:szCs w:val="16"/>
              </w:rPr>
            </w:pPr>
            <w:r w:rsidRPr="007419D6">
              <w:rPr>
                <w:sz w:val="16"/>
                <w:szCs w:val="16"/>
              </w:rPr>
              <w:t>Afrique (8, dont 6</w:t>
            </w:r>
            <w:r w:rsidR="00B4191E" w:rsidRPr="007419D6">
              <w:rPr>
                <w:sz w:val="16"/>
                <w:szCs w:val="16"/>
              </w:rPr>
              <w:t> </w:t>
            </w:r>
            <w:r w:rsidRPr="007419D6">
              <w:rPr>
                <w:sz w:val="16"/>
                <w:szCs w:val="16"/>
              </w:rPr>
              <w:t>PMA);</w:t>
            </w:r>
            <w:r w:rsidR="007703CF" w:rsidRPr="007419D6">
              <w:rPr>
                <w:sz w:val="16"/>
                <w:szCs w:val="16"/>
              </w:rPr>
              <w:t xml:space="preserve">  </w:t>
            </w:r>
            <w:r w:rsidRPr="007419D6">
              <w:rPr>
                <w:sz w:val="16"/>
                <w:szCs w:val="16"/>
              </w:rPr>
              <w:t>pays arabes</w:t>
            </w:r>
            <w:r w:rsidR="00FA22F6" w:rsidRPr="007419D6">
              <w:rPr>
                <w:sz w:val="16"/>
                <w:szCs w:val="16"/>
              </w:rPr>
              <w:t> :</w:t>
            </w:r>
            <w:r w:rsidRPr="007419D6">
              <w:rPr>
                <w:sz w:val="16"/>
                <w:szCs w:val="16"/>
              </w:rPr>
              <w:t xml:space="preserve"> (1);</w:t>
            </w:r>
            <w:r w:rsidR="007703CF" w:rsidRPr="007419D6">
              <w:rPr>
                <w:sz w:val="16"/>
                <w:szCs w:val="16"/>
              </w:rPr>
              <w:t xml:space="preserve">  </w:t>
            </w:r>
            <w:r w:rsidRPr="007419D6">
              <w:rPr>
                <w:sz w:val="16"/>
                <w:szCs w:val="16"/>
              </w:rPr>
              <w:t>Asie et Pacifique</w:t>
            </w:r>
            <w:r w:rsidR="00FA22F6" w:rsidRPr="007419D6">
              <w:rPr>
                <w:sz w:val="16"/>
                <w:szCs w:val="16"/>
              </w:rPr>
              <w:t> :</w:t>
            </w:r>
            <w:r w:rsidRPr="007419D6">
              <w:rPr>
                <w:sz w:val="16"/>
                <w:szCs w:val="16"/>
              </w:rPr>
              <w:t xml:space="preserve"> (2);</w:t>
            </w:r>
            <w:r w:rsidR="007703CF" w:rsidRPr="007419D6">
              <w:rPr>
                <w:sz w:val="16"/>
                <w:szCs w:val="16"/>
              </w:rPr>
              <w:t xml:space="preserve">  </w:t>
            </w:r>
            <w:r w:rsidRPr="007419D6">
              <w:rPr>
                <w:sz w:val="16"/>
                <w:szCs w:val="16"/>
              </w:rPr>
              <w:t>Amérique latine et Caraïbes</w:t>
            </w:r>
            <w:r w:rsidR="00FA22F6" w:rsidRPr="007419D6">
              <w:rPr>
                <w:sz w:val="16"/>
                <w:szCs w:val="16"/>
              </w:rPr>
              <w:t> :</w:t>
            </w:r>
            <w:r w:rsidRPr="007419D6">
              <w:rPr>
                <w:sz w:val="16"/>
                <w:szCs w:val="16"/>
              </w:rPr>
              <w:t xml:space="preserve"> (4)</w:t>
            </w:r>
          </w:p>
          <w:p w14:paraId="42AE3FB6" w14:textId="77777777" w:rsidR="001F64B1" w:rsidRPr="007419D6" w:rsidRDefault="00CB2CCA" w:rsidP="0097226C">
            <w:pPr>
              <w:rPr>
                <w:sz w:val="16"/>
                <w:szCs w:val="16"/>
              </w:rPr>
            </w:pPr>
            <w:r w:rsidRPr="007419D6">
              <w:rPr>
                <w:sz w:val="16"/>
                <w:szCs w:val="16"/>
              </w:rPr>
              <w:t>(15 au total)</w:t>
            </w:r>
          </w:p>
          <w:p w14:paraId="31CEF82B" w14:textId="77777777" w:rsidR="001F64B1" w:rsidRPr="007419D6" w:rsidRDefault="001F64B1" w:rsidP="0097226C">
            <w:pPr>
              <w:rPr>
                <w:sz w:val="16"/>
                <w:szCs w:val="16"/>
              </w:rPr>
            </w:pPr>
          </w:p>
          <w:p w14:paraId="6C13554C" w14:textId="774697A7" w:rsidR="001F64B1" w:rsidRPr="007419D6" w:rsidRDefault="007703CF" w:rsidP="0097226C">
            <w:pPr>
              <w:rPr>
                <w:sz w:val="16"/>
                <w:szCs w:val="16"/>
              </w:rPr>
            </w:pPr>
            <w:r w:rsidRPr="007419D6">
              <w:rPr>
                <w:sz w:val="16"/>
                <w:szCs w:val="16"/>
              </w:rPr>
              <w:t>Développement niveau</w:t>
            </w:r>
            <w:r w:rsidR="00B4191E" w:rsidRPr="007419D6">
              <w:rPr>
                <w:sz w:val="16"/>
                <w:szCs w:val="16"/>
              </w:rPr>
              <w:t> </w:t>
            </w:r>
            <w:r w:rsidRPr="007419D6">
              <w:rPr>
                <w:sz w:val="16"/>
                <w:szCs w:val="16"/>
              </w:rPr>
              <w:t xml:space="preserve">3, </w:t>
            </w:r>
            <w:r w:rsidR="00FA22F6" w:rsidRPr="007419D6">
              <w:rPr>
                <w:sz w:val="16"/>
                <w:szCs w:val="16"/>
              </w:rPr>
              <w:t>y compris</w:t>
            </w:r>
            <w:r w:rsidRPr="007419D6">
              <w:rPr>
                <w:sz w:val="16"/>
                <w:szCs w:val="16"/>
              </w:rPr>
              <w:t xml:space="preserve"> prestation de services à valeur ajoutée</w:t>
            </w:r>
            <w:r w:rsidR="00BA5EA9" w:rsidRPr="007419D6">
              <w:rPr>
                <w:rStyle w:val="FootnoteReference"/>
                <w:rFonts w:cs="Arial"/>
                <w:szCs w:val="16"/>
              </w:rPr>
              <w:footnoteReference w:id="63"/>
            </w:r>
            <w:r w:rsidR="00FA22F6" w:rsidRPr="007419D6">
              <w:rPr>
                <w:rStyle w:val="FootnoteReference"/>
                <w:rFonts w:cs="Arial"/>
                <w:szCs w:val="16"/>
              </w:rPr>
              <w:t> :</w:t>
            </w:r>
          </w:p>
          <w:p w14:paraId="0D021AEE" w14:textId="44ABA22A" w:rsidR="00FA22F6" w:rsidRPr="001E6DFD" w:rsidRDefault="00CB2CCA" w:rsidP="0097226C">
            <w:pPr>
              <w:rPr>
                <w:sz w:val="16"/>
                <w:szCs w:val="16"/>
              </w:rPr>
            </w:pPr>
            <w:r w:rsidRPr="007419D6">
              <w:rPr>
                <w:sz w:val="16"/>
                <w:szCs w:val="16"/>
              </w:rPr>
              <w:t>Afrique</w:t>
            </w:r>
            <w:r w:rsidR="00FA22F6" w:rsidRPr="007419D6">
              <w:rPr>
                <w:sz w:val="16"/>
                <w:szCs w:val="16"/>
              </w:rPr>
              <w:t> :</w:t>
            </w:r>
            <w:r w:rsidRPr="007419D6">
              <w:rPr>
                <w:sz w:val="16"/>
                <w:szCs w:val="16"/>
              </w:rPr>
              <w:t xml:space="preserve"> (</w:t>
            </w:r>
            <w:r w:rsidRPr="001E6DFD">
              <w:rPr>
                <w:sz w:val="16"/>
                <w:szCs w:val="16"/>
              </w:rPr>
              <w:t>1);</w:t>
            </w:r>
            <w:r w:rsidR="004D421A" w:rsidRPr="001E6DFD">
              <w:rPr>
                <w:sz w:val="16"/>
                <w:szCs w:val="16"/>
              </w:rPr>
              <w:t xml:space="preserve"> </w:t>
            </w:r>
            <w:r w:rsidR="007703CF" w:rsidRPr="001E6DFD">
              <w:rPr>
                <w:sz w:val="16"/>
                <w:szCs w:val="16"/>
              </w:rPr>
              <w:t xml:space="preserve"> </w:t>
            </w:r>
            <w:r w:rsidRPr="001E6DFD">
              <w:rPr>
                <w:sz w:val="16"/>
                <w:szCs w:val="16"/>
              </w:rPr>
              <w:t>pays arabes</w:t>
            </w:r>
            <w:r w:rsidR="00FA22F6" w:rsidRPr="001E6DFD">
              <w:rPr>
                <w:sz w:val="16"/>
                <w:szCs w:val="16"/>
              </w:rPr>
              <w:t> :</w:t>
            </w:r>
            <w:r w:rsidRPr="001E6DFD">
              <w:rPr>
                <w:sz w:val="16"/>
                <w:szCs w:val="16"/>
              </w:rPr>
              <w:t xml:space="preserve"> (1);</w:t>
            </w:r>
            <w:r w:rsidR="007703CF" w:rsidRPr="001E6DFD">
              <w:rPr>
                <w:sz w:val="16"/>
                <w:szCs w:val="16"/>
              </w:rPr>
              <w:t xml:space="preserve">  </w:t>
            </w:r>
            <w:r w:rsidRPr="001E6DFD">
              <w:rPr>
                <w:sz w:val="16"/>
                <w:szCs w:val="16"/>
              </w:rPr>
              <w:t>Asie et Pacifique</w:t>
            </w:r>
            <w:r w:rsidR="00FA22F6" w:rsidRPr="001E6DFD">
              <w:rPr>
                <w:sz w:val="16"/>
                <w:szCs w:val="16"/>
              </w:rPr>
              <w:t> :</w:t>
            </w:r>
            <w:r w:rsidRPr="001E6DFD">
              <w:rPr>
                <w:sz w:val="16"/>
                <w:szCs w:val="16"/>
              </w:rPr>
              <w:t xml:space="preserve"> (1);</w:t>
            </w:r>
            <w:r w:rsidR="007703CF" w:rsidRPr="001E6DFD">
              <w:rPr>
                <w:sz w:val="16"/>
                <w:szCs w:val="16"/>
              </w:rPr>
              <w:t xml:space="preserve">  </w:t>
            </w:r>
            <w:r w:rsidRPr="001E6DFD">
              <w:rPr>
                <w:sz w:val="16"/>
                <w:szCs w:val="16"/>
              </w:rPr>
              <w:t>Amérique latine et Caraïbes</w:t>
            </w:r>
            <w:r w:rsidR="00FA22F6" w:rsidRPr="001E6DFD">
              <w:rPr>
                <w:sz w:val="16"/>
                <w:szCs w:val="16"/>
              </w:rPr>
              <w:t> :</w:t>
            </w:r>
            <w:r w:rsidRPr="001E6DFD">
              <w:rPr>
                <w:sz w:val="16"/>
                <w:szCs w:val="16"/>
              </w:rPr>
              <w:t xml:space="preserve"> (2);</w:t>
            </w:r>
            <w:r w:rsidR="007703CF" w:rsidRPr="001E6DFD">
              <w:rPr>
                <w:sz w:val="16"/>
                <w:szCs w:val="16"/>
              </w:rPr>
              <w:t xml:space="preserve">  </w:t>
            </w:r>
            <w:r w:rsidRPr="001E6DFD">
              <w:rPr>
                <w:sz w:val="16"/>
                <w:szCs w:val="16"/>
              </w:rPr>
              <w:t>pays en transition</w:t>
            </w:r>
            <w:r w:rsidR="00FA22F6" w:rsidRPr="001E6DFD">
              <w:rPr>
                <w:sz w:val="16"/>
                <w:szCs w:val="16"/>
              </w:rPr>
              <w:t> :</w:t>
            </w:r>
            <w:r w:rsidRPr="001E6DFD">
              <w:rPr>
                <w:sz w:val="16"/>
                <w:szCs w:val="16"/>
              </w:rPr>
              <w:t xml:space="preserve"> (1)</w:t>
            </w:r>
          </w:p>
          <w:p w14:paraId="1A899544" w14:textId="62666373" w:rsidR="00BA5EA9" w:rsidRPr="001E6DFD" w:rsidRDefault="00CB2CCA" w:rsidP="0097226C">
            <w:pPr>
              <w:rPr>
                <w:sz w:val="16"/>
                <w:szCs w:val="16"/>
              </w:rPr>
            </w:pPr>
            <w:r w:rsidRPr="001E6DFD">
              <w:rPr>
                <w:sz w:val="16"/>
                <w:szCs w:val="16"/>
              </w:rPr>
              <w:t>(6 au total)</w:t>
            </w:r>
          </w:p>
        </w:tc>
        <w:tc>
          <w:tcPr>
            <w:tcW w:w="569" w:type="pct"/>
            <w:shd w:val="clear" w:color="auto" w:fill="auto"/>
            <w:tcMar>
              <w:top w:w="110" w:type="dxa"/>
              <w:left w:w="58" w:type="dxa"/>
              <w:right w:w="58" w:type="dxa"/>
            </w:tcMar>
          </w:tcPr>
          <w:p w14:paraId="2B300674"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644CB20F" w14:textId="77777777" w:rsidTr="00644A97">
        <w:trPr>
          <w:gridAfter w:val="1"/>
          <w:wAfter w:w="44" w:type="pct"/>
        </w:trPr>
        <w:tc>
          <w:tcPr>
            <w:tcW w:w="1137" w:type="pct"/>
            <w:shd w:val="clear" w:color="auto" w:fill="auto"/>
            <w:tcMar>
              <w:left w:w="58" w:type="dxa"/>
              <w:right w:w="58" w:type="dxa"/>
            </w:tcMar>
          </w:tcPr>
          <w:p w14:paraId="485A9C22" w14:textId="30F9E0D6" w:rsidR="00BA5EA9" w:rsidRPr="001E6DFD" w:rsidRDefault="00CB2CCA" w:rsidP="0097226C">
            <w:pPr>
              <w:rPr>
                <w:sz w:val="16"/>
                <w:szCs w:val="16"/>
              </w:rPr>
            </w:pPr>
            <w:r w:rsidRPr="001E6DFD">
              <w:rPr>
                <w:sz w:val="16"/>
                <w:szCs w:val="16"/>
              </w:rPr>
              <w:lastRenderedPageBreak/>
              <w:t>Moyenne des utilisateurs ayant bénéficié des services</w:t>
            </w:r>
            <w:r w:rsidR="00FA22F6" w:rsidRPr="001E6DFD">
              <w:rPr>
                <w:sz w:val="16"/>
                <w:szCs w:val="16"/>
              </w:rPr>
              <w:t xml:space="preserve"> des CAT</w:t>
            </w:r>
            <w:r w:rsidRPr="001E6DFD">
              <w:rPr>
                <w:sz w:val="16"/>
                <w:szCs w:val="16"/>
              </w:rPr>
              <w:t>I par an</w:t>
            </w:r>
          </w:p>
        </w:tc>
        <w:tc>
          <w:tcPr>
            <w:tcW w:w="1245" w:type="pct"/>
            <w:shd w:val="clear" w:color="auto" w:fill="auto"/>
            <w:tcMar>
              <w:left w:w="58" w:type="dxa"/>
              <w:right w:w="58" w:type="dxa"/>
            </w:tcMar>
          </w:tcPr>
          <w:p w14:paraId="57249918" w14:textId="07CA50C8" w:rsidR="001F64B1" w:rsidRPr="007419D6" w:rsidRDefault="00E64532" w:rsidP="0097226C">
            <w:pPr>
              <w:rPr>
                <w:i/>
                <w:color w:val="002060"/>
                <w:sz w:val="16"/>
                <w:szCs w:val="16"/>
              </w:rPr>
            </w:pPr>
            <w:r w:rsidRPr="007419D6">
              <w:rPr>
                <w:i/>
                <w:color w:val="002060"/>
                <w:sz w:val="16"/>
                <w:szCs w:val="16"/>
              </w:rPr>
              <w:t>Niveau de référence actualisé à fin</w:t>
            </w:r>
            <w:r w:rsidR="00B4191E" w:rsidRPr="007419D6">
              <w:rPr>
                <w:i/>
                <w:color w:val="002060"/>
                <w:sz w:val="16"/>
                <w:szCs w:val="16"/>
              </w:rPr>
              <w:t> </w:t>
            </w:r>
            <w:r w:rsidRPr="007419D6">
              <w:rPr>
                <w:i/>
                <w:color w:val="002060"/>
                <w:sz w:val="16"/>
                <w:szCs w:val="16"/>
              </w:rPr>
              <w:t>2015</w:t>
            </w:r>
            <w:r w:rsidR="00FA22F6" w:rsidRPr="007419D6">
              <w:rPr>
                <w:i/>
                <w:color w:val="002060"/>
                <w:sz w:val="16"/>
                <w:szCs w:val="16"/>
              </w:rPr>
              <w:t> :</w:t>
            </w:r>
          </w:p>
          <w:p w14:paraId="32121845" w14:textId="77777777" w:rsidR="001F64B1" w:rsidRPr="007419D6" w:rsidRDefault="00BA5EA9" w:rsidP="0097226C">
            <w:pPr>
              <w:rPr>
                <w:color w:val="002060"/>
                <w:sz w:val="16"/>
                <w:szCs w:val="16"/>
              </w:rPr>
            </w:pPr>
            <w:r w:rsidRPr="007419D6">
              <w:rPr>
                <w:color w:val="002060"/>
                <w:sz w:val="16"/>
                <w:szCs w:val="16"/>
              </w:rPr>
              <w:t xml:space="preserve">874 (min.) </w:t>
            </w:r>
            <w:r w:rsidR="00BE2F66" w:rsidRPr="007419D6">
              <w:rPr>
                <w:color w:val="002060"/>
                <w:sz w:val="16"/>
                <w:szCs w:val="16"/>
              </w:rPr>
              <w:t>– 2631 (max.)</w:t>
            </w:r>
            <w:r w:rsidRPr="007419D6">
              <w:rPr>
                <w:color w:val="002060"/>
                <w:sz w:val="16"/>
                <w:szCs w:val="16"/>
              </w:rPr>
              <w:t xml:space="preserve"> </w:t>
            </w:r>
            <w:r w:rsidR="00BE2F66" w:rsidRPr="007419D6">
              <w:rPr>
                <w:color w:val="002060"/>
                <w:sz w:val="16"/>
                <w:szCs w:val="16"/>
              </w:rPr>
              <w:t>1730 de moyenne</w:t>
            </w:r>
          </w:p>
          <w:p w14:paraId="7B39CDC7" w14:textId="77777777" w:rsidR="001F64B1" w:rsidRPr="001E6DFD" w:rsidRDefault="001F64B1" w:rsidP="0097226C">
            <w:pPr>
              <w:rPr>
                <w:sz w:val="16"/>
                <w:szCs w:val="16"/>
              </w:rPr>
            </w:pPr>
          </w:p>
          <w:p w14:paraId="68A43AE6" w14:textId="6599444B"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4C5F69C" w14:textId="70627682" w:rsidR="00BA5EA9" w:rsidRPr="001E6DFD" w:rsidRDefault="006547DF" w:rsidP="001F2738">
            <w:pPr>
              <w:ind w:left="5" w:firstLineChars="19" w:firstLine="30"/>
              <w:rPr>
                <w:sz w:val="16"/>
                <w:szCs w:val="16"/>
              </w:rPr>
            </w:pPr>
            <w:r w:rsidRPr="001E6DFD">
              <w:rPr>
                <w:sz w:val="16"/>
                <w:szCs w:val="16"/>
              </w:rPr>
              <w:t>548 (min.) – 1625 (max.)</w:t>
            </w:r>
          </w:p>
        </w:tc>
        <w:tc>
          <w:tcPr>
            <w:tcW w:w="772" w:type="pct"/>
            <w:shd w:val="clear" w:color="auto" w:fill="auto"/>
            <w:tcMar>
              <w:top w:w="110" w:type="dxa"/>
              <w:left w:w="58" w:type="dxa"/>
              <w:right w:w="58" w:type="dxa"/>
            </w:tcMar>
          </w:tcPr>
          <w:p w14:paraId="29929ECE" w14:textId="3988F6DF" w:rsidR="001F64B1" w:rsidRPr="007419D6" w:rsidRDefault="00AC7D97" w:rsidP="0097226C">
            <w:pPr>
              <w:rPr>
                <w:i/>
                <w:color w:val="002060"/>
                <w:sz w:val="16"/>
              </w:rPr>
            </w:pPr>
            <w:r w:rsidRPr="007419D6">
              <w:rPr>
                <w:i/>
                <w:color w:val="002060"/>
                <w:sz w:val="16"/>
              </w:rPr>
              <w:t>Objectif actualisé</w:t>
            </w:r>
            <w:r w:rsidR="00FA22F6" w:rsidRPr="007419D6">
              <w:rPr>
                <w:i/>
                <w:color w:val="002060"/>
                <w:sz w:val="16"/>
              </w:rPr>
              <w:t> :</w:t>
            </w:r>
          </w:p>
          <w:p w14:paraId="78E32065" w14:textId="77777777" w:rsidR="001F64B1" w:rsidRPr="007419D6" w:rsidRDefault="00EA6936" w:rsidP="0097226C">
            <w:pPr>
              <w:rPr>
                <w:color w:val="002060"/>
                <w:sz w:val="16"/>
              </w:rPr>
            </w:pPr>
            <w:r w:rsidRPr="007419D6">
              <w:rPr>
                <w:color w:val="002060"/>
                <w:sz w:val="16"/>
              </w:rPr>
              <w:t>3</w:t>
            </w:r>
            <w:r w:rsidR="00BA5EA9" w:rsidRPr="007419D6">
              <w:rPr>
                <w:color w:val="002060"/>
                <w:sz w:val="16"/>
              </w:rPr>
              <w:t>500</w:t>
            </w:r>
          </w:p>
          <w:p w14:paraId="3C5EC18C" w14:textId="77777777" w:rsidR="001F64B1" w:rsidRPr="001E6DFD" w:rsidRDefault="001F64B1" w:rsidP="0097226C">
            <w:pPr>
              <w:rPr>
                <w:sz w:val="16"/>
              </w:rPr>
            </w:pPr>
          </w:p>
          <w:p w14:paraId="1A33DF45" w14:textId="29E2BD68" w:rsidR="001F64B1" w:rsidRPr="001E6DFD" w:rsidRDefault="00EA6936" w:rsidP="0097226C">
            <w:pPr>
              <w:rPr>
                <w:i/>
                <w:sz w:val="16"/>
              </w:rPr>
            </w:pPr>
            <w:r w:rsidRPr="001E6DFD">
              <w:rPr>
                <w:i/>
                <w:sz w:val="16"/>
              </w:rPr>
              <w:t>Objectif initial</w:t>
            </w:r>
            <w:r w:rsidR="00FA22F6" w:rsidRPr="001E6DFD">
              <w:rPr>
                <w:i/>
                <w:sz w:val="16"/>
              </w:rPr>
              <w:t> :</w:t>
            </w:r>
          </w:p>
          <w:p w14:paraId="53091183" w14:textId="77777777" w:rsidR="00BA5EA9" w:rsidRPr="001E6DFD" w:rsidRDefault="00EA6936" w:rsidP="0097226C">
            <w:r w:rsidRPr="001E6DFD">
              <w:rPr>
                <w:sz w:val="16"/>
              </w:rPr>
              <w:t>1</w:t>
            </w:r>
            <w:r w:rsidR="00BA5EA9" w:rsidRPr="001E6DFD">
              <w:rPr>
                <w:sz w:val="16"/>
              </w:rPr>
              <w:t>100</w:t>
            </w:r>
          </w:p>
        </w:tc>
        <w:tc>
          <w:tcPr>
            <w:tcW w:w="1233" w:type="pct"/>
            <w:shd w:val="clear" w:color="auto" w:fill="FFFFFF"/>
            <w:tcMar>
              <w:top w:w="110" w:type="dxa"/>
              <w:left w:w="58" w:type="dxa"/>
              <w:right w:w="58" w:type="dxa"/>
            </w:tcMar>
          </w:tcPr>
          <w:p w14:paraId="1DF1B851" w14:textId="25FB80FD" w:rsidR="00BA5EA9" w:rsidRPr="007419D6" w:rsidRDefault="004D421A" w:rsidP="0097226C">
            <w:pPr>
              <w:keepNext/>
              <w:keepLines/>
              <w:rPr>
                <w:sz w:val="16"/>
                <w:szCs w:val="16"/>
              </w:rPr>
            </w:pPr>
            <w:r w:rsidRPr="007419D6">
              <w:rPr>
                <w:sz w:val="16"/>
                <w:szCs w:val="16"/>
              </w:rPr>
              <w:t>1750</w:t>
            </w:r>
            <w:r w:rsidR="00BA5EA9" w:rsidRPr="007419D6">
              <w:rPr>
                <w:sz w:val="16"/>
                <w:szCs w:val="16"/>
              </w:rPr>
              <w:t xml:space="preserve"> </w:t>
            </w:r>
            <w:r w:rsidR="00F517A4" w:rsidRPr="007419D6">
              <w:rPr>
                <w:sz w:val="16"/>
                <w:szCs w:val="16"/>
              </w:rPr>
              <w:t>utilisateurs ont bénéficié des services</w:t>
            </w:r>
            <w:r w:rsidR="00FA22F6" w:rsidRPr="007419D6">
              <w:rPr>
                <w:sz w:val="16"/>
                <w:szCs w:val="16"/>
              </w:rPr>
              <w:t xml:space="preserve"> des CAT</w:t>
            </w:r>
            <w:r w:rsidR="00F517A4" w:rsidRPr="007419D6">
              <w:rPr>
                <w:sz w:val="16"/>
                <w:szCs w:val="16"/>
              </w:rPr>
              <w:t xml:space="preserve">I </w:t>
            </w:r>
            <w:r w:rsidR="00FA22F6" w:rsidRPr="007419D6">
              <w:rPr>
                <w:sz w:val="16"/>
                <w:szCs w:val="16"/>
              </w:rPr>
              <w:t>en 2016</w:t>
            </w:r>
          </w:p>
        </w:tc>
        <w:tc>
          <w:tcPr>
            <w:tcW w:w="569" w:type="pct"/>
            <w:shd w:val="clear" w:color="auto" w:fill="auto"/>
            <w:tcMar>
              <w:top w:w="110" w:type="dxa"/>
              <w:left w:w="58" w:type="dxa"/>
              <w:right w:w="58" w:type="dxa"/>
            </w:tcMar>
          </w:tcPr>
          <w:p w14:paraId="5D38BA37"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644A97" w:rsidRPr="0055012D" w14:paraId="01E7EACF" w14:textId="77777777" w:rsidTr="00644A97">
        <w:tblPrEx>
          <w:tblCellMar>
            <w:top w:w="0" w:type="dxa"/>
            <w:left w:w="115" w:type="dxa"/>
            <w:bottom w:w="0" w:type="dxa"/>
            <w:right w:w="115" w:type="dxa"/>
          </w:tblCellMar>
        </w:tblPrEx>
        <w:trPr>
          <w:trHeight w:val="1855"/>
        </w:trPr>
        <w:tc>
          <w:tcPr>
            <w:tcW w:w="1137" w:type="pct"/>
            <w:shd w:val="clear" w:color="auto" w:fill="auto"/>
            <w:tcMar>
              <w:left w:w="58" w:type="dxa"/>
              <w:right w:w="58" w:type="dxa"/>
            </w:tcMar>
          </w:tcPr>
          <w:p w14:paraId="3692FAE3" w14:textId="15F59B0F" w:rsidR="00644A97" w:rsidRPr="0055012D" w:rsidRDefault="00644A97" w:rsidP="00CA7EBF">
            <w:pPr>
              <w:rPr>
                <w:color w:val="000000"/>
                <w:sz w:val="16"/>
                <w:szCs w:val="16"/>
              </w:rPr>
            </w:pPr>
            <w:r w:rsidRPr="0055012D">
              <w:rPr>
                <w:color w:val="000000"/>
                <w:sz w:val="16"/>
                <w:szCs w:val="16"/>
              </w:rPr>
              <w:t>No</w:t>
            </w:r>
            <w:r w:rsidR="00CA7EBF">
              <w:rPr>
                <w:color w:val="000000"/>
                <w:sz w:val="16"/>
                <w:szCs w:val="16"/>
              </w:rPr>
              <w:t>mbre d’États membres dans les régions respectives collaborant aux bases de données mondiales</w:t>
            </w:r>
          </w:p>
        </w:tc>
        <w:tc>
          <w:tcPr>
            <w:tcW w:w="1245" w:type="pct"/>
            <w:shd w:val="clear" w:color="auto" w:fill="auto"/>
            <w:tcMar>
              <w:left w:w="58" w:type="dxa"/>
              <w:right w:w="58" w:type="dxa"/>
            </w:tcMar>
          </w:tcPr>
          <w:p w14:paraId="1C290B7B" w14:textId="77777777" w:rsidR="00644A97" w:rsidRPr="001F2738" w:rsidRDefault="00644A97" w:rsidP="00644A97">
            <w:pPr>
              <w:rPr>
                <w:i/>
                <w:color w:val="002060"/>
                <w:sz w:val="16"/>
                <w:szCs w:val="16"/>
              </w:rPr>
            </w:pPr>
            <w:r w:rsidRPr="001F2738">
              <w:rPr>
                <w:i/>
                <w:color w:val="002060"/>
                <w:sz w:val="16"/>
                <w:szCs w:val="16"/>
              </w:rPr>
              <w:t>Niveau de référence actualisé à fin 2015 :</w:t>
            </w:r>
          </w:p>
          <w:p w14:paraId="5216F17D" w14:textId="0A4A459A" w:rsidR="00644A97" w:rsidRPr="001F2738" w:rsidRDefault="00644A97" w:rsidP="00FD57F2">
            <w:pPr>
              <w:rPr>
                <w:rFonts w:eastAsia="Calibri"/>
                <w:color w:val="002060"/>
                <w:sz w:val="16"/>
                <w:szCs w:val="16"/>
              </w:rPr>
            </w:pPr>
            <w:r w:rsidRPr="001F2738">
              <w:rPr>
                <w:rFonts w:eastAsia="Calibri"/>
                <w:color w:val="002060"/>
                <w:sz w:val="16"/>
                <w:szCs w:val="16"/>
              </w:rPr>
              <w:t>PATENTSCOPE (19)</w:t>
            </w:r>
            <w:r w:rsidR="00CA7EBF" w:rsidRPr="001F2738">
              <w:rPr>
                <w:rFonts w:eastAsia="Calibri"/>
                <w:color w:val="002060"/>
                <w:sz w:val="16"/>
                <w:szCs w:val="16"/>
              </w:rPr>
              <w:t> </w:t>
            </w:r>
            <w:r w:rsidRPr="001F2738">
              <w:rPr>
                <w:rFonts w:eastAsia="Calibri"/>
                <w:color w:val="002060"/>
                <w:sz w:val="16"/>
                <w:szCs w:val="16"/>
              </w:rPr>
              <w:t>:</w:t>
            </w:r>
          </w:p>
          <w:p w14:paraId="553B37AD" w14:textId="77777777" w:rsidR="00644A97" w:rsidRPr="001F2738" w:rsidRDefault="00644A97" w:rsidP="00644A97">
            <w:pPr>
              <w:pStyle w:val="ListParagraph"/>
              <w:numPr>
                <w:ilvl w:val="0"/>
                <w:numId w:val="59"/>
              </w:numPr>
              <w:ind w:hanging="129"/>
              <w:contextualSpacing w:val="0"/>
              <w:rPr>
                <w:rFonts w:ascii="Arial" w:eastAsia="Calibri" w:hAnsi="Arial" w:cs="Arial"/>
                <w:color w:val="002060"/>
                <w:sz w:val="16"/>
                <w:szCs w:val="16"/>
              </w:rPr>
            </w:pPr>
            <w:r w:rsidRPr="001F2738">
              <w:rPr>
                <w:rFonts w:ascii="Arial" w:eastAsia="Calibri" w:hAnsi="Arial" w:cs="Arial"/>
                <w:color w:val="002060"/>
                <w:sz w:val="16"/>
                <w:szCs w:val="16"/>
              </w:rPr>
              <w:t>ARABPAT (4)</w:t>
            </w:r>
          </w:p>
          <w:p w14:paraId="5BD3DDEF" w14:textId="77777777" w:rsidR="00644A97" w:rsidRPr="001F2738" w:rsidRDefault="00644A97" w:rsidP="00644A97">
            <w:pPr>
              <w:pStyle w:val="ListParagraph"/>
              <w:numPr>
                <w:ilvl w:val="0"/>
                <w:numId w:val="59"/>
              </w:numPr>
              <w:ind w:hanging="129"/>
              <w:contextualSpacing w:val="0"/>
              <w:rPr>
                <w:rFonts w:ascii="Arial" w:eastAsia="Calibri" w:hAnsi="Arial" w:cs="Arial"/>
                <w:color w:val="002060"/>
                <w:sz w:val="16"/>
                <w:szCs w:val="16"/>
              </w:rPr>
            </w:pPr>
            <w:r w:rsidRPr="001F2738">
              <w:rPr>
                <w:rFonts w:ascii="Arial" w:eastAsia="Calibri" w:hAnsi="Arial" w:cs="Arial"/>
                <w:color w:val="002060"/>
                <w:sz w:val="16"/>
                <w:szCs w:val="16"/>
              </w:rPr>
              <w:t>LATIPAT (15)</w:t>
            </w:r>
          </w:p>
          <w:p w14:paraId="69F5FDDA" w14:textId="77777777" w:rsidR="00644A97" w:rsidRPr="001F2738" w:rsidRDefault="00644A97" w:rsidP="00FD57F2">
            <w:pPr>
              <w:rPr>
                <w:rFonts w:eastAsia="Calibri"/>
                <w:color w:val="002060"/>
                <w:sz w:val="16"/>
                <w:szCs w:val="16"/>
              </w:rPr>
            </w:pPr>
          </w:p>
          <w:p w14:paraId="1D1880D8" w14:textId="65DFD214" w:rsidR="00644A97" w:rsidRPr="001F2738" w:rsidRDefault="00CA7EBF" w:rsidP="00FD57F2">
            <w:pPr>
              <w:rPr>
                <w:rFonts w:eastAsia="Calibri"/>
                <w:color w:val="002060"/>
                <w:sz w:val="16"/>
                <w:szCs w:val="16"/>
              </w:rPr>
            </w:pPr>
            <w:r w:rsidRPr="001F2738">
              <w:rPr>
                <w:rFonts w:eastAsia="Calibri"/>
                <w:color w:val="002060"/>
                <w:sz w:val="16"/>
                <w:szCs w:val="16"/>
              </w:rPr>
              <w:t>Base de données mondiale sur les marques</w:t>
            </w:r>
            <w:r w:rsidR="00644A97" w:rsidRPr="001F2738">
              <w:rPr>
                <w:rFonts w:eastAsia="Calibri"/>
                <w:color w:val="002060"/>
                <w:sz w:val="16"/>
                <w:szCs w:val="16"/>
              </w:rPr>
              <w:t xml:space="preserve"> (4)</w:t>
            </w:r>
            <w:r w:rsidRPr="001F2738">
              <w:rPr>
                <w:rFonts w:eastAsia="Calibri"/>
                <w:color w:val="002060"/>
                <w:sz w:val="16"/>
                <w:szCs w:val="16"/>
              </w:rPr>
              <w:t> </w:t>
            </w:r>
            <w:r w:rsidR="00644A97" w:rsidRPr="001F2738">
              <w:rPr>
                <w:rFonts w:eastAsia="Calibri"/>
                <w:color w:val="002060"/>
                <w:sz w:val="16"/>
                <w:szCs w:val="16"/>
              </w:rPr>
              <w:t xml:space="preserve">:  </w:t>
            </w:r>
          </w:p>
          <w:p w14:paraId="5013A07B" w14:textId="77777777" w:rsidR="00644A97" w:rsidRPr="001F2738" w:rsidRDefault="00644A97" w:rsidP="00644A97">
            <w:pPr>
              <w:pStyle w:val="ListParagraph"/>
              <w:numPr>
                <w:ilvl w:val="0"/>
                <w:numId w:val="59"/>
              </w:numPr>
              <w:ind w:hanging="129"/>
              <w:contextualSpacing w:val="0"/>
              <w:rPr>
                <w:rFonts w:ascii="Arial" w:eastAsia="Calibri" w:hAnsi="Arial" w:cs="Arial"/>
                <w:color w:val="002060"/>
                <w:sz w:val="16"/>
                <w:szCs w:val="16"/>
              </w:rPr>
            </w:pPr>
            <w:r w:rsidRPr="001F2738">
              <w:rPr>
                <w:rFonts w:ascii="Arial" w:eastAsia="Calibri" w:hAnsi="Arial" w:cs="Arial"/>
                <w:color w:val="002060"/>
                <w:sz w:val="16"/>
                <w:szCs w:val="16"/>
              </w:rPr>
              <w:t>ARABPAT (3)</w:t>
            </w:r>
          </w:p>
          <w:p w14:paraId="1C006980" w14:textId="77777777" w:rsidR="00644A97" w:rsidRPr="001F2738" w:rsidRDefault="00644A97" w:rsidP="00644A97">
            <w:pPr>
              <w:pStyle w:val="ListParagraph"/>
              <w:numPr>
                <w:ilvl w:val="0"/>
                <w:numId w:val="59"/>
              </w:numPr>
              <w:ind w:hanging="129"/>
              <w:contextualSpacing w:val="0"/>
              <w:rPr>
                <w:rFonts w:ascii="Arial" w:eastAsia="Calibri" w:hAnsi="Arial" w:cs="Arial"/>
                <w:color w:val="002060"/>
                <w:sz w:val="16"/>
                <w:szCs w:val="16"/>
              </w:rPr>
            </w:pPr>
            <w:r w:rsidRPr="001F2738">
              <w:rPr>
                <w:rFonts w:ascii="Arial" w:eastAsia="Calibri" w:hAnsi="Arial" w:cs="Arial"/>
                <w:color w:val="002060"/>
                <w:sz w:val="16"/>
                <w:szCs w:val="16"/>
              </w:rPr>
              <w:t>LATIPAT (1)</w:t>
            </w:r>
          </w:p>
          <w:p w14:paraId="56DC0CAB" w14:textId="77777777" w:rsidR="00644A97" w:rsidRPr="001F2738" w:rsidRDefault="00644A97" w:rsidP="00FD57F2">
            <w:pPr>
              <w:rPr>
                <w:rFonts w:eastAsia="Calibri"/>
                <w:color w:val="002060"/>
                <w:sz w:val="16"/>
                <w:szCs w:val="16"/>
              </w:rPr>
            </w:pPr>
          </w:p>
          <w:p w14:paraId="52DEECAA" w14:textId="266B45B0" w:rsidR="00644A97" w:rsidRPr="001F2738" w:rsidRDefault="00CA7EBF" w:rsidP="00FD57F2">
            <w:pPr>
              <w:rPr>
                <w:rFonts w:eastAsia="Calibri"/>
                <w:color w:val="002060"/>
                <w:sz w:val="16"/>
                <w:szCs w:val="16"/>
              </w:rPr>
            </w:pPr>
            <w:r w:rsidRPr="001F2738">
              <w:rPr>
                <w:rFonts w:eastAsia="Calibri"/>
                <w:color w:val="002060"/>
                <w:sz w:val="16"/>
                <w:szCs w:val="16"/>
              </w:rPr>
              <w:t>Base de données mondiale sur les dessins et  modèles</w:t>
            </w:r>
            <w:r w:rsidR="00644A97" w:rsidRPr="001F2738">
              <w:rPr>
                <w:rFonts w:eastAsia="Calibri"/>
                <w:color w:val="002060"/>
                <w:sz w:val="16"/>
                <w:szCs w:val="16"/>
              </w:rPr>
              <w:t xml:space="preserve"> (0)</w:t>
            </w:r>
            <w:r w:rsidRPr="001F2738">
              <w:rPr>
                <w:rFonts w:eastAsia="Calibri"/>
                <w:color w:val="002060"/>
                <w:sz w:val="16"/>
                <w:szCs w:val="16"/>
              </w:rPr>
              <w:t> </w:t>
            </w:r>
            <w:r w:rsidR="00644A97" w:rsidRPr="001F2738">
              <w:rPr>
                <w:rFonts w:eastAsia="Calibri"/>
                <w:color w:val="002060"/>
                <w:sz w:val="16"/>
                <w:szCs w:val="16"/>
              </w:rPr>
              <w:t xml:space="preserve">:  </w:t>
            </w:r>
          </w:p>
          <w:p w14:paraId="4D2A08DA" w14:textId="77777777" w:rsidR="00644A97" w:rsidRPr="001F2738" w:rsidRDefault="00644A97" w:rsidP="00644A97">
            <w:pPr>
              <w:pStyle w:val="ListParagraph"/>
              <w:numPr>
                <w:ilvl w:val="0"/>
                <w:numId w:val="59"/>
              </w:numPr>
              <w:ind w:hanging="129"/>
              <w:contextualSpacing w:val="0"/>
              <w:rPr>
                <w:rFonts w:ascii="Arial" w:eastAsia="Calibri" w:hAnsi="Arial" w:cs="Arial"/>
                <w:color w:val="002060"/>
                <w:sz w:val="16"/>
                <w:szCs w:val="16"/>
              </w:rPr>
            </w:pPr>
            <w:r w:rsidRPr="001F2738">
              <w:rPr>
                <w:rFonts w:ascii="Arial" w:eastAsia="Calibri" w:hAnsi="Arial" w:cs="Arial"/>
                <w:color w:val="002060"/>
                <w:sz w:val="16"/>
                <w:szCs w:val="16"/>
              </w:rPr>
              <w:t>ARABPAT (0)</w:t>
            </w:r>
          </w:p>
          <w:p w14:paraId="60A27DE4" w14:textId="77777777" w:rsidR="00644A97" w:rsidRPr="001F2738" w:rsidRDefault="00644A97" w:rsidP="00644A97">
            <w:pPr>
              <w:pStyle w:val="ListParagraph"/>
              <w:numPr>
                <w:ilvl w:val="0"/>
                <w:numId w:val="59"/>
              </w:numPr>
              <w:ind w:hanging="129"/>
              <w:contextualSpacing w:val="0"/>
              <w:rPr>
                <w:rFonts w:ascii="Arial" w:eastAsia="Calibri" w:hAnsi="Arial" w:cs="Arial"/>
                <w:color w:val="002060"/>
                <w:sz w:val="16"/>
                <w:szCs w:val="16"/>
              </w:rPr>
            </w:pPr>
            <w:r w:rsidRPr="001F2738">
              <w:rPr>
                <w:rFonts w:ascii="Arial" w:eastAsia="Calibri" w:hAnsi="Arial" w:cs="Arial"/>
                <w:color w:val="002060"/>
                <w:sz w:val="16"/>
                <w:szCs w:val="16"/>
              </w:rPr>
              <w:t>LATIPAT (0)</w:t>
            </w:r>
          </w:p>
          <w:p w14:paraId="54C486D8" w14:textId="77777777" w:rsidR="00644A97" w:rsidRPr="001F2738" w:rsidRDefault="00644A97" w:rsidP="00FD57F2">
            <w:pPr>
              <w:rPr>
                <w:color w:val="000000"/>
                <w:sz w:val="16"/>
                <w:szCs w:val="16"/>
              </w:rPr>
            </w:pPr>
          </w:p>
          <w:p w14:paraId="36FCE312" w14:textId="77777777" w:rsidR="00644A97" w:rsidRPr="001F2738" w:rsidRDefault="00644A97" w:rsidP="00644A97">
            <w:pPr>
              <w:ind w:right="176"/>
              <w:rPr>
                <w:i/>
                <w:sz w:val="16"/>
                <w:szCs w:val="16"/>
                <w:lang w:bidi="th-TH"/>
              </w:rPr>
            </w:pPr>
            <w:r w:rsidRPr="001F2738">
              <w:rPr>
                <w:i/>
                <w:sz w:val="16"/>
                <w:szCs w:val="16"/>
                <w:lang w:bidi="th-TH"/>
              </w:rPr>
              <w:t>Niveau de référence initial dans le programme et budget 2016</w:t>
            </w:r>
            <w:r w:rsidRPr="001F2738">
              <w:rPr>
                <w:i/>
                <w:sz w:val="16"/>
                <w:szCs w:val="16"/>
                <w:lang w:bidi="th-TH"/>
              </w:rPr>
              <w:noBreakHyphen/>
              <w:t>2017 :</w:t>
            </w:r>
          </w:p>
          <w:p w14:paraId="4F05E266" w14:textId="77777777" w:rsidR="00644A97" w:rsidRPr="001F2738" w:rsidRDefault="00644A97" w:rsidP="00FD57F2">
            <w:pPr>
              <w:ind w:left="5"/>
              <w:rPr>
                <w:sz w:val="16"/>
                <w:szCs w:val="16"/>
              </w:rPr>
            </w:pPr>
            <w:r w:rsidRPr="001F2738">
              <w:rPr>
                <w:sz w:val="16"/>
                <w:szCs w:val="16"/>
              </w:rPr>
              <w:t xml:space="preserve">15 PATENTSCOPE, </w:t>
            </w:r>
          </w:p>
          <w:p w14:paraId="2FCB3C12" w14:textId="5666C118" w:rsidR="00644A97" w:rsidRPr="001F2738" w:rsidRDefault="00644A97" w:rsidP="00FD57F2">
            <w:pPr>
              <w:ind w:left="5"/>
              <w:rPr>
                <w:sz w:val="16"/>
                <w:szCs w:val="16"/>
              </w:rPr>
            </w:pPr>
            <w:r w:rsidRPr="001F2738">
              <w:rPr>
                <w:sz w:val="16"/>
                <w:szCs w:val="16"/>
              </w:rPr>
              <w:t xml:space="preserve">1 </w:t>
            </w:r>
            <w:r w:rsidR="00CA7EBF" w:rsidRPr="001F2738">
              <w:rPr>
                <w:rFonts w:eastAsia="Calibri"/>
                <w:sz w:val="16"/>
                <w:szCs w:val="16"/>
              </w:rPr>
              <w:t>Base de données mondiale sur les marques</w:t>
            </w:r>
            <w:r w:rsidRPr="001F2738">
              <w:rPr>
                <w:sz w:val="16"/>
                <w:szCs w:val="16"/>
              </w:rPr>
              <w:t xml:space="preserve">, 0 </w:t>
            </w:r>
            <w:r w:rsidR="00CA7EBF" w:rsidRPr="001F2738">
              <w:rPr>
                <w:rFonts w:eastAsia="Calibri"/>
                <w:sz w:val="16"/>
                <w:szCs w:val="16"/>
              </w:rPr>
              <w:t>Base de données mondiale sur les dessins et  modèles</w:t>
            </w:r>
            <w:r w:rsidRPr="001F2738">
              <w:rPr>
                <w:sz w:val="16"/>
                <w:szCs w:val="16"/>
              </w:rPr>
              <w:t xml:space="preserve"> LATIPAT</w:t>
            </w:r>
            <w:r w:rsidRPr="001F2738">
              <w:rPr>
                <w:sz w:val="16"/>
                <w:szCs w:val="16"/>
              </w:rPr>
              <w:br/>
            </w:r>
          </w:p>
          <w:p w14:paraId="22CC504A" w14:textId="7CBA6C3E" w:rsidR="00644A97" w:rsidRPr="001F2738" w:rsidRDefault="00644A97" w:rsidP="00FD57F2">
            <w:pPr>
              <w:ind w:left="5"/>
              <w:rPr>
                <w:sz w:val="16"/>
                <w:szCs w:val="16"/>
              </w:rPr>
            </w:pPr>
            <w:r w:rsidRPr="001F2738">
              <w:rPr>
                <w:sz w:val="16"/>
                <w:szCs w:val="16"/>
              </w:rPr>
              <w:t xml:space="preserve">3 PATENTSCOPE, 1 </w:t>
            </w:r>
            <w:r w:rsidR="00CA7EBF" w:rsidRPr="001F2738">
              <w:rPr>
                <w:rFonts w:eastAsia="Calibri"/>
                <w:sz w:val="16"/>
                <w:szCs w:val="16"/>
              </w:rPr>
              <w:t>Base de données mondiale sur les marques</w:t>
            </w:r>
            <w:r w:rsidRPr="001F2738">
              <w:rPr>
                <w:sz w:val="16"/>
                <w:szCs w:val="16"/>
              </w:rPr>
              <w:t xml:space="preserve">, 0 </w:t>
            </w:r>
            <w:r w:rsidR="00CA7EBF" w:rsidRPr="001F2738">
              <w:rPr>
                <w:rFonts w:eastAsia="Calibri"/>
                <w:sz w:val="16"/>
                <w:szCs w:val="16"/>
              </w:rPr>
              <w:t>Base de données mondiale sur les dessins et  modèles</w:t>
            </w:r>
            <w:r w:rsidRPr="001F2738">
              <w:rPr>
                <w:sz w:val="16"/>
                <w:szCs w:val="16"/>
              </w:rPr>
              <w:t xml:space="preserve"> ARABPAT </w:t>
            </w:r>
          </w:p>
          <w:p w14:paraId="1330E0E1" w14:textId="70188282" w:rsidR="00644A97" w:rsidRPr="001F2738" w:rsidRDefault="00644A97" w:rsidP="00A14FAB">
            <w:pPr>
              <w:rPr>
                <w:i/>
                <w:color w:val="002060"/>
                <w:sz w:val="16"/>
                <w:szCs w:val="16"/>
              </w:rPr>
            </w:pPr>
            <w:r w:rsidRPr="001F2738">
              <w:rPr>
                <w:sz w:val="16"/>
                <w:szCs w:val="16"/>
              </w:rPr>
              <w:t>(</w:t>
            </w:r>
            <w:r w:rsidR="00A14FAB" w:rsidRPr="001F2738">
              <w:rPr>
                <w:sz w:val="16"/>
                <w:szCs w:val="16"/>
              </w:rPr>
              <w:t>février</w:t>
            </w:r>
            <w:r w:rsidRPr="001F2738">
              <w:rPr>
                <w:sz w:val="16"/>
                <w:szCs w:val="16"/>
              </w:rPr>
              <w:t xml:space="preserve"> 2015)</w:t>
            </w:r>
          </w:p>
        </w:tc>
        <w:tc>
          <w:tcPr>
            <w:tcW w:w="772" w:type="pct"/>
            <w:shd w:val="clear" w:color="auto" w:fill="auto"/>
            <w:tcMar>
              <w:top w:w="110" w:type="dxa"/>
              <w:left w:w="58" w:type="dxa"/>
              <w:right w:w="58" w:type="dxa"/>
            </w:tcMar>
          </w:tcPr>
          <w:p w14:paraId="552FE1D7" w14:textId="77777777" w:rsidR="00644A97" w:rsidRPr="001303B4" w:rsidRDefault="00644A97" w:rsidP="00FD57F2">
            <w:pPr>
              <w:ind w:left="-3"/>
              <w:rPr>
                <w:sz w:val="16"/>
                <w:szCs w:val="16"/>
              </w:rPr>
            </w:pPr>
            <w:r w:rsidRPr="001303B4">
              <w:rPr>
                <w:sz w:val="16"/>
                <w:szCs w:val="16"/>
              </w:rPr>
              <w:t xml:space="preserve">PATENTSCOPE (+2) </w:t>
            </w:r>
          </w:p>
          <w:p w14:paraId="28F7E799" w14:textId="1CEFC2BB" w:rsidR="00644A97" w:rsidRPr="001303B4" w:rsidRDefault="00CA7EBF" w:rsidP="00FD57F2">
            <w:pPr>
              <w:ind w:left="-3"/>
              <w:rPr>
                <w:sz w:val="16"/>
                <w:szCs w:val="16"/>
              </w:rPr>
            </w:pPr>
            <w:r w:rsidRPr="001303B4">
              <w:rPr>
                <w:rFonts w:eastAsia="Calibri"/>
                <w:sz w:val="16"/>
                <w:szCs w:val="16"/>
              </w:rPr>
              <w:t>Base de données mondiale sur les marques</w:t>
            </w:r>
            <w:r w:rsidR="00644A97" w:rsidRPr="001303B4">
              <w:rPr>
                <w:sz w:val="16"/>
                <w:szCs w:val="16"/>
              </w:rPr>
              <w:t xml:space="preserve"> (+4) </w:t>
            </w:r>
          </w:p>
          <w:p w14:paraId="497CA10A" w14:textId="1717A5BF" w:rsidR="00644A97" w:rsidRPr="001303B4" w:rsidRDefault="00CA7EBF" w:rsidP="00FD57F2">
            <w:pPr>
              <w:rPr>
                <w:sz w:val="16"/>
                <w:szCs w:val="16"/>
              </w:rPr>
            </w:pPr>
            <w:r w:rsidRPr="001303B4">
              <w:rPr>
                <w:rFonts w:eastAsia="Calibri"/>
                <w:sz w:val="16"/>
                <w:szCs w:val="16"/>
              </w:rPr>
              <w:t>Base de données mondiale sur les dessins et  modèles</w:t>
            </w:r>
            <w:r w:rsidR="00644A97" w:rsidRPr="001303B4">
              <w:rPr>
                <w:sz w:val="16"/>
                <w:szCs w:val="16"/>
              </w:rPr>
              <w:t xml:space="preserve"> (+2) </w:t>
            </w:r>
          </w:p>
          <w:p w14:paraId="4D3AC8E9" w14:textId="2F8454A7" w:rsidR="00644A97" w:rsidRPr="001F2738" w:rsidRDefault="00A14FAB" w:rsidP="00FD57F2">
            <w:pPr>
              <w:rPr>
                <w:i/>
                <w:color w:val="002060"/>
                <w:sz w:val="16"/>
                <w:szCs w:val="16"/>
              </w:rPr>
            </w:pPr>
            <w:r w:rsidRPr="001303B4">
              <w:rPr>
                <w:i/>
                <w:sz w:val="16"/>
                <w:szCs w:val="16"/>
              </w:rPr>
              <w:t>Au total</w:t>
            </w:r>
          </w:p>
        </w:tc>
        <w:tc>
          <w:tcPr>
            <w:tcW w:w="1233" w:type="pct"/>
            <w:shd w:val="clear" w:color="auto" w:fill="FFFFFF"/>
            <w:tcMar>
              <w:top w:w="110" w:type="dxa"/>
              <w:left w:w="58" w:type="dxa"/>
              <w:right w:w="58" w:type="dxa"/>
            </w:tcMar>
          </w:tcPr>
          <w:p w14:paraId="633A6909" w14:textId="1D908B5F" w:rsidR="00644A97" w:rsidRPr="001F2738" w:rsidRDefault="00644A97" w:rsidP="00FD57F2">
            <w:pPr>
              <w:keepNext/>
              <w:keepLines/>
              <w:rPr>
                <w:sz w:val="16"/>
                <w:szCs w:val="16"/>
              </w:rPr>
            </w:pPr>
            <w:r w:rsidRPr="001F2738">
              <w:rPr>
                <w:sz w:val="16"/>
                <w:szCs w:val="16"/>
              </w:rPr>
              <w:t>PATENTSCOPE</w:t>
            </w:r>
            <w:r w:rsidR="00CA7EBF" w:rsidRPr="001F2738">
              <w:rPr>
                <w:sz w:val="16"/>
                <w:szCs w:val="16"/>
              </w:rPr>
              <w:t> </w:t>
            </w:r>
            <w:r w:rsidR="001F2738">
              <w:rPr>
                <w:sz w:val="16"/>
                <w:szCs w:val="16"/>
              </w:rPr>
              <w:t xml:space="preserve">: </w:t>
            </w:r>
          </w:p>
          <w:p w14:paraId="52DC68AB" w14:textId="619ECEEA" w:rsidR="00644A97" w:rsidRPr="001F2738" w:rsidRDefault="001F2738" w:rsidP="00FD57F2">
            <w:pPr>
              <w:keepNext/>
              <w:keepLines/>
              <w:rPr>
                <w:sz w:val="16"/>
                <w:szCs w:val="16"/>
              </w:rPr>
            </w:pPr>
            <w:r>
              <w:rPr>
                <w:sz w:val="16"/>
                <w:szCs w:val="16"/>
              </w:rPr>
              <w:t>aucun État membre supplémentaire</w:t>
            </w:r>
          </w:p>
          <w:p w14:paraId="6CA83F43" w14:textId="77777777" w:rsidR="00644A97" w:rsidRPr="001F2738" w:rsidRDefault="00644A97" w:rsidP="00FD57F2">
            <w:pPr>
              <w:keepNext/>
              <w:keepLines/>
              <w:rPr>
                <w:sz w:val="16"/>
                <w:szCs w:val="16"/>
              </w:rPr>
            </w:pPr>
          </w:p>
          <w:p w14:paraId="0D8FD0B3" w14:textId="7B60781C" w:rsidR="00644A97" w:rsidRPr="001F2738" w:rsidRDefault="00CA7EBF" w:rsidP="00FD57F2">
            <w:pPr>
              <w:keepNext/>
              <w:keepLines/>
              <w:rPr>
                <w:sz w:val="16"/>
                <w:szCs w:val="16"/>
              </w:rPr>
            </w:pPr>
            <w:r w:rsidRPr="001F2738">
              <w:rPr>
                <w:rFonts w:eastAsia="Calibri"/>
                <w:sz w:val="16"/>
                <w:szCs w:val="16"/>
              </w:rPr>
              <w:t>Base de données mondiale sur les marques</w:t>
            </w:r>
            <w:r w:rsidRPr="001F2738">
              <w:rPr>
                <w:sz w:val="16"/>
                <w:szCs w:val="16"/>
              </w:rPr>
              <w:t> </w:t>
            </w:r>
            <w:r w:rsidR="001F2738">
              <w:rPr>
                <w:sz w:val="16"/>
                <w:szCs w:val="16"/>
              </w:rPr>
              <w:t xml:space="preserve">: </w:t>
            </w:r>
          </w:p>
          <w:p w14:paraId="614610F5" w14:textId="2E08B727" w:rsidR="00644A97" w:rsidRPr="001F2738" w:rsidRDefault="001F2738" w:rsidP="00FD57F2">
            <w:pPr>
              <w:keepNext/>
              <w:keepLines/>
              <w:rPr>
                <w:sz w:val="16"/>
                <w:szCs w:val="16"/>
              </w:rPr>
            </w:pPr>
            <w:r>
              <w:rPr>
                <w:sz w:val="16"/>
                <w:szCs w:val="16"/>
              </w:rPr>
              <w:t>aucun État membre supplémentaire</w:t>
            </w:r>
          </w:p>
          <w:p w14:paraId="58056E1B" w14:textId="77777777" w:rsidR="00644A97" w:rsidRPr="001F2738" w:rsidRDefault="00644A97" w:rsidP="00FD57F2">
            <w:pPr>
              <w:keepNext/>
              <w:keepLines/>
              <w:rPr>
                <w:sz w:val="16"/>
                <w:szCs w:val="16"/>
              </w:rPr>
            </w:pPr>
          </w:p>
          <w:p w14:paraId="635DD940" w14:textId="4CD35201" w:rsidR="00644A97" w:rsidRPr="001F2738" w:rsidRDefault="00CA7EBF" w:rsidP="00FD57F2">
            <w:pPr>
              <w:keepNext/>
              <w:keepLines/>
              <w:rPr>
                <w:sz w:val="16"/>
                <w:szCs w:val="16"/>
              </w:rPr>
            </w:pPr>
            <w:r w:rsidRPr="001F2738">
              <w:rPr>
                <w:rFonts w:eastAsia="Calibri"/>
                <w:sz w:val="16"/>
                <w:szCs w:val="16"/>
              </w:rPr>
              <w:t>Base de données mondiale sur les dessins et  modèles</w:t>
            </w:r>
            <w:r w:rsidR="001F2738">
              <w:rPr>
                <w:rFonts w:eastAsia="Calibri"/>
                <w:sz w:val="16"/>
                <w:szCs w:val="16"/>
              </w:rPr>
              <w:t> </w:t>
            </w:r>
            <w:r w:rsidR="00644A97" w:rsidRPr="001F2738">
              <w:rPr>
                <w:sz w:val="16"/>
                <w:szCs w:val="16"/>
              </w:rPr>
              <w:t xml:space="preserve">: </w:t>
            </w:r>
          </w:p>
          <w:p w14:paraId="02E42F5C" w14:textId="517BF6D3" w:rsidR="00644A97" w:rsidRPr="001F2738" w:rsidRDefault="001F2738" w:rsidP="00644A97">
            <w:pPr>
              <w:keepNext/>
              <w:keepLines/>
              <w:rPr>
                <w:color w:val="000000"/>
                <w:sz w:val="16"/>
                <w:szCs w:val="16"/>
              </w:rPr>
            </w:pPr>
            <w:r>
              <w:rPr>
                <w:sz w:val="16"/>
                <w:szCs w:val="16"/>
              </w:rPr>
              <w:t>aucun État membre supplémentaire</w:t>
            </w:r>
          </w:p>
        </w:tc>
        <w:tc>
          <w:tcPr>
            <w:tcW w:w="613" w:type="pct"/>
            <w:gridSpan w:val="2"/>
            <w:shd w:val="clear" w:color="auto" w:fill="auto"/>
            <w:tcMar>
              <w:top w:w="110" w:type="dxa"/>
              <w:left w:w="58" w:type="dxa"/>
              <w:right w:w="58" w:type="dxa"/>
            </w:tcMar>
          </w:tcPr>
          <w:p w14:paraId="251A6D82" w14:textId="3264AD93" w:rsidR="00644A97" w:rsidRPr="00847ADD" w:rsidRDefault="00644A97" w:rsidP="00644A97">
            <w:pPr>
              <w:keepNext/>
              <w:keepLines/>
              <w:jc w:val="center"/>
              <w:rPr>
                <w:b/>
                <w:color w:val="00B050"/>
                <w:sz w:val="16"/>
                <w:szCs w:val="16"/>
              </w:rPr>
            </w:pPr>
            <w:r>
              <w:rPr>
                <w:b/>
                <w:color w:val="FF0000"/>
                <w:sz w:val="16"/>
                <w:szCs w:val="16"/>
              </w:rPr>
              <w:t>Pas en bonne voie</w:t>
            </w:r>
          </w:p>
        </w:tc>
      </w:tr>
      <w:tr w:rsidR="00BA5EA9" w:rsidRPr="001E6DFD" w14:paraId="74A33301" w14:textId="77777777" w:rsidTr="00644A97">
        <w:trPr>
          <w:gridAfter w:val="1"/>
          <w:wAfter w:w="44" w:type="pct"/>
        </w:trPr>
        <w:tc>
          <w:tcPr>
            <w:tcW w:w="1137" w:type="pct"/>
            <w:shd w:val="clear" w:color="auto" w:fill="auto"/>
            <w:tcMar>
              <w:left w:w="58" w:type="dxa"/>
              <w:right w:w="58" w:type="dxa"/>
            </w:tcMar>
          </w:tcPr>
          <w:p w14:paraId="6D57E0BC" w14:textId="6521BA72" w:rsidR="00BA5EA9" w:rsidRPr="001E6DFD" w:rsidRDefault="006547DF" w:rsidP="0048606A">
            <w:pPr>
              <w:keepNext/>
              <w:keepLines/>
              <w:rPr>
                <w:sz w:val="16"/>
                <w:szCs w:val="16"/>
              </w:rPr>
            </w:pPr>
            <w:r w:rsidRPr="001E6DFD">
              <w:rPr>
                <w:sz w:val="16"/>
                <w:szCs w:val="16"/>
              </w:rPr>
              <w:lastRenderedPageBreak/>
              <w:t>Nombre d</w:t>
            </w:r>
            <w:r w:rsidR="00FA22F6" w:rsidRPr="001E6DFD">
              <w:rPr>
                <w:sz w:val="16"/>
                <w:szCs w:val="16"/>
              </w:rPr>
              <w:t>’</w:t>
            </w:r>
            <w:r w:rsidRPr="001E6DFD">
              <w:rPr>
                <w:sz w:val="16"/>
                <w:szCs w:val="16"/>
              </w:rPr>
              <w:t>utilisateurs actifs inscrits aux programmes ARDI et ASPI</w:t>
            </w:r>
          </w:p>
        </w:tc>
        <w:tc>
          <w:tcPr>
            <w:tcW w:w="1245" w:type="pct"/>
            <w:shd w:val="clear" w:color="auto" w:fill="auto"/>
            <w:tcMar>
              <w:left w:w="58" w:type="dxa"/>
              <w:right w:w="58" w:type="dxa"/>
            </w:tcMar>
          </w:tcPr>
          <w:p w14:paraId="5F556CBA" w14:textId="7BAF82C0" w:rsidR="001F64B1" w:rsidRPr="007419D6" w:rsidRDefault="00E64532" w:rsidP="0048606A">
            <w:pPr>
              <w:keepNext/>
              <w:keepLines/>
              <w:rPr>
                <w:i/>
                <w:color w:val="002060"/>
                <w:sz w:val="16"/>
                <w:szCs w:val="16"/>
              </w:rPr>
            </w:pPr>
            <w:r w:rsidRPr="007419D6">
              <w:rPr>
                <w:i/>
                <w:color w:val="002060"/>
                <w:sz w:val="16"/>
                <w:szCs w:val="16"/>
              </w:rPr>
              <w:t>Niveau de référence actualisé à fin</w:t>
            </w:r>
            <w:r w:rsidR="00B4191E" w:rsidRPr="007419D6">
              <w:rPr>
                <w:i/>
                <w:color w:val="002060"/>
                <w:sz w:val="16"/>
                <w:szCs w:val="16"/>
              </w:rPr>
              <w:t> </w:t>
            </w:r>
            <w:r w:rsidRPr="007419D6">
              <w:rPr>
                <w:i/>
                <w:color w:val="002060"/>
                <w:sz w:val="16"/>
                <w:szCs w:val="16"/>
              </w:rPr>
              <w:t>2015</w:t>
            </w:r>
            <w:r w:rsidR="00FA22F6" w:rsidRPr="007419D6">
              <w:rPr>
                <w:i/>
                <w:color w:val="002060"/>
                <w:sz w:val="16"/>
                <w:szCs w:val="16"/>
              </w:rPr>
              <w:t> :</w:t>
            </w:r>
          </w:p>
          <w:p w14:paraId="6B391314" w14:textId="77777777" w:rsidR="001F64B1" w:rsidRPr="007419D6" w:rsidRDefault="006547DF" w:rsidP="0048606A">
            <w:pPr>
              <w:keepNext/>
              <w:keepLines/>
              <w:rPr>
                <w:color w:val="002060"/>
                <w:sz w:val="16"/>
                <w:szCs w:val="16"/>
              </w:rPr>
            </w:pPr>
            <w:r w:rsidRPr="007419D6">
              <w:rPr>
                <w:color w:val="002060"/>
                <w:sz w:val="16"/>
                <w:szCs w:val="16"/>
              </w:rPr>
              <w:t>ARDI – 623</w:t>
            </w:r>
          </w:p>
          <w:p w14:paraId="079DDB9B" w14:textId="77777777" w:rsidR="001F64B1" w:rsidRPr="007419D6" w:rsidRDefault="006547DF" w:rsidP="0048606A">
            <w:pPr>
              <w:keepNext/>
              <w:keepLines/>
              <w:rPr>
                <w:color w:val="002060"/>
                <w:sz w:val="16"/>
                <w:szCs w:val="16"/>
              </w:rPr>
            </w:pPr>
            <w:r w:rsidRPr="007419D6">
              <w:rPr>
                <w:color w:val="002060"/>
                <w:sz w:val="16"/>
                <w:szCs w:val="16"/>
              </w:rPr>
              <w:t>ASPI – 42</w:t>
            </w:r>
          </w:p>
          <w:p w14:paraId="4DFE8E2B" w14:textId="77777777" w:rsidR="001F64B1" w:rsidRPr="001E6DFD" w:rsidRDefault="001F64B1" w:rsidP="0048606A">
            <w:pPr>
              <w:keepNext/>
              <w:keepLines/>
              <w:rPr>
                <w:sz w:val="16"/>
                <w:szCs w:val="16"/>
              </w:rPr>
            </w:pPr>
          </w:p>
          <w:p w14:paraId="33C7754E" w14:textId="318ADCB9" w:rsidR="00FA22F6" w:rsidRPr="001E6DFD" w:rsidRDefault="00E64532" w:rsidP="0048606A">
            <w:pPr>
              <w:keepNext/>
              <w:keepLines/>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62C1C0B" w14:textId="77777777" w:rsidR="00FA22F6" w:rsidRPr="001E6DFD" w:rsidRDefault="006547DF" w:rsidP="0048606A">
            <w:pPr>
              <w:keepNext/>
              <w:keepLines/>
              <w:ind w:left="5"/>
              <w:rPr>
                <w:sz w:val="16"/>
                <w:szCs w:val="16"/>
              </w:rPr>
            </w:pPr>
            <w:r w:rsidRPr="001E6DFD">
              <w:rPr>
                <w:sz w:val="16"/>
                <w:szCs w:val="16"/>
              </w:rPr>
              <w:t>ARDI (411 utilisateurs actifs)</w:t>
            </w:r>
          </w:p>
          <w:p w14:paraId="36D4DD2B" w14:textId="77777777" w:rsidR="00FA22F6" w:rsidRPr="001E6DFD" w:rsidRDefault="006547DF" w:rsidP="0048606A">
            <w:pPr>
              <w:keepNext/>
              <w:keepLines/>
              <w:ind w:left="5"/>
              <w:rPr>
                <w:sz w:val="16"/>
                <w:szCs w:val="16"/>
              </w:rPr>
            </w:pPr>
            <w:r w:rsidRPr="001E6DFD">
              <w:rPr>
                <w:sz w:val="16"/>
                <w:szCs w:val="16"/>
              </w:rPr>
              <w:t>ASPI (35 utilisateurs actifs)</w:t>
            </w:r>
          </w:p>
          <w:p w14:paraId="08B03B68" w14:textId="5A4C066C" w:rsidR="00BA5EA9" w:rsidRPr="001E6DFD" w:rsidRDefault="006547DF" w:rsidP="0048606A">
            <w:pPr>
              <w:keepNext/>
              <w:keepLines/>
              <w:tabs>
                <w:tab w:val="left" w:pos="1453"/>
              </w:tabs>
              <w:ind w:left="5"/>
              <w:rPr>
                <w:sz w:val="16"/>
                <w:szCs w:val="16"/>
              </w:rPr>
            </w:pPr>
            <w:r w:rsidRPr="001E6DFD">
              <w:rPr>
                <w:sz w:val="16"/>
                <w:szCs w:val="16"/>
              </w:rPr>
              <w:t>(fin</w:t>
            </w:r>
            <w:r w:rsidR="00B4191E">
              <w:rPr>
                <w:sz w:val="16"/>
                <w:szCs w:val="16"/>
              </w:rPr>
              <w:t> </w:t>
            </w:r>
            <w:r w:rsidRPr="001E6DFD">
              <w:rPr>
                <w:sz w:val="16"/>
                <w:szCs w:val="16"/>
              </w:rPr>
              <w:t>2014)</w:t>
            </w:r>
          </w:p>
        </w:tc>
        <w:tc>
          <w:tcPr>
            <w:tcW w:w="772" w:type="pct"/>
            <w:shd w:val="clear" w:color="auto" w:fill="auto"/>
            <w:tcMar>
              <w:top w:w="110" w:type="dxa"/>
              <w:left w:w="58" w:type="dxa"/>
              <w:right w:w="58" w:type="dxa"/>
            </w:tcMar>
          </w:tcPr>
          <w:p w14:paraId="65D8012D" w14:textId="05B4EE19" w:rsidR="00FA22F6" w:rsidRPr="007419D6" w:rsidRDefault="00AC7D97" w:rsidP="0048606A">
            <w:pPr>
              <w:keepNext/>
              <w:keepLines/>
              <w:rPr>
                <w:i/>
                <w:color w:val="002060"/>
                <w:sz w:val="16"/>
                <w:szCs w:val="16"/>
              </w:rPr>
            </w:pPr>
            <w:r w:rsidRPr="007419D6">
              <w:rPr>
                <w:i/>
                <w:color w:val="002060"/>
                <w:sz w:val="16"/>
                <w:szCs w:val="16"/>
              </w:rPr>
              <w:t>Objectif actualisé</w:t>
            </w:r>
            <w:r w:rsidR="00FA22F6" w:rsidRPr="007419D6">
              <w:rPr>
                <w:i/>
                <w:color w:val="002060"/>
                <w:sz w:val="16"/>
                <w:szCs w:val="16"/>
              </w:rPr>
              <w:t> :</w:t>
            </w:r>
          </w:p>
          <w:p w14:paraId="5987FE78" w14:textId="77777777" w:rsidR="007419D6" w:rsidRDefault="007419D6" w:rsidP="0048606A">
            <w:pPr>
              <w:keepNext/>
              <w:keepLines/>
              <w:rPr>
                <w:color w:val="002060"/>
                <w:sz w:val="16"/>
                <w:szCs w:val="16"/>
              </w:rPr>
            </w:pPr>
          </w:p>
          <w:p w14:paraId="1A4E8B95" w14:textId="1F359669" w:rsidR="001F64B1" w:rsidRPr="007419D6" w:rsidRDefault="006547DF" w:rsidP="0048606A">
            <w:pPr>
              <w:keepNext/>
              <w:keepLines/>
              <w:rPr>
                <w:color w:val="002060"/>
                <w:sz w:val="16"/>
                <w:szCs w:val="16"/>
              </w:rPr>
            </w:pPr>
            <w:r w:rsidRPr="007419D6">
              <w:rPr>
                <w:color w:val="002060"/>
                <w:sz w:val="16"/>
                <w:szCs w:val="16"/>
              </w:rPr>
              <w:t>ARDI – 900,</w:t>
            </w:r>
            <w:r w:rsidRPr="007419D6">
              <w:rPr>
                <w:color w:val="002060"/>
                <w:sz w:val="16"/>
                <w:szCs w:val="16"/>
              </w:rPr>
              <w:br/>
              <w:t>ASPI – 55</w:t>
            </w:r>
          </w:p>
          <w:p w14:paraId="524D9118" w14:textId="77777777" w:rsidR="001F64B1" w:rsidRPr="001E6DFD" w:rsidRDefault="001F64B1" w:rsidP="0048606A">
            <w:pPr>
              <w:keepNext/>
              <w:keepLines/>
              <w:rPr>
                <w:sz w:val="16"/>
                <w:szCs w:val="16"/>
                <w:lang w:bidi="th-TH"/>
              </w:rPr>
            </w:pPr>
          </w:p>
          <w:p w14:paraId="4BF40954" w14:textId="09EEC51E" w:rsidR="00FA22F6" w:rsidRPr="001E6DFD" w:rsidRDefault="00AC7D97" w:rsidP="0048606A">
            <w:pPr>
              <w:keepNext/>
              <w:keepLines/>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0656D105" w14:textId="05EC0E7A" w:rsidR="00BA5EA9" w:rsidRPr="001E6DFD" w:rsidRDefault="006547DF" w:rsidP="0048606A">
            <w:pPr>
              <w:keepNext/>
              <w:keepLines/>
              <w:ind w:left="-3"/>
              <w:rPr>
                <w:sz w:val="16"/>
                <w:szCs w:val="16"/>
              </w:rPr>
            </w:pPr>
            <w:r w:rsidRPr="001E6DFD">
              <w:rPr>
                <w:sz w:val="16"/>
                <w:szCs w:val="16"/>
              </w:rPr>
              <w:t>ARDI – 600,</w:t>
            </w:r>
            <w:r w:rsidRPr="001E6DFD">
              <w:rPr>
                <w:sz w:val="16"/>
                <w:szCs w:val="16"/>
              </w:rPr>
              <w:br/>
              <w:t>ASPI – 60</w:t>
            </w:r>
          </w:p>
        </w:tc>
        <w:tc>
          <w:tcPr>
            <w:tcW w:w="1233" w:type="pct"/>
            <w:shd w:val="clear" w:color="auto" w:fill="FFFFFF"/>
            <w:tcMar>
              <w:top w:w="110" w:type="dxa"/>
              <w:left w:w="58" w:type="dxa"/>
              <w:right w:w="58" w:type="dxa"/>
            </w:tcMar>
          </w:tcPr>
          <w:p w14:paraId="4B9D57E6" w14:textId="77777777" w:rsidR="00BA5EA9" w:rsidRPr="001E6DFD" w:rsidRDefault="006547DF" w:rsidP="0048606A">
            <w:pPr>
              <w:keepNext/>
              <w:keepLines/>
              <w:rPr>
                <w:sz w:val="16"/>
                <w:szCs w:val="16"/>
              </w:rPr>
            </w:pPr>
            <w:r w:rsidRPr="001E6DFD">
              <w:rPr>
                <w:sz w:val="16"/>
                <w:szCs w:val="16"/>
              </w:rPr>
              <w:t>ARDI – 800,</w:t>
            </w:r>
            <w:r w:rsidRPr="001E6DFD">
              <w:rPr>
                <w:sz w:val="16"/>
                <w:szCs w:val="16"/>
              </w:rPr>
              <w:br/>
              <w:t>ASPI – 55</w:t>
            </w:r>
          </w:p>
        </w:tc>
        <w:tc>
          <w:tcPr>
            <w:tcW w:w="569" w:type="pct"/>
            <w:shd w:val="clear" w:color="auto" w:fill="auto"/>
            <w:tcMar>
              <w:top w:w="110" w:type="dxa"/>
              <w:left w:w="58" w:type="dxa"/>
              <w:right w:w="58" w:type="dxa"/>
            </w:tcMar>
          </w:tcPr>
          <w:p w14:paraId="6E41FD66" w14:textId="77777777" w:rsidR="00BA5EA9" w:rsidRPr="001E6DFD" w:rsidRDefault="00A43B2F" w:rsidP="0048606A">
            <w:pPr>
              <w:keepNext/>
              <w:keepLines/>
              <w:jc w:val="center"/>
              <w:rPr>
                <w:sz w:val="16"/>
                <w:szCs w:val="16"/>
              </w:rPr>
            </w:pPr>
            <w:r w:rsidRPr="001E6DFD">
              <w:rPr>
                <w:b/>
                <w:color w:val="00B050"/>
                <w:sz w:val="16"/>
                <w:szCs w:val="16"/>
              </w:rPr>
              <w:t>En bonne voie</w:t>
            </w:r>
          </w:p>
        </w:tc>
      </w:tr>
      <w:tr w:rsidR="00BA5EA9" w:rsidRPr="001E6DFD" w14:paraId="24D109A9" w14:textId="77777777" w:rsidTr="00644A97">
        <w:trPr>
          <w:gridAfter w:val="1"/>
          <w:wAfter w:w="44" w:type="pct"/>
        </w:trPr>
        <w:tc>
          <w:tcPr>
            <w:tcW w:w="1137" w:type="pct"/>
            <w:shd w:val="clear" w:color="auto" w:fill="auto"/>
            <w:tcMar>
              <w:left w:w="58" w:type="dxa"/>
              <w:right w:w="58" w:type="dxa"/>
            </w:tcMar>
          </w:tcPr>
          <w:p w14:paraId="33E89E6E" w14:textId="305CC1C8" w:rsidR="00BA5EA9" w:rsidRPr="001E6DFD" w:rsidRDefault="006547DF" w:rsidP="0097226C">
            <w:pPr>
              <w:rPr>
                <w:sz w:val="16"/>
                <w:szCs w:val="16"/>
              </w:rPr>
            </w:pPr>
            <w:r w:rsidRPr="001E6DFD">
              <w:rPr>
                <w:sz w:val="16"/>
                <w:szCs w:val="16"/>
              </w:rPr>
              <w:t>Nombre de demandes adressées</w:t>
            </w:r>
            <w:r w:rsidR="00FA22F6" w:rsidRPr="001E6DFD">
              <w:rPr>
                <w:sz w:val="16"/>
                <w:szCs w:val="16"/>
              </w:rPr>
              <w:t xml:space="preserve"> aux CAT</w:t>
            </w:r>
            <w:r w:rsidRPr="001E6DFD">
              <w:rPr>
                <w:sz w:val="16"/>
                <w:szCs w:val="16"/>
              </w:rPr>
              <w:t>I dans le cadre du projet de “premier guichet”</w:t>
            </w:r>
          </w:p>
        </w:tc>
        <w:tc>
          <w:tcPr>
            <w:tcW w:w="1245" w:type="pct"/>
            <w:shd w:val="clear" w:color="auto" w:fill="auto"/>
            <w:tcMar>
              <w:left w:w="58" w:type="dxa"/>
              <w:right w:w="58" w:type="dxa"/>
            </w:tcMar>
          </w:tcPr>
          <w:p w14:paraId="3FB96467" w14:textId="443BC3A2" w:rsidR="00FA22F6" w:rsidRPr="007419D6" w:rsidRDefault="00E64532" w:rsidP="0097226C">
            <w:pPr>
              <w:rPr>
                <w:i/>
                <w:color w:val="002060"/>
                <w:sz w:val="16"/>
                <w:szCs w:val="16"/>
              </w:rPr>
            </w:pPr>
            <w:r w:rsidRPr="007419D6">
              <w:rPr>
                <w:i/>
                <w:color w:val="002060"/>
                <w:sz w:val="16"/>
                <w:szCs w:val="16"/>
              </w:rPr>
              <w:t>Niveau de référence actualisé à fin</w:t>
            </w:r>
            <w:r w:rsidR="00B4191E" w:rsidRPr="007419D6">
              <w:rPr>
                <w:i/>
                <w:color w:val="002060"/>
                <w:sz w:val="16"/>
                <w:szCs w:val="16"/>
              </w:rPr>
              <w:t> </w:t>
            </w:r>
            <w:r w:rsidRPr="007419D6">
              <w:rPr>
                <w:i/>
                <w:color w:val="002060"/>
                <w:sz w:val="16"/>
                <w:szCs w:val="16"/>
              </w:rPr>
              <w:t>2015</w:t>
            </w:r>
            <w:r w:rsidR="00FA22F6" w:rsidRPr="007419D6">
              <w:rPr>
                <w:i/>
                <w:color w:val="002060"/>
                <w:sz w:val="16"/>
                <w:szCs w:val="16"/>
              </w:rPr>
              <w:t> :</w:t>
            </w:r>
          </w:p>
          <w:p w14:paraId="304B32AE" w14:textId="51A535C1" w:rsidR="001F64B1" w:rsidRPr="007419D6" w:rsidRDefault="005A2663" w:rsidP="0097226C">
            <w:pPr>
              <w:rPr>
                <w:color w:val="002060"/>
                <w:sz w:val="16"/>
                <w:szCs w:val="16"/>
              </w:rPr>
            </w:pPr>
            <w:r w:rsidRPr="007419D6">
              <w:rPr>
                <w:color w:val="002060"/>
                <w:sz w:val="16"/>
                <w:szCs w:val="16"/>
              </w:rPr>
              <w:t>0 (zé</w:t>
            </w:r>
            <w:r w:rsidR="00BA5EA9" w:rsidRPr="007419D6">
              <w:rPr>
                <w:color w:val="002060"/>
                <w:sz w:val="16"/>
                <w:szCs w:val="16"/>
              </w:rPr>
              <w:t>ro</w:t>
            </w:r>
            <w:r w:rsidR="00E94653" w:rsidRPr="007419D6">
              <w:rPr>
                <w:color w:val="002060"/>
                <w:sz w:val="16"/>
                <w:szCs w:val="16"/>
              </w:rPr>
              <w:t>)</w:t>
            </w:r>
            <w:r w:rsidR="00FA22F6" w:rsidRPr="007419D6">
              <w:rPr>
                <w:color w:val="002060"/>
                <w:sz w:val="16"/>
                <w:szCs w:val="16"/>
              </w:rPr>
              <w:t> :</w:t>
            </w:r>
            <w:r w:rsidR="00BA5EA9" w:rsidRPr="007419D6">
              <w:rPr>
                <w:color w:val="002060"/>
                <w:sz w:val="16"/>
                <w:szCs w:val="16"/>
              </w:rPr>
              <w:t xml:space="preserve"> </w:t>
            </w:r>
            <w:r w:rsidR="00A806A7">
              <w:rPr>
                <w:color w:val="002060"/>
                <w:sz w:val="16"/>
                <w:szCs w:val="16"/>
              </w:rPr>
              <w:t>pas de premier guichet établi avant 2016</w:t>
            </w:r>
          </w:p>
          <w:p w14:paraId="4FE4085D" w14:textId="77777777" w:rsidR="001F64B1" w:rsidRPr="001E6DFD" w:rsidRDefault="001F64B1" w:rsidP="0097226C">
            <w:pPr>
              <w:rPr>
                <w:sz w:val="16"/>
                <w:szCs w:val="16"/>
              </w:rPr>
            </w:pPr>
          </w:p>
          <w:p w14:paraId="2840D98D" w14:textId="0C73AE44"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AB92C82" w14:textId="464D8DAC" w:rsidR="00BA5EA9" w:rsidRPr="001E6DFD" w:rsidRDefault="006547DF" w:rsidP="0097226C">
            <w:pPr>
              <w:rPr>
                <w:sz w:val="16"/>
                <w:szCs w:val="16"/>
              </w:rPr>
            </w:pPr>
            <w:proofErr w:type="spellStart"/>
            <w:r w:rsidRPr="001E6DFD">
              <w:rPr>
                <w:sz w:val="16"/>
                <w:szCs w:val="16"/>
              </w:rPr>
              <w:t>s.o</w:t>
            </w:r>
            <w:proofErr w:type="spellEnd"/>
            <w:r w:rsidRPr="001E6DFD">
              <w:rPr>
                <w:sz w:val="16"/>
                <w:szCs w:val="16"/>
              </w:rPr>
              <w:t>. (nouveau)</w:t>
            </w:r>
          </w:p>
        </w:tc>
        <w:tc>
          <w:tcPr>
            <w:tcW w:w="772" w:type="pct"/>
            <w:shd w:val="clear" w:color="auto" w:fill="auto"/>
            <w:tcMar>
              <w:top w:w="110" w:type="dxa"/>
              <w:left w:w="58" w:type="dxa"/>
              <w:right w:w="58" w:type="dxa"/>
            </w:tcMar>
          </w:tcPr>
          <w:p w14:paraId="0937772E" w14:textId="6D5219D7" w:rsidR="00FA22F6" w:rsidRPr="007419D6" w:rsidRDefault="00980A1C" w:rsidP="0097226C">
            <w:pPr>
              <w:rPr>
                <w:i/>
                <w:color w:val="002060"/>
                <w:sz w:val="16"/>
                <w:szCs w:val="16"/>
              </w:rPr>
            </w:pPr>
            <w:r w:rsidRPr="007419D6">
              <w:rPr>
                <w:i/>
                <w:color w:val="002060"/>
                <w:sz w:val="16"/>
                <w:szCs w:val="16"/>
              </w:rPr>
              <w:t>Objectif actualisé</w:t>
            </w:r>
            <w:r w:rsidR="00FA22F6" w:rsidRPr="007419D6">
              <w:rPr>
                <w:i/>
                <w:color w:val="002060"/>
                <w:sz w:val="16"/>
                <w:szCs w:val="16"/>
              </w:rPr>
              <w:t> :</w:t>
            </w:r>
          </w:p>
          <w:p w14:paraId="2BCF56EF" w14:textId="2AB1FCAE" w:rsidR="001F64B1" w:rsidRPr="007419D6" w:rsidRDefault="00BA5EA9" w:rsidP="0097226C">
            <w:pPr>
              <w:rPr>
                <w:color w:val="002060"/>
                <w:sz w:val="16"/>
                <w:szCs w:val="16"/>
              </w:rPr>
            </w:pPr>
            <w:r w:rsidRPr="007419D6">
              <w:rPr>
                <w:color w:val="002060"/>
                <w:sz w:val="16"/>
                <w:szCs w:val="16"/>
              </w:rPr>
              <w:t>40</w:t>
            </w:r>
          </w:p>
          <w:p w14:paraId="4C46E823" w14:textId="77777777" w:rsidR="001F64B1" w:rsidRPr="001E6DFD" w:rsidRDefault="001F64B1" w:rsidP="0097226C">
            <w:pPr>
              <w:rPr>
                <w:sz w:val="16"/>
                <w:szCs w:val="16"/>
              </w:rPr>
            </w:pPr>
          </w:p>
          <w:p w14:paraId="57447455" w14:textId="77777777" w:rsidR="001F64B1" w:rsidRPr="001E6DFD" w:rsidRDefault="001F64B1" w:rsidP="0097226C">
            <w:pPr>
              <w:rPr>
                <w:i/>
                <w:sz w:val="16"/>
                <w:szCs w:val="16"/>
              </w:rPr>
            </w:pPr>
          </w:p>
          <w:p w14:paraId="782FD71D" w14:textId="59ED7837" w:rsidR="001F64B1" w:rsidRPr="001E6DFD" w:rsidRDefault="00AC7D97" w:rsidP="0097226C">
            <w:pPr>
              <w:rPr>
                <w:i/>
                <w:sz w:val="16"/>
                <w:szCs w:val="16"/>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5E5C6580" w14:textId="77777777" w:rsidR="00BA5EA9" w:rsidRPr="001E6DFD" w:rsidRDefault="00BA5EA9" w:rsidP="0097226C">
            <w:pPr>
              <w:rPr>
                <w:sz w:val="16"/>
                <w:szCs w:val="16"/>
              </w:rPr>
            </w:pPr>
            <w:r w:rsidRPr="001E6DFD">
              <w:rPr>
                <w:sz w:val="16"/>
                <w:szCs w:val="16"/>
              </w:rPr>
              <w:t>10</w:t>
            </w:r>
          </w:p>
        </w:tc>
        <w:tc>
          <w:tcPr>
            <w:tcW w:w="1233" w:type="pct"/>
            <w:shd w:val="clear" w:color="auto" w:fill="FFFFFF"/>
            <w:tcMar>
              <w:top w:w="110" w:type="dxa"/>
              <w:left w:w="58" w:type="dxa"/>
              <w:right w:w="58" w:type="dxa"/>
            </w:tcMar>
          </w:tcPr>
          <w:p w14:paraId="19AEC3FB" w14:textId="7205833F" w:rsidR="00BA5EA9" w:rsidRPr="007419D6" w:rsidRDefault="00BA5EA9" w:rsidP="0097226C">
            <w:pPr>
              <w:keepNext/>
              <w:keepLines/>
              <w:rPr>
                <w:sz w:val="16"/>
                <w:szCs w:val="16"/>
              </w:rPr>
            </w:pPr>
            <w:r w:rsidRPr="007419D6">
              <w:rPr>
                <w:sz w:val="16"/>
                <w:szCs w:val="16"/>
              </w:rPr>
              <w:t xml:space="preserve">35 </w:t>
            </w:r>
            <w:r w:rsidR="0035170A" w:rsidRPr="007419D6">
              <w:rPr>
                <w:sz w:val="16"/>
                <w:szCs w:val="16"/>
              </w:rPr>
              <w:t>demandes adressées</w:t>
            </w:r>
            <w:r w:rsidR="00FA22F6" w:rsidRPr="007419D6">
              <w:rPr>
                <w:sz w:val="16"/>
                <w:szCs w:val="16"/>
              </w:rPr>
              <w:t xml:space="preserve"> aux CAT</w:t>
            </w:r>
            <w:r w:rsidR="0035170A" w:rsidRPr="007419D6">
              <w:rPr>
                <w:sz w:val="16"/>
                <w:szCs w:val="16"/>
              </w:rPr>
              <w:t xml:space="preserve">I </w:t>
            </w:r>
            <w:r w:rsidR="00FA22F6" w:rsidRPr="007419D6">
              <w:rPr>
                <w:sz w:val="16"/>
                <w:szCs w:val="16"/>
              </w:rPr>
              <w:t>en 2016</w:t>
            </w:r>
          </w:p>
        </w:tc>
        <w:tc>
          <w:tcPr>
            <w:tcW w:w="569" w:type="pct"/>
            <w:shd w:val="clear" w:color="auto" w:fill="auto"/>
            <w:tcMar>
              <w:top w:w="110" w:type="dxa"/>
              <w:left w:w="58" w:type="dxa"/>
              <w:right w:w="58" w:type="dxa"/>
            </w:tcMar>
          </w:tcPr>
          <w:p w14:paraId="60A13DE9"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BA5EA9" w:rsidRPr="001E6DFD" w14:paraId="281D0670" w14:textId="77777777" w:rsidTr="00644A97">
        <w:trPr>
          <w:gridAfter w:val="1"/>
          <w:wAfter w:w="44" w:type="pct"/>
        </w:trPr>
        <w:tc>
          <w:tcPr>
            <w:tcW w:w="1137" w:type="pct"/>
            <w:shd w:val="clear" w:color="auto" w:fill="auto"/>
            <w:tcMar>
              <w:left w:w="58" w:type="dxa"/>
              <w:right w:w="58" w:type="dxa"/>
            </w:tcMar>
          </w:tcPr>
          <w:p w14:paraId="026C4F19" w14:textId="7E313EC2" w:rsidR="00BA5EA9" w:rsidRPr="001E6DFD" w:rsidRDefault="006547DF" w:rsidP="0097226C">
            <w:pPr>
              <w:rPr>
                <w:sz w:val="16"/>
                <w:szCs w:val="16"/>
              </w:rPr>
            </w:pPr>
            <w:r w:rsidRPr="001E6DFD">
              <w:rPr>
                <w:sz w:val="16"/>
                <w:szCs w:val="16"/>
              </w:rPr>
              <w:t>Nombre de CATI offrant des services d</w:t>
            </w:r>
            <w:r w:rsidR="00FA22F6" w:rsidRPr="001E6DFD">
              <w:rPr>
                <w:sz w:val="16"/>
                <w:szCs w:val="16"/>
              </w:rPr>
              <w:t>’</w:t>
            </w:r>
            <w:r w:rsidRPr="001E6DFD">
              <w:rPr>
                <w:sz w:val="16"/>
                <w:szCs w:val="16"/>
              </w:rPr>
              <w:t>analyse des brevets</w:t>
            </w:r>
          </w:p>
        </w:tc>
        <w:tc>
          <w:tcPr>
            <w:tcW w:w="1245" w:type="pct"/>
            <w:shd w:val="clear" w:color="auto" w:fill="auto"/>
            <w:tcMar>
              <w:left w:w="58" w:type="dxa"/>
              <w:right w:w="58" w:type="dxa"/>
            </w:tcMar>
          </w:tcPr>
          <w:p w14:paraId="5FF1B3B6" w14:textId="2B71DA04" w:rsidR="00FA22F6" w:rsidRPr="007419D6" w:rsidRDefault="00E64532" w:rsidP="0097226C">
            <w:pPr>
              <w:rPr>
                <w:i/>
                <w:color w:val="002060"/>
                <w:sz w:val="16"/>
                <w:szCs w:val="16"/>
              </w:rPr>
            </w:pPr>
            <w:r w:rsidRPr="007419D6">
              <w:rPr>
                <w:i/>
                <w:color w:val="002060"/>
                <w:sz w:val="16"/>
                <w:szCs w:val="16"/>
              </w:rPr>
              <w:t>Niveau de référence actualisé à fin</w:t>
            </w:r>
            <w:r w:rsidR="00B4191E" w:rsidRPr="007419D6">
              <w:rPr>
                <w:i/>
                <w:color w:val="002060"/>
                <w:sz w:val="16"/>
                <w:szCs w:val="16"/>
              </w:rPr>
              <w:t> </w:t>
            </w:r>
            <w:r w:rsidRPr="007419D6">
              <w:rPr>
                <w:i/>
                <w:color w:val="002060"/>
                <w:sz w:val="16"/>
                <w:szCs w:val="16"/>
              </w:rPr>
              <w:t>2015</w:t>
            </w:r>
            <w:r w:rsidR="00FA22F6" w:rsidRPr="007419D6">
              <w:rPr>
                <w:i/>
                <w:color w:val="002060"/>
                <w:sz w:val="16"/>
                <w:szCs w:val="16"/>
              </w:rPr>
              <w:t> :</w:t>
            </w:r>
          </w:p>
          <w:p w14:paraId="2D148B44" w14:textId="7741C323" w:rsidR="001F64B1" w:rsidRPr="007419D6" w:rsidRDefault="00BA5EA9" w:rsidP="0097226C">
            <w:pPr>
              <w:rPr>
                <w:color w:val="002060"/>
                <w:sz w:val="16"/>
                <w:szCs w:val="16"/>
              </w:rPr>
            </w:pPr>
            <w:r w:rsidRPr="007419D6">
              <w:rPr>
                <w:color w:val="002060"/>
                <w:sz w:val="16"/>
                <w:szCs w:val="16"/>
              </w:rPr>
              <w:t>0 (z</w:t>
            </w:r>
            <w:r w:rsidR="00EA6936" w:rsidRPr="007419D6">
              <w:rPr>
                <w:color w:val="002060"/>
                <w:sz w:val="16"/>
                <w:szCs w:val="16"/>
              </w:rPr>
              <w:t>é</w:t>
            </w:r>
            <w:r w:rsidRPr="007419D6">
              <w:rPr>
                <w:color w:val="002060"/>
                <w:sz w:val="16"/>
                <w:szCs w:val="16"/>
              </w:rPr>
              <w:t>ro)</w:t>
            </w:r>
            <w:r w:rsidR="00FA22F6" w:rsidRPr="007419D6">
              <w:rPr>
                <w:color w:val="002060"/>
                <w:sz w:val="16"/>
                <w:szCs w:val="16"/>
              </w:rPr>
              <w:t> :</w:t>
            </w:r>
            <w:r w:rsidRPr="007419D6">
              <w:rPr>
                <w:color w:val="002060"/>
                <w:sz w:val="16"/>
                <w:szCs w:val="16"/>
              </w:rPr>
              <w:t xml:space="preserve"> </w:t>
            </w:r>
            <w:r w:rsidR="00544FFD" w:rsidRPr="007419D6">
              <w:rPr>
                <w:color w:val="002060"/>
                <w:sz w:val="16"/>
                <w:szCs w:val="16"/>
              </w:rPr>
              <w:t>aucun CATI n</w:t>
            </w:r>
            <w:r w:rsidR="00FA22F6" w:rsidRPr="007419D6">
              <w:rPr>
                <w:color w:val="002060"/>
                <w:sz w:val="16"/>
                <w:szCs w:val="16"/>
              </w:rPr>
              <w:t>’</w:t>
            </w:r>
            <w:r w:rsidR="00544FFD" w:rsidRPr="007419D6">
              <w:rPr>
                <w:color w:val="002060"/>
                <w:sz w:val="16"/>
                <w:szCs w:val="16"/>
              </w:rPr>
              <w:t>offrait des services d</w:t>
            </w:r>
            <w:r w:rsidR="00FA22F6" w:rsidRPr="007419D6">
              <w:rPr>
                <w:color w:val="002060"/>
                <w:sz w:val="16"/>
                <w:szCs w:val="16"/>
              </w:rPr>
              <w:t>’</w:t>
            </w:r>
            <w:r w:rsidR="00544FFD" w:rsidRPr="007419D6">
              <w:rPr>
                <w:color w:val="002060"/>
                <w:sz w:val="16"/>
                <w:szCs w:val="16"/>
              </w:rPr>
              <w:t xml:space="preserve">analyse des brevets avant </w:t>
            </w:r>
            <w:r w:rsidRPr="007419D6">
              <w:rPr>
                <w:color w:val="002060"/>
                <w:sz w:val="16"/>
                <w:szCs w:val="16"/>
              </w:rPr>
              <w:t>2016</w:t>
            </w:r>
          </w:p>
          <w:p w14:paraId="082F7EAE" w14:textId="77777777" w:rsidR="001F64B1" w:rsidRPr="001E6DFD" w:rsidRDefault="001F64B1" w:rsidP="0097226C">
            <w:pPr>
              <w:rPr>
                <w:sz w:val="16"/>
                <w:szCs w:val="16"/>
              </w:rPr>
            </w:pPr>
          </w:p>
          <w:p w14:paraId="4478A691" w14:textId="0B83D7D9" w:rsidR="00FA22F6" w:rsidRPr="001E6DFD" w:rsidRDefault="00E64532" w:rsidP="0097226C">
            <w:pPr>
              <w:ind w:right="176"/>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3B862FDD" w14:textId="568842D4" w:rsidR="00BA5EA9" w:rsidRPr="001E6DFD" w:rsidRDefault="006547DF" w:rsidP="0097226C">
            <w:pPr>
              <w:rPr>
                <w:sz w:val="16"/>
                <w:szCs w:val="16"/>
              </w:rPr>
            </w:pPr>
            <w:proofErr w:type="spellStart"/>
            <w:r w:rsidRPr="001E6DFD">
              <w:rPr>
                <w:sz w:val="16"/>
                <w:szCs w:val="16"/>
              </w:rPr>
              <w:t>s.o</w:t>
            </w:r>
            <w:proofErr w:type="spellEnd"/>
            <w:r w:rsidRPr="001E6DFD">
              <w:rPr>
                <w:sz w:val="16"/>
                <w:szCs w:val="16"/>
              </w:rPr>
              <w:t>. (nouveau)</w:t>
            </w:r>
          </w:p>
        </w:tc>
        <w:tc>
          <w:tcPr>
            <w:tcW w:w="772" w:type="pct"/>
            <w:shd w:val="clear" w:color="auto" w:fill="auto"/>
            <w:tcMar>
              <w:top w:w="110" w:type="dxa"/>
              <w:left w:w="58" w:type="dxa"/>
              <w:right w:w="58" w:type="dxa"/>
            </w:tcMar>
          </w:tcPr>
          <w:p w14:paraId="5393D9D0" w14:textId="47A24019" w:rsidR="00FA22F6" w:rsidRPr="001E6DFD" w:rsidRDefault="00980A1C" w:rsidP="0097226C">
            <w:pPr>
              <w:rPr>
                <w:i/>
                <w:sz w:val="16"/>
                <w:szCs w:val="16"/>
              </w:rPr>
            </w:pPr>
            <w:r w:rsidRPr="001E6DFD">
              <w:rPr>
                <w:i/>
                <w:sz w:val="16"/>
                <w:szCs w:val="16"/>
              </w:rPr>
              <w:t>Objectif actualisé</w:t>
            </w:r>
            <w:r w:rsidR="00FA22F6" w:rsidRPr="001E6DFD">
              <w:rPr>
                <w:i/>
                <w:sz w:val="16"/>
                <w:szCs w:val="16"/>
              </w:rPr>
              <w:t> :</w:t>
            </w:r>
          </w:p>
          <w:p w14:paraId="2D4089AD" w14:textId="2FE3DCA1" w:rsidR="001F64B1" w:rsidRPr="001E6DFD" w:rsidRDefault="00BA5EA9" w:rsidP="0097226C">
            <w:pPr>
              <w:rPr>
                <w:i/>
                <w:sz w:val="16"/>
                <w:szCs w:val="16"/>
              </w:rPr>
            </w:pPr>
            <w:r w:rsidRPr="001E6DFD">
              <w:rPr>
                <w:i/>
                <w:sz w:val="16"/>
                <w:szCs w:val="16"/>
              </w:rPr>
              <w:t>7</w:t>
            </w:r>
          </w:p>
          <w:p w14:paraId="1FEE7942" w14:textId="77777777" w:rsidR="001F64B1" w:rsidRPr="001E6DFD" w:rsidRDefault="001F64B1" w:rsidP="0097226C">
            <w:pPr>
              <w:rPr>
                <w:sz w:val="16"/>
                <w:szCs w:val="16"/>
              </w:rPr>
            </w:pPr>
          </w:p>
          <w:p w14:paraId="1AAE906D" w14:textId="77777777" w:rsidR="001F64B1" w:rsidRPr="001E6DFD" w:rsidRDefault="001F64B1" w:rsidP="0097226C">
            <w:pPr>
              <w:rPr>
                <w:i/>
                <w:sz w:val="16"/>
                <w:szCs w:val="16"/>
              </w:rPr>
            </w:pPr>
          </w:p>
          <w:p w14:paraId="35E768F6" w14:textId="2F8B1A7A" w:rsidR="00980A1C" w:rsidRPr="001E6DFD" w:rsidRDefault="00980A1C" w:rsidP="0097226C">
            <w:pPr>
              <w:rPr>
                <w:i/>
                <w:sz w:val="16"/>
              </w:rPr>
            </w:pPr>
            <w:r w:rsidRPr="001E6DFD">
              <w:rPr>
                <w:i/>
                <w:sz w:val="16"/>
              </w:rPr>
              <w:t>Objectif initial</w:t>
            </w:r>
            <w:r w:rsidR="00FA22F6" w:rsidRPr="001E6DFD">
              <w:rPr>
                <w:i/>
                <w:sz w:val="16"/>
              </w:rPr>
              <w:t> :</w:t>
            </w:r>
          </w:p>
          <w:p w14:paraId="09B26429" w14:textId="77777777" w:rsidR="00BA5EA9" w:rsidRPr="001E6DFD" w:rsidRDefault="00BA5EA9" w:rsidP="0097226C">
            <w:pPr>
              <w:rPr>
                <w:i/>
                <w:sz w:val="16"/>
                <w:szCs w:val="16"/>
              </w:rPr>
            </w:pPr>
            <w:r w:rsidRPr="001E6DFD">
              <w:rPr>
                <w:i/>
                <w:sz w:val="16"/>
                <w:szCs w:val="16"/>
              </w:rPr>
              <w:t>5</w:t>
            </w:r>
          </w:p>
        </w:tc>
        <w:tc>
          <w:tcPr>
            <w:tcW w:w="1233" w:type="pct"/>
            <w:shd w:val="clear" w:color="auto" w:fill="FFFFFF"/>
            <w:tcMar>
              <w:top w:w="110" w:type="dxa"/>
              <w:left w:w="58" w:type="dxa"/>
              <w:right w:w="58" w:type="dxa"/>
            </w:tcMar>
          </w:tcPr>
          <w:p w14:paraId="1BB9349D" w14:textId="7AFDA4E4" w:rsidR="00BA5EA9" w:rsidRPr="001E6DFD" w:rsidRDefault="00BA5EA9" w:rsidP="0097226C">
            <w:pPr>
              <w:keepNext/>
              <w:keepLines/>
              <w:rPr>
                <w:sz w:val="16"/>
                <w:szCs w:val="16"/>
              </w:rPr>
            </w:pPr>
            <w:r w:rsidRPr="001E6DFD">
              <w:rPr>
                <w:sz w:val="16"/>
                <w:szCs w:val="16"/>
              </w:rPr>
              <w:t>6 (</w:t>
            </w:r>
            <w:r w:rsidR="00980A1C" w:rsidRPr="001E6DFD">
              <w:rPr>
                <w:sz w:val="16"/>
                <w:szCs w:val="16"/>
              </w:rPr>
              <w:t>voir</w:t>
            </w:r>
            <w:r w:rsidRPr="001E6DFD">
              <w:rPr>
                <w:sz w:val="16"/>
                <w:szCs w:val="16"/>
              </w:rPr>
              <w:t xml:space="preserve"> </w:t>
            </w:r>
            <w:r w:rsidR="00980A1C" w:rsidRPr="001E6DFD">
              <w:rPr>
                <w:sz w:val="16"/>
                <w:szCs w:val="16"/>
              </w:rPr>
              <w:t>Développement niveau </w:t>
            </w:r>
            <w:r w:rsidRPr="001E6DFD">
              <w:rPr>
                <w:sz w:val="16"/>
                <w:szCs w:val="16"/>
              </w:rPr>
              <w:t xml:space="preserve">3 </w:t>
            </w:r>
            <w:r w:rsidR="00980A1C" w:rsidRPr="001E6DFD">
              <w:rPr>
                <w:sz w:val="16"/>
                <w:szCs w:val="16"/>
              </w:rPr>
              <w:t>ci</w:t>
            </w:r>
            <w:r w:rsidR="006A41CF" w:rsidRPr="001E6DFD">
              <w:rPr>
                <w:sz w:val="16"/>
                <w:szCs w:val="16"/>
              </w:rPr>
              <w:noBreakHyphen/>
            </w:r>
            <w:r w:rsidR="00980A1C" w:rsidRPr="001E6DFD">
              <w:rPr>
                <w:sz w:val="16"/>
                <w:szCs w:val="16"/>
              </w:rPr>
              <w:t>dessus</w:t>
            </w:r>
            <w:r w:rsidRPr="001E6DFD">
              <w:rPr>
                <w:sz w:val="16"/>
                <w:szCs w:val="16"/>
              </w:rPr>
              <w:t>)</w:t>
            </w:r>
          </w:p>
        </w:tc>
        <w:tc>
          <w:tcPr>
            <w:tcW w:w="569" w:type="pct"/>
            <w:shd w:val="clear" w:color="auto" w:fill="auto"/>
            <w:tcMar>
              <w:top w:w="110" w:type="dxa"/>
              <w:left w:w="58" w:type="dxa"/>
              <w:right w:w="58" w:type="dxa"/>
            </w:tcMar>
          </w:tcPr>
          <w:p w14:paraId="2B243BF6" w14:textId="77777777" w:rsidR="00BA5EA9" w:rsidRPr="001E6DFD" w:rsidRDefault="00A43B2F" w:rsidP="0097226C">
            <w:pPr>
              <w:keepNext/>
              <w:keepLines/>
              <w:jc w:val="center"/>
              <w:rPr>
                <w:sz w:val="16"/>
                <w:szCs w:val="16"/>
              </w:rPr>
            </w:pPr>
            <w:r w:rsidRPr="001E6DFD">
              <w:rPr>
                <w:b/>
                <w:color w:val="00B050"/>
                <w:sz w:val="16"/>
                <w:szCs w:val="16"/>
              </w:rPr>
              <w:t>En bonne voie</w:t>
            </w:r>
          </w:p>
        </w:tc>
      </w:tr>
    </w:tbl>
    <w:p w14:paraId="7C8CC7C2" w14:textId="77777777" w:rsidR="001F64B1" w:rsidRPr="001E6DFD" w:rsidRDefault="001F64B1" w:rsidP="0097226C">
      <w:pPr>
        <w:rPr>
          <w:sz w:val="20"/>
        </w:rPr>
      </w:pPr>
    </w:p>
    <w:p w14:paraId="3FD84BD9" w14:textId="77777777" w:rsidR="00BA5EA9" w:rsidRPr="001E6DFD" w:rsidRDefault="00BA5EA9" w:rsidP="0097226C">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793DFE61" w14:textId="77777777" w:rsidTr="00644A97">
        <w:trPr>
          <w:trHeight w:val="423"/>
          <w:jc w:val="center"/>
        </w:trPr>
        <w:tc>
          <w:tcPr>
            <w:tcW w:w="9287" w:type="dxa"/>
            <w:shd w:val="clear" w:color="auto" w:fill="C6D9F1" w:themeFill="text2" w:themeFillTint="33"/>
            <w:vAlign w:val="center"/>
          </w:tcPr>
          <w:p w14:paraId="67E28CBC" w14:textId="2352E948"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14</w:t>
            </w:r>
          </w:p>
        </w:tc>
      </w:tr>
    </w:tbl>
    <w:p w14:paraId="5A54D9A1" w14:textId="77777777" w:rsidR="001F64B1" w:rsidRPr="001E6DFD" w:rsidRDefault="001F64B1" w:rsidP="0097226C">
      <w:pPr>
        <w:rPr>
          <w:sz w:val="20"/>
        </w:rPr>
      </w:pPr>
    </w:p>
    <w:p w14:paraId="042DE237" w14:textId="77777777" w:rsidR="001F64B1" w:rsidRPr="001E6DFD" w:rsidRDefault="006547DF" w:rsidP="0097226C">
      <w:pPr>
        <w:pStyle w:val="NormalWeb"/>
        <w:keepNext/>
        <w:keepLines/>
        <w:spacing w:before="0" w:beforeAutospacing="0" w:after="0" w:afterAutospacing="0"/>
        <w:jc w:val="center"/>
      </w:pPr>
      <w:r w:rsidRPr="001E6DFD">
        <w:t>Budget et dépenses effectives (par résultat)</w:t>
      </w:r>
    </w:p>
    <w:p w14:paraId="6F4BFA98" w14:textId="77777777" w:rsidR="001F64B1" w:rsidRPr="001E6DFD" w:rsidRDefault="006547DF"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50D99646"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515"/>
        <w:gridCol w:w="4212"/>
        <w:gridCol w:w="1567"/>
        <w:gridCol w:w="1567"/>
        <w:gridCol w:w="1426"/>
      </w:tblGrid>
      <w:tr w:rsidR="00BA5EA9" w:rsidRPr="001E6DFD" w14:paraId="5CBF0B28" w14:textId="77777777" w:rsidTr="00A055E7">
        <w:trPr>
          <w:jc w:val="center"/>
        </w:trPr>
        <w:tc>
          <w:tcPr>
            <w:tcW w:w="4760" w:type="dxa"/>
            <w:gridSpan w:val="2"/>
            <w:tcBorders>
              <w:top w:val="nil"/>
              <w:left w:val="nil"/>
              <w:bottom w:val="nil"/>
              <w:right w:val="nil"/>
            </w:tcBorders>
            <w:shd w:val="clear" w:color="000000" w:fill="C5D9F1"/>
            <w:noWrap/>
            <w:vAlign w:val="center"/>
            <w:hideMark/>
          </w:tcPr>
          <w:p w14:paraId="4666DB6A" w14:textId="77777777" w:rsidR="00BA5EA9" w:rsidRPr="001E6DFD" w:rsidRDefault="006547DF"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47" w:type="dxa"/>
            <w:tcBorders>
              <w:top w:val="nil"/>
              <w:left w:val="nil"/>
              <w:bottom w:val="nil"/>
              <w:right w:val="nil"/>
            </w:tcBorders>
            <w:shd w:val="clear" w:color="000000" w:fill="C5D9F1"/>
            <w:vAlign w:val="center"/>
            <w:hideMark/>
          </w:tcPr>
          <w:p w14:paraId="72FC3F21" w14:textId="0869B0D1"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46" w:type="dxa"/>
            <w:tcBorders>
              <w:top w:val="nil"/>
              <w:left w:val="nil"/>
              <w:bottom w:val="nil"/>
              <w:right w:val="nil"/>
            </w:tcBorders>
            <w:shd w:val="clear" w:color="000000" w:fill="C5D9F1"/>
            <w:vAlign w:val="center"/>
            <w:hideMark/>
          </w:tcPr>
          <w:p w14:paraId="520EDC15" w14:textId="72817C15"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69" w:type="dxa"/>
            <w:tcBorders>
              <w:top w:val="nil"/>
              <w:left w:val="nil"/>
              <w:bottom w:val="nil"/>
              <w:right w:val="nil"/>
            </w:tcBorders>
            <w:shd w:val="clear" w:color="000000" w:fill="C5D9F1"/>
            <w:vAlign w:val="center"/>
            <w:hideMark/>
          </w:tcPr>
          <w:p w14:paraId="1F1DFEA7" w14:textId="575485DB"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26BB7291" w14:textId="77777777" w:rsidTr="00A055E7">
        <w:trPr>
          <w:jc w:val="center"/>
        </w:trPr>
        <w:tc>
          <w:tcPr>
            <w:tcW w:w="518" w:type="dxa"/>
            <w:tcBorders>
              <w:top w:val="nil"/>
              <w:left w:val="nil"/>
              <w:bottom w:val="nil"/>
              <w:right w:val="nil"/>
            </w:tcBorders>
            <w:shd w:val="clear" w:color="auto" w:fill="auto"/>
            <w:noWrap/>
            <w:vAlign w:val="center"/>
            <w:hideMark/>
          </w:tcPr>
          <w:p w14:paraId="281BEA1B" w14:textId="77777777" w:rsidR="00BA5EA9" w:rsidRPr="001E6DFD" w:rsidRDefault="00BA5EA9" w:rsidP="0097226C">
            <w:pPr>
              <w:rPr>
                <w:sz w:val="16"/>
                <w:szCs w:val="16"/>
              </w:rPr>
            </w:pPr>
            <w:r w:rsidRPr="001E6DFD">
              <w:rPr>
                <w:sz w:val="16"/>
                <w:szCs w:val="16"/>
              </w:rPr>
              <w:t>IV.2</w:t>
            </w:r>
          </w:p>
        </w:tc>
        <w:tc>
          <w:tcPr>
            <w:tcW w:w="4242" w:type="dxa"/>
            <w:tcBorders>
              <w:top w:val="nil"/>
              <w:left w:val="nil"/>
              <w:bottom w:val="nil"/>
              <w:right w:val="nil"/>
            </w:tcBorders>
            <w:shd w:val="clear" w:color="auto" w:fill="auto"/>
            <w:vAlign w:val="center"/>
            <w:hideMark/>
          </w:tcPr>
          <w:p w14:paraId="51F0C8DA" w14:textId="2520AE57" w:rsidR="00BA5EA9" w:rsidRPr="001E6DFD" w:rsidRDefault="006547DF" w:rsidP="0097226C">
            <w:pPr>
              <w:rPr>
                <w:sz w:val="16"/>
                <w:szCs w:val="16"/>
              </w:rPr>
            </w:pPr>
            <w:r w:rsidRPr="001E6DFD">
              <w:rPr>
                <w:sz w:val="16"/>
                <w:szCs w:val="16"/>
              </w:rPr>
              <w:t>Amélioration de l</w:t>
            </w:r>
            <w:r w:rsidR="00FA22F6" w:rsidRPr="001E6DFD">
              <w:rPr>
                <w:sz w:val="16"/>
                <w:szCs w:val="16"/>
              </w:rPr>
              <w:t>’</w:t>
            </w:r>
            <w:r w:rsidRPr="001E6DFD">
              <w:rPr>
                <w:sz w:val="16"/>
                <w:szCs w:val="16"/>
              </w:rPr>
              <w:t>accessibilité et de l</w:t>
            </w:r>
            <w:r w:rsidR="00FA22F6" w:rsidRPr="001E6DFD">
              <w:rPr>
                <w:sz w:val="16"/>
                <w:szCs w:val="16"/>
              </w:rPr>
              <w:t>’</w:t>
            </w:r>
            <w:r w:rsidRPr="001E6DFD">
              <w:rPr>
                <w:sz w:val="16"/>
                <w:szCs w:val="16"/>
              </w:rPr>
              <w:t>utilisation de l</w:t>
            </w:r>
            <w:r w:rsidR="00FA22F6" w:rsidRPr="001E6DFD">
              <w:rPr>
                <w:sz w:val="16"/>
                <w:szCs w:val="16"/>
              </w:rPr>
              <w:t>’</w:t>
            </w:r>
            <w:r w:rsidRPr="001E6DFD">
              <w:rPr>
                <w:sz w:val="16"/>
                <w:szCs w:val="16"/>
              </w:rPr>
              <w:t>information en matière de propriété intellectuelle par les institutions compétentes et le public afin de promouvoir l</w:t>
            </w:r>
            <w:r w:rsidR="00FA22F6" w:rsidRPr="001E6DFD">
              <w:rPr>
                <w:sz w:val="16"/>
                <w:szCs w:val="16"/>
              </w:rPr>
              <w:t>’</w:t>
            </w:r>
            <w:r w:rsidRPr="001E6DFD">
              <w:rPr>
                <w:sz w:val="16"/>
                <w:szCs w:val="16"/>
              </w:rPr>
              <w:t>innovation et la créativité</w:t>
            </w:r>
          </w:p>
        </w:tc>
        <w:tc>
          <w:tcPr>
            <w:tcW w:w="1147" w:type="dxa"/>
            <w:tcBorders>
              <w:top w:val="nil"/>
              <w:left w:val="nil"/>
              <w:bottom w:val="nil"/>
              <w:right w:val="nil"/>
            </w:tcBorders>
            <w:shd w:val="clear" w:color="auto" w:fill="auto"/>
            <w:noWrap/>
            <w:vAlign w:val="center"/>
            <w:hideMark/>
          </w:tcPr>
          <w:p w14:paraId="1D563222" w14:textId="77777777" w:rsidR="00BA5EA9" w:rsidRPr="001E6DFD" w:rsidRDefault="00282CF5" w:rsidP="0097226C">
            <w:pPr>
              <w:jc w:val="center"/>
              <w:rPr>
                <w:sz w:val="16"/>
                <w:szCs w:val="16"/>
              </w:rPr>
            </w:pPr>
            <w:r w:rsidRPr="001E6DFD">
              <w:rPr>
                <w:sz w:val="16"/>
                <w:szCs w:val="16"/>
              </w:rPr>
              <w:t>6 990</w:t>
            </w:r>
          </w:p>
        </w:tc>
        <w:tc>
          <w:tcPr>
            <w:tcW w:w="1146" w:type="dxa"/>
            <w:tcBorders>
              <w:top w:val="nil"/>
              <w:left w:val="nil"/>
              <w:bottom w:val="nil"/>
              <w:right w:val="nil"/>
            </w:tcBorders>
            <w:shd w:val="clear" w:color="auto" w:fill="auto"/>
            <w:noWrap/>
            <w:vAlign w:val="center"/>
            <w:hideMark/>
          </w:tcPr>
          <w:p w14:paraId="0ECDFB27" w14:textId="77777777" w:rsidR="00BA5EA9" w:rsidRPr="001E6DFD" w:rsidRDefault="00282CF5" w:rsidP="0097226C">
            <w:pPr>
              <w:jc w:val="center"/>
              <w:rPr>
                <w:sz w:val="16"/>
                <w:szCs w:val="16"/>
              </w:rPr>
            </w:pPr>
            <w:r w:rsidRPr="001E6DFD">
              <w:rPr>
                <w:sz w:val="16"/>
                <w:szCs w:val="16"/>
              </w:rPr>
              <w:t>7 235</w:t>
            </w:r>
          </w:p>
        </w:tc>
        <w:tc>
          <w:tcPr>
            <w:tcW w:w="1169" w:type="dxa"/>
            <w:tcBorders>
              <w:top w:val="nil"/>
              <w:left w:val="nil"/>
              <w:bottom w:val="nil"/>
              <w:right w:val="nil"/>
            </w:tcBorders>
            <w:shd w:val="clear" w:color="auto" w:fill="auto"/>
            <w:noWrap/>
            <w:vAlign w:val="center"/>
            <w:hideMark/>
          </w:tcPr>
          <w:p w14:paraId="0F28AE82" w14:textId="77777777" w:rsidR="00BA5EA9" w:rsidRPr="001E6DFD" w:rsidRDefault="00282CF5" w:rsidP="0097226C">
            <w:pPr>
              <w:jc w:val="center"/>
              <w:rPr>
                <w:sz w:val="16"/>
                <w:szCs w:val="16"/>
              </w:rPr>
            </w:pPr>
            <w:r w:rsidRPr="001E6DFD">
              <w:rPr>
                <w:sz w:val="16"/>
                <w:szCs w:val="16"/>
              </w:rPr>
              <w:t>3 169</w:t>
            </w:r>
          </w:p>
        </w:tc>
      </w:tr>
      <w:tr w:rsidR="00BA5EA9" w:rsidRPr="001E6DFD" w14:paraId="0C8ACF4D" w14:textId="77777777" w:rsidTr="00A055E7">
        <w:trPr>
          <w:jc w:val="center"/>
        </w:trPr>
        <w:tc>
          <w:tcPr>
            <w:tcW w:w="518" w:type="dxa"/>
            <w:tcBorders>
              <w:top w:val="nil"/>
              <w:left w:val="nil"/>
              <w:bottom w:val="nil"/>
              <w:right w:val="nil"/>
            </w:tcBorders>
            <w:shd w:val="clear" w:color="000000" w:fill="C5D9F1"/>
            <w:noWrap/>
            <w:vAlign w:val="bottom"/>
            <w:hideMark/>
          </w:tcPr>
          <w:p w14:paraId="0026E724" w14:textId="4F5471E4" w:rsidR="00BA5EA9" w:rsidRPr="001E6DFD" w:rsidRDefault="00BA5EA9" w:rsidP="0097226C">
            <w:pPr>
              <w:rPr>
                <w:sz w:val="16"/>
                <w:szCs w:val="16"/>
              </w:rPr>
            </w:pPr>
          </w:p>
        </w:tc>
        <w:tc>
          <w:tcPr>
            <w:tcW w:w="4242" w:type="dxa"/>
            <w:tcBorders>
              <w:top w:val="nil"/>
              <w:left w:val="nil"/>
              <w:bottom w:val="nil"/>
              <w:right w:val="nil"/>
            </w:tcBorders>
            <w:shd w:val="clear" w:color="000000" w:fill="C5D9F1"/>
            <w:noWrap/>
            <w:vAlign w:val="bottom"/>
            <w:hideMark/>
          </w:tcPr>
          <w:p w14:paraId="6F7E07F9" w14:textId="77777777" w:rsidR="00BA5EA9" w:rsidRPr="001E6DFD" w:rsidRDefault="006547DF" w:rsidP="0097226C">
            <w:pPr>
              <w:jc w:val="right"/>
              <w:rPr>
                <w:b/>
                <w:bCs/>
                <w:sz w:val="16"/>
                <w:szCs w:val="16"/>
              </w:rPr>
            </w:pPr>
            <w:r w:rsidRPr="001E6DFD">
              <w:rPr>
                <w:b/>
                <w:bCs/>
                <w:sz w:val="16"/>
                <w:szCs w:val="16"/>
              </w:rPr>
              <w:t>Total</w:t>
            </w:r>
          </w:p>
        </w:tc>
        <w:tc>
          <w:tcPr>
            <w:tcW w:w="1147" w:type="dxa"/>
            <w:tcBorders>
              <w:top w:val="nil"/>
              <w:left w:val="nil"/>
              <w:bottom w:val="nil"/>
              <w:right w:val="nil"/>
            </w:tcBorders>
            <w:shd w:val="clear" w:color="000000" w:fill="C5D9F1"/>
            <w:noWrap/>
            <w:vAlign w:val="center"/>
            <w:hideMark/>
          </w:tcPr>
          <w:p w14:paraId="5104C8A1" w14:textId="77777777" w:rsidR="00BA5EA9" w:rsidRPr="001E6DFD" w:rsidRDefault="00282CF5" w:rsidP="0097226C">
            <w:pPr>
              <w:jc w:val="center"/>
              <w:rPr>
                <w:sz w:val="16"/>
                <w:szCs w:val="16"/>
              </w:rPr>
            </w:pPr>
            <w:r w:rsidRPr="001E6DFD">
              <w:rPr>
                <w:sz w:val="16"/>
                <w:szCs w:val="16"/>
              </w:rPr>
              <w:t>6 990</w:t>
            </w:r>
          </w:p>
        </w:tc>
        <w:tc>
          <w:tcPr>
            <w:tcW w:w="1146" w:type="dxa"/>
            <w:tcBorders>
              <w:top w:val="nil"/>
              <w:left w:val="nil"/>
              <w:bottom w:val="nil"/>
              <w:right w:val="nil"/>
            </w:tcBorders>
            <w:shd w:val="clear" w:color="000000" w:fill="C5D9F1"/>
            <w:noWrap/>
            <w:vAlign w:val="center"/>
            <w:hideMark/>
          </w:tcPr>
          <w:p w14:paraId="3F91A360" w14:textId="77777777" w:rsidR="00BA5EA9" w:rsidRPr="001E6DFD" w:rsidRDefault="00282CF5" w:rsidP="0097226C">
            <w:pPr>
              <w:jc w:val="center"/>
              <w:rPr>
                <w:sz w:val="16"/>
                <w:szCs w:val="16"/>
              </w:rPr>
            </w:pPr>
            <w:r w:rsidRPr="001E6DFD">
              <w:rPr>
                <w:sz w:val="16"/>
                <w:szCs w:val="16"/>
              </w:rPr>
              <w:t>7 235</w:t>
            </w:r>
          </w:p>
        </w:tc>
        <w:tc>
          <w:tcPr>
            <w:tcW w:w="1169" w:type="dxa"/>
            <w:tcBorders>
              <w:top w:val="nil"/>
              <w:left w:val="nil"/>
              <w:bottom w:val="nil"/>
              <w:right w:val="nil"/>
            </w:tcBorders>
            <w:shd w:val="clear" w:color="000000" w:fill="C5D9F1"/>
            <w:noWrap/>
            <w:vAlign w:val="center"/>
            <w:hideMark/>
          </w:tcPr>
          <w:p w14:paraId="51358060" w14:textId="77777777" w:rsidR="00BA5EA9" w:rsidRPr="001E6DFD" w:rsidRDefault="00282CF5" w:rsidP="0097226C">
            <w:pPr>
              <w:jc w:val="center"/>
              <w:rPr>
                <w:sz w:val="16"/>
                <w:szCs w:val="16"/>
              </w:rPr>
            </w:pPr>
            <w:r w:rsidRPr="001E6DFD">
              <w:rPr>
                <w:sz w:val="16"/>
                <w:szCs w:val="16"/>
              </w:rPr>
              <w:t>3 169</w:t>
            </w:r>
          </w:p>
        </w:tc>
      </w:tr>
      <w:tr w:rsidR="00980A1C" w:rsidRPr="001E6DFD" w14:paraId="4FD56871"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443F6A14" w14:textId="604E0A83" w:rsidR="00980A1C" w:rsidRPr="001E6DFD" w:rsidRDefault="00980A1C"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49149576" w14:textId="77777777" w:rsidR="001F64B1" w:rsidRPr="001E6DFD" w:rsidRDefault="001F64B1" w:rsidP="0097226C">
      <w:pPr>
        <w:rPr>
          <w:sz w:val="20"/>
        </w:rPr>
      </w:pPr>
    </w:p>
    <w:p w14:paraId="32BD5516" w14:textId="77777777" w:rsidR="00FA22F6" w:rsidRPr="001E6DFD" w:rsidRDefault="006547DF" w:rsidP="0097226C">
      <w:pPr>
        <w:pStyle w:val="NormalWeb"/>
        <w:keepNext/>
        <w:keepLines/>
        <w:spacing w:before="0" w:beforeAutospacing="0" w:after="0" w:afterAutospacing="0"/>
        <w:jc w:val="center"/>
      </w:pPr>
      <w:r w:rsidRPr="001E6DFD">
        <w:t>Budget et dépenses effectives (dépenses de personnel et autres dépenses)</w:t>
      </w:r>
    </w:p>
    <w:p w14:paraId="3AD5DF38" w14:textId="6A17EBC8" w:rsidR="001F64B1" w:rsidRPr="001E6DFD" w:rsidRDefault="006547DF"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39E14C6C" w14:textId="77777777" w:rsidR="00BA5EA9" w:rsidRPr="001E6DFD" w:rsidRDefault="00BA5EA9" w:rsidP="0097226C">
      <w:pPr>
        <w:rPr>
          <w:b/>
          <w:sz w:val="20"/>
          <w:szCs w:val="18"/>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475C2D01" w14:textId="77777777" w:rsidTr="00A055E7">
        <w:trPr>
          <w:jc w:val="center"/>
        </w:trPr>
        <w:tc>
          <w:tcPr>
            <w:tcW w:w="2470" w:type="dxa"/>
            <w:tcBorders>
              <w:top w:val="nil"/>
              <w:left w:val="nil"/>
              <w:bottom w:val="nil"/>
              <w:right w:val="nil"/>
            </w:tcBorders>
            <w:shd w:val="clear" w:color="000000" w:fill="C5D9F1"/>
            <w:noWrap/>
            <w:vAlign w:val="center"/>
            <w:hideMark/>
          </w:tcPr>
          <w:p w14:paraId="133DA65A" w14:textId="75A225AC"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3F237960" w14:textId="1BCCD1B4" w:rsidR="00BA5EA9" w:rsidRPr="001E6DFD" w:rsidRDefault="00A806A7" w:rsidP="007419D6">
            <w:pPr>
              <w:jc w:val="center"/>
              <w:rPr>
                <w:b/>
                <w:bCs/>
                <w:sz w:val="16"/>
                <w:szCs w:val="16"/>
              </w:rPr>
            </w:pPr>
            <w:r>
              <w:rPr>
                <w:b/>
                <w:bCs/>
                <w:sz w:val="16"/>
                <w:szCs w:val="16"/>
              </w:rPr>
              <w:t>Budget </w:t>
            </w:r>
            <w:r w:rsidR="006547DF" w:rsidRPr="001E6DFD">
              <w:rPr>
                <w:b/>
                <w:bCs/>
                <w:sz w:val="16"/>
                <w:szCs w:val="16"/>
              </w:rPr>
              <w:t>2016</w:t>
            </w:r>
            <w:r w:rsidR="006A41CF" w:rsidRPr="001E6DFD">
              <w:rPr>
                <w:b/>
                <w:bCs/>
                <w:sz w:val="16"/>
                <w:szCs w:val="16"/>
              </w:rPr>
              <w:noBreakHyphen/>
            </w:r>
            <w:r w:rsidR="006547DF" w:rsidRPr="001E6DFD">
              <w:rPr>
                <w:b/>
                <w:bCs/>
                <w:sz w:val="16"/>
                <w:szCs w:val="16"/>
              </w:rPr>
              <w:t>2017 approuvé</w:t>
            </w:r>
          </w:p>
        </w:tc>
        <w:tc>
          <w:tcPr>
            <w:tcW w:w="1438" w:type="dxa"/>
            <w:tcBorders>
              <w:top w:val="nil"/>
              <w:left w:val="nil"/>
              <w:bottom w:val="nil"/>
              <w:right w:val="nil"/>
            </w:tcBorders>
            <w:shd w:val="clear" w:color="000000" w:fill="C5D9F1"/>
            <w:vAlign w:val="center"/>
            <w:hideMark/>
          </w:tcPr>
          <w:p w14:paraId="4EF437EF" w14:textId="05A5FBD2" w:rsidR="00BA5EA9" w:rsidRPr="001E6DFD" w:rsidRDefault="007419D6" w:rsidP="007419D6">
            <w:pPr>
              <w:jc w:val="center"/>
              <w:rPr>
                <w:b/>
                <w:bCs/>
                <w:sz w:val="16"/>
                <w:szCs w:val="16"/>
              </w:rPr>
            </w:pPr>
            <w:r>
              <w:rPr>
                <w:b/>
                <w:bCs/>
                <w:sz w:val="16"/>
                <w:szCs w:val="16"/>
              </w:rPr>
              <w:t>Budget </w:t>
            </w:r>
            <w:r w:rsidR="00F3341E" w:rsidRPr="001E6DFD">
              <w:rPr>
                <w:b/>
                <w:bCs/>
                <w:sz w:val="16"/>
                <w:szCs w:val="16"/>
              </w:rPr>
              <w:t>2016</w:t>
            </w:r>
            <w:r w:rsidR="006A41CF" w:rsidRPr="001E6DFD">
              <w:rPr>
                <w:b/>
                <w:bCs/>
                <w:sz w:val="16"/>
                <w:szCs w:val="16"/>
              </w:rPr>
              <w:noBreakHyphen/>
            </w:r>
            <w:r w:rsidR="00F3341E"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0A12A06C" w14:textId="75212109" w:rsidR="00BA5EA9" w:rsidRPr="001E6DFD" w:rsidRDefault="006547DF"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07A1057C" w14:textId="7C0431E7" w:rsidR="00BA5EA9" w:rsidRPr="001E6DFD" w:rsidRDefault="006547DF"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043F8E7F" w14:textId="77777777" w:rsidTr="00A055E7">
        <w:trPr>
          <w:jc w:val="center"/>
        </w:trPr>
        <w:tc>
          <w:tcPr>
            <w:tcW w:w="2470" w:type="dxa"/>
            <w:tcBorders>
              <w:top w:val="nil"/>
              <w:left w:val="nil"/>
              <w:bottom w:val="nil"/>
              <w:right w:val="nil"/>
            </w:tcBorders>
            <w:shd w:val="clear" w:color="auto" w:fill="auto"/>
            <w:noWrap/>
            <w:vAlign w:val="center"/>
            <w:hideMark/>
          </w:tcPr>
          <w:p w14:paraId="363759BA"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047A10A9" w14:textId="77777777" w:rsidR="00BA5EA9" w:rsidRPr="001E6DFD" w:rsidRDefault="00282CF5" w:rsidP="0097226C">
            <w:pPr>
              <w:jc w:val="center"/>
              <w:rPr>
                <w:sz w:val="16"/>
                <w:szCs w:val="16"/>
              </w:rPr>
            </w:pPr>
            <w:r w:rsidRPr="001E6DFD">
              <w:rPr>
                <w:sz w:val="16"/>
                <w:szCs w:val="16"/>
              </w:rPr>
              <w:t>5 764</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9DDDFEF" w14:textId="77777777" w:rsidR="00BA5EA9" w:rsidRPr="001E6DFD" w:rsidRDefault="00282CF5" w:rsidP="0097226C">
            <w:pPr>
              <w:jc w:val="center"/>
              <w:rPr>
                <w:sz w:val="16"/>
                <w:szCs w:val="16"/>
              </w:rPr>
            </w:pPr>
            <w:r w:rsidRPr="001E6DFD">
              <w:rPr>
                <w:sz w:val="16"/>
                <w:szCs w:val="16"/>
              </w:rPr>
              <w:t>6 060</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FE4CB09" w14:textId="77777777" w:rsidR="00BA5EA9" w:rsidRPr="001E6DFD" w:rsidRDefault="00282CF5" w:rsidP="0097226C">
            <w:pPr>
              <w:jc w:val="center"/>
              <w:rPr>
                <w:sz w:val="16"/>
                <w:szCs w:val="16"/>
              </w:rPr>
            </w:pPr>
            <w:r w:rsidRPr="001E6DFD">
              <w:rPr>
                <w:sz w:val="16"/>
                <w:szCs w:val="16"/>
              </w:rPr>
              <w:t>2 862</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774DF1BB" w14:textId="77777777" w:rsidR="00BA5EA9" w:rsidRPr="001E6DFD" w:rsidRDefault="00BA5EA9" w:rsidP="0097226C">
            <w:pPr>
              <w:jc w:val="center"/>
              <w:rPr>
                <w:sz w:val="16"/>
                <w:szCs w:val="16"/>
              </w:rPr>
            </w:pPr>
            <w:r w:rsidRPr="001E6DFD">
              <w:rPr>
                <w:sz w:val="16"/>
                <w:szCs w:val="16"/>
              </w:rPr>
              <w:t>47%</w:t>
            </w:r>
          </w:p>
        </w:tc>
      </w:tr>
      <w:tr w:rsidR="00BA5EA9" w:rsidRPr="001E6DFD" w14:paraId="0C238FFF" w14:textId="77777777" w:rsidTr="00A055E7">
        <w:trPr>
          <w:jc w:val="center"/>
        </w:trPr>
        <w:tc>
          <w:tcPr>
            <w:tcW w:w="2470" w:type="dxa"/>
            <w:tcBorders>
              <w:top w:val="nil"/>
              <w:left w:val="nil"/>
              <w:bottom w:val="nil"/>
              <w:right w:val="nil"/>
            </w:tcBorders>
            <w:shd w:val="clear" w:color="auto" w:fill="auto"/>
            <w:noWrap/>
            <w:vAlign w:val="center"/>
            <w:hideMark/>
          </w:tcPr>
          <w:p w14:paraId="154A3F7C"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5C722501" w14:textId="77777777" w:rsidR="00BA5EA9" w:rsidRPr="001E6DFD" w:rsidRDefault="00282CF5" w:rsidP="0097226C">
            <w:pPr>
              <w:jc w:val="center"/>
              <w:rPr>
                <w:sz w:val="16"/>
                <w:szCs w:val="16"/>
              </w:rPr>
            </w:pPr>
            <w:r w:rsidRPr="001E6DFD">
              <w:rPr>
                <w:sz w:val="16"/>
                <w:szCs w:val="16"/>
              </w:rPr>
              <w:t>1 225</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202709B" w14:textId="77777777" w:rsidR="00BA5EA9" w:rsidRPr="001E6DFD" w:rsidRDefault="00282CF5" w:rsidP="0097226C">
            <w:pPr>
              <w:jc w:val="center"/>
              <w:rPr>
                <w:sz w:val="16"/>
                <w:szCs w:val="16"/>
              </w:rPr>
            </w:pPr>
            <w:r w:rsidRPr="001E6DFD">
              <w:rPr>
                <w:sz w:val="16"/>
                <w:szCs w:val="16"/>
              </w:rPr>
              <w:t>1 174</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2A6AA99" w14:textId="77777777" w:rsidR="00BA5EA9" w:rsidRPr="001E6DFD" w:rsidRDefault="00BA5EA9" w:rsidP="0097226C">
            <w:pPr>
              <w:jc w:val="center"/>
              <w:rPr>
                <w:sz w:val="16"/>
                <w:szCs w:val="16"/>
              </w:rPr>
            </w:pPr>
            <w:r w:rsidRPr="001E6DFD">
              <w:rPr>
                <w:sz w:val="16"/>
                <w:szCs w:val="16"/>
              </w:rPr>
              <w:t xml:space="preserve">307 </w:t>
            </w:r>
          </w:p>
        </w:tc>
        <w:tc>
          <w:tcPr>
            <w:tcW w:w="1438" w:type="dxa"/>
            <w:tcBorders>
              <w:top w:val="nil"/>
              <w:left w:val="nil"/>
              <w:bottom w:val="nil"/>
              <w:right w:val="nil"/>
            </w:tcBorders>
            <w:shd w:val="clear" w:color="auto" w:fill="auto"/>
            <w:vAlign w:val="center"/>
            <w:hideMark/>
          </w:tcPr>
          <w:p w14:paraId="5EEB8393" w14:textId="77777777" w:rsidR="00BA5EA9" w:rsidRPr="001E6DFD" w:rsidRDefault="00BA5EA9" w:rsidP="0097226C">
            <w:pPr>
              <w:jc w:val="center"/>
              <w:rPr>
                <w:sz w:val="16"/>
                <w:szCs w:val="16"/>
              </w:rPr>
            </w:pPr>
            <w:r w:rsidRPr="001E6DFD">
              <w:rPr>
                <w:sz w:val="16"/>
                <w:szCs w:val="16"/>
              </w:rPr>
              <w:t>26%</w:t>
            </w:r>
          </w:p>
        </w:tc>
      </w:tr>
      <w:tr w:rsidR="00BA5EA9" w:rsidRPr="001E6DFD" w14:paraId="75E41756" w14:textId="77777777" w:rsidTr="00A055E7">
        <w:trPr>
          <w:jc w:val="center"/>
        </w:trPr>
        <w:tc>
          <w:tcPr>
            <w:tcW w:w="2470" w:type="dxa"/>
            <w:tcBorders>
              <w:top w:val="nil"/>
              <w:left w:val="nil"/>
              <w:bottom w:val="nil"/>
              <w:right w:val="nil"/>
            </w:tcBorders>
            <w:shd w:val="clear" w:color="000000" w:fill="C5D9F1"/>
            <w:noWrap/>
            <w:vAlign w:val="center"/>
            <w:hideMark/>
          </w:tcPr>
          <w:p w14:paraId="4B57EB33" w14:textId="4BBA4E07" w:rsidR="00BA5EA9" w:rsidRPr="001E6DFD" w:rsidRDefault="006547DF"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06E6DAE6" w14:textId="77777777" w:rsidR="00BA5EA9" w:rsidRPr="001E6DFD" w:rsidRDefault="00282CF5" w:rsidP="0097226C">
            <w:pPr>
              <w:jc w:val="center"/>
              <w:rPr>
                <w:b/>
                <w:bCs/>
                <w:sz w:val="16"/>
                <w:szCs w:val="16"/>
              </w:rPr>
            </w:pPr>
            <w:r w:rsidRPr="001E6DFD">
              <w:rPr>
                <w:b/>
                <w:bCs/>
                <w:sz w:val="16"/>
                <w:szCs w:val="16"/>
              </w:rPr>
              <w:t>6 990</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61685516" w14:textId="77777777" w:rsidR="00BA5EA9" w:rsidRPr="001E6DFD" w:rsidRDefault="00282CF5" w:rsidP="0097226C">
            <w:pPr>
              <w:jc w:val="center"/>
              <w:rPr>
                <w:b/>
                <w:bCs/>
                <w:sz w:val="16"/>
                <w:szCs w:val="16"/>
              </w:rPr>
            </w:pPr>
            <w:r w:rsidRPr="001E6DFD">
              <w:rPr>
                <w:b/>
                <w:bCs/>
                <w:sz w:val="16"/>
                <w:szCs w:val="16"/>
              </w:rPr>
              <w:t>7 235</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A951B49" w14:textId="77777777" w:rsidR="00BA5EA9" w:rsidRPr="001E6DFD" w:rsidRDefault="00282CF5" w:rsidP="0097226C">
            <w:pPr>
              <w:jc w:val="center"/>
              <w:rPr>
                <w:b/>
                <w:bCs/>
                <w:sz w:val="16"/>
                <w:szCs w:val="16"/>
              </w:rPr>
            </w:pPr>
            <w:r w:rsidRPr="001E6DFD">
              <w:rPr>
                <w:b/>
                <w:bCs/>
                <w:sz w:val="16"/>
                <w:szCs w:val="16"/>
              </w:rPr>
              <w:t>3 169</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4544A7BF" w14:textId="77777777" w:rsidR="00BA5EA9" w:rsidRPr="001E6DFD" w:rsidRDefault="00BA5EA9" w:rsidP="0097226C">
            <w:pPr>
              <w:jc w:val="center"/>
              <w:rPr>
                <w:b/>
                <w:bCs/>
                <w:sz w:val="16"/>
                <w:szCs w:val="16"/>
              </w:rPr>
            </w:pPr>
            <w:r w:rsidRPr="001E6DFD">
              <w:rPr>
                <w:b/>
                <w:bCs/>
                <w:sz w:val="16"/>
                <w:szCs w:val="16"/>
              </w:rPr>
              <w:t>44%</w:t>
            </w:r>
          </w:p>
        </w:tc>
      </w:tr>
      <w:tr w:rsidR="00BA5EA9" w:rsidRPr="001E6DFD" w14:paraId="66AAAB5E"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4A602CFC" w14:textId="688C1C43"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3C7D1D99" w14:textId="77777777" w:rsidR="001F64B1" w:rsidRPr="001E6DFD" w:rsidRDefault="001F64B1" w:rsidP="0097226C">
      <w:pPr>
        <w:jc w:val="center"/>
        <w:rPr>
          <w:sz w:val="20"/>
          <w:szCs w:val="18"/>
        </w:rPr>
      </w:pPr>
    </w:p>
    <w:p w14:paraId="26E5585E" w14:textId="77BCFA3F" w:rsidR="001F64B1" w:rsidRPr="001E6DFD" w:rsidRDefault="006547DF"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477BC333" w14:textId="77777777" w:rsidR="001F64B1" w:rsidRPr="001E6DFD" w:rsidRDefault="001F64B1" w:rsidP="0097226C">
      <w:pPr>
        <w:rPr>
          <w:sz w:val="20"/>
          <w:szCs w:val="18"/>
        </w:rPr>
      </w:pPr>
    </w:p>
    <w:p w14:paraId="71FC4614" w14:textId="77777777" w:rsidR="001F64B1" w:rsidRPr="001E6DFD" w:rsidRDefault="001F64B1" w:rsidP="0097226C">
      <w:pPr>
        <w:rPr>
          <w:sz w:val="20"/>
          <w:szCs w:val="18"/>
        </w:rPr>
      </w:pPr>
    </w:p>
    <w:p w14:paraId="76196333" w14:textId="22017136" w:rsidR="001F64B1" w:rsidRPr="001E6DFD" w:rsidRDefault="00BA5EA9" w:rsidP="0097226C">
      <w:pPr>
        <w:jc w:val="both"/>
        <w:rPr>
          <w:sz w:val="20"/>
          <w:u w:val="single"/>
        </w:rPr>
      </w:pPr>
      <w:r w:rsidRPr="001E6DFD">
        <w:rPr>
          <w:sz w:val="20"/>
        </w:rPr>
        <w:lastRenderedPageBreak/>
        <w:t>A.</w:t>
      </w:r>
      <w:r w:rsidRPr="001E6DFD">
        <w:rPr>
          <w:sz w:val="20"/>
        </w:rPr>
        <w:tab/>
      </w:r>
      <w:r w:rsidR="00F3341E" w:rsidRPr="001E6DFD">
        <w:rPr>
          <w:sz w:val="20"/>
          <w:u w:val="single"/>
        </w:rPr>
        <w:t>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 après virements</w:t>
      </w:r>
    </w:p>
    <w:p w14:paraId="46FF9822" w14:textId="77777777" w:rsidR="001F64B1" w:rsidRPr="001E6DFD" w:rsidRDefault="001F64B1" w:rsidP="0097226C">
      <w:pPr>
        <w:jc w:val="both"/>
        <w:rPr>
          <w:sz w:val="20"/>
        </w:rPr>
      </w:pPr>
    </w:p>
    <w:p w14:paraId="0D4AF6BC" w14:textId="1C45EBC3" w:rsidR="00A52AEE" w:rsidRPr="007419D6" w:rsidRDefault="00394ACE" w:rsidP="00D544B8">
      <w:pPr>
        <w:pStyle w:val="ListParagraph"/>
        <w:numPr>
          <w:ilvl w:val="0"/>
          <w:numId w:val="16"/>
        </w:numPr>
        <w:tabs>
          <w:tab w:val="left" w:pos="0"/>
          <w:tab w:val="left" w:pos="709"/>
        </w:tabs>
        <w:ind w:left="0" w:firstLine="0"/>
        <w:contextualSpacing w:val="0"/>
        <w:jc w:val="both"/>
        <w:rPr>
          <w:rFonts w:ascii="Arial" w:hAnsi="Arial" w:cs="Arial"/>
          <w:sz w:val="20"/>
        </w:rPr>
      </w:pPr>
      <w:r w:rsidRPr="007419D6">
        <w:rPr>
          <w:rFonts w:ascii="Arial" w:hAnsi="Arial" w:cs="Arial"/>
          <w:sz w:val="20"/>
          <w:lang w:eastAsia="ko-KR"/>
        </w:rPr>
        <w:t>L</w:t>
      </w:r>
      <w:r w:rsidR="00FA22F6" w:rsidRPr="007419D6">
        <w:rPr>
          <w:rFonts w:ascii="Arial" w:hAnsi="Arial" w:cs="Arial"/>
          <w:sz w:val="20"/>
          <w:lang w:eastAsia="ko-KR"/>
        </w:rPr>
        <w:t>’</w:t>
      </w:r>
      <w:r w:rsidRPr="007419D6">
        <w:rPr>
          <w:rFonts w:ascii="Arial" w:hAnsi="Arial" w:cs="Arial"/>
          <w:sz w:val="20"/>
          <w:lang w:eastAsia="ko-KR"/>
        </w:rPr>
        <w:t xml:space="preserve">augmentation des ressources </w:t>
      </w:r>
      <w:r w:rsidR="004B070D" w:rsidRPr="007419D6">
        <w:rPr>
          <w:rFonts w:ascii="Arial" w:hAnsi="Arial" w:cs="Arial"/>
          <w:sz w:val="20"/>
          <w:lang w:eastAsia="ko-KR"/>
        </w:rPr>
        <w:t>e</w:t>
      </w:r>
      <w:r w:rsidR="00381826" w:rsidRPr="007419D6">
        <w:rPr>
          <w:rFonts w:ascii="Arial" w:hAnsi="Arial" w:cs="Arial"/>
          <w:sz w:val="20"/>
          <w:lang w:eastAsia="ko-KR"/>
        </w:rPr>
        <w:t>n</w:t>
      </w:r>
      <w:r w:rsidR="004B070D" w:rsidRPr="007419D6">
        <w:rPr>
          <w:rFonts w:ascii="Arial" w:hAnsi="Arial" w:cs="Arial"/>
          <w:sz w:val="20"/>
          <w:lang w:eastAsia="ko-KR"/>
        </w:rPr>
        <w:t xml:space="preserve"> </w:t>
      </w:r>
      <w:r w:rsidRPr="007419D6">
        <w:rPr>
          <w:rFonts w:ascii="Arial" w:hAnsi="Arial" w:cs="Arial"/>
          <w:sz w:val="20"/>
          <w:lang w:eastAsia="ko-KR"/>
        </w:rPr>
        <w:t>personnel par rapport au budget</w:t>
      </w:r>
      <w:r w:rsidR="00B4191E" w:rsidRPr="007419D6">
        <w:rPr>
          <w:rFonts w:ascii="Arial" w:hAnsi="Arial" w:cs="Arial"/>
          <w:sz w:val="20"/>
          <w:lang w:eastAsia="ko-KR"/>
        </w:rPr>
        <w:t> </w:t>
      </w:r>
      <w:r w:rsidRPr="007419D6">
        <w:rPr>
          <w:rFonts w:ascii="Arial" w:hAnsi="Arial" w:cs="Arial"/>
          <w:sz w:val="20"/>
          <w:lang w:eastAsia="ko-KR"/>
        </w:rPr>
        <w:t>2016</w:t>
      </w:r>
      <w:r w:rsidR="006A41CF" w:rsidRPr="007419D6">
        <w:rPr>
          <w:rFonts w:ascii="Arial" w:hAnsi="Arial" w:cs="Arial"/>
          <w:sz w:val="20"/>
          <w:lang w:eastAsia="ko-KR"/>
        </w:rPr>
        <w:noBreakHyphen/>
      </w:r>
      <w:r w:rsidRPr="007419D6">
        <w:rPr>
          <w:rFonts w:ascii="Arial" w:hAnsi="Arial" w:cs="Arial"/>
          <w:sz w:val="20"/>
          <w:lang w:eastAsia="ko-KR"/>
        </w:rPr>
        <w:t>2017 approuvé était principalement due à la régularisation de personnes exerçant des fonctions continues.</w:t>
      </w:r>
    </w:p>
    <w:p w14:paraId="30EB6A84" w14:textId="77777777" w:rsidR="00A52AEE" w:rsidRPr="007419D6" w:rsidRDefault="00A52AEE" w:rsidP="00A52AEE">
      <w:pPr>
        <w:pStyle w:val="ListParagraph"/>
        <w:tabs>
          <w:tab w:val="left" w:pos="0"/>
          <w:tab w:val="left" w:pos="709"/>
        </w:tabs>
        <w:ind w:left="0"/>
        <w:contextualSpacing w:val="0"/>
        <w:jc w:val="both"/>
        <w:rPr>
          <w:rFonts w:ascii="Arial" w:hAnsi="Arial" w:cs="Arial"/>
          <w:sz w:val="20"/>
        </w:rPr>
      </w:pPr>
    </w:p>
    <w:p w14:paraId="507779C7" w14:textId="07ED5FDB" w:rsidR="00A52AEE" w:rsidRPr="007419D6" w:rsidRDefault="00BF08D5" w:rsidP="00D544B8">
      <w:pPr>
        <w:pStyle w:val="ListParagraph"/>
        <w:numPr>
          <w:ilvl w:val="0"/>
          <w:numId w:val="16"/>
        </w:numPr>
        <w:tabs>
          <w:tab w:val="left" w:pos="0"/>
          <w:tab w:val="left" w:pos="709"/>
        </w:tabs>
        <w:ind w:left="0" w:firstLine="0"/>
        <w:contextualSpacing w:val="0"/>
        <w:jc w:val="both"/>
        <w:rPr>
          <w:rFonts w:ascii="Arial" w:hAnsi="Arial" w:cs="Arial"/>
          <w:sz w:val="20"/>
        </w:rPr>
      </w:pPr>
      <w:r w:rsidRPr="007419D6">
        <w:rPr>
          <w:rFonts w:ascii="Arial" w:hAnsi="Arial" w:cs="Arial"/>
          <w:bCs/>
          <w:sz w:val="20"/>
        </w:rPr>
        <w:t xml:space="preserve">La légère diminution des ressources autres que </w:t>
      </w:r>
      <w:r w:rsidR="004B070D" w:rsidRPr="007419D6">
        <w:rPr>
          <w:rFonts w:ascii="Arial" w:hAnsi="Arial" w:cs="Arial"/>
          <w:bCs/>
          <w:sz w:val="20"/>
        </w:rPr>
        <w:t xml:space="preserve">pour le </w:t>
      </w:r>
      <w:r w:rsidRPr="007419D6">
        <w:rPr>
          <w:rFonts w:ascii="Arial" w:hAnsi="Arial" w:cs="Arial"/>
          <w:bCs/>
          <w:sz w:val="20"/>
        </w:rPr>
        <w:t>provenait principalement du transfert</w:t>
      </w:r>
      <w:r w:rsidR="004B070D" w:rsidRPr="007419D6">
        <w:rPr>
          <w:rFonts w:ascii="Arial" w:hAnsi="Arial" w:cs="Arial"/>
          <w:bCs/>
          <w:sz w:val="20"/>
        </w:rPr>
        <w:t>,</w:t>
      </w:r>
      <w:r w:rsidRPr="007419D6">
        <w:rPr>
          <w:rFonts w:ascii="Arial" w:hAnsi="Arial" w:cs="Arial"/>
          <w:bCs/>
          <w:sz w:val="20"/>
        </w:rPr>
        <w:t xml:space="preserve"> </w:t>
      </w:r>
      <w:r w:rsidR="004B070D" w:rsidRPr="007419D6">
        <w:rPr>
          <w:rFonts w:ascii="Arial" w:hAnsi="Arial" w:cs="Arial"/>
          <w:bCs/>
          <w:sz w:val="20"/>
        </w:rPr>
        <w:t>depuis le programme vers les Bases de données mondiales (programme</w:t>
      </w:r>
      <w:r w:rsidR="00B4191E" w:rsidRPr="007419D6">
        <w:rPr>
          <w:rFonts w:ascii="Arial" w:hAnsi="Arial" w:cs="Arial"/>
          <w:bCs/>
          <w:sz w:val="20"/>
        </w:rPr>
        <w:t> </w:t>
      </w:r>
      <w:r w:rsidR="004B070D" w:rsidRPr="007419D6">
        <w:rPr>
          <w:rFonts w:ascii="Arial" w:hAnsi="Arial" w:cs="Arial"/>
          <w:bCs/>
          <w:sz w:val="20"/>
        </w:rPr>
        <w:t>13), de la responsabilité des projets spéciaux d</w:t>
      </w:r>
      <w:r w:rsidR="00FA22F6" w:rsidRPr="007419D6">
        <w:rPr>
          <w:rFonts w:ascii="Arial" w:hAnsi="Arial" w:cs="Arial"/>
          <w:bCs/>
          <w:sz w:val="20"/>
        </w:rPr>
        <w:t>’</w:t>
      </w:r>
      <w:r w:rsidR="004B070D" w:rsidRPr="007419D6">
        <w:rPr>
          <w:rFonts w:ascii="Arial" w:hAnsi="Arial" w:cs="Arial"/>
          <w:bCs/>
          <w:sz w:val="20"/>
        </w:rPr>
        <w:t>assistance technique (LATIPAT et ARABPAT)</w:t>
      </w:r>
      <w:r w:rsidR="00A52AEE" w:rsidRPr="007419D6">
        <w:rPr>
          <w:rFonts w:ascii="Arial" w:hAnsi="Arial" w:cs="Arial"/>
          <w:bCs/>
          <w:sz w:val="20"/>
        </w:rPr>
        <w:t xml:space="preserve">, et du transfert des </w:t>
      </w:r>
      <w:r w:rsidR="00A52AEE" w:rsidRPr="007419D6">
        <w:rPr>
          <w:rFonts w:ascii="Arial" w:hAnsi="Arial" w:cs="Arial"/>
          <w:sz w:val="20"/>
          <w:lang w:eastAsia="ko-KR"/>
        </w:rPr>
        <w:t xml:space="preserve">ressources </w:t>
      </w:r>
      <w:r w:rsidR="00A52AEE" w:rsidRPr="007419D6">
        <w:rPr>
          <w:rFonts w:ascii="Arial" w:hAnsi="Arial" w:cs="Arial"/>
          <w:bCs/>
          <w:sz w:val="20"/>
          <w:lang w:eastAsia="ko-KR"/>
        </w:rPr>
        <w:t>autres que</w:t>
      </w:r>
      <w:r w:rsidR="004B070D" w:rsidRPr="007419D6">
        <w:rPr>
          <w:rFonts w:ascii="Arial" w:hAnsi="Arial" w:cs="Arial"/>
          <w:bCs/>
          <w:sz w:val="20"/>
          <w:lang w:eastAsia="ko-KR"/>
        </w:rPr>
        <w:t xml:space="preserve"> pour le </w:t>
      </w:r>
      <w:r w:rsidR="00A52AEE" w:rsidRPr="007419D6">
        <w:rPr>
          <w:rFonts w:ascii="Arial" w:hAnsi="Arial" w:cs="Arial"/>
          <w:bCs/>
          <w:sz w:val="20"/>
          <w:lang w:eastAsia="ko-KR"/>
        </w:rPr>
        <w:t>personnel</w:t>
      </w:r>
      <w:r w:rsidR="004B070D" w:rsidRPr="007419D6">
        <w:rPr>
          <w:rFonts w:ascii="Arial" w:hAnsi="Arial" w:cs="Arial"/>
          <w:bCs/>
          <w:sz w:val="20"/>
          <w:lang w:eastAsia="ko-KR"/>
        </w:rPr>
        <w:t>,</w:t>
      </w:r>
      <w:r w:rsidR="00A52AEE" w:rsidRPr="007419D6">
        <w:rPr>
          <w:rFonts w:ascii="Arial" w:hAnsi="Arial" w:cs="Arial"/>
          <w:bCs/>
          <w:sz w:val="20"/>
          <w:lang w:eastAsia="ko-KR"/>
        </w:rPr>
        <w:t xml:space="preserve"> </w:t>
      </w:r>
      <w:r w:rsidR="004B070D" w:rsidRPr="007419D6">
        <w:rPr>
          <w:rFonts w:ascii="Arial" w:hAnsi="Arial" w:cs="Arial"/>
          <w:bCs/>
          <w:sz w:val="20"/>
          <w:lang w:eastAsia="ko-KR"/>
        </w:rPr>
        <w:t xml:space="preserve">destinées aux </w:t>
      </w:r>
      <w:r w:rsidR="00A52AEE" w:rsidRPr="007419D6">
        <w:rPr>
          <w:rFonts w:ascii="Arial" w:hAnsi="Arial" w:cs="Arial"/>
          <w:sz w:val="20"/>
          <w:lang w:eastAsia="ko-KR"/>
        </w:rPr>
        <w:t>stages</w:t>
      </w:r>
      <w:r w:rsidR="004B070D" w:rsidRPr="007419D6">
        <w:rPr>
          <w:rFonts w:ascii="Arial" w:hAnsi="Arial" w:cs="Arial"/>
          <w:sz w:val="20"/>
          <w:lang w:eastAsia="ko-KR"/>
        </w:rPr>
        <w:t>, vers</w:t>
      </w:r>
      <w:r w:rsidR="00FA22F6" w:rsidRPr="007419D6">
        <w:rPr>
          <w:rFonts w:ascii="Arial" w:hAnsi="Arial" w:cs="Arial"/>
          <w:sz w:val="20"/>
          <w:lang w:eastAsia="ko-KR"/>
        </w:rPr>
        <w:t xml:space="preserve"> le DGR</w:t>
      </w:r>
      <w:r w:rsidR="00A52AEE" w:rsidRPr="007419D6">
        <w:rPr>
          <w:rFonts w:ascii="Arial" w:hAnsi="Arial" w:cs="Arial"/>
          <w:sz w:val="20"/>
          <w:lang w:eastAsia="ko-KR"/>
        </w:rPr>
        <w:t>H (programme</w:t>
      </w:r>
      <w:r w:rsidR="00B4191E" w:rsidRPr="007419D6">
        <w:rPr>
          <w:rFonts w:ascii="Arial" w:hAnsi="Arial" w:cs="Arial"/>
          <w:sz w:val="20"/>
          <w:lang w:eastAsia="ko-KR"/>
        </w:rPr>
        <w:t> </w:t>
      </w:r>
      <w:r w:rsidR="00A52AEE" w:rsidRPr="007419D6">
        <w:rPr>
          <w:rFonts w:ascii="Arial" w:hAnsi="Arial" w:cs="Arial"/>
          <w:sz w:val="20"/>
          <w:lang w:eastAsia="ko-KR"/>
        </w:rPr>
        <w:t>23), qui gère les stagiaires de manière centralisée.</w:t>
      </w:r>
    </w:p>
    <w:p w14:paraId="10AE9DEF" w14:textId="6B100BF1" w:rsidR="001F64B1" w:rsidRPr="007419D6" w:rsidRDefault="001F64B1" w:rsidP="0097226C">
      <w:pPr>
        <w:pStyle w:val="ListParagraph"/>
        <w:tabs>
          <w:tab w:val="left" w:pos="709"/>
        </w:tabs>
        <w:ind w:left="0"/>
        <w:jc w:val="both"/>
        <w:rPr>
          <w:rFonts w:ascii="Arial" w:hAnsi="Arial" w:cs="Arial"/>
          <w:sz w:val="20"/>
        </w:rPr>
      </w:pPr>
    </w:p>
    <w:p w14:paraId="15EDA0DC" w14:textId="144884EC" w:rsidR="001F64B1" w:rsidRPr="007419D6" w:rsidRDefault="00BA5EA9" w:rsidP="0097226C">
      <w:pPr>
        <w:jc w:val="both"/>
        <w:rPr>
          <w:sz w:val="20"/>
          <w:u w:val="single"/>
        </w:rPr>
      </w:pPr>
      <w:r w:rsidRPr="007419D6">
        <w:rPr>
          <w:sz w:val="20"/>
        </w:rPr>
        <w:t>B.</w:t>
      </w:r>
      <w:r w:rsidRPr="007419D6">
        <w:rPr>
          <w:sz w:val="20"/>
        </w:rPr>
        <w:tab/>
      </w:r>
      <w:r w:rsidR="00F3341E" w:rsidRPr="007419D6">
        <w:rPr>
          <w:sz w:val="20"/>
          <w:u w:val="single"/>
        </w:rPr>
        <w:t>Utilisation du budget</w:t>
      </w:r>
      <w:r w:rsidR="00B4191E" w:rsidRPr="007419D6">
        <w:rPr>
          <w:sz w:val="20"/>
          <w:u w:val="single"/>
        </w:rPr>
        <w:t> </w:t>
      </w:r>
      <w:r w:rsidR="00F3341E" w:rsidRPr="007419D6">
        <w:rPr>
          <w:sz w:val="20"/>
          <w:u w:val="single"/>
        </w:rPr>
        <w:t>2016</w:t>
      </w:r>
      <w:r w:rsidR="006A41CF" w:rsidRPr="007419D6">
        <w:rPr>
          <w:sz w:val="20"/>
          <w:u w:val="single"/>
        </w:rPr>
        <w:noBreakHyphen/>
      </w:r>
      <w:r w:rsidR="00F3341E" w:rsidRPr="007419D6">
        <w:rPr>
          <w:sz w:val="20"/>
          <w:u w:val="single"/>
        </w:rPr>
        <w:t>2017</w:t>
      </w:r>
    </w:p>
    <w:p w14:paraId="5840D2E4" w14:textId="77777777" w:rsidR="001F64B1" w:rsidRPr="007419D6" w:rsidRDefault="001F64B1" w:rsidP="0097226C">
      <w:pPr>
        <w:tabs>
          <w:tab w:val="left" w:pos="709"/>
        </w:tabs>
        <w:jc w:val="both"/>
        <w:rPr>
          <w:sz w:val="20"/>
          <w:u w:val="single"/>
          <w:lang w:eastAsia="ko-KR"/>
        </w:rPr>
      </w:pPr>
    </w:p>
    <w:p w14:paraId="49E74CCB" w14:textId="579B0671" w:rsidR="001F64B1" w:rsidRPr="007419D6" w:rsidRDefault="008C6E0E" w:rsidP="00D544B8">
      <w:pPr>
        <w:pStyle w:val="ListParagraph"/>
        <w:numPr>
          <w:ilvl w:val="0"/>
          <w:numId w:val="16"/>
        </w:numPr>
        <w:tabs>
          <w:tab w:val="left" w:pos="0"/>
          <w:tab w:val="left" w:pos="709"/>
        </w:tabs>
        <w:ind w:left="0" w:firstLine="0"/>
        <w:contextualSpacing w:val="0"/>
        <w:jc w:val="both"/>
        <w:rPr>
          <w:rFonts w:ascii="Arial" w:hAnsi="Arial" w:cs="Arial"/>
          <w:bCs/>
          <w:sz w:val="20"/>
        </w:rPr>
      </w:pPr>
      <w:r w:rsidRPr="007419D6">
        <w:rPr>
          <w:rFonts w:ascii="Arial" w:hAnsi="Arial" w:cs="Arial"/>
          <w:bCs/>
          <w:sz w:val="20"/>
        </w:rPr>
        <w:t>Le</w:t>
      </w:r>
      <w:r w:rsidR="003C03E6" w:rsidRPr="007419D6">
        <w:rPr>
          <w:rFonts w:ascii="Arial" w:hAnsi="Arial" w:cs="Arial"/>
          <w:bCs/>
          <w:sz w:val="20"/>
        </w:rPr>
        <w:t xml:space="preserve"> taux </w:t>
      </w:r>
      <w:r w:rsidRPr="007419D6">
        <w:rPr>
          <w:rFonts w:ascii="Arial" w:hAnsi="Arial" w:cs="Arial"/>
          <w:bCs/>
          <w:sz w:val="20"/>
        </w:rPr>
        <w:t>d</w:t>
      </w:r>
      <w:r w:rsidR="00FA22F6" w:rsidRPr="007419D6">
        <w:rPr>
          <w:rFonts w:ascii="Arial" w:hAnsi="Arial" w:cs="Arial"/>
          <w:bCs/>
          <w:sz w:val="20"/>
        </w:rPr>
        <w:t>’</w:t>
      </w:r>
      <w:r w:rsidRPr="007419D6">
        <w:rPr>
          <w:rFonts w:ascii="Arial" w:hAnsi="Arial" w:cs="Arial"/>
          <w:bCs/>
          <w:sz w:val="20"/>
        </w:rPr>
        <w:t xml:space="preserve">utilisation </w:t>
      </w:r>
      <w:r w:rsidR="003C03E6" w:rsidRPr="007419D6">
        <w:rPr>
          <w:rFonts w:ascii="Arial" w:hAnsi="Arial" w:cs="Arial"/>
          <w:bCs/>
          <w:sz w:val="20"/>
        </w:rPr>
        <w:t>de 26% du budget affecté aux</w:t>
      </w:r>
      <w:r w:rsidRPr="007419D6">
        <w:rPr>
          <w:rFonts w:ascii="Arial" w:hAnsi="Arial" w:cs="Arial"/>
          <w:bCs/>
          <w:sz w:val="20"/>
        </w:rPr>
        <w:t xml:space="preserve"> ressources autres que </w:t>
      </w:r>
      <w:r w:rsidR="00360496" w:rsidRPr="007419D6">
        <w:rPr>
          <w:rFonts w:ascii="Arial" w:hAnsi="Arial" w:cs="Arial"/>
          <w:bCs/>
          <w:sz w:val="20"/>
        </w:rPr>
        <w:t>pour le p</w:t>
      </w:r>
      <w:r w:rsidRPr="007419D6">
        <w:rPr>
          <w:rFonts w:ascii="Arial" w:hAnsi="Arial" w:cs="Arial"/>
          <w:bCs/>
          <w:sz w:val="20"/>
        </w:rPr>
        <w:t xml:space="preserve">ersonnel </w:t>
      </w:r>
      <w:r w:rsidR="00EB60ED" w:rsidRPr="007419D6">
        <w:rPr>
          <w:rFonts w:ascii="Arial" w:hAnsi="Arial" w:cs="Arial"/>
          <w:bCs/>
          <w:sz w:val="20"/>
        </w:rPr>
        <w:t xml:space="preserve">faisait apparaître </w:t>
      </w:r>
      <w:r w:rsidR="003C03E6" w:rsidRPr="007419D6">
        <w:rPr>
          <w:rFonts w:ascii="Arial" w:hAnsi="Arial" w:cs="Arial"/>
          <w:bCs/>
          <w:sz w:val="20"/>
        </w:rPr>
        <w:t xml:space="preserve">essentiellement </w:t>
      </w:r>
      <w:r w:rsidR="004B0040" w:rsidRPr="007419D6">
        <w:rPr>
          <w:rFonts w:ascii="Arial" w:hAnsi="Arial" w:cs="Arial"/>
          <w:bCs/>
          <w:sz w:val="20"/>
        </w:rPr>
        <w:t>de</w:t>
      </w:r>
      <w:r w:rsidR="00EB60ED" w:rsidRPr="007419D6">
        <w:rPr>
          <w:rFonts w:ascii="Arial" w:hAnsi="Arial" w:cs="Arial"/>
          <w:bCs/>
          <w:sz w:val="20"/>
        </w:rPr>
        <w:t>s</w:t>
      </w:r>
      <w:r w:rsidR="004B0040" w:rsidRPr="007419D6">
        <w:rPr>
          <w:rFonts w:ascii="Arial" w:hAnsi="Arial" w:cs="Arial"/>
          <w:bCs/>
          <w:sz w:val="20"/>
        </w:rPr>
        <w:t xml:space="preserve"> dépenses </w:t>
      </w:r>
      <w:r w:rsidR="003C03E6" w:rsidRPr="007419D6">
        <w:rPr>
          <w:rFonts w:ascii="Arial" w:hAnsi="Arial" w:cs="Arial"/>
          <w:bCs/>
          <w:sz w:val="20"/>
        </w:rPr>
        <w:t>au titre d</w:t>
      </w:r>
      <w:r w:rsidRPr="007419D6">
        <w:rPr>
          <w:rFonts w:ascii="Arial" w:hAnsi="Arial" w:cs="Arial"/>
          <w:bCs/>
          <w:sz w:val="20"/>
        </w:rPr>
        <w:t>es missions de fonctionnaires</w:t>
      </w:r>
      <w:r w:rsidR="003C03E6" w:rsidRPr="007419D6">
        <w:rPr>
          <w:rFonts w:ascii="Arial" w:hAnsi="Arial" w:cs="Arial"/>
          <w:bCs/>
          <w:sz w:val="20"/>
        </w:rPr>
        <w:t xml:space="preserve"> inférieures à celles prévues</w:t>
      </w:r>
      <w:r w:rsidRPr="007419D6">
        <w:rPr>
          <w:rFonts w:ascii="Arial" w:hAnsi="Arial" w:cs="Arial"/>
          <w:bCs/>
          <w:sz w:val="20"/>
        </w:rPr>
        <w:t>.</w:t>
      </w:r>
    </w:p>
    <w:p w14:paraId="4979EB07" w14:textId="77777777" w:rsidR="001F64B1" w:rsidRPr="001E6DFD" w:rsidRDefault="001F64B1" w:rsidP="0097226C">
      <w:pPr>
        <w:pStyle w:val="ListParagraph"/>
        <w:tabs>
          <w:tab w:val="left" w:pos="0"/>
          <w:tab w:val="left" w:pos="709"/>
        </w:tabs>
        <w:ind w:left="0"/>
        <w:contextualSpacing w:val="0"/>
        <w:jc w:val="both"/>
        <w:rPr>
          <w:rFonts w:ascii="Arial" w:hAnsi="Arial" w:cs="Arial"/>
        </w:rPr>
      </w:pPr>
    </w:p>
    <w:p w14:paraId="653A38DE" w14:textId="77777777" w:rsidR="00980A1C" w:rsidRPr="001E6DFD" w:rsidRDefault="00980A1C" w:rsidP="0097226C">
      <w:pPr>
        <w:rPr>
          <w:b/>
          <w:bCs/>
          <w:iCs/>
        </w:rPr>
      </w:pPr>
      <w:r w:rsidRPr="001E6DFD">
        <w:rPr>
          <w:b/>
          <w:bCs/>
          <w:iCs/>
        </w:rPr>
        <w:br w:type="page"/>
      </w:r>
    </w:p>
    <w:p w14:paraId="05A487E0" w14:textId="0FFEDF98" w:rsidR="001F64B1" w:rsidRPr="001E6DFD" w:rsidRDefault="006547DF" w:rsidP="006658D5">
      <w:pPr>
        <w:pStyle w:val="Heading3"/>
      </w:pPr>
      <w:bookmarkStart w:id="53" w:name="_Toc482774609"/>
      <w:r w:rsidRPr="001E6DFD">
        <w:lastRenderedPageBreak/>
        <w:t>Programme</w:t>
      </w:r>
      <w:r w:rsidR="00B4191E">
        <w:t> </w:t>
      </w:r>
      <w:r w:rsidRPr="001E6DFD">
        <w:t>15</w:t>
      </w:r>
      <w:r w:rsidRPr="001E6DFD">
        <w:tab/>
        <w:t>Solutions opérationnelles pour les offices de propriété intellectuelle</w:t>
      </w:r>
      <w:bookmarkEnd w:id="53"/>
    </w:p>
    <w:p w14:paraId="13FD4D15" w14:textId="77777777" w:rsidR="001F64B1" w:rsidRPr="0087680E" w:rsidRDefault="001F64B1" w:rsidP="006658D5">
      <w:pPr>
        <w:rPr>
          <w:sz w:val="20"/>
        </w:rPr>
      </w:pPr>
    </w:p>
    <w:p w14:paraId="7782D4A6" w14:textId="6B13B7B8" w:rsidR="001F64B1" w:rsidRPr="0087680E" w:rsidRDefault="006547DF" w:rsidP="006658D5">
      <w:pPr>
        <w:rPr>
          <w:b/>
          <w:sz w:val="20"/>
        </w:rPr>
      </w:pPr>
      <w:r w:rsidRPr="0087680E">
        <w:rPr>
          <w:b/>
          <w:sz w:val="20"/>
        </w:rPr>
        <w:t>Chef de programme</w:t>
      </w:r>
      <w:r w:rsidRPr="0087680E">
        <w:rPr>
          <w:b/>
          <w:sz w:val="20"/>
        </w:rPr>
        <w:tab/>
        <w:t>M.</w:t>
      </w:r>
      <w:r w:rsidR="004D421A" w:rsidRPr="0087680E">
        <w:rPr>
          <w:b/>
          <w:sz w:val="20"/>
        </w:rPr>
        <w:t> </w:t>
      </w:r>
      <w:r w:rsidRPr="0087680E">
        <w:rPr>
          <w:b/>
          <w:sz w:val="20"/>
        </w:rPr>
        <w:t>Y.</w:t>
      </w:r>
      <w:r w:rsidR="004D421A" w:rsidRPr="0087680E">
        <w:rPr>
          <w:b/>
          <w:sz w:val="20"/>
        </w:rPr>
        <w:t> </w:t>
      </w:r>
      <w:r w:rsidRPr="0087680E">
        <w:rPr>
          <w:b/>
          <w:sz w:val="20"/>
        </w:rPr>
        <w:t>Takagi</w:t>
      </w:r>
    </w:p>
    <w:p w14:paraId="7124E315" w14:textId="77777777" w:rsidR="001F64B1" w:rsidRPr="0087680E" w:rsidRDefault="001F64B1" w:rsidP="006658D5">
      <w:pPr>
        <w:rPr>
          <w:sz w:val="20"/>
        </w:rPr>
      </w:pPr>
    </w:p>
    <w:p w14:paraId="2F28835B" w14:textId="77777777" w:rsidR="00BA5EA9" w:rsidRDefault="00A055E7" w:rsidP="0087680E">
      <w:pPr>
        <w:jc w:val="center"/>
        <w:rPr>
          <w:sz w:val="20"/>
        </w:rPr>
      </w:pPr>
      <w:r w:rsidRPr="0087680E">
        <w:rPr>
          <w:noProof/>
          <w:sz w:val="20"/>
          <w:lang w:val="en-US"/>
        </w:rPr>
        <w:drawing>
          <wp:inline distT="0" distB="0" distL="0" distR="0" wp14:anchorId="3F0E53A9" wp14:editId="23AC3D88">
            <wp:extent cx="3963600" cy="273600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p w14:paraId="3662C608" w14:textId="77777777" w:rsidR="0087680E" w:rsidRPr="0087680E" w:rsidRDefault="0087680E" w:rsidP="0087680E">
      <w:pPr>
        <w:rPr>
          <w:sz w:val="20"/>
        </w:rPr>
      </w:pPr>
    </w:p>
    <w:tbl>
      <w:tblPr>
        <w:tblW w:w="5000" w:type="pct"/>
        <w:tblCellMar>
          <w:top w:w="57" w:type="dxa"/>
          <w:bottom w:w="57" w:type="dxa"/>
        </w:tblCellMar>
        <w:tblLook w:val="0000" w:firstRow="0" w:lastRow="0" w:firstColumn="0" w:lastColumn="0" w:noHBand="0" w:noVBand="0"/>
      </w:tblPr>
      <w:tblGrid>
        <w:gridCol w:w="2313"/>
        <w:gridCol w:w="2127"/>
        <w:gridCol w:w="1171"/>
        <w:gridCol w:w="2526"/>
        <w:gridCol w:w="1150"/>
      </w:tblGrid>
      <w:tr w:rsidR="00BA5EA9" w:rsidRPr="001E6DFD" w14:paraId="0EEA2E29" w14:textId="77777777" w:rsidTr="0087680E">
        <w:trPr>
          <w:cantSplit/>
        </w:trPr>
        <w:tc>
          <w:tcPr>
            <w:tcW w:w="5000" w:type="pct"/>
            <w:gridSpan w:val="5"/>
            <w:shd w:val="clear" w:color="auto" w:fill="C6D9F1" w:themeFill="text2" w:themeFillTint="33"/>
            <w:tcMar>
              <w:left w:w="108" w:type="dxa"/>
              <w:right w:w="108" w:type="dxa"/>
            </w:tcMar>
            <w:vAlign w:val="center"/>
          </w:tcPr>
          <w:p w14:paraId="40441519" w14:textId="655DBCB1" w:rsidR="00BA5EA9" w:rsidRPr="001E6DFD" w:rsidRDefault="006547DF" w:rsidP="0087680E">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IV.4 Amélioration de l</w:t>
            </w:r>
            <w:r w:rsidR="00FA22F6" w:rsidRPr="001E6DFD">
              <w:rPr>
                <w:bCs/>
                <w:sz w:val="16"/>
                <w:szCs w:val="16"/>
              </w:rPr>
              <w:t>’</w:t>
            </w:r>
            <w:r w:rsidRPr="001E6DFD">
              <w:rPr>
                <w:bCs/>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FA22F6" w:rsidRPr="001E6DFD">
              <w:rPr>
                <w:bCs/>
                <w:sz w:val="16"/>
                <w:szCs w:val="16"/>
              </w:rPr>
              <w:t>’</w:t>
            </w:r>
            <w:r w:rsidRPr="001E6DFD">
              <w:rPr>
                <w:bCs/>
                <w:sz w:val="16"/>
                <w:szCs w:val="16"/>
              </w:rPr>
              <w:t>obtenir un meilleur résultat pour ce qui concerne l</w:t>
            </w:r>
            <w:r w:rsidR="00FA22F6" w:rsidRPr="001E6DFD">
              <w:rPr>
                <w:bCs/>
                <w:sz w:val="16"/>
                <w:szCs w:val="16"/>
              </w:rPr>
              <w:t>’</w:t>
            </w:r>
            <w:r w:rsidRPr="001E6DFD">
              <w:rPr>
                <w:bCs/>
                <w:sz w:val="16"/>
                <w:szCs w:val="16"/>
              </w:rPr>
              <w:t>administration de la propriété intellectuelle</w:t>
            </w:r>
          </w:p>
        </w:tc>
      </w:tr>
      <w:tr w:rsidR="00BA5EA9" w:rsidRPr="001E6DFD" w14:paraId="1BA4980C" w14:textId="77777777" w:rsidTr="0087680E">
        <w:trPr>
          <w:cantSplit/>
        </w:trPr>
        <w:tc>
          <w:tcPr>
            <w:tcW w:w="1261" w:type="pct"/>
            <w:shd w:val="clear" w:color="auto" w:fill="auto"/>
            <w:tcMar>
              <w:left w:w="108" w:type="dxa"/>
              <w:right w:w="108" w:type="dxa"/>
            </w:tcMar>
            <w:vAlign w:val="center"/>
          </w:tcPr>
          <w:p w14:paraId="48F998B6" w14:textId="5F5AEEDE" w:rsidR="00BA5EA9" w:rsidRPr="001E6DFD" w:rsidRDefault="006547DF" w:rsidP="0087680E">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161" w:type="pct"/>
            <w:shd w:val="clear" w:color="auto" w:fill="auto"/>
            <w:tcMar>
              <w:left w:w="108" w:type="dxa"/>
              <w:right w:w="108" w:type="dxa"/>
            </w:tcMar>
            <w:vAlign w:val="center"/>
          </w:tcPr>
          <w:p w14:paraId="2A645257" w14:textId="77777777" w:rsidR="00BA5EA9" w:rsidRPr="001E6DFD" w:rsidRDefault="006547DF" w:rsidP="0087680E">
            <w:pPr>
              <w:jc w:val="center"/>
              <w:rPr>
                <w:b/>
                <w:bCs/>
                <w:sz w:val="16"/>
                <w:szCs w:val="16"/>
              </w:rPr>
            </w:pPr>
            <w:r w:rsidRPr="001E6DFD">
              <w:rPr>
                <w:b/>
                <w:bCs/>
                <w:sz w:val="16"/>
                <w:szCs w:val="16"/>
              </w:rPr>
              <w:t>Niveaux de référence</w:t>
            </w:r>
          </w:p>
        </w:tc>
        <w:tc>
          <w:tcPr>
            <w:tcW w:w="646" w:type="pct"/>
            <w:shd w:val="clear" w:color="auto" w:fill="auto"/>
            <w:tcMar>
              <w:top w:w="57" w:type="dxa"/>
              <w:left w:w="108" w:type="dxa"/>
              <w:right w:w="108" w:type="dxa"/>
            </w:tcMar>
            <w:vAlign w:val="center"/>
          </w:tcPr>
          <w:p w14:paraId="65B78D60" w14:textId="77777777" w:rsidR="00BA5EA9" w:rsidRPr="001E6DFD" w:rsidRDefault="006547DF" w:rsidP="0087680E">
            <w:pPr>
              <w:tabs>
                <w:tab w:val="left" w:pos="290"/>
              </w:tabs>
              <w:jc w:val="center"/>
              <w:rPr>
                <w:b/>
                <w:bCs/>
                <w:sz w:val="16"/>
                <w:szCs w:val="16"/>
              </w:rPr>
            </w:pPr>
            <w:r w:rsidRPr="001E6DFD">
              <w:rPr>
                <w:b/>
                <w:bCs/>
                <w:sz w:val="16"/>
                <w:szCs w:val="16"/>
              </w:rPr>
              <w:t>Objectifs visés</w:t>
            </w:r>
          </w:p>
        </w:tc>
        <w:tc>
          <w:tcPr>
            <w:tcW w:w="1375" w:type="pct"/>
            <w:shd w:val="clear" w:color="auto" w:fill="FFFFFF"/>
            <w:tcMar>
              <w:top w:w="57" w:type="dxa"/>
              <w:left w:w="108" w:type="dxa"/>
              <w:right w:w="108" w:type="dxa"/>
            </w:tcMar>
            <w:vAlign w:val="center"/>
          </w:tcPr>
          <w:p w14:paraId="4DB77770" w14:textId="69D61E62" w:rsidR="00BA5EA9" w:rsidRPr="001E6DFD" w:rsidRDefault="006547DF" w:rsidP="0087680E">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57" w:type="pct"/>
            <w:shd w:val="clear" w:color="auto" w:fill="auto"/>
            <w:tcMar>
              <w:top w:w="57" w:type="dxa"/>
              <w:left w:w="108" w:type="dxa"/>
              <w:right w:w="108" w:type="dxa"/>
            </w:tcMar>
            <w:vAlign w:val="center"/>
          </w:tcPr>
          <w:p w14:paraId="126DDC2E" w14:textId="1EC59987" w:rsidR="00BA5EA9" w:rsidRPr="001E6DFD" w:rsidRDefault="00EA6936" w:rsidP="0087680E">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6888464A" w14:textId="77777777" w:rsidTr="0087680E">
        <w:trPr>
          <w:cantSplit/>
        </w:trPr>
        <w:tc>
          <w:tcPr>
            <w:tcW w:w="1261" w:type="pct"/>
            <w:shd w:val="clear" w:color="auto" w:fill="auto"/>
            <w:tcMar>
              <w:left w:w="108" w:type="dxa"/>
              <w:right w:w="108" w:type="dxa"/>
            </w:tcMar>
          </w:tcPr>
          <w:p w14:paraId="1469B4D7" w14:textId="7CA32825" w:rsidR="00BA5EA9" w:rsidRPr="001E6DFD" w:rsidRDefault="00CD7DD3" w:rsidP="0087680E">
            <w:pPr>
              <w:rPr>
                <w:sz w:val="16"/>
                <w:szCs w:val="16"/>
              </w:rPr>
            </w:pPr>
            <w:r w:rsidRPr="001E6DFD">
              <w:rPr>
                <w:sz w:val="16"/>
                <w:szCs w:val="16"/>
              </w:rPr>
              <w:t>Nombre d</w:t>
            </w:r>
            <w:r w:rsidR="00FA22F6" w:rsidRPr="001E6DFD">
              <w:rPr>
                <w:sz w:val="16"/>
                <w:szCs w:val="16"/>
              </w:rPr>
              <w:t>’</w:t>
            </w:r>
            <w:r w:rsidRPr="001E6DFD">
              <w:rPr>
                <w:sz w:val="16"/>
                <w:szCs w:val="16"/>
              </w:rPr>
              <w:t>offices utilisant les plateformes d</w:t>
            </w:r>
            <w:r w:rsidR="00FA22F6" w:rsidRPr="001E6DFD">
              <w:rPr>
                <w:sz w:val="16"/>
                <w:szCs w:val="16"/>
              </w:rPr>
              <w:t>’</w:t>
            </w:r>
            <w:r w:rsidRPr="001E6DFD">
              <w:rPr>
                <w:sz w:val="16"/>
                <w:szCs w:val="16"/>
              </w:rPr>
              <w:t>infrastructure de l</w:t>
            </w:r>
            <w:r w:rsidR="00FA22F6" w:rsidRPr="001E6DFD">
              <w:rPr>
                <w:sz w:val="16"/>
                <w:szCs w:val="16"/>
              </w:rPr>
              <w:t>’</w:t>
            </w:r>
            <w:r w:rsidRPr="001E6DFD">
              <w:rPr>
                <w:sz w:val="16"/>
                <w:szCs w:val="16"/>
              </w:rPr>
              <w:t>OMPI</w:t>
            </w:r>
          </w:p>
        </w:tc>
        <w:tc>
          <w:tcPr>
            <w:tcW w:w="1161" w:type="pct"/>
            <w:shd w:val="clear" w:color="auto" w:fill="auto"/>
            <w:tcMar>
              <w:left w:w="108" w:type="dxa"/>
              <w:right w:w="108" w:type="dxa"/>
            </w:tcMar>
          </w:tcPr>
          <w:p w14:paraId="4818F1D0" w14:textId="5828AD57" w:rsidR="00FA22F6" w:rsidRPr="00A806A7" w:rsidRDefault="00E64532" w:rsidP="0087680E">
            <w:pPr>
              <w:rPr>
                <w:i/>
                <w:color w:val="002060"/>
                <w:sz w:val="16"/>
                <w:szCs w:val="16"/>
              </w:rPr>
            </w:pPr>
            <w:r w:rsidRPr="00A806A7">
              <w:rPr>
                <w:i/>
                <w:color w:val="002060"/>
                <w:sz w:val="16"/>
                <w:szCs w:val="16"/>
              </w:rPr>
              <w:t>Niveau de référence actualisé à fin</w:t>
            </w:r>
            <w:r w:rsidR="00B4191E" w:rsidRPr="00A806A7">
              <w:rPr>
                <w:i/>
                <w:color w:val="002060"/>
                <w:sz w:val="16"/>
                <w:szCs w:val="16"/>
              </w:rPr>
              <w:t> </w:t>
            </w:r>
            <w:r w:rsidRPr="00A806A7">
              <w:rPr>
                <w:i/>
                <w:color w:val="002060"/>
                <w:sz w:val="16"/>
                <w:szCs w:val="16"/>
              </w:rPr>
              <w:t>2015</w:t>
            </w:r>
            <w:r w:rsidR="00FA22F6" w:rsidRPr="00A806A7">
              <w:rPr>
                <w:i/>
                <w:color w:val="002060"/>
                <w:sz w:val="16"/>
                <w:szCs w:val="16"/>
              </w:rPr>
              <w:t> :</w:t>
            </w:r>
          </w:p>
          <w:p w14:paraId="05385646" w14:textId="3DB3CB7A" w:rsidR="001F64B1" w:rsidRPr="00A806A7" w:rsidRDefault="00A806A7" w:rsidP="0087680E">
            <w:pPr>
              <w:rPr>
                <w:color w:val="002060"/>
                <w:sz w:val="16"/>
                <w:szCs w:val="16"/>
              </w:rPr>
            </w:pPr>
            <w:r>
              <w:rPr>
                <w:color w:val="002060"/>
                <w:sz w:val="16"/>
                <w:szCs w:val="16"/>
              </w:rPr>
              <w:t xml:space="preserve">– </w:t>
            </w:r>
            <w:r w:rsidR="00CD7DD3" w:rsidRPr="00A806A7">
              <w:rPr>
                <w:color w:val="002060"/>
                <w:sz w:val="16"/>
                <w:szCs w:val="16"/>
              </w:rPr>
              <w:t>Asie et Pacifique</w:t>
            </w:r>
            <w:r w:rsidR="00FA22F6" w:rsidRPr="00A806A7">
              <w:rPr>
                <w:color w:val="002060"/>
                <w:sz w:val="16"/>
                <w:szCs w:val="16"/>
              </w:rPr>
              <w:t> :</w:t>
            </w:r>
            <w:r w:rsidR="00CD7DD3" w:rsidRPr="00A806A7">
              <w:rPr>
                <w:color w:val="002060"/>
                <w:sz w:val="16"/>
                <w:szCs w:val="16"/>
              </w:rPr>
              <w:t xml:space="preserve"> 12</w:t>
            </w:r>
          </w:p>
          <w:p w14:paraId="5D527AAB" w14:textId="12DCB84C" w:rsidR="001F64B1" w:rsidRPr="00A806A7" w:rsidRDefault="00A806A7" w:rsidP="0087680E">
            <w:pPr>
              <w:rPr>
                <w:color w:val="002060"/>
                <w:sz w:val="16"/>
                <w:szCs w:val="16"/>
              </w:rPr>
            </w:pPr>
            <w:r>
              <w:rPr>
                <w:color w:val="002060"/>
                <w:sz w:val="16"/>
                <w:szCs w:val="16"/>
              </w:rPr>
              <w:t xml:space="preserve">– </w:t>
            </w:r>
            <w:r w:rsidR="00CD7DD3" w:rsidRPr="00A806A7">
              <w:rPr>
                <w:color w:val="002060"/>
                <w:sz w:val="16"/>
                <w:szCs w:val="16"/>
              </w:rPr>
              <w:t>Amérique latine et Caraïbes</w:t>
            </w:r>
            <w:r w:rsidR="00FA22F6" w:rsidRPr="00A806A7">
              <w:rPr>
                <w:color w:val="002060"/>
                <w:sz w:val="16"/>
                <w:szCs w:val="16"/>
              </w:rPr>
              <w:t> :</w:t>
            </w:r>
            <w:r w:rsidR="00CD7DD3" w:rsidRPr="00A806A7">
              <w:rPr>
                <w:color w:val="002060"/>
                <w:sz w:val="16"/>
                <w:szCs w:val="16"/>
              </w:rPr>
              <w:t xml:space="preserve"> 1</w:t>
            </w:r>
          </w:p>
          <w:p w14:paraId="4038D7A6" w14:textId="6AE15A07" w:rsidR="001F64B1" w:rsidRPr="00A806A7" w:rsidRDefault="00A806A7" w:rsidP="0087680E">
            <w:pPr>
              <w:rPr>
                <w:color w:val="002060"/>
                <w:sz w:val="16"/>
                <w:szCs w:val="16"/>
              </w:rPr>
            </w:pPr>
            <w:r>
              <w:rPr>
                <w:color w:val="002060"/>
                <w:sz w:val="16"/>
                <w:szCs w:val="16"/>
              </w:rPr>
              <w:t xml:space="preserve">– </w:t>
            </w:r>
            <w:r w:rsidR="00980A1C" w:rsidRPr="00A806A7">
              <w:rPr>
                <w:color w:val="002060"/>
                <w:sz w:val="16"/>
                <w:szCs w:val="16"/>
              </w:rPr>
              <w:t>Autres</w:t>
            </w:r>
            <w:r w:rsidR="00FA22F6" w:rsidRPr="00A806A7">
              <w:rPr>
                <w:color w:val="002060"/>
                <w:sz w:val="16"/>
                <w:szCs w:val="16"/>
              </w:rPr>
              <w:t> :</w:t>
            </w:r>
            <w:r w:rsidR="00BA5EA9" w:rsidRPr="00A806A7">
              <w:rPr>
                <w:color w:val="002060"/>
                <w:sz w:val="16"/>
                <w:szCs w:val="16"/>
              </w:rPr>
              <w:t xml:space="preserve"> 12</w:t>
            </w:r>
            <w:r w:rsidR="00BA5EA9" w:rsidRPr="00A806A7">
              <w:rPr>
                <w:rStyle w:val="FootnoteReference"/>
                <w:rFonts w:eastAsiaTheme="minorEastAsia" w:cs="Arial"/>
                <w:color w:val="002060"/>
                <w:szCs w:val="16"/>
              </w:rPr>
              <w:footnoteReference w:id="64"/>
            </w:r>
          </w:p>
          <w:p w14:paraId="5FB5D9DD" w14:textId="77777777" w:rsidR="001F64B1" w:rsidRPr="00A806A7" w:rsidRDefault="00CD7DD3" w:rsidP="0087680E">
            <w:pPr>
              <w:rPr>
                <w:color w:val="002060"/>
                <w:sz w:val="16"/>
                <w:szCs w:val="16"/>
              </w:rPr>
            </w:pPr>
            <w:r w:rsidRPr="00A806A7">
              <w:rPr>
                <w:color w:val="002060"/>
                <w:sz w:val="16"/>
                <w:szCs w:val="16"/>
              </w:rPr>
              <w:t>(25 offices au total)</w:t>
            </w:r>
          </w:p>
          <w:p w14:paraId="5E73D5F7" w14:textId="77777777" w:rsidR="001F64B1" w:rsidRPr="00A806A7" w:rsidRDefault="001F64B1" w:rsidP="0087680E">
            <w:pPr>
              <w:rPr>
                <w:sz w:val="14"/>
                <w:szCs w:val="16"/>
              </w:rPr>
            </w:pPr>
          </w:p>
          <w:p w14:paraId="5A232B04" w14:textId="2B96A87C" w:rsidR="00FA22F6" w:rsidRPr="001E6DFD" w:rsidRDefault="00E64532" w:rsidP="0087680E">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7C860A18" w14:textId="74E09A5A" w:rsidR="001F64B1" w:rsidRPr="001E6DFD" w:rsidRDefault="00CD7DD3" w:rsidP="0087680E">
            <w:pPr>
              <w:rPr>
                <w:sz w:val="16"/>
                <w:szCs w:val="16"/>
              </w:rPr>
            </w:pPr>
            <w:r w:rsidRPr="001E6DFD">
              <w:rPr>
                <w:sz w:val="16"/>
                <w:szCs w:val="16"/>
              </w:rPr>
              <w:t xml:space="preserve">22 offices en </w:t>
            </w:r>
            <w:r w:rsidR="00FA22F6" w:rsidRPr="001E6DFD">
              <w:rPr>
                <w:sz w:val="16"/>
                <w:szCs w:val="16"/>
              </w:rPr>
              <w:t>mars 20</w:t>
            </w:r>
            <w:r w:rsidRPr="001E6DFD">
              <w:rPr>
                <w:sz w:val="16"/>
                <w:szCs w:val="16"/>
              </w:rPr>
              <w:t>15</w:t>
            </w:r>
          </w:p>
          <w:p w14:paraId="3D3E3527" w14:textId="276F271D" w:rsidR="001F64B1" w:rsidRPr="001E6DFD" w:rsidRDefault="00CD7DD3" w:rsidP="0087680E">
            <w:pPr>
              <w:rPr>
                <w:sz w:val="16"/>
                <w:szCs w:val="16"/>
              </w:rPr>
            </w:pPr>
            <w:r w:rsidRPr="001E6DFD">
              <w:rPr>
                <w:sz w:val="16"/>
                <w:szCs w:val="16"/>
              </w:rPr>
              <w:t>Asie et Pacifique</w:t>
            </w:r>
            <w:r w:rsidR="00FA22F6" w:rsidRPr="001E6DFD">
              <w:rPr>
                <w:sz w:val="16"/>
                <w:szCs w:val="16"/>
              </w:rPr>
              <w:t> :</w:t>
            </w:r>
            <w:r w:rsidRPr="001E6DFD">
              <w:rPr>
                <w:sz w:val="16"/>
                <w:szCs w:val="16"/>
              </w:rPr>
              <w:t xml:space="preserve"> 12</w:t>
            </w:r>
          </w:p>
          <w:p w14:paraId="1689EB84" w14:textId="1BB78A7B" w:rsidR="001F64B1" w:rsidRPr="001E6DFD" w:rsidRDefault="001F64B1" w:rsidP="0087680E">
            <w:pPr>
              <w:rPr>
                <w:sz w:val="16"/>
                <w:szCs w:val="16"/>
              </w:rPr>
            </w:pPr>
            <w:r w:rsidRPr="001E6DFD">
              <w:rPr>
                <w:sz w:val="16"/>
                <w:szCs w:val="16"/>
              </w:rPr>
              <w:t>Pays en transition</w:t>
            </w:r>
            <w:r w:rsidR="00FA22F6" w:rsidRPr="001E6DFD">
              <w:rPr>
                <w:sz w:val="16"/>
                <w:szCs w:val="16"/>
              </w:rPr>
              <w:t> :</w:t>
            </w:r>
            <w:r w:rsidRPr="001E6DFD">
              <w:rPr>
                <w:sz w:val="16"/>
                <w:szCs w:val="16"/>
              </w:rPr>
              <w:t xml:space="preserve"> 1</w:t>
            </w:r>
          </w:p>
          <w:p w14:paraId="441CF255" w14:textId="529EBA33" w:rsidR="00BA5EA9" w:rsidRPr="001E6DFD" w:rsidRDefault="001F64B1" w:rsidP="0087680E">
            <w:pPr>
              <w:rPr>
                <w:sz w:val="16"/>
                <w:szCs w:val="16"/>
              </w:rPr>
            </w:pPr>
            <w:r w:rsidRPr="001E6DFD">
              <w:rPr>
                <w:sz w:val="16"/>
                <w:szCs w:val="16"/>
              </w:rPr>
              <w:t>Pays développés</w:t>
            </w:r>
            <w:r w:rsidR="00FA22F6" w:rsidRPr="001E6DFD">
              <w:rPr>
                <w:sz w:val="16"/>
                <w:szCs w:val="16"/>
              </w:rPr>
              <w:t> :</w:t>
            </w:r>
            <w:r w:rsidRPr="001E6DFD">
              <w:rPr>
                <w:sz w:val="16"/>
                <w:szCs w:val="16"/>
              </w:rPr>
              <w:t xml:space="preserve"> 9</w:t>
            </w:r>
          </w:p>
        </w:tc>
        <w:tc>
          <w:tcPr>
            <w:tcW w:w="646" w:type="pct"/>
            <w:shd w:val="clear" w:color="auto" w:fill="auto"/>
            <w:tcMar>
              <w:top w:w="57" w:type="dxa"/>
              <w:left w:w="108" w:type="dxa"/>
              <w:right w:w="108" w:type="dxa"/>
            </w:tcMar>
          </w:tcPr>
          <w:p w14:paraId="25897661" w14:textId="2027B8D6" w:rsidR="00BA5EA9" w:rsidRPr="001E6DFD" w:rsidRDefault="001F64B1" w:rsidP="0087680E">
            <w:pPr>
              <w:rPr>
                <w:sz w:val="16"/>
                <w:szCs w:val="16"/>
              </w:rPr>
            </w:pPr>
            <w:r w:rsidRPr="001E6DFD">
              <w:rPr>
                <w:sz w:val="16"/>
                <w:szCs w:val="16"/>
              </w:rPr>
              <w:t>29 offices fin</w:t>
            </w:r>
            <w:r w:rsidR="00B4191E">
              <w:rPr>
                <w:sz w:val="16"/>
                <w:szCs w:val="16"/>
              </w:rPr>
              <w:t> </w:t>
            </w:r>
            <w:r w:rsidRPr="001E6DFD">
              <w:rPr>
                <w:sz w:val="16"/>
                <w:szCs w:val="16"/>
              </w:rPr>
              <w:t>2017</w:t>
            </w:r>
          </w:p>
        </w:tc>
        <w:tc>
          <w:tcPr>
            <w:tcW w:w="1375" w:type="pct"/>
            <w:shd w:val="clear" w:color="auto" w:fill="FFFFFF"/>
            <w:tcMar>
              <w:top w:w="57" w:type="dxa"/>
              <w:left w:w="108" w:type="dxa"/>
              <w:right w:w="108" w:type="dxa"/>
            </w:tcMar>
          </w:tcPr>
          <w:p w14:paraId="41684FC3" w14:textId="1A0D2A47" w:rsidR="00FA22F6" w:rsidRPr="001E6DFD" w:rsidRDefault="001F64B1" w:rsidP="0087680E">
            <w:pPr>
              <w:rPr>
                <w:sz w:val="16"/>
                <w:szCs w:val="16"/>
              </w:rPr>
            </w:pPr>
            <w:r w:rsidRPr="001E6DFD">
              <w:rPr>
                <w:sz w:val="16"/>
                <w:szCs w:val="16"/>
              </w:rPr>
              <w:t xml:space="preserve">6 offices supplémentaires </w:t>
            </w:r>
            <w:r w:rsidR="00FA22F6" w:rsidRPr="001E6DFD">
              <w:rPr>
                <w:sz w:val="16"/>
                <w:szCs w:val="16"/>
              </w:rPr>
              <w:t>en 2016 :</w:t>
            </w:r>
          </w:p>
          <w:p w14:paraId="0225606F" w14:textId="1F59725C" w:rsidR="001F64B1" w:rsidRPr="00A806A7" w:rsidRDefault="00A806A7" w:rsidP="0087680E">
            <w:pPr>
              <w:rPr>
                <w:sz w:val="16"/>
                <w:szCs w:val="16"/>
              </w:rPr>
            </w:pPr>
            <w:r>
              <w:rPr>
                <w:sz w:val="16"/>
                <w:szCs w:val="16"/>
              </w:rPr>
              <w:t xml:space="preserve">– </w:t>
            </w:r>
            <w:r w:rsidR="00980A1C" w:rsidRPr="00A806A7">
              <w:rPr>
                <w:sz w:val="16"/>
                <w:szCs w:val="16"/>
              </w:rPr>
              <w:t>Asie et Pacifique</w:t>
            </w:r>
            <w:r w:rsidR="00FA22F6" w:rsidRPr="00A806A7">
              <w:rPr>
                <w:sz w:val="16"/>
                <w:szCs w:val="16"/>
              </w:rPr>
              <w:t> :</w:t>
            </w:r>
            <w:r w:rsidR="00BA5EA9" w:rsidRPr="00A806A7">
              <w:rPr>
                <w:sz w:val="16"/>
                <w:szCs w:val="16"/>
              </w:rPr>
              <w:t xml:space="preserve"> 2</w:t>
            </w:r>
            <w:r w:rsidR="00FA22F6" w:rsidRPr="00A806A7">
              <w:rPr>
                <w:sz w:val="16"/>
                <w:szCs w:val="16"/>
              </w:rPr>
              <w:t> :</w:t>
            </w:r>
            <w:r w:rsidR="00BA5EA9" w:rsidRPr="00A806A7">
              <w:rPr>
                <w:sz w:val="16"/>
                <w:szCs w:val="16"/>
              </w:rPr>
              <w:t xml:space="preserve"> </w:t>
            </w:r>
            <w:r w:rsidR="00980A1C" w:rsidRPr="00A806A7">
              <w:rPr>
                <w:sz w:val="16"/>
                <w:szCs w:val="16"/>
              </w:rPr>
              <w:t>Cambodge, Papouasie</w:t>
            </w:r>
            <w:r w:rsidR="006A41CF" w:rsidRPr="00A806A7">
              <w:rPr>
                <w:sz w:val="16"/>
                <w:szCs w:val="16"/>
              </w:rPr>
              <w:noBreakHyphen/>
            </w:r>
            <w:r w:rsidR="00980A1C" w:rsidRPr="00A806A7">
              <w:rPr>
                <w:sz w:val="16"/>
                <w:szCs w:val="16"/>
              </w:rPr>
              <w:t>Nouvelle</w:t>
            </w:r>
            <w:r w:rsidR="006A41CF" w:rsidRPr="00A806A7">
              <w:rPr>
                <w:sz w:val="16"/>
                <w:szCs w:val="16"/>
              </w:rPr>
              <w:noBreakHyphen/>
            </w:r>
            <w:r w:rsidR="00980A1C" w:rsidRPr="00A806A7">
              <w:rPr>
                <w:sz w:val="16"/>
                <w:szCs w:val="16"/>
              </w:rPr>
              <w:t xml:space="preserve">Guinée </w:t>
            </w:r>
            <w:r w:rsidR="00BA5EA9" w:rsidRPr="00A806A7">
              <w:rPr>
                <w:sz w:val="16"/>
                <w:szCs w:val="16"/>
              </w:rPr>
              <w:t xml:space="preserve">(14 </w:t>
            </w:r>
            <w:r w:rsidR="00980A1C" w:rsidRPr="00A806A7">
              <w:rPr>
                <w:sz w:val="16"/>
                <w:szCs w:val="16"/>
              </w:rPr>
              <w:t>au total</w:t>
            </w:r>
            <w:r w:rsidR="00BA5EA9" w:rsidRPr="00A806A7">
              <w:rPr>
                <w:sz w:val="16"/>
                <w:szCs w:val="16"/>
              </w:rPr>
              <w:t>).</w:t>
            </w:r>
          </w:p>
          <w:p w14:paraId="5F52A6A7" w14:textId="1A462804" w:rsidR="00FA22F6" w:rsidRPr="00A806A7" w:rsidRDefault="00A806A7" w:rsidP="0087680E">
            <w:pPr>
              <w:rPr>
                <w:sz w:val="16"/>
                <w:szCs w:val="16"/>
              </w:rPr>
            </w:pPr>
            <w:r>
              <w:rPr>
                <w:sz w:val="16"/>
                <w:szCs w:val="16"/>
              </w:rPr>
              <w:t xml:space="preserve">– </w:t>
            </w:r>
            <w:r w:rsidR="00980A1C" w:rsidRPr="00A806A7">
              <w:rPr>
                <w:sz w:val="16"/>
                <w:szCs w:val="16"/>
              </w:rPr>
              <w:t xml:space="preserve">Aucun office supplémentaire en Amérique latine et Caraïbes </w:t>
            </w:r>
            <w:r w:rsidR="00BA5EA9" w:rsidRPr="00A806A7">
              <w:rPr>
                <w:sz w:val="16"/>
                <w:szCs w:val="16"/>
              </w:rPr>
              <w:t xml:space="preserve">(1 </w:t>
            </w:r>
            <w:r w:rsidR="00980A1C" w:rsidRPr="00A806A7">
              <w:rPr>
                <w:sz w:val="16"/>
                <w:szCs w:val="16"/>
              </w:rPr>
              <w:t>au total</w:t>
            </w:r>
            <w:r w:rsidR="00BA5EA9" w:rsidRPr="00A806A7">
              <w:rPr>
                <w:sz w:val="16"/>
                <w:szCs w:val="16"/>
              </w:rPr>
              <w:t>)</w:t>
            </w:r>
          </w:p>
          <w:p w14:paraId="38AC5400" w14:textId="3284253F" w:rsidR="001F64B1" w:rsidRPr="00A806A7" w:rsidRDefault="00A806A7" w:rsidP="0087680E">
            <w:pPr>
              <w:rPr>
                <w:sz w:val="16"/>
                <w:szCs w:val="16"/>
              </w:rPr>
            </w:pPr>
            <w:r>
              <w:rPr>
                <w:sz w:val="16"/>
                <w:szCs w:val="16"/>
              </w:rPr>
              <w:t xml:space="preserve">– </w:t>
            </w:r>
            <w:r w:rsidR="00980A1C" w:rsidRPr="00A806A7">
              <w:rPr>
                <w:sz w:val="16"/>
                <w:szCs w:val="16"/>
              </w:rPr>
              <w:t>Autres</w:t>
            </w:r>
            <w:r w:rsidR="00FA22F6" w:rsidRPr="00A806A7">
              <w:rPr>
                <w:sz w:val="16"/>
                <w:szCs w:val="16"/>
              </w:rPr>
              <w:t> :</w:t>
            </w:r>
            <w:r w:rsidR="00BA5EA9" w:rsidRPr="00A806A7">
              <w:rPr>
                <w:sz w:val="16"/>
                <w:szCs w:val="16"/>
              </w:rPr>
              <w:t xml:space="preserve"> 3</w:t>
            </w:r>
            <w:r w:rsidR="00FA22F6" w:rsidRPr="00A806A7">
              <w:rPr>
                <w:sz w:val="16"/>
                <w:szCs w:val="16"/>
              </w:rPr>
              <w:t> :</w:t>
            </w:r>
            <w:r w:rsidR="00BA5EA9" w:rsidRPr="00A806A7">
              <w:rPr>
                <w:sz w:val="16"/>
                <w:szCs w:val="16"/>
              </w:rPr>
              <w:t xml:space="preserve"> </w:t>
            </w:r>
            <w:r w:rsidR="00980A1C" w:rsidRPr="00A806A7">
              <w:rPr>
                <w:sz w:val="16"/>
                <w:szCs w:val="16"/>
              </w:rPr>
              <w:t>Office européen des brevets, Organisation eurasienne des brevets (OEAB), Portugal (15 au total</w:t>
            </w:r>
            <w:r w:rsidR="00BA5EA9" w:rsidRPr="00A806A7">
              <w:rPr>
                <w:sz w:val="16"/>
                <w:szCs w:val="16"/>
              </w:rPr>
              <w:t>)</w:t>
            </w:r>
          </w:p>
          <w:p w14:paraId="461F4543" w14:textId="6A8E0B8E" w:rsidR="001F64B1" w:rsidRPr="00A806A7" w:rsidRDefault="00A806A7" w:rsidP="0087680E">
            <w:pPr>
              <w:rPr>
                <w:sz w:val="16"/>
                <w:szCs w:val="16"/>
              </w:rPr>
            </w:pPr>
            <w:r>
              <w:rPr>
                <w:sz w:val="16"/>
                <w:szCs w:val="16"/>
              </w:rPr>
              <w:t xml:space="preserve">– </w:t>
            </w:r>
            <w:r w:rsidR="00980A1C" w:rsidRPr="00A806A7">
              <w:rPr>
                <w:sz w:val="16"/>
                <w:szCs w:val="16"/>
              </w:rPr>
              <w:t>Pays en transition</w:t>
            </w:r>
            <w:r w:rsidR="00FA22F6" w:rsidRPr="00A806A7">
              <w:rPr>
                <w:sz w:val="16"/>
                <w:szCs w:val="16"/>
              </w:rPr>
              <w:t> :</w:t>
            </w:r>
            <w:r w:rsidR="00BA5EA9" w:rsidRPr="00A806A7">
              <w:rPr>
                <w:sz w:val="16"/>
                <w:szCs w:val="16"/>
              </w:rPr>
              <w:t xml:space="preserve"> </w:t>
            </w:r>
            <w:r w:rsidR="00E94653" w:rsidRPr="00A806A7">
              <w:rPr>
                <w:sz w:val="16"/>
                <w:szCs w:val="16"/>
              </w:rPr>
              <w:t>1</w:t>
            </w:r>
            <w:r w:rsidR="00FA22F6" w:rsidRPr="00A806A7">
              <w:rPr>
                <w:sz w:val="16"/>
                <w:szCs w:val="16"/>
              </w:rPr>
              <w:t> :</w:t>
            </w:r>
            <w:r w:rsidR="00BA5EA9" w:rsidRPr="00A806A7">
              <w:rPr>
                <w:sz w:val="16"/>
                <w:szCs w:val="16"/>
              </w:rPr>
              <w:t xml:space="preserve"> </w:t>
            </w:r>
            <w:r w:rsidR="00980A1C" w:rsidRPr="00A806A7">
              <w:rPr>
                <w:sz w:val="16"/>
                <w:szCs w:val="16"/>
              </w:rPr>
              <w:t xml:space="preserve">Azerbaïdjan </w:t>
            </w:r>
            <w:r w:rsidR="00BA5EA9" w:rsidRPr="00A806A7">
              <w:rPr>
                <w:sz w:val="16"/>
                <w:szCs w:val="16"/>
              </w:rPr>
              <w:t xml:space="preserve">(1 </w:t>
            </w:r>
            <w:r w:rsidR="00980A1C" w:rsidRPr="00A806A7">
              <w:rPr>
                <w:sz w:val="16"/>
                <w:szCs w:val="16"/>
              </w:rPr>
              <w:t>au total</w:t>
            </w:r>
            <w:r w:rsidR="00BA5EA9" w:rsidRPr="00A806A7">
              <w:rPr>
                <w:sz w:val="16"/>
                <w:szCs w:val="16"/>
              </w:rPr>
              <w:t>)</w:t>
            </w:r>
          </w:p>
          <w:p w14:paraId="38B0FD32" w14:textId="77777777" w:rsidR="00BA5EA9" w:rsidRPr="001E6DFD" w:rsidRDefault="001F64B1" w:rsidP="0087680E">
            <w:pPr>
              <w:rPr>
                <w:sz w:val="16"/>
                <w:szCs w:val="16"/>
              </w:rPr>
            </w:pPr>
            <w:r w:rsidRPr="001E6DFD">
              <w:rPr>
                <w:sz w:val="16"/>
                <w:szCs w:val="16"/>
              </w:rPr>
              <w:t>31 offices (au total)</w:t>
            </w:r>
          </w:p>
        </w:tc>
        <w:tc>
          <w:tcPr>
            <w:tcW w:w="557" w:type="pct"/>
            <w:shd w:val="clear" w:color="auto" w:fill="auto"/>
            <w:tcMar>
              <w:top w:w="57" w:type="dxa"/>
              <w:left w:w="108" w:type="dxa"/>
              <w:right w:w="108" w:type="dxa"/>
            </w:tcMar>
          </w:tcPr>
          <w:p w14:paraId="78EE498B" w14:textId="77777777" w:rsidR="00BA5EA9" w:rsidRPr="001E6DFD" w:rsidRDefault="00A43B2F" w:rsidP="0087680E">
            <w:pPr>
              <w:keepNext/>
              <w:keepLines/>
              <w:jc w:val="center"/>
              <w:rPr>
                <w:b/>
                <w:sz w:val="16"/>
                <w:szCs w:val="16"/>
              </w:rPr>
            </w:pPr>
            <w:r w:rsidRPr="001E6DFD">
              <w:rPr>
                <w:b/>
                <w:color w:val="00B050"/>
                <w:sz w:val="16"/>
                <w:szCs w:val="16"/>
              </w:rPr>
              <w:t>En bonne voie</w:t>
            </w:r>
          </w:p>
        </w:tc>
      </w:tr>
      <w:tr w:rsidR="00BA5EA9" w:rsidRPr="001E6DFD" w14:paraId="1241FDB6" w14:textId="77777777" w:rsidTr="0087680E">
        <w:trPr>
          <w:cantSplit/>
        </w:trPr>
        <w:tc>
          <w:tcPr>
            <w:tcW w:w="1261" w:type="pct"/>
            <w:shd w:val="clear" w:color="auto" w:fill="auto"/>
            <w:tcMar>
              <w:left w:w="108" w:type="dxa"/>
              <w:right w:w="108" w:type="dxa"/>
            </w:tcMar>
          </w:tcPr>
          <w:p w14:paraId="4EFD7B32" w14:textId="57B6AEAD" w:rsidR="00BA5EA9" w:rsidRPr="001E6DFD" w:rsidRDefault="005920D5" w:rsidP="0087680E">
            <w:pPr>
              <w:rPr>
                <w:sz w:val="16"/>
                <w:szCs w:val="16"/>
              </w:rPr>
            </w:pPr>
            <w:r w:rsidRPr="001E6DFD">
              <w:rPr>
                <w:sz w:val="16"/>
                <w:szCs w:val="16"/>
              </w:rPr>
              <w:t>Niveau de service moyen des offices de propriété intellectuelle bénéficiant d</w:t>
            </w:r>
            <w:r w:rsidR="00FA22F6" w:rsidRPr="001E6DFD">
              <w:rPr>
                <w:sz w:val="16"/>
                <w:szCs w:val="16"/>
              </w:rPr>
              <w:t>’</w:t>
            </w:r>
            <w:r w:rsidRPr="001E6DFD">
              <w:rPr>
                <w:sz w:val="16"/>
                <w:szCs w:val="16"/>
              </w:rPr>
              <w:t>une assistance (de 1 à 5)</w:t>
            </w:r>
          </w:p>
        </w:tc>
        <w:tc>
          <w:tcPr>
            <w:tcW w:w="1161" w:type="pct"/>
            <w:shd w:val="clear" w:color="auto" w:fill="auto"/>
            <w:tcMar>
              <w:left w:w="108" w:type="dxa"/>
              <w:right w:w="108" w:type="dxa"/>
            </w:tcMar>
          </w:tcPr>
          <w:p w14:paraId="034978EF" w14:textId="7AA992FC" w:rsidR="00FA22F6" w:rsidRPr="00A806A7" w:rsidRDefault="00E64532" w:rsidP="0087680E">
            <w:pPr>
              <w:rPr>
                <w:i/>
                <w:color w:val="002060"/>
                <w:sz w:val="16"/>
                <w:szCs w:val="16"/>
              </w:rPr>
            </w:pPr>
            <w:r w:rsidRPr="00A806A7">
              <w:rPr>
                <w:i/>
                <w:color w:val="002060"/>
                <w:sz w:val="16"/>
                <w:szCs w:val="16"/>
              </w:rPr>
              <w:t>Niveau de référence actualisé à fin</w:t>
            </w:r>
            <w:r w:rsidR="00B4191E" w:rsidRPr="00A806A7">
              <w:rPr>
                <w:i/>
                <w:color w:val="002060"/>
                <w:sz w:val="16"/>
                <w:szCs w:val="16"/>
              </w:rPr>
              <w:t> </w:t>
            </w:r>
            <w:r w:rsidRPr="00A806A7">
              <w:rPr>
                <w:i/>
                <w:color w:val="002060"/>
                <w:sz w:val="16"/>
                <w:szCs w:val="16"/>
              </w:rPr>
              <w:t>2015</w:t>
            </w:r>
            <w:r w:rsidR="00FA22F6" w:rsidRPr="00A806A7">
              <w:rPr>
                <w:i/>
                <w:color w:val="002060"/>
                <w:sz w:val="16"/>
                <w:szCs w:val="16"/>
              </w:rPr>
              <w:t> :</w:t>
            </w:r>
          </w:p>
          <w:p w14:paraId="633EAF94" w14:textId="27E8C484" w:rsidR="001F64B1" w:rsidRPr="00A806A7" w:rsidRDefault="005920D5" w:rsidP="0087680E">
            <w:pPr>
              <w:rPr>
                <w:color w:val="002060"/>
                <w:sz w:val="16"/>
                <w:szCs w:val="16"/>
              </w:rPr>
            </w:pPr>
            <w:r w:rsidRPr="00A806A7">
              <w:rPr>
                <w:color w:val="002060"/>
                <w:sz w:val="16"/>
                <w:szCs w:val="16"/>
              </w:rPr>
              <w:t>Moyenne globale</w:t>
            </w:r>
            <w:r w:rsidR="00FA22F6" w:rsidRPr="00A806A7">
              <w:rPr>
                <w:color w:val="002060"/>
                <w:sz w:val="16"/>
                <w:szCs w:val="16"/>
              </w:rPr>
              <w:t> :</w:t>
            </w:r>
            <w:r w:rsidRPr="00A806A7">
              <w:rPr>
                <w:color w:val="002060"/>
                <w:sz w:val="16"/>
                <w:szCs w:val="16"/>
              </w:rPr>
              <w:t xml:space="preserve"> 2,9</w:t>
            </w:r>
          </w:p>
          <w:p w14:paraId="76E2AA56" w14:textId="2FB5B47A" w:rsidR="001F64B1" w:rsidRPr="00A806A7" w:rsidRDefault="00A806A7" w:rsidP="0087680E">
            <w:pPr>
              <w:rPr>
                <w:color w:val="002060"/>
                <w:sz w:val="16"/>
                <w:szCs w:val="16"/>
              </w:rPr>
            </w:pPr>
            <w:r>
              <w:rPr>
                <w:color w:val="002060"/>
                <w:sz w:val="16"/>
                <w:szCs w:val="16"/>
              </w:rPr>
              <w:t xml:space="preserve">– </w:t>
            </w:r>
            <w:r w:rsidR="005920D5" w:rsidRPr="00A806A7">
              <w:rPr>
                <w:color w:val="002060"/>
                <w:sz w:val="16"/>
                <w:szCs w:val="16"/>
              </w:rPr>
              <w:t>Afrique</w:t>
            </w:r>
            <w:r w:rsidR="00FA22F6" w:rsidRPr="00A806A7">
              <w:rPr>
                <w:color w:val="002060"/>
                <w:sz w:val="16"/>
                <w:szCs w:val="16"/>
              </w:rPr>
              <w:t> :</w:t>
            </w:r>
            <w:r w:rsidR="005920D5" w:rsidRPr="00A806A7">
              <w:rPr>
                <w:color w:val="002060"/>
                <w:sz w:val="16"/>
                <w:szCs w:val="16"/>
              </w:rPr>
              <w:t xml:space="preserve"> 2,9</w:t>
            </w:r>
          </w:p>
          <w:p w14:paraId="70ADA2D2" w14:textId="79F9CBCC" w:rsidR="001F64B1" w:rsidRPr="00A806A7" w:rsidRDefault="00A806A7" w:rsidP="0087680E">
            <w:pPr>
              <w:rPr>
                <w:color w:val="002060"/>
                <w:sz w:val="16"/>
                <w:szCs w:val="16"/>
              </w:rPr>
            </w:pPr>
            <w:r>
              <w:rPr>
                <w:color w:val="002060"/>
                <w:sz w:val="16"/>
                <w:szCs w:val="16"/>
              </w:rPr>
              <w:t xml:space="preserve">– </w:t>
            </w:r>
            <w:r w:rsidR="005920D5" w:rsidRPr="00A806A7">
              <w:rPr>
                <w:color w:val="002060"/>
                <w:sz w:val="16"/>
                <w:szCs w:val="16"/>
              </w:rPr>
              <w:t>Pays arabes</w:t>
            </w:r>
            <w:r w:rsidR="00FA22F6" w:rsidRPr="00A806A7">
              <w:rPr>
                <w:color w:val="002060"/>
                <w:sz w:val="16"/>
                <w:szCs w:val="16"/>
              </w:rPr>
              <w:t> :</w:t>
            </w:r>
            <w:r w:rsidR="005920D5" w:rsidRPr="00A806A7">
              <w:rPr>
                <w:color w:val="002060"/>
                <w:sz w:val="16"/>
                <w:szCs w:val="16"/>
              </w:rPr>
              <w:t xml:space="preserve"> 2,8</w:t>
            </w:r>
          </w:p>
          <w:p w14:paraId="504C3C9D" w14:textId="04658F6A" w:rsidR="001F64B1" w:rsidRPr="00A806A7" w:rsidRDefault="00A806A7" w:rsidP="0087680E">
            <w:pPr>
              <w:rPr>
                <w:color w:val="002060"/>
                <w:sz w:val="16"/>
                <w:szCs w:val="16"/>
              </w:rPr>
            </w:pPr>
            <w:r>
              <w:rPr>
                <w:color w:val="002060"/>
                <w:sz w:val="16"/>
                <w:szCs w:val="16"/>
              </w:rPr>
              <w:t xml:space="preserve">– </w:t>
            </w:r>
            <w:r w:rsidR="005920D5" w:rsidRPr="00A806A7">
              <w:rPr>
                <w:color w:val="002060"/>
                <w:sz w:val="16"/>
                <w:szCs w:val="16"/>
              </w:rPr>
              <w:t>Asie et Pacifique</w:t>
            </w:r>
            <w:r w:rsidR="00FA22F6" w:rsidRPr="00A806A7">
              <w:rPr>
                <w:color w:val="002060"/>
                <w:sz w:val="16"/>
                <w:szCs w:val="16"/>
              </w:rPr>
              <w:t> :</w:t>
            </w:r>
            <w:r w:rsidR="005920D5" w:rsidRPr="00A806A7">
              <w:rPr>
                <w:color w:val="002060"/>
                <w:sz w:val="16"/>
                <w:szCs w:val="16"/>
              </w:rPr>
              <w:t xml:space="preserve"> 2,7</w:t>
            </w:r>
          </w:p>
          <w:p w14:paraId="17BE2349" w14:textId="7F65EDDC" w:rsidR="001F64B1" w:rsidRPr="00A806A7" w:rsidRDefault="00A806A7" w:rsidP="0087680E">
            <w:pPr>
              <w:rPr>
                <w:color w:val="002060"/>
                <w:sz w:val="16"/>
                <w:szCs w:val="16"/>
              </w:rPr>
            </w:pPr>
            <w:r>
              <w:rPr>
                <w:color w:val="002060"/>
                <w:sz w:val="16"/>
                <w:szCs w:val="16"/>
              </w:rPr>
              <w:t xml:space="preserve">– </w:t>
            </w:r>
            <w:r w:rsidR="005920D5" w:rsidRPr="00A806A7">
              <w:rPr>
                <w:color w:val="002060"/>
                <w:sz w:val="16"/>
                <w:szCs w:val="16"/>
              </w:rPr>
              <w:t>Certains pays d</w:t>
            </w:r>
            <w:r w:rsidR="00FA22F6" w:rsidRPr="00A806A7">
              <w:rPr>
                <w:color w:val="002060"/>
                <w:sz w:val="16"/>
                <w:szCs w:val="16"/>
              </w:rPr>
              <w:t>’</w:t>
            </w:r>
            <w:r w:rsidR="005920D5" w:rsidRPr="00A806A7">
              <w:rPr>
                <w:color w:val="002060"/>
                <w:sz w:val="16"/>
                <w:szCs w:val="16"/>
              </w:rPr>
              <w:t>Europe et d</w:t>
            </w:r>
            <w:r w:rsidR="00FA22F6" w:rsidRPr="00A806A7">
              <w:rPr>
                <w:color w:val="002060"/>
                <w:sz w:val="16"/>
                <w:szCs w:val="16"/>
              </w:rPr>
              <w:t>’</w:t>
            </w:r>
            <w:r w:rsidR="005920D5" w:rsidRPr="00A806A7">
              <w:rPr>
                <w:color w:val="002060"/>
                <w:sz w:val="16"/>
                <w:szCs w:val="16"/>
              </w:rPr>
              <w:t>Asie</w:t>
            </w:r>
            <w:r w:rsidR="00FA22F6" w:rsidRPr="00A806A7">
              <w:rPr>
                <w:color w:val="002060"/>
                <w:sz w:val="16"/>
                <w:szCs w:val="16"/>
              </w:rPr>
              <w:t> :</w:t>
            </w:r>
            <w:r w:rsidR="005920D5" w:rsidRPr="00A806A7">
              <w:rPr>
                <w:color w:val="002060"/>
                <w:sz w:val="16"/>
                <w:szCs w:val="16"/>
              </w:rPr>
              <w:t xml:space="preserve"> 3,3</w:t>
            </w:r>
          </w:p>
          <w:p w14:paraId="745C6F99" w14:textId="1AC2CA6B" w:rsidR="001F64B1" w:rsidRPr="00A806A7" w:rsidRDefault="00A806A7" w:rsidP="0087680E">
            <w:pPr>
              <w:rPr>
                <w:color w:val="002060"/>
                <w:sz w:val="16"/>
                <w:szCs w:val="16"/>
              </w:rPr>
            </w:pPr>
            <w:r>
              <w:rPr>
                <w:color w:val="002060"/>
                <w:sz w:val="16"/>
                <w:szCs w:val="16"/>
              </w:rPr>
              <w:t xml:space="preserve">– </w:t>
            </w:r>
            <w:r w:rsidR="005920D5" w:rsidRPr="00A806A7">
              <w:rPr>
                <w:color w:val="002060"/>
                <w:sz w:val="16"/>
                <w:szCs w:val="16"/>
              </w:rPr>
              <w:t>Amérique latine et Caraïbes</w:t>
            </w:r>
            <w:r w:rsidR="00FA22F6" w:rsidRPr="00A806A7">
              <w:rPr>
                <w:color w:val="002060"/>
                <w:sz w:val="16"/>
                <w:szCs w:val="16"/>
              </w:rPr>
              <w:t> :</w:t>
            </w:r>
            <w:r w:rsidR="005920D5" w:rsidRPr="00A806A7">
              <w:rPr>
                <w:color w:val="002060"/>
                <w:sz w:val="16"/>
                <w:szCs w:val="16"/>
              </w:rPr>
              <w:t xml:space="preserve"> 3</w:t>
            </w:r>
          </w:p>
          <w:p w14:paraId="193236BF" w14:textId="42911D04" w:rsidR="001F64B1" w:rsidRPr="00A806A7" w:rsidRDefault="00A806A7" w:rsidP="0087680E">
            <w:pPr>
              <w:rPr>
                <w:color w:val="002060"/>
                <w:sz w:val="16"/>
                <w:szCs w:val="16"/>
              </w:rPr>
            </w:pPr>
            <w:r>
              <w:rPr>
                <w:color w:val="002060"/>
                <w:sz w:val="16"/>
                <w:szCs w:val="16"/>
              </w:rPr>
              <w:t xml:space="preserve">– </w:t>
            </w:r>
            <w:r w:rsidR="005920D5" w:rsidRPr="00A806A7">
              <w:rPr>
                <w:color w:val="002060"/>
                <w:sz w:val="16"/>
                <w:szCs w:val="16"/>
              </w:rPr>
              <w:t>Autres</w:t>
            </w:r>
            <w:r w:rsidR="00FA22F6" w:rsidRPr="00A806A7">
              <w:rPr>
                <w:color w:val="002060"/>
                <w:sz w:val="16"/>
                <w:szCs w:val="16"/>
              </w:rPr>
              <w:t> :</w:t>
            </w:r>
            <w:r w:rsidR="00BA5EA9" w:rsidRPr="00A806A7">
              <w:rPr>
                <w:color w:val="002060"/>
                <w:sz w:val="16"/>
                <w:szCs w:val="16"/>
              </w:rPr>
              <w:t xml:space="preserve"> 2</w:t>
            </w:r>
            <w:r w:rsidR="005920D5" w:rsidRPr="00A806A7">
              <w:rPr>
                <w:color w:val="002060"/>
                <w:sz w:val="16"/>
                <w:szCs w:val="16"/>
              </w:rPr>
              <w:t>,</w:t>
            </w:r>
            <w:r w:rsidR="00BA5EA9" w:rsidRPr="00A806A7">
              <w:rPr>
                <w:color w:val="002060"/>
                <w:sz w:val="16"/>
                <w:szCs w:val="16"/>
              </w:rPr>
              <w:t>5</w:t>
            </w:r>
          </w:p>
          <w:p w14:paraId="366B0219" w14:textId="77777777" w:rsidR="001F64B1" w:rsidRPr="00A806A7" w:rsidRDefault="001F64B1" w:rsidP="0087680E">
            <w:pPr>
              <w:rPr>
                <w:sz w:val="14"/>
                <w:szCs w:val="16"/>
              </w:rPr>
            </w:pPr>
          </w:p>
          <w:p w14:paraId="0A2A210E" w14:textId="7C778AC9" w:rsidR="00FA22F6" w:rsidRPr="001E6DFD" w:rsidRDefault="00E64532" w:rsidP="0087680E">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1CC4F640" w14:textId="7377308C" w:rsidR="00BA5EA9" w:rsidRPr="001E6DFD" w:rsidRDefault="005920D5" w:rsidP="0087680E">
            <w:pPr>
              <w:rPr>
                <w:sz w:val="16"/>
                <w:szCs w:val="16"/>
              </w:rPr>
            </w:pPr>
            <w:r w:rsidRPr="001E6DFD">
              <w:rPr>
                <w:sz w:val="16"/>
                <w:szCs w:val="16"/>
              </w:rPr>
              <w:t>2,9 fin</w:t>
            </w:r>
            <w:r w:rsidR="00B4191E">
              <w:rPr>
                <w:sz w:val="16"/>
                <w:szCs w:val="16"/>
              </w:rPr>
              <w:t> </w:t>
            </w:r>
            <w:r w:rsidRPr="001E6DFD">
              <w:rPr>
                <w:sz w:val="16"/>
                <w:szCs w:val="16"/>
              </w:rPr>
              <w:t>2015</w:t>
            </w:r>
          </w:p>
        </w:tc>
        <w:tc>
          <w:tcPr>
            <w:tcW w:w="646" w:type="pct"/>
            <w:shd w:val="clear" w:color="auto" w:fill="auto"/>
            <w:tcMar>
              <w:top w:w="57" w:type="dxa"/>
              <w:left w:w="108" w:type="dxa"/>
              <w:right w:w="108" w:type="dxa"/>
            </w:tcMar>
          </w:tcPr>
          <w:p w14:paraId="4B27A68D" w14:textId="793AF025" w:rsidR="00BA5EA9" w:rsidRPr="001E6DFD" w:rsidRDefault="005920D5" w:rsidP="0087680E">
            <w:pPr>
              <w:rPr>
                <w:sz w:val="16"/>
                <w:szCs w:val="16"/>
              </w:rPr>
            </w:pPr>
            <w:r w:rsidRPr="001E6DFD">
              <w:rPr>
                <w:sz w:val="16"/>
                <w:szCs w:val="16"/>
              </w:rPr>
              <w:t>3 fin</w:t>
            </w:r>
            <w:r w:rsidR="00B4191E">
              <w:rPr>
                <w:sz w:val="16"/>
                <w:szCs w:val="16"/>
              </w:rPr>
              <w:t> </w:t>
            </w:r>
            <w:r w:rsidRPr="001E6DFD">
              <w:rPr>
                <w:sz w:val="16"/>
                <w:szCs w:val="16"/>
              </w:rPr>
              <w:t>2017</w:t>
            </w:r>
          </w:p>
        </w:tc>
        <w:tc>
          <w:tcPr>
            <w:tcW w:w="1375" w:type="pct"/>
            <w:shd w:val="clear" w:color="auto" w:fill="FFFFFF"/>
            <w:tcMar>
              <w:top w:w="57" w:type="dxa"/>
              <w:left w:w="108" w:type="dxa"/>
              <w:right w:w="108" w:type="dxa"/>
            </w:tcMar>
          </w:tcPr>
          <w:p w14:paraId="4F836CA7" w14:textId="6AFFEB02" w:rsidR="00FA22F6" w:rsidRPr="001E6DFD" w:rsidRDefault="005920D5" w:rsidP="0087680E">
            <w:pPr>
              <w:keepNext/>
              <w:keepLines/>
              <w:rPr>
                <w:sz w:val="16"/>
                <w:szCs w:val="16"/>
              </w:rPr>
            </w:pPr>
            <w:r w:rsidRPr="001E6DFD">
              <w:rPr>
                <w:sz w:val="16"/>
                <w:szCs w:val="16"/>
              </w:rPr>
              <w:t>Moyenne globale</w:t>
            </w:r>
            <w:r w:rsidR="00FA22F6" w:rsidRPr="001E6DFD">
              <w:rPr>
                <w:sz w:val="16"/>
                <w:szCs w:val="16"/>
              </w:rPr>
              <w:t> :</w:t>
            </w:r>
            <w:r w:rsidRPr="001E6DFD">
              <w:rPr>
                <w:sz w:val="16"/>
                <w:szCs w:val="16"/>
              </w:rPr>
              <w:t xml:space="preserve"> 3,1</w:t>
            </w:r>
          </w:p>
          <w:p w14:paraId="26555A16" w14:textId="4EE0BE93" w:rsidR="001F64B1" w:rsidRPr="00A806A7" w:rsidRDefault="00A806A7" w:rsidP="0087680E">
            <w:pPr>
              <w:keepNext/>
              <w:keepLines/>
              <w:rPr>
                <w:sz w:val="16"/>
                <w:szCs w:val="16"/>
              </w:rPr>
            </w:pPr>
            <w:r>
              <w:rPr>
                <w:sz w:val="16"/>
                <w:szCs w:val="16"/>
              </w:rPr>
              <w:t xml:space="preserve">– </w:t>
            </w:r>
            <w:r w:rsidR="005920D5" w:rsidRPr="00A806A7">
              <w:rPr>
                <w:sz w:val="16"/>
                <w:szCs w:val="16"/>
              </w:rPr>
              <w:t>Afrique</w:t>
            </w:r>
            <w:r w:rsidR="00FA22F6" w:rsidRPr="00A806A7">
              <w:rPr>
                <w:sz w:val="16"/>
                <w:szCs w:val="16"/>
              </w:rPr>
              <w:t> :</w:t>
            </w:r>
            <w:r w:rsidR="005920D5" w:rsidRPr="00A806A7">
              <w:rPr>
                <w:sz w:val="16"/>
                <w:szCs w:val="16"/>
              </w:rPr>
              <w:t xml:space="preserve"> 3,0</w:t>
            </w:r>
          </w:p>
          <w:p w14:paraId="336DC15B" w14:textId="5951B447" w:rsidR="001F64B1" w:rsidRPr="00A806A7" w:rsidRDefault="00A806A7" w:rsidP="0087680E">
            <w:pPr>
              <w:keepNext/>
              <w:keepLines/>
              <w:rPr>
                <w:sz w:val="16"/>
                <w:szCs w:val="16"/>
              </w:rPr>
            </w:pPr>
            <w:r>
              <w:rPr>
                <w:sz w:val="16"/>
                <w:szCs w:val="16"/>
              </w:rPr>
              <w:t xml:space="preserve">– </w:t>
            </w:r>
            <w:r w:rsidR="005920D5" w:rsidRPr="00A806A7">
              <w:rPr>
                <w:sz w:val="16"/>
                <w:szCs w:val="16"/>
              </w:rPr>
              <w:t>Pays arabes</w:t>
            </w:r>
            <w:r w:rsidR="00FA22F6" w:rsidRPr="00A806A7">
              <w:rPr>
                <w:sz w:val="16"/>
                <w:szCs w:val="16"/>
              </w:rPr>
              <w:t> :</w:t>
            </w:r>
            <w:r w:rsidR="005920D5" w:rsidRPr="00A806A7">
              <w:rPr>
                <w:sz w:val="16"/>
                <w:szCs w:val="16"/>
              </w:rPr>
              <w:t xml:space="preserve"> 2,9</w:t>
            </w:r>
          </w:p>
          <w:p w14:paraId="149F7EDA" w14:textId="4517D495" w:rsidR="001F64B1" w:rsidRPr="00A806A7" w:rsidRDefault="00A806A7" w:rsidP="0087680E">
            <w:pPr>
              <w:keepNext/>
              <w:keepLines/>
              <w:rPr>
                <w:sz w:val="16"/>
                <w:szCs w:val="16"/>
              </w:rPr>
            </w:pPr>
            <w:r>
              <w:rPr>
                <w:sz w:val="16"/>
                <w:szCs w:val="16"/>
              </w:rPr>
              <w:t xml:space="preserve">– </w:t>
            </w:r>
            <w:r w:rsidR="005920D5" w:rsidRPr="00A806A7">
              <w:rPr>
                <w:sz w:val="16"/>
                <w:szCs w:val="16"/>
              </w:rPr>
              <w:t>Asie et Pacifique</w:t>
            </w:r>
            <w:r w:rsidR="00FA22F6" w:rsidRPr="00A806A7">
              <w:rPr>
                <w:sz w:val="16"/>
                <w:szCs w:val="16"/>
              </w:rPr>
              <w:t> :</w:t>
            </w:r>
            <w:r w:rsidR="005920D5" w:rsidRPr="00A806A7">
              <w:rPr>
                <w:sz w:val="16"/>
                <w:szCs w:val="16"/>
              </w:rPr>
              <w:t xml:space="preserve"> 3,4</w:t>
            </w:r>
          </w:p>
          <w:p w14:paraId="45D22CEA" w14:textId="1C5DD467" w:rsidR="001F64B1" w:rsidRPr="00A806A7" w:rsidRDefault="00A806A7" w:rsidP="0087680E">
            <w:pPr>
              <w:keepNext/>
              <w:keepLines/>
              <w:rPr>
                <w:sz w:val="16"/>
                <w:szCs w:val="16"/>
              </w:rPr>
            </w:pPr>
            <w:r>
              <w:rPr>
                <w:sz w:val="16"/>
                <w:szCs w:val="16"/>
              </w:rPr>
              <w:t xml:space="preserve">– </w:t>
            </w:r>
            <w:r w:rsidR="005920D5" w:rsidRPr="00A806A7">
              <w:rPr>
                <w:sz w:val="16"/>
                <w:szCs w:val="16"/>
              </w:rPr>
              <w:t>Amérique latine et Caraïbes</w:t>
            </w:r>
            <w:r w:rsidR="00FA22F6" w:rsidRPr="00A806A7">
              <w:rPr>
                <w:sz w:val="16"/>
                <w:szCs w:val="16"/>
              </w:rPr>
              <w:t> :</w:t>
            </w:r>
            <w:r w:rsidR="005920D5" w:rsidRPr="00A806A7">
              <w:rPr>
                <w:sz w:val="16"/>
                <w:szCs w:val="16"/>
              </w:rPr>
              <w:t xml:space="preserve"> 3,2</w:t>
            </w:r>
          </w:p>
          <w:p w14:paraId="22FFA27B" w14:textId="618DD3C6" w:rsidR="00FA22F6" w:rsidRPr="00A806A7" w:rsidRDefault="00A806A7" w:rsidP="0087680E">
            <w:pPr>
              <w:keepNext/>
              <w:keepLines/>
              <w:rPr>
                <w:sz w:val="16"/>
                <w:szCs w:val="16"/>
              </w:rPr>
            </w:pPr>
            <w:r>
              <w:rPr>
                <w:sz w:val="16"/>
                <w:szCs w:val="16"/>
              </w:rPr>
              <w:t xml:space="preserve">– </w:t>
            </w:r>
            <w:r w:rsidR="005920D5" w:rsidRPr="00A806A7">
              <w:rPr>
                <w:sz w:val="16"/>
                <w:szCs w:val="16"/>
              </w:rPr>
              <w:t>Autres</w:t>
            </w:r>
            <w:r w:rsidR="00FA22F6" w:rsidRPr="00A806A7">
              <w:rPr>
                <w:sz w:val="16"/>
                <w:szCs w:val="16"/>
              </w:rPr>
              <w:t> :</w:t>
            </w:r>
            <w:r w:rsidR="00BA5EA9" w:rsidRPr="00A806A7">
              <w:rPr>
                <w:sz w:val="16"/>
                <w:szCs w:val="16"/>
              </w:rPr>
              <w:t xml:space="preserve"> 2</w:t>
            </w:r>
            <w:r w:rsidR="005920D5" w:rsidRPr="00A806A7">
              <w:rPr>
                <w:sz w:val="16"/>
                <w:szCs w:val="16"/>
              </w:rPr>
              <w:t>,</w:t>
            </w:r>
            <w:r w:rsidR="00BA5EA9" w:rsidRPr="00A806A7">
              <w:rPr>
                <w:sz w:val="16"/>
                <w:szCs w:val="16"/>
              </w:rPr>
              <w:t>6</w:t>
            </w:r>
          </w:p>
          <w:p w14:paraId="677BD3E4" w14:textId="41EB269F" w:rsidR="00BA5EA9" w:rsidRPr="00A806A7" w:rsidRDefault="00A806A7" w:rsidP="0087680E">
            <w:pPr>
              <w:keepNext/>
              <w:keepLines/>
              <w:rPr>
                <w:sz w:val="16"/>
                <w:szCs w:val="16"/>
              </w:rPr>
            </w:pPr>
            <w:r>
              <w:rPr>
                <w:sz w:val="16"/>
                <w:szCs w:val="16"/>
              </w:rPr>
              <w:t xml:space="preserve">– </w:t>
            </w:r>
            <w:r w:rsidR="005920D5" w:rsidRPr="00A806A7">
              <w:rPr>
                <w:sz w:val="16"/>
                <w:szCs w:val="16"/>
              </w:rPr>
              <w:t>Pays en transition</w:t>
            </w:r>
            <w:r w:rsidR="00FA22F6" w:rsidRPr="00A806A7">
              <w:rPr>
                <w:sz w:val="16"/>
                <w:szCs w:val="16"/>
              </w:rPr>
              <w:t> :</w:t>
            </w:r>
            <w:r w:rsidR="005920D5" w:rsidRPr="00A806A7">
              <w:rPr>
                <w:sz w:val="16"/>
                <w:szCs w:val="16"/>
              </w:rPr>
              <w:t xml:space="preserve"> 3,5</w:t>
            </w:r>
          </w:p>
        </w:tc>
        <w:tc>
          <w:tcPr>
            <w:tcW w:w="557" w:type="pct"/>
            <w:shd w:val="clear" w:color="auto" w:fill="auto"/>
            <w:tcMar>
              <w:top w:w="57" w:type="dxa"/>
              <w:left w:w="108" w:type="dxa"/>
              <w:right w:w="108" w:type="dxa"/>
            </w:tcMar>
          </w:tcPr>
          <w:p w14:paraId="147CC944" w14:textId="77777777" w:rsidR="00BA5EA9" w:rsidRPr="001E6DFD" w:rsidRDefault="00A43B2F" w:rsidP="0087680E">
            <w:pPr>
              <w:keepNext/>
              <w:keepLines/>
              <w:jc w:val="center"/>
              <w:rPr>
                <w:b/>
                <w:sz w:val="16"/>
                <w:szCs w:val="16"/>
              </w:rPr>
            </w:pPr>
            <w:r w:rsidRPr="001E6DFD">
              <w:rPr>
                <w:b/>
                <w:color w:val="00B050"/>
                <w:sz w:val="16"/>
                <w:szCs w:val="16"/>
              </w:rPr>
              <w:t>En bonne voie</w:t>
            </w:r>
          </w:p>
        </w:tc>
      </w:tr>
      <w:tr w:rsidR="00BA5EA9" w:rsidRPr="001E6DFD" w14:paraId="344ABC42" w14:textId="77777777" w:rsidTr="0087680E">
        <w:trPr>
          <w:cantSplit/>
        </w:trPr>
        <w:tc>
          <w:tcPr>
            <w:tcW w:w="1261" w:type="pct"/>
            <w:shd w:val="clear" w:color="auto" w:fill="auto"/>
            <w:tcMar>
              <w:left w:w="108" w:type="dxa"/>
              <w:right w:w="108" w:type="dxa"/>
            </w:tcMar>
          </w:tcPr>
          <w:p w14:paraId="08AEF7F4" w14:textId="3C39CD44" w:rsidR="00BA5EA9" w:rsidRPr="001E6DFD" w:rsidRDefault="005920D5" w:rsidP="0087680E">
            <w:pPr>
              <w:rPr>
                <w:sz w:val="16"/>
                <w:szCs w:val="16"/>
              </w:rPr>
            </w:pPr>
            <w:r w:rsidRPr="001E6DFD">
              <w:rPr>
                <w:sz w:val="16"/>
                <w:szCs w:val="16"/>
              </w:rPr>
              <w:lastRenderedPageBreak/>
              <w:t>Nombre d</w:t>
            </w:r>
            <w:r w:rsidR="00FA22F6" w:rsidRPr="001E6DFD">
              <w:rPr>
                <w:sz w:val="16"/>
                <w:szCs w:val="16"/>
              </w:rPr>
              <w:t>’</w:t>
            </w:r>
            <w:r w:rsidRPr="001E6DFD">
              <w:rPr>
                <w:sz w:val="16"/>
                <w:szCs w:val="16"/>
              </w:rPr>
              <w:t>organismes de gestion collective dans les pays en développement et les PMA participant à des réseaux régionaux et mondiaux avec le concours de l</w:t>
            </w:r>
            <w:r w:rsidR="00FA22F6" w:rsidRPr="001E6DFD">
              <w:rPr>
                <w:sz w:val="16"/>
                <w:szCs w:val="16"/>
              </w:rPr>
              <w:t>’</w:t>
            </w:r>
            <w:r w:rsidRPr="001E6DFD">
              <w:rPr>
                <w:sz w:val="16"/>
                <w:szCs w:val="16"/>
              </w:rPr>
              <w:t>OMPI</w:t>
            </w:r>
          </w:p>
        </w:tc>
        <w:tc>
          <w:tcPr>
            <w:tcW w:w="1161" w:type="pct"/>
            <w:shd w:val="clear" w:color="auto" w:fill="auto"/>
            <w:tcMar>
              <w:left w:w="108" w:type="dxa"/>
              <w:right w:w="108" w:type="dxa"/>
            </w:tcMar>
          </w:tcPr>
          <w:p w14:paraId="56DC63BE" w14:textId="72652CD8" w:rsidR="00FA22F6" w:rsidRPr="00A806A7" w:rsidRDefault="00E64532" w:rsidP="0087680E">
            <w:pPr>
              <w:rPr>
                <w:i/>
                <w:color w:val="002060"/>
                <w:sz w:val="16"/>
                <w:szCs w:val="16"/>
              </w:rPr>
            </w:pPr>
            <w:r w:rsidRPr="00A806A7">
              <w:rPr>
                <w:i/>
                <w:color w:val="002060"/>
                <w:sz w:val="16"/>
                <w:szCs w:val="16"/>
              </w:rPr>
              <w:t>Niveau de référence actualisé à fin</w:t>
            </w:r>
            <w:r w:rsidR="00B4191E" w:rsidRPr="00A806A7">
              <w:rPr>
                <w:i/>
                <w:color w:val="002060"/>
                <w:sz w:val="16"/>
                <w:szCs w:val="16"/>
              </w:rPr>
              <w:t> </w:t>
            </w:r>
            <w:r w:rsidRPr="00A806A7">
              <w:rPr>
                <w:i/>
                <w:color w:val="002060"/>
                <w:sz w:val="16"/>
                <w:szCs w:val="16"/>
              </w:rPr>
              <w:t>2015</w:t>
            </w:r>
            <w:r w:rsidR="00FA22F6" w:rsidRPr="00A806A7">
              <w:rPr>
                <w:i/>
                <w:color w:val="002060"/>
                <w:sz w:val="16"/>
                <w:szCs w:val="16"/>
              </w:rPr>
              <w:t> :</w:t>
            </w:r>
          </w:p>
          <w:p w14:paraId="103A910F" w14:textId="4DFD9D26" w:rsidR="001F64B1" w:rsidRPr="00A806A7" w:rsidRDefault="00285A21" w:rsidP="0087680E">
            <w:pPr>
              <w:rPr>
                <w:color w:val="002060"/>
                <w:sz w:val="16"/>
                <w:szCs w:val="16"/>
              </w:rPr>
            </w:pPr>
            <w:r w:rsidRPr="00A806A7">
              <w:rPr>
                <w:color w:val="002060"/>
                <w:sz w:val="16"/>
                <w:szCs w:val="16"/>
              </w:rPr>
              <w:t xml:space="preserve">Le système WIPO </w:t>
            </w:r>
            <w:proofErr w:type="spellStart"/>
            <w:r w:rsidRPr="00A806A7">
              <w:rPr>
                <w:color w:val="002060"/>
                <w:sz w:val="16"/>
                <w:szCs w:val="16"/>
              </w:rPr>
              <w:t>Connect</w:t>
            </w:r>
            <w:proofErr w:type="spellEnd"/>
            <w:r w:rsidRPr="00A806A7">
              <w:rPr>
                <w:color w:val="002060"/>
              </w:rPr>
              <w:t xml:space="preserve"> </w:t>
            </w:r>
            <w:r w:rsidRPr="00A806A7">
              <w:rPr>
                <w:color w:val="002060"/>
                <w:sz w:val="16"/>
                <w:szCs w:val="16"/>
              </w:rPr>
              <w:t>était en phase finale d</w:t>
            </w:r>
            <w:r w:rsidR="00FA22F6" w:rsidRPr="00A806A7">
              <w:rPr>
                <w:color w:val="002060"/>
                <w:sz w:val="16"/>
                <w:szCs w:val="16"/>
              </w:rPr>
              <w:t>’</w:t>
            </w:r>
            <w:r w:rsidRPr="00A806A7">
              <w:rPr>
                <w:color w:val="002060"/>
                <w:sz w:val="16"/>
                <w:szCs w:val="16"/>
              </w:rPr>
              <w:t xml:space="preserve">élaboration à la fin </w:t>
            </w:r>
            <w:r w:rsidR="00FA22F6" w:rsidRPr="00A806A7">
              <w:rPr>
                <w:color w:val="002060"/>
                <w:sz w:val="16"/>
                <w:szCs w:val="16"/>
              </w:rPr>
              <w:t>de 2014</w:t>
            </w:r>
            <w:r w:rsidR="006A41CF" w:rsidRPr="00A806A7">
              <w:rPr>
                <w:color w:val="002060"/>
                <w:sz w:val="16"/>
                <w:szCs w:val="16"/>
              </w:rPr>
              <w:noBreakHyphen/>
            </w:r>
            <w:r w:rsidRPr="00A806A7">
              <w:rPr>
                <w:color w:val="002060"/>
                <w:sz w:val="16"/>
                <w:szCs w:val="16"/>
              </w:rPr>
              <w:t xml:space="preserve">2015 et sera déployé dans </w:t>
            </w:r>
            <w:r w:rsidR="006C4845" w:rsidRPr="00A806A7">
              <w:rPr>
                <w:color w:val="002060"/>
                <w:sz w:val="16"/>
                <w:szCs w:val="16"/>
              </w:rPr>
              <w:t>deux</w:t>
            </w:r>
            <w:r w:rsidR="004D421A" w:rsidRPr="00A806A7">
              <w:rPr>
                <w:color w:val="002060"/>
                <w:sz w:val="16"/>
                <w:szCs w:val="16"/>
              </w:rPr>
              <w:t> </w:t>
            </w:r>
            <w:r w:rsidR="006C4845" w:rsidRPr="00A806A7">
              <w:rPr>
                <w:color w:val="002060"/>
                <w:sz w:val="16"/>
                <w:szCs w:val="16"/>
              </w:rPr>
              <w:t xml:space="preserve">organismes de gestion collective </w:t>
            </w:r>
            <w:r w:rsidRPr="00A806A7">
              <w:rPr>
                <w:color w:val="002060"/>
                <w:sz w:val="16"/>
                <w:szCs w:val="16"/>
              </w:rPr>
              <w:t>pilotes dans les pays en développement et</w:t>
            </w:r>
            <w:r w:rsidR="00FA22F6" w:rsidRPr="00A806A7">
              <w:rPr>
                <w:color w:val="002060"/>
                <w:sz w:val="16"/>
                <w:szCs w:val="16"/>
              </w:rPr>
              <w:t xml:space="preserve"> les PMA</w:t>
            </w:r>
            <w:r w:rsidRPr="00A806A7">
              <w:rPr>
                <w:color w:val="002060"/>
                <w:sz w:val="16"/>
                <w:szCs w:val="16"/>
              </w:rPr>
              <w:t xml:space="preserve"> à la fin </w:t>
            </w:r>
            <w:r w:rsidR="00FA22F6" w:rsidRPr="00A806A7">
              <w:rPr>
                <w:color w:val="002060"/>
                <w:sz w:val="16"/>
                <w:szCs w:val="16"/>
              </w:rPr>
              <w:t>de 2016</w:t>
            </w:r>
          </w:p>
          <w:p w14:paraId="31DBB25C" w14:textId="77777777" w:rsidR="001F64B1" w:rsidRPr="001E6DFD" w:rsidRDefault="001F64B1" w:rsidP="0087680E">
            <w:pPr>
              <w:rPr>
                <w:sz w:val="16"/>
                <w:szCs w:val="16"/>
              </w:rPr>
            </w:pPr>
          </w:p>
          <w:p w14:paraId="605536C4" w14:textId="4C81FBA4" w:rsidR="00FA22F6" w:rsidRPr="00A806A7" w:rsidRDefault="00E64532" w:rsidP="0087680E">
            <w:pPr>
              <w:rPr>
                <w:i/>
                <w:sz w:val="16"/>
                <w:szCs w:val="16"/>
                <w:lang w:bidi="th-TH"/>
              </w:rPr>
            </w:pPr>
            <w:r w:rsidRPr="00A806A7">
              <w:rPr>
                <w:i/>
                <w:sz w:val="16"/>
                <w:szCs w:val="16"/>
                <w:lang w:bidi="th-TH"/>
              </w:rPr>
              <w:t>Niveau de référence initial dans le programme et budget 2016</w:t>
            </w:r>
            <w:r w:rsidR="006A41CF" w:rsidRPr="00A806A7">
              <w:rPr>
                <w:i/>
                <w:sz w:val="16"/>
                <w:szCs w:val="16"/>
                <w:lang w:bidi="th-TH"/>
              </w:rPr>
              <w:noBreakHyphen/>
            </w:r>
            <w:r w:rsidRPr="00A806A7">
              <w:rPr>
                <w:i/>
                <w:sz w:val="16"/>
                <w:szCs w:val="16"/>
                <w:lang w:bidi="th-TH"/>
              </w:rPr>
              <w:t>2017</w:t>
            </w:r>
            <w:r w:rsidR="00FA22F6" w:rsidRPr="00A806A7">
              <w:rPr>
                <w:i/>
                <w:sz w:val="16"/>
                <w:szCs w:val="16"/>
                <w:lang w:bidi="th-TH"/>
              </w:rPr>
              <w:t> :</w:t>
            </w:r>
          </w:p>
          <w:p w14:paraId="0AD3D810" w14:textId="0471418C" w:rsidR="00BA5EA9" w:rsidRPr="001E6DFD" w:rsidRDefault="00907F84" w:rsidP="0087680E">
            <w:pPr>
              <w:rPr>
                <w:sz w:val="16"/>
                <w:szCs w:val="16"/>
              </w:rPr>
            </w:pPr>
            <w:r w:rsidRPr="00A806A7">
              <w:rPr>
                <w:sz w:val="16"/>
                <w:szCs w:val="16"/>
              </w:rPr>
              <w:t xml:space="preserve">Aucun organisme de gestion collective à la fin </w:t>
            </w:r>
            <w:r w:rsidR="00FA22F6" w:rsidRPr="00A806A7">
              <w:rPr>
                <w:sz w:val="16"/>
                <w:szCs w:val="16"/>
              </w:rPr>
              <w:t>de 2015</w:t>
            </w:r>
          </w:p>
        </w:tc>
        <w:tc>
          <w:tcPr>
            <w:tcW w:w="646" w:type="pct"/>
            <w:shd w:val="clear" w:color="auto" w:fill="auto"/>
            <w:tcMar>
              <w:top w:w="57" w:type="dxa"/>
              <w:left w:w="108" w:type="dxa"/>
              <w:right w:w="108" w:type="dxa"/>
            </w:tcMar>
          </w:tcPr>
          <w:p w14:paraId="7C14951B" w14:textId="1C9FDF2C" w:rsidR="00BA5EA9" w:rsidRPr="00A806A7" w:rsidRDefault="00BA5EA9" w:rsidP="0087680E">
            <w:pPr>
              <w:rPr>
                <w:sz w:val="16"/>
                <w:szCs w:val="16"/>
              </w:rPr>
            </w:pPr>
            <w:r w:rsidRPr="00A806A7">
              <w:rPr>
                <w:sz w:val="16"/>
                <w:szCs w:val="16"/>
              </w:rPr>
              <w:t xml:space="preserve">7 </w:t>
            </w:r>
            <w:r w:rsidR="00907F84" w:rsidRPr="00A806A7">
              <w:rPr>
                <w:sz w:val="16"/>
                <w:szCs w:val="16"/>
              </w:rPr>
              <w:t xml:space="preserve">organismes de gestion collective à la fin </w:t>
            </w:r>
            <w:r w:rsidR="00FA22F6" w:rsidRPr="00A806A7">
              <w:rPr>
                <w:sz w:val="16"/>
                <w:szCs w:val="16"/>
              </w:rPr>
              <w:t>de 2017</w:t>
            </w:r>
          </w:p>
        </w:tc>
        <w:tc>
          <w:tcPr>
            <w:tcW w:w="1375" w:type="pct"/>
            <w:shd w:val="clear" w:color="auto" w:fill="FFFFFF"/>
            <w:tcMar>
              <w:top w:w="57" w:type="dxa"/>
              <w:left w:w="108" w:type="dxa"/>
              <w:right w:w="108" w:type="dxa"/>
            </w:tcMar>
          </w:tcPr>
          <w:p w14:paraId="3CA92EF6" w14:textId="0D20A0D6" w:rsidR="00BA5EA9" w:rsidRPr="00A806A7" w:rsidRDefault="00907F84" w:rsidP="0087680E">
            <w:pPr>
              <w:keepNext/>
              <w:keepLines/>
              <w:rPr>
                <w:sz w:val="16"/>
                <w:szCs w:val="16"/>
              </w:rPr>
            </w:pPr>
            <w:r w:rsidRPr="00A806A7">
              <w:rPr>
                <w:sz w:val="16"/>
                <w:szCs w:val="16"/>
              </w:rPr>
              <w:t xml:space="preserve">Aucun organisme de gestion collective </w:t>
            </w:r>
          </w:p>
        </w:tc>
        <w:tc>
          <w:tcPr>
            <w:tcW w:w="557" w:type="pct"/>
            <w:shd w:val="clear" w:color="auto" w:fill="auto"/>
            <w:tcMar>
              <w:top w:w="57" w:type="dxa"/>
              <w:left w:w="108" w:type="dxa"/>
              <w:right w:w="108" w:type="dxa"/>
            </w:tcMar>
          </w:tcPr>
          <w:p w14:paraId="417B5A79" w14:textId="77777777" w:rsidR="00BA5EA9" w:rsidRPr="001E6DFD" w:rsidRDefault="00505EF6" w:rsidP="0087680E">
            <w:pPr>
              <w:keepNext/>
              <w:keepLines/>
              <w:jc w:val="center"/>
              <w:rPr>
                <w:b/>
                <w:sz w:val="16"/>
                <w:szCs w:val="16"/>
              </w:rPr>
            </w:pPr>
            <w:r w:rsidRPr="001E6DFD">
              <w:rPr>
                <w:b/>
                <w:color w:val="FF0000"/>
                <w:sz w:val="16"/>
                <w:szCs w:val="16"/>
              </w:rPr>
              <w:t>Pas en bonne voie</w:t>
            </w:r>
          </w:p>
        </w:tc>
      </w:tr>
    </w:tbl>
    <w:p w14:paraId="322503D3" w14:textId="77777777" w:rsidR="001F64B1" w:rsidRPr="001E6DFD" w:rsidRDefault="001F64B1" w:rsidP="0097226C">
      <w:pPr>
        <w:rPr>
          <w:sz w:val="20"/>
        </w:rPr>
      </w:pPr>
    </w:p>
    <w:p w14:paraId="511072F1" w14:textId="77777777" w:rsidR="00BA5EA9" w:rsidRPr="001E6DFD" w:rsidRDefault="00BA5EA9" w:rsidP="0097226C">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1BFBA477" w14:textId="77777777" w:rsidTr="002307FD">
        <w:trPr>
          <w:trHeight w:val="423"/>
          <w:jc w:val="center"/>
        </w:trPr>
        <w:tc>
          <w:tcPr>
            <w:tcW w:w="9571" w:type="dxa"/>
            <w:shd w:val="clear" w:color="auto" w:fill="C6D9F1" w:themeFill="text2" w:themeFillTint="33"/>
            <w:vAlign w:val="center"/>
          </w:tcPr>
          <w:p w14:paraId="7F1677B7" w14:textId="0E47A13C"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15</w:t>
            </w:r>
          </w:p>
        </w:tc>
      </w:tr>
    </w:tbl>
    <w:p w14:paraId="1FE11BCF" w14:textId="77777777" w:rsidR="001F64B1" w:rsidRPr="001E6DFD" w:rsidRDefault="001F64B1" w:rsidP="0097226C">
      <w:pPr>
        <w:rPr>
          <w:sz w:val="20"/>
          <w:szCs w:val="18"/>
        </w:rPr>
      </w:pPr>
    </w:p>
    <w:p w14:paraId="19F49EFB" w14:textId="77777777" w:rsidR="001F64B1" w:rsidRPr="001E6DFD" w:rsidRDefault="00A27765" w:rsidP="0097226C">
      <w:pPr>
        <w:keepNext/>
        <w:keepLines/>
        <w:jc w:val="center"/>
        <w:rPr>
          <w:sz w:val="18"/>
          <w:szCs w:val="18"/>
        </w:rPr>
      </w:pPr>
      <w:r w:rsidRPr="001E6DFD">
        <w:rPr>
          <w:sz w:val="18"/>
          <w:szCs w:val="18"/>
        </w:rPr>
        <w:t>Budget et dépenses effectives (par résultat)</w:t>
      </w:r>
    </w:p>
    <w:p w14:paraId="5883C14C" w14:textId="77777777" w:rsidR="001F64B1" w:rsidRPr="001E6DFD" w:rsidRDefault="00A27765" w:rsidP="0097226C">
      <w:pPr>
        <w:keepNext/>
        <w:keepLines/>
        <w:jc w:val="center"/>
        <w:rPr>
          <w:i/>
          <w:iCs/>
          <w:sz w:val="16"/>
          <w:szCs w:val="16"/>
        </w:rPr>
      </w:pPr>
      <w:r w:rsidRPr="001E6DFD">
        <w:rPr>
          <w:i/>
          <w:iCs/>
          <w:sz w:val="16"/>
          <w:szCs w:val="16"/>
        </w:rPr>
        <w:t>(en milliers de francs suisses)</w:t>
      </w:r>
    </w:p>
    <w:p w14:paraId="519B70B4" w14:textId="77777777" w:rsidR="00BA5EA9" w:rsidRPr="001E6DFD" w:rsidRDefault="00BA5EA9" w:rsidP="0097226C">
      <w:pPr>
        <w:rPr>
          <w:sz w:val="20"/>
          <w:szCs w:val="18"/>
        </w:rPr>
      </w:pPr>
    </w:p>
    <w:tbl>
      <w:tblPr>
        <w:tblW w:w="4300" w:type="pct"/>
        <w:jc w:val="center"/>
        <w:tblCellMar>
          <w:top w:w="57" w:type="dxa"/>
          <w:bottom w:w="57" w:type="dxa"/>
        </w:tblCellMar>
        <w:tblLook w:val="04A0" w:firstRow="1" w:lastRow="0" w:firstColumn="1" w:lastColumn="0" w:noHBand="0" w:noVBand="1"/>
      </w:tblPr>
      <w:tblGrid>
        <w:gridCol w:w="557"/>
        <w:gridCol w:w="4187"/>
        <w:gridCol w:w="1561"/>
        <w:gridCol w:w="1561"/>
        <w:gridCol w:w="1421"/>
      </w:tblGrid>
      <w:tr w:rsidR="00BA5EA9" w:rsidRPr="001E6DFD" w14:paraId="2C68C4AF" w14:textId="77777777" w:rsidTr="00A055E7">
        <w:trPr>
          <w:jc w:val="center"/>
        </w:trPr>
        <w:tc>
          <w:tcPr>
            <w:tcW w:w="4795" w:type="dxa"/>
            <w:gridSpan w:val="2"/>
            <w:tcBorders>
              <w:top w:val="nil"/>
              <w:left w:val="nil"/>
              <w:bottom w:val="nil"/>
              <w:right w:val="nil"/>
            </w:tcBorders>
            <w:shd w:val="clear" w:color="000000" w:fill="C5D9F1"/>
            <w:noWrap/>
            <w:vAlign w:val="center"/>
            <w:hideMark/>
          </w:tcPr>
          <w:p w14:paraId="533F790A" w14:textId="77777777" w:rsidR="00BA5EA9" w:rsidRPr="001E6DFD" w:rsidRDefault="00A27765"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33" w:type="dxa"/>
            <w:tcBorders>
              <w:top w:val="nil"/>
              <w:left w:val="nil"/>
              <w:bottom w:val="nil"/>
              <w:right w:val="nil"/>
            </w:tcBorders>
            <w:shd w:val="clear" w:color="000000" w:fill="C5D9F1"/>
            <w:vAlign w:val="center"/>
            <w:hideMark/>
          </w:tcPr>
          <w:p w14:paraId="451351B2" w14:textId="64A8FEF3"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31" w:type="dxa"/>
            <w:tcBorders>
              <w:top w:val="nil"/>
              <w:left w:val="nil"/>
              <w:bottom w:val="nil"/>
              <w:right w:val="nil"/>
            </w:tcBorders>
            <w:shd w:val="clear" w:color="000000" w:fill="C5D9F1"/>
            <w:vAlign w:val="center"/>
            <w:hideMark/>
          </w:tcPr>
          <w:p w14:paraId="1131E412" w14:textId="1BFF1EA8"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63" w:type="dxa"/>
            <w:tcBorders>
              <w:top w:val="nil"/>
              <w:left w:val="nil"/>
              <w:bottom w:val="nil"/>
              <w:right w:val="nil"/>
            </w:tcBorders>
            <w:shd w:val="clear" w:color="000000" w:fill="C5D9F1"/>
            <w:vAlign w:val="center"/>
            <w:hideMark/>
          </w:tcPr>
          <w:p w14:paraId="4207482D" w14:textId="50269D69"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1004B613" w14:textId="77777777" w:rsidTr="00A055E7">
        <w:trPr>
          <w:jc w:val="center"/>
        </w:trPr>
        <w:tc>
          <w:tcPr>
            <w:tcW w:w="561" w:type="dxa"/>
            <w:tcBorders>
              <w:top w:val="nil"/>
              <w:left w:val="nil"/>
              <w:bottom w:val="nil"/>
              <w:right w:val="nil"/>
            </w:tcBorders>
            <w:shd w:val="clear" w:color="auto" w:fill="auto"/>
            <w:noWrap/>
            <w:vAlign w:val="center"/>
            <w:hideMark/>
          </w:tcPr>
          <w:p w14:paraId="4A4E3B59" w14:textId="77777777" w:rsidR="00BA5EA9" w:rsidRPr="001E6DFD" w:rsidRDefault="00BA5EA9" w:rsidP="0097226C">
            <w:pPr>
              <w:rPr>
                <w:sz w:val="16"/>
                <w:szCs w:val="16"/>
              </w:rPr>
            </w:pPr>
            <w:r w:rsidRPr="001E6DFD">
              <w:rPr>
                <w:sz w:val="16"/>
                <w:szCs w:val="16"/>
              </w:rPr>
              <w:t>IV.4</w:t>
            </w:r>
          </w:p>
        </w:tc>
        <w:tc>
          <w:tcPr>
            <w:tcW w:w="4234" w:type="dxa"/>
            <w:tcBorders>
              <w:top w:val="nil"/>
              <w:left w:val="nil"/>
              <w:bottom w:val="nil"/>
              <w:right w:val="nil"/>
            </w:tcBorders>
            <w:shd w:val="clear" w:color="auto" w:fill="auto"/>
            <w:vAlign w:val="center"/>
            <w:hideMark/>
          </w:tcPr>
          <w:p w14:paraId="3647B401" w14:textId="67886A57" w:rsidR="00BA5EA9" w:rsidRPr="001E6DFD" w:rsidRDefault="00A27765" w:rsidP="0097226C">
            <w:pPr>
              <w:rPr>
                <w:sz w:val="16"/>
                <w:szCs w:val="16"/>
              </w:rPr>
            </w:pPr>
            <w:r w:rsidRPr="001E6DFD">
              <w:rPr>
                <w:sz w:val="16"/>
                <w:szCs w:val="16"/>
              </w:rPr>
              <w:t>Amélioration de l</w:t>
            </w:r>
            <w:r w:rsidR="00FA22F6" w:rsidRPr="001E6DFD">
              <w:rPr>
                <w:sz w:val="16"/>
                <w:szCs w:val="16"/>
              </w:rPr>
              <w:t>’</w:t>
            </w:r>
            <w:r w:rsidRPr="001E6DFD">
              <w:rPr>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FA22F6" w:rsidRPr="001E6DFD">
              <w:rPr>
                <w:sz w:val="16"/>
                <w:szCs w:val="16"/>
              </w:rPr>
              <w:t>’</w:t>
            </w:r>
            <w:r w:rsidRPr="001E6DFD">
              <w:rPr>
                <w:sz w:val="16"/>
                <w:szCs w:val="16"/>
              </w:rPr>
              <w:t>obtenir un meilleur résultat pour ce qui concerne l</w:t>
            </w:r>
            <w:r w:rsidR="00FA22F6" w:rsidRPr="001E6DFD">
              <w:rPr>
                <w:sz w:val="16"/>
                <w:szCs w:val="16"/>
              </w:rPr>
              <w:t>’</w:t>
            </w:r>
            <w:r w:rsidRPr="001E6DFD">
              <w:rPr>
                <w:sz w:val="16"/>
                <w:szCs w:val="16"/>
              </w:rPr>
              <w:t>administration de la propriété intellectuelle</w:t>
            </w:r>
          </w:p>
        </w:tc>
        <w:tc>
          <w:tcPr>
            <w:tcW w:w="1133" w:type="dxa"/>
            <w:tcBorders>
              <w:top w:val="nil"/>
              <w:left w:val="nil"/>
              <w:bottom w:val="nil"/>
              <w:right w:val="nil"/>
            </w:tcBorders>
            <w:shd w:val="clear" w:color="auto" w:fill="auto"/>
            <w:noWrap/>
            <w:vAlign w:val="center"/>
            <w:hideMark/>
          </w:tcPr>
          <w:p w14:paraId="77D148B3" w14:textId="77777777" w:rsidR="00BA5EA9" w:rsidRPr="001E6DFD" w:rsidRDefault="00282CF5" w:rsidP="0097226C">
            <w:pPr>
              <w:jc w:val="center"/>
              <w:rPr>
                <w:sz w:val="16"/>
                <w:szCs w:val="16"/>
              </w:rPr>
            </w:pPr>
            <w:r w:rsidRPr="001E6DFD">
              <w:rPr>
                <w:sz w:val="16"/>
                <w:szCs w:val="16"/>
              </w:rPr>
              <w:t>13 806</w:t>
            </w:r>
          </w:p>
        </w:tc>
        <w:tc>
          <w:tcPr>
            <w:tcW w:w="1131" w:type="dxa"/>
            <w:tcBorders>
              <w:top w:val="nil"/>
              <w:left w:val="nil"/>
              <w:bottom w:val="nil"/>
              <w:right w:val="nil"/>
            </w:tcBorders>
            <w:shd w:val="clear" w:color="auto" w:fill="auto"/>
            <w:noWrap/>
            <w:vAlign w:val="center"/>
            <w:hideMark/>
          </w:tcPr>
          <w:p w14:paraId="32DF0007" w14:textId="77777777" w:rsidR="00BA5EA9" w:rsidRPr="001E6DFD" w:rsidRDefault="00282CF5" w:rsidP="0097226C">
            <w:pPr>
              <w:jc w:val="center"/>
              <w:rPr>
                <w:sz w:val="16"/>
                <w:szCs w:val="16"/>
              </w:rPr>
            </w:pPr>
            <w:r w:rsidRPr="001E6DFD">
              <w:rPr>
                <w:sz w:val="16"/>
                <w:szCs w:val="16"/>
              </w:rPr>
              <w:t>14 016</w:t>
            </w:r>
          </w:p>
        </w:tc>
        <w:tc>
          <w:tcPr>
            <w:tcW w:w="1163" w:type="dxa"/>
            <w:tcBorders>
              <w:top w:val="nil"/>
              <w:left w:val="nil"/>
              <w:bottom w:val="nil"/>
              <w:right w:val="nil"/>
            </w:tcBorders>
            <w:shd w:val="clear" w:color="auto" w:fill="auto"/>
            <w:noWrap/>
            <w:vAlign w:val="center"/>
            <w:hideMark/>
          </w:tcPr>
          <w:p w14:paraId="3010CFE8" w14:textId="77777777" w:rsidR="00BA5EA9" w:rsidRPr="001E6DFD" w:rsidRDefault="00282CF5" w:rsidP="0097226C">
            <w:pPr>
              <w:jc w:val="center"/>
              <w:rPr>
                <w:sz w:val="16"/>
                <w:szCs w:val="16"/>
              </w:rPr>
            </w:pPr>
            <w:r w:rsidRPr="001E6DFD">
              <w:rPr>
                <w:sz w:val="16"/>
                <w:szCs w:val="16"/>
              </w:rPr>
              <w:t>6 449</w:t>
            </w:r>
          </w:p>
        </w:tc>
      </w:tr>
      <w:tr w:rsidR="00BA5EA9" w:rsidRPr="001E6DFD" w14:paraId="6F0CAC83" w14:textId="77777777" w:rsidTr="00A055E7">
        <w:trPr>
          <w:jc w:val="center"/>
        </w:trPr>
        <w:tc>
          <w:tcPr>
            <w:tcW w:w="561" w:type="dxa"/>
            <w:tcBorders>
              <w:top w:val="nil"/>
              <w:left w:val="nil"/>
              <w:bottom w:val="nil"/>
              <w:right w:val="nil"/>
            </w:tcBorders>
            <w:shd w:val="clear" w:color="auto" w:fill="auto"/>
            <w:noWrap/>
            <w:vAlign w:val="center"/>
            <w:hideMark/>
          </w:tcPr>
          <w:p w14:paraId="1FC9B29F" w14:textId="77777777" w:rsidR="00BA5EA9" w:rsidRPr="001E6DFD" w:rsidRDefault="00BA5EA9" w:rsidP="0097226C">
            <w:pPr>
              <w:rPr>
                <w:sz w:val="16"/>
                <w:szCs w:val="16"/>
              </w:rPr>
            </w:pPr>
            <w:r w:rsidRPr="001E6DFD">
              <w:rPr>
                <w:sz w:val="16"/>
                <w:szCs w:val="16"/>
              </w:rPr>
              <w:t>VII.2</w:t>
            </w:r>
          </w:p>
        </w:tc>
        <w:tc>
          <w:tcPr>
            <w:tcW w:w="4234" w:type="dxa"/>
            <w:tcBorders>
              <w:top w:val="nil"/>
              <w:left w:val="nil"/>
              <w:bottom w:val="nil"/>
              <w:right w:val="nil"/>
            </w:tcBorders>
            <w:shd w:val="clear" w:color="auto" w:fill="auto"/>
            <w:vAlign w:val="center"/>
            <w:hideMark/>
          </w:tcPr>
          <w:p w14:paraId="17D64EB0" w14:textId="692490B8" w:rsidR="00BA5EA9" w:rsidRPr="001E6DFD" w:rsidRDefault="004D421A" w:rsidP="0097226C">
            <w:pPr>
              <w:rPr>
                <w:sz w:val="16"/>
                <w:szCs w:val="16"/>
              </w:rPr>
            </w:pPr>
            <w:r w:rsidRPr="001E6DFD">
              <w:rPr>
                <w:sz w:val="16"/>
                <w:szCs w:val="16"/>
              </w:rPr>
              <w:t>Plateformes</w:t>
            </w:r>
            <w:r w:rsidR="00A27765" w:rsidRPr="001E6DFD">
              <w:rPr>
                <w:sz w:val="16"/>
                <w:szCs w:val="16"/>
              </w:rPr>
              <w:t xml:space="preserve"> et instruments fondés sur la propriété intellectuelle pour le transfert de connaissances et l</w:t>
            </w:r>
            <w:r w:rsidR="00FA22F6" w:rsidRPr="001E6DFD">
              <w:rPr>
                <w:sz w:val="16"/>
                <w:szCs w:val="16"/>
              </w:rPr>
              <w:t>’</w:t>
            </w:r>
            <w:r w:rsidR="00A27765" w:rsidRPr="001E6DFD">
              <w:rPr>
                <w:sz w:val="16"/>
                <w:szCs w:val="16"/>
              </w:rPr>
              <w:t>adaptation et la diffusion de la technologie entre les pays développés et les pays en développement, notamment les PMA, pour relever des défis mondiaux</w:t>
            </w:r>
          </w:p>
        </w:tc>
        <w:tc>
          <w:tcPr>
            <w:tcW w:w="1133" w:type="dxa"/>
            <w:tcBorders>
              <w:top w:val="nil"/>
              <w:left w:val="nil"/>
              <w:bottom w:val="nil"/>
              <w:right w:val="nil"/>
            </w:tcBorders>
            <w:shd w:val="clear" w:color="auto" w:fill="auto"/>
            <w:noWrap/>
            <w:vAlign w:val="center"/>
            <w:hideMark/>
          </w:tcPr>
          <w:p w14:paraId="13957003" w14:textId="77777777" w:rsidR="00BA5EA9" w:rsidRPr="001E6DFD" w:rsidRDefault="00BA5EA9" w:rsidP="0097226C">
            <w:pPr>
              <w:jc w:val="center"/>
              <w:rPr>
                <w:sz w:val="16"/>
                <w:szCs w:val="16"/>
              </w:rPr>
            </w:pPr>
            <w:r w:rsidRPr="001E6DFD">
              <w:rPr>
                <w:sz w:val="16"/>
                <w:szCs w:val="16"/>
              </w:rPr>
              <w:t>0</w:t>
            </w:r>
          </w:p>
        </w:tc>
        <w:tc>
          <w:tcPr>
            <w:tcW w:w="1131" w:type="dxa"/>
            <w:tcBorders>
              <w:top w:val="nil"/>
              <w:left w:val="nil"/>
              <w:bottom w:val="nil"/>
              <w:right w:val="nil"/>
            </w:tcBorders>
            <w:shd w:val="clear" w:color="auto" w:fill="auto"/>
            <w:noWrap/>
            <w:vAlign w:val="center"/>
            <w:hideMark/>
          </w:tcPr>
          <w:p w14:paraId="66F6CDCC" w14:textId="77777777" w:rsidR="00BA5EA9" w:rsidRPr="001E6DFD" w:rsidRDefault="00BA5EA9" w:rsidP="0097226C">
            <w:pPr>
              <w:jc w:val="center"/>
              <w:rPr>
                <w:sz w:val="16"/>
                <w:szCs w:val="16"/>
              </w:rPr>
            </w:pPr>
            <w:r w:rsidRPr="001E6DFD">
              <w:rPr>
                <w:sz w:val="16"/>
                <w:szCs w:val="16"/>
              </w:rPr>
              <w:t>355</w:t>
            </w:r>
          </w:p>
        </w:tc>
        <w:tc>
          <w:tcPr>
            <w:tcW w:w="1163" w:type="dxa"/>
            <w:tcBorders>
              <w:top w:val="nil"/>
              <w:left w:val="nil"/>
              <w:bottom w:val="nil"/>
              <w:right w:val="nil"/>
            </w:tcBorders>
            <w:shd w:val="clear" w:color="auto" w:fill="auto"/>
            <w:noWrap/>
            <w:vAlign w:val="center"/>
            <w:hideMark/>
          </w:tcPr>
          <w:p w14:paraId="2541F97B" w14:textId="77777777" w:rsidR="00BA5EA9" w:rsidRPr="001E6DFD" w:rsidRDefault="00BA5EA9" w:rsidP="0097226C">
            <w:pPr>
              <w:jc w:val="center"/>
              <w:rPr>
                <w:sz w:val="16"/>
                <w:szCs w:val="16"/>
              </w:rPr>
            </w:pPr>
            <w:r w:rsidRPr="001E6DFD">
              <w:rPr>
                <w:sz w:val="16"/>
                <w:szCs w:val="16"/>
              </w:rPr>
              <w:t>309</w:t>
            </w:r>
          </w:p>
        </w:tc>
      </w:tr>
      <w:tr w:rsidR="00BA5EA9" w:rsidRPr="001E6DFD" w14:paraId="7FE6DEA3" w14:textId="77777777" w:rsidTr="00A055E7">
        <w:trPr>
          <w:jc w:val="center"/>
        </w:trPr>
        <w:tc>
          <w:tcPr>
            <w:tcW w:w="561" w:type="dxa"/>
            <w:tcBorders>
              <w:top w:val="nil"/>
              <w:left w:val="nil"/>
              <w:bottom w:val="nil"/>
              <w:right w:val="nil"/>
            </w:tcBorders>
            <w:shd w:val="clear" w:color="000000" w:fill="C5D9F1"/>
            <w:noWrap/>
            <w:vAlign w:val="bottom"/>
            <w:hideMark/>
          </w:tcPr>
          <w:p w14:paraId="54430CB5" w14:textId="44B0B1F3" w:rsidR="00BA5EA9" w:rsidRPr="001E6DFD" w:rsidRDefault="00BA5EA9" w:rsidP="0097226C">
            <w:pPr>
              <w:rPr>
                <w:sz w:val="16"/>
                <w:szCs w:val="16"/>
              </w:rPr>
            </w:pPr>
          </w:p>
        </w:tc>
        <w:tc>
          <w:tcPr>
            <w:tcW w:w="4234" w:type="dxa"/>
            <w:tcBorders>
              <w:top w:val="nil"/>
              <w:left w:val="nil"/>
              <w:bottom w:val="nil"/>
              <w:right w:val="nil"/>
            </w:tcBorders>
            <w:shd w:val="clear" w:color="000000" w:fill="C5D9F1"/>
            <w:noWrap/>
            <w:vAlign w:val="bottom"/>
            <w:hideMark/>
          </w:tcPr>
          <w:p w14:paraId="2B4B63FB" w14:textId="77777777" w:rsidR="00BA5EA9" w:rsidRPr="001E6DFD" w:rsidRDefault="00A27765" w:rsidP="0097226C">
            <w:pPr>
              <w:jc w:val="right"/>
              <w:rPr>
                <w:b/>
                <w:bCs/>
                <w:sz w:val="16"/>
                <w:szCs w:val="16"/>
              </w:rPr>
            </w:pPr>
            <w:r w:rsidRPr="001E6DFD">
              <w:rPr>
                <w:b/>
                <w:bCs/>
                <w:sz w:val="16"/>
                <w:szCs w:val="16"/>
              </w:rPr>
              <w:t>Total</w:t>
            </w:r>
          </w:p>
        </w:tc>
        <w:tc>
          <w:tcPr>
            <w:tcW w:w="1133" w:type="dxa"/>
            <w:tcBorders>
              <w:top w:val="nil"/>
              <w:left w:val="nil"/>
              <w:bottom w:val="nil"/>
              <w:right w:val="nil"/>
            </w:tcBorders>
            <w:shd w:val="clear" w:color="000000" w:fill="C5D9F1"/>
            <w:noWrap/>
            <w:vAlign w:val="center"/>
            <w:hideMark/>
          </w:tcPr>
          <w:p w14:paraId="06476110" w14:textId="77777777" w:rsidR="00BA5EA9" w:rsidRPr="001E6DFD" w:rsidRDefault="00282CF5" w:rsidP="0097226C">
            <w:pPr>
              <w:jc w:val="center"/>
              <w:rPr>
                <w:sz w:val="16"/>
                <w:szCs w:val="16"/>
              </w:rPr>
            </w:pPr>
            <w:r w:rsidRPr="001E6DFD">
              <w:rPr>
                <w:sz w:val="16"/>
                <w:szCs w:val="16"/>
              </w:rPr>
              <w:t>13 806</w:t>
            </w:r>
          </w:p>
        </w:tc>
        <w:tc>
          <w:tcPr>
            <w:tcW w:w="1131" w:type="dxa"/>
            <w:tcBorders>
              <w:top w:val="nil"/>
              <w:left w:val="nil"/>
              <w:bottom w:val="nil"/>
              <w:right w:val="nil"/>
            </w:tcBorders>
            <w:shd w:val="clear" w:color="000000" w:fill="C5D9F1"/>
            <w:noWrap/>
            <w:vAlign w:val="center"/>
            <w:hideMark/>
          </w:tcPr>
          <w:p w14:paraId="7B636439" w14:textId="77777777" w:rsidR="00BA5EA9" w:rsidRPr="001E6DFD" w:rsidRDefault="00282CF5" w:rsidP="0097226C">
            <w:pPr>
              <w:jc w:val="center"/>
              <w:rPr>
                <w:sz w:val="16"/>
                <w:szCs w:val="16"/>
              </w:rPr>
            </w:pPr>
            <w:r w:rsidRPr="001E6DFD">
              <w:rPr>
                <w:sz w:val="16"/>
                <w:szCs w:val="16"/>
              </w:rPr>
              <w:t>14 371</w:t>
            </w:r>
          </w:p>
        </w:tc>
        <w:tc>
          <w:tcPr>
            <w:tcW w:w="1163" w:type="dxa"/>
            <w:tcBorders>
              <w:top w:val="nil"/>
              <w:left w:val="nil"/>
              <w:bottom w:val="nil"/>
              <w:right w:val="nil"/>
            </w:tcBorders>
            <w:shd w:val="clear" w:color="000000" w:fill="C5D9F1"/>
            <w:noWrap/>
            <w:vAlign w:val="center"/>
            <w:hideMark/>
          </w:tcPr>
          <w:p w14:paraId="2F08CE80" w14:textId="77777777" w:rsidR="00BA5EA9" w:rsidRPr="001E6DFD" w:rsidRDefault="00282CF5" w:rsidP="0097226C">
            <w:pPr>
              <w:jc w:val="center"/>
              <w:rPr>
                <w:sz w:val="16"/>
                <w:szCs w:val="16"/>
              </w:rPr>
            </w:pPr>
            <w:r w:rsidRPr="001E6DFD">
              <w:rPr>
                <w:sz w:val="16"/>
                <w:szCs w:val="16"/>
              </w:rPr>
              <w:t>6 758</w:t>
            </w:r>
          </w:p>
        </w:tc>
      </w:tr>
      <w:tr w:rsidR="00980A1C" w:rsidRPr="001E6DFD" w14:paraId="034201E6"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56F800C2" w14:textId="01FDCD5B" w:rsidR="00980A1C" w:rsidRPr="001E6DFD" w:rsidRDefault="00980A1C"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164F8BDB" w14:textId="77777777" w:rsidR="001F64B1" w:rsidRPr="001E6DFD" w:rsidRDefault="001F64B1" w:rsidP="0097226C">
      <w:pPr>
        <w:rPr>
          <w:sz w:val="20"/>
          <w:szCs w:val="18"/>
        </w:rPr>
      </w:pPr>
    </w:p>
    <w:p w14:paraId="2B679868" w14:textId="77777777" w:rsidR="00FA22F6" w:rsidRPr="001E6DFD" w:rsidRDefault="00A27765" w:rsidP="0097226C">
      <w:pPr>
        <w:keepNext/>
        <w:keepLines/>
        <w:jc w:val="center"/>
        <w:rPr>
          <w:sz w:val="18"/>
          <w:szCs w:val="18"/>
        </w:rPr>
      </w:pPr>
      <w:r w:rsidRPr="001E6DFD">
        <w:rPr>
          <w:sz w:val="18"/>
          <w:szCs w:val="18"/>
        </w:rPr>
        <w:t>Budget et dépenses effectives (dépenses de personnel et autres dépenses)</w:t>
      </w:r>
    </w:p>
    <w:p w14:paraId="2FB37295" w14:textId="44091496" w:rsidR="001F64B1" w:rsidRPr="001E6DFD" w:rsidRDefault="00A27765" w:rsidP="0097226C">
      <w:pPr>
        <w:keepNext/>
        <w:keepLines/>
        <w:jc w:val="center"/>
        <w:rPr>
          <w:i/>
          <w:iCs/>
          <w:sz w:val="16"/>
          <w:szCs w:val="16"/>
        </w:rPr>
      </w:pPr>
      <w:r w:rsidRPr="001E6DFD">
        <w:rPr>
          <w:i/>
          <w:iCs/>
          <w:sz w:val="16"/>
          <w:szCs w:val="16"/>
        </w:rPr>
        <w:t>(en milliers de francs suisses)</w:t>
      </w:r>
    </w:p>
    <w:p w14:paraId="123F9666" w14:textId="77777777" w:rsidR="00BA5EA9" w:rsidRPr="001E6DFD" w:rsidRDefault="00BA5EA9" w:rsidP="0097226C">
      <w:pPr>
        <w:rPr>
          <w:b/>
          <w:sz w:val="20"/>
          <w:szCs w:val="18"/>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1AAC5BF7" w14:textId="77777777" w:rsidTr="00A055E7">
        <w:trPr>
          <w:jc w:val="center"/>
        </w:trPr>
        <w:tc>
          <w:tcPr>
            <w:tcW w:w="2470" w:type="dxa"/>
            <w:tcBorders>
              <w:top w:val="nil"/>
              <w:left w:val="nil"/>
              <w:bottom w:val="nil"/>
              <w:right w:val="nil"/>
            </w:tcBorders>
            <w:shd w:val="clear" w:color="000000" w:fill="C5D9F1"/>
            <w:noWrap/>
            <w:vAlign w:val="center"/>
            <w:hideMark/>
          </w:tcPr>
          <w:p w14:paraId="2C79797C" w14:textId="49A791B7"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4B3646E3" w14:textId="4F0E5EC1" w:rsidR="00BA5EA9" w:rsidRPr="001E6DFD" w:rsidRDefault="00A806A7" w:rsidP="00A806A7">
            <w:pPr>
              <w:jc w:val="center"/>
              <w:rPr>
                <w:b/>
                <w:bCs/>
                <w:sz w:val="16"/>
                <w:szCs w:val="16"/>
              </w:rPr>
            </w:pPr>
            <w:r>
              <w:rPr>
                <w:b/>
                <w:bCs/>
                <w:sz w:val="16"/>
                <w:szCs w:val="16"/>
              </w:rPr>
              <w:t>Budget </w:t>
            </w:r>
            <w:r w:rsidR="00A27765" w:rsidRPr="001E6DFD">
              <w:rPr>
                <w:b/>
                <w:bCs/>
                <w:sz w:val="16"/>
                <w:szCs w:val="16"/>
              </w:rPr>
              <w:t>2016</w:t>
            </w:r>
            <w:r w:rsidR="006A41CF" w:rsidRPr="001E6DFD">
              <w:rPr>
                <w:b/>
                <w:bCs/>
                <w:sz w:val="16"/>
                <w:szCs w:val="16"/>
              </w:rPr>
              <w:noBreakHyphen/>
            </w:r>
            <w:r w:rsidR="00A27765" w:rsidRPr="001E6DFD">
              <w:rPr>
                <w:b/>
                <w:bCs/>
                <w:sz w:val="16"/>
                <w:szCs w:val="16"/>
              </w:rPr>
              <w:t>2017 approuvé</w:t>
            </w:r>
          </w:p>
        </w:tc>
        <w:tc>
          <w:tcPr>
            <w:tcW w:w="1438" w:type="dxa"/>
            <w:tcBorders>
              <w:top w:val="nil"/>
              <w:left w:val="nil"/>
              <w:bottom w:val="nil"/>
              <w:right w:val="nil"/>
            </w:tcBorders>
            <w:shd w:val="clear" w:color="000000" w:fill="C5D9F1"/>
            <w:vAlign w:val="center"/>
            <w:hideMark/>
          </w:tcPr>
          <w:p w14:paraId="7C4A5F2F" w14:textId="3B60E7CD" w:rsidR="00BA5EA9" w:rsidRPr="001E6DFD" w:rsidRDefault="00A806A7" w:rsidP="00A806A7">
            <w:pPr>
              <w:jc w:val="center"/>
              <w:rPr>
                <w:b/>
                <w:bCs/>
                <w:sz w:val="16"/>
                <w:szCs w:val="16"/>
              </w:rPr>
            </w:pPr>
            <w:r>
              <w:rPr>
                <w:b/>
                <w:bCs/>
                <w:sz w:val="16"/>
                <w:szCs w:val="16"/>
              </w:rPr>
              <w:t>Budget </w:t>
            </w:r>
            <w:r w:rsidR="00F3341E" w:rsidRPr="001E6DFD">
              <w:rPr>
                <w:b/>
                <w:bCs/>
                <w:sz w:val="16"/>
                <w:szCs w:val="16"/>
              </w:rPr>
              <w:t>2016</w:t>
            </w:r>
            <w:r w:rsidR="006A41CF" w:rsidRPr="001E6DFD">
              <w:rPr>
                <w:b/>
                <w:bCs/>
                <w:sz w:val="16"/>
                <w:szCs w:val="16"/>
              </w:rPr>
              <w:noBreakHyphen/>
            </w:r>
            <w:r w:rsidR="00F3341E"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4C327D6B" w14:textId="48C71A5F" w:rsidR="00BA5EA9" w:rsidRPr="001E6DFD" w:rsidRDefault="00A27765"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480248B6" w14:textId="412F3FC5" w:rsidR="00BA5EA9" w:rsidRPr="001E6DFD" w:rsidRDefault="00A27765"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2C50F24E" w14:textId="77777777" w:rsidTr="00A055E7">
        <w:trPr>
          <w:jc w:val="center"/>
        </w:trPr>
        <w:tc>
          <w:tcPr>
            <w:tcW w:w="2470" w:type="dxa"/>
            <w:tcBorders>
              <w:top w:val="nil"/>
              <w:left w:val="nil"/>
              <w:bottom w:val="nil"/>
              <w:right w:val="nil"/>
            </w:tcBorders>
            <w:shd w:val="clear" w:color="auto" w:fill="auto"/>
            <w:noWrap/>
            <w:vAlign w:val="center"/>
            <w:hideMark/>
          </w:tcPr>
          <w:p w14:paraId="6150D125"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74745E0B" w14:textId="77777777" w:rsidR="00BA5EA9" w:rsidRPr="001E6DFD" w:rsidRDefault="00282CF5" w:rsidP="0097226C">
            <w:pPr>
              <w:jc w:val="center"/>
              <w:rPr>
                <w:sz w:val="16"/>
                <w:szCs w:val="16"/>
              </w:rPr>
            </w:pPr>
            <w:r w:rsidRPr="001E6DFD">
              <w:rPr>
                <w:sz w:val="16"/>
                <w:szCs w:val="16"/>
              </w:rPr>
              <w:t>7 756</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F48B186" w14:textId="77777777" w:rsidR="00BA5EA9" w:rsidRPr="001E6DFD" w:rsidRDefault="00282CF5" w:rsidP="0097226C">
            <w:pPr>
              <w:jc w:val="center"/>
              <w:rPr>
                <w:sz w:val="16"/>
                <w:szCs w:val="16"/>
              </w:rPr>
            </w:pPr>
            <w:r w:rsidRPr="001E6DFD">
              <w:rPr>
                <w:sz w:val="16"/>
                <w:szCs w:val="16"/>
              </w:rPr>
              <w:t>7 931</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12CF4051" w14:textId="77777777" w:rsidR="00BA5EA9" w:rsidRPr="001E6DFD" w:rsidRDefault="00282CF5" w:rsidP="0097226C">
            <w:pPr>
              <w:jc w:val="center"/>
              <w:rPr>
                <w:sz w:val="16"/>
                <w:szCs w:val="16"/>
              </w:rPr>
            </w:pPr>
            <w:r w:rsidRPr="001E6DFD">
              <w:rPr>
                <w:sz w:val="16"/>
                <w:szCs w:val="16"/>
              </w:rPr>
              <w:t>3 841</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33E326B6" w14:textId="77777777" w:rsidR="00BA5EA9" w:rsidRPr="001E6DFD" w:rsidRDefault="00BA5EA9" w:rsidP="0097226C">
            <w:pPr>
              <w:jc w:val="center"/>
              <w:rPr>
                <w:sz w:val="16"/>
                <w:szCs w:val="16"/>
              </w:rPr>
            </w:pPr>
            <w:r w:rsidRPr="001E6DFD">
              <w:rPr>
                <w:sz w:val="16"/>
                <w:szCs w:val="16"/>
              </w:rPr>
              <w:t>48%</w:t>
            </w:r>
          </w:p>
        </w:tc>
      </w:tr>
      <w:tr w:rsidR="00BA5EA9" w:rsidRPr="001E6DFD" w14:paraId="000DDE22" w14:textId="77777777" w:rsidTr="00A055E7">
        <w:trPr>
          <w:jc w:val="center"/>
        </w:trPr>
        <w:tc>
          <w:tcPr>
            <w:tcW w:w="2470" w:type="dxa"/>
            <w:tcBorders>
              <w:top w:val="nil"/>
              <w:left w:val="nil"/>
              <w:bottom w:val="nil"/>
              <w:right w:val="nil"/>
            </w:tcBorders>
            <w:shd w:val="clear" w:color="auto" w:fill="auto"/>
            <w:noWrap/>
            <w:vAlign w:val="center"/>
            <w:hideMark/>
          </w:tcPr>
          <w:p w14:paraId="386C5A2D"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2FCC40E6" w14:textId="77777777" w:rsidR="00BA5EA9" w:rsidRPr="001E6DFD" w:rsidRDefault="00282CF5" w:rsidP="0097226C">
            <w:pPr>
              <w:jc w:val="center"/>
              <w:rPr>
                <w:sz w:val="16"/>
                <w:szCs w:val="16"/>
              </w:rPr>
            </w:pPr>
            <w:r w:rsidRPr="001E6DFD">
              <w:rPr>
                <w:sz w:val="16"/>
                <w:szCs w:val="16"/>
              </w:rPr>
              <w:t>6 050</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9E27525" w14:textId="77777777" w:rsidR="00BA5EA9" w:rsidRPr="001E6DFD" w:rsidRDefault="00282CF5" w:rsidP="0097226C">
            <w:pPr>
              <w:jc w:val="center"/>
              <w:rPr>
                <w:sz w:val="16"/>
                <w:szCs w:val="16"/>
              </w:rPr>
            </w:pPr>
            <w:r w:rsidRPr="001E6DFD">
              <w:rPr>
                <w:sz w:val="16"/>
                <w:szCs w:val="16"/>
              </w:rPr>
              <w:t>6 440</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0FB4F21F" w14:textId="77777777" w:rsidR="00BA5EA9" w:rsidRPr="001E6DFD" w:rsidRDefault="00282CF5" w:rsidP="0097226C">
            <w:pPr>
              <w:jc w:val="center"/>
              <w:rPr>
                <w:sz w:val="16"/>
                <w:szCs w:val="16"/>
              </w:rPr>
            </w:pPr>
            <w:r w:rsidRPr="001E6DFD">
              <w:rPr>
                <w:sz w:val="16"/>
                <w:szCs w:val="16"/>
              </w:rPr>
              <w:t>2 916</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2BB95565" w14:textId="77777777" w:rsidR="00BA5EA9" w:rsidRPr="001E6DFD" w:rsidRDefault="00BA5EA9" w:rsidP="0097226C">
            <w:pPr>
              <w:jc w:val="center"/>
              <w:rPr>
                <w:sz w:val="16"/>
                <w:szCs w:val="16"/>
              </w:rPr>
            </w:pPr>
            <w:r w:rsidRPr="001E6DFD">
              <w:rPr>
                <w:sz w:val="16"/>
                <w:szCs w:val="16"/>
              </w:rPr>
              <w:t>45%</w:t>
            </w:r>
          </w:p>
        </w:tc>
      </w:tr>
      <w:tr w:rsidR="00BA5EA9" w:rsidRPr="001E6DFD" w14:paraId="76480472" w14:textId="77777777" w:rsidTr="00A055E7">
        <w:trPr>
          <w:jc w:val="center"/>
        </w:trPr>
        <w:tc>
          <w:tcPr>
            <w:tcW w:w="2470" w:type="dxa"/>
            <w:tcBorders>
              <w:top w:val="nil"/>
              <w:left w:val="nil"/>
              <w:bottom w:val="nil"/>
              <w:right w:val="nil"/>
            </w:tcBorders>
            <w:shd w:val="clear" w:color="000000" w:fill="C5D9F1"/>
            <w:noWrap/>
            <w:vAlign w:val="center"/>
            <w:hideMark/>
          </w:tcPr>
          <w:p w14:paraId="2F0F7B0B" w14:textId="2A6F4C8F" w:rsidR="00BA5EA9" w:rsidRPr="001E6DFD" w:rsidRDefault="00A27765"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FF033C7" w14:textId="77777777" w:rsidR="00BA5EA9" w:rsidRPr="001E6DFD" w:rsidRDefault="00282CF5" w:rsidP="0097226C">
            <w:pPr>
              <w:jc w:val="center"/>
              <w:rPr>
                <w:b/>
                <w:bCs/>
                <w:sz w:val="16"/>
                <w:szCs w:val="16"/>
              </w:rPr>
            </w:pPr>
            <w:r w:rsidRPr="001E6DFD">
              <w:rPr>
                <w:b/>
                <w:bCs/>
                <w:sz w:val="16"/>
                <w:szCs w:val="16"/>
              </w:rPr>
              <w:t>13 806</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3CFF5E84" w14:textId="77777777" w:rsidR="00BA5EA9" w:rsidRPr="001E6DFD" w:rsidRDefault="00282CF5" w:rsidP="0097226C">
            <w:pPr>
              <w:jc w:val="center"/>
              <w:rPr>
                <w:b/>
                <w:bCs/>
                <w:sz w:val="16"/>
                <w:szCs w:val="16"/>
              </w:rPr>
            </w:pPr>
            <w:r w:rsidRPr="001E6DFD">
              <w:rPr>
                <w:b/>
                <w:bCs/>
                <w:sz w:val="16"/>
                <w:szCs w:val="16"/>
              </w:rPr>
              <w:t>14 371</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2BD9C64C" w14:textId="77777777" w:rsidR="00BA5EA9" w:rsidRPr="001E6DFD" w:rsidRDefault="00282CF5" w:rsidP="0097226C">
            <w:pPr>
              <w:jc w:val="center"/>
              <w:rPr>
                <w:b/>
                <w:bCs/>
                <w:sz w:val="16"/>
                <w:szCs w:val="16"/>
              </w:rPr>
            </w:pPr>
            <w:r w:rsidRPr="001E6DFD">
              <w:rPr>
                <w:b/>
                <w:bCs/>
                <w:sz w:val="16"/>
                <w:szCs w:val="16"/>
              </w:rPr>
              <w:t>6 758</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5C990B01" w14:textId="77777777" w:rsidR="00BA5EA9" w:rsidRPr="001E6DFD" w:rsidRDefault="00BA5EA9" w:rsidP="0097226C">
            <w:pPr>
              <w:jc w:val="center"/>
              <w:rPr>
                <w:b/>
                <w:bCs/>
                <w:sz w:val="16"/>
                <w:szCs w:val="16"/>
              </w:rPr>
            </w:pPr>
            <w:r w:rsidRPr="001E6DFD">
              <w:rPr>
                <w:b/>
                <w:bCs/>
                <w:sz w:val="16"/>
                <w:szCs w:val="16"/>
              </w:rPr>
              <w:t>47%</w:t>
            </w:r>
          </w:p>
        </w:tc>
      </w:tr>
      <w:tr w:rsidR="00BA5EA9" w:rsidRPr="001E6DFD" w14:paraId="6ED2450C" w14:textId="77777777" w:rsidTr="00A055E7">
        <w:trPr>
          <w:jc w:val="center"/>
        </w:trPr>
        <w:tc>
          <w:tcPr>
            <w:tcW w:w="8222" w:type="dxa"/>
            <w:gridSpan w:val="5"/>
            <w:tcBorders>
              <w:top w:val="nil"/>
              <w:left w:val="nil"/>
              <w:bottom w:val="nil"/>
              <w:right w:val="nil"/>
            </w:tcBorders>
            <w:shd w:val="clear" w:color="auto" w:fill="auto"/>
            <w:noWrap/>
            <w:vAlign w:val="center"/>
            <w:hideMark/>
          </w:tcPr>
          <w:p w14:paraId="43DF7682" w14:textId="3C8DFC89"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13AFC5D0" w14:textId="77777777" w:rsidR="001F64B1" w:rsidRPr="001E6DFD" w:rsidRDefault="001F64B1" w:rsidP="0097226C">
      <w:pPr>
        <w:jc w:val="center"/>
        <w:rPr>
          <w:b/>
          <w:sz w:val="20"/>
          <w:szCs w:val="18"/>
        </w:rPr>
      </w:pPr>
    </w:p>
    <w:p w14:paraId="59447821" w14:textId="5107481B" w:rsidR="001F64B1" w:rsidRPr="001E6DFD" w:rsidRDefault="00A27765"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32C17357" w14:textId="77777777" w:rsidR="001F64B1" w:rsidRPr="001E6DFD" w:rsidRDefault="001F64B1" w:rsidP="0097226C">
      <w:pPr>
        <w:rPr>
          <w:b/>
          <w:sz w:val="20"/>
        </w:rPr>
      </w:pPr>
    </w:p>
    <w:p w14:paraId="427292EB" w14:textId="77777777" w:rsidR="001F64B1" w:rsidRPr="001E6DFD" w:rsidRDefault="001F64B1" w:rsidP="00AA64E5">
      <w:pPr>
        <w:keepNext/>
        <w:keepLines/>
        <w:rPr>
          <w:b/>
          <w:sz w:val="20"/>
        </w:rPr>
      </w:pPr>
    </w:p>
    <w:p w14:paraId="407B11B2" w14:textId="7C0B9689" w:rsidR="001F64B1" w:rsidRPr="001E6DFD" w:rsidRDefault="00BA5EA9" w:rsidP="00AA64E5">
      <w:pPr>
        <w:keepNext/>
        <w:keepLines/>
        <w:rPr>
          <w:sz w:val="20"/>
          <w:u w:val="single"/>
        </w:rPr>
      </w:pPr>
      <w:r w:rsidRPr="001E6DFD">
        <w:rPr>
          <w:sz w:val="20"/>
        </w:rPr>
        <w:t>A.</w:t>
      </w:r>
      <w:r w:rsidRPr="001E6DFD">
        <w:rPr>
          <w:sz w:val="20"/>
        </w:rPr>
        <w:tab/>
      </w:r>
      <w:r w:rsidR="00F3341E" w:rsidRPr="001E6DFD">
        <w:rPr>
          <w:sz w:val="20"/>
          <w:u w:val="single"/>
        </w:rPr>
        <w:t>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 après virements</w:t>
      </w:r>
    </w:p>
    <w:p w14:paraId="4C62A8B7" w14:textId="77777777" w:rsidR="001F64B1" w:rsidRPr="00A806A7" w:rsidRDefault="001F64B1" w:rsidP="00AA64E5">
      <w:pPr>
        <w:keepNext/>
        <w:keepLines/>
        <w:rPr>
          <w:b/>
          <w:sz w:val="20"/>
        </w:rPr>
      </w:pPr>
    </w:p>
    <w:p w14:paraId="7FEF4028" w14:textId="4FF2DE83" w:rsidR="001F64B1" w:rsidRPr="00A806A7" w:rsidRDefault="00022B2B" w:rsidP="00AA64E5">
      <w:pPr>
        <w:pStyle w:val="ListParagraph"/>
        <w:keepNext/>
        <w:keepLines/>
        <w:numPr>
          <w:ilvl w:val="0"/>
          <w:numId w:val="19"/>
        </w:numPr>
        <w:ind w:left="0" w:firstLine="0"/>
        <w:jc w:val="both"/>
        <w:rPr>
          <w:rFonts w:ascii="Arial" w:hAnsi="Arial" w:cs="Arial"/>
          <w:sz w:val="20"/>
          <w:szCs w:val="20"/>
        </w:rPr>
      </w:pPr>
      <w:r w:rsidRPr="00A806A7">
        <w:rPr>
          <w:rFonts w:ascii="Arial" w:hAnsi="Arial" w:cs="Arial"/>
          <w:sz w:val="20"/>
          <w:szCs w:val="20"/>
          <w:lang w:eastAsia="ko-KR"/>
        </w:rPr>
        <w:t>L</w:t>
      </w:r>
      <w:r w:rsidR="00FA22F6" w:rsidRPr="00A806A7">
        <w:rPr>
          <w:rFonts w:ascii="Arial" w:hAnsi="Arial" w:cs="Arial"/>
          <w:sz w:val="20"/>
          <w:szCs w:val="20"/>
          <w:lang w:eastAsia="ko-KR"/>
        </w:rPr>
        <w:t>’</w:t>
      </w:r>
      <w:r w:rsidRPr="00A806A7">
        <w:rPr>
          <w:rFonts w:ascii="Arial" w:hAnsi="Arial" w:cs="Arial"/>
          <w:sz w:val="20"/>
          <w:szCs w:val="20"/>
          <w:lang w:eastAsia="ko-KR"/>
        </w:rPr>
        <w:t>augmentation globale des ressources e</w:t>
      </w:r>
      <w:r w:rsidR="00381826" w:rsidRPr="00A806A7">
        <w:rPr>
          <w:rFonts w:ascii="Arial" w:hAnsi="Arial" w:cs="Arial"/>
          <w:sz w:val="20"/>
          <w:szCs w:val="20"/>
          <w:lang w:eastAsia="ko-KR"/>
        </w:rPr>
        <w:t>n</w:t>
      </w:r>
      <w:r w:rsidRPr="00A806A7">
        <w:rPr>
          <w:rFonts w:ascii="Arial" w:hAnsi="Arial" w:cs="Arial"/>
          <w:sz w:val="20"/>
          <w:szCs w:val="20"/>
          <w:lang w:eastAsia="ko-KR"/>
        </w:rPr>
        <w:t xml:space="preserve"> personnel par rapport au budget</w:t>
      </w:r>
      <w:r w:rsidR="00B4191E" w:rsidRPr="00A806A7">
        <w:rPr>
          <w:rFonts w:ascii="Arial" w:hAnsi="Arial" w:cs="Arial"/>
          <w:sz w:val="20"/>
          <w:szCs w:val="20"/>
          <w:lang w:eastAsia="ko-KR"/>
        </w:rPr>
        <w:t> </w:t>
      </w:r>
      <w:r w:rsidRPr="00A806A7">
        <w:rPr>
          <w:rFonts w:ascii="Arial" w:hAnsi="Arial" w:cs="Arial"/>
          <w:sz w:val="20"/>
          <w:szCs w:val="20"/>
          <w:lang w:eastAsia="ko-KR"/>
        </w:rPr>
        <w:t>2016</w:t>
      </w:r>
      <w:r w:rsidR="006A41CF" w:rsidRPr="00A806A7">
        <w:rPr>
          <w:rFonts w:ascii="Arial" w:hAnsi="Arial" w:cs="Arial"/>
          <w:sz w:val="20"/>
          <w:szCs w:val="20"/>
          <w:lang w:eastAsia="ko-KR"/>
        </w:rPr>
        <w:noBreakHyphen/>
      </w:r>
      <w:r w:rsidRPr="00A806A7">
        <w:rPr>
          <w:rFonts w:ascii="Arial" w:hAnsi="Arial" w:cs="Arial"/>
          <w:sz w:val="20"/>
          <w:szCs w:val="20"/>
          <w:lang w:eastAsia="ko-KR"/>
        </w:rPr>
        <w:t xml:space="preserve">2017 </w:t>
      </w:r>
      <w:r w:rsidR="00A70BEE" w:rsidRPr="00A806A7">
        <w:rPr>
          <w:rFonts w:ascii="Arial" w:hAnsi="Arial" w:cs="Arial"/>
          <w:sz w:val="20"/>
          <w:szCs w:val="20"/>
          <w:lang w:eastAsia="ko-KR"/>
        </w:rPr>
        <w:t xml:space="preserve">approuvé </w:t>
      </w:r>
      <w:r w:rsidRPr="00A806A7">
        <w:rPr>
          <w:rFonts w:ascii="Arial" w:hAnsi="Arial" w:cs="Arial"/>
          <w:sz w:val="20"/>
          <w:szCs w:val="20"/>
          <w:lang w:eastAsia="ko-KR"/>
        </w:rPr>
        <w:t>résultait directement, d</w:t>
      </w:r>
      <w:r w:rsidR="00FA22F6" w:rsidRPr="00A806A7">
        <w:rPr>
          <w:rFonts w:ascii="Arial" w:hAnsi="Arial" w:cs="Arial"/>
          <w:sz w:val="20"/>
          <w:szCs w:val="20"/>
          <w:lang w:eastAsia="ko-KR"/>
        </w:rPr>
        <w:t>’</w:t>
      </w:r>
      <w:r w:rsidRPr="00A806A7">
        <w:rPr>
          <w:rFonts w:ascii="Arial" w:hAnsi="Arial" w:cs="Arial"/>
          <w:sz w:val="20"/>
          <w:szCs w:val="20"/>
          <w:lang w:eastAsia="ko-KR"/>
        </w:rPr>
        <w:t>une part, du reclassement de trois</w:t>
      </w:r>
      <w:r w:rsidR="004D421A" w:rsidRPr="00A806A7">
        <w:rPr>
          <w:rFonts w:ascii="Arial" w:hAnsi="Arial" w:cs="Arial"/>
          <w:sz w:val="20"/>
          <w:szCs w:val="20"/>
          <w:lang w:eastAsia="ko-KR"/>
        </w:rPr>
        <w:t> </w:t>
      </w:r>
      <w:r w:rsidRPr="00A806A7">
        <w:rPr>
          <w:rFonts w:ascii="Arial" w:hAnsi="Arial" w:cs="Arial"/>
          <w:sz w:val="20"/>
          <w:szCs w:val="20"/>
          <w:lang w:eastAsia="ko-KR"/>
        </w:rPr>
        <w:t>postes et, d</w:t>
      </w:r>
      <w:r w:rsidR="00FA22F6" w:rsidRPr="00A806A7">
        <w:rPr>
          <w:rFonts w:ascii="Arial" w:hAnsi="Arial" w:cs="Arial"/>
          <w:sz w:val="20"/>
          <w:szCs w:val="20"/>
          <w:lang w:eastAsia="ko-KR"/>
        </w:rPr>
        <w:t>’</w:t>
      </w:r>
      <w:r w:rsidRPr="00A806A7">
        <w:rPr>
          <w:rFonts w:ascii="Arial" w:hAnsi="Arial" w:cs="Arial"/>
          <w:sz w:val="20"/>
          <w:szCs w:val="20"/>
          <w:lang w:eastAsia="ko-KR"/>
        </w:rPr>
        <w:t>autre part, du transfert</w:t>
      </w:r>
      <w:r w:rsidR="00A70BEE" w:rsidRPr="00A806A7">
        <w:rPr>
          <w:rFonts w:ascii="Arial" w:hAnsi="Arial" w:cs="Arial"/>
          <w:sz w:val="20"/>
          <w:szCs w:val="20"/>
          <w:lang w:eastAsia="ko-KR"/>
        </w:rPr>
        <w:t>, depuis le service de solutions opérationnelles pour les offices de propriété intellectuelle (programme</w:t>
      </w:r>
      <w:r w:rsidR="00B4191E" w:rsidRPr="00A806A7">
        <w:rPr>
          <w:rFonts w:ascii="Arial" w:hAnsi="Arial" w:cs="Arial"/>
          <w:sz w:val="20"/>
          <w:szCs w:val="20"/>
          <w:lang w:eastAsia="ko-KR"/>
        </w:rPr>
        <w:t> </w:t>
      </w:r>
      <w:r w:rsidR="00A70BEE" w:rsidRPr="00A806A7">
        <w:rPr>
          <w:rFonts w:ascii="Arial" w:hAnsi="Arial" w:cs="Arial"/>
          <w:sz w:val="20"/>
          <w:szCs w:val="20"/>
          <w:lang w:eastAsia="ko-KR"/>
        </w:rPr>
        <w:t xml:space="preserve">15), vers le </w:t>
      </w:r>
      <w:r w:rsidRPr="00A806A7">
        <w:rPr>
          <w:rFonts w:ascii="Arial" w:hAnsi="Arial" w:cs="Arial"/>
          <w:sz w:val="20"/>
          <w:szCs w:val="20"/>
          <w:lang w:eastAsia="ko-KR"/>
        </w:rPr>
        <w:t>Bureau de l</w:t>
      </w:r>
      <w:r w:rsidR="00FA22F6" w:rsidRPr="00A806A7">
        <w:rPr>
          <w:rFonts w:ascii="Arial" w:hAnsi="Arial" w:cs="Arial"/>
          <w:sz w:val="20"/>
          <w:szCs w:val="20"/>
          <w:lang w:eastAsia="ko-KR"/>
        </w:rPr>
        <w:t>’</w:t>
      </w:r>
      <w:r w:rsidRPr="00A806A7">
        <w:rPr>
          <w:rFonts w:ascii="Arial" w:hAnsi="Arial" w:cs="Arial"/>
          <w:sz w:val="20"/>
          <w:szCs w:val="20"/>
          <w:lang w:eastAsia="ko-KR"/>
        </w:rPr>
        <w:t xml:space="preserve">OMPI à Singapour </w:t>
      </w:r>
      <w:r w:rsidR="00705B22" w:rsidRPr="00A806A7">
        <w:rPr>
          <w:rFonts w:ascii="Arial" w:hAnsi="Arial" w:cs="Arial"/>
          <w:sz w:val="20"/>
          <w:szCs w:val="20"/>
          <w:lang w:eastAsia="ko-KR"/>
        </w:rPr>
        <w:t>(p</w:t>
      </w:r>
      <w:r w:rsidRPr="00A806A7">
        <w:rPr>
          <w:rFonts w:ascii="Arial" w:hAnsi="Arial" w:cs="Arial"/>
          <w:sz w:val="20"/>
          <w:szCs w:val="20"/>
          <w:lang w:eastAsia="ko-KR"/>
        </w:rPr>
        <w:t>rogramme</w:t>
      </w:r>
      <w:r w:rsidR="00B4191E" w:rsidRPr="00A806A7">
        <w:rPr>
          <w:rFonts w:ascii="Arial" w:hAnsi="Arial" w:cs="Arial"/>
          <w:sz w:val="20"/>
          <w:szCs w:val="20"/>
          <w:lang w:eastAsia="ko-KR"/>
        </w:rPr>
        <w:t> </w:t>
      </w:r>
      <w:r w:rsidRPr="00A806A7">
        <w:rPr>
          <w:rFonts w:ascii="Arial" w:hAnsi="Arial" w:cs="Arial"/>
          <w:sz w:val="20"/>
          <w:szCs w:val="20"/>
          <w:lang w:eastAsia="ko-KR"/>
        </w:rPr>
        <w:t>20)</w:t>
      </w:r>
      <w:r w:rsidR="00A70BEE" w:rsidRPr="00A806A7">
        <w:rPr>
          <w:rFonts w:ascii="Arial" w:hAnsi="Arial" w:cs="Arial"/>
          <w:sz w:val="20"/>
          <w:szCs w:val="20"/>
          <w:lang w:eastAsia="ko-KR"/>
        </w:rPr>
        <w:t>, d</w:t>
      </w:r>
      <w:r w:rsidR="00FA22F6" w:rsidRPr="00A806A7">
        <w:rPr>
          <w:rFonts w:ascii="Arial" w:hAnsi="Arial" w:cs="Arial"/>
          <w:sz w:val="20"/>
          <w:szCs w:val="20"/>
          <w:lang w:eastAsia="ko-KR"/>
        </w:rPr>
        <w:t>’</w:t>
      </w:r>
      <w:r w:rsidR="00A70BEE" w:rsidRPr="00A806A7">
        <w:rPr>
          <w:rFonts w:ascii="Arial" w:hAnsi="Arial" w:cs="Arial"/>
          <w:sz w:val="20"/>
          <w:szCs w:val="20"/>
          <w:lang w:eastAsia="ko-KR"/>
        </w:rPr>
        <w:t xml:space="preserve">un poste </w:t>
      </w:r>
      <w:r w:rsidRPr="00A806A7">
        <w:rPr>
          <w:rFonts w:ascii="Arial" w:hAnsi="Arial" w:cs="Arial"/>
          <w:sz w:val="20"/>
          <w:szCs w:val="20"/>
          <w:lang w:eastAsia="ko-KR"/>
        </w:rPr>
        <w:t xml:space="preserve">pour renforcer </w:t>
      </w:r>
      <w:r w:rsidR="00705B22" w:rsidRPr="00A806A7">
        <w:rPr>
          <w:rFonts w:ascii="Arial" w:hAnsi="Arial" w:cs="Arial"/>
          <w:sz w:val="20"/>
          <w:szCs w:val="20"/>
          <w:lang w:eastAsia="ko-KR"/>
        </w:rPr>
        <w:t>l</w:t>
      </w:r>
      <w:r w:rsidR="00FA22F6" w:rsidRPr="00A806A7">
        <w:rPr>
          <w:rFonts w:ascii="Arial" w:hAnsi="Arial" w:cs="Arial"/>
          <w:sz w:val="20"/>
          <w:szCs w:val="20"/>
          <w:lang w:eastAsia="ko-KR"/>
        </w:rPr>
        <w:t>’</w:t>
      </w:r>
      <w:r w:rsidR="00705B22" w:rsidRPr="00A806A7">
        <w:rPr>
          <w:rFonts w:ascii="Arial" w:hAnsi="Arial" w:cs="Arial"/>
          <w:sz w:val="20"/>
          <w:szCs w:val="20"/>
          <w:lang w:eastAsia="ko-KR"/>
        </w:rPr>
        <w:t>assistance en matière d</w:t>
      </w:r>
      <w:r w:rsidR="00FA22F6" w:rsidRPr="00A806A7">
        <w:rPr>
          <w:rFonts w:ascii="Arial" w:hAnsi="Arial" w:cs="Arial"/>
          <w:sz w:val="20"/>
          <w:szCs w:val="20"/>
          <w:lang w:eastAsia="ko-KR"/>
        </w:rPr>
        <w:t>’</w:t>
      </w:r>
      <w:r w:rsidR="00705B22" w:rsidRPr="00A806A7">
        <w:rPr>
          <w:rFonts w:ascii="Arial" w:hAnsi="Arial" w:cs="Arial"/>
          <w:sz w:val="20"/>
          <w:szCs w:val="20"/>
          <w:lang w:eastAsia="ko-KR"/>
        </w:rPr>
        <w:t xml:space="preserve">utilisation du système </w:t>
      </w:r>
      <w:r w:rsidRPr="00A806A7">
        <w:rPr>
          <w:rFonts w:ascii="Arial" w:hAnsi="Arial" w:cs="Arial"/>
          <w:sz w:val="20"/>
          <w:szCs w:val="20"/>
          <w:lang w:eastAsia="ko-KR"/>
        </w:rPr>
        <w:t>IPAS a</w:t>
      </w:r>
      <w:r w:rsidR="00705B22" w:rsidRPr="00A806A7">
        <w:rPr>
          <w:rFonts w:ascii="Arial" w:hAnsi="Arial" w:cs="Arial"/>
          <w:sz w:val="20"/>
          <w:szCs w:val="20"/>
          <w:lang w:eastAsia="ko-KR"/>
        </w:rPr>
        <w:t>pportée a</w:t>
      </w:r>
      <w:r w:rsidRPr="00A806A7">
        <w:rPr>
          <w:rFonts w:ascii="Arial" w:hAnsi="Arial" w:cs="Arial"/>
          <w:sz w:val="20"/>
          <w:szCs w:val="20"/>
          <w:lang w:eastAsia="ko-KR"/>
        </w:rPr>
        <w:t>ux offices nationaux de propriété intellectuelle dans la région.</w:t>
      </w:r>
    </w:p>
    <w:p w14:paraId="187D29E8" w14:textId="77777777" w:rsidR="001F64B1" w:rsidRPr="00A806A7" w:rsidRDefault="001F64B1" w:rsidP="0097226C">
      <w:pPr>
        <w:contextualSpacing/>
        <w:jc w:val="both"/>
        <w:rPr>
          <w:sz w:val="20"/>
        </w:rPr>
      </w:pPr>
    </w:p>
    <w:p w14:paraId="14BD6800" w14:textId="6ED1D767" w:rsidR="001F64B1" w:rsidRPr="00A806A7" w:rsidRDefault="00BE4A94" w:rsidP="00D544B8">
      <w:pPr>
        <w:pStyle w:val="ListParagraph"/>
        <w:numPr>
          <w:ilvl w:val="0"/>
          <w:numId w:val="19"/>
        </w:numPr>
        <w:ind w:left="0" w:firstLine="0"/>
        <w:jc w:val="both"/>
        <w:rPr>
          <w:rFonts w:ascii="Arial" w:eastAsia="Batang" w:hAnsi="Arial" w:cs="Arial"/>
          <w:sz w:val="20"/>
          <w:szCs w:val="20"/>
          <w:lang w:eastAsia="ko-KR"/>
        </w:rPr>
      </w:pPr>
      <w:r w:rsidRPr="00A806A7">
        <w:rPr>
          <w:rFonts w:ascii="Arial" w:hAnsi="Arial" w:cs="Arial"/>
          <w:sz w:val="20"/>
          <w:szCs w:val="20"/>
        </w:rPr>
        <w:t xml:space="preserve">Les ressources </w:t>
      </w:r>
      <w:r w:rsidR="00B746F8" w:rsidRPr="00A806A7">
        <w:rPr>
          <w:rFonts w:ascii="Arial" w:hAnsi="Arial" w:cs="Arial"/>
          <w:sz w:val="20"/>
          <w:szCs w:val="20"/>
        </w:rPr>
        <w:t xml:space="preserve">autres que pour le </w:t>
      </w:r>
      <w:r w:rsidRPr="00A806A7">
        <w:rPr>
          <w:rFonts w:ascii="Arial" w:hAnsi="Arial" w:cs="Arial"/>
          <w:sz w:val="20"/>
          <w:szCs w:val="20"/>
        </w:rPr>
        <w:t xml:space="preserve">personnel </w:t>
      </w:r>
      <w:r w:rsidR="00B746F8" w:rsidRPr="00A806A7">
        <w:rPr>
          <w:rFonts w:ascii="Arial" w:hAnsi="Arial" w:cs="Arial"/>
          <w:sz w:val="20"/>
          <w:szCs w:val="20"/>
        </w:rPr>
        <w:t>laiss</w:t>
      </w:r>
      <w:r w:rsidR="00A70BEE" w:rsidRPr="00A806A7">
        <w:rPr>
          <w:rFonts w:ascii="Arial" w:hAnsi="Arial" w:cs="Arial"/>
          <w:sz w:val="20"/>
          <w:szCs w:val="20"/>
        </w:rPr>
        <w:t>ai</w:t>
      </w:r>
      <w:r w:rsidR="00B746F8" w:rsidRPr="00A806A7">
        <w:rPr>
          <w:rFonts w:ascii="Arial" w:hAnsi="Arial" w:cs="Arial"/>
          <w:sz w:val="20"/>
          <w:szCs w:val="20"/>
        </w:rPr>
        <w:t xml:space="preserve">ent apparaître </w:t>
      </w:r>
      <w:r w:rsidRPr="00A806A7">
        <w:rPr>
          <w:rFonts w:ascii="Arial" w:hAnsi="Arial" w:cs="Arial"/>
          <w:sz w:val="20"/>
          <w:szCs w:val="20"/>
        </w:rPr>
        <w:t xml:space="preserve">un ajustement à la hausse </w:t>
      </w:r>
      <w:r w:rsidR="00B746F8" w:rsidRPr="00A806A7">
        <w:rPr>
          <w:rFonts w:ascii="Arial" w:hAnsi="Arial" w:cs="Arial"/>
          <w:sz w:val="20"/>
          <w:szCs w:val="20"/>
        </w:rPr>
        <w:t>dû</w:t>
      </w:r>
      <w:r w:rsidRPr="00A806A7">
        <w:rPr>
          <w:rFonts w:ascii="Arial" w:hAnsi="Arial" w:cs="Arial"/>
          <w:sz w:val="20"/>
          <w:szCs w:val="20"/>
        </w:rPr>
        <w:t xml:space="preserve"> </w:t>
      </w:r>
      <w:r w:rsidR="00B746F8" w:rsidRPr="00A806A7">
        <w:rPr>
          <w:rFonts w:ascii="Arial" w:hAnsi="Arial" w:cs="Arial"/>
          <w:sz w:val="20"/>
          <w:szCs w:val="20"/>
        </w:rPr>
        <w:t>a</w:t>
      </w:r>
      <w:r w:rsidRPr="00A806A7">
        <w:rPr>
          <w:rFonts w:ascii="Arial" w:hAnsi="Arial" w:cs="Arial"/>
          <w:sz w:val="20"/>
          <w:szCs w:val="20"/>
        </w:rPr>
        <w:t xml:space="preserve">u transfert de ressources supplémentaires pour </w:t>
      </w:r>
      <w:r w:rsidR="00A70BEE" w:rsidRPr="00A806A7">
        <w:rPr>
          <w:rFonts w:ascii="Arial" w:hAnsi="Arial" w:cs="Arial"/>
          <w:sz w:val="20"/>
          <w:szCs w:val="20"/>
        </w:rPr>
        <w:t>favoriser</w:t>
      </w:r>
      <w:r w:rsidR="00B746F8" w:rsidRPr="00A806A7">
        <w:rPr>
          <w:rFonts w:ascii="Arial" w:hAnsi="Arial" w:cs="Arial"/>
          <w:sz w:val="20"/>
          <w:szCs w:val="20"/>
        </w:rPr>
        <w:t xml:space="preserve"> </w:t>
      </w:r>
      <w:r w:rsidRPr="00A806A7">
        <w:rPr>
          <w:rFonts w:ascii="Arial" w:hAnsi="Arial" w:cs="Arial"/>
          <w:sz w:val="20"/>
          <w:szCs w:val="20"/>
        </w:rPr>
        <w:t>la création d</w:t>
      </w:r>
      <w:r w:rsidR="00FA22F6" w:rsidRPr="00A806A7">
        <w:rPr>
          <w:rFonts w:ascii="Arial" w:hAnsi="Arial" w:cs="Arial"/>
          <w:sz w:val="20"/>
          <w:szCs w:val="20"/>
        </w:rPr>
        <w:t>’</w:t>
      </w:r>
      <w:r w:rsidRPr="00A806A7">
        <w:rPr>
          <w:rFonts w:ascii="Arial" w:hAnsi="Arial" w:cs="Arial"/>
          <w:sz w:val="20"/>
          <w:szCs w:val="20"/>
        </w:rPr>
        <w:t xml:space="preserve">une base de données sur les familles de brevets et pour couvrir </w:t>
      </w:r>
      <w:r w:rsidR="00B746F8" w:rsidRPr="00A806A7">
        <w:rPr>
          <w:rFonts w:ascii="Arial" w:hAnsi="Arial" w:cs="Arial"/>
          <w:sz w:val="20"/>
          <w:szCs w:val="20"/>
        </w:rPr>
        <w:t>l</w:t>
      </w:r>
      <w:r w:rsidR="00FA22F6" w:rsidRPr="00A806A7">
        <w:rPr>
          <w:rFonts w:ascii="Arial" w:hAnsi="Arial" w:cs="Arial"/>
          <w:sz w:val="20"/>
          <w:szCs w:val="20"/>
        </w:rPr>
        <w:t>’</w:t>
      </w:r>
      <w:r w:rsidR="00B746F8" w:rsidRPr="00A806A7">
        <w:rPr>
          <w:rFonts w:ascii="Arial" w:hAnsi="Arial" w:cs="Arial"/>
          <w:sz w:val="20"/>
          <w:szCs w:val="20"/>
        </w:rPr>
        <w:t xml:space="preserve">augmentation des </w:t>
      </w:r>
      <w:r w:rsidRPr="00A806A7">
        <w:rPr>
          <w:rFonts w:ascii="Arial" w:hAnsi="Arial" w:cs="Arial"/>
          <w:sz w:val="20"/>
          <w:szCs w:val="20"/>
        </w:rPr>
        <w:t xml:space="preserve">coûts </w:t>
      </w:r>
      <w:r w:rsidR="00B746F8" w:rsidRPr="00A806A7">
        <w:rPr>
          <w:rFonts w:ascii="Arial" w:hAnsi="Arial" w:cs="Arial"/>
          <w:sz w:val="20"/>
          <w:szCs w:val="20"/>
        </w:rPr>
        <w:t>d</w:t>
      </w:r>
      <w:r w:rsidR="00FA22F6" w:rsidRPr="00A806A7">
        <w:rPr>
          <w:rFonts w:ascii="Arial" w:hAnsi="Arial" w:cs="Arial"/>
          <w:sz w:val="20"/>
          <w:szCs w:val="20"/>
        </w:rPr>
        <w:t>’</w:t>
      </w:r>
      <w:r w:rsidR="00B746F8" w:rsidRPr="00A806A7">
        <w:rPr>
          <w:rFonts w:ascii="Arial" w:hAnsi="Arial" w:cs="Arial"/>
          <w:sz w:val="20"/>
          <w:szCs w:val="20"/>
        </w:rPr>
        <w:t>exploitation de</w:t>
      </w:r>
      <w:r w:rsidRPr="00A806A7">
        <w:rPr>
          <w:rFonts w:ascii="Arial" w:hAnsi="Arial" w:cs="Arial"/>
          <w:sz w:val="20"/>
          <w:szCs w:val="20"/>
        </w:rPr>
        <w:t xml:space="preserve"> WIPO </w:t>
      </w:r>
      <w:proofErr w:type="spellStart"/>
      <w:r w:rsidRPr="00A806A7">
        <w:rPr>
          <w:rFonts w:ascii="Arial" w:hAnsi="Arial" w:cs="Arial"/>
          <w:sz w:val="20"/>
          <w:szCs w:val="20"/>
        </w:rPr>
        <w:t>Conne</w:t>
      </w:r>
      <w:r w:rsidR="004A4D21" w:rsidRPr="00A806A7">
        <w:rPr>
          <w:rFonts w:ascii="Arial" w:hAnsi="Arial" w:cs="Arial"/>
          <w:sz w:val="20"/>
          <w:szCs w:val="20"/>
        </w:rPr>
        <w:t>ct</w:t>
      </w:r>
      <w:proofErr w:type="spellEnd"/>
      <w:r w:rsidR="004A4D21" w:rsidRPr="00A806A7">
        <w:rPr>
          <w:rFonts w:ascii="Arial" w:hAnsi="Arial" w:cs="Arial"/>
          <w:sz w:val="20"/>
          <w:szCs w:val="20"/>
        </w:rPr>
        <w:t>.  En</w:t>
      </w:r>
      <w:r w:rsidRPr="00A806A7">
        <w:rPr>
          <w:rFonts w:ascii="Arial" w:hAnsi="Arial" w:cs="Arial"/>
          <w:sz w:val="20"/>
          <w:szCs w:val="20"/>
        </w:rPr>
        <w:t xml:space="preserve"> outre, </w:t>
      </w:r>
      <w:r w:rsidR="00B746F8" w:rsidRPr="00A806A7">
        <w:rPr>
          <w:rFonts w:ascii="Arial" w:hAnsi="Arial" w:cs="Arial"/>
          <w:sz w:val="20"/>
          <w:szCs w:val="20"/>
        </w:rPr>
        <w:t xml:space="preserve">il </w:t>
      </w:r>
      <w:r w:rsidR="00A70BEE" w:rsidRPr="00A806A7">
        <w:rPr>
          <w:rFonts w:ascii="Arial" w:hAnsi="Arial" w:cs="Arial"/>
          <w:sz w:val="20"/>
          <w:szCs w:val="20"/>
        </w:rPr>
        <w:t>a été observé</w:t>
      </w:r>
      <w:r w:rsidR="00485DA1" w:rsidRPr="00A806A7">
        <w:rPr>
          <w:rFonts w:ascii="Arial" w:hAnsi="Arial" w:cs="Arial"/>
          <w:sz w:val="20"/>
          <w:szCs w:val="20"/>
        </w:rPr>
        <w:t>,</w:t>
      </w:r>
      <w:r w:rsidR="00A70BEE" w:rsidRPr="00A806A7">
        <w:rPr>
          <w:rFonts w:ascii="Arial" w:hAnsi="Arial" w:cs="Arial"/>
          <w:sz w:val="20"/>
          <w:szCs w:val="20"/>
        </w:rPr>
        <w:t xml:space="preserve"> </w:t>
      </w:r>
      <w:r w:rsidR="00485DA1" w:rsidRPr="00A806A7">
        <w:rPr>
          <w:rFonts w:ascii="Arial" w:hAnsi="Arial" w:cs="Arial"/>
          <w:sz w:val="20"/>
          <w:szCs w:val="20"/>
        </w:rPr>
        <w:t>au sein</w:t>
      </w:r>
      <w:r w:rsidR="00344E4B" w:rsidRPr="00A806A7">
        <w:rPr>
          <w:rFonts w:ascii="Arial" w:hAnsi="Arial" w:cs="Arial"/>
          <w:sz w:val="20"/>
          <w:szCs w:val="20"/>
        </w:rPr>
        <w:t xml:space="preserve"> même du </w:t>
      </w:r>
      <w:r w:rsidRPr="00A806A7">
        <w:rPr>
          <w:rFonts w:ascii="Arial" w:hAnsi="Arial" w:cs="Arial"/>
          <w:sz w:val="20"/>
          <w:szCs w:val="20"/>
        </w:rPr>
        <w:t>programme</w:t>
      </w:r>
      <w:r w:rsidR="00485DA1" w:rsidRPr="00A806A7">
        <w:rPr>
          <w:rFonts w:ascii="Arial" w:hAnsi="Arial" w:cs="Arial"/>
          <w:sz w:val="20"/>
          <w:szCs w:val="20"/>
        </w:rPr>
        <w:t xml:space="preserve">, une réorientation des </w:t>
      </w:r>
      <w:r w:rsidR="00B746F8" w:rsidRPr="00A806A7">
        <w:rPr>
          <w:rFonts w:ascii="Arial" w:hAnsi="Arial" w:cs="Arial"/>
          <w:sz w:val="20"/>
          <w:szCs w:val="20"/>
        </w:rPr>
        <w:t>ressources e</w:t>
      </w:r>
      <w:r w:rsidR="00381826" w:rsidRPr="00A806A7">
        <w:rPr>
          <w:rFonts w:ascii="Arial" w:hAnsi="Arial" w:cs="Arial"/>
          <w:sz w:val="20"/>
          <w:szCs w:val="20"/>
        </w:rPr>
        <w:t>n</w:t>
      </w:r>
      <w:r w:rsidR="00B746F8" w:rsidRPr="00A806A7">
        <w:rPr>
          <w:rFonts w:ascii="Arial" w:hAnsi="Arial" w:cs="Arial"/>
          <w:sz w:val="20"/>
          <w:szCs w:val="20"/>
        </w:rPr>
        <w:t xml:space="preserve"> personnel </w:t>
      </w:r>
      <w:r w:rsidR="00485DA1" w:rsidRPr="00A806A7">
        <w:rPr>
          <w:rFonts w:ascii="Arial" w:hAnsi="Arial" w:cs="Arial"/>
          <w:sz w:val="20"/>
          <w:szCs w:val="20"/>
        </w:rPr>
        <w:t>vers les</w:t>
      </w:r>
      <w:r w:rsidR="00344E4B" w:rsidRPr="00A806A7">
        <w:rPr>
          <w:rFonts w:ascii="Arial" w:hAnsi="Arial" w:cs="Arial"/>
          <w:sz w:val="20"/>
          <w:szCs w:val="20"/>
        </w:rPr>
        <w:t xml:space="preserve"> ressources autres que pour le personnel en vue d</w:t>
      </w:r>
      <w:r w:rsidR="00FA22F6" w:rsidRPr="00A806A7">
        <w:rPr>
          <w:rFonts w:ascii="Arial" w:hAnsi="Arial" w:cs="Arial"/>
          <w:sz w:val="20"/>
          <w:szCs w:val="20"/>
        </w:rPr>
        <w:t>’</w:t>
      </w:r>
      <w:r w:rsidR="00344E4B" w:rsidRPr="00A806A7">
        <w:rPr>
          <w:rFonts w:ascii="Arial" w:hAnsi="Arial" w:cs="Arial"/>
          <w:sz w:val="20"/>
          <w:szCs w:val="20"/>
        </w:rPr>
        <w:t xml:space="preserve">aider à la </w:t>
      </w:r>
      <w:r w:rsidRPr="00A806A7">
        <w:rPr>
          <w:rFonts w:ascii="Arial" w:hAnsi="Arial" w:cs="Arial"/>
          <w:sz w:val="20"/>
          <w:szCs w:val="20"/>
        </w:rPr>
        <w:t>création d</w:t>
      </w:r>
      <w:r w:rsidR="00FA22F6" w:rsidRPr="00A806A7">
        <w:rPr>
          <w:rFonts w:ascii="Arial" w:hAnsi="Arial" w:cs="Arial"/>
          <w:sz w:val="20"/>
          <w:szCs w:val="20"/>
        </w:rPr>
        <w:t>’</w:t>
      </w:r>
      <w:r w:rsidRPr="00A806A7">
        <w:rPr>
          <w:rFonts w:ascii="Arial" w:hAnsi="Arial" w:cs="Arial"/>
          <w:sz w:val="20"/>
          <w:szCs w:val="20"/>
        </w:rPr>
        <w:t>un programme pilote de bourses.</w:t>
      </w:r>
    </w:p>
    <w:p w14:paraId="414B7CC0" w14:textId="77777777" w:rsidR="001F64B1" w:rsidRPr="00A806A7" w:rsidRDefault="001F64B1" w:rsidP="0097226C">
      <w:pPr>
        <w:contextualSpacing/>
        <w:jc w:val="both"/>
        <w:rPr>
          <w:sz w:val="20"/>
        </w:rPr>
      </w:pPr>
    </w:p>
    <w:p w14:paraId="07FDA6CC" w14:textId="7F5D5823" w:rsidR="001F64B1" w:rsidRPr="00A806A7" w:rsidRDefault="00BA5EA9" w:rsidP="0097226C">
      <w:pPr>
        <w:rPr>
          <w:sz w:val="20"/>
          <w:u w:val="single"/>
        </w:rPr>
      </w:pPr>
      <w:r w:rsidRPr="00A806A7">
        <w:rPr>
          <w:sz w:val="20"/>
        </w:rPr>
        <w:t>B.</w:t>
      </w:r>
      <w:r w:rsidRPr="00A806A7">
        <w:rPr>
          <w:sz w:val="20"/>
        </w:rPr>
        <w:tab/>
      </w:r>
      <w:r w:rsidR="00F3341E" w:rsidRPr="00A806A7">
        <w:rPr>
          <w:sz w:val="20"/>
          <w:u w:val="single"/>
        </w:rPr>
        <w:t>Utilisation du budget</w:t>
      </w:r>
      <w:r w:rsidR="00B4191E" w:rsidRPr="00A806A7">
        <w:rPr>
          <w:sz w:val="20"/>
          <w:u w:val="single"/>
        </w:rPr>
        <w:t> </w:t>
      </w:r>
      <w:r w:rsidR="00F3341E" w:rsidRPr="00A806A7">
        <w:rPr>
          <w:sz w:val="20"/>
          <w:u w:val="single"/>
        </w:rPr>
        <w:t>2016</w:t>
      </w:r>
      <w:r w:rsidR="006A41CF" w:rsidRPr="00A806A7">
        <w:rPr>
          <w:sz w:val="20"/>
          <w:u w:val="single"/>
        </w:rPr>
        <w:noBreakHyphen/>
      </w:r>
      <w:r w:rsidR="00F3341E" w:rsidRPr="00A806A7">
        <w:rPr>
          <w:sz w:val="20"/>
          <w:u w:val="single"/>
        </w:rPr>
        <w:t>2017</w:t>
      </w:r>
    </w:p>
    <w:p w14:paraId="28F499CE" w14:textId="77777777" w:rsidR="001F64B1" w:rsidRPr="001E6DFD" w:rsidRDefault="001F64B1" w:rsidP="0097226C">
      <w:pPr>
        <w:jc w:val="both"/>
        <w:rPr>
          <w:sz w:val="20"/>
          <w:u w:val="single"/>
          <w:lang w:eastAsia="ko-KR"/>
        </w:rPr>
      </w:pPr>
    </w:p>
    <w:p w14:paraId="4ABD486E" w14:textId="0ED1FD59" w:rsidR="001F64B1" w:rsidRPr="001E6DFD" w:rsidRDefault="00EC540A" w:rsidP="00D544B8">
      <w:pPr>
        <w:pStyle w:val="ListParagraph"/>
        <w:numPr>
          <w:ilvl w:val="0"/>
          <w:numId w:val="19"/>
        </w:numPr>
        <w:ind w:left="0" w:firstLine="0"/>
        <w:jc w:val="both"/>
        <w:rPr>
          <w:rFonts w:ascii="Arial" w:hAnsi="Arial" w:cs="Arial"/>
          <w:sz w:val="20"/>
          <w:szCs w:val="20"/>
          <w:lang w:eastAsia="ko-KR"/>
        </w:rPr>
      </w:pPr>
      <w:r w:rsidRPr="001E6DFD">
        <w:rPr>
          <w:rFonts w:ascii="Arial" w:hAnsi="Arial" w:cs="Arial"/>
          <w:sz w:val="20"/>
          <w:szCs w:val="20"/>
          <w:lang w:eastAsia="ko-KR"/>
        </w:rPr>
        <w:t>L</w:t>
      </w:r>
      <w:r w:rsidR="00FA22F6" w:rsidRPr="001E6DFD">
        <w:rPr>
          <w:rFonts w:ascii="Arial" w:hAnsi="Arial" w:cs="Arial"/>
          <w:sz w:val="20"/>
          <w:szCs w:val="20"/>
          <w:lang w:eastAsia="ko-KR"/>
        </w:rPr>
        <w:t>’</w:t>
      </w:r>
      <w:r w:rsidRPr="001E6DFD">
        <w:rPr>
          <w:rFonts w:ascii="Arial" w:hAnsi="Arial" w:cs="Arial"/>
          <w:sz w:val="20"/>
          <w:szCs w:val="20"/>
          <w:lang w:eastAsia="ko-KR"/>
        </w:rPr>
        <w:t>utilisation du budget se situait dans la fourchette prévue des 40 à 60% pour la première année de l</w:t>
      </w:r>
      <w:r w:rsidR="00FA22F6" w:rsidRPr="001E6DFD">
        <w:rPr>
          <w:rFonts w:ascii="Arial" w:hAnsi="Arial" w:cs="Arial"/>
          <w:sz w:val="20"/>
          <w:szCs w:val="20"/>
          <w:lang w:eastAsia="ko-KR"/>
        </w:rPr>
        <w:t>’</w:t>
      </w:r>
      <w:r w:rsidRPr="001E6DFD">
        <w:rPr>
          <w:rFonts w:ascii="Arial" w:hAnsi="Arial" w:cs="Arial"/>
          <w:sz w:val="20"/>
          <w:szCs w:val="20"/>
          <w:lang w:eastAsia="ko-KR"/>
        </w:rPr>
        <w:t>exercice biennal.</w:t>
      </w:r>
    </w:p>
    <w:p w14:paraId="5A908092" w14:textId="77777777" w:rsidR="001F64B1" w:rsidRPr="001E6DFD" w:rsidRDefault="001F64B1" w:rsidP="0097226C">
      <w:pPr>
        <w:rPr>
          <w:sz w:val="20"/>
        </w:rPr>
      </w:pPr>
    </w:p>
    <w:p w14:paraId="74A14E5B" w14:textId="77777777" w:rsidR="00980A1C" w:rsidRPr="001E6DFD" w:rsidRDefault="00980A1C" w:rsidP="0097226C">
      <w:pPr>
        <w:rPr>
          <w:rFonts w:eastAsia="SimSun"/>
          <w:b/>
          <w:iCs/>
          <w:caps/>
          <w:szCs w:val="22"/>
          <w:lang w:eastAsia="zh-CN"/>
        </w:rPr>
      </w:pPr>
      <w:r w:rsidRPr="001E6DFD">
        <w:rPr>
          <w:rFonts w:eastAsia="SimSun"/>
          <w:b/>
          <w:iCs/>
          <w:caps/>
          <w:szCs w:val="22"/>
          <w:lang w:eastAsia="zh-CN"/>
        </w:rPr>
        <w:br w:type="page"/>
      </w:r>
    </w:p>
    <w:p w14:paraId="45E55C9D" w14:textId="2BB9DD89" w:rsidR="00394CA8" w:rsidRPr="00394CA8" w:rsidRDefault="009761D3" w:rsidP="009761D3">
      <w:pPr>
        <w:pStyle w:val="Heading2"/>
      </w:pPr>
      <w:bookmarkStart w:id="54" w:name="_Toc482774610"/>
      <w:bookmarkStart w:id="55" w:name="_Toc422210500"/>
      <w:bookmarkStart w:id="56" w:name="_Toc367350592"/>
      <w:r>
        <w:lastRenderedPageBreak/>
        <w:t>Objectif stratégique V</w:t>
      </w:r>
      <w:bookmarkEnd w:id="54"/>
    </w:p>
    <w:p w14:paraId="0B1EC2EA" w14:textId="77777777" w:rsidR="00394CA8" w:rsidRPr="00A859F2" w:rsidRDefault="00394CA8" w:rsidP="00394CA8">
      <w:pPr>
        <w:jc w:val="center"/>
        <w:rPr>
          <w:b/>
          <w:sz w:val="20"/>
        </w:rPr>
      </w:pPr>
    </w:p>
    <w:p w14:paraId="36283040" w14:textId="77777777" w:rsidR="00394CA8" w:rsidRPr="00A859F2" w:rsidRDefault="00394CA8" w:rsidP="00394CA8">
      <w:pPr>
        <w:jc w:val="center"/>
        <w:rPr>
          <w:rFonts w:ascii="Arial Bold" w:hAnsi="Arial Bold"/>
          <w:b/>
          <w:caps/>
          <w:sz w:val="20"/>
        </w:rPr>
      </w:pPr>
      <w:r w:rsidRPr="00A859F2">
        <w:rPr>
          <w:rFonts w:ascii="Arial Bold" w:hAnsi="Arial Bold"/>
          <w:b/>
          <w:caps/>
          <w:sz w:val="20"/>
        </w:rPr>
        <w:t>source de références mondiale pour l’information et l’analyse en matière de propriété intellectuelle</w:t>
      </w:r>
    </w:p>
    <w:p w14:paraId="3ECFC54B" w14:textId="77777777" w:rsidR="00394CA8" w:rsidRPr="00A859F2" w:rsidRDefault="00394CA8" w:rsidP="00394CA8">
      <w:pPr>
        <w:rPr>
          <w:rFonts w:ascii="Arial Bold" w:hAnsi="Arial Bold"/>
          <w:caps/>
          <w:sz w:val="20"/>
        </w:rPr>
      </w:pPr>
    </w:p>
    <w:p w14:paraId="43D09102" w14:textId="77777777" w:rsidR="00394CA8" w:rsidRPr="00A859F2" w:rsidRDefault="00394CA8" w:rsidP="00394CA8">
      <w:pPr>
        <w:jc w:val="center"/>
        <w:rPr>
          <w:b/>
          <w:sz w:val="20"/>
        </w:rPr>
      </w:pPr>
      <w:r w:rsidRPr="00A859F2">
        <w:rPr>
          <w:b/>
          <w:sz w:val="20"/>
        </w:rPr>
        <w:t>Tableau de bord de l’exécution du programme à mi</w:t>
      </w:r>
      <w:r>
        <w:rPr>
          <w:b/>
          <w:sz w:val="20"/>
        </w:rPr>
        <w:noBreakHyphen/>
      </w:r>
      <w:r w:rsidRPr="00A859F2">
        <w:rPr>
          <w:b/>
          <w:sz w:val="20"/>
        </w:rPr>
        <w:t>parcours (2016)</w:t>
      </w:r>
    </w:p>
    <w:p w14:paraId="3357CD7F" w14:textId="77777777" w:rsidR="00394CA8" w:rsidRPr="00A859F2" w:rsidRDefault="00394CA8" w:rsidP="00394CA8">
      <w:pPr>
        <w:jc w:val="both"/>
        <w:rPr>
          <w:sz w:val="20"/>
        </w:rPr>
      </w:pPr>
    </w:p>
    <w:p w14:paraId="4A735DD3" w14:textId="77777777" w:rsidR="00394CA8" w:rsidRPr="00A859F2" w:rsidRDefault="00394CA8" w:rsidP="00394CA8">
      <w:pPr>
        <w:jc w:val="both"/>
        <w:rPr>
          <w:sz w:val="20"/>
        </w:rPr>
      </w:pPr>
      <w:r w:rsidRPr="00A859F2">
        <w:rPr>
          <w:sz w:val="20"/>
        </w:rPr>
        <w:t>Le tableau de bord ci</w:t>
      </w:r>
      <w:r>
        <w:rPr>
          <w:sz w:val="20"/>
        </w:rPr>
        <w:noBreakHyphen/>
      </w:r>
      <w:r w:rsidRPr="00A859F2">
        <w:rPr>
          <w:sz w:val="20"/>
        </w:rPr>
        <w:t>dessous présente un résumé de l’état d’avancement de la réalisation des résultats en 2016, telle que mesurée par les indicateurs au titre des programmes contribuant à cet objectif stratégique.</w:t>
      </w:r>
    </w:p>
    <w:p w14:paraId="46E33594" w14:textId="77777777" w:rsidR="00394CA8" w:rsidRPr="00A859F2" w:rsidRDefault="00394CA8" w:rsidP="00394CA8">
      <w:pPr>
        <w:jc w:val="center"/>
      </w:pPr>
      <w:r w:rsidRPr="0074225E">
        <w:rPr>
          <w:noProof/>
          <w:lang w:val="en-US"/>
        </w:rPr>
        <w:drawing>
          <wp:inline distT="0" distB="0" distL="0" distR="0" wp14:anchorId="5A405C52" wp14:editId="7222A056">
            <wp:extent cx="3693600" cy="242457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93600" cy="2424575"/>
                    </a:xfrm>
                    <a:prstGeom prst="rect">
                      <a:avLst/>
                    </a:prstGeom>
                    <a:noFill/>
                    <a:ln>
                      <a:noFill/>
                    </a:ln>
                  </pic:spPr>
                </pic:pic>
              </a:graphicData>
            </a:graphic>
          </wp:inline>
        </w:drawing>
      </w:r>
    </w:p>
    <w:tbl>
      <w:tblPr>
        <w:tblW w:w="9455" w:type="dxa"/>
        <w:tblInd w:w="108" w:type="dxa"/>
        <w:tblLayout w:type="fixed"/>
        <w:tblCellMar>
          <w:left w:w="115" w:type="dxa"/>
          <w:right w:w="115" w:type="dxa"/>
        </w:tblCellMar>
        <w:tblLook w:val="0000" w:firstRow="0" w:lastRow="0" w:firstColumn="0" w:lastColumn="0" w:noHBand="0" w:noVBand="0"/>
      </w:tblPr>
      <w:tblGrid>
        <w:gridCol w:w="8"/>
        <w:gridCol w:w="2721"/>
        <w:gridCol w:w="3856"/>
        <w:gridCol w:w="1588"/>
        <w:gridCol w:w="1282"/>
      </w:tblGrid>
      <w:tr w:rsidR="00394CA8" w:rsidRPr="00A859F2" w14:paraId="6BF89087" w14:textId="77777777" w:rsidTr="00394CA8">
        <w:trPr>
          <w:trHeight w:val="818"/>
          <w:tblHeader/>
        </w:trPr>
        <w:tc>
          <w:tcPr>
            <w:tcW w:w="1443" w:type="pct"/>
            <w:gridSpan w:val="2"/>
            <w:shd w:val="clear" w:color="auto" w:fill="B8CCE4" w:themeFill="accent1" w:themeFillTint="66"/>
            <w:tcMar>
              <w:top w:w="113" w:type="dxa"/>
              <w:bottom w:w="113" w:type="dxa"/>
            </w:tcMar>
            <w:vAlign w:val="center"/>
          </w:tcPr>
          <w:p w14:paraId="158B4503" w14:textId="77777777" w:rsidR="00394CA8" w:rsidRPr="00A859F2" w:rsidRDefault="00394CA8" w:rsidP="00394CA8">
            <w:pPr>
              <w:rPr>
                <w:b/>
                <w:bCs/>
                <w:sz w:val="18"/>
                <w:szCs w:val="18"/>
              </w:rPr>
            </w:pPr>
            <w:r w:rsidRPr="00A859F2">
              <w:rPr>
                <w:b/>
                <w:bCs/>
                <w:sz w:val="18"/>
                <w:szCs w:val="18"/>
              </w:rPr>
              <w:t>Résultats escomptés</w:t>
            </w:r>
          </w:p>
        </w:tc>
        <w:tc>
          <w:tcPr>
            <w:tcW w:w="2039" w:type="pct"/>
            <w:shd w:val="clear" w:color="auto" w:fill="B8CCE4" w:themeFill="accent1" w:themeFillTint="66"/>
            <w:tcMar>
              <w:top w:w="113" w:type="dxa"/>
              <w:bottom w:w="113" w:type="dxa"/>
            </w:tcMar>
            <w:vAlign w:val="center"/>
          </w:tcPr>
          <w:p w14:paraId="1AE33A31" w14:textId="77777777" w:rsidR="00394CA8" w:rsidRPr="00A859F2" w:rsidRDefault="00394CA8" w:rsidP="00394CA8">
            <w:pPr>
              <w:rPr>
                <w:b/>
                <w:sz w:val="18"/>
                <w:szCs w:val="18"/>
              </w:rPr>
            </w:pPr>
            <w:r w:rsidRPr="00A859F2">
              <w:rPr>
                <w:b/>
                <w:sz w:val="18"/>
                <w:szCs w:val="18"/>
              </w:rPr>
              <w:t>Indicateurs d’exécution</w:t>
            </w:r>
          </w:p>
        </w:tc>
        <w:tc>
          <w:tcPr>
            <w:tcW w:w="840" w:type="pct"/>
            <w:shd w:val="clear" w:color="auto" w:fill="B8CCE4" w:themeFill="accent1" w:themeFillTint="66"/>
            <w:tcMar>
              <w:top w:w="113" w:type="dxa"/>
              <w:bottom w:w="113" w:type="dxa"/>
            </w:tcMar>
            <w:vAlign w:val="center"/>
          </w:tcPr>
          <w:p w14:paraId="1A3C22D3" w14:textId="77777777" w:rsidR="00394CA8" w:rsidRPr="00A859F2" w:rsidRDefault="00394CA8" w:rsidP="00394CA8">
            <w:pPr>
              <w:ind w:left="85"/>
              <w:jc w:val="center"/>
              <w:rPr>
                <w:sz w:val="18"/>
                <w:szCs w:val="18"/>
              </w:rPr>
            </w:pPr>
            <w:r w:rsidRPr="00A859F2">
              <w:rPr>
                <w:b/>
                <w:sz w:val="18"/>
                <w:szCs w:val="18"/>
              </w:rPr>
              <w:t>Programme(s)concerné(s)</w:t>
            </w:r>
          </w:p>
        </w:tc>
        <w:tc>
          <w:tcPr>
            <w:tcW w:w="678" w:type="pct"/>
            <w:shd w:val="clear" w:color="auto" w:fill="B8CCE4" w:themeFill="accent1" w:themeFillTint="66"/>
            <w:vAlign w:val="center"/>
          </w:tcPr>
          <w:p w14:paraId="1010B4E6" w14:textId="77777777" w:rsidR="00394CA8" w:rsidRPr="00A859F2" w:rsidRDefault="00394CA8" w:rsidP="00394CA8">
            <w:pPr>
              <w:ind w:left="85"/>
              <w:jc w:val="center"/>
              <w:rPr>
                <w:b/>
                <w:bCs/>
                <w:sz w:val="18"/>
                <w:szCs w:val="18"/>
              </w:rPr>
            </w:pPr>
            <w:r w:rsidRPr="00A859F2">
              <w:rPr>
                <w:b/>
                <w:bCs/>
                <w:sz w:val="18"/>
                <w:szCs w:val="18"/>
              </w:rPr>
              <w:t>Code de couleurs</w:t>
            </w:r>
          </w:p>
        </w:tc>
      </w:tr>
      <w:tr w:rsidR="00394CA8" w:rsidRPr="00A859F2" w14:paraId="42EF798A" w14:textId="77777777" w:rsidTr="00394CA8">
        <w:tblPrEx>
          <w:tblCellMar>
            <w:left w:w="108" w:type="dxa"/>
            <w:right w:w="108" w:type="dxa"/>
          </w:tblCellMar>
        </w:tblPrEx>
        <w:trPr>
          <w:gridBefore w:val="1"/>
          <w:wBefore w:w="4" w:type="pct"/>
          <w:cantSplit/>
          <w:trHeight w:val="249"/>
        </w:trPr>
        <w:tc>
          <w:tcPr>
            <w:tcW w:w="1439" w:type="pct"/>
            <w:vMerge w:val="restart"/>
            <w:shd w:val="clear" w:color="auto" w:fill="auto"/>
            <w:tcMar>
              <w:top w:w="113" w:type="dxa"/>
              <w:bottom w:w="85" w:type="dxa"/>
            </w:tcMar>
          </w:tcPr>
          <w:p w14:paraId="39CD74FE" w14:textId="77777777" w:rsidR="00394CA8" w:rsidRPr="00A859F2" w:rsidRDefault="00394CA8" w:rsidP="00394CA8">
            <w:pPr>
              <w:rPr>
                <w:sz w:val="16"/>
                <w:szCs w:val="16"/>
              </w:rPr>
            </w:pPr>
            <w:r w:rsidRPr="00A859F2">
              <w:rPr>
                <w:sz w:val="16"/>
                <w:szCs w:val="16"/>
              </w:rPr>
              <w:t>V.1 Utilisation élargie et améliorée de l’information statistique de l’OMPI relative à la propriété intellectuelle</w:t>
            </w:r>
          </w:p>
        </w:tc>
        <w:tc>
          <w:tcPr>
            <w:tcW w:w="2039" w:type="pct"/>
            <w:shd w:val="clear" w:color="auto" w:fill="auto"/>
            <w:tcMar>
              <w:top w:w="113" w:type="dxa"/>
              <w:bottom w:w="85" w:type="dxa"/>
            </w:tcMar>
          </w:tcPr>
          <w:p w14:paraId="1A0E07F9" w14:textId="77777777" w:rsidR="00394CA8" w:rsidRPr="00A859F2" w:rsidRDefault="00394CA8" w:rsidP="00394CA8">
            <w:pPr>
              <w:rPr>
                <w:sz w:val="16"/>
                <w:szCs w:val="16"/>
              </w:rPr>
            </w:pPr>
            <w:r w:rsidRPr="00A859F2">
              <w:rPr>
                <w:sz w:val="16"/>
                <w:szCs w:val="16"/>
              </w:rPr>
              <w:t>L’écart entre les prévisions de janvier et les chiffres réels concernant les demandes déposées par les systèmes du PCT, de Madrid et de La Haye s’inscrit dans la marche prévue.</w:t>
            </w:r>
          </w:p>
        </w:tc>
        <w:tc>
          <w:tcPr>
            <w:tcW w:w="840" w:type="pct"/>
            <w:shd w:val="clear" w:color="auto" w:fill="FFFFFF"/>
            <w:tcMar>
              <w:top w:w="113" w:type="dxa"/>
              <w:bottom w:w="85" w:type="dxa"/>
            </w:tcMar>
          </w:tcPr>
          <w:p w14:paraId="27548AD0"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16</w:t>
            </w:r>
          </w:p>
        </w:tc>
        <w:tc>
          <w:tcPr>
            <w:tcW w:w="678" w:type="pct"/>
            <w:shd w:val="clear" w:color="auto" w:fill="FFFFFF"/>
          </w:tcPr>
          <w:p w14:paraId="715E1F9B"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4A1D813E" w14:textId="77777777" w:rsidTr="00394CA8">
        <w:tblPrEx>
          <w:tblCellMar>
            <w:left w:w="108" w:type="dxa"/>
            <w:right w:w="108" w:type="dxa"/>
          </w:tblCellMar>
        </w:tblPrEx>
        <w:trPr>
          <w:gridBefore w:val="1"/>
          <w:wBefore w:w="4" w:type="pct"/>
          <w:cantSplit/>
          <w:trHeight w:val="203"/>
        </w:trPr>
        <w:tc>
          <w:tcPr>
            <w:tcW w:w="1439" w:type="pct"/>
            <w:vMerge/>
            <w:shd w:val="clear" w:color="auto" w:fill="auto"/>
            <w:tcMar>
              <w:top w:w="113" w:type="dxa"/>
              <w:bottom w:w="85" w:type="dxa"/>
            </w:tcMar>
          </w:tcPr>
          <w:p w14:paraId="7816831D" w14:textId="77777777" w:rsidR="00394CA8" w:rsidRPr="00A859F2" w:rsidRDefault="00394CA8" w:rsidP="00394CA8">
            <w:pPr>
              <w:rPr>
                <w:sz w:val="16"/>
                <w:szCs w:val="16"/>
              </w:rPr>
            </w:pPr>
          </w:p>
        </w:tc>
        <w:tc>
          <w:tcPr>
            <w:tcW w:w="2039" w:type="pct"/>
            <w:shd w:val="clear" w:color="auto" w:fill="auto"/>
            <w:tcMar>
              <w:top w:w="113" w:type="dxa"/>
              <w:bottom w:w="85" w:type="dxa"/>
            </w:tcMar>
          </w:tcPr>
          <w:p w14:paraId="12B0E387" w14:textId="77777777" w:rsidR="00394CA8" w:rsidRPr="00A859F2" w:rsidRDefault="00394CA8" w:rsidP="00394CA8">
            <w:pPr>
              <w:rPr>
                <w:sz w:val="16"/>
                <w:szCs w:val="16"/>
              </w:rPr>
            </w:pPr>
            <w:r w:rsidRPr="00A859F2">
              <w:rPr>
                <w:sz w:val="16"/>
                <w:szCs w:val="16"/>
              </w:rPr>
              <w:t>Nombre de téléchargements de rapports statistiques annuels dans les six mois suivant leur publication</w:t>
            </w:r>
          </w:p>
        </w:tc>
        <w:tc>
          <w:tcPr>
            <w:tcW w:w="840" w:type="pct"/>
            <w:shd w:val="clear" w:color="auto" w:fill="FFFFFF"/>
            <w:tcMar>
              <w:top w:w="113" w:type="dxa"/>
              <w:bottom w:w="85" w:type="dxa"/>
            </w:tcMar>
          </w:tcPr>
          <w:p w14:paraId="27156C6A"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16</w:t>
            </w:r>
          </w:p>
        </w:tc>
        <w:tc>
          <w:tcPr>
            <w:tcW w:w="678" w:type="pct"/>
            <w:shd w:val="clear" w:color="auto" w:fill="FFFFFF"/>
          </w:tcPr>
          <w:p w14:paraId="7BECE516" w14:textId="77777777" w:rsidR="00394CA8" w:rsidRPr="00A859F2" w:rsidRDefault="00394CA8" w:rsidP="00394CA8">
            <w:pPr>
              <w:jc w:val="center"/>
            </w:pPr>
            <w:r w:rsidRPr="00A859F2">
              <w:rPr>
                <w:color w:val="0070C0"/>
                <w:szCs w:val="22"/>
              </w:rPr>
              <w:sym w:font="Wingdings" w:char="F06C"/>
            </w:r>
          </w:p>
        </w:tc>
      </w:tr>
      <w:tr w:rsidR="00394CA8" w:rsidRPr="00A859F2" w14:paraId="38CB688F" w14:textId="77777777" w:rsidTr="00394CA8">
        <w:tblPrEx>
          <w:tblCellMar>
            <w:left w:w="108" w:type="dxa"/>
            <w:right w:w="108" w:type="dxa"/>
          </w:tblCellMar>
        </w:tblPrEx>
        <w:trPr>
          <w:gridBefore w:val="1"/>
          <w:wBefore w:w="4" w:type="pct"/>
          <w:cantSplit/>
          <w:trHeight w:val="20"/>
        </w:trPr>
        <w:tc>
          <w:tcPr>
            <w:tcW w:w="1439" w:type="pct"/>
            <w:vMerge/>
            <w:shd w:val="clear" w:color="auto" w:fill="auto"/>
            <w:tcMar>
              <w:top w:w="113" w:type="dxa"/>
              <w:bottom w:w="85" w:type="dxa"/>
            </w:tcMar>
          </w:tcPr>
          <w:p w14:paraId="68F3F1ED" w14:textId="77777777" w:rsidR="00394CA8" w:rsidRPr="00A859F2" w:rsidRDefault="00394CA8" w:rsidP="00394CA8">
            <w:pPr>
              <w:tabs>
                <w:tab w:val="right" w:pos="2835"/>
              </w:tabs>
              <w:spacing w:after="60"/>
              <w:rPr>
                <w:sz w:val="16"/>
                <w:szCs w:val="16"/>
              </w:rPr>
            </w:pPr>
          </w:p>
        </w:tc>
        <w:tc>
          <w:tcPr>
            <w:tcW w:w="2039" w:type="pct"/>
            <w:shd w:val="clear" w:color="auto" w:fill="auto"/>
            <w:tcMar>
              <w:top w:w="113" w:type="dxa"/>
              <w:bottom w:w="85" w:type="dxa"/>
            </w:tcMar>
          </w:tcPr>
          <w:p w14:paraId="7194F918" w14:textId="77777777" w:rsidR="00394CA8" w:rsidRPr="00A859F2" w:rsidRDefault="00394CA8" w:rsidP="00394CA8">
            <w:pPr>
              <w:rPr>
                <w:sz w:val="16"/>
                <w:szCs w:val="16"/>
              </w:rPr>
            </w:pPr>
            <w:r w:rsidRPr="00A859F2">
              <w:rPr>
                <w:sz w:val="16"/>
                <w:szCs w:val="16"/>
              </w:rPr>
              <w:t>Nombre de recherches effectuées via le Centre de données statistiques de propriété intellectuelle</w:t>
            </w:r>
          </w:p>
        </w:tc>
        <w:tc>
          <w:tcPr>
            <w:tcW w:w="840" w:type="pct"/>
            <w:shd w:val="clear" w:color="auto" w:fill="FFFFFF"/>
            <w:tcMar>
              <w:top w:w="113" w:type="dxa"/>
              <w:bottom w:w="85" w:type="dxa"/>
            </w:tcMar>
          </w:tcPr>
          <w:p w14:paraId="7B25126A"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16</w:t>
            </w:r>
          </w:p>
        </w:tc>
        <w:tc>
          <w:tcPr>
            <w:tcW w:w="678" w:type="pct"/>
            <w:shd w:val="clear" w:color="auto" w:fill="FFFFFF"/>
          </w:tcPr>
          <w:p w14:paraId="584060B8" w14:textId="77777777" w:rsidR="00394CA8" w:rsidRPr="00A859F2" w:rsidRDefault="00394CA8" w:rsidP="00394CA8">
            <w:pPr>
              <w:spacing w:before="40"/>
              <w:jc w:val="center"/>
            </w:pPr>
            <w:r w:rsidRPr="00A859F2">
              <w:rPr>
                <w:color w:val="0070C0"/>
                <w:szCs w:val="22"/>
              </w:rPr>
              <w:sym w:font="Wingdings" w:char="F06C"/>
            </w:r>
          </w:p>
        </w:tc>
      </w:tr>
      <w:tr w:rsidR="00394CA8" w:rsidRPr="00A859F2" w14:paraId="6EB41A1A" w14:textId="77777777" w:rsidTr="00394CA8">
        <w:tblPrEx>
          <w:tblCellMar>
            <w:left w:w="108" w:type="dxa"/>
            <w:right w:w="108" w:type="dxa"/>
          </w:tblCellMar>
        </w:tblPrEx>
        <w:trPr>
          <w:gridBefore w:val="1"/>
          <w:wBefore w:w="4" w:type="pct"/>
          <w:cantSplit/>
          <w:trHeight w:val="20"/>
        </w:trPr>
        <w:tc>
          <w:tcPr>
            <w:tcW w:w="1439" w:type="pct"/>
            <w:vMerge w:val="restart"/>
            <w:shd w:val="clear" w:color="auto" w:fill="auto"/>
            <w:tcMar>
              <w:top w:w="113" w:type="dxa"/>
              <w:bottom w:w="85" w:type="dxa"/>
            </w:tcMar>
          </w:tcPr>
          <w:p w14:paraId="6E76F722" w14:textId="77777777" w:rsidR="00394CA8" w:rsidRPr="0074225E" w:rsidRDefault="00394CA8" w:rsidP="00394CA8">
            <w:pPr>
              <w:rPr>
                <w:sz w:val="16"/>
                <w:szCs w:val="16"/>
              </w:rPr>
            </w:pPr>
            <w:r>
              <w:rPr>
                <w:sz w:val="16"/>
                <w:szCs w:val="16"/>
              </w:rPr>
              <w:t>V.2</w:t>
            </w:r>
            <w:r w:rsidRPr="0074225E">
              <w:rPr>
                <w:sz w:val="16"/>
                <w:szCs w:val="16"/>
              </w:rPr>
              <w:t xml:space="preserve"> Utilisation élargie et améliorée des analyses économiques de l’OMPI aux fins de l’élaboration des politiques </w:t>
            </w:r>
          </w:p>
        </w:tc>
        <w:tc>
          <w:tcPr>
            <w:tcW w:w="2039" w:type="pct"/>
            <w:shd w:val="clear" w:color="auto" w:fill="auto"/>
            <w:tcMar>
              <w:top w:w="113" w:type="dxa"/>
              <w:bottom w:w="85" w:type="dxa"/>
            </w:tcMar>
          </w:tcPr>
          <w:p w14:paraId="64F3D49A" w14:textId="77777777" w:rsidR="00394CA8" w:rsidRPr="00A859F2" w:rsidRDefault="00394CA8" w:rsidP="00394CA8">
            <w:pPr>
              <w:rPr>
                <w:sz w:val="16"/>
                <w:szCs w:val="16"/>
              </w:rPr>
            </w:pPr>
            <w:r w:rsidRPr="00A859F2">
              <w:rPr>
                <w:sz w:val="16"/>
                <w:szCs w:val="16"/>
              </w:rPr>
              <w:t>Nombre annuel de visiteurs sur les sites Web de l’Indice mondial de l’innovation</w:t>
            </w:r>
          </w:p>
        </w:tc>
        <w:tc>
          <w:tcPr>
            <w:tcW w:w="840" w:type="pct"/>
            <w:shd w:val="clear" w:color="auto" w:fill="FFFFFF"/>
            <w:tcMar>
              <w:top w:w="113" w:type="dxa"/>
              <w:bottom w:w="85" w:type="dxa"/>
            </w:tcMar>
          </w:tcPr>
          <w:p w14:paraId="792FFE85"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16</w:t>
            </w:r>
          </w:p>
        </w:tc>
        <w:tc>
          <w:tcPr>
            <w:tcW w:w="678" w:type="pct"/>
            <w:shd w:val="clear" w:color="auto" w:fill="FFFFFF"/>
          </w:tcPr>
          <w:p w14:paraId="414427B5" w14:textId="77777777" w:rsidR="00394CA8" w:rsidRPr="00A859F2" w:rsidRDefault="00394CA8" w:rsidP="00394CA8">
            <w:pPr>
              <w:spacing w:before="40"/>
              <w:jc w:val="center"/>
            </w:pPr>
            <w:r w:rsidRPr="00A859F2">
              <w:rPr>
                <w:color w:val="00B050"/>
                <w:szCs w:val="22"/>
              </w:rPr>
              <w:sym w:font="Wingdings" w:char="F06C"/>
            </w:r>
          </w:p>
        </w:tc>
      </w:tr>
      <w:tr w:rsidR="00394CA8" w:rsidRPr="00A859F2" w14:paraId="0464DED3" w14:textId="77777777" w:rsidTr="00394CA8">
        <w:tblPrEx>
          <w:tblCellMar>
            <w:left w:w="108" w:type="dxa"/>
            <w:right w:w="108" w:type="dxa"/>
          </w:tblCellMar>
        </w:tblPrEx>
        <w:trPr>
          <w:gridBefore w:val="1"/>
          <w:wBefore w:w="4" w:type="pct"/>
          <w:cantSplit/>
          <w:trHeight w:val="512"/>
        </w:trPr>
        <w:tc>
          <w:tcPr>
            <w:tcW w:w="1439" w:type="pct"/>
            <w:vMerge/>
            <w:shd w:val="clear" w:color="auto" w:fill="auto"/>
            <w:tcMar>
              <w:top w:w="113" w:type="dxa"/>
              <w:bottom w:w="85" w:type="dxa"/>
            </w:tcMar>
          </w:tcPr>
          <w:p w14:paraId="0E5A3F00" w14:textId="77777777" w:rsidR="00394CA8" w:rsidRPr="00A859F2" w:rsidRDefault="00394CA8" w:rsidP="00394CA8">
            <w:pPr>
              <w:rPr>
                <w:sz w:val="16"/>
                <w:szCs w:val="16"/>
              </w:rPr>
            </w:pPr>
          </w:p>
        </w:tc>
        <w:tc>
          <w:tcPr>
            <w:tcW w:w="2039" w:type="pct"/>
            <w:shd w:val="clear" w:color="auto" w:fill="auto"/>
            <w:tcMar>
              <w:top w:w="113" w:type="dxa"/>
              <w:bottom w:w="85" w:type="dxa"/>
            </w:tcMar>
          </w:tcPr>
          <w:p w14:paraId="372F9787" w14:textId="77777777" w:rsidR="00394CA8" w:rsidRPr="00A859F2" w:rsidRDefault="00394CA8" w:rsidP="00394CA8">
            <w:pPr>
              <w:rPr>
                <w:sz w:val="16"/>
                <w:szCs w:val="16"/>
              </w:rPr>
            </w:pPr>
            <w:r w:rsidRPr="00A859F2">
              <w:rPr>
                <w:sz w:val="16"/>
                <w:szCs w:val="16"/>
              </w:rPr>
              <w:t>Nombre de téléchargements du Rapport sur la propriété intellectuelle dans le monde dans les six mois suivant sa publication</w:t>
            </w:r>
          </w:p>
        </w:tc>
        <w:tc>
          <w:tcPr>
            <w:tcW w:w="840" w:type="pct"/>
            <w:shd w:val="clear" w:color="auto" w:fill="FFFFFF"/>
            <w:tcMar>
              <w:top w:w="113" w:type="dxa"/>
              <w:bottom w:w="85" w:type="dxa"/>
            </w:tcMar>
          </w:tcPr>
          <w:p w14:paraId="37D4D62F"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16</w:t>
            </w:r>
          </w:p>
        </w:tc>
        <w:tc>
          <w:tcPr>
            <w:tcW w:w="678" w:type="pct"/>
            <w:shd w:val="clear" w:color="auto" w:fill="FFFFFF"/>
          </w:tcPr>
          <w:p w14:paraId="7B298F21" w14:textId="77777777" w:rsidR="00394CA8" w:rsidRPr="00A859F2" w:rsidRDefault="00394CA8" w:rsidP="00394CA8">
            <w:pPr>
              <w:jc w:val="center"/>
              <w:rPr>
                <w:color w:val="A6A6A6" w:themeColor="background1" w:themeShade="A6"/>
                <w:szCs w:val="22"/>
              </w:rPr>
            </w:pPr>
            <w:r w:rsidRPr="00A859F2">
              <w:rPr>
                <w:color w:val="0070C0"/>
                <w:szCs w:val="22"/>
              </w:rPr>
              <w:sym w:font="Wingdings" w:char="F06C"/>
            </w:r>
          </w:p>
        </w:tc>
      </w:tr>
      <w:bookmarkEnd w:id="55"/>
      <w:bookmarkEnd w:id="56"/>
    </w:tbl>
    <w:p w14:paraId="2CC50578" w14:textId="77777777" w:rsidR="00394CA8" w:rsidRPr="00A859F2" w:rsidRDefault="00394CA8" w:rsidP="00394CA8">
      <w:pPr>
        <w:pStyle w:val="ListParagraph"/>
        <w:ind w:left="0"/>
        <w:jc w:val="both"/>
      </w:pPr>
    </w:p>
    <w:p w14:paraId="1D6F84A4" w14:textId="77777777" w:rsidR="00394CA8" w:rsidRPr="00A859F2" w:rsidRDefault="00394CA8" w:rsidP="00394CA8">
      <w:pPr>
        <w:pStyle w:val="ListParagraph"/>
        <w:ind w:left="0"/>
        <w:jc w:val="both"/>
      </w:pPr>
      <w:r w:rsidRPr="00A859F2">
        <w:br w:type="page"/>
      </w:r>
    </w:p>
    <w:p w14:paraId="6B47F9C8" w14:textId="36219FBF" w:rsidR="001F64B1" w:rsidRPr="001E6DFD" w:rsidRDefault="00B2297A" w:rsidP="0087680E">
      <w:pPr>
        <w:pStyle w:val="Heading3"/>
        <w:rPr>
          <w:rFonts w:eastAsia="SimSun"/>
          <w:lang w:eastAsia="zh-CN"/>
        </w:rPr>
      </w:pPr>
      <w:bookmarkStart w:id="57" w:name="_Toc482774611"/>
      <w:r w:rsidRPr="001E6DFD">
        <w:rPr>
          <w:rFonts w:eastAsia="SimSun"/>
          <w:lang w:eastAsia="zh-CN"/>
        </w:rPr>
        <w:lastRenderedPageBreak/>
        <w:t>Programme</w:t>
      </w:r>
      <w:r w:rsidR="00B4191E">
        <w:rPr>
          <w:rFonts w:eastAsia="SimSun"/>
          <w:lang w:eastAsia="zh-CN"/>
        </w:rPr>
        <w:t> </w:t>
      </w:r>
      <w:r w:rsidRPr="001E6DFD">
        <w:rPr>
          <w:rFonts w:eastAsia="SimSun"/>
          <w:lang w:eastAsia="zh-CN"/>
        </w:rPr>
        <w:t>16</w:t>
      </w:r>
      <w:r w:rsidRPr="001E6DFD">
        <w:rPr>
          <w:rFonts w:eastAsia="SimSun"/>
          <w:lang w:eastAsia="zh-CN"/>
        </w:rPr>
        <w:tab/>
        <w:t>Économie et statistiques</w:t>
      </w:r>
      <w:bookmarkEnd w:id="57"/>
    </w:p>
    <w:p w14:paraId="43467042" w14:textId="77777777" w:rsidR="001F64B1" w:rsidRPr="001E6DFD" w:rsidRDefault="001F64B1" w:rsidP="00A806A7">
      <w:pPr>
        <w:tabs>
          <w:tab w:val="left" w:pos="1985"/>
          <w:tab w:val="left" w:pos="2268"/>
        </w:tabs>
        <w:ind w:left="2268" w:hanging="2268"/>
        <w:jc w:val="both"/>
        <w:rPr>
          <w:sz w:val="20"/>
        </w:rPr>
      </w:pPr>
    </w:p>
    <w:p w14:paraId="004D5E89" w14:textId="77777777" w:rsidR="001F64B1" w:rsidRPr="001E6DFD" w:rsidRDefault="00B2297A" w:rsidP="00A806A7">
      <w:pPr>
        <w:tabs>
          <w:tab w:val="left" w:pos="2268"/>
        </w:tabs>
        <w:ind w:left="2268" w:hanging="2268"/>
        <w:jc w:val="both"/>
        <w:rPr>
          <w:b/>
          <w:sz w:val="20"/>
          <w:szCs w:val="22"/>
        </w:rPr>
      </w:pPr>
      <w:r w:rsidRPr="001E6DFD">
        <w:rPr>
          <w:b/>
          <w:sz w:val="20"/>
          <w:szCs w:val="22"/>
        </w:rPr>
        <w:t>Chef de programme</w:t>
      </w:r>
      <w:r w:rsidRPr="001E6DFD">
        <w:rPr>
          <w:sz w:val="20"/>
          <w:szCs w:val="22"/>
        </w:rPr>
        <w:tab/>
      </w:r>
      <w:r w:rsidRPr="001E6DFD">
        <w:rPr>
          <w:b/>
          <w:sz w:val="20"/>
          <w:szCs w:val="22"/>
        </w:rPr>
        <w:t>Le Directeur général</w:t>
      </w:r>
    </w:p>
    <w:p w14:paraId="333056FB" w14:textId="77777777" w:rsidR="001F64B1" w:rsidRPr="001E6DFD" w:rsidRDefault="001F64B1" w:rsidP="0097226C">
      <w:pPr>
        <w:tabs>
          <w:tab w:val="left" w:pos="1985"/>
        </w:tabs>
        <w:jc w:val="both"/>
        <w:rPr>
          <w:b/>
          <w:sz w:val="20"/>
          <w:szCs w:val="22"/>
        </w:rPr>
      </w:pPr>
    </w:p>
    <w:p w14:paraId="6085B147" w14:textId="77777777" w:rsidR="00BA5EA9" w:rsidRPr="001E6DFD" w:rsidRDefault="00A055E7" w:rsidP="0097226C">
      <w:pPr>
        <w:keepNext/>
        <w:keepLines/>
        <w:jc w:val="center"/>
        <w:rPr>
          <w:szCs w:val="22"/>
        </w:rPr>
      </w:pPr>
      <w:r w:rsidRPr="001E6DFD">
        <w:rPr>
          <w:noProof/>
          <w:lang w:val="en-US"/>
        </w:rPr>
        <w:drawing>
          <wp:inline distT="0" distB="0" distL="0" distR="0" wp14:anchorId="21C15AA8" wp14:editId="11BFA71E">
            <wp:extent cx="3963600" cy="273600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00"/>
        <w:gridCol w:w="2400"/>
        <w:gridCol w:w="1331"/>
        <w:gridCol w:w="2506"/>
        <w:gridCol w:w="1050"/>
      </w:tblGrid>
      <w:tr w:rsidR="00BA5EA9" w:rsidRPr="001E6DFD" w14:paraId="7B565538" w14:textId="77777777" w:rsidTr="00A055E7">
        <w:tc>
          <w:tcPr>
            <w:tcW w:w="5000" w:type="pct"/>
            <w:gridSpan w:val="5"/>
            <w:shd w:val="clear" w:color="auto" w:fill="C6D9F1" w:themeFill="text2" w:themeFillTint="33"/>
            <w:tcMar>
              <w:left w:w="58" w:type="dxa"/>
              <w:right w:w="58" w:type="dxa"/>
            </w:tcMar>
            <w:vAlign w:val="center"/>
          </w:tcPr>
          <w:p w14:paraId="03EECDB5" w14:textId="7A480D3C" w:rsidR="00BA5EA9" w:rsidRPr="001E6DFD" w:rsidRDefault="00B2297A"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V.1 Utilisation élargie et améliorée de l</w:t>
            </w:r>
            <w:r w:rsidR="00FA22F6" w:rsidRPr="001E6DFD">
              <w:rPr>
                <w:bCs/>
                <w:sz w:val="16"/>
                <w:szCs w:val="16"/>
              </w:rPr>
              <w:t>’</w:t>
            </w:r>
            <w:r w:rsidRPr="001E6DFD">
              <w:rPr>
                <w:bCs/>
                <w:sz w:val="16"/>
                <w:szCs w:val="16"/>
              </w:rPr>
              <w:t>information statistique de l</w:t>
            </w:r>
            <w:r w:rsidR="00FA22F6" w:rsidRPr="001E6DFD">
              <w:rPr>
                <w:bCs/>
                <w:sz w:val="16"/>
                <w:szCs w:val="16"/>
              </w:rPr>
              <w:t>’</w:t>
            </w:r>
            <w:r w:rsidRPr="001E6DFD">
              <w:rPr>
                <w:bCs/>
                <w:sz w:val="16"/>
                <w:szCs w:val="16"/>
              </w:rPr>
              <w:t>OMPI relative à la propriété intellectuelle</w:t>
            </w:r>
          </w:p>
        </w:tc>
      </w:tr>
      <w:tr w:rsidR="00BA5EA9" w:rsidRPr="001E6DFD" w14:paraId="32D32B48" w14:textId="77777777" w:rsidTr="00A055E7">
        <w:tc>
          <w:tcPr>
            <w:tcW w:w="1049" w:type="pct"/>
            <w:shd w:val="clear" w:color="auto" w:fill="auto"/>
            <w:tcMar>
              <w:left w:w="58" w:type="dxa"/>
              <w:right w:w="58" w:type="dxa"/>
            </w:tcMar>
            <w:vAlign w:val="center"/>
          </w:tcPr>
          <w:p w14:paraId="3A103596" w14:textId="1C50F387" w:rsidR="00BA5EA9" w:rsidRPr="001E6DFD" w:rsidRDefault="00B2297A" w:rsidP="0097226C">
            <w:pPr>
              <w:jc w:val="center"/>
              <w:rPr>
                <w:b/>
                <w:bCs/>
                <w:sz w:val="16"/>
                <w:szCs w:val="16"/>
              </w:rPr>
            </w:pPr>
            <w:r w:rsidRPr="001E6DFD">
              <w:rPr>
                <w:b/>
                <w:bCs/>
                <w:sz w:val="16"/>
                <w:szCs w:val="16"/>
              </w:rPr>
              <w:t>Indicateurs</w:t>
            </w:r>
            <w:r w:rsidRPr="001E6DFD">
              <w:rPr>
                <w:bCs/>
                <w:sz w:val="16"/>
                <w:szCs w:val="16"/>
              </w:rPr>
              <w:t xml:space="preserve"> </w:t>
            </w:r>
            <w:r w:rsidRPr="001E6DFD">
              <w:rPr>
                <w:b/>
                <w:bCs/>
                <w:sz w:val="16"/>
                <w:szCs w:val="16"/>
              </w:rPr>
              <w:t>d</w:t>
            </w:r>
            <w:r w:rsidR="00FA22F6" w:rsidRPr="001E6DFD">
              <w:rPr>
                <w:b/>
                <w:bCs/>
                <w:sz w:val="16"/>
                <w:szCs w:val="16"/>
              </w:rPr>
              <w:t>’</w:t>
            </w:r>
            <w:r w:rsidRPr="001E6DFD">
              <w:rPr>
                <w:b/>
                <w:bCs/>
                <w:sz w:val="16"/>
                <w:szCs w:val="16"/>
              </w:rPr>
              <w:t>exécution</w:t>
            </w:r>
          </w:p>
        </w:tc>
        <w:tc>
          <w:tcPr>
            <w:tcW w:w="1321" w:type="pct"/>
            <w:shd w:val="clear" w:color="auto" w:fill="auto"/>
            <w:tcMar>
              <w:left w:w="58" w:type="dxa"/>
              <w:right w:w="58" w:type="dxa"/>
            </w:tcMar>
            <w:vAlign w:val="center"/>
          </w:tcPr>
          <w:p w14:paraId="1AE4993B" w14:textId="77777777" w:rsidR="00BA5EA9" w:rsidRPr="001E6DFD" w:rsidRDefault="00B2297A" w:rsidP="0097226C">
            <w:pPr>
              <w:jc w:val="center"/>
              <w:rPr>
                <w:b/>
                <w:bCs/>
                <w:sz w:val="16"/>
                <w:szCs w:val="16"/>
              </w:rPr>
            </w:pPr>
            <w:r w:rsidRPr="001E6DFD">
              <w:rPr>
                <w:b/>
                <w:bCs/>
                <w:sz w:val="16"/>
                <w:szCs w:val="16"/>
              </w:rPr>
              <w:t>Niveaux de référence</w:t>
            </w:r>
          </w:p>
        </w:tc>
        <w:tc>
          <w:tcPr>
            <w:tcW w:w="739" w:type="pct"/>
            <w:shd w:val="clear" w:color="auto" w:fill="auto"/>
            <w:tcMar>
              <w:top w:w="110" w:type="dxa"/>
              <w:left w:w="58" w:type="dxa"/>
              <w:right w:w="58" w:type="dxa"/>
            </w:tcMar>
            <w:vAlign w:val="center"/>
          </w:tcPr>
          <w:p w14:paraId="4ED728D3" w14:textId="77777777" w:rsidR="00BA5EA9" w:rsidRPr="001E6DFD" w:rsidRDefault="00B2297A" w:rsidP="0097226C">
            <w:pPr>
              <w:tabs>
                <w:tab w:val="left" w:pos="290"/>
              </w:tabs>
              <w:jc w:val="center"/>
              <w:rPr>
                <w:b/>
                <w:bCs/>
                <w:sz w:val="16"/>
                <w:szCs w:val="16"/>
              </w:rPr>
            </w:pPr>
            <w:r w:rsidRPr="001E6DFD">
              <w:rPr>
                <w:b/>
                <w:bCs/>
                <w:sz w:val="16"/>
                <w:szCs w:val="16"/>
              </w:rPr>
              <w:t>Objectifs visés</w:t>
            </w:r>
          </w:p>
        </w:tc>
        <w:tc>
          <w:tcPr>
            <w:tcW w:w="1378" w:type="pct"/>
            <w:shd w:val="clear" w:color="auto" w:fill="FFFFFF"/>
            <w:tcMar>
              <w:top w:w="110" w:type="dxa"/>
              <w:left w:w="58" w:type="dxa"/>
              <w:right w:w="58" w:type="dxa"/>
            </w:tcMar>
            <w:vAlign w:val="center"/>
          </w:tcPr>
          <w:p w14:paraId="2F460FEE" w14:textId="294C33DB" w:rsidR="00BA5EA9" w:rsidRPr="001E6DFD" w:rsidRDefault="00B2297A"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3" w:type="pct"/>
            <w:shd w:val="clear" w:color="auto" w:fill="auto"/>
            <w:tcMar>
              <w:top w:w="110" w:type="dxa"/>
              <w:left w:w="58" w:type="dxa"/>
              <w:right w:w="58" w:type="dxa"/>
            </w:tcMar>
            <w:vAlign w:val="center"/>
          </w:tcPr>
          <w:p w14:paraId="2DDDD8CE" w14:textId="7AAD85F6"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7390E419" w14:textId="77777777" w:rsidTr="00A055E7">
        <w:tc>
          <w:tcPr>
            <w:tcW w:w="1049" w:type="pct"/>
            <w:shd w:val="clear" w:color="auto" w:fill="auto"/>
            <w:tcMar>
              <w:left w:w="58" w:type="dxa"/>
              <w:right w:w="58" w:type="dxa"/>
            </w:tcMar>
          </w:tcPr>
          <w:p w14:paraId="6A3037D4" w14:textId="77777777" w:rsidR="00BA5EA9" w:rsidRPr="001E6DFD" w:rsidRDefault="00B2297A" w:rsidP="0097226C">
            <w:pPr>
              <w:rPr>
                <w:sz w:val="16"/>
                <w:szCs w:val="16"/>
              </w:rPr>
            </w:pPr>
            <w:r w:rsidRPr="001E6DFD">
              <w:rPr>
                <w:sz w:val="16"/>
                <w:szCs w:val="16"/>
              </w:rPr>
              <w:t>Nombre de recherches effectuées via le Centre de données statistiques de propriété intellectuelle</w:t>
            </w:r>
          </w:p>
        </w:tc>
        <w:tc>
          <w:tcPr>
            <w:tcW w:w="1321" w:type="pct"/>
            <w:shd w:val="clear" w:color="auto" w:fill="auto"/>
            <w:tcMar>
              <w:left w:w="58" w:type="dxa"/>
              <w:right w:w="58" w:type="dxa"/>
            </w:tcMar>
          </w:tcPr>
          <w:p w14:paraId="1674F215" w14:textId="120E0F77" w:rsidR="00FA22F6" w:rsidRPr="00A806A7" w:rsidRDefault="00E64532" w:rsidP="0097226C">
            <w:pPr>
              <w:rPr>
                <w:i/>
                <w:color w:val="002060"/>
                <w:sz w:val="16"/>
                <w:szCs w:val="16"/>
              </w:rPr>
            </w:pPr>
            <w:r w:rsidRPr="00A806A7">
              <w:rPr>
                <w:i/>
                <w:color w:val="002060"/>
                <w:sz w:val="16"/>
                <w:szCs w:val="16"/>
              </w:rPr>
              <w:t>Niveau de référence actualisé à fin</w:t>
            </w:r>
            <w:r w:rsidR="00B4191E" w:rsidRPr="00A806A7">
              <w:rPr>
                <w:i/>
                <w:color w:val="002060"/>
                <w:sz w:val="16"/>
                <w:szCs w:val="16"/>
              </w:rPr>
              <w:t> </w:t>
            </w:r>
            <w:r w:rsidRPr="00A806A7">
              <w:rPr>
                <w:i/>
                <w:color w:val="002060"/>
                <w:sz w:val="16"/>
                <w:szCs w:val="16"/>
              </w:rPr>
              <w:t>2015</w:t>
            </w:r>
            <w:r w:rsidR="00BA5EA9" w:rsidRPr="00A806A7">
              <w:rPr>
                <w:rStyle w:val="FootnoteReference"/>
                <w:rFonts w:cs="Arial"/>
                <w:color w:val="002060"/>
              </w:rPr>
              <w:footnoteReference w:id="65"/>
            </w:r>
            <w:r w:rsidR="004D421A" w:rsidRPr="00A806A7">
              <w:rPr>
                <w:i/>
                <w:color w:val="002060"/>
                <w:sz w:val="16"/>
                <w:szCs w:val="16"/>
              </w:rPr>
              <w:t> </w:t>
            </w:r>
            <w:r w:rsidR="00BA5EA9" w:rsidRPr="00A806A7">
              <w:rPr>
                <w:i/>
                <w:color w:val="002060"/>
                <w:sz w:val="16"/>
                <w:szCs w:val="16"/>
              </w:rPr>
              <w:t>:</w:t>
            </w:r>
          </w:p>
          <w:p w14:paraId="1F74C862" w14:textId="4022E9ED" w:rsidR="001F64B1" w:rsidRPr="00A806A7" w:rsidRDefault="00282CF5" w:rsidP="0097226C">
            <w:pPr>
              <w:rPr>
                <w:color w:val="002060"/>
                <w:sz w:val="16"/>
                <w:szCs w:val="16"/>
              </w:rPr>
            </w:pPr>
            <w:r w:rsidRPr="00A806A7">
              <w:rPr>
                <w:color w:val="002060"/>
                <w:sz w:val="16"/>
                <w:szCs w:val="16"/>
              </w:rPr>
              <w:t>68 692</w:t>
            </w:r>
          </w:p>
          <w:p w14:paraId="5E38145E" w14:textId="77777777" w:rsidR="001F64B1" w:rsidRPr="001E6DFD" w:rsidRDefault="001F64B1" w:rsidP="0097226C">
            <w:pPr>
              <w:rPr>
                <w:sz w:val="16"/>
                <w:szCs w:val="16"/>
              </w:rPr>
            </w:pPr>
          </w:p>
          <w:p w14:paraId="28723FE7" w14:textId="6D9D72D6" w:rsidR="001F64B1"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20A4E05" w14:textId="3D80756F" w:rsidR="00BA5EA9" w:rsidRPr="001E6DFD" w:rsidRDefault="00B2297A" w:rsidP="0097226C">
            <w:pPr>
              <w:rPr>
                <w:sz w:val="16"/>
                <w:szCs w:val="16"/>
              </w:rPr>
            </w:pPr>
            <w:r w:rsidRPr="001E6DFD">
              <w:rPr>
                <w:sz w:val="16"/>
                <w:szCs w:val="16"/>
              </w:rPr>
              <w:t>à déterminer fin</w:t>
            </w:r>
            <w:r w:rsidR="00B4191E">
              <w:rPr>
                <w:sz w:val="16"/>
                <w:szCs w:val="16"/>
              </w:rPr>
              <w:t> </w:t>
            </w:r>
            <w:r w:rsidRPr="001E6DFD">
              <w:rPr>
                <w:sz w:val="16"/>
                <w:szCs w:val="16"/>
              </w:rPr>
              <w:t>2015</w:t>
            </w:r>
          </w:p>
        </w:tc>
        <w:tc>
          <w:tcPr>
            <w:tcW w:w="739" w:type="pct"/>
            <w:shd w:val="clear" w:color="auto" w:fill="auto"/>
            <w:tcMar>
              <w:top w:w="110" w:type="dxa"/>
              <w:left w:w="58" w:type="dxa"/>
              <w:right w:w="58" w:type="dxa"/>
            </w:tcMar>
          </w:tcPr>
          <w:p w14:paraId="500BF9E9" w14:textId="21137EDC" w:rsidR="00FA22F6" w:rsidRPr="00A806A7" w:rsidRDefault="00B2297A" w:rsidP="0097226C">
            <w:pPr>
              <w:rPr>
                <w:i/>
                <w:color w:val="002060"/>
                <w:sz w:val="16"/>
                <w:szCs w:val="16"/>
              </w:rPr>
            </w:pPr>
            <w:r w:rsidRPr="00A806A7">
              <w:rPr>
                <w:i/>
                <w:color w:val="002060"/>
                <w:sz w:val="16"/>
                <w:szCs w:val="16"/>
              </w:rPr>
              <w:t>Objectif fixé</w:t>
            </w:r>
            <w:r w:rsidR="00FA22F6" w:rsidRPr="00A806A7">
              <w:rPr>
                <w:i/>
                <w:color w:val="002060"/>
                <w:sz w:val="16"/>
                <w:szCs w:val="16"/>
              </w:rPr>
              <w:t> :</w:t>
            </w:r>
          </w:p>
          <w:p w14:paraId="1AF2B7C9" w14:textId="1F77BFF6" w:rsidR="001F64B1" w:rsidRPr="00A806A7" w:rsidRDefault="00B2297A" w:rsidP="0097226C">
            <w:pPr>
              <w:rPr>
                <w:color w:val="002060"/>
                <w:sz w:val="16"/>
                <w:szCs w:val="16"/>
              </w:rPr>
            </w:pPr>
            <w:r w:rsidRPr="00A806A7">
              <w:rPr>
                <w:color w:val="002060"/>
                <w:sz w:val="16"/>
                <w:szCs w:val="16"/>
              </w:rPr>
              <w:t>augmentation de 10%</w:t>
            </w:r>
          </w:p>
          <w:p w14:paraId="6C814EEB" w14:textId="77777777" w:rsidR="001F64B1" w:rsidRPr="001E6DFD" w:rsidRDefault="001F64B1" w:rsidP="0097226C">
            <w:pPr>
              <w:rPr>
                <w:sz w:val="16"/>
                <w:szCs w:val="16"/>
              </w:rPr>
            </w:pPr>
          </w:p>
          <w:p w14:paraId="0CACFA9D" w14:textId="20CDC334" w:rsidR="00FA22F6" w:rsidRPr="001E6DFD" w:rsidRDefault="009B322C" w:rsidP="0097226C">
            <w:pPr>
              <w:rPr>
                <w:i/>
                <w:sz w:val="16"/>
                <w:szCs w:val="16"/>
              </w:rPr>
            </w:pPr>
            <w:r w:rsidRPr="001E6DFD">
              <w:rPr>
                <w:i/>
                <w:sz w:val="16"/>
                <w:szCs w:val="16"/>
              </w:rPr>
              <w:t>Objectif initial</w:t>
            </w:r>
            <w:r w:rsidR="00FA22F6" w:rsidRPr="001E6DFD">
              <w:rPr>
                <w:i/>
                <w:sz w:val="16"/>
                <w:szCs w:val="16"/>
              </w:rPr>
              <w:t> :</w:t>
            </w:r>
          </w:p>
          <w:p w14:paraId="798C0495" w14:textId="767F4CAA" w:rsidR="00BA5EA9" w:rsidRPr="001E6DFD" w:rsidRDefault="00B2297A" w:rsidP="0097226C">
            <w:pPr>
              <w:rPr>
                <w:sz w:val="16"/>
                <w:szCs w:val="16"/>
              </w:rPr>
            </w:pPr>
            <w:r w:rsidRPr="001E6DFD">
              <w:rPr>
                <w:sz w:val="16"/>
                <w:szCs w:val="16"/>
              </w:rPr>
              <w:t>à déterminer</w:t>
            </w:r>
          </w:p>
        </w:tc>
        <w:tc>
          <w:tcPr>
            <w:tcW w:w="1378" w:type="pct"/>
            <w:shd w:val="clear" w:color="auto" w:fill="FFFFFF"/>
            <w:tcMar>
              <w:top w:w="110" w:type="dxa"/>
              <w:left w:w="58" w:type="dxa"/>
              <w:right w:w="58" w:type="dxa"/>
            </w:tcMar>
          </w:tcPr>
          <w:p w14:paraId="0B98CACF" w14:textId="3F9C2F5F" w:rsidR="00BA5EA9" w:rsidRPr="00A806A7" w:rsidRDefault="000A0B37" w:rsidP="0097226C">
            <w:pPr>
              <w:rPr>
                <w:sz w:val="16"/>
                <w:szCs w:val="16"/>
              </w:rPr>
            </w:pPr>
            <w:r w:rsidRPr="00A806A7">
              <w:rPr>
                <w:sz w:val="16"/>
                <w:szCs w:val="16"/>
              </w:rPr>
              <w:t>L</w:t>
            </w:r>
            <w:r w:rsidR="00FA22F6" w:rsidRPr="00A806A7">
              <w:rPr>
                <w:sz w:val="16"/>
                <w:szCs w:val="16"/>
              </w:rPr>
              <w:t>’</w:t>
            </w:r>
            <w:r w:rsidRPr="00A806A7">
              <w:rPr>
                <w:sz w:val="16"/>
                <w:szCs w:val="16"/>
              </w:rPr>
              <w:t xml:space="preserve">outil </w:t>
            </w:r>
            <w:r w:rsidR="00F94D75" w:rsidRPr="00A806A7">
              <w:rPr>
                <w:sz w:val="16"/>
                <w:szCs w:val="16"/>
              </w:rPr>
              <w:t xml:space="preserve">amélioré </w:t>
            </w:r>
            <w:r w:rsidRPr="00A806A7">
              <w:rPr>
                <w:sz w:val="16"/>
                <w:szCs w:val="16"/>
              </w:rPr>
              <w:t>d</w:t>
            </w:r>
            <w:r w:rsidR="00FA22F6" w:rsidRPr="00A806A7">
              <w:rPr>
                <w:sz w:val="16"/>
                <w:szCs w:val="16"/>
              </w:rPr>
              <w:t>’</w:t>
            </w:r>
            <w:r w:rsidRPr="00A806A7">
              <w:rPr>
                <w:sz w:val="16"/>
                <w:szCs w:val="16"/>
              </w:rPr>
              <w:t>analyse Web a été mis en œuvre au cours de l</w:t>
            </w:r>
            <w:r w:rsidR="00FA22F6" w:rsidRPr="00A806A7">
              <w:rPr>
                <w:sz w:val="16"/>
                <w:szCs w:val="16"/>
              </w:rPr>
              <w:t>’</w:t>
            </w:r>
            <w:r w:rsidRPr="00A806A7">
              <w:rPr>
                <w:sz w:val="16"/>
                <w:szCs w:val="16"/>
              </w:rPr>
              <w:t>année</w:t>
            </w:r>
            <w:r w:rsidR="00B4191E" w:rsidRPr="00A806A7">
              <w:rPr>
                <w:sz w:val="16"/>
                <w:szCs w:val="16"/>
              </w:rPr>
              <w:t> </w:t>
            </w:r>
            <w:r w:rsidRPr="00A806A7">
              <w:rPr>
                <w:sz w:val="16"/>
                <w:szCs w:val="16"/>
              </w:rPr>
              <w:t xml:space="preserve">2016, </w:t>
            </w:r>
            <w:r w:rsidR="00F94D75" w:rsidRPr="00A806A7">
              <w:rPr>
                <w:sz w:val="16"/>
                <w:szCs w:val="16"/>
              </w:rPr>
              <w:t xml:space="preserve">ce qui a rendu impossible le suivi des données </w:t>
            </w:r>
            <w:r w:rsidR="00FA22F6" w:rsidRPr="00A806A7">
              <w:rPr>
                <w:sz w:val="16"/>
                <w:szCs w:val="16"/>
              </w:rPr>
              <w:t>pour 2016</w:t>
            </w:r>
          </w:p>
        </w:tc>
        <w:tc>
          <w:tcPr>
            <w:tcW w:w="513" w:type="pct"/>
            <w:shd w:val="clear" w:color="auto" w:fill="auto"/>
            <w:tcMar>
              <w:top w:w="110" w:type="dxa"/>
              <w:left w:w="58" w:type="dxa"/>
              <w:right w:w="58" w:type="dxa"/>
            </w:tcMar>
          </w:tcPr>
          <w:p w14:paraId="142F3F02" w14:textId="6351DD27" w:rsidR="00BA5EA9" w:rsidRPr="001E6DFD" w:rsidRDefault="00B649F5" w:rsidP="006A41CF">
            <w:pPr>
              <w:keepNext/>
              <w:keepLines/>
              <w:jc w:val="center"/>
              <w:rPr>
                <w:b/>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3FC3F578" w14:textId="77777777" w:rsidTr="00A055E7">
        <w:tc>
          <w:tcPr>
            <w:tcW w:w="1049" w:type="pct"/>
            <w:shd w:val="clear" w:color="auto" w:fill="auto"/>
            <w:tcMar>
              <w:left w:w="58" w:type="dxa"/>
              <w:right w:w="58" w:type="dxa"/>
            </w:tcMar>
          </w:tcPr>
          <w:p w14:paraId="188B9203" w14:textId="7561D18E" w:rsidR="00BA5EA9" w:rsidRPr="001E6DFD" w:rsidRDefault="00B2297A" w:rsidP="0097226C">
            <w:pPr>
              <w:rPr>
                <w:sz w:val="16"/>
                <w:szCs w:val="16"/>
              </w:rPr>
            </w:pPr>
            <w:r w:rsidRPr="001E6DFD">
              <w:rPr>
                <w:sz w:val="16"/>
                <w:szCs w:val="16"/>
              </w:rPr>
              <w:t>Nombre de téléchargements de rapports statistiques annuels dans les six</w:t>
            </w:r>
            <w:r w:rsidR="004D421A" w:rsidRPr="001E6DFD">
              <w:rPr>
                <w:sz w:val="16"/>
                <w:szCs w:val="16"/>
              </w:rPr>
              <w:t> </w:t>
            </w:r>
            <w:r w:rsidRPr="001E6DFD">
              <w:rPr>
                <w:sz w:val="16"/>
                <w:szCs w:val="16"/>
              </w:rPr>
              <w:t>mois suivant leur publication</w:t>
            </w:r>
          </w:p>
        </w:tc>
        <w:tc>
          <w:tcPr>
            <w:tcW w:w="1321" w:type="pct"/>
            <w:shd w:val="clear" w:color="auto" w:fill="auto"/>
            <w:tcMar>
              <w:left w:w="58" w:type="dxa"/>
              <w:right w:w="58" w:type="dxa"/>
            </w:tcMar>
          </w:tcPr>
          <w:p w14:paraId="09166EEF" w14:textId="498F1E9E" w:rsidR="00FA22F6" w:rsidRPr="00A806A7" w:rsidRDefault="00E64532" w:rsidP="0097226C">
            <w:pPr>
              <w:rPr>
                <w:i/>
                <w:color w:val="002060"/>
                <w:sz w:val="16"/>
                <w:szCs w:val="16"/>
              </w:rPr>
            </w:pPr>
            <w:r w:rsidRPr="00A806A7">
              <w:rPr>
                <w:i/>
                <w:color w:val="002060"/>
                <w:sz w:val="16"/>
                <w:szCs w:val="16"/>
              </w:rPr>
              <w:t>Niveau de référence actualisé à fin</w:t>
            </w:r>
            <w:r w:rsidR="00B4191E" w:rsidRPr="00A806A7">
              <w:rPr>
                <w:i/>
                <w:color w:val="002060"/>
                <w:sz w:val="16"/>
                <w:szCs w:val="16"/>
              </w:rPr>
              <w:t> </w:t>
            </w:r>
            <w:r w:rsidRPr="00A806A7">
              <w:rPr>
                <w:i/>
                <w:color w:val="002060"/>
                <w:sz w:val="16"/>
                <w:szCs w:val="16"/>
              </w:rPr>
              <w:t>2015</w:t>
            </w:r>
            <w:r w:rsidR="00BA5EA9" w:rsidRPr="00A806A7">
              <w:rPr>
                <w:rStyle w:val="FootnoteReference"/>
                <w:rFonts w:cs="Arial"/>
                <w:i/>
                <w:color w:val="002060"/>
              </w:rPr>
              <w:footnoteReference w:id="66"/>
            </w:r>
            <w:r w:rsidR="004D421A" w:rsidRPr="00A806A7">
              <w:rPr>
                <w:i/>
                <w:color w:val="002060"/>
                <w:sz w:val="16"/>
                <w:szCs w:val="16"/>
              </w:rPr>
              <w:t> </w:t>
            </w:r>
            <w:r w:rsidR="00BA5EA9" w:rsidRPr="00A806A7">
              <w:rPr>
                <w:i/>
                <w:color w:val="002060"/>
                <w:sz w:val="16"/>
                <w:szCs w:val="16"/>
              </w:rPr>
              <w:t>:</w:t>
            </w:r>
          </w:p>
          <w:p w14:paraId="24F7CDCB" w14:textId="251619B1" w:rsidR="001F64B1" w:rsidRPr="00A806A7" w:rsidRDefault="009B322C" w:rsidP="0097226C">
            <w:pPr>
              <w:rPr>
                <w:color w:val="002060"/>
                <w:sz w:val="16"/>
                <w:szCs w:val="16"/>
              </w:rPr>
            </w:pPr>
            <w:r w:rsidRPr="00A806A7">
              <w:rPr>
                <w:color w:val="002060"/>
                <w:sz w:val="16"/>
                <w:szCs w:val="16"/>
              </w:rPr>
              <w:t xml:space="preserve">Indicateurs </w:t>
            </w:r>
            <w:r w:rsidR="00B2297A" w:rsidRPr="00A806A7">
              <w:rPr>
                <w:color w:val="002060"/>
                <w:sz w:val="16"/>
                <w:szCs w:val="16"/>
              </w:rPr>
              <w:t>mondiaux relatifs à la propriété intellectuelle</w:t>
            </w:r>
            <w:r w:rsidR="00FA22F6" w:rsidRPr="00A806A7">
              <w:rPr>
                <w:color w:val="002060"/>
                <w:sz w:val="16"/>
                <w:szCs w:val="16"/>
              </w:rPr>
              <w:t> :</w:t>
            </w:r>
            <w:r w:rsidR="00BA5EA9" w:rsidRPr="00A806A7">
              <w:rPr>
                <w:color w:val="002060"/>
                <w:sz w:val="16"/>
                <w:szCs w:val="16"/>
              </w:rPr>
              <w:t xml:space="preserve"> 26</w:t>
            </w:r>
            <w:r w:rsidR="00B2297A" w:rsidRPr="00A806A7">
              <w:rPr>
                <w:color w:val="002060"/>
                <w:sz w:val="16"/>
                <w:szCs w:val="16"/>
              </w:rPr>
              <w:t> </w:t>
            </w:r>
            <w:r w:rsidR="00BA5EA9" w:rsidRPr="00A806A7">
              <w:rPr>
                <w:color w:val="002060"/>
                <w:sz w:val="16"/>
                <w:szCs w:val="16"/>
              </w:rPr>
              <w:t>710</w:t>
            </w:r>
          </w:p>
          <w:p w14:paraId="519EA45C" w14:textId="300AFDC1" w:rsidR="001F64B1" w:rsidRPr="00A806A7" w:rsidRDefault="00B2297A" w:rsidP="0097226C">
            <w:pPr>
              <w:rPr>
                <w:color w:val="002060"/>
                <w:sz w:val="16"/>
                <w:szCs w:val="16"/>
              </w:rPr>
            </w:pPr>
            <w:r w:rsidRPr="00A806A7">
              <w:rPr>
                <w:color w:val="002060"/>
                <w:sz w:val="16"/>
                <w:szCs w:val="16"/>
              </w:rPr>
              <w:t>Revue annuelle</w:t>
            </w:r>
            <w:r w:rsidR="00FA22F6" w:rsidRPr="00A806A7">
              <w:rPr>
                <w:color w:val="002060"/>
                <w:sz w:val="16"/>
                <w:szCs w:val="16"/>
              </w:rPr>
              <w:t xml:space="preserve"> du PCT :</w:t>
            </w:r>
            <w:r w:rsidRPr="00A806A7">
              <w:rPr>
                <w:color w:val="002060"/>
                <w:sz w:val="16"/>
                <w:szCs w:val="16"/>
              </w:rPr>
              <w:t xml:space="preserve"> </w:t>
            </w:r>
            <w:r w:rsidR="00BA5EA9" w:rsidRPr="00A806A7">
              <w:rPr>
                <w:color w:val="002060"/>
                <w:sz w:val="16"/>
                <w:szCs w:val="16"/>
              </w:rPr>
              <w:t>11</w:t>
            </w:r>
            <w:r w:rsidRPr="00A806A7">
              <w:rPr>
                <w:color w:val="002060"/>
                <w:sz w:val="16"/>
                <w:szCs w:val="16"/>
              </w:rPr>
              <w:t> </w:t>
            </w:r>
            <w:r w:rsidR="00BA5EA9" w:rsidRPr="00A806A7">
              <w:rPr>
                <w:color w:val="002060"/>
                <w:sz w:val="16"/>
                <w:szCs w:val="16"/>
              </w:rPr>
              <w:t>949</w:t>
            </w:r>
          </w:p>
          <w:p w14:paraId="4E143F6D" w14:textId="064A9916" w:rsidR="001F64B1" w:rsidRPr="00A806A7" w:rsidRDefault="00B2297A" w:rsidP="0097226C">
            <w:pPr>
              <w:rPr>
                <w:color w:val="002060"/>
                <w:sz w:val="16"/>
                <w:szCs w:val="16"/>
              </w:rPr>
            </w:pPr>
            <w:r w:rsidRPr="00A806A7">
              <w:rPr>
                <w:color w:val="002060"/>
                <w:sz w:val="16"/>
                <w:szCs w:val="16"/>
              </w:rPr>
              <w:t>Revue annuelle du système de Madrid</w:t>
            </w:r>
            <w:r w:rsidR="00FA22F6" w:rsidRPr="00A806A7">
              <w:rPr>
                <w:color w:val="002060"/>
                <w:sz w:val="16"/>
                <w:szCs w:val="16"/>
              </w:rPr>
              <w:t> :</w:t>
            </w:r>
            <w:r w:rsidRPr="00A806A7">
              <w:rPr>
                <w:color w:val="002060"/>
                <w:sz w:val="16"/>
                <w:szCs w:val="16"/>
              </w:rPr>
              <w:t xml:space="preserve"> </w:t>
            </w:r>
            <w:r w:rsidR="00BA5EA9" w:rsidRPr="00A806A7">
              <w:rPr>
                <w:color w:val="002060"/>
                <w:sz w:val="16"/>
                <w:szCs w:val="16"/>
              </w:rPr>
              <w:t>4733</w:t>
            </w:r>
          </w:p>
          <w:p w14:paraId="79D228E9" w14:textId="79B7381E" w:rsidR="001F64B1" w:rsidRPr="00A806A7" w:rsidRDefault="00B2297A" w:rsidP="0097226C">
            <w:pPr>
              <w:rPr>
                <w:color w:val="002060"/>
                <w:sz w:val="16"/>
                <w:szCs w:val="16"/>
              </w:rPr>
            </w:pPr>
            <w:r w:rsidRPr="00A806A7">
              <w:rPr>
                <w:color w:val="002060"/>
                <w:sz w:val="16"/>
                <w:szCs w:val="16"/>
              </w:rPr>
              <w:t xml:space="preserve">Revue annuelle du système de </w:t>
            </w:r>
            <w:r w:rsidR="00FA22F6" w:rsidRPr="00A806A7">
              <w:rPr>
                <w:color w:val="002060"/>
                <w:sz w:val="16"/>
                <w:szCs w:val="16"/>
              </w:rPr>
              <w:t>La Haye :</w:t>
            </w:r>
            <w:r w:rsidRPr="00A806A7">
              <w:rPr>
                <w:color w:val="002060"/>
                <w:sz w:val="16"/>
                <w:szCs w:val="16"/>
              </w:rPr>
              <w:t xml:space="preserve"> </w:t>
            </w:r>
            <w:r w:rsidR="00BA5EA9" w:rsidRPr="00A806A7">
              <w:rPr>
                <w:color w:val="002060"/>
                <w:sz w:val="16"/>
                <w:szCs w:val="16"/>
              </w:rPr>
              <w:t>3662</w:t>
            </w:r>
          </w:p>
          <w:p w14:paraId="0E787D91" w14:textId="77777777" w:rsidR="001F64B1" w:rsidRPr="001E6DFD" w:rsidRDefault="001F64B1" w:rsidP="0097226C">
            <w:pPr>
              <w:rPr>
                <w:sz w:val="16"/>
                <w:szCs w:val="16"/>
              </w:rPr>
            </w:pPr>
          </w:p>
          <w:p w14:paraId="73E624D9" w14:textId="067D0910"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572D45C" w14:textId="3CAA7F65" w:rsidR="00BA5EA9" w:rsidRPr="001E6DFD" w:rsidRDefault="00B2297A" w:rsidP="0097226C">
            <w:pPr>
              <w:rPr>
                <w:sz w:val="16"/>
                <w:szCs w:val="16"/>
              </w:rPr>
            </w:pPr>
            <w:r w:rsidRPr="001E6DFD">
              <w:rPr>
                <w:sz w:val="16"/>
                <w:szCs w:val="16"/>
              </w:rPr>
              <w:t>à déterminer</w:t>
            </w:r>
            <w:r w:rsidRPr="001E6DFD">
              <w:rPr>
                <w:rStyle w:val="FootnoteReference"/>
                <w:rFonts w:cs="Arial"/>
              </w:rPr>
              <w:footnoteReference w:id="67"/>
            </w:r>
          </w:p>
        </w:tc>
        <w:tc>
          <w:tcPr>
            <w:tcW w:w="739" w:type="pct"/>
            <w:shd w:val="clear" w:color="auto" w:fill="auto"/>
            <w:tcMar>
              <w:top w:w="110" w:type="dxa"/>
              <w:left w:w="58" w:type="dxa"/>
              <w:right w:w="58" w:type="dxa"/>
            </w:tcMar>
          </w:tcPr>
          <w:p w14:paraId="7ECA14F7" w14:textId="71576826" w:rsidR="00FA22F6" w:rsidRPr="00A806A7" w:rsidRDefault="00B2297A" w:rsidP="0097226C">
            <w:pPr>
              <w:rPr>
                <w:i/>
                <w:color w:val="002060"/>
                <w:sz w:val="16"/>
                <w:szCs w:val="16"/>
              </w:rPr>
            </w:pPr>
            <w:r w:rsidRPr="00A806A7">
              <w:rPr>
                <w:i/>
                <w:color w:val="002060"/>
                <w:sz w:val="16"/>
                <w:szCs w:val="16"/>
              </w:rPr>
              <w:t>Objectif fixé</w:t>
            </w:r>
            <w:r w:rsidR="00FA22F6" w:rsidRPr="00A806A7">
              <w:rPr>
                <w:i/>
                <w:color w:val="002060"/>
                <w:sz w:val="16"/>
                <w:szCs w:val="16"/>
              </w:rPr>
              <w:t> :</w:t>
            </w:r>
          </w:p>
          <w:p w14:paraId="40F04F08" w14:textId="51E0B09A" w:rsidR="001F64B1" w:rsidRPr="00A806A7" w:rsidRDefault="009B322C" w:rsidP="0097226C">
            <w:pPr>
              <w:rPr>
                <w:color w:val="002060"/>
                <w:sz w:val="16"/>
                <w:szCs w:val="16"/>
              </w:rPr>
            </w:pPr>
            <w:r w:rsidRPr="00A806A7">
              <w:rPr>
                <w:color w:val="002060"/>
                <w:sz w:val="16"/>
                <w:szCs w:val="16"/>
              </w:rPr>
              <w:t>Indicateurs mondiaux relatifs à la propriété intellectuelle</w:t>
            </w:r>
            <w:r w:rsidR="00FA22F6" w:rsidRPr="00A806A7">
              <w:rPr>
                <w:color w:val="002060"/>
                <w:sz w:val="16"/>
                <w:szCs w:val="16"/>
              </w:rPr>
              <w:t> :</w:t>
            </w:r>
            <w:r w:rsidRPr="00A806A7">
              <w:rPr>
                <w:color w:val="002060"/>
                <w:sz w:val="16"/>
                <w:szCs w:val="16"/>
              </w:rPr>
              <w:t xml:space="preserve"> </w:t>
            </w:r>
            <w:r w:rsidR="00B2297A" w:rsidRPr="00A806A7">
              <w:rPr>
                <w:color w:val="002060"/>
                <w:sz w:val="16"/>
                <w:szCs w:val="16"/>
              </w:rPr>
              <w:t>augmentation de 10%</w:t>
            </w:r>
          </w:p>
          <w:p w14:paraId="5E14B242" w14:textId="77777777" w:rsidR="001F64B1" w:rsidRPr="00A806A7" w:rsidRDefault="001F64B1" w:rsidP="0097226C">
            <w:pPr>
              <w:rPr>
                <w:color w:val="002060"/>
                <w:sz w:val="16"/>
                <w:szCs w:val="16"/>
              </w:rPr>
            </w:pPr>
          </w:p>
          <w:p w14:paraId="5B076B56" w14:textId="72BEAE77" w:rsidR="001F64B1" w:rsidRPr="00A806A7" w:rsidRDefault="00B2297A" w:rsidP="0097226C">
            <w:pPr>
              <w:rPr>
                <w:color w:val="002060"/>
                <w:sz w:val="16"/>
                <w:szCs w:val="16"/>
              </w:rPr>
            </w:pPr>
            <w:r w:rsidRPr="00A806A7">
              <w:rPr>
                <w:color w:val="002060"/>
                <w:sz w:val="16"/>
                <w:szCs w:val="16"/>
              </w:rPr>
              <w:t>Revue annuelle</w:t>
            </w:r>
            <w:r w:rsidR="00FA22F6" w:rsidRPr="00A806A7">
              <w:rPr>
                <w:color w:val="002060"/>
                <w:sz w:val="16"/>
                <w:szCs w:val="16"/>
              </w:rPr>
              <w:t xml:space="preserve"> du PCT :</w:t>
            </w:r>
            <w:r w:rsidR="00BA5EA9" w:rsidRPr="00A806A7">
              <w:rPr>
                <w:color w:val="002060"/>
                <w:sz w:val="16"/>
                <w:szCs w:val="16"/>
              </w:rPr>
              <w:t xml:space="preserve"> </w:t>
            </w:r>
            <w:r w:rsidRPr="00A806A7">
              <w:rPr>
                <w:color w:val="002060"/>
                <w:sz w:val="16"/>
                <w:szCs w:val="16"/>
              </w:rPr>
              <w:t>augmentation de 5%</w:t>
            </w:r>
            <w:r w:rsidRPr="00A806A7">
              <w:rPr>
                <w:rStyle w:val="FootnoteReference"/>
                <w:rFonts w:cs="Arial"/>
                <w:color w:val="002060"/>
              </w:rPr>
              <w:footnoteReference w:id="68"/>
            </w:r>
          </w:p>
          <w:p w14:paraId="46ADA885" w14:textId="77777777" w:rsidR="001F64B1" w:rsidRPr="00A806A7" w:rsidRDefault="001F64B1" w:rsidP="0097226C">
            <w:pPr>
              <w:rPr>
                <w:color w:val="002060"/>
                <w:sz w:val="16"/>
                <w:szCs w:val="16"/>
              </w:rPr>
            </w:pPr>
          </w:p>
          <w:p w14:paraId="0F26CDD6" w14:textId="5A524D27" w:rsidR="001F64B1" w:rsidRPr="00A806A7" w:rsidRDefault="00B2297A" w:rsidP="0097226C">
            <w:pPr>
              <w:rPr>
                <w:color w:val="002060"/>
                <w:sz w:val="16"/>
                <w:szCs w:val="16"/>
              </w:rPr>
            </w:pPr>
            <w:r w:rsidRPr="00A806A7">
              <w:rPr>
                <w:color w:val="002060"/>
                <w:sz w:val="16"/>
                <w:szCs w:val="16"/>
              </w:rPr>
              <w:t>Revue annuelle du système de Madrid</w:t>
            </w:r>
            <w:r w:rsidR="00FA22F6" w:rsidRPr="00A806A7">
              <w:rPr>
                <w:color w:val="002060"/>
                <w:sz w:val="16"/>
                <w:szCs w:val="16"/>
              </w:rPr>
              <w:t> :</w:t>
            </w:r>
            <w:r w:rsidR="00BA5EA9" w:rsidRPr="00A806A7">
              <w:rPr>
                <w:color w:val="002060"/>
                <w:sz w:val="16"/>
                <w:szCs w:val="16"/>
              </w:rPr>
              <w:t xml:space="preserve"> </w:t>
            </w:r>
            <w:r w:rsidRPr="00A806A7">
              <w:rPr>
                <w:color w:val="002060"/>
                <w:sz w:val="16"/>
                <w:szCs w:val="16"/>
              </w:rPr>
              <w:t>augmentation de 5%</w:t>
            </w:r>
          </w:p>
          <w:p w14:paraId="5EB34436" w14:textId="77777777" w:rsidR="001F64B1" w:rsidRPr="00A806A7" w:rsidRDefault="001F64B1" w:rsidP="0097226C">
            <w:pPr>
              <w:rPr>
                <w:color w:val="002060"/>
                <w:sz w:val="16"/>
                <w:szCs w:val="16"/>
              </w:rPr>
            </w:pPr>
          </w:p>
          <w:p w14:paraId="1E4CB1AC" w14:textId="57E09BB7" w:rsidR="001F64B1" w:rsidRPr="00A806A7" w:rsidRDefault="00B2297A" w:rsidP="0097226C">
            <w:pPr>
              <w:rPr>
                <w:color w:val="002060"/>
                <w:sz w:val="16"/>
                <w:szCs w:val="16"/>
              </w:rPr>
            </w:pPr>
            <w:r w:rsidRPr="00A806A7">
              <w:rPr>
                <w:color w:val="002060"/>
                <w:sz w:val="16"/>
                <w:szCs w:val="16"/>
              </w:rPr>
              <w:t xml:space="preserve">Revue annuelle du système de </w:t>
            </w:r>
            <w:r w:rsidR="00FA22F6" w:rsidRPr="00A806A7">
              <w:rPr>
                <w:color w:val="002060"/>
                <w:sz w:val="16"/>
                <w:szCs w:val="16"/>
              </w:rPr>
              <w:t>La Haye :</w:t>
            </w:r>
            <w:r w:rsidR="00BA5EA9" w:rsidRPr="00A806A7">
              <w:rPr>
                <w:color w:val="002060"/>
                <w:sz w:val="16"/>
                <w:szCs w:val="16"/>
              </w:rPr>
              <w:t xml:space="preserve"> </w:t>
            </w:r>
            <w:r w:rsidRPr="00A806A7">
              <w:rPr>
                <w:color w:val="002060"/>
                <w:sz w:val="16"/>
                <w:szCs w:val="16"/>
              </w:rPr>
              <w:t xml:space="preserve">augmentation de </w:t>
            </w:r>
            <w:r w:rsidRPr="00A806A7">
              <w:rPr>
                <w:color w:val="002060"/>
                <w:sz w:val="16"/>
                <w:szCs w:val="16"/>
              </w:rPr>
              <w:lastRenderedPageBreak/>
              <w:t>5%</w:t>
            </w:r>
          </w:p>
          <w:p w14:paraId="7F48D618" w14:textId="77777777" w:rsidR="001F64B1" w:rsidRPr="001E6DFD" w:rsidRDefault="001F64B1" w:rsidP="0097226C">
            <w:pPr>
              <w:rPr>
                <w:sz w:val="16"/>
                <w:szCs w:val="16"/>
              </w:rPr>
            </w:pPr>
          </w:p>
          <w:p w14:paraId="0FC5E9D2" w14:textId="6D4E3546" w:rsidR="00FA22F6" w:rsidRPr="001E6DFD" w:rsidRDefault="007B6500" w:rsidP="0097226C">
            <w:pPr>
              <w:rPr>
                <w:i/>
                <w:sz w:val="16"/>
                <w:szCs w:val="16"/>
              </w:rPr>
            </w:pPr>
            <w:r w:rsidRPr="001E6DFD">
              <w:rPr>
                <w:i/>
                <w:sz w:val="16"/>
                <w:szCs w:val="16"/>
              </w:rPr>
              <w:t>Objectif</w:t>
            </w:r>
            <w:r w:rsidR="009B322C" w:rsidRPr="001E6DFD">
              <w:rPr>
                <w:i/>
                <w:sz w:val="16"/>
                <w:szCs w:val="16"/>
              </w:rPr>
              <w:t xml:space="preserve"> initial</w:t>
            </w:r>
            <w:r w:rsidR="00FA22F6" w:rsidRPr="001E6DFD">
              <w:rPr>
                <w:i/>
                <w:sz w:val="16"/>
                <w:szCs w:val="16"/>
              </w:rPr>
              <w:t> :</w:t>
            </w:r>
          </w:p>
          <w:p w14:paraId="43F5EFF0" w14:textId="29933786" w:rsidR="00BA5EA9" w:rsidRPr="001E6DFD" w:rsidRDefault="00B2297A" w:rsidP="0097226C">
            <w:pPr>
              <w:rPr>
                <w:sz w:val="16"/>
                <w:szCs w:val="16"/>
              </w:rPr>
            </w:pPr>
            <w:r w:rsidRPr="001E6DFD">
              <w:rPr>
                <w:sz w:val="16"/>
                <w:szCs w:val="16"/>
              </w:rPr>
              <w:t>à déterminer</w:t>
            </w:r>
          </w:p>
        </w:tc>
        <w:tc>
          <w:tcPr>
            <w:tcW w:w="1378" w:type="pct"/>
            <w:shd w:val="clear" w:color="auto" w:fill="FFFFFF"/>
            <w:tcMar>
              <w:top w:w="110" w:type="dxa"/>
              <w:left w:w="58" w:type="dxa"/>
              <w:right w:w="58" w:type="dxa"/>
            </w:tcMar>
          </w:tcPr>
          <w:p w14:paraId="7775A811" w14:textId="31D518B8" w:rsidR="00BA5EA9" w:rsidRPr="00A806A7" w:rsidRDefault="00F94D75" w:rsidP="0097226C">
            <w:pPr>
              <w:keepNext/>
              <w:keepLines/>
              <w:rPr>
                <w:sz w:val="16"/>
                <w:szCs w:val="16"/>
              </w:rPr>
            </w:pPr>
            <w:r w:rsidRPr="00A806A7">
              <w:rPr>
                <w:sz w:val="16"/>
                <w:szCs w:val="16"/>
              </w:rPr>
              <w:lastRenderedPageBreak/>
              <w:t>L</w:t>
            </w:r>
            <w:r w:rsidR="00FA22F6" w:rsidRPr="00A806A7">
              <w:rPr>
                <w:sz w:val="16"/>
                <w:szCs w:val="16"/>
              </w:rPr>
              <w:t>’</w:t>
            </w:r>
            <w:r w:rsidRPr="00A806A7">
              <w:rPr>
                <w:sz w:val="16"/>
                <w:szCs w:val="16"/>
              </w:rPr>
              <w:t>outil amélioré d</w:t>
            </w:r>
            <w:r w:rsidR="00FA22F6" w:rsidRPr="00A806A7">
              <w:rPr>
                <w:sz w:val="16"/>
                <w:szCs w:val="16"/>
              </w:rPr>
              <w:t>’</w:t>
            </w:r>
            <w:r w:rsidRPr="00A806A7">
              <w:rPr>
                <w:sz w:val="16"/>
                <w:szCs w:val="16"/>
              </w:rPr>
              <w:t>analyse Web a été mis en œuvre au cours de l</w:t>
            </w:r>
            <w:r w:rsidR="00FA22F6" w:rsidRPr="00A806A7">
              <w:rPr>
                <w:sz w:val="16"/>
                <w:szCs w:val="16"/>
              </w:rPr>
              <w:t>’</w:t>
            </w:r>
            <w:r w:rsidRPr="00A806A7">
              <w:rPr>
                <w:sz w:val="16"/>
                <w:szCs w:val="16"/>
              </w:rPr>
              <w:t>année</w:t>
            </w:r>
            <w:r w:rsidR="00B4191E" w:rsidRPr="00A806A7">
              <w:rPr>
                <w:sz w:val="16"/>
                <w:szCs w:val="16"/>
              </w:rPr>
              <w:t> </w:t>
            </w:r>
            <w:r w:rsidRPr="00A806A7">
              <w:rPr>
                <w:sz w:val="16"/>
                <w:szCs w:val="16"/>
              </w:rPr>
              <w:t xml:space="preserve">2016, ce qui a rendu impossible le suivi des données </w:t>
            </w:r>
            <w:r w:rsidR="00FA22F6" w:rsidRPr="00A806A7">
              <w:rPr>
                <w:sz w:val="16"/>
                <w:szCs w:val="16"/>
              </w:rPr>
              <w:t>pour 2016</w:t>
            </w:r>
          </w:p>
        </w:tc>
        <w:tc>
          <w:tcPr>
            <w:tcW w:w="513" w:type="pct"/>
            <w:shd w:val="clear" w:color="auto" w:fill="auto"/>
            <w:tcMar>
              <w:top w:w="110" w:type="dxa"/>
              <w:left w:w="58" w:type="dxa"/>
              <w:right w:w="58" w:type="dxa"/>
            </w:tcMar>
          </w:tcPr>
          <w:p w14:paraId="77BD99D8" w14:textId="39DC3FE8" w:rsidR="00BA5EA9" w:rsidRPr="001E6DFD" w:rsidRDefault="00B649F5" w:rsidP="0097226C">
            <w:pPr>
              <w:keepNext/>
              <w:keepLines/>
              <w:jc w:val="center"/>
              <w:rPr>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10049379" w14:textId="77777777" w:rsidTr="00A055E7">
        <w:tc>
          <w:tcPr>
            <w:tcW w:w="1049" w:type="pct"/>
            <w:shd w:val="clear" w:color="auto" w:fill="auto"/>
            <w:tcMar>
              <w:left w:w="58" w:type="dxa"/>
              <w:right w:w="58" w:type="dxa"/>
            </w:tcMar>
          </w:tcPr>
          <w:p w14:paraId="5BACDC20" w14:textId="7F5D6957" w:rsidR="00BA5EA9" w:rsidRPr="001E6DFD" w:rsidRDefault="00B2297A" w:rsidP="0097226C">
            <w:pPr>
              <w:keepNext/>
              <w:keepLines/>
              <w:rPr>
                <w:sz w:val="16"/>
                <w:szCs w:val="16"/>
              </w:rPr>
            </w:pPr>
            <w:r w:rsidRPr="001E6DFD">
              <w:rPr>
                <w:sz w:val="16"/>
                <w:szCs w:val="16"/>
              </w:rPr>
              <w:lastRenderedPageBreak/>
              <w:t>L</w:t>
            </w:r>
            <w:r w:rsidR="00FA22F6" w:rsidRPr="001E6DFD">
              <w:rPr>
                <w:sz w:val="16"/>
                <w:szCs w:val="16"/>
              </w:rPr>
              <w:t>’</w:t>
            </w:r>
            <w:r w:rsidRPr="001E6DFD">
              <w:rPr>
                <w:sz w:val="16"/>
                <w:szCs w:val="16"/>
              </w:rPr>
              <w:t>écart entre les prévisions de janvier et les chiffres réels concernant les demandes déposées par les systèmes</w:t>
            </w:r>
            <w:r w:rsidR="00FA22F6" w:rsidRPr="001E6DFD">
              <w:rPr>
                <w:sz w:val="16"/>
                <w:szCs w:val="16"/>
              </w:rPr>
              <w:t xml:space="preserve"> du PCT</w:t>
            </w:r>
            <w:r w:rsidRPr="001E6DFD">
              <w:rPr>
                <w:sz w:val="16"/>
                <w:szCs w:val="16"/>
              </w:rPr>
              <w:t xml:space="preserve">, de Madrid et de </w:t>
            </w:r>
            <w:r w:rsidR="00FA22F6" w:rsidRPr="001E6DFD">
              <w:rPr>
                <w:sz w:val="16"/>
                <w:szCs w:val="16"/>
              </w:rPr>
              <w:t>La Haye</w:t>
            </w:r>
            <w:r w:rsidRPr="001E6DFD">
              <w:rPr>
                <w:sz w:val="16"/>
                <w:szCs w:val="16"/>
              </w:rPr>
              <w:t xml:space="preserve"> s</w:t>
            </w:r>
            <w:r w:rsidR="00FA22F6" w:rsidRPr="001E6DFD">
              <w:rPr>
                <w:sz w:val="16"/>
                <w:szCs w:val="16"/>
              </w:rPr>
              <w:t>’</w:t>
            </w:r>
            <w:r w:rsidRPr="001E6DFD">
              <w:rPr>
                <w:sz w:val="16"/>
                <w:szCs w:val="16"/>
              </w:rPr>
              <w:t>inscrit dans la marche prévue.</w:t>
            </w:r>
          </w:p>
        </w:tc>
        <w:tc>
          <w:tcPr>
            <w:tcW w:w="1321" w:type="pct"/>
            <w:shd w:val="clear" w:color="auto" w:fill="auto"/>
            <w:tcMar>
              <w:left w:w="58" w:type="dxa"/>
              <w:right w:w="58" w:type="dxa"/>
            </w:tcMar>
          </w:tcPr>
          <w:p w14:paraId="61F4BEDC" w14:textId="51B59877" w:rsidR="00FA22F6" w:rsidRPr="00A806A7" w:rsidRDefault="00E64532" w:rsidP="0097226C">
            <w:pPr>
              <w:keepNext/>
              <w:keepLines/>
              <w:rPr>
                <w:i/>
                <w:color w:val="002060"/>
                <w:sz w:val="16"/>
                <w:szCs w:val="16"/>
              </w:rPr>
            </w:pPr>
            <w:r w:rsidRPr="00A806A7">
              <w:rPr>
                <w:i/>
                <w:color w:val="002060"/>
                <w:sz w:val="16"/>
                <w:szCs w:val="16"/>
              </w:rPr>
              <w:t>Niveau de référence actualisé à fin</w:t>
            </w:r>
            <w:r w:rsidR="00B4191E" w:rsidRPr="00A806A7">
              <w:rPr>
                <w:i/>
                <w:color w:val="002060"/>
                <w:sz w:val="16"/>
                <w:szCs w:val="16"/>
              </w:rPr>
              <w:t> </w:t>
            </w:r>
            <w:r w:rsidRPr="00A806A7">
              <w:rPr>
                <w:i/>
                <w:color w:val="002060"/>
                <w:sz w:val="16"/>
                <w:szCs w:val="16"/>
              </w:rPr>
              <w:t>2015</w:t>
            </w:r>
            <w:r w:rsidR="00FA22F6" w:rsidRPr="00A806A7">
              <w:rPr>
                <w:i/>
                <w:color w:val="002060"/>
                <w:sz w:val="16"/>
                <w:szCs w:val="16"/>
              </w:rPr>
              <w:t> :</w:t>
            </w:r>
          </w:p>
          <w:p w14:paraId="24535281" w14:textId="006A9CFD" w:rsidR="00FA22F6" w:rsidRPr="00A806A7" w:rsidRDefault="006C646B" w:rsidP="0097226C">
            <w:pPr>
              <w:keepNext/>
              <w:keepLines/>
              <w:rPr>
                <w:color w:val="002060"/>
                <w:sz w:val="16"/>
                <w:szCs w:val="16"/>
              </w:rPr>
            </w:pPr>
            <w:r w:rsidRPr="00A806A7">
              <w:rPr>
                <w:color w:val="002060"/>
                <w:sz w:val="16"/>
                <w:szCs w:val="16"/>
              </w:rPr>
              <w:t xml:space="preserve">Prévisions de </w:t>
            </w:r>
            <w:r w:rsidR="00FA22F6" w:rsidRPr="00A806A7">
              <w:rPr>
                <w:color w:val="002060"/>
                <w:sz w:val="16"/>
                <w:szCs w:val="16"/>
              </w:rPr>
              <w:t>janvier 20</w:t>
            </w:r>
            <w:r w:rsidRPr="00A806A7">
              <w:rPr>
                <w:color w:val="002060"/>
                <w:sz w:val="16"/>
                <w:szCs w:val="16"/>
              </w:rPr>
              <w:t>15 concernant les demandes déposées;  et chiffres réels </w:t>
            </w:r>
            <w:r w:rsidR="00FA22F6" w:rsidRPr="00A806A7">
              <w:rPr>
                <w:color w:val="002060"/>
                <w:sz w:val="16"/>
                <w:szCs w:val="16"/>
              </w:rPr>
              <w:t>de 2015 :</w:t>
            </w:r>
          </w:p>
          <w:p w14:paraId="71F2B675" w14:textId="52F57842" w:rsidR="00FA22F6" w:rsidRPr="00A806A7" w:rsidRDefault="006A41CF" w:rsidP="0097226C">
            <w:pPr>
              <w:keepNext/>
              <w:keepLines/>
              <w:rPr>
                <w:color w:val="002060"/>
                <w:sz w:val="16"/>
                <w:szCs w:val="16"/>
              </w:rPr>
            </w:pPr>
            <w:r w:rsidRPr="00A806A7">
              <w:rPr>
                <w:color w:val="002060"/>
                <w:sz w:val="16"/>
                <w:szCs w:val="16"/>
              </w:rPr>
              <w:noBreakHyphen/>
            </w:r>
            <w:r w:rsidR="00BA5EA9" w:rsidRPr="00A806A7">
              <w:rPr>
                <w:color w:val="002060"/>
                <w:sz w:val="16"/>
                <w:szCs w:val="16"/>
              </w:rPr>
              <w:t xml:space="preserve"> PCT</w:t>
            </w:r>
            <w:r w:rsidR="00FA22F6" w:rsidRPr="00A806A7">
              <w:rPr>
                <w:color w:val="002060"/>
                <w:sz w:val="16"/>
                <w:szCs w:val="16"/>
              </w:rPr>
              <w:t> :</w:t>
            </w:r>
            <w:r w:rsidR="00EC391A" w:rsidRPr="00A806A7">
              <w:rPr>
                <w:color w:val="002060"/>
                <w:sz w:val="16"/>
                <w:szCs w:val="16"/>
              </w:rPr>
              <w:t xml:space="preserve"> prévisions</w:t>
            </w:r>
            <w:r w:rsidR="00B4191E" w:rsidRPr="00A806A7">
              <w:rPr>
                <w:color w:val="002060"/>
                <w:sz w:val="16"/>
                <w:szCs w:val="16"/>
              </w:rPr>
              <w:t> </w:t>
            </w:r>
            <w:r w:rsidR="00BA5EA9" w:rsidRPr="00A806A7">
              <w:rPr>
                <w:color w:val="002060"/>
                <w:sz w:val="16"/>
                <w:szCs w:val="16"/>
              </w:rPr>
              <w:t>2</w:t>
            </w:r>
            <w:r w:rsidR="00282CF5" w:rsidRPr="00A806A7">
              <w:rPr>
                <w:color w:val="002060"/>
                <w:sz w:val="16"/>
                <w:szCs w:val="16"/>
              </w:rPr>
              <w:t>16 100</w:t>
            </w:r>
            <w:r w:rsidR="00BA5EA9" w:rsidRPr="00A806A7">
              <w:rPr>
                <w:color w:val="002060"/>
                <w:sz w:val="16"/>
                <w:szCs w:val="16"/>
              </w:rPr>
              <w:t xml:space="preserve">;  </w:t>
            </w:r>
            <w:r w:rsidR="00EC391A" w:rsidRPr="00A806A7">
              <w:rPr>
                <w:color w:val="002060"/>
                <w:sz w:val="16"/>
                <w:szCs w:val="16"/>
              </w:rPr>
              <w:t>chiffres réels</w:t>
            </w:r>
            <w:r w:rsidR="00B4191E" w:rsidRPr="00A806A7">
              <w:rPr>
                <w:color w:val="002060"/>
                <w:sz w:val="16"/>
                <w:szCs w:val="16"/>
              </w:rPr>
              <w:t> </w:t>
            </w:r>
            <w:r w:rsidR="00BA5EA9" w:rsidRPr="00A806A7">
              <w:rPr>
                <w:color w:val="002060"/>
                <w:sz w:val="16"/>
                <w:szCs w:val="16"/>
              </w:rPr>
              <w:t>2</w:t>
            </w:r>
            <w:r w:rsidR="00282CF5" w:rsidRPr="00A806A7">
              <w:rPr>
                <w:color w:val="002060"/>
                <w:sz w:val="16"/>
                <w:szCs w:val="16"/>
              </w:rPr>
              <w:t>17 230</w:t>
            </w:r>
          </w:p>
          <w:p w14:paraId="67D5F85C" w14:textId="3CEA656C" w:rsidR="001F64B1" w:rsidRPr="00A806A7" w:rsidRDefault="006A41CF" w:rsidP="0097226C">
            <w:pPr>
              <w:keepNext/>
              <w:keepLines/>
              <w:rPr>
                <w:color w:val="002060"/>
                <w:sz w:val="16"/>
                <w:szCs w:val="16"/>
              </w:rPr>
            </w:pPr>
            <w:r w:rsidRPr="00A806A7">
              <w:rPr>
                <w:color w:val="002060"/>
                <w:sz w:val="16"/>
                <w:szCs w:val="16"/>
              </w:rPr>
              <w:noBreakHyphen/>
            </w:r>
            <w:r w:rsidR="00BA5EA9" w:rsidRPr="00A806A7">
              <w:rPr>
                <w:color w:val="002060"/>
                <w:sz w:val="16"/>
                <w:szCs w:val="16"/>
              </w:rPr>
              <w:t xml:space="preserve"> Madrid</w:t>
            </w:r>
            <w:r w:rsidR="00FA22F6" w:rsidRPr="00A806A7">
              <w:rPr>
                <w:color w:val="002060"/>
                <w:sz w:val="16"/>
                <w:szCs w:val="16"/>
              </w:rPr>
              <w:t> :</w:t>
            </w:r>
            <w:r w:rsidR="00EC391A" w:rsidRPr="00A806A7">
              <w:rPr>
                <w:color w:val="002060"/>
                <w:sz w:val="16"/>
                <w:szCs w:val="16"/>
              </w:rPr>
              <w:t xml:space="preserve"> prévisions</w:t>
            </w:r>
            <w:r w:rsidR="00B4191E" w:rsidRPr="00A806A7">
              <w:rPr>
                <w:color w:val="002060"/>
                <w:sz w:val="16"/>
                <w:szCs w:val="16"/>
              </w:rPr>
              <w:t> </w:t>
            </w:r>
            <w:r w:rsidR="00282CF5" w:rsidRPr="00A806A7">
              <w:rPr>
                <w:color w:val="002060"/>
                <w:sz w:val="16"/>
                <w:szCs w:val="16"/>
              </w:rPr>
              <w:t>51 090</w:t>
            </w:r>
            <w:r w:rsidR="00BA5EA9" w:rsidRPr="00A806A7">
              <w:rPr>
                <w:color w:val="002060"/>
                <w:sz w:val="16"/>
                <w:szCs w:val="16"/>
              </w:rPr>
              <w:t xml:space="preserve">;  </w:t>
            </w:r>
            <w:r w:rsidR="00EC391A" w:rsidRPr="00A806A7">
              <w:rPr>
                <w:color w:val="002060"/>
                <w:sz w:val="16"/>
                <w:szCs w:val="16"/>
              </w:rPr>
              <w:t>chiffres réels</w:t>
            </w:r>
            <w:r w:rsidR="00B4191E" w:rsidRPr="00A806A7">
              <w:rPr>
                <w:color w:val="002060"/>
                <w:sz w:val="16"/>
                <w:szCs w:val="16"/>
              </w:rPr>
              <w:t> </w:t>
            </w:r>
            <w:r w:rsidR="00282CF5" w:rsidRPr="00A806A7">
              <w:rPr>
                <w:color w:val="002060"/>
                <w:sz w:val="16"/>
                <w:szCs w:val="16"/>
              </w:rPr>
              <w:t>49 273</w:t>
            </w:r>
          </w:p>
          <w:p w14:paraId="16A5DAA9" w14:textId="639003C2" w:rsidR="001F64B1" w:rsidRPr="00A806A7" w:rsidRDefault="006A41CF" w:rsidP="0097226C">
            <w:pPr>
              <w:keepNext/>
              <w:keepLines/>
              <w:rPr>
                <w:color w:val="002060"/>
                <w:sz w:val="16"/>
                <w:szCs w:val="16"/>
              </w:rPr>
            </w:pPr>
            <w:r w:rsidRPr="00A806A7">
              <w:rPr>
                <w:color w:val="002060"/>
                <w:sz w:val="16"/>
                <w:szCs w:val="16"/>
              </w:rPr>
              <w:noBreakHyphen/>
            </w:r>
            <w:r w:rsidR="00BA5EA9" w:rsidRPr="00A806A7">
              <w:rPr>
                <w:color w:val="002060"/>
                <w:sz w:val="16"/>
                <w:szCs w:val="16"/>
              </w:rPr>
              <w:t xml:space="preserve"> Hague</w:t>
            </w:r>
            <w:r w:rsidR="00FA22F6" w:rsidRPr="00A806A7">
              <w:rPr>
                <w:color w:val="002060"/>
                <w:sz w:val="16"/>
                <w:szCs w:val="16"/>
              </w:rPr>
              <w:t> :</w:t>
            </w:r>
            <w:r w:rsidR="00EC391A" w:rsidRPr="00A806A7">
              <w:rPr>
                <w:color w:val="002060"/>
                <w:sz w:val="16"/>
                <w:szCs w:val="16"/>
              </w:rPr>
              <w:t xml:space="preserve"> prévisions</w:t>
            </w:r>
            <w:r w:rsidR="00B4191E" w:rsidRPr="00A806A7">
              <w:rPr>
                <w:color w:val="002060"/>
                <w:sz w:val="16"/>
                <w:szCs w:val="16"/>
              </w:rPr>
              <w:t> </w:t>
            </w:r>
            <w:r w:rsidR="004D421A" w:rsidRPr="00A806A7">
              <w:rPr>
                <w:color w:val="002060"/>
                <w:sz w:val="16"/>
                <w:szCs w:val="16"/>
              </w:rPr>
              <w:t>3940</w:t>
            </w:r>
            <w:r w:rsidR="00BA5EA9" w:rsidRPr="00A806A7">
              <w:rPr>
                <w:color w:val="002060"/>
                <w:sz w:val="16"/>
                <w:szCs w:val="16"/>
              </w:rPr>
              <w:t xml:space="preserve">;  </w:t>
            </w:r>
            <w:r w:rsidR="007B6500" w:rsidRPr="00A806A7">
              <w:rPr>
                <w:color w:val="002060"/>
                <w:sz w:val="16"/>
                <w:szCs w:val="16"/>
              </w:rPr>
              <w:t>chiff</w:t>
            </w:r>
            <w:r w:rsidR="00EC391A" w:rsidRPr="00A806A7">
              <w:rPr>
                <w:color w:val="002060"/>
                <w:sz w:val="16"/>
                <w:szCs w:val="16"/>
              </w:rPr>
              <w:t>res réels</w:t>
            </w:r>
            <w:r w:rsidR="00B4191E" w:rsidRPr="00A806A7">
              <w:rPr>
                <w:color w:val="002060"/>
                <w:sz w:val="16"/>
                <w:szCs w:val="16"/>
              </w:rPr>
              <w:t> </w:t>
            </w:r>
            <w:r w:rsidR="004D421A" w:rsidRPr="00A806A7">
              <w:rPr>
                <w:color w:val="002060"/>
                <w:sz w:val="16"/>
                <w:szCs w:val="16"/>
              </w:rPr>
              <w:t>4111</w:t>
            </w:r>
          </w:p>
          <w:p w14:paraId="73C234D2" w14:textId="77777777" w:rsidR="001F64B1" w:rsidRPr="001E6DFD" w:rsidRDefault="001F64B1" w:rsidP="0097226C">
            <w:pPr>
              <w:keepNext/>
              <w:keepLines/>
              <w:rPr>
                <w:sz w:val="16"/>
                <w:szCs w:val="16"/>
              </w:rPr>
            </w:pPr>
          </w:p>
          <w:p w14:paraId="277FD4C2" w14:textId="40A34779" w:rsidR="00FA22F6" w:rsidRPr="001E6DFD" w:rsidRDefault="00E64532" w:rsidP="0097226C">
            <w:pPr>
              <w:keepNext/>
              <w:keepLines/>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3D680DF" w14:textId="70FDA58E" w:rsidR="00BA5EA9" w:rsidRPr="001E6DFD" w:rsidRDefault="00B2297A" w:rsidP="0097226C">
            <w:pPr>
              <w:keepNext/>
              <w:keepLines/>
              <w:rPr>
                <w:sz w:val="16"/>
                <w:szCs w:val="16"/>
              </w:rPr>
            </w:pPr>
            <w:r w:rsidRPr="001E6DFD">
              <w:rPr>
                <w:sz w:val="16"/>
                <w:szCs w:val="16"/>
              </w:rPr>
              <w:t>à déterminer début</w:t>
            </w:r>
            <w:r w:rsidR="00B4191E">
              <w:rPr>
                <w:sz w:val="16"/>
                <w:szCs w:val="16"/>
              </w:rPr>
              <w:t> </w:t>
            </w:r>
            <w:r w:rsidRPr="001E6DFD">
              <w:rPr>
                <w:sz w:val="16"/>
                <w:szCs w:val="16"/>
              </w:rPr>
              <w:t>2016</w:t>
            </w:r>
          </w:p>
        </w:tc>
        <w:tc>
          <w:tcPr>
            <w:tcW w:w="739" w:type="pct"/>
            <w:shd w:val="clear" w:color="auto" w:fill="auto"/>
            <w:tcMar>
              <w:top w:w="110" w:type="dxa"/>
              <w:left w:w="58" w:type="dxa"/>
              <w:right w:w="58" w:type="dxa"/>
            </w:tcMar>
          </w:tcPr>
          <w:p w14:paraId="771AA514" w14:textId="6985BF96" w:rsidR="00BA5EA9" w:rsidRPr="001E6DFD" w:rsidRDefault="00B2297A" w:rsidP="0097226C">
            <w:pPr>
              <w:keepNext/>
              <w:keepLines/>
              <w:rPr>
                <w:sz w:val="16"/>
                <w:szCs w:val="16"/>
              </w:rPr>
            </w:pPr>
            <w:r w:rsidRPr="001E6DFD">
              <w:rPr>
                <w:sz w:val="16"/>
                <w:szCs w:val="16"/>
              </w:rPr>
              <w:t>Prévisions comprises dans l</w:t>
            </w:r>
            <w:r w:rsidR="00FA22F6" w:rsidRPr="001E6DFD">
              <w:rPr>
                <w:sz w:val="16"/>
                <w:szCs w:val="16"/>
              </w:rPr>
              <w:t>’</w:t>
            </w:r>
            <w:r w:rsidRPr="001E6DFD">
              <w:rPr>
                <w:sz w:val="16"/>
                <w:szCs w:val="16"/>
              </w:rPr>
              <w:t>intervalle de confiance de 80%</w:t>
            </w:r>
          </w:p>
        </w:tc>
        <w:tc>
          <w:tcPr>
            <w:tcW w:w="1378" w:type="pct"/>
            <w:shd w:val="clear" w:color="auto" w:fill="FFFFFF"/>
            <w:tcMar>
              <w:top w:w="110" w:type="dxa"/>
              <w:left w:w="58" w:type="dxa"/>
              <w:right w:w="58" w:type="dxa"/>
            </w:tcMar>
          </w:tcPr>
          <w:p w14:paraId="1934AC8D" w14:textId="43304C8F" w:rsidR="001F64B1" w:rsidRDefault="007B6500" w:rsidP="0097226C">
            <w:pPr>
              <w:keepNext/>
              <w:keepLines/>
              <w:rPr>
                <w:sz w:val="16"/>
                <w:szCs w:val="16"/>
              </w:rPr>
            </w:pPr>
            <w:r w:rsidRPr="00A14FAB">
              <w:rPr>
                <w:sz w:val="16"/>
                <w:szCs w:val="16"/>
              </w:rPr>
              <w:t xml:space="preserve">Prévisions </w:t>
            </w:r>
            <w:r w:rsidR="00A14FAB">
              <w:rPr>
                <w:sz w:val="16"/>
                <w:szCs w:val="16"/>
              </w:rPr>
              <w:t>par rapport aux dépôts effectifs</w:t>
            </w:r>
          </w:p>
          <w:p w14:paraId="7CCADA00" w14:textId="24370E8F" w:rsidR="001F64B1" w:rsidRPr="00A14FAB" w:rsidRDefault="006A41CF" w:rsidP="0097226C">
            <w:pPr>
              <w:keepNext/>
              <w:keepLines/>
              <w:rPr>
                <w:sz w:val="16"/>
                <w:szCs w:val="16"/>
              </w:rPr>
            </w:pPr>
            <w:r w:rsidRPr="00A14FAB">
              <w:rPr>
                <w:sz w:val="16"/>
                <w:szCs w:val="16"/>
              </w:rPr>
              <w:noBreakHyphen/>
            </w:r>
            <w:r w:rsidR="00BA5EA9" w:rsidRPr="00A14FAB">
              <w:rPr>
                <w:sz w:val="16"/>
                <w:szCs w:val="16"/>
              </w:rPr>
              <w:t xml:space="preserve"> PCT</w:t>
            </w:r>
            <w:r w:rsidR="00FA22F6" w:rsidRPr="00A14FAB">
              <w:rPr>
                <w:sz w:val="16"/>
                <w:szCs w:val="16"/>
              </w:rPr>
              <w:t> :</w:t>
            </w:r>
            <w:r w:rsidR="007B6500" w:rsidRPr="00A14FAB">
              <w:rPr>
                <w:sz w:val="16"/>
                <w:szCs w:val="16"/>
              </w:rPr>
              <w:t xml:space="preserve"> prévisions</w:t>
            </w:r>
            <w:r w:rsidR="00B4191E" w:rsidRPr="00A14FAB">
              <w:rPr>
                <w:sz w:val="16"/>
                <w:szCs w:val="16"/>
              </w:rPr>
              <w:t> </w:t>
            </w:r>
            <w:r w:rsidR="00BA5EA9" w:rsidRPr="00A14FAB">
              <w:rPr>
                <w:sz w:val="16"/>
                <w:szCs w:val="16"/>
              </w:rPr>
              <w:t>2</w:t>
            </w:r>
            <w:r w:rsidR="00282CF5" w:rsidRPr="00A14FAB">
              <w:rPr>
                <w:sz w:val="16"/>
                <w:szCs w:val="16"/>
              </w:rPr>
              <w:t>25 400</w:t>
            </w:r>
            <w:r w:rsidR="00BA5EA9" w:rsidRPr="00A14FAB">
              <w:rPr>
                <w:sz w:val="16"/>
                <w:szCs w:val="16"/>
              </w:rPr>
              <w:t xml:space="preserve">;  </w:t>
            </w:r>
            <w:r w:rsidR="007B6500" w:rsidRPr="00A14FAB">
              <w:rPr>
                <w:sz w:val="16"/>
                <w:szCs w:val="16"/>
              </w:rPr>
              <w:t>chiffres réels</w:t>
            </w:r>
            <w:r w:rsidR="00B4191E" w:rsidRPr="00A14FAB">
              <w:rPr>
                <w:sz w:val="16"/>
                <w:szCs w:val="16"/>
              </w:rPr>
              <w:t> </w:t>
            </w:r>
            <w:r w:rsidR="00BA5EA9" w:rsidRPr="00A14FAB">
              <w:rPr>
                <w:sz w:val="16"/>
                <w:szCs w:val="16"/>
              </w:rPr>
              <w:t>2</w:t>
            </w:r>
            <w:r w:rsidR="00282CF5" w:rsidRPr="00A14FAB">
              <w:rPr>
                <w:sz w:val="16"/>
                <w:szCs w:val="16"/>
              </w:rPr>
              <w:t>33</w:t>
            </w:r>
            <w:r w:rsidR="00A14FAB">
              <w:rPr>
                <w:sz w:val="16"/>
                <w:szCs w:val="16"/>
              </w:rPr>
              <w:t> </w:t>
            </w:r>
            <w:r w:rsidR="00282CF5" w:rsidRPr="00A14FAB">
              <w:rPr>
                <w:sz w:val="16"/>
                <w:szCs w:val="16"/>
              </w:rPr>
              <w:t>000</w:t>
            </w:r>
            <w:r w:rsidR="00A14FAB">
              <w:rPr>
                <w:sz w:val="16"/>
                <w:szCs w:val="16"/>
              </w:rPr>
              <w:t xml:space="preserve"> (103%)</w:t>
            </w:r>
          </w:p>
          <w:p w14:paraId="0D1A1AE7" w14:textId="35DE5FFE" w:rsidR="001F64B1" w:rsidRPr="00A14FAB" w:rsidRDefault="006A41CF" w:rsidP="0097226C">
            <w:pPr>
              <w:keepNext/>
              <w:keepLines/>
              <w:rPr>
                <w:sz w:val="16"/>
                <w:szCs w:val="16"/>
              </w:rPr>
            </w:pPr>
            <w:r w:rsidRPr="00A14FAB">
              <w:rPr>
                <w:sz w:val="16"/>
                <w:szCs w:val="16"/>
              </w:rPr>
              <w:noBreakHyphen/>
            </w:r>
            <w:r w:rsidR="00BA5EA9" w:rsidRPr="00A14FAB">
              <w:rPr>
                <w:sz w:val="16"/>
                <w:szCs w:val="16"/>
              </w:rPr>
              <w:t xml:space="preserve"> Madrid</w:t>
            </w:r>
            <w:r w:rsidR="00FA22F6" w:rsidRPr="00A14FAB">
              <w:rPr>
                <w:sz w:val="16"/>
                <w:szCs w:val="16"/>
              </w:rPr>
              <w:t> :</w:t>
            </w:r>
            <w:r w:rsidR="007B6500" w:rsidRPr="00A14FAB">
              <w:rPr>
                <w:sz w:val="16"/>
                <w:szCs w:val="16"/>
              </w:rPr>
              <w:t xml:space="preserve"> prévisions</w:t>
            </w:r>
            <w:r w:rsidR="00B4191E" w:rsidRPr="00A14FAB">
              <w:rPr>
                <w:sz w:val="16"/>
                <w:szCs w:val="16"/>
              </w:rPr>
              <w:t> </w:t>
            </w:r>
            <w:r w:rsidR="00282CF5" w:rsidRPr="00A14FAB">
              <w:rPr>
                <w:sz w:val="16"/>
                <w:szCs w:val="16"/>
              </w:rPr>
              <w:t>52</w:t>
            </w:r>
            <w:r w:rsidR="007B6500" w:rsidRPr="00A14FAB">
              <w:rPr>
                <w:sz w:val="16"/>
                <w:szCs w:val="16"/>
              </w:rPr>
              <w:t> </w:t>
            </w:r>
            <w:r w:rsidR="00282CF5" w:rsidRPr="00A14FAB">
              <w:rPr>
                <w:sz w:val="16"/>
                <w:szCs w:val="16"/>
              </w:rPr>
              <w:t>030</w:t>
            </w:r>
            <w:r w:rsidR="007B6500" w:rsidRPr="00A14FAB">
              <w:rPr>
                <w:sz w:val="16"/>
                <w:szCs w:val="16"/>
              </w:rPr>
              <w:t>;</w:t>
            </w:r>
            <w:r w:rsidR="00BA5EA9" w:rsidRPr="00A14FAB">
              <w:rPr>
                <w:sz w:val="16"/>
                <w:szCs w:val="16"/>
              </w:rPr>
              <w:t xml:space="preserve"> </w:t>
            </w:r>
            <w:r w:rsidR="004D421A" w:rsidRPr="00A14FAB">
              <w:rPr>
                <w:sz w:val="16"/>
                <w:szCs w:val="16"/>
              </w:rPr>
              <w:t xml:space="preserve"> </w:t>
            </w:r>
            <w:r w:rsidR="007B6500" w:rsidRPr="00A14FAB">
              <w:rPr>
                <w:sz w:val="16"/>
                <w:szCs w:val="16"/>
              </w:rPr>
              <w:t>chiffres réels</w:t>
            </w:r>
            <w:r w:rsidR="00B4191E" w:rsidRPr="00A14FAB">
              <w:rPr>
                <w:sz w:val="16"/>
                <w:szCs w:val="16"/>
              </w:rPr>
              <w:t> </w:t>
            </w:r>
            <w:r w:rsidR="00282CF5" w:rsidRPr="00A14FAB">
              <w:rPr>
                <w:sz w:val="16"/>
                <w:szCs w:val="16"/>
              </w:rPr>
              <w:t>52</w:t>
            </w:r>
            <w:r w:rsidR="00A14FAB">
              <w:rPr>
                <w:sz w:val="16"/>
                <w:szCs w:val="16"/>
              </w:rPr>
              <w:t> </w:t>
            </w:r>
            <w:r w:rsidR="00282CF5" w:rsidRPr="00A14FAB">
              <w:rPr>
                <w:sz w:val="16"/>
                <w:szCs w:val="16"/>
              </w:rPr>
              <w:t>900</w:t>
            </w:r>
            <w:r w:rsidR="00A14FAB">
              <w:rPr>
                <w:sz w:val="16"/>
                <w:szCs w:val="16"/>
              </w:rPr>
              <w:t xml:space="preserve"> (102%)</w:t>
            </w:r>
          </w:p>
          <w:p w14:paraId="77B7B7B4" w14:textId="2F156B9E" w:rsidR="00BA5EA9" w:rsidRPr="00767B0A" w:rsidRDefault="006A41CF" w:rsidP="006A41CF">
            <w:pPr>
              <w:keepNext/>
              <w:keepLines/>
              <w:rPr>
                <w:sz w:val="16"/>
                <w:szCs w:val="16"/>
                <w:highlight w:val="yellow"/>
              </w:rPr>
            </w:pPr>
            <w:r w:rsidRPr="00A14FAB">
              <w:rPr>
                <w:sz w:val="16"/>
                <w:szCs w:val="16"/>
              </w:rPr>
              <w:noBreakHyphen/>
            </w:r>
            <w:r w:rsidR="00BA5EA9" w:rsidRPr="00A14FAB">
              <w:rPr>
                <w:sz w:val="16"/>
                <w:szCs w:val="16"/>
              </w:rPr>
              <w:t xml:space="preserve"> Hague</w:t>
            </w:r>
            <w:r w:rsidR="00FA22F6" w:rsidRPr="00A14FAB">
              <w:rPr>
                <w:sz w:val="16"/>
                <w:szCs w:val="16"/>
              </w:rPr>
              <w:t> :</w:t>
            </w:r>
            <w:r w:rsidR="007B6500" w:rsidRPr="00A14FAB">
              <w:rPr>
                <w:sz w:val="16"/>
                <w:szCs w:val="16"/>
              </w:rPr>
              <w:t xml:space="preserve"> prévisions</w:t>
            </w:r>
            <w:r w:rsidR="00B4191E" w:rsidRPr="00A14FAB">
              <w:rPr>
                <w:sz w:val="16"/>
                <w:szCs w:val="16"/>
              </w:rPr>
              <w:t> </w:t>
            </w:r>
            <w:r w:rsidR="004D421A" w:rsidRPr="00A14FAB">
              <w:rPr>
                <w:sz w:val="16"/>
                <w:szCs w:val="16"/>
              </w:rPr>
              <w:t>5560</w:t>
            </w:r>
            <w:r w:rsidR="00BA5EA9" w:rsidRPr="00A14FAB">
              <w:rPr>
                <w:sz w:val="16"/>
                <w:szCs w:val="16"/>
              </w:rPr>
              <w:t xml:space="preserve">;  </w:t>
            </w:r>
            <w:r w:rsidR="007B6500" w:rsidRPr="00A14FAB">
              <w:rPr>
                <w:sz w:val="16"/>
                <w:szCs w:val="16"/>
              </w:rPr>
              <w:t>chiffres réels</w:t>
            </w:r>
            <w:r w:rsidR="00B4191E" w:rsidRPr="00A14FAB">
              <w:rPr>
                <w:sz w:val="16"/>
                <w:szCs w:val="16"/>
              </w:rPr>
              <w:t> </w:t>
            </w:r>
            <w:r w:rsidR="004D421A" w:rsidRPr="00A14FAB">
              <w:rPr>
                <w:sz w:val="16"/>
                <w:szCs w:val="16"/>
              </w:rPr>
              <w:t>5562</w:t>
            </w:r>
            <w:r w:rsidR="00A14FAB">
              <w:rPr>
                <w:sz w:val="16"/>
                <w:szCs w:val="16"/>
              </w:rPr>
              <w:t xml:space="preserve"> (100%)</w:t>
            </w:r>
          </w:p>
        </w:tc>
        <w:tc>
          <w:tcPr>
            <w:tcW w:w="513" w:type="pct"/>
            <w:shd w:val="clear" w:color="auto" w:fill="auto"/>
            <w:tcMar>
              <w:top w:w="110" w:type="dxa"/>
              <w:left w:w="58" w:type="dxa"/>
              <w:right w:w="58" w:type="dxa"/>
            </w:tcMar>
          </w:tcPr>
          <w:p w14:paraId="5E0F678E"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2941292E" w14:textId="77777777" w:rsidTr="00A055E7">
        <w:tc>
          <w:tcPr>
            <w:tcW w:w="5000" w:type="pct"/>
            <w:gridSpan w:val="5"/>
            <w:shd w:val="clear" w:color="auto" w:fill="C6D9F1" w:themeFill="text2" w:themeFillTint="33"/>
            <w:tcMar>
              <w:left w:w="58" w:type="dxa"/>
              <w:right w:w="58" w:type="dxa"/>
            </w:tcMar>
            <w:vAlign w:val="center"/>
          </w:tcPr>
          <w:p w14:paraId="1A9A371E" w14:textId="6DBB9F1B" w:rsidR="00BA5EA9" w:rsidRPr="001E6DFD" w:rsidRDefault="00B2297A"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V.2 Utilisation élargie et améliorée des analyses économiques de l</w:t>
            </w:r>
            <w:r w:rsidR="00FA22F6" w:rsidRPr="001E6DFD">
              <w:rPr>
                <w:bCs/>
                <w:sz w:val="16"/>
                <w:szCs w:val="16"/>
              </w:rPr>
              <w:t>’</w:t>
            </w:r>
            <w:r w:rsidRPr="001E6DFD">
              <w:rPr>
                <w:bCs/>
                <w:sz w:val="16"/>
                <w:szCs w:val="16"/>
              </w:rPr>
              <w:t>OMPI aux fins de l</w:t>
            </w:r>
            <w:r w:rsidR="00FA22F6" w:rsidRPr="001E6DFD">
              <w:rPr>
                <w:bCs/>
                <w:sz w:val="16"/>
                <w:szCs w:val="16"/>
              </w:rPr>
              <w:t>’</w:t>
            </w:r>
            <w:r w:rsidRPr="001E6DFD">
              <w:rPr>
                <w:bCs/>
                <w:sz w:val="16"/>
                <w:szCs w:val="16"/>
              </w:rPr>
              <w:t>élaboration des politiques</w:t>
            </w:r>
          </w:p>
        </w:tc>
      </w:tr>
      <w:tr w:rsidR="00BA5EA9" w:rsidRPr="001E6DFD" w14:paraId="4E646E1F" w14:textId="77777777" w:rsidTr="00A055E7">
        <w:tc>
          <w:tcPr>
            <w:tcW w:w="1049" w:type="pct"/>
            <w:shd w:val="clear" w:color="auto" w:fill="auto"/>
            <w:tcMar>
              <w:left w:w="58" w:type="dxa"/>
              <w:right w:w="58" w:type="dxa"/>
            </w:tcMar>
            <w:vAlign w:val="center"/>
          </w:tcPr>
          <w:p w14:paraId="43D594CA" w14:textId="461573B3" w:rsidR="00BA5EA9" w:rsidRPr="001E6DFD" w:rsidRDefault="00B2297A"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321" w:type="pct"/>
            <w:shd w:val="clear" w:color="auto" w:fill="auto"/>
            <w:tcMar>
              <w:left w:w="58" w:type="dxa"/>
              <w:right w:w="58" w:type="dxa"/>
            </w:tcMar>
            <w:vAlign w:val="center"/>
          </w:tcPr>
          <w:p w14:paraId="73B9E35E" w14:textId="77777777" w:rsidR="00BA5EA9" w:rsidRPr="001E6DFD" w:rsidRDefault="00B2297A" w:rsidP="0097226C">
            <w:pPr>
              <w:jc w:val="center"/>
              <w:rPr>
                <w:b/>
                <w:bCs/>
                <w:sz w:val="16"/>
                <w:szCs w:val="16"/>
              </w:rPr>
            </w:pPr>
            <w:r w:rsidRPr="001E6DFD">
              <w:rPr>
                <w:b/>
                <w:bCs/>
                <w:sz w:val="16"/>
                <w:szCs w:val="16"/>
              </w:rPr>
              <w:t>Niveaux de référence</w:t>
            </w:r>
          </w:p>
        </w:tc>
        <w:tc>
          <w:tcPr>
            <w:tcW w:w="739" w:type="pct"/>
            <w:shd w:val="clear" w:color="auto" w:fill="auto"/>
            <w:tcMar>
              <w:top w:w="110" w:type="dxa"/>
              <w:left w:w="58" w:type="dxa"/>
              <w:right w:w="58" w:type="dxa"/>
            </w:tcMar>
            <w:vAlign w:val="center"/>
          </w:tcPr>
          <w:p w14:paraId="3D54931F" w14:textId="77777777" w:rsidR="00BA5EA9" w:rsidRPr="001E6DFD" w:rsidRDefault="00B2297A" w:rsidP="0097226C">
            <w:pPr>
              <w:jc w:val="center"/>
              <w:rPr>
                <w:b/>
                <w:bCs/>
                <w:sz w:val="16"/>
                <w:szCs w:val="16"/>
              </w:rPr>
            </w:pPr>
            <w:r w:rsidRPr="001E6DFD">
              <w:rPr>
                <w:b/>
                <w:bCs/>
                <w:sz w:val="16"/>
                <w:szCs w:val="16"/>
              </w:rPr>
              <w:t>Objectifs visés</w:t>
            </w:r>
          </w:p>
        </w:tc>
        <w:tc>
          <w:tcPr>
            <w:tcW w:w="1378" w:type="pct"/>
            <w:shd w:val="clear" w:color="auto" w:fill="FFFFFF"/>
            <w:tcMar>
              <w:top w:w="110" w:type="dxa"/>
              <w:left w:w="58" w:type="dxa"/>
              <w:right w:w="58" w:type="dxa"/>
            </w:tcMar>
            <w:vAlign w:val="center"/>
          </w:tcPr>
          <w:p w14:paraId="709CDD68" w14:textId="04540F0B" w:rsidR="00BA5EA9" w:rsidRPr="001E6DFD" w:rsidRDefault="00B2297A"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3" w:type="pct"/>
            <w:shd w:val="clear" w:color="auto" w:fill="auto"/>
            <w:tcMar>
              <w:top w:w="110" w:type="dxa"/>
              <w:left w:w="58" w:type="dxa"/>
              <w:right w:w="58" w:type="dxa"/>
            </w:tcMar>
            <w:vAlign w:val="center"/>
          </w:tcPr>
          <w:p w14:paraId="4CE6D41E" w14:textId="34EC0328"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5EDCB766" w14:textId="77777777" w:rsidTr="00A055E7">
        <w:tc>
          <w:tcPr>
            <w:tcW w:w="1049" w:type="pct"/>
            <w:shd w:val="clear" w:color="auto" w:fill="auto"/>
            <w:tcMar>
              <w:left w:w="58" w:type="dxa"/>
              <w:right w:w="58" w:type="dxa"/>
            </w:tcMar>
          </w:tcPr>
          <w:p w14:paraId="7DE17253" w14:textId="31F665E5" w:rsidR="00BA5EA9" w:rsidRPr="001E6DFD" w:rsidRDefault="00B2297A" w:rsidP="0097226C">
            <w:pPr>
              <w:rPr>
                <w:sz w:val="16"/>
                <w:szCs w:val="16"/>
              </w:rPr>
            </w:pPr>
            <w:r w:rsidRPr="001E6DFD">
              <w:rPr>
                <w:sz w:val="16"/>
                <w:szCs w:val="16"/>
              </w:rPr>
              <w:t>Nombre annuel de visiteurs sur les sites</w:t>
            </w:r>
            <w:r w:rsidR="004D421A" w:rsidRPr="001E6DFD">
              <w:rPr>
                <w:sz w:val="16"/>
                <w:szCs w:val="16"/>
              </w:rPr>
              <w:t> </w:t>
            </w:r>
            <w:r w:rsidRPr="001E6DFD">
              <w:rPr>
                <w:sz w:val="16"/>
                <w:szCs w:val="16"/>
              </w:rPr>
              <w:t>Web de l</w:t>
            </w:r>
            <w:r w:rsidR="00FA22F6" w:rsidRPr="001E6DFD">
              <w:rPr>
                <w:sz w:val="16"/>
                <w:szCs w:val="16"/>
              </w:rPr>
              <w:t>’</w:t>
            </w:r>
            <w:r w:rsidRPr="001E6DFD">
              <w:rPr>
                <w:sz w:val="16"/>
                <w:szCs w:val="16"/>
              </w:rPr>
              <w:t>Indice mondial de l</w:t>
            </w:r>
            <w:r w:rsidR="00FA22F6" w:rsidRPr="001E6DFD">
              <w:rPr>
                <w:sz w:val="16"/>
                <w:szCs w:val="16"/>
              </w:rPr>
              <w:t>’</w:t>
            </w:r>
            <w:r w:rsidRPr="001E6DFD">
              <w:rPr>
                <w:sz w:val="16"/>
                <w:szCs w:val="16"/>
              </w:rPr>
              <w:t>innovation</w:t>
            </w:r>
          </w:p>
        </w:tc>
        <w:tc>
          <w:tcPr>
            <w:tcW w:w="1321" w:type="pct"/>
            <w:shd w:val="clear" w:color="auto" w:fill="auto"/>
            <w:tcMar>
              <w:left w:w="58" w:type="dxa"/>
              <w:right w:w="58" w:type="dxa"/>
            </w:tcMar>
          </w:tcPr>
          <w:p w14:paraId="3E4EE6DA" w14:textId="7CADD5B1" w:rsidR="00FA22F6" w:rsidRPr="00A806A7" w:rsidRDefault="00E64532" w:rsidP="0097226C">
            <w:pPr>
              <w:rPr>
                <w:i/>
                <w:color w:val="002060"/>
                <w:sz w:val="16"/>
                <w:szCs w:val="16"/>
              </w:rPr>
            </w:pPr>
            <w:r w:rsidRPr="00A806A7">
              <w:rPr>
                <w:i/>
                <w:color w:val="002060"/>
                <w:sz w:val="16"/>
                <w:szCs w:val="16"/>
              </w:rPr>
              <w:t>Niveau de référence actualisé à fin</w:t>
            </w:r>
            <w:r w:rsidR="00B4191E" w:rsidRPr="00A806A7">
              <w:rPr>
                <w:i/>
                <w:color w:val="002060"/>
                <w:sz w:val="16"/>
                <w:szCs w:val="16"/>
              </w:rPr>
              <w:t> </w:t>
            </w:r>
            <w:r w:rsidRPr="00A806A7">
              <w:rPr>
                <w:i/>
                <w:color w:val="002060"/>
                <w:sz w:val="16"/>
                <w:szCs w:val="16"/>
              </w:rPr>
              <w:t>2015</w:t>
            </w:r>
            <w:r w:rsidR="00FA22F6" w:rsidRPr="00A806A7">
              <w:rPr>
                <w:i/>
                <w:color w:val="002060"/>
                <w:sz w:val="16"/>
                <w:szCs w:val="16"/>
              </w:rPr>
              <w:t> :</w:t>
            </w:r>
          </w:p>
          <w:p w14:paraId="0F866269" w14:textId="036B61C3" w:rsidR="001F64B1" w:rsidRPr="00A806A7" w:rsidRDefault="00FA22F6" w:rsidP="0097226C">
            <w:pPr>
              <w:rPr>
                <w:color w:val="002060"/>
                <w:sz w:val="16"/>
                <w:szCs w:val="16"/>
              </w:rPr>
            </w:pPr>
            <w:r w:rsidRPr="00A806A7">
              <w:rPr>
                <w:color w:val="002060"/>
                <w:sz w:val="16"/>
                <w:szCs w:val="16"/>
              </w:rPr>
              <w:t>Page W</w:t>
            </w:r>
            <w:r w:rsidR="009003E7" w:rsidRPr="00A806A7">
              <w:rPr>
                <w:color w:val="002060"/>
                <w:sz w:val="16"/>
                <w:szCs w:val="16"/>
              </w:rPr>
              <w:t>eb de l</w:t>
            </w:r>
            <w:r w:rsidRPr="00A806A7">
              <w:rPr>
                <w:color w:val="002060"/>
                <w:sz w:val="16"/>
                <w:szCs w:val="16"/>
              </w:rPr>
              <w:t>’</w:t>
            </w:r>
            <w:r w:rsidR="009003E7" w:rsidRPr="00A806A7">
              <w:rPr>
                <w:color w:val="002060"/>
                <w:sz w:val="16"/>
                <w:szCs w:val="16"/>
              </w:rPr>
              <w:t>Indice mondial de l</w:t>
            </w:r>
            <w:r w:rsidRPr="00A806A7">
              <w:rPr>
                <w:color w:val="002060"/>
                <w:sz w:val="16"/>
                <w:szCs w:val="16"/>
              </w:rPr>
              <w:t>’</w:t>
            </w:r>
            <w:r w:rsidR="009003E7" w:rsidRPr="00A806A7">
              <w:rPr>
                <w:color w:val="002060"/>
                <w:sz w:val="16"/>
                <w:szCs w:val="16"/>
              </w:rPr>
              <w:t>innovation de l</w:t>
            </w:r>
            <w:r w:rsidRPr="00A806A7">
              <w:rPr>
                <w:color w:val="002060"/>
                <w:sz w:val="16"/>
                <w:szCs w:val="16"/>
              </w:rPr>
              <w:t>’</w:t>
            </w:r>
            <w:r w:rsidR="009003E7" w:rsidRPr="00A806A7">
              <w:rPr>
                <w:color w:val="002060"/>
                <w:sz w:val="16"/>
                <w:szCs w:val="16"/>
              </w:rPr>
              <w:t xml:space="preserve">OMPI </w:t>
            </w:r>
            <w:r w:rsidR="00BA5EA9" w:rsidRPr="00A806A7">
              <w:rPr>
                <w:color w:val="002060"/>
                <w:sz w:val="16"/>
                <w:szCs w:val="16"/>
              </w:rPr>
              <w:t>(GII)</w:t>
            </w:r>
            <w:r w:rsidR="00BA5EA9" w:rsidRPr="00A806A7">
              <w:rPr>
                <w:rStyle w:val="FootnoteReference"/>
                <w:rFonts w:cs="Arial"/>
                <w:color w:val="002060"/>
              </w:rPr>
              <w:footnoteReference w:id="69"/>
            </w:r>
            <w:r w:rsidR="004D421A" w:rsidRPr="00A806A7">
              <w:rPr>
                <w:color w:val="002060"/>
                <w:sz w:val="16"/>
                <w:szCs w:val="16"/>
              </w:rPr>
              <w:t> </w:t>
            </w:r>
            <w:r w:rsidR="00BA5EA9" w:rsidRPr="00A806A7">
              <w:rPr>
                <w:color w:val="002060"/>
                <w:sz w:val="16"/>
                <w:szCs w:val="16"/>
              </w:rPr>
              <w:t>:</w:t>
            </w:r>
          </w:p>
          <w:p w14:paraId="317A1D7A" w14:textId="77777777" w:rsidR="001F64B1" w:rsidRPr="00A806A7" w:rsidRDefault="00282CF5" w:rsidP="0097226C">
            <w:pPr>
              <w:rPr>
                <w:color w:val="002060"/>
                <w:sz w:val="16"/>
                <w:szCs w:val="16"/>
              </w:rPr>
            </w:pPr>
            <w:r w:rsidRPr="00A806A7">
              <w:rPr>
                <w:color w:val="002060"/>
                <w:sz w:val="16"/>
                <w:szCs w:val="16"/>
              </w:rPr>
              <w:t>29 556</w:t>
            </w:r>
            <w:r w:rsidR="00BA5EA9" w:rsidRPr="00A806A7">
              <w:rPr>
                <w:color w:val="002060"/>
                <w:sz w:val="16"/>
                <w:szCs w:val="16"/>
              </w:rPr>
              <w:t xml:space="preserve"> (2015)</w:t>
            </w:r>
          </w:p>
          <w:p w14:paraId="34C9A82A" w14:textId="77777777" w:rsidR="001F64B1" w:rsidRPr="00A806A7" w:rsidRDefault="00282CF5" w:rsidP="0097226C">
            <w:pPr>
              <w:rPr>
                <w:color w:val="002060"/>
                <w:sz w:val="16"/>
                <w:szCs w:val="16"/>
              </w:rPr>
            </w:pPr>
            <w:r w:rsidRPr="00A806A7">
              <w:rPr>
                <w:color w:val="002060"/>
                <w:sz w:val="16"/>
                <w:szCs w:val="16"/>
              </w:rPr>
              <w:t>48 190</w:t>
            </w:r>
            <w:r w:rsidR="00BA5EA9" w:rsidRPr="00A806A7">
              <w:rPr>
                <w:rStyle w:val="FootnoteReference"/>
                <w:rFonts w:cs="Arial"/>
                <w:color w:val="002060"/>
              </w:rPr>
              <w:footnoteReference w:id="70"/>
            </w:r>
            <w:r w:rsidR="00BA5EA9" w:rsidRPr="00A806A7">
              <w:rPr>
                <w:color w:val="002060"/>
                <w:sz w:val="16"/>
                <w:szCs w:val="16"/>
              </w:rPr>
              <w:t xml:space="preserve"> (2014/15)</w:t>
            </w:r>
          </w:p>
          <w:p w14:paraId="37451ABE" w14:textId="77777777" w:rsidR="001F64B1" w:rsidRPr="00A806A7" w:rsidRDefault="001F64B1" w:rsidP="0097226C">
            <w:pPr>
              <w:rPr>
                <w:color w:val="002060"/>
                <w:sz w:val="16"/>
                <w:szCs w:val="16"/>
              </w:rPr>
            </w:pPr>
          </w:p>
          <w:p w14:paraId="023E5023" w14:textId="54AFC2B4" w:rsidR="00FA22F6" w:rsidRPr="00A806A7" w:rsidRDefault="00FD6F40" w:rsidP="0097226C">
            <w:pPr>
              <w:rPr>
                <w:color w:val="002060"/>
                <w:sz w:val="16"/>
                <w:szCs w:val="16"/>
              </w:rPr>
            </w:pPr>
            <w:r w:rsidRPr="00A806A7">
              <w:rPr>
                <w:color w:val="002060"/>
                <w:sz w:val="16"/>
                <w:szCs w:val="16"/>
              </w:rPr>
              <w:t>Site</w:t>
            </w:r>
            <w:r w:rsidR="004D421A" w:rsidRPr="00A806A7">
              <w:rPr>
                <w:color w:val="002060"/>
                <w:sz w:val="16"/>
                <w:szCs w:val="16"/>
              </w:rPr>
              <w:t> </w:t>
            </w:r>
            <w:r w:rsidRPr="00A806A7">
              <w:rPr>
                <w:color w:val="002060"/>
                <w:sz w:val="16"/>
                <w:szCs w:val="16"/>
              </w:rPr>
              <w:t>Web consacré</w:t>
            </w:r>
            <w:r w:rsidR="00FA22F6" w:rsidRPr="00A806A7">
              <w:rPr>
                <w:color w:val="002060"/>
                <w:sz w:val="16"/>
                <w:szCs w:val="16"/>
              </w:rPr>
              <w:t xml:space="preserve"> au GII</w:t>
            </w:r>
            <w:r w:rsidR="00BA5EA9" w:rsidRPr="00A806A7">
              <w:rPr>
                <w:rStyle w:val="FootnoteReference"/>
                <w:rFonts w:cs="Arial"/>
                <w:color w:val="002060"/>
              </w:rPr>
              <w:footnoteReference w:id="71"/>
            </w:r>
            <w:r w:rsidR="004D421A" w:rsidRPr="00A806A7">
              <w:rPr>
                <w:color w:val="002060"/>
                <w:sz w:val="16"/>
                <w:szCs w:val="16"/>
              </w:rPr>
              <w:t> </w:t>
            </w:r>
            <w:r w:rsidR="00BA5EA9" w:rsidRPr="00A806A7">
              <w:rPr>
                <w:color w:val="002060"/>
                <w:sz w:val="16"/>
                <w:szCs w:val="16"/>
              </w:rPr>
              <w:t>:</w:t>
            </w:r>
          </w:p>
          <w:p w14:paraId="66B4134A" w14:textId="73FB1415" w:rsidR="001F64B1" w:rsidRPr="00A806A7" w:rsidRDefault="00BA5EA9" w:rsidP="0097226C">
            <w:pPr>
              <w:rPr>
                <w:color w:val="002060"/>
                <w:sz w:val="16"/>
                <w:szCs w:val="16"/>
              </w:rPr>
            </w:pPr>
            <w:r w:rsidRPr="00A806A7">
              <w:rPr>
                <w:color w:val="002060"/>
                <w:sz w:val="16"/>
                <w:szCs w:val="16"/>
              </w:rPr>
              <w:t>1</w:t>
            </w:r>
            <w:r w:rsidR="00282CF5" w:rsidRPr="00A806A7">
              <w:rPr>
                <w:color w:val="002060"/>
                <w:sz w:val="16"/>
                <w:szCs w:val="16"/>
              </w:rPr>
              <w:t>70 417</w:t>
            </w:r>
            <w:r w:rsidRPr="00A806A7">
              <w:rPr>
                <w:color w:val="002060"/>
                <w:sz w:val="16"/>
                <w:szCs w:val="16"/>
              </w:rPr>
              <w:t xml:space="preserve"> (2015)</w:t>
            </w:r>
          </w:p>
          <w:p w14:paraId="2554E36A" w14:textId="77777777" w:rsidR="001F64B1" w:rsidRPr="00A806A7" w:rsidRDefault="00BA5EA9" w:rsidP="0097226C">
            <w:pPr>
              <w:rPr>
                <w:color w:val="002060"/>
                <w:sz w:val="16"/>
                <w:szCs w:val="16"/>
              </w:rPr>
            </w:pPr>
            <w:r w:rsidRPr="00A806A7">
              <w:rPr>
                <w:color w:val="002060"/>
                <w:sz w:val="16"/>
                <w:szCs w:val="16"/>
              </w:rPr>
              <w:t>3</w:t>
            </w:r>
            <w:r w:rsidR="00282CF5" w:rsidRPr="00A806A7">
              <w:rPr>
                <w:color w:val="002060"/>
                <w:sz w:val="16"/>
                <w:szCs w:val="16"/>
              </w:rPr>
              <w:t>17 690</w:t>
            </w:r>
            <w:r w:rsidRPr="00A806A7">
              <w:rPr>
                <w:color w:val="002060"/>
                <w:sz w:val="16"/>
                <w:szCs w:val="16"/>
              </w:rPr>
              <w:t xml:space="preserve"> (2014/15)</w:t>
            </w:r>
            <w:r w:rsidRPr="00A806A7">
              <w:rPr>
                <w:rStyle w:val="FootnoteReference"/>
                <w:rFonts w:cs="Arial"/>
                <w:color w:val="002060"/>
              </w:rPr>
              <w:footnoteReference w:id="72"/>
            </w:r>
          </w:p>
          <w:p w14:paraId="44A511B4" w14:textId="77777777" w:rsidR="001F64B1" w:rsidRPr="001E6DFD" w:rsidRDefault="001F64B1" w:rsidP="0097226C">
            <w:pPr>
              <w:rPr>
                <w:sz w:val="16"/>
                <w:szCs w:val="16"/>
              </w:rPr>
            </w:pPr>
          </w:p>
          <w:p w14:paraId="6FF3B8C6" w14:textId="29B4FE81"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5559D9D8" w14:textId="7A51264D" w:rsidR="00BA5EA9" w:rsidRPr="001E6DFD" w:rsidRDefault="00B2297A" w:rsidP="0097226C">
            <w:pPr>
              <w:rPr>
                <w:sz w:val="16"/>
                <w:szCs w:val="16"/>
              </w:rPr>
            </w:pPr>
            <w:r w:rsidRPr="001E6DFD">
              <w:rPr>
                <w:sz w:val="16"/>
                <w:szCs w:val="16"/>
              </w:rPr>
              <w:t>à déterminer fin</w:t>
            </w:r>
            <w:r w:rsidR="00B4191E">
              <w:rPr>
                <w:sz w:val="16"/>
                <w:szCs w:val="16"/>
              </w:rPr>
              <w:t> </w:t>
            </w:r>
            <w:r w:rsidRPr="001E6DFD">
              <w:rPr>
                <w:sz w:val="16"/>
                <w:szCs w:val="16"/>
              </w:rPr>
              <w:t>2015</w:t>
            </w:r>
          </w:p>
        </w:tc>
        <w:tc>
          <w:tcPr>
            <w:tcW w:w="739" w:type="pct"/>
            <w:shd w:val="clear" w:color="auto" w:fill="auto"/>
            <w:tcMar>
              <w:top w:w="110" w:type="dxa"/>
              <w:left w:w="58" w:type="dxa"/>
              <w:right w:w="58" w:type="dxa"/>
            </w:tcMar>
          </w:tcPr>
          <w:p w14:paraId="7307194B" w14:textId="211073E2" w:rsidR="001F64B1" w:rsidRPr="00A806A7" w:rsidRDefault="00B2297A" w:rsidP="0097226C">
            <w:pPr>
              <w:rPr>
                <w:i/>
                <w:color w:val="002060"/>
                <w:sz w:val="16"/>
                <w:szCs w:val="16"/>
              </w:rPr>
            </w:pPr>
            <w:r w:rsidRPr="00A806A7">
              <w:rPr>
                <w:i/>
                <w:color w:val="002060"/>
                <w:sz w:val="16"/>
                <w:szCs w:val="16"/>
              </w:rPr>
              <w:t>Objectif fixé</w:t>
            </w:r>
            <w:r w:rsidR="00FA22F6" w:rsidRPr="00A806A7">
              <w:rPr>
                <w:i/>
                <w:color w:val="002060"/>
                <w:sz w:val="16"/>
                <w:szCs w:val="16"/>
              </w:rPr>
              <w:t> :</w:t>
            </w:r>
          </w:p>
          <w:p w14:paraId="69E99991" w14:textId="5A7A4607" w:rsidR="00FA22F6" w:rsidRPr="00A806A7" w:rsidRDefault="00B74285" w:rsidP="0097226C">
            <w:pPr>
              <w:rPr>
                <w:color w:val="002060"/>
                <w:sz w:val="16"/>
                <w:szCs w:val="16"/>
              </w:rPr>
            </w:pPr>
            <w:r w:rsidRPr="00A806A7">
              <w:rPr>
                <w:color w:val="002060"/>
                <w:sz w:val="16"/>
                <w:szCs w:val="16"/>
              </w:rPr>
              <w:t>GII de l</w:t>
            </w:r>
            <w:r w:rsidR="00FA22F6" w:rsidRPr="00A806A7">
              <w:rPr>
                <w:color w:val="002060"/>
                <w:sz w:val="16"/>
                <w:szCs w:val="16"/>
              </w:rPr>
              <w:t>’</w:t>
            </w:r>
            <w:r w:rsidRPr="00A806A7">
              <w:rPr>
                <w:color w:val="002060"/>
                <w:sz w:val="16"/>
                <w:szCs w:val="16"/>
              </w:rPr>
              <w:t>OMPI</w:t>
            </w:r>
            <w:r w:rsidR="00FA22F6" w:rsidRPr="00A806A7">
              <w:rPr>
                <w:color w:val="002060"/>
                <w:sz w:val="16"/>
                <w:szCs w:val="16"/>
              </w:rPr>
              <w:t> :</w:t>
            </w:r>
          </w:p>
          <w:p w14:paraId="4024818F" w14:textId="7404742B" w:rsidR="001F64B1" w:rsidRPr="00A806A7" w:rsidRDefault="00B2297A" w:rsidP="0097226C">
            <w:pPr>
              <w:rPr>
                <w:color w:val="002060"/>
                <w:sz w:val="16"/>
                <w:szCs w:val="16"/>
              </w:rPr>
            </w:pPr>
            <w:r w:rsidRPr="00A806A7">
              <w:rPr>
                <w:color w:val="002060"/>
                <w:sz w:val="16"/>
                <w:szCs w:val="16"/>
              </w:rPr>
              <w:t>augmentation de 10%</w:t>
            </w:r>
          </w:p>
          <w:p w14:paraId="538B1667" w14:textId="77777777" w:rsidR="001F64B1" w:rsidRPr="00A806A7" w:rsidRDefault="001F64B1" w:rsidP="0097226C">
            <w:pPr>
              <w:rPr>
                <w:color w:val="002060"/>
                <w:sz w:val="16"/>
                <w:szCs w:val="16"/>
              </w:rPr>
            </w:pPr>
          </w:p>
          <w:p w14:paraId="19E743E3" w14:textId="625A681C" w:rsidR="001F64B1" w:rsidRPr="00A806A7" w:rsidRDefault="00B74285" w:rsidP="0097226C">
            <w:pPr>
              <w:rPr>
                <w:color w:val="002060"/>
                <w:sz w:val="16"/>
                <w:szCs w:val="16"/>
              </w:rPr>
            </w:pPr>
            <w:r w:rsidRPr="00A806A7">
              <w:rPr>
                <w:color w:val="002060"/>
                <w:sz w:val="16"/>
                <w:szCs w:val="16"/>
              </w:rPr>
              <w:t>Site</w:t>
            </w:r>
            <w:r w:rsidR="004D421A" w:rsidRPr="00A806A7">
              <w:rPr>
                <w:color w:val="002060"/>
                <w:sz w:val="16"/>
                <w:szCs w:val="16"/>
              </w:rPr>
              <w:t> </w:t>
            </w:r>
            <w:r w:rsidRPr="00A806A7">
              <w:rPr>
                <w:color w:val="002060"/>
                <w:sz w:val="16"/>
                <w:szCs w:val="16"/>
              </w:rPr>
              <w:t>Web consacré</w:t>
            </w:r>
            <w:r w:rsidR="00FA22F6" w:rsidRPr="00A806A7">
              <w:rPr>
                <w:color w:val="002060"/>
                <w:sz w:val="16"/>
                <w:szCs w:val="16"/>
              </w:rPr>
              <w:t xml:space="preserve"> au GII :</w:t>
            </w:r>
            <w:r w:rsidR="00BA5EA9" w:rsidRPr="00A806A7">
              <w:rPr>
                <w:color w:val="002060"/>
                <w:sz w:val="16"/>
                <w:szCs w:val="16"/>
              </w:rPr>
              <w:t xml:space="preserve"> </w:t>
            </w:r>
            <w:r w:rsidR="00B2297A" w:rsidRPr="00A806A7">
              <w:rPr>
                <w:color w:val="002060"/>
                <w:sz w:val="16"/>
                <w:szCs w:val="16"/>
              </w:rPr>
              <w:t>augmentation de 10%</w:t>
            </w:r>
          </w:p>
          <w:p w14:paraId="58242678" w14:textId="77777777" w:rsidR="001F64B1" w:rsidRPr="001E6DFD" w:rsidRDefault="001F64B1" w:rsidP="0097226C">
            <w:pPr>
              <w:rPr>
                <w:sz w:val="16"/>
                <w:szCs w:val="16"/>
              </w:rPr>
            </w:pPr>
          </w:p>
          <w:p w14:paraId="0B8B059F" w14:textId="779B9D3D" w:rsidR="00FA22F6" w:rsidRPr="001E6DFD" w:rsidRDefault="0029190C" w:rsidP="0097226C">
            <w:pPr>
              <w:rPr>
                <w:i/>
                <w:sz w:val="16"/>
                <w:szCs w:val="16"/>
              </w:rPr>
            </w:pPr>
            <w:r w:rsidRPr="001E6DFD">
              <w:rPr>
                <w:i/>
                <w:sz w:val="16"/>
                <w:szCs w:val="16"/>
              </w:rPr>
              <w:t>Objectif initial</w:t>
            </w:r>
            <w:r w:rsidR="00FA22F6" w:rsidRPr="001E6DFD">
              <w:rPr>
                <w:i/>
                <w:sz w:val="16"/>
                <w:szCs w:val="16"/>
              </w:rPr>
              <w:t> :</w:t>
            </w:r>
          </w:p>
          <w:p w14:paraId="465916C4" w14:textId="2B94EE69" w:rsidR="00BA5EA9" w:rsidRPr="001E6DFD" w:rsidRDefault="00B2297A" w:rsidP="0097226C">
            <w:pPr>
              <w:rPr>
                <w:sz w:val="16"/>
                <w:szCs w:val="16"/>
              </w:rPr>
            </w:pPr>
            <w:r w:rsidRPr="001E6DFD">
              <w:rPr>
                <w:sz w:val="16"/>
                <w:szCs w:val="16"/>
              </w:rPr>
              <w:t>à déterminer</w:t>
            </w:r>
          </w:p>
        </w:tc>
        <w:tc>
          <w:tcPr>
            <w:tcW w:w="1378" w:type="pct"/>
            <w:shd w:val="clear" w:color="auto" w:fill="FFFFFF"/>
            <w:tcMar>
              <w:top w:w="110" w:type="dxa"/>
              <w:left w:w="58" w:type="dxa"/>
              <w:right w:w="58" w:type="dxa"/>
            </w:tcMar>
          </w:tcPr>
          <w:p w14:paraId="62CB2E0D" w14:textId="0B370B8B" w:rsidR="001F64B1" w:rsidRPr="00A806A7" w:rsidRDefault="00B74285" w:rsidP="0097226C">
            <w:pPr>
              <w:rPr>
                <w:sz w:val="16"/>
                <w:szCs w:val="16"/>
              </w:rPr>
            </w:pPr>
            <w:r w:rsidRPr="00A806A7">
              <w:rPr>
                <w:sz w:val="16"/>
                <w:szCs w:val="16"/>
              </w:rPr>
              <w:t>GII de l</w:t>
            </w:r>
            <w:r w:rsidR="00FA22F6" w:rsidRPr="00A806A7">
              <w:rPr>
                <w:sz w:val="16"/>
                <w:szCs w:val="16"/>
              </w:rPr>
              <w:t>’</w:t>
            </w:r>
            <w:r w:rsidRPr="00A806A7">
              <w:rPr>
                <w:sz w:val="16"/>
                <w:szCs w:val="16"/>
              </w:rPr>
              <w:t>OMPI</w:t>
            </w:r>
            <w:r w:rsidR="00FA22F6" w:rsidRPr="00A806A7">
              <w:rPr>
                <w:sz w:val="16"/>
                <w:szCs w:val="16"/>
              </w:rPr>
              <w:t> :</w:t>
            </w:r>
            <w:r w:rsidRPr="00A806A7">
              <w:rPr>
                <w:sz w:val="16"/>
                <w:szCs w:val="16"/>
              </w:rPr>
              <w:t xml:space="preserve"> </w:t>
            </w:r>
            <w:r w:rsidR="00282CF5" w:rsidRPr="00A806A7">
              <w:rPr>
                <w:sz w:val="16"/>
                <w:szCs w:val="16"/>
              </w:rPr>
              <w:t>44 244</w:t>
            </w:r>
            <w:r w:rsidR="00BA5EA9" w:rsidRPr="00A806A7">
              <w:rPr>
                <w:sz w:val="16"/>
                <w:szCs w:val="16"/>
              </w:rPr>
              <w:t xml:space="preserve"> (+50%)</w:t>
            </w:r>
          </w:p>
          <w:p w14:paraId="27B28230" w14:textId="77777777" w:rsidR="001F64B1" w:rsidRPr="00A806A7" w:rsidRDefault="001F64B1" w:rsidP="0097226C">
            <w:pPr>
              <w:rPr>
                <w:sz w:val="16"/>
                <w:szCs w:val="16"/>
              </w:rPr>
            </w:pPr>
          </w:p>
          <w:p w14:paraId="063940A3" w14:textId="0A14AE62" w:rsidR="00BA5EA9" w:rsidRPr="00A806A7" w:rsidRDefault="007B6CCE" w:rsidP="0097226C">
            <w:pPr>
              <w:rPr>
                <w:sz w:val="16"/>
                <w:szCs w:val="16"/>
              </w:rPr>
            </w:pPr>
            <w:r w:rsidRPr="00A806A7">
              <w:rPr>
                <w:sz w:val="16"/>
                <w:szCs w:val="16"/>
              </w:rPr>
              <w:t>Site</w:t>
            </w:r>
            <w:r w:rsidR="004D421A" w:rsidRPr="00A806A7">
              <w:rPr>
                <w:sz w:val="16"/>
                <w:szCs w:val="16"/>
              </w:rPr>
              <w:t> </w:t>
            </w:r>
            <w:r w:rsidRPr="00A806A7">
              <w:rPr>
                <w:sz w:val="16"/>
                <w:szCs w:val="16"/>
              </w:rPr>
              <w:t>Web consacré</w:t>
            </w:r>
            <w:r w:rsidR="00FA22F6" w:rsidRPr="00A806A7">
              <w:rPr>
                <w:sz w:val="16"/>
                <w:szCs w:val="16"/>
              </w:rPr>
              <w:t xml:space="preserve"> au GII :</w:t>
            </w:r>
            <w:r w:rsidRPr="00A806A7">
              <w:rPr>
                <w:sz w:val="16"/>
                <w:szCs w:val="16"/>
              </w:rPr>
              <w:t xml:space="preserve"> </w:t>
            </w:r>
            <w:r w:rsidR="00BA5EA9" w:rsidRPr="00A806A7">
              <w:rPr>
                <w:sz w:val="16"/>
                <w:szCs w:val="16"/>
              </w:rPr>
              <w:t>2</w:t>
            </w:r>
            <w:r w:rsidR="00282CF5" w:rsidRPr="00A806A7">
              <w:rPr>
                <w:sz w:val="16"/>
                <w:szCs w:val="16"/>
              </w:rPr>
              <w:t>14 122</w:t>
            </w:r>
            <w:r w:rsidR="00BA5EA9" w:rsidRPr="00A806A7">
              <w:rPr>
                <w:sz w:val="16"/>
                <w:szCs w:val="16"/>
              </w:rPr>
              <w:t xml:space="preserve"> (+2</w:t>
            </w:r>
            <w:r w:rsidR="00505EF6" w:rsidRPr="00A806A7">
              <w:rPr>
                <w:sz w:val="16"/>
                <w:szCs w:val="16"/>
              </w:rPr>
              <w:t>5,6%</w:t>
            </w:r>
            <w:r w:rsidR="00BA5EA9" w:rsidRPr="00A806A7">
              <w:rPr>
                <w:sz w:val="16"/>
                <w:szCs w:val="16"/>
              </w:rPr>
              <w:t>)</w:t>
            </w:r>
          </w:p>
        </w:tc>
        <w:tc>
          <w:tcPr>
            <w:tcW w:w="513" w:type="pct"/>
            <w:shd w:val="clear" w:color="auto" w:fill="auto"/>
            <w:tcMar>
              <w:top w:w="110" w:type="dxa"/>
              <w:left w:w="58" w:type="dxa"/>
              <w:right w:w="58" w:type="dxa"/>
            </w:tcMar>
          </w:tcPr>
          <w:p w14:paraId="5D714E7B" w14:textId="77777777" w:rsidR="00BA5EA9" w:rsidRPr="001E6DFD" w:rsidRDefault="00A43B2F" w:rsidP="0097226C">
            <w:pPr>
              <w:keepNext/>
              <w:keepLines/>
              <w:jc w:val="center"/>
              <w:rPr>
                <w:sz w:val="16"/>
                <w:szCs w:val="16"/>
              </w:rPr>
            </w:pPr>
            <w:r w:rsidRPr="001E6DFD">
              <w:rPr>
                <w:b/>
                <w:color w:val="00B050"/>
                <w:sz w:val="16"/>
                <w:szCs w:val="16"/>
              </w:rPr>
              <w:t>En bonne voie</w:t>
            </w:r>
          </w:p>
        </w:tc>
      </w:tr>
      <w:tr w:rsidR="00BA5EA9" w:rsidRPr="001E6DFD" w14:paraId="7369E51D" w14:textId="77777777" w:rsidTr="00A055E7">
        <w:tc>
          <w:tcPr>
            <w:tcW w:w="1049" w:type="pct"/>
            <w:shd w:val="clear" w:color="auto" w:fill="auto"/>
            <w:tcMar>
              <w:left w:w="58" w:type="dxa"/>
              <w:right w:w="58" w:type="dxa"/>
            </w:tcMar>
          </w:tcPr>
          <w:p w14:paraId="5474A16A" w14:textId="56729BEC" w:rsidR="00BA5EA9" w:rsidRPr="001E6DFD" w:rsidRDefault="00B2297A" w:rsidP="0097226C">
            <w:pPr>
              <w:rPr>
                <w:sz w:val="16"/>
                <w:szCs w:val="16"/>
              </w:rPr>
            </w:pPr>
            <w:r w:rsidRPr="001E6DFD">
              <w:rPr>
                <w:sz w:val="16"/>
                <w:szCs w:val="16"/>
              </w:rPr>
              <w:t>Nombre de téléchargements du Rapport sur la propriété intellectuelle dans le monde</w:t>
            </w:r>
            <w:r w:rsidRPr="001E6DFD">
              <w:rPr>
                <w:rStyle w:val="FootnoteReference"/>
                <w:rFonts w:cs="Arial"/>
              </w:rPr>
              <w:footnoteReference w:id="73"/>
            </w:r>
            <w:r w:rsidRPr="001E6DFD">
              <w:rPr>
                <w:sz w:val="16"/>
                <w:szCs w:val="16"/>
              </w:rPr>
              <w:t xml:space="preserve"> dans les six</w:t>
            </w:r>
            <w:r w:rsidR="004D421A" w:rsidRPr="001E6DFD">
              <w:rPr>
                <w:sz w:val="16"/>
                <w:szCs w:val="16"/>
              </w:rPr>
              <w:t> </w:t>
            </w:r>
            <w:r w:rsidRPr="001E6DFD">
              <w:rPr>
                <w:sz w:val="16"/>
                <w:szCs w:val="16"/>
              </w:rPr>
              <w:t>mois suivant sa publication</w:t>
            </w:r>
          </w:p>
        </w:tc>
        <w:tc>
          <w:tcPr>
            <w:tcW w:w="1321" w:type="pct"/>
            <w:shd w:val="clear" w:color="auto" w:fill="auto"/>
            <w:tcMar>
              <w:left w:w="58" w:type="dxa"/>
              <w:right w:w="58" w:type="dxa"/>
            </w:tcMar>
          </w:tcPr>
          <w:p w14:paraId="50EF5153" w14:textId="554D25C5" w:rsidR="00FA22F6" w:rsidRPr="00A806A7" w:rsidRDefault="00FD6F40" w:rsidP="0097226C">
            <w:pPr>
              <w:rPr>
                <w:i/>
                <w:color w:val="002060"/>
                <w:sz w:val="16"/>
                <w:szCs w:val="16"/>
              </w:rPr>
            </w:pPr>
            <w:r w:rsidRPr="00A806A7">
              <w:rPr>
                <w:i/>
                <w:color w:val="002060"/>
                <w:sz w:val="16"/>
                <w:szCs w:val="16"/>
              </w:rPr>
              <w:t>Niveau de référence actualisé</w:t>
            </w:r>
            <w:r w:rsidR="00FA22F6" w:rsidRPr="00A806A7">
              <w:rPr>
                <w:i/>
                <w:color w:val="002060"/>
                <w:sz w:val="16"/>
                <w:szCs w:val="16"/>
              </w:rPr>
              <w:t> :</w:t>
            </w:r>
          </w:p>
          <w:p w14:paraId="5D4B0730" w14:textId="608CD291" w:rsidR="00FA22F6" w:rsidRPr="00A806A7" w:rsidRDefault="00FD6F40" w:rsidP="0097226C">
            <w:pPr>
              <w:rPr>
                <w:color w:val="002060"/>
                <w:sz w:val="16"/>
                <w:szCs w:val="16"/>
              </w:rPr>
            </w:pPr>
            <w:r w:rsidRPr="00A806A7">
              <w:rPr>
                <w:color w:val="002060"/>
                <w:sz w:val="16"/>
                <w:szCs w:val="16"/>
              </w:rPr>
              <w:t>Rapport</w:t>
            </w:r>
            <w:r w:rsidR="00B4191E" w:rsidRPr="00A806A7">
              <w:rPr>
                <w:color w:val="002060"/>
                <w:sz w:val="16"/>
                <w:szCs w:val="16"/>
              </w:rPr>
              <w:t> </w:t>
            </w:r>
            <w:r w:rsidRPr="00A806A7">
              <w:rPr>
                <w:color w:val="002060"/>
                <w:sz w:val="16"/>
                <w:szCs w:val="16"/>
              </w:rPr>
              <w:t>2015 sur la propriété intellectuelle dans le monde</w:t>
            </w:r>
            <w:r w:rsidR="00FA22F6" w:rsidRPr="00A806A7">
              <w:rPr>
                <w:color w:val="002060"/>
                <w:sz w:val="16"/>
                <w:szCs w:val="16"/>
              </w:rPr>
              <w:t> :</w:t>
            </w:r>
          </w:p>
          <w:p w14:paraId="1290F29B" w14:textId="080FB2CD" w:rsidR="001F64B1" w:rsidRPr="00A806A7" w:rsidRDefault="00282CF5" w:rsidP="0097226C">
            <w:pPr>
              <w:rPr>
                <w:color w:val="002060"/>
                <w:sz w:val="16"/>
                <w:szCs w:val="16"/>
              </w:rPr>
            </w:pPr>
            <w:r w:rsidRPr="00A806A7">
              <w:rPr>
                <w:color w:val="002060"/>
                <w:sz w:val="16"/>
                <w:szCs w:val="16"/>
              </w:rPr>
              <w:t>30 017</w:t>
            </w:r>
          </w:p>
          <w:p w14:paraId="5DB7E3FF" w14:textId="77777777" w:rsidR="001F64B1" w:rsidRPr="001E6DFD" w:rsidRDefault="001F64B1" w:rsidP="0097226C">
            <w:pPr>
              <w:rPr>
                <w:sz w:val="16"/>
                <w:szCs w:val="16"/>
              </w:rPr>
            </w:pPr>
          </w:p>
          <w:p w14:paraId="481AB335" w14:textId="1857683A" w:rsidR="00FA22F6" w:rsidRPr="001E6DFD" w:rsidRDefault="00E64532" w:rsidP="0097226C">
            <w:pPr>
              <w:rPr>
                <w:i/>
                <w:sz w:val="16"/>
                <w:szCs w:val="16"/>
                <w:lang w:bidi="th-TH"/>
              </w:rPr>
            </w:pPr>
            <w:r w:rsidRPr="001E6DFD">
              <w:rPr>
                <w:i/>
                <w:sz w:val="16"/>
                <w:szCs w:val="16"/>
                <w:lang w:bidi="th-TH"/>
              </w:rPr>
              <w:t>Niveau de référence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4848CADE" w14:textId="64D70D0D" w:rsidR="00BA5EA9" w:rsidRPr="001E6DFD" w:rsidRDefault="00B2297A" w:rsidP="00FF3362">
            <w:pPr>
              <w:rPr>
                <w:sz w:val="16"/>
                <w:szCs w:val="16"/>
              </w:rPr>
            </w:pPr>
            <w:r w:rsidRPr="001E6DFD">
              <w:rPr>
                <w:sz w:val="16"/>
                <w:szCs w:val="16"/>
              </w:rPr>
              <w:t>à déterminer</w:t>
            </w:r>
            <w:r w:rsidRPr="001E6DFD">
              <w:rPr>
                <w:rStyle w:val="FootnoteReference"/>
                <w:rFonts w:cs="Arial"/>
              </w:rPr>
              <w:footnoteReference w:id="74"/>
            </w:r>
          </w:p>
        </w:tc>
        <w:tc>
          <w:tcPr>
            <w:tcW w:w="739" w:type="pct"/>
            <w:shd w:val="clear" w:color="auto" w:fill="auto"/>
            <w:tcMar>
              <w:top w:w="110" w:type="dxa"/>
              <w:left w:w="58" w:type="dxa"/>
              <w:right w:w="58" w:type="dxa"/>
            </w:tcMar>
          </w:tcPr>
          <w:p w14:paraId="66904364" w14:textId="4F24D3E0" w:rsidR="00FA22F6" w:rsidRPr="00A806A7" w:rsidRDefault="00B2297A" w:rsidP="0097226C">
            <w:pPr>
              <w:rPr>
                <w:i/>
                <w:color w:val="002060"/>
                <w:sz w:val="16"/>
                <w:szCs w:val="16"/>
              </w:rPr>
            </w:pPr>
            <w:r w:rsidRPr="00A806A7">
              <w:rPr>
                <w:i/>
                <w:color w:val="002060"/>
                <w:sz w:val="16"/>
                <w:szCs w:val="16"/>
              </w:rPr>
              <w:t>Objectif fixé</w:t>
            </w:r>
            <w:r w:rsidR="00FA22F6" w:rsidRPr="00A806A7">
              <w:rPr>
                <w:i/>
                <w:color w:val="002060"/>
                <w:sz w:val="16"/>
                <w:szCs w:val="16"/>
              </w:rPr>
              <w:t> :</w:t>
            </w:r>
          </w:p>
          <w:p w14:paraId="094679F2" w14:textId="4359C967" w:rsidR="001F64B1" w:rsidRPr="00A806A7" w:rsidRDefault="00B2297A" w:rsidP="0097226C">
            <w:pPr>
              <w:rPr>
                <w:color w:val="002060"/>
                <w:sz w:val="16"/>
                <w:szCs w:val="16"/>
              </w:rPr>
            </w:pPr>
            <w:r w:rsidRPr="00A806A7">
              <w:rPr>
                <w:color w:val="002060"/>
                <w:sz w:val="16"/>
                <w:szCs w:val="16"/>
              </w:rPr>
              <w:t>augmentation de 10%</w:t>
            </w:r>
          </w:p>
          <w:p w14:paraId="6FC0EFD5" w14:textId="77777777" w:rsidR="001F64B1" w:rsidRPr="001E6DFD" w:rsidRDefault="001F64B1" w:rsidP="0097226C">
            <w:pPr>
              <w:rPr>
                <w:sz w:val="16"/>
                <w:szCs w:val="16"/>
              </w:rPr>
            </w:pPr>
          </w:p>
          <w:p w14:paraId="1E44BE8D" w14:textId="218CE23F" w:rsidR="00FA22F6" w:rsidRPr="001E6DFD" w:rsidRDefault="009B322C" w:rsidP="0097226C">
            <w:pPr>
              <w:rPr>
                <w:i/>
                <w:sz w:val="16"/>
                <w:szCs w:val="16"/>
              </w:rPr>
            </w:pPr>
            <w:r w:rsidRPr="001E6DFD">
              <w:rPr>
                <w:i/>
                <w:sz w:val="16"/>
                <w:szCs w:val="16"/>
              </w:rPr>
              <w:t>Objectif initial</w:t>
            </w:r>
            <w:r w:rsidR="00FA22F6" w:rsidRPr="001E6DFD">
              <w:rPr>
                <w:i/>
                <w:sz w:val="16"/>
                <w:szCs w:val="16"/>
              </w:rPr>
              <w:t> :</w:t>
            </w:r>
          </w:p>
          <w:p w14:paraId="2617025D" w14:textId="47763E67" w:rsidR="00BA5EA9" w:rsidRPr="001E6DFD" w:rsidRDefault="00B2297A" w:rsidP="0097226C">
            <w:pPr>
              <w:rPr>
                <w:sz w:val="16"/>
                <w:szCs w:val="16"/>
              </w:rPr>
            </w:pPr>
            <w:r w:rsidRPr="001E6DFD">
              <w:rPr>
                <w:sz w:val="16"/>
                <w:szCs w:val="16"/>
              </w:rPr>
              <w:t>à déterminer</w:t>
            </w:r>
          </w:p>
        </w:tc>
        <w:tc>
          <w:tcPr>
            <w:tcW w:w="1378" w:type="pct"/>
            <w:shd w:val="clear" w:color="auto" w:fill="FFFFFF"/>
            <w:tcMar>
              <w:top w:w="110" w:type="dxa"/>
              <w:left w:w="58" w:type="dxa"/>
              <w:right w:w="58" w:type="dxa"/>
            </w:tcMar>
          </w:tcPr>
          <w:p w14:paraId="5BC262E1" w14:textId="6383A672" w:rsidR="00BA5EA9" w:rsidRPr="00A806A7" w:rsidRDefault="00862C2B" w:rsidP="0097226C">
            <w:pPr>
              <w:keepNext/>
              <w:keepLines/>
              <w:rPr>
                <w:sz w:val="16"/>
                <w:szCs w:val="16"/>
              </w:rPr>
            </w:pPr>
            <w:r w:rsidRPr="00A806A7">
              <w:rPr>
                <w:sz w:val="16"/>
                <w:szCs w:val="16"/>
              </w:rPr>
              <w:t>Le Rapport</w:t>
            </w:r>
            <w:r w:rsidR="00B4191E" w:rsidRPr="00A806A7">
              <w:rPr>
                <w:sz w:val="16"/>
                <w:szCs w:val="16"/>
              </w:rPr>
              <w:t> </w:t>
            </w:r>
            <w:r w:rsidRPr="00A806A7">
              <w:rPr>
                <w:sz w:val="16"/>
                <w:szCs w:val="16"/>
              </w:rPr>
              <w:t>2015 sur la propriété intellectuelle dans le monde est publié tous les deux</w:t>
            </w:r>
            <w:r w:rsidR="004D421A" w:rsidRPr="00A806A7">
              <w:rPr>
                <w:sz w:val="16"/>
                <w:szCs w:val="16"/>
              </w:rPr>
              <w:t> </w:t>
            </w:r>
            <w:r w:rsidRPr="00A806A7">
              <w:rPr>
                <w:sz w:val="16"/>
                <w:szCs w:val="16"/>
              </w:rPr>
              <w:t>ans, la prochaine édition étant prévue pour fin</w:t>
            </w:r>
            <w:r w:rsidR="00B4191E" w:rsidRPr="00A806A7">
              <w:rPr>
                <w:sz w:val="16"/>
                <w:szCs w:val="16"/>
              </w:rPr>
              <w:t> </w:t>
            </w:r>
            <w:r w:rsidRPr="00A806A7">
              <w:rPr>
                <w:sz w:val="16"/>
                <w:szCs w:val="16"/>
              </w:rPr>
              <w:t>2017</w:t>
            </w:r>
          </w:p>
        </w:tc>
        <w:tc>
          <w:tcPr>
            <w:tcW w:w="513" w:type="pct"/>
            <w:shd w:val="clear" w:color="auto" w:fill="auto"/>
            <w:tcMar>
              <w:top w:w="110" w:type="dxa"/>
              <w:left w:w="58" w:type="dxa"/>
              <w:right w:w="58" w:type="dxa"/>
            </w:tcMar>
          </w:tcPr>
          <w:p w14:paraId="12E84348" w14:textId="492AF53B" w:rsidR="00BA5EA9" w:rsidRPr="001E6DFD" w:rsidRDefault="00B649F5" w:rsidP="00FF3362">
            <w:pPr>
              <w:keepNext/>
              <w:keepLines/>
              <w:jc w:val="center"/>
              <w:rPr>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bl>
    <w:p w14:paraId="40878012" w14:textId="77777777" w:rsidR="001F64B1" w:rsidRPr="001E6DFD" w:rsidRDefault="001F64B1" w:rsidP="0097226C">
      <w:pPr>
        <w:rPr>
          <w:bCs/>
          <w:iCs/>
          <w:caps/>
          <w:sz w:val="20"/>
          <w:lang w:eastAsia="da-DK"/>
        </w:rPr>
      </w:pPr>
    </w:p>
    <w:p w14:paraId="29491A2B" w14:textId="77777777" w:rsidR="005C716A" w:rsidRPr="001E6DFD" w:rsidRDefault="005C716A">
      <w:pPr>
        <w:rPr>
          <w:b/>
          <w:bCs/>
          <w:iCs/>
          <w:caps/>
          <w:sz w:val="20"/>
          <w:lang w:eastAsia="da-DK"/>
        </w:rPr>
      </w:pPr>
      <w:r w:rsidRPr="001E6DFD">
        <w:rPr>
          <w:b/>
          <w:bCs/>
          <w:iCs/>
          <w:caps/>
          <w:sz w:val="20"/>
          <w:lang w:eastAsia="da-DK"/>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5512E6E1" w14:textId="77777777" w:rsidTr="0048606A">
        <w:trPr>
          <w:trHeight w:val="423"/>
          <w:jc w:val="center"/>
        </w:trPr>
        <w:tc>
          <w:tcPr>
            <w:tcW w:w="9287" w:type="dxa"/>
            <w:shd w:val="clear" w:color="auto" w:fill="C6D9F1" w:themeFill="text2" w:themeFillTint="33"/>
            <w:vAlign w:val="center"/>
          </w:tcPr>
          <w:p w14:paraId="124DFDEB" w14:textId="150B1066" w:rsidR="00BA5EA9" w:rsidRPr="001E6DFD" w:rsidRDefault="00BA5EA9" w:rsidP="0097226C">
            <w:pPr>
              <w:keepNext/>
              <w:keepLines/>
              <w:jc w:val="center"/>
              <w:rPr>
                <w:b/>
                <w:sz w:val="20"/>
              </w:rPr>
            </w:pPr>
            <w:r w:rsidRPr="001E6DFD">
              <w:rPr>
                <w:sz w:val="20"/>
              </w:rPr>
              <w:lastRenderedPageBreak/>
              <w:br w:type="page"/>
            </w:r>
            <w:r w:rsidR="002F00FF" w:rsidRPr="001E6DFD">
              <w:rPr>
                <w:b/>
                <w:sz w:val="20"/>
              </w:rPr>
              <w:t>Utilisation des ressources au titre du programme</w:t>
            </w:r>
            <w:r w:rsidR="00B4191E">
              <w:rPr>
                <w:b/>
                <w:sz w:val="20"/>
              </w:rPr>
              <w:t> </w:t>
            </w:r>
            <w:r w:rsidRPr="001E6DFD">
              <w:rPr>
                <w:b/>
                <w:sz w:val="20"/>
              </w:rPr>
              <w:t>16</w:t>
            </w:r>
          </w:p>
        </w:tc>
      </w:tr>
    </w:tbl>
    <w:p w14:paraId="51301CA8" w14:textId="77777777" w:rsidR="001F64B1" w:rsidRPr="001E6DFD" w:rsidRDefault="001F64B1" w:rsidP="0097226C">
      <w:pPr>
        <w:rPr>
          <w:sz w:val="20"/>
          <w:szCs w:val="18"/>
        </w:rPr>
      </w:pPr>
    </w:p>
    <w:p w14:paraId="3DC8277B" w14:textId="77777777" w:rsidR="001F64B1" w:rsidRPr="001E6DFD" w:rsidRDefault="00B2297A" w:rsidP="0097226C">
      <w:pPr>
        <w:keepNext/>
        <w:keepLines/>
        <w:jc w:val="center"/>
        <w:rPr>
          <w:sz w:val="18"/>
          <w:szCs w:val="18"/>
        </w:rPr>
      </w:pPr>
      <w:r w:rsidRPr="001E6DFD">
        <w:rPr>
          <w:sz w:val="18"/>
          <w:szCs w:val="18"/>
        </w:rPr>
        <w:t>Budget et dépenses effectives (par résultat)</w:t>
      </w:r>
    </w:p>
    <w:p w14:paraId="429F7A57" w14:textId="77777777" w:rsidR="001F64B1" w:rsidRPr="001E6DFD" w:rsidRDefault="00B2297A" w:rsidP="0097226C">
      <w:pPr>
        <w:keepNext/>
        <w:keepLines/>
        <w:jc w:val="center"/>
        <w:rPr>
          <w:i/>
          <w:iCs/>
          <w:sz w:val="16"/>
          <w:szCs w:val="16"/>
        </w:rPr>
      </w:pPr>
      <w:r w:rsidRPr="001E6DFD">
        <w:rPr>
          <w:i/>
          <w:iCs/>
          <w:sz w:val="16"/>
          <w:szCs w:val="16"/>
        </w:rPr>
        <w:t>(en milliers de francs suisses)</w:t>
      </w:r>
    </w:p>
    <w:p w14:paraId="7B254194" w14:textId="77777777" w:rsidR="00BA5EA9" w:rsidRPr="001E6DFD" w:rsidRDefault="00BA5EA9" w:rsidP="0097226C">
      <w:pPr>
        <w:rPr>
          <w:sz w:val="20"/>
          <w:szCs w:val="18"/>
        </w:rPr>
      </w:pPr>
    </w:p>
    <w:tbl>
      <w:tblPr>
        <w:tblW w:w="4300" w:type="pct"/>
        <w:jc w:val="center"/>
        <w:tblCellMar>
          <w:top w:w="57" w:type="dxa"/>
          <w:bottom w:w="57" w:type="dxa"/>
        </w:tblCellMar>
        <w:tblLook w:val="04A0" w:firstRow="1" w:lastRow="0" w:firstColumn="1" w:lastColumn="0" w:noHBand="0" w:noVBand="1"/>
      </w:tblPr>
      <w:tblGrid>
        <w:gridCol w:w="458"/>
        <w:gridCol w:w="4243"/>
        <w:gridCol w:w="1576"/>
        <w:gridCol w:w="1576"/>
        <w:gridCol w:w="1434"/>
      </w:tblGrid>
      <w:tr w:rsidR="00BA5EA9" w:rsidRPr="001E6DFD" w14:paraId="48407E63" w14:textId="77777777" w:rsidTr="005C716A">
        <w:trPr>
          <w:jc w:val="center"/>
        </w:trPr>
        <w:tc>
          <w:tcPr>
            <w:tcW w:w="4706" w:type="dxa"/>
            <w:gridSpan w:val="2"/>
            <w:tcBorders>
              <w:top w:val="nil"/>
              <w:left w:val="nil"/>
              <w:bottom w:val="nil"/>
              <w:right w:val="nil"/>
            </w:tcBorders>
            <w:shd w:val="clear" w:color="000000" w:fill="C5D9F1"/>
            <w:noWrap/>
            <w:vAlign w:val="center"/>
            <w:hideMark/>
          </w:tcPr>
          <w:p w14:paraId="5F51D322" w14:textId="77777777" w:rsidR="00BA5EA9" w:rsidRPr="001E6DFD" w:rsidRDefault="00B2297A"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70" w:type="dxa"/>
            <w:tcBorders>
              <w:top w:val="nil"/>
              <w:left w:val="nil"/>
              <w:bottom w:val="nil"/>
              <w:right w:val="nil"/>
            </w:tcBorders>
            <w:shd w:val="clear" w:color="000000" w:fill="C5D9F1"/>
            <w:vAlign w:val="center"/>
            <w:hideMark/>
          </w:tcPr>
          <w:p w14:paraId="611DAFAB" w14:textId="3EB4523D"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69" w:type="dxa"/>
            <w:tcBorders>
              <w:top w:val="nil"/>
              <w:left w:val="nil"/>
              <w:bottom w:val="nil"/>
              <w:right w:val="nil"/>
            </w:tcBorders>
            <w:shd w:val="clear" w:color="000000" w:fill="C5D9F1"/>
            <w:vAlign w:val="center"/>
            <w:hideMark/>
          </w:tcPr>
          <w:p w14:paraId="4AE917AD" w14:textId="400D5779"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77" w:type="dxa"/>
            <w:tcBorders>
              <w:top w:val="nil"/>
              <w:left w:val="nil"/>
              <w:bottom w:val="nil"/>
              <w:right w:val="nil"/>
            </w:tcBorders>
            <w:shd w:val="clear" w:color="000000" w:fill="C5D9F1"/>
            <w:vAlign w:val="center"/>
            <w:hideMark/>
          </w:tcPr>
          <w:p w14:paraId="6B3E188B" w14:textId="1C51770D"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1B8E78A2" w14:textId="77777777" w:rsidTr="005C716A">
        <w:trPr>
          <w:jc w:val="center"/>
        </w:trPr>
        <w:tc>
          <w:tcPr>
            <w:tcW w:w="459" w:type="dxa"/>
            <w:tcBorders>
              <w:top w:val="nil"/>
              <w:left w:val="nil"/>
              <w:bottom w:val="nil"/>
              <w:right w:val="nil"/>
            </w:tcBorders>
            <w:shd w:val="clear" w:color="auto" w:fill="auto"/>
            <w:noWrap/>
            <w:vAlign w:val="center"/>
            <w:hideMark/>
          </w:tcPr>
          <w:p w14:paraId="6D3D7966" w14:textId="77777777" w:rsidR="00BA5EA9" w:rsidRPr="001E6DFD" w:rsidRDefault="00BA5EA9" w:rsidP="0097226C">
            <w:pPr>
              <w:rPr>
                <w:sz w:val="16"/>
                <w:szCs w:val="16"/>
              </w:rPr>
            </w:pPr>
            <w:r w:rsidRPr="001E6DFD">
              <w:rPr>
                <w:sz w:val="16"/>
                <w:szCs w:val="16"/>
              </w:rPr>
              <w:t>V.1</w:t>
            </w:r>
          </w:p>
        </w:tc>
        <w:tc>
          <w:tcPr>
            <w:tcW w:w="4247" w:type="dxa"/>
            <w:tcBorders>
              <w:top w:val="nil"/>
              <w:left w:val="nil"/>
              <w:bottom w:val="nil"/>
              <w:right w:val="nil"/>
            </w:tcBorders>
            <w:shd w:val="clear" w:color="auto" w:fill="auto"/>
            <w:vAlign w:val="center"/>
            <w:hideMark/>
          </w:tcPr>
          <w:p w14:paraId="6A672B4C" w14:textId="6B550E1C" w:rsidR="00BA5EA9" w:rsidRPr="001E6DFD" w:rsidRDefault="00B2297A" w:rsidP="0097226C">
            <w:pPr>
              <w:rPr>
                <w:sz w:val="16"/>
                <w:szCs w:val="16"/>
              </w:rPr>
            </w:pPr>
            <w:r w:rsidRPr="001E6DFD">
              <w:rPr>
                <w:sz w:val="16"/>
                <w:szCs w:val="16"/>
              </w:rPr>
              <w:t>Utilisation élargie et améliorée de l</w:t>
            </w:r>
            <w:r w:rsidR="00FA22F6" w:rsidRPr="001E6DFD">
              <w:rPr>
                <w:sz w:val="16"/>
                <w:szCs w:val="16"/>
              </w:rPr>
              <w:t>’</w:t>
            </w:r>
            <w:r w:rsidRPr="001E6DFD">
              <w:rPr>
                <w:sz w:val="16"/>
                <w:szCs w:val="16"/>
              </w:rPr>
              <w:t>information statistique de l</w:t>
            </w:r>
            <w:r w:rsidR="00FA22F6" w:rsidRPr="001E6DFD">
              <w:rPr>
                <w:sz w:val="16"/>
                <w:szCs w:val="16"/>
              </w:rPr>
              <w:t>’</w:t>
            </w:r>
            <w:r w:rsidRPr="001E6DFD">
              <w:rPr>
                <w:sz w:val="16"/>
                <w:szCs w:val="16"/>
              </w:rPr>
              <w:t>OMPI relative à la propriété intellectuelle</w:t>
            </w:r>
          </w:p>
        </w:tc>
        <w:tc>
          <w:tcPr>
            <w:tcW w:w="1170" w:type="dxa"/>
            <w:tcBorders>
              <w:top w:val="nil"/>
              <w:left w:val="nil"/>
              <w:bottom w:val="nil"/>
              <w:right w:val="nil"/>
            </w:tcBorders>
            <w:shd w:val="clear" w:color="auto" w:fill="auto"/>
            <w:noWrap/>
            <w:vAlign w:val="center"/>
            <w:hideMark/>
          </w:tcPr>
          <w:p w14:paraId="12F4FC85" w14:textId="77777777" w:rsidR="00BA5EA9" w:rsidRPr="001E6DFD" w:rsidRDefault="00282CF5" w:rsidP="0097226C">
            <w:pPr>
              <w:jc w:val="center"/>
              <w:rPr>
                <w:sz w:val="16"/>
                <w:szCs w:val="16"/>
              </w:rPr>
            </w:pPr>
            <w:r w:rsidRPr="001E6DFD">
              <w:rPr>
                <w:sz w:val="16"/>
                <w:szCs w:val="16"/>
              </w:rPr>
              <w:t>2 677</w:t>
            </w:r>
          </w:p>
        </w:tc>
        <w:tc>
          <w:tcPr>
            <w:tcW w:w="1169" w:type="dxa"/>
            <w:tcBorders>
              <w:top w:val="nil"/>
              <w:left w:val="nil"/>
              <w:bottom w:val="nil"/>
              <w:right w:val="nil"/>
            </w:tcBorders>
            <w:shd w:val="clear" w:color="auto" w:fill="auto"/>
            <w:noWrap/>
            <w:vAlign w:val="center"/>
            <w:hideMark/>
          </w:tcPr>
          <w:p w14:paraId="5B884219" w14:textId="77777777" w:rsidR="00BA5EA9" w:rsidRPr="001E6DFD" w:rsidRDefault="00282CF5" w:rsidP="0097226C">
            <w:pPr>
              <w:jc w:val="center"/>
              <w:rPr>
                <w:sz w:val="16"/>
                <w:szCs w:val="16"/>
              </w:rPr>
            </w:pPr>
            <w:r w:rsidRPr="001E6DFD">
              <w:rPr>
                <w:sz w:val="16"/>
                <w:szCs w:val="16"/>
              </w:rPr>
              <w:t>2 447</w:t>
            </w:r>
          </w:p>
        </w:tc>
        <w:tc>
          <w:tcPr>
            <w:tcW w:w="1177" w:type="dxa"/>
            <w:tcBorders>
              <w:top w:val="nil"/>
              <w:left w:val="nil"/>
              <w:bottom w:val="nil"/>
              <w:right w:val="nil"/>
            </w:tcBorders>
            <w:shd w:val="clear" w:color="auto" w:fill="auto"/>
            <w:noWrap/>
            <w:vAlign w:val="center"/>
            <w:hideMark/>
          </w:tcPr>
          <w:p w14:paraId="155C9360" w14:textId="77777777" w:rsidR="00BA5EA9" w:rsidRPr="001E6DFD" w:rsidRDefault="00282CF5" w:rsidP="0097226C">
            <w:pPr>
              <w:jc w:val="center"/>
              <w:rPr>
                <w:sz w:val="16"/>
                <w:szCs w:val="16"/>
              </w:rPr>
            </w:pPr>
            <w:r w:rsidRPr="001E6DFD">
              <w:rPr>
                <w:sz w:val="16"/>
                <w:szCs w:val="16"/>
              </w:rPr>
              <w:t>1 172</w:t>
            </w:r>
          </w:p>
        </w:tc>
      </w:tr>
      <w:tr w:rsidR="00BA5EA9" w:rsidRPr="001E6DFD" w14:paraId="303D1C4E" w14:textId="77777777" w:rsidTr="005C716A">
        <w:trPr>
          <w:jc w:val="center"/>
        </w:trPr>
        <w:tc>
          <w:tcPr>
            <w:tcW w:w="459" w:type="dxa"/>
            <w:tcBorders>
              <w:top w:val="nil"/>
              <w:left w:val="nil"/>
              <w:bottom w:val="nil"/>
              <w:right w:val="nil"/>
            </w:tcBorders>
            <w:shd w:val="clear" w:color="auto" w:fill="auto"/>
            <w:noWrap/>
            <w:vAlign w:val="center"/>
            <w:hideMark/>
          </w:tcPr>
          <w:p w14:paraId="43B69F84" w14:textId="77777777" w:rsidR="00BA5EA9" w:rsidRPr="001E6DFD" w:rsidRDefault="00BA5EA9" w:rsidP="0097226C">
            <w:pPr>
              <w:rPr>
                <w:sz w:val="16"/>
                <w:szCs w:val="16"/>
              </w:rPr>
            </w:pPr>
            <w:r w:rsidRPr="001E6DFD">
              <w:rPr>
                <w:sz w:val="16"/>
                <w:szCs w:val="16"/>
              </w:rPr>
              <w:t>V.2</w:t>
            </w:r>
          </w:p>
        </w:tc>
        <w:tc>
          <w:tcPr>
            <w:tcW w:w="4247" w:type="dxa"/>
            <w:tcBorders>
              <w:top w:val="nil"/>
              <w:left w:val="nil"/>
              <w:bottom w:val="nil"/>
              <w:right w:val="nil"/>
            </w:tcBorders>
            <w:shd w:val="clear" w:color="auto" w:fill="auto"/>
            <w:vAlign w:val="center"/>
            <w:hideMark/>
          </w:tcPr>
          <w:p w14:paraId="50125B6D" w14:textId="42DCAB23" w:rsidR="00BA5EA9" w:rsidRPr="001E6DFD" w:rsidRDefault="00B2297A" w:rsidP="0097226C">
            <w:pPr>
              <w:rPr>
                <w:sz w:val="16"/>
                <w:szCs w:val="16"/>
              </w:rPr>
            </w:pPr>
            <w:r w:rsidRPr="001E6DFD">
              <w:rPr>
                <w:sz w:val="16"/>
                <w:szCs w:val="16"/>
              </w:rPr>
              <w:t>Utilisation élargie et améliorée des analyses économiques de l</w:t>
            </w:r>
            <w:r w:rsidR="00FA22F6" w:rsidRPr="001E6DFD">
              <w:rPr>
                <w:sz w:val="16"/>
                <w:szCs w:val="16"/>
              </w:rPr>
              <w:t>’</w:t>
            </w:r>
            <w:r w:rsidRPr="001E6DFD">
              <w:rPr>
                <w:sz w:val="16"/>
                <w:szCs w:val="16"/>
              </w:rPr>
              <w:t>OMPI aux fins de l</w:t>
            </w:r>
            <w:r w:rsidR="00FA22F6" w:rsidRPr="001E6DFD">
              <w:rPr>
                <w:sz w:val="16"/>
                <w:szCs w:val="16"/>
              </w:rPr>
              <w:t>’</w:t>
            </w:r>
            <w:r w:rsidRPr="001E6DFD">
              <w:rPr>
                <w:sz w:val="16"/>
                <w:szCs w:val="16"/>
              </w:rPr>
              <w:t>élaboration des politiques</w:t>
            </w:r>
          </w:p>
        </w:tc>
        <w:tc>
          <w:tcPr>
            <w:tcW w:w="1170" w:type="dxa"/>
            <w:tcBorders>
              <w:top w:val="nil"/>
              <w:left w:val="nil"/>
              <w:bottom w:val="nil"/>
              <w:right w:val="nil"/>
            </w:tcBorders>
            <w:shd w:val="clear" w:color="auto" w:fill="auto"/>
            <w:noWrap/>
            <w:vAlign w:val="center"/>
            <w:hideMark/>
          </w:tcPr>
          <w:p w14:paraId="6B4A4195" w14:textId="77777777" w:rsidR="00BA5EA9" w:rsidRPr="001E6DFD" w:rsidRDefault="00282CF5" w:rsidP="0097226C">
            <w:pPr>
              <w:jc w:val="center"/>
              <w:rPr>
                <w:sz w:val="16"/>
                <w:szCs w:val="16"/>
              </w:rPr>
            </w:pPr>
            <w:r w:rsidRPr="001E6DFD">
              <w:rPr>
                <w:sz w:val="16"/>
                <w:szCs w:val="16"/>
              </w:rPr>
              <w:t>3 395</w:t>
            </w:r>
          </w:p>
        </w:tc>
        <w:tc>
          <w:tcPr>
            <w:tcW w:w="1169" w:type="dxa"/>
            <w:tcBorders>
              <w:top w:val="nil"/>
              <w:left w:val="nil"/>
              <w:bottom w:val="nil"/>
              <w:right w:val="nil"/>
            </w:tcBorders>
            <w:shd w:val="clear" w:color="auto" w:fill="auto"/>
            <w:noWrap/>
            <w:vAlign w:val="center"/>
            <w:hideMark/>
          </w:tcPr>
          <w:p w14:paraId="1AC2DAEE" w14:textId="77777777" w:rsidR="00BA5EA9" w:rsidRPr="001E6DFD" w:rsidRDefault="00282CF5" w:rsidP="0097226C">
            <w:pPr>
              <w:jc w:val="center"/>
              <w:rPr>
                <w:sz w:val="16"/>
                <w:szCs w:val="16"/>
              </w:rPr>
            </w:pPr>
            <w:r w:rsidRPr="001E6DFD">
              <w:rPr>
                <w:sz w:val="16"/>
                <w:szCs w:val="16"/>
              </w:rPr>
              <w:t>3 874</w:t>
            </w:r>
          </w:p>
        </w:tc>
        <w:tc>
          <w:tcPr>
            <w:tcW w:w="1177" w:type="dxa"/>
            <w:tcBorders>
              <w:top w:val="nil"/>
              <w:left w:val="nil"/>
              <w:bottom w:val="nil"/>
              <w:right w:val="nil"/>
            </w:tcBorders>
            <w:shd w:val="clear" w:color="auto" w:fill="auto"/>
            <w:noWrap/>
            <w:vAlign w:val="center"/>
            <w:hideMark/>
          </w:tcPr>
          <w:p w14:paraId="4055A238" w14:textId="77777777" w:rsidR="00BA5EA9" w:rsidRPr="001E6DFD" w:rsidRDefault="00282CF5" w:rsidP="0097226C">
            <w:pPr>
              <w:jc w:val="center"/>
              <w:rPr>
                <w:sz w:val="16"/>
                <w:szCs w:val="16"/>
              </w:rPr>
            </w:pPr>
            <w:r w:rsidRPr="001E6DFD">
              <w:rPr>
                <w:sz w:val="16"/>
                <w:szCs w:val="16"/>
              </w:rPr>
              <w:t>1 569</w:t>
            </w:r>
          </w:p>
        </w:tc>
      </w:tr>
      <w:tr w:rsidR="00BA5EA9" w:rsidRPr="001E6DFD" w14:paraId="69974738" w14:textId="77777777" w:rsidTr="005C716A">
        <w:trPr>
          <w:jc w:val="center"/>
        </w:trPr>
        <w:tc>
          <w:tcPr>
            <w:tcW w:w="459" w:type="dxa"/>
            <w:tcBorders>
              <w:top w:val="nil"/>
              <w:left w:val="nil"/>
              <w:bottom w:val="nil"/>
              <w:right w:val="nil"/>
            </w:tcBorders>
            <w:shd w:val="clear" w:color="000000" w:fill="C5D9F1"/>
            <w:noWrap/>
            <w:vAlign w:val="bottom"/>
            <w:hideMark/>
          </w:tcPr>
          <w:p w14:paraId="3373ADA2" w14:textId="1C87B381" w:rsidR="00BA5EA9" w:rsidRPr="001E6DFD" w:rsidRDefault="00BA5EA9" w:rsidP="0097226C">
            <w:pPr>
              <w:rPr>
                <w:sz w:val="16"/>
                <w:szCs w:val="16"/>
              </w:rPr>
            </w:pPr>
          </w:p>
        </w:tc>
        <w:tc>
          <w:tcPr>
            <w:tcW w:w="4247" w:type="dxa"/>
            <w:tcBorders>
              <w:top w:val="nil"/>
              <w:left w:val="nil"/>
              <w:bottom w:val="nil"/>
              <w:right w:val="nil"/>
            </w:tcBorders>
            <w:shd w:val="clear" w:color="000000" w:fill="C5D9F1"/>
            <w:noWrap/>
            <w:vAlign w:val="bottom"/>
            <w:hideMark/>
          </w:tcPr>
          <w:p w14:paraId="77D8FCC2" w14:textId="77777777" w:rsidR="00BA5EA9" w:rsidRPr="001E6DFD" w:rsidRDefault="00B2297A" w:rsidP="0097226C">
            <w:pPr>
              <w:jc w:val="right"/>
              <w:rPr>
                <w:b/>
                <w:bCs/>
                <w:sz w:val="16"/>
                <w:szCs w:val="16"/>
              </w:rPr>
            </w:pPr>
            <w:r w:rsidRPr="001E6DFD">
              <w:rPr>
                <w:b/>
                <w:bCs/>
                <w:sz w:val="16"/>
                <w:szCs w:val="16"/>
              </w:rPr>
              <w:t>Total</w:t>
            </w:r>
          </w:p>
        </w:tc>
        <w:tc>
          <w:tcPr>
            <w:tcW w:w="1170" w:type="dxa"/>
            <w:tcBorders>
              <w:top w:val="nil"/>
              <w:left w:val="nil"/>
              <w:bottom w:val="nil"/>
              <w:right w:val="nil"/>
            </w:tcBorders>
            <w:shd w:val="clear" w:color="000000" w:fill="C5D9F1"/>
            <w:noWrap/>
            <w:vAlign w:val="center"/>
            <w:hideMark/>
          </w:tcPr>
          <w:p w14:paraId="5A65A7AB" w14:textId="77777777" w:rsidR="00BA5EA9" w:rsidRPr="001E6DFD" w:rsidRDefault="00282CF5" w:rsidP="0097226C">
            <w:pPr>
              <w:jc w:val="center"/>
              <w:rPr>
                <w:sz w:val="16"/>
                <w:szCs w:val="16"/>
              </w:rPr>
            </w:pPr>
            <w:r w:rsidRPr="001E6DFD">
              <w:rPr>
                <w:sz w:val="16"/>
                <w:szCs w:val="16"/>
              </w:rPr>
              <w:t>6 072</w:t>
            </w:r>
          </w:p>
        </w:tc>
        <w:tc>
          <w:tcPr>
            <w:tcW w:w="1169" w:type="dxa"/>
            <w:tcBorders>
              <w:top w:val="nil"/>
              <w:left w:val="nil"/>
              <w:bottom w:val="nil"/>
              <w:right w:val="nil"/>
            </w:tcBorders>
            <w:shd w:val="clear" w:color="000000" w:fill="C5D9F1"/>
            <w:noWrap/>
            <w:vAlign w:val="center"/>
            <w:hideMark/>
          </w:tcPr>
          <w:p w14:paraId="08DE3B71" w14:textId="77777777" w:rsidR="00BA5EA9" w:rsidRPr="001E6DFD" w:rsidRDefault="00282CF5" w:rsidP="0097226C">
            <w:pPr>
              <w:jc w:val="center"/>
              <w:rPr>
                <w:sz w:val="16"/>
                <w:szCs w:val="16"/>
              </w:rPr>
            </w:pPr>
            <w:r w:rsidRPr="001E6DFD">
              <w:rPr>
                <w:sz w:val="16"/>
                <w:szCs w:val="16"/>
              </w:rPr>
              <w:t>6 322</w:t>
            </w:r>
          </w:p>
        </w:tc>
        <w:tc>
          <w:tcPr>
            <w:tcW w:w="1177" w:type="dxa"/>
            <w:tcBorders>
              <w:top w:val="nil"/>
              <w:left w:val="nil"/>
              <w:bottom w:val="nil"/>
              <w:right w:val="nil"/>
            </w:tcBorders>
            <w:shd w:val="clear" w:color="000000" w:fill="C5D9F1"/>
            <w:noWrap/>
            <w:vAlign w:val="center"/>
            <w:hideMark/>
          </w:tcPr>
          <w:p w14:paraId="509B1C3E" w14:textId="77777777" w:rsidR="00BA5EA9" w:rsidRPr="001E6DFD" w:rsidRDefault="00282CF5" w:rsidP="0097226C">
            <w:pPr>
              <w:jc w:val="center"/>
              <w:rPr>
                <w:sz w:val="16"/>
                <w:szCs w:val="16"/>
              </w:rPr>
            </w:pPr>
            <w:r w:rsidRPr="001E6DFD">
              <w:rPr>
                <w:sz w:val="16"/>
                <w:szCs w:val="16"/>
              </w:rPr>
              <w:t>2 741</w:t>
            </w:r>
          </w:p>
        </w:tc>
      </w:tr>
      <w:tr w:rsidR="00FA541B" w:rsidRPr="001E6DFD" w14:paraId="2CCBD83C" w14:textId="77777777" w:rsidTr="005C716A">
        <w:trPr>
          <w:jc w:val="center"/>
        </w:trPr>
        <w:tc>
          <w:tcPr>
            <w:tcW w:w="8222" w:type="dxa"/>
            <w:gridSpan w:val="5"/>
            <w:tcBorders>
              <w:top w:val="nil"/>
              <w:left w:val="nil"/>
              <w:bottom w:val="nil"/>
              <w:right w:val="nil"/>
            </w:tcBorders>
            <w:shd w:val="clear" w:color="auto" w:fill="auto"/>
            <w:noWrap/>
            <w:vAlign w:val="center"/>
            <w:hideMark/>
          </w:tcPr>
          <w:p w14:paraId="6B94213B" w14:textId="1CFD08D3" w:rsidR="00FA541B" w:rsidRPr="001E6DFD" w:rsidRDefault="00FA541B"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23333CC2" w14:textId="77777777" w:rsidR="001F64B1" w:rsidRPr="001E6DFD" w:rsidRDefault="001F64B1" w:rsidP="0097226C">
      <w:pPr>
        <w:rPr>
          <w:sz w:val="20"/>
          <w:szCs w:val="18"/>
        </w:rPr>
      </w:pPr>
    </w:p>
    <w:p w14:paraId="630884F2" w14:textId="77777777" w:rsidR="00FA22F6" w:rsidRPr="001E6DFD" w:rsidRDefault="00B2297A" w:rsidP="0097226C">
      <w:pPr>
        <w:keepNext/>
        <w:keepLines/>
        <w:jc w:val="center"/>
        <w:rPr>
          <w:sz w:val="18"/>
          <w:szCs w:val="18"/>
        </w:rPr>
      </w:pPr>
      <w:r w:rsidRPr="001E6DFD">
        <w:rPr>
          <w:sz w:val="18"/>
          <w:szCs w:val="18"/>
        </w:rPr>
        <w:t>Budget et dépenses effectives (dépenses de personnel et autres dépenses)</w:t>
      </w:r>
    </w:p>
    <w:p w14:paraId="67362E68" w14:textId="41B54AEF" w:rsidR="001F64B1" w:rsidRPr="001E6DFD" w:rsidRDefault="00B2297A" w:rsidP="0097226C">
      <w:pPr>
        <w:keepNext/>
        <w:keepLines/>
        <w:jc w:val="center"/>
        <w:rPr>
          <w:i/>
          <w:iCs/>
          <w:sz w:val="16"/>
          <w:szCs w:val="16"/>
        </w:rPr>
      </w:pPr>
      <w:r w:rsidRPr="001E6DFD">
        <w:rPr>
          <w:i/>
          <w:iCs/>
          <w:sz w:val="16"/>
          <w:szCs w:val="16"/>
        </w:rPr>
        <w:t>(en milliers de francs suisses)</w:t>
      </w:r>
    </w:p>
    <w:p w14:paraId="249F2EC3" w14:textId="77777777" w:rsidR="00BA5EA9" w:rsidRPr="001E6DFD" w:rsidRDefault="00BA5EA9" w:rsidP="0097226C">
      <w:pPr>
        <w:keepNext/>
        <w:keepLines/>
        <w:rPr>
          <w:sz w:val="20"/>
          <w:szCs w:val="18"/>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7570577C" w14:textId="77777777" w:rsidTr="005C716A">
        <w:trPr>
          <w:jc w:val="center"/>
        </w:trPr>
        <w:tc>
          <w:tcPr>
            <w:tcW w:w="2470" w:type="dxa"/>
            <w:tcBorders>
              <w:top w:val="nil"/>
              <w:left w:val="nil"/>
              <w:bottom w:val="nil"/>
              <w:right w:val="nil"/>
            </w:tcBorders>
            <w:shd w:val="clear" w:color="000000" w:fill="C5D9F1"/>
            <w:noWrap/>
            <w:vAlign w:val="center"/>
            <w:hideMark/>
          </w:tcPr>
          <w:p w14:paraId="09D1C6A9" w14:textId="77777777" w:rsidR="00BA5EA9" w:rsidRPr="001E6DFD" w:rsidRDefault="00BA5EA9" w:rsidP="0097226C">
            <w:pPr>
              <w:keepNext/>
              <w:keepLines/>
              <w:rPr>
                <w:sz w:val="16"/>
                <w:szCs w:val="16"/>
              </w:rPr>
            </w:pPr>
            <w:r w:rsidRPr="001E6DFD">
              <w:rPr>
                <w:sz w:val="16"/>
                <w:szCs w:val="16"/>
              </w:rPr>
              <w:t> </w:t>
            </w:r>
          </w:p>
        </w:tc>
        <w:tc>
          <w:tcPr>
            <w:tcW w:w="1438" w:type="dxa"/>
            <w:tcBorders>
              <w:top w:val="nil"/>
              <w:left w:val="nil"/>
              <w:bottom w:val="nil"/>
              <w:right w:val="nil"/>
            </w:tcBorders>
            <w:shd w:val="clear" w:color="000000" w:fill="C5D9F1"/>
            <w:vAlign w:val="center"/>
            <w:hideMark/>
          </w:tcPr>
          <w:p w14:paraId="4FBEF060" w14:textId="46468E6A" w:rsidR="00BA5EA9" w:rsidRPr="001E6DFD" w:rsidRDefault="00B2297A" w:rsidP="006A41CF">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438" w:type="dxa"/>
            <w:tcBorders>
              <w:top w:val="nil"/>
              <w:left w:val="nil"/>
              <w:bottom w:val="nil"/>
              <w:right w:val="nil"/>
            </w:tcBorders>
            <w:shd w:val="clear" w:color="000000" w:fill="C5D9F1"/>
            <w:vAlign w:val="center"/>
            <w:hideMark/>
          </w:tcPr>
          <w:p w14:paraId="6B186871" w14:textId="6EC4F0F7" w:rsidR="00BA5EA9" w:rsidRPr="001E6DFD" w:rsidRDefault="00F3341E" w:rsidP="0097226C">
            <w:pPr>
              <w:keepNext/>
              <w:keepLines/>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226BA187" w14:textId="575BE109" w:rsidR="00BA5EA9" w:rsidRPr="001E6DFD" w:rsidRDefault="00B2297A" w:rsidP="0097226C">
            <w:pPr>
              <w:keepNext/>
              <w:keepLines/>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16206FDE" w14:textId="184F7123" w:rsidR="00BA5EA9" w:rsidRPr="001E6DFD" w:rsidRDefault="00B2297A" w:rsidP="0097226C">
            <w:pPr>
              <w:keepNext/>
              <w:keepLines/>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46C15F6D" w14:textId="77777777" w:rsidTr="005C716A">
        <w:trPr>
          <w:jc w:val="center"/>
        </w:trPr>
        <w:tc>
          <w:tcPr>
            <w:tcW w:w="2470" w:type="dxa"/>
            <w:tcBorders>
              <w:top w:val="nil"/>
              <w:left w:val="nil"/>
              <w:bottom w:val="nil"/>
              <w:right w:val="nil"/>
            </w:tcBorders>
            <w:shd w:val="clear" w:color="auto" w:fill="auto"/>
            <w:noWrap/>
            <w:vAlign w:val="center"/>
            <w:hideMark/>
          </w:tcPr>
          <w:p w14:paraId="71D926F5" w14:textId="77777777" w:rsidR="00BA5EA9" w:rsidRPr="001E6DFD" w:rsidRDefault="002A49FC" w:rsidP="0097226C">
            <w:pPr>
              <w:keepNext/>
              <w:keepLines/>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32B86909" w14:textId="77777777" w:rsidR="00BA5EA9" w:rsidRPr="001E6DFD" w:rsidRDefault="00282CF5" w:rsidP="0097226C">
            <w:pPr>
              <w:keepNext/>
              <w:keepLines/>
              <w:jc w:val="center"/>
              <w:rPr>
                <w:sz w:val="16"/>
                <w:szCs w:val="16"/>
              </w:rPr>
            </w:pPr>
            <w:r w:rsidRPr="001E6DFD">
              <w:rPr>
                <w:sz w:val="16"/>
                <w:szCs w:val="16"/>
              </w:rPr>
              <w:t>4 997</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67A244A0" w14:textId="77777777" w:rsidR="00BA5EA9" w:rsidRPr="001E6DFD" w:rsidRDefault="00282CF5" w:rsidP="0097226C">
            <w:pPr>
              <w:keepNext/>
              <w:keepLines/>
              <w:jc w:val="center"/>
              <w:rPr>
                <w:sz w:val="16"/>
                <w:szCs w:val="16"/>
              </w:rPr>
            </w:pPr>
            <w:r w:rsidRPr="001E6DFD">
              <w:rPr>
                <w:sz w:val="16"/>
                <w:szCs w:val="16"/>
              </w:rPr>
              <w:t>5 021</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72F9D78" w14:textId="77777777" w:rsidR="00BA5EA9" w:rsidRPr="001E6DFD" w:rsidRDefault="00282CF5" w:rsidP="0097226C">
            <w:pPr>
              <w:keepNext/>
              <w:keepLines/>
              <w:jc w:val="center"/>
              <w:rPr>
                <w:sz w:val="16"/>
                <w:szCs w:val="16"/>
              </w:rPr>
            </w:pPr>
            <w:r w:rsidRPr="001E6DFD">
              <w:rPr>
                <w:sz w:val="16"/>
                <w:szCs w:val="16"/>
              </w:rPr>
              <w:t>2 326</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58B8DB49" w14:textId="77777777" w:rsidR="00BA5EA9" w:rsidRPr="001E6DFD" w:rsidRDefault="00BA5EA9" w:rsidP="0097226C">
            <w:pPr>
              <w:keepNext/>
              <w:keepLines/>
              <w:jc w:val="center"/>
              <w:rPr>
                <w:sz w:val="16"/>
                <w:szCs w:val="16"/>
              </w:rPr>
            </w:pPr>
            <w:r w:rsidRPr="001E6DFD">
              <w:rPr>
                <w:sz w:val="16"/>
                <w:szCs w:val="16"/>
              </w:rPr>
              <w:t>46%</w:t>
            </w:r>
          </w:p>
        </w:tc>
      </w:tr>
      <w:tr w:rsidR="00BA5EA9" w:rsidRPr="001E6DFD" w14:paraId="49F2B8A2" w14:textId="77777777" w:rsidTr="005C716A">
        <w:trPr>
          <w:jc w:val="center"/>
        </w:trPr>
        <w:tc>
          <w:tcPr>
            <w:tcW w:w="2470" w:type="dxa"/>
            <w:tcBorders>
              <w:top w:val="nil"/>
              <w:left w:val="nil"/>
              <w:bottom w:val="nil"/>
              <w:right w:val="nil"/>
            </w:tcBorders>
            <w:shd w:val="clear" w:color="auto" w:fill="auto"/>
            <w:noWrap/>
            <w:vAlign w:val="center"/>
            <w:hideMark/>
          </w:tcPr>
          <w:p w14:paraId="0376C59F" w14:textId="77777777" w:rsidR="00BA5EA9" w:rsidRPr="001E6DFD" w:rsidRDefault="002A49FC" w:rsidP="0097226C">
            <w:pPr>
              <w:keepNext/>
              <w:keepLines/>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7E882340" w14:textId="77777777" w:rsidR="00BA5EA9" w:rsidRPr="001E6DFD" w:rsidRDefault="00282CF5" w:rsidP="0097226C">
            <w:pPr>
              <w:keepNext/>
              <w:keepLines/>
              <w:jc w:val="center"/>
              <w:rPr>
                <w:sz w:val="16"/>
                <w:szCs w:val="16"/>
              </w:rPr>
            </w:pPr>
            <w:r w:rsidRPr="001E6DFD">
              <w:rPr>
                <w:sz w:val="16"/>
                <w:szCs w:val="16"/>
              </w:rPr>
              <w:t>1 075</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7BD3AD2" w14:textId="77777777" w:rsidR="00BA5EA9" w:rsidRPr="001E6DFD" w:rsidRDefault="00282CF5" w:rsidP="0097226C">
            <w:pPr>
              <w:keepNext/>
              <w:keepLines/>
              <w:jc w:val="center"/>
              <w:rPr>
                <w:sz w:val="16"/>
                <w:szCs w:val="16"/>
              </w:rPr>
            </w:pPr>
            <w:r w:rsidRPr="001E6DFD">
              <w:rPr>
                <w:sz w:val="16"/>
                <w:szCs w:val="16"/>
              </w:rPr>
              <w:t>1 300</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41866BC5" w14:textId="77777777" w:rsidR="00BA5EA9" w:rsidRPr="001E6DFD" w:rsidRDefault="00BA5EA9" w:rsidP="0097226C">
            <w:pPr>
              <w:keepNext/>
              <w:keepLines/>
              <w:jc w:val="center"/>
              <w:rPr>
                <w:sz w:val="16"/>
                <w:szCs w:val="16"/>
              </w:rPr>
            </w:pPr>
            <w:r w:rsidRPr="001E6DFD">
              <w:rPr>
                <w:sz w:val="16"/>
                <w:szCs w:val="16"/>
              </w:rPr>
              <w:t xml:space="preserve">415 </w:t>
            </w:r>
          </w:p>
        </w:tc>
        <w:tc>
          <w:tcPr>
            <w:tcW w:w="1438" w:type="dxa"/>
            <w:tcBorders>
              <w:top w:val="nil"/>
              <w:left w:val="nil"/>
              <w:bottom w:val="nil"/>
              <w:right w:val="nil"/>
            </w:tcBorders>
            <w:shd w:val="clear" w:color="auto" w:fill="auto"/>
            <w:vAlign w:val="center"/>
            <w:hideMark/>
          </w:tcPr>
          <w:p w14:paraId="5CE14A78" w14:textId="77777777" w:rsidR="00BA5EA9" w:rsidRPr="001E6DFD" w:rsidRDefault="00BA5EA9" w:rsidP="0097226C">
            <w:pPr>
              <w:keepNext/>
              <w:keepLines/>
              <w:jc w:val="center"/>
              <w:rPr>
                <w:sz w:val="16"/>
                <w:szCs w:val="16"/>
              </w:rPr>
            </w:pPr>
            <w:r w:rsidRPr="001E6DFD">
              <w:rPr>
                <w:sz w:val="16"/>
                <w:szCs w:val="16"/>
              </w:rPr>
              <w:t>32%</w:t>
            </w:r>
          </w:p>
        </w:tc>
      </w:tr>
      <w:tr w:rsidR="00BA5EA9" w:rsidRPr="001E6DFD" w14:paraId="1246B38D" w14:textId="77777777" w:rsidTr="005C716A">
        <w:trPr>
          <w:jc w:val="center"/>
        </w:trPr>
        <w:tc>
          <w:tcPr>
            <w:tcW w:w="2470" w:type="dxa"/>
            <w:tcBorders>
              <w:top w:val="nil"/>
              <w:left w:val="nil"/>
              <w:bottom w:val="nil"/>
              <w:right w:val="nil"/>
            </w:tcBorders>
            <w:shd w:val="clear" w:color="000000" w:fill="C5D9F1"/>
            <w:noWrap/>
            <w:vAlign w:val="center"/>
            <w:hideMark/>
          </w:tcPr>
          <w:p w14:paraId="7FA1ECEC" w14:textId="25833F64" w:rsidR="00BA5EA9" w:rsidRPr="001E6DFD" w:rsidRDefault="00B2297A" w:rsidP="0097226C">
            <w:pPr>
              <w:keepNext/>
              <w:keepLines/>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020B2448" w14:textId="77777777" w:rsidR="00BA5EA9" w:rsidRPr="001E6DFD" w:rsidRDefault="00282CF5" w:rsidP="0097226C">
            <w:pPr>
              <w:keepNext/>
              <w:keepLines/>
              <w:jc w:val="center"/>
              <w:rPr>
                <w:b/>
                <w:bCs/>
                <w:sz w:val="16"/>
                <w:szCs w:val="16"/>
              </w:rPr>
            </w:pPr>
            <w:r w:rsidRPr="001E6DFD">
              <w:rPr>
                <w:b/>
                <w:bCs/>
                <w:sz w:val="16"/>
                <w:szCs w:val="16"/>
              </w:rPr>
              <w:t>6 072</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007B8C17" w14:textId="77777777" w:rsidR="00BA5EA9" w:rsidRPr="001E6DFD" w:rsidRDefault="00282CF5" w:rsidP="0097226C">
            <w:pPr>
              <w:keepNext/>
              <w:keepLines/>
              <w:jc w:val="center"/>
              <w:rPr>
                <w:b/>
                <w:bCs/>
                <w:sz w:val="16"/>
                <w:szCs w:val="16"/>
              </w:rPr>
            </w:pPr>
            <w:r w:rsidRPr="001E6DFD">
              <w:rPr>
                <w:b/>
                <w:bCs/>
                <w:sz w:val="16"/>
                <w:szCs w:val="16"/>
              </w:rPr>
              <w:t>6 322</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1EBA0F19" w14:textId="77777777" w:rsidR="00BA5EA9" w:rsidRPr="001E6DFD" w:rsidRDefault="00282CF5" w:rsidP="0097226C">
            <w:pPr>
              <w:keepNext/>
              <w:keepLines/>
              <w:jc w:val="center"/>
              <w:rPr>
                <w:b/>
                <w:bCs/>
                <w:sz w:val="16"/>
                <w:szCs w:val="16"/>
              </w:rPr>
            </w:pPr>
            <w:r w:rsidRPr="001E6DFD">
              <w:rPr>
                <w:b/>
                <w:bCs/>
                <w:sz w:val="16"/>
                <w:szCs w:val="16"/>
              </w:rPr>
              <w:t>2 741</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62E1FA28" w14:textId="77777777" w:rsidR="00BA5EA9" w:rsidRPr="001E6DFD" w:rsidRDefault="00BA5EA9" w:rsidP="0097226C">
            <w:pPr>
              <w:keepNext/>
              <w:keepLines/>
              <w:jc w:val="center"/>
              <w:rPr>
                <w:b/>
                <w:bCs/>
                <w:sz w:val="16"/>
                <w:szCs w:val="16"/>
              </w:rPr>
            </w:pPr>
            <w:r w:rsidRPr="001E6DFD">
              <w:rPr>
                <w:b/>
                <w:bCs/>
                <w:sz w:val="16"/>
                <w:szCs w:val="16"/>
              </w:rPr>
              <w:t>43%</w:t>
            </w:r>
          </w:p>
        </w:tc>
      </w:tr>
      <w:tr w:rsidR="00BA5EA9" w:rsidRPr="001E6DFD" w14:paraId="17A9B023" w14:textId="77777777" w:rsidTr="005C716A">
        <w:trPr>
          <w:jc w:val="center"/>
        </w:trPr>
        <w:tc>
          <w:tcPr>
            <w:tcW w:w="8222" w:type="dxa"/>
            <w:gridSpan w:val="5"/>
            <w:tcBorders>
              <w:top w:val="nil"/>
              <w:left w:val="nil"/>
              <w:bottom w:val="nil"/>
              <w:right w:val="nil"/>
            </w:tcBorders>
            <w:shd w:val="clear" w:color="auto" w:fill="auto"/>
            <w:noWrap/>
            <w:vAlign w:val="center"/>
            <w:hideMark/>
          </w:tcPr>
          <w:p w14:paraId="3D62F04E" w14:textId="3723B01A" w:rsidR="00BA5EA9" w:rsidRPr="001E6DFD" w:rsidRDefault="00B649F5" w:rsidP="0097226C">
            <w:pPr>
              <w:keepNext/>
              <w:keepLines/>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63D6F359" w14:textId="77777777" w:rsidR="001F64B1" w:rsidRPr="001E6DFD" w:rsidRDefault="001F64B1" w:rsidP="005C716A"/>
    <w:p w14:paraId="484285DB" w14:textId="2C53E661" w:rsidR="001F64B1" w:rsidRPr="001E6DFD" w:rsidRDefault="00B2297A"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3B160B4F" w14:textId="77777777" w:rsidR="001F64B1" w:rsidRPr="001E6DFD" w:rsidRDefault="001F64B1" w:rsidP="0097226C">
      <w:pPr>
        <w:rPr>
          <w:sz w:val="20"/>
          <w:szCs w:val="18"/>
        </w:rPr>
      </w:pPr>
    </w:p>
    <w:p w14:paraId="57BCACFD" w14:textId="77777777" w:rsidR="001F64B1" w:rsidRPr="001E6DFD" w:rsidRDefault="001F64B1" w:rsidP="0097226C">
      <w:pPr>
        <w:rPr>
          <w:sz w:val="20"/>
          <w:szCs w:val="18"/>
        </w:rPr>
      </w:pPr>
    </w:p>
    <w:p w14:paraId="7C455733" w14:textId="563B8455" w:rsidR="001F64B1" w:rsidRPr="001E6DFD" w:rsidRDefault="00BA5EA9" w:rsidP="0097226C">
      <w:pPr>
        <w:jc w:val="both"/>
        <w:rPr>
          <w:sz w:val="20"/>
          <w:u w:val="single"/>
        </w:rPr>
      </w:pPr>
      <w:r w:rsidRPr="001E6DFD">
        <w:rPr>
          <w:sz w:val="20"/>
        </w:rPr>
        <w:t>A.</w:t>
      </w:r>
      <w:r w:rsidRPr="001E6DFD">
        <w:rPr>
          <w:sz w:val="20"/>
        </w:rPr>
        <w:tab/>
      </w:r>
      <w:r w:rsidR="00F3341E" w:rsidRPr="001E6DFD">
        <w:rPr>
          <w:sz w:val="20"/>
          <w:u w:val="single"/>
        </w:rPr>
        <w:t>Budget</w:t>
      </w:r>
      <w:r w:rsidR="00B4191E">
        <w:rPr>
          <w:sz w:val="20"/>
          <w:u w:val="single"/>
        </w:rPr>
        <w:t> </w:t>
      </w:r>
      <w:r w:rsidR="00F3341E" w:rsidRPr="001E6DFD">
        <w:rPr>
          <w:sz w:val="20"/>
          <w:u w:val="single"/>
        </w:rPr>
        <w:t>2016</w:t>
      </w:r>
      <w:r w:rsidR="006A41CF" w:rsidRPr="001E6DFD">
        <w:rPr>
          <w:sz w:val="20"/>
          <w:u w:val="single"/>
        </w:rPr>
        <w:noBreakHyphen/>
      </w:r>
      <w:r w:rsidR="00F3341E" w:rsidRPr="001E6DFD">
        <w:rPr>
          <w:sz w:val="20"/>
          <w:u w:val="single"/>
        </w:rPr>
        <w:t>2017 après virements</w:t>
      </w:r>
    </w:p>
    <w:p w14:paraId="0B2F31F2" w14:textId="77777777" w:rsidR="001F64B1" w:rsidRPr="00912C62" w:rsidRDefault="001F64B1" w:rsidP="006A41CF">
      <w:pPr>
        <w:jc w:val="both"/>
        <w:rPr>
          <w:sz w:val="20"/>
        </w:rPr>
      </w:pPr>
    </w:p>
    <w:p w14:paraId="2C9BD27A" w14:textId="671A4B68" w:rsidR="001F64B1" w:rsidRPr="00A14FAB" w:rsidRDefault="001A7EA6" w:rsidP="00D544B8">
      <w:pPr>
        <w:pStyle w:val="ListParagraph"/>
        <w:numPr>
          <w:ilvl w:val="0"/>
          <w:numId w:val="20"/>
        </w:numPr>
        <w:tabs>
          <w:tab w:val="left" w:pos="709"/>
        </w:tabs>
        <w:ind w:left="0" w:firstLine="0"/>
        <w:jc w:val="both"/>
        <w:rPr>
          <w:rFonts w:ascii="Arial" w:hAnsi="Arial" w:cs="Arial"/>
          <w:sz w:val="20"/>
          <w:szCs w:val="20"/>
        </w:rPr>
      </w:pPr>
      <w:r w:rsidRPr="00A14FAB">
        <w:rPr>
          <w:rFonts w:ascii="Arial" w:hAnsi="Arial" w:cs="Arial"/>
          <w:sz w:val="20"/>
          <w:szCs w:val="20"/>
          <w:lang w:eastAsia="ko-KR"/>
        </w:rPr>
        <w:t>L</w:t>
      </w:r>
      <w:r w:rsidR="00FA22F6" w:rsidRPr="00A14FAB">
        <w:rPr>
          <w:rFonts w:ascii="Arial" w:hAnsi="Arial" w:cs="Arial"/>
          <w:sz w:val="20"/>
          <w:szCs w:val="20"/>
          <w:lang w:eastAsia="ko-KR"/>
        </w:rPr>
        <w:t>’</w:t>
      </w:r>
      <w:r w:rsidRPr="00A14FAB">
        <w:rPr>
          <w:rFonts w:ascii="Arial" w:hAnsi="Arial" w:cs="Arial"/>
          <w:sz w:val="20"/>
          <w:szCs w:val="20"/>
          <w:lang w:eastAsia="ko-KR"/>
        </w:rPr>
        <w:t xml:space="preserve">augmentation des ressources </w:t>
      </w:r>
      <w:r w:rsidR="00A36C6C" w:rsidRPr="00A14FAB">
        <w:rPr>
          <w:rFonts w:ascii="Arial" w:hAnsi="Arial" w:cs="Arial"/>
          <w:sz w:val="20"/>
          <w:szCs w:val="20"/>
          <w:lang w:eastAsia="ko-KR"/>
        </w:rPr>
        <w:t>e</w:t>
      </w:r>
      <w:r w:rsidR="00381826" w:rsidRPr="00A14FAB">
        <w:rPr>
          <w:rFonts w:ascii="Arial" w:hAnsi="Arial" w:cs="Arial"/>
          <w:sz w:val="20"/>
          <w:szCs w:val="20"/>
          <w:lang w:eastAsia="ko-KR"/>
        </w:rPr>
        <w:t>n</w:t>
      </w:r>
      <w:r w:rsidR="00A36C6C" w:rsidRPr="00A14FAB">
        <w:rPr>
          <w:rFonts w:ascii="Arial" w:hAnsi="Arial" w:cs="Arial"/>
          <w:sz w:val="20"/>
          <w:szCs w:val="20"/>
          <w:lang w:eastAsia="ko-KR"/>
        </w:rPr>
        <w:t xml:space="preserve"> </w:t>
      </w:r>
      <w:r w:rsidRPr="00A14FAB">
        <w:rPr>
          <w:rFonts w:ascii="Arial" w:hAnsi="Arial" w:cs="Arial"/>
          <w:sz w:val="20"/>
          <w:szCs w:val="20"/>
          <w:lang w:eastAsia="ko-KR"/>
        </w:rPr>
        <w:t>personnel par rapport au budget</w:t>
      </w:r>
      <w:r w:rsidR="00B4191E" w:rsidRPr="00A14FAB">
        <w:rPr>
          <w:rFonts w:ascii="Arial" w:hAnsi="Arial" w:cs="Arial"/>
          <w:sz w:val="20"/>
          <w:szCs w:val="20"/>
          <w:lang w:eastAsia="ko-KR"/>
        </w:rPr>
        <w:t> </w:t>
      </w:r>
      <w:r w:rsidRPr="00A14FAB">
        <w:rPr>
          <w:rFonts w:ascii="Arial" w:hAnsi="Arial" w:cs="Arial"/>
          <w:sz w:val="20"/>
          <w:szCs w:val="20"/>
          <w:lang w:eastAsia="ko-KR"/>
        </w:rPr>
        <w:t>2016</w:t>
      </w:r>
      <w:r w:rsidR="006A41CF" w:rsidRPr="00A14FAB">
        <w:rPr>
          <w:rFonts w:ascii="Arial" w:hAnsi="Arial" w:cs="Arial"/>
          <w:sz w:val="20"/>
          <w:szCs w:val="20"/>
          <w:lang w:eastAsia="ko-KR"/>
        </w:rPr>
        <w:noBreakHyphen/>
      </w:r>
      <w:r w:rsidRPr="00A14FAB">
        <w:rPr>
          <w:rFonts w:ascii="Arial" w:hAnsi="Arial" w:cs="Arial"/>
          <w:sz w:val="20"/>
          <w:szCs w:val="20"/>
          <w:lang w:eastAsia="ko-KR"/>
        </w:rPr>
        <w:t xml:space="preserve">2017 approuvé </w:t>
      </w:r>
      <w:r w:rsidR="00A14FAB">
        <w:rPr>
          <w:rFonts w:ascii="Arial" w:hAnsi="Arial" w:cs="Arial"/>
          <w:sz w:val="20"/>
          <w:szCs w:val="20"/>
          <w:lang w:eastAsia="ko-KR"/>
        </w:rPr>
        <w:t>est</w:t>
      </w:r>
      <w:r w:rsidRPr="00A14FAB">
        <w:rPr>
          <w:rFonts w:ascii="Arial" w:hAnsi="Arial" w:cs="Arial"/>
          <w:sz w:val="20"/>
          <w:szCs w:val="20"/>
          <w:lang w:eastAsia="ko-KR"/>
        </w:rPr>
        <w:t xml:space="preserve"> principalement due au reclassement d</w:t>
      </w:r>
      <w:r w:rsidR="00FA22F6" w:rsidRPr="00A14FAB">
        <w:rPr>
          <w:rFonts w:ascii="Arial" w:hAnsi="Arial" w:cs="Arial"/>
          <w:sz w:val="20"/>
          <w:szCs w:val="20"/>
          <w:lang w:eastAsia="ko-KR"/>
        </w:rPr>
        <w:t>’</w:t>
      </w:r>
      <w:r w:rsidRPr="00A14FAB">
        <w:rPr>
          <w:rFonts w:ascii="Arial" w:hAnsi="Arial" w:cs="Arial"/>
          <w:sz w:val="20"/>
          <w:szCs w:val="20"/>
          <w:lang w:eastAsia="ko-KR"/>
        </w:rPr>
        <w:t>un poste.</w:t>
      </w:r>
    </w:p>
    <w:p w14:paraId="70E669AF" w14:textId="77777777" w:rsidR="001F64B1" w:rsidRPr="001303B4" w:rsidRDefault="001F64B1" w:rsidP="006A41CF">
      <w:pPr>
        <w:tabs>
          <w:tab w:val="left" w:pos="709"/>
        </w:tabs>
        <w:contextualSpacing/>
        <w:jc w:val="both"/>
        <w:rPr>
          <w:sz w:val="20"/>
        </w:rPr>
      </w:pPr>
    </w:p>
    <w:p w14:paraId="527156D5" w14:textId="4C2857C5" w:rsidR="001F64B1" w:rsidRPr="00912C62" w:rsidRDefault="009142D1" w:rsidP="00D544B8">
      <w:pPr>
        <w:pStyle w:val="ListParagraph"/>
        <w:numPr>
          <w:ilvl w:val="0"/>
          <w:numId w:val="20"/>
        </w:numPr>
        <w:tabs>
          <w:tab w:val="left" w:pos="709"/>
        </w:tabs>
        <w:ind w:left="0" w:firstLine="0"/>
        <w:jc w:val="both"/>
        <w:rPr>
          <w:rFonts w:ascii="Arial" w:hAnsi="Arial" w:cs="Arial"/>
          <w:sz w:val="20"/>
          <w:szCs w:val="20"/>
          <w:lang w:eastAsia="ko-KR"/>
        </w:rPr>
      </w:pPr>
      <w:r w:rsidRPr="00912C62">
        <w:rPr>
          <w:rFonts w:ascii="Arial" w:hAnsi="Arial" w:cs="Arial"/>
          <w:sz w:val="20"/>
          <w:szCs w:val="20"/>
          <w:lang w:eastAsia="ko-KR"/>
        </w:rPr>
        <w:t>L</w:t>
      </w:r>
      <w:r w:rsidR="00FA22F6" w:rsidRPr="00912C62">
        <w:rPr>
          <w:rFonts w:ascii="Arial" w:hAnsi="Arial" w:cs="Arial"/>
          <w:sz w:val="20"/>
          <w:szCs w:val="20"/>
          <w:lang w:eastAsia="ko-KR"/>
        </w:rPr>
        <w:t>’</w:t>
      </w:r>
      <w:r w:rsidRPr="00912C62">
        <w:rPr>
          <w:rFonts w:ascii="Arial" w:hAnsi="Arial" w:cs="Arial"/>
          <w:sz w:val="20"/>
          <w:szCs w:val="20"/>
          <w:lang w:eastAsia="ko-KR"/>
        </w:rPr>
        <w:t xml:space="preserve">augmentation des ressources autres que </w:t>
      </w:r>
      <w:r w:rsidR="00A36C6C" w:rsidRPr="00912C62">
        <w:rPr>
          <w:rFonts w:ascii="Arial" w:hAnsi="Arial" w:cs="Arial"/>
          <w:sz w:val="20"/>
          <w:szCs w:val="20"/>
          <w:lang w:eastAsia="ko-KR"/>
        </w:rPr>
        <w:t xml:space="preserve">pour le </w:t>
      </w:r>
      <w:r w:rsidRPr="00912C62">
        <w:rPr>
          <w:rFonts w:ascii="Arial" w:hAnsi="Arial" w:cs="Arial"/>
          <w:sz w:val="20"/>
          <w:szCs w:val="20"/>
          <w:lang w:eastAsia="ko-KR"/>
        </w:rPr>
        <w:t xml:space="preserve">personnel, </w:t>
      </w:r>
      <w:r w:rsidR="00A36C6C" w:rsidRPr="00912C62">
        <w:rPr>
          <w:rFonts w:ascii="Arial" w:hAnsi="Arial" w:cs="Arial"/>
          <w:sz w:val="20"/>
          <w:szCs w:val="20"/>
          <w:lang w:eastAsia="ko-KR"/>
        </w:rPr>
        <w:t>tel qu</w:t>
      </w:r>
      <w:r w:rsidR="00FA22F6" w:rsidRPr="00912C62">
        <w:rPr>
          <w:rFonts w:ascii="Arial" w:hAnsi="Arial" w:cs="Arial"/>
          <w:sz w:val="20"/>
          <w:szCs w:val="20"/>
          <w:lang w:eastAsia="ko-KR"/>
        </w:rPr>
        <w:t>’</w:t>
      </w:r>
      <w:r w:rsidR="00A36C6C" w:rsidRPr="00912C62">
        <w:rPr>
          <w:rFonts w:ascii="Arial" w:hAnsi="Arial" w:cs="Arial"/>
          <w:sz w:val="20"/>
          <w:szCs w:val="20"/>
          <w:lang w:eastAsia="ko-KR"/>
        </w:rPr>
        <w:t>indiqué au</w:t>
      </w:r>
      <w:r w:rsidRPr="00912C62">
        <w:rPr>
          <w:rFonts w:ascii="Arial" w:hAnsi="Arial" w:cs="Arial"/>
          <w:sz w:val="20"/>
          <w:szCs w:val="20"/>
          <w:lang w:eastAsia="ko-KR"/>
        </w:rPr>
        <w:t xml:space="preserve"> résultat escompté V.2 (Utilisation élargie et améliorée des analyses économiques de l</w:t>
      </w:r>
      <w:r w:rsidR="00FA22F6" w:rsidRPr="00912C62">
        <w:rPr>
          <w:rFonts w:ascii="Arial" w:hAnsi="Arial" w:cs="Arial"/>
          <w:sz w:val="20"/>
          <w:szCs w:val="20"/>
          <w:lang w:eastAsia="ko-KR"/>
        </w:rPr>
        <w:t>’</w:t>
      </w:r>
      <w:r w:rsidRPr="00912C62">
        <w:rPr>
          <w:rFonts w:ascii="Arial" w:hAnsi="Arial" w:cs="Arial"/>
          <w:sz w:val="20"/>
          <w:szCs w:val="20"/>
          <w:lang w:eastAsia="ko-KR"/>
        </w:rPr>
        <w:t>OMPI)</w:t>
      </w:r>
      <w:r w:rsidR="00941556" w:rsidRPr="00912C62">
        <w:rPr>
          <w:rFonts w:ascii="Arial" w:hAnsi="Arial" w:cs="Arial"/>
          <w:sz w:val="20"/>
          <w:szCs w:val="20"/>
          <w:lang w:eastAsia="ko-KR"/>
        </w:rPr>
        <w:t>,</w:t>
      </w:r>
      <w:r w:rsidRPr="00912C62">
        <w:rPr>
          <w:rFonts w:ascii="Arial" w:hAnsi="Arial" w:cs="Arial"/>
          <w:sz w:val="20"/>
          <w:szCs w:val="20"/>
          <w:lang w:eastAsia="ko-KR"/>
        </w:rPr>
        <w:t xml:space="preserve"> résultait de l</w:t>
      </w:r>
      <w:r w:rsidR="00FA22F6" w:rsidRPr="00912C62">
        <w:rPr>
          <w:rFonts w:ascii="Arial" w:hAnsi="Arial" w:cs="Arial"/>
          <w:sz w:val="20"/>
          <w:szCs w:val="20"/>
          <w:lang w:eastAsia="ko-KR"/>
        </w:rPr>
        <w:t>’</w:t>
      </w:r>
      <w:r w:rsidRPr="00912C62">
        <w:rPr>
          <w:rFonts w:ascii="Arial" w:hAnsi="Arial" w:cs="Arial"/>
          <w:sz w:val="20"/>
          <w:szCs w:val="20"/>
          <w:lang w:eastAsia="ko-KR"/>
        </w:rPr>
        <w:t>affectation du budget</w:t>
      </w:r>
      <w:r w:rsidR="00B4191E" w:rsidRPr="00912C62">
        <w:rPr>
          <w:rFonts w:ascii="Arial" w:hAnsi="Arial" w:cs="Arial"/>
          <w:sz w:val="20"/>
          <w:szCs w:val="20"/>
          <w:lang w:eastAsia="ko-KR"/>
        </w:rPr>
        <w:t> </w:t>
      </w:r>
      <w:r w:rsidRPr="00912C62">
        <w:rPr>
          <w:rFonts w:ascii="Arial" w:hAnsi="Arial" w:cs="Arial"/>
          <w:sz w:val="20"/>
          <w:szCs w:val="20"/>
          <w:lang w:eastAsia="ko-KR"/>
        </w:rPr>
        <w:t>2015 non</w:t>
      </w:r>
      <w:r w:rsidR="00B4191E" w:rsidRPr="00912C62">
        <w:rPr>
          <w:rFonts w:ascii="Arial" w:hAnsi="Arial" w:cs="Arial"/>
          <w:sz w:val="20"/>
          <w:szCs w:val="20"/>
          <w:lang w:eastAsia="ko-KR"/>
        </w:rPr>
        <w:t xml:space="preserve"> </w:t>
      </w:r>
      <w:r w:rsidRPr="00912C62">
        <w:rPr>
          <w:rFonts w:ascii="Arial" w:hAnsi="Arial" w:cs="Arial"/>
          <w:sz w:val="20"/>
          <w:szCs w:val="20"/>
          <w:lang w:eastAsia="ko-KR"/>
        </w:rPr>
        <w:t xml:space="preserve">dépensé </w:t>
      </w:r>
      <w:r w:rsidR="00A36C6C" w:rsidRPr="00912C62">
        <w:rPr>
          <w:rFonts w:ascii="Arial" w:hAnsi="Arial" w:cs="Arial"/>
          <w:sz w:val="20"/>
          <w:szCs w:val="20"/>
          <w:lang w:eastAsia="ko-KR"/>
        </w:rPr>
        <w:t xml:space="preserve">au </w:t>
      </w:r>
      <w:r w:rsidR="001108C2" w:rsidRPr="00912C62">
        <w:rPr>
          <w:rFonts w:ascii="Arial" w:hAnsi="Arial" w:cs="Arial"/>
          <w:sz w:val="20"/>
          <w:szCs w:val="20"/>
          <w:lang w:eastAsia="ko-KR"/>
        </w:rPr>
        <w:t>projet de Plan d</w:t>
      </w:r>
      <w:r w:rsidR="00FA22F6" w:rsidRPr="00912C62">
        <w:rPr>
          <w:rFonts w:ascii="Arial" w:hAnsi="Arial" w:cs="Arial"/>
          <w:sz w:val="20"/>
          <w:szCs w:val="20"/>
          <w:lang w:eastAsia="ko-KR"/>
        </w:rPr>
        <w:t>’</w:t>
      </w:r>
      <w:r w:rsidR="001108C2" w:rsidRPr="00912C62">
        <w:rPr>
          <w:rFonts w:ascii="Arial" w:hAnsi="Arial" w:cs="Arial"/>
          <w:sz w:val="20"/>
          <w:szCs w:val="20"/>
          <w:lang w:eastAsia="ko-KR"/>
        </w:rPr>
        <w:t>action sur la propriété intellectuelle</w:t>
      </w:r>
      <w:r w:rsidRPr="00912C62">
        <w:rPr>
          <w:rFonts w:ascii="Arial" w:hAnsi="Arial" w:cs="Arial"/>
          <w:sz w:val="20"/>
          <w:szCs w:val="20"/>
          <w:lang w:eastAsia="ko-KR"/>
        </w:rPr>
        <w:t xml:space="preserve"> </w:t>
      </w:r>
      <w:r w:rsidR="00B2641D" w:rsidRPr="00912C62">
        <w:rPr>
          <w:rFonts w:ascii="Arial" w:hAnsi="Arial" w:cs="Arial"/>
          <w:sz w:val="20"/>
          <w:szCs w:val="20"/>
          <w:lang w:eastAsia="ko-KR"/>
        </w:rPr>
        <w:t>ainsi qu</w:t>
      </w:r>
      <w:r w:rsidR="00FA22F6" w:rsidRPr="00912C62">
        <w:rPr>
          <w:rFonts w:ascii="Arial" w:hAnsi="Arial" w:cs="Arial"/>
          <w:sz w:val="20"/>
          <w:szCs w:val="20"/>
          <w:lang w:eastAsia="ko-KR"/>
        </w:rPr>
        <w:t>’</w:t>
      </w:r>
      <w:r w:rsidR="00B2641D" w:rsidRPr="00912C62">
        <w:rPr>
          <w:rFonts w:ascii="Arial" w:hAnsi="Arial" w:cs="Arial"/>
          <w:sz w:val="20"/>
          <w:szCs w:val="20"/>
          <w:lang w:eastAsia="ko-KR"/>
        </w:rPr>
        <w:t>au D</w:t>
      </w:r>
      <w:r w:rsidR="001108C2" w:rsidRPr="00912C62">
        <w:rPr>
          <w:rFonts w:ascii="Arial" w:hAnsi="Arial" w:cs="Arial"/>
          <w:sz w:val="20"/>
          <w:szCs w:val="20"/>
          <w:lang w:eastAsia="ko-KR"/>
        </w:rPr>
        <w:t xml:space="preserve">éveloppement </w:t>
      </w:r>
      <w:r w:rsidR="00FA22F6" w:rsidRPr="00912C62">
        <w:rPr>
          <w:rFonts w:ascii="Arial" w:hAnsi="Arial" w:cs="Arial"/>
          <w:sz w:val="20"/>
          <w:szCs w:val="20"/>
          <w:lang w:eastAsia="ko-KR"/>
        </w:rPr>
        <w:t>socioéconomique</w:t>
      </w:r>
      <w:r w:rsidR="00B2641D" w:rsidRPr="00912C62">
        <w:rPr>
          <w:rFonts w:ascii="Arial" w:hAnsi="Arial" w:cs="Arial"/>
          <w:sz w:val="20"/>
          <w:szCs w:val="20"/>
          <w:lang w:eastAsia="ko-KR"/>
        </w:rPr>
        <w:t xml:space="preserve"> (</w:t>
      </w:r>
      <w:r w:rsidRPr="00912C62">
        <w:rPr>
          <w:rFonts w:ascii="Arial" w:hAnsi="Arial" w:cs="Arial"/>
          <w:sz w:val="20"/>
          <w:szCs w:val="20"/>
          <w:lang w:eastAsia="ko-KR"/>
        </w:rPr>
        <w:t>Phase</w:t>
      </w:r>
      <w:r w:rsidR="00B4191E" w:rsidRPr="00912C62">
        <w:rPr>
          <w:rFonts w:ascii="Arial" w:hAnsi="Arial" w:cs="Arial"/>
          <w:sz w:val="20"/>
          <w:szCs w:val="20"/>
          <w:lang w:eastAsia="ko-KR"/>
        </w:rPr>
        <w:t> </w:t>
      </w:r>
      <w:r w:rsidRPr="00912C62">
        <w:rPr>
          <w:rFonts w:ascii="Arial" w:hAnsi="Arial" w:cs="Arial"/>
          <w:sz w:val="20"/>
          <w:szCs w:val="20"/>
          <w:lang w:eastAsia="ko-KR"/>
        </w:rPr>
        <w:t>II)</w:t>
      </w:r>
      <w:r w:rsidR="00A36C6C" w:rsidRPr="00912C62">
        <w:rPr>
          <w:rFonts w:ascii="Arial" w:hAnsi="Arial" w:cs="Arial"/>
          <w:sz w:val="20"/>
          <w:szCs w:val="20"/>
          <w:lang w:eastAsia="ko-KR"/>
        </w:rPr>
        <w:t>,</w:t>
      </w:r>
      <w:r w:rsidRPr="00912C62">
        <w:rPr>
          <w:rFonts w:ascii="Arial" w:hAnsi="Arial" w:cs="Arial"/>
          <w:sz w:val="20"/>
          <w:szCs w:val="20"/>
          <w:lang w:eastAsia="ko-KR"/>
        </w:rPr>
        <w:t xml:space="preserve"> et </w:t>
      </w:r>
      <w:r w:rsidR="00941556" w:rsidRPr="00912C62">
        <w:rPr>
          <w:rFonts w:ascii="Arial" w:hAnsi="Arial" w:cs="Arial"/>
          <w:sz w:val="20"/>
          <w:szCs w:val="20"/>
          <w:lang w:eastAsia="ko-KR"/>
        </w:rPr>
        <w:t xml:space="preserve">du besoin en </w:t>
      </w:r>
      <w:r w:rsidRPr="00912C62">
        <w:rPr>
          <w:rFonts w:ascii="Arial" w:hAnsi="Arial" w:cs="Arial"/>
          <w:sz w:val="20"/>
          <w:szCs w:val="20"/>
          <w:lang w:eastAsia="ko-KR"/>
        </w:rPr>
        <w:t>ressources supplémentaires pour</w:t>
      </w:r>
      <w:r w:rsidR="00FA22F6" w:rsidRPr="00912C62">
        <w:rPr>
          <w:rFonts w:ascii="Arial" w:hAnsi="Arial" w:cs="Arial"/>
          <w:sz w:val="20"/>
          <w:szCs w:val="20"/>
          <w:lang w:eastAsia="ko-KR"/>
        </w:rPr>
        <w:t> :</w:t>
      </w:r>
      <w:r w:rsidR="002E6400" w:rsidRPr="00912C62">
        <w:rPr>
          <w:rFonts w:ascii="Arial" w:hAnsi="Arial" w:cs="Arial"/>
          <w:sz w:val="20"/>
          <w:szCs w:val="20"/>
          <w:lang w:eastAsia="ko-KR"/>
        </w:rPr>
        <w:t xml:space="preserve"> i)</w:t>
      </w:r>
      <w:r w:rsidR="004D421A" w:rsidRPr="00912C62">
        <w:rPr>
          <w:rFonts w:ascii="Arial" w:hAnsi="Arial" w:cs="Arial"/>
          <w:sz w:val="20"/>
          <w:szCs w:val="20"/>
          <w:lang w:eastAsia="ko-KR"/>
        </w:rPr>
        <w:t> </w:t>
      </w:r>
      <w:r w:rsidR="002E6400" w:rsidRPr="00912C62">
        <w:rPr>
          <w:rFonts w:ascii="Arial" w:hAnsi="Arial" w:cs="Arial"/>
          <w:sz w:val="20"/>
          <w:szCs w:val="20"/>
          <w:lang w:eastAsia="ko-KR"/>
        </w:rPr>
        <w:t>le développement</w:t>
      </w:r>
      <w:r w:rsidR="00D16378" w:rsidRPr="00912C62">
        <w:rPr>
          <w:rFonts w:ascii="Arial" w:hAnsi="Arial" w:cs="Arial"/>
          <w:sz w:val="20"/>
          <w:szCs w:val="20"/>
          <w:lang w:eastAsia="ko-KR"/>
        </w:rPr>
        <w:t xml:space="preserve"> de l</w:t>
      </w:r>
      <w:r w:rsidR="00FA22F6" w:rsidRPr="00912C62">
        <w:rPr>
          <w:rFonts w:ascii="Arial" w:hAnsi="Arial" w:cs="Arial"/>
          <w:sz w:val="20"/>
          <w:szCs w:val="20"/>
          <w:lang w:eastAsia="ko-KR"/>
        </w:rPr>
        <w:t>’</w:t>
      </w:r>
      <w:r w:rsidR="00D16378" w:rsidRPr="00912C62">
        <w:rPr>
          <w:rFonts w:ascii="Arial" w:hAnsi="Arial" w:cs="Arial"/>
          <w:sz w:val="20"/>
          <w:szCs w:val="20"/>
          <w:lang w:eastAsia="ko-KR"/>
        </w:rPr>
        <w:t>Indice mondial de l</w:t>
      </w:r>
      <w:r w:rsidR="00FA22F6" w:rsidRPr="00912C62">
        <w:rPr>
          <w:rFonts w:ascii="Arial" w:hAnsi="Arial" w:cs="Arial"/>
          <w:sz w:val="20"/>
          <w:szCs w:val="20"/>
          <w:lang w:eastAsia="ko-KR"/>
        </w:rPr>
        <w:t>’</w:t>
      </w:r>
      <w:r w:rsidR="00D16378" w:rsidRPr="00912C62">
        <w:rPr>
          <w:rFonts w:ascii="Arial" w:hAnsi="Arial" w:cs="Arial"/>
          <w:sz w:val="20"/>
          <w:szCs w:val="20"/>
          <w:lang w:eastAsia="ko-KR"/>
        </w:rPr>
        <w:t>innovation</w:t>
      </w:r>
      <w:r w:rsidR="002E6400" w:rsidRPr="00912C62">
        <w:rPr>
          <w:rFonts w:ascii="Arial" w:hAnsi="Arial" w:cs="Arial"/>
          <w:sz w:val="20"/>
          <w:szCs w:val="20"/>
          <w:lang w:eastAsia="ko-KR"/>
        </w:rPr>
        <w:t>;  ii)</w:t>
      </w:r>
      <w:r w:rsidR="004D421A" w:rsidRPr="00912C62">
        <w:rPr>
          <w:rFonts w:ascii="Arial" w:hAnsi="Arial" w:cs="Arial"/>
          <w:sz w:val="20"/>
          <w:szCs w:val="20"/>
          <w:lang w:eastAsia="ko-KR"/>
        </w:rPr>
        <w:t> </w:t>
      </w:r>
      <w:r w:rsidR="00540403" w:rsidRPr="00912C62">
        <w:rPr>
          <w:rFonts w:ascii="Arial" w:hAnsi="Arial" w:cs="Arial"/>
          <w:sz w:val="20"/>
          <w:szCs w:val="20"/>
          <w:lang w:eastAsia="ko-KR"/>
        </w:rPr>
        <w:t>l</w:t>
      </w:r>
      <w:r w:rsidR="002C3FD1" w:rsidRPr="00912C62">
        <w:rPr>
          <w:rFonts w:ascii="Arial" w:hAnsi="Arial" w:cs="Arial"/>
          <w:sz w:val="20"/>
          <w:szCs w:val="20"/>
          <w:lang w:eastAsia="ko-KR"/>
        </w:rPr>
        <w:t xml:space="preserve">es </w:t>
      </w:r>
      <w:r w:rsidR="002E6400" w:rsidRPr="00912C62">
        <w:rPr>
          <w:rFonts w:ascii="Arial" w:hAnsi="Arial" w:cs="Arial"/>
          <w:sz w:val="20"/>
          <w:szCs w:val="20"/>
          <w:lang w:eastAsia="ko-KR"/>
        </w:rPr>
        <w:t xml:space="preserve">projets de recherche spécifiques </w:t>
      </w:r>
      <w:r w:rsidR="002C3FD1" w:rsidRPr="00912C62">
        <w:rPr>
          <w:rFonts w:ascii="Arial" w:hAnsi="Arial" w:cs="Arial"/>
          <w:sz w:val="20"/>
          <w:szCs w:val="20"/>
          <w:lang w:eastAsia="ko-KR"/>
        </w:rPr>
        <w:t>en lien avec le Rapport</w:t>
      </w:r>
      <w:r w:rsidR="00B4191E" w:rsidRPr="00912C62">
        <w:rPr>
          <w:rFonts w:ascii="Arial" w:hAnsi="Arial" w:cs="Arial"/>
          <w:sz w:val="20"/>
          <w:szCs w:val="20"/>
          <w:lang w:eastAsia="ko-KR"/>
        </w:rPr>
        <w:t> </w:t>
      </w:r>
      <w:r w:rsidR="002C3FD1" w:rsidRPr="00912C62">
        <w:rPr>
          <w:rFonts w:ascii="Arial" w:hAnsi="Arial" w:cs="Arial"/>
          <w:sz w:val="20"/>
          <w:szCs w:val="20"/>
          <w:lang w:eastAsia="ko-KR"/>
        </w:rPr>
        <w:t>2017 sur la propriété intellectuelle dans le monde</w:t>
      </w:r>
      <w:r w:rsidR="002E6400" w:rsidRPr="00912C62">
        <w:rPr>
          <w:rFonts w:ascii="Arial" w:hAnsi="Arial" w:cs="Arial"/>
          <w:sz w:val="20"/>
          <w:szCs w:val="20"/>
          <w:lang w:eastAsia="ko-KR"/>
        </w:rPr>
        <w:t>;  et iii)</w:t>
      </w:r>
      <w:r w:rsidR="004D421A" w:rsidRPr="00912C62">
        <w:rPr>
          <w:rFonts w:ascii="Arial" w:hAnsi="Arial" w:cs="Arial"/>
          <w:sz w:val="20"/>
          <w:szCs w:val="20"/>
          <w:lang w:eastAsia="ko-KR"/>
        </w:rPr>
        <w:t> </w:t>
      </w:r>
      <w:r w:rsidR="002E6400" w:rsidRPr="00912C62">
        <w:rPr>
          <w:rFonts w:ascii="Arial" w:hAnsi="Arial" w:cs="Arial"/>
          <w:sz w:val="20"/>
          <w:szCs w:val="20"/>
          <w:lang w:eastAsia="ko-KR"/>
        </w:rPr>
        <w:t>la recherche liée à l</w:t>
      </w:r>
      <w:r w:rsidR="00FA22F6" w:rsidRPr="00912C62">
        <w:rPr>
          <w:rFonts w:ascii="Arial" w:hAnsi="Arial" w:cs="Arial"/>
          <w:sz w:val="20"/>
          <w:szCs w:val="20"/>
          <w:lang w:eastAsia="ko-KR"/>
        </w:rPr>
        <w:t>’</w:t>
      </w:r>
      <w:r w:rsidR="002E6400" w:rsidRPr="00912C62">
        <w:rPr>
          <w:rFonts w:ascii="Arial" w:hAnsi="Arial" w:cs="Arial"/>
          <w:sz w:val="20"/>
          <w:szCs w:val="20"/>
          <w:lang w:eastAsia="ko-KR"/>
        </w:rPr>
        <w:t xml:space="preserve">économie </w:t>
      </w:r>
      <w:r w:rsidR="00E259DE" w:rsidRPr="00912C62">
        <w:rPr>
          <w:rFonts w:ascii="Arial" w:hAnsi="Arial" w:cs="Arial"/>
          <w:sz w:val="20"/>
          <w:szCs w:val="20"/>
          <w:lang w:eastAsia="ko-KR"/>
        </w:rPr>
        <w:t>de la création</w:t>
      </w:r>
      <w:r w:rsidR="002E6400" w:rsidRPr="00912C62">
        <w:rPr>
          <w:rFonts w:ascii="Arial" w:hAnsi="Arial" w:cs="Arial"/>
          <w:sz w:val="20"/>
          <w:szCs w:val="20"/>
          <w:lang w:eastAsia="ko-KR"/>
        </w:rPr>
        <w:t>.</w:t>
      </w:r>
    </w:p>
    <w:p w14:paraId="611D17BF" w14:textId="77777777" w:rsidR="001F64B1" w:rsidRPr="001303B4" w:rsidRDefault="001F64B1" w:rsidP="006A41CF">
      <w:pPr>
        <w:pStyle w:val="ListParagraph"/>
        <w:tabs>
          <w:tab w:val="left" w:pos="709"/>
        </w:tabs>
        <w:ind w:left="0"/>
        <w:jc w:val="both"/>
        <w:rPr>
          <w:rFonts w:ascii="Arial" w:hAnsi="Arial" w:cs="Arial"/>
          <w:sz w:val="20"/>
          <w:szCs w:val="20"/>
          <w:lang w:eastAsia="ko-KR"/>
        </w:rPr>
      </w:pPr>
    </w:p>
    <w:p w14:paraId="3424E995" w14:textId="2587B23D" w:rsidR="001F64B1" w:rsidRPr="00912C62" w:rsidRDefault="009B3F3B" w:rsidP="00D544B8">
      <w:pPr>
        <w:pStyle w:val="ListParagraph"/>
        <w:numPr>
          <w:ilvl w:val="0"/>
          <w:numId w:val="20"/>
        </w:numPr>
        <w:tabs>
          <w:tab w:val="left" w:pos="709"/>
        </w:tabs>
        <w:ind w:left="0" w:firstLine="0"/>
        <w:jc w:val="both"/>
        <w:rPr>
          <w:rFonts w:ascii="Arial" w:hAnsi="Arial" w:cs="Arial"/>
          <w:sz w:val="20"/>
          <w:szCs w:val="20"/>
          <w:lang w:eastAsia="ko-KR"/>
        </w:rPr>
      </w:pPr>
      <w:r w:rsidRPr="00912C62">
        <w:rPr>
          <w:rFonts w:ascii="Arial" w:hAnsi="Arial" w:cs="Arial"/>
          <w:sz w:val="20"/>
          <w:szCs w:val="20"/>
          <w:lang w:eastAsia="ko-KR"/>
        </w:rPr>
        <w:t xml:space="preserve">La diminution des ressources </w:t>
      </w:r>
      <w:r w:rsidR="00645669" w:rsidRPr="00912C62">
        <w:rPr>
          <w:rFonts w:ascii="Arial" w:hAnsi="Arial" w:cs="Arial"/>
          <w:sz w:val="20"/>
          <w:szCs w:val="20"/>
          <w:lang w:eastAsia="ko-KR"/>
        </w:rPr>
        <w:t xml:space="preserve">au titre du </w:t>
      </w:r>
      <w:r w:rsidRPr="00912C62">
        <w:rPr>
          <w:rFonts w:ascii="Arial" w:hAnsi="Arial" w:cs="Arial"/>
          <w:sz w:val="20"/>
          <w:szCs w:val="20"/>
          <w:lang w:eastAsia="ko-KR"/>
        </w:rPr>
        <w:t>résultat escompté V.1 (</w:t>
      </w:r>
      <w:r w:rsidRPr="00912C62">
        <w:rPr>
          <w:rFonts w:ascii="Arial" w:hAnsi="Arial" w:cs="Arial"/>
          <w:bCs/>
          <w:sz w:val="20"/>
          <w:szCs w:val="20"/>
          <w:lang w:eastAsia="ko-KR"/>
        </w:rPr>
        <w:t>Utilisation élargie et améliorée de l</w:t>
      </w:r>
      <w:r w:rsidR="00FA22F6" w:rsidRPr="00912C62">
        <w:rPr>
          <w:rFonts w:ascii="Arial" w:hAnsi="Arial" w:cs="Arial"/>
          <w:bCs/>
          <w:sz w:val="20"/>
          <w:szCs w:val="20"/>
          <w:lang w:eastAsia="ko-KR"/>
        </w:rPr>
        <w:t>’</w:t>
      </w:r>
      <w:r w:rsidRPr="00912C62">
        <w:rPr>
          <w:rFonts w:ascii="Arial" w:hAnsi="Arial" w:cs="Arial"/>
          <w:bCs/>
          <w:sz w:val="20"/>
          <w:szCs w:val="20"/>
          <w:lang w:eastAsia="ko-KR"/>
        </w:rPr>
        <w:t>information statistique de l</w:t>
      </w:r>
      <w:r w:rsidR="00FA22F6" w:rsidRPr="00912C62">
        <w:rPr>
          <w:rFonts w:ascii="Arial" w:hAnsi="Arial" w:cs="Arial"/>
          <w:bCs/>
          <w:sz w:val="20"/>
          <w:szCs w:val="20"/>
          <w:lang w:eastAsia="ko-KR"/>
        </w:rPr>
        <w:t>’</w:t>
      </w:r>
      <w:r w:rsidRPr="00912C62">
        <w:rPr>
          <w:rFonts w:ascii="Arial" w:hAnsi="Arial" w:cs="Arial"/>
          <w:bCs/>
          <w:sz w:val="20"/>
          <w:szCs w:val="20"/>
          <w:lang w:eastAsia="ko-KR"/>
        </w:rPr>
        <w:t>OMPI relative à la propriété intellectuelle</w:t>
      </w:r>
      <w:r w:rsidR="00645669" w:rsidRPr="00912C62">
        <w:rPr>
          <w:rFonts w:ascii="Arial" w:hAnsi="Arial" w:cs="Arial"/>
          <w:sz w:val="20"/>
          <w:szCs w:val="20"/>
          <w:lang w:eastAsia="ko-KR"/>
        </w:rPr>
        <w:t>) s</w:t>
      </w:r>
      <w:r w:rsidR="00FA22F6" w:rsidRPr="00912C62">
        <w:rPr>
          <w:rFonts w:ascii="Arial" w:hAnsi="Arial" w:cs="Arial"/>
          <w:sz w:val="20"/>
          <w:szCs w:val="20"/>
          <w:lang w:eastAsia="ko-KR"/>
        </w:rPr>
        <w:t>’</w:t>
      </w:r>
      <w:r w:rsidR="00645669" w:rsidRPr="00912C62">
        <w:rPr>
          <w:rFonts w:ascii="Arial" w:hAnsi="Arial" w:cs="Arial"/>
          <w:sz w:val="20"/>
          <w:szCs w:val="20"/>
          <w:lang w:eastAsia="ko-KR"/>
        </w:rPr>
        <w:t>expliquait par un</w:t>
      </w:r>
      <w:r w:rsidR="00C642B6" w:rsidRPr="00912C62">
        <w:rPr>
          <w:rFonts w:ascii="Arial" w:hAnsi="Arial" w:cs="Arial"/>
          <w:sz w:val="20"/>
          <w:szCs w:val="20"/>
          <w:lang w:eastAsia="ko-KR"/>
        </w:rPr>
        <w:t>e réaffectation, au titre du résultat escompté V.2 (Utilisation élargie et améliorée des analyses économiques de l</w:t>
      </w:r>
      <w:r w:rsidR="00FA22F6" w:rsidRPr="00912C62">
        <w:rPr>
          <w:rFonts w:ascii="Arial" w:hAnsi="Arial" w:cs="Arial"/>
          <w:sz w:val="20"/>
          <w:szCs w:val="20"/>
          <w:lang w:eastAsia="ko-KR"/>
        </w:rPr>
        <w:t>’</w:t>
      </w:r>
      <w:r w:rsidR="00C642B6" w:rsidRPr="00912C62">
        <w:rPr>
          <w:rFonts w:ascii="Arial" w:hAnsi="Arial" w:cs="Arial"/>
          <w:sz w:val="20"/>
          <w:szCs w:val="20"/>
          <w:lang w:eastAsia="ko-KR"/>
        </w:rPr>
        <w:t xml:space="preserve">OMPI), </w:t>
      </w:r>
      <w:r w:rsidR="00645669" w:rsidRPr="00912C62">
        <w:rPr>
          <w:rFonts w:ascii="Arial" w:hAnsi="Arial" w:cs="Arial"/>
          <w:sz w:val="20"/>
          <w:szCs w:val="20"/>
          <w:lang w:eastAsia="ko-KR"/>
        </w:rPr>
        <w:t xml:space="preserve">des ressources </w:t>
      </w:r>
      <w:r w:rsidR="004E0A63" w:rsidRPr="00912C62">
        <w:rPr>
          <w:rFonts w:ascii="Arial" w:hAnsi="Arial" w:cs="Arial"/>
          <w:sz w:val="20"/>
          <w:szCs w:val="20"/>
          <w:lang w:eastAsia="ko-KR"/>
        </w:rPr>
        <w:t>allouées à l</w:t>
      </w:r>
      <w:r w:rsidR="00FA22F6" w:rsidRPr="00912C62">
        <w:rPr>
          <w:rFonts w:ascii="Arial" w:hAnsi="Arial" w:cs="Arial"/>
          <w:sz w:val="20"/>
          <w:szCs w:val="20"/>
          <w:lang w:eastAsia="ko-KR"/>
        </w:rPr>
        <w:t>’</w:t>
      </w:r>
      <w:r w:rsidR="00C642B6" w:rsidRPr="00912C62">
        <w:rPr>
          <w:rFonts w:ascii="Arial" w:hAnsi="Arial" w:cs="Arial"/>
          <w:sz w:val="20"/>
          <w:szCs w:val="20"/>
          <w:lang w:eastAsia="ko-KR"/>
        </w:rPr>
        <w:t>élaboration d</w:t>
      </w:r>
      <w:r w:rsidR="00FA22F6" w:rsidRPr="00912C62">
        <w:rPr>
          <w:rFonts w:ascii="Arial" w:hAnsi="Arial" w:cs="Arial"/>
          <w:sz w:val="20"/>
          <w:szCs w:val="20"/>
          <w:lang w:eastAsia="ko-KR"/>
        </w:rPr>
        <w:t>’</w:t>
      </w:r>
      <w:r w:rsidR="004E0A63" w:rsidRPr="00912C62">
        <w:rPr>
          <w:rFonts w:ascii="Arial" w:hAnsi="Arial" w:cs="Arial"/>
          <w:sz w:val="20"/>
          <w:szCs w:val="20"/>
          <w:lang w:eastAsia="ko-KR"/>
        </w:rPr>
        <w:t>un nouvel axe de recherche sur la politique et les résultats en matière d</w:t>
      </w:r>
      <w:r w:rsidR="00FA22F6" w:rsidRPr="00912C62">
        <w:rPr>
          <w:rFonts w:ascii="Arial" w:hAnsi="Arial" w:cs="Arial"/>
          <w:sz w:val="20"/>
          <w:szCs w:val="20"/>
          <w:lang w:eastAsia="ko-KR"/>
        </w:rPr>
        <w:t>’</w:t>
      </w:r>
      <w:r w:rsidRPr="00912C62">
        <w:rPr>
          <w:rFonts w:ascii="Arial" w:hAnsi="Arial" w:cs="Arial"/>
          <w:sz w:val="20"/>
          <w:szCs w:val="20"/>
          <w:lang w:eastAsia="ko-KR"/>
        </w:rPr>
        <w:t xml:space="preserve">économie </w:t>
      </w:r>
      <w:r w:rsidR="00645669" w:rsidRPr="00912C62">
        <w:rPr>
          <w:rFonts w:ascii="Arial" w:hAnsi="Arial" w:cs="Arial"/>
          <w:sz w:val="20"/>
          <w:szCs w:val="20"/>
          <w:lang w:eastAsia="ko-KR"/>
        </w:rPr>
        <w:t>de la création</w:t>
      </w:r>
      <w:r w:rsidRPr="00912C62">
        <w:rPr>
          <w:rFonts w:ascii="Arial" w:hAnsi="Arial" w:cs="Arial"/>
          <w:sz w:val="20"/>
          <w:szCs w:val="20"/>
          <w:lang w:eastAsia="ko-KR"/>
        </w:rPr>
        <w:t>.</w:t>
      </w:r>
    </w:p>
    <w:p w14:paraId="0721C1E3" w14:textId="77777777" w:rsidR="001F64B1" w:rsidRPr="00912C62" w:rsidRDefault="001F64B1" w:rsidP="006A41CF">
      <w:pPr>
        <w:tabs>
          <w:tab w:val="left" w:pos="709"/>
        </w:tabs>
        <w:contextualSpacing/>
        <w:jc w:val="both"/>
        <w:rPr>
          <w:sz w:val="20"/>
        </w:rPr>
      </w:pPr>
    </w:p>
    <w:p w14:paraId="3517E341" w14:textId="4398B5E3" w:rsidR="001F64B1" w:rsidRPr="00912C62" w:rsidRDefault="00B2297A" w:rsidP="006A41CF">
      <w:pPr>
        <w:jc w:val="both"/>
        <w:rPr>
          <w:sz w:val="20"/>
          <w:u w:val="single"/>
          <w:lang w:eastAsia="ko-KR"/>
        </w:rPr>
      </w:pPr>
      <w:r w:rsidRPr="00912C62">
        <w:rPr>
          <w:sz w:val="20"/>
          <w:lang w:eastAsia="ko-KR"/>
        </w:rPr>
        <w:t>B.</w:t>
      </w:r>
      <w:r w:rsidRPr="00912C62">
        <w:rPr>
          <w:sz w:val="20"/>
          <w:lang w:eastAsia="ko-KR"/>
        </w:rPr>
        <w:tab/>
      </w:r>
      <w:r w:rsidRPr="00912C62">
        <w:rPr>
          <w:sz w:val="20"/>
          <w:u w:val="single"/>
          <w:lang w:eastAsia="ko-KR"/>
        </w:rPr>
        <w:t>Utilisation du budget</w:t>
      </w:r>
      <w:r w:rsidR="00B4191E" w:rsidRPr="00912C62">
        <w:rPr>
          <w:sz w:val="20"/>
          <w:u w:val="single"/>
          <w:lang w:eastAsia="ko-KR"/>
        </w:rPr>
        <w:t> </w:t>
      </w:r>
      <w:r w:rsidRPr="00912C62">
        <w:rPr>
          <w:sz w:val="20"/>
          <w:u w:val="single"/>
          <w:lang w:eastAsia="ko-KR"/>
        </w:rPr>
        <w:t>2016</w:t>
      </w:r>
      <w:r w:rsidR="006A41CF" w:rsidRPr="00912C62">
        <w:rPr>
          <w:sz w:val="20"/>
          <w:u w:val="single"/>
          <w:lang w:eastAsia="ko-KR"/>
        </w:rPr>
        <w:noBreakHyphen/>
      </w:r>
      <w:r w:rsidRPr="00912C62">
        <w:rPr>
          <w:sz w:val="20"/>
          <w:u w:val="single"/>
          <w:lang w:eastAsia="ko-KR"/>
        </w:rPr>
        <w:t>2017</w:t>
      </w:r>
    </w:p>
    <w:p w14:paraId="7075FA85" w14:textId="77777777" w:rsidR="001F64B1" w:rsidRPr="00912C62" w:rsidRDefault="001F64B1" w:rsidP="006A41CF">
      <w:pPr>
        <w:tabs>
          <w:tab w:val="left" w:pos="709"/>
        </w:tabs>
        <w:jc w:val="both"/>
        <w:rPr>
          <w:sz w:val="20"/>
          <w:u w:val="single"/>
          <w:lang w:eastAsia="ko-KR"/>
        </w:rPr>
      </w:pPr>
    </w:p>
    <w:p w14:paraId="7918AC36" w14:textId="0429DB44" w:rsidR="001F64B1" w:rsidRPr="00912C62" w:rsidRDefault="00C21CA9" w:rsidP="00D544B8">
      <w:pPr>
        <w:pStyle w:val="ListParagraph"/>
        <w:numPr>
          <w:ilvl w:val="0"/>
          <w:numId w:val="20"/>
        </w:numPr>
        <w:tabs>
          <w:tab w:val="left" w:pos="709"/>
        </w:tabs>
        <w:ind w:left="0" w:firstLine="0"/>
        <w:jc w:val="both"/>
        <w:rPr>
          <w:rFonts w:ascii="Arial" w:hAnsi="Arial" w:cs="Arial"/>
          <w:sz w:val="20"/>
          <w:szCs w:val="20"/>
          <w:lang w:eastAsia="ko-KR"/>
        </w:rPr>
      </w:pPr>
      <w:r w:rsidRPr="00912C62">
        <w:rPr>
          <w:rFonts w:ascii="Arial" w:hAnsi="Arial" w:cs="Arial"/>
          <w:sz w:val="20"/>
          <w:szCs w:val="20"/>
          <w:lang w:eastAsia="ko-KR"/>
        </w:rPr>
        <w:t>Le</w:t>
      </w:r>
      <w:r w:rsidR="00B85200" w:rsidRPr="00912C62">
        <w:rPr>
          <w:rFonts w:ascii="Arial" w:hAnsi="Arial" w:cs="Arial"/>
          <w:sz w:val="20"/>
          <w:szCs w:val="20"/>
          <w:lang w:eastAsia="ko-KR"/>
        </w:rPr>
        <w:t xml:space="preserve"> taux d</w:t>
      </w:r>
      <w:r w:rsidR="00FA22F6" w:rsidRPr="00912C62">
        <w:rPr>
          <w:rFonts w:ascii="Arial" w:hAnsi="Arial" w:cs="Arial"/>
          <w:sz w:val="20"/>
          <w:szCs w:val="20"/>
          <w:lang w:eastAsia="ko-KR"/>
        </w:rPr>
        <w:t>’</w:t>
      </w:r>
      <w:r w:rsidRPr="00912C62">
        <w:rPr>
          <w:rFonts w:ascii="Arial" w:hAnsi="Arial" w:cs="Arial"/>
          <w:sz w:val="20"/>
          <w:szCs w:val="20"/>
          <w:lang w:eastAsia="ko-KR"/>
        </w:rPr>
        <w:t xml:space="preserve">utilisation </w:t>
      </w:r>
      <w:r w:rsidR="00B85200" w:rsidRPr="00912C62">
        <w:rPr>
          <w:rFonts w:ascii="Arial" w:hAnsi="Arial" w:cs="Arial"/>
          <w:sz w:val="20"/>
          <w:szCs w:val="20"/>
          <w:lang w:eastAsia="ko-KR"/>
        </w:rPr>
        <w:t xml:space="preserve">de 32% </w:t>
      </w:r>
      <w:r w:rsidRPr="00912C62">
        <w:rPr>
          <w:rFonts w:ascii="Arial" w:hAnsi="Arial" w:cs="Arial"/>
          <w:sz w:val="20"/>
          <w:szCs w:val="20"/>
          <w:lang w:eastAsia="ko-KR"/>
        </w:rPr>
        <w:t xml:space="preserve">du </w:t>
      </w:r>
      <w:r w:rsidR="00955E3B" w:rsidRPr="00912C62">
        <w:rPr>
          <w:rFonts w:ascii="Arial" w:hAnsi="Arial" w:cs="Arial"/>
          <w:sz w:val="20"/>
          <w:szCs w:val="20"/>
          <w:lang w:eastAsia="ko-KR"/>
        </w:rPr>
        <w:t>budget</w:t>
      </w:r>
      <w:r w:rsidRPr="00912C62">
        <w:rPr>
          <w:rFonts w:ascii="Arial" w:hAnsi="Arial" w:cs="Arial"/>
          <w:sz w:val="20"/>
          <w:szCs w:val="20"/>
          <w:lang w:eastAsia="ko-KR"/>
        </w:rPr>
        <w:t xml:space="preserve"> pour les ressources autres que </w:t>
      </w:r>
      <w:r w:rsidR="00B85200" w:rsidRPr="00912C62">
        <w:rPr>
          <w:rFonts w:ascii="Arial" w:hAnsi="Arial" w:cs="Arial"/>
          <w:sz w:val="20"/>
          <w:szCs w:val="20"/>
          <w:lang w:eastAsia="ko-KR"/>
        </w:rPr>
        <w:t xml:space="preserve">pour le personnel est essentiellement </w:t>
      </w:r>
      <w:r w:rsidR="00D01E57" w:rsidRPr="00912C62">
        <w:rPr>
          <w:rFonts w:ascii="Arial" w:hAnsi="Arial" w:cs="Arial"/>
          <w:sz w:val="20"/>
          <w:szCs w:val="20"/>
          <w:lang w:eastAsia="ko-KR"/>
        </w:rPr>
        <w:t>dû</w:t>
      </w:r>
      <w:r w:rsidRPr="00912C62">
        <w:rPr>
          <w:rFonts w:ascii="Arial" w:hAnsi="Arial" w:cs="Arial"/>
          <w:sz w:val="20"/>
          <w:szCs w:val="20"/>
          <w:lang w:eastAsia="ko-KR"/>
        </w:rPr>
        <w:t xml:space="preserve"> </w:t>
      </w:r>
      <w:r w:rsidR="00A14FAB">
        <w:rPr>
          <w:rFonts w:ascii="Arial" w:hAnsi="Arial" w:cs="Arial"/>
          <w:sz w:val="20"/>
          <w:szCs w:val="20"/>
          <w:lang w:eastAsia="ko-KR"/>
        </w:rPr>
        <w:t>aux décaissements liés au</w:t>
      </w:r>
      <w:r w:rsidRPr="00912C62">
        <w:rPr>
          <w:rFonts w:ascii="Arial" w:hAnsi="Arial" w:cs="Arial"/>
          <w:sz w:val="20"/>
          <w:szCs w:val="20"/>
          <w:lang w:eastAsia="ko-KR"/>
        </w:rPr>
        <w:t xml:space="preserve"> Rapport</w:t>
      </w:r>
      <w:r w:rsidR="00B4191E" w:rsidRPr="00912C62">
        <w:rPr>
          <w:rFonts w:ascii="Arial" w:hAnsi="Arial" w:cs="Arial"/>
          <w:sz w:val="20"/>
          <w:szCs w:val="20"/>
          <w:lang w:eastAsia="ko-KR"/>
        </w:rPr>
        <w:t> </w:t>
      </w:r>
      <w:r w:rsidRPr="00912C62">
        <w:rPr>
          <w:rFonts w:ascii="Arial" w:hAnsi="Arial" w:cs="Arial"/>
          <w:sz w:val="20"/>
          <w:szCs w:val="20"/>
          <w:lang w:eastAsia="ko-KR"/>
        </w:rPr>
        <w:t xml:space="preserve">2017 sur la propriété intellectuelle dans le monde et </w:t>
      </w:r>
      <w:r w:rsidR="00A14FAB">
        <w:rPr>
          <w:rFonts w:ascii="Arial" w:hAnsi="Arial" w:cs="Arial"/>
          <w:sz w:val="20"/>
          <w:szCs w:val="20"/>
          <w:lang w:eastAsia="ko-KR"/>
        </w:rPr>
        <w:t>aux études relevant du projet du Plan d’action pour le développement</w:t>
      </w:r>
      <w:r w:rsidRPr="00912C62">
        <w:rPr>
          <w:rFonts w:ascii="Arial" w:hAnsi="Arial" w:cs="Arial"/>
          <w:sz w:val="20"/>
          <w:szCs w:val="20"/>
          <w:lang w:eastAsia="ko-KR"/>
        </w:rPr>
        <w:t>.</w:t>
      </w:r>
    </w:p>
    <w:p w14:paraId="5F62A1DD" w14:textId="77777777" w:rsidR="006A41CF" w:rsidRPr="001E6DFD" w:rsidRDefault="006A41CF">
      <w:pPr>
        <w:rPr>
          <w:b/>
          <w:bCs/>
          <w:iCs/>
          <w:caps/>
        </w:rPr>
      </w:pPr>
      <w:r w:rsidRPr="001E6DFD">
        <w:rPr>
          <w:b/>
          <w:bCs/>
          <w:iCs/>
          <w:caps/>
        </w:rPr>
        <w:br w:type="page"/>
      </w:r>
    </w:p>
    <w:p w14:paraId="1264CCBD" w14:textId="23CDEB9D" w:rsidR="00394CA8" w:rsidRPr="00394CA8" w:rsidRDefault="009761D3" w:rsidP="009761D3">
      <w:pPr>
        <w:pStyle w:val="Heading2"/>
      </w:pPr>
      <w:bookmarkStart w:id="58" w:name="_Toc482774612"/>
      <w:bookmarkStart w:id="59" w:name="_Toc422210502"/>
      <w:bookmarkStart w:id="60" w:name="_Toc367350594"/>
      <w:r>
        <w:lastRenderedPageBreak/>
        <w:t>O</w:t>
      </w:r>
      <w:r w:rsidRPr="00394CA8">
        <w:t>bjectif stratégique </w:t>
      </w:r>
      <w:r>
        <w:t>VI</w:t>
      </w:r>
      <w:bookmarkEnd w:id="58"/>
    </w:p>
    <w:p w14:paraId="400F2BE0" w14:textId="77777777" w:rsidR="00394CA8" w:rsidRPr="00A859F2" w:rsidRDefault="00394CA8" w:rsidP="00394CA8">
      <w:pPr>
        <w:jc w:val="center"/>
        <w:rPr>
          <w:b/>
          <w:sz w:val="20"/>
        </w:rPr>
      </w:pPr>
    </w:p>
    <w:p w14:paraId="21131994" w14:textId="77777777" w:rsidR="00394CA8" w:rsidRPr="00A859F2" w:rsidRDefault="00394CA8" w:rsidP="00394CA8">
      <w:pPr>
        <w:jc w:val="center"/>
        <w:rPr>
          <w:rFonts w:ascii="Arial Bold" w:hAnsi="Arial Bold"/>
          <w:b/>
          <w:caps/>
          <w:sz w:val="20"/>
        </w:rPr>
      </w:pPr>
      <w:r w:rsidRPr="00A859F2">
        <w:rPr>
          <w:rFonts w:ascii="Arial Bold" w:hAnsi="Arial Bold"/>
          <w:b/>
          <w:caps/>
          <w:sz w:val="20"/>
        </w:rPr>
        <w:t>coopération internationale pour le respect de la propriété intellectuelle</w:t>
      </w:r>
    </w:p>
    <w:p w14:paraId="74C8F723" w14:textId="77777777" w:rsidR="00394CA8" w:rsidRPr="00A859F2" w:rsidRDefault="00394CA8" w:rsidP="00394CA8">
      <w:pPr>
        <w:rPr>
          <w:sz w:val="20"/>
        </w:rPr>
      </w:pPr>
    </w:p>
    <w:p w14:paraId="5CBDF8A4" w14:textId="77777777" w:rsidR="00394CA8" w:rsidRPr="00A859F2" w:rsidRDefault="00394CA8" w:rsidP="00394CA8">
      <w:pPr>
        <w:jc w:val="center"/>
        <w:rPr>
          <w:b/>
          <w:sz w:val="20"/>
        </w:rPr>
      </w:pPr>
      <w:r w:rsidRPr="00A859F2">
        <w:rPr>
          <w:b/>
          <w:sz w:val="20"/>
        </w:rPr>
        <w:t>Tableau de bord de l’exécution du programme à mi</w:t>
      </w:r>
      <w:r>
        <w:rPr>
          <w:b/>
          <w:sz w:val="20"/>
        </w:rPr>
        <w:noBreakHyphen/>
      </w:r>
      <w:r w:rsidRPr="00A859F2">
        <w:rPr>
          <w:b/>
          <w:sz w:val="20"/>
        </w:rPr>
        <w:t>parcours (2016)</w:t>
      </w:r>
    </w:p>
    <w:p w14:paraId="7EF8A03D" w14:textId="77777777" w:rsidR="00394CA8" w:rsidRPr="00A859F2" w:rsidRDefault="00394CA8" w:rsidP="00394CA8">
      <w:pPr>
        <w:jc w:val="both"/>
        <w:rPr>
          <w:sz w:val="20"/>
        </w:rPr>
      </w:pPr>
    </w:p>
    <w:p w14:paraId="23283D3F" w14:textId="77777777" w:rsidR="00394CA8" w:rsidRPr="00A859F2" w:rsidRDefault="00394CA8" w:rsidP="00394CA8">
      <w:pPr>
        <w:jc w:val="both"/>
        <w:rPr>
          <w:sz w:val="20"/>
        </w:rPr>
      </w:pPr>
      <w:r w:rsidRPr="00A859F2">
        <w:rPr>
          <w:sz w:val="20"/>
        </w:rPr>
        <w:t>Le tableau de bord ci</w:t>
      </w:r>
      <w:r>
        <w:rPr>
          <w:sz w:val="20"/>
        </w:rPr>
        <w:noBreakHyphen/>
      </w:r>
      <w:r w:rsidRPr="00A859F2">
        <w:rPr>
          <w:sz w:val="20"/>
        </w:rPr>
        <w:t>dessous présente un résumé de l’état d’avancement de la réalisation des résultats en 2016, telle que mesurée par les indicateurs au titre des programmes contribuant à cet objectif stratégique</w:t>
      </w:r>
      <w:r w:rsidRPr="00A859F2">
        <w:rPr>
          <w:color w:val="008000"/>
          <w:sz w:val="20"/>
        </w:rPr>
        <w:t>.</w:t>
      </w:r>
    </w:p>
    <w:p w14:paraId="59C261BE" w14:textId="77777777" w:rsidR="00394CA8" w:rsidRPr="00A859F2" w:rsidRDefault="00394CA8" w:rsidP="00394CA8">
      <w:pPr>
        <w:jc w:val="center"/>
      </w:pPr>
      <w:r w:rsidRPr="0074225E">
        <w:rPr>
          <w:noProof/>
          <w:lang w:val="en-US"/>
        </w:rPr>
        <w:drawing>
          <wp:inline distT="0" distB="0" distL="0" distR="0" wp14:anchorId="5D6ECBC0" wp14:editId="7E8B62EE">
            <wp:extent cx="3693600" cy="2492679"/>
            <wp:effectExtent l="0" t="0" r="254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93600" cy="2492679"/>
                    </a:xfrm>
                    <a:prstGeom prst="rect">
                      <a:avLst/>
                    </a:prstGeom>
                    <a:noFill/>
                    <a:ln>
                      <a:noFill/>
                    </a:ln>
                  </pic:spPr>
                </pic:pic>
              </a:graphicData>
            </a:graphic>
          </wp:inline>
        </w:drawing>
      </w:r>
    </w:p>
    <w:tbl>
      <w:tblPr>
        <w:tblW w:w="9450" w:type="dxa"/>
        <w:tblInd w:w="108" w:type="dxa"/>
        <w:tblLayout w:type="fixed"/>
        <w:tblLook w:val="0000" w:firstRow="0" w:lastRow="0" w:firstColumn="0" w:lastColumn="0" w:noHBand="0" w:noVBand="0"/>
      </w:tblPr>
      <w:tblGrid>
        <w:gridCol w:w="2723"/>
        <w:gridCol w:w="3856"/>
        <w:gridCol w:w="1588"/>
        <w:gridCol w:w="1283"/>
      </w:tblGrid>
      <w:tr w:rsidR="00394CA8" w:rsidRPr="00A859F2" w14:paraId="45EAF6A7" w14:textId="77777777" w:rsidTr="00394CA8">
        <w:trPr>
          <w:cantSplit/>
          <w:trHeight w:val="455"/>
        </w:trPr>
        <w:tc>
          <w:tcPr>
            <w:tcW w:w="1441" w:type="pct"/>
            <w:shd w:val="clear" w:color="auto" w:fill="B8CCE4" w:themeFill="accent1" w:themeFillTint="66"/>
            <w:vAlign w:val="center"/>
          </w:tcPr>
          <w:p w14:paraId="112C9749" w14:textId="77777777" w:rsidR="00394CA8" w:rsidRPr="00A859F2" w:rsidRDefault="00394CA8" w:rsidP="00394CA8">
            <w:pPr>
              <w:rPr>
                <w:b/>
                <w:bCs/>
                <w:sz w:val="18"/>
                <w:szCs w:val="18"/>
              </w:rPr>
            </w:pPr>
            <w:r w:rsidRPr="00A859F2">
              <w:rPr>
                <w:b/>
                <w:bCs/>
                <w:sz w:val="18"/>
                <w:szCs w:val="18"/>
              </w:rPr>
              <w:t>Résultats escomptés</w:t>
            </w:r>
          </w:p>
        </w:tc>
        <w:tc>
          <w:tcPr>
            <w:tcW w:w="2040" w:type="pct"/>
            <w:shd w:val="clear" w:color="auto" w:fill="B8CCE4" w:themeFill="accent1" w:themeFillTint="66"/>
            <w:tcMar>
              <w:top w:w="110" w:type="dxa"/>
            </w:tcMar>
            <w:vAlign w:val="center"/>
          </w:tcPr>
          <w:p w14:paraId="76B47627" w14:textId="77777777" w:rsidR="00394CA8" w:rsidRPr="00A859F2" w:rsidRDefault="00394CA8" w:rsidP="00394CA8">
            <w:pPr>
              <w:rPr>
                <w:b/>
                <w:sz w:val="18"/>
                <w:szCs w:val="18"/>
              </w:rPr>
            </w:pPr>
            <w:r w:rsidRPr="00A859F2">
              <w:rPr>
                <w:b/>
                <w:sz w:val="18"/>
                <w:szCs w:val="18"/>
              </w:rPr>
              <w:t>Indicateurs d’exécution</w:t>
            </w:r>
          </w:p>
        </w:tc>
        <w:tc>
          <w:tcPr>
            <w:tcW w:w="840" w:type="pct"/>
            <w:shd w:val="clear" w:color="auto" w:fill="B8CCE4" w:themeFill="accent1" w:themeFillTint="66"/>
            <w:tcMar>
              <w:top w:w="110" w:type="dxa"/>
            </w:tcMar>
            <w:vAlign w:val="center"/>
          </w:tcPr>
          <w:p w14:paraId="04259D93" w14:textId="77777777" w:rsidR="00394CA8" w:rsidRPr="00A859F2" w:rsidRDefault="00394CA8" w:rsidP="00394CA8">
            <w:pPr>
              <w:ind w:left="85"/>
              <w:jc w:val="center"/>
              <w:rPr>
                <w:sz w:val="18"/>
                <w:szCs w:val="18"/>
              </w:rPr>
            </w:pPr>
            <w:r w:rsidRPr="00A859F2">
              <w:rPr>
                <w:b/>
                <w:sz w:val="18"/>
                <w:szCs w:val="18"/>
              </w:rPr>
              <w:t>Programme(s)concerné(s)</w:t>
            </w:r>
          </w:p>
        </w:tc>
        <w:tc>
          <w:tcPr>
            <w:tcW w:w="680" w:type="pct"/>
            <w:shd w:val="clear" w:color="auto" w:fill="B8CCE4" w:themeFill="accent1" w:themeFillTint="66"/>
            <w:vAlign w:val="center"/>
          </w:tcPr>
          <w:p w14:paraId="321AB6FE" w14:textId="77777777" w:rsidR="00394CA8" w:rsidRPr="00A859F2" w:rsidRDefault="00394CA8" w:rsidP="00394CA8">
            <w:pPr>
              <w:ind w:left="85"/>
              <w:jc w:val="center"/>
              <w:rPr>
                <w:b/>
                <w:bCs/>
                <w:sz w:val="18"/>
                <w:szCs w:val="18"/>
              </w:rPr>
            </w:pPr>
            <w:r w:rsidRPr="00A859F2">
              <w:rPr>
                <w:b/>
                <w:bCs/>
                <w:sz w:val="18"/>
                <w:szCs w:val="18"/>
              </w:rPr>
              <w:t>Code de couleurs</w:t>
            </w:r>
          </w:p>
        </w:tc>
      </w:tr>
      <w:tr w:rsidR="00394CA8" w:rsidRPr="00A859F2" w14:paraId="2D8AEA1E" w14:textId="77777777" w:rsidTr="00394CA8">
        <w:trPr>
          <w:cantSplit/>
          <w:trHeight w:val="842"/>
        </w:trPr>
        <w:tc>
          <w:tcPr>
            <w:tcW w:w="1441" w:type="pct"/>
            <w:shd w:val="clear" w:color="auto" w:fill="auto"/>
            <w:tcMar>
              <w:top w:w="113" w:type="dxa"/>
              <w:bottom w:w="85" w:type="dxa"/>
            </w:tcMar>
          </w:tcPr>
          <w:p w14:paraId="62055057" w14:textId="77777777" w:rsidR="00394CA8" w:rsidRPr="00A859F2" w:rsidRDefault="00394CA8" w:rsidP="00394CA8">
            <w:pPr>
              <w:rPr>
                <w:sz w:val="16"/>
                <w:szCs w:val="16"/>
              </w:rPr>
            </w:pPr>
            <w:r w:rsidRPr="00A859F2">
              <w:rPr>
                <w:sz w:val="16"/>
                <w:szCs w:val="16"/>
              </w:rPr>
              <w:t>VI.1 Progrès du dialogue international de politique générale entre les États membres de l’OMPI en ce qui concerne la promotion du respect de la propriété intellectuelle, compte tenu de la recommandation n° 45 du Plan d’action pour le développement</w:t>
            </w:r>
          </w:p>
        </w:tc>
        <w:tc>
          <w:tcPr>
            <w:tcW w:w="2040" w:type="pct"/>
            <w:shd w:val="clear" w:color="auto" w:fill="auto"/>
            <w:tcMar>
              <w:top w:w="113" w:type="dxa"/>
              <w:bottom w:w="85" w:type="dxa"/>
            </w:tcMar>
          </w:tcPr>
          <w:p w14:paraId="00E7F41F" w14:textId="77777777" w:rsidR="00394CA8" w:rsidRPr="00A859F2" w:rsidRDefault="00394CA8" w:rsidP="00394CA8">
            <w:pPr>
              <w:rPr>
                <w:sz w:val="16"/>
                <w:szCs w:val="16"/>
              </w:rPr>
            </w:pPr>
            <w:r w:rsidRPr="00A859F2">
              <w:rPr>
                <w:sz w:val="16"/>
                <w:szCs w:val="16"/>
              </w:rPr>
              <w:t>Accord permanent des États membres sur les activités de fond du Comité consultatif de l’OMPI sur l’application des droits (ACE), en prenant en considération les préoccupations relatives au développement</w:t>
            </w:r>
          </w:p>
        </w:tc>
        <w:tc>
          <w:tcPr>
            <w:tcW w:w="840" w:type="pct"/>
            <w:shd w:val="clear" w:color="auto" w:fill="FFFFFF"/>
            <w:tcMar>
              <w:top w:w="113" w:type="dxa"/>
              <w:bottom w:w="85" w:type="dxa"/>
            </w:tcMar>
          </w:tcPr>
          <w:p w14:paraId="5D8D0CEC" w14:textId="77777777" w:rsidR="00394CA8" w:rsidRPr="00A859F2" w:rsidRDefault="00394CA8" w:rsidP="00394CA8">
            <w:pPr>
              <w:spacing w:before="40"/>
              <w:jc w:val="center"/>
              <w:rPr>
                <w:sz w:val="16"/>
                <w:szCs w:val="16"/>
              </w:rPr>
            </w:pPr>
            <w:r w:rsidRPr="00A859F2">
              <w:rPr>
                <w:sz w:val="16"/>
                <w:szCs w:val="16"/>
                <w:lang w:bidi="th-TH"/>
              </w:rPr>
              <w:t>Programme</w:t>
            </w:r>
            <w:r>
              <w:rPr>
                <w:sz w:val="16"/>
                <w:szCs w:val="16"/>
                <w:lang w:bidi="th-TH"/>
              </w:rPr>
              <w:t> </w:t>
            </w:r>
            <w:r w:rsidRPr="00A859F2">
              <w:rPr>
                <w:sz w:val="16"/>
                <w:szCs w:val="16"/>
                <w:lang w:bidi="th-TH"/>
              </w:rPr>
              <w:t>17</w:t>
            </w:r>
          </w:p>
        </w:tc>
        <w:tc>
          <w:tcPr>
            <w:tcW w:w="680" w:type="pct"/>
            <w:shd w:val="clear" w:color="auto" w:fill="FFFFFF"/>
          </w:tcPr>
          <w:p w14:paraId="07359467"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46571FFC" w14:textId="77777777" w:rsidTr="00394CA8">
        <w:trPr>
          <w:cantSplit/>
          <w:trHeight w:val="704"/>
        </w:trPr>
        <w:tc>
          <w:tcPr>
            <w:tcW w:w="1441" w:type="pct"/>
            <w:shd w:val="clear" w:color="auto" w:fill="auto"/>
            <w:tcMar>
              <w:top w:w="113" w:type="dxa"/>
              <w:bottom w:w="85" w:type="dxa"/>
            </w:tcMar>
          </w:tcPr>
          <w:p w14:paraId="45444B4D" w14:textId="77777777" w:rsidR="00394CA8" w:rsidRPr="00A859F2" w:rsidRDefault="00394CA8" w:rsidP="00394CA8">
            <w:pPr>
              <w:rPr>
                <w:sz w:val="16"/>
                <w:szCs w:val="16"/>
              </w:rPr>
            </w:pPr>
            <w:r w:rsidRPr="00A859F2">
              <w:rPr>
                <w:sz w:val="16"/>
                <w:szCs w:val="16"/>
              </w:rPr>
              <w:t>VI.2 Coopération et coordination systématiques, efficaces et transparentes entre les travaux de l’OMPI et ceux d’autres organisations internationales dans le domaine de la promotion du respect de la propriété intellectuelle</w:t>
            </w:r>
          </w:p>
        </w:tc>
        <w:tc>
          <w:tcPr>
            <w:tcW w:w="2040" w:type="pct"/>
            <w:shd w:val="clear" w:color="auto" w:fill="auto"/>
            <w:tcMar>
              <w:top w:w="113" w:type="dxa"/>
              <w:bottom w:w="85" w:type="dxa"/>
            </w:tcMar>
          </w:tcPr>
          <w:p w14:paraId="6809B0F9" w14:textId="77777777" w:rsidR="00394CA8" w:rsidRPr="00A859F2" w:rsidRDefault="00394CA8" w:rsidP="00394CA8">
            <w:pPr>
              <w:rPr>
                <w:sz w:val="16"/>
                <w:szCs w:val="16"/>
              </w:rPr>
            </w:pPr>
            <w:r w:rsidRPr="00A859F2">
              <w:rPr>
                <w:sz w:val="16"/>
                <w:szCs w:val="16"/>
              </w:rPr>
              <w:t>Nombre de collaborations stratégiques ou autres activités communes menées avec les organisations partenaires dans le domaine de la promotion du respect de la propriété intellectuelle</w:t>
            </w:r>
          </w:p>
        </w:tc>
        <w:tc>
          <w:tcPr>
            <w:tcW w:w="840" w:type="pct"/>
            <w:shd w:val="clear" w:color="auto" w:fill="FFFFFF"/>
            <w:tcMar>
              <w:top w:w="113" w:type="dxa"/>
              <w:bottom w:w="85" w:type="dxa"/>
            </w:tcMar>
          </w:tcPr>
          <w:p w14:paraId="56D71ECA" w14:textId="77777777" w:rsidR="00394CA8" w:rsidRPr="00A859F2" w:rsidRDefault="00394CA8" w:rsidP="00394CA8">
            <w:pPr>
              <w:spacing w:before="40"/>
              <w:jc w:val="center"/>
              <w:rPr>
                <w:sz w:val="16"/>
                <w:szCs w:val="16"/>
              </w:rPr>
            </w:pPr>
            <w:r w:rsidRPr="00A859F2">
              <w:rPr>
                <w:sz w:val="16"/>
                <w:szCs w:val="16"/>
                <w:lang w:bidi="th-TH"/>
              </w:rPr>
              <w:t>Programme</w:t>
            </w:r>
            <w:r>
              <w:rPr>
                <w:sz w:val="16"/>
                <w:szCs w:val="16"/>
                <w:lang w:bidi="th-TH"/>
              </w:rPr>
              <w:t> </w:t>
            </w:r>
            <w:r w:rsidRPr="00A859F2">
              <w:rPr>
                <w:sz w:val="16"/>
                <w:szCs w:val="16"/>
                <w:lang w:bidi="th-TH"/>
              </w:rPr>
              <w:t>17</w:t>
            </w:r>
          </w:p>
        </w:tc>
        <w:tc>
          <w:tcPr>
            <w:tcW w:w="680" w:type="pct"/>
            <w:shd w:val="clear" w:color="auto" w:fill="FFFFFF"/>
          </w:tcPr>
          <w:p w14:paraId="15C51F86" w14:textId="77777777" w:rsidR="00394CA8" w:rsidRPr="00A859F2" w:rsidRDefault="00394CA8" w:rsidP="00394CA8">
            <w:pPr>
              <w:jc w:val="center"/>
            </w:pPr>
            <w:r w:rsidRPr="00A859F2">
              <w:rPr>
                <w:color w:val="00B050"/>
                <w:szCs w:val="22"/>
              </w:rPr>
              <w:sym w:font="Wingdings" w:char="F06C"/>
            </w:r>
          </w:p>
        </w:tc>
      </w:tr>
      <w:bookmarkEnd w:id="59"/>
      <w:bookmarkEnd w:id="60"/>
    </w:tbl>
    <w:p w14:paraId="1772EB41" w14:textId="77777777" w:rsidR="00394CA8" w:rsidRPr="00A859F2" w:rsidRDefault="00394CA8" w:rsidP="00394CA8">
      <w:pPr>
        <w:pStyle w:val="ListParagraph"/>
        <w:ind w:left="0"/>
        <w:jc w:val="both"/>
      </w:pPr>
    </w:p>
    <w:p w14:paraId="2EB7D4E3" w14:textId="77777777" w:rsidR="00394CA8" w:rsidRPr="00A859F2" w:rsidRDefault="00394CA8" w:rsidP="00394CA8">
      <w:pPr>
        <w:pStyle w:val="ListParagraph"/>
        <w:ind w:left="0"/>
        <w:jc w:val="both"/>
      </w:pPr>
      <w:r w:rsidRPr="00A859F2">
        <w:br w:type="page"/>
      </w:r>
    </w:p>
    <w:p w14:paraId="75E9DF1E" w14:textId="11D1068F" w:rsidR="001F64B1" w:rsidRPr="001E6DFD" w:rsidRDefault="00B2297A" w:rsidP="0087680E">
      <w:pPr>
        <w:pStyle w:val="Heading3"/>
      </w:pPr>
      <w:bookmarkStart w:id="61" w:name="_Toc482774613"/>
      <w:r w:rsidRPr="001E6DFD">
        <w:lastRenderedPageBreak/>
        <w:t>Programme</w:t>
      </w:r>
      <w:r w:rsidR="00B4191E">
        <w:t> </w:t>
      </w:r>
      <w:r w:rsidRPr="001E6DFD">
        <w:t>17</w:t>
      </w:r>
      <w:r w:rsidRPr="001E6DFD">
        <w:tab/>
        <w:t>Promouvoir le respect de la propriété intellectuelle</w:t>
      </w:r>
      <w:bookmarkEnd w:id="61"/>
    </w:p>
    <w:p w14:paraId="28216B2D" w14:textId="77777777" w:rsidR="001F64B1" w:rsidRPr="001E6DFD" w:rsidRDefault="001F64B1" w:rsidP="00912C62">
      <w:pPr>
        <w:tabs>
          <w:tab w:val="left" w:pos="2268"/>
        </w:tabs>
        <w:ind w:left="2268" w:hanging="2268"/>
        <w:jc w:val="both"/>
        <w:rPr>
          <w:sz w:val="20"/>
        </w:rPr>
      </w:pPr>
    </w:p>
    <w:p w14:paraId="251958C5" w14:textId="30E79333" w:rsidR="001F64B1" w:rsidRPr="001E6DFD" w:rsidRDefault="00FA541B" w:rsidP="00912C62">
      <w:pPr>
        <w:tabs>
          <w:tab w:val="left" w:pos="2268"/>
        </w:tabs>
        <w:ind w:left="2268" w:hanging="2268"/>
        <w:jc w:val="both"/>
        <w:rPr>
          <w:b/>
          <w:sz w:val="20"/>
        </w:rPr>
      </w:pPr>
      <w:r w:rsidRPr="001E6DFD">
        <w:rPr>
          <w:b/>
          <w:sz w:val="20"/>
        </w:rPr>
        <w:t>Chef de programme</w:t>
      </w:r>
      <w:r w:rsidR="00BA5EA9" w:rsidRPr="001E6DFD">
        <w:rPr>
          <w:b/>
          <w:sz w:val="20"/>
        </w:rPr>
        <w:tab/>
        <w:t>M.</w:t>
      </w:r>
      <w:r w:rsidR="004D421A" w:rsidRPr="001E6DFD">
        <w:rPr>
          <w:b/>
          <w:sz w:val="20"/>
        </w:rPr>
        <w:t> </w:t>
      </w:r>
      <w:r w:rsidR="00BA5EA9" w:rsidRPr="001E6DFD">
        <w:rPr>
          <w:b/>
          <w:sz w:val="20"/>
        </w:rPr>
        <w:t>M.</w:t>
      </w:r>
      <w:r w:rsidR="004D421A" w:rsidRPr="001E6DFD">
        <w:rPr>
          <w:b/>
          <w:sz w:val="20"/>
        </w:rPr>
        <w:t> </w:t>
      </w:r>
      <w:r w:rsidR="00BA5EA9" w:rsidRPr="001E6DFD">
        <w:rPr>
          <w:b/>
          <w:sz w:val="20"/>
        </w:rPr>
        <w:t>A.</w:t>
      </w:r>
      <w:r w:rsidR="004D421A" w:rsidRPr="001E6DFD">
        <w:rPr>
          <w:b/>
          <w:sz w:val="20"/>
        </w:rPr>
        <w:t> </w:t>
      </w:r>
      <w:r w:rsidR="00BA5EA9" w:rsidRPr="001E6DFD">
        <w:rPr>
          <w:b/>
          <w:sz w:val="20"/>
        </w:rPr>
        <w:t>Getahun</w:t>
      </w:r>
    </w:p>
    <w:p w14:paraId="586F329D" w14:textId="77777777" w:rsidR="001F64B1" w:rsidRPr="001E6DFD" w:rsidRDefault="001F64B1" w:rsidP="0097226C">
      <w:pPr>
        <w:tabs>
          <w:tab w:val="left" w:pos="1985"/>
        </w:tabs>
        <w:jc w:val="both"/>
        <w:rPr>
          <w:b/>
          <w:sz w:val="20"/>
        </w:rPr>
      </w:pPr>
    </w:p>
    <w:p w14:paraId="3CF5A1F4" w14:textId="77777777" w:rsidR="00BA5EA9" w:rsidRPr="001E6DFD" w:rsidRDefault="005C716A" w:rsidP="0097226C">
      <w:pPr>
        <w:tabs>
          <w:tab w:val="left" w:pos="1985"/>
        </w:tabs>
        <w:jc w:val="center"/>
        <w:rPr>
          <w:b/>
          <w:sz w:val="20"/>
        </w:rPr>
      </w:pPr>
      <w:r w:rsidRPr="001E6DFD">
        <w:rPr>
          <w:noProof/>
          <w:lang w:val="en-US"/>
        </w:rPr>
        <w:drawing>
          <wp:inline distT="0" distB="0" distL="0" distR="0" wp14:anchorId="007AD357" wp14:editId="030A4EE1">
            <wp:extent cx="3963600" cy="273600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96360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42"/>
        <w:gridCol w:w="2747"/>
        <w:gridCol w:w="1316"/>
        <w:gridCol w:w="2132"/>
        <w:gridCol w:w="1050"/>
      </w:tblGrid>
      <w:tr w:rsidR="00BA5EA9" w:rsidRPr="001E6DFD" w14:paraId="23FD5D13" w14:textId="77777777" w:rsidTr="005C716A">
        <w:tc>
          <w:tcPr>
            <w:tcW w:w="5000" w:type="pct"/>
            <w:gridSpan w:val="5"/>
            <w:shd w:val="clear" w:color="auto" w:fill="C6D9F1" w:themeFill="text2" w:themeFillTint="33"/>
            <w:tcMar>
              <w:left w:w="58" w:type="dxa"/>
              <w:right w:w="58" w:type="dxa"/>
            </w:tcMar>
            <w:vAlign w:val="center"/>
          </w:tcPr>
          <w:p w14:paraId="3652DD37" w14:textId="179AE801" w:rsidR="00BA5EA9" w:rsidRPr="001E6DFD" w:rsidRDefault="00B2297A" w:rsidP="0097226C">
            <w:pPr>
              <w:keepNext/>
              <w:keepLines/>
              <w:tabs>
                <w:tab w:val="left" w:pos="1452"/>
              </w:tabs>
              <w:rPr>
                <w:b/>
                <w:bCs/>
                <w:sz w:val="16"/>
                <w:szCs w:val="16"/>
              </w:rPr>
            </w:pPr>
            <w:r w:rsidRPr="001E6DFD">
              <w:rPr>
                <w:b/>
                <w:sz w:val="16"/>
                <w:szCs w:val="16"/>
              </w:rPr>
              <w:t>Résultat escompté</w:t>
            </w:r>
            <w:r w:rsidR="00FA22F6" w:rsidRPr="001E6DFD">
              <w:rPr>
                <w:b/>
                <w:sz w:val="16"/>
                <w:szCs w:val="16"/>
              </w:rPr>
              <w:t> :</w:t>
            </w:r>
            <w:r w:rsidRPr="001E6DFD">
              <w:rPr>
                <w:b/>
                <w:sz w:val="16"/>
                <w:szCs w:val="16"/>
              </w:rPr>
              <w:t xml:space="preserve"> </w:t>
            </w:r>
            <w:r w:rsidRPr="001E6DFD">
              <w:rPr>
                <w:sz w:val="16"/>
                <w:szCs w:val="16"/>
              </w:rPr>
              <w:t>I.2 Cadres législatifs, réglementaires et politiques adaptés et équilibrés en matière de propriété intellectuelle</w:t>
            </w:r>
            <w:r w:rsidR="00BA5EA9" w:rsidRPr="001E6DFD">
              <w:rPr>
                <w:sz w:val="16"/>
                <w:szCs w:val="16"/>
              </w:rPr>
              <w:t xml:space="preserve"> </w:t>
            </w:r>
          </w:p>
        </w:tc>
      </w:tr>
      <w:tr w:rsidR="00BA5EA9" w:rsidRPr="001E6DFD" w14:paraId="05D848B0" w14:textId="77777777" w:rsidTr="005C716A">
        <w:tc>
          <w:tcPr>
            <w:tcW w:w="1072" w:type="pct"/>
            <w:shd w:val="clear" w:color="auto" w:fill="auto"/>
            <w:tcMar>
              <w:left w:w="58" w:type="dxa"/>
              <w:right w:w="58" w:type="dxa"/>
            </w:tcMar>
            <w:vAlign w:val="center"/>
          </w:tcPr>
          <w:p w14:paraId="49E8706D" w14:textId="4BA191C9" w:rsidR="00BA5EA9" w:rsidRPr="001E6DFD" w:rsidRDefault="00B2297A"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10" w:type="pct"/>
            <w:shd w:val="clear" w:color="auto" w:fill="auto"/>
            <w:tcMar>
              <w:left w:w="58" w:type="dxa"/>
              <w:right w:w="58" w:type="dxa"/>
            </w:tcMar>
            <w:vAlign w:val="center"/>
          </w:tcPr>
          <w:p w14:paraId="752DED38" w14:textId="77777777" w:rsidR="00BA5EA9" w:rsidRPr="001E6DFD" w:rsidRDefault="00B2297A" w:rsidP="0097226C">
            <w:pPr>
              <w:jc w:val="center"/>
              <w:rPr>
                <w:b/>
                <w:bCs/>
                <w:sz w:val="16"/>
                <w:szCs w:val="16"/>
              </w:rPr>
            </w:pPr>
            <w:r w:rsidRPr="001E6DFD">
              <w:rPr>
                <w:b/>
                <w:bCs/>
                <w:sz w:val="16"/>
                <w:szCs w:val="16"/>
              </w:rPr>
              <w:t>Niveaux de référence</w:t>
            </w:r>
          </w:p>
        </w:tc>
        <w:tc>
          <w:tcPr>
            <w:tcW w:w="731" w:type="pct"/>
            <w:shd w:val="clear" w:color="auto" w:fill="auto"/>
            <w:tcMar>
              <w:top w:w="110" w:type="dxa"/>
              <w:left w:w="58" w:type="dxa"/>
              <w:right w:w="58" w:type="dxa"/>
            </w:tcMar>
            <w:vAlign w:val="center"/>
          </w:tcPr>
          <w:p w14:paraId="7DF2858F" w14:textId="77777777" w:rsidR="00BA5EA9" w:rsidRPr="001E6DFD" w:rsidRDefault="00B2297A" w:rsidP="0097226C">
            <w:pPr>
              <w:tabs>
                <w:tab w:val="left" w:pos="290"/>
              </w:tabs>
              <w:jc w:val="center"/>
              <w:rPr>
                <w:b/>
                <w:bCs/>
                <w:sz w:val="16"/>
                <w:szCs w:val="16"/>
              </w:rPr>
            </w:pPr>
            <w:r w:rsidRPr="001E6DFD">
              <w:rPr>
                <w:b/>
                <w:bCs/>
                <w:sz w:val="16"/>
                <w:szCs w:val="16"/>
              </w:rPr>
              <w:t>Objectifs visés</w:t>
            </w:r>
          </w:p>
        </w:tc>
        <w:tc>
          <w:tcPr>
            <w:tcW w:w="1175" w:type="pct"/>
            <w:shd w:val="clear" w:color="auto" w:fill="FFFFFF"/>
            <w:tcMar>
              <w:top w:w="110" w:type="dxa"/>
              <w:left w:w="58" w:type="dxa"/>
              <w:right w:w="58" w:type="dxa"/>
            </w:tcMar>
            <w:vAlign w:val="center"/>
          </w:tcPr>
          <w:p w14:paraId="5BFAC7D8" w14:textId="35284795" w:rsidR="00BA5EA9" w:rsidRPr="001E6DFD" w:rsidRDefault="00B2297A"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shd w:val="clear" w:color="auto" w:fill="auto"/>
            <w:tcMar>
              <w:top w:w="110" w:type="dxa"/>
              <w:left w:w="58" w:type="dxa"/>
              <w:right w:w="58" w:type="dxa"/>
            </w:tcMar>
            <w:vAlign w:val="center"/>
          </w:tcPr>
          <w:p w14:paraId="3ED17DEA" w14:textId="22D466B5"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30E9DBED" w14:textId="77777777" w:rsidTr="005C716A">
        <w:tc>
          <w:tcPr>
            <w:tcW w:w="1072" w:type="pct"/>
            <w:shd w:val="clear" w:color="auto" w:fill="auto"/>
            <w:tcMar>
              <w:left w:w="58" w:type="dxa"/>
              <w:right w:w="58" w:type="dxa"/>
            </w:tcMar>
          </w:tcPr>
          <w:p w14:paraId="556930C6" w14:textId="3F06E644" w:rsidR="00BA5EA9" w:rsidRPr="001E6DFD" w:rsidRDefault="00E1631F" w:rsidP="0097226C">
            <w:pPr>
              <w:autoSpaceDE w:val="0"/>
              <w:autoSpaceDN w:val="0"/>
              <w:adjustRightInd w:val="0"/>
              <w:rPr>
                <w:rFonts w:eastAsia="Batang"/>
                <w:sz w:val="16"/>
                <w:szCs w:val="16"/>
                <w:lang w:eastAsia="ja-JP"/>
              </w:rPr>
            </w:pPr>
            <w:r w:rsidRPr="001E6DFD">
              <w:rPr>
                <w:rFonts w:eastAsia="Batang"/>
                <w:sz w:val="16"/>
                <w:szCs w:val="16"/>
                <w:lang w:eastAsia="ja-JP"/>
              </w:rPr>
              <w:t>Nombre de pays ou d</w:t>
            </w:r>
            <w:r w:rsidR="00FA22F6" w:rsidRPr="001E6DFD">
              <w:rPr>
                <w:rFonts w:eastAsia="Batang"/>
                <w:sz w:val="16"/>
                <w:szCs w:val="16"/>
                <w:lang w:eastAsia="ja-JP"/>
              </w:rPr>
              <w:t>’</w:t>
            </w:r>
            <w:r w:rsidRPr="001E6DFD">
              <w:rPr>
                <w:rFonts w:eastAsia="Batang"/>
                <w:sz w:val="16"/>
                <w:szCs w:val="16"/>
                <w:lang w:eastAsia="ja-JP"/>
              </w:rPr>
              <w:t>organisations régionales ayant adopté ou modifié leurs cadres de référence aux fins de l</w:t>
            </w:r>
            <w:r w:rsidR="00FA22F6" w:rsidRPr="001E6DFD">
              <w:rPr>
                <w:rFonts w:eastAsia="Batang"/>
                <w:sz w:val="16"/>
                <w:szCs w:val="16"/>
                <w:lang w:eastAsia="ja-JP"/>
              </w:rPr>
              <w:t>’</w:t>
            </w:r>
            <w:r w:rsidRPr="001E6DFD">
              <w:rPr>
                <w:rFonts w:eastAsia="Batang"/>
                <w:sz w:val="16"/>
                <w:szCs w:val="16"/>
                <w:lang w:eastAsia="ja-JP"/>
              </w:rPr>
              <w:t xml:space="preserve">application effective des droits de propriété intellectuelle au regard du </w:t>
            </w:r>
            <w:r w:rsidR="00FA22F6" w:rsidRPr="001E6DFD">
              <w:rPr>
                <w:rFonts w:eastAsia="Batang"/>
                <w:sz w:val="16"/>
                <w:szCs w:val="16"/>
                <w:lang w:eastAsia="ja-JP"/>
              </w:rPr>
              <w:t>titre I</w:t>
            </w:r>
            <w:r w:rsidRPr="001E6DFD">
              <w:rPr>
                <w:rFonts w:eastAsia="Batang"/>
                <w:sz w:val="16"/>
                <w:szCs w:val="16"/>
                <w:lang w:eastAsia="ja-JP"/>
              </w:rPr>
              <w:t>II de l</w:t>
            </w:r>
            <w:r w:rsidR="00FA22F6" w:rsidRPr="001E6DFD">
              <w:rPr>
                <w:rFonts w:eastAsia="Batang"/>
                <w:sz w:val="16"/>
                <w:szCs w:val="16"/>
                <w:lang w:eastAsia="ja-JP"/>
              </w:rPr>
              <w:t>’</w:t>
            </w:r>
            <w:r w:rsidRPr="001E6DFD">
              <w:rPr>
                <w:rFonts w:eastAsia="Batang"/>
                <w:sz w:val="16"/>
                <w:szCs w:val="16"/>
                <w:lang w:eastAsia="ja-JP"/>
              </w:rPr>
              <w:t>Accord sur</w:t>
            </w:r>
            <w:r w:rsidR="00FA22F6" w:rsidRPr="001E6DFD">
              <w:rPr>
                <w:rFonts w:eastAsia="Batang"/>
                <w:sz w:val="16"/>
                <w:szCs w:val="16"/>
                <w:lang w:eastAsia="ja-JP"/>
              </w:rPr>
              <w:t xml:space="preserve"> les ADP</w:t>
            </w:r>
            <w:r w:rsidRPr="001E6DFD">
              <w:rPr>
                <w:rFonts w:eastAsia="Batang"/>
                <w:sz w:val="16"/>
                <w:szCs w:val="16"/>
                <w:lang w:eastAsia="ja-JP"/>
              </w:rPr>
              <w:t>IC et de la recommandation n°</w:t>
            </w:r>
            <w:r w:rsidR="004D421A" w:rsidRPr="001E6DFD">
              <w:rPr>
                <w:rFonts w:eastAsia="Batang"/>
                <w:sz w:val="16"/>
                <w:szCs w:val="16"/>
                <w:lang w:eastAsia="ja-JP"/>
              </w:rPr>
              <w:t> </w:t>
            </w:r>
            <w:r w:rsidRPr="001E6DFD">
              <w:rPr>
                <w:rFonts w:eastAsia="Batang"/>
                <w:sz w:val="16"/>
                <w:szCs w:val="16"/>
                <w:lang w:eastAsia="ja-JP"/>
              </w:rPr>
              <w:t>45 du Plan d</w:t>
            </w:r>
            <w:r w:rsidR="00FA22F6" w:rsidRPr="001E6DFD">
              <w:rPr>
                <w:rFonts w:eastAsia="Batang"/>
                <w:sz w:val="16"/>
                <w:szCs w:val="16"/>
                <w:lang w:eastAsia="ja-JP"/>
              </w:rPr>
              <w:t>’</w:t>
            </w:r>
            <w:r w:rsidRPr="001E6DFD">
              <w:rPr>
                <w:rFonts w:eastAsia="Batang"/>
                <w:sz w:val="16"/>
                <w:szCs w:val="16"/>
                <w:lang w:eastAsia="ja-JP"/>
              </w:rPr>
              <w:t>action pour le développement, ou s</w:t>
            </w:r>
            <w:r w:rsidR="00FA22F6" w:rsidRPr="001E6DFD">
              <w:rPr>
                <w:rFonts w:eastAsia="Batang"/>
                <w:sz w:val="16"/>
                <w:szCs w:val="16"/>
                <w:lang w:eastAsia="ja-JP"/>
              </w:rPr>
              <w:t>’</w:t>
            </w:r>
            <w:r w:rsidRPr="001E6DFD">
              <w:rPr>
                <w:rFonts w:eastAsia="Batang"/>
                <w:sz w:val="16"/>
                <w:szCs w:val="16"/>
                <w:lang w:eastAsia="ja-JP"/>
              </w:rPr>
              <w:t>apprêtant à le faire, suite à l</w:t>
            </w:r>
            <w:r w:rsidR="00FA22F6" w:rsidRPr="001E6DFD">
              <w:rPr>
                <w:rFonts w:eastAsia="Batang"/>
                <w:sz w:val="16"/>
                <w:szCs w:val="16"/>
                <w:lang w:eastAsia="ja-JP"/>
              </w:rPr>
              <w:t>’</w:t>
            </w:r>
            <w:r w:rsidRPr="001E6DFD">
              <w:rPr>
                <w:rFonts w:eastAsia="Batang"/>
                <w:sz w:val="16"/>
                <w:szCs w:val="16"/>
                <w:lang w:eastAsia="ja-JP"/>
              </w:rPr>
              <w:t>assistance fournie par l</w:t>
            </w:r>
            <w:r w:rsidR="00FA22F6" w:rsidRPr="001E6DFD">
              <w:rPr>
                <w:rFonts w:eastAsia="Batang"/>
                <w:sz w:val="16"/>
                <w:szCs w:val="16"/>
                <w:lang w:eastAsia="ja-JP"/>
              </w:rPr>
              <w:t>’</w:t>
            </w:r>
            <w:r w:rsidRPr="001E6DFD">
              <w:rPr>
                <w:rFonts w:eastAsia="Batang"/>
                <w:sz w:val="16"/>
                <w:szCs w:val="16"/>
                <w:lang w:eastAsia="ja-JP"/>
              </w:rPr>
              <w:t>OMPI</w:t>
            </w:r>
            <w:r w:rsidR="00BA5EA9" w:rsidRPr="001E6DFD">
              <w:rPr>
                <w:rFonts w:eastAsia="Batang"/>
                <w:sz w:val="16"/>
                <w:szCs w:val="16"/>
                <w:lang w:eastAsia="ja-JP"/>
              </w:rPr>
              <w:t xml:space="preserve"> </w:t>
            </w:r>
          </w:p>
        </w:tc>
        <w:tc>
          <w:tcPr>
            <w:tcW w:w="1510" w:type="pct"/>
            <w:shd w:val="clear" w:color="auto" w:fill="auto"/>
            <w:tcMar>
              <w:left w:w="58" w:type="dxa"/>
              <w:right w:w="58" w:type="dxa"/>
            </w:tcMar>
          </w:tcPr>
          <w:p w14:paraId="43C6C414" w14:textId="537891CA"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4DE5E59D" w14:textId="5E12A66B" w:rsidR="00FA22F6" w:rsidRPr="00912C62" w:rsidRDefault="00A52DED" w:rsidP="0097226C">
            <w:pPr>
              <w:rPr>
                <w:color w:val="002060"/>
                <w:sz w:val="16"/>
                <w:szCs w:val="16"/>
              </w:rPr>
            </w:pPr>
            <w:r w:rsidRPr="00912C62">
              <w:rPr>
                <w:color w:val="002060"/>
                <w:sz w:val="16"/>
                <w:szCs w:val="16"/>
              </w:rPr>
              <w:t>21 pays ou organismes (au total) étaient en train de modifier ou d</w:t>
            </w:r>
            <w:r w:rsidR="00FA22F6" w:rsidRPr="00912C62">
              <w:rPr>
                <w:color w:val="002060"/>
                <w:sz w:val="16"/>
                <w:szCs w:val="16"/>
              </w:rPr>
              <w:t>’</w:t>
            </w:r>
            <w:r w:rsidRPr="00912C62">
              <w:rPr>
                <w:color w:val="002060"/>
                <w:sz w:val="16"/>
                <w:szCs w:val="16"/>
              </w:rPr>
              <w:t>adopter des cadres de référence aux fins de l</w:t>
            </w:r>
            <w:r w:rsidR="00FA22F6" w:rsidRPr="00912C62">
              <w:rPr>
                <w:color w:val="002060"/>
                <w:sz w:val="16"/>
                <w:szCs w:val="16"/>
              </w:rPr>
              <w:t>’</w:t>
            </w:r>
            <w:r w:rsidRPr="00912C62">
              <w:rPr>
                <w:color w:val="002060"/>
                <w:sz w:val="16"/>
                <w:szCs w:val="16"/>
              </w:rPr>
              <w:t>application efficace des droits de propriété intellectuelle</w:t>
            </w:r>
            <w:r w:rsidR="00FA22F6" w:rsidRPr="00912C62">
              <w:rPr>
                <w:color w:val="002060"/>
                <w:sz w:val="16"/>
                <w:szCs w:val="16"/>
              </w:rPr>
              <w:t> :</w:t>
            </w:r>
            <w:r w:rsidRPr="00912C62">
              <w:rPr>
                <w:color w:val="002060"/>
                <w:sz w:val="16"/>
                <w:szCs w:val="16"/>
              </w:rPr>
              <w:t xml:space="preserve"> Afrique (8), Asie et Pacifique (8), Amérique latine et Caraïbes (5)</w:t>
            </w:r>
          </w:p>
          <w:p w14:paraId="53AFB7E0" w14:textId="58E114C0" w:rsidR="001F64B1" w:rsidRPr="001E6DFD" w:rsidRDefault="001F64B1" w:rsidP="0097226C">
            <w:pPr>
              <w:rPr>
                <w:sz w:val="16"/>
                <w:szCs w:val="16"/>
              </w:rPr>
            </w:pPr>
          </w:p>
          <w:p w14:paraId="7909764B" w14:textId="543917CE" w:rsidR="00FA22F6" w:rsidRPr="001E6DFD" w:rsidRDefault="00E64532" w:rsidP="0097226C">
            <w:pPr>
              <w:autoSpaceDE w:val="0"/>
              <w:autoSpaceDN w:val="0"/>
              <w:adjustRightInd w:val="0"/>
              <w:rPr>
                <w:rFonts w:eastAsia="Batang"/>
                <w:i/>
                <w:sz w:val="16"/>
                <w:szCs w:val="16"/>
                <w:lang w:eastAsia="ja-JP" w:bidi="th-TH"/>
              </w:rPr>
            </w:pPr>
            <w:r w:rsidRPr="001E6DFD">
              <w:rPr>
                <w:rFonts w:eastAsia="Batang"/>
                <w:i/>
                <w:sz w:val="16"/>
                <w:szCs w:val="16"/>
                <w:lang w:eastAsia="ja-JP" w:bidi="th-TH"/>
              </w:rPr>
              <w:t>Niveau de référence initial dans le programme et budget 2016</w:t>
            </w:r>
            <w:r w:rsidR="006A41CF" w:rsidRPr="001E6DFD">
              <w:rPr>
                <w:rFonts w:eastAsia="Batang"/>
                <w:i/>
                <w:sz w:val="16"/>
                <w:szCs w:val="16"/>
                <w:lang w:eastAsia="ja-JP" w:bidi="th-TH"/>
              </w:rPr>
              <w:noBreakHyphen/>
            </w:r>
            <w:r w:rsidRPr="001E6DFD">
              <w:rPr>
                <w:rFonts w:eastAsia="Batang"/>
                <w:i/>
                <w:sz w:val="16"/>
                <w:szCs w:val="16"/>
                <w:lang w:eastAsia="ja-JP" w:bidi="th-TH"/>
              </w:rPr>
              <w:t>2017</w:t>
            </w:r>
            <w:r w:rsidR="00FA22F6" w:rsidRPr="001E6DFD">
              <w:rPr>
                <w:rFonts w:eastAsia="Batang"/>
                <w:i/>
                <w:sz w:val="16"/>
                <w:szCs w:val="16"/>
                <w:lang w:eastAsia="ja-JP" w:bidi="th-TH"/>
              </w:rPr>
              <w:t> :</w:t>
            </w:r>
          </w:p>
          <w:p w14:paraId="5ABCB16C" w14:textId="4A5F649C" w:rsidR="00BA5EA9" w:rsidRPr="001E6DFD" w:rsidRDefault="00E1631F" w:rsidP="0097226C">
            <w:pPr>
              <w:autoSpaceDE w:val="0"/>
              <w:autoSpaceDN w:val="0"/>
              <w:adjustRightInd w:val="0"/>
              <w:rPr>
                <w:rFonts w:eastAsia="Batang"/>
                <w:sz w:val="16"/>
                <w:szCs w:val="16"/>
                <w:lang w:eastAsia="ja-JP"/>
              </w:rPr>
            </w:pPr>
            <w:r w:rsidRPr="001E6DFD">
              <w:rPr>
                <w:rFonts w:eastAsia="Batang"/>
                <w:sz w:val="16"/>
                <w:szCs w:val="16"/>
                <w:lang w:eastAsia="ja-JP"/>
              </w:rPr>
              <w:t>13 pays engagés dans un processus de modification ou d</w:t>
            </w:r>
            <w:r w:rsidR="00FA22F6" w:rsidRPr="001E6DFD">
              <w:rPr>
                <w:rFonts w:eastAsia="Batang"/>
                <w:sz w:val="16"/>
                <w:szCs w:val="16"/>
                <w:lang w:eastAsia="ja-JP"/>
              </w:rPr>
              <w:t>’</w:t>
            </w:r>
            <w:r w:rsidRPr="001E6DFD">
              <w:rPr>
                <w:rFonts w:eastAsia="Batang"/>
                <w:sz w:val="16"/>
                <w:szCs w:val="16"/>
                <w:lang w:eastAsia="ja-JP"/>
              </w:rPr>
              <w:t>adoption de cadres de référence aux fins de l</w:t>
            </w:r>
            <w:r w:rsidR="00FA22F6" w:rsidRPr="001E6DFD">
              <w:rPr>
                <w:rFonts w:eastAsia="Batang"/>
                <w:sz w:val="16"/>
                <w:szCs w:val="16"/>
                <w:lang w:eastAsia="ja-JP"/>
              </w:rPr>
              <w:t>’</w:t>
            </w:r>
            <w:r w:rsidRPr="001E6DFD">
              <w:rPr>
                <w:rFonts w:eastAsia="Batang"/>
                <w:sz w:val="16"/>
                <w:szCs w:val="16"/>
                <w:lang w:eastAsia="ja-JP"/>
              </w:rPr>
              <w:t>application effective des droits de propriété intellectuelle (au 1</w:t>
            </w:r>
            <w:r w:rsidR="00FA22F6" w:rsidRPr="001E6DFD">
              <w:rPr>
                <w:rFonts w:eastAsia="Batang"/>
                <w:sz w:val="16"/>
                <w:szCs w:val="16"/>
                <w:lang w:eastAsia="ja-JP"/>
              </w:rPr>
              <w:t>5 février 20</w:t>
            </w:r>
            <w:r w:rsidRPr="001E6DFD">
              <w:rPr>
                <w:rFonts w:eastAsia="Batang"/>
                <w:sz w:val="16"/>
                <w:szCs w:val="16"/>
                <w:lang w:eastAsia="ja-JP"/>
              </w:rPr>
              <w:t>15)</w:t>
            </w:r>
            <w:r w:rsidR="00BA5EA9" w:rsidRPr="001E6DFD">
              <w:rPr>
                <w:rFonts w:eastAsia="Batang"/>
                <w:sz w:val="16"/>
                <w:szCs w:val="16"/>
                <w:lang w:eastAsia="ja-JP"/>
              </w:rPr>
              <w:t xml:space="preserve"> </w:t>
            </w:r>
          </w:p>
        </w:tc>
        <w:tc>
          <w:tcPr>
            <w:tcW w:w="731" w:type="pct"/>
            <w:shd w:val="clear" w:color="auto" w:fill="auto"/>
            <w:tcMar>
              <w:top w:w="110" w:type="dxa"/>
              <w:left w:w="58" w:type="dxa"/>
              <w:right w:w="58" w:type="dxa"/>
            </w:tcMar>
          </w:tcPr>
          <w:p w14:paraId="13EF5FAB" w14:textId="159DEAD8" w:rsidR="00BA5EA9" w:rsidRPr="001E6DFD" w:rsidRDefault="00E1631F" w:rsidP="0097226C">
            <w:pPr>
              <w:autoSpaceDE w:val="0"/>
              <w:autoSpaceDN w:val="0"/>
              <w:adjustRightInd w:val="0"/>
              <w:rPr>
                <w:rFonts w:eastAsia="Batang"/>
                <w:sz w:val="16"/>
                <w:szCs w:val="16"/>
                <w:lang w:eastAsia="ja-JP"/>
              </w:rPr>
            </w:pPr>
            <w:r w:rsidRPr="001E6DFD">
              <w:rPr>
                <w:rFonts w:eastAsia="Batang"/>
                <w:sz w:val="16"/>
                <w:szCs w:val="16"/>
                <w:lang w:eastAsia="ja-JP"/>
              </w:rPr>
              <w:t>1</w:t>
            </w:r>
            <w:r w:rsidR="00B4191E">
              <w:rPr>
                <w:rFonts w:eastAsia="Batang"/>
                <w:sz w:val="16"/>
                <w:szCs w:val="16"/>
                <w:lang w:eastAsia="ja-JP"/>
              </w:rPr>
              <w:t> </w:t>
            </w:r>
            <w:r w:rsidRPr="001E6DFD">
              <w:rPr>
                <w:rFonts w:eastAsia="Batang"/>
                <w:sz w:val="16"/>
                <w:szCs w:val="16"/>
                <w:lang w:eastAsia="ja-JP"/>
              </w:rPr>
              <w:t>pays ou organisation régionale ayant adopté ou modifié leurs cadres de référence aux fins de l</w:t>
            </w:r>
            <w:r w:rsidR="00FA22F6" w:rsidRPr="001E6DFD">
              <w:rPr>
                <w:rFonts w:eastAsia="Batang"/>
                <w:sz w:val="16"/>
                <w:szCs w:val="16"/>
                <w:lang w:eastAsia="ja-JP"/>
              </w:rPr>
              <w:t>’</w:t>
            </w:r>
            <w:r w:rsidRPr="001E6DFD">
              <w:rPr>
                <w:rFonts w:eastAsia="Batang"/>
                <w:sz w:val="16"/>
                <w:szCs w:val="16"/>
                <w:lang w:eastAsia="ja-JP"/>
              </w:rPr>
              <w:t>application effective des droits de propriété intellectuelle</w:t>
            </w:r>
            <w:r w:rsidR="00BA5EA9" w:rsidRPr="001E6DFD">
              <w:rPr>
                <w:rFonts w:eastAsia="Batang"/>
                <w:sz w:val="16"/>
                <w:szCs w:val="16"/>
                <w:lang w:eastAsia="ja-JP"/>
              </w:rPr>
              <w:t xml:space="preserve"> </w:t>
            </w:r>
          </w:p>
        </w:tc>
        <w:tc>
          <w:tcPr>
            <w:tcW w:w="1175" w:type="pct"/>
            <w:shd w:val="clear" w:color="auto" w:fill="FFFFFF"/>
            <w:tcMar>
              <w:top w:w="110" w:type="dxa"/>
              <w:left w:w="58" w:type="dxa"/>
              <w:right w:w="58" w:type="dxa"/>
            </w:tcMar>
          </w:tcPr>
          <w:p w14:paraId="6135D805" w14:textId="50229918" w:rsidR="00BA5EA9" w:rsidRPr="001E6DFD" w:rsidRDefault="00A52DED" w:rsidP="0097226C">
            <w:pPr>
              <w:rPr>
                <w:sz w:val="16"/>
                <w:szCs w:val="16"/>
              </w:rPr>
            </w:pPr>
            <w:r w:rsidRPr="001E6DFD">
              <w:rPr>
                <w:sz w:val="16"/>
                <w:szCs w:val="16"/>
              </w:rPr>
              <w:t>31</w:t>
            </w:r>
            <w:r w:rsidR="00B4191E">
              <w:rPr>
                <w:sz w:val="16"/>
                <w:szCs w:val="16"/>
              </w:rPr>
              <w:t> </w:t>
            </w:r>
            <w:r w:rsidRPr="001E6DFD">
              <w:rPr>
                <w:sz w:val="16"/>
                <w:szCs w:val="16"/>
              </w:rPr>
              <w:t>pays ou organismes (au total) étaient en train de modifier ou d</w:t>
            </w:r>
            <w:r w:rsidR="00FA22F6" w:rsidRPr="001E6DFD">
              <w:rPr>
                <w:sz w:val="16"/>
                <w:szCs w:val="16"/>
              </w:rPr>
              <w:t>’</w:t>
            </w:r>
            <w:r w:rsidRPr="001E6DFD">
              <w:rPr>
                <w:sz w:val="16"/>
                <w:szCs w:val="16"/>
              </w:rPr>
              <w:t>adopter des cadres de référence aux fins de l</w:t>
            </w:r>
            <w:r w:rsidR="00FA22F6" w:rsidRPr="001E6DFD">
              <w:rPr>
                <w:sz w:val="16"/>
                <w:szCs w:val="16"/>
              </w:rPr>
              <w:t>’</w:t>
            </w:r>
            <w:r w:rsidRPr="001E6DFD">
              <w:rPr>
                <w:sz w:val="16"/>
                <w:szCs w:val="16"/>
              </w:rPr>
              <w:t>application efficace des droits de propriété intellectuelle</w:t>
            </w:r>
            <w:r w:rsidR="00FA22F6" w:rsidRPr="001E6DFD">
              <w:rPr>
                <w:sz w:val="16"/>
                <w:szCs w:val="16"/>
              </w:rPr>
              <w:t> :</w:t>
            </w:r>
            <w:r w:rsidRPr="001E6DFD">
              <w:rPr>
                <w:sz w:val="16"/>
                <w:szCs w:val="16"/>
              </w:rPr>
              <w:t xml:space="preserve"> Afrique (12), pays arabes (2), Asie et Pacifique (10), Amérique latine et Caraïbes (6), pays en transition (1)</w:t>
            </w:r>
            <w:r w:rsidR="00BA5EA9" w:rsidRPr="001E6DFD">
              <w:rPr>
                <w:sz w:val="16"/>
                <w:szCs w:val="16"/>
              </w:rPr>
              <w:t xml:space="preserve"> </w:t>
            </w:r>
          </w:p>
        </w:tc>
        <w:tc>
          <w:tcPr>
            <w:tcW w:w="512" w:type="pct"/>
            <w:shd w:val="clear" w:color="auto" w:fill="auto"/>
            <w:tcMar>
              <w:top w:w="110" w:type="dxa"/>
              <w:left w:w="58" w:type="dxa"/>
              <w:right w:w="58" w:type="dxa"/>
            </w:tcMar>
          </w:tcPr>
          <w:p w14:paraId="69AD1ACB"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0A61A839" w14:textId="77777777" w:rsidTr="005C716A">
        <w:tc>
          <w:tcPr>
            <w:tcW w:w="1072" w:type="pct"/>
            <w:shd w:val="clear" w:color="auto" w:fill="auto"/>
            <w:tcMar>
              <w:left w:w="58" w:type="dxa"/>
              <w:right w:w="58" w:type="dxa"/>
            </w:tcMar>
          </w:tcPr>
          <w:p w14:paraId="16A6E872" w14:textId="098A885C" w:rsidR="00BA5EA9" w:rsidRPr="001E6DFD" w:rsidRDefault="00A52DED" w:rsidP="0097226C">
            <w:pPr>
              <w:autoSpaceDE w:val="0"/>
              <w:autoSpaceDN w:val="0"/>
              <w:adjustRightInd w:val="0"/>
              <w:rPr>
                <w:rFonts w:eastAsia="Batang"/>
                <w:sz w:val="16"/>
                <w:szCs w:val="16"/>
                <w:lang w:eastAsia="ja-JP"/>
              </w:rPr>
            </w:pPr>
            <w:r w:rsidRPr="001E6DFD">
              <w:rPr>
                <w:rFonts w:eastAsia="Batang"/>
                <w:sz w:val="16"/>
                <w:szCs w:val="16"/>
                <w:lang w:eastAsia="ja-JP"/>
              </w:rPr>
              <w:t>Nombre de pays ayant adopté ou mis en œuvre une stratégie nationale de promotion du respect de la propriété intellectuelle, ou étant engagés dans un tel processus, avec l</w:t>
            </w:r>
            <w:r w:rsidR="00FA22F6" w:rsidRPr="001E6DFD">
              <w:rPr>
                <w:rFonts w:eastAsia="Batang"/>
                <w:sz w:val="16"/>
                <w:szCs w:val="16"/>
                <w:lang w:eastAsia="ja-JP"/>
              </w:rPr>
              <w:t>’</w:t>
            </w:r>
            <w:r w:rsidRPr="001E6DFD">
              <w:rPr>
                <w:rFonts w:eastAsia="Batang"/>
                <w:sz w:val="16"/>
                <w:szCs w:val="16"/>
                <w:lang w:eastAsia="ja-JP"/>
              </w:rPr>
              <w:t>assistance de l</w:t>
            </w:r>
            <w:r w:rsidR="00FA22F6" w:rsidRPr="001E6DFD">
              <w:rPr>
                <w:rFonts w:eastAsia="Batang"/>
                <w:sz w:val="16"/>
                <w:szCs w:val="16"/>
                <w:lang w:eastAsia="ja-JP"/>
              </w:rPr>
              <w:t>’</w:t>
            </w:r>
            <w:r w:rsidRPr="001E6DFD">
              <w:rPr>
                <w:rFonts w:eastAsia="Batang"/>
                <w:sz w:val="16"/>
                <w:szCs w:val="16"/>
                <w:lang w:eastAsia="ja-JP"/>
              </w:rPr>
              <w:t>OMPI</w:t>
            </w:r>
            <w:r w:rsidR="00BA5EA9" w:rsidRPr="001E6DFD">
              <w:rPr>
                <w:rFonts w:eastAsia="Batang"/>
                <w:sz w:val="16"/>
                <w:szCs w:val="16"/>
                <w:lang w:eastAsia="ja-JP"/>
              </w:rPr>
              <w:t xml:space="preserve"> </w:t>
            </w:r>
          </w:p>
        </w:tc>
        <w:tc>
          <w:tcPr>
            <w:tcW w:w="1510" w:type="pct"/>
            <w:shd w:val="clear" w:color="auto" w:fill="auto"/>
            <w:tcMar>
              <w:left w:w="58" w:type="dxa"/>
              <w:right w:w="58" w:type="dxa"/>
            </w:tcMar>
          </w:tcPr>
          <w:p w14:paraId="1C300C9F" w14:textId="7EA824CC" w:rsidR="00BA5EA9" w:rsidRPr="001E6DFD" w:rsidRDefault="00A52DED" w:rsidP="0097226C">
            <w:pPr>
              <w:autoSpaceDE w:val="0"/>
              <w:autoSpaceDN w:val="0"/>
              <w:adjustRightInd w:val="0"/>
              <w:rPr>
                <w:rFonts w:eastAsia="Batang"/>
                <w:sz w:val="16"/>
                <w:szCs w:val="16"/>
                <w:lang w:eastAsia="ja-JP"/>
              </w:rPr>
            </w:pPr>
            <w:r w:rsidRPr="001E6DFD">
              <w:rPr>
                <w:rFonts w:eastAsia="Batang"/>
                <w:sz w:val="16"/>
                <w:szCs w:val="16"/>
                <w:lang w:eastAsia="ja-JP"/>
              </w:rPr>
              <w:t>2</w:t>
            </w:r>
            <w:r w:rsidR="00B4191E">
              <w:rPr>
                <w:rFonts w:eastAsia="Batang"/>
                <w:sz w:val="16"/>
                <w:szCs w:val="16"/>
                <w:lang w:eastAsia="ja-JP"/>
              </w:rPr>
              <w:t> </w:t>
            </w:r>
            <w:r w:rsidRPr="001E6DFD">
              <w:rPr>
                <w:rFonts w:eastAsia="Batang"/>
                <w:sz w:val="16"/>
                <w:szCs w:val="16"/>
                <w:lang w:eastAsia="ja-JP"/>
              </w:rPr>
              <w:t>pays engagés dans un processus d</w:t>
            </w:r>
            <w:r w:rsidR="00FA22F6" w:rsidRPr="001E6DFD">
              <w:rPr>
                <w:rFonts w:eastAsia="Batang"/>
                <w:sz w:val="16"/>
                <w:szCs w:val="16"/>
                <w:lang w:eastAsia="ja-JP"/>
              </w:rPr>
              <w:t>’</w:t>
            </w:r>
            <w:r w:rsidRPr="001E6DFD">
              <w:rPr>
                <w:rFonts w:eastAsia="Batang"/>
                <w:sz w:val="16"/>
                <w:szCs w:val="16"/>
                <w:lang w:eastAsia="ja-JP"/>
              </w:rPr>
              <w:t>adoption d</w:t>
            </w:r>
            <w:r w:rsidR="00FA22F6" w:rsidRPr="001E6DFD">
              <w:rPr>
                <w:rFonts w:eastAsia="Batang"/>
                <w:sz w:val="16"/>
                <w:szCs w:val="16"/>
                <w:lang w:eastAsia="ja-JP"/>
              </w:rPr>
              <w:t>’</w:t>
            </w:r>
            <w:r w:rsidRPr="001E6DFD">
              <w:rPr>
                <w:rFonts w:eastAsia="Batang"/>
                <w:sz w:val="16"/>
                <w:szCs w:val="16"/>
                <w:lang w:eastAsia="ja-JP"/>
              </w:rPr>
              <w:t>une telle stratégie</w:t>
            </w:r>
            <w:r w:rsidR="00BA5EA9" w:rsidRPr="001E6DFD">
              <w:rPr>
                <w:rFonts w:eastAsia="Batang"/>
                <w:sz w:val="16"/>
                <w:szCs w:val="16"/>
                <w:lang w:eastAsia="ja-JP"/>
              </w:rPr>
              <w:t xml:space="preserve"> </w:t>
            </w:r>
          </w:p>
        </w:tc>
        <w:tc>
          <w:tcPr>
            <w:tcW w:w="731" w:type="pct"/>
            <w:shd w:val="clear" w:color="auto" w:fill="auto"/>
            <w:tcMar>
              <w:top w:w="110" w:type="dxa"/>
              <w:left w:w="58" w:type="dxa"/>
              <w:right w:w="58" w:type="dxa"/>
            </w:tcMar>
          </w:tcPr>
          <w:p w14:paraId="1A70E47C" w14:textId="4E1CA5F5" w:rsidR="00FA22F6" w:rsidRPr="00912C62" w:rsidRDefault="00AC7D97" w:rsidP="0097226C">
            <w:pPr>
              <w:autoSpaceDE w:val="0"/>
              <w:autoSpaceDN w:val="0"/>
              <w:adjustRightInd w:val="0"/>
              <w:rPr>
                <w:rFonts w:eastAsia="Batang"/>
                <w:i/>
                <w:color w:val="002060"/>
                <w:sz w:val="16"/>
                <w:szCs w:val="16"/>
                <w:lang w:eastAsia="ja-JP"/>
              </w:rPr>
            </w:pPr>
            <w:r w:rsidRPr="00912C62">
              <w:rPr>
                <w:rFonts w:eastAsia="Batang"/>
                <w:i/>
                <w:color w:val="002060"/>
                <w:sz w:val="16"/>
                <w:szCs w:val="16"/>
                <w:lang w:eastAsia="ja-JP"/>
              </w:rPr>
              <w:t>Objectif actualisé</w:t>
            </w:r>
            <w:r w:rsidR="00FA22F6" w:rsidRPr="00912C62">
              <w:rPr>
                <w:rFonts w:eastAsia="Batang"/>
                <w:i/>
                <w:color w:val="002060"/>
                <w:sz w:val="16"/>
                <w:szCs w:val="16"/>
                <w:lang w:eastAsia="ja-JP"/>
              </w:rPr>
              <w:t> :</w:t>
            </w:r>
          </w:p>
          <w:p w14:paraId="7478901E" w14:textId="57AE039C" w:rsidR="001F64B1" w:rsidRPr="00912C62" w:rsidRDefault="00DE7519" w:rsidP="0097226C">
            <w:pPr>
              <w:autoSpaceDE w:val="0"/>
              <w:autoSpaceDN w:val="0"/>
              <w:adjustRightInd w:val="0"/>
              <w:rPr>
                <w:rFonts w:eastAsia="Batang"/>
                <w:color w:val="002060"/>
                <w:sz w:val="16"/>
                <w:szCs w:val="16"/>
                <w:lang w:eastAsia="ja-JP"/>
              </w:rPr>
            </w:pPr>
            <w:r w:rsidRPr="00912C62">
              <w:rPr>
                <w:rFonts w:eastAsia="Batang"/>
                <w:color w:val="002060"/>
                <w:sz w:val="16"/>
                <w:szCs w:val="16"/>
                <w:lang w:eastAsia="ja-JP"/>
              </w:rPr>
              <w:t>2 pays on</w:t>
            </w:r>
            <w:r w:rsidR="006E3394" w:rsidRPr="00912C62">
              <w:rPr>
                <w:rFonts w:eastAsia="Batang"/>
                <w:color w:val="002060"/>
                <w:sz w:val="16"/>
                <w:szCs w:val="16"/>
                <w:lang w:eastAsia="ja-JP"/>
              </w:rPr>
              <w:t>t adopté une telle stratégie</w:t>
            </w:r>
            <w:r w:rsidR="007B71B9" w:rsidRPr="00912C62">
              <w:rPr>
                <w:rFonts w:eastAsia="Batang"/>
                <w:color w:val="002060"/>
                <w:sz w:val="16"/>
                <w:szCs w:val="16"/>
                <w:lang w:eastAsia="ja-JP"/>
              </w:rPr>
              <w:t xml:space="preserve"> au cours de l</w:t>
            </w:r>
            <w:r w:rsidR="00FA22F6" w:rsidRPr="00912C62">
              <w:rPr>
                <w:rFonts w:eastAsia="Batang"/>
                <w:color w:val="002060"/>
                <w:sz w:val="16"/>
                <w:szCs w:val="16"/>
                <w:lang w:eastAsia="ja-JP"/>
              </w:rPr>
              <w:t>’</w:t>
            </w:r>
            <w:r w:rsidR="007B71B9" w:rsidRPr="00912C62">
              <w:rPr>
                <w:rFonts w:eastAsia="Batang"/>
                <w:color w:val="002060"/>
                <w:sz w:val="16"/>
                <w:szCs w:val="16"/>
                <w:lang w:eastAsia="ja-JP"/>
              </w:rPr>
              <w:t>exercice biennal</w:t>
            </w:r>
          </w:p>
          <w:p w14:paraId="503DD47F" w14:textId="77777777" w:rsidR="001F64B1" w:rsidRPr="001E6DFD" w:rsidRDefault="001F64B1" w:rsidP="0097226C">
            <w:pPr>
              <w:autoSpaceDE w:val="0"/>
              <w:autoSpaceDN w:val="0"/>
              <w:adjustRightInd w:val="0"/>
              <w:rPr>
                <w:rFonts w:eastAsia="Batang"/>
                <w:sz w:val="16"/>
                <w:szCs w:val="16"/>
                <w:lang w:eastAsia="ja-JP"/>
              </w:rPr>
            </w:pPr>
          </w:p>
          <w:p w14:paraId="17278353" w14:textId="6AE3DA74" w:rsidR="00FA22F6" w:rsidRPr="001E6DFD" w:rsidRDefault="00AC7D97" w:rsidP="0097226C">
            <w:pPr>
              <w:autoSpaceDE w:val="0"/>
              <w:autoSpaceDN w:val="0"/>
              <w:adjustRightInd w:val="0"/>
              <w:rPr>
                <w:rFonts w:eastAsia="Batang"/>
                <w:i/>
                <w:sz w:val="16"/>
                <w:szCs w:val="16"/>
                <w:lang w:eastAsia="ja-JP"/>
              </w:rPr>
            </w:pPr>
            <w:r w:rsidRPr="001E6DFD">
              <w:rPr>
                <w:rFonts w:eastAsia="Batang"/>
                <w:i/>
                <w:sz w:val="16"/>
                <w:szCs w:val="16"/>
                <w:lang w:eastAsia="ja-JP"/>
              </w:rPr>
              <w:t>Objectif initial dans le programme et budget 2016</w:t>
            </w:r>
            <w:r w:rsidR="006A41CF" w:rsidRPr="001E6DFD">
              <w:rPr>
                <w:rFonts w:eastAsia="Batang"/>
                <w:i/>
                <w:sz w:val="16"/>
                <w:szCs w:val="16"/>
                <w:lang w:eastAsia="ja-JP"/>
              </w:rPr>
              <w:noBreakHyphen/>
            </w:r>
            <w:r w:rsidRPr="001E6DFD">
              <w:rPr>
                <w:rFonts w:eastAsia="Batang"/>
                <w:i/>
                <w:sz w:val="16"/>
                <w:szCs w:val="16"/>
                <w:lang w:eastAsia="ja-JP"/>
              </w:rPr>
              <w:t>2017</w:t>
            </w:r>
            <w:r w:rsidR="00FA22F6" w:rsidRPr="001E6DFD">
              <w:rPr>
                <w:rFonts w:eastAsia="Batang"/>
                <w:i/>
                <w:sz w:val="16"/>
                <w:szCs w:val="16"/>
                <w:lang w:eastAsia="ja-JP"/>
              </w:rPr>
              <w:t> :</w:t>
            </w:r>
          </w:p>
          <w:p w14:paraId="0279024A" w14:textId="7B0C04F7" w:rsidR="00BA5EA9" w:rsidRPr="001E6DFD" w:rsidRDefault="00A52DED" w:rsidP="0097226C">
            <w:pPr>
              <w:autoSpaceDE w:val="0"/>
              <w:autoSpaceDN w:val="0"/>
              <w:adjustRightInd w:val="0"/>
              <w:rPr>
                <w:rFonts w:eastAsia="Batang"/>
                <w:sz w:val="16"/>
                <w:szCs w:val="16"/>
                <w:lang w:eastAsia="ja-JP"/>
              </w:rPr>
            </w:pPr>
            <w:r w:rsidRPr="001E6DFD">
              <w:rPr>
                <w:rFonts w:eastAsia="Batang"/>
                <w:sz w:val="16"/>
                <w:szCs w:val="16"/>
                <w:lang w:eastAsia="ja-JP"/>
              </w:rPr>
              <w:t>2 pays ayant adopté une telle stratégie</w:t>
            </w:r>
          </w:p>
        </w:tc>
        <w:tc>
          <w:tcPr>
            <w:tcW w:w="1175" w:type="pct"/>
            <w:shd w:val="clear" w:color="auto" w:fill="FFFFFF"/>
            <w:tcMar>
              <w:top w:w="110" w:type="dxa"/>
              <w:left w:w="58" w:type="dxa"/>
              <w:right w:w="58" w:type="dxa"/>
            </w:tcMar>
          </w:tcPr>
          <w:p w14:paraId="477FE9C7" w14:textId="50C8E2EE" w:rsidR="00FA22F6" w:rsidRPr="00912C62" w:rsidRDefault="006A41CF" w:rsidP="006A41CF">
            <w:pPr>
              <w:keepNext/>
              <w:keepLines/>
              <w:rPr>
                <w:sz w:val="16"/>
                <w:szCs w:val="16"/>
              </w:rPr>
            </w:pPr>
            <w:r w:rsidRPr="00912C62">
              <w:rPr>
                <w:sz w:val="16"/>
                <w:szCs w:val="16"/>
              </w:rPr>
              <w:t xml:space="preserve">– </w:t>
            </w:r>
            <w:r w:rsidR="00BA5EA9" w:rsidRPr="00912C62">
              <w:rPr>
                <w:sz w:val="16"/>
                <w:szCs w:val="16"/>
              </w:rPr>
              <w:t xml:space="preserve">1 </w:t>
            </w:r>
            <w:r w:rsidR="00FB4AAC" w:rsidRPr="00912C62">
              <w:rPr>
                <w:sz w:val="16"/>
                <w:szCs w:val="16"/>
              </w:rPr>
              <w:t>pays</w:t>
            </w:r>
            <w:r w:rsidR="00BA5EA9" w:rsidRPr="00912C62">
              <w:rPr>
                <w:sz w:val="16"/>
                <w:szCs w:val="16"/>
              </w:rPr>
              <w:t xml:space="preserve"> (</w:t>
            </w:r>
            <w:r w:rsidR="009B6E8D" w:rsidRPr="00912C62">
              <w:rPr>
                <w:sz w:val="16"/>
                <w:szCs w:val="16"/>
              </w:rPr>
              <w:t>Lettonie</w:t>
            </w:r>
            <w:r w:rsidR="00BA5EA9" w:rsidRPr="00912C62">
              <w:rPr>
                <w:sz w:val="16"/>
                <w:szCs w:val="16"/>
              </w:rPr>
              <w:t xml:space="preserve">) </w:t>
            </w:r>
            <w:r w:rsidR="00FB4AAC" w:rsidRPr="00912C62">
              <w:rPr>
                <w:sz w:val="16"/>
                <w:szCs w:val="16"/>
              </w:rPr>
              <w:t>était dans les dernières étapes du processus d</w:t>
            </w:r>
            <w:r w:rsidR="00FA22F6" w:rsidRPr="00912C62">
              <w:rPr>
                <w:sz w:val="16"/>
                <w:szCs w:val="16"/>
              </w:rPr>
              <w:t>’</w:t>
            </w:r>
            <w:r w:rsidR="00FB4AAC" w:rsidRPr="00912C62">
              <w:rPr>
                <w:sz w:val="16"/>
                <w:szCs w:val="16"/>
              </w:rPr>
              <w:t>adoption d</w:t>
            </w:r>
            <w:r w:rsidR="00FA22F6" w:rsidRPr="00912C62">
              <w:rPr>
                <w:rFonts w:eastAsia="Batang"/>
                <w:sz w:val="16"/>
                <w:szCs w:val="16"/>
              </w:rPr>
              <w:t>’</w:t>
            </w:r>
            <w:r w:rsidR="00FB4AAC" w:rsidRPr="00912C62">
              <w:rPr>
                <w:sz w:val="16"/>
                <w:szCs w:val="16"/>
              </w:rPr>
              <w:t>une stratégie nationale de promotion du respect de la propriété intellectuelle</w:t>
            </w:r>
            <w:r w:rsidR="00BA5EA9" w:rsidRPr="00912C62">
              <w:rPr>
                <w:sz w:val="16"/>
                <w:szCs w:val="16"/>
              </w:rPr>
              <w:t>;</w:t>
            </w:r>
          </w:p>
          <w:p w14:paraId="50EB94F0" w14:textId="6830FCCF" w:rsidR="00FA22F6" w:rsidRPr="00912C62" w:rsidRDefault="006A41CF" w:rsidP="006A41CF">
            <w:pPr>
              <w:keepNext/>
              <w:keepLines/>
              <w:rPr>
                <w:sz w:val="16"/>
                <w:szCs w:val="16"/>
              </w:rPr>
            </w:pPr>
            <w:r w:rsidRPr="00912C62">
              <w:rPr>
                <w:sz w:val="16"/>
                <w:szCs w:val="16"/>
              </w:rPr>
              <w:t xml:space="preserve">– </w:t>
            </w:r>
            <w:r w:rsidR="00BA5EA9" w:rsidRPr="00912C62">
              <w:rPr>
                <w:sz w:val="16"/>
                <w:szCs w:val="16"/>
              </w:rPr>
              <w:t xml:space="preserve">1 </w:t>
            </w:r>
            <w:r w:rsidR="00FB4AAC" w:rsidRPr="00912C62">
              <w:rPr>
                <w:sz w:val="16"/>
                <w:szCs w:val="16"/>
              </w:rPr>
              <w:t xml:space="preserve">pays </w:t>
            </w:r>
            <w:r w:rsidR="00BA5EA9" w:rsidRPr="00912C62">
              <w:rPr>
                <w:sz w:val="16"/>
                <w:szCs w:val="16"/>
              </w:rPr>
              <w:t>(Namibi</w:t>
            </w:r>
            <w:r w:rsidR="009B6E8D" w:rsidRPr="00912C62">
              <w:rPr>
                <w:sz w:val="16"/>
                <w:szCs w:val="16"/>
              </w:rPr>
              <w:t>e</w:t>
            </w:r>
            <w:r w:rsidR="00BA5EA9" w:rsidRPr="00912C62">
              <w:rPr>
                <w:sz w:val="16"/>
                <w:szCs w:val="16"/>
              </w:rPr>
              <w:t xml:space="preserve">) </w:t>
            </w:r>
            <w:r w:rsidR="00FB4AAC" w:rsidRPr="00912C62">
              <w:rPr>
                <w:sz w:val="16"/>
                <w:szCs w:val="16"/>
              </w:rPr>
              <w:t>mettait en œuvre une stratégie nationale de promotion du respect de la propriété intellectuelle</w:t>
            </w:r>
            <w:r w:rsidR="00BA5EA9" w:rsidRPr="00912C62">
              <w:rPr>
                <w:sz w:val="16"/>
                <w:szCs w:val="16"/>
              </w:rPr>
              <w:t>;</w:t>
            </w:r>
          </w:p>
          <w:p w14:paraId="28485B92" w14:textId="3A3CEDB1" w:rsidR="00BA5EA9" w:rsidRPr="00912C62" w:rsidRDefault="006A41CF" w:rsidP="006A41CF">
            <w:pPr>
              <w:keepNext/>
              <w:keepLines/>
              <w:rPr>
                <w:sz w:val="16"/>
                <w:szCs w:val="16"/>
              </w:rPr>
            </w:pPr>
            <w:r w:rsidRPr="00912C62">
              <w:rPr>
                <w:sz w:val="16"/>
                <w:szCs w:val="16"/>
              </w:rPr>
              <w:t xml:space="preserve">– </w:t>
            </w:r>
            <w:r w:rsidR="00BA5EA9" w:rsidRPr="00912C62">
              <w:rPr>
                <w:sz w:val="16"/>
                <w:szCs w:val="16"/>
              </w:rPr>
              <w:t xml:space="preserve">1 </w:t>
            </w:r>
            <w:r w:rsidR="00EC6B24" w:rsidRPr="00912C62">
              <w:rPr>
                <w:sz w:val="16"/>
                <w:szCs w:val="16"/>
              </w:rPr>
              <w:t xml:space="preserve">pays </w:t>
            </w:r>
            <w:r w:rsidR="00BA5EA9" w:rsidRPr="00912C62">
              <w:rPr>
                <w:sz w:val="16"/>
                <w:szCs w:val="16"/>
              </w:rPr>
              <w:t xml:space="preserve">(Kiribati) </w:t>
            </w:r>
            <w:r w:rsidR="00EC6B24" w:rsidRPr="00912C62">
              <w:rPr>
                <w:sz w:val="16"/>
                <w:szCs w:val="16"/>
              </w:rPr>
              <w:t>recevait l</w:t>
            </w:r>
            <w:r w:rsidR="00FA22F6" w:rsidRPr="00912C62">
              <w:rPr>
                <w:sz w:val="16"/>
                <w:szCs w:val="16"/>
              </w:rPr>
              <w:t>’</w:t>
            </w:r>
            <w:r w:rsidR="00EC6B24" w:rsidRPr="00912C62">
              <w:rPr>
                <w:sz w:val="16"/>
                <w:szCs w:val="16"/>
              </w:rPr>
              <w:t>assistance de l</w:t>
            </w:r>
            <w:r w:rsidR="00FA22F6" w:rsidRPr="00912C62">
              <w:rPr>
                <w:sz w:val="16"/>
                <w:szCs w:val="16"/>
              </w:rPr>
              <w:t>’</w:t>
            </w:r>
            <w:r w:rsidR="00EC6B24" w:rsidRPr="00912C62">
              <w:rPr>
                <w:sz w:val="16"/>
                <w:szCs w:val="16"/>
              </w:rPr>
              <w:t>OMPI pour la rédaction d</w:t>
            </w:r>
            <w:r w:rsidR="00FA22F6" w:rsidRPr="00912C62">
              <w:rPr>
                <w:sz w:val="16"/>
                <w:szCs w:val="16"/>
              </w:rPr>
              <w:t>’</w:t>
            </w:r>
            <w:r w:rsidR="00EC6B24" w:rsidRPr="00912C62">
              <w:rPr>
                <w:sz w:val="16"/>
                <w:szCs w:val="16"/>
              </w:rPr>
              <w:t>une stratégie nationale de promotion du respect de la propriété intellectuelle</w:t>
            </w:r>
            <w:r w:rsidR="00BA5EA9" w:rsidRPr="00912C62">
              <w:rPr>
                <w:sz w:val="16"/>
                <w:szCs w:val="16"/>
              </w:rPr>
              <w:t xml:space="preserve"> </w:t>
            </w:r>
          </w:p>
        </w:tc>
        <w:tc>
          <w:tcPr>
            <w:tcW w:w="512" w:type="pct"/>
            <w:shd w:val="clear" w:color="auto" w:fill="auto"/>
            <w:tcMar>
              <w:top w:w="110" w:type="dxa"/>
              <w:left w:w="58" w:type="dxa"/>
              <w:right w:w="58" w:type="dxa"/>
            </w:tcMar>
          </w:tcPr>
          <w:p w14:paraId="7AEDA862"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30BFCA3B" w14:textId="77777777" w:rsidTr="005C716A">
        <w:tc>
          <w:tcPr>
            <w:tcW w:w="5000" w:type="pct"/>
            <w:gridSpan w:val="5"/>
            <w:shd w:val="clear" w:color="auto" w:fill="C6D9F1" w:themeFill="text2" w:themeFillTint="33"/>
            <w:tcMar>
              <w:left w:w="58" w:type="dxa"/>
              <w:right w:w="58" w:type="dxa"/>
            </w:tcMar>
            <w:vAlign w:val="center"/>
          </w:tcPr>
          <w:p w14:paraId="5F7F467B" w14:textId="5BEDDCEF" w:rsidR="00BA5EA9" w:rsidRPr="001E6DFD" w:rsidRDefault="00B52D48" w:rsidP="0097226C">
            <w:pPr>
              <w:keepNext/>
              <w:keepLines/>
              <w:tabs>
                <w:tab w:val="left" w:pos="1452"/>
              </w:tabs>
              <w:rPr>
                <w:sz w:val="16"/>
                <w:szCs w:val="16"/>
              </w:rPr>
            </w:pPr>
            <w:r w:rsidRPr="001E6DFD">
              <w:rPr>
                <w:b/>
                <w:sz w:val="16"/>
                <w:szCs w:val="16"/>
              </w:rPr>
              <w:lastRenderedPageBreak/>
              <w:t>Résultat escompté</w:t>
            </w:r>
            <w:r w:rsidR="00FA22F6" w:rsidRPr="001E6DFD">
              <w:rPr>
                <w:b/>
                <w:sz w:val="16"/>
                <w:szCs w:val="16"/>
              </w:rPr>
              <w:t> :</w:t>
            </w:r>
            <w:r w:rsidRPr="001E6DFD">
              <w:rPr>
                <w:sz w:val="16"/>
                <w:szCs w:val="16"/>
              </w:rPr>
              <w:t xml:space="preserve"> III.2 Renforcement des capacités en matière de ressources humaines pour pouvoir répondre aux nombreuses exigences en ce qui concerne l</w:t>
            </w:r>
            <w:r w:rsidR="00FA22F6" w:rsidRPr="001E6DFD">
              <w:rPr>
                <w:sz w:val="16"/>
                <w:szCs w:val="16"/>
              </w:rPr>
              <w:t>’</w:t>
            </w:r>
            <w:r w:rsidRPr="001E6DFD">
              <w:rPr>
                <w:sz w:val="16"/>
                <w:szCs w:val="16"/>
              </w:rPr>
              <w:t>utilisation efficace de la propriété intellectuelle au service du développement dans les pays en développement,</w:t>
            </w:r>
            <w:r w:rsidR="00FA22F6" w:rsidRPr="001E6DFD">
              <w:rPr>
                <w:sz w:val="16"/>
                <w:szCs w:val="16"/>
              </w:rPr>
              <w:t xml:space="preserve"> les PMA</w:t>
            </w:r>
            <w:r w:rsidRPr="001E6DFD">
              <w:rPr>
                <w:sz w:val="16"/>
                <w:szCs w:val="16"/>
              </w:rPr>
              <w:t xml:space="preserve"> et les pays en transition.</w:t>
            </w:r>
            <w:r w:rsidR="00BA5EA9" w:rsidRPr="001E6DFD">
              <w:rPr>
                <w:sz w:val="16"/>
                <w:szCs w:val="16"/>
              </w:rPr>
              <w:t xml:space="preserve"> </w:t>
            </w:r>
            <w:r w:rsidR="004D421A" w:rsidRPr="001E6DFD">
              <w:rPr>
                <w:sz w:val="16"/>
                <w:szCs w:val="16"/>
              </w:rPr>
              <w:t xml:space="preserve"> </w:t>
            </w:r>
          </w:p>
        </w:tc>
      </w:tr>
      <w:tr w:rsidR="00BA5EA9" w:rsidRPr="001E6DFD" w14:paraId="40C823F5" w14:textId="77777777" w:rsidTr="005C716A">
        <w:tc>
          <w:tcPr>
            <w:tcW w:w="1072" w:type="pct"/>
            <w:shd w:val="clear" w:color="auto" w:fill="auto"/>
            <w:tcMar>
              <w:left w:w="58" w:type="dxa"/>
              <w:right w:w="58" w:type="dxa"/>
            </w:tcMar>
            <w:vAlign w:val="center"/>
          </w:tcPr>
          <w:p w14:paraId="48BE0257" w14:textId="76DEE8EC" w:rsidR="00BA5EA9" w:rsidRPr="001E6DFD" w:rsidRDefault="00B52D48" w:rsidP="0097226C">
            <w:pPr>
              <w:keepNext/>
              <w:keepLines/>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10" w:type="pct"/>
            <w:shd w:val="clear" w:color="auto" w:fill="auto"/>
            <w:tcMar>
              <w:left w:w="58" w:type="dxa"/>
              <w:right w:w="58" w:type="dxa"/>
            </w:tcMar>
            <w:vAlign w:val="center"/>
          </w:tcPr>
          <w:p w14:paraId="3C6C9354" w14:textId="77777777" w:rsidR="00BA5EA9" w:rsidRPr="001E6DFD" w:rsidRDefault="00B52D48" w:rsidP="0097226C">
            <w:pPr>
              <w:keepNext/>
              <w:keepLines/>
              <w:jc w:val="center"/>
              <w:rPr>
                <w:b/>
                <w:bCs/>
                <w:sz w:val="16"/>
                <w:szCs w:val="16"/>
              </w:rPr>
            </w:pPr>
            <w:r w:rsidRPr="001E6DFD">
              <w:rPr>
                <w:b/>
                <w:bCs/>
                <w:sz w:val="16"/>
                <w:szCs w:val="16"/>
              </w:rPr>
              <w:t>Niveaux de référence</w:t>
            </w:r>
          </w:p>
        </w:tc>
        <w:tc>
          <w:tcPr>
            <w:tcW w:w="731" w:type="pct"/>
            <w:shd w:val="clear" w:color="auto" w:fill="auto"/>
            <w:tcMar>
              <w:top w:w="110" w:type="dxa"/>
              <w:left w:w="58" w:type="dxa"/>
              <w:right w:w="58" w:type="dxa"/>
            </w:tcMar>
            <w:vAlign w:val="center"/>
          </w:tcPr>
          <w:p w14:paraId="2C5CE18C" w14:textId="77777777" w:rsidR="00BA5EA9" w:rsidRPr="001E6DFD" w:rsidRDefault="00B52D48" w:rsidP="0097226C">
            <w:pPr>
              <w:keepNext/>
              <w:keepLines/>
              <w:jc w:val="center"/>
              <w:rPr>
                <w:b/>
                <w:bCs/>
                <w:sz w:val="16"/>
                <w:szCs w:val="16"/>
              </w:rPr>
            </w:pPr>
            <w:r w:rsidRPr="001E6DFD">
              <w:rPr>
                <w:b/>
                <w:bCs/>
                <w:sz w:val="16"/>
                <w:szCs w:val="16"/>
              </w:rPr>
              <w:t>Objectifs visés</w:t>
            </w:r>
          </w:p>
        </w:tc>
        <w:tc>
          <w:tcPr>
            <w:tcW w:w="1175" w:type="pct"/>
            <w:shd w:val="clear" w:color="auto" w:fill="FFFFFF"/>
            <w:tcMar>
              <w:top w:w="110" w:type="dxa"/>
              <w:left w:w="58" w:type="dxa"/>
              <w:right w:w="58" w:type="dxa"/>
            </w:tcMar>
            <w:vAlign w:val="center"/>
          </w:tcPr>
          <w:p w14:paraId="02457E25" w14:textId="24983F7F" w:rsidR="00BA5EA9" w:rsidRPr="001E6DFD" w:rsidRDefault="00B52D48" w:rsidP="0097226C">
            <w:pPr>
              <w:keepNext/>
              <w:keepLines/>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shd w:val="clear" w:color="auto" w:fill="auto"/>
            <w:tcMar>
              <w:top w:w="110" w:type="dxa"/>
              <w:left w:w="58" w:type="dxa"/>
              <w:right w:w="58" w:type="dxa"/>
            </w:tcMar>
            <w:vAlign w:val="center"/>
          </w:tcPr>
          <w:p w14:paraId="3F051374" w14:textId="4FE6CE48"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1DB524E1" w14:textId="77777777" w:rsidTr="005C716A">
        <w:tc>
          <w:tcPr>
            <w:tcW w:w="1072" w:type="pct"/>
            <w:shd w:val="clear" w:color="auto" w:fill="auto"/>
            <w:tcMar>
              <w:left w:w="58" w:type="dxa"/>
              <w:right w:w="58" w:type="dxa"/>
            </w:tcMar>
          </w:tcPr>
          <w:p w14:paraId="59183E2D" w14:textId="184F99AD" w:rsidR="00BA5EA9" w:rsidRPr="001E6DFD" w:rsidRDefault="00B52D48" w:rsidP="0097226C">
            <w:pPr>
              <w:keepNext/>
              <w:keepLines/>
              <w:autoSpaceDE w:val="0"/>
              <w:autoSpaceDN w:val="0"/>
              <w:adjustRightInd w:val="0"/>
              <w:rPr>
                <w:rFonts w:eastAsia="Batang"/>
                <w:sz w:val="16"/>
                <w:szCs w:val="16"/>
                <w:lang w:eastAsia="ja-JP"/>
              </w:rPr>
            </w:pPr>
            <w:r w:rsidRPr="001E6DFD">
              <w:rPr>
                <w:rFonts w:eastAsia="Batang"/>
                <w:sz w:val="16"/>
                <w:szCs w:val="16"/>
                <w:lang w:eastAsia="ja-JP"/>
              </w:rPr>
              <w:t>Pourcentage de participants formés faisant état de leur satisfaction quant à l</w:t>
            </w:r>
            <w:r w:rsidR="00FA22F6" w:rsidRPr="001E6DFD">
              <w:rPr>
                <w:rFonts w:eastAsia="Batang"/>
                <w:sz w:val="16"/>
                <w:szCs w:val="16"/>
                <w:lang w:eastAsia="ja-JP"/>
              </w:rPr>
              <w:t>’</w:t>
            </w:r>
            <w:r w:rsidRPr="001E6DFD">
              <w:rPr>
                <w:rFonts w:eastAsia="Batang"/>
                <w:sz w:val="16"/>
                <w:szCs w:val="16"/>
                <w:lang w:eastAsia="ja-JP"/>
              </w:rPr>
              <w:t>utilité de la formation reçue et à sa pertinence pour l</w:t>
            </w:r>
            <w:r w:rsidR="00FA22F6" w:rsidRPr="001E6DFD">
              <w:rPr>
                <w:rFonts w:eastAsia="Batang"/>
                <w:sz w:val="16"/>
                <w:szCs w:val="16"/>
                <w:lang w:eastAsia="ja-JP"/>
              </w:rPr>
              <w:t>’</w:t>
            </w:r>
            <w:r w:rsidRPr="001E6DFD">
              <w:rPr>
                <w:rFonts w:eastAsia="Batang"/>
                <w:sz w:val="16"/>
                <w:szCs w:val="16"/>
                <w:lang w:eastAsia="ja-JP"/>
              </w:rPr>
              <w:t>exercice de leurs activités professionnelles</w:t>
            </w:r>
            <w:r w:rsidR="00BA5EA9" w:rsidRPr="001E6DFD">
              <w:rPr>
                <w:rFonts w:eastAsia="Batang"/>
                <w:sz w:val="16"/>
                <w:szCs w:val="16"/>
                <w:lang w:eastAsia="ja-JP"/>
              </w:rPr>
              <w:t xml:space="preserve"> </w:t>
            </w:r>
          </w:p>
        </w:tc>
        <w:tc>
          <w:tcPr>
            <w:tcW w:w="1510" w:type="pct"/>
            <w:shd w:val="clear" w:color="auto" w:fill="auto"/>
            <w:tcMar>
              <w:left w:w="58" w:type="dxa"/>
              <w:right w:w="58" w:type="dxa"/>
            </w:tcMar>
          </w:tcPr>
          <w:p w14:paraId="38FA921C" w14:textId="1E2A0033" w:rsidR="00FA22F6" w:rsidRPr="00912C62" w:rsidRDefault="00E64532" w:rsidP="0097226C">
            <w:pPr>
              <w:keepNext/>
              <w:keepLines/>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779C1192" w14:textId="62E30A65" w:rsidR="001F64B1" w:rsidRPr="00912C62" w:rsidRDefault="005D3542" w:rsidP="0097226C">
            <w:pPr>
              <w:keepNext/>
              <w:keepLines/>
              <w:tabs>
                <w:tab w:val="left" w:pos="307"/>
              </w:tabs>
              <w:rPr>
                <w:color w:val="002060"/>
                <w:sz w:val="16"/>
                <w:szCs w:val="16"/>
              </w:rPr>
            </w:pPr>
            <w:r w:rsidRPr="00912C62">
              <w:rPr>
                <w:color w:val="002060"/>
                <w:sz w:val="16"/>
                <w:szCs w:val="16"/>
              </w:rPr>
              <w:t>Utilité</w:t>
            </w:r>
            <w:r w:rsidR="00FA22F6" w:rsidRPr="00912C62">
              <w:rPr>
                <w:color w:val="002060"/>
                <w:sz w:val="16"/>
                <w:szCs w:val="16"/>
              </w:rPr>
              <w:t> :</w:t>
            </w:r>
            <w:r w:rsidRPr="00912C62">
              <w:rPr>
                <w:color w:val="002060"/>
                <w:sz w:val="16"/>
                <w:szCs w:val="16"/>
              </w:rPr>
              <w:t xml:space="preserve"> </w:t>
            </w:r>
            <w:r w:rsidR="00BA5EA9" w:rsidRPr="00912C62">
              <w:rPr>
                <w:color w:val="002060"/>
                <w:sz w:val="16"/>
                <w:szCs w:val="16"/>
              </w:rPr>
              <w:t>93%</w:t>
            </w:r>
            <w:r w:rsidRPr="00912C62">
              <w:rPr>
                <w:color w:val="002060"/>
                <w:sz w:val="16"/>
                <w:szCs w:val="16"/>
              </w:rPr>
              <w:t xml:space="preserve"> (taux moyen)</w:t>
            </w:r>
          </w:p>
          <w:p w14:paraId="395AF8AA" w14:textId="55610D2E" w:rsidR="001F64B1" w:rsidRPr="00912C62" w:rsidRDefault="005D3542" w:rsidP="0097226C">
            <w:pPr>
              <w:keepNext/>
              <w:keepLines/>
              <w:rPr>
                <w:color w:val="002060"/>
                <w:sz w:val="16"/>
                <w:szCs w:val="16"/>
              </w:rPr>
            </w:pPr>
            <w:r w:rsidRPr="00912C62">
              <w:rPr>
                <w:color w:val="002060"/>
                <w:sz w:val="16"/>
                <w:szCs w:val="16"/>
              </w:rPr>
              <w:t>Satisfaction</w:t>
            </w:r>
            <w:r w:rsidR="00FA22F6" w:rsidRPr="00912C62">
              <w:rPr>
                <w:color w:val="002060"/>
                <w:sz w:val="16"/>
                <w:szCs w:val="16"/>
              </w:rPr>
              <w:t> :</w:t>
            </w:r>
            <w:r w:rsidR="00832CD0" w:rsidRPr="00912C62">
              <w:rPr>
                <w:color w:val="002060"/>
                <w:sz w:val="16"/>
                <w:szCs w:val="16"/>
              </w:rPr>
              <w:t xml:space="preserve"> </w:t>
            </w:r>
            <w:r w:rsidR="00BA5EA9" w:rsidRPr="00912C62">
              <w:rPr>
                <w:color w:val="002060"/>
                <w:sz w:val="16"/>
                <w:szCs w:val="16"/>
              </w:rPr>
              <w:t>92%</w:t>
            </w:r>
            <w:r w:rsidR="00832CD0" w:rsidRPr="00912C62">
              <w:rPr>
                <w:color w:val="002060"/>
                <w:sz w:val="16"/>
                <w:szCs w:val="16"/>
              </w:rPr>
              <w:t xml:space="preserve"> (taux moyen)</w:t>
            </w:r>
          </w:p>
          <w:p w14:paraId="72025783" w14:textId="77777777" w:rsidR="001F64B1" w:rsidRPr="001E6DFD" w:rsidRDefault="001F64B1" w:rsidP="0097226C">
            <w:pPr>
              <w:keepNext/>
              <w:keepLines/>
              <w:rPr>
                <w:sz w:val="16"/>
                <w:szCs w:val="16"/>
              </w:rPr>
            </w:pPr>
          </w:p>
          <w:p w14:paraId="200348F9" w14:textId="3E071980" w:rsidR="00FA22F6" w:rsidRPr="001E6DFD" w:rsidRDefault="00E64532" w:rsidP="0097226C">
            <w:pPr>
              <w:keepNext/>
              <w:keepLines/>
              <w:autoSpaceDE w:val="0"/>
              <w:autoSpaceDN w:val="0"/>
              <w:adjustRightInd w:val="0"/>
              <w:rPr>
                <w:rFonts w:eastAsia="Batang"/>
                <w:i/>
                <w:sz w:val="16"/>
                <w:szCs w:val="16"/>
                <w:lang w:eastAsia="ja-JP" w:bidi="th-TH"/>
              </w:rPr>
            </w:pPr>
            <w:r w:rsidRPr="001E6DFD">
              <w:rPr>
                <w:rFonts w:eastAsia="Batang"/>
                <w:i/>
                <w:sz w:val="16"/>
                <w:szCs w:val="16"/>
                <w:lang w:eastAsia="ja-JP" w:bidi="th-TH"/>
              </w:rPr>
              <w:t>Niveau de référence initial dans le programme et budget 2016</w:t>
            </w:r>
            <w:r w:rsidR="006A41CF" w:rsidRPr="001E6DFD">
              <w:rPr>
                <w:rFonts w:eastAsia="Batang"/>
                <w:i/>
                <w:sz w:val="16"/>
                <w:szCs w:val="16"/>
                <w:lang w:eastAsia="ja-JP" w:bidi="th-TH"/>
              </w:rPr>
              <w:noBreakHyphen/>
            </w:r>
            <w:r w:rsidRPr="001E6DFD">
              <w:rPr>
                <w:rFonts w:eastAsia="Batang"/>
                <w:i/>
                <w:sz w:val="16"/>
                <w:szCs w:val="16"/>
                <w:lang w:eastAsia="ja-JP" w:bidi="th-TH"/>
              </w:rPr>
              <w:t>2017</w:t>
            </w:r>
            <w:r w:rsidR="00FA22F6" w:rsidRPr="001E6DFD">
              <w:rPr>
                <w:rFonts w:eastAsia="Batang"/>
                <w:i/>
                <w:sz w:val="16"/>
                <w:szCs w:val="16"/>
                <w:lang w:eastAsia="ja-JP" w:bidi="th-TH"/>
              </w:rPr>
              <w:t> :</w:t>
            </w:r>
          </w:p>
          <w:p w14:paraId="1CD4362A" w14:textId="77054B7C" w:rsidR="00FA22F6" w:rsidRPr="001E6DFD" w:rsidRDefault="00B52D48" w:rsidP="0097226C">
            <w:pPr>
              <w:keepNext/>
              <w:keepLines/>
              <w:autoSpaceDE w:val="0"/>
              <w:autoSpaceDN w:val="0"/>
              <w:adjustRightInd w:val="0"/>
              <w:rPr>
                <w:rFonts w:eastAsia="Batang"/>
                <w:sz w:val="16"/>
                <w:szCs w:val="16"/>
                <w:lang w:eastAsia="ja-JP"/>
              </w:rPr>
            </w:pPr>
            <w:r w:rsidRPr="001E6DFD">
              <w:rPr>
                <w:rFonts w:eastAsia="Batang"/>
                <w:sz w:val="16"/>
                <w:szCs w:val="16"/>
                <w:lang w:eastAsia="ja-JP"/>
              </w:rPr>
              <w:t>Pertinence</w:t>
            </w:r>
            <w:r w:rsidR="00FA22F6" w:rsidRPr="001E6DFD">
              <w:rPr>
                <w:rFonts w:eastAsia="Batang"/>
                <w:sz w:val="16"/>
                <w:szCs w:val="16"/>
                <w:lang w:eastAsia="ja-JP"/>
              </w:rPr>
              <w:t> :</w:t>
            </w:r>
            <w:r w:rsidRPr="001E6DFD">
              <w:rPr>
                <w:rFonts w:eastAsia="Batang"/>
                <w:sz w:val="16"/>
                <w:szCs w:val="16"/>
                <w:lang w:eastAsia="ja-JP"/>
              </w:rPr>
              <w:t xml:space="preserve"> 90%, utilité</w:t>
            </w:r>
            <w:r w:rsidR="00FA22F6" w:rsidRPr="001E6DFD">
              <w:rPr>
                <w:rFonts w:eastAsia="Batang"/>
                <w:sz w:val="16"/>
                <w:szCs w:val="16"/>
                <w:lang w:eastAsia="ja-JP"/>
              </w:rPr>
              <w:t> :</w:t>
            </w:r>
            <w:r w:rsidRPr="001E6DFD">
              <w:rPr>
                <w:rFonts w:eastAsia="Batang"/>
                <w:sz w:val="16"/>
                <w:szCs w:val="16"/>
                <w:lang w:eastAsia="ja-JP"/>
              </w:rPr>
              <w:t xml:space="preserve"> 90%</w:t>
            </w:r>
          </w:p>
          <w:p w14:paraId="5B85A6FD" w14:textId="6B0180AE" w:rsidR="00BA5EA9" w:rsidRPr="001E6DFD" w:rsidRDefault="00BA5EA9" w:rsidP="0097226C">
            <w:pPr>
              <w:keepNext/>
              <w:keepLines/>
              <w:autoSpaceDE w:val="0"/>
              <w:autoSpaceDN w:val="0"/>
              <w:adjustRightInd w:val="0"/>
              <w:rPr>
                <w:rFonts w:eastAsia="Batang"/>
                <w:sz w:val="16"/>
                <w:szCs w:val="16"/>
                <w:lang w:eastAsia="ja-JP"/>
              </w:rPr>
            </w:pPr>
            <w:r w:rsidRPr="001E6DFD">
              <w:rPr>
                <w:rFonts w:eastAsia="Batang"/>
                <w:sz w:val="16"/>
                <w:szCs w:val="16"/>
                <w:lang w:eastAsia="ja-JP"/>
              </w:rPr>
              <w:t>(</w:t>
            </w:r>
            <w:r w:rsidR="00A03FA5" w:rsidRPr="001E6DFD">
              <w:rPr>
                <w:rFonts w:eastAsia="Batang"/>
                <w:sz w:val="16"/>
                <w:szCs w:val="16"/>
                <w:lang w:eastAsia="ja-JP"/>
              </w:rPr>
              <w:t>au 1</w:t>
            </w:r>
            <w:r w:rsidR="00FA22F6" w:rsidRPr="001E6DFD">
              <w:rPr>
                <w:rFonts w:eastAsia="Batang"/>
                <w:sz w:val="16"/>
                <w:szCs w:val="16"/>
                <w:lang w:eastAsia="ja-JP"/>
              </w:rPr>
              <w:t>5 février 20</w:t>
            </w:r>
            <w:r w:rsidRPr="001E6DFD">
              <w:rPr>
                <w:rFonts w:eastAsia="Batang"/>
                <w:sz w:val="16"/>
                <w:szCs w:val="16"/>
                <w:lang w:eastAsia="ja-JP"/>
              </w:rPr>
              <w:t xml:space="preserve">15) </w:t>
            </w:r>
          </w:p>
        </w:tc>
        <w:tc>
          <w:tcPr>
            <w:tcW w:w="731" w:type="pct"/>
            <w:shd w:val="clear" w:color="auto" w:fill="auto"/>
            <w:tcMar>
              <w:top w:w="110" w:type="dxa"/>
              <w:left w:w="58" w:type="dxa"/>
              <w:right w:w="58" w:type="dxa"/>
            </w:tcMar>
          </w:tcPr>
          <w:p w14:paraId="5DE92222" w14:textId="77777777" w:rsidR="00912C62" w:rsidRDefault="00B52D48" w:rsidP="0097226C">
            <w:pPr>
              <w:keepNext/>
              <w:keepLines/>
              <w:autoSpaceDE w:val="0"/>
              <w:autoSpaceDN w:val="0"/>
              <w:adjustRightInd w:val="0"/>
              <w:rPr>
                <w:rFonts w:eastAsia="Batang"/>
                <w:sz w:val="16"/>
                <w:szCs w:val="16"/>
                <w:lang w:eastAsia="ja-JP"/>
              </w:rPr>
            </w:pPr>
            <w:r w:rsidRPr="001E6DFD">
              <w:rPr>
                <w:rFonts w:eastAsia="Batang"/>
                <w:sz w:val="16"/>
                <w:szCs w:val="16"/>
                <w:lang w:eastAsia="ja-JP"/>
              </w:rPr>
              <w:t>Pertinence</w:t>
            </w:r>
            <w:r w:rsidR="00FA22F6" w:rsidRPr="001E6DFD">
              <w:rPr>
                <w:rFonts w:eastAsia="Batang"/>
                <w:sz w:val="16"/>
                <w:szCs w:val="16"/>
                <w:lang w:eastAsia="ja-JP"/>
              </w:rPr>
              <w:t> :</w:t>
            </w:r>
            <w:r w:rsidRPr="001E6DFD">
              <w:rPr>
                <w:rFonts w:eastAsia="Batang"/>
                <w:sz w:val="16"/>
                <w:szCs w:val="16"/>
                <w:lang w:eastAsia="ja-JP"/>
              </w:rPr>
              <w:t xml:space="preserve"> &gt;85%</w:t>
            </w:r>
            <w:r w:rsidR="00A03FA5" w:rsidRPr="001E6DFD">
              <w:rPr>
                <w:rFonts w:eastAsia="Batang"/>
                <w:sz w:val="16"/>
                <w:szCs w:val="16"/>
                <w:lang w:eastAsia="ja-JP"/>
              </w:rPr>
              <w:t xml:space="preserve"> </w:t>
            </w:r>
            <w:r w:rsidRPr="001E6DFD">
              <w:rPr>
                <w:rFonts w:eastAsia="Batang"/>
                <w:sz w:val="16"/>
                <w:szCs w:val="16"/>
                <w:lang w:eastAsia="ja-JP"/>
              </w:rPr>
              <w:br/>
              <w:t>Utilité</w:t>
            </w:r>
            <w:r w:rsidR="00FA22F6" w:rsidRPr="001E6DFD">
              <w:rPr>
                <w:rFonts w:eastAsia="Batang"/>
                <w:sz w:val="16"/>
                <w:szCs w:val="16"/>
                <w:lang w:eastAsia="ja-JP"/>
              </w:rPr>
              <w:t> :</w:t>
            </w:r>
            <w:r w:rsidRPr="001E6DFD">
              <w:rPr>
                <w:rFonts w:eastAsia="Batang"/>
                <w:sz w:val="16"/>
                <w:szCs w:val="16"/>
                <w:lang w:eastAsia="ja-JP"/>
              </w:rPr>
              <w:t xml:space="preserve"> </w:t>
            </w:r>
          </w:p>
          <w:p w14:paraId="316412A6" w14:textId="49180F16" w:rsidR="00BA5EA9" w:rsidRPr="001E6DFD" w:rsidRDefault="00912C62" w:rsidP="0097226C">
            <w:pPr>
              <w:keepNext/>
              <w:keepLines/>
              <w:autoSpaceDE w:val="0"/>
              <w:autoSpaceDN w:val="0"/>
              <w:adjustRightInd w:val="0"/>
              <w:rPr>
                <w:rFonts w:eastAsia="Batang"/>
                <w:sz w:val="16"/>
                <w:szCs w:val="16"/>
                <w:lang w:eastAsia="ja-JP"/>
              </w:rPr>
            </w:pPr>
            <w:r>
              <w:rPr>
                <w:rFonts w:eastAsia="Batang"/>
                <w:sz w:val="16"/>
                <w:szCs w:val="16"/>
                <w:lang w:eastAsia="ja-JP"/>
              </w:rPr>
              <w:t>&gt;</w:t>
            </w:r>
            <w:r w:rsidR="00B52D48" w:rsidRPr="001E6DFD">
              <w:rPr>
                <w:rFonts w:eastAsia="Batang"/>
                <w:sz w:val="16"/>
                <w:szCs w:val="16"/>
                <w:lang w:eastAsia="ja-JP"/>
              </w:rPr>
              <w:t>85%</w:t>
            </w:r>
            <w:r w:rsidR="00BA5EA9" w:rsidRPr="001E6DFD">
              <w:rPr>
                <w:rFonts w:eastAsia="Batang"/>
                <w:sz w:val="16"/>
                <w:szCs w:val="16"/>
                <w:lang w:eastAsia="ja-JP"/>
              </w:rPr>
              <w:t xml:space="preserve"> </w:t>
            </w:r>
          </w:p>
        </w:tc>
        <w:tc>
          <w:tcPr>
            <w:tcW w:w="1175" w:type="pct"/>
            <w:shd w:val="clear" w:color="auto" w:fill="FFFFFF"/>
            <w:tcMar>
              <w:top w:w="110" w:type="dxa"/>
              <w:left w:w="58" w:type="dxa"/>
              <w:right w:w="58" w:type="dxa"/>
            </w:tcMar>
          </w:tcPr>
          <w:p w14:paraId="672C42DE" w14:textId="4209403B" w:rsidR="001F64B1" w:rsidRPr="001E6DFD" w:rsidRDefault="00B52D48" w:rsidP="0097226C">
            <w:pPr>
              <w:keepNext/>
              <w:keepLines/>
              <w:rPr>
                <w:sz w:val="16"/>
                <w:szCs w:val="16"/>
              </w:rPr>
            </w:pPr>
            <w:r w:rsidRPr="001E6DFD">
              <w:rPr>
                <w:sz w:val="16"/>
                <w:szCs w:val="16"/>
              </w:rPr>
              <w:t>Pertinence</w:t>
            </w:r>
            <w:r w:rsidR="00FA22F6" w:rsidRPr="001E6DFD">
              <w:rPr>
                <w:sz w:val="16"/>
                <w:szCs w:val="16"/>
              </w:rPr>
              <w:t> :</w:t>
            </w:r>
            <w:r w:rsidR="00BA5EA9" w:rsidRPr="001E6DFD">
              <w:rPr>
                <w:sz w:val="16"/>
                <w:szCs w:val="16"/>
              </w:rPr>
              <w:t xml:space="preserve"> 92%</w:t>
            </w:r>
          </w:p>
          <w:p w14:paraId="280E3350" w14:textId="18A7D1C2" w:rsidR="00BA5EA9" w:rsidRPr="001E6DFD" w:rsidRDefault="00B52D48" w:rsidP="0097226C">
            <w:pPr>
              <w:keepNext/>
              <w:keepLines/>
              <w:rPr>
                <w:sz w:val="16"/>
                <w:szCs w:val="16"/>
              </w:rPr>
            </w:pPr>
            <w:r w:rsidRPr="001E6DFD">
              <w:rPr>
                <w:sz w:val="16"/>
                <w:szCs w:val="16"/>
              </w:rPr>
              <w:t>Utilité</w:t>
            </w:r>
            <w:r w:rsidR="00FA22F6" w:rsidRPr="001E6DFD">
              <w:rPr>
                <w:sz w:val="16"/>
                <w:szCs w:val="16"/>
              </w:rPr>
              <w:t> :</w:t>
            </w:r>
            <w:r w:rsidR="00BA5EA9" w:rsidRPr="001E6DFD">
              <w:rPr>
                <w:sz w:val="16"/>
                <w:szCs w:val="16"/>
              </w:rPr>
              <w:t xml:space="preserve"> 92%</w:t>
            </w:r>
          </w:p>
        </w:tc>
        <w:tc>
          <w:tcPr>
            <w:tcW w:w="512" w:type="pct"/>
            <w:shd w:val="clear" w:color="auto" w:fill="auto"/>
            <w:tcMar>
              <w:top w:w="110" w:type="dxa"/>
              <w:left w:w="58" w:type="dxa"/>
              <w:right w:w="58" w:type="dxa"/>
            </w:tcMar>
          </w:tcPr>
          <w:p w14:paraId="43D356C9"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4ABDC5D9" w14:textId="77777777" w:rsidTr="005C716A">
        <w:tc>
          <w:tcPr>
            <w:tcW w:w="5000" w:type="pct"/>
            <w:gridSpan w:val="5"/>
            <w:shd w:val="clear" w:color="auto" w:fill="C6D9F1" w:themeFill="text2" w:themeFillTint="33"/>
            <w:tcMar>
              <w:left w:w="58" w:type="dxa"/>
              <w:right w:w="58" w:type="dxa"/>
            </w:tcMar>
            <w:vAlign w:val="center"/>
          </w:tcPr>
          <w:p w14:paraId="495486A2" w14:textId="06BC9746" w:rsidR="00BA5EA9" w:rsidRPr="001E6DFD" w:rsidRDefault="00B52D48" w:rsidP="0097226C">
            <w:pPr>
              <w:keepNext/>
              <w:keepLines/>
              <w:tabs>
                <w:tab w:val="left" w:pos="1452"/>
              </w:tabs>
              <w:rPr>
                <w:sz w:val="16"/>
                <w:szCs w:val="16"/>
              </w:rPr>
            </w:pPr>
            <w:r w:rsidRPr="001E6DFD">
              <w:rPr>
                <w:b/>
                <w:sz w:val="16"/>
                <w:szCs w:val="16"/>
              </w:rPr>
              <w:t>Résultat escompté</w:t>
            </w:r>
            <w:r w:rsidR="00FA22F6" w:rsidRPr="001E6DFD">
              <w:rPr>
                <w:b/>
                <w:sz w:val="16"/>
                <w:szCs w:val="16"/>
              </w:rPr>
              <w:t> :</w:t>
            </w:r>
            <w:r w:rsidRPr="001E6DFD">
              <w:rPr>
                <w:sz w:val="16"/>
                <w:szCs w:val="16"/>
              </w:rPr>
              <w:t xml:space="preserve"> VI.1 Progrès du dialogue international de politique générale entre les États membres de l</w:t>
            </w:r>
            <w:r w:rsidR="00FA22F6" w:rsidRPr="001E6DFD">
              <w:rPr>
                <w:sz w:val="16"/>
                <w:szCs w:val="16"/>
              </w:rPr>
              <w:t>’</w:t>
            </w:r>
            <w:r w:rsidRPr="001E6DFD">
              <w:rPr>
                <w:sz w:val="16"/>
                <w:szCs w:val="16"/>
              </w:rPr>
              <w:t>OMPI en ce qui concerne la promotion du respect de la propriété intellectuelle, compte tenu de la recommandation n°</w:t>
            </w:r>
            <w:r w:rsidR="004D421A" w:rsidRPr="001E6DFD">
              <w:rPr>
                <w:sz w:val="16"/>
                <w:szCs w:val="16"/>
              </w:rPr>
              <w:t> </w:t>
            </w:r>
            <w:r w:rsidRPr="001E6DFD">
              <w:rPr>
                <w:sz w:val="16"/>
                <w:szCs w:val="16"/>
              </w:rPr>
              <w:t>45 du Plan d</w:t>
            </w:r>
            <w:r w:rsidR="00FA22F6" w:rsidRPr="001E6DFD">
              <w:rPr>
                <w:sz w:val="16"/>
                <w:szCs w:val="16"/>
              </w:rPr>
              <w:t>’</w:t>
            </w:r>
            <w:r w:rsidRPr="001E6DFD">
              <w:rPr>
                <w:sz w:val="16"/>
                <w:szCs w:val="16"/>
              </w:rPr>
              <w:t>action pour le développement</w:t>
            </w:r>
            <w:r w:rsidR="00BA5EA9" w:rsidRPr="001E6DFD">
              <w:rPr>
                <w:sz w:val="16"/>
                <w:szCs w:val="16"/>
              </w:rPr>
              <w:t xml:space="preserve"> </w:t>
            </w:r>
          </w:p>
        </w:tc>
      </w:tr>
      <w:tr w:rsidR="00BA5EA9" w:rsidRPr="001E6DFD" w14:paraId="54432F66" w14:textId="77777777" w:rsidTr="005C716A">
        <w:tc>
          <w:tcPr>
            <w:tcW w:w="1072" w:type="pct"/>
            <w:shd w:val="clear" w:color="auto" w:fill="auto"/>
            <w:tcMar>
              <w:left w:w="58" w:type="dxa"/>
              <w:right w:w="58" w:type="dxa"/>
            </w:tcMar>
            <w:vAlign w:val="center"/>
          </w:tcPr>
          <w:p w14:paraId="6D5BFD3B" w14:textId="5E467AD0" w:rsidR="00BA5EA9" w:rsidRPr="001E6DFD" w:rsidRDefault="00B52D48"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10" w:type="pct"/>
            <w:shd w:val="clear" w:color="auto" w:fill="auto"/>
            <w:tcMar>
              <w:left w:w="58" w:type="dxa"/>
              <w:right w:w="58" w:type="dxa"/>
            </w:tcMar>
            <w:vAlign w:val="center"/>
          </w:tcPr>
          <w:p w14:paraId="7D0EB3BF" w14:textId="77777777" w:rsidR="00BA5EA9" w:rsidRPr="001E6DFD" w:rsidRDefault="00B52D48" w:rsidP="0097226C">
            <w:pPr>
              <w:jc w:val="center"/>
              <w:rPr>
                <w:b/>
                <w:bCs/>
                <w:sz w:val="16"/>
                <w:szCs w:val="16"/>
              </w:rPr>
            </w:pPr>
            <w:r w:rsidRPr="001E6DFD">
              <w:rPr>
                <w:b/>
                <w:bCs/>
                <w:sz w:val="16"/>
                <w:szCs w:val="16"/>
              </w:rPr>
              <w:t>Niveaux de référence</w:t>
            </w:r>
          </w:p>
        </w:tc>
        <w:tc>
          <w:tcPr>
            <w:tcW w:w="731" w:type="pct"/>
            <w:shd w:val="clear" w:color="auto" w:fill="auto"/>
            <w:tcMar>
              <w:top w:w="110" w:type="dxa"/>
              <w:left w:w="58" w:type="dxa"/>
              <w:right w:w="58" w:type="dxa"/>
            </w:tcMar>
            <w:vAlign w:val="center"/>
          </w:tcPr>
          <w:p w14:paraId="38129535" w14:textId="77777777" w:rsidR="00BA5EA9" w:rsidRPr="001E6DFD" w:rsidRDefault="00B52D48" w:rsidP="0097226C">
            <w:pPr>
              <w:jc w:val="center"/>
              <w:rPr>
                <w:b/>
                <w:bCs/>
                <w:sz w:val="16"/>
                <w:szCs w:val="16"/>
              </w:rPr>
            </w:pPr>
            <w:r w:rsidRPr="001E6DFD">
              <w:rPr>
                <w:b/>
                <w:bCs/>
                <w:sz w:val="16"/>
                <w:szCs w:val="16"/>
              </w:rPr>
              <w:t>Objectifs visés</w:t>
            </w:r>
          </w:p>
        </w:tc>
        <w:tc>
          <w:tcPr>
            <w:tcW w:w="1175" w:type="pct"/>
            <w:shd w:val="clear" w:color="auto" w:fill="FFFFFF"/>
            <w:tcMar>
              <w:top w:w="110" w:type="dxa"/>
              <w:left w:w="58" w:type="dxa"/>
              <w:right w:w="58" w:type="dxa"/>
            </w:tcMar>
            <w:vAlign w:val="center"/>
          </w:tcPr>
          <w:p w14:paraId="3BF2DE9B" w14:textId="16DDF4FB" w:rsidR="00BA5EA9" w:rsidRPr="001E6DFD" w:rsidRDefault="00B52D48"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shd w:val="clear" w:color="auto" w:fill="auto"/>
            <w:tcMar>
              <w:top w:w="110" w:type="dxa"/>
              <w:left w:w="58" w:type="dxa"/>
              <w:right w:w="58" w:type="dxa"/>
            </w:tcMar>
            <w:vAlign w:val="center"/>
          </w:tcPr>
          <w:p w14:paraId="6F52BDAB" w14:textId="522BA3C3"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73930380" w14:textId="77777777" w:rsidTr="005C716A">
        <w:tc>
          <w:tcPr>
            <w:tcW w:w="1072" w:type="pct"/>
            <w:shd w:val="clear" w:color="auto" w:fill="auto"/>
            <w:tcMar>
              <w:left w:w="58" w:type="dxa"/>
              <w:right w:w="58" w:type="dxa"/>
            </w:tcMar>
          </w:tcPr>
          <w:p w14:paraId="307E33A6" w14:textId="285B2880" w:rsidR="00BA5EA9" w:rsidRPr="001E6DFD" w:rsidRDefault="00B52D48" w:rsidP="0097226C">
            <w:pPr>
              <w:autoSpaceDE w:val="0"/>
              <w:autoSpaceDN w:val="0"/>
              <w:adjustRightInd w:val="0"/>
              <w:rPr>
                <w:rFonts w:eastAsia="Batang"/>
                <w:sz w:val="16"/>
                <w:szCs w:val="16"/>
                <w:lang w:eastAsia="ja-JP"/>
              </w:rPr>
            </w:pPr>
            <w:r w:rsidRPr="001E6DFD">
              <w:rPr>
                <w:rFonts w:eastAsia="Batang"/>
                <w:sz w:val="16"/>
                <w:szCs w:val="16"/>
                <w:lang w:eastAsia="ja-JP"/>
              </w:rPr>
              <w:t>Accord permanent des États membres sur les activités de fond du Comité consultatif de l</w:t>
            </w:r>
            <w:r w:rsidR="00FA22F6" w:rsidRPr="001E6DFD">
              <w:rPr>
                <w:rFonts w:eastAsia="Batang"/>
                <w:sz w:val="16"/>
                <w:szCs w:val="16"/>
                <w:lang w:eastAsia="ja-JP"/>
              </w:rPr>
              <w:t>’</w:t>
            </w:r>
            <w:r w:rsidRPr="001E6DFD">
              <w:rPr>
                <w:rFonts w:eastAsia="Batang"/>
                <w:sz w:val="16"/>
                <w:szCs w:val="16"/>
                <w:lang w:eastAsia="ja-JP"/>
              </w:rPr>
              <w:t>OMPI sur l</w:t>
            </w:r>
            <w:r w:rsidR="00FA22F6" w:rsidRPr="001E6DFD">
              <w:rPr>
                <w:rFonts w:eastAsia="Batang"/>
                <w:sz w:val="16"/>
                <w:szCs w:val="16"/>
                <w:lang w:eastAsia="ja-JP"/>
              </w:rPr>
              <w:t>’</w:t>
            </w:r>
            <w:r w:rsidRPr="001E6DFD">
              <w:rPr>
                <w:rFonts w:eastAsia="Batang"/>
                <w:sz w:val="16"/>
                <w:szCs w:val="16"/>
                <w:lang w:eastAsia="ja-JP"/>
              </w:rPr>
              <w:t>application des droits (ACE), en prenant en considération les préoccupations relatives au développement</w:t>
            </w:r>
            <w:r w:rsidR="00BA5EA9" w:rsidRPr="001E6DFD">
              <w:rPr>
                <w:rFonts w:eastAsia="Batang"/>
                <w:sz w:val="16"/>
                <w:szCs w:val="16"/>
                <w:lang w:eastAsia="ja-JP"/>
              </w:rPr>
              <w:t xml:space="preserve"> </w:t>
            </w:r>
          </w:p>
        </w:tc>
        <w:tc>
          <w:tcPr>
            <w:tcW w:w="1510" w:type="pct"/>
            <w:shd w:val="clear" w:color="auto" w:fill="auto"/>
            <w:tcMar>
              <w:left w:w="58" w:type="dxa"/>
              <w:right w:w="58" w:type="dxa"/>
            </w:tcMar>
          </w:tcPr>
          <w:p w14:paraId="305DF7ED" w14:textId="26E856A2"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595185F4" w14:textId="05BA6853" w:rsidR="001F64B1" w:rsidRPr="00912C62" w:rsidRDefault="00423EE5" w:rsidP="0097226C">
            <w:pPr>
              <w:rPr>
                <w:color w:val="002060"/>
                <w:sz w:val="16"/>
                <w:szCs w:val="16"/>
              </w:rPr>
            </w:pPr>
            <w:r w:rsidRPr="00912C62">
              <w:rPr>
                <w:color w:val="002060"/>
                <w:sz w:val="16"/>
                <w:szCs w:val="16"/>
              </w:rPr>
              <w:t>Accord sur le programme de travail trouvé lors des neuvième et dix</w:t>
            </w:r>
            <w:r w:rsidR="00FA22F6" w:rsidRPr="00912C62">
              <w:rPr>
                <w:color w:val="002060"/>
                <w:sz w:val="16"/>
                <w:szCs w:val="16"/>
              </w:rPr>
              <w:t>ième session</w:t>
            </w:r>
            <w:r w:rsidRPr="00912C62">
              <w:rPr>
                <w:color w:val="002060"/>
                <w:sz w:val="16"/>
                <w:szCs w:val="16"/>
              </w:rPr>
              <w:t>s de l</w:t>
            </w:r>
            <w:r w:rsidR="00FA22F6" w:rsidRPr="00912C62">
              <w:rPr>
                <w:color w:val="002060"/>
                <w:sz w:val="16"/>
                <w:szCs w:val="16"/>
              </w:rPr>
              <w:t>’</w:t>
            </w:r>
            <w:r w:rsidRPr="00912C62">
              <w:rPr>
                <w:color w:val="002060"/>
                <w:sz w:val="16"/>
                <w:szCs w:val="16"/>
              </w:rPr>
              <w:t>ACE</w:t>
            </w:r>
          </w:p>
          <w:p w14:paraId="278CCB11" w14:textId="7CE606FA" w:rsidR="001F64B1" w:rsidRPr="00912C62" w:rsidRDefault="00BA5EA9" w:rsidP="0097226C">
            <w:pPr>
              <w:rPr>
                <w:color w:val="002060"/>
                <w:sz w:val="16"/>
                <w:szCs w:val="16"/>
              </w:rPr>
            </w:pPr>
            <w:r w:rsidRPr="00912C62">
              <w:rPr>
                <w:color w:val="002060"/>
                <w:sz w:val="16"/>
                <w:szCs w:val="16"/>
              </w:rPr>
              <w:t>WIPO/ACE/9/29</w:t>
            </w:r>
            <w:r w:rsidR="00A03FA5" w:rsidRPr="00912C62">
              <w:rPr>
                <w:color w:val="002060"/>
                <w:sz w:val="16"/>
                <w:szCs w:val="16"/>
              </w:rPr>
              <w:t>,</w:t>
            </w:r>
            <w:r w:rsidRPr="00912C62">
              <w:rPr>
                <w:color w:val="002060"/>
                <w:sz w:val="16"/>
                <w:szCs w:val="16"/>
              </w:rPr>
              <w:t xml:space="preserve"> </w:t>
            </w:r>
            <w:r w:rsidR="00FA22F6" w:rsidRPr="00912C62">
              <w:rPr>
                <w:color w:val="002060"/>
                <w:sz w:val="16"/>
                <w:szCs w:val="16"/>
              </w:rPr>
              <w:t>paragraphe 4</w:t>
            </w:r>
            <w:r w:rsidRPr="00912C62">
              <w:rPr>
                <w:color w:val="002060"/>
                <w:sz w:val="16"/>
                <w:szCs w:val="16"/>
              </w:rPr>
              <w:t>4</w:t>
            </w:r>
            <w:r w:rsidR="00A03FA5" w:rsidRPr="00912C62">
              <w:rPr>
                <w:color w:val="002060"/>
                <w:sz w:val="16"/>
                <w:szCs w:val="16"/>
              </w:rPr>
              <w:t>, et</w:t>
            </w:r>
            <w:r w:rsidRPr="00912C62">
              <w:rPr>
                <w:color w:val="002060"/>
                <w:sz w:val="16"/>
                <w:szCs w:val="16"/>
              </w:rPr>
              <w:t xml:space="preserve"> WIPO/ACE/10/26 </w:t>
            </w:r>
            <w:proofErr w:type="spellStart"/>
            <w:r w:rsidRPr="00912C62">
              <w:rPr>
                <w:color w:val="002060"/>
                <w:sz w:val="16"/>
                <w:szCs w:val="16"/>
              </w:rPr>
              <w:t>P</w:t>
            </w:r>
            <w:r w:rsidR="00B4191E" w:rsidRPr="00912C62">
              <w:rPr>
                <w:color w:val="002060"/>
                <w:sz w:val="16"/>
                <w:szCs w:val="16"/>
              </w:rPr>
              <w:t>rov</w:t>
            </w:r>
            <w:proofErr w:type="spellEnd"/>
            <w:r w:rsidR="00B4191E" w:rsidRPr="00912C62">
              <w:rPr>
                <w:color w:val="002060"/>
                <w:sz w:val="16"/>
                <w:szCs w:val="16"/>
              </w:rPr>
              <w:t>.</w:t>
            </w:r>
            <w:r w:rsidR="00A03FA5" w:rsidRPr="00912C62">
              <w:rPr>
                <w:color w:val="002060"/>
                <w:sz w:val="16"/>
                <w:szCs w:val="16"/>
              </w:rPr>
              <w:t>, paragraphe </w:t>
            </w:r>
            <w:r w:rsidRPr="00912C62">
              <w:rPr>
                <w:color w:val="002060"/>
                <w:sz w:val="16"/>
                <w:szCs w:val="16"/>
              </w:rPr>
              <w:t>40</w:t>
            </w:r>
          </w:p>
          <w:p w14:paraId="5F571474" w14:textId="77777777" w:rsidR="001F64B1" w:rsidRPr="001E6DFD" w:rsidRDefault="001F64B1" w:rsidP="0097226C">
            <w:pPr>
              <w:rPr>
                <w:sz w:val="16"/>
                <w:szCs w:val="16"/>
              </w:rPr>
            </w:pPr>
          </w:p>
          <w:p w14:paraId="4BEBFE46" w14:textId="4F534002" w:rsidR="00FA22F6" w:rsidRPr="001E6DFD" w:rsidRDefault="00E64532" w:rsidP="0097226C">
            <w:pPr>
              <w:autoSpaceDE w:val="0"/>
              <w:autoSpaceDN w:val="0"/>
              <w:adjustRightInd w:val="0"/>
              <w:rPr>
                <w:rFonts w:eastAsia="Batang"/>
                <w:i/>
                <w:sz w:val="16"/>
                <w:szCs w:val="16"/>
                <w:lang w:eastAsia="ja-JP" w:bidi="th-TH"/>
              </w:rPr>
            </w:pPr>
            <w:r w:rsidRPr="001E6DFD">
              <w:rPr>
                <w:rFonts w:eastAsia="Batang"/>
                <w:i/>
                <w:sz w:val="16"/>
                <w:szCs w:val="16"/>
                <w:lang w:eastAsia="ja-JP" w:bidi="th-TH"/>
              </w:rPr>
              <w:t>Niveau de référence initial dans le programme et budget 2016</w:t>
            </w:r>
            <w:r w:rsidR="006A41CF" w:rsidRPr="001E6DFD">
              <w:rPr>
                <w:rFonts w:eastAsia="Batang"/>
                <w:i/>
                <w:sz w:val="16"/>
                <w:szCs w:val="16"/>
                <w:lang w:eastAsia="ja-JP" w:bidi="th-TH"/>
              </w:rPr>
              <w:noBreakHyphen/>
            </w:r>
            <w:r w:rsidRPr="001E6DFD">
              <w:rPr>
                <w:rFonts w:eastAsia="Batang"/>
                <w:i/>
                <w:sz w:val="16"/>
                <w:szCs w:val="16"/>
                <w:lang w:eastAsia="ja-JP" w:bidi="th-TH"/>
              </w:rPr>
              <w:t>2017</w:t>
            </w:r>
            <w:r w:rsidR="00FA22F6" w:rsidRPr="001E6DFD">
              <w:rPr>
                <w:rFonts w:eastAsia="Batang"/>
                <w:i/>
                <w:sz w:val="16"/>
                <w:szCs w:val="16"/>
                <w:lang w:eastAsia="ja-JP" w:bidi="th-TH"/>
              </w:rPr>
              <w:t> :</w:t>
            </w:r>
          </w:p>
          <w:p w14:paraId="06C7272F" w14:textId="62D62598" w:rsidR="00BA5EA9" w:rsidRPr="001E6DFD" w:rsidRDefault="00B52D48" w:rsidP="0097226C">
            <w:pPr>
              <w:autoSpaceDE w:val="0"/>
              <w:autoSpaceDN w:val="0"/>
              <w:adjustRightInd w:val="0"/>
              <w:rPr>
                <w:rFonts w:eastAsia="Batang"/>
                <w:sz w:val="16"/>
                <w:szCs w:val="16"/>
                <w:lang w:eastAsia="ja-JP"/>
              </w:rPr>
            </w:pPr>
            <w:r w:rsidRPr="001E6DFD">
              <w:rPr>
                <w:rFonts w:eastAsia="Batang"/>
                <w:sz w:val="16"/>
                <w:szCs w:val="16"/>
                <w:lang w:eastAsia="ja-JP"/>
              </w:rPr>
              <w:t>Accord sur le programme de travail de la dix</w:t>
            </w:r>
            <w:r w:rsidR="00FA22F6" w:rsidRPr="001E6DFD">
              <w:rPr>
                <w:rFonts w:eastAsia="Batang"/>
                <w:sz w:val="16"/>
                <w:szCs w:val="16"/>
                <w:lang w:eastAsia="ja-JP"/>
              </w:rPr>
              <w:t>ième session</w:t>
            </w:r>
            <w:r w:rsidRPr="001E6DFD">
              <w:rPr>
                <w:rFonts w:eastAsia="Batang"/>
                <w:sz w:val="16"/>
                <w:szCs w:val="16"/>
                <w:lang w:eastAsia="ja-JP"/>
              </w:rPr>
              <w:t xml:space="preserve"> de l</w:t>
            </w:r>
            <w:r w:rsidR="00FA22F6" w:rsidRPr="001E6DFD">
              <w:rPr>
                <w:rFonts w:eastAsia="Batang"/>
                <w:sz w:val="16"/>
                <w:szCs w:val="16"/>
                <w:lang w:eastAsia="ja-JP"/>
              </w:rPr>
              <w:t>’</w:t>
            </w:r>
            <w:r w:rsidRPr="001E6DFD">
              <w:rPr>
                <w:rFonts w:eastAsia="Batang"/>
                <w:sz w:val="16"/>
                <w:szCs w:val="16"/>
                <w:lang w:eastAsia="ja-JP"/>
              </w:rPr>
              <w:t>ACE</w:t>
            </w:r>
            <w:r w:rsidR="00BA5EA9" w:rsidRPr="001E6DFD">
              <w:rPr>
                <w:rFonts w:eastAsia="Batang"/>
                <w:sz w:val="16"/>
                <w:szCs w:val="16"/>
                <w:lang w:eastAsia="ja-JP"/>
              </w:rPr>
              <w:t xml:space="preserve"> </w:t>
            </w:r>
          </w:p>
        </w:tc>
        <w:tc>
          <w:tcPr>
            <w:tcW w:w="731" w:type="pct"/>
            <w:shd w:val="clear" w:color="auto" w:fill="auto"/>
            <w:tcMar>
              <w:top w:w="110" w:type="dxa"/>
              <w:left w:w="58" w:type="dxa"/>
              <w:right w:w="58" w:type="dxa"/>
            </w:tcMar>
          </w:tcPr>
          <w:p w14:paraId="2136D7DE" w14:textId="5271480F" w:rsidR="00BA5EA9" w:rsidRPr="001E6DFD" w:rsidRDefault="00B52D48" w:rsidP="0097226C">
            <w:pPr>
              <w:autoSpaceDE w:val="0"/>
              <w:autoSpaceDN w:val="0"/>
              <w:adjustRightInd w:val="0"/>
              <w:rPr>
                <w:rFonts w:eastAsia="Batang"/>
                <w:sz w:val="16"/>
                <w:szCs w:val="16"/>
                <w:lang w:eastAsia="ja-JP"/>
              </w:rPr>
            </w:pPr>
            <w:r w:rsidRPr="001E6DFD">
              <w:rPr>
                <w:rFonts w:eastAsia="Batang"/>
                <w:sz w:val="16"/>
                <w:szCs w:val="16"/>
                <w:lang w:eastAsia="ja-JP"/>
              </w:rPr>
              <w:t>Accord sur le programme de travail de la session suivante de l</w:t>
            </w:r>
            <w:r w:rsidR="00FA22F6" w:rsidRPr="001E6DFD">
              <w:rPr>
                <w:rFonts w:eastAsia="Batang"/>
                <w:sz w:val="16"/>
                <w:szCs w:val="16"/>
                <w:lang w:eastAsia="ja-JP"/>
              </w:rPr>
              <w:t>’</w:t>
            </w:r>
            <w:r w:rsidRPr="001E6DFD">
              <w:rPr>
                <w:rFonts w:eastAsia="Batang"/>
                <w:sz w:val="16"/>
                <w:szCs w:val="16"/>
                <w:lang w:eastAsia="ja-JP"/>
              </w:rPr>
              <w:t>ACE</w:t>
            </w:r>
          </w:p>
        </w:tc>
        <w:tc>
          <w:tcPr>
            <w:tcW w:w="1175" w:type="pct"/>
            <w:shd w:val="clear" w:color="auto" w:fill="FFFFFF"/>
            <w:tcMar>
              <w:top w:w="110" w:type="dxa"/>
              <w:left w:w="58" w:type="dxa"/>
              <w:right w:w="58" w:type="dxa"/>
            </w:tcMar>
          </w:tcPr>
          <w:p w14:paraId="7E4DD6E1" w14:textId="5ED109D6" w:rsidR="00FA22F6" w:rsidRPr="001303B4" w:rsidRDefault="00E00C41" w:rsidP="00E00C41">
            <w:pPr>
              <w:autoSpaceDE w:val="0"/>
              <w:autoSpaceDN w:val="0"/>
              <w:adjustRightInd w:val="0"/>
              <w:rPr>
                <w:sz w:val="16"/>
                <w:szCs w:val="16"/>
              </w:rPr>
            </w:pPr>
            <w:r w:rsidRPr="00912C62">
              <w:rPr>
                <w:sz w:val="16"/>
                <w:szCs w:val="16"/>
              </w:rPr>
              <w:t>Accord sur le programme de travail de la douz</w:t>
            </w:r>
            <w:r w:rsidR="00FA22F6" w:rsidRPr="00912C62">
              <w:rPr>
                <w:sz w:val="16"/>
                <w:szCs w:val="16"/>
              </w:rPr>
              <w:t>ième session</w:t>
            </w:r>
            <w:r w:rsidRPr="00912C62">
              <w:rPr>
                <w:sz w:val="16"/>
                <w:szCs w:val="16"/>
              </w:rPr>
              <w:t xml:space="preserve"> de l</w:t>
            </w:r>
            <w:r w:rsidR="00FA22F6" w:rsidRPr="00912C62">
              <w:rPr>
                <w:sz w:val="16"/>
                <w:szCs w:val="16"/>
              </w:rPr>
              <w:t>’</w:t>
            </w:r>
            <w:r w:rsidRPr="00912C62">
              <w:rPr>
                <w:sz w:val="16"/>
                <w:szCs w:val="16"/>
              </w:rPr>
              <w:t>ACE conclu</w:t>
            </w:r>
          </w:p>
          <w:p w14:paraId="5004366A" w14:textId="6518AA65" w:rsidR="00BA5EA9" w:rsidRPr="00912C62" w:rsidRDefault="00BA5EA9" w:rsidP="0097226C">
            <w:pPr>
              <w:autoSpaceDE w:val="0"/>
              <w:autoSpaceDN w:val="0"/>
              <w:adjustRightInd w:val="0"/>
              <w:rPr>
                <w:sz w:val="16"/>
                <w:szCs w:val="16"/>
              </w:rPr>
            </w:pPr>
            <w:r w:rsidRPr="00912C62">
              <w:rPr>
                <w:sz w:val="16"/>
                <w:szCs w:val="16"/>
              </w:rPr>
              <w:t>(WIPO/ACE/11/11</w:t>
            </w:r>
            <w:r w:rsidR="00A03FA5" w:rsidRPr="00912C62">
              <w:rPr>
                <w:sz w:val="16"/>
                <w:szCs w:val="16"/>
              </w:rPr>
              <w:t>, paragraphe </w:t>
            </w:r>
            <w:r w:rsidRPr="00912C62">
              <w:rPr>
                <w:sz w:val="16"/>
                <w:szCs w:val="16"/>
              </w:rPr>
              <w:t xml:space="preserve">39) </w:t>
            </w:r>
          </w:p>
        </w:tc>
        <w:tc>
          <w:tcPr>
            <w:tcW w:w="512" w:type="pct"/>
            <w:shd w:val="clear" w:color="auto" w:fill="auto"/>
            <w:tcMar>
              <w:top w:w="110" w:type="dxa"/>
              <w:left w:w="58" w:type="dxa"/>
              <w:right w:w="58" w:type="dxa"/>
            </w:tcMar>
          </w:tcPr>
          <w:p w14:paraId="4CA86762"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3D460AB2" w14:textId="77777777" w:rsidTr="005C716A">
        <w:tc>
          <w:tcPr>
            <w:tcW w:w="5000" w:type="pct"/>
            <w:gridSpan w:val="5"/>
            <w:shd w:val="clear" w:color="auto" w:fill="C6D9F1" w:themeFill="text2" w:themeFillTint="33"/>
            <w:tcMar>
              <w:left w:w="58" w:type="dxa"/>
              <w:right w:w="58" w:type="dxa"/>
            </w:tcMar>
            <w:vAlign w:val="center"/>
          </w:tcPr>
          <w:p w14:paraId="69FA2ABA" w14:textId="58BBC72C" w:rsidR="00BA5EA9" w:rsidRPr="001E6DFD" w:rsidRDefault="00B52D48" w:rsidP="0097226C">
            <w:pPr>
              <w:keepNext/>
              <w:keepLines/>
              <w:tabs>
                <w:tab w:val="left" w:pos="1452"/>
              </w:tabs>
              <w:rPr>
                <w:sz w:val="16"/>
                <w:szCs w:val="16"/>
              </w:rPr>
            </w:pPr>
            <w:r w:rsidRPr="001E6DFD">
              <w:rPr>
                <w:b/>
                <w:sz w:val="16"/>
                <w:szCs w:val="16"/>
              </w:rPr>
              <w:t>Résultat escompté</w:t>
            </w:r>
            <w:r w:rsidR="00FA22F6" w:rsidRPr="001E6DFD">
              <w:rPr>
                <w:b/>
                <w:sz w:val="16"/>
                <w:szCs w:val="16"/>
              </w:rPr>
              <w:t> :</w:t>
            </w:r>
            <w:r w:rsidRPr="001E6DFD">
              <w:rPr>
                <w:sz w:val="16"/>
                <w:szCs w:val="16"/>
              </w:rPr>
              <w:t xml:space="preserve"> VI.2 Coopération et coordination systématiques, efficaces et transparentes entre les travaux de l</w:t>
            </w:r>
            <w:r w:rsidR="00FA22F6" w:rsidRPr="001E6DFD">
              <w:rPr>
                <w:sz w:val="16"/>
                <w:szCs w:val="16"/>
              </w:rPr>
              <w:t>’</w:t>
            </w:r>
            <w:r w:rsidRPr="001E6DFD">
              <w:rPr>
                <w:sz w:val="16"/>
                <w:szCs w:val="16"/>
              </w:rPr>
              <w:t>OMPI et ceux d</w:t>
            </w:r>
            <w:r w:rsidR="00FA22F6" w:rsidRPr="001E6DFD">
              <w:rPr>
                <w:sz w:val="16"/>
                <w:szCs w:val="16"/>
              </w:rPr>
              <w:t>’</w:t>
            </w:r>
            <w:r w:rsidRPr="001E6DFD">
              <w:rPr>
                <w:sz w:val="16"/>
                <w:szCs w:val="16"/>
              </w:rPr>
              <w:t>autres organisations internationales dans le domaine de la promotion du respect de la propriété intellectuelle</w:t>
            </w:r>
            <w:r w:rsidR="00BA5EA9" w:rsidRPr="001E6DFD">
              <w:rPr>
                <w:sz w:val="16"/>
                <w:szCs w:val="16"/>
              </w:rPr>
              <w:t xml:space="preserve"> </w:t>
            </w:r>
          </w:p>
        </w:tc>
      </w:tr>
      <w:tr w:rsidR="00BA5EA9" w:rsidRPr="001E6DFD" w14:paraId="6206E4E1" w14:textId="77777777" w:rsidTr="005C716A">
        <w:tc>
          <w:tcPr>
            <w:tcW w:w="1072" w:type="pct"/>
            <w:shd w:val="clear" w:color="auto" w:fill="auto"/>
            <w:tcMar>
              <w:left w:w="58" w:type="dxa"/>
              <w:right w:w="58" w:type="dxa"/>
            </w:tcMar>
            <w:vAlign w:val="center"/>
          </w:tcPr>
          <w:p w14:paraId="4315226F" w14:textId="1DD2147F" w:rsidR="00BA5EA9" w:rsidRPr="001E6DFD" w:rsidRDefault="00B52D48"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10" w:type="pct"/>
            <w:shd w:val="clear" w:color="auto" w:fill="auto"/>
            <w:tcMar>
              <w:left w:w="58" w:type="dxa"/>
              <w:right w:w="58" w:type="dxa"/>
            </w:tcMar>
            <w:vAlign w:val="center"/>
          </w:tcPr>
          <w:p w14:paraId="1CD6D903" w14:textId="77777777" w:rsidR="00BA5EA9" w:rsidRPr="001E6DFD" w:rsidRDefault="00B52D48" w:rsidP="0097226C">
            <w:pPr>
              <w:jc w:val="center"/>
              <w:rPr>
                <w:b/>
                <w:bCs/>
                <w:sz w:val="16"/>
                <w:szCs w:val="16"/>
              </w:rPr>
            </w:pPr>
            <w:r w:rsidRPr="001E6DFD">
              <w:rPr>
                <w:b/>
                <w:bCs/>
                <w:sz w:val="16"/>
                <w:szCs w:val="16"/>
              </w:rPr>
              <w:t>Niveaux de référence</w:t>
            </w:r>
          </w:p>
        </w:tc>
        <w:tc>
          <w:tcPr>
            <w:tcW w:w="731" w:type="pct"/>
            <w:shd w:val="clear" w:color="auto" w:fill="auto"/>
            <w:tcMar>
              <w:top w:w="110" w:type="dxa"/>
              <w:left w:w="58" w:type="dxa"/>
              <w:right w:w="58" w:type="dxa"/>
            </w:tcMar>
            <w:vAlign w:val="center"/>
          </w:tcPr>
          <w:p w14:paraId="79501603" w14:textId="77777777" w:rsidR="00BA5EA9" w:rsidRPr="001E6DFD" w:rsidRDefault="00B52D48" w:rsidP="0097226C">
            <w:pPr>
              <w:jc w:val="center"/>
              <w:rPr>
                <w:b/>
                <w:bCs/>
                <w:sz w:val="16"/>
                <w:szCs w:val="16"/>
              </w:rPr>
            </w:pPr>
            <w:r w:rsidRPr="001E6DFD">
              <w:rPr>
                <w:b/>
                <w:bCs/>
                <w:sz w:val="16"/>
                <w:szCs w:val="16"/>
              </w:rPr>
              <w:t>Objectifs visés</w:t>
            </w:r>
          </w:p>
        </w:tc>
        <w:tc>
          <w:tcPr>
            <w:tcW w:w="1175" w:type="pct"/>
            <w:shd w:val="clear" w:color="auto" w:fill="FFFFFF"/>
            <w:tcMar>
              <w:top w:w="110" w:type="dxa"/>
              <w:left w:w="58" w:type="dxa"/>
              <w:right w:w="58" w:type="dxa"/>
            </w:tcMar>
            <w:vAlign w:val="center"/>
          </w:tcPr>
          <w:p w14:paraId="10696DB3" w14:textId="1993422D" w:rsidR="00BA5EA9" w:rsidRPr="001E6DFD" w:rsidRDefault="00B52D48"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shd w:val="clear" w:color="auto" w:fill="auto"/>
            <w:tcMar>
              <w:top w:w="110" w:type="dxa"/>
              <w:left w:w="58" w:type="dxa"/>
              <w:right w:w="58" w:type="dxa"/>
            </w:tcMar>
            <w:vAlign w:val="center"/>
          </w:tcPr>
          <w:p w14:paraId="37A22234" w14:textId="606C3787"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681317E8" w14:textId="77777777" w:rsidTr="005C716A">
        <w:tc>
          <w:tcPr>
            <w:tcW w:w="1072" w:type="pct"/>
            <w:shd w:val="clear" w:color="auto" w:fill="auto"/>
            <w:tcMar>
              <w:left w:w="58" w:type="dxa"/>
              <w:right w:w="58" w:type="dxa"/>
            </w:tcMar>
          </w:tcPr>
          <w:p w14:paraId="3D876A39" w14:textId="77777777" w:rsidR="00BA5EA9" w:rsidRPr="001E6DFD" w:rsidRDefault="00B52D48" w:rsidP="0097226C">
            <w:pPr>
              <w:autoSpaceDE w:val="0"/>
              <w:autoSpaceDN w:val="0"/>
              <w:adjustRightInd w:val="0"/>
              <w:rPr>
                <w:rFonts w:eastAsia="Batang"/>
                <w:sz w:val="16"/>
                <w:szCs w:val="16"/>
                <w:lang w:eastAsia="ja-JP"/>
              </w:rPr>
            </w:pPr>
            <w:r w:rsidRPr="001E6DFD">
              <w:rPr>
                <w:rFonts w:eastAsia="Batang"/>
                <w:sz w:val="16"/>
                <w:szCs w:val="16"/>
                <w:lang w:eastAsia="ja-JP"/>
              </w:rPr>
              <w:t>Nombre de collaborations stratégiques ou autres activités communes menées avec les organisations partenaires dans le domaine de la promotion du respect de la propriété intellectuelle</w:t>
            </w:r>
            <w:r w:rsidR="00BA5EA9" w:rsidRPr="001E6DFD">
              <w:rPr>
                <w:rFonts w:eastAsia="Batang"/>
                <w:sz w:val="16"/>
                <w:szCs w:val="16"/>
                <w:lang w:eastAsia="ja-JP"/>
              </w:rPr>
              <w:t xml:space="preserve"> </w:t>
            </w:r>
          </w:p>
        </w:tc>
        <w:tc>
          <w:tcPr>
            <w:tcW w:w="1510" w:type="pct"/>
            <w:shd w:val="clear" w:color="auto" w:fill="auto"/>
            <w:tcMar>
              <w:left w:w="58" w:type="dxa"/>
              <w:right w:w="58" w:type="dxa"/>
            </w:tcMar>
          </w:tcPr>
          <w:p w14:paraId="41607C58" w14:textId="353CC148"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5DF18AEE" w14:textId="5293BB2E" w:rsidR="00FA22F6" w:rsidRPr="00912C62" w:rsidRDefault="00FA22F6" w:rsidP="0097226C">
            <w:pPr>
              <w:rPr>
                <w:color w:val="002060"/>
                <w:sz w:val="16"/>
                <w:szCs w:val="16"/>
              </w:rPr>
            </w:pPr>
            <w:r w:rsidRPr="00912C62">
              <w:rPr>
                <w:color w:val="002060"/>
                <w:sz w:val="16"/>
                <w:szCs w:val="16"/>
              </w:rPr>
              <w:t>En 2014</w:t>
            </w:r>
            <w:r w:rsidR="006A41CF" w:rsidRPr="00912C62">
              <w:rPr>
                <w:color w:val="002060"/>
                <w:sz w:val="16"/>
                <w:szCs w:val="16"/>
              </w:rPr>
              <w:noBreakHyphen/>
            </w:r>
            <w:r w:rsidR="00680DFF" w:rsidRPr="00912C62">
              <w:rPr>
                <w:color w:val="002060"/>
                <w:sz w:val="16"/>
                <w:szCs w:val="16"/>
              </w:rPr>
              <w:t>20</w:t>
            </w:r>
            <w:r w:rsidR="00BA5EA9" w:rsidRPr="00912C62">
              <w:rPr>
                <w:color w:val="002060"/>
                <w:sz w:val="16"/>
                <w:szCs w:val="16"/>
              </w:rPr>
              <w:t xml:space="preserve">15, </w:t>
            </w:r>
            <w:r w:rsidR="00680DFF" w:rsidRPr="00912C62">
              <w:rPr>
                <w:color w:val="002060"/>
                <w:sz w:val="16"/>
                <w:szCs w:val="16"/>
              </w:rPr>
              <w:t xml:space="preserve">un total de </w:t>
            </w:r>
            <w:r w:rsidR="00BA5EA9" w:rsidRPr="00912C62">
              <w:rPr>
                <w:color w:val="002060"/>
                <w:sz w:val="16"/>
                <w:szCs w:val="16"/>
              </w:rPr>
              <w:t>7</w:t>
            </w:r>
            <w:r w:rsidR="00B4191E" w:rsidRPr="00912C62">
              <w:rPr>
                <w:color w:val="002060"/>
                <w:sz w:val="16"/>
                <w:szCs w:val="16"/>
              </w:rPr>
              <w:t> </w:t>
            </w:r>
            <w:r w:rsidR="00680DFF" w:rsidRPr="00912C62">
              <w:rPr>
                <w:color w:val="002060"/>
                <w:sz w:val="16"/>
                <w:szCs w:val="16"/>
              </w:rPr>
              <w:t>collaborations stratégiques</w:t>
            </w:r>
            <w:r w:rsidR="00BA5EA9" w:rsidRPr="00912C62">
              <w:rPr>
                <w:rStyle w:val="FootnoteReference"/>
                <w:rFonts w:cs="Arial"/>
                <w:color w:val="002060"/>
                <w:szCs w:val="16"/>
              </w:rPr>
              <w:footnoteReference w:id="75"/>
            </w:r>
            <w:r w:rsidR="00BA5EA9" w:rsidRPr="00912C62">
              <w:rPr>
                <w:color w:val="002060"/>
                <w:sz w:val="16"/>
                <w:szCs w:val="16"/>
              </w:rPr>
              <w:t xml:space="preserve"> (</w:t>
            </w:r>
            <w:r w:rsidR="009E1B3D" w:rsidRPr="00912C62">
              <w:rPr>
                <w:color w:val="002060"/>
                <w:sz w:val="16"/>
                <w:szCs w:val="16"/>
              </w:rPr>
              <w:t>en tout</w:t>
            </w:r>
            <w:r w:rsidR="00BA5EA9" w:rsidRPr="00912C62">
              <w:rPr>
                <w:color w:val="002060"/>
                <w:sz w:val="16"/>
                <w:szCs w:val="16"/>
              </w:rPr>
              <w:t xml:space="preserve">) </w:t>
            </w:r>
            <w:r w:rsidR="009E1B3D" w:rsidRPr="00912C62">
              <w:rPr>
                <w:color w:val="002060"/>
                <w:sz w:val="16"/>
                <w:szCs w:val="16"/>
              </w:rPr>
              <w:t xml:space="preserve">et </w:t>
            </w:r>
            <w:r w:rsidR="00BA5EA9" w:rsidRPr="00912C62">
              <w:rPr>
                <w:color w:val="002060"/>
                <w:sz w:val="16"/>
                <w:szCs w:val="16"/>
              </w:rPr>
              <w:t>55</w:t>
            </w:r>
            <w:r w:rsidR="00B4191E" w:rsidRPr="00912C62">
              <w:rPr>
                <w:color w:val="002060"/>
                <w:sz w:val="16"/>
                <w:szCs w:val="16"/>
              </w:rPr>
              <w:t> </w:t>
            </w:r>
            <w:r w:rsidR="009E1B3D" w:rsidRPr="00912C62">
              <w:rPr>
                <w:color w:val="002060"/>
                <w:sz w:val="16"/>
                <w:szCs w:val="16"/>
              </w:rPr>
              <w:t>activités communes menées avec les organisations partenaires et les parties prenantes et/ou auxquelles le programme</w:t>
            </w:r>
            <w:r w:rsidR="00B4191E" w:rsidRPr="00912C62">
              <w:rPr>
                <w:color w:val="002060"/>
                <w:sz w:val="16"/>
                <w:szCs w:val="16"/>
              </w:rPr>
              <w:t> </w:t>
            </w:r>
            <w:r w:rsidR="009E1B3D" w:rsidRPr="00912C62">
              <w:rPr>
                <w:color w:val="002060"/>
                <w:sz w:val="16"/>
                <w:szCs w:val="16"/>
              </w:rPr>
              <w:t>17 a participé</w:t>
            </w:r>
          </w:p>
          <w:p w14:paraId="46A54410" w14:textId="142EAEB8" w:rsidR="001F64B1" w:rsidRPr="001E6DFD" w:rsidRDefault="001F64B1" w:rsidP="0097226C">
            <w:pPr>
              <w:rPr>
                <w:sz w:val="16"/>
                <w:szCs w:val="16"/>
              </w:rPr>
            </w:pPr>
          </w:p>
          <w:p w14:paraId="64198552" w14:textId="6775A275" w:rsidR="00FA22F6" w:rsidRPr="001E6DFD" w:rsidRDefault="00E64532" w:rsidP="0097226C">
            <w:pPr>
              <w:autoSpaceDE w:val="0"/>
              <w:autoSpaceDN w:val="0"/>
              <w:adjustRightInd w:val="0"/>
              <w:rPr>
                <w:rFonts w:eastAsia="Batang"/>
                <w:i/>
                <w:sz w:val="16"/>
                <w:szCs w:val="16"/>
                <w:lang w:eastAsia="ja-JP" w:bidi="th-TH"/>
              </w:rPr>
            </w:pPr>
            <w:r w:rsidRPr="001E6DFD">
              <w:rPr>
                <w:rFonts w:eastAsia="Batang"/>
                <w:i/>
                <w:sz w:val="16"/>
                <w:szCs w:val="16"/>
                <w:lang w:eastAsia="ja-JP" w:bidi="th-TH"/>
              </w:rPr>
              <w:t>Niveau de référence initial dans le programme et budget 2016</w:t>
            </w:r>
            <w:r w:rsidR="006A41CF" w:rsidRPr="001E6DFD">
              <w:rPr>
                <w:rFonts w:eastAsia="Batang"/>
                <w:i/>
                <w:sz w:val="16"/>
                <w:szCs w:val="16"/>
                <w:lang w:eastAsia="ja-JP" w:bidi="th-TH"/>
              </w:rPr>
              <w:noBreakHyphen/>
            </w:r>
            <w:r w:rsidRPr="001E6DFD">
              <w:rPr>
                <w:rFonts w:eastAsia="Batang"/>
                <w:i/>
                <w:sz w:val="16"/>
                <w:szCs w:val="16"/>
                <w:lang w:eastAsia="ja-JP" w:bidi="th-TH"/>
              </w:rPr>
              <w:t>2017</w:t>
            </w:r>
            <w:r w:rsidR="00FA22F6" w:rsidRPr="001E6DFD">
              <w:rPr>
                <w:rFonts w:eastAsia="Batang"/>
                <w:i/>
                <w:sz w:val="16"/>
                <w:szCs w:val="16"/>
                <w:lang w:eastAsia="ja-JP" w:bidi="th-TH"/>
              </w:rPr>
              <w:t> :</w:t>
            </w:r>
          </w:p>
          <w:p w14:paraId="69AFA2F5" w14:textId="34D32FFF" w:rsidR="00BA5EA9" w:rsidRPr="001E6DFD" w:rsidRDefault="00B52D48" w:rsidP="0097226C">
            <w:pPr>
              <w:autoSpaceDE w:val="0"/>
              <w:autoSpaceDN w:val="0"/>
              <w:adjustRightInd w:val="0"/>
              <w:rPr>
                <w:rFonts w:eastAsia="Batang"/>
                <w:sz w:val="16"/>
                <w:szCs w:val="16"/>
                <w:lang w:eastAsia="ja-JP"/>
              </w:rPr>
            </w:pPr>
            <w:r w:rsidRPr="001E6DFD">
              <w:rPr>
                <w:rFonts w:eastAsia="Batang"/>
                <w:sz w:val="16"/>
                <w:szCs w:val="16"/>
                <w:lang w:eastAsia="ja-JP"/>
              </w:rPr>
              <w:t>6 collaborations stratégiques;  24 autres activités communes (au 1</w:t>
            </w:r>
            <w:r w:rsidR="00FA22F6" w:rsidRPr="001E6DFD">
              <w:rPr>
                <w:rFonts w:eastAsia="Batang"/>
                <w:sz w:val="16"/>
                <w:szCs w:val="16"/>
                <w:lang w:eastAsia="ja-JP"/>
              </w:rPr>
              <w:t>5 février 20</w:t>
            </w:r>
            <w:r w:rsidRPr="001E6DFD">
              <w:rPr>
                <w:rFonts w:eastAsia="Batang"/>
                <w:sz w:val="16"/>
                <w:szCs w:val="16"/>
                <w:lang w:eastAsia="ja-JP"/>
              </w:rPr>
              <w:t>15)</w:t>
            </w:r>
          </w:p>
        </w:tc>
        <w:tc>
          <w:tcPr>
            <w:tcW w:w="731" w:type="pct"/>
            <w:shd w:val="clear" w:color="auto" w:fill="auto"/>
            <w:tcMar>
              <w:top w:w="110" w:type="dxa"/>
              <w:left w:w="58" w:type="dxa"/>
              <w:right w:w="58" w:type="dxa"/>
            </w:tcMar>
          </w:tcPr>
          <w:p w14:paraId="3C085BF0" w14:textId="3B3EDEA4" w:rsidR="00FA22F6" w:rsidRPr="00912C62" w:rsidRDefault="00AC7D97" w:rsidP="0097226C">
            <w:pPr>
              <w:rPr>
                <w:i/>
                <w:color w:val="002060"/>
                <w:sz w:val="16"/>
                <w:szCs w:val="16"/>
              </w:rPr>
            </w:pPr>
            <w:r w:rsidRPr="00912C62">
              <w:rPr>
                <w:i/>
                <w:color w:val="002060"/>
                <w:sz w:val="16"/>
                <w:szCs w:val="16"/>
              </w:rPr>
              <w:t>Objectif actualisé</w:t>
            </w:r>
            <w:r w:rsidR="00FA22F6" w:rsidRPr="00912C62">
              <w:rPr>
                <w:i/>
                <w:color w:val="002060"/>
                <w:sz w:val="16"/>
                <w:szCs w:val="16"/>
              </w:rPr>
              <w:t> :</w:t>
            </w:r>
          </w:p>
          <w:p w14:paraId="6B43D898" w14:textId="0304D409" w:rsidR="00FA22F6" w:rsidRPr="001E6DFD" w:rsidRDefault="00BA5EA9" w:rsidP="0097226C">
            <w:pPr>
              <w:rPr>
                <w:rFonts w:eastAsia="Batang"/>
                <w:sz w:val="16"/>
                <w:szCs w:val="16"/>
                <w:lang w:eastAsia="ja-JP"/>
              </w:rPr>
            </w:pPr>
            <w:r w:rsidRPr="00912C62">
              <w:rPr>
                <w:rFonts w:eastAsia="Batang"/>
                <w:color w:val="002060"/>
                <w:sz w:val="16"/>
                <w:szCs w:val="16"/>
                <w:lang w:eastAsia="ja-JP"/>
              </w:rPr>
              <w:t xml:space="preserve">7 </w:t>
            </w:r>
            <w:r w:rsidR="00A03FA5" w:rsidRPr="00912C62">
              <w:rPr>
                <w:rFonts w:eastAsia="Batang"/>
                <w:color w:val="002060"/>
                <w:sz w:val="16"/>
                <w:szCs w:val="16"/>
                <w:lang w:eastAsia="ja-JP"/>
              </w:rPr>
              <w:t>collaborations stratégiques</w:t>
            </w:r>
            <w:r w:rsidRPr="00912C62">
              <w:rPr>
                <w:rFonts w:eastAsia="Batang"/>
                <w:color w:val="002060"/>
                <w:sz w:val="16"/>
                <w:szCs w:val="16"/>
                <w:lang w:eastAsia="ja-JP"/>
              </w:rPr>
              <w:t>;  50</w:t>
            </w:r>
            <w:r w:rsidR="00A03FA5" w:rsidRPr="00912C62">
              <w:rPr>
                <w:rFonts w:eastAsia="Batang"/>
                <w:color w:val="002060"/>
                <w:sz w:val="16"/>
                <w:szCs w:val="16"/>
                <w:lang w:eastAsia="ja-JP"/>
              </w:rPr>
              <w:t> activités com</w:t>
            </w:r>
            <w:r w:rsidR="0003614B" w:rsidRPr="00912C62">
              <w:rPr>
                <w:rFonts w:eastAsia="Batang"/>
                <w:color w:val="002060"/>
                <w:sz w:val="16"/>
                <w:szCs w:val="16"/>
                <w:lang w:eastAsia="ja-JP"/>
              </w:rPr>
              <w:t>munes</w:t>
            </w:r>
            <w:r w:rsidR="00A03FA5" w:rsidRPr="00912C62">
              <w:rPr>
                <w:rFonts w:eastAsia="Batang"/>
                <w:color w:val="002060"/>
                <w:sz w:val="16"/>
                <w:szCs w:val="16"/>
                <w:lang w:eastAsia="ja-JP"/>
              </w:rPr>
              <w:t xml:space="preserve"> au cours de l</w:t>
            </w:r>
            <w:r w:rsidR="00FA22F6" w:rsidRPr="00912C62">
              <w:rPr>
                <w:rFonts w:eastAsia="Batang"/>
                <w:color w:val="002060"/>
                <w:sz w:val="16"/>
                <w:szCs w:val="16"/>
                <w:lang w:eastAsia="ja-JP"/>
              </w:rPr>
              <w:t>’</w:t>
            </w:r>
            <w:r w:rsidR="00A03FA5" w:rsidRPr="00912C62">
              <w:rPr>
                <w:rFonts w:eastAsia="Batang"/>
                <w:color w:val="002060"/>
                <w:sz w:val="16"/>
                <w:szCs w:val="16"/>
                <w:lang w:eastAsia="ja-JP"/>
              </w:rPr>
              <w:t>exercice biennal</w:t>
            </w:r>
          </w:p>
          <w:p w14:paraId="0E1BDCB6" w14:textId="27BBD0BE" w:rsidR="001F64B1" w:rsidRPr="001E6DFD" w:rsidRDefault="001F64B1" w:rsidP="0097226C">
            <w:pPr>
              <w:rPr>
                <w:sz w:val="16"/>
                <w:szCs w:val="16"/>
              </w:rPr>
            </w:pPr>
          </w:p>
          <w:p w14:paraId="599ECB8E" w14:textId="6E37D001" w:rsidR="00FA22F6" w:rsidRPr="001E6DFD" w:rsidRDefault="00AC7D97" w:rsidP="0097226C">
            <w:pPr>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2F107F3B" w14:textId="421C7AC6" w:rsidR="00BA5EA9" w:rsidRPr="001E6DFD" w:rsidRDefault="00BA5EA9" w:rsidP="0097226C">
            <w:pPr>
              <w:autoSpaceDE w:val="0"/>
              <w:autoSpaceDN w:val="0"/>
              <w:adjustRightInd w:val="0"/>
              <w:rPr>
                <w:rFonts w:eastAsia="Batang"/>
                <w:sz w:val="16"/>
                <w:szCs w:val="16"/>
                <w:lang w:eastAsia="ja-JP"/>
              </w:rPr>
            </w:pPr>
            <w:r w:rsidRPr="001E6DFD">
              <w:rPr>
                <w:rFonts w:eastAsia="Batang"/>
                <w:sz w:val="16"/>
                <w:szCs w:val="16"/>
                <w:lang w:eastAsia="ja-JP"/>
              </w:rPr>
              <w:t>6 collaborations</w:t>
            </w:r>
            <w:r w:rsidR="00A03FA5" w:rsidRPr="001E6DFD">
              <w:rPr>
                <w:rFonts w:eastAsia="Batang"/>
                <w:sz w:val="16"/>
                <w:szCs w:val="16"/>
                <w:lang w:eastAsia="ja-JP"/>
              </w:rPr>
              <w:t xml:space="preserve"> stratégiques</w:t>
            </w:r>
            <w:r w:rsidRPr="001E6DFD">
              <w:rPr>
                <w:rFonts w:eastAsia="Batang"/>
                <w:sz w:val="16"/>
                <w:szCs w:val="16"/>
                <w:lang w:eastAsia="ja-JP"/>
              </w:rPr>
              <w:t xml:space="preserve">; </w:t>
            </w:r>
            <w:r w:rsidR="00A03FA5" w:rsidRPr="001E6DFD">
              <w:rPr>
                <w:rFonts w:eastAsia="Batang"/>
                <w:sz w:val="16"/>
                <w:szCs w:val="16"/>
                <w:lang w:eastAsia="ja-JP"/>
              </w:rPr>
              <w:t xml:space="preserve"> </w:t>
            </w:r>
            <w:r w:rsidRPr="001E6DFD">
              <w:rPr>
                <w:rFonts w:eastAsia="Batang"/>
                <w:sz w:val="16"/>
                <w:szCs w:val="16"/>
                <w:lang w:eastAsia="ja-JP"/>
              </w:rPr>
              <w:t>25</w:t>
            </w:r>
            <w:r w:rsidR="00A03FA5" w:rsidRPr="001E6DFD">
              <w:rPr>
                <w:rFonts w:eastAsia="Batang"/>
                <w:sz w:val="16"/>
                <w:szCs w:val="16"/>
                <w:lang w:eastAsia="ja-JP"/>
              </w:rPr>
              <w:t> autres activités communes</w:t>
            </w:r>
          </w:p>
        </w:tc>
        <w:tc>
          <w:tcPr>
            <w:tcW w:w="1175" w:type="pct"/>
            <w:shd w:val="clear" w:color="auto" w:fill="FFFFFF"/>
            <w:tcMar>
              <w:top w:w="110" w:type="dxa"/>
              <w:left w:w="58" w:type="dxa"/>
              <w:right w:w="58" w:type="dxa"/>
            </w:tcMar>
          </w:tcPr>
          <w:p w14:paraId="26EDC943" w14:textId="4DBF52AD" w:rsidR="00BA5EA9" w:rsidRPr="00912C62" w:rsidRDefault="00147AB4" w:rsidP="006A41CF">
            <w:pPr>
              <w:rPr>
                <w:sz w:val="16"/>
                <w:szCs w:val="16"/>
              </w:rPr>
            </w:pPr>
            <w:r w:rsidRPr="00912C62">
              <w:rPr>
                <w:sz w:val="16"/>
                <w:szCs w:val="16"/>
              </w:rPr>
              <w:t>7 collaborations stratégiques en cours et 20</w:t>
            </w:r>
            <w:r w:rsidR="00B4191E" w:rsidRPr="00912C62">
              <w:rPr>
                <w:sz w:val="16"/>
                <w:szCs w:val="16"/>
              </w:rPr>
              <w:t> </w:t>
            </w:r>
            <w:r w:rsidRPr="00912C62">
              <w:rPr>
                <w:sz w:val="16"/>
                <w:szCs w:val="16"/>
              </w:rPr>
              <w:t>activités communes menées avec les organisations partenaires et les parties prenantes et/ou auxquelles le programme</w:t>
            </w:r>
            <w:r w:rsidR="00B4191E" w:rsidRPr="00912C62">
              <w:rPr>
                <w:sz w:val="16"/>
                <w:szCs w:val="16"/>
              </w:rPr>
              <w:t> </w:t>
            </w:r>
            <w:r w:rsidRPr="00912C62">
              <w:rPr>
                <w:sz w:val="16"/>
                <w:szCs w:val="16"/>
              </w:rPr>
              <w:t>17 a participé</w:t>
            </w:r>
          </w:p>
        </w:tc>
        <w:tc>
          <w:tcPr>
            <w:tcW w:w="512" w:type="pct"/>
            <w:shd w:val="clear" w:color="auto" w:fill="auto"/>
            <w:tcMar>
              <w:top w:w="110" w:type="dxa"/>
              <w:left w:w="58" w:type="dxa"/>
              <w:right w:w="58" w:type="dxa"/>
            </w:tcMar>
          </w:tcPr>
          <w:p w14:paraId="0B4EC61E" w14:textId="77777777" w:rsidR="00BA5EA9" w:rsidRPr="001E6DFD" w:rsidRDefault="00A43B2F" w:rsidP="0097226C">
            <w:pPr>
              <w:keepNext/>
              <w:keepLines/>
              <w:jc w:val="center"/>
              <w:rPr>
                <w:b/>
                <w:sz w:val="16"/>
                <w:szCs w:val="16"/>
              </w:rPr>
            </w:pPr>
            <w:r w:rsidRPr="001E6DFD">
              <w:rPr>
                <w:b/>
                <w:color w:val="00B050"/>
                <w:sz w:val="16"/>
                <w:szCs w:val="16"/>
              </w:rPr>
              <w:t>En bonne voie</w:t>
            </w:r>
          </w:p>
        </w:tc>
      </w:tr>
      <w:tr w:rsidR="00BA5EA9" w:rsidRPr="001E6DFD" w14:paraId="064B1A9C" w14:textId="77777777" w:rsidTr="005C716A">
        <w:tc>
          <w:tcPr>
            <w:tcW w:w="5000" w:type="pct"/>
            <w:gridSpan w:val="5"/>
            <w:shd w:val="clear" w:color="auto" w:fill="C6D9F1" w:themeFill="text2" w:themeFillTint="33"/>
            <w:tcMar>
              <w:left w:w="58" w:type="dxa"/>
              <w:right w:w="58" w:type="dxa"/>
            </w:tcMar>
            <w:vAlign w:val="center"/>
          </w:tcPr>
          <w:p w14:paraId="3F890329" w14:textId="1EDED222" w:rsidR="00BA5EA9" w:rsidRPr="001E6DFD" w:rsidRDefault="00B52D48" w:rsidP="00912C62">
            <w:pPr>
              <w:keepNext/>
              <w:keepLines/>
              <w:tabs>
                <w:tab w:val="left" w:pos="1452"/>
              </w:tabs>
              <w:rPr>
                <w:sz w:val="16"/>
                <w:szCs w:val="16"/>
              </w:rPr>
            </w:pPr>
            <w:r w:rsidRPr="001E6DFD">
              <w:rPr>
                <w:b/>
                <w:sz w:val="16"/>
                <w:szCs w:val="16"/>
              </w:rPr>
              <w:lastRenderedPageBreak/>
              <w:t>Résultat escompté</w:t>
            </w:r>
            <w:r w:rsidR="00FA22F6" w:rsidRPr="001E6DFD">
              <w:rPr>
                <w:b/>
                <w:sz w:val="16"/>
                <w:szCs w:val="16"/>
              </w:rPr>
              <w:t> :</w:t>
            </w:r>
            <w:r w:rsidRPr="001E6DFD">
              <w:rPr>
                <w:b/>
                <w:sz w:val="16"/>
                <w:szCs w:val="16"/>
              </w:rPr>
              <w:t xml:space="preserve"> </w:t>
            </w:r>
            <w:r w:rsidRPr="001E6DFD">
              <w:rPr>
                <w:sz w:val="16"/>
                <w:szCs w:val="16"/>
              </w:rPr>
              <w:t>VIII.1 Communication plus efficace avec le grand public concernant la propriété intellectuelle et le rôle de l</w:t>
            </w:r>
            <w:r w:rsidR="00FA22F6" w:rsidRPr="001E6DFD">
              <w:rPr>
                <w:sz w:val="16"/>
                <w:szCs w:val="16"/>
              </w:rPr>
              <w:t>’</w:t>
            </w:r>
            <w:r w:rsidRPr="001E6DFD">
              <w:rPr>
                <w:sz w:val="16"/>
                <w:szCs w:val="16"/>
              </w:rPr>
              <w:t>OMPI</w:t>
            </w:r>
            <w:r w:rsidR="00BA5EA9" w:rsidRPr="001E6DFD">
              <w:rPr>
                <w:sz w:val="16"/>
                <w:szCs w:val="16"/>
              </w:rPr>
              <w:t xml:space="preserve"> </w:t>
            </w:r>
          </w:p>
        </w:tc>
      </w:tr>
      <w:tr w:rsidR="00BA5EA9" w:rsidRPr="001E6DFD" w14:paraId="25C1B1A6" w14:textId="77777777" w:rsidTr="005C716A">
        <w:tc>
          <w:tcPr>
            <w:tcW w:w="1072" w:type="pct"/>
            <w:shd w:val="clear" w:color="auto" w:fill="auto"/>
            <w:tcMar>
              <w:left w:w="58" w:type="dxa"/>
              <w:right w:w="58" w:type="dxa"/>
            </w:tcMar>
            <w:vAlign w:val="center"/>
          </w:tcPr>
          <w:p w14:paraId="0A487691" w14:textId="052904FF" w:rsidR="00BA5EA9" w:rsidRPr="001E6DFD" w:rsidRDefault="00B52D48" w:rsidP="00912C62">
            <w:pPr>
              <w:keepNext/>
              <w:keepLines/>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510" w:type="pct"/>
            <w:shd w:val="clear" w:color="auto" w:fill="auto"/>
            <w:tcMar>
              <w:left w:w="58" w:type="dxa"/>
              <w:right w:w="58" w:type="dxa"/>
            </w:tcMar>
            <w:vAlign w:val="center"/>
          </w:tcPr>
          <w:p w14:paraId="18F94C61" w14:textId="77777777" w:rsidR="00BA5EA9" w:rsidRPr="001E6DFD" w:rsidRDefault="00B52D48" w:rsidP="00912C62">
            <w:pPr>
              <w:keepNext/>
              <w:keepLines/>
              <w:jc w:val="center"/>
              <w:rPr>
                <w:b/>
                <w:bCs/>
                <w:sz w:val="16"/>
                <w:szCs w:val="16"/>
              </w:rPr>
            </w:pPr>
            <w:r w:rsidRPr="001E6DFD">
              <w:rPr>
                <w:b/>
                <w:bCs/>
                <w:sz w:val="16"/>
                <w:szCs w:val="16"/>
              </w:rPr>
              <w:t>Niveaux de référence</w:t>
            </w:r>
          </w:p>
        </w:tc>
        <w:tc>
          <w:tcPr>
            <w:tcW w:w="731" w:type="pct"/>
            <w:shd w:val="clear" w:color="auto" w:fill="auto"/>
            <w:tcMar>
              <w:top w:w="110" w:type="dxa"/>
              <w:left w:w="58" w:type="dxa"/>
              <w:right w:w="58" w:type="dxa"/>
            </w:tcMar>
            <w:vAlign w:val="center"/>
          </w:tcPr>
          <w:p w14:paraId="2EF3E574" w14:textId="77777777" w:rsidR="00BA5EA9" w:rsidRPr="001E6DFD" w:rsidRDefault="00B52D48" w:rsidP="00912C62">
            <w:pPr>
              <w:keepNext/>
              <w:keepLines/>
              <w:jc w:val="center"/>
              <w:rPr>
                <w:b/>
                <w:bCs/>
                <w:sz w:val="16"/>
                <w:szCs w:val="16"/>
              </w:rPr>
            </w:pPr>
            <w:r w:rsidRPr="001E6DFD">
              <w:rPr>
                <w:b/>
                <w:bCs/>
                <w:sz w:val="16"/>
                <w:szCs w:val="16"/>
              </w:rPr>
              <w:t>Objectifs visés</w:t>
            </w:r>
          </w:p>
        </w:tc>
        <w:tc>
          <w:tcPr>
            <w:tcW w:w="1175" w:type="pct"/>
            <w:shd w:val="clear" w:color="auto" w:fill="FFFFFF"/>
            <w:tcMar>
              <w:top w:w="110" w:type="dxa"/>
              <w:left w:w="58" w:type="dxa"/>
              <w:right w:w="58" w:type="dxa"/>
            </w:tcMar>
            <w:vAlign w:val="center"/>
          </w:tcPr>
          <w:p w14:paraId="5DB6602A" w14:textId="5BC21839" w:rsidR="00BA5EA9" w:rsidRPr="001E6DFD" w:rsidRDefault="00B52D48" w:rsidP="00912C62">
            <w:pPr>
              <w:keepNext/>
              <w:keepLines/>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512" w:type="pct"/>
            <w:shd w:val="clear" w:color="auto" w:fill="auto"/>
            <w:tcMar>
              <w:top w:w="110" w:type="dxa"/>
              <w:left w:w="58" w:type="dxa"/>
              <w:right w:w="58" w:type="dxa"/>
            </w:tcMar>
            <w:vAlign w:val="center"/>
          </w:tcPr>
          <w:p w14:paraId="389420F9" w14:textId="61964D98" w:rsidR="00BA5EA9" w:rsidRPr="001E6DFD" w:rsidRDefault="00EA6936" w:rsidP="00912C62">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77557B5F" w14:textId="77777777" w:rsidTr="005C716A">
        <w:tc>
          <w:tcPr>
            <w:tcW w:w="1072" w:type="pct"/>
            <w:shd w:val="clear" w:color="auto" w:fill="auto"/>
            <w:tcMar>
              <w:left w:w="58" w:type="dxa"/>
              <w:right w:w="58" w:type="dxa"/>
            </w:tcMar>
          </w:tcPr>
          <w:p w14:paraId="12C8E1D5" w14:textId="085DFB5D" w:rsidR="00BA5EA9" w:rsidRPr="001E6DFD" w:rsidRDefault="00B52D48" w:rsidP="00912C62">
            <w:pPr>
              <w:keepNext/>
              <w:keepLines/>
              <w:autoSpaceDE w:val="0"/>
              <w:autoSpaceDN w:val="0"/>
              <w:adjustRightInd w:val="0"/>
              <w:rPr>
                <w:rFonts w:eastAsia="Batang"/>
                <w:sz w:val="16"/>
                <w:szCs w:val="16"/>
                <w:lang w:eastAsia="ja-JP"/>
              </w:rPr>
            </w:pPr>
            <w:r w:rsidRPr="001E6DFD">
              <w:rPr>
                <w:rFonts w:eastAsia="Batang"/>
                <w:sz w:val="16"/>
                <w:szCs w:val="16"/>
                <w:lang w:eastAsia="ja-JP"/>
              </w:rPr>
              <w:t>Nombre d</w:t>
            </w:r>
            <w:r w:rsidR="00FA22F6" w:rsidRPr="001E6DFD">
              <w:rPr>
                <w:rFonts w:eastAsia="Batang"/>
                <w:sz w:val="16"/>
                <w:szCs w:val="16"/>
                <w:lang w:eastAsia="ja-JP"/>
              </w:rPr>
              <w:t>’</w:t>
            </w:r>
            <w:r w:rsidRPr="001E6DFD">
              <w:rPr>
                <w:rFonts w:eastAsia="Batang"/>
                <w:sz w:val="16"/>
                <w:szCs w:val="16"/>
                <w:lang w:eastAsia="ja-JP"/>
              </w:rPr>
              <w:t>États membres participant au programme d</w:t>
            </w:r>
            <w:r w:rsidR="00FA22F6" w:rsidRPr="001E6DFD">
              <w:rPr>
                <w:rFonts w:eastAsia="Batang"/>
                <w:sz w:val="16"/>
                <w:szCs w:val="16"/>
                <w:lang w:eastAsia="ja-JP"/>
              </w:rPr>
              <w:t>’</w:t>
            </w:r>
            <w:r w:rsidRPr="001E6DFD">
              <w:rPr>
                <w:rFonts w:eastAsia="Batang"/>
                <w:sz w:val="16"/>
                <w:szCs w:val="16"/>
                <w:lang w:eastAsia="ja-JP"/>
              </w:rPr>
              <w:t>attribution de prix de l</w:t>
            </w:r>
            <w:r w:rsidR="00FA22F6" w:rsidRPr="001E6DFD">
              <w:rPr>
                <w:rFonts w:eastAsia="Batang"/>
                <w:sz w:val="16"/>
                <w:szCs w:val="16"/>
                <w:lang w:eastAsia="ja-JP"/>
              </w:rPr>
              <w:t>’</w:t>
            </w:r>
            <w:r w:rsidRPr="001E6DFD">
              <w:rPr>
                <w:rFonts w:eastAsia="Batang"/>
                <w:sz w:val="16"/>
                <w:szCs w:val="16"/>
                <w:lang w:eastAsia="ja-JP"/>
              </w:rPr>
              <w:t>OMPI</w:t>
            </w:r>
            <w:r w:rsidR="00BA5EA9" w:rsidRPr="001E6DFD">
              <w:rPr>
                <w:rFonts w:eastAsia="Batang"/>
                <w:sz w:val="16"/>
                <w:szCs w:val="16"/>
                <w:lang w:eastAsia="ja-JP"/>
              </w:rPr>
              <w:t xml:space="preserve"> </w:t>
            </w:r>
          </w:p>
        </w:tc>
        <w:tc>
          <w:tcPr>
            <w:tcW w:w="1510" w:type="pct"/>
            <w:shd w:val="clear" w:color="auto" w:fill="auto"/>
            <w:tcMar>
              <w:left w:w="58" w:type="dxa"/>
              <w:right w:w="58" w:type="dxa"/>
            </w:tcMar>
          </w:tcPr>
          <w:p w14:paraId="16FDFB60" w14:textId="18D57933" w:rsidR="00FA22F6" w:rsidRPr="00912C62" w:rsidRDefault="00E64532" w:rsidP="00912C62">
            <w:pPr>
              <w:keepNext/>
              <w:keepLines/>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08927C61" w14:textId="329EDEE5" w:rsidR="001F64B1" w:rsidRPr="00912C62" w:rsidRDefault="00FA22F6" w:rsidP="00912C62">
            <w:pPr>
              <w:pStyle w:val="ListParagraph"/>
              <w:keepNext/>
              <w:keepLines/>
              <w:tabs>
                <w:tab w:val="left" w:pos="307"/>
              </w:tabs>
              <w:ind w:left="24"/>
              <w:rPr>
                <w:rFonts w:ascii="Arial" w:hAnsi="Arial" w:cs="Arial"/>
                <w:color w:val="002060"/>
                <w:sz w:val="16"/>
                <w:szCs w:val="16"/>
                <w:lang w:bidi="th-TH"/>
              </w:rPr>
            </w:pPr>
            <w:r w:rsidRPr="00912C62">
              <w:rPr>
                <w:rFonts w:ascii="Arial" w:hAnsi="Arial" w:cs="Arial"/>
                <w:color w:val="002060"/>
                <w:sz w:val="16"/>
                <w:szCs w:val="16"/>
                <w:lang w:bidi="th-TH"/>
              </w:rPr>
              <w:t>En 2014</w:t>
            </w:r>
            <w:r w:rsidR="006A41CF" w:rsidRPr="00912C62">
              <w:rPr>
                <w:rFonts w:ascii="Arial" w:hAnsi="Arial" w:cs="Arial"/>
                <w:color w:val="002060"/>
                <w:sz w:val="16"/>
                <w:szCs w:val="16"/>
                <w:lang w:bidi="th-TH"/>
              </w:rPr>
              <w:noBreakHyphen/>
            </w:r>
            <w:r w:rsidR="00B52D48" w:rsidRPr="00912C62">
              <w:rPr>
                <w:rFonts w:ascii="Arial" w:hAnsi="Arial" w:cs="Arial"/>
                <w:color w:val="002060"/>
                <w:sz w:val="16"/>
                <w:szCs w:val="16"/>
                <w:lang w:bidi="th-TH"/>
              </w:rPr>
              <w:t>2015, 54</w:t>
            </w:r>
            <w:r w:rsidR="00B4191E" w:rsidRPr="00912C62">
              <w:rPr>
                <w:rFonts w:ascii="Arial" w:hAnsi="Arial" w:cs="Arial"/>
                <w:color w:val="002060"/>
                <w:sz w:val="16"/>
                <w:szCs w:val="16"/>
                <w:lang w:bidi="th-TH"/>
              </w:rPr>
              <w:t> </w:t>
            </w:r>
            <w:r w:rsidR="00B52D48" w:rsidRPr="00912C62">
              <w:rPr>
                <w:rFonts w:ascii="Arial" w:hAnsi="Arial" w:cs="Arial"/>
                <w:color w:val="002060"/>
                <w:sz w:val="16"/>
                <w:szCs w:val="16"/>
                <w:lang w:bidi="th-TH"/>
              </w:rPr>
              <w:t>pays différents au total ont participé au programme d</w:t>
            </w:r>
            <w:r w:rsidRPr="00912C62">
              <w:rPr>
                <w:rFonts w:ascii="Arial" w:hAnsi="Arial" w:cs="Arial"/>
                <w:color w:val="002060"/>
                <w:sz w:val="16"/>
                <w:szCs w:val="16"/>
                <w:lang w:bidi="th-TH"/>
              </w:rPr>
              <w:t>’</w:t>
            </w:r>
            <w:r w:rsidR="00B52D48" w:rsidRPr="00912C62">
              <w:rPr>
                <w:rFonts w:ascii="Arial" w:hAnsi="Arial" w:cs="Arial"/>
                <w:color w:val="002060"/>
                <w:sz w:val="16"/>
                <w:szCs w:val="16"/>
                <w:lang w:bidi="th-TH"/>
              </w:rPr>
              <w:t>attribution de prix de l</w:t>
            </w:r>
            <w:r w:rsidRPr="00912C62">
              <w:rPr>
                <w:rFonts w:ascii="Arial" w:hAnsi="Arial" w:cs="Arial"/>
                <w:color w:val="002060"/>
                <w:sz w:val="16"/>
                <w:szCs w:val="16"/>
                <w:lang w:bidi="th-TH"/>
              </w:rPr>
              <w:t>’</w:t>
            </w:r>
            <w:r w:rsidR="00B52D48" w:rsidRPr="00912C62">
              <w:rPr>
                <w:rFonts w:ascii="Arial" w:hAnsi="Arial" w:cs="Arial"/>
                <w:color w:val="002060"/>
                <w:sz w:val="16"/>
                <w:szCs w:val="16"/>
                <w:lang w:bidi="th-TH"/>
              </w:rPr>
              <w:t>OMPI</w:t>
            </w:r>
          </w:p>
          <w:p w14:paraId="76BA4258" w14:textId="77777777" w:rsidR="001F64B1" w:rsidRPr="001E6DFD" w:rsidRDefault="001F64B1" w:rsidP="00912C62">
            <w:pPr>
              <w:pStyle w:val="ListParagraph"/>
              <w:keepNext/>
              <w:keepLines/>
              <w:tabs>
                <w:tab w:val="left" w:pos="307"/>
              </w:tabs>
              <w:ind w:left="24"/>
              <w:rPr>
                <w:rFonts w:ascii="Arial" w:hAnsi="Arial" w:cs="Arial"/>
                <w:sz w:val="16"/>
                <w:szCs w:val="16"/>
                <w:lang w:bidi="th-TH"/>
              </w:rPr>
            </w:pPr>
          </w:p>
          <w:p w14:paraId="4E899862" w14:textId="4C626170" w:rsidR="00FA22F6" w:rsidRPr="001E6DFD" w:rsidRDefault="00E64532" w:rsidP="00912C62">
            <w:pPr>
              <w:keepNext/>
              <w:keepLines/>
              <w:autoSpaceDE w:val="0"/>
              <w:autoSpaceDN w:val="0"/>
              <w:adjustRightInd w:val="0"/>
              <w:rPr>
                <w:rFonts w:eastAsia="Batang"/>
                <w:i/>
                <w:sz w:val="16"/>
                <w:szCs w:val="16"/>
                <w:lang w:eastAsia="ja-JP" w:bidi="th-TH"/>
              </w:rPr>
            </w:pPr>
            <w:r w:rsidRPr="001E6DFD">
              <w:rPr>
                <w:rFonts w:eastAsia="Batang"/>
                <w:i/>
                <w:sz w:val="16"/>
                <w:szCs w:val="16"/>
                <w:lang w:eastAsia="ja-JP" w:bidi="th-TH"/>
              </w:rPr>
              <w:t>Niveau de référence initial dans le programme et budget 2016</w:t>
            </w:r>
            <w:r w:rsidR="006A41CF" w:rsidRPr="001E6DFD">
              <w:rPr>
                <w:rFonts w:eastAsia="Batang"/>
                <w:i/>
                <w:sz w:val="16"/>
                <w:szCs w:val="16"/>
                <w:lang w:eastAsia="ja-JP" w:bidi="th-TH"/>
              </w:rPr>
              <w:noBreakHyphen/>
            </w:r>
            <w:r w:rsidRPr="001E6DFD">
              <w:rPr>
                <w:rFonts w:eastAsia="Batang"/>
                <w:i/>
                <w:sz w:val="16"/>
                <w:szCs w:val="16"/>
                <w:lang w:eastAsia="ja-JP" w:bidi="th-TH"/>
              </w:rPr>
              <w:t>2017</w:t>
            </w:r>
            <w:r w:rsidR="00FA22F6" w:rsidRPr="001E6DFD">
              <w:rPr>
                <w:rFonts w:eastAsia="Batang"/>
                <w:i/>
                <w:sz w:val="16"/>
                <w:szCs w:val="16"/>
                <w:lang w:eastAsia="ja-JP" w:bidi="th-TH"/>
              </w:rPr>
              <w:t> :</w:t>
            </w:r>
          </w:p>
          <w:p w14:paraId="4BEE96ED" w14:textId="16A04A3A" w:rsidR="00BA5EA9" w:rsidRPr="001E6DFD" w:rsidRDefault="00BA5EA9" w:rsidP="00912C62">
            <w:pPr>
              <w:keepNext/>
              <w:keepLines/>
              <w:autoSpaceDE w:val="0"/>
              <w:autoSpaceDN w:val="0"/>
              <w:adjustRightInd w:val="0"/>
              <w:rPr>
                <w:rFonts w:eastAsia="Batang"/>
                <w:sz w:val="16"/>
                <w:szCs w:val="16"/>
                <w:lang w:eastAsia="ja-JP"/>
              </w:rPr>
            </w:pPr>
            <w:r w:rsidRPr="001E6DFD">
              <w:rPr>
                <w:rFonts w:eastAsia="Batang"/>
                <w:sz w:val="16"/>
                <w:szCs w:val="16"/>
                <w:lang w:eastAsia="ja-JP"/>
              </w:rPr>
              <w:t>38 (</w:t>
            </w:r>
            <w:r w:rsidR="00FA22F6" w:rsidRPr="001E6DFD">
              <w:rPr>
                <w:rFonts w:eastAsia="Batang"/>
                <w:sz w:val="16"/>
                <w:szCs w:val="16"/>
                <w:lang w:eastAsia="ja-JP"/>
              </w:rPr>
              <w:t>en 2014</w:t>
            </w:r>
            <w:r w:rsidRPr="001E6DFD">
              <w:rPr>
                <w:rFonts w:eastAsia="Batang"/>
                <w:sz w:val="16"/>
                <w:szCs w:val="16"/>
                <w:lang w:eastAsia="ja-JP"/>
              </w:rPr>
              <w:t>)</w:t>
            </w:r>
          </w:p>
        </w:tc>
        <w:tc>
          <w:tcPr>
            <w:tcW w:w="731" w:type="pct"/>
            <w:shd w:val="clear" w:color="auto" w:fill="auto"/>
            <w:tcMar>
              <w:top w:w="110" w:type="dxa"/>
              <w:left w:w="58" w:type="dxa"/>
              <w:right w:w="58" w:type="dxa"/>
            </w:tcMar>
          </w:tcPr>
          <w:p w14:paraId="675A9876" w14:textId="3868EF48" w:rsidR="00FA22F6" w:rsidRPr="00912C62" w:rsidRDefault="00AC7D97" w:rsidP="00912C62">
            <w:pPr>
              <w:keepNext/>
              <w:keepLines/>
              <w:rPr>
                <w:i/>
                <w:color w:val="002060"/>
                <w:sz w:val="16"/>
                <w:szCs w:val="16"/>
              </w:rPr>
            </w:pPr>
            <w:r w:rsidRPr="00912C62">
              <w:rPr>
                <w:i/>
                <w:color w:val="002060"/>
                <w:sz w:val="16"/>
                <w:szCs w:val="16"/>
              </w:rPr>
              <w:t>Objectif actualisé</w:t>
            </w:r>
            <w:r w:rsidR="00FA22F6" w:rsidRPr="00912C62">
              <w:rPr>
                <w:i/>
                <w:color w:val="002060"/>
                <w:sz w:val="16"/>
                <w:szCs w:val="16"/>
              </w:rPr>
              <w:t> :</w:t>
            </w:r>
          </w:p>
          <w:p w14:paraId="56EA34A0" w14:textId="0C104603" w:rsidR="001F64B1" w:rsidRPr="00912C62" w:rsidRDefault="00BA5EA9" w:rsidP="00912C62">
            <w:pPr>
              <w:keepNext/>
              <w:keepLines/>
              <w:rPr>
                <w:color w:val="002060"/>
                <w:sz w:val="16"/>
                <w:szCs w:val="16"/>
              </w:rPr>
            </w:pPr>
            <w:r w:rsidRPr="00912C62">
              <w:rPr>
                <w:color w:val="002060"/>
                <w:sz w:val="16"/>
                <w:szCs w:val="16"/>
              </w:rPr>
              <w:t>54</w:t>
            </w:r>
          </w:p>
          <w:p w14:paraId="71F1C393" w14:textId="77777777" w:rsidR="001F64B1" w:rsidRPr="001E6DFD" w:rsidRDefault="001F64B1" w:rsidP="00912C62">
            <w:pPr>
              <w:keepNext/>
              <w:keepLines/>
              <w:rPr>
                <w:sz w:val="16"/>
                <w:szCs w:val="16"/>
              </w:rPr>
            </w:pPr>
          </w:p>
          <w:p w14:paraId="32C8D14F" w14:textId="552DCB51" w:rsidR="00FA22F6" w:rsidRPr="001E6DFD" w:rsidRDefault="00AC7D97" w:rsidP="00912C62">
            <w:pPr>
              <w:keepNext/>
              <w:keepLines/>
              <w:rPr>
                <w:i/>
                <w:sz w:val="16"/>
                <w:szCs w:val="16"/>
                <w:lang w:bidi="th-TH"/>
              </w:rPr>
            </w:pPr>
            <w:r w:rsidRPr="001E6DFD">
              <w:rPr>
                <w:i/>
                <w:sz w:val="16"/>
                <w:szCs w:val="16"/>
                <w:lang w:bidi="th-TH"/>
              </w:rPr>
              <w:t>Objectif initial dans le programme et budget 2016</w:t>
            </w:r>
            <w:r w:rsidR="006A41CF" w:rsidRPr="001E6DFD">
              <w:rPr>
                <w:i/>
                <w:sz w:val="16"/>
                <w:szCs w:val="16"/>
                <w:lang w:bidi="th-TH"/>
              </w:rPr>
              <w:noBreakHyphen/>
            </w:r>
            <w:r w:rsidRPr="001E6DFD">
              <w:rPr>
                <w:i/>
                <w:sz w:val="16"/>
                <w:szCs w:val="16"/>
                <w:lang w:bidi="th-TH"/>
              </w:rPr>
              <w:t>2017</w:t>
            </w:r>
            <w:r w:rsidR="00FA22F6" w:rsidRPr="001E6DFD">
              <w:rPr>
                <w:i/>
                <w:sz w:val="16"/>
                <w:szCs w:val="16"/>
                <w:lang w:bidi="th-TH"/>
              </w:rPr>
              <w:t> :</w:t>
            </w:r>
          </w:p>
          <w:p w14:paraId="1A5A75F0" w14:textId="522F57C1" w:rsidR="00BA5EA9" w:rsidRPr="001E6DFD" w:rsidRDefault="00BA5EA9" w:rsidP="00912C62">
            <w:pPr>
              <w:keepNext/>
              <w:keepLines/>
              <w:autoSpaceDE w:val="0"/>
              <w:autoSpaceDN w:val="0"/>
              <w:adjustRightInd w:val="0"/>
              <w:rPr>
                <w:rFonts w:eastAsia="Batang"/>
                <w:sz w:val="16"/>
                <w:szCs w:val="16"/>
                <w:lang w:eastAsia="ja-JP"/>
              </w:rPr>
            </w:pPr>
            <w:r w:rsidRPr="001E6DFD">
              <w:rPr>
                <w:rFonts w:eastAsia="Batang"/>
                <w:sz w:val="16"/>
                <w:szCs w:val="16"/>
                <w:lang w:eastAsia="ja-JP"/>
              </w:rPr>
              <w:t xml:space="preserve">45 </w:t>
            </w:r>
            <w:r w:rsidR="00FA22F6" w:rsidRPr="001E6DFD">
              <w:rPr>
                <w:rFonts w:eastAsia="Batang"/>
                <w:sz w:val="16"/>
                <w:szCs w:val="16"/>
                <w:lang w:eastAsia="ja-JP"/>
              </w:rPr>
              <w:t>en 2016</w:t>
            </w:r>
            <w:r w:rsidRPr="001E6DFD">
              <w:rPr>
                <w:rFonts w:eastAsia="Batang"/>
                <w:sz w:val="16"/>
                <w:szCs w:val="16"/>
                <w:lang w:eastAsia="ja-JP"/>
              </w:rPr>
              <w:t>/17</w:t>
            </w:r>
          </w:p>
        </w:tc>
        <w:tc>
          <w:tcPr>
            <w:tcW w:w="1175" w:type="pct"/>
            <w:shd w:val="clear" w:color="auto" w:fill="FFFFFF"/>
            <w:tcMar>
              <w:top w:w="110" w:type="dxa"/>
              <w:left w:w="58" w:type="dxa"/>
              <w:right w:w="58" w:type="dxa"/>
            </w:tcMar>
          </w:tcPr>
          <w:p w14:paraId="1B6B3ABA" w14:textId="24AB234C" w:rsidR="00BA5EA9" w:rsidRPr="001E6DFD" w:rsidRDefault="00FA22F6" w:rsidP="00912C62">
            <w:pPr>
              <w:keepNext/>
              <w:keepLines/>
              <w:rPr>
                <w:sz w:val="16"/>
                <w:szCs w:val="16"/>
              </w:rPr>
            </w:pPr>
            <w:r w:rsidRPr="001E6DFD">
              <w:rPr>
                <w:sz w:val="16"/>
                <w:szCs w:val="16"/>
              </w:rPr>
              <w:t>En 2016</w:t>
            </w:r>
            <w:r w:rsidR="00B52D48" w:rsidRPr="001E6DFD">
              <w:rPr>
                <w:sz w:val="16"/>
                <w:szCs w:val="16"/>
              </w:rPr>
              <w:t>, 45</w:t>
            </w:r>
            <w:r w:rsidR="00B4191E">
              <w:rPr>
                <w:sz w:val="16"/>
                <w:szCs w:val="16"/>
              </w:rPr>
              <w:t> </w:t>
            </w:r>
            <w:r w:rsidR="00B52D48" w:rsidRPr="001E6DFD">
              <w:rPr>
                <w:sz w:val="16"/>
                <w:szCs w:val="16"/>
              </w:rPr>
              <w:t>pays différents au total ont participé au programme d</w:t>
            </w:r>
            <w:r w:rsidRPr="001E6DFD">
              <w:rPr>
                <w:sz w:val="16"/>
                <w:szCs w:val="16"/>
              </w:rPr>
              <w:t>’</w:t>
            </w:r>
            <w:r w:rsidR="00B52D48" w:rsidRPr="001E6DFD">
              <w:rPr>
                <w:sz w:val="16"/>
                <w:szCs w:val="16"/>
              </w:rPr>
              <w:t>attribution de prix de l</w:t>
            </w:r>
            <w:r w:rsidRPr="001E6DFD">
              <w:rPr>
                <w:sz w:val="16"/>
                <w:szCs w:val="16"/>
              </w:rPr>
              <w:t>’</w:t>
            </w:r>
            <w:r w:rsidR="00B52D48" w:rsidRPr="001E6DFD">
              <w:rPr>
                <w:sz w:val="16"/>
                <w:szCs w:val="16"/>
              </w:rPr>
              <w:t>OMPI</w:t>
            </w:r>
          </w:p>
        </w:tc>
        <w:tc>
          <w:tcPr>
            <w:tcW w:w="512" w:type="pct"/>
            <w:shd w:val="clear" w:color="auto" w:fill="auto"/>
            <w:tcMar>
              <w:top w:w="110" w:type="dxa"/>
              <w:left w:w="58" w:type="dxa"/>
              <w:right w:w="58" w:type="dxa"/>
            </w:tcMar>
          </w:tcPr>
          <w:p w14:paraId="7BB8B06F" w14:textId="77777777" w:rsidR="00BA5EA9" w:rsidRPr="001E6DFD" w:rsidRDefault="00A43B2F" w:rsidP="00912C62">
            <w:pPr>
              <w:keepNext/>
              <w:keepLines/>
              <w:jc w:val="center"/>
              <w:rPr>
                <w:b/>
                <w:sz w:val="16"/>
                <w:szCs w:val="16"/>
              </w:rPr>
            </w:pPr>
            <w:r w:rsidRPr="001E6DFD">
              <w:rPr>
                <w:b/>
                <w:color w:val="00B050"/>
                <w:sz w:val="16"/>
                <w:szCs w:val="16"/>
              </w:rPr>
              <w:t>En bonne voie</w:t>
            </w:r>
            <w:r w:rsidR="00BA5EA9" w:rsidRPr="001E6DFD" w:rsidDel="00840CA7">
              <w:rPr>
                <w:b/>
                <w:sz w:val="16"/>
                <w:szCs w:val="16"/>
              </w:rPr>
              <w:t xml:space="preserve"> </w:t>
            </w:r>
          </w:p>
        </w:tc>
      </w:tr>
    </w:tbl>
    <w:p w14:paraId="256ADED4" w14:textId="77777777" w:rsidR="001F64B1" w:rsidRPr="001E6DFD" w:rsidRDefault="001F64B1" w:rsidP="0097226C">
      <w:pPr>
        <w:rPr>
          <w:sz w:val="20"/>
        </w:rPr>
      </w:pPr>
    </w:p>
    <w:p w14:paraId="0FF33379" w14:textId="77777777" w:rsidR="00BA5EA9" w:rsidRPr="001E6DFD" w:rsidRDefault="00BA5EA9" w:rsidP="0097226C">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A5EA9" w:rsidRPr="001E6DFD" w14:paraId="2C405531" w14:textId="77777777" w:rsidTr="002307FD">
        <w:trPr>
          <w:trHeight w:val="423"/>
          <w:jc w:val="center"/>
        </w:trPr>
        <w:tc>
          <w:tcPr>
            <w:tcW w:w="9571" w:type="dxa"/>
            <w:shd w:val="clear" w:color="auto" w:fill="C6D9F1" w:themeFill="text2" w:themeFillTint="33"/>
            <w:vAlign w:val="center"/>
          </w:tcPr>
          <w:p w14:paraId="000A753D" w14:textId="5838481C"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17</w:t>
            </w:r>
          </w:p>
        </w:tc>
      </w:tr>
    </w:tbl>
    <w:p w14:paraId="3B10FCD6" w14:textId="77777777" w:rsidR="001F64B1" w:rsidRPr="001E6DFD" w:rsidRDefault="001F64B1" w:rsidP="0097226C">
      <w:pPr>
        <w:keepNext/>
        <w:keepLines/>
        <w:rPr>
          <w:sz w:val="18"/>
          <w:szCs w:val="18"/>
        </w:rPr>
      </w:pPr>
    </w:p>
    <w:p w14:paraId="15C08286" w14:textId="77777777" w:rsidR="001F64B1" w:rsidRPr="001E6DFD" w:rsidRDefault="00B52D48" w:rsidP="0097226C">
      <w:pPr>
        <w:pStyle w:val="NormalWeb"/>
        <w:keepNext/>
        <w:keepLines/>
        <w:spacing w:before="0" w:beforeAutospacing="0" w:after="0" w:afterAutospacing="0"/>
        <w:jc w:val="center"/>
      </w:pPr>
      <w:r w:rsidRPr="001E6DFD">
        <w:t>Budget et dépenses effectives (par résultat)</w:t>
      </w:r>
    </w:p>
    <w:p w14:paraId="155C0DEC" w14:textId="77777777" w:rsidR="001F64B1" w:rsidRPr="001E6DFD" w:rsidRDefault="00B52D48"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078ED5E7" w14:textId="77777777" w:rsidR="00BA5EA9" w:rsidRPr="001E6DFD" w:rsidRDefault="00BA5EA9" w:rsidP="0097226C">
      <w:pPr>
        <w:rPr>
          <w:sz w:val="18"/>
          <w:szCs w:val="16"/>
        </w:rPr>
      </w:pPr>
    </w:p>
    <w:tbl>
      <w:tblPr>
        <w:tblW w:w="4300" w:type="pct"/>
        <w:jc w:val="center"/>
        <w:tblCellMar>
          <w:top w:w="57" w:type="dxa"/>
          <w:bottom w:w="57" w:type="dxa"/>
        </w:tblCellMar>
        <w:tblLook w:val="04A0" w:firstRow="1" w:lastRow="0" w:firstColumn="1" w:lastColumn="0" w:noHBand="0" w:noVBand="1"/>
      </w:tblPr>
      <w:tblGrid>
        <w:gridCol w:w="604"/>
        <w:gridCol w:w="4164"/>
        <w:gridCol w:w="1553"/>
        <w:gridCol w:w="1553"/>
        <w:gridCol w:w="1413"/>
      </w:tblGrid>
      <w:tr w:rsidR="00BA5EA9" w:rsidRPr="001E6DFD" w14:paraId="7E119666" w14:textId="77777777" w:rsidTr="005C716A">
        <w:trPr>
          <w:jc w:val="center"/>
        </w:trPr>
        <w:tc>
          <w:tcPr>
            <w:tcW w:w="4846" w:type="dxa"/>
            <w:gridSpan w:val="2"/>
            <w:tcBorders>
              <w:top w:val="nil"/>
              <w:left w:val="nil"/>
              <w:bottom w:val="nil"/>
              <w:right w:val="nil"/>
            </w:tcBorders>
            <w:shd w:val="clear" w:color="000000" w:fill="C5D9F1"/>
            <w:noWrap/>
            <w:vAlign w:val="center"/>
            <w:hideMark/>
          </w:tcPr>
          <w:p w14:paraId="0DB0B71E" w14:textId="77777777" w:rsidR="00BA5EA9" w:rsidRPr="001E6DFD" w:rsidRDefault="00B52D48"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53" w:type="dxa"/>
            <w:tcBorders>
              <w:top w:val="nil"/>
              <w:left w:val="nil"/>
              <w:bottom w:val="nil"/>
              <w:right w:val="nil"/>
            </w:tcBorders>
            <w:shd w:val="clear" w:color="000000" w:fill="C5D9F1"/>
            <w:vAlign w:val="center"/>
            <w:hideMark/>
          </w:tcPr>
          <w:p w14:paraId="4F6DB637" w14:textId="04AF229D"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52" w:type="dxa"/>
            <w:tcBorders>
              <w:top w:val="nil"/>
              <w:left w:val="nil"/>
              <w:bottom w:val="nil"/>
              <w:right w:val="nil"/>
            </w:tcBorders>
            <w:shd w:val="clear" w:color="000000" w:fill="C5D9F1"/>
            <w:vAlign w:val="center"/>
            <w:hideMark/>
          </w:tcPr>
          <w:p w14:paraId="3EF43E49" w14:textId="31391A79"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69" w:type="dxa"/>
            <w:tcBorders>
              <w:top w:val="nil"/>
              <w:left w:val="nil"/>
              <w:bottom w:val="nil"/>
              <w:right w:val="nil"/>
            </w:tcBorders>
            <w:shd w:val="clear" w:color="000000" w:fill="C5D9F1"/>
            <w:vAlign w:val="center"/>
            <w:hideMark/>
          </w:tcPr>
          <w:p w14:paraId="3B065C59" w14:textId="43627506"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7EAE1404" w14:textId="77777777" w:rsidTr="005C716A">
        <w:trPr>
          <w:jc w:val="center"/>
        </w:trPr>
        <w:tc>
          <w:tcPr>
            <w:tcW w:w="611" w:type="dxa"/>
            <w:tcBorders>
              <w:top w:val="nil"/>
              <w:left w:val="nil"/>
              <w:bottom w:val="nil"/>
              <w:right w:val="nil"/>
            </w:tcBorders>
            <w:shd w:val="clear" w:color="auto" w:fill="auto"/>
            <w:noWrap/>
            <w:vAlign w:val="center"/>
            <w:hideMark/>
          </w:tcPr>
          <w:p w14:paraId="03C3BF9E" w14:textId="77777777" w:rsidR="00BA5EA9" w:rsidRPr="001E6DFD" w:rsidRDefault="00BA5EA9" w:rsidP="0097226C">
            <w:pPr>
              <w:rPr>
                <w:sz w:val="16"/>
                <w:szCs w:val="16"/>
              </w:rPr>
            </w:pPr>
            <w:r w:rsidRPr="001E6DFD">
              <w:rPr>
                <w:sz w:val="16"/>
                <w:szCs w:val="16"/>
              </w:rPr>
              <w:t>I.2</w:t>
            </w:r>
          </w:p>
        </w:tc>
        <w:tc>
          <w:tcPr>
            <w:tcW w:w="4235" w:type="dxa"/>
            <w:tcBorders>
              <w:top w:val="nil"/>
              <w:left w:val="nil"/>
              <w:bottom w:val="nil"/>
              <w:right w:val="nil"/>
            </w:tcBorders>
            <w:shd w:val="clear" w:color="auto" w:fill="auto"/>
            <w:vAlign w:val="center"/>
            <w:hideMark/>
          </w:tcPr>
          <w:p w14:paraId="079ACDEB" w14:textId="77777777" w:rsidR="00BA5EA9" w:rsidRPr="001E6DFD" w:rsidRDefault="00B52D48" w:rsidP="0097226C">
            <w:pPr>
              <w:rPr>
                <w:sz w:val="16"/>
                <w:szCs w:val="16"/>
              </w:rPr>
            </w:pPr>
            <w:r w:rsidRPr="001E6DFD">
              <w:rPr>
                <w:sz w:val="16"/>
                <w:szCs w:val="16"/>
              </w:rPr>
              <w:t>Cadres législatifs, réglementaires et politiques adaptés et équilibrés en matière de propriété intellectuelle</w:t>
            </w:r>
          </w:p>
        </w:tc>
        <w:tc>
          <w:tcPr>
            <w:tcW w:w="1153" w:type="dxa"/>
            <w:tcBorders>
              <w:top w:val="nil"/>
              <w:left w:val="nil"/>
              <w:bottom w:val="nil"/>
              <w:right w:val="nil"/>
            </w:tcBorders>
            <w:shd w:val="clear" w:color="auto" w:fill="auto"/>
            <w:noWrap/>
            <w:vAlign w:val="center"/>
            <w:hideMark/>
          </w:tcPr>
          <w:p w14:paraId="58DA68B7" w14:textId="77777777" w:rsidR="00BA5EA9" w:rsidRPr="001E6DFD" w:rsidRDefault="00BA5EA9" w:rsidP="0097226C">
            <w:pPr>
              <w:jc w:val="center"/>
              <w:rPr>
                <w:sz w:val="16"/>
                <w:szCs w:val="16"/>
              </w:rPr>
            </w:pPr>
            <w:r w:rsidRPr="001E6DFD">
              <w:rPr>
                <w:sz w:val="16"/>
                <w:szCs w:val="16"/>
              </w:rPr>
              <w:t>639</w:t>
            </w:r>
          </w:p>
        </w:tc>
        <w:tc>
          <w:tcPr>
            <w:tcW w:w="1152" w:type="dxa"/>
            <w:tcBorders>
              <w:top w:val="nil"/>
              <w:left w:val="nil"/>
              <w:bottom w:val="nil"/>
              <w:right w:val="nil"/>
            </w:tcBorders>
            <w:shd w:val="clear" w:color="auto" w:fill="auto"/>
            <w:noWrap/>
            <w:vAlign w:val="center"/>
            <w:hideMark/>
          </w:tcPr>
          <w:p w14:paraId="4DF02519" w14:textId="77777777" w:rsidR="00BA5EA9" w:rsidRPr="001E6DFD" w:rsidRDefault="00BA5EA9" w:rsidP="0097226C">
            <w:pPr>
              <w:jc w:val="center"/>
              <w:rPr>
                <w:sz w:val="16"/>
                <w:szCs w:val="16"/>
              </w:rPr>
            </w:pPr>
            <w:r w:rsidRPr="001E6DFD">
              <w:rPr>
                <w:sz w:val="16"/>
                <w:szCs w:val="16"/>
              </w:rPr>
              <w:t>659</w:t>
            </w:r>
          </w:p>
        </w:tc>
        <w:tc>
          <w:tcPr>
            <w:tcW w:w="1169" w:type="dxa"/>
            <w:tcBorders>
              <w:top w:val="nil"/>
              <w:left w:val="nil"/>
              <w:bottom w:val="nil"/>
              <w:right w:val="nil"/>
            </w:tcBorders>
            <w:shd w:val="clear" w:color="auto" w:fill="auto"/>
            <w:noWrap/>
            <w:vAlign w:val="center"/>
            <w:hideMark/>
          </w:tcPr>
          <w:p w14:paraId="10CC0A26" w14:textId="77777777" w:rsidR="00BA5EA9" w:rsidRPr="001E6DFD" w:rsidRDefault="00BA5EA9" w:rsidP="0097226C">
            <w:pPr>
              <w:jc w:val="center"/>
              <w:rPr>
                <w:sz w:val="16"/>
                <w:szCs w:val="16"/>
              </w:rPr>
            </w:pPr>
            <w:r w:rsidRPr="001E6DFD">
              <w:rPr>
                <w:sz w:val="16"/>
                <w:szCs w:val="16"/>
              </w:rPr>
              <w:t>316</w:t>
            </w:r>
          </w:p>
        </w:tc>
      </w:tr>
      <w:tr w:rsidR="00BA5EA9" w:rsidRPr="001E6DFD" w14:paraId="583828BC" w14:textId="77777777" w:rsidTr="005C716A">
        <w:trPr>
          <w:jc w:val="center"/>
        </w:trPr>
        <w:tc>
          <w:tcPr>
            <w:tcW w:w="611" w:type="dxa"/>
            <w:tcBorders>
              <w:top w:val="nil"/>
              <w:left w:val="nil"/>
              <w:bottom w:val="nil"/>
              <w:right w:val="nil"/>
            </w:tcBorders>
            <w:shd w:val="clear" w:color="auto" w:fill="auto"/>
            <w:noWrap/>
            <w:vAlign w:val="center"/>
            <w:hideMark/>
          </w:tcPr>
          <w:p w14:paraId="7742D0D7" w14:textId="77777777" w:rsidR="00BA5EA9" w:rsidRPr="001E6DFD" w:rsidRDefault="00BA5EA9" w:rsidP="0097226C">
            <w:pPr>
              <w:rPr>
                <w:sz w:val="16"/>
                <w:szCs w:val="16"/>
              </w:rPr>
            </w:pPr>
            <w:r w:rsidRPr="001E6DFD">
              <w:rPr>
                <w:sz w:val="16"/>
                <w:szCs w:val="16"/>
              </w:rPr>
              <w:t>III.2</w:t>
            </w:r>
          </w:p>
        </w:tc>
        <w:tc>
          <w:tcPr>
            <w:tcW w:w="4235" w:type="dxa"/>
            <w:tcBorders>
              <w:top w:val="nil"/>
              <w:left w:val="nil"/>
              <w:bottom w:val="nil"/>
              <w:right w:val="nil"/>
            </w:tcBorders>
            <w:shd w:val="clear" w:color="auto" w:fill="auto"/>
            <w:vAlign w:val="center"/>
            <w:hideMark/>
          </w:tcPr>
          <w:p w14:paraId="5952BDD1" w14:textId="3A14121E" w:rsidR="00BA5EA9" w:rsidRPr="001E6DFD" w:rsidRDefault="00B52D48" w:rsidP="0097226C">
            <w:pPr>
              <w:rPr>
                <w:sz w:val="16"/>
                <w:szCs w:val="16"/>
              </w:rPr>
            </w:pPr>
            <w:r w:rsidRPr="001E6DFD">
              <w:rPr>
                <w:sz w:val="16"/>
                <w:szCs w:val="16"/>
              </w:rPr>
              <w:t>Renforcement des capacités en matière de ressources humaines pour pouvoir répondre aux nombreuses exigences en ce qui concerne l</w:t>
            </w:r>
            <w:r w:rsidR="00FA22F6" w:rsidRPr="001E6DFD">
              <w:rPr>
                <w:sz w:val="16"/>
                <w:szCs w:val="16"/>
              </w:rPr>
              <w:t>’</w:t>
            </w:r>
            <w:r w:rsidRPr="001E6DFD">
              <w:rPr>
                <w:sz w:val="16"/>
                <w:szCs w:val="16"/>
              </w:rPr>
              <w:t>utilisation efficace de la propriété intellectuelle au service du développement dans les pays en développement,</w:t>
            </w:r>
            <w:r w:rsidR="00FA22F6" w:rsidRPr="001E6DFD">
              <w:rPr>
                <w:sz w:val="16"/>
                <w:szCs w:val="16"/>
              </w:rPr>
              <w:t xml:space="preserve"> les PMA</w:t>
            </w:r>
            <w:r w:rsidRPr="001E6DFD">
              <w:rPr>
                <w:sz w:val="16"/>
                <w:szCs w:val="16"/>
              </w:rPr>
              <w:t xml:space="preserve"> et les pays en transition</w:t>
            </w:r>
          </w:p>
        </w:tc>
        <w:tc>
          <w:tcPr>
            <w:tcW w:w="1153" w:type="dxa"/>
            <w:tcBorders>
              <w:top w:val="nil"/>
              <w:left w:val="nil"/>
              <w:bottom w:val="nil"/>
              <w:right w:val="nil"/>
            </w:tcBorders>
            <w:shd w:val="clear" w:color="auto" w:fill="auto"/>
            <w:noWrap/>
            <w:vAlign w:val="center"/>
            <w:hideMark/>
          </w:tcPr>
          <w:p w14:paraId="5648E28D" w14:textId="77777777" w:rsidR="00BA5EA9" w:rsidRPr="001E6DFD" w:rsidRDefault="00282CF5" w:rsidP="0097226C">
            <w:pPr>
              <w:jc w:val="center"/>
              <w:rPr>
                <w:sz w:val="16"/>
                <w:szCs w:val="16"/>
              </w:rPr>
            </w:pPr>
            <w:r w:rsidRPr="001E6DFD">
              <w:rPr>
                <w:sz w:val="16"/>
                <w:szCs w:val="16"/>
              </w:rPr>
              <w:t>1 105</w:t>
            </w:r>
          </w:p>
        </w:tc>
        <w:tc>
          <w:tcPr>
            <w:tcW w:w="1152" w:type="dxa"/>
            <w:tcBorders>
              <w:top w:val="nil"/>
              <w:left w:val="nil"/>
              <w:bottom w:val="nil"/>
              <w:right w:val="nil"/>
            </w:tcBorders>
            <w:shd w:val="clear" w:color="auto" w:fill="auto"/>
            <w:noWrap/>
            <w:vAlign w:val="center"/>
            <w:hideMark/>
          </w:tcPr>
          <w:p w14:paraId="45281D14" w14:textId="77777777" w:rsidR="00BA5EA9" w:rsidRPr="001E6DFD" w:rsidRDefault="00282CF5" w:rsidP="0097226C">
            <w:pPr>
              <w:jc w:val="center"/>
              <w:rPr>
                <w:sz w:val="16"/>
                <w:szCs w:val="16"/>
              </w:rPr>
            </w:pPr>
            <w:r w:rsidRPr="001E6DFD">
              <w:rPr>
                <w:sz w:val="16"/>
                <w:szCs w:val="16"/>
              </w:rPr>
              <w:t>1 114</w:t>
            </w:r>
          </w:p>
        </w:tc>
        <w:tc>
          <w:tcPr>
            <w:tcW w:w="1169" w:type="dxa"/>
            <w:tcBorders>
              <w:top w:val="nil"/>
              <w:left w:val="nil"/>
              <w:bottom w:val="nil"/>
              <w:right w:val="nil"/>
            </w:tcBorders>
            <w:shd w:val="clear" w:color="auto" w:fill="auto"/>
            <w:noWrap/>
            <w:vAlign w:val="center"/>
            <w:hideMark/>
          </w:tcPr>
          <w:p w14:paraId="2EF06AA6" w14:textId="77777777" w:rsidR="00BA5EA9" w:rsidRPr="001E6DFD" w:rsidRDefault="00BA5EA9" w:rsidP="0097226C">
            <w:pPr>
              <w:jc w:val="center"/>
              <w:rPr>
                <w:sz w:val="16"/>
                <w:szCs w:val="16"/>
              </w:rPr>
            </w:pPr>
            <w:r w:rsidRPr="001E6DFD">
              <w:rPr>
                <w:sz w:val="16"/>
                <w:szCs w:val="16"/>
              </w:rPr>
              <w:t>519</w:t>
            </w:r>
          </w:p>
        </w:tc>
      </w:tr>
      <w:tr w:rsidR="00BA5EA9" w:rsidRPr="001E6DFD" w14:paraId="3607F001" w14:textId="77777777" w:rsidTr="005C716A">
        <w:trPr>
          <w:jc w:val="center"/>
        </w:trPr>
        <w:tc>
          <w:tcPr>
            <w:tcW w:w="611" w:type="dxa"/>
            <w:tcBorders>
              <w:top w:val="nil"/>
              <w:left w:val="nil"/>
              <w:bottom w:val="nil"/>
              <w:right w:val="nil"/>
            </w:tcBorders>
            <w:shd w:val="clear" w:color="auto" w:fill="auto"/>
            <w:noWrap/>
            <w:vAlign w:val="center"/>
            <w:hideMark/>
          </w:tcPr>
          <w:p w14:paraId="7D7FAA9B" w14:textId="77777777" w:rsidR="00BA5EA9" w:rsidRPr="001E6DFD" w:rsidRDefault="00BA5EA9" w:rsidP="0097226C">
            <w:pPr>
              <w:rPr>
                <w:sz w:val="16"/>
                <w:szCs w:val="16"/>
              </w:rPr>
            </w:pPr>
            <w:r w:rsidRPr="001E6DFD">
              <w:rPr>
                <w:sz w:val="16"/>
                <w:szCs w:val="16"/>
              </w:rPr>
              <w:t>VI.1</w:t>
            </w:r>
          </w:p>
        </w:tc>
        <w:tc>
          <w:tcPr>
            <w:tcW w:w="4235" w:type="dxa"/>
            <w:tcBorders>
              <w:top w:val="nil"/>
              <w:left w:val="nil"/>
              <w:bottom w:val="nil"/>
              <w:right w:val="nil"/>
            </w:tcBorders>
            <w:shd w:val="clear" w:color="auto" w:fill="auto"/>
            <w:vAlign w:val="center"/>
            <w:hideMark/>
          </w:tcPr>
          <w:p w14:paraId="25C0F53F" w14:textId="0C04005F" w:rsidR="00BA5EA9" w:rsidRPr="001E6DFD" w:rsidRDefault="00B52D48" w:rsidP="0097226C">
            <w:pPr>
              <w:rPr>
                <w:sz w:val="16"/>
                <w:szCs w:val="16"/>
              </w:rPr>
            </w:pPr>
            <w:r w:rsidRPr="001E6DFD">
              <w:rPr>
                <w:sz w:val="16"/>
                <w:szCs w:val="16"/>
              </w:rPr>
              <w:t>Progrès du dialogue international de politique générale entre les États membres de l</w:t>
            </w:r>
            <w:r w:rsidR="00FA22F6" w:rsidRPr="001E6DFD">
              <w:rPr>
                <w:sz w:val="16"/>
                <w:szCs w:val="16"/>
              </w:rPr>
              <w:t>’</w:t>
            </w:r>
            <w:r w:rsidRPr="001E6DFD">
              <w:rPr>
                <w:sz w:val="16"/>
                <w:szCs w:val="16"/>
              </w:rPr>
              <w:t>OMPI en ce qui concerne la promotion du respect de la propriété intellectuelle, compte tenu de la recommandation n°</w:t>
            </w:r>
            <w:r w:rsidR="004D421A" w:rsidRPr="001E6DFD">
              <w:rPr>
                <w:sz w:val="16"/>
                <w:szCs w:val="16"/>
              </w:rPr>
              <w:t> </w:t>
            </w:r>
            <w:r w:rsidRPr="001E6DFD">
              <w:rPr>
                <w:sz w:val="16"/>
                <w:szCs w:val="16"/>
              </w:rPr>
              <w:t>45 du Plan d</w:t>
            </w:r>
            <w:r w:rsidR="00FA22F6" w:rsidRPr="001E6DFD">
              <w:rPr>
                <w:sz w:val="16"/>
                <w:szCs w:val="16"/>
              </w:rPr>
              <w:t>’</w:t>
            </w:r>
            <w:r w:rsidRPr="001E6DFD">
              <w:rPr>
                <w:sz w:val="16"/>
                <w:szCs w:val="16"/>
              </w:rPr>
              <w:t>action pour le développement</w:t>
            </w:r>
          </w:p>
        </w:tc>
        <w:tc>
          <w:tcPr>
            <w:tcW w:w="1153" w:type="dxa"/>
            <w:tcBorders>
              <w:top w:val="nil"/>
              <w:left w:val="nil"/>
              <w:bottom w:val="nil"/>
              <w:right w:val="nil"/>
            </w:tcBorders>
            <w:shd w:val="clear" w:color="auto" w:fill="auto"/>
            <w:noWrap/>
            <w:vAlign w:val="center"/>
            <w:hideMark/>
          </w:tcPr>
          <w:p w14:paraId="768D2BF4" w14:textId="77777777" w:rsidR="00BA5EA9" w:rsidRPr="001E6DFD" w:rsidRDefault="00BA5EA9" w:rsidP="0097226C">
            <w:pPr>
              <w:jc w:val="center"/>
              <w:rPr>
                <w:sz w:val="16"/>
                <w:szCs w:val="16"/>
              </w:rPr>
            </w:pPr>
            <w:r w:rsidRPr="001E6DFD">
              <w:rPr>
                <w:sz w:val="16"/>
                <w:szCs w:val="16"/>
              </w:rPr>
              <w:t>569</w:t>
            </w:r>
          </w:p>
        </w:tc>
        <w:tc>
          <w:tcPr>
            <w:tcW w:w="1152" w:type="dxa"/>
            <w:tcBorders>
              <w:top w:val="nil"/>
              <w:left w:val="nil"/>
              <w:bottom w:val="nil"/>
              <w:right w:val="nil"/>
            </w:tcBorders>
            <w:shd w:val="clear" w:color="auto" w:fill="auto"/>
            <w:noWrap/>
            <w:vAlign w:val="center"/>
            <w:hideMark/>
          </w:tcPr>
          <w:p w14:paraId="20DC2714" w14:textId="77777777" w:rsidR="00BA5EA9" w:rsidRPr="001E6DFD" w:rsidRDefault="00BA5EA9" w:rsidP="0097226C">
            <w:pPr>
              <w:jc w:val="center"/>
              <w:rPr>
                <w:sz w:val="16"/>
                <w:szCs w:val="16"/>
              </w:rPr>
            </w:pPr>
            <w:r w:rsidRPr="001E6DFD">
              <w:rPr>
                <w:sz w:val="16"/>
                <w:szCs w:val="16"/>
              </w:rPr>
              <w:t>823</w:t>
            </w:r>
          </w:p>
        </w:tc>
        <w:tc>
          <w:tcPr>
            <w:tcW w:w="1169" w:type="dxa"/>
            <w:tcBorders>
              <w:top w:val="nil"/>
              <w:left w:val="nil"/>
              <w:bottom w:val="nil"/>
              <w:right w:val="nil"/>
            </w:tcBorders>
            <w:shd w:val="clear" w:color="auto" w:fill="auto"/>
            <w:noWrap/>
            <w:vAlign w:val="center"/>
            <w:hideMark/>
          </w:tcPr>
          <w:p w14:paraId="38D3F26C" w14:textId="77777777" w:rsidR="00BA5EA9" w:rsidRPr="001E6DFD" w:rsidRDefault="00BA5EA9" w:rsidP="0097226C">
            <w:pPr>
              <w:jc w:val="center"/>
              <w:rPr>
                <w:sz w:val="16"/>
                <w:szCs w:val="16"/>
              </w:rPr>
            </w:pPr>
            <w:r w:rsidRPr="001E6DFD">
              <w:rPr>
                <w:sz w:val="16"/>
                <w:szCs w:val="16"/>
              </w:rPr>
              <w:t>383</w:t>
            </w:r>
          </w:p>
        </w:tc>
      </w:tr>
      <w:tr w:rsidR="00BA5EA9" w:rsidRPr="001E6DFD" w14:paraId="1EA56EC5" w14:textId="77777777" w:rsidTr="005C716A">
        <w:trPr>
          <w:jc w:val="center"/>
        </w:trPr>
        <w:tc>
          <w:tcPr>
            <w:tcW w:w="611" w:type="dxa"/>
            <w:tcBorders>
              <w:top w:val="nil"/>
              <w:left w:val="nil"/>
              <w:bottom w:val="nil"/>
              <w:right w:val="nil"/>
            </w:tcBorders>
            <w:shd w:val="clear" w:color="auto" w:fill="auto"/>
            <w:noWrap/>
            <w:vAlign w:val="center"/>
            <w:hideMark/>
          </w:tcPr>
          <w:p w14:paraId="698F16E0" w14:textId="77777777" w:rsidR="00BA5EA9" w:rsidRPr="001E6DFD" w:rsidRDefault="00BA5EA9" w:rsidP="0097226C">
            <w:pPr>
              <w:rPr>
                <w:sz w:val="16"/>
                <w:szCs w:val="16"/>
              </w:rPr>
            </w:pPr>
            <w:r w:rsidRPr="001E6DFD">
              <w:rPr>
                <w:sz w:val="16"/>
                <w:szCs w:val="16"/>
              </w:rPr>
              <w:t>VI.2</w:t>
            </w:r>
          </w:p>
        </w:tc>
        <w:tc>
          <w:tcPr>
            <w:tcW w:w="4235" w:type="dxa"/>
            <w:tcBorders>
              <w:top w:val="nil"/>
              <w:left w:val="nil"/>
              <w:bottom w:val="nil"/>
              <w:right w:val="nil"/>
            </w:tcBorders>
            <w:shd w:val="clear" w:color="auto" w:fill="auto"/>
            <w:vAlign w:val="center"/>
            <w:hideMark/>
          </w:tcPr>
          <w:p w14:paraId="316D7847" w14:textId="4AFB23AD" w:rsidR="00BA5EA9" w:rsidRPr="001E6DFD" w:rsidRDefault="00B52D48" w:rsidP="0097226C">
            <w:pPr>
              <w:rPr>
                <w:sz w:val="16"/>
                <w:szCs w:val="16"/>
              </w:rPr>
            </w:pPr>
            <w:r w:rsidRPr="001E6DFD">
              <w:rPr>
                <w:sz w:val="16"/>
                <w:szCs w:val="16"/>
              </w:rPr>
              <w:t>Coopération et coordination systématiques et efficaces entre les travaux de l</w:t>
            </w:r>
            <w:r w:rsidR="00FA22F6" w:rsidRPr="001E6DFD">
              <w:rPr>
                <w:sz w:val="16"/>
                <w:szCs w:val="16"/>
              </w:rPr>
              <w:t>’</w:t>
            </w:r>
            <w:r w:rsidRPr="001E6DFD">
              <w:rPr>
                <w:sz w:val="16"/>
                <w:szCs w:val="16"/>
              </w:rPr>
              <w:t>OMPI et ceux d</w:t>
            </w:r>
            <w:r w:rsidR="00FA22F6" w:rsidRPr="001E6DFD">
              <w:rPr>
                <w:sz w:val="16"/>
                <w:szCs w:val="16"/>
              </w:rPr>
              <w:t>’</w:t>
            </w:r>
            <w:r w:rsidRPr="001E6DFD">
              <w:rPr>
                <w:sz w:val="16"/>
                <w:szCs w:val="16"/>
              </w:rPr>
              <w:t>autres organisations internationales dans le domaine de la promotion du respect de la propriété intellectuelle</w:t>
            </w:r>
          </w:p>
        </w:tc>
        <w:tc>
          <w:tcPr>
            <w:tcW w:w="1153" w:type="dxa"/>
            <w:tcBorders>
              <w:top w:val="nil"/>
              <w:left w:val="nil"/>
              <w:bottom w:val="nil"/>
              <w:right w:val="nil"/>
            </w:tcBorders>
            <w:shd w:val="clear" w:color="auto" w:fill="auto"/>
            <w:noWrap/>
            <w:vAlign w:val="center"/>
            <w:hideMark/>
          </w:tcPr>
          <w:p w14:paraId="4FABFAA8" w14:textId="77777777" w:rsidR="00BA5EA9" w:rsidRPr="001E6DFD" w:rsidRDefault="00282CF5" w:rsidP="0097226C">
            <w:pPr>
              <w:jc w:val="center"/>
              <w:rPr>
                <w:sz w:val="16"/>
                <w:szCs w:val="16"/>
              </w:rPr>
            </w:pPr>
            <w:r w:rsidRPr="001E6DFD">
              <w:rPr>
                <w:sz w:val="16"/>
                <w:szCs w:val="16"/>
              </w:rPr>
              <w:t>1 111</w:t>
            </w:r>
          </w:p>
        </w:tc>
        <w:tc>
          <w:tcPr>
            <w:tcW w:w="1152" w:type="dxa"/>
            <w:tcBorders>
              <w:top w:val="nil"/>
              <w:left w:val="nil"/>
              <w:bottom w:val="nil"/>
              <w:right w:val="nil"/>
            </w:tcBorders>
            <w:shd w:val="clear" w:color="auto" w:fill="auto"/>
            <w:noWrap/>
            <w:vAlign w:val="center"/>
            <w:hideMark/>
          </w:tcPr>
          <w:p w14:paraId="13BBE815" w14:textId="77777777" w:rsidR="00BA5EA9" w:rsidRPr="001E6DFD" w:rsidRDefault="00282CF5" w:rsidP="0097226C">
            <w:pPr>
              <w:jc w:val="center"/>
              <w:rPr>
                <w:sz w:val="16"/>
                <w:szCs w:val="16"/>
              </w:rPr>
            </w:pPr>
            <w:r w:rsidRPr="001E6DFD">
              <w:rPr>
                <w:sz w:val="16"/>
                <w:szCs w:val="16"/>
              </w:rPr>
              <w:t>1 278</w:t>
            </w:r>
          </w:p>
        </w:tc>
        <w:tc>
          <w:tcPr>
            <w:tcW w:w="1169" w:type="dxa"/>
            <w:tcBorders>
              <w:top w:val="nil"/>
              <w:left w:val="nil"/>
              <w:bottom w:val="nil"/>
              <w:right w:val="nil"/>
            </w:tcBorders>
            <w:shd w:val="clear" w:color="auto" w:fill="auto"/>
            <w:noWrap/>
            <w:vAlign w:val="center"/>
            <w:hideMark/>
          </w:tcPr>
          <w:p w14:paraId="2AC33A6F" w14:textId="77777777" w:rsidR="00BA5EA9" w:rsidRPr="001E6DFD" w:rsidRDefault="00BA5EA9" w:rsidP="0097226C">
            <w:pPr>
              <w:jc w:val="center"/>
              <w:rPr>
                <w:sz w:val="16"/>
                <w:szCs w:val="16"/>
              </w:rPr>
            </w:pPr>
            <w:r w:rsidRPr="001E6DFD">
              <w:rPr>
                <w:sz w:val="16"/>
                <w:szCs w:val="16"/>
              </w:rPr>
              <w:t>684</w:t>
            </w:r>
          </w:p>
        </w:tc>
      </w:tr>
      <w:tr w:rsidR="00BA5EA9" w:rsidRPr="001E6DFD" w14:paraId="0E5B89A2" w14:textId="77777777" w:rsidTr="005C716A">
        <w:trPr>
          <w:jc w:val="center"/>
        </w:trPr>
        <w:tc>
          <w:tcPr>
            <w:tcW w:w="611" w:type="dxa"/>
            <w:tcBorders>
              <w:top w:val="nil"/>
              <w:left w:val="nil"/>
              <w:bottom w:val="nil"/>
              <w:right w:val="nil"/>
            </w:tcBorders>
            <w:shd w:val="clear" w:color="auto" w:fill="auto"/>
            <w:noWrap/>
            <w:vAlign w:val="center"/>
            <w:hideMark/>
          </w:tcPr>
          <w:p w14:paraId="4B97491E" w14:textId="77777777" w:rsidR="00BA5EA9" w:rsidRPr="001E6DFD" w:rsidRDefault="00BA5EA9" w:rsidP="0097226C">
            <w:pPr>
              <w:rPr>
                <w:sz w:val="16"/>
                <w:szCs w:val="16"/>
              </w:rPr>
            </w:pPr>
            <w:r w:rsidRPr="001E6DFD">
              <w:rPr>
                <w:sz w:val="16"/>
                <w:szCs w:val="16"/>
              </w:rPr>
              <w:t>VIII.1</w:t>
            </w:r>
          </w:p>
        </w:tc>
        <w:tc>
          <w:tcPr>
            <w:tcW w:w="4235" w:type="dxa"/>
            <w:tcBorders>
              <w:top w:val="nil"/>
              <w:left w:val="nil"/>
              <w:bottom w:val="nil"/>
              <w:right w:val="nil"/>
            </w:tcBorders>
            <w:shd w:val="clear" w:color="auto" w:fill="auto"/>
            <w:vAlign w:val="center"/>
            <w:hideMark/>
          </w:tcPr>
          <w:p w14:paraId="05DCDDAB" w14:textId="1C453607" w:rsidR="00BA5EA9" w:rsidRPr="001E6DFD" w:rsidRDefault="00B52D48" w:rsidP="0097226C">
            <w:pPr>
              <w:rPr>
                <w:sz w:val="16"/>
                <w:szCs w:val="16"/>
              </w:rPr>
            </w:pPr>
            <w:r w:rsidRPr="001E6DFD">
              <w:rPr>
                <w:sz w:val="16"/>
                <w:szCs w:val="16"/>
              </w:rPr>
              <w:t>Communication plus efficace avec le grand public concernant la propriété intellectuelle et le rôle de l</w:t>
            </w:r>
            <w:r w:rsidR="00FA22F6" w:rsidRPr="001E6DFD">
              <w:rPr>
                <w:sz w:val="16"/>
                <w:szCs w:val="16"/>
              </w:rPr>
              <w:t>’</w:t>
            </w:r>
            <w:r w:rsidRPr="001E6DFD">
              <w:rPr>
                <w:sz w:val="16"/>
                <w:szCs w:val="16"/>
              </w:rPr>
              <w:t>OMPI</w:t>
            </w:r>
          </w:p>
        </w:tc>
        <w:tc>
          <w:tcPr>
            <w:tcW w:w="1153" w:type="dxa"/>
            <w:tcBorders>
              <w:top w:val="nil"/>
              <w:left w:val="nil"/>
              <w:bottom w:val="nil"/>
              <w:right w:val="nil"/>
            </w:tcBorders>
            <w:shd w:val="clear" w:color="auto" w:fill="auto"/>
            <w:noWrap/>
            <w:vAlign w:val="center"/>
            <w:hideMark/>
          </w:tcPr>
          <w:p w14:paraId="05308D77" w14:textId="77777777" w:rsidR="00BA5EA9" w:rsidRPr="001E6DFD" w:rsidRDefault="00BA5EA9" w:rsidP="0097226C">
            <w:pPr>
              <w:jc w:val="center"/>
              <w:rPr>
                <w:sz w:val="16"/>
                <w:szCs w:val="16"/>
              </w:rPr>
            </w:pPr>
            <w:r w:rsidRPr="001E6DFD">
              <w:rPr>
                <w:sz w:val="16"/>
                <w:szCs w:val="16"/>
              </w:rPr>
              <w:t>327</w:t>
            </w:r>
          </w:p>
        </w:tc>
        <w:tc>
          <w:tcPr>
            <w:tcW w:w="1152" w:type="dxa"/>
            <w:tcBorders>
              <w:top w:val="nil"/>
              <w:left w:val="nil"/>
              <w:bottom w:val="nil"/>
              <w:right w:val="nil"/>
            </w:tcBorders>
            <w:shd w:val="clear" w:color="auto" w:fill="auto"/>
            <w:noWrap/>
            <w:vAlign w:val="center"/>
            <w:hideMark/>
          </w:tcPr>
          <w:p w14:paraId="32AFC561" w14:textId="77777777" w:rsidR="00BA5EA9" w:rsidRPr="001E6DFD" w:rsidRDefault="00BA5EA9" w:rsidP="0097226C">
            <w:pPr>
              <w:jc w:val="center"/>
              <w:rPr>
                <w:sz w:val="16"/>
                <w:szCs w:val="16"/>
              </w:rPr>
            </w:pPr>
            <w:r w:rsidRPr="001E6DFD">
              <w:rPr>
                <w:sz w:val="16"/>
                <w:szCs w:val="16"/>
              </w:rPr>
              <w:t>0</w:t>
            </w:r>
          </w:p>
        </w:tc>
        <w:tc>
          <w:tcPr>
            <w:tcW w:w="1169" w:type="dxa"/>
            <w:tcBorders>
              <w:top w:val="nil"/>
              <w:left w:val="nil"/>
              <w:bottom w:val="nil"/>
              <w:right w:val="nil"/>
            </w:tcBorders>
            <w:shd w:val="clear" w:color="auto" w:fill="auto"/>
            <w:noWrap/>
            <w:vAlign w:val="center"/>
            <w:hideMark/>
          </w:tcPr>
          <w:p w14:paraId="1C33E817" w14:textId="77777777" w:rsidR="00BA5EA9" w:rsidRPr="001E6DFD" w:rsidRDefault="00BA5EA9" w:rsidP="0097226C">
            <w:pPr>
              <w:jc w:val="center"/>
              <w:rPr>
                <w:sz w:val="16"/>
                <w:szCs w:val="16"/>
              </w:rPr>
            </w:pPr>
            <w:r w:rsidRPr="001E6DFD">
              <w:rPr>
                <w:sz w:val="16"/>
                <w:szCs w:val="16"/>
              </w:rPr>
              <w:t>2</w:t>
            </w:r>
          </w:p>
        </w:tc>
      </w:tr>
      <w:tr w:rsidR="00BA5EA9" w:rsidRPr="001E6DFD" w14:paraId="06B94B5B" w14:textId="77777777" w:rsidTr="005C716A">
        <w:trPr>
          <w:jc w:val="center"/>
        </w:trPr>
        <w:tc>
          <w:tcPr>
            <w:tcW w:w="611" w:type="dxa"/>
            <w:tcBorders>
              <w:top w:val="nil"/>
              <w:left w:val="nil"/>
              <w:bottom w:val="nil"/>
              <w:right w:val="nil"/>
            </w:tcBorders>
            <w:shd w:val="clear" w:color="000000" w:fill="C5D9F1"/>
            <w:noWrap/>
            <w:vAlign w:val="bottom"/>
            <w:hideMark/>
          </w:tcPr>
          <w:p w14:paraId="68BBC612" w14:textId="56BA3F68" w:rsidR="00BA5EA9" w:rsidRPr="001E6DFD" w:rsidRDefault="00BA5EA9" w:rsidP="0097226C">
            <w:pPr>
              <w:rPr>
                <w:sz w:val="16"/>
                <w:szCs w:val="16"/>
              </w:rPr>
            </w:pPr>
          </w:p>
        </w:tc>
        <w:tc>
          <w:tcPr>
            <w:tcW w:w="4235" w:type="dxa"/>
            <w:tcBorders>
              <w:top w:val="nil"/>
              <w:left w:val="nil"/>
              <w:bottom w:val="nil"/>
              <w:right w:val="nil"/>
            </w:tcBorders>
            <w:shd w:val="clear" w:color="000000" w:fill="C5D9F1"/>
            <w:noWrap/>
            <w:vAlign w:val="bottom"/>
            <w:hideMark/>
          </w:tcPr>
          <w:p w14:paraId="06AA7F8D" w14:textId="77777777" w:rsidR="00BA5EA9" w:rsidRPr="001E6DFD" w:rsidRDefault="00B52D48" w:rsidP="0097226C">
            <w:pPr>
              <w:jc w:val="right"/>
              <w:rPr>
                <w:b/>
                <w:bCs/>
                <w:sz w:val="16"/>
                <w:szCs w:val="16"/>
              </w:rPr>
            </w:pPr>
            <w:r w:rsidRPr="001E6DFD">
              <w:rPr>
                <w:b/>
                <w:bCs/>
                <w:sz w:val="16"/>
                <w:szCs w:val="16"/>
              </w:rPr>
              <w:t>Total</w:t>
            </w:r>
          </w:p>
        </w:tc>
        <w:tc>
          <w:tcPr>
            <w:tcW w:w="1153" w:type="dxa"/>
            <w:tcBorders>
              <w:top w:val="nil"/>
              <w:left w:val="nil"/>
              <w:bottom w:val="nil"/>
              <w:right w:val="nil"/>
            </w:tcBorders>
            <w:shd w:val="clear" w:color="000000" w:fill="C5D9F1"/>
            <w:noWrap/>
            <w:vAlign w:val="center"/>
            <w:hideMark/>
          </w:tcPr>
          <w:p w14:paraId="55EC03FC" w14:textId="77777777" w:rsidR="00BA5EA9" w:rsidRPr="001E6DFD" w:rsidRDefault="00282CF5" w:rsidP="0097226C">
            <w:pPr>
              <w:jc w:val="center"/>
              <w:rPr>
                <w:sz w:val="16"/>
                <w:szCs w:val="16"/>
              </w:rPr>
            </w:pPr>
            <w:r w:rsidRPr="001E6DFD">
              <w:rPr>
                <w:sz w:val="16"/>
                <w:szCs w:val="16"/>
              </w:rPr>
              <w:t>3 752</w:t>
            </w:r>
          </w:p>
        </w:tc>
        <w:tc>
          <w:tcPr>
            <w:tcW w:w="1152" w:type="dxa"/>
            <w:tcBorders>
              <w:top w:val="nil"/>
              <w:left w:val="nil"/>
              <w:bottom w:val="nil"/>
              <w:right w:val="nil"/>
            </w:tcBorders>
            <w:shd w:val="clear" w:color="000000" w:fill="C5D9F1"/>
            <w:noWrap/>
            <w:vAlign w:val="center"/>
            <w:hideMark/>
          </w:tcPr>
          <w:p w14:paraId="5A61CA7D" w14:textId="77777777" w:rsidR="00BA5EA9" w:rsidRPr="001E6DFD" w:rsidRDefault="00282CF5" w:rsidP="0097226C">
            <w:pPr>
              <w:jc w:val="center"/>
              <w:rPr>
                <w:sz w:val="16"/>
                <w:szCs w:val="16"/>
              </w:rPr>
            </w:pPr>
            <w:r w:rsidRPr="001E6DFD">
              <w:rPr>
                <w:sz w:val="16"/>
                <w:szCs w:val="16"/>
              </w:rPr>
              <w:t>3 874</w:t>
            </w:r>
          </w:p>
        </w:tc>
        <w:tc>
          <w:tcPr>
            <w:tcW w:w="1169" w:type="dxa"/>
            <w:tcBorders>
              <w:top w:val="nil"/>
              <w:left w:val="nil"/>
              <w:bottom w:val="nil"/>
              <w:right w:val="nil"/>
            </w:tcBorders>
            <w:shd w:val="clear" w:color="000000" w:fill="C5D9F1"/>
            <w:noWrap/>
            <w:vAlign w:val="center"/>
            <w:hideMark/>
          </w:tcPr>
          <w:p w14:paraId="74A2057C" w14:textId="77777777" w:rsidR="00BA5EA9" w:rsidRPr="001E6DFD" w:rsidRDefault="00282CF5" w:rsidP="0097226C">
            <w:pPr>
              <w:jc w:val="center"/>
              <w:rPr>
                <w:sz w:val="16"/>
                <w:szCs w:val="16"/>
              </w:rPr>
            </w:pPr>
            <w:r w:rsidRPr="001E6DFD">
              <w:rPr>
                <w:sz w:val="16"/>
                <w:szCs w:val="16"/>
              </w:rPr>
              <w:t>1 905</w:t>
            </w:r>
          </w:p>
        </w:tc>
      </w:tr>
      <w:tr w:rsidR="00A03FA5" w:rsidRPr="001E6DFD" w14:paraId="62E49660" w14:textId="77777777" w:rsidTr="005C716A">
        <w:trPr>
          <w:jc w:val="center"/>
        </w:trPr>
        <w:tc>
          <w:tcPr>
            <w:tcW w:w="8320" w:type="dxa"/>
            <w:gridSpan w:val="5"/>
            <w:tcBorders>
              <w:top w:val="nil"/>
              <w:left w:val="nil"/>
              <w:bottom w:val="nil"/>
              <w:right w:val="nil"/>
            </w:tcBorders>
            <w:shd w:val="clear" w:color="auto" w:fill="auto"/>
            <w:noWrap/>
            <w:vAlign w:val="center"/>
            <w:hideMark/>
          </w:tcPr>
          <w:p w14:paraId="0D8C855A" w14:textId="1322C50E" w:rsidR="00A03FA5" w:rsidRPr="001E6DFD" w:rsidRDefault="00A03FA5"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7669C20E" w14:textId="77777777" w:rsidR="001F64B1" w:rsidRPr="001E6DFD" w:rsidRDefault="001F64B1" w:rsidP="0097226C">
      <w:pPr>
        <w:rPr>
          <w:sz w:val="20"/>
          <w:szCs w:val="18"/>
        </w:rPr>
      </w:pPr>
    </w:p>
    <w:p w14:paraId="6F1EC209" w14:textId="77777777" w:rsidR="00FA22F6" w:rsidRPr="001E6DFD" w:rsidRDefault="00B52D48" w:rsidP="0097226C">
      <w:pPr>
        <w:pStyle w:val="NormalWeb"/>
        <w:keepNext/>
        <w:keepLines/>
        <w:spacing w:before="0" w:beforeAutospacing="0" w:after="0" w:afterAutospacing="0"/>
        <w:jc w:val="center"/>
      </w:pPr>
      <w:r w:rsidRPr="001E6DFD">
        <w:t>Budget et dépenses effectives (dépenses de personnel et autres dépenses)</w:t>
      </w:r>
    </w:p>
    <w:p w14:paraId="762ECAD7" w14:textId="1997C9A0" w:rsidR="001F64B1" w:rsidRPr="001E6DFD" w:rsidRDefault="00B52D48" w:rsidP="0097226C">
      <w:pPr>
        <w:pStyle w:val="NormalWeb"/>
        <w:keepNext/>
        <w:keepLines/>
        <w:spacing w:before="0" w:beforeAutospacing="0" w:after="0" w:afterAutospacing="0"/>
        <w:jc w:val="center"/>
        <w:rPr>
          <w:i/>
          <w:iCs/>
          <w:sz w:val="16"/>
          <w:szCs w:val="16"/>
        </w:rPr>
      </w:pPr>
      <w:r w:rsidRPr="001E6DFD">
        <w:rPr>
          <w:i/>
          <w:iCs/>
          <w:sz w:val="16"/>
          <w:szCs w:val="16"/>
        </w:rPr>
        <w:t>(en milliers de francs suisses)</w:t>
      </w:r>
    </w:p>
    <w:p w14:paraId="7C288D0B" w14:textId="77777777" w:rsidR="00BA5EA9" w:rsidRPr="001E6DFD" w:rsidRDefault="00BA5EA9" w:rsidP="0097226C">
      <w:pPr>
        <w:pStyle w:val="NormalWeb"/>
        <w:keepNext/>
        <w:keepLines/>
        <w:spacing w:before="0" w:beforeAutospacing="0" w:after="0" w:afterAutospacing="0"/>
        <w:jc w:val="center"/>
        <w:rPr>
          <w:i/>
          <w:iCs/>
          <w:sz w:val="20"/>
          <w:szCs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BA5EA9" w:rsidRPr="001E6DFD" w14:paraId="664CABAC" w14:textId="77777777" w:rsidTr="005C716A">
        <w:trPr>
          <w:jc w:val="center"/>
        </w:trPr>
        <w:tc>
          <w:tcPr>
            <w:tcW w:w="2470" w:type="dxa"/>
            <w:tcBorders>
              <w:top w:val="nil"/>
              <w:left w:val="nil"/>
              <w:bottom w:val="nil"/>
              <w:right w:val="nil"/>
            </w:tcBorders>
            <w:shd w:val="clear" w:color="000000" w:fill="C5D9F1"/>
            <w:noWrap/>
            <w:vAlign w:val="center"/>
            <w:hideMark/>
          </w:tcPr>
          <w:p w14:paraId="3AB7D16A" w14:textId="48831A7C" w:rsidR="00BA5EA9" w:rsidRPr="001E6DFD" w:rsidRDefault="00BA5EA9" w:rsidP="0097226C">
            <w:pPr>
              <w:rPr>
                <w:sz w:val="16"/>
                <w:szCs w:val="16"/>
              </w:rPr>
            </w:pPr>
          </w:p>
        </w:tc>
        <w:tc>
          <w:tcPr>
            <w:tcW w:w="1438" w:type="dxa"/>
            <w:tcBorders>
              <w:top w:val="nil"/>
              <w:left w:val="nil"/>
              <w:bottom w:val="nil"/>
              <w:right w:val="nil"/>
            </w:tcBorders>
            <w:shd w:val="clear" w:color="000000" w:fill="C5D9F1"/>
            <w:vAlign w:val="center"/>
            <w:hideMark/>
          </w:tcPr>
          <w:p w14:paraId="38E99112" w14:textId="5A9A8CC0" w:rsidR="00BA5EA9" w:rsidRPr="001E6DFD" w:rsidRDefault="00B52D48"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438" w:type="dxa"/>
            <w:tcBorders>
              <w:top w:val="nil"/>
              <w:left w:val="nil"/>
              <w:bottom w:val="nil"/>
              <w:right w:val="nil"/>
            </w:tcBorders>
            <w:shd w:val="clear" w:color="000000" w:fill="C5D9F1"/>
            <w:vAlign w:val="center"/>
            <w:hideMark/>
          </w:tcPr>
          <w:p w14:paraId="736F36E7" w14:textId="58481940" w:rsidR="00BA5EA9" w:rsidRPr="001E6DFD" w:rsidRDefault="00F3341E"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38" w:type="dxa"/>
            <w:tcBorders>
              <w:top w:val="nil"/>
              <w:left w:val="nil"/>
              <w:bottom w:val="nil"/>
              <w:right w:val="nil"/>
            </w:tcBorders>
            <w:shd w:val="clear" w:color="000000" w:fill="C5D9F1"/>
            <w:vAlign w:val="center"/>
            <w:hideMark/>
          </w:tcPr>
          <w:p w14:paraId="0C9A342E" w14:textId="79B4AA86" w:rsidR="00BA5EA9" w:rsidRPr="001E6DFD" w:rsidRDefault="00B52D48"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38" w:type="dxa"/>
            <w:tcBorders>
              <w:top w:val="nil"/>
              <w:left w:val="nil"/>
              <w:bottom w:val="nil"/>
              <w:right w:val="nil"/>
            </w:tcBorders>
            <w:shd w:val="clear" w:color="000000" w:fill="C5D9F1"/>
            <w:vAlign w:val="center"/>
            <w:hideMark/>
          </w:tcPr>
          <w:p w14:paraId="12D090B8" w14:textId="4F1228C7" w:rsidR="00BA5EA9" w:rsidRPr="001E6DFD" w:rsidRDefault="00B52D48"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5A244259" w14:textId="77777777" w:rsidTr="005C716A">
        <w:trPr>
          <w:jc w:val="center"/>
        </w:trPr>
        <w:tc>
          <w:tcPr>
            <w:tcW w:w="2470" w:type="dxa"/>
            <w:tcBorders>
              <w:top w:val="nil"/>
              <w:left w:val="nil"/>
              <w:bottom w:val="nil"/>
              <w:right w:val="nil"/>
            </w:tcBorders>
            <w:shd w:val="clear" w:color="auto" w:fill="auto"/>
            <w:noWrap/>
            <w:vAlign w:val="center"/>
            <w:hideMark/>
          </w:tcPr>
          <w:p w14:paraId="2662D49B" w14:textId="77777777" w:rsidR="00BA5EA9" w:rsidRPr="001E6DFD" w:rsidRDefault="002A49FC" w:rsidP="0097226C">
            <w:pPr>
              <w:rPr>
                <w:sz w:val="16"/>
                <w:szCs w:val="16"/>
              </w:rPr>
            </w:pPr>
            <w:r w:rsidRPr="001E6DFD">
              <w:rPr>
                <w:sz w:val="16"/>
                <w:szCs w:val="16"/>
              </w:rPr>
              <w:t>Ressources en personnel</w:t>
            </w:r>
          </w:p>
        </w:tc>
        <w:tc>
          <w:tcPr>
            <w:tcW w:w="1438" w:type="dxa"/>
            <w:tcBorders>
              <w:top w:val="nil"/>
              <w:left w:val="nil"/>
              <w:bottom w:val="nil"/>
              <w:right w:val="nil"/>
            </w:tcBorders>
            <w:shd w:val="clear" w:color="auto" w:fill="auto"/>
            <w:vAlign w:val="center"/>
            <w:hideMark/>
          </w:tcPr>
          <w:p w14:paraId="38830019" w14:textId="77777777" w:rsidR="00BA5EA9" w:rsidRPr="001E6DFD" w:rsidRDefault="00282CF5" w:rsidP="0097226C">
            <w:pPr>
              <w:jc w:val="center"/>
              <w:rPr>
                <w:sz w:val="16"/>
                <w:szCs w:val="16"/>
              </w:rPr>
            </w:pPr>
            <w:r w:rsidRPr="001E6DFD">
              <w:rPr>
                <w:sz w:val="16"/>
                <w:szCs w:val="16"/>
              </w:rPr>
              <w:t>3 073</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14A784FE" w14:textId="77777777" w:rsidR="00BA5EA9" w:rsidRPr="001E6DFD" w:rsidRDefault="00282CF5" w:rsidP="0097226C">
            <w:pPr>
              <w:jc w:val="center"/>
              <w:rPr>
                <w:sz w:val="16"/>
                <w:szCs w:val="16"/>
              </w:rPr>
            </w:pPr>
            <w:r w:rsidRPr="001E6DFD">
              <w:rPr>
                <w:sz w:val="16"/>
                <w:szCs w:val="16"/>
              </w:rPr>
              <w:t>3 073</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79A5C9CE" w14:textId="77777777" w:rsidR="00BA5EA9" w:rsidRPr="001E6DFD" w:rsidRDefault="00282CF5" w:rsidP="0097226C">
            <w:pPr>
              <w:jc w:val="center"/>
              <w:rPr>
                <w:sz w:val="16"/>
                <w:szCs w:val="16"/>
              </w:rPr>
            </w:pPr>
            <w:r w:rsidRPr="001E6DFD">
              <w:rPr>
                <w:sz w:val="16"/>
                <w:szCs w:val="16"/>
              </w:rPr>
              <w:t>1 567</w:t>
            </w:r>
            <w:r w:rsidR="00BA5EA9" w:rsidRPr="001E6DFD">
              <w:rPr>
                <w:sz w:val="16"/>
                <w:szCs w:val="16"/>
              </w:rPr>
              <w:t xml:space="preserve"> </w:t>
            </w:r>
          </w:p>
        </w:tc>
        <w:tc>
          <w:tcPr>
            <w:tcW w:w="1438" w:type="dxa"/>
            <w:tcBorders>
              <w:top w:val="nil"/>
              <w:left w:val="nil"/>
              <w:bottom w:val="nil"/>
              <w:right w:val="nil"/>
            </w:tcBorders>
            <w:shd w:val="clear" w:color="auto" w:fill="auto"/>
            <w:vAlign w:val="center"/>
            <w:hideMark/>
          </w:tcPr>
          <w:p w14:paraId="683BD341" w14:textId="77777777" w:rsidR="00BA5EA9" w:rsidRPr="001E6DFD" w:rsidRDefault="00BA5EA9" w:rsidP="0097226C">
            <w:pPr>
              <w:jc w:val="center"/>
              <w:rPr>
                <w:sz w:val="16"/>
                <w:szCs w:val="16"/>
              </w:rPr>
            </w:pPr>
            <w:r w:rsidRPr="001E6DFD">
              <w:rPr>
                <w:sz w:val="16"/>
                <w:szCs w:val="16"/>
              </w:rPr>
              <w:t>51%</w:t>
            </w:r>
          </w:p>
        </w:tc>
      </w:tr>
      <w:tr w:rsidR="00BA5EA9" w:rsidRPr="001E6DFD" w14:paraId="4E99497A" w14:textId="77777777" w:rsidTr="005C716A">
        <w:trPr>
          <w:jc w:val="center"/>
        </w:trPr>
        <w:tc>
          <w:tcPr>
            <w:tcW w:w="2470" w:type="dxa"/>
            <w:tcBorders>
              <w:top w:val="nil"/>
              <w:left w:val="nil"/>
              <w:bottom w:val="nil"/>
              <w:right w:val="nil"/>
            </w:tcBorders>
            <w:shd w:val="clear" w:color="auto" w:fill="auto"/>
            <w:noWrap/>
            <w:vAlign w:val="center"/>
            <w:hideMark/>
          </w:tcPr>
          <w:p w14:paraId="3C123317" w14:textId="77777777" w:rsidR="00BA5EA9" w:rsidRPr="001E6DFD" w:rsidRDefault="002A49FC" w:rsidP="0097226C">
            <w:pPr>
              <w:rPr>
                <w:sz w:val="16"/>
                <w:szCs w:val="16"/>
              </w:rPr>
            </w:pPr>
            <w:r w:rsidRPr="001E6DFD">
              <w:rPr>
                <w:sz w:val="16"/>
                <w:szCs w:val="16"/>
              </w:rPr>
              <w:t>Autres ressources</w:t>
            </w:r>
          </w:p>
        </w:tc>
        <w:tc>
          <w:tcPr>
            <w:tcW w:w="1438" w:type="dxa"/>
            <w:tcBorders>
              <w:top w:val="nil"/>
              <w:left w:val="nil"/>
              <w:bottom w:val="nil"/>
              <w:right w:val="nil"/>
            </w:tcBorders>
            <w:shd w:val="clear" w:color="auto" w:fill="auto"/>
            <w:vAlign w:val="center"/>
            <w:hideMark/>
          </w:tcPr>
          <w:p w14:paraId="213EBC45" w14:textId="77777777" w:rsidR="00BA5EA9" w:rsidRPr="001E6DFD" w:rsidRDefault="00BA5EA9" w:rsidP="0097226C">
            <w:pPr>
              <w:jc w:val="center"/>
              <w:rPr>
                <w:sz w:val="16"/>
                <w:szCs w:val="16"/>
              </w:rPr>
            </w:pPr>
            <w:r w:rsidRPr="001E6DFD">
              <w:rPr>
                <w:sz w:val="16"/>
                <w:szCs w:val="16"/>
              </w:rPr>
              <w:t xml:space="preserve">679 </w:t>
            </w:r>
          </w:p>
        </w:tc>
        <w:tc>
          <w:tcPr>
            <w:tcW w:w="1438" w:type="dxa"/>
            <w:tcBorders>
              <w:top w:val="nil"/>
              <w:left w:val="nil"/>
              <w:bottom w:val="nil"/>
              <w:right w:val="nil"/>
            </w:tcBorders>
            <w:shd w:val="clear" w:color="auto" w:fill="auto"/>
            <w:vAlign w:val="center"/>
            <w:hideMark/>
          </w:tcPr>
          <w:p w14:paraId="7EC95E68" w14:textId="77777777" w:rsidR="00BA5EA9" w:rsidRPr="001E6DFD" w:rsidRDefault="00BA5EA9" w:rsidP="0097226C">
            <w:pPr>
              <w:jc w:val="center"/>
              <w:rPr>
                <w:sz w:val="16"/>
                <w:szCs w:val="16"/>
              </w:rPr>
            </w:pPr>
            <w:r w:rsidRPr="001E6DFD">
              <w:rPr>
                <w:sz w:val="16"/>
                <w:szCs w:val="16"/>
              </w:rPr>
              <w:t xml:space="preserve">801 </w:t>
            </w:r>
          </w:p>
        </w:tc>
        <w:tc>
          <w:tcPr>
            <w:tcW w:w="1438" w:type="dxa"/>
            <w:tcBorders>
              <w:top w:val="nil"/>
              <w:left w:val="nil"/>
              <w:bottom w:val="nil"/>
              <w:right w:val="nil"/>
            </w:tcBorders>
            <w:shd w:val="clear" w:color="auto" w:fill="auto"/>
            <w:vAlign w:val="center"/>
            <w:hideMark/>
          </w:tcPr>
          <w:p w14:paraId="0E37B698" w14:textId="77777777" w:rsidR="00BA5EA9" w:rsidRPr="001E6DFD" w:rsidRDefault="00BA5EA9" w:rsidP="0097226C">
            <w:pPr>
              <w:jc w:val="center"/>
              <w:rPr>
                <w:sz w:val="16"/>
                <w:szCs w:val="16"/>
              </w:rPr>
            </w:pPr>
            <w:r w:rsidRPr="001E6DFD">
              <w:rPr>
                <w:sz w:val="16"/>
                <w:szCs w:val="16"/>
              </w:rPr>
              <w:t xml:space="preserve">338 </w:t>
            </w:r>
          </w:p>
        </w:tc>
        <w:tc>
          <w:tcPr>
            <w:tcW w:w="1438" w:type="dxa"/>
            <w:tcBorders>
              <w:top w:val="nil"/>
              <w:left w:val="nil"/>
              <w:bottom w:val="nil"/>
              <w:right w:val="nil"/>
            </w:tcBorders>
            <w:shd w:val="clear" w:color="auto" w:fill="auto"/>
            <w:vAlign w:val="center"/>
            <w:hideMark/>
          </w:tcPr>
          <w:p w14:paraId="0A648D9C" w14:textId="77777777" w:rsidR="00BA5EA9" w:rsidRPr="001E6DFD" w:rsidRDefault="00BA5EA9" w:rsidP="0097226C">
            <w:pPr>
              <w:jc w:val="center"/>
              <w:rPr>
                <w:sz w:val="16"/>
                <w:szCs w:val="16"/>
              </w:rPr>
            </w:pPr>
            <w:r w:rsidRPr="001E6DFD">
              <w:rPr>
                <w:sz w:val="16"/>
                <w:szCs w:val="16"/>
              </w:rPr>
              <w:t>42%</w:t>
            </w:r>
          </w:p>
        </w:tc>
      </w:tr>
      <w:tr w:rsidR="00BA5EA9" w:rsidRPr="001E6DFD" w14:paraId="2386136E" w14:textId="77777777" w:rsidTr="005C716A">
        <w:trPr>
          <w:jc w:val="center"/>
        </w:trPr>
        <w:tc>
          <w:tcPr>
            <w:tcW w:w="2470" w:type="dxa"/>
            <w:tcBorders>
              <w:top w:val="nil"/>
              <w:left w:val="nil"/>
              <w:bottom w:val="nil"/>
              <w:right w:val="nil"/>
            </w:tcBorders>
            <w:shd w:val="clear" w:color="000000" w:fill="C5D9F1"/>
            <w:noWrap/>
            <w:vAlign w:val="center"/>
            <w:hideMark/>
          </w:tcPr>
          <w:p w14:paraId="69A4A2D0" w14:textId="03F9D741" w:rsidR="00BA5EA9" w:rsidRPr="001E6DFD" w:rsidRDefault="00B52D48"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6C06E911" w14:textId="77777777" w:rsidR="00BA5EA9" w:rsidRPr="001E6DFD" w:rsidRDefault="00282CF5" w:rsidP="0097226C">
            <w:pPr>
              <w:jc w:val="center"/>
              <w:rPr>
                <w:b/>
                <w:bCs/>
                <w:sz w:val="16"/>
                <w:szCs w:val="16"/>
              </w:rPr>
            </w:pPr>
            <w:r w:rsidRPr="001E6DFD">
              <w:rPr>
                <w:b/>
                <w:bCs/>
                <w:sz w:val="16"/>
                <w:szCs w:val="16"/>
              </w:rPr>
              <w:t>3 752</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60281368" w14:textId="77777777" w:rsidR="00BA5EA9" w:rsidRPr="001E6DFD" w:rsidRDefault="00282CF5" w:rsidP="0097226C">
            <w:pPr>
              <w:jc w:val="center"/>
              <w:rPr>
                <w:b/>
                <w:bCs/>
                <w:sz w:val="16"/>
                <w:szCs w:val="16"/>
              </w:rPr>
            </w:pPr>
            <w:r w:rsidRPr="001E6DFD">
              <w:rPr>
                <w:b/>
                <w:bCs/>
                <w:sz w:val="16"/>
                <w:szCs w:val="16"/>
              </w:rPr>
              <w:t>3 874</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C7D5BB6" w14:textId="77777777" w:rsidR="00BA5EA9" w:rsidRPr="001E6DFD" w:rsidRDefault="00282CF5" w:rsidP="0097226C">
            <w:pPr>
              <w:jc w:val="center"/>
              <w:rPr>
                <w:b/>
                <w:bCs/>
                <w:sz w:val="16"/>
                <w:szCs w:val="16"/>
              </w:rPr>
            </w:pPr>
            <w:r w:rsidRPr="001E6DFD">
              <w:rPr>
                <w:b/>
                <w:bCs/>
                <w:sz w:val="16"/>
                <w:szCs w:val="16"/>
              </w:rPr>
              <w:t>1 905</w:t>
            </w:r>
            <w:r w:rsidR="00BA5EA9" w:rsidRPr="001E6DFD">
              <w:rPr>
                <w:b/>
                <w:bCs/>
                <w:sz w:val="16"/>
                <w:szCs w:val="16"/>
              </w:rPr>
              <w:t xml:space="preserve"> </w:t>
            </w:r>
          </w:p>
        </w:tc>
        <w:tc>
          <w:tcPr>
            <w:tcW w:w="1438" w:type="dxa"/>
            <w:tcBorders>
              <w:top w:val="nil"/>
              <w:left w:val="nil"/>
              <w:bottom w:val="nil"/>
              <w:right w:val="nil"/>
            </w:tcBorders>
            <w:shd w:val="clear" w:color="000000" w:fill="C5D9F1"/>
            <w:vAlign w:val="center"/>
            <w:hideMark/>
          </w:tcPr>
          <w:p w14:paraId="70345AA3" w14:textId="77777777" w:rsidR="00BA5EA9" w:rsidRPr="001E6DFD" w:rsidRDefault="00BA5EA9" w:rsidP="0097226C">
            <w:pPr>
              <w:jc w:val="center"/>
              <w:rPr>
                <w:b/>
                <w:bCs/>
                <w:sz w:val="16"/>
                <w:szCs w:val="16"/>
              </w:rPr>
            </w:pPr>
            <w:r w:rsidRPr="001E6DFD">
              <w:rPr>
                <w:b/>
                <w:bCs/>
                <w:sz w:val="16"/>
                <w:szCs w:val="16"/>
              </w:rPr>
              <w:t>49%</w:t>
            </w:r>
          </w:p>
        </w:tc>
      </w:tr>
      <w:tr w:rsidR="00BA5EA9" w:rsidRPr="001E6DFD" w14:paraId="5B2AE840" w14:textId="77777777" w:rsidTr="005C716A">
        <w:trPr>
          <w:jc w:val="center"/>
        </w:trPr>
        <w:tc>
          <w:tcPr>
            <w:tcW w:w="8222" w:type="dxa"/>
            <w:gridSpan w:val="5"/>
            <w:tcBorders>
              <w:top w:val="nil"/>
              <w:left w:val="nil"/>
              <w:bottom w:val="nil"/>
              <w:right w:val="nil"/>
            </w:tcBorders>
            <w:shd w:val="clear" w:color="auto" w:fill="auto"/>
            <w:noWrap/>
            <w:vAlign w:val="center"/>
            <w:hideMark/>
          </w:tcPr>
          <w:p w14:paraId="69A4324F" w14:textId="421F5EC2"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181CBA24" w14:textId="77777777" w:rsidR="001F64B1" w:rsidRPr="001E6DFD" w:rsidRDefault="001F64B1" w:rsidP="0097226C">
      <w:pPr>
        <w:jc w:val="center"/>
        <w:rPr>
          <w:sz w:val="18"/>
          <w:szCs w:val="16"/>
        </w:rPr>
      </w:pPr>
    </w:p>
    <w:p w14:paraId="211DB738" w14:textId="5B03D939" w:rsidR="001F64B1" w:rsidRPr="001E6DFD" w:rsidRDefault="00B52D48"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0C0AA568" w14:textId="77777777" w:rsidR="001F64B1" w:rsidRPr="001E6DFD" w:rsidRDefault="001F64B1" w:rsidP="0097226C">
      <w:pPr>
        <w:rPr>
          <w:sz w:val="18"/>
          <w:szCs w:val="18"/>
        </w:rPr>
      </w:pPr>
    </w:p>
    <w:p w14:paraId="0F7833E4" w14:textId="77777777" w:rsidR="001F64B1" w:rsidRPr="001E6DFD" w:rsidRDefault="001F64B1" w:rsidP="0097226C">
      <w:pPr>
        <w:jc w:val="both"/>
        <w:rPr>
          <w:sz w:val="18"/>
          <w:szCs w:val="18"/>
        </w:rPr>
      </w:pPr>
    </w:p>
    <w:p w14:paraId="116B72A5" w14:textId="269D8EC4" w:rsidR="001F64B1" w:rsidRPr="00912C62" w:rsidRDefault="00BA5EA9" w:rsidP="00912C62">
      <w:pPr>
        <w:keepNext/>
        <w:keepLines/>
        <w:jc w:val="both"/>
        <w:rPr>
          <w:sz w:val="20"/>
        </w:rPr>
      </w:pPr>
      <w:r w:rsidRPr="00912C62">
        <w:rPr>
          <w:sz w:val="20"/>
        </w:rPr>
        <w:lastRenderedPageBreak/>
        <w:t>A.</w:t>
      </w:r>
      <w:r w:rsidRPr="00912C62">
        <w:rPr>
          <w:sz w:val="20"/>
        </w:rPr>
        <w:tab/>
      </w:r>
      <w:r w:rsidR="00F3341E" w:rsidRPr="00912C62">
        <w:rPr>
          <w:sz w:val="20"/>
          <w:u w:val="single"/>
        </w:rPr>
        <w:t>Budget</w:t>
      </w:r>
      <w:r w:rsidR="00B4191E" w:rsidRPr="00912C62">
        <w:rPr>
          <w:sz w:val="20"/>
          <w:u w:val="single"/>
        </w:rPr>
        <w:t> </w:t>
      </w:r>
      <w:r w:rsidR="00F3341E" w:rsidRPr="00912C62">
        <w:rPr>
          <w:sz w:val="20"/>
          <w:u w:val="single"/>
        </w:rPr>
        <w:t>2016</w:t>
      </w:r>
      <w:r w:rsidR="006A41CF" w:rsidRPr="00912C62">
        <w:rPr>
          <w:sz w:val="20"/>
          <w:u w:val="single"/>
        </w:rPr>
        <w:noBreakHyphen/>
      </w:r>
      <w:r w:rsidR="00F3341E" w:rsidRPr="00912C62">
        <w:rPr>
          <w:sz w:val="20"/>
          <w:u w:val="single"/>
        </w:rPr>
        <w:t>2017 après virements</w:t>
      </w:r>
    </w:p>
    <w:p w14:paraId="6219DBFC" w14:textId="77777777" w:rsidR="001F64B1" w:rsidRPr="00912C62" w:rsidRDefault="001F64B1" w:rsidP="00912C62">
      <w:pPr>
        <w:keepNext/>
        <w:keepLines/>
        <w:jc w:val="both"/>
        <w:rPr>
          <w:sz w:val="20"/>
        </w:rPr>
      </w:pPr>
    </w:p>
    <w:p w14:paraId="3E59AF44" w14:textId="71AFC8B1" w:rsidR="00FA22F6" w:rsidRPr="00912C62" w:rsidRDefault="008120F1" w:rsidP="00D544B8">
      <w:pPr>
        <w:pStyle w:val="ListParagraph"/>
        <w:keepNext/>
        <w:keepLines/>
        <w:numPr>
          <w:ilvl w:val="0"/>
          <w:numId w:val="21"/>
        </w:numPr>
        <w:ind w:left="0" w:firstLine="0"/>
        <w:contextualSpacing w:val="0"/>
        <w:jc w:val="both"/>
        <w:rPr>
          <w:rFonts w:ascii="Arial" w:hAnsi="Arial" w:cs="Arial"/>
          <w:sz w:val="20"/>
          <w:szCs w:val="20"/>
        </w:rPr>
      </w:pPr>
      <w:r w:rsidRPr="00912C62">
        <w:rPr>
          <w:rFonts w:ascii="Arial" w:hAnsi="Arial" w:cs="Arial"/>
          <w:sz w:val="20"/>
          <w:szCs w:val="20"/>
        </w:rPr>
        <w:t xml:space="preserve">Le budget après </w:t>
      </w:r>
      <w:r w:rsidR="00FF3362" w:rsidRPr="00912C62">
        <w:rPr>
          <w:rFonts w:ascii="Arial" w:hAnsi="Arial" w:cs="Arial"/>
          <w:sz w:val="20"/>
          <w:szCs w:val="20"/>
        </w:rPr>
        <w:t>virement</w:t>
      </w:r>
      <w:r w:rsidR="008B5C8B" w:rsidRPr="00912C62">
        <w:rPr>
          <w:rFonts w:ascii="Arial" w:hAnsi="Arial" w:cs="Arial"/>
          <w:sz w:val="20"/>
          <w:szCs w:val="20"/>
        </w:rPr>
        <w:t xml:space="preserve">s a fait apparaître </w:t>
      </w:r>
      <w:r w:rsidRPr="00912C62">
        <w:rPr>
          <w:rFonts w:ascii="Arial" w:hAnsi="Arial" w:cs="Arial"/>
          <w:sz w:val="20"/>
          <w:szCs w:val="20"/>
        </w:rPr>
        <w:t>le transfert</w:t>
      </w:r>
      <w:r w:rsidR="00482784" w:rsidRPr="00912C62">
        <w:rPr>
          <w:rFonts w:ascii="Arial" w:hAnsi="Arial" w:cs="Arial"/>
          <w:sz w:val="20"/>
          <w:szCs w:val="20"/>
        </w:rPr>
        <w:t>,</w:t>
      </w:r>
      <w:r w:rsidRPr="00912C62">
        <w:rPr>
          <w:rFonts w:ascii="Arial" w:hAnsi="Arial" w:cs="Arial"/>
          <w:sz w:val="20"/>
          <w:szCs w:val="20"/>
        </w:rPr>
        <w:t xml:space="preserve"> dans le programm</w:t>
      </w:r>
      <w:r w:rsidR="00482784" w:rsidRPr="00912C62">
        <w:rPr>
          <w:rFonts w:ascii="Arial" w:hAnsi="Arial" w:cs="Arial"/>
          <w:sz w:val="20"/>
          <w:szCs w:val="20"/>
        </w:rPr>
        <w:t xml:space="preserve">e, de ressources </w:t>
      </w:r>
      <w:r w:rsidRPr="00912C62">
        <w:rPr>
          <w:rFonts w:ascii="Arial" w:hAnsi="Arial" w:cs="Arial"/>
          <w:sz w:val="20"/>
          <w:szCs w:val="20"/>
        </w:rPr>
        <w:t xml:space="preserve">autres </w:t>
      </w:r>
      <w:r w:rsidR="00F706A4" w:rsidRPr="00912C62">
        <w:rPr>
          <w:rFonts w:ascii="Arial" w:hAnsi="Arial" w:cs="Arial"/>
          <w:sz w:val="20"/>
          <w:szCs w:val="20"/>
        </w:rPr>
        <w:t xml:space="preserve">que </w:t>
      </w:r>
      <w:r w:rsidR="00482784" w:rsidRPr="00912C62">
        <w:rPr>
          <w:rFonts w:ascii="Arial" w:hAnsi="Arial" w:cs="Arial"/>
          <w:sz w:val="20"/>
          <w:szCs w:val="20"/>
        </w:rPr>
        <w:t xml:space="preserve">pour le </w:t>
      </w:r>
      <w:r w:rsidRPr="00912C62">
        <w:rPr>
          <w:rFonts w:ascii="Arial" w:hAnsi="Arial" w:cs="Arial"/>
          <w:sz w:val="20"/>
          <w:szCs w:val="20"/>
        </w:rPr>
        <w:t>personnel</w:t>
      </w:r>
      <w:r w:rsidR="00482784" w:rsidRPr="00912C62">
        <w:rPr>
          <w:rFonts w:ascii="Arial" w:hAnsi="Arial" w:cs="Arial"/>
          <w:sz w:val="20"/>
          <w:szCs w:val="20"/>
        </w:rPr>
        <w:t xml:space="preserve"> supplémentaires, tel qu</w:t>
      </w:r>
      <w:r w:rsidR="00FA22F6" w:rsidRPr="00912C62">
        <w:rPr>
          <w:rFonts w:ascii="Arial" w:hAnsi="Arial" w:cs="Arial"/>
          <w:sz w:val="20"/>
          <w:szCs w:val="20"/>
        </w:rPr>
        <w:t>’</w:t>
      </w:r>
      <w:r w:rsidR="00482784" w:rsidRPr="00912C62">
        <w:rPr>
          <w:rFonts w:ascii="Arial" w:hAnsi="Arial" w:cs="Arial"/>
          <w:sz w:val="20"/>
          <w:szCs w:val="20"/>
        </w:rPr>
        <w:t>indiqué</w:t>
      </w:r>
      <w:r w:rsidRPr="00912C62">
        <w:rPr>
          <w:rFonts w:ascii="Arial" w:hAnsi="Arial" w:cs="Arial"/>
          <w:sz w:val="20"/>
          <w:szCs w:val="20"/>
        </w:rPr>
        <w:t xml:space="preserve"> </w:t>
      </w:r>
      <w:r w:rsidR="00F706A4" w:rsidRPr="00912C62">
        <w:rPr>
          <w:rFonts w:ascii="Arial" w:hAnsi="Arial" w:cs="Arial"/>
          <w:sz w:val="20"/>
          <w:szCs w:val="20"/>
        </w:rPr>
        <w:t xml:space="preserve">au résultat escompté </w:t>
      </w:r>
      <w:r w:rsidRPr="00912C62">
        <w:rPr>
          <w:rFonts w:ascii="Arial" w:hAnsi="Arial" w:cs="Arial"/>
          <w:sz w:val="20"/>
          <w:szCs w:val="20"/>
        </w:rPr>
        <w:t>VI.1 (</w:t>
      </w:r>
      <w:r w:rsidR="00F706A4" w:rsidRPr="00912C62">
        <w:rPr>
          <w:rFonts w:ascii="Arial" w:hAnsi="Arial" w:cs="Arial"/>
          <w:sz w:val="20"/>
          <w:szCs w:val="20"/>
        </w:rPr>
        <w:t>Progrès du dialogue international de politique générale entre les États membres de l</w:t>
      </w:r>
      <w:r w:rsidR="00FA22F6" w:rsidRPr="00912C62">
        <w:rPr>
          <w:rFonts w:ascii="Arial" w:hAnsi="Arial" w:cs="Arial"/>
          <w:sz w:val="20"/>
          <w:szCs w:val="20"/>
        </w:rPr>
        <w:t>’</w:t>
      </w:r>
      <w:r w:rsidR="00F706A4" w:rsidRPr="00912C62">
        <w:rPr>
          <w:rFonts w:ascii="Arial" w:hAnsi="Arial" w:cs="Arial"/>
          <w:sz w:val="20"/>
          <w:szCs w:val="20"/>
        </w:rPr>
        <w:t>OMPI en ce qui concerne la promotion du respect de la propriété intellectuelle</w:t>
      </w:r>
      <w:r w:rsidRPr="00912C62">
        <w:rPr>
          <w:rFonts w:ascii="Arial" w:hAnsi="Arial" w:cs="Arial"/>
          <w:sz w:val="20"/>
          <w:szCs w:val="20"/>
        </w:rPr>
        <w:t>)</w:t>
      </w:r>
      <w:r w:rsidR="00482784" w:rsidRPr="00912C62">
        <w:rPr>
          <w:rFonts w:ascii="Arial" w:hAnsi="Arial" w:cs="Arial"/>
          <w:sz w:val="20"/>
          <w:szCs w:val="20"/>
        </w:rPr>
        <w:t>,</w:t>
      </w:r>
      <w:r w:rsidRPr="00912C62">
        <w:rPr>
          <w:rFonts w:ascii="Arial" w:hAnsi="Arial" w:cs="Arial"/>
          <w:sz w:val="20"/>
          <w:szCs w:val="20"/>
        </w:rPr>
        <w:t xml:space="preserve"> </w:t>
      </w:r>
      <w:r w:rsidR="00F706A4" w:rsidRPr="00912C62">
        <w:rPr>
          <w:rFonts w:ascii="Arial" w:hAnsi="Arial" w:cs="Arial"/>
          <w:sz w:val="20"/>
          <w:szCs w:val="20"/>
        </w:rPr>
        <w:t xml:space="preserve">afin de </w:t>
      </w:r>
      <w:r w:rsidRPr="00912C62">
        <w:rPr>
          <w:rFonts w:ascii="Arial" w:hAnsi="Arial" w:cs="Arial"/>
          <w:sz w:val="20"/>
          <w:szCs w:val="20"/>
        </w:rPr>
        <w:t>financer</w:t>
      </w:r>
      <w:r w:rsidR="00FA22F6" w:rsidRPr="00912C62">
        <w:rPr>
          <w:rFonts w:ascii="Arial" w:hAnsi="Arial" w:cs="Arial"/>
          <w:sz w:val="20"/>
          <w:szCs w:val="20"/>
        </w:rPr>
        <w:t> :</w:t>
      </w:r>
      <w:r w:rsidR="00F706A4" w:rsidRPr="00912C62">
        <w:rPr>
          <w:rFonts w:ascii="Arial" w:hAnsi="Arial" w:cs="Arial"/>
          <w:sz w:val="20"/>
          <w:szCs w:val="20"/>
        </w:rPr>
        <w:t xml:space="preserve"> i)</w:t>
      </w:r>
      <w:r w:rsidR="004D421A" w:rsidRPr="00912C62">
        <w:rPr>
          <w:rFonts w:ascii="Arial" w:hAnsi="Arial" w:cs="Arial"/>
          <w:sz w:val="20"/>
          <w:szCs w:val="20"/>
        </w:rPr>
        <w:t> </w:t>
      </w:r>
      <w:r w:rsidR="00F706A4" w:rsidRPr="00912C62">
        <w:rPr>
          <w:rFonts w:ascii="Arial" w:hAnsi="Arial" w:cs="Arial"/>
          <w:sz w:val="20"/>
          <w:szCs w:val="20"/>
        </w:rPr>
        <w:t>la douz</w:t>
      </w:r>
      <w:r w:rsidR="00FA22F6" w:rsidRPr="00912C62">
        <w:rPr>
          <w:rFonts w:ascii="Arial" w:hAnsi="Arial" w:cs="Arial"/>
          <w:sz w:val="20"/>
          <w:szCs w:val="20"/>
        </w:rPr>
        <w:t>ième session</w:t>
      </w:r>
      <w:r w:rsidR="00F706A4" w:rsidRPr="00912C62">
        <w:rPr>
          <w:rFonts w:ascii="Arial" w:hAnsi="Arial" w:cs="Arial"/>
          <w:sz w:val="20"/>
          <w:szCs w:val="20"/>
        </w:rPr>
        <w:t xml:space="preserve"> de l</w:t>
      </w:r>
      <w:r w:rsidR="00FA22F6" w:rsidRPr="00912C62">
        <w:rPr>
          <w:rFonts w:ascii="Arial" w:hAnsi="Arial" w:cs="Arial"/>
          <w:sz w:val="20"/>
          <w:szCs w:val="20"/>
        </w:rPr>
        <w:t>’</w:t>
      </w:r>
      <w:r w:rsidR="00F706A4" w:rsidRPr="00912C62">
        <w:rPr>
          <w:rFonts w:ascii="Arial" w:hAnsi="Arial" w:cs="Arial"/>
          <w:sz w:val="20"/>
          <w:szCs w:val="20"/>
        </w:rPr>
        <w:t xml:space="preserve">ACE;  et </w:t>
      </w:r>
      <w:r w:rsidRPr="00912C62">
        <w:rPr>
          <w:rFonts w:ascii="Arial" w:hAnsi="Arial" w:cs="Arial"/>
          <w:sz w:val="20"/>
          <w:szCs w:val="20"/>
        </w:rPr>
        <w:t>ii)</w:t>
      </w:r>
      <w:r w:rsidR="004D421A" w:rsidRPr="00912C62">
        <w:rPr>
          <w:rFonts w:ascii="Arial" w:hAnsi="Arial" w:cs="Arial"/>
          <w:sz w:val="20"/>
          <w:szCs w:val="20"/>
        </w:rPr>
        <w:t> </w:t>
      </w:r>
      <w:r w:rsidRPr="00912C62">
        <w:rPr>
          <w:rFonts w:ascii="Arial" w:hAnsi="Arial" w:cs="Arial"/>
          <w:sz w:val="20"/>
          <w:szCs w:val="20"/>
        </w:rPr>
        <w:t>la préparation de deux</w:t>
      </w:r>
      <w:r w:rsidR="004D421A" w:rsidRPr="00912C62">
        <w:rPr>
          <w:rFonts w:ascii="Arial" w:hAnsi="Arial" w:cs="Arial"/>
          <w:sz w:val="20"/>
          <w:szCs w:val="20"/>
        </w:rPr>
        <w:t> </w:t>
      </w:r>
      <w:r w:rsidRPr="00912C62">
        <w:rPr>
          <w:rFonts w:ascii="Arial" w:hAnsi="Arial" w:cs="Arial"/>
          <w:sz w:val="20"/>
          <w:szCs w:val="20"/>
        </w:rPr>
        <w:t xml:space="preserve">études et les </w:t>
      </w:r>
      <w:r w:rsidR="00F706A4" w:rsidRPr="00912C62">
        <w:rPr>
          <w:rFonts w:ascii="Arial" w:hAnsi="Arial" w:cs="Arial"/>
          <w:sz w:val="20"/>
          <w:szCs w:val="20"/>
        </w:rPr>
        <w:t xml:space="preserve">futurs travaux </w:t>
      </w:r>
      <w:r w:rsidRPr="00912C62">
        <w:rPr>
          <w:rFonts w:ascii="Arial" w:hAnsi="Arial" w:cs="Arial"/>
          <w:sz w:val="20"/>
          <w:szCs w:val="20"/>
        </w:rPr>
        <w:t xml:space="preserve">convenus par les États membres </w:t>
      </w:r>
      <w:r w:rsidR="00F83626" w:rsidRPr="00912C62">
        <w:rPr>
          <w:rFonts w:ascii="Arial" w:hAnsi="Arial" w:cs="Arial"/>
          <w:sz w:val="20"/>
          <w:szCs w:val="20"/>
        </w:rPr>
        <w:t>lors de</w:t>
      </w:r>
      <w:r w:rsidRPr="00912C62">
        <w:rPr>
          <w:rFonts w:ascii="Arial" w:hAnsi="Arial" w:cs="Arial"/>
          <w:sz w:val="20"/>
          <w:szCs w:val="20"/>
        </w:rPr>
        <w:t xml:space="preserve"> la onz</w:t>
      </w:r>
      <w:r w:rsidR="00FA22F6" w:rsidRPr="00912C62">
        <w:rPr>
          <w:rFonts w:ascii="Arial" w:hAnsi="Arial" w:cs="Arial"/>
          <w:sz w:val="20"/>
          <w:szCs w:val="20"/>
        </w:rPr>
        <w:t>ième session</w:t>
      </w:r>
      <w:r w:rsidRPr="00912C62">
        <w:rPr>
          <w:rFonts w:ascii="Arial" w:hAnsi="Arial" w:cs="Arial"/>
          <w:sz w:val="20"/>
          <w:szCs w:val="20"/>
        </w:rPr>
        <w:t xml:space="preserve"> de l</w:t>
      </w:r>
      <w:r w:rsidR="00FA22F6" w:rsidRPr="00912C62">
        <w:rPr>
          <w:rFonts w:ascii="Arial" w:hAnsi="Arial" w:cs="Arial"/>
          <w:sz w:val="20"/>
          <w:szCs w:val="20"/>
        </w:rPr>
        <w:t>’</w:t>
      </w:r>
      <w:r w:rsidRPr="00912C62">
        <w:rPr>
          <w:rFonts w:ascii="Arial" w:hAnsi="Arial" w:cs="Arial"/>
          <w:sz w:val="20"/>
          <w:szCs w:val="20"/>
        </w:rPr>
        <w:t>ACE.</w:t>
      </w:r>
    </w:p>
    <w:p w14:paraId="06C4EA38" w14:textId="0A06B4FB" w:rsidR="001F64B1" w:rsidRPr="00912C62" w:rsidRDefault="001F64B1" w:rsidP="0097226C">
      <w:pPr>
        <w:jc w:val="both"/>
        <w:rPr>
          <w:sz w:val="20"/>
        </w:rPr>
      </w:pPr>
    </w:p>
    <w:p w14:paraId="4B5A250F" w14:textId="4DCB4B33" w:rsidR="001F64B1" w:rsidRPr="00912C62" w:rsidRDefault="00BA5EA9" w:rsidP="0097226C">
      <w:pPr>
        <w:jc w:val="both"/>
        <w:rPr>
          <w:sz w:val="20"/>
        </w:rPr>
      </w:pPr>
      <w:r w:rsidRPr="00912C62">
        <w:rPr>
          <w:sz w:val="20"/>
        </w:rPr>
        <w:t>B.</w:t>
      </w:r>
      <w:r w:rsidRPr="00912C62">
        <w:rPr>
          <w:sz w:val="20"/>
        </w:rPr>
        <w:tab/>
      </w:r>
      <w:r w:rsidR="00F3341E" w:rsidRPr="00912C62">
        <w:rPr>
          <w:sz w:val="20"/>
          <w:u w:val="single"/>
        </w:rPr>
        <w:t>Utilisation du budget</w:t>
      </w:r>
      <w:r w:rsidR="00B4191E" w:rsidRPr="00912C62">
        <w:rPr>
          <w:sz w:val="20"/>
          <w:u w:val="single"/>
        </w:rPr>
        <w:t> </w:t>
      </w:r>
      <w:r w:rsidR="00F3341E" w:rsidRPr="00912C62">
        <w:rPr>
          <w:sz w:val="20"/>
          <w:u w:val="single"/>
        </w:rPr>
        <w:t>2016</w:t>
      </w:r>
      <w:r w:rsidR="006A41CF" w:rsidRPr="00912C62">
        <w:rPr>
          <w:sz w:val="20"/>
          <w:u w:val="single"/>
        </w:rPr>
        <w:noBreakHyphen/>
      </w:r>
      <w:r w:rsidR="00F3341E" w:rsidRPr="00912C62">
        <w:rPr>
          <w:sz w:val="20"/>
          <w:u w:val="single"/>
        </w:rPr>
        <w:t>2017</w:t>
      </w:r>
    </w:p>
    <w:p w14:paraId="5C4C8B90" w14:textId="77777777" w:rsidR="001F64B1" w:rsidRPr="00912C62" w:rsidRDefault="001F64B1" w:rsidP="0097226C">
      <w:pPr>
        <w:jc w:val="both"/>
        <w:rPr>
          <w:sz w:val="20"/>
        </w:rPr>
      </w:pPr>
    </w:p>
    <w:p w14:paraId="7F92E85A" w14:textId="5E42225E" w:rsidR="001F64B1" w:rsidRPr="00912C62" w:rsidRDefault="00EC540A" w:rsidP="00D544B8">
      <w:pPr>
        <w:pStyle w:val="ListParagraph"/>
        <w:numPr>
          <w:ilvl w:val="0"/>
          <w:numId w:val="21"/>
        </w:numPr>
        <w:ind w:left="0" w:firstLine="0"/>
        <w:contextualSpacing w:val="0"/>
        <w:jc w:val="both"/>
        <w:rPr>
          <w:rFonts w:ascii="Arial" w:hAnsi="Arial" w:cs="Arial"/>
          <w:sz w:val="20"/>
          <w:szCs w:val="20"/>
        </w:rPr>
      </w:pPr>
      <w:r w:rsidRPr="00912C62">
        <w:rPr>
          <w:rFonts w:ascii="Arial" w:hAnsi="Arial" w:cs="Arial"/>
          <w:sz w:val="20"/>
          <w:szCs w:val="20"/>
        </w:rPr>
        <w:t>L</w:t>
      </w:r>
      <w:r w:rsidR="00FA22F6" w:rsidRPr="00912C62">
        <w:rPr>
          <w:rFonts w:ascii="Arial" w:hAnsi="Arial" w:cs="Arial"/>
          <w:sz w:val="20"/>
          <w:szCs w:val="20"/>
        </w:rPr>
        <w:t>’</w:t>
      </w:r>
      <w:r w:rsidRPr="00912C62">
        <w:rPr>
          <w:rFonts w:ascii="Arial" w:hAnsi="Arial" w:cs="Arial"/>
          <w:sz w:val="20"/>
          <w:szCs w:val="20"/>
        </w:rPr>
        <w:t>utilisation du budget se situait dans la fourchette prévue des 40 à 60% pour la première année de l</w:t>
      </w:r>
      <w:r w:rsidR="00FA22F6" w:rsidRPr="00912C62">
        <w:rPr>
          <w:rFonts w:ascii="Arial" w:hAnsi="Arial" w:cs="Arial"/>
          <w:sz w:val="20"/>
          <w:szCs w:val="20"/>
        </w:rPr>
        <w:t>’</w:t>
      </w:r>
      <w:r w:rsidRPr="00912C62">
        <w:rPr>
          <w:rFonts w:ascii="Arial" w:hAnsi="Arial" w:cs="Arial"/>
          <w:sz w:val="20"/>
          <w:szCs w:val="20"/>
        </w:rPr>
        <w:t>exercice biennal.</w:t>
      </w:r>
    </w:p>
    <w:p w14:paraId="41E8CB1E" w14:textId="77777777" w:rsidR="001F64B1" w:rsidRPr="001303B4" w:rsidRDefault="001F64B1" w:rsidP="0097226C">
      <w:pPr>
        <w:pStyle w:val="ListParagraph"/>
        <w:ind w:left="0"/>
        <w:jc w:val="both"/>
        <w:rPr>
          <w:rFonts w:ascii="Arial" w:hAnsi="Arial" w:cs="Arial"/>
          <w:sz w:val="20"/>
          <w:szCs w:val="20"/>
        </w:rPr>
      </w:pPr>
    </w:p>
    <w:p w14:paraId="1AC512A5" w14:textId="1FA489A3" w:rsidR="001F64B1" w:rsidRPr="00912C62" w:rsidRDefault="002F6665" w:rsidP="00D544B8">
      <w:pPr>
        <w:pStyle w:val="ListParagraph"/>
        <w:numPr>
          <w:ilvl w:val="0"/>
          <w:numId w:val="21"/>
        </w:numPr>
        <w:ind w:left="0" w:firstLine="0"/>
        <w:contextualSpacing w:val="0"/>
        <w:jc w:val="both"/>
        <w:rPr>
          <w:rFonts w:ascii="Arial" w:hAnsi="Arial" w:cs="Arial"/>
          <w:sz w:val="20"/>
          <w:szCs w:val="20"/>
        </w:rPr>
      </w:pPr>
      <w:r w:rsidRPr="00912C62">
        <w:rPr>
          <w:rFonts w:ascii="Arial" w:hAnsi="Arial" w:cs="Arial"/>
          <w:sz w:val="20"/>
          <w:szCs w:val="20"/>
        </w:rPr>
        <w:t xml:space="preserve">Les dépenses au titre du résultat escompté VIII.1 (Communication plus efficace avec le grand public) </w:t>
      </w:r>
      <w:r w:rsidR="001B6174" w:rsidRPr="00912C62">
        <w:rPr>
          <w:rFonts w:ascii="Arial" w:hAnsi="Arial" w:cs="Arial"/>
          <w:sz w:val="20"/>
          <w:szCs w:val="20"/>
        </w:rPr>
        <w:t xml:space="preserve">étaient </w:t>
      </w:r>
      <w:r w:rsidRPr="00912C62">
        <w:rPr>
          <w:rFonts w:ascii="Arial" w:hAnsi="Arial" w:cs="Arial"/>
          <w:sz w:val="20"/>
          <w:szCs w:val="20"/>
        </w:rPr>
        <w:t xml:space="preserve">liées au </w:t>
      </w:r>
      <w:r w:rsidR="001B6174" w:rsidRPr="00912C62">
        <w:rPr>
          <w:rFonts w:ascii="Arial" w:hAnsi="Arial" w:cs="Arial"/>
          <w:sz w:val="20"/>
          <w:szCs w:val="20"/>
        </w:rPr>
        <w:t>Programme d</w:t>
      </w:r>
      <w:r w:rsidR="00FA22F6" w:rsidRPr="00912C62">
        <w:rPr>
          <w:rFonts w:ascii="Arial" w:hAnsi="Arial" w:cs="Arial"/>
          <w:sz w:val="20"/>
          <w:szCs w:val="20"/>
        </w:rPr>
        <w:t>’</w:t>
      </w:r>
      <w:r w:rsidR="001B6174" w:rsidRPr="00912C62">
        <w:rPr>
          <w:rFonts w:ascii="Arial" w:hAnsi="Arial" w:cs="Arial"/>
          <w:sz w:val="20"/>
          <w:szCs w:val="20"/>
        </w:rPr>
        <w:t>attribution de prix de l</w:t>
      </w:r>
      <w:r w:rsidR="00FA22F6" w:rsidRPr="00912C62">
        <w:rPr>
          <w:rFonts w:ascii="Arial" w:hAnsi="Arial" w:cs="Arial"/>
          <w:sz w:val="20"/>
          <w:szCs w:val="20"/>
        </w:rPr>
        <w:t>’</w:t>
      </w:r>
      <w:r w:rsidR="001B6174" w:rsidRPr="00912C62">
        <w:rPr>
          <w:rFonts w:ascii="Arial" w:hAnsi="Arial" w:cs="Arial"/>
          <w:sz w:val="20"/>
          <w:szCs w:val="20"/>
        </w:rPr>
        <w:t xml:space="preserve">OMPI, </w:t>
      </w:r>
      <w:r w:rsidR="00482784" w:rsidRPr="00912C62">
        <w:rPr>
          <w:rFonts w:ascii="Arial" w:hAnsi="Arial" w:cs="Arial"/>
          <w:sz w:val="20"/>
          <w:szCs w:val="20"/>
        </w:rPr>
        <w:t xml:space="preserve">lequel </w:t>
      </w:r>
      <w:r w:rsidRPr="00912C62">
        <w:rPr>
          <w:rFonts w:ascii="Arial" w:hAnsi="Arial" w:cs="Arial"/>
          <w:sz w:val="20"/>
          <w:szCs w:val="20"/>
        </w:rPr>
        <w:t>a été tran</w:t>
      </w:r>
      <w:r w:rsidR="005C5580" w:rsidRPr="00912C62">
        <w:rPr>
          <w:rFonts w:ascii="Arial" w:hAnsi="Arial" w:cs="Arial"/>
          <w:sz w:val="20"/>
          <w:szCs w:val="20"/>
        </w:rPr>
        <w:t>sféré à la Direction générale (p</w:t>
      </w:r>
      <w:r w:rsidRPr="00912C62">
        <w:rPr>
          <w:rFonts w:ascii="Arial" w:hAnsi="Arial" w:cs="Arial"/>
          <w:sz w:val="20"/>
          <w:szCs w:val="20"/>
        </w:rPr>
        <w:t>rogramme</w:t>
      </w:r>
      <w:r w:rsidR="00B4191E" w:rsidRPr="00912C62">
        <w:rPr>
          <w:rFonts w:ascii="Arial" w:hAnsi="Arial" w:cs="Arial"/>
          <w:sz w:val="20"/>
          <w:szCs w:val="20"/>
        </w:rPr>
        <w:t> </w:t>
      </w:r>
      <w:r w:rsidRPr="00912C62">
        <w:rPr>
          <w:rFonts w:ascii="Arial" w:hAnsi="Arial" w:cs="Arial"/>
          <w:sz w:val="20"/>
          <w:szCs w:val="20"/>
        </w:rPr>
        <w:t>21).</w:t>
      </w:r>
    </w:p>
    <w:p w14:paraId="15690821" w14:textId="77777777" w:rsidR="00A03FA5" w:rsidRPr="00912C62" w:rsidRDefault="00A03FA5" w:rsidP="0097226C">
      <w:pPr>
        <w:rPr>
          <w:b/>
          <w:bCs/>
          <w:iCs/>
          <w:szCs w:val="28"/>
        </w:rPr>
      </w:pPr>
      <w:r w:rsidRPr="00912C62">
        <w:rPr>
          <w:b/>
          <w:bCs/>
          <w:iCs/>
          <w:szCs w:val="28"/>
        </w:rPr>
        <w:br w:type="page"/>
      </w:r>
    </w:p>
    <w:p w14:paraId="12528938" w14:textId="7D6C7E84" w:rsidR="00394CA8" w:rsidRPr="00394CA8" w:rsidRDefault="009761D3" w:rsidP="009761D3">
      <w:pPr>
        <w:pStyle w:val="Heading2"/>
      </w:pPr>
      <w:bookmarkStart w:id="62" w:name="_Toc482774614"/>
      <w:r>
        <w:lastRenderedPageBreak/>
        <w:t>Objectif stratégique VII</w:t>
      </w:r>
      <w:bookmarkEnd w:id="62"/>
    </w:p>
    <w:p w14:paraId="0366E0DF" w14:textId="77777777" w:rsidR="00394CA8" w:rsidRPr="0074225E" w:rsidRDefault="00394CA8" w:rsidP="00394CA8">
      <w:pPr>
        <w:jc w:val="center"/>
        <w:rPr>
          <w:b/>
          <w:sz w:val="20"/>
        </w:rPr>
      </w:pPr>
    </w:p>
    <w:p w14:paraId="1CCD6EFB" w14:textId="77777777" w:rsidR="00394CA8" w:rsidRPr="0074225E" w:rsidRDefault="00394CA8" w:rsidP="00394CA8">
      <w:pPr>
        <w:jc w:val="center"/>
        <w:rPr>
          <w:b/>
          <w:sz w:val="20"/>
        </w:rPr>
      </w:pPr>
      <w:r w:rsidRPr="0074225E">
        <w:rPr>
          <w:b/>
          <w:sz w:val="20"/>
        </w:rPr>
        <w:t>PROPRIÉTÉ INTELLECTUELLE ET ENJEUX MONDIAUX</w:t>
      </w:r>
    </w:p>
    <w:p w14:paraId="10274DDB" w14:textId="77777777" w:rsidR="00394CA8" w:rsidRPr="0074225E" w:rsidRDefault="00394CA8" w:rsidP="00394CA8">
      <w:pPr>
        <w:rPr>
          <w:sz w:val="20"/>
        </w:rPr>
      </w:pPr>
    </w:p>
    <w:p w14:paraId="4EE286A7" w14:textId="77777777" w:rsidR="00394CA8" w:rsidRPr="0074225E" w:rsidRDefault="00394CA8" w:rsidP="00394CA8">
      <w:pPr>
        <w:jc w:val="center"/>
        <w:rPr>
          <w:b/>
          <w:sz w:val="20"/>
        </w:rPr>
      </w:pPr>
      <w:r w:rsidRPr="0074225E">
        <w:rPr>
          <w:b/>
          <w:sz w:val="20"/>
        </w:rPr>
        <w:t>Tableau de bord de l’exécution du programme à mi</w:t>
      </w:r>
      <w:r w:rsidRPr="0074225E">
        <w:rPr>
          <w:b/>
          <w:sz w:val="20"/>
        </w:rPr>
        <w:noBreakHyphen/>
        <w:t>parcours (2016)</w:t>
      </w:r>
    </w:p>
    <w:p w14:paraId="63548211" w14:textId="77777777" w:rsidR="00394CA8" w:rsidRPr="0074225E" w:rsidRDefault="00394CA8" w:rsidP="00394CA8">
      <w:pPr>
        <w:jc w:val="both"/>
        <w:rPr>
          <w:sz w:val="20"/>
        </w:rPr>
      </w:pPr>
    </w:p>
    <w:p w14:paraId="3C0EB85E" w14:textId="77777777" w:rsidR="00394CA8" w:rsidRPr="0074225E" w:rsidRDefault="00394CA8" w:rsidP="00394CA8">
      <w:pPr>
        <w:jc w:val="both"/>
        <w:rPr>
          <w:sz w:val="20"/>
        </w:rPr>
      </w:pPr>
      <w:r w:rsidRPr="0074225E">
        <w:rPr>
          <w:sz w:val="20"/>
        </w:rPr>
        <w:t>Le tableau de bord ci</w:t>
      </w:r>
      <w:r w:rsidRPr="0074225E">
        <w:rPr>
          <w:sz w:val="20"/>
        </w:rPr>
        <w:noBreakHyphen/>
        <w:t>dessous présente un résumé de l’état d’avancement de la réalisation des résultats en 2016, telle que mesurée par les indicateurs au titre des programmes contribuant à cet objectif stratégique.</w:t>
      </w:r>
    </w:p>
    <w:p w14:paraId="1BC3C119" w14:textId="77777777" w:rsidR="00394CA8" w:rsidRPr="00A859F2" w:rsidRDefault="00394CA8" w:rsidP="00394CA8">
      <w:pPr>
        <w:jc w:val="center"/>
      </w:pPr>
      <w:r w:rsidRPr="0074225E">
        <w:rPr>
          <w:noProof/>
          <w:lang w:val="en-US"/>
        </w:rPr>
        <w:drawing>
          <wp:inline distT="0" distB="0" distL="0" distR="0" wp14:anchorId="1C1E5455" wp14:editId="529601B1">
            <wp:extent cx="3693600" cy="2421451"/>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693600" cy="2421451"/>
                    </a:xfrm>
                    <a:prstGeom prst="rect">
                      <a:avLst/>
                    </a:prstGeom>
                    <a:noFill/>
                    <a:ln>
                      <a:noFill/>
                    </a:ln>
                  </pic:spPr>
                </pic:pic>
              </a:graphicData>
            </a:graphic>
          </wp:inline>
        </w:drawing>
      </w:r>
    </w:p>
    <w:tbl>
      <w:tblPr>
        <w:tblW w:w="9444" w:type="dxa"/>
        <w:tblInd w:w="108" w:type="dxa"/>
        <w:tblLayout w:type="fixed"/>
        <w:tblLook w:val="0000" w:firstRow="0" w:lastRow="0" w:firstColumn="0" w:lastColumn="0" w:noHBand="0" w:noVBand="0"/>
      </w:tblPr>
      <w:tblGrid>
        <w:gridCol w:w="2722"/>
        <w:gridCol w:w="3853"/>
        <w:gridCol w:w="1587"/>
        <w:gridCol w:w="1282"/>
      </w:tblGrid>
      <w:tr w:rsidR="00394CA8" w:rsidRPr="00A859F2" w14:paraId="7EAFDAD5" w14:textId="77777777" w:rsidTr="00394CA8">
        <w:trPr>
          <w:cantSplit/>
          <w:tblHeader/>
        </w:trPr>
        <w:tc>
          <w:tcPr>
            <w:tcW w:w="1441" w:type="pct"/>
            <w:shd w:val="clear" w:color="auto" w:fill="B8CCE4" w:themeFill="accent1" w:themeFillTint="66"/>
            <w:tcMar>
              <w:top w:w="113" w:type="dxa"/>
              <w:bottom w:w="85" w:type="dxa"/>
            </w:tcMar>
            <w:vAlign w:val="center"/>
          </w:tcPr>
          <w:p w14:paraId="3FD3927B" w14:textId="77777777" w:rsidR="00394CA8" w:rsidRPr="00A859F2" w:rsidRDefault="00394CA8" w:rsidP="00394CA8">
            <w:pPr>
              <w:rPr>
                <w:b/>
                <w:bCs/>
                <w:sz w:val="18"/>
                <w:szCs w:val="18"/>
              </w:rPr>
            </w:pPr>
            <w:r w:rsidRPr="00A859F2">
              <w:rPr>
                <w:b/>
                <w:bCs/>
                <w:sz w:val="18"/>
                <w:szCs w:val="18"/>
              </w:rPr>
              <w:t>Résultats escomptés</w:t>
            </w:r>
          </w:p>
        </w:tc>
        <w:tc>
          <w:tcPr>
            <w:tcW w:w="2040" w:type="pct"/>
            <w:shd w:val="clear" w:color="auto" w:fill="B8CCE4" w:themeFill="accent1" w:themeFillTint="66"/>
            <w:tcMar>
              <w:top w:w="113" w:type="dxa"/>
              <w:bottom w:w="85" w:type="dxa"/>
            </w:tcMar>
            <w:vAlign w:val="center"/>
          </w:tcPr>
          <w:p w14:paraId="32A74D94" w14:textId="77777777" w:rsidR="00394CA8" w:rsidRPr="00A859F2" w:rsidRDefault="00394CA8" w:rsidP="00394CA8">
            <w:pPr>
              <w:rPr>
                <w:b/>
                <w:sz w:val="18"/>
                <w:szCs w:val="18"/>
              </w:rPr>
            </w:pPr>
            <w:r w:rsidRPr="00A859F2">
              <w:rPr>
                <w:b/>
                <w:sz w:val="18"/>
                <w:szCs w:val="18"/>
              </w:rPr>
              <w:t>Indicateurs d’exécution</w:t>
            </w:r>
          </w:p>
        </w:tc>
        <w:tc>
          <w:tcPr>
            <w:tcW w:w="840" w:type="pct"/>
            <w:shd w:val="clear" w:color="auto" w:fill="B8CCE4" w:themeFill="accent1" w:themeFillTint="66"/>
            <w:tcMar>
              <w:top w:w="113" w:type="dxa"/>
              <w:bottom w:w="85" w:type="dxa"/>
            </w:tcMar>
            <w:vAlign w:val="center"/>
          </w:tcPr>
          <w:p w14:paraId="5757F8E3" w14:textId="77777777" w:rsidR="00394CA8" w:rsidRPr="00A859F2" w:rsidRDefault="00394CA8" w:rsidP="00394CA8">
            <w:pPr>
              <w:ind w:left="85"/>
              <w:jc w:val="center"/>
              <w:rPr>
                <w:sz w:val="18"/>
                <w:szCs w:val="18"/>
              </w:rPr>
            </w:pPr>
            <w:r w:rsidRPr="00A859F2">
              <w:rPr>
                <w:b/>
                <w:sz w:val="18"/>
                <w:szCs w:val="18"/>
              </w:rPr>
              <w:t>Programme(s)concerné(s)</w:t>
            </w:r>
          </w:p>
        </w:tc>
        <w:tc>
          <w:tcPr>
            <w:tcW w:w="679" w:type="pct"/>
            <w:shd w:val="clear" w:color="auto" w:fill="B8CCE4" w:themeFill="accent1" w:themeFillTint="66"/>
            <w:vAlign w:val="center"/>
          </w:tcPr>
          <w:p w14:paraId="64F3F94D" w14:textId="77777777" w:rsidR="00394CA8" w:rsidRPr="00A859F2" w:rsidRDefault="00394CA8" w:rsidP="00394CA8">
            <w:pPr>
              <w:ind w:left="85"/>
              <w:jc w:val="center"/>
              <w:rPr>
                <w:b/>
                <w:bCs/>
                <w:sz w:val="18"/>
                <w:szCs w:val="18"/>
              </w:rPr>
            </w:pPr>
            <w:r w:rsidRPr="00A859F2">
              <w:rPr>
                <w:b/>
                <w:bCs/>
                <w:sz w:val="18"/>
                <w:szCs w:val="18"/>
              </w:rPr>
              <w:t>Code de couleurs</w:t>
            </w:r>
          </w:p>
        </w:tc>
      </w:tr>
      <w:tr w:rsidR="00394CA8" w:rsidRPr="00A859F2" w14:paraId="1CD5CC52" w14:textId="77777777" w:rsidTr="00394CA8">
        <w:trPr>
          <w:cantSplit/>
          <w:trHeight w:val="291"/>
        </w:trPr>
        <w:tc>
          <w:tcPr>
            <w:tcW w:w="1441" w:type="pct"/>
            <w:vMerge w:val="restart"/>
            <w:shd w:val="clear" w:color="auto" w:fill="auto"/>
            <w:tcMar>
              <w:top w:w="113" w:type="dxa"/>
              <w:bottom w:w="85" w:type="dxa"/>
            </w:tcMar>
          </w:tcPr>
          <w:p w14:paraId="3B6B11BE" w14:textId="77777777" w:rsidR="00394CA8" w:rsidRPr="00A859F2" w:rsidRDefault="00394CA8" w:rsidP="00394CA8">
            <w:pPr>
              <w:rPr>
                <w:sz w:val="16"/>
                <w:szCs w:val="16"/>
              </w:rPr>
            </w:pPr>
            <w:r w:rsidRPr="00A859F2">
              <w:rPr>
                <w:sz w:val="16"/>
                <w:szCs w:val="16"/>
              </w:rPr>
              <w:t>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c>
          <w:tcPr>
            <w:tcW w:w="2040" w:type="pct"/>
            <w:shd w:val="clear" w:color="auto" w:fill="auto"/>
            <w:tcMar>
              <w:top w:w="113" w:type="dxa"/>
              <w:bottom w:w="85" w:type="dxa"/>
            </w:tcMar>
          </w:tcPr>
          <w:p w14:paraId="15948350" w14:textId="77777777" w:rsidR="00394CA8" w:rsidRPr="00A859F2" w:rsidRDefault="00394CA8" w:rsidP="00394CA8">
            <w:pPr>
              <w:rPr>
                <w:sz w:val="16"/>
                <w:szCs w:val="16"/>
              </w:rPr>
            </w:pPr>
            <w:r w:rsidRPr="00A859F2">
              <w:rPr>
                <w:sz w:val="16"/>
                <w:szCs w:val="16"/>
              </w:rPr>
              <w:t xml:space="preserve">Augmentation du nombre de membres de WIPO </w:t>
            </w:r>
            <w:proofErr w:type="spellStart"/>
            <w:r w:rsidRPr="00A859F2">
              <w:rPr>
                <w:sz w:val="16"/>
                <w:szCs w:val="16"/>
              </w:rPr>
              <w:t>Re:Search</w:t>
            </w:r>
            <w:proofErr w:type="spellEnd"/>
            <w:r w:rsidRPr="00A859F2">
              <w:rPr>
                <w:sz w:val="16"/>
                <w:szCs w:val="16"/>
              </w:rPr>
              <w:t>, y compris dans les pays en développement et les PMA</w:t>
            </w:r>
          </w:p>
        </w:tc>
        <w:tc>
          <w:tcPr>
            <w:tcW w:w="840" w:type="pct"/>
            <w:shd w:val="clear" w:color="auto" w:fill="FFFFFF"/>
            <w:tcMar>
              <w:top w:w="113" w:type="dxa"/>
              <w:bottom w:w="85" w:type="dxa"/>
            </w:tcMar>
          </w:tcPr>
          <w:p w14:paraId="7D7E4D0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 xml:space="preserve">18 </w:t>
            </w:r>
          </w:p>
        </w:tc>
        <w:tc>
          <w:tcPr>
            <w:tcW w:w="679" w:type="pct"/>
            <w:shd w:val="clear" w:color="auto" w:fill="FFFFFF"/>
          </w:tcPr>
          <w:p w14:paraId="715D215C"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32DF0B64" w14:textId="77777777" w:rsidTr="00394CA8">
        <w:trPr>
          <w:cantSplit/>
          <w:trHeight w:val="44"/>
        </w:trPr>
        <w:tc>
          <w:tcPr>
            <w:tcW w:w="1441" w:type="pct"/>
            <w:vMerge/>
            <w:shd w:val="clear" w:color="auto" w:fill="auto"/>
            <w:tcMar>
              <w:top w:w="113" w:type="dxa"/>
              <w:bottom w:w="85" w:type="dxa"/>
            </w:tcMar>
          </w:tcPr>
          <w:p w14:paraId="510C300B"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5B9BF00F" w14:textId="77777777" w:rsidR="00394CA8" w:rsidRPr="00A859F2" w:rsidRDefault="00394CA8" w:rsidP="00394CA8">
            <w:pPr>
              <w:rPr>
                <w:sz w:val="16"/>
                <w:szCs w:val="16"/>
              </w:rPr>
            </w:pPr>
            <w:r w:rsidRPr="00A859F2">
              <w:rPr>
                <w:sz w:val="16"/>
                <w:szCs w:val="16"/>
              </w:rPr>
              <w:t xml:space="preserve">Nombre de données dans la base WIPO </w:t>
            </w:r>
            <w:proofErr w:type="spellStart"/>
            <w:r w:rsidRPr="00A859F2">
              <w:rPr>
                <w:sz w:val="16"/>
                <w:szCs w:val="16"/>
              </w:rPr>
              <w:t>Re:Search</w:t>
            </w:r>
            <w:proofErr w:type="spellEnd"/>
            <w:r w:rsidRPr="00A859F2">
              <w:rPr>
                <w:sz w:val="16"/>
                <w:szCs w:val="16"/>
              </w:rPr>
              <w:t xml:space="preserve"> </w:t>
            </w:r>
          </w:p>
        </w:tc>
        <w:tc>
          <w:tcPr>
            <w:tcW w:w="840" w:type="pct"/>
            <w:shd w:val="clear" w:color="auto" w:fill="FFFFFF"/>
            <w:tcMar>
              <w:top w:w="113" w:type="dxa"/>
              <w:bottom w:w="85" w:type="dxa"/>
            </w:tcMar>
          </w:tcPr>
          <w:p w14:paraId="08555608"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 xml:space="preserve">18 </w:t>
            </w:r>
          </w:p>
        </w:tc>
        <w:tc>
          <w:tcPr>
            <w:tcW w:w="679" w:type="pct"/>
            <w:shd w:val="clear" w:color="auto" w:fill="FFFFFF"/>
          </w:tcPr>
          <w:p w14:paraId="4CD21792" w14:textId="77777777" w:rsidR="00394CA8" w:rsidRPr="00A859F2" w:rsidRDefault="00394CA8" w:rsidP="00394CA8">
            <w:pPr>
              <w:jc w:val="center"/>
            </w:pPr>
            <w:r w:rsidRPr="00A859F2">
              <w:rPr>
                <w:color w:val="FF0000"/>
                <w:szCs w:val="22"/>
              </w:rPr>
              <w:sym w:font="Wingdings" w:char="F06C"/>
            </w:r>
          </w:p>
        </w:tc>
      </w:tr>
      <w:tr w:rsidR="00394CA8" w:rsidRPr="00A859F2" w14:paraId="31F5DB68" w14:textId="77777777" w:rsidTr="00394CA8">
        <w:trPr>
          <w:cantSplit/>
          <w:trHeight w:val="164"/>
        </w:trPr>
        <w:tc>
          <w:tcPr>
            <w:tcW w:w="1441" w:type="pct"/>
            <w:vMerge/>
            <w:shd w:val="clear" w:color="auto" w:fill="auto"/>
            <w:tcMar>
              <w:top w:w="113" w:type="dxa"/>
              <w:bottom w:w="85" w:type="dxa"/>
            </w:tcMar>
          </w:tcPr>
          <w:p w14:paraId="31C4BC84"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6380EED7" w14:textId="77777777" w:rsidR="00394CA8" w:rsidRPr="00A859F2" w:rsidRDefault="00394CA8" w:rsidP="00394CA8">
            <w:pPr>
              <w:rPr>
                <w:sz w:val="16"/>
                <w:szCs w:val="16"/>
              </w:rPr>
            </w:pPr>
            <w:r w:rsidRPr="00A859F2">
              <w:rPr>
                <w:sz w:val="16"/>
                <w:szCs w:val="16"/>
              </w:rPr>
              <w:t xml:space="preserve">Augmentation du nombre d’accords au titre de WIPO </w:t>
            </w:r>
            <w:proofErr w:type="spellStart"/>
            <w:r w:rsidRPr="00A859F2">
              <w:rPr>
                <w:sz w:val="16"/>
                <w:szCs w:val="16"/>
              </w:rPr>
              <w:t>Re:Search</w:t>
            </w:r>
            <w:proofErr w:type="spellEnd"/>
            <w:r w:rsidRPr="00A859F2">
              <w:rPr>
                <w:sz w:val="16"/>
                <w:szCs w:val="16"/>
              </w:rPr>
              <w:t xml:space="preserve"> qui mènent à des activités nouvelles ou accélérées de recherche</w:t>
            </w:r>
            <w:r>
              <w:rPr>
                <w:sz w:val="16"/>
                <w:szCs w:val="16"/>
              </w:rPr>
              <w:noBreakHyphen/>
            </w:r>
            <w:r w:rsidRPr="00A859F2">
              <w:rPr>
                <w:sz w:val="16"/>
                <w:szCs w:val="16"/>
              </w:rPr>
              <w:t>développement dans le domaine des maladies tropicales négligées, du paludisme et de la tuberculose</w:t>
            </w:r>
          </w:p>
        </w:tc>
        <w:tc>
          <w:tcPr>
            <w:tcW w:w="840" w:type="pct"/>
            <w:shd w:val="clear" w:color="auto" w:fill="FFFFFF"/>
            <w:tcMar>
              <w:top w:w="113" w:type="dxa"/>
              <w:bottom w:w="85" w:type="dxa"/>
            </w:tcMar>
          </w:tcPr>
          <w:p w14:paraId="6457949B"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 xml:space="preserve">18 </w:t>
            </w:r>
          </w:p>
        </w:tc>
        <w:tc>
          <w:tcPr>
            <w:tcW w:w="679" w:type="pct"/>
            <w:shd w:val="clear" w:color="auto" w:fill="FFFFFF"/>
          </w:tcPr>
          <w:p w14:paraId="0EECEABC" w14:textId="77777777" w:rsidR="00394CA8" w:rsidRPr="00A859F2" w:rsidRDefault="00394CA8" w:rsidP="00394CA8">
            <w:pPr>
              <w:jc w:val="center"/>
            </w:pPr>
            <w:r w:rsidRPr="00A859F2">
              <w:rPr>
                <w:color w:val="00B050"/>
                <w:szCs w:val="22"/>
              </w:rPr>
              <w:sym w:font="Wingdings" w:char="F06C"/>
            </w:r>
            <w:r w:rsidRPr="00A859F2">
              <w:rPr>
                <w:color w:val="FF0000"/>
                <w:szCs w:val="22"/>
              </w:rPr>
              <w:sym w:font="Wingdings" w:char="F06C"/>
            </w:r>
          </w:p>
        </w:tc>
      </w:tr>
      <w:tr w:rsidR="00394CA8" w:rsidRPr="00A859F2" w14:paraId="606B2A43" w14:textId="77777777" w:rsidTr="00394CA8">
        <w:trPr>
          <w:cantSplit/>
          <w:trHeight w:val="245"/>
        </w:trPr>
        <w:tc>
          <w:tcPr>
            <w:tcW w:w="1441" w:type="pct"/>
            <w:vMerge/>
            <w:shd w:val="clear" w:color="auto" w:fill="auto"/>
            <w:tcMar>
              <w:top w:w="113" w:type="dxa"/>
              <w:bottom w:w="85" w:type="dxa"/>
            </w:tcMar>
          </w:tcPr>
          <w:p w14:paraId="3FEEE598"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4AEAD6A1" w14:textId="77777777" w:rsidR="00394CA8" w:rsidRPr="00A859F2" w:rsidRDefault="00394CA8" w:rsidP="00394CA8">
            <w:pPr>
              <w:rPr>
                <w:sz w:val="16"/>
                <w:szCs w:val="16"/>
              </w:rPr>
            </w:pPr>
            <w:r w:rsidRPr="00A859F2">
              <w:rPr>
                <w:sz w:val="16"/>
                <w:szCs w:val="16"/>
              </w:rPr>
              <w:t>Nombre de membres de WIPO GREEN</w:t>
            </w:r>
          </w:p>
        </w:tc>
        <w:tc>
          <w:tcPr>
            <w:tcW w:w="840" w:type="pct"/>
            <w:shd w:val="clear" w:color="auto" w:fill="FFFFFF"/>
            <w:tcMar>
              <w:top w:w="113" w:type="dxa"/>
              <w:bottom w:w="85" w:type="dxa"/>
            </w:tcMar>
          </w:tcPr>
          <w:p w14:paraId="2E38B33C"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18</w:t>
            </w:r>
          </w:p>
        </w:tc>
        <w:tc>
          <w:tcPr>
            <w:tcW w:w="679" w:type="pct"/>
            <w:shd w:val="clear" w:color="auto" w:fill="FFFFFF"/>
          </w:tcPr>
          <w:p w14:paraId="5040C8FB" w14:textId="77777777" w:rsidR="00394CA8" w:rsidRPr="00A859F2" w:rsidRDefault="00394CA8" w:rsidP="00394CA8">
            <w:pPr>
              <w:jc w:val="center"/>
            </w:pPr>
            <w:r w:rsidRPr="00A859F2">
              <w:rPr>
                <w:color w:val="00B050"/>
                <w:szCs w:val="22"/>
              </w:rPr>
              <w:sym w:font="Wingdings" w:char="F06C"/>
            </w:r>
          </w:p>
        </w:tc>
      </w:tr>
      <w:tr w:rsidR="00394CA8" w:rsidRPr="00A859F2" w14:paraId="534F5507" w14:textId="77777777" w:rsidTr="00394CA8">
        <w:trPr>
          <w:cantSplit/>
          <w:trHeight w:val="20"/>
        </w:trPr>
        <w:tc>
          <w:tcPr>
            <w:tcW w:w="1441" w:type="pct"/>
            <w:vMerge/>
            <w:shd w:val="clear" w:color="auto" w:fill="auto"/>
            <w:tcMar>
              <w:top w:w="113" w:type="dxa"/>
              <w:bottom w:w="85" w:type="dxa"/>
            </w:tcMar>
          </w:tcPr>
          <w:p w14:paraId="0A412775"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00936230" w14:textId="77777777" w:rsidR="00394CA8" w:rsidRPr="00A859F2" w:rsidRDefault="00394CA8" w:rsidP="00394CA8">
            <w:pPr>
              <w:rPr>
                <w:sz w:val="16"/>
                <w:szCs w:val="16"/>
              </w:rPr>
            </w:pPr>
            <w:r w:rsidRPr="00A859F2">
              <w:rPr>
                <w:sz w:val="16"/>
                <w:szCs w:val="16"/>
              </w:rPr>
              <w:t>Nombre de données dans la base WIPO GREEN</w:t>
            </w:r>
          </w:p>
        </w:tc>
        <w:tc>
          <w:tcPr>
            <w:tcW w:w="840" w:type="pct"/>
            <w:shd w:val="clear" w:color="auto" w:fill="FFFFFF"/>
            <w:tcMar>
              <w:top w:w="113" w:type="dxa"/>
              <w:bottom w:w="85" w:type="dxa"/>
            </w:tcMar>
          </w:tcPr>
          <w:p w14:paraId="312A8522"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18</w:t>
            </w:r>
          </w:p>
        </w:tc>
        <w:tc>
          <w:tcPr>
            <w:tcW w:w="679" w:type="pct"/>
            <w:shd w:val="clear" w:color="auto" w:fill="FFFFFF"/>
          </w:tcPr>
          <w:p w14:paraId="47423DF2" w14:textId="77777777" w:rsidR="00394CA8" w:rsidRPr="00A859F2" w:rsidRDefault="00394CA8" w:rsidP="00394CA8">
            <w:pPr>
              <w:jc w:val="center"/>
              <w:rPr>
                <w:color w:val="A6A6A6" w:themeColor="background1" w:themeShade="A6"/>
                <w:szCs w:val="22"/>
              </w:rPr>
            </w:pPr>
            <w:r w:rsidRPr="00A859F2">
              <w:rPr>
                <w:color w:val="FF0000"/>
                <w:szCs w:val="22"/>
              </w:rPr>
              <w:sym w:font="Wingdings" w:char="F06C"/>
            </w:r>
          </w:p>
        </w:tc>
      </w:tr>
      <w:tr w:rsidR="00394CA8" w:rsidRPr="00A859F2" w14:paraId="314D670B" w14:textId="77777777" w:rsidTr="00394CA8">
        <w:trPr>
          <w:cantSplit/>
          <w:trHeight w:val="296"/>
        </w:trPr>
        <w:tc>
          <w:tcPr>
            <w:tcW w:w="1441" w:type="pct"/>
            <w:shd w:val="clear" w:color="auto" w:fill="auto"/>
            <w:tcMar>
              <w:top w:w="113" w:type="dxa"/>
              <w:bottom w:w="85" w:type="dxa"/>
            </w:tcMar>
          </w:tcPr>
          <w:p w14:paraId="257DC330"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64B5D384" w14:textId="77777777" w:rsidR="00394CA8" w:rsidRPr="00A859F2" w:rsidRDefault="00394CA8" w:rsidP="00394CA8">
            <w:pPr>
              <w:rPr>
                <w:sz w:val="16"/>
                <w:szCs w:val="16"/>
              </w:rPr>
            </w:pPr>
            <w:r w:rsidRPr="00A859F2">
              <w:rPr>
                <w:sz w:val="16"/>
                <w:szCs w:val="16"/>
              </w:rPr>
              <w:t>Nombre d’accords favorisés par WIPO GREEN qui facilitent le transfert de connaissances, et l’adaptation, le transfert ou la diffusion des technologies</w:t>
            </w:r>
          </w:p>
        </w:tc>
        <w:tc>
          <w:tcPr>
            <w:tcW w:w="840" w:type="pct"/>
            <w:shd w:val="clear" w:color="auto" w:fill="FFFFFF"/>
            <w:tcMar>
              <w:top w:w="113" w:type="dxa"/>
              <w:bottom w:w="85" w:type="dxa"/>
            </w:tcMar>
          </w:tcPr>
          <w:p w14:paraId="2E8048F2"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18</w:t>
            </w:r>
          </w:p>
        </w:tc>
        <w:tc>
          <w:tcPr>
            <w:tcW w:w="679" w:type="pct"/>
            <w:shd w:val="clear" w:color="auto" w:fill="FFFFFF"/>
          </w:tcPr>
          <w:p w14:paraId="0A7B252A" w14:textId="77777777" w:rsidR="00394CA8" w:rsidRPr="00A859F2" w:rsidRDefault="00394CA8" w:rsidP="00394CA8">
            <w:pPr>
              <w:jc w:val="center"/>
            </w:pPr>
            <w:r w:rsidRPr="00A859F2">
              <w:rPr>
                <w:color w:val="00B050"/>
                <w:szCs w:val="22"/>
              </w:rPr>
              <w:sym w:font="Wingdings" w:char="F06C"/>
            </w:r>
          </w:p>
        </w:tc>
      </w:tr>
      <w:tr w:rsidR="00394CA8" w:rsidRPr="00A859F2" w14:paraId="4143F11E" w14:textId="77777777" w:rsidTr="00394CA8">
        <w:trPr>
          <w:cantSplit/>
          <w:trHeight w:val="344"/>
        </w:trPr>
        <w:tc>
          <w:tcPr>
            <w:tcW w:w="1441" w:type="pct"/>
            <w:shd w:val="clear" w:color="auto" w:fill="auto"/>
            <w:tcMar>
              <w:top w:w="113" w:type="dxa"/>
              <w:bottom w:w="85" w:type="dxa"/>
            </w:tcMar>
          </w:tcPr>
          <w:p w14:paraId="0176DFFA"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487B182B" w14:textId="77777777" w:rsidR="00394CA8" w:rsidRPr="00A859F2" w:rsidRDefault="00394CA8" w:rsidP="00394CA8">
            <w:pPr>
              <w:rPr>
                <w:sz w:val="16"/>
                <w:szCs w:val="16"/>
              </w:rPr>
            </w:pPr>
            <w:r w:rsidRPr="00A859F2">
              <w:rPr>
                <w:sz w:val="16"/>
                <w:szCs w:val="16"/>
              </w:rPr>
              <w:t>Progrès dans l’élaboration d’un cadre international de collaboration aux fins d’une contribution efficace de la propriété intellectuelle à la sécurité alimentaire grâce au processus de consultation</w:t>
            </w:r>
          </w:p>
        </w:tc>
        <w:tc>
          <w:tcPr>
            <w:tcW w:w="840" w:type="pct"/>
            <w:shd w:val="clear" w:color="auto" w:fill="FFFFFF"/>
            <w:tcMar>
              <w:top w:w="113" w:type="dxa"/>
              <w:bottom w:w="85" w:type="dxa"/>
            </w:tcMar>
          </w:tcPr>
          <w:p w14:paraId="355AF2C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18</w:t>
            </w:r>
          </w:p>
        </w:tc>
        <w:tc>
          <w:tcPr>
            <w:tcW w:w="679" w:type="pct"/>
            <w:shd w:val="clear" w:color="auto" w:fill="FFFFFF"/>
          </w:tcPr>
          <w:p w14:paraId="7D1F9FD7"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3111F0DD" w14:textId="77777777" w:rsidTr="00394CA8">
        <w:trPr>
          <w:cantSplit/>
          <w:trHeight w:val="20"/>
        </w:trPr>
        <w:tc>
          <w:tcPr>
            <w:tcW w:w="1441" w:type="pct"/>
            <w:shd w:val="clear" w:color="auto" w:fill="auto"/>
            <w:tcMar>
              <w:top w:w="113" w:type="dxa"/>
              <w:bottom w:w="85" w:type="dxa"/>
            </w:tcMar>
          </w:tcPr>
          <w:p w14:paraId="6685E908"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3A49CFA4" w14:textId="77777777" w:rsidR="00394CA8" w:rsidRPr="00A859F2" w:rsidRDefault="00394CA8" w:rsidP="00394CA8">
            <w:pPr>
              <w:rPr>
                <w:sz w:val="16"/>
                <w:szCs w:val="16"/>
              </w:rPr>
            </w:pPr>
            <w:r w:rsidRPr="00A859F2">
              <w:rPr>
                <w:sz w:val="16"/>
                <w:szCs w:val="16"/>
              </w:rPr>
              <w:t>Nombre de consultations du site Web consacré aux défis mondiaux</w:t>
            </w:r>
          </w:p>
        </w:tc>
        <w:tc>
          <w:tcPr>
            <w:tcW w:w="840" w:type="pct"/>
            <w:shd w:val="clear" w:color="auto" w:fill="FFFFFF"/>
            <w:tcMar>
              <w:top w:w="113" w:type="dxa"/>
              <w:bottom w:w="85" w:type="dxa"/>
            </w:tcMar>
          </w:tcPr>
          <w:p w14:paraId="3CAFAA75"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18</w:t>
            </w:r>
          </w:p>
        </w:tc>
        <w:tc>
          <w:tcPr>
            <w:tcW w:w="679" w:type="pct"/>
            <w:shd w:val="clear" w:color="auto" w:fill="FFFFFF"/>
          </w:tcPr>
          <w:p w14:paraId="3A2B2937" w14:textId="77777777" w:rsidR="00394CA8" w:rsidRPr="00A859F2" w:rsidRDefault="00394CA8" w:rsidP="00394CA8">
            <w:pPr>
              <w:jc w:val="center"/>
              <w:rPr>
                <w:color w:val="00B050"/>
                <w:szCs w:val="22"/>
              </w:rPr>
            </w:pPr>
            <w:r w:rsidRPr="00A859F2">
              <w:rPr>
                <w:color w:val="FF0000"/>
                <w:szCs w:val="22"/>
              </w:rPr>
              <w:sym w:font="Wingdings" w:char="F06C"/>
            </w:r>
            <w:r w:rsidRPr="00A859F2">
              <w:rPr>
                <w:color w:val="00B050"/>
                <w:szCs w:val="22"/>
              </w:rPr>
              <w:sym w:font="Wingdings" w:char="F06C"/>
            </w:r>
            <w:r w:rsidRPr="00A859F2">
              <w:rPr>
                <w:color w:val="00B050"/>
                <w:szCs w:val="22"/>
              </w:rPr>
              <w:sym w:font="Wingdings" w:char="F06C"/>
            </w:r>
          </w:p>
          <w:p w14:paraId="24D8ED3D" w14:textId="77777777" w:rsidR="00394CA8" w:rsidRPr="00A859F2" w:rsidRDefault="00394CA8" w:rsidP="00394CA8">
            <w:pPr>
              <w:jc w:val="center"/>
              <w:rPr>
                <w:color w:val="008000"/>
                <w:szCs w:val="22"/>
              </w:rPr>
            </w:pPr>
            <w:r w:rsidRPr="00A859F2">
              <w:rPr>
                <w:color w:val="FF000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640538A0" w14:textId="77777777" w:rsidTr="00394CA8">
        <w:trPr>
          <w:cantSplit/>
          <w:trHeight w:val="602"/>
        </w:trPr>
        <w:tc>
          <w:tcPr>
            <w:tcW w:w="1441" w:type="pct"/>
            <w:shd w:val="clear" w:color="auto" w:fill="auto"/>
            <w:tcMar>
              <w:top w:w="113" w:type="dxa"/>
              <w:bottom w:w="85" w:type="dxa"/>
            </w:tcMar>
          </w:tcPr>
          <w:p w14:paraId="18520E80" w14:textId="77777777" w:rsidR="00394CA8" w:rsidRPr="00A859F2" w:rsidRDefault="00394CA8" w:rsidP="00394CA8">
            <w:pPr>
              <w:rPr>
                <w:sz w:val="16"/>
                <w:szCs w:val="16"/>
              </w:rPr>
            </w:pPr>
          </w:p>
        </w:tc>
        <w:tc>
          <w:tcPr>
            <w:tcW w:w="2040" w:type="pct"/>
            <w:shd w:val="clear" w:color="auto" w:fill="auto"/>
            <w:tcMar>
              <w:top w:w="113" w:type="dxa"/>
              <w:bottom w:w="85" w:type="dxa"/>
            </w:tcMar>
          </w:tcPr>
          <w:p w14:paraId="1F031187" w14:textId="77777777" w:rsidR="00394CA8" w:rsidRPr="00A859F2" w:rsidRDefault="00394CA8" w:rsidP="00394CA8">
            <w:pPr>
              <w:rPr>
                <w:sz w:val="16"/>
                <w:szCs w:val="16"/>
              </w:rPr>
            </w:pPr>
            <w:r w:rsidRPr="00A859F2">
              <w:rPr>
                <w:sz w:val="16"/>
                <w:szCs w:val="16"/>
              </w:rPr>
              <w:t xml:space="preserve">Participation des parties prenantes à une plateforme de l’OMPI (WIPO GREEN, WIPO </w:t>
            </w:r>
            <w:proofErr w:type="spellStart"/>
            <w:r w:rsidRPr="00A859F2">
              <w:rPr>
                <w:sz w:val="16"/>
                <w:szCs w:val="16"/>
              </w:rPr>
              <w:t>Re:Search</w:t>
            </w:r>
            <w:proofErr w:type="spellEnd"/>
            <w:r w:rsidRPr="00A859F2">
              <w:rPr>
                <w:sz w:val="16"/>
                <w:szCs w:val="16"/>
              </w:rPr>
              <w:t>, par exemple)</w:t>
            </w:r>
          </w:p>
        </w:tc>
        <w:tc>
          <w:tcPr>
            <w:tcW w:w="840" w:type="pct"/>
            <w:shd w:val="clear" w:color="auto" w:fill="FFFFFF"/>
            <w:tcMar>
              <w:top w:w="113" w:type="dxa"/>
              <w:bottom w:w="85" w:type="dxa"/>
            </w:tcMar>
          </w:tcPr>
          <w:p w14:paraId="53C4376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9" w:type="pct"/>
            <w:shd w:val="clear" w:color="auto" w:fill="FFFFFF"/>
          </w:tcPr>
          <w:p w14:paraId="298DDEE1" w14:textId="77777777" w:rsidR="00394CA8" w:rsidRPr="00A859F2" w:rsidRDefault="00394CA8" w:rsidP="00394CA8">
            <w:pPr>
              <w:jc w:val="center"/>
              <w:rPr>
                <w:color w:val="00B050"/>
                <w:szCs w:val="22"/>
              </w:rPr>
            </w:pPr>
            <w:r w:rsidRPr="00A859F2">
              <w:rPr>
                <w:color w:val="00B050"/>
                <w:szCs w:val="22"/>
              </w:rPr>
              <w:sym w:font="Wingdings" w:char="F06C"/>
            </w:r>
            <w:r w:rsidRPr="00A859F2">
              <w:rPr>
                <w:color w:val="FF0000"/>
                <w:szCs w:val="22"/>
              </w:rPr>
              <w:sym w:font="Wingdings" w:char="F06C"/>
            </w:r>
            <w:r w:rsidRPr="00A859F2">
              <w:rPr>
                <w:color w:val="FF0000"/>
                <w:szCs w:val="22"/>
              </w:rPr>
              <w:sym w:font="Wingdings" w:char="F06C"/>
            </w:r>
            <w:r w:rsidRPr="00A859F2">
              <w:rPr>
                <w:color w:val="A6A6A6" w:themeColor="background1" w:themeShade="A6"/>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A6A6A6" w:themeColor="background1" w:themeShade="A6"/>
                <w:szCs w:val="22"/>
              </w:rPr>
              <w:sym w:font="Wingdings" w:char="F06C"/>
            </w:r>
            <w:r w:rsidRPr="00A859F2">
              <w:rPr>
                <w:color w:val="00B050"/>
                <w:szCs w:val="22"/>
              </w:rPr>
              <w:sym w:font="Wingdings" w:char="F06C"/>
            </w:r>
          </w:p>
          <w:p w14:paraId="42AC38A0" w14:textId="77777777" w:rsidR="00394CA8" w:rsidRPr="00A859F2" w:rsidRDefault="00394CA8" w:rsidP="00394CA8">
            <w:pPr>
              <w:jc w:val="center"/>
            </w:pPr>
          </w:p>
        </w:tc>
      </w:tr>
    </w:tbl>
    <w:p w14:paraId="375A3E8C" w14:textId="77777777" w:rsidR="00394CA8" w:rsidRPr="00A859F2" w:rsidRDefault="00394CA8" w:rsidP="00394CA8">
      <w:pPr>
        <w:jc w:val="both"/>
        <w:rPr>
          <w:color w:val="000000"/>
          <w:sz w:val="20"/>
        </w:rPr>
      </w:pPr>
      <w:r w:rsidRPr="00A859F2">
        <w:rPr>
          <w:color w:val="000000"/>
          <w:sz w:val="20"/>
        </w:rPr>
        <w:br w:type="page"/>
      </w:r>
    </w:p>
    <w:p w14:paraId="5D56BACE" w14:textId="77777777" w:rsidR="00F96912" w:rsidRPr="00323D60" w:rsidRDefault="00F96912" w:rsidP="0087680E">
      <w:pPr>
        <w:pStyle w:val="Heading3"/>
      </w:pPr>
      <w:bookmarkStart w:id="63" w:name="_Toc482774615"/>
      <w:r w:rsidRPr="00323D60">
        <w:lastRenderedPageBreak/>
        <w:t>Programme 18</w:t>
      </w:r>
      <w:r w:rsidRPr="00323D60">
        <w:tab/>
      </w:r>
      <w:r w:rsidRPr="00323D60">
        <w:rPr>
          <w:bCs/>
          <w:szCs w:val="22"/>
          <w:rtl/>
        </w:rPr>
        <w:t>‏</w:t>
      </w:r>
      <w:r>
        <w:t>P</w:t>
      </w:r>
      <w:r w:rsidRPr="00323D60">
        <w:t>ropriété intellectuelle et défis mondiaux</w:t>
      </w:r>
      <w:bookmarkEnd w:id="63"/>
    </w:p>
    <w:p w14:paraId="634958E9" w14:textId="77777777" w:rsidR="00F96912" w:rsidRPr="00CD000E" w:rsidRDefault="00F96912" w:rsidP="00F96912">
      <w:pPr>
        <w:rPr>
          <w:sz w:val="20"/>
        </w:rPr>
      </w:pPr>
    </w:p>
    <w:p w14:paraId="0FE4C7F3" w14:textId="77777777" w:rsidR="00F96912" w:rsidRPr="00CD000E" w:rsidRDefault="00F96912" w:rsidP="00F96912">
      <w:pPr>
        <w:tabs>
          <w:tab w:val="left" w:pos="2268"/>
        </w:tabs>
        <w:rPr>
          <w:b/>
          <w:sz w:val="20"/>
        </w:rPr>
      </w:pPr>
      <w:r w:rsidRPr="00CD000E">
        <w:rPr>
          <w:b/>
          <w:sz w:val="20"/>
        </w:rPr>
        <w:t>Chef de programme</w:t>
      </w:r>
      <w:r w:rsidRPr="00CD000E">
        <w:rPr>
          <w:b/>
          <w:sz w:val="20"/>
        </w:rPr>
        <w:tab/>
        <w:t>M. M. A. Getahun</w:t>
      </w:r>
    </w:p>
    <w:p w14:paraId="56D77EEE" w14:textId="3BF12E70" w:rsidR="00F96912" w:rsidRPr="00CD000E" w:rsidRDefault="00B05B15" w:rsidP="00F96912">
      <w:pPr>
        <w:jc w:val="center"/>
        <w:rPr>
          <w:sz w:val="20"/>
        </w:rPr>
      </w:pPr>
      <w:r w:rsidRPr="00B05B15">
        <w:rPr>
          <w:noProof/>
          <w:lang w:val="en-US"/>
        </w:rPr>
        <w:drawing>
          <wp:inline distT="0" distB="0" distL="0" distR="0" wp14:anchorId="239E7944" wp14:editId="0C161EFF">
            <wp:extent cx="3960000" cy="2734721"/>
            <wp:effectExtent l="0" t="0" r="254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00" w:type="pct"/>
        <w:tblLayout w:type="fixed"/>
        <w:tblCellMar>
          <w:top w:w="57" w:type="dxa"/>
          <w:bottom w:w="57" w:type="dxa"/>
        </w:tblCellMar>
        <w:tblLook w:val="0000" w:firstRow="0" w:lastRow="0" w:firstColumn="0" w:lastColumn="0" w:noHBand="0" w:noVBand="0"/>
      </w:tblPr>
      <w:tblGrid>
        <w:gridCol w:w="2045"/>
        <w:gridCol w:w="2047"/>
        <w:gridCol w:w="2047"/>
        <w:gridCol w:w="189"/>
        <w:gridCol w:w="1492"/>
        <w:gridCol w:w="211"/>
        <w:gridCol w:w="1156"/>
      </w:tblGrid>
      <w:tr w:rsidR="00F96912" w:rsidRPr="00CD000E" w14:paraId="7BB5B90B" w14:textId="77777777" w:rsidTr="006658D5">
        <w:tc>
          <w:tcPr>
            <w:tcW w:w="5000" w:type="pct"/>
            <w:gridSpan w:val="7"/>
            <w:shd w:val="clear" w:color="auto" w:fill="C6D9F1" w:themeFill="text2" w:themeFillTint="33"/>
            <w:tcMar>
              <w:left w:w="58" w:type="dxa"/>
              <w:right w:w="58" w:type="dxa"/>
            </w:tcMar>
            <w:vAlign w:val="center"/>
          </w:tcPr>
          <w:p w14:paraId="242D5F82" w14:textId="77777777" w:rsidR="00F96912" w:rsidRPr="00CD000E" w:rsidRDefault="00F96912" w:rsidP="006658D5">
            <w:pPr>
              <w:tabs>
                <w:tab w:val="left" w:pos="1452"/>
              </w:tabs>
              <w:rPr>
                <w:bCs/>
                <w:sz w:val="16"/>
                <w:szCs w:val="16"/>
              </w:rPr>
            </w:pPr>
            <w:r w:rsidRPr="00F516E5">
              <w:rPr>
                <w:b/>
                <w:sz w:val="16"/>
                <w:szCs w:val="16"/>
              </w:rPr>
              <w:t>Résultat escompté :</w:t>
            </w:r>
            <w:r w:rsidRPr="00CD000E">
              <w:rPr>
                <w:sz w:val="16"/>
                <w:szCs w:val="16"/>
              </w:rPr>
              <w:t xml:space="preserve"> I.2 Cadres législatifs, réglementaires et politiques de propriété intellectuelle adaptés et équilibrés </w:t>
            </w:r>
          </w:p>
        </w:tc>
      </w:tr>
      <w:tr w:rsidR="00F96912" w:rsidRPr="00CD000E" w14:paraId="416931F6" w14:textId="77777777" w:rsidTr="006658D5">
        <w:tc>
          <w:tcPr>
            <w:tcW w:w="1113" w:type="pct"/>
            <w:shd w:val="clear" w:color="auto" w:fill="auto"/>
            <w:tcMar>
              <w:left w:w="58" w:type="dxa"/>
              <w:right w:w="58" w:type="dxa"/>
            </w:tcMar>
            <w:vAlign w:val="center"/>
          </w:tcPr>
          <w:p w14:paraId="0588CB64" w14:textId="77777777" w:rsidR="00F96912" w:rsidRPr="00CD000E" w:rsidRDefault="00F96912" w:rsidP="006658D5">
            <w:pPr>
              <w:jc w:val="center"/>
              <w:rPr>
                <w:b/>
                <w:bCs/>
                <w:sz w:val="16"/>
                <w:szCs w:val="16"/>
              </w:rPr>
            </w:pPr>
            <w:r w:rsidRPr="00CD000E">
              <w:rPr>
                <w:b/>
                <w:bCs/>
                <w:sz w:val="16"/>
                <w:szCs w:val="16"/>
              </w:rPr>
              <w:t>Indicateurs d’exécution</w:t>
            </w:r>
          </w:p>
        </w:tc>
        <w:tc>
          <w:tcPr>
            <w:tcW w:w="1114" w:type="pct"/>
            <w:shd w:val="clear" w:color="auto" w:fill="auto"/>
            <w:tcMar>
              <w:left w:w="58" w:type="dxa"/>
              <w:right w:w="58" w:type="dxa"/>
            </w:tcMar>
            <w:vAlign w:val="center"/>
          </w:tcPr>
          <w:p w14:paraId="6BEF807C" w14:textId="77777777" w:rsidR="00F96912" w:rsidRPr="00CD000E" w:rsidRDefault="00F96912" w:rsidP="006658D5">
            <w:pPr>
              <w:jc w:val="center"/>
              <w:rPr>
                <w:b/>
                <w:bCs/>
                <w:sz w:val="16"/>
                <w:szCs w:val="16"/>
              </w:rPr>
            </w:pPr>
            <w:r w:rsidRPr="00CD000E">
              <w:rPr>
                <w:b/>
                <w:bCs/>
                <w:sz w:val="16"/>
                <w:szCs w:val="16"/>
              </w:rPr>
              <w:t>Niveaux de référence</w:t>
            </w:r>
          </w:p>
        </w:tc>
        <w:tc>
          <w:tcPr>
            <w:tcW w:w="1114" w:type="pct"/>
            <w:shd w:val="clear" w:color="auto" w:fill="auto"/>
            <w:tcMar>
              <w:top w:w="110" w:type="dxa"/>
              <w:left w:w="58" w:type="dxa"/>
              <w:right w:w="58" w:type="dxa"/>
            </w:tcMar>
            <w:vAlign w:val="center"/>
          </w:tcPr>
          <w:p w14:paraId="5E2107FC"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030" w:type="pct"/>
            <w:gridSpan w:val="3"/>
            <w:shd w:val="clear" w:color="auto" w:fill="FFFFFF"/>
            <w:tcMar>
              <w:top w:w="110" w:type="dxa"/>
              <w:left w:w="58" w:type="dxa"/>
              <w:right w:w="58" w:type="dxa"/>
            </w:tcMar>
            <w:vAlign w:val="center"/>
          </w:tcPr>
          <w:p w14:paraId="343C40D0"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629" w:type="pct"/>
            <w:shd w:val="clear" w:color="auto" w:fill="auto"/>
            <w:tcMar>
              <w:top w:w="110" w:type="dxa"/>
              <w:left w:w="58" w:type="dxa"/>
              <w:right w:w="58" w:type="dxa"/>
            </w:tcMar>
            <w:vAlign w:val="center"/>
          </w:tcPr>
          <w:p w14:paraId="068F457B" w14:textId="77777777" w:rsidR="00F96912" w:rsidRPr="00CD000E" w:rsidRDefault="00F96912" w:rsidP="006658D5">
            <w:pPr>
              <w:jc w:val="center"/>
              <w:rPr>
                <w:b/>
                <w:bCs/>
                <w:sz w:val="16"/>
                <w:szCs w:val="16"/>
              </w:rPr>
            </w:pPr>
            <w:r w:rsidRPr="00CD000E">
              <w:rPr>
                <w:b/>
                <w:bCs/>
                <w:sz w:val="16"/>
                <w:szCs w:val="16"/>
              </w:rPr>
              <w:t>Code d’évaluation</w:t>
            </w:r>
          </w:p>
        </w:tc>
      </w:tr>
      <w:tr w:rsidR="00F96912" w:rsidRPr="00CD000E" w14:paraId="2D5E30EC" w14:textId="77777777" w:rsidTr="006658D5">
        <w:tc>
          <w:tcPr>
            <w:tcW w:w="1113" w:type="pct"/>
            <w:shd w:val="clear" w:color="auto" w:fill="auto"/>
            <w:tcMar>
              <w:left w:w="58" w:type="dxa"/>
              <w:right w:w="58" w:type="dxa"/>
            </w:tcMar>
          </w:tcPr>
          <w:p w14:paraId="7BAE7FA2" w14:textId="77777777" w:rsidR="00F96912" w:rsidRPr="00CD000E" w:rsidRDefault="00F96912" w:rsidP="006658D5">
            <w:pPr>
              <w:autoSpaceDE w:val="0"/>
              <w:autoSpaceDN w:val="0"/>
              <w:adjustRightInd w:val="0"/>
              <w:rPr>
                <w:rFonts w:eastAsia="Batang"/>
                <w:color w:val="000000"/>
                <w:sz w:val="16"/>
                <w:szCs w:val="16"/>
                <w:lang w:eastAsia="ja-JP"/>
              </w:rPr>
            </w:pPr>
            <w:r w:rsidRPr="00CD000E">
              <w:rPr>
                <w:rFonts w:eastAsia="Batang"/>
                <w:sz w:val="16"/>
                <w:szCs w:val="16"/>
                <w:lang w:eastAsia="ja-JP"/>
              </w:rPr>
              <w:t>Nombre de pays demandant à l’OMPI une contribution dans le domaine de la propriété intellectuelle en rapport avec des questions relatives à la politique en matière de concurrence</w:t>
            </w:r>
            <w:r w:rsidRPr="00CD000E">
              <w:rPr>
                <w:rFonts w:eastAsia="Batang"/>
                <w:color w:val="000000"/>
                <w:sz w:val="16"/>
                <w:szCs w:val="16"/>
                <w:lang w:eastAsia="ja-JP"/>
              </w:rPr>
              <w:t xml:space="preserve"> </w:t>
            </w:r>
          </w:p>
        </w:tc>
        <w:tc>
          <w:tcPr>
            <w:tcW w:w="1114" w:type="pct"/>
            <w:shd w:val="clear" w:color="auto" w:fill="auto"/>
            <w:tcMar>
              <w:left w:w="58" w:type="dxa"/>
              <w:right w:w="58" w:type="dxa"/>
            </w:tcMar>
          </w:tcPr>
          <w:p w14:paraId="70635ED0"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2F39403C" w14:textId="77777777" w:rsidR="00F96912" w:rsidRPr="00CD000E" w:rsidRDefault="00F96912" w:rsidP="006658D5">
            <w:pPr>
              <w:rPr>
                <w:color w:val="002060"/>
                <w:sz w:val="16"/>
                <w:szCs w:val="16"/>
                <w:lang w:bidi="th-TH"/>
              </w:rPr>
            </w:pPr>
            <w:r w:rsidRPr="00CD000E">
              <w:rPr>
                <w:color w:val="002060"/>
                <w:sz w:val="16"/>
                <w:szCs w:val="16"/>
                <w:lang w:bidi="th-TH"/>
              </w:rPr>
              <w:t>16 pays (2014</w:t>
            </w:r>
            <w:r>
              <w:rPr>
                <w:color w:val="002060"/>
                <w:sz w:val="16"/>
                <w:szCs w:val="16"/>
                <w:lang w:bidi="th-TH"/>
              </w:rPr>
              <w:noBreakHyphen/>
            </w:r>
            <w:r w:rsidRPr="00CD000E">
              <w:rPr>
                <w:color w:val="002060"/>
                <w:sz w:val="16"/>
                <w:szCs w:val="16"/>
                <w:lang w:bidi="th-TH"/>
              </w:rPr>
              <w:t>2015)</w:t>
            </w:r>
          </w:p>
          <w:p w14:paraId="4261FC36" w14:textId="77777777" w:rsidR="00F96912" w:rsidRPr="00CD000E" w:rsidRDefault="00F96912" w:rsidP="006658D5">
            <w:pPr>
              <w:rPr>
                <w:color w:val="000000"/>
                <w:sz w:val="16"/>
                <w:szCs w:val="16"/>
              </w:rPr>
            </w:pPr>
          </w:p>
          <w:p w14:paraId="44158938" w14:textId="77777777" w:rsidR="00F96912" w:rsidRPr="00CD000E" w:rsidRDefault="00F96912" w:rsidP="006658D5">
            <w:pPr>
              <w:autoSpaceDE w:val="0"/>
              <w:autoSpaceDN w:val="0"/>
              <w:adjustRightInd w:val="0"/>
              <w:rPr>
                <w:rFonts w:eastAsia="Batang"/>
                <w:i/>
                <w:color w:val="000000"/>
                <w:sz w:val="16"/>
                <w:szCs w:val="16"/>
                <w:lang w:eastAsia="ja-JP" w:bidi="th-TH"/>
              </w:rPr>
            </w:pPr>
            <w:r w:rsidRPr="00CD000E">
              <w:rPr>
                <w:rFonts w:eastAsia="Batang"/>
                <w:i/>
                <w:color w:val="000000"/>
                <w:sz w:val="16"/>
                <w:szCs w:val="16"/>
                <w:lang w:eastAsia="ja-JP" w:bidi="th-TH"/>
              </w:rPr>
              <w:t>Niveau de référence initial dans le programme et budget 2016</w:t>
            </w:r>
            <w:r>
              <w:rPr>
                <w:rFonts w:eastAsia="Batang"/>
                <w:i/>
                <w:color w:val="000000"/>
                <w:sz w:val="16"/>
                <w:szCs w:val="16"/>
                <w:lang w:eastAsia="ja-JP" w:bidi="th-TH"/>
              </w:rPr>
              <w:noBreakHyphen/>
            </w:r>
            <w:r w:rsidRPr="00CD000E">
              <w:rPr>
                <w:rFonts w:eastAsia="Batang"/>
                <w:i/>
                <w:color w:val="000000"/>
                <w:sz w:val="16"/>
                <w:szCs w:val="16"/>
                <w:lang w:eastAsia="ja-JP" w:bidi="th-TH"/>
              </w:rPr>
              <w:t>2017 :</w:t>
            </w:r>
          </w:p>
          <w:p w14:paraId="093E0EE0" w14:textId="77777777" w:rsidR="00F96912" w:rsidRPr="00CD000E" w:rsidRDefault="00F96912" w:rsidP="006658D5">
            <w:pPr>
              <w:autoSpaceDE w:val="0"/>
              <w:autoSpaceDN w:val="0"/>
              <w:adjustRightInd w:val="0"/>
              <w:rPr>
                <w:rFonts w:eastAsia="Batang"/>
                <w:color w:val="000000"/>
                <w:sz w:val="16"/>
                <w:szCs w:val="16"/>
                <w:lang w:eastAsia="ja-JP"/>
              </w:rPr>
            </w:pPr>
            <w:r w:rsidRPr="00CD000E">
              <w:rPr>
                <w:rFonts w:eastAsia="Batang"/>
                <w:sz w:val="16"/>
                <w:szCs w:val="16"/>
                <w:lang w:eastAsia="ja-JP"/>
              </w:rPr>
              <w:t>12 pays (2014)</w:t>
            </w:r>
            <w:r w:rsidRPr="00CD000E">
              <w:rPr>
                <w:rFonts w:eastAsia="Batang"/>
                <w:color w:val="000000"/>
                <w:sz w:val="16"/>
                <w:szCs w:val="16"/>
                <w:lang w:eastAsia="ja-JP"/>
              </w:rPr>
              <w:t xml:space="preserve"> </w:t>
            </w:r>
          </w:p>
        </w:tc>
        <w:tc>
          <w:tcPr>
            <w:tcW w:w="1114" w:type="pct"/>
            <w:shd w:val="clear" w:color="auto" w:fill="auto"/>
            <w:tcMar>
              <w:top w:w="110" w:type="dxa"/>
              <w:left w:w="58" w:type="dxa"/>
              <w:right w:w="58" w:type="dxa"/>
            </w:tcMar>
          </w:tcPr>
          <w:p w14:paraId="2CCD5F93" w14:textId="77777777" w:rsidR="00F96912" w:rsidRPr="00CD000E" w:rsidRDefault="00F96912" w:rsidP="006658D5">
            <w:pPr>
              <w:autoSpaceDE w:val="0"/>
              <w:autoSpaceDN w:val="0"/>
              <w:adjustRightInd w:val="0"/>
              <w:rPr>
                <w:rFonts w:eastAsia="Batang"/>
                <w:color w:val="000000"/>
                <w:sz w:val="16"/>
                <w:szCs w:val="16"/>
                <w:lang w:eastAsia="ja-JP"/>
              </w:rPr>
            </w:pPr>
            <w:r w:rsidRPr="00CD000E">
              <w:rPr>
                <w:rFonts w:eastAsia="Batang"/>
                <w:sz w:val="16"/>
                <w:szCs w:val="16"/>
                <w:lang w:eastAsia="ja-JP"/>
              </w:rPr>
              <w:t>12 pays</w:t>
            </w:r>
            <w:r w:rsidRPr="00CD000E">
              <w:rPr>
                <w:rFonts w:eastAsia="Batang"/>
                <w:color w:val="000000"/>
                <w:sz w:val="16"/>
                <w:szCs w:val="16"/>
                <w:lang w:eastAsia="ja-JP"/>
              </w:rPr>
              <w:t xml:space="preserve"> en </w:t>
            </w:r>
            <w:r w:rsidRPr="00CD000E">
              <w:rPr>
                <w:rFonts w:eastAsia="Batang"/>
                <w:sz w:val="16"/>
                <w:szCs w:val="16"/>
                <w:lang w:eastAsia="ja-JP"/>
              </w:rPr>
              <w:t>2016</w:t>
            </w:r>
            <w:r>
              <w:rPr>
                <w:rFonts w:eastAsia="Batang"/>
                <w:sz w:val="16"/>
                <w:szCs w:val="16"/>
                <w:lang w:eastAsia="ja-JP"/>
              </w:rPr>
              <w:noBreakHyphen/>
            </w:r>
            <w:r w:rsidRPr="00CD000E">
              <w:rPr>
                <w:rFonts w:eastAsia="Batang"/>
                <w:sz w:val="16"/>
                <w:szCs w:val="16"/>
                <w:lang w:eastAsia="ja-JP"/>
              </w:rPr>
              <w:t>2017</w:t>
            </w:r>
            <w:r w:rsidRPr="00CD000E">
              <w:rPr>
                <w:rFonts w:eastAsia="Batang"/>
                <w:color w:val="000000"/>
                <w:sz w:val="16"/>
                <w:szCs w:val="16"/>
                <w:lang w:eastAsia="ja-JP"/>
              </w:rPr>
              <w:t xml:space="preserve"> </w:t>
            </w:r>
          </w:p>
        </w:tc>
        <w:tc>
          <w:tcPr>
            <w:tcW w:w="1030" w:type="pct"/>
            <w:gridSpan w:val="3"/>
            <w:shd w:val="clear" w:color="auto" w:fill="auto"/>
            <w:tcMar>
              <w:top w:w="110" w:type="dxa"/>
              <w:left w:w="58" w:type="dxa"/>
              <w:right w:w="58" w:type="dxa"/>
            </w:tcMar>
          </w:tcPr>
          <w:p w14:paraId="5DD846B8" w14:textId="77777777" w:rsidR="00F96912" w:rsidRPr="00CD000E" w:rsidRDefault="00F96912" w:rsidP="006658D5">
            <w:pPr>
              <w:rPr>
                <w:sz w:val="16"/>
                <w:szCs w:val="16"/>
              </w:rPr>
            </w:pPr>
            <w:r w:rsidRPr="00CD000E">
              <w:rPr>
                <w:sz w:val="16"/>
                <w:szCs w:val="16"/>
              </w:rPr>
              <w:t>2 pays (Pérou et Philippines)</w:t>
            </w:r>
          </w:p>
          <w:p w14:paraId="4D1DE326" w14:textId="77777777" w:rsidR="00F96912" w:rsidRPr="00CD000E" w:rsidRDefault="00F96912" w:rsidP="006658D5">
            <w:pPr>
              <w:rPr>
                <w:color w:val="000000"/>
                <w:sz w:val="16"/>
                <w:szCs w:val="16"/>
              </w:rPr>
            </w:pPr>
            <w:r w:rsidRPr="00CD000E">
              <w:rPr>
                <w:sz w:val="16"/>
                <w:szCs w:val="16"/>
              </w:rPr>
              <w:t xml:space="preserve">(18 </w:t>
            </w:r>
            <w:r w:rsidRPr="00CD000E">
              <w:rPr>
                <w:color w:val="000000"/>
                <w:sz w:val="16"/>
                <w:szCs w:val="16"/>
              </w:rPr>
              <w:t>au total</w:t>
            </w:r>
            <w:r w:rsidRPr="00CD000E">
              <w:rPr>
                <w:sz w:val="16"/>
                <w:szCs w:val="16"/>
              </w:rPr>
              <w:t>)</w:t>
            </w:r>
          </w:p>
        </w:tc>
        <w:tc>
          <w:tcPr>
            <w:tcW w:w="629" w:type="pct"/>
            <w:shd w:val="clear" w:color="auto" w:fill="auto"/>
            <w:tcMar>
              <w:top w:w="110" w:type="dxa"/>
              <w:left w:w="58" w:type="dxa"/>
              <w:right w:w="58" w:type="dxa"/>
            </w:tcMar>
          </w:tcPr>
          <w:p w14:paraId="0EA00EA3" w14:textId="77777777" w:rsidR="00F96912" w:rsidRPr="00CD000E" w:rsidRDefault="00F96912" w:rsidP="006658D5">
            <w:pPr>
              <w:ind w:right="-58"/>
              <w:jc w:val="center"/>
              <w:rPr>
                <w:b/>
                <w:color w:val="000000"/>
                <w:sz w:val="16"/>
                <w:szCs w:val="16"/>
              </w:rPr>
            </w:pPr>
            <w:r w:rsidRPr="00CD000E">
              <w:rPr>
                <w:b/>
                <w:color w:val="FF0000"/>
                <w:sz w:val="16"/>
                <w:szCs w:val="16"/>
              </w:rPr>
              <w:t>Pas en bonne voie</w:t>
            </w:r>
          </w:p>
        </w:tc>
      </w:tr>
      <w:tr w:rsidR="00F96912" w:rsidRPr="00CD000E" w14:paraId="1BD7F6F7" w14:textId="77777777" w:rsidTr="006658D5">
        <w:tc>
          <w:tcPr>
            <w:tcW w:w="1113" w:type="pct"/>
            <w:shd w:val="clear" w:color="auto" w:fill="auto"/>
            <w:tcMar>
              <w:left w:w="58" w:type="dxa"/>
              <w:right w:w="58" w:type="dxa"/>
            </w:tcMar>
          </w:tcPr>
          <w:p w14:paraId="11879FEF" w14:textId="77777777" w:rsidR="00F96912" w:rsidRPr="00CD000E" w:rsidRDefault="00F96912" w:rsidP="006658D5">
            <w:pPr>
              <w:autoSpaceDE w:val="0"/>
              <w:autoSpaceDN w:val="0"/>
              <w:adjustRightInd w:val="0"/>
              <w:rPr>
                <w:rFonts w:eastAsia="Batang"/>
                <w:color w:val="000000"/>
                <w:sz w:val="16"/>
                <w:szCs w:val="16"/>
                <w:lang w:eastAsia="ja-JP"/>
              </w:rPr>
            </w:pPr>
            <w:r w:rsidRPr="00CD000E">
              <w:rPr>
                <w:rFonts w:eastAsia="Batang"/>
                <w:sz w:val="16"/>
                <w:szCs w:val="16"/>
                <w:lang w:eastAsia="ja-JP"/>
              </w:rPr>
              <w:t>Nombre et éventail de parties prenantes (offices de propriété intellectuelle, services chargés de l’application du droit de la concurrence, organisations intergouvernementales et ONG compétentes) ayant engagé un dialogue avec l’OMPI</w:t>
            </w:r>
            <w:r w:rsidRPr="00CD000E">
              <w:rPr>
                <w:rFonts w:eastAsia="Batang"/>
                <w:color w:val="000000"/>
                <w:sz w:val="16"/>
                <w:szCs w:val="16"/>
                <w:lang w:eastAsia="ja-JP"/>
              </w:rPr>
              <w:t xml:space="preserve"> </w:t>
            </w:r>
          </w:p>
        </w:tc>
        <w:tc>
          <w:tcPr>
            <w:tcW w:w="1114" w:type="pct"/>
            <w:shd w:val="clear" w:color="auto" w:fill="auto"/>
            <w:tcMar>
              <w:left w:w="58" w:type="dxa"/>
              <w:right w:w="58" w:type="dxa"/>
            </w:tcMar>
          </w:tcPr>
          <w:p w14:paraId="1B0F5145"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35AD7572" w14:textId="77777777" w:rsidR="00F96912" w:rsidRPr="00F516E5" w:rsidRDefault="00F96912" w:rsidP="006658D5">
            <w:pPr>
              <w:rPr>
                <w:color w:val="002060"/>
                <w:sz w:val="16"/>
                <w:szCs w:val="16"/>
              </w:rPr>
            </w:pPr>
            <w:r w:rsidRPr="00F516E5">
              <w:rPr>
                <w:color w:val="002060"/>
                <w:sz w:val="16"/>
                <w:szCs w:val="16"/>
              </w:rPr>
              <w:t xml:space="preserve">77 </w:t>
            </w:r>
            <w:r w:rsidRPr="00F516E5">
              <w:rPr>
                <w:rFonts w:eastAsia="Batang"/>
                <w:color w:val="002060"/>
                <w:sz w:val="16"/>
                <w:szCs w:val="16"/>
                <w:lang w:eastAsia="ja-JP"/>
              </w:rPr>
              <w:t>administrations nationales chargées de la propriété intellectuelle/services nationaux chargés de l’application du droit de la concurrence et 5 organisations intergouvernementales/</w:t>
            </w:r>
            <w:r>
              <w:rPr>
                <w:rFonts w:eastAsia="Batang"/>
                <w:color w:val="002060"/>
                <w:sz w:val="16"/>
                <w:szCs w:val="16"/>
                <w:lang w:eastAsia="ja-JP"/>
              </w:rPr>
              <w:t xml:space="preserve"> </w:t>
            </w:r>
            <w:r w:rsidRPr="00F516E5">
              <w:rPr>
                <w:rFonts w:eastAsia="Batang"/>
                <w:color w:val="002060"/>
                <w:sz w:val="16"/>
                <w:szCs w:val="16"/>
                <w:lang w:eastAsia="ja-JP"/>
              </w:rPr>
              <w:t xml:space="preserve">ONG </w:t>
            </w:r>
            <w:r w:rsidRPr="00F516E5">
              <w:rPr>
                <w:color w:val="002060"/>
                <w:sz w:val="16"/>
                <w:szCs w:val="16"/>
              </w:rPr>
              <w:t>(au total)</w:t>
            </w:r>
          </w:p>
          <w:p w14:paraId="5A7F64CA" w14:textId="77777777" w:rsidR="00F96912" w:rsidRPr="00CD000E" w:rsidRDefault="00F96912" w:rsidP="006658D5">
            <w:pPr>
              <w:rPr>
                <w:color w:val="000000"/>
                <w:sz w:val="16"/>
                <w:szCs w:val="16"/>
              </w:rPr>
            </w:pPr>
          </w:p>
          <w:p w14:paraId="644A7312" w14:textId="77777777" w:rsidR="00F96912" w:rsidRPr="00CD000E" w:rsidRDefault="00F96912" w:rsidP="006658D5">
            <w:pPr>
              <w:autoSpaceDE w:val="0"/>
              <w:autoSpaceDN w:val="0"/>
              <w:adjustRightInd w:val="0"/>
              <w:rPr>
                <w:rFonts w:eastAsia="Batang"/>
                <w:i/>
                <w:color w:val="000000"/>
                <w:sz w:val="16"/>
                <w:szCs w:val="16"/>
                <w:lang w:eastAsia="ja-JP" w:bidi="th-TH"/>
              </w:rPr>
            </w:pPr>
            <w:r w:rsidRPr="00CD000E">
              <w:rPr>
                <w:rFonts w:eastAsia="Batang"/>
                <w:i/>
                <w:color w:val="000000"/>
                <w:sz w:val="16"/>
                <w:szCs w:val="16"/>
                <w:lang w:eastAsia="ja-JP" w:bidi="th-TH"/>
              </w:rPr>
              <w:t>Niveau de référence initial dans le programme et budget 2016</w:t>
            </w:r>
            <w:r>
              <w:rPr>
                <w:rFonts w:eastAsia="Batang"/>
                <w:i/>
                <w:color w:val="000000"/>
                <w:sz w:val="16"/>
                <w:szCs w:val="16"/>
                <w:lang w:eastAsia="ja-JP" w:bidi="th-TH"/>
              </w:rPr>
              <w:noBreakHyphen/>
            </w:r>
            <w:r w:rsidRPr="00CD000E">
              <w:rPr>
                <w:rFonts w:eastAsia="Batang"/>
                <w:i/>
                <w:color w:val="000000"/>
                <w:sz w:val="16"/>
                <w:szCs w:val="16"/>
                <w:lang w:eastAsia="ja-JP" w:bidi="th-TH"/>
              </w:rPr>
              <w:t>2017 :</w:t>
            </w:r>
          </w:p>
          <w:p w14:paraId="172D63A4" w14:textId="77777777" w:rsidR="00F96912" w:rsidRPr="00CD000E" w:rsidRDefault="00F96912" w:rsidP="006658D5">
            <w:pPr>
              <w:autoSpaceDE w:val="0"/>
              <w:autoSpaceDN w:val="0"/>
              <w:adjustRightInd w:val="0"/>
              <w:spacing w:after="240"/>
              <w:rPr>
                <w:rFonts w:eastAsia="Batang"/>
                <w:color w:val="000000"/>
                <w:sz w:val="16"/>
                <w:szCs w:val="16"/>
                <w:lang w:eastAsia="ja-JP"/>
              </w:rPr>
            </w:pPr>
            <w:r w:rsidRPr="00CD000E">
              <w:rPr>
                <w:rFonts w:eastAsia="Batang"/>
                <w:sz w:val="16"/>
                <w:szCs w:val="16"/>
                <w:lang w:eastAsia="ja-JP"/>
              </w:rPr>
              <w:t>64 administrations nationales chargées de la propriété intellectuelle/services nationaux chargés de l’application du droit de la concurrence et 5</w:t>
            </w:r>
            <w:r>
              <w:rPr>
                <w:rFonts w:eastAsia="Batang"/>
                <w:sz w:val="16"/>
                <w:szCs w:val="16"/>
                <w:lang w:eastAsia="ja-JP"/>
              </w:rPr>
              <w:t> </w:t>
            </w:r>
            <w:r w:rsidRPr="00CD000E">
              <w:rPr>
                <w:rFonts w:eastAsia="Batang"/>
                <w:sz w:val="16"/>
                <w:szCs w:val="16"/>
                <w:lang w:eastAsia="ja-JP"/>
              </w:rPr>
              <w:t>organisations intergouvernementales/</w:t>
            </w:r>
            <w:r>
              <w:rPr>
                <w:rFonts w:eastAsia="Batang"/>
                <w:sz w:val="16"/>
                <w:szCs w:val="16"/>
                <w:lang w:eastAsia="ja-JP"/>
              </w:rPr>
              <w:t xml:space="preserve"> </w:t>
            </w:r>
            <w:r w:rsidRPr="00CD000E">
              <w:rPr>
                <w:rFonts w:eastAsia="Batang"/>
                <w:sz w:val="16"/>
                <w:szCs w:val="16"/>
                <w:lang w:eastAsia="ja-JP"/>
              </w:rPr>
              <w:t>ONG (au total)</w:t>
            </w:r>
            <w:r w:rsidRPr="00CD000E">
              <w:rPr>
                <w:rFonts w:eastAsia="Batang"/>
                <w:color w:val="000000"/>
                <w:sz w:val="16"/>
                <w:szCs w:val="16"/>
                <w:lang w:eastAsia="ja-JP"/>
              </w:rPr>
              <w:t xml:space="preserve"> </w:t>
            </w:r>
          </w:p>
        </w:tc>
        <w:tc>
          <w:tcPr>
            <w:tcW w:w="1114" w:type="pct"/>
            <w:shd w:val="clear" w:color="auto" w:fill="auto"/>
            <w:tcMar>
              <w:top w:w="110" w:type="dxa"/>
              <w:left w:w="58" w:type="dxa"/>
              <w:right w:w="58" w:type="dxa"/>
            </w:tcMar>
          </w:tcPr>
          <w:p w14:paraId="435445D9" w14:textId="77777777" w:rsidR="00F96912" w:rsidRPr="00CD000E" w:rsidRDefault="00F96912" w:rsidP="006658D5">
            <w:pPr>
              <w:autoSpaceDE w:val="0"/>
              <w:autoSpaceDN w:val="0"/>
              <w:adjustRightInd w:val="0"/>
              <w:rPr>
                <w:rFonts w:eastAsia="Batang"/>
                <w:color w:val="000000"/>
                <w:sz w:val="16"/>
                <w:szCs w:val="16"/>
                <w:lang w:eastAsia="ja-JP"/>
              </w:rPr>
            </w:pPr>
            <w:r w:rsidRPr="00CD000E">
              <w:rPr>
                <w:rFonts w:eastAsia="Batang"/>
                <w:sz w:val="16"/>
                <w:szCs w:val="16"/>
                <w:lang w:eastAsia="ja-JP"/>
              </w:rPr>
              <w:t>26</w:t>
            </w:r>
            <w:r>
              <w:rPr>
                <w:rFonts w:eastAsia="Batang"/>
                <w:sz w:val="16"/>
                <w:szCs w:val="16"/>
                <w:lang w:eastAsia="ja-JP"/>
              </w:rPr>
              <w:t> </w:t>
            </w:r>
            <w:r w:rsidRPr="00CD000E">
              <w:rPr>
                <w:rFonts w:eastAsia="Batang"/>
                <w:sz w:val="16"/>
                <w:szCs w:val="16"/>
                <w:lang w:eastAsia="ja-JP"/>
              </w:rPr>
              <w:t>administrations nationales chargées de la propriété intellectuelle/services nationaux chargés de l’application du droit de la concurrence et 5</w:t>
            </w:r>
            <w:r>
              <w:rPr>
                <w:rFonts w:eastAsia="Batang"/>
                <w:sz w:val="16"/>
                <w:szCs w:val="16"/>
                <w:lang w:eastAsia="ja-JP"/>
              </w:rPr>
              <w:t> </w:t>
            </w:r>
            <w:r w:rsidRPr="00CD000E">
              <w:rPr>
                <w:rFonts w:eastAsia="Batang"/>
                <w:sz w:val="16"/>
                <w:szCs w:val="16"/>
                <w:lang w:eastAsia="ja-JP"/>
              </w:rPr>
              <w:t>organisations intergouvernementales/</w:t>
            </w:r>
            <w:r>
              <w:rPr>
                <w:rFonts w:eastAsia="Batang"/>
                <w:sz w:val="16"/>
                <w:szCs w:val="16"/>
                <w:lang w:eastAsia="ja-JP"/>
              </w:rPr>
              <w:t xml:space="preserve"> </w:t>
            </w:r>
            <w:r w:rsidRPr="00CD000E">
              <w:rPr>
                <w:rFonts w:eastAsia="Batang"/>
                <w:sz w:val="16"/>
                <w:szCs w:val="16"/>
                <w:lang w:eastAsia="ja-JP"/>
              </w:rPr>
              <w:t>ONG supplémentaires</w:t>
            </w:r>
            <w:r w:rsidRPr="00CD000E">
              <w:rPr>
                <w:rFonts w:eastAsia="Batang"/>
                <w:color w:val="000000"/>
                <w:sz w:val="16"/>
                <w:szCs w:val="16"/>
                <w:lang w:eastAsia="ja-JP"/>
              </w:rPr>
              <w:t xml:space="preserve"> </w:t>
            </w:r>
          </w:p>
        </w:tc>
        <w:tc>
          <w:tcPr>
            <w:tcW w:w="1030" w:type="pct"/>
            <w:gridSpan w:val="3"/>
            <w:shd w:val="clear" w:color="auto" w:fill="FFFFFF"/>
            <w:tcMar>
              <w:top w:w="110" w:type="dxa"/>
              <w:left w:w="58" w:type="dxa"/>
              <w:right w:w="58" w:type="dxa"/>
            </w:tcMar>
          </w:tcPr>
          <w:p w14:paraId="13086350" w14:textId="77777777" w:rsidR="00F96912" w:rsidRPr="00CD000E" w:rsidRDefault="00F96912" w:rsidP="006658D5">
            <w:pPr>
              <w:rPr>
                <w:color w:val="000000"/>
                <w:sz w:val="16"/>
                <w:szCs w:val="16"/>
              </w:rPr>
            </w:pPr>
            <w:r w:rsidRPr="00CD000E">
              <w:rPr>
                <w:sz w:val="16"/>
                <w:szCs w:val="16"/>
              </w:rPr>
              <w:t>23</w:t>
            </w:r>
            <w:r>
              <w:rPr>
                <w:sz w:val="16"/>
                <w:szCs w:val="16"/>
              </w:rPr>
              <w:t> </w:t>
            </w:r>
            <w:r w:rsidRPr="00CD000E">
              <w:rPr>
                <w:sz w:val="16"/>
                <w:szCs w:val="16"/>
              </w:rPr>
              <w:t>administrations supplémentaires (100 au total) et 5</w:t>
            </w:r>
            <w:r>
              <w:rPr>
                <w:sz w:val="16"/>
                <w:szCs w:val="16"/>
              </w:rPr>
              <w:t> </w:t>
            </w:r>
            <w:r w:rsidRPr="00CD000E">
              <w:rPr>
                <w:rFonts w:eastAsia="Batang"/>
                <w:sz w:val="16"/>
                <w:szCs w:val="16"/>
                <w:lang w:eastAsia="ja-JP"/>
              </w:rPr>
              <w:t>organisations intergouvernementales/</w:t>
            </w:r>
            <w:r>
              <w:rPr>
                <w:rFonts w:eastAsia="Batang"/>
                <w:sz w:val="16"/>
                <w:szCs w:val="16"/>
                <w:lang w:eastAsia="ja-JP"/>
              </w:rPr>
              <w:t xml:space="preserve"> </w:t>
            </w:r>
            <w:r w:rsidRPr="00CD000E">
              <w:rPr>
                <w:rFonts w:eastAsia="Batang"/>
                <w:sz w:val="16"/>
                <w:szCs w:val="16"/>
                <w:lang w:eastAsia="ja-JP"/>
              </w:rPr>
              <w:t xml:space="preserve">ONG </w:t>
            </w:r>
            <w:r w:rsidRPr="00CD000E">
              <w:rPr>
                <w:sz w:val="16"/>
                <w:szCs w:val="16"/>
              </w:rPr>
              <w:t>(CNUCED, CUTS, ICN, OCDE, OMC)</w:t>
            </w:r>
          </w:p>
        </w:tc>
        <w:tc>
          <w:tcPr>
            <w:tcW w:w="629" w:type="pct"/>
            <w:shd w:val="clear" w:color="auto" w:fill="auto"/>
            <w:tcMar>
              <w:top w:w="110" w:type="dxa"/>
              <w:left w:w="58" w:type="dxa"/>
              <w:right w:w="58" w:type="dxa"/>
            </w:tcMar>
          </w:tcPr>
          <w:p w14:paraId="43D6A07F" w14:textId="77777777" w:rsidR="00F96912" w:rsidRPr="00CD000E" w:rsidRDefault="00F96912" w:rsidP="006658D5">
            <w:pPr>
              <w:ind w:right="-58"/>
              <w:jc w:val="center"/>
              <w:rPr>
                <w:b/>
                <w:color w:val="000000"/>
                <w:sz w:val="16"/>
                <w:szCs w:val="16"/>
              </w:rPr>
            </w:pPr>
            <w:r w:rsidRPr="00CD000E">
              <w:rPr>
                <w:b/>
                <w:color w:val="00B050"/>
                <w:sz w:val="16"/>
                <w:szCs w:val="16"/>
              </w:rPr>
              <w:t>En bonne voie</w:t>
            </w:r>
          </w:p>
        </w:tc>
      </w:tr>
      <w:tr w:rsidR="00F96912" w:rsidRPr="00CD000E" w14:paraId="34FADE3D" w14:textId="77777777" w:rsidTr="006658D5">
        <w:tc>
          <w:tcPr>
            <w:tcW w:w="5000" w:type="pct"/>
            <w:gridSpan w:val="7"/>
            <w:shd w:val="clear" w:color="auto" w:fill="C6D9F1" w:themeFill="text2" w:themeFillTint="33"/>
            <w:tcMar>
              <w:left w:w="58" w:type="dxa"/>
              <w:right w:w="58" w:type="dxa"/>
            </w:tcMar>
            <w:vAlign w:val="center"/>
          </w:tcPr>
          <w:p w14:paraId="472A1881" w14:textId="77777777" w:rsidR="00F96912" w:rsidRPr="00CD000E" w:rsidRDefault="00F96912" w:rsidP="006658D5">
            <w:pPr>
              <w:keepNext/>
              <w:keepLines/>
              <w:tabs>
                <w:tab w:val="left" w:pos="1452"/>
              </w:tabs>
              <w:ind w:right="-58"/>
              <w:rPr>
                <w:b/>
                <w:sz w:val="16"/>
                <w:szCs w:val="16"/>
              </w:rPr>
            </w:pPr>
            <w:r w:rsidRPr="00CD000E">
              <w:rPr>
                <w:b/>
                <w:sz w:val="16"/>
                <w:szCs w:val="16"/>
              </w:rPr>
              <w:lastRenderedPageBreak/>
              <w:t xml:space="preserve">Résultat escompté : </w:t>
            </w:r>
            <w:r w:rsidRPr="00CD000E">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F96912" w:rsidRPr="00CD000E" w14:paraId="2B20FE72" w14:textId="77777777" w:rsidTr="005A435C">
        <w:trPr>
          <w:trHeight w:val="354"/>
        </w:trPr>
        <w:tc>
          <w:tcPr>
            <w:tcW w:w="1113" w:type="pct"/>
            <w:shd w:val="clear" w:color="auto" w:fill="auto"/>
            <w:tcMar>
              <w:top w:w="57" w:type="dxa"/>
              <w:left w:w="58" w:type="dxa"/>
              <w:right w:w="58" w:type="dxa"/>
            </w:tcMar>
            <w:vAlign w:val="center"/>
          </w:tcPr>
          <w:p w14:paraId="172C87AE" w14:textId="77777777" w:rsidR="00F96912" w:rsidRPr="00CD000E" w:rsidRDefault="00F96912" w:rsidP="006658D5">
            <w:pPr>
              <w:keepNext/>
              <w:keepLines/>
              <w:jc w:val="center"/>
              <w:rPr>
                <w:b/>
                <w:bCs/>
                <w:sz w:val="16"/>
                <w:szCs w:val="16"/>
              </w:rPr>
            </w:pPr>
            <w:r w:rsidRPr="00CD000E">
              <w:rPr>
                <w:b/>
                <w:bCs/>
                <w:sz w:val="16"/>
                <w:szCs w:val="16"/>
              </w:rPr>
              <w:t>Indicateurs d’exécution</w:t>
            </w:r>
          </w:p>
        </w:tc>
        <w:tc>
          <w:tcPr>
            <w:tcW w:w="1114" w:type="pct"/>
            <w:shd w:val="clear" w:color="auto" w:fill="auto"/>
            <w:tcMar>
              <w:top w:w="57" w:type="dxa"/>
              <w:left w:w="58" w:type="dxa"/>
              <w:right w:w="58" w:type="dxa"/>
            </w:tcMar>
            <w:vAlign w:val="center"/>
          </w:tcPr>
          <w:p w14:paraId="225DD68F" w14:textId="77777777" w:rsidR="00F96912" w:rsidRPr="00CD000E" w:rsidRDefault="00F96912" w:rsidP="006658D5">
            <w:pPr>
              <w:keepNext/>
              <w:keepLines/>
              <w:jc w:val="center"/>
              <w:rPr>
                <w:b/>
                <w:bCs/>
                <w:sz w:val="16"/>
                <w:szCs w:val="16"/>
              </w:rPr>
            </w:pPr>
            <w:r w:rsidRPr="00CD000E">
              <w:rPr>
                <w:b/>
                <w:bCs/>
                <w:sz w:val="16"/>
                <w:szCs w:val="16"/>
              </w:rPr>
              <w:t>Niveaux de référence</w:t>
            </w:r>
          </w:p>
        </w:tc>
        <w:tc>
          <w:tcPr>
            <w:tcW w:w="1217" w:type="pct"/>
            <w:gridSpan w:val="2"/>
            <w:shd w:val="clear" w:color="auto" w:fill="auto"/>
            <w:tcMar>
              <w:top w:w="57" w:type="dxa"/>
              <w:left w:w="58" w:type="dxa"/>
              <w:right w:w="58" w:type="dxa"/>
            </w:tcMar>
            <w:vAlign w:val="center"/>
          </w:tcPr>
          <w:p w14:paraId="04FCF635" w14:textId="77777777" w:rsidR="00F96912" w:rsidRPr="00CD000E" w:rsidRDefault="00F96912" w:rsidP="006658D5">
            <w:pPr>
              <w:keepNext/>
              <w:keepLines/>
              <w:jc w:val="center"/>
              <w:rPr>
                <w:b/>
                <w:bCs/>
                <w:sz w:val="16"/>
                <w:szCs w:val="16"/>
              </w:rPr>
            </w:pPr>
            <w:r w:rsidRPr="00CD000E">
              <w:rPr>
                <w:b/>
                <w:bCs/>
                <w:sz w:val="16"/>
                <w:szCs w:val="16"/>
              </w:rPr>
              <w:t>Objectifs visés</w:t>
            </w:r>
          </w:p>
        </w:tc>
        <w:tc>
          <w:tcPr>
            <w:tcW w:w="812" w:type="pct"/>
            <w:shd w:val="clear" w:color="auto" w:fill="FFFFFF"/>
            <w:tcMar>
              <w:top w:w="57" w:type="dxa"/>
              <w:left w:w="58" w:type="dxa"/>
              <w:right w:w="58" w:type="dxa"/>
            </w:tcMar>
            <w:vAlign w:val="center"/>
          </w:tcPr>
          <w:p w14:paraId="777E02F4" w14:textId="77777777" w:rsidR="00F96912" w:rsidRPr="00CD000E" w:rsidRDefault="00F96912" w:rsidP="006658D5">
            <w:pPr>
              <w:keepNext/>
              <w:keepLines/>
              <w:jc w:val="center"/>
              <w:rPr>
                <w:b/>
                <w:bCs/>
                <w:sz w:val="16"/>
                <w:szCs w:val="16"/>
              </w:rPr>
            </w:pPr>
            <w:r w:rsidRPr="00CD000E">
              <w:rPr>
                <w:b/>
                <w:bCs/>
                <w:sz w:val="16"/>
                <w:szCs w:val="16"/>
              </w:rPr>
              <w:t>Données relatives à l’exécution</w:t>
            </w:r>
          </w:p>
        </w:tc>
        <w:tc>
          <w:tcPr>
            <w:tcW w:w="744" w:type="pct"/>
            <w:gridSpan w:val="2"/>
            <w:shd w:val="clear" w:color="auto" w:fill="auto"/>
            <w:tcMar>
              <w:top w:w="57" w:type="dxa"/>
              <w:left w:w="58" w:type="dxa"/>
              <w:right w:w="58" w:type="dxa"/>
            </w:tcMar>
            <w:vAlign w:val="center"/>
          </w:tcPr>
          <w:p w14:paraId="38443138" w14:textId="77777777" w:rsidR="00F96912" w:rsidRPr="00CD000E" w:rsidRDefault="00F96912" w:rsidP="006658D5">
            <w:pPr>
              <w:keepNext/>
              <w:keepLines/>
              <w:ind w:right="-58"/>
              <w:jc w:val="center"/>
              <w:rPr>
                <w:b/>
                <w:bCs/>
                <w:sz w:val="16"/>
                <w:szCs w:val="16"/>
              </w:rPr>
            </w:pPr>
            <w:r w:rsidRPr="00CD000E">
              <w:rPr>
                <w:b/>
                <w:bCs/>
                <w:sz w:val="16"/>
                <w:szCs w:val="16"/>
              </w:rPr>
              <w:t>Code d’évaluation</w:t>
            </w:r>
          </w:p>
        </w:tc>
      </w:tr>
      <w:tr w:rsidR="00F96912" w:rsidRPr="00CD000E" w14:paraId="1F9D6312" w14:textId="77777777" w:rsidTr="005A435C">
        <w:trPr>
          <w:trHeight w:val="1524"/>
        </w:trPr>
        <w:tc>
          <w:tcPr>
            <w:tcW w:w="1113" w:type="pct"/>
            <w:shd w:val="clear" w:color="auto" w:fill="auto"/>
            <w:tcMar>
              <w:top w:w="57" w:type="dxa"/>
              <w:left w:w="58" w:type="dxa"/>
              <w:right w:w="58" w:type="dxa"/>
            </w:tcMar>
          </w:tcPr>
          <w:p w14:paraId="2BCE31BC" w14:textId="77777777" w:rsidR="00F96912" w:rsidRPr="00CD000E" w:rsidRDefault="00F96912" w:rsidP="006658D5">
            <w:pPr>
              <w:keepNext/>
              <w:keepLines/>
              <w:autoSpaceDE w:val="0"/>
              <w:autoSpaceDN w:val="0"/>
              <w:adjustRightInd w:val="0"/>
              <w:rPr>
                <w:rFonts w:eastAsia="Batang"/>
                <w:color w:val="000000"/>
                <w:sz w:val="16"/>
                <w:szCs w:val="16"/>
                <w:lang w:eastAsia="ja-JP"/>
              </w:rPr>
            </w:pPr>
            <w:r w:rsidRPr="00CD000E">
              <w:rPr>
                <w:rFonts w:eastAsia="Batang"/>
                <w:sz w:val="16"/>
                <w:szCs w:val="16"/>
                <w:lang w:eastAsia="ja-JP"/>
              </w:rPr>
              <w:t>Nombre de dispositions prises pour l’hébergement de scientifiques de pays en développement</w:t>
            </w:r>
          </w:p>
        </w:tc>
        <w:tc>
          <w:tcPr>
            <w:tcW w:w="1114" w:type="pct"/>
            <w:shd w:val="clear" w:color="auto" w:fill="auto"/>
            <w:tcMar>
              <w:top w:w="57" w:type="dxa"/>
              <w:left w:w="58" w:type="dxa"/>
              <w:right w:w="58" w:type="dxa"/>
            </w:tcMar>
          </w:tcPr>
          <w:p w14:paraId="2056B65E" w14:textId="77777777" w:rsidR="00F96912" w:rsidRPr="00CD000E" w:rsidRDefault="00F96912" w:rsidP="006658D5">
            <w:pPr>
              <w:keepNext/>
              <w:keepLines/>
              <w:rPr>
                <w:i/>
                <w:color w:val="002060"/>
                <w:sz w:val="16"/>
                <w:szCs w:val="16"/>
              </w:rPr>
            </w:pPr>
            <w:r w:rsidRPr="00CD000E">
              <w:rPr>
                <w:i/>
                <w:color w:val="002060"/>
                <w:sz w:val="16"/>
                <w:szCs w:val="16"/>
              </w:rPr>
              <w:t>Niveau de référence actualisé à fin 2015 :</w:t>
            </w:r>
          </w:p>
          <w:p w14:paraId="399EE90C" w14:textId="77777777" w:rsidR="00F96912" w:rsidRPr="00CD000E" w:rsidRDefault="00F96912" w:rsidP="006658D5">
            <w:pPr>
              <w:keepNext/>
              <w:keepLines/>
              <w:rPr>
                <w:color w:val="002060"/>
                <w:sz w:val="16"/>
                <w:szCs w:val="16"/>
              </w:rPr>
            </w:pPr>
            <w:r w:rsidRPr="00CD000E">
              <w:rPr>
                <w:color w:val="002060"/>
                <w:sz w:val="16"/>
                <w:szCs w:val="16"/>
              </w:rPr>
              <w:t xml:space="preserve">6 </w:t>
            </w:r>
            <w:r w:rsidRPr="00CD000E">
              <w:rPr>
                <w:color w:val="002060"/>
                <w:sz w:val="16"/>
                <w:szCs w:val="16"/>
                <w:lang w:bidi="th-TH"/>
              </w:rPr>
              <w:t>dispositions pour l’hébergement</w:t>
            </w:r>
            <w:r w:rsidRPr="00CD000E">
              <w:rPr>
                <w:i/>
                <w:color w:val="002060"/>
                <w:sz w:val="16"/>
                <w:szCs w:val="16"/>
              </w:rPr>
              <w:t xml:space="preserve"> </w:t>
            </w:r>
            <w:r w:rsidRPr="00CD000E">
              <w:rPr>
                <w:color w:val="000000"/>
                <w:sz w:val="16"/>
                <w:szCs w:val="16"/>
              </w:rPr>
              <w:t>(</w:t>
            </w:r>
            <w:r w:rsidRPr="00CD000E">
              <w:rPr>
                <w:sz w:val="16"/>
                <w:szCs w:val="16"/>
              </w:rPr>
              <w:t>au total)</w:t>
            </w:r>
          </w:p>
          <w:p w14:paraId="205F5458" w14:textId="77777777" w:rsidR="00F96912" w:rsidRPr="00CD000E" w:rsidRDefault="00F96912" w:rsidP="006658D5">
            <w:pPr>
              <w:keepNext/>
              <w:keepLines/>
              <w:rPr>
                <w:color w:val="000000"/>
                <w:sz w:val="16"/>
                <w:szCs w:val="16"/>
              </w:rPr>
            </w:pPr>
          </w:p>
          <w:p w14:paraId="0433656D" w14:textId="77777777" w:rsidR="00F96912" w:rsidRPr="00CD000E" w:rsidRDefault="00F96912" w:rsidP="006658D5">
            <w:pPr>
              <w:keepNext/>
              <w:keepLines/>
              <w:autoSpaceDE w:val="0"/>
              <w:autoSpaceDN w:val="0"/>
              <w:adjustRightInd w:val="0"/>
              <w:rPr>
                <w:rFonts w:eastAsia="Batang"/>
                <w:i/>
                <w:color w:val="000000"/>
                <w:sz w:val="16"/>
                <w:szCs w:val="16"/>
                <w:lang w:eastAsia="ja-JP" w:bidi="th-TH"/>
              </w:rPr>
            </w:pPr>
            <w:r w:rsidRPr="00CD000E">
              <w:rPr>
                <w:rFonts w:eastAsia="Batang"/>
                <w:i/>
                <w:color w:val="000000"/>
                <w:sz w:val="16"/>
                <w:szCs w:val="16"/>
                <w:lang w:eastAsia="ja-JP" w:bidi="th-TH"/>
              </w:rPr>
              <w:t>Niveau de référence initial dans le programme et budget 2016</w:t>
            </w:r>
            <w:r>
              <w:rPr>
                <w:rFonts w:eastAsia="Batang"/>
                <w:i/>
                <w:color w:val="000000"/>
                <w:sz w:val="16"/>
                <w:szCs w:val="16"/>
                <w:lang w:eastAsia="ja-JP" w:bidi="th-TH"/>
              </w:rPr>
              <w:noBreakHyphen/>
            </w:r>
            <w:r w:rsidRPr="00CD000E">
              <w:rPr>
                <w:rFonts w:eastAsia="Batang"/>
                <w:i/>
                <w:color w:val="000000"/>
                <w:sz w:val="16"/>
                <w:szCs w:val="16"/>
                <w:lang w:eastAsia="ja-JP" w:bidi="th-TH"/>
              </w:rPr>
              <w:t>2017 :</w:t>
            </w:r>
          </w:p>
          <w:p w14:paraId="42C6B594" w14:textId="77777777" w:rsidR="00F96912" w:rsidRPr="00CD000E" w:rsidRDefault="00F96912" w:rsidP="006658D5">
            <w:pPr>
              <w:keepNext/>
              <w:keepLines/>
              <w:autoSpaceDE w:val="0"/>
              <w:autoSpaceDN w:val="0"/>
              <w:adjustRightInd w:val="0"/>
              <w:rPr>
                <w:rFonts w:eastAsia="Batang"/>
                <w:color w:val="000000"/>
                <w:sz w:val="16"/>
                <w:szCs w:val="16"/>
                <w:lang w:eastAsia="ja-JP"/>
              </w:rPr>
            </w:pPr>
            <w:r w:rsidRPr="00CD000E">
              <w:rPr>
                <w:rFonts w:eastAsia="Batang"/>
                <w:color w:val="000000"/>
                <w:sz w:val="16"/>
                <w:szCs w:val="16"/>
                <w:lang w:eastAsia="ja-JP"/>
              </w:rPr>
              <w:t xml:space="preserve">5 </w:t>
            </w:r>
          </w:p>
        </w:tc>
        <w:tc>
          <w:tcPr>
            <w:tcW w:w="1217" w:type="pct"/>
            <w:gridSpan w:val="2"/>
            <w:shd w:val="clear" w:color="auto" w:fill="auto"/>
            <w:tcMar>
              <w:top w:w="57" w:type="dxa"/>
              <w:left w:w="58" w:type="dxa"/>
              <w:right w:w="58" w:type="dxa"/>
            </w:tcMar>
          </w:tcPr>
          <w:p w14:paraId="5C30C455" w14:textId="77777777" w:rsidR="00F96912" w:rsidRPr="00CD000E" w:rsidRDefault="00F96912" w:rsidP="006658D5">
            <w:pPr>
              <w:keepNext/>
              <w:keepLines/>
              <w:autoSpaceDE w:val="0"/>
              <w:autoSpaceDN w:val="0"/>
              <w:adjustRightInd w:val="0"/>
              <w:rPr>
                <w:rFonts w:eastAsia="Batang"/>
                <w:color w:val="000000"/>
                <w:sz w:val="16"/>
                <w:szCs w:val="16"/>
                <w:lang w:eastAsia="ja-JP"/>
              </w:rPr>
            </w:pPr>
            <w:r w:rsidRPr="00CD000E">
              <w:rPr>
                <w:rFonts w:eastAsia="Batang"/>
                <w:sz w:val="16"/>
                <w:szCs w:val="16"/>
                <w:lang w:eastAsia="ja-JP"/>
              </w:rPr>
              <w:t>2 dispositions supplémentaires pour l’hébergement</w:t>
            </w:r>
            <w:r w:rsidRPr="00CD000E">
              <w:rPr>
                <w:rFonts w:eastAsia="Batang"/>
                <w:color w:val="000000"/>
                <w:sz w:val="16"/>
                <w:szCs w:val="16"/>
                <w:lang w:eastAsia="ja-JP"/>
              </w:rPr>
              <w:t xml:space="preserve"> </w:t>
            </w:r>
          </w:p>
        </w:tc>
        <w:tc>
          <w:tcPr>
            <w:tcW w:w="812" w:type="pct"/>
            <w:shd w:val="clear" w:color="auto" w:fill="FFFFFF"/>
            <w:tcMar>
              <w:top w:w="57" w:type="dxa"/>
              <w:left w:w="58" w:type="dxa"/>
              <w:right w:w="58" w:type="dxa"/>
            </w:tcMar>
          </w:tcPr>
          <w:p w14:paraId="55E8DB5A" w14:textId="77777777" w:rsidR="00F96912" w:rsidRPr="00CD000E" w:rsidRDefault="00F96912" w:rsidP="006658D5">
            <w:pPr>
              <w:keepNext/>
              <w:keepLines/>
              <w:rPr>
                <w:color w:val="000000"/>
                <w:sz w:val="16"/>
                <w:szCs w:val="16"/>
              </w:rPr>
            </w:pPr>
            <w:r w:rsidRPr="00CD000E">
              <w:rPr>
                <w:color w:val="000000"/>
                <w:sz w:val="16"/>
                <w:szCs w:val="16"/>
              </w:rPr>
              <w:t>Pas de dispositions supplémentaires pour l’hébergement</w:t>
            </w:r>
          </w:p>
        </w:tc>
        <w:tc>
          <w:tcPr>
            <w:tcW w:w="744" w:type="pct"/>
            <w:gridSpan w:val="2"/>
            <w:shd w:val="clear" w:color="auto" w:fill="auto"/>
            <w:tcMar>
              <w:top w:w="57" w:type="dxa"/>
              <w:left w:w="58" w:type="dxa"/>
              <w:right w:w="58" w:type="dxa"/>
            </w:tcMar>
          </w:tcPr>
          <w:p w14:paraId="6133E9CE" w14:textId="77777777" w:rsidR="00F96912" w:rsidRPr="00CD000E" w:rsidRDefault="00F96912" w:rsidP="006658D5">
            <w:pPr>
              <w:keepNext/>
              <w:keepLines/>
              <w:ind w:right="-58"/>
              <w:jc w:val="center"/>
              <w:rPr>
                <w:b/>
                <w:color w:val="000000"/>
                <w:sz w:val="16"/>
                <w:szCs w:val="16"/>
              </w:rPr>
            </w:pPr>
            <w:r w:rsidRPr="00CD000E">
              <w:rPr>
                <w:b/>
                <w:color w:val="FF0000"/>
                <w:sz w:val="16"/>
                <w:szCs w:val="16"/>
              </w:rPr>
              <w:t>Pas en bonne voie</w:t>
            </w:r>
          </w:p>
        </w:tc>
      </w:tr>
      <w:tr w:rsidR="00F96912" w:rsidRPr="00CD000E" w14:paraId="46511977" w14:textId="77777777" w:rsidTr="006658D5">
        <w:tc>
          <w:tcPr>
            <w:tcW w:w="1113" w:type="pct"/>
            <w:shd w:val="clear" w:color="auto" w:fill="auto"/>
            <w:tcMar>
              <w:left w:w="58" w:type="dxa"/>
              <w:right w:w="58" w:type="dxa"/>
            </w:tcMar>
          </w:tcPr>
          <w:p w14:paraId="73EE7E35" w14:textId="77777777" w:rsidR="00F96912" w:rsidRPr="00CD000E" w:rsidRDefault="00F96912" w:rsidP="005A435C">
            <w:pPr>
              <w:autoSpaceDE w:val="0"/>
              <w:autoSpaceDN w:val="0"/>
              <w:adjustRightInd w:val="0"/>
              <w:rPr>
                <w:rFonts w:eastAsia="Batang"/>
                <w:color w:val="000000"/>
                <w:sz w:val="16"/>
                <w:szCs w:val="16"/>
                <w:lang w:eastAsia="ja-JP"/>
              </w:rPr>
            </w:pPr>
            <w:r w:rsidRPr="00CD000E">
              <w:rPr>
                <w:rFonts w:eastAsia="Batang"/>
                <w:sz w:val="16"/>
                <w:szCs w:val="16"/>
                <w:lang w:eastAsia="ja-JP"/>
              </w:rPr>
              <w:t>Pourcentage de participants ayant suivi le module d’enseignement à distance sur la propriété intellectuelle relative à la santé qui sont favorables à l’utilisation de la propriété intellectuelle au service du développement grâce au transfert de connaissances et à l’acquisition de compétences</w:t>
            </w:r>
            <w:r w:rsidRPr="00CD000E">
              <w:rPr>
                <w:rFonts w:eastAsia="Batang"/>
                <w:color w:val="000000"/>
                <w:sz w:val="16"/>
                <w:szCs w:val="16"/>
                <w:lang w:eastAsia="ja-JP"/>
              </w:rPr>
              <w:t xml:space="preserve"> </w:t>
            </w:r>
          </w:p>
        </w:tc>
        <w:tc>
          <w:tcPr>
            <w:tcW w:w="1114" w:type="pct"/>
            <w:shd w:val="clear" w:color="auto" w:fill="auto"/>
            <w:tcMar>
              <w:left w:w="58" w:type="dxa"/>
              <w:right w:w="58" w:type="dxa"/>
            </w:tcMar>
          </w:tcPr>
          <w:p w14:paraId="1F6C9AD6" w14:textId="77777777" w:rsidR="00F96912" w:rsidRPr="00CD000E" w:rsidRDefault="00F96912" w:rsidP="006658D5">
            <w:pPr>
              <w:autoSpaceDE w:val="0"/>
              <w:autoSpaceDN w:val="0"/>
              <w:adjustRightInd w:val="0"/>
              <w:rPr>
                <w:rFonts w:eastAsia="Batang"/>
                <w:color w:val="000000"/>
                <w:sz w:val="16"/>
                <w:szCs w:val="16"/>
                <w:lang w:eastAsia="ja-JP"/>
              </w:rPr>
            </w:pPr>
            <w:proofErr w:type="spellStart"/>
            <w:r w:rsidRPr="00CD000E">
              <w:rPr>
                <w:rFonts w:eastAsia="Batang"/>
                <w:color w:val="000000"/>
                <w:sz w:val="16"/>
                <w:szCs w:val="16"/>
                <w:lang w:eastAsia="ja-JP"/>
              </w:rPr>
              <w:t>n.d</w:t>
            </w:r>
            <w:proofErr w:type="spellEnd"/>
            <w:r w:rsidRPr="00CD000E">
              <w:rPr>
                <w:rFonts w:eastAsia="Batang"/>
                <w:color w:val="000000"/>
                <w:sz w:val="16"/>
                <w:szCs w:val="16"/>
                <w:lang w:eastAsia="ja-JP"/>
              </w:rPr>
              <w:t xml:space="preserve">. </w:t>
            </w:r>
          </w:p>
        </w:tc>
        <w:tc>
          <w:tcPr>
            <w:tcW w:w="1217" w:type="pct"/>
            <w:gridSpan w:val="2"/>
            <w:shd w:val="clear" w:color="auto" w:fill="auto"/>
            <w:tcMar>
              <w:top w:w="110" w:type="dxa"/>
              <w:left w:w="58" w:type="dxa"/>
              <w:right w:w="58" w:type="dxa"/>
            </w:tcMar>
          </w:tcPr>
          <w:p w14:paraId="247CC6A8" w14:textId="77777777" w:rsidR="00F96912" w:rsidRPr="00CD000E" w:rsidRDefault="00F96912" w:rsidP="006658D5">
            <w:pPr>
              <w:autoSpaceDE w:val="0"/>
              <w:autoSpaceDN w:val="0"/>
              <w:adjustRightInd w:val="0"/>
              <w:rPr>
                <w:rFonts w:eastAsia="Batang"/>
                <w:color w:val="000000"/>
                <w:sz w:val="16"/>
                <w:szCs w:val="16"/>
                <w:lang w:eastAsia="ja-JP"/>
              </w:rPr>
            </w:pPr>
            <w:r w:rsidRPr="00CD000E">
              <w:rPr>
                <w:rFonts w:eastAsia="Batang"/>
                <w:sz w:val="16"/>
                <w:szCs w:val="16"/>
                <w:lang w:eastAsia="ja-JP"/>
              </w:rPr>
              <w:t>Au moins 70% des personnes interrogées</w:t>
            </w:r>
            <w:r w:rsidRPr="00CD000E">
              <w:rPr>
                <w:rFonts w:eastAsia="Batang"/>
                <w:color w:val="000000"/>
                <w:sz w:val="16"/>
                <w:szCs w:val="16"/>
                <w:lang w:eastAsia="ja-JP"/>
              </w:rPr>
              <w:t xml:space="preserve"> </w:t>
            </w:r>
          </w:p>
        </w:tc>
        <w:tc>
          <w:tcPr>
            <w:tcW w:w="812" w:type="pct"/>
            <w:shd w:val="clear" w:color="auto" w:fill="FFFFFF"/>
            <w:tcMar>
              <w:top w:w="110" w:type="dxa"/>
              <w:left w:w="58" w:type="dxa"/>
              <w:right w:w="58" w:type="dxa"/>
            </w:tcMar>
          </w:tcPr>
          <w:p w14:paraId="61DDD65F" w14:textId="77777777" w:rsidR="00F96912" w:rsidRPr="00CD000E" w:rsidRDefault="00F96912" w:rsidP="006658D5">
            <w:pPr>
              <w:rPr>
                <w:color w:val="000000"/>
                <w:sz w:val="16"/>
                <w:szCs w:val="16"/>
              </w:rPr>
            </w:pPr>
            <w:r>
              <w:rPr>
                <w:color w:val="000000"/>
                <w:sz w:val="16"/>
                <w:szCs w:val="16"/>
              </w:rPr>
              <w:t>67%</w:t>
            </w:r>
          </w:p>
        </w:tc>
        <w:tc>
          <w:tcPr>
            <w:tcW w:w="744" w:type="pct"/>
            <w:gridSpan w:val="2"/>
            <w:shd w:val="clear" w:color="auto" w:fill="auto"/>
            <w:tcMar>
              <w:top w:w="110" w:type="dxa"/>
              <w:left w:w="58" w:type="dxa"/>
              <w:right w:w="58" w:type="dxa"/>
            </w:tcMar>
          </w:tcPr>
          <w:p w14:paraId="1675F552" w14:textId="77777777" w:rsidR="00F96912" w:rsidRPr="00CD000E" w:rsidRDefault="00F96912" w:rsidP="006658D5">
            <w:pPr>
              <w:ind w:right="-58"/>
              <w:jc w:val="center"/>
              <w:rPr>
                <w:b/>
                <w:color w:val="000000"/>
                <w:sz w:val="16"/>
                <w:szCs w:val="16"/>
              </w:rPr>
            </w:pPr>
            <w:r w:rsidRPr="00CD000E">
              <w:rPr>
                <w:b/>
                <w:color w:val="00B050"/>
                <w:sz w:val="16"/>
                <w:szCs w:val="16"/>
              </w:rPr>
              <w:t>En bonne voie</w:t>
            </w:r>
            <w:r w:rsidRPr="00CD000E" w:rsidDel="00CD6861">
              <w:rPr>
                <w:b/>
                <w:color w:val="FF0000"/>
                <w:sz w:val="16"/>
                <w:szCs w:val="16"/>
              </w:rPr>
              <w:t xml:space="preserve"> </w:t>
            </w:r>
          </w:p>
        </w:tc>
      </w:tr>
      <w:tr w:rsidR="00F96912" w:rsidRPr="00CD000E" w14:paraId="3DB88A93" w14:textId="77777777" w:rsidTr="006658D5">
        <w:tc>
          <w:tcPr>
            <w:tcW w:w="5000" w:type="pct"/>
            <w:gridSpan w:val="7"/>
            <w:shd w:val="clear" w:color="auto" w:fill="C6D9F1" w:themeFill="text2" w:themeFillTint="33"/>
            <w:tcMar>
              <w:left w:w="58" w:type="dxa"/>
              <w:right w:w="58" w:type="dxa"/>
            </w:tcMar>
            <w:vAlign w:val="center"/>
          </w:tcPr>
          <w:p w14:paraId="304AB96E" w14:textId="77777777" w:rsidR="00F96912" w:rsidRPr="00CD000E" w:rsidRDefault="00F96912" w:rsidP="006658D5">
            <w:pPr>
              <w:keepNext/>
              <w:keepLines/>
              <w:tabs>
                <w:tab w:val="left" w:pos="1452"/>
              </w:tabs>
              <w:rPr>
                <w:b/>
                <w:bCs/>
                <w:sz w:val="16"/>
                <w:szCs w:val="16"/>
              </w:rPr>
            </w:pPr>
            <w:r w:rsidRPr="00CD000E">
              <w:rPr>
                <w:b/>
                <w:bCs/>
                <w:color w:val="000000"/>
                <w:sz w:val="16"/>
                <w:szCs w:val="16"/>
              </w:rPr>
              <w:t>Résultat escompté :</w:t>
            </w:r>
            <w:r w:rsidRPr="00CD000E">
              <w:rPr>
                <w:bCs/>
                <w:color w:val="000000"/>
                <w:sz w:val="16"/>
                <w:szCs w:val="16"/>
              </w:rPr>
              <w:t xml:space="preserve"> </w:t>
            </w:r>
            <w:r w:rsidRPr="00CD000E">
              <w:rPr>
                <w:bCs/>
                <w:sz w:val="16"/>
                <w:szCs w:val="16"/>
              </w:rPr>
              <w:t>VII.2</w:t>
            </w:r>
            <w:r w:rsidRPr="00CD000E">
              <w:rPr>
                <w:bCs/>
                <w:color w:val="000000"/>
                <w:sz w:val="16"/>
                <w:szCs w:val="16"/>
              </w:rPr>
              <w:t xml:space="preserve"> </w:t>
            </w:r>
            <w:r w:rsidRPr="00CD000E">
              <w:rPr>
                <w:bCs/>
                <w:sz w:val="16"/>
                <w:szCs w:val="16"/>
              </w:rPr>
              <w:t>Plateformes et instruments fondés sur la propriété intellectuelle pour le transfert de connaissances et l’adaptation et la diffusion de la technologie entre les pays développés et les pays en développement, notamment les PMA, pour relever des défis mondiaux</w:t>
            </w:r>
          </w:p>
        </w:tc>
      </w:tr>
      <w:tr w:rsidR="00F96912" w:rsidRPr="00CD000E" w14:paraId="2AE1E5CE" w14:textId="77777777" w:rsidTr="005A435C">
        <w:tc>
          <w:tcPr>
            <w:tcW w:w="1113" w:type="pct"/>
            <w:shd w:val="clear" w:color="auto" w:fill="auto"/>
            <w:tcMar>
              <w:top w:w="57" w:type="dxa"/>
              <w:left w:w="58" w:type="dxa"/>
              <w:right w:w="58" w:type="dxa"/>
            </w:tcMar>
            <w:vAlign w:val="center"/>
          </w:tcPr>
          <w:p w14:paraId="6BA90C88" w14:textId="77777777" w:rsidR="00F96912" w:rsidRPr="00CD000E" w:rsidRDefault="00F96912" w:rsidP="006658D5">
            <w:pPr>
              <w:keepNext/>
              <w:keepLines/>
              <w:jc w:val="center"/>
              <w:rPr>
                <w:b/>
                <w:bCs/>
                <w:sz w:val="16"/>
                <w:szCs w:val="16"/>
              </w:rPr>
            </w:pPr>
            <w:r w:rsidRPr="00CD000E">
              <w:rPr>
                <w:b/>
                <w:bCs/>
                <w:sz w:val="16"/>
                <w:szCs w:val="16"/>
              </w:rPr>
              <w:t>Indicateurs d’exécution</w:t>
            </w:r>
          </w:p>
        </w:tc>
        <w:tc>
          <w:tcPr>
            <w:tcW w:w="1114" w:type="pct"/>
            <w:shd w:val="clear" w:color="auto" w:fill="auto"/>
            <w:tcMar>
              <w:top w:w="57" w:type="dxa"/>
              <w:left w:w="58" w:type="dxa"/>
              <w:right w:w="58" w:type="dxa"/>
            </w:tcMar>
            <w:vAlign w:val="center"/>
          </w:tcPr>
          <w:p w14:paraId="4F52A329" w14:textId="77777777" w:rsidR="00F96912" w:rsidRPr="00CD000E" w:rsidRDefault="00F96912" w:rsidP="006658D5">
            <w:pPr>
              <w:keepNext/>
              <w:keepLines/>
              <w:jc w:val="center"/>
              <w:rPr>
                <w:b/>
                <w:bCs/>
                <w:sz w:val="16"/>
                <w:szCs w:val="16"/>
              </w:rPr>
            </w:pPr>
            <w:r w:rsidRPr="00CD000E">
              <w:rPr>
                <w:b/>
                <w:bCs/>
                <w:sz w:val="16"/>
                <w:szCs w:val="16"/>
              </w:rPr>
              <w:t>Niveaux de référence</w:t>
            </w:r>
          </w:p>
        </w:tc>
        <w:tc>
          <w:tcPr>
            <w:tcW w:w="1217" w:type="pct"/>
            <w:gridSpan w:val="2"/>
            <w:shd w:val="clear" w:color="auto" w:fill="auto"/>
            <w:tcMar>
              <w:top w:w="57" w:type="dxa"/>
              <w:left w:w="58" w:type="dxa"/>
              <w:right w:w="58" w:type="dxa"/>
            </w:tcMar>
            <w:vAlign w:val="center"/>
          </w:tcPr>
          <w:p w14:paraId="304A28FF" w14:textId="77777777" w:rsidR="00F96912" w:rsidRPr="00CD000E" w:rsidRDefault="00F96912" w:rsidP="006658D5">
            <w:pPr>
              <w:keepNext/>
              <w:keepLines/>
              <w:jc w:val="center"/>
              <w:rPr>
                <w:b/>
                <w:bCs/>
                <w:sz w:val="16"/>
                <w:szCs w:val="16"/>
              </w:rPr>
            </w:pPr>
            <w:r w:rsidRPr="00CD000E">
              <w:rPr>
                <w:b/>
                <w:bCs/>
                <w:sz w:val="16"/>
                <w:szCs w:val="16"/>
              </w:rPr>
              <w:t>Objectifs visés</w:t>
            </w:r>
          </w:p>
        </w:tc>
        <w:tc>
          <w:tcPr>
            <w:tcW w:w="812" w:type="pct"/>
            <w:shd w:val="clear" w:color="auto" w:fill="FFFFFF"/>
            <w:tcMar>
              <w:top w:w="57" w:type="dxa"/>
              <w:left w:w="58" w:type="dxa"/>
              <w:right w:w="58" w:type="dxa"/>
            </w:tcMar>
            <w:vAlign w:val="center"/>
          </w:tcPr>
          <w:p w14:paraId="281394F5" w14:textId="77777777" w:rsidR="00F96912" w:rsidRPr="00CD000E" w:rsidRDefault="00F96912" w:rsidP="006658D5">
            <w:pPr>
              <w:keepNext/>
              <w:keepLines/>
              <w:jc w:val="center"/>
              <w:rPr>
                <w:b/>
                <w:bCs/>
                <w:sz w:val="16"/>
                <w:szCs w:val="16"/>
              </w:rPr>
            </w:pPr>
            <w:r w:rsidRPr="00CD000E">
              <w:rPr>
                <w:b/>
                <w:bCs/>
                <w:sz w:val="16"/>
                <w:szCs w:val="16"/>
              </w:rPr>
              <w:t>Données relatives à l’exécution</w:t>
            </w:r>
          </w:p>
        </w:tc>
        <w:tc>
          <w:tcPr>
            <w:tcW w:w="744" w:type="pct"/>
            <w:gridSpan w:val="2"/>
            <w:shd w:val="clear" w:color="auto" w:fill="auto"/>
            <w:tcMar>
              <w:top w:w="57" w:type="dxa"/>
              <w:left w:w="58" w:type="dxa"/>
              <w:right w:w="58" w:type="dxa"/>
            </w:tcMar>
            <w:vAlign w:val="center"/>
          </w:tcPr>
          <w:p w14:paraId="12463813" w14:textId="77777777" w:rsidR="00F96912" w:rsidRPr="00CD000E" w:rsidRDefault="00F96912" w:rsidP="006658D5">
            <w:pPr>
              <w:keepNext/>
              <w:keepLines/>
              <w:ind w:right="-58"/>
              <w:jc w:val="center"/>
              <w:rPr>
                <w:b/>
                <w:bCs/>
                <w:sz w:val="16"/>
                <w:szCs w:val="16"/>
              </w:rPr>
            </w:pPr>
            <w:r w:rsidRPr="00CD000E">
              <w:rPr>
                <w:b/>
                <w:bCs/>
                <w:sz w:val="16"/>
                <w:szCs w:val="16"/>
              </w:rPr>
              <w:t>Code d’évaluation</w:t>
            </w:r>
          </w:p>
        </w:tc>
      </w:tr>
      <w:tr w:rsidR="00F96912" w:rsidRPr="00CD000E" w14:paraId="26C00EA2" w14:textId="77777777" w:rsidTr="005A435C">
        <w:tc>
          <w:tcPr>
            <w:tcW w:w="1113" w:type="pct"/>
            <w:shd w:val="clear" w:color="auto" w:fill="auto"/>
            <w:tcMar>
              <w:top w:w="57" w:type="dxa"/>
              <w:left w:w="58" w:type="dxa"/>
              <w:right w:w="58" w:type="dxa"/>
            </w:tcMar>
          </w:tcPr>
          <w:p w14:paraId="3739CC74" w14:textId="77777777" w:rsidR="00F96912" w:rsidRPr="00CD000E" w:rsidRDefault="00F96912" w:rsidP="006658D5">
            <w:pPr>
              <w:keepNext/>
              <w:keepLines/>
              <w:autoSpaceDE w:val="0"/>
              <w:autoSpaceDN w:val="0"/>
              <w:adjustRightInd w:val="0"/>
              <w:rPr>
                <w:rFonts w:eastAsia="Batang"/>
                <w:color w:val="000000"/>
                <w:sz w:val="16"/>
                <w:szCs w:val="16"/>
                <w:lang w:eastAsia="ja-JP"/>
              </w:rPr>
            </w:pPr>
            <w:r w:rsidRPr="00CD000E">
              <w:rPr>
                <w:rFonts w:eastAsia="Batang"/>
                <w:sz w:val="16"/>
                <w:szCs w:val="16"/>
                <w:lang w:eastAsia="ja-JP"/>
              </w:rPr>
              <w:t xml:space="preserve">Augmentation du nombre de participants à WIPO </w:t>
            </w:r>
            <w:proofErr w:type="spellStart"/>
            <w:r w:rsidRPr="00CD000E">
              <w:rPr>
                <w:rFonts w:eastAsia="Batang"/>
                <w:sz w:val="16"/>
                <w:szCs w:val="16"/>
                <w:lang w:eastAsia="ja-JP"/>
              </w:rPr>
              <w:t>Re:Search</w:t>
            </w:r>
            <w:proofErr w:type="spellEnd"/>
            <w:r w:rsidRPr="00CD000E">
              <w:rPr>
                <w:rFonts w:eastAsia="Batang"/>
                <w:sz w:val="16"/>
                <w:szCs w:val="16"/>
                <w:lang w:eastAsia="ja-JP"/>
              </w:rPr>
              <w:t>, y compris dans les pays en développement et les PMA</w:t>
            </w:r>
          </w:p>
        </w:tc>
        <w:tc>
          <w:tcPr>
            <w:tcW w:w="1114" w:type="pct"/>
            <w:shd w:val="clear" w:color="auto" w:fill="auto"/>
            <w:tcMar>
              <w:top w:w="57" w:type="dxa"/>
              <w:left w:w="58" w:type="dxa"/>
              <w:right w:w="58" w:type="dxa"/>
            </w:tcMar>
          </w:tcPr>
          <w:p w14:paraId="3F6555F5" w14:textId="77777777" w:rsidR="00F96912" w:rsidRPr="00CD000E" w:rsidRDefault="00F96912" w:rsidP="006658D5">
            <w:pPr>
              <w:keepNext/>
              <w:keepLines/>
              <w:rPr>
                <w:i/>
                <w:color w:val="002060"/>
                <w:sz w:val="16"/>
                <w:szCs w:val="16"/>
              </w:rPr>
            </w:pPr>
            <w:r w:rsidRPr="00CD000E">
              <w:rPr>
                <w:i/>
                <w:color w:val="002060"/>
                <w:sz w:val="16"/>
                <w:szCs w:val="16"/>
              </w:rPr>
              <w:t xml:space="preserve">Niveau de référence actualisé à fin 2015 : </w:t>
            </w:r>
            <w:r w:rsidRPr="00CD000E">
              <w:rPr>
                <w:color w:val="002060"/>
                <w:sz w:val="16"/>
                <w:szCs w:val="16"/>
              </w:rPr>
              <w:br/>
              <w:t>100 membres au total (dont 36</w:t>
            </w:r>
            <w:r w:rsidRPr="00CD000E">
              <w:rPr>
                <w:rStyle w:val="FootnoteReference"/>
                <w:rFonts w:cs="Arial"/>
                <w:color w:val="002060"/>
              </w:rPr>
              <w:footnoteReference w:id="76"/>
            </w:r>
            <w:r w:rsidRPr="00CD000E">
              <w:rPr>
                <w:color w:val="002060"/>
                <w:sz w:val="16"/>
                <w:szCs w:val="16"/>
              </w:rPr>
              <w:t xml:space="preserve"> de pays en développement ou de PMA)</w:t>
            </w:r>
          </w:p>
          <w:p w14:paraId="2D9F6D59" w14:textId="77777777" w:rsidR="00F96912" w:rsidRPr="00CD000E" w:rsidRDefault="00F96912" w:rsidP="006658D5">
            <w:pPr>
              <w:keepNext/>
              <w:keepLines/>
              <w:rPr>
                <w:color w:val="000000" w:themeColor="text1"/>
                <w:sz w:val="16"/>
                <w:szCs w:val="16"/>
              </w:rPr>
            </w:pPr>
          </w:p>
          <w:p w14:paraId="5832C4E6" w14:textId="77777777" w:rsidR="00F96912" w:rsidRPr="00CD000E" w:rsidRDefault="00F96912" w:rsidP="006658D5">
            <w:pPr>
              <w:keepNext/>
              <w:keepLines/>
              <w:autoSpaceDE w:val="0"/>
              <w:autoSpaceDN w:val="0"/>
              <w:adjustRightInd w:val="0"/>
              <w:rPr>
                <w:rFonts w:eastAsia="Batang"/>
                <w:i/>
                <w:color w:val="000000"/>
                <w:sz w:val="16"/>
                <w:szCs w:val="16"/>
                <w:lang w:eastAsia="ja-JP" w:bidi="th-TH"/>
              </w:rPr>
            </w:pPr>
            <w:r w:rsidRPr="00CD000E">
              <w:rPr>
                <w:rFonts w:eastAsia="Batang"/>
                <w:i/>
                <w:color w:val="000000"/>
                <w:sz w:val="16"/>
                <w:szCs w:val="16"/>
                <w:lang w:eastAsia="ja-JP" w:bidi="th-TH"/>
              </w:rPr>
              <w:t>Niveau de référence initial dans le programme et budget 2016</w:t>
            </w:r>
            <w:r>
              <w:rPr>
                <w:rFonts w:eastAsia="Batang"/>
                <w:i/>
                <w:color w:val="000000"/>
                <w:sz w:val="16"/>
                <w:szCs w:val="16"/>
                <w:lang w:eastAsia="ja-JP" w:bidi="th-TH"/>
              </w:rPr>
              <w:noBreakHyphen/>
            </w:r>
            <w:r w:rsidRPr="00CD000E">
              <w:rPr>
                <w:rFonts w:eastAsia="Batang"/>
                <w:i/>
                <w:color w:val="000000"/>
                <w:sz w:val="16"/>
                <w:szCs w:val="16"/>
                <w:lang w:eastAsia="ja-JP" w:bidi="th-TH"/>
              </w:rPr>
              <w:t>2017 :</w:t>
            </w:r>
          </w:p>
          <w:p w14:paraId="2EB89607" w14:textId="77777777" w:rsidR="00F96912" w:rsidRPr="00CD000E" w:rsidRDefault="00F96912" w:rsidP="006658D5">
            <w:pPr>
              <w:keepNext/>
              <w:keepLines/>
              <w:autoSpaceDE w:val="0"/>
              <w:autoSpaceDN w:val="0"/>
              <w:adjustRightInd w:val="0"/>
              <w:rPr>
                <w:rFonts w:eastAsia="Batang"/>
                <w:color w:val="000000"/>
                <w:sz w:val="16"/>
                <w:szCs w:val="16"/>
                <w:lang w:eastAsia="ja-JP"/>
              </w:rPr>
            </w:pPr>
            <w:r w:rsidRPr="00CD000E">
              <w:rPr>
                <w:rFonts w:eastAsia="Batang"/>
                <w:sz w:val="16"/>
                <w:szCs w:val="16"/>
                <w:lang w:eastAsia="ja-JP"/>
              </w:rPr>
              <w:t>96 membres dont 27 de pays en développement</w:t>
            </w:r>
          </w:p>
          <w:p w14:paraId="7A6068A6" w14:textId="77777777" w:rsidR="00F96912" w:rsidRPr="00CD000E" w:rsidRDefault="00F96912" w:rsidP="006658D5">
            <w:pPr>
              <w:keepNext/>
              <w:keepLines/>
              <w:autoSpaceDE w:val="0"/>
              <w:autoSpaceDN w:val="0"/>
              <w:adjustRightInd w:val="0"/>
              <w:rPr>
                <w:rFonts w:eastAsia="Batang"/>
                <w:color w:val="000000"/>
                <w:sz w:val="16"/>
                <w:szCs w:val="16"/>
                <w:lang w:eastAsia="ja-JP"/>
              </w:rPr>
            </w:pPr>
            <w:r w:rsidRPr="00CD000E">
              <w:rPr>
                <w:rFonts w:eastAsia="Batang"/>
                <w:color w:val="000000"/>
                <w:sz w:val="16"/>
                <w:szCs w:val="16"/>
                <w:lang w:eastAsia="ja-JP"/>
              </w:rPr>
              <w:t>(à la fin décembre 2014)</w:t>
            </w:r>
          </w:p>
        </w:tc>
        <w:tc>
          <w:tcPr>
            <w:tcW w:w="1217" w:type="pct"/>
            <w:gridSpan w:val="2"/>
            <w:shd w:val="clear" w:color="auto" w:fill="auto"/>
            <w:tcMar>
              <w:top w:w="57" w:type="dxa"/>
              <w:left w:w="58" w:type="dxa"/>
              <w:right w:w="58" w:type="dxa"/>
            </w:tcMar>
          </w:tcPr>
          <w:p w14:paraId="5F9BADE6" w14:textId="77777777" w:rsidR="00F96912" w:rsidRPr="00CD000E" w:rsidRDefault="00F96912" w:rsidP="006658D5">
            <w:pPr>
              <w:keepNext/>
              <w:keepLines/>
              <w:rPr>
                <w:color w:val="000000"/>
                <w:sz w:val="16"/>
                <w:szCs w:val="16"/>
              </w:rPr>
            </w:pPr>
            <w:r w:rsidRPr="00CD000E">
              <w:rPr>
                <w:color w:val="000000"/>
                <w:sz w:val="16"/>
                <w:szCs w:val="16"/>
              </w:rPr>
              <w:t>8 nouveaux membres, dont 7 de pays en développement</w:t>
            </w:r>
          </w:p>
        </w:tc>
        <w:tc>
          <w:tcPr>
            <w:tcW w:w="812" w:type="pct"/>
            <w:shd w:val="clear" w:color="auto" w:fill="FFFFFF"/>
            <w:tcMar>
              <w:top w:w="57" w:type="dxa"/>
              <w:left w:w="58" w:type="dxa"/>
              <w:right w:w="58" w:type="dxa"/>
            </w:tcMar>
          </w:tcPr>
          <w:p w14:paraId="726B4BA9" w14:textId="77777777" w:rsidR="00F96912" w:rsidRPr="00CD000E" w:rsidRDefault="00F96912" w:rsidP="006658D5">
            <w:pPr>
              <w:keepNext/>
              <w:keepLines/>
              <w:rPr>
                <w:color w:val="000000"/>
                <w:sz w:val="16"/>
                <w:szCs w:val="16"/>
              </w:rPr>
            </w:pPr>
            <w:r w:rsidRPr="00CD000E">
              <w:rPr>
                <w:color w:val="000000"/>
                <w:sz w:val="16"/>
                <w:szCs w:val="16"/>
              </w:rPr>
              <w:t>8 nouveaux membres, dont 5 de pays en développement (</w:t>
            </w:r>
            <w:r w:rsidRPr="00CD000E">
              <w:rPr>
                <w:sz w:val="16"/>
                <w:szCs w:val="16"/>
              </w:rPr>
              <w:t xml:space="preserve">108 membres </w:t>
            </w:r>
            <w:r w:rsidRPr="00CD000E">
              <w:rPr>
                <w:color w:val="000000"/>
                <w:sz w:val="16"/>
                <w:szCs w:val="16"/>
              </w:rPr>
              <w:t xml:space="preserve">au total, </w:t>
            </w:r>
            <w:r w:rsidRPr="00CD000E">
              <w:rPr>
                <w:sz w:val="16"/>
                <w:szCs w:val="16"/>
              </w:rPr>
              <w:t>dont 41 de pays en développement ou de PMA)</w:t>
            </w:r>
          </w:p>
        </w:tc>
        <w:tc>
          <w:tcPr>
            <w:tcW w:w="744" w:type="pct"/>
            <w:gridSpan w:val="2"/>
            <w:shd w:val="clear" w:color="auto" w:fill="auto"/>
            <w:tcMar>
              <w:top w:w="57" w:type="dxa"/>
              <w:left w:w="58" w:type="dxa"/>
              <w:right w:w="58" w:type="dxa"/>
            </w:tcMar>
          </w:tcPr>
          <w:p w14:paraId="19427CF2" w14:textId="77777777" w:rsidR="00F96912" w:rsidRPr="00CD000E" w:rsidRDefault="00F96912" w:rsidP="006658D5">
            <w:pPr>
              <w:keepNext/>
              <w:keepLines/>
              <w:ind w:right="-58"/>
              <w:jc w:val="center"/>
              <w:rPr>
                <w:b/>
                <w:color w:val="000000"/>
                <w:sz w:val="16"/>
                <w:szCs w:val="16"/>
              </w:rPr>
            </w:pPr>
            <w:r w:rsidRPr="00CD000E">
              <w:rPr>
                <w:b/>
                <w:color w:val="00B050"/>
                <w:sz w:val="16"/>
                <w:szCs w:val="16"/>
              </w:rPr>
              <w:t>En bonne voie</w:t>
            </w:r>
          </w:p>
        </w:tc>
      </w:tr>
      <w:tr w:rsidR="00F96912" w:rsidRPr="00CD000E" w14:paraId="64E70C48" w14:textId="77777777" w:rsidTr="005A435C">
        <w:tc>
          <w:tcPr>
            <w:tcW w:w="1113" w:type="pct"/>
            <w:shd w:val="clear" w:color="auto" w:fill="auto"/>
            <w:tcMar>
              <w:top w:w="57" w:type="dxa"/>
              <w:left w:w="58" w:type="dxa"/>
              <w:right w:w="58" w:type="dxa"/>
            </w:tcMar>
          </w:tcPr>
          <w:p w14:paraId="30FE119A" w14:textId="77777777" w:rsidR="00F96912" w:rsidRPr="00CD000E" w:rsidRDefault="00F96912" w:rsidP="006658D5">
            <w:pPr>
              <w:ind w:right="176"/>
              <w:rPr>
                <w:color w:val="000000"/>
                <w:sz w:val="16"/>
                <w:szCs w:val="16"/>
              </w:rPr>
            </w:pPr>
            <w:r w:rsidRPr="00CD000E">
              <w:rPr>
                <w:sz w:val="16"/>
                <w:szCs w:val="16"/>
              </w:rPr>
              <w:t xml:space="preserve">Nombre de données dans la base WIPO </w:t>
            </w:r>
            <w:proofErr w:type="spellStart"/>
            <w:r w:rsidRPr="00CD000E">
              <w:rPr>
                <w:color w:val="000000"/>
                <w:sz w:val="16"/>
                <w:szCs w:val="16"/>
              </w:rPr>
              <w:t>Re:Search</w:t>
            </w:r>
            <w:proofErr w:type="spellEnd"/>
          </w:p>
        </w:tc>
        <w:tc>
          <w:tcPr>
            <w:tcW w:w="1114" w:type="pct"/>
            <w:shd w:val="clear" w:color="auto" w:fill="auto"/>
            <w:tcMar>
              <w:top w:w="57" w:type="dxa"/>
              <w:left w:w="58" w:type="dxa"/>
              <w:right w:w="58" w:type="dxa"/>
            </w:tcMar>
          </w:tcPr>
          <w:p w14:paraId="1DF615FE"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04B66AF9" w14:textId="77777777" w:rsidR="00F96912" w:rsidRPr="00CD000E" w:rsidRDefault="00F96912" w:rsidP="006658D5">
            <w:pPr>
              <w:rPr>
                <w:color w:val="002060"/>
                <w:sz w:val="16"/>
                <w:szCs w:val="16"/>
              </w:rPr>
            </w:pPr>
            <w:r w:rsidRPr="00CD000E">
              <w:rPr>
                <w:sz w:val="16"/>
                <w:szCs w:val="16"/>
              </w:rPr>
              <w:t>193 données dans la base de données</w:t>
            </w:r>
          </w:p>
          <w:p w14:paraId="653280B0" w14:textId="77777777" w:rsidR="00F96912" w:rsidRPr="00CD000E" w:rsidRDefault="00F96912" w:rsidP="006658D5">
            <w:pPr>
              <w:rPr>
                <w:color w:val="000000"/>
                <w:sz w:val="16"/>
                <w:szCs w:val="16"/>
              </w:rPr>
            </w:pPr>
          </w:p>
          <w:p w14:paraId="5D7FBC8C" w14:textId="77777777" w:rsidR="00F96912" w:rsidRPr="00CD000E" w:rsidRDefault="00F96912" w:rsidP="006658D5">
            <w:pPr>
              <w:autoSpaceDE w:val="0"/>
              <w:autoSpaceDN w:val="0"/>
              <w:adjustRightInd w:val="0"/>
              <w:rPr>
                <w:rFonts w:eastAsia="Batang"/>
                <w:i/>
                <w:color w:val="000000"/>
                <w:sz w:val="16"/>
                <w:szCs w:val="16"/>
                <w:lang w:eastAsia="ja-JP" w:bidi="th-TH"/>
              </w:rPr>
            </w:pPr>
            <w:r w:rsidRPr="00CD000E">
              <w:rPr>
                <w:rFonts w:eastAsia="Batang"/>
                <w:i/>
                <w:color w:val="000000"/>
                <w:sz w:val="16"/>
                <w:szCs w:val="16"/>
                <w:lang w:eastAsia="ja-JP" w:bidi="th-TH"/>
              </w:rPr>
              <w:t>Niveau de référence initial dans le programme et budget 2016</w:t>
            </w:r>
            <w:r>
              <w:rPr>
                <w:rFonts w:eastAsia="Batang"/>
                <w:i/>
                <w:color w:val="000000"/>
                <w:sz w:val="16"/>
                <w:szCs w:val="16"/>
                <w:lang w:eastAsia="ja-JP" w:bidi="th-TH"/>
              </w:rPr>
              <w:noBreakHyphen/>
            </w:r>
            <w:r w:rsidRPr="00CD000E">
              <w:rPr>
                <w:rFonts w:eastAsia="Batang"/>
                <w:i/>
                <w:color w:val="000000"/>
                <w:sz w:val="16"/>
                <w:szCs w:val="16"/>
                <w:lang w:eastAsia="ja-JP" w:bidi="th-TH"/>
              </w:rPr>
              <w:t>2017 :</w:t>
            </w:r>
          </w:p>
          <w:p w14:paraId="0871342F" w14:textId="77777777" w:rsidR="00F96912" w:rsidRPr="00CD000E" w:rsidRDefault="00F96912" w:rsidP="006658D5">
            <w:pPr>
              <w:rPr>
                <w:color w:val="000000"/>
                <w:sz w:val="16"/>
                <w:szCs w:val="16"/>
              </w:rPr>
            </w:pPr>
            <w:r w:rsidRPr="00CD000E">
              <w:rPr>
                <w:sz w:val="16"/>
                <w:szCs w:val="16"/>
              </w:rPr>
              <w:t>186 données dans la base de données</w:t>
            </w:r>
          </w:p>
          <w:p w14:paraId="79EBA312" w14:textId="77777777" w:rsidR="00F96912" w:rsidRPr="00CD000E" w:rsidRDefault="00F96912" w:rsidP="006658D5">
            <w:pPr>
              <w:autoSpaceDE w:val="0"/>
              <w:autoSpaceDN w:val="0"/>
              <w:adjustRightInd w:val="0"/>
              <w:rPr>
                <w:rFonts w:eastAsia="Batang"/>
                <w:color w:val="000000"/>
                <w:sz w:val="16"/>
                <w:szCs w:val="16"/>
                <w:lang w:eastAsia="ja-JP"/>
              </w:rPr>
            </w:pPr>
            <w:r w:rsidRPr="00CD000E">
              <w:rPr>
                <w:rFonts w:eastAsia="Batang"/>
                <w:sz w:val="16"/>
                <w:szCs w:val="16"/>
                <w:lang w:eastAsia="ja-JP"/>
              </w:rPr>
              <w:t>(au 24 avril 2015)</w:t>
            </w:r>
          </w:p>
        </w:tc>
        <w:tc>
          <w:tcPr>
            <w:tcW w:w="1217" w:type="pct"/>
            <w:gridSpan w:val="2"/>
            <w:shd w:val="clear" w:color="auto" w:fill="auto"/>
            <w:tcMar>
              <w:top w:w="57" w:type="dxa"/>
              <w:left w:w="58" w:type="dxa"/>
              <w:right w:w="58" w:type="dxa"/>
            </w:tcMar>
          </w:tcPr>
          <w:p w14:paraId="5FDBEBFD" w14:textId="77777777" w:rsidR="00F96912" w:rsidRPr="00CD000E" w:rsidRDefault="00F96912" w:rsidP="006658D5">
            <w:pPr>
              <w:rPr>
                <w:color w:val="000000"/>
                <w:sz w:val="16"/>
                <w:szCs w:val="16"/>
              </w:rPr>
            </w:pPr>
            <w:r w:rsidRPr="00CD000E">
              <w:rPr>
                <w:color w:val="000000"/>
                <w:sz w:val="16"/>
                <w:szCs w:val="16"/>
              </w:rPr>
              <w:t>300 données au total</w:t>
            </w:r>
          </w:p>
        </w:tc>
        <w:tc>
          <w:tcPr>
            <w:tcW w:w="812" w:type="pct"/>
            <w:shd w:val="clear" w:color="auto" w:fill="FFFFFF"/>
            <w:tcMar>
              <w:top w:w="57" w:type="dxa"/>
              <w:left w:w="58" w:type="dxa"/>
              <w:right w:w="58" w:type="dxa"/>
            </w:tcMar>
          </w:tcPr>
          <w:p w14:paraId="12F92BE5" w14:textId="77777777" w:rsidR="00F96912" w:rsidRPr="00CD000E" w:rsidRDefault="00F96912" w:rsidP="006658D5">
            <w:pPr>
              <w:rPr>
                <w:color w:val="000000"/>
                <w:sz w:val="16"/>
                <w:szCs w:val="16"/>
              </w:rPr>
            </w:pPr>
            <w:r w:rsidRPr="00CD000E">
              <w:rPr>
                <w:sz w:val="16"/>
                <w:szCs w:val="16"/>
              </w:rPr>
              <w:t>Pas de données supplémentaires (193 données au total)</w:t>
            </w:r>
          </w:p>
        </w:tc>
        <w:tc>
          <w:tcPr>
            <w:tcW w:w="744" w:type="pct"/>
            <w:gridSpan w:val="2"/>
            <w:shd w:val="clear" w:color="auto" w:fill="auto"/>
            <w:tcMar>
              <w:top w:w="57" w:type="dxa"/>
              <w:left w:w="58" w:type="dxa"/>
              <w:right w:w="58" w:type="dxa"/>
            </w:tcMar>
          </w:tcPr>
          <w:p w14:paraId="7C15A1A4" w14:textId="77777777" w:rsidR="00F96912" w:rsidRPr="00CD000E" w:rsidRDefault="00F96912" w:rsidP="006658D5">
            <w:pPr>
              <w:ind w:right="-58"/>
              <w:jc w:val="center"/>
              <w:rPr>
                <w:b/>
                <w:color w:val="000000"/>
                <w:sz w:val="16"/>
                <w:szCs w:val="16"/>
              </w:rPr>
            </w:pPr>
            <w:r w:rsidRPr="00CD000E">
              <w:rPr>
                <w:b/>
                <w:color w:val="FF0000"/>
                <w:sz w:val="16"/>
                <w:szCs w:val="16"/>
              </w:rPr>
              <w:t>Pas en bonne voie</w:t>
            </w:r>
          </w:p>
        </w:tc>
      </w:tr>
      <w:tr w:rsidR="00F96912" w:rsidRPr="00CD000E" w14:paraId="25EFD065" w14:textId="77777777" w:rsidTr="005A435C">
        <w:tc>
          <w:tcPr>
            <w:tcW w:w="1113" w:type="pct"/>
            <w:shd w:val="clear" w:color="auto" w:fill="auto"/>
            <w:tcMar>
              <w:top w:w="57" w:type="dxa"/>
              <w:left w:w="58" w:type="dxa"/>
              <w:right w:w="58" w:type="dxa"/>
            </w:tcMar>
          </w:tcPr>
          <w:p w14:paraId="0ECF222A" w14:textId="77777777" w:rsidR="00F96912" w:rsidRPr="00F516E5" w:rsidRDefault="00F96912" w:rsidP="006658D5">
            <w:pPr>
              <w:ind w:right="176"/>
              <w:rPr>
                <w:color w:val="000000"/>
                <w:sz w:val="16"/>
                <w:szCs w:val="16"/>
              </w:rPr>
            </w:pPr>
            <w:r w:rsidRPr="00F516E5">
              <w:rPr>
                <w:sz w:val="16"/>
                <w:szCs w:val="16"/>
              </w:rPr>
              <w:t>Augmentation du nombre d’accords</w:t>
            </w:r>
            <w:r w:rsidRPr="00754EC1">
              <w:rPr>
                <w:spacing w:val="-2"/>
                <w:sz w:val="16"/>
                <w:szCs w:val="16"/>
              </w:rPr>
              <w:t xml:space="preserve"> au titre de WIPO </w:t>
            </w:r>
            <w:proofErr w:type="spellStart"/>
            <w:r w:rsidRPr="00754EC1">
              <w:rPr>
                <w:spacing w:val="-2"/>
                <w:sz w:val="16"/>
                <w:szCs w:val="16"/>
              </w:rPr>
              <w:t>Re:Search</w:t>
            </w:r>
            <w:proofErr w:type="spellEnd"/>
            <w:r w:rsidRPr="00754EC1">
              <w:rPr>
                <w:spacing w:val="-2"/>
                <w:sz w:val="16"/>
                <w:szCs w:val="16"/>
              </w:rPr>
              <w:t xml:space="preserve"> qui mènent à des activités nouvelles ou accélérées de recherche</w:t>
            </w:r>
            <w:r w:rsidRPr="00754EC1">
              <w:rPr>
                <w:spacing w:val="-2"/>
                <w:sz w:val="16"/>
                <w:szCs w:val="16"/>
              </w:rPr>
              <w:noBreakHyphen/>
              <w:t>développe</w:t>
            </w:r>
            <w:r>
              <w:rPr>
                <w:spacing w:val="-2"/>
                <w:sz w:val="16"/>
                <w:szCs w:val="16"/>
              </w:rPr>
              <w:t>-</w:t>
            </w:r>
            <w:r w:rsidRPr="00754EC1">
              <w:rPr>
                <w:spacing w:val="-2"/>
                <w:sz w:val="16"/>
                <w:szCs w:val="16"/>
              </w:rPr>
              <w:t>ment dans le domaine des maladies tropicales négligées</w:t>
            </w:r>
            <w:r w:rsidRPr="00F516E5">
              <w:rPr>
                <w:sz w:val="16"/>
                <w:szCs w:val="16"/>
              </w:rPr>
              <w:t>, du paludisme et de la tuberculose</w:t>
            </w:r>
          </w:p>
        </w:tc>
        <w:tc>
          <w:tcPr>
            <w:tcW w:w="1114" w:type="pct"/>
            <w:shd w:val="clear" w:color="auto" w:fill="auto"/>
            <w:tcMar>
              <w:top w:w="57" w:type="dxa"/>
              <w:left w:w="58" w:type="dxa"/>
              <w:right w:w="58" w:type="dxa"/>
            </w:tcMar>
          </w:tcPr>
          <w:p w14:paraId="3B5E7056" w14:textId="77777777" w:rsidR="00F96912" w:rsidRPr="00F516E5" w:rsidRDefault="00F96912" w:rsidP="006658D5">
            <w:pPr>
              <w:rPr>
                <w:i/>
                <w:color w:val="002060"/>
                <w:sz w:val="16"/>
                <w:szCs w:val="16"/>
              </w:rPr>
            </w:pPr>
            <w:r w:rsidRPr="00F516E5">
              <w:rPr>
                <w:i/>
                <w:color w:val="002060"/>
                <w:sz w:val="16"/>
                <w:szCs w:val="16"/>
              </w:rPr>
              <w:t>Niveau de référence actualisé à fin 2015 :</w:t>
            </w:r>
          </w:p>
          <w:p w14:paraId="31086D3B" w14:textId="77777777" w:rsidR="00F96912" w:rsidRPr="00F516E5" w:rsidRDefault="00F96912" w:rsidP="006658D5">
            <w:pPr>
              <w:rPr>
                <w:color w:val="002060"/>
                <w:sz w:val="16"/>
                <w:szCs w:val="16"/>
              </w:rPr>
            </w:pPr>
            <w:r w:rsidRPr="00F516E5">
              <w:rPr>
                <w:color w:val="002060"/>
                <w:sz w:val="16"/>
                <w:szCs w:val="16"/>
              </w:rPr>
              <w:t>96 accords au total</w:t>
            </w:r>
          </w:p>
          <w:p w14:paraId="2B53500B" w14:textId="77777777" w:rsidR="00F96912" w:rsidRPr="00F516E5" w:rsidRDefault="00F96912" w:rsidP="006658D5">
            <w:pPr>
              <w:rPr>
                <w:color w:val="000000"/>
                <w:sz w:val="16"/>
                <w:szCs w:val="16"/>
              </w:rPr>
            </w:pPr>
          </w:p>
          <w:p w14:paraId="36328725" w14:textId="77777777" w:rsidR="00F96912" w:rsidRPr="00F516E5" w:rsidRDefault="00F96912" w:rsidP="006658D5">
            <w:pPr>
              <w:autoSpaceDE w:val="0"/>
              <w:autoSpaceDN w:val="0"/>
              <w:adjustRightInd w:val="0"/>
              <w:rPr>
                <w:rFonts w:eastAsia="Batang"/>
                <w:i/>
                <w:color w:val="000000"/>
                <w:sz w:val="16"/>
                <w:szCs w:val="16"/>
                <w:lang w:eastAsia="ja-JP" w:bidi="th-TH"/>
              </w:rPr>
            </w:pPr>
            <w:r w:rsidRPr="00F516E5">
              <w:rPr>
                <w:rFonts w:eastAsia="Batang"/>
                <w:i/>
                <w:color w:val="000000"/>
                <w:sz w:val="16"/>
                <w:szCs w:val="16"/>
                <w:lang w:eastAsia="ja-JP" w:bidi="th-TH"/>
              </w:rPr>
              <w:t>Niveau de référence initial dans le programme et budget 2016</w:t>
            </w:r>
            <w:r w:rsidRPr="00F516E5">
              <w:rPr>
                <w:rFonts w:eastAsia="Batang"/>
                <w:i/>
                <w:color w:val="000000"/>
                <w:sz w:val="16"/>
                <w:szCs w:val="16"/>
                <w:lang w:eastAsia="ja-JP" w:bidi="th-TH"/>
              </w:rPr>
              <w:noBreakHyphen/>
              <w:t>2017 :</w:t>
            </w:r>
          </w:p>
          <w:p w14:paraId="4B77656A" w14:textId="77777777" w:rsidR="00F96912" w:rsidRPr="00F516E5" w:rsidRDefault="00F96912" w:rsidP="006658D5">
            <w:pPr>
              <w:rPr>
                <w:rFonts w:eastAsia="Batang"/>
                <w:color w:val="000000"/>
                <w:sz w:val="16"/>
                <w:szCs w:val="16"/>
                <w:lang w:eastAsia="ja-JP"/>
              </w:rPr>
            </w:pPr>
            <w:r w:rsidRPr="00F516E5">
              <w:rPr>
                <w:sz w:val="16"/>
                <w:szCs w:val="16"/>
              </w:rPr>
              <w:t>90 accords</w:t>
            </w:r>
            <w:r w:rsidRPr="00F516E5">
              <w:rPr>
                <w:color w:val="000000"/>
                <w:sz w:val="16"/>
                <w:szCs w:val="16"/>
              </w:rPr>
              <w:t xml:space="preserve"> </w:t>
            </w:r>
            <w:r w:rsidRPr="00F516E5">
              <w:rPr>
                <w:rFonts w:eastAsia="Batang"/>
                <w:sz w:val="16"/>
                <w:szCs w:val="16"/>
                <w:lang w:eastAsia="ja-JP"/>
              </w:rPr>
              <w:t>(au 9 avril 2015)</w:t>
            </w:r>
          </w:p>
        </w:tc>
        <w:tc>
          <w:tcPr>
            <w:tcW w:w="1217" w:type="pct"/>
            <w:gridSpan w:val="2"/>
            <w:shd w:val="clear" w:color="auto" w:fill="auto"/>
            <w:tcMar>
              <w:top w:w="57" w:type="dxa"/>
              <w:left w:w="58" w:type="dxa"/>
              <w:right w:w="58" w:type="dxa"/>
            </w:tcMar>
          </w:tcPr>
          <w:p w14:paraId="3E7A7E95" w14:textId="77777777" w:rsidR="00F96912" w:rsidRPr="00F516E5" w:rsidRDefault="00F96912" w:rsidP="006658D5">
            <w:pPr>
              <w:rPr>
                <w:color w:val="000000"/>
                <w:sz w:val="16"/>
                <w:szCs w:val="16"/>
              </w:rPr>
            </w:pPr>
            <w:r w:rsidRPr="00F516E5">
              <w:rPr>
                <w:sz w:val="16"/>
                <w:szCs w:val="16"/>
              </w:rPr>
              <w:t>30 nouveaux accords dont une vingtaine d’accords de suivi</w:t>
            </w:r>
          </w:p>
        </w:tc>
        <w:tc>
          <w:tcPr>
            <w:tcW w:w="812" w:type="pct"/>
            <w:shd w:val="clear" w:color="auto" w:fill="FFFFFF"/>
            <w:tcMar>
              <w:top w:w="57" w:type="dxa"/>
              <w:left w:w="58" w:type="dxa"/>
              <w:right w:w="58" w:type="dxa"/>
            </w:tcMar>
          </w:tcPr>
          <w:p w14:paraId="7C56E341" w14:textId="77777777" w:rsidR="00F96912" w:rsidRPr="00F516E5" w:rsidRDefault="00F96912" w:rsidP="006658D5">
            <w:pPr>
              <w:rPr>
                <w:sz w:val="16"/>
                <w:szCs w:val="16"/>
              </w:rPr>
            </w:pPr>
            <w:r w:rsidRPr="00F516E5">
              <w:rPr>
                <w:sz w:val="16"/>
                <w:szCs w:val="16"/>
              </w:rPr>
              <w:t>12 nouveaux accords (108 accords au total)</w:t>
            </w:r>
          </w:p>
          <w:p w14:paraId="2C593F9B" w14:textId="77777777" w:rsidR="00F96912" w:rsidRPr="00F516E5" w:rsidRDefault="00F96912" w:rsidP="006658D5">
            <w:pPr>
              <w:rPr>
                <w:sz w:val="16"/>
                <w:szCs w:val="16"/>
              </w:rPr>
            </w:pPr>
          </w:p>
          <w:p w14:paraId="76E9F50C" w14:textId="77777777" w:rsidR="00F96912" w:rsidRPr="00F516E5" w:rsidRDefault="00F96912" w:rsidP="006658D5">
            <w:pPr>
              <w:rPr>
                <w:color w:val="000000"/>
                <w:sz w:val="16"/>
                <w:szCs w:val="16"/>
              </w:rPr>
            </w:pPr>
            <w:r w:rsidRPr="00F516E5">
              <w:rPr>
                <w:sz w:val="16"/>
                <w:szCs w:val="16"/>
              </w:rPr>
              <w:t>1 accord de suivi</w:t>
            </w:r>
          </w:p>
        </w:tc>
        <w:tc>
          <w:tcPr>
            <w:tcW w:w="744" w:type="pct"/>
            <w:gridSpan w:val="2"/>
            <w:shd w:val="clear" w:color="auto" w:fill="auto"/>
            <w:tcMar>
              <w:top w:w="57" w:type="dxa"/>
              <w:left w:w="58" w:type="dxa"/>
              <w:right w:w="58" w:type="dxa"/>
            </w:tcMar>
          </w:tcPr>
          <w:p w14:paraId="086AC21A" w14:textId="77777777" w:rsidR="00F96912" w:rsidRPr="00F516E5" w:rsidRDefault="00F96912" w:rsidP="006658D5">
            <w:pPr>
              <w:ind w:right="-58"/>
              <w:jc w:val="center"/>
              <w:rPr>
                <w:b/>
                <w:sz w:val="16"/>
                <w:szCs w:val="16"/>
              </w:rPr>
            </w:pPr>
            <w:r w:rsidRPr="00F516E5">
              <w:rPr>
                <w:b/>
                <w:color w:val="00B050"/>
                <w:sz w:val="16"/>
                <w:szCs w:val="16"/>
              </w:rPr>
              <w:t>En bonne voie</w:t>
            </w:r>
          </w:p>
          <w:p w14:paraId="02A512C6" w14:textId="77777777" w:rsidR="00F96912" w:rsidRPr="00F516E5" w:rsidRDefault="00F96912" w:rsidP="006658D5">
            <w:pPr>
              <w:ind w:right="-58"/>
              <w:jc w:val="center"/>
              <w:rPr>
                <w:b/>
                <w:sz w:val="16"/>
                <w:szCs w:val="16"/>
              </w:rPr>
            </w:pPr>
          </w:p>
          <w:p w14:paraId="11CDF9AB" w14:textId="77777777" w:rsidR="00F96912" w:rsidRPr="00CD000E" w:rsidRDefault="00F96912" w:rsidP="006658D5">
            <w:pPr>
              <w:ind w:right="-58"/>
              <w:jc w:val="center"/>
              <w:rPr>
                <w:b/>
                <w:color w:val="000000"/>
                <w:sz w:val="16"/>
                <w:szCs w:val="16"/>
              </w:rPr>
            </w:pPr>
            <w:r>
              <w:rPr>
                <w:b/>
                <w:sz w:val="16"/>
                <w:szCs w:val="16"/>
              </w:rPr>
              <w:br/>
            </w:r>
            <w:r w:rsidRPr="00F516E5">
              <w:rPr>
                <w:b/>
                <w:sz w:val="16"/>
                <w:szCs w:val="16"/>
              </w:rPr>
              <w:br/>
            </w:r>
            <w:r w:rsidRPr="00F516E5">
              <w:rPr>
                <w:b/>
                <w:color w:val="FF0000"/>
                <w:sz w:val="16"/>
                <w:szCs w:val="16"/>
              </w:rPr>
              <w:t>Pas en bonne voie</w:t>
            </w:r>
          </w:p>
        </w:tc>
      </w:tr>
      <w:tr w:rsidR="00F96912" w:rsidRPr="00CD000E" w14:paraId="41C8F0FD" w14:textId="77777777" w:rsidTr="006658D5">
        <w:tc>
          <w:tcPr>
            <w:tcW w:w="1113" w:type="pct"/>
            <w:shd w:val="clear" w:color="auto" w:fill="auto"/>
            <w:tcMar>
              <w:left w:w="58" w:type="dxa"/>
              <w:right w:w="58" w:type="dxa"/>
            </w:tcMar>
          </w:tcPr>
          <w:p w14:paraId="7C1A70CE" w14:textId="77777777" w:rsidR="00F96912" w:rsidRPr="00CD000E" w:rsidRDefault="00F96912" w:rsidP="006658D5">
            <w:pPr>
              <w:ind w:right="176"/>
              <w:rPr>
                <w:color w:val="000000"/>
                <w:sz w:val="16"/>
                <w:szCs w:val="16"/>
              </w:rPr>
            </w:pPr>
            <w:r w:rsidRPr="00CD000E">
              <w:rPr>
                <w:sz w:val="16"/>
                <w:szCs w:val="16"/>
              </w:rPr>
              <w:lastRenderedPageBreak/>
              <w:t>Nombre de membres de WIPO GREEN</w:t>
            </w:r>
          </w:p>
        </w:tc>
        <w:tc>
          <w:tcPr>
            <w:tcW w:w="1114" w:type="pct"/>
            <w:shd w:val="clear" w:color="auto" w:fill="auto"/>
            <w:tcMar>
              <w:left w:w="58" w:type="dxa"/>
              <w:right w:w="58" w:type="dxa"/>
            </w:tcMar>
          </w:tcPr>
          <w:p w14:paraId="1D667EEE"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0020401D" w14:textId="77777777" w:rsidR="00F96912" w:rsidRPr="00CD000E" w:rsidRDefault="00F96912" w:rsidP="006658D5">
            <w:pPr>
              <w:rPr>
                <w:color w:val="002060"/>
                <w:sz w:val="16"/>
                <w:szCs w:val="16"/>
              </w:rPr>
            </w:pPr>
            <w:r w:rsidRPr="00CD000E">
              <w:rPr>
                <w:color w:val="002060"/>
                <w:sz w:val="16"/>
                <w:szCs w:val="16"/>
              </w:rPr>
              <w:t>– 65 partenaires au total</w:t>
            </w:r>
          </w:p>
          <w:p w14:paraId="70484F3B" w14:textId="77777777" w:rsidR="00F96912" w:rsidRPr="00CD000E" w:rsidRDefault="00F96912" w:rsidP="006658D5">
            <w:pPr>
              <w:rPr>
                <w:color w:val="002060"/>
                <w:sz w:val="16"/>
                <w:szCs w:val="16"/>
              </w:rPr>
            </w:pPr>
            <w:r w:rsidRPr="00CD000E">
              <w:rPr>
                <w:color w:val="002060"/>
                <w:sz w:val="16"/>
                <w:szCs w:val="16"/>
              </w:rPr>
              <w:t>– 490 utilisateurs au total</w:t>
            </w:r>
          </w:p>
          <w:p w14:paraId="21147B34" w14:textId="77777777" w:rsidR="00F96912" w:rsidRPr="00CD000E" w:rsidRDefault="00F96912" w:rsidP="006658D5">
            <w:pPr>
              <w:rPr>
                <w:color w:val="000000"/>
                <w:sz w:val="16"/>
                <w:szCs w:val="16"/>
              </w:rPr>
            </w:pPr>
          </w:p>
          <w:p w14:paraId="29C749D7" w14:textId="77777777" w:rsidR="00F96912" w:rsidRPr="00CD000E" w:rsidRDefault="00F96912" w:rsidP="006658D5">
            <w:pPr>
              <w:autoSpaceDE w:val="0"/>
              <w:autoSpaceDN w:val="0"/>
              <w:adjustRightInd w:val="0"/>
              <w:rPr>
                <w:rFonts w:eastAsia="Batang"/>
                <w:i/>
                <w:color w:val="000000"/>
                <w:sz w:val="16"/>
                <w:szCs w:val="16"/>
                <w:lang w:eastAsia="ja-JP" w:bidi="th-TH"/>
              </w:rPr>
            </w:pPr>
            <w:r w:rsidRPr="00CD000E">
              <w:rPr>
                <w:rFonts w:eastAsia="Batang"/>
                <w:i/>
                <w:color w:val="000000"/>
                <w:sz w:val="16"/>
                <w:szCs w:val="16"/>
                <w:lang w:eastAsia="ja-JP" w:bidi="th-TH"/>
              </w:rPr>
              <w:t>Niveau de référence initial dans le programme et budget 2016</w:t>
            </w:r>
            <w:r>
              <w:rPr>
                <w:rFonts w:eastAsia="Batang"/>
                <w:i/>
                <w:color w:val="000000"/>
                <w:sz w:val="16"/>
                <w:szCs w:val="16"/>
                <w:lang w:eastAsia="ja-JP" w:bidi="th-TH"/>
              </w:rPr>
              <w:noBreakHyphen/>
            </w:r>
            <w:r w:rsidRPr="00CD000E">
              <w:rPr>
                <w:rFonts w:eastAsia="Batang"/>
                <w:i/>
                <w:color w:val="000000"/>
                <w:sz w:val="16"/>
                <w:szCs w:val="16"/>
                <w:lang w:eastAsia="ja-JP" w:bidi="th-TH"/>
              </w:rPr>
              <w:t>2017 :</w:t>
            </w:r>
          </w:p>
          <w:p w14:paraId="5D688FAD" w14:textId="77777777" w:rsidR="00F96912" w:rsidRPr="00CD000E" w:rsidRDefault="00F96912" w:rsidP="006658D5">
            <w:pPr>
              <w:rPr>
                <w:rFonts w:eastAsia="Batang"/>
                <w:color w:val="002060"/>
                <w:sz w:val="16"/>
                <w:szCs w:val="16"/>
                <w:lang w:eastAsia="ja-JP"/>
              </w:rPr>
            </w:pPr>
            <w:r w:rsidRPr="00CD000E">
              <w:rPr>
                <w:sz w:val="16"/>
                <w:szCs w:val="16"/>
              </w:rPr>
              <w:t>57 partenaires;  430 utilisateurs</w:t>
            </w:r>
            <w:r w:rsidRPr="00CD000E">
              <w:rPr>
                <w:color w:val="000000"/>
                <w:sz w:val="16"/>
                <w:szCs w:val="16"/>
              </w:rPr>
              <w:t xml:space="preserve"> </w:t>
            </w:r>
            <w:r w:rsidRPr="00CD000E">
              <w:rPr>
                <w:rFonts w:eastAsia="Batang"/>
                <w:sz w:val="16"/>
                <w:szCs w:val="16"/>
                <w:lang w:eastAsia="ja-JP"/>
              </w:rPr>
              <w:t>(au 24 avril 2015)</w:t>
            </w:r>
          </w:p>
        </w:tc>
        <w:tc>
          <w:tcPr>
            <w:tcW w:w="1217" w:type="pct"/>
            <w:gridSpan w:val="2"/>
            <w:shd w:val="clear" w:color="auto" w:fill="auto"/>
            <w:tcMar>
              <w:top w:w="110" w:type="dxa"/>
              <w:left w:w="58" w:type="dxa"/>
              <w:right w:w="58" w:type="dxa"/>
            </w:tcMar>
          </w:tcPr>
          <w:p w14:paraId="0F5CC022" w14:textId="77777777" w:rsidR="00F96912" w:rsidRPr="00CD000E" w:rsidRDefault="00F96912" w:rsidP="006658D5">
            <w:pPr>
              <w:rPr>
                <w:color w:val="000000"/>
                <w:sz w:val="16"/>
                <w:szCs w:val="16"/>
              </w:rPr>
            </w:pPr>
            <w:r w:rsidRPr="00CD000E">
              <w:rPr>
                <w:color w:val="000000"/>
                <w:sz w:val="16"/>
                <w:szCs w:val="16"/>
              </w:rPr>
              <w:t>14 partenaires supplémentaires;  200 utilisateurs supplémentaires</w:t>
            </w:r>
          </w:p>
        </w:tc>
        <w:tc>
          <w:tcPr>
            <w:tcW w:w="812" w:type="pct"/>
            <w:shd w:val="clear" w:color="auto" w:fill="FFFFFF"/>
            <w:tcMar>
              <w:top w:w="110" w:type="dxa"/>
              <w:left w:w="58" w:type="dxa"/>
              <w:right w:w="58" w:type="dxa"/>
            </w:tcMar>
          </w:tcPr>
          <w:p w14:paraId="74439B7C" w14:textId="77777777" w:rsidR="00F96912" w:rsidRPr="00CD000E" w:rsidRDefault="00F96912" w:rsidP="006658D5">
            <w:pPr>
              <w:rPr>
                <w:color w:val="000000"/>
                <w:sz w:val="16"/>
                <w:szCs w:val="16"/>
              </w:rPr>
            </w:pPr>
            <w:r w:rsidRPr="00CD000E">
              <w:rPr>
                <w:color w:val="000000"/>
                <w:sz w:val="16"/>
                <w:szCs w:val="16"/>
              </w:rPr>
              <w:t>– 9 partenaires supplémentaires</w:t>
            </w:r>
          </w:p>
          <w:p w14:paraId="60B0DAA8" w14:textId="77777777" w:rsidR="00F96912" w:rsidRPr="00CD000E" w:rsidRDefault="00F96912" w:rsidP="006658D5">
            <w:pPr>
              <w:rPr>
                <w:color w:val="000000"/>
                <w:sz w:val="16"/>
                <w:szCs w:val="16"/>
              </w:rPr>
            </w:pPr>
            <w:r w:rsidRPr="00CD000E">
              <w:rPr>
                <w:color w:val="000000"/>
                <w:sz w:val="16"/>
                <w:szCs w:val="16"/>
              </w:rPr>
              <w:t>– 318 utilisateurs supplémentaires (74 partenaires et 808</w:t>
            </w:r>
            <w:r>
              <w:rPr>
                <w:color w:val="000000"/>
                <w:sz w:val="16"/>
                <w:szCs w:val="16"/>
              </w:rPr>
              <w:t> </w:t>
            </w:r>
            <w:r w:rsidRPr="00CD000E">
              <w:rPr>
                <w:color w:val="000000"/>
                <w:sz w:val="16"/>
                <w:szCs w:val="16"/>
              </w:rPr>
              <w:t>utilisateurs au total)</w:t>
            </w:r>
          </w:p>
        </w:tc>
        <w:tc>
          <w:tcPr>
            <w:tcW w:w="744" w:type="pct"/>
            <w:gridSpan w:val="2"/>
            <w:shd w:val="clear" w:color="auto" w:fill="auto"/>
            <w:tcMar>
              <w:top w:w="110" w:type="dxa"/>
              <w:left w:w="58" w:type="dxa"/>
              <w:right w:w="58" w:type="dxa"/>
            </w:tcMar>
          </w:tcPr>
          <w:p w14:paraId="7BC14D8C" w14:textId="77777777" w:rsidR="00F96912" w:rsidRPr="00CD000E" w:rsidRDefault="00F96912" w:rsidP="006658D5">
            <w:pPr>
              <w:ind w:right="-58"/>
              <w:jc w:val="center"/>
              <w:rPr>
                <w:b/>
                <w:color w:val="000000"/>
                <w:sz w:val="16"/>
                <w:szCs w:val="16"/>
              </w:rPr>
            </w:pPr>
            <w:r w:rsidRPr="00CD000E">
              <w:rPr>
                <w:b/>
                <w:color w:val="00B050"/>
                <w:sz w:val="16"/>
                <w:szCs w:val="16"/>
              </w:rPr>
              <w:t>En bonne voie</w:t>
            </w:r>
          </w:p>
        </w:tc>
      </w:tr>
      <w:tr w:rsidR="00F96912" w:rsidRPr="00CD000E" w14:paraId="100603A9" w14:textId="77777777" w:rsidTr="006658D5">
        <w:tc>
          <w:tcPr>
            <w:tcW w:w="1113" w:type="pct"/>
            <w:shd w:val="clear" w:color="auto" w:fill="auto"/>
            <w:tcMar>
              <w:left w:w="58" w:type="dxa"/>
              <w:right w:w="58" w:type="dxa"/>
            </w:tcMar>
          </w:tcPr>
          <w:p w14:paraId="54D200C9" w14:textId="77777777" w:rsidR="00F96912" w:rsidRPr="00CD000E" w:rsidRDefault="00F96912" w:rsidP="006658D5">
            <w:pPr>
              <w:ind w:right="176"/>
              <w:rPr>
                <w:color w:val="000000"/>
                <w:sz w:val="16"/>
                <w:szCs w:val="16"/>
              </w:rPr>
            </w:pPr>
            <w:r w:rsidRPr="00CD000E">
              <w:rPr>
                <w:sz w:val="16"/>
                <w:szCs w:val="16"/>
              </w:rPr>
              <w:t>Nombre de données dans la base WIPO GREEN</w:t>
            </w:r>
          </w:p>
        </w:tc>
        <w:tc>
          <w:tcPr>
            <w:tcW w:w="1114" w:type="pct"/>
            <w:shd w:val="clear" w:color="auto" w:fill="auto"/>
            <w:tcMar>
              <w:left w:w="58" w:type="dxa"/>
              <w:right w:w="58" w:type="dxa"/>
            </w:tcMar>
          </w:tcPr>
          <w:p w14:paraId="177507EC" w14:textId="77777777" w:rsidR="00F96912" w:rsidRPr="00754EC1" w:rsidRDefault="00F96912" w:rsidP="006658D5">
            <w:pPr>
              <w:rPr>
                <w:i/>
                <w:color w:val="002060"/>
                <w:sz w:val="16"/>
                <w:szCs w:val="16"/>
              </w:rPr>
            </w:pPr>
            <w:r w:rsidRPr="00754EC1">
              <w:rPr>
                <w:i/>
                <w:color w:val="002060"/>
                <w:sz w:val="16"/>
                <w:szCs w:val="16"/>
              </w:rPr>
              <w:t>Niveau de référence actualisé à fin 2015 :</w:t>
            </w:r>
          </w:p>
          <w:p w14:paraId="7FBDA798" w14:textId="77777777" w:rsidR="00F96912" w:rsidRPr="00754EC1" w:rsidRDefault="00F96912" w:rsidP="006658D5">
            <w:pPr>
              <w:rPr>
                <w:color w:val="002060"/>
                <w:sz w:val="16"/>
                <w:szCs w:val="16"/>
                <w:lang w:bidi="th-TH"/>
              </w:rPr>
            </w:pPr>
            <w:r w:rsidRPr="00754EC1">
              <w:rPr>
                <w:color w:val="002060"/>
                <w:sz w:val="16"/>
                <w:szCs w:val="16"/>
                <w:lang w:bidi="th-TH"/>
              </w:rPr>
              <w:t>2181 au total</w:t>
            </w:r>
          </w:p>
          <w:p w14:paraId="29D381A2" w14:textId="77777777" w:rsidR="00F96912" w:rsidRPr="00754EC1" w:rsidRDefault="00F96912" w:rsidP="006658D5">
            <w:pPr>
              <w:rPr>
                <w:color w:val="000000"/>
                <w:sz w:val="16"/>
                <w:szCs w:val="16"/>
              </w:rPr>
            </w:pPr>
          </w:p>
          <w:p w14:paraId="3220F0A7" w14:textId="77777777" w:rsidR="00F96912" w:rsidRPr="00754EC1" w:rsidRDefault="00F96912" w:rsidP="006658D5">
            <w:pPr>
              <w:autoSpaceDE w:val="0"/>
              <w:autoSpaceDN w:val="0"/>
              <w:adjustRightInd w:val="0"/>
              <w:rPr>
                <w:rFonts w:eastAsia="Batang"/>
                <w:i/>
                <w:color w:val="000000"/>
                <w:sz w:val="16"/>
                <w:szCs w:val="16"/>
                <w:lang w:eastAsia="ja-JP" w:bidi="th-TH"/>
              </w:rPr>
            </w:pPr>
            <w:r w:rsidRPr="00754EC1">
              <w:rPr>
                <w:rFonts w:eastAsia="Batang"/>
                <w:i/>
                <w:color w:val="000000"/>
                <w:sz w:val="16"/>
                <w:szCs w:val="16"/>
                <w:lang w:eastAsia="ja-JP" w:bidi="th-TH"/>
              </w:rPr>
              <w:t>Niveau de référence initial dans le programme et budget 2016</w:t>
            </w:r>
            <w:r w:rsidRPr="00754EC1">
              <w:rPr>
                <w:rFonts w:eastAsia="Batang"/>
                <w:i/>
                <w:color w:val="000000"/>
                <w:sz w:val="16"/>
                <w:szCs w:val="16"/>
                <w:lang w:eastAsia="ja-JP" w:bidi="th-TH"/>
              </w:rPr>
              <w:noBreakHyphen/>
              <w:t>2017 :</w:t>
            </w:r>
          </w:p>
          <w:p w14:paraId="34BD177A" w14:textId="77777777" w:rsidR="00F96912" w:rsidRPr="00754EC1" w:rsidRDefault="00F96912" w:rsidP="006658D5">
            <w:pPr>
              <w:rPr>
                <w:color w:val="000000"/>
                <w:sz w:val="16"/>
                <w:szCs w:val="16"/>
              </w:rPr>
            </w:pPr>
            <w:r w:rsidRPr="00754EC1">
              <w:rPr>
                <w:color w:val="000000"/>
                <w:sz w:val="16"/>
                <w:szCs w:val="16"/>
              </w:rPr>
              <w:t>2050 données</w:t>
            </w:r>
          </w:p>
          <w:p w14:paraId="553A70DF" w14:textId="77777777" w:rsidR="00F96912" w:rsidRPr="00754EC1" w:rsidRDefault="00F96912" w:rsidP="006658D5">
            <w:pPr>
              <w:rPr>
                <w:color w:val="002060"/>
                <w:sz w:val="16"/>
                <w:szCs w:val="16"/>
              </w:rPr>
            </w:pPr>
            <w:r w:rsidRPr="00754EC1">
              <w:rPr>
                <w:sz w:val="16"/>
                <w:szCs w:val="16"/>
              </w:rPr>
              <w:t>(au 24 avril 2015)</w:t>
            </w:r>
          </w:p>
        </w:tc>
        <w:tc>
          <w:tcPr>
            <w:tcW w:w="1217" w:type="pct"/>
            <w:gridSpan w:val="2"/>
            <w:shd w:val="clear" w:color="auto" w:fill="auto"/>
            <w:tcMar>
              <w:top w:w="110" w:type="dxa"/>
              <w:left w:w="58" w:type="dxa"/>
              <w:right w:w="58" w:type="dxa"/>
            </w:tcMar>
          </w:tcPr>
          <w:p w14:paraId="3E08F4C7" w14:textId="77777777" w:rsidR="00F96912" w:rsidRPr="00754EC1" w:rsidRDefault="00F96912" w:rsidP="006658D5">
            <w:pPr>
              <w:rPr>
                <w:color w:val="000000"/>
                <w:sz w:val="16"/>
                <w:szCs w:val="16"/>
              </w:rPr>
            </w:pPr>
            <w:r w:rsidRPr="00754EC1">
              <w:rPr>
                <w:color w:val="000000"/>
                <w:sz w:val="16"/>
                <w:szCs w:val="16"/>
              </w:rPr>
              <w:t>1200 données supplémentaires</w:t>
            </w:r>
          </w:p>
        </w:tc>
        <w:tc>
          <w:tcPr>
            <w:tcW w:w="812" w:type="pct"/>
            <w:shd w:val="clear" w:color="auto" w:fill="FFFFFF"/>
            <w:tcMar>
              <w:top w:w="110" w:type="dxa"/>
              <w:left w:w="58" w:type="dxa"/>
              <w:right w:w="58" w:type="dxa"/>
            </w:tcMar>
          </w:tcPr>
          <w:p w14:paraId="78A340FE" w14:textId="77777777" w:rsidR="00F96912" w:rsidRPr="00754EC1" w:rsidRDefault="00F96912" w:rsidP="006658D5">
            <w:pPr>
              <w:rPr>
                <w:color w:val="000000"/>
                <w:sz w:val="16"/>
                <w:szCs w:val="16"/>
              </w:rPr>
            </w:pPr>
            <w:r w:rsidRPr="00754EC1">
              <w:rPr>
                <w:sz w:val="16"/>
                <w:szCs w:val="16"/>
              </w:rPr>
              <w:t xml:space="preserve">440 </w:t>
            </w:r>
            <w:r w:rsidRPr="00754EC1">
              <w:rPr>
                <w:color w:val="000000"/>
                <w:sz w:val="16"/>
                <w:szCs w:val="16"/>
              </w:rPr>
              <w:t>données supplémentaires</w:t>
            </w:r>
            <w:r w:rsidRPr="00754EC1">
              <w:rPr>
                <w:sz w:val="16"/>
                <w:szCs w:val="16"/>
              </w:rPr>
              <w:t xml:space="preserve"> (2621 données au total)</w:t>
            </w:r>
          </w:p>
        </w:tc>
        <w:tc>
          <w:tcPr>
            <w:tcW w:w="744" w:type="pct"/>
            <w:gridSpan w:val="2"/>
            <w:shd w:val="clear" w:color="auto" w:fill="auto"/>
            <w:tcMar>
              <w:top w:w="110" w:type="dxa"/>
              <w:left w:w="58" w:type="dxa"/>
              <w:right w:w="58" w:type="dxa"/>
            </w:tcMar>
          </w:tcPr>
          <w:p w14:paraId="2A015426" w14:textId="77777777" w:rsidR="00F96912" w:rsidRPr="00CD000E" w:rsidRDefault="00F96912" w:rsidP="006658D5">
            <w:pPr>
              <w:ind w:right="-58"/>
              <w:jc w:val="center"/>
              <w:rPr>
                <w:b/>
                <w:color w:val="000000"/>
                <w:sz w:val="16"/>
                <w:szCs w:val="16"/>
              </w:rPr>
            </w:pPr>
            <w:r w:rsidRPr="00CD000E">
              <w:rPr>
                <w:b/>
                <w:color w:val="FF0000"/>
                <w:sz w:val="16"/>
                <w:szCs w:val="16"/>
              </w:rPr>
              <w:t>Pas en bonne voie</w:t>
            </w:r>
          </w:p>
        </w:tc>
      </w:tr>
      <w:tr w:rsidR="00F96912" w:rsidRPr="00CD000E" w14:paraId="71DDF296" w14:textId="77777777" w:rsidTr="006658D5">
        <w:tc>
          <w:tcPr>
            <w:tcW w:w="1113" w:type="pct"/>
            <w:shd w:val="clear" w:color="auto" w:fill="auto"/>
            <w:tcMar>
              <w:left w:w="58" w:type="dxa"/>
              <w:right w:w="58" w:type="dxa"/>
            </w:tcMar>
          </w:tcPr>
          <w:p w14:paraId="51C7134E" w14:textId="77777777" w:rsidR="00F96912" w:rsidRPr="00CD000E" w:rsidRDefault="00F96912" w:rsidP="006658D5">
            <w:pPr>
              <w:ind w:right="176"/>
              <w:rPr>
                <w:color w:val="000000"/>
                <w:sz w:val="16"/>
                <w:szCs w:val="16"/>
              </w:rPr>
            </w:pPr>
            <w:r w:rsidRPr="00CD000E">
              <w:rPr>
                <w:sz w:val="16"/>
                <w:szCs w:val="16"/>
              </w:rPr>
              <w:t>Nombre d’accords favorisés par WIPO GREEN qui facilitent le transfert de connaissances, et l’adaptation, le transfert ou la diffusion des technologies</w:t>
            </w:r>
          </w:p>
        </w:tc>
        <w:tc>
          <w:tcPr>
            <w:tcW w:w="1114" w:type="pct"/>
            <w:shd w:val="clear" w:color="auto" w:fill="auto"/>
            <w:tcMar>
              <w:left w:w="58" w:type="dxa"/>
              <w:right w:w="58" w:type="dxa"/>
            </w:tcMar>
          </w:tcPr>
          <w:p w14:paraId="5D3C77EB" w14:textId="77777777" w:rsidR="00F96912" w:rsidRPr="00754EC1" w:rsidRDefault="00F96912" w:rsidP="006658D5">
            <w:pPr>
              <w:rPr>
                <w:i/>
                <w:color w:val="002060"/>
                <w:sz w:val="16"/>
                <w:szCs w:val="16"/>
              </w:rPr>
            </w:pPr>
            <w:r w:rsidRPr="00754EC1">
              <w:rPr>
                <w:i/>
                <w:color w:val="002060"/>
                <w:sz w:val="16"/>
                <w:szCs w:val="16"/>
              </w:rPr>
              <w:t>Niveau de référence actualisé à fin 2015 :</w:t>
            </w:r>
          </w:p>
          <w:p w14:paraId="73D15161" w14:textId="77777777" w:rsidR="00F96912" w:rsidRPr="00754EC1" w:rsidRDefault="00F96912" w:rsidP="006658D5">
            <w:pPr>
              <w:rPr>
                <w:color w:val="002060"/>
                <w:sz w:val="16"/>
                <w:szCs w:val="16"/>
              </w:rPr>
            </w:pPr>
            <w:r w:rsidRPr="00754EC1">
              <w:rPr>
                <w:color w:val="002060"/>
                <w:sz w:val="16"/>
                <w:szCs w:val="16"/>
              </w:rPr>
              <w:t>7 accords (AUTM, DKPTO, EACIN, Eco</w:t>
            </w:r>
            <w:r w:rsidRPr="00754EC1">
              <w:rPr>
                <w:color w:val="002060"/>
                <w:sz w:val="16"/>
                <w:szCs w:val="16"/>
              </w:rPr>
              <w:noBreakHyphen/>
              <w:t xml:space="preserve">patent </w:t>
            </w:r>
            <w:proofErr w:type="spellStart"/>
            <w:r w:rsidRPr="00754EC1">
              <w:rPr>
                <w:color w:val="002060"/>
                <w:sz w:val="16"/>
                <w:szCs w:val="16"/>
              </w:rPr>
              <w:t>commons</w:t>
            </w:r>
            <w:proofErr w:type="spellEnd"/>
            <w:r w:rsidRPr="00754EC1">
              <w:rPr>
                <w:color w:val="002060"/>
                <w:sz w:val="16"/>
                <w:szCs w:val="16"/>
              </w:rPr>
              <w:t>, KOTEC, Technologie Allianz, UNOSSC) (au total)</w:t>
            </w:r>
          </w:p>
          <w:p w14:paraId="402BDC5E" w14:textId="77777777" w:rsidR="00F96912" w:rsidRPr="00754EC1" w:rsidRDefault="00F96912" w:rsidP="006658D5">
            <w:pPr>
              <w:rPr>
                <w:color w:val="000000"/>
                <w:sz w:val="16"/>
                <w:szCs w:val="16"/>
              </w:rPr>
            </w:pPr>
          </w:p>
          <w:p w14:paraId="6DB1CBCD" w14:textId="77777777" w:rsidR="00F96912" w:rsidRPr="00754EC1" w:rsidRDefault="00F96912" w:rsidP="006658D5">
            <w:pPr>
              <w:autoSpaceDE w:val="0"/>
              <w:autoSpaceDN w:val="0"/>
              <w:adjustRightInd w:val="0"/>
              <w:rPr>
                <w:rFonts w:eastAsia="Batang"/>
                <w:i/>
                <w:color w:val="000000"/>
                <w:sz w:val="16"/>
                <w:szCs w:val="16"/>
                <w:lang w:eastAsia="ja-JP" w:bidi="th-TH"/>
              </w:rPr>
            </w:pPr>
            <w:r w:rsidRPr="00754EC1">
              <w:rPr>
                <w:rFonts w:eastAsia="Batang"/>
                <w:i/>
                <w:color w:val="000000"/>
                <w:sz w:val="16"/>
                <w:szCs w:val="16"/>
                <w:lang w:eastAsia="ja-JP" w:bidi="th-TH"/>
              </w:rPr>
              <w:t>Niveau de référence initial dans le programme et budget 2016</w:t>
            </w:r>
            <w:r w:rsidRPr="00754EC1">
              <w:rPr>
                <w:rFonts w:eastAsia="Batang"/>
                <w:i/>
                <w:color w:val="000000"/>
                <w:sz w:val="16"/>
                <w:szCs w:val="16"/>
                <w:lang w:eastAsia="ja-JP" w:bidi="th-TH"/>
              </w:rPr>
              <w:noBreakHyphen/>
              <w:t>2017 :</w:t>
            </w:r>
          </w:p>
          <w:p w14:paraId="58E46684" w14:textId="77777777" w:rsidR="00F96912" w:rsidRPr="00754EC1" w:rsidRDefault="00F96912" w:rsidP="006658D5">
            <w:pPr>
              <w:rPr>
                <w:color w:val="002060"/>
                <w:sz w:val="16"/>
                <w:szCs w:val="16"/>
              </w:rPr>
            </w:pPr>
            <w:r w:rsidRPr="00754EC1">
              <w:rPr>
                <w:color w:val="000000"/>
                <w:sz w:val="16"/>
                <w:szCs w:val="16"/>
              </w:rPr>
              <w:t>7 accords (AUTM, DKPTO, EACIN, Eco</w:t>
            </w:r>
            <w:r w:rsidRPr="00754EC1">
              <w:rPr>
                <w:color w:val="000000"/>
                <w:sz w:val="16"/>
                <w:szCs w:val="16"/>
              </w:rPr>
              <w:noBreakHyphen/>
              <w:t xml:space="preserve">patent </w:t>
            </w:r>
            <w:proofErr w:type="spellStart"/>
            <w:r w:rsidRPr="00754EC1">
              <w:rPr>
                <w:color w:val="000000"/>
                <w:sz w:val="16"/>
                <w:szCs w:val="16"/>
              </w:rPr>
              <w:t>commons</w:t>
            </w:r>
            <w:proofErr w:type="spellEnd"/>
            <w:r w:rsidRPr="00754EC1">
              <w:rPr>
                <w:color w:val="000000"/>
                <w:sz w:val="16"/>
                <w:szCs w:val="16"/>
              </w:rPr>
              <w:t xml:space="preserve">, KOTEC, Technologies Allianz, UNOSSC) </w:t>
            </w:r>
            <w:r w:rsidRPr="00754EC1">
              <w:rPr>
                <w:sz w:val="16"/>
                <w:szCs w:val="16"/>
              </w:rPr>
              <w:t>(au 24 avril 2015)</w:t>
            </w:r>
          </w:p>
        </w:tc>
        <w:tc>
          <w:tcPr>
            <w:tcW w:w="1217" w:type="pct"/>
            <w:gridSpan w:val="2"/>
            <w:shd w:val="clear" w:color="auto" w:fill="auto"/>
            <w:tcMar>
              <w:top w:w="110" w:type="dxa"/>
              <w:left w:w="58" w:type="dxa"/>
              <w:right w:w="58" w:type="dxa"/>
            </w:tcMar>
          </w:tcPr>
          <w:p w14:paraId="4D3DB722" w14:textId="77777777" w:rsidR="00F96912" w:rsidRPr="00754EC1" w:rsidRDefault="00F96912" w:rsidP="006658D5">
            <w:pPr>
              <w:rPr>
                <w:color w:val="000000"/>
                <w:sz w:val="16"/>
                <w:szCs w:val="16"/>
              </w:rPr>
            </w:pPr>
            <w:r w:rsidRPr="00754EC1">
              <w:rPr>
                <w:color w:val="000000"/>
                <w:sz w:val="16"/>
                <w:szCs w:val="16"/>
              </w:rPr>
              <w:t>10 accords (au total)</w:t>
            </w:r>
          </w:p>
        </w:tc>
        <w:tc>
          <w:tcPr>
            <w:tcW w:w="812" w:type="pct"/>
            <w:shd w:val="clear" w:color="auto" w:fill="FFFFFF"/>
            <w:tcMar>
              <w:top w:w="110" w:type="dxa"/>
              <w:left w:w="58" w:type="dxa"/>
              <w:right w:w="58" w:type="dxa"/>
            </w:tcMar>
          </w:tcPr>
          <w:p w14:paraId="53A783BE" w14:textId="77777777" w:rsidR="00F96912" w:rsidRPr="00754EC1" w:rsidRDefault="00F96912" w:rsidP="006658D5">
            <w:pPr>
              <w:rPr>
                <w:sz w:val="16"/>
                <w:szCs w:val="16"/>
              </w:rPr>
            </w:pPr>
            <w:r w:rsidRPr="00754EC1">
              <w:rPr>
                <w:sz w:val="16"/>
                <w:szCs w:val="16"/>
              </w:rPr>
              <w:t>2 nouveaux accords sur le partage des données : Ministère de l’économie d’Israël, FLC)</w:t>
            </w:r>
          </w:p>
          <w:p w14:paraId="5C75FB8B" w14:textId="77777777" w:rsidR="00F96912" w:rsidRPr="00754EC1" w:rsidRDefault="00F96912" w:rsidP="006658D5">
            <w:pPr>
              <w:rPr>
                <w:color w:val="000000"/>
                <w:sz w:val="16"/>
                <w:szCs w:val="16"/>
              </w:rPr>
            </w:pPr>
            <w:r w:rsidRPr="00754EC1">
              <w:rPr>
                <w:sz w:val="16"/>
                <w:szCs w:val="16"/>
              </w:rPr>
              <w:t>(9 accords au total)</w:t>
            </w:r>
          </w:p>
        </w:tc>
        <w:tc>
          <w:tcPr>
            <w:tcW w:w="744" w:type="pct"/>
            <w:gridSpan w:val="2"/>
            <w:shd w:val="clear" w:color="auto" w:fill="auto"/>
            <w:tcMar>
              <w:top w:w="110" w:type="dxa"/>
              <w:left w:w="58" w:type="dxa"/>
              <w:right w:w="58" w:type="dxa"/>
            </w:tcMar>
          </w:tcPr>
          <w:p w14:paraId="353FF670" w14:textId="77777777" w:rsidR="00F96912" w:rsidRPr="00CD000E" w:rsidRDefault="00F96912" w:rsidP="006658D5">
            <w:pPr>
              <w:ind w:right="-58"/>
              <w:jc w:val="center"/>
              <w:rPr>
                <w:b/>
                <w:color w:val="000000"/>
                <w:sz w:val="16"/>
                <w:szCs w:val="16"/>
              </w:rPr>
            </w:pPr>
            <w:r w:rsidRPr="00CD000E">
              <w:rPr>
                <w:b/>
                <w:color w:val="00B050"/>
                <w:sz w:val="16"/>
                <w:szCs w:val="16"/>
              </w:rPr>
              <w:t>En bonne voie</w:t>
            </w:r>
          </w:p>
        </w:tc>
      </w:tr>
      <w:tr w:rsidR="00F96912" w:rsidRPr="00CD000E" w14:paraId="17FE28B4" w14:textId="77777777" w:rsidTr="006658D5">
        <w:tc>
          <w:tcPr>
            <w:tcW w:w="1113" w:type="pct"/>
            <w:shd w:val="clear" w:color="auto" w:fill="auto"/>
            <w:tcMar>
              <w:left w:w="58" w:type="dxa"/>
              <w:right w:w="58" w:type="dxa"/>
            </w:tcMar>
          </w:tcPr>
          <w:p w14:paraId="6AB064C4" w14:textId="77777777" w:rsidR="00F96912" w:rsidRPr="00CD000E" w:rsidRDefault="00F96912" w:rsidP="006658D5">
            <w:pPr>
              <w:ind w:right="176"/>
              <w:rPr>
                <w:color w:val="002060"/>
                <w:sz w:val="16"/>
                <w:szCs w:val="16"/>
              </w:rPr>
            </w:pPr>
            <w:r w:rsidRPr="00CD000E">
              <w:rPr>
                <w:sz w:val="16"/>
                <w:szCs w:val="16"/>
              </w:rPr>
              <w:t>Progrès dans l’élaboration d’un cadre international de collaboration aux fins d’une contribution efficace de la propriété intellectuelle à la sécurité alimentaire grâce au processus de consultation</w:t>
            </w:r>
          </w:p>
        </w:tc>
        <w:tc>
          <w:tcPr>
            <w:tcW w:w="1114" w:type="pct"/>
            <w:shd w:val="clear" w:color="auto" w:fill="auto"/>
            <w:tcMar>
              <w:left w:w="58" w:type="dxa"/>
              <w:right w:w="58" w:type="dxa"/>
            </w:tcMar>
          </w:tcPr>
          <w:p w14:paraId="0C16B236" w14:textId="77777777" w:rsidR="00F96912" w:rsidRPr="00754EC1" w:rsidRDefault="00F96912" w:rsidP="006658D5">
            <w:pPr>
              <w:rPr>
                <w:color w:val="002060"/>
                <w:sz w:val="16"/>
                <w:szCs w:val="16"/>
              </w:rPr>
            </w:pPr>
            <w:proofErr w:type="spellStart"/>
            <w:r w:rsidRPr="00754EC1">
              <w:rPr>
                <w:sz w:val="16"/>
                <w:szCs w:val="16"/>
              </w:rPr>
              <w:t>s.o</w:t>
            </w:r>
            <w:proofErr w:type="spellEnd"/>
            <w:r w:rsidRPr="00754EC1">
              <w:rPr>
                <w:sz w:val="16"/>
                <w:szCs w:val="16"/>
              </w:rPr>
              <w:t>. – pas de projet de cadre</w:t>
            </w:r>
          </w:p>
        </w:tc>
        <w:tc>
          <w:tcPr>
            <w:tcW w:w="1217" w:type="pct"/>
            <w:gridSpan w:val="2"/>
            <w:shd w:val="clear" w:color="auto" w:fill="auto"/>
            <w:tcMar>
              <w:top w:w="110" w:type="dxa"/>
              <w:left w:w="58" w:type="dxa"/>
              <w:right w:w="58" w:type="dxa"/>
            </w:tcMar>
          </w:tcPr>
          <w:p w14:paraId="5DBF7085" w14:textId="77777777" w:rsidR="00F96912" w:rsidRPr="00754EC1" w:rsidRDefault="00F96912" w:rsidP="006658D5">
            <w:pPr>
              <w:rPr>
                <w:color w:val="000000"/>
                <w:sz w:val="16"/>
                <w:szCs w:val="16"/>
              </w:rPr>
            </w:pPr>
            <w:r w:rsidRPr="00754EC1">
              <w:rPr>
                <w:sz w:val="16"/>
                <w:szCs w:val="16"/>
              </w:rPr>
              <w:t>Élaboration d’un projet de cadre général</w:t>
            </w:r>
          </w:p>
        </w:tc>
        <w:tc>
          <w:tcPr>
            <w:tcW w:w="812" w:type="pct"/>
            <w:shd w:val="clear" w:color="auto" w:fill="FFFFFF"/>
            <w:tcMar>
              <w:top w:w="110" w:type="dxa"/>
              <w:left w:w="58" w:type="dxa"/>
              <w:right w:w="58" w:type="dxa"/>
            </w:tcMar>
          </w:tcPr>
          <w:p w14:paraId="144C9348" w14:textId="77777777" w:rsidR="00F96912" w:rsidRPr="00754EC1" w:rsidRDefault="00F96912" w:rsidP="006658D5">
            <w:pPr>
              <w:rPr>
                <w:color w:val="000000"/>
                <w:sz w:val="16"/>
                <w:szCs w:val="16"/>
              </w:rPr>
            </w:pPr>
            <w:r w:rsidRPr="00754EC1">
              <w:rPr>
                <w:color w:val="000000"/>
                <w:sz w:val="16"/>
                <w:szCs w:val="16"/>
              </w:rPr>
              <w:t>Élaboration d’un document de discussion</w:t>
            </w:r>
          </w:p>
        </w:tc>
        <w:tc>
          <w:tcPr>
            <w:tcW w:w="744" w:type="pct"/>
            <w:gridSpan w:val="2"/>
            <w:shd w:val="clear" w:color="auto" w:fill="auto"/>
            <w:tcMar>
              <w:top w:w="110" w:type="dxa"/>
              <w:left w:w="58" w:type="dxa"/>
              <w:right w:w="58" w:type="dxa"/>
            </w:tcMar>
          </w:tcPr>
          <w:p w14:paraId="58BAF963" w14:textId="77777777" w:rsidR="00F96912" w:rsidRPr="00CD000E" w:rsidRDefault="00F96912" w:rsidP="006658D5">
            <w:pPr>
              <w:ind w:right="-58"/>
              <w:jc w:val="center"/>
              <w:rPr>
                <w:b/>
                <w:sz w:val="16"/>
                <w:szCs w:val="16"/>
              </w:rPr>
            </w:pPr>
            <w:r w:rsidRPr="00CD000E">
              <w:rPr>
                <w:b/>
                <w:color w:val="00B050"/>
                <w:sz w:val="16"/>
                <w:szCs w:val="16"/>
              </w:rPr>
              <w:t>En bonne voie</w:t>
            </w:r>
          </w:p>
        </w:tc>
      </w:tr>
      <w:tr w:rsidR="00F96912" w:rsidRPr="00CD000E" w14:paraId="61479D81" w14:textId="77777777" w:rsidTr="006658D5">
        <w:tc>
          <w:tcPr>
            <w:tcW w:w="1113" w:type="pct"/>
            <w:shd w:val="clear" w:color="auto" w:fill="auto"/>
            <w:tcMar>
              <w:left w:w="58" w:type="dxa"/>
              <w:right w:w="58" w:type="dxa"/>
            </w:tcMar>
          </w:tcPr>
          <w:p w14:paraId="0C6C3DC9" w14:textId="77777777" w:rsidR="00F96912" w:rsidRPr="00CD000E" w:rsidRDefault="00F96912" w:rsidP="006658D5">
            <w:pPr>
              <w:autoSpaceDE w:val="0"/>
              <w:autoSpaceDN w:val="0"/>
              <w:adjustRightInd w:val="0"/>
              <w:rPr>
                <w:color w:val="000000"/>
                <w:sz w:val="16"/>
                <w:szCs w:val="16"/>
              </w:rPr>
            </w:pPr>
            <w:r w:rsidRPr="00CD000E">
              <w:rPr>
                <w:rFonts w:eastAsia="Batang"/>
                <w:sz w:val="16"/>
                <w:szCs w:val="16"/>
                <w:lang w:eastAsia="ja-JP"/>
              </w:rPr>
              <w:t>Nombre de consultations du site Web consacré aux défis mondiaux</w:t>
            </w:r>
            <w:r w:rsidRPr="00CD000E">
              <w:rPr>
                <w:rFonts w:eastAsia="Batang"/>
                <w:color w:val="000000"/>
                <w:sz w:val="16"/>
                <w:szCs w:val="16"/>
                <w:lang w:eastAsia="ja-JP"/>
              </w:rPr>
              <w:t xml:space="preserve"> </w:t>
            </w:r>
          </w:p>
        </w:tc>
        <w:tc>
          <w:tcPr>
            <w:tcW w:w="1114" w:type="pct"/>
            <w:shd w:val="clear" w:color="auto" w:fill="auto"/>
            <w:tcMar>
              <w:left w:w="58" w:type="dxa"/>
              <w:right w:w="58" w:type="dxa"/>
            </w:tcMar>
          </w:tcPr>
          <w:p w14:paraId="2F8B0AEF" w14:textId="77777777" w:rsidR="00F96912" w:rsidRPr="00754EC1" w:rsidRDefault="00F96912" w:rsidP="006658D5">
            <w:pPr>
              <w:rPr>
                <w:i/>
                <w:color w:val="002060"/>
                <w:sz w:val="16"/>
                <w:szCs w:val="16"/>
              </w:rPr>
            </w:pPr>
            <w:r w:rsidRPr="00754EC1">
              <w:rPr>
                <w:i/>
                <w:color w:val="002060"/>
                <w:sz w:val="16"/>
                <w:szCs w:val="16"/>
              </w:rPr>
              <w:t>Niveau de référence actualisé à fin 2015 :</w:t>
            </w:r>
          </w:p>
          <w:p w14:paraId="042F2E2C" w14:textId="77777777" w:rsidR="00F96912" w:rsidRPr="00754EC1" w:rsidRDefault="00F96912" w:rsidP="006658D5">
            <w:pPr>
              <w:pStyle w:val="ListParagraph"/>
              <w:ind w:left="0"/>
              <w:rPr>
                <w:rFonts w:ascii="Arial" w:hAnsi="Arial" w:cs="Arial"/>
                <w:color w:val="002060"/>
                <w:sz w:val="16"/>
                <w:szCs w:val="16"/>
                <w:lang w:bidi="th-TH"/>
              </w:rPr>
            </w:pPr>
            <w:r w:rsidRPr="00754EC1">
              <w:rPr>
                <w:rFonts w:ascii="Arial" w:hAnsi="Arial" w:cs="Arial"/>
                <w:color w:val="002060"/>
                <w:sz w:val="16"/>
                <w:szCs w:val="16"/>
                <w:lang w:bidi="th-TH"/>
              </w:rPr>
              <w:t>Nombre de pages consultées en 2014</w:t>
            </w:r>
            <w:r w:rsidRPr="00754EC1">
              <w:rPr>
                <w:rFonts w:ascii="Arial" w:hAnsi="Arial" w:cs="Arial"/>
                <w:color w:val="002060"/>
                <w:sz w:val="16"/>
                <w:szCs w:val="16"/>
                <w:lang w:bidi="th-TH"/>
              </w:rPr>
              <w:noBreakHyphen/>
              <w:t>2015 :</w:t>
            </w:r>
          </w:p>
          <w:p w14:paraId="210AFC11" w14:textId="77777777" w:rsidR="00F96912" w:rsidRPr="00754EC1" w:rsidRDefault="00F96912" w:rsidP="006658D5">
            <w:pPr>
              <w:rPr>
                <w:color w:val="002060"/>
                <w:sz w:val="16"/>
                <w:szCs w:val="16"/>
                <w:lang w:bidi="th-TH"/>
              </w:rPr>
            </w:pPr>
            <w:r w:rsidRPr="00754EC1">
              <w:rPr>
                <w:color w:val="002060"/>
                <w:sz w:val="16"/>
                <w:szCs w:val="16"/>
                <w:lang w:bidi="th-TH"/>
              </w:rPr>
              <w:t>– Division des défis mondiaux : 2693</w:t>
            </w:r>
          </w:p>
          <w:p w14:paraId="3D74E6DA" w14:textId="77777777" w:rsidR="00F96912" w:rsidRPr="00754EC1" w:rsidRDefault="00F96912" w:rsidP="006658D5">
            <w:pPr>
              <w:rPr>
                <w:color w:val="002060"/>
                <w:sz w:val="16"/>
                <w:szCs w:val="16"/>
                <w:lang w:bidi="th-TH"/>
              </w:rPr>
            </w:pPr>
            <w:r w:rsidRPr="00754EC1">
              <w:rPr>
                <w:color w:val="002060"/>
                <w:sz w:val="16"/>
                <w:szCs w:val="16"/>
                <w:lang w:bidi="th-TH"/>
              </w:rPr>
              <w:t>– Santé mondiale et propriété intellectuelle : 9233</w:t>
            </w:r>
            <w:r w:rsidRPr="00754EC1">
              <w:rPr>
                <w:rStyle w:val="FootnoteReference"/>
                <w:rFonts w:eastAsiaTheme="minorEastAsia"/>
                <w:color w:val="002060"/>
                <w:lang w:bidi="th-TH"/>
              </w:rPr>
              <w:footnoteReference w:id="77"/>
            </w:r>
          </w:p>
          <w:p w14:paraId="48C90865" w14:textId="77777777" w:rsidR="00F96912" w:rsidRPr="00754EC1" w:rsidRDefault="00F96912" w:rsidP="006658D5">
            <w:pPr>
              <w:rPr>
                <w:color w:val="002060"/>
                <w:sz w:val="16"/>
                <w:szCs w:val="16"/>
                <w:lang w:bidi="th-TH"/>
              </w:rPr>
            </w:pPr>
            <w:r w:rsidRPr="00754EC1">
              <w:rPr>
                <w:color w:val="002060"/>
                <w:sz w:val="16"/>
                <w:szCs w:val="16"/>
                <w:lang w:bidi="th-TH"/>
              </w:rPr>
              <w:t>– Changement climatique et propriété intellectuelle : 4952</w:t>
            </w:r>
          </w:p>
          <w:p w14:paraId="6353E44E" w14:textId="77777777" w:rsidR="00F96912" w:rsidRPr="001E3776" w:rsidRDefault="00F96912" w:rsidP="006658D5">
            <w:pPr>
              <w:rPr>
                <w:color w:val="002060"/>
                <w:sz w:val="16"/>
                <w:szCs w:val="16"/>
                <w:lang w:val="en-US" w:bidi="th-TH"/>
              </w:rPr>
            </w:pPr>
            <w:r w:rsidRPr="001E3776">
              <w:rPr>
                <w:color w:val="002060"/>
                <w:sz w:val="16"/>
                <w:szCs w:val="16"/>
                <w:lang w:val="en-US" w:bidi="th-TH"/>
              </w:rPr>
              <w:t xml:space="preserve">– WIPO </w:t>
            </w:r>
            <w:proofErr w:type="spellStart"/>
            <w:r w:rsidRPr="001E3776">
              <w:rPr>
                <w:color w:val="002060"/>
                <w:sz w:val="16"/>
                <w:szCs w:val="16"/>
                <w:lang w:val="en-US" w:bidi="th-TH"/>
              </w:rPr>
              <w:t>Re:Search</w:t>
            </w:r>
            <w:proofErr w:type="spellEnd"/>
            <w:r w:rsidRPr="001E3776">
              <w:rPr>
                <w:color w:val="002060"/>
                <w:sz w:val="16"/>
                <w:szCs w:val="16"/>
                <w:lang w:val="en-US" w:bidi="th-TH"/>
              </w:rPr>
              <w:t> : 62 118</w:t>
            </w:r>
          </w:p>
          <w:p w14:paraId="246A6778" w14:textId="77777777" w:rsidR="00F96912" w:rsidRPr="001E3776" w:rsidRDefault="00F96912" w:rsidP="006658D5">
            <w:pPr>
              <w:rPr>
                <w:color w:val="002060"/>
                <w:sz w:val="16"/>
                <w:szCs w:val="16"/>
                <w:lang w:val="en-US" w:bidi="th-TH"/>
              </w:rPr>
            </w:pPr>
            <w:r w:rsidRPr="001E3776">
              <w:rPr>
                <w:color w:val="002060"/>
                <w:sz w:val="16"/>
                <w:szCs w:val="16"/>
                <w:lang w:val="en-US" w:bidi="th-TH"/>
              </w:rPr>
              <w:t>– WIPO GREEN : 207 716</w:t>
            </w:r>
          </w:p>
          <w:p w14:paraId="211025FC" w14:textId="77777777" w:rsidR="00F96912" w:rsidRPr="00754EC1" w:rsidRDefault="00F96912" w:rsidP="006658D5">
            <w:pPr>
              <w:rPr>
                <w:color w:val="002060"/>
                <w:sz w:val="16"/>
                <w:szCs w:val="16"/>
                <w:lang w:bidi="th-TH"/>
              </w:rPr>
            </w:pPr>
            <w:r w:rsidRPr="00754EC1">
              <w:rPr>
                <w:color w:val="002060"/>
                <w:sz w:val="16"/>
                <w:szCs w:val="16"/>
                <w:lang w:bidi="th-TH"/>
              </w:rPr>
              <w:t xml:space="preserve">– Téléchargements de fichiers </w:t>
            </w:r>
            <w:proofErr w:type="spellStart"/>
            <w:r w:rsidRPr="00754EC1">
              <w:rPr>
                <w:color w:val="002060"/>
                <w:sz w:val="16"/>
                <w:szCs w:val="16"/>
                <w:lang w:bidi="th-TH"/>
              </w:rPr>
              <w:t>pdf</w:t>
            </w:r>
            <w:proofErr w:type="spellEnd"/>
            <w:r w:rsidRPr="00754EC1">
              <w:rPr>
                <w:color w:val="002060"/>
                <w:sz w:val="16"/>
                <w:szCs w:val="16"/>
                <w:lang w:bidi="th-TH"/>
              </w:rPr>
              <w:t> : 45 253</w:t>
            </w:r>
          </w:p>
          <w:p w14:paraId="038E01A7" w14:textId="77777777" w:rsidR="00F96912" w:rsidRPr="00CD000E" w:rsidRDefault="00F96912" w:rsidP="006658D5">
            <w:pPr>
              <w:rPr>
                <w:color w:val="000000"/>
                <w:sz w:val="16"/>
                <w:szCs w:val="16"/>
              </w:rPr>
            </w:pPr>
          </w:p>
          <w:p w14:paraId="79E2139E" w14:textId="77777777" w:rsidR="00F96912" w:rsidRPr="00CD000E" w:rsidRDefault="00F96912" w:rsidP="006658D5">
            <w:pPr>
              <w:autoSpaceDE w:val="0"/>
              <w:autoSpaceDN w:val="0"/>
              <w:adjustRightInd w:val="0"/>
              <w:rPr>
                <w:rFonts w:eastAsia="Batang"/>
                <w:i/>
                <w:color w:val="000000"/>
                <w:sz w:val="16"/>
                <w:szCs w:val="16"/>
                <w:lang w:eastAsia="ja-JP" w:bidi="th-TH"/>
              </w:rPr>
            </w:pPr>
            <w:r w:rsidRPr="00CD000E">
              <w:rPr>
                <w:rFonts w:eastAsia="Batang"/>
                <w:i/>
                <w:color w:val="000000"/>
                <w:sz w:val="16"/>
                <w:szCs w:val="16"/>
                <w:lang w:eastAsia="ja-JP" w:bidi="th-TH"/>
              </w:rPr>
              <w:t>Niveau de référence initial dans le programme et budget 2016</w:t>
            </w:r>
            <w:r>
              <w:rPr>
                <w:rFonts w:eastAsia="Batang"/>
                <w:i/>
                <w:color w:val="000000"/>
                <w:sz w:val="16"/>
                <w:szCs w:val="16"/>
                <w:lang w:eastAsia="ja-JP" w:bidi="th-TH"/>
              </w:rPr>
              <w:noBreakHyphen/>
            </w:r>
            <w:r w:rsidRPr="00CD000E">
              <w:rPr>
                <w:rFonts w:eastAsia="Batang"/>
                <w:i/>
                <w:color w:val="000000"/>
                <w:sz w:val="16"/>
                <w:szCs w:val="16"/>
                <w:lang w:eastAsia="ja-JP" w:bidi="th-TH"/>
              </w:rPr>
              <w:t>2017 :</w:t>
            </w:r>
          </w:p>
          <w:p w14:paraId="71179E30" w14:textId="77777777" w:rsidR="00F96912" w:rsidRPr="00CD000E" w:rsidRDefault="00F96912" w:rsidP="006658D5">
            <w:pPr>
              <w:rPr>
                <w:color w:val="000000"/>
                <w:sz w:val="16"/>
                <w:szCs w:val="16"/>
              </w:rPr>
            </w:pPr>
            <w:r w:rsidRPr="00CD000E">
              <w:rPr>
                <w:sz w:val="16"/>
                <w:szCs w:val="16"/>
              </w:rPr>
              <w:lastRenderedPageBreak/>
              <w:t>Nombre de pages consultées :</w:t>
            </w:r>
            <w:r w:rsidRPr="00CD000E">
              <w:rPr>
                <w:color w:val="000000"/>
                <w:sz w:val="16"/>
                <w:szCs w:val="16"/>
              </w:rPr>
              <w:br/>
              <w:t>– D</w:t>
            </w:r>
            <w:r w:rsidRPr="00CD000E">
              <w:rPr>
                <w:sz w:val="16"/>
                <w:szCs w:val="16"/>
              </w:rPr>
              <w:t>ivision des défis mondiaux : 1353</w:t>
            </w:r>
            <w:r w:rsidRPr="00CD000E">
              <w:rPr>
                <w:sz w:val="16"/>
                <w:szCs w:val="16"/>
              </w:rPr>
              <w:br/>
            </w:r>
            <w:r w:rsidRPr="00CD000E">
              <w:rPr>
                <w:color w:val="000000"/>
                <w:sz w:val="16"/>
                <w:szCs w:val="16"/>
              </w:rPr>
              <w:t xml:space="preserve">– </w:t>
            </w:r>
            <w:r w:rsidRPr="00CD000E">
              <w:rPr>
                <w:sz w:val="16"/>
                <w:szCs w:val="16"/>
              </w:rPr>
              <w:t>Santé mondiale et propriété intellectuelle : 4</w:t>
            </w:r>
            <w:r w:rsidRPr="00CD000E">
              <w:rPr>
                <w:color w:val="000000"/>
                <w:sz w:val="16"/>
                <w:szCs w:val="16"/>
              </w:rPr>
              <w:t>778</w:t>
            </w:r>
          </w:p>
          <w:p w14:paraId="321C9924" w14:textId="77777777" w:rsidR="00F96912" w:rsidRPr="00CD000E" w:rsidRDefault="00F96912" w:rsidP="006658D5">
            <w:pPr>
              <w:rPr>
                <w:color w:val="000000"/>
                <w:sz w:val="16"/>
                <w:szCs w:val="16"/>
              </w:rPr>
            </w:pPr>
            <w:r w:rsidRPr="00CD000E">
              <w:rPr>
                <w:color w:val="000000"/>
                <w:sz w:val="16"/>
                <w:szCs w:val="16"/>
              </w:rPr>
              <w:t xml:space="preserve">– Changement climatique et propriété intellectuelle : </w:t>
            </w:r>
            <w:r w:rsidRPr="00CD000E">
              <w:rPr>
                <w:rFonts w:eastAsia="Batang"/>
                <w:color w:val="000000"/>
                <w:sz w:val="16"/>
                <w:szCs w:val="16"/>
                <w:lang w:eastAsia="ja-JP"/>
              </w:rPr>
              <w:t xml:space="preserve">2462 </w:t>
            </w:r>
            <w:r w:rsidRPr="00CD000E">
              <w:rPr>
                <w:rFonts w:eastAsia="Batang"/>
                <w:color w:val="000000"/>
                <w:sz w:val="16"/>
                <w:szCs w:val="16"/>
                <w:lang w:eastAsia="ja-JP"/>
              </w:rPr>
              <w:br/>
              <w:t xml:space="preserve">– WIPO </w:t>
            </w:r>
            <w:proofErr w:type="spellStart"/>
            <w:r w:rsidRPr="00CD000E">
              <w:rPr>
                <w:rFonts w:eastAsia="Batang"/>
                <w:color w:val="000000"/>
                <w:sz w:val="16"/>
                <w:szCs w:val="16"/>
                <w:lang w:eastAsia="ja-JP"/>
              </w:rPr>
              <w:t>Re:Search</w:t>
            </w:r>
            <w:proofErr w:type="spellEnd"/>
            <w:r w:rsidRPr="00CD000E">
              <w:rPr>
                <w:rFonts w:eastAsia="Batang"/>
                <w:color w:val="000000"/>
                <w:sz w:val="16"/>
                <w:szCs w:val="16"/>
                <w:lang w:eastAsia="ja-JP"/>
              </w:rPr>
              <w:t xml:space="preserve"> : 38 852 </w:t>
            </w:r>
            <w:r w:rsidRPr="00CD000E">
              <w:rPr>
                <w:rFonts w:eastAsia="Batang"/>
                <w:color w:val="000000"/>
                <w:sz w:val="16"/>
                <w:szCs w:val="16"/>
                <w:lang w:eastAsia="ja-JP"/>
              </w:rPr>
              <w:br/>
              <w:t>– WIPO GREEN : 77 752</w:t>
            </w:r>
          </w:p>
        </w:tc>
        <w:tc>
          <w:tcPr>
            <w:tcW w:w="1217" w:type="pct"/>
            <w:gridSpan w:val="2"/>
            <w:shd w:val="clear" w:color="auto" w:fill="auto"/>
            <w:tcMar>
              <w:top w:w="110" w:type="dxa"/>
              <w:left w:w="58" w:type="dxa"/>
              <w:right w:w="58" w:type="dxa"/>
            </w:tcMar>
          </w:tcPr>
          <w:p w14:paraId="0E2BBDBE" w14:textId="77777777" w:rsidR="00F96912" w:rsidRPr="00CD000E" w:rsidRDefault="00F96912" w:rsidP="006658D5">
            <w:pPr>
              <w:rPr>
                <w:color w:val="000000"/>
                <w:sz w:val="16"/>
                <w:szCs w:val="16"/>
              </w:rPr>
            </w:pPr>
            <w:r w:rsidRPr="00CD000E">
              <w:rPr>
                <w:sz w:val="16"/>
                <w:szCs w:val="16"/>
              </w:rPr>
              <w:lastRenderedPageBreak/>
              <w:t>Augmentation de 10%</w:t>
            </w:r>
          </w:p>
        </w:tc>
        <w:tc>
          <w:tcPr>
            <w:tcW w:w="812" w:type="pct"/>
            <w:shd w:val="clear" w:color="auto" w:fill="FFFFFF"/>
            <w:tcMar>
              <w:top w:w="110" w:type="dxa"/>
              <w:left w:w="58" w:type="dxa"/>
              <w:right w:w="58" w:type="dxa"/>
            </w:tcMar>
          </w:tcPr>
          <w:p w14:paraId="3F1AD653" w14:textId="77777777" w:rsidR="00F96912" w:rsidRPr="00CD000E" w:rsidRDefault="00F96912" w:rsidP="006658D5">
            <w:pPr>
              <w:rPr>
                <w:sz w:val="16"/>
                <w:szCs w:val="16"/>
                <w:lang w:bidi="th-TH"/>
              </w:rPr>
            </w:pPr>
            <w:r w:rsidRPr="00CD000E">
              <w:rPr>
                <w:sz w:val="16"/>
                <w:szCs w:val="16"/>
                <w:lang w:bidi="th-TH"/>
              </w:rPr>
              <w:t>Nombre de pages consultées :</w:t>
            </w:r>
          </w:p>
          <w:p w14:paraId="039CFFC1" w14:textId="77777777" w:rsidR="00F96912" w:rsidRPr="00CD000E" w:rsidRDefault="00F96912" w:rsidP="006658D5">
            <w:pPr>
              <w:rPr>
                <w:sz w:val="16"/>
                <w:szCs w:val="16"/>
                <w:lang w:bidi="th-TH"/>
              </w:rPr>
            </w:pPr>
          </w:p>
          <w:p w14:paraId="390C3B2C" w14:textId="77777777" w:rsidR="00F96912" w:rsidRPr="00CD000E" w:rsidRDefault="00F96912" w:rsidP="006658D5">
            <w:pPr>
              <w:rPr>
                <w:sz w:val="16"/>
                <w:szCs w:val="16"/>
                <w:lang w:bidi="th-TH"/>
              </w:rPr>
            </w:pPr>
            <w:r w:rsidRPr="00CD000E">
              <w:rPr>
                <w:sz w:val="16"/>
                <w:szCs w:val="16"/>
                <w:lang w:bidi="th-TH"/>
              </w:rPr>
              <w:t>Division des défis mondiaux : 742</w:t>
            </w:r>
          </w:p>
          <w:p w14:paraId="2546D955" w14:textId="77777777" w:rsidR="00F96912" w:rsidRPr="00CD000E" w:rsidRDefault="00F96912" w:rsidP="006658D5">
            <w:pPr>
              <w:pStyle w:val="ListParagraph"/>
              <w:ind w:left="0"/>
              <w:rPr>
                <w:rFonts w:ascii="Arial" w:hAnsi="Arial" w:cs="Arial"/>
                <w:sz w:val="16"/>
                <w:szCs w:val="16"/>
                <w:lang w:bidi="th-TH"/>
              </w:rPr>
            </w:pPr>
          </w:p>
          <w:p w14:paraId="2A0C5D42" w14:textId="77777777" w:rsidR="00F96912" w:rsidRPr="00CD000E" w:rsidRDefault="00F96912" w:rsidP="006658D5">
            <w:pPr>
              <w:rPr>
                <w:color w:val="000000"/>
                <w:sz w:val="16"/>
                <w:szCs w:val="16"/>
                <w:lang w:bidi="th-TH"/>
              </w:rPr>
            </w:pPr>
            <w:r w:rsidRPr="00CD000E">
              <w:rPr>
                <w:sz w:val="16"/>
                <w:szCs w:val="16"/>
                <w:lang w:bidi="th-TH"/>
              </w:rPr>
              <w:t>Santé mondiale et propriété intellectuelle : 4</w:t>
            </w:r>
            <w:r w:rsidRPr="00CD000E">
              <w:rPr>
                <w:color w:val="000000"/>
                <w:sz w:val="16"/>
                <w:szCs w:val="16"/>
                <w:lang w:bidi="th-TH"/>
              </w:rPr>
              <w:t>566</w:t>
            </w:r>
          </w:p>
          <w:p w14:paraId="37627C7A" w14:textId="77777777" w:rsidR="00F96912" w:rsidRPr="00CD000E" w:rsidRDefault="00F96912" w:rsidP="006658D5">
            <w:pPr>
              <w:rPr>
                <w:sz w:val="16"/>
                <w:szCs w:val="16"/>
                <w:lang w:bidi="th-TH"/>
              </w:rPr>
            </w:pPr>
          </w:p>
          <w:p w14:paraId="584E2372" w14:textId="77777777" w:rsidR="00F96912" w:rsidRPr="00CD000E" w:rsidRDefault="00F96912" w:rsidP="006658D5">
            <w:pPr>
              <w:rPr>
                <w:sz w:val="16"/>
                <w:szCs w:val="16"/>
                <w:lang w:bidi="th-TH"/>
              </w:rPr>
            </w:pPr>
            <w:r w:rsidRPr="00CD000E">
              <w:rPr>
                <w:sz w:val="16"/>
                <w:szCs w:val="16"/>
                <w:lang w:bidi="th-TH"/>
              </w:rPr>
              <w:t>Changement climatique et propriété intellectuelle : 2</w:t>
            </w:r>
            <w:r w:rsidRPr="00CD000E">
              <w:rPr>
                <w:color w:val="000000"/>
                <w:sz w:val="16"/>
                <w:szCs w:val="16"/>
                <w:lang w:bidi="th-TH"/>
              </w:rPr>
              <w:t>709</w:t>
            </w:r>
          </w:p>
          <w:p w14:paraId="48B29F0F" w14:textId="77777777" w:rsidR="00F96912" w:rsidRPr="00CD000E" w:rsidRDefault="00F96912" w:rsidP="006658D5">
            <w:pPr>
              <w:rPr>
                <w:sz w:val="16"/>
                <w:szCs w:val="16"/>
                <w:lang w:bidi="th-TH"/>
              </w:rPr>
            </w:pPr>
          </w:p>
          <w:p w14:paraId="078CE9B4" w14:textId="77777777" w:rsidR="00F96912" w:rsidRPr="001E3776" w:rsidRDefault="00F96912" w:rsidP="006658D5">
            <w:pPr>
              <w:rPr>
                <w:sz w:val="16"/>
                <w:szCs w:val="16"/>
                <w:lang w:val="en-US" w:bidi="th-TH"/>
              </w:rPr>
            </w:pPr>
            <w:r w:rsidRPr="001E3776">
              <w:rPr>
                <w:sz w:val="16"/>
                <w:szCs w:val="16"/>
                <w:lang w:val="en-US" w:bidi="th-TH"/>
              </w:rPr>
              <w:t xml:space="preserve">WIPO </w:t>
            </w:r>
            <w:proofErr w:type="spellStart"/>
            <w:r w:rsidRPr="001E3776">
              <w:rPr>
                <w:sz w:val="16"/>
                <w:szCs w:val="16"/>
                <w:lang w:val="en-US" w:bidi="th-TH"/>
              </w:rPr>
              <w:t>Re:Search</w:t>
            </w:r>
            <w:proofErr w:type="spellEnd"/>
            <w:r w:rsidRPr="001E3776">
              <w:rPr>
                <w:sz w:val="16"/>
                <w:szCs w:val="16"/>
                <w:lang w:val="en-US" w:bidi="th-TH"/>
              </w:rPr>
              <w:t> :</w:t>
            </w:r>
            <w:r w:rsidRPr="001E3776">
              <w:rPr>
                <w:color w:val="000000"/>
                <w:sz w:val="16"/>
                <w:szCs w:val="16"/>
                <w:lang w:val="en-US" w:bidi="th-TH"/>
              </w:rPr>
              <w:t xml:space="preserve"> 18 345</w:t>
            </w:r>
          </w:p>
          <w:p w14:paraId="43EE5D68" w14:textId="77777777" w:rsidR="00F96912" w:rsidRPr="001E3776" w:rsidRDefault="00F96912" w:rsidP="006658D5">
            <w:pPr>
              <w:pStyle w:val="ListParagraph"/>
              <w:ind w:left="0"/>
              <w:rPr>
                <w:rFonts w:ascii="Arial" w:hAnsi="Arial" w:cs="Arial"/>
                <w:sz w:val="16"/>
                <w:szCs w:val="16"/>
                <w:lang w:val="en-US" w:bidi="th-TH"/>
              </w:rPr>
            </w:pPr>
          </w:p>
          <w:p w14:paraId="2A822F68" w14:textId="77777777" w:rsidR="00F96912" w:rsidRPr="001E3776" w:rsidRDefault="00F96912" w:rsidP="006658D5">
            <w:pPr>
              <w:rPr>
                <w:sz w:val="16"/>
                <w:szCs w:val="16"/>
                <w:lang w:val="en-US" w:bidi="th-TH"/>
              </w:rPr>
            </w:pPr>
            <w:r w:rsidRPr="001E3776">
              <w:rPr>
                <w:sz w:val="16"/>
                <w:szCs w:val="16"/>
                <w:lang w:val="en-US" w:bidi="th-TH"/>
              </w:rPr>
              <w:t xml:space="preserve">WIPO GREEN : </w:t>
            </w:r>
            <w:r w:rsidRPr="001E3776">
              <w:rPr>
                <w:sz w:val="16"/>
                <w:szCs w:val="16"/>
                <w:lang w:val="en-US"/>
              </w:rPr>
              <w:t>117 176</w:t>
            </w:r>
          </w:p>
          <w:p w14:paraId="5F616D57" w14:textId="77777777" w:rsidR="00F96912" w:rsidRPr="001E3776" w:rsidRDefault="00F96912" w:rsidP="006658D5">
            <w:pPr>
              <w:pStyle w:val="ListParagraph"/>
              <w:ind w:left="0"/>
              <w:rPr>
                <w:rFonts w:ascii="Arial" w:hAnsi="Arial" w:cs="Arial"/>
                <w:sz w:val="16"/>
                <w:szCs w:val="16"/>
                <w:lang w:val="en-US" w:bidi="th-TH"/>
              </w:rPr>
            </w:pPr>
          </w:p>
          <w:p w14:paraId="37AC842A" w14:textId="77777777" w:rsidR="00F96912" w:rsidRPr="00CD000E" w:rsidRDefault="00F96912" w:rsidP="006658D5">
            <w:pPr>
              <w:rPr>
                <w:color w:val="000000"/>
                <w:sz w:val="16"/>
                <w:szCs w:val="16"/>
              </w:rPr>
            </w:pPr>
            <w:r w:rsidRPr="00090302">
              <w:rPr>
                <w:sz w:val="16"/>
                <w:szCs w:val="16"/>
                <w:lang w:bidi="th-TH"/>
              </w:rPr>
              <w:lastRenderedPageBreak/>
              <w:t xml:space="preserve">Téléchargements de fichiers </w:t>
            </w:r>
            <w:proofErr w:type="spellStart"/>
            <w:r w:rsidRPr="00090302">
              <w:rPr>
                <w:sz w:val="16"/>
                <w:szCs w:val="16"/>
                <w:lang w:bidi="th-TH"/>
              </w:rPr>
              <w:t>pdf</w:t>
            </w:r>
            <w:proofErr w:type="spellEnd"/>
            <w:r w:rsidRPr="00090302">
              <w:rPr>
                <w:sz w:val="16"/>
                <w:szCs w:val="16"/>
                <w:lang w:bidi="th-TH"/>
              </w:rPr>
              <w:t> : 37 868</w:t>
            </w:r>
            <w:r w:rsidRPr="00090302">
              <w:rPr>
                <w:rStyle w:val="FootnoteReference"/>
                <w:rFonts w:cs="Arial"/>
                <w:lang w:bidi="th-TH"/>
              </w:rPr>
              <w:footnoteReference w:id="78"/>
            </w:r>
          </w:p>
        </w:tc>
        <w:tc>
          <w:tcPr>
            <w:tcW w:w="744" w:type="pct"/>
            <w:gridSpan w:val="2"/>
            <w:shd w:val="clear" w:color="auto" w:fill="auto"/>
            <w:tcMar>
              <w:top w:w="110" w:type="dxa"/>
              <w:left w:w="58" w:type="dxa"/>
              <w:right w:w="58" w:type="dxa"/>
            </w:tcMar>
          </w:tcPr>
          <w:p w14:paraId="705705C3" w14:textId="77777777" w:rsidR="00F96912" w:rsidRPr="00CD000E" w:rsidRDefault="00F96912" w:rsidP="006658D5">
            <w:pPr>
              <w:jc w:val="center"/>
              <w:rPr>
                <w:b/>
                <w:color w:val="000000"/>
                <w:sz w:val="16"/>
                <w:szCs w:val="16"/>
              </w:rPr>
            </w:pPr>
          </w:p>
          <w:p w14:paraId="5585071E" w14:textId="77777777" w:rsidR="00F96912" w:rsidRDefault="00F96912" w:rsidP="006658D5">
            <w:pPr>
              <w:jc w:val="center"/>
              <w:rPr>
                <w:b/>
                <w:color w:val="FF0000"/>
                <w:sz w:val="16"/>
                <w:szCs w:val="16"/>
              </w:rPr>
            </w:pPr>
          </w:p>
          <w:p w14:paraId="6B6EFEB6" w14:textId="77777777" w:rsidR="00F96912" w:rsidRPr="00CD000E" w:rsidRDefault="00F96912" w:rsidP="006658D5">
            <w:pPr>
              <w:jc w:val="center"/>
              <w:rPr>
                <w:b/>
                <w:color w:val="FF0000"/>
                <w:sz w:val="16"/>
                <w:szCs w:val="16"/>
              </w:rPr>
            </w:pPr>
          </w:p>
          <w:p w14:paraId="1C2E6CC7" w14:textId="77777777" w:rsidR="00F96912" w:rsidRPr="00CD000E" w:rsidRDefault="00F96912" w:rsidP="006658D5">
            <w:pPr>
              <w:jc w:val="center"/>
              <w:rPr>
                <w:b/>
                <w:color w:val="FF0000"/>
                <w:sz w:val="16"/>
                <w:szCs w:val="16"/>
              </w:rPr>
            </w:pPr>
            <w:r w:rsidRPr="00CD000E">
              <w:rPr>
                <w:b/>
                <w:color w:val="FF0000"/>
                <w:sz w:val="16"/>
                <w:szCs w:val="16"/>
              </w:rPr>
              <w:t>Pas en bonne voie</w:t>
            </w:r>
          </w:p>
          <w:p w14:paraId="3C0FCDE8" w14:textId="77FCBA15" w:rsidR="00F96912" w:rsidRPr="00CD000E" w:rsidRDefault="00F96912" w:rsidP="006658D5">
            <w:pPr>
              <w:jc w:val="center"/>
              <w:rPr>
                <w:b/>
                <w:sz w:val="16"/>
                <w:szCs w:val="16"/>
              </w:rPr>
            </w:pPr>
            <w:r w:rsidRPr="00CD000E">
              <w:rPr>
                <w:b/>
                <w:color w:val="FF0000"/>
                <w:sz w:val="16"/>
                <w:szCs w:val="16"/>
              </w:rPr>
              <w:br/>
            </w:r>
            <w:r w:rsidRPr="00CD000E">
              <w:rPr>
                <w:b/>
                <w:color w:val="00B050"/>
                <w:sz w:val="16"/>
                <w:szCs w:val="16"/>
              </w:rPr>
              <w:t>En bonne voie</w:t>
            </w:r>
          </w:p>
          <w:p w14:paraId="357BA566" w14:textId="77777777" w:rsidR="005A435C" w:rsidRDefault="00F96912" w:rsidP="005A435C">
            <w:pPr>
              <w:jc w:val="center"/>
              <w:rPr>
                <w:b/>
                <w:sz w:val="16"/>
                <w:szCs w:val="16"/>
              </w:rPr>
            </w:pPr>
            <w:r>
              <w:rPr>
                <w:b/>
                <w:sz w:val="16"/>
                <w:szCs w:val="16"/>
              </w:rPr>
              <w:br/>
            </w:r>
          </w:p>
          <w:p w14:paraId="455B1F4A" w14:textId="638517F0" w:rsidR="00F96912" w:rsidRPr="00CD000E" w:rsidRDefault="00F96912" w:rsidP="005A435C">
            <w:pPr>
              <w:jc w:val="center"/>
              <w:rPr>
                <w:b/>
                <w:sz w:val="16"/>
                <w:szCs w:val="16"/>
              </w:rPr>
            </w:pPr>
            <w:r w:rsidRPr="00CD000E">
              <w:rPr>
                <w:b/>
                <w:sz w:val="16"/>
                <w:szCs w:val="16"/>
              </w:rPr>
              <w:br/>
            </w:r>
            <w:r w:rsidRPr="00CD000E">
              <w:rPr>
                <w:b/>
                <w:color w:val="00B050"/>
                <w:sz w:val="16"/>
                <w:szCs w:val="16"/>
              </w:rPr>
              <w:t>En bonne voie</w:t>
            </w:r>
          </w:p>
          <w:p w14:paraId="03F442E2" w14:textId="77777777" w:rsidR="005A435C" w:rsidRDefault="00F96912" w:rsidP="006658D5">
            <w:pPr>
              <w:jc w:val="center"/>
              <w:rPr>
                <w:b/>
                <w:color w:val="FF0000"/>
                <w:sz w:val="16"/>
                <w:szCs w:val="16"/>
              </w:rPr>
            </w:pPr>
            <w:r>
              <w:rPr>
                <w:b/>
                <w:color w:val="FF0000"/>
                <w:sz w:val="16"/>
                <w:szCs w:val="16"/>
              </w:rPr>
              <w:br/>
            </w:r>
            <w:r>
              <w:rPr>
                <w:b/>
                <w:color w:val="FF0000"/>
                <w:sz w:val="16"/>
                <w:szCs w:val="16"/>
              </w:rPr>
              <w:br/>
            </w:r>
          </w:p>
          <w:p w14:paraId="53CC23D6" w14:textId="4CB692C5" w:rsidR="00F96912" w:rsidRPr="00CD000E" w:rsidRDefault="00F96912" w:rsidP="006658D5">
            <w:pPr>
              <w:jc w:val="center"/>
              <w:rPr>
                <w:b/>
                <w:color w:val="FF0000"/>
                <w:sz w:val="16"/>
                <w:szCs w:val="16"/>
              </w:rPr>
            </w:pPr>
            <w:r>
              <w:rPr>
                <w:b/>
                <w:color w:val="FF0000"/>
                <w:sz w:val="16"/>
                <w:szCs w:val="16"/>
              </w:rPr>
              <w:br/>
            </w:r>
            <w:r w:rsidRPr="00CD000E">
              <w:rPr>
                <w:b/>
                <w:color w:val="FF0000"/>
                <w:sz w:val="16"/>
                <w:szCs w:val="16"/>
              </w:rPr>
              <w:t>Pas en bonne voie</w:t>
            </w:r>
          </w:p>
          <w:p w14:paraId="5987AD4B" w14:textId="77777777" w:rsidR="00F96912" w:rsidRPr="00CD000E" w:rsidRDefault="00F96912" w:rsidP="006658D5">
            <w:pPr>
              <w:jc w:val="center"/>
              <w:rPr>
                <w:b/>
                <w:sz w:val="16"/>
                <w:szCs w:val="16"/>
              </w:rPr>
            </w:pPr>
          </w:p>
          <w:p w14:paraId="45100D4F" w14:textId="77777777" w:rsidR="00F96912" w:rsidRPr="00CD000E" w:rsidRDefault="00F96912" w:rsidP="006658D5">
            <w:pPr>
              <w:jc w:val="center"/>
              <w:rPr>
                <w:b/>
                <w:sz w:val="16"/>
                <w:szCs w:val="16"/>
              </w:rPr>
            </w:pPr>
            <w:r w:rsidRPr="00CD000E">
              <w:rPr>
                <w:b/>
                <w:color w:val="00B050"/>
                <w:sz w:val="16"/>
                <w:szCs w:val="16"/>
              </w:rPr>
              <w:t>En bonne voie</w:t>
            </w:r>
          </w:p>
          <w:p w14:paraId="13DB5B3B" w14:textId="77777777" w:rsidR="00F96912" w:rsidRPr="00CD000E" w:rsidRDefault="00F96912" w:rsidP="006658D5">
            <w:pPr>
              <w:jc w:val="center"/>
              <w:rPr>
                <w:b/>
                <w:color w:val="000000"/>
                <w:sz w:val="16"/>
                <w:szCs w:val="16"/>
              </w:rPr>
            </w:pPr>
            <w:r>
              <w:rPr>
                <w:b/>
                <w:sz w:val="16"/>
                <w:szCs w:val="16"/>
              </w:rPr>
              <w:br/>
            </w:r>
            <w:r w:rsidRPr="00CD000E">
              <w:rPr>
                <w:b/>
                <w:sz w:val="16"/>
                <w:szCs w:val="16"/>
              </w:rPr>
              <w:br/>
            </w:r>
            <w:r w:rsidRPr="00CD000E">
              <w:rPr>
                <w:b/>
                <w:color w:val="00B050"/>
                <w:sz w:val="16"/>
                <w:szCs w:val="16"/>
              </w:rPr>
              <w:lastRenderedPageBreak/>
              <w:t>En bonne voie</w:t>
            </w:r>
          </w:p>
        </w:tc>
      </w:tr>
    </w:tbl>
    <w:p w14:paraId="13724B1D" w14:textId="77777777" w:rsidR="00F96912" w:rsidRPr="00CD000E" w:rsidRDefault="00F96912" w:rsidP="00F96912">
      <w:pPr>
        <w:rPr>
          <w:color w:val="000000"/>
          <w:sz w:val="20"/>
        </w:rPr>
      </w:pPr>
    </w:p>
    <w:p w14:paraId="22B84492" w14:textId="77777777" w:rsidR="00F96912" w:rsidRPr="00CD000E" w:rsidRDefault="00F96912" w:rsidP="00F96912">
      <w:pPr>
        <w:rPr>
          <w:color w:val="000000"/>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227E16A2" w14:textId="77777777" w:rsidTr="006658D5">
        <w:trPr>
          <w:trHeight w:val="425"/>
          <w:jc w:val="center"/>
        </w:trPr>
        <w:tc>
          <w:tcPr>
            <w:tcW w:w="9571" w:type="dxa"/>
            <w:shd w:val="clear" w:color="auto" w:fill="C6D9F1" w:themeFill="text2" w:themeFillTint="33"/>
            <w:vAlign w:val="center"/>
          </w:tcPr>
          <w:p w14:paraId="122B4EE3" w14:textId="77777777" w:rsidR="00F96912" w:rsidRPr="00CD000E" w:rsidRDefault="00F96912" w:rsidP="006658D5">
            <w:pPr>
              <w:keepNext/>
              <w:keepLines/>
              <w:jc w:val="center"/>
              <w:rPr>
                <w:b/>
                <w:color w:val="000000"/>
                <w:sz w:val="20"/>
              </w:rPr>
            </w:pPr>
            <w:r w:rsidRPr="00CD000E">
              <w:rPr>
                <w:sz w:val="20"/>
              </w:rPr>
              <w:br w:type="page"/>
            </w:r>
            <w:r w:rsidRPr="00CD000E">
              <w:rPr>
                <w:b/>
                <w:color w:val="000000"/>
                <w:sz w:val="20"/>
              </w:rPr>
              <w:t>Utilisation des ressources au titre du programme 18</w:t>
            </w:r>
          </w:p>
        </w:tc>
      </w:tr>
    </w:tbl>
    <w:p w14:paraId="5A371938" w14:textId="77777777" w:rsidR="00F96912" w:rsidRPr="00CD000E" w:rsidRDefault="00F96912" w:rsidP="00F96912">
      <w:pPr>
        <w:jc w:val="center"/>
        <w:rPr>
          <w:sz w:val="20"/>
        </w:rPr>
      </w:pPr>
    </w:p>
    <w:p w14:paraId="0ECF676B" w14:textId="77777777" w:rsidR="00F96912" w:rsidRPr="00CD000E" w:rsidRDefault="00F96912" w:rsidP="00F96912">
      <w:pPr>
        <w:pStyle w:val="NormalWeb"/>
        <w:keepNext/>
        <w:keepLines/>
        <w:spacing w:before="0" w:beforeAutospacing="0" w:after="0" w:afterAutospacing="0"/>
        <w:jc w:val="center"/>
      </w:pPr>
      <w:r w:rsidRPr="00CD000E">
        <w:rPr>
          <w:color w:val="000000"/>
        </w:rPr>
        <w:t>Budget et dépenses effectives (par résultat)</w:t>
      </w:r>
    </w:p>
    <w:p w14:paraId="45BF20D4"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505B3E41" w14:textId="77777777" w:rsidR="00F96912" w:rsidRPr="00CD000E" w:rsidRDefault="00F96912" w:rsidP="00F96912">
      <w:pPr>
        <w:rPr>
          <w:sz w:val="20"/>
        </w:rPr>
      </w:pPr>
    </w:p>
    <w:tbl>
      <w:tblPr>
        <w:tblW w:w="4324" w:type="pct"/>
        <w:jc w:val="center"/>
        <w:tblCellMar>
          <w:top w:w="57" w:type="dxa"/>
          <w:bottom w:w="57" w:type="dxa"/>
        </w:tblCellMar>
        <w:tblLook w:val="04A0" w:firstRow="1" w:lastRow="0" w:firstColumn="1" w:lastColumn="0" w:noHBand="0" w:noVBand="1"/>
      </w:tblPr>
      <w:tblGrid>
        <w:gridCol w:w="585"/>
        <w:gridCol w:w="4174"/>
        <w:gridCol w:w="1556"/>
        <w:gridCol w:w="1556"/>
        <w:gridCol w:w="1416"/>
      </w:tblGrid>
      <w:tr w:rsidR="00F96912" w:rsidRPr="00CD000E" w14:paraId="54A5E280" w14:textId="77777777" w:rsidTr="006658D5">
        <w:trPr>
          <w:jc w:val="center"/>
        </w:trPr>
        <w:tc>
          <w:tcPr>
            <w:tcW w:w="4825" w:type="dxa"/>
            <w:gridSpan w:val="2"/>
            <w:tcBorders>
              <w:top w:val="nil"/>
              <w:left w:val="nil"/>
              <w:bottom w:val="nil"/>
              <w:right w:val="nil"/>
            </w:tcBorders>
            <w:shd w:val="clear" w:color="000000" w:fill="C5D9F1"/>
            <w:noWrap/>
            <w:vAlign w:val="center"/>
            <w:hideMark/>
          </w:tcPr>
          <w:p w14:paraId="57702A44" w14:textId="77777777" w:rsidR="00F96912" w:rsidRPr="00CD000E" w:rsidRDefault="00F96912" w:rsidP="006658D5">
            <w:pPr>
              <w:jc w:val="center"/>
              <w:rPr>
                <w:b/>
                <w:bCs/>
                <w:sz w:val="16"/>
                <w:szCs w:val="16"/>
              </w:rPr>
            </w:pPr>
            <w:r w:rsidRPr="00CD000E">
              <w:rPr>
                <w:b/>
                <w:bCs/>
                <w:sz w:val="16"/>
                <w:szCs w:val="16"/>
              </w:rPr>
              <w:t>Numéro et description du résultat escompté</w:t>
            </w:r>
          </w:p>
        </w:tc>
        <w:tc>
          <w:tcPr>
            <w:tcW w:w="1153" w:type="dxa"/>
            <w:tcBorders>
              <w:top w:val="nil"/>
              <w:left w:val="nil"/>
              <w:bottom w:val="nil"/>
              <w:right w:val="nil"/>
            </w:tcBorders>
            <w:shd w:val="clear" w:color="000000" w:fill="C5D9F1"/>
            <w:vAlign w:val="center"/>
            <w:hideMark/>
          </w:tcPr>
          <w:p w14:paraId="051246B4"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52" w:type="dxa"/>
            <w:tcBorders>
              <w:top w:val="nil"/>
              <w:left w:val="nil"/>
              <w:bottom w:val="nil"/>
              <w:right w:val="nil"/>
            </w:tcBorders>
            <w:shd w:val="clear" w:color="000000" w:fill="C5D9F1"/>
            <w:vAlign w:val="center"/>
            <w:hideMark/>
          </w:tcPr>
          <w:p w14:paraId="292F0C42"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48" w:type="dxa"/>
            <w:tcBorders>
              <w:top w:val="nil"/>
              <w:left w:val="nil"/>
              <w:bottom w:val="nil"/>
              <w:right w:val="nil"/>
            </w:tcBorders>
            <w:shd w:val="clear" w:color="000000" w:fill="C5D9F1"/>
            <w:vAlign w:val="center"/>
            <w:hideMark/>
          </w:tcPr>
          <w:p w14:paraId="0CF6018B" w14:textId="77777777" w:rsidR="00F96912" w:rsidRPr="00CD000E" w:rsidRDefault="00F96912" w:rsidP="006658D5">
            <w:pPr>
              <w:jc w:val="center"/>
              <w:rPr>
                <w:b/>
                <w:bCs/>
                <w:sz w:val="16"/>
                <w:szCs w:val="16"/>
              </w:rPr>
            </w:pPr>
            <w:r>
              <w:rPr>
                <w:b/>
                <w:bCs/>
                <w:sz w:val="16"/>
                <w:szCs w:val="16"/>
              </w:rPr>
              <w:t>Dépenses </w:t>
            </w:r>
            <w:r w:rsidRPr="00CD000E">
              <w:rPr>
                <w:b/>
                <w:bCs/>
                <w:sz w:val="16"/>
                <w:szCs w:val="16"/>
              </w:rPr>
              <w:t>2016*</w:t>
            </w:r>
          </w:p>
        </w:tc>
      </w:tr>
      <w:tr w:rsidR="00F96912" w:rsidRPr="00CD000E" w14:paraId="3DC0EF77" w14:textId="77777777" w:rsidTr="006658D5">
        <w:trPr>
          <w:jc w:val="center"/>
        </w:trPr>
        <w:tc>
          <w:tcPr>
            <w:tcW w:w="590" w:type="dxa"/>
            <w:tcBorders>
              <w:top w:val="nil"/>
              <w:left w:val="nil"/>
              <w:bottom w:val="nil"/>
              <w:right w:val="nil"/>
            </w:tcBorders>
            <w:shd w:val="clear" w:color="auto" w:fill="auto"/>
            <w:noWrap/>
            <w:vAlign w:val="center"/>
            <w:hideMark/>
          </w:tcPr>
          <w:p w14:paraId="7AEF1A65" w14:textId="77777777" w:rsidR="00F96912" w:rsidRPr="00CD000E" w:rsidRDefault="00F96912" w:rsidP="006658D5">
            <w:pPr>
              <w:rPr>
                <w:sz w:val="16"/>
                <w:szCs w:val="16"/>
              </w:rPr>
            </w:pPr>
            <w:r w:rsidRPr="00CD000E">
              <w:rPr>
                <w:sz w:val="16"/>
                <w:szCs w:val="16"/>
              </w:rPr>
              <w:t>I.1</w:t>
            </w:r>
          </w:p>
        </w:tc>
        <w:tc>
          <w:tcPr>
            <w:tcW w:w="4235" w:type="dxa"/>
            <w:tcBorders>
              <w:top w:val="nil"/>
              <w:left w:val="nil"/>
              <w:bottom w:val="nil"/>
              <w:right w:val="nil"/>
            </w:tcBorders>
            <w:shd w:val="clear" w:color="auto" w:fill="auto"/>
            <w:vAlign w:val="center"/>
            <w:hideMark/>
          </w:tcPr>
          <w:p w14:paraId="41D482FC" w14:textId="77777777" w:rsidR="00F96912" w:rsidRPr="00CD000E" w:rsidRDefault="00F96912" w:rsidP="006658D5">
            <w:pPr>
              <w:rPr>
                <w:sz w:val="16"/>
                <w:szCs w:val="16"/>
              </w:rPr>
            </w:pPr>
            <w:r w:rsidRPr="00CD000E">
              <w:rPr>
                <w:sz w:val="16"/>
                <w:szCs w:val="16"/>
              </w:rPr>
              <w:t xml:space="preserve">Renforcement de la coopération entre les États membres en ce qui concerne l’élaboration de cadres normatifs internationaux équilibrés dans le domaine de la propriété intellectuelle </w:t>
            </w:r>
          </w:p>
        </w:tc>
        <w:tc>
          <w:tcPr>
            <w:tcW w:w="1153" w:type="dxa"/>
            <w:tcBorders>
              <w:top w:val="nil"/>
              <w:left w:val="nil"/>
              <w:bottom w:val="nil"/>
              <w:right w:val="nil"/>
            </w:tcBorders>
            <w:shd w:val="clear" w:color="auto" w:fill="auto"/>
            <w:noWrap/>
            <w:vAlign w:val="center"/>
            <w:hideMark/>
          </w:tcPr>
          <w:p w14:paraId="10B1E5C6" w14:textId="77777777" w:rsidR="00F96912" w:rsidRPr="00CD000E" w:rsidRDefault="00F96912" w:rsidP="006658D5">
            <w:pPr>
              <w:jc w:val="center"/>
              <w:rPr>
                <w:color w:val="000000"/>
                <w:sz w:val="16"/>
                <w:szCs w:val="16"/>
              </w:rPr>
            </w:pPr>
            <w:r w:rsidRPr="00CD000E">
              <w:rPr>
                <w:color w:val="000000"/>
                <w:sz w:val="16"/>
                <w:szCs w:val="16"/>
              </w:rPr>
              <w:t>387</w:t>
            </w:r>
          </w:p>
        </w:tc>
        <w:tc>
          <w:tcPr>
            <w:tcW w:w="1152" w:type="dxa"/>
            <w:tcBorders>
              <w:top w:val="nil"/>
              <w:left w:val="nil"/>
              <w:bottom w:val="nil"/>
              <w:right w:val="nil"/>
            </w:tcBorders>
            <w:shd w:val="clear" w:color="auto" w:fill="auto"/>
            <w:noWrap/>
            <w:vAlign w:val="center"/>
            <w:hideMark/>
          </w:tcPr>
          <w:p w14:paraId="13C8A9CF" w14:textId="77777777" w:rsidR="00F96912" w:rsidRPr="00CD000E" w:rsidRDefault="00F96912" w:rsidP="006658D5">
            <w:pPr>
              <w:jc w:val="center"/>
              <w:rPr>
                <w:color w:val="000000"/>
                <w:sz w:val="16"/>
                <w:szCs w:val="16"/>
              </w:rPr>
            </w:pPr>
            <w:r w:rsidRPr="00CD000E">
              <w:rPr>
                <w:color w:val="000000"/>
                <w:sz w:val="16"/>
                <w:szCs w:val="16"/>
              </w:rPr>
              <w:t>389</w:t>
            </w:r>
          </w:p>
        </w:tc>
        <w:tc>
          <w:tcPr>
            <w:tcW w:w="1148" w:type="dxa"/>
            <w:tcBorders>
              <w:top w:val="nil"/>
              <w:left w:val="nil"/>
              <w:bottom w:val="nil"/>
              <w:right w:val="nil"/>
            </w:tcBorders>
            <w:shd w:val="clear" w:color="auto" w:fill="auto"/>
            <w:noWrap/>
            <w:vAlign w:val="center"/>
            <w:hideMark/>
          </w:tcPr>
          <w:p w14:paraId="14272B9D" w14:textId="77777777" w:rsidR="00F96912" w:rsidRPr="00CD000E" w:rsidRDefault="00F96912" w:rsidP="006658D5">
            <w:pPr>
              <w:jc w:val="center"/>
              <w:rPr>
                <w:color w:val="000000"/>
                <w:sz w:val="16"/>
                <w:szCs w:val="16"/>
              </w:rPr>
            </w:pPr>
            <w:r w:rsidRPr="00CD000E">
              <w:rPr>
                <w:color w:val="000000"/>
                <w:sz w:val="16"/>
                <w:szCs w:val="16"/>
              </w:rPr>
              <w:t>181</w:t>
            </w:r>
          </w:p>
        </w:tc>
      </w:tr>
      <w:tr w:rsidR="00F96912" w:rsidRPr="00CD000E" w14:paraId="2831A35F" w14:textId="77777777" w:rsidTr="006658D5">
        <w:trPr>
          <w:jc w:val="center"/>
        </w:trPr>
        <w:tc>
          <w:tcPr>
            <w:tcW w:w="590" w:type="dxa"/>
            <w:tcBorders>
              <w:top w:val="nil"/>
              <w:left w:val="nil"/>
              <w:bottom w:val="nil"/>
              <w:right w:val="nil"/>
            </w:tcBorders>
            <w:shd w:val="clear" w:color="auto" w:fill="auto"/>
            <w:noWrap/>
            <w:vAlign w:val="center"/>
            <w:hideMark/>
          </w:tcPr>
          <w:p w14:paraId="2DAF825F" w14:textId="77777777" w:rsidR="00F96912" w:rsidRPr="00CD000E" w:rsidRDefault="00F96912" w:rsidP="006658D5">
            <w:pPr>
              <w:rPr>
                <w:sz w:val="16"/>
                <w:szCs w:val="16"/>
              </w:rPr>
            </w:pPr>
            <w:r w:rsidRPr="00CD000E">
              <w:rPr>
                <w:sz w:val="16"/>
                <w:szCs w:val="16"/>
              </w:rPr>
              <w:t>I.2</w:t>
            </w:r>
          </w:p>
        </w:tc>
        <w:tc>
          <w:tcPr>
            <w:tcW w:w="4235" w:type="dxa"/>
            <w:tcBorders>
              <w:top w:val="nil"/>
              <w:left w:val="nil"/>
              <w:bottom w:val="nil"/>
              <w:right w:val="nil"/>
            </w:tcBorders>
            <w:shd w:val="clear" w:color="auto" w:fill="auto"/>
            <w:vAlign w:val="center"/>
            <w:hideMark/>
          </w:tcPr>
          <w:p w14:paraId="41293DB2" w14:textId="77777777" w:rsidR="00F96912" w:rsidRPr="00CD000E" w:rsidRDefault="00F96912" w:rsidP="006658D5">
            <w:pPr>
              <w:rPr>
                <w:sz w:val="16"/>
                <w:szCs w:val="16"/>
              </w:rPr>
            </w:pPr>
            <w:r w:rsidRPr="00CD000E">
              <w:rPr>
                <w:sz w:val="16"/>
                <w:szCs w:val="16"/>
              </w:rPr>
              <w:t>Cadres législatifs, réglementaires et politiques adaptés et équilibrés en matière de propriété intellectuelle</w:t>
            </w:r>
          </w:p>
        </w:tc>
        <w:tc>
          <w:tcPr>
            <w:tcW w:w="1153" w:type="dxa"/>
            <w:tcBorders>
              <w:top w:val="nil"/>
              <w:left w:val="nil"/>
              <w:bottom w:val="nil"/>
              <w:right w:val="nil"/>
            </w:tcBorders>
            <w:shd w:val="clear" w:color="auto" w:fill="auto"/>
            <w:noWrap/>
            <w:vAlign w:val="center"/>
            <w:hideMark/>
          </w:tcPr>
          <w:p w14:paraId="66309E91" w14:textId="77777777" w:rsidR="00F96912" w:rsidRPr="00CD000E" w:rsidRDefault="00F96912" w:rsidP="006658D5">
            <w:pPr>
              <w:jc w:val="center"/>
              <w:rPr>
                <w:color w:val="000000"/>
                <w:sz w:val="16"/>
                <w:szCs w:val="16"/>
              </w:rPr>
            </w:pPr>
            <w:r w:rsidRPr="00CD000E">
              <w:rPr>
                <w:color w:val="000000"/>
                <w:sz w:val="16"/>
                <w:szCs w:val="16"/>
              </w:rPr>
              <w:t>1 500</w:t>
            </w:r>
          </w:p>
        </w:tc>
        <w:tc>
          <w:tcPr>
            <w:tcW w:w="1152" w:type="dxa"/>
            <w:tcBorders>
              <w:top w:val="nil"/>
              <w:left w:val="nil"/>
              <w:bottom w:val="nil"/>
              <w:right w:val="nil"/>
            </w:tcBorders>
            <w:shd w:val="clear" w:color="auto" w:fill="auto"/>
            <w:noWrap/>
            <w:vAlign w:val="center"/>
            <w:hideMark/>
          </w:tcPr>
          <w:p w14:paraId="724016C3" w14:textId="77777777" w:rsidR="00F96912" w:rsidRPr="00CD000E" w:rsidRDefault="00F96912" w:rsidP="006658D5">
            <w:pPr>
              <w:jc w:val="center"/>
              <w:rPr>
                <w:color w:val="000000"/>
                <w:sz w:val="16"/>
                <w:szCs w:val="16"/>
              </w:rPr>
            </w:pPr>
            <w:r w:rsidRPr="00CD000E">
              <w:rPr>
                <w:color w:val="000000"/>
                <w:sz w:val="16"/>
                <w:szCs w:val="16"/>
              </w:rPr>
              <w:t>202</w:t>
            </w:r>
          </w:p>
        </w:tc>
        <w:tc>
          <w:tcPr>
            <w:tcW w:w="1148" w:type="dxa"/>
            <w:tcBorders>
              <w:top w:val="nil"/>
              <w:left w:val="nil"/>
              <w:bottom w:val="nil"/>
              <w:right w:val="nil"/>
            </w:tcBorders>
            <w:shd w:val="clear" w:color="auto" w:fill="auto"/>
            <w:noWrap/>
            <w:vAlign w:val="center"/>
            <w:hideMark/>
          </w:tcPr>
          <w:p w14:paraId="1FB61ADF" w14:textId="77777777" w:rsidR="00F96912" w:rsidRPr="00CD000E" w:rsidRDefault="00F96912" w:rsidP="006658D5">
            <w:pPr>
              <w:jc w:val="center"/>
              <w:rPr>
                <w:color w:val="000000"/>
                <w:sz w:val="16"/>
                <w:szCs w:val="16"/>
              </w:rPr>
            </w:pPr>
            <w:r w:rsidRPr="00CD000E">
              <w:rPr>
                <w:color w:val="000000"/>
                <w:sz w:val="16"/>
                <w:szCs w:val="16"/>
              </w:rPr>
              <w:t>142</w:t>
            </w:r>
          </w:p>
        </w:tc>
      </w:tr>
      <w:tr w:rsidR="00F96912" w:rsidRPr="00CD000E" w14:paraId="336DDB60" w14:textId="77777777" w:rsidTr="006658D5">
        <w:trPr>
          <w:jc w:val="center"/>
        </w:trPr>
        <w:tc>
          <w:tcPr>
            <w:tcW w:w="590" w:type="dxa"/>
            <w:tcBorders>
              <w:top w:val="nil"/>
              <w:left w:val="nil"/>
              <w:bottom w:val="nil"/>
              <w:right w:val="nil"/>
            </w:tcBorders>
            <w:shd w:val="clear" w:color="auto" w:fill="auto"/>
            <w:noWrap/>
            <w:vAlign w:val="center"/>
            <w:hideMark/>
          </w:tcPr>
          <w:p w14:paraId="13553C7F" w14:textId="77777777" w:rsidR="00F96912" w:rsidRPr="00CD000E" w:rsidRDefault="00F96912" w:rsidP="006658D5">
            <w:pPr>
              <w:rPr>
                <w:sz w:val="16"/>
                <w:szCs w:val="16"/>
              </w:rPr>
            </w:pPr>
            <w:r w:rsidRPr="00CD000E">
              <w:rPr>
                <w:sz w:val="16"/>
                <w:szCs w:val="16"/>
              </w:rPr>
              <w:t>III.2</w:t>
            </w:r>
          </w:p>
        </w:tc>
        <w:tc>
          <w:tcPr>
            <w:tcW w:w="4235" w:type="dxa"/>
            <w:tcBorders>
              <w:top w:val="nil"/>
              <w:left w:val="nil"/>
              <w:bottom w:val="nil"/>
              <w:right w:val="nil"/>
            </w:tcBorders>
            <w:shd w:val="clear" w:color="auto" w:fill="auto"/>
            <w:vAlign w:val="center"/>
            <w:hideMark/>
          </w:tcPr>
          <w:p w14:paraId="47FE8477" w14:textId="77777777" w:rsidR="00F96912" w:rsidRPr="00CD000E" w:rsidRDefault="00F96912" w:rsidP="006658D5">
            <w:pPr>
              <w:rPr>
                <w:sz w:val="16"/>
                <w:szCs w:val="16"/>
              </w:rPr>
            </w:pPr>
            <w:r w:rsidRPr="00CD000E">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153" w:type="dxa"/>
            <w:tcBorders>
              <w:top w:val="nil"/>
              <w:left w:val="nil"/>
              <w:bottom w:val="nil"/>
              <w:right w:val="nil"/>
            </w:tcBorders>
            <w:shd w:val="clear" w:color="auto" w:fill="auto"/>
            <w:noWrap/>
            <w:vAlign w:val="center"/>
            <w:hideMark/>
          </w:tcPr>
          <w:p w14:paraId="0A2CA924" w14:textId="77777777" w:rsidR="00F96912" w:rsidRPr="00CD000E" w:rsidRDefault="00F96912" w:rsidP="006658D5">
            <w:pPr>
              <w:jc w:val="center"/>
              <w:rPr>
                <w:color w:val="000000"/>
                <w:sz w:val="16"/>
                <w:szCs w:val="16"/>
              </w:rPr>
            </w:pPr>
            <w:r w:rsidRPr="00CD000E">
              <w:rPr>
                <w:color w:val="000000"/>
                <w:sz w:val="16"/>
                <w:szCs w:val="16"/>
              </w:rPr>
              <w:t>145</w:t>
            </w:r>
          </w:p>
        </w:tc>
        <w:tc>
          <w:tcPr>
            <w:tcW w:w="1152" w:type="dxa"/>
            <w:tcBorders>
              <w:top w:val="nil"/>
              <w:left w:val="nil"/>
              <w:bottom w:val="nil"/>
              <w:right w:val="nil"/>
            </w:tcBorders>
            <w:shd w:val="clear" w:color="auto" w:fill="auto"/>
            <w:noWrap/>
            <w:vAlign w:val="center"/>
            <w:hideMark/>
          </w:tcPr>
          <w:p w14:paraId="6E6190BC" w14:textId="77777777" w:rsidR="00F96912" w:rsidRPr="00CD000E" w:rsidRDefault="00F96912" w:rsidP="006658D5">
            <w:pPr>
              <w:jc w:val="center"/>
              <w:rPr>
                <w:color w:val="000000"/>
                <w:sz w:val="16"/>
                <w:szCs w:val="16"/>
              </w:rPr>
            </w:pPr>
            <w:r w:rsidRPr="00CD000E">
              <w:rPr>
                <w:color w:val="000000"/>
                <w:sz w:val="16"/>
                <w:szCs w:val="16"/>
              </w:rPr>
              <w:t>436</w:t>
            </w:r>
          </w:p>
        </w:tc>
        <w:tc>
          <w:tcPr>
            <w:tcW w:w="1148" w:type="dxa"/>
            <w:tcBorders>
              <w:top w:val="nil"/>
              <w:left w:val="nil"/>
              <w:bottom w:val="nil"/>
              <w:right w:val="nil"/>
            </w:tcBorders>
            <w:shd w:val="clear" w:color="auto" w:fill="auto"/>
            <w:noWrap/>
            <w:vAlign w:val="center"/>
            <w:hideMark/>
          </w:tcPr>
          <w:p w14:paraId="2FFA6127" w14:textId="77777777" w:rsidR="00F96912" w:rsidRPr="00CD000E" w:rsidRDefault="00F96912" w:rsidP="006658D5">
            <w:pPr>
              <w:jc w:val="center"/>
              <w:rPr>
                <w:color w:val="000000"/>
                <w:sz w:val="16"/>
                <w:szCs w:val="16"/>
              </w:rPr>
            </w:pPr>
            <w:r w:rsidRPr="00CD000E">
              <w:rPr>
                <w:color w:val="000000"/>
                <w:sz w:val="16"/>
                <w:szCs w:val="16"/>
              </w:rPr>
              <w:t>218</w:t>
            </w:r>
          </w:p>
        </w:tc>
      </w:tr>
      <w:tr w:rsidR="00F96912" w:rsidRPr="00CD000E" w14:paraId="509136D8" w14:textId="77777777" w:rsidTr="006658D5">
        <w:trPr>
          <w:jc w:val="center"/>
        </w:trPr>
        <w:tc>
          <w:tcPr>
            <w:tcW w:w="590" w:type="dxa"/>
            <w:tcBorders>
              <w:top w:val="nil"/>
              <w:left w:val="nil"/>
              <w:bottom w:val="nil"/>
              <w:right w:val="nil"/>
            </w:tcBorders>
            <w:shd w:val="clear" w:color="auto" w:fill="auto"/>
            <w:noWrap/>
            <w:vAlign w:val="center"/>
            <w:hideMark/>
          </w:tcPr>
          <w:p w14:paraId="1885D349" w14:textId="77777777" w:rsidR="00F96912" w:rsidRPr="00CD000E" w:rsidRDefault="00F96912" w:rsidP="006658D5">
            <w:pPr>
              <w:rPr>
                <w:sz w:val="16"/>
                <w:szCs w:val="16"/>
              </w:rPr>
            </w:pPr>
            <w:r w:rsidRPr="00CD000E">
              <w:rPr>
                <w:sz w:val="16"/>
                <w:szCs w:val="16"/>
              </w:rPr>
              <w:t>VI.1</w:t>
            </w:r>
          </w:p>
        </w:tc>
        <w:tc>
          <w:tcPr>
            <w:tcW w:w="4235" w:type="dxa"/>
            <w:tcBorders>
              <w:top w:val="nil"/>
              <w:left w:val="nil"/>
              <w:bottom w:val="nil"/>
              <w:right w:val="nil"/>
            </w:tcBorders>
            <w:shd w:val="clear" w:color="auto" w:fill="auto"/>
            <w:vAlign w:val="center"/>
            <w:hideMark/>
          </w:tcPr>
          <w:p w14:paraId="61075017" w14:textId="77777777" w:rsidR="00F96912" w:rsidRPr="00CD000E" w:rsidRDefault="00F96912" w:rsidP="006658D5">
            <w:pPr>
              <w:rPr>
                <w:sz w:val="16"/>
                <w:szCs w:val="16"/>
              </w:rPr>
            </w:pPr>
            <w:r w:rsidRPr="00CD000E">
              <w:rPr>
                <w:sz w:val="16"/>
                <w:szCs w:val="16"/>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153" w:type="dxa"/>
            <w:tcBorders>
              <w:top w:val="nil"/>
              <w:left w:val="nil"/>
              <w:bottom w:val="nil"/>
              <w:right w:val="nil"/>
            </w:tcBorders>
            <w:shd w:val="clear" w:color="auto" w:fill="auto"/>
            <w:noWrap/>
            <w:vAlign w:val="center"/>
            <w:hideMark/>
          </w:tcPr>
          <w:p w14:paraId="70986183" w14:textId="77777777" w:rsidR="00F96912" w:rsidRPr="00CD000E" w:rsidRDefault="00F96912" w:rsidP="006658D5">
            <w:pPr>
              <w:jc w:val="center"/>
              <w:rPr>
                <w:color w:val="000000"/>
                <w:sz w:val="16"/>
                <w:szCs w:val="16"/>
              </w:rPr>
            </w:pPr>
            <w:r w:rsidRPr="00CD000E">
              <w:rPr>
                <w:color w:val="000000"/>
                <w:sz w:val="16"/>
                <w:szCs w:val="16"/>
              </w:rPr>
              <w:t>187</w:t>
            </w:r>
          </w:p>
        </w:tc>
        <w:tc>
          <w:tcPr>
            <w:tcW w:w="1152" w:type="dxa"/>
            <w:tcBorders>
              <w:top w:val="nil"/>
              <w:left w:val="nil"/>
              <w:bottom w:val="nil"/>
              <w:right w:val="nil"/>
            </w:tcBorders>
            <w:shd w:val="clear" w:color="auto" w:fill="auto"/>
            <w:noWrap/>
            <w:vAlign w:val="center"/>
            <w:hideMark/>
          </w:tcPr>
          <w:p w14:paraId="20E1D2A8" w14:textId="77777777" w:rsidR="00F96912" w:rsidRPr="00CD000E" w:rsidRDefault="00F96912" w:rsidP="006658D5">
            <w:pPr>
              <w:jc w:val="center"/>
              <w:rPr>
                <w:color w:val="000000"/>
                <w:sz w:val="16"/>
                <w:szCs w:val="16"/>
              </w:rPr>
            </w:pPr>
            <w:r w:rsidRPr="00CD000E">
              <w:rPr>
                <w:color w:val="000000"/>
                <w:sz w:val="16"/>
                <w:szCs w:val="16"/>
              </w:rPr>
              <w:t>375</w:t>
            </w:r>
          </w:p>
        </w:tc>
        <w:tc>
          <w:tcPr>
            <w:tcW w:w="1148" w:type="dxa"/>
            <w:tcBorders>
              <w:top w:val="nil"/>
              <w:left w:val="nil"/>
              <w:bottom w:val="nil"/>
              <w:right w:val="nil"/>
            </w:tcBorders>
            <w:shd w:val="clear" w:color="auto" w:fill="auto"/>
            <w:noWrap/>
            <w:vAlign w:val="center"/>
            <w:hideMark/>
          </w:tcPr>
          <w:p w14:paraId="125B3872" w14:textId="77777777" w:rsidR="00F96912" w:rsidRPr="00CD000E" w:rsidRDefault="00F96912" w:rsidP="006658D5">
            <w:pPr>
              <w:jc w:val="center"/>
              <w:rPr>
                <w:color w:val="000000"/>
                <w:sz w:val="16"/>
                <w:szCs w:val="16"/>
              </w:rPr>
            </w:pPr>
            <w:r w:rsidRPr="00CD000E">
              <w:rPr>
                <w:color w:val="000000"/>
                <w:sz w:val="16"/>
                <w:szCs w:val="16"/>
              </w:rPr>
              <w:t>180</w:t>
            </w:r>
          </w:p>
        </w:tc>
      </w:tr>
      <w:tr w:rsidR="00F96912" w:rsidRPr="00CD000E" w14:paraId="0832D5A9" w14:textId="77777777" w:rsidTr="006658D5">
        <w:trPr>
          <w:jc w:val="center"/>
        </w:trPr>
        <w:tc>
          <w:tcPr>
            <w:tcW w:w="590" w:type="dxa"/>
            <w:tcBorders>
              <w:top w:val="nil"/>
              <w:left w:val="nil"/>
              <w:bottom w:val="nil"/>
              <w:right w:val="nil"/>
            </w:tcBorders>
            <w:shd w:val="clear" w:color="auto" w:fill="auto"/>
            <w:noWrap/>
            <w:vAlign w:val="center"/>
            <w:hideMark/>
          </w:tcPr>
          <w:p w14:paraId="6DF1D69B" w14:textId="77777777" w:rsidR="00F96912" w:rsidRPr="00CD000E" w:rsidRDefault="00F96912" w:rsidP="006658D5">
            <w:pPr>
              <w:rPr>
                <w:sz w:val="16"/>
                <w:szCs w:val="16"/>
              </w:rPr>
            </w:pPr>
            <w:r w:rsidRPr="00CD000E">
              <w:rPr>
                <w:sz w:val="16"/>
                <w:szCs w:val="16"/>
              </w:rPr>
              <w:t>VI.2</w:t>
            </w:r>
          </w:p>
        </w:tc>
        <w:tc>
          <w:tcPr>
            <w:tcW w:w="4235" w:type="dxa"/>
            <w:tcBorders>
              <w:top w:val="nil"/>
              <w:left w:val="nil"/>
              <w:bottom w:val="nil"/>
              <w:right w:val="nil"/>
            </w:tcBorders>
            <w:shd w:val="clear" w:color="auto" w:fill="auto"/>
            <w:vAlign w:val="center"/>
            <w:hideMark/>
          </w:tcPr>
          <w:p w14:paraId="71C2E5DA" w14:textId="77777777" w:rsidR="00F96912" w:rsidRPr="00CD000E" w:rsidRDefault="00F96912" w:rsidP="006658D5">
            <w:pPr>
              <w:rPr>
                <w:sz w:val="16"/>
                <w:szCs w:val="16"/>
              </w:rPr>
            </w:pPr>
            <w:r w:rsidRPr="00CD000E">
              <w:rPr>
                <w:sz w:val="16"/>
                <w:szCs w:val="16"/>
              </w:rPr>
              <w:t>Coopération et coordination systématiques et efficaces entre les travaux de l’OMPI et ceux d’autres organisations internationales dans le domaine de la promotion du respect de la propriété intellectuelle</w:t>
            </w:r>
          </w:p>
        </w:tc>
        <w:tc>
          <w:tcPr>
            <w:tcW w:w="1153" w:type="dxa"/>
            <w:tcBorders>
              <w:top w:val="nil"/>
              <w:left w:val="nil"/>
              <w:bottom w:val="nil"/>
              <w:right w:val="nil"/>
            </w:tcBorders>
            <w:shd w:val="clear" w:color="auto" w:fill="auto"/>
            <w:noWrap/>
            <w:vAlign w:val="center"/>
            <w:hideMark/>
          </w:tcPr>
          <w:p w14:paraId="5CF8CB76" w14:textId="77777777" w:rsidR="00F96912" w:rsidRPr="00CD000E" w:rsidRDefault="00F96912" w:rsidP="006658D5">
            <w:pPr>
              <w:jc w:val="center"/>
              <w:rPr>
                <w:color w:val="000000"/>
                <w:sz w:val="16"/>
                <w:szCs w:val="16"/>
              </w:rPr>
            </w:pPr>
            <w:r w:rsidRPr="00CD000E">
              <w:rPr>
                <w:color w:val="000000"/>
                <w:sz w:val="16"/>
                <w:szCs w:val="16"/>
              </w:rPr>
              <w:t>197</w:t>
            </w:r>
          </w:p>
        </w:tc>
        <w:tc>
          <w:tcPr>
            <w:tcW w:w="1152" w:type="dxa"/>
            <w:tcBorders>
              <w:top w:val="nil"/>
              <w:left w:val="nil"/>
              <w:bottom w:val="nil"/>
              <w:right w:val="nil"/>
            </w:tcBorders>
            <w:shd w:val="clear" w:color="auto" w:fill="auto"/>
            <w:noWrap/>
            <w:vAlign w:val="center"/>
            <w:hideMark/>
          </w:tcPr>
          <w:p w14:paraId="4FA26407" w14:textId="77777777" w:rsidR="00F96912" w:rsidRPr="00CD000E" w:rsidRDefault="00F96912" w:rsidP="006658D5">
            <w:pPr>
              <w:jc w:val="center"/>
              <w:rPr>
                <w:color w:val="000000"/>
                <w:sz w:val="16"/>
                <w:szCs w:val="16"/>
              </w:rPr>
            </w:pPr>
            <w:r w:rsidRPr="00CD000E">
              <w:rPr>
                <w:color w:val="000000"/>
                <w:sz w:val="16"/>
                <w:szCs w:val="16"/>
              </w:rPr>
              <w:t>216</w:t>
            </w:r>
          </w:p>
        </w:tc>
        <w:tc>
          <w:tcPr>
            <w:tcW w:w="1148" w:type="dxa"/>
            <w:tcBorders>
              <w:top w:val="nil"/>
              <w:left w:val="nil"/>
              <w:bottom w:val="nil"/>
              <w:right w:val="nil"/>
            </w:tcBorders>
            <w:shd w:val="clear" w:color="auto" w:fill="auto"/>
            <w:noWrap/>
            <w:vAlign w:val="center"/>
            <w:hideMark/>
          </w:tcPr>
          <w:p w14:paraId="23E44B8B" w14:textId="77777777" w:rsidR="00F96912" w:rsidRPr="00CD000E" w:rsidRDefault="00F96912" w:rsidP="006658D5">
            <w:pPr>
              <w:jc w:val="center"/>
              <w:rPr>
                <w:color w:val="000000"/>
                <w:sz w:val="16"/>
                <w:szCs w:val="16"/>
              </w:rPr>
            </w:pPr>
            <w:r w:rsidRPr="00CD000E">
              <w:rPr>
                <w:color w:val="000000"/>
                <w:sz w:val="16"/>
                <w:szCs w:val="16"/>
              </w:rPr>
              <w:t>105</w:t>
            </w:r>
          </w:p>
        </w:tc>
      </w:tr>
      <w:tr w:rsidR="00F96912" w:rsidRPr="00CD000E" w14:paraId="436AB10C" w14:textId="77777777" w:rsidTr="006658D5">
        <w:trPr>
          <w:jc w:val="center"/>
        </w:trPr>
        <w:tc>
          <w:tcPr>
            <w:tcW w:w="590" w:type="dxa"/>
            <w:tcBorders>
              <w:top w:val="nil"/>
              <w:left w:val="nil"/>
              <w:bottom w:val="nil"/>
              <w:right w:val="nil"/>
            </w:tcBorders>
            <w:shd w:val="clear" w:color="auto" w:fill="auto"/>
            <w:noWrap/>
            <w:vAlign w:val="center"/>
            <w:hideMark/>
          </w:tcPr>
          <w:p w14:paraId="213B76C9" w14:textId="77777777" w:rsidR="00F96912" w:rsidRPr="00CD000E" w:rsidRDefault="00F96912" w:rsidP="006658D5">
            <w:pPr>
              <w:rPr>
                <w:sz w:val="16"/>
                <w:szCs w:val="16"/>
              </w:rPr>
            </w:pPr>
            <w:r w:rsidRPr="00CD000E">
              <w:rPr>
                <w:sz w:val="16"/>
                <w:szCs w:val="16"/>
              </w:rPr>
              <w:t>VII.2</w:t>
            </w:r>
          </w:p>
        </w:tc>
        <w:tc>
          <w:tcPr>
            <w:tcW w:w="4235" w:type="dxa"/>
            <w:tcBorders>
              <w:top w:val="nil"/>
              <w:left w:val="nil"/>
              <w:bottom w:val="nil"/>
              <w:right w:val="nil"/>
            </w:tcBorders>
            <w:shd w:val="clear" w:color="auto" w:fill="auto"/>
            <w:vAlign w:val="center"/>
            <w:hideMark/>
          </w:tcPr>
          <w:p w14:paraId="0148ADF4" w14:textId="77777777" w:rsidR="00F96912" w:rsidRPr="00CD000E" w:rsidRDefault="00F96912" w:rsidP="006658D5">
            <w:pPr>
              <w:rPr>
                <w:sz w:val="16"/>
                <w:szCs w:val="16"/>
              </w:rPr>
            </w:pPr>
            <w:r w:rsidRPr="00CD000E">
              <w:rPr>
                <w:sz w:val="16"/>
                <w:szCs w:val="16"/>
              </w:rPr>
              <w:t>Plateformes et instruments fondés sur la propriété intellectuelle pour le transfert de connaissances et l’adaptation et la diffusion de la technologie entre les pays développés et les pays en développement, notamment les PMA, pour relever des défis mondiaux</w:t>
            </w:r>
          </w:p>
        </w:tc>
        <w:tc>
          <w:tcPr>
            <w:tcW w:w="1153" w:type="dxa"/>
            <w:tcBorders>
              <w:top w:val="nil"/>
              <w:left w:val="nil"/>
              <w:bottom w:val="nil"/>
              <w:right w:val="nil"/>
            </w:tcBorders>
            <w:shd w:val="clear" w:color="auto" w:fill="auto"/>
            <w:noWrap/>
            <w:vAlign w:val="center"/>
            <w:hideMark/>
          </w:tcPr>
          <w:p w14:paraId="5C460E34" w14:textId="77777777" w:rsidR="00F96912" w:rsidRPr="00CD000E" w:rsidRDefault="00F96912" w:rsidP="006658D5">
            <w:pPr>
              <w:jc w:val="center"/>
              <w:rPr>
                <w:color w:val="000000"/>
                <w:sz w:val="16"/>
                <w:szCs w:val="16"/>
              </w:rPr>
            </w:pPr>
            <w:r w:rsidRPr="00CD000E">
              <w:rPr>
                <w:color w:val="000000"/>
                <w:sz w:val="16"/>
                <w:szCs w:val="16"/>
              </w:rPr>
              <w:t>3 497</w:t>
            </w:r>
          </w:p>
        </w:tc>
        <w:tc>
          <w:tcPr>
            <w:tcW w:w="1152" w:type="dxa"/>
            <w:tcBorders>
              <w:top w:val="nil"/>
              <w:left w:val="nil"/>
              <w:bottom w:val="nil"/>
              <w:right w:val="nil"/>
            </w:tcBorders>
            <w:shd w:val="clear" w:color="auto" w:fill="auto"/>
            <w:noWrap/>
            <w:vAlign w:val="center"/>
            <w:hideMark/>
          </w:tcPr>
          <w:p w14:paraId="069BD350" w14:textId="77777777" w:rsidR="00F96912" w:rsidRPr="00CD000E" w:rsidRDefault="00F96912" w:rsidP="006658D5">
            <w:pPr>
              <w:jc w:val="center"/>
              <w:rPr>
                <w:color w:val="000000"/>
                <w:sz w:val="16"/>
                <w:szCs w:val="16"/>
              </w:rPr>
            </w:pPr>
            <w:r w:rsidRPr="00CD000E">
              <w:rPr>
                <w:color w:val="000000"/>
                <w:sz w:val="16"/>
                <w:szCs w:val="16"/>
              </w:rPr>
              <w:t>4 005</w:t>
            </w:r>
          </w:p>
        </w:tc>
        <w:tc>
          <w:tcPr>
            <w:tcW w:w="1148" w:type="dxa"/>
            <w:tcBorders>
              <w:top w:val="nil"/>
              <w:left w:val="nil"/>
              <w:bottom w:val="nil"/>
              <w:right w:val="nil"/>
            </w:tcBorders>
            <w:shd w:val="clear" w:color="auto" w:fill="auto"/>
            <w:noWrap/>
            <w:vAlign w:val="center"/>
            <w:hideMark/>
          </w:tcPr>
          <w:p w14:paraId="23064AA7" w14:textId="77777777" w:rsidR="00F96912" w:rsidRPr="00CD000E" w:rsidRDefault="00F96912" w:rsidP="006658D5">
            <w:pPr>
              <w:jc w:val="center"/>
              <w:rPr>
                <w:color w:val="000000"/>
                <w:sz w:val="16"/>
                <w:szCs w:val="16"/>
              </w:rPr>
            </w:pPr>
            <w:r w:rsidRPr="00CD000E">
              <w:rPr>
                <w:color w:val="000000"/>
                <w:sz w:val="16"/>
                <w:szCs w:val="16"/>
              </w:rPr>
              <w:t>1 845</w:t>
            </w:r>
          </w:p>
        </w:tc>
      </w:tr>
      <w:tr w:rsidR="00F96912" w:rsidRPr="00CD000E" w14:paraId="1EF0C2F4" w14:textId="77777777" w:rsidTr="006658D5">
        <w:trPr>
          <w:jc w:val="center"/>
        </w:trPr>
        <w:tc>
          <w:tcPr>
            <w:tcW w:w="590" w:type="dxa"/>
            <w:tcBorders>
              <w:top w:val="nil"/>
              <w:left w:val="nil"/>
              <w:bottom w:val="nil"/>
              <w:right w:val="nil"/>
            </w:tcBorders>
            <w:shd w:val="clear" w:color="auto" w:fill="auto"/>
            <w:noWrap/>
            <w:vAlign w:val="center"/>
            <w:hideMark/>
          </w:tcPr>
          <w:p w14:paraId="6F170507" w14:textId="77777777" w:rsidR="00F96912" w:rsidRPr="00CD000E" w:rsidRDefault="00F96912" w:rsidP="006658D5">
            <w:pPr>
              <w:rPr>
                <w:sz w:val="16"/>
                <w:szCs w:val="16"/>
              </w:rPr>
            </w:pPr>
            <w:r w:rsidRPr="00CD000E">
              <w:rPr>
                <w:sz w:val="16"/>
                <w:szCs w:val="16"/>
              </w:rPr>
              <w:t>VIII.5</w:t>
            </w:r>
          </w:p>
        </w:tc>
        <w:tc>
          <w:tcPr>
            <w:tcW w:w="4235" w:type="dxa"/>
            <w:tcBorders>
              <w:top w:val="nil"/>
              <w:left w:val="nil"/>
              <w:bottom w:val="nil"/>
              <w:right w:val="nil"/>
            </w:tcBorders>
            <w:shd w:val="clear" w:color="auto" w:fill="auto"/>
            <w:vAlign w:val="center"/>
            <w:hideMark/>
          </w:tcPr>
          <w:p w14:paraId="6128DE6B" w14:textId="77777777" w:rsidR="00F96912" w:rsidRPr="00CD000E" w:rsidRDefault="00F96912" w:rsidP="006658D5">
            <w:pPr>
              <w:rPr>
                <w:sz w:val="16"/>
                <w:szCs w:val="16"/>
              </w:rPr>
            </w:pPr>
            <w:r w:rsidRPr="00CD000E">
              <w:rPr>
                <w:sz w:val="16"/>
                <w:szCs w:val="16"/>
              </w:rPr>
              <w:t>L’OMPI collabore efficacement avec d’autres processus et instances de négociation de l’ONU et d’autres organisations intergouvernementales</w:t>
            </w:r>
          </w:p>
        </w:tc>
        <w:tc>
          <w:tcPr>
            <w:tcW w:w="1153" w:type="dxa"/>
            <w:tcBorders>
              <w:top w:val="nil"/>
              <w:left w:val="nil"/>
              <w:bottom w:val="nil"/>
              <w:right w:val="nil"/>
            </w:tcBorders>
            <w:shd w:val="clear" w:color="auto" w:fill="auto"/>
            <w:noWrap/>
            <w:vAlign w:val="center"/>
            <w:hideMark/>
          </w:tcPr>
          <w:p w14:paraId="77E998E4" w14:textId="77777777" w:rsidR="00F96912" w:rsidRPr="00CD000E" w:rsidRDefault="00F96912" w:rsidP="006658D5">
            <w:pPr>
              <w:jc w:val="center"/>
              <w:rPr>
                <w:color w:val="000000"/>
                <w:sz w:val="16"/>
                <w:szCs w:val="16"/>
              </w:rPr>
            </w:pPr>
            <w:r w:rsidRPr="00CD000E">
              <w:rPr>
                <w:color w:val="000000"/>
                <w:sz w:val="16"/>
                <w:szCs w:val="16"/>
              </w:rPr>
              <w:t>410</w:t>
            </w:r>
          </w:p>
        </w:tc>
        <w:tc>
          <w:tcPr>
            <w:tcW w:w="1152" w:type="dxa"/>
            <w:tcBorders>
              <w:top w:val="nil"/>
              <w:left w:val="nil"/>
              <w:bottom w:val="nil"/>
              <w:right w:val="nil"/>
            </w:tcBorders>
            <w:shd w:val="clear" w:color="auto" w:fill="auto"/>
            <w:noWrap/>
            <w:vAlign w:val="center"/>
            <w:hideMark/>
          </w:tcPr>
          <w:p w14:paraId="579B63DB" w14:textId="77777777" w:rsidR="00F96912" w:rsidRPr="00CD000E" w:rsidRDefault="00F96912" w:rsidP="006658D5">
            <w:pPr>
              <w:jc w:val="center"/>
              <w:rPr>
                <w:color w:val="000000"/>
                <w:sz w:val="16"/>
                <w:szCs w:val="16"/>
              </w:rPr>
            </w:pPr>
            <w:r w:rsidRPr="00CD000E">
              <w:rPr>
                <w:color w:val="000000"/>
                <w:sz w:val="16"/>
                <w:szCs w:val="16"/>
              </w:rPr>
              <w:t>400</w:t>
            </w:r>
          </w:p>
        </w:tc>
        <w:tc>
          <w:tcPr>
            <w:tcW w:w="1148" w:type="dxa"/>
            <w:tcBorders>
              <w:top w:val="nil"/>
              <w:left w:val="nil"/>
              <w:bottom w:val="nil"/>
              <w:right w:val="nil"/>
            </w:tcBorders>
            <w:shd w:val="clear" w:color="auto" w:fill="auto"/>
            <w:noWrap/>
            <w:vAlign w:val="center"/>
            <w:hideMark/>
          </w:tcPr>
          <w:p w14:paraId="7F529A27" w14:textId="77777777" w:rsidR="00F96912" w:rsidRPr="00CD000E" w:rsidRDefault="00F96912" w:rsidP="006658D5">
            <w:pPr>
              <w:jc w:val="center"/>
              <w:rPr>
                <w:color w:val="000000"/>
                <w:sz w:val="16"/>
                <w:szCs w:val="16"/>
              </w:rPr>
            </w:pPr>
            <w:r w:rsidRPr="00CD000E">
              <w:rPr>
                <w:color w:val="000000"/>
                <w:sz w:val="16"/>
                <w:szCs w:val="16"/>
              </w:rPr>
              <w:t>200</w:t>
            </w:r>
          </w:p>
        </w:tc>
      </w:tr>
      <w:tr w:rsidR="00F96912" w:rsidRPr="00CD000E" w14:paraId="1418AC3C" w14:textId="77777777" w:rsidTr="006658D5">
        <w:trPr>
          <w:jc w:val="center"/>
        </w:trPr>
        <w:tc>
          <w:tcPr>
            <w:tcW w:w="590" w:type="dxa"/>
            <w:tcBorders>
              <w:top w:val="nil"/>
              <w:left w:val="nil"/>
              <w:bottom w:val="nil"/>
              <w:right w:val="nil"/>
            </w:tcBorders>
            <w:shd w:val="clear" w:color="000000" w:fill="C5D9F1"/>
            <w:noWrap/>
            <w:vAlign w:val="bottom"/>
            <w:hideMark/>
          </w:tcPr>
          <w:p w14:paraId="1573DCFD" w14:textId="77777777" w:rsidR="00F96912" w:rsidRPr="00CD000E" w:rsidRDefault="00F96912" w:rsidP="006658D5">
            <w:pPr>
              <w:rPr>
                <w:sz w:val="16"/>
                <w:szCs w:val="16"/>
              </w:rPr>
            </w:pPr>
            <w:r w:rsidRPr="00CD000E">
              <w:rPr>
                <w:sz w:val="16"/>
                <w:szCs w:val="16"/>
              </w:rPr>
              <w:t> </w:t>
            </w:r>
          </w:p>
        </w:tc>
        <w:tc>
          <w:tcPr>
            <w:tcW w:w="4235" w:type="dxa"/>
            <w:tcBorders>
              <w:top w:val="nil"/>
              <w:left w:val="nil"/>
              <w:bottom w:val="nil"/>
              <w:right w:val="nil"/>
            </w:tcBorders>
            <w:shd w:val="clear" w:color="000000" w:fill="C5D9F1"/>
            <w:noWrap/>
            <w:vAlign w:val="bottom"/>
            <w:hideMark/>
          </w:tcPr>
          <w:p w14:paraId="18F1A14A" w14:textId="77777777" w:rsidR="00F96912" w:rsidRPr="00CD000E" w:rsidRDefault="00F96912" w:rsidP="006658D5">
            <w:pPr>
              <w:jc w:val="right"/>
              <w:rPr>
                <w:b/>
                <w:bCs/>
                <w:sz w:val="16"/>
                <w:szCs w:val="16"/>
              </w:rPr>
            </w:pPr>
            <w:r w:rsidRPr="00CD000E">
              <w:rPr>
                <w:b/>
                <w:bCs/>
                <w:sz w:val="16"/>
                <w:szCs w:val="16"/>
              </w:rPr>
              <w:t>Total</w:t>
            </w:r>
          </w:p>
        </w:tc>
        <w:tc>
          <w:tcPr>
            <w:tcW w:w="1153" w:type="dxa"/>
            <w:tcBorders>
              <w:top w:val="nil"/>
              <w:left w:val="nil"/>
              <w:bottom w:val="nil"/>
              <w:right w:val="nil"/>
            </w:tcBorders>
            <w:shd w:val="clear" w:color="000000" w:fill="C5D9F1"/>
            <w:noWrap/>
            <w:vAlign w:val="center"/>
            <w:hideMark/>
          </w:tcPr>
          <w:p w14:paraId="08C56363" w14:textId="77777777" w:rsidR="00F96912" w:rsidRPr="00CD000E" w:rsidRDefault="00F96912" w:rsidP="006658D5">
            <w:pPr>
              <w:jc w:val="center"/>
              <w:rPr>
                <w:color w:val="000000"/>
                <w:sz w:val="16"/>
                <w:szCs w:val="16"/>
              </w:rPr>
            </w:pPr>
            <w:r w:rsidRPr="00CD000E">
              <w:rPr>
                <w:color w:val="000000"/>
                <w:sz w:val="16"/>
                <w:szCs w:val="16"/>
              </w:rPr>
              <w:t>6 323</w:t>
            </w:r>
          </w:p>
        </w:tc>
        <w:tc>
          <w:tcPr>
            <w:tcW w:w="1152" w:type="dxa"/>
            <w:tcBorders>
              <w:top w:val="nil"/>
              <w:left w:val="nil"/>
              <w:bottom w:val="nil"/>
              <w:right w:val="nil"/>
            </w:tcBorders>
            <w:shd w:val="clear" w:color="000000" w:fill="C5D9F1"/>
            <w:noWrap/>
            <w:vAlign w:val="center"/>
            <w:hideMark/>
          </w:tcPr>
          <w:p w14:paraId="178275BB" w14:textId="77777777" w:rsidR="00F96912" w:rsidRPr="00CD000E" w:rsidRDefault="00F96912" w:rsidP="006658D5">
            <w:pPr>
              <w:jc w:val="center"/>
              <w:rPr>
                <w:color w:val="000000"/>
                <w:sz w:val="16"/>
                <w:szCs w:val="16"/>
              </w:rPr>
            </w:pPr>
            <w:r w:rsidRPr="00CD000E">
              <w:rPr>
                <w:color w:val="000000"/>
                <w:sz w:val="16"/>
                <w:szCs w:val="16"/>
              </w:rPr>
              <w:t>6 023</w:t>
            </w:r>
          </w:p>
        </w:tc>
        <w:tc>
          <w:tcPr>
            <w:tcW w:w="1148" w:type="dxa"/>
            <w:tcBorders>
              <w:top w:val="nil"/>
              <w:left w:val="nil"/>
              <w:bottom w:val="nil"/>
              <w:right w:val="nil"/>
            </w:tcBorders>
            <w:shd w:val="clear" w:color="000000" w:fill="C5D9F1"/>
            <w:noWrap/>
            <w:vAlign w:val="center"/>
            <w:hideMark/>
          </w:tcPr>
          <w:p w14:paraId="02EB3338" w14:textId="77777777" w:rsidR="00F96912" w:rsidRPr="00CD000E" w:rsidRDefault="00F96912" w:rsidP="006658D5">
            <w:pPr>
              <w:jc w:val="center"/>
              <w:rPr>
                <w:color w:val="000000"/>
                <w:sz w:val="16"/>
                <w:szCs w:val="16"/>
              </w:rPr>
            </w:pPr>
            <w:r w:rsidRPr="00CD000E">
              <w:rPr>
                <w:color w:val="000000"/>
                <w:sz w:val="16"/>
                <w:szCs w:val="16"/>
              </w:rPr>
              <w:t>2 871</w:t>
            </w:r>
          </w:p>
        </w:tc>
      </w:tr>
      <w:tr w:rsidR="00F96912" w:rsidRPr="00CD000E" w14:paraId="7E546B2F" w14:textId="77777777" w:rsidTr="006658D5">
        <w:trPr>
          <w:jc w:val="center"/>
        </w:trPr>
        <w:tc>
          <w:tcPr>
            <w:tcW w:w="8278" w:type="dxa"/>
            <w:gridSpan w:val="5"/>
            <w:tcBorders>
              <w:top w:val="nil"/>
              <w:left w:val="nil"/>
              <w:bottom w:val="nil"/>
              <w:right w:val="nil"/>
            </w:tcBorders>
            <w:shd w:val="clear" w:color="auto" w:fill="auto"/>
            <w:noWrap/>
            <w:vAlign w:val="center"/>
            <w:hideMark/>
          </w:tcPr>
          <w:p w14:paraId="119438D1" w14:textId="77777777" w:rsidR="00F96912" w:rsidRPr="00CD000E" w:rsidRDefault="00F96912" w:rsidP="006658D5">
            <w:pPr>
              <w:rPr>
                <w:sz w:val="16"/>
                <w:szCs w:val="16"/>
              </w:rPr>
            </w:pPr>
            <w:r w:rsidRPr="00CD000E">
              <w:rPr>
                <w:i/>
                <w:iCs/>
                <w:sz w:val="16"/>
                <w:szCs w:val="16"/>
              </w:rPr>
              <w:t>*Les chiffres des dépenses pour 2016 sont préliminaires, sous réserve d’audit par les vérificateurs externes des comptes</w:t>
            </w:r>
          </w:p>
        </w:tc>
      </w:tr>
    </w:tbl>
    <w:p w14:paraId="07A0F24C" w14:textId="77777777" w:rsidR="00F96912" w:rsidRPr="00CD000E" w:rsidRDefault="00F96912" w:rsidP="00F96912">
      <w:pPr>
        <w:rPr>
          <w:sz w:val="20"/>
        </w:rPr>
      </w:pPr>
    </w:p>
    <w:p w14:paraId="447C09A1" w14:textId="77777777" w:rsidR="00F96912" w:rsidRPr="00CD000E" w:rsidRDefault="00F96912" w:rsidP="00F96912">
      <w:pPr>
        <w:pStyle w:val="NormalWeb"/>
        <w:keepNext/>
        <w:keepLines/>
        <w:spacing w:before="0" w:beforeAutospacing="0" w:after="0" w:afterAutospacing="0"/>
        <w:jc w:val="center"/>
      </w:pPr>
      <w:r w:rsidRPr="00CD000E">
        <w:rPr>
          <w:color w:val="000000"/>
        </w:rPr>
        <w:lastRenderedPageBreak/>
        <w:t>Budget et dépenses effectives (dépenses de personnel et autres dépenses)</w:t>
      </w:r>
    </w:p>
    <w:p w14:paraId="658A2BEB"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00C3CCB0" w14:textId="77777777" w:rsidR="00F96912" w:rsidRPr="00CD000E" w:rsidRDefault="00F96912" w:rsidP="00F96912">
      <w:pPr>
        <w:keepNext/>
        <w:keepLines/>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754EC1" w14:paraId="7D92473C" w14:textId="77777777" w:rsidTr="006658D5">
        <w:trPr>
          <w:jc w:val="center"/>
        </w:trPr>
        <w:tc>
          <w:tcPr>
            <w:tcW w:w="2470" w:type="dxa"/>
            <w:tcBorders>
              <w:top w:val="nil"/>
              <w:left w:val="nil"/>
              <w:bottom w:val="nil"/>
              <w:right w:val="nil"/>
            </w:tcBorders>
            <w:shd w:val="clear" w:color="000000" w:fill="C5D9F1"/>
            <w:noWrap/>
            <w:vAlign w:val="center"/>
            <w:hideMark/>
          </w:tcPr>
          <w:p w14:paraId="72902824" w14:textId="77777777" w:rsidR="00F96912" w:rsidRPr="00CD000E" w:rsidRDefault="00F96912" w:rsidP="006658D5">
            <w:pPr>
              <w:keepNext/>
              <w:keepLines/>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1F60F3BA" w14:textId="77777777" w:rsidR="00F96912" w:rsidRPr="00CD000E" w:rsidRDefault="00F96912" w:rsidP="006658D5">
            <w:pPr>
              <w:keepNext/>
              <w:keepLines/>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6572F52B" w14:textId="77777777" w:rsidR="00F96912" w:rsidRPr="00CD000E" w:rsidRDefault="00F96912" w:rsidP="006658D5">
            <w:pPr>
              <w:keepNext/>
              <w:keepLines/>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06346138" w14:textId="77777777" w:rsidR="00F96912" w:rsidRPr="00CD000E" w:rsidRDefault="00F96912" w:rsidP="006658D5">
            <w:pPr>
              <w:keepNext/>
              <w:keepLines/>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228258B8" w14:textId="77777777" w:rsidR="00F96912" w:rsidRPr="00754EC1" w:rsidRDefault="00F96912" w:rsidP="006658D5">
            <w:pPr>
              <w:keepNext/>
              <w:keepLines/>
              <w:jc w:val="center"/>
              <w:rPr>
                <w:b/>
                <w:bCs/>
                <w:sz w:val="16"/>
                <w:szCs w:val="16"/>
              </w:rPr>
            </w:pPr>
            <w:r w:rsidRPr="00754EC1">
              <w:rPr>
                <w:b/>
                <w:bCs/>
                <w:sz w:val="16"/>
                <w:szCs w:val="16"/>
              </w:rPr>
              <w:t>Taux d’utilisation (%)</w:t>
            </w:r>
          </w:p>
        </w:tc>
      </w:tr>
      <w:tr w:rsidR="00F96912" w:rsidRPr="00CD000E" w14:paraId="3AEA3835" w14:textId="77777777" w:rsidTr="006658D5">
        <w:trPr>
          <w:jc w:val="center"/>
        </w:trPr>
        <w:tc>
          <w:tcPr>
            <w:tcW w:w="2470" w:type="dxa"/>
            <w:tcBorders>
              <w:top w:val="nil"/>
              <w:left w:val="nil"/>
              <w:bottom w:val="nil"/>
              <w:right w:val="nil"/>
            </w:tcBorders>
            <w:shd w:val="clear" w:color="auto" w:fill="auto"/>
            <w:noWrap/>
            <w:vAlign w:val="center"/>
            <w:hideMark/>
          </w:tcPr>
          <w:p w14:paraId="6FC3B212" w14:textId="77777777" w:rsidR="00F96912" w:rsidRPr="00CD000E" w:rsidRDefault="00F96912" w:rsidP="006658D5">
            <w:pPr>
              <w:keepNext/>
              <w:keepLines/>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41933E52" w14:textId="77777777" w:rsidR="00F96912" w:rsidRPr="00CD000E" w:rsidRDefault="00F96912" w:rsidP="006658D5">
            <w:pPr>
              <w:keepNext/>
              <w:keepLines/>
              <w:jc w:val="center"/>
              <w:rPr>
                <w:color w:val="000000"/>
                <w:sz w:val="16"/>
                <w:szCs w:val="16"/>
              </w:rPr>
            </w:pPr>
            <w:r w:rsidRPr="00CD000E">
              <w:rPr>
                <w:color w:val="000000"/>
                <w:sz w:val="16"/>
                <w:szCs w:val="16"/>
              </w:rPr>
              <w:t xml:space="preserve">5 545 </w:t>
            </w:r>
          </w:p>
        </w:tc>
        <w:tc>
          <w:tcPr>
            <w:tcW w:w="1438" w:type="dxa"/>
            <w:tcBorders>
              <w:top w:val="nil"/>
              <w:left w:val="nil"/>
              <w:bottom w:val="nil"/>
              <w:right w:val="nil"/>
            </w:tcBorders>
            <w:shd w:val="clear" w:color="auto" w:fill="auto"/>
            <w:vAlign w:val="center"/>
            <w:hideMark/>
          </w:tcPr>
          <w:p w14:paraId="48CAAB47" w14:textId="77777777" w:rsidR="00F96912" w:rsidRPr="00CD000E" w:rsidRDefault="00F96912" w:rsidP="006658D5">
            <w:pPr>
              <w:keepNext/>
              <w:keepLines/>
              <w:jc w:val="center"/>
              <w:rPr>
                <w:color w:val="000000"/>
                <w:sz w:val="16"/>
                <w:szCs w:val="16"/>
              </w:rPr>
            </w:pPr>
            <w:r w:rsidRPr="00CD000E">
              <w:rPr>
                <w:color w:val="000000"/>
                <w:sz w:val="16"/>
                <w:szCs w:val="16"/>
              </w:rPr>
              <w:t xml:space="preserve">5 076 </w:t>
            </w:r>
          </w:p>
        </w:tc>
        <w:tc>
          <w:tcPr>
            <w:tcW w:w="1438" w:type="dxa"/>
            <w:tcBorders>
              <w:top w:val="nil"/>
              <w:left w:val="nil"/>
              <w:bottom w:val="nil"/>
              <w:right w:val="nil"/>
            </w:tcBorders>
            <w:shd w:val="clear" w:color="auto" w:fill="auto"/>
            <w:vAlign w:val="center"/>
            <w:hideMark/>
          </w:tcPr>
          <w:p w14:paraId="22199451" w14:textId="77777777" w:rsidR="00F96912" w:rsidRPr="00CD000E" w:rsidRDefault="00F96912" w:rsidP="006658D5">
            <w:pPr>
              <w:keepNext/>
              <w:keepLines/>
              <w:jc w:val="center"/>
              <w:rPr>
                <w:color w:val="000000"/>
                <w:sz w:val="16"/>
                <w:szCs w:val="16"/>
              </w:rPr>
            </w:pPr>
            <w:r w:rsidRPr="00CD000E">
              <w:rPr>
                <w:color w:val="000000"/>
                <w:sz w:val="16"/>
                <w:szCs w:val="16"/>
              </w:rPr>
              <w:t xml:space="preserve">2 505 </w:t>
            </w:r>
          </w:p>
        </w:tc>
        <w:tc>
          <w:tcPr>
            <w:tcW w:w="1438" w:type="dxa"/>
            <w:tcBorders>
              <w:top w:val="nil"/>
              <w:left w:val="nil"/>
              <w:bottom w:val="nil"/>
              <w:right w:val="nil"/>
            </w:tcBorders>
            <w:shd w:val="clear" w:color="auto" w:fill="auto"/>
            <w:vAlign w:val="center"/>
            <w:hideMark/>
          </w:tcPr>
          <w:p w14:paraId="4A5BB2E1" w14:textId="77777777" w:rsidR="00F96912" w:rsidRPr="00CD000E" w:rsidRDefault="00F96912" w:rsidP="006658D5">
            <w:pPr>
              <w:keepNext/>
              <w:keepLines/>
              <w:jc w:val="center"/>
              <w:rPr>
                <w:color w:val="000000"/>
                <w:sz w:val="16"/>
                <w:szCs w:val="16"/>
              </w:rPr>
            </w:pPr>
            <w:r w:rsidRPr="00CD000E">
              <w:rPr>
                <w:color w:val="000000"/>
                <w:sz w:val="16"/>
                <w:szCs w:val="16"/>
              </w:rPr>
              <w:t>49%</w:t>
            </w:r>
          </w:p>
        </w:tc>
      </w:tr>
      <w:tr w:rsidR="00F96912" w:rsidRPr="00CD000E" w14:paraId="6CA29C82" w14:textId="77777777" w:rsidTr="006658D5">
        <w:trPr>
          <w:jc w:val="center"/>
        </w:trPr>
        <w:tc>
          <w:tcPr>
            <w:tcW w:w="2470" w:type="dxa"/>
            <w:tcBorders>
              <w:top w:val="nil"/>
              <w:left w:val="nil"/>
              <w:bottom w:val="nil"/>
              <w:right w:val="nil"/>
            </w:tcBorders>
            <w:shd w:val="clear" w:color="auto" w:fill="auto"/>
            <w:noWrap/>
            <w:vAlign w:val="center"/>
            <w:hideMark/>
          </w:tcPr>
          <w:p w14:paraId="467B1442" w14:textId="77777777" w:rsidR="00F96912" w:rsidRPr="00CD000E" w:rsidRDefault="00F96912" w:rsidP="006658D5">
            <w:pPr>
              <w:keepNext/>
              <w:keepLines/>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7AC4FAFE" w14:textId="77777777" w:rsidR="00F96912" w:rsidRPr="00CD000E" w:rsidRDefault="00F96912" w:rsidP="006658D5">
            <w:pPr>
              <w:keepNext/>
              <w:keepLines/>
              <w:jc w:val="center"/>
              <w:rPr>
                <w:color w:val="000000"/>
                <w:sz w:val="16"/>
                <w:szCs w:val="16"/>
              </w:rPr>
            </w:pPr>
            <w:r w:rsidRPr="00CD000E">
              <w:rPr>
                <w:color w:val="000000"/>
                <w:sz w:val="16"/>
                <w:szCs w:val="16"/>
              </w:rPr>
              <w:t xml:space="preserve">778 </w:t>
            </w:r>
          </w:p>
        </w:tc>
        <w:tc>
          <w:tcPr>
            <w:tcW w:w="1438" w:type="dxa"/>
            <w:tcBorders>
              <w:top w:val="nil"/>
              <w:left w:val="nil"/>
              <w:bottom w:val="nil"/>
              <w:right w:val="nil"/>
            </w:tcBorders>
            <w:shd w:val="clear" w:color="auto" w:fill="auto"/>
            <w:vAlign w:val="center"/>
            <w:hideMark/>
          </w:tcPr>
          <w:p w14:paraId="71DDEC5D" w14:textId="77777777" w:rsidR="00F96912" w:rsidRPr="00CD000E" w:rsidRDefault="00F96912" w:rsidP="006658D5">
            <w:pPr>
              <w:keepNext/>
              <w:keepLines/>
              <w:jc w:val="center"/>
              <w:rPr>
                <w:color w:val="000000"/>
                <w:sz w:val="16"/>
                <w:szCs w:val="16"/>
              </w:rPr>
            </w:pPr>
            <w:r w:rsidRPr="00CD000E">
              <w:rPr>
                <w:color w:val="000000"/>
                <w:sz w:val="16"/>
                <w:szCs w:val="16"/>
              </w:rPr>
              <w:t xml:space="preserve">947 </w:t>
            </w:r>
          </w:p>
        </w:tc>
        <w:tc>
          <w:tcPr>
            <w:tcW w:w="1438" w:type="dxa"/>
            <w:tcBorders>
              <w:top w:val="nil"/>
              <w:left w:val="nil"/>
              <w:bottom w:val="nil"/>
              <w:right w:val="nil"/>
            </w:tcBorders>
            <w:shd w:val="clear" w:color="auto" w:fill="auto"/>
            <w:vAlign w:val="center"/>
            <w:hideMark/>
          </w:tcPr>
          <w:p w14:paraId="69C1A2FE" w14:textId="77777777" w:rsidR="00F96912" w:rsidRPr="00CD000E" w:rsidRDefault="00F96912" w:rsidP="006658D5">
            <w:pPr>
              <w:keepNext/>
              <w:keepLines/>
              <w:jc w:val="center"/>
              <w:rPr>
                <w:color w:val="000000"/>
                <w:sz w:val="16"/>
                <w:szCs w:val="16"/>
              </w:rPr>
            </w:pPr>
            <w:r w:rsidRPr="00CD000E">
              <w:rPr>
                <w:color w:val="000000"/>
                <w:sz w:val="16"/>
                <w:szCs w:val="16"/>
              </w:rPr>
              <w:t xml:space="preserve">366 </w:t>
            </w:r>
          </w:p>
        </w:tc>
        <w:tc>
          <w:tcPr>
            <w:tcW w:w="1438" w:type="dxa"/>
            <w:tcBorders>
              <w:top w:val="nil"/>
              <w:left w:val="nil"/>
              <w:bottom w:val="nil"/>
              <w:right w:val="nil"/>
            </w:tcBorders>
            <w:shd w:val="clear" w:color="auto" w:fill="auto"/>
            <w:vAlign w:val="center"/>
            <w:hideMark/>
          </w:tcPr>
          <w:p w14:paraId="4496EA2D" w14:textId="77777777" w:rsidR="00F96912" w:rsidRPr="00CD000E" w:rsidRDefault="00F96912" w:rsidP="006658D5">
            <w:pPr>
              <w:keepNext/>
              <w:keepLines/>
              <w:jc w:val="center"/>
              <w:rPr>
                <w:color w:val="000000"/>
                <w:sz w:val="16"/>
                <w:szCs w:val="16"/>
              </w:rPr>
            </w:pPr>
            <w:r w:rsidRPr="00CD000E">
              <w:rPr>
                <w:color w:val="000000"/>
                <w:sz w:val="16"/>
                <w:szCs w:val="16"/>
              </w:rPr>
              <w:t>39%</w:t>
            </w:r>
          </w:p>
        </w:tc>
      </w:tr>
      <w:tr w:rsidR="00F96912" w:rsidRPr="00CD000E" w14:paraId="3181AB63" w14:textId="77777777" w:rsidTr="006658D5">
        <w:trPr>
          <w:jc w:val="center"/>
        </w:trPr>
        <w:tc>
          <w:tcPr>
            <w:tcW w:w="2470" w:type="dxa"/>
            <w:tcBorders>
              <w:top w:val="nil"/>
              <w:left w:val="nil"/>
              <w:bottom w:val="nil"/>
              <w:right w:val="nil"/>
            </w:tcBorders>
            <w:shd w:val="clear" w:color="000000" w:fill="C5D9F1"/>
            <w:noWrap/>
            <w:vAlign w:val="center"/>
            <w:hideMark/>
          </w:tcPr>
          <w:p w14:paraId="355B111A" w14:textId="77777777" w:rsidR="00F96912" w:rsidRPr="00CD000E" w:rsidRDefault="00F96912" w:rsidP="006658D5">
            <w:pPr>
              <w:keepNext/>
              <w:keepLines/>
              <w:jc w:val="right"/>
              <w:rPr>
                <w:b/>
                <w:bCs/>
                <w:color w:val="000000"/>
                <w:sz w:val="16"/>
                <w:szCs w:val="16"/>
              </w:rPr>
            </w:pPr>
            <w:r w:rsidRPr="00CD000E">
              <w:rPr>
                <w:b/>
                <w:bCs/>
                <w:color w:val="000000"/>
                <w:sz w:val="16"/>
                <w:szCs w:val="16"/>
              </w:rPr>
              <w:t xml:space="preserve"> </w:t>
            </w: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01ABDF40" w14:textId="77777777" w:rsidR="00F96912" w:rsidRPr="00CD000E" w:rsidRDefault="00F96912" w:rsidP="006658D5">
            <w:pPr>
              <w:keepNext/>
              <w:keepLines/>
              <w:jc w:val="center"/>
              <w:rPr>
                <w:b/>
                <w:bCs/>
                <w:color w:val="000000"/>
                <w:sz w:val="16"/>
                <w:szCs w:val="16"/>
              </w:rPr>
            </w:pPr>
            <w:r w:rsidRPr="00CD000E">
              <w:rPr>
                <w:b/>
                <w:bCs/>
                <w:color w:val="000000"/>
                <w:sz w:val="16"/>
                <w:szCs w:val="16"/>
              </w:rPr>
              <w:t xml:space="preserve">6 323 </w:t>
            </w:r>
          </w:p>
        </w:tc>
        <w:tc>
          <w:tcPr>
            <w:tcW w:w="1438" w:type="dxa"/>
            <w:tcBorders>
              <w:top w:val="nil"/>
              <w:left w:val="nil"/>
              <w:bottom w:val="nil"/>
              <w:right w:val="nil"/>
            </w:tcBorders>
            <w:shd w:val="clear" w:color="000000" w:fill="C5D9F1"/>
            <w:vAlign w:val="center"/>
            <w:hideMark/>
          </w:tcPr>
          <w:p w14:paraId="39A054B2" w14:textId="77777777" w:rsidR="00F96912" w:rsidRPr="00CD000E" w:rsidRDefault="00F96912" w:rsidP="006658D5">
            <w:pPr>
              <w:keepNext/>
              <w:keepLines/>
              <w:jc w:val="center"/>
              <w:rPr>
                <w:b/>
                <w:bCs/>
                <w:color w:val="000000"/>
                <w:sz w:val="16"/>
                <w:szCs w:val="16"/>
              </w:rPr>
            </w:pPr>
            <w:r w:rsidRPr="00CD000E">
              <w:rPr>
                <w:b/>
                <w:bCs/>
                <w:color w:val="000000"/>
                <w:sz w:val="16"/>
                <w:szCs w:val="16"/>
              </w:rPr>
              <w:t xml:space="preserve">6 023 </w:t>
            </w:r>
          </w:p>
        </w:tc>
        <w:tc>
          <w:tcPr>
            <w:tcW w:w="1438" w:type="dxa"/>
            <w:tcBorders>
              <w:top w:val="nil"/>
              <w:left w:val="nil"/>
              <w:bottom w:val="nil"/>
              <w:right w:val="nil"/>
            </w:tcBorders>
            <w:shd w:val="clear" w:color="000000" w:fill="C5D9F1"/>
            <w:vAlign w:val="center"/>
            <w:hideMark/>
          </w:tcPr>
          <w:p w14:paraId="56DDFE37" w14:textId="77777777" w:rsidR="00F96912" w:rsidRPr="00CD000E" w:rsidRDefault="00F96912" w:rsidP="006658D5">
            <w:pPr>
              <w:keepNext/>
              <w:keepLines/>
              <w:jc w:val="center"/>
              <w:rPr>
                <w:b/>
                <w:bCs/>
                <w:color w:val="000000"/>
                <w:sz w:val="16"/>
                <w:szCs w:val="16"/>
              </w:rPr>
            </w:pPr>
            <w:r w:rsidRPr="00CD000E">
              <w:rPr>
                <w:b/>
                <w:bCs/>
                <w:color w:val="000000"/>
                <w:sz w:val="16"/>
                <w:szCs w:val="16"/>
              </w:rPr>
              <w:t xml:space="preserve">2 871 </w:t>
            </w:r>
          </w:p>
        </w:tc>
        <w:tc>
          <w:tcPr>
            <w:tcW w:w="1438" w:type="dxa"/>
            <w:tcBorders>
              <w:top w:val="nil"/>
              <w:left w:val="nil"/>
              <w:bottom w:val="nil"/>
              <w:right w:val="nil"/>
            </w:tcBorders>
            <w:shd w:val="clear" w:color="000000" w:fill="C5D9F1"/>
            <w:vAlign w:val="center"/>
            <w:hideMark/>
          </w:tcPr>
          <w:p w14:paraId="1D6E74C0" w14:textId="77777777" w:rsidR="00F96912" w:rsidRPr="00CD000E" w:rsidRDefault="00F96912" w:rsidP="006658D5">
            <w:pPr>
              <w:keepNext/>
              <w:keepLines/>
              <w:jc w:val="center"/>
              <w:rPr>
                <w:b/>
                <w:bCs/>
                <w:color w:val="000000"/>
                <w:sz w:val="16"/>
                <w:szCs w:val="16"/>
              </w:rPr>
            </w:pPr>
            <w:r w:rsidRPr="00CD000E">
              <w:rPr>
                <w:b/>
                <w:bCs/>
                <w:color w:val="000000"/>
                <w:sz w:val="16"/>
                <w:szCs w:val="16"/>
              </w:rPr>
              <w:t>48%</w:t>
            </w:r>
          </w:p>
        </w:tc>
      </w:tr>
      <w:tr w:rsidR="00F96912" w:rsidRPr="00CD000E" w14:paraId="3FEEFEC0"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5698D34C" w14:textId="77777777" w:rsidR="00F96912" w:rsidRPr="00CD000E" w:rsidRDefault="00F96912" w:rsidP="006658D5">
            <w:pPr>
              <w:keepNext/>
              <w:keepLines/>
              <w:rPr>
                <w:i/>
                <w:iCs/>
                <w:color w:val="000000"/>
                <w:sz w:val="16"/>
                <w:szCs w:val="16"/>
              </w:rPr>
            </w:pPr>
            <w:r w:rsidRPr="00CD000E">
              <w:rPr>
                <w:i/>
                <w:iCs/>
                <w:color w:val="000000"/>
                <w:sz w:val="16"/>
                <w:szCs w:val="16"/>
              </w:rPr>
              <w:t xml:space="preserve">*Les chiffres des dépenses pour 2016 sont préliminaires, sous réserve d’audit par les vérificateurs externes des comptes </w:t>
            </w:r>
          </w:p>
        </w:tc>
      </w:tr>
    </w:tbl>
    <w:p w14:paraId="4EAFD40E" w14:textId="77777777" w:rsidR="00F96912" w:rsidRPr="00CD000E" w:rsidRDefault="00F96912" w:rsidP="00F96912"/>
    <w:p w14:paraId="4A6701CA" w14:textId="56BC7635" w:rsidR="00F96912" w:rsidRPr="00CD000E" w:rsidRDefault="00F96912" w:rsidP="00F96912">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6CBC8104" w14:textId="77777777" w:rsidR="00F96912" w:rsidRPr="00CD000E" w:rsidRDefault="00F96912" w:rsidP="00F96912">
      <w:pPr>
        <w:rPr>
          <w:sz w:val="20"/>
        </w:rPr>
      </w:pPr>
    </w:p>
    <w:p w14:paraId="16AE601B" w14:textId="77777777" w:rsidR="00F96912" w:rsidRPr="00CD000E" w:rsidRDefault="00F96912" w:rsidP="00F96912">
      <w:pPr>
        <w:rPr>
          <w:sz w:val="20"/>
        </w:rPr>
      </w:pPr>
    </w:p>
    <w:p w14:paraId="3AA9A3A1" w14:textId="77777777" w:rsidR="00F96912" w:rsidRPr="00CD000E" w:rsidRDefault="00F96912" w:rsidP="00F96912">
      <w:pPr>
        <w:jc w:val="both"/>
        <w:rPr>
          <w:sz w:val="20"/>
          <w:u w:val="single"/>
        </w:rPr>
      </w:pPr>
      <w:r w:rsidRPr="00CD000E">
        <w:rPr>
          <w:sz w:val="20"/>
        </w:rPr>
        <w:t>A.</w:t>
      </w:r>
      <w:r w:rsidRPr="00CD000E">
        <w:rPr>
          <w:sz w:val="20"/>
        </w:rPr>
        <w:tab/>
      </w:r>
      <w:r w:rsidRPr="00CD000E">
        <w:rPr>
          <w:sz w:val="20"/>
          <w:u w:val="single"/>
        </w:rPr>
        <w:t>Budget 2016</w:t>
      </w:r>
      <w:r>
        <w:rPr>
          <w:sz w:val="20"/>
          <w:u w:val="single"/>
        </w:rPr>
        <w:noBreakHyphen/>
      </w:r>
      <w:r w:rsidRPr="00CD000E">
        <w:rPr>
          <w:sz w:val="20"/>
          <w:u w:val="single"/>
        </w:rPr>
        <w:t>2017 après virements</w:t>
      </w:r>
    </w:p>
    <w:p w14:paraId="18F73DB1" w14:textId="77777777" w:rsidR="00F96912" w:rsidRPr="00CD000E" w:rsidRDefault="00F96912" w:rsidP="00F96912">
      <w:pPr>
        <w:jc w:val="both"/>
        <w:rPr>
          <w:sz w:val="20"/>
        </w:rPr>
      </w:pPr>
    </w:p>
    <w:p w14:paraId="60067FD9" w14:textId="77777777" w:rsidR="00F96912" w:rsidRPr="00754EC1" w:rsidRDefault="00F96912" w:rsidP="00D544B8">
      <w:pPr>
        <w:pStyle w:val="ListParagraph"/>
        <w:numPr>
          <w:ilvl w:val="0"/>
          <w:numId w:val="29"/>
        </w:numPr>
        <w:tabs>
          <w:tab w:val="left" w:pos="0"/>
          <w:tab w:val="left" w:pos="567"/>
        </w:tabs>
        <w:autoSpaceDE w:val="0"/>
        <w:autoSpaceDN w:val="0"/>
        <w:ind w:left="0" w:firstLine="0"/>
        <w:jc w:val="both"/>
        <w:rPr>
          <w:rFonts w:ascii="Arial" w:hAnsi="Arial" w:cs="Arial"/>
          <w:color w:val="000000"/>
          <w:sz w:val="20"/>
          <w:szCs w:val="20"/>
          <w:lang w:eastAsia="zh-CN"/>
        </w:rPr>
      </w:pPr>
      <w:r w:rsidRPr="00754EC1">
        <w:rPr>
          <w:rFonts w:ascii="Arial" w:hAnsi="Arial" w:cs="Arial"/>
          <w:color w:val="000000"/>
          <w:sz w:val="20"/>
          <w:szCs w:val="20"/>
          <w:lang w:eastAsia="zh-CN"/>
        </w:rPr>
        <w:t xml:space="preserve">L’augmentation des dépenses autres que les dépenses de personnel était due essentiellement au transfert de fonds à l’appui : i) du renforcement des plateformes WIPO </w:t>
      </w:r>
      <w:proofErr w:type="spellStart"/>
      <w:r w:rsidRPr="00754EC1">
        <w:rPr>
          <w:rFonts w:ascii="Arial" w:hAnsi="Arial" w:cs="Arial"/>
          <w:color w:val="000000"/>
          <w:sz w:val="20"/>
          <w:szCs w:val="20"/>
          <w:lang w:eastAsia="zh-CN"/>
        </w:rPr>
        <w:t>Re:Search</w:t>
      </w:r>
      <w:proofErr w:type="spellEnd"/>
      <w:r w:rsidRPr="00754EC1">
        <w:rPr>
          <w:rFonts w:ascii="Arial" w:hAnsi="Arial" w:cs="Arial"/>
          <w:color w:val="000000"/>
          <w:sz w:val="20"/>
          <w:szCs w:val="20"/>
          <w:lang w:eastAsia="zh-CN"/>
        </w:rPr>
        <w:t xml:space="preserve"> et WIPO GREEN apparaissant sous le résultat escompté VII.2 (instruments et plateformes axés sur la propriété intellectuelle);  ii) des travaux sur la propriété intellectuelle et la politique en matière de concurrence, apparaissant sous le résultat escompté I.2 (Cadres législatifs);  et iii) de la finalisation de la deuxième édition de la publication Introduction à la propriété intellectuelle – Théorie et pratique, apparaissant sous le résultat escompté VIII.5 (l</w:t>
      </w:r>
      <w:r w:rsidRPr="00754EC1">
        <w:rPr>
          <w:rFonts w:ascii="Arial" w:hAnsi="Arial" w:cs="Arial"/>
          <w:sz w:val="20"/>
          <w:szCs w:val="20"/>
          <w:lang w:eastAsia="zh-CN"/>
        </w:rPr>
        <w:t>’OMPI collabore efficacement avec d’autres processus et instances de négociation de l’ONU et d’autres organisations intergouvernementales</w:t>
      </w:r>
      <w:r w:rsidRPr="00754EC1">
        <w:rPr>
          <w:rFonts w:ascii="Arial" w:hAnsi="Arial" w:cs="Arial"/>
          <w:color w:val="000000"/>
          <w:sz w:val="20"/>
          <w:szCs w:val="20"/>
          <w:lang w:eastAsia="zh-CN"/>
        </w:rPr>
        <w:t>).</w:t>
      </w:r>
    </w:p>
    <w:p w14:paraId="74638BC9" w14:textId="77777777" w:rsidR="00F96912" w:rsidRPr="00754EC1" w:rsidRDefault="00F96912" w:rsidP="00F96912">
      <w:pPr>
        <w:jc w:val="both"/>
        <w:rPr>
          <w:sz w:val="20"/>
        </w:rPr>
      </w:pPr>
    </w:p>
    <w:p w14:paraId="29F683B3" w14:textId="77777777" w:rsidR="00F96912" w:rsidRPr="00754EC1" w:rsidRDefault="00F96912" w:rsidP="00D544B8">
      <w:pPr>
        <w:pStyle w:val="ListParagraph"/>
        <w:numPr>
          <w:ilvl w:val="0"/>
          <w:numId w:val="29"/>
        </w:numPr>
        <w:tabs>
          <w:tab w:val="left" w:pos="0"/>
          <w:tab w:val="left" w:pos="567"/>
        </w:tabs>
        <w:autoSpaceDE w:val="0"/>
        <w:autoSpaceDN w:val="0"/>
        <w:ind w:left="0" w:firstLine="0"/>
        <w:jc w:val="both"/>
        <w:rPr>
          <w:rFonts w:ascii="Arial" w:hAnsi="Arial" w:cs="Arial"/>
          <w:color w:val="000000"/>
          <w:sz w:val="20"/>
          <w:szCs w:val="20"/>
          <w:lang w:eastAsia="zh-CN"/>
        </w:rPr>
      </w:pPr>
      <w:r w:rsidRPr="00754EC1">
        <w:rPr>
          <w:rFonts w:ascii="Arial" w:hAnsi="Arial" w:cs="Arial"/>
          <w:color w:val="000000"/>
          <w:sz w:val="20"/>
          <w:szCs w:val="20"/>
          <w:lang w:eastAsia="zh-CN"/>
        </w:rPr>
        <w:t>La diminution des dépenses de personnel au titre du résultat escompté I.2 (Cadres législatifs) était due : i) au transfert d’un fonctionnaire au Département des savoirs traditionnels et des défis mondiaux (programme 4) pour améliorer la coordination globale et la gestion des deux domaines;  et ii) au transfert d’un poste en vue d’appuyer les priorités dans le domaine du droit d’auteur et des industries de la création (programme 3).</w:t>
      </w:r>
    </w:p>
    <w:p w14:paraId="7127303C" w14:textId="77777777" w:rsidR="00F96912" w:rsidRPr="00754EC1" w:rsidRDefault="00F96912" w:rsidP="00F96912">
      <w:pPr>
        <w:jc w:val="both"/>
        <w:rPr>
          <w:sz w:val="20"/>
        </w:rPr>
      </w:pPr>
    </w:p>
    <w:p w14:paraId="07724F35" w14:textId="77777777" w:rsidR="00F96912" w:rsidRPr="00754EC1" w:rsidRDefault="00F96912" w:rsidP="00F96912">
      <w:pPr>
        <w:jc w:val="both"/>
        <w:rPr>
          <w:sz w:val="20"/>
          <w:u w:val="single"/>
        </w:rPr>
      </w:pPr>
      <w:r w:rsidRPr="00754EC1">
        <w:rPr>
          <w:sz w:val="20"/>
        </w:rPr>
        <w:t>B.</w:t>
      </w:r>
      <w:r w:rsidRPr="00754EC1">
        <w:rPr>
          <w:sz w:val="20"/>
        </w:rPr>
        <w:tab/>
      </w:r>
      <w:r w:rsidRPr="00754EC1">
        <w:rPr>
          <w:sz w:val="20"/>
          <w:u w:val="single"/>
        </w:rPr>
        <w:t>Utilisation du budget 2016</w:t>
      </w:r>
      <w:r w:rsidRPr="00754EC1">
        <w:rPr>
          <w:sz w:val="20"/>
          <w:u w:val="single"/>
        </w:rPr>
        <w:noBreakHyphen/>
        <w:t>2017</w:t>
      </w:r>
    </w:p>
    <w:p w14:paraId="47555CD3" w14:textId="77777777" w:rsidR="00F96912" w:rsidRPr="00754EC1" w:rsidRDefault="00F96912" w:rsidP="00F96912">
      <w:pPr>
        <w:jc w:val="both"/>
        <w:rPr>
          <w:sz w:val="20"/>
        </w:rPr>
      </w:pPr>
    </w:p>
    <w:p w14:paraId="30D6E9D0" w14:textId="77777777" w:rsidR="00F96912" w:rsidRPr="00754EC1" w:rsidRDefault="00F96912" w:rsidP="00D544B8">
      <w:pPr>
        <w:pStyle w:val="ListParagraph"/>
        <w:numPr>
          <w:ilvl w:val="0"/>
          <w:numId w:val="29"/>
        </w:numPr>
        <w:tabs>
          <w:tab w:val="left" w:pos="0"/>
          <w:tab w:val="left" w:pos="709"/>
        </w:tabs>
        <w:autoSpaceDE w:val="0"/>
        <w:autoSpaceDN w:val="0"/>
        <w:ind w:left="0" w:firstLine="0"/>
        <w:jc w:val="both"/>
        <w:rPr>
          <w:rFonts w:ascii="Arial" w:hAnsi="Arial" w:cs="Arial"/>
          <w:color w:val="000000"/>
          <w:sz w:val="20"/>
          <w:szCs w:val="20"/>
          <w:lang w:eastAsia="zh-CN"/>
        </w:rPr>
      </w:pPr>
      <w:r w:rsidRPr="00754EC1">
        <w:rPr>
          <w:rFonts w:ascii="Arial" w:hAnsi="Arial" w:cs="Arial"/>
          <w:color w:val="000000"/>
          <w:sz w:val="20"/>
          <w:szCs w:val="20"/>
          <w:lang w:eastAsia="zh-CN"/>
        </w:rPr>
        <w:t>La légère sous</w:t>
      </w:r>
      <w:r w:rsidRPr="00754EC1">
        <w:rPr>
          <w:rFonts w:ascii="Arial" w:hAnsi="Arial" w:cs="Arial"/>
          <w:color w:val="000000"/>
          <w:sz w:val="20"/>
          <w:szCs w:val="20"/>
          <w:lang w:eastAsia="zh-CN"/>
        </w:rPr>
        <w:noBreakHyphen/>
        <w:t xml:space="preserve">utilisation des ressources autres que celles de personnel (38%) était due principalement au report de certaines activités liées à WIPO </w:t>
      </w:r>
      <w:proofErr w:type="spellStart"/>
      <w:r w:rsidRPr="00754EC1">
        <w:rPr>
          <w:rFonts w:ascii="Arial" w:hAnsi="Arial" w:cs="Arial"/>
          <w:color w:val="000000"/>
          <w:sz w:val="20"/>
          <w:szCs w:val="20"/>
          <w:lang w:eastAsia="zh-CN"/>
        </w:rPr>
        <w:t>Re:Search</w:t>
      </w:r>
      <w:proofErr w:type="spellEnd"/>
      <w:r w:rsidRPr="00754EC1">
        <w:rPr>
          <w:rFonts w:ascii="Arial" w:hAnsi="Arial" w:cs="Arial"/>
          <w:color w:val="000000"/>
          <w:sz w:val="20"/>
          <w:szCs w:val="20"/>
          <w:lang w:eastAsia="zh-CN"/>
        </w:rPr>
        <w:t xml:space="preserve"> en attendant l’actualisation de l’étude trilatérale menée par l’OMC, l’OMPI et l’OMS.</w:t>
      </w:r>
    </w:p>
    <w:p w14:paraId="3FD49E43" w14:textId="77777777" w:rsidR="00F96912" w:rsidRPr="00CD000E" w:rsidRDefault="00F96912" w:rsidP="00F96912">
      <w:pPr>
        <w:rPr>
          <w:color w:val="000000"/>
          <w:sz w:val="20"/>
        </w:rPr>
      </w:pPr>
    </w:p>
    <w:p w14:paraId="5AC8580A" w14:textId="77777777" w:rsidR="00F96912" w:rsidRPr="00CD000E" w:rsidRDefault="00F96912" w:rsidP="00F96912">
      <w:pPr>
        <w:rPr>
          <w:b/>
          <w:bCs/>
          <w:iCs/>
          <w:szCs w:val="28"/>
        </w:rPr>
      </w:pPr>
      <w:bookmarkStart w:id="64" w:name="_Toc422210507"/>
      <w:r w:rsidRPr="00CD000E">
        <w:rPr>
          <w:b/>
          <w:bCs/>
          <w:iCs/>
          <w:szCs w:val="28"/>
        </w:rPr>
        <w:br w:type="page"/>
      </w:r>
    </w:p>
    <w:p w14:paraId="6B28A01F" w14:textId="2F1631F9" w:rsidR="00394CA8" w:rsidRPr="00394CA8" w:rsidRDefault="009761D3" w:rsidP="009761D3">
      <w:pPr>
        <w:pStyle w:val="Heading2"/>
      </w:pPr>
      <w:bookmarkStart w:id="65" w:name="_Toc482774616"/>
      <w:bookmarkStart w:id="66" w:name="_Toc422210506"/>
      <w:bookmarkStart w:id="67" w:name="_Toc367350598"/>
      <w:bookmarkEnd w:id="64"/>
      <w:r>
        <w:lastRenderedPageBreak/>
        <w:t>Objectif stratégique VIII</w:t>
      </w:r>
      <w:bookmarkEnd w:id="65"/>
    </w:p>
    <w:p w14:paraId="1093C132" w14:textId="77777777" w:rsidR="00394CA8" w:rsidRPr="00A859F2" w:rsidRDefault="00394CA8" w:rsidP="00394CA8">
      <w:pPr>
        <w:jc w:val="center"/>
        <w:rPr>
          <w:b/>
          <w:sz w:val="20"/>
        </w:rPr>
      </w:pPr>
    </w:p>
    <w:p w14:paraId="0F675F47" w14:textId="77777777" w:rsidR="00394CA8" w:rsidRPr="00A859F2" w:rsidRDefault="00394CA8" w:rsidP="00394CA8">
      <w:pPr>
        <w:jc w:val="center"/>
        <w:rPr>
          <w:b/>
          <w:sz w:val="20"/>
        </w:rPr>
      </w:pPr>
      <w:r w:rsidRPr="00A859F2">
        <w:rPr>
          <w:b/>
          <w:sz w:val="20"/>
        </w:rPr>
        <w:t>INTERFACE DE COMMUNICATION DYNAMIQUE ENTRE L’</w:t>
      </w:r>
      <w:r>
        <w:rPr>
          <w:b/>
          <w:sz w:val="20"/>
        </w:rPr>
        <w:t>OMPI, SES ÉTATS MEMBRES ET </w:t>
      </w:r>
      <w:r w:rsidRPr="00A859F2">
        <w:rPr>
          <w:b/>
          <w:sz w:val="20"/>
        </w:rPr>
        <w:t>L’ENSEMBLE DES PARTIES PRENANTES</w:t>
      </w:r>
    </w:p>
    <w:p w14:paraId="0BBEDE8B" w14:textId="77777777" w:rsidR="00394CA8" w:rsidRPr="00A859F2" w:rsidRDefault="00394CA8" w:rsidP="00394CA8">
      <w:pPr>
        <w:rPr>
          <w:sz w:val="20"/>
        </w:rPr>
      </w:pPr>
    </w:p>
    <w:p w14:paraId="346C335E" w14:textId="77777777" w:rsidR="00394CA8" w:rsidRPr="00A859F2" w:rsidRDefault="00394CA8" w:rsidP="00394CA8">
      <w:pPr>
        <w:jc w:val="center"/>
        <w:rPr>
          <w:b/>
          <w:sz w:val="20"/>
        </w:rPr>
      </w:pPr>
      <w:r w:rsidRPr="00A859F2">
        <w:rPr>
          <w:b/>
          <w:sz w:val="20"/>
        </w:rPr>
        <w:t>Tableau de bord de l’exécution du programme à mi</w:t>
      </w:r>
      <w:r>
        <w:rPr>
          <w:b/>
          <w:sz w:val="20"/>
        </w:rPr>
        <w:noBreakHyphen/>
      </w:r>
      <w:r w:rsidRPr="00A859F2">
        <w:rPr>
          <w:b/>
          <w:sz w:val="20"/>
        </w:rPr>
        <w:t>parcours (2016)</w:t>
      </w:r>
    </w:p>
    <w:p w14:paraId="35FB71D1" w14:textId="77777777" w:rsidR="00394CA8" w:rsidRPr="00A859F2" w:rsidRDefault="00394CA8" w:rsidP="00394CA8">
      <w:pPr>
        <w:jc w:val="both"/>
        <w:rPr>
          <w:sz w:val="20"/>
        </w:rPr>
      </w:pPr>
    </w:p>
    <w:p w14:paraId="0A4A4282" w14:textId="77777777" w:rsidR="00394CA8" w:rsidRPr="00A859F2" w:rsidRDefault="00394CA8" w:rsidP="00394CA8">
      <w:pPr>
        <w:jc w:val="both"/>
        <w:rPr>
          <w:sz w:val="20"/>
        </w:rPr>
      </w:pPr>
      <w:r w:rsidRPr="00A859F2">
        <w:rPr>
          <w:sz w:val="20"/>
        </w:rPr>
        <w:t>Le tableau de bord ci</w:t>
      </w:r>
      <w:r>
        <w:rPr>
          <w:sz w:val="20"/>
        </w:rPr>
        <w:noBreakHyphen/>
      </w:r>
      <w:r w:rsidRPr="00A859F2">
        <w:rPr>
          <w:sz w:val="20"/>
        </w:rPr>
        <w:t>dessous présente un résumé de l’état d’avancement de la réalisation des résultats en 2016, telle que mesurée par les indicateurs au titre des programmes contribuant à cet objectif stratégique.</w:t>
      </w:r>
    </w:p>
    <w:p w14:paraId="5DE63810" w14:textId="77777777" w:rsidR="00394CA8" w:rsidRPr="00A859F2" w:rsidRDefault="00394CA8" w:rsidP="00394CA8">
      <w:pPr>
        <w:jc w:val="center"/>
        <w:rPr>
          <w:sz w:val="20"/>
        </w:rPr>
      </w:pPr>
      <w:r w:rsidRPr="0074225E">
        <w:rPr>
          <w:noProof/>
          <w:lang w:val="en-US"/>
        </w:rPr>
        <w:drawing>
          <wp:inline distT="0" distB="0" distL="0" distR="0" wp14:anchorId="4130AEF4" wp14:editId="03B4AFC5">
            <wp:extent cx="3693600" cy="2497132"/>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93600" cy="2497132"/>
                    </a:xfrm>
                    <a:prstGeom prst="rect">
                      <a:avLst/>
                    </a:prstGeom>
                    <a:noFill/>
                    <a:ln>
                      <a:noFill/>
                    </a:ln>
                  </pic:spPr>
                </pic:pic>
              </a:graphicData>
            </a:graphic>
          </wp:inline>
        </w:drawing>
      </w:r>
    </w:p>
    <w:tbl>
      <w:tblPr>
        <w:tblW w:w="9446" w:type="dxa"/>
        <w:tblInd w:w="108" w:type="dxa"/>
        <w:tblLayout w:type="fixed"/>
        <w:tblLook w:val="0000" w:firstRow="0" w:lastRow="0" w:firstColumn="0" w:lastColumn="0" w:noHBand="0" w:noVBand="0"/>
      </w:tblPr>
      <w:tblGrid>
        <w:gridCol w:w="2722"/>
        <w:gridCol w:w="3856"/>
        <w:gridCol w:w="1589"/>
        <w:gridCol w:w="1279"/>
      </w:tblGrid>
      <w:tr w:rsidR="00394CA8" w:rsidRPr="00A859F2" w14:paraId="298F6778" w14:textId="77777777" w:rsidTr="00394CA8">
        <w:trPr>
          <w:cantSplit/>
          <w:trHeight w:val="383"/>
          <w:tblHeader/>
        </w:trPr>
        <w:tc>
          <w:tcPr>
            <w:tcW w:w="1441" w:type="pct"/>
            <w:shd w:val="clear" w:color="auto" w:fill="B8CCE4" w:themeFill="accent1" w:themeFillTint="66"/>
            <w:tcMar>
              <w:top w:w="113" w:type="dxa"/>
              <w:bottom w:w="85" w:type="dxa"/>
            </w:tcMar>
            <w:vAlign w:val="center"/>
          </w:tcPr>
          <w:p w14:paraId="6401988C" w14:textId="77777777" w:rsidR="00394CA8" w:rsidRPr="00A859F2" w:rsidRDefault="00394CA8" w:rsidP="00394CA8">
            <w:pPr>
              <w:rPr>
                <w:b/>
                <w:bCs/>
                <w:sz w:val="18"/>
                <w:szCs w:val="18"/>
              </w:rPr>
            </w:pPr>
            <w:r w:rsidRPr="00A859F2">
              <w:rPr>
                <w:b/>
                <w:bCs/>
                <w:sz w:val="18"/>
                <w:szCs w:val="18"/>
              </w:rPr>
              <w:t>Résultats escomptés</w:t>
            </w:r>
          </w:p>
        </w:tc>
        <w:tc>
          <w:tcPr>
            <w:tcW w:w="2041" w:type="pct"/>
            <w:shd w:val="clear" w:color="auto" w:fill="B8CCE4" w:themeFill="accent1" w:themeFillTint="66"/>
            <w:tcMar>
              <w:top w:w="113" w:type="dxa"/>
              <w:bottom w:w="85" w:type="dxa"/>
            </w:tcMar>
            <w:vAlign w:val="center"/>
          </w:tcPr>
          <w:p w14:paraId="2C4631CA" w14:textId="77777777" w:rsidR="00394CA8" w:rsidRPr="00A859F2" w:rsidRDefault="00394CA8" w:rsidP="00394CA8">
            <w:pPr>
              <w:rPr>
                <w:b/>
                <w:sz w:val="18"/>
                <w:szCs w:val="18"/>
              </w:rPr>
            </w:pPr>
            <w:r w:rsidRPr="00A859F2">
              <w:rPr>
                <w:b/>
                <w:sz w:val="18"/>
                <w:szCs w:val="18"/>
              </w:rPr>
              <w:t>Indicateurs d’exécution</w:t>
            </w:r>
          </w:p>
        </w:tc>
        <w:tc>
          <w:tcPr>
            <w:tcW w:w="841" w:type="pct"/>
            <w:shd w:val="clear" w:color="auto" w:fill="B8CCE4" w:themeFill="accent1" w:themeFillTint="66"/>
            <w:tcMar>
              <w:top w:w="113" w:type="dxa"/>
              <w:bottom w:w="85" w:type="dxa"/>
            </w:tcMar>
            <w:vAlign w:val="center"/>
          </w:tcPr>
          <w:p w14:paraId="1BF0E0AF" w14:textId="77777777" w:rsidR="00394CA8" w:rsidRPr="00A859F2" w:rsidRDefault="00394CA8" w:rsidP="00394CA8">
            <w:pPr>
              <w:ind w:left="85"/>
              <w:jc w:val="center"/>
              <w:rPr>
                <w:sz w:val="18"/>
                <w:szCs w:val="18"/>
              </w:rPr>
            </w:pPr>
            <w:r w:rsidRPr="00A859F2">
              <w:rPr>
                <w:b/>
                <w:sz w:val="18"/>
                <w:szCs w:val="18"/>
              </w:rPr>
              <w:t>Programme(s)concerné(s)</w:t>
            </w:r>
          </w:p>
        </w:tc>
        <w:tc>
          <w:tcPr>
            <w:tcW w:w="678" w:type="pct"/>
            <w:shd w:val="clear" w:color="auto" w:fill="B8CCE4" w:themeFill="accent1" w:themeFillTint="66"/>
            <w:vAlign w:val="center"/>
          </w:tcPr>
          <w:p w14:paraId="02E86C4D" w14:textId="77777777" w:rsidR="00394CA8" w:rsidRPr="00A859F2" w:rsidRDefault="00394CA8" w:rsidP="00394CA8">
            <w:pPr>
              <w:ind w:left="85"/>
              <w:jc w:val="center"/>
              <w:rPr>
                <w:b/>
                <w:bCs/>
                <w:sz w:val="18"/>
                <w:szCs w:val="18"/>
              </w:rPr>
            </w:pPr>
            <w:r w:rsidRPr="00A859F2">
              <w:rPr>
                <w:b/>
                <w:bCs/>
                <w:sz w:val="18"/>
                <w:szCs w:val="18"/>
              </w:rPr>
              <w:t>Code de couleurs</w:t>
            </w:r>
          </w:p>
        </w:tc>
      </w:tr>
      <w:tr w:rsidR="00394CA8" w:rsidRPr="00A859F2" w14:paraId="082F4D2D" w14:textId="77777777" w:rsidTr="00394CA8">
        <w:trPr>
          <w:cantSplit/>
          <w:trHeight w:val="379"/>
        </w:trPr>
        <w:tc>
          <w:tcPr>
            <w:tcW w:w="1441" w:type="pct"/>
            <w:vMerge w:val="restart"/>
            <w:shd w:val="clear" w:color="auto" w:fill="auto"/>
            <w:tcMar>
              <w:top w:w="113" w:type="dxa"/>
              <w:bottom w:w="85" w:type="dxa"/>
            </w:tcMar>
          </w:tcPr>
          <w:p w14:paraId="7D81217C" w14:textId="77777777" w:rsidR="00394CA8" w:rsidRPr="00A859F2" w:rsidRDefault="00394CA8" w:rsidP="00394CA8">
            <w:pPr>
              <w:rPr>
                <w:sz w:val="16"/>
                <w:szCs w:val="16"/>
              </w:rPr>
            </w:pPr>
            <w:r w:rsidRPr="00A859F2">
              <w:rPr>
                <w:sz w:val="16"/>
                <w:szCs w:val="16"/>
              </w:rPr>
              <w:t>VIII.1 Communication plus efficace avec le grand public concernant la propriété intellectuelle et le rôle de l’OMPI</w:t>
            </w:r>
          </w:p>
        </w:tc>
        <w:tc>
          <w:tcPr>
            <w:tcW w:w="2041" w:type="pct"/>
            <w:shd w:val="clear" w:color="auto" w:fill="auto"/>
            <w:tcMar>
              <w:top w:w="113" w:type="dxa"/>
              <w:bottom w:w="85" w:type="dxa"/>
            </w:tcMar>
          </w:tcPr>
          <w:p w14:paraId="5DEEA069" w14:textId="77777777" w:rsidR="00394CA8" w:rsidRPr="00A859F2" w:rsidRDefault="00394CA8" w:rsidP="00394CA8">
            <w:pPr>
              <w:rPr>
                <w:sz w:val="16"/>
                <w:szCs w:val="16"/>
              </w:rPr>
            </w:pPr>
            <w:r w:rsidRPr="00A859F2">
              <w:rPr>
                <w:sz w:val="16"/>
                <w:szCs w:val="16"/>
              </w:rPr>
              <w:t>Nombre d’États membres participant au programme d’attribution de prix de l’OMPI</w:t>
            </w:r>
          </w:p>
        </w:tc>
        <w:tc>
          <w:tcPr>
            <w:tcW w:w="841" w:type="pct"/>
            <w:shd w:val="clear" w:color="auto" w:fill="FFFFFF"/>
            <w:tcMar>
              <w:top w:w="113" w:type="dxa"/>
              <w:bottom w:w="85" w:type="dxa"/>
            </w:tcMar>
          </w:tcPr>
          <w:p w14:paraId="268CBA7B"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17</w:t>
            </w:r>
          </w:p>
        </w:tc>
        <w:tc>
          <w:tcPr>
            <w:tcW w:w="678" w:type="pct"/>
            <w:shd w:val="clear" w:color="auto" w:fill="FFFFFF"/>
          </w:tcPr>
          <w:p w14:paraId="7FDACE75" w14:textId="77777777" w:rsidR="00394CA8" w:rsidRPr="00A859F2" w:rsidRDefault="00394CA8" w:rsidP="00394CA8">
            <w:pPr>
              <w:jc w:val="center"/>
            </w:pPr>
            <w:r w:rsidRPr="00A859F2">
              <w:rPr>
                <w:color w:val="00B050"/>
                <w:szCs w:val="22"/>
              </w:rPr>
              <w:sym w:font="Wingdings" w:char="F06C"/>
            </w:r>
          </w:p>
        </w:tc>
      </w:tr>
      <w:tr w:rsidR="00394CA8" w:rsidRPr="00A859F2" w14:paraId="67F13DD5" w14:textId="77777777" w:rsidTr="00394CA8">
        <w:trPr>
          <w:cantSplit/>
          <w:trHeight w:val="514"/>
        </w:trPr>
        <w:tc>
          <w:tcPr>
            <w:tcW w:w="1441" w:type="pct"/>
            <w:vMerge/>
            <w:shd w:val="clear" w:color="auto" w:fill="auto"/>
            <w:tcMar>
              <w:top w:w="113" w:type="dxa"/>
              <w:bottom w:w="85" w:type="dxa"/>
            </w:tcMar>
          </w:tcPr>
          <w:p w14:paraId="19B075C4"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21A29F72" w14:textId="77777777" w:rsidR="00394CA8" w:rsidRPr="00A859F2" w:rsidRDefault="00394CA8" w:rsidP="00394CA8">
            <w:pPr>
              <w:rPr>
                <w:sz w:val="16"/>
                <w:szCs w:val="16"/>
              </w:rPr>
            </w:pPr>
            <w:r w:rsidRPr="00A859F2">
              <w:rPr>
                <w:sz w:val="16"/>
                <w:szCs w:val="16"/>
              </w:rPr>
              <w:t>Parties prenantes ayant une vision positive de la réputation de l’OMPI;  et reconnaissance accrue de la marque OMPI</w:t>
            </w:r>
          </w:p>
        </w:tc>
        <w:tc>
          <w:tcPr>
            <w:tcW w:w="841" w:type="pct"/>
            <w:shd w:val="clear" w:color="auto" w:fill="FFFFFF"/>
            <w:tcMar>
              <w:top w:w="113" w:type="dxa"/>
              <w:bottom w:w="85" w:type="dxa"/>
            </w:tcMar>
          </w:tcPr>
          <w:p w14:paraId="76CB9793"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7B82E752"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p>
        </w:tc>
      </w:tr>
      <w:tr w:rsidR="00394CA8" w:rsidRPr="00A859F2" w14:paraId="22FC3A7C" w14:textId="77777777" w:rsidTr="00394CA8">
        <w:trPr>
          <w:cantSplit/>
          <w:trHeight w:val="314"/>
        </w:trPr>
        <w:tc>
          <w:tcPr>
            <w:tcW w:w="1441" w:type="pct"/>
            <w:vMerge/>
            <w:shd w:val="clear" w:color="auto" w:fill="auto"/>
            <w:tcMar>
              <w:top w:w="113" w:type="dxa"/>
              <w:bottom w:w="85" w:type="dxa"/>
            </w:tcMar>
          </w:tcPr>
          <w:p w14:paraId="2CDDF6C3"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5A505D45" w14:textId="77777777" w:rsidR="00394CA8" w:rsidRPr="00A859F2" w:rsidRDefault="00394CA8" w:rsidP="00394CA8">
            <w:pPr>
              <w:rPr>
                <w:sz w:val="16"/>
                <w:szCs w:val="16"/>
              </w:rPr>
            </w:pPr>
            <w:r w:rsidRPr="00A859F2">
              <w:rPr>
                <w:sz w:val="16"/>
                <w:szCs w:val="16"/>
              </w:rPr>
              <w:t>Nombre de personnes qui consultent les contenus relatifs aux principaux événements, réalisations et activités de l’OMPI</w:t>
            </w:r>
          </w:p>
        </w:tc>
        <w:tc>
          <w:tcPr>
            <w:tcW w:w="841" w:type="pct"/>
            <w:shd w:val="clear" w:color="auto" w:fill="FFFFFF"/>
            <w:tcMar>
              <w:top w:w="113" w:type="dxa"/>
              <w:bottom w:w="85" w:type="dxa"/>
            </w:tcMar>
          </w:tcPr>
          <w:p w14:paraId="58171661" w14:textId="77777777" w:rsidR="00394CA8" w:rsidRPr="00A859F2" w:rsidRDefault="00394CA8" w:rsidP="00394CA8">
            <w:pPr>
              <w:spacing w:before="40"/>
              <w:jc w:val="center"/>
              <w:rPr>
                <w:sz w:val="16"/>
                <w:szCs w:val="16"/>
                <w:lang w:bidi="th-TH"/>
              </w:rPr>
            </w:pPr>
            <w:r w:rsidRPr="00A859F2">
              <w:rPr>
                <w:sz w:val="16"/>
                <w:szCs w:val="16"/>
                <w:lang w:bidi="th-TH"/>
              </w:rPr>
              <w:t>Programme 19</w:t>
            </w:r>
          </w:p>
        </w:tc>
        <w:tc>
          <w:tcPr>
            <w:tcW w:w="678" w:type="pct"/>
            <w:shd w:val="clear" w:color="auto" w:fill="FFFFFF"/>
          </w:tcPr>
          <w:p w14:paraId="08C259D0" w14:textId="77777777" w:rsidR="00394CA8" w:rsidRPr="00A859F2" w:rsidRDefault="00394CA8" w:rsidP="00394CA8">
            <w:pPr>
              <w:jc w:val="center"/>
            </w:pPr>
            <w:r w:rsidRPr="00A859F2">
              <w:rPr>
                <w:color w:val="00B050"/>
                <w:szCs w:val="22"/>
              </w:rPr>
              <w:sym w:font="Wingdings" w:char="F06C"/>
            </w:r>
          </w:p>
        </w:tc>
      </w:tr>
      <w:tr w:rsidR="00394CA8" w:rsidRPr="00A859F2" w14:paraId="3235F438" w14:textId="77777777" w:rsidTr="00394CA8">
        <w:trPr>
          <w:cantSplit/>
          <w:trHeight w:val="180"/>
        </w:trPr>
        <w:tc>
          <w:tcPr>
            <w:tcW w:w="1441" w:type="pct"/>
            <w:shd w:val="clear" w:color="auto" w:fill="auto"/>
            <w:tcMar>
              <w:top w:w="113" w:type="dxa"/>
              <w:bottom w:w="85" w:type="dxa"/>
            </w:tcMar>
          </w:tcPr>
          <w:p w14:paraId="415C6A2F"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11625D53" w14:textId="77777777" w:rsidR="00394CA8" w:rsidRPr="00A859F2" w:rsidRDefault="00394CA8" w:rsidP="00394CA8">
            <w:pPr>
              <w:rPr>
                <w:sz w:val="16"/>
                <w:szCs w:val="16"/>
              </w:rPr>
            </w:pPr>
            <w:r w:rsidRPr="00A859F2">
              <w:rPr>
                <w:sz w:val="16"/>
                <w:szCs w:val="16"/>
              </w:rPr>
              <w:t>Participation à la campagne de la Journée mondiale de la propriété intellectuelle</w:t>
            </w:r>
          </w:p>
        </w:tc>
        <w:tc>
          <w:tcPr>
            <w:tcW w:w="841" w:type="pct"/>
            <w:shd w:val="clear" w:color="auto" w:fill="FFFFFF"/>
            <w:tcMar>
              <w:top w:w="113" w:type="dxa"/>
              <w:bottom w:w="85" w:type="dxa"/>
            </w:tcMar>
          </w:tcPr>
          <w:p w14:paraId="05A3013D"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59732A98" w14:textId="77777777" w:rsidR="00394CA8" w:rsidRPr="00A859F2" w:rsidRDefault="00394CA8" w:rsidP="00394CA8">
            <w:pPr>
              <w:jc w:val="center"/>
            </w:pPr>
            <w:r w:rsidRPr="00A859F2">
              <w:rPr>
                <w:color w:val="00B050"/>
                <w:szCs w:val="22"/>
              </w:rPr>
              <w:sym w:font="Wingdings" w:char="F06C"/>
            </w:r>
          </w:p>
        </w:tc>
      </w:tr>
      <w:tr w:rsidR="00394CA8" w:rsidRPr="00A859F2" w14:paraId="52AA0777" w14:textId="77777777" w:rsidTr="00394CA8">
        <w:trPr>
          <w:cantSplit/>
          <w:trHeight w:val="353"/>
        </w:trPr>
        <w:tc>
          <w:tcPr>
            <w:tcW w:w="1441" w:type="pct"/>
            <w:shd w:val="clear" w:color="auto" w:fill="auto"/>
            <w:tcMar>
              <w:top w:w="113" w:type="dxa"/>
              <w:bottom w:w="85" w:type="dxa"/>
            </w:tcMar>
          </w:tcPr>
          <w:p w14:paraId="5AE6CA81"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62F39F9C" w14:textId="77777777" w:rsidR="00394CA8" w:rsidRPr="00A859F2" w:rsidRDefault="00394CA8" w:rsidP="00394CA8">
            <w:pPr>
              <w:rPr>
                <w:sz w:val="16"/>
                <w:szCs w:val="16"/>
              </w:rPr>
            </w:pPr>
            <w:r w:rsidRPr="00A859F2">
              <w:rPr>
                <w:sz w:val="16"/>
                <w:szCs w:val="16"/>
              </w:rPr>
              <w:t>Visites sur les sites des publications de l’OMPI et du Magazine de l’OMPI</w:t>
            </w:r>
          </w:p>
        </w:tc>
        <w:tc>
          <w:tcPr>
            <w:tcW w:w="841" w:type="pct"/>
            <w:shd w:val="clear" w:color="auto" w:fill="FFFFFF"/>
            <w:tcMar>
              <w:top w:w="113" w:type="dxa"/>
              <w:bottom w:w="85" w:type="dxa"/>
            </w:tcMar>
          </w:tcPr>
          <w:p w14:paraId="373F215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0BEE5E73" w14:textId="77777777" w:rsidR="00394CA8" w:rsidRPr="00A859F2" w:rsidRDefault="00394CA8" w:rsidP="00394CA8">
            <w:pPr>
              <w:jc w:val="center"/>
              <w:rPr>
                <w:color w:val="0070C0"/>
                <w:szCs w:val="22"/>
              </w:rPr>
            </w:pPr>
            <w:r w:rsidRPr="00A859F2">
              <w:rPr>
                <w:color w:val="00B050"/>
                <w:szCs w:val="22"/>
              </w:rPr>
              <w:sym w:font="Wingdings" w:char="F06C"/>
            </w:r>
            <w:r w:rsidRPr="00A859F2">
              <w:rPr>
                <w:color w:val="00B050"/>
                <w:szCs w:val="22"/>
              </w:rPr>
              <w:sym w:font="Wingdings" w:char="F06C"/>
            </w:r>
          </w:p>
        </w:tc>
      </w:tr>
      <w:tr w:rsidR="00394CA8" w:rsidRPr="00A859F2" w14:paraId="361B4765" w14:textId="77777777" w:rsidTr="00394CA8">
        <w:trPr>
          <w:cantSplit/>
          <w:trHeight w:val="330"/>
        </w:trPr>
        <w:tc>
          <w:tcPr>
            <w:tcW w:w="1441" w:type="pct"/>
            <w:shd w:val="clear" w:color="auto" w:fill="auto"/>
            <w:tcMar>
              <w:top w:w="113" w:type="dxa"/>
              <w:bottom w:w="85" w:type="dxa"/>
            </w:tcMar>
          </w:tcPr>
          <w:p w14:paraId="5FED4814"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2CF31E07" w14:textId="77777777" w:rsidR="00394CA8" w:rsidRPr="00A859F2" w:rsidRDefault="00394CA8" w:rsidP="00394CA8">
            <w:pPr>
              <w:rPr>
                <w:sz w:val="16"/>
                <w:szCs w:val="16"/>
              </w:rPr>
            </w:pPr>
            <w:r w:rsidRPr="00A859F2">
              <w:rPr>
                <w:sz w:val="16"/>
                <w:szCs w:val="16"/>
              </w:rPr>
              <w:t>Consultations des contenus presse, vidéo et photo de l’OMPI</w:t>
            </w:r>
          </w:p>
        </w:tc>
        <w:tc>
          <w:tcPr>
            <w:tcW w:w="841" w:type="pct"/>
            <w:shd w:val="clear" w:color="auto" w:fill="FFFFFF"/>
            <w:tcMar>
              <w:top w:w="113" w:type="dxa"/>
              <w:bottom w:w="85" w:type="dxa"/>
            </w:tcMar>
          </w:tcPr>
          <w:p w14:paraId="05D3C89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28C203DF" w14:textId="77777777" w:rsidR="00394CA8" w:rsidRPr="00A859F2" w:rsidRDefault="00394CA8" w:rsidP="00394CA8">
            <w:pPr>
              <w:jc w:val="cente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5E41365E" w14:textId="77777777" w:rsidTr="00394CA8">
        <w:trPr>
          <w:cantSplit/>
          <w:trHeight w:val="20"/>
        </w:trPr>
        <w:tc>
          <w:tcPr>
            <w:tcW w:w="1441" w:type="pct"/>
            <w:shd w:val="clear" w:color="auto" w:fill="auto"/>
            <w:tcMar>
              <w:top w:w="113" w:type="dxa"/>
              <w:bottom w:w="85" w:type="dxa"/>
            </w:tcMar>
          </w:tcPr>
          <w:p w14:paraId="4F8ECF2C"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34AEB0E3" w14:textId="77777777" w:rsidR="00394CA8" w:rsidRPr="00A859F2" w:rsidRDefault="00394CA8" w:rsidP="00394CA8">
            <w:pPr>
              <w:rPr>
                <w:sz w:val="16"/>
                <w:szCs w:val="16"/>
              </w:rPr>
            </w:pPr>
            <w:r w:rsidRPr="00A859F2">
              <w:rPr>
                <w:sz w:val="16"/>
                <w:szCs w:val="16"/>
              </w:rPr>
              <w:t>Réduction du nombre d’utilisateurs qui quittent le site Web de l’OMPI directement à partir du portail et des principales pages d’aiguillage</w:t>
            </w:r>
          </w:p>
        </w:tc>
        <w:tc>
          <w:tcPr>
            <w:tcW w:w="841" w:type="pct"/>
            <w:shd w:val="clear" w:color="auto" w:fill="FFFFFF"/>
            <w:tcMar>
              <w:top w:w="113" w:type="dxa"/>
              <w:bottom w:w="85" w:type="dxa"/>
            </w:tcMar>
          </w:tcPr>
          <w:p w14:paraId="2CC4CF8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155955F1" w14:textId="77777777" w:rsidR="00394CA8" w:rsidRPr="00A859F2" w:rsidRDefault="00394CA8" w:rsidP="00394CA8">
            <w:pPr>
              <w:jc w:val="center"/>
              <w:rPr>
                <w:color w:val="00B050"/>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p w14:paraId="1F42BC5E" w14:textId="77777777" w:rsidR="00394CA8" w:rsidRPr="00A859F2" w:rsidRDefault="00394CA8" w:rsidP="00394CA8">
            <w:pPr>
              <w:jc w:val="center"/>
            </w:pPr>
            <w:r w:rsidRPr="00A859F2">
              <w:rPr>
                <w:color w:val="00B050"/>
                <w:szCs w:val="22"/>
              </w:rPr>
              <w:sym w:font="Wingdings" w:char="F06C"/>
            </w:r>
            <w:r w:rsidRPr="00A859F2">
              <w:rPr>
                <w:color w:val="FF0000"/>
                <w:szCs w:val="22"/>
              </w:rPr>
              <w:sym w:font="Wingdings" w:char="F06C"/>
            </w:r>
            <w:r w:rsidRPr="00A859F2">
              <w:rPr>
                <w:color w:val="FF0000"/>
                <w:szCs w:val="22"/>
              </w:rPr>
              <w:sym w:font="Wingdings" w:char="F06C"/>
            </w:r>
          </w:p>
        </w:tc>
      </w:tr>
      <w:tr w:rsidR="00394CA8" w:rsidRPr="00A859F2" w14:paraId="54CEB03E" w14:textId="77777777" w:rsidTr="00394CA8">
        <w:trPr>
          <w:cantSplit/>
          <w:trHeight w:val="335"/>
        </w:trPr>
        <w:tc>
          <w:tcPr>
            <w:tcW w:w="1441" w:type="pct"/>
            <w:shd w:val="clear" w:color="auto" w:fill="auto"/>
            <w:tcMar>
              <w:top w:w="113" w:type="dxa"/>
              <w:bottom w:w="85" w:type="dxa"/>
            </w:tcMar>
          </w:tcPr>
          <w:p w14:paraId="06CF9449"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647869B7" w14:textId="77777777" w:rsidR="00394CA8" w:rsidRPr="00A859F2" w:rsidRDefault="00394CA8" w:rsidP="00394CA8">
            <w:pPr>
              <w:rPr>
                <w:sz w:val="16"/>
                <w:szCs w:val="16"/>
              </w:rPr>
            </w:pPr>
            <w:r w:rsidRPr="00A859F2">
              <w:rPr>
                <w:sz w:val="16"/>
                <w:szCs w:val="16"/>
              </w:rPr>
              <w:t>Influence de l’OMPI et participation des parties prenantes dans les médias sociaux</w:t>
            </w:r>
          </w:p>
        </w:tc>
        <w:tc>
          <w:tcPr>
            <w:tcW w:w="841" w:type="pct"/>
            <w:shd w:val="clear" w:color="auto" w:fill="FFFFFF"/>
            <w:tcMar>
              <w:top w:w="113" w:type="dxa"/>
              <w:bottom w:w="85" w:type="dxa"/>
            </w:tcMar>
          </w:tcPr>
          <w:p w14:paraId="7A7C9055"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17B9FA94"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p>
        </w:tc>
      </w:tr>
      <w:tr w:rsidR="00394CA8" w:rsidRPr="00A859F2" w14:paraId="6E82F925" w14:textId="77777777" w:rsidTr="00394CA8">
        <w:trPr>
          <w:cantSplit/>
          <w:trHeight w:val="664"/>
        </w:trPr>
        <w:tc>
          <w:tcPr>
            <w:tcW w:w="1441" w:type="pct"/>
            <w:shd w:val="clear" w:color="auto" w:fill="auto"/>
            <w:tcMar>
              <w:top w:w="113" w:type="dxa"/>
              <w:bottom w:w="85" w:type="dxa"/>
            </w:tcMar>
          </w:tcPr>
          <w:p w14:paraId="184C285F"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3CB582ED" w14:textId="77777777" w:rsidR="00394CA8" w:rsidRPr="00A859F2" w:rsidRDefault="00394CA8" w:rsidP="00394CA8">
            <w:pPr>
              <w:rPr>
                <w:sz w:val="16"/>
                <w:szCs w:val="16"/>
              </w:rPr>
            </w:pPr>
            <w:r w:rsidRPr="00A859F2">
              <w:rPr>
                <w:sz w:val="16"/>
                <w:szCs w:val="16"/>
              </w:rPr>
              <w:t>Augmentation de la fréquentation du site Web des bureaux extérieurs de l’OMPI</w:t>
            </w:r>
          </w:p>
        </w:tc>
        <w:tc>
          <w:tcPr>
            <w:tcW w:w="841" w:type="pct"/>
            <w:shd w:val="clear" w:color="auto" w:fill="FFFFFF"/>
            <w:tcMar>
              <w:top w:w="113" w:type="dxa"/>
              <w:bottom w:w="85" w:type="dxa"/>
            </w:tcMar>
          </w:tcPr>
          <w:p w14:paraId="1A6CA3B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8" w:type="pct"/>
            <w:shd w:val="clear" w:color="auto" w:fill="FFFFFF"/>
          </w:tcPr>
          <w:p w14:paraId="54D0EF8E" w14:textId="77777777" w:rsidR="00394CA8" w:rsidRPr="00A859F2" w:rsidRDefault="00394CA8" w:rsidP="00394CA8">
            <w:pPr>
              <w:jc w:val="cente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p>
        </w:tc>
      </w:tr>
      <w:tr w:rsidR="00394CA8" w:rsidRPr="00A859F2" w14:paraId="7BA51138" w14:textId="77777777" w:rsidTr="00394CA8">
        <w:trPr>
          <w:cantSplit/>
          <w:trHeight w:val="172"/>
        </w:trPr>
        <w:tc>
          <w:tcPr>
            <w:tcW w:w="1441" w:type="pct"/>
            <w:vMerge w:val="restart"/>
            <w:shd w:val="clear" w:color="auto" w:fill="auto"/>
            <w:tcMar>
              <w:top w:w="113" w:type="dxa"/>
              <w:bottom w:w="85" w:type="dxa"/>
            </w:tcMar>
          </w:tcPr>
          <w:p w14:paraId="319CE320" w14:textId="77777777" w:rsidR="00394CA8" w:rsidRPr="00A859F2" w:rsidRDefault="00394CA8" w:rsidP="00394CA8">
            <w:pPr>
              <w:keepNext/>
              <w:keepLines/>
              <w:rPr>
                <w:sz w:val="16"/>
                <w:szCs w:val="16"/>
              </w:rPr>
            </w:pPr>
            <w:r w:rsidRPr="00A859F2">
              <w:rPr>
                <w:sz w:val="16"/>
                <w:szCs w:val="16"/>
              </w:rPr>
              <w:t>VIII.2 Amélioration de l’orientation vers les services et de la réactivité à la demande</w:t>
            </w:r>
          </w:p>
        </w:tc>
        <w:tc>
          <w:tcPr>
            <w:tcW w:w="2041" w:type="pct"/>
            <w:shd w:val="clear" w:color="auto" w:fill="auto"/>
            <w:tcMar>
              <w:top w:w="113" w:type="dxa"/>
              <w:bottom w:w="85" w:type="dxa"/>
            </w:tcMar>
          </w:tcPr>
          <w:p w14:paraId="6AC1FEA4" w14:textId="77777777" w:rsidR="00394CA8" w:rsidRPr="00A859F2" w:rsidRDefault="00394CA8" w:rsidP="00394CA8">
            <w:pPr>
              <w:keepNext/>
              <w:keepLines/>
              <w:rPr>
                <w:sz w:val="16"/>
                <w:szCs w:val="16"/>
              </w:rPr>
            </w:pPr>
            <w:r w:rsidRPr="00A859F2">
              <w:rPr>
                <w:sz w:val="16"/>
                <w:szCs w:val="16"/>
              </w:rPr>
              <w:t>Utilisateurs satisfaits des services de la Bibliothèque</w:t>
            </w:r>
          </w:p>
        </w:tc>
        <w:tc>
          <w:tcPr>
            <w:tcW w:w="841" w:type="pct"/>
            <w:shd w:val="clear" w:color="auto" w:fill="FFFFFF"/>
            <w:tcMar>
              <w:top w:w="113" w:type="dxa"/>
              <w:bottom w:w="85" w:type="dxa"/>
            </w:tcMar>
          </w:tcPr>
          <w:p w14:paraId="2F52C660" w14:textId="77777777" w:rsidR="00394CA8" w:rsidRPr="00A859F2" w:rsidRDefault="00394CA8" w:rsidP="00394CA8">
            <w:pPr>
              <w:keepNext/>
              <w:keepLines/>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159120D4" w14:textId="77777777" w:rsidR="00394CA8" w:rsidRPr="00A859F2" w:rsidRDefault="00394CA8" w:rsidP="00394CA8">
            <w:pPr>
              <w:keepNext/>
              <w:keepLines/>
              <w:jc w:val="center"/>
              <w:rPr>
                <w:color w:val="00B050"/>
                <w:szCs w:val="22"/>
              </w:rPr>
            </w:pPr>
            <w:r w:rsidRPr="00A859F2">
              <w:rPr>
                <w:color w:val="00B050"/>
                <w:szCs w:val="22"/>
              </w:rPr>
              <w:sym w:font="Wingdings" w:char="F06C"/>
            </w:r>
          </w:p>
        </w:tc>
      </w:tr>
      <w:tr w:rsidR="00394CA8" w:rsidRPr="00A859F2" w14:paraId="4B611FEE" w14:textId="77777777" w:rsidTr="00394CA8">
        <w:trPr>
          <w:cantSplit/>
          <w:trHeight w:val="20"/>
        </w:trPr>
        <w:tc>
          <w:tcPr>
            <w:tcW w:w="1441" w:type="pct"/>
            <w:vMerge/>
            <w:shd w:val="clear" w:color="auto" w:fill="auto"/>
            <w:tcMar>
              <w:top w:w="113" w:type="dxa"/>
              <w:bottom w:w="85" w:type="dxa"/>
            </w:tcMar>
          </w:tcPr>
          <w:p w14:paraId="069297FE"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40DDAE7C" w14:textId="77777777" w:rsidR="00394CA8" w:rsidRPr="00A859F2" w:rsidRDefault="00394CA8" w:rsidP="00394CA8">
            <w:pPr>
              <w:rPr>
                <w:sz w:val="16"/>
                <w:szCs w:val="16"/>
              </w:rPr>
            </w:pPr>
            <w:r w:rsidRPr="00A859F2">
              <w:rPr>
                <w:sz w:val="16"/>
                <w:szCs w:val="16"/>
              </w:rPr>
              <w:t>Taux de satisfaction des clients et des parties prenantes</w:t>
            </w:r>
          </w:p>
        </w:tc>
        <w:tc>
          <w:tcPr>
            <w:tcW w:w="841" w:type="pct"/>
            <w:shd w:val="clear" w:color="auto" w:fill="FFFFFF"/>
            <w:tcMar>
              <w:top w:w="113" w:type="dxa"/>
              <w:bottom w:w="85" w:type="dxa"/>
            </w:tcMar>
          </w:tcPr>
          <w:p w14:paraId="137BA24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090CCEAB" w14:textId="77777777" w:rsidR="00394CA8" w:rsidRPr="00A859F2" w:rsidRDefault="00394CA8" w:rsidP="00394CA8">
            <w:pPr>
              <w:jc w:val="center"/>
              <w:rPr>
                <w:color w:val="00B050"/>
                <w:szCs w:val="22"/>
              </w:rPr>
            </w:pPr>
            <w:r w:rsidRPr="00A859F2">
              <w:rPr>
                <w:color w:val="0070C0"/>
                <w:szCs w:val="22"/>
              </w:rPr>
              <w:sym w:font="Wingdings" w:char="F06C"/>
            </w:r>
            <w:r w:rsidRPr="00A859F2">
              <w:rPr>
                <w:color w:val="A6A6A6" w:themeColor="background1" w:themeShade="A6"/>
                <w:szCs w:val="22"/>
              </w:rPr>
              <w:sym w:font="Wingdings" w:char="F06C"/>
            </w:r>
          </w:p>
        </w:tc>
      </w:tr>
      <w:tr w:rsidR="00394CA8" w:rsidRPr="00A859F2" w14:paraId="24521CB9" w14:textId="77777777" w:rsidTr="00394CA8">
        <w:trPr>
          <w:cantSplit/>
          <w:trHeight w:val="20"/>
        </w:trPr>
        <w:tc>
          <w:tcPr>
            <w:tcW w:w="1441" w:type="pct"/>
            <w:shd w:val="clear" w:color="auto" w:fill="auto"/>
            <w:tcMar>
              <w:top w:w="113" w:type="dxa"/>
              <w:bottom w:w="85" w:type="dxa"/>
            </w:tcMar>
          </w:tcPr>
          <w:p w14:paraId="6812D4EF"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357FCF1C" w14:textId="77777777" w:rsidR="00394CA8" w:rsidRPr="00A859F2" w:rsidRDefault="00394CA8" w:rsidP="00394CA8">
            <w:pPr>
              <w:rPr>
                <w:sz w:val="16"/>
                <w:szCs w:val="16"/>
              </w:rPr>
            </w:pPr>
            <w:r w:rsidRPr="00A859F2">
              <w:rPr>
                <w:sz w:val="16"/>
                <w:szCs w:val="16"/>
              </w:rPr>
              <w:t>Normes de services du Centre de services à la clientèle de l’OMPI</w:t>
            </w:r>
          </w:p>
        </w:tc>
        <w:tc>
          <w:tcPr>
            <w:tcW w:w="841" w:type="pct"/>
            <w:shd w:val="clear" w:color="auto" w:fill="FFFFFF"/>
            <w:tcMar>
              <w:top w:w="113" w:type="dxa"/>
              <w:bottom w:w="85" w:type="dxa"/>
            </w:tcMar>
          </w:tcPr>
          <w:p w14:paraId="03392970"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19</w:t>
            </w:r>
          </w:p>
        </w:tc>
        <w:tc>
          <w:tcPr>
            <w:tcW w:w="678" w:type="pct"/>
            <w:shd w:val="clear" w:color="auto" w:fill="FFFFFF"/>
          </w:tcPr>
          <w:p w14:paraId="42F74D02" w14:textId="77777777" w:rsidR="00394CA8" w:rsidRPr="00A859F2" w:rsidRDefault="00394CA8" w:rsidP="00394CA8">
            <w:pPr>
              <w:jc w:val="center"/>
              <w:rPr>
                <w:color w:val="00B050"/>
                <w:szCs w:val="22"/>
              </w:rPr>
            </w:pPr>
            <w:r w:rsidRPr="00A859F2">
              <w:rPr>
                <w:color w:val="0070C0"/>
                <w:szCs w:val="22"/>
              </w:rPr>
              <w:sym w:font="Wingdings" w:char="F06C"/>
            </w:r>
            <w:r w:rsidRPr="00A859F2">
              <w:rPr>
                <w:color w:val="00B050"/>
                <w:szCs w:val="22"/>
              </w:rPr>
              <w:sym w:font="Wingdings" w:char="F06C"/>
            </w:r>
          </w:p>
        </w:tc>
      </w:tr>
      <w:tr w:rsidR="00394CA8" w:rsidRPr="00A859F2" w14:paraId="45D41915" w14:textId="77777777" w:rsidTr="00394CA8">
        <w:trPr>
          <w:cantSplit/>
          <w:trHeight w:val="16"/>
        </w:trPr>
        <w:tc>
          <w:tcPr>
            <w:tcW w:w="1441" w:type="pct"/>
            <w:shd w:val="clear" w:color="auto" w:fill="auto"/>
            <w:tcMar>
              <w:top w:w="113" w:type="dxa"/>
              <w:bottom w:w="85" w:type="dxa"/>
            </w:tcMar>
          </w:tcPr>
          <w:p w14:paraId="7D24AB43"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02CB232D" w14:textId="77777777" w:rsidR="00394CA8" w:rsidRPr="00A859F2" w:rsidRDefault="00394CA8" w:rsidP="00394CA8">
            <w:pPr>
              <w:rPr>
                <w:sz w:val="16"/>
                <w:szCs w:val="16"/>
              </w:rPr>
            </w:pPr>
            <w:r w:rsidRPr="00A859F2">
              <w:rPr>
                <w:sz w:val="16"/>
                <w:szCs w:val="16"/>
              </w:rPr>
              <w:t>Durée de traitement des demandes de renseignements</w:t>
            </w:r>
          </w:p>
        </w:tc>
        <w:tc>
          <w:tcPr>
            <w:tcW w:w="841" w:type="pct"/>
            <w:shd w:val="clear" w:color="auto" w:fill="FFFFFF"/>
            <w:tcMar>
              <w:top w:w="113" w:type="dxa"/>
              <w:bottom w:w="85" w:type="dxa"/>
            </w:tcMar>
          </w:tcPr>
          <w:p w14:paraId="46113629"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8" w:type="pct"/>
            <w:shd w:val="clear" w:color="auto" w:fill="FFFFFF"/>
          </w:tcPr>
          <w:p w14:paraId="1D57A14F" w14:textId="77777777" w:rsidR="00394CA8" w:rsidRPr="00A859F2" w:rsidRDefault="00394CA8" w:rsidP="00394CA8">
            <w:pPr>
              <w:jc w:val="center"/>
            </w:pPr>
            <w:r w:rsidRPr="00A859F2">
              <w:rPr>
                <w:color w:val="A6A6A6" w:themeColor="background1" w:themeShade="A6"/>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1CFA1C4E" w14:textId="77777777" w:rsidTr="00394CA8">
        <w:trPr>
          <w:cantSplit/>
          <w:trHeight w:val="124"/>
        </w:trPr>
        <w:tc>
          <w:tcPr>
            <w:tcW w:w="1441" w:type="pct"/>
            <w:shd w:val="clear" w:color="auto" w:fill="auto"/>
            <w:tcMar>
              <w:top w:w="113" w:type="dxa"/>
              <w:bottom w:w="85" w:type="dxa"/>
            </w:tcMar>
          </w:tcPr>
          <w:p w14:paraId="74D31C1C" w14:textId="77777777" w:rsidR="00394CA8" w:rsidRPr="00A859F2" w:rsidRDefault="00394CA8" w:rsidP="00394CA8">
            <w:pPr>
              <w:rPr>
                <w:sz w:val="16"/>
                <w:szCs w:val="16"/>
              </w:rPr>
            </w:pPr>
            <w:r w:rsidRPr="00A859F2">
              <w:rPr>
                <w:sz w:val="16"/>
                <w:szCs w:val="16"/>
              </w:rPr>
              <w:t>VIII.3 Engagement réel auprès des États membres</w:t>
            </w:r>
          </w:p>
        </w:tc>
        <w:tc>
          <w:tcPr>
            <w:tcW w:w="2041" w:type="pct"/>
            <w:shd w:val="clear" w:color="auto" w:fill="auto"/>
            <w:tcMar>
              <w:top w:w="113" w:type="dxa"/>
              <w:bottom w:w="85" w:type="dxa"/>
            </w:tcMar>
          </w:tcPr>
          <w:p w14:paraId="61EA4413" w14:textId="77777777" w:rsidR="00394CA8" w:rsidRPr="00A859F2" w:rsidRDefault="00394CA8" w:rsidP="00394CA8">
            <w:pPr>
              <w:rPr>
                <w:sz w:val="16"/>
                <w:szCs w:val="16"/>
              </w:rPr>
            </w:pPr>
            <w:r w:rsidRPr="00A859F2">
              <w:rPr>
                <w:sz w:val="16"/>
                <w:szCs w:val="16"/>
              </w:rPr>
              <w:t>Pourcentage de réunions de comité pour lesquelles des réunions d’information préalables sont tenues pour les États membres</w:t>
            </w:r>
          </w:p>
        </w:tc>
        <w:tc>
          <w:tcPr>
            <w:tcW w:w="841" w:type="pct"/>
            <w:shd w:val="clear" w:color="auto" w:fill="FFFFFF"/>
            <w:tcMar>
              <w:top w:w="113" w:type="dxa"/>
              <w:bottom w:w="85" w:type="dxa"/>
            </w:tcMar>
          </w:tcPr>
          <w:p w14:paraId="734267F0"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8" w:type="pct"/>
            <w:shd w:val="clear" w:color="auto" w:fill="FFFFFF"/>
          </w:tcPr>
          <w:p w14:paraId="559A56A0" w14:textId="77777777" w:rsidR="00394CA8" w:rsidRPr="00A859F2" w:rsidRDefault="00394CA8" w:rsidP="00394CA8">
            <w:pPr>
              <w:jc w:val="center"/>
            </w:pPr>
            <w:r w:rsidRPr="00A859F2">
              <w:rPr>
                <w:color w:val="00B050"/>
                <w:szCs w:val="22"/>
              </w:rPr>
              <w:sym w:font="Wingdings" w:char="F06C"/>
            </w:r>
          </w:p>
        </w:tc>
      </w:tr>
      <w:tr w:rsidR="00394CA8" w:rsidRPr="00A859F2" w14:paraId="4A120BD6" w14:textId="77777777" w:rsidTr="00394CA8">
        <w:trPr>
          <w:cantSplit/>
          <w:trHeight w:val="259"/>
        </w:trPr>
        <w:tc>
          <w:tcPr>
            <w:tcW w:w="1441" w:type="pct"/>
            <w:shd w:val="clear" w:color="auto" w:fill="auto"/>
            <w:tcMar>
              <w:top w:w="113" w:type="dxa"/>
              <w:bottom w:w="85" w:type="dxa"/>
            </w:tcMar>
          </w:tcPr>
          <w:p w14:paraId="421CB08E"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61AE17B8" w14:textId="77777777" w:rsidR="00394CA8" w:rsidRPr="00A859F2" w:rsidRDefault="00394CA8" w:rsidP="00394CA8">
            <w:pPr>
              <w:rPr>
                <w:sz w:val="16"/>
                <w:szCs w:val="16"/>
              </w:rPr>
            </w:pPr>
            <w:r w:rsidRPr="00A859F2">
              <w:rPr>
                <w:sz w:val="16"/>
                <w:szCs w:val="16"/>
              </w:rPr>
              <w:t>Pourcentage d’actes d’adhésion et autres actes accomplis à l’égard de traités faisant l’objet d’un traitement dans les délais requis</w:t>
            </w:r>
          </w:p>
        </w:tc>
        <w:tc>
          <w:tcPr>
            <w:tcW w:w="841" w:type="pct"/>
            <w:shd w:val="clear" w:color="auto" w:fill="FFFFFF"/>
            <w:tcMar>
              <w:top w:w="113" w:type="dxa"/>
              <w:bottom w:w="85" w:type="dxa"/>
            </w:tcMar>
          </w:tcPr>
          <w:p w14:paraId="6ED0C967"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8" w:type="pct"/>
            <w:shd w:val="clear" w:color="auto" w:fill="FFFFFF"/>
          </w:tcPr>
          <w:p w14:paraId="5ACB7345"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43FE5BF9" w14:textId="77777777" w:rsidTr="00394CA8">
        <w:trPr>
          <w:cantSplit/>
          <w:trHeight w:val="20"/>
        </w:trPr>
        <w:tc>
          <w:tcPr>
            <w:tcW w:w="1441" w:type="pct"/>
            <w:shd w:val="clear" w:color="auto" w:fill="auto"/>
            <w:tcMar>
              <w:top w:w="113" w:type="dxa"/>
              <w:bottom w:w="85" w:type="dxa"/>
            </w:tcMar>
          </w:tcPr>
          <w:p w14:paraId="315CEE8E"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553880F2" w14:textId="77777777" w:rsidR="00394CA8" w:rsidRPr="00A859F2" w:rsidRDefault="00394CA8" w:rsidP="00394CA8">
            <w:pPr>
              <w:rPr>
                <w:sz w:val="16"/>
                <w:szCs w:val="16"/>
              </w:rPr>
            </w:pPr>
            <w:r w:rsidRPr="00A859F2">
              <w:rPr>
                <w:sz w:val="16"/>
                <w:szCs w:val="16"/>
              </w:rPr>
              <w:t>Respect des délais pour la publication des documents des assemblées</w:t>
            </w:r>
          </w:p>
        </w:tc>
        <w:tc>
          <w:tcPr>
            <w:tcW w:w="841" w:type="pct"/>
            <w:shd w:val="clear" w:color="auto" w:fill="FFFFFF"/>
            <w:tcMar>
              <w:top w:w="113" w:type="dxa"/>
              <w:bottom w:w="85" w:type="dxa"/>
            </w:tcMar>
          </w:tcPr>
          <w:p w14:paraId="73B7A910"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8" w:type="pct"/>
            <w:shd w:val="clear" w:color="auto" w:fill="FFFFFF"/>
          </w:tcPr>
          <w:p w14:paraId="67DDD341" w14:textId="77777777" w:rsidR="00394CA8" w:rsidRPr="00A859F2" w:rsidRDefault="00394CA8" w:rsidP="00394CA8">
            <w:pPr>
              <w:jc w:val="center"/>
            </w:pPr>
            <w:r w:rsidRPr="00A859F2">
              <w:rPr>
                <w:color w:val="00B050"/>
                <w:szCs w:val="22"/>
              </w:rPr>
              <w:sym w:font="Wingdings" w:char="F06C"/>
            </w:r>
          </w:p>
        </w:tc>
      </w:tr>
      <w:tr w:rsidR="00394CA8" w:rsidRPr="00A859F2" w14:paraId="59D3FAFF" w14:textId="77777777" w:rsidTr="00394CA8">
        <w:trPr>
          <w:cantSplit/>
          <w:trHeight w:val="20"/>
        </w:trPr>
        <w:tc>
          <w:tcPr>
            <w:tcW w:w="1441" w:type="pct"/>
            <w:shd w:val="clear" w:color="auto" w:fill="auto"/>
            <w:tcMar>
              <w:top w:w="113" w:type="dxa"/>
              <w:bottom w:w="85" w:type="dxa"/>
            </w:tcMar>
          </w:tcPr>
          <w:p w14:paraId="101B46DC"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017A32E1" w14:textId="77777777" w:rsidR="00394CA8" w:rsidRPr="00A859F2" w:rsidRDefault="00394CA8" w:rsidP="00394CA8">
            <w:pPr>
              <w:rPr>
                <w:sz w:val="16"/>
                <w:szCs w:val="16"/>
              </w:rPr>
            </w:pPr>
            <w:r w:rsidRPr="00A859F2">
              <w:rPr>
                <w:sz w:val="16"/>
                <w:szCs w:val="16"/>
              </w:rPr>
              <w:t xml:space="preserve">Taux de satisfaction des États membres et des parties prenantes en ce </w:t>
            </w:r>
            <w:r>
              <w:rPr>
                <w:sz w:val="16"/>
                <w:szCs w:val="16"/>
              </w:rPr>
              <w:t>qui c</w:t>
            </w:r>
            <w:r w:rsidRPr="00A859F2">
              <w:rPr>
                <w:sz w:val="16"/>
                <w:szCs w:val="16"/>
              </w:rPr>
              <w:t>oncerne l’organisation des événements</w:t>
            </w:r>
          </w:p>
        </w:tc>
        <w:tc>
          <w:tcPr>
            <w:tcW w:w="841" w:type="pct"/>
            <w:shd w:val="clear" w:color="auto" w:fill="FFFFFF"/>
            <w:tcMar>
              <w:top w:w="113" w:type="dxa"/>
              <w:bottom w:w="85" w:type="dxa"/>
            </w:tcMar>
          </w:tcPr>
          <w:p w14:paraId="47FE83C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8" w:type="pct"/>
            <w:shd w:val="clear" w:color="auto" w:fill="FFFFFF"/>
          </w:tcPr>
          <w:p w14:paraId="0A116ECA" w14:textId="77777777" w:rsidR="00394CA8" w:rsidRPr="00A859F2" w:rsidRDefault="00394CA8" w:rsidP="00394CA8">
            <w:pPr>
              <w:jc w:val="center"/>
            </w:pPr>
            <w:r w:rsidRPr="00A859F2">
              <w:rPr>
                <w:color w:val="00B050"/>
                <w:szCs w:val="22"/>
              </w:rPr>
              <w:sym w:font="Wingdings" w:char="F06C"/>
            </w:r>
          </w:p>
        </w:tc>
      </w:tr>
      <w:tr w:rsidR="00394CA8" w:rsidRPr="00A859F2" w14:paraId="3037FD99" w14:textId="77777777" w:rsidTr="00394CA8">
        <w:trPr>
          <w:cantSplit/>
          <w:trHeight w:val="58"/>
        </w:trPr>
        <w:tc>
          <w:tcPr>
            <w:tcW w:w="1441" w:type="pct"/>
            <w:shd w:val="clear" w:color="auto" w:fill="auto"/>
            <w:tcMar>
              <w:top w:w="113" w:type="dxa"/>
              <w:bottom w:w="85" w:type="dxa"/>
            </w:tcMar>
          </w:tcPr>
          <w:p w14:paraId="3450EAA5"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1F4685E6" w14:textId="77777777" w:rsidR="00394CA8" w:rsidRPr="00A859F2" w:rsidRDefault="00394CA8" w:rsidP="00394CA8">
            <w:pPr>
              <w:rPr>
                <w:sz w:val="16"/>
                <w:szCs w:val="16"/>
              </w:rPr>
            </w:pPr>
            <w:r w:rsidRPr="00A859F2">
              <w:rPr>
                <w:sz w:val="16"/>
                <w:szCs w:val="16"/>
              </w:rPr>
              <w:t>Taux de satisfaction des délégués en ce qui concerne l’organisation des assemblées</w:t>
            </w:r>
          </w:p>
        </w:tc>
        <w:tc>
          <w:tcPr>
            <w:tcW w:w="841" w:type="pct"/>
            <w:shd w:val="clear" w:color="auto" w:fill="FFFFFF"/>
            <w:tcMar>
              <w:top w:w="113" w:type="dxa"/>
              <w:bottom w:w="85" w:type="dxa"/>
            </w:tcMar>
          </w:tcPr>
          <w:p w14:paraId="6F8B86BE"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8" w:type="pct"/>
            <w:shd w:val="clear" w:color="auto" w:fill="FFFFFF"/>
          </w:tcPr>
          <w:p w14:paraId="56BD1E15"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7C1616DC" w14:textId="77777777" w:rsidTr="00394CA8">
        <w:trPr>
          <w:cantSplit/>
          <w:trHeight w:val="207"/>
        </w:trPr>
        <w:tc>
          <w:tcPr>
            <w:tcW w:w="1441" w:type="pct"/>
            <w:shd w:val="clear" w:color="auto" w:fill="auto"/>
            <w:tcMar>
              <w:top w:w="113" w:type="dxa"/>
              <w:bottom w:w="85" w:type="dxa"/>
            </w:tcMar>
          </w:tcPr>
          <w:p w14:paraId="6F08949F" w14:textId="77777777" w:rsidR="00394CA8" w:rsidRPr="00A859F2" w:rsidRDefault="00394CA8" w:rsidP="00394CA8">
            <w:pPr>
              <w:rPr>
                <w:sz w:val="16"/>
                <w:szCs w:val="16"/>
              </w:rPr>
            </w:pPr>
            <w:r w:rsidRPr="00A859F2">
              <w:rPr>
                <w:sz w:val="16"/>
                <w:szCs w:val="16"/>
              </w:rPr>
              <w:t>VIII.4 Échanges ouverts, transparents et dynamiques avec les parties prenantes non gouvernementales</w:t>
            </w:r>
          </w:p>
        </w:tc>
        <w:tc>
          <w:tcPr>
            <w:tcW w:w="2041" w:type="pct"/>
            <w:shd w:val="clear" w:color="auto" w:fill="auto"/>
            <w:tcMar>
              <w:top w:w="113" w:type="dxa"/>
              <w:bottom w:w="85" w:type="dxa"/>
            </w:tcMar>
          </w:tcPr>
          <w:p w14:paraId="373A80E3" w14:textId="77777777" w:rsidR="00394CA8" w:rsidRPr="00A859F2" w:rsidRDefault="00394CA8" w:rsidP="00394CA8">
            <w:pPr>
              <w:rPr>
                <w:sz w:val="16"/>
                <w:szCs w:val="16"/>
              </w:rPr>
            </w:pPr>
            <w:r w:rsidRPr="00A859F2">
              <w:rPr>
                <w:sz w:val="16"/>
                <w:szCs w:val="16"/>
              </w:rPr>
              <w:t xml:space="preserve">Nombre d’ONG ayant le statut d’observateur permanent qui participent aux travaux de l’OMPI et inversement </w:t>
            </w:r>
          </w:p>
        </w:tc>
        <w:tc>
          <w:tcPr>
            <w:tcW w:w="841" w:type="pct"/>
            <w:shd w:val="clear" w:color="auto" w:fill="FFFFFF"/>
            <w:tcMar>
              <w:top w:w="113" w:type="dxa"/>
              <w:bottom w:w="85" w:type="dxa"/>
            </w:tcMar>
          </w:tcPr>
          <w:p w14:paraId="5A6F584F"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8" w:type="pct"/>
            <w:shd w:val="clear" w:color="auto" w:fill="FFFFFF"/>
          </w:tcPr>
          <w:p w14:paraId="7C9BB25A" w14:textId="77777777" w:rsidR="00394CA8" w:rsidRPr="00A859F2" w:rsidRDefault="00394CA8" w:rsidP="00394CA8">
            <w:pPr>
              <w:jc w:val="center"/>
            </w:pPr>
            <w:r w:rsidRPr="00A859F2">
              <w:rPr>
                <w:color w:val="00B050"/>
                <w:szCs w:val="22"/>
              </w:rPr>
              <w:sym w:font="Wingdings" w:char="F06C"/>
            </w:r>
          </w:p>
        </w:tc>
      </w:tr>
      <w:tr w:rsidR="00394CA8" w:rsidRPr="00A859F2" w14:paraId="4B7D634A" w14:textId="77777777" w:rsidTr="00394CA8">
        <w:trPr>
          <w:cantSplit/>
          <w:trHeight w:val="431"/>
        </w:trPr>
        <w:tc>
          <w:tcPr>
            <w:tcW w:w="1441" w:type="pct"/>
            <w:shd w:val="clear" w:color="auto" w:fill="auto"/>
            <w:tcMar>
              <w:top w:w="113" w:type="dxa"/>
              <w:bottom w:w="85" w:type="dxa"/>
            </w:tcMar>
          </w:tcPr>
          <w:p w14:paraId="7677F2F9" w14:textId="77777777" w:rsidR="00394CA8" w:rsidRPr="00A859F2" w:rsidRDefault="00394CA8" w:rsidP="00394CA8">
            <w:pPr>
              <w:rPr>
                <w:sz w:val="16"/>
                <w:szCs w:val="16"/>
              </w:rPr>
            </w:pPr>
            <w:r w:rsidRPr="00A859F2">
              <w:rPr>
                <w:sz w:val="16"/>
                <w:szCs w:val="16"/>
              </w:rPr>
              <w:t>VIII.5 L’OMPI collabore efficacement avec d’autres processus et instances de négociation de l’ONU et d’autres organisations intergouvernementales</w:t>
            </w:r>
          </w:p>
        </w:tc>
        <w:tc>
          <w:tcPr>
            <w:tcW w:w="2041" w:type="pct"/>
            <w:shd w:val="clear" w:color="auto" w:fill="auto"/>
            <w:tcMar>
              <w:top w:w="113" w:type="dxa"/>
              <w:bottom w:w="85" w:type="dxa"/>
            </w:tcMar>
          </w:tcPr>
          <w:p w14:paraId="72B140CD" w14:textId="77777777" w:rsidR="00394CA8" w:rsidRPr="00A859F2" w:rsidRDefault="00394CA8" w:rsidP="00394CA8">
            <w:pPr>
              <w:jc w:val="both"/>
              <w:rPr>
                <w:sz w:val="16"/>
                <w:szCs w:val="16"/>
              </w:rPr>
            </w:pPr>
            <w:r w:rsidRPr="00A859F2">
              <w:rPr>
                <w:sz w:val="16"/>
                <w:szCs w:val="16"/>
              </w:rPr>
              <w:t>Les contributions de l’OMPI figurant dans les rapports, les résolutions et les documents émanant de l’ONU et d’organisations intergouvernementales et relatifs à des processus pertinents et ciblés</w:t>
            </w:r>
          </w:p>
        </w:tc>
        <w:tc>
          <w:tcPr>
            <w:tcW w:w="841" w:type="pct"/>
            <w:shd w:val="clear" w:color="auto" w:fill="FFFFFF"/>
            <w:tcMar>
              <w:top w:w="113" w:type="dxa"/>
              <w:bottom w:w="85" w:type="dxa"/>
            </w:tcMar>
          </w:tcPr>
          <w:p w14:paraId="150FEC8A"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8" w:type="pct"/>
            <w:shd w:val="clear" w:color="auto" w:fill="FFFFFF"/>
          </w:tcPr>
          <w:p w14:paraId="1EF22B8C" w14:textId="77777777" w:rsidR="00394CA8" w:rsidRPr="00A859F2" w:rsidRDefault="00394CA8" w:rsidP="00394CA8">
            <w:pPr>
              <w:jc w:val="center"/>
            </w:pPr>
            <w:r w:rsidRPr="00A859F2">
              <w:rPr>
                <w:color w:val="00B050"/>
                <w:szCs w:val="22"/>
              </w:rPr>
              <w:sym w:font="Wingdings" w:char="F06C"/>
            </w:r>
          </w:p>
        </w:tc>
      </w:tr>
      <w:tr w:rsidR="00394CA8" w:rsidRPr="00A859F2" w14:paraId="08A64936" w14:textId="77777777" w:rsidTr="00394CA8">
        <w:trPr>
          <w:cantSplit/>
          <w:trHeight w:val="372"/>
        </w:trPr>
        <w:tc>
          <w:tcPr>
            <w:tcW w:w="1441" w:type="pct"/>
            <w:shd w:val="clear" w:color="auto" w:fill="auto"/>
            <w:tcMar>
              <w:top w:w="113" w:type="dxa"/>
              <w:bottom w:w="85" w:type="dxa"/>
            </w:tcMar>
          </w:tcPr>
          <w:p w14:paraId="2456E806"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350FF55D" w14:textId="77777777" w:rsidR="00394CA8" w:rsidRPr="00A859F2" w:rsidRDefault="00394CA8" w:rsidP="00394CA8">
            <w:pPr>
              <w:rPr>
                <w:sz w:val="16"/>
                <w:szCs w:val="16"/>
              </w:rPr>
            </w:pPr>
            <w:r w:rsidRPr="00A859F2">
              <w:rPr>
                <w:sz w:val="16"/>
                <w:szCs w:val="16"/>
              </w:rPr>
              <w:t>Nombre d’initiatives menées par l’OMPI en partenariat avec l’ONU et d’autres organisations intergouvernementales afin de mener à bien les objectifs de développement durable</w:t>
            </w:r>
          </w:p>
        </w:tc>
        <w:tc>
          <w:tcPr>
            <w:tcW w:w="841" w:type="pct"/>
            <w:shd w:val="clear" w:color="auto" w:fill="FFFFFF"/>
            <w:tcMar>
              <w:top w:w="113" w:type="dxa"/>
              <w:bottom w:w="85" w:type="dxa"/>
            </w:tcMar>
          </w:tcPr>
          <w:p w14:paraId="4044B9B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20</w:t>
            </w:r>
          </w:p>
        </w:tc>
        <w:tc>
          <w:tcPr>
            <w:tcW w:w="678" w:type="pct"/>
            <w:shd w:val="clear" w:color="auto" w:fill="FFFFFF"/>
          </w:tcPr>
          <w:p w14:paraId="27948B07"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748BEDCC" w14:textId="77777777" w:rsidTr="00394CA8">
        <w:trPr>
          <w:cantSplit/>
          <w:trHeight w:val="238"/>
        </w:trPr>
        <w:tc>
          <w:tcPr>
            <w:tcW w:w="1441" w:type="pct"/>
            <w:shd w:val="clear" w:color="auto" w:fill="auto"/>
            <w:tcMar>
              <w:top w:w="113" w:type="dxa"/>
              <w:bottom w:w="85" w:type="dxa"/>
            </w:tcMar>
          </w:tcPr>
          <w:p w14:paraId="6E5362E6"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1005F9EF" w14:textId="77777777" w:rsidR="00394CA8" w:rsidRPr="00A859F2" w:rsidRDefault="00394CA8" w:rsidP="00394CA8">
            <w:pPr>
              <w:rPr>
                <w:sz w:val="16"/>
                <w:szCs w:val="16"/>
              </w:rPr>
            </w:pPr>
            <w:r w:rsidRPr="00A859F2">
              <w:rPr>
                <w:sz w:val="16"/>
                <w:szCs w:val="16"/>
              </w:rPr>
              <w:t>Nombre d’activités communes avec le Secrétariat de l’ASEAN, l’OHMI</w:t>
            </w:r>
            <w:r>
              <w:rPr>
                <w:sz w:val="16"/>
                <w:szCs w:val="16"/>
              </w:rPr>
              <w:noBreakHyphen/>
            </w:r>
            <w:r w:rsidRPr="00A859F2">
              <w:rPr>
                <w:sz w:val="16"/>
                <w:szCs w:val="16"/>
              </w:rPr>
              <w:t>ECAP, la Fondation Asie</w:t>
            </w:r>
            <w:r>
              <w:rPr>
                <w:sz w:val="16"/>
                <w:szCs w:val="16"/>
              </w:rPr>
              <w:noBreakHyphen/>
            </w:r>
            <w:r w:rsidRPr="00A859F2">
              <w:rPr>
                <w:sz w:val="16"/>
                <w:szCs w:val="16"/>
              </w:rPr>
              <w:t>Europe et l’AANZFTA</w:t>
            </w:r>
          </w:p>
        </w:tc>
        <w:tc>
          <w:tcPr>
            <w:tcW w:w="841" w:type="pct"/>
            <w:shd w:val="clear" w:color="auto" w:fill="FFFFFF"/>
            <w:tcMar>
              <w:top w:w="113" w:type="dxa"/>
              <w:bottom w:w="85" w:type="dxa"/>
            </w:tcMar>
          </w:tcPr>
          <w:p w14:paraId="5051FA59"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 xml:space="preserve">20 </w:t>
            </w:r>
          </w:p>
        </w:tc>
        <w:tc>
          <w:tcPr>
            <w:tcW w:w="678" w:type="pct"/>
            <w:shd w:val="clear" w:color="auto" w:fill="FFFFFF"/>
          </w:tcPr>
          <w:p w14:paraId="73FE0ED5" w14:textId="77777777" w:rsidR="00394CA8" w:rsidRPr="00A859F2" w:rsidRDefault="00394CA8" w:rsidP="00394CA8">
            <w:pPr>
              <w:jc w:val="center"/>
            </w:pPr>
            <w:r w:rsidRPr="00A859F2">
              <w:rPr>
                <w:color w:val="00B050"/>
                <w:szCs w:val="22"/>
              </w:rPr>
              <w:sym w:font="Wingdings" w:char="F06C"/>
            </w:r>
          </w:p>
        </w:tc>
      </w:tr>
      <w:tr w:rsidR="00394CA8" w:rsidRPr="00A859F2" w14:paraId="5CE10037" w14:textId="77777777" w:rsidTr="00394CA8">
        <w:trPr>
          <w:cantSplit/>
          <w:trHeight w:val="16"/>
        </w:trPr>
        <w:tc>
          <w:tcPr>
            <w:tcW w:w="1441" w:type="pct"/>
            <w:shd w:val="clear" w:color="auto" w:fill="auto"/>
            <w:tcMar>
              <w:top w:w="113" w:type="dxa"/>
              <w:bottom w:w="85" w:type="dxa"/>
            </w:tcMar>
          </w:tcPr>
          <w:p w14:paraId="372EA505"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137D78AD" w14:textId="77777777" w:rsidR="00394CA8" w:rsidRPr="00A859F2" w:rsidRDefault="00394CA8" w:rsidP="00394CA8">
            <w:pPr>
              <w:rPr>
                <w:sz w:val="16"/>
                <w:szCs w:val="16"/>
              </w:rPr>
            </w:pPr>
            <w:r w:rsidRPr="00A859F2">
              <w:rPr>
                <w:sz w:val="16"/>
                <w:szCs w:val="16"/>
              </w:rPr>
              <w:t>Nouvelles initiatives communes avec d’autres organismes des Nations Unies ou organisations intergouvernementales</w:t>
            </w:r>
          </w:p>
        </w:tc>
        <w:tc>
          <w:tcPr>
            <w:tcW w:w="841" w:type="pct"/>
            <w:shd w:val="clear" w:color="auto" w:fill="FFFFFF"/>
            <w:tcMar>
              <w:top w:w="113" w:type="dxa"/>
              <w:bottom w:w="85" w:type="dxa"/>
            </w:tcMar>
          </w:tcPr>
          <w:p w14:paraId="4F8B3FBE"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8" w:type="pct"/>
            <w:shd w:val="clear" w:color="auto" w:fill="FFFFFF"/>
          </w:tcPr>
          <w:p w14:paraId="2C192D06" w14:textId="77777777" w:rsidR="00394CA8" w:rsidRPr="00A859F2" w:rsidRDefault="00394CA8" w:rsidP="00394CA8">
            <w:pPr>
              <w:jc w:val="center"/>
            </w:pPr>
            <w:r w:rsidRPr="00A859F2">
              <w:rPr>
                <w:color w:val="00B050"/>
                <w:szCs w:val="22"/>
              </w:rPr>
              <w:sym w:font="Wingdings" w:char="F06C"/>
            </w:r>
          </w:p>
        </w:tc>
      </w:tr>
      <w:tr w:rsidR="00394CA8" w:rsidRPr="00A859F2" w14:paraId="524D489A" w14:textId="77777777" w:rsidTr="00394CA8">
        <w:trPr>
          <w:cantSplit/>
          <w:trHeight w:val="383"/>
        </w:trPr>
        <w:tc>
          <w:tcPr>
            <w:tcW w:w="1441" w:type="pct"/>
            <w:shd w:val="clear" w:color="auto" w:fill="auto"/>
            <w:tcMar>
              <w:top w:w="113" w:type="dxa"/>
              <w:bottom w:w="85" w:type="dxa"/>
            </w:tcMar>
          </w:tcPr>
          <w:p w14:paraId="3ED2314C"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20B9F8FE" w14:textId="77777777" w:rsidR="00394CA8" w:rsidRPr="00A859F2" w:rsidRDefault="00394CA8" w:rsidP="00394CA8">
            <w:pPr>
              <w:rPr>
                <w:bCs/>
                <w:sz w:val="16"/>
                <w:szCs w:val="16"/>
              </w:rPr>
            </w:pPr>
            <w:r w:rsidRPr="00A859F2">
              <w:rPr>
                <w:bCs/>
                <w:sz w:val="16"/>
                <w:szCs w:val="16"/>
              </w:rPr>
              <w:t>Pourcentage des biens et services d’origine locale par rapport au total des biens et services acquis pour les activités de développement</w:t>
            </w:r>
          </w:p>
        </w:tc>
        <w:tc>
          <w:tcPr>
            <w:tcW w:w="841" w:type="pct"/>
            <w:shd w:val="clear" w:color="auto" w:fill="FFFFFF"/>
            <w:tcMar>
              <w:top w:w="113" w:type="dxa"/>
              <w:bottom w:w="85" w:type="dxa"/>
            </w:tcMar>
          </w:tcPr>
          <w:p w14:paraId="1991ED96"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8" w:type="pct"/>
            <w:shd w:val="clear" w:color="auto" w:fill="FFFFFF"/>
          </w:tcPr>
          <w:p w14:paraId="0E5447A5" w14:textId="77777777" w:rsidR="00394CA8" w:rsidRPr="00A859F2" w:rsidRDefault="00394CA8" w:rsidP="00394CA8">
            <w:pPr>
              <w:jc w:val="center"/>
            </w:pPr>
            <w:r w:rsidRPr="00A859F2">
              <w:rPr>
                <w:color w:val="00B050"/>
                <w:szCs w:val="22"/>
              </w:rPr>
              <w:sym w:font="Wingdings" w:char="F06C"/>
            </w:r>
          </w:p>
        </w:tc>
      </w:tr>
      <w:tr w:rsidR="00394CA8" w:rsidRPr="00A859F2" w14:paraId="4C90A1BF" w14:textId="77777777" w:rsidTr="00394CA8">
        <w:trPr>
          <w:cantSplit/>
          <w:trHeight w:val="515"/>
        </w:trPr>
        <w:tc>
          <w:tcPr>
            <w:tcW w:w="1441" w:type="pct"/>
            <w:shd w:val="clear" w:color="auto" w:fill="auto"/>
            <w:tcMar>
              <w:top w:w="113" w:type="dxa"/>
              <w:bottom w:w="85" w:type="dxa"/>
            </w:tcMar>
          </w:tcPr>
          <w:p w14:paraId="79E7169B" w14:textId="77777777" w:rsidR="00394CA8" w:rsidRPr="00A859F2" w:rsidRDefault="00394CA8" w:rsidP="00394CA8">
            <w:pPr>
              <w:rPr>
                <w:sz w:val="16"/>
                <w:szCs w:val="16"/>
              </w:rPr>
            </w:pPr>
          </w:p>
        </w:tc>
        <w:tc>
          <w:tcPr>
            <w:tcW w:w="2041" w:type="pct"/>
            <w:shd w:val="clear" w:color="auto" w:fill="auto"/>
            <w:tcMar>
              <w:top w:w="113" w:type="dxa"/>
              <w:bottom w:w="85" w:type="dxa"/>
            </w:tcMar>
          </w:tcPr>
          <w:p w14:paraId="315B3045" w14:textId="77777777" w:rsidR="00394CA8" w:rsidRPr="00A859F2" w:rsidRDefault="00394CA8" w:rsidP="00394CA8">
            <w:pPr>
              <w:rPr>
                <w:sz w:val="16"/>
                <w:szCs w:val="16"/>
              </w:rPr>
            </w:pPr>
            <w:r w:rsidRPr="00A859F2">
              <w:rPr>
                <w:sz w:val="16"/>
                <w:szCs w:val="16"/>
              </w:rPr>
              <w:t>Pourcentage de dépenses soumises à effet de levier de l’ONU (appels d’offres communs ou portage)</w:t>
            </w:r>
          </w:p>
        </w:tc>
        <w:tc>
          <w:tcPr>
            <w:tcW w:w="841" w:type="pct"/>
            <w:shd w:val="clear" w:color="auto" w:fill="FFFFFF"/>
            <w:tcMar>
              <w:top w:w="113" w:type="dxa"/>
              <w:bottom w:w="85" w:type="dxa"/>
            </w:tcMar>
          </w:tcPr>
          <w:p w14:paraId="1257999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8" w:type="pct"/>
            <w:shd w:val="clear" w:color="auto" w:fill="FFFFFF"/>
          </w:tcPr>
          <w:p w14:paraId="45AB02A1" w14:textId="77777777" w:rsidR="00394CA8" w:rsidRPr="00A859F2" w:rsidRDefault="00394CA8" w:rsidP="00394CA8">
            <w:pPr>
              <w:jc w:val="center"/>
            </w:pPr>
            <w:r w:rsidRPr="00A859F2">
              <w:rPr>
                <w:color w:val="00B050"/>
                <w:szCs w:val="22"/>
              </w:rPr>
              <w:sym w:font="Wingdings" w:char="F06C"/>
            </w:r>
          </w:p>
        </w:tc>
      </w:tr>
      <w:bookmarkEnd w:id="66"/>
      <w:bookmarkEnd w:id="67"/>
    </w:tbl>
    <w:p w14:paraId="6399EC42" w14:textId="77777777" w:rsidR="00394CA8" w:rsidRPr="00A859F2" w:rsidRDefault="00394CA8" w:rsidP="00394CA8">
      <w:pPr>
        <w:jc w:val="both"/>
        <w:rPr>
          <w:color w:val="000000"/>
          <w:sz w:val="20"/>
        </w:rPr>
      </w:pPr>
    </w:p>
    <w:p w14:paraId="230991F2" w14:textId="77777777" w:rsidR="00394CA8" w:rsidRPr="00A859F2" w:rsidRDefault="00394CA8" w:rsidP="00394CA8">
      <w:pPr>
        <w:jc w:val="both"/>
        <w:rPr>
          <w:color w:val="000000"/>
          <w:sz w:val="20"/>
        </w:rPr>
      </w:pPr>
      <w:r w:rsidRPr="00A859F2">
        <w:rPr>
          <w:color w:val="000000"/>
          <w:sz w:val="20"/>
        </w:rPr>
        <w:br w:type="page"/>
      </w:r>
    </w:p>
    <w:p w14:paraId="52E66075" w14:textId="77777777" w:rsidR="00F96912" w:rsidRPr="00CD000E" w:rsidRDefault="00F96912" w:rsidP="0087680E">
      <w:pPr>
        <w:pStyle w:val="Heading3"/>
      </w:pPr>
      <w:bookmarkStart w:id="68" w:name="_Toc482774617"/>
      <w:r w:rsidRPr="00CD000E">
        <w:rPr>
          <w:color w:val="000000"/>
        </w:rPr>
        <w:lastRenderedPageBreak/>
        <w:t>P</w:t>
      </w:r>
      <w:r w:rsidRPr="00CD000E">
        <w:t>rogramme 19</w:t>
      </w:r>
      <w:r w:rsidRPr="00CD000E">
        <w:tab/>
      </w:r>
      <w:r w:rsidRPr="00CD000E">
        <w:rPr>
          <w:bCs/>
          <w:szCs w:val="22"/>
          <w:rtl/>
        </w:rPr>
        <w:t>‏</w:t>
      </w:r>
      <w:r w:rsidRPr="00CD000E">
        <w:t>Communications</w:t>
      </w:r>
      <w:bookmarkEnd w:id="68"/>
    </w:p>
    <w:p w14:paraId="6B0F46C3" w14:textId="77777777" w:rsidR="00F96912" w:rsidRPr="00CD000E" w:rsidRDefault="00F96912" w:rsidP="00F96912">
      <w:pPr>
        <w:tabs>
          <w:tab w:val="left" w:pos="2268"/>
        </w:tabs>
        <w:ind w:left="2268" w:hanging="2268"/>
        <w:jc w:val="both"/>
        <w:rPr>
          <w:sz w:val="20"/>
        </w:rPr>
      </w:pPr>
    </w:p>
    <w:p w14:paraId="441A9403" w14:textId="77777777" w:rsidR="00F96912" w:rsidRPr="00CD000E" w:rsidRDefault="00F96912" w:rsidP="00F96912">
      <w:pPr>
        <w:tabs>
          <w:tab w:val="left" w:pos="2268"/>
        </w:tabs>
        <w:ind w:left="2268" w:hanging="2268"/>
        <w:jc w:val="both"/>
        <w:rPr>
          <w:b/>
          <w:sz w:val="20"/>
          <w:szCs w:val="22"/>
        </w:rPr>
      </w:pPr>
      <w:r w:rsidRPr="00CD000E">
        <w:rPr>
          <w:b/>
          <w:sz w:val="20"/>
          <w:szCs w:val="22"/>
        </w:rPr>
        <w:t>Chef de programme</w:t>
      </w:r>
      <w:r w:rsidRPr="00CD000E">
        <w:rPr>
          <w:b/>
          <w:sz w:val="20"/>
          <w:szCs w:val="22"/>
        </w:rPr>
        <w:tab/>
        <w:t>Mme S. Forbin</w:t>
      </w:r>
    </w:p>
    <w:p w14:paraId="4AAD0397" w14:textId="77777777" w:rsidR="00F96912" w:rsidRPr="00CD000E" w:rsidRDefault="00F96912" w:rsidP="00F96912">
      <w:pPr>
        <w:jc w:val="center"/>
        <w:rPr>
          <w:b/>
          <w:sz w:val="20"/>
        </w:rPr>
      </w:pPr>
      <w:r w:rsidRPr="00CD000E">
        <w:rPr>
          <w:noProof/>
          <w:lang w:val="en-US"/>
        </w:rPr>
        <w:drawing>
          <wp:inline distT="0" distB="0" distL="0" distR="0" wp14:anchorId="60FFFB26" wp14:editId="5752C402">
            <wp:extent cx="3960778" cy="273600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pPr w:leftFromText="180" w:rightFromText="180" w:vertAnchor="text" w:tblpY="109"/>
        <w:tblW w:w="5000" w:type="pct"/>
        <w:tblCellMar>
          <w:top w:w="57" w:type="dxa"/>
          <w:bottom w:w="57" w:type="dxa"/>
        </w:tblCellMar>
        <w:tblLook w:val="0000" w:firstRow="0" w:lastRow="0" w:firstColumn="0" w:lastColumn="0" w:noHBand="0" w:noVBand="0"/>
      </w:tblPr>
      <w:tblGrid>
        <w:gridCol w:w="1832"/>
        <w:gridCol w:w="2394"/>
        <w:gridCol w:w="1595"/>
        <w:gridCol w:w="2038"/>
        <w:gridCol w:w="1328"/>
      </w:tblGrid>
      <w:tr w:rsidR="00F96912" w:rsidRPr="00CD000E" w14:paraId="57D2ED34" w14:textId="77777777" w:rsidTr="006658D5">
        <w:tc>
          <w:tcPr>
            <w:tcW w:w="5000" w:type="pct"/>
            <w:gridSpan w:val="5"/>
            <w:shd w:val="clear" w:color="auto" w:fill="C6D9F1" w:themeFill="text2" w:themeFillTint="33"/>
            <w:tcMar>
              <w:left w:w="58" w:type="dxa"/>
              <w:right w:w="58" w:type="dxa"/>
            </w:tcMar>
            <w:vAlign w:val="center"/>
          </w:tcPr>
          <w:p w14:paraId="6A6FA327" w14:textId="77777777" w:rsidR="00F96912" w:rsidRPr="00CD000E" w:rsidRDefault="00F96912" w:rsidP="006658D5">
            <w:pPr>
              <w:keepNext/>
              <w:keepLines/>
              <w:tabs>
                <w:tab w:val="left" w:pos="1452"/>
              </w:tabs>
              <w:rPr>
                <w:b/>
                <w:bCs/>
                <w:sz w:val="16"/>
                <w:szCs w:val="16"/>
              </w:rPr>
            </w:pPr>
            <w:r w:rsidRPr="00CD000E">
              <w:rPr>
                <w:b/>
                <w:bCs/>
                <w:sz w:val="16"/>
                <w:szCs w:val="16"/>
              </w:rPr>
              <w:t xml:space="preserve">Résultat escompté : </w:t>
            </w:r>
            <w:r w:rsidRPr="00CD000E">
              <w:rPr>
                <w:bCs/>
                <w:sz w:val="16"/>
                <w:szCs w:val="16"/>
              </w:rPr>
              <w:t>VIII.1 Communication plus efficace avec le grand public concernant la propriété intellectuelle et le rôle de l’OMPI</w:t>
            </w:r>
          </w:p>
        </w:tc>
      </w:tr>
      <w:tr w:rsidR="00F96912" w:rsidRPr="00CD000E" w14:paraId="32C3EA77" w14:textId="77777777" w:rsidTr="006658D5">
        <w:tc>
          <w:tcPr>
            <w:tcW w:w="997" w:type="pct"/>
            <w:shd w:val="clear" w:color="auto" w:fill="auto"/>
            <w:tcMar>
              <w:left w:w="58" w:type="dxa"/>
              <w:right w:w="58" w:type="dxa"/>
            </w:tcMar>
            <w:vAlign w:val="center"/>
          </w:tcPr>
          <w:p w14:paraId="51E2BC28" w14:textId="77777777" w:rsidR="00F96912" w:rsidRPr="00CD000E" w:rsidRDefault="00F96912" w:rsidP="006658D5">
            <w:pPr>
              <w:jc w:val="center"/>
              <w:rPr>
                <w:b/>
                <w:bCs/>
                <w:sz w:val="16"/>
                <w:szCs w:val="16"/>
              </w:rPr>
            </w:pPr>
            <w:r w:rsidRPr="00CD000E">
              <w:rPr>
                <w:b/>
                <w:bCs/>
                <w:sz w:val="16"/>
                <w:szCs w:val="16"/>
              </w:rPr>
              <w:t>Indicateurs d’exécution</w:t>
            </w:r>
          </w:p>
        </w:tc>
        <w:tc>
          <w:tcPr>
            <w:tcW w:w="1303" w:type="pct"/>
            <w:shd w:val="clear" w:color="auto" w:fill="auto"/>
            <w:tcMar>
              <w:left w:w="58" w:type="dxa"/>
              <w:right w:w="58" w:type="dxa"/>
            </w:tcMar>
            <w:vAlign w:val="center"/>
          </w:tcPr>
          <w:p w14:paraId="02592353" w14:textId="77777777" w:rsidR="00F96912" w:rsidRPr="00CD000E" w:rsidRDefault="00F96912" w:rsidP="006658D5">
            <w:pPr>
              <w:jc w:val="center"/>
              <w:rPr>
                <w:b/>
                <w:bCs/>
                <w:sz w:val="16"/>
                <w:szCs w:val="16"/>
              </w:rPr>
            </w:pPr>
            <w:r w:rsidRPr="00CD000E">
              <w:rPr>
                <w:b/>
                <w:bCs/>
                <w:sz w:val="16"/>
                <w:szCs w:val="16"/>
              </w:rPr>
              <w:t>Niveaux de référence</w:t>
            </w:r>
          </w:p>
        </w:tc>
        <w:tc>
          <w:tcPr>
            <w:tcW w:w="868" w:type="pct"/>
            <w:shd w:val="clear" w:color="auto" w:fill="auto"/>
            <w:tcMar>
              <w:top w:w="110" w:type="dxa"/>
              <w:left w:w="58" w:type="dxa"/>
              <w:right w:w="58" w:type="dxa"/>
            </w:tcMar>
            <w:vAlign w:val="center"/>
          </w:tcPr>
          <w:p w14:paraId="30ACE3FF"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109" w:type="pct"/>
            <w:shd w:val="clear" w:color="auto" w:fill="FFFFFF"/>
            <w:tcMar>
              <w:top w:w="110" w:type="dxa"/>
              <w:left w:w="58" w:type="dxa"/>
              <w:right w:w="58" w:type="dxa"/>
            </w:tcMar>
            <w:vAlign w:val="center"/>
          </w:tcPr>
          <w:p w14:paraId="73B373FE"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723" w:type="pct"/>
            <w:shd w:val="clear" w:color="auto" w:fill="auto"/>
            <w:tcMar>
              <w:top w:w="110" w:type="dxa"/>
              <w:left w:w="58" w:type="dxa"/>
              <w:right w:w="58" w:type="dxa"/>
            </w:tcMar>
            <w:vAlign w:val="center"/>
          </w:tcPr>
          <w:p w14:paraId="4675DD9F"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1E409B5C" w14:textId="77777777" w:rsidTr="006658D5">
        <w:tc>
          <w:tcPr>
            <w:tcW w:w="997" w:type="pct"/>
            <w:shd w:val="clear" w:color="auto" w:fill="auto"/>
            <w:tcMar>
              <w:left w:w="58" w:type="dxa"/>
              <w:right w:w="58" w:type="dxa"/>
            </w:tcMar>
          </w:tcPr>
          <w:p w14:paraId="21069892" w14:textId="77777777" w:rsidR="00F96912" w:rsidRPr="00CD000E" w:rsidRDefault="00F96912" w:rsidP="006658D5">
            <w:pPr>
              <w:rPr>
                <w:color w:val="000000"/>
                <w:sz w:val="16"/>
                <w:szCs w:val="16"/>
              </w:rPr>
            </w:pPr>
            <w:r w:rsidRPr="00CD000E">
              <w:rPr>
                <w:sz w:val="16"/>
                <w:szCs w:val="16"/>
              </w:rPr>
              <w:t>Parties prenantes ayant une vision positive de la réputation de l’OMPI;  et reconnaissance accrue de la marque OMPI</w:t>
            </w:r>
          </w:p>
        </w:tc>
        <w:tc>
          <w:tcPr>
            <w:tcW w:w="1303" w:type="pct"/>
            <w:shd w:val="clear" w:color="auto" w:fill="auto"/>
            <w:tcMar>
              <w:left w:w="58" w:type="dxa"/>
              <w:right w:w="58" w:type="dxa"/>
            </w:tcMar>
          </w:tcPr>
          <w:p w14:paraId="1517DB81" w14:textId="77777777" w:rsidR="00F96912" w:rsidRPr="00754EC1" w:rsidRDefault="00F96912" w:rsidP="006658D5">
            <w:pPr>
              <w:rPr>
                <w:color w:val="000000"/>
                <w:sz w:val="16"/>
                <w:szCs w:val="16"/>
              </w:rPr>
            </w:pPr>
            <w:r w:rsidRPr="00754EC1">
              <w:rPr>
                <w:sz w:val="16"/>
                <w:szCs w:val="16"/>
              </w:rPr>
              <w:t>85,3% des participants de l’enquête sont d’accord/tout à fait d’accord que l’OMPI a une bonne réputation générale.  70,2% des participants à l’enquête percevaient l’OMPI comme un forum mondial pour la promotion de la propriété intellectuelle (Enquête de l’OMPI sur les perceptions des parties prenantes, juin 2014)</w:t>
            </w:r>
          </w:p>
        </w:tc>
        <w:tc>
          <w:tcPr>
            <w:tcW w:w="868" w:type="pct"/>
            <w:shd w:val="clear" w:color="auto" w:fill="auto"/>
            <w:tcMar>
              <w:top w:w="110" w:type="dxa"/>
              <w:left w:w="58" w:type="dxa"/>
              <w:right w:w="58" w:type="dxa"/>
            </w:tcMar>
          </w:tcPr>
          <w:p w14:paraId="4F4C9BC2" w14:textId="77777777" w:rsidR="00F96912" w:rsidRPr="00754EC1" w:rsidRDefault="00F96912" w:rsidP="006658D5">
            <w:pPr>
              <w:rPr>
                <w:color w:val="000000"/>
                <w:sz w:val="16"/>
                <w:szCs w:val="16"/>
              </w:rPr>
            </w:pPr>
            <w:r w:rsidRPr="00754EC1">
              <w:rPr>
                <w:color w:val="000000"/>
                <w:sz w:val="16"/>
                <w:szCs w:val="16"/>
              </w:rPr>
              <w:t>85% ont une perception positive de la réputation de l’OMPI.</w:t>
            </w:r>
          </w:p>
          <w:p w14:paraId="49004EA6" w14:textId="77777777" w:rsidR="00F96912" w:rsidRPr="00754EC1" w:rsidRDefault="00F96912" w:rsidP="006658D5">
            <w:pPr>
              <w:rPr>
                <w:color w:val="000000"/>
                <w:sz w:val="16"/>
                <w:szCs w:val="16"/>
              </w:rPr>
            </w:pPr>
          </w:p>
          <w:p w14:paraId="2BD602BC" w14:textId="77777777" w:rsidR="00F96912" w:rsidRPr="00754EC1" w:rsidRDefault="00F96912" w:rsidP="006658D5">
            <w:pPr>
              <w:rPr>
                <w:color w:val="000000"/>
                <w:sz w:val="16"/>
                <w:szCs w:val="16"/>
              </w:rPr>
            </w:pPr>
          </w:p>
          <w:p w14:paraId="4C33A443" w14:textId="77777777" w:rsidR="00F96912" w:rsidRDefault="00F96912" w:rsidP="006658D5">
            <w:pPr>
              <w:rPr>
                <w:color w:val="000000"/>
                <w:sz w:val="16"/>
                <w:szCs w:val="16"/>
              </w:rPr>
            </w:pPr>
          </w:p>
          <w:p w14:paraId="7431807E" w14:textId="77777777" w:rsidR="00F96912" w:rsidRPr="00754EC1" w:rsidRDefault="00F96912" w:rsidP="006658D5">
            <w:pPr>
              <w:rPr>
                <w:color w:val="000000"/>
                <w:sz w:val="16"/>
                <w:szCs w:val="16"/>
              </w:rPr>
            </w:pPr>
          </w:p>
          <w:p w14:paraId="2A1B6007" w14:textId="77777777" w:rsidR="00F96912" w:rsidRPr="00754EC1" w:rsidRDefault="00F96912" w:rsidP="006658D5">
            <w:pPr>
              <w:rPr>
                <w:color w:val="000000"/>
                <w:sz w:val="16"/>
                <w:szCs w:val="16"/>
              </w:rPr>
            </w:pPr>
            <w:r w:rsidRPr="00754EC1">
              <w:rPr>
                <w:color w:val="000000"/>
                <w:sz w:val="16"/>
                <w:szCs w:val="16"/>
              </w:rPr>
              <w:t>75% reconnaissent l’OMPI comme l’instance mondiale pour la promotion de la propriété intellectuelle</w:t>
            </w:r>
          </w:p>
        </w:tc>
        <w:tc>
          <w:tcPr>
            <w:tcW w:w="1109" w:type="pct"/>
            <w:shd w:val="clear" w:color="auto" w:fill="FFFFFF"/>
            <w:tcMar>
              <w:top w:w="110" w:type="dxa"/>
              <w:left w:w="58" w:type="dxa"/>
              <w:right w:w="58" w:type="dxa"/>
            </w:tcMar>
          </w:tcPr>
          <w:p w14:paraId="773FC8ED" w14:textId="77777777" w:rsidR="00F96912" w:rsidRPr="00754EC1" w:rsidRDefault="00F96912" w:rsidP="006658D5">
            <w:pPr>
              <w:rPr>
                <w:color w:val="000000"/>
                <w:sz w:val="16"/>
                <w:szCs w:val="16"/>
              </w:rPr>
            </w:pPr>
            <w:r w:rsidRPr="00754EC1">
              <w:rPr>
                <w:color w:val="000000"/>
                <w:sz w:val="16"/>
                <w:szCs w:val="16"/>
              </w:rPr>
              <w:t>84% sont d’accord/tout à fait d’accord que l’OMPI a une bonne réputation générale (Enquête de l’OMPI sur les perceptions des parties prenantes, 2016)</w:t>
            </w:r>
          </w:p>
          <w:p w14:paraId="650C2AE0" w14:textId="77777777" w:rsidR="00F96912" w:rsidRPr="00754EC1" w:rsidRDefault="00F96912" w:rsidP="006658D5">
            <w:pPr>
              <w:rPr>
                <w:color w:val="000000"/>
                <w:sz w:val="16"/>
                <w:szCs w:val="16"/>
              </w:rPr>
            </w:pPr>
          </w:p>
          <w:p w14:paraId="1ED5BA1B" w14:textId="77777777" w:rsidR="00F96912" w:rsidRPr="00754EC1" w:rsidRDefault="00F96912" w:rsidP="006658D5">
            <w:pPr>
              <w:rPr>
                <w:color w:val="000000"/>
                <w:sz w:val="16"/>
                <w:szCs w:val="16"/>
              </w:rPr>
            </w:pPr>
            <w:r w:rsidRPr="00754EC1">
              <w:rPr>
                <w:color w:val="000000"/>
                <w:sz w:val="16"/>
                <w:szCs w:val="16"/>
              </w:rPr>
              <w:t>74%</w:t>
            </w:r>
            <w:r w:rsidRPr="00754EC1">
              <w:rPr>
                <w:sz w:val="16"/>
                <w:szCs w:val="16"/>
              </w:rPr>
              <w:t xml:space="preserve"> des participants à l’enquête percevaient l’OMPI comme l’instance mondiale pour la promotion de la propriété intellectuelle </w:t>
            </w:r>
            <w:r w:rsidRPr="00754EC1">
              <w:rPr>
                <w:color w:val="000000"/>
                <w:sz w:val="16"/>
                <w:szCs w:val="16"/>
              </w:rPr>
              <w:t>(Enquête de l’OMPI sur les perceptions des parties prenantes, 2016)</w:t>
            </w:r>
          </w:p>
        </w:tc>
        <w:tc>
          <w:tcPr>
            <w:tcW w:w="723" w:type="pct"/>
            <w:shd w:val="clear" w:color="auto" w:fill="auto"/>
            <w:tcMar>
              <w:top w:w="110" w:type="dxa"/>
              <w:left w:w="58" w:type="dxa"/>
              <w:right w:w="58" w:type="dxa"/>
            </w:tcMar>
          </w:tcPr>
          <w:p w14:paraId="08515269"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32D34D41" w14:textId="77777777" w:rsidR="00F96912" w:rsidRPr="00CD000E" w:rsidRDefault="00F96912" w:rsidP="006658D5">
            <w:pPr>
              <w:keepNext/>
              <w:keepLines/>
              <w:jc w:val="center"/>
              <w:rPr>
                <w:b/>
                <w:color w:val="00B050"/>
                <w:sz w:val="16"/>
                <w:szCs w:val="16"/>
              </w:rPr>
            </w:pPr>
          </w:p>
          <w:p w14:paraId="6F47788C" w14:textId="77777777" w:rsidR="00F96912" w:rsidRPr="00CD000E" w:rsidRDefault="00F96912" w:rsidP="006658D5">
            <w:pPr>
              <w:keepNext/>
              <w:keepLines/>
              <w:jc w:val="center"/>
              <w:rPr>
                <w:b/>
                <w:color w:val="00B050"/>
                <w:sz w:val="16"/>
                <w:szCs w:val="16"/>
              </w:rPr>
            </w:pPr>
          </w:p>
          <w:p w14:paraId="23E88D12" w14:textId="77777777" w:rsidR="00F96912" w:rsidRPr="00CD000E" w:rsidRDefault="00F96912" w:rsidP="006658D5">
            <w:pPr>
              <w:keepNext/>
              <w:keepLines/>
              <w:jc w:val="center"/>
              <w:rPr>
                <w:b/>
                <w:color w:val="00B050"/>
                <w:sz w:val="16"/>
                <w:szCs w:val="16"/>
              </w:rPr>
            </w:pPr>
          </w:p>
          <w:p w14:paraId="2B78A8E8" w14:textId="77777777" w:rsidR="00F96912" w:rsidRPr="00CD000E" w:rsidRDefault="00F96912" w:rsidP="006658D5">
            <w:pPr>
              <w:keepNext/>
              <w:keepLines/>
              <w:jc w:val="center"/>
              <w:rPr>
                <w:b/>
                <w:color w:val="00B050"/>
                <w:sz w:val="16"/>
                <w:szCs w:val="16"/>
              </w:rPr>
            </w:pPr>
          </w:p>
          <w:p w14:paraId="4EF49D0E" w14:textId="77777777" w:rsidR="00F96912" w:rsidRDefault="00F96912" w:rsidP="006658D5">
            <w:pPr>
              <w:keepNext/>
              <w:keepLines/>
              <w:jc w:val="center"/>
              <w:rPr>
                <w:b/>
                <w:color w:val="00B050"/>
                <w:sz w:val="16"/>
                <w:szCs w:val="16"/>
              </w:rPr>
            </w:pPr>
          </w:p>
          <w:p w14:paraId="1939F496" w14:textId="77777777" w:rsidR="00F96912" w:rsidRDefault="00F96912" w:rsidP="006658D5">
            <w:pPr>
              <w:keepNext/>
              <w:keepLines/>
              <w:jc w:val="center"/>
              <w:rPr>
                <w:b/>
                <w:color w:val="00B050"/>
                <w:sz w:val="16"/>
                <w:szCs w:val="16"/>
              </w:rPr>
            </w:pPr>
          </w:p>
          <w:p w14:paraId="5F68D171" w14:textId="77777777" w:rsidR="00F96912" w:rsidRPr="00CD000E" w:rsidRDefault="00F96912" w:rsidP="006658D5">
            <w:pPr>
              <w:keepNext/>
              <w:keepLines/>
              <w:jc w:val="center"/>
              <w:rPr>
                <w:b/>
                <w:color w:val="00B050"/>
                <w:sz w:val="16"/>
                <w:szCs w:val="16"/>
              </w:rPr>
            </w:pPr>
          </w:p>
          <w:p w14:paraId="5337C9AC"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10DE5DE2" w14:textId="77777777" w:rsidTr="006658D5">
        <w:tc>
          <w:tcPr>
            <w:tcW w:w="997" w:type="pct"/>
            <w:shd w:val="clear" w:color="auto" w:fill="auto"/>
            <w:tcMar>
              <w:left w:w="58" w:type="dxa"/>
              <w:right w:w="58" w:type="dxa"/>
            </w:tcMar>
          </w:tcPr>
          <w:p w14:paraId="2F94E407" w14:textId="77777777" w:rsidR="00F96912" w:rsidRPr="00CD000E" w:rsidRDefault="00F96912" w:rsidP="006658D5">
            <w:pPr>
              <w:rPr>
                <w:color w:val="000000"/>
                <w:sz w:val="16"/>
                <w:szCs w:val="16"/>
              </w:rPr>
            </w:pPr>
            <w:r w:rsidRPr="00CD000E">
              <w:rPr>
                <w:sz w:val="16"/>
                <w:szCs w:val="16"/>
              </w:rPr>
              <w:t>Nombre de personnes qui consultent les contenus relatifs aux principaux événements, réalisations et activités de l’OMPI</w:t>
            </w:r>
          </w:p>
        </w:tc>
        <w:tc>
          <w:tcPr>
            <w:tcW w:w="1303" w:type="pct"/>
            <w:shd w:val="clear" w:color="auto" w:fill="auto"/>
            <w:tcMar>
              <w:left w:w="58" w:type="dxa"/>
              <w:right w:w="58" w:type="dxa"/>
            </w:tcMar>
          </w:tcPr>
          <w:p w14:paraId="7DFC9E95" w14:textId="77777777" w:rsidR="00F96912" w:rsidRPr="00754EC1" w:rsidRDefault="00F96912" w:rsidP="006658D5">
            <w:pPr>
              <w:rPr>
                <w:i/>
                <w:color w:val="002060"/>
                <w:sz w:val="16"/>
                <w:szCs w:val="16"/>
              </w:rPr>
            </w:pPr>
            <w:r w:rsidRPr="00754EC1">
              <w:rPr>
                <w:i/>
                <w:color w:val="002060"/>
                <w:sz w:val="16"/>
                <w:szCs w:val="16"/>
              </w:rPr>
              <w:t>Niveau de référence actualisé à fin 2015 :</w:t>
            </w:r>
          </w:p>
          <w:p w14:paraId="5F5CA340" w14:textId="77777777" w:rsidR="00F96912" w:rsidRPr="00754EC1" w:rsidRDefault="00F96912" w:rsidP="006658D5">
            <w:pPr>
              <w:rPr>
                <w:color w:val="002060"/>
                <w:sz w:val="16"/>
                <w:szCs w:val="16"/>
              </w:rPr>
            </w:pPr>
            <w:r w:rsidRPr="00754EC1">
              <w:rPr>
                <w:color w:val="002060"/>
                <w:sz w:val="16"/>
                <w:szCs w:val="16"/>
              </w:rPr>
              <w:t>Taux d’ouverture moyen en 2015 : 33,1%</w:t>
            </w:r>
          </w:p>
          <w:p w14:paraId="7FEFC874" w14:textId="77777777" w:rsidR="00F96912" w:rsidRPr="00754EC1" w:rsidRDefault="00F96912" w:rsidP="006658D5">
            <w:pPr>
              <w:rPr>
                <w:color w:val="000000"/>
                <w:sz w:val="16"/>
                <w:szCs w:val="16"/>
              </w:rPr>
            </w:pPr>
          </w:p>
          <w:p w14:paraId="2CEA1429" w14:textId="77777777" w:rsidR="00F96912" w:rsidRPr="00754EC1" w:rsidRDefault="00F96912" w:rsidP="006658D5">
            <w:pPr>
              <w:rPr>
                <w:color w:val="000000"/>
                <w:sz w:val="16"/>
                <w:szCs w:val="16"/>
              </w:rPr>
            </w:pPr>
            <w:r w:rsidRPr="00754EC1">
              <w:rPr>
                <w:i/>
                <w:sz w:val="16"/>
                <w:szCs w:val="16"/>
                <w:lang w:bidi="th-TH"/>
              </w:rPr>
              <w:t>Niveau de référence initial dans le programme et budget 2016</w:t>
            </w:r>
            <w:r w:rsidRPr="00754EC1">
              <w:rPr>
                <w:i/>
                <w:sz w:val="16"/>
                <w:szCs w:val="16"/>
                <w:lang w:bidi="th-TH"/>
              </w:rPr>
              <w:noBreakHyphen/>
              <w:t xml:space="preserve">2017 : </w:t>
            </w:r>
            <w:r w:rsidRPr="00754EC1">
              <w:rPr>
                <w:color w:val="000000"/>
                <w:sz w:val="16"/>
                <w:szCs w:val="16"/>
              </w:rPr>
              <w:t>à déterminer</w:t>
            </w:r>
          </w:p>
        </w:tc>
        <w:tc>
          <w:tcPr>
            <w:tcW w:w="868" w:type="pct"/>
            <w:shd w:val="clear" w:color="auto" w:fill="auto"/>
            <w:tcMar>
              <w:top w:w="110" w:type="dxa"/>
              <w:left w:w="58" w:type="dxa"/>
              <w:right w:w="58" w:type="dxa"/>
            </w:tcMar>
          </w:tcPr>
          <w:p w14:paraId="2B1432B3" w14:textId="77777777" w:rsidR="00F96912" w:rsidRPr="00754EC1" w:rsidRDefault="00F96912" w:rsidP="006658D5">
            <w:pPr>
              <w:rPr>
                <w:color w:val="000000"/>
                <w:sz w:val="16"/>
                <w:szCs w:val="16"/>
              </w:rPr>
            </w:pPr>
            <w:r w:rsidRPr="00754EC1">
              <w:rPr>
                <w:color w:val="000000"/>
                <w:sz w:val="16"/>
                <w:szCs w:val="16"/>
              </w:rPr>
              <w:t xml:space="preserve">≥ </w:t>
            </w:r>
            <w:r w:rsidRPr="00754EC1">
              <w:rPr>
                <w:sz w:val="16"/>
                <w:szCs w:val="16"/>
              </w:rPr>
              <w:t>23%</w:t>
            </w:r>
            <w:r w:rsidRPr="00754EC1">
              <w:rPr>
                <w:rStyle w:val="FootnoteReference"/>
                <w:rFonts w:cs="Arial"/>
                <w:szCs w:val="16"/>
              </w:rPr>
              <w:footnoteReference w:id="79"/>
            </w:r>
            <w:r w:rsidRPr="00754EC1">
              <w:rPr>
                <w:sz w:val="16"/>
                <w:szCs w:val="16"/>
              </w:rPr>
              <w:t xml:space="preserve"> des personnes recevant le bulletin d’information WIPO </w:t>
            </w:r>
            <w:proofErr w:type="spellStart"/>
            <w:r w:rsidRPr="00754EC1">
              <w:rPr>
                <w:sz w:val="16"/>
                <w:szCs w:val="16"/>
              </w:rPr>
              <w:t>Wire</w:t>
            </w:r>
            <w:proofErr w:type="spellEnd"/>
            <w:r w:rsidRPr="00754EC1">
              <w:rPr>
                <w:sz w:val="16"/>
                <w:szCs w:val="16"/>
              </w:rPr>
              <w:t xml:space="preserve"> ouvrent celui</w:t>
            </w:r>
            <w:r w:rsidRPr="00754EC1">
              <w:rPr>
                <w:sz w:val="16"/>
                <w:szCs w:val="16"/>
              </w:rPr>
              <w:noBreakHyphen/>
              <w:t>ci pour en consulter le contenu</w:t>
            </w:r>
          </w:p>
        </w:tc>
        <w:tc>
          <w:tcPr>
            <w:tcW w:w="1109" w:type="pct"/>
            <w:shd w:val="clear" w:color="auto" w:fill="FFFFFF"/>
            <w:tcMar>
              <w:top w:w="110" w:type="dxa"/>
              <w:left w:w="58" w:type="dxa"/>
              <w:right w:w="58" w:type="dxa"/>
            </w:tcMar>
          </w:tcPr>
          <w:p w14:paraId="40E9D3A5" w14:textId="77777777" w:rsidR="00F96912" w:rsidRPr="00754EC1" w:rsidRDefault="00F96912" w:rsidP="006658D5">
            <w:pPr>
              <w:keepNext/>
              <w:keepLines/>
              <w:rPr>
                <w:color w:val="000000"/>
                <w:sz w:val="16"/>
                <w:szCs w:val="16"/>
              </w:rPr>
            </w:pPr>
            <w:r w:rsidRPr="00754EC1">
              <w:rPr>
                <w:sz w:val="16"/>
                <w:szCs w:val="16"/>
              </w:rPr>
              <w:t>26</w:t>
            </w:r>
            <w:r w:rsidRPr="00754EC1">
              <w:rPr>
                <w:color w:val="000000"/>
                <w:sz w:val="16"/>
                <w:szCs w:val="16"/>
              </w:rPr>
              <w:t>,</w:t>
            </w:r>
            <w:r w:rsidRPr="00754EC1">
              <w:rPr>
                <w:sz w:val="16"/>
                <w:szCs w:val="16"/>
              </w:rPr>
              <w:t xml:space="preserve">4% des personnes recevant le bulletin d’information WIPO </w:t>
            </w:r>
            <w:proofErr w:type="spellStart"/>
            <w:r w:rsidRPr="00754EC1">
              <w:rPr>
                <w:sz w:val="16"/>
                <w:szCs w:val="16"/>
              </w:rPr>
              <w:t>Wire</w:t>
            </w:r>
            <w:proofErr w:type="spellEnd"/>
            <w:r w:rsidRPr="00754EC1">
              <w:rPr>
                <w:sz w:val="16"/>
                <w:szCs w:val="16"/>
              </w:rPr>
              <w:t xml:space="preserve"> </w:t>
            </w:r>
            <w:r w:rsidRPr="00754EC1">
              <w:rPr>
                <w:color w:val="000000"/>
                <w:sz w:val="16"/>
                <w:szCs w:val="16"/>
              </w:rPr>
              <w:t xml:space="preserve">ont ouvert </w:t>
            </w:r>
            <w:r w:rsidRPr="00754EC1">
              <w:rPr>
                <w:sz w:val="16"/>
                <w:szCs w:val="16"/>
              </w:rPr>
              <w:t>celui</w:t>
            </w:r>
            <w:r w:rsidRPr="00754EC1">
              <w:rPr>
                <w:sz w:val="16"/>
                <w:szCs w:val="16"/>
              </w:rPr>
              <w:noBreakHyphen/>
              <w:t>ci pour en consulter le contenu</w:t>
            </w:r>
          </w:p>
        </w:tc>
        <w:tc>
          <w:tcPr>
            <w:tcW w:w="723" w:type="pct"/>
            <w:shd w:val="clear" w:color="auto" w:fill="auto"/>
            <w:tcMar>
              <w:top w:w="110" w:type="dxa"/>
              <w:left w:w="58" w:type="dxa"/>
              <w:right w:w="58" w:type="dxa"/>
            </w:tcMar>
          </w:tcPr>
          <w:p w14:paraId="656939E1"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53DC64F2" w14:textId="77777777" w:rsidTr="006658D5">
        <w:tc>
          <w:tcPr>
            <w:tcW w:w="997" w:type="pct"/>
            <w:shd w:val="clear" w:color="auto" w:fill="auto"/>
            <w:tcMar>
              <w:left w:w="58" w:type="dxa"/>
              <w:right w:w="58" w:type="dxa"/>
            </w:tcMar>
          </w:tcPr>
          <w:p w14:paraId="3DC46538" w14:textId="77777777" w:rsidR="00F96912" w:rsidRPr="00CD000E" w:rsidRDefault="00F96912" w:rsidP="006658D5">
            <w:pPr>
              <w:keepNext/>
              <w:keepLines/>
              <w:rPr>
                <w:color w:val="000000"/>
                <w:sz w:val="16"/>
                <w:szCs w:val="16"/>
              </w:rPr>
            </w:pPr>
            <w:r w:rsidRPr="00CD000E">
              <w:rPr>
                <w:sz w:val="16"/>
                <w:szCs w:val="16"/>
              </w:rPr>
              <w:t>Participation à la campagne de la Journée mondiale de la propriété intellectuelle</w:t>
            </w:r>
          </w:p>
        </w:tc>
        <w:tc>
          <w:tcPr>
            <w:tcW w:w="1303" w:type="pct"/>
            <w:shd w:val="clear" w:color="auto" w:fill="auto"/>
            <w:tcMar>
              <w:left w:w="58" w:type="dxa"/>
              <w:right w:w="58" w:type="dxa"/>
            </w:tcMar>
          </w:tcPr>
          <w:p w14:paraId="326BDF13" w14:textId="77777777" w:rsidR="00F96912" w:rsidRPr="00CD000E" w:rsidRDefault="00F96912" w:rsidP="006658D5">
            <w:pPr>
              <w:keepNext/>
              <w:keepLines/>
              <w:rPr>
                <w:i/>
                <w:color w:val="002060"/>
                <w:sz w:val="16"/>
                <w:szCs w:val="16"/>
              </w:rPr>
            </w:pPr>
            <w:r w:rsidRPr="00CD000E">
              <w:rPr>
                <w:i/>
                <w:color w:val="002060"/>
                <w:sz w:val="16"/>
                <w:szCs w:val="16"/>
              </w:rPr>
              <w:t>Niveau de référence actualisé à fin 2015 :</w:t>
            </w:r>
          </w:p>
          <w:p w14:paraId="6F59AB8C" w14:textId="77777777" w:rsidR="00F96912" w:rsidRPr="00754EC1" w:rsidRDefault="00F96912" w:rsidP="006658D5">
            <w:pPr>
              <w:keepNext/>
              <w:keepLines/>
              <w:rPr>
                <w:color w:val="002060"/>
                <w:sz w:val="16"/>
                <w:szCs w:val="16"/>
              </w:rPr>
            </w:pPr>
            <w:r w:rsidRPr="00754EC1">
              <w:rPr>
                <w:color w:val="002060"/>
                <w:sz w:val="16"/>
                <w:szCs w:val="16"/>
              </w:rPr>
              <w:t>Des événements s’étant déroulés dans 105 pays ont été publiés sur la carte de la Journée mondiale de la propriété intellectuelle de 2015</w:t>
            </w:r>
          </w:p>
          <w:p w14:paraId="5E171D48" w14:textId="77777777" w:rsidR="00F96912" w:rsidRPr="00CD000E" w:rsidRDefault="00F96912" w:rsidP="006658D5">
            <w:pPr>
              <w:keepNext/>
              <w:keepLines/>
              <w:rPr>
                <w:i/>
                <w:sz w:val="16"/>
                <w:szCs w:val="16"/>
                <w:lang w:bidi="th-TH"/>
              </w:rPr>
            </w:pPr>
          </w:p>
          <w:p w14:paraId="37CB43ED" w14:textId="77777777" w:rsidR="00F96912" w:rsidRPr="00CD000E" w:rsidRDefault="00F96912" w:rsidP="006658D5">
            <w:pPr>
              <w:keepNext/>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0BF99CBD" w14:textId="77777777" w:rsidR="00F96912" w:rsidRPr="00CD000E" w:rsidRDefault="00F96912" w:rsidP="006658D5">
            <w:pPr>
              <w:keepNext/>
              <w:keepLines/>
              <w:rPr>
                <w:i/>
                <w:sz w:val="16"/>
                <w:szCs w:val="16"/>
                <w:lang w:bidi="th-TH"/>
              </w:rPr>
            </w:pPr>
            <w:r w:rsidRPr="00CD000E">
              <w:rPr>
                <w:i/>
                <w:sz w:val="16"/>
                <w:szCs w:val="16"/>
                <w:lang w:bidi="th-TH"/>
              </w:rPr>
              <w:lastRenderedPageBreak/>
              <w:t>Des événements s’étant déroulés dans 110</w:t>
            </w:r>
            <w:r>
              <w:rPr>
                <w:i/>
                <w:sz w:val="16"/>
                <w:szCs w:val="16"/>
                <w:lang w:bidi="th-TH"/>
              </w:rPr>
              <w:t> </w:t>
            </w:r>
            <w:r w:rsidRPr="00CD000E">
              <w:rPr>
                <w:i/>
                <w:sz w:val="16"/>
                <w:szCs w:val="16"/>
                <w:lang w:bidi="th-TH"/>
              </w:rPr>
              <w:t>pays ont été publiés sur la carte de la Journée mondiale de la propriété intellectuelle de 2014</w:t>
            </w:r>
          </w:p>
        </w:tc>
        <w:tc>
          <w:tcPr>
            <w:tcW w:w="868" w:type="pct"/>
            <w:shd w:val="clear" w:color="auto" w:fill="auto"/>
            <w:tcMar>
              <w:top w:w="110" w:type="dxa"/>
              <w:left w:w="58" w:type="dxa"/>
              <w:right w:w="58" w:type="dxa"/>
            </w:tcMar>
          </w:tcPr>
          <w:p w14:paraId="01FEB6A3" w14:textId="77777777" w:rsidR="00F96912" w:rsidRPr="00754EC1" w:rsidRDefault="00F96912" w:rsidP="006658D5">
            <w:pPr>
              <w:keepNext/>
              <w:keepLines/>
              <w:rPr>
                <w:i/>
                <w:color w:val="002060"/>
                <w:sz w:val="16"/>
                <w:szCs w:val="16"/>
              </w:rPr>
            </w:pPr>
            <w:r w:rsidRPr="00754EC1">
              <w:rPr>
                <w:i/>
                <w:color w:val="002060"/>
                <w:sz w:val="16"/>
                <w:szCs w:val="16"/>
              </w:rPr>
              <w:lastRenderedPageBreak/>
              <w:t>Objectif actualisé :</w:t>
            </w:r>
          </w:p>
          <w:p w14:paraId="23B132A1" w14:textId="77777777" w:rsidR="00F96912" w:rsidRPr="00754EC1" w:rsidRDefault="00F96912" w:rsidP="006658D5">
            <w:pPr>
              <w:keepNext/>
              <w:keepLines/>
              <w:rPr>
                <w:color w:val="002060"/>
                <w:sz w:val="16"/>
                <w:szCs w:val="16"/>
              </w:rPr>
            </w:pPr>
            <w:r w:rsidRPr="00754EC1">
              <w:rPr>
                <w:color w:val="002060"/>
                <w:sz w:val="16"/>
                <w:szCs w:val="16"/>
              </w:rPr>
              <w:t>Événements dans ≥ 105 publiés sur la carte de la Journée mondiale de la propriété intellectuelle</w:t>
            </w:r>
          </w:p>
          <w:p w14:paraId="5FF012CB" w14:textId="77777777" w:rsidR="00F96912" w:rsidRPr="00754EC1" w:rsidRDefault="00F96912" w:rsidP="006658D5">
            <w:pPr>
              <w:keepNext/>
              <w:keepLines/>
              <w:rPr>
                <w:i/>
                <w:sz w:val="16"/>
                <w:szCs w:val="16"/>
                <w:lang w:bidi="th-TH"/>
              </w:rPr>
            </w:pPr>
          </w:p>
          <w:p w14:paraId="180DF175" w14:textId="77777777" w:rsidR="00F96912" w:rsidRPr="00754EC1" w:rsidRDefault="00F96912" w:rsidP="006658D5">
            <w:pPr>
              <w:keepNext/>
              <w:keepLines/>
              <w:rPr>
                <w:i/>
                <w:sz w:val="16"/>
                <w:szCs w:val="16"/>
                <w:lang w:bidi="th-TH"/>
              </w:rPr>
            </w:pPr>
            <w:r w:rsidRPr="00754EC1">
              <w:rPr>
                <w:i/>
                <w:sz w:val="16"/>
                <w:szCs w:val="16"/>
                <w:lang w:bidi="th-TH"/>
              </w:rPr>
              <w:t>Objectif initial dans le programme et budget 2016</w:t>
            </w:r>
            <w:r w:rsidRPr="00754EC1">
              <w:rPr>
                <w:i/>
                <w:sz w:val="16"/>
                <w:szCs w:val="16"/>
                <w:lang w:bidi="th-TH"/>
              </w:rPr>
              <w:noBreakHyphen/>
              <w:t>2017 :</w:t>
            </w:r>
          </w:p>
          <w:p w14:paraId="69F4C4B5" w14:textId="77777777" w:rsidR="00F96912" w:rsidRPr="00754EC1" w:rsidRDefault="00F96912" w:rsidP="006658D5">
            <w:pPr>
              <w:keepNext/>
              <w:keepLines/>
              <w:rPr>
                <w:color w:val="000000"/>
                <w:sz w:val="16"/>
                <w:szCs w:val="16"/>
              </w:rPr>
            </w:pPr>
            <w:r w:rsidRPr="00754EC1">
              <w:rPr>
                <w:sz w:val="16"/>
                <w:szCs w:val="16"/>
              </w:rPr>
              <w:lastRenderedPageBreak/>
              <w:t>Événements dans ≥ 100 publiés sur la carte de la Journée mondiale de la propriété intellectuelle</w:t>
            </w:r>
          </w:p>
        </w:tc>
        <w:tc>
          <w:tcPr>
            <w:tcW w:w="1109" w:type="pct"/>
            <w:shd w:val="clear" w:color="auto" w:fill="FFFFFF"/>
            <w:tcMar>
              <w:top w:w="110" w:type="dxa"/>
              <w:left w:w="58" w:type="dxa"/>
              <w:right w:w="58" w:type="dxa"/>
            </w:tcMar>
          </w:tcPr>
          <w:p w14:paraId="6E2B3E39" w14:textId="77777777" w:rsidR="00F96912" w:rsidRPr="00754EC1" w:rsidRDefault="00F96912" w:rsidP="006658D5">
            <w:pPr>
              <w:keepNext/>
              <w:keepLines/>
              <w:rPr>
                <w:color w:val="000000"/>
                <w:sz w:val="16"/>
                <w:szCs w:val="16"/>
              </w:rPr>
            </w:pPr>
            <w:r w:rsidRPr="00754EC1">
              <w:rPr>
                <w:color w:val="000000"/>
                <w:sz w:val="16"/>
                <w:szCs w:val="16"/>
              </w:rPr>
              <w:lastRenderedPageBreak/>
              <w:t>450 événements rapportés dans 122 pays</w:t>
            </w:r>
          </w:p>
        </w:tc>
        <w:tc>
          <w:tcPr>
            <w:tcW w:w="723" w:type="pct"/>
            <w:shd w:val="clear" w:color="auto" w:fill="auto"/>
            <w:tcMar>
              <w:top w:w="110" w:type="dxa"/>
              <w:left w:w="58" w:type="dxa"/>
              <w:right w:w="58" w:type="dxa"/>
            </w:tcMar>
          </w:tcPr>
          <w:p w14:paraId="0BFF152F"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4D410B9F" w14:textId="77777777" w:rsidTr="006658D5">
        <w:tc>
          <w:tcPr>
            <w:tcW w:w="997" w:type="pct"/>
            <w:shd w:val="clear" w:color="auto" w:fill="auto"/>
            <w:tcMar>
              <w:left w:w="58" w:type="dxa"/>
              <w:right w:w="58" w:type="dxa"/>
            </w:tcMar>
          </w:tcPr>
          <w:p w14:paraId="49196C95" w14:textId="77777777" w:rsidR="00F96912" w:rsidRPr="00CD000E" w:rsidRDefault="00F96912" w:rsidP="006658D5">
            <w:pPr>
              <w:rPr>
                <w:color w:val="000000"/>
                <w:sz w:val="16"/>
                <w:szCs w:val="16"/>
              </w:rPr>
            </w:pPr>
            <w:r w:rsidRPr="00CD000E">
              <w:rPr>
                <w:sz w:val="16"/>
                <w:szCs w:val="16"/>
              </w:rPr>
              <w:lastRenderedPageBreak/>
              <w:t>Visites sur les sites des publications de l’OMPI et du Magazine de l’OMPI</w:t>
            </w:r>
          </w:p>
        </w:tc>
        <w:tc>
          <w:tcPr>
            <w:tcW w:w="1303" w:type="pct"/>
            <w:shd w:val="clear" w:color="auto" w:fill="auto"/>
            <w:tcMar>
              <w:left w:w="58" w:type="dxa"/>
              <w:right w:w="58" w:type="dxa"/>
            </w:tcMar>
          </w:tcPr>
          <w:p w14:paraId="6F6773B5"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6ECECFF3" w14:textId="77777777" w:rsidR="00F96912" w:rsidRPr="001303B4" w:rsidRDefault="00F96912" w:rsidP="006658D5">
            <w:pPr>
              <w:rPr>
                <w:color w:val="002060"/>
                <w:sz w:val="16"/>
                <w:szCs w:val="16"/>
              </w:rPr>
            </w:pPr>
            <w:r w:rsidRPr="00CD000E">
              <w:rPr>
                <w:color w:val="002060"/>
                <w:sz w:val="16"/>
                <w:szCs w:val="16"/>
              </w:rPr>
              <w:t>i)</w:t>
            </w:r>
            <w:r w:rsidRPr="00CD000E">
              <w:rPr>
                <w:i/>
                <w:color w:val="002060"/>
                <w:sz w:val="16"/>
                <w:szCs w:val="16"/>
              </w:rPr>
              <w:t xml:space="preserve"> </w:t>
            </w:r>
            <w:r w:rsidRPr="00CD000E">
              <w:rPr>
                <w:color w:val="002060"/>
                <w:sz w:val="16"/>
                <w:szCs w:val="16"/>
              </w:rPr>
              <w:t>217 600 consultations uniques sur le site des publications de l’OMPI en 2014</w:t>
            </w:r>
            <w:r>
              <w:rPr>
                <w:color w:val="002060"/>
                <w:sz w:val="16"/>
                <w:szCs w:val="16"/>
              </w:rPr>
              <w:noBreakHyphen/>
            </w:r>
            <w:r w:rsidRPr="00CD000E">
              <w:rPr>
                <w:color w:val="002060"/>
                <w:sz w:val="16"/>
                <w:szCs w:val="16"/>
              </w:rPr>
              <w:t>2015</w:t>
            </w:r>
          </w:p>
          <w:p w14:paraId="0F0C9E62" w14:textId="77777777" w:rsidR="00F96912" w:rsidRPr="00CD000E" w:rsidRDefault="00F96912" w:rsidP="006658D5">
            <w:pPr>
              <w:rPr>
                <w:i/>
                <w:color w:val="002060"/>
                <w:sz w:val="16"/>
                <w:szCs w:val="16"/>
              </w:rPr>
            </w:pPr>
            <w:r w:rsidRPr="00CD000E">
              <w:rPr>
                <w:color w:val="002060"/>
                <w:sz w:val="16"/>
                <w:szCs w:val="16"/>
              </w:rPr>
              <w:t xml:space="preserve">ii) </w:t>
            </w:r>
            <w:r w:rsidRPr="00CD000E">
              <w:rPr>
                <w:iCs/>
                <w:color w:val="002060"/>
                <w:sz w:val="16"/>
                <w:szCs w:val="16"/>
              </w:rPr>
              <w:t>1 024 790 consultations uniques du site du Magazine de l’OMPI en 2014</w:t>
            </w:r>
            <w:r>
              <w:rPr>
                <w:iCs/>
                <w:color w:val="002060"/>
                <w:sz w:val="16"/>
                <w:szCs w:val="16"/>
              </w:rPr>
              <w:noBreakHyphen/>
            </w:r>
            <w:r w:rsidRPr="00CD000E">
              <w:rPr>
                <w:iCs/>
                <w:color w:val="002060"/>
                <w:sz w:val="16"/>
                <w:szCs w:val="16"/>
              </w:rPr>
              <w:t>2015</w:t>
            </w:r>
          </w:p>
          <w:p w14:paraId="7224C7E0" w14:textId="77777777" w:rsidR="00F96912" w:rsidRPr="00CD000E" w:rsidRDefault="00F96912" w:rsidP="006658D5">
            <w:pPr>
              <w:rPr>
                <w:color w:val="000000"/>
                <w:sz w:val="16"/>
                <w:szCs w:val="16"/>
              </w:rPr>
            </w:pPr>
          </w:p>
          <w:p w14:paraId="0814D803" w14:textId="77777777" w:rsidR="00F96912" w:rsidRPr="00CD000E" w:rsidRDefault="00F96912" w:rsidP="006658D5">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22AF9354" w14:textId="77777777" w:rsidR="00F96912" w:rsidRPr="00CD000E" w:rsidRDefault="00F96912" w:rsidP="006658D5">
            <w:pPr>
              <w:rPr>
                <w:sz w:val="16"/>
                <w:szCs w:val="16"/>
              </w:rPr>
            </w:pPr>
            <w:r w:rsidRPr="00CD000E">
              <w:rPr>
                <w:sz w:val="16"/>
                <w:szCs w:val="16"/>
              </w:rPr>
              <w:t>i) 97 804 consultations uniques du site des publications;</w:t>
            </w:r>
          </w:p>
          <w:p w14:paraId="44B3C5BF" w14:textId="77777777" w:rsidR="00F96912" w:rsidRPr="00CD000E" w:rsidRDefault="00F96912" w:rsidP="006658D5">
            <w:pPr>
              <w:rPr>
                <w:sz w:val="16"/>
                <w:szCs w:val="16"/>
              </w:rPr>
            </w:pPr>
            <w:r w:rsidRPr="00CD000E">
              <w:rPr>
                <w:sz w:val="16"/>
                <w:szCs w:val="16"/>
              </w:rPr>
              <w:t xml:space="preserve">ii) </w:t>
            </w:r>
            <w:r w:rsidRPr="00CD000E">
              <w:rPr>
                <w:color w:val="000000"/>
                <w:sz w:val="16"/>
                <w:szCs w:val="16"/>
              </w:rPr>
              <w:t>432 342</w:t>
            </w:r>
            <w:r w:rsidRPr="00CD000E">
              <w:rPr>
                <w:sz w:val="16"/>
                <w:szCs w:val="16"/>
              </w:rPr>
              <w:t xml:space="preserve"> consultations uniques du site Web du Magazine de l’OMPI en 2014</w:t>
            </w:r>
          </w:p>
        </w:tc>
        <w:tc>
          <w:tcPr>
            <w:tcW w:w="868" w:type="pct"/>
            <w:shd w:val="clear" w:color="auto" w:fill="auto"/>
            <w:tcMar>
              <w:top w:w="110" w:type="dxa"/>
              <w:left w:w="58" w:type="dxa"/>
              <w:right w:w="58" w:type="dxa"/>
            </w:tcMar>
          </w:tcPr>
          <w:p w14:paraId="3FB60E1F" w14:textId="77777777" w:rsidR="00F96912" w:rsidRPr="00CD000E" w:rsidRDefault="00F96912" w:rsidP="006658D5">
            <w:pPr>
              <w:rPr>
                <w:color w:val="000000"/>
                <w:sz w:val="16"/>
                <w:szCs w:val="16"/>
              </w:rPr>
            </w:pPr>
            <w:r w:rsidRPr="00CD000E">
              <w:rPr>
                <w:color w:val="000000"/>
                <w:sz w:val="16"/>
                <w:szCs w:val="16"/>
              </w:rPr>
              <w:t>i) Augmentation de 20% du nombre de consultations uniques du site des publications;</w:t>
            </w:r>
          </w:p>
          <w:p w14:paraId="46489E04" w14:textId="77777777" w:rsidR="00F96912" w:rsidRPr="00CD000E" w:rsidRDefault="00F96912" w:rsidP="006658D5">
            <w:pPr>
              <w:rPr>
                <w:color w:val="000000"/>
                <w:sz w:val="16"/>
                <w:szCs w:val="16"/>
              </w:rPr>
            </w:pPr>
          </w:p>
          <w:p w14:paraId="6AE2E8BA" w14:textId="77777777" w:rsidR="00F96912" w:rsidRPr="00CD000E" w:rsidRDefault="00F96912" w:rsidP="006658D5">
            <w:pPr>
              <w:rPr>
                <w:color w:val="000000"/>
                <w:sz w:val="16"/>
                <w:szCs w:val="16"/>
              </w:rPr>
            </w:pPr>
            <w:r w:rsidRPr="00CD000E">
              <w:rPr>
                <w:color w:val="000000"/>
                <w:sz w:val="16"/>
                <w:szCs w:val="16"/>
              </w:rPr>
              <w:t>ii) Augmentation de 10% du nombre de consultations uniques du site du Magazine de l’OMPI</w:t>
            </w:r>
          </w:p>
        </w:tc>
        <w:tc>
          <w:tcPr>
            <w:tcW w:w="1109" w:type="pct"/>
            <w:shd w:val="clear" w:color="auto" w:fill="FFFFFF"/>
            <w:tcMar>
              <w:top w:w="110" w:type="dxa"/>
              <w:left w:w="58" w:type="dxa"/>
              <w:right w:w="58" w:type="dxa"/>
            </w:tcMar>
          </w:tcPr>
          <w:p w14:paraId="1E070947" w14:textId="77777777" w:rsidR="00F96912" w:rsidRPr="00CD000E" w:rsidRDefault="00F96912" w:rsidP="006658D5">
            <w:pPr>
              <w:keepNext/>
              <w:keepLines/>
              <w:rPr>
                <w:sz w:val="16"/>
                <w:szCs w:val="16"/>
              </w:rPr>
            </w:pPr>
            <w:r w:rsidRPr="00CD000E">
              <w:rPr>
                <w:sz w:val="16"/>
                <w:szCs w:val="16"/>
              </w:rPr>
              <w:t>i) 139 011 consultations uniques du site des publications</w:t>
            </w:r>
          </w:p>
          <w:p w14:paraId="0EFBBD3E" w14:textId="77777777" w:rsidR="00F96912" w:rsidRPr="00CD000E" w:rsidRDefault="00F96912" w:rsidP="006658D5">
            <w:pPr>
              <w:keepNext/>
              <w:keepLines/>
              <w:rPr>
                <w:sz w:val="16"/>
                <w:szCs w:val="16"/>
              </w:rPr>
            </w:pPr>
          </w:p>
          <w:p w14:paraId="6A979BD5" w14:textId="77777777" w:rsidR="00F96912" w:rsidRPr="00CD000E" w:rsidRDefault="00F96912" w:rsidP="006658D5">
            <w:pPr>
              <w:keepNext/>
              <w:keepLines/>
              <w:rPr>
                <w:sz w:val="16"/>
                <w:szCs w:val="16"/>
              </w:rPr>
            </w:pPr>
          </w:p>
          <w:p w14:paraId="55422FF1" w14:textId="77777777" w:rsidR="00F96912" w:rsidRPr="00CD000E" w:rsidRDefault="00F96912" w:rsidP="006658D5">
            <w:pPr>
              <w:keepNext/>
              <w:keepLines/>
              <w:rPr>
                <w:sz w:val="16"/>
                <w:szCs w:val="16"/>
              </w:rPr>
            </w:pPr>
            <w:r w:rsidRPr="00CD000E">
              <w:rPr>
                <w:sz w:val="16"/>
                <w:szCs w:val="16"/>
              </w:rPr>
              <w:t>ii) 735 200 consultations uniques du site Web du Magazine de l’OMPI</w:t>
            </w:r>
          </w:p>
        </w:tc>
        <w:tc>
          <w:tcPr>
            <w:tcW w:w="723" w:type="pct"/>
            <w:shd w:val="clear" w:color="auto" w:fill="auto"/>
            <w:tcMar>
              <w:top w:w="110" w:type="dxa"/>
              <w:left w:w="58" w:type="dxa"/>
              <w:right w:w="58" w:type="dxa"/>
            </w:tcMar>
          </w:tcPr>
          <w:p w14:paraId="67360A2A"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1F30D064" w14:textId="77777777" w:rsidR="00F96912" w:rsidRPr="00CD000E" w:rsidRDefault="00F96912" w:rsidP="006658D5">
            <w:pPr>
              <w:keepNext/>
              <w:keepLines/>
              <w:jc w:val="center"/>
              <w:rPr>
                <w:b/>
                <w:color w:val="00B050"/>
                <w:sz w:val="16"/>
                <w:szCs w:val="16"/>
              </w:rPr>
            </w:pPr>
          </w:p>
          <w:p w14:paraId="2EB74BB8" w14:textId="77777777" w:rsidR="00F96912" w:rsidRPr="00CD000E" w:rsidRDefault="00F96912" w:rsidP="006658D5">
            <w:pPr>
              <w:keepNext/>
              <w:keepLines/>
              <w:jc w:val="center"/>
              <w:rPr>
                <w:b/>
                <w:color w:val="00B050"/>
                <w:sz w:val="16"/>
                <w:szCs w:val="16"/>
              </w:rPr>
            </w:pPr>
          </w:p>
          <w:p w14:paraId="48E09EF2" w14:textId="77777777" w:rsidR="00F96912" w:rsidRPr="00CD000E" w:rsidRDefault="00F96912" w:rsidP="006658D5">
            <w:pPr>
              <w:keepNext/>
              <w:keepLines/>
              <w:jc w:val="center"/>
              <w:rPr>
                <w:b/>
                <w:color w:val="00B050"/>
                <w:sz w:val="16"/>
                <w:szCs w:val="16"/>
              </w:rPr>
            </w:pPr>
          </w:p>
          <w:p w14:paraId="6C3E803B" w14:textId="77777777" w:rsidR="00F96912" w:rsidRPr="00CD000E" w:rsidRDefault="00F96912" w:rsidP="006658D5">
            <w:pPr>
              <w:keepNext/>
              <w:keepLines/>
              <w:jc w:val="center"/>
              <w:rPr>
                <w:b/>
                <w:color w:val="00B050"/>
                <w:sz w:val="16"/>
                <w:szCs w:val="16"/>
              </w:rPr>
            </w:pPr>
          </w:p>
          <w:p w14:paraId="34CA3ADD"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3533E84D" w14:textId="77777777" w:rsidTr="006658D5">
        <w:tc>
          <w:tcPr>
            <w:tcW w:w="997" w:type="pct"/>
            <w:shd w:val="clear" w:color="auto" w:fill="auto"/>
            <w:tcMar>
              <w:left w:w="58" w:type="dxa"/>
              <w:right w:w="58" w:type="dxa"/>
            </w:tcMar>
          </w:tcPr>
          <w:p w14:paraId="5367BCB6" w14:textId="77777777" w:rsidR="00F96912" w:rsidRPr="00CD000E" w:rsidRDefault="00F96912" w:rsidP="006658D5">
            <w:pPr>
              <w:rPr>
                <w:color w:val="000000"/>
                <w:sz w:val="16"/>
                <w:szCs w:val="16"/>
              </w:rPr>
            </w:pPr>
            <w:r w:rsidRPr="00CD000E">
              <w:rPr>
                <w:sz w:val="16"/>
                <w:szCs w:val="16"/>
              </w:rPr>
              <w:t>Consultations des contenus presse, vidéo et photo de l’OMPI</w:t>
            </w:r>
          </w:p>
        </w:tc>
        <w:tc>
          <w:tcPr>
            <w:tcW w:w="1303" w:type="pct"/>
            <w:shd w:val="clear" w:color="auto" w:fill="auto"/>
            <w:tcMar>
              <w:left w:w="58" w:type="dxa"/>
              <w:right w:w="58" w:type="dxa"/>
            </w:tcMar>
          </w:tcPr>
          <w:p w14:paraId="4DBF65D0" w14:textId="77777777" w:rsidR="00F96912" w:rsidRPr="00754EC1" w:rsidRDefault="00F96912" w:rsidP="006658D5">
            <w:pPr>
              <w:rPr>
                <w:i/>
                <w:color w:val="002060"/>
                <w:sz w:val="16"/>
                <w:szCs w:val="16"/>
              </w:rPr>
            </w:pPr>
            <w:r w:rsidRPr="00754EC1">
              <w:rPr>
                <w:i/>
                <w:color w:val="002060"/>
                <w:sz w:val="16"/>
                <w:szCs w:val="16"/>
              </w:rPr>
              <w:t>Niveau de référence actualisé à fin 2015 :</w:t>
            </w:r>
          </w:p>
          <w:p w14:paraId="42B1B248" w14:textId="77777777" w:rsidR="00F96912" w:rsidRPr="00754EC1" w:rsidRDefault="00F96912" w:rsidP="006658D5">
            <w:pPr>
              <w:rPr>
                <w:color w:val="002060"/>
                <w:sz w:val="16"/>
                <w:szCs w:val="16"/>
              </w:rPr>
            </w:pPr>
            <w:r w:rsidRPr="00754EC1">
              <w:rPr>
                <w:color w:val="002060"/>
                <w:sz w:val="16"/>
                <w:szCs w:val="16"/>
              </w:rPr>
              <w:t>i) 503 120 consultations uniques du contenu Web du Centre des médias (toutes langues) en 2014</w:t>
            </w:r>
            <w:r w:rsidRPr="00754EC1">
              <w:rPr>
                <w:color w:val="002060"/>
                <w:sz w:val="16"/>
                <w:szCs w:val="16"/>
              </w:rPr>
              <w:noBreakHyphen/>
              <w:t>2015</w:t>
            </w:r>
          </w:p>
          <w:p w14:paraId="36114634" w14:textId="77777777" w:rsidR="00F96912" w:rsidRPr="00754EC1" w:rsidRDefault="00F96912" w:rsidP="006658D5">
            <w:pPr>
              <w:rPr>
                <w:color w:val="002060"/>
                <w:sz w:val="16"/>
                <w:szCs w:val="16"/>
              </w:rPr>
            </w:pPr>
            <w:r w:rsidRPr="00754EC1">
              <w:rPr>
                <w:color w:val="002060"/>
                <w:sz w:val="16"/>
                <w:szCs w:val="16"/>
              </w:rPr>
              <w:t>ii) 473 360 consultations de la chaîne YouTube de l’OMPI en 2014</w:t>
            </w:r>
            <w:r w:rsidRPr="00754EC1">
              <w:rPr>
                <w:color w:val="002060"/>
                <w:sz w:val="16"/>
                <w:szCs w:val="16"/>
              </w:rPr>
              <w:noBreakHyphen/>
              <w:t>2015 (vidéos destinées aux enfants non comprises)</w:t>
            </w:r>
          </w:p>
          <w:p w14:paraId="4FBF0EC2" w14:textId="77777777" w:rsidR="00F96912" w:rsidRPr="00CD000E" w:rsidRDefault="00F96912" w:rsidP="006658D5">
            <w:pPr>
              <w:rPr>
                <w:color w:val="002060"/>
                <w:sz w:val="16"/>
                <w:szCs w:val="16"/>
              </w:rPr>
            </w:pPr>
            <w:r w:rsidRPr="00754EC1">
              <w:rPr>
                <w:color w:val="002060"/>
                <w:sz w:val="16"/>
                <w:szCs w:val="16"/>
              </w:rPr>
              <w:t>iii) 2,54 millions de consultations des photos postées sur Flickr en 2014</w:t>
            </w:r>
            <w:r w:rsidRPr="00754EC1">
              <w:rPr>
                <w:color w:val="002060"/>
                <w:sz w:val="16"/>
                <w:szCs w:val="16"/>
              </w:rPr>
              <w:noBreakHyphen/>
              <w:t>2015 (consultations globales fin 2015 : 3,44 millions)</w:t>
            </w:r>
          </w:p>
          <w:p w14:paraId="6FA60875" w14:textId="77777777" w:rsidR="00F96912" w:rsidRPr="00CD000E" w:rsidRDefault="00F96912" w:rsidP="006658D5">
            <w:pPr>
              <w:rPr>
                <w:color w:val="000000"/>
                <w:sz w:val="16"/>
                <w:szCs w:val="16"/>
              </w:rPr>
            </w:pPr>
          </w:p>
          <w:p w14:paraId="4F9F647E" w14:textId="77777777" w:rsidR="00F96912" w:rsidRPr="00CD000E" w:rsidRDefault="00F96912" w:rsidP="006658D5">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30DF1682" w14:textId="77777777" w:rsidR="00F96912" w:rsidRPr="00CD000E" w:rsidRDefault="00F96912" w:rsidP="006658D5">
            <w:pPr>
              <w:rPr>
                <w:color w:val="000000"/>
                <w:sz w:val="16"/>
                <w:szCs w:val="16"/>
              </w:rPr>
            </w:pPr>
            <w:r w:rsidRPr="00CD000E">
              <w:rPr>
                <w:color w:val="000000"/>
                <w:sz w:val="16"/>
                <w:szCs w:val="16"/>
              </w:rPr>
              <w:t>i) 250 000 consultations uniques du contenu Web du Centre des médias (toutes langues) en 2014</w:t>
            </w:r>
            <w:r w:rsidRPr="00CD000E">
              <w:rPr>
                <w:color w:val="000000"/>
                <w:sz w:val="16"/>
                <w:szCs w:val="16"/>
              </w:rPr>
              <w:br/>
              <w:t>ii) 467 180 consultations de la chaîne YouTube de l’OMPI en 2013</w:t>
            </w:r>
            <w:r>
              <w:rPr>
                <w:color w:val="000000"/>
                <w:sz w:val="16"/>
                <w:szCs w:val="16"/>
              </w:rPr>
              <w:noBreakHyphen/>
            </w:r>
            <w:r w:rsidRPr="00CD000E">
              <w:rPr>
                <w:color w:val="000000"/>
                <w:sz w:val="16"/>
                <w:szCs w:val="16"/>
              </w:rPr>
              <w:t>2014 (vidéos destinées aux enfants non comprises)</w:t>
            </w:r>
            <w:r w:rsidRPr="00CD000E">
              <w:rPr>
                <w:color w:val="000000"/>
                <w:sz w:val="16"/>
                <w:szCs w:val="16"/>
              </w:rPr>
              <w:br/>
              <w:t>iii) 1,44 million de consultations supplémentaires des photos postées sur Flickr en 2014 (consultations globales fin 2014 : 2,41 millions)</w:t>
            </w:r>
          </w:p>
        </w:tc>
        <w:tc>
          <w:tcPr>
            <w:tcW w:w="868" w:type="pct"/>
            <w:shd w:val="clear" w:color="auto" w:fill="auto"/>
            <w:tcMar>
              <w:top w:w="110" w:type="dxa"/>
              <w:left w:w="58" w:type="dxa"/>
              <w:right w:w="58" w:type="dxa"/>
            </w:tcMar>
          </w:tcPr>
          <w:p w14:paraId="796F3FCE" w14:textId="77777777" w:rsidR="00F96912" w:rsidRPr="00CD000E" w:rsidRDefault="00F96912" w:rsidP="006658D5">
            <w:pPr>
              <w:rPr>
                <w:color w:val="000000"/>
                <w:sz w:val="16"/>
                <w:szCs w:val="16"/>
              </w:rPr>
            </w:pPr>
            <w:r w:rsidRPr="00CD000E">
              <w:rPr>
                <w:color w:val="000000"/>
                <w:sz w:val="16"/>
                <w:szCs w:val="16"/>
              </w:rPr>
              <w:t>i) Augmentation de 10% du nombre de consultations uniques du contenu Web du Centre des médias</w:t>
            </w:r>
            <w:r w:rsidRPr="00CD000E">
              <w:rPr>
                <w:color w:val="000000"/>
                <w:sz w:val="16"/>
                <w:szCs w:val="16"/>
              </w:rPr>
              <w:br/>
              <w:t>ii) Augmentation de 10% du nombre de consultations de la chaîne YouTube de l’OMPI (vidéos destinées aux enfants non comprises)</w:t>
            </w:r>
            <w:r w:rsidRPr="00CD000E">
              <w:rPr>
                <w:color w:val="000000"/>
                <w:sz w:val="16"/>
                <w:szCs w:val="16"/>
              </w:rPr>
              <w:br/>
              <w:t>iii) 2,5 </w:t>
            </w:r>
            <w:r w:rsidRPr="00CD000E">
              <w:rPr>
                <w:color w:val="002060"/>
                <w:sz w:val="16"/>
                <w:szCs w:val="16"/>
              </w:rPr>
              <w:t xml:space="preserve">millions </w:t>
            </w:r>
            <w:r w:rsidRPr="00CD000E">
              <w:rPr>
                <w:color w:val="000000"/>
                <w:sz w:val="16"/>
                <w:szCs w:val="16"/>
              </w:rPr>
              <w:t>de consultations des photos postées sur Flickr en 2016</w:t>
            </w:r>
            <w:r>
              <w:rPr>
                <w:color w:val="000000"/>
                <w:sz w:val="16"/>
                <w:szCs w:val="16"/>
              </w:rPr>
              <w:noBreakHyphen/>
            </w:r>
            <w:r w:rsidRPr="00CD000E">
              <w:rPr>
                <w:color w:val="000000"/>
                <w:sz w:val="16"/>
                <w:szCs w:val="16"/>
              </w:rPr>
              <w:t>2017 (c.</w:t>
            </w:r>
            <w:r>
              <w:rPr>
                <w:color w:val="000000"/>
                <w:sz w:val="16"/>
                <w:szCs w:val="16"/>
              </w:rPr>
              <w:noBreakHyphen/>
            </w:r>
            <w:r w:rsidRPr="00CD000E">
              <w:rPr>
                <w:color w:val="000000"/>
                <w:sz w:val="16"/>
                <w:szCs w:val="16"/>
              </w:rPr>
              <w:t>à</w:t>
            </w:r>
            <w:r>
              <w:rPr>
                <w:color w:val="000000"/>
                <w:sz w:val="16"/>
                <w:szCs w:val="16"/>
              </w:rPr>
              <w:noBreakHyphen/>
            </w:r>
            <w:r w:rsidRPr="00CD000E">
              <w:rPr>
                <w:color w:val="000000"/>
                <w:sz w:val="16"/>
                <w:szCs w:val="16"/>
              </w:rPr>
              <w:t>d. un total de 5,94 millions de consultations uniques à la fin 2017)</w:t>
            </w:r>
          </w:p>
        </w:tc>
        <w:tc>
          <w:tcPr>
            <w:tcW w:w="1109" w:type="pct"/>
            <w:shd w:val="clear" w:color="auto" w:fill="FFFFFF"/>
            <w:tcMar>
              <w:top w:w="110" w:type="dxa"/>
              <w:left w:w="58" w:type="dxa"/>
              <w:right w:w="58" w:type="dxa"/>
            </w:tcMar>
          </w:tcPr>
          <w:p w14:paraId="3BEFC616" w14:textId="77777777" w:rsidR="00F96912" w:rsidRPr="00CD000E" w:rsidRDefault="00F96912" w:rsidP="006658D5">
            <w:pPr>
              <w:keepNext/>
              <w:keepLines/>
              <w:rPr>
                <w:color w:val="000000"/>
                <w:sz w:val="16"/>
                <w:szCs w:val="16"/>
              </w:rPr>
            </w:pPr>
            <w:r w:rsidRPr="00CD000E">
              <w:rPr>
                <w:color w:val="000000"/>
                <w:sz w:val="16"/>
                <w:szCs w:val="16"/>
              </w:rPr>
              <w:t>i) 309 959 consultations uniques du contenu Web du Centre des médias (toutes langues)</w:t>
            </w:r>
          </w:p>
          <w:p w14:paraId="788F0465" w14:textId="77777777" w:rsidR="00F96912" w:rsidRPr="00CD000E" w:rsidRDefault="00F96912" w:rsidP="006658D5">
            <w:pPr>
              <w:keepNext/>
              <w:keepLines/>
              <w:rPr>
                <w:color w:val="000000"/>
                <w:sz w:val="16"/>
                <w:szCs w:val="16"/>
              </w:rPr>
            </w:pPr>
          </w:p>
          <w:p w14:paraId="21A87EB2" w14:textId="77777777" w:rsidR="00F96912" w:rsidRPr="00CD000E" w:rsidRDefault="00F96912" w:rsidP="006658D5">
            <w:pPr>
              <w:keepNext/>
              <w:keepLines/>
              <w:rPr>
                <w:color w:val="000000"/>
                <w:sz w:val="16"/>
                <w:szCs w:val="16"/>
              </w:rPr>
            </w:pPr>
            <w:r w:rsidRPr="00CD000E">
              <w:rPr>
                <w:color w:val="000000"/>
                <w:sz w:val="16"/>
                <w:szCs w:val="16"/>
              </w:rPr>
              <w:t>ii)</w:t>
            </w:r>
            <w:r w:rsidRPr="00CD000E">
              <w:rPr>
                <w:sz w:val="16"/>
                <w:szCs w:val="16"/>
              </w:rPr>
              <w:t xml:space="preserve"> </w:t>
            </w:r>
            <w:r w:rsidRPr="00CD000E">
              <w:rPr>
                <w:color w:val="000000"/>
                <w:sz w:val="16"/>
                <w:szCs w:val="16"/>
              </w:rPr>
              <w:t>238 734 consultations de la chaîne YouTube de l’OMPI (vidéos destinées aux enfants non comprises)</w:t>
            </w:r>
          </w:p>
          <w:p w14:paraId="58112AA2" w14:textId="77777777" w:rsidR="00F96912" w:rsidRPr="00CD000E" w:rsidRDefault="00F96912" w:rsidP="006658D5">
            <w:pPr>
              <w:keepNext/>
              <w:keepLines/>
              <w:rPr>
                <w:color w:val="000000"/>
                <w:sz w:val="16"/>
                <w:szCs w:val="16"/>
              </w:rPr>
            </w:pPr>
          </w:p>
          <w:p w14:paraId="259D7CFE" w14:textId="77777777" w:rsidR="00F96912" w:rsidRPr="00CD000E" w:rsidRDefault="00F96912" w:rsidP="006658D5">
            <w:pPr>
              <w:keepNext/>
              <w:keepLines/>
              <w:rPr>
                <w:color w:val="000000"/>
                <w:sz w:val="16"/>
                <w:szCs w:val="16"/>
              </w:rPr>
            </w:pPr>
            <w:r w:rsidRPr="00CD000E">
              <w:rPr>
                <w:color w:val="000000"/>
                <w:sz w:val="16"/>
                <w:szCs w:val="16"/>
              </w:rPr>
              <w:t>iii) 1 284 855 consultations des photos postées sur Flickr (un total de 4 646 055</w:t>
            </w:r>
            <w:r>
              <w:rPr>
                <w:color w:val="000000"/>
                <w:sz w:val="16"/>
                <w:szCs w:val="16"/>
              </w:rPr>
              <w:t> </w:t>
            </w:r>
            <w:r w:rsidRPr="00CD000E">
              <w:rPr>
                <w:color w:val="000000"/>
                <w:sz w:val="16"/>
                <w:szCs w:val="16"/>
              </w:rPr>
              <w:t>consultations uniques à la fin 2016)</w:t>
            </w:r>
          </w:p>
        </w:tc>
        <w:tc>
          <w:tcPr>
            <w:tcW w:w="723" w:type="pct"/>
            <w:shd w:val="clear" w:color="auto" w:fill="auto"/>
            <w:tcMar>
              <w:top w:w="110" w:type="dxa"/>
              <w:left w:w="58" w:type="dxa"/>
              <w:right w:w="58" w:type="dxa"/>
            </w:tcMar>
          </w:tcPr>
          <w:p w14:paraId="25D0E495"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59DDE678" w14:textId="77777777" w:rsidR="00F96912" w:rsidRPr="00CD000E" w:rsidRDefault="00F96912" w:rsidP="006658D5">
            <w:pPr>
              <w:keepNext/>
              <w:keepLines/>
              <w:jc w:val="center"/>
              <w:rPr>
                <w:b/>
                <w:color w:val="00B050"/>
                <w:sz w:val="16"/>
                <w:szCs w:val="16"/>
              </w:rPr>
            </w:pPr>
          </w:p>
          <w:p w14:paraId="30DF683B" w14:textId="77777777" w:rsidR="00F96912" w:rsidRPr="00CD000E" w:rsidRDefault="00F96912" w:rsidP="006658D5">
            <w:pPr>
              <w:keepNext/>
              <w:keepLines/>
              <w:jc w:val="center"/>
              <w:rPr>
                <w:b/>
                <w:color w:val="00B050"/>
                <w:sz w:val="16"/>
                <w:szCs w:val="16"/>
              </w:rPr>
            </w:pPr>
          </w:p>
          <w:p w14:paraId="05AE62B9" w14:textId="77777777" w:rsidR="00F96912" w:rsidRDefault="00F96912" w:rsidP="006658D5">
            <w:pPr>
              <w:keepNext/>
              <w:keepLines/>
              <w:jc w:val="center"/>
              <w:rPr>
                <w:b/>
                <w:color w:val="00B050"/>
                <w:sz w:val="16"/>
                <w:szCs w:val="16"/>
              </w:rPr>
            </w:pPr>
          </w:p>
          <w:p w14:paraId="0E0E0B08" w14:textId="77777777" w:rsidR="00F96912" w:rsidRPr="00CD000E" w:rsidRDefault="00F96912" w:rsidP="006658D5">
            <w:pPr>
              <w:keepNext/>
              <w:keepLines/>
              <w:jc w:val="center"/>
              <w:rPr>
                <w:b/>
                <w:color w:val="00B050"/>
                <w:sz w:val="16"/>
                <w:szCs w:val="16"/>
              </w:rPr>
            </w:pPr>
          </w:p>
          <w:p w14:paraId="4BC9F1BF"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1D4BFCF0" w14:textId="77777777" w:rsidR="00F96912" w:rsidRPr="00CD000E" w:rsidRDefault="00F96912" w:rsidP="006658D5">
            <w:pPr>
              <w:keepNext/>
              <w:keepLines/>
              <w:jc w:val="center"/>
              <w:rPr>
                <w:b/>
                <w:color w:val="00B050"/>
                <w:sz w:val="16"/>
                <w:szCs w:val="16"/>
              </w:rPr>
            </w:pPr>
          </w:p>
          <w:p w14:paraId="073340C8" w14:textId="77777777" w:rsidR="00F96912" w:rsidRPr="00CD000E" w:rsidRDefault="00F96912" w:rsidP="006658D5">
            <w:pPr>
              <w:keepNext/>
              <w:keepLines/>
              <w:jc w:val="center"/>
              <w:rPr>
                <w:b/>
                <w:color w:val="00B050"/>
                <w:sz w:val="16"/>
                <w:szCs w:val="16"/>
              </w:rPr>
            </w:pPr>
          </w:p>
          <w:p w14:paraId="5448F7F8" w14:textId="77777777" w:rsidR="00F96912" w:rsidRPr="00CD000E" w:rsidRDefault="00F96912" w:rsidP="006658D5">
            <w:pPr>
              <w:keepNext/>
              <w:keepLines/>
              <w:jc w:val="center"/>
              <w:rPr>
                <w:b/>
                <w:color w:val="00B050"/>
                <w:sz w:val="16"/>
                <w:szCs w:val="16"/>
              </w:rPr>
            </w:pPr>
          </w:p>
          <w:p w14:paraId="0E5DD198" w14:textId="77777777" w:rsidR="00F96912" w:rsidRPr="00CD000E" w:rsidRDefault="00F96912" w:rsidP="006658D5">
            <w:pPr>
              <w:keepNext/>
              <w:keepLines/>
              <w:jc w:val="center"/>
              <w:rPr>
                <w:b/>
                <w:color w:val="00B050"/>
                <w:sz w:val="16"/>
                <w:szCs w:val="16"/>
              </w:rPr>
            </w:pPr>
          </w:p>
          <w:p w14:paraId="403E684B"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0B515A3A" w14:textId="77777777" w:rsidTr="006658D5">
        <w:tc>
          <w:tcPr>
            <w:tcW w:w="997" w:type="pct"/>
            <w:shd w:val="clear" w:color="auto" w:fill="auto"/>
            <w:tcMar>
              <w:left w:w="58" w:type="dxa"/>
              <w:right w:w="58" w:type="dxa"/>
            </w:tcMar>
          </w:tcPr>
          <w:p w14:paraId="2363B0C2" w14:textId="77777777" w:rsidR="00F96912" w:rsidRPr="00CD000E" w:rsidRDefault="00F96912" w:rsidP="006658D5">
            <w:pPr>
              <w:rPr>
                <w:color w:val="000000"/>
                <w:sz w:val="16"/>
                <w:szCs w:val="16"/>
              </w:rPr>
            </w:pPr>
            <w:r w:rsidRPr="00CD000E">
              <w:rPr>
                <w:sz w:val="16"/>
                <w:szCs w:val="16"/>
              </w:rPr>
              <w:t>Réduction du nombre d’utilisateurs qui quittent le site Web de l’OMPI directement à partir du portail et des principales pages d’aiguillage</w:t>
            </w:r>
          </w:p>
        </w:tc>
        <w:tc>
          <w:tcPr>
            <w:tcW w:w="1303" w:type="pct"/>
            <w:shd w:val="clear" w:color="auto" w:fill="auto"/>
            <w:tcMar>
              <w:left w:w="58" w:type="dxa"/>
              <w:right w:w="58" w:type="dxa"/>
            </w:tcMar>
          </w:tcPr>
          <w:p w14:paraId="4280D3B3" w14:textId="77777777" w:rsidR="00F96912" w:rsidRPr="00754EC1" w:rsidRDefault="00F96912" w:rsidP="006658D5">
            <w:pPr>
              <w:rPr>
                <w:i/>
                <w:color w:val="002060"/>
                <w:sz w:val="16"/>
                <w:szCs w:val="16"/>
              </w:rPr>
            </w:pPr>
            <w:r w:rsidRPr="00754EC1">
              <w:rPr>
                <w:i/>
                <w:color w:val="002060"/>
                <w:sz w:val="16"/>
                <w:szCs w:val="16"/>
              </w:rPr>
              <w:t>Niveau de référence actualisé à fin 2015 :</w:t>
            </w:r>
          </w:p>
          <w:p w14:paraId="63464FF8" w14:textId="77777777" w:rsidR="00F96912" w:rsidRPr="00754EC1" w:rsidRDefault="00F96912" w:rsidP="006658D5">
            <w:pPr>
              <w:rPr>
                <w:color w:val="002060"/>
                <w:sz w:val="16"/>
                <w:szCs w:val="16"/>
              </w:rPr>
            </w:pPr>
            <w:r w:rsidRPr="00754EC1">
              <w:rPr>
                <w:color w:val="002060"/>
                <w:sz w:val="16"/>
                <w:szCs w:val="16"/>
              </w:rPr>
              <w:t>i) Taux de rebondissement sur le portail 29,8%</w:t>
            </w:r>
          </w:p>
          <w:p w14:paraId="1B76C40C" w14:textId="77777777" w:rsidR="00F96912" w:rsidRPr="00754EC1" w:rsidRDefault="00F96912" w:rsidP="006658D5">
            <w:pPr>
              <w:rPr>
                <w:color w:val="002060"/>
                <w:sz w:val="16"/>
                <w:szCs w:val="16"/>
              </w:rPr>
            </w:pPr>
            <w:r w:rsidRPr="00754EC1">
              <w:rPr>
                <w:color w:val="002060"/>
                <w:sz w:val="16"/>
                <w:szCs w:val="16"/>
              </w:rPr>
              <w:t>ii) Taux de sortie depuis les pages d’aiguillage (EN) :</w:t>
            </w:r>
          </w:p>
          <w:p w14:paraId="364BC9DD" w14:textId="77777777" w:rsidR="00F96912" w:rsidRPr="00754EC1" w:rsidRDefault="00F96912" w:rsidP="006658D5">
            <w:pPr>
              <w:rPr>
                <w:color w:val="002060"/>
                <w:sz w:val="16"/>
                <w:szCs w:val="16"/>
              </w:rPr>
            </w:pPr>
            <w:r w:rsidRPr="00754EC1">
              <w:rPr>
                <w:color w:val="002060"/>
                <w:sz w:val="16"/>
                <w:szCs w:val="16"/>
              </w:rPr>
              <w:t>– Services de P.I. : 16,6%</w:t>
            </w:r>
          </w:p>
          <w:p w14:paraId="148C0465" w14:textId="77777777" w:rsidR="00F96912" w:rsidRPr="00754EC1" w:rsidRDefault="00F96912" w:rsidP="006658D5">
            <w:pPr>
              <w:rPr>
                <w:color w:val="002060"/>
                <w:sz w:val="16"/>
                <w:szCs w:val="16"/>
              </w:rPr>
            </w:pPr>
            <w:r w:rsidRPr="00754EC1">
              <w:rPr>
                <w:color w:val="002060"/>
                <w:sz w:val="16"/>
                <w:szCs w:val="16"/>
              </w:rPr>
              <w:t>– Politiques : 27,2%</w:t>
            </w:r>
          </w:p>
          <w:p w14:paraId="5A9159C0" w14:textId="77777777" w:rsidR="00F96912" w:rsidRPr="00754EC1" w:rsidRDefault="00F96912" w:rsidP="006658D5">
            <w:pPr>
              <w:rPr>
                <w:color w:val="002060"/>
                <w:sz w:val="16"/>
                <w:szCs w:val="16"/>
              </w:rPr>
            </w:pPr>
            <w:r w:rsidRPr="00754EC1">
              <w:rPr>
                <w:color w:val="002060"/>
                <w:sz w:val="16"/>
                <w:szCs w:val="16"/>
              </w:rPr>
              <w:t>– Coopération : 20,1%</w:t>
            </w:r>
          </w:p>
          <w:p w14:paraId="152D0A65" w14:textId="77777777" w:rsidR="00F96912" w:rsidRPr="00754EC1" w:rsidRDefault="00F96912" w:rsidP="006658D5">
            <w:pPr>
              <w:rPr>
                <w:color w:val="002060"/>
                <w:sz w:val="16"/>
                <w:szCs w:val="16"/>
              </w:rPr>
            </w:pPr>
            <w:r w:rsidRPr="00754EC1">
              <w:rPr>
                <w:color w:val="002060"/>
                <w:sz w:val="16"/>
                <w:szCs w:val="16"/>
              </w:rPr>
              <w:t>– Référence : 29,1%</w:t>
            </w:r>
          </w:p>
          <w:p w14:paraId="7BF490E4" w14:textId="77777777" w:rsidR="00F96912" w:rsidRPr="00754EC1" w:rsidRDefault="00F96912" w:rsidP="006658D5">
            <w:pPr>
              <w:rPr>
                <w:color w:val="002060"/>
                <w:sz w:val="16"/>
                <w:szCs w:val="16"/>
              </w:rPr>
            </w:pPr>
            <w:r w:rsidRPr="00754EC1">
              <w:rPr>
                <w:color w:val="002060"/>
                <w:sz w:val="16"/>
                <w:szCs w:val="16"/>
              </w:rPr>
              <w:t>– Tout sur la P.I. : 59,9%</w:t>
            </w:r>
          </w:p>
          <w:p w14:paraId="7067709D" w14:textId="77777777" w:rsidR="00F96912" w:rsidRPr="00754EC1" w:rsidRDefault="00F96912" w:rsidP="006658D5">
            <w:pPr>
              <w:rPr>
                <w:color w:val="002060"/>
                <w:sz w:val="16"/>
                <w:szCs w:val="16"/>
              </w:rPr>
            </w:pPr>
            <w:r w:rsidRPr="00754EC1">
              <w:rPr>
                <w:color w:val="002060"/>
                <w:sz w:val="16"/>
                <w:szCs w:val="16"/>
              </w:rPr>
              <w:t>– L’OMPI : 26,1%</w:t>
            </w:r>
          </w:p>
          <w:p w14:paraId="4B58258E" w14:textId="77777777" w:rsidR="00F96912" w:rsidRDefault="00F96912" w:rsidP="006658D5">
            <w:pPr>
              <w:rPr>
                <w:color w:val="000000"/>
                <w:sz w:val="16"/>
                <w:szCs w:val="16"/>
              </w:rPr>
            </w:pPr>
          </w:p>
          <w:p w14:paraId="43F14CCE" w14:textId="77777777" w:rsidR="004E4A91" w:rsidRDefault="004E4A91" w:rsidP="006658D5">
            <w:pPr>
              <w:rPr>
                <w:color w:val="000000"/>
                <w:sz w:val="16"/>
                <w:szCs w:val="16"/>
              </w:rPr>
            </w:pPr>
          </w:p>
          <w:p w14:paraId="1B1C5979" w14:textId="77777777" w:rsidR="004E4A91" w:rsidRDefault="004E4A91" w:rsidP="006658D5">
            <w:pPr>
              <w:rPr>
                <w:color w:val="000000"/>
                <w:sz w:val="16"/>
                <w:szCs w:val="16"/>
              </w:rPr>
            </w:pPr>
          </w:p>
          <w:p w14:paraId="29A13A3F" w14:textId="77777777" w:rsidR="004E4A91" w:rsidRDefault="004E4A91" w:rsidP="006658D5">
            <w:pPr>
              <w:rPr>
                <w:color w:val="000000"/>
                <w:sz w:val="16"/>
                <w:szCs w:val="16"/>
              </w:rPr>
            </w:pPr>
          </w:p>
          <w:p w14:paraId="29443AB6" w14:textId="77777777" w:rsidR="004E4A91" w:rsidRPr="00754EC1" w:rsidRDefault="004E4A91" w:rsidP="006658D5">
            <w:pPr>
              <w:rPr>
                <w:color w:val="000000"/>
                <w:sz w:val="16"/>
                <w:szCs w:val="16"/>
              </w:rPr>
            </w:pPr>
          </w:p>
          <w:p w14:paraId="0FA58F6E" w14:textId="77777777" w:rsidR="00F96912" w:rsidRPr="00754EC1" w:rsidRDefault="00F96912" w:rsidP="006658D5">
            <w:pPr>
              <w:rPr>
                <w:i/>
                <w:sz w:val="16"/>
                <w:szCs w:val="16"/>
                <w:lang w:bidi="th-TH"/>
              </w:rPr>
            </w:pPr>
            <w:r w:rsidRPr="00754EC1">
              <w:rPr>
                <w:i/>
                <w:sz w:val="16"/>
                <w:szCs w:val="16"/>
                <w:lang w:bidi="th-TH"/>
              </w:rPr>
              <w:lastRenderedPageBreak/>
              <w:t>Niveau de référence initial dans le programme et budget 2016</w:t>
            </w:r>
            <w:r w:rsidRPr="00754EC1">
              <w:rPr>
                <w:i/>
                <w:sz w:val="16"/>
                <w:szCs w:val="16"/>
                <w:lang w:bidi="th-TH"/>
              </w:rPr>
              <w:noBreakHyphen/>
              <w:t>2017 :</w:t>
            </w:r>
          </w:p>
          <w:p w14:paraId="5D7C3671" w14:textId="77777777" w:rsidR="00F96912" w:rsidRPr="00754EC1" w:rsidRDefault="00F96912" w:rsidP="006658D5">
            <w:pPr>
              <w:rPr>
                <w:color w:val="000000"/>
                <w:sz w:val="16"/>
                <w:szCs w:val="16"/>
              </w:rPr>
            </w:pPr>
            <w:r w:rsidRPr="00754EC1">
              <w:rPr>
                <w:color w:val="000000"/>
                <w:sz w:val="16"/>
                <w:szCs w:val="16"/>
              </w:rPr>
              <w:t>i) Taux de rebondissement sur le portail 25,1%</w:t>
            </w:r>
          </w:p>
          <w:p w14:paraId="014171D5" w14:textId="77777777" w:rsidR="00F96912" w:rsidRPr="00754EC1" w:rsidRDefault="00F96912" w:rsidP="006658D5">
            <w:pPr>
              <w:rPr>
                <w:color w:val="000000"/>
                <w:sz w:val="16"/>
                <w:szCs w:val="16"/>
              </w:rPr>
            </w:pPr>
            <w:r w:rsidRPr="00754EC1">
              <w:rPr>
                <w:color w:val="000000"/>
                <w:sz w:val="16"/>
                <w:szCs w:val="16"/>
              </w:rPr>
              <w:t>ii) Taux de sortie depuis les pages d’aiguillage :</w:t>
            </w:r>
          </w:p>
          <w:p w14:paraId="46B8B79E" w14:textId="77777777" w:rsidR="00F96912" w:rsidRPr="00754EC1" w:rsidRDefault="00F96912" w:rsidP="006658D5">
            <w:pPr>
              <w:rPr>
                <w:color w:val="000000"/>
                <w:sz w:val="16"/>
                <w:szCs w:val="16"/>
              </w:rPr>
            </w:pPr>
            <w:r w:rsidRPr="00754EC1">
              <w:rPr>
                <w:sz w:val="16"/>
                <w:szCs w:val="16"/>
              </w:rPr>
              <w:t>Services de P.I. :</w:t>
            </w:r>
            <w:r w:rsidRPr="00754EC1">
              <w:rPr>
                <w:color w:val="000000"/>
                <w:sz w:val="16"/>
                <w:szCs w:val="16"/>
              </w:rPr>
              <w:t xml:space="preserve"> </w:t>
            </w:r>
            <w:r w:rsidRPr="00754EC1">
              <w:rPr>
                <w:sz w:val="16"/>
                <w:szCs w:val="16"/>
              </w:rPr>
              <w:t>13</w:t>
            </w:r>
            <w:r w:rsidRPr="00754EC1">
              <w:rPr>
                <w:color w:val="000000"/>
                <w:sz w:val="16"/>
                <w:szCs w:val="16"/>
              </w:rPr>
              <w:t>%;</w:t>
            </w:r>
          </w:p>
          <w:p w14:paraId="37690DEE" w14:textId="77777777" w:rsidR="00F96912" w:rsidRPr="00754EC1" w:rsidRDefault="00F96912" w:rsidP="006658D5">
            <w:pPr>
              <w:rPr>
                <w:color w:val="000000"/>
                <w:sz w:val="16"/>
                <w:szCs w:val="16"/>
              </w:rPr>
            </w:pPr>
            <w:r w:rsidRPr="00754EC1">
              <w:rPr>
                <w:color w:val="000000"/>
                <w:sz w:val="16"/>
                <w:szCs w:val="16"/>
              </w:rPr>
              <w:t>Politiques : 16,9%;</w:t>
            </w:r>
          </w:p>
          <w:p w14:paraId="5448271F" w14:textId="77777777" w:rsidR="00F96912" w:rsidRPr="00754EC1" w:rsidRDefault="00F96912" w:rsidP="006658D5">
            <w:pPr>
              <w:rPr>
                <w:color w:val="000000"/>
                <w:sz w:val="16"/>
                <w:szCs w:val="16"/>
              </w:rPr>
            </w:pPr>
            <w:r w:rsidRPr="00754EC1">
              <w:rPr>
                <w:color w:val="000000"/>
                <w:sz w:val="16"/>
                <w:szCs w:val="16"/>
              </w:rPr>
              <w:t>Coopération : 15,3%;  Références : 19,1%;</w:t>
            </w:r>
          </w:p>
          <w:p w14:paraId="6F11AAEC" w14:textId="77777777" w:rsidR="00F96912" w:rsidRPr="00754EC1" w:rsidRDefault="00F96912" w:rsidP="006658D5">
            <w:pPr>
              <w:rPr>
                <w:color w:val="000000"/>
                <w:sz w:val="16"/>
                <w:szCs w:val="16"/>
              </w:rPr>
            </w:pPr>
            <w:r w:rsidRPr="00754EC1">
              <w:rPr>
                <w:color w:val="000000"/>
                <w:sz w:val="16"/>
                <w:szCs w:val="16"/>
              </w:rPr>
              <w:t>Tout sur la P.I. : 55,1%;</w:t>
            </w:r>
          </w:p>
          <w:p w14:paraId="13D717B3" w14:textId="77777777" w:rsidR="00F96912" w:rsidRPr="00754EC1" w:rsidRDefault="00F96912" w:rsidP="006658D5">
            <w:pPr>
              <w:rPr>
                <w:color w:val="000000"/>
                <w:sz w:val="16"/>
                <w:szCs w:val="16"/>
              </w:rPr>
            </w:pPr>
            <w:r w:rsidRPr="00754EC1">
              <w:rPr>
                <w:color w:val="000000"/>
                <w:sz w:val="16"/>
                <w:szCs w:val="16"/>
              </w:rPr>
              <w:t>L’OMPI : 23,5%</w:t>
            </w:r>
          </w:p>
        </w:tc>
        <w:tc>
          <w:tcPr>
            <w:tcW w:w="868" w:type="pct"/>
            <w:shd w:val="clear" w:color="auto" w:fill="auto"/>
            <w:tcMar>
              <w:top w:w="110" w:type="dxa"/>
              <w:left w:w="58" w:type="dxa"/>
              <w:right w:w="58" w:type="dxa"/>
            </w:tcMar>
          </w:tcPr>
          <w:p w14:paraId="3DB4DA29" w14:textId="77777777" w:rsidR="00F96912" w:rsidRPr="00754EC1" w:rsidRDefault="00F96912" w:rsidP="006658D5">
            <w:pPr>
              <w:rPr>
                <w:color w:val="000000"/>
                <w:sz w:val="16"/>
                <w:szCs w:val="16"/>
              </w:rPr>
            </w:pPr>
            <w:r w:rsidRPr="00754EC1">
              <w:rPr>
                <w:color w:val="000000"/>
                <w:sz w:val="16"/>
                <w:szCs w:val="16"/>
              </w:rPr>
              <w:lastRenderedPageBreak/>
              <w:t>i) taux de rebondissement stable sur le portail;</w:t>
            </w:r>
          </w:p>
          <w:p w14:paraId="5E223035" w14:textId="77777777" w:rsidR="00F96912" w:rsidRPr="00754EC1" w:rsidRDefault="00F96912" w:rsidP="006658D5">
            <w:pPr>
              <w:rPr>
                <w:color w:val="000000"/>
                <w:sz w:val="16"/>
                <w:szCs w:val="16"/>
              </w:rPr>
            </w:pPr>
          </w:p>
          <w:p w14:paraId="60A04EDF" w14:textId="77777777" w:rsidR="00F96912" w:rsidRPr="00754EC1" w:rsidRDefault="00F96912" w:rsidP="006658D5">
            <w:pPr>
              <w:rPr>
                <w:color w:val="000000"/>
                <w:sz w:val="16"/>
                <w:szCs w:val="16"/>
              </w:rPr>
            </w:pPr>
            <w:r w:rsidRPr="00754EC1">
              <w:rPr>
                <w:color w:val="000000"/>
                <w:sz w:val="16"/>
                <w:szCs w:val="16"/>
              </w:rPr>
              <w:t>ii) taux de sortie stable depuis la page d’aiguillage pour chacune des 6 rubriques principales du site Web (Services de P.I., Politiques, Coopération, Références, Tout sur la P.I., L’OMPI)</w:t>
            </w:r>
          </w:p>
        </w:tc>
        <w:tc>
          <w:tcPr>
            <w:tcW w:w="1109" w:type="pct"/>
            <w:shd w:val="clear" w:color="auto" w:fill="FFFFFF"/>
            <w:tcMar>
              <w:top w:w="110" w:type="dxa"/>
              <w:left w:w="58" w:type="dxa"/>
              <w:right w:w="58" w:type="dxa"/>
            </w:tcMar>
          </w:tcPr>
          <w:p w14:paraId="00FEB741" w14:textId="77777777" w:rsidR="00F96912" w:rsidRPr="00754EC1" w:rsidRDefault="00F96912" w:rsidP="006658D5">
            <w:pPr>
              <w:keepNext/>
              <w:keepLines/>
              <w:rPr>
                <w:color w:val="000000"/>
                <w:sz w:val="16"/>
                <w:szCs w:val="16"/>
              </w:rPr>
            </w:pPr>
            <w:r w:rsidRPr="00754EC1">
              <w:rPr>
                <w:color w:val="000000"/>
                <w:sz w:val="16"/>
                <w:szCs w:val="16"/>
              </w:rPr>
              <w:t>i) Taux de rebondissement sur le portail : 29,1% (EN)</w:t>
            </w:r>
          </w:p>
          <w:p w14:paraId="46C8DDDA" w14:textId="77777777" w:rsidR="00F96912" w:rsidRPr="00754EC1" w:rsidRDefault="00F96912" w:rsidP="006658D5">
            <w:pPr>
              <w:keepNext/>
              <w:keepLines/>
              <w:rPr>
                <w:color w:val="000000"/>
                <w:sz w:val="16"/>
                <w:szCs w:val="16"/>
              </w:rPr>
            </w:pPr>
          </w:p>
          <w:p w14:paraId="22F3D89A" w14:textId="77777777" w:rsidR="00F96912" w:rsidRPr="00754EC1" w:rsidRDefault="00F96912" w:rsidP="006658D5">
            <w:pPr>
              <w:keepNext/>
              <w:keepLines/>
              <w:rPr>
                <w:color w:val="000000"/>
                <w:sz w:val="16"/>
                <w:szCs w:val="16"/>
              </w:rPr>
            </w:pPr>
            <w:r w:rsidRPr="00754EC1">
              <w:rPr>
                <w:color w:val="000000"/>
                <w:sz w:val="16"/>
                <w:szCs w:val="16"/>
              </w:rPr>
              <w:t>ii) Taux de sortie depuis les principales pages d’aiguillage :</w:t>
            </w:r>
          </w:p>
          <w:p w14:paraId="7FC95A2B" w14:textId="77777777" w:rsidR="00F96912" w:rsidRPr="00754EC1" w:rsidRDefault="00F96912" w:rsidP="004E4A91">
            <w:pPr>
              <w:keepNext/>
              <w:keepLines/>
              <w:spacing w:after="60"/>
              <w:rPr>
                <w:color w:val="000000"/>
                <w:sz w:val="16"/>
                <w:szCs w:val="16"/>
              </w:rPr>
            </w:pPr>
            <w:r w:rsidRPr="00754EC1">
              <w:rPr>
                <w:sz w:val="16"/>
                <w:szCs w:val="16"/>
              </w:rPr>
              <w:t>– Services de P.I. :</w:t>
            </w:r>
            <w:r w:rsidRPr="00754EC1">
              <w:rPr>
                <w:color w:val="000000"/>
                <w:sz w:val="16"/>
                <w:szCs w:val="16"/>
              </w:rPr>
              <w:t xml:space="preserve"> </w:t>
            </w:r>
            <w:r w:rsidRPr="00754EC1">
              <w:rPr>
                <w:sz w:val="16"/>
                <w:szCs w:val="16"/>
              </w:rPr>
              <w:t>14</w:t>
            </w:r>
            <w:r w:rsidRPr="00754EC1">
              <w:rPr>
                <w:color w:val="000000"/>
                <w:sz w:val="16"/>
                <w:szCs w:val="16"/>
              </w:rPr>
              <w:t>,</w:t>
            </w:r>
            <w:r w:rsidRPr="00754EC1">
              <w:rPr>
                <w:sz w:val="16"/>
                <w:szCs w:val="16"/>
              </w:rPr>
              <w:t>9</w:t>
            </w:r>
            <w:r w:rsidRPr="00754EC1">
              <w:rPr>
                <w:color w:val="000000"/>
                <w:sz w:val="16"/>
                <w:szCs w:val="16"/>
              </w:rPr>
              <w:t>%</w:t>
            </w:r>
          </w:p>
          <w:p w14:paraId="6A9515BC" w14:textId="77777777" w:rsidR="00F96912" w:rsidRPr="00754EC1" w:rsidRDefault="00F96912" w:rsidP="004E4A91">
            <w:pPr>
              <w:keepNext/>
              <w:keepLines/>
              <w:spacing w:after="60"/>
              <w:rPr>
                <w:color w:val="000000"/>
                <w:sz w:val="16"/>
                <w:szCs w:val="16"/>
              </w:rPr>
            </w:pPr>
            <w:r w:rsidRPr="00754EC1">
              <w:rPr>
                <w:color w:val="000000"/>
                <w:sz w:val="16"/>
                <w:szCs w:val="16"/>
              </w:rPr>
              <w:t>– Politiques : 18,4%</w:t>
            </w:r>
          </w:p>
          <w:p w14:paraId="746FBFB6" w14:textId="77777777" w:rsidR="00F96912" w:rsidRPr="00754EC1" w:rsidRDefault="00F96912" w:rsidP="004E4A91">
            <w:pPr>
              <w:keepNext/>
              <w:keepLines/>
              <w:spacing w:after="60"/>
              <w:rPr>
                <w:color w:val="000000"/>
                <w:sz w:val="16"/>
                <w:szCs w:val="16"/>
              </w:rPr>
            </w:pPr>
            <w:r w:rsidRPr="00754EC1">
              <w:rPr>
                <w:color w:val="000000"/>
                <w:sz w:val="16"/>
                <w:szCs w:val="16"/>
              </w:rPr>
              <w:t xml:space="preserve">– </w:t>
            </w:r>
            <w:r w:rsidRPr="00754EC1">
              <w:rPr>
                <w:sz w:val="16"/>
                <w:szCs w:val="16"/>
              </w:rPr>
              <w:t>Coopération :</w:t>
            </w:r>
            <w:r w:rsidRPr="00754EC1">
              <w:rPr>
                <w:color w:val="000000"/>
                <w:sz w:val="16"/>
                <w:szCs w:val="16"/>
              </w:rPr>
              <w:t xml:space="preserve"> </w:t>
            </w:r>
            <w:r w:rsidRPr="00754EC1">
              <w:rPr>
                <w:sz w:val="16"/>
                <w:szCs w:val="16"/>
              </w:rPr>
              <w:t>17</w:t>
            </w:r>
            <w:r w:rsidRPr="00754EC1">
              <w:rPr>
                <w:color w:val="000000"/>
                <w:sz w:val="16"/>
                <w:szCs w:val="16"/>
              </w:rPr>
              <w:t>,</w:t>
            </w:r>
            <w:r w:rsidRPr="00754EC1">
              <w:rPr>
                <w:sz w:val="16"/>
                <w:szCs w:val="16"/>
              </w:rPr>
              <w:t>8</w:t>
            </w:r>
            <w:r w:rsidRPr="00754EC1">
              <w:rPr>
                <w:color w:val="000000"/>
                <w:sz w:val="16"/>
                <w:szCs w:val="16"/>
              </w:rPr>
              <w:t>%</w:t>
            </w:r>
          </w:p>
          <w:p w14:paraId="7E1A90F7" w14:textId="77777777" w:rsidR="00F96912" w:rsidRPr="00754EC1" w:rsidRDefault="00F96912" w:rsidP="004E4A91">
            <w:pPr>
              <w:keepNext/>
              <w:keepLines/>
              <w:spacing w:after="60"/>
              <w:rPr>
                <w:color w:val="000000"/>
                <w:sz w:val="16"/>
                <w:szCs w:val="16"/>
              </w:rPr>
            </w:pPr>
            <w:r w:rsidRPr="00754EC1">
              <w:rPr>
                <w:sz w:val="16"/>
                <w:szCs w:val="16"/>
              </w:rPr>
              <w:t>– Référence :</w:t>
            </w:r>
            <w:r w:rsidRPr="00754EC1">
              <w:rPr>
                <w:color w:val="000000"/>
                <w:sz w:val="16"/>
                <w:szCs w:val="16"/>
              </w:rPr>
              <w:t xml:space="preserve"> </w:t>
            </w:r>
            <w:r w:rsidRPr="00754EC1">
              <w:rPr>
                <w:sz w:val="16"/>
                <w:szCs w:val="16"/>
              </w:rPr>
              <w:t>15</w:t>
            </w:r>
            <w:r w:rsidRPr="00754EC1">
              <w:rPr>
                <w:color w:val="000000"/>
                <w:sz w:val="16"/>
                <w:szCs w:val="16"/>
              </w:rPr>
              <w:t>,</w:t>
            </w:r>
            <w:r w:rsidRPr="00754EC1">
              <w:rPr>
                <w:sz w:val="16"/>
                <w:szCs w:val="16"/>
              </w:rPr>
              <w:t>6</w:t>
            </w:r>
            <w:r w:rsidRPr="00754EC1">
              <w:rPr>
                <w:color w:val="000000"/>
                <w:sz w:val="16"/>
                <w:szCs w:val="16"/>
              </w:rPr>
              <w:t>%</w:t>
            </w:r>
          </w:p>
          <w:p w14:paraId="5C384A7E" w14:textId="77777777" w:rsidR="00F96912" w:rsidRDefault="00F96912" w:rsidP="004E4A91">
            <w:pPr>
              <w:keepNext/>
              <w:keepLines/>
              <w:spacing w:after="60"/>
              <w:rPr>
                <w:color w:val="000000"/>
                <w:sz w:val="16"/>
                <w:szCs w:val="16"/>
              </w:rPr>
            </w:pPr>
            <w:r w:rsidRPr="00754EC1">
              <w:rPr>
                <w:color w:val="000000"/>
                <w:sz w:val="16"/>
                <w:szCs w:val="16"/>
              </w:rPr>
              <w:t>– Tout sur la P.I. : 64%</w:t>
            </w:r>
          </w:p>
          <w:p w14:paraId="3D5012E2" w14:textId="77777777" w:rsidR="004E4A91" w:rsidRDefault="004E4A91" w:rsidP="004E4A91">
            <w:pPr>
              <w:keepNext/>
              <w:keepLines/>
              <w:spacing w:after="60"/>
              <w:rPr>
                <w:color w:val="000000"/>
                <w:sz w:val="16"/>
                <w:szCs w:val="16"/>
              </w:rPr>
            </w:pPr>
          </w:p>
          <w:p w14:paraId="768E99DD" w14:textId="77777777" w:rsidR="00F96912" w:rsidRPr="00754EC1" w:rsidRDefault="00F96912" w:rsidP="004E4A91">
            <w:pPr>
              <w:keepNext/>
              <w:keepLines/>
              <w:spacing w:after="60"/>
              <w:rPr>
                <w:color w:val="000000"/>
                <w:sz w:val="16"/>
                <w:szCs w:val="16"/>
              </w:rPr>
            </w:pPr>
            <w:r w:rsidRPr="00754EC1">
              <w:rPr>
                <w:color w:val="000000"/>
                <w:sz w:val="16"/>
                <w:szCs w:val="16"/>
              </w:rPr>
              <w:t>– L’OMPI : 32,8%</w:t>
            </w:r>
          </w:p>
        </w:tc>
        <w:tc>
          <w:tcPr>
            <w:tcW w:w="723" w:type="pct"/>
            <w:shd w:val="clear" w:color="auto" w:fill="auto"/>
            <w:tcMar>
              <w:top w:w="110" w:type="dxa"/>
              <w:left w:w="58" w:type="dxa"/>
              <w:right w:w="58" w:type="dxa"/>
            </w:tcMar>
          </w:tcPr>
          <w:p w14:paraId="57B1A82C" w14:textId="77777777" w:rsidR="00F96912" w:rsidRPr="00754EC1" w:rsidRDefault="00F96912" w:rsidP="006658D5">
            <w:pPr>
              <w:keepNext/>
              <w:keepLines/>
              <w:jc w:val="center"/>
              <w:rPr>
                <w:b/>
                <w:color w:val="00B050"/>
                <w:sz w:val="16"/>
                <w:szCs w:val="16"/>
              </w:rPr>
            </w:pPr>
            <w:r w:rsidRPr="00754EC1">
              <w:rPr>
                <w:b/>
                <w:color w:val="00B050"/>
                <w:sz w:val="16"/>
                <w:szCs w:val="16"/>
              </w:rPr>
              <w:t>En bonne voie</w:t>
            </w:r>
          </w:p>
          <w:p w14:paraId="558D879C" w14:textId="77777777" w:rsidR="00F96912" w:rsidRPr="00754EC1" w:rsidRDefault="00F96912" w:rsidP="006658D5">
            <w:pPr>
              <w:keepNext/>
              <w:keepLines/>
              <w:jc w:val="center"/>
              <w:rPr>
                <w:b/>
                <w:color w:val="00B050"/>
                <w:sz w:val="16"/>
                <w:szCs w:val="16"/>
              </w:rPr>
            </w:pPr>
          </w:p>
          <w:p w14:paraId="31984D88" w14:textId="77777777" w:rsidR="00F96912" w:rsidRPr="00754EC1" w:rsidRDefault="00F96912" w:rsidP="006658D5">
            <w:pPr>
              <w:keepNext/>
              <w:keepLines/>
              <w:jc w:val="center"/>
              <w:rPr>
                <w:b/>
                <w:color w:val="00B050"/>
                <w:sz w:val="16"/>
                <w:szCs w:val="16"/>
              </w:rPr>
            </w:pPr>
          </w:p>
          <w:p w14:paraId="3AE3166D" w14:textId="77777777" w:rsidR="00F96912" w:rsidRPr="00754EC1" w:rsidRDefault="00F96912" w:rsidP="006658D5">
            <w:pPr>
              <w:keepNext/>
              <w:keepLines/>
              <w:jc w:val="center"/>
              <w:rPr>
                <w:b/>
                <w:color w:val="00B050"/>
                <w:sz w:val="16"/>
                <w:szCs w:val="16"/>
              </w:rPr>
            </w:pPr>
          </w:p>
          <w:p w14:paraId="34E01A08" w14:textId="77777777" w:rsidR="00F96912" w:rsidRDefault="00F96912" w:rsidP="006658D5">
            <w:pPr>
              <w:keepNext/>
              <w:keepLines/>
              <w:jc w:val="center"/>
              <w:rPr>
                <w:b/>
                <w:color w:val="00B050"/>
                <w:sz w:val="16"/>
                <w:szCs w:val="16"/>
              </w:rPr>
            </w:pPr>
          </w:p>
          <w:p w14:paraId="145374DC" w14:textId="77777777" w:rsidR="00F96912" w:rsidRPr="00754EC1" w:rsidRDefault="00F96912" w:rsidP="006658D5">
            <w:pPr>
              <w:keepNext/>
              <w:keepLines/>
              <w:jc w:val="center"/>
              <w:rPr>
                <w:b/>
                <w:color w:val="00B050"/>
                <w:sz w:val="16"/>
                <w:szCs w:val="16"/>
              </w:rPr>
            </w:pPr>
          </w:p>
          <w:p w14:paraId="60B6C821" w14:textId="77777777" w:rsidR="00F96912" w:rsidRPr="00754EC1" w:rsidRDefault="00F96912" w:rsidP="004E4A91">
            <w:pPr>
              <w:keepNext/>
              <w:keepLines/>
              <w:spacing w:after="60"/>
              <w:jc w:val="center"/>
              <w:rPr>
                <w:b/>
                <w:color w:val="00B050"/>
                <w:sz w:val="16"/>
                <w:szCs w:val="16"/>
              </w:rPr>
            </w:pPr>
            <w:r w:rsidRPr="00754EC1">
              <w:rPr>
                <w:b/>
                <w:color w:val="00B050"/>
                <w:sz w:val="16"/>
                <w:szCs w:val="16"/>
              </w:rPr>
              <w:t>En bonne voie</w:t>
            </w:r>
          </w:p>
          <w:p w14:paraId="5F287A45" w14:textId="77777777" w:rsidR="00F96912" w:rsidRPr="00754EC1" w:rsidRDefault="00F96912" w:rsidP="004E4A91">
            <w:pPr>
              <w:keepNext/>
              <w:keepLines/>
              <w:spacing w:after="60"/>
              <w:jc w:val="center"/>
              <w:rPr>
                <w:b/>
                <w:color w:val="00B050"/>
                <w:sz w:val="16"/>
                <w:szCs w:val="16"/>
              </w:rPr>
            </w:pPr>
            <w:r w:rsidRPr="00754EC1">
              <w:rPr>
                <w:b/>
                <w:color w:val="00B050"/>
                <w:sz w:val="16"/>
                <w:szCs w:val="16"/>
              </w:rPr>
              <w:t>En bonne voie</w:t>
            </w:r>
          </w:p>
          <w:p w14:paraId="2EE79291" w14:textId="77777777" w:rsidR="00F96912" w:rsidRPr="00754EC1" w:rsidRDefault="00F96912" w:rsidP="004E4A91">
            <w:pPr>
              <w:keepNext/>
              <w:keepLines/>
              <w:spacing w:after="60"/>
              <w:jc w:val="center"/>
              <w:rPr>
                <w:b/>
                <w:color w:val="00B050"/>
                <w:sz w:val="16"/>
                <w:szCs w:val="16"/>
              </w:rPr>
            </w:pPr>
            <w:r w:rsidRPr="00754EC1">
              <w:rPr>
                <w:b/>
                <w:color w:val="00B050"/>
                <w:sz w:val="16"/>
                <w:szCs w:val="16"/>
              </w:rPr>
              <w:t>En bonne voie</w:t>
            </w:r>
          </w:p>
          <w:p w14:paraId="04EE94EE" w14:textId="77777777" w:rsidR="00F96912" w:rsidRPr="00754EC1" w:rsidRDefault="00F96912" w:rsidP="004E4A91">
            <w:pPr>
              <w:keepNext/>
              <w:keepLines/>
              <w:spacing w:after="60"/>
              <w:jc w:val="center"/>
              <w:rPr>
                <w:b/>
                <w:color w:val="00B050"/>
                <w:sz w:val="16"/>
                <w:szCs w:val="16"/>
              </w:rPr>
            </w:pPr>
            <w:r w:rsidRPr="00754EC1">
              <w:rPr>
                <w:b/>
                <w:color w:val="00B050"/>
                <w:sz w:val="16"/>
                <w:szCs w:val="16"/>
              </w:rPr>
              <w:t>En bonne voie</w:t>
            </w:r>
          </w:p>
          <w:p w14:paraId="4FD4102E" w14:textId="77777777" w:rsidR="00F96912" w:rsidRPr="00754EC1" w:rsidRDefault="00F96912" w:rsidP="004E4A91">
            <w:pPr>
              <w:keepNext/>
              <w:keepLines/>
              <w:spacing w:after="60"/>
              <w:jc w:val="center"/>
              <w:rPr>
                <w:b/>
                <w:color w:val="FF0000"/>
                <w:sz w:val="16"/>
                <w:szCs w:val="16"/>
              </w:rPr>
            </w:pPr>
            <w:r w:rsidRPr="00754EC1">
              <w:rPr>
                <w:b/>
                <w:color w:val="FF0000"/>
                <w:sz w:val="16"/>
                <w:szCs w:val="16"/>
              </w:rPr>
              <w:t>Pas en bonne voie</w:t>
            </w:r>
          </w:p>
          <w:p w14:paraId="157D8483" w14:textId="77777777" w:rsidR="00F96912" w:rsidRPr="00754EC1" w:rsidRDefault="00F96912" w:rsidP="004E4A91">
            <w:pPr>
              <w:keepNext/>
              <w:keepLines/>
              <w:spacing w:after="60"/>
              <w:jc w:val="center"/>
              <w:rPr>
                <w:b/>
                <w:color w:val="000000"/>
                <w:sz w:val="16"/>
                <w:szCs w:val="16"/>
              </w:rPr>
            </w:pPr>
            <w:r w:rsidRPr="00754EC1">
              <w:rPr>
                <w:b/>
                <w:color w:val="FF0000"/>
                <w:sz w:val="16"/>
                <w:szCs w:val="16"/>
              </w:rPr>
              <w:t>Pas en bonne voie</w:t>
            </w:r>
          </w:p>
        </w:tc>
      </w:tr>
      <w:tr w:rsidR="00F96912" w:rsidRPr="00CD000E" w14:paraId="7A8E30D7" w14:textId="77777777" w:rsidTr="006658D5">
        <w:tc>
          <w:tcPr>
            <w:tcW w:w="997" w:type="pct"/>
            <w:shd w:val="clear" w:color="auto" w:fill="auto"/>
            <w:tcMar>
              <w:left w:w="58" w:type="dxa"/>
              <w:right w:w="58" w:type="dxa"/>
            </w:tcMar>
          </w:tcPr>
          <w:p w14:paraId="4AFF253B" w14:textId="77777777" w:rsidR="00F96912" w:rsidRPr="00CD000E" w:rsidRDefault="00F96912" w:rsidP="006658D5">
            <w:pPr>
              <w:rPr>
                <w:color w:val="000000"/>
                <w:sz w:val="16"/>
                <w:szCs w:val="16"/>
              </w:rPr>
            </w:pPr>
            <w:r w:rsidRPr="00CD000E">
              <w:rPr>
                <w:sz w:val="16"/>
                <w:szCs w:val="16"/>
              </w:rPr>
              <w:lastRenderedPageBreak/>
              <w:t>Influence de l’OMPI et participation des parties prenantes dans les médias sociaux</w:t>
            </w:r>
          </w:p>
        </w:tc>
        <w:tc>
          <w:tcPr>
            <w:tcW w:w="1303" w:type="pct"/>
            <w:shd w:val="clear" w:color="auto" w:fill="auto"/>
            <w:tcMar>
              <w:left w:w="58" w:type="dxa"/>
              <w:right w:w="58" w:type="dxa"/>
            </w:tcMar>
          </w:tcPr>
          <w:p w14:paraId="3944312F" w14:textId="77777777" w:rsidR="00F96912" w:rsidRPr="00754EC1" w:rsidRDefault="00F96912" w:rsidP="006658D5">
            <w:pPr>
              <w:rPr>
                <w:i/>
                <w:color w:val="002060"/>
                <w:sz w:val="16"/>
                <w:szCs w:val="16"/>
              </w:rPr>
            </w:pPr>
            <w:r w:rsidRPr="00754EC1">
              <w:rPr>
                <w:i/>
                <w:color w:val="002060"/>
                <w:sz w:val="16"/>
                <w:szCs w:val="16"/>
              </w:rPr>
              <w:t>Niveau de référence actualisé à fin 2015 :</w:t>
            </w:r>
          </w:p>
          <w:p w14:paraId="081FAF5F" w14:textId="77777777" w:rsidR="00F96912" w:rsidRPr="00754EC1" w:rsidRDefault="00F96912" w:rsidP="006658D5">
            <w:pPr>
              <w:rPr>
                <w:color w:val="002060"/>
                <w:sz w:val="16"/>
                <w:szCs w:val="16"/>
              </w:rPr>
            </w:pPr>
            <w:r w:rsidRPr="00754EC1">
              <w:rPr>
                <w:color w:val="002060"/>
                <w:sz w:val="16"/>
                <w:szCs w:val="16"/>
              </w:rPr>
              <w:t>i) nombre de favoris en 2015 : 6420 (2014 = 5121)</w:t>
            </w:r>
          </w:p>
          <w:p w14:paraId="42977414" w14:textId="77777777" w:rsidR="00F96912" w:rsidRPr="00754EC1" w:rsidRDefault="00F96912" w:rsidP="006658D5">
            <w:pPr>
              <w:rPr>
                <w:color w:val="002060"/>
                <w:sz w:val="16"/>
                <w:szCs w:val="16"/>
              </w:rPr>
            </w:pPr>
            <w:r w:rsidRPr="00754EC1">
              <w:rPr>
                <w:color w:val="002060"/>
                <w:sz w:val="16"/>
                <w:szCs w:val="16"/>
              </w:rPr>
              <w:t>Moyenne annuelle pour 2014</w:t>
            </w:r>
            <w:r w:rsidRPr="00754EC1">
              <w:rPr>
                <w:color w:val="002060"/>
                <w:sz w:val="16"/>
                <w:szCs w:val="16"/>
              </w:rPr>
              <w:noBreakHyphen/>
              <w:t>2015 = 5770</w:t>
            </w:r>
          </w:p>
          <w:p w14:paraId="474CEF51" w14:textId="77777777" w:rsidR="00F96912" w:rsidRPr="00754EC1" w:rsidRDefault="00F96912" w:rsidP="006658D5">
            <w:pPr>
              <w:rPr>
                <w:color w:val="002060"/>
                <w:sz w:val="16"/>
                <w:szCs w:val="16"/>
              </w:rPr>
            </w:pPr>
            <w:r w:rsidRPr="00754EC1">
              <w:rPr>
                <w:color w:val="002060"/>
                <w:sz w:val="16"/>
                <w:szCs w:val="16"/>
              </w:rPr>
              <w:t>ii) nombre total de retweets en 2015 : 14 820 (2014 = 11 920)</w:t>
            </w:r>
          </w:p>
          <w:p w14:paraId="6D85DE46" w14:textId="77777777" w:rsidR="00F96912" w:rsidRPr="00754EC1" w:rsidRDefault="00F96912" w:rsidP="006658D5">
            <w:pPr>
              <w:rPr>
                <w:color w:val="000000"/>
                <w:sz w:val="16"/>
                <w:szCs w:val="16"/>
              </w:rPr>
            </w:pPr>
            <w:r w:rsidRPr="00754EC1">
              <w:rPr>
                <w:color w:val="002060"/>
                <w:sz w:val="16"/>
                <w:szCs w:val="16"/>
              </w:rPr>
              <w:t>Moyenne annuelle pour 2014</w:t>
            </w:r>
            <w:r w:rsidRPr="00754EC1">
              <w:rPr>
                <w:color w:val="002060"/>
                <w:sz w:val="16"/>
                <w:szCs w:val="16"/>
              </w:rPr>
              <w:noBreakHyphen/>
              <w:t>2015 = 13 370</w:t>
            </w:r>
          </w:p>
          <w:p w14:paraId="43AD1A31" w14:textId="77777777" w:rsidR="00F96912" w:rsidRPr="00754EC1" w:rsidRDefault="00F96912" w:rsidP="006658D5">
            <w:pPr>
              <w:rPr>
                <w:i/>
                <w:sz w:val="16"/>
                <w:szCs w:val="16"/>
                <w:lang w:bidi="th-TH"/>
              </w:rPr>
            </w:pPr>
          </w:p>
          <w:p w14:paraId="62D29FE4" w14:textId="77777777" w:rsidR="00F96912" w:rsidRPr="00754EC1" w:rsidRDefault="00F96912" w:rsidP="006658D5">
            <w:pPr>
              <w:rPr>
                <w:i/>
                <w:sz w:val="16"/>
                <w:szCs w:val="16"/>
                <w:lang w:bidi="th-TH"/>
              </w:rPr>
            </w:pPr>
            <w:r w:rsidRPr="00754EC1">
              <w:rPr>
                <w:i/>
                <w:sz w:val="16"/>
                <w:szCs w:val="16"/>
                <w:lang w:bidi="th-TH"/>
              </w:rPr>
              <w:t>Niveau de référence initial dans le programme et budget 2016</w:t>
            </w:r>
            <w:r w:rsidRPr="00754EC1">
              <w:rPr>
                <w:i/>
                <w:sz w:val="16"/>
                <w:szCs w:val="16"/>
                <w:lang w:bidi="th-TH"/>
              </w:rPr>
              <w:noBreakHyphen/>
              <w:t>2017 :</w:t>
            </w:r>
          </w:p>
          <w:p w14:paraId="454CE2B7" w14:textId="77777777" w:rsidR="00F96912" w:rsidRPr="00754EC1" w:rsidRDefault="00F96912" w:rsidP="006658D5">
            <w:pPr>
              <w:rPr>
                <w:color w:val="000000"/>
                <w:sz w:val="16"/>
                <w:szCs w:val="16"/>
              </w:rPr>
            </w:pPr>
            <w:r w:rsidRPr="00754EC1">
              <w:rPr>
                <w:color w:val="000000"/>
                <w:sz w:val="16"/>
                <w:szCs w:val="16"/>
              </w:rPr>
              <w:t>i) nombre de favoris</w:t>
            </w:r>
          </w:p>
          <w:p w14:paraId="31A26E1C" w14:textId="77777777" w:rsidR="00F96912" w:rsidRPr="00754EC1" w:rsidRDefault="00F96912" w:rsidP="006658D5">
            <w:pPr>
              <w:rPr>
                <w:color w:val="000000"/>
                <w:sz w:val="16"/>
                <w:szCs w:val="16"/>
              </w:rPr>
            </w:pPr>
            <w:r w:rsidRPr="00754EC1">
              <w:rPr>
                <w:color w:val="000000"/>
                <w:sz w:val="16"/>
                <w:szCs w:val="16"/>
              </w:rPr>
              <w:t>(2014 = 5121)</w:t>
            </w:r>
            <w:r w:rsidRPr="00754EC1">
              <w:rPr>
                <w:color w:val="000000"/>
                <w:sz w:val="16"/>
                <w:szCs w:val="16"/>
              </w:rPr>
              <w:br/>
              <w:t>ii) nombre total de retweets</w:t>
            </w:r>
          </w:p>
          <w:p w14:paraId="3F66E3AA" w14:textId="77777777" w:rsidR="00F96912" w:rsidRPr="00754EC1" w:rsidRDefault="00F96912" w:rsidP="006658D5">
            <w:pPr>
              <w:rPr>
                <w:sz w:val="16"/>
                <w:szCs w:val="16"/>
              </w:rPr>
            </w:pPr>
            <w:r w:rsidRPr="00754EC1">
              <w:rPr>
                <w:color w:val="000000"/>
                <w:sz w:val="16"/>
                <w:szCs w:val="16"/>
              </w:rPr>
              <w:t>(2014 = 11 920)</w:t>
            </w:r>
          </w:p>
        </w:tc>
        <w:tc>
          <w:tcPr>
            <w:tcW w:w="868" w:type="pct"/>
            <w:shd w:val="clear" w:color="auto" w:fill="auto"/>
            <w:tcMar>
              <w:top w:w="110" w:type="dxa"/>
              <w:left w:w="58" w:type="dxa"/>
              <w:right w:w="58" w:type="dxa"/>
            </w:tcMar>
          </w:tcPr>
          <w:p w14:paraId="6938D323" w14:textId="77777777" w:rsidR="00F96912" w:rsidRPr="00754EC1" w:rsidRDefault="00F96912" w:rsidP="006658D5">
            <w:pPr>
              <w:rPr>
                <w:color w:val="000000"/>
                <w:sz w:val="16"/>
                <w:szCs w:val="16"/>
              </w:rPr>
            </w:pPr>
            <w:r w:rsidRPr="00754EC1">
              <w:rPr>
                <w:color w:val="000000"/>
                <w:sz w:val="16"/>
                <w:szCs w:val="16"/>
              </w:rPr>
              <w:t>i) +25% du nombre annuel de tweets de l’OMPI ajoutés aux favoris</w:t>
            </w:r>
            <w:r w:rsidRPr="00754EC1">
              <w:rPr>
                <w:color w:val="000000"/>
                <w:sz w:val="16"/>
                <w:szCs w:val="16"/>
              </w:rPr>
              <w:br/>
            </w:r>
          </w:p>
          <w:p w14:paraId="4408D283" w14:textId="77777777" w:rsidR="00F96912" w:rsidRPr="00754EC1" w:rsidRDefault="00F96912" w:rsidP="006658D5">
            <w:pPr>
              <w:rPr>
                <w:color w:val="000000"/>
                <w:sz w:val="16"/>
                <w:szCs w:val="16"/>
              </w:rPr>
            </w:pPr>
            <w:r w:rsidRPr="00754EC1">
              <w:rPr>
                <w:sz w:val="16"/>
                <w:szCs w:val="16"/>
              </w:rPr>
              <w:t>ii) augmentation de 15% du nombre annuel total de messages transférés</w:t>
            </w:r>
          </w:p>
        </w:tc>
        <w:tc>
          <w:tcPr>
            <w:tcW w:w="1109" w:type="pct"/>
            <w:shd w:val="clear" w:color="auto" w:fill="FFFFFF"/>
            <w:tcMar>
              <w:top w:w="110" w:type="dxa"/>
              <w:left w:w="58" w:type="dxa"/>
              <w:right w:w="58" w:type="dxa"/>
            </w:tcMar>
          </w:tcPr>
          <w:p w14:paraId="2180BB8A" w14:textId="77777777" w:rsidR="00F96912" w:rsidRPr="00754EC1" w:rsidRDefault="00F96912" w:rsidP="006658D5">
            <w:pPr>
              <w:keepNext/>
              <w:keepLines/>
              <w:rPr>
                <w:color w:val="000000"/>
                <w:sz w:val="16"/>
                <w:szCs w:val="16"/>
              </w:rPr>
            </w:pPr>
            <w:r w:rsidRPr="00754EC1">
              <w:rPr>
                <w:color w:val="000000"/>
                <w:sz w:val="16"/>
                <w:szCs w:val="16"/>
              </w:rPr>
              <w:t>i) 13 289 “j’aime</w:t>
            </w:r>
            <w:r w:rsidRPr="00754EC1">
              <w:rPr>
                <w:rStyle w:val="FootnoteReference"/>
                <w:rFonts w:cs="Arial"/>
                <w:color w:val="000000"/>
                <w:szCs w:val="16"/>
              </w:rPr>
              <w:footnoteReference w:id="80"/>
            </w:r>
            <w:r w:rsidRPr="00754EC1">
              <w:rPr>
                <w:color w:val="000000"/>
                <w:sz w:val="16"/>
                <w:szCs w:val="16"/>
              </w:rPr>
              <w:t>”</w:t>
            </w:r>
          </w:p>
          <w:p w14:paraId="62A76FB4" w14:textId="77777777" w:rsidR="00F96912" w:rsidRPr="00754EC1" w:rsidRDefault="00F96912" w:rsidP="006658D5">
            <w:pPr>
              <w:keepNext/>
              <w:keepLines/>
              <w:rPr>
                <w:color w:val="000000"/>
                <w:sz w:val="16"/>
                <w:szCs w:val="16"/>
              </w:rPr>
            </w:pPr>
            <w:r w:rsidRPr="00754EC1">
              <w:rPr>
                <w:color w:val="000000"/>
                <w:sz w:val="16"/>
                <w:szCs w:val="16"/>
              </w:rPr>
              <w:t>(+107% par rapport à 2015)</w:t>
            </w:r>
          </w:p>
          <w:p w14:paraId="4C752CAC" w14:textId="77777777" w:rsidR="00F96912" w:rsidRPr="00754EC1" w:rsidRDefault="00F96912" w:rsidP="006658D5">
            <w:pPr>
              <w:keepNext/>
              <w:keepLines/>
              <w:rPr>
                <w:sz w:val="16"/>
                <w:szCs w:val="16"/>
              </w:rPr>
            </w:pPr>
          </w:p>
          <w:p w14:paraId="463FABFC" w14:textId="77777777" w:rsidR="00F96912" w:rsidRPr="00754EC1" w:rsidRDefault="00F96912" w:rsidP="006658D5">
            <w:pPr>
              <w:keepNext/>
              <w:keepLines/>
              <w:rPr>
                <w:sz w:val="16"/>
                <w:szCs w:val="16"/>
              </w:rPr>
            </w:pPr>
          </w:p>
          <w:p w14:paraId="13B5B2CC" w14:textId="77777777" w:rsidR="00F96912" w:rsidRPr="00754EC1" w:rsidRDefault="00F96912" w:rsidP="006658D5">
            <w:pPr>
              <w:keepNext/>
              <w:keepLines/>
              <w:rPr>
                <w:color w:val="000000"/>
                <w:sz w:val="16"/>
                <w:szCs w:val="16"/>
              </w:rPr>
            </w:pPr>
            <w:r w:rsidRPr="00754EC1">
              <w:rPr>
                <w:color w:val="000000"/>
                <w:sz w:val="16"/>
                <w:szCs w:val="16"/>
              </w:rPr>
              <w:t>ii) 19 715 retweets</w:t>
            </w:r>
          </w:p>
          <w:p w14:paraId="3C990431" w14:textId="77777777" w:rsidR="00F96912" w:rsidRPr="00754EC1" w:rsidRDefault="00F96912" w:rsidP="006658D5">
            <w:pPr>
              <w:keepNext/>
              <w:keepLines/>
              <w:rPr>
                <w:color w:val="000000"/>
                <w:sz w:val="16"/>
                <w:szCs w:val="16"/>
              </w:rPr>
            </w:pPr>
            <w:r w:rsidRPr="00754EC1">
              <w:rPr>
                <w:color w:val="000000"/>
                <w:sz w:val="16"/>
                <w:szCs w:val="16"/>
              </w:rPr>
              <w:t>(+33% par rapport à 2015)</w:t>
            </w:r>
          </w:p>
        </w:tc>
        <w:tc>
          <w:tcPr>
            <w:tcW w:w="723" w:type="pct"/>
            <w:shd w:val="clear" w:color="auto" w:fill="auto"/>
            <w:tcMar>
              <w:top w:w="110" w:type="dxa"/>
              <w:left w:w="58" w:type="dxa"/>
              <w:right w:w="58" w:type="dxa"/>
            </w:tcMar>
          </w:tcPr>
          <w:p w14:paraId="55429B99"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77582794" w14:textId="77777777" w:rsidR="00F96912" w:rsidRPr="00CD000E" w:rsidRDefault="00F96912" w:rsidP="006658D5">
            <w:pPr>
              <w:keepNext/>
              <w:keepLines/>
              <w:jc w:val="center"/>
              <w:rPr>
                <w:b/>
                <w:color w:val="00B050"/>
                <w:sz w:val="16"/>
                <w:szCs w:val="16"/>
              </w:rPr>
            </w:pPr>
          </w:p>
          <w:p w14:paraId="0BF3414B" w14:textId="77777777" w:rsidR="00F96912" w:rsidRPr="00CD000E" w:rsidRDefault="00F96912" w:rsidP="006658D5">
            <w:pPr>
              <w:keepNext/>
              <w:keepLines/>
              <w:jc w:val="center"/>
              <w:rPr>
                <w:b/>
                <w:color w:val="00B050"/>
                <w:sz w:val="16"/>
                <w:szCs w:val="16"/>
              </w:rPr>
            </w:pPr>
          </w:p>
          <w:p w14:paraId="0E1C9CB6" w14:textId="77777777" w:rsidR="00F96912" w:rsidRPr="00CD000E" w:rsidRDefault="00F96912" w:rsidP="006658D5">
            <w:pPr>
              <w:keepNext/>
              <w:keepLines/>
              <w:jc w:val="center"/>
              <w:rPr>
                <w:b/>
                <w:color w:val="00B050"/>
                <w:sz w:val="16"/>
                <w:szCs w:val="16"/>
              </w:rPr>
            </w:pPr>
          </w:p>
          <w:p w14:paraId="7AB4AA03" w14:textId="77777777" w:rsidR="00F96912" w:rsidRPr="00CD000E" w:rsidRDefault="00F96912" w:rsidP="006658D5">
            <w:pPr>
              <w:keepNext/>
              <w:keepLines/>
              <w:jc w:val="center"/>
              <w:rPr>
                <w:b/>
                <w:color w:val="00B050"/>
                <w:sz w:val="16"/>
                <w:szCs w:val="16"/>
              </w:rPr>
            </w:pPr>
          </w:p>
          <w:p w14:paraId="7FEB2242"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30CA9466" w14:textId="77777777" w:rsidTr="006658D5">
        <w:tc>
          <w:tcPr>
            <w:tcW w:w="5000" w:type="pct"/>
            <w:gridSpan w:val="5"/>
            <w:shd w:val="clear" w:color="auto" w:fill="C6D9F1" w:themeFill="text2" w:themeFillTint="33"/>
            <w:tcMar>
              <w:left w:w="58" w:type="dxa"/>
              <w:right w:w="58" w:type="dxa"/>
            </w:tcMar>
            <w:vAlign w:val="center"/>
          </w:tcPr>
          <w:p w14:paraId="3BF4937A" w14:textId="77777777" w:rsidR="00F96912" w:rsidRPr="00CD000E" w:rsidRDefault="00F96912" w:rsidP="006658D5">
            <w:pPr>
              <w:keepNext/>
              <w:keepLines/>
              <w:tabs>
                <w:tab w:val="left" w:pos="1452"/>
              </w:tabs>
              <w:rPr>
                <w:b/>
                <w:bCs/>
                <w:sz w:val="16"/>
                <w:szCs w:val="16"/>
              </w:rPr>
            </w:pPr>
            <w:r w:rsidRPr="00CD000E">
              <w:rPr>
                <w:b/>
                <w:bCs/>
                <w:sz w:val="16"/>
                <w:szCs w:val="16"/>
              </w:rPr>
              <w:t xml:space="preserve">Résultat escompté : </w:t>
            </w:r>
            <w:r w:rsidRPr="00CD000E">
              <w:rPr>
                <w:bCs/>
                <w:sz w:val="16"/>
                <w:szCs w:val="16"/>
              </w:rPr>
              <w:t>VIII.2 Amélioration de l’orientation vers les services et de la réactivité à la demande</w:t>
            </w:r>
          </w:p>
        </w:tc>
      </w:tr>
      <w:tr w:rsidR="00F96912" w:rsidRPr="00CD000E" w14:paraId="0B84344B" w14:textId="77777777" w:rsidTr="006658D5">
        <w:tc>
          <w:tcPr>
            <w:tcW w:w="997" w:type="pct"/>
            <w:shd w:val="clear" w:color="auto" w:fill="auto"/>
            <w:tcMar>
              <w:left w:w="58" w:type="dxa"/>
              <w:right w:w="58" w:type="dxa"/>
            </w:tcMar>
            <w:vAlign w:val="center"/>
          </w:tcPr>
          <w:p w14:paraId="66ABE82A" w14:textId="77777777" w:rsidR="00F96912" w:rsidRPr="00CD000E" w:rsidRDefault="00F96912" w:rsidP="006658D5">
            <w:pPr>
              <w:keepNext/>
              <w:keepLines/>
              <w:jc w:val="center"/>
              <w:rPr>
                <w:b/>
                <w:bCs/>
                <w:sz w:val="16"/>
                <w:szCs w:val="16"/>
              </w:rPr>
            </w:pPr>
            <w:r w:rsidRPr="00CD000E">
              <w:rPr>
                <w:b/>
                <w:bCs/>
                <w:sz w:val="16"/>
                <w:szCs w:val="16"/>
              </w:rPr>
              <w:t>Indicateurs d’exécution</w:t>
            </w:r>
          </w:p>
        </w:tc>
        <w:tc>
          <w:tcPr>
            <w:tcW w:w="1303" w:type="pct"/>
            <w:shd w:val="clear" w:color="auto" w:fill="auto"/>
            <w:tcMar>
              <w:left w:w="58" w:type="dxa"/>
              <w:right w:w="58" w:type="dxa"/>
            </w:tcMar>
            <w:vAlign w:val="center"/>
          </w:tcPr>
          <w:p w14:paraId="6BF68EAA" w14:textId="77777777" w:rsidR="00F96912" w:rsidRPr="00CD000E" w:rsidRDefault="00F96912" w:rsidP="006658D5">
            <w:pPr>
              <w:keepNext/>
              <w:keepLines/>
              <w:jc w:val="center"/>
              <w:rPr>
                <w:b/>
                <w:bCs/>
                <w:sz w:val="16"/>
                <w:szCs w:val="16"/>
              </w:rPr>
            </w:pPr>
            <w:r w:rsidRPr="00CD000E">
              <w:rPr>
                <w:b/>
                <w:bCs/>
                <w:sz w:val="16"/>
                <w:szCs w:val="16"/>
              </w:rPr>
              <w:t>Niveaux de référence</w:t>
            </w:r>
          </w:p>
        </w:tc>
        <w:tc>
          <w:tcPr>
            <w:tcW w:w="868" w:type="pct"/>
            <w:shd w:val="clear" w:color="auto" w:fill="auto"/>
            <w:tcMar>
              <w:top w:w="110" w:type="dxa"/>
              <w:left w:w="58" w:type="dxa"/>
              <w:right w:w="58" w:type="dxa"/>
            </w:tcMar>
            <w:vAlign w:val="center"/>
          </w:tcPr>
          <w:p w14:paraId="6CCBEFD0" w14:textId="77777777" w:rsidR="00F96912" w:rsidRPr="00CD000E" w:rsidRDefault="00F96912" w:rsidP="006658D5">
            <w:pPr>
              <w:keepNext/>
              <w:keepLines/>
              <w:jc w:val="center"/>
              <w:rPr>
                <w:b/>
                <w:bCs/>
                <w:sz w:val="16"/>
                <w:szCs w:val="16"/>
              </w:rPr>
            </w:pPr>
            <w:r w:rsidRPr="00CD000E">
              <w:rPr>
                <w:b/>
                <w:bCs/>
                <w:sz w:val="16"/>
                <w:szCs w:val="16"/>
              </w:rPr>
              <w:t>Objectifs visés</w:t>
            </w:r>
          </w:p>
        </w:tc>
        <w:tc>
          <w:tcPr>
            <w:tcW w:w="1109" w:type="pct"/>
            <w:shd w:val="clear" w:color="auto" w:fill="FFFFFF"/>
            <w:tcMar>
              <w:top w:w="110" w:type="dxa"/>
              <w:left w:w="58" w:type="dxa"/>
              <w:right w:w="58" w:type="dxa"/>
            </w:tcMar>
            <w:vAlign w:val="center"/>
          </w:tcPr>
          <w:p w14:paraId="66BBF985" w14:textId="77777777" w:rsidR="00F96912" w:rsidRPr="00CD000E" w:rsidRDefault="00F96912" w:rsidP="006658D5">
            <w:pPr>
              <w:keepNext/>
              <w:keepLines/>
              <w:jc w:val="center"/>
              <w:rPr>
                <w:b/>
                <w:bCs/>
                <w:sz w:val="16"/>
                <w:szCs w:val="16"/>
              </w:rPr>
            </w:pPr>
            <w:r w:rsidRPr="00CD000E">
              <w:rPr>
                <w:b/>
                <w:bCs/>
                <w:sz w:val="16"/>
                <w:szCs w:val="16"/>
              </w:rPr>
              <w:t>Données relatives à l’exécution</w:t>
            </w:r>
          </w:p>
        </w:tc>
        <w:tc>
          <w:tcPr>
            <w:tcW w:w="723" w:type="pct"/>
            <w:shd w:val="clear" w:color="auto" w:fill="auto"/>
            <w:tcMar>
              <w:top w:w="110" w:type="dxa"/>
              <w:left w:w="58" w:type="dxa"/>
              <w:right w:w="58" w:type="dxa"/>
            </w:tcMar>
            <w:vAlign w:val="center"/>
          </w:tcPr>
          <w:p w14:paraId="54604000"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0BE65437" w14:textId="77777777" w:rsidTr="006658D5">
        <w:tc>
          <w:tcPr>
            <w:tcW w:w="997" w:type="pct"/>
            <w:shd w:val="clear" w:color="auto" w:fill="auto"/>
            <w:tcMar>
              <w:left w:w="58" w:type="dxa"/>
              <w:right w:w="58" w:type="dxa"/>
            </w:tcMar>
          </w:tcPr>
          <w:p w14:paraId="69D6D120" w14:textId="77777777" w:rsidR="00F96912" w:rsidRPr="00CD000E" w:rsidRDefault="00F96912" w:rsidP="006658D5">
            <w:pPr>
              <w:keepNext/>
              <w:keepLines/>
              <w:rPr>
                <w:color w:val="000000"/>
                <w:sz w:val="16"/>
                <w:szCs w:val="16"/>
              </w:rPr>
            </w:pPr>
            <w:r w:rsidRPr="00CD000E">
              <w:rPr>
                <w:sz w:val="16"/>
                <w:szCs w:val="16"/>
              </w:rPr>
              <w:t>Utilisateurs satisfaits des services de la Bibliothèque</w:t>
            </w:r>
          </w:p>
        </w:tc>
        <w:tc>
          <w:tcPr>
            <w:tcW w:w="1303" w:type="pct"/>
            <w:shd w:val="clear" w:color="auto" w:fill="auto"/>
            <w:tcMar>
              <w:left w:w="58" w:type="dxa"/>
              <w:right w:w="58" w:type="dxa"/>
            </w:tcMar>
          </w:tcPr>
          <w:p w14:paraId="71219515" w14:textId="77777777" w:rsidR="00F96912" w:rsidRPr="00754EC1" w:rsidRDefault="00F96912" w:rsidP="006658D5">
            <w:pPr>
              <w:keepNext/>
              <w:keepLines/>
              <w:rPr>
                <w:i/>
                <w:color w:val="002060"/>
                <w:sz w:val="16"/>
                <w:szCs w:val="16"/>
              </w:rPr>
            </w:pPr>
            <w:r w:rsidRPr="00754EC1">
              <w:rPr>
                <w:i/>
                <w:color w:val="002060"/>
                <w:sz w:val="16"/>
                <w:szCs w:val="16"/>
              </w:rPr>
              <w:t>Niveau de référence actualisé à fin 2015 :</w:t>
            </w:r>
          </w:p>
          <w:p w14:paraId="30614C61" w14:textId="77777777" w:rsidR="00F96912" w:rsidRPr="00754EC1" w:rsidRDefault="00F96912" w:rsidP="006658D5">
            <w:pPr>
              <w:keepNext/>
              <w:keepLines/>
              <w:rPr>
                <w:color w:val="002060"/>
                <w:sz w:val="16"/>
                <w:szCs w:val="16"/>
              </w:rPr>
            </w:pPr>
            <w:r w:rsidRPr="00754EC1">
              <w:rPr>
                <w:color w:val="002060"/>
                <w:sz w:val="16"/>
                <w:szCs w:val="16"/>
              </w:rPr>
              <w:t>70% des participants au questionnaire de satisfaction auprès des utilisateurs de la Bibliothèque étaient très satisfaits des services (100% de satisfaits ou très satisfaits)</w:t>
            </w:r>
          </w:p>
          <w:p w14:paraId="1FBBE18F" w14:textId="77777777" w:rsidR="00F96912" w:rsidRPr="00754EC1" w:rsidRDefault="00F96912" w:rsidP="006658D5">
            <w:pPr>
              <w:keepNext/>
              <w:keepLines/>
              <w:rPr>
                <w:color w:val="000000"/>
                <w:sz w:val="16"/>
                <w:szCs w:val="16"/>
              </w:rPr>
            </w:pPr>
          </w:p>
          <w:p w14:paraId="05C8E6E5" w14:textId="77777777" w:rsidR="00F96912" w:rsidRPr="00754EC1" w:rsidRDefault="00F96912" w:rsidP="006658D5">
            <w:pPr>
              <w:keepNext/>
              <w:keepLines/>
              <w:rPr>
                <w:i/>
                <w:sz w:val="16"/>
                <w:szCs w:val="16"/>
                <w:lang w:bidi="th-TH"/>
              </w:rPr>
            </w:pPr>
            <w:r w:rsidRPr="00754EC1">
              <w:rPr>
                <w:i/>
                <w:sz w:val="16"/>
                <w:szCs w:val="16"/>
                <w:lang w:bidi="th-TH"/>
              </w:rPr>
              <w:t>Niveau de référence initial dans le programme et budget 2016</w:t>
            </w:r>
            <w:r w:rsidRPr="00754EC1">
              <w:rPr>
                <w:i/>
                <w:sz w:val="16"/>
                <w:szCs w:val="16"/>
                <w:lang w:bidi="th-TH"/>
              </w:rPr>
              <w:noBreakHyphen/>
              <w:t>2017 :</w:t>
            </w:r>
          </w:p>
          <w:p w14:paraId="074E9EA9" w14:textId="77777777" w:rsidR="00F96912" w:rsidRPr="00754EC1" w:rsidRDefault="00F96912" w:rsidP="006658D5">
            <w:pPr>
              <w:keepNext/>
              <w:keepLines/>
              <w:rPr>
                <w:color w:val="000000"/>
                <w:sz w:val="16"/>
                <w:szCs w:val="16"/>
              </w:rPr>
            </w:pPr>
            <w:r w:rsidRPr="00754EC1">
              <w:rPr>
                <w:sz w:val="16"/>
                <w:szCs w:val="16"/>
              </w:rPr>
              <w:t>72,2% des participants au questionnaire de satisfaction auprès des utilisateurs des services de la Bibliothèque en 2014 étaient très satisfaits</w:t>
            </w:r>
            <w:r w:rsidRPr="00754EC1">
              <w:rPr>
                <w:color w:val="000000"/>
                <w:sz w:val="16"/>
                <w:szCs w:val="16"/>
              </w:rPr>
              <w:t xml:space="preserve"> </w:t>
            </w:r>
          </w:p>
        </w:tc>
        <w:tc>
          <w:tcPr>
            <w:tcW w:w="868" w:type="pct"/>
            <w:shd w:val="clear" w:color="auto" w:fill="auto"/>
            <w:tcMar>
              <w:top w:w="110" w:type="dxa"/>
              <w:left w:w="58" w:type="dxa"/>
              <w:right w:w="58" w:type="dxa"/>
            </w:tcMar>
          </w:tcPr>
          <w:p w14:paraId="6E296719" w14:textId="77777777" w:rsidR="00F96912" w:rsidRPr="00754EC1" w:rsidRDefault="00F96912" w:rsidP="006658D5">
            <w:pPr>
              <w:keepNext/>
              <w:keepLines/>
              <w:rPr>
                <w:color w:val="000000"/>
                <w:sz w:val="16"/>
                <w:szCs w:val="16"/>
              </w:rPr>
            </w:pPr>
            <w:r w:rsidRPr="00754EC1">
              <w:rPr>
                <w:sz w:val="16"/>
                <w:szCs w:val="16"/>
              </w:rPr>
              <w:t>≥ 70% de visiteurs et d’utilisateurs en ligne très satisfaits</w:t>
            </w:r>
          </w:p>
        </w:tc>
        <w:tc>
          <w:tcPr>
            <w:tcW w:w="1109" w:type="pct"/>
            <w:shd w:val="clear" w:color="auto" w:fill="FFFFFF"/>
            <w:tcMar>
              <w:top w:w="110" w:type="dxa"/>
              <w:left w:w="58" w:type="dxa"/>
              <w:right w:w="58" w:type="dxa"/>
            </w:tcMar>
          </w:tcPr>
          <w:p w14:paraId="456522A4" w14:textId="77777777" w:rsidR="00F96912" w:rsidRPr="00754EC1" w:rsidRDefault="00F96912" w:rsidP="006658D5">
            <w:pPr>
              <w:keepNext/>
              <w:keepLines/>
              <w:rPr>
                <w:color w:val="000000"/>
                <w:sz w:val="16"/>
                <w:szCs w:val="16"/>
              </w:rPr>
            </w:pPr>
            <w:r w:rsidRPr="00754EC1">
              <w:rPr>
                <w:sz w:val="16"/>
                <w:szCs w:val="16"/>
              </w:rPr>
              <w:t xml:space="preserve">70% de clients très satisfaits (“excellent”) </w:t>
            </w:r>
          </w:p>
        </w:tc>
        <w:tc>
          <w:tcPr>
            <w:tcW w:w="723" w:type="pct"/>
            <w:shd w:val="clear" w:color="auto" w:fill="auto"/>
            <w:tcMar>
              <w:top w:w="110" w:type="dxa"/>
              <w:left w:w="58" w:type="dxa"/>
              <w:right w:w="58" w:type="dxa"/>
            </w:tcMar>
          </w:tcPr>
          <w:p w14:paraId="53EED175"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175C5742" w14:textId="77777777" w:rsidTr="006658D5">
        <w:tc>
          <w:tcPr>
            <w:tcW w:w="997" w:type="pct"/>
            <w:shd w:val="clear" w:color="auto" w:fill="auto"/>
            <w:tcMar>
              <w:left w:w="58" w:type="dxa"/>
              <w:right w:w="58" w:type="dxa"/>
            </w:tcMar>
          </w:tcPr>
          <w:p w14:paraId="1E398C3D" w14:textId="77777777" w:rsidR="00F96912" w:rsidRPr="00CD000E" w:rsidRDefault="00F96912" w:rsidP="006658D5">
            <w:pPr>
              <w:keepNext/>
              <w:keepLines/>
              <w:rPr>
                <w:color w:val="000000"/>
                <w:sz w:val="16"/>
                <w:szCs w:val="16"/>
              </w:rPr>
            </w:pPr>
            <w:r w:rsidRPr="00CD000E">
              <w:rPr>
                <w:sz w:val="16"/>
                <w:szCs w:val="16"/>
              </w:rPr>
              <w:t>Taux de satisfaction des clients et des parties prenantes</w:t>
            </w:r>
          </w:p>
        </w:tc>
        <w:tc>
          <w:tcPr>
            <w:tcW w:w="1303" w:type="pct"/>
            <w:shd w:val="clear" w:color="auto" w:fill="auto"/>
            <w:tcMar>
              <w:left w:w="58" w:type="dxa"/>
              <w:right w:w="58" w:type="dxa"/>
            </w:tcMar>
          </w:tcPr>
          <w:p w14:paraId="20C5B3DD" w14:textId="77777777" w:rsidR="00F96912" w:rsidRPr="00754EC1" w:rsidRDefault="00F96912" w:rsidP="006658D5">
            <w:pPr>
              <w:keepNext/>
              <w:keepLines/>
              <w:rPr>
                <w:i/>
                <w:color w:val="002060"/>
                <w:sz w:val="16"/>
                <w:szCs w:val="16"/>
              </w:rPr>
            </w:pPr>
            <w:r w:rsidRPr="00754EC1">
              <w:rPr>
                <w:i/>
                <w:color w:val="002060"/>
                <w:sz w:val="16"/>
                <w:szCs w:val="16"/>
              </w:rPr>
              <w:t>Niveau de référence actualisé à fin 2015 :</w:t>
            </w:r>
          </w:p>
          <w:p w14:paraId="5B91E57F" w14:textId="77777777" w:rsidR="00F96912" w:rsidRPr="00754EC1" w:rsidRDefault="00F96912" w:rsidP="006658D5">
            <w:pPr>
              <w:keepNext/>
              <w:keepLines/>
              <w:rPr>
                <w:color w:val="002060"/>
                <w:sz w:val="16"/>
                <w:szCs w:val="16"/>
              </w:rPr>
            </w:pPr>
            <w:r w:rsidRPr="00754EC1">
              <w:rPr>
                <w:color w:val="002060"/>
                <w:sz w:val="16"/>
                <w:szCs w:val="16"/>
              </w:rPr>
              <w:t>Un total de 85% des clients du PCT et de Madrid se sont déclarés satisfaits ou très satisfaits :</w:t>
            </w:r>
          </w:p>
          <w:p w14:paraId="071E2C88" w14:textId="77777777" w:rsidR="00F96912" w:rsidRPr="00754EC1" w:rsidRDefault="00F96912" w:rsidP="006658D5">
            <w:pPr>
              <w:keepNext/>
              <w:keepLines/>
              <w:rPr>
                <w:color w:val="002060"/>
                <w:sz w:val="16"/>
                <w:szCs w:val="16"/>
              </w:rPr>
            </w:pPr>
            <w:r w:rsidRPr="00754EC1">
              <w:rPr>
                <w:color w:val="002060"/>
                <w:sz w:val="16"/>
                <w:szCs w:val="16"/>
              </w:rPr>
              <w:t>PCT = 89%</w:t>
            </w:r>
          </w:p>
          <w:p w14:paraId="2B9F0665" w14:textId="77777777" w:rsidR="00F96912" w:rsidRPr="00754EC1" w:rsidRDefault="00F96912" w:rsidP="006658D5">
            <w:pPr>
              <w:keepNext/>
              <w:keepLines/>
              <w:rPr>
                <w:color w:val="002060"/>
                <w:sz w:val="16"/>
                <w:szCs w:val="16"/>
              </w:rPr>
            </w:pPr>
            <w:r w:rsidRPr="00754EC1">
              <w:rPr>
                <w:color w:val="002060"/>
                <w:sz w:val="16"/>
                <w:szCs w:val="16"/>
              </w:rPr>
              <w:t>Madrid = 81%</w:t>
            </w:r>
          </w:p>
          <w:p w14:paraId="0EC511E2" w14:textId="77777777" w:rsidR="00F96912" w:rsidRPr="00754EC1" w:rsidRDefault="00F96912" w:rsidP="006658D5">
            <w:pPr>
              <w:keepNext/>
              <w:keepLines/>
              <w:rPr>
                <w:color w:val="002060"/>
                <w:sz w:val="16"/>
                <w:szCs w:val="16"/>
              </w:rPr>
            </w:pPr>
            <w:r w:rsidRPr="00754EC1">
              <w:rPr>
                <w:color w:val="002060"/>
                <w:sz w:val="16"/>
                <w:szCs w:val="16"/>
              </w:rPr>
              <w:t>La satisfaction des clients du système de La Haye n’a pas été évaluée en 2014</w:t>
            </w:r>
            <w:r w:rsidRPr="00754EC1">
              <w:rPr>
                <w:color w:val="002060"/>
                <w:sz w:val="16"/>
                <w:szCs w:val="16"/>
              </w:rPr>
              <w:noBreakHyphen/>
              <w:t>2015.</w:t>
            </w:r>
          </w:p>
          <w:p w14:paraId="394BBFA1" w14:textId="77777777" w:rsidR="00F96912" w:rsidRPr="00754EC1" w:rsidRDefault="00F96912" w:rsidP="006658D5">
            <w:pPr>
              <w:keepNext/>
              <w:keepLines/>
              <w:rPr>
                <w:color w:val="000000"/>
                <w:sz w:val="16"/>
                <w:szCs w:val="16"/>
              </w:rPr>
            </w:pPr>
          </w:p>
          <w:p w14:paraId="09CCF40B" w14:textId="77777777" w:rsidR="005A435C" w:rsidRDefault="005A435C" w:rsidP="006658D5">
            <w:pPr>
              <w:keepNext/>
              <w:keepLines/>
              <w:rPr>
                <w:i/>
                <w:sz w:val="16"/>
                <w:szCs w:val="16"/>
                <w:lang w:bidi="th-TH"/>
              </w:rPr>
            </w:pPr>
          </w:p>
          <w:p w14:paraId="16BAF888" w14:textId="77777777" w:rsidR="005A435C" w:rsidRDefault="005A435C" w:rsidP="006658D5">
            <w:pPr>
              <w:keepNext/>
              <w:keepLines/>
              <w:rPr>
                <w:i/>
                <w:sz w:val="16"/>
                <w:szCs w:val="16"/>
                <w:lang w:bidi="th-TH"/>
              </w:rPr>
            </w:pPr>
          </w:p>
          <w:p w14:paraId="2A0343A1" w14:textId="77777777" w:rsidR="00F96912" w:rsidRPr="00754EC1" w:rsidRDefault="00F96912" w:rsidP="006658D5">
            <w:pPr>
              <w:keepNext/>
              <w:keepLines/>
              <w:rPr>
                <w:i/>
                <w:sz w:val="16"/>
                <w:szCs w:val="16"/>
                <w:lang w:bidi="th-TH"/>
              </w:rPr>
            </w:pPr>
            <w:r w:rsidRPr="00754EC1">
              <w:rPr>
                <w:i/>
                <w:sz w:val="16"/>
                <w:szCs w:val="16"/>
                <w:lang w:bidi="th-TH"/>
              </w:rPr>
              <w:lastRenderedPageBreak/>
              <w:t>Niveau de référence initial dans le programme et budget 2016</w:t>
            </w:r>
            <w:r w:rsidRPr="00754EC1">
              <w:rPr>
                <w:i/>
                <w:sz w:val="16"/>
                <w:szCs w:val="16"/>
                <w:lang w:bidi="th-TH"/>
              </w:rPr>
              <w:noBreakHyphen/>
              <w:t>2017 :</w:t>
            </w:r>
          </w:p>
          <w:p w14:paraId="5A463D8C" w14:textId="77777777" w:rsidR="00F96912" w:rsidRPr="00754EC1" w:rsidRDefault="00F96912" w:rsidP="006658D5">
            <w:pPr>
              <w:keepNext/>
              <w:keepLines/>
              <w:rPr>
                <w:color w:val="000000"/>
                <w:sz w:val="16"/>
                <w:szCs w:val="16"/>
              </w:rPr>
            </w:pPr>
            <w:r w:rsidRPr="00754EC1">
              <w:rPr>
                <w:sz w:val="16"/>
                <w:szCs w:val="16"/>
              </w:rPr>
              <w:t>86% des clients des systèmes de Madrid et de La Haye satisfaits ou très satisfaits (enquête de 2013)</w:t>
            </w:r>
          </w:p>
        </w:tc>
        <w:tc>
          <w:tcPr>
            <w:tcW w:w="868" w:type="pct"/>
            <w:shd w:val="clear" w:color="auto" w:fill="auto"/>
            <w:tcMar>
              <w:top w:w="110" w:type="dxa"/>
              <w:left w:w="58" w:type="dxa"/>
              <w:right w:w="58" w:type="dxa"/>
            </w:tcMar>
          </w:tcPr>
          <w:p w14:paraId="53B3F754" w14:textId="77777777" w:rsidR="00F96912" w:rsidRPr="00754EC1" w:rsidRDefault="00F96912" w:rsidP="006658D5">
            <w:pPr>
              <w:keepNext/>
              <w:keepLines/>
              <w:rPr>
                <w:color w:val="000000"/>
                <w:sz w:val="16"/>
                <w:szCs w:val="16"/>
              </w:rPr>
            </w:pPr>
            <w:r w:rsidRPr="00754EC1">
              <w:rPr>
                <w:sz w:val="16"/>
                <w:szCs w:val="16"/>
              </w:rPr>
              <w:lastRenderedPageBreak/>
              <w:t>≥ 90% de satisfaits ou très satisfaits</w:t>
            </w:r>
          </w:p>
        </w:tc>
        <w:tc>
          <w:tcPr>
            <w:tcW w:w="1109" w:type="pct"/>
            <w:shd w:val="clear" w:color="auto" w:fill="FFFFFF"/>
            <w:tcMar>
              <w:top w:w="110" w:type="dxa"/>
              <w:left w:w="58" w:type="dxa"/>
              <w:right w:w="58" w:type="dxa"/>
            </w:tcMar>
          </w:tcPr>
          <w:p w14:paraId="3A2438B1" w14:textId="77777777" w:rsidR="00F96912" w:rsidRPr="00754EC1" w:rsidRDefault="00F96912" w:rsidP="006658D5">
            <w:pPr>
              <w:keepNext/>
              <w:keepLines/>
              <w:rPr>
                <w:color w:val="000000"/>
                <w:sz w:val="16"/>
                <w:szCs w:val="16"/>
              </w:rPr>
            </w:pPr>
            <w:r w:rsidRPr="00754EC1">
              <w:rPr>
                <w:color w:val="000000"/>
                <w:sz w:val="16"/>
                <w:szCs w:val="16"/>
              </w:rPr>
              <w:t>Des enquêtes de satisfaction des clients des systèmes de Madrid et de La Haye sont prévues en 2017</w:t>
            </w:r>
          </w:p>
          <w:p w14:paraId="1A9FBCB7" w14:textId="77777777" w:rsidR="00F96912" w:rsidRPr="00754EC1" w:rsidRDefault="00F96912" w:rsidP="006658D5">
            <w:pPr>
              <w:keepNext/>
              <w:keepLines/>
              <w:rPr>
                <w:color w:val="000000"/>
                <w:sz w:val="16"/>
                <w:szCs w:val="16"/>
              </w:rPr>
            </w:pPr>
          </w:p>
          <w:p w14:paraId="7D1766DC" w14:textId="42150570" w:rsidR="00F96912" w:rsidRPr="00754EC1" w:rsidRDefault="00F96912" w:rsidP="00DF39AB">
            <w:pPr>
              <w:keepNext/>
              <w:keepLines/>
              <w:rPr>
                <w:color w:val="000000"/>
                <w:sz w:val="16"/>
                <w:szCs w:val="16"/>
              </w:rPr>
            </w:pPr>
            <w:r w:rsidRPr="00754EC1">
              <w:rPr>
                <w:color w:val="000000"/>
                <w:sz w:val="16"/>
                <w:szCs w:val="16"/>
              </w:rPr>
              <w:t xml:space="preserve">Indice de satisfaction globale des clients de l’OMPI : 51% </w:t>
            </w:r>
          </w:p>
        </w:tc>
        <w:tc>
          <w:tcPr>
            <w:tcW w:w="723" w:type="pct"/>
            <w:shd w:val="clear" w:color="auto" w:fill="auto"/>
            <w:tcMar>
              <w:top w:w="110" w:type="dxa"/>
              <w:left w:w="58" w:type="dxa"/>
              <w:right w:w="58" w:type="dxa"/>
            </w:tcMar>
          </w:tcPr>
          <w:p w14:paraId="05D1F079" w14:textId="77777777" w:rsidR="00F96912" w:rsidRPr="00CD000E" w:rsidRDefault="00F96912" w:rsidP="006658D5">
            <w:pPr>
              <w:keepNext/>
              <w:keepLines/>
              <w:jc w:val="center"/>
              <w:rPr>
                <w:b/>
                <w:color w:val="0070C0"/>
                <w:sz w:val="16"/>
                <w:szCs w:val="16"/>
              </w:rPr>
            </w:pPr>
            <w:proofErr w:type="spellStart"/>
            <w:r w:rsidRPr="00CD000E">
              <w:rPr>
                <w:b/>
                <w:color w:val="0070C0"/>
                <w:sz w:val="16"/>
                <w:szCs w:val="16"/>
              </w:rPr>
              <w:t>n.d</w:t>
            </w:r>
            <w:proofErr w:type="spellEnd"/>
            <w:r w:rsidRPr="00CD000E">
              <w:rPr>
                <w:b/>
                <w:color w:val="0070C0"/>
                <w:sz w:val="16"/>
                <w:szCs w:val="16"/>
              </w:rPr>
              <w:t>. pour 2016</w:t>
            </w:r>
          </w:p>
          <w:p w14:paraId="620310AC" w14:textId="77777777" w:rsidR="00F96912" w:rsidRPr="00CD000E" w:rsidRDefault="00F96912" w:rsidP="006658D5">
            <w:pPr>
              <w:keepNext/>
              <w:keepLines/>
              <w:jc w:val="center"/>
              <w:rPr>
                <w:b/>
                <w:color w:val="0070C0"/>
                <w:sz w:val="16"/>
                <w:szCs w:val="16"/>
              </w:rPr>
            </w:pPr>
          </w:p>
          <w:p w14:paraId="2AA37199" w14:textId="77777777" w:rsidR="00F96912" w:rsidRPr="00CD000E" w:rsidRDefault="00F96912" w:rsidP="006658D5">
            <w:pPr>
              <w:keepNext/>
              <w:keepLines/>
              <w:jc w:val="center"/>
              <w:rPr>
                <w:b/>
                <w:color w:val="0070C0"/>
                <w:sz w:val="16"/>
                <w:szCs w:val="16"/>
              </w:rPr>
            </w:pPr>
          </w:p>
          <w:p w14:paraId="5B49CFA0" w14:textId="77777777" w:rsidR="00F96912" w:rsidRDefault="00F96912" w:rsidP="006658D5">
            <w:pPr>
              <w:keepNext/>
              <w:keepLines/>
              <w:jc w:val="center"/>
              <w:rPr>
                <w:b/>
                <w:color w:val="0070C0"/>
                <w:sz w:val="16"/>
                <w:szCs w:val="16"/>
              </w:rPr>
            </w:pPr>
          </w:p>
          <w:p w14:paraId="39AF0D2F" w14:textId="77777777" w:rsidR="00F96912" w:rsidRDefault="00F96912" w:rsidP="006658D5">
            <w:pPr>
              <w:keepNext/>
              <w:keepLines/>
              <w:jc w:val="center"/>
              <w:rPr>
                <w:b/>
                <w:color w:val="0070C0"/>
                <w:sz w:val="16"/>
                <w:szCs w:val="16"/>
              </w:rPr>
            </w:pPr>
          </w:p>
          <w:p w14:paraId="0B9998AC" w14:textId="77777777" w:rsidR="00F96912" w:rsidRPr="00CD000E" w:rsidRDefault="00F96912" w:rsidP="006658D5">
            <w:pPr>
              <w:keepNext/>
              <w:keepLines/>
              <w:jc w:val="center"/>
              <w:rPr>
                <w:b/>
                <w:color w:val="0070C0"/>
                <w:sz w:val="16"/>
                <w:szCs w:val="16"/>
              </w:rPr>
            </w:pPr>
          </w:p>
          <w:p w14:paraId="1E82B4BC" w14:textId="3B7E7ADF" w:rsidR="00F96912" w:rsidRPr="00CD000E" w:rsidRDefault="00F96912" w:rsidP="006658D5">
            <w:pPr>
              <w:keepNext/>
              <w:keepLines/>
              <w:jc w:val="center"/>
              <w:rPr>
                <w:color w:val="000000"/>
                <w:sz w:val="16"/>
                <w:szCs w:val="16"/>
              </w:rPr>
            </w:pPr>
            <w:r w:rsidRPr="00CD000E">
              <w:rPr>
                <w:b/>
                <w:color w:val="A6A6A6" w:themeColor="background1" w:themeShade="A6"/>
                <w:sz w:val="16"/>
                <w:szCs w:val="16"/>
              </w:rPr>
              <w:t>Non évaluable</w:t>
            </w:r>
            <w:r w:rsidR="00DF39AB" w:rsidRPr="00754EC1">
              <w:rPr>
                <w:rStyle w:val="FootnoteReference"/>
                <w:rFonts w:cs="Arial"/>
                <w:color w:val="000000"/>
                <w:szCs w:val="16"/>
              </w:rPr>
              <w:footnoteReference w:id="81"/>
            </w:r>
          </w:p>
        </w:tc>
      </w:tr>
      <w:tr w:rsidR="00F96912" w:rsidRPr="00CD000E" w14:paraId="2D8BF47E" w14:textId="77777777" w:rsidTr="006658D5">
        <w:tc>
          <w:tcPr>
            <w:tcW w:w="997" w:type="pct"/>
            <w:shd w:val="clear" w:color="auto" w:fill="auto"/>
            <w:tcMar>
              <w:left w:w="58" w:type="dxa"/>
              <w:right w:w="58" w:type="dxa"/>
            </w:tcMar>
          </w:tcPr>
          <w:p w14:paraId="398C7CE8" w14:textId="77777777" w:rsidR="00F96912" w:rsidRPr="00CD000E" w:rsidRDefault="00F96912" w:rsidP="006658D5">
            <w:pPr>
              <w:keepNext/>
              <w:keepLines/>
              <w:rPr>
                <w:color w:val="000000"/>
                <w:sz w:val="16"/>
                <w:szCs w:val="16"/>
              </w:rPr>
            </w:pPr>
            <w:r w:rsidRPr="00CD000E">
              <w:rPr>
                <w:sz w:val="16"/>
                <w:szCs w:val="16"/>
              </w:rPr>
              <w:lastRenderedPageBreak/>
              <w:t>Normes de services du Centre de services à la clientèle de l’OMPI</w:t>
            </w:r>
            <w:r w:rsidRPr="00CD000E">
              <w:rPr>
                <w:color w:val="000000"/>
                <w:sz w:val="16"/>
                <w:szCs w:val="16"/>
              </w:rPr>
              <w:t xml:space="preserve"> </w:t>
            </w:r>
          </w:p>
        </w:tc>
        <w:tc>
          <w:tcPr>
            <w:tcW w:w="1303" w:type="pct"/>
            <w:shd w:val="clear" w:color="auto" w:fill="auto"/>
            <w:tcMar>
              <w:left w:w="58" w:type="dxa"/>
              <w:right w:w="58" w:type="dxa"/>
            </w:tcMar>
          </w:tcPr>
          <w:p w14:paraId="5DA0B32F" w14:textId="77777777" w:rsidR="00F96912" w:rsidRPr="00CD000E" w:rsidRDefault="00F96912" w:rsidP="006658D5">
            <w:pPr>
              <w:keepNext/>
              <w:keepLines/>
              <w:rPr>
                <w:i/>
                <w:color w:val="002060"/>
                <w:sz w:val="16"/>
                <w:szCs w:val="16"/>
              </w:rPr>
            </w:pPr>
            <w:r w:rsidRPr="00CD000E">
              <w:rPr>
                <w:i/>
                <w:color w:val="002060"/>
                <w:sz w:val="16"/>
                <w:szCs w:val="16"/>
              </w:rPr>
              <w:t>Niveau de référence actualisé à fin 2015 :</w:t>
            </w:r>
          </w:p>
          <w:p w14:paraId="79070948" w14:textId="77777777" w:rsidR="00F96912" w:rsidRPr="00754EC1" w:rsidRDefault="00F96912" w:rsidP="006658D5">
            <w:pPr>
              <w:keepNext/>
              <w:keepLines/>
              <w:autoSpaceDE w:val="0"/>
              <w:autoSpaceDN w:val="0"/>
              <w:adjustRightInd w:val="0"/>
              <w:rPr>
                <w:color w:val="002060"/>
                <w:sz w:val="16"/>
                <w:szCs w:val="16"/>
              </w:rPr>
            </w:pPr>
            <w:r w:rsidRPr="00754EC1">
              <w:rPr>
                <w:color w:val="002060"/>
                <w:sz w:val="16"/>
                <w:szCs w:val="16"/>
              </w:rPr>
              <w:t>i) 92% de tickets traités dans un délai d’un jour</w:t>
            </w:r>
          </w:p>
          <w:p w14:paraId="1DFC0EFC" w14:textId="77777777" w:rsidR="00F96912" w:rsidRPr="00754EC1" w:rsidRDefault="00F96912" w:rsidP="006658D5">
            <w:pPr>
              <w:keepNext/>
              <w:keepLines/>
              <w:autoSpaceDE w:val="0"/>
              <w:autoSpaceDN w:val="0"/>
              <w:adjustRightInd w:val="0"/>
              <w:rPr>
                <w:color w:val="002060"/>
                <w:sz w:val="16"/>
                <w:szCs w:val="16"/>
              </w:rPr>
            </w:pPr>
            <w:r w:rsidRPr="00754EC1">
              <w:rPr>
                <w:color w:val="002060"/>
                <w:sz w:val="16"/>
                <w:szCs w:val="16"/>
              </w:rPr>
              <w:t>ii) 100% de plaintes traitées dans un délai de huit heures de travail</w:t>
            </w:r>
          </w:p>
          <w:p w14:paraId="69D7AEBD" w14:textId="77777777" w:rsidR="00F96912" w:rsidRPr="00CD000E" w:rsidRDefault="00F96912" w:rsidP="006658D5">
            <w:pPr>
              <w:keepNext/>
              <w:keepLines/>
              <w:rPr>
                <w:color w:val="000000"/>
                <w:sz w:val="16"/>
                <w:szCs w:val="16"/>
              </w:rPr>
            </w:pPr>
          </w:p>
          <w:p w14:paraId="125776A8" w14:textId="77777777" w:rsidR="00F96912" w:rsidRPr="00CD000E" w:rsidRDefault="00F96912" w:rsidP="006658D5">
            <w:pPr>
              <w:keepNext/>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406FD762" w14:textId="77777777" w:rsidR="00F96912" w:rsidRPr="00CD000E" w:rsidRDefault="00F96912" w:rsidP="006658D5">
            <w:pPr>
              <w:keepNext/>
              <w:keepLines/>
              <w:rPr>
                <w:color w:val="000000"/>
                <w:sz w:val="16"/>
                <w:szCs w:val="16"/>
              </w:rPr>
            </w:pPr>
            <w:r w:rsidRPr="00CD000E">
              <w:rPr>
                <w:sz w:val="16"/>
                <w:szCs w:val="16"/>
              </w:rPr>
              <w:t>92% de tickets traités dans un délai d’un jour</w:t>
            </w:r>
            <w:r w:rsidRPr="00CD000E">
              <w:rPr>
                <w:color w:val="000000"/>
                <w:sz w:val="16"/>
                <w:szCs w:val="16"/>
              </w:rPr>
              <w:t>;</w:t>
            </w:r>
          </w:p>
          <w:p w14:paraId="1DA6A7F7" w14:textId="77777777" w:rsidR="00F96912" w:rsidRPr="00CD000E" w:rsidRDefault="00F96912" w:rsidP="006658D5">
            <w:pPr>
              <w:keepNext/>
              <w:keepLines/>
              <w:rPr>
                <w:color w:val="000000"/>
                <w:sz w:val="16"/>
                <w:szCs w:val="16"/>
              </w:rPr>
            </w:pPr>
            <w:r w:rsidRPr="00CD000E">
              <w:rPr>
                <w:sz w:val="16"/>
                <w:szCs w:val="16"/>
              </w:rPr>
              <w:t>100% de plaintes traitées dans un délai de huit heures de travail</w:t>
            </w:r>
          </w:p>
        </w:tc>
        <w:tc>
          <w:tcPr>
            <w:tcW w:w="868" w:type="pct"/>
            <w:shd w:val="clear" w:color="auto" w:fill="auto"/>
            <w:tcMar>
              <w:top w:w="110" w:type="dxa"/>
              <w:left w:w="58" w:type="dxa"/>
              <w:right w:w="58" w:type="dxa"/>
            </w:tcMar>
          </w:tcPr>
          <w:p w14:paraId="1D866EA6" w14:textId="77777777" w:rsidR="00F96912" w:rsidRPr="00CD000E" w:rsidRDefault="00F96912" w:rsidP="006658D5">
            <w:pPr>
              <w:keepNext/>
              <w:keepLines/>
              <w:rPr>
                <w:i/>
                <w:color w:val="002060"/>
                <w:sz w:val="16"/>
                <w:szCs w:val="16"/>
              </w:rPr>
            </w:pPr>
            <w:r w:rsidRPr="00CD000E">
              <w:rPr>
                <w:i/>
                <w:color w:val="002060"/>
                <w:sz w:val="16"/>
                <w:szCs w:val="16"/>
              </w:rPr>
              <w:t>Objectif actualisé :</w:t>
            </w:r>
          </w:p>
          <w:p w14:paraId="494F8775" w14:textId="77777777" w:rsidR="00F96912" w:rsidRPr="00754EC1" w:rsidRDefault="00F96912" w:rsidP="006658D5">
            <w:pPr>
              <w:keepNext/>
              <w:keepLines/>
              <w:autoSpaceDE w:val="0"/>
              <w:autoSpaceDN w:val="0"/>
              <w:adjustRightInd w:val="0"/>
              <w:rPr>
                <w:color w:val="002060"/>
                <w:sz w:val="16"/>
                <w:szCs w:val="16"/>
              </w:rPr>
            </w:pPr>
            <w:r w:rsidRPr="00754EC1">
              <w:rPr>
                <w:color w:val="002060"/>
                <w:sz w:val="16"/>
                <w:szCs w:val="16"/>
              </w:rPr>
              <w:t>i) 92% de tickets traités dans un délai d’un jour</w:t>
            </w:r>
          </w:p>
          <w:p w14:paraId="0B0C7357" w14:textId="77777777" w:rsidR="00F96912" w:rsidRPr="00754EC1" w:rsidRDefault="00F96912" w:rsidP="006658D5">
            <w:pPr>
              <w:keepNext/>
              <w:keepLines/>
              <w:autoSpaceDE w:val="0"/>
              <w:autoSpaceDN w:val="0"/>
              <w:adjustRightInd w:val="0"/>
              <w:rPr>
                <w:color w:val="002060"/>
                <w:sz w:val="16"/>
                <w:szCs w:val="16"/>
              </w:rPr>
            </w:pPr>
            <w:r w:rsidRPr="00754EC1">
              <w:rPr>
                <w:color w:val="002060"/>
                <w:sz w:val="16"/>
                <w:szCs w:val="16"/>
              </w:rPr>
              <w:t>ii) 100% de plaintes traitées dans un délai de huit heures de travail</w:t>
            </w:r>
          </w:p>
          <w:p w14:paraId="77B1904B" w14:textId="77777777" w:rsidR="00F96912" w:rsidRPr="00CD000E" w:rsidRDefault="00F96912" w:rsidP="006658D5">
            <w:pPr>
              <w:keepNext/>
              <w:keepLines/>
              <w:rPr>
                <w:color w:val="002060"/>
                <w:sz w:val="16"/>
                <w:szCs w:val="16"/>
              </w:rPr>
            </w:pPr>
          </w:p>
          <w:p w14:paraId="71F97638" w14:textId="77777777" w:rsidR="00F96912" w:rsidRPr="00CD000E" w:rsidRDefault="00F96912" w:rsidP="006658D5">
            <w:pPr>
              <w:keepNext/>
              <w:keepLines/>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0A392E9E" w14:textId="77777777" w:rsidR="00F96912" w:rsidRPr="00CD000E" w:rsidRDefault="00F96912" w:rsidP="006658D5">
            <w:pPr>
              <w:keepNext/>
              <w:keepLines/>
              <w:rPr>
                <w:color w:val="000000"/>
                <w:sz w:val="16"/>
                <w:szCs w:val="16"/>
              </w:rPr>
            </w:pPr>
            <w:r w:rsidRPr="00CD000E">
              <w:rPr>
                <w:sz w:val="16"/>
                <w:szCs w:val="16"/>
              </w:rPr>
              <w:t>90% de billets traités en une journée;  90% des plaintes traitées dans les huit heures durant les horaires de travail</w:t>
            </w:r>
          </w:p>
        </w:tc>
        <w:tc>
          <w:tcPr>
            <w:tcW w:w="1109" w:type="pct"/>
            <w:shd w:val="clear" w:color="auto" w:fill="FFFFFF"/>
            <w:tcMar>
              <w:top w:w="110" w:type="dxa"/>
              <w:left w:w="58" w:type="dxa"/>
              <w:right w:w="58" w:type="dxa"/>
            </w:tcMar>
          </w:tcPr>
          <w:p w14:paraId="4EBE2902" w14:textId="77777777" w:rsidR="00F96912" w:rsidRPr="00754EC1" w:rsidRDefault="00F96912" w:rsidP="006658D5">
            <w:pPr>
              <w:keepNext/>
              <w:keepLines/>
              <w:autoSpaceDE w:val="0"/>
              <w:autoSpaceDN w:val="0"/>
              <w:adjustRightInd w:val="0"/>
              <w:rPr>
                <w:sz w:val="16"/>
                <w:szCs w:val="16"/>
              </w:rPr>
            </w:pPr>
            <w:r w:rsidRPr="00754EC1">
              <w:rPr>
                <w:sz w:val="16"/>
                <w:szCs w:val="16"/>
              </w:rPr>
              <w:t>i) Un mécanisme amélioré de suivi a été mis au point courant 2016 et lancé seulement à la fin de 2016</w:t>
            </w:r>
          </w:p>
          <w:p w14:paraId="703801BF" w14:textId="77777777" w:rsidR="00F96912" w:rsidRPr="00754EC1" w:rsidRDefault="00F96912" w:rsidP="006658D5">
            <w:pPr>
              <w:keepNext/>
              <w:keepLines/>
              <w:autoSpaceDE w:val="0"/>
              <w:autoSpaceDN w:val="0"/>
              <w:adjustRightInd w:val="0"/>
              <w:rPr>
                <w:sz w:val="16"/>
                <w:szCs w:val="16"/>
              </w:rPr>
            </w:pPr>
          </w:p>
          <w:p w14:paraId="2FA7FC4A" w14:textId="77777777" w:rsidR="00F96912" w:rsidRPr="00754EC1" w:rsidRDefault="00F96912" w:rsidP="006658D5">
            <w:pPr>
              <w:keepNext/>
              <w:keepLines/>
              <w:autoSpaceDE w:val="0"/>
              <w:autoSpaceDN w:val="0"/>
              <w:adjustRightInd w:val="0"/>
              <w:rPr>
                <w:sz w:val="16"/>
                <w:szCs w:val="16"/>
              </w:rPr>
            </w:pPr>
            <w:r w:rsidRPr="00754EC1">
              <w:rPr>
                <w:sz w:val="16"/>
                <w:szCs w:val="16"/>
              </w:rPr>
              <w:t>ii) 100% de plaintes traitées dans un délai de huit heures de travail</w:t>
            </w:r>
          </w:p>
          <w:p w14:paraId="5A867F1E" w14:textId="77777777" w:rsidR="00F96912" w:rsidRPr="00754EC1" w:rsidRDefault="00F96912" w:rsidP="006658D5">
            <w:pPr>
              <w:keepNext/>
              <w:keepLines/>
              <w:rPr>
                <w:color w:val="000000"/>
                <w:sz w:val="16"/>
                <w:szCs w:val="16"/>
              </w:rPr>
            </w:pPr>
          </w:p>
        </w:tc>
        <w:tc>
          <w:tcPr>
            <w:tcW w:w="723" w:type="pct"/>
            <w:shd w:val="clear" w:color="auto" w:fill="auto"/>
            <w:tcMar>
              <w:top w:w="110" w:type="dxa"/>
              <w:left w:w="58" w:type="dxa"/>
              <w:right w:w="58" w:type="dxa"/>
            </w:tcMar>
          </w:tcPr>
          <w:p w14:paraId="74C792BD" w14:textId="77777777" w:rsidR="00F96912" w:rsidRPr="00CD000E" w:rsidRDefault="00F96912" w:rsidP="006658D5">
            <w:pPr>
              <w:keepNext/>
              <w:keepLines/>
              <w:jc w:val="center"/>
              <w:rPr>
                <w:b/>
                <w:color w:val="0070C0"/>
                <w:sz w:val="16"/>
                <w:szCs w:val="16"/>
              </w:rPr>
            </w:pPr>
            <w:proofErr w:type="spellStart"/>
            <w:r w:rsidRPr="00CD000E">
              <w:rPr>
                <w:b/>
                <w:color w:val="0070C0"/>
                <w:sz w:val="16"/>
                <w:szCs w:val="16"/>
              </w:rPr>
              <w:t>n.d</w:t>
            </w:r>
            <w:proofErr w:type="spellEnd"/>
            <w:r w:rsidRPr="00CD000E">
              <w:rPr>
                <w:b/>
                <w:color w:val="0070C0"/>
                <w:sz w:val="16"/>
                <w:szCs w:val="16"/>
              </w:rPr>
              <w:t>. pour 2016</w:t>
            </w:r>
          </w:p>
          <w:p w14:paraId="27554BA1" w14:textId="77777777" w:rsidR="00F96912" w:rsidRPr="00CD000E" w:rsidRDefault="00F96912" w:rsidP="006658D5">
            <w:pPr>
              <w:keepNext/>
              <w:keepLines/>
              <w:jc w:val="center"/>
              <w:rPr>
                <w:b/>
                <w:color w:val="00B050"/>
                <w:sz w:val="16"/>
                <w:szCs w:val="16"/>
              </w:rPr>
            </w:pPr>
          </w:p>
          <w:p w14:paraId="0E4339C8" w14:textId="77777777" w:rsidR="00F96912" w:rsidRDefault="00F96912" w:rsidP="006658D5">
            <w:pPr>
              <w:keepNext/>
              <w:keepLines/>
              <w:jc w:val="center"/>
              <w:rPr>
                <w:b/>
                <w:color w:val="00B050"/>
                <w:sz w:val="16"/>
                <w:szCs w:val="16"/>
              </w:rPr>
            </w:pPr>
          </w:p>
          <w:p w14:paraId="440C5C69" w14:textId="77777777" w:rsidR="00F96912" w:rsidRDefault="00F96912" w:rsidP="006658D5">
            <w:pPr>
              <w:keepNext/>
              <w:keepLines/>
              <w:jc w:val="center"/>
              <w:rPr>
                <w:b/>
                <w:color w:val="00B050"/>
                <w:sz w:val="16"/>
                <w:szCs w:val="16"/>
              </w:rPr>
            </w:pPr>
          </w:p>
          <w:p w14:paraId="29420F2C" w14:textId="77777777" w:rsidR="00F96912" w:rsidRPr="00CD000E" w:rsidRDefault="00F96912" w:rsidP="006658D5">
            <w:pPr>
              <w:keepNext/>
              <w:keepLines/>
              <w:jc w:val="center"/>
              <w:rPr>
                <w:b/>
                <w:color w:val="00B050"/>
                <w:sz w:val="16"/>
                <w:szCs w:val="16"/>
              </w:rPr>
            </w:pPr>
          </w:p>
          <w:p w14:paraId="664CDB75"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bl>
    <w:p w14:paraId="6D2F4935" w14:textId="77777777" w:rsidR="00F96912" w:rsidRPr="00CD000E" w:rsidRDefault="00F96912" w:rsidP="00F96912">
      <w:pPr>
        <w:rPr>
          <w:sz w:val="20"/>
        </w:rPr>
      </w:pPr>
    </w:p>
    <w:p w14:paraId="4A186260" w14:textId="77777777" w:rsidR="00F96912" w:rsidRPr="00CD000E" w:rsidRDefault="00F96912" w:rsidP="00F96912">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4B14F4E9" w14:textId="77777777" w:rsidTr="006658D5">
        <w:trPr>
          <w:trHeight w:val="425"/>
          <w:jc w:val="center"/>
        </w:trPr>
        <w:tc>
          <w:tcPr>
            <w:tcW w:w="9243" w:type="dxa"/>
            <w:shd w:val="clear" w:color="auto" w:fill="C6D9F1" w:themeFill="text2" w:themeFillTint="33"/>
            <w:vAlign w:val="center"/>
          </w:tcPr>
          <w:p w14:paraId="2482DAE9" w14:textId="77777777" w:rsidR="00F96912" w:rsidRPr="00CD000E" w:rsidRDefault="00F96912" w:rsidP="006658D5">
            <w:pPr>
              <w:keepNext/>
              <w:keepLines/>
              <w:jc w:val="center"/>
              <w:rPr>
                <w:b/>
                <w:color w:val="000000"/>
                <w:sz w:val="20"/>
              </w:rPr>
            </w:pPr>
            <w:r w:rsidRPr="00CD000E">
              <w:rPr>
                <w:sz w:val="20"/>
              </w:rPr>
              <w:br w:type="page"/>
            </w:r>
            <w:r w:rsidRPr="00CD000E">
              <w:rPr>
                <w:b/>
                <w:color w:val="000000"/>
                <w:sz w:val="20"/>
              </w:rPr>
              <w:t>Utilisation des ressources au titre du programme 19</w:t>
            </w:r>
          </w:p>
        </w:tc>
      </w:tr>
    </w:tbl>
    <w:p w14:paraId="7E04676E" w14:textId="77777777" w:rsidR="00F96912" w:rsidRPr="00CD000E" w:rsidRDefault="00F96912" w:rsidP="00F96912">
      <w:pPr>
        <w:rPr>
          <w:sz w:val="20"/>
        </w:rPr>
      </w:pPr>
    </w:p>
    <w:p w14:paraId="0A00F088" w14:textId="77777777" w:rsidR="00F96912" w:rsidRPr="00CD000E" w:rsidRDefault="00F96912" w:rsidP="00F96912">
      <w:pPr>
        <w:pStyle w:val="NormalWeb"/>
        <w:keepNext/>
        <w:keepLines/>
        <w:spacing w:before="0" w:beforeAutospacing="0" w:after="0" w:afterAutospacing="0"/>
        <w:jc w:val="center"/>
      </w:pPr>
      <w:r w:rsidRPr="00CD000E">
        <w:rPr>
          <w:color w:val="000000"/>
        </w:rPr>
        <w:t>Budget et dépenses effectives (par résultat)</w:t>
      </w:r>
    </w:p>
    <w:p w14:paraId="611857C3" w14:textId="77777777" w:rsidR="00F96912" w:rsidRPr="00CD000E" w:rsidRDefault="00F96912" w:rsidP="00F96912">
      <w:pPr>
        <w:pStyle w:val="NormalWeb"/>
        <w:keepNext/>
        <w:keepLines/>
        <w:spacing w:before="0" w:beforeAutospacing="0" w:after="0" w:afterAutospacing="0"/>
        <w:jc w:val="center"/>
      </w:pPr>
      <w:r w:rsidRPr="00CD000E">
        <w:rPr>
          <w:i/>
          <w:iCs/>
          <w:color w:val="000000"/>
          <w:sz w:val="16"/>
          <w:szCs w:val="16"/>
        </w:rPr>
        <w:t>(en milliers de francs suisses)</w:t>
      </w:r>
    </w:p>
    <w:p w14:paraId="7DEBC32E" w14:textId="77777777" w:rsidR="00F96912" w:rsidRPr="00CD000E" w:rsidRDefault="00F96912" w:rsidP="00F96912">
      <w:pPr>
        <w:jc w:val="center"/>
        <w:rPr>
          <w:sz w:val="20"/>
        </w:rPr>
      </w:pPr>
    </w:p>
    <w:tbl>
      <w:tblPr>
        <w:tblW w:w="4356" w:type="pct"/>
        <w:jc w:val="center"/>
        <w:tblCellMar>
          <w:top w:w="57" w:type="dxa"/>
          <w:bottom w:w="57" w:type="dxa"/>
        </w:tblCellMar>
        <w:tblLook w:val="04A0" w:firstRow="1" w:lastRow="0" w:firstColumn="1" w:lastColumn="0" w:noHBand="0" w:noVBand="1"/>
      </w:tblPr>
      <w:tblGrid>
        <w:gridCol w:w="619"/>
        <w:gridCol w:w="4157"/>
        <w:gridCol w:w="1550"/>
        <w:gridCol w:w="1550"/>
        <w:gridCol w:w="1411"/>
      </w:tblGrid>
      <w:tr w:rsidR="00F96912" w:rsidRPr="00CD000E" w14:paraId="6C4CD984" w14:textId="77777777" w:rsidTr="006658D5">
        <w:trPr>
          <w:jc w:val="center"/>
        </w:trPr>
        <w:tc>
          <w:tcPr>
            <w:tcW w:w="4863" w:type="dxa"/>
            <w:gridSpan w:val="2"/>
            <w:tcBorders>
              <w:top w:val="nil"/>
              <w:left w:val="nil"/>
              <w:bottom w:val="nil"/>
              <w:right w:val="nil"/>
            </w:tcBorders>
            <w:shd w:val="clear" w:color="000000" w:fill="C5D9F1"/>
            <w:noWrap/>
            <w:vAlign w:val="center"/>
            <w:hideMark/>
          </w:tcPr>
          <w:p w14:paraId="58ABB8C4" w14:textId="77777777" w:rsidR="00F96912" w:rsidRPr="00CD000E" w:rsidRDefault="00F96912" w:rsidP="006658D5">
            <w:pPr>
              <w:jc w:val="center"/>
              <w:rPr>
                <w:b/>
                <w:bCs/>
                <w:sz w:val="16"/>
                <w:szCs w:val="16"/>
              </w:rPr>
            </w:pPr>
            <w:r w:rsidRPr="00CD000E">
              <w:rPr>
                <w:b/>
                <w:bCs/>
                <w:sz w:val="16"/>
                <w:szCs w:val="16"/>
              </w:rPr>
              <w:t>Numéro et description du résultat escompté</w:t>
            </w:r>
          </w:p>
        </w:tc>
        <w:tc>
          <w:tcPr>
            <w:tcW w:w="1154" w:type="dxa"/>
            <w:tcBorders>
              <w:top w:val="nil"/>
              <w:left w:val="nil"/>
              <w:bottom w:val="nil"/>
              <w:right w:val="nil"/>
            </w:tcBorders>
            <w:shd w:val="clear" w:color="000000" w:fill="C5D9F1"/>
            <w:vAlign w:val="center"/>
            <w:hideMark/>
          </w:tcPr>
          <w:p w14:paraId="4EDC1730"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53" w:type="dxa"/>
            <w:tcBorders>
              <w:top w:val="nil"/>
              <w:left w:val="nil"/>
              <w:bottom w:val="nil"/>
              <w:right w:val="nil"/>
            </w:tcBorders>
            <w:shd w:val="clear" w:color="000000" w:fill="C5D9F1"/>
            <w:vAlign w:val="center"/>
            <w:hideMark/>
          </w:tcPr>
          <w:p w14:paraId="6C725A10"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70" w:type="dxa"/>
            <w:tcBorders>
              <w:top w:val="nil"/>
              <w:left w:val="nil"/>
              <w:bottom w:val="nil"/>
              <w:right w:val="nil"/>
            </w:tcBorders>
            <w:shd w:val="clear" w:color="000000" w:fill="C5D9F1"/>
            <w:vAlign w:val="center"/>
            <w:hideMark/>
          </w:tcPr>
          <w:p w14:paraId="79F5F88B" w14:textId="77777777" w:rsidR="00F96912" w:rsidRPr="00CD000E" w:rsidRDefault="00F96912" w:rsidP="006658D5">
            <w:pPr>
              <w:jc w:val="center"/>
              <w:rPr>
                <w:b/>
                <w:bCs/>
                <w:sz w:val="16"/>
                <w:szCs w:val="16"/>
              </w:rPr>
            </w:pPr>
            <w:r>
              <w:rPr>
                <w:b/>
                <w:bCs/>
                <w:sz w:val="16"/>
                <w:szCs w:val="16"/>
              </w:rPr>
              <w:t>Dépenses </w:t>
            </w:r>
            <w:r w:rsidRPr="00CD000E">
              <w:rPr>
                <w:b/>
                <w:bCs/>
                <w:sz w:val="16"/>
                <w:szCs w:val="16"/>
              </w:rPr>
              <w:t>2016*</w:t>
            </w:r>
          </w:p>
        </w:tc>
      </w:tr>
      <w:tr w:rsidR="00F96912" w:rsidRPr="00CD000E" w14:paraId="16ED8877" w14:textId="77777777" w:rsidTr="006658D5">
        <w:trPr>
          <w:jc w:val="center"/>
        </w:trPr>
        <w:tc>
          <w:tcPr>
            <w:tcW w:w="627" w:type="dxa"/>
            <w:tcBorders>
              <w:top w:val="nil"/>
              <w:left w:val="nil"/>
              <w:bottom w:val="nil"/>
              <w:right w:val="nil"/>
            </w:tcBorders>
            <w:shd w:val="clear" w:color="auto" w:fill="auto"/>
            <w:noWrap/>
            <w:vAlign w:val="center"/>
            <w:hideMark/>
          </w:tcPr>
          <w:p w14:paraId="5B4181E1" w14:textId="77777777" w:rsidR="00F96912" w:rsidRPr="00CD000E" w:rsidRDefault="00F96912" w:rsidP="006658D5">
            <w:pPr>
              <w:rPr>
                <w:sz w:val="16"/>
                <w:szCs w:val="16"/>
              </w:rPr>
            </w:pPr>
            <w:r w:rsidRPr="00CD000E">
              <w:rPr>
                <w:sz w:val="16"/>
                <w:szCs w:val="16"/>
              </w:rPr>
              <w:t>VIII.1</w:t>
            </w:r>
          </w:p>
        </w:tc>
        <w:tc>
          <w:tcPr>
            <w:tcW w:w="4236" w:type="dxa"/>
            <w:tcBorders>
              <w:top w:val="nil"/>
              <w:left w:val="nil"/>
              <w:bottom w:val="nil"/>
              <w:right w:val="nil"/>
            </w:tcBorders>
            <w:shd w:val="clear" w:color="auto" w:fill="auto"/>
            <w:vAlign w:val="center"/>
            <w:hideMark/>
          </w:tcPr>
          <w:p w14:paraId="7B208859" w14:textId="77777777" w:rsidR="00F96912" w:rsidRPr="00CD000E" w:rsidRDefault="00F96912" w:rsidP="006658D5">
            <w:pPr>
              <w:rPr>
                <w:sz w:val="16"/>
                <w:szCs w:val="16"/>
              </w:rPr>
            </w:pPr>
            <w:r w:rsidRPr="00CD000E">
              <w:rPr>
                <w:sz w:val="16"/>
                <w:szCs w:val="16"/>
              </w:rPr>
              <w:t>Communication plus efficace avec le grand public concernant la propriété intellectuelle et le rôle de l’OMPI</w:t>
            </w:r>
          </w:p>
        </w:tc>
        <w:tc>
          <w:tcPr>
            <w:tcW w:w="1154" w:type="dxa"/>
            <w:tcBorders>
              <w:top w:val="nil"/>
              <w:left w:val="nil"/>
              <w:bottom w:val="nil"/>
              <w:right w:val="nil"/>
            </w:tcBorders>
            <w:shd w:val="clear" w:color="auto" w:fill="auto"/>
            <w:noWrap/>
            <w:vAlign w:val="center"/>
            <w:hideMark/>
          </w:tcPr>
          <w:p w14:paraId="2A1BC8F3" w14:textId="77777777" w:rsidR="00F96912" w:rsidRPr="00CD000E" w:rsidRDefault="00F96912" w:rsidP="006658D5">
            <w:pPr>
              <w:jc w:val="center"/>
              <w:rPr>
                <w:color w:val="000000"/>
                <w:sz w:val="16"/>
                <w:szCs w:val="16"/>
              </w:rPr>
            </w:pPr>
            <w:r w:rsidRPr="00CD000E">
              <w:rPr>
                <w:color w:val="000000"/>
                <w:sz w:val="16"/>
                <w:szCs w:val="16"/>
              </w:rPr>
              <w:t>10 808</w:t>
            </w:r>
          </w:p>
        </w:tc>
        <w:tc>
          <w:tcPr>
            <w:tcW w:w="1153" w:type="dxa"/>
            <w:tcBorders>
              <w:top w:val="nil"/>
              <w:left w:val="nil"/>
              <w:bottom w:val="nil"/>
              <w:right w:val="nil"/>
            </w:tcBorders>
            <w:shd w:val="clear" w:color="auto" w:fill="auto"/>
            <w:noWrap/>
            <w:vAlign w:val="center"/>
            <w:hideMark/>
          </w:tcPr>
          <w:p w14:paraId="06F8ED78" w14:textId="77777777" w:rsidR="00F96912" w:rsidRPr="00CD000E" w:rsidRDefault="00F96912" w:rsidP="006658D5">
            <w:pPr>
              <w:jc w:val="center"/>
              <w:rPr>
                <w:color w:val="000000"/>
                <w:sz w:val="16"/>
                <w:szCs w:val="16"/>
              </w:rPr>
            </w:pPr>
            <w:r w:rsidRPr="00CD000E">
              <w:rPr>
                <w:color w:val="000000"/>
                <w:sz w:val="16"/>
                <w:szCs w:val="16"/>
              </w:rPr>
              <w:t>11 336</w:t>
            </w:r>
          </w:p>
        </w:tc>
        <w:tc>
          <w:tcPr>
            <w:tcW w:w="1170" w:type="dxa"/>
            <w:tcBorders>
              <w:top w:val="nil"/>
              <w:left w:val="nil"/>
              <w:bottom w:val="nil"/>
              <w:right w:val="nil"/>
            </w:tcBorders>
            <w:shd w:val="clear" w:color="auto" w:fill="auto"/>
            <w:noWrap/>
            <w:vAlign w:val="center"/>
            <w:hideMark/>
          </w:tcPr>
          <w:p w14:paraId="16BACA3F" w14:textId="77777777" w:rsidR="00F96912" w:rsidRPr="00CD000E" w:rsidRDefault="00F96912" w:rsidP="006658D5">
            <w:pPr>
              <w:jc w:val="center"/>
              <w:rPr>
                <w:color w:val="000000"/>
                <w:sz w:val="16"/>
                <w:szCs w:val="16"/>
              </w:rPr>
            </w:pPr>
            <w:r w:rsidRPr="00CD000E">
              <w:rPr>
                <w:color w:val="000000"/>
                <w:sz w:val="16"/>
                <w:szCs w:val="16"/>
              </w:rPr>
              <w:t>5 078</w:t>
            </w:r>
          </w:p>
        </w:tc>
      </w:tr>
      <w:tr w:rsidR="00F96912" w:rsidRPr="00CD000E" w14:paraId="46C6BBA7" w14:textId="77777777" w:rsidTr="006658D5">
        <w:trPr>
          <w:jc w:val="center"/>
        </w:trPr>
        <w:tc>
          <w:tcPr>
            <w:tcW w:w="627" w:type="dxa"/>
            <w:tcBorders>
              <w:top w:val="nil"/>
              <w:left w:val="nil"/>
              <w:bottom w:val="nil"/>
              <w:right w:val="nil"/>
            </w:tcBorders>
            <w:shd w:val="clear" w:color="auto" w:fill="auto"/>
            <w:noWrap/>
            <w:vAlign w:val="center"/>
            <w:hideMark/>
          </w:tcPr>
          <w:p w14:paraId="3198EBD6" w14:textId="77777777" w:rsidR="00F96912" w:rsidRPr="00CD000E" w:rsidRDefault="00F96912" w:rsidP="006658D5">
            <w:pPr>
              <w:rPr>
                <w:sz w:val="16"/>
                <w:szCs w:val="16"/>
              </w:rPr>
            </w:pPr>
            <w:r w:rsidRPr="00CD000E">
              <w:rPr>
                <w:sz w:val="16"/>
                <w:szCs w:val="16"/>
              </w:rPr>
              <w:t>VIII.2</w:t>
            </w:r>
          </w:p>
        </w:tc>
        <w:tc>
          <w:tcPr>
            <w:tcW w:w="4236" w:type="dxa"/>
            <w:tcBorders>
              <w:top w:val="nil"/>
              <w:left w:val="nil"/>
              <w:bottom w:val="nil"/>
              <w:right w:val="nil"/>
            </w:tcBorders>
            <w:shd w:val="clear" w:color="auto" w:fill="auto"/>
            <w:vAlign w:val="center"/>
            <w:hideMark/>
          </w:tcPr>
          <w:p w14:paraId="529C49D5" w14:textId="77777777" w:rsidR="00F96912" w:rsidRPr="00CD000E" w:rsidRDefault="00F96912" w:rsidP="006658D5">
            <w:pPr>
              <w:rPr>
                <w:sz w:val="16"/>
                <w:szCs w:val="16"/>
              </w:rPr>
            </w:pPr>
            <w:r w:rsidRPr="00CD000E">
              <w:rPr>
                <w:sz w:val="16"/>
                <w:szCs w:val="16"/>
              </w:rPr>
              <w:t>Amélioration de l’orientation vers les services et de la réactivité à la demande</w:t>
            </w:r>
          </w:p>
        </w:tc>
        <w:tc>
          <w:tcPr>
            <w:tcW w:w="1154" w:type="dxa"/>
            <w:tcBorders>
              <w:top w:val="nil"/>
              <w:left w:val="nil"/>
              <w:bottom w:val="nil"/>
              <w:right w:val="nil"/>
            </w:tcBorders>
            <w:shd w:val="clear" w:color="auto" w:fill="auto"/>
            <w:noWrap/>
            <w:vAlign w:val="center"/>
            <w:hideMark/>
          </w:tcPr>
          <w:p w14:paraId="50C94918" w14:textId="77777777" w:rsidR="00F96912" w:rsidRPr="00CD000E" w:rsidRDefault="00F96912" w:rsidP="006658D5">
            <w:pPr>
              <w:jc w:val="center"/>
              <w:rPr>
                <w:color w:val="000000"/>
                <w:sz w:val="16"/>
                <w:szCs w:val="16"/>
              </w:rPr>
            </w:pPr>
            <w:r w:rsidRPr="00CD000E">
              <w:rPr>
                <w:color w:val="000000"/>
                <w:sz w:val="16"/>
                <w:szCs w:val="16"/>
              </w:rPr>
              <w:t>5 674</w:t>
            </w:r>
          </w:p>
        </w:tc>
        <w:tc>
          <w:tcPr>
            <w:tcW w:w="1153" w:type="dxa"/>
            <w:tcBorders>
              <w:top w:val="nil"/>
              <w:left w:val="nil"/>
              <w:bottom w:val="nil"/>
              <w:right w:val="nil"/>
            </w:tcBorders>
            <w:shd w:val="clear" w:color="auto" w:fill="auto"/>
            <w:noWrap/>
            <w:vAlign w:val="center"/>
            <w:hideMark/>
          </w:tcPr>
          <w:p w14:paraId="5505F9F4" w14:textId="77777777" w:rsidR="00F96912" w:rsidRPr="00CD000E" w:rsidRDefault="00F96912" w:rsidP="006658D5">
            <w:pPr>
              <w:jc w:val="center"/>
              <w:rPr>
                <w:color w:val="000000"/>
                <w:sz w:val="16"/>
                <w:szCs w:val="16"/>
              </w:rPr>
            </w:pPr>
            <w:r w:rsidRPr="00CD000E">
              <w:rPr>
                <w:color w:val="000000"/>
                <w:sz w:val="16"/>
                <w:szCs w:val="16"/>
              </w:rPr>
              <w:t>5 653</w:t>
            </w:r>
          </w:p>
        </w:tc>
        <w:tc>
          <w:tcPr>
            <w:tcW w:w="1170" w:type="dxa"/>
            <w:tcBorders>
              <w:top w:val="nil"/>
              <w:left w:val="nil"/>
              <w:bottom w:val="nil"/>
              <w:right w:val="nil"/>
            </w:tcBorders>
            <w:shd w:val="clear" w:color="auto" w:fill="auto"/>
            <w:noWrap/>
            <w:vAlign w:val="center"/>
            <w:hideMark/>
          </w:tcPr>
          <w:p w14:paraId="6152F67B" w14:textId="77777777" w:rsidR="00F96912" w:rsidRPr="00CD000E" w:rsidRDefault="00F96912" w:rsidP="006658D5">
            <w:pPr>
              <w:jc w:val="center"/>
              <w:rPr>
                <w:color w:val="000000"/>
                <w:sz w:val="16"/>
                <w:szCs w:val="16"/>
              </w:rPr>
            </w:pPr>
            <w:r w:rsidRPr="00CD000E">
              <w:rPr>
                <w:color w:val="000000"/>
                <w:sz w:val="16"/>
                <w:szCs w:val="16"/>
              </w:rPr>
              <w:t>2 609</w:t>
            </w:r>
          </w:p>
        </w:tc>
      </w:tr>
      <w:tr w:rsidR="00F96912" w:rsidRPr="00CD000E" w14:paraId="5CFFD6E3" w14:textId="77777777" w:rsidTr="006658D5">
        <w:trPr>
          <w:jc w:val="center"/>
        </w:trPr>
        <w:tc>
          <w:tcPr>
            <w:tcW w:w="627" w:type="dxa"/>
            <w:tcBorders>
              <w:top w:val="nil"/>
              <w:left w:val="nil"/>
              <w:bottom w:val="nil"/>
              <w:right w:val="nil"/>
            </w:tcBorders>
            <w:shd w:val="clear" w:color="000000" w:fill="C5D9F1"/>
            <w:noWrap/>
            <w:vAlign w:val="bottom"/>
            <w:hideMark/>
          </w:tcPr>
          <w:p w14:paraId="5119CFE2" w14:textId="77777777" w:rsidR="00F96912" w:rsidRPr="00CD000E" w:rsidRDefault="00F96912" w:rsidP="006658D5">
            <w:pPr>
              <w:rPr>
                <w:sz w:val="16"/>
                <w:szCs w:val="16"/>
              </w:rPr>
            </w:pPr>
            <w:r w:rsidRPr="00CD000E">
              <w:rPr>
                <w:sz w:val="16"/>
                <w:szCs w:val="16"/>
              </w:rPr>
              <w:t> </w:t>
            </w:r>
          </w:p>
        </w:tc>
        <w:tc>
          <w:tcPr>
            <w:tcW w:w="4236" w:type="dxa"/>
            <w:tcBorders>
              <w:top w:val="nil"/>
              <w:left w:val="nil"/>
              <w:bottom w:val="nil"/>
              <w:right w:val="nil"/>
            </w:tcBorders>
            <w:shd w:val="clear" w:color="000000" w:fill="C5D9F1"/>
            <w:noWrap/>
            <w:vAlign w:val="bottom"/>
            <w:hideMark/>
          </w:tcPr>
          <w:p w14:paraId="6648DF40" w14:textId="77777777" w:rsidR="00F96912" w:rsidRPr="00CD000E" w:rsidRDefault="00F96912" w:rsidP="006658D5">
            <w:pPr>
              <w:jc w:val="right"/>
              <w:rPr>
                <w:b/>
                <w:bCs/>
                <w:sz w:val="16"/>
                <w:szCs w:val="16"/>
              </w:rPr>
            </w:pPr>
            <w:r w:rsidRPr="00CD000E">
              <w:rPr>
                <w:b/>
                <w:bCs/>
                <w:sz w:val="16"/>
                <w:szCs w:val="16"/>
              </w:rPr>
              <w:t>Total</w:t>
            </w:r>
          </w:p>
        </w:tc>
        <w:tc>
          <w:tcPr>
            <w:tcW w:w="1154" w:type="dxa"/>
            <w:tcBorders>
              <w:top w:val="nil"/>
              <w:left w:val="nil"/>
              <w:bottom w:val="nil"/>
              <w:right w:val="nil"/>
            </w:tcBorders>
            <w:shd w:val="clear" w:color="000000" w:fill="C5D9F1"/>
            <w:noWrap/>
            <w:vAlign w:val="center"/>
            <w:hideMark/>
          </w:tcPr>
          <w:p w14:paraId="14A98567" w14:textId="77777777" w:rsidR="00F96912" w:rsidRPr="00CD000E" w:rsidRDefault="00F96912" w:rsidP="006658D5">
            <w:pPr>
              <w:jc w:val="center"/>
              <w:rPr>
                <w:color w:val="000000"/>
                <w:sz w:val="16"/>
                <w:szCs w:val="16"/>
              </w:rPr>
            </w:pPr>
            <w:r w:rsidRPr="00CD000E">
              <w:rPr>
                <w:color w:val="000000"/>
                <w:sz w:val="16"/>
                <w:szCs w:val="16"/>
              </w:rPr>
              <w:t>16 483</w:t>
            </w:r>
          </w:p>
        </w:tc>
        <w:tc>
          <w:tcPr>
            <w:tcW w:w="1153" w:type="dxa"/>
            <w:tcBorders>
              <w:top w:val="nil"/>
              <w:left w:val="nil"/>
              <w:bottom w:val="nil"/>
              <w:right w:val="nil"/>
            </w:tcBorders>
            <w:shd w:val="clear" w:color="000000" w:fill="C5D9F1"/>
            <w:noWrap/>
            <w:vAlign w:val="center"/>
            <w:hideMark/>
          </w:tcPr>
          <w:p w14:paraId="466F6A27" w14:textId="77777777" w:rsidR="00F96912" w:rsidRPr="00CD000E" w:rsidRDefault="00F96912" w:rsidP="006658D5">
            <w:pPr>
              <w:jc w:val="center"/>
              <w:rPr>
                <w:color w:val="000000"/>
                <w:sz w:val="16"/>
                <w:szCs w:val="16"/>
              </w:rPr>
            </w:pPr>
            <w:r w:rsidRPr="00CD000E">
              <w:rPr>
                <w:color w:val="000000"/>
                <w:sz w:val="16"/>
                <w:szCs w:val="16"/>
              </w:rPr>
              <w:t>16 989</w:t>
            </w:r>
          </w:p>
        </w:tc>
        <w:tc>
          <w:tcPr>
            <w:tcW w:w="1170" w:type="dxa"/>
            <w:tcBorders>
              <w:top w:val="nil"/>
              <w:left w:val="nil"/>
              <w:bottom w:val="nil"/>
              <w:right w:val="nil"/>
            </w:tcBorders>
            <w:shd w:val="clear" w:color="000000" w:fill="C5D9F1"/>
            <w:noWrap/>
            <w:vAlign w:val="center"/>
            <w:hideMark/>
          </w:tcPr>
          <w:p w14:paraId="3B483AAD" w14:textId="77777777" w:rsidR="00F96912" w:rsidRPr="00CD000E" w:rsidRDefault="00F96912" w:rsidP="006658D5">
            <w:pPr>
              <w:jc w:val="center"/>
              <w:rPr>
                <w:color w:val="000000"/>
                <w:sz w:val="16"/>
                <w:szCs w:val="16"/>
              </w:rPr>
            </w:pPr>
            <w:r w:rsidRPr="00CD000E">
              <w:rPr>
                <w:color w:val="000000"/>
                <w:sz w:val="16"/>
                <w:szCs w:val="16"/>
              </w:rPr>
              <w:t>7 687</w:t>
            </w:r>
          </w:p>
        </w:tc>
      </w:tr>
      <w:tr w:rsidR="00F96912" w:rsidRPr="00CD000E" w14:paraId="0265B1B1" w14:textId="77777777" w:rsidTr="006658D5">
        <w:trPr>
          <w:jc w:val="center"/>
        </w:trPr>
        <w:tc>
          <w:tcPr>
            <w:tcW w:w="8340" w:type="dxa"/>
            <w:gridSpan w:val="5"/>
            <w:tcBorders>
              <w:top w:val="nil"/>
              <w:left w:val="nil"/>
              <w:bottom w:val="nil"/>
              <w:right w:val="nil"/>
            </w:tcBorders>
            <w:shd w:val="clear" w:color="auto" w:fill="auto"/>
            <w:noWrap/>
            <w:vAlign w:val="center"/>
            <w:hideMark/>
          </w:tcPr>
          <w:p w14:paraId="5DE3ACB6" w14:textId="77777777" w:rsidR="00F96912" w:rsidRPr="00CD000E" w:rsidRDefault="00F96912" w:rsidP="006658D5">
            <w:pPr>
              <w:rPr>
                <w:sz w:val="16"/>
                <w:szCs w:val="16"/>
              </w:rPr>
            </w:pPr>
            <w:r w:rsidRPr="00CD000E">
              <w:rPr>
                <w:i/>
                <w:iCs/>
                <w:sz w:val="16"/>
                <w:szCs w:val="16"/>
              </w:rPr>
              <w:t>*Les chiffres des dépenses pour 2016 sont préliminaires, sous réserve d’audit par les vérificateurs externes des comptes</w:t>
            </w:r>
          </w:p>
        </w:tc>
      </w:tr>
    </w:tbl>
    <w:p w14:paraId="125E722D" w14:textId="77777777" w:rsidR="00F96912" w:rsidRPr="00CD000E" w:rsidRDefault="00F96912" w:rsidP="00F96912">
      <w:pPr>
        <w:rPr>
          <w:sz w:val="20"/>
        </w:rPr>
      </w:pPr>
    </w:p>
    <w:p w14:paraId="4C4ED588" w14:textId="77777777" w:rsidR="00F96912" w:rsidRPr="00CD000E" w:rsidRDefault="00F96912" w:rsidP="00F96912">
      <w:pPr>
        <w:pStyle w:val="NormalWeb"/>
        <w:keepNext/>
        <w:keepLines/>
        <w:spacing w:before="0" w:beforeAutospacing="0" w:after="0" w:afterAutospacing="0"/>
        <w:jc w:val="center"/>
        <w:rPr>
          <w:color w:val="000000"/>
        </w:rPr>
      </w:pPr>
      <w:r w:rsidRPr="00CD000E">
        <w:rPr>
          <w:color w:val="000000"/>
        </w:rPr>
        <w:t>Budget et dépenses effectives (dépenses de personnel et autres dépenses)</w:t>
      </w:r>
    </w:p>
    <w:p w14:paraId="0762A132" w14:textId="77777777" w:rsidR="00F96912" w:rsidRPr="00CD000E" w:rsidRDefault="00F96912" w:rsidP="00F96912">
      <w:pPr>
        <w:pStyle w:val="NormalWeb"/>
        <w:keepNext/>
        <w:keepLines/>
        <w:spacing w:before="0" w:beforeAutospacing="0" w:after="0" w:afterAutospacing="0"/>
        <w:jc w:val="center"/>
      </w:pPr>
      <w:r w:rsidRPr="00CD000E">
        <w:rPr>
          <w:i/>
          <w:iCs/>
          <w:color w:val="000000"/>
          <w:sz w:val="16"/>
          <w:szCs w:val="16"/>
        </w:rPr>
        <w:t>(en milliers de francs suisses)</w:t>
      </w:r>
    </w:p>
    <w:p w14:paraId="6DCEA605"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CD000E" w14:paraId="7A69DBDD" w14:textId="77777777" w:rsidTr="006658D5">
        <w:trPr>
          <w:jc w:val="center"/>
        </w:trPr>
        <w:tc>
          <w:tcPr>
            <w:tcW w:w="2470" w:type="dxa"/>
            <w:tcBorders>
              <w:top w:val="nil"/>
              <w:left w:val="nil"/>
              <w:bottom w:val="nil"/>
              <w:right w:val="nil"/>
            </w:tcBorders>
            <w:shd w:val="clear" w:color="000000" w:fill="C5D9F1"/>
            <w:noWrap/>
            <w:vAlign w:val="center"/>
            <w:hideMark/>
          </w:tcPr>
          <w:p w14:paraId="2BC40A20" w14:textId="77777777" w:rsidR="00F96912" w:rsidRPr="00CD000E" w:rsidRDefault="00F96912" w:rsidP="006658D5">
            <w:pPr>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1AC52E4A"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198D9D5C"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68DA890B" w14:textId="77777777" w:rsidR="00F96912" w:rsidRPr="00CD000E" w:rsidRDefault="00F96912" w:rsidP="006658D5">
            <w:pPr>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22C854CC" w14:textId="77777777" w:rsidR="00F96912" w:rsidRPr="00CD000E" w:rsidRDefault="00F96912" w:rsidP="006658D5">
            <w:pPr>
              <w:jc w:val="center"/>
              <w:rPr>
                <w:b/>
                <w:bCs/>
                <w:color w:val="000000"/>
                <w:sz w:val="16"/>
                <w:szCs w:val="16"/>
              </w:rPr>
            </w:pPr>
            <w:r w:rsidRPr="00754EC1">
              <w:rPr>
                <w:b/>
                <w:bCs/>
                <w:sz w:val="16"/>
                <w:szCs w:val="16"/>
              </w:rPr>
              <w:t>Taux d’utilisation (%)</w:t>
            </w:r>
          </w:p>
        </w:tc>
      </w:tr>
      <w:tr w:rsidR="00F96912" w:rsidRPr="00CD000E" w14:paraId="26A6BD95" w14:textId="77777777" w:rsidTr="006658D5">
        <w:trPr>
          <w:jc w:val="center"/>
        </w:trPr>
        <w:tc>
          <w:tcPr>
            <w:tcW w:w="2470" w:type="dxa"/>
            <w:tcBorders>
              <w:top w:val="nil"/>
              <w:left w:val="nil"/>
              <w:bottom w:val="nil"/>
              <w:right w:val="nil"/>
            </w:tcBorders>
            <w:shd w:val="clear" w:color="auto" w:fill="auto"/>
            <w:noWrap/>
            <w:vAlign w:val="center"/>
            <w:hideMark/>
          </w:tcPr>
          <w:p w14:paraId="4A24B19C" w14:textId="77777777" w:rsidR="00F96912" w:rsidRPr="00CD000E" w:rsidRDefault="00F96912" w:rsidP="006658D5">
            <w:pPr>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7CBE7EF7" w14:textId="77777777" w:rsidR="00F96912" w:rsidRPr="00CD000E" w:rsidRDefault="00F96912" w:rsidP="006658D5">
            <w:pPr>
              <w:jc w:val="center"/>
              <w:rPr>
                <w:color w:val="000000"/>
                <w:sz w:val="16"/>
                <w:szCs w:val="16"/>
              </w:rPr>
            </w:pPr>
            <w:r w:rsidRPr="00CD000E">
              <w:rPr>
                <w:color w:val="000000"/>
                <w:sz w:val="16"/>
                <w:szCs w:val="16"/>
              </w:rPr>
              <w:t xml:space="preserve">13 996 </w:t>
            </w:r>
          </w:p>
        </w:tc>
        <w:tc>
          <w:tcPr>
            <w:tcW w:w="1438" w:type="dxa"/>
            <w:tcBorders>
              <w:top w:val="nil"/>
              <w:left w:val="nil"/>
              <w:bottom w:val="nil"/>
              <w:right w:val="nil"/>
            </w:tcBorders>
            <w:shd w:val="clear" w:color="auto" w:fill="auto"/>
            <w:vAlign w:val="center"/>
            <w:hideMark/>
          </w:tcPr>
          <w:p w14:paraId="3319CD02" w14:textId="77777777" w:rsidR="00F96912" w:rsidRPr="00CD000E" w:rsidRDefault="00F96912" w:rsidP="006658D5">
            <w:pPr>
              <w:jc w:val="center"/>
              <w:rPr>
                <w:color w:val="000000"/>
                <w:sz w:val="16"/>
                <w:szCs w:val="16"/>
              </w:rPr>
            </w:pPr>
            <w:r w:rsidRPr="00CD000E">
              <w:rPr>
                <w:color w:val="000000"/>
                <w:sz w:val="16"/>
                <w:szCs w:val="16"/>
              </w:rPr>
              <w:t xml:space="preserve">13 991 </w:t>
            </w:r>
          </w:p>
        </w:tc>
        <w:tc>
          <w:tcPr>
            <w:tcW w:w="1438" w:type="dxa"/>
            <w:tcBorders>
              <w:top w:val="nil"/>
              <w:left w:val="nil"/>
              <w:bottom w:val="nil"/>
              <w:right w:val="nil"/>
            </w:tcBorders>
            <w:shd w:val="clear" w:color="auto" w:fill="auto"/>
            <w:vAlign w:val="center"/>
            <w:hideMark/>
          </w:tcPr>
          <w:p w14:paraId="7FDA8231" w14:textId="77777777" w:rsidR="00F96912" w:rsidRPr="00CD000E" w:rsidRDefault="00F96912" w:rsidP="006658D5">
            <w:pPr>
              <w:jc w:val="center"/>
              <w:rPr>
                <w:color w:val="000000"/>
                <w:sz w:val="16"/>
                <w:szCs w:val="16"/>
              </w:rPr>
            </w:pPr>
            <w:r w:rsidRPr="00CD000E">
              <w:rPr>
                <w:color w:val="000000"/>
                <w:sz w:val="16"/>
                <w:szCs w:val="16"/>
              </w:rPr>
              <w:t xml:space="preserve">6 500 </w:t>
            </w:r>
          </w:p>
        </w:tc>
        <w:tc>
          <w:tcPr>
            <w:tcW w:w="1438" w:type="dxa"/>
            <w:tcBorders>
              <w:top w:val="nil"/>
              <w:left w:val="nil"/>
              <w:bottom w:val="nil"/>
              <w:right w:val="nil"/>
            </w:tcBorders>
            <w:shd w:val="clear" w:color="auto" w:fill="auto"/>
            <w:vAlign w:val="center"/>
            <w:hideMark/>
          </w:tcPr>
          <w:p w14:paraId="7CC1820A" w14:textId="77777777" w:rsidR="00F96912" w:rsidRPr="00CD000E" w:rsidRDefault="00F96912" w:rsidP="006658D5">
            <w:pPr>
              <w:jc w:val="center"/>
              <w:rPr>
                <w:color w:val="000000"/>
                <w:sz w:val="16"/>
                <w:szCs w:val="16"/>
              </w:rPr>
            </w:pPr>
            <w:r w:rsidRPr="00CD000E">
              <w:rPr>
                <w:color w:val="000000"/>
                <w:sz w:val="16"/>
                <w:szCs w:val="16"/>
              </w:rPr>
              <w:t>46%</w:t>
            </w:r>
          </w:p>
        </w:tc>
      </w:tr>
      <w:tr w:rsidR="00F96912" w:rsidRPr="00CD000E" w14:paraId="4FBAD8C6" w14:textId="77777777" w:rsidTr="006658D5">
        <w:trPr>
          <w:jc w:val="center"/>
        </w:trPr>
        <w:tc>
          <w:tcPr>
            <w:tcW w:w="2470" w:type="dxa"/>
            <w:tcBorders>
              <w:top w:val="nil"/>
              <w:left w:val="nil"/>
              <w:bottom w:val="nil"/>
              <w:right w:val="nil"/>
            </w:tcBorders>
            <w:shd w:val="clear" w:color="auto" w:fill="auto"/>
            <w:noWrap/>
            <w:vAlign w:val="center"/>
            <w:hideMark/>
          </w:tcPr>
          <w:p w14:paraId="65C3D205" w14:textId="77777777" w:rsidR="00F96912" w:rsidRPr="00CD000E" w:rsidRDefault="00F96912" w:rsidP="006658D5">
            <w:pPr>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245D024E" w14:textId="77777777" w:rsidR="00F96912" w:rsidRPr="00CD000E" w:rsidRDefault="00F96912" w:rsidP="006658D5">
            <w:pPr>
              <w:jc w:val="center"/>
              <w:rPr>
                <w:color w:val="000000"/>
                <w:sz w:val="16"/>
                <w:szCs w:val="16"/>
              </w:rPr>
            </w:pPr>
            <w:r w:rsidRPr="00CD000E">
              <w:rPr>
                <w:color w:val="000000"/>
                <w:sz w:val="16"/>
                <w:szCs w:val="16"/>
              </w:rPr>
              <w:t xml:space="preserve">2 487 </w:t>
            </w:r>
          </w:p>
        </w:tc>
        <w:tc>
          <w:tcPr>
            <w:tcW w:w="1438" w:type="dxa"/>
            <w:tcBorders>
              <w:top w:val="nil"/>
              <w:left w:val="nil"/>
              <w:bottom w:val="nil"/>
              <w:right w:val="nil"/>
            </w:tcBorders>
            <w:shd w:val="clear" w:color="auto" w:fill="auto"/>
            <w:vAlign w:val="center"/>
            <w:hideMark/>
          </w:tcPr>
          <w:p w14:paraId="1F2E20D0" w14:textId="77777777" w:rsidR="00F96912" w:rsidRPr="00CD000E" w:rsidRDefault="00F96912" w:rsidP="006658D5">
            <w:pPr>
              <w:jc w:val="center"/>
              <w:rPr>
                <w:color w:val="000000"/>
                <w:sz w:val="16"/>
                <w:szCs w:val="16"/>
              </w:rPr>
            </w:pPr>
            <w:r w:rsidRPr="00CD000E">
              <w:rPr>
                <w:color w:val="000000"/>
                <w:sz w:val="16"/>
                <w:szCs w:val="16"/>
              </w:rPr>
              <w:t xml:space="preserve">2 998 </w:t>
            </w:r>
          </w:p>
        </w:tc>
        <w:tc>
          <w:tcPr>
            <w:tcW w:w="1438" w:type="dxa"/>
            <w:tcBorders>
              <w:top w:val="nil"/>
              <w:left w:val="nil"/>
              <w:bottom w:val="nil"/>
              <w:right w:val="nil"/>
            </w:tcBorders>
            <w:shd w:val="clear" w:color="auto" w:fill="auto"/>
            <w:vAlign w:val="center"/>
            <w:hideMark/>
          </w:tcPr>
          <w:p w14:paraId="47AD8110" w14:textId="77777777" w:rsidR="00F96912" w:rsidRPr="00CD000E" w:rsidRDefault="00F96912" w:rsidP="006658D5">
            <w:pPr>
              <w:jc w:val="center"/>
              <w:rPr>
                <w:color w:val="000000"/>
                <w:sz w:val="16"/>
                <w:szCs w:val="16"/>
              </w:rPr>
            </w:pPr>
            <w:r w:rsidRPr="00CD000E">
              <w:rPr>
                <w:color w:val="000000"/>
                <w:sz w:val="16"/>
                <w:szCs w:val="16"/>
              </w:rPr>
              <w:t xml:space="preserve">1 187 </w:t>
            </w:r>
          </w:p>
        </w:tc>
        <w:tc>
          <w:tcPr>
            <w:tcW w:w="1438" w:type="dxa"/>
            <w:tcBorders>
              <w:top w:val="nil"/>
              <w:left w:val="nil"/>
              <w:bottom w:val="nil"/>
              <w:right w:val="nil"/>
            </w:tcBorders>
            <w:shd w:val="clear" w:color="auto" w:fill="auto"/>
            <w:vAlign w:val="center"/>
            <w:hideMark/>
          </w:tcPr>
          <w:p w14:paraId="663D10D0" w14:textId="77777777" w:rsidR="00F96912" w:rsidRPr="00CD000E" w:rsidRDefault="00F96912" w:rsidP="006658D5">
            <w:pPr>
              <w:jc w:val="center"/>
              <w:rPr>
                <w:color w:val="000000"/>
                <w:sz w:val="16"/>
                <w:szCs w:val="16"/>
              </w:rPr>
            </w:pPr>
            <w:r w:rsidRPr="00CD000E">
              <w:rPr>
                <w:color w:val="000000"/>
                <w:sz w:val="16"/>
                <w:szCs w:val="16"/>
              </w:rPr>
              <w:t>40%</w:t>
            </w:r>
          </w:p>
        </w:tc>
      </w:tr>
      <w:tr w:rsidR="00F96912" w:rsidRPr="00CD000E" w14:paraId="45E4C025" w14:textId="77777777" w:rsidTr="006658D5">
        <w:trPr>
          <w:jc w:val="center"/>
        </w:trPr>
        <w:tc>
          <w:tcPr>
            <w:tcW w:w="2470" w:type="dxa"/>
            <w:tcBorders>
              <w:top w:val="nil"/>
              <w:left w:val="nil"/>
              <w:bottom w:val="nil"/>
              <w:right w:val="nil"/>
            </w:tcBorders>
            <w:shd w:val="clear" w:color="000000" w:fill="C5D9F1"/>
            <w:noWrap/>
            <w:vAlign w:val="center"/>
            <w:hideMark/>
          </w:tcPr>
          <w:p w14:paraId="4E1AFC45" w14:textId="77777777" w:rsidR="00F96912" w:rsidRPr="00CD000E" w:rsidRDefault="00F96912" w:rsidP="006658D5">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7C4CC2D2" w14:textId="77777777" w:rsidR="00F96912" w:rsidRPr="00CD000E" w:rsidRDefault="00F96912" w:rsidP="006658D5">
            <w:pPr>
              <w:jc w:val="center"/>
              <w:rPr>
                <w:b/>
                <w:bCs/>
                <w:color w:val="000000"/>
                <w:sz w:val="16"/>
                <w:szCs w:val="16"/>
              </w:rPr>
            </w:pPr>
            <w:r w:rsidRPr="00CD000E">
              <w:rPr>
                <w:b/>
                <w:bCs/>
                <w:color w:val="000000"/>
                <w:sz w:val="16"/>
                <w:szCs w:val="16"/>
              </w:rPr>
              <w:t xml:space="preserve">16 483 </w:t>
            </w:r>
          </w:p>
        </w:tc>
        <w:tc>
          <w:tcPr>
            <w:tcW w:w="1438" w:type="dxa"/>
            <w:tcBorders>
              <w:top w:val="nil"/>
              <w:left w:val="nil"/>
              <w:bottom w:val="nil"/>
              <w:right w:val="nil"/>
            </w:tcBorders>
            <w:shd w:val="clear" w:color="000000" w:fill="C5D9F1"/>
            <w:vAlign w:val="center"/>
            <w:hideMark/>
          </w:tcPr>
          <w:p w14:paraId="27DAF7BD" w14:textId="77777777" w:rsidR="00F96912" w:rsidRPr="00CD000E" w:rsidRDefault="00F96912" w:rsidP="006658D5">
            <w:pPr>
              <w:jc w:val="center"/>
              <w:rPr>
                <w:b/>
                <w:bCs/>
                <w:color w:val="000000"/>
                <w:sz w:val="16"/>
                <w:szCs w:val="16"/>
              </w:rPr>
            </w:pPr>
            <w:r w:rsidRPr="00CD000E">
              <w:rPr>
                <w:b/>
                <w:bCs/>
                <w:color w:val="000000"/>
                <w:sz w:val="16"/>
                <w:szCs w:val="16"/>
              </w:rPr>
              <w:t xml:space="preserve">16 989 </w:t>
            </w:r>
          </w:p>
        </w:tc>
        <w:tc>
          <w:tcPr>
            <w:tcW w:w="1438" w:type="dxa"/>
            <w:tcBorders>
              <w:top w:val="nil"/>
              <w:left w:val="nil"/>
              <w:bottom w:val="nil"/>
              <w:right w:val="nil"/>
            </w:tcBorders>
            <w:shd w:val="clear" w:color="000000" w:fill="C5D9F1"/>
            <w:vAlign w:val="center"/>
            <w:hideMark/>
          </w:tcPr>
          <w:p w14:paraId="165ED478" w14:textId="77777777" w:rsidR="00F96912" w:rsidRPr="00CD000E" w:rsidRDefault="00F96912" w:rsidP="006658D5">
            <w:pPr>
              <w:jc w:val="center"/>
              <w:rPr>
                <w:b/>
                <w:bCs/>
                <w:color w:val="000000"/>
                <w:sz w:val="16"/>
                <w:szCs w:val="16"/>
              </w:rPr>
            </w:pPr>
            <w:r w:rsidRPr="00CD000E">
              <w:rPr>
                <w:b/>
                <w:bCs/>
                <w:color w:val="000000"/>
                <w:sz w:val="16"/>
                <w:szCs w:val="16"/>
              </w:rPr>
              <w:t xml:space="preserve">7 687 </w:t>
            </w:r>
          </w:p>
        </w:tc>
        <w:tc>
          <w:tcPr>
            <w:tcW w:w="1438" w:type="dxa"/>
            <w:tcBorders>
              <w:top w:val="nil"/>
              <w:left w:val="nil"/>
              <w:bottom w:val="nil"/>
              <w:right w:val="nil"/>
            </w:tcBorders>
            <w:shd w:val="clear" w:color="000000" w:fill="C5D9F1"/>
            <w:vAlign w:val="center"/>
            <w:hideMark/>
          </w:tcPr>
          <w:p w14:paraId="4F09CC05" w14:textId="77777777" w:rsidR="00F96912" w:rsidRPr="00CD000E" w:rsidRDefault="00F96912" w:rsidP="006658D5">
            <w:pPr>
              <w:jc w:val="center"/>
              <w:rPr>
                <w:b/>
                <w:bCs/>
                <w:color w:val="000000"/>
                <w:sz w:val="16"/>
                <w:szCs w:val="16"/>
              </w:rPr>
            </w:pPr>
            <w:r w:rsidRPr="00CD000E">
              <w:rPr>
                <w:b/>
                <w:bCs/>
                <w:color w:val="000000"/>
                <w:sz w:val="16"/>
                <w:szCs w:val="16"/>
              </w:rPr>
              <w:t>45%</w:t>
            </w:r>
          </w:p>
        </w:tc>
      </w:tr>
      <w:tr w:rsidR="00F96912" w:rsidRPr="00CD000E" w14:paraId="2F5E1E79"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73AC2D98" w14:textId="77777777" w:rsidR="00F96912" w:rsidRPr="00CD000E" w:rsidRDefault="00F96912" w:rsidP="006658D5">
            <w:pPr>
              <w:rPr>
                <w:i/>
                <w:iCs/>
                <w:color w:val="000000"/>
                <w:sz w:val="16"/>
                <w:szCs w:val="16"/>
              </w:rPr>
            </w:pPr>
            <w:r w:rsidRPr="00CD000E">
              <w:rPr>
                <w:i/>
                <w:iCs/>
                <w:color w:val="000000"/>
                <w:sz w:val="16"/>
                <w:szCs w:val="16"/>
              </w:rPr>
              <w:t xml:space="preserve">*Les chiffres des dépenses pour 2016 sont préliminaires, sous réserve d’audit par les vérificateurs externes des comptes </w:t>
            </w:r>
          </w:p>
        </w:tc>
      </w:tr>
    </w:tbl>
    <w:p w14:paraId="48C3E458" w14:textId="77777777" w:rsidR="00F96912" w:rsidRPr="00CD000E" w:rsidRDefault="00F96912" w:rsidP="00F96912">
      <w:pPr>
        <w:rPr>
          <w:sz w:val="20"/>
        </w:rPr>
      </w:pPr>
    </w:p>
    <w:p w14:paraId="1E1BDC63" w14:textId="4ED9AF43" w:rsidR="00F96912" w:rsidRPr="00CD000E" w:rsidRDefault="00F96912" w:rsidP="00F96912">
      <w:pPr>
        <w:keepNext/>
        <w:keepLines/>
        <w:ind w:left="567" w:right="424"/>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2DE28254" w14:textId="77777777" w:rsidR="00F96912" w:rsidRPr="00CD000E" w:rsidRDefault="00F96912" w:rsidP="00F96912">
      <w:pPr>
        <w:rPr>
          <w:sz w:val="20"/>
        </w:rPr>
      </w:pPr>
    </w:p>
    <w:p w14:paraId="65AEAB7A" w14:textId="77777777" w:rsidR="00F96912" w:rsidRPr="00CD000E" w:rsidRDefault="00F96912" w:rsidP="00F96912">
      <w:pPr>
        <w:rPr>
          <w:sz w:val="20"/>
        </w:rPr>
      </w:pPr>
    </w:p>
    <w:p w14:paraId="78F554CA" w14:textId="77777777" w:rsidR="00F96912" w:rsidRPr="00CD000E" w:rsidRDefault="00F96912" w:rsidP="005A435C">
      <w:pPr>
        <w:keepNext/>
        <w:keepLines/>
        <w:jc w:val="both"/>
        <w:rPr>
          <w:sz w:val="20"/>
          <w:u w:val="single"/>
        </w:rPr>
      </w:pPr>
      <w:r w:rsidRPr="00CD000E">
        <w:rPr>
          <w:sz w:val="20"/>
        </w:rPr>
        <w:lastRenderedPageBreak/>
        <w:t>A.</w:t>
      </w:r>
      <w:r w:rsidRPr="00CD000E">
        <w:rPr>
          <w:sz w:val="20"/>
        </w:rPr>
        <w:tab/>
      </w:r>
      <w:r w:rsidRPr="00CD000E">
        <w:rPr>
          <w:sz w:val="20"/>
          <w:u w:val="single"/>
        </w:rPr>
        <w:t>Budget 2016</w:t>
      </w:r>
      <w:r>
        <w:rPr>
          <w:sz w:val="20"/>
          <w:u w:val="single"/>
        </w:rPr>
        <w:noBreakHyphen/>
      </w:r>
      <w:r w:rsidRPr="00CD000E">
        <w:rPr>
          <w:sz w:val="20"/>
          <w:u w:val="single"/>
        </w:rPr>
        <w:t>2017 après virements</w:t>
      </w:r>
    </w:p>
    <w:p w14:paraId="76C2B1AE" w14:textId="77777777" w:rsidR="00F96912" w:rsidRPr="00CD000E" w:rsidRDefault="00F96912" w:rsidP="005A435C">
      <w:pPr>
        <w:keepNext/>
        <w:keepLines/>
        <w:jc w:val="both"/>
        <w:rPr>
          <w:sz w:val="20"/>
          <w:u w:val="single"/>
        </w:rPr>
      </w:pPr>
    </w:p>
    <w:p w14:paraId="68054AB7" w14:textId="58BF361C" w:rsidR="00F96912" w:rsidRPr="00DF39AB" w:rsidRDefault="00F96912" w:rsidP="005A435C">
      <w:pPr>
        <w:pStyle w:val="ListParagraph"/>
        <w:keepNext/>
        <w:keepLines/>
        <w:numPr>
          <w:ilvl w:val="0"/>
          <w:numId w:val="30"/>
        </w:numPr>
        <w:ind w:firstLine="0"/>
        <w:jc w:val="both"/>
        <w:rPr>
          <w:sz w:val="20"/>
        </w:rPr>
      </w:pPr>
      <w:r w:rsidRPr="00DF39AB">
        <w:rPr>
          <w:rFonts w:ascii="Arial" w:hAnsi="Arial" w:cs="Arial"/>
          <w:sz w:val="20"/>
        </w:rPr>
        <w:t>L’augmentation des dépenses autres que celles de personnel par rapport au budget 2016</w:t>
      </w:r>
      <w:r w:rsidRPr="00DF39AB">
        <w:rPr>
          <w:rFonts w:ascii="Arial" w:hAnsi="Arial" w:cs="Arial"/>
          <w:sz w:val="20"/>
        </w:rPr>
        <w:noBreakHyphen/>
        <w:t>2017 approuvé était due essentiellement au transfert au programme de ressources supplémentaires affectées à la migration de la base de données sur les éléments de flexibilité dans le système de la propriété intellectuelle ainsi qu’au renforcement des analyses sur le Web et des productions vidéo, au titre du résultat escompté VIII.1 (Communication plus efficace).</w:t>
      </w:r>
    </w:p>
    <w:p w14:paraId="3A8BBC38" w14:textId="77777777" w:rsidR="00DF39AB" w:rsidRPr="00DF39AB" w:rsidRDefault="00DF39AB" w:rsidP="00DF39AB">
      <w:pPr>
        <w:pStyle w:val="ListParagraph"/>
        <w:ind w:left="0"/>
        <w:jc w:val="both"/>
        <w:rPr>
          <w:rFonts w:ascii="Arial" w:hAnsi="Arial" w:cs="Arial"/>
          <w:sz w:val="20"/>
        </w:rPr>
      </w:pPr>
    </w:p>
    <w:p w14:paraId="2E104757" w14:textId="77777777" w:rsidR="00F96912" w:rsidRPr="003A52E9" w:rsidRDefault="00F96912" w:rsidP="00F96912">
      <w:pPr>
        <w:jc w:val="both"/>
        <w:rPr>
          <w:sz w:val="20"/>
          <w:u w:val="single"/>
        </w:rPr>
      </w:pPr>
      <w:r w:rsidRPr="003A52E9">
        <w:rPr>
          <w:sz w:val="20"/>
        </w:rPr>
        <w:t>B.</w:t>
      </w:r>
      <w:r w:rsidRPr="003A52E9">
        <w:rPr>
          <w:sz w:val="20"/>
        </w:rPr>
        <w:tab/>
      </w:r>
      <w:r w:rsidRPr="003A52E9">
        <w:rPr>
          <w:sz w:val="20"/>
          <w:u w:val="single"/>
        </w:rPr>
        <w:t>Utilisation du budget 2016</w:t>
      </w:r>
      <w:r w:rsidRPr="003A52E9">
        <w:rPr>
          <w:sz w:val="20"/>
          <w:u w:val="single"/>
        </w:rPr>
        <w:noBreakHyphen/>
        <w:t>2017</w:t>
      </w:r>
    </w:p>
    <w:p w14:paraId="418DADEC" w14:textId="77777777" w:rsidR="00F96912" w:rsidRPr="003A52E9" w:rsidRDefault="00F96912" w:rsidP="00F96912">
      <w:pPr>
        <w:jc w:val="both"/>
        <w:rPr>
          <w:sz w:val="20"/>
          <w:u w:val="single"/>
        </w:rPr>
      </w:pPr>
    </w:p>
    <w:p w14:paraId="7355FDFD" w14:textId="77777777" w:rsidR="00F96912" w:rsidRPr="003A52E9" w:rsidRDefault="00F96912" w:rsidP="00D544B8">
      <w:pPr>
        <w:pStyle w:val="ListParagraph"/>
        <w:numPr>
          <w:ilvl w:val="0"/>
          <w:numId w:val="30"/>
        </w:numPr>
        <w:ind w:firstLine="0"/>
        <w:jc w:val="both"/>
        <w:rPr>
          <w:rFonts w:ascii="Arial" w:hAnsi="Arial" w:cs="Arial"/>
          <w:sz w:val="20"/>
        </w:rPr>
      </w:pPr>
      <w:r w:rsidRPr="003A52E9">
        <w:rPr>
          <w:rFonts w:ascii="Arial" w:hAnsi="Arial" w:cs="Arial"/>
          <w:sz w:val="20"/>
        </w:rPr>
        <w:t>Le taux d’utilisation des ressources autres que celles de personnel de 40% durant la première année de l’exercice biennal s’explique par une augmentation du budget 2016</w:t>
      </w:r>
      <w:r w:rsidRPr="003A52E9">
        <w:rPr>
          <w:rFonts w:ascii="Arial" w:hAnsi="Arial" w:cs="Arial"/>
          <w:sz w:val="20"/>
        </w:rPr>
        <w:noBreakHyphen/>
        <w:t>2017 après virements pour les analyses sur le Web et les productions vidéo, qui sont prévues seulement pour la seconde année de l’exercice biennal.</w:t>
      </w:r>
    </w:p>
    <w:p w14:paraId="10982928" w14:textId="77777777" w:rsidR="00BC78D9" w:rsidRDefault="00F96912">
      <w:pPr>
        <w:rPr>
          <w:b/>
        </w:rPr>
      </w:pPr>
      <w:bookmarkStart w:id="69" w:name="_Toc422210510"/>
      <w:r w:rsidRPr="00CD000E">
        <w:rPr>
          <w:b/>
        </w:rPr>
        <w:br w:type="page"/>
      </w:r>
    </w:p>
    <w:p w14:paraId="6E9A5911" w14:textId="66E439E8" w:rsidR="00BC78D9" w:rsidRPr="00391F1A" w:rsidRDefault="00391F1A" w:rsidP="00391F1A">
      <w:pPr>
        <w:pStyle w:val="Heading3"/>
      </w:pPr>
      <w:bookmarkStart w:id="70" w:name="_Toc482774618"/>
      <w:r w:rsidRPr="00391F1A">
        <w:lastRenderedPageBreak/>
        <w:t>Programme 20</w:t>
      </w:r>
      <w:r w:rsidRPr="00391F1A">
        <w:tab/>
        <w:t>Relations extérieures, partenariats et bureaux extérieurs</w:t>
      </w:r>
      <w:bookmarkEnd w:id="70"/>
    </w:p>
    <w:p w14:paraId="3257C14F" w14:textId="77777777" w:rsidR="00BC78D9" w:rsidRPr="00BC78D9" w:rsidRDefault="00BC78D9" w:rsidP="00BC78D9">
      <w:pPr>
        <w:ind w:left="1985" w:hanging="1985"/>
        <w:rPr>
          <w:sz w:val="20"/>
        </w:rPr>
      </w:pPr>
    </w:p>
    <w:p w14:paraId="6B9FCF56" w14:textId="77777777" w:rsidR="00BC78D9" w:rsidRPr="00BC78D9" w:rsidRDefault="00BC78D9" w:rsidP="00BC78D9">
      <w:pPr>
        <w:rPr>
          <w:b/>
          <w:sz w:val="20"/>
        </w:rPr>
      </w:pPr>
      <w:r w:rsidRPr="00BC78D9">
        <w:rPr>
          <w:b/>
          <w:sz w:val="20"/>
        </w:rPr>
        <w:t>Chefs de programme</w:t>
      </w:r>
      <w:r w:rsidRPr="00BC78D9">
        <w:rPr>
          <w:b/>
          <w:sz w:val="20"/>
        </w:rPr>
        <w:tab/>
        <w:t>Le Directeur général</w:t>
      </w:r>
    </w:p>
    <w:p w14:paraId="6CE1F5B3" w14:textId="77777777" w:rsidR="00BC78D9" w:rsidRPr="001E3776" w:rsidRDefault="00BC78D9" w:rsidP="00BC78D9">
      <w:pPr>
        <w:tabs>
          <w:tab w:val="left" w:pos="1985"/>
        </w:tabs>
        <w:rPr>
          <w:b/>
          <w:sz w:val="20"/>
          <w:lang w:val="en-US"/>
        </w:rPr>
      </w:pPr>
      <w:r w:rsidRPr="00BC78D9">
        <w:rPr>
          <w:b/>
          <w:sz w:val="20"/>
        </w:rPr>
        <w:tab/>
      </w:r>
      <w:r w:rsidRPr="00BC78D9">
        <w:rPr>
          <w:b/>
          <w:sz w:val="20"/>
        </w:rPr>
        <w:tab/>
      </w:r>
      <w:r w:rsidRPr="001E3776">
        <w:rPr>
          <w:b/>
          <w:sz w:val="20"/>
          <w:lang w:val="en-US"/>
        </w:rPr>
        <w:t>M. M. A. Getahun</w:t>
      </w:r>
    </w:p>
    <w:p w14:paraId="339BBDC1" w14:textId="77777777" w:rsidR="00BC78D9" w:rsidRPr="001E3776" w:rsidRDefault="00BC78D9" w:rsidP="00BC78D9">
      <w:pPr>
        <w:tabs>
          <w:tab w:val="left" w:pos="1985"/>
        </w:tabs>
        <w:rPr>
          <w:b/>
          <w:sz w:val="20"/>
          <w:lang w:val="en-US"/>
        </w:rPr>
      </w:pPr>
      <w:r w:rsidRPr="001E3776">
        <w:rPr>
          <w:b/>
          <w:sz w:val="20"/>
          <w:lang w:val="en-US"/>
        </w:rPr>
        <w:tab/>
      </w:r>
      <w:r w:rsidRPr="001E3776">
        <w:rPr>
          <w:b/>
          <w:sz w:val="20"/>
          <w:lang w:val="en-US"/>
        </w:rPr>
        <w:tab/>
        <w:t>M. Y. Takagi</w:t>
      </w:r>
    </w:p>
    <w:p w14:paraId="78CB53FA" w14:textId="77777777" w:rsidR="00BC78D9" w:rsidRPr="00BC78D9" w:rsidRDefault="00BC78D9" w:rsidP="00BC78D9">
      <w:pPr>
        <w:tabs>
          <w:tab w:val="left" w:pos="1985"/>
        </w:tabs>
        <w:rPr>
          <w:b/>
          <w:sz w:val="20"/>
        </w:rPr>
      </w:pPr>
      <w:r w:rsidRPr="001E3776">
        <w:rPr>
          <w:b/>
          <w:sz w:val="20"/>
          <w:lang w:val="en-US"/>
        </w:rPr>
        <w:tab/>
      </w:r>
      <w:r w:rsidRPr="001E3776">
        <w:rPr>
          <w:b/>
          <w:sz w:val="20"/>
          <w:lang w:val="en-US"/>
        </w:rPr>
        <w:tab/>
      </w:r>
      <w:r w:rsidRPr="00BC78D9">
        <w:rPr>
          <w:b/>
          <w:sz w:val="20"/>
        </w:rPr>
        <w:t>Mme B. Wang</w:t>
      </w:r>
    </w:p>
    <w:p w14:paraId="2B6186DF" w14:textId="77777777" w:rsidR="00BC78D9" w:rsidRPr="00BC78D9" w:rsidRDefault="00BC78D9" w:rsidP="00BC78D9">
      <w:pPr>
        <w:jc w:val="center"/>
      </w:pPr>
      <w:r w:rsidRPr="00BC78D9">
        <w:rPr>
          <w:noProof/>
          <w:lang w:val="en-US"/>
        </w:rPr>
        <w:drawing>
          <wp:inline distT="0" distB="0" distL="0" distR="0" wp14:anchorId="1D193C3C" wp14:editId="6C28813E">
            <wp:extent cx="3693600" cy="2550748"/>
            <wp:effectExtent l="0" t="0" r="2540" b="254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93600" cy="2550748"/>
                    </a:xfrm>
                    <a:prstGeom prst="rect">
                      <a:avLst/>
                    </a:prstGeom>
                    <a:noFill/>
                    <a:ln>
                      <a:noFill/>
                    </a:ln>
                  </pic:spPr>
                </pic:pic>
              </a:graphicData>
            </a:graphic>
          </wp:inline>
        </w:drawing>
      </w:r>
    </w:p>
    <w:p w14:paraId="577FE5F6" w14:textId="77777777" w:rsidR="00BC78D9" w:rsidRPr="00BC78D9" w:rsidRDefault="00BC78D9" w:rsidP="00BC78D9">
      <w:r w:rsidRPr="00BC78D9">
        <w:t>RELATIONS EXTÉRIEURES, PARTENARIATS</w:t>
      </w:r>
    </w:p>
    <w:p w14:paraId="60A5FD1C" w14:textId="77777777" w:rsidR="00BC78D9" w:rsidRPr="00BC78D9" w:rsidRDefault="00BC78D9" w:rsidP="00BC78D9">
      <w:pPr>
        <w:rPr>
          <w:sz w:val="12"/>
          <w:szCs w:val="12"/>
        </w:rPr>
      </w:pPr>
    </w:p>
    <w:tbl>
      <w:tblPr>
        <w:tblW w:w="9464" w:type="dxa"/>
        <w:tblInd w:w="58" w:type="dxa"/>
        <w:tblLayout w:type="fixed"/>
        <w:tblCellMar>
          <w:left w:w="115" w:type="dxa"/>
          <w:right w:w="115" w:type="dxa"/>
        </w:tblCellMar>
        <w:tblLook w:val="0000" w:firstRow="0" w:lastRow="0" w:firstColumn="0" w:lastColumn="0" w:noHBand="0" w:noVBand="0"/>
      </w:tblPr>
      <w:tblGrid>
        <w:gridCol w:w="1931"/>
        <w:gridCol w:w="2438"/>
        <w:gridCol w:w="1588"/>
        <w:gridCol w:w="2436"/>
        <w:gridCol w:w="1071"/>
      </w:tblGrid>
      <w:tr w:rsidR="00BC78D9" w:rsidRPr="00BC78D9" w14:paraId="2BCF66FC" w14:textId="77777777" w:rsidTr="006A627E">
        <w:trPr>
          <w:trHeight w:val="565"/>
        </w:trPr>
        <w:tc>
          <w:tcPr>
            <w:tcW w:w="5000" w:type="pct"/>
            <w:gridSpan w:val="5"/>
            <w:shd w:val="clear" w:color="auto" w:fill="C6D9F1" w:themeFill="text2" w:themeFillTint="33"/>
            <w:tcMar>
              <w:left w:w="58" w:type="dxa"/>
              <w:bottom w:w="57" w:type="dxa"/>
              <w:right w:w="58" w:type="dxa"/>
            </w:tcMar>
            <w:vAlign w:val="center"/>
          </w:tcPr>
          <w:p w14:paraId="5AEC06D8" w14:textId="77777777" w:rsidR="00BC78D9" w:rsidRPr="00BC78D9" w:rsidRDefault="00BC78D9" w:rsidP="006A627E">
            <w:pPr>
              <w:keepNext/>
              <w:keepLines/>
              <w:rPr>
                <w:b/>
                <w:bCs/>
                <w:sz w:val="16"/>
                <w:szCs w:val="16"/>
              </w:rPr>
            </w:pPr>
            <w:r w:rsidRPr="00BC78D9">
              <w:rPr>
                <w:b/>
                <w:bCs/>
                <w:sz w:val="16"/>
                <w:szCs w:val="16"/>
              </w:rPr>
              <w:t xml:space="preserve">Résultat escompté : </w:t>
            </w:r>
            <w:r w:rsidRPr="00BC78D9">
              <w:rPr>
                <w:bCs/>
                <w:sz w:val="16"/>
                <w:szCs w:val="16"/>
              </w:rPr>
              <w:t>VIII.5 L’OMPI collabore efficacement avec d’autres processus et instances de négociation de l’ONU et d’autres organisations intergouvernementales</w:t>
            </w:r>
          </w:p>
        </w:tc>
      </w:tr>
      <w:tr w:rsidR="00BC78D9" w:rsidRPr="00BC78D9" w14:paraId="64F9F76C" w14:textId="77777777" w:rsidTr="006A627E">
        <w:tc>
          <w:tcPr>
            <w:tcW w:w="1020" w:type="pct"/>
            <w:shd w:val="clear" w:color="auto" w:fill="auto"/>
            <w:tcMar>
              <w:left w:w="58" w:type="dxa"/>
              <w:bottom w:w="57" w:type="dxa"/>
              <w:right w:w="58" w:type="dxa"/>
            </w:tcMar>
            <w:vAlign w:val="center"/>
          </w:tcPr>
          <w:p w14:paraId="4EAE9535" w14:textId="77777777" w:rsidR="00BC78D9" w:rsidRPr="00BC78D9" w:rsidRDefault="00BC78D9" w:rsidP="006A627E">
            <w:pPr>
              <w:ind w:right="30"/>
              <w:jc w:val="center"/>
              <w:rPr>
                <w:b/>
                <w:bCs/>
                <w:sz w:val="16"/>
                <w:szCs w:val="16"/>
              </w:rPr>
            </w:pPr>
            <w:r w:rsidRPr="00BC78D9">
              <w:rPr>
                <w:b/>
                <w:bCs/>
                <w:sz w:val="16"/>
                <w:szCs w:val="16"/>
              </w:rPr>
              <w:t>Indicateurs d’exécution</w:t>
            </w:r>
          </w:p>
        </w:tc>
        <w:tc>
          <w:tcPr>
            <w:tcW w:w="1288" w:type="pct"/>
            <w:shd w:val="clear" w:color="auto" w:fill="auto"/>
            <w:tcMar>
              <w:left w:w="58" w:type="dxa"/>
              <w:bottom w:w="57" w:type="dxa"/>
              <w:right w:w="58" w:type="dxa"/>
            </w:tcMar>
            <w:vAlign w:val="center"/>
          </w:tcPr>
          <w:p w14:paraId="1A9EECEB" w14:textId="77777777" w:rsidR="00BC78D9" w:rsidRPr="00BC78D9" w:rsidRDefault="00BC78D9" w:rsidP="006A627E">
            <w:pPr>
              <w:jc w:val="center"/>
              <w:rPr>
                <w:b/>
                <w:bCs/>
                <w:sz w:val="16"/>
                <w:szCs w:val="16"/>
              </w:rPr>
            </w:pPr>
            <w:r w:rsidRPr="00BC78D9">
              <w:rPr>
                <w:b/>
                <w:bCs/>
                <w:sz w:val="16"/>
                <w:szCs w:val="16"/>
              </w:rPr>
              <w:t>Niveaux de référence</w:t>
            </w:r>
          </w:p>
        </w:tc>
        <w:tc>
          <w:tcPr>
            <w:tcW w:w="839" w:type="pct"/>
            <w:shd w:val="clear" w:color="auto" w:fill="auto"/>
            <w:tcMar>
              <w:top w:w="110" w:type="dxa"/>
              <w:left w:w="58" w:type="dxa"/>
              <w:bottom w:w="57" w:type="dxa"/>
              <w:right w:w="58" w:type="dxa"/>
            </w:tcMar>
            <w:vAlign w:val="center"/>
          </w:tcPr>
          <w:p w14:paraId="5DF3C4F7" w14:textId="77777777" w:rsidR="00BC78D9" w:rsidRPr="00BC78D9" w:rsidRDefault="00BC78D9" w:rsidP="006A627E">
            <w:pPr>
              <w:tabs>
                <w:tab w:val="left" w:pos="290"/>
              </w:tabs>
              <w:jc w:val="center"/>
              <w:rPr>
                <w:b/>
                <w:bCs/>
                <w:sz w:val="16"/>
                <w:szCs w:val="16"/>
              </w:rPr>
            </w:pPr>
            <w:r w:rsidRPr="00BC78D9">
              <w:rPr>
                <w:b/>
                <w:bCs/>
                <w:sz w:val="16"/>
                <w:szCs w:val="16"/>
              </w:rPr>
              <w:t>Objectifs visés</w:t>
            </w:r>
          </w:p>
        </w:tc>
        <w:tc>
          <w:tcPr>
            <w:tcW w:w="1287" w:type="pct"/>
            <w:shd w:val="clear" w:color="auto" w:fill="FFFFFF"/>
            <w:tcMar>
              <w:top w:w="110" w:type="dxa"/>
              <w:left w:w="58" w:type="dxa"/>
              <w:bottom w:w="57" w:type="dxa"/>
              <w:right w:w="58" w:type="dxa"/>
            </w:tcMar>
            <w:vAlign w:val="center"/>
          </w:tcPr>
          <w:p w14:paraId="6BD83083" w14:textId="77777777" w:rsidR="00BC78D9" w:rsidRPr="00BC78D9" w:rsidRDefault="00BC78D9" w:rsidP="006A627E">
            <w:pPr>
              <w:jc w:val="center"/>
              <w:rPr>
                <w:b/>
                <w:bCs/>
                <w:sz w:val="16"/>
                <w:szCs w:val="16"/>
              </w:rPr>
            </w:pPr>
            <w:r w:rsidRPr="00BC78D9">
              <w:rPr>
                <w:b/>
                <w:bCs/>
                <w:sz w:val="16"/>
                <w:szCs w:val="16"/>
              </w:rPr>
              <w:t>Données relatives à l’exécution</w:t>
            </w:r>
          </w:p>
        </w:tc>
        <w:tc>
          <w:tcPr>
            <w:tcW w:w="566" w:type="pct"/>
            <w:shd w:val="clear" w:color="auto" w:fill="auto"/>
            <w:tcMar>
              <w:top w:w="110" w:type="dxa"/>
              <w:left w:w="58" w:type="dxa"/>
              <w:bottom w:w="57" w:type="dxa"/>
              <w:right w:w="58" w:type="dxa"/>
            </w:tcMar>
            <w:vAlign w:val="center"/>
          </w:tcPr>
          <w:p w14:paraId="5FCA0A4C" w14:textId="77777777" w:rsidR="00BC78D9" w:rsidRPr="00BC78D9" w:rsidRDefault="00BC78D9" w:rsidP="006A627E">
            <w:pPr>
              <w:keepNext/>
              <w:keepLines/>
              <w:jc w:val="center"/>
              <w:rPr>
                <w:b/>
                <w:bCs/>
                <w:sz w:val="16"/>
                <w:szCs w:val="16"/>
              </w:rPr>
            </w:pPr>
            <w:r w:rsidRPr="00BC78D9">
              <w:rPr>
                <w:b/>
                <w:bCs/>
                <w:sz w:val="16"/>
                <w:szCs w:val="16"/>
              </w:rPr>
              <w:t>Code d’évaluation</w:t>
            </w:r>
          </w:p>
        </w:tc>
      </w:tr>
      <w:tr w:rsidR="00BC78D9" w:rsidRPr="00BC78D9" w14:paraId="50C2F4DE" w14:textId="77777777" w:rsidTr="006A627E">
        <w:trPr>
          <w:trHeight w:val="1487"/>
        </w:trPr>
        <w:tc>
          <w:tcPr>
            <w:tcW w:w="1020" w:type="pct"/>
            <w:shd w:val="clear" w:color="auto" w:fill="auto"/>
            <w:tcMar>
              <w:left w:w="58" w:type="dxa"/>
              <w:bottom w:w="57" w:type="dxa"/>
              <w:right w:w="58" w:type="dxa"/>
            </w:tcMar>
          </w:tcPr>
          <w:p w14:paraId="6495E710" w14:textId="77777777" w:rsidR="00BC78D9" w:rsidRPr="00BC78D9" w:rsidRDefault="00BC78D9" w:rsidP="006A627E">
            <w:pPr>
              <w:rPr>
                <w:sz w:val="16"/>
                <w:szCs w:val="16"/>
              </w:rPr>
            </w:pPr>
            <w:r w:rsidRPr="00BC78D9">
              <w:rPr>
                <w:sz w:val="16"/>
                <w:szCs w:val="16"/>
              </w:rPr>
              <w:t>Les contributions de l’OMPI qui figurent dans les rapports, les résolutions et les documents émanant de l’ONU et d’organisations intergouvernementales et concernant des processus pertinents et ciblés</w:t>
            </w:r>
          </w:p>
        </w:tc>
        <w:tc>
          <w:tcPr>
            <w:tcW w:w="1288" w:type="pct"/>
            <w:shd w:val="clear" w:color="auto" w:fill="auto"/>
            <w:tcMar>
              <w:left w:w="58" w:type="dxa"/>
              <w:bottom w:w="57" w:type="dxa"/>
              <w:right w:w="58" w:type="dxa"/>
            </w:tcMar>
          </w:tcPr>
          <w:p w14:paraId="65CE422D" w14:textId="77777777" w:rsidR="00BC78D9" w:rsidRPr="00BC78D9" w:rsidRDefault="00BC78D9" w:rsidP="006A627E">
            <w:pPr>
              <w:rPr>
                <w:i/>
                <w:color w:val="002060"/>
                <w:sz w:val="16"/>
                <w:szCs w:val="16"/>
              </w:rPr>
            </w:pPr>
            <w:r w:rsidRPr="00BC78D9">
              <w:rPr>
                <w:i/>
                <w:color w:val="002060"/>
                <w:sz w:val="16"/>
                <w:szCs w:val="16"/>
              </w:rPr>
              <w:t>Niveau de référence actualisé à fin 2015 :</w:t>
            </w:r>
          </w:p>
          <w:p w14:paraId="34CDB1BC" w14:textId="77777777" w:rsidR="00BC78D9" w:rsidRPr="00BC78D9" w:rsidRDefault="00BC78D9" w:rsidP="006A627E">
            <w:pPr>
              <w:rPr>
                <w:color w:val="002060"/>
                <w:sz w:val="16"/>
                <w:szCs w:val="16"/>
              </w:rPr>
            </w:pPr>
            <w:r w:rsidRPr="00BC78D9">
              <w:rPr>
                <w:color w:val="002060"/>
                <w:sz w:val="16"/>
                <w:szCs w:val="16"/>
              </w:rPr>
              <w:t>33 contributions en 2014</w:t>
            </w:r>
            <w:r w:rsidRPr="00BC78D9">
              <w:rPr>
                <w:color w:val="002060"/>
                <w:sz w:val="16"/>
                <w:szCs w:val="16"/>
              </w:rPr>
              <w:noBreakHyphen/>
              <w:t>2015 qui toutes ont été accueillies avec satisfaction.</w:t>
            </w:r>
          </w:p>
          <w:p w14:paraId="522836AA" w14:textId="77777777" w:rsidR="00BC78D9" w:rsidRPr="00BC78D9" w:rsidRDefault="00BC78D9" w:rsidP="006A627E">
            <w:pPr>
              <w:rPr>
                <w:sz w:val="16"/>
                <w:szCs w:val="16"/>
              </w:rPr>
            </w:pPr>
          </w:p>
          <w:p w14:paraId="6BC5E887" w14:textId="77777777" w:rsidR="00BC78D9" w:rsidRPr="00BC78D9" w:rsidRDefault="00BC78D9" w:rsidP="006A627E">
            <w:pPr>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22767BE8" w14:textId="77777777" w:rsidR="00BC78D9" w:rsidRPr="00BC78D9" w:rsidRDefault="00BC78D9" w:rsidP="006A627E">
            <w:pPr>
              <w:rPr>
                <w:sz w:val="16"/>
                <w:szCs w:val="16"/>
              </w:rPr>
            </w:pPr>
            <w:r w:rsidRPr="00BC78D9">
              <w:rPr>
                <w:sz w:val="16"/>
                <w:szCs w:val="16"/>
              </w:rPr>
              <w:t>2012</w:t>
            </w:r>
            <w:r w:rsidRPr="00BC78D9">
              <w:rPr>
                <w:sz w:val="16"/>
                <w:szCs w:val="16"/>
              </w:rPr>
              <w:noBreakHyphen/>
              <w:t>2013 – 38 sur 38;</w:t>
            </w:r>
          </w:p>
          <w:p w14:paraId="367C264F" w14:textId="77777777" w:rsidR="00BC78D9" w:rsidRPr="00BC78D9" w:rsidRDefault="00BC78D9" w:rsidP="006A627E">
            <w:pPr>
              <w:rPr>
                <w:sz w:val="16"/>
                <w:szCs w:val="16"/>
              </w:rPr>
            </w:pPr>
            <w:r w:rsidRPr="00BC78D9">
              <w:rPr>
                <w:sz w:val="16"/>
                <w:szCs w:val="16"/>
              </w:rPr>
              <w:t>2014 12 sur 15, 3 en cours</w:t>
            </w:r>
          </w:p>
        </w:tc>
        <w:tc>
          <w:tcPr>
            <w:tcW w:w="839" w:type="pct"/>
            <w:shd w:val="clear" w:color="auto" w:fill="auto"/>
            <w:tcMar>
              <w:top w:w="110" w:type="dxa"/>
              <w:left w:w="58" w:type="dxa"/>
              <w:bottom w:w="57" w:type="dxa"/>
              <w:right w:w="58" w:type="dxa"/>
            </w:tcMar>
          </w:tcPr>
          <w:p w14:paraId="53D672EC" w14:textId="77777777" w:rsidR="00BC78D9" w:rsidRPr="00BC78D9" w:rsidRDefault="00BC78D9" w:rsidP="006A627E">
            <w:pPr>
              <w:rPr>
                <w:sz w:val="16"/>
                <w:szCs w:val="16"/>
              </w:rPr>
            </w:pPr>
            <w:r w:rsidRPr="00BC78D9">
              <w:rPr>
                <w:sz w:val="16"/>
                <w:szCs w:val="16"/>
              </w:rPr>
              <w:t>80%</w:t>
            </w:r>
          </w:p>
        </w:tc>
        <w:tc>
          <w:tcPr>
            <w:tcW w:w="1287" w:type="pct"/>
            <w:shd w:val="clear" w:color="auto" w:fill="FFFFFF"/>
            <w:tcMar>
              <w:top w:w="110" w:type="dxa"/>
              <w:left w:w="58" w:type="dxa"/>
              <w:bottom w:w="57" w:type="dxa"/>
              <w:right w:w="58" w:type="dxa"/>
            </w:tcMar>
          </w:tcPr>
          <w:p w14:paraId="6503B9D9" w14:textId="77777777" w:rsidR="00BC78D9" w:rsidRPr="00BC78D9" w:rsidRDefault="00BC78D9" w:rsidP="006A627E">
            <w:pPr>
              <w:rPr>
                <w:sz w:val="16"/>
                <w:szCs w:val="16"/>
              </w:rPr>
            </w:pPr>
            <w:r w:rsidRPr="00BC78D9">
              <w:rPr>
                <w:sz w:val="16"/>
                <w:szCs w:val="16"/>
              </w:rPr>
              <w:t>80% des contributions de l’OMPI (26 communications sur 33) ont été prises en considération (fin 2016)</w:t>
            </w:r>
          </w:p>
        </w:tc>
        <w:tc>
          <w:tcPr>
            <w:tcW w:w="566" w:type="pct"/>
            <w:shd w:val="clear" w:color="auto" w:fill="auto"/>
            <w:tcMar>
              <w:top w:w="110" w:type="dxa"/>
              <w:left w:w="58" w:type="dxa"/>
              <w:bottom w:w="57" w:type="dxa"/>
              <w:right w:w="58" w:type="dxa"/>
            </w:tcMar>
          </w:tcPr>
          <w:p w14:paraId="5AFDAC2C" w14:textId="77777777" w:rsidR="00BC78D9" w:rsidRPr="00BC78D9" w:rsidRDefault="00BC78D9" w:rsidP="006A627E">
            <w:pPr>
              <w:keepNext/>
              <w:keepLines/>
              <w:jc w:val="center"/>
              <w:rPr>
                <w:sz w:val="16"/>
                <w:szCs w:val="16"/>
              </w:rPr>
            </w:pPr>
            <w:r w:rsidRPr="00BC78D9">
              <w:rPr>
                <w:b/>
                <w:color w:val="00B050"/>
                <w:sz w:val="16"/>
                <w:szCs w:val="16"/>
              </w:rPr>
              <w:t>En bonne voie</w:t>
            </w:r>
            <w:r w:rsidRPr="00BC78D9">
              <w:rPr>
                <w:sz w:val="16"/>
                <w:szCs w:val="16"/>
              </w:rPr>
              <w:t xml:space="preserve"> </w:t>
            </w:r>
          </w:p>
        </w:tc>
      </w:tr>
      <w:tr w:rsidR="00BC78D9" w:rsidRPr="00BC78D9" w14:paraId="5455405E" w14:textId="77777777" w:rsidTr="006A627E">
        <w:trPr>
          <w:trHeight w:val="972"/>
        </w:trPr>
        <w:tc>
          <w:tcPr>
            <w:tcW w:w="1020" w:type="pct"/>
            <w:shd w:val="clear" w:color="auto" w:fill="auto"/>
            <w:tcMar>
              <w:left w:w="58" w:type="dxa"/>
              <w:bottom w:w="57" w:type="dxa"/>
              <w:right w:w="58" w:type="dxa"/>
            </w:tcMar>
          </w:tcPr>
          <w:p w14:paraId="6238BD2A" w14:textId="77777777" w:rsidR="00BC78D9" w:rsidRPr="00BC78D9" w:rsidRDefault="00BC78D9" w:rsidP="006A627E">
            <w:pPr>
              <w:rPr>
                <w:sz w:val="16"/>
                <w:szCs w:val="16"/>
              </w:rPr>
            </w:pPr>
            <w:r w:rsidRPr="00BC78D9">
              <w:rPr>
                <w:sz w:val="16"/>
                <w:szCs w:val="16"/>
              </w:rPr>
              <w:t xml:space="preserve">Nombre d’initiatives menées par l’OMPI en partenariat avec l’ONU et d’autres organisations intergouvernementales en vue de mettre en œuvre les objectifs de développement durable </w:t>
            </w:r>
          </w:p>
        </w:tc>
        <w:tc>
          <w:tcPr>
            <w:tcW w:w="1288" w:type="pct"/>
            <w:shd w:val="clear" w:color="auto" w:fill="auto"/>
            <w:tcMar>
              <w:left w:w="58" w:type="dxa"/>
              <w:bottom w:w="57" w:type="dxa"/>
              <w:right w:w="58" w:type="dxa"/>
            </w:tcMar>
          </w:tcPr>
          <w:p w14:paraId="35BDF044" w14:textId="77777777" w:rsidR="00BC78D9" w:rsidRPr="00BC78D9" w:rsidRDefault="00BC78D9" w:rsidP="006A627E">
            <w:pPr>
              <w:rPr>
                <w:sz w:val="16"/>
                <w:szCs w:val="16"/>
              </w:rPr>
            </w:pPr>
            <w:r w:rsidRPr="00BC78D9">
              <w:rPr>
                <w:sz w:val="16"/>
                <w:szCs w:val="16"/>
              </w:rPr>
              <w:t>Aucune</w:t>
            </w:r>
          </w:p>
        </w:tc>
        <w:tc>
          <w:tcPr>
            <w:tcW w:w="839" w:type="pct"/>
            <w:shd w:val="clear" w:color="auto" w:fill="auto"/>
            <w:tcMar>
              <w:top w:w="110" w:type="dxa"/>
              <w:left w:w="58" w:type="dxa"/>
              <w:bottom w:w="57" w:type="dxa"/>
              <w:right w:w="58" w:type="dxa"/>
            </w:tcMar>
          </w:tcPr>
          <w:p w14:paraId="52B72BC8" w14:textId="77777777" w:rsidR="00BC78D9" w:rsidRPr="00BC78D9" w:rsidRDefault="00BC78D9" w:rsidP="006A627E">
            <w:pPr>
              <w:rPr>
                <w:sz w:val="16"/>
                <w:szCs w:val="16"/>
              </w:rPr>
            </w:pPr>
            <w:r w:rsidRPr="00BC78D9">
              <w:rPr>
                <w:sz w:val="16"/>
                <w:szCs w:val="16"/>
              </w:rPr>
              <w:t>5</w:t>
            </w:r>
          </w:p>
        </w:tc>
        <w:tc>
          <w:tcPr>
            <w:tcW w:w="1287" w:type="pct"/>
            <w:shd w:val="clear" w:color="auto" w:fill="FFFFFF"/>
            <w:tcMar>
              <w:top w:w="110" w:type="dxa"/>
              <w:left w:w="58" w:type="dxa"/>
              <w:bottom w:w="57" w:type="dxa"/>
              <w:right w:w="58" w:type="dxa"/>
            </w:tcMar>
          </w:tcPr>
          <w:p w14:paraId="581771A5" w14:textId="77777777" w:rsidR="00BC78D9" w:rsidRPr="00BC78D9" w:rsidRDefault="00BC78D9" w:rsidP="006A627E">
            <w:pPr>
              <w:keepNext/>
              <w:keepLines/>
              <w:rPr>
                <w:sz w:val="16"/>
                <w:szCs w:val="16"/>
              </w:rPr>
            </w:pPr>
            <w:r w:rsidRPr="00BC78D9">
              <w:rPr>
                <w:sz w:val="16"/>
                <w:szCs w:val="16"/>
              </w:rPr>
              <w:t>3 initiatives</w:t>
            </w:r>
          </w:p>
        </w:tc>
        <w:tc>
          <w:tcPr>
            <w:tcW w:w="566" w:type="pct"/>
            <w:shd w:val="clear" w:color="auto" w:fill="auto"/>
            <w:tcMar>
              <w:top w:w="110" w:type="dxa"/>
              <w:left w:w="58" w:type="dxa"/>
              <w:bottom w:w="57" w:type="dxa"/>
              <w:right w:w="58" w:type="dxa"/>
            </w:tcMar>
          </w:tcPr>
          <w:p w14:paraId="166FA68E" w14:textId="77777777" w:rsidR="00BC78D9" w:rsidRPr="00BC78D9" w:rsidRDefault="00BC78D9" w:rsidP="006A627E">
            <w:pPr>
              <w:keepNext/>
              <w:keepLines/>
              <w:jc w:val="center"/>
              <w:rPr>
                <w:b/>
                <w:sz w:val="16"/>
                <w:szCs w:val="16"/>
              </w:rPr>
            </w:pPr>
            <w:r w:rsidRPr="00BC78D9">
              <w:rPr>
                <w:b/>
                <w:color w:val="00B050"/>
                <w:sz w:val="16"/>
                <w:szCs w:val="16"/>
              </w:rPr>
              <w:t>En bonne voie</w:t>
            </w:r>
          </w:p>
        </w:tc>
      </w:tr>
    </w:tbl>
    <w:p w14:paraId="65934B7C" w14:textId="77777777" w:rsidR="00BC78D9" w:rsidRPr="00BC78D9" w:rsidRDefault="00BC78D9" w:rsidP="00BC78D9">
      <w:pPr>
        <w:keepNext/>
        <w:keepLines/>
        <w:rPr>
          <w:bCs/>
          <w:iCs/>
          <w:sz w:val="20"/>
        </w:rPr>
      </w:pPr>
    </w:p>
    <w:p w14:paraId="5EC3BF1E" w14:textId="77777777" w:rsidR="00BC78D9" w:rsidRPr="00BC78D9" w:rsidRDefault="00BC78D9" w:rsidP="00BC78D9">
      <w:pPr>
        <w:rPr>
          <w:bCs/>
          <w:iCs/>
          <w:szCs w:val="28"/>
        </w:rPr>
      </w:pPr>
      <w:r w:rsidRPr="00BC78D9">
        <w:rPr>
          <w:bCs/>
          <w:iCs/>
          <w:szCs w:val="28"/>
        </w:rPr>
        <w:br w:type="page"/>
      </w:r>
    </w:p>
    <w:p w14:paraId="1687D165" w14:textId="77777777" w:rsidR="00BC78D9" w:rsidRPr="00BC78D9" w:rsidRDefault="00BC78D9" w:rsidP="00BC78D9">
      <w:pPr>
        <w:keepNext/>
        <w:keepLines/>
        <w:rPr>
          <w:bCs/>
          <w:iCs/>
          <w:szCs w:val="28"/>
        </w:rPr>
      </w:pPr>
      <w:r w:rsidRPr="00BC78D9">
        <w:rPr>
          <w:bCs/>
          <w:iCs/>
          <w:szCs w:val="28"/>
        </w:rPr>
        <w:lastRenderedPageBreak/>
        <w:t>BUREAUX EXTÉRIEURS</w:t>
      </w:r>
    </w:p>
    <w:p w14:paraId="7378CDF4" w14:textId="77777777" w:rsidR="00BC78D9" w:rsidRPr="00BC78D9" w:rsidRDefault="00BC78D9" w:rsidP="00BC78D9">
      <w:pPr>
        <w:keepNext/>
        <w:keepLines/>
        <w:rPr>
          <w:b/>
          <w:bCs/>
          <w:iCs/>
          <w:sz w:val="12"/>
          <w:szCs w:val="12"/>
        </w:rPr>
      </w:pPr>
    </w:p>
    <w:tbl>
      <w:tblPr>
        <w:tblW w:w="9532" w:type="dxa"/>
        <w:tblInd w:w="58" w:type="dxa"/>
        <w:tblLayout w:type="fixed"/>
        <w:tblCellMar>
          <w:left w:w="115" w:type="dxa"/>
          <w:right w:w="115" w:type="dxa"/>
        </w:tblCellMar>
        <w:tblLook w:val="0000" w:firstRow="0" w:lastRow="0" w:firstColumn="0" w:lastColumn="0" w:noHBand="0" w:noVBand="0"/>
      </w:tblPr>
      <w:tblGrid>
        <w:gridCol w:w="1917"/>
        <w:gridCol w:w="63"/>
        <w:gridCol w:w="2433"/>
        <w:gridCol w:w="6"/>
        <w:gridCol w:w="1540"/>
        <w:gridCol w:w="46"/>
        <w:gridCol w:w="6"/>
        <w:gridCol w:w="2440"/>
        <w:gridCol w:w="1081"/>
      </w:tblGrid>
      <w:tr w:rsidR="00BC78D9" w:rsidRPr="00BC78D9" w14:paraId="236D190B" w14:textId="77777777" w:rsidTr="006A627E">
        <w:trPr>
          <w:cantSplit/>
          <w:trHeight w:val="565"/>
        </w:trPr>
        <w:tc>
          <w:tcPr>
            <w:tcW w:w="5000" w:type="pct"/>
            <w:gridSpan w:val="9"/>
            <w:shd w:val="clear" w:color="auto" w:fill="C6D9F1" w:themeFill="text2" w:themeFillTint="33"/>
            <w:tcMar>
              <w:left w:w="57" w:type="dxa"/>
              <w:bottom w:w="57" w:type="dxa"/>
              <w:right w:w="57" w:type="dxa"/>
            </w:tcMar>
            <w:vAlign w:val="center"/>
          </w:tcPr>
          <w:p w14:paraId="7C8207AB" w14:textId="77777777" w:rsidR="00BC78D9" w:rsidRPr="00BC78D9" w:rsidRDefault="00BC78D9" w:rsidP="006A627E">
            <w:pPr>
              <w:suppressLineNumbers/>
              <w:suppressAutoHyphens/>
              <w:rPr>
                <w:b/>
                <w:bCs/>
                <w:sz w:val="16"/>
                <w:szCs w:val="16"/>
              </w:rPr>
            </w:pPr>
            <w:r w:rsidRPr="00BC78D9">
              <w:rPr>
                <w:b/>
                <w:bCs/>
                <w:sz w:val="16"/>
                <w:szCs w:val="16"/>
              </w:rPr>
              <w:t xml:space="preserve">Résultat escompté : </w:t>
            </w:r>
            <w:r w:rsidRPr="00BC78D9">
              <w:rPr>
                <w:b/>
                <w:sz w:val="16"/>
              </w:rPr>
              <w:tab/>
            </w:r>
            <w:r w:rsidRPr="00BC78D9">
              <w:rPr>
                <w:bCs/>
                <w:sz w:val="16"/>
                <w:szCs w:val="16"/>
              </w:rPr>
              <w:t>I.1 Renforcement de la coopération entre les États membres en ce qui concerne l’élaboration de cadres normatifs internationaux équilibrés dans le domaine de la propriété intellectuelle</w:t>
            </w:r>
          </w:p>
        </w:tc>
      </w:tr>
      <w:tr w:rsidR="00BC78D9" w:rsidRPr="00BC78D9" w14:paraId="736DD091" w14:textId="77777777" w:rsidTr="006A627E">
        <w:trPr>
          <w:cantSplit/>
        </w:trPr>
        <w:tc>
          <w:tcPr>
            <w:tcW w:w="1006" w:type="pct"/>
            <w:shd w:val="clear" w:color="auto" w:fill="auto"/>
            <w:tcMar>
              <w:left w:w="57" w:type="dxa"/>
              <w:bottom w:w="57" w:type="dxa"/>
              <w:right w:w="57" w:type="dxa"/>
            </w:tcMar>
            <w:vAlign w:val="center"/>
          </w:tcPr>
          <w:p w14:paraId="2B668075" w14:textId="77777777" w:rsidR="00BC78D9" w:rsidRPr="00BC78D9" w:rsidRDefault="00BC78D9" w:rsidP="006A627E">
            <w:pPr>
              <w:ind w:right="30"/>
              <w:jc w:val="center"/>
              <w:rPr>
                <w:b/>
                <w:bCs/>
                <w:sz w:val="16"/>
                <w:szCs w:val="16"/>
              </w:rPr>
            </w:pPr>
            <w:r w:rsidRPr="00BC78D9">
              <w:rPr>
                <w:b/>
                <w:bCs/>
                <w:sz w:val="16"/>
                <w:szCs w:val="16"/>
              </w:rPr>
              <w:t>Indicateurs d’exécution</w:t>
            </w:r>
          </w:p>
        </w:tc>
        <w:tc>
          <w:tcPr>
            <w:tcW w:w="1309" w:type="pct"/>
            <w:gridSpan w:val="2"/>
            <w:shd w:val="clear" w:color="auto" w:fill="auto"/>
            <w:tcMar>
              <w:left w:w="57" w:type="dxa"/>
              <w:bottom w:w="57" w:type="dxa"/>
              <w:right w:w="57" w:type="dxa"/>
            </w:tcMar>
            <w:vAlign w:val="center"/>
          </w:tcPr>
          <w:p w14:paraId="165ACA98" w14:textId="77777777" w:rsidR="00BC78D9" w:rsidRPr="00BC78D9" w:rsidRDefault="00BC78D9" w:rsidP="006A627E">
            <w:pPr>
              <w:ind w:right="30"/>
              <w:jc w:val="center"/>
              <w:rPr>
                <w:b/>
                <w:bCs/>
                <w:sz w:val="16"/>
                <w:szCs w:val="16"/>
              </w:rPr>
            </w:pPr>
            <w:r w:rsidRPr="00BC78D9">
              <w:rPr>
                <w:b/>
                <w:bCs/>
                <w:sz w:val="16"/>
                <w:szCs w:val="16"/>
              </w:rPr>
              <w:t>Niveaux de référence</w:t>
            </w:r>
          </w:p>
        </w:tc>
        <w:tc>
          <w:tcPr>
            <w:tcW w:w="811" w:type="pct"/>
            <w:gridSpan w:val="2"/>
            <w:shd w:val="clear" w:color="auto" w:fill="auto"/>
            <w:tcMar>
              <w:top w:w="58" w:type="dxa"/>
              <w:left w:w="57" w:type="dxa"/>
              <w:bottom w:w="57" w:type="dxa"/>
              <w:right w:w="57" w:type="dxa"/>
            </w:tcMar>
            <w:vAlign w:val="center"/>
          </w:tcPr>
          <w:p w14:paraId="341AE4A3" w14:textId="77777777" w:rsidR="00BC78D9" w:rsidRPr="00BC78D9" w:rsidRDefault="00BC78D9" w:rsidP="006A627E">
            <w:pPr>
              <w:ind w:right="30"/>
              <w:jc w:val="center"/>
              <w:rPr>
                <w:b/>
                <w:bCs/>
                <w:sz w:val="16"/>
                <w:szCs w:val="16"/>
              </w:rPr>
            </w:pPr>
            <w:r w:rsidRPr="00BC78D9">
              <w:rPr>
                <w:b/>
                <w:bCs/>
                <w:sz w:val="16"/>
                <w:szCs w:val="16"/>
              </w:rPr>
              <w:t>Objectifs visés</w:t>
            </w:r>
          </w:p>
        </w:tc>
        <w:tc>
          <w:tcPr>
            <w:tcW w:w="1307" w:type="pct"/>
            <w:gridSpan w:val="3"/>
            <w:shd w:val="clear" w:color="auto" w:fill="FFFFFF"/>
            <w:tcMar>
              <w:top w:w="58" w:type="dxa"/>
              <w:left w:w="57" w:type="dxa"/>
              <w:bottom w:w="57" w:type="dxa"/>
              <w:right w:w="57" w:type="dxa"/>
            </w:tcMar>
            <w:vAlign w:val="center"/>
          </w:tcPr>
          <w:p w14:paraId="06C21CA2" w14:textId="77777777" w:rsidR="00BC78D9" w:rsidRPr="00BC78D9" w:rsidRDefault="00BC78D9" w:rsidP="006A627E">
            <w:pPr>
              <w:ind w:right="49"/>
              <w:jc w:val="center"/>
              <w:rPr>
                <w:b/>
                <w:bCs/>
                <w:sz w:val="16"/>
                <w:szCs w:val="16"/>
              </w:rPr>
            </w:pPr>
            <w:r w:rsidRPr="00BC78D9">
              <w:rPr>
                <w:b/>
                <w:bCs/>
                <w:sz w:val="16"/>
                <w:szCs w:val="16"/>
              </w:rPr>
              <w:t>Données relatives à l’exécution</w:t>
            </w:r>
          </w:p>
        </w:tc>
        <w:tc>
          <w:tcPr>
            <w:tcW w:w="567" w:type="pct"/>
            <w:shd w:val="clear" w:color="auto" w:fill="auto"/>
            <w:tcMar>
              <w:top w:w="58" w:type="dxa"/>
              <w:left w:w="57" w:type="dxa"/>
              <w:bottom w:w="57" w:type="dxa"/>
              <w:right w:w="57" w:type="dxa"/>
            </w:tcMar>
            <w:vAlign w:val="center"/>
          </w:tcPr>
          <w:p w14:paraId="5FD1170A" w14:textId="77777777" w:rsidR="00BC78D9" w:rsidRPr="00BC78D9" w:rsidRDefault="00BC78D9" w:rsidP="006A627E">
            <w:pPr>
              <w:ind w:right="30"/>
              <w:jc w:val="center"/>
              <w:rPr>
                <w:b/>
                <w:bCs/>
                <w:sz w:val="16"/>
                <w:szCs w:val="16"/>
              </w:rPr>
            </w:pPr>
            <w:r w:rsidRPr="00BC78D9">
              <w:rPr>
                <w:b/>
                <w:bCs/>
                <w:sz w:val="16"/>
                <w:szCs w:val="16"/>
              </w:rPr>
              <w:t>Code d’évaluation</w:t>
            </w:r>
          </w:p>
        </w:tc>
      </w:tr>
      <w:tr w:rsidR="00BC78D9" w:rsidRPr="00BC78D9" w14:paraId="70D1B6A6" w14:textId="77777777" w:rsidTr="006A627E">
        <w:trPr>
          <w:cantSplit/>
          <w:trHeight w:val="288"/>
        </w:trPr>
        <w:tc>
          <w:tcPr>
            <w:tcW w:w="1006" w:type="pct"/>
            <w:shd w:val="clear" w:color="auto" w:fill="auto"/>
            <w:tcMar>
              <w:left w:w="57" w:type="dxa"/>
              <w:bottom w:w="57" w:type="dxa"/>
              <w:right w:w="57" w:type="dxa"/>
            </w:tcMar>
          </w:tcPr>
          <w:p w14:paraId="56E74721" w14:textId="77777777" w:rsidR="00BC78D9" w:rsidRPr="00BC78D9" w:rsidRDefault="00BC78D9" w:rsidP="006A627E">
            <w:pPr>
              <w:suppressLineNumbers/>
              <w:suppressAutoHyphens/>
              <w:rPr>
                <w:sz w:val="16"/>
                <w:szCs w:val="16"/>
              </w:rPr>
            </w:pPr>
            <w:r w:rsidRPr="00BC78D9">
              <w:rPr>
                <w:sz w:val="16"/>
                <w:szCs w:val="16"/>
              </w:rPr>
              <w:t xml:space="preserve">Nombre de ratifications du Traité de Marrakech ou d’adhésions à ce traité </w:t>
            </w:r>
          </w:p>
        </w:tc>
        <w:tc>
          <w:tcPr>
            <w:tcW w:w="1309" w:type="pct"/>
            <w:gridSpan w:val="2"/>
            <w:shd w:val="clear" w:color="auto" w:fill="auto"/>
            <w:tcMar>
              <w:left w:w="57" w:type="dxa"/>
              <w:bottom w:w="57" w:type="dxa"/>
              <w:right w:w="57" w:type="dxa"/>
            </w:tcMar>
          </w:tcPr>
          <w:p w14:paraId="01A0B1F5"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0CD7A5E0" w14:textId="77777777" w:rsidR="00BC78D9" w:rsidRPr="00BC78D9" w:rsidRDefault="00BC78D9" w:rsidP="006A627E">
            <w:pPr>
              <w:suppressLineNumbers/>
              <w:suppressAutoHyphens/>
              <w:rPr>
                <w:color w:val="002060"/>
                <w:sz w:val="16"/>
                <w:szCs w:val="16"/>
              </w:rPr>
            </w:pPr>
            <w:r w:rsidRPr="00BC78D9">
              <w:rPr>
                <w:color w:val="002060"/>
                <w:sz w:val="16"/>
                <w:szCs w:val="16"/>
              </w:rPr>
              <w:t>1 (Bureau de l’OMPI au Brésil)</w:t>
            </w:r>
          </w:p>
          <w:p w14:paraId="480339BF" w14:textId="77777777" w:rsidR="00BC78D9" w:rsidRPr="00BC78D9" w:rsidRDefault="00BC78D9" w:rsidP="006A627E">
            <w:pPr>
              <w:suppressLineNumbers/>
              <w:suppressAutoHyphens/>
              <w:rPr>
                <w:color w:val="002060"/>
                <w:sz w:val="16"/>
                <w:szCs w:val="16"/>
              </w:rPr>
            </w:pPr>
            <w:r w:rsidRPr="00BC78D9">
              <w:rPr>
                <w:color w:val="002060"/>
                <w:sz w:val="16"/>
                <w:szCs w:val="16"/>
              </w:rPr>
              <w:t>0 (Bureau de l’OMPI en Chine)</w:t>
            </w:r>
          </w:p>
          <w:p w14:paraId="3ECB42A5" w14:textId="77777777" w:rsidR="00BC78D9" w:rsidRPr="00BC78D9" w:rsidRDefault="00BC78D9" w:rsidP="006A627E">
            <w:pPr>
              <w:suppressLineNumbers/>
              <w:suppressAutoHyphens/>
              <w:rPr>
                <w:color w:val="002060"/>
                <w:sz w:val="16"/>
                <w:szCs w:val="16"/>
              </w:rPr>
            </w:pPr>
            <w:r w:rsidRPr="00BC78D9">
              <w:rPr>
                <w:color w:val="002060"/>
                <w:sz w:val="16"/>
                <w:szCs w:val="16"/>
              </w:rPr>
              <w:t>0 (Bureau de l’OMPI au Japon)</w:t>
            </w:r>
          </w:p>
          <w:p w14:paraId="16C88577" w14:textId="77777777" w:rsidR="00BC78D9" w:rsidRPr="00BC78D9" w:rsidRDefault="00BC78D9" w:rsidP="006A627E">
            <w:pPr>
              <w:suppressLineNumbers/>
              <w:suppressAutoHyphens/>
              <w:rPr>
                <w:color w:val="002060"/>
                <w:sz w:val="16"/>
                <w:szCs w:val="16"/>
              </w:rPr>
            </w:pPr>
            <w:r w:rsidRPr="00BC78D9">
              <w:rPr>
                <w:color w:val="002060"/>
                <w:sz w:val="16"/>
                <w:szCs w:val="16"/>
              </w:rPr>
              <w:t>0 (Bureau de l’OMPI en Fédération de Russie)</w:t>
            </w:r>
          </w:p>
          <w:p w14:paraId="25B4F1AF" w14:textId="77777777" w:rsidR="00BC78D9" w:rsidRPr="00BC78D9" w:rsidRDefault="00BC78D9" w:rsidP="006A627E">
            <w:pPr>
              <w:suppressLineNumbers/>
              <w:suppressAutoHyphens/>
              <w:rPr>
                <w:color w:val="002060"/>
                <w:sz w:val="16"/>
                <w:szCs w:val="16"/>
              </w:rPr>
            </w:pPr>
            <w:r w:rsidRPr="00BC78D9">
              <w:rPr>
                <w:color w:val="002060"/>
                <w:sz w:val="16"/>
                <w:szCs w:val="16"/>
              </w:rPr>
              <w:t>1 (Bureau de l’OMPI à Singapour)</w:t>
            </w:r>
          </w:p>
          <w:p w14:paraId="29A89D0B" w14:textId="77777777" w:rsidR="00BC78D9" w:rsidRPr="00BC78D9" w:rsidRDefault="00BC78D9" w:rsidP="006A627E">
            <w:pPr>
              <w:suppressLineNumbers/>
              <w:suppressAutoHyphens/>
              <w:rPr>
                <w:sz w:val="16"/>
                <w:szCs w:val="16"/>
              </w:rPr>
            </w:pPr>
          </w:p>
          <w:p w14:paraId="449D7A00" w14:textId="77777777" w:rsidR="00BC78D9" w:rsidRPr="00BC78D9" w:rsidRDefault="00BC78D9" w:rsidP="006A627E">
            <w:pPr>
              <w:suppressLineNumbers/>
              <w:suppressAutoHyphens/>
              <w:rPr>
                <w:sz w:val="16"/>
                <w:szCs w:val="16"/>
              </w:rPr>
            </w:pPr>
          </w:p>
          <w:p w14:paraId="685E2505" w14:textId="77777777" w:rsidR="00BC78D9" w:rsidRPr="001303B4" w:rsidRDefault="00BC78D9" w:rsidP="006A627E">
            <w:pPr>
              <w:suppressLineNumbers/>
              <w:suppressAutoHyphens/>
              <w:rPr>
                <w:sz w:val="16"/>
                <w:szCs w:val="16"/>
              </w:rPr>
            </w:pPr>
          </w:p>
          <w:p w14:paraId="7EBF148B"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03840FA3" w14:textId="77777777" w:rsidR="00BC78D9" w:rsidRPr="00BC78D9" w:rsidRDefault="00BC78D9" w:rsidP="006A627E">
            <w:pPr>
              <w:suppressLineNumbers/>
              <w:suppressAutoHyphens/>
              <w:rPr>
                <w:sz w:val="16"/>
                <w:szCs w:val="16"/>
              </w:rPr>
            </w:pPr>
            <w:r w:rsidRPr="00BC78D9">
              <w:rPr>
                <w:sz w:val="16"/>
                <w:szCs w:val="16"/>
              </w:rPr>
              <w:t>0 (tous bureaux confondus)</w:t>
            </w:r>
          </w:p>
        </w:tc>
        <w:tc>
          <w:tcPr>
            <w:tcW w:w="811" w:type="pct"/>
            <w:gridSpan w:val="2"/>
            <w:shd w:val="clear" w:color="auto" w:fill="auto"/>
            <w:tcMar>
              <w:top w:w="58" w:type="dxa"/>
              <w:left w:w="57" w:type="dxa"/>
              <w:bottom w:w="57" w:type="dxa"/>
              <w:right w:w="57" w:type="dxa"/>
            </w:tcMar>
          </w:tcPr>
          <w:p w14:paraId="7C588C7E" w14:textId="77777777" w:rsidR="00BC78D9" w:rsidRPr="00BC78D9" w:rsidRDefault="00BC78D9" w:rsidP="006A627E">
            <w:pPr>
              <w:suppressLineNumbers/>
              <w:suppressAutoHyphens/>
              <w:rPr>
                <w:i/>
                <w:color w:val="002060"/>
                <w:sz w:val="16"/>
                <w:szCs w:val="16"/>
              </w:rPr>
            </w:pPr>
            <w:r w:rsidRPr="00BC78D9">
              <w:rPr>
                <w:i/>
                <w:color w:val="002060"/>
                <w:sz w:val="16"/>
                <w:szCs w:val="16"/>
              </w:rPr>
              <w:t>Objectif visé actualisé :</w:t>
            </w:r>
          </w:p>
          <w:p w14:paraId="6C12CB63" w14:textId="77777777" w:rsidR="00BC78D9" w:rsidRPr="00BC78D9" w:rsidRDefault="00BC78D9" w:rsidP="006A627E">
            <w:pPr>
              <w:suppressLineNumbers/>
              <w:suppressAutoHyphens/>
              <w:rPr>
                <w:color w:val="002060"/>
                <w:sz w:val="16"/>
                <w:szCs w:val="16"/>
              </w:rPr>
            </w:pPr>
            <w:r w:rsidRPr="00BC78D9">
              <w:rPr>
                <w:color w:val="002060"/>
                <w:sz w:val="16"/>
                <w:szCs w:val="16"/>
              </w:rPr>
              <w:t>1 (Bureau de l’OMPI en Chine)</w:t>
            </w:r>
          </w:p>
          <w:p w14:paraId="28117A7F" w14:textId="77777777" w:rsidR="00BC78D9" w:rsidRPr="00BC78D9" w:rsidRDefault="00BC78D9" w:rsidP="006A627E">
            <w:pPr>
              <w:suppressLineNumbers/>
              <w:suppressAutoHyphens/>
              <w:rPr>
                <w:color w:val="002060"/>
                <w:sz w:val="16"/>
                <w:szCs w:val="16"/>
              </w:rPr>
            </w:pPr>
            <w:r w:rsidRPr="00BC78D9">
              <w:rPr>
                <w:color w:val="002060"/>
                <w:sz w:val="16"/>
                <w:szCs w:val="16"/>
              </w:rPr>
              <w:t>1 (Bureau de l’OMPI au Japon)</w:t>
            </w:r>
          </w:p>
          <w:p w14:paraId="41951268" w14:textId="77777777" w:rsidR="00BC78D9" w:rsidRPr="00BC78D9" w:rsidRDefault="00BC78D9" w:rsidP="006A627E">
            <w:pPr>
              <w:suppressLineNumbers/>
              <w:suppressAutoHyphens/>
              <w:rPr>
                <w:color w:val="002060"/>
                <w:sz w:val="16"/>
                <w:szCs w:val="16"/>
              </w:rPr>
            </w:pPr>
            <w:r w:rsidRPr="00BC78D9">
              <w:rPr>
                <w:color w:val="002060"/>
                <w:sz w:val="16"/>
                <w:szCs w:val="16"/>
              </w:rPr>
              <w:t>1 (Bureau de l’OMPI en Fédération de Russie)</w:t>
            </w:r>
          </w:p>
          <w:p w14:paraId="0EF0096F" w14:textId="77777777" w:rsidR="00BC78D9" w:rsidRPr="00BC78D9" w:rsidRDefault="00BC78D9" w:rsidP="006A627E">
            <w:pPr>
              <w:suppressLineNumbers/>
              <w:suppressAutoHyphens/>
              <w:rPr>
                <w:color w:val="002060"/>
                <w:sz w:val="16"/>
                <w:szCs w:val="16"/>
              </w:rPr>
            </w:pPr>
            <w:r w:rsidRPr="00BC78D9">
              <w:rPr>
                <w:color w:val="002060"/>
                <w:sz w:val="16"/>
                <w:szCs w:val="16"/>
              </w:rPr>
              <w:t>2 supplémentaires (Bureau de l’OMPI à Singapour)</w:t>
            </w:r>
          </w:p>
          <w:p w14:paraId="29A69F26" w14:textId="77777777" w:rsidR="00BC78D9" w:rsidRPr="00BC78D9" w:rsidRDefault="00BC78D9" w:rsidP="006A627E">
            <w:pPr>
              <w:suppressLineNumbers/>
              <w:suppressAutoHyphens/>
              <w:rPr>
                <w:sz w:val="16"/>
                <w:szCs w:val="16"/>
              </w:rPr>
            </w:pPr>
          </w:p>
          <w:p w14:paraId="783434A4" w14:textId="77777777" w:rsidR="00BC78D9" w:rsidRPr="00BC78D9" w:rsidRDefault="00BC78D9" w:rsidP="006A627E">
            <w:pPr>
              <w:suppressLineNumbers/>
              <w:suppressAutoHyphens/>
              <w:rPr>
                <w:sz w:val="16"/>
                <w:szCs w:val="16"/>
              </w:rPr>
            </w:pPr>
            <w:r w:rsidRPr="00BC78D9">
              <w:rPr>
                <w:i/>
                <w:sz w:val="16"/>
                <w:szCs w:val="16"/>
              </w:rPr>
              <w:t>Objectif visé initial dans le programme et budget 2016</w:t>
            </w:r>
            <w:r w:rsidRPr="00BC78D9">
              <w:rPr>
                <w:i/>
                <w:sz w:val="16"/>
                <w:szCs w:val="16"/>
              </w:rPr>
              <w:noBreakHyphen/>
              <w:t xml:space="preserve">2017 : </w:t>
            </w:r>
            <w:r w:rsidRPr="00BC78D9">
              <w:rPr>
                <w:sz w:val="16"/>
                <w:szCs w:val="16"/>
              </w:rPr>
              <w:t>1 (Bureau de l’OMPI au Brésil, Bureau de l’OMPI en Chine, Bureau de l’OMPI au Japon, Bureau de l’OMPI en Fédération de Russie),</w:t>
            </w:r>
          </w:p>
          <w:p w14:paraId="05D46E7E" w14:textId="77777777" w:rsidR="00BC78D9" w:rsidRPr="00BC78D9" w:rsidRDefault="00BC78D9" w:rsidP="006A627E">
            <w:pPr>
              <w:suppressLineNumbers/>
              <w:suppressAutoHyphens/>
              <w:rPr>
                <w:sz w:val="16"/>
                <w:szCs w:val="16"/>
              </w:rPr>
            </w:pPr>
            <w:r w:rsidRPr="00BC78D9">
              <w:rPr>
                <w:sz w:val="16"/>
                <w:szCs w:val="16"/>
              </w:rPr>
              <w:t>2 (Bureau de l’OMPI à Singapour)</w:t>
            </w:r>
          </w:p>
        </w:tc>
        <w:tc>
          <w:tcPr>
            <w:tcW w:w="1307" w:type="pct"/>
            <w:gridSpan w:val="3"/>
            <w:shd w:val="clear" w:color="auto" w:fill="FFFFFF"/>
            <w:tcMar>
              <w:top w:w="58" w:type="dxa"/>
              <w:left w:w="57" w:type="dxa"/>
              <w:bottom w:w="57" w:type="dxa"/>
              <w:right w:w="57" w:type="dxa"/>
            </w:tcMar>
          </w:tcPr>
          <w:p w14:paraId="419F9571" w14:textId="77777777" w:rsidR="00BC78D9" w:rsidRPr="00BC78D9" w:rsidRDefault="00BC78D9" w:rsidP="006A627E">
            <w:pPr>
              <w:suppressLineNumbers/>
              <w:suppressAutoHyphens/>
              <w:rPr>
                <w:sz w:val="16"/>
                <w:szCs w:val="16"/>
              </w:rPr>
            </w:pPr>
            <w:r w:rsidRPr="00BC78D9">
              <w:rPr>
                <w:sz w:val="16"/>
                <w:szCs w:val="16"/>
              </w:rPr>
              <w:t>0 (Bureau de l’OMPI en Chine)</w:t>
            </w:r>
          </w:p>
          <w:p w14:paraId="2234D656" w14:textId="77777777" w:rsidR="00BC78D9" w:rsidRPr="00BC78D9" w:rsidRDefault="00BC78D9" w:rsidP="006A627E">
            <w:pPr>
              <w:suppressLineNumbers/>
              <w:suppressAutoHyphens/>
              <w:rPr>
                <w:sz w:val="16"/>
                <w:szCs w:val="16"/>
              </w:rPr>
            </w:pPr>
            <w:r w:rsidRPr="00BC78D9">
              <w:rPr>
                <w:sz w:val="16"/>
                <w:szCs w:val="16"/>
              </w:rPr>
              <w:t>0 (Bureau de l’OMPI au Japon)</w:t>
            </w:r>
          </w:p>
          <w:p w14:paraId="600F6341" w14:textId="77777777" w:rsidR="00BC78D9" w:rsidRPr="00BC78D9" w:rsidRDefault="00BC78D9" w:rsidP="006A627E">
            <w:pPr>
              <w:suppressLineNumbers/>
              <w:suppressAutoHyphens/>
              <w:rPr>
                <w:sz w:val="16"/>
                <w:szCs w:val="16"/>
              </w:rPr>
            </w:pPr>
            <w:r w:rsidRPr="00BC78D9">
              <w:rPr>
                <w:sz w:val="16"/>
                <w:szCs w:val="16"/>
              </w:rPr>
              <w:t>0 (Bureau de l’OMPI en Fédération de Russie)</w:t>
            </w:r>
          </w:p>
          <w:p w14:paraId="495F8F6D" w14:textId="77777777" w:rsidR="00BC78D9" w:rsidRPr="00BC78D9" w:rsidRDefault="00BC78D9" w:rsidP="006A627E">
            <w:pPr>
              <w:suppressLineNumbers/>
              <w:suppressAutoHyphens/>
              <w:rPr>
                <w:sz w:val="16"/>
                <w:szCs w:val="16"/>
              </w:rPr>
            </w:pPr>
            <w:r w:rsidRPr="00BC78D9">
              <w:rPr>
                <w:sz w:val="16"/>
                <w:szCs w:val="16"/>
              </w:rPr>
              <w:t>Aucune ratification ou adhésion supplémentaire (Bureau de l’OMPI à Singapour)</w:t>
            </w:r>
          </w:p>
          <w:p w14:paraId="720E2821" w14:textId="77777777" w:rsidR="00BC78D9" w:rsidRPr="00BC78D9" w:rsidRDefault="00BC78D9" w:rsidP="006A627E">
            <w:pPr>
              <w:suppressLineNumbers/>
              <w:suppressAutoHyphens/>
              <w:rPr>
                <w:sz w:val="16"/>
                <w:szCs w:val="16"/>
              </w:rPr>
            </w:pPr>
          </w:p>
        </w:tc>
        <w:tc>
          <w:tcPr>
            <w:tcW w:w="567" w:type="pct"/>
            <w:shd w:val="clear" w:color="auto" w:fill="auto"/>
            <w:tcMar>
              <w:top w:w="58" w:type="dxa"/>
              <w:left w:w="57" w:type="dxa"/>
              <w:bottom w:w="57" w:type="dxa"/>
              <w:right w:w="57" w:type="dxa"/>
            </w:tcMar>
          </w:tcPr>
          <w:p w14:paraId="24266A88" w14:textId="77777777" w:rsidR="00BC78D9" w:rsidRPr="00BC78D9" w:rsidRDefault="00BC78D9" w:rsidP="006A627E">
            <w:pPr>
              <w:suppressLineNumbers/>
              <w:suppressAutoHyphens/>
              <w:jc w:val="center"/>
              <w:rPr>
                <w:b/>
                <w:sz w:val="16"/>
                <w:szCs w:val="16"/>
              </w:rPr>
            </w:pPr>
            <w:r w:rsidRPr="00BC78D9">
              <w:rPr>
                <w:b/>
                <w:color w:val="FF0000"/>
                <w:sz w:val="16"/>
                <w:szCs w:val="16"/>
              </w:rPr>
              <w:t>Pas en bonne voie</w:t>
            </w:r>
          </w:p>
        </w:tc>
      </w:tr>
      <w:tr w:rsidR="00BC78D9" w:rsidRPr="00BC78D9" w14:paraId="4A11A7EE" w14:textId="77777777" w:rsidTr="006A627E">
        <w:trPr>
          <w:cantSplit/>
          <w:trHeight w:val="1204"/>
        </w:trPr>
        <w:tc>
          <w:tcPr>
            <w:tcW w:w="1039" w:type="pct"/>
            <w:gridSpan w:val="2"/>
            <w:shd w:val="clear" w:color="auto" w:fill="auto"/>
            <w:tcMar>
              <w:left w:w="57" w:type="dxa"/>
              <w:bottom w:w="57" w:type="dxa"/>
              <w:right w:w="57" w:type="dxa"/>
            </w:tcMar>
          </w:tcPr>
          <w:p w14:paraId="3858F6F1" w14:textId="77777777" w:rsidR="00BC78D9" w:rsidRPr="00BC78D9" w:rsidRDefault="00BC78D9" w:rsidP="006A627E">
            <w:pPr>
              <w:suppressLineNumbers/>
              <w:suppressAutoHyphens/>
              <w:rPr>
                <w:sz w:val="16"/>
                <w:szCs w:val="16"/>
              </w:rPr>
            </w:pPr>
            <w:r w:rsidRPr="00BC78D9">
              <w:rPr>
                <w:sz w:val="16"/>
                <w:szCs w:val="16"/>
              </w:rPr>
              <w:t xml:space="preserve">Nombre de ratifications du Traité de Beijing ou d’adhésions à ce traité </w:t>
            </w:r>
          </w:p>
        </w:tc>
        <w:tc>
          <w:tcPr>
            <w:tcW w:w="1276" w:type="pct"/>
            <w:shd w:val="clear" w:color="auto" w:fill="auto"/>
            <w:tcMar>
              <w:left w:w="57" w:type="dxa"/>
              <w:bottom w:w="57" w:type="dxa"/>
              <w:right w:w="57" w:type="dxa"/>
            </w:tcMar>
          </w:tcPr>
          <w:p w14:paraId="4806401C"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32D653BB" w14:textId="77777777" w:rsidR="00BC78D9" w:rsidRPr="00BC78D9" w:rsidRDefault="00BC78D9" w:rsidP="006A627E">
            <w:pPr>
              <w:suppressLineNumbers/>
              <w:suppressAutoHyphens/>
              <w:rPr>
                <w:color w:val="002060"/>
                <w:sz w:val="16"/>
                <w:szCs w:val="16"/>
              </w:rPr>
            </w:pPr>
            <w:r w:rsidRPr="00BC78D9">
              <w:rPr>
                <w:color w:val="002060"/>
                <w:sz w:val="16"/>
                <w:szCs w:val="16"/>
              </w:rPr>
              <w:t>0 (Bureau de l’OMPI à Singapour)</w:t>
            </w:r>
          </w:p>
          <w:p w14:paraId="6356F370" w14:textId="77777777" w:rsidR="00BC78D9" w:rsidRPr="00BC78D9" w:rsidRDefault="00BC78D9" w:rsidP="006A627E">
            <w:pPr>
              <w:suppressLineNumbers/>
              <w:suppressAutoHyphens/>
              <w:rPr>
                <w:color w:val="002060"/>
                <w:sz w:val="16"/>
                <w:szCs w:val="16"/>
              </w:rPr>
            </w:pPr>
            <w:r w:rsidRPr="00BC78D9">
              <w:rPr>
                <w:color w:val="002060"/>
                <w:sz w:val="16"/>
                <w:szCs w:val="16"/>
              </w:rPr>
              <w:t>1 (Bureau de l’OMPI en Fédération de Russie)</w:t>
            </w:r>
          </w:p>
          <w:p w14:paraId="19C60CF8" w14:textId="77777777" w:rsidR="00BC78D9" w:rsidRPr="00BC78D9" w:rsidRDefault="00BC78D9" w:rsidP="006A627E">
            <w:pPr>
              <w:suppressLineNumbers/>
              <w:suppressAutoHyphens/>
              <w:rPr>
                <w:i/>
                <w:sz w:val="16"/>
                <w:szCs w:val="16"/>
              </w:rPr>
            </w:pPr>
          </w:p>
          <w:p w14:paraId="5DEC548B"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4E743927" w14:textId="77777777" w:rsidR="00BC78D9" w:rsidRPr="00BC78D9" w:rsidRDefault="00BC78D9" w:rsidP="006A627E">
            <w:pPr>
              <w:suppressLineNumbers/>
              <w:suppressAutoHyphens/>
              <w:rPr>
                <w:sz w:val="16"/>
                <w:szCs w:val="16"/>
              </w:rPr>
            </w:pPr>
            <w:r w:rsidRPr="00BC78D9">
              <w:rPr>
                <w:sz w:val="16"/>
                <w:szCs w:val="16"/>
              </w:rPr>
              <w:t>0 (Bureau de l’OMPI à Singapour) 0 (Bureau de l’OMPI en Fédération de Russie)</w:t>
            </w:r>
          </w:p>
        </w:tc>
        <w:tc>
          <w:tcPr>
            <w:tcW w:w="835" w:type="pct"/>
            <w:gridSpan w:val="3"/>
            <w:shd w:val="clear" w:color="auto" w:fill="auto"/>
            <w:tcMar>
              <w:top w:w="58" w:type="dxa"/>
              <w:left w:w="57" w:type="dxa"/>
              <w:bottom w:w="57" w:type="dxa"/>
              <w:right w:w="57" w:type="dxa"/>
            </w:tcMar>
          </w:tcPr>
          <w:p w14:paraId="5BC17325" w14:textId="77777777" w:rsidR="00BC78D9" w:rsidRPr="00BC78D9" w:rsidRDefault="00BC78D9" w:rsidP="006A627E">
            <w:pPr>
              <w:suppressLineNumbers/>
              <w:suppressAutoHyphens/>
              <w:rPr>
                <w:i/>
                <w:color w:val="002060"/>
                <w:sz w:val="16"/>
                <w:szCs w:val="16"/>
              </w:rPr>
            </w:pPr>
            <w:r w:rsidRPr="00BC78D9">
              <w:rPr>
                <w:i/>
                <w:color w:val="002060"/>
                <w:sz w:val="16"/>
                <w:szCs w:val="16"/>
              </w:rPr>
              <w:t>Objectif visé actualisé :</w:t>
            </w:r>
          </w:p>
          <w:p w14:paraId="276B3473" w14:textId="77777777" w:rsidR="00BC78D9" w:rsidRPr="00BC78D9" w:rsidRDefault="00BC78D9" w:rsidP="006A627E">
            <w:pPr>
              <w:suppressLineNumbers/>
              <w:suppressAutoHyphens/>
              <w:rPr>
                <w:color w:val="002060"/>
                <w:sz w:val="16"/>
                <w:szCs w:val="16"/>
              </w:rPr>
            </w:pPr>
            <w:r w:rsidRPr="00BC78D9">
              <w:rPr>
                <w:color w:val="002060"/>
                <w:sz w:val="16"/>
                <w:szCs w:val="16"/>
              </w:rPr>
              <w:t>2 (Bureau de l’OMPI à Singapour)</w:t>
            </w:r>
          </w:p>
          <w:p w14:paraId="56C7E9BB" w14:textId="77777777" w:rsidR="00BC78D9" w:rsidRPr="00BC78D9" w:rsidRDefault="00BC78D9" w:rsidP="006A627E">
            <w:pPr>
              <w:suppressLineNumbers/>
              <w:suppressAutoHyphens/>
              <w:rPr>
                <w:i/>
                <w:sz w:val="16"/>
                <w:szCs w:val="16"/>
                <w:lang w:bidi="th-TH"/>
              </w:rPr>
            </w:pPr>
          </w:p>
          <w:p w14:paraId="4E5E8F7D" w14:textId="77777777" w:rsidR="00BC78D9" w:rsidRPr="00BC78D9" w:rsidRDefault="00BC78D9" w:rsidP="006A627E">
            <w:pPr>
              <w:suppressLineNumbers/>
              <w:suppressAutoHyphens/>
              <w:rPr>
                <w:i/>
                <w:sz w:val="16"/>
                <w:szCs w:val="16"/>
                <w:lang w:bidi="th-TH"/>
              </w:rPr>
            </w:pPr>
          </w:p>
          <w:p w14:paraId="1CB37F1C" w14:textId="77777777" w:rsidR="00BC78D9" w:rsidRPr="00BC78D9" w:rsidRDefault="00BC78D9" w:rsidP="006A627E">
            <w:pPr>
              <w:suppressLineNumbers/>
              <w:suppressAutoHyphens/>
              <w:rPr>
                <w:i/>
                <w:sz w:val="16"/>
                <w:szCs w:val="16"/>
                <w:lang w:bidi="th-TH"/>
              </w:rPr>
            </w:pPr>
            <w:r w:rsidRPr="00BC78D9">
              <w:rPr>
                <w:i/>
                <w:sz w:val="16"/>
                <w:szCs w:val="16"/>
                <w:lang w:bidi="th-TH"/>
              </w:rPr>
              <w:t>Objectif visé initial dans le programme et budget 2016</w:t>
            </w:r>
            <w:r w:rsidRPr="00BC78D9">
              <w:rPr>
                <w:i/>
                <w:sz w:val="16"/>
                <w:szCs w:val="16"/>
                <w:lang w:bidi="th-TH"/>
              </w:rPr>
              <w:noBreakHyphen/>
              <w:t>2017 :</w:t>
            </w:r>
          </w:p>
          <w:p w14:paraId="2D2020B3" w14:textId="77777777" w:rsidR="00BC78D9" w:rsidRPr="00BC78D9" w:rsidRDefault="00BC78D9" w:rsidP="006A627E">
            <w:pPr>
              <w:suppressLineNumbers/>
              <w:suppressAutoHyphens/>
              <w:rPr>
                <w:sz w:val="16"/>
                <w:szCs w:val="16"/>
              </w:rPr>
            </w:pPr>
            <w:r w:rsidRPr="00BC78D9">
              <w:rPr>
                <w:sz w:val="16"/>
                <w:szCs w:val="16"/>
              </w:rPr>
              <w:t>2 (Bureau de l’OMPI à Singapour) 1 (Bureau de l’OMPI en Fédération de Russie)</w:t>
            </w:r>
          </w:p>
        </w:tc>
        <w:tc>
          <w:tcPr>
            <w:tcW w:w="1283" w:type="pct"/>
            <w:gridSpan w:val="2"/>
            <w:shd w:val="clear" w:color="auto" w:fill="FFFFFF"/>
            <w:tcMar>
              <w:top w:w="58" w:type="dxa"/>
              <w:left w:w="57" w:type="dxa"/>
              <w:bottom w:w="57" w:type="dxa"/>
              <w:right w:w="57" w:type="dxa"/>
            </w:tcMar>
          </w:tcPr>
          <w:p w14:paraId="44935077" w14:textId="77777777" w:rsidR="00BC78D9" w:rsidRPr="00BC78D9" w:rsidRDefault="00BC78D9" w:rsidP="006A627E">
            <w:pPr>
              <w:suppressLineNumbers/>
              <w:suppressAutoHyphens/>
              <w:rPr>
                <w:sz w:val="16"/>
                <w:szCs w:val="16"/>
              </w:rPr>
            </w:pPr>
            <w:r w:rsidRPr="00BC78D9">
              <w:rPr>
                <w:sz w:val="16"/>
                <w:szCs w:val="16"/>
              </w:rPr>
              <w:t>0 (Bureau de l’OMPI à Singapour)</w:t>
            </w:r>
          </w:p>
        </w:tc>
        <w:tc>
          <w:tcPr>
            <w:tcW w:w="567" w:type="pct"/>
            <w:shd w:val="clear" w:color="auto" w:fill="auto"/>
            <w:tcMar>
              <w:top w:w="58" w:type="dxa"/>
              <w:left w:w="57" w:type="dxa"/>
              <w:bottom w:w="57" w:type="dxa"/>
              <w:right w:w="57" w:type="dxa"/>
            </w:tcMar>
          </w:tcPr>
          <w:p w14:paraId="6282AC1C" w14:textId="77777777" w:rsidR="00BC78D9" w:rsidRPr="00BC78D9" w:rsidRDefault="00BC78D9" w:rsidP="006A627E">
            <w:pPr>
              <w:suppressLineNumbers/>
              <w:suppressAutoHyphens/>
              <w:jc w:val="center"/>
              <w:rPr>
                <w:b/>
                <w:sz w:val="16"/>
                <w:szCs w:val="16"/>
              </w:rPr>
            </w:pPr>
            <w:r w:rsidRPr="00BC78D9">
              <w:rPr>
                <w:b/>
                <w:color w:val="FF0000"/>
                <w:sz w:val="16"/>
                <w:szCs w:val="16"/>
              </w:rPr>
              <w:t>Pas en bonne voie</w:t>
            </w:r>
          </w:p>
        </w:tc>
      </w:tr>
      <w:tr w:rsidR="00BC78D9" w:rsidRPr="00BC78D9" w14:paraId="783E58C5" w14:textId="77777777" w:rsidTr="006A627E">
        <w:trPr>
          <w:cantSplit/>
          <w:trHeight w:val="474"/>
        </w:trPr>
        <w:tc>
          <w:tcPr>
            <w:tcW w:w="1039" w:type="pct"/>
            <w:gridSpan w:val="2"/>
            <w:shd w:val="clear" w:color="auto" w:fill="auto"/>
            <w:tcMar>
              <w:left w:w="57" w:type="dxa"/>
              <w:bottom w:w="57" w:type="dxa"/>
              <w:right w:w="57" w:type="dxa"/>
            </w:tcMar>
          </w:tcPr>
          <w:p w14:paraId="226435AC" w14:textId="77777777" w:rsidR="00BC78D9" w:rsidRPr="00BC78D9" w:rsidRDefault="00BC78D9" w:rsidP="006A627E">
            <w:pPr>
              <w:suppressLineNumbers/>
              <w:suppressAutoHyphens/>
              <w:rPr>
                <w:sz w:val="16"/>
                <w:szCs w:val="16"/>
              </w:rPr>
            </w:pPr>
            <w:r w:rsidRPr="00BC78D9">
              <w:rPr>
                <w:sz w:val="16"/>
                <w:szCs w:val="16"/>
              </w:rPr>
              <w:t xml:space="preserve">Nombre de ratifications du Traité de Singapour ou d’adhésions à ce traité </w:t>
            </w:r>
          </w:p>
        </w:tc>
        <w:tc>
          <w:tcPr>
            <w:tcW w:w="1276" w:type="pct"/>
            <w:shd w:val="clear" w:color="auto" w:fill="auto"/>
            <w:tcMar>
              <w:left w:w="57" w:type="dxa"/>
              <w:bottom w:w="57" w:type="dxa"/>
              <w:right w:w="57" w:type="dxa"/>
            </w:tcMar>
          </w:tcPr>
          <w:p w14:paraId="796BC3A6" w14:textId="77777777" w:rsidR="00BC78D9" w:rsidRPr="00BC78D9" w:rsidRDefault="00BC78D9" w:rsidP="006A627E">
            <w:pPr>
              <w:suppressLineNumbers/>
              <w:suppressAutoHyphens/>
              <w:rPr>
                <w:sz w:val="16"/>
                <w:szCs w:val="16"/>
              </w:rPr>
            </w:pPr>
            <w:r w:rsidRPr="00BC78D9">
              <w:rPr>
                <w:sz w:val="16"/>
                <w:szCs w:val="16"/>
              </w:rPr>
              <w:t>0 (Bureau de l’OMPI au Japon)</w:t>
            </w:r>
          </w:p>
          <w:p w14:paraId="363DB20A" w14:textId="77777777" w:rsidR="00BC78D9" w:rsidRPr="00BC78D9" w:rsidRDefault="00BC78D9" w:rsidP="006A627E">
            <w:pPr>
              <w:suppressLineNumbers/>
              <w:suppressAutoHyphens/>
              <w:rPr>
                <w:sz w:val="16"/>
                <w:szCs w:val="16"/>
              </w:rPr>
            </w:pPr>
            <w:r w:rsidRPr="00BC78D9">
              <w:rPr>
                <w:sz w:val="16"/>
                <w:szCs w:val="16"/>
              </w:rPr>
              <w:t>1 (Bureau de l’OMPI à Singapour)</w:t>
            </w:r>
          </w:p>
        </w:tc>
        <w:tc>
          <w:tcPr>
            <w:tcW w:w="835" w:type="pct"/>
            <w:gridSpan w:val="3"/>
            <w:shd w:val="clear" w:color="auto" w:fill="auto"/>
            <w:tcMar>
              <w:top w:w="58" w:type="dxa"/>
              <w:left w:w="57" w:type="dxa"/>
              <w:bottom w:w="57" w:type="dxa"/>
              <w:right w:w="57" w:type="dxa"/>
            </w:tcMar>
          </w:tcPr>
          <w:p w14:paraId="77E3F17C" w14:textId="77777777" w:rsidR="00BC78D9" w:rsidRPr="00BC78D9" w:rsidRDefault="00BC78D9" w:rsidP="006A627E">
            <w:pPr>
              <w:suppressLineNumbers/>
              <w:suppressAutoHyphens/>
              <w:rPr>
                <w:sz w:val="16"/>
                <w:szCs w:val="16"/>
              </w:rPr>
            </w:pPr>
            <w:r w:rsidRPr="00BC78D9">
              <w:rPr>
                <w:sz w:val="16"/>
                <w:szCs w:val="16"/>
              </w:rPr>
              <w:t>1 (Bureau de l’OMPI au Japon)</w:t>
            </w:r>
          </w:p>
          <w:p w14:paraId="7EB429AA" w14:textId="77777777" w:rsidR="00BC78D9" w:rsidRPr="00BC78D9" w:rsidRDefault="00BC78D9" w:rsidP="006A627E">
            <w:pPr>
              <w:suppressLineNumbers/>
              <w:suppressAutoHyphens/>
              <w:rPr>
                <w:sz w:val="16"/>
                <w:szCs w:val="16"/>
              </w:rPr>
            </w:pPr>
            <w:r w:rsidRPr="00BC78D9">
              <w:rPr>
                <w:sz w:val="16"/>
                <w:szCs w:val="16"/>
              </w:rPr>
              <w:t>1 ratification ou adhésion supplémentaire (Bureau de l’OMPI à Singapour)</w:t>
            </w:r>
          </w:p>
        </w:tc>
        <w:tc>
          <w:tcPr>
            <w:tcW w:w="1283" w:type="pct"/>
            <w:gridSpan w:val="2"/>
            <w:shd w:val="clear" w:color="auto" w:fill="FFFFFF"/>
            <w:tcMar>
              <w:top w:w="58" w:type="dxa"/>
              <w:left w:w="57" w:type="dxa"/>
              <w:bottom w:w="57" w:type="dxa"/>
              <w:right w:w="57" w:type="dxa"/>
            </w:tcMar>
          </w:tcPr>
          <w:p w14:paraId="60AF5644" w14:textId="77777777" w:rsidR="00BC78D9" w:rsidRPr="00BC78D9" w:rsidRDefault="00BC78D9" w:rsidP="006A627E">
            <w:pPr>
              <w:suppressLineNumbers/>
              <w:suppressAutoHyphens/>
              <w:rPr>
                <w:sz w:val="16"/>
                <w:szCs w:val="16"/>
              </w:rPr>
            </w:pPr>
            <w:r w:rsidRPr="00BC78D9">
              <w:rPr>
                <w:sz w:val="16"/>
                <w:szCs w:val="16"/>
              </w:rPr>
              <w:t>1 (Bureau de l’OMPI au Japon)</w:t>
            </w:r>
          </w:p>
          <w:p w14:paraId="418D641E" w14:textId="77777777" w:rsidR="00BC78D9" w:rsidRPr="00BC78D9" w:rsidRDefault="00BC78D9" w:rsidP="006A627E">
            <w:pPr>
              <w:suppressLineNumbers/>
              <w:suppressAutoHyphens/>
              <w:rPr>
                <w:sz w:val="16"/>
                <w:szCs w:val="16"/>
              </w:rPr>
            </w:pPr>
            <w:r w:rsidRPr="00BC78D9">
              <w:rPr>
                <w:sz w:val="16"/>
                <w:szCs w:val="16"/>
              </w:rPr>
              <w:t>Progrès accomplis en vue d’adhésions potentielles (Bureau de l’OMPI à Singapour)</w:t>
            </w:r>
          </w:p>
        </w:tc>
        <w:tc>
          <w:tcPr>
            <w:tcW w:w="567" w:type="pct"/>
            <w:shd w:val="clear" w:color="auto" w:fill="auto"/>
            <w:tcMar>
              <w:top w:w="58" w:type="dxa"/>
              <w:left w:w="57" w:type="dxa"/>
              <w:bottom w:w="57" w:type="dxa"/>
              <w:right w:w="57" w:type="dxa"/>
            </w:tcMar>
          </w:tcPr>
          <w:p w14:paraId="68469E93" w14:textId="77777777" w:rsidR="00BC78D9" w:rsidRPr="00BC78D9" w:rsidRDefault="00BC78D9" w:rsidP="006A627E">
            <w:pPr>
              <w:jc w:val="center"/>
            </w:pPr>
            <w:r w:rsidRPr="00BC78D9">
              <w:rPr>
                <w:b/>
                <w:color w:val="00B050"/>
                <w:sz w:val="16"/>
                <w:szCs w:val="16"/>
              </w:rPr>
              <w:t>En bonne voie</w:t>
            </w:r>
          </w:p>
        </w:tc>
      </w:tr>
      <w:tr w:rsidR="00BC78D9" w:rsidRPr="00BC78D9" w14:paraId="788A8C6F" w14:textId="77777777" w:rsidTr="006A627E">
        <w:trPr>
          <w:cantSplit/>
          <w:trHeight w:val="288"/>
        </w:trPr>
        <w:tc>
          <w:tcPr>
            <w:tcW w:w="1039" w:type="pct"/>
            <w:gridSpan w:val="2"/>
            <w:shd w:val="clear" w:color="auto" w:fill="auto"/>
            <w:tcMar>
              <w:left w:w="57" w:type="dxa"/>
              <w:bottom w:w="57" w:type="dxa"/>
              <w:right w:w="57" w:type="dxa"/>
            </w:tcMar>
          </w:tcPr>
          <w:p w14:paraId="0AE088F0" w14:textId="77777777" w:rsidR="00BC78D9" w:rsidRPr="00BC78D9" w:rsidRDefault="00BC78D9" w:rsidP="006A627E">
            <w:pPr>
              <w:suppressLineNumbers/>
              <w:suppressAutoHyphens/>
              <w:rPr>
                <w:sz w:val="16"/>
                <w:szCs w:val="16"/>
              </w:rPr>
            </w:pPr>
            <w:r w:rsidRPr="00BC78D9">
              <w:rPr>
                <w:sz w:val="16"/>
                <w:szCs w:val="16"/>
              </w:rPr>
              <w:t xml:space="preserve">Nombre de ratifications des traités Internet ou d’adhésions à ces traités </w:t>
            </w:r>
          </w:p>
        </w:tc>
        <w:tc>
          <w:tcPr>
            <w:tcW w:w="1276" w:type="pct"/>
            <w:shd w:val="clear" w:color="auto" w:fill="auto"/>
            <w:tcMar>
              <w:left w:w="57" w:type="dxa"/>
              <w:bottom w:w="57" w:type="dxa"/>
              <w:right w:w="57" w:type="dxa"/>
            </w:tcMar>
          </w:tcPr>
          <w:p w14:paraId="62F20CF8" w14:textId="77777777" w:rsidR="00BC78D9" w:rsidRPr="00BC78D9" w:rsidRDefault="00BC78D9" w:rsidP="006A627E">
            <w:pPr>
              <w:suppressLineNumbers/>
              <w:suppressAutoHyphens/>
              <w:rPr>
                <w:sz w:val="16"/>
                <w:szCs w:val="16"/>
              </w:rPr>
            </w:pPr>
            <w:r w:rsidRPr="00BC78D9">
              <w:rPr>
                <w:sz w:val="16"/>
                <w:szCs w:val="16"/>
              </w:rPr>
              <w:t>Traité de l’OMPI sur le droit d’auteur : 4 (Bureau de l’OMPI à Singapour)</w:t>
            </w:r>
          </w:p>
          <w:p w14:paraId="7AE85F41" w14:textId="77777777" w:rsidR="00BC78D9" w:rsidRPr="00BC78D9" w:rsidRDefault="00BC78D9" w:rsidP="006A627E">
            <w:pPr>
              <w:suppressLineNumbers/>
              <w:suppressAutoHyphens/>
              <w:rPr>
                <w:sz w:val="16"/>
                <w:szCs w:val="6"/>
              </w:rPr>
            </w:pPr>
            <w:r w:rsidRPr="00BC78D9">
              <w:rPr>
                <w:sz w:val="16"/>
                <w:szCs w:val="16"/>
              </w:rPr>
              <w:t>Traité de l’OMPI sur les interprétations et exécutions et les phonogrammes : 4 (Bureau de l’OMPI à Singapour)</w:t>
            </w:r>
          </w:p>
        </w:tc>
        <w:tc>
          <w:tcPr>
            <w:tcW w:w="835" w:type="pct"/>
            <w:gridSpan w:val="3"/>
            <w:shd w:val="clear" w:color="auto" w:fill="auto"/>
            <w:tcMar>
              <w:top w:w="58" w:type="dxa"/>
              <w:left w:w="57" w:type="dxa"/>
              <w:bottom w:w="57" w:type="dxa"/>
              <w:right w:w="57" w:type="dxa"/>
            </w:tcMar>
          </w:tcPr>
          <w:p w14:paraId="3F9B46A9" w14:textId="77777777" w:rsidR="00BC78D9" w:rsidRPr="00BC78D9" w:rsidRDefault="00BC78D9" w:rsidP="006A627E">
            <w:pPr>
              <w:suppressLineNumbers/>
              <w:suppressAutoHyphens/>
              <w:rPr>
                <w:sz w:val="16"/>
                <w:szCs w:val="16"/>
              </w:rPr>
            </w:pPr>
            <w:r w:rsidRPr="00BC78D9">
              <w:rPr>
                <w:sz w:val="16"/>
                <w:szCs w:val="16"/>
              </w:rPr>
              <w:t>1 ratification ou adhésion supplémentaire (Bureau de l’OMPI à Singapour)</w:t>
            </w:r>
          </w:p>
          <w:p w14:paraId="42F29996" w14:textId="77777777" w:rsidR="00BC78D9" w:rsidRPr="00BC78D9" w:rsidRDefault="00BC78D9" w:rsidP="006A627E">
            <w:pPr>
              <w:suppressLineNumbers/>
              <w:suppressAutoHyphens/>
              <w:rPr>
                <w:sz w:val="16"/>
                <w:szCs w:val="16"/>
              </w:rPr>
            </w:pPr>
          </w:p>
          <w:p w14:paraId="6FFAE150" w14:textId="77777777" w:rsidR="00BC78D9" w:rsidRPr="00BC78D9" w:rsidRDefault="00BC78D9" w:rsidP="006A627E">
            <w:pPr>
              <w:suppressLineNumbers/>
              <w:suppressAutoHyphens/>
              <w:rPr>
                <w:sz w:val="16"/>
                <w:szCs w:val="16"/>
              </w:rPr>
            </w:pPr>
            <w:r w:rsidRPr="00BC78D9">
              <w:rPr>
                <w:sz w:val="16"/>
                <w:szCs w:val="16"/>
              </w:rPr>
              <w:t xml:space="preserve">1 ratification ou adhésion supplémentaire (Bureau de l’OMPI à Singapour) </w:t>
            </w:r>
          </w:p>
        </w:tc>
        <w:tc>
          <w:tcPr>
            <w:tcW w:w="1283" w:type="pct"/>
            <w:gridSpan w:val="2"/>
            <w:shd w:val="clear" w:color="auto" w:fill="FFFFFF"/>
            <w:tcMar>
              <w:top w:w="58" w:type="dxa"/>
              <w:left w:w="57" w:type="dxa"/>
              <w:bottom w:w="57" w:type="dxa"/>
              <w:right w:w="57" w:type="dxa"/>
            </w:tcMar>
          </w:tcPr>
          <w:p w14:paraId="06A2A164" w14:textId="77777777" w:rsidR="00BC78D9" w:rsidRPr="00BC78D9" w:rsidRDefault="00BC78D9" w:rsidP="006A627E">
            <w:pPr>
              <w:suppressLineNumbers/>
              <w:suppressAutoHyphens/>
              <w:rPr>
                <w:sz w:val="16"/>
                <w:szCs w:val="16"/>
              </w:rPr>
            </w:pPr>
            <w:r w:rsidRPr="00BC78D9">
              <w:rPr>
                <w:sz w:val="16"/>
                <w:szCs w:val="16"/>
              </w:rPr>
              <w:t>Progrès accomplis en vue d’adhésions potentielles (Bureau de l’OMPI à Singapour)</w:t>
            </w:r>
          </w:p>
        </w:tc>
        <w:tc>
          <w:tcPr>
            <w:tcW w:w="567" w:type="pct"/>
            <w:shd w:val="clear" w:color="auto" w:fill="auto"/>
            <w:tcMar>
              <w:top w:w="58" w:type="dxa"/>
              <w:left w:w="57" w:type="dxa"/>
              <w:bottom w:w="57" w:type="dxa"/>
              <w:right w:w="57" w:type="dxa"/>
            </w:tcMar>
          </w:tcPr>
          <w:p w14:paraId="28163F63" w14:textId="77777777" w:rsidR="00BC78D9" w:rsidRPr="00BC78D9" w:rsidRDefault="00BC78D9" w:rsidP="006A627E">
            <w:pPr>
              <w:jc w:val="center"/>
              <w:rPr>
                <w:b/>
                <w:sz w:val="16"/>
                <w:szCs w:val="16"/>
              </w:rPr>
            </w:pPr>
            <w:r w:rsidRPr="00BC78D9">
              <w:rPr>
                <w:b/>
                <w:color w:val="00B050"/>
                <w:sz w:val="16"/>
                <w:szCs w:val="16"/>
              </w:rPr>
              <w:t>En bonne voie</w:t>
            </w:r>
          </w:p>
        </w:tc>
      </w:tr>
      <w:tr w:rsidR="00BC78D9" w:rsidRPr="00BC78D9" w14:paraId="3954BDFC" w14:textId="77777777" w:rsidTr="006A627E">
        <w:trPr>
          <w:cantSplit/>
          <w:trHeight w:val="565"/>
        </w:trPr>
        <w:tc>
          <w:tcPr>
            <w:tcW w:w="5000" w:type="pct"/>
            <w:gridSpan w:val="9"/>
            <w:shd w:val="clear" w:color="auto" w:fill="C6D9F1" w:themeFill="text2" w:themeFillTint="33"/>
            <w:tcMar>
              <w:left w:w="57" w:type="dxa"/>
              <w:bottom w:w="57" w:type="dxa"/>
              <w:right w:w="57" w:type="dxa"/>
            </w:tcMar>
            <w:vAlign w:val="center"/>
          </w:tcPr>
          <w:p w14:paraId="763A657F" w14:textId="77777777" w:rsidR="00BC78D9" w:rsidRPr="00BC78D9" w:rsidRDefault="00BC78D9" w:rsidP="006A627E">
            <w:pPr>
              <w:keepNext/>
              <w:keepLines/>
              <w:suppressLineNumbers/>
              <w:suppressAutoHyphens/>
              <w:rPr>
                <w:b/>
                <w:bCs/>
                <w:sz w:val="16"/>
                <w:szCs w:val="16"/>
              </w:rPr>
            </w:pPr>
            <w:r w:rsidRPr="00BC78D9">
              <w:rPr>
                <w:b/>
                <w:bCs/>
                <w:sz w:val="16"/>
                <w:szCs w:val="16"/>
              </w:rPr>
              <w:lastRenderedPageBreak/>
              <w:t xml:space="preserve">Résultat escompté : </w:t>
            </w:r>
            <w:r w:rsidRPr="00BC78D9">
              <w:rPr>
                <w:b/>
                <w:sz w:val="16"/>
              </w:rPr>
              <w:tab/>
            </w:r>
            <w:r w:rsidRPr="00BC78D9">
              <w:rPr>
                <w:bCs/>
                <w:sz w:val="16"/>
                <w:szCs w:val="16"/>
              </w:rPr>
              <w:t>II.1 Utilisation élargie et plus efficace du système du PCT pour le dépôt des demandes internationales de brevet</w:t>
            </w:r>
          </w:p>
        </w:tc>
      </w:tr>
      <w:tr w:rsidR="00BC78D9" w:rsidRPr="00BC78D9" w14:paraId="0FC09AA9" w14:textId="77777777" w:rsidTr="006A627E">
        <w:trPr>
          <w:cantSplit/>
        </w:trPr>
        <w:tc>
          <w:tcPr>
            <w:tcW w:w="1039" w:type="pct"/>
            <w:gridSpan w:val="2"/>
            <w:shd w:val="clear" w:color="auto" w:fill="auto"/>
            <w:tcMar>
              <w:left w:w="57" w:type="dxa"/>
              <w:bottom w:w="57" w:type="dxa"/>
              <w:right w:w="57" w:type="dxa"/>
            </w:tcMar>
            <w:vAlign w:val="center"/>
          </w:tcPr>
          <w:p w14:paraId="03094857"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1628D247"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Niveaux de référence</w:t>
            </w:r>
          </w:p>
        </w:tc>
        <w:tc>
          <w:tcPr>
            <w:tcW w:w="835" w:type="pct"/>
            <w:gridSpan w:val="3"/>
            <w:shd w:val="clear" w:color="auto" w:fill="auto"/>
            <w:tcMar>
              <w:top w:w="110" w:type="dxa"/>
              <w:left w:w="57" w:type="dxa"/>
              <w:bottom w:w="57" w:type="dxa"/>
              <w:right w:w="57" w:type="dxa"/>
            </w:tcMar>
            <w:vAlign w:val="center"/>
          </w:tcPr>
          <w:p w14:paraId="3717A8C4" w14:textId="77777777" w:rsidR="00BC78D9" w:rsidRPr="00BC78D9" w:rsidRDefault="00BC78D9" w:rsidP="006A627E">
            <w:pPr>
              <w:keepNext/>
              <w:keepLines/>
              <w:suppressLineNumbers/>
              <w:tabs>
                <w:tab w:val="left" w:pos="290"/>
              </w:tabs>
              <w:suppressAutoHyphens/>
              <w:jc w:val="center"/>
              <w:rPr>
                <w:b/>
                <w:bCs/>
                <w:sz w:val="16"/>
                <w:szCs w:val="16"/>
              </w:rPr>
            </w:pPr>
            <w:r w:rsidRPr="00BC78D9">
              <w:rPr>
                <w:b/>
                <w:bCs/>
                <w:sz w:val="16"/>
                <w:szCs w:val="16"/>
              </w:rPr>
              <w:t>Objectifs visés</w:t>
            </w:r>
          </w:p>
        </w:tc>
        <w:tc>
          <w:tcPr>
            <w:tcW w:w="1283" w:type="pct"/>
            <w:gridSpan w:val="2"/>
            <w:shd w:val="clear" w:color="auto" w:fill="FFFFFF"/>
            <w:tcMar>
              <w:top w:w="110" w:type="dxa"/>
              <w:left w:w="57" w:type="dxa"/>
              <w:bottom w:w="57" w:type="dxa"/>
              <w:right w:w="57" w:type="dxa"/>
            </w:tcMar>
            <w:vAlign w:val="center"/>
          </w:tcPr>
          <w:p w14:paraId="21B22FD0"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4BE0F26A"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Code d’évaluation</w:t>
            </w:r>
          </w:p>
        </w:tc>
      </w:tr>
      <w:tr w:rsidR="00BC78D9" w:rsidRPr="00BC78D9" w14:paraId="06CF2694" w14:textId="77777777" w:rsidTr="006A627E">
        <w:trPr>
          <w:cantSplit/>
          <w:trHeight w:val="1636"/>
        </w:trPr>
        <w:tc>
          <w:tcPr>
            <w:tcW w:w="1039" w:type="pct"/>
            <w:gridSpan w:val="2"/>
            <w:shd w:val="clear" w:color="auto" w:fill="auto"/>
            <w:tcMar>
              <w:left w:w="57" w:type="dxa"/>
              <w:bottom w:w="57" w:type="dxa"/>
              <w:right w:w="57" w:type="dxa"/>
            </w:tcMar>
          </w:tcPr>
          <w:p w14:paraId="6AFA0A2D" w14:textId="77777777" w:rsidR="00BC78D9" w:rsidRPr="00BC78D9" w:rsidRDefault="00BC78D9" w:rsidP="006A627E">
            <w:pPr>
              <w:suppressLineNumbers/>
              <w:suppressAutoHyphens/>
              <w:rPr>
                <w:sz w:val="16"/>
                <w:szCs w:val="16"/>
              </w:rPr>
            </w:pPr>
            <w:r w:rsidRPr="00BC78D9">
              <w:rPr>
                <w:sz w:val="16"/>
                <w:szCs w:val="16"/>
              </w:rPr>
              <w:t>Nombre de demandes selon le PCT</w:t>
            </w:r>
          </w:p>
        </w:tc>
        <w:tc>
          <w:tcPr>
            <w:tcW w:w="1276" w:type="pct"/>
            <w:shd w:val="clear" w:color="auto" w:fill="auto"/>
            <w:tcMar>
              <w:left w:w="57" w:type="dxa"/>
              <w:bottom w:w="57" w:type="dxa"/>
              <w:right w:w="57" w:type="dxa"/>
            </w:tcMar>
          </w:tcPr>
          <w:p w14:paraId="156556D0"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w:t>
            </w:r>
            <w:r w:rsidRPr="00BC78D9">
              <w:rPr>
                <w:rStyle w:val="FootnoteReference"/>
                <w:rFonts w:cs="Arial"/>
                <w:i/>
                <w:color w:val="002060"/>
                <w:szCs w:val="16"/>
              </w:rPr>
              <w:footnoteReference w:id="82"/>
            </w:r>
            <w:r w:rsidRPr="00BC78D9">
              <w:rPr>
                <w:i/>
                <w:color w:val="002060"/>
                <w:sz w:val="16"/>
                <w:szCs w:val="16"/>
              </w:rPr>
              <w:t xml:space="preserve"> : </w:t>
            </w:r>
          </w:p>
          <w:tbl>
            <w:tblPr>
              <w:tblStyle w:val="TableGrid"/>
              <w:tblW w:w="2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1065"/>
            </w:tblGrid>
            <w:tr w:rsidR="00BC78D9" w:rsidRPr="00BC78D9" w14:paraId="6652F5E2" w14:textId="77777777" w:rsidTr="006A627E">
              <w:tc>
                <w:tcPr>
                  <w:tcW w:w="1292" w:type="dxa"/>
                </w:tcPr>
                <w:p w14:paraId="6BC023C8"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2015 : 548 </w:t>
                  </w:r>
                </w:p>
              </w:tc>
              <w:tc>
                <w:tcPr>
                  <w:tcW w:w="1065" w:type="dxa"/>
                  <w:vMerge w:val="restart"/>
                  <w:vAlign w:val="center"/>
                </w:tcPr>
                <w:p w14:paraId="45298EAA" w14:textId="77777777" w:rsidR="00BC78D9" w:rsidRPr="00BC78D9" w:rsidRDefault="00BC78D9" w:rsidP="006A627E">
                  <w:pPr>
                    <w:suppressLineNumbers/>
                    <w:suppressAutoHyphens/>
                    <w:rPr>
                      <w:color w:val="002060"/>
                      <w:sz w:val="16"/>
                      <w:szCs w:val="16"/>
                    </w:rPr>
                  </w:pPr>
                  <w:r w:rsidRPr="00BC78D9">
                    <w:rPr>
                      <w:color w:val="002060"/>
                      <w:sz w:val="16"/>
                      <w:szCs w:val="16"/>
                    </w:rPr>
                    <w:t>(Bureau de l’OMPI au Brésil)</w:t>
                  </w:r>
                </w:p>
              </w:tc>
            </w:tr>
            <w:tr w:rsidR="00BC78D9" w:rsidRPr="00BC78D9" w14:paraId="6E49B4D7" w14:textId="77777777" w:rsidTr="006A627E">
              <w:tc>
                <w:tcPr>
                  <w:tcW w:w="1292" w:type="dxa"/>
                </w:tcPr>
                <w:p w14:paraId="17AFCF0C"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2014 : 580 </w:t>
                  </w:r>
                </w:p>
              </w:tc>
              <w:tc>
                <w:tcPr>
                  <w:tcW w:w="1065" w:type="dxa"/>
                  <w:vMerge/>
                </w:tcPr>
                <w:p w14:paraId="4EA6C112" w14:textId="77777777" w:rsidR="00BC78D9" w:rsidRPr="00BC78D9" w:rsidRDefault="00BC78D9" w:rsidP="006A627E">
                  <w:pPr>
                    <w:suppressLineNumbers/>
                    <w:suppressAutoHyphens/>
                    <w:rPr>
                      <w:color w:val="002060"/>
                      <w:sz w:val="16"/>
                      <w:szCs w:val="16"/>
                    </w:rPr>
                  </w:pPr>
                </w:p>
              </w:tc>
            </w:tr>
          </w:tbl>
          <w:p w14:paraId="1CAB8C20" w14:textId="77777777" w:rsidR="00BC78D9" w:rsidRPr="00BC78D9" w:rsidRDefault="00BC78D9" w:rsidP="006A627E">
            <w:pPr>
              <w:suppressLineNumbers/>
              <w:suppressAutoHyphens/>
              <w:rPr>
                <w:color w:val="002060"/>
                <w:sz w:val="16"/>
                <w:szCs w:val="16"/>
              </w:rPr>
            </w:pPr>
          </w:p>
          <w:tbl>
            <w:tblPr>
              <w:tblStyle w:val="TableGrid"/>
              <w:tblW w:w="2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1065"/>
            </w:tblGrid>
            <w:tr w:rsidR="00BC78D9" w:rsidRPr="00BC78D9" w14:paraId="26A4BF63" w14:textId="77777777" w:rsidTr="006A627E">
              <w:tc>
                <w:tcPr>
                  <w:tcW w:w="1292" w:type="dxa"/>
                  <w:tcMar>
                    <w:left w:w="115" w:type="dxa"/>
                    <w:right w:w="14" w:type="dxa"/>
                  </w:tcMar>
                </w:tcPr>
                <w:p w14:paraId="7C2B7061"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2015 : 29 838 </w:t>
                  </w:r>
                </w:p>
              </w:tc>
              <w:tc>
                <w:tcPr>
                  <w:tcW w:w="1065" w:type="dxa"/>
                  <w:vMerge w:val="restart"/>
                  <w:vAlign w:val="center"/>
                </w:tcPr>
                <w:p w14:paraId="29832164" w14:textId="77777777" w:rsidR="00BC78D9" w:rsidRPr="00BC78D9" w:rsidRDefault="00BC78D9" w:rsidP="006A627E">
                  <w:pPr>
                    <w:suppressLineNumbers/>
                    <w:suppressAutoHyphens/>
                    <w:rPr>
                      <w:color w:val="002060"/>
                      <w:sz w:val="16"/>
                      <w:szCs w:val="16"/>
                    </w:rPr>
                  </w:pPr>
                  <w:r w:rsidRPr="00BC78D9">
                    <w:rPr>
                      <w:color w:val="002060"/>
                      <w:sz w:val="16"/>
                      <w:szCs w:val="16"/>
                    </w:rPr>
                    <w:t>(Bureau de l’OMPI en Chine)</w:t>
                  </w:r>
                </w:p>
              </w:tc>
            </w:tr>
            <w:tr w:rsidR="00BC78D9" w:rsidRPr="00BC78D9" w14:paraId="061D3DEA" w14:textId="77777777" w:rsidTr="006A627E">
              <w:tc>
                <w:tcPr>
                  <w:tcW w:w="1292" w:type="dxa"/>
                  <w:tcMar>
                    <w:left w:w="115" w:type="dxa"/>
                    <w:right w:w="14" w:type="dxa"/>
                  </w:tcMar>
                </w:tcPr>
                <w:p w14:paraId="194F0C70"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2014 : 25 548</w:t>
                  </w:r>
                </w:p>
              </w:tc>
              <w:tc>
                <w:tcPr>
                  <w:tcW w:w="1065" w:type="dxa"/>
                  <w:vMerge/>
                </w:tcPr>
                <w:p w14:paraId="089CE581" w14:textId="77777777" w:rsidR="00BC78D9" w:rsidRPr="00BC78D9" w:rsidRDefault="00BC78D9" w:rsidP="006A627E">
                  <w:pPr>
                    <w:suppressLineNumbers/>
                    <w:suppressAutoHyphens/>
                    <w:rPr>
                      <w:color w:val="002060"/>
                      <w:sz w:val="16"/>
                      <w:szCs w:val="16"/>
                    </w:rPr>
                  </w:pPr>
                </w:p>
              </w:tc>
            </w:tr>
          </w:tbl>
          <w:p w14:paraId="2ADCE864" w14:textId="77777777" w:rsidR="00BC78D9" w:rsidRPr="00BC78D9" w:rsidRDefault="00BC78D9" w:rsidP="006A627E">
            <w:pPr>
              <w:suppressLineNumbers/>
              <w:suppressAutoHyphens/>
              <w:rPr>
                <w:color w:val="002060"/>
                <w:sz w:val="16"/>
                <w:szCs w:val="16"/>
              </w:rPr>
            </w:pPr>
          </w:p>
          <w:tbl>
            <w:tblPr>
              <w:tblStyle w:val="TableGrid"/>
              <w:tblW w:w="2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1065"/>
            </w:tblGrid>
            <w:tr w:rsidR="00BC78D9" w:rsidRPr="00BC78D9" w14:paraId="72F5714E" w14:textId="77777777" w:rsidTr="006A627E">
              <w:tc>
                <w:tcPr>
                  <w:tcW w:w="1292" w:type="dxa"/>
                  <w:tcMar>
                    <w:left w:w="115" w:type="dxa"/>
                    <w:right w:w="14" w:type="dxa"/>
                  </w:tcMar>
                </w:tcPr>
                <w:p w14:paraId="77CC0883"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2015 : 44 053 </w:t>
                  </w:r>
                </w:p>
              </w:tc>
              <w:tc>
                <w:tcPr>
                  <w:tcW w:w="1065" w:type="dxa"/>
                  <w:vMerge w:val="restart"/>
                  <w:vAlign w:val="center"/>
                </w:tcPr>
                <w:p w14:paraId="696F6EAA" w14:textId="77777777" w:rsidR="00BC78D9" w:rsidRPr="00BC78D9" w:rsidRDefault="00BC78D9" w:rsidP="006A627E">
                  <w:pPr>
                    <w:suppressLineNumbers/>
                    <w:suppressAutoHyphens/>
                    <w:rPr>
                      <w:color w:val="002060"/>
                      <w:sz w:val="16"/>
                      <w:szCs w:val="16"/>
                    </w:rPr>
                  </w:pPr>
                  <w:r w:rsidRPr="00BC78D9">
                    <w:rPr>
                      <w:color w:val="002060"/>
                      <w:sz w:val="16"/>
                      <w:szCs w:val="16"/>
                    </w:rPr>
                    <w:t>(Bureau de l’OMPI au Japon)</w:t>
                  </w:r>
                </w:p>
              </w:tc>
            </w:tr>
            <w:tr w:rsidR="00BC78D9" w:rsidRPr="00BC78D9" w14:paraId="5F903F0E" w14:textId="77777777" w:rsidTr="006A627E">
              <w:tc>
                <w:tcPr>
                  <w:tcW w:w="1292" w:type="dxa"/>
                  <w:tcMar>
                    <w:left w:w="115" w:type="dxa"/>
                    <w:right w:w="14" w:type="dxa"/>
                  </w:tcMar>
                </w:tcPr>
                <w:p w14:paraId="4D08BFB6"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2014 : 42 381</w:t>
                  </w:r>
                  <w:r w:rsidRPr="00BC78D9">
                    <w:rPr>
                      <w:color w:val="002060"/>
                      <w:sz w:val="16"/>
                      <w:szCs w:val="16"/>
                      <w:vertAlign w:val="superscript"/>
                    </w:rPr>
                    <w:t xml:space="preserve"> </w:t>
                  </w:r>
                </w:p>
              </w:tc>
              <w:tc>
                <w:tcPr>
                  <w:tcW w:w="1065" w:type="dxa"/>
                  <w:vMerge/>
                </w:tcPr>
                <w:p w14:paraId="63AF850D" w14:textId="77777777" w:rsidR="00BC78D9" w:rsidRPr="00BC78D9" w:rsidRDefault="00BC78D9" w:rsidP="006A627E">
                  <w:pPr>
                    <w:suppressLineNumbers/>
                    <w:suppressAutoHyphens/>
                    <w:rPr>
                      <w:color w:val="002060"/>
                      <w:sz w:val="16"/>
                      <w:szCs w:val="16"/>
                    </w:rPr>
                  </w:pPr>
                </w:p>
              </w:tc>
            </w:tr>
          </w:tbl>
          <w:p w14:paraId="3BCFD52D" w14:textId="77777777" w:rsidR="00BC78D9" w:rsidRPr="00BC78D9" w:rsidRDefault="00BC78D9" w:rsidP="006A627E">
            <w:pPr>
              <w:suppressLineNumbers/>
              <w:suppressAutoHyphens/>
              <w:ind w:left="199" w:hanging="199"/>
              <w:rPr>
                <w:color w:val="002060"/>
                <w:sz w:val="16"/>
                <w:szCs w:val="16"/>
              </w:rPr>
            </w:pPr>
          </w:p>
          <w:tbl>
            <w:tblPr>
              <w:tblStyle w:val="TableGrid"/>
              <w:tblW w:w="2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1065"/>
            </w:tblGrid>
            <w:tr w:rsidR="00BC78D9" w:rsidRPr="00BC78D9" w14:paraId="2DB96F34" w14:textId="77777777" w:rsidTr="006A627E">
              <w:tc>
                <w:tcPr>
                  <w:tcW w:w="1292" w:type="dxa"/>
                </w:tcPr>
                <w:p w14:paraId="2F31F810"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2015 : 876 </w:t>
                  </w:r>
                </w:p>
              </w:tc>
              <w:tc>
                <w:tcPr>
                  <w:tcW w:w="1065" w:type="dxa"/>
                  <w:vMerge w:val="restart"/>
                  <w:vAlign w:val="center"/>
                </w:tcPr>
                <w:p w14:paraId="2B065A0D" w14:textId="77777777" w:rsidR="00BC78D9" w:rsidRPr="00BC78D9" w:rsidRDefault="00BC78D9" w:rsidP="006A627E">
                  <w:pPr>
                    <w:suppressLineNumbers/>
                    <w:suppressAutoHyphens/>
                    <w:rPr>
                      <w:color w:val="002060"/>
                      <w:sz w:val="16"/>
                      <w:szCs w:val="16"/>
                    </w:rPr>
                  </w:pPr>
                  <w:r w:rsidRPr="00BC78D9">
                    <w:rPr>
                      <w:color w:val="002060"/>
                      <w:sz w:val="16"/>
                      <w:szCs w:val="16"/>
                    </w:rPr>
                    <w:t>(Bureau de l’OMPI en Fédération de Russie)</w:t>
                  </w:r>
                </w:p>
              </w:tc>
            </w:tr>
            <w:tr w:rsidR="00BC78D9" w:rsidRPr="00BC78D9" w14:paraId="1240FAD9" w14:textId="77777777" w:rsidTr="006A627E">
              <w:tc>
                <w:tcPr>
                  <w:tcW w:w="1292" w:type="dxa"/>
                </w:tcPr>
                <w:p w14:paraId="3DEBE67F"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2014 : 948 </w:t>
                  </w:r>
                </w:p>
              </w:tc>
              <w:tc>
                <w:tcPr>
                  <w:tcW w:w="1065" w:type="dxa"/>
                  <w:vMerge/>
                </w:tcPr>
                <w:p w14:paraId="1DF6705A" w14:textId="77777777" w:rsidR="00BC78D9" w:rsidRPr="00BC78D9" w:rsidRDefault="00BC78D9" w:rsidP="006A627E">
                  <w:pPr>
                    <w:suppressLineNumbers/>
                    <w:suppressAutoHyphens/>
                    <w:rPr>
                      <w:color w:val="002060"/>
                      <w:sz w:val="16"/>
                      <w:szCs w:val="16"/>
                    </w:rPr>
                  </w:pPr>
                </w:p>
              </w:tc>
            </w:tr>
          </w:tbl>
          <w:p w14:paraId="61E41B9D" w14:textId="77777777" w:rsidR="00BC78D9" w:rsidRPr="00BC78D9" w:rsidRDefault="00BC78D9" w:rsidP="006A627E">
            <w:pPr>
              <w:suppressLineNumbers/>
              <w:suppressAutoHyphens/>
              <w:ind w:left="199" w:hanging="199"/>
              <w:rPr>
                <w:color w:val="002060"/>
                <w:sz w:val="16"/>
                <w:szCs w:val="16"/>
              </w:rPr>
            </w:pPr>
          </w:p>
          <w:tbl>
            <w:tblPr>
              <w:tblStyle w:val="TableGrid"/>
              <w:tblW w:w="2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1065"/>
            </w:tblGrid>
            <w:tr w:rsidR="00BC78D9" w:rsidRPr="00BC78D9" w14:paraId="14A885FC" w14:textId="77777777" w:rsidTr="006A627E">
              <w:tc>
                <w:tcPr>
                  <w:tcW w:w="1292" w:type="dxa"/>
                </w:tcPr>
                <w:p w14:paraId="07044C80" w14:textId="77777777" w:rsidR="00BC78D9" w:rsidRPr="00BC78D9" w:rsidRDefault="00BC78D9" w:rsidP="00BC78D9">
                  <w:pPr>
                    <w:numPr>
                      <w:ilvl w:val="0"/>
                      <w:numId w:val="95"/>
                    </w:numPr>
                    <w:suppressLineNumbers/>
                    <w:suppressAutoHyphens/>
                    <w:ind w:left="97" w:hanging="97"/>
                    <w:rPr>
                      <w:color w:val="002060"/>
                      <w:sz w:val="16"/>
                      <w:szCs w:val="16"/>
                    </w:rPr>
                  </w:pPr>
                  <w:r w:rsidRPr="00BC78D9">
                    <w:rPr>
                      <w:color w:val="002060"/>
                      <w:sz w:val="16"/>
                      <w:szCs w:val="16"/>
                    </w:rPr>
                    <w:t xml:space="preserve"> 2015 : 1369</w:t>
                  </w:r>
                </w:p>
              </w:tc>
              <w:tc>
                <w:tcPr>
                  <w:tcW w:w="1065" w:type="dxa"/>
                  <w:vMerge w:val="restart"/>
                  <w:vAlign w:val="center"/>
                </w:tcPr>
                <w:p w14:paraId="4AF784A5" w14:textId="77777777" w:rsidR="00BC78D9" w:rsidRPr="00BC78D9" w:rsidRDefault="00BC78D9" w:rsidP="006A627E">
                  <w:pPr>
                    <w:suppressLineNumbers/>
                    <w:suppressAutoHyphens/>
                    <w:rPr>
                      <w:color w:val="002060"/>
                      <w:sz w:val="16"/>
                      <w:szCs w:val="16"/>
                    </w:rPr>
                  </w:pPr>
                  <w:r w:rsidRPr="00BC78D9">
                    <w:rPr>
                      <w:color w:val="002060"/>
                      <w:sz w:val="16"/>
                      <w:szCs w:val="16"/>
                    </w:rPr>
                    <w:t>(Bureau de l’OMPI à Singapour)</w:t>
                  </w:r>
                </w:p>
              </w:tc>
            </w:tr>
            <w:tr w:rsidR="00BC78D9" w:rsidRPr="00BC78D9" w14:paraId="623C9DA3" w14:textId="77777777" w:rsidTr="006A627E">
              <w:tc>
                <w:tcPr>
                  <w:tcW w:w="1292" w:type="dxa"/>
                </w:tcPr>
                <w:p w14:paraId="2028D86F" w14:textId="77777777" w:rsidR="00BC78D9" w:rsidRPr="00BC78D9" w:rsidRDefault="00BC78D9" w:rsidP="00BC78D9">
                  <w:pPr>
                    <w:numPr>
                      <w:ilvl w:val="0"/>
                      <w:numId w:val="95"/>
                    </w:numPr>
                    <w:suppressLineNumbers/>
                    <w:suppressAutoHyphens/>
                    <w:ind w:left="97" w:hanging="97"/>
                    <w:rPr>
                      <w:sz w:val="16"/>
                      <w:szCs w:val="16"/>
                    </w:rPr>
                  </w:pPr>
                  <w:r w:rsidRPr="00BC78D9">
                    <w:rPr>
                      <w:color w:val="002060"/>
                      <w:sz w:val="16"/>
                      <w:szCs w:val="16"/>
                    </w:rPr>
                    <w:t xml:space="preserve"> 2014 : 1382 </w:t>
                  </w:r>
                </w:p>
              </w:tc>
              <w:tc>
                <w:tcPr>
                  <w:tcW w:w="1065" w:type="dxa"/>
                  <w:vMerge/>
                </w:tcPr>
                <w:p w14:paraId="5A03E387" w14:textId="77777777" w:rsidR="00BC78D9" w:rsidRPr="00BC78D9" w:rsidRDefault="00BC78D9" w:rsidP="006A627E">
                  <w:pPr>
                    <w:suppressLineNumbers/>
                    <w:suppressAutoHyphens/>
                    <w:rPr>
                      <w:sz w:val="16"/>
                      <w:szCs w:val="16"/>
                    </w:rPr>
                  </w:pPr>
                </w:p>
              </w:tc>
            </w:tr>
          </w:tbl>
          <w:p w14:paraId="4A78701F" w14:textId="77777777" w:rsidR="00BC78D9" w:rsidRPr="00BC78D9" w:rsidRDefault="00BC78D9" w:rsidP="006A627E">
            <w:pPr>
              <w:suppressLineNumbers/>
              <w:suppressAutoHyphens/>
              <w:rPr>
                <w:i/>
                <w:sz w:val="16"/>
                <w:szCs w:val="16"/>
                <w:lang w:bidi="th-TH"/>
              </w:rPr>
            </w:pPr>
          </w:p>
          <w:p w14:paraId="09724369"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7F90C711" w14:textId="77777777" w:rsidR="00BC78D9" w:rsidRPr="00BC78D9" w:rsidRDefault="00BC78D9" w:rsidP="006A627E">
            <w:pPr>
              <w:suppressLineNumbers/>
              <w:suppressAutoHyphens/>
              <w:rPr>
                <w:sz w:val="16"/>
                <w:szCs w:val="16"/>
              </w:rPr>
            </w:pPr>
            <w:r w:rsidRPr="00BC78D9">
              <w:rPr>
                <w:sz w:val="16"/>
                <w:szCs w:val="16"/>
              </w:rPr>
              <w:t>1387 (en 2014) (Bureau de l’OMPI à Singapour)</w:t>
            </w:r>
            <w:r w:rsidRPr="00BC78D9">
              <w:rPr>
                <w:sz w:val="16"/>
                <w:szCs w:val="16"/>
              </w:rPr>
              <w:br/>
              <w:t>581 (en 2014) (Bureau de l’OMPI au Brésil)</w:t>
            </w:r>
            <w:r w:rsidRPr="00BC78D9">
              <w:rPr>
                <w:sz w:val="16"/>
                <w:szCs w:val="16"/>
              </w:rPr>
              <w:br/>
              <w:t>42 459 (en 2014) (Bureau de l’OMPI au Japon)</w:t>
            </w:r>
            <w:r w:rsidRPr="00BC78D9">
              <w:rPr>
                <w:sz w:val="16"/>
                <w:szCs w:val="16"/>
              </w:rPr>
              <w:br/>
              <w:t>890 (en 2014) (Bureau de l’OMPI en Russie)</w:t>
            </w:r>
            <w:r w:rsidRPr="00BC78D9">
              <w:rPr>
                <w:sz w:val="16"/>
                <w:szCs w:val="16"/>
              </w:rPr>
              <w:br/>
              <w:t>25 539 (en 2014) (Bureau de l’OMPI en Chine)</w:t>
            </w:r>
          </w:p>
        </w:tc>
        <w:tc>
          <w:tcPr>
            <w:tcW w:w="835" w:type="pct"/>
            <w:gridSpan w:val="3"/>
            <w:shd w:val="clear" w:color="auto" w:fill="auto"/>
            <w:tcMar>
              <w:top w:w="110" w:type="dxa"/>
              <w:left w:w="57" w:type="dxa"/>
              <w:bottom w:w="57" w:type="dxa"/>
              <w:right w:w="57" w:type="dxa"/>
            </w:tcMar>
          </w:tcPr>
          <w:p w14:paraId="7031D2A8" w14:textId="77777777" w:rsidR="00BC78D9" w:rsidRPr="00BC78D9" w:rsidRDefault="00BC78D9" w:rsidP="006A627E">
            <w:pPr>
              <w:suppressLineNumbers/>
              <w:suppressAutoHyphens/>
              <w:rPr>
                <w:sz w:val="16"/>
                <w:szCs w:val="16"/>
              </w:rPr>
            </w:pPr>
            <w:r w:rsidRPr="00BC78D9">
              <w:rPr>
                <w:sz w:val="16"/>
                <w:szCs w:val="16"/>
              </w:rPr>
              <w:t>Une croissance annuelle de 2% (tous bureaux confondus)</w:t>
            </w:r>
          </w:p>
        </w:tc>
        <w:tc>
          <w:tcPr>
            <w:tcW w:w="1283" w:type="pct"/>
            <w:gridSpan w:val="2"/>
            <w:shd w:val="clear" w:color="auto" w:fill="FFFFFF"/>
            <w:tcMar>
              <w:top w:w="110" w:type="dxa"/>
              <w:left w:w="57" w:type="dxa"/>
              <w:bottom w:w="57" w:type="dxa"/>
              <w:right w:w="57" w:type="dxa"/>
            </w:tcMar>
          </w:tcPr>
          <w:tbl>
            <w:tblPr>
              <w:tblStyle w:val="TableGrid"/>
              <w:tblW w:w="2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716"/>
              <w:gridCol w:w="709"/>
            </w:tblGrid>
            <w:tr w:rsidR="00BC78D9" w:rsidRPr="00BC78D9" w14:paraId="47FE9588" w14:textId="77777777" w:rsidTr="006A627E">
              <w:trPr>
                <w:trHeight w:val="247"/>
              </w:trPr>
              <w:tc>
                <w:tcPr>
                  <w:tcW w:w="876" w:type="dxa"/>
                  <w:tcMar>
                    <w:left w:w="14" w:type="dxa"/>
                    <w:right w:w="14" w:type="dxa"/>
                  </w:tcMar>
                </w:tcPr>
                <w:p w14:paraId="426B5E0F" w14:textId="77777777" w:rsidR="00BC78D9" w:rsidRPr="00BC78D9" w:rsidRDefault="00BC78D9" w:rsidP="006A627E">
                  <w:pPr>
                    <w:suppressLineNumbers/>
                    <w:suppressAutoHyphens/>
                    <w:rPr>
                      <w:sz w:val="16"/>
                      <w:szCs w:val="16"/>
                    </w:rPr>
                  </w:pPr>
                  <w:r w:rsidRPr="00BC78D9">
                    <w:rPr>
                      <w:sz w:val="16"/>
                      <w:szCs w:val="16"/>
                    </w:rPr>
                    <w:t>Bureau de l’OMPI au Brésil</w:t>
                  </w:r>
                </w:p>
              </w:tc>
              <w:tc>
                <w:tcPr>
                  <w:tcW w:w="716" w:type="dxa"/>
                  <w:tcMar>
                    <w:left w:w="14" w:type="dxa"/>
                    <w:right w:w="14" w:type="dxa"/>
                  </w:tcMar>
                </w:tcPr>
                <w:p w14:paraId="2C043600" w14:textId="77777777" w:rsidR="00BC78D9" w:rsidRPr="00BC78D9" w:rsidRDefault="00BC78D9" w:rsidP="006A627E">
                  <w:pPr>
                    <w:suppressLineNumbers/>
                    <w:suppressAutoHyphens/>
                    <w:jc w:val="right"/>
                    <w:rPr>
                      <w:sz w:val="16"/>
                      <w:szCs w:val="16"/>
                    </w:rPr>
                  </w:pPr>
                  <w:r w:rsidRPr="00BC78D9">
                    <w:rPr>
                      <w:sz w:val="16"/>
                      <w:szCs w:val="16"/>
                    </w:rPr>
                    <w:t>568</w:t>
                  </w:r>
                </w:p>
              </w:tc>
              <w:tc>
                <w:tcPr>
                  <w:tcW w:w="709" w:type="dxa"/>
                  <w:tcMar>
                    <w:left w:w="14" w:type="dxa"/>
                    <w:right w:w="14" w:type="dxa"/>
                  </w:tcMar>
                </w:tcPr>
                <w:p w14:paraId="38985B98" w14:textId="77777777" w:rsidR="00BC78D9" w:rsidRPr="00BC78D9" w:rsidRDefault="00BC78D9" w:rsidP="006A627E">
                  <w:pPr>
                    <w:suppressLineNumbers/>
                    <w:suppressAutoHyphens/>
                    <w:rPr>
                      <w:sz w:val="16"/>
                      <w:szCs w:val="16"/>
                    </w:rPr>
                  </w:pPr>
                  <w:r w:rsidRPr="00BC78D9">
                    <w:rPr>
                      <w:sz w:val="16"/>
                      <w:szCs w:val="16"/>
                    </w:rPr>
                    <w:t xml:space="preserve"> (+3,7%)</w:t>
                  </w:r>
                </w:p>
              </w:tc>
            </w:tr>
            <w:tr w:rsidR="00BC78D9" w:rsidRPr="00BC78D9" w14:paraId="270E4352" w14:textId="77777777" w:rsidTr="006A627E">
              <w:trPr>
                <w:trHeight w:val="247"/>
              </w:trPr>
              <w:tc>
                <w:tcPr>
                  <w:tcW w:w="876" w:type="dxa"/>
                  <w:tcMar>
                    <w:left w:w="14" w:type="dxa"/>
                    <w:right w:w="14" w:type="dxa"/>
                  </w:tcMar>
                </w:tcPr>
                <w:p w14:paraId="0CBB6EE8" w14:textId="77777777" w:rsidR="00BC78D9" w:rsidRPr="00BC78D9" w:rsidRDefault="00BC78D9" w:rsidP="006A627E">
                  <w:pPr>
                    <w:suppressLineNumbers/>
                    <w:suppressAutoHyphens/>
                    <w:rPr>
                      <w:sz w:val="16"/>
                      <w:szCs w:val="16"/>
                    </w:rPr>
                  </w:pPr>
                  <w:r w:rsidRPr="00BC78D9">
                    <w:rPr>
                      <w:sz w:val="16"/>
                      <w:szCs w:val="16"/>
                    </w:rPr>
                    <w:t>Bureau de l’OMPI en Chine</w:t>
                  </w:r>
                </w:p>
              </w:tc>
              <w:tc>
                <w:tcPr>
                  <w:tcW w:w="716" w:type="dxa"/>
                  <w:tcMar>
                    <w:left w:w="14" w:type="dxa"/>
                    <w:right w:w="14" w:type="dxa"/>
                  </w:tcMar>
                </w:tcPr>
                <w:p w14:paraId="0D9A6E5C" w14:textId="77777777" w:rsidR="00BC78D9" w:rsidRPr="00BC78D9" w:rsidRDefault="00BC78D9" w:rsidP="006A627E">
                  <w:pPr>
                    <w:suppressLineNumbers/>
                    <w:suppressAutoHyphens/>
                    <w:jc w:val="right"/>
                    <w:rPr>
                      <w:sz w:val="16"/>
                      <w:szCs w:val="16"/>
                    </w:rPr>
                  </w:pPr>
                  <w:r w:rsidRPr="00BC78D9">
                    <w:rPr>
                      <w:sz w:val="16"/>
                      <w:szCs w:val="16"/>
                    </w:rPr>
                    <w:t>43 128</w:t>
                  </w:r>
                </w:p>
              </w:tc>
              <w:tc>
                <w:tcPr>
                  <w:tcW w:w="709" w:type="dxa"/>
                  <w:tcMar>
                    <w:left w:w="14" w:type="dxa"/>
                    <w:right w:w="14" w:type="dxa"/>
                  </w:tcMar>
                </w:tcPr>
                <w:p w14:paraId="78887C1C" w14:textId="77777777" w:rsidR="00BC78D9" w:rsidRPr="00BC78D9" w:rsidRDefault="00BC78D9" w:rsidP="006A627E">
                  <w:pPr>
                    <w:suppressLineNumbers/>
                    <w:suppressAutoHyphens/>
                    <w:rPr>
                      <w:sz w:val="16"/>
                      <w:szCs w:val="16"/>
                    </w:rPr>
                  </w:pPr>
                  <w:r w:rsidRPr="00BC78D9">
                    <w:rPr>
                      <w:sz w:val="16"/>
                      <w:szCs w:val="16"/>
                    </w:rPr>
                    <w:t xml:space="preserve"> (+45%)</w:t>
                  </w:r>
                </w:p>
              </w:tc>
            </w:tr>
            <w:tr w:rsidR="00BC78D9" w:rsidRPr="00BC78D9" w14:paraId="72D1B1A0" w14:textId="77777777" w:rsidTr="006A627E">
              <w:trPr>
                <w:trHeight w:val="247"/>
              </w:trPr>
              <w:tc>
                <w:tcPr>
                  <w:tcW w:w="876" w:type="dxa"/>
                  <w:tcMar>
                    <w:left w:w="14" w:type="dxa"/>
                    <w:right w:w="14" w:type="dxa"/>
                  </w:tcMar>
                </w:tcPr>
                <w:p w14:paraId="69397216" w14:textId="77777777" w:rsidR="00BC78D9" w:rsidRPr="00BC78D9" w:rsidRDefault="00BC78D9" w:rsidP="006A627E">
                  <w:pPr>
                    <w:suppressLineNumbers/>
                    <w:suppressAutoHyphens/>
                    <w:rPr>
                      <w:sz w:val="16"/>
                      <w:szCs w:val="16"/>
                    </w:rPr>
                  </w:pPr>
                  <w:r w:rsidRPr="00BC78D9">
                    <w:rPr>
                      <w:sz w:val="16"/>
                      <w:szCs w:val="16"/>
                    </w:rPr>
                    <w:t>Bureau de l’OMPI au Japon</w:t>
                  </w:r>
                </w:p>
              </w:tc>
              <w:tc>
                <w:tcPr>
                  <w:tcW w:w="716" w:type="dxa"/>
                  <w:tcMar>
                    <w:left w:w="14" w:type="dxa"/>
                    <w:right w:w="14" w:type="dxa"/>
                  </w:tcMar>
                </w:tcPr>
                <w:p w14:paraId="5BDA92E7" w14:textId="77777777" w:rsidR="00BC78D9" w:rsidRPr="00BC78D9" w:rsidRDefault="00BC78D9" w:rsidP="006A627E">
                  <w:pPr>
                    <w:suppressLineNumbers/>
                    <w:suppressAutoHyphens/>
                    <w:jc w:val="right"/>
                    <w:rPr>
                      <w:sz w:val="16"/>
                      <w:szCs w:val="16"/>
                    </w:rPr>
                  </w:pPr>
                  <w:r w:rsidRPr="00BC78D9">
                    <w:rPr>
                      <w:sz w:val="16"/>
                      <w:szCs w:val="16"/>
                    </w:rPr>
                    <w:t>45 220</w:t>
                  </w:r>
                </w:p>
              </w:tc>
              <w:tc>
                <w:tcPr>
                  <w:tcW w:w="709" w:type="dxa"/>
                  <w:tcMar>
                    <w:left w:w="14" w:type="dxa"/>
                    <w:right w:w="14" w:type="dxa"/>
                  </w:tcMar>
                </w:tcPr>
                <w:p w14:paraId="6B428ABF" w14:textId="77777777" w:rsidR="00BC78D9" w:rsidRPr="00BC78D9" w:rsidRDefault="00BC78D9" w:rsidP="006A627E">
                  <w:pPr>
                    <w:suppressLineNumbers/>
                    <w:suppressAutoHyphens/>
                    <w:rPr>
                      <w:sz w:val="16"/>
                      <w:szCs w:val="16"/>
                    </w:rPr>
                  </w:pPr>
                  <w:r w:rsidRPr="00BC78D9">
                    <w:rPr>
                      <w:sz w:val="16"/>
                      <w:szCs w:val="16"/>
                    </w:rPr>
                    <w:t xml:space="preserve"> (+2,7%)</w:t>
                  </w:r>
                </w:p>
              </w:tc>
            </w:tr>
            <w:tr w:rsidR="00BC78D9" w:rsidRPr="00BC78D9" w14:paraId="59E5D49F" w14:textId="77777777" w:rsidTr="006A627E">
              <w:trPr>
                <w:trHeight w:val="247"/>
              </w:trPr>
              <w:tc>
                <w:tcPr>
                  <w:tcW w:w="876" w:type="dxa"/>
                  <w:tcMar>
                    <w:left w:w="14" w:type="dxa"/>
                    <w:right w:w="14" w:type="dxa"/>
                  </w:tcMar>
                </w:tcPr>
                <w:p w14:paraId="71984B39" w14:textId="77777777" w:rsidR="00BC78D9" w:rsidRPr="00BC78D9" w:rsidRDefault="00BC78D9" w:rsidP="006A627E">
                  <w:pPr>
                    <w:suppressLineNumbers/>
                    <w:suppressAutoHyphens/>
                    <w:rPr>
                      <w:sz w:val="16"/>
                      <w:szCs w:val="16"/>
                    </w:rPr>
                  </w:pPr>
                  <w:r w:rsidRPr="00BC78D9">
                    <w:rPr>
                      <w:sz w:val="16"/>
                      <w:szCs w:val="16"/>
                    </w:rPr>
                    <w:t>Bureau de l’OMPI en Fédération de Russie</w:t>
                  </w:r>
                </w:p>
              </w:tc>
              <w:tc>
                <w:tcPr>
                  <w:tcW w:w="716" w:type="dxa"/>
                  <w:tcMar>
                    <w:left w:w="14" w:type="dxa"/>
                    <w:right w:w="14" w:type="dxa"/>
                  </w:tcMar>
                </w:tcPr>
                <w:p w14:paraId="7A8AAC89" w14:textId="77777777" w:rsidR="00BC78D9" w:rsidRPr="00BC78D9" w:rsidRDefault="00BC78D9" w:rsidP="006A627E">
                  <w:pPr>
                    <w:suppressLineNumbers/>
                    <w:suppressAutoHyphens/>
                    <w:jc w:val="right"/>
                    <w:rPr>
                      <w:sz w:val="16"/>
                      <w:szCs w:val="16"/>
                    </w:rPr>
                  </w:pPr>
                  <w:r w:rsidRPr="00BC78D9">
                    <w:rPr>
                      <w:sz w:val="16"/>
                      <w:szCs w:val="16"/>
                    </w:rPr>
                    <w:t>805</w:t>
                  </w:r>
                </w:p>
              </w:tc>
              <w:tc>
                <w:tcPr>
                  <w:tcW w:w="709" w:type="dxa"/>
                  <w:tcMar>
                    <w:left w:w="14" w:type="dxa"/>
                    <w:right w:w="14" w:type="dxa"/>
                  </w:tcMar>
                </w:tcPr>
                <w:p w14:paraId="3509F417" w14:textId="77777777" w:rsidR="00BC78D9" w:rsidRPr="00BC78D9" w:rsidRDefault="00BC78D9" w:rsidP="006A627E">
                  <w:pPr>
                    <w:suppressLineNumbers/>
                    <w:suppressAutoHyphens/>
                    <w:rPr>
                      <w:sz w:val="16"/>
                      <w:szCs w:val="16"/>
                    </w:rPr>
                  </w:pPr>
                  <w:r w:rsidRPr="00BC78D9">
                    <w:rPr>
                      <w:sz w:val="16"/>
                      <w:szCs w:val="16"/>
                    </w:rPr>
                    <w:t xml:space="preserve"> (</w:t>
                  </w:r>
                  <w:r w:rsidRPr="00BC78D9">
                    <w:rPr>
                      <w:sz w:val="16"/>
                      <w:szCs w:val="16"/>
                    </w:rPr>
                    <w:noBreakHyphen/>
                    <w:t>8,1%)</w:t>
                  </w:r>
                </w:p>
              </w:tc>
            </w:tr>
            <w:tr w:rsidR="00BC78D9" w:rsidRPr="00BC78D9" w14:paraId="549BDDB9" w14:textId="77777777" w:rsidTr="006A627E">
              <w:trPr>
                <w:trHeight w:val="264"/>
              </w:trPr>
              <w:tc>
                <w:tcPr>
                  <w:tcW w:w="876" w:type="dxa"/>
                  <w:tcMar>
                    <w:left w:w="14" w:type="dxa"/>
                    <w:right w:w="14" w:type="dxa"/>
                  </w:tcMar>
                </w:tcPr>
                <w:p w14:paraId="611AAF6D" w14:textId="77777777" w:rsidR="00BC78D9" w:rsidRPr="00BC78D9" w:rsidRDefault="00BC78D9" w:rsidP="006A627E">
                  <w:pPr>
                    <w:suppressLineNumbers/>
                    <w:suppressAutoHyphens/>
                    <w:rPr>
                      <w:sz w:val="16"/>
                      <w:szCs w:val="16"/>
                    </w:rPr>
                  </w:pPr>
                  <w:r w:rsidRPr="00BC78D9">
                    <w:rPr>
                      <w:sz w:val="16"/>
                      <w:szCs w:val="16"/>
                    </w:rPr>
                    <w:t>Bureau de l’OMPI à Singapour</w:t>
                  </w:r>
                </w:p>
              </w:tc>
              <w:tc>
                <w:tcPr>
                  <w:tcW w:w="716" w:type="dxa"/>
                  <w:tcMar>
                    <w:left w:w="14" w:type="dxa"/>
                    <w:right w:w="14" w:type="dxa"/>
                  </w:tcMar>
                </w:tcPr>
                <w:p w14:paraId="57C8D65E" w14:textId="77777777" w:rsidR="00BC78D9" w:rsidRPr="00BC78D9" w:rsidRDefault="00BC78D9" w:rsidP="006A627E">
                  <w:pPr>
                    <w:suppressLineNumbers/>
                    <w:suppressAutoHyphens/>
                    <w:jc w:val="right"/>
                    <w:rPr>
                      <w:sz w:val="16"/>
                      <w:szCs w:val="16"/>
                    </w:rPr>
                  </w:pPr>
                </w:p>
                <w:p w14:paraId="4ED4B1F5" w14:textId="77777777" w:rsidR="00BC78D9" w:rsidRPr="00BC78D9" w:rsidRDefault="00BC78D9" w:rsidP="006A627E">
                  <w:pPr>
                    <w:suppressLineNumbers/>
                    <w:suppressAutoHyphens/>
                    <w:jc w:val="right"/>
                    <w:rPr>
                      <w:sz w:val="16"/>
                      <w:szCs w:val="16"/>
                    </w:rPr>
                  </w:pPr>
                  <w:r w:rsidRPr="00BC78D9">
                    <w:rPr>
                      <w:sz w:val="16"/>
                      <w:szCs w:val="16"/>
                    </w:rPr>
                    <w:t>1285</w:t>
                  </w:r>
                </w:p>
              </w:tc>
              <w:tc>
                <w:tcPr>
                  <w:tcW w:w="709" w:type="dxa"/>
                  <w:tcMar>
                    <w:left w:w="14" w:type="dxa"/>
                    <w:right w:w="14" w:type="dxa"/>
                  </w:tcMar>
                </w:tcPr>
                <w:p w14:paraId="50BBEDBA" w14:textId="77777777" w:rsidR="00BC78D9" w:rsidRPr="00BC78D9" w:rsidRDefault="00BC78D9" w:rsidP="006A627E">
                  <w:pPr>
                    <w:suppressLineNumbers/>
                    <w:suppressAutoHyphens/>
                    <w:rPr>
                      <w:sz w:val="16"/>
                      <w:szCs w:val="16"/>
                    </w:rPr>
                  </w:pPr>
                  <w:r w:rsidRPr="00BC78D9">
                    <w:rPr>
                      <w:sz w:val="16"/>
                      <w:szCs w:val="16"/>
                    </w:rPr>
                    <w:t>(</w:t>
                  </w:r>
                  <w:r w:rsidRPr="00BC78D9">
                    <w:rPr>
                      <w:sz w:val="16"/>
                      <w:szCs w:val="16"/>
                    </w:rPr>
                    <w:noBreakHyphen/>
                    <w:t>6,1%)</w:t>
                  </w:r>
                </w:p>
              </w:tc>
            </w:tr>
          </w:tbl>
          <w:p w14:paraId="7A95E449" w14:textId="77777777" w:rsidR="00BC78D9" w:rsidRPr="00BC78D9" w:rsidRDefault="00BC78D9" w:rsidP="006A627E">
            <w:pPr>
              <w:suppressLineNumbers/>
              <w:suppressAutoHyphens/>
              <w:rPr>
                <w:sz w:val="16"/>
                <w:szCs w:val="16"/>
              </w:rPr>
            </w:pPr>
          </w:p>
        </w:tc>
        <w:tc>
          <w:tcPr>
            <w:tcW w:w="567" w:type="pct"/>
            <w:shd w:val="clear" w:color="auto" w:fill="auto"/>
            <w:tcMar>
              <w:top w:w="110" w:type="dxa"/>
              <w:left w:w="57" w:type="dxa"/>
              <w:bottom w:w="57" w:type="dxa"/>
              <w:right w:w="57" w:type="dxa"/>
            </w:tcMar>
          </w:tcPr>
          <w:tbl>
            <w:tblPr>
              <w:tblStyle w:val="TableGrid"/>
              <w:tblW w:w="10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3"/>
            </w:tblGrid>
            <w:tr w:rsidR="00BC78D9" w:rsidRPr="00BC78D9" w14:paraId="0428AE46" w14:textId="77777777" w:rsidTr="006A627E">
              <w:trPr>
                <w:trHeight w:val="542"/>
                <w:jc w:val="center"/>
              </w:trPr>
              <w:tc>
                <w:tcPr>
                  <w:tcW w:w="1033" w:type="dxa"/>
                  <w:tcMar>
                    <w:left w:w="14" w:type="dxa"/>
                    <w:right w:w="14" w:type="dxa"/>
                  </w:tcMar>
                </w:tcPr>
                <w:p w14:paraId="6363BBCE" w14:textId="77777777" w:rsidR="00BC78D9" w:rsidRPr="00BC78D9" w:rsidRDefault="00BC78D9" w:rsidP="006A627E">
                  <w:pPr>
                    <w:jc w:val="center"/>
                  </w:pPr>
                  <w:r w:rsidRPr="00BC78D9">
                    <w:rPr>
                      <w:b/>
                      <w:color w:val="00B050"/>
                      <w:sz w:val="16"/>
                      <w:szCs w:val="16"/>
                    </w:rPr>
                    <w:t>En bonne voie</w:t>
                  </w:r>
                </w:p>
              </w:tc>
            </w:tr>
            <w:tr w:rsidR="00BC78D9" w:rsidRPr="00BC78D9" w14:paraId="00D25317" w14:textId="77777777" w:rsidTr="006A627E">
              <w:trPr>
                <w:trHeight w:val="564"/>
                <w:jc w:val="center"/>
              </w:trPr>
              <w:tc>
                <w:tcPr>
                  <w:tcW w:w="1033" w:type="dxa"/>
                  <w:tcMar>
                    <w:left w:w="14" w:type="dxa"/>
                    <w:right w:w="14" w:type="dxa"/>
                  </w:tcMar>
                </w:tcPr>
                <w:p w14:paraId="27B25E24" w14:textId="77777777" w:rsidR="00BC78D9" w:rsidRPr="00BC78D9" w:rsidRDefault="00BC78D9" w:rsidP="006A627E">
                  <w:pPr>
                    <w:jc w:val="center"/>
                  </w:pPr>
                  <w:r w:rsidRPr="00BC78D9">
                    <w:rPr>
                      <w:b/>
                      <w:color w:val="00B050"/>
                      <w:sz w:val="16"/>
                      <w:szCs w:val="16"/>
                    </w:rPr>
                    <w:t>En bonne voie</w:t>
                  </w:r>
                </w:p>
              </w:tc>
            </w:tr>
            <w:tr w:rsidR="00BC78D9" w:rsidRPr="00BC78D9" w14:paraId="2C65D669" w14:textId="77777777" w:rsidTr="006A627E">
              <w:trPr>
                <w:trHeight w:val="572"/>
                <w:jc w:val="center"/>
              </w:trPr>
              <w:tc>
                <w:tcPr>
                  <w:tcW w:w="1033" w:type="dxa"/>
                  <w:tcMar>
                    <w:left w:w="14" w:type="dxa"/>
                    <w:right w:w="14" w:type="dxa"/>
                  </w:tcMar>
                </w:tcPr>
                <w:p w14:paraId="1FCA3BD3" w14:textId="77777777" w:rsidR="00BC78D9" w:rsidRPr="00BC78D9" w:rsidRDefault="00BC78D9" w:rsidP="006A627E">
                  <w:pPr>
                    <w:jc w:val="center"/>
                  </w:pPr>
                  <w:r w:rsidRPr="00BC78D9">
                    <w:rPr>
                      <w:b/>
                      <w:color w:val="00B050"/>
                      <w:sz w:val="16"/>
                      <w:szCs w:val="16"/>
                    </w:rPr>
                    <w:t>En bonne voie</w:t>
                  </w:r>
                </w:p>
              </w:tc>
            </w:tr>
            <w:tr w:rsidR="00BC78D9" w:rsidRPr="00BC78D9" w14:paraId="65C441E1" w14:textId="77777777" w:rsidTr="006A627E">
              <w:trPr>
                <w:trHeight w:val="708"/>
                <w:jc w:val="center"/>
              </w:trPr>
              <w:tc>
                <w:tcPr>
                  <w:tcW w:w="1033" w:type="dxa"/>
                  <w:tcMar>
                    <w:left w:w="14" w:type="dxa"/>
                    <w:right w:w="14" w:type="dxa"/>
                  </w:tcMar>
                </w:tcPr>
                <w:p w14:paraId="59DF476F" w14:textId="77777777" w:rsidR="00BC78D9" w:rsidRPr="00BC78D9" w:rsidRDefault="00BC78D9" w:rsidP="006A627E">
                  <w:pPr>
                    <w:suppressLineNumbers/>
                    <w:suppressAutoHyphens/>
                    <w:ind w:left="141"/>
                    <w:jc w:val="center"/>
                    <w:rPr>
                      <w:b/>
                      <w:sz w:val="16"/>
                      <w:szCs w:val="16"/>
                    </w:rPr>
                  </w:pPr>
                  <w:r w:rsidRPr="00BC78D9">
                    <w:rPr>
                      <w:b/>
                      <w:color w:val="FF0000"/>
                      <w:sz w:val="16"/>
                      <w:szCs w:val="16"/>
                    </w:rPr>
                    <w:t>Pas en bonne voie</w:t>
                  </w:r>
                </w:p>
              </w:tc>
            </w:tr>
            <w:tr w:rsidR="00BC78D9" w:rsidRPr="00BC78D9" w14:paraId="316DB57F" w14:textId="77777777" w:rsidTr="006A627E">
              <w:trPr>
                <w:trHeight w:val="562"/>
                <w:jc w:val="center"/>
              </w:trPr>
              <w:tc>
                <w:tcPr>
                  <w:tcW w:w="1033" w:type="dxa"/>
                  <w:tcMar>
                    <w:left w:w="14" w:type="dxa"/>
                    <w:right w:w="14" w:type="dxa"/>
                  </w:tcMar>
                </w:tcPr>
                <w:p w14:paraId="35204116" w14:textId="77777777" w:rsidR="00BC78D9" w:rsidRPr="00BC78D9" w:rsidRDefault="00BC78D9" w:rsidP="006A627E">
                  <w:pPr>
                    <w:suppressLineNumbers/>
                    <w:suppressAutoHyphens/>
                    <w:spacing w:before="60"/>
                    <w:ind w:left="141"/>
                    <w:jc w:val="center"/>
                    <w:rPr>
                      <w:b/>
                      <w:sz w:val="16"/>
                      <w:szCs w:val="16"/>
                    </w:rPr>
                  </w:pPr>
                  <w:r w:rsidRPr="00BC78D9">
                    <w:rPr>
                      <w:b/>
                      <w:color w:val="FF0000"/>
                      <w:sz w:val="16"/>
                      <w:szCs w:val="16"/>
                    </w:rPr>
                    <w:t>Pas en bonne voie</w:t>
                  </w:r>
                </w:p>
              </w:tc>
            </w:tr>
          </w:tbl>
          <w:p w14:paraId="58D88E12" w14:textId="77777777" w:rsidR="00BC78D9" w:rsidRPr="00BC78D9" w:rsidRDefault="00BC78D9" w:rsidP="006A627E">
            <w:pPr>
              <w:suppressLineNumbers/>
              <w:suppressAutoHyphens/>
              <w:jc w:val="center"/>
              <w:rPr>
                <w:sz w:val="16"/>
                <w:szCs w:val="16"/>
              </w:rPr>
            </w:pPr>
          </w:p>
        </w:tc>
      </w:tr>
      <w:tr w:rsidR="00BC78D9" w:rsidRPr="00BC78D9" w14:paraId="01E4D13A" w14:textId="77777777" w:rsidTr="006A627E">
        <w:trPr>
          <w:cantSplit/>
          <w:trHeight w:val="1787"/>
        </w:trPr>
        <w:tc>
          <w:tcPr>
            <w:tcW w:w="1039" w:type="pct"/>
            <w:gridSpan w:val="2"/>
            <w:shd w:val="clear" w:color="auto" w:fill="auto"/>
            <w:tcMar>
              <w:left w:w="57" w:type="dxa"/>
              <w:bottom w:w="57" w:type="dxa"/>
              <w:right w:w="57" w:type="dxa"/>
            </w:tcMar>
          </w:tcPr>
          <w:p w14:paraId="5407ADAB" w14:textId="77777777" w:rsidR="00BC78D9" w:rsidRPr="00BC78D9" w:rsidRDefault="00BC78D9" w:rsidP="006A627E">
            <w:pPr>
              <w:suppressLineNumbers/>
              <w:suppressAutoHyphens/>
              <w:rPr>
                <w:sz w:val="16"/>
                <w:szCs w:val="16"/>
              </w:rPr>
            </w:pPr>
            <w:r w:rsidRPr="00BC78D9">
              <w:rPr>
                <w:sz w:val="16"/>
                <w:szCs w:val="16"/>
              </w:rPr>
              <w:t>Pourcentage de décideurs, de fonctionnaires gouvernementaux, de spécialistes de la propriété intellectuelle et de participants de séminaires ciblés ayant une meilleure connaissance du PCT et de thèmes connexes</w:t>
            </w:r>
          </w:p>
        </w:tc>
        <w:tc>
          <w:tcPr>
            <w:tcW w:w="1276" w:type="pct"/>
            <w:shd w:val="clear" w:color="auto" w:fill="auto"/>
            <w:tcMar>
              <w:left w:w="57" w:type="dxa"/>
              <w:bottom w:w="57" w:type="dxa"/>
              <w:right w:w="57" w:type="dxa"/>
            </w:tcMar>
          </w:tcPr>
          <w:p w14:paraId="459E51E9"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65B93AD9" w14:textId="77777777" w:rsidR="00BC78D9" w:rsidRPr="00BC78D9" w:rsidRDefault="00BC78D9" w:rsidP="006A627E">
            <w:pPr>
              <w:suppressLineNumbers/>
              <w:suppressAutoHyphens/>
              <w:rPr>
                <w:color w:val="002060"/>
                <w:sz w:val="16"/>
                <w:szCs w:val="16"/>
              </w:rPr>
            </w:pPr>
            <w:r w:rsidRPr="00BC78D9">
              <w:rPr>
                <w:color w:val="002060"/>
                <w:sz w:val="16"/>
                <w:szCs w:val="16"/>
              </w:rPr>
              <w:t>75% (Bureau de l’OMPI au Brésil)</w:t>
            </w:r>
          </w:p>
          <w:p w14:paraId="0E13838E" w14:textId="77777777" w:rsidR="00BC78D9" w:rsidRPr="00BC78D9" w:rsidRDefault="00BC78D9" w:rsidP="006A627E">
            <w:pPr>
              <w:suppressLineNumbers/>
              <w:suppressAutoHyphens/>
              <w:rPr>
                <w:color w:val="002060"/>
                <w:sz w:val="16"/>
                <w:szCs w:val="16"/>
              </w:rPr>
            </w:pPr>
            <w:r w:rsidRPr="00BC78D9">
              <w:rPr>
                <w:color w:val="002060"/>
                <w:sz w:val="16"/>
                <w:szCs w:val="16"/>
              </w:rPr>
              <w:t>91% (Bureau de l’OMPI au Japon)</w:t>
            </w:r>
          </w:p>
          <w:p w14:paraId="1DAAA792" w14:textId="77777777" w:rsidR="00BC78D9" w:rsidRPr="00BC78D9" w:rsidRDefault="00BC78D9" w:rsidP="006A627E">
            <w:pPr>
              <w:suppressLineNumbers/>
              <w:suppressAutoHyphens/>
              <w:rPr>
                <w:color w:val="002060"/>
                <w:sz w:val="16"/>
                <w:szCs w:val="16"/>
              </w:rPr>
            </w:pPr>
            <w:r w:rsidRPr="00BC78D9">
              <w:rPr>
                <w:color w:val="002060"/>
                <w:sz w:val="16"/>
                <w:szCs w:val="16"/>
              </w:rPr>
              <w:t>95% (Bureau de l’OMPI à Singapour)</w:t>
            </w:r>
          </w:p>
          <w:p w14:paraId="36EB3C5E" w14:textId="77777777" w:rsidR="00BC78D9" w:rsidRPr="00BC78D9" w:rsidRDefault="00BC78D9" w:rsidP="006A627E">
            <w:pPr>
              <w:suppressLineNumbers/>
              <w:suppressAutoHyphens/>
              <w:rPr>
                <w:sz w:val="16"/>
                <w:szCs w:val="16"/>
              </w:rPr>
            </w:pPr>
          </w:p>
          <w:p w14:paraId="7977C20E"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025C801C" w14:textId="77777777" w:rsidR="00BC78D9" w:rsidRPr="00BC78D9" w:rsidRDefault="00BC78D9" w:rsidP="006A627E">
            <w:pPr>
              <w:suppressLineNumbers/>
              <w:suppressAutoHyphens/>
              <w:rPr>
                <w:sz w:val="16"/>
                <w:szCs w:val="16"/>
              </w:rPr>
            </w:pPr>
            <w:r w:rsidRPr="00BC78D9">
              <w:rPr>
                <w:sz w:val="16"/>
                <w:szCs w:val="16"/>
              </w:rPr>
              <w:t>93% (Bureau de l’OMPI à Singapour)</w:t>
            </w:r>
          </w:p>
          <w:p w14:paraId="31AB70BD" w14:textId="77777777" w:rsidR="00BC78D9" w:rsidRPr="00BC78D9" w:rsidRDefault="00BC78D9" w:rsidP="006A627E">
            <w:pPr>
              <w:suppressLineNumbers/>
              <w:suppressAutoHyphens/>
              <w:rPr>
                <w:sz w:val="16"/>
                <w:szCs w:val="16"/>
              </w:rPr>
            </w:pPr>
            <w:r w:rsidRPr="00BC78D9">
              <w:rPr>
                <w:sz w:val="16"/>
                <w:szCs w:val="16"/>
              </w:rPr>
              <w:t>75% (Bureau de l’OMPI au Brésil)</w:t>
            </w:r>
          </w:p>
          <w:p w14:paraId="1910CFD7" w14:textId="77777777" w:rsidR="00BC78D9" w:rsidRPr="00BC78D9" w:rsidRDefault="00BC78D9" w:rsidP="006A627E">
            <w:pPr>
              <w:suppressLineNumbers/>
              <w:suppressAutoHyphens/>
              <w:rPr>
                <w:sz w:val="16"/>
                <w:szCs w:val="16"/>
              </w:rPr>
            </w:pPr>
            <w:r w:rsidRPr="00BC78D9">
              <w:rPr>
                <w:sz w:val="16"/>
                <w:szCs w:val="16"/>
              </w:rPr>
              <w:t>94% (Bureau de l’OMPI au Japon)</w:t>
            </w:r>
          </w:p>
        </w:tc>
        <w:tc>
          <w:tcPr>
            <w:tcW w:w="835" w:type="pct"/>
            <w:gridSpan w:val="3"/>
            <w:shd w:val="clear" w:color="auto" w:fill="auto"/>
            <w:tcMar>
              <w:top w:w="110" w:type="dxa"/>
              <w:left w:w="57" w:type="dxa"/>
              <w:bottom w:w="57" w:type="dxa"/>
              <w:right w:w="57" w:type="dxa"/>
            </w:tcMar>
          </w:tcPr>
          <w:p w14:paraId="35023908" w14:textId="77777777" w:rsidR="00BC78D9" w:rsidRPr="00BC78D9" w:rsidRDefault="00BC78D9" w:rsidP="006A627E">
            <w:pPr>
              <w:suppressLineNumbers/>
              <w:suppressAutoHyphens/>
              <w:rPr>
                <w:sz w:val="16"/>
                <w:szCs w:val="16"/>
              </w:rPr>
            </w:pPr>
            <w:r w:rsidRPr="00BC78D9">
              <w:rPr>
                <w:sz w:val="16"/>
                <w:szCs w:val="16"/>
              </w:rPr>
              <w:t>75% (tous bureaux confondus)</w:t>
            </w:r>
          </w:p>
        </w:tc>
        <w:tc>
          <w:tcPr>
            <w:tcW w:w="1283" w:type="pct"/>
            <w:gridSpan w:val="2"/>
            <w:shd w:val="clear" w:color="auto" w:fill="FFFFFF"/>
            <w:tcMar>
              <w:top w:w="110" w:type="dxa"/>
              <w:left w:w="57" w:type="dxa"/>
              <w:bottom w:w="57" w:type="dxa"/>
              <w:right w:w="57" w:type="dxa"/>
            </w:tcMar>
          </w:tcPr>
          <w:p w14:paraId="3152BE26" w14:textId="77777777" w:rsidR="00BC78D9" w:rsidRPr="00BC78D9" w:rsidRDefault="00BC78D9" w:rsidP="006A627E">
            <w:pPr>
              <w:suppressLineNumbers/>
              <w:suppressAutoHyphens/>
              <w:rPr>
                <w:sz w:val="16"/>
                <w:szCs w:val="16"/>
              </w:rPr>
            </w:pPr>
            <w:r w:rsidRPr="00BC78D9">
              <w:rPr>
                <w:sz w:val="16"/>
                <w:szCs w:val="16"/>
              </w:rPr>
              <w:t xml:space="preserve">Aucune donnée disponible (Bureau de l’OMPI au Brésil) </w:t>
            </w:r>
          </w:p>
          <w:p w14:paraId="4E559444" w14:textId="77777777" w:rsidR="00BC78D9" w:rsidRPr="00BC78D9" w:rsidRDefault="00BC78D9" w:rsidP="006A627E">
            <w:pPr>
              <w:suppressLineNumbers/>
              <w:suppressAutoHyphens/>
              <w:rPr>
                <w:sz w:val="16"/>
                <w:szCs w:val="16"/>
              </w:rPr>
            </w:pPr>
          </w:p>
          <w:p w14:paraId="4425D416" w14:textId="77777777" w:rsidR="00BC78D9" w:rsidRPr="00BC78D9" w:rsidRDefault="00BC78D9" w:rsidP="006A627E">
            <w:pPr>
              <w:suppressLineNumbers/>
              <w:suppressAutoHyphens/>
              <w:rPr>
                <w:sz w:val="16"/>
                <w:szCs w:val="16"/>
              </w:rPr>
            </w:pPr>
            <w:r w:rsidRPr="00BC78D9">
              <w:rPr>
                <w:sz w:val="16"/>
                <w:szCs w:val="16"/>
              </w:rPr>
              <w:t>81% (Bureau de l’OMPI au Japon)</w:t>
            </w:r>
          </w:p>
          <w:p w14:paraId="7A463298" w14:textId="77777777" w:rsidR="00BC78D9" w:rsidRPr="00BC78D9" w:rsidRDefault="00BC78D9" w:rsidP="006A627E">
            <w:pPr>
              <w:suppressLineNumbers/>
              <w:suppressAutoHyphens/>
              <w:rPr>
                <w:sz w:val="16"/>
                <w:szCs w:val="16"/>
              </w:rPr>
            </w:pPr>
          </w:p>
          <w:p w14:paraId="720FF2EB" w14:textId="77777777" w:rsidR="00BC78D9" w:rsidRPr="00BC78D9" w:rsidRDefault="00BC78D9" w:rsidP="006A627E">
            <w:pPr>
              <w:suppressLineNumbers/>
              <w:suppressAutoHyphens/>
              <w:rPr>
                <w:sz w:val="16"/>
                <w:szCs w:val="16"/>
              </w:rPr>
            </w:pPr>
            <w:r w:rsidRPr="00BC78D9">
              <w:rPr>
                <w:sz w:val="16"/>
                <w:szCs w:val="16"/>
              </w:rPr>
              <w:t>94% (Bureau de l’OMPI à Singapour)</w:t>
            </w:r>
          </w:p>
        </w:tc>
        <w:tc>
          <w:tcPr>
            <w:tcW w:w="567" w:type="pct"/>
            <w:shd w:val="clear" w:color="auto" w:fill="auto"/>
            <w:tcMar>
              <w:top w:w="110" w:type="dxa"/>
              <w:left w:w="57" w:type="dxa"/>
              <w:bottom w:w="57" w:type="dxa"/>
              <w:right w:w="57" w:type="dxa"/>
            </w:tcMar>
          </w:tcPr>
          <w:p w14:paraId="68E70B64" w14:textId="77777777" w:rsidR="00BC78D9" w:rsidRPr="00BC78D9" w:rsidRDefault="00BC78D9" w:rsidP="006A627E">
            <w:pPr>
              <w:suppressLineNumbers/>
              <w:suppressAutoHyphens/>
              <w:jc w:val="center"/>
              <w:rPr>
                <w:b/>
                <w:color w:val="A6A6A6" w:themeColor="background1" w:themeShade="A6"/>
                <w:sz w:val="13"/>
                <w:szCs w:val="13"/>
              </w:rPr>
            </w:pPr>
            <w:r w:rsidRPr="00BC78D9">
              <w:rPr>
                <w:b/>
                <w:color w:val="808080"/>
                <w:sz w:val="13"/>
                <w:szCs w:val="13"/>
              </w:rPr>
              <w:t>Non évaluable</w:t>
            </w:r>
          </w:p>
          <w:p w14:paraId="02ACFC6F" w14:textId="77777777" w:rsidR="00BC78D9" w:rsidRPr="00BC78D9" w:rsidRDefault="00BC78D9" w:rsidP="006A627E">
            <w:pPr>
              <w:suppressLineNumbers/>
              <w:suppressAutoHyphens/>
              <w:jc w:val="center"/>
              <w:rPr>
                <w:b/>
                <w:color w:val="00B050"/>
                <w:sz w:val="16"/>
                <w:szCs w:val="16"/>
              </w:rPr>
            </w:pPr>
          </w:p>
          <w:p w14:paraId="415CE087" w14:textId="77777777" w:rsidR="00BC78D9" w:rsidRPr="00BC78D9" w:rsidRDefault="00BC78D9" w:rsidP="006A627E">
            <w:pPr>
              <w:suppressLineNumbers/>
              <w:suppressAutoHyphens/>
              <w:jc w:val="center"/>
              <w:rPr>
                <w:b/>
                <w:color w:val="00B050"/>
                <w:sz w:val="16"/>
                <w:szCs w:val="16"/>
              </w:rPr>
            </w:pPr>
          </w:p>
          <w:p w14:paraId="231E6959" w14:textId="77777777" w:rsidR="00BC78D9" w:rsidRPr="00BC78D9" w:rsidRDefault="00BC78D9" w:rsidP="006A627E">
            <w:pPr>
              <w:suppressLineNumbers/>
              <w:suppressAutoHyphens/>
              <w:jc w:val="center"/>
              <w:rPr>
                <w:b/>
                <w:color w:val="00B050"/>
                <w:sz w:val="16"/>
                <w:szCs w:val="16"/>
              </w:rPr>
            </w:pPr>
            <w:r w:rsidRPr="00BC78D9">
              <w:rPr>
                <w:b/>
                <w:color w:val="00B050"/>
                <w:sz w:val="16"/>
                <w:szCs w:val="16"/>
              </w:rPr>
              <w:t>En bonne voie</w:t>
            </w:r>
          </w:p>
          <w:p w14:paraId="60BC3EB1" w14:textId="77777777" w:rsidR="00BC78D9" w:rsidRPr="00BC78D9" w:rsidRDefault="00BC78D9" w:rsidP="006A627E">
            <w:pPr>
              <w:suppressLineNumbers/>
              <w:suppressAutoHyphens/>
              <w:jc w:val="center"/>
              <w:rPr>
                <w:sz w:val="16"/>
                <w:szCs w:val="16"/>
              </w:rPr>
            </w:pPr>
          </w:p>
          <w:p w14:paraId="30BDF175" w14:textId="77777777" w:rsidR="00BC78D9" w:rsidRPr="00BC78D9" w:rsidRDefault="00BC78D9" w:rsidP="006A627E">
            <w:pPr>
              <w:suppressLineNumbers/>
              <w:suppressAutoHyphens/>
              <w:jc w:val="center"/>
              <w:rPr>
                <w:sz w:val="16"/>
                <w:szCs w:val="16"/>
              </w:rPr>
            </w:pPr>
            <w:r w:rsidRPr="00BC78D9">
              <w:rPr>
                <w:b/>
                <w:color w:val="00B050"/>
                <w:sz w:val="16"/>
                <w:szCs w:val="16"/>
              </w:rPr>
              <w:t>En bonne voie</w:t>
            </w:r>
          </w:p>
        </w:tc>
      </w:tr>
      <w:tr w:rsidR="00BC78D9" w:rsidRPr="00BC78D9" w14:paraId="775E28EC" w14:textId="77777777" w:rsidTr="006A627E">
        <w:trPr>
          <w:cantSplit/>
          <w:trHeight w:val="565"/>
        </w:trPr>
        <w:tc>
          <w:tcPr>
            <w:tcW w:w="5000" w:type="pct"/>
            <w:gridSpan w:val="9"/>
            <w:shd w:val="clear" w:color="auto" w:fill="C6D9F1" w:themeFill="text2" w:themeFillTint="33"/>
            <w:tcMar>
              <w:left w:w="57" w:type="dxa"/>
              <w:bottom w:w="57" w:type="dxa"/>
              <w:right w:w="57" w:type="dxa"/>
            </w:tcMar>
            <w:vAlign w:val="center"/>
          </w:tcPr>
          <w:p w14:paraId="423B48A1" w14:textId="77777777" w:rsidR="00BC78D9" w:rsidRPr="00BC78D9" w:rsidRDefault="00BC78D9" w:rsidP="006A627E">
            <w:pPr>
              <w:keepNext/>
              <w:keepLines/>
              <w:suppressLineNumbers/>
              <w:suppressAutoHyphens/>
              <w:rPr>
                <w:b/>
                <w:bCs/>
                <w:sz w:val="16"/>
                <w:szCs w:val="16"/>
              </w:rPr>
            </w:pPr>
            <w:r w:rsidRPr="00BC78D9">
              <w:rPr>
                <w:b/>
                <w:bCs/>
                <w:sz w:val="16"/>
                <w:szCs w:val="16"/>
              </w:rPr>
              <w:t xml:space="preserve">Résultat escompté : </w:t>
            </w:r>
            <w:r w:rsidRPr="00BC78D9">
              <w:rPr>
                <w:b/>
                <w:sz w:val="16"/>
              </w:rPr>
              <w:tab/>
            </w:r>
            <w:r w:rsidRPr="00BC78D9">
              <w:rPr>
                <w:bCs/>
                <w:sz w:val="16"/>
                <w:szCs w:val="16"/>
              </w:rPr>
              <w:t>II.4 Utilisation élargie et plus efficace du système de La Haye, notamment par les pays en développement et les PMA</w:t>
            </w:r>
          </w:p>
        </w:tc>
      </w:tr>
      <w:tr w:rsidR="00BC78D9" w:rsidRPr="00BC78D9" w14:paraId="413E13F7" w14:textId="77777777" w:rsidTr="006A627E">
        <w:trPr>
          <w:cantSplit/>
        </w:trPr>
        <w:tc>
          <w:tcPr>
            <w:tcW w:w="1039" w:type="pct"/>
            <w:gridSpan w:val="2"/>
            <w:shd w:val="clear" w:color="auto" w:fill="auto"/>
            <w:tcMar>
              <w:left w:w="57" w:type="dxa"/>
              <w:bottom w:w="57" w:type="dxa"/>
              <w:right w:w="57" w:type="dxa"/>
            </w:tcMar>
            <w:vAlign w:val="center"/>
          </w:tcPr>
          <w:p w14:paraId="7254CDCF"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3A686394"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Niveaux de référence</w:t>
            </w:r>
          </w:p>
        </w:tc>
        <w:tc>
          <w:tcPr>
            <w:tcW w:w="835" w:type="pct"/>
            <w:gridSpan w:val="3"/>
            <w:shd w:val="clear" w:color="auto" w:fill="auto"/>
            <w:tcMar>
              <w:top w:w="110" w:type="dxa"/>
              <w:left w:w="57" w:type="dxa"/>
              <w:bottom w:w="57" w:type="dxa"/>
              <w:right w:w="57" w:type="dxa"/>
            </w:tcMar>
            <w:vAlign w:val="center"/>
          </w:tcPr>
          <w:p w14:paraId="51C0F576" w14:textId="77777777" w:rsidR="00BC78D9" w:rsidRPr="00BC78D9" w:rsidRDefault="00BC78D9" w:rsidP="006A627E">
            <w:pPr>
              <w:keepNext/>
              <w:keepLines/>
              <w:suppressLineNumbers/>
              <w:tabs>
                <w:tab w:val="left" w:pos="290"/>
              </w:tabs>
              <w:suppressAutoHyphens/>
              <w:jc w:val="center"/>
              <w:rPr>
                <w:b/>
                <w:bCs/>
                <w:sz w:val="16"/>
                <w:szCs w:val="16"/>
              </w:rPr>
            </w:pPr>
            <w:r w:rsidRPr="00BC78D9">
              <w:rPr>
                <w:b/>
                <w:bCs/>
                <w:sz w:val="16"/>
                <w:szCs w:val="16"/>
              </w:rPr>
              <w:t>Objectifs visés</w:t>
            </w:r>
          </w:p>
        </w:tc>
        <w:tc>
          <w:tcPr>
            <w:tcW w:w="1283" w:type="pct"/>
            <w:gridSpan w:val="2"/>
            <w:shd w:val="clear" w:color="auto" w:fill="FFFFFF"/>
            <w:tcMar>
              <w:top w:w="110" w:type="dxa"/>
              <w:left w:w="57" w:type="dxa"/>
              <w:bottom w:w="57" w:type="dxa"/>
              <w:right w:w="57" w:type="dxa"/>
            </w:tcMar>
            <w:vAlign w:val="center"/>
          </w:tcPr>
          <w:p w14:paraId="7295A1C1"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716B6CE9"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Code d’évaluation</w:t>
            </w:r>
          </w:p>
        </w:tc>
      </w:tr>
      <w:tr w:rsidR="00BC78D9" w:rsidRPr="00BC78D9" w14:paraId="4FAD9205" w14:textId="77777777" w:rsidTr="006A627E">
        <w:trPr>
          <w:cantSplit/>
          <w:trHeight w:val="542"/>
        </w:trPr>
        <w:tc>
          <w:tcPr>
            <w:tcW w:w="1039" w:type="pct"/>
            <w:gridSpan w:val="2"/>
            <w:shd w:val="clear" w:color="auto" w:fill="auto"/>
            <w:tcMar>
              <w:left w:w="57" w:type="dxa"/>
              <w:bottom w:w="57" w:type="dxa"/>
              <w:right w:w="57" w:type="dxa"/>
            </w:tcMar>
          </w:tcPr>
          <w:p w14:paraId="0590C52C" w14:textId="77777777" w:rsidR="00BC78D9" w:rsidRPr="00BC78D9" w:rsidRDefault="00BC78D9" w:rsidP="006A627E">
            <w:pPr>
              <w:keepNext/>
              <w:keepLines/>
              <w:suppressLineNumbers/>
              <w:suppressAutoHyphens/>
              <w:rPr>
                <w:sz w:val="16"/>
                <w:szCs w:val="16"/>
              </w:rPr>
            </w:pPr>
            <w:r w:rsidRPr="00BC78D9">
              <w:rPr>
                <w:sz w:val="16"/>
                <w:szCs w:val="16"/>
              </w:rPr>
              <w:t xml:space="preserve">Parties contractantes de l’Acte de Genève (1999) </w:t>
            </w:r>
          </w:p>
        </w:tc>
        <w:tc>
          <w:tcPr>
            <w:tcW w:w="1276" w:type="pct"/>
            <w:shd w:val="clear" w:color="auto" w:fill="auto"/>
            <w:tcMar>
              <w:left w:w="57" w:type="dxa"/>
              <w:bottom w:w="57" w:type="dxa"/>
              <w:right w:w="57" w:type="dxa"/>
            </w:tcMar>
          </w:tcPr>
          <w:p w14:paraId="1DE8E5AE" w14:textId="77777777" w:rsidR="00BC78D9" w:rsidRPr="00BC78D9" w:rsidRDefault="00BC78D9" w:rsidP="006A627E">
            <w:pPr>
              <w:keepNext/>
              <w:keepLines/>
              <w:suppressLineNumbers/>
              <w:suppressAutoHyphens/>
              <w:rPr>
                <w:sz w:val="16"/>
                <w:szCs w:val="16"/>
              </w:rPr>
            </w:pPr>
            <w:r w:rsidRPr="00BC78D9">
              <w:rPr>
                <w:sz w:val="16"/>
                <w:szCs w:val="16"/>
              </w:rPr>
              <w:t>2 (Bureau de l’OMPI à Singapour)</w:t>
            </w:r>
          </w:p>
          <w:p w14:paraId="0ABFFCA3" w14:textId="77777777" w:rsidR="00BC78D9" w:rsidRPr="00BC78D9" w:rsidRDefault="00BC78D9" w:rsidP="006A627E">
            <w:pPr>
              <w:keepNext/>
              <w:keepLines/>
              <w:suppressLineNumbers/>
              <w:suppressAutoHyphens/>
              <w:rPr>
                <w:sz w:val="16"/>
                <w:szCs w:val="16"/>
              </w:rPr>
            </w:pPr>
            <w:r w:rsidRPr="00BC78D9">
              <w:rPr>
                <w:sz w:val="16"/>
                <w:szCs w:val="16"/>
              </w:rPr>
              <w:t>0 (Bureau de l’OMPI en Fédération de Russie)</w:t>
            </w:r>
          </w:p>
        </w:tc>
        <w:tc>
          <w:tcPr>
            <w:tcW w:w="835" w:type="pct"/>
            <w:gridSpan w:val="3"/>
            <w:shd w:val="clear" w:color="auto" w:fill="auto"/>
            <w:tcMar>
              <w:top w:w="110" w:type="dxa"/>
              <w:left w:w="57" w:type="dxa"/>
              <w:bottom w:w="57" w:type="dxa"/>
              <w:right w:w="57" w:type="dxa"/>
            </w:tcMar>
          </w:tcPr>
          <w:p w14:paraId="024BA414" w14:textId="77777777" w:rsidR="00BC78D9" w:rsidRPr="00BC78D9" w:rsidRDefault="00BC78D9" w:rsidP="006A627E">
            <w:pPr>
              <w:keepNext/>
              <w:keepLines/>
              <w:suppressLineNumbers/>
              <w:suppressAutoHyphens/>
              <w:rPr>
                <w:sz w:val="16"/>
                <w:szCs w:val="16"/>
              </w:rPr>
            </w:pPr>
            <w:r w:rsidRPr="00BC78D9">
              <w:rPr>
                <w:sz w:val="16"/>
                <w:szCs w:val="16"/>
              </w:rPr>
              <w:t>3 supplémentaires (Bureau de l’OMPI à Singapour)</w:t>
            </w:r>
          </w:p>
          <w:p w14:paraId="2AE242D9" w14:textId="77777777" w:rsidR="00BC78D9" w:rsidRPr="00BC78D9" w:rsidRDefault="00BC78D9" w:rsidP="006A627E">
            <w:pPr>
              <w:keepNext/>
              <w:keepLines/>
              <w:suppressLineNumbers/>
              <w:suppressAutoHyphens/>
              <w:rPr>
                <w:sz w:val="16"/>
                <w:szCs w:val="16"/>
              </w:rPr>
            </w:pPr>
            <w:r w:rsidRPr="00BC78D9">
              <w:rPr>
                <w:sz w:val="16"/>
                <w:szCs w:val="16"/>
              </w:rPr>
              <w:t>1 (Bureau de l’OMPI en Fédération de Russie)</w:t>
            </w:r>
          </w:p>
        </w:tc>
        <w:tc>
          <w:tcPr>
            <w:tcW w:w="1283" w:type="pct"/>
            <w:gridSpan w:val="2"/>
            <w:shd w:val="clear" w:color="auto" w:fill="FFFFFF"/>
            <w:tcMar>
              <w:top w:w="110" w:type="dxa"/>
              <w:left w:w="57" w:type="dxa"/>
              <w:bottom w:w="57" w:type="dxa"/>
              <w:right w:w="57" w:type="dxa"/>
            </w:tcMar>
          </w:tcPr>
          <w:p w14:paraId="452B3F6C" w14:textId="77777777" w:rsidR="00BC78D9" w:rsidRPr="00BC78D9" w:rsidRDefault="00BC78D9" w:rsidP="006A627E">
            <w:pPr>
              <w:keepNext/>
              <w:keepLines/>
              <w:suppressLineNumbers/>
              <w:suppressAutoHyphens/>
              <w:rPr>
                <w:sz w:val="16"/>
                <w:szCs w:val="16"/>
              </w:rPr>
            </w:pPr>
            <w:r w:rsidRPr="00BC78D9">
              <w:rPr>
                <w:sz w:val="16"/>
                <w:szCs w:val="16"/>
              </w:rPr>
              <w:t>0 (Bureau de l’OMPI à Singapour)</w:t>
            </w:r>
          </w:p>
          <w:p w14:paraId="272CF2BE" w14:textId="77777777" w:rsidR="00BC78D9" w:rsidRPr="00BC78D9" w:rsidRDefault="00BC78D9" w:rsidP="006A627E">
            <w:pPr>
              <w:keepNext/>
              <w:keepLines/>
              <w:suppressLineNumbers/>
              <w:suppressAutoHyphens/>
              <w:rPr>
                <w:sz w:val="16"/>
                <w:szCs w:val="16"/>
              </w:rPr>
            </w:pPr>
          </w:p>
          <w:p w14:paraId="02693B11" w14:textId="77777777" w:rsidR="00BC78D9" w:rsidRPr="00BC78D9" w:rsidRDefault="00BC78D9" w:rsidP="006A627E">
            <w:pPr>
              <w:keepNext/>
              <w:keepLines/>
              <w:suppressLineNumbers/>
              <w:suppressAutoHyphens/>
              <w:rPr>
                <w:sz w:val="16"/>
                <w:szCs w:val="16"/>
              </w:rPr>
            </w:pPr>
            <w:r w:rsidRPr="00BC78D9">
              <w:rPr>
                <w:sz w:val="16"/>
                <w:szCs w:val="16"/>
              </w:rPr>
              <w:t>0 (Bureau de l’OMPI en Fédération de Russie)</w:t>
            </w:r>
          </w:p>
        </w:tc>
        <w:tc>
          <w:tcPr>
            <w:tcW w:w="567" w:type="pct"/>
            <w:shd w:val="clear" w:color="auto" w:fill="auto"/>
            <w:tcMar>
              <w:top w:w="110" w:type="dxa"/>
              <w:left w:w="57" w:type="dxa"/>
              <w:bottom w:w="57" w:type="dxa"/>
              <w:right w:w="57" w:type="dxa"/>
            </w:tcMar>
          </w:tcPr>
          <w:p w14:paraId="1A0BBF10" w14:textId="77777777" w:rsidR="00BC78D9" w:rsidRPr="00BC78D9" w:rsidRDefault="00BC78D9" w:rsidP="006A627E">
            <w:pPr>
              <w:keepNext/>
              <w:keepLines/>
              <w:suppressLineNumbers/>
              <w:suppressAutoHyphens/>
              <w:jc w:val="center"/>
              <w:rPr>
                <w:b/>
                <w:sz w:val="16"/>
                <w:szCs w:val="16"/>
              </w:rPr>
            </w:pPr>
            <w:r w:rsidRPr="00BC78D9">
              <w:rPr>
                <w:b/>
                <w:color w:val="FF0000"/>
                <w:sz w:val="16"/>
                <w:szCs w:val="16"/>
              </w:rPr>
              <w:t>Pas en bonne voie</w:t>
            </w:r>
          </w:p>
        </w:tc>
      </w:tr>
      <w:tr w:rsidR="00BC78D9" w:rsidRPr="00BC78D9" w14:paraId="59C85C86" w14:textId="77777777" w:rsidTr="006A627E">
        <w:trPr>
          <w:cantSplit/>
          <w:trHeight w:val="1195"/>
        </w:trPr>
        <w:tc>
          <w:tcPr>
            <w:tcW w:w="1039" w:type="pct"/>
            <w:gridSpan w:val="2"/>
            <w:shd w:val="clear" w:color="auto" w:fill="auto"/>
            <w:tcMar>
              <w:left w:w="57" w:type="dxa"/>
              <w:bottom w:w="57" w:type="dxa"/>
              <w:right w:w="57" w:type="dxa"/>
            </w:tcMar>
          </w:tcPr>
          <w:p w14:paraId="50C7A60D" w14:textId="77777777" w:rsidR="00BC78D9" w:rsidRPr="00BC78D9" w:rsidRDefault="00BC78D9" w:rsidP="006A627E">
            <w:pPr>
              <w:suppressLineNumbers/>
              <w:suppressAutoHyphens/>
              <w:rPr>
                <w:sz w:val="16"/>
                <w:szCs w:val="16"/>
              </w:rPr>
            </w:pPr>
            <w:r w:rsidRPr="00BC78D9">
              <w:rPr>
                <w:sz w:val="16"/>
                <w:szCs w:val="16"/>
              </w:rPr>
              <w:t>Nombre de demandes déposées selon le système de La Haye</w:t>
            </w:r>
          </w:p>
        </w:tc>
        <w:tc>
          <w:tcPr>
            <w:tcW w:w="1276" w:type="pct"/>
            <w:shd w:val="clear" w:color="auto" w:fill="auto"/>
            <w:tcMar>
              <w:left w:w="57" w:type="dxa"/>
              <w:bottom w:w="57" w:type="dxa"/>
              <w:right w:w="57" w:type="dxa"/>
            </w:tcMar>
          </w:tcPr>
          <w:p w14:paraId="163A3191"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518C5048" w14:textId="77777777" w:rsidR="00BC78D9" w:rsidRPr="00BC78D9" w:rsidRDefault="00BC78D9" w:rsidP="006A627E">
            <w:pPr>
              <w:suppressLineNumbers/>
              <w:suppressAutoHyphens/>
              <w:rPr>
                <w:color w:val="002060"/>
                <w:sz w:val="16"/>
                <w:szCs w:val="16"/>
              </w:rPr>
            </w:pPr>
            <w:r w:rsidRPr="00BC78D9">
              <w:rPr>
                <w:color w:val="002060"/>
                <w:sz w:val="16"/>
                <w:szCs w:val="16"/>
              </w:rPr>
              <w:t>34 (Bureau de l’OMPI à Singapour) (2015) (</w:t>
            </w:r>
            <w:r w:rsidRPr="00BC78D9">
              <w:rPr>
                <w:color w:val="002060"/>
                <w:sz w:val="16"/>
                <w:szCs w:val="16"/>
              </w:rPr>
              <w:noBreakHyphen/>
              <w:t>3%)</w:t>
            </w:r>
            <w:r w:rsidRPr="00BC78D9">
              <w:rPr>
                <w:color w:val="002060"/>
                <w:sz w:val="16"/>
                <w:szCs w:val="16"/>
              </w:rPr>
              <w:br/>
              <w:t>128 (Bureau de l’OMPI au Japon) (2015)</w:t>
            </w:r>
          </w:p>
          <w:p w14:paraId="0EF0B460" w14:textId="77777777" w:rsidR="00BC78D9" w:rsidRPr="00BC78D9" w:rsidRDefault="00BC78D9" w:rsidP="006A627E">
            <w:pPr>
              <w:suppressLineNumbers/>
              <w:suppressAutoHyphens/>
              <w:rPr>
                <w:sz w:val="16"/>
                <w:szCs w:val="16"/>
              </w:rPr>
            </w:pPr>
          </w:p>
          <w:p w14:paraId="43446EA9"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3356348B" w14:textId="77777777" w:rsidR="00BC78D9" w:rsidRPr="00BC78D9" w:rsidRDefault="00BC78D9" w:rsidP="006A627E">
            <w:pPr>
              <w:suppressLineNumbers/>
              <w:suppressAutoHyphens/>
              <w:rPr>
                <w:sz w:val="16"/>
                <w:szCs w:val="16"/>
              </w:rPr>
            </w:pPr>
            <w:r w:rsidRPr="00BC78D9">
              <w:rPr>
                <w:sz w:val="16"/>
                <w:szCs w:val="16"/>
              </w:rPr>
              <w:t>50 (Bureau de l’OMPI à Singapour) (2014)</w:t>
            </w:r>
            <w:r w:rsidRPr="00BC78D9">
              <w:rPr>
                <w:sz w:val="16"/>
                <w:szCs w:val="16"/>
              </w:rPr>
              <w:br/>
              <w:t>0 (Bureau de l’OMPI au Japon) (2014)</w:t>
            </w:r>
          </w:p>
        </w:tc>
        <w:tc>
          <w:tcPr>
            <w:tcW w:w="835" w:type="pct"/>
            <w:gridSpan w:val="3"/>
            <w:shd w:val="clear" w:color="auto" w:fill="auto"/>
            <w:tcMar>
              <w:top w:w="110" w:type="dxa"/>
              <w:left w:w="57" w:type="dxa"/>
              <w:bottom w:w="57" w:type="dxa"/>
              <w:right w:w="57" w:type="dxa"/>
            </w:tcMar>
          </w:tcPr>
          <w:p w14:paraId="0D2A8899" w14:textId="77777777" w:rsidR="00BC78D9" w:rsidRPr="00BC78D9" w:rsidRDefault="00BC78D9" w:rsidP="006A627E">
            <w:pPr>
              <w:suppressLineNumbers/>
              <w:suppressAutoHyphens/>
              <w:rPr>
                <w:sz w:val="16"/>
                <w:szCs w:val="16"/>
              </w:rPr>
            </w:pPr>
            <w:r w:rsidRPr="00BC78D9">
              <w:rPr>
                <w:sz w:val="16"/>
                <w:szCs w:val="16"/>
              </w:rPr>
              <w:t>Une croissance annuelle de 2%</w:t>
            </w:r>
          </w:p>
        </w:tc>
        <w:tc>
          <w:tcPr>
            <w:tcW w:w="1283" w:type="pct"/>
            <w:gridSpan w:val="2"/>
            <w:shd w:val="clear" w:color="auto" w:fill="FFFFFF"/>
            <w:tcMar>
              <w:top w:w="110" w:type="dxa"/>
              <w:left w:w="57" w:type="dxa"/>
              <w:bottom w:w="57" w:type="dxa"/>
              <w:right w:w="57" w:type="dxa"/>
            </w:tcMar>
          </w:tcPr>
          <w:p w14:paraId="33C70FBA" w14:textId="77777777" w:rsidR="00BC78D9" w:rsidRPr="00BC78D9" w:rsidRDefault="00BC78D9" w:rsidP="006A627E">
            <w:pPr>
              <w:suppressLineNumbers/>
              <w:suppressAutoHyphens/>
              <w:rPr>
                <w:sz w:val="16"/>
                <w:szCs w:val="16"/>
              </w:rPr>
            </w:pPr>
            <w:r w:rsidRPr="00BC78D9">
              <w:rPr>
                <w:sz w:val="16"/>
                <w:szCs w:val="16"/>
              </w:rPr>
              <w:t>348 (Bureau de l’OMPI au Japon) (+172%)</w:t>
            </w:r>
          </w:p>
          <w:p w14:paraId="76B32A9C" w14:textId="77777777" w:rsidR="00BC78D9" w:rsidRPr="00BC78D9" w:rsidRDefault="00BC78D9" w:rsidP="006A627E">
            <w:pPr>
              <w:suppressLineNumbers/>
              <w:suppressAutoHyphens/>
              <w:rPr>
                <w:sz w:val="16"/>
                <w:szCs w:val="16"/>
              </w:rPr>
            </w:pPr>
          </w:p>
          <w:p w14:paraId="52768CEB" w14:textId="77777777" w:rsidR="00BC78D9" w:rsidRPr="00BC78D9" w:rsidRDefault="00BC78D9" w:rsidP="006A627E">
            <w:pPr>
              <w:suppressLineNumbers/>
              <w:suppressAutoHyphens/>
              <w:rPr>
                <w:sz w:val="16"/>
                <w:szCs w:val="16"/>
              </w:rPr>
            </w:pPr>
            <w:r w:rsidRPr="00BC78D9">
              <w:rPr>
                <w:sz w:val="16"/>
                <w:szCs w:val="16"/>
              </w:rPr>
              <w:t>50 (Bureau de l’OMPI à Singapour) (+4,7%)</w:t>
            </w:r>
          </w:p>
        </w:tc>
        <w:tc>
          <w:tcPr>
            <w:tcW w:w="567" w:type="pct"/>
            <w:shd w:val="clear" w:color="auto" w:fill="auto"/>
            <w:tcMar>
              <w:top w:w="110" w:type="dxa"/>
              <w:left w:w="57" w:type="dxa"/>
              <w:bottom w:w="57" w:type="dxa"/>
              <w:right w:w="57" w:type="dxa"/>
            </w:tcMar>
          </w:tcPr>
          <w:p w14:paraId="29090317" w14:textId="77777777" w:rsidR="00BC78D9" w:rsidRPr="00BC78D9" w:rsidRDefault="00BC78D9" w:rsidP="006A627E">
            <w:pPr>
              <w:suppressLineNumbers/>
              <w:suppressAutoHyphens/>
              <w:jc w:val="center"/>
              <w:rPr>
                <w:sz w:val="16"/>
                <w:szCs w:val="16"/>
              </w:rPr>
            </w:pPr>
            <w:r w:rsidRPr="00BC78D9">
              <w:rPr>
                <w:b/>
                <w:color w:val="00B050"/>
                <w:sz w:val="16"/>
                <w:szCs w:val="16"/>
              </w:rPr>
              <w:t>En bonne voie</w:t>
            </w:r>
          </w:p>
        </w:tc>
      </w:tr>
      <w:tr w:rsidR="00BC78D9" w:rsidRPr="00BC78D9" w14:paraId="17DCA116" w14:textId="77777777" w:rsidTr="006A627E">
        <w:trPr>
          <w:cantSplit/>
          <w:trHeight w:val="1690"/>
        </w:trPr>
        <w:tc>
          <w:tcPr>
            <w:tcW w:w="1039" w:type="pct"/>
            <w:gridSpan w:val="2"/>
            <w:shd w:val="clear" w:color="auto" w:fill="auto"/>
            <w:tcMar>
              <w:left w:w="57" w:type="dxa"/>
              <w:bottom w:w="57" w:type="dxa"/>
              <w:right w:w="57" w:type="dxa"/>
            </w:tcMar>
          </w:tcPr>
          <w:p w14:paraId="76927258" w14:textId="77777777" w:rsidR="00BC78D9" w:rsidRPr="00BC78D9" w:rsidRDefault="00BC78D9" w:rsidP="006A627E">
            <w:pPr>
              <w:suppressLineNumbers/>
              <w:suppressAutoHyphens/>
              <w:rPr>
                <w:sz w:val="16"/>
                <w:szCs w:val="16"/>
              </w:rPr>
            </w:pPr>
            <w:r w:rsidRPr="00BC78D9">
              <w:rPr>
                <w:sz w:val="16"/>
                <w:szCs w:val="16"/>
              </w:rPr>
              <w:t>Pourcentage de décideurs, de fonctionnaires gouvernementaux, de spécialistes de la propriété intellectuelle et de participants de séminaires ciblés ayant une meilleure connaissance du système de La Haye</w:t>
            </w:r>
          </w:p>
        </w:tc>
        <w:tc>
          <w:tcPr>
            <w:tcW w:w="1279" w:type="pct"/>
            <w:gridSpan w:val="2"/>
            <w:shd w:val="clear" w:color="auto" w:fill="auto"/>
            <w:tcMar>
              <w:left w:w="57" w:type="dxa"/>
              <w:bottom w:w="57" w:type="dxa"/>
              <w:right w:w="57" w:type="dxa"/>
            </w:tcMar>
          </w:tcPr>
          <w:p w14:paraId="6B3988DC"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19445988" w14:textId="77777777" w:rsidR="00BC78D9" w:rsidRPr="00BC78D9" w:rsidRDefault="00BC78D9" w:rsidP="006A627E">
            <w:pPr>
              <w:suppressLineNumbers/>
              <w:suppressAutoHyphens/>
              <w:rPr>
                <w:color w:val="002060"/>
                <w:sz w:val="16"/>
                <w:szCs w:val="16"/>
              </w:rPr>
            </w:pPr>
            <w:r w:rsidRPr="00BC78D9">
              <w:rPr>
                <w:color w:val="002060"/>
                <w:sz w:val="16"/>
                <w:szCs w:val="16"/>
              </w:rPr>
              <w:t>75% (Bureau de l’OMPI au Brésil)</w:t>
            </w:r>
          </w:p>
          <w:p w14:paraId="6E2B88C0" w14:textId="77777777" w:rsidR="00BC78D9" w:rsidRPr="00BC78D9" w:rsidRDefault="00BC78D9" w:rsidP="006A627E">
            <w:pPr>
              <w:suppressLineNumbers/>
              <w:suppressAutoHyphens/>
              <w:rPr>
                <w:color w:val="002060"/>
                <w:sz w:val="16"/>
                <w:szCs w:val="16"/>
              </w:rPr>
            </w:pPr>
            <w:r w:rsidRPr="00BC78D9">
              <w:rPr>
                <w:color w:val="002060"/>
                <w:sz w:val="16"/>
                <w:szCs w:val="16"/>
              </w:rPr>
              <w:t>94% (Bureau de l’OMPI au Japon)</w:t>
            </w:r>
          </w:p>
          <w:p w14:paraId="172A1F7E" w14:textId="77777777" w:rsidR="00BC78D9" w:rsidRPr="00BC78D9" w:rsidRDefault="00BC78D9" w:rsidP="006A627E">
            <w:pPr>
              <w:suppressLineNumbers/>
              <w:suppressAutoHyphens/>
              <w:rPr>
                <w:color w:val="002060"/>
                <w:sz w:val="16"/>
                <w:szCs w:val="16"/>
              </w:rPr>
            </w:pPr>
            <w:r w:rsidRPr="00BC78D9">
              <w:rPr>
                <w:color w:val="002060"/>
                <w:sz w:val="16"/>
                <w:szCs w:val="16"/>
              </w:rPr>
              <w:t>88% (Bureau de l’OMPI à Singapour)</w:t>
            </w:r>
          </w:p>
          <w:p w14:paraId="4606F46C" w14:textId="77777777" w:rsidR="00BC78D9" w:rsidRPr="00BC78D9" w:rsidRDefault="00BC78D9" w:rsidP="006A627E">
            <w:pPr>
              <w:suppressLineNumbers/>
              <w:suppressAutoHyphens/>
              <w:rPr>
                <w:sz w:val="16"/>
                <w:szCs w:val="16"/>
              </w:rPr>
            </w:pPr>
          </w:p>
          <w:p w14:paraId="13DBB04C"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6E071E03" w14:textId="77777777" w:rsidR="00BC78D9" w:rsidRPr="00BC78D9" w:rsidRDefault="00BC78D9" w:rsidP="006A627E">
            <w:pPr>
              <w:suppressLineNumbers/>
              <w:suppressAutoHyphens/>
              <w:rPr>
                <w:sz w:val="16"/>
                <w:szCs w:val="16"/>
              </w:rPr>
            </w:pPr>
            <w:r w:rsidRPr="00BC78D9">
              <w:rPr>
                <w:sz w:val="16"/>
                <w:szCs w:val="16"/>
              </w:rPr>
              <w:t>85% (Bureau de l’OMPI à Singapour)</w:t>
            </w:r>
          </w:p>
          <w:p w14:paraId="22174118" w14:textId="77777777" w:rsidR="00BC78D9" w:rsidRPr="00BC78D9" w:rsidRDefault="00BC78D9" w:rsidP="006A627E">
            <w:pPr>
              <w:suppressLineNumbers/>
              <w:suppressAutoHyphens/>
              <w:rPr>
                <w:sz w:val="16"/>
                <w:szCs w:val="16"/>
              </w:rPr>
            </w:pPr>
            <w:r w:rsidRPr="00BC78D9">
              <w:rPr>
                <w:sz w:val="16"/>
                <w:szCs w:val="16"/>
              </w:rPr>
              <w:t>75% (Bureau de l’OMPI au Brésil)</w:t>
            </w:r>
          </w:p>
          <w:p w14:paraId="7128EDB0" w14:textId="77777777" w:rsidR="00BC78D9" w:rsidRPr="00BC78D9" w:rsidRDefault="00BC78D9" w:rsidP="006A627E">
            <w:pPr>
              <w:suppressLineNumbers/>
              <w:suppressAutoHyphens/>
              <w:spacing w:after="60"/>
              <w:rPr>
                <w:sz w:val="16"/>
                <w:szCs w:val="16"/>
              </w:rPr>
            </w:pPr>
            <w:r w:rsidRPr="00BC78D9">
              <w:rPr>
                <w:sz w:val="16"/>
                <w:szCs w:val="16"/>
              </w:rPr>
              <w:t>94% (Bureau de l’OMPI au Japon)</w:t>
            </w:r>
          </w:p>
        </w:tc>
        <w:tc>
          <w:tcPr>
            <w:tcW w:w="835" w:type="pct"/>
            <w:gridSpan w:val="3"/>
            <w:shd w:val="clear" w:color="auto" w:fill="auto"/>
            <w:tcMar>
              <w:top w:w="110" w:type="dxa"/>
              <w:left w:w="57" w:type="dxa"/>
              <w:bottom w:w="57" w:type="dxa"/>
              <w:right w:w="57" w:type="dxa"/>
            </w:tcMar>
          </w:tcPr>
          <w:p w14:paraId="4A336D13" w14:textId="77777777" w:rsidR="00BC78D9" w:rsidRPr="00BC78D9" w:rsidRDefault="00BC78D9" w:rsidP="006A627E">
            <w:pPr>
              <w:suppressLineNumbers/>
              <w:suppressAutoHyphens/>
              <w:rPr>
                <w:i/>
                <w:color w:val="002060"/>
                <w:sz w:val="16"/>
                <w:szCs w:val="16"/>
              </w:rPr>
            </w:pPr>
            <w:r w:rsidRPr="00BC78D9">
              <w:rPr>
                <w:i/>
                <w:color w:val="002060"/>
                <w:sz w:val="16"/>
                <w:szCs w:val="16"/>
              </w:rPr>
              <w:t>Objectif visé actualisé :</w:t>
            </w:r>
          </w:p>
          <w:p w14:paraId="31EC60B9" w14:textId="77777777" w:rsidR="00BC78D9" w:rsidRPr="00BC78D9" w:rsidRDefault="00BC78D9" w:rsidP="006A627E">
            <w:pPr>
              <w:suppressLineNumbers/>
              <w:suppressAutoHyphens/>
              <w:rPr>
                <w:color w:val="002060"/>
                <w:sz w:val="16"/>
                <w:szCs w:val="16"/>
              </w:rPr>
            </w:pPr>
            <w:r w:rsidRPr="00BC78D9">
              <w:rPr>
                <w:color w:val="002060"/>
                <w:sz w:val="16"/>
                <w:szCs w:val="16"/>
              </w:rPr>
              <w:t>85%</w:t>
            </w:r>
          </w:p>
          <w:p w14:paraId="5447657C" w14:textId="77777777" w:rsidR="00BC78D9" w:rsidRPr="00BC78D9" w:rsidRDefault="00BC78D9" w:rsidP="006A627E">
            <w:pPr>
              <w:suppressLineNumbers/>
              <w:suppressAutoHyphens/>
              <w:rPr>
                <w:sz w:val="16"/>
                <w:szCs w:val="16"/>
              </w:rPr>
            </w:pPr>
          </w:p>
          <w:p w14:paraId="520D1C70" w14:textId="77777777" w:rsidR="00BC78D9" w:rsidRPr="00BC78D9" w:rsidRDefault="00BC78D9" w:rsidP="006A627E">
            <w:pPr>
              <w:suppressLineNumbers/>
              <w:suppressAutoHyphens/>
              <w:rPr>
                <w:i/>
                <w:sz w:val="16"/>
                <w:szCs w:val="16"/>
                <w:lang w:bidi="th-TH"/>
              </w:rPr>
            </w:pPr>
            <w:r w:rsidRPr="00BC78D9">
              <w:rPr>
                <w:i/>
                <w:sz w:val="16"/>
                <w:szCs w:val="16"/>
                <w:lang w:bidi="th-TH"/>
              </w:rPr>
              <w:t>Objectif visé initial dans le programme et budget 2016</w:t>
            </w:r>
            <w:r w:rsidRPr="00BC78D9">
              <w:rPr>
                <w:i/>
                <w:sz w:val="16"/>
                <w:szCs w:val="16"/>
                <w:lang w:bidi="th-TH"/>
              </w:rPr>
              <w:noBreakHyphen/>
              <w:t>2017 :</w:t>
            </w:r>
          </w:p>
          <w:p w14:paraId="5C08DF16" w14:textId="77777777" w:rsidR="00BC78D9" w:rsidRPr="00BC78D9" w:rsidRDefault="00BC78D9" w:rsidP="006A627E">
            <w:pPr>
              <w:suppressLineNumbers/>
              <w:suppressAutoHyphens/>
              <w:rPr>
                <w:sz w:val="16"/>
                <w:szCs w:val="16"/>
              </w:rPr>
            </w:pPr>
            <w:r w:rsidRPr="00BC78D9">
              <w:rPr>
                <w:sz w:val="16"/>
                <w:szCs w:val="16"/>
              </w:rPr>
              <w:t>75%</w:t>
            </w:r>
          </w:p>
        </w:tc>
        <w:tc>
          <w:tcPr>
            <w:tcW w:w="1280" w:type="pct"/>
            <w:shd w:val="clear" w:color="auto" w:fill="FFFFFF"/>
            <w:tcMar>
              <w:top w:w="110" w:type="dxa"/>
              <w:left w:w="57" w:type="dxa"/>
              <w:bottom w:w="57" w:type="dxa"/>
              <w:right w:w="57" w:type="dxa"/>
            </w:tcMar>
          </w:tcPr>
          <w:p w14:paraId="5B632622" w14:textId="77777777" w:rsidR="00BC78D9" w:rsidRPr="00BC78D9" w:rsidRDefault="00BC78D9" w:rsidP="006A627E">
            <w:pPr>
              <w:suppressLineNumbers/>
              <w:suppressAutoHyphens/>
              <w:spacing w:after="60"/>
              <w:rPr>
                <w:sz w:val="16"/>
                <w:szCs w:val="16"/>
              </w:rPr>
            </w:pPr>
            <w:r w:rsidRPr="00BC78D9">
              <w:rPr>
                <w:sz w:val="16"/>
                <w:szCs w:val="16"/>
              </w:rPr>
              <w:t>Aucune donnée disponible (Bureau de l’OMPI au Brésil)</w:t>
            </w:r>
          </w:p>
          <w:p w14:paraId="05BAC9B6" w14:textId="77777777" w:rsidR="00BC78D9" w:rsidRPr="00BC78D9" w:rsidRDefault="00BC78D9" w:rsidP="006A627E">
            <w:pPr>
              <w:suppressLineNumbers/>
              <w:suppressAutoHyphens/>
              <w:rPr>
                <w:sz w:val="16"/>
                <w:szCs w:val="16"/>
              </w:rPr>
            </w:pPr>
          </w:p>
          <w:p w14:paraId="69D8F90C" w14:textId="77777777" w:rsidR="00BC78D9" w:rsidRPr="00BC78D9" w:rsidRDefault="00BC78D9" w:rsidP="006A627E">
            <w:pPr>
              <w:suppressLineNumbers/>
              <w:suppressAutoHyphens/>
              <w:rPr>
                <w:sz w:val="16"/>
                <w:szCs w:val="16"/>
              </w:rPr>
            </w:pPr>
            <w:r w:rsidRPr="00BC78D9">
              <w:rPr>
                <w:sz w:val="16"/>
                <w:szCs w:val="16"/>
              </w:rPr>
              <w:t>62% (Bureau de l’OMPI au Japon)</w:t>
            </w:r>
          </w:p>
          <w:p w14:paraId="43D72876" w14:textId="77777777" w:rsidR="00BC78D9" w:rsidRPr="00BC78D9" w:rsidRDefault="00BC78D9" w:rsidP="006A627E">
            <w:pPr>
              <w:suppressLineNumbers/>
              <w:suppressAutoHyphens/>
              <w:rPr>
                <w:sz w:val="16"/>
                <w:szCs w:val="16"/>
              </w:rPr>
            </w:pPr>
          </w:p>
          <w:p w14:paraId="30380E4F" w14:textId="77777777" w:rsidR="00BC78D9" w:rsidRPr="00BC78D9" w:rsidRDefault="00BC78D9" w:rsidP="006A627E">
            <w:pPr>
              <w:suppressLineNumbers/>
              <w:suppressAutoHyphens/>
              <w:rPr>
                <w:sz w:val="16"/>
                <w:szCs w:val="16"/>
              </w:rPr>
            </w:pPr>
            <w:r w:rsidRPr="00BC78D9">
              <w:rPr>
                <w:sz w:val="16"/>
                <w:szCs w:val="16"/>
              </w:rPr>
              <w:t>86% (Bureau de l’OMPI à Singapour)</w:t>
            </w:r>
          </w:p>
        </w:tc>
        <w:tc>
          <w:tcPr>
            <w:tcW w:w="567" w:type="pct"/>
            <w:shd w:val="clear" w:color="auto" w:fill="auto"/>
            <w:tcMar>
              <w:top w:w="110" w:type="dxa"/>
              <w:left w:w="57" w:type="dxa"/>
              <w:bottom w:w="57" w:type="dxa"/>
              <w:right w:w="57" w:type="dxa"/>
            </w:tcMar>
          </w:tcPr>
          <w:p w14:paraId="7189C590" w14:textId="77777777" w:rsidR="00BC78D9" w:rsidRPr="00BC78D9" w:rsidRDefault="00BC78D9" w:rsidP="006A627E">
            <w:pPr>
              <w:suppressLineNumbers/>
              <w:suppressAutoHyphens/>
              <w:spacing w:after="60"/>
              <w:jc w:val="center"/>
              <w:rPr>
                <w:b/>
                <w:sz w:val="13"/>
                <w:szCs w:val="13"/>
              </w:rPr>
            </w:pPr>
            <w:r w:rsidRPr="00BC78D9">
              <w:rPr>
                <w:b/>
                <w:color w:val="808080"/>
                <w:sz w:val="13"/>
                <w:szCs w:val="13"/>
              </w:rPr>
              <w:t>Non évaluable</w:t>
            </w:r>
          </w:p>
          <w:p w14:paraId="4D6D0F7C" w14:textId="77777777" w:rsidR="00BC78D9" w:rsidRPr="00BC78D9" w:rsidRDefault="00BC78D9" w:rsidP="006A627E">
            <w:pPr>
              <w:suppressLineNumbers/>
              <w:suppressAutoHyphens/>
              <w:spacing w:before="40"/>
              <w:jc w:val="center"/>
              <w:rPr>
                <w:b/>
                <w:color w:val="FF0000"/>
                <w:sz w:val="16"/>
                <w:szCs w:val="16"/>
              </w:rPr>
            </w:pPr>
          </w:p>
          <w:p w14:paraId="6BF7F0B8" w14:textId="77777777" w:rsidR="00BC78D9" w:rsidRPr="00BC78D9" w:rsidRDefault="00BC78D9" w:rsidP="006A627E">
            <w:pPr>
              <w:suppressLineNumbers/>
              <w:suppressAutoHyphens/>
              <w:spacing w:before="40"/>
              <w:jc w:val="center"/>
              <w:rPr>
                <w:b/>
                <w:color w:val="FF0000"/>
                <w:sz w:val="16"/>
                <w:szCs w:val="16"/>
              </w:rPr>
            </w:pPr>
          </w:p>
          <w:p w14:paraId="21DAB988" w14:textId="77777777" w:rsidR="00BC78D9" w:rsidRPr="00BC78D9" w:rsidRDefault="00BC78D9" w:rsidP="006A627E">
            <w:pPr>
              <w:suppressLineNumbers/>
              <w:suppressAutoHyphens/>
              <w:spacing w:before="40"/>
              <w:jc w:val="center"/>
              <w:rPr>
                <w:b/>
                <w:sz w:val="16"/>
                <w:szCs w:val="16"/>
              </w:rPr>
            </w:pPr>
            <w:r w:rsidRPr="00BC78D9">
              <w:rPr>
                <w:b/>
                <w:color w:val="FF0000"/>
                <w:sz w:val="16"/>
                <w:szCs w:val="16"/>
              </w:rPr>
              <w:t>Pas en bonne voie</w:t>
            </w:r>
          </w:p>
          <w:p w14:paraId="5F0C6574" w14:textId="77777777" w:rsidR="00BC78D9" w:rsidRPr="00BC78D9" w:rsidRDefault="00BC78D9" w:rsidP="006A627E">
            <w:pPr>
              <w:suppressLineNumbers/>
              <w:suppressAutoHyphens/>
              <w:jc w:val="center"/>
              <w:rPr>
                <w:b/>
                <w:color w:val="00B050"/>
                <w:sz w:val="16"/>
                <w:szCs w:val="16"/>
              </w:rPr>
            </w:pPr>
          </w:p>
          <w:p w14:paraId="799D052E" w14:textId="77777777" w:rsidR="00BC78D9" w:rsidRPr="00BC78D9" w:rsidRDefault="00BC78D9" w:rsidP="006A627E">
            <w:pPr>
              <w:suppressLineNumbers/>
              <w:suppressAutoHyphens/>
              <w:jc w:val="center"/>
              <w:rPr>
                <w:sz w:val="16"/>
                <w:szCs w:val="16"/>
              </w:rPr>
            </w:pPr>
            <w:r w:rsidRPr="00BC78D9">
              <w:rPr>
                <w:b/>
                <w:color w:val="00B050"/>
                <w:sz w:val="16"/>
                <w:szCs w:val="16"/>
              </w:rPr>
              <w:t>En bonne voie</w:t>
            </w:r>
            <w:r w:rsidRPr="00BC78D9">
              <w:rPr>
                <w:sz w:val="16"/>
                <w:szCs w:val="16"/>
              </w:rPr>
              <w:t xml:space="preserve"> </w:t>
            </w:r>
          </w:p>
        </w:tc>
      </w:tr>
      <w:tr w:rsidR="00BC78D9" w:rsidRPr="00BC78D9" w14:paraId="0F8F05DF" w14:textId="77777777" w:rsidTr="006A627E">
        <w:trPr>
          <w:cantSplit/>
          <w:trHeight w:val="565"/>
        </w:trPr>
        <w:tc>
          <w:tcPr>
            <w:tcW w:w="5000" w:type="pct"/>
            <w:gridSpan w:val="9"/>
            <w:shd w:val="clear" w:color="auto" w:fill="C6D9F1" w:themeFill="text2" w:themeFillTint="33"/>
            <w:tcMar>
              <w:left w:w="57" w:type="dxa"/>
              <w:bottom w:w="57" w:type="dxa"/>
              <w:right w:w="57" w:type="dxa"/>
            </w:tcMar>
            <w:vAlign w:val="center"/>
          </w:tcPr>
          <w:p w14:paraId="061C87B6" w14:textId="77777777" w:rsidR="00BC78D9" w:rsidRPr="00BC78D9" w:rsidRDefault="00BC78D9" w:rsidP="006A627E">
            <w:pPr>
              <w:suppressLineNumbers/>
              <w:suppressAutoHyphens/>
              <w:rPr>
                <w:b/>
                <w:bCs/>
                <w:sz w:val="16"/>
                <w:szCs w:val="16"/>
              </w:rPr>
            </w:pPr>
            <w:r w:rsidRPr="00BC78D9">
              <w:rPr>
                <w:b/>
                <w:bCs/>
                <w:sz w:val="16"/>
                <w:szCs w:val="16"/>
              </w:rPr>
              <w:t xml:space="preserve">Résultat escompté : </w:t>
            </w:r>
            <w:r w:rsidRPr="00BC78D9">
              <w:rPr>
                <w:b/>
                <w:sz w:val="16"/>
              </w:rPr>
              <w:tab/>
            </w:r>
            <w:r w:rsidRPr="00BC78D9">
              <w:rPr>
                <w:bCs/>
                <w:sz w:val="16"/>
                <w:szCs w:val="16"/>
              </w:rPr>
              <w:t>II.6 Utilisation élargie et plus efficace du système de Madrid, notamment par les pays en développement et les PMA</w:t>
            </w:r>
          </w:p>
        </w:tc>
      </w:tr>
      <w:tr w:rsidR="00BC78D9" w:rsidRPr="00BC78D9" w14:paraId="1A7769BD" w14:textId="77777777" w:rsidTr="006A627E">
        <w:trPr>
          <w:cantSplit/>
        </w:trPr>
        <w:tc>
          <w:tcPr>
            <w:tcW w:w="1039" w:type="pct"/>
            <w:gridSpan w:val="2"/>
            <w:shd w:val="clear" w:color="auto" w:fill="auto"/>
            <w:tcMar>
              <w:left w:w="57" w:type="dxa"/>
              <w:bottom w:w="57" w:type="dxa"/>
              <w:right w:w="57" w:type="dxa"/>
            </w:tcMar>
            <w:vAlign w:val="center"/>
          </w:tcPr>
          <w:p w14:paraId="7CE0EAB0" w14:textId="77777777" w:rsidR="00BC78D9" w:rsidRPr="00BC78D9" w:rsidRDefault="00BC78D9" w:rsidP="006A627E">
            <w:pPr>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5B98685C" w14:textId="77777777" w:rsidR="00BC78D9" w:rsidRPr="00BC78D9" w:rsidRDefault="00BC78D9" w:rsidP="006A627E">
            <w:pPr>
              <w:suppressLineNumbers/>
              <w:suppressAutoHyphens/>
              <w:jc w:val="center"/>
              <w:rPr>
                <w:b/>
                <w:bCs/>
                <w:sz w:val="16"/>
                <w:szCs w:val="16"/>
              </w:rPr>
            </w:pPr>
            <w:r w:rsidRPr="00BC78D9">
              <w:rPr>
                <w:b/>
                <w:bCs/>
                <w:sz w:val="16"/>
                <w:szCs w:val="16"/>
              </w:rPr>
              <w:t>Niveaux de référence</w:t>
            </w:r>
          </w:p>
        </w:tc>
        <w:tc>
          <w:tcPr>
            <w:tcW w:w="835" w:type="pct"/>
            <w:gridSpan w:val="3"/>
            <w:shd w:val="clear" w:color="auto" w:fill="auto"/>
            <w:tcMar>
              <w:top w:w="110" w:type="dxa"/>
              <w:left w:w="57" w:type="dxa"/>
              <w:bottom w:w="57" w:type="dxa"/>
              <w:right w:w="57" w:type="dxa"/>
            </w:tcMar>
            <w:vAlign w:val="center"/>
          </w:tcPr>
          <w:p w14:paraId="00E8662C" w14:textId="77777777" w:rsidR="00BC78D9" w:rsidRPr="00BC78D9" w:rsidRDefault="00BC78D9" w:rsidP="006A627E">
            <w:pPr>
              <w:suppressLineNumbers/>
              <w:tabs>
                <w:tab w:val="left" w:pos="290"/>
              </w:tabs>
              <w:suppressAutoHyphens/>
              <w:jc w:val="center"/>
              <w:rPr>
                <w:b/>
                <w:bCs/>
                <w:sz w:val="16"/>
                <w:szCs w:val="16"/>
              </w:rPr>
            </w:pPr>
            <w:r w:rsidRPr="00BC78D9">
              <w:rPr>
                <w:b/>
                <w:bCs/>
                <w:sz w:val="16"/>
                <w:szCs w:val="16"/>
              </w:rPr>
              <w:t>Objectifs visés</w:t>
            </w:r>
          </w:p>
        </w:tc>
        <w:tc>
          <w:tcPr>
            <w:tcW w:w="1283" w:type="pct"/>
            <w:gridSpan w:val="2"/>
            <w:shd w:val="clear" w:color="auto" w:fill="FFFFFF"/>
            <w:tcMar>
              <w:top w:w="110" w:type="dxa"/>
              <w:left w:w="57" w:type="dxa"/>
              <w:bottom w:w="57" w:type="dxa"/>
              <w:right w:w="57" w:type="dxa"/>
            </w:tcMar>
            <w:vAlign w:val="center"/>
          </w:tcPr>
          <w:p w14:paraId="6EA443CE" w14:textId="77777777" w:rsidR="00BC78D9" w:rsidRPr="00BC78D9" w:rsidRDefault="00BC78D9" w:rsidP="006A627E">
            <w:pPr>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2ECA1AEB" w14:textId="77777777" w:rsidR="00BC78D9" w:rsidRPr="00BC78D9" w:rsidRDefault="00BC78D9" w:rsidP="006A627E">
            <w:pPr>
              <w:suppressLineNumbers/>
              <w:suppressAutoHyphens/>
              <w:jc w:val="center"/>
              <w:rPr>
                <w:b/>
                <w:bCs/>
                <w:sz w:val="16"/>
                <w:szCs w:val="16"/>
              </w:rPr>
            </w:pPr>
            <w:r w:rsidRPr="00BC78D9">
              <w:rPr>
                <w:b/>
                <w:bCs/>
                <w:sz w:val="16"/>
                <w:szCs w:val="16"/>
              </w:rPr>
              <w:t>Code d’évaluation</w:t>
            </w:r>
          </w:p>
        </w:tc>
      </w:tr>
      <w:tr w:rsidR="00BC78D9" w:rsidRPr="00BC78D9" w14:paraId="3AF13207" w14:textId="77777777" w:rsidTr="006A627E">
        <w:trPr>
          <w:cantSplit/>
          <w:trHeight w:val="1548"/>
        </w:trPr>
        <w:tc>
          <w:tcPr>
            <w:tcW w:w="1039" w:type="pct"/>
            <w:gridSpan w:val="2"/>
            <w:shd w:val="clear" w:color="auto" w:fill="auto"/>
            <w:tcMar>
              <w:left w:w="57" w:type="dxa"/>
              <w:bottom w:w="57" w:type="dxa"/>
              <w:right w:w="57" w:type="dxa"/>
            </w:tcMar>
          </w:tcPr>
          <w:p w14:paraId="72202C42" w14:textId="77777777" w:rsidR="00BC78D9" w:rsidRPr="00BC78D9" w:rsidRDefault="00BC78D9" w:rsidP="006A627E">
            <w:pPr>
              <w:suppressLineNumbers/>
              <w:suppressAutoHyphens/>
              <w:rPr>
                <w:sz w:val="16"/>
                <w:szCs w:val="16"/>
              </w:rPr>
            </w:pPr>
            <w:r w:rsidRPr="00BC78D9">
              <w:rPr>
                <w:sz w:val="16"/>
                <w:szCs w:val="16"/>
              </w:rPr>
              <w:t>Nombre total des membres du système de Madrid</w:t>
            </w:r>
          </w:p>
        </w:tc>
        <w:tc>
          <w:tcPr>
            <w:tcW w:w="1276" w:type="pct"/>
            <w:shd w:val="clear" w:color="auto" w:fill="auto"/>
            <w:tcMar>
              <w:left w:w="57" w:type="dxa"/>
              <w:bottom w:w="57" w:type="dxa"/>
              <w:right w:w="57" w:type="dxa"/>
            </w:tcMar>
          </w:tcPr>
          <w:p w14:paraId="574ECD72"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052C76CB" w14:textId="77777777" w:rsidR="00BC78D9" w:rsidRPr="00BC78D9" w:rsidRDefault="00BC78D9" w:rsidP="006A627E">
            <w:pPr>
              <w:suppressLineNumbers/>
              <w:suppressAutoHyphens/>
              <w:rPr>
                <w:color w:val="002060"/>
                <w:sz w:val="16"/>
                <w:szCs w:val="16"/>
              </w:rPr>
            </w:pPr>
            <w:r w:rsidRPr="00BC78D9">
              <w:rPr>
                <w:color w:val="002060"/>
                <w:sz w:val="16"/>
                <w:szCs w:val="16"/>
              </w:rPr>
              <w:t>Cambodge, Philippines, République démocratique populaire lao</w:t>
            </w:r>
            <w:r w:rsidRPr="00BC78D9">
              <w:rPr>
                <w:rStyle w:val="FootnoteReference"/>
                <w:rFonts w:cs="Arial"/>
                <w:color w:val="002060"/>
                <w:szCs w:val="16"/>
              </w:rPr>
              <w:footnoteReference w:id="83"/>
            </w:r>
            <w:r w:rsidRPr="00BC78D9">
              <w:rPr>
                <w:color w:val="002060"/>
                <w:sz w:val="16"/>
                <w:szCs w:val="16"/>
              </w:rPr>
              <w:t>, Singapour, Viet Nam (Bureau de l’OMPI à Singapour)</w:t>
            </w:r>
          </w:p>
          <w:p w14:paraId="15D5FE33" w14:textId="77777777" w:rsidR="00BC78D9" w:rsidRPr="00BC78D9" w:rsidRDefault="00BC78D9" w:rsidP="006A627E">
            <w:pPr>
              <w:suppressLineNumbers/>
              <w:suppressAutoHyphens/>
              <w:rPr>
                <w:color w:val="002060"/>
                <w:sz w:val="16"/>
                <w:szCs w:val="16"/>
              </w:rPr>
            </w:pPr>
            <w:r w:rsidRPr="00BC78D9">
              <w:rPr>
                <w:color w:val="002060"/>
                <w:sz w:val="16"/>
                <w:szCs w:val="16"/>
              </w:rPr>
              <w:t>(5 au total)</w:t>
            </w:r>
          </w:p>
          <w:p w14:paraId="4D85A3B2" w14:textId="77777777" w:rsidR="00BC78D9" w:rsidRPr="00BC78D9" w:rsidRDefault="00BC78D9" w:rsidP="006A627E">
            <w:pPr>
              <w:suppressLineNumbers/>
              <w:suppressAutoHyphens/>
              <w:rPr>
                <w:sz w:val="16"/>
                <w:szCs w:val="16"/>
              </w:rPr>
            </w:pPr>
          </w:p>
          <w:p w14:paraId="1AE5D435"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7E0AC859" w14:textId="77777777" w:rsidR="00BC78D9" w:rsidRPr="00BC78D9" w:rsidRDefault="00BC78D9" w:rsidP="006A627E">
            <w:pPr>
              <w:suppressLineNumbers/>
              <w:suppressAutoHyphens/>
              <w:rPr>
                <w:sz w:val="16"/>
                <w:szCs w:val="16"/>
              </w:rPr>
            </w:pPr>
            <w:r w:rsidRPr="00BC78D9">
              <w:rPr>
                <w:sz w:val="16"/>
                <w:szCs w:val="16"/>
              </w:rPr>
              <w:t>4 (Bureau de l’OMPI à Singapour)</w:t>
            </w:r>
          </w:p>
        </w:tc>
        <w:tc>
          <w:tcPr>
            <w:tcW w:w="835" w:type="pct"/>
            <w:gridSpan w:val="3"/>
            <w:shd w:val="clear" w:color="auto" w:fill="auto"/>
            <w:tcMar>
              <w:top w:w="110" w:type="dxa"/>
              <w:left w:w="57" w:type="dxa"/>
              <w:bottom w:w="57" w:type="dxa"/>
              <w:right w:w="57" w:type="dxa"/>
            </w:tcMar>
          </w:tcPr>
          <w:p w14:paraId="7EB4E907" w14:textId="77777777" w:rsidR="00BC78D9" w:rsidRPr="00BC78D9" w:rsidRDefault="00BC78D9" w:rsidP="006A627E">
            <w:pPr>
              <w:suppressLineNumbers/>
              <w:suppressAutoHyphens/>
              <w:rPr>
                <w:sz w:val="16"/>
                <w:szCs w:val="16"/>
              </w:rPr>
            </w:pPr>
            <w:r w:rsidRPr="00BC78D9">
              <w:rPr>
                <w:sz w:val="16"/>
                <w:szCs w:val="16"/>
              </w:rPr>
              <w:t>5 supplémentaires (Bureau de l’OMPI à Singapour)</w:t>
            </w:r>
          </w:p>
        </w:tc>
        <w:tc>
          <w:tcPr>
            <w:tcW w:w="1283" w:type="pct"/>
            <w:gridSpan w:val="2"/>
            <w:shd w:val="clear" w:color="auto" w:fill="FFFFFF"/>
            <w:tcMar>
              <w:top w:w="110" w:type="dxa"/>
              <w:left w:w="57" w:type="dxa"/>
              <w:bottom w:w="57" w:type="dxa"/>
              <w:right w:w="57" w:type="dxa"/>
            </w:tcMar>
          </w:tcPr>
          <w:p w14:paraId="7D5CA48E" w14:textId="77777777" w:rsidR="00BC78D9" w:rsidRPr="00BC78D9" w:rsidRDefault="00BC78D9" w:rsidP="006A627E">
            <w:pPr>
              <w:suppressLineNumbers/>
              <w:suppressAutoHyphens/>
              <w:rPr>
                <w:sz w:val="16"/>
                <w:szCs w:val="16"/>
              </w:rPr>
            </w:pPr>
            <w:r w:rsidRPr="00BC78D9">
              <w:rPr>
                <w:sz w:val="16"/>
                <w:szCs w:val="16"/>
              </w:rPr>
              <w:t>Aucune ratification ou adhésion supplémentaire (Bureau de l’OMPI à Singapour)</w:t>
            </w:r>
          </w:p>
        </w:tc>
        <w:tc>
          <w:tcPr>
            <w:tcW w:w="567" w:type="pct"/>
            <w:shd w:val="clear" w:color="auto" w:fill="auto"/>
            <w:tcMar>
              <w:top w:w="110" w:type="dxa"/>
              <w:left w:w="57" w:type="dxa"/>
              <w:bottom w:w="57" w:type="dxa"/>
              <w:right w:w="57" w:type="dxa"/>
            </w:tcMar>
          </w:tcPr>
          <w:p w14:paraId="6621D4E5" w14:textId="77777777" w:rsidR="00BC78D9" w:rsidRPr="00BC78D9" w:rsidRDefault="00BC78D9" w:rsidP="006A627E">
            <w:pPr>
              <w:suppressLineNumbers/>
              <w:suppressAutoHyphens/>
              <w:jc w:val="center"/>
              <w:rPr>
                <w:sz w:val="16"/>
                <w:szCs w:val="16"/>
              </w:rPr>
            </w:pPr>
            <w:r w:rsidRPr="00BC78D9">
              <w:rPr>
                <w:b/>
                <w:color w:val="FF0000"/>
                <w:sz w:val="16"/>
                <w:szCs w:val="16"/>
              </w:rPr>
              <w:t>Pas en bonne voie</w:t>
            </w:r>
          </w:p>
        </w:tc>
      </w:tr>
      <w:tr w:rsidR="00BC78D9" w:rsidRPr="00BC78D9" w14:paraId="3B4B8B6A" w14:textId="77777777" w:rsidTr="006A627E">
        <w:trPr>
          <w:cantSplit/>
          <w:trHeight w:val="2351"/>
        </w:trPr>
        <w:tc>
          <w:tcPr>
            <w:tcW w:w="1039" w:type="pct"/>
            <w:gridSpan w:val="2"/>
            <w:shd w:val="clear" w:color="auto" w:fill="auto"/>
            <w:tcMar>
              <w:left w:w="57" w:type="dxa"/>
              <w:bottom w:w="57" w:type="dxa"/>
              <w:right w:w="57" w:type="dxa"/>
            </w:tcMar>
          </w:tcPr>
          <w:p w14:paraId="52191267" w14:textId="77777777" w:rsidR="00BC78D9" w:rsidRPr="00BC78D9" w:rsidRDefault="00BC78D9" w:rsidP="006A627E">
            <w:pPr>
              <w:suppressLineNumbers/>
              <w:suppressAutoHyphens/>
              <w:rPr>
                <w:sz w:val="16"/>
                <w:szCs w:val="16"/>
              </w:rPr>
            </w:pPr>
            <w:r w:rsidRPr="00BC78D9">
              <w:rPr>
                <w:sz w:val="16"/>
                <w:szCs w:val="16"/>
              </w:rPr>
              <w:t>Nombre de demandes déposées selon le système de Madrid</w:t>
            </w:r>
          </w:p>
        </w:tc>
        <w:tc>
          <w:tcPr>
            <w:tcW w:w="1276" w:type="pct"/>
            <w:shd w:val="clear" w:color="auto" w:fill="auto"/>
            <w:tcMar>
              <w:left w:w="57" w:type="dxa"/>
              <w:bottom w:w="57" w:type="dxa"/>
              <w:right w:w="57" w:type="dxa"/>
            </w:tcMar>
          </w:tcPr>
          <w:p w14:paraId="26E3EDC9"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1125EEDF" w14:textId="77777777" w:rsidR="00BC78D9" w:rsidRPr="00BC78D9" w:rsidRDefault="00BC78D9" w:rsidP="006A627E">
            <w:pPr>
              <w:suppressLineNumbers/>
              <w:suppressAutoHyphens/>
              <w:rPr>
                <w:color w:val="002060"/>
                <w:sz w:val="16"/>
                <w:szCs w:val="16"/>
              </w:rPr>
            </w:pPr>
            <w:r w:rsidRPr="00BC78D9">
              <w:rPr>
                <w:color w:val="002060"/>
                <w:sz w:val="16"/>
                <w:szCs w:val="16"/>
              </w:rPr>
              <w:t>0 (Bureau de l’OMPI au Brésil)</w:t>
            </w:r>
            <w:r w:rsidRPr="00BC78D9">
              <w:rPr>
                <w:color w:val="002060"/>
                <w:sz w:val="16"/>
                <w:szCs w:val="16"/>
              </w:rPr>
              <w:br/>
              <w:t>2321 (Bureau de l’OMPI en Chine) (+8%)</w:t>
            </w:r>
          </w:p>
          <w:p w14:paraId="774992FC" w14:textId="77777777" w:rsidR="00BC78D9" w:rsidRPr="00BC78D9" w:rsidRDefault="00BC78D9" w:rsidP="006A627E">
            <w:pPr>
              <w:suppressLineNumbers/>
              <w:suppressAutoHyphens/>
              <w:rPr>
                <w:color w:val="002060"/>
                <w:sz w:val="16"/>
                <w:szCs w:val="16"/>
              </w:rPr>
            </w:pPr>
            <w:r w:rsidRPr="00BC78D9">
              <w:rPr>
                <w:color w:val="002060"/>
                <w:sz w:val="16"/>
                <w:szCs w:val="16"/>
              </w:rPr>
              <w:t>2167 (Bureau de l’OMPI au Japon) (+6,6%)</w:t>
            </w:r>
            <w:r w:rsidRPr="00BC78D9">
              <w:rPr>
                <w:color w:val="002060"/>
                <w:sz w:val="16"/>
                <w:szCs w:val="16"/>
              </w:rPr>
              <w:br/>
              <w:t>1059 (Bureau de l’OMPI en Fédération de Russie) (</w:t>
            </w:r>
            <w:r w:rsidRPr="00BC78D9">
              <w:rPr>
                <w:color w:val="002060"/>
                <w:sz w:val="16"/>
                <w:szCs w:val="16"/>
              </w:rPr>
              <w:noBreakHyphen/>
              <w:t>31%)</w:t>
            </w:r>
            <w:r w:rsidRPr="00BC78D9">
              <w:rPr>
                <w:color w:val="002060"/>
                <w:sz w:val="16"/>
                <w:szCs w:val="16"/>
              </w:rPr>
              <w:br/>
              <w:t>509 (Bureau de l’OMPI à Singapour) (+45%)</w:t>
            </w:r>
          </w:p>
          <w:p w14:paraId="5C98D3AB" w14:textId="77777777" w:rsidR="00BC78D9" w:rsidRPr="00BC78D9" w:rsidRDefault="00BC78D9" w:rsidP="006A627E">
            <w:pPr>
              <w:suppressLineNumbers/>
              <w:suppressAutoHyphens/>
              <w:rPr>
                <w:sz w:val="16"/>
                <w:szCs w:val="16"/>
              </w:rPr>
            </w:pPr>
          </w:p>
          <w:p w14:paraId="6DFD265A"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23B545BB" w14:textId="77777777" w:rsidR="00BC78D9" w:rsidRPr="00BC78D9" w:rsidRDefault="00BC78D9" w:rsidP="006A627E">
            <w:pPr>
              <w:suppressLineNumbers/>
              <w:suppressAutoHyphens/>
              <w:spacing w:after="60"/>
              <w:rPr>
                <w:sz w:val="16"/>
                <w:szCs w:val="16"/>
              </w:rPr>
            </w:pPr>
            <w:r w:rsidRPr="00BC78D9">
              <w:rPr>
                <w:sz w:val="16"/>
                <w:szCs w:val="16"/>
              </w:rPr>
              <w:t>351 (Bureau de l’OMPI à Singapour)</w:t>
            </w:r>
            <w:r w:rsidRPr="00BC78D9">
              <w:rPr>
                <w:sz w:val="16"/>
                <w:szCs w:val="16"/>
              </w:rPr>
              <w:br/>
              <w:t>0 (Bureau de l’OMPI au Brésil)</w:t>
            </w:r>
            <w:r w:rsidRPr="00BC78D9">
              <w:rPr>
                <w:sz w:val="16"/>
                <w:szCs w:val="16"/>
              </w:rPr>
              <w:br/>
              <w:t>2033 (Bureau de l’OMPI au Japon)</w:t>
            </w:r>
            <w:r w:rsidRPr="00BC78D9">
              <w:rPr>
                <w:sz w:val="16"/>
                <w:szCs w:val="16"/>
              </w:rPr>
              <w:br/>
              <w:t>1543 (Bureau de l’OMPI en Russie)</w:t>
            </w:r>
            <w:r w:rsidRPr="00BC78D9">
              <w:rPr>
                <w:sz w:val="16"/>
                <w:szCs w:val="16"/>
              </w:rPr>
              <w:br/>
              <w:t>2140 (Bureau de l’OMPI en Chine)</w:t>
            </w:r>
          </w:p>
        </w:tc>
        <w:tc>
          <w:tcPr>
            <w:tcW w:w="835" w:type="pct"/>
            <w:gridSpan w:val="3"/>
            <w:shd w:val="clear" w:color="auto" w:fill="auto"/>
            <w:tcMar>
              <w:top w:w="110" w:type="dxa"/>
              <w:left w:w="57" w:type="dxa"/>
              <w:bottom w:w="57" w:type="dxa"/>
              <w:right w:w="57" w:type="dxa"/>
            </w:tcMar>
          </w:tcPr>
          <w:p w14:paraId="7C40D44C" w14:textId="77777777" w:rsidR="00BC78D9" w:rsidRPr="00BC78D9" w:rsidRDefault="00BC78D9" w:rsidP="006A627E">
            <w:pPr>
              <w:suppressLineNumbers/>
              <w:suppressAutoHyphens/>
              <w:rPr>
                <w:sz w:val="16"/>
                <w:szCs w:val="16"/>
              </w:rPr>
            </w:pPr>
            <w:r w:rsidRPr="00BC78D9">
              <w:rPr>
                <w:sz w:val="16"/>
                <w:szCs w:val="16"/>
              </w:rPr>
              <w:t>Une croissance annuelle de 2% (tous bureaux confondus)</w:t>
            </w:r>
          </w:p>
        </w:tc>
        <w:tc>
          <w:tcPr>
            <w:tcW w:w="1283" w:type="pct"/>
            <w:gridSpan w:val="2"/>
            <w:shd w:val="clear" w:color="auto" w:fill="FFFFFF"/>
            <w:tcMar>
              <w:top w:w="110" w:type="dxa"/>
              <w:left w:w="57" w:type="dxa"/>
              <w:bottom w:w="57" w:type="dxa"/>
              <w:right w:w="57"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878"/>
              <w:gridCol w:w="851"/>
            </w:tblGrid>
            <w:tr w:rsidR="00BC78D9" w:rsidRPr="00BC78D9" w14:paraId="43C5ADE9" w14:textId="77777777" w:rsidTr="006A627E">
              <w:trPr>
                <w:trHeight w:val="247"/>
              </w:trPr>
              <w:tc>
                <w:tcPr>
                  <w:tcW w:w="572" w:type="dxa"/>
                  <w:tcMar>
                    <w:left w:w="43" w:type="dxa"/>
                    <w:right w:w="43" w:type="dxa"/>
                  </w:tcMar>
                </w:tcPr>
                <w:p w14:paraId="5E1D5EBE" w14:textId="77777777" w:rsidR="00BC78D9" w:rsidRPr="00BC78D9" w:rsidRDefault="00BC78D9" w:rsidP="006A627E">
                  <w:pPr>
                    <w:suppressLineNumbers/>
                    <w:suppressAutoHyphens/>
                    <w:jc w:val="right"/>
                    <w:rPr>
                      <w:sz w:val="16"/>
                      <w:szCs w:val="16"/>
                    </w:rPr>
                  </w:pPr>
                  <w:r w:rsidRPr="00BC78D9">
                    <w:rPr>
                      <w:sz w:val="16"/>
                      <w:szCs w:val="16"/>
                    </w:rPr>
                    <w:t>0</w:t>
                  </w:r>
                </w:p>
              </w:tc>
              <w:tc>
                <w:tcPr>
                  <w:tcW w:w="878" w:type="dxa"/>
                  <w:tcMar>
                    <w:left w:w="43" w:type="dxa"/>
                    <w:right w:w="43" w:type="dxa"/>
                  </w:tcMar>
                </w:tcPr>
                <w:p w14:paraId="27C89809" w14:textId="77777777" w:rsidR="00BC78D9" w:rsidRPr="00BC78D9" w:rsidRDefault="00BC78D9" w:rsidP="006A627E">
                  <w:pPr>
                    <w:suppressLineNumbers/>
                    <w:suppressAutoHyphens/>
                    <w:jc w:val="center"/>
                    <w:rPr>
                      <w:sz w:val="16"/>
                      <w:szCs w:val="16"/>
                    </w:rPr>
                  </w:pPr>
                  <w:r w:rsidRPr="00BC78D9">
                    <w:rPr>
                      <w:sz w:val="16"/>
                      <w:szCs w:val="16"/>
                    </w:rPr>
                    <w:t>Bureau de l’OMPI au Brésil</w:t>
                  </w:r>
                </w:p>
              </w:tc>
              <w:tc>
                <w:tcPr>
                  <w:tcW w:w="851" w:type="dxa"/>
                </w:tcPr>
                <w:p w14:paraId="557D5228" w14:textId="77777777" w:rsidR="00BC78D9" w:rsidRPr="00BC78D9" w:rsidRDefault="00BC78D9" w:rsidP="006A627E">
                  <w:pPr>
                    <w:suppressLineNumbers/>
                    <w:suppressAutoHyphens/>
                    <w:jc w:val="center"/>
                    <w:rPr>
                      <w:sz w:val="16"/>
                      <w:szCs w:val="16"/>
                    </w:rPr>
                  </w:pPr>
                </w:p>
              </w:tc>
            </w:tr>
            <w:tr w:rsidR="00BC78D9" w:rsidRPr="00BC78D9" w14:paraId="5923A615" w14:textId="77777777" w:rsidTr="006A627E">
              <w:trPr>
                <w:trHeight w:val="247"/>
              </w:trPr>
              <w:tc>
                <w:tcPr>
                  <w:tcW w:w="572" w:type="dxa"/>
                  <w:tcMar>
                    <w:left w:w="43" w:type="dxa"/>
                    <w:right w:w="43" w:type="dxa"/>
                  </w:tcMar>
                </w:tcPr>
                <w:p w14:paraId="11AD9445" w14:textId="77777777" w:rsidR="00BC78D9" w:rsidRPr="00BC78D9" w:rsidRDefault="00BC78D9" w:rsidP="006A627E">
                  <w:pPr>
                    <w:suppressLineNumbers/>
                    <w:suppressAutoHyphens/>
                    <w:jc w:val="right"/>
                    <w:rPr>
                      <w:sz w:val="16"/>
                      <w:szCs w:val="16"/>
                    </w:rPr>
                  </w:pPr>
                  <w:r w:rsidRPr="00BC78D9">
                    <w:rPr>
                      <w:sz w:val="16"/>
                      <w:szCs w:val="16"/>
                    </w:rPr>
                    <w:t>3014</w:t>
                  </w:r>
                </w:p>
              </w:tc>
              <w:tc>
                <w:tcPr>
                  <w:tcW w:w="878" w:type="dxa"/>
                  <w:tcMar>
                    <w:left w:w="43" w:type="dxa"/>
                    <w:right w:w="43" w:type="dxa"/>
                  </w:tcMar>
                </w:tcPr>
                <w:p w14:paraId="4B1DDFA0" w14:textId="77777777" w:rsidR="00BC78D9" w:rsidRPr="00BC78D9" w:rsidRDefault="00BC78D9" w:rsidP="006A627E">
                  <w:pPr>
                    <w:suppressLineNumbers/>
                    <w:suppressAutoHyphens/>
                    <w:jc w:val="center"/>
                    <w:rPr>
                      <w:sz w:val="16"/>
                      <w:szCs w:val="16"/>
                    </w:rPr>
                  </w:pPr>
                  <w:r w:rsidRPr="00BC78D9">
                    <w:rPr>
                      <w:sz w:val="16"/>
                      <w:szCs w:val="16"/>
                    </w:rPr>
                    <w:t>Bureau de l’OMPI en Chine</w:t>
                  </w:r>
                </w:p>
              </w:tc>
              <w:tc>
                <w:tcPr>
                  <w:tcW w:w="851" w:type="dxa"/>
                </w:tcPr>
                <w:p w14:paraId="5418DEAE" w14:textId="77777777" w:rsidR="00BC78D9" w:rsidRPr="00BC78D9" w:rsidRDefault="00BC78D9" w:rsidP="006A627E">
                  <w:pPr>
                    <w:suppressLineNumbers/>
                    <w:suppressAutoHyphens/>
                    <w:rPr>
                      <w:sz w:val="16"/>
                      <w:szCs w:val="16"/>
                    </w:rPr>
                  </w:pPr>
                  <w:r w:rsidRPr="00BC78D9">
                    <w:rPr>
                      <w:sz w:val="16"/>
                      <w:szCs w:val="16"/>
                    </w:rPr>
                    <w:t>+31%</w:t>
                  </w:r>
                </w:p>
              </w:tc>
            </w:tr>
            <w:tr w:rsidR="00BC78D9" w:rsidRPr="00BC78D9" w14:paraId="6A3F472F" w14:textId="77777777" w:rsidTr="006A627E">
              <w:trPr>
                <w:trHeight w:val="247"/>
              </w:trPr>
              <w:tc>
                <w:tcPr>
                  <w:tcW w:w="572" w:type="dxa"/>
                  <w:tcMar>
                    <w:left w:w="43" w:type="dxa"/>
                    <w:right w:w="43" w:type="dxa"/>
                  </w:tcMar>
                </w:tcPr>
                <w:p w14:paraId="47A74A8C" w14:textId="77777777" w:rsidR="00BC78D9" w:rsidRPr="00BC78D9" w:rsidRDefault="00BC78D9" w:rsidP="006A627E">
                  <w:pPr>
                    <w:suppressLineNumbers/>
                    <w:suppressAutoHyphens/>
                    <w:jc w:val="right"/>
                    <w:rPr>
                      <w:sz w:val="16"/>
                      <w:szCs w:val="16"/>
                    </w:rPr>
                  </w:pPr>
                  <w:r w:rsidRPr="00BC78D9">
                    <w:rPr>
                      <w:sz w:val="16"/>
                      <w:szCs w:val="16"/>
                    </w:rPr>
                    <w:t>2281</w:t>
                  </w:r>
                </w:p>
              </w:tc>
              <w:tc>
                <w:tcPr>
                  <w:tcW w:w="878" w:type="dxa"/>
                  <w:tcMar>
                    <w:left w:w="43" w:type="dxa"/>
                    <w:right w:w="43" w:type="dxa"/>
                  </w:tcMar>
                </w:tcPr>
                <w:p w14:paraId="77E3AB4E" w14:textId="77777777" w:rsidR="00BC78D9" w:rsidRPr="00BC78D9" w:rsidRDefault="00BC78D9" w:rsidP="006A627E">
                  <w:pPr>
                    <w:suppressLineNumbers/>
                    <w:suppressAutoHyphens/>
                    <w:jc w:val="center"/>
                    <w:rPr>
                      <w:sz w:val="16"/>
                      <w:szCs w:val="16"/>
                    </w:rPr>
                  </w:pPr>
                  <w:r w:rsidRPr="00BC78D9">
                    <w:rPr>
                      <w:sz w:val="16"/>
                      <w:szCs w:val="16"/>
                    </w:rPr>
                    <w:t>Bureau de l’OMPI au Japon</w:t>
                  </w:r>
                </w:p>
              </w:tc>
              <w:tc>
                <w:tcPr>
                  <w:tcW w:w="851" w:type="dxa"/>
                </w:tcPr>
                <w:p w14:paraId="742FD65B" w14:textId="77777777" w:rsidR="00BC78D9" w:rsidRPr="00BC78D9" w:rsidRDefault="00BC78D9" w:rsidP="006A627E">
                  <w:pPr>
                    <w:suppressLineNumbers/>
                    <w:suppressAutoHyphens/>
                    <w:rPr>
                      <w:sz w:val="16"/>
                      <w:szCs w:val="16"/>
                    </w:rPr>
                  </w:pPr>
                  <w:r w:rsidRPr="00BC78D9">
                    <w:rPr>
                      <w:sz w:val="16"/>
                      <w:szCs w:val="16"/>
                    </w:rPr>
                    <w:t>+5,3%</w:t>
                  </w:r>
                </w:p>
              </w:tc>
            </w:tr>
            <w:tr w:rsidR="00BC78D9" w:rsidRPr="00BC78D9" w14:paraId="70BC3730" w14:textId="77777777" w:rsidTr="006A627E">
              <w:trPr>
                <w:trHeight w:val="247"/>
              </w:trPr>
              <w:tc>
                <w:tcPr>
                  <w:tcW w:w="572" w:type="dxa"/>
                  <w:tcMar>
                    <w:left w:w="43" w:type="dxa"/>
                    <w:right w:w="43" w:type="dxa"/>
                  </w:tcMar>
                </w:tcPr>
                <w:p w14:paraId="189AC618" w14:textId="77777777" w:rsidR="00BC78D9" w:rsidRPr="00BC78D9" w:rsidRDefault="00BC78D9" w:rsidP="006A627E">
                  <w:pPr>
                    <w:suppressLineNumbers/>
                    <w:suppressAutoHyphens/>
                    <w:jc w:val="right"/>
                    <w:rPr>
                      <w:sz w:val="16"/>
                      <w:szCs w:val="16"/>
                    </w:rPr>
                  </w:pPr>
                  <w:r w:rsidRPr="00BC78D9">
                    <w:rPr>
                      <w:sz w:val="16"/>
                      <w:szCs w:val="16"/>
                    </w:rPr>
                    <w:t>1255</w:t>
                  </w:r>
                </w:p>
              </w:tc>
              <w:tc>
                <w:tcPr>
                  <w:tcW w:w="878" w:type="dxa"/>
                  <w:tcMar>
                    <w:left w:w="43" w:type="dxa"/>
                    <w:right w:w="43" w:type="dxa"/>
                  </w:tcMar>
                </w:tcPr>
                <w:p w14:paraId="04AE4F67" w14:textId="77777777" w:rsidR="00BC78D9" w:rsidRPr="00BC78D9" w:rsidRDefault="00BC78D9" w:rsidP="006A627E">
                  <w:pPr>
                    <w:suppressLineNumbers/>
                    <w:suppressAutoHyphens/>
                    <w:jc w:val="center"/>
                    <w:rPr>
                      <w:sz w:val="16"/>
                      <w:szCs w:val="16"/>
                    </w:rPr>
                  </w:pPr>
                  <w:r w:rsidRPr="00BC78D9">
                    <w:rPr>
                      <w:sz w:val="16"/>
                      <w:szCs w:val="16"/>
                    </w:rPr>
                    <w:t>Bureau de l’OMPI en Fédération de Russie</w:t>
                  </w:r>
                </w:p>
              </w:tc>
              <w:tc>
                <w:tcPr>
                  <w:tcW w:w="851" w:type="dxa"/>
                </w:tcPr>
                <w:p w14:paraId="2E28DD3D" w14:textId="77777777" w:rsidR="00BC78D9" w:rsidRPr="00BC78D9" w:rsidRDefault="00BC78D9" w:rsidP="006A627E">
                  <w:pPr>
                    <w:suppressLineNumbers/>
                    <w:suppressAutoHyphens/>
                    <w:rPr>
                      <w:sz w:val="16"/>
                      <w:szCs w:val="16"/>
                    </w:rPr>
                  </w:pPr>
                  <w:r w:rsidRPr="00BC78D9">
                    <w:rPr>
                      <w:sz w:val="16"/>
                      <w:szCs w:val="16"/>
                    </w:rPr>
                    <w:t>+18,5%</w:t>
                  </w:r>
                </w:p>
              </w:tc>
            </w:tr>
            <w:tr w:rsidR="00BC78D9" w:rsidRPr="00BC78D9" w14:paraId="42530CAD" w14:textId="77777777" w:rsidTr="006A627E">
              <w:trPr>
                <w:trHeight w:val="264"/>
              </w:trPr>
              <w:tc>
                <w:tcPr>
                  <w:tcW w:w="572" w:type="dxa"/>
                  <w:tcMar>
                    <w:left w:w="43" w:type="dxa"/>
                    <w:right w:w="43" w:type="dxa"/>
                  </w:tcMar>
                </w:tcPr>
                <w:p w14:paraId="7F9E17F5" w14:textId="77777777" w:rsidR="00BC78D9" w:rsidRPr="00BC78D9" w:rsidRDefault="00BC78D9" w:rsidP="006A627E">
                  <w:pPr>
                    <w:suppressLineNumbers/>
                    <w:suppressAutoHyphens/>
                    <w:jc w:val="right"/>
                    <w:rPr>
                      <w:sz w:val="16"/>
                      <w:szCs w:val="16"/>
                    </w:rPr>
                  </w:pPr>
                  <w:r w:rsidRPr="00BC78D9">
                    <w:rPr>
                      <w:sz w:val="16"/>
                      <w:szCs w:val="16"/>
                    </w:rPr>
                    <w:t>614</w:t>
                  </w:r>
                </w:p>
              </w:tc>
              <w:tc>
                <w:tcPr>
                  <w:tcW w:w="878" w:type="dxa"/>
                  <w:tcMar>
                    <w:left w:w="43" w:type="dxa"/>
                    <w:right w:w="43" w:type="dxa"/>
                  </w:tcMar>
                </w:tcPr>
                <w:p w14:paraId="6F0A0504" w14:textId="77777777" w:rsidR="00BC78D9" w:rsidRPr="00BC78D9" w:rsidRDefault="00BC78D9" w:rsidP="006A627E">
                  <w:pPr>
                    <w:suppressLineNumbers/>
                    <w:suppressAutoHyphens/>
                    <w:jc w:val="center"/>
                    <w:rPr>
                      <w:sz w:val="16"/>
                      <w:szCs w:val="16"/>
                    </w:rPr>
                  </w:pPr>
                  <w:r w:rsidRPr="00BC78D9">
                    <w:rPr>
                      <w:sz w:val="16"/>
                      <w:szCs w:val="16"/>
                    </w:rPr>
                    <w:t>Bureau de l’OMPI à Singapour</w:t>
                  </w:r>
                </w:p>
              </w:tc>
              <w:tc>
                <w:tcPr>
                  <w:tcW w:w="851" w:type="dxa"/>
                </w:tcPr>
                <w:p w14:paraId="6E6F63C2" w14:textId="77777777" w:rsidR="00BC78D9" w:rsidRPr="00BC78D9" w:rsidRDefault="00BC78D9" w:rsidP="006A627E">
                  <w:pPr>
                    <w:suppressLineNumbers/>
                    <w:suppressAutoHyphens/>
                    <w:rPr>
                      <w:sz w:val="16"/>
                      <w:szCs w:val="16"/>
                    </w:rPr>
                  </w:pPr>
                  <w:r w:rsidRPr="00BC78D9">
                    <w:rPr>
                      <w:sz w:val="16"/>
                      <w:szCs w:val="16"/>
                    </w:rPr>
                    <w:t>+20%</w:t>
                  </w:r>
                </w:p>
              </w:tc>
            </w:tr>
          </w:tbl>
          <w:p w14:paraId="071A24CA" w14:textId="77777777" w:rsidR="00BC78D9" w:rsidRPr="00BC78D9" w:rsidRDefault="00BC78D9" w:rsidP="006A627E">
            <w:pPr>
              <w:suppressLineNumbers/>
              <w:suppressAutoHyphens/>
              <w:rPr>
                <w:sz w:val="16"/>
                <w:szCs w:val="16"/>
              </w:rPr>
            </w:pPr>
          </w:p>
        </w:tc>
        <w:tc>
          <w:tcPr>
            <w:tcW w:w="567" w:type="pct"/>
            <w:shd w:val="clear" w:color="auto" w:fill="auto"/>
            <w:tcMar>
              <w:top w:w="110" w:type="dxa"/>
              <w:left w:w="57" w:type="dxa"/>
              <w:bottom w:w="57" w:type="dxa"/>
              <w:right w:w="57" w:type="dxa"/>
            </w:tcMar>
          </w:tcPr>
          <w:p w14:paraId="110207FE" w14:textId="77777777" w:rsidR="00BC78D9" w:rsidRPr="00BC78D9" w:rsidRDefault="00BC78D9" w:rsidP="006A627E">
            <w:pPr>
              <w:suppressLineNumbers/>
              <w:suppressAutoHyphens/>
              <w:jc w:val="center"/>
              <w:rPr>
                <w:b/>
                <w:sz w:val="13"/>
                <w:szCs w:val="13"/>
              </w:rPr>
            </w:pPr>
            <w:r w:rsidRPr="00BC78D9">
              <w:rPr>
                <w:b/>
                <w:color w:val="808080"/>
                <w:sz w:val="13"/>
                <w:szCs w:val="13"/>
              </w:rPr>
              <w:t>Non évaluable</w:t>
            </w:r>
          </w:p>
          <w:tbl>
            <w:tblPr>
              <w:tblStyle w:val="TableGrid"/>
              <w:tblpPr w:leftFromText="141" w:rightFromText="141" w:vertAnchor="page" w:horzAnchor="margin" w:tblpY="498"/>
              <w:tblOverlap w:val="never"/>
              <w:tblW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8"/>
            </w:tblGrid>
            <w:tr w:rsidR="00BC78D9" w:rsidRPr="00BC78D9" w14:paraId="18322EB8" w14:textId="77777777" w:rsidTr="006A627E">
              <w:trPr>
                <w:trHeight w:val="569"/>
              </w:trPr>
              <w:tc>
                <w:tcPr>
                  <w:tcW w:w="1038" w:type="dxa"/>
                  <w:vAlign w:val="center"/>
                </w:tcPr>
                <w:p w14:paraId="15F94E01" w14:textId="77777777" w:rsidR="00BC78D9" w:rsidRPr="00BC78D9" w:rsidRDefault="00BC78D9" w:rsidP="006A627E">
                  <w:pPr>
                    <w:suppressLineNumbers/>
                    <w:suppressAutoHyphens/>
                    <w:jc w:val="center"/>
                    <w:rPr>
                      <w:b/>
                      <w:sz w:val="16"/>
                      <w:szCs w:val="16"/>
                    </w:rPr>
                  </w:pPr>
                  <w:r w:rsidRPr="00BC78D9">
                    <w:rPr>
                      <w:b/>
                      <w:color w:val="00B050"/>
                      <w:sz w:val="16"/>
                      <w:szCs w:val="16"/>
                    </w:rPr>
                    <w:t>En bonne voie</w:t>
                  </w:r>
                </w:p>
              </w:tc>
            </w:tr>
            <w:tr w:rsidR="00BC78D9" w:rsidRPr="00BC78D9" w14:paraId="50D6A352" w14:textId="77777777" w:rsidTr="006A627E">
              <w:trPr>
                <w:trHeight w:val="569"/>
              </w:trPr>
              <w:tc>
                <w:tcPr>
                  <w:tcW w:w="1038" w:type="dxa"/>
                  <w:vAlign w:val="center"/>
                </w:tcPr>
                <w:p w14:paraId="5836FEB7" w14:textId="77777777" w:rsidR="00BC78D9" w:rsidRPr="00BC78D9" w:rsidRDefault="00BC78D9" w:rsidP="006A627E">
                  <w:pPr>
                    <w:jc w:val="center"/>
                  </w:pPr>
                  <w:r w:rsidRPr="00BC78D9">
                    <w:rPr>
                      <w:b/>
                      <w:color w:val="00B050"/>
                      <w:sz w:val="16"/>
                      <w:szCs w:val="16"/>
                    </w:rPr>
                    <w:t>En bonne voie</w:t>
                  </w:r>
                </w:p>
              </w:tc>
            </w:tr>
            <w:tr w:rsidR="00BC78D9" w:rsidRPr="00BC78D9" w14:paraId="3D803FB1" w14:textId="77777777" w:rsidTr="006A627E">
              <w:trPr>
                <w:trHeight w:val="705"/>
              </w:trPr>
              <w:tc>
                <w:tcPr>
                  <w:tcW w:w="1038" w:type="dxa"/>
                  <w:vAlign w:val="center"/>
                </w:tcPr>
                <w:p w14:paraId="55446FC2" w14:textId="77777777" w:rsidR="00BC78D9" w:rsidRPr="00BC78D9" w:rsidRDefault="00BC78D9" w:rsidP="006A627E">
                  <w:pPr>
                    <w:jc w:val="center"/>
                  </w:pPr>
                  <w:r w:rsidRPr="00BC78D9">
                    <w:rPr>
                      <w:b/>
                      <w:color w:val="00B050"/>
                      <w:sz w:val="16"/>
                      <w:szCs w:val="16"/>
                    </w:rPr>
                    <w:t>En bonne voie</w:t>
                  </w:r>
                </w:p>
              </w:tc>
            </w:tr>
            <w:tr w:rsidR="00BC78D9" w:rsidRPr="00BC78D9" w14:paraId="481421ED" w14:textId="77777777" w:rsidTr="006A627E">
              <w:trPr>
                <w:trHeight w:val="558"/>
              </w:trPr>
              <w:tc>
                <w:tcPr>
                  <w:tcW w:w="1038" w:type="dxa"/>
                  <w:vAlign w:val="center"/>
                </w:tcPr>
                <w:p w14:paraId="7C183773" w14:textId="77777777" w:rsidR="00BC78D9" w:rsidRPr="00BC78D9" w:rsidRDefault="00BC78D9" w:rsidP="006A627E">
                  <w:pPr>
                    <w:jc w:val="center"/>
                  </w:pPr>
                  <w:r w:rsidRPr="00BC78D9">
                    <w:rPr>
                      <w:b/>
                      <w:color w:val="00B050"/>
                      <w:sz w:val="16"/>
                      <w:szCs w:val="16"/>
                    </w:rPr>
                    <w:t>En bonne voie</w:t>
                  </w:r>
                </w:p>
              </w:tc>
            </w:tr>
          </w:tbl>
          <w:p w14:paraId="47665159" w14:textId="77777777" w:rsidR="00BC78D9" w:rsidRPr="00BC78D9" w:rsidRDefault="00BC78D9" w:rsidP="006A627E">
            <w:pPr>
              <w:suppressLineNumbers/>
              <w:suppressAutoHyphens/>
              <w:jc w:val="center"/>
              <w:rPr>
                <w:sz w:val="16"/>
                <w:szCs w:val="16"/>
              </w:rPr>
            </w:pPr>
          </w:p>
        </w:tc>
      </w:tr>
      <w:tr w:rsidR="00BC78D9" w:rsidRPr="00BC78D9" w14:paraId="7703C5A5" w14:textId="77777777" w:rsidTr="006A627E">
        <w:trPr>
          <w:cantSplit/>
          <w:trHeight w:val="1440"/>
        </w:trPr>
        <w:tc>
          <w:tcPr>
            <w:tcW w:w="1039" w:type="pct"/>
            <w:gridSpan w:val="2"/>
            <w:shd w:val="clear" w:color="auto" w:fill="auto"/>
            <w:tcMar>
              <w:left w:w="57" w:type="dxa"/>
              <w:bottom w:w="57" w:type="dxa"/>
              <w:right w:w="57" w:type="dxa"/>
            </w:tcMar>
          </w:tcPr>
          <w:p w14:paraId="5C30314E" w14:textId="77777777" w:rsidR="00BC78D9" w:rsidRPr="00BC78D9" w:rsidRDefault="00BC78D9" w:rsidP="006A627E">
            <w:pPr>
              <w:suppressLineNumbers/>
              <w:suppressAutoHyphens/>
              <w:rPr>
                <w:sz w:val="16"/>
                <w:szCs w:val="16"/>
              </w:rPr>
            </w:pPr>
            <w:r w:rsidRPr="00BC78D9">
              <w:rPr>
                <w:sz w:val="16"/>
                <w:szCs w:val="16"/>
              </w:rPr>
              <w:t>Pourcentage de décideurs, de fonctionnaires gouvernementaux, de spécialistes de la propriété intellectuelle et de participants de séminaires ciblés ayant une meilleure connaissance du système de Madrid</w:t>
            </w:r>
          </w:p>
        </w:tc>
        <w:tc>
          <w:tcPr>
            <w:tcW w:w="1276" w:type="pct"/>
            <w:shd w:val="clear" w:color="auto" w:fill="auto"/>
            <w:tcMar>
              <w:left w:w="57" w:type="dxa"/>
              <w:bottom w:w="57" w:type="dxa"/>
              <w:right w:w="57" w:type="dxa"/>
            </w:tcMar>
          </w:tcPr>
          <w:p w14:paraId="3FE06855"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1F0F6D68" w14:textId="77777777" w:rsidR="00BC78D9" w:rsidRPr="00BC78D9" w:rsidRDefault="00BC78D9" w:rsidP="006A627E">
            <w:pPr>
              <w:suppressLineNumbers/>
              <w:suppressAutoHyphens/>
              <w:rPr>
                <w:color w:val="002060"/>
                <w:sz w:val="16"/>
                <w:szCs w:val="16"/>
              </w:rPr>
            </w:pPr>
            <w:r w:rsidRPr="00BC78D9">
              <w:rPr>
                <w:color w:val="002060"/>
                <w:sz w:val="16"/>
                <w:szCs w:val="16"/>
              </w:rPr>
              <w:t>90% (Bureau de l’OMPI à Singapour)</w:t>
            </w:r>
          </w:p>
          <w:p w14:paraId="2DE4F12B" w14:textId="77777777" w:rsidR="00BC78D9" w:rsidRPr="00BC78D9" w:rsidRDefault="00BC78D9" w:rsidP="006A627E">
            <w:pPr>
              <w:suppressLineNumbers/>
              <w:suppressAutoHyphens/>
              <w:rPr>
                <w:sz w:val="16"/>
                <w:szCs w:val="16"/>
              </w:rPr>
            </w:pPr>
          </w:p>
          <w:p w14:paraId="4304D5EA"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2B8F3CF0" w14:textId="77777777" w:rsidR="00BC78D9" w:rsidRPr="00BC78D9" w:rsidRDefault="00BC78D9" w:rsidP="006A627E">
            <w:pPr>
              <w:suppressLineNumbers/>
              <w:suppressAutoHyphens/>
              <w:rPr>
                <w:sz w:val="16"/>
                <w:szCs w:val="16"/>
              </w:rPr>
            </w:pPr>
            <w:r w:rsidRPr="00BC78D9">
              <w:rPr>
                <w:sz w:val="16"/>
                <w:szCs w:val="16"/>
              </w:rPr>
              <w:t>89% sur la base des retours d’information des participants (Bureau de l’OMPI à Singapour)</w:t>
            </w:r>
          </w:p>
        </w:tc>
        <w:tc>
          <w:tcPr>
            <w:tcW w:w="835" w:type="pct"/>
            <w:gridSpan w:val="3"/>
            <w:shd w:val="clear" w:color="auto" w:fill="auto"/>
            <w:tcMar>
              <w:top w:w="110" w:type="dxa"/>
              <w:left w:w="57" w:type="dxa"/>
              <w:bottom w:w="57" w:type="dxa"/>
              <w:right w:w="57" w:type="dxa"/>
            </w:tcMar>
          </w:tcPr>
          <w:p w14:paraId="31218F3E" w14:textId="77777777" w:rsidR="00BC78D9" w:rsidRPr="00BC78D9" w:rsidRDefault="00BC78D9" w:rsidP="006A627E">
            <w:pPr>
              <w:suppressLineNumbers/>
              <w:suppressAutoHyphens/>
              <w:rPr>
                <w:i/>
                <w:color w:val="002060"/>
                <w:sz w:val="16"/>
                <w:szCs w:val="16"/>
                <w:lang w:bidi="th-TH"/>
              </w:rPr>
            </w:pPr>
            <w:r w:rsidRPr="00BC78D9">
              <w:rPr>
                <w:i/>
                <w:color w:val="002060"/>
                <w:sz w:val="16"/>
                <w:szCs w:val="16"/>
                <w:lang w:bidi="th-TH"/>
              </w:rPr>
              <w:t>Objectif visé actualisé :</w:t>
            </w:r>
          </w:p>
          <w:p w14:paraId="6F80FF02" w14:textId="77777777" w:rsidR="00BC78D9" w:rsidRPr="00BC78D9" w:rsidRDefault="00BC78D9" w:rsidP="006A627E">
            <w:pPr>
              <w:suppressLineNumbers/>
              <w:suppressAutoHyphens/>
              <w:rPr>
                <w:color w:val="002060"/>
                <w:sz w:val="16"/>
                <w:szCs w:val="16"/>
                <w:lang w:bidi="th-TH"/>
              </w:rPr>
            </w:pPr>
            <w:r w:rsidRPr="00BC78D9">
              <w:rPr>
                <w:color w:val="002060"/>
                <w:sz w:val="16"/>
                <w:szCs w:val="16"/>
                <w:lang w:bidi="th-TH"/>
              </w:rPr>
              <w:t>85%</w:t>
            </w:r>
          </w:p>
          <w:p w14:paraId="42C3E67D" w14:textId="77777777" w:rsidR="00BC78D9" w:rsidRPr="00BC78D9" w:rsidRDefault="00BC78D9" w:rsidP="006A627E">
            <w:pPr>
              <w:suppressLineNumbers/>
              <w:suppressAutoHyphens/>
              <w:rPr>
                <w:i/>
                <w:sz w:val="16"/>
                <w:szCs w:val="16"/>
                <w:lang w:bidi="th-TH"/>
              </w:rPr>
            </w:pPr>
          </w:p>
          <w:p w14:paraId="706E1F80" w14:textId="77777777" w:rsidR="00BC78D9" w:rsidRPr="00BC78D9" w:rsidRDefault="00BC78D9" w:rsidP="006A627E">
            <w:pPr>
              <w:suppressLineNumbers/>
              <w:suppressAutoHyphens/>
              <w:rPr>
                <w:i/>
                <w:sz w:val="16"/>
                <w:szCs w:val="16"/>
                <w:lang w:bidi="th-TH"/>
              </w:rPr>
            </w:pPr>
            <w:r w:rsidRPr="00BC78D9">
              <w:rPr>
                <w:i/>
                <w:sz w:val="16"/>
                <w:szCs w:val="16"/>
                <w:lang w:bidi="th-TH"/>
              </w:rPr>
              <w:t>Objectif visé initial dans le programme et budget 2016</w:t>
            </w:r>
            <w:r w:rsidRPr="00BC78D9">
              <w:rPr>
                <w:i/>
                <w:sz w:val="16"/>
                <w:szCs w:val="16"/>
                <w:lang w:bidi="th-TH"/>
              </w:rPr>
              <w:noBreakHyphen/>
              <w:t>2017 :</w:t>
            </w:r>
          </w:p>
          <w:p w14:paraId="4BBB6663" w14:textId="77777777" w:rsidR="00BC78D9" w:rsidRPr="00BC78D9" w:rsidRDefault="00BC78D9" w:rsidP="006A627E">
            <w:pPr>
              <w:suppressLineNumbers/>
              <w:suppressAutoHyphens/>
              <w:rPr>
                <w:sz w:val="16"/>
                <w:szCs w:val="16"/>
              </w:rPr>
            </w:pPr>
            <w:r w:rsidRPr="00BC78D9">
              <w:rPr>
                <w:sz w:val="16"/>
                <w:szCs w:val="16"/>
              </w:rPr>
              <w:t>75%</w:t>
            </w:r>
          </w:p>
        </w:tc>
        <w:tc>
          <w:tcPr>
            <w:tcW w:w="1283" w:type="pct"/>
            <w:gridSpan w:val="2"/>
            <w:shd w:val="clear" w:color="auto" w:fill="FFFFFF"/>
            <w:tcMar>
              <w:top w:w="110" w:type="dxa"/>
              <w:left w:w="57" w:type="dxa"/>
              <w:bottom w:w="57" w:type="dxa"/>
              <w:right w:w="57" w:type="dxa"/>
            </w:tcMar>
          </w:tcPr>
          <w:p w14:paraId="6F53CB97" w14:textId="77777777" w:rsidR="00BC78D9" w:rsidRPr="00BC78D9" w:rsidRDefault="00BC78D9" w:rsidP="006A627E">
            <w:pPr>
              <w:suppressLineNumbers/>
              <w:suppressAutoHyphens/>
              <w:rPr>
                <w:sz w:val="16"/>
                <w:szCs w:val="16"/>
              </w:rPr>
            </w:pPr>
            <w:r w:rsidRPr="00BC78D9">
              <w:rPr>
                <w:sz w:val="16"/>
                <w:szCs w:val="16"/>
              </w:rPr>
              <w:t>86% (Bureau de l’OMPI à Singapour)</w:t>
            </w:r>
          </w:p>
        </w:tc>
        <w:tc>
          <w:tcPr>
            <w:tcW w:w="567" w:type="pct"/>
            <w:shd w:val="clear" w:color="auto" w:fill="auto"/>
            <w:tcMar>
              <w:top w:w="110" w:type="dxa"/>
              <w:left w:w="57" w:type="dxa"/>
              <w:bottom w:w="57" w:type="dxa"/>
              <w:right w:w="57" w:type="dxa"/>
            </w:tcMar>
          </w:tcPr>
          <w:p w14:paraId="7CB641B5" w14:textId="77777777" w:rsidR="00BC78D9" w:rsidRPr="00BC78D9" w:rsidRDefault="00BC78D9" w:rsidP="006A627E">
            <w:pPr>
              <w:suppressLineNumbers/>
              <w:suppressAutoHyphens/>
              <w:jc w:val="center"/>
              <w:rPr>
                <w:sz w:val="16"/>
                <w:szCs w:val="16"/>
              </w:rPr>
            </w:pPr>
            <w:r w:rsidRPr="00BC78D9">
              <w:rPr>
                <w:b/>
                <w:color w:val="00B050"/>
                <w:sz w:val="16"/>
                <w:szCs w:val="16"/>
              </w:rPr>
              <w:t>En bonne voie</w:t>
            </w:r>
            <w:r w:rsidRPr="00BC78D9">
              <w:rPr>
                <w:sz w:val="16"/>
                <w:szCs w:val="16"/>
              </w:rPr>
              <w:t xml:space="preserve"> </w:t>
            </w:r>
          </w:p>
        </w:tc>
      </w:tr>
      <w:tr w:rsidR="00BC78D9" w:rsidRPr="00BC78D9" w14:paraId="45FAA580" w14:textId="77777777" w:rsidTr="006A627E">
        <w:trPr>
          <w:cantSplit/>
          <w:trHeight w:val="648"/>
        </w:trPr>
        <w:tc>
          <w:tcPr>
            <w:tcW w:w="5000" w:type="pct"/>
            <w:gridSpan w:val="9"/>
            <w:shd w:val="clear" w:color="auto" w:fill="C6D9F1" w:themeFill="text2" w:themeFillTint="33"/>
            <w:tcMar>
              <w:left w:w="57" w:type="dxa"/>
              <w:bottom w:w="57" w:type="dxa"/>
              <w:right w:w="57" w:type="dxa"/>
            </w:tcMar>
            <w:vAlign w:val="center"/>
          </w:tcPr>
          <w:p w14:paraId="66C245BF" w14:textId="77777777" w:rsidR="00BC78D9" w:rsidRPr="00BC78D9" w:rsidRDefault="00BC78D9" w:rsidP="006A627E">
            <w:pPr>
              <w:keepNext/>
              <w:keepLines/>
              <w:suppressLineNumbers/>
              <w:tabs>
                <w:tab w:val="left" w:pos="1452"/>
              </w:tabs>
              <w:suppressAutoHyphens/>
              <w:rPr>
                <w:sz w:val="16"/>
                <w:szCs w:val="16"/>
              </w:rPr>
            </w:pPr>
            <w:r w:rsidRPr="00BC78D9">
              <w:rPr>
                <w:b/>
                <w:sz w:val="16"/>
                <w:szCs w:val="16"/>
              </w:rPr>
              <w:t xml:space="preserve">Résultat escompté : </w:t>
            </w:r>
            <w:r w:rsidRPr="00BC78D9">
              <w:rPr>
                <w:b/>
                <w:sz w:val="16"/>
                <w:szCs w:val="16"/>
              </w:rPr>
              <w:tab/>
            </w:r>
            <w:r w:rsidRPr="00BC78D9">
              <w:rPr>
                <w:sz w:val="16"/>
                <w:szCs w:val="16"/>
              </w:rPr>
              <w:t xml:space="preserve">III.2 Mise en valeur des ressources humaines pour répondre aux diverses exigences en matière d’utilisation efficace de la propriété intellectuelle au service du développement dans les pays en développement, les PMA et les pays en transition </w:t>
            </w:r>
          </w:p>
        </w:tc>
      </w:tr>
      <w:tr w:rsidR="00BC78D9" w:rsidRPr="00BC78D9" w14:paraId="1B3CE022" w14:textId="77777777" w:rsidTr="006A627E">
        <w:trPr>
          <w:cantSplit/>
        </w:trPr>
        <w:tc>
          <w:tcPr>
            <w:tcW w:w="1039" w:type="pct"/>
            <w:gridSpan w:val="2"/>
            <w:shd w:val="clear" w:color="auto" w:fill="auto"/>
            <w:tcMar>
              <w:left w:w="57" w:type="dxa"/>
              <w:bottom w:w="57" w:type="dxa"/>
              <w:right w:w="57" w:type="dxa"/>
            </w:tcMar>
            <w:vAlign w:val="center"/>
          </w:tcPr>
          <w:p w14:paraId="3BABF5AB"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4EFC769D"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Niveaux de référence</w:t>
            </w:r>
          </w:p>
        </w:tc>
        <w:tc>
          <w:tcPr>
            <w:tcW w:w="835" w:type="pct"/>
            <w:gridSpan w:val="3"/>
            <w:shd w:val="clear" w:color="auto" w:fill="auto"/>
            <w:tcMar>
              <w:top w:w="110" w:type="dxa"/>
              <w:left w:w="57" w:type="dxa"/>
              <w:bottom w:w="57" w:type="dxa"/>
              <w:right w:w="57" w:type="dxa"/>
            </w:tcMar>
            <w:vAlign w:val="center"/>
          </w:tcPr>
          <w:p w14:paraId="465F488A" w14:textId="77777777" w:rsidR="00BC78D9" w:rsidRPr="00BC78D9" w:rsidRDefault="00BC78D9" w:rsidP="006A627E">
            <w:pPr>
              <w:keepNext/>
              <w:keepLines/>
              <w:suppressLineNumbers/>
              <w:tabs>
                <w:tab w:val="left" w:pos="290"/>
              </w:tabs>
              <w:suppressAutoHyphens/>
              <w:jc w:val="center"/>
              <w:rPr>
                <w:b/>
                <w:bCs/>
                <w:sz w:val="16"/>
                <w:szCs w:val="16"/>
              </w:rPr>
            </w:pPr>
            <w:r w:rsidRPr="00BC78D9">
              <w:rPr>
                <w:b/>
                <w:bCs/>
                <w:sz w:val="16"/>
                <w:szCs w:val="16"/>
              </w:rPr>
              <w:t>Objectifs visés</w:t>
            </w:r>
          </w:p>
        </w:tc>
        <w:tc>
          <w:tcPr>
            <w:tcW w:w="1283" w:type="pct"/>
            <w:gridSpan w:val="2"/>
            <w:shd w:val="clear" w:color="auto" w:fill="FFFFFF"/>
            <w:tcMar>
              <w:top w:w="110" w:type="dxa"/>
              <w:left w:w="57" w:type="dxa"/>
              <w:bottom w:w="57" w:type="dxa"/>
              <w:right w:w="57" w:type="dxa"/>
            </w:tcMar>
            <w:vAlign w:val="center"/>
          </w:tcPr>
          <w:p w14:paraId="506EB85D"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42A3A6A5"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Code d’évaluation</w:t>
            </w:r>
          </w:p>
        </w:tc>
      </w:tr>
      <w:tr w:rsidR="00BC78D9" w:rsidRPr="00BC78D9" w14:paraId="1D103141" w14:textId="77777777" w:rsidTr="006A627E">
        <w:trPr>
          <w:cantSplit/>
          <w:trHeight w:val="20"/>
        </w:trPr>
        <w:tc>
          <w:tcPr>
            <w:tcW w:w="1039" w:type="pct"/>
            <w:gridSpan w:val="2"/>
            <w:shd w:val="clear" w:color="auto" w:fill="auto"/>
            <w:tcMar>
              <w:left w:w="57" w:type="dxa"/>
              <w:bottom w:w="57" w:type="dxa"/>
              <w:right w:w="57" w:type="dxa"/>
            </w:tcMar>
          </w:tcPr>
          <w:p w14:paraId="096F4A2D"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Pourcentage de décideurs, de fonctionnaires gouvernementaux, de spécialistes de la propriété intellectuelle et d’autres groupes cibles, y compris des universités, des organismes de gestion collective et des journalistes, ayant une connaissance approfondie des politiques en matière de propriété intellectuelle et des différents moyens d’utiliser efficacement la propriété intellectuelle au service du développement</w:t>
            </w:r>
          </w:p>
        </w:tc>
        <w:tc>
          <w:tcPr>
            <w:tcW w:w="1276" w:type="pct"/>
            <w:shd w:val="clear" w:color="auto" w:fill="auto"/>
            <w:tcMar>
              <w:left w:w="57" w:type="dxa"/>
              <w:bottom w:w="57" w:type="dxa"/>
              <w:right w:w="57" w:type="dxa"/>
            </w:tcMar>
          </w:tcPr>
          <w:p w14:paraId="0D7D6150"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1E0B000C" w14:textId="77777777" w:rsidR="00BC78D9" w:rsidRPr="00BC78D9" w:rsidRDefault="00BC78D9" w:rsidP="006A627E">
            <w:pPr>
              <w:suppressLineNumbers/>
              <w:suppressAutoHyphens/>
              <w:rPr>
                <w:color w:val="002060"/>
                <w:sz w:val="16"/>
                <w:szCs w:val="16"/>
              </w:rPr>
            </w:pPr>
            <w:r w:rsidRPr="00BC78D9">
              <w:rPr>
                <w:color w:val="002060"/>
                <w:sz w:val="16"/>
                <w:szCs w:val="16"/>
              </w:rPr>
              <w:t>75% (Bureau de l’OMPI au Brésil)</w:t>
            </w:r>
          </w:p>
          <w:p w14:paraId="270D98DD" w14:textId="77777777" w:rsidR="00BC78D9" w:rsidRPr="00BC78D9" w:rsidRDefault="00BC78D9" w:rsidP="006A627E">
            <w:pPr>
              <w:suppressLineNumbers/>
              <w:suppressAutoHyphens/>
              <w:rPr>
                <w:color w:val="002060"/>
                <w:sz w:val="16"/>
                <w:szCs w:val="16"/>
              </w:rPr>
            </w:pPr>
            <w:r w:rsidRPr="00BC78D9">
              <w:rPr>
                <w:color w:val="002060"/>
                <w:sz w:val="16"/>
                <w:szCs w:val="16"/>
              </w:rPr>
              <w:t>100% (Bureau de l’OMPI au Japon)</w:t>
            </w:r>
          </w:p>
          <w:p w14:paraId="4FAE1B38" w14:textId="77777777" w:rsidR="00BC78D9" w:rsidRPr="00BC78D9" w:rsidRDefault="00BC78D9" w:rsidP="006A627E">
            <w:pPr>
              <w:suppressLineNumbers/>
              <w:suppressAutoHyphens/>
              <w:rPr>
                <w:color w:val="002060"/>
                <w:sz w:val="16"/>
                <w:szCs w:val="16"/>
              </w:rPr>
            </w:pPr>
            <w:r w:rsidRPr="00BC78D9">
              <w:rPr>
                <w:color w:val="002060"/>
                <w:sz w:val="16"/>
                <w:szCs w:val="16"/>
              </w:rPr>
              <w:t>100% (Bureau de l’OMPI à Singapour)</w:t>
            </w:r>
          </w:p>
          <w:p w14:paraId="65571160" w14:textId="77777777" w:rsidR="00BC78D9" w:rsidRPr="00BC78D9" w:rsidRDefault="00BC78D9" w:rsidP="006A627E">
            <w:pPr>
              <w:suppressLineNumbers/>
              <w:suppressAutoHyphens/>
              <w:rPr>
                <w:sz w:val="16"/>
                <w:szCs w:val="16"/>
              </w:rPr>
            </w:pPr>
          </w:p>
          <w:p w14:paraId="58428E81"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0C61C3A8" w14:textId="77777777" w:rsidR="00BC78D9" w:rsidRPr="00BC78D9" w:rsidRDefault="00BC78D9" w:rsidP="006A627E">
            <w:pPr>
              <w:pStyle w:val="Default"/>
              <w:suppressLineNumbers/>
              <w:suppressAutoHyphens/>
              <w:spacing w:after="120"/>
              <w:rPr>
                <w:color w:val="auto"/>
                <w:sz w:val="16"/>
                <w:szCs w:val="16"/>
                <w:lang w:val="fr-FR"/>
              </w:rPr>
            </w:pPr>
            <w:r w:rsidRPr="00BC78D9">
              <w:rPr>
                <w:color w:val="auto"/>
                <w:sz w:val="16"/>
                <w:szCs w:val="16"/>
                <w:lang w:val="fr-FR"/>
              </w:rPr>
              <w:t xml:space="preserve">100% des participants sont convenus que les compétences et les connaissances acquises lors du séminaire ont apporté une valeur ajoutée à leur organisation (Bureau de l’OMPI à Singapour) 75% (Bureau de l’OMPI au Brésil) </w:t>
            </w:r>
            <w:proofErr w:type="spellStart"/>
            <w:r w:rsidRPr="00BC78D9">
              <w:rPr>
                <w:color w:val="auto"/>
                <w:sz w:val="16"/>
                <w:szCs w:val="16"/>
                <w:lang w:val="fr-FR"/>
              </w:rPr>
              <w:t>n.d</w:t>
            </w:r>
            <w:proofErr w:type="spellEnd"/>
            <w:r w:rsidRPr="00BC78D9">
              <w:rPr>
                <w:color w:val="auto"/>
                <w:sz w:val="16"/>
                <w:szCs w:val="16"/>
                <w:lang w:val="fr-FR"/>
              </w:rPr>
              <w:t xml:space="preserve">. (en 2014 le Bureau de l’OMPI au Japon n’a pas organisé de séminaire) (Bureau de l’OMPI au Japon) </w:t>
            </w:r>
          </w:p>
        </w:tc>
        <w:tc>
          <w:tcPr>
            <w:tcW w:w="835" w:type="pct"/>
            <w:gridSpan w:val="3"/>
            <w:shd w:val="clear" w:color="auto" w:fill="auto"/>
            <w:tcMar>
              <w:top w:w="110" w:type="dxa"/>
              <w:left w:w="57" w:type="dxa"/>
              <w:bottom w:w="57" w:type="dxa"/>
              <w:right w:w="57" w:type="dxa"/>
            </w:tcMar>
          </w:tcPr>
          <w:p w14:paraId="1D9BC0E0" w14:textId="77777777" w:rsidR="00BC78D9" w:rsidRPr="00BC78D9" w:rsidRDefault="00BC78D9" w:rsidP="006A627E">
            <w:pPr>
              <w:suppressLineNumbers/>
              <w:suppressAutoHyphens/>
              <w:rPr>
                <w:i/>
                <w:color w:val="002060"/>
                <w:sz w:val="16"/>
                <w:szCs w:val="16"/>
                <w:lang w:bidi="th-TH"/>
              </w:rPr>
            </w:pPr>
            <w:r w:rsidRPr="00BC78D9">
              <w:rPr>
                <w:i/>
                <w:color w:val="002060"/>
                <w:sz w:val="16"/>
                <w:szCs w:val="16"/>
                <w:lang w:bidi="th-TH"/>
              </w:rPr>
              <w:t>Objectif visé actualisé :</w:t>
            </w:r>
          </w:p>
          <w:p w14:paraId="7B4317BB" w14:textId="77777777" w:rsidR="00BC78D9" w:rsidRPr="00BC78D9" w:rsidRDefault="00BC78D9" w:rsidP="006A627E">
            <w:pPr>
              <w:suppressLineNumbers/>
              <w:suppressAutoHyphens/>
              <w:rPr>
                <w:color w:val="002060"/>
                <w:sz w:val="16"/>
                <w:szCs w:val="16"/>
                <w:lang w:bidi="th-TH"/>
              </w:rPr>
            </w:pPr>
            <w:r w:rsidRPr="00BC78D9">
              <w:rPr>
                <w:color w:val="002060"/>
                <w:sz w:val="16"/>
                <w:szCs w:val="16"/>
                <w:lang w:bidi="th-TH"/>
              </w:rPr>
              <w:t>85%</w:t>
            </w:r>
          </w:p>
          <w:p w14:paraId="57F25047" w14:textId="77777777" w:rsidR="00BC78D9" w:rsidRPr="00BC78D9" w:rsidRDefault="00BC78D9" w:rsidP="006A627E">
            <w:pPr>
              <w:suppressLineNumbers/>
              <w:suppressAutoHyphens/>
              <w:rPr>
                <w:i/>
                <w:sz w:val="16"/>
                <w:szCs w:val="16"/>
                <w:lang w:bidi="th-TH"/>
              </w:rPr>
            </w:pPr>
          </w:p>
          <w:p w14:paraId="05FE8AA4" w14:textId="77777777" w:rsidR="00BC78D9" w:rsidRPr="00BC78D9" w:rsidRDefault="00BC78D9" w:rsidP="006A627E">
            <w:pPr>
              <w:suppressLineNumbers/>
              <w:suppressAutoHyphens/>
              <w:rPr>
                <w:i/>
                <w:sz w:val="16"/>
                <w:szCs w:val="16"/>
                <w:lang w:bidi="th-TH"/>
              </w:rPr>
            </w:pPr>
            <w:r w:rsidRPr="00BC78D9">
              <w:rPr>
                <w:i/>
                <w:sz w:val="16"/>
                <w:szCs w:val="16"/>
                <w:lang w:bidi="th-TH"/>
              </w:rPr>
              <w:t>Objectif visé initial dans le programme et budget 2016</w:t>
            </w:r>
            <w:r w:rsidRPr="00BC78D9">
              <w:rPr>
                <w:i/>
                <w:sz w:val="16"/>
                <w:szCs w:val="16"/>
                <w:lang w:bidi="th-TH"/>
              </w:rPr>
              <w:noBreakHyphen/>
              <w:t>2017 :</w:t>
            </w:r>
          </w:p>
          <w:p w14:paraId="111956B3" w14:textId="77777777" w:rsidR="00BC78D9" w:rsidRPr="00BC78D9" w:rsidRDefault="00BC78D9" w:rsidP="006A627E">
            <w:pPr>
              <w:pStyle w:val="Default"/>
              <w:suppressLineNumbers/>
              <w:suppressAutoHyphens/>
              <w:rPr>
                <w:color w:val="auto"/>
                <w:lang w:val="fr-FR"/>
              </w:rPr>
            </w:pPr>
            <w:r w:rsidRPr="00BC78D9">
              <w:rPr>
                <w:color w:val="auto"/>
                <w:sz w:val="16"/>
                <w:szCs w:val="16"/>
                <w:lang w:val="fr-FR"/>
              </w:rPr>
              <w:t xml:space="preserve">75% </w:t>
            </w:r>
          </w:p>
        </w:tc>
        <w:tc>
          <w:tcPr>
            <w:tcW w:w="1283" w:type="pct"/>
            <w:gridSpan w:val="2"/>
            <w:shd w:val="clear" w:color="auto" w:fill="FFFFFF"/>
            <w:tcMar>
              <w:top w:w="110" w:type="dxa"/>
              <w:left w:w="57" w:type="dxa"/>
              <w:bottom w:w="57" w:type="dxa"/>
              <w:right w:w="57" w:type="dxa"/>
            </w:tcMar>
          </w:tcPr>
          <w:p w14:paraId="141FCF72" w14:textId="77777777" w:rsidR="00BC78D9" w:rsidRPr="00BC78D9" w:rsidRDefault="00BC78D9" w:rsidP="006A627E">
            <w:pPr>
              <w:suppressLineNumbers/>
              <w:suppressAutoHyphens/>
              <w:rPr>
                <w:sz w:val="16"/>
                <w:szCs w:val="16"/>
              </w:rPr>
            </w:pPr>
            <w:r w:rsidRPr="00BC78D9">
              <w:rPr>
                <w:sz w:val="16"/>
                <w:szCs w:val="16"/>
              </w:rPr>
              <w:t>Données non disponibles (Bureau de l’OMPI au Brésil)</w:t>
            </w:r>
          </w:p>
          <w:p w14:paraId="236607A8" w14:textId="77777777" w:rsidR="00BC78D9" w:rsidRPr="00BC78D9" w:rsidRDefault="00BC78D9" w:rsidP="006A627E">
            <w:pPr>
              <w:suppressLineNumbers/>
              <w:suppressAutoHyphens/>
              <w:rPr>
                <w:sz w:val="16"/>
                <w:szCs w:val="16"/>
              </w:rPr>
            </w:pPr>
          </w:p>
          <w:p w14:paraId="1C407733" w14:textId="77777777" w:rsidR="00BC78D9" w:rsidRPr="00BC78D9" w:rsidRDefault="00BC78D9" w:rsidP="006A627E">
            <w:pPr>
              <w:suppressLineNumbers/>
              <w:suppressAutoHyphens/>
              <w:rPr>
                <w:sz w:val="16"/>
                <w:szCs w:val="16"/>
              </w:rPr>
            </w:pPr>
            <w:r w:rsidRPr="00BC78D9">
              <w:rPr>
                <w:sz w:val="16"/>
                <w:szCs w:val="16"/>
              </w:rPr>
              <w:t>100% (Bureau de l’OMPI au Japon)</w:t>
            </w:r>
          </w:p>
          <w:p w14:paraId="702997B9" w14:textId="77777777" w:rsidR="00BC78D9" w:rsidRPr="00BC78D9" w:rsidRDefault="00BC78D9" w:rsidP="006A627E">
            <w:pPr>
              <w:suppressLineNumbers/>
              <w:suppressAutoHyphens/>
              <w:rPr>
                <w:sz w:val="16"/>
                <w:szCs w:val="16"/>
              </w:rPr>
            </w:pPr>
          </w:p>
          <w:p w14:paraId="06AE76E4" w14:textId="77777777" w:rsidR="00BC78D9" w:rsidRPr="00BC78D9" w:rsidRDefault="00BC78D9" w:rsidP="006A627E">
            <w:pPr>
              <w:suppressLineNumbers/>
              <w:suppressAutoHyphens/>
              <w:rPr>
                <w:sz w:val="16"/>
                <w:szCs w:val="16"/>
              </w:rPr>
            </w:pPr>
            <w:r w:rsidRPr="00BC78D9">
              <w:rPr>
                <w:rFonts w:eastAsia="Calibri"/>
                <w:sz w:val="16"/>
                <w:szCs w:val="16"/>
              </w:rPr>
              <w:t>87% (Bureau de l’OMPI à Singapour)</w:t>
            </w:r>
          </w:p>
        </w:tc>
        <w:tc>
          <w:tcPr>
            <w:tcW w:w="567" w:type="pct"/>
            <w:shd w:val="clear" w:color="auto" w:fill="auto"/>
            <w:tcMar>
              <w:top w:w="110" w:type="dxa"/>
              <w:left w:w="57" w:type="dxa"/>
              <w:bottom w:w="57" w:type="dxa"/>
              <w:right w:w="57" w:type="dxa"/>
            </w:tcMar>
          </w:tcPr>
          <w:p w14:paraId="6E13C4D8" w14:textId="77777777" w:rsidR="00BC78D9" w:rsidRPr="00BC78D9" w:rsidRDefault="00BC78D9" w:rsidP="006A627E">
            <w:pPr>
              <w:suppressLineNumbers/>
              <w:suppressAutoHyphens/>
              <w:jc w:val="center"/>
              <w:rPr>
                <w:b/>
                <w:sz w:val="13"/>
                <w:szCs w:val="13"/>
              </w:rPr>
            </w:pPr>
            <w:r w:rsidRPr="00BC78D9">
              <w:rPr>
                <w:b/>
                <w:color w:val="808080"/>
                <w:sz w:val="13"/>
                <w:szCs w:val="13"/>
              </w:rPr>
              <w:t>Non évaluable</w:t>
            </w:r>
          </w:p>
          <w:p w14:paraId="07737F45" w14:textId="77777777" w:rsidR="00BC78D9" w:rsidRPr="00BC78D9" w:rsidRDefault="00BC78D9" w:rsidP="006A627E">
            <w:pPr>
              <w:suppressLineNumbers/>
              <w:suppressAutoHyphens/>
              <w:jc w:val="center"/>
              <w:rPr>
                <w:b/>
                <w:color w:val="00B050"/>
                <w:sz w:val="16"/>
                <w:szCs w:val="16"/>
              </w:rPr>
            </w:pPr>
          </w:p>
          <w:p w14:paraId="74E623A6" w14:textId="77777777" w:rsidR="00BC78D9" w:rsidRPr="00BC78D9" w:rsidRDefault="00BC78D9" w:rsidP="006A627E">
            <w:pPr>
              <w:suppressLineNumbers/>
              <w:suppressAutoHyphens/>
              <w:jc w:val="center"/>
              <w:rPr>
                <w:b/>
                <w:color w:val="00B050"/>
                <w:sz w:val="16"/>
                <w:szCs w:val="16"/>
              </w:rPr>
            </w:pPr>
          </w:p>
          <w:p w14:paraId="3BF2903D" w14:textId="77777777" w:rsidR="00BC78D9" w:rsidRPr="00BC78D9" w:rsidRDefault="00BC78D9" w:rsidP="006A627E">
            <w:pPr>
              <w:suppressLineNumbers/>
              <w:suppressAutoHyphens/>
              <w:jc w:val="center"/>
              <w:rPr>
                <w:b/>
                <w:sz w:val="16"/>
                <w:szCs w:val="16"/>
              </w:rPr>
            </w:pPr>
            <w:r w:rsidRPr="00BC78D9">
              <w:rPr>
                <w:b/>
                <w:color w:val="00B050"/>
                <w:sz w:val="16"/>
                <w:szCs w:val="16"/>
              </w:rPr>
              <w:t>En bonne voie</w:t>
            </w:r>
          </w:p>
          <w:p w14:paraId="63945497" w14:textId="77777777" w:rsidR="00BC78D9" w:rsidRPr="00BC78D9" w:rsidRDefault="00BC78D9" w:rsidP="006A627E">
            <w:pPr>
              <w:suppressLineNumbers/>
              <w:suppressAutoHyphens/>
              <w:jc w:val="center"/>
              <w:rPr>
                <w:b/>
                <w:color w:val="00B050"/>
                <w:sz w:val="16"/>
                <w:szCs w:val="16"/>
              </w:rPr>
            </w:pPr>
          </w:p>
          <w:p w14:paraId="4C7E1C4A" w14:textId="77777777" w:rsidR="00BC78D9" w:rsidRPr="00BC78D9" w:rsidRDefault="00BC78D9" w:rsidP="006A627E">
            <w:pPr>
              <w:suppressLineNumbers/>
              <w:suppressAutoHyphens/>
              <w:jc w:val="center"/>
              <w:rPr>
                <w:sz w:val="16"/>
                <w:szCs w:val="16"/>
              </w:rPr>
            </w:pPr>
            <w:r w:rsidRPr="00BC78D9">
              <w:rPr>
                <w:b/>
                <w:color w:val="00B050"/>
                <w:sz w:val="16"/>
                <w:szCs w:val="16"/>
              </w:rPr>
              <w:t>En bonne voie</w:t>
            </w:r>
          </w:p>
        </w:tc>
      </w:tr>
      <w:tr w:rsidR="00BC78D9" w:rsidRPr="00BC78D9" w14:paraId="1F14052C" w14:textId="77777777" w:rsidTr="006A627E">
        <w:trPr>
          <w:cantSplit/>
          <w:trHeight w:val="565"/>
        </w:trPr>
        <w:tc>
          <w:tcPr>
            <w:tcW w:w="5000" w:type="pct"/>
            <w:gridSpan w:val="9"/>
            <w:shd w:val="clear" w:color="auto" w:fill="C6D9F1" w:themeFill="text2" w:themeFillTint="33"/>
            <w:tcMar>
              <w:left w:w="57" w:type="dxa"/>
              <w:bottom w:w="57" w:type="dxa"/>
              <w:right w:w="57" w:type="dxa"/>
            </w:tcMar>
            <w:vAlign w:val="center"/>
          </w:tcPr>
          <w:p w14:paraId="113E5372" w14:textId="77777777" w:rsidR="00BC78D9" w:rsidRPr="00BC78D9" w:rsidRDefault="00BC78D9" w:rsidP="006A627E">
            <w:pPr>
              <w:keepNext/>
              <w:keepLines/>
              <w:suppressLineNumbers/>
              <w:suppressAutoHyphens/>
              <w:rPr>
                <w:sz w:val="16"/>
                <w:szCs w:val="16"/>
              </w:rPr>
            </w:pPr>
            <w:r w:rsidRPr="00BC78D9">
              <w:rPr>
                <w:b/>
                <w:sz w:val="16"/>
                <w:szCs w:val="16"/>
              </w:rPr>
              <w:t xml:space="preserve">Résultat escompté : </w:t>
            </w:r>
            <w:r w:rsidRPr="00BC78D9">
              <w:rPr>
                <w:b/>
                <w:sz w:val="16"/>
              </w:rPr>
              <w:tab/>
            </w:r>
            <w:r w:rsidRPr="00BC78D9">
              <w:rPr>
                <w:sz w:val="16"/>
                <w:szCs w:val="16"/>
              </w:rPr>
              <w:t>IV.2 Amélioration de l’accessibilité et de l’utilisation de l’information en matière de propriété intellectuelle par les institutions compétentes et le public afin de promouvoir l’innovation et la créativité</w:t>
            </w:r>
          </w:p>
        </w:tc>
      </w:tr>
      <w:tr w:rsidR="00BC78D9" w:rsidRPr="00BC78D9" w14:paraId="4427E161" w14:textId="77777777" w:rsidTr="006A627E">
        <w:trPr>
          <w:cantSplit/>
        </w:trPr>
        <w:tc>
          <w:tcPr>
            <w:tcW w:w="1039" w:type="pct"/>
            <w:gridSpan w:val="2"/>
            <w:shd w:val="clear" w:color="auto" w:fill="auto"/>
            <w:tcMar>
              <w:left w:w="57" w:type="dxa"/>
              <w:bottom w:w="57" w:type="dxa"/>
              <w:right w:w="57" w:type="dxa"/>
            </w:tcMar>
            <w:vAlign w:val="center"/>
          </w:tcPr>
          <w:p w14:paraId="5E172AC5"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39D0B3D7"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Niveaux de référence</w:t>
            </w:r>
          </w:p>
        </w:tc>
        <w:tc>
          <w:tcPr>
            <w:tcW w:w="835" w:type="pct"/>
            <w:gridSpan w:val="3"/>
            <w:shd w:val="clear" w:color="auto" w:fill="auto"/>
            <w:tcMar>
              <w:top w:w="110" w:type="dxa"/>
              <w:left w:w="57" w:type="dxa"/>
              <w:bottom w:w="57" w:type="dxa"/>
              <w:right w:w="57" w:type="dxa"/>
            </w:tcMar>
            <w:vAlign w:val="center"/>
          </w:tcPr>
          <w:p w14:paraId="169004A4" w14:textId="77777777" w:rsidR="00BC78D9" w:rsidRPr="00BC78D9" w:rsidRDefault="00BC78D9" w:rsidP="006A627E">
            <w:pPr>
              <w:keepNext/>
              <w:keepLines/>
              <w:suppressLineNumbers/>
              <w:tabs>
                <w:tab w:val="left" w:pos="290"/>
              </w:tabs>
              <w:suppressAutoHyphens/>
              <w:jc w:val="center"/>
              <w:rPr>
                <w:b/>
                <w:bCs/>
                <w:sz w:val="16"/>
                <w:szCs w:val="16"/>
              </w:rPr>
            </w:pPr>
            <w:r w:rsidRPr="00BC78D9">
              <w:rPr>
                <w:b/>
                <w:bCs/>
                <w:sz w:val="16"/>
                <w:szCs w:val="16"/>
              </w:rPr>
              <w:t>Objectifs visés</w:t>
            </w:r>
          </w:p>
        </w:tc>
        <w:tc>
          <w:tcPr>
            <w:tcW w:w="1283" w:type="pct"/>
            <w:gridSpan w:val="2"/>
            <w:shd w:val="clear" w:color="auto" w:fill="FFFFFF"/>
            <w:tcMar>
              <w:top w:w="110" w:type="dxa"/>
              <w:left w:w="57" w:type="dxa"/>
              <w:bottom w:w="57" w:type="dxa"/>
              <w:right w:w="57" w:type="dxa"/>
            </w:tcMar>
            <w:vAlign w:val="center"/>
          </w:tcPr>
          <w:p w14:paraId="2E0ED0A2"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0966B484"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Code d’évaluation</w:t>
            </w:r>
          </w:p>
        </w:tc>
      </w:tr>
      <w:tr w:rsidR="00BC78D9" w:rsidRPr="00BC78D9" w14:paraId="0BA94319" w14:textId="77777777" w:rsidTr="006A627E">
        <w:trPr>
          <w:cantSplit/>
          <w:trHeight w:val="520"/>
        </w:trPr>
        <w:tc>
          <w:tcPr>
            <w:tcW w:w="1039" w:type="pct"/>
            <w:gridSpan w:val="2"/>
            <w:shd w:val="clear" w:color="auto" w:fill="auto"/>
            <w:tcMar>
              <w:left w:w="57" w:type="dxa"/>
              <w:bottom w:w="57" w:type="dxa"/>
              <w:right w:w="57" w:type="dxa"/>
            </w:tcMar>
          </w:tcPr>
          <w:p w14:paraId="48FE0D45"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Nombre d’utilisateurs des bases de données mondiales de l’OMPI : PATENTSCOPE,</w:t>
            </w:r>
          </w:p>
          <w:p w14:paraId="554FF166"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 xml:space="preserve">Base de données mondiale sur les marques et Base de données mondiale sur les dessins et modèles </w:t>
            </w:r>
          </w:p>
        </w:tc>
        <w:tc>
          <w:tcPr>
            <w:tcW w:w="1276" w:type="pct"/>
            <w:shd w:val="clear" w:color="auto" w:fill="auto"/>
            <w:tcMar>
              <w:left w:w="57" w:type="dxa"/>
              <w:bottom w:w="57" w:type="dxa"/>
              <w:right w:w="57" w:type="dxa"/>
            </w:tcMar>
          </w:tcPr>
          <w:p w14:paraId="76ECAE04" w14:textId="77777777" w:rsidR="00BC78D9" w:rsidRPr="00BC78D9" w:rsidRDefault="00BC78D9" w:rsidP="006A627E">
            <w:pPr>
              <w:keepNext/>
              <w:keepLines/>
              <w:suppressLineNumbers/>
              <w:suppressAutoHyphens/>
              <w:rPr>
                <w:i/>
                <w:color w:val="002060"/>
                <w:sz w:val="16"/>
                <w:szCs w:val="16"/>
              </w:rPr>
            </w:pPr>
            <w:r w:rsidRPr="00BC78D9">
              <w:rPr>
                <w:i/>
                <w:color w:val="002060"/>
                <w:sz w:val="16"/>
                <w:szCs w:val="16"/>
              </w:rPr>
              <w:t>Niveau de référence actualisé à fin 2015 :</w:t>
            </w:r>
          </w:p>
          <w:p w14:paraId="70DCD918" w14:textId="77777777" w:rsidR="00BC78D9" w:rsidRPr="00BC78D9" w:rsidRDefault="00BC78D9" w:rsidP="006A627E">
            <w:pPr>
              <w:keepNext/>
              <w:keepLines/>
              <w:rPr>
                <w:color w:val="002060"/>
                <w:sz w:val="16"/>
                <w:szCs w:val="16"/>
              </w:rPr>
            </w:pPr>
            <w:r w:rsidRPr="00BC78D9">
              <w:rPr>
                <w:color w:val="002060"/>
                <w:sz w:val="16"/>
                <w:szCs w:val="16"/>
              </w:rPr>
              <w:t>2014</w:t>
            </w:r>
            <w:r w:rsidRPr="00BC78D9">
              <w:rPr>
                <w:color w:val="002060"/>
                <w:sz w:val="16"/>
                <w:szCs w:val="16"/>
              </w:rPr>
              <w:noBreakHyphen/>
              <w:t>2015 :</w:t>
            </w:r>
          </w:p>
          <w:p w14:paraId="6381617B" w14:textId="77777777" w:rsidR="00BC78D9" w:rsidRPr="00BC78D9" w:rsidRDefault="00BC78D9" w:rsidP="006A627E">
            <w:pPr>
              <w:keepNext/>
              <w:keepLines/>
              <w:rPr>
                <w:color w:val="002060"/>
                <w:sz w:val="16"/>
                <w:szCs w:val="16"/>
              </w:rPr>
            </w:pPr>
            <w:r w:rsidRPr="00BC78D9">
              <w:rPr>
                <w:color w:val="002060"/>
                <w:sz w:val="16"/>
                <w:szCs w:val="16"/>
              </w:rPr>
              <w:t>PATENTSCOPE :</w:t>
            </w:r>
          </w:p>
          <w:p w14:paraId="75859DF2"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au Brésil (8533)</w:t>
            </w:r>
          </w:p>
          <w:p w14:paraId="22094D32"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en Chine (27 454) (2015 seulement)</w:t>
            </w:r>
          </w:p>
          <w:p w14:paraId="59E32971"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au Japon (30 743)</w:t>
            </w:r>
          </w:p>
          <w:p w14:paraId="7AB9A951"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en Fédération de Russie (6292) (2015 seulement)</w:t>
            </w:r>
          </w:p>
          <w:p w14:paraId="3FA17D64"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à Singapour (15 525)</w:t>
            </w:r>
          </w:p>
          <w:p w14:paraId="31542DA3" w14:textId="77777777" w:rsidR="00BC78D9" w:rsidRPr="00BC78D9" w:rsidRDefault="00BC78D9" w:rsidP="006A627E">
            <w:pPr>
              <w:keepNext/>
              <w:keepLines/>
              <w:rPr>
                <w:color w:val="002060"/>
                <w:sz w:val="16"/>
                <w:szCs w:val="16"/>
              </w:rPr>
            </w:pPr>
          </w:p>
          <w:p w14:paraId="0567848F" w14:textId="77777777" w:rsidR="00BC78D9" w:rsidRPr="00BC78D9" w:rsidRDefault="00BC78D9" w:rsidP="006A627E">
            <w:pPr>
              <w:keepNext/>
              <w:keepLines/>
              <w:rPr>
                <w:color w:val="002060"/>
                <w:sz w:val="16"/>
                <w:szCs w:val="16"/>
              </w:rPr>
            </w:pPr>
            <w:r w:rsidRPr="00BC78D9">
              <w:rPr>
                <w:color w:val="002060"/>
                <w:sz w:val="16"/>
                <w:szCs w:val="16"/>
              </w:rPr>
              <w:t>Base de données mondiale sur les marques :</w:t>
            </w:r>
          </w:p>
          <w:p w14:paraId="6F551A38"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au Brésil (1036)</w:t>
            </w:r>
          </w:p>
          <w:p w14:paraId="2EDBBFFE"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en Chine (3181) (2015 seulement)</w:t>
            </w:r>
          </w:p>
          <w:p w14:paraId="3F61519C"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au Japon (6883)</w:t>
            </w:r>
          </w:p>
          <w:p w14:paraId="13849B73"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en Fédération de Russie (2 475) (2015 seulement)</w:t>
            </w:r>
          </w:p>
          <w:p w14:paraId="614C5315"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à Singapour (24 947)</w:t>
            </w:r>
          </w:p>
          <w:p w14:paraId="481C3155" w14:textId="77777777" w:rsidR="00BC78D9" w:rsidRPr="00BC78D9" w:rsidRDefault="00BC78D9" w:rsidP="006A627E">
            <w:pPr>
              <w:keepNext/>
              <w:keepLines/>
              <w:rPr>
                <w:color w:val="002060"/>
                <w:sz w:val="16"/>
                <w:szCs w:val="16"/>
              </w:rPr>
            </w:pPr>
          </w:p>
          <w:p w14:paraId="7C9D6883" w14:textId="77777777" w:rsidR="00BC78D9" w:rsidRPr="00BC78D9" w:rsidRDefault="00BC78D9" w:rsidP="006A627E">
            <w:pPr>
              <w:keepNext/>
              <w:keepLines/>
              <w:rPr>
                <w:color w:val="002060"/>
                <w:sz w:val="16"/>
                <w:szCs w:val="16"/>
              </w:rPr>
            </w:pPr>
            <w:r w:rsidRPr="00BC78D9">
              <w:rPr>
                <w:color w:val="002060"/>
                <w:sz w:val="16"/>
                <w:szCs w:val="16"/>
              </w:rPr>
              <w:t>Base de données mondiale sur les dessins et modèles : (2015 seulement)</w:t>
            </w:r>
          </w:p>
          <w:p w14:paraId="3DBF533D"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au Brésil (107)</w:t>
            </w:r>
          </w:p>
          <w:p w14:paraId="6FE9297E"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en Chine (420)</w:t>
            </w:r>
          </w:p>
          <w:p w14:paraId="5EE9BAE9"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au Japon (1736)</w:t>
            </w:r>
          </w:p>
          <w:p w14:paraId="47B46B77"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en Fédération de Russie (516)</w:t>
            </w:r>
          </w:p>
          <w:p w14:paraId="6F8B8081" w14:textId="77777777" w:rsidR="00BC78D9" w:rsidRPr="00BC78D9" w:rsidRDefault="00BC78D9" w:rsidP="00BC78D9">
            <w:pPr>
              <w:pStyle w:val="ListParagraph"/>
              <w:keepNext/>
              <w:keepLines/>
              <w:numPr>
                <w:ilvl w:val="0"/>
                <w:numId w:val="98"/>
              </w:numPr>
              <w:ind w:hanging="180"/>
              <w:rPr>
                <w:rFonts w:ascii="Arial" w:hAnsi="Arial" w:cs="Arial"/>
                <w:color w:val="002060"/>
                <w:sz w:val="15"/>
                <w:szCs w:val="15"/>
              </w:rPr>
            </w:pPr>
            <w:r w:rsidRPr="00BC78D9">
              <w:rPr>
                <w:rFonts w:ascii="Arial" w:hAnsi="Arial" w:cs="Arial"/>
                <w:color w:val="002060"/>
                <w:sz w:val="15"/>
                <w:szCs w:val="15"/>
              </w:rPr>
              <w:t>Bureau de l’OMPI à Singapour (437)</w:t>
            </w:r>
          </w:p>
          <w:p w14:paraId="55CDD19E" w14:textId="77777777" w:rsidR="00BC78D9" w:rsidRPr="00BC78D9" w:rsidRDefault="00BC78D9" w:rsidP="006A627E">
            <w:pPr>
              <w:keepNext/>
              <w:keepLines/>
              <w:suppressLineNumbers/>
              <w:suppressAutoHyphens/>
              <w:rPr>
                <w:sz w:val="16"/>
                <w:szCs w:val="16"/>
              </w:rPr>
            </w:pPr>
          </w:p>
          <w:p w14:paraId="53EF84DF" w14:textId="77777777" w:rsidR="00BC78D9" w:rsidRPr="00BC78D9" w:rsidRDefault="00BC78D9" w:rsidP="006A627E">
            <w:pPr>
              <w:keepNext/>
              <w:keepLines/>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 xml:space="preserve">2017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7"/>
              <w:gridCol w:w="1009"/>
            </w:tblGrid>
            <w:tr w:rsidR="00BC78D9" w:rsidRPr="00BC78D9" w14:paraId="131EB5CF" w14:textId="77777777" w:rsidTr="006A627E">
              <w:tc>
                <w:tcPr>
                  <w:tcW w:w="1287" w:type="dxa"/>
                  <w:tcMar>
                    <w:left w:w="14" w:type="dxa"/>
                    <w:right w:w="14" w:type="dxa"/>
                  </w:tcMar>
                </w:tcPr>
                <w:p w14:paraId="26C93D20"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PATENTSCOPE : </w:t>
                  </w:r>
                </w:p>
              </w:tc>
              <w:tc>
                <w:tcPr>
                  <w:tcW w:w="1009" w:type="dxa"/>
                  <w:tcMar>
                    <w:left w:w="14" w:type="dxa"/>
                    <w:right w:w="14" w:type="dxa"/>
                  </w:tcMar>
                </w:tcPr>
                <w:p w14:paraId="113AAD80"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Base de données mondiale sur les marques : </w:t>
                  </w:r>
                </w:p>
              </w:tc>
            </w:tr>
            <w:tr w:rsidR="00BC78D9" w:rsidRPr="00BC78D9" w14:paraId="2856947E" w14:textId="77777777" w:rsidTr="006A627E">
              <w:tc>
                <w:tcPr>
                  <w:tcW w:w="1287" w:type="dxa"/>
                  <w:tcMar>
                    <w:left w:w="14" w:type="dxa"/>
                    <w:right w:w="14" w:type="dxa"/>
                  </w:tcMar>
                </w:tcPr>
                <w:p w14:paraId="1C31836B"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8054 (Bureau de l’OMPI à Singapour) </w:t>
                  </w:r>
                </w:p>
              </w:tc>
              <w:tc>
                <w:tcPr>
                  <w:tcW w:w="1009" w:type="dxa"/>
                  <w:tcMar>
                    <w:left w:w="14" w:type="dxa"/>
                    <w:right w:w="14" w:type="dxa"/>
                  </w:tcMar>
                </w:tcPr>
                <w:p w14:paraId="328B62B5"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9162 (Bureau de l’OMPI à Singapour) </w:t>
                  </w:r>
                </w:p>
              </w:tc>
            </w:tr>
            <w:tr w:rsidR="00BC78D9" w:rsidRPr="00BC78D9" w14:paraId="3108A001" w14:textId="77777777" w:rsidTr="006A627E">
              <w:tc>
                <w:tcPr>
                  <w:tcW w:w="1287" w:type="dxa"/>
                  <w:tcMar>
                    <w:left w:w="14" w:type="dxa"/>
                    <w:right w:w="14" w:type="dxa"/>
                  </w:tcMar>
                </w:tcPr>
                <w:p w14:paraId="1C8B7E57"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4688 (Bureau de l’OMPI au Brésil) </w:t>
                  </w:r>
                </w:p>
              </w:tc>
              <w:tc>
                <w:tcPr>
                  <w:tcW w:w="1009" w:type="dxa"/>
                  <w:tcMar>
                    <w:left w:w="14" w:type="dxa"/>
                    <w:right w:w="14" w:type="dxa"/>
                  </w:tcMar>
                </w:tcPr>
                <w:p w14:paraId="2E7A9DE8"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596 (Bureau de l’OMPI au Brésil) </w:t>
                  </w:r>
                </w:p>
              </w:tc>
            </w:tr>
            <w:tr w:rsidR="00BC78D9" w:rsidRPr="00BC78D9" w14:paraId="0723F3F2" w14:textId="77777777" w:rsidTr="006A627E">
              <w:tc>
                <w:tcPr>
                  <w:tcW w:w="1287" w:type="dxa"/>
                  <w:tcMar>
                    <w:left w:w="14" w:type="dxa"/>
                    <w:right w:w="14" w:type="dxa"/>
                  </w:tcMar>
                </w:tcPr>
                <w:p w14:paraId="32EF0E38"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14 711 (Bureau de l’OMPI au Japon) </w:t>
                  </w:r>
                </w:p>
              </w:tc>
              <w:tc>
                <w:tcPr>
                  <w:tcW w:w="1009" w:type="dxa"/>
                  <w:tcMar>
                    <w:left w:w="14" w:type="dxa"/>
                    <w:right w:w="14" w:type="dxa"/>
                  </w:tcMar>
                </w:tcPr>
                <w:p w14:paraId="18015B9A"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2871 (Bureau de l’OMPI au Japon) </w:t>
                  </w:r>
                </w:p>
              </w:tc>
            </w:tr>
            <w:tr w:rsidR="00BC78D9" w:rsidRPr="00BC78D9" w14:paraId="57DC3B99" w14:textId="77777777" w:rsidTr="006A627E">
              <w:tc>
                <w:tcPr>
                  <w:tcW w:w="1287" w:type="dxa"/>
                  <w:tcMar>
                    <w:left w:w="14" w:type="dxa"/>
                    <w:right w:w="14" w:type="dxa"/>
                  </w:tcMar>
                </w:tcPr>
                <w:p w14:paraId="09524BF5"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6257 (Bureau de l’OMPI en Fédération de Russie) </w:t>
                  </w:r>
                </w:p>
              </w:tc>
              <w:tc>
                <w:tcPr>
                  <w:tcW w:w="1009" w:type="dxa"/>
                  <w:tcMar>
                    <w:left w:w="14" w:type="dxa"/>
                    <w:right w:w="14" w:type="dxa"/>
                  </w:tcMar>
                </w:tcPr>
                <w:p w14:paraId="35389C98"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2352 (Bureau de l’OMPI en Fédération de Russie) </w:t>
                  </w:r>
                </w:p>
              </w:tc>
            </w:tr>
            <w:tr w:rsidR="00BC78D9" w:rsidRPr="00BC78D9" w14:paraId="609675A6" w14:textId="77777777" w:rsidTr="006A627E">
              <w:tc>
                <w:tcPr>
                  <w:tcW w:w="1287" w:type="dxa"/>
                  <w:tcMar>
                    <w:left w:w="14" w:type="dxa"/>
                    <w:right w:w="14" w:type="dxa"/>
                  </w:tcMar>
                </w:tcPr>
                <w:p w14:paraId="36E74841"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56 355 (Bureau de l’OMPI en Chine) </w:t>
                  </w:r>
                </w:p>
              </w:tc>
              <w:tc>
                <w:tcPr>
                  <w:tcW w:w="1009" w:type="dxa"/>
                  <w:tcMar>
                    <w:left w:w="14" w:type="dxa"/>
                    <w:right w:w="14" w:type="dxa"/>
                  </w:tcMar>
                </w:tcPr>
                <w:p w14:paraId="61CBC020" w14:textId="77777777" w:rsidR="00BC78D9" w:rsidRPr="00BC78D9" w:rsidRDefault="00BC78D9" w:rsidP="006A627E">
                  <w:pPr>
                    <w:keepNext/>
                    <w:keepLines/>
                    <w:suppressLineNumbers/>
                    <w:suppressAutoHyphens/>
                    <w:rPr>
                      <w:i/>
                      <w:sz w:val="15"/>
                      <w:szCs w:val="15"/>
                      <w:lang w:bidi="th-TH"/>
                    </w:rPr>
                  </w:pPr>
                  <w:r w:rsidRPr="00BC78D9">
                    <w:rPr>
                      <w:sz w:val="15"/>
                      <w:szCs w:val="15"/>
                    </w:rPr>
                    <w:t xml:space="preserve">3398 (Bureau de l’OMPI en Chine) </w:t>
                  </w:r>
                </w:p>
              </w:tc>
            </w:tr>
          </w:tbl>
          <w:p w14:paraId="072C3BF9" w14:textId="77777777" w:rsidR="00BC78D9" w:rsidRPr="00BC78D9" w:rsidRDefault="00BC78D9" w:rsidP="006A627E">
            <w:pPr>
              <w:pStyle w:val="Default"/>
              <w:keepNext/>
              <w:keepLines/>
              <w:suppressLineNumbers/>
              <w:suppressAutoHyphens/>
              <w:spacing w:after="60"/>
              <w:rPr>
                <w:color w:val="auto"/>
                <w:sz w:val="15"/>
                <w:szCs w:val="15"/>
                <w:lang w:val="fr-FR"/>
              </w:rPr>
            </w:pPr>
            <w:r w:rsidRPr="00BC78D9">
              <w:rPr>
                <w:color w:val="auto"/>
                <w:sz w:val="15"/>
                <w:szCs w:val="15"/>
                <w:lang w:val="fr-FR"/>
              </w:rPr>
              <w:t xml:space="preserve">Base de données sur les dessins et modèles : </w:t>
            </w:r>
            <w:proofErr w:type="spellStart"/>
            <w:r w:rsidRPr="00BC78D9">
              <w:rPr>
                <w:color w:val="auto"/>
                <w:sz w:val="15"/>
                <w:szCs w:val="15"/>
                <w:lang w:val="fr-FR"/>
              </w:rPr>
              <w:t>n.d</w:t>
            </w:r>
            <w:proofErr w:type="spellEnd"/>
            <w:r w:rsidRPr="00BC78D9">
              <w:rPr>
                <w:color w:val="auto"/>
                <w:sz w:val="15"/>
                <w:szCs w:val="15"/>
                <w:lang w:val="fr-FR"/>
              </w:rPr>
              <w:t xml:space="preserve">.  </w:t>
            </w:r>
          </w:p>
        </w:tc>
        <w:tc>
          <w:tcPr>
            <w:tcW w:w="835" w:type="pct"/>
            <w:gridSpan w:val="3"/>
            <w:shd w:val="clear" w:color="auto" w:fill="auto"/>
            <w:tcMar>
              <w:top w:w="110" w:type="dxa"/>
              <w:left w:w="57" w:type="dxa"/>
              <w:bottom w:w="57" w:type="dxa"/>
              <w:right w:w="57" w:type="dxa"/>
            </w:tcMar>
          </w:tcPr>
          <w:p w14:paraId="47056AB1"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5% d’augmentation (sur l’exercice biennal)</w:t>
            </w:r>
          </w:p>
          <w:p w14:paraId="35DADAB9" w14:textId="77777777" w:rsidR="00BC78D9" w:rsidRPr="00BC78D9" w:rsidRDefault="00BC78D9" w:rsidP="006A627E">
            <w:pPr>
              <w:pStyle w:val="Default"/>
              <w:keepNext/>
              <w:keepLines/>
              <w:suppressLineNumbers/>
              <w:suppressAutoHyphens/>
              <w:rPr>
                <w:color w:val="auto"/>
                <w:sz w:val="16"/>
                <w:szCs w:val="16"/>
                <w:lang w:val="fr-FR"/>
              </w:rPr>
            </w:pPr>
          </w:p>
          <w:p w14:paraId="2805BD8E" w14:textId="77777777" w:rsidR="00BC78D9" w:rsidRPr="00BC78D9" w:rsidRDefault="00BC78D9" w:rsidP="006A627E">
            <w:pPr>
              <w:pStyle w:val="Default"/>
              <w:keepNext/>
              <w:keepLines/>
              <w:suppressLineNumbers/>
              <w:suppressAutoHyphens/>
              <w:rPr>
                <w:color w:val="auto"/>
                <w:sz w:val="16"/>
                <w:szCs w:val="16"/>
                <w:lang w:val="fr-FR"/>
              </w:rPr>
            </w:pPr>
          </w:p>
          <w:p w14:paraId="7F45BBF6" w14:textId="77777777" w:rsidR="00BC78D9" w:rsidRPr="00BC78D9" w:rsidRDefault="00BC78D9" w:rsidP="006A627E">
            <w:pPr>
              <w:pStyle w:val="Default"/>
              <w:keepNext/>
              <w:keepLines/>
              <w:suppressLineNumbers/>
              <w:suppressAutoHyphens/>
              <w:rPr>
                <w:color w:val="auto"/>
                <w:sz w:val="16"/>
                <w:szCs w:val="16"/>
                <w:lang w:val="fr-FR"/>
              </w:rPr>
            </w:pPr>
          </w:p>
          <w:p w14:paraId="3148C23B" w14:textId="77777777" w:rsidR="00BC78D9" w:rsidRPr="00BC78D9" w:rsidRDefault="00BC78D9" w:rsidP="006A627E">
            <w:pPr>
              <w:pStyle w:val="Default"/>
              <w:keepNext/>
              <w:keepLines/>
              <w:suppressLineNumbers/>
              <w:suppressAutoHyphens/>
              <w:rPr>
                <w:color w:val="auto"/>
                <w:sz w:val="16"/>
                <w:szCs w:val="16"/>
                <w:lang w:val="fr-FR"/>
              </w:rPr>
            </w:pPr>
          </w:p>
          <w:p w14:paraId="4F5020A2" w14:textId="77777777" w:rsidR="00BC78D9" w:rsidRPr="00BC78D9" w:rsidRDefault="00BC78D9" w:rsidP="006A627E">
            <w:pPr>
              <w:pStyle w:val="Default"/>
              <w:keepNext/>
              <w:keepLines/>
              <w:suppressLineNumbers/>
              <w:suppressAutoHyphens/>
              <w:rPr>
                <w:color w:val="auto"/>
                <w:sz w:val="16"/>
                <w:szCs w:val="16"/>
                <w:lang w:val="fr-FR"/>
              </w:rPr>
            </w:pPr>
          </w:p>
          <w:p w14:paraId="5000C077" w14:textId="77777777" w:rsidR="00BC78D9" w:rsidRPr="00BC78D9" w:rsidRDefault="00BC78D9" w:rsidP="006A627E">
            <w:pPr>
              <w:pStyle w:val="Default"/>
              <w:keepNext/>
              <w:keepLines/>
              <w:suppressLineNumbers/>
              <w:suppressAutoHyphens/>
              <w:rPr>
                <w:color w:val="auto"/>
                <w:sz w:val="16"/>
                <w:szCs w:val="16"/>
                <w:lang w:val="fr-FR"/>
              </w:rPr>
            </w:pPr>
          </w:p>
          <w:p w14:paraId="47E4785C" w14:textId="77777777" w:rsidR="00BC78D9" w:rsidRPr="00BC78D9" w:rsidRDefault="00BC78D9" w:rsidP="006A627E">
            <w:pPr>
              <w:pStyle w:val="Default"/>
              <w:keepNext/>
              <w:keepLines/>
              <w:suppressLineNumbers/>
              <w:suppressAutoHyphens/>
              <w:rPr>
                <w:color w:val="auto"/>
                <w:sz w:val="16"/>
                <w:szCs w:val="16"/>
                <w:lang w:val="fr-FR"/>
              </w:rPr>
            </w:pPr>
          </w:p>
          <w:p w14:paraId="22EA472D" w14:textId="77777777" w:rsidR="00BC78D9" w:rsidRPr="00BC78D9" w:rsidRDefault="00BC78D9" w:rsidP="006A627E">
            <w:pPr>
              <w:pStyle w:val="Default"/>
              <w:keepNext/>
              <w:keepLines/>
              <w:suppressLineNumbers/>
              <w:suppressAutoHyphens/>
              <w:rPr>
                <w:color w:val="auto"/>
                <w:sz w:val="16"/>
                <w:szCs w:val="16"/>
                <w:lang w:val="fr-FR"/>
              </w:rPr>
            </w:pPr>
          </w:p>
          <w:p w14:paraId="10B95674" w14:textId="77777777" w:rsidR="00BC78D9" w:rsidRPr="00BC78D9" w:rsidRDefault="00BC78D9" w:rsidP="006A627E">
            <w:pPr>
              <w:pStyle w:val="Default"/>
              <w:keepNext/>
              <w:keepLines/>
              <w:suppressLineNumbers/>
              <w:suppressAutoHyphens/>
              <w:rPr>
                <w:color w:val="auto"/>
                <w:sz w:val="16"/>
                <w:szCs w:val="16"/>
                <w:lang w:val="fr-FR"/>
              </w:rPr>
            </w:pPr>
          </w:p>
          <w:p w14:paraId="31365019" w14:textId="77777777" w:rsidR="00BC78D9" w:rsidRPr="00BC78D9" w:rsidRDefault="00BC78D9" w:rsidP="006A627E">
            <w:pPr>
              <w:pStyle w:val="Default"/>
              <w:keepNext/>
              <w:keepLines/>
              <w:suppressLineNumbers/>
              <w:suppressAutoHyphens/>
              <w:rPr>
                <w:color w:val="auto"/>
                <w:sz w:val="16"/>
                <w:szCs w:val="16"/>
                <w:lang w:val="fr-FR"/>
              </w:rPr>
            </w:pPr>
          </w:p>
          <w:p w14:paraId="0BAB8C27" w14:textId="77777777" w:rsidR="00BC78D9" w:rsidRPr="00BC78D9" w:rsidRDefault="00BC78D9" w:rsidP="006A627E">
            <w:pPr>
              <w:pStyle w:val="Default"/>
              <w:keepNext/>
              <w:keepLines/>
              <w:suppressLineNumbers/>
              <w:suppressAutoHyphens/>
              <w:rPr>
                <w:color w:val="auto"/>
                <w:sz w:val="16"/>
                <w:szCs w:val="16"/>
                <w:lang w:val="fr-FR"/>
              </w:rPr>
            </w:pPr>
          </w:p>
          <w:p w14:paraId="4F2C6911" w14:textId="77777777" w:rsidR="00BC78D9" w:rsidRPr="00BC78D9" w:rsidRDefault="00BC78D9" w:rsidP="006A627E">
            <w:pPr>
              <w:pStyle w:val="Default"/>
              <w:keepNext/>
              <w:keepLines/>
              <w:suppressLineNumbers/>
              <w:suppressAutoHyphens/>
              <w:rPr>
                <w:color w:val="auto"/>
                <w:sz w:val="16"/>
                <w:szCs w:val="16"/>
                <w:lang w:val="fr-FR"/>
              </w:rPr>
            </w:pPr>
          </w:p>
          <w:p w14:paraId="75C79427" w14:textId="77777777" w:rsidR="00BC78D9" w:rsidRPr="00BC78D9" w:rsidRDefault="00BC78D9" w:rsidP="006A627E">
            <w:pPr>
              <w:pStyle w:val="Default"/>
              <w:keepNext/>
              <w:keepLines/>
              <w:suppressLineNumbers/>
              <w:suppressAutoHyphens/>
              <w:rPr>
                <w:color w:val="auto"/>
                <w:sz w:val="16"/>
                <w:szCs w:val="16"/>
                <w:lang w:val="fr-FR"/>
              </w:rPr>
            </w:pPr>
          </w:p>
          <w:p w14:paraId="048B9A5A"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5% d’augmentation</w:t>
            </w:r>
          </w:p>
          <w:p w14:paraId="7AAD1DAC"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(sur l’exercice biennal)</w:t>
            </w:r>
          </w:p>
          <w:p w14:paraId="5E584B6A" w14:textId="77777777" w:rsidR="00BC78D9" w:rsidRPr="00BC78D9" w:rsidRDefault="00BC78D9" w:rsidP="006A627E">
            <w:pPr>
              <w:pStyle w:val="Default"/>
              <w:keepNext/>
              <w:keepLines/>
              <w:suppressLineNumbers/>
              <w:suppressAutoHyphens/>
              <w:rPr>
                <w:color w:val="auto"/>
                <w:sz w:val="16"/>
                <w:szCs w:val="16"/>
                <w:lang w:val="fr-FR"/>
              </w:rPr>
            </w:pPr>
          </w:p>
          <w:p w14:paraId="7C520C21" w14:textId="77777777" w:rsidR="00BC78D9" w:rsidRPr="00BC78D9" w:rsidRDefault="00BC78D9" w:rsidP="006A627E">
            <w:pPr>
              <w:pStyle w:val="Default"/>
              <w:keepNext/>
              <w:keepLines/>
              <w:suppressLineNumbers/>
              <w:suppressAutoHyphens/>
              <w:rPr>
                <w:color w:val="auto"/>
                <w:sz w:val="16"/>
                <w:szCs w:val="16"/>
                <w:lang w:val="fr-FR"/>
              </w:rPr>
            </w:pPr>
          </w:p>
          <w:p w14:paraId="72A83A08" w14:textId="77777777" w:rsidR="00BC78D9" w:rsidRPr="00BC78D9" w:rsidRDefault="00BC78D9" w:rsidP="006A627E">
            <w:pPr>
              <w:pStyle w:val="Default"/>
              <w:keepNext/>
              <w:keepLines/>
              <w:suppressLineNumbers/>
              <w:suppressAutoHyphens/>
              <w:rPr>
                <w:color w:val="auto"/>
                <w:sz w:val="16"/>
                <w:szCs w:val="16"/>
                <w:lang w:val="fr-FR"/>
              </w:rPr>
            </w:pPr>
          </w:p>
          <w:p w14:paraId="3AC74269" w14:textId="77777777" w:rsidR="00BC78D9" w:rsidRPr="00BC78D9" w:rsidRDefault="00BC78D9" w:rsidP="006A627E">
            <w:pPr>
              <w:pStyle w:val="Default"/>
              <w:keepNext/>
              <w:keepLines/>
              <w:suppressLineNumbers/>
              <w:suppressAutoHyphens/>
              <w:rPr>
                <w:color w:val="auto"/>
                <w:sz w:val="16"/>
                <w:szCs w:val="16"/>
                <w:lang w:val="fr-FR"/>
              </w:rPr>
            </w:pPr>
          </w:p>
          <w:p w14:paraId="094B9994" w14:textId="77777777" w:rsidR="00BC78D9" w:rsidRPr="00BC78D9" w:rsidRDefault="00BC78D9" w:rsidP="006A627E">
            <w:pPr>
              <w:pStyle w:val="Default"/>
              <w:keepNext/>
              <w:keepLines/>
              <w:suppressLineNumbers/>
              <w:suppressAutoHyphens/>
              <w:rPr>
                <w:color w:val="auto"/>
                <w:sz w:val="16"/>
                <w:szCs w:val="16"/>
                <w:lang w:val="fr-FR"/>
              </w:rPr>
            </w:pPr>
          </w:p>
          <w:p w14:paraId="344F77AB" w14:textId="77777777" w:rsidR="00BC78D9" w:rsidRPr="00BC78D9" w:rsidRDefault="00BC78D9" w:rsidP="006A627E">
            <w:pPr>
              <w:pStyle w:val="Default"/>
              <w:keepNext/>
              <w:keepLines/>
              <w:suppressLineNumbers/>
              <w:suppressAutoHyphens/>
              <w:rPr>
                <w:color w:val="auto"/>
                <w:sz w:val="16"/>
                <w:szCs w:val="16"/>
                <w:lang w:val="fr-FR"/>
              </w:rPr>
            </w:pPr>
          </w:p>
          <w:p w14:paraId="67AE97BC" w14:textId="77777777" w:rsidR="00BC78D9" w:rsidRPr="00BC78D9" w:rsidRDefault="00BC78D9" w:rsidP="006A627E">
            <w:pPr>
              <w:pStyle w:val="Default"/>
              <w:keepNext/>
              <w:keepLines/>
              <w:suppressLineNumbers/>
              <w:suppressAutoHyphens/>
              <w:rPr>
                <w:color w:val="auto"/>
                <w:sz w:val="16"/>
                <w:szCs w:val="16"/>
                <w:lang w:val="fr-FR"/>
              </w:rPr>
            </w:pPr>
          </w:p>
          <w:p w14:paraId="3000057A" w14:textId="77777777" w:rsidR="00BC78D9" w:rsidRPr="00BC78D9" w:rsidRDefault="00BC78D9" w:rsidP="006A627E">
            <w:pPr>
              <w:pStyle w:val="Default"/>
              <w:keepNext/>
              <w:keepLines/>
              <w:suppressLineNumbers/>
              <w:suppressAutoHyphens/>
              <w:rPr>
                <w:color w:val="auto"/>
                <w:sz w:val="16"/>
                <w:szCs w:val="16"/>
                <w:lang w:val="fr-FR"/>
              </w:rPr>
            </w:pPr>
          </w:p>
          <w:p w14:paraId="0BDEEEAB" w14:textId="77777777" w:rsidR="00BC78D9" w:rsidRPr="00BC78D9" w:rsidRDefault="00BC78D9" w:rsidP="006A627E">
            <w:pPr>
              <w:pStyle w:val="Default"/>
              <w:keepNext/>
              <w:keepLines/>
              <w:suppressLineNumbers/>
              <w:suppressAutoHyphens/>
              <w:rPr>
                <w:color w:val="auto"/>
                <w:sz w:val="16"/>
                <w:szCs w:val="16"/>
                <w:lang w:val="fr-FR"/>
              </w:rPr>
            </w:pPr>
          </w:p>
          <w:p w14:paraId="0276C554" w14:textId="77777777" w:rsidR="00BC78D9" w:rsidRPr="00BC78D9" w:rsidRDefault="00BC78D9" w:rsidP="006A627E">
            <w:pPr>
              <w:pStyle w:val="Default"/>
              <w:keepNext/>
              <w:keepLines/>
              <w:suppressLineNumbers/>
              <w:suppressAutoHyphens/>
              <w:rPr>
                <w:color w:val="auto"/>
                <w:sz w:val="16"/>
                <w:szCs w:val="16"/>
                <w:lang w:val="fr-FR"/>
              </w:rPr>
            </w:pPr>
          </w:p>
          <w:p w14:paraId="217CEBA1" w14:textId="77777777" w:rsidR="00BC78D9" w:rsidRPr="00BC78D9" w:rsidRDefault="00BC78D9" w:rsidP="006A627E">
            <w:pPr>
              <w:pStyle w:val="Default"/>
              <w:keepNext/>
              <w:keepLines/>
              <w:suppressLineNumbers/>
              <w:suppressAutoHyphens/>
              <w:rPr>
                <w:color w:val="auto"/>
                <w:sz w:val="16"/>
                <w:szCs w:val="16"/>
                <w:lang w:val="fr-FR"/>
              </w:rPr>
            </w:pPr>
          </w:p>
          <w:p w14:paraId="5068373D" w14:textId="77777777" w:rsidR="00BC78D9" w:rsidRPr="00BC78D9" w:rsidRDefault="00BC78D9" w:rsidP="006A627E">
            <w:pPr>
              <w:pStyle w:val="Default"/>
              <w:keepNext/>
              <w:keepLines/>
              <w:suppressLineNumbers/>
              <w:suppressAutoHyphens/>
              <w:rPr>
                <w:color w:val="auto"/>
                <w:sz w:val="16"/>
                <w:szCs w:val="16"/>
                <w:lang w:val="fr-FR"/>
              </w:rPr>
            </w:pPr>
          </w:p>
          <w:p w14:paraId="491BEF09" w14:textId="77777777" w:rsidR="00BC78D9" w:rsidRPr="00BC78D9" w:rsidRDefault="00BC78D9" w:rsidP="006A627E">
            <w:pPr>
              <w:pStyle w:val="Default"/>
              <w:keepNext/>
              <w:keepLines/>
              <w:suppressLineNumbers/>
              <w:suppressAutoHyphens/>
              <w:rPr>
                <w:color w:val="auto"/>
                <w:sz w:val="16"/>
                <w:szCs w:val="16"/>
                <w:lang w:val="fr-FR"/>
              </w:rPr>
            </w:pPr>
          </w:p>
          <w:p w14:paraId="4FADF7DF" w14:textId="77777777" w:rsidR="00BC78D9" w:rsidRPr="00BC78D9" w:rsidRDefault="00BC78D9" w:rsidP="006A627E">
            <w:pPr>
              <w:pStyle w:val="Default"/>
              <w:keepNext/>
              <w:keepLines/>
              <w:suppressLineNumbers/>
              <w:suppressAutoHyphens/>
              <w:rPr>
                <w:color w:val="auto"/>
                <w:sz w:val="16"/>
                <w:szCs w:val="16"/>
                <w:lang w:val="fr-FR"/>
              </w:rPr>
            </w:pPr>
          </w:p>
          <w:p w14:paraId="600B0A6A" w14:textId="77777777" w:rsidR="00BC78D9" w:rsidRPr="00BC78D9" w:rsidRDefault="00BC78D9" w:rsidP="006A627E">
            <w:pPr>
              <w:pStyle w:val="Default"/>
              <w:keepNext/>
              <w:keepLines/>
              <w:suppressLineNumbers/>
              <w:suppressAutoHyphens/>
              <w:rPr>
                <w:color w:val="auto"/>
                <w:sz w:val="16"/>
                <w:szCs w:val="16"/>
                <w:lang w:val="fr-FR"/>
              </w:rPr>
            </w:pPr>
          </w:p>
          <w:p w14:paraId="229B6DA2"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5% d’augmentation</w:t>
            </w:r>
          </w:p>
          <w:p w14:paraId="3FC9B39F"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(sur l’exercice biennal)</w:t>
            </w:r>
          </w:p>
        </w:tc>
        <w:tc>
          <w:tcPr>
            <w:tcW w:w="1283" w:type="pct"/>
            <w:gridSpan w:val="2"/>
            <w:shd w:val="clear" w:color="auto" w:fill="FFFFFF"/>
            <w:tcMar>
              <w:top w:w="110" w:type="dxa"/>
              <w:left w:w="57" w:type="dxa"/>
              <w:bottom w:w="57" w:type="dxa"/>
              <w:right w:w="57" w:type="dxa"/>
            </w:tcMar>
          </w:tcPr>
          <w:tbl>
            <w:tblPr>
              <w:tblStyle w:val="TableGrid"/>
              <w:tblW w:w="3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
              <w:gridCol w:w="1816"/>
              <w:gridCol w:w="622"/>
            </w:tblGrid>
            <w:tr w:rsidR="00BC78D9" w:rsidRPr="00BC78D9" w14:paraId="751684B3" w14:textId="77777777" w:rsidTr="006A627E">
              <w:trPr>
                <w:gridAfter w:val="1"/>
                <w:wAfter w:w="622" w:type="dxa"/>
              </w:trPr>
              <w:tc>
                <w:tcPr>
                  <w:tcW w:w="2568" w:type="dxa"/>
                  <w:gridSpan w:val="2"/>
                  <w:hideMark/>
                </w:tcPr>
                <w:p w14:paraId="37FCB773" w14:textId="77777777" w:rsidR="00BC78D9" w:rsidRPr="00BC78D9" w:rsidRDefault="00BC78D9" w:rsidP="006A627E">
                  <w:pPr>
                    <w:keepNext/>
                    <w:keepLines/>
                    <w:suppressLineNumbers/>
                    <w:suppressAutoHyphens/>
                    <w:spacing w:after="60"/>
                    <w:ind w:left="-108"/>
                    <w:rPr>
                      <w:sz w:val="16"/>
                      <w:szCs w:val="16"/>
                    </w:rPr>
                  </w:pPr>
                  <w:r w:rsidRPr="00BC78D9">
                    <w:rPr>
                      <w:sz w:val="16"/>
                      <w:szCs w:val="16"/>
                    </w:rPr>
                    <w:t xml:space="preserve">PATENTSCOPE : </w:t>
                  </w:r>
                </w:p>
              </w:tc>
            </w:tr>
            <w:tr w:rsidR="00BC78D9" w:rsidRPr="00BC78D9" w14:paraId="4E708E64" w14:textId="77777777" w:rsidTr="006A627E">
              <w:tc>
                <w:tcPr>
                  <w:tcW w:w="752" w:type="dxa"/>
                  <w:shd w:val="clear" w:color="auto" w:fill="auto"/>
                </w:tcPr>
                <w:p w14:paraId="7BEDC3A1" w14:textId="77777777" w:rsidR="00BC78D9" w:rsidRPr="00BC78D9" w:rsidRDefault="00BC78D9" w:rsidP="006A627E">
                  <w:pPr>
                    <w:spacing w:after="120"/>
                    <w:jc w:val="right"/>
                    <w:rPr>
                      <w:sz w:val="16"/>
                      <w:szCs w:val="16"/>
                    </w:rPr>
                  </w:pPr>
                  <w:r w:rsidRPr="00BC78D9">
                    <w:rPr>
                      <w:sz w:val="16"/>
                      <w:szCs w:val="16"/>
                    </w:rPr>
                    <w:t>4531</w:t>
                  </w:r>
                </w:p>
              </w:tc>
              <w:tc>
                <w:tcPr>
                  <w:tcW w:w="2438" w:type="dxa"/>
                  <w:gridSpan w:val="2"/>
                  <w:hideMark/>
                </w:tcPr>
                <w:p w14:paraId="6B76FA63"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au Brésil)</w:t>
                  </w:r>
                </w:p>
              </w:tc>
            </w:tr>
            <w:tr w:rsidR="00BC78D9" w:rsidRPr="00BC78D9" w14:paraId="00EDC095" w14:textId="77777777" w:rsidTr="006A627E">
              <w:tc>
                <w:tcPr>
                  <w:tcW w:w="752" w:type="dxa"/>
                  <w:shd w:val="clear" w:color="auto" w:fill="auto"/>
                  <w:hideMark/>
                </w:tcPr>
                <w:p w14:paraId="4F1377DB" w14:textId="77777777" w:rsidR="00BC78D9" w:rsidRPr="00BC78D9" w:rsidRDefault="00BC78D9" w:rsidP="006A627E">
                  <w:pPr>
                    <w:spacing w:after="120"/>
                    <w:jc w:val="right"/>
                    <w:rPr>
                      <w:sz w:val="16"/>
                      <w:szCs w:val="16"/>
                    </w:rPr>
                  </w:pPr>
                  <w:r w:rsidRPr="00BC78D9">
                    <w:rPr>
                      <w:sz w:val="16"/>
                      <w:szCs w:val="16"/>
                    </w:rPr>
                    <w:t>29 122</w:t>
                  </w:r>
                </w:p>
              </w:tc>
              <w:tc>
                <w:tcPr>
                  <w:tcW w:w="2438" w:type="dxa"/>
                  <w:gridSpan w:val="2"/>
                  <w:hideMark/>
                </w:tcPr>
                <w:p w14:paraId="38E9EB1E"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en Chine)</w:t>
                  </w:r>
                </w:p>
              </w:tc>
            </w:tr>
            <w:tr w:rsidR="00BC78D9" w:rsidRPr="00BC78D9" w14:paraId="64517DAE" w14:textId="77777777" w:rsidTr="006A627E">
              <w:tc>
                <w:tcPr>
                  <w:tcW w:w="752" w:type="dxa"/>
                  <w:shd w:val="clear" w:color="auto" w:fill="auto"/>
                </w:tcPr>
                <w:p w14:paraId="3C01D012" w14:textId="77777777" w:rsidR="00BC78D9" w:rsidRPr="00BC78D9" w:rsidRDefault="00BC78D9" w:rsidP="006A627E">
                  <w:pPr>
                    <w:spacing w:after="120"/>
                    <w:jc w:val="right"/>
                    <w:rPr>
                      <w:sz w:val="16"/>
                      <w:szCs w:val="16"/>
                    </w:rPr>
                  </w:pPr>
                  <w:r w:rsidRPr="00BC78D9">
                    <w:rPr>
                      <w:sz w:val="16"/>
                      <w:szCs w:val="16"/>
                    </w:rPr>
                    <w:t>23 226</w:t>
                  </w:r>
                </w:p>
              </w:tc>
              <w:tc>
                <w:tcPr>
                  <w:tcW w:w="2438" w:type="dxa"/>
                  <w:gridSpan w:val="2"/>
                  <w:hideMark/>
                </w:tcPr>
                <w:p w14:paraId="2C98285F"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au Japon)</w:t>
                  </w:r>
                </w:p>
              </w:tc>
            </w:tr>
            <w:tr w:rsidR="00BC78D9" w:rsidRPr="00BC78D9" w14:paraId="2DB10AF4" w14:textId="77777777" w:rsidTr="006A627E">
              <w:tc>
                <w:tcPr>
                  <w:tcW w:w="752" w:type="dxa"/>
                  <w:shd w:val="clear" w:color="auto" w:fill="auto"/>
                  <w:hideMark/>
                </w:tcPr>
                <w:p w14:paraId="254F6CC1" w14:textId="77777777" w:rsidR="00BC78D9" w:rsidRPr="00BC78D9" w:rsidRDefault="00BC78D9" w:rsidP="006A627E">
                  <w:pPr>
                    <w:spacing w:after="120"/>
                    <w:jc w:val="right"/>
                    <w:rPr>
                      <w:sz w:val="16"/>
                      <w:szCs w:val="16"/>
                    </w:rPr>
                  </w:pPr>
                  <w:r w:rsidRPr="00BC78D9">
                    <w:rPr>
                      <w:sz w:val="16"/>
                      <w:szCs w:val="16"/>
                    </w:rPr>
                    <w:t>8152</w:t>
                  </w:r>
                </w:p>
              </w:tc>
              <w:tc>
                <w:tcPr>
                  <w:tcW w:w="2438" w:type="dxa"/>
                  <w:gridSpan w:val="2"/>
                  <w:hideMark/>
                </w:tcPr>
                <w:p w14:paraId="730BFB35"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en Fédération de Russie)</w:t>
                  </w:r>
                </w:p>
              </w:tc>
            </w:tr>
            <w:tr w:rsidR="00BC78D9" w:rsidRPr="00BC78D9" w14:paraId="25DF5BD8" w14:textId="77777777" w:rsidTr="006A627E">
              <w:tc>
                <w:tcPr>
                  <w:tcW w:w="752" w:type="dxa"/>
                  <w:shd w:val="clear" w:color="auto" w:fill="auto"/>
                </w:tcPr>
                <w:p w14:paraId="7BFDFF4A" w14:textId="77777777" w:rsidR="00BC78D9" w:rsidRPr="00BC78D9" w:rsidRDefault="00BC78D9" w:rsidP="006A627E">
                  <w:pPr>
                    <w:spacing w:after="120"/>
                    <w:jc w:val="right"/>
                    <w:rPr>
                      <w:sz w:val="16"/>
                      <w:szCs w:val="16"/>
                    </w:rPr>
                  </w:pPr>
                  <w:r w:rsidRPr="00BC78D9">
                    <w:rPr>
                      <w:sz w:val="16"/>
                      <w:szCs w:val="16"/>
                    </w:rPr>
                    <w:t>8912</w:t>
                  </w:r>
                </w:p>
              </w:tc>
              <w:tc>
                <w:tcPr>
                  <w:tcW w:w="2438" w:type="dxa"/>
                  <w:gridSpan w:val="2"/>
                  <w:hideMark/>
                </w:tcPr>
                <w:p w14:paraId="5A37B31E"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à Singapour)</w:t>
                  </w:r>
                </w:p>
              </w:tc>
            </w:tr>
            <w:tr w:rsidR="00BC78D9" w:rsidRPr="00BC78D9" w14:paraId="2F9C77C0" w14:textId="77777777" w:rsidTr="006A627E">
              <w:trPr>
                <w:gridAfter w:val="1"/>
                <w:wAfter w:w="622" w:type="dxa"/>
              </w:trPr>
              <w:tc>
                <w:tcPr>
                  <w:tcW w:w="2568" w:type="dxa"/>
                  <w:gridSpan w:val="2"/>
                </w:tcPr>
                <w:p w14:paraId="04D32E10" w14:textId="77777777" w:rsidR="00BC78D9" w:rsidRPr="00BC78D9" w:rsidRDefault="00BC78D9" w:rsidP="006A627E">
                  <w:pPr>
                    <w:rPr>
                      <w:sz w:val="16"/>
                      <w:szCs w:val="16"/>
                    </w:rPr>
                  </w:pPr>
                </w:p>
                <w:p w14:paraId="349ABEF4" w14:textId="77777777" w:rsidR="00BC78D9" w:rsidRPr="00BC78D9" w:rsidRDefault="00BC78D9" w:rsidP="006A627E">
                  <w:pPr>
                    <w:ind w:left="-75"/>
                    <w:rPr>
                      <w:sz w:val="16"/>
                      <w:szCs w:val="16"/>
                    </w:rPr>
                  </w:pPr>
                  <w:r w:rsidRPr="00BC78D9">
                    <w:rPr>
                      <w:sz w:val="16"/>
                      <w:szCs w:val="16"/>
                    </w:rPr>
                    <w:t xml:space="preserve">Base de données mondiale sur les marques : </w:t>
                  </w:r>
                </w:p>
              </w:tc>
            </w:tr>
            <w:tr w:rsidR="00BC78D9" w:rsidRPr="00BC78D9" w14:paraId="3566E9AC" w14:textId="77777777" w:rsidTr="006A627E">
              <w:tc>
                <w:tcPr>
                  <w:tcW w:w="752" w:type="dxa"/>
                  <w:shd w:val="clear" w:color="auto" w:fill="FFFFFF" w:themeFill="background1"/>
                  <w:vAlign w:val="bottom"/>
                </w:tcPr>
                <w:p w14:paraId="20AAC3D0" w14:textId="77777777" w:rsidR="00BC78D9" w:rsidRPr="00BC78D9" w:rsidRDefault="00BC78D9" w:rsidP="006A627E">
                  <w:pPr>
                    <w:rPr>
                      <w:sz w:val="16"/>
                      <w:szCs w:val="16"/>
                    </w:rPr>
                  </w:pPr>
                  <w:r w:rsidRPr="00BC78D9">
                    <w:rPr>
                      <w:sz w:val="16"/>
                      <w:szCs w:val="16"/>
                    </w:rPr>
                    <w:t>647</w:t>
                  </w:r>
                </w:p>
              </w:tc>
              <w:tc>
                <w:tcPr>
                  <w:tcW w:w="2438" w:type="dxa"/>
                  <w:gridSpan w:val="2"/>
                  <w:vAlign w:val="center"/>
                  <w:hideMark/>
                </w:tcPr>
                <w:p w14:paraId="5226CBD7"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au Brésil)</w:t>
                  </w:r>
                </w:p>
              </w:tc>
            </w:tr>
            <w:tr w:rsidR="00BC78D9" w:rsidRPr="00BC78D9" w14:paraId="0441C33E" w14:textId="77777777" w:rsidTr="006A627E">
              <w:tc>
                <w:tcPr>
                  <w:tcW w:w="752" w:type="dxa"/>
                  <w:shd w:val="clear" w:color="auto" w:fill="FFFFFF" w:themeFill="background1"/>
                  <w:vAlign w:val="bottom"/>
                </w:tcPr>
                <w:p w14:paraId="481F3AE8" w14:textId="77777777" w:rsidR="00BC78D9" w:rsidRPr="00BC78D9" w:rsidRDefault="00BC78D9" w:rsidP="006A627E">
                  <w:pPr>
                    <w:rPr>
                      <w:sz w:val="16"/>
                      <w:szCs w:val="16"/>
                    </w:rPr>
                  </w:pPr>
                  <w:r w:rsidRPr="00BC78D9">
                    <w:rPr>
                      <w:sz w:val="16"/>
                      <w:szCs w:val="16"/>
                    </w:rPr>
                    <w:t>8061</w:t>
                  </w:r>
                </w:p>
              </w:tc>
              <w:tc>
                <w:tcPr>
                  <w:tcW w:w="2438" w:type="dxa"/>
                  <w:gridSpan w:val="2"/>
                  <w:vAlign w:val="center"/>
                  <w:hideMark/>
                </w:tcPr>
                <w:p w14:paraId="7123C4CC"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en Chine)</w:t>
                  </w:r>
                </w:p>
              </w:tc>
            </w:tr>
            <w:tr w:rsidR="00BC78D9" w:rsidRPr="00BC78D9" w14:paraId="57A896A1" w14:textId="77777777" w:rsidTr="006A627E">
              <w:tc>
                <w:tcPr>
                  <w:tcW w:w="752" w:type="dxa"/>
                  <w:shd w:val="clear" w:color="auto" w:fill="FFFFFF" w:themeFill="background1"/>
                  <w:vAlign w:val="bottom"/>
                </w:tcPr>
                <w:p w14:paraId="69EBE22F" w14:textId="77777777" w:rsidR="00BC78D9" w:rsidRPr="00BC78D9" w:rsidRDefault="00BC78D9" w:rsidP="006A627E">
                  <w:pPr>
                    <w:rPr>
                      <w:sz w:val="16"/>
                      <w:szCs w:val="16"/>
                    </w:rPr>
                  </w:pPr>
                  <w:r w:rsidRPr="00BC78D9">
                    <w:rPr>
                      <w:sz w:val="16"/>
                      <w:szCs w:val="16"/>
                    </w:rPr>
                    <w:t>5964</w:t>
                  </w:r>
                </w:p>
              </w:tc>
              <w:tc>
                <w:tcPr>
                  <w:tcW w:w="2438" w:type="dxa"/>
                  <w:gridSpan w:val="2"/>
                  <w:vAlign w:val="center"/>
                  <w:hideMark/>
                </w:tcPr>
                <w:p w14:paraId="19511BEA"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au Japon)</w:t>
                  </w:r>
                </w:p>
              </w:tc>
            </w:tr>
            <w:tr w:rsidR="00BC78D9" w:rsidRPr="00BC78D9" w14:paraId="296A259D" w14:textId="77777777" w:rsidTr="006A627E">
              <w:tc>
                <w:tcPr>
                  <w:tcW w:w="752" w:type="dxa"/>
                  <w:shd w:val="clear" w:color="auto" w:fill="FFFFFF" w:themeFill="background1"/>
                  <w:vAlign w:val="bottom"/>
                </w:tcPr>
                <w:p w14:paraId="79A78849" w14:textId="77777777" w:rsidR="00BC78D9" w:rsidRPr="00BC78D9" w:rsidRDefault="00BC78D9" w:rsidP="006A627E">
                  <w:pPr>
                    <w:rPr>
                      <w:sz w:val="16"/>
                      <w:szCs w:val="16"/>
                    </w:rPr>
                  </w:pPr>
                  <w:r w:rsidRPr="00BC78D9">
                    <w:rPr>
                      <w:sz w:val="16"/>
                      <w:szCs w:val="16"/>
                    </w:rPr>
                    <w:t>3914</w:t>
                  </w:r>
                </w:p>
              </w:tc>
              <w:tc>
                <w:tcPr>
                  <w:tcW w:w="2438" w:type="dxa"/>
                  <w:gridSpan w:val="2"/>
                  <w:vAlign w:val="center"/>
                  <w:hideMark/>
                </w:tcPr>
                <w:p w14:paraId="2B2444A5"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en Fédération de Russie)</w:t>
                  </w:r>
                </w:p>
              </w:tc>
            </w:tr>
            <w:tr w:rsidR="00BC78D9" w:rsidRPr="00BC78D9" w14:paraId="573E060B" w14:textId="77777777" w:rsidTr="006A627E">
              <w:tc>
                <w:tcPr>
                  <w:tcW w:w="752" w:type="dxa"/>
                  <w:shd w:val="clear" w:color="auto" w:fill="FFFFFF" w:themeFill="background1"/>
                  <w:vAlign w:val="bottom"/>
                </w:tcPr>
                <w:p w14:paraId="6831D04C" w14:textId="77777777" w:rsidR="00BC78D9" w:rsidRPr="00BC78D9" w:rsidRDefault="00BC78D9" w:rsidP="006A627E">
                  <w:pPr>
                    <w:rPr>
                      <w:sz w:val="16"/>
                      <w:szCs w:val="16"/>
                    </w:rPr>
                  </w:pPr>
                  <w:r w:rsidRPr="00BC78D9">
                    <w:rPr>
                      <w:sz w:val="16"/>
                      <w:szCs w:val="16"/>
                    </w:rPr>
                    <w:t>34 217</w:t>
                  </w:r>
                </w:p>
              </w:tc>
              <w:tc>
                <w:tcPr>
                  <w:tcW w:w="2438" w:type="dxa"/>
                  <w:gridSpan w:val="2"/>
                  <w:vAlign w:val="center"/>
                  <w:hideMark/>
                </w:tcPr>
                <w:p w14:paraId="5A10F2C3"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à Singapour)</w:t>
                  </w:r>
                </w:p>
              </w:tc>
            </w:tr>
            <w:tr w:rsidR="00BC78D9" w:rsidRPr="00BC78D9" w14:paraId="7F784458" w14:textId="77777777" w:rsidTr="006A627E">
              <w:trPr>
                <w:gridAfter w:val="1"/>
                <w:wAfter w:w="622" w:type="dxa"/>
              </w:trPr>
              <w:tc>
                <w:tcPr>
                  <w:tcW w:w="2568" w:type="dxa"/>
                  <w:gridSpan w:val="2"/>
                </w:tcPr>
                <w:p w14:paraId="017AC0B9" w14:textId="77777777" w:rsidR="00BC78D9" w:rsidRPr="00BC78D9" w:rsidRDefault="00BC78D9" w:rsidP="006A627E">
                  <w:pPr>
                    <w:rPr>
                      <w:sz w:val="16"/>
                      <w:szCs w:val="16"/>
                    </w:rPr>
                  </w:pPr>
                </w:p>
                <w:p w14:paraId="5D401BD3" w14:textId="77777777" w:rsidR="00BC78D9" w:rsidRPr="00BC78D9" w:rsidRDefault="00BC78D9" w:rsidP="006A627E">
                  <w:pPr>
                    <w:ind w:left="-75"/>
                    <w:rPr>
                      <w:sz w:val="16"/>
                      <w:szCs w:val="16"/>
                    </w:rPr>
                  </w:pPr>
                  <w:r w:rsidRPr="00BC78D9">
                    <w:rPr>
                      <w:sz w:val="16"/>
                      <w:szCs w:val="16"/>
                    </w:rPr>
                    <w:t xml:space="preserve">Base de données mondiale sur les dessins et modèles : </w:t>
                  </w:r>
                </w:p>
              </w:tc>
            </w:tr>
            <w:tr w:rsidR="00BC78D9" w:rsidRPr="00BC78D9" w14:paraId="7DCE11AF" w14:textId="77777777" w:rsidTr="006A627E">
              <w:tc>
                <w:tcPr>
                  <w:tcW w:w="752" w:type="dxa"/>
                  <w:shd w:val="clear" w:color="auto" w:fill="FFFFFF" w:themeFill="background1"/>
                  <w:vAlign w:val="bottom"/>
                </w:tcPr>
                <w:p w14:paraId="43E2CF57" w14:textId="77777777" w:rsidR="00BC78D9" w:rsidRPr="00BC78D9" w:rsidRDefault="00BC78D9" w:rsidP="006A627E">
                  <w:pPr>
                    <w:rPr>
                      <w:sz w:val="16"/>
                      <w:szCs w:val="16"/>
                    </w:rPr>
                  </w:pPr>
                  <w:r w:rsidRPr="00BC78D9">
                    <w:rPr>
                      <w:sz w:val="16"/>
                      <w:szCs w:val="16"/>
                    </w:rPr>
                    <w:t>221</w:t>
                  </w:r>
                </w:p>
              </w:tc>
              <w:tc>
                <w:tcPr>
                  <w:tcW w:w="2438" w:type="dxa"/>
                  <w:gridSpan w:val="2"/>
                  <w:vAlign w:val="center"/>
                  <w:hideMark/>
                </w:tcPr>
                <w:p w14:paraId="6F3921AE"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au Brésil)</w:t>
                  </w:r>
                </w:p>
              </w:tc>
            </w:tr>
            <w:tr w:rsidR="00BC78D9" w:rsidRPr="00BC78D9" w14:paraId="7F7890FC" w14:textId="77777777" w:rsidTr="006A627E">
              <w:tc>
                <w:tcPr>
                  <w:tcW w:w="752" w:type="dxa"/>
                  <w:shd w:val="clear" w:color="auto" w:fill="FFFFFF" w:themeFill="background1"/>
                  <w:vAlign w:val="bottom"/>
                </w:tcPr>
                <w:p w14:paraId="658961FB" w14:textId="77777777" w:rsidR="00BC78D9" w:rsidRPr="00BC78D9" w:rsidRDefault="00BC78D9" w:rsidP="006A627E">
                  <w:pPr>
                    <w:rPr>
                      <w:sz w:val="16"/>
                      <w:szCs w:val="16"/>
                    </w:rPr>
                  </w:pPr>
                  <w:r w:rsidRPr="00BC78D9">
                    <w:rPr>
                      <w:sz w:val="16"/>
                      <w:szCs w:val="16"/>
                    </w:rPr>
                    <w:t>1531</w:t>
                  </w:r>
                </w:p>
              </w:tc>
              <w:tc>
                <w:tcPr>
                  <w:tcW w:w="2438" w:type="dxa"/>
                  <w:gridSpan w:val="2"/>
                  <w:vAlign w:val="center"/>
                  <w:hideMark/>
                </w:tcPr>
                <w:p w14:paraId="6280BA51"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en Chine)</w:t>
                  </w:r>
                </w:p>
              </w:tc>
            </w:tr>
            <w:tr w:rsidR="00BC78D9" w:rsidRPr="00BC78D9" w14:paraId="145F3C77" w14:textId="77777777" w:rsidTr="006A627E">
              <w:tc>
                <w:tcPr>
                  <w:tcW w:w="752" w:type="dxa"/>
                  <w:shd w:val="clear" w:color="auto" w:fill="FFFFFF" w:themeFill="background1"/>
                  <w:vAlign w:val="bottom"/>
                </w:tcPr>
                <w:p w14:paraId="4F5F1266" w14:textId="77777777" w:rsidR="00BC78D9" w:rsidRPr="00BC78D9" w:rsidRDefault="00BC78D9" w:rsidP="006A627E">
                  <w:pPr>
                    <w:rPr>
                      <w:sz w:val="16"/>
                      <w:szCs w:val="16"/>
                    </w:rPr>
                  </w:pPr>
                  <w:r w:rsidRPr="00BC78D9">
                    <w:rPr>
                      <w:sz w:val="16"/>
                      <w:szCs w:val="16"/>
                    </w:rPr>
                    <w:t>1754</w:t>
                  </w:r>
                </w:p>
              </w:tc>
              <w:tc>
                <w:tcPr>
                  <w:tcW w:w="2438" w:type="dxa"/>
                  <w:gridSpan w:val="2"/>
                  <w:vAlign w:val="center"/>
                  <w:hideMark/>
                </w:tcPr>
                <w:p w14:paraId="0D51C0D4"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au Japon)</w:t>
                  </w:r>
                </w:p>
              </w:tc>
            </w:tr>
            <w:tr w:rsidR="00BC78D9" w:rsidRPr="00BC78D9" w14:paraId="46D260CF" w14:textId="77777777" w:rsidTr="006A627E">
              <w:tc>
                <w:tcPr>
                  <w:tcW w:w="752" w:type="dxa"/>
                  <w:shd w:val="clear" w:color="auto" w:fill="FFFFFF" w:themeFill="background1"/>
                  <w:vAlign w:val="bottom"/>
                </w:tcPr>
                <w:p w14:paraId="249F6498" w14:textId="77777777" w:rsidR="00BC78D9" w:rsidRPr="00BC78D9" w:rsidRDefault="00BC78D9" w:rsidP="006A627E">
                  <w:pPr>
                    <w:rPr>
                      <w:sz w:val="16"/>
                      <w:szCs w:val="16"/>
                    </w:rPr>
                  </w:pPr>
                  <w:r w:rsidRPr="00BC78D9">
                    <w:rPr>
                      <w:sz w:val="16"/>
                      <w:szCs w:val="16"/>
                    </w:rPr>
                    <w:t>1010</w:t>
                  </w:r>
                </w:p>
              </w:tc>
              <w:tc>
                <w:tcPr>
                  <w:tcW w:w="2438" w:type="dxa"/>
                  <w:gridSpan w:val="2"/>
                  <w:vAlign w:val="center"/>
                  <w:hideMark/>
                </w:tcPr>
                <w:p w14:paraId="11E2DA03"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en Fédération de Russie)</w:t>
                  </w:r>
                </w:p>
              </w:tc>
            </w:tr>
            <w:tr w:rsidR="00BC78D9" w:rsidRPr="00BC78D9" w14:paraId="43C7B4BD" w14:textId="77777777" w:rsidTr="006A627E">
              <w:tc>
                <w:tcPr>
                  <w:tcW w:w="752" w:type="dxa"/>
                  <w:shd w:val="clear" w:color="auto" w:fill="FFFFFF" w:themeFill="background1"/>
                  <w:vAlign w:val="bottom"/>
                </w:tcPr>
                <w:p w14:paraId="0FD8B620" w14:textId="77777777" w:rsidR="00BC78D9" w:rsidRPr="00BC78D9" w:rsidRDefault="00BC78D9" w:rsidP="006A627E">
                  <w:pPr>
                    <w:rPr>
                      <w:sz w:val="16"/>
                      <w:szCs w:val="16"/>
                    </w:rPr>
                  </w:pPr>
                  <w:r w:rsidRPr="00BC78D9">
                    <w:rPr>
                      <w:sz w:val="16"/>
                      <w:szCs w:val="16"/>
                    </w:rPr>
                    <w:t>576</w:t>
                  </w:r>
                </w:p>
              </w:tc>
              <w:tc>
                <w:tcPr>
                  <w:tcW w:w="2438" w:type="dxa"/>
                  <w:gridSpan w:val="2"/>
                  <w:vAlign w:val="center"/>
                  <w:hideMark/>
                </w:tcPr>
                <w:p w14:paraId="07CFA3B3" w14:textId="77777777" w:rsidR="00BC78D9" w:rsidRPr="00BC78D9" w:rsidRDefault="00BC78D9" w:rsidP="006A627E">
                  <w:pPr>
                    <w:keepNext/>
                    <w:keepLines/>
                    <w:suppressLineNumbers/>
                    <w:suppressAutoHyphens/>
                    <w:spacing w:after="120"/>
                    <w:ind w:left="-108" w:right="781"/>
                    <w:rPr>
                      <w:sz w:val="16"/>
                      <w:szCs w:val="16"/>
                    </w:rPr>
                  </w:pPr>
                  <w:r w:rsidRPr="00BC78D9">
                    <w:rPr>
                      <w:sz w:val="16"/>
                      <w:szCs w:val="16"/>
                    </w:rPr>
                    <w:t>(Bureau de l’OMPI à Singapour)</w:t>
                  </w:r>
                </w:p>
              </w:tc>
            </w:tr>
          </w:tbl>
          <w:p w14:paraId="5F6D7EAA" w14:textId="77777777" w:rsidR="00BC78D9" w:rsidRPr="00BC78D9" w:rsidRDefault="00BC78D9" w:rsidP="006A627E">
            <w:pPr>
              <w:keepNext/>
              <w:keepLines/>
              <w:suppressLineNumbers/>
              <w:suppressAutoHyphens/>
              <w:rPr>
                <w:sz w:val="16"/>
                <w:szCs w:val="16"/>
              </w:rPr>
            </w:pPr>
          </w:p>
        </w:tc>
        <w:tc>
          <w:tcPr>
            <w:tcW w:w="567" w:type="pct"/>
            <w:shd w:val="clear" w:color="auto" w:fill="auto"/>
            <w:tcMar>
              <w:top w:w="110" w:type="dxa"/>
              <w:left w:w="57" w:type="dxa"/>
              <w:bottom w:w="57" w:type="dxa"/>
              <w:right w:w="57" w:type="dxa"/>
            </w:tcMar>
          </w:tcPr>
          <w:p w14:paraId="06A12EF5" w14:textId="77777777" w:rsidR="00BC78D9" w:rsidRPr="00BC78D9" w:rsidRDefault="00BC78D9" w:rsidP="006A627E">
            <w:pPr>
              <w:keepNext/>
              <w:keepLines/>
              <w:suppressLineNumbers/>
              <w:suppressAutoHyphens/>
              <w:spacing w:after="60"/>
              <w:rPr>
                <w:sz w:val="16"/>
                <w:szCs w:val="16"/>
              </w:rPr>
            </w:pPr>
          </w:p>
          <w:p w14:paraId="70930F65"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54C27DD7"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44628D87"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13DC4784"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7B8A649C" w14:textId="77777777" w:rsidR="00BC78D9" w:rsidRPr="00BC78D9" w:rsidRDefault="00BC78D9" w:rsidP="005A435C">
            <w:pPr>
              <w:keepNext/>
              <w:keepLines/>
              <w:suppressLineNumbers/>
              <w:suppressAutoHyphens/>
              <w:spacing w:before="240" w:after="120"/>
              <w:jc w:val="center"/>
              <w:rPr>
                <w:b/>
                <w:sz w:val="16"/>
                <w:szCs w:val="16"/>
              </w:rPr>
            </w:pPr>
            <w:r w:rsidRPr="00BC78D9">
              <w:rPr>
                <w:b/>
                <w:color w:val="00B050"/>
                <w:sz w:val="16"/>
                <w:szCs w:val="16"/>
              </w:rPr>
              <w:t>En bonne voie</w:t>
            </w:r>
          </w:p>
          <w:p w14:paraId="0742AFC8" w14:textId="77777777" w:rsidR="00BC78D9" w:rsidRPr="00BC78D9" w:rsidRDefault="00BC78D9" w:rsidP="006A627E">
            <w:pPr>
              <w:keepNext/>
              <w:keepLines/>
              <w:suppressLineNumbers/>
              <w:suppressAutoHyphens/>
              <w:jc w:val="center"/>
              <w:rPr>
                <w:sz w:val="16"/>
                <w:szCs w:val="16"/>
              </w:rPr>
            </w:pPr>
          </w:p>
          <w:p w14:paraId="245E4FEB" w14:textId="77777777" w:rsidR="00BC78D9" w:rsidRPr="00BC78D9" w:rsidRDefault="00BC78D9" w:rsidP="006A627E">
            <w:pPr>
              <w:keepNext/>
              <w:keepLines/>
              <w:suppressLineNumbers/>
              <w:suppressAutoHyphens/>
              <w:jc w:val="center"/>
              <w:rPr>
                <w:sz w:val="16"/>
                <w:szCs w:val="16"/>
              </w:rPr>
            </w:pPr>
          </w:p>
          <w:p w14:paraId="512CB00E" w14:textId="77777777" w:rsidR="00BC78D9" w:rsidRPr="00BC78D9" w:rsidRDefault="00BC78D9" w:rsidP="006A627E">
            <w:pPr>
              <w:keepNext/>
              <w:keepLines/>
              <w:suppressLineNumbers/>
              <w:suppressAutoHyphens/>
              <w:jc w:val="center"/>
              <w:rPr>
                <w:sz w:val="16"/>
                <w:szCs w:val="16"/>
              </w:rPr>
            </w:pPr>
          </w:p>
          <w:p w14:paraId="3A6AE014" w14:textId="77777777" w:rsidR="00BC78D9" w:rsidRPr="00BC78D9" w:rsidRDefault="00BC78D9" w:rsidP="005A435C">
            <w:pPr>
              <w:keepNext/>
              <w:keepLines/>
              <w:suppressLineNumbers/>
              <w:suppressAutoHyphens/>
              <w:spacing w:before="60" w:after="120"/>
              <w:jc w:val="center"/>
              <w:rPr>
                <w:b/>
                <w:sz w:val="16"/>
                <w:szCs w:val="16"/>
              </w:rPr>
            </w:pPr>
            <w:r w:rsidRPr="00BC78D9">
              <w:rPr>
                <w:b/>
                <w:color w:val="00B050"/>
                <w:sz w:val="16"/>
                <w:szCs w:val="16"/>
              </w:rPr>
              <w:t>En bonne voie</w:t>
            </w:r>
          </w:p>
          <w:p w14:paraId="312334AF"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2EA8FA1D"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238FEA87"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6324F52A" w14:textId="77777777" w:rsidR="00BC78D9" w:rsidRPr="00BC78D9" w:rsidRDefault="00BC78D9" w:rsidP="005A435C">
            <w:pPr>
              <w:keepNext/>
              <w:keepLines/>
              <w:suppressLineNumbers/>
              <w:suppressAutoHyphens/>
              <w:spacing w:before="240" w:after="120"/>
              <w:jc w:val="center"/>
              <w:rPr>
                <w:b/>
                <w:sz w:val="16"/>
                <w:szCs w:val="16"/>
              </w:rPr>
            </w:pPr>
            <w:r w:rsidRPr="00BC78D9">
              <w:rPr>
                <w:b/>
                <w:color w:val="00B050"/>
                <w:sz w:val="16"/>
                <w:szCs w:val="16"/>
              </w:rPr>
              <w:t>En bonne voie</w:t>
            </w:r>
          </w:p>
          <w:p w14:paraId="1BDE27F9" w14:textId="77777777" w:rsidR="00BC78D9" w:rsidRPr="00BC78D9" w:rsidRDefault="00BC78D9" w:rsidP="006A627E">
            <w:pPr>
              <w:keepNext/>
              <w:keepLines/>
              <w:suppressLineNumbers/>
              <w:suppressAutoHyphens/>
              <w:spacing w:after="120"/>
              <w:jc w:val="center"/>
              <w:rPr>
                <w:b/>
                <w:sz w:val="16"/>
                <w:szCs w:val="16"/>
              </w:rPr>
            </w:pPr>
          </w:p>
          <w:p w14:paraId="34B03B86" w14:textId="77777777" w:rsidR="00BC78D9" w:rsidRPr="00BC78D9" w:rsidRDefault="00BC78D9" w:rsidP="006A627E">
            <w:pPr>
              <w:keepNext/>
              <w:keepLines/>
              <w:suppressLineNumbers/>
              <w:suppressAutoHyphens/>
              <w:spacing w:after="120"/>
              <w:jc w:val="center"/>
              <w:rPr>
                <w:b/>
                <w:sz w:val="16"/>
                <w:szCs w:val="16"/>
              </w:rPr>
            </w:pPr>
          </w:p>
          <w:p w14:paraId="67E842C4" w14:textId="77777777" w:rsidR="00BC78D9" w:rsidRPr="00BC78D9" w:rsidRDefault="00BC78D9" w:rsidP="006A627E">
            <w:pPr>
              <w:keepNext/>
              <w:keepLines/>
              <w:suppressLineNumbers/>
              <w:suppressAutoHyphens/>
              <w:spacing w:after="120"/>
              <w:jc w:val="center"/>
              <w:rPr>
                <w:b/>
                <w:sz w:val="16"/>
                <w:szCs w:val="16"/>
              </w:rPr>
            </w:pPr>
            <w:r w:rsidRPr="00BC78D9">
              <w:rPr>
                <w:b/>
                <w:color w:val="00B050"/>
                <w:sz w:val="16"/>
                <w:szCs w:val="16"/>
              </w:rPr>
              <w:t>En bonne voie</w:t>
            </w:r>
          </w:p>
          <w:p w14:paraId="54565728" w14:textId="77777777" w:rsidR="00BC78D9" w:rsidRPr="00BC78D9" w:rsidRDefault="00BC78D9" w:rsidP="006A627E">
            <w:pPr>
              <w:keepNext/>
              <w:keepLines/>
              <w:suppressLineNumbers/>
              <w:suppressAutoHyphens/>
              <w:spacing w:after="60"/>
              <w:jc w:val="center"/>
              <w:rPr>
                <w:b/>
                <w:sz w:val="16"/>
                <w:szCs w:val="16"/>
              </w:rPr>
            </w:pPr>
            <w:r w:rsidRPr="00BC78D9">
              <w:rPr>
                <w:b/>
                <w:color w:val="00B050"/>
                <w:sz w:val="16"/>
                <w:szCs w:val="16"/>
              </w:rPr>
              <w:t>En bonne voie</w:t>
            </w:r>
          </w:p>
          <w:p w14:paraId="0F5A8056" w14:textId="77777777" w:rsidR="00BC78D9" w:rsidRPr="00BC78D9" w:rsidRDefault="00BC78D9" w:rsidP="005A435C">
            <w:pPr>
              <w:keepNext/>
              <w:keepLines/>
              <w:suppressLineNumbers/>
              <w:suppressAutoHyphens/>
              <w:spacing w:before="60" w:after="60"/>
              <w:jc w:val="center"/>
              <w:rPr>
                <w:b/>
                <w:color w:val="FF0000"/>
                <w:sz w:val="16"/>
                <w:szCs w:val="16"/>
              </w:rPr>
            </w:pPr>
            <w:r w:rsidRPr="00BC78D9">
              <w:rPr>
                <w:b/>
                <w:color w:val="FF0000"/>
                <w:sz w:val="16"/>
                <w:szCs w:val="16"/>
              </w:rPr>
              <w:t>Pas en bonne voie</w:t>
            </w:r>
          </w:p>
          <w:p w14:paraId="1F7CD48D" w14:textId="77777777" w:rsidR="00BC78D9" w:rsidRPr="00BC78D9" w:rsidRDefault="00BC78D9" w:rsidP="005A435C">
            <w:pPr>
              <w:keepNext/>
              <w:keepLines/>
              <w:suppressLineNumbers/>
              <w:suppressAutoHyphens/>
              <w:spacing w:before="200" w:after="120"/>
              <w:jc w:val="center"/>
              <w:rPr>
                <w:b/>
                <w:sz w:val="16"/>
                <w:szCs w:val="16"/>
              </w:rPr>
            </w:pPr>
            <w:r w:rsidRPr="00BC78D9">
              <w:rPr>
                <w:b/>
                <w:color w:val="00B050"/>
                <w:sz w:val="16"/>
                <w:szCs w:val="16"/>
              </w:rPr>
              <w:t>En bonne voie</w:t>
            </w:r>
          </w:p>
          <w:p w14:paraId="12F2E78A" w14:textId="77777777" w:rsidR="00BC78D9" w:rsidRPr="00BC78D9" w:rsidRDefault="00BC78D9" w:rsidP="005A435C">
            <w:pPr>
              <w:keepNext/>
              <w:keepLines/>
              <w:suppressLineNumbers/>
              <w:suppressAutoHyphens/>
              <w:spacing w:before="240" w:after="120"/>
              <w:jc w:val="center"/>
              <w:rPr>
                <w:b/>
                <w:sz w:val="16"/>
                <w:szCs w:val="16"/>
              </w:rPr>
            </w:pPr>
            <w:r w:rsidRPr="00BC78D9">
              <w:rPr>
                <w:b/>
                <w:color w:val="00B050"/>
                <w:sz w:val="16"/>
                <w:szCs w:val="16"/>
              </w:rPr>
              <w:t>En bonne voie</w:t>
            </w:r>
            <w:r w:rsidRPr="00BC78D9">
              <w:rPr>
                <w:b/>
                <w:sz w:val="16"/>
                <w:szCs w:val="16"/>
              </w:rPr>
              <w:t xml:space="preserve"> </w:t>
            </w:r>
          </w:p>
        </w:tc>
      </w:tr>
      <w:tr w:rsidR="00BC78D9" w:rsidRPr="00BC78D9" w14:paraId="5E363DE6" w14:textId="77777777" w:rsidTr="006A627E">
        <w:trPr>
          <w:cantSplit/>
          <w:trHeight w:val="1300"/>
        </w:trPr>
        <w:tc>
          <w:tcPr>
            <w:tcW w:w="1039" w:type="pct"/>
            <w:gridSpan w:val="2"/>
            <w:shd w:val="clear" w:color="auto" w:fill="auto"/>
            <w:tcMar>
              <w:left w:w="57" w:type="dxa"/>
              <w:bottom w:w="57" w:type="dxa"/>
              <w:right w:w="57" w:type="dxa"/>
            </w:tcMar>
          </w:tcPr>
          <w:p w14:paraId="777FBEC4"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Nombre de réseaux nationaux de CATI durables</w:t>
            </w:r>
            <w:r w:rsidRPr="00BC78D9">
              <w:rPr>
                <w:rStyle w:val="FootnoteReference"/>
                <w:rFonts w:eastAsia="Batang" w:cs="Arial"/>
                <w:color w:val="auto"/>
                <w:szCs w:val="16"/>
                <w:lang w:val="fr-FR"/>
              </w:rPr>
              <w:footnoteReference w:id="84"/>
            </w:r>
            <w:r w:rsidRPr="00BC78D9">
              <w:rPr>
                <w:color w:val="auto"/>
                <w:sz w:val="16"/>
                <w:szCs w:val="16"/>
                <w:lang w:val="fr-FR"/>
              </w:rPr>
              <w:t xml:space="preserve"> </w:t>
            </w:r>
          </w:p>
        </w:tc>
        <w:tc>
          <w:tcPr>
            <w:tcW w:w="1276" w:type="pct"/>
            <w:shd w:val="clear" w:color="auto" w:fill="auto"/>
            <w:tcMar>
              <w:left w:w="57" w:type="dxa"/>
              <w:bottom w:w="57" w:type="dxa"/>
              <w:right w:w="57" w:type="dxa"/>
            </w:tcMar>
          </w:tcPr>
          <w:p w14:paraId="7AC6573E"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260DD10C" w14:textId="77777777" w:rsidR="00BC78D9" w:rsidRPr="00BC78D9" w:rsidRDefault="00BC78D9" w:rsidP="006A627E">
            <w:pPr>
              <w:suppressLineNumbers/>
              <w:suppressAutoHyphens/>
              <w:rPr>
                <w:color w:val="002060"/>
                <w:sz w:val="16"/>
                <w:szCs w:val="16"/>
              </w:rPr>
            </w:pPr>
            <w:r w:rsidRPr="00BC78D9">
              <w:rPr>
                <w:color w:val="002060"/>
                <w:sz w:val="16"/>
                <w:szCs w:val="16"/>
              </w:rPr>
              <w:t>Bureau de l’OMPI en Chine : 0</w:t>
            </w:r>
          </w:p>
          <w:p w14:paraId="7B198602" w14:textId="77777777" w:rsidR="00BC78D9" w:rsidRPr="00BC78D9" w:rsidRDefault="00BC78D9" w:rsidP="006A627E">
            <w:pPr>
              <w:suppressLineNumbers/>
              <w:suppressAutoHyphens/>
              <w:rPr>
                <w:color w:val="002060"/>
                <w:sz w:val="16"/>
                <w:szCs w:val="16"/>
              </w:rPr>
            </w:pPr>
            <w:r w:rsidRPr="00BC78D9">
              <w:rPr>
                <w:color w:val="002060"/>
                <w:sz w:val="16"/>
                <w:szCs w:val="16"/>
              </w:rPr>
              <w:t>Bureau de l’OMPI à Singapour : 2</w:t>
            </w:r>
          </w:p>
          <w:p w14:paraId="1D36F3F7" w14:textId="77777777" w:rsidR="00BC78D9" w:rsidRPr="00BC78D9" w:rsidRDefault="00BC78D9" w:rsidP="006A627E">
            <w:pPr>
              <w:suppressLineNumbers/>
              <w:suppressAutoHyphens/>
              <w:rPr>
                <w:color w:val="002060"/>
                <w:sz w:val="16"/>
                <w:szCs w:val="16"/>
              </w:rPr>
            </w:pPr>
            <w:r w:rsidRPr="00BC78D9">
              <w:rPr>
                <w:color w:val="002060"/>
                <w:sz w:val="16"/>
                <w:szCs w:val="16"/>
              </w:rPr>
              <w:noBreakHyphen/>
              <w:t xml:space="preserve"> 1 Développement niveau 1</w:t>
            </w:r>
          </w:p>
          <w:p w14:paraId="6039FA4F" w14:textId="77777777" w:rsidR="00BC78D9" w:rsidRPr="00BC78D9" w:rsidRDefault="00BC78D9" w:rsidP="006A627E">
            <w:pPr>
              <w:suppressLineNumbers/>
              <w:suppressAutoHyphens/>
              <w:rPr>
                <w:color w:val="002060"/>
                <w:sz w:val="16"/>
                <w:szCs w:val="16"/>
              </w:rPr>
            </w:pPr>
            <w:r w:rsidRPr="00BC78D9">
              <w:rPr>
                <w:color w:val="002060"/>
                <w:sz w:val="16"/>
                <w:szCs w:val="16"/>
              </w:rPr>
              <w:noBreakHyphen/>
              <w:t xml:space="preserve"> 1 Développement niveau 3</w:t>
            </w:r>
          </w:p>
          <w:p w14:paraId="2B448FA7" w14:textId="77777777" w:rsidR="00BC78D9" w:rsidRPr="00BC78D9" w:rsidRDefault="00BC78D9" w:rsidP="006A627E">
            <w:pPr>
              <w:suppressLineNumbers/>
              <w:suppressAutoHyphens/>
              <w:rPr>
                <w:sz w:val="16"/>
                <w:szCs w:val="16"/>
              </w:rPr>
            </w:pPr>
          </w:p>
          <w:p w14:paraId="0047C32D"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5C175017" w14:textId="77777777" w:rsidR="00BC78D9" w:rsidRPr="00BC78D9" w:rsidRDefault="00BC78D9" w:rsidP="006A627E">
            <w:pPr>
              <w:suppressLineNumbers/>
              <w:suppressAutoHyphens/>
              <w:spacing w:after="120"/>
              <w:rPr>
                <w:sz w:val="16"/>
                <w:szCs w:val="16"/>
              </w:rPr>
            </w:pPr>
            <w:r w:rsidRPr="00BC78D9">
              <w:rPr>
                <w:sz w:val="16"/>
                <w:szCs w:val="16"/>
              </w:rPr>
              <w:t xml:space="preserve">2 (Bureau de l’OMPI à Singapour) 0 (Bureau de l’OMPI en Chine) </w:t>
            </w:r>
          </w:p>
        </w:tc>
        <w:tc>
          <w:tcPr>
            <w:tcW w:w="835" w:type="pct"/>
            <w:gridSpan w:val="3"/>
            <w:shd w:val="clear" w:color="auto" w:fill="auto"/>
            <w:tcMar>
              <w:top w:w="110" w:type="dxa"/>
              <w:left w:w="57" w:type="dxa"/>
              <w:bottom w:w="57" w:type="dxa"/>
              <w:right w:w="57" w:type="dxa"/>
            </w:tcMar>
          </w:tcPr>
          <w:p w14:paraId="05686BC9" w14:textId="77777777" w:rsidR="00BC78D9" w:rsidRPr="00BC78D9" w:rsidRDefault="00BC78D9" w:rsidP="006A627E">
            <w:pPr>
              <w:pStyle w:val="Default"/>
              <w:suppressLineNumbers/>
              <w:suppressAutoHyphens/>
              <w:ind w:right="-94"/>
              <w:rPr>
                <w:color w:val="auto"/>
                <w:sz w:val="16"/>
                <w:szCs w:val="16"/>
                <w:lang w:val="fr-FR"/>
              </w:rPr>
            </w:pPr>
            <w:r w:rsidRPr="00BC78D9">
              <w:rPr>
                <w:color w:val="auto"/>
                <w:sz w:val="16"/>
                <w:szCs w:val="16"/>
                <w:lang w:val="fr-FR"/>
              </w:rPr>
              <w:t>1 (Bureau de l’OMPI en Chine)</w:t>
            </w:r>
          </w:p>
          <w:p w14:paraId="11FBAF53" w14:textId="77777777" w:rsidR="00BC78D9" w:rsidRPr="00BC78D9" w:rsidRDefault="00BC78D9" w:rsidP="006A627E">
            <w:pPr>
              <w:pStyle w:val="Default"/>
              <w:suppressLineNumbers/>
              <w:suppressAutoHyphens/>
              <w:ind w:right="-94"/>
              <w:rPr>
                <w:color w:val="auto"/>
                <w:sz w:val="16"/>
                <w:szCs w:val="16"/>
                <w:lang w:val="fr-FR"/>
              </w:rPr>
            </w:pPr>
          </w:p>
          <w:p w14:paraId="7F81CA8E" w14:textId="77777777" w:rsidR="00BC78D9" w:rsidRPr="00BC78D9" w:rsidRDefault="00BC78D9" w:rsidP="006A627E">
            <w:pPr>
              <w:pStyle w:val="Default"/>
              <w:suppressLineNumbers/>
              <w:suppressAutoHyphens/>
              <w:ind w:right="-94"/>
              <w:rPr>
                <w:color w:val="auto"/>
                <w:sz w:val="16"/>
                <w:szCs w:val="16"/>
                <w:lang w:val="fr-FR"/>
              </w:rPr>
            </w:pPr>
            <w:r w:rsidRPr="00BC78D9">
              <w:rPr>
                <w:color w:val="auto"/>
                <w:sz w:val="16"/>
                <w:szCs w:val="16"/>
                <w:lang w:val="fr-FR"/>
              </w:rPr>
              <w:t>2 supplémentaires (Bureau de l’OMPI à Singapour)</w:t>
            </w:r>
          </w:p>
        </w:tc>
        <w:tc>
          <w:tcPr>
            <w:tcW w:w="1283" w:type="pct"/>
            <w:gridSpan w:val="2"/>
            <w:shd w:val="clear" w:color="auto" w:fill="FFFFFF"/>
            <w:tcMar>
              <w:top w:w="110" w:type="dxa"/>
              <w:left w:w="57" w:type="dxa"/>
              <w:bottom w:w="57" w:type="dxa"/>
              <w:right w:w="57" w:type="dxa"/>
            </w:tcMar>
          </w:tcPr>
          <w:p w14:paraId="3144ADC3" w14:textId="77777777" w:rsidR="00BC78D9" w:rsidRPr="00BC78D9" w:rsidRDefault="00BC78D9" w:rsidP="006A627E">
            <w:pPr>
              <w:suppressLineNumbers/>
              <w:suppressAutoHyphens/>
              <w:rPr>
                <w:sz w:val="16"/>
                <w:szCs w:val="16"/>
              </w:rPr>
            </w:pPr>
            <w:r w:rsidRPr="00BC78D9">
              <w:rPr>
                <w:sz w:val="16"/>
                <w:szCs w:val="16"/>
              </w:rPr>
              <w:t>0 (Bureau de l’OMPI en Chine)</w:t>
            </w:r>
          </w:p>
          <w:p w14:paraId="32CAD534" w14:textId="77777777" w:rsidR="00BC78D9" w:rsidRPr="00BC78D9" w:rsidRDefault="00BC78D9" w:rsidP="006A627E">
            <w:pPr>
              <w:suppressLineNumbers/>
              <w:suppressAutoHyphens/>
              <w:rPr>
                <w:sz w:val="16"/>
                <w:szCs w:val="16"/>
              </w:rPr>
            </w:pPr>
          </w:p>
          <w:p w14:paraId="2A61EAAF" w14:textId="77777777" w:rsidR="00BC78D9" w:rsidRPr="00BC78D9" w:rsidRDefault="00BC78D9" w:rsidP="006A627E">
            <w:pPr>
              <w:pStyle w:val="Default"/>
              <w:suppressLineNumbers/>
              <w:suppressAutoHyphens/>
              <w:ind w:right="-94"/>
              <w:rPr>
                <w:color w:val="auto"/>
                <w:sz w:val="16"/>
                <w:szCs w:val="16"/>
                <w:lang w:val="fr-FR"/>
              </w:rPr>
            </w:pPr>
            <w:r w:rsidRPr="00BC78D9">
              <w:rPr>
                <w:color w:val="auto"/>
                <w:sz w:val="16"/>
                <w:szCs w:val="16"/>
                <w:lang w:val="fr-FR"/>
              </w:rPr>
              <w:t>3 (Bureau de l’OMPI à Singapour) :</w:t>
            </w:r>
          </w:p>
          <w:p w14:paraId="0974F74C" w14:textId="77777777" w:rsidR="00BC78D9" w:rsidRPr="00BC78D9" w:rsidRDefault="00BC78D9" w:rsidP="006A627E">
            <w:pPr>
              <w:pStyle w:val="Default"/>
              <w:suppressLineNumbers/>
              <w:suppressAutoHyphens/>
              <w:ind w:right="-94"/>
              <w:rPr>
                <w:color w:val="auto"/>
                <w:sz w:val="16"/>
                <w:szCs w:val="16"/>
                <w:lang w:val="fr-FR"/>
              </w:rPr>
            </w:pPr>
            <w:r w:rsidRPr="00BC78D9">
              <w:rPr>
                <w:color w:val="auto"/>
                <w:sz w:val="16"/>
                <w:szCs w:val="16"/>
                <w:lang w:val="fr-FR"/>
              </w:rPr>
              <w:noBreakHyphen/>
              <w:t xml:space="preserve"> 1 Développement niveau 1</w:t>
            </w:r>
          </w:p>
          <w:p w14:paraId="673FC92B" w14:textId="77777777" w:rsidR="00BC78D9" w:rsidRPr="00BC78D9" w:rsidRDefault="00BC78D9" w:rsidP="006A627E">
            <w:pPr>
              <w:suppressLineNumbers/>
              <w:suppressAutoHyphens/>
              <w:rPr>
                <w:sz w:val="16"/>
                <w:szCs w:val="16"/>
              </w:rPr>
            </w:pPr>
            <w:r w:rsidRPr="00BC78D9">
              <w:rPr>
                <w:sz w:val="16"/>
                <w:szCs w:val="16"/>
              </w:rPr>
              <w:noBreakHyphen/>
              <w:t xml:space="preserve"> 1 Développement niveau 2</w:t>
            </w:r>
          </w:p>
          <w:p w14:paraId="1515570F" w14:textId="77777777" w:rsidR="00BC78D9" w:rsidRPr="00BC78D9" w:rsidRDefault="00BC78D9" w:rsidP="006A627E">
            <w:pPr>
              <w:suppressLineNumbers/>
              <w:suppressAutoHyphens/>
              <w:rPr>
                <w:sz w:val="16"/>
                <w:szCs w:val="16"/>
              </w:rPr>
            </w:pPr>
            <w:r w:rsidRPr="00BC78D9">
              <w:rPr>
                <w:sz w:val="16"/>
                <w:szCs w:val="16"/>
              </w:rPr>
              <w:noBreakHyphen/>
              <w:t xml:space="preserve"> 1 Développement niveau 3</w:t>
            </w:r>
          </w:p>
        </w:tc>
        <w:tc>
          <w:tcPr>
            <w:tcW w:w="567" w:type="pct"/>
            <w:shd w:val="clear" w:color="auto" w:fill="auto"/>
            <w:tcMar>
              <w:top w:w="110" w:type="dxa"/>
              <w:left w:w="57" w:type="dxa"/>
              <w:bottom w:w="57" w:type="dxa"/>
              <w:right w:w="57" w:type="dxa"/>
            </w:tcMar>
          </w:tcPr>
          <w:p w14:paraId="6EB98528" w14:textId="77777777" w:rsidR="00BC78D9" w:rsidRPr="00BC78D9" w:rsidRDefault="00BC78D9" w:rsidP="006A627E">
            <w:pPr>
              <w:suppressLineNumbers/>
              <w:suppressAutoHyphens/>
              <w:jc w:val="center"/>
              <w:rPr>
                <w:sz w:val="16"/>
                <w:szCs w:val="16"/>
              </w:rPr>
            </w:pPr>
            <w:r w:rsidRPr="00BC78D9">
              <w:rPr>
                <w:b/>
                <w:color w:val="00B050"/>
                <w:sz w:val="16"/>
                <w:szCs w:val="16"/>
              </w:rPr>
              <w:t>En bonne voie</w:t>
            </w:r>
          </w:p>
        </w:tc>
      </w:tr>
      <w:tr w:rsidR="00BC78D9" w:rsidRPr="00BC78D9" w14:paraId="0B276161" w14:textId="77777777" w:rsidTr="006A627E">
        <w:trPr>
          <w:cantSplit/>
          <w:trHeight w:val="648"/>
        </w:trPr>
        <w:tc>
          <w:tcPr>
            <w:tcW w:w="5000" w:type="pct"/>
            <w:gridSpan w:val="9"/>
            <w:shd w:val="clear" w:color="auto" w:fill="C6D9F1" w:themeFill="text2" w:themeFillTint="33"/>
            <w:tcMar>
              <w:left w:w="57" w:type="dxa"/>
              <w:bottom w:w="57" w:type="dxa"/>
              <w:right w:w="57" w:type="dxa"/>
            </w:tcMar>
            <w:vAlign w:val="center"/>
          </w:tcPr>
          <w:p w14:paraId="61F18FD2" w14:textId="77777777" w:rsidR="00BC78D9" w:rsidRPr="00BC78D9" w:rsidRDefault="00BC78D9" w:rsidP="006A627E">
            <w:pPr>
              <w:suppressLineNumbers/>
              <w:suppressAutoHyphens/>
              <w:rPr>
                <w:sz w:val="16"/>
                <w:szCs w:val="16"/>
              </w:rPr>
            </w:pPr>
            <w:r w:rsidRPr="00BC78D9">
              <w:rPr>
                <w:b/>
                <w:sz w:val="16"/>
                <w:szCs w:val="16"/>
              </w:rPr>
              <w:t xml:space="preserve">Résultat escompté : </w:t>
            </w:r>
            <w:r w:rsidRPr="00BC78D9">
              <w:rPr>
                <w:b/>
                <w:sz w:val="16"/>
              </w:rPr>
              <w:tab/>
            </w:r>
            <w:r w:rsidRPr="00BC78D9">
              <w:rPr>
                <w:sz w:val="16"/>
                <w:szCs w:val="16"/>
              </w:rPr>
              <w:t xml:space="preserve">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 </w:t>
            </w:r>
          </w:p>
        </w:tc>
      </w:tr>
      <w:tr w:rsidR="00BC78D9" w:rsidRPr="00BC78D9" w14:paraId="41C010EA" w14:textId="77777777" w:rsidTr="006A627E">
        <w:trPr>
          <w:cantSplit/>
        </w:trPr>
        <w:tc>
          <w:tcPr>
            <w:tcW w:w="1039" w:type="pct"/>
            <w:gridSpan w:val="2"/>
            <w:shd w:val="clear" w:color="auto" w:fill="auto"/>
            <w:tcMar>
              <w:left w:w="57" w:type="dxa"/>
              <w:bottom w:w="57" w:type="dxa"/>
              <w:right w:w="57" w:type="dxa"/>
            </w:tcMar>
            <w:vAlign w:val="center"/>
          </w:tcPr>
          <w:p w14:paraId="00CF83E9" w14:textId="77777777" w:rsidR="00BC78D9" w:rsidRPr="00BC78D9" w:rsidRDefault="00BC78D9" w:rsidP="006A627E">
            <w:pPr>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34042191" w14:textId="77777777" w:rsidR="00BC78D9" w:rsidRPr="00BC78D9" w:rsidRDefault="00BC78D9" w:rsidP="006A627E">
            <w:pPr>
              <w:suppressLineNumbers/>
              <w:suppressAutoHyphens/>
              <w:jc w:val="center"/>
              <w:rPr>
                <w:b/>
                <w:bCs/>
                <w:sz w:val="16"/>
                <w:szCs w:val="16"/>
              </w:rPr>
            </w:pPr>
            <w:r w:rsidRPr="00BC78D9">
              <w:rPr>
                <w:b/>
                <w:bCs/>
                <w:sz w:val="16"/>
                <w:szCs w:val="16"/>
              </w:rPr>
              <w:t>Niveaux de référence</w:t>
            </w:r>
          </w:p>
        </w:tc>
        <w:tc>
          <w:tcPr>
            <w:tcW w:w="835" w:type="pct"/>
            <w:gridSpan w:val="3"/>
            <w:shd w:val="clear" w:color="auto" w:fill="auto"/>
            <w:tcMar>
              <w:top w:w="110" w:type="dxa"/>
              <w:left w:w="57" w:type="dxa"/>
              <w:bottom w:w="57" w:type="dxa"/>
              <w:right w:w="57" w:type="dxa"/>
            </w:tcMar>
            <w:vAlign w:val="center"/>
          </w:tcPr>
          <w:p w14:paraId="1D8879B1" w14:textId="77777777" w:rsidR="00BC78D9" w:rsidRPr="00BC78D9" w:rsidRDefault="00BC78D9" w:rsidP="006A627E">
            <w:pPr>
              <w:suppressLineNumbers/>
              <w:tabs>
                <w:tab w:val="left" w:pos="290"/>
              </w:tabs>
              <w:suppressAutoHyphens/>
              <w:jc w:val="center"/>
              <w:rPr>
                <w:b/>
                <w:bCs/>
                <w:sz w:val="16"/>
                <w:szCs w:val="16"/>
              </w:rPr>
            </w:pPr>
            <w:r w:rsidRPr="00BC78D9">
              <w:rPr>
                <w:b/>
                <w:bCs/>
                <w:sz w:val="16"/>
                <w:szCs w:val="16"/>
              </w:rPr>
              <w:t>Objectifs visés</w:t>
            </w:r>
          </w:p>
        </w:tc>
        <w:tc>
          <w:tcPr>
            <w:tcW w:w="1283" w:type="pct"/>
            <w:gridSpan w:val="2"/>
            <w:shd w:val="clear" w:color="auto" w:fill="FFFFFF"/>
            <w:tcMar>
              <w:top w:w="110" w:type="dxa"/>
              <w:left w:w="57" w:type="dxa"/>
              <w:bottom w:w="57" w:type="dxa"/>
              <w:right w:w="57" w:type="dxa"/>
            </w:tcMar>
            <w:vAlign w:val="center"/>
          </w:tcPr>
          <w:p w14:paraId="17B13B41" w14:textId="77777777" w:rsidR="00BC78D9" w:rsidRPr="00BC78D9" w:rsidRDefault="00BC78D9" w:rsidP="006A627E">
            <w:pPr>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053AF470" w14:textId="77777777" w:rsidR="00BC78D9" w:rsidRPr="00BC78D9" w:rsidRDefault="00BC78D9" w:rsidP="006A627E">
            <w:pPr>
              <w:suppressLineNumbers/>
              <w:suppressAutoHyphens/>
              <w:jc w:val="center"/>
              <w:rPr>
                <w:b/>
                <w:bCs/>
                <w:sz w:val="16"/>
                <w:szCs w:val="16"/>
              </w:rPr>
            </w:pPr>
            <w:r w:rsidRPr="00BC78D9">
              <w:rPr>
                <w:b/>
                <w:bCs/>
                <w:sz w:val="16"/>
                <w:szCs w:val="16"/>
              </w:rPr>
              <w:t>Code d’évaluation</w:t>
            </w:r>
          </w:p>
        </w:tc>
      </w:tr>
      <w:tr w:rsidR="00BC78D9" w:rsidRPr="00BC78D9" w14:paraId="7811112A" w14:textId="77777777" w:rsidTr="006A627E">
        <w:trPr>
          <w:cantSplit/>
          <w:trHeight w:val="2133"/>
        </w:trPr>
        <w:tc>
          <w:tcPr>
            <w:tcW w:w="1039" w:type="pct"/>
            <w:gridSpan w:val="2"/>
            <w:shd w:val="clear" w:color="auto" w:fill="auto"/>
            <w:tcMar>
              <w:left w:w="57" w:type="dxa"/>
              <w:bottom w:w="57" w:type="dxa"/>
              <w:right w:w="57" w:type="dxa"/>
            </w:tcMar>
          </w:tcPr>
          <w:p w14:paraId="0055C740"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Nombre d’offices utilisant les plateformes d’infrastructure de l’OMPI</w:t>
            </w:r>
          </w:p>
        </w:tc>
        <w:tc>
          <w:tcPr>
            <w:tcW w:w="1276" w:type="pct"/>
            <w:shd w:val="clear" w:color="auto" w:fill="auto"/>
            <w:tcMar>
              <w:left w:w="57" w:type="dxa"/>
              <w:bottom w:w="57" w:type="dxa"/>
              <w:right w:w="57" w:type="dxa"/>
            </w:tcMar>
          </w:tcPr>
          <w:p w14:paraId="75C9A323"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53845B18" w14:textId="77777777" w:rsidR="00BC78D9" w:rsidRPr="00BC78D9" w:rsidRDefault="00BC78D9" w:rsidP="006A627E">
            <w:pPr>
              <w:pStyle w:val="Default"/>
              <w:suppressLineNumbers/>
              <w:suppressAutoHyphens/>
              <w:rPr>
                <w:color w:val="002060"/>
                <w:sz w:val="16"/>
                <w:szCs w:val="16"/>
                <w:lang w:val="fr-FR"/>
              </w:rPr>
            </w:pPr>
            <w:r w:rsidRPr="00BC78D9">
              <w:rPr>
                <w:color w:val="002060"/>
                <w:sz w:val="16"/>
                <w:szCs w:val="16"/>
                <w:lang w:val="fr-FR"/>
              </w:rPr>
              <w:t>0 (Bureau de l’OMPI au Brésil)</w:t>
            </w:r>
          </w:p>
          <w:p w14:paraId="17A786CE" w14:textId="77777777" w:rsidR="00BC78D9" w:rsidRPr="00BC78D9" w:rsidRDefault="00BC78D9" w:rsidP="006A627E">
            <w:pPr>
              <w:suppressLineNumbers/>
              <w:suppressAutoHyphens/>
              <w:rPr>
                <w:color w:val="002060"/>
                <w:sz w:val="16"/>
                <w:szCs w:val="16"/>
              </w:rPr>
            </w:pPr>
            <w:r w:rsidRPr="00BC78D9">
              <w:rPr>
                <w:color w:val="002060"/>
                <w:sz w:val="16"/>
                <w:szCs w:val="16"/>
              </w:rPr>
              <w:t>8 (Bureau de l’OMPI à Singapour) (</w:t>
            </w:r>
            <w:proofErr w:type="spellStart"/>
            <w:r w:rsidRPr="00BC78D9">
              <w:rPr>
                <w:color w:val="002060"/>
                <w:sz w:val="16"/>
                <w:szCs w:val="16"/>
              </w:rPr>
              <w:t>Brunéi</w:t>
            </w:r>
            <w:proofErr w:type="spellEnd"/>
            <w:r w:rsidRPr="00BC78D9">
              <w:rPr>
                <w:color w:val="002060"/>
                <w:sz w:val="16"/>
                <w:szCs w:val="16"/>
              </w:rPr>
              <w:t xml:space="preserve"> Darussalam, Indonésie, Malaisie, Philippines, République démocratique populaire lao, Singapour, Thaïlande, Viet Nam)</w:t>
            </w:r>
          </w:p>
          <w:p w14:paraId="10EB5392" w14:textId="77777777" w:rsidR="00BC78D9" w:rsidRPr="00BC78D9" w:rsidRDefault="00BC78D9" w:rsidP="006A627E">
            <w:pPr>
              <w:suppressLineNumbers/>
              <w:suppressAutoHyphens/>
              <w:rPr>
                <w:sz w:val="16"/>
                <w:szCs w:val="16"/>
              </w:rPr>
            </w:pPr>
          </w:p>
          <w:p w14:paraId="2EF1CD80"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0D656997"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7 (Bureau de l’OMPI à Singapour)</w:t>
            </w:r>
          </w:p>
          <w:p w14:paraId="06908147"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 xml:space="preserve">0 (Bureau de l’OMPI au Brésil) </w:t>
            </w:r>
          </w:p>
        </w:tc>
        <w:tc>
          <w:tcPr>
            <w:tcW w:w="835" w:type="pct"/>
            <w:gridSpan w:val="3"/>
            <w:shd w:val="clear" w:color="auto" w:fill="auto"/>
            <w:tcMar>
              <w:top w:w="110" w:type="dxa"/>
              <w:left w:w="57" w:type="dxa"/>
              <w:bottom w:w="57" w:type="dxa"/>
              <w:right w:w="57" w:type="dxa"/>
            </w:tcMar>
          </w:tcPr>
          <w:p w14:paraId="70BC35D7" w14:textId="77777777" w:rsidR="00BC78D9" w:rsidRPr="00BC78D9" w:rsidRDefault="00BC78D9" w:rsidP="006A627E">
            <w:pPr>
              <w:suppressLineNumbers/>
              <w:suppressAutoHyphens/>
              <w:rPr>
                <w:color w:val="002060"/>
                <w:sz w:val="16"/>
                <w:szCs w:val="16"/>
                <w:lang w:bidi="th-TH"/>
              </w:rPr>
            </w:pPr>
            <w:r w:rsidRPr="00BC78D9">
              <w:rPr>
                <w:i/>
                <w:color w:val="002060"/>
                <w:sz w:val="16"/>
                <w:szCs w:val="16"/>
                <w:lang w:bidi="th-TH"/>
              </w:rPr>
              <w:t>Objectif défini</w:t>
            </w:r>
            <w:r w:rsidRPr="00BC78D9">
              <w:rPr>
                <w:color w:val="002060"/>
                <w:sz w:val="16"/>
                <w:szCs w:val="16"/>
                <w:lang w:bidi="th-TH"/>
              </w:rPr>
              <w:t> :</w:t>
            </w:r>
          </w:p>
          <w:p w14:paraId="7F6A6A05" w14:textId="77777777" w:rsidR="00BC78D9" w:rsidRPr="00BC78D9" w:rsidRDefault="00BC78D9" w:rsidP="006A627E">
            <w:pPr>
              <w:suppressLineNumbers/>
              <w:suppressAutoHyphens/>
              <w:rPr>
                <w:color w:val="002060"/>
                <w:sz w:val="16"/>
                <w:szCs w:val="16"/>
              </w:rPr>
            </w:pPr>
            <w:r w:rsidRPr="00BC78D9">
              <w:rPr>
                <w:color w:val="002060"/>
                <w:sz w:val="16"/>
                <w:szCs w:val="16"/>
              </w:rPr>
              <w:t>1 (Bureau de l’OMPI au Brésil)</w:t>
            </w:r>
          </w:p>
          <w:p w14:paraId="307237D4" w14:textId="77777777" w:rsidR="00BC78D9" w:rsidRPr="00BC78D9" w:rsidRDefault="00BC78D9" w:rsidP="006A627E">
            <w:pPr>
              <w:pStyle w:val="Default"/>
              <w:suppressLineNumbers/>
              <w:suppressAutoHyphens/>
              <w:rPr>
                <w:color w:val="002060"/>
                <w:sz w:val="16"/>
                <w:szCs w:val="16"/>
                <w:lang w:val="fr-FR"/>
              </w:rPr>
            </w:pPr>
            <w:r w:rsidRPr="00BC78D9">
              <w:rPr>
                <w:color w:val="002060"/>
                <w:sz w:val="16"/>
                <w:szCs w:val="16"/>
                <w:lang w:val="fr-FR"/>
              </w:rPr>
              <w:t>1 supplémentaire (Bureau de l’OMPI à Singapour)</w:t>
            </w:r>
          </w:p>
          <w:p w14:paraId="28D49D27" w14:textId="77777777" w:rsidR="00BC78D9" w:rsidRPr="00BC78D9" w:rsidRDefault="00BC78D9" w:rsidP="006A627E">
            <w:pPr>
              <w:suppressLineNumbers/>
              <w:suppressAutoHyphens/>
              <w:rPr>
                <w:i/>
                <w:sz w:val="16"/>
                <w:szCs w:val="16"/>
                <w:lang w:bidi="th-TH"/>
              </w:rPr>
            </w:pPr>
          </w:p>
          <w:p w14:paraId="7F9DB289" w14:textId="77777777" w:rsidR="00BC78D9" w:rsidRPr="00BC78D9" w:rsidRDefault="00BC78D9" w:rsidP="006A627E">
            <w:pPr>
              <w:suppressLineNumbers/>
              <w:suppressAutoHyphens/>
              <w:rPr>
                <w:i/>
                <w:sz w:val="16"/>
                <w:szCs w:val="16"/>
                <w:lang w:bidi="th-TH"/>
              </w:rPr>
            </w:pPr>
            <w:r w:rsidRPr="00BC78D9">
              <w:rPr>
                <w:i/>
                <w:sz w:val="16"/>
                <w:szCs w:val="16"/>
                <w:lang w:bidi="th-TH"/>
              </w:rPr>
              <w:t>Objectif initial dans le programme et budget 2016</w:t>
            </w:r>
            <w:r w:rsidRPr="00BC78D9">
              <w:rPr>
                <w:i/>
                <w:sz w:val="16"/>
                <w:szCs w:val="16"/>
                <w:lang w:bidi="th-TH"/>
              </w:rPr>
              <w:noBreakHyphen/>
              <w:t>2017 :</w:t>
            </w:r>
          </w:p>
          <w:p w14:paraId="5FD73C03"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À déterminer (Bureau de l’OMPI à Singapour)</w:t>
            </w:r>
          </w:p>
          <w:p w14:paraId="5F261DDF"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 xml:space="preserve">1 (Bureau de l’OMPI au Brésil) </w:t>
            </w:r>
          </w:p>
        </w:tc>
        <w:tc>
          <w:tcPr>
            <w:tcW w:w="1283" w:type="pct"/>
            <w:gridSpan w:val="2"/>
            <w:shd w:val="clear" w:color="auto" w:fill="FFFFFF"/>
            <w:tcMar>
              <w:top w:w="110" w:type="dxa"/>
              <w:left w:w="57" w:type="dxa"/>
              <w:bottom w:w="57" w:type="dxa"/>
              <w:right w:w="57" w:type="dxa"/>
            </w:tcMar>
          </w:tcPr>
          <w:p w14:paraId="5454EB99" w14:textId="77777777" w:rsidR="00BC78D9" w:rsidRPr="00BC78D9" w:rsidRDefault="00BC78D9" w:rsidP="006A627E">
            <w:pPr>
              <w:suppressLineNumbers/>
              <w:suppressAutoHyphens/>
              <w:rPr>
                <w:sz w:val="16"/>
                <w:szCs w:val="16"/>
              </w:rPr>
            </w:pPr>
            <w:r w:rsidRPr="00BC78D9">
              <w:rPr>
                <w:sz w:val="16"/>
                <w:szCs w:val="16"/>
              </w:rPr>
              <w:t>0 (Bureau de l’OMPI au Brésil)</w:t>
            </w:r>
          </w:p>
          <w:p w14:paraId="58DF2286" w14:textId="77777777" w:rsidR="00BC78D9" w:rsidRPr="00BC78D9" w:rsidRDefault="00BC78D9" w:rsidP="006A627E">
            <w:pPr>
              <w:suppressLineNumbers/>
              <w:suppressAutoHyphens/>
              <w:rPr>
                <w:sz w:val="16"/>
                <w:szCs w:val="16"/>
              </w:rPr>
            </w:pPr>
          </w:p>
          <w:p w14:paraId="033C55A3"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1 supplémentaire (Cambodge) (Bureau de l’OMPI à Singapour) (9 au total)</w:t>
            </w:r>
          </w:p>
        </w:tc>
        <w:tc>
          <w:tcPr>
            <w:tcW w:w="567" w:type="pct"/>
            <w:shd w:val="clear" w:color="auto" w:fill="auto"/>
            <w:tcMar>
              <w:top w:w="110" w:type="dxa"/>
              <w:left w:w="57" w:type="dxa"/>
              <w:bottom w:w="57" w:type="dxa"/>
              <w:right w:w="57" w:type="dxa"/>
            </w:tcMar>
          </w:tcPr>
          <w:p w14:paraId="3CADF15B" w14:textId="77777777" w:rsidR="00BC78D9" w:rsidRPr="00BC78D9" w:rsidRDefault="00BC78D9" w:rsidP="006A627E">
            <w:pPr>
              <w:suppressLineNumbers/>
              <w:suppressAutoHyphens/>
              <w:jc w:val="center"/>
              <w:rPr>
                <w:b/>
                <w:sz w:val="16"/>
                <w:szCs w:val="16"/>
              </w:rPr>
            </w:pPr>
            <w:r w:rsidRPr="00BC78D9">
              <w:rPr>
                <w:b/>
                <w:color w:val="00B050"/>
                <w:sz w:val="16"/>
                <w:szCs w:val="16"/>
              </w:rPr>
              <w:t>En bonne voie</w:t>
            </w:r>
          </w:p>
        </w:tc>
      </w:tr>
      <w:tr w:rsidR="00BC78D9" w:rsidRPr="00BC78D9" w14:paraId="5C3EB84D" w14:textId="77777777" w:rsidTr="006A627E">
        <w:trPr>
          <w:cantSplit/>
          <w:trHeight w:val="648"/>
        </w:trPr>
        <w:tc>
          <w:tcPr>
            <w:tcW w:w="5000" w:type="pct"/>
            <w:gridSpan w:val="9"/>
            <w:shd w:val="clear" w:color="auto" w:fill="C6D9F1" w:themeFill="text2" w:themeFillTint="33"/>
            <w:tcMar>
              <w:left w:w="57" w:type="dxa"/>
              <w:bottom w:w="57" w:type="dxa"/>
              <w:right w:w="57" w:type="dxa"/>
            </w:tcMar>
            <w:vAlign w:val="center"/>
          </w:tcPr>
          <w:p w14:paraId="41CC78AF" w14:textId="77777777" w:rsidR="00BC78D9" w:rsidRPr="00BC78D9" w:rsidRDefault="00BC78D9" w:rsidP="006A627E">
            <w:pPr>
              <w:keepNext/>
              <w:keepLines/>
              <w:suppressLineNumbers/>
              <w:tabs>
                <w:tab w:val="left" w:pos="1452"/>
              </w:tabs>
              <w:suppressAutoHyphens/>
              <w:rPr>
                <w:sz w:val="16"/>
                <w:szCs w:val="16"/>
              </w:rPr>
            </w:pPr>
            <w:r w:rsidRPr="00BC78D9">
              <w:rPr>
                <w:b/>
                <w:sz w:val="16"/>
                <w:szCs w:val="16"/>
              </w:rPr>
              <w:t xml:space="preserve">Résultat escompté : </w:t>
            </w:r>
            <w:r w:rsidRPr="00BC78D9">
              <w:rPr>
                <w:b/>
                <w:sz w:val="16"/>
              </w:rPr>
              <w:tab/>
            </w:r>
            <w:r w:rsidRPr="00BC78D9">
              <w:rPr>
                <w:sz w:val="16"/>
                <w:szCs w:val="16"/>
              </w:rPr>
              <w:t xml:space="preserve">VII.2 Plateformes et instruments fondés sur la propriété intellectuelle pour le transfert de connaissances et l’adaptation et la diffusion de la technologie entre les pays développés et les pays en développement, notamment les PMA, pour relever des défis mondiaux </w:t>
            </w:r>
          </w:p>
        </w:tc>
      </w:tr>
      <w:tr w:rsidR="00BC78D9" w:rsidRPr="00BC78D9" w14:paraId="5487505E" w14:textId="77777777" w:rsidTr="006A627E">
        <w:trPr>
          <w:cantSplit/>
        </w:trPr>
        <w:tc>
          <w:tcPr>
            <w:tcW w:w="1039" w:type="pct"/>
            <w:gridSpan w:val="2"/>
            <w:shd w:val="clear" w:color="auto" w:fill="auto"/>
            <w:tcMar>
              <w:left w:w="57" w:type="dxa"/>
              <w:bottom w:w="57" w:type="dxa"/>
              <w:right w:w="57" w:type="dxa"/>
            </w:tcMar>
            <w:vAlign w:val="center"/>
          </w:tcPr>
          <w:p w14:paraId="6D313CEF" w14:textId="77777777" w:rsidR="00BC78D9" w:rsidRPr="00BC78D9" w:rsidRDefault="00BC78D9" w:rsidP="006A627E">
            <w:pPr>
              <w:keepNext/>
              <w:keepLines/>
              <w:suppressLineNumbers/>
              <w:suppressAutoHyphens/>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14FB8A4C" w14:textId="77777777" w:rsidR="00BC78D9" w:rsidRPr="00BC78D9" w:rsidRDefault="00BC78D9" w:rsidP="006A627E">
            <w:pPr>
              <w:keepNext/>
              <w:keepLines/>
              <w:suppressLineNumbers/>
              <w:suppressAutoHyphens/>
              <w:rPr>
                <w:b/>
                <w:bCs/>
                <w:sz w:val="16"/>
                <w:szCs w:val="16"/>
              </w:rPr>
            </w:pPr>
            <w:r w:rsidRPr="00BC78D9">
              <w:rPr>
                <w:b/>
                <w:bCs/>
                <w:sz w:val="16"/>
                <w:szCs w:val="16"/>
              </w:rPr>
              <w:t>Niveaux de référence</w:t>
            </w:r>
          </w:p>
        </w:tc>
        <w:tc>
          <w:tcPr>
            <w:tcW w:w="835" w:type="pct"/>
            <w:gridSpan w:val="3"/>
            <w:shd w:val="clear" w:color="auto" w:fill="auto"/>
            <w:tcMar>
              <w:top w:w="110" w:type="dxa"/>
              <w:left w:w="57" w:type="dxa"/>
              <w:bottom w:w="57" w:type="dxa"/>
              <w:right w:w="57" w:type="dxa"/>
            </w:tcMar>
            <w:vAlign w:val="center"/>
          </w:tcPr>
          <w:p w14:paraId="10F547A0" w14:textId="77777777" w:rsidR="00BC78D9" w:rsidRPr="00BC78D9" w:rsidRDefault="00BC78D9" w:rsidP="006A627E">
            <w:pPr>
              <w:keepNext/>
              <w:keepLines/>
              <w:suppressLineNumbers/>
              <w:tabs>
                <w:tab w:val="left" w:pos="290"/>
              </w:tabs>
              <w:suppressAutoHyphens/>
              <w:rPr>
                <w:b/>
                <w:bCs/>
                <w:sz w:val="16"/>
                <w:szCs w:val="16"/>
              </w:rPr>
            </w:pPr>
            <w:r w:rsidRPr="00BC78D9">
              <w:rPr>
                <w:b/>
                <w:bCs/>
                <w:sz w:val="16"/>
                <w:szCs w:val="16"/>
              </w:rPr>
              <w:t>Objectifs visés</w:t>
            </w:r>
          </w:p>
        </w:tc>
        <w:tc>
          <w:tcPr>
            <w:tcW w:w="1283" w:type="pct"/>
            <w:gridSpan w:val="2"/>
            <w:shd w:val="clear" w:color="auto" w:fill="FFFFFF"/>
            <w:tcMar>
              <w:top w:w="110" w:type="dxa"/>
              <w:left w:w="57" w:type="dxa"/>
              <w:bottom w:w="57" w:type="dxa"/>
              <w:right w:w="57" w:type="dxa"/>
            </w:tcMar>
            <w:vAlign w:val="center"/>
          </w:tcPr>
          <w:p w14:paraId="2CC97994" w14:textId="77777777" w:rsidR="00BC78D9" w:rsidRPr="00BC78D9" w:rsidRDefault="00BC78D9" w:rsidP="006A627E">
            <w:pPr>
              <w:keepNext/>
              <w:keepLines/>
              <w:suppressLineNumbers/>
              <w:suppressAutoHyphens/>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4849DBF0"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Code d’évaluation</w:t>
            </w:r>
          </w:p>
        </w:tc>
      </w:tr>
      <w:tr w:rsidR="00BC78D9" w:rsidRPr="00BC78D9" w14:paraId="330D00D5" w14:textId="77777777" w:rsidTr="006A627E">
        <w:trPr>
          <w:cantSplit/>
          <w:trHeight w:val="1636"/>
        </w:trPr>
        <w:tc>
          <w:tcPr>
            <w:tcW w:w="1039" w:type="pct"/>
            <w:gridSpan w:val="2"/>
            <w:shd w:val="clear" w:color="auto" w:fill="auto"/>
            <w:tcMar>
              <w:left w:w="57" w:type="dxa"/>
              <w:bottom w:w="57" w:type="dxa"/>
              <w:right w:w="57" w:type="dxa"/>
            </w:tcMar>
          </w:tcPr>
          <w:p w14:paraId="6622F93E"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 xml:space="preserve">Participation de parties prenantes aux plateformes de l’OMPI telles que WIPO GREEN et WIPO </w:t>
            </w:r>
            <w:proofErr w:type="spellStart"/>
            <w:r w:rsidRPr="00BC78D9">
              <w:rPr>
                <w:color w:val="auto"/>
                <w:sz w:val="16"/>
                <w:szCs w:val="16"/>
                <w:lang w:val="fr-FR"/>
              </w:rPr>
              <w:t>Re:Search</w:t>
            </w:r>
            <w:proofErr w:type="spellEnd"/>
            <w:r w:rsidRPr="00BC78D9">
              <w:rPr>
                <w:color w:val="auto"/>
                <w:sz w:val="16"/>
                <w:szCs w:val="16"/>
                <w:lang w:val="fr-FR"/>
              </w:rPr>
              <w:t xml:space="preserve"> </w:t>
            </w:r>
          </w:p>
        </w:tc>
        <w:tc>
          <w:tcPr>
            <w:tcW w:w="1276" w:type="pct"/>
            <w:shd w:val="clear" w:color="auto" w:fill="auto"/>
            <w:tcMar>
              <w:left w:w="57" w:type="dxa"/>
              <w:bottom w:w="57" w:type="dxa"/>
              <w:right w:w="57" w:type="dxa"/>
            </w:tcMar>
          </w:tcPr>
          <w:p w14:paraId="66C0AA38" w14:textId="77777777" w:rsidR="00BC78D9" w:rsidRPr="00BC78D9" w:rsidRDefault="00BC78D9" w:rsidP="006A627E">
            <w:pPr>
              <w:keepNext/>
              <w:keepLines/>
              <w:suppressLineNumbers/>
              <w:suppressAutoHyphens/>
              <w:rPr>
                <w:i/>
                <w:color w:val="002060"/>
                <w:sz w:val="16"/>
                <w:szCs w:val="16"/>
              </w:rPr>
            </w:pPr>
            <w:r w:rsidRPr="00BC78D9">
              <w:rPr>
                <w:i/>
                <w:color w:val="002060"/>
                <w:sz w:val="16"/>
                <w:szCs w:val="16"/>
              </w:rPr>
              <w:t>Niveau de référence actualisé à fin 2015 :</w:t>
            </w:r>
          </w:p>
          <w:p w14:paraId="084F195D" w14:textId="77777777" w:rsidR="00BC78D9" w:rsidRPr="00BC78D9" w:rsidRDefault="00BC78D9" w:rsidP="006A627E">
            <w:pPr>
              <w:keepNext/>
              <w:keepLines/>
              <w:suppressLineNumbers/>
              <w:suppressAutoHyphens/>
              <w:rPr>
                <w:color w:val="002060"/>
                <w:sz w:val="16"/>
                <w:szCs w:val="16"/>
              </w:rPr>
            </w:pPr>
            <w:r w:rsidRPr="00BC78D9">
              <w:rPr>
                <w:color w:val="002060"/>
                <w:sz w:val="16"/>
                <w:szCs w:val="16"/>
              </w:rPr>
              <w:t xml:space="preserve">WIPO </w:t>
            </w:r>
            <w:proofErr w:type="spellStart"/>
            <w:r w:rsidRPr="00BC78D9">
              <w:rPr>
                <w:color w:val="002060"/>
                <w:sz w:val="16"/>
                <w:szCs w:val="16"/>
              </w:rPr>
              <w:t>Re:Search</w:t>
            </w:r>
            <w:proofErr w:type="spellEnd"/>
            <w:r w:rsidRPr="00BC78D9">
              <w:rPr>
                <w:color w:val="002060"/>
                <w:sz w:val="16"/>
                <w:szCs w:val="16"/>
              </w:rPr>
              <w:t> :</w:t>
            </w:r>
          </w:p>
          <w:p w14:paraId="5D8CB14B"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2 pour la région Amérique latine et Caraïbes (Bureau de l’OMPI au Brésil)</w:t>
            </w:r>
          </w:p>
          <w:p w14:paraId="797A6009"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2 (Bureau de l’OMPI en Chine)</w:t>
            </w:r>
          </w:p>
          <w:p w14:paraId="66C338A5"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2 (Bureau de l’OMPI au Japon)</w:t>
            </w:r>
          </w:p>
          <w:p w14:paraId="6A610A0D"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0 (Bureau de l’OMPI en Fédération de Russie)</w:t>
            </w:r>
          </w:p>
          <w:p w14:paraId="27CB7515"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3 (Bureau de l’OMPI à Singapour)</w:t>
            </w:r>
          </w:p>
          <w:p w14:paraId="435770BC"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Total 9</w:t>
            </w:r>
          </w:p>
          <w:p w14:paraId="0C8CA86D" w14:textId="77777777" w:rsidR="00BC78D9" w:rsidRPr="00BC78D9" w:rsidRDefault="00BC78D9" w:rsidP="006A627E">
            <w:pPr>
              <w:keepNext/>
              <w:keepLines/>
              <w:suppressLineNumbers/>
              <w:suppressAutoHyphens/>
              <w:rPr>
                <w:sz w:val="16"/>
                <w:szCs w:val="16"/>
              </w:rPr>
            </w:pPr>
          </w:p>
          <w:p w14:paraId="0B26260F" w14:textId="77777777" w:rsidR="00BC78D9" w:rsidRPr="00BC78D9" w:rsidRDefault="00BC78D9" w:rsidP="006A627E">
            <w:pPr>
              <w:keepNext/>
              <w:keepLines/>
              <w:suppressLineNumbers/>
              <w:suppressAutoHyphens/>
              <w:rPr>
                <w:color w:val="002060"/>
                <w:sz w:val="16"/>
                <w:szCs w:val="16"/>
              </w:rPr>
            </w:pPr>
            <w:r w:rsidRPr="00BC78D9">
              <w:rPr>
                <w:color w:val="002060"/>
                <w:sz w:val="16"/>
                <w:szCs w:val="16"/>
              </w:rPr>
              <w:t>WIPO GREEN :</w:t>
            </w:r>
          </w:p>
          <w:p w14:paraId="518EB35D"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16 pour la région Amérique latine et Caraïbes (Bureau de l’OMPI au Brésil)</w:t>
            </w:r>
          </w:p>
          <w:p w14:paraId="6A83CD2D"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26 (Bureau de l’OMPI en Chine)</w:t>
            </w:r>
          </w:p>
          <w:p w14:paraId="5D6321BF"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54 (Bureau de l’OMPI au Japon)</w:t>
            </w:r>
          </w:p>
          <w:p w14:paraId="3F127387"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0 (Bureau de l’OMPI en Fédération de Russie)</w:t>
            </w:r>
          </w:p>
          <w:p w14:paraId="41E6E566"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32 (Bureau de l’OMPI à Singapour)</w:t>
            </w:r>
          </w:p>
          <w:p w14:paraId="51FB4E59"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Total 128</w:t>
            </w:r>
          </w:p>
          <w:p w14:paraId="30F9936F" w14:textId="77777777" w:rsidR="00BC78D9" w:rsidRPr="00BC78D9" w:rsidRDefault="00BC78D9" w:rsidP="006A627E">
            <w:pPr>
              <w:keepNext/>
              <w:keepLines/>
              <w:suppressLineNumbers/>
              <w:suppressAutoHyphens/>
              <w:rPr>
                <w:sz w:val="16"/>
                <w:szCs w:val="16"/>
              </w:rPr>
            </w:pPr>
          </w:p>
          <w:p w14:paraId="7199E0C3" w14:textId="77777777" w:rsidR="00BC78D9" w:rsidRPr="00BC78D9" w:rsidRDefault="00BC78D9" w:rsidP="006A627E">
            <w:pPr>
              <w:keepNext/>
              <w:keepLines/>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37509812"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WIPO GREEN</w:t>
            </w:r>
          </w:p>
          <w:p w14:paraId="29E6AE80"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21 (Bureau de l’OMPI à Singapour)</w:t>
            </w:r>
          </w:p>
          <w:p w14:paraId="11C134AD"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48 pour la région Amérique latine et Caraïbes (Bureau de l’OMPI au Brésil)</w:t>
            </w:r>
          </w:p>
          <w:p w14:paraId="3C0E91F6"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45 (Bureau de l’OMPI au Japon)</w:t>
            </w:r>
          </w:p>
          <w:p w14:paraId="16025E4A"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1 (Bureau de l’OMPI en Fédération de Russie)</w:t>
            </w:r>
          </w:p>
          <w:p w14:paraId="73E80124"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29 (Bureau de l’OMPI en Chine)</w:t>
            </w:r>
          </w:p>
          <w:p w14:paraId="2680AE20" w14:textId="77777777" w:rsidR="00BC78D9" w:rsidRPr="00BC78D9" w:rsidRDefault="00BC78D9" w:rsidP="006A627E">
            <w:pPr>
              <w:pStyle w:val="Default"/>
              <w:keepNext/>
              <w:keepLines/>
              <w:suppressLineNumbers/>
              <w:suppressAutoHyphens/>
              <w:rPr>
                <w:color w:val="auto"/>
                <w:sz w:val="16"/>
                <w:szCs w:val="16"/>
                <w:lang w:val="fr-FR"/>
              </w:rPr>
            </w:pPr>
          </w:p>
          <w:p w14:paraId="31A4D8C5" w14:textId="77777777" w:rsidR="00BC78D9" w:rsidRPr="001E3776" w:rsidRDefault="00BC78D9" w:rsidP="006A627E">
            <w:pPr>
              <w:pStyle w:val="Default"/>
              <w:keepNext/>
              <w:keepLines/>
              <w:suppressLineNumbers/>
              <w:suppressAutoHyphens/>
              <w:spacing w:after="120"/>
              <w:rPr>
                <w:color w:val="auto"/>
                <w:sz w:val="16"/>
                <w:szCs w:val="16"/>
              </w:rPr>
            </w:pPr>
            <w:r w:rsidRPr="001E3776">
              <w:rPr>
                <w:color w:val="auto"/>
                <w:sz w:val="16"/>
                <w:szCs w:val="16"/>
              </w:rPr>
              <w:t xml:space="preserve">WIPO </w:t>
            </w:r>
            <w:proofErr w:type="spellStart"/>
            <w:r w:rsidRPr="001E3776">
              <w:rPr>
                <w:color w:val="auto"/>
                <w:sz w:val="16"/>
                <w:szCs w:val="16"/>
              </w:rPr>
              <w:t>Re:Search</w:t>
            </w:r>
            <w:proofErr w:type="spellEnd"/>
            <w:r w:rsidRPr="001E3776">
              <w:rPr>
                <w:color w:val="auto"/>
                <w:sz w:val="16"/>
                <w:szCs w:val="16"/>
              </w:rPr>
              <w:t xml:space="preserve"> : </w:t>
            </w:r>
            <w:proofErr w:type="spellStart"/>
            <w:r w:rsidRPr="001E3776">
              <w:rPr>
                <w:color w:val="auto"/>
                <w:sz w:val="16"/>
                <w:szCs w:val="16"/>
              </w:rPr>
              <w:t>n.d.</w:t>
            </w:r>
            <w:proofErr w:type="spellEnd"/>
            <w:r w:rsidRPr="001E3776">
              <w:rPr>
                <w:color w:val="auto"/>
                <w:sz w:val="16"/>
              </w:rPr>
              <w:t xml:space="preserve"> </w:t>
            </w:r>
            <w:r w:rsidRPr="001E3776">
              <w:rPr>
                <w:color w:val="auto"/>
                <w:sz w:val="16"/>
                <w:szCs w:val="16"/>
              </w:rPr>
              <w:t xml:space="preserve"> </w:t>
            </w:r>
          </w:p>
        </w:tc>
        <w:tc>
          <w:tcPr>
            <w:tcW w:w="835" w:type="pct"/>
            <w:gridSpan w:val="3"/>
            <w:shd w:val="clear" w:color="auto" w:fill="auto"/>
            <w:tcMar>
              <w:top w:w="110" w:type="dxa"/>
              <w:left w:w="57" w:type="dxa"/>
              <w:bottom w:w="57" w:type="dxa"/>
              <w:right w:w="57" w:type="dxa"/>
            </w:tcMar>
          </w:tcPr>
          <w:p w14:paraId="1C1CBA90"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 xml:space="preserve">Augmentation de 20% pour WIPO GREEN et WIPO </w:t>
            </w:r>
            <w:proofErr w:type="spellStart"/>
            <w:r w:rsidRPr="00BC78D9">
              <w:rPr>
                <w:color w:val="auto"/>
                <w:sz w:val="16"/>
                <w:szCs w:val="16"/>
                <w:lang w:val="fr-FR"/>
              </w:rPr>
              <w:t>Re:Search</w:t>
            </w:r>
            <w:proofErr w:type="spellEnd"/>
          </w:p>
          <w:p w14:paraId="152DD43F" w14:textId="77777777" w:rsidR="00BC78D9" w:rsidRPr="00BC78D9" w:rsidRDefault="00BC78D9" w:rsidP="006A627E">
            <w:pPr>
              <w:keepNext/>
              <w:keepLines/>
              <w:suppressLineNumbers/>
              <w:suppressAutoHyphens/>
            </w:pPr>
            <w:r w:rsidRPr="00BC78D9">
              <w:rPr>
                <w:sz w:val="16"/>
                <w:szCs w:val="16"/>
              </w:rPr>
              <w:t xml:space="preserve">(tous bureaux confondus) </w:t>
            </w:r>
          </w:p>
        </w:tc>
        <w:tc>
          <w:tcPr>
            <w:tcW w:w="1283" w:type="pct"/>
            <w:gridSpan w:val="2"/>
            <w:shd w:val="clear" w:color="auto" w:fill="FFFFFF"/>
            <w:tcMar>
              <w:top w:w="110" w:type="dxa"/>
              <w:left w:w="57" w:type="dxa"/>
              <w:bottom w:w="57" w:type="dxa"/>
              <w:right w:w="57" w:type="dxa"/>
            </w:tcMar>
          </w:tcPr>
          <w:p w14:paraId="1A3435A1" w14:textId="77777777" w:rsidR="00BC78D9" w:rsidRPr="00BC78D9" w:rsidRDefault="00BC78D9" w:rsidP="006A627E">
            <w:pPr>
              <w:keepNext/>
              <w:keepLines/>
              <w:rPr>
                <w:sz w:val="16"/>
                <w:szCs w:val="16"/>
              </w:rPr>
            </w:pPr>
            <w:r w:rsidRPr="00BC78D9">
              <w:rPr>
                <w:sz w:val="16"/>
                <w:szCs w:val="16"/>
              </w:rPr>
              <w:t xml:space="preserve">WIPO </w:t>
            </w:r>
            <w:proofErr w:type="spellStart"/>
            <w:r w:rsidRPr="00BC78D9">
              <w:rPr>
                <w:sz w:val="16"/>
                <w:szCs w:val="16"/>
              </w:rPr>
              <w:t>Re:Search</w:t>
            </w:r>
            <w:proofErr w:type="spellEnd"/>
            <w:r w:rsidRPr="00BC78D9">
              <w:rPr>
                <w:sz w:val="16"/>
                <w:szCs w:val="16"/>
              </w:rPr>
              <w:t> :</w:t>
            </w:r>
          </w:p>
          <w:p w14:paraId="5FFA1291" w14:textId="77777777" w:rsidR="00BC78D9" w:rsidRPr="00BC78D9" w:rsidRDefault="00BC78D9" w:rsidP="006A627E">
            <w:pPr>
              <w:keepNext/>
              <w:keepLines/>
              <w:suppressLineNumbers/>
              <w:suppressAutoHyphens/>
              <w:ind w:right="-74"/>
              <w:rPr>
                <w:sz w:val="16"/>
                <w:szCs w:val="16"/>
              </w:rPr>
            </w:pPr>
            <w:r w:rsidRPr="00BC78D9">
              <w:rPr>
                <w:sz w:val="16"/>
                <w:szCs w:val="16"/>
              </w:rPr>
              <w:t>7 pour la région Amérique latine et Caraïbes (Bureau de l’OMPI au Brésil)</w:t>
            </w:r>
          </w:p>
          <w:p w14:paraId="17A71D8B" w14:textId="77777777" w:rsidR="00BC78D9" w:rsidRPr="00BC78D9" w:rsidRDefault="00BC78D9" w:rsidP="006A627E">
            <w:pPr>
              <w:keepNext/>
              <w:keepLines/>
              <w:suppressLineNumbers/>
              <w:suppressAutoHyphens/>
              <w:ind w:right="-74"/>
              <w:rPr>
                <w:sz w:val="16"/>
                <w:szCs w:val="16"/>
              </w:rPr>
            </w:pPr>
          </w:p>
          <w:p w14:paraId="0125214F" w14:textId="77777777" w:rsidR="00BC78D9" w:rsidRPr="00BC78D9" w:rsidRDefault="00BC78D9" w:rsidP="006A627E">
            <w:pPr>
              <w:pStyle w:val="Default"/>
              <w:keepNext/>
              <w:keepLines/>
              <w:rPr>
                <w:color w:val="auto"/>
                <w:sz w:val="16"/>
                <w:szCs w:val="16"/>
                <w:lang w:val="fr-FR"/>
              </w:rPr>
            </w:pPr>
            <w:r w:rsidRPr="00BC78D9">
              <w:rPr>
                <w:color w:val="auto"/>
                <w:sz w:val="16"/>
                <w:szCs w:val="16"/>
                <w:lang w:val="fr-FR"/>
              </w:rPr>
              <w:t>2 (Bureau de l’OMPI en Chine)</w:t>
            </w:r>
          </w:p>
          <w:p w14:paraId="087B95F1" w14:textId="77777777" w:rsidR="00BC78D9" w:rsidRPr="00BC78D9" w:rsidRDefault="00BC78D9" w:rsidP="006A627E">
            <w:pPr>
              <w:pStyle w:val="Default"/>
              <w:keepNext/>
              <w:keepLines/>
              <w:rPr>
                <w:color w:val="auto"/>
                <w:sz w:val="16"/>
                <w:szCs w:val="16"/>
                <w:lang w:val="fr-FR"/>
              </w:rPr>
            </w:pPr>
          </w:p>
          <w:p w14:paraId="0833E18C" w14:textId="77777777" w:rsidR="00BC78D9" w:rsidRPr="00BC78D9" w:rsidRDefault="00BC78D9" w:rsidP="006A627E">
            <w:pPr>
              <w:pStyle w:val="Default"/>
              <w:keepNext/>
              <w:keepLines/>
              <w:rPr>
                <w:color w:val="auto"/>
                <w:sz w:val="16"/>
                <w:szCs w:val="16"/>
                <w:lang w:val="fr-FR"/>
              </w:rPr>
            </w:pPr>
          </w:p>
          <w:p w14:paraId="4960702B" w14:textId="77777777" w:rsidR="00BC78D9" w:rsidRPr="00BC78D9" w:rsidRDefault="00BC78D9" w:rsidP="006A627E">
            <w:pPr>
              <w:pStyle w:val="Default"/>
              <w:keepNext/>
              <w:keepLines/>
              <w:rPr>
                <w:color w:val="auto"/>
                <w:sz w:val="16"/>
                <w:szCs w:val="16"/>
                <w:lang w:val="fr-FR"/>
              </w:rPr>
            </w:pPr>
            <w:r w:rsidRPr="00BC78D9">
              <w:rPr>
                <w:color w:val="auto"/>
                <w:sz w:val="16"/>
                <w:szCs w:val="16"/>
                <w:lang w:val="fr-FR"/>
              </w:rPr>
              <w:t>2 (Bureau de l’OMPI au Japon)</w:t>
            </w:r>
          </w:p>
          <w:p w14:paraId="13BBFB93" w14:textId="77777777" w:rsidR="00BC78D9" w:rsidRPr="00BC78D9" w:rsidRDefault="00BC78D9" w:rsidP="006A627E">
            <w:pPr>
              <w:pStyle w:val="Default"/>
              <w:keepNext/>
              <w:keepLines/>
              <w:rPr>
                <w:color w:val="auto"/>
                <w:sz w:val="16"/>
                <w:szCs w:val="16"/>
                <w:lang w:val="fr-FR"/>
              </w:rPr>
            </w:pPr>
          </w:p>
          <w:p w14:paraId="2DAEFF62" w14:textId="77777777" w:rsidR="00BC78D9" w:rsidRPr="00BC78D9" w:rsidRDefault="00BC78D9" w:rsidP="006A627E">
            <w:pPr>
              <w:pStyle w:val="Default"/>
              <w:keepNext/>
              <w:keepLines/>
              <w:rPr>
                <w:color w:val="auto"/>
                <w:sz w:val="16"/>
                <w:szCs w:val="16"/>
                <w:lang w:val="fr-FR"/>
              </w:rPr>
            </w:pPr>
          </w:p>
          <w:p w14:paraId="2D88294C" w14:textId="77777777" w:rsidR="00BC78D9" w:rsidRPr="00BC78D9" w:rsidRDefault="00BC78D9" w:rsidP="006A627E">
            <w:pPr>
              <w:pStyle w:val="Default"/>
              <w:keepNext/>
              <w:keepLines/>
              <w:rPr>
                <w:color w:val="auto"/>
                <w:sz w:val="16"/>
                <w:szCs w:val="16"/>
                <w:lang w:val="fr-FR"/>
              </w:rPr>
            </w:pPr>
            <w:r w:rsidRPr="00BC78D9">
              <w:rPr>
                <w:color w:val="auto"/>
                <w:sz w:val="16"/>
                <w:szCs w:val="16"/>
                <w:lang w:val="fr-FR"/>
              </w:rPr>
              <w:t>0 (Bureau de l’OMPI en Fédération de Russie)</w:t>
            </w:r>
          </w:p>
          <w:p w14:paraId="5BA50227" w14:textId="77777777" w:rsidR="00BC78D9" w:rsidRPr="00BC78D9" w:rsidRDefault="00BC78D9" w:rsidP="006A627E">
            <w:pPr>
              <w:pStyle w:val="Default"/>
              <w:keepNext/>
              <w:keepLines/>
              <w:rPr>
                <w:color w:val="auto"/>
                <w:sz w:val="16"/>
                <w:szCs w:val="16"/>
                <w:lang w:val="fr-FR"/>
              </w:rPr>
            </w:pPr>
          </w:p>
          <w:p w14:paraId="64507F30" w14:textId="77777777" w:rsidR="00BC78D9" w:rsidRPr="00BC78D9" w:rsidRDefault="00BC78D9" w:rsidP="006A627E">
            <w:pPr>
              <w:pStyle w:val="Default"/>
              <w:keepNext/>
              <w:keepLines/>
              <w:rPr>
                <w:rStyle w:val="CommentReference"/>
                <w:color w:val="auto"/>
                <w:lang w:val="fr-FR"/>
              </w:rPr>
            </w:pPr>
            <w:r w:rsidRPr="00BC78D9">
              <w:rPr>
                <w:color w:val="auto"/>
                <w:sz w:val="16"/>
                <w:szCs w:val="16"/>
                <w:lang w:val="fr-FR"/>
              </w:rPr>
              <w:t xml:space="preserve">6 (Bureau de l’OMPI à Singapour) </w:t>
            </w:r>
          </w:p>
          <w:p w14:paraId="7F2C394A" w14:textId="77777777" w:rsidR="00BC78D9" w:rsidRPr="00BC78D9" w:rsidRDefault="00BC78D9" w:rsidP="006A627E">
            <w:pPr>
              <w:keepNext/>
              <w:keepLines/>
              <w:rPr>
                <w:sz w:val="16"/>
                <w:szCs w:val="16"/>
              </w:rPr>
            </w:pPr>
            <w:r w:rsidRPr="00BC78D9">
              <w:rPr>
                <w:sz w:val="16"/>
                <w:szCs w:val="16"/>
              </w:rPr>
              <w:t>Total 16</w:t>
            </w:r>
          </w:p>
          <w:p w14:paraId="5E9EB874" w14:textId="77777777" w:rsidR="00BC78D9" w:rsidRPr="00BC78D9" w:rsidRDefault="00BC78D9" w:rsidP="006A627E">
            <w:pPr>
              <w:keepNext/>
              <w:keepLines/>
              <w:rPr>
                <w:sz w:val="16"/>
                <w:szCs w:val="16"/>
              </w:rPr>
            </w:pPr>
          </w:p>
          <w:p w14:paraId="0A171BA0" w14:textId="77777777" w:rsidR="00BC78D9" w:rsidRPr="00BC78D9" w:rsidRDefault="00BC78D9" w:rsidP="006A627E">
            <w:pPr>
              <w:keepNext/>
              <w:keepLines/>
              <w:rPr>
                <w:iCs/>
                <w:sz w:val="16"/>
                <w:szCs w:val="16"/>
              </w:rPr>
            </w:pPr>
            <w:r w:rsidRPr="00BC78D9">
              <w:rPr>
                <w:iCs/>
                <w:sz w:val="16"/>
                <w:szCs w:val="16"/>
              </w:rPr>
              <w:t>WIPO GREEN :</w:t>
            </w:r>
          </w:p>
          <w:p w14:paraId="338B88AA" w14:textId="77777777" w:rsidR="00BC78D9" w:rsidRPr="00BC78D9" w:rsidRDefault="00BC78D9" w:rsidP="006A627E">
            <w:pPr>
              <w:pStyle w:val="Default"/>
              <w:keepNext/>
              <w:keepLines/>
              <w:ind w:right="-74"/>
              <w:rPr>
                <w:color w:val="auto"/>
                <w:sz w:val="16"/>
                <w:szCs w:val="16"/>
                <w:lang w:val="fr-FR"/>
              </w:rPr>
            </w:pPr>
            <w:r w:rsidRPr="00BC78D9">
              <w:rPr>
                <w:color w:val="auto"/>
                <w:sz w:val="16"/>
                <w:szCs w:val="16"/>
                <w:lang w:val="fr-FR"/>
              </w:rPr>
              <w:t>78 pour la région Amérique latine et Caraïbes (Bureau de l’OMPI au Brésil)</w:t>
            </w:r>
          </w:p>
          <w:p w14:paraId="0B06BCCD" w14:textId="77777777" w:rsidR="00BC78D9" w:rsidRPr="00BC78D9" w:rsidRDefault="00BC78D9" w:rsidP="006A627E">
            <w:pPr>
              <w:pStyle w:val="Default"/>
              <w:keepNext/>
              <w:keepLines/>
              <w:ind w:right="-74"/>
              <w:rPr>
                <w:color w:val="auto"/>
                <w:sz w:val="16"/>
                <w:szCs w:val="16"/>
                <w:lang w:val="fr-FR"/>
              </w:rPr>
            </w:pPr>
          </w:p>
          <w:p w14:paraId="1C85AC30" w14:textId="77777777" w:rsidR="00BC78D9" w:rsidRPr="00BC78D9" w:rsidRDefault="00BC78D9" w:rsidP="006A627E">
            <w:pPr>
              <w:pStyle w:val="Default"/>
              <w:keepNext/>
              <w:keepLines/>
              <w:rPr>
                <w:color w:val="auto"/>
                <w:sz w:val="16"/>
                <w:szCs w:val="16"/>
                <w:lang w:val="fr-FR"/>
              </w:rPr>
            </w:pPr>
            <w:r w:rsidRPr="00BC78D9">
              <w:rPr>
                <w:color w:val="auto"/>
                <w:sz w:val="16"/>
                <w:szCs w:val="16"/>
                <w:lang w:val="fr-FR"/>
              </w:rPr>
              <w:t>34 (Bureau de l’OMPI en Chine)</w:t>
            </w:r>
          </w:p>
          <w:p w14:paraId="4F2B6B41" w14:textId="77777777" w:rsidR="00BC78D9" w:rsidRPr="00BC78D9" w:rsidRDefault="00BC78D9" w:rsidP="006A627E">
            <w:pPr>
              <w:pStyle w:val="Default"/>
              <w:keepNext/>
              <w:keepLines/>
              <w:rPr>
                <w:color w:val="auto"/>
                <w:sz w:val="16"/>
                <w:szCs w:val="16"/>
                <w:lang w:val="fr-FR"/>
              </w:rPr>
            </w:pPr>
          </w:p>
          <w:p w14:paraId="4FBE70D5" w14:textId="77777777" w:rsidR="00BC78D9" w:rsidRPr="00BC78D9" w:rsidRDefault="00BC78D9" w:rsidP="006A627E">
            <w:pPr>
              <w:pStyle w:val="Default"/>
              <w:keepNext/>
              <w:keepLines/>
              <w:rPr>
                <w:color w:val="auto"/>
                <w:sz w:val="16"/>
                <w:szCs w:val="16"/>
                <w:lang w:val="fr-FR"/>
              </w:rPr>
            </w:pPr>
          </w:p>
          <w:p w14:paraId="57FB7B83" w14:textId="77777777" w:rsidR="00BC78D9" w:rsidRPr="00BC78D9" w:rsidRDefault="00BC78D9" w:rsidP="006A627E">
            <w:pPr>
              <w:pStyle w:val="Default"/>
              <w:keepNext/>
              <w:keepLines/>
              <w:rPr>
                <w:color w:val="auto"/>
                <w:sz w:val="16"/>
                <w:szCs w:val="16"/>
                <w:lang w:val="fr-FR"/>
              </w:rPr>
            </w:pPr>
            <w:r w:rsidRPr="00BC78D9">
              <w:rPr>
                <w:color w:val="auto"/>
                <w:sz w:val="16"/>
                <w:szCs w:val="16"/>
                <w:lang w:val="fr-FR"/>
              </w:rPr>
              <w:t>70 (Bureau de l’OMPI au Japon)</w:t>
            </w:r>
          </w:p>
          <w:p w14:paraId="65BE2C26" w14:textId="77777777" w:rsidR="00BC78D9" w:rsidRPr="00BC78D9" w:rsidRDefault="00BC78D9" w:rsidP="006A627E">
            <w:pPr>
              <w:pStyle w:val="Default"/>
              <w:keepNext/>
              <w:keepLines/>
              <w:rPr>
                <w:color w:val="auto"/>
                <w:sz w:val="16"/>
                <w:szCs w:val="16"/>
                <w:lang w:val="fr-FR"/>
              </w:rPr>
            </w:pPr>
          </w:p>
          <w:p w14:paraId="4BB0ACA8" w14:textId="77777777" w:rsidR="00BC78D9" w:rsidRPr="00BC78D9" w:rsidRDefault="00BC78D9" w:rsidP="006A627E">
            <w:pPr>
              <w:pStyle w:val="Default"/>
              <w:keepNext/>
              <w:keepLines/>
              <w:rPr>
                <w:color w:val="auto"/>
                <w:sz w:val="16"/>
                <w:szCs w:val="16"/>
                <w:lang w:val="fr-FR"/>
              </w:rPr>
            </w:pPr>
          </w:p>
          <w:p w14:paraId="53DC96BA" w14:textId="77777777" w:rsidR="00BC78D9" w:rsidRPr="00BC78D9" w:rsidRDefault="00BC78D9" w:rsidP="006A627E">
            <w:pPr>
              <w:pStyle w:val="Default"/>
              <w:keepNext/>
              <w:keepLines/>
              <w:rPr>
                <w:color w:val="auto"/>
                <w:sz w:val="16"/>
                <w:szCs w:val="16"/>
                <w:lang w:val="fr-FR"/>
              </w:rPr>
            </w:pPr>
            <w:r w:rsidRPr="00BC78D9">
              <w:rPr>
                <w:color w:val="auto"/>
                <w:sz w:val="16"/>
                <w:szCs w:val="16"/>
                <w:lang w:val="fr-FR"/>
              </w:rPr>
              <w:t>0 (Bureau de l’OMPI en Fédération de Russie)</w:t>
            </w:r>
          </w:p>
          <w:p w14:paraId="508F3469" w14:textId="77777777" w:rsidR="00BC78D9" w:rsidRPr="00BC78D9" w:rsidRDefault="00BC78D9" w:rsidP="006A627E">
            <w:pPr>
              <w:pStyle w:val="Default"/>
              <w:keepNext/>
              <w:keepLines/>
              <w:rPr>
                <w:color w:val="auto"/>
                <w:sz w:val="16"/>
                <w:szCs w:val="16"/>
                <w:lang w:val="fr-FR"/>
              </w:rPr>
            </w:pPr>
          </w:p>
          <w:p w14:paraId="20DA8DFE" w14:textId="77777777" w:rsidR="00BC78D9" w:rsidRPr="00BC78D9" w:rsidRDefault="00BC78D9" w:rsidP="006A627E">
            <w:pPr>
              <w:pStyle w:val="Default"/>
              <w:keepNext/>
              <w:keepLines/>
              <w:rPr>
                <w:color w:val="auto"/>
                <w:sz w:val="16"/>
                <w:szCs w:val="16"/>
                <w:lang w:val="fr-FR"/>
              </w:rPr>
            </w:pPr>
            <w:r w:rsidRPr="00BC78D9">
              <w:rPr>
                <w:color w:val="auto"/>
                <w:sz w:val="16"/>
                <w:szCs w:val="16"/>
                <w:lang w:val="fr-FR"/>
              </w:rPr>
              <w:t>43 (Bureau de l’OMPI à Singapour)</w:t>
            </w:r>
          </w:p>
          <w:p w14:paraId="7B8607AF" w14:textId="77777777" w:rsidR="00BC78D9" w:rsidRPr="00BC78D9" w:rsidRDefault="00BC78D9" w:rsidP="006A627E">
            <w:pPr>
              <w:pStyle w:val="Default"/>
              <w:keepNext/>
              <w:keepLines/>
              <w:rPr>
                <w:color w:val="auto"/>
                <w:sz w:val="16"/>
                <w:szCs w:val="16"/>
                <w:lang w:val="fr-FR"/>
              </w:rPr>
            </w:pPr>
          </w:p>
          <w:p w14:paraId="5FE1D08A" w14:textId="77777777" w:rsidR="00BC78D9" w:rsidRPr="00BC78D9" w:rsidRDefault="00BC78D9" w:rsidP="006A627E">
            <w:pPr>
              <w:keepNext/>
              <w:keepLines/>
              <w:rPr>
                <w:sz w:val="16"/>
                <w:szCs w:val="16"/>
              </w:rPr>
            </w:pPr>
            <w:r w:rsidRPr="00BC78D9">
              <w:rPr>
                <w:sz w:val="16"/>
                <w:szCs w:val="16"/>
              </w:rPr>
              <w:t>Total 225</w:t>
            </w:r>
          </w:p>
        </w:tc>
        <w:tc>
          <w:tcPr>
            <w:tcW w:w="567" w:type="pct"/>
            <w:shd w:val="clear" w:color="auto" w:fill="auto"/>
            <w:tcMar>
              <w:top w:w="110" w:type="dxa"/>
              <w:left w:w="57" w:type="dxa"/>
              <w:bottom w:w="57" w:type="dxa"/>
              <w:right w:w="57" w:type="dxa"/>
            </w:tcMar>
          </w:tcPr>
          <w:p w14:paraId="750A23A8" w14:textId="77777777" w:rsidR="00BC78D9" w:rsidRPr="00BC78D9" w:rsidRDefault="00BC78D9" w:rsidP="006A627E">
            <w:pPr>
              <w:keepNext/>
              <w:keepLines/>
              <w:suppressLineNumbers/>
              <w:suppressAutoHyphens/>
              <w:jc w:val="center"/>
              <w:rPr>
                <w:sz w:val="16"/>
                <w:szCs w:val="16"/>
              </w:rPr>
            </w:pPr>
          </w:p>
          <w:p w14:paraId="2106E8F5" w14:textId="77777777" w:rsidR="00BC78D9" w:rsidRPr="00BC78D9" w:rsidRDefault="00BC78D9" w:rsidP="006A627E">
            <w:pPr>
              <w:keepNext/>
              <w:keepLines/>
              <w:autoSpaceDE w:val="0"/>
              <w:autoSpaceDN w:val="0"/>
              <w:adjustRightInd w:val="0"/>
              <w:jc w:val="center"/>
              <w:rPr>
                <w:b/>
                <w:color w:val="00B050"/>
                <w:sz w:val="16"/>
                <w:szCs w:val="16"/>
              </w:rPr>
            </w:pPr>
            <w:r w:rsidRPr="00BC78D9">
              <w:rPr>
                <w:b/>
                <w:color w:val="00B050"/>
                <w:sz w:val="16"/>
                <w:szCs w:val="16"/>
              </w:rPr>
              <w:t>En bonne voie</w:t>
            </w:r>
          </w:p>
          <w:p w14:paraId="2123BB79" w14:textId="77777777" w:rsidR="00BC78D9" w:rsidRPr="00BC78D9" w:rsidRDefault="00BC78D9" w:rsidP="006A627E">
            <w:pPr>
              <w:keepNext/>
              <w:keepLines/>
              <w:autoSpaceDE w:val="0"/>
              <w:autoSpaceDN w:val="0"/>
              <w:adjustRightInd w:val="0"/>
              <w:jc w:val="center"/>
              <w:rPr>
                <w:sz w:val="16"/>
                <w:szCs w:val="16"/>
              </w:rPr>
            </w:pPr>
          </w:p>
          <w:p w14:paraId="72DBDAD5" w14:textId="77777777" w:rsidR="00BC78D9" w:rsidRPr="00BC78D9" w:rsidRDefault="00BC78D9" w:rsidP="006A627E">
            <w:pPr>
              <w:keepNext/>
              <w:keepLines/>
              <w:autoSpaceDE w:val="0"/>
              <w:autoSpaceDN w:val="0"/>
              <w:adjustRightInd w:val="0"/>
              <w:jc w:val="center"/>
              <w:rPr>
                <w:sz w:val="16"/>
                <w:szCs w:val="16"/>
              </w:rPr>
            </w:pPr>
          </w:p>
          <w:p w14:paraId="77672153" w14:textId="77777777" w:rsidR="00BC78D9" w:rsidRPr="00BC78D9" w:rsidRDefault="00BC78D9" w:rsidP="006A627E">
            <w:pPr>
              <w:keepNext/>
              <w:keepLines/>
              <w:autoSpaceDE w:val="0"/>
              <w:autoSpaceDN w:val="0"/>
              <w:adjustRightInd w:val="0"/>
              <w:jc w:val="center"/>
              <w:rPr>
                <w:color w:val="FF0000"/>
                <w:sz w:val="16"/>
                <w:szCs w:val="16"/>
              </w:rPr>
            </w:pPr>
            <w:r w:rsidRPr="00BC78D9">
              <w:rPr>
                <w:b/>
                <w:color w:val="FF0000"/>
                <w:sz w:val="16"/>
                <w:szCs w:val="16"/>
              </w:rPr>
              <w:t>Pas en bonne voie</w:t>
            </w:r>
          </w:p>
          <w:p w14:paraId="4A766869" w14:textId="77777777" w:rsidR="00BC78D9" w:rsidRPr="00BC78D9" w:rsidRDefault="00BC78D9" w:rsidP="006A627E">
            <w:pPr>
              <w:keepNext/>
              <w:keepLines/>
              <w:autoSpaceDE w:val="0"/>
              <w:autoSpaceDN w:val="0"/>
              <w:adjustRightInd w:val="0"/>
              <w:jc w:val="center"/>
              <w:rPr>
                <w:sz w:val="16"/>
                <w:szCs w:val="16"/>
              </w:rPr>
            </w:pPr>
          </w:p>
          <w:p w14:paraId="7F343961" w14:textId="77777777" w:rsidR="005A435C" w:rsidRDefault="005A435C" w:rsidP="006A627E">
            <w:pPr>
              <w:keepNext/>
              <w:keepLines/>
              <w:autoSpaceDE w:val="0"/>
              <w:autoSpaceDN w:val="0"/>
              <w:adjustRightInd w:val="0"/>
              <w:jc w:val="center"/>
              <w:rPr>
                <w:b/>
                <w:color w:val="FF0000"/>
                <w:sz w:val="16"/>
                <w:szCs w:val="16"/>
              </w:rPr>
            </w:pPr>
          </w:p>
          <w:p w14:paraId="3B905657" w14:textId="77777777" w:rsidR="00BC78D9" w:rsidRPr="00BC78D9" w:rsidRDefault="00BC78D9" w:rsidP="006A627E">
            <w:pPr>
              <w:keepNext/>
              <w:keepLines/>
              <w:autoSpaceDE w:val="0"/>
              <w:autoSpaceDN w:val="0"/>
              <w:adjustRightInd w:val="0"/>
              <w:jc w:val="center"/>
              <w:rPr>
                <w:b/>
                <w:color w:val="FF0000"/>
                <w:sz w:val="16"/>
                <w:szCs w:val="16"/>
              </w:rPr>
            </w:pPr>
            <w:r w:rsidRPr="00BC78D9">
              <w:rPr>
                <w:b/>
                <w:color w:val="FF0000"/>
                <w:sz w:val="16"/>
                <w:szCs w:val="16"/>
              </w:rPr>
              <w:t>Pas en bonne voie</w:t>
            </w:r>
          </w:p>
          <w:p w14:paraId="2B4D2B69" w14:textId="77777777" w:rsidR="00BC78D9" w:rsidRPr="00BC78D9" w:rsidRDefault="00BC78D9" w:rsidP="006A627E">
            <w:pPr>
              <w:keepNext/>
              <w:keepLines/>
              <w:autoSpaceDE w:val="0"/>
              <w:autoSpaceDN w:val="0"/>
              <w:adjustRightInd w:val="0"/>
              <w:jc w:val="center"/>
              <w:rPr>
                <w:sz w:val="16"/>
                <w:szCs w:val="16"/>
              </w:rPr>
            </w:pPr>
          </w:p>
          <w:p w14:paraId="118A2A10" w14:textId="77777777" w:rsidR="005A435C" w:rsidRDefault="005A435C" w:rsidP="006A627E">
            <w:pPr>
              <w:keepNext/>
              <w:keepLines/>
              <w:autoSpaceDE w:val="0"/>
              <w:autoSpaceDN w:val="0"/>
              <w:adjustRightInd w:val="0"/>
              <w:jc w:val="center"/>
              <w:rPr>
                <w:b/>
                <w:color w:val="808080"/>
                <w:sz w:val="16"/>
                <w:szCs w:val="16"/>
              </w:rPr>
            </w:pPr>
          </w:p>
          <w:p w14:paraId="4A8732E3" w14:textId="77777777" w:rsidR="00BC78D9" w:rsidRPr="00BC78D9" w:rsidRDefault="00BC78D9" w:rsidP="006A627E">
            <w:pPr>
              <w:keepNext/>
              <w:keepLines/>
              <w:autoSpaceDE w:val="0"/>
              <w:autoSpaceDN w:val="0"/>
              <w:adjustRightInd w:val="0"/>
              <w:jc w:val="center"/>
              <w:rPr>
                <w:b/>
                <w:sz w:val="16"/>
                <w:szCs w:val="16"/>
              </w:rPr>
            </w:pPr>
            <w:r w:rsidRPr="00BC78D9">
              <w:rPr>
                <w:b/>
                <w:color w:val="808080"/>
                <w:sz w:val="16"/>
                <w:szCs w:val="16"/>
              </w:rPr>
              <w:t>Non évaluable</w:t>
            </w:r>
          </w:p>
          <w:p w14:paraId="3FB7FCD7" w14:textId="77777777" w:rsidR="00BC78D9" w:rsidRPr="00BC78D9" w:rsidRDefault="00BC78D9" w:rsidP="006A627E">
            <w:pPr>
              <w:keepNext/>
              <w:keepLines/>
              <w:suppressLineNumbers/>
              <w:suppressAutoHyphens/>
              <w:jc w:val="center"/>
              <w:rPr>
                <w:color w:val="00B050"/>
                <w:sz w:val="16"/>
                <w:szCs w:val="16"/>
              </w:rPr>
            </w:pPr>
          </w:p>
          <w:p w14:paraId="106B9DCC" w14:textId="77777777" w:rsidR="00BC78D9" w:rsidRPr="00BC78D9" w:rsidRDefault="00BC78D9" w:rsidP="006A627E">
            <w:pPr>
              <w:keepNext/>
              <w:keepLines/>
              <w:suppressLineNumbers/>
              <w:suppressAutoHyphens/>
              <w:jc w:val="center"/>
              <w:rPr>
                <w:b/>
                <w:sz w:val="16"/>
                <w:szCs w:val="16"/>
              </w:rPr>
            </w:pPr>
            <w:r w:rsidRPr="00BC78D9">
              <w:rPr>
                <w:b/>
                <w:color w:val="00B050"/>
                <w:sz w:val="16"/>
                <w:szCs w:val="16"/>
              </w:rPr>
              <w:t>En bonne voie</w:t>
            </w:r>
          </w:p>
          <w:p w14:paraId="0B915ED9" w14:textId="77777777" w:rsidR="00BC78D9" w:rsidRPr="00BC78D9" w:rsidRDefault="00BC78D9" w:rsidP="006A627E">
            <w:pPr>
              <w:keepNext/>
              <w:keepLines/>
              <w:suppressLineNumbers/>
              <w:suppressAutoHyphens/>
              <w:jc w:val="center"/>
              <w:rPr>
                <w:sz w:val="16"/>
                <w:szCs w:val="16"/>
              </w:rPr>
            </w:pPr>
          </w:p>
          <w:p w14:paraId="62F06619" w14:textId="77777777" w:rsidR="00BC78D9" w:rsidRPr="00BC78D9" w:rsidRDefault="00BC78D9" w:rsidP="006A627E">
            <w:pPr>
              <w:keepNext/>
              <w:keepLines/>
              <w:suppressLineNumbers/>
              <w:suppressAutoHyphens/>
              <w:jc w:val="center"/>
              <w:rPr>
                <w:sz w:val="16"/>
                <w:szCs w:val="16"/>
              </w:rPr>
            </w:pPr>
          </w:p>
          <w:p w14:paraId="3B89C0EC" w14:textId="77777777" w:rsidR="00BC78D9" w:rsidRPr="00BC78D9" w:rsidRDefault="00BC78D9" w:rsidP="006A627E">
            <w:pPr>
              <w:keepNext/>
              <w:keepLines/>
              <w:suppressLineNumbers/>
              <w:suppressAutoHyphens/>
              <w:jc w:val="center"/>
              <w:rPr>
                <w:color w:val="00B050"/>
                <w:sz w:val="16"/>
                <w:szCs w:val="16"/>
              </w:rPr>
            </w:pPr>
          </w:p>
          <w:p w14:paraId="2EBAF088" w14:textId="77777777" w:rsidR="00BC78D9" w:rsidRPr="00BC78D9" w:rsidRDefault="00BC78D9" w:rsidP="006A627E">
            <w:pPr>
              <w:keepNext/>
              <w:keepLines/>
              <w:suppressLineNumbers/>
              <w:suppressAutoHyphens/>
              <w:jc w:val="center"/>
              <w:rPr>
                <w:b/>
                <w:sz w:val="16"/>
                <w:szCs w:val="16"/>
              </w:rPr>
            </w:pPr>
            <w:r w:rsidRPr="00BC78D9">
              <w:rPr>
                <w:b/>
                <w:color w:val="00B050"/>
                <w:sz w:val="16"/>
                <w:szCs w:val="16"/>
              </w:rPr>
              <w:t>En bonne voie</w:t>
            </w:r>
          </w:p>
          <w:p w14:paraId="54AA603B" w14:textId="77777777" w:rsidR="00BC78D9" w:rsidRPr="00BC78D9" w:rsidRDefault="00BC78D9" w:rsidP="006A627E">
            <w:pPr>
              <w:keepNext/>
              <w:keepLines/>
              <w:suppressLineNumbers/>
              <w:suppressAutoHyphens/>
              <w:jc w:val="center"/>
              <w:rPr>
                <w:color w:val="00B050"/>
                <w:sz w:val="16"/>
                <w:szCs w:val="16"/>
              </w:rPr>
            </w:pPr>
          </w:p>
          <w:p w14:paraId="273A9492" w14:textId="77777777" w:rsidR="00BC78D9" w:rsidRPr="00BC78D9" w:rsidRDefault="00BC78D9" w:rsidP="006A627E">
            <w:pPr>
              <w:keepNext/>
              <w:keepLines/>
              <w:suppressLineNumbers/>
              <w:suppressAutoHyphens/>
              <w:jc w:val="center"/>
              <w:rPr>
                <w:color w:val="00B050"/>
                <w:sz w:val="16"/>
                <w:szCs w:val="16"/>
              </w:rPr>
            </w:pPr>
          </w:p>
          <w:p w14:paraId="0D62766A" w14:textId="77777777" w:rsidR="00BC78D9" w:rsidRPr="00BC78D9" w:rsidRDefault="00BC78D9" w:rsidP="006A627E">
            <w:pPr>
              <w:keepNext/>
              <w:keepLines/>
              <w:suppressLineNumbers/>
              <w:suppressAutoHyphens/>
              <w:jc w:val="center"/>
              <w:rPr>
                <w:b/>
                <w:color w:val="00B050"/>
                <w:sz w:val="16"/>
                <w:szCs w:val="16"/>
              </w:rPr>
            </w:pPr>
            <w:r w:rsidRPr="00BC78D9">
              <w:rPr>
                <w:b/>
                <w:color w:val="00B050"/>
                <w:sz w:val="16"/>
                <w:szCs w:val="16"/>
              </w:rPr>
              <w:t>En bonne voie</w:t>
            </w:r>
          </w:p>
          <w:p w14:paraId="15657E07" w14:textId="77777777" w:rsidR="00BC78D9" w:rsidRPr="00BC78D9" w:rsidRDefault="00BC78D9" w:rsidP="006A627E">
            <w:pPr>
              <w:keepNext/>
              <w:keepLines/>
              <w:suppressLineNumbers/>
              <w:suppressAutoHyphens/>
              <w:jc w:val="center"/>
              <w:rPr>
                <w:sz w:val="16"/>
                <w:szCs w:val="16"/>
              </w:rPr>
            </w:pPr>
          </w:p>
          <w:p w14:paraId="7C7C69F9" w14:textId="77777777" w:rsidR="005A435C" w:rsidRDefault="005A435C" w:rsidP="006A627E">
            <w:pPr>
              <w:keepNext/>
              <w:keepLines/>
              <w:suppressLineNumbers/>
              <w:suppressAutoHyphens/>
              <w:jc w:val="center"/>
              <w:rPr>
                <w:b/>
                <w:color w:val="00B050"/>
                <w:sz w:val="16"/>
                <w:szCs w:val="16"/>
              </w:rPr>
            </w:pPr>
          </w:p>
          <w:p w14:paraId="71A08AE3" w14:textId="77777777" w:rsidR="00BC78D9" w:rsidRPr="00BC78D9" w:rsidRDefault="00BC78D9" w:rsidP="006A627E">
            <w:pPr>
              <w:keepNext/>
              <w:keepLines/>
              <w:suppressLineNumbers/>
              <w:suppressAutoHyphens/>
              <w:jc w:val="center"/>
              <w:rPr>
                <w:b/>
                <w:color w:val="00B050"/>
                <w:sz w:val="16"/>
                <w:szCs w:val="16"/>
              </w:rPr>
            </w:pPr>
            <w:r w:rsidRPr="00BC78D9">
              <w:rPr>
                <w:b/>
                <w:color w:val="00B050"/>
                <w:sz w:val="16"/>
                <w:szCs w:val="16"/>
              </w:rPr>
              <w:t>En bonne voie</w:t>
            </w:r>
          </w:p>
          <w:p w14:paraId="36FD1715" w14:textId="77777777" w:rsidR="00BC78D9" w:rsidRPr="00BC78D9" w:rsidRDefault="00BC78D9" w:rsidP="006A627E">
            <w:pPr>
              <w:keepNext/>
              <w:keepLines/>
              <w:suppressLineNumbers/>
              <w:suppressAutoHyphens/>
              <w:jc w:val="center"/>
              <w:rPr>
                <w:sz w:val="16"/>
                <w:szCs w:val="16"/>
              </w:rPr>
            </w:pPr>
          </w:p>
          <w:p w14:paraId="4BFA5E35" w14:textId="77777777" w:rsidR="005A435C" w:rsidRDefault="005A435C" w:rsidP="006A627E">
            <w:pPr>
              <w:keepNext/>
              <w:keepLines/>
              <w:suppressLineNumbers/>
              <w:suppressAutoHyphens/>
              <w:jc w:val="center"/>
              <w:rPr>
                <w:b/>
                <w:color w:val="808080"/>
                <w:sz w:val="16"/>
                <w:szCs w:val="16"/>
              </w:rPr>
            </w:pPr>
          </w:p>
          <w:p w14:paraId="266B5AC5" w14:textId="77777777" w:rsidR="00BC78D9" w:rsidRPr="00BC78D9" w:rsidRDefault="00BC78D9" w:rsidP="006A627E">
            <w:pPr>
              <w:keepNext/>
              <w:keepLines/>
              <w:suppressLineNumbers/>
              <w:suppressAutoHyphens/>
              <w:jc w:val="center"/>
              <w:rPr>
                <w:b/>
                <w:color w:val="808080"/>
                <w:sz w:val="16"/>
                <w:szCs w:val="16"/>
              </w:rPr>
            </w:pPr>
            <w:r w:rsidRPr="00BC78D9">
              <w:rPr>
                <w:b/>
                <w:color w:val="808080"/>
                <w:sz w:val="16"/>
                <w:szCs w:val="16"/>
              </w:rPr>
              <w:t>Non évaluable</w:t>
            </w:r>
          </w:p>
          <w:p w14:paraId="7F85FEBF" w14:textId="77777777" w:rsidR="00BC78D9" w:rsidRPr="00BC78D9" w:rsidRDefault="00BC78D9" w:rsidP="006A627E">
            <w:pPr>
              <w:keepNext/>
              <w:keepLines/>
              <w:suppressLineNumbers/>
              <w:suppressAutoHyphens/>
              <w:jc w:val="center"/>
              <w:rPr>
                <w:b/>
                <w:sz w:val="16"/>
                <w:szCs w:val="16"/>
              </w:rPr>
            </w:pPr>
          </w:p>
          <w:p w14:paraId="528AD4A8" w14:textId="77777777" w:rsidR="00BC78D9" w:rsidRPr="00BC78D9" w:rsidRDefault="00BC78D9" w:rsidP="006A627E">
            <w:pPr>
              <w:keepNext/>
              <w:keepLines/>
              <w:suppressLineNumbers/>
              <w:suppressAutoHyphens/>
              <w:jc w:val="center"/>
              <w:rPr>
                <w:sz w:val="16"/>
                <w:szCs w:val="16"/>
              </w:rPr>
            </w:pPr>
            <w:r w:rsidRPr="00BC78D9">
              <w:rPr>
                <w:b/>
                <w:color w:val="00B050"/>
                <w:sz w:val="16"/>
                <w:szCs w:val="16"/>
              </w:rPr>
              <w:t>En bonne voie</w:t>
            </w:r>
          </w:p>
        </w:tc>
      </w:tr>
    </w:tbl>
    <w:p w14:paraId="14E5B004" w14:textId="77777777" w:rsidR="00BC78D9" w:rsidRPr="00BC78D9" w:rsidRDefault="00BC78D9" w:rsidP="00BC78D9">
      <w:r w:rsidRPr="00BC78D9">
        <w:br w:type="page"/>
      </w:r>
    </w:p>
    <w:tbl>
      <w:tblPr>
        <w:tblW w:w="9532" w:type="dxa"/>
        <w:tblInd w:w="58" w:type="dxa"/>
        <w:tblLayout w:type="fixed"/>
        <w:tblCellMar>
          <w:left w:w="115" w:type="dxa"/>
          <w:right w:w="115" w:type="dxa"/>
        </w:tblCellMar>
        <w:tblLook w:val="0000" w:firstRow="0" w:lastRow="0" w:firstColumn="0" w:lastColumn="0" w:noHBand="0" w:noVBand="0"/>
      </w:tblPr>
      <w:tblGrid>
        <w:gridCol w:w="1980"/>
        <w:gridCol w:w="2433"/>
        <w:gridCol w:w="1592"/>
        <w:gridCol w:w="2446"/>
        <w:gridCol w:w="1081"/>
      </w:tblGrid>
      <w:tr w:rsidR="00BC78D9" w:rsidRPr="00BC78D9" w14:paraId="35C7AEC9" w14:textId="77777777" w:rsidTr="006A627E">
        <w:trPr>
          <w:cantSplit/>
          <w:trHeight w:val="648"/>
        </w:trPr>
        <w:tc>
          <w:tcPr>
            <w:tcW w:w="5000" w:type="pct"/>
            <w:gridSpan w:val="5"/>
            <w:shd w:val="clear" w:color="auto" w:fill="C6D9F1" w:themeFill="text2" w:themeFillTint="33"/>
            <w:tcMar>
              <w:left w:w="57" w:type="dxa"/>
              <w:bottom w:w="57" w:type="dxa"/>
              <w:right w:w="57" w:type="dxa"/>
            </w:tcMar>
            <w:vAlign w:val="center"/>
          </w:tcPr>
          <w:p w14:paraId="4A9E4B9D" w14:textId="77777777" w:rsidR="00BC78D9" w:rsidRPr="00BC78D9" w:rsidRDefault="00BC78D9" w:rsidP="006A627E">
            <w:pPr>
              <w:suppressLineNumbers/>
              <w:tabs>
                <w:tab w:val="left" w:pos="1452"/>
              </w:tabs>
              <w:suppressAutoHyphens/>
              <w:rPr>
                <w:sz w:val="16"/>
                <w:szCs w:val="16"/>
              </w:rPr>
            </w:pPr>
            <w:r w:rsidRPr="00BC78D9">
              <w:rPr>
                <w:b/>
                <w:sz w:val="16"/>
                <w:szCs w:val="16"/>
              </w:rPr>
              <w:t xml:space="preserve">Résultat escompté : </w:t>
            </w:r>
            <w:r w:rsidRPr="00BC78D9">
              <w:rPr>
                <w:b/>
                <w:sz w:val="16"/>
              </w:rPr>
              <w:tab/>
            </w:r>
            <w:r w:rsidRPr="00BC78D9">
              <w:rPr>
                <w:sz w:val="16"/>
                <w:szCs w:val="16"/>
              </w:rPr>
              <w:t xml:space="preserve">VIII.1 Communication plus efficace avec le grand public concernant la propriété intellectuelle et le rôle de l’OMPI </w:t>
            </w:r>
          </w:p>
        </w:tc>
      </w:tr>
      <w:tr w:rsidR="00BC78D9" w:rsidRPr="00BC78D9" w14:paraId="5AB903EE" w14:textId="77777777" w:rsidTr="006A627E">
        <w:trPr>
          <w:cantSplit/>
        </w:trPr>
        <w:tc>
          <w:tcPr>
            <w:tcW w:w="1039" w:type="pct"/>
            <w:shd w:val="clear" w:color="auto" w:fill="auto"/>
            <w:tcMar>
              <w:left w:w="57" w:type="dxa"/>
              <w:bottom w:w="57" w:type="dxa"/>
              <w:right w:w="57" w:type="dxa"/>
            </w:tcMar>
            <w:vAlign w:val="center"/>
          </w:tcPr>
          <w:p w14:paraId="48892C50"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5175C3FD"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Niveaux de référence</w:t>
            </w:r>
          </w:p>
        </w:tc>
        <w:tc>
          <w:tcPr>
            <w:tcW w:w="835" w:type="pct"/>
            <w:shd w:val="clear" w:color="auto" w:fill="auto"/>
            <w:tcMar>
              <w:top w:w="110" w:type="dxa"/>
              <w:left w:w="57" w:type="dxa"/>
              <w:bottom w:w="57" w:type="dxa"/>
              <w:right w:w="57" w:type="dxa"/>
            </w:tcMar>
            <w:vAlign w:val="center"/>
          </w:tcPr>
          <w:p w14:paraId="2DECB354" w14:textId="77777777" w:rsidR="00BC78D9" w:rsidRPr="00BC78D9" w:rsidRDefault="00BC78D9" w:rsidP="006A627E">
            <w:pPr>
              <w:keepNext/>
              <w:keepLines/>
              <w:suppressLineNumbers/>
              <w:tabs>
                <w:tab w:val="left" w:pos="290"/>
              </w:tabs>
              <w:suppressAutoHyphens/>
              <w:jc w:val="center"/>
              <w:rPr>
                <w:b/>
                <w:bCs/>
                <w:sz w:val="16"/>
                <w:szCs w:val="16"/>
              </w:rPr>
            </w:pPr>
            <w:r w:rsidRPr="00BC78D9">
              <w:rPr>
                <w:b/>
                <w:bCs/>
                <w:sz w:val="16"/>
                <w:szCs w:val="16"/>
              </w:rPr>
              <w:t>Objectifs visés</w:t>
            </w:r>
          </w:p>
        </w:tc>
        <w:tc>
          <w:tcPr>
            <w:tcW w:w="1283" w:type="pct"/>
            <w:shd w:val="clear" w:color="auto" w:fill="FFFFFF"/>
            <w:tcMar>
              <w:top w:w="110" w:type="dxa"/>
              <w:left w:w="57" w:type="dxa"/>
              <w:bottom w:w="57" w:type="dxa"/>
              <w:right w:w="57" w:type="dxa"/>
            </w:tcMar>
            <w:vAlign w:val="center"/>
          </w:tcPr>
          <w:p w14:paraId="6CA85F00"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125179C4"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Code d’évaluation</w:t>
            </w:r>
          </w:p>
        </w:tc>
      </w:tr>
      <w:tr w:rsidR="00BC78D9" w:rsidRPr="00BC78D9" w14:paraId="0A4466AF" w14:textId="77777777" w:rsidTr="006A627E">
        <w:trPr>
          <w:cantSplit/>
          <w:trHeight w:val="2278"/>
        </w:trPr>
        <w:tc>
          <w:tcPr>
            <w:tcW w:w="1039" w:type="pct"/>
            <w:shd w:val="clear" w:color="auto" w:fill="auto"/>
            <w:tcMar>
              <w:left w:w="57" w:type="dxa"/>
              <w:bottom w:w="57" w:type="dxa"/>
              <w:right w:w="57" w:type="dxa"/>
            </w:tcMar>
          </w:tcPr>
          <w:p w14:paraId="06D8B65A"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 xml:space="preserve">Augmentation de la fréquentation du site Web des bureaux extérieurs de l’OMPI </w:t>
            </w:r>
          </w:p>
        </w:tc>
        <w:tc>
          <w:tcPr>
            <w:tcW w:w="1276" w:type="pct"/>
            <w:shd w:val="clear" w:color="auto" w:fill="auto"/>
            <w:tcMar>
              <w:left w:w="57" w:type="dxa"/>
              <w:bottom w:w="57" w:type="dxa"/>
              <w:right w:w="57" w:type="dxa"/>
            </w:tcMar>
          </w:tcPr>
          <w:p w14:paraId="42D85BF5" w14:textId="77777777" w:rsidR="00BC78D9" w:rsidRPr="00BC78D9" w:rsidRDefault="00BC78D9" w:rsidP="006A627E">
            <w:pPr>
              <w:keepNext/>
              <w:keepLines/>
              <w:suppressLineNumbers/>
              <w:suppressAutoHyphens/>
              <w:rPr>
                <w:i/>
                <w:color w:val="002060"/>
                <w:sz w:val="16"/>
                <w:szCs w:val="16"/>
              </w:rPr>
            </w:pPr>
            <w:r w:rsidRPr="00BC78D9">
              <w:rPr>
                <w:i/>
                <w:color w:val="002060"/>
                <w:sz w:val="16"/>
                <w:szCs w:val="16"/>
              </w:rPr>
              <w:t>Niveau de référence actualisé à fin 2015 :</w:t>
            </w:r>
          </w:p>
          <w:p w14:paraId="014CA7DD"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1966 (Bureau de l’OMPI au Brésil)</w:t>
            </w:r>
          </w:p>
          <w:p w14:paraId="74D0854D" w14:textId="77777777" w:rsidR="00BC78D9" w:rsidRPr="00BC78D9" w:rsidRDefault="00BC78D9" w:rsidP="006A627E">
            <w:pPr>
              <w:keepNext/>
              <w:keepLines/>
              <w:suppressLineNumbers/>
              <w:suppressAutoHyphens/>
              <w:rPr>
                <w:color w:val="002060"/>
                <w:sz w:val="16"/>
                <w:szCs w:val="16"/>
              </w:rPr>
            </w:pPr>
            <w:r w:rsidRPr="00BC78D9">
              <w:rPr>
                <w:color w:val="002060"/>
                <w:sz w:val="16"/>
                <w:szCs w:val="16"/>
              </w:rPr>
              <w:t>4204 (Bureau de l’OMPI en Chine)</w:t>
            </w:r>
          </w:p>
          <w:p w14:paraId="7E96C7C4"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7027 (Bureau de l’OMPI au Japon)</w:t>
            </w:r>
          </w:p>
          <w:p w14:paraId="797AAC0D"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4327 (Bureau de l’OMPI en Fédération de Russie)</w:t>
            </w:r>
          </w:p>
          <w:p w14:paraId="722766AE" w14:textId="77777777" w:rsidR="00BC78D9" w:rsidRPr="00BC78D9" w:rsidRDefault="00BC78D9" w:rsidP="006A627E">
            <w:pPr>
              <w:pStyle w:val="Default"/>
              <w:keepNext/>
              <w:keepLines/>
              <w:suppressLineNumbers/>
              <w:suppressAutoHyphens/>
              <w:rPr>
                <w:color w:val="002060"/>
                <w:sz w:val="16"/>
                <w:szCs w:val="16"/>
                <w:lang w:val="fr-FR"/>
              </w:rPr>
            </w:pPr>
            <w:r w:rsidRPr="00BC78D9">
              <w:rPr>
                <w:color w:val="002060"/>
                <w:sz w:val="16"/>
                <w:szCs w:val="16"/>
                <w:lang w:val="fr-FR"/>
              </w:rPr>
              <w:t>10 042 (Bureau de l’OMPI à Singapour)</w:t>
            </w:r>
          </w:p>
          <w:p w14:paraId="6C9B1A11" w14:textId="77777777" w:rsidR="00BC78D9" w:rsidRPr="00BC78D9" w:rsidRDefault="00BC78D9" w:rsidP="006A627E">
            <w:pPr>
              <w:keepNext/>
              <w:keepLines/>
              <w:suppressLineNumbers/>
              <w:suppressAutoHyphens/>
              <w:rPr>
                <w:sz w:val="16"/>
                <w:szCs w:val="16"/>
              </w:rPr>
            </w:pPr>
          </w:p>
          <w:p w14:paraId="1543FDEE" w14:textId="77777777" w:rsidR="00BC78D9" w:rsidRPr="00BC78D9" w:rsidRDefault="00BC78D9" w:rsidP="006A627E">
            <w:pPr>
              <w:keepNext/>
              <w:keepLines/>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6C7161C2"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9882 (Bureau de l’OMPI à Singapour)</w:t>
            </w:r>
          </w:p>
          <w:p w14:paraId="54C0488F"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Bureau de l’OMPI au Brésil et Bureau de l’OMPI au Japon : à déterminer</w:t>
            </w:r>
          </w:p>
          <w:p w14:paraId="6FAC842B"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0 (Bureau de l’OMPI en Fédération de Russie)</w:t>
            </w:r>
          </w:p>
          <w:p w14:paraId="485746E1"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 xml:space="preserve">0 (Bureau de l’OMPI en Chine) </w:t>
            </w:r>
          </w:p>
        </w:tc>
        <w:tc>
          <w:tcPr>
            <w:tcW w:w="835" w:type="pct"/>
            <w:shd w:val="clear" w:color="auto" w:fill="auto"/>
            <w:tcMar>
              <w:top w:w="110" w:type="dxa"/>
              <w:left w:w="57" w:type="dxa"/>
              <w:bottom w:w="57" w:type="dxa"/>
              <w:right w:w="57" w:type="dxa"/>
            </w:tcMar>
          </w:tcPr>
          <w:p w14:paraId="5746F6E2"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 xml:space="preserve">5% d’augmentation (tous bureaux confondus) </w:t>
            </w:r>
          </w:p>
        </w:tc>
        <w:tc>
          <w:tcPr>
            <w:tcW w:w="1283" w:type="pct"/>
            <w:shd w:val="clear" w:color="auto" w:fill="FFFFFF"/>
            <w:tcMar>
              <w:top w:w="110" w:type="dxa"/>
              <w:left w:w="57" w:type="dxa"/>
              <w:bottom w:w="57" w:type="dxa"/>
              <w:right w:w="57" w:type="dxa"/>
            </w:tcMar>
          </w:tcPr>
          <w:p w14:paraId="587A3170" w14:textId="77777777" w:rsidR="00BC78D9" w:rsidRPr="00BC78D9" w:rsidRDefault="00BC78D9" w:rsidP="006A627E">
            <w:pPr>
              <w:pStyle w:val="Default"/>
              <w:keepNext/>
              <w:keepLines/>
              <w:suppressLineNumbers/>
              <w:suppressAutoHyphens/>
              <w:spacing w:after="120"/>
              <w:rPr>
                <w:color w:val="auto"/>
                <w:sz w:val="16"/>
                <w:szCs w:val="16"/>
                <w:lang w:val="fr-FR"/>
              </w:rPr>
            </w:pPr>
            <w:r w:rsidRPr="00BC78D9">
              <w:rPr>
                <w:color w:val="auto"/>
                <w:sz w:val="16"/>
                <w:szCs w:val="16"/>
                <w:lang w:val="fr-FR"/>
              </w:rPr>
              <w:t>2932 (Bureau de l’OMPI au Brésil) (+49%)</w:t>
            </w:r>
          </w:p>
          <w:p w14:paraId="62C780C2" w14:textId="77777777" w:rsidR="00BC78D9" w:rsidRPr="00BC78D9" w:rsidRDefault="00BC78D9" w:rsidP="006A627E">
            <w:pPr>
              <w:keepNext/>
              <w:keepLines/>
              <w:suppressLineNumbers/>
              <w:suppressAutoHyphens/>
              <w:spacing w:after="120"/>
              <w:rPr>
                <w:sz w:val="16"/>
                <w:szCs w:val="16"/>
              </w:rPr>
            </w:pPr>
            <w:r w:rsidRPr="00BC78D9">
              <w:rPr>
                <w:sz w:val="16"/>
                <w:szCs w:val="16"/>
              </w:rPr>
              <w:t>4722 (Bureau de l’OMPI en Chine) (+12%)</w:t>
            </w:r>
          </w:p>
          <w:p w14:paraId="1AA381F9" w14:textId="77777777" w:rsidR="00BC78D9" w:rsidRPr="00BC78D9" w:rsidRDefault="00BC78D9" w:rsidP="006A627E">
            <w:pPr>
              <w:pStyle w:val="Default"/>
              <w:keepNext/>
              <w:keepLines/>
              <w:suppressLineNumbers/>
              <w:suppressAutoHyphens/>
              <w:spacing w:after="120"/>
              <w:rPr>
                <w:color w:val="auto"/>
                <w:sz w:val="16"/>
                <w:szCs w:val="16"/>
                <w:lang w:val="fr-FR"/>
              </w:rPr>
            </w:pPr>
            <w:r w:rsidRPr="00BC78D9">
              <w:rPr>
                <w:color w:val="auto"/>
                <w:sz w:val="16"/>
                <w:szCs w:val="16"/>
                <w:lang w:val="fr-FR"/>
              </w:rPr>
              <w:t>7724 (Bureau de l’OMPI au Japon) (+10%)</w:t>
            </w:r>
          </w:p>
          <w:p w14:paraId="0DBDEBBA" w14:textId="77777777" w:rsidR="00BC78D9" w:rsidRPr="00BC78D9" w:rsidRDefault="00BC78D9" w:rsidP="006A627E">
            <w:pPr>
              <w:pStyle w:val="Default"/>
              <w:keepNext/>
              <w:keepLines/>
              <w:suppressLineNumbers/>
              <w:suppressAutoHyphens/>
              <w:spacing w:after="120"/>
              <w:rPr>
                <w:color w:val="auto"/>
                <w:sz w:val="16"/>
                <w:szCs w:val="16"/>
                <w:lang w:val="fr-FR"/>
              </w:rPr>
            </w:pPr>
            <w:r w:rsidRPr="00BC78D9">
              <w:rPr>
                <w:color w:val="auto"/>
                <w:sz w:val="16"/>
                <w:szCs w:val="16"/>
                <w:lang w:val="fr-FR"/>
              </w:rPr>
              <w:t>5894 (Bureau de l’OMPI en Fédération de Russie) (+36%)</w:t>
            </w:r>
          </w:p>
          <w:p w14:paraId="4A08EFDF" w14:textId="77777777" w:rsidR="00BC78D9" w:rsidRPr="00BC78D9" w:rsidRDefault="00BC78D9" w:rsidP="006A627E">
            <w:pPr>
              <w:pStyle w:val="Default"/>
              <w:keepNext/>
              <w:keepLines/>
              <w:suppressLineNumbers/>
              <w:suppressAutoHyphens/>
              <w:spacing w:after="120"/>
              <w:rPr>
                <w:sz w:val="16"/>
                <w:szCs w:val="16"/>
                <w:lang w:val="fr-FR"/>
              </w:rPr>
            </w:pPr>
            <w:r w:rsidRPr="00BC78D9">
              <w:rPr>
                <w:color w:val="auto"/>
                <w:sz w:val="16"/>
                <w:szCs w:val="16"/>
                <w:lang w:val="fr-FR"/>
              </w:rPr>
              <w:t>7752 (Bureau de l’OMPI à Singapour) (</w:t>
            </w:r>
            <w:r w:rsidRPr="00BC78D9">
              <w:rPr>
                <w:color w:val="auto"/>
                <w:sz w:val="16"/>
                <w:szCs w:val="16"/>
                <w:lang w:val="fr-FR"/>
              </w:rPr>
              <w:noBreakHyphen/>
              <w:t>23%)</w:t>
            </w:r>
          </w:p>
        </w:tc>
        <w:tc>
          <w:tcPr>
            <w:tcW w:w="567" w:type="pct"/>
            <w:shd w:val="clear" w:color="auto" w:fill="auto"/>
            <w:tcMar>
              <w:top w:w="110" w:type="dxa"/>
              <w:left w:w="57" w:type="dxa"/>
              <w:bottom w:w="57" w:type="dxa"/>
              <w:right w:w="57" w:type="dxa"/>
            </w:tcMar>
          </w:tcPr>
          <w:p w14:paraId="53E72BC8" w14:textId="77777777" w:rsidR="00BC78D9" w:rsidRPr="00BC78D9" w:rsidRDefault="00BC78D9" w:rsidP="006A627E">
            <w:pPr>
              <w:keepNext/>
              <w:keepLines/>
              <w:suppressLineNumbers/>
              <w:suppressAutoHyphens/>
              <w:spacing w:after="120"/>
              <w:jc w:val="center"/>
              <w:rPr>
                <w:rFonts w:eastAsia="Calibri"/>
                <w:b/>
                <w:sz w:val="16"/>
                <w:szCs w:val="16"/>
              </w:rPr>
            </w:pPr>
            <w:r w:rsidRPr="00BC78D9">
              <w:rPr>
                <w:b/>
                <w:color w:val="00B050"/>
                <w:sz w:val="16"/>
                <w:szCs w:val="16"/>
              </w:rPr>
              <w:t>En bonne voie</w:t>
            </w:r>
          </w:p>
          <w:p w14:paraId="66877577" w14:textId="77777777" w:rsidR="00BC78D9" w:rsidRPr="00BC78D9" w:rsidRDefault="00BC78D9" w:rsidP="006A627E">
            <w:pPr>
              <w:keepNext/>
              <w:keepLines/>
              <w:suppressLineNumbers/>
              <w:suppressAutoHyphens/>
              <w:spacing w:after="120"/>
              <w:jc w:val="center"/>
              <w:rPr>
                <w:rFonts w:eastAsia="Calibri"/>
                <w:b/>
                <w:sz w:val="16"/>
                <w:szCs w:val="16"/>
              </w:rPr>
            </w:pPr>
            <w:r w:rsidRPr="00BC78D9">
              <w:rPr>
                <w:b/>
                <w:color w:val="00B050"/>
                <w:sz w:val="16"/>
                <w:szCs w:val="16"/>
              </w:rPr>
              <w:t>En bonne voie</w:t>
            </w:r>
          </w:p>
          <w:p w14:paraId="75B23FF4" w14:textId="77777777" w:rsidR="00BC78D9" w:rsidRPr="00BC78D9" w:rsidRDefault="00BC78D9" w:rsidP="006A627E">
            <w:pPr>
              <w:keepNext/>
              <w:keepLines/>
              <w:suppressLineNumbers/>
              <w:suppressAutoHyphens/>
              <w:spacing w:after="120"/>
              <w:jc w:val="center"/>
              <w:rPr>
                <w:rFonts w:eastAsia="Calibri"/>
                <w:b/>
                <w:sz w:val="16"/>
                <w:szCs w:val="16"/>
              </w:rPr>
            </w:pPr>
            <w:r w:rsidRPr="00BC78D9">
              <w:rPr>
                <w:b/>
                <w:color w:val="00B050"/>
                <w:sz w:val="16"/>
                <w:szCs w:val="16"/>
              </w:rPr>
              <w:t>En bonne voie</w:t>
            </w:r>
          </w:p>
          <w:p w14:paraId="524C58CB" w14:textId="77777777" w:rsidR="00BC78D9" w:rsidRPr="00BC78D9" w:rsidRDefault="00BC78D9" w:rsidP="006A627E">
            <w:pPr>
              <w:keepNext/>
              <w:keepLines/>
              <w:suppressLineNumbers/>
              <w:suppressAutoHyphens/>
              <w:spacing w:after="120"/>
              <w:jc w:val="center"/>
              <w:rPr>
                <w:rFonts w:eastAsia="Calibri"/>
                <w:b/>
                <w:sz w:val="16"/>
                <w:szCs w:val="16"/>
              </w:rPr>
            </w:pPr>
            <w:r w:rsidRPr="00BC78D9">
              <w:rPr>
                <w:b/>
                <w:color w:val="00B050"/>
                <w:sz w:val="16"/>
                <w:szCs w:val="16"/>
              </w:rPr>
              <w:t>En bonne voie</w:t>
            </w:r>
          </w:p>
          <w:p w14:paraId="55F745FA" w14:textId="77777777" w:rsidR="00BC78D9" w:rsidRPr="00BC78D9" w:rsidRDefault="00BC78D9" w:rsidP="006A627E">
            <w:pPr>
              <w:keepNext/>
              <w:keepLines/>
              <w:suppressLineNumbers/>
              <w:suppressAutoHyphens/>
              <w:spacing w:after="120"/>
              <w:jc w:val="center"/>
              <w:rPr>
                <w:sz w:val="16"/>
                <w:szCs w:val="16"/>
              </w:rPr>
            </w:pPr>
            <w:r w:rsidRPr="00BC78D9">
              <w:rPr>
                <w:b/>
                <w:color w:val="FF0000"/>
                <w:sz w:val="16"/>
                <w:szCs w:val="16"/>
              </w:rPr>
              <w:t>Pas en bonne voie</w:t>
            </w:r>
          </w:p>
        </w:tc>
      </w:tr>
      <w:tr w:rsidR="00BC78D9" w:rsidRPr="00BC78D9" w14:paraId="6823B63D" w14:textId="77777777" w:rsidTr="006A627E">
        <w:trPr>
          <w:cantSplit/>
          <w:trHeight w:val="648"/>
        </w:trPr>
        <w:tc>
          <w:tcPr>
            <w:tcW w:w="5000" w:type="pct"/>
            <w:gridSpan w:val="5"/>
            <w:shd w:val="clear" w:color="auto" w:fill="C6D9F1" w:themeFill="text2" w:themeFillTint="33"/>
            <w:tcMar>
              <w:left w:w="57" w:type="dxa"/>
              <w:bottom w:w="57" w:type="dxa"/>
              <w:right w:w="57" w:type="dxa"/>
            </w:tcMar>
            <w:vAlign w:val="center"/>
          </w:tcPr>
          <w:p w14:paraId="7D23F966" w14:textId="77777777" w:rsidR="00BC78D9" w:rsidRPr="00BC78D9" w:rsidRDefault="00BC78D9" w:rsidP="006A627E">
            <w:pPr>
              <w:suppressLineNumbers/>
              <w:tabs>
                <w:tab w:val="left" w:pos="1452"/>
              </w:tabs>
              <w:suppressAutoHyphens/>
              <w:rPr>
                <w:sz w:val="16"/>
                <w:szCs w:val="16"/>
              </w:rPr>
            </w:pPr>
            <w:r w:rsidRPr="00BC78D9">
              <w:rPr>
                <w:b/>
                <w:sz w:val="16"/>
                <w:szCs w:val="16"/>
              </w:rPr>
              <w:t xml:space="preserve">Résultat escompté : </w:t>
            </w:r>
            <w:r w:rsidRPr="00BC78D9">
              <w:rPr>
                <w:b/>
                <w:sz w:val="16"/>
                <w:szCs w:val="16"/>
              </w:rPr>
              <w:tab/>
            </w:r>
            <w:r w:rsidRPr="00BC78D9">
              <w:rPr>
                <w:sz w:val="16"/>
                <w:szCs w:val="16"/>
              </w:rPr>
              <w:t xml:space="preserve">VIII.2 Amélioration de l’orientation vers les services et de la réactivité à la demande </w:t>
            </w:r>
          </w:p>
        </w:tc>
      </w:tr>
      <w:tr w:rsidR="00BC78D9" w:rsidRPr="00BC78D9" w14:paraId="6083EC2A" w14:textId="77777777" w:rsidTr="006A627E">
        <w:trPr>
          <w:cantSplit/>
        </w:trPr>
        <w:tc>
          <w:tcPr>
            <w:tcW w:w="1039" w:type="pct"/>
            <w:shd w:val="clear" w:color="auto" w:fill="auto"/>
            <w:tcMar>
              <w:left w:w="57" w:type="dxa"/>
              <w:bottom w:w="57" w:type="dxa"/>
              <w:right w:w="57" w:type="dxa"/>
            </w:tcMar>
            <w:vAlign w:val="center"/>
          </w:tcPr>
          <w:p w14:paraId="3D13297D" w14:textId="77777777" w:rsidR="00BC78D9" w:rsidRPr="00BC78D9" w:rsidRDefault="00BC78D9" w:rsidP="006A627E">
            <w:pPr>
              <w:suppressLineNumbers/>
              <w:suppressAutoHyphens/>
              <w:jc w:val="center"/>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232B6665" w14:textId="77777777" w:rsidR="00BC78D9" w:rsidRPr="00BC78D9" w:rsidRDefault="00BC78D9" w:rsidP="006A627E">
            <w:pPr>
              <w:suppressLineNumbers/>
              <w:suppressAutoHyphens/>
              <w:jc w:val="center"/>
              <w:rPr>
                <w:b/>
                <w:bCs/>
                <w:sz w:val="16"/>
                <w:szCs w:val="16"/>
              </w:rPr>
            </w:pPr>
            <w:r w:rsidRPr="00BC78D9">
              <w:rPr>
                <w:b/>
                <w:bCs/>
                <w:sz w:val="16"/>
                <w:szCs w:val="16"/>
              </w:rPr>
              <w:t>Niveaux de référence</w:t>
            </w:r>
          </w:p>
        </w:tc>
        <w:tc>
          <w:tcPr>
            <w:tcW w:w="835" w:type="pct"/>
            <w:shd w:val="clear" w:color="auto" w:fill="auto"/>
            <w:tcMar>
              <w:top w:w="110" w:type="dxa"/>
              <w:left w:w="57" w:type="dxa"/>
              <w:bottom w:w="57" w:type="dxa"/>
              <w:right w:w="57" w:type="dxa"/>
            </w:tcMar>
            <w:vAlign w:val="center"/>
          </w:tcPr>
          <w:p w14:paraId="5303FD31" w14:textId="77777777" w:rsidR="00BC78D9" w:rsidRPr="00BC78D9" w:rsidRDefault="00BC78D9" w:rsidP="006A627E">
            <w:pPr>
              <w:suppressLineNumbers/>
              <w:tabs>
                <w:tab w:val="left" w:pos="290"/>
              </w:tabs>
              <w:suppressAutoHyphens/>
              <w:jc w:val="center"/>
              <w:rPr>
                <w:b/>
                <w:bCs/>
                <w:sz w:val="16"/>
                <w:szCs w:val="16"/>
              </w:rPr>
            </w:pPr>
            <w:r w:rsidRPr="00BC78D9">
              <w:rPr>
                <w:b/>
                <w:bCs/>
                <w:sz w:val="16"/>
                <w:szCs w:val="16"/>
              </w:rPr>
              <w:t>Objectifs visés</w:t>
            </w:r>
          </w:p>
        </w:tc>
        <w:tc>
          <w:tcPr>
            <w:tcW w:w="1283" w:type="pct"/>
            <w:shd w:val="clear" w:color="auto" w:fill="FFFFFF"/>
            <w:tcMar>
              <w:top w:w="110" w:type="dxa"/>
              <w:left w:w="57" w:type="dxa"/>
              <w:bottom w:w="57" w:type="dxa"/>
              <w:right w:w="57" w:type="dxa"/>
            </w:tcMar>
            <w:vAlign w:val="center"/>
          </w:tcPr>
          <w:p w14:paraId="5B152C19" w14:textId="77777777" w:rsidR="00BC78D9" w:rsidRPr="00BC78D9" w:rsidRDefault="00BC78D9" w:rsidP="006A627E">
            <w:pPr>
              <w:suppressLineNumbers/>
              <w:suppressAutoHyphens/>
              <w:jc w:val="center"/>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5649991E" w14:textId="77777777" w:rsidR="00BC78D9" w:rsidRPr="00BC78D9" w:rsidRDefault="00BC78D9" w:rsidP="006A627E">
            <w:pPr>
              <w:suppressLineNumbers/>
              <w:suppressAutoHyphens/>
              <w:jc w:val="center"/>
              <w:rPr>
                <w:b/>
                <w:bCs/>
                <w:sz w:val="16"/>
                <w:szCs w:val="16"/>
              </w:rPr>
            </w:pPr>
            <w:r w:rsidRPr="00BC78D9">
              <w:rPr>
                <w:b/>
                <w:bCs/>
                <w:sz w:val="16"/>
                <w:szCs w:val="16"/>
              </w:rPr>
              <w:t>Code d’évaluation</w:t>
            </w:r>
          </w:p>
        </w:tc>
      </w:tr>
      <w:tr w:rsidR="00BC78D9" w:rsidRPr="00BC78D9" w14:paraId="02983F4C" w14:textId="77777777" w:rsidTr="006A627E">
        <w:trPr>
          <w:cantSplit/>
          <w:trHeight w:val="2572"/>
        </w:trPr>
        <w:tc>
          <w:tcPr>
            <w:tcW w:w="1039" w:type="pct"/>
            <w:shd w:val="clear" w:color="auto" w:fill="auto"/>
            <w:tcMar>
              <w:left w:w="57" w:type="dxa"/>
              <w:bottom w:w="57" w:type="dxa"/>
              <w:right w:w="57" w:type="dxa"/>
            </w:tcMar>
          </w:tcPr>
          <w:p w14:paraId="4007E00C"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 xml:space="preserve">Durée de traitement des demandes de renseignements </w:t>
            </w:r>
          </w:p>
        </w:tc>
        <w:tc>
          <w:tcPr>
            <w:tcW w:w="1276" w:type="pct"/>
            <w:shd w:val="clear" w:color="auto" w:fill="auto"/>
            <w:tcMar>
              <w:left w:w="57" w:type="dxa"/>
              <w:bottom w:w="57" w:type="dxa"/>
              <w:right w:w="57" w:type="dxa"/>
            </w:tcMar>
          </w:tcPr>
          <w:p w14:paraId="092B0F91" w14:textId="77777777" w:rsidR="00BC78D9" w:rsidRPr="00BC78D9" w:rsidRDefault="00BC78D9" w:rsidP="006A627E">
            <w:pPr>
              <w:suppressLineNumbers/>
              <w:suppressAutoHyphens/>
              <w:rPr>
                <w:i/>
                <w:color w:val="002060"/>
                <w:sz w:val="16"/>
                <w:szCs w:val="16"/>
              </w:rPr>
            </w:pPr>
            <w:r w:rsidRPr="00BC78D9">
              <w:rPr>
                <w:i/>
                <w:color w:val="002060"/>
                <w:sz w:val="16"/>
                <w:szCs w:val="16"/>
              </w:rPr>
              <w:t>Niveau de référence actualisé à fin 2015 :</w:t>
            </w:r>
          </w:p>
          <w:p w14:paraId="5400F408" w14:textId="77777777" w:rsidR="00BC78D9" w:rsidRPr="00BC78D9" w:rsidRDefault="00BC78D9" w:rsidP="00BC78D9">
            <w:pPr>
              <w:pStyle w:val="ListParagraph"/>
              <w:numPr>
                <w:ilvl w:val="0"/>
                <w:numId w:val="96"/>
              </w:numPr>
              <w:suppressLineNumbers/>
              <w:suppressAutoHyphens/>
              <w:ind w:left="213" w:hanging="213"/>
              <w:rPr>
                <w:rFonts w:ascii="Arial" w:hAnsi="Arial" w:cs="Arial"/>
                <w:color w:val="002060"/>
                <w:sz w:val="16"/>
                <w:szCs w:val="16"/>
                <w:lang w:eastAsia="zh-CN"/>
              </w:rPr>
            </w:pPr>
            <w:r w:rsidRPr="00BC78D9">
              <w:rPr>
                <w:rFonts w:ascii="Arial" w:hAnsi="Arial" w:cs="Arial"/>
                <w:color w:val="002060"/>
                <w:sz w:val="16"/>
                <w:szCs w:val="16"/>
                <w:lang w:eastAsia="zh-CN"/>
              </w:rPr>
              <w:t>Données non disponibles (Bureau de l’OMPI au Brésil)</w:t>
            </w:r>
          </w:p>
          <w:p w14:paraId="439EC640" w14:textId="77777777" w:rsidR="00BC78D9" w:rsidRPr="00BC78D9" w:rsidRDefault="00BC78D9" w:rsidP="00BC78D9">
            <w:pPr>
              <w:pStyle w:val="ListParagraph"/>
              <w:numPr>
                <w:ilvl w:val="0"/>
                <w:numId w:val="96"/>
              </w:numPr>
              <w:suppressLineNumbers/>
              <w:suppressAutoHyphens/>
              <w:ind w:left="213" w:hanging="213"/>
              <w:rPr>
                <w:rFonts w:ascii="Arial" w:hAnsi="Arial" w:cs="Arial"/>
                <w:color w:val="002060"/>
                <w:sz w:val="16"/>
                <w:szCs w:val="16"/>
                <w:lang w:eastAsia="zh-CN"/>
              </w:rPr>
            </w:pPr>
            <w:r w:rsidRPr="00BC78D9">
              <w:rPr>
                <w:rFonts w:ascii="Arial" w:hAnsi="Arial" w:cs="Arial"/>
                <w:color w:val="002060"/>
                <w:sz w:val="16"/>
                <w:szCs w:val="16"/>
                <w:lang w:eastAsia="zh-CN"/>
              </w:rPr>
              <w:t>Données non disponibles (Bureau de l’OMPI en Chine)</w:t>
            </w:r>
          </w:p>
          <w:p w14:paraId="3D285BF1" w14:textId="77777777" w:rsidR="00BC78D9" w:rsidRPr="00BC78D9" w:rsidRDefault="00BC78D9" w:rsidP="00BC78D9">
            <w:pPr>
              <w:pStyle w:val="ListParagraph"/>
              <w:numPr>
                <w:ilvl w:val="0"/>
                <w:numId w:val="96"/>
              </w:numPr>
              <w:suppressLineNumbers/>
              <w:suppressAutoHyphens/>
              <w:ind w:left="213" w:hanging="213"/>
              <w:rPr>
                <w:rFonts w:ascii="Arial" w:hAnsi="Arial" w:cs="Arial"/>
                <w:color w:val="002060"/>
                <w:sz w:val="16"/>
                <w:szCs w:val="16"/>
                <w:lang w:eastAsia="zh-CN"/>
              </w:rPr>
            </w:pPr>
            <w:r w:rsidRPr="00BC78D9">
              <w:rPr>
                <w:rFonts w:ascii="Arial" w:hAnsi="Arial" w:cs="Arial"/>
                <w:color w:val="002060"/>
                <w:sz w:val="16"/>
                <w:szCs w:val="16"/>
                <w:lang w:eastAsia="zh-CN"/>
              </w:rPr>
              <w:t>Réponse préparée dans un délai de 3 jours ouvrables dans 99% des cas (Bureau de l’OMPI au Japon)</w:t>
            </w:r>
          </w:p>
          <w:p w14:paraId="505C0C75" w14:textId="77777777" w:rsidR="00BC78D9" w:rsidRPr="00BC78D9" w:rsidRDefault="00BC78D9" w:rsidP="00BC78D9">
            <w:pPr>
              <w:pStyle w:val="ListParagraph"/>
              <w:numPr>
                <w:ilvl w:val="0"/>
                <w:numId w:val="96"/>
              </w:numPr>
              <w:suppressLineNumbers/>
              <w:suppressAutoHyphens/>
              <w:ind w:left="213" w:hanging="213"/>
              <w:rPr>
                <w:rFonts w:ascii="Arial" w:hAnsi="Arial" w:cs="Arial"/>
                <w:color w:val="002060"/>
                <w:sz w:val="16"/>
                <w:szCs w:val="16"/>
                <w:lang w:eastAsia="zh-CN"/>
              </w:rPr>
            </w:pPr>
            <w:r w:rsidRPr="00BC78D9">
              <w:rPr>
                <w:rFonts w:ascii="Arial" w:hAnsi="Arial" w:cs="Arial"/>
                <w:color w:val="002060"/>
                <w:sz w:val="16"/>
                <w:szCs w:val="16"/>
                <w:lang w:eastAsia="zh-CN"/>
              </w:rPr>
              <w:t>Données non disponibles (Bureau de l’OMPI en Fédération de Russie)</w:t>
            </w:r>
          </w:p>
          <w:p w14:paraId="7656D186" w14:textId="77777777" w:rsidR="00BC78D9" w:rsidRPr="00BC78D9" w:rsidRDefault="00BC78D9" w:rsidP="00BC78D9">
            <w:pPr>
              <w:pStyle w:val="ListParagraph"/>
              <w:numPr>
                <w:ilvl w:val="0"/>
                <w:numId w:val="96"/>
              </w:numPr>
              <w:suppressLineNumbers/>
              <w:suppressAutoHyphens/>
              <w:ind w:left="213" w:hanging="213"/>
              <w:rPr>
                <w:rFonts w:ascii="Arial" w:hAnsi="Arial" w:cs="Arial"/>
                <w:color w:val="002060"/>
                <w:sz w:val="16"/>
                <w:szCs w:val="16"/>
                <w:lang w:eastAsia="zh-CN"/>
              </w:rPr>
            </w:pPr>
            <w:r w:rsidRPr="00BC78D9">
              <w:rPr>
                <w:rFonts w:ascii="Arial" w:hAnsi="Arial" w:cs="Arial"/>
                <w:color w:val="002060"/>
                <w:sz w:val="16"/>
                <w:szCs w:val="16"/>
                <w:lang w:eastAsia="zh-CN"/>
              </w:rPr>
              <w:t>Réponse préparée dans un délai de 3 jours ouvrables dans 95% des cas (Bureau de l’OMPI à Singapour)</w:t>
            </w:r>
          </w:p>
          <w:p w14:paraId="7BB0E688" w14:textId="77777777" w:rsidR="00BC78D9" w:rsidRPr="00BC78D9" w:rsidRDefault="00BC78D9" w:rsidP="006A627E">
            <w:pPr>
              <w:suppressLineNumbers/>
              <w:suppressAutoHyphens/>
              <w:rPr>
                <w:i/>
                <w:sz w:val="16"/>
                <w:szCs w:val="16"/>
                <w:lang w:bidi="th-TH"/>
              </w:rPr>
            </w:pPr>
          </w:p>
          <w:p w14:paraId="4C88DC20" w14:textId="77777777" w:rsidR="00BC78D9" w:rsidRPr="00BC78D9" w:rsidRDefault="00BC78D9" w:rsidP="006A627E">
            <w:pPr>
              <w:suppressLineNumbers/>
              <w:suppressAutoHyphens/>
              <w:rPr>
                <w:i/>
                <w:sz w:val="16"/>
                <w:szCs w:val="16"/>
                <w:lang w:bidi="th-TH"/>
              </w:rPr>
            </w:pPr>
            <w:r w:rsidRPr="00BC78D9">
              <w:rPr>
                <w:i/>
                <w:sz w:val="16"/>
                <w:szCs w:val="16"/>
                <w:lang w:bidi="th-TH"/>
              </w:rPr>
              <w:t>Niveau de référence initial dans le programme et budget 2016</w:t>
            </w:r>
            <w:r w:rsidRPr="00BC78D9">
              <w:rPr>
                <w:i/>
                <w:sz w:val="16"/>
                <w:szCs w:val="16"/>
                <w:lang w:bidi="th-TH"/>
              </w:rPr>
              <w:noBreakHyphen/>
              <w:t>2017 :</w:t>
            </w:r>
          </w:p>
          <w:p w14:paraId="3971A70B"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 xml:space="preserve">48 heures (tous bureaux confondus) </w:t>
            </w:r>
          </w:p>
        </w:tc>
        <w:tc>
          <w:tcPr>
            <w:tcW w:w="835" w:type="pct"/>
            <w:shd w:val="clear" w:color="auto" w:fill="auto"/>
            <w:tcMar>
              <w:top w:w="110" w:type="dxa"/>
              <w:left w:w="57" w:type="dxa"/>
              <w:bottom w:w="57" w:type="dxa"/>
              <w:right w:w="57" w:type="dxa"/>
            </w:tcMar>
          </w:tcPr>
          <w:p w14:paraId="58222EA8" w14:textId="77777777" w:rsidR="00BC78D9" w:rsidRPr="00BC78D9" w:rsidRDefault="00BC78D9" w:rsidP="006A627E">
            <w:pPr>
              <w:pStyle w:val="Default"/>
              <w:suppressLineNumbers/>
              <w:suppressAutoHyphens/>
              <w:rPr>
                <w:color w:val="auto"/>
                <w:sz w:val="16"/>
                <w:szCs w:val="16"/>
                <w:lang w:val="fr-FR"/>
              </w:rPr>
            </w:pPr>
            <w:r w:rsidRPr="00BC78D9">
              <w:rPr>
                <w:color w:val="auto"/>
                <w:sz w:val="16"/>
                <w:szCs w:val="16"/>
                <w:lang w:val="fr-FR"/>
              </w:rPr>
              <w:t>36 heures (tous bureaux confondus)</w:t>
            </w:r>
          </w:p>
        </w:tc>
        <w:tc>
          <w:tcPr>
            <w:tcW w:w="1283" w:type="pct"/>
            <w:shd w:val="clear" w:color="auto" w:fill="FFFFFF"/>
            <w:tcMar>
              <w:top w:w="110" w:type="dxa"/>
              <w:left w:w="57" w:type="dxa"/>
              <w:bottom w:w="57" w:type="dxa"/>
              <w:right w:w="57" w:type="dxa"/>
            </w:tcMar>
          </w:tcPr>
          <w:p w14:paraId="3264BED2" w14:textId="77777777" w:rsidR="00BC78D9" w:rsidRPr="00BC78D9" w:rsidRDefault="00BC78D9" w:rsidP="006A627E">
            <w:pPr>
              <w:suppressLineNumbers/>
              <w:suppressAutoHyphens/>
              <w:rPr>
                <w:sz w:val="16"/>
                <w:szCs w:val="16"/>
              </w:rPr>
            </w:pPr>
            <w:r w:rsidRPr="00BC78D9">
              <w:rPr>
                <w:sz w:val="16"/>
                <w:szCs w:val="16"/>
              </w:rPr>
              <w:t>Réponse préparée :</w:t>
            </w:r>
          </w:p>
          <w:p w14:paraId="5DF94552" w14:textId="77777777" w:rsidR="00BC78D9" w:rsidRPr="00BC78D9" w:rsidRDefault="00BC78D9" w:rsidP="00BC78D9">
            <w:pPr>
              <w:pStyle w:val="ListParagraph"/>
              <w:numPr>
                <w:ilvl w:val="0"/>
                <w:numId w:val="96"/>
              </w:numPr>
              <w:suppressLineNumbers/>
              <w:suppressAutoHyphens/>
              <w:ind w:left="216" w:right="-74" w:hanging="216"/>
              <w:rPr>
                <w:rFonts w:ascii="Arial" w:hAnsi="Arial" w:cs="Arial"/>
                <w:sz w:val="16"/>
                <w:szCs w:val="16"/>
                <w:lang w:eastAsia="zh-CN"/>
              </w:rPr>
            </w:pPr>
            <w:r w:rsidRPr="00BC78D9">
              <w:rPr>
                <w:rFonts w:ascii="Arial" w:hAnsi="Arial" w:cs="Arial"/>
                <w:sz w:val="16"/>
                <w:szCs w:val="16"/>
                <w:lang w:eastAsia="zh-CN"/>
              </w:rPr>
              <w:t>Données non disponibles (Bureau de l’OMPI au Brésil)</w:t>
            </w:r>
          </w:p>
          <w:p w14:paraId="3EE53C1F" w14:textId="77777777" w:rsidR="00BC78D9" w:rsidRPr="00BC78D9" w:rsidRDefault="00BC78D9" w:rsidP="006A627E">
            <w:pPr>
              <w:suppressLineNumbers/>
              <w:suppressAutoHyphens/>
              <w:rPr>
                <w:sz w:val="16"/>
                <w:szCs w:val="16"/>
              </w:rPr>
            </w:pPr>
          </w:p>
          <w:p w14:paraId="7B404939" w14:textId="77777777" w:rsidR="00BC78D9" w:rsidRPr="00BC78D9" w:rsidRDefault="00BC78D9" w:rsidP="00BC78D9">
            <w:pPr>
              <w:pStyle w:val="ListParagraph"/>
              <w:numPr>
                <w:ilvl w:val="0"/>
                <w:numId w:val="96"/>
              </w:numPr>
              <w:suppressLineNumbers/>
              <w:suppressAutoHyphens/>
              <w:ind w:left="216" w:hanging="216"/>
              <w:rPr>
                <w:rFonts w:ascii="Arial" w:hAnsi="Arial" w:cs="Arial"/>
                <w:sz w:val="16"/>
                <w:szCs w:val="16"/>
                <w:lang w:eastAsia="zh-CN"/>
              </w:rPr>
            </w:pPr>
            <w:r w:rsidRPr="00BC78D9">
              <w:rPr>
                <w:rFonts w:ascii="Arial" w:hAnsi="Arial" w:cs="Arial"/>
                <w:sz w:val="16"/>
                <w:szCs w:val="16"/>
                <w:lang w:eastAsia="zh-CN"/>
              </w:rPr>
              <w:t>90% dans un délai de 24 h (Bureau de l’OMPI en Chine)</w:t>
            </w:r>
          </w:p>
          <w:p w14:paraId="6C461959" w14:textId="77777777" w:rsidR="00BC78D9" w:rsidRPr="00BC78D9" w:rsidRDefault="00BC78D9" w:rsidP="006A627E">
            <w:pPr>
              <w:suppressLineNumbers/>
              <w:suppressAutoHyphens/>
              <w:rPr>
                <w:sz w:val="16"/>
                <w:szCs w:val="16"/>
              </w:rPr>
            </w:pPr>
          </w:p>
          <w:p w14:paraId="58475F18" w14:textId="77777777" w:rsidR="00BC78D9" w:rsidRPr="00BC78D9" w:rsidRDefault="00BC78D9" w:rsidP="00BC78D9">
            <w:pPr>
              <w:pStyle w:val="ListParagraph"/>
              <w:numPr>
                <w:ilvl w:val="0"/>
                <w:numId w:val="96"/>
              </w:numPr>
              <w:suppressLineNumbers/>
              <w:suppressAutoHyphens/>
              <w:ind w:left="216" w:hanging="216"/>
              <w:rPr>
                <w:rFonts w:ascii="Arial" w:hAnsi="Arial" w:cs="Arial"/>
                <w:sz w:val="16"/>
                <w:szCs w:val="16"/>
                <w:lang w:eastAsia="zh-CN"/>
              </w:rPr>
            </w:pPr>
            <w:r w:rsidRPr="00BC78D9">
              <w:rPr>
                <w:rFonts w:ascii="Arial" w:hAnsi="Arial" w:cs="Arial"/>
                <w:sz w:val="16"/>
                <w:szCs w:val="16"/>
                <w:lang w:eastAsia="zh-CN"/>
              </w:rPr>
              <w:t>100% dans un délai de 24 h (Bureau de l’OMPI au Japon)</w:t>
            </w:r>
          </w:p>
          <w:p w14:paraId="45180DFC" w14:textId="77777777" w:rsidR="00BC78D9" w:rsidRPr="00BC78D9" w:rsidRDefault="00BC78D9" w:rsidP="006A627E">
            <w:pPr>
              <w:suppressLineNumbers/>
              <w:suppressAutoHyphens/>
              <w:rPr>
                <w:sz w:val="16"/>
                <w:szCs w:val="16"/>
              </w:rPr>
            </w:pPr>
          </w:p>
          <w:p w14:paraId="46DD5676" w14:textId="77777777" w:rsidR="00BC78D9" w:rsidRPr="00BC78D9" w:rsidRDefault="00BC78D9" w:rsidP="00BC78D9">
            <w:pPr>
              <w:pStyle w:val="ListParagraph"/>
              <w:numPr>
                <w:ilvl w:val="0"/>
                <w:numId w:val="96"/>
              </w:numPr>
              <w:suppressLineNumbers/>
              <w:suppressAutoHyphens/>
              <w:ind w:left="216" w:hanging="216"/>
              <w:rPr>
                <w:rFonts w:ascii="Arial" w:hAnsi="Arial" w:cs="Arial"/>
                <w:sz w:val="16"/>
                <w:szCs w:val="16"/>
                <w:lang w:eastAsia="zh-CN"/>
              </w:rPr>
            </w:pPr>
            <w:r w:rsidRPr="00BC78D9">
              <w:rPr>
                <w:rFonts w:ascii="Arial" w:hAnsi="Arial" w:cs="Arial"/>
                <w:sz w:val="16"/>
                <w:szCs w:val="16"/>
                <w:lang w:eastAsia="zh-CN"/>
              </w:rPr>
              <w:t>100% dans un délai de 24 h (Bureau de l’OMPI en Fédération de Russie)</w:t>
            </w:r>
          </w:p>
          <w:p w14:paraId="344AC582" w14:textId="77777777" w:rsidR="00BC78D9" w:rsidRPr="00BC78D9" w:rsidRDefault="00BC78D9" w:rsidP="006A627E">
            <w:pPr>
              <w:suppressLineNumbers/>
              <w:suppressAutoHyphens/>
              <w:rPr>
                <w:sz w:val="16"/>
                <w:szCs w:val="16"/>
              </w:rPr>
            </w:pPr>
          </w:p>
          <w:p w14:paraId="3387E17F" w14:textId="77777777" w:rsidR="00BC78D9" w:rsidRPr="00BC78D9" w:rsidRDefault="00BC78D9" w:rsidP="00BC78D9">
            <w:pPr>
              <w:pStyle w:val="ListParagraph"/>
              <w:numPr>
                <w:ilvl w:val="0"/>
                <w:numId w:val="96"/>
              </w:numPr>
              <w:suppressLineNumbers/>
              <w:suppressAutoHyphens/>
              <w:ind w:left="216" w:hanging="216"/>
              <w:rPr>
                <w:rFonts w:ascii="Arial" w:hAnsi="Arial" w:cs="Arial"/>
                <w:sz w:val="16"/>
                <w:szCs w:val="16"/>
                <w:lang w:eastAsia="zh-CN"/>
              </w:rPr>
            </w:pPr>
            <w:r w:rsidRPr="00BC78D9">
              <w:rPr>
                <w:rFonts w:ascii="Arial" w:hAnsi="Arial" w:cs="Arial"/>
                <w:sz w:val="16"/>
                <w:szCs w:val="16"/>
                <w:lang w:eastAsia="zh-CN"/>
              </w:rPr>
              <w:t>100% dans un délai de 24 h (Bureau de l’OMPI à Singapour)</w:t>
            </w:r>
          </w:p>
        </w:tc>
        <w:tc>
          <w:tcPr>
            <w:tcW w:w="567" w:type="pct"/>
            <w:shd w:val="clear" w:color="auto" w:fill="auto"/>
            <w:tcMar>
              <w:top w:w="110" w:type="dxa"/>
              <w:left w:w="57" w:type="dxa"/>
              <w:bottom w:w="57" w:type="dxa"/>
              <w:right w:w="57" w:type="dxa"/>
            </w:tcMar>
          </w:tcPr>
          <w:p w14:paraId="7EE293BC" w14:textId="77777777" w:rsidR="00BC78D9" w:rsidRPr="00BC78D9" w:rsidRDefault="00BC78D9" w:rsidP="006A627E">
            <w:pPr>
              <w:suppressLineNumbers/>
              <w:suppressAutoHyphens/>
              <w:jc w:val="center"/>
              <w:rPr>
                <w:color w:val="808080"/>
                <w:sz w:val="16"/>
                <w:szCs w:val="16"/>
              </w:rPr>
            </w:pPr>
          </w:p>
          <w:p w14:paraId="554A81E4" w14:textId="77777777" w:rsidR="00BC78D9" w:rsidRPr="00BC78D9" w:rsidRDefault="00BC78D9" w:rsidP="006A627E">
            <w:pPr>
              <w:suppressLineNumbers/>
              <w:suppressAutoHyphens/>
              <w:jc w:val="center"/>
              <w:rPr>
                <w:sz w:val="16"/>
                <w:szCs w:val="16"/>
              </w:rPr>
            </w:pPr>
            <w:r w:rsidRPr="00BC78D9">
              <w:rPr>
                <w:b/>
                <w:color w:val="808080"/>
                <w:sz w:val="16"/>
                <w:szCs w:val="16"/>
              </w:rPr>
              <w:t>Non évaluable</w:t>
            </w:r>
          </w:p>
          <w:p w14:paraId="2665E591" w14:textId="77777777" w:rsidR="00BC78D9" w:rsidRPr="00BC78D9" w:rsidRDefault="00BC78D9" w:rsidP="006A627E">
            <w:pPr>
              <w:suppressLineNumbers/>
              <w:suppressAutoHyphens/>
              <w:jc w:val="center"/>
              <w:rPr>
                <w:rFonts w:eastAsia="Calibri"/>
                <w:sz w:val="16"/>
                <w:szCs w:val="16"/>
              </w:rPr>
            </w:pPr>
          </w:p>
          <w:p w14:paraId="2E24A812" w14:textId="77777777" w:rsidR="00BC78D9" w:rsidRPr="00BC78D9" w:rsidRDefault="00BC78D9" w:rsidP="006A627E">
            <w:pPr>
              <w:suppressLineNumbers/>
              <w:suppressAutoHyphens/>
              <w:jc w:val="center"/>
              <w:rPr>
                <w:rFonts w:eastAsia="Calibri"/>
                <w:b/>
                <w:sz w:val="16"/>
                <w:szCs w:val="16"/>
              </w:rPr>
            </w:pPr>
            <w:r w:rsidRPr="00BC78D9">
              <w:rPr>
                <w:b/>
                <w:color w:val="00B050"/>
                <w:sz w:val="16"/>
                <w:szCs w:val="16"/>
              </w:rPr>
              <w:t>En bonne voie</w:t>
            </w:r>
          </w:p>
          <w:p w14:paraId="4F507D73" w14:textId="77777777" w:rsidR="00BC78D9" w:rsidRPr="00BC78D9" w:rsidRDefault="00BC78D9" w:rsidP="006A627E">
            <w:pPr>
              <w:suppressLineNumbers/>
              <w:suppressAutoHyphens/>
              <w:jc w:val="center"/>
              <w:rPr>
                <w:rFonts w:eastAsia="Calibri"/>
                <w:sz w:val="16"/>
                <w:szCs w:val="16"/>
              </w:rPr>
            </w:pPr>
          </w:p>
          <w:p w14:paraId="5DE9867B" w14:textId="77777777" w:rsidR="00BC78D9" w:rsidRPr="00BC78D9" w:rsidRDefault="00BC78D9" w:rsidP="006A627E">
            <w:pPr>
              <w:suppressLineNumbers/>
              <w:suppressAutoHyphens/>
              <w:jc w:val="center"/>
              <w:rPr>
                <w:rFonts w:eastAsia="Calibri"/>
                <w:b/>
                <w:sz w:val="16"/>
                <w:szCs w:val="16"/>
              </w:rPr>
            </w:pPr>
            <w:r w:rsidRPr="00BC78D9">
              <w:rPr>
                <w:b/>
                <w:color w:val="00B050"/>
                <w:sz w:val="16"/>
                <w:szCs w:val="16"/>
              </w:rPr>
              <w:t>En bonne voie</w:t>
            </w:r>
          </w:p>
          <w:p w14:paraId="62D9177D" w14:textId="77777777" w:rsidR="00BC78D9" w:rsidRPr="00BC78D9" w:rsidRDefault="00BC78D9" w:rsidP="006A627E">
            <w:pPr>
              <w:suppressLineNumbers/>
              <w:suppressAutoHyphens/>
              <w:jc w:val="center"/>
              <w:rPr>
                <w:rFonts w:eastAsia="Calibri"/>
                <w:sz w:val="16"/>
                <w:szCs w:val="16"/>
              </w:rPr>
            </w:pPr>
          </w:p>
          <w:p w14:paraId="352F09FA" w14:textId="77777777" w:rsidR="00BC78D9" w:rsidRPr="00BC78D9" w:rsidRDefault="00BC78D9" w:rsidP="006A627E">
            <w:pPr>
              <w:suppressLineNumbers/>
              <w:suppressAutoHyphens/>
              <w:jc w:val="center"/>
              <w:rPr>
                <w:rFonts w:eastAsia="Calibri"/>
                <w:b/>
                <w:sz w:val="16"/>
                <w:szCs w:val="16"/>
              </w:rPr>
            </w:pPr>
            <w:r w:rsidRPr="00BC78D9">
              <w:rPr>
                <w:b/>
                <w:color w:val="00B050"/>
                <w:sz w:val="16"/>
                <w:szCs w:val="16"/>
              </w:rPr>
              <w:t>En bonne voie</w:t>
            </w:r>
          </w:p>
          <w:p w14:paraId="689E956F" w14:textId="77777777" w:rsidR="00BC78D9" w:rsidRPr="00BC78D9" w:rsidRDefault="00BC78D9" w:rsidP="006A627E">
            <w:pPr>
              <w:suppressLineNumbers/>
              <w:suppressAutoHyphens/>
              <w:jc w:val="center"/>
              <w:rPr>
                <w:rFonts w:eastAsia="Calibri"/>
                <w:sz w:val="16"/>
                <w:szCs w:val="16"/>
              </w:rPr>
            </w:pPr>
          </w:p>
          <w:p w14:paraId="26D7A675" w14:textId="77777777" w:rsidR="00BC78D9" w:rsidRPr="00BC78D9" w:rsidRDefault="00BC78D9" w:rsidP="006A627E">
            <w:pPr>
              <w:suppressLineNumbers/>
              <w:suppressAutoHyphens/>
              <w:jc w:val="center"/>
              <w:rPr>
                <w:rFonts w:eastAsia="Calibri"/>
                <w:sz w:val="16"/>
                <w:szCs w:val="16"/>
              </w:rPr>
            </w:pPr>
          </w:p>
          <w:p w14:paraId="3A1995E5" w14:textId="77777777" w:rsidR="00BC78D9" w:rsidRPr="00BC78D9" w:rsidRDefault="00BC78D9" w:rsidP="006A627E">
            <w:pPr>
              <w:suppressLineNumbers/>
              <w:suppressAutoHyphens/>
              <w:jc w:val="center"/>
              <w:rPr>
                <w:sz w:val="16"/>
                <w:szCs w:val="16"/>
              </w:rPr>
            </w:pPr>
            <w:r w:rsidRPr="00BC78D9">
              <w:rPr>
                <w:b/>
                <w:color w:val="00B050"/>
                <w:sz w:val="16"/>
                <w:szCs w:val="16"/>
              </w:rPr>
              <w:t>En bonne voie</w:t>
            </w:r>
          </w:p>
        </w:tc>
      </w:tr>
      <w:tr w:rsidR="00BC78D9" w:rsidRPr="00BC78D9" w14:paraId="76BFD5BE" w14:textId="77777777" w:rsidTr="006A627E">
        <w:trPr>
          <w:cantSplit/>
          <w:trHeight w:val="648"/>
        </w:trPr>
        <w:tc>
          <w:tcPr>
            <w:tcW w:w="5000" w:type="pct"/>
            <w:gridSpan w:val="5"/>
            <w:shd w:val="clear" w:color="auto" w:fill="C6D9F1" w:themeFill="text2" w:themeFillTint="33"/>
            <w:tcMar>
              <w:left w:w="57" w:type="dxa"/>
              <w:bottom w:w="57" w:type="dxa"/>
              <w:right w:w="57" w:type="dxa"/>
            </w:tcMar>
            <w:vAlign w:val="center"/>
          </w:tcPr>
          <w:p w14:paraId="25C0F691" w14:textId="77777777" w:rsidR="00BC78D9" w:rsidRPr="00BC78D9" w:rsidRDefault="00BC78D9" w:rsidP="006A627E">
            <w:pPr>
              <w:keepNext/>
              <w:keepLines/>
              <w:suppressLineNumbers/>
              <w:tabs>
                <w:tab w:val="left" w:pos="1452"/>
              </w:tabs>
              <w:suppressAutoHyphens/>
              <w:rPr>
                <w:sz w:val="16"/>
                <w:szCs w:val="16"/>
              </w:rPr>
            </w:pPr>
            <w:r w:rsidRPr="00BC78D9">
              <w:rPr>
                <w:b/>
                <w:sz w:val="16"/>
                <w:szCs w:val="16"/>
              </w:rPr>
              <w:t xml:space="preserve">Résultat escompté : </w:t>
            </w:r>
            <w:r w:rsidRPr="00BC78D9">
              <w:rPr>
                <w:b/>
                <w:sz w:val="16"/>
              </w:rPr>
              <w:tab/>
            </w:r>
            <w:r w:rsidRPr="00BC78D9">
              <w:rPr>
                <w:sz w:val="16"/>
                <w:szCs w:val="16"/>
              </w:rPr>
              <w:t xml:space="preserve">VIII.5 L’OMPI collabore efficacement avec d’autres processus et instances de négociation de l’ONU et d’autres organisations intergouvernementales </w:t>
            </w:r>
          </w:p>
        </w:tc>
      </w:tr>
      <w:tr w:rsidR="00BC78D9" w:rsidRPr="00BC78D9" w14:paraId="2256AF58" w14:textId="77777777" w:rsidTr="006A627E">
        <w:trPr>
          <w:cantSplit/>
        </w:trPr>
        <w:tc>
          <w:tcPr>
            <w:tcW w:w="1039" w:type="pct"/>
            <w:shd w:val="clear" w:color="auto" w:fill="auto"/>
            <w:tcMar>
              <w:left w:w="57" w:type="dxa"/>
              <w:bottom w:w="57" w:type="dxa"/>
              <w:right w:w="57" w:type="dxa"/>
            </w:tcMar>
            <w:vAlign w:val="center"/>
          </w:tcPr>
          <w:p w14:paraId="3877CC4A" w14:textId="77777777" w:rsidR="00BC78D9" w:rsidRPr="00BC78D9" w:rsidRDefault="00BC78D9" w:rsidP="006A627E">
            <w:pPr>
              <w:keepNext/>
              <w:keepLines/>
              <w:suppressLineNumbers/>
              <w:suppressAutoHyphens/>
              <w:rPr>
                <w:b/>
                <w:bCs/>
                <w:sz w:val="16"/>
                <w:szCs w:val="16"/>
              </w:rPr>
            </w:pPr>
            <w:r w:rsidRPr="00BC78D9">
              <w:rPr>
                <w:b/>
                <w:bCs/>
                <w:sz w:val="16"/>
                <w:szCs w:val="16"/>
              </w:rPr>
              <w:t>Indicateurs d’exécution</w:t>
            </w:r>
          </w:p>
        </w:tc>
        <w:tc>
          <w:tcPr>
            <w:tcW w:w="1276" w:type="pct"/>
            <w:shd w:val="clear" w:color="auto" w:fill="auto"/>
            <w:tcMar>
              <w:left w:w="57" w:type="dxa"/>
              <w:bottom w:w="57" w:type="dxa"/>
              <w:right w:w="57" w:type="dxa"/>
            </w:tcMar>
            <w:vAlign w:val="center"/>
          </w:tcPr>
          <w:p w14:paraId="66E50CDF" w14:textId="77777777" w:rsidR="00BC78D9" w:rsidRPr="00BC78D9" w:rsidRDefault="00BC78D9" w:rsidP="006A627E">
            <w:pPr>
              <w:keepNext/>
              <w:keepLines/>
              <w:suppressLineNumbers/>
              <w:suppressAutoHyphens/>
              <w:rPr>
                <w:b/>
                <w:bCs/>
                <w:sz w:val="16"/>
                <w:szCs w:val="16"/>
              </w:rPr>
            </w:pPr>
            <w:r w:rsidRPr="00BC78D9">
              <w:rPr>
                <w:b/>
                <w:bCs/>
                <w:sz w:val="16"/>
                <w:szCs w:val="16"/>
              </w:rPr>
              <w:t>Niveaux de référence</w:t>
            </w:r>
          </w:p>
        </w:tc>
        <w:tc>
          <w:tcPr>
            <w:tcW w:w="835" w:type="pct"/>
            <w:shd w:val="clear" w:color="auto" w:fill="auto"/>
            <w:tcMar>
              <w:top w:w="110" w:type="dxa"/>
              <w:left w:w="57" w:type="dxa"/>
              <w:bottom w:w="57" w:type="dxa"/>
              <w:right w:w="57" w:type="dxa"/>
            </w:tcMar>
            <w:vAlign w:val="center"/>
          </w:tcPr>
          <w:p w14:paraId="7C2BA69E" w14:textId="77777777" w:rsidR="00BC78D9" w:rsidRPr="00BC78D9" w:rsidRDefault="00BC78D9" w:rsidP="006A627E">
            <w:pPr>
              <w:keepNext/>
              <w:keepLines/>
              <w:suppressLineNumbers/>
              <w:tabs>
                <w:tab w:val="left" w:pos="290"/>
              </w:tabs>
              <w:suppressAutoHyphens/>
              <w:rPr>
                <w:b/>
                <w:bCs/>
                <w:sz w:val="16"/>
                <w:szCs w:val="16"/>
              </w:rPr>
            </w:pPr>
            <w:r w:rsidRPr="00BC78D9">
              <w:rPr>
                <w:b/>
                <w:bCs/>
                <w:sz w:val="16"/>
                <w:szCs w:val="16"/>
              </w:rPr>
              <w:t>Objectifs visés</w:t>
            </w:r>
          </w:p>
        </w:tc>
        <w:tc>
          <w:tcPr>
            <w:tcW w:w="1283" w:type="pct"/>
            <w:shd w:val="clear" w:color="auto" w:fill="FFFFFF"/>
            <w:tcMar>
              <w:top w:w="110" w:type="dxa"/>
              <w:left w:w="57" w:type="dxa"/>
              <w:bottom w:w="57" w:type="dxa"/>
              <w:right w:w="57" w:type="dxa"/>
            </w:tcMar>
            <w:vAlign w:val="center"/>
          </w:tcPr>
          <w:p w14:paraId="31A3F2E9" w14:textId="77777777" w:rsidR="00BC78D9" w:rsidRPr="00BC78D9" w:rsidRDefault="00BC78D9" w:rsidP="006A627E">
            <w:pPr>
              <w:keepNext/>
              <w:keepLines/>
              <w:suppressLineNumbers/>
              <w:suppressAutoHyphens/>
              <w:rPr>
                <w:b/>
                <w:bCs/>
                <w:sz w:val="16"/>
                <w:szCs w:val="16"/>
              </w:rPr>
            </w:pPr>
            <w:r w:rsidRPr="00BC78D9">
              <w:rPr>
                <w:b/>
                <w:bCs/>
                <w:sz w:val="16"/>
                <w:szCs w:val="16"/>
              </w:rPr>
              <w:t>Données relatives à l’exécution</w:t>
            </w:r>
          </w:p>
        </w:tc>
        <w:tc>
          <w:tcPr>
            <w:tcW w:w="567" w:type="pct"/>
            <w:shd w:val="clear" w:color="auto" w:fill="auto"/>
            <w:tcMar>
              <w:top w:w="110" w:type="dxa"/>
              <w:left w:w="57" w:type="dxa"/>
              <w:bottom w:w="57" w:type="dxa"/>
              <w:right w:w="57" w:type="dxa"/>
            </w:tcMar>
            <w:vAlign w:val="center"/>
          </w:tcPr>
          <w:p w14:paraId="79AAA3B1" w14:textId="77777777" w:rsidR="00BC78D9" w:rsidRPr="00BC78D9" w:rsidRDefault="00BC78D9" w:rsidP="006A627E">
            <w:pPr>
              <w:keepNext/>
              <w:keepLines/>
              <w:suppressLineNumbers/>
              <w:suppressAutoHyphens/>
              <w:jc w:val="center"/>
              <w:rPr>
                <w:b/>
                <w:bCs/>
                <w:sz w:val="16"/>
                <w:szCs w:val="16"/>
              </w:rPr>
            </w:pPr>
            <w:r w:rsidRPr="00BC78D9">
              <w:rPr>
                <w:b/>
                <w:bCs/>
                <w:sz w:val="16"/>
                <w:szCs w:val="16"/>
              </w:rPr>
              <w:t>Code d’évaluation</w:t>
            </w:r>
          </w:p>
        </w:tc>
      </w:tr>
      <w:tr w:rsidR="00BC78D9" w:rsidRPr="00BC78D9" w14:paraId="2614A84B" w14:textId="77777777" w:rsidTr="006A627E">
        <w:trPr>
          <w:cantSplit/>
          <w:trHeight w:val="1636"/>
        </w:trPr>
        <w:tc>
          <w:tcPr>
            <w:tcW w:w="1039" w:type="pct"/>
            <w:shd w:val="clear" w:color="auto" w:fill="auto"/>
            <w:tcMar>
              <w:left w:w="57" w:type="dxa"/>
              <w:bottom w:w="57" w:type="dxa"/>
              <w:right w:w="57" w:type="dxa"/>
            </w:tcMar>
          </w:tcPr>
          <w:p w14:paraId="72918820"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Nombre d’activités communes avec le Secrétariat de l’ASEAN, l’OHMI</w:t>
            </w:r>
            <w:r w:rsidRPr="00BC78D9">
              <w:rPr>
                <w:color w:val="auto"/>
                <w:sz w:val="16"/>
                <w:szCs w:val="16"/>
                <w:lang w:val="fr-FR"/>
              </w:rPr>
              <w:noBreakHyphen/>
              <w:t>ECAP, la Fondation Asie</w:t>
            </w:r>
            <w:r w:rsidRPr="00BC78D9">
              <w:rPr>
                <w:color w:val="auto"/>
                <w:sz w:val="16"/>
                <w:szCs w:val="16"/>
                <w:lang w:val="fr-FR"/>
              </w:rPr>
              <w:noBreakHyphen/>
              <w:t xml:space="preserve">Europe et l’AANZFTA </w:t>
            </w:r>
          </w:p>
        </w:tc>
        <w:tc>
          <w:tcPr>
            <w:tcW w:w="1276" w:type="pct"/>
            <w:shd w:val="clear" w:color="auto" w:fill="auto"/>
            <w:tcMar>
              <w:left w:w="57" w:type="dxa"/>
              <w:bottom w:w="57" w:type="dxa"/>
              <w:right w:w="57" w:type="dxa"/>
            </w:tcMar>
          </w:tcPr>
          <w:p w14:paraId="54202690"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002060"/>
                <w:sz w:val="16"/>
                <w:szCs w:val="16"/>
                <w:lang w:val="fr-FR"/>
              </w:rPr>
              <w:t xml:space="preserve">11 (Bureau de l’OMPI à Singapour) </w:t>
            </w:r>
          </w:p>
        </w:tc>
        <w:tc>
          <w:tcPr>
            <w:tcW w:w="835" w:type="pct"/>
            <w:shd w:val="clear" w:color="auto" w:fill="auto"/>
            <w:tcMar>
              <w:top w:w="110" w:type="dxa"/>
              <w:left w:w="57" w:type="dxa"/>
              <w:bottom w:w="57" w:type="dxa"/>
              <w:right w:w="57" w:type="dxa"/>
            </w:tcMar>
          </w:tcPr>
          <w:p w14:paraId="707454BA" w14:textId="77777777" w:rsidR="00BC78D9" w:rsidRPr="00BC78D9" w:rsidRDefault="00BC78D9" w:rsidP="006A627E">
            <w:pPr>
              <w:pStyle w:val="Default"/>
              <w:keepNext/>
              <w:keepLines/>
              <w:suppressLineNumbers/>
              <w:suppressAutoHyphens/>
              <w:rPr>
                <w:color w:val="auto"/>
                <w:sz w:val="16"/>
                <w:szCs w:val="16"/>
                <w:lang w:val="fr-FR"/>
              </w:rPr>
            </w:pPr>
            <w:r w:rsidRPr="00BC78D9">
              <w:rPr>
                <w:color w:val="auto"/>
                <w:sz w:val="16"/>
                <w:szCs w:val="16"/>
                <w:lang w:val="fr-FR"/>
              </w:rPr>
              <w:t xml:space="preserve">8 supplémentaires </w:t>
            </w:r>
          </w:p>
        </w:tc>
        <w:tc>
          <w:tcPr>
            <w:tcW w:w="1283" w:type="pct"/>
            <w:shd w:val="clear" w:color="auto" w:fill="FFFFFF"/>
            <w:tcMar>
              <w:top w:w="110" w:type="dxa"/>
              <w:left w:w="57" w:type="dxa"/>
              <w:bottom w:w="57" w:type="dxa"/>
              <w:right w:w="57" w:type="dxa"/>
            </w:tcMar>
          </w:tcPr>
          <w:p w14:paraId="39E34B6C" w14:textId="77777777" w:rsidR="00BC78D9" w:rsidRPr="00BC78D9" w:rsidRDefault="00BC78D9" w:rsidP="006A627E">
            <w:pPr>
              <w:keepNext/>
              <w:keepLines/>
              <w:suppressLineNumbers/>
              <w:suppressAutoHyphens/>
              <w:rPr>
                <w:sz w:val="16"/>
                <w:szCs w:val="16"/>
              </w:rPr>
            </w:pPr>
            <w:r w:rsidRPr="00BC78D9">
              <w:rPr>
                <w:sz w:val="16"/>
                <w:szCs w:val="16"/>
              </w:rPr>
              <w:t>4 activités communes supplémentaires :</w:t>
            </w:r>
          </w:p>
          <w:p w14:paraId="5FD13EC8" w14:textId="77777777" w:rsidR="00BC78D9" w:rsidRPr="00BC78D9" w:rsidRDefault="00BC78D9" w:rsidP="00BC78D9">
            <w:pPr>
              <w:pStyle w:val="ListParagraph"/>
              <w:keepNext/>
              <w:keepLines/>
              <w:numPr>
                <w:ilvl w:val="0"/>
                <w:numId w:val="97"/>
              </w:numPr>
              <w:ind w:left="122" w:hanging="180"/>
              <w:contextualSpacing w:val="0"/>
              <w:rPr>
                <w:rFonts w:ascii="Arial" w:hAnsi="Arial" w:cs="Arial"/>
                <w:sz w:val="16"/>
                <w:szCs w:val="16"/>
              </w:rPr>
            </w:pPr>
            <w:r w:rsidRPr="00BC78D9">
              <w:rPr>
                <w:rFonts w:ascii="Arial" w:hAnsi="Arial" w:cs="Arial"/>
                <w:sz w:val="16"/>
                <w:szCs w:val="16"/>
              </w:rPr>
              <w:t>Atelier ASEAN</w:t>
            </w:r>
            <w:r w:rsidRPr="00BC78D9">
              <w:rPr>
                <w:rFonts w:ascii="Arial" w:hAnsi="Arial" w:cs="Arial"/>
                <w:sz w:val="16"/>
                <w:szCs w:val="16"/>
              </w:rPr>
              <w:noBreakHyphen/>
              <w:t>USPTO sur l’utilisation de la propriété intellectuelle pour protéger et promouvoir les arts et l’artisanat traditionnels, Bangkok, 6</w:t>
            </w:r>
            <w:r w:rsidRPr="00BC78D9">
              <w:rPr>
                <w:rFonts w:ascii="Arial" w:hAnsi="Arial" w:cs="Arial"/>
                <w:sz w:val="16"/>
                <w:szCs w:val="16"/>
              </w:rPr>
              <w:noBreakHyphen/>
              <w:t>8 septembre</w:t>
            </w:r>
          </w:p>
          <w:p w14:paraId="7962629B" w14:textId="77777777" w:rsidR="00BC78D9" w:rsidRPr="00BC78D9" w:rsidRDefault="00BC78D9" w:rsidP="006A627E">
            <w:pPr>
              <w:pStyle w:val="ListParagraph"/>
              <w:keepNext/>
              <w:keepLines/>
              <w:ind w:left="302"/>
              <w:rPr>
                <w:rFonts w:ascii="Arial" w:hAnsi="Arial" w:cs="Arial"/>
                <w:sz w:val="16"/>
                <w:szCs w:val="16"/>
              </w:rPr>
            </w:pPr>
          </w:p>
          <w:p w14:paraId="4E6DE059" w14:textId="77777777" w:rsidR="00BC78D9" w:rsidRPr="00BC78D9" w:rsidRDefault="00BC78D9" w:rsidP="00BC78D9">
            <w:pPr>
              <w:pStyle w:val="ListParagraph"/>
              <w:keepNext/>
              <w:keepLines/>
              <w:numPr>
                <w:ilvl w:val="0"/>
                <w:numId w:val="97"/>
              </w:numPr>
              <w:ind w:left="122" w:hanging="180"/>
              <w:contextualSpacing w:val="0"/>
              <w:rPr>
                <w:rFonts w:ascii="Arial" w:hAnsi="Arial" w:cs="Arial"/>
                <w:sz w:val="16"/>
                <w:szCs w:val="16"/>
              </w:rPr>
            </w:pPr>
            <w:r w:rsidRPr="00BC78D9">
              <w:rPr>
                <w:rFonts w:ascii="Arial" w:hAnsi="Arial" w:cs="Arial"/>
                <w:sz w:val="16"/>
                <w:szCs w:val="16"/>
              </w:rPr>
              <w:t>Première session du Comité sur les techniques de l’information et de la communication, les sciences, les technologies et l’innovation de la CESAP, Bangkok,</w:t>
            </w:r>
          </w:p>
          <w:p w14:paraId="6844A2E7" w14:textId="77777777" w:rsidR="00BC78D9" w:rsidRPr="00BC78D9" w:rsidRDefault="00BC78D9" w:rsidP="006A627E">
            <w:pPr>
              <w:pStyle w:val="ListParagraph"/>
              <w:keepNext/>
              <w:keepLines/>
              <w:ind w:left="122"/>
              <w:rPr>
                <w:rFonts w:ascii="Arial" w:hAnsi="Arial" w:cs="Arial"/>
                <w:sz w:val="16"/>
                <w:szCs w:val="16"/>
              </w:rPr>
            </w:pPr>
            <w:r w:rsidRPr="00BC78D9">
              <w:rPr>
                <w:rFonts w:ascii="Arial" w:hAnsi="Arial" w:cs="Arial"/>
                <w:sz w:val="16"/>
                <w:szCs w:val="16"/>
              </w:rPr>
              <w:t>5</w:t>
            </w:r>
            <w:r w:rsidRPr="00BC78D9">
              <w:rPr>
                <w:rFonts w:ascii="Arial" w:hAnsi="Arial" w:cs="Arial"/>
                <w:sz w:val="16"/>
                <w:szCs w:val="16"/>
              </w:rPr>
              <w:noBreakHyphen/>
              <w:t>7 octobre</w:t>
            </w:r>
          </w:p>
          <w:p w14:paraId="2C2A5954" w14:textId="77777777" w:rsidR="00BC78D9" w:rsidRPr="00BC78D9" w:rsidRDefault="00BC78D9" w:rsidP="006A627E">
            <w:pPr>
              <w:pStyle w:val="ListParagraph"/>
              <w:keepNext/>
              <w:keepLines/>
              <w:ind w:left="122" w:hanging="180"/>
              <w:rPr>
                <w:rFonts w:ascii="Arial" w:hAnsi="Arial" w:cs="Arial"/>
                <w:sz w:val="16"/>
                <w:szCs w:val="16"/>
              </w:rPr>
            </w:pPr>
          </w:p>
          <w:p w14:paraId="6FB1A415" w14:textId="77777777" w:rsidR="00BC78D9" w:rsidRPr="00BC78D9" w:rsidRDefault="00BC78D9" w:rsidP="00BC78D9">
            <w:pPr>
              <w:pStyle w:val="ListParagraph"/>
              <w:keepNext/>
              <w:keepLines/>
              <w:numPr>
                <w:ilvl w:val="0"/>
                <w:numId w:val="97"/>
              </w:numPr>
              <w:ind w:left="122" w:hanging="180"/>
              <w:contextualSpacing w:val="0"/>
              <w:rPr>
                <w:rFonts w:ascii="Arial" w:hAnsi="Arial" w:cs="Arial"/>
                <w:sz w:val="16"/>
                <w:szCs w:val="16"/>
              </w:rPr>
            </w:pPr>
            <w:r w:rsidRPr="00BC78D9">
              <w:rPr>
                <w:rFonts w:ascii="Arial" w:hAnsi="Arial" w:cs="Arial"/>
                <w:sz w:val="16"/>
                <w:szCs w:val="16"/>
              </w:rPr>
              <w:t>Septième réunion informelle des prestataires d’assistance technique en matière de propriété intellectuelle aux pays de l’ASEAN, Bangkok, 17 novembre</w:t>
            </w:r>
          </w:p>
          <w:p w14:paraId="0CF0BF28" w14:textId="77777777" w:rsidR="00BC78D9" w:rsidRPr="00BC78D9" w:rsidRDefault="00BC78D9" w:rsidP="006A627E">
            <w:pPr>
              <w:pStyle w:val="ListParagraph"/>
              <w:keepNext/>
              <w:keepLines/>
              <w:ind w:left="122" w:hanging="180"/>
              <w:rPr>
                <w:rFonts w:ascii="Arial" w:hAnsi="Arial" w:cs="Arial"/>
                <w:sz w:val="16"/>
                <w:szCs w:val="16"/>
              </w:rPr>
            </w:pPr>
          </w:p>
          <w:p w14:paraId="0AE20906" w14:textId="77777777" w:rsidR="00BC78D9" w:rsidRPr="00BC78D9" w:rsidRDefault="00BC78D9" w:rsidP="00BC78D9">
            <w:pPr>
              <w:pStyle w:val="ListParagraph"/>
              <w:keepNext/>
              <w:keepLines/>
              <w:numPr>
                <w:ilvl w:val="0"/>
                <w:numId w:val="97"/>
              </w:numPr>
              <w:ind w:left="122" w:hanging="180"/>
              <w:contextualSpacing w:val="0"/>
              <w:rPr>
                <w:rFonts w:ascii="Arial" w:hAnsi="Arial" w:cs="Arial"/>
                <w:sz w:val="16"/>
                <w:szCs w:val="16"/>
              </w:rPr>
            </w:pPr>
            <w:r w:rsidRPr="00BC78D9">
              <w:rPr>
                <w:rFonts w:ascii="Arial" w:hAnsi="Arial" w:cs="Arial"/>
                <w:sz w:val="16"/>
                <w:szCs w:val="16"/>
              </w:rPr>
              <w:t>Séminaire régional sur les indications géographiques, organisé par l’ECAP III, Manille, 28 et 29 novembre</w:t>
            </w:r>
          </w:p>
          <w:p w14:paraId="1C80D418" w14:textId="77777777" w:rsidR="00BC78D9" w:rsidRPr="00BC78D9" w:rsidRDefault="00BC78D9" w:rsidP="006A627E">
            <w:pPr>
              <w:keepNext/>
              <w:keepLines/>
              <w:rPr>
                <w:sz w:val="16"/>
                <w:szCs w:val="16"/>
              </w:rPr>
            </w:pPr>
          </w:p>
          <w:p w14:paraId="155556F1" w14:textId="77777777" w:rsidR="00BC78D9" w:rsidRPr="00BC78D9" w:rsidRDefault="00BC78D9" w:rsidP="006A627E">
            <w:pPr>
              <w:keepNext/>
              <w:keepLines/>
              <w:suppressLineNumbers/>
              <w:suppressAutoHyphens/>
              <w:rPr>
                <w:sz w:val="16"/>
                <w:szCs w:val="16"/>
              </w:rPr>
            </w:pPr>
            <w:r w:rsidRPr="00BC78D9">
              <w:rPr>
                <w:sz w:val="16"/>
                <w:szCs w:val="16"/>
              </w:rPr>
              <w:t>(15 au total)</w:t>
            </w:r>
          </w:p>
        </w:tc>
        <w:tc>
          <w:tcPr>
            <w:tcW w:w="567" w:type="pct"/>
            <w:shd w:val="clear" w:color="auto" w:fill="auto"/>
            <w:tcMar>
              <w:top w:w="110" w:type="dxa"/>
              <w:left w:w="57" w:type="dxa"/>
              <w:bottom w:w="57" w:type="dxa"/>
              <w:right w:w="57" w:type="dxa"/>
            </w:tcMar>
          </w:tcPr>
          <w:p w14:paraId="05F51433" w14:textId="77777777" w:rsidR="00BC78D9" w:rsidRPr="00BC78D9" w:rsidRDefault="00BC78D9" w:rsidP="006A627E">
            <w:pPr>
              <w:keepNext/>
              <w:keepLines/>
              <w:suppressLineNumbers/>
              <w:suppressAutoHyphens/>
              <w:jc w:val="center"/>
              <w:rPr>
                <w:sz w:val="16"/>
                <w:szCs w:val="16"/>
              </w:rPr>
            </w:pPr>
            <w:r w:rsidRPr="00BC78D9">
              <w:rPr>
                <w:b/>
                <w:color w:val="00B050"/>
                <w:sz w:val="16"/>
                <w:szCs w:val="16"/>
              </w:rPr>
              <w:t>En bonne voie</w:t>
            </w:r>
          </w:p>
        </w:tc>
      </w:tr>
    </w:tbl>
    <w:p w14:paraId="01890ED4" w14:textId="77777777" w:rsidR="00BC78D9" w:rsidRPr="00BC78D9" w:rsidRDefault="00BC78D9" w:rsidP="00BC78D9">
      <w:pPr>
        <w:rPr>
          <w:sz w:val="20"/>
        </w:rPr>
      </w:pPr>
    </w:p>
    <w:p w14:paraId="020A9CBB" w14:textId="77777777" w:rsidR="00BC78D9" w:rsidRPr="00BC78D9" w:rsidRDefault="00BC78D9" w:rsidP="00BC78D9">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C78D9" w:rsidRPr="00BC78D9" w14:paraId="59961687" w14:textId="77777777" w:rsidTr="006A627E">
        <w:trPr>
          <w:trHeight w:val="423"/>
          <w:jc w:val="center"/>
        </w:trPr>
        <w:tc>
          <w:tcPr>
            <w:tcW w:w="9571" w:type="dxa"/>
            <w:shd w:val="clear" w:color="auto" w:fill="C6D9F1" w:themeFill="text2" w:themeFillTint="33"/>
            <w:vAlign w:val="center"/>
          </w:tcPr>
          <w:p w14:paraId="6C2B70DF" w14:textId="77777777" w:rsidR="00BC78D9" w:rsidRPr="00BC78D9" w:rsidRDefault="00BC78D9" w:rsidP="005A435C">
            <w:pPr>
              <w:jc w:val="center"/>
              <w:rPr>
                <w:b/>
                <w:sz w:val="20"/>
              </w:rPr>
            </w:pPr>
            <w:r w:rsidRPr="00BC78D9">
              <w:rPr>
                <w:sz w:val="20"/>
              </w:rPr>
              <w:br w:type="page"/>
            </w:r>
            <w:r w:rsidRPr="00BC78D9">
              <w:rPr>
                <w:b/>
                <w:sz w:val="20"/>
              </w:rPr>
              <w:t>Utilisation des ressources au titre du programme 20</w:t>
            </w:r>
          </w:p>
        </w:tc>
      </w:tr>
    </w:tbl>
    <w:p w14:paraId="6DEB1FC4" w14:textId="77777777" w:rsidR="00BC78D9" w:rsidRDefault="00BC78D9" w:rsidP="005A435C">
      <w:pPr>
        <w:rPr>
          <w:sz w:val="16"/>
          <w:szCs w:val="16"/>
        </w:rPr>
      </w:pPr>
    </w:p>
    <w:p w14:paraId="2363F233" w14:textId="77777777" w:rsidR="00851C67" w:rsidRDefault="00851C67" w:rsidP="005A435C">
      <w:pPr>
        <w:rPr>
          <w:sz w:val="16"/>
          <w:szCs w:val="16"/>
        </w:rPr>
      </w:pPr>
    </w:p>
    <w:p w14:paraId="7EFEE0C8" w14:textId="77777777" w:rsidR="005A435C" w:rsidRPr="00BC78D9" w:rsidRDefault="005A435C" w:rsidP="005A435C">
      <w:pPr>
        <w:pStyle w:val="NormalWeb"/>
        <w:keepNext/>
        <w:keepLines/>
        <w:spacing w:before="0" w:beforeAutospacing="0" w:after="0" w:afterAutospacing="0"/>
        <w:jc w:val="center"/>
      </w:pPr>
      <w:r w:rsidRPr="00BC78D9">
        <w:t>Budget et dépenses effectives (dépenses de personnel et autres dépenses)</w:t>
      </w:r>
    </w:p>
    <w:p w14:paraId="1302489A" w14:textId="77777777" w:rsidR="005A435C" w:rsidRPr="00BC78D9" w:rsidRDefault="005A435C" w:rsidP="005A435C">
      <w:pPr>
        <w:pStyle w:val="NormalWeb"/>
        <w:spacing w:before="0" w:beforeAutospacing="0" w:after="0" w:afterAutospacing="0"/>
        <w:jc w:val="center"/>
        <w:rPr>
          <w:i/>
          <w:iCs/>
          <w:sz w:val="16"/>
          <w:szCs w:val="16"/>
        </w:rPr>
      </w:pPr>
      <w:r w:rsidRPr="00BC78D9">
        <w:rPr>
          <w:i/>
          <w:iCs/>
          <w:sz w:val="16"/>
          <w:szCs w:val="16"/>
        </w:rPr>
        <w:t>(en milliers de francs suisses)</w:t>
      </w:r>
    </w:p>
    <w:p w14:paraId="59A7FDA8" w14:textId="77777777" w:rsidR="005A435C" w:rsidRPr="00BC78D9" w:rsidRDefault="005A435C" w:rsidP="005A435C">
      <w:pPr>
        <w:pStyle w:val="NormalWeb"/>
        <w:spacing w:before="0" w:beforeAutospacing="0" w:after="0" w:afterAutospacing="0"/>
        <w:jc w:val="center"/>
        <w:rPr>
          <w:i/>
          <w:iCs/>
          <w:sz w:val="16"/>
          <w:szCs w:val="16"/>
        </w:rPr>
      </w:pPr>
    </w:p>
    <w:tbl>
      <w:tblPr>
        <w:tblW w:w="8120" w:type="dxa"/>
        <w:jc w:val="center"/>
        <w:tblInd w:w="93" w:type="dxa"/>
        <w:tblLook w:val="04A0" w:firstRow="1" w:lastRow="0" w:firstColumn="1" w:lastColumn="0" w:noHBand="0" w:noVBand="1"/>
      </w:tblPr>
      <w:tblGrid>
        <w:gridCol w:w="2440"/>
        <w:gridCol w:w="1577"/>
        <w:gridCol w:w="1577"/>
        <w:gridCol w:w="1435"/>
        <w:gridCol w:w="1114"/>
      </w:tblGrid>
      <w:tr w:rsidR="005A435C" w:rsidRPr="00BC78D9" w14:paraId="2C43C724" w14:textId="77777777" w:rsidTr="00B705C2">
        <w:trPr>
          <w:trHeight w:val="685"/>
          <w:jc w:val="center"/>
        </w:trPr>
        <w:tc>
          <w:tcPr>
            <w:tcW w:w="2440" w:type="dxa"/>
            <w:tcBorders>
              <w:top w:val="nil"/>
              <w:left w:val="nil"/>
              <w:bottom w:val="nil"/>
              <w:right w:val="nil"/>
            </w:tcBorders>
            <w:shd w:val="clear" w:color="000000" w:fill="C5D9F1"/>
            <w:noWrap/>
            <w:vAlign w:val="center"/>
            <w:hideMark/>
          </w:tcPr>
          <w:p w14:paraId="1CBAFB56" w14:textId="77777777" w:rsidR="005A435C" w:rsidRPr="00BC78D9" w:rsidRDefault="005A435C" w:rsidP="00B705C2">
            <w:pPr>
              <w:rPr>
                <w:sz w:val="16"/>
                <w:szCs w:val="16"/>
              </w:rPr>
            </w:pPr>
          </w:p>
        </w:tc>
        <w:tc>
          <w:tcPr>
            <w:tcW w:w="1420" w:type="dxa"/>
            <w:tcBorders>
              <w:top w:val="nil"/>
              <w:left w:val="nil"/>
              <w:bottom w:val="nil"/>
              <w:right w:val="nil"/>
            </w:tcBorders>
            <w:shd w:val="clear" w:color="000000" w:fill="C5D9F1"/>
            <w:vAlign w:val="center"/>
            <w:hideMark/>
          </w:tcPr>
          <w:p w14:paraId="4C48DBE5" w14:textId="77777777" w:rsidR="005A435C" w:rsidRPr="00BC78D9" w:rsidRDefault="005A435C" w:rsidP="00B705C2">
            <w:pPr>
              <w:jc w:val="center"/>
              <w:rPr>
                <w:b/>
                <w:bCs/>
                <w:sz w:val="16"/>
                <w:szCs w:val="16"/>
              </w:rPr>
            </w:pPr>
            <w:r w:rsidRPr="00BC78D9">
              <w:rPr>
                <w:b/>
                <w:bCs/>
                <w:sz w:val="16"/>
                <w:szCs w:val="16"/>
              </w:rPr>
              <w:t>Budget 2016</w:t>
            </w:r>
            <w:r w:rsidRPr="00BC78D9">
              <w:rPr>
                <w:b/>
                <w:bCs/>
                <w:sz w:val="16"/>
                <w:szCs w:val="16"/>
              </w:rPr>
              <w:noBreakHyphen/>
              <w:t>2017 approuvé</w:t>
            </w:r>
          </w:p>
        </w:tc>
        <w:tc>
          <w:tcPr>
            <w:tcW w:w="1420" w:type="dxa"/>
            <w:tcBorders>
              <w:top w:val="nil"/>
              <w:left w:val="nil"/>
              <w:bottom w:val="nil"/>
              <w:right w:val="nil"/>
            </w:tcBorders>
            <w:shd w:val="clear" w:color="000000" w:fill="C5D9F1"/>
            <w:vAlign w:val="center"/>
            <w:hideMark/>
          </w:tcPr>
          <w:p w14:paraId="2228CF3D" w14:textId="77777777" w:rsidR="005A435C" w:rsidRPr="00BC78D9" w:rsidRDefault="005A435C" w:rsidP="00B705C2">
            <w:pPr>
              <w:keepNext/>
              <w:keepLines/>
              <w:jc w:val="center"/>
              <w:rPr>
                <w:b/>
                <w:bCs/>
                <w:sz w:val="16"/>
                <w:szCs w:val="16"/>
              </w:rPr>
            </w:pPr>
            <w:r w:rsidRPr="00BC78D9">
              <w:rPr>
                <w:b/>
                <w:bCs/>
                <w:sz w:val="16"/>
                <w:szCs w:val="16"/>
              </w:rPr>
              <w:t>Budget 2016</w:t>
            </w:r>
            <w:r w:rsidRPr="00BC78D9">
              <w:rPr>
                <w:b/>
                <w:bCs/>
                <w:sz w:val="16"/>
                <w:szCs w:val="16"/>
              </w:rPr>
              <w:noBreakHyphen/>
              <w:t xml:space="preserve">2017 après virements </w:t>
            </w:r>
          </w:p>
        </w:tc>
        <w:tc>
          <w:tcPr>
            <w:tcW w:w="1420" w:type="dxa"/>
            <w:tcBorders>
              <w:top w:val="nil"/>
              <w:left w:val="nil"/>
              <w:bottom w:val="nil"/>
              <w:right w:val="nil"/>
            </w:tcBorders>
            <w:shd w:val="clear" w:color="000000" w:fill="C5D9F1"/>
            <w:vAlign w:val="center"/>
            <w:hideMark/>
          </w:tcPr>
          <w:p w14:paraId="12A311FB" w14:textId="77777777" w:rsidR="005A435C" w:rsidRPr="00BC78D9" w:rsidRDefault="005A435C" w:rsidP="00B705C2">
            <w:pPr>
              <w:keepNext/>
              <w:keepLines/>
              <w:jc w:val="center"/>
              <w:rPr>
                <w:b/>
                <w:bCs/>
                <w:sz w:val="16"/>
                <w:szCs w:val="16"/>
              </w:rPr>
            </w:pPr>
            <w:r w:rsidRPr="00BC78D9">
              <w:rPr>
                <w:b/>
                <w:bCs/>
                <w:sz w:val="16"/>
                <w:szCs w:val="16"/>
              </w:rPr>
              <w:t>Dépenses 2016*</w:t>
            </w:r>
          </w:p>
        </w:tc>
        <w:tc>
          <w:tcPr>
            <w:tcW w:w="1420" w:type="dxa"/>
            <w:tcBorders>
              <w:top w:val="nil"/>
              <w:left w:val="nil"/>
              <w:bottom w:val="nil"/>
              <w:right w:val="nil"/>
            </w:tcBorders>
            <w:shd w:val="clear" w:color="000000" w:fill="C5D9F1"/>
            <w:vAlign w:val="center"/>
            <w:hideMark/>
          </w:tcPr>
          <w:p w14:paraId="14F59437" w14:textId="77777777" w:rsidR="005A435C" w:rsidRPr="00BC78D9" w:rsidRDefault="005A435C" w:rsidP="00B705C2">
            <w:pPr>
              <w:jc w:val="center"/>
              <w:rPr>
                <w:b/>
                <w:bCs/>
                <w:sz w:val="16"/>
                <w:szCs w:val="16"/>
              </w:rPr>
            </w:pPr>
            <w:r w:rsidRPr="00BC78D9">
              <w:rPr>
                <w:b/>
                <w:bCs/>
                <w:sz w:val="16"/>
                <w:szCs w:val="16"/>
              </w:rPr>
              <w:t>Taux d’utilisation (%)</w:t>
            </w:r>
          </w:p>
        </w:tc>
      </w:tr>
      <w:tr w:rsidR="005A435C" w:rsidRPr="00BC78D9" w14:paraId="7AC8F51F" w14:textId="77777777" w:rsidTr="00B705C2">
        <w:trPr>
          <w:trHeight w:val="315"/>
          <w:jc w:val="center"/>
        </w:trPr>
        <w:tc>
          <w:tcPr>
            <w:tcW w:w="2440" w:type="dxa"/>
            <w:tcBorders>
              <w:top w:val="nil"/>
              <w:left w:val="nil"/>
              <w:bottom w:val="nil"/>
              <w:right w:val="nil"/>
            </w:tcBorders>
            <w:shd w:val="clear" w:color="auto" w:fill="auto"/>
            <w:noWrap/>
            <w:vAlign w:val="center"/>
            <w:hideMark/>
          </w:tcPr>
          <w:p w14:paraId="3F3B7CA8" w14:textId="77777777" w:rsidR="005A435C" w:rsidRPr="00BC78D9" w:rsidRDefault="005A435C" w:rsidP="00B705C2">
            <w:pPr>
              <w:rPr>
                <w:sz w:val="16"/>
                <w:szCs w:val="16"/>
              </w:rPr>
            </w:pPr>
            <w:r w:rsidRPr="00BC78D9">
              <w:rPr>
                <w:sz w:val="16"/>
                <w:szCs w:val="16"/>
              </w:rPr>
              <w:t xml:space="preserve">Ressources en personnel </w:t>
            </w:r>
          </w:p>
        </w:tc>
        <w:tc>
          <w:tcPr>
            <w:tcW w:w="1420" w:type="dxa"/>
            <w:tcBorders>
              <w:top w:val="nil"/>
              <w:left w:val="nil"/>
              <w:bottom w:val="nil"/>
              <w:right w:val="nil"/>
            </w:tcBorders>
            <w:shd w:val="clear" w:color="auto" w:fill="auto"/>
            <w:vAlign w:val="center"/>
            <w:hideMark/>
          </w:tcPr>
          <w:p w14:paraId="682A04EE" w14:textId="77777777" w:rsidR="005A435C" w:rsidRPr="00BC78D9" w:rsidRDefault="005A435C" w:rsidP="00B705C2">
            <w:pPr>
              <w:jc w:val="center"/>
              <w:rPr>
                <w:sz w:val="16"/>
                <w:szCs w:val="16"/>
              </w:rPr>
            </w:pPr>
            <w:r w:rsidRPr="00BC78D9">
              <w:rPr>
                <w:sz w:val="16"/>
                <w:szCs w:val="16"/>
              </w:rPr>
              <w:t xml:space="preserve">9 525 </w:t>
            </w:r>
          </w:p>
        </w:tc>
        <w:tc>
          <w:tcPr>
            <w:tcW w:w="1420" w:type="dxa"/>
            <w:tcBorders>
              <w:top w:val="nil"/>
              <w:left w:val="nil"/>
              <w:bottom w:val="nil"/>
              <w:right w:val="nil"/>
            </w:tcBorders>
            <w:shd w:val="clear" w:color="auto" w:fill="auto"/>
            <w:vAlign w:val="center"/>
            <w:hideMark/>
          </w:tcPr>
          <w:p w14:paraId="2F0C1EBD" w14:textId="77777777" w:rsidR="005A435C" w:rsidRPr="00BC78D9" w:rsidRDefault="005A435C" w:rsidP="00B705C2">
            <w:pPr>
              <w:jc w:val="center"/>
              <w:rPr>
                <w:sz w:val="16"/>
                <w:szCs w:val="16"/>
              </w:rPr>
            </w:pPr>
            <w:r w:rsidRPr="00BC78D9">
              <w:rPr>
                <w:sz w:val="16"/>
                <w:szCs w:val="16"/>
              </w:rPr>
              <w:t xml:space="preserve">9 102 </w:t>
            </w:r>
          </w:p>
        </w:tc>
        <w:tc>
          <w:tcPr>
            <w:tcW w:w="1420" w:type="dxa"/>
            <w:tcBorders>
              <w:top w:val="nil"/>
              <w:left w:val="nil"/>
              <w:bottom w:val="nil"/>
              <w:right w:val="nil"/>
            </w:tcBorders>
            <w:shd w:val="clear" w:color="auto" w:fill="auto"/>
            <w:vAlign w:val="center"/>
            <w:hideMark/>
          </w:tcPr>
          <w:p w14:paraId="7F04114C" w14:textId="77777777" w:rsidR="005A435C" w:rsidRPr="00BC78D9" w:rsidRDefault="005A435C" w:rsidP="00B705C2">
            <w:pPr>
              <w:jc w:val="center"/>
              <w:rPr>
                <w:sz w:val="16"/>
                <w:szCs w:val="16"/>
              </w:rPr>
            </w:pPr>
            <w:r w:rsidRPr="00BC78D9">
              <w:rPr>
                <w:sz w:val="16"/>
                <w:szCs w:val="16"/>
              </w:rPr>
              <w:t xml:space="preserve">3 895 </w:t>
            </w:r>
          </w:p>
        </w:tc>
        <w:tc>
          <w:tcPr>
            <w:tcW w:w="1420" w:type="dxa"/>
            <w:tcBorders>
              <w:top w:val="nil"/>
              <w:left w:val="nil"/>
              <w:bottom w:val="nil"/>
              <w:right w:val="nil"/>
            </w:tcBorders>
            <w:shd w:val="clear" w:color="auto" w:fill="auto"/>
            <w:vAlign w:val="center"/>
            <w:hideMark/>
          </w:tcPr>
          <w:p w14:paraId="5A188C3D" w14:textId="77777777" w:rsidR="005A435C" w:rsidRPr="00BC78D9" w:rsidRDefault="005A435C" w:rsidP="00B705C2">
            <w:pPr>
              <w:jc w:val="center"/>
              <w:rPr>
                <w:sz w:val="16"/>
                <w:szCs w:val="16"/>
              </w:rPr>
            </w:pPr>
            <w:r w:rsidRPr="00BC78D9">
              <w:rPr>
                <w:sz w:val="16"/>
                <w:szCs w:val="16"/>
              </w:rPr>
              <w:t>43%</w:t>
            </w:r>
          </w:p>
        </w:tc>
      </w:tr>
      <w:tr w:rsidR="005A435C" w:rsidRPr="00BC78D9" w14:paraId="27EAEA08" w14:textId="77777777" w:rsidTr="00B705C2">
        <w:trPr>
          <w:trHeight w:val="315"/>
          <w:jc w:val="center"/>
        </w:trPr>
        <w:tc>
          <w:tcPr>
            <w:tcW w:w="2440" w:type="dxa"/>
            <w:tcBorders>
              <w:top w:val="nil"/>
              <w:left w:val="nil"/>
              <w:bottom w:val="nil"/>
              <w:right w:val="nil"/>
            </w:tcBorders>
            <w:shd w:val="clear" w:color="auto" w:fill="auto"/>
            <w:noWrap/>
            <w:vAlign w:val="center"/>
            <w:hideMark/>
          </w:tcPr>
          <w:p w14:paraId="0A7094DC" w14:textId="77777777" w:rsidR="005A435C" w:rsidRPr="00BC78D9" w:rsidRDefault="005A435C" w:rsidP="00B705C2">
            <w:pPr>
              <w:rPr>
                <w:sz w:val="16"/>
                <w:szCs w:val="16"/>
              </w:rPr>
            </w:pPr>
            <w:r w:rsidRPr="00BC78D9">
              <w:rPr>
                <w:sz w:val="16"/>
                <w:szCs w:val="16"/>
              </w:rPr>
              <w:t xml:space="preserve">Autres ressources </w:t>
            </w:r>
          </w:p>
        </w:tc>
        <w:tc>
          <w:tcPr>
            <w:tcW w:w="1420" w:type="dxa"/>
            <w:tcBorders>
              <w:top w:val="nil"/>
              <w:left w:val="nil"/>
              <w:bottom w:val="nil"/>
              <w:right w:val="nil"/>
            </w:tcBorders>
            <w:shd w:val="clear" w:color="auto" w:fill="auto"/>
            <w:vAlign w:val="center"/>
            <w:hideMark/>
          </w:tcPr>
          <w:p w14:paraId="1C0B734C" w14:textId="77777777" w:rsidR="005A435C" w:rsidRPr="00BC78D9" w:rsidRDefault="005A435C" w:rsidP="00B705C2">
            <w:pPr>
              <w:jc w:val="center"/>
              <w:rPr>
                <w:sz w:val="16"/>
                <w:szCs w:val="16"/>
              </w:rPr>
            </w:pPr>
            <w:r w:rsidRPr="00BC78D9">
              <w:rPr>
                <w:sz w:val="16"/>
                <w:szCs w:val="16"/>
              </w:rPr>
              <w:t xml:space="preserve">2 869 </w:t>
            </w:r>
          </w:p>
        </w:tc>
        <w:tc>
          <w:tcPr>
            <w:tcW w:w="1420" w:type="dxa"/>
            <w:tcBorders>
              <w:top w:val="nil"/>
              <w:left w:val="nil"/>
              <w:bottom w:val="nil"/>
              <w:right w:val="nil"/>
            </w:tcBorders>
            <w:shd w:val="clear" w:color="auto" w:fill="auto"/>
            <w:vAlign w:val="center"/>
            <w:hideMark/>
          </w:tcPr>
          <w:p w14:paraId="7E52E700" w14:textId="77777777" w:rsidR="005A435C" w:rsidRPr="00BC78D9" w:rsidRDefault="005A435C" w:rsidP="00B705C2">
            <w:pPr>
              <w:jc w:val="center"/>
              <w:rPr>
                <w:sz w:val="16"/>
                <w:szCs w:val="16"/>
              </w:rPr>
            </w:pPr>
            <w:r w:rsidRPr="00BC78D9">
              <w:rPr>
                <w:sz w:val="16"/>
                <w:szCs w:val="16"/>
              </w:rPr>
              <w:t xml:space="preserve">3 077 </w:t>
            </w:r>
          </w:p>
        </w:tc>
        <w:tc>
          <w:tcPr>
            <w:tcW w:w="1420" w:type="dxa"/>
            <w:tcBorders>
              <w:top w:val="nil"/>
              <w:left w:val="nil"/>
              <w:bottom w:val="nil"/>
              <w:right w:val="nil"/>
            </w:tcBorders>
            <w:shd w:val="clear" w:color="auto" w:fill="auto"/>
            <w:vAlign w:val="center"/>
            <w:hideMark/>
          </w:tcPr>
          <w:p w14:paraId="4D74D446" w14:textId="77777777" w:rsidR="005A435C" w:rsidRPr="00BC78D9" w:rsidRDefault="005A435C" w:rsidP="00B705C2">
            <w:pPr>
              <w:jc w:val="center"/>
              <w:rPr>
                <w:sz w:val="16"/>
                <w:szCs w:val="16"/>
              </w:rPr>
            </w:pPr>
            <w:r w:rsidRPr="00BC78D9">
              <w:rPr>
                <w:sz w:val="16"/>
                <w:szCs w:val="16"/>
              </w:rPr>
              <w:t xml:space="preserve">1 282 </w:t>
            </w:r>
          </w:p>
        </w:tc>
        <w:tc>
          <w:tcPr>
            <w:tcW w:w="1420" w:type="dxa"/>
            <w:tcBorders>
              <w:top w:val="nil"/>
              <w:left w:val="nil"/>
              <w:bottom w:val="nil"/>
              <w:right w:val="nil"/>
            </w:tcBorders>
            <w:shd w:val="clear" w:color="auto" w:fill="auto"/>
            <w:vAlign w:val="center"/>
            <w:hideMark/>
          </w:tcPr>
          <w:p w14:paraId="16006337" w14:textId="77777777" w:rsidR="005A435C" w:rsidRPr="00BC78D9" w:rsidRDefault="005A435C" w:rsidP="00B705C2">
            <w:pPr>
              <w:jc w:val="center"/>
              <w:rPr>
                <w:sz w:val="16"/>
                <w:szCs w:val="16"/>
              </w:rPr>
            </w:pPr>
            <w:r w:rsidRPr="00BC78D9">
              <w:rPr>
                <w:sz w:val="16"/>
                <w:szCs w:val="16"/>
              </w:rPr>
              <w:t>42%</w:t>
            </w:r>
          </w:p>
        </w:tc>
      </w:tr>
      <w:tr w:rsidR="005A435C" w:rsidRPr="00BC78D9" w14:paraId="081F8EEB" w14:textId="77777777" w:rsidTr="00B705C2">
        <w:trPr>
          <w:trHeight w:val="225"/>
          <w:jc w:val="center"/>
        </w:trPr>
        <w:tc>
          <w:tcPr>
            <w:tcW w:w="2440" w:type="dxa"/>
            <w:tcBorders>
              <w:top w:val="nil"/>
              <w:left w:val="nil"/>
              <w:bottom w:val="nil"/>
              <w:right w:val="nil"/>
            </w:tcBorders>
            <w:shd w:val="clear" w:color="000000" w:fill="C5D9F1"/>
            <w:noWrap/>
            <w:vAlign w:val="center"/>
            <w:hideMark/>
          </w:tcPr>
          <w:p w14:paraId="7A20FF75" w14:textId="77777777" w:rsidR="005A435C" w:rsidRPr="00BC78D9" w:rsidRDefault="005A435C" w:rsidP="00B705C2">
            <w:pPr>
              <w:jc w:val="right"/>
              <w:rPr>
                <w:b/>
                <w:bCs/>
                <w:sz w:val="16"/>
                <w:szCs w:val="16"/>
              </w:rPr>
            </w:pPr>
            <w:r w:rsidRPr="00BC78D9">
              <w:rPr>
                <w:b/>
                <w:bCs/>
                <w:sz w:val="16"/>
                <w:szCs w:val="16"/>
              </w:rPr>
              <w:t xml:space="preserve">Total </w:t>
            </w:r>
          </w:p>
        </w:tc>
        <w:tc>
          <w:tcPr>
            <w:tcW w:w="1420" w:type="dxa"/>
            <w:tcBorders>
              <w:top w:val="nil"/>
              <w:left w:val="nil"/>
              <w:bottom w:val="nil"/>
              <w:right w:val="nil"/>
            </w:tcBorders>
            <w:shd w:val="clear" w:color="000000" w:fill="C5D9F1"/>
            <w:vAlign w:val="center"/>
            <w:hideMark/>
          </w:tcPr>
          <w:p w14:paraId="5EF52171" w14:textId="77777777" w:rsidR="005A435C" w:rsidRPr="00BC78D9" w:rsidRDefault="005A435C" w:rsidP="00B705C2">
            <w:pPr>
              <w:jc w:val="center"/>
              <w:rPr>
                <w:b/>
                <w:bCs/>
                <w:sz w:val="16"/>
                <w:szCs w:val="16"/>
              </w:rPr>
            </w:pPr>
            <w:r w:rsidRPr="00BC78D9">
              <w:rPr>
                <w:b/>
                <w:bCs/>
                <w:sz w:val="16"/>
                <w:szCs w:val="16"/>
              </w:rPr>
              <w:t xml:space="preserve">12 395 </w:t>
            </w:r>
          </w:p>
        </w:tc>
        <w:tc>
          <w:tcPr>
            <w:tcW w:w="1420" w:type="dxa"/>
            <w:tcBorders>
              <w:top w:val="nil"/>
              <w:left w:val="nil"/>
              <w:bottom w:val="nil"/>
              <w:right w:val="nil"/>
            </w:tcBorders>
            <w:shd w:val="clear" w:color="000000" w:fill="C5D9F1"/>
            <w:vAlign w:val="center"/>
            <w:hideMark/>
          </w:tcPr>
          <w:p w14:paraId="7D10C224" w14:textId="77777777" w:rsidR="005A435C" w:rsidRPr="00BC78D9" w:rsidRDefault="005A435C" w:rsidP="00B705C2">
            <w:pPr>
              <w:jc w:val="center"/>
              <w:rPr>
                <w:b/>
                <w:bCs/>
                <w:sz w:val="16"/>
                <w:szCs w:val="16"/>
              </w:rPr>
            </w:pPr>
            <w:r w:rsidRPr="00BC78D9">
              <w:rPr>
                <w:b/>
                <w:bCs/>
                <w:sz w:val="16"/>
                <w:szCs w:val="16"/>
              </w:rPr>
              <w:t xml:space="preserve">12 178 </w:t>
            </w:r>
          </w:p>
        </w:tc>
        <w:tc>
          <w:tcPr>
            <w:tcW w:w="1420" w:type="dxa"/>
            <w:tcBorders>
              <w:top w:val="nil"/>
              <w:left w:val="nil"/>
              <w:bottom w:val="nil"/>
              <w:right w:val="nil"/>
            </w:tcBorders>
            <w:shd w:val="clear" w:color="000000" w:fill="C5D9F1"/>
            <w:vAlign w:val="center"/>
            <w:hideMark/>
          </w:tcPr>
          <w:p w14:paraId="06F4D3F8" w14:textId="77777777" w:rsidR="005A435C" w:rsidRPr="00BC78D9" w:rsidRDefault="005A435C" w:rsidP="00B705C2">
            <w:pPr>
              <w:jc w:val="center"/>
              <w:rPr>
                <w:b/>
                <w:bCs/>
                <w:sz w:val="16"/>
                <w:szCs w:val="16"/>
              </w:rPr>
            </w:pPr>
            <w:r w:rsidRPr="00BC78D9">
              <w:rPr>
                <w:b/>
                <w:bCs/>
                <w:sz w:val="16"/>
                <w:szCs w:val="16"/>
              </w:rPr>
              <w:t xml:space="preserve">5 177 </w:t>
            </w:r>
          </w:p>
        </w:tc>
        <w:tc>
          <w:tcPr>
            <w:tcW w:w="1420" w:type="dxa"/>
            <w:tcBorders>
              <w:top w:val="nil"/>
              <w:left w:val="nil"/>
              <w:bottom w:val="nil"/>
              <w:right w:val="nil"/>
            </w:tcBorders>
            <w:shd w:val="clear" w:color="000000" w:fill="C5D9F1"/>
            <w:vAlign w:val="center"/>
            <w:hideMark/>
          </w:tcPr>
          <w:p w14:paraId="7974925A" w14:textId="77777777" w:rsidR="005A435C" w:rsidRPr="00BC78D9" w:rsidRDefault="005A435C" w:rsidP="00B705C2">
            <w:pPr>
              <w:jc w:val="center"/>
              <w:rPr>
                <w:b/>
                <w:bCs/>
                <w:sz w:val="16"/>
                <w:szCs w:val="16"/>
              </w:rPr>
            </w:pPr>
            <w:r w:rsidRPr="00BC78D9">
              <w:rPr>
                <w:b/>
                <w:bCs/>
                <w:sz w:val="16"/>
                <w:szCs w:val="16"/>
              </w:rPr>
              <w:t>43%</w:t>
            </w:r>
          </w:p>
        </w:tc>
      </w:tr>
      <w:tr w:rsidR="005A435C" w:rsidRPr="00BC78D9" w14:paraId="383587C3" w14:textId="77777777" w:rsidTr="00B705C2">
        <w:trPr>
          <w:trHeight w:val="300"/>
          <w:jc w:val="center"/>
        </w:trPr>
        <w:tc>
          <w:tcPr>
            <w:tcW w:w="8120" w:type="dxa"/>
            <w:gridSpan w:val="5"/>
            <w:tcBorders>
              <w:top w:val="nil"/>
              <w:left w:val="nil"/>
              <w:bottom w:val="nil"/>
              <w:right w:val="nil"/>
            </w:tcBorders>
            <w:shd w:val="clear" w:color="auto" w:fill="auto"/>
            <w:noWrap/>
            <w:vAlign w:val="center"/>
            <w:hideMark/>
          </w:tcPr>
          <w:p w14:paraId="3DBA8964" w14:textId="77777777" w:rsidR="005A435C" w:rsidRPr="00BC78D9" w:rsidRDefault="005A435C" w:rsidP="00B705C2">
            <w:pPr>
              <w:rPr>
                <w:i/>
                <w:iCs/>
                <w:sz w:val="16"/>
                <w:szCs w:val="16"/>
              </w:rPr>
            </w:pPr>
            <w:r w:rsidRPr="00BC78D9">
              <w:rPr>
                <w:i/>
                <w:iCs/>
                <w:sz w:val="16"/>
                <w:szCs w:val="16"/>
              </w:rPr>
              <w:t xml:space="preserve">* Les chiffres des dépenses pour 2016 sont préliminaires, sous réserve d’audit par les vérificateurs externes des comptes </w:t>
            </w:r>
          </w:p>
        </w:tc>
      </w:tr>
    </w:tbl>
    <w:p w14:paraId="78A613C9" w14:textId="77777777" w:rsidR="005A435C" w:rsidRPr="00BC78D9" w:rsidRDefault="005A435C" w:rsidP="005A435C">
      <w:pPr>
        <w:ind w:left="567" w:right="424"/>
        <w:rPr>
          <w:i/>
          <w:sz w:val="16"/>
          <w:szCs w:val="16"/>
        </w:rPr>
      </w:pPr>
    </w:p>
    <w:p w14:paraId="1651FEF5" w14:textId="77777777" w:rsidR="005A435C" w:rsidRPr="00BC78D9" w:rsidRDefault="005A435C" w:rsidP="005A435C">
      <w:pPr>
        <w:keepNext/>
        <w:keepLines/>
        <w:ind w:left="567" w:right="282"/>
        <w:rPr>
          <w:i/>
          <w:sz w:val="16"/>
          <w:szCs w:val="16"/>
        </w:rPr>
      </w:pPr>
      <w:r w:rsidRPr="00BC78D9">
        <w:rPr>
          <w:i/>
          <w:sz w:val="16"/>
          <w:szCs w:val="16"/>
        </w:rPr>
        <w:t>NOTE : Le budget 2016</w:t>
      </w:r>
      <w:r w:rsidRPr="00BC78D9">
        <w:rPr>
          <w:i/>
          <w:sz w:val="16"/>
          <w:szCs w:val="16"/>
        </w:rPr>
        <w:noBreakHyphen/>
        <w:t>2017 après virements tient compte des virements effectués au 8 mars 2017 pour répondre aux besoins durant l’exercice biennal 2016</w:t>
      </w:r>
      <w:r w:rsidRPr="00BC78D9">
        <w:rPr>
          <w:i/>
          <w:sz w:val="16"/>
          <w:szCs w:val="16"/>
        </w:rPr>
        <w:noBreakHyphen/>
        <w:t>2017 conformément à l’article 5.5 du Règlement financier.</w:t>
      </w:r>
    </w:p>
    <w:p w14:paraId="519FEAC8" w14:textId="77777777" w:rsidR="005A435C" w:rsidRPr="00BC78D9" w:rsidRDefault="005A435C" w:rsidP="005A435C">
      <w:pPr>
        <w:rPr>
          <w:sz w:val="16"/>
          <w:szCs w:val="16"/>
        </w:rPr>
      </w:pPr>
    </w:p>
    <w:p w14:paraId="702EA387" w14:textId="77777777" w:rsidR="00BC78D9" w:rsidRPr="00BC78D9" w:rsidRDefault="00BC78D9" w:rsidP="00851C67">
      <w:pPr>
        <w:pStyle w:val="NormalWeb"/>
        <w:keepNext/>
        <w:keepLines/>
        <w:spacing w:before="0" w:beforeAutospacing="0" w:after="0" w:afterAutospacing="0"/>
        <w:jc w:val="center"/>
      </w:pPr>
      <w:r w:rsidRPr="00BC78D9">
        <w:t>Budget et dépenses effectives (par résultat)</w:t>
      </w:r>
    </w:p>
    <w:p w14:paraId="48445FAA" w14:textId="77777777" w:rsidR="00BC78D9" w:rsidRPr="00BC78D9" w:rsidRDefault="00BC78D9" w:rsidP="00851C67">
      <w:pPr>
        <w:pStyle w:val="NormalWeb"/>
        <w:keepNext/>
        <w:keepLines/>
        <w:spacing w:before="0" w:beforeAutospacing="0" w:after="0" w:afterAutospacing="0"/>
        <w:jc w:val="center"/>
        <w:rPr>
          <w:i/>
          <w:iCs/>
          <w:sz w:val="16"/>
          <w:szCs w:val="16"/>
        </w:rPr>
      </w:pPr>
      <w:r w:rsidRPr="00BC78D9">
        <w:rPr>
          <w:i/>
          <w:iCs/>
          <w:sz w:val="16"/>
          <w:szCs w:val="16"/>
        </w:rPr>
        <w:t>(en milliers de francs suisses)</w:t>
      </w:r>
    </w:p>
    <w:p w14:paraId="0216CCB6" w14:textId="77777777" w:rsidR="00BC78D9" w:rsidRPr="00BC78D9" w:rsidRDefault="00BC78D9" w:rsidP="00851C67">
      <w:pPr>
        <w:pStyle w:val="NormalWeb"/>
        <w:keepNext/>
        <w:keepLines/>
        <w:spacing w:before="0" w:beforeAutospacing="0" w:after="0" w:afterAutospacing="0"/>
        <w:jc w:val="center"/>
        <w:rPr>
          <w:i/>
          <w:iCs/>
          <w:sz w:val="16"/>
          <w:szCs w:val="16"/>
        </w:rPr>
      </w:pPr>
    </w:p>
    <w:tbl>
      <w:tblPr>
        <w:tblW w:w="9430" w:type="dxa"/>
        <w:jc w:val="center"/>
        <w:tblInd w:w="93" w:type="dxa"/>
        <w:tblLook w:val="04A0" w:firstRow="1" w:lastRow="0" w:firstColumn="1" w:lastColumn="0" w:noHBand="0" w:noVBand="1"/>
      </w:tblPr>
      <w:tblGrid>
        <w:gridCol w:w="615"/>
        <w:gridCol w:w="4112"/>
        <w:gridCol w:w="1771"/>
        <w:gridCol w:w="1577"/>
        <w:gridCol w:w="1435"/>
      </w:tblGrid>
      <w:tr w:rsidR="00BC78D9" w:rsidRPr="00BC78D9" w14:paraId="30CD796F" w14:textId="77777777" w:rsidTr="006A627E">
        <w:trPr>
          <w:trHeight w:val="626"/>
          <w:jc w:val="center"/>
        </w:trPr>
        <w:tc>
          <w:tcPr>
            <w:tcW w:w="4727" w:type="dxa"/>
            <w:gridSpan w:val="2"/>
            <w:tcBorders>
              <w:top w:val="nil"/>
              <w:left w:val="nil"/>
              <w:bottom w:val="nil"/>
              <w:right w:val="nil"/>
            </w:tcBorders>
            <w:shd w:val="clear" w:color="000000" w:fill="C5D9F1"/>
            <w:noWrap/>
            <w:vAlign w:val="center"/>
            <w:hideMark/>
          </w:tcPr>
          <w:p w14:paraId="3FB80E53" w14:textId="77777777" w:rsidR="00BC78D9" w:rsidRPr="00BC78D9" w:rsidRDefault="00BC78D9" w:rsidP="00851C67">
            <w:pPr>
              <w:keepNext/>
              <w:keepLines/>
              <w:jc w:val="center"/>
              <w:rPr>
                <w:b/>
                <w:bCs/>
                <w:sz w:val="16"/>
                <w:szCs w:val="16"/>
              </w:rPr>
            </w:pPr>
            <w:r w:rsidRPr="00BC78D9">
              <w:rPr>
                <w:b/>
                <w:bCs/>
                <w:sz w:val="16"/>
                <w:szCs w:val="16"/>
              </w:rPr>
              <w:t>Numéro et description du résultat escompté</w:t>
            </w:r>
          </w:p>
        </w:tc>
        <w:tc>
          <w:tcPr>
            <w:tcW w:w="1771" w:type="dxa"/>
            <w:tcBorders>
              <w:top w:val="nil"/>
              <w:left w:val="nil"/>
              <w:bottom w:val="nil"/>
              <w:right w:val="nil"/>
            </w:tcBorders>
            <w:shd w:val="clear" w:color="000000" w:fill="C5D9F1"/>
            <w:vAlign w:val="center"/>
            <w:hideMark/>
          </w:tcPr>
          <w:p w14:paraId="130A6671" w14:textId="77777777" w:rsidR="00BC78D9" w:rsidRPr="00BC78D9" w:rsidRDefault="00BC78D9" w:rsidP="00851C67">
            <w:pPr>
              <w:keepNext/>
              <w:keepLines/>
              <w:jc w:val="center"/>
              <w:rPr>
                <w:b/>
                <w:bCs/>
                <w:sz w:val="16"/>
                <w:szCs w:val="16"/>
              </w:rPr>
            </w:pPr>
            <w:r w:rsidRPr="00BC78D9">
              <w:rPr>
                <w:b/>
                <w:bCs/>
                <w:sz w:val="16"/>
                <w:szCs w:val="16"/>
              </w:rPr>
              <w:t>Budget 2016</w:t>
            </w:r>
            <w:r w:rsidRPr="00BC78D9">
              <w:rPr>
                <w:b/>
                <w:bCs/>
                <w:sz w:val="16"/>
                <w:szCs w:val="16"/>
              </w:rPr>
              <w:noBreakHyphen/>
              <w:t xml:space="preserve">2017 approuvé </w:t>
            </w:r>
          </w:p>
        </w:tc>
        <w:tc>
          <w:tcPr>
            <w:tcW w:w="1535" w:type="dxa"/>
            <w:tcBorders>
              <w:top w:val="nil"/>
              <w:left w:val="nil"/>
              <w:bottom w:val="nil"/>
              <w:right w:val="nil"/>
            </w:tcBorders>
            <w:shd w:val="clear" w:color="000000" w:fill="C5D9F1"/>
            <w:vAlign w:val="center"/>
            <w:hideMark/>
          </w:tcPr>
          <w:p w14:paraId="1108B0D4" w14:textId="77777777" w:rsidR="00BC78D9" w:rsidRPr="00BC78D9" w:rsidRDefault="00BC78D9" w:rsidP="00851C67">
            <w:pPr>
              <w:keepNext/>
              <w:keepLines/>
              <w:jc w:val="center"/>
              <w:rPr>
                <w:b/>
                <w:bCs/>
                <w:sz w:val="16"/>
                <w:szCs w:val="16"/>
              </w:rPr>
            </w:pPr>
            <w:r w:rsidRPr="00BC78D9">
              <w:rPr>
                <w:b/>
                <w:bCs/>
                <w:sz w:val="16"/>
                <w:szCs w:val="16"/>
              </w:rPr>
              <w:t>Budget 2016</w:t>
            </w:r>
            <w:r w:rsidRPr="00BC78D9">
              <w:rPr>
                <w:b/>
                <w:bCs/>
                <w:sz w:val="16"/>
                <w:szCs w:val="16"/>
              </w:rPr>
              <w:noBreakHyphen/>
              <w:t xml:space="preserve">2017 après virements </w:t>
            </w:r>
          </w:p>
        </w:tc>
        <w:tc>
          <w:tcPr>
            <w:tcW w:w="1397" w:type="dxa"/>
            <w:tcBorders>
              <w:top w:val="nil"/>
              <w:left w:val="nil"/>
              <w:bottom w:val="nil"/>
              <w:right w:val="nil"/>
            </w:tcBorders>
            <w:shd w:val="clear" w:color="000000" w:fill="C5D9F1"/>
            <w:vAlign w:val="center"/>
            <w:hideMark/>
          </w:tcPr>
          <w:p w14:paraId="15747C33" w14:textId="77777777" w:rsidR="00BC78D9" w:rsidRPr="00BC78D9" w:rsidRDefault="00BC78D9" w:rsidP="00851C67">
            <w:pPr>
              <w:keepNext/>
              <w:keepLines/>
              <w:jc w:val="center"/>
              <w:rPr>
                <w:b/>
                <w:bCs/>
                <w:sz w:val="16"/>
                <w:szCs w:val="16"/>
              </w:rPr>
            </w:pPr>
            <w:r w:rsidRPr="00BC78D9">
              <w:rPr>
                <w:b/>
                <w:bCs/>
                <w:sz w:val="16"/>
                <w:szCs w:val="16"/>
              </w:rPr>
              <w:t>Dépenses 2016*</w:t>
            </w:r>
          </w:p>
        </w:tc>
      </w:tr>
      <w:tr w:rsidR="00BC78D9" w:rsidRPr="00BC78D9" w14:paraId="12D64885" w14:textId="77777777" w:rsidTr="006A627E">
        <w:trPr>
          <w:trHeight w:val="723"/>
          <w:jc w:val="center"/>
        </w:trPr>
        <w:tc>
          <w:tcPr>
            <w:tcW w:w="615" w:type="dxa"/>
            <w:tcBorders>
              <w:top w:val="nil"/>
              <w:left w:val="nil"/>
              <w:bottom w:val="nil"/>
              <w:right w:val="nil"/>
            </w:tcBorders>
            <w:shd w:val="clear" w:color="000000" w:fill="FFFFFF"/>
            <w:noWrap/>
            <w:vAlign w:val="center"/>
            <w:hideMark/>
          </w:tcPr>
          <w:p w14:paraId="55B8670C" w14:textId="77777777" w:rsidR="00BC78D9" w:rsidRPr="00BC78D9" w:rsidRDefault="00BC78D9" w:rsidP="00851C67">
            <w:pPr>
              <w:keepNext/>
              <w:keepLines/>
              <w:rPr>
                <w:sz w:val="16"/>
                <w:szCs w:val="16"/>
              </w:rPr>
            </w:pPr>
            <w:r w:rsidRPr="00BC78D9">
              <w:rPr>
                <w:sz w:val="16"/>
                <w:szCs w:val="16"/>
              </w:rPr>
              <w:t>I.1</w:t>
            </w:r>
          </w:p>
        </w:tc>
        <w:tc>
          <w:tcPr>
            <w:tcW w:w="4112" w:type="dxa"/>
            <w:tcBorders>
              <w:top w:val="nil"/>
              <w:left w:val="nil"/>
              <w:bottom w:val="nil"/>
              <w:right w:val="nil"/>
            </w:tcBorders>
            <w:shd w:val="clear" w:color="auto" w:fill="auto"/>
            <w:vAlign w:val="center"/>
            <w:hideMark/>
          </w:tcPr>
          <w:p w14:paraId="1E561B64" w14:textId="77777777" w:rsidR="00BC78D9" w:rsidRPr="00BC78D9" w:rsidRDefault="00BC78D9" w:rsidP="00851C67">
            <w:pPr>
              <w:keepNext/>
              <w:keepLines/>
              <w:rPr>
                <w:sz w:val="16"/>
                <w:szCs w:val="16"/>
              </w:rPr>
            </w:pPr>
            <w:r w:rsidRPr="00BC78D9">
              <w:rPr>
                <w:sz w:val="16"/>
                <w:szCs w:val="16"/>
              </w:rPr>
              <w:t xml:space="preserve">Renforcement de la coopération entre les États membres en ce qui concerne l’élaboration de cadres normatifs internationaux équilibrés dans le domaine de la propriété intellectuelle </w:t>
            </w:r>
          </w:p>
        </w:tc>
        <w:tc>
          <w:tcPr>
            <w:tcW w:w="1771" w:type="dxa"/>
            <w:tcBorders>
              <w:top w:val="nil"/>
              <w:left w:val="nil"/>
              <w:bottom w:val="nil"/>
              <w:right w:val="nil"/>
            </w:tcBorders>
            <w:shd w:val="clear" w:color="auto" w:fill="auto"/>
            <w:noWrap/>
            <w:vAlign w:val="center"/>
            <w:hideMark/>
          </w:tcPr>
          <w:p w14:paraId="6865919C" w14:textId="77777777" w:rsidR="00BC78D9" w:rsidRPr="00BC78D9" w:rsidRDefault="00BC78D9" w:rsidP="00851C67">
            <w:pPr>
              <w:keepNext/>
              <w:keepLines/>
              <w:jc w:val="center"/>
              <w:rPr>
                <w:sz w:val="16"/>
                <w:szCs w:val="16"/>
              </w:rPr>
            </w:pPr>
            <w:r w:rsidRPr="00BC78D9">
              <w:rPr>
                <w:sz w:val="16"/>
                <w:szCs w:val="16"/>
              </w:rPr>
              <w:t>685</w:t>
            </w:r>
          </w:p>
        </w:tc>
        <w:tc>
          <w:tcPr>
            <w:tcW w:w="1535" w:type="dxa"/>
            <w:tcBorders>
              <w:top w:val="nil"/>
              <w:left w:val="nil"/>
              <w:bottom w:val="nil"/>
              <w:right w:val="nil"/>
            </w:tcBorders>
            <w:shd w:val="clear" w:color="auto" w:fill="auto"/>
            <w:noWrap/>
            <w:vAlign w:val="center"/>
            <w:hideMark/>
          </w:tcPr>
          <w:p w14:paraId="1B8FF60D" w14:textId="77777777" w:rsidR="00BC78D9" w:rsidRPr="00BC78D9" w:rsidRDefault="00BC78D9" w:rsidP="00851C67">
            <w:pPr>
              <w:keepNext/>
              <w:keepLines/>
              <w:jc w:val="center"/>
              <w:rPr>
                <w:sz w:val="16"/>
                <w:szCs w:val="16"/>
              </w:rPr>
            </w:pPr>
            <w:r w:rsidRPr="00BC78D9">
              <w:rPr>
                <w:sz w:val="16"/>
                <w:szCs w:val="16"/>
              </w:rPr>
              <w:t>679</w:t>
            </w:r>
          </w:p>
        </w:tc>
        <w:tc>
          <w:tcPr>
            <w:tcW w:w="1397" w:type="dxa"/>
            <w:tcBorders>
              <w:top w:val="nil"/>
              <w:left w:val="nil"/>
              <w:bottom w:val="nil"/>
              <w:right w:val="nil"/>
            </w:tcBorders>
            <w:shd w:val="clear" w:color="auto" w:fill="auto"/>
            <w:noWrap/>
            <w:vAlign w:val="center"/>
            <w:hideMark/>
          </w:tcPr>
          <w:p w14:paraId="7CDF052B" w14:textId="77777777" w:rsidR="00BC78D9" w:rsidRPr="00BC78D9" w:rsidRDefault="00BC78D9" w:rsidP="00851C67">
            <w:pPr>
              <w:keepNext/>
              <w:keepLines/>
              <w:jc w:val="center"/>
              <w:rPr>
                <w:sz w:val="16"/>
                <w:szCs w:val="16"/>
              </w:rPr>
            </w:pPr>
            <w:r w:rsidRPr="00BC78D9">
              <w:rPr>
                <w:sz w:val="16"/>
                <w:szCs w:val="16"/>
              </w:rPr>
              <w:t>372</w:t>
            </w:r>
          </w:p>
        </w:tc>
      </w:tr>
      <w:tr w:rsidR="00BC78D9" w:rsidRPr="00BC78D9" w14:paraId="47394D7F" w14:textId="77777777" w:rsidTr="006A627E">
        <w:trPr>
          <w:trHeight w:val="436"/>
          <w:jc w:val="center"/>
        </w:trPr>
        <w:tc>
          <w:tcPr>
            <w:tcW w:w="615" w:type="dxa"/>
            <w:tcBorders>
              <w:top w:val="nil"/>
              <w:left w:val="nil"/>
              <w:bottom w:val="nil"/>
              <w:right w:val="nil"/>
            </w:tcBorders>
            <w:shd w:val="clear" w:color="auto" w:fill="auto"/>
            <w:noWrap/>
            <w:vAlign w:val="center"/>
            <w:hideMark/>
          </w:tcPr>
          <w:p w14:paraId="41A8E092" w14:textId="77777777" w:rsidR="00BC78D9" w:rsidRPr="00BC78D9" w:rsidRDefault="00BC78D9" w:rsidP="00851C67">
            <w:pPr>
              <w:keepNext/>
              <w:keepLines/>
              <w:rPr>
                <w:sz w:val="16"/>
                <w:szCs w:val="16"/>
              </w:rPr>
            </w:pPr>
            <w:r w:rsidRPr="00BC78D9">
              <w:rPr>
                <w:sz w:val="16"/>
                <w:szCs w:val="16"/>
              </w:rPr>
              <w:t>II.1</w:t>
            </w:r>
          </w:p>
        </w:tc>
        <w:tc>
          <w:tcPr>
            <w:tcW w:w="4112" w:type="dxa"/>
            <w:tcBorders>
              <w:top w:val="nil"/>
              <w:left w:val="nil"/>
              <w:bottom w:val="nil"/>
              <w:right w:val="nil"/>
            </w:tcBorders>
            <w:shd w:val="clear" w:color="auto" w:fill="auto"/>
            <w:vAlign w:val="center"/>
            <w:hideMark/>
          </w:tcPr>
          <w:p w14:paraId="06BC1B1B" w14:textId="77777777" w:rsidR="00BC78D9" w:rsidRPr="00BC78D9" w:rsidRDefault="00BC78D9" w:rsidP="00851C67">
            <w:pPr>
              <w:keepNext/>
              <w:keepLines/>
              <w:rPr>
                <w:sz w:val="16"/>
                <w:szCs w:val="16"/>
              </w:rPr>
            </w:pPr>
            <w:r w:rsidRPr="00BC78D9">
              <w:rPr>
                <w:sz w:val="16"/>
                <w:szCs w:val="16"/>
              </w:rPr>
              <w:t>Utilisation élargie et plus efficace du système du PCT pour le dépôt des demandes internationales de brevet</w:t>
            </w:r>
          </w:p>
        </w:tc>
        <w:tc>
          <w:tcPr>
            <w:tcW w:w="1771" w:type="dxa"/>
            <w:tcBorders>
              <w:top w:val="nil"/>
              <w:left w:val="nil"/>
              <w:bottom w:val="nil"/>
              <w:right w:val="nil"/>
            </w:tcBorders>
            <w:shd w:val="clear" w:color="auto" w:fill="auto"/>
            <w:noWrap/>
            <w:vAlign w:val="center"/>
            <w:hideMark/>
          </w:tcPr>
          <w:p w14:paraId="79689B05" w14:textId="77777777" w:rsidR="00BC78D9" w:rsidRPr="00BC78D9" w:rsidRDefault="00BC78D9" w:rsidP="00851C67">
            <w:pPr>
              <w:keepNext/>
              <w:keepLines/>
              <w:jc w:val="center"/>
              <w:rPr>
                <w:sz w:val="16"/>
                <w:szCs w:val="16"/>
              </w:rPr>
            </w:pPr>
            <w:r w:rsidRPr="00BC78D9">
              <w:rPr>
                <w:sz w:val="16"/>
                <w:szCs w:val="16"/>
              </w:rPr>
              <w:t>857</w:t>
            </w:r>
          </w:p>
        </w:tc>
        <w:tc>
          <w:tcPr>
            <w:tcW w:w="1535" w:type="dxa"/>
            <w:tcBorders>
              <w:top w:val="nil"/>
              <w:left w:val="nil"/>
              <w:bottom w:val="nil"/>
              <w:right w:val="nil"/>
            </w:tcBorders>
            <w:shd w:val="clear" w:color="auto" w:fill="auto"/>
            <w:noWrap/>
            <w:vAlign w:val="center"/>
            <w:hideMark/>
          </w:tcPr>
          <w:p w14:paraId="3D100235" w14:textId="77777777" w:rsidR="00BC78D9" w:rsidRPr="00BC78D9" w:rsidRDefault="00BC78D9" w:rsidP="00851C67">
            <w:pPr>
              <w:keepNext/>
              <w:keepLines/>
              <w:jc w:val="center"/>
              <w:rPr>
                <w:sz w:val="16"/>
                <w:szCs w:val="16"/>
              </w:rPr>
            </w:pPr>
            <w:r w:rsidRPr="00BC78D9">
              <w:rPr>
                <w:sz w:val="16"/>
                <w:szCs w:val="16"/>
              </w:rPr>
              <w:t>904</w:t>
            </w:r>
          </w:p>
        </w:tc>
        <w:tc>
          <w:tcPr>
            <w:tcW w:w="1397" w:type="dxa"/>
            <w:tcBorders>
              <w:top w:val="nil"/>
              <w:left w:val="nil"/>
              <w:bottom w:val="nil"/>
              <w:right w:val="nil"/>
            </w:tcBorders>
            <w:shd w:val="clear" w:color="auto" w:fill="auto"/>
            <w:noWrap/>
            <w:vAlign w:val="center"/>
            <w:hideMark/>
          </w:tcPr>
          <w:p w14:paraId="2A317A9B" w14:textId="77777777" w:rsidR="00BC78D9" w:rsidRPr="00BC78D9" w:rsidRDefault="00BC78D9" w:rsidP="00851C67">
            <w:pPr>
              <w:keepNext/>
              <w:keepLines/>
              <w:jc w:val="center"/>
              <w:rPr>
                <w:sz w:val="16"/>
                <w:szCs w:val="16"/>
              </w:rPr>
            </w:pPr>
            <w:r w:rsidRPr="00BC78D9">
              <w:rPr>
                <w:sz w:val="16"/>
                <w:szCs w:val="16"/>
              </w:rPr>
              <w:t>398</w:t>
            </w:r>
          </w:p>
        </w:tc>
      </w:tr>
      <w:tr w:rsidR="00BC78D9" w:rsidRPr="00BC78D9" w14:paraId="6F7FEF23" w14:textId="77777777" w:rsidTr="006A627E">
        <w:trPr>
          <w:trHeight w:val="556"/>
          <w:jc w:val="center"/>
        </w:trPr>
        <w:tc>
          <w:tcPr>
            <w:tcW w:w="615" w:type="dxa"/>
            <w:tcBorders>
              <w:top w:val="nil"/>
              <w:left w:val="nil"/>
              <w:bottom w:val="nil"/>
              <w:right w:val="nil"/>
            </w:tcBorders>
            <w:shd w:val="clear" w:color="auto" w:fill="auto"/>
            <w:noWrap/>
            <w:vAlign w:val="center"/>
            <w:hideMark/>
          </w:tcPr>
          <w:p w14:paraId="7C5EDC05" w14:textId="77777777" w:rsidR="00BC78D9" w:rsidRPr="00BC78D9" w:rsidRDefault="00BC78D9" w:rsidP="00851C67">
            <w:pPr>
              <w:keepNext/>
              <w:keepLines/>
              <w:rPr>
                <w:sz w:val="16"/>
                <w:szCs w:val="16"/>
              </w:rPr>
            </w:pPr>
            <w:r w:rsidRPr="00BC78D9">
              <w:rPr>
                <w:sz w:val="16"/>
                <w:szCs w:val="16"/>
              </w:rPr>
              <w:t>II.4</w:t>
            </w:r>
          </w:p>
        </w:tc>
        <w:tc>
          <w:tcPr>
            <w:tcW w:w="4112" w:type="dxa"/>
            <w:tcBorders>
              <w:top w:val="nil"/>
              <w:left w:val="nil"/>
              <w:bottom w:val="nil"/>
              <w:right w:val="nil"/>
            </w:tcBorders>
            <w:shd w:val="clear" w:color="auto" w:fill="auto"/>
            <w:vAlign w:val="center"/>
            <w:hideMark/>
          </w:tcPr>
          <w:p w14:paraId="5E2BB8AE" w14:textId="77777777" w:rsidR="00BC78D9" w:rsidRPr="00BC78D9" w:rsidRDefault="00BC78D9" w:rsidP="00851C67">
            <w:pPr>
              <w:keepNext/>
              <w:keepLines/>
              <w:rPr>
                <w:sz w:val="16"/>
                <w:szCs w:val="16"/>
              </w:rPr>
            </w:pPr>
            <w:r w:rsidRPr="00BC78D9">
              <w:rPr>
                <w:sz w:val="16"/>
                <w:szCs w:val="16"/>
              </w:rPr>
              <w:t>Utilisation élargie et plus efficace du système de La Haye, notamment par les pays en développement et les PMA</w:t>
            </w:r>
          </w:p>
        </w:tc>
        <w:tc>
          <w:tcPr>
            <w:tcW w:w="1771" w:type="dxa"/>
            <w:tcBorders>
              <w:top w:val="nil"/>
              <w:left w:val="nil"/>
              <w:bottom w:val="nil"/>
              <w:right w:val="nil"/>
            </w:tcBorders>
            <w:shd w:val="clear" w:color="auto" w:fill="auto"/>
            <w:noWrap/>
            <w:vAlign w:val="center"/>
            <w:hideMark/>
          </w:tcPr>
          <w:p w14:paraId="4E58D7A2" w14:textId="77777777" w:rsidR="00BC78D9" w:rsidRPr="00BC78D9" w:rsidRDefault="00BC78D9" w:rsidP="00851C67">
            <w:pPr>
              <w:keepNext/>
              <w:keepLines/>
              <w:jc w:val="center"/>
              <w:rPr>
                <w:sz w:val="16"/>
                <w:szCs w:val="16"/>
              </w:rPr>
            </w:pPr>
            <w:r w:rsidRPr="00BC78D9">
              <w:rPr>
                <w:sz w:val="16"/>
                <w:szCs w:val="16"/>
              </w:rPr>
              <w:t>729</w:t>
            </w:r>
          </w:p>
        </w:tc>
        <w:tc>
          <w:tcPr>
            <w:tcW w:w="1535" w:type="dxa"/>
            <w:tcBorders>
              <w:top w:val="nil"/>
              <w:left w:val="nil"/>
              <w:bottom w:val="nil"/>
              <w:right w:val="nil"/>
            </w:tcBorders>
            <w:shd w:val="clear" w:color="auto" w:fill="auto"/>
            <w:noWrap/>
            <w:vAlign w:val="center"/>
            <w:hideMark/>
          </w:tcPr>
          <w:p w14:paraId="41553552" w14:textId="77777777" w:rsidR="00BC78D9" w:rsidRPr="00BC78D9" w:rsidRDefault="00BC78D9" w:rsidP="00851C67">
            <w:pPr>
              <w:keepNext/>
              <w:keepLines/>
              <w:jc w:val="center"/>
              <w:rPr>
                <w:sz w:val="16"/>
                <w:szCs w:val="16"/>
              </w:rPr>
            </w:pPr>
            <w:r w:rsidRPr="00BC78D9">
              <w:rPr>
                <w:sz w:val="16"/>
                <w:szCs w:val="16"/>
              </w:rPr>
              <w:t>535</w:t>
            </w:r>
          </w:p>
        </w:tc>
        <w:tc>
          <w:tcPr>
            <w:tcW w:w="1397" w:type="dxa"/>
            <w:tcBorders>
              <w:top w:val="nil"/>
              <w:left w:val="nil"/>
              <w:bottom w:val="nil"/>
              <w:right w:val="nil"/>
            </w:tcBorders>
            <w:shd w:val="clear" w:color="auto" w:fill="auto"/>
            <w:noWrap/>
            <w:vAlign w:val="center"/>
            <w:hideMark/>
          </w:tcPr>
          <w:p w14:paraId="7CEB71F6" w14:textId="77777777" w:rsidR="00BC78D9" w:rsidRPr="00BC78D9" w:rsidRDefault="00BC78D9" w:rsidP="00851C67">
            <w:pPr>
              <w:keepNext/>
              <w:keepLines/>
              <w:jc w:val="center"/>
              <w:rPr>
                <w:sz w:val="16"/>
                <w:szCs w:val="16"/>
              </w:rPr>
            </w:pPr>
            <w:r w:rsidRPr="00BC78D9">
              <w:rPr>
                <w:sz w:val="16"/>
                <w:szCs w:val="16"/>
              </w:rPr>
              <w:t>213</w:t>
            </w:r>
          </w:p>
        </w:tc>
      </w:tr>
      <w:tr w:rsidR="00BC78D9" w:rsidRPr="00BC78D9" w14:paraId="6AE10539" w14:textId="77777777" w:rsidTr="006A627E">
        <w:trPr>
          <w:trHeight w:val="338"/>
          <w:jc w:val="center"/>
        </w:trPr>
        <w:tc>
          <w:tcPr>
            <w:tcW w:w="615" w:type="dxa"/>
            <w:tcBorders>
              <w:top w:val="nil"/>
              <w:left w:val="nil"/>
              <w:bottom w:val="nil"/>
              <w:right w:val="nil"/>
            </w:tcBorders>
            <w:shd w:val="clear" w:color="auto" w:fill="auto"/>
            <w:noWrap/>
            <w:vAlign w:val="center"/>
            <w:hideMark/>
          </w:tcPr>
          <w:p w14:paraId="1A060CD3" w14:textId="77777777" w:rsidR="00BC78D9" w:rsidRPr="00BC78D9" w:rsidRDefault="00BC78D9" w:rsidP="00851C67">
            <w:pPr>
              <w:keepNext/>
              <w:keepLines/>
              <w:rPr>
                <w:sz w:val="16"/>
                <w:szCs w:val="16"/>
              </w:rPr>
            </w:pPr>
            <w:r w:rsidRPr="00BC78D9">
              <w:rPr>
                <w:sz w:val="16"/>
                <w:szCs w:val="16"/>
              </w:rPr>
              <w:t>II.6</w:t>
            </w:r>
          </w:p>
        </w:tc>
        <w:tc>
          <w:tcPr>
            <w:tcW w:w="4112" w:type="dxa"/>
            <w:tcBorders>
              <w:top w:val="nil"/>
              <w:left w:val="nil"/>
              <w:bottom w:val="nil"/>
              <w:right w:val="nil"/>
            </w:tcBorders>
            <w:shd w:val="clear" w:color="auto" w:fill="auto"/>
            <w:vAlign w:val="center"/>
            <w:hideMark/>
          </w:tcPr>
          <w:p w14:paraId="7526BEE9" w14:textId="77777777" w:rsidR="00BC78D9" w:rsidRPr="00BC78D9" w:rsidRDefault="00BC78D9" w:rsidP="00851C67">
            <w:pPr>
              <w:keepNext/>
              <w:keepLines/>
              <w:rPr>
                <w:sz w:val="16"/>
                <w:szCs w:val="16"/>
              </w:rPr>
            </w:pPr>
            <w:r w:rsidRPr="00BC78D9">
              <w:rPr>
                <w:sz w:val="16"/>
                <w:szCs w:val="16"/>
              </w:rPr>
              <w:t>Utilisation élargie et plus efficace des systèmes de Madrid et de Lisbonne, notamment par les pays en développement et les PMA</w:t>
            </w:r>
          </w:p>
        </w:tc>
        <w:tc>
          <w:tcPr>
            <w:tcW w:w="1771" w:type="dxa"/>
            <w:tcBorders>
              <w:top w:val="nil"/>
              <w:left w:val="nil"/>
              <w:bottom w:val="nil"/>
              <w:right w:val="nil"/>
            </w:tcBorders>
            <w:shd w:val="clear" w:color="auto" w:fill="auto"/>
            <w:noWrap/>
            <w:vAlign w:val="center"/>
            <w:hideMark/>
          </w:tcPr>
          <w:p w14:paraId="6A76DCB0" w14:textId="77777777" w:rsidR="00BC78D9" w:rsidRPr="00BC78D9" w:rsidRDefault="00BC78D9" w:rsidP="00851C67">
            <w:pPr>
              <w:keepNext/>
              <w:keepLines/>
              <w:jc w:val="center"/>
              <w:rPr>
                <w:sz w:val="16"/>
                <w:szCs w:val="16"/>
              </w:rPr>
            </w:pPr>
            <w:r w:rsidRPr="00BC78D9">
              <w:rPr>
                <w:sz w:val="16"/>
                <w:szCs w:val="16"/>
              </w:rPr>
              <w:t>789</w:t>
            </w:r>
          </w:p>
        </w:tc>
        <w:tc>
          <w:tcPr>
            <w:tcW w:w="1535" w:type="dxa"/>
            <w:tcBorders>
              <w:top w:val="nil"/>
              <w:left w:val="nil"/>
              <w:bottom w:val="nil"/>
              <w:right w:val="nil"/>
            </w:tcBorders>
            <w:shd w:val="clear" w:color="auto" w:fill="auto"/>
            <w:noWrap/>
            <w:vAlign w:val="center"/>
            <w:hideMark/>
          </w:tcPr>
          <w:p w14:paraId="6CFD4971" w14:textId="77777777" w:rsidR="00BC78D9" w:rsidRPr="00BC78D9" w:rsidRDefault="00BC78D9" w:rsidP="00851C67">
            <w:pPr>
              <w:keepNext/>
              <w:keepLines/>
              <w:jc w:val="center"/>
              <w:rPr>
                <w:sz w:val="16"/>
                <w:szCs w:val="16"/>
              </w:rPr>
            </w:pPr>
            <w:r w:rsidRPr="00BC78D9">
              <w:rPr>
                <w:sz w:val="16"/>
                <w:szCs w:val="16"/>
              </w:rPr>
              <w:t>526</w:t>
            </w:r>
          </w:p>
        </w:tc>
        <w:tc>
          <w:tcPr>
            <w:tcW w:w="1397" w:type="dxa"/>
            <w:tcBorders>
              <w:top w:val="nil"/>
              <w:left w:val="nil"/>
              <w:bottom w:val="nil"/>
              <w:right w:val="nil"/>
            </w:tcBorders>
            <w:shd w:val="clear" w:color="auto" w:fill="auto"/>
            <w:noWrap/>
            <w:vAlign w:val="center"/>
            <w:hideMark/>
          </w:tcPr>
          <w:p w14:paraId="4BF75768" w14:textId="77777777" w:rsidR="00BC78D9" w:rsidRPr="00BC78D9" w:rsidRDefault="00BC78D9" w:rsidP="00851C67">
            <w:pPr>
              <w:keepNext/>
              <w:keepLines/>
              <w:jc w:val="center"/>
              <w:rPr>
                <w:sz w:val="16"/>
                <w:szCs w:val="16"/>
              </w:rPr>
            </w:pPr>
            <w:r w:rsidRPr="00BC78D9">
              <w:rPr>
                <w:sz w:val="16"/>
                <w:szCs w:val="16"/>
              </w:rPr>
              <w:t>229</w:t>
            </w:r>
          </w:p>
        </w:tc>
      </w:tr>
      <w:tr w:rsidR="00BC78D9" w:rsidRPr="00BC78D9" w14:paraId="1C74E564" w14:textId="77777777" w:rsidTr="006A627E">
        <w:trPr>
          <w:trHeight w:val="1051"/>
          <w:jc w:val="center"/>
        </w:trPr>
        <w:tc>
          <w:tcPr>
            <w:tcW w:w="615" w:type="dxa"/>
            <w:tcBorders>
              <w:top w:val="nil"/>
              <w:left w:val="nil"/>
              <w:bottom w:val="nil"/>
              <w:right w:val="nil"/>
            </w:tcBorders>
            <w:shd w:val="clear" w:color="auto" w:fill="auto"/>
            <w:noWrap/>
            <w:vAlign w:val="center"/>
            <w:hideMark/>
          </w:tcPr>
          <w:p w14:paraId="559250BE" w14:textId="77777777" w:rsidR="00BC78D9" w:rsidRPr="00BC78D9" w:rsidRDefault="00BC78D9" w:rsidP="00851C67">
            <w:pPr>
              <w:keepNext/>
              <w:keepLines/>
              <w:rPr>
                <w:sz w:val="16"/>
                <w:szCs w:val="16"/>
              </w:rPr>
            </w:pPr>
            <w:r w:rsidRPr="00BC78D9">
              <w:rPr>
                <w:sz w:val="16"/>
                <w:szCs w:val="16"/>
              </w:rPr>
              <w:t>III.2</w:t>
            </w:r>
          </w:p>
        </w:tc>
        <w:tc>
          <w:tcPr>
            <w:tcW w:w="4112" w:type="dxa"/>
            <w:tcBorders>
              <w:top w:val="nil"/>
              <w:left w:val="nil"/>
              <w:bottom w:val="nil"/>
              <w:right w:val="nil"/>
            </w:tcBorders>
            <w:shd w:val="clear" w:color="auto" w:fill="auto"/>
            <w:vAlign w:val="center"/>
            <w:hideMark/>
          </w:tcPr>
          <w:p w14:paraId="69307EBC" w14:textId="77777777" w:rsidR="00BC78D9" w:rsidRPr="00BC78D9" w:rsidRDefault="00BC78D9" w:rsidP="00851C67">
            <w:pPr>
              <w:keepNext/>
              <w:keepLines/>
              <w:rPr>
                <w:sz w:val="16"/>
                <w:szCs w:val="16"/>
              </w:rPr>
            </w:pPr>
            <w:r w:rsidRPr="00BC78D9">
              <w:rPr>
                <w:sz w:val="16"/>
                <w:szCs w:val="16"/>
              </w:rPr>
              <w:t>Mise en valeur des ressources humaines pour répondre aux diverses exigences en matière d’utilisation efficace de la propriété intellectuelle au service du développement dans les pays en développement, les PMA et les pays en transition</w:t>
            </w:r>
          </w:p>
        </w:tc>
        <w:tc>
          <w:tcPr>
            <w:tcW w:w="1771" w:type="dxa"/>
            <w:tcBorders>
              <w:top w:val="nil"/>
              <w:left w:val="nil"/>
              <w:bottom w:val="nil"/>
              <w:right w:val="nil"/>
            </w:tcBorders>
            <w:shd w:val="clear" w:color="auto" w:fill="auto"/>
            <w:noWrap/>
            <w:vAlign w:val="center"/>
            <w:hideMark/>
          </w:tcPr>
          <w:p w14:paraId="047AD9DA" w14:textId="77777777" w:rsidR="00BC78D9" w:rsidRPr="00BC78D9" w:rsidRDefault="00BC78D9" w:rsidP="00851C67">
            <w:pPr>
              <w:keepNext/>
              <w:keepLines/>
              <w:jc w:val="center"/>
              <w:rPr>
                <w:sz w:val="16"/>
                <w:szCs w:val="16"/>
              </w:rPr>
            </w:pPr>
            <w:r w:rsidRPr="00BC78D9">
              <w:rPr>
                <w:sz w:val="16"/>
                <w:szCs w:val="16"/>
              </w:rPr>
              <w:t>858</w:t>
            </w:r>
          </w:p>
        </w:tc>
        <w:tc>
          <w:tcPr>
            <w:tcW w:w="1535" w:type="dxa"/>
            <w:tcBorders>
              <w:top w:val="nil"/>
              <w:left w:val="nil"/>
              <w:bottom w:val="nil"/>
              <w:right w:val="nil"/>
            </w:tcBorders>
            <w:shd w:val="clear" w:color="auto" w:fill="auto"/>
            <w:noWrap/>
            <w:vAlign w:val="center"/>
            <w:hideMark/>
          </w:tcPr>
          <w:p w14:paraId="780434B8" w14:textId="77777777" w:rsidR="00BC78D9" w:rsidRPr="00BC78D9" w:rsidRDefault="00BC78D9" w:rsidP="00851C67">
            <w:pPr>
              <w:keepNext/>
              <w:keepLines/>
              <w:jc w:val="center"/>
              <w:rPr>
                <w:sz w:val="16"/>
                <w:szCs w:val="16"/>
              </w:rPr>
            </w:pPr>
            <w:r w:rsidRPr="00BC78D9">
              <w:rPr>
                <w:sz w:val="16"/>
                <w:szCs w:val="16"/>
              </w:rPr>
              <w:t>1 516</w:t>
            </w:r>
          </w:p>
        </w:tc>
        <w:tc>
          <w:tcPr>
            <w:tcW w:w="1397" w:type="dxa"/>
            <w:tcBorders>
              <w:top w:val="nil"/>
              <w:left w:val="nil"/>
              <w:bottom w:val="nil"/>
              <w:right w:val="nil"/>
            </w:tcBorders>
            <w:shd w:val="clear" w:color="auto" w:fill="auto"/>
            <w:noWrap/>
            <w:vAlign w:val="center"/>
            <w:hideMark/>
          </w:tcPr>
          <w:p w14:paraId="54675D58" w14:textId="77777777" w:rsidR="00BC78D9" w:rsidRPr="00BC78D9" w:rsidRDefault="00BC78D9" w:rsidP="00851C67">
            <w:pPr>
              <w:keepNext/>
              <w:keepLines/>
              <w:jc w:val="center"/>
              <w:rPr>
                <w:sz w:val="16"/>
                <w:szCs w:val="16"/>
              </w:rPr>
            </w:pPr>
            <w:r w:rsidRPr="00BC78D9">
              <w:rPr>
                <w:sz w:val="16"/>
                <w:szCs w:val="16"/>
              </w:rPr>
              <w:t>582</w:t>
            </w:r>
          </w:p>
        </w:tc>
      </w:tr>
      <w:tr w:rsidR="00BC78D9" w:rsidRPr="00BC78D9" w14:paraId="1428F4EB" w14:textId="77777777" w:rsidTr="006A627E">
        <w:trPr>
          <w:trHeight w:val="429"/>
          <w:jc w:val="center"/>
        </w:trPr>
        <w:tc>
          <w:tcPr>
            <w:tcW w:w="615" w:type="dxa"/>
            <w:tcBorders>
              <w:top w:val="nil"/>
              <w:left w:val="nil"/>
              <w:bottom w:val="nil"/>
              <w:right w:val="nil"/>
            </w:tcBorders>
            <w:shd w:val="clear" w:color="auto" w:fill="auto"/>
            <w:noWrap/>
            <w:vAlign w:val="center"/>
            <w:hideMark/>
          </w:tcPr>
          <w:p w14:paraId="4B9100CC" w14:textId="77777777" w:rsidR="00BC78D9" w:rsidRPr="00BC78D9" w:rsidRDefault="00BC78D9" w:rsidP="00851C67">
            <w:pPr>
              <w:keepNext/>
              <w:keepLines/>
              <w:rPr>
                <w:sz w:val="16"/>
                <w:szCs w:val="16"/>
              </w:rPr>
            </w:pPr>
            <w:r w:rsidRPr="00BC78D9">
              <w:rPr>
                <w:sz w:val="16"/>
                <w:szCs w:val="16"/>
              </w:rPr>
              <w:t>IV.2</w:t>
            </w:r>
          </w:p>
        </w:tc>
        <w:tc>
          <w:tcPr>
            <w:tcW w:w="4112" w:type="dxa"/>
            <w:tcBorders>
              <w:top w:val="nil"/>
              <w:left w:val="nil"/>
              <w:bottom w:val="nil"/>
              <w:right w:val="nil"/>
            </w:tcBorders>
            <w:shd w:val="clear" w:color="auto" w:fill="auto"/>
            <w:vAlign w:val="center"/>
            <w:hideMark/>
          </w:tcPr>
          <w:p w14:paraId="14D8794A" w14:textId="77777777" w:rsidR="00BC78D9" w:rsidRPr="00BC78D9" w:rsidRDefault="00BC78D9" w:rsidP="00851C67">
            <w:pPr>
              <w:keepNext/>
              <w:keepLines/>
              <w:rPr>
                <w:sz w:val="16"/>
                <w:szCs w:val="16"/>
              </w:rPr>
            </w:pPr>
            <w:r w:rsidRPr="00BC78D9">
              <w:rPr>
                <w:sz w:val="16"/>
                <w:szCs w:val="16"/>
              </w:rPr>
              <w:t>Amélioration de l’accessibilité et de l’utilisation de l’information en matière de propriété intellectuelle par les institutions compétentes et le public afin de promouvoir l’innovation et la créativité</w:t>
            </w:r>
          </w:p>
        </w:tc>
        <w:tc>
          <w:tcPr>
            <w:tcW w:w="1771" w:type="dxa"/>
            <w:tcBorders>
              <w:top w:val="nil"/>
              <w:left w:val="nil"/>
              <w:bottom w:val="nil"/>
              <w:right w:val="nil"/>
            </w:tcBorders>
            <w:shd w:val="clear" w:color="auto" w:fill="auto"/>
            <w:noWrap/>
            <w:vAlign w:val="center"/>
            <w:hideMark/>
          </w:tcPr>
          <w:p w14:paraId="4FB1C3EE" w14:textId="77777777" w:rsidR="00BC78D9" w:rsidRPr="00BC78D9" w:rsidRDefault="00BC78D9" w:rsidP="00851C67">
            <w:pPr>
              <w:keepNext/>
              <w:keepLines/>
              <w:jc w:val="center"/>
              <w:rPr>
                <w:sz w:val="16"/>
                <w:szCs w:val="16"/>
              </w:rPr>
            </w:pPr>
            <w:r w:rsidRPr="00BC78D9">
              <w:rPr>
                <w:sz w:val="16"/>
                <w:szCs w:val="16"/>
              </w:rPr>
              <w:t>1 209</w:t>
            </w:r>
          </w:p>
        </w:tc>
        <w:tc>
          <w:tcPr>
            <w:tcW w:w="1535" w:type="dxa"/>
            <w:tcBorders>
              <w:top w:val="nil"/>
              <w:left w:val="nil"/>
              <w:bottom w:val="nil"/>
              <w:right w:val="nil"/>
            </w:tcBorders>
            <w:shd w:val="clear" w:color="auto" w:fill="auto"/>
            <w:noWrap/>
            <w:vAlign w:val="center"/>
            <w:hideMark/>
          </w:tcPr>
          <w:p w14:paraId="71B65634" w14:textId="77777777" w:rsidR="00BC78D9" w:rsidRPr="00BC78D9" w:rsidRDefault="00BC78D9" w:rsidP="00851C67">
            <w:pPr>
              <w:keepNext/>
              <w:keepLines/>
              <w:jc w:val="center"/>
              <w:rPr>
                <w:sz w:val="16"/>
                <w:szCs w:val="16"/>
              </w:rPr>
            </w:pPr>
            <w:r w:rsidRPr="00BC78D9">
              <w:rPr>
                <w:sz w:val="16"/>
                <w:szCs w:val="16"/>
              </w:rPr>
              <w:t>1 075</w:t>
            </w:r>
          </w:p>
        </w:tc>
        <w:tc>
          <w:tcPr>
            <w:tcW w:w="1397" w:type="dxa"/>
            <w:tcBorders>
              <w:top w:val="nil"/>
              <w:left w:val="nil"/>
              <w:bottom w:val="nil"/>
              <w:right w:val="nil"/>
            </w:tcBorders>
            <w:shd w:val="clear" w:color="auto" w:fill="auto"/>
            <w:noWrap/>
            <w:vAlign w:val="center"/>
            <w:hideMark/>
          </w:tcPr>
          <w:p w14:paraId="7B15F36F" w14:textId="77777777" w:rsidR="00BC78D9" w:rsidRPr="00BC78D9" w:rsidRDefault="00BC78D9" w:rsidP="00851C67">
            <w:pPr>
              <w:keepNext/>
              <w:keepLines/>
              <w:jc w:val="center"/>
              <w:rPr>
                <w:sz w:val="16"/>
                <w:szCs w:val="16"/>
              </w:rPr>
            </w:pPr>
            <w:r w:rsidRPr="00BC78D9">
              <w:rPr>
                <w:sz w:val="16"/>
                <w:szCs w:val="16"/>
              </w:rPr>
              <w:t>433</w:t>
            </w:r>
          </w:p>
        </w:tc>
      </w:tr>
      <w:tr w:rsidR="00BC78D9" w:rsidRPr="00BC78D9" w14:paraId="63DBDD3F" w14:textId="77777777" w:rsidTr="006A627E">
        <w:trPr>
          <w:trHeight w:val="1018"/>
          <w:jc w:val="center"/>
        </w:trPr>
        <w:tc>
          <w:tcPr>
            <w:tcW w:w="615" w:type="dxa"/>
            <w:tcBorders>
              <w:top w:val="nil"/>
              <w:left w:val="nil"/>
              <w:bottom w:val="nil"/>
              <w:right w:val="nil"/>
            </w:tcBorders>
            <w:shd w:val="clear" w:color="auto" w:fill="auto"/>
            <w:noWrap/>
            <w:vAlign w:val="center"/>
            <w:hideMark/>
          </w:tcPr>
          <w:p w14:paraId="02489E23" w14:textId="77777777" w:rsidR="00BC78D9" w:rsidRPr="00BC78D9" w:rsidRDefault="00BC78D9" w:rsidP="00851C67">
            <w:pPr>
              <w:keepNext/>
              <w:keepLines/>
              <w:rPr>
                <w:sz w:val="16"/>
                <w:szCs w:val="16"/>
              </w:rPr>
            </w:pPr>
            <w:r w:rsidRPr="00BC78D9">
              <w:rPr>
                <w:sz w:val="16"/>
                <w:szCs w:val="16"/>
              </w:rPr>
              <w:t>IV.4</w:t>
            </w:r>
          </w:p>
        </w:tc>
        <w:tc>
          <w:tcPr>
            <w:tcW w:w="4112" w:type="dxa"/>
            <w:tcBorders>
              <w:top w:val="nil"/>
              <w:left w:val="nil"/>
              <w:bottom w:val="nil"/>
              <w:right w:val="nil"/>
            </w:tcBorders>
            <w:shd w:val="clear" w:color="auto" w:fill="auto"/>
            <w:vAlign w:val="center"/>
            <w:hideMark/>
          </w:tcPr>
          <w:p w14:paraId="36E7521F" w14:textId="77777777" w:rsidR="00BC78D9" w:rsidRPr="00BC78D9" w:rsidRDefault="00BC78D9" w:rsidP="00851C67">
            <w:pPr>
              <w:keepNext/>
              <w:keepLines/>
              <w:rPr>
                <w:sz w:val="16"/>
                <w:szCs w:val="16"/>
              </w:rPr>
            </w:pPr>
            <w:r w:rsidRPr="00BC78D9">
              <w:rPr>
                <w:sz w:val="16"/>
                <w:szCs w:val="16"/>
              </w:rPr>
              <w:t>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1771" w:type="dxa"/>
            <w:tcBorders>
              <w:top w:val="nil"/>
              <w:left w:val="nil"/>
              <w:bottom w:val="nil"/>
              <w:right w:val="nil"/>
            </w:tcBorders>
            <w:shd w:val="clear" w:color="auto" w:fill="auto"/>
            <w:noWrap/>
            <w:vAlign w:val="center"/>
            <w:hideMark/>
          </w:tcPr>
          <w:p w14:paraId="63464BF3" w14:textId="77777777" w:rsidR="00BC78D9" w:rsidRPr="00BC78D9" w:rsidRDefault="00BC78D9" w:rsidP="00851C67">
            <w:pPr>
              <w:keepNext/>
              <w:keepLines/>
              <w:jc w:val="center"/>
              <w:rPr>
                <w:sz w:val="16"/>
                <w:szCs w:val="16"/>
              </w:rPr>
            </w:pPr>
            <w:r w:rsidRPr="00BC78D9">
              <w:rPr>
                <w:sz w:val="16"/>
                <w:szCs w:val="16"/>
              </w:rPr>
              <w:t>264</w:t>
            </w:r>
          </w:p>
        </w:tc>
        <w:tc>
          <w:tcPr>
            <w:tcW w:w="1535" w:type="dxa"/>
            <w:tcBorders>
              <w:top w:val="nil"/>
              <w:left w:val="nil"/>
              <w:bottom w:val="nil"/>
              <w:right w:val="nil"/>
            </w:tcBorders>
            <w:shd w:val="clear" w:color="auto" w:fill="auto"/>
            <w:noWrap/>
            <w:vAlign w:val="center"/>
            <w:hideMark/>
          </w:tcPr>
          <w:p w14:paraId="1ADC8E35" w14:textId="77777777" w:rsidR="00BC78D9" w:rsidRPr="00BC78D9" w:rsidRDefault="00BC78D9" w:rsidP="00851C67">
            <w:pPr>
              <w:keepNext/>
              <w:keepLines/>
              <w:jc w:val="center"/>
              <w:rPr>
                <w:sz w:val="16"/>
                <w:szCs w:val="16"/>
              </w:rPr>
            </w:pPr>
            <w:r w:rsidRPr="00BC78D9">
              <w:rPr>
                <w:sz w:val="16"/>
                <w:szCs w:val="16"/>
              </w:rPr>
              <w:t>43</w:t>
            </w:r>
          </w:p>
        </w:tc>
        <w:tc>
          <w:tcPr>
            <w:tcW w:w="1397" w:type="dxa"/>
            <w:tcBorders>
              <w:top w:val="nil"/>
              <w:left w:val="nil"/>
              <w:bottom w:val="nil"/>
              <w:right w:val="nil"/>
            </w:tcBorders>
            <w:shd w:val="clear" w:color="auto" w:fill="auto"/>
            <w:noWrap/>
            <w:vAlign w:val="center"/>
            <w:hideMark/>
          </w:tcPr>
          <w:p w14:paraId="1A48546F" w14:textId="77777777" w:rsidR="00BC78D9" w:rsidRPr="00BC78D9" w:rsidRDefault="00BC78D9" w:rsidP="00851C67">
            <w:pPr>
              <w:keepNext/>
              <w:keepLines/>
              <w:jc w:val="center"/>
              <w:rPr>
                <w:sz w:val="16"/>
                <w:szCs w:val="16"/>
              </w:rPr>
            </w:pPr>
            <w:r w:rsidRPr="00BC78D9">
              <w:rPr>
                <w:sz w:val="16"/>
                <w:szCs w:val="16"/>
              </w:rPr>
              <w:t>32</w:t>
            </w:r>
          </w:p>
        </w:tc>
      </w:tr>
      <w:tr w:rsidR="00BC78D9" w:rsidRPr="00BC78D9" w14:paraId="2E7D645F" w14:textId="77777777" w:rsidTr="006A627E">
        <w:trPr>
          <w:trHeight w:val="705"/>
          <w:jc w:val="center"/>
        </w:trPr>
        <w:tc>
          <w:tcPr>
            <w:tcW w:w="615" w:type="dxa"/>
            <w:tcBorders>
              <w:top w:val="nil"/>
              <w:left w:val="nil"/>
              <w:bottom w:val="nil"/>
              <w:right w:val="nil"/>
            </w:tcBorders>
            <w:shd w:val="clear" w:color="auto" w:fill="auto"/>
            <w:noWrap/>
            <w:vAlign w:val="center"/>
            <w:hideMark/>
          </w:tcPr>
          <w:p w14:paraId="04C39933" w14:textId="77777777" w:rsidR="00BC78D9" w:rsidRPr="00BC78D9" w:rsidRDefault="00BC78D9" w:rsidP="00851C67">
            <w:pPr>
              <w:keepNext/>
              <w:keepLines/>
              <w:rPr>
                <w:sz w:val="16"/>
                <w:szCs w:val="16"/>
              </w:rPr>
            </w:pPr>
            <w:r w:rsidRPr="00BC78D9">
              <w:rPr>
                <w:sz w:val="16"/>
                <w:szCs w:val="16"/>
              </w:rPr>
              <w:t>VII.2</w:t>
            </w:r>
          </w:p>
        </w:tc>
        <w:tc>
          <w:tcPr>
            <w:tcW w:w="4112" w:type="dxa"/>
            <w:tcBorders>
              <w:top w:val="nil"/>
              <w:left w:val="nil"/>
              <w:bottom w:val="nil"/>
              <w:right w:val="nil"/>
            </w:tcBorders>
            <w:shd w:val="clear" w:color="auto" w:fill="auto"/>
            <w:vAlign w:val="center"/>
            <w:hideMark/>
          </w:tcPr>
          <w:p w14:paraId="5ED8EECD" w14:textId="77777777" w:rsidR="00BC78D9" w:rsidRPr="00BC78D9" w:rsidRDefault="00BC78D9" w:rsidP="00851C67">
            <w:pPr>
              <w:keepNext/>
              <w:keepLines/>
              <w:rPr>
                <w:sz w:val="16"/>
                <w:szCs w:val="16"/>
              </w:rPr>
            </w:pPr>
            <w:r w:rsidRPr="00BC78D9">
              <w:rPr>
                <w:sz w:val="16"/>
                <w:szCs w:val="16"/>
              </w:rPr>
              <w:t>Plateformes et instruments fondés sur la propriété intellectuelle pour le transfert de connaissances et l’adaptation et la diffusion de la technologie entre les pays développés et les pays en développement, notamment les PMA, pour relever des défis mondiaux</w:t>
            </w:r>
          </w:p>
        </w:tc>
        <w:tc>
          <w:tcPr>
            <w:tcW w:w="1771" w:type="dxa"/>
            <w:tcBorders>
              <w:top w:val="nil"/>
              <w:left w:val="nil"/>
              <w:bottom w:val="nil"/>
              <w:right w:val="nil"/>
            </w:tcBorders>
            <w:shd w:val="clear" w:color="auto" w:fill="auto"/>
            <w:noWrap/>
            <w:vAlign w:val="center"/>
            <w:hideMark/>
          </w:tcPr>
          <w:p w14:paraId="434E0DEE" w14:textId="77777777" w:rsidR="00BC78D9" w:rsidRPr="00BC78D9" w:rsidRDefault="00BC78D9" w:rsidP="00851C67">
            <w:pPr>
              <w:keepNext/>
              <w:keepLines/>
              <w:jc w:val="center"/>
              <w:rPr>
                <w:sz w:val="16"/>
                <w:szCs w:val="16"/>
              </w:rPr>
            </w:pPr>
            <w:r w:rsidRPr="00BC78D9">
              <w:rPr>
                <w:sz w:val="16"/>
                <w:szCs w:val="16"/>
              </w:rPr>
              <w:t>452</w:t>
            </w:r>
          </w:p>
        </w:tc>
        <w:tc>
          <w:tcPr>
            <w:tcW w:w="1535" w:type="dxa"/>
            <w:tcBorders>
              <w:top w:val="nil"/>
              <w:left w:val="nil"/>
              <w:bottom w:val="nil"/>
              <w:right w:val="nil"/>
            </w:tcBorders>
            <w:shd w:val="clear" w:color="auto" w:fill="auto"/>
            <w:noWrap/>
            <w:vAlign w:val="center"/>
            <w:hideMark/>
          </w:tcPr>
          <w:p w14:paraId="24794D09" w14:textId="77777777" w:rsidR="00BC78D9" w:rsidRPr="00BC78D9" w:rsidRDefault="00BC78D9" w:rsidP="00851C67">
            <w:pPr>
              <w:keepNext/>
              <w:keepLines/>
              <w:jc w:val="center"/>
              <w:rPr>
                <w:sz w:val="16"/>
                <w:szCs w:val="16"/>
              </w:rPr>
            </w:pPr>
            <w:r w:rsidRPr="00BC78D9">
              <w:rPr>
                <w:sz w:val="16"/>
                <w:szCs w:val="16"/>
              </w:rPr>
              <w:t>456</w:t>
            </w:r>
          </w:p>
        </w:tc>
        <w:tc>
          <w:tcPr>
            <w:tcW w:w="1397" w:type="dxa"/>
            <w:tcBorders>
              <w:top w:val="nil"/>
              <w:left w:val="nil"/>
              <w:bottom w:val="nil"/>
              <w:right w:val="nil"/>
            </w:tcBorders>
            <w:shd w:val="clear" w:color="auto" w:fill="auto"/>
            <w:noWrap/>
            <w:vAlign w:val="center"/>
            <w:hideMark/>
          </w:tcPr>
          <w:p w14:paraId="5C8D297C" w14:textId="77777777" w:rsidR="00BC78D9" w:rsidRPr="00BC78D9" w:rsidRDefault="00BC78D9" w:rsidP="00851C67">
            <w:pPr>
              <w:keepNext/>
              <w:keepLines/>
              <w:jc w:val="center"/>
              <w:rPr>
                <w:sz w:val="16"/>
                <w:szCs w:val="16"/>
              </w:rPr>
            </w:pPr>
            <w:r w:rsidRPr="00BC78D9">
              <w:rPr>
                <w:sz w:val="16"/>
                <w:szCs w:val="16"/>
              </w:rPr>
              <w:t>207</w:t>
            </w:r>
          </w:p>
        </w:tc>
      </w:tr>
      <w:tr w:rsidR="00BC78D9" w:rsidRPr="00BC78D9" w14:paraId="48FCCB65" w14:textId="77777777" w:rsidTr="006A627E">
        <w:trPr>
          <w:trHeight w:val="532"/>
          <w:jc w:val="center"/>
        </w:trPr>
        <w:tc>
          <w:tcPr>
            <w:tcW w:w="615" w:type="dxa"/>
            <w:tcBorders>
              <w:top w:val="nil"/>
              <w:left w:val="nil"/>
              <w:bottom w:val="nil"/>
              <w:right w:val="nil"/>
            </w:tcBorders>
            <w:shd w:val="clear" w:color="auto" w:fill="auto"/>
            <w:noWrap/>
            <w:vAlign w:val="center"/>
            <w:hideMark/>
          </w:tcPr>
          <w:p w14:paraId="1B8060B0" w14:textId="77777777" w:rsidR="00BC78D9" w:rsidRPr="00BC78D9" w:rsidRDefault="00BC78D9" w:rsidP="00851C67">
            <w:pPr>
              <w:keepNext/>
              <w:keepLines/>
              <w:rPr>
                <w:sz w:val="16"/>
                <w:szCs w:val="16"/>
              </w:rPr>
            </w:pPr>
            <w:r w:rsidRPr="00BC78D9">
              <w:rPr>
                <w:sz w:val="16"/>
                <w:szCs w:val="16"/>
              </w:rPr>
              <w:t>VIII.1</w:t>
            </w:r>
          </w:p>
        </w:tc>
        <w:tc>
          <w:tcPr>
            <w:tcW w:w="4112" w:type="dxa"/>
            <w:tcBorders>
              <w:top w:val="nil"/>
              <w:left w:val="nil"/>
              <w:bottom w:val="nil"/>
              <w:right w:val="nil"/>
            </w:tcBorders>
            <w:shd w:val="clear" w:color="auto" w:fill="auto"/>
            <w:vAlign w:val="center"/>
            <w:hideMark/>
          </w:tcPr>
          <w:p w14:paraId="270A010D" w14:textId="77777777" w:rsidR="00BC78D9" w:rsidRPr="00BC78D9" w:rsidRDefault="00BC78D9" w:rsidP="00851C67">
            <w:pPr>
              <w:keepNext/>
              <w:keepLines/>
              <w:rPr>
                <w:sz w:val="16"/>
                <w:szCs w:val="16"/>
              </w:rPr>
            </w:pPr>
            <w:r w:rsidRPr="00BC78D9">
              <w:rPr>
                <w:sz w:val="16"/>
                <w:szCs w:val="16"/>
              </w:rPr>
              <w:t>Communication plus efficace avec le grand public concernant la propriété intellectuelle et le rôle de l’OMPI</w:t>
            </w:r>
          </w:p>
        </w:tc>
        <w:tc>
          <w:tcPr>
            <w:tcW w:w="1771" w:type="dxa"/>
            <w:tcBorders>
              <w:top w:val="nil"/>
              <w:left w:val="nil"/>
              <w:bottom w:val="nil"/>
              <w:right w:val="nil"/>
            </w:tcBorders>
            <w:shd w:val="clear" w:color="auto" w:fill="auto"/>
            <w:noWrap/>
            <w:vAlign w:val="center"/>
            <w:hideMark/>
          </w:tcPr>
          <w:p w14:paraId="45D723A4" w14:textId="77777777" w:rsidR="00BC78D9" w:rsidRPr="00BC78D9" w:rsidRDefault="00BC78D9" w:rsidP="00851C67">
            <w:pPr>
              <w:keepNext/>
              <w:keepLines/>
              <w:jc w:val="center"/>
              <w:rPr>
                <w:sz w:val="16"/>
                <w:szCs w:val="16"/>
              </w:rPr>
            </w:pPr>
            <w:r w:rsidRPr="00BC78D9">
              <w:rPr>
                <w:sz w:val="16"/>
                <w:szCs w:val="16"/>
              </w:rPr>
              <w:t>878</w:t>
            </w:r>
          </w:p>
        </w:tc>
        <w:tc>
          <w:tcPr>
            <w:tcW w:w="1535" w:type="dxa"/>
            <w:tcBorders>
              <w:top w:val="nil"/>
              <w:left w:val="nil"/>
              <w:bottom w:val="nil"/>
              <w:right w:val="nil"/>
            </w:tcBorders>
            <w:shd w:val="clear" w:color="auto" w:fill="auto"/>
            <w:noWrap/>
            <w:vAlign w:val="center"/>
            <w:hideMark/>
          </w:tcPr>
          <w:p w14:paraId="697F3533" w14:textId="77777777" w:rsidR="00BC78D9" w:rsidRPr="00BC78D9" w:rsidRDefault="00BC78D9" w:rsidP="00851C67">
            <w:pPr>
              <w:keepNext/>
              <w:keepLines/>
              <w:jc w:val="center"/>
              <w:rPr>
                <w:sz w:val="16"/>
                <w:szCs w:val="16"/>
              </w:rPr>
            </w:pPr>
            <w:r w:rsidRPr="00BC78D9">
              <w:rPr>
                <w:sz w:val="16"/>
                <w:szCs w:val="16"/>
              </w:rPr>
              <w:t>1 521</w:t>
            </w:r>
          </w:p>
        </w:tc>
        <w:tc>
          <w:tcPr>
            <w:tcW w:w="1397" w:type="dxa"/>
            <w:tcBorders>
              <w:top w:val="nil"/>
              <w:left w:val="nil"/>
              <w:bottom w:val="nil"/>
              <w:right w:val="nil"/>
            </w:tcBorders>
            <w:shd w:val="clear" w:color="auto" w:fill="auto"/>
            <w:noWrap/>
            <w:vAlign w:val="center"/>
            <w:hideMark/>
          </w:tcPr>
          <w:p w14:paraId="5028D193" w14:textId="77777777" w:rsidR="00BC78D9" w:rsidRPr="00BC78D9" w:rsidRDefault="00BC78D9" w:rsidP="00851C67">
            <w:pPr>
              <w:keepNext/>
              <w:keepLines/>
              <w:jc w:val="center"/>
              <w:rPr>
                <w:sz w:val="16"/>
                <w:szCs w:val="16"/>
              </w:rPr>
            </w:pPr>
            <w:r w:rsidRPr="00BC78D9">
              <w:rPr>
                <w:sz w:val="16"/>
                <w:szCs w:val="16"/>
              </w:rPr>
              <w:t>535</w:t>
            </w:r>
          </w:p>
        </w:tc>
      </w:tr>
      <w:tr w:rsidR="00BC78D9" w:rsidRPr="00BC78D9" w14:paraId="7F5EED99" w14:textId="77777777" w:rsidTr="006A627E">
        <w:trPr>
          <w:trHeight w:val="456"/>
          <w:jc w:val="center"/>
        </w:trPr>
        <w:tc>
          <w:tcPr>
            <w:tcW w:w="615" w:type="dxa"/>
            <w:tcBorders>
              <w:top w:val="nil"/>
              <w:left w:val="nil"/>
              <w:bottom w:val="nil"/>
              <w:right w:val="nil"/>
            </w:tcBorders>
            <w:shd w:val="clear" w:color="auto" w:fill="auto"/>
            <w:noWrap/>
            <w:vAlign w:val="center"/>
            <w:hideMark/>
          </w:tcPr>
          <w:p w14:paraId="2513B71D" w14:textId="77777777" w:rsidR="00BC78D9" w:rsidRPr="00BC78D9" w:rsidRDefault="00BC78D9" w:rsidP="00851C67">
            <w:pPr>
              <w:keepNext/>
              <w:keepLines/>
              <w:rPr>
                <w:sz w:val="16"/>
                <w:szCs w:val="16"/>
              </w:rPr>
            </w:pPr>
            <w:r w:rsidRPr="00BC78D9">
              <w:rPr>
                <w:sz w:val="16"/>
                <w:szCs w:val="16"/>
              </w:rPr>
              <w:t>VIII.2</w:t>
            </w:r>
          </w:p>
        </w:tc>
        <w:tc>
          <w:tcPr>
            <w:tcW w:w="4112" w:type="dxa"/>
            <w:tcBorders>
              <w:top w:val="nil"/>
              <w:left w:val="nil"/>
              <w:bottom w:val="nil"/>
              <w:right w:val="nil"/>
            </w:tcBorders>
            <w:shd w:val="clear" w:color="auto" w:fill="auto"/>
            <w:vAlign w:val="center"/>
            <w:hideMark/>
          </w:tcPr>
          <w:p w14:paraId="006489B6" w14:textId="77777777" w:rsidR="00BC78D9" w:rsidRPr="00BC78D9" w:rsidRDefault="00BC78D9" w:rsidP="00851C67">
            <w:pPr>
              <w:keepNext/>
              <w:keepLines/>
              <w:rPr>
                <w:sz w:val="16"/>
                <w:szCs w:val="16"/>
              </w:rPr>
            </w:pPr>
            <w:r w:rsidRPr="00BC78D9">
              <w:rPr>
                <w:sz w:val="16"/>
                <w:szCs w:val="16"/>
              </w:rPr>
              <w:t>Amélioration de l’orientation vers les services et de la réactivité à la demande</w:t>
            </w:r>
          </w:p>
        </w:tc>
        <w:tc>
          <w:tcPr>
            <w:tcW w:w="1771" w:type="dxa"/>
            <w:tcBorders>
              <w:top w:val="nil"/>
              <w:left w:val="nil"/>
              <w:bottom w:val="nil"/>
              <w:right w:val="nil"/>
            </w:tcBorders>
            <w:shd w:val="clear" w:color="auto" w:fill="auto"/>
            <w:noWrap/>
            <w:vAlign w:val="center"/>
            <w:hideMark/>
          </w:tcPr>
          <w:p w14:paraId="2C03CB1C" w14:textId="77777777" w:rsidR="00BC78D9" w:rsidRPr="00BC78D9" w:rsidRDefault="00BC78D9" w:rsidP="00851C67">
            <w:pPr>
              <w:keepNext/>
              <w:keepLines/>
              <w:jc w:val="center"/>
              <w:rPr>
                <w:sz w:val="16"/>
                <w:szCs w:val="16"/>
              </w:rPr>
            </w:pPr>
            <w:r w:rsidRPr="00BC78D9">
              <w:rPr>
                <w:sz w:val="16"/>
                <w:szCs w:val="16"/>
              </w:rPr>
              <w:t>544</w:t>
            </w:r>
          </w:p>
        </w:tc>
        <w:tc>
          <w:tcPr>
            <w:tcW w:w="1535" w:type="dxa"/>
            <w:tcBorders>
              <w:top w:val="nil"/>
              <w:left w:val="nil"/>
              <w:bottom w:val="nil"/>
              <w:right w:val="nil"/>
            </w:tcBorders>
            <w:shd w:val="clear" w:color="auto" w:fill="auto"/>
            <w:noWrap/>
            <w:vAlign w:val="center"/>
            <w:hideMark/>
          </w:tcPr>
          <w:p w14:paraId="2893A94C" w14:textId="77777777" w:rsidR="00BC78D9" w:rsidRPr="00BC78D9" w:rsidRDefault="00BC78D9" w:rsidP="00851C67">
            <w:pPr>
              <w:keepNext/>
              <w:keepLines/>
              <w:jc w:val="center"/>
              <w:rPr>
                <w:sz w:val="16"/>
                <w:szCs w:val="16"/>
              </w:rPr>
            </w:pPr>
            <w:r w:rsidRPr="00BC78D9">
              <w:rPr>
                <w:sz w:val="16"/>
                <w:szCs w:val="16"/>
              </w:rPr>
              <w:t>486</w:t>
            </w:r>
          </w:p>
        </w:tc>
        <w:tc>
          <w:tcPr>
            <w:tcW w:w="1397" w:type="dxa"/>
            <w:tcBorders>
              <w:top w:val="nil"/>
              <w:left w:val="nil"/>
              <w:bottom w:val="nil"/>
              <w:right w:val="nil"/>
            </w:tcBorders>
            <w:shd w:val="clear" w:color="auto" w:fill="auto"/>
            <w:noWrap/>
            <w:vAlign w:val="center"/>
            <w:hideMark/>
          </w:tcPr>
          <w:p w14:paraId="43D28C58" w14:textId="77777777" w:rsidR="00BC78D9" w:rsidRPr="00BC78D9" w:rsidRDefault="00BC78D9" w:rsidP="00851C67">
            <w:pPr>
              <w:keepNext/>
              <w:keepLines/>
              <w:jc w:val="center"/>
              <w:rPr>
                <w:sz w:val="16"/>
                <w:szCs w:val="16"/>
              </w:rPr>
            </w:pPr>
            <w:r w:rsidRPr="00BC78D9">
              <w:rPr>
                <w:sz w:val="16"/>
                <w:szCs w:val="16"/>
              </w:rPr>
              <w:t>190</w:t>
            </w:r>
          </w:p>
        </w:tc>
      </w:tr>
      <w:tr w:rsidR="00BC78D9" w:rsidRPr="00BC78D9" w14:paraId="205C7835" w14:textId="77777777" w:rsidTr="006A627E">
        <w:trPr>
          <w:trHeight w:val="532"/>
          <w:jc w:val="center"/>
        </w:trPr>
        <w:tc>
          <w:tcPr>
            <w:tcW w:w="615" w:type="dxa"/>
            <w:tcBorders>
              <w:top w:val="nil"/>
              <w:left w:val="nil"/>
              <w:bottom w:val="nil"/>
              <w:right w:val="nil"/>
            </w:tcBorders>
            <w:shd w:val="clear" w:color="auto" w:fill="auto"/>
            <w:noWrap/>
            <w:vAlign w:val="center"/>
            <w:hideMark/>
          </w:tcPr>
          <w:p w14:paraId="77CDFA6B" w14:textId="77777777" w:rsidR="00BC78D9" w:rsidRPr="00BC78D9" w:rsidRDefault="00BC78D9" w:rsidP="00851C67">
            <w:pPr>
              <w:keepNext/>
              <w:keepLines/>
              <w:rPr>
                <w:sz w:val="16"/>
                <w:szCs w:val="16"/>
              </w:rPr>
            </w:pPr>
            <w:r w:rsidRPr="00BC78D9">
              <w:rPr>
                <w:sz w:val="16"/>
                <w:szCs w:val="16"/>
              </w:rPr>
              <w:t>VIII.4</w:t>
            </w:r>
          </w:p>
        </w:tc>
        <w:tc>
          <w:tcPr>
            <w:tcW w:w="4112" w:type="dxa"/>
            <w:tcBorders>
              <w:top w:val="nil"/>
              <w:left w:val="nil"/>
              <w:bottom w:val="nil"/>
              <w:right w:val="nil"/>
            </w:tcBorders>
            <w:shd w:val="clear" w:color="auto" w:fill="auto"/>
            <w:vAlign w:val="center"/>
            <w:hideMark/>
          </w:tcPr>
          <w:p w14:paraId="340CD42E" w14:textId="77777777" w:rsidR="00BC78D9" w:rsidRPr="00BC78D9" w:rsidRDefault="00BC78D9" w:rsidP="00851C67">
            <w:pPr>
              <w:keepNext/>
              <w:keepLines/>
              <w:rPr>
                <w:sz w:val="16"/>
                <w:szCs w:val="16"/>
              </w:rPr>
            </w:pPr>
            <w:r w:rsidRPr="00BC78D9">
              <w:rPr>
                <w:sz w:val="16"/>
                <w:szCs w:val="16"/>
              </w:rPr>
              <w:t>Échanges ouverts, transparents et dynamiques avec les parties prenantes non gouvernementales</w:t>
            </w:r>
          </w:p>
        </w:tc>
        <w:tc>
          <w:tcPr>
            <w:tcW w:w="1771" w:type="dxa"/>
            <w:tcBorders>
              <w:top w:val="nil"/>
              <w:left w:val="nil"/>
              <w:bottom w:val="nil"/>
              <w:right w:val="nil"/>
            </w:tcBorders>
            <w:shd w:val="clear" w:color="auto" w:fill="auto"/>
            <w:noWrap/>
            <w:vAlign w:val="center"/>
            <w:hideMark/>
          </w:tcPr>
          <w:p w14:paraId="6B34C58B" w14:textId="77777777" w:rsidR="00BC78D9" w:rsidRPr="00BC78D9" w:rsidRDefault="00BC78D9" w:rsidP="00851C67">
            <w:pPr>
              <w:keepNext/>
              <w:keepLines/>
              <w:jc w:val="center"/>
              <w:rPr>
                <w:sz w:val="16"/>
                <w:szCs w:val="16"/>
              </w:rPr>
            </w:pPr>
            <w:r w:rsidRPr="00BC78D9">
              <w:rPr>
                <w:sz w:val="16"/>
                <w:szCs w:val="16"/>
              </w:rPr>
              <w:t>666</w:t>
            </w:r>
          </w:p>
        </w:tc>
        <w:tc>
          <w:tcPr>
            <w:tcW w:w="1535" w:type="dxa"/>
            <w:tcBorders>
              <w:top w:val="nil"/>
              <w:left w:val="nil"/>
              <w:bottom w:val="nil"/>
              <w:right w:val="nil"/>
            </w:tcBorders>
            <w:shd w:val="clear" w:color="auto" w:fill="auto"/>
            <w:noWrap/>
            <w:vAlign w:val="center"/>
            <w:hideMark/>
          </w:tcPr>
          <w:p w14:paraId="628B67B8" w14:textId="77777777" w:rsidR="00BC78D9" w:rsidRPr="00BC78D9" w:rsidRDefault="00BC78D9" w:rsidP="00851C67">
            <w:pPr>
              <w:keepNext/>
              <w:keepLines/>
              <w:jc w:val="center"/>
              <w:rPr>
                <w:sz w:val="16"/>
                <w:szCs w:val="16"/>
              </w:rPr>
            </w:pPr>
            <w:r w:rsidRPr="00BC78D9">
              <w:rPr>
                <w:sz w:val="16"/>
                <w:szCs w:val="16"/>
              </w:rPr>
              <w:t>207</w:t>
            </w:r>
          </w:p>
        </w:tc>
        <w:tc>
          <w:tcPr>
            <w:tcW w:w="1397" w:type="dxa"/>
            <w:tcBorders>
              <w:top w:val="nil"/>
              <w:left w:val="nil"/>
              <w:bottom w:val="nil"/>
              <w:right w:val="nil"/>
            </w:tcBorders>
            <w:shd w:val="clear" w:color="auto" w:fill="auto"/>
            <w:noWrap/>
            <w:vAlign w:val="center"/>
            <w:hideMark/>
          </w:tcPr>
          <w:p w14:paraId="1916F25C" w14:textId="77777777" w:rsidR="00BC78D9" w:rsidRPr="00BC78D9" w:rsidRDefault="00BC78D9" w:rsidP="00851C67">
            <w:pPr>
              <w:keepNext/>
              <w:keepLines/>
              <w:jc w:val="center"/>
              <w:rPr>
                <w:sz w:val="16"/>
                <w:szCs w:val="16"/>
              </w:rPr>
            </w:pPr>
            <w:r w:rsidRPr="00BC78D9">
              <w:rPr>
                <w:sz w:val="16"/>
                <w:szCs w:val="16"/>
              </w:rPr>
              <w:t>87</w:t>
            </w:r>
          </w:p>
        </w:tc>
      </w:tr>
      <w:tr w:rsidR="00BC78D9" w:rsidRPr="00BC78D9" w14:paraId="35AB5863" w14:textId="77777777" w:rsidTr="006A627E">
        <w:trPr>
          <w:trHeight w:val="426"/>
          <w:jc w:val="center"/>
        </w:trPr>
        <w:tc>
          <w:tcPr>
            <w:tcW w:w="615" w:type="dxa"/>
            <w:tcBorders>
              <w:top w:val="nil"/>
              <w:left w:val="nil"/>
              <w:bottom w:val="nil"/>
              <w:right w:val="nil"/>
            </w:tcBorders>
            <w:shd w:val="clear" w:color="auto" w:fill="auto"/>
            <w:noWrap/>
            <w:vAlign w:val="center"/>
            <w:hideMark/>
          </w:tcPr>
          <w:p w14:paraId="167C595B" w14:textId="77777777" w:rsidR="00BC78D9" w:rsidRPr="00BC78D9" w:rsidRDefault="00BC78D9" w:rsidP="00851C67">
            <w:pPr>
              <w:keepNext/>
              <w:keepLines/>
              <w:rPr>
                <w:sz w:val="16"/>
                <w:szCs w:val="16"/>
              </w:rPr>
            </w:pPr>
            <w:r w:rsidRPr="00BC78D9">
              <w:rPr>
                <w:sz w:val="16"/>
                <w:szCs w:val="16"/>
              </w:rPr>
              <w:t>VIII.5</w:t>
            </w:r>
          </w:p>
        </w:tc>
        <w:tc>
          <w:tcPr>
            <w:tcW w:w="4112" w:type="dxa"/>
            <w:tcBorders>
              <w:top w:val="nil"/>
              <w:left w:val="nil"/>
              <w:bottom w:val="nil"/>
              <w:right w:val="nil"/>
            </w:tcBorders>
            <w:shd w:val="clear" w:color="auto" w:fill="auto"/>
            <w:vAlign w:val="center"/>
            <w:hideMark/>
          </w:tcPr>
          <w:p w14:paraId="3B7CB234" w14:textId="77777777" w:rsidR="00BC78D9" w:rsidRPr="00BC78D9" w:rsidRDefault="00BC78D9" w:rsidP="00851C67">
            <w:pPr>
              <w:keepNext/>
              <w:keepLines/>
              <w:rPr>
                <w:sz w:val="16"/>
                <w:szCs w:val="16"/>
              </w:rPr>
            </w:pPr>
            <w:r w:rsidRPr="00BC78D9">
              <w:rPr>
                <w:sz w:val="16"/>
                <w:szCs w:val="16"/>
              </w:rPr>
              <w:t>L’OMPI collabore efficacement avec d’autres processus et instances de négociation de l’ONU et d’autres organisations intergouvernementales</w:t>
            </w:r>
          </w:p>
        </w:tc>
        <w:tc>
          <w:tcPr>
            <w:tcW w:w="1771" w:type="dxa"/>
            <w:tcBorders>
              <w:top w:val="nil"/>
              <w:left w:val="nil"/>
              <w:bottom w:val="nil"/>
              <w:right w:val="nil"/>
            </w:tcBorders>
            <w:shd w:val="clear" w:color="auto" w:fill="auto"/>
            <w:noWrap/>
            <w:vAlign w:val="center"/>
            <w:hideMark/>
          </w:tcPr>
          <w:p w14:paraId="39CD4CEF" w14:textId="77777777" w:rsidR="00BC78D9" w:rsidRPr="00BC78D9" w:rsidRDefault="00BC78D9" w:rsidP="00851C67">
            <w:pPr>
              <w:keepNext/>
              <w:keepLines/>
              <w:jc w:val="center"/>
              <w:rPr>
                <w:sz w:val="16"/>
                <w:szCs w:val="16"/>
              </w:rPr>
            </w:pPr>
            <w:r w:rsidRPr="00BC78D9">
              <w:rPr>
                <w:sz w:val="16"/>
                <w:szCs w:val="16"/>
              </w:rPr>
              <w:t>4 152</w:t>
            </w:r>
          </w:p>
        </w:tc>
        <w:tc>
          <w:tcPr>
            <w:tcW w:w="1535" w:type="dxa"/>
            <w:tcBorders>
              <w:top w:val="nil"/>
              <w:left w:val="nil"/>
              <w:bottom w:val="nil"/>
              <w:right w:val="nil"/>
            </w:tcBorders>
            <w:shd w:val="clear" w:color="auto" w:fill="auto"/>
            <w:noWrap/>
            <w:vAlign w:val="center"/>
            <w:hideMark/>
          </w:tcPr>
          <w:p w14:paraId="140D30B6" w14:textId="77777777" w:rsidR="00BC78D9" w:rsidRPr="00BC78D9" w:rsidRDefault="00BC78D9" w:rsidP="00851C67">
            <w:pPr>
              <w:keepNext/>
              <w:keepLines/>
              <w:jc w:val="center"/>
              <w:rPr>
                <w:sz w:val="16"/>
                <w:szCs w:val="16"/>
              </w:rPr>
            </w:pPr>
            <w:r w:rsidRPr="00BC78D9">
              <w:rPr>
                <w:sz w:val="16"/>
                <w:szCs w:val="16"/>
              </w:rPr>
              <w:t>4 098</w:t>
            </w:r>
          </w:p>
        </w:tc>
        <w:tc>
          <w:tcPr>
            <w:tcW w:w="1397" w:type="dxa"/>
            <w:tcBorders>
              <w:top w:val="nil"/>
              <w:left w:val="nil"/>
              <w:bottom w:val="nil"/>
              <w:right w:val="nil"/>
            </w:tcBorders>
            <w:shd w:val="clear" w:color="auto" w:fill="auto"/>
            <w:noWrap/>
            <w:vAlign w:val="center"/>
            <w:hideMark/>
          </w:tcPr>
          <w:p w14:paraId="59127F52" w14:textId="77777777" w:rsidR="00BC78D9" w:rsidRPr="00BC78D9" w:rsidRDefault="00BC78D9" w:rsidP="00851C67">
            <w:pPr>
              <w:keepNext/>
              <w:keepLines/>
              <w:jc w:val="center"/>
              <w:rPr>
                <w:sz w:val="16"/>
                <w:szCs w:val="16"/>
              </w:rPr>
            </w:pPr>
            <w:r w:rsidRPr="00BC78D9">
              <w:rPr>
                <w:sz w:val="16"/>
                <w:szCs w:val="16"/>
              </w:rPr>
              <w:t>1 862</w:t>
            </w:r>
          </w:p>
        </w:tc>
      </w:tr>
      <w:tr w:rsidR="00BC78D9" w:rsidRPr="00BC78D9" w14:paraId="02CAB995" w14:textId="77777777" w:rsidTr="006A627E">
        <w:trPr>
          <w:trHeight w:val="716"/>
          <w:jc w:val="center"/>
        </w:trPr>
        <w:tc>
          <w:tcPr>
            <w:tcW w:w="615" w:type="dxa"/>
            <w:tcBorders>
              <w:top w:val="nil"/>
              <w:left w:val="nil"/>
              <w:bottom w:val="nil"/>
              <w:right w:val="nil"/>
            </w:tcBorders>
            <w:shd w:val="clear" w:color="auto" w:fill="auto"/>
            <w:noWrap/>
            <w:vAlign w:val="center"/>
            <w:hideMark/>
          </w:tcPr>
          <w:p w14:paraId="096AA183" w14:textId="77777777" w:rsidR="00BC78D9" w:rsidRPr="00BC78D9" w:rsidRDefault="00BC78D9" w:rsidP="00851C67">
            <w:pPr>
              <w:keepNext/>
              <w:keepLines/>
              <w:rPr>
                <w:sz w:val="16"/>
                <w:szCs w:val="16"/>
              </w:rPr>
            </w:pPr>
            <w:r w:rsidRPr="00BC78D9">
              <w:rPr>
                <w:sz w:val="16"/>
                <w:szCs w:val="16"/>
              </w:rPr>
              <w:t>IX.1</w:t>
            </w:r>
          </w:p>
        </w:tc>
        <w:tc>
          <w:tcPr>
            <w:tcW w:w="4112" w:type="dxa"/>
            <w:tcBorders>
              <w:top w:val="nil"/>
              <w:left w:val="nil"/>
              <w:bottom w:val="nil"/>
              <w:right w:val="nil"/>
            </w:tcBorders>
            <w:shd w:val="clear" w:color="auto" w:fill="auto"/>
            <w:vAlign w:val="center"/>
            <w:hideMark/>
          </w:tcPr>
          <w:p w14:paraId="5AC2E65F" w14:textId="77777777" w:rsidR="00BC78D9" w:rsidRPr="00BC78D9" w:rsidRDefault="00BC78D9" w:rsidP="00851C67">
            <w:pPr>
              <w:keepNext/>
              <w:keepLines/>
              <w:rPr>
                <w:sz w:val="16"/>
                <w:szCs w:val="16"/>
              </w:rPr>
            </w:pPr>
            <w:r w:rsidRPr="00BC78D9">
              <w:rPr>
                <w:sz w:val="16"/>
                <w:szCs w:val="16"/>
              </w:rPr>
              <w:t>Services d’appui efficaces, efficients, de qualité et tournés vers la clientèle, à l’intention à la fois des clients internes et des parties prenantes externes</w:t>
            </w:r>
          </w:p>
        </w:tc>
        <w:tc>
          <w:tcPr>
            <w:tcW w:w="1771" w:type="dxa"/>
            <w:tcBorders>
              <w:top w:val="nil"/>
              <w:left w:val="nil"/>
              <w:bottom w:val="nil"/>
              <w:right w:val="nil"/>
            </w:tcBorders>
            <w:shd w:val="clear" w:color="auto" w:fill="auto"/>
            <w:noWrap/>
            <w:vAlign w:val="center"/>
            <w:hideMark/>
          </w:tcPr>
          <w:p w14:paraId="020CA4CE" w14:textId="77777777" w:rsidR="00BC78D9" w:rsidRPr="00BC78D9" w:rsidRDefault="00BC78D9" w:rsidP="00851C67">
            <w:pPr>
              <w:keepNext/>
              <w:keepLines/>
              <w:jc w:val="center"/>
              <w:rPr>
                <w:sz w:val="16"/>
                <w:szCs w:val="16"/>
              </w:rPr>
            </w:pPr>
            <w:r w:rsidRPr="00BC78D9">
              <w:rPr>
                <w:sz w:val="16"/>
                <w:szCs w:val="16"/>
              </w:rPr>
              <w:t>311</w:t>
            </w:r>
          </w:p>
        </w:tc>
        <w:tc>
          <w:tcPr>
            <w:tcW w:w="1535" w:type="dxa"/>
            <w:tcBorders>
              <w:top w:val="nil"/>
              <w:left w:val="nil"/>
              <w:bottom w:val="nil"/>
              <w:right w:val="nil"/>
            </w:tcBorders>
            <w:shd w:val="clear" w:color="auto" w:fill="auto"/>
            <w:noWrap/>
            <w:vAlign w:val="center"/>
            <w:hideMark/>
          </w:tcPr>
          <w:p w14:paraId="3A1B2198" w14:textId="77777777" w:rsidR="00BC78D9" w:rsidRPr="00BC78D9" w:rsidRDefault="00BC78D9" w:rsidP="00851C67">
            <w:pPr>
              <w:keepNext/>
              <w:keepLines/>
              <w:jc w:val="center"/>
              <w:rPr>
                <w:sz w:val="16"/>
                <w:szCs w:val="16"/>
              </w:rPr>
            </w:pPr>
            <w:r w:rsidRPr="00BC78D9">
              <w:rPr>
                <w:sz w:val="16"/>
                <w:szCs w:val="16"/>
              </w:rPr>
              <w:t>132</w:t>
            </w:r>
          </w:p>
        </w:tc>
        <w:tc>
          <w:tcPr>
            <w:tcW w:w="1397" w:type="dxa"/>
            <w:tcBorders>
              <w:top w:val="nil"/>
              <w:left w:val="nil"/>
              <w:bottom w:val="nil"/>
              <w:right w:val="nil"/>
            </w:tcBorders>
            <w:shd w:val="clear" w:color="auto" w:fill="auto"/>
            <w:noWrap/>
            <w:vAlign w:val="center"/>
            <w:hideMark/>
          </w:tcPr>
          <w:p w14:paraId="3DE484E2" w14:textId="77777777" w:rsidR="00BC78D9" w:rsidRPr="00BC78D9" w:rsidRDefault="00BC78D9" w:rsidP="00851C67">
            <w:pPr>
              <w:keepNext/>
              <w:keepLines/>
              <w:jc w:val="center"/>
              <w:rPr>
                <w:sz w:val="16"/>
                <w:szCs w:val="16"/>
              </w:rPr>
            </w:pPr>
            <w:r w:rsidRPr="00BC78D9">
              <w:rPr>
                <w:sz w:val="16"/>
                <w:szCs w:val="16"/>
              </w:rPr>
              <w:t>38</w:t>
            </w:r>
          </w:p>
        </w:tc>
      </w:tr>
      <w:tr w:rsidR="00BC78D9" w:rsidRPr="00BC78D9" w14:paraId="72CB6D23" w14:textId="77777777" w:rsidTr="006A627E">
        <w:trPr>
          <w:trHeight w:val="225"/>
          <w:jc w:val="center"/>
        </w:trPr>
        <w:tc>
          <w:tcPr>
            <w:tcW w:w="615" w:type="dxa"/>
            <w:tcBorders>
              <w:top w:val="nil"/>
              <w:left w:val="nil"/>
              <w:bottom w:val="nil"/>
              <w:right w:val="nil"/>
            </w:tcBorders>
            <w:shd w:val="clear" w:color="000000" w:fill="C5D9F1"/>
            <w:noWrap/>
            <w:vAlign w:val="bottom"/>
            <w:hideMark/>
          </w:tcPr>
          <w:p w14:paraId="363E36B0" w14:textId="77777777" w:rsidR="00BC78D9" w:rsidRPr="00BC78D9" w:rsidRDefault="00BC78D9" w:rsidP="00851C67">
            <w:pPr>
              <w:keepNext/>
              <w:keepLines/>
              <w:rPr>
                <w:sz w:val="16"/>
                <w:szCs w:val="16"/>
              </w:rPr>
            </w:pPr>
          </w:p>
        </w:tc>
        <w:tc>
          <w:tcPr>
            <w:tcW w:w="4112" w:type="dxa"/>
            <w:tcBorders>
              <w:top w:val="nil"/>
              <w:left w:val="nil"/>
              <w:bottom w:val="nil"/>
              <w:right w:val="nil"/>
            </w:tcBorders>
            <w:shd w:val="clear" w:color="000000" w:fill="C5D9F1"/>
            <w:noWrap/>
            <w:vAlign w:val="bottom"/>
            <w:hideMark/>
          </w:tcPr>
          <w:p w14:paraId="0BC4C234" w14:textId="77777777" w:rsidR="00BC78D9" w:rsidRPr="00BC78D9" w:rsidRDefault="00BC78D9" w:rsidP="00851C67">
            <w:pPr>
              <w:keepNext/>
              <w:keepLines/>
              <w:jc w:val="right"/>
              <w:rPr>
                <w:b/>
                <w:bCs/>
                <w:sz w:val="16"/>
                <w:szCs w:val="16"/>
              </w:rPr>
            </w:pPr>
            <w:r w:rsidRPr="00BC78D9">
              <w:rPr>
                <w:b/>
                <w:bCs/>
                <w:sz w:val="16"/>
                <w:szCs w:val="16"/>
              </w:rPr>
              <w:t>Total</w:t>
            </w:r>
          </w:p>
        </w:tc>
        <w:tc>
          <w:tcPr>
            <w:tcW w:w="1771" w:type="dxa"/>
            <w:tcBorders>
              <w:top w:val="nil"/>
              <w:left w:val="nil"/>
              <w:bottom w:val="nil"/>
              <w:right w:val="nil"/>
            </w:tcBorders>
            <w:shd w:val="clear" w:color="000000" w:fill="C5D9F1"/>
            <w:noWrap/>
            <w:vAlign w:val="center"/>
            <w:hideMark/>
          </w:tcPr>
          <w:p w14:paraId="165AFB37" w14:textId="77777777" w:rsidR="00BC78D9" w:rsidRPr="00BC78D9" w:rsidRDefault="00BC78D9" w:rsidP="00851C67">
            <w:pPr>
              <w:keepNext/>
              <w:keepLines/>
              <w:jc w:val="center"/>
              <w:rPr>
                <w:sz w:val="16"/>
                <w:szCs w:val="16"/>
              </w:rPr>
            </w:pPr>
            <w:r w:rsidRPr="00BC78D9">
              <w:rPr>
                <w:sz w:val="16"/>
                <w:szCs w:val="16"/>
              </w:rPr>
              <w:t>12 395</w:t>
            </w:r>
          </w:p>
        </w:tc>
        <w:tc>
          <w:tcPr>
            <w:tcW w:w="1535" w:type="dxa"/>
            <w:tcBorders>
              <w:top w:val="nil"/>
              <w:left w:val="nil"/>
              <w:bottom w:val="nil"/>
              <w:right w:val="nil"/>
            </w:tcBorders>
            <w:shd w:val="clear" w:color="000000" w:fill="C5D9F1"/>
            <w:noWrap/>
            <w:vAlign w:val="center"/>
            <w:hideMark/>
          </w:tcPr>
          <w:p w14:paraId="3B643AE8" w14:textId="77777777" w:rsidR="00BC78D9" w:rsidRPr="00BC78D9" w:rsidRDefault="00BC78D9" w:rsidP="00851C67">
            <w:pPr>
              <w:keepNext/>
              <w:keepLines/>
              <w:jc w:val="center"/>
              <w:rPr>
                <w:sz w:val="16"/>
                <w:szCs w:val="16"/>
              </w:rPr>
            </w:pPr>
            <w:r w:rsidRPr="00BC78D9">
              <w:rPr>
                <w:sz w:val="16"/>
                <w:szCs w:val="16"/>
              </w:rPr>
              <w:t>12 178</w:t>
            </w:r>
          </w:p>
        </w:tc>
        <w:tc>
          <w:tcPr>
            <w:tcW w:w="1397" w:type="dxa"/>
            <w:tcBorders>
              <w:top w:val="nil"/>
              <w:left w:val="nil"/>
              <w:bottom w:val="nil"/>
              <w:right w:val="nil"/>
            </w:tcBorders>
            <w:shd w:val="clear" w:color="000000" w:fill="C5D9F1"/>
            <w:noWrap/>
            <w:vAlign w:val="center"/>
            <w:hideMark/>
          </w:tcPr>
          <w:p w14:paraId="0F34AC87" w14:textId="77777777" w:rsidR="00BC78D9" w:rsidRPr="00BC78D9" w:rsidRDefault="00BC78D9" w:rsidP="00851C67">
            <w:pPr>
              <w:keepNext/>
              <w:keepLines/>
              <w:jc w:val="center"/>
              <w:rPr>
                <w:sz w:val="16"/>
                <w:szCs w:val="16"/>
              </w:rPr>
            </w:pPr>
            <w:r w:rsidRPr="00BC78D9">
              <w:rPr>
                <w:sz w:val="16"/>
                <w:szCs w:val="16"/>
              </w:rPr>
              <w:t>5 177</w:t>
            </w:r>
          </w:p>
        </w:tc>
      </w:tr>
      <w:tr w:rsidR="00BC78D9" w:rsidRPr="00BC78D9" w14:paraId="7A6F0F2A" w14:textId="77777777" w:rsidTr="006A627E">
        <w:trPr>
          <w:trHeight w:val="330"/>
          <w:jc w:val="center"/>
        </w:trPr>
        <w:tc>
          <w:tcPr>
            <w:tcW w:w="8033" w:type="dxa"/>
            <w:gridSpan w:val="4"/>
            <w:tcBorders>
              <w:top w:val="nil"/>
              <w:left w:val="nil"/>
              <w:bottom w:val="nil"/>
              <w:right w:val="nil"/>
            </w:tcBorders>
            <w:shd w:val="clear" w:color="auto" w:fill="auto"/>
            <w:noWrap/>
            <w:vAlign w:val="center"/>
            <w:hideMark/>
          </w:tcPr>
          <w:p w14:paraId="0126DD77" w14:textId="77777777" w:rsidR="00BC78D9" w:rsidRPr="00BC78D9" w:rsidRDefault="00BC78D9" w:rsidP="00851C67">
            <w:pPr>
              <w:keepNext/>
              <w:keepLines/>
              <w:rPr>
                <w:i/>
                <w:iCs/>
                <w:sz w:val="16"/>
                <w:szCs w:val="16"/>
              </w:rPr>
            </w:pPr>
            <w:r w:rsidRPr="00BC78D9">
              <w:rPr>
                <w:i/>
                <w:iCs/>
                <w:sz w:val="16"/>
                <w:szCs w:val="16"/>
              </w:rPr>
              <w:t xml:space="preserve">*Les chiffres des dépenses pour 2016 sont préliminaires, sous réserve d’audit par les vérificateurs externes des comptes </w:t>
            </w:r>
          </w:p>
        </w:tc>
        <w:tc>
          <w:tcPr>
            <w:tcW w:w="1397" w:type="dxa"/>
            <w:tcBorders>
              <w:top w:val="nil"/>
              <w:left w:val="nil"/>
              <w:bottom w:val="nil"/>
              <w:right w:val="nil"/>
            </w:tcBorders>
            <w:shd w:val="clear" w:color="auto" w:fill="auto"/>
            <w:noWrap/>
            <w:vAlign w:val="center"/>
            <w:hideMark/>
          </w:tcPr>
          <w:p w14:paraId="4B0ADA8C" w14:textId="77777777" w:rsidR="00BC78D9" w:rsidRPr="00BC78D9" w:rsidRDefault="00BC78D9" w:rsidP="00851C67">
            <w:pPr>
              <w:keepNext/>
              <w:keepLines/>
              <w:rPr>
                <w:sz w:val="16"/>
                <w:szCs w:val="16"/>
              </w:rPr>
            </w:pPr>
          </w:p>
        </w:tc>
      </w:tr>
    </w:tbl>
    <w:p w14:paraId="11A5AF8D" w14:textId="77777777" w:rsidR="00BC78D9" w:rsidRPr="00BC78D9" w:rsidRDefault="00BC78D9" w:rsidP="00BC78D9">
      <w:pPr>
        <w:pStyle w:val="NormalWeb"/>
        <w:spacing w:before="0" w:beforeAutospacing="0" w:after="0" w:afterAutospacing="0"/>
        <w:jc w:val="center"/>
        <w:rPr>
          <w:sz w:val="16"/>
          <w:szCs w:val="16"/>
        </w:rPr>
      </w:pPr>
    </w:p>
    <w:p w14:paraId="1B8C4508" w14:textId="77777777" w:rsidR="00851C67" w:rsidRPr="00BC78D9" w:rsidRDefault="00851C67" w:rsidP="00BC78D9"/>
    <w:p w14:paraId="48ABB180" w14:textId="77777777" w:rsidR="00BC78D9" w:rsidRPr="00BC78D9" w:rsidRDefault="00BC78D9" w:rsidP="00BC78D9">
      <w:pPr>
        <w:jc w:val="both"/>
        <w:rPr>
          <w:sz w:val="20"/>
          <w:u w:val="single"/>
        </w:rPr>
      </w:pPr>
      <w:r w:rsidRPr="00BC78D9">
        <w:rPr>
          <w:sz w:val="20"/>
        </w:rPr>
        <w:t>A.</w:t>
      </w:r>
      <w:r w:rsidRPr="00BC78D9">
        <w:rPr>
          <w:sz w:val="20"/>
        </w:rPr>
        <w:tab/>
      </w:r>
      <w:r w:rsidRPr="00BC78D9">
        <w:rPr>
          <w:sz w:val="20"/>
          <w:u w:val="single"/>
        </w:rPr>
        <w:t>Budget 2016</w:t>
      </w:r>
      <w:r w:rsidRPr="00BC78D9">
        <w:rPr>
          <w:sz w:val="20"/>
          <w:u w:val="single"/>
        </w:rPr>
        <w:noBreakHyphen/>
        <w:t>2017 après virements</w:t>
      </w:r>
    </w:p>
    <w:p w14:paraId="7DC54813" w14:textId="77777777" w:rsidR="00BC78D9" w:rsidRPr="00BC78D9" w:rsidRDefault="00BC78D9" w:rsidP="00BC78D9">
      <w:pPr>
        <w:jc w:val="both"/>
        <w:rPr>
          <w:sz w:val="20"/>
          <w:u w:val="single"/>
        </w:rPr>
      </w:pPr>
    </w:p>
    <w:p w14:paraId="146AF32C" w14:textId="77777777" w:rsidR="00BC78D9" w:rsidRPr="00391F1A" w:rsidRDefault="00BC78D9" w:rsidP="00BC78D9">
      <w:pPr>
        <w:pStyle w:val="ListParagraph"/>
        <w:numPr>
          <w:ilvl w:val="0"/>
          <w:numId w:val="99"/>
        </w:numPr>
        <w:ind w:firstLine="0"/>
        <w:jc w:val="both"/>
        <w:rPr>
          <w:rFonts w:ascii="Arial" w:hAnsi="Arial" w:cs="Arial"/>
          <w:sz w:val="20"/>
          <w:szCs w:val="20"/>
        </w:rPr>
      </w:pPr>
      <w:r w:rsidRPr="00391F1A">
        <w:rPr>
          <w:rFonts w:ascii="Arial" w:hAnsi="Arial" w:cs="Arial"/>
          <w:sz w:val="20"/>
          <w:szCs w:val="20"/>
        </w:rPr>
        <w:t>L’augmentation des dépenses autres que les dépenses de personnel était due : i) à l’affectation de fonds supplémentaires pour couvrir les besoins opérationnels du Bureau de coordination de l’OMPI à New York en 2017, indiquée au titre du résultat escompté VIII.5 (L’OMPI collabore efficacement avec d’autres processus et instances de négociation de l’ONU et d’autres organisations intergouvernementales);  et ii) au transfert de fonds au Bureau de l’OMPI en Chine pour la Conférence de haut niveau sur la promotion du respect de la propriété intellectuelle organisée à Shanghai en novembre 2016.</w:t>
      </w:r>
    </w:p>
    <w:p w14:paraId="65FF929C" w14:textId="77777777" w:rsidR="00BC78D9" w:rsidRPr="00391F1A" w:rsidRDefault="00BC78D9" w:rsidP="00BC78D9">
      <w:pPr>
        <w:jc w:val="both"/>
        <w:rPr>
          <w:sz w:val="20"/>
        </w:rPr>
      </w:pPr>
    </w:p>
    <w:p w14:paraId="18A84A48" w14:textId="77777777" w:rsidR="00BC78D9" w:rsidRPr="00391F1A" w:rsidRDefault="00BC78D9" w:rsidP="00851C67">
      <w:pPr>
        <w:pStyle w:val="ListParagraph"/>
        <w:keepNext/>
        <w:keepLines/>
        <w:numPr>
          <w:ilvl w:val="0"/>
          <w:numId w:val="99"/>
        </w:numPr>
        <w:ind w:firstLine="0"/>
        <w:jc w:val="both"/>
        <w:rPr>
          <w:rFonts w:ascii="Arial" w:hAnsi="Arial" w:cs="Arial"/>
          <w:sz w:val="20"/>
          <w:szCs w:val="20"/>
        </w:rPr>
      </w:pPr>
      <w:r w:rsidRPr="00391F1A">
        <w:rPr>
          <w:rFonts w:ascii="Arial" w:hAnsi="Arial" w:cs="Arial"/>
          <w:sz w:val="20"/>
          <w:szCs w:val="20"/>
        </w:rPr>
        <w:t>La nette baisse des dépenses de personnel par rapport au budget approuvé pour 2016</w:t>
      </w:r>
      <w:r w:rsidRPr="00391F1A">
        <w:rPr>
          <w:rFonts w:ascii="Arial" w:hAnsi="Arial" w:cs="Arial"/>
          <w:sz w:val="20"/>
          <w:szCs w:val="20"/>
        </w:rPr>
        <w:noBreakHyphen/>
        <w:t>2017 reflétait essentiellement le transfert au programme de fonctionnaires supplémentaires, notamment le directeur du Bureau de l’OMPI en Fédération de Russie et deux administrateurs recrutés sur le plan local au Bureau de l’OMPI en Chine, en vue de renforcer les activités des bureaux extérieurs, d’une part, et le déplacement d’autres ressources en personnel, notamment : i) le transfert temporaire d’un poste pour faire face aux priorités dans le domaine des communications (programme 19), apparaissant au titre du résultat escompté VIII.4 (Échanges ouverts, transparents et dynamiques avec les parties prenantes non gouvernementales);  ii) le transfert d’un poste temporaire afin de permettre l’établissement d’un ordre de priorité pour les activités des centres d’appui à l’innovation et à la technologie (programme 14);  iii) le transfert temporaire d’un poste pour appuyer l’initiative de réforme du système de Madrid (programme 6);  et iv) le transfert des économies réalisées et accumulées pour faire face à d’autres priorités de l’Organisation, d’autre part.  L’incidence des deux derniers points apparaît dans les différents résultats escomptés.</w:t>
      </w:r>
    </w:p>
    <w:p w14:paraId="0B367D4F" w14:textId="77777777" w:rsidR="00BC78D9" w:rsidRPr="00391F1A" w:rsidRDefault="00BC78D9" w:rsidP="00BC78D9">
      <w:pPr>
        <w:jc w:val="both"/>
        <w:rPr>
          <w:sz w:val="20"/>
        </w:rPr>
      </w:pPr>
    </w:p>
    <w:p w14:paraId="4471E84F" w14:textId="77777777" w:rsidR="00BC78D9" w:rsidRPr="00391F1A" w:rsidRDefault="00BC78D9" w:rsidP="00BC78D9">
      <w:pPr>
        <w:pStyle w:val="ListParagraph"/>
        <w:numPr>
          <w:ilvl w:val="0"/>
          <w:numId w:val="99"/>
        </w:numPr>
        <w:ind w:firstLine="0"/>
        <w:jc w:val="both"/>
        <w:rPr>
          <w:rFonts w:ascii="Arial" w:hAnsi="Arial" w:cs="Arial"/>
          <w:sz w:val="20"/>
          <w:szCs w:val="20"/>
        </w:rPr>
      </w:pPr>
      <w:r w:rsidRPr="00391F1A">
        <w:rPr>
          <w:rFonts w:ascii="Arial" w:hAnsi="Arial" w:cs="Arial"/>
          <w:sz w:val="20"/>
          <w:szCs w:val="20"/>
        </w:rPr>
        <w:t>L’augmentation des dépenses de personnel allouées i) au résultat escompté III.2 (Mise en valeur des capacités des ressources humaines) reflétait l’attention accrue accordée par les bureaux extérieurs au renforcement des capacités et ii) au résultat escompté VIII.1 (Communication plus efficace avec le grand public) reflétait l’attention plus grande accordée par les bureaux extérieurs à la sensibilisation à l’OMPI et à la promotion de l’Organisation.</w:t>
      </w:r>
    </w:p>
    <w:p w14:paraId="60EA09C5" w14:textId="77777777" w:rsidR="00BC78D9" w:rsidRPr="00391F1A" w:rsidRDefault="00BC78D9" w:rsidP="00BC78D9">
      <w:pPr>
        <w:jc w:val="both"/>
        <w:rPr>
          <w:sz w:val="20"/>
          <w:u w:val="single"/>
        </w:rPr>
      </w:pPr>
    </w:p>
    <w:p w14:paraId="0D85BA10" w14:textId="77777777" w:rsidR="00BC78D9" w:rsidRPr="00391F1A" w:rsidRDefault="00BC78D9" w:rsidP="00BC78D9">
      <w:pPr>
        <w:jc w:val="both"/>
        <w:rPr>
          <w:sz w:val="20"/>
          <w:u w:val="single"/>
        </w:rPr>
      </w:pPr>
      <w:r w:rsidRPr="00391F1A">
        <w:rPr>
          <w:sz w:val="20"/>
        </w:rPr>
        <w:t>B.</w:t>
      </w:r>
      <w:r w:rsidRPr="00391F1A">
        <w:rPr>
          <w:sz w:val="20"/>
        </w:rPr>
        <w:tab/>
      </w:r>
      <w:r w:rsidRPr="00391F1A">
        <w:rPr>
          <w:sz w:val="20"/>
          <w:u w:val="single"/>
        </w:rPr>
        <w:t>Utilisation du budget 2016</w:t>
      </w:r>
      <w:r w:rsidRPr="00391F1A">
        <w:rPr>
          <w:sz w:val="20"/>
          <w:u w:val="single"/>
        </w:rPr>
        <w:noBreakHyphen/>
        <w:t>2017</w:t>
      </w:r>
    </w:p>
    <w:p w14:paraId="5E3FB614" w14:textId="77777777" w:rsidR="00BC78D9" w:rsidRPr="00391F1A" w:rsidRDefault="00BC78D9" w:rsidP="00BC78D9">
      <w:pPr>
        <w:jc w:val="both"/>
        <w:rPr>
          <w:sz w:val="20"/>
          <w:u w:val="single"/>
        </w:rPr>
      </w:pPr>
    </w:p>
    <w:p w14:paraId="4D38F4EE" w14:textId="77777777" w:rsidR="00BC78D9" w:rsidRPr="00391F1A" w:rsidRDefault="00BC78D9" w:rsidP="00BC78D9">
      <w:pPr>
        <w:pStyle w:val="ListParagraph"/>
        <w:numPr>
          <w:ilvl w:val="0"/>
          <w:numId w:val="99"/>
        </w:numPr>
        <w:ind w:firstLine="0"/>
        <w:jc w:val="both"/>
        <w:rPr>
          <w:rFonts w:ascii="Arial" w:hAnsi="Arial" w:cs="Arial"/>
          <w:sz w:val="20"/>
          <w:szCs w:val="20"/>
        </w:rPr>
      </w:pPr>
      <w:r w:rsidRPr="00391F1A">
        <w:rPr>
          <w:rFonts w:ascii="Arial" w:hAnsi="Arial" w:cs="Arial"/>
          <w:sz w:val="20"/>
          <w:szCs w:val="20"/>
        </w:rPr>
        <w:t>L’utilisation du budget s’est située dans la fourchette escomptée de 40 à 60% pour la première année de l’exercice biennal.</w:t>
      </w:r>
    </w:p>
    <w:p w14:paraId="2BBEDC60" w14:textId="77777777" w:rsidR="00BC78D9" w:rsidRPr="00391F1A" w:rsidRDefault="00BC78D9" w:rsidP="00BC78D9">
      <w:pPr>
        <w:rPr>
          <w:sz w:val="20"/>
        </w:rPr>
      </w:pPr>
    </w:p>
    <w:p w14:paraId="44FDC926" w14:textId="386F9549" w:rsidR="00394CA8" w:rsidRDefault="00394CA8">
      <w:pPr>
        <w:rPr>
          <w:b/>
        </w:rPr>
      </w:pPr>
      <w:r>
        <w:rPr>
          <w:b/>
        </w:rPr>
        <w:br w:type="page"/>
      </w:r>
    </w:p>
    <w:p w14:paraId="6EFDDF85" w14:textId="7132FF18" w:rsidR="00394CA8" w:rsidRPr="00394CA8" w:rsidRDefault="009761D3" w:rsidP="009761D3">
      <w:pPr>
        <w:pStyle w:val="Heading2"/>
      </w:pPr>
      <w:bookmarkStart w:id="71" w:name="_Toc482774619"/>
      <w:bookmarkStart w:id="72" w:name="_Toc422210509"/>
      <w:bookmarkStart w:id="73" w:name="_Toc367350601"/>
      <w:bookmarkEnd w:id="69"/>
      <w:r>
        <w:t>O</w:t>
      </w:r>
      <w:r w:rsidRPr="00394CA8">
        <w:t>bjectif</w:t>
      </w:r>
      <w:r>
        <w:t xml:space="preserve"> stratégique IX</w:t>
      </w:r>
      <w:bookmarkEnd w:id="71"/>
    </w:p>
    <w:p w14:paraId="1C74F0C6" w14:textId="77777777" w:rsidR="00394CA8" w:rsidRPr="00A859F2" w:rsidRDefault="00394CA8" w:rsidP="00394CA8">
      <w:pPr>
        <w:jc w:val="center"/>
        <w:rPr>
          <w:b/>
          <w:sz w:val="20"/>
        </w:rPr>
      </w:pPr>
    </w:p>
    <w:p w14:paraId="4D458E5B" w14:textId="77777777" w:rsidR="00394CA8" w:rsidRPr="00A859F2" w:rsidRDefault="00394CA8" w:rsidP="00394CA8">
      <w:pPr>
        <w:jc w:val="center"/>
        <w:rPr>
          <w:b/>
          <w:sz w:val="20"/>
        </w:rPr>
      </w:pPr>
      <w:r w:rsidRPr="00A859F2">
        <w:rPr>
          <w:b/>
          <w:sz w:val="20"/>
        </w:rPr>
        <w:t>STRUCTURE D’APPUI ADMINISTRATIF ET FINANCIER EFFICACE</w:t>
      </w:r>
    </w:p>
    <w:p w14:paraId="00731C45" w14:textId="77777777" w:rsidR="00394CA8" w:rsidRPr="00A859F2" w:rsidRDefault="00394CA8" w:rsidP="00394CA8">
      <w:pPr>
        <w:rPr>
          <w:sz w:val="20"/>
        </w:rPr>
      </w:pPr>
    </w:p>
    <w:p w14:paraId="5B10230F" w14:textId="77777777" w:rsidR="00394CA8" w:rsidRPr="00A859F2" w:rsidRDefault="00394CA8" w:rsidP="00394CA8">
      <w:pPr>
        <w:jc w:val="center"/>
        <w:rPr>
          <w:b/>
          <w:sz w:val="20"/>
        </w:rPr>
      </w:pPr>
      <w:r w:rsidRPr="00A859F2">
        <w:rPr>
          <w:b/>
          <w:sz w:val="20"/>
        </w:rPr>
        <w:t>Tableau de bord de l’exécution du programme à mi</w:t>
      </w:r>
      <w:r>
        <w:rPr>
          <w:b/>
          <w:sz w:val="20"/>
        </w:rPr>
        <w:noBreakHyphen/>
      </w:r>
      <w:r w:rsidRPr="00A859F2">
        <w:rPr>
          <w:b/>
          <w:sz w:val="20"/>
        </w:rPr>
        <w:t>parcours (2016)</w:t>
      </w:r>
    </w:p>
    <w:p w14:paraId="151DE5CC" w14:textId="77777777" w:rsidR="00394CA8" w:rsidRPr="00A859F2" w:rsidRDefault="00394CA8" w:rsidP="00394CA8">
      <w:pPr>
        <w:jc w:val="both"/>
        <w:rPr>
          <w:sz w:val="20"/>
        </w:rPr>
      </w:pPr>
    </w:p>
    <w:p w14:paraId="37057EE7" w14:textId="77777777" w:rsidR="00394CA8" w:rsidRPr="00A859F2" w:rsidRDefault="00394CA8" w:rsidP="00394CA8">
      <w:pPr>
        <w:jc w:val="both"/>
        <w:rPr>
          <w:sz w:val="20"/>
        </w:rPr>
      </w:pPr>
      <w:r w:rsidRPr="00A859F2">
        <w:rPr>
          <w:sz w:val="20"/>
        </w:rPr>
        <w:t>Le tableau de bord ci</w:t>
      </w:r>
      <w:r>
        <w:rPr>
          <w:sz w:val="20"/>
        </w:rPr>
        <w:noBreakHyphen/>
      </w:r>
      <w:r w:rsidRPr="00A859F2">
        <w:rPr>
          <w:sz w:val="20"/>
        </w:rPr>
        <w:t>dessous présente un résumé de l’état d’avancement de la réalisation des résultats en 2016, telle que mesurée par les indicateurs au titre des programmes contribuant à cet objectif stratégique.</w:t>
      </w:r>
    </w:p>
    <w:p w14:paraId="68E23BCF" w14:textId="77777777" w:rsidR="00394CA8" w:rsidRPr="00A859F2" w:rsidRDefault="00394CA8" w:rsidP="00394CA8">
      <w:pPr>
        <w:jc w:val="center"/>
        <w:rPr>
          <w:sz w:val="20"/>
        </w:rPr>
      </w:pPr>
      <w:r w:rsidRPr="0074225E">
        <w:rPr>
          <w:noProof/>
          <w:lang w:val="en-US"/>
        </w:rPr>
        <w:drawing>
          <wp:inline distT="0" distB="0" distL="0" distR="0" wp14:anchorId="3F3703F6" wp14:editId="3C9FDACB">
            <wp:extent cx="3693600" cy="242457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93600" cy="2424575"/>
                    </a:xfrm>
                    <a:prstGeom prst="rect">
                      <a:avLst/>
                    </a:prstGeom>
                    <a:noFill/>
                    <a:ln>
                      <a:noFill/>
                    </a:ln>
                  </pic:spPr>
                </pic:pic>
              </a:graphicData>
            </a:graphic>
          </wp:inline>
        </w:drawing>
      </w:r>
    </w:p>
    <w:tbl>
      <w:tblPr>
        <w:tblW w:w="9444" w:type="dxa"/>
        <w:tblInd w:w="108" w:type="dxa"/>
        <w:tblLayout w:type="fixed"/>
        <w:tblLook w:val="0000" w:firstRow="0" w:lastRow="0" w:firstColumn="0" w:lastColumn="0" w:noHBand="0" w:noVBand="0"/>
      </w:tblPr>
      <w:tblGrid>
        <w:gridCol w:w="2722"/>
        <w:gridCol w:w="3853"/>
        <w:gridCol w:w="1587"/>
        <w:gridCol w:w="1282"/>
      </w:tblGrid>
      <w:tr w:rsidR="00394CA8" w:rsidRPr="00A859F2" w14:paraId="7DA2CE09" w14:textId="77777777" w:rsidTr="00851C67">
        <w:trPr>
          <w:cantSplit/>
          <w:trHeight w:val="317"/>
          <w:tblHeader/>
        </w:trPr>
        <w:tc>
          <w:tcPr>
            <w:tcW w:w="1441" w:type="pct"/>
            <w:shd w:val="clear" w:color="auto" w:fill="B8CCE4" w:themeFill="accent1" w:themeFillTint="66"/>
            <w:tcMar>
              <w:top w:w="85" w:type="dxa"/>
              <w:bottom w:w="85" w:type="dxa"/>
            </w:tcMar>
            <w:vAlign w:val="center"/>
          </w:tcPr>
          <w:p w14:paraId="4A1D5083" w14:textId="77777777" w:rsidR="00394CA8" w:rsidRPr="00A859F2" w:rsidRDefault="00394CA8" w:rsidP="00394CA8">
            <w:pPr>
              <w:rPr>
                <w:b/>
                <w:bCs/>
                <w:sz w:val="18"/>
                <w:szCs w:val="18"/>
              </w:rPr>
            </w:pPr>
            <w:r w:rsidRPr="00A859F2">
              <w:rPr>
                <w:b/>
                <w:bCs/>
                <w:sz w:val="18"/>
                <w:szCs w:val="18"/>
              </w:rPr>
              <w:t>Résultats escomptés</w:t>
            </w:r>
          </w:p>
        </w:tc>
        <w:tc>
          <w:tcPr>
            <w:tcW w:w="2040" w:type="pct"/>
            <w:shd w:val="clear" w:color="auto" w:fill="B8CCE4" w:themeFill="accent1" w:themeFillTint="66"/>
            <w:tcMar>
              <w:top w:w="85" w:type="dxa"/>
              <w:bottom w:w="85" w:type="dxa"/>
            </w:tcMar>
            <w:vAlign w:val="center"/>
          </w:tcPr>
          <w:p w14:paraId="61A68309" w14:textId="77777777" w:rsidR="00394CA8" w:rsidRPr="00A859F2" w:rsidRDefault="00394CA8" w:rsidP="00394CA8">
            <w:pPr>
              <w:rPr>
                <w:b/>
                <w:sz w:val="18"/>
                <w:szCs w:val="18"/>
              </w:rPr>
            </w:pPr>
            <w:r w:rsidRPr="00A859F2">
              <w:rPr>
                <w:b/>
                <w:sz w:val="18"/>
                <w:szCs w:val="18"/>
              </w:rPr>
              <w:t>Indicateurs d’exécution</w:t>
            </w:r>
          </w:p>
        </w:tc>
        <w:tc>
          <w:tcPr>
            <w:tcW w:w="840" w:type="pct"/>
            <w:shd w:val="clear" w:color="auto" w:fill="B8CCE4" w:themeFill="accent1" w:themeFillTint="66"/>
            <w:tcMar>
              <w:top w:w="85" w:type="dxa"/>
              <w:bottom w:w="85" w:type="dxa"/>
            </w:tcMar>
            <w:vAlign w:val="center"/>
          </w:tcPr>
          <w:p w14:paraId="4BFDDB1E" w14:textId="77777777" w:rsidR="00394CA8" w:rsidRPr="00A859F2" w:rsidRDefault="00394CA8" w:rsidP="00394CA8">
            <w:pPr>
              <w:ind w:left="85"/>
              <w:jc w:val="center"/>
              <w:rPr>
                <w:sz w:val="18"/>
                <w:szCs w:val="18"/>
              </w:rPr>
            </w:pPr>
            <w:r w:rsidRPr="00A859F2">
              <w:rPr>
                <w:b/>
                <w:sz w:val="18"/>
                <w:szCs w:val="18"/>
              </w:rPr>
              <w:t>Programme(s)concerné(s)</w:t>
            </w:r>
          </w:p>
        </w:tc>
        <w:tc>
          <w:tcPr>
            <w:tcW w:w="679" w:type="pct"/>
            <w:shd w:val="clear" w:color="auto" w:fill="B8CCE4" w:themeFill="accent1" w:themeFillTint="66"/>
            <w:tcMar>
              <w:top w:w="85" w:type="dxa"/>
              <w:bottom w:w="85" w:type="dxa"/>
            </w:tcMar>
            <w:vAlign w:val="center"/>
          </w:tcPr>
          <w:p w14:paraId="64CBE87C" w14:textId="77777777" w:rsidR="00394CA8" w:rsidRPr="00A859F2" w:rsidRDefault="00394CA8" w:rsidP="00394CA8">
            <w:pPr>
              <w:ind w:left="85"/>
              <w:jc w:val="center"/>
              <w:rPr>
                <w:b/>
                <w:bCs/>
                <w:sz w:val="18"/>
                <w:szCs w:val="18"/>
              </w:rPr>
            </w:pPr>
            <w:r w:rsidRPr="00A859F2">
              <w:rPr>
                <w:b/>
                <w:bCs/>
                <w:sz w:val="18"/>
                <w:szCs w:val="18"/>
              </w:rPr>
              <w:t>Code de couleurs</w:t>
            </w:r>
          </w:p>
        </w:tc>
      </w:tr>
      <w:tr w:rsidR="00394CA8" w:rsidRPr="00A859F2" w14:paraId="03530B74" w14:textId="77777777" w:rsidTr="00851C67">
        <w:trPr>
          <w:cantSplit/>
          <w:trHeight w:val="319"/>
        </w:trPr>
        <w:tc>
          <w:tcPr>
            <w:tcW w:w="1441" w:type="pct"/>
            <w:vMerge w:val="restart"/>
            <w:shd w:val="clear" w:color="auto" w:fill="auto"/>
            <w:tcMar>
              <w:top w:w="85" w:type="dxa"/>
              <w:bottom w:w="85" w:type="dxa"/>
            </w:tcMar>
          </w:tcPr>
          <w:p w14:paraId="69C72C2C" w14:textId="77777777" w:rsidR="00394CA8" w:rsidRPr="00A859F2" w:rsidRDefault="00394CA8" w:rsidP="00394CA8">
            <w:pPr>
              <w:rPr>
                <w:sz w:val="16"/>
                <w:szCs w:val="16"/>
              </w:rPr>
            </w:pPr>
            <w:r w:rsidRPr="00A859F2">
              <w:rPr>
                <w:sz w:val="16"/>
                <w:szCs w:val="16"/>
              </w:rPr>
              <w:t>IX.1 Services d’appui efficaces, efficients, de qualité et tournés vers la clientèle, à l’intention à la fois des clients internes et des parties prenantes externes</w:t>
            </w:r>
          </w:p>
        </w:tc>
        <w:tc>
          <w:tcPr>
            <w:tcW w:w="2040" w:type="pct"/>
            <w:shd w:val="clear" w:color="auto" w:fill="auto"/>
            <w:tcMar>
              <w:top w:w="85" w:type="dxa"/>
              <w:bottom w:w="85" w:type="dxa"/>
            </w:tcMar>
          </w:tcPr>
          <w:p w14:paraId="18F68C66" w14:textId="77777777" w:rsidR="00394CA8" w:rsidRPr="00A859F2" w:rsidRDefault="00394CA8" w:rsidP="00394CA8">
            <w:pPr>
              <w:rPr>
                <w:sz w:val="16"/>
                <w:szCs w:val="16"/>
              </w:rPr>
            </w:pPr>
            <w:r w:rsidRPr="00A859F2">
              <w:rPr>
                <w:sz w:val="16"/>
                <w:szCs w:val="16"/>
              </w:rPr>
              <w:t>Pourcentage de demandes d’avis juridique qui reçoivent des réponses rapides du Bureau du conseiller juridique</w:t>
            </w:r>
          </w:p>
        </w:tc>
        <w:tc>
          <w:tcPr>
            <w:tcW w:w="840" w:type="pct"/>
            <w:shd w:val="clear" w:color="auto" w:fill="FFFFFF"/>
            <w:tcMar>
              <w:top w:w="85" w:type="dxa"/>
              <w:bottom w:w="85" w:type="dxa"/>
            </w:tcMar>
          </w:tcPr>
          <w:p w14:paraId="4574D48F"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21</w:t>
            </w:r>
          </w:p>
        </w:tc>
        <w:tc>
          <w:tcPr>
            <w:tcW w:w="679" w:type="pct"/>
            <w:shd w:val="clear" w:color="auto" w:fill="auto"/>
            <w:tcMar>
              <w:top w:w="85" w:type="dxa"/>
              <w:bottom w:w="85" w:type="dxa"/>
            </w:tcMar>
          </w:tcPr>
          <w:p w14:paraId="2E0B51EF" w14:textId="77777777" w:rsidR="00394CA8" w:rsidRPr="00A859F2" w:rsidRDefault="00394CA8" w:rsidP="00394CA8">
            <w:pPr>
              <w:jc w:val="center"/>
            </w:pPr>
            <w:r w:rsidRPr="00A859F2">
              <w:rPr>
                <w:color w:val="00B050"/>
                <w:szCs w:val="22"/>
              </w:rPr>
              <w:sym w:font="Wingdings" w:char="F06C"/>
            </w:r>
          </w:p>
        </w:tc>
      </w:tr>
      <w:tr w:rsidR="00394CA8" w:rsidRPr="00A859F2" w14:paraId="5B8A1812" w14:textId="77777777" w:rsidTr="00851C67">
        <w:trPr>
          <w:cantSplit/>
        </w:trPr>
        <w:tc>
          <w:tcPr>
            <w:tcW w:w="1441" w:type="pct"/>
            <w:vMerge/>
            <w:shd w:val="clear" w:color="auto" w:fill="auto"/>
            <w:tcMar>
              <w:top w:w="85" w:type="dxa"/>
              <w:bottom w:w="85" w:type="dxa"/>
            </w:tcMar>
          </w:tcPr>
          <w:p w14:paraId="23EB1B83" w14:textId="77777777" w:rsidR="00394CA8" w:rsidRPr="00A859F2" w:rsidRDefault="00394CA8" w:rsidP="00394CA8">
            <w:pPr>
              <w:rPr>
                <w:sz w:val="16"/>
                <w:szCs w:val="16"/>
              </w:rPr>
            </w:pPr>
          </w:p>
        </w:tc>
        <w:tc>
          <w:tcPr>
            <w:tcW w:w="2040" w:type="pct"/>
            <w:shd w:val="clear" w:color="auto" w:fill="auto"/>
            <w:tcMar>
              <w:top w:w="85" w:type="dxa"/>
              <w:bottom w:w="85" w:type="dxa"/>
            </w:tcMar>
          </w:tcPr>
          <w:p w14:paraId="0D8B372E" w14:textId="77777777" w:rsidR="00394CA8" w:rsidRPr="00A859F2" w:rsidRDefault="00394CA8" w:rsidP="00394CA8">
            <w:pPr>
              <w:rPr>
                <w:sz w:val="16"/>
                <w:szCs w:val="16"/>
              </w:rPr>
            </w:pPr>
            <w:r w:rsidRPr="00A859F2">
              <w:rPr>
                <w:sz w:val="16"/>
                <w:szCs w:val="16"/>
              </w:rPr>
              <w:t>Mise à disposition des rapports et analyses de nature financière et de gestion demandés par la haute direction, les chefs de programmes et les États membres conformément aux échéances convenues</w:t>
            </w:r>
          </w:p>
        </w:tc>
        <w:tc>
          <w:tcPr>
            <w:tcW w:w="840" w:type="pct"/>
            <w:shd w:val="clear" w:color="auto" w:fill="FFFFFF"/>
            <w:tcMar>
              <w:top w:w="85" w:type="dxa"/>
              <w:bottom w:w="85" w:type="dxa"/>
            </w:tcMar>
          </w:tcPr>
          <w:p w14:paraId="30D087E0"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4AF95DA3" w14:textId="77777777" w:rsidR="00394CA8" w:rsidRPr="00A859F2" w:rsidRDefault="00394CA8" w:rsidP="00394CA8">
            <w:pPr>
              <w:jc w:val="center"/>
              <w:rPr>
                <w:color w:val="A6A6A6" w:themeColor="background1" w:themeShade="A6"/>
                <w:szCs w:val="22"/>
              </w:rPr>
            </w:pPr>
            <w:r w:rsidRPr="00A859F2">
              <w:rPr>
                <w:color w:val="FF0000"/>
                <w:szCs w:val="22"/>
              </w:rPr>
              <w:sym w:font="Wingdings" w:char="F06C"/>
            </w:r>
          </w:p>
        </w:tc>
      </w:tr>
      <w:tr w:rsidR="00394CA8" w:rsidRPr="00A859F2" w14:paraId="3A3BF0D3" w14:textId="77777777" w:rsidTr="00851C67">
        <w:trPr>
          <w:cantSplit/>
          <w:trHeight w:val="242"/>
        </w:trPr>
        <w:tc>
          <w:tcPr>
            <w:tcW w:w="1441" w:type="pct"/>
            <w:vMerge/>
            <w:shd w:val="clear" w:color="auto" w:fill="auto"/>
            <w:tcMar>
              <w:top w:w="85" w:type="dxa"/>
              <w:bottom w:w="85" w:type="dxa"/>
            </w:tcMar>
          </w:tcPr>
          <w:p w14:paraId="5BCA4CEB"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AF5C02A" w14:textId="77777777" w:rsidR="00394CA8" w:rsidRPr="00A859F2" w:rsidRDefault="00394CA8" w:rsidP="00394CA8">
            <w:pPr>
              <w:rPr>
                <w:bCs/>
                <w:sz w:val="16"/>
                <w:szCs w:val="16"/>
              </w:rPr>
            </w:pPr>
            <w:r w:rsidRPr="00A859F2">
              <w:rPr>
                <w:bCs/>
                <w:sz w:val="16"/>
                <w:szCs w:val="16"/>
              </w:rPr>
              <w:t>Quantité de documents du PBC soumis à temps aux États membres</w:t>
            </w:r>
          </w:p>
        </w:tc>
        <w:tc>
          <w:tcPr>
            <w:tcW w:w="840" w:type="pct"/>
            <w:shd w:val="clear" w:color="auto" w:fill="FFFFFF"/>
            <w:tcMar>
              <w:top w:w="85" w:type="dxa"/>
              <w:bottom w:w="85" w:type="dxa"/>
            </w:tcMar>
          </w:tcPr>
          <w:p w14:paraId="40DA0192"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067B10B0" w14:textId="77777777" w:rsidR="00394CA8" w:rsidRPr="00A859F2" w:rsidRDefault="00394CA8" w:rsidP="00394CA8">
            <w:pPr>
              <w:jc w:val="center"/>
            </w:pPr>
            <w:r w:rsidRPr="00A859F2">
              <w:rPr>
                <w:color w:val="00B050"/>
                <w:szCs w:val="22"/>
              </w:rPr>
              <w:sym w:font="Wingdings" w:char="F06C"/>
            </w:r>
          </w:p>
        </w:tc>
      </w:tr>
      <w:tr w:rsidR="00394CA8" w:rsidRPr="00A859F2" w14:paraId="5D5C1E64" w14:textId="77777777" w:rsidTr="00851C67">
        <w:trPr>
          <w:cantSplit/>
          <w:trHeight w:val="472"/>
        </w:trPr>
        <w:tc>
          <w:tcPr>
            <w:tcW w:w="1441" w:type="pct"/>
            <w:shd w:val="clear" w:color="auto" w:fill="auto"/>
            <w:tcMar>
              <w:top w:w="85" w:type="dxa"/>
              <w:bottom w:w="85" w:type="dxa"/>
            </w:tcMar>
          </w:tcPr>
          <w:p w14:paraId="2892B408"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F116788" w14:textId="77777777" w:rsidR="00394CA8" w:rsidRPr="00A859F2" w:rsidRDefault="00394CA8" w:rsidP="00394CA8">
            <w:pPr>
              <w:rPr>
                <w:sz w:val="16"/>
                <w:szCs w:val="16"/>
              </w:rPr>
            </w:pPr>
            <w:r w:rsidRPr="00A859F2">
              <w:rPr>
                <w:sz w:val="16"/>
                <w:szCs w:val="16"/>
              </w:rPr>
              <w:t>Le système ERP de l’Organisation (AIMS) fonctionne de manière efficiente, compte tenu des besoins opérationnels et conformément aux pratiques recommandées</w:t>
            </w:r>
          </w:p>
        </w:tc>
        <w:tc>
          <w:tcPr>
            <w:tcW w:w="840" w:type="pct"/>
            <w:shd w:val="clear" w:color="auto" w:fill="FFFFFF"/>
            <w:tcMar>
              <w:top w:w="85" w:type="dxa"/>
              <w:bottom w:w="85" w:type="dxa"/>
            </w:tcMar>
          </w:tcPr>
          <w:p w14:paraId="79BD90F6"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786F3549"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p>
        </w:tc>
      </w:tr>
      <w:tr w:rsidR="00394CA8" w:rsidRPr="00A859F2" w14:paraId="548942C8" w14:textId="77777777" w:rsidTr="00851C67">
        <w:trPr>
          <w:cantSplit/>
          <w:trHeight w:val="345"/>
        </w:trPr>
        <w:tc>
          <w:tcPr>
            <w:tcW w:w="1441" w:type="pct"/>
            <w:shd w:val="clear" w:color="auto" w:fill="auto"/>
            <w:tcMar>
              <w:top w:w="85" w:type="dxa"/>
              <w:bottom w:w="85" w:type="dxa"/>
            </w:tcMar>
          </w:tcPr>
          <w:p w14:paraId="3206B952" w14:textId="77777777" w:rsidR="00394CA8" w:rsidRPr="00A859F2" w:rsidRDefault="00394CA8" w:rsidP="00394CA8">
            <w:pPr>
              <w:rPr>
                <w:sz w:val="16"/>
                <w:szCs w:val="16"/>
              </w:rPr>
            </w:pPr>
          </w:p>
        </w:tc>
        <w:tc>
          <w:tcPr>
            <w:tcW w:w="2040" w:type="pct"/>
            <w:shd w:val="clear" w:color="auto" w:fill="auto"/>
            <w:tcMar>
              <w:top w:w="85" w:type="dxa"/>
              <w:bottom w:w="85" w:type="dxa"/>
            </w:tcMar>
          </w:tcPr>
          <w:p w14:paraId="47005435" w14:textId="77777777" w:rsidR="00394CA8" w:rsidRPr="00A859F2" w:rsidRDefault="00394CA8" w:rsidP="00394CA8">
            <w:pPr>
              <w:rPr>
                <w:sz w:val="16"/>
                <w:szCs w:val="16"/>
              </w:rPr>
            </w:pPr>
            <w:r w:rsidRPr="00A859F2">
              <w:rPr>
                <w:sz w:val="16"/>
                <w:szCs w:val="16"/>
              </w:rPr>
              <w:t>Les projets ERP sont mis en œuvre conformément au plan et dans les limites du budget du portefeuille</w:t>
            </w:r>
          </w:p>
        </w:tc>
        <w:tc>
          <w:tcPr>
            <w:tcW w:w="840" w:type="pct"/>
            <w:shd w:val="clear" w:color="auto" w:fill="FFFFFF"/>
            <w:tcMar>
              <w:top w:w="85" w:type="dxa"/>
              <w:bottom w:w="85" w:type="dxa"/>
            </w:tcMar>
          </w:tcPr>
          <w:p w14:paraId="72AB51CA"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316D98BC" w14:textId="77777777" w:rsidR="00394CA8" w:rsidRPr="00A859F2" w:rsidRDefault="00394CA8" w:rsidP="00394CA8">
            <w:pPr>
              <w:jc w:val="center"/>
            </w:pPr>
            <w:r w:rsidRPr="00A859F2">
              <w:rPr>
                <w:color w:val="FF0000"/>
                <w:szCs w:val="22"/>
              </w:rPr>
              <w:sym w:font="Wingdings" w:char="F06C"/>
            </w:r>
          </w:p>
        </w:tc>
      </w:tr>
      <w:tr w:rsidR="00394CA8" w:rsidRPr="00A859F2" w14:paraId="119A639C" w14:textId="77777777" w:rsidTr="00851C67">
        <w:trPr>
          <w:cantSplit/>
          <w:trHeight w:val="198"/>
        </w:trPr>
        <w:tc>
          <w:tcPr>
            <w:tcW w:w="1441" w:type="pct"/>
            <w:shd w:val="clear" w:color="auto" w:fill="auto"/>
            <w:tcMar>
              <w:top w:w="85" w:type="dxa"/>
              <w:bottom w:w="85" w:type="dxa"/>
            </w:tcMar>
          </w:tcPr>
          <w:p w14:paraId="30D3CE5F" w14:textId="77777777" w:rsidR="00394CA8" w:rsidRPr="00A859F2" w:rsidRDefault="00394CA8" w:rsidP="00394CA8">
            <w:pPr>
              <w:rPr>
                <w:sz w:val="16"/>
                <w:szCs w:val="16"/>
              </w:rPr>
            </w:pPr>
          </w:p>
        </w:tc>
        <w:tc>
          <w:tcPr>
            <w:tcW w:w="2040" w:type="pct"/>
            <w:shd w:val="clear" w:color="auto" w:fill="auto"/>
            <w:tcMar>
              <w:top w:w="85" w:type="dxa"/>
              <w:bottom w:w="85" w:type="dxa"/>
            </w:tcMar>
          </w:tcPr>
          <w:p w14:paraId="48A0D293" w14:textId="77777777" w:rsidR="00394CA8" w:rsidRPr="00A859F2" w:rsidRDefault="00394CA8" w:rsidP="00394CA8">
            <w:pPr>
              <w:rPr>
                <w:sz w:val="16"/>
                <w:szCs w:val="16"/>
              </w:rPr>
            </w:pPr>
            <w:r w:rsidRPr="00A859F2">
              <w:rPr>
                <w:sz w:val="16"/>
                <w:szCs w:val="16"/>
              </w:rPr>
              <w:t>Pourcentage du personnel satisfait des services des ressources humaines</w:t>
            </w:r>
          </w:p>
        </w:tc>
        <w:tc>
          <w:tcPr>
            <w:tcW w:w="840" w:type="pct"/>
            <w:shd w:val="clear" w:color="auto" w:fill="FFFFFF"/>
            <w:tcMar>
              <w:top w:w="85" w:type="dxa"/>
              <w:bottom w:w="85" w:type="dxa"/>
            </w:tcMar>
          </w:tcPr>
          <w:p w14:paraId="5CBB36DB"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15344727" w14:textId="77777777" w:rsidR="00394CA8" w:rsidRPr="00A859F2" w:rsidRDefault="00394CA8" w:rsidP="00394CA8">
            <w:pPr>
              <w:jc w:val="center"/>
              <w:rPr>
                <w:color w:val="A6A6A6" w:themeColor="background1" w:themeShade="A6"/>
                <w:szCs w:val="22"/>
              </w:rPr>
            </w:pPr>
            <w:r w:rsidRPr="00A859F2">
              <w:rPr>
                <w:color w:val="0070C0"/>
                <w:szCs w:val="22"/>
              </w:rPr>
              <w:sym w:font="Wingdings" w:char="F06C"/>
            </w:r>
          </w:p>
        </w:tc>
      </w:tr>
      <w:tr w:rsidR="00394CA8" w:rsidRPr="00A859F2" w14:paraId="37236E72" w14:textId="77777777" w:rsidTr="00851C67">
        <w:trPr>
          <w:cantSplit/>
          <w:trHeight w:val="176"/>
        </w:trPr>
        <w:tc>
          <w:tcPr>
            <w:tcW w:w="1441" w:type="pct"/>
            <w:shd w:val="clear" w:color="auto" w:fill="auto"/>
            <w:tcMar>
              <w:top w:w="85" w:type="dxa"/>
              <w:bottom w:w="85" w:type="dxa"/>
            </w:tcMar>
          </w:tcPr>
          <w:p w14:paraId="6AEC133D"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DAAF482" w14:textId="77777777" w:rsidR="00394CA8" w:rsidRPr="00A859F2" w:rsidRDefault="00394CA8" w:rsidP="00394CA8">
            <w:pPr>
              <w:rPr>
                <w:bCs/>
                <w:sz w:val="16"/>
                <w:szCs w:val="16"/>
              </w:rPr>
            </w:pPr>
            <w:r w:rsidRPr="00A859F2">
              <w:rPr>
                <w:bCs/>
                <w:sz w:val="16"/>
                <w:szCs w:val="16"/>
              </w:rPr>
              <w:t>Augmentation d’activités gérées automatiquement par rapport aux actions gérées manuellement</w:t>
            </w:r>
          </w:p>
        </w:tc>
        <w:tc>
          <w:tcPr>
            <w:tcW w:w="840" w:type="pct"/>
            <w:shd w:val="clear" w:color="auto" w:fill="FFFFFF"/>
            <w:tcMar>
              <w:top w:w="85" w:type="dxa"/>
              <w:bottom w:w="85" w:type="dxa"/>
            </w:tcMar>
          </w:tcPr>
          <w:p w14:paraId="227307E7"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3202F951" w14:textId="77777777" w:rsidR="00394CA8" w:rsidRPr="00A859F2" w:rsidRDefault="00394CA8" w:rsidP="00394CA8">
            <w:pPr>
              <w:jc w:val="center"/>
            </w:pPr>
            <w:r w:rsidRPr="00A859F2">
              <w:rPr>
                <w:color w:val="00B050"/>
                <w:szCs w:val="22"/>
              </w:rPr>
              <w:sym w:font="Wingdings" w:char="F06C"/>
            </w:r>
          </w:p>
        </w:tc>
      </w:tr>
      <w:tr w:rsidR="00394CA8" w:rsidRPr="00A859F2" w14:paraId="72EF59BA" w14:textId="77777777" w:rsidTr="00851C67">
        <w:trPr>
          <w:cantSplit/>
          <w:trHeight w:val="42"/>
        </w:trPr>
        <w:tc>
          <w:tcPr>
            <w:tcW w:w="1441" w:type="pct"/>
            <w:shd w:val="clear" w:color="auto" w:fill="auto"/>
            <w:tcMar>
              <w:top w:w="85" w:type="dxa"/>
              <w:bottom w:w="85" w:type="dxa"/>
            </w:tcMar>
          </w:tcPr>
          <w:p w14:paraId="6550D2F8"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8BA5FD7" w14:textId="77777777" w:rsidR="00394CA8" w:rsidRPr="00A859F2" w:rsidRDefault="00394CA8" w:rsidP="00394CA8">
            <w:pPr>
              <w:rPr>
                <w:sz w:val="16"/>
                <w:szCs w:val="16"/>
              </w:rPr>
            </w:pPr>
            <w:r w:rsidRPr="00A859F2">
              <w:rPr>
                <w:sz w:val="16"/>
                <w:szCs w:val="16"/>
              </w:rPr>
              <w:t>Pourcentage des requêtes traitées en moins de cinq jours ouvrables</w:t>
            </w:r>
          </w:p>
        </w:tc>
        <w:tc>
          <w:tcPr>
            <w:tcW w:w="840" w:type="pct"/>
            <w:shd w:val="clear" w:color="auto" w:fill="FFFFFF"/>
            <w:tcMar>
              <w:top w:w="85" w:type="dxa"/>
              <w:bottom w:w="85" w:type="dxa"/>
            </w:tcMar>
          </w:tcPr>
          <w:p w14:paraId="50FB9C96" w14:textId="77777777" w:rsidR="00394CA8" w:rsidRPr="00A859F2" w:rsidRDefault="00394CA8" w:rsidP="00394CA8">
            <w:pPr>
              <w:spacing w:before="40"/>
              <w:jc w:val="cente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5FB30C65" w14:textId="77777777" w:rsidR="00394CA8" w:rsidRPr="00A859F2" w:rsidRDefault="00394CA8" w:rsidP="00394CA8">
            <w:pPr>
              <w:jc w:val="center"/>
              <w:rPr>
                <w:color w:val="A6A6A6" w:themeColor="background1" w:themeShade="A6"/>
                <w:szCs w:val="22"/>
              </w:rPr>
            </w:pPr>
            <w:r w:rsidRPr="00A859F2">
              <w:rPr>
                <w:color w:val="0070C0"/>
                <w:szCs w:val="22"/>
              </w:rPr>
              <w:sym w:font="Wingdings" w:char="F06C"/>
            </w:r>
          </w:p>
        </w:tc>
      </w:tr>
      <w:tr w:rsidR="00394CA8" w:rsidRPr="00A859F2" w14:paraId="44C8F96A" w14:textId="77777777" w:rsidTr="00851C67">
        <w:trPr>
          <w:cantSplit/>
          <w:trHeight w:val="19"/>
        </w:trPr>
        <w:tc>
          <w:tcPr>
            <w:tcW w:w="1441" w:type="pct"/>
            <w:shd w:val="clear" w:color="auto" w:fill="auto"/>
            <w:tcMar>
              <w:top w:w="85" w:type="dxa"/>
              <w:bottom w:w="85" w:type="dxa"/>
            </w:tcMar>
          </w:tcPr>
          <w:p w14:paraId="63522902"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1FC15E7" w14:textId="77777777" w:rsidR="00394CA8" w:rsidRPr="00A859F2" w:rsidRDefault="00394CA8" w:rsidP="00394CA8">
            <w:pPr>
              <w:rPr>
                <w:sz w:val="16"/>
                <w:szCs w:val="16"/>
              </w:rPr>
            </w:pPr>
            <w:r w:rsidRPr="00A859F2">
              <w:rPr>
                <w:sz w:val="16"/>
                <w:szCs w:val="16"/>
              </w:rPr>
              <w:t>Couverture d’assurance optimisée</w:t>
            </w:r>
          </w:p>
        </w:tc>
        <w:tc>
          <w:tcPr>
            <w:tcW w:w="840" w:type="pct"/>
            <w:shd w:val="clear" w:color="auto" w:fill="FFFFFF"/>
            <w:tcMar>
              <w:top w:w="85" w:type="dxa"/>
              <w:bottom w:w="85" w:type="dxa"/>
            </w:tcMar>
          </w:tcPr>
          <w:p w14:paraId="1EE13981" w14:textId="77777777" w:rsidR="00394CA8" w:rsidRPr="00A859F2" w:rsidRDefault="00394CA8" w:rsidP="00394CA8">
            <w:pPr>
              <w:spacing w:before="40"/>
              <w:jc w:val="cente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4167C3A2" w14:textId="77777777" w:rsidR="00394CA8" w:rsidRPr="00A859F2" w:rsidRDefault="00394CA8" w:rsidP="00394CA8">
            <w:pPr>
              <w:jc w:val="center"/>
            </w:pPr>
            <w:r w:rsidRPr="00A859F2">
              <w:rPr>
                <w:color w:val="00B050"/>
                <w:szCs w:val="22"/>
              </w:rPr>
              <w:sym w:font="Wingdings" w:char="F06C"/>
            </w:r>
          </w:p>
        </w:tc>
      </w:tr>
      <w:tr w:rsidR="00394CA8" w:rsidRPr="00A859F2" w14:paraId="6DCD42B7" w14:textId="77777777" w:rsidTr="00851C67">
        <w:trPr>
          <w:cantSplit/>
          <w:trHeight w:val="153"/>
        </w:trPr>
        <w:tc>
          <w:tcPr>
            <w:tcW w:w="1441" w:type="pct"/>
            <w:shd w:val="clear" w:color="auto" w:fill="auto"/>
            <w:tcMar>
              <w:top w:w="85" w:type="dxa"/>
              <w:bottom w:w="85" w:type="dxa"/>
            </w:tcMar>
          </w:tcPr>
          <w:p w14:paraId="6D152FFF"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0DF3754" w14:textId="77777777" w:rsidR="00394CA8" w:rsidRPr="00A859F2" w:rsidRDefault="00394CA8" w:rsidP="00394CA8">
            <w:pPr>
              <w:rPr>
                <w:sz w:val="16"/>
                <w:szCs w:val="16"/>
              </w:rPr>
            </w:pPr>
            <w:r w:rsidRPr="00A859F2">
              <w:rPr>
                <w:sz w:val="16"/>
                <w:szCs w:val="16"/>
              </w:rPr>
              <w:t>Économies sur les achats de biens et de services effectués par l’OMPI (par suite d’invitations à soumissionner ou de négociations directes)</w:t>
            </w:r>
          </w:p>
        </w:tc>
        <w:tc>
          <w:tcPr>
            <w:tcW w:w="840" w:type="pct"/>
            <w:shd w:val="clear" w:color="auto" w:fill="FFFFFF"/>
            <w:tcMar>
              <w:top w:w="85" w:type="dxa"/>
              <w:bottom w:w="85" w:type="dxa"/>
            </w:tcMar>
          </w:tcPr>
          <w:p w14:paraId="6E5A8EB8" w14:textId="77777777" w:rsidR="00394CA8" w:rsidRPr="00A859F2" w:rsidRDefault="00394CA8" w:rsidP="00394CA8">
            <w:pPr>
              <w:spacing w:before="40"/>
              <w:jc w:val="cente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232216B1" w14:textId="77777777" w:rsidR="00394CA8" w:rsidRPr="00A859F2" w:rsidRDefault="00394CA8" w:rsidP="00394CA8">
            <w:pPr>
              <w:jc w:val="center"/>
              <w:rPr>
                <w:color w:val="A6A6A6" w:themeColor="background1" w:themeShade="A6"/>
                <w:szCs w:val="22"/>
              </w:rPr>
            </w:pPr>
            <w:r w:rsidRPr="00A859F2">
              <w:rPr>
                <w:color w:val="FF0000"/>
                <w:szCs w:val="22"/>
              </w:rPr>
              <w:sym w:font="Wingdings" w:char="F06C"/>
            </w:r>
          </w:p>
        </w:tc>
      </w:tr>
      <w:tr w:rsidR="00394CA8" w:rsidRPr="00A859F2" w14:paraId="622C2E69" w14:textId="77777777" w:rsidTr="00851C67">
        <w:trPr>
          <w:cantSplit/>
          <w:trHeight w:val="16"/>
        </w:trPr>
        <w:tc>
          <w:tcPr>
            <w:tcW w:w="1441" w:type="pct"/>
            <w:shd w:val="clear" w:color="auto" w:fill="auto"/>
            <w:tcMar>
              <w:top w:w="85" w:type="dxa"/>
              <w:bottom w:w="85" w:type="dxa"/>
            </w:tcMar>
          </w:tcPr>
          <w:p w14:paraId="76854C15"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2C4A727" w14:textId="77777777" w:rsidR="00394CA8" w:rsidRPr="00A859F2" w:rsidRDefault="00394CA8" w:rsidP="00394CA8">
            <w:pPr>
              <w:rPr>
                <w:sz w:val="16"/>
                <w:szCs w:val="16"/>
              </w:rPr>
            </w:pPr>
            <w:r w:rsidRPr="00A859F2">
              <w:rPr>
                <w:sz w:val="16"/>
                <w:szCs w:val="16"/>
              </w:rPr>
              <w:t>Temps de traitement des demandes électroniques</w:t>
            </w:r>
          </w:p>
        </w:tc>
        <w:tc>
          <w:tcPr>
            <w:tcW w:w="840" w:type="pct"/>
            <w:shd w:val="clear" w:color="auto" w:fill="FFFFFF"/>
            <w:tcMar>
              <w:top w:w="85" w:type="dxa"/>
              <w:bottom w:w="85" w:type="dxa"/>
            </w:tcMar>
          </w:tcPr>
          <w:p w14:paraId="7D4D882A" w14:textId="77777777" w:rsidR="00394CA8" w:rsidRPr="00A859F2" w:rsidRDefault="00394CA8" w:rsidP="00394CA8">
            <w:pPr>
              <w:spacing w:before="40"/>
              <w:jc w:val="cente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226D9CFC" w14:textId="77777777" w:rsidR="00394CA8" w:rsidRPr="00A859F2" w:rsidRDefault="00394CA8" w:rsidP="00394CA8">
            <w:pPr>
              <w:jc w:val="center"/>
            </w:pPr>
            <w:r w:rsidRPr="00A859F2">
              <w:rPr>
                <w:color w:val="00B050"/>
                <w:szCs w:val="22"/>
              </w:rPr>
              <w:sym w:font="Wingdings" w:char="F06C"/>
            </w:r>
          </w:p>
        </w:tc>
      </w:tr>
      <w:tr w:rsidR="00394CA8" w:rsidRPr="00A859F2" w14:paraId="7ABC8356" w14:textId="77777777" w:rsidTr="00851C67">
        <w:trPr>
          <w:cantSplit/>
          <w:trHeight w:val="16"/>
        </w:trPr>
        <w:tc>
          <w:tcPr>
            <w:tcW w:w="1441" w:type="pct"/>
            <w:shd w:val="clear" w:color="auto" w:fill="auto"/>
            <w:tcMar>
              <w:top w:w="85" w:type="dxa"/>
              <w:bottom w:w="85" w:type="dxa"/>
            </w:tcMar>
          </w:tcPr>
          <w:p w14:paraId="53FD5B31"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9A059F7" w14:textId="77777777" w:rsidR="00394CA8" w:rsidRPr="00A859F2" w:rsidRDefault="00394CA8" w:rsidP="00394CA8">
            <w:pPr>
              <w:rPr>
                <w:sz w:val="16"/>
                <w:szCs w:val="16"/>
              </w:rPr>
            </w:pPr>
            <w:r w:rsidRPr="00A859F2">
              <w:rPr>
                <w:sz w:val="16"/>
                <w:szCs w:val="16"/>
              </w:rPr>
              <w:t>Temps de traitement des autorisations de voyage électroniques</w:t>
            </w:r>
          </w:p>
        </w:tc>
        <w:tc>
          <w:tcPr>
            <w:tcW w:w="840" w:type="pct"/>
            <w:shd w:val="clear" w:color="auto" w:fill="FFFFFF"/>
            <w:tcMar>
              <w:top w:w="85" w:type="dxa"/>
              <w:bottom w:w="85" w:type="dxa"/>
            </w:tcMar>
          </w:tcPr>
          <w:p w14:paraId="57A83989" w14:textId="77777777" w:rsidR="00394CA8" w:rsidRPr="00A859F2" w:rsidRDefault="00394CA8" w:rsidP="00394CA8">
            <w:pPr>
              <w:spacing w:before="40"/>
              <w:jc w:val="cente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6BB430AE"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6555836F" w14:textId="77777777" w:rsidTr="00851C67">
        <w:trPr>
          <w:cantSplit/>
          <w:trHeight w:val="118"/>
        </w:trPr>
        <w:tc>
          <w:tcPr>
            <w:tcW w:w="1441" w:type="pct"/>
            <w:shd w:val="clear" w:color="auto" w:fill="auto"/>
            <w:tcMar>
              <w:top w:w="85" w:type="dxa"/>
              <w:bottom w:w="85" w:type="dxa"/>
            </w:tcMar>
          </w:tcPr>
          <w:p w14:paraId="2D076B4F"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0AC934A" w14:textId="77777777" w:rsidR="00394CA8" w:rsidRPr="00A859F2" w:rsidRDefault="00394CA8" w:rsidP="00394CA8">
            <w:pPr>
              <w:rPr>
                <w:sz w:val="16"/>
                <w:szCs w:val="16"/>
              </w:rPr>
            </w:pPr>
            <w:r w:rsidRPr="00A859F2">
              <w:rPr>
                <w:sz w:val="16"/>
                <w:szCs w:val="16"/>
              </w:rPr>
              <w:t>Temps de traitement des visas</w:t>
            </w:r>
          </w:p>
        </w:tc>
        <w:tc>
          <w:tcPr>
            <w:tcW w:w="840" w:type="pct"/>
            <w:shd w:val="clear" w:color="auto" w:fill="FFFFFF"/>
            <w:tcMar>
              <w:top w:w="85" w:type="dxa"/>
              <w:bottom w:w="85" w:type="dxa"/>
            </w:tcMar>
          </w:tcPr>
          <w:p w14:paraId="479B2C57"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2700D0C3" w14:textId="77777777" w:rsidR="00394CA8" w:rsidRPr="00A859F2" w:rsidRDefault="00394CA8" w:rsidP="00394CA8">
            <w:pPr>
              <w:jc w:val="center"/>
            </w:pPr>
            <w:r w:rsidRPr="00A859F2">
              <w:rPr>
                <w:color w:val="00B050"/>
                <w:szCs w:val="22"/>
              </w:rPr>
              <w:sym w:font="Wingdings" w:char="F06C"/>
            </w:r>
          </w:p>
        </w:tc>
      </w:tr>
      <w:tr w:rsidR="00394CA8" w:rsidRPr="00A859F2" w14:paraId="62CC5C1A" w14:textId="77777777" w:rsidTr="00851C67">
        <w:trPr>
          <w:cantSplit/>
          <w:trHeight w:val="82"/>
        </w:trPr>
        <w:tc>
          <w:tcPr>
            <w:tcW w:w="1441" w:type="pct"/>
            <w:shd w:val="clear" w:color="auto" w:fill="auto"/>
            <w:tcMar>
              <w:top w:w="85" w:type="dxa"/>
              <w:bottom w:w="85" w:type="dxa"/>
            </w:tcMar>
          </w:tcPr>
          <w:p w14:paraId="1CA014D0" w14:textId="77777777" w:rsidR="00394CA8" w:rsidRPr="00A859F2" w:rsidRDefault="00394CA8" w:rsidP="00394CA8">
            <w:pPr>
              <w:rPr>
                <w:sz w:val="16"/>
                <w:szCs w:val="16"/>
              </w:rPr>
            </w:pPr>
          </w:p>
        </w:tc>
        <w:tc>
          <w:tcPr>
            <w:tcW w:w="2040" w:type="pct"/>
            <w:shd w:val="clear" w:color="auto" w:fill="auto"/>
            <w:tcMar>
              <w:top w:w="85" w:type="dxa"/>
              <w:bottom w:w="85" w:type="dxa"/>
            </w:tcMar>
          </w:tcPr>
          <w:p w14:paraId="444B4116" w14:textId="77777777" w:rsidR="00394CA8" w:rsidRPr="00A859F2" w:rsidRDefault="00394CA8" w:rsidP="00394CA8">
            <w:pPr>
              <w:rPr>
                <w:bCs/>
                <w:sz w:val="16"/>
                <w:szCs w:val="16"/>
              </w:rPr>
            </w:pPr>
            <w:r w:rsidRPr="00A859F2">
              <w:rPr>
                <w:bCs/>
                <w:sz w:val="16"/>
                <w:szCs w:val="16"/>
              </w:rPr>
              <w:t>Moyenne TMC du prix d’un billet</w:t>
            </w:r>
          </w:p>
        </w:tc>
        <w:tc>
          <w:tcPr>
            <w:tcW w:w="840" w:type="pct"/>
            <w:shd w:val="clear" w:color="auto" w:fill="FFFFFF"/>
            <w:tcMar>
              <w:top w:w="85" w:type="dxa"/>
              <w:bottom w:w="85" w:type="dxa"/>
            </w:tcMar>
          </w:tcPr>
          <w:p w14:paraId="160CB473"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00734FE3"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4D7621AA" w14:textId="77777777" w:rsidTr="00851C67">
        <w:trPr>
          <w:cantSplit/>
          <w:trHeight w:val="224"/>
        </w:trPr>
        <w:tc>
          <w:tcPr>
            <w:tcW w:w="1441" w:type="pct"/>
            <w:shd w:val="clear" w:color="auto" w:fill="auto"/>
            <w:tcMar>
              <w:top w:w="85" w:type="dxa"/>
              <w:bottom w:w="85" w:type="dxa"/>
            </w:tcMar>
          </w:tcPr>
          <w:p w14:paraId="54F64AD4" w14:textId="77777777" w:rsidR="00394CA8" w:rsidRPr="00A859F2" w:rsidRDefault="00394CA8" w:rsidP="00394CA8">
            <w:pPr>
              <w:rPr>
                <w:sz w:val="16"/>
                <w:szCs w:val="16"/>
              </w:rPr>
            </w:pPr>
          </w:p>
        </w:tc>
        <w:tc>
          <w:tcPr>
            <w:tcW w:w="2040" w:type="pct"/>
            <w:shd w:val="clear" w:color="auto" w:fill="auto"/>
            <w:tcMar>
              <w:top w:w="85" w:type="dxa"/>
              <w:bottom w:w="85" w:type="dxa"/>
            </w:tcMar>
          </w:tcPr>
          <w:p w14:paraId="07A19637" w14:textId="77777777" w:rsidR="00394CA8" w:rsidRPr="00A859F2" w:rsidRDefault="00394CA8" w:rsidP="00394CA8">
            <w:pPr>
              <w:rPr>
                <w:sz w:val="16"/>
                <w:szCs w:val="16"/>
              </w:rPr>
            </w:pPr>
            <w:r w:rsidRPr="00A859F2">
              <w:rPr>
                <w:sz w:val="16"/>
                <w:szCs w:val="16"/>
              </w:rPr>
              <w:t>Moyenne globale du prix d’un billet</w:t>
            </w:r>
          </w:p>
        </w:tc>
        <w:tc>
          <w:tcPr>
            <w:tcW w:w="840" w:type="pct"/>
            <w:shd w:val="clear" w:color="auto" w:fill="FFFFFF"/>
            <w:tcMar>
              <w:top w:w="85" w:type="dxa"/>
              <w:bottom w:w="85" w:type="dxa"/>
            </w:tcMar>
          </w:tcPr>
          <w:p w14:paraId="5D0C5E5F"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3E8D4AAA" w14:textId="77777777" w:rsidR="00394CA8" w:rsidRPr="00A859F2" w:rsidRDefault="00394CA8" w:rsidP="00394CA8">
            <w:pPr>
              <w:jc w:val="center"/>
            </w:pPr>
            <w:r w:rsidRPr="00A859F2">
              <w:rPr>
                <w:color w:val="00B050"/>
                <w:szCs w:val="22"/>
              </w:rPr>
              <w:sym w:font="Wingdings" w:char="F06C"/>
            </w:r>
          </w:p>
        </w:tc>
      </w:tr>
      <w:tr w:rsidR="00394CA8" w:rsidRPr="00A859F2" w14:paraId="6FE46A89" w14:textId="77777777" w:rsidTr="00851C67">
        <w:trPr>
          <w:cantSplit/>
          <w:trHeight w:val="216"/>
        </w:trPr>
        <w:tc>
          <w:tcPr>
            <w:tcW w:w="1441" w:type="pct"/>
            <w:shd w:val="clear" w:color="auto" w:fill="auto"/>
            <w:tcMar>
              <w:top w:w="85" w:type="dxa"/>
              <w:bottom w:w="85" w:type="dxa"/>
            </w:tcMar>
          </w:tcPr>
          <w:p w14:paraId="47F662A8" w14:textId="77777777" w:rsidR="00394CA8" w:rsidRPr="00A859F2" w:rsidRDefault="00394CA8" w:rsidP="00394CA8">
            <w:pPr>
              <w:rPr>
                <w:sz w:val="16"/>
                <w:szCs w:val="16"/>
              </w:rPr>
            </w:pPr>
          </w:p>
        </w:tc>
        <w:tc>
          <w:tcPr>
            <w:tcW w:w="2040" w:type="pct"/>
            <w:shd w:val="clear" w:color="auto" w:fill="auto"/>
            <w:tcMar>
              <w:top w:w="85" w:type="dxa"/>
              <w:bottom w:w="85" w:type="dxa"/>
            </w:tcMar>
          </w:tcPr>
          <w:p w14:paraId="52339016" w14:textId="77777777" w:rsidR="00394CA8" w:rsidRPr="00A859F2" w:rsidRDefault="00394CA8" w:rsidP="00394CA8">
            <w:pPr>
              <w:rPr>
                <w:sz w:val="16"/>
                <w:szCs w:val="16"/>
              </w:rPr>
            </w:pPr>
            <w:r w:rsidRPr="00A859F2">
              <w:rPr>
                <w:sz w:val="16"/>
                <w:szCs w:val="16"/>
              </w:rPr>
              <w:t>Coût moyen des frais de service</w:t>
            </w:r>
          </w:p>
        </w:tc>
        <w:tc>
          <w:tcPr>
            <w:tcW w:w="840" w:type="pct"/>
            <w:shd w:val="clear" w:color="auto" w:fill="FFFFFF"/>
            <w:tcMar>
              <w:top w:w="85" w:type="dxa"/>
              <w:bottom w:w="85" w:type="dxa"/>
            </w:tcMar>
          </w:tcPr>
          <w:p w14:paraId="1F2B79A8"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61E6D774"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50C95629" w14:textId="77777777" w:rsidTr="00851C67">
        <w:trPr>
          <w:cantSplit/>
          <w:trHeight w:val="335"/>
        </w:trPr>
        <w:tc>
          <w:tcPr>
            <w:tcW w:w="1441" w:type="pct"/>
            <w:shd w:val="clear" w:color="auto" w:fill="auto"/>
            <w:tcMar>
              <w:top w:w="85" w:type="dxa"/>
              <w:bottom w:w="85" w:type="dxa"/>
            </w:tcMar>
          </w:tcPr>
          <w:p w14:paraId="28D7EB1A"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E631C7C" w14:textId="77777777" w:rsidR="00394CA8" w:rsidRPr="00A859F2" w:rsidRDefault="00394CA8" w:rsidP="00394CA8">
            <w:pPr>
              <w:rPr>
                <w:sz w:val="16"/>
                <w:szCs w:val="16"/>
              </w:rPr>
            </w:pPr>
            <w:r w:rsidRPr="00A859F2">
              <w:rPr>
                <w:sz w:val="16"/>
                <w:szCs w:val="16"/>
              </w:rPr>
              <w:t>Locaux et installations de l’OMPI restant adaptés à l’usage prévu</w:t>
            </w:r>
          </w:p>
        </w:tc>
        <w:tc>
          <w:tcPr>
            <w:tcW w:w="840" w:type="pct"/>
            <w:shd w:val="clear" w:color="auto" w:fill="FFFFFF"/>
            <w:tcMar>
              <w:top w:w="85" w:type="dxa"/>
              <w:bottom w:w="85" w:type="dxa"/>
            </w:tcMar>
          </w:tcPr>
          <w:p w14:paraId="3B48AB4C"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6DE04BD0" w14:textId="77777777" w:rsidR="00394CA8" w:rsidRPr="00A859F2" w:rsidRDefault="00394CA8" w:rsidP="00394CA8">
            <w:pPr>
              <w:jc w:val="center"/>
            </w:pPr>
            <w:r w:rsidRPr="00A859F2">
              <w:rPr>
                <w:color w:val="00B050"/>
                <w:szCs w:val="22"/>
              </w:rPr>
              <w:sym w:font="Wingdings" w:char="F06C"/>
            </w:r>
          </w:p>
        </w:tc>
      </w:tr>
      <w:tr w:rsidR="00394CA8" w:rsidRPr="00A859F2" w14:paraId="219CBD0F" w14:textId="77777777" w:rsidTr="00851C67">
        <w:trPr>
          <w:cantSplit/>
          <w:trHeight w:val="343"/>
        </w:trPr>
        <w:tc>
          <w:tcPr>
            <w:tcW w:w="1441" w:type="pct"/>
            <w:shd w:val="clear" w:color="auto" w:fill="auto"/>
            <w:tcMar>
              <w:top w:w="85" w:type="dxa"/>
              <w:bottom w:w="85" w:type="dxa"/>
            </w:tcMar>
          </w:tcPr>
          <w:p w14:paraId="56FB3670"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E6454D4" w14:textId="77777777" w:rsidR="00394CA8" w:rsidRPr="00A859F2" w:rsidRDefault="00394CA8" w:rsidP="00394CA8">
            <w:pPr>
              <w:rPr>
                <w:sz w:val="16"/>
                <w:szCs w:val="16"/>
              </w:rPr>
            </w:pPr>
            <w:r w:rsidRPr="00A859F2">
              <w:rPr>
                <w:sz w:val="16"/>
                <w:szCs w:val="16"/>
              </w:rPr>
              <w:t>Utiliser de manière optimale les locaux de l’OMPI et tous les types d’espace</w:t>
            </w:r>
          </w:p>
        </w:tc>
        <w:tc>
          <w:tcPr>
            <w:tcW w:w="840" w:type="pct"/>
            <w:shd w:val="clear" w:color="auto" w:fill="FFFFFF"/>
            <w:tcMar>
              <w:top w:w="85" w:type="dxa"/>
              <w:bottom w:w="85" w:type="dxa"/>
            </w:tcMar>
          </w:tcPr>
          <w:p w14:paraId="6A1749AA"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1A71FA51"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0EE444B2" w14:textId="77777777" w:rsidTr="00851C67">
        <w:trPr>
          <w:cantSplit/>
          <w:trHeight w:val="209"/>
        </w:trPr>
        <w:tc>
          <w:tcPr>
            <w:tcW w:w="1441" w:type="pct"/>
            <w:shd w:val="clear" w:color="auto" w:fill="auto"/>
            <w:tcMar>
              <w:top w:w="85" w:type="dxa"/>
              <w:bottom w:w="85" w:type="dxa"/>
            </w:tcMar>
          </w:tcPr>
          <w:p w14:paraId="150DB4CE" w14:textId="77777777" w:rsidR="00394CA8" w:rsidRPr="00A859F2" w:rsidRDefault="00394CA8" w:rsidP="00394CA8">
            <w:pPr>
              <w:rPr>
                <w:sz w:val="16"/>
                <w:szCs w:val="16"/>
              </w:rPr>
            </w:pPr>
          </w:p>
        </w:tc>
        <w:tc>
          <w:tcPr>
            <w:tcW w:w="2040" w:type="pct"/>
            <w:shd w:val="clear" w:color="auto" w:fill="auto"/>
            <w:tcMar>
              <w:top w:w="85" w:type="dxa"/>
              <w:bottom w:w="85" w:type="dxa"/>
            </w:tcMar>
          </w:tcPr>
          <w:p w14:paraId="49DDF9D5" w14:textId="77777777" w:rsidR="00394CA8" w:rsidRPr="00A859F2" w:rsidRDefault="00394CA8" w:rsidP="00394CA8">
            <w:pPr>
              <w:rPr>
                <w:bCs/>
                <w:sz w:val="16"/>
                <w:szCs w:val="16"/>
              </w:rPr>
            </w:pPr>
            <w:r w:rsidRPr="00A859F2">
              <w:rPr>
                <w:bCs/>
                <w:sz w:val="16"/>
                <w:szCs w:val="16"/>
              </w:rPr>
              <w:t>Pourcentage d’articles de haute valeur (c.</w:t>
            </w:r>
            <w:r>
              <w:rPr>
                <w:bCs/>
                <w:sz w:val="16"/>
                <w:szCs w:val="16"/>
              </w:rPr>
              <w:noBreakHyphen/>
            </w:r>
            <w:r w:rsidRPr="00A859F2">
              <w:rPr>
                <w:bCs/>
                <w:sz w:val="16"/>
                <w:szCs w:val="16"/>
              </w:rPr>
              <w:t>à</w:t>
            </w:r>
            <w:r>
              <w:rPr>
                <w:bCs/>
                <w:sz w:val="16"/>
                <w:szCs w:val="16"/>
              </w:rPr>
              <w:noBreakHyphen/>
            </w:r>
            <w:r w:rsidRPr="00A859F2">
              <w:rPr>
                <w:bCs/>
                <w:sz w:val="16"/>
                <w:szCs w:val="16"/>
              </w:rPr>
              <w:t>d. &gt;5000 francs suisses) inventoriés</w:t>
            </w:r>
          </w:p>
        </w:tc>
        <w:tc>
          <w:tcPr>
            <w:tcW w:w="840" w:type="pct"/>
            <w:shd w:val="clear" w:color="auto" w:fill="FFFFFF"/>
            <w:tcMar>
              <w:top w:w="85" w:type="dxa"/>
              <w:bottom w:w="85" w:type="dxa"/>
            </w:tcMar>
          </w:tcPr>
          <w:p w14:paraId="63C646A7"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4891728C" w14:textId="77777777" w:rsidR="00394CA8" w:rsidRPr="00A859F2" w:rsidRDefault="00394CA8" w:rsidP="00394CA8">
            <w:pPr>
              <w:jc w:val="center"/>
            </w:pPr>
            <w:r w:rsidRPr="00A859F2">
              <w:rPr>
                <w:color w:val="00B050"/>
                <w:szCs w:val="22"/>
              </w:rPr>
              <w:sym w:font="Wingdings" w:char="F06C"/>
            </w:r>
          </w:p>
        </w:tc>
      </w:tr>
      <w:tr w:rsidR="00394CA8" w:rsidRPr="00A859F2" w14:paraId="75545D3B" w14:textId="77777777" w:rsidTr="00851C67">
        <w:trPr>
          <w:cantSplit/>
          <w:trHeight w:val="203"/>
        </w:trPr>
        <w:tc>
          <w:tcPr>
            <w:tcW w:w="1441" w:type="pct"/>
            <w:shd w:val="clear" w:color="auto" w:fill="auto"/>
            <w:tcMar>
              <w:top w:w="85" w:type="dxa"/>
              <w:bottom w:w="85" w:type="dxa"/>
            </w:tcMar>
          </w:tcPr>
          <w:p w14:paraId="662C205A" w14:textId="77777777" w:rsidR="00394CA8" w:rsidRPr="00A859F2" w:rsidRDefault="00394CA8" w:rsidP="00394CA8">
            <w:pPr>
              <w:rPr>
                <w:sz w:val="16"/>
                <w:szCs w:val="16"/>
              </w:rPr>
            </w:pPr>
          </w:p>
        </w:tc>
        <w:tc>
          <w:tcPr>
            <w:tcW w:w="2040" w:type="pct"/>
            <w:shd w:val="clear" w:color="auto" w:fill="auto"/>
            <w:tcMar>
              <w:top w:w="85" w:type="dxa"/>
              <w:bottom w:w="85" w:type="dxa"/>
            </w:tcMar>
          </w:tcPr>
          <w:p w14:paraId="45E205AB" w14:textId="77777777" w:rsidR="00394CA8" w:rsidRPr="00A859F2" w:rsidRDefault="00394CA8" w:rsidP="00394CA8">
            <w:pPr>
              <w:rPr>
                <w:sz w:val="16"/>
                <w:szCs w:val="16"/>
              </w:rPr>
            </w:pPr>
            <w:r w:rsidRPr="00A859F2">
              <w:rPr>
                <w:sz w:val="16"/>
                <w:szCs w:val="16"/>
              </w:rPr>
              <w:t>Pourcentage d’articles compris entre 1000 et 5000 francs suisses, œuvres d’art et articles d’une certaine valeur</w:t>
            </w:r>
          </w:p>
        </w:tc>
        <w:tc>
          <w:tcPr>
            <w:tcW w:w="840" w:type="pct"/>
            <w:shd w:val="clear" w:color="auto" w:fill="FFFFFF"/>
            <w:tcMar>
              <w:top w:w="85" w:type="dxa"/>
              <w:bottom w:w="85" w:type="dxa"/>
            </w:tcMar>
          </w:tcPr>
          <w:p w14:paraId="0B005D52"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2808D15B"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70C0"/>
                <w:szCs w:val="22"/>
              </w:rPr>
              <w:sym w:font="Wingdings" w:char="F06C"/>
            </w:r>
          </w:p>
        </w:tc>
      </w:tr>
      <w:tr w:rsidR="00394CA8" w:rsidRPr="00A859F2" w14:paraId="498B1CD8" w14:textId="77777777" w:rsidTr="00851C67">
        <w:trPr>
          <w:cantSplit/>
          <w:trHeight w:val="211"/>
        </w:trPr>
        <w:tc>
          <w:tcPr>
            <w:tcW w:w="1441" w:type="pct"/>
            <w:shd w:val="clear" w:color="auto" w:fill="auto"/>
            <w:tcMar>
              <w:top w:w="85" w:type="dxa"/>
              <w:bottom w:w="85" w:type="dxa"/>
            </w:tcMar>
          </w:tcPr>
          <w:p w14:paraId="4089A415"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B689902" w14:textId="77777777" w:rsidR="00394CA8" w:rsidRPr="00A859F2" w:rsidRDefault="00394CA8" w:rsidP="00394CA8">
            <w:pPr>
              <w:rPr>
                <w:sz w:val="16"/>
                <w:szCs w:val="16"/>
              </w:rPr>
            </w:pPr>
            <w:r w:rsidRPr="00A859F2">
              <w:rPr>
                <w:bCs/>
                <w:sz w:val="16"/>
                <w:szCs w:val="16"/>
              </w:rPr>
              <w:t>Les plateformes TIC sont hébergées et gérées de manière rentable, conformément aux demandes liées à l’activité</w:t>
            </w:r>
          </w:p>
        </w:tc>
        <w:tc>
          <w:tcPr>
            <w:tcW w:w="840" w:type="pct"/>
            <w:shd w:val="clear" w:color="auto" w:fill="FFFFFF"/>
            <w:tcMar>
              <w:top w:w="85" w:type="dxa"/>
              <w:bottom w:w="85" w:type="dxa"/>
            </w:tcMar>
          </w:tcPr>
          <w:p w14:paraId="76C2EAB1"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25</w:t>
            </w:r>
          </w:p>
        </w:tc>
        <w:tc>
          <w:tcPr>
            <w:tcW w:w="679" w:type="pct"/>
            <w:shd w:val="clear" w:color="auto" w:fill="auto"/>
            <w:tcMar>
              <w:top w:w="85" w:type="dxa"/>
              <w:bottom w:w="85" w:type="dxa"/>
            </w:tcMar>
          </w:tcPr>
          <w:p w14:paraId="2EB28A01" w14:textId="77777777" w:rsidR="00394CA8" w:rsidRPr="00A859F2" w:rsidRDefault="00394CA8" w:rsidP="00394CA8">
            <w:pPr>
              <w:jc w:val="center"/>
              <w:rPr>
                <w:color w:val="00B050"/>
                <w:szCs w:val="22"/>
              </w:rPr>
            </w:pPr>
            <w:r w:rsidRPr="00A859F2">
              <w:rPr>
                <w:color w:val="00B050"/>
                <w:szCs w:val="22"/>
              </w:rPr>
              <w:sym w:font="Wingdings" w:char="F06C"/>
            </w:r>
            <w:r w:rsidRPr="00A859F2">
              <w:rPr>
                <w:color w:val="FF0000"/>
                <w:szCs w:val="22"/>
              </w:rPr>
              <w:sym w:font="Wingdings" w:char="F06C"/>
            </w:r>
            <w:r w:rsidRPr="00A859F2">
              <w:rPr>
                <w:color w:val="FF0000"/>
                <w:szCs w:val="22"/>
              </w:rPr>
              <w:sym w:font="Wingdings" w:char="F06C"/>
            </w:r>
            <w:r w:rsidRPr="00A859F2">
              <w:rPr>
                <w:color w:val="00B050"/>
                <w:szCs w:val="22"/>
              </w:rPr>
              <w:sym w:font="Wingdings" w:char="F06C"/>
            </w:r>
          </w:p>
          <w:p w14:paraId="12650C07" w14:textId="77777777" w:rsidR="00394CA8" w:rsidRPr="00A859F2" w:rsidRDefault="00394CA8" w:rsidP="00394CA8">
            <w:pPr>
              <w:jc w:val="center"/>
            </w:pPr>
            <w:r w:rsidRPr="00A859F2">
              <w:rPr>
                <w:color w:val="00B050"/>
                <w:szCs w:val="22"/>
              </w:rPr>
              <w:sym w:font="Wingdings" w:char="F06C"/>
            </w:r>
          </w:p>
        </w:tc>
      </w:tr>
      <w:tr w:rsidR="00394CA8" w:rsidRPr="00A859F2" w14:paraId="0883719C" w14:textId="77777777" w:rsidTr="00851C67">
        <w:trPr>
          <w:cantSplit/>
          <w:trHeight w:val="222"/>
        </w:trPr>
        <w:tc>
          <w:tcPr>
            <w:tcW w:w="1441" w:type="pct"/>
            <w:shd w:val="clear" w:color="auto" w:fill="auto"/>
            <w:tcMar>
              <w:top w:w="85" w:type="dxa"/>
              <w:bottom w:w="85" w:type="dxa"/>
            </w:tcMar>
          </w:tcPr>
          <w:p w14:paraId="78DE5C10" w14:textId="77777777" w:rsidR="00394CA8" w:rsidRPr="00A859F2" w:rsidRDefault="00394CA8" w:rsidP="00394CA8">
            <w:pPr>
              <w:rPr>
                <w:sz w:val="16"/>
                <w:szCs w:val="16"/>
              </w:rPr>
            </w:pPr>
          </w:p>
        </w:tc>
        <w:tc>
          <w:tcPr>
            <w:tcW w:w="2040" w:type="pct"/>
            <w:shd w:val="clear" w:color="auto" w:fill="auto"/>
            <w:tcMar>
              <w:top w:w="85" w:type="dxa"/>
              <w:bottom w:w="85" w:type="dxa"/>
            </w:tcMar>
          </w:tcPr>
          <w:p w14:paraId="057ECA9A" w14:textId="77777777" w:rsidR="00394CA8" w:rsidRPr="00A859F2" w:rsidRDefault="00394CA8" w:rsidP="00394CA8">
            <w:pPr>
              <w:rPr>
                <w:sz w:val="16"/>
                <w:szCs w:val="16"/>
              </w:rPr>
            </w:pPr>
            <w:r w:rsidRPr="00A859F2">
              <w:rPr>
                <w:sz w:val="16"/>
                <w:szCs w:val="16"/>
              </w:rPr>
              <w:t>Les activités de développement des applications sont conformes aux normes de l’OMPI en matière de références et de données de base.</w:t>
            </w:r>
          </w:p>
        </w:tc>
        <w:tc>
          <w:tcPr>
            <w:tcW w:w="840" w:type="pct"/>
            <w:shd w:val="clear" w:color="auto" w:fill="FFFFFF"/>
            <w:tcMar>
              <w:top w:w="85" w:type="dxa"/>
              <w:bottom w:w="85" w:type="dxa"/>
            </w:tcMar>
          </w:tcPr>
          <w:p w14:paraId="6C2F21ED"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25</w:t>
            </w:r>
          </w:p>
        </w:tc>
        <w:tc>
          <w:tcPr>
            <w:tcW w:w="679" w:type="pct"/>
            <w:shd w:val="clear" w:color="auto" w:fill="auto"/>
            <w:tcMar>
              <w:top w:w="85" w:type="dxa"/>
              <w:bottom w:w="85" w:type="dxa"/>
            </w:tcMar>
          </w:tcPr>
          <w:p w14:paraId="673572D6" w14:textId="77777777" w:rsidR="00394CA8" w:rsidRPr="00A859F2" w:rsidRDefault="00394CA8" w:rsidP="00394CA8">
            <w:pPr>
              <w:jc w:val="center"/>
              <w:rPr>
                <w:color w:val="A6A6A6" w:themeColor="background1" w:themeShade="A6"/>
                <w:szCs w:val="22"/>
              </w:rPr>
            </w:pPr>
            <w:r w:rsidRPr="00A859F2">
              <w:rPr>
                <w:color w:val="FF0000"/>
                <w:szCs w:val="22"/>
              </w:rPr>
              <w:sym w:font="Wingdings" w:char="F06C"/>
            </w:r>
          </w:p>
        </w:tc>
      </w:tr>
      <w:tr w:rsidR="00394CA8" w:rsidRPr="00A859F2" w14:paraId="77775B07" w14:textId="77777777" w:rsidTr="00851C67">
        <w:trPr>
          <w:cantSplit/>
          <w:trHeight w:val="230"/>
        </w:trPr>
        <w:tc>
          <w:tcPr>
            <w:tcW w:w="1441" w:type="pct"/>
            <w:shd w:val="clear" w:color="auto" w:fill="auto"/>
            <w:tcMar>
              <w:top w:w="85" w:type="dxa"/>
              <w:bottom w:w="85" w:type="dxa"/>
            </w:tcMar>
          </w:tcPr>
          <w:p w14:paraId="35AA166F" w14:textId="77777777" w:rsidR="00394CA8" w:rsidRPr="00A859F2" w:rsidRDefault="00394CA8" w:rsidP="00394CA8">
            <w:pPr>
              <w:rPr>
                <w:sz w:val="16"/>
                <w:szCs w:val="16"/>
              </w:rPr>
            </w:pPr>
          </w:p>
        </w:tc>
        <w:tc>
          <w:tcPr>
            <w:tcW w:w="2040" w:type="pct"/>
            <w:shd w:val="clear" w:color="auto" w:fill="auto"/>
            <w:tcMar>
              <w:top w:w="85" w:type="dxa"/>
              <w:bottom w:w="85" w:type="dxa"/>
            </w:tcMar>
          </w:tcPr>
          <w:p w14:paraId="592B72F8" w14:textId="77777777" w:rsidR="00394CA8" w:rsidRPr="00A859F2" w:rsidRDefault="00394CA8" w:rsidP="00394CA8">
            <w:pPr>
              <w:rPr>
                <w:sz w:val="16"/>
                <w:szCs w:val="16"/>
              </w:rPr>
            </w:pPr>
            <w:r w:rsidRPr="00A859F2">
              <w:rPr>
                <w:sz w:val="16"/>
                <w:szCs w:val="16"/>
              </w:rPr>
              <w:t>Pourcentage de clients satisfaits des prestations du service d’assistance.</w:t>
            </w:r>
          </w:p>
        </w:tc>
        <w:tc>
          <w:tcPr>
            <w:tcW w:w="840" w:type="pct"/>
            <w:shd w:val="clear" w:color="auto" w:fill="FFFFFF"/>
            <w:tcMar>
              <w:top w:w="85" w:type="dxa"/>
              <w:bottom w:w="85" w:type="dxa"/>
            </w:tcMar>
          </w:tcPr>
          <w:p w14:paraId="72E67B58"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25</w:t>
            </w:r>
          </w:p>
        </w:tc>
        <w:tc>
          <w:tcPr>
            <w:tcW w:w="679" w:type="pct"/>
            <w:shd w:val="clear" w:color="auto" w:fill="auto"/>
            <w:tcMar>
              <w:top w:w="85" w:type="dxa"/>
              <w:bottom w:w="85" w:type="dxa"/>
            </w:tcMar>
          </w:tcPr>
          <w:p w14:paraId="0F16C45A"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65A01F3A" w14:textId="77777777" w:rsidTr="00851C67">
        <w:trPr>
          <w:cantSplit/>
          <w:trHeight w:val="516"/>
        </w:trPr>
        <w:tc>
          <w:tcPr>
            <w:tcW w:w="1441" w:type="pct"/>
            <w:shd w:val="clear" w:color="auto" w:fill="auto"/>
            <w:tcMar>
              <w:top w:w="85" w:type="dxa"/>
              <w:bottom w:w="85" w:type="dxa"/>
            </w:tcMar>
          </w:tcPr>
          <w:p w14:paraId="38EC0D6F" w14:textId="77777777" w:rsidR="00394CA8" w:rsidRPr="00A859F2" w:rsidRDefault="00394CA8" w:rsidP="00394CA8">
            <w:pPr>
              <w:rPr>
                <w:sz w:val="16"/>
                <w:szCs w:val="16"/>
              </w:rPr>
            </w:pPr>
          </w:p>
        </w:tc>
        <w:tc>
          <w:tcPr>
            <w:tcW w:w="2040" w:type="pct"/>
            <w:shd w:val="clear" w:color="auto" w:fill="auto"/>
            <w:tcMar>
              <w:top w:w="85" w:type="dxa"/>
              <w:bottom w:w="85" w:type="dxa"/>
            </w:tcMar>
          </w:tcPr>
          <w:p w14:paraId="52CC38C2" w14:textId="77777777" w:rsidR="00394CA8" w:rsidRPr="00A859F2" w:rsidRDefault="00394CA8" w:rsidP="00394CA8">
            <w:pPr>
              <w:rPr>
                <w:sz w:val="16"/>
                <w:szCs w:val="16"/>
              </w:rPr>
            </w:pPr>
            <w:r w:rsidRPr="00A859F2">
              <w:rPr>
                <w:sz w:val="16"/>
                <w:szCs w:val="16"/>
              </w:rPr>
              <w:t>Les projets de l’OMPI relatifs aux TIC sont gérés conformément aux principes directeurs de l’OMPI en matière de gestion de projets et aux principes directeurs de l’OMPI en matière de transition de services.</w:t>
            </w:r>
          </w:p>
        </w:tc>
        <w:tc>
          <w:tcPr>
            <w:tcW w:w="840" w:type="pct"/>
            <w:shd w:val="clear" w:color="auto" w:fill="FFFFFF"/>
            <w:tcMar>
              <w:top w:w="85" w:type="dxa"/>
              <w:bottom w:w="85" w:type="dxa"/>
            </w:tcMar>
          </w:tcPr>
          <w:p w14:paraId="7FAA57B8"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25</w:t>
            </w:r>
          </w:p>
        </w:tc>
        <w:tc>
          <w:tcPr>
            <w:tcW w:w="679" w:type="pct"/>
            <w:shd w:val="clear" w:color="auto" w:fill="auto"/>
            <w:tcMar>
              <w:top w:w="85" w:type="dxa"/>
              <w:bottom w:w="85" w:type="dxa"/>
            </w:tcMar>
          </w:tcPr>
          <w:p w14:paraId="44F4279A" w14:textId="77777777" w:rsidR="00394CA8" w:rsidRPr="00A859F2" w:rsidRDefault="00394CA8" w:rsidP="00394CA8">
            <w:pPr>
              <w:jc w:val="center"/>
            </w:pPr>
            <w:r w:rsidRPr="00A859F2">
              <w:rPr>
                <w:color w:val="00B050"/>
                <w:szCs w:val="22"/>
              </w:rPr>
              <w:sym w:font="Wingdings" w:char="F06C"/>
            </w:r>
            <w:r w:rsidRPr="00A859F2">
              <w:rPr>
                <w:color w:val="00B050"/>
                <w:szCs w:val="22"/>
              </w:rPr>
              <w:sym w:font="Wingdings" w:char="F06C"/>
            </w:r>
          </w:p>
        </w:tc>
      </w:tr>
      <w:tr w:rsidR="00394CA8" w:rsidRPr="00A859F2" w14:paraId="38BEFD0B" w14:textId="77777777" w:rsidTr="00851C67">
        <w:trPr>
          <w:cantSplit/>
          <w:trHeight w:val="335"/>
        </w:trPr>
        <w:tc>
          <w:tcPr>
            <w:tcW w:w="1441" w:type="pct"/>
            <w:shd w:val="clear" w:color="auto" w:fill="auto"/>
            <w:tcMar>
              <w:top w:w="85" w:type="dxa"/>
              <w:bottom w:w="85" w:type="dxa"/>
            </w:tcMar>
          </w:tcPr>
          <w:p w14:paraId="4ADADD92" w14:textId="77777777" w:rsidR="00394CA8" w:rsidRPr="00A859F2" w:rsidRDefault="00394CA8" w:rsidP="00394CA8">
            <w:pPr>
              <w:rPr>
                <w:sz w:val="16"/>
                <w:szCs w:val="16"/>
              </w:rPr>
            </w:pPr>
          </w:p>
        </w:tc>
        <w:tc>
          <w:tcPr>
            <w:tcW w:w="2040" w:type="pct"/>
            <w:shd w:val="clear" w:color="auto" w:fill="auto"/>
            <w:tcMar>
              <w:top w:w="85" w:type="dxa"/>
              <w:bottom w:w="85" w:type="dxa"/>
            </w:tcMar>
          </w:tcPr>
          <w:p w14:paraId="4972FA49" w14:textId="77777777" w:rsidR="00394CA8" w:rsidRPr="00A859F2" w:rsidRDefault="00394CA8" w:rsidP="00394CA8">
            <w:pPr>
              <w:rPr>
                <w:sz w:val="16"/>
                <w:szCs w:val="16"/>
              </w:rPr>
            </w:pPr>
            <w:r w:rsidRPr="00A859F2">
              <w:rPr>
                <w:sz w:val="16"/>
                <w:szCs w:val="16"/>
              </w:rPr>
              <w:t>Pourcentage de participants internes et externes satisfaits des services de conférence de l’OMPI.</w:t>
            </w:r>
          </w:p>
        </w:tc>
        <w:tc>
          <w:tcPr>
            <w:tcW w:w="840" w:type="pct"/>
            <w:shd w:val="clear" w:color="auto" w:fill="FFFFFF"/>
            <w:tcMar>
              <w:top w:w="85" w:type="dxa"/>
              <w:bottom w:w="85" w:type="dxa"/>
            </w:tcMar>
          </w:tcPr>
          <w:p w14:paraId="5AF8B0F6"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27</w:t>
            </w:r>
          </w:p>
        </w:tc>
        <w:tc>
          <w:tcPr>
            <w:tcW w:w="679" w:type="pct"/>
            <w:shd w:val="clear" w:color="auto" w:fill="auto"/>
            <w:tcMar>
              <w:top w:w="85" w:type="dxa"/>
              <w:bottom w:w="85" w:type="dxa"/>
            </w:tcMar>
          </w:tcPr>
          <w:p w14:paraId="11A9C388"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146C26CF" w14:textId="77777777" w:rsidTr="00851C67">
        <w:trPr>
          <w:cantSplit/>
          <w:trHeight w:val="185"/>
        </w:trPr>
        <w:tc>
          <w:tcPr>
            <w:tcW w:w="1441" w:type="pct"/>
            <w:shd w:val="clear" w:color="auto" w:fill="auto"/>
            <w:tcMar>
              <w:top w:w="85" w:type="dxa"/>
              <w:bottom w:w="85" w:type="dxa"/>
            </w:tcMar>
          </w:tcPr>
          <w:p w14:paraId="11FE5129"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47C5447" w14:textId="77777777" w:rsidR="00394CA8" w:rsidRPr="00A859F2" w:rsidRDefault="00394CA8" w:rsidP="00394CA8">
            <w:pPr>
              <w:rPr>
                <w:sz w:val="16"/>
                <w:szCs w:val="16"/>
              </w:rPr>
            </w:pPr>
            <w:r w:rsidRPr="00A859F2">
              <w:rPr>
                <w:sz w:val="16"/>
                <w:szCs w:val="16"/>
              </w:rPr>
              <w:t>Mise en œuvre efficace de la politique linguistique de l’OMPI</w:t>
            </w:r>
          </w:p>
        </w:tc>
        <w:tc>
          <w:tcPr>
            <w:tcW w:w="840" w:type="pct"/>
            <w:shd w:val="clear" w:color="auto" w:fill="FFFFFF"/>
            <w:tcMar>
              <w:top w:w="85" w:type="dxa"/>
              <w:bottom w:w="85" w:type="dxa"/>
            </w:tcMar>
          </w:tcPr>
          <w:p w14:paraId="10BA2573"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27</w:t>
            </w:r>
          </w:p>
        </w:tc>
        <w:tc>
          <w:tcPr>
            <w:tcW w:w="679" w:type="pct"/>
            <w:shd w:val="clear" w:color="auto" w:fill="auto"/>
            <w:tcMar>
              <w:top w:w="85" w:type="dxa"/>
              <w:bottom w:w="85" w:type="dxa"/>
            </w:tcMar>
          </w:tcPr>
          <w:p w14:paraId="503B77B4" w14:textId="77777777" w:rsidR="00394CA8" w:rsidRPr="00A859F2" w:rsidRDefault="00394CA8" w:rsidP="00394CA8">
            <w:pPr>
              <w:jc w:val="center"/>
            </w:pPr>
            <w:r w:rsidRPr="00A859F2">
              <w:rPr>
                <w:color w:val="00B050"/>
                <w:szCs w:val="22"/>
              </w:rPr>
              <w:sym w:font="Wingdings" w:char="F06C"/>
            </w:r>
            <w:r w:rsidRPr="00A859F2">
              <w:rPr>
                <w:color w:val="00B050"/>
                <w:szCs w:val="22"/>
              </w:rPr>
              <w:sym w:font="Wingdings" w:char="F06C"/>
            </w:r>
          </w:p>
        </w:tc>
      </w:tr>
      <w:tr w:rsidR="00394CA8" w:rsidRPr="00A859F2" w14:paraId="09F82EF1" w14:textId="77777777" w:rsidTr="00851C67">
        <w:trPr>
          <w:cantSplit/>
          <w:trHeight w:val="22"/>
        </w:trPr>
        <w:tc>
          <w:tcPr>
            <w:tcW w:w="1441" w:type="pct"/>
            <w:shd w:val="clear" w:color="auto" w:fill="auto"/>
            <w:tcMar>
              <w:top w:w="85" w:type="dxa"/>
              <w:bottom w:w="85" w:type="dxa"/>
            </w:tcMar>
          </w:tcPr>
          <w:p w14:paraId="141994B1"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469F456" w14:textId="77777777" w:rsidR="00394CA8" w:rsidRPr="00A859F2" w:rsidRDefault="00394CA8" w:rsidP="00394CA8">
            <w:pPr>
              <w:rPr>
                <w:sz w:val="16"/>
                <w:szCs w:val="16"/>
              </w:rPr>
            </w:pPr>
            <w:r w:rsidRPr="00A859F2">
              <w:rPr>
                <w:sz w:val="16"/>
                <w:szCs w:val="16"/>
              </w:rPr>
              <w:t>Réduction des coûts d’impression (par page)</w:t>
            </w:r>
          </w:p>
        </w:tc>
        <w:tc>
          <w:tcPr>
            <w:tcW w:w="840" w:type="pct"/>
            <w:shd w:val="clear" w:color="auto" w:fill="FFFFFF"/>
            <w:tcMar>
              <w:top w:w="85" w:type="dxa"/>
              <w:bottom w:w="85" w:type="dxa"/>
            </w:tcMar>
          </w:tcPr>
          <w:p w14:paraId="5FCF5D42"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27</w:t>
            </w:r>
          </w:p>
        </w:tc>
        <w:tc>
          <w:tcPr>
            <w:tcW w:w="679" w:type="pct"/>
            <w:shd w:val="clear" w:color="auto" w:fill="auto"/>
            <w:tcMar>
              <w:top w:w="85" w:type="dxa"/>
              <w:bottom w:w="85" w:type="dxa"/>
            </w:tcMar>
          </w:tcPr>
          <w:p w14:paraId="31399AE6" w14:textId="77777777" w:rsidR="00394CA8" w:rsidRPr="00A859F2" w:rsidRDefault="00394CA8" w:rsidP="00394CA8">
            <w:pPr>
              <w:jc w:val="center"/>
              <w:rPr>
                <w:color w:val="A6A6A6" w:themeColor="background1" w:themeShade="A6"/>
                <w:szCs w:val="22"/>
              </w:rPr>
            </w:pPr>
            <w:r w:rsidRPr="00A859F2">
              <w:rPr>
                <w:color w:val="FF0000"/>
                <w:szCs w:val="22"/>
              </w:rPr>
              <w:sym w:font="Wingdings" w:char="F06C"/>
            </w:r>
          </w:p>
        </w:tc>
      </w:tr>
      <w:tr w:rsidR="00394CA8" w:rsidRPr="00A859F2" w14:paraId="28492C0D" w14:textId="77777777" w:rsidTr="00851C67">
        <w:trPr>
          <w:cantSplit/>
          <w:trHeight w:val="335"/>
        </w:trPr>
        <w:tc>
          <w:tcPr>
            <w:tcW w:w="1441" w:type="pct"/>
            <w:shd w:val="clear" w:color="auto" w:fill="auto"/>
            <w:tcMar>
              <w:top w:w="85" w:type="dxa"/>
              <w:bottom w:w="85" w:type="dxa"/>
            </w:tcMar>
          </w:tcPr>
          <w:p w14:paraId="112D8EAC"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BC71C07" w14:textId="77777777" w:rsidR="00394CA8" w:rsidRPr="00A859F2" w:rsidRDefault="00394CA8" w:rsidP="00394CA8">
            <w:pPr>
              <w:rPr>
                <w:sz w:val="16"/>
                <w:szCs w:val="16"/>
              </w:rPr>
            </w:pPr>
            <w:r w:rsidRPr="00A859F2">
              <w:rPr>
                <w:sz w:val="16"/>
                <w:szCs w:val="16"/>
              </w:rPr>
              <w:t>Publication en temps voulu des documents pour les comités et groupes de travail</w:t>
            </w:r>
          </w:p>
        </w:tc>
        <w:tc>
          <w:tcPr>
            <w:tcW w:w="840" w:type="pct"/>
            <w:shd w:val="clear" w:color="auto" w:fill="FFFFFF"/>
            <w:tcMar>
              <w:top w:w="85" w:type="dxa"/>
              <w:bottom w:w="85" w:type="dxa"/>
            </w:tcMar>
          </w:tcPr>
          <w:p w14:paraId="408AED38"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27</w:t>
            </w:r>
          </w:p>
        </w:tc>
        <w:tc>
          <w:tcPr>
            <w:tcW w:w="679" w:type="pct"/>
            <w:shd w:val="clear" w:color="auto" w:fill="auto"/>
            <w:tcMar>
              <w:top w:w="85" w:type="dxa"/>
              <w:bottom w:w="85" w:type="dxa"/>
            </w:tcMar>
          </w:tcPr>
          <w:p w14:paraId="2CBB4B6C" w14:textId="77777777" w:rsidR="00394CA8" w:rsidRPr="00A859F2" w:rsidRDefault="00394CA8" w:rsidP="00394CA8">
            <w:pPr>
              <w:jc w:val="center"/>
            </w:pPr>
            <w:r w:rsidRPr="00A859F2">
              <w:rPr>
                <w:color w:val="FF0000"/>
                <w:szCs w:val="22"/>
              </w:rPr>
              <w:sym w:font="Wingdings" w:char="F06C"/>
            </w:r>
          </w:p>
        </w:tc>
      </w:tr>
      <w:tr w:rsidR="00394CA8" w:rsidRPr="00A859F2" w14:paraId="04A5E397" w14:textId="77777777" w:rsidTr="00851C67">
        <w:trPr>
          <w:cantSplit/>
          <w:trHeight w:val="149"/>
        </w:trPr>
        <w:tc>
          <w:tcPr>
            <w:tcW w:w="1441" w:type="pct"/>
            <w:shd w:val="clear" w:color="auto" w:fill="auto"/>
            <w:tcMar>
              <w:top w:w="85" w:type="dxa"/>
              <w:bottom w:w="85" w:type="dxa"/>
            </w:tcMar>
          </w:tcPr>
          <w:p w14:paraId="1A2BC2F2"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BE277B0" w14:textId="77777777" w:rsidR="00394CA8" w:rsidRPr="00A859F2" w:rsidRDefault="00394CA8" w:rsidP="00394CA8">
            <w:pPr>
              <w:rPr>
                <w:sz w:val="16"/>
                <w:szCs w:val="16"/>
              </w:rPr>
            </w:pPr>
            <w:r w:rsidRPr="00A859F2">
              <w:rPr>
                <w:sz w:val="16"/>
                <w:szCs w:val="16"/>
              </w:rPr>
              <w:t>Coût par mot traduit</w:t>
            </w:r>
          </w:p>
        </w:tc>
        <w:tc>
          <w:tcPr>
            <w:tcW w:w="840" w:type="pct"/>
            <w:shd w:val="clear" w:color="auto" w:fill="FFFFFF"/>
            <w:tcMar>
              <w:top w:w="85" w:type="dxa"/>
              <w:bottom w:w="85" w:type="dxa"/>
            </w:tcMar>
          </w:tcPr>
          <w:p w14:paraId="5A165023"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27</w:t>
            </w:r>
          </w:p>
        </w:tc>
        <w:tc>
          <w:tcPr>
            <w:tcW w:w="679" w:type="pct"/>
            <w:shd w:val="clear" w:color="auto" w:fill="auto"/>
            <w:tcMar>
              <w:top w:w="85" w:type="dxa"/>
              <w:bottom w:w="85" w:type="dxa"/>
            </w:tcMar>
          </w:tcPr>
          <w:p w14:paraId="250D2735"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0D5FDB56" w14:textId="77777777" w:rsidTr="00851C67">
        <w:trPr>
          <w:cantSplit/>
          <w:trHeight w:val="141"/>
        </w:trPr>
        <w:tc>
          <w:tcPr>
            <w:tcW w:w="1441" w:type="pct"/>
            <w:shd w:val="clear" w:color="auto" w:fill="auto"/>
            <w:tcMar>
              <w:top w:w="85" w:type="dxa"/>
              <w:bottom w:w="85" w:type="dxa"/>
            </w:tcMar>
          </w:tcPr>
          <w:p w14:paraId="6B18C855"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0CA52BA" w14:textId="77777777" w:rsidR="00394CA8" w:rsidRPr="00A859F2" w:rsidRDefault="00394CA8" w:rsidP="00394CA8">
            <w:pPr>
              <w:rPr>
                <w:sz w:val="16"/>
                <w:szCs w:val="16"/>
              </w:rPr>
            </w:pPr>
            <w:r w:rsidRPr="00A859F2">
              <w:rPr>
                <w:sz w:val="16"/>
                <w:szCs w:val="16"/>
              </w:rPr>
              <w:t>Gouvernance en matière de sécurité de l’information définie et appliquée.</w:t>
            </w:r>
          </w:p>
        </w:tc>
        <w:tc>
          <w:tcPr>
            <w:tcW w:w="840" w:type="pct"/>
            <w:shd w:val="clear" w:color="auto" w:fill="FFFFFF"/>
            <w:tcMar>
              <w:top w:w="85" w:type="dxa"/>
              <w:bottom w:w="85" w:type="dxa"/>
            </w:tcMar>
          </w:tcPr>
          <w:p w14:paraId="5CD467FC"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 xml:space="preserve">28 </w:t>
            </w:r>
          </w:p>
        </w:tc>
        <w:tc>
          <w:tcPr>
            <w:tcW w:w="679" w:type="pct"/>
            <w:shd w:val="clear" w:color="auto" w:fill="auto"/>
            <w:tcMar>
              <w:top w:w="85" w:type="dxa"/>
              <w:bottom w:w="85" w:type="dxa"/>
            </w:tcMar>
          </w:tcPr>
          <w:p w14:paraId="5BA61426" w14:textId="77777777" w:rsidR="00394CA8" w:rsidRPr="00A859F2" w:rsidRDefault="00394CA8" w:rsidP="00394CA8">
            <w:pPr>
              <w:jc w:val="center"/>
            </w:pPr>
            <w:r w:rsidRPr="00A859F2">
              <w:rPr>
                <w:color w:val="00B050"/>
                <w:szCs w:val="22"/>
              </w:rPr>
              <w:sym w:font="Wingdings" w:char="F06C"/>
            </w:r>
          </w:p>
        </w:tc>
      </w:tr>
      <w:tr w:rsidR="00394CA8" w:rsidRPr="00A859F2" w14:paraId="4103222A" w14:textId="77777777" w:rsidTr="00851C67">
        <w:trPr>
          <w:cantSplit/>
          <w:trHeight w:val="335"/>
        </w:trPr>
        <w:tc>
          <w:tcPr>
            <w:tcW w:w="1441" w:type="pct"/>
            <w:shd w:val="clear" w:color="auto" w:fill="auto"/>
            <w:tcMar>
              <w:top w:w="85" w:type="dxa"/>
              <w:bottom w:w="85" w:type="dxa"/>
            </w:tcMar>
          </w:tcPr>
          <w:p w14:paraId="316E2A71"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A5EED5E" w14:textId="77777777" w:rsidR="00394CA8" w:rsidRPr="00A859F2" w:rsidRDefault="00394CA8" w:rsidP="00394CA8">
            <w:pPr>
              <w:rPr>
                <w:sz w:val="16"/>
                <w:szCs w:val="16"/>
              </w:rPr>
            </w:pPr>
            <w:r w:rsidRPr="00A859F2">
              <w:rPr>
                <w:sz w:val="16"/>
                <w:szCs w:val="16"/>
              </w:rPr>
              <w:t>Nombre de membres du personnel au courant de leurs responsabilités, des politiques et des pratiques recommandées en matière de sécurité de l’information.</w:t>
            </w:r>
          </w:p>
        </w:tc>
        <w:tc>
          <w:tcPr>
            <w:tcW w:w="840" w:type="pct"/>
            <w:shd w:val="clear" w:color="auto" w:fill="FFFFFF"/>
            <w:tcMar>
              <w:top w:w="85" w:type="dxa"/>
              <w:bottom w:w="85" w:type="dxa"/>
            </w:tcMar>
          </w:tcPr>
          <w:p w14:paraId="56C51174"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28</w:t>
            </w:r>
          </w:p>
        </w:tc>
        <w:tc>
          <w:tcPr>
            <w:tcW w:w="679" w:type="pct"/>
            <w:shd w:val="clear" w:color="auto" w:fill="auto"/>
            <w:tcMar>
              <w:top w:w="85" w:type="dxa"/>
              <w:bottom w:w="85" w:type="dxa"/>
            </w:tcMar>
          </w:tcPr>
          <w:p w14:paraId="613B74F7" w14:textId="77777777" w:rsidR="00394CA8" w:rsidRPr="00A859F2" w:rsidRDefault="00394CA8" w:rsidP="00394CA8">
            <w:pPr>
              <w:jc w:val="center"/>
              <w:rPr>
                <w:color w:val="A6A6A6" w:themeColor="background1" w:themeShade="A6"/>
                <w:szCs w:val="22"/>
              </w:rPr>
            </w:pPr>
            <w:r w:rsidRPr="00A859F2">
              <w:rPr>
                <w:color w:val="FF0000"/>
                <w:szCs w:val="22"/>
              </w:rPr>
              <w:sym w:font="Wingdings" w:char="F06C"/>
            </w:r>
          </w:p>
        </w:tc>
      </w:tr>
      <w:tr w:rsidR="00394CA8" w:rsidRPr="00A859F2" w14:paraId="6B4B5CF8" w14:textId="77777777" w:rsidTr="00851C67">
        <w:trPr>
          <w:cantSplit/>
          <w:trHeight w:val="335"/>
        </w:trPr>
        <w:tc>
          <w:tcPr>
            <w:tcW w:w="1441" w:type="pct"/>
            <w:vMerge w:val="restart"/>
            <w:shd w:val="clear" w:color="auto" w:fill="auto"/>
            <w:tcMar>
              <w:top w:w="85" w:type="dxa"/>
              <w:bottom w:w="85" w:type="dxa"/>
            </w:tcMar>
          </w:tcPr>
          <w:p w14:paraId="30427775" w14:textId="77777777" w:rsidR="00394CA8" w:rsidRPr="00A859F2" w:rsidRDefault="00394CA8" w:rsidP="00394CA8">
            <w:pPr>
              <w:keepNext/>
              <w:keepLines/>
              <w:rPr>
                <w:sz w:val="16"/>
                <w:szCs w:val="16"/>
              </w:rPr>
            </w:pPr>
            <w:r w:rsidRPr="00A859F2">
              <w:rPr>
                <w:sz w:val="16"/>
                <w:szCs w:val="16"/>
              </w:rPr>
              <w:t>IX.2 Un Secrétariat réactif, fonctionnant harmonieusement et doté de ressources humaines bien gérées et compétentes, à même d’obtenir des résultats concrets</w:t>
            </w:r>
          </w:p>
        </w:tc>
        <w:tc>
          <w:tcPr>
            <w:tcW w:w="2040" w:type="pct"/>
            <w:shd w:val="clear" w:color="auto" w:fill="auto"/>
            <w:tcMar>
              <w:top w:w="85" w:type="dxa"/>
              <w:bottom w:w="85" w:type="dxa"/>
            </w:tcMar>
          </w:tcPr>
          <w:p w14:paraId="00ED80F3" w14:textId="77777777" w:rsidR="00394CA8" w:rsidRPr="00A859F2" w:rsidRDefault="00394CA8" w:rsidP="00394CA8">
            <w:pPr>
              <w:keepNext/>
              <w:keepLines/>
              <w:rPr>
                <w:sz w:val="16"/>
                <w:szCs w:val="16"/>
              </w:rPr>
            </w:pPr>
            <w:r w:rsidRPr="00A859F2">
              <w:rPr>
                <w:sz w:val="16"/>
                <w:szCs w:val="16"/>
              </w:rPr>
              <w:t>Création d’un nouveau cadre relatif à la résilience et à la continuité des opérations de l’Organisation et de la documentation connexe</w:t>
            </w:r>
          </w:p>
        </w:tc>
        <w:tc>
          <w:tcPr>
            <w:tcW w:w="840" w:type="pct"/>
            <w:shd w:val="clear" w:color="auto" w:fill="FFFFFF"/>
            <w:tcMar>
              <w:top w:w="85" w:type="dxa"/>
              <w:bottom w:w="85" w:type="dxa"/>
            </w:tcMar>
          </w:tcPr>
          <w:p w14:paraId="32789BA8" w14:textId="77777777" w:rsidR="00394CA8" w:rsidRPr="00A859F2" w:rsidRDefault="00394CA8" w:rsidP="00394CA8">
            <w:pPr>
              <w:keepNext/>
              <w:keepLines/>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9" w:type="pct"/>
            <w:shd w:val="clear" w:color="auto" w:fill="auto"/>
            <w:tcMar>
              <w:top w:w="85" w:type="dxa"/>
              <w:bottom w:w="85" w:type="dxa"/>
            </w:tcMar>
          </w:tcPr>
          <w:p w14:paraId="57F84A68" w14:textId="77777777" w:rsidR="00394CA8" w:rsidRPr="00A859F2" w:rsidRDefault="00394CA8" w:rsidP="00394CA8">
            <w:pPr>
              <w:keepNext/>
              <w:keepLines/>
              <w:jc w:val="center"/>
            </w:pPr>
            <w:r w:rsidRPr="00A859F2">
              <w:rPr>
                <w:color w:val="00B050"/>
                <w:szCs w:val="22"/>
              </w:rPr>
              <w:sym w:font="Wingdings" w:char="F06C"/>
            </w:r>
          </w:p>
        </w:tc>
      </w:tr>
      <w:tr w:rsidR="00394CA8" w:rsidRPr="00A859F2" w14:paraId="36EE4D4A" w14:textId="77777777" w:rsidTr="00851C67">
        <w:trPr>
          <w:cantSplit/>
          <w:trHeight w:val="1367"/>
        </w:trPr>
        <w:tc>
          <w:tcPr>
            <w:tcW w:w="1441" w:type="pct"/>
            <w:vMerge/>
            <w:shd w:val="clear" w:color="auto" w:fill="auto"/>
            <w:tcMar>
              <w:top w:w="85" w:type="dxa"/>
              <w:bottom w:w="85" w:type="dxa"/>
            </w:tcMar>
          </w:tcPr>
          <w:p w14:paraId="453A8EE1"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2882015" w14:textId="77777777" w:rsidR="00394CA8" w:rsidRPr="00A859F2" w:rsidRDefault="00394CA8" w:rsidP="00394CA8">
            <w:pPr>
              <w:rPr>
                <w:sz w:val="16"/>
                <w:szCs w:val="16"/>
              </w:rPr>
            </w:pPr>
            <w:r w:rsidRPr="00A859F2">
              <w:rPr>
                <w:sz w:val="16"/>
                <w:szCs w:val="16"/>
              </w:rPr>
              <w:t>Les vérificateurs externes des comptes ont produit un rapport financier satisfaisant, qui confirme que les opérations financières sont conformes aux dispositions des conventions et des traités de l’OMPI applicables, au Règlement financier de l’OMPI et à son règlement d’exécution ainsi qu’aux Normes comptables internationales pour le secteur public (IPSAS).</w:t>
            </w:r>
          </w:p>
        </w:tc>
        <w:tc>
          <w:tcPr>
            <w:tcW w:w="840" w:type="pct"/>
            <w:shd w:val="clear" w:color="auto" w:fill="FFFFFF"/>
            <w:tcMar>
              <w:top w:w="85" w:type="dxa"/>
              <w:bottom w:w="85" w:type="dxa"/>
            </w:tcMar>
          </w:tcPr>
          <w:p w14:paraId="6B43B75E"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1FDE8703"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37E77184" w14:textId="77777777" w:rsidTr="00851C67">
        <w:trPr>
          <w:cantSplit/>
          <w:trHeight w:val="239"/>
        </w:trPr>
        <w:tc>
          <w:tcPr>
            <w:tcW w:w="1441" w:type="pct"/>
            <w:shd w:val="clear" w:color="auto" w:fill="auto"/>
            <w:tcMar>
              <w:top w:w="85" w:type="dxa"/>
              <w:bottom w:w="85" w:type="dxa"/>
            </w:tcMar>
          </w:tcPr>
          <w:p w14:paraId="6F17E97F" w14:textId="77777777" w:rsidR="00394CA8" w:rsidRPr="00A859F2" w:rsidRDefault="00394CA8" w:rsidP="00394CA8">
            <w:pPr>
              <w:rPr>
                <w:sz w:val="16"/>
                <w:szCs w:val="16"/>
              </w:rPr>
            </w:pPr>
          </w:p>
        </w:tc>
        <w:tc>
          <w:tcPr>
            <w:tcW w:w="2040" w:type="pct"/>
            <w:shd w:val="clear" w:color="auto" w:fill="auto"/>
            <w:tcMar>
              <w:top w:w="85" w:type="dxa"/>
              <w:bottom w:w="85" w:type="dxa"/>
            </w:tcMar>
          </w:tcPr>
          <w:p w14:paraId="03659045" w14:textId="77777777" w:rsidR="00394CA8" w:rsidRPr="00A859F2" w:rsidRDefault="00394CA8" w:rsidP="00394CA8">
            <w:pPr>
              <w:rPr>
                <w:sz w:val="16"/>
                <w:szCs w:val="16"/>
              </w:rPr>
            </w:pPr>
            <w:r w:rsidRPr="00A859F2">
              <w:rPr>
                <w:sz w:val="16"/>
                <w:szCs w:val="16"/>
              </w:rPr>
              <w:t>Développement accru de la gestion axée sur les résultats</w:t>
            </w:r>
          </w:p>
        </w:tc>
        <w:tc>
          <w:tcPr>
            <w:tcW w:w="840" w:type="pct"/>
            <w:shd w:val="clear" w:color="auto" w:fill="FFFFFF"/>
            <w:tcMar>
              <w:top w:w="85" w:type="dxa"/>
              <w:bottom w:w="85" w:type="dxa"/>
            </w:tcMar>
          </w:tcPr>
          <w:p w14:paraId="6A5C6687"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75D64379" w14:textId="77777777" w:rsidR="00394CA8" w:rsidRPr="00A859F2" w:rsidRDefault="00394CA8" w:rsidP="00394CA8">
            <w:pPr>
              <w:jc w:val="center"/>
            </w:pPr>
            <w:r w:rsidRPr="00A859F2">
              <w:rPr>
                <w:color w:val="0070C0"/>
                <w:szCs w:val="22"/>
              </w:rPr>
              <w:sym w:font="Wingdings" w:char="F06C"/>
            </w:r>
          </w:p>
        </w:tc>
      </w:tr>
      <w:tr w:rsidR="00394CA8" w:rsidRPr="00A859F2" w14:paraId="0C616AE1" w14:textId="77777777" w:rsidTr="00851C67">
        <w:trPr>
          <w:cantSplit/>
          <w:trHeight w:val="335"/>
        </w:trPr>
        <w:tc>
          <w:tcPr>
            <w:tcW w:w="1441" w:type="pct"/>
            <w:shd w:val="clear" w:color="auto" w:fill="auto"/>
            <w:tcMar>
              <w:top w:w="85" w:type="dxa"/>
              <w:bottom w:w="85" w:type="dxa"/>
            </w:tcMar>
          </w:tcPr>
          <w:p w14:paraId="44FAB8D5"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191A216" w14:textId="77777777" w:rsidR="00394CA8" w:rsidRPr="00A859F2" w:rsidRDefault="00394CA8" w:rsidP="00394CA8">
            <w:pPr>
              <w:rPr>
                <w:sz w:val="16"/>
                <w:szCs w:val="16"/>
              </w:rPr>
            </w:pPr>
            <w:r w:rsidRPr="00A859F2">
              <w:rPr>
                <w:sz w:val="16"/>
                <w:szCs w:val="16"/>
              </w:rPr>
              <w:t>Retour sur investissements conforme aux critères établis par le Comité consultatif pour l’investissement (CCI)</w:t>
            </w:r>
          </w:p>
        </w:tc>
        <w:tc>
          <w:tcPr>
            <w:tcW w:w="840" w:type="pct"/>
            <w:shd w:val="clear" w:color="auto" w:fill="FFFFFF"/>
            <w:tcMar>
              <w:top w:w="85" w:type="dxa"/>
              <w:bottom w:w="85" w:type="dxa"/>
            </w:tcMar>
          </w:tcPr>
          <w:p w14:paraId="2B04169C"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56E438BC"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47543D80" w14:textId="77777777" w:rsidTr="00851C67">
        <w:trPr>
          <w:cantSplit/>
          <w:trHeight w:val="185"/>
        </w:trPr>
        <w:tc>
          <w:tcPr>
            <w:tcW w:w="1441" w:type="pct"/>
            <w:shd w:val="clear" w:color="auto" w:fill="auto"/>
            <w:tcMar>
              <w:top w:w="85" w:type="dxa"/>
              <w:bottom w:w="85" w:type="dxa"/>
            </w:tcMar>
          </w:tcPr>
          <w:p w14:paraId="104DE068"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6A69EC5" w14:textId="77777777" w:rsidR="00394CA8" w:rsidRPr="00A859F2" w:rsidRDefault="00394CA8" w:rsidP="00394CA8">
            <w:pPr>
              <w:rPr>
                <w:sz w:val="16"/>
                <w:szCs w:val="16"/>
              </w:rPr>
            </w:pPr>
            <w:r w:rsidRPr="00A859F2">
              <w:rPr>
                <w:sz w:val="16"/>
                <w:szCs w:val="16"/>
              </w:rPr>
              <w:t>Gestion efficace des dépenses et des réserves</w:t>
            </w:r>
          </w:p>
        </w:tc>
        <w:tc>
          <w:tcPr>
            <w:tcW w:w="840" w:type="pct"/>
            <w:shd w:val="clear" w:color="auto" w:fill="FFFFFF"/>
            <w:tcMar>
              <w:top w:w="85" w:type="dxa"/>
              <w:bottom w:w="85" w:type="dxa"/>
            </w:tcMar>
          </w:tcPr>
          <w:p w14:paraId="1125ACC2"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6D614300" w14:textId="77777777" w:rsidR="00394CA8" w:rsidRPr="00A859F2" w:rsidRDefault="00394CA8" w:rsidP="00394CA8">
            <w:pPr>
              <w:jc w:val="center"/>
            </w:pPr>
            <w:r w:rsidRPr="00A859F2">
              <w:rPr>
                <w:color w:val="00B050"/>
                <w:szCs w:val="22"/>
              </w:rPr>
              <w:sym w:font="Wingdings" w:char="F06C"/>
            </w:r>
          </w:p>
        </w:tc>
      </w:tr>
      <w:tr w:rsidR="00394CA8" w:rsidRPr="00A859F2" w14:paraId="4ED21B1B" w14:textId="77777777" w:rsidTr="00851C67">
        <w:trPr>
          <w:cantSplit/>
          <w:trHeight w:val="21"/>
        </w:trPr>
        <w:tc>
          <w:tcPr>
            <w:tcW w:w="1441" w:type="pct"/>
            <w:shd w:val="clear" w:color="auto" w:fill="auto"/>
            <w:tcMar>
              <w:top w:w="85" w:type="dxa"/>
              <w:bottom w:w="85" w:type="dxa"/>
            </w:tcMar>
          </w:tcPr>
          <w:p w14:paraId="05C843ED"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EE28834" w14:textId="77777777" w:rsidR="00394CA8" w:rsidRPr="00A859F2" w:rsidRDefault="00394CA8" w:rsidP="00394CA8">
            <w:pPr>
              <w:rPr>
                <w:sz w:val="16"/>
                <w:szCs w:val="16"/>
              </w:rPr>
            </w:pPr>
            <w:r w:rsidRPr="00A859F2">
              <w:rPr>
                <w:sz w:val="16"/>
                <w:szCs w:val="16"/>
              </w:rPr>
              <w:t>Paiements (y compris taxes perçues au titre des services fournis dans le cadre des systèmes de Madrid et de La Haye) effectués à temps</w:t>
            </w:r>
          </w:p>
        </w:tc>
        <w:tc>
          <w:tcPr>
            <w:tcW w:w="840" w:type="pct"/>
            <w:shd w:val="clear" w:color="auto" w:fill="FFFFFF"/>
            <w:tcMar>
              <w:top w:w="85" w:type="dxa"/>
              <w:bottom w:w="85" w:type="dxa"/>
            </w:tcMar>
          </w:tcPr>
          <w:p w14:paraId="03901A12"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4A44DCA9"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1529EA37" w14:textId="77777777" w:rsidTr="00851C67">
        <w:trPr>
          <w:cantSplit/>
          <w:trHeight w:val="110"/>
        </w:trPr>
        <w:tc>
          <w:tcPr>
            <w:tcW w:w="1441" w:type="pct"/>
            <w:shd w:val="clear" w:color="auto" w:fill="auto"/>
            <w:tcMar>
              <w:top w:w="85" w:type="dxa"/>
              <w:bottom w:w="85" w:type="dxa"/>
            </w:tcMar>
          </w:tcPr>
          <w:p w14:paraId="6D66C13C"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A100041" w14:textId="77777777" w:rsidR="00394CA8" w:rsidRPr="00A859F2" w:rsidRDefault="00394CA8" w:rsidP="00394CA8">
            <w:pPr>
              <w:rPr>
                <w:sz w:val="16"/>
                <w:szCs w:val="16"/>
              </w:rPr>
            </w:pPr>
            <w:r w:rsidRPr="00A859F2">
              <w:rPr>
                <w:sz w:val="16"/>
                <w:szCs w:val="16"/>
              </w:rPr>
              <w:t xml:space="preserve">Pourcentage de femmes dans des postes d’administrateur et les catégories supérieures </w:t>
            </w:r>
          </w:p>
        </w:tc>
        <w:tc>
          <w:tcPr>
            <w:tcW w:w="840" w:type="pct"/>
            <w:shd w:val="clear" w:color="auto" w:fill="FFFFFF"/>
            <w:tcMar>
              <w:top w:w="85" w:type="dxa"/>
              <w:bottom w:w="85" w:type="dxa"/>
            </w:tcMar>
          </w:tcPr>
          <w:p w14:paraId="72E66ED7"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0D3714E9" w14:textId="77777777" w:rsidR="00394CA8" w:rsidRPr="00A859F2" w:rsidRDefault="00394CA8" w:rsidP="00394CA8">
            <w:pPr>
              <w:jc w:val="center"/>
              <w:rPr>
                <w:color w:val="A6A6A6"/>
              </w:rPr>
            </w:pPr>
            <w:r w:rsidRPr="00A859F2">
              <w:rPr>
                <w:color w:val="FF0000"/>
                <w:szCs w:val="22"/>
              </w:rPr>
              <w:sym w:font="Wingdings" w:char="F06C"/>
            </w: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p>
        </w:tc>
      </w:tr>
      <w:tr w:rsidR="00394CA8" w:rsidRPr="00A859F2" w14:paraId="52674999" w14:textId="77777777" w:rsidTr="00851C67">
        <w:trPr>
          <w:cantSplit/>
          <w:trHeight w:val="102"/>
        </w:trPr>
        <w:tc>
          <w:tcPr>
            <w:tcW w:w="1441" w:type="pct"/>
            <w:shd w:val="clear" w:color="auto" w:fill="auto"/>
            <w:tcMar>
              <w:top w:w="85" w:type="dxa"/>
              <w:bottom w:w="85" w:type="dxa"/>
            </w:tcMar>
          </w:tcPr>
          <w:p w14:paraId="040B02F8"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57DA668" w14:textId="77777777" w:rsidR="00394CA8" w:rsidRPr="00A859F2" w:rsidRDefault="00394CA8" w:rsidP="00394CA8">
            <w:pPr>
              <w:rPr>
                <w:sz w:val="16"/>
                <w:szCs w:val="16"/>
              </w:rPr>
            </w:pPr>
            <w:r w:rsidRPr="00A859F2">
              <w:rPr>
                <w:sz w:val="16"/>
                <w:szCs w:val="16"/>
              </w:rPr>
              <w:t>Délais de recrutement</w:t>
            </w:r>
          </w:p>
        </w:tc>
        <w:tc>
          <w:tcPr>
            <w:tcW w:w="840" w:type="pct"/>
            <w:shd w:val="clear" w:color="auto" w:fill="FFFFFF"/>
            <w:tcMar>
              <w:top w:w="85" w:type="dxa"/>
              <w:bottom w:w="85" w:type="dxa"/>
            </w:tcMar>
          </w:tcPr>
          <w:p w14:paraId="3065B41B"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48BB3EDC"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41860337" w14:textId="77777777" w:rsidTr="00851C67">
        <w:trPr>
          <w:cantSplit/>
          <w:trHeight w:val="335"/>
        </w:trPr>
        <w:tc>
          <w:tcPr>
            <w:tcW w:w="1441" w:type="pct"/>
            <w:shd w:val="clear" w:color="auto" w:fill="auto"/>
            <w:tcMar>
              <w:top w:w="85" w:type="dxa"/>
              <w:bottom w:w="85" w:type="dxa"/>
            </w:tcMar>
          </w:tcPr>
          <w:p w14:paraId="5F7F5DF4"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4443EA5" w14:textId="77777777" w:rsidR="00394CA8" w:rsidRPr="00A859F2" w:rsidRDefault="00394CA8" w:rsidP="00394CA8">
            <w:pPr>
              <w:rPr>
                <w:sz w:val="16"/>
                <w:szCs w:val="16"/>
              </w:rPr>
            </w:pPr>
            <w:r w:rsidRPr="00A859F2">
              <w:rPr>
                <w:sz w:val="16"/>
                <w:szCs w:val="16"/>
              </w:rPr>
              <w:t>Pourcentage du personnel dont le travail est évalué en fonction de leurs objectifs et de leurs compétences individuels</w:t>
            </w:r>
          </w:p>
        </w:tc>
        <w:tc>
          <w:tcPr>
            <w:tcW w:w="840" w:type="pct"/>
            <w:shd w:val="clear" w:color="auto" w:fill="FFFFFF"/>
            <w:tcMar>
              <w:top w:w="85" w:type="dxa"/>
              <w:bottom w:w="85" w:type="dxa"/>
            </w:tcMar>
          </w:tcPr>
          <w:p w14:paraId="39241416"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38236928" w14:textId="77777777" w:rsidR="00394CA8" w:rsidRPr="00A859F2" w:rsidRDefault="00394CA8" w:rsidP="00394CA8">
            <w:pPr>
              <w:jc w:val="center"/>
            </w:pPr>
            <w:r w:rsidRPr="00A859F2">
              <w:rPr>
                <w:color w:val="00B050"/>
                <w:szCs w:val="22"/>
              </w:rPr>
              <w:sym w:font="Wingdings" w:char="F06C"/>
            </w:r>
          </w:p>
        </w:tc>
      </w:tr>
      <w:tr w:rsidR="00394CA8" w:rsidRPr="00A859F2" w14:paraId="5133ACA8" w14:textId="77777777" w:rsidTr="00851C67">
        <w:trPr>
          <w:cantSplit/>
          <w:trHeight w:val="335"/>
        </w:trPr>
        <w:tc>
          <w:tcPr>
            <w:tcW w:w="1441" w:type="pct"/>
            <w:shd w:val="clear" w:color="auto" w:fill="auto"/>
            <w:tcMar>
              <w:top w:w="85" w:type="dxa"/>
              <w:bottom w:w="85" w:type="dxa"/>
            </w:tcMar>
          </w:tcPr>
          <w:p w14:paraId="4D362D18"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26CE2F0" w14:textId="77777777" w:rsidR="00394CA8" w:rsidRPr="00A859F2" w:rsidRDefault="00394CA8" w:rsidP="00394CA8">
            <w:pPr>
              <w:rPr>
                <w:sz w:val="16"/>
                <w:szCs w:val="16"/>
              </w:rPr>
            </w:pPr>
            <w:r w:rsidRPr="00A859F2">
              <w:rPr>
                <w:sz w:val="16"/>
                <w:szCs w:val="16"/>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840" w:type="pct"/>
            <w:shd w:val="clear" w:color="auto" w:fill="FFFFFF"/>
            <w:tcMar>
              <w:top w:w="85" w:type="dxa"/>
              <w:bottom w:w="85" w:type="dxa"/>
            </w:tcMar>
          </w:tcPr>
          <w:p w14:paraId="164AD646"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500B010A"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37268248" w14:textId="77777777" w:rsidTr="00851C67">
        <w:trPr>
          <w:cantSplit/>
          <w:trHeight w:val="16"/>
        </w:trPr>
        <w:tc>
          <w:tcPr>
            <w:tcW w:w="1441" w:type="pct"/>
            <w:shd w:val="clear" w:color="auto" w:fill="auto"/>
            <w:tcMar>
              <w:top w:w="85" w:type="dxa"/>
              <w:bottom w:w="85" w:type="dxa"/>
            </w:tcMar>
          </w:tcPr>
          <w:p w14:paraId="46738292" w14:textId="77777777" w:rsidR="00394CA8" w:rsidRPr="00A859F2" w:rsidRDefault="00394CA8" w:rsidP="00394CA8">
            <w:pPr>
              <w:rPr>
                <w:sz w:val="16"/>
                <w:szCs w:val="16"/>
              </w:rPr>
            </w:pPr>
          </w:p>
        </w:tc>
        <w:tc>
          <w:tcPr>
            <w:tcW w:w="2040" w:type="pct"/>
            <w:shd w:val="clear" w:color="auto" w:fill="auto"/>
            <w:tcMar>
              <w:top w:w="85" w:type="dxa"/>
              <w:bottom w:w="85" w:type="dxa"/>
            </w:tcMar>
          </w:tcPr>
          <w:p w14:paraId="5864F733" w14:textId="77777777" w:rsidR="00394CA8" w:rsidRPr="00A859F2" w:rsidRDefault="00394CA8" w:rsidP="00394CA8">
            <w:pPr>
              <w:rPr>
                <w:sz w:val="16"/>
                <w:szCs w:val="16"/>
              </w:rPr>
            </w:pPr>
            <w:r w:rsidRPr="00A859F2">
              <w:rPr>
                <w:sz w:val="16"/>
                <w:szCs w:val="16"/>
              </w:rPr>
              <w:t>Diversité géographique : pourcentage du personnel par région</w:t>
            </w:r>
          </w:p>
        </w:tc>
        <w:tc>
          <w:tcPr>
            <w:tcW w:w="840" w:type="pct"/>
            <w:shd w:val="clear" w:color="auto" w:fill="FFFFFF"/>
            <w:tcMar>
              <w:top w:w="85" w:type="dxa"/>
              <w:bottom w:w="85" w:type="dxa"/>
            </w:tcMar>
          </w:tcPr>
          <w:p w14:paraId="346C4967" w14:textId="77777777" w:rsidR="00394CA8" w:rsidRPr="00A859F2" w:rsidRDefault="00394CA8" w:rsidP="00394CA8">
            <w:pPr>
              <w:spacing w:before="40"/>
              <w:jc w:val="center"/>
              <w:rPr>
                <w:sz w:val="16"/>
                <w:szCs w:val="16"/>
                <w:lang w:bidi="th-TH"/>
              </w:rPr>
            </w:pPr>
            <w:r>
              <w:rPr>
                <w:sz w:val="16"/>
                <w:szCs w:val="16"/>
              </w:rPr>
              <w:t>P</w:t>
            </w:r>
            <w:r w:rsidRPr="00A859F2">
              <w:rPr>
                <w:sz w:val="16"/>
                <w:szCs w:val="16"/>
              </w:rPr>
              <w:t>rogramme</w:t>
            </w:r>
            <w:r>
              <w:rPr>
                <w:sz w:val="16"/>
                <w:szCs w:val="16"/>
              </w:rPr>
              <w:t> </w:t>
            </w:r>
            <w:r w:rsidRPr="00A859F2">
              <w:rPr>
                <w:sz w:val="16"/>
                <w:szCs w:val="16"/>
              </w:rPr>
              <w:t>23</w:t>
            </w:r>
          </w:p>
        </w:tc>
        <w:tc>
          <w:tcPr>
            <w:tcW w:w="679" w:type="pct"/>
            <w:shd w:val="clear" w:color="auto" w:fill="auto"/>
            <w:tcMar>
              <w:top w:w="85" w:type="dxa"/>
              <w:bottom w:w="85" w:type="dxa"/>
            </w:tcMar>
          </w:tcPr>
          <w:p w14:paraId="3948C125" w14:textId="77777777" w:rsidR="00394CA8" w:rsidRPr="00A859F2" w:rsidRDefault="00394CA8" w:rsidP="00394CA8">
            <w:pPr>
              <w:jc w:val="center"/>
            </w:pPr>
            <w:r w:rsidRPr="00A859F2">
              <w:rPr>
                <w:color w:val="A6A6A6" w:themeColor="background1" w:themeShade="A6"/>
                <w:szCs w:val="22"/>
              </w:rPr>
              <w:sym w:font="Wingdings" w:char="F06C"/>
            </w:r>
          </w:p>
        </w:tc>
      </w:tr>
      <w:tr w:rsidR="00394CA8" w:rsidRPr="00A859F2" w14:paraId="089F71AA" w14:textId="77777777" w:rsidTr="00851C67">
        <w:trPr>
          <w:cantSplit/>
          <w:trHeight w:val="335"/>
        </w:trPr>
        <w:tc>
          <w:tcPr>
            <w:tcW w:w="1441" w:type="pct"/>
            <w:shd w:val="clear" w:color="auto" w:fill="auto"/>
            <w:tcMar>
              <w:top w:w="85" w:type="dxa"/>
              <w:bottom w:w="85" w:type="dxa"/>
            </w:tcMar>
          </w:tcPr>
          <w:p w14:paraId="5B60D5D4" w14:textId="77777777" w:rsidR="00394CA8" w:rsidRPr="00A859F2" w:rsidRDefault="00394CA8" w:rsidP="00394CA8">
            <w:pPr>
              <w:rPr>
                <w:sz w:val="16"/>
                <w:szCs w:val="16"/>
              </w:rPr>
            </w:pPr>
          </w:p>
        </w:tc>
        <w:tc>
          <w:tcPr>
            <w:tcW w:w="2040" w:type="pct"/>
            <w:shd w:val="clear" w:color="auto" w:fill="auto"/>
            <w:tcMar>
              <w:top w:w="85" w:type="dxa"/>
              <w:bottom w:w="85" w:type="dxa"/>
            </w:tcMar>
          </w:tcPr>
          <w:p w14:paraId="2CF7FF68" w14:textId="77777777" w:rsidR="00394CA8" w:rsidRPr="00A859F2" w:rsidRDefault="00394CA8" w:rsidP="00394CA8">
            <w:pPr>
              <w:rPr>
                <w:sz w:val="16"/>
                <w:szCs w:val="16"/>
              </w:rPr>
            </w:pPr>
            <w:r w:rsidRPr="00A859F2">
              <w:rPr>
                <w:sz w:val="16"/>
                <w:szCs w:val="16"/>
              </w:rPr>
              <w:t>Nombre de candidatures reçues depuis les États membres non représentés en pourcentage du total</w:t>
            </w:r>
          </w:p>
        </w:tc>
        <w:tc>
          <w:tcPr>
            <w:tcW w:w="840" w:type="pct"/>
            <w:shd w:val="clear" w:color="auto" w:fill="FFFFFF"/>
            <w:tcMar>
              <w:top w:w="85" w:type="dxa"/>
              <w:bottom w:w="85" w:type="dxa"/>
            </w:tcMar>
          </w:tcPr>
          <w:p w14:paraId="410E0702"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522FA37A"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5BDBF23D" w14:textId="77777777" w:rsidTr="00851C67">
        <w:trPr>
          <w:cantSplit/>
          <w:trHeight w:val="16"/>
        </w:trPr>
        <w:tc>
          <w:tcPr>
            <w:tcW w:w="1441" w:type="pct"/>
            <w:shd w:val="clear" w:color="auto" w:fill="auto"/>
            <w:tcMar>
              <w:top w:w="85" w:type="dxa"/>
              <w:bottom w:w="85" w:type="dxa"/>
            </w:tcMar>
          </w:tcPr>
          <w:p w14:paraId="67D84146"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E4D154F" w14:textId="77777777" w:rsidR="00394CA8" w:rsidRPr="00A859F2" w:rsidRDefault="00394CA8" w:rsidP="00394CA8">
            <w:pPr>
              <w:rPr>
                <w:sz w:val="16"/>
                <w:szCs w:val="16"/>
              </w:rPr>
            </w:pPr>
            <w:r w:rsidRPr="00A859F2">
              <w:rPr>
                <w:sz w:val="16"/>
                <w:szCs w:val="16"/>
              </w:rPr>
              <w:t>Perfectionnement de la planification des ressources humaines</w:t>
            </w:r>
          </w:p>
        </w:tc>
        <w:tc>
          <w:tcPr>
            <w:tcW w:w="840" w:type="pct"/>
            <w:shd w:val="clear" w:color="auto" w:fill="FFFFFF"/>
            <w:tcMar>
              <w:top w:w="85" w:type="dxa"/>
              <w:bottom w:w="85" w:type="dxa"/>
            </w:tcMar>
          </w:tcPr>
          <w:p w14:paraId="1E3773B5"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505EB1E8" w14:textId="77777777" w:rsidR="00394CA8" w:rsidRPr="00A859F2" w:rsidRDefault="00394CA8" w:rsidP="00394CA8">
            <w:pPr>
              <w:jc w:val="center"/>
            </w:pPr>
            <w:r w:rsidRPr="00A859F2">
              <w:rPr>
                <w:color w:val="0070C0"/>
                <w:szCs w:val="22"/>
              </w:rPr>
              <w:sym w:font="Wingdings" w:char="F06C"/>
            </w:r>
          </w:p>
        </w:tc>
      </w:tr>
      <w:tr w:rsidR="00394CA8" w:rsidRPr="00A859F2" w14:paraId="74A438D0" w14:textId="77777777" w:rsidTr="00851C67">
        <w:trPr>
          <w:cantSplit/>
          <w:trHeight w:val="335"/>
        </w:trPr>
        <w:tc>
          <w:tcPr>
            <w:tcW w:w="1441" w:type="pct"/>
            <w:shd w:val="clear" w:color="auto" w:fill="auto"/>
            <w:tcMar>
              <w:top w:w="85" w:type="dxa"/>
              <w:bottom w:w="85" w:type="dxa"/>
            </w:tcMar>
          </w:tcPr>
          <w:p w14:paraId="1FE8E9A6" w14:textId="77777777" w:rsidR="00394CA8" w:rsidRPr="00A859F2" w:rsidRDefault="00394CA8" w:rsidP="00394CA8">
            <w:pPr>
              <w:rPr>
                <w:sz w:val="16"/>
                <w:szCs w:val="16"/>
              </w:rPr>
            </w:pPr>
          </w:p>
        </w:tc>
        <w:tc>
          <w:tcPr>
            <w:tcW w:w="2040" w:type="pct"/>
            <w:shd w:val="clear" w:color="auto" w:fill="auto"/>
            <w:tcMar>
              <w:top w:w="85" w:type="dxa"/>
              <w:bottom w:w="85" w:type="dxa"/>
            </w:tcMar>
          </w:tcPr>
          <w:p w14:paraId="455856D4" w14:textId="77777777" w:rsidR="00394CA8" w:rsidRPr="00A859F2" w:rsidRDefault="00394CA8" w:rsidP="00394CA8">
            <w:pPr>
              <w:rPr>
                <w:sz w:val="16"/>
                <w:szCs w:val="16"/>
              </w:rPr>
            </w:pPr>
            <w:r w:rsidRPr="00A859F2">
              <w:rPr>
                <w:sz w:val="16"/>
                <w:szCs w:val="16"/>
              </w:rPr>
              <w:t xml:space="preserve">Pourcentage des besoins en formation satisfaits dont : i) besoins critiques en formation collective et ii) besoins en formation individuels </w:t>
            </w:r>
          </w:p>
        </w:tc>
        <w:tc>
          <w:tcPr>
            <w:tcW w:w="840" w:type="pct"/>
            <w:shd w:val="clear" w:color="auto" w:fill="FFFFFF"/>
            <w:tcMar>
              <w:top w:w="85" w:type="dxa"/>
              <w:bottom w:w="85" w:type="dxa"/>
            </w:tcMar>
          </w:tcPr>
          <w:p w14:paraId="6907CE77"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23</w:t>
            </w:r>
          </w:p>
        </w:tc>
        <w:tc>
          <w:tcPr>
            <w:tcW w:w="679" w:type="pct"/>
            <w:shd w:val="clear" w:color="auto" w:fill="auto"/>
            <w:tcMar>
              <w:top w:w="85" w:type="dxa"/>
              <w:bottom w:w="85" w:type="dxa"/>
            </w:tcMar>
          </w:tcPr>
          <w:p w14:paraId="6B88A80F"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p>
        </w:tc>
      </w:tr>
      <w:tr w:rsidR="00394CA8" w:rsidRPr="00A859F2" w14:paraId="236856B5" w14:textId="77777777" w:rsidTr="00851C67">
        <w:trPr>
          <w:cantSplit/>
          <w:trHeight w:val="335"/>
        </w:trPr>
        <w:tc>
          <w:tcPr>
            <w:tcW w:w="1441" w:type="pct"/>
            <w:vMerge w:val="restart"/>
            <w:shd w:val="clear" w:color="auto" w:fill="auto"/>
            <w:tcMar>
              <w:top w:w="85" w:type="dxa"/>
              <w:bottom w:w="85" w:type="dxa"/>
            </w:tcMar>
          </w:tcPr>
          <w:p w14:paraId="5B247D05" w14:textId="77777777" w:rsidR="00394CA8" w:rsidRPr="00A859F2" w:rsidRDefault="00394CA8" w:rsidP="00394CA8">
            <w:pPr>
              <w:rPr>
                <w:sz w:val="16"/>
                <w:szCs w:val="16"/>
              </w:rPr>
            </w:pPr>
            <w:r>
              <w:rPr>
                <w:sz w:val="16"/>
                <w:szCs w:val="16"/>
              </w:rPr>
              <w:t>IX.3</w:t>
            </w:r>
            <w:r w:rsidRPr="00A859F2">
              <w:rPr>
                <w:sz w:val="16"/>
                <w:szCs w:val="16"/>
              </w:rPr>
              <w:t xml:space="preserve"> Un environnement de travail stimulant étayé par un cadre réglementaire efficace et des voies appropriées pour répondre aux préoccupations du personnel</w:t>
            </w:r>
          </w:p>
        </w:tc>
        <w:tc>
          <w:tcPr>
            <w:tcW w:w="2040" w:type="pct"/>
            <w:shd w:val="clear" w:color="auto" w:fill="auto"/>
            <w:tcMar>
              <w:top w:w="85" w:type="dxa"/>
              <w:bottom w:w="85" w:type="dxa"/>
            </w:tcMar>
          </w:tcPr>
          <w:p w14:paraId="21DD1397" w14:textId="77777777" w:rsidR="00394CA8" w:rsidRPr="00A859F2" w:rsidRDefault="00394CA8" w:rsidP="00394CA8">
            <w:pPr>
              <w:rPr>
                <w:sz w:val="16"/>
                <w:szCs w:val="16"/>
              </w:rPr>
            </w:pPr>
            <w:r w:rsidRPr="00A859F2">
              <w:rPr>
                <w:sz w:val="16"/>
                <w:szCs w:val="16"/>
              </w:rPr>
              <w:t>Pourcentage du personnel de l’OMPI ayant connaissance des services qu’ils peuvent obtenir du Bureau du médiateur et de l’existence d’un mécanisme informel de résolution des conflits</w:t>
            </w:r>
          </w:p>
        </w:tc>
        <w:tc>
          <w:tcPr>
            <w:tcW w:w="840" w:type="pct"/>
            <w:shd w:val="clear" w:color="auto" w:fill="FFFFFF"/>
            <w:tcMar>
              <w:top w:w="85" w:type="dxa"/>
              <w:bottom w:w="85" w:type="dxa"/>
            </w:tcMar>
          </w:tcPr>
          <w:p w14:paraId="39455B7A" w14:textId="77777777" w:rsidR="00394CA8" w:rsidRPr="00A859F2" w:rsidRDefault="00394CA8" w:rsidP="00394CA8">
            <w:pPr>
              <w:spacing w:before="40"/>
              <w:jc w:val="center"/>
              <w:rPr>
                <w:sz w:val="16"/>
                <w:szCs w:val="16"/>
                <w:lang w:bidi="th-TH"/>
              </w:rPr>
            </w:pPr>
            <w:r w:rsidRPr="00A859F2">
              <w:rPr>
                <w:sz w:val="16"/>
                <w:szCs w:val="16"/>
                <w:lang w:bidi="th-TH"/>
              </w:rPr>
              <w:t>Programme 21</w:t>
            </w:r>
          </w:p>
        </w:tc>
        <w:tc>
          <w:tcPr>
            <w:tcW w:w="679" w:type="pct"/>
            <w:shd w:val="clear" w:color="auto" w:fill="auto"/>
            <w:tcMar>
              <w:top w:w="85" w:type="dxa"/>
              <w:bottom w:w="85" w:type="dxa"/>
            </w:tcMar>
          </w:tcPr>
          <w:p w14:paraId="34D32612" w14:textId="77777777" w:rsidR="00394CA8" w:rsidRPr="00A859F2" w:rsidRDefault="00394CA8" w:rsidP="00394CA8">
            <w:pPr>
              <w:jc w:val="center"/>
            </w:pPr>
            <w:r w:rsidRPr="00A859F2">
              <w:rPr>
                <w:color w:val="A6A6A6" w:themeColor="background1" w:themeShade="A6"/>
                <w:szCs w:val="22"/>
              </w:rPr>
              <w:sym w:font="Wingdings" w:char="F06C"/>
            </w:r>
          </w:p>
        </w:tc>
      </w:tr>
      <w:tr w:rsidR="00394CA8" w:rsidRPr="00A859F2" w14:paraId="7AB20E63" w14:textId="77777777" w:rsidTr="00851C67">
        <w:trPr>
          <w:cantSplit/>
          <w:trHeight w:val="335"/>
        </w:trPr>
        <w:tc>
          <w:tcPr>
            <w:tcW w:w="1441" w:type="pct"/>
            <w:vMerge/>
            <w:shd w:val="clear" w:color="auto" w:fill="auto"/>
            <w:tcMar>
              <w:top w:w="85" w:type="dxa"/>
              <w:bottom w:w="85" w:type="dxa"/>
            </w:tcMar>
          </w:tcPr>
          <w:p w14:paraId="74D3333F"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561DB64" w14:textId="77777777" w:rsidR="00394CA8" w:rsidRPr="00A859F2" w:rsidRDefault="00394CA8" w:rsidP="00394CA8">
            <w:pPr>
              <w:rPr>
                <w:sz w:val="16"/>
                <w:szCs w:val="16"/>
              </w:rPr>
            </w:pPr>
            <w:r w:rsidRPr="00A859F2">
              <w:rPr>
                <w:sz w:val="16"/>
                <w:szCs w:val="16"/>
              </w:rPr>
              <w:t>Pourcentage de fonctionnaires ayant connaissance des principes et des politiques de l’OMPI dans le domaine éthique</w:t>
            </w:r>
          </w:p>
        </w:tc>
        <w:tc>
          <w:tcPr>
            <w:tcW w:w="840" w:type="pct"/>
            <w:shd w:val="clear" w:color="auto" w:fill="FFFFFF"/>
            <w:tcMar>
              <w:top w:w="85" w:type="dxa"/>
              <w:bottom w:w="85" w:type="dxa"/>
            </w:tcMar>
          </w:tcPr>
          <w:p w14:paraId="762A6D8E"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21</w:t>
            </w:r>
          </w:p>
        </w:tc>
        <w:tc>
          <w:tcPr>
            <w:tcW w:w="679" w:type="pct"/>
            <w:shd w:val="clear" w:color="auto" w:fill="auto"/>
            <w:tcMar>
              <w:top w:w="85" w:type="dxa"/>
              <w:bottom w:w="85" w:type="dxa"/>
            </w:tcMar>
          </w:tcPr>
          <w:p w14:paraId="54B9E5CF"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6FFE6651" w14:textId="77777777" w:rsidTr="00851C67">
        <w:trPr>
          <w:cantSplit/>
          <w:trHeight w:val="335"/>
        </w:trPr>
        <w:tc>
          <w:tcPr>
            <w:tcW w:w="1441" w:type="pct"/>
            <w:shd w:val="clear" w:color="auto" w:fill="auto"/>
            <w:tcMar>
              <w:top w:w="85" w:type="dxa"/>
              <w:bottom w:w="85" w:type="dxa"/>
            </w:tcMar>
          </w:tcPr>
          <w:p w14:paraId="1BDEE427" w14:textId="77777777" w:rsidR="00394CA8" w:rsidRPr="00A859F2" w:rsidRDefault="00394CA8" w:rsidP="00394CA8">
            <w:pPr>
              <w:rPr>
                <w:sz w:val="16"/>
                <w:szCs w:val="16"/>
              </w:rPr>
            </w:pPr>
          </w:p>
        </w:tc>
        <w:tc>
          <w:tcPr>
            <w:tcW w:w="2040" w:type="pct"/>
            <w:shd w:val="clear" w:color="auto" w:fill="auto"/>
            <w:tcMar>
              <w:top w:w="85" w:type="dxa"/>
              <w:bottom w:w="85" w:type="dxa"/>
            </w:tcMar>
          </w:tcPr>
          <w:p w14:paraId="50E36D21" w14:textId="77777777" w:rsidR="00394CA8" w:rsidRPr="00A859F2" w:rsidRDefault="00394CA8" w:rsidP="00394CA8">
            <w:pPr>
              <w:rPr>
                <w:sz w:val="16"/>
                <w:szCs w:val="16"/>
              </w:rPr>
            </w:pPr>
            <w:r w:rsidRPr="00A859F2">
              <w:rPr>
                <w:sz w:val="16"/>
                <w:szCs w:val="16"/>
              </w:rPr>
              <w:t>Règlement financier et son règlement d’exécution et ordres de service correspondants à jour</w:t>
            </w:r>
          </w:p>
        </w:tc>
        <w:tc>
          <w:tcPr>
            <w:tcW w:w="840" w:type="pct"/>
            <w:shd w:val="clear" w:color="auto" w:fill="FFFFFF"/>
            <w:tcMar>
              <w:top w:w="85" w:type="dxa"/>
              <w:bottom w:w="85" w:type="dxa"/>
            </w:tcMar>
          </w:tcPr>
          <w:p w14:paraId="3FDE7756"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5494EABE" w14:textId="77777777" w:rsidR="00394CA8" w:rsidRPr="00A859F2" w:rsidRDefault="00394CA8" w:rsidP="00394CA8">
            <w:pPr>
              <w:jc w:val="center"/>
            </w:pPr>
            <w:r w:rsidRPr="00A859F2">
              <w:rPr>
                <w:color w:val="00B050"/>
                <w:szCs w:val="22"/>
              </w:rPr>
              <w:sym w:font="Wingdings" w:char="F06C"/>
            </w:r>
          </w:p>
        </w:tc>
      </w:tr>
      <w:tr w:rsidR="00394CA8" w:rsidRPr="00A859F2" w14:paraId="05B80702" w14:textId="77777777" w:rsidTr="00851C67">
        <w:trPr>
          <w:cantSplit/>
          <w:trHeight w:val="335"/>
        </w:trPr>
        <w:tc>
          <w:tcPr>
            <w:tcW w:w="1441" w:type="pct"/>
            <w:shd w:val="clear" w:color="auto" w:fill="auto"/>
            <w:tcMar>
              <w:top w:w="85" w:type="dxa"/>
              <w:bottom w:w="85" w:type="dxa"/>
            </w:tcMar>
          </w:tcPr>
          <w:p w14:paraId="0DA835D4" w14:textId="77777777" w:rsidR="00394CA8" w:rsidRPr="00A859F2" w:rsidRDefault="00394CA8" w:rsidP="00394CA8">
            <w:pPr>
              <w:rPr>
                <w:sz w:val="16"/>
                <w:szCs w:val="16"/>
              </w:rPr>
            </w:pPr>
          </w:p>
        </w:tc>
        <w:tc>
          <w:tcPr>
            <w:tcW w:w="2040" w:type="pct"/>
            <w:shd w:val="clear" w:color="auto" w:fill="auto"/>
            <w:tcMar>
              <w:top w:w="85" w:type="dxa"/>
              <w:bottom w:w="85" w:type="dxa"/>
            </w:tcMar>
          </w:tcPr>
          <w:p w14:paraId="0925B7FF" w14:textId="77777777" w:rsidR="00394CA8" w:rsidRPr="00A859F2" w:rsidRDefault="00394CA8" w:rsidP="00394CA8">
            <w:pPr>
              <w:rPr>
                <w:sz w:val="16"/>
                <w:szCs w:val="16"/>
              </w:rPr>
            </w:pPr>
            <w:r w:rsidRPr="00A859F2">
              <w:rPr>
                <w:sz w:val="16"/>
                <w:szCs w:val="16"/>
              </w:rPr>
              <w:t>Gestion des risques et contrôles internes plus élaborés, conformément à la feuille de route</w:t>
            </w:r>
          </w:p>
        </w:tc>
        <w:tc>
          <w:tcPr>
            <w:tcW w:w="840" w:type="pct"/>
            <w:shd w:val="clear" w:color="auto" w:fill="FFFFFF"/>
            <w:tcMar>
              <w:top w:w="85" w:type="dxa"/>
              <w:bottom w:w="85" w:type="dxa"/>
            </w:tcMar>
          </w:tcPr>
          <w:p w14:paraId="07106B09"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1BE6F0FE"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p>
        </w:tc>
      </w:tr>
      <w:tr w:rsidR="00394CA8" w:rsidRPr="00A859F2" w14:paraId="5AD5A894" w14:textId="77777777" w:rsidTr="00851C67">
        <w:trPr>
          <w:cantSplit/>
          <w:trHeight w:val="40"/>
        </w:trPr>
        <w:tc>
          <w:tcPr>
            <w:tcW w:w="1441" w:type="pct"/>
            <w:shd w:val="clear" w:color="auto" w:fill="auto"/>
            <w:tcMar>
              <w:top w:w="85" w:type="dxa"/>
              <w:bottom w:w="85" w:type="dxa"/>
            </w:tcMar>
          </w:tcPr>
          <w:p w14:paraId="7FF19D2E"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327FC85" w14:textId="77777777" w:rsidR="00394CA8" w:rsidRPr="00A859F2" w:rsidRDefault="00394CA8" w:rsidP="00394CA8">
            <w:pPr>
              <w:rPr>
                <w:sz w:val="16"/>
                <w:szCs w:val="16"/>
              </w:rPr>
            </w:pPr>
            <w:r w:rsidRPr="00A859F2">
              <w:rPr>
                <w:sz w:val="16"/>
                <w:szCs w:val="16"/>
              </w:rPr>
              <w:t>Suivi efficace des recommandations de supervision</w:t>
            </w:r>
          </w:p>
        </w:tc>
        <w:tc>
          <w:tcPr>
            <w:tcW w:w="840" w:type="pct"/>
            <w:shd w:val="clear" w:color="auto" w:fill="FFFFFF"/>
            <w:tcMar>
              <w:top w:w="85" w:type="dxa"/>
              <w:bottom w:w="85" w:type="dxa"/>
            </w:tcMar>
          </w:tcPr>
          <w:p w14:paraId="600F8276"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22</w:t>
            </w:r>
          </w:p>
        </w:tc>
        <w:tc>
          <w:tcPr>
            <w:tcW w:w="679" w:type="pct"/>
            <w:shd w:val="clear" w:color="auto" w:fill="auto"/>
            <w:tcMar>
              <w:top w:w="85" w:type="dxa"/>
              <w:bottom w:w="85" w:type="dxa"/>
            </w:tcMar>
          </w:tcPr>
          <w:p w14:paraId="4E0CC45B" w14:textId="77777777" w:rsidR="00394CA8" w:rsidRPr="00A859F2" w:rsidRDefault="00394CA8" w:rsidP="00394CA8">
            <w:pPr>
              <w:jc w:val="cente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p>
        </w:tc>
      </w:tr>
      <w:tr w:rsidR="00394CA8" w:rsidRPr="00A859F2" w14:paraId="21169F52" w14:textId="77777777" w:rsidTr="00851C67">
        <w:trPr>
          <w:cantSplit/>
          <w:trHeight w:val="335"/>
        </w:trPr>
        <w:tc>
          <w:tcPr>
            <w:tcW w:w="1441" w:type="pct"/>
            <w:vMerge w:val="restart"/>
            <w:shd w:val="clear" w:color="auto" w:fill="auto"/>
            <w:tcMar>
              <w:top w:w="85" w:type="dxa"/>
              <w:bottom w:w="85" w:type="dxa"/>
            </w:tcMar>
          </w:tcPr>
          <w:p w14:paraId="51B12795" w14:textId="77777777" w:rsidR="00394CA8" w:rsidRPr="00A859F2" w:rsidRDefault="00394CA8" w:rsidP="00394CA8">
            <w:pPr>
              <w:rPr>
                <w:sz w:val="16"/>
                <w:szCs w:val="16"/>
              </w:rPr>
            </w:pPr>
            <w:r w:rsidRPr="00A859F2">
              <w:rPr>
                <w:sz w:val="16"/>
                <w:szCs w:val="16"/>
              </w:rPr>
              <w:t>IX.4 Une Organisation écologiquement et socialement responsable assurant la sûreté et la sécurité du personnel, des délégués, des visiteurs, de l’information et des biens</w:t>
            </w:r>
          </w:p>
        </w:tc>
        <w:tc>
          <w:tcPr>
            <w:tcW w:w="2040" w:type="pct"/>
            <w:shd w:val="clear" w:color="auto" w:fill="auto"/>
            <w:tcMar>
              <w:top w:w="85" w:type="dxa"/>
              <w:bottom w:w="85" w:type="dxa"/>
            </w:tcMar>
          </w:tcPr>
          <w:p w14:paraId="14485599" w14:textId="77777777" w:rsidR="00394CA8" w:rsidRPr="00F76FD1" w:rsidRDefault="00394CA8" w:rsidP="00394CA8">
            <w:pPr>
              <w:rPr>
                <w:sz w:val="16"/>
                <w:szCs w:val="16"/>
                <w:highlight w:val="yellow"/>
              </w:rPr>
            </w:pPr>
            <w:r w:rsidRPr="008625B4">
              <w:rPr>
                <w:sz w:val="16"/>
                <w:szCs w:val="16"/>
              </w:rPr>
              <w:t>Réduction de l’impact environnemental des activités de l’OMPI</w:t>
            </w:r>
          </w:p>
        </w:tc>
        <w:tc>
          <w:tcPr>
            <w:tcW w:w="840" w:type="pct"/>
            <w:shd w:val="clear" w:color="auto" w:fill="FFFFFF"/>
            <w:tcMar>
              <w:top w:w="85" w:type="dxa"/>
              <w:bottom w:w="85" w:type="dxa"/>
            </w:tcMar>
          </w:tcPr>
          <w:p w14:paraId="36089996" w14:textId="77777777" w:rsidR="00394CA8" w:rsidRPr="00A859F2" w:rsidRDefault="00394CA8" w:rsidP="00394CA8">
            <w:pPr>
              <w:spacing w:before="40"/>
              <w:jc w:val="center"/>
              <w:rPr>
                <w:sz w:val="16"/>
                <w:szCs w:val="16"/>
                <w:lang w:bidi="th-TH"/>
              </w:rPr>
            </w:pPr>
            <w:r w:rsidRPr="00A859F2">
              <w:rPr>
                <w:sz w:val="16"/>
                <w:szCs w:val="16"/>
                <w:lang w:bidi="th-TH"/>
              </w:rPr>
              <w:t>Programme</w:t>
            </w:r>
            <w:r>
              <w:rPr>
                <w:sz w:val="16"/>
                <w:szCs w:val="16"/>
                <w:lang w:bidi="th-TH"/>
              </w:rPr>
              <w:t> </w:t>
            </w:r>
            <w:r w:rsidRPr="00A859F2">
              <w:rPr>
                <w:sz w:val="16"/>
                <w:szCs w:val="16"/>
                <w:lang w:bidi="th-TH"/>
              </w:rPr>
              <w:t>24</w:t>
            </w:r>
          </w:p>
        </w:tc>
        <w:tc>
          <w:tcPr>
            <w:tcW w:w="679" w:type="pct"/>
            <w:shd w:val="clear" w:color="auto" w:fill="auto"/>
            <w:tcMar>
              <w:top w:w="85" w:type="dxa"/>
              <w:bottom w:w="85" w:type="dxa"/>
            </w:tcMar>
          </w:tcPr>
          <w:p w14:paraId="02F8E284"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r w:rsidRPr="00A859F2">
              <w:rPr>
                <w:color w:val="00B050"/>
                <w:szCs w:val="22"/>
              </w:rPr>
              <w:sym w:font="Wingdings" w:char="F06C"/>
            </w:r>
            <w:r w:rsidRPr="00A859F2">
              <w:rPr>
                <w:color w:val="00B050"/>
                <w:szCs w:val="22"/>
              </w:rPr>
              <w:sym w:font="Wingdings" w:char="F06C"/>
            </w:r>
            <w:r w:rsidRPr="00A859F2">
              <w:rPr>
                <w:color w:val="FF0000"/>
                <w:szCs w:val="22"/>
              </w:rPr>
              <w:sym w:font="Wingdings" w:char="F06C"/>
            </w:r>
            <w:r w:rsidRPr="00A859F2">
              <w:rPr>
                <w:color w:val="FF0000"/>
                <w:szCs w:val="22"/>
              </w:rPr>
              <w:sym w:font="Wingdings" w:char="F06C"/>
            </w:r>
          </w:p>
        </w:tc>
      </w:tr>
      <w:tr w:rsidR="00394CA8" w:rsidRPr="00A859F2" w14:paraId="5D06A19C" w14:textId="77777777" w:rsidTr="00851C67">
        <w:trPr>
          <w:cantSplit/>
          <w:trHeight w:val="20"/>
        </w:trPr>
        <w:tc>
          <w:tcPr>
            <w:tcW w:w="1441" w:type="pct"/>
            <w:vMerge/>
            <w:shd w:val="clear" w:color="auto" w:fill="auto"/>
            <w:tcMar>
              <w:top w:w="85" w:type="dxa"/>
              <w:bottom w:w="85" w:type="dxa"/>
            </w:tcMar>
          </w:tcPr>
          <w:p w14:paraId="7BEADD90" w14:textId="77777777" w:rsidR="00394CA8" w:rsidRPr="00A859F2" w:rsidRDefault="00394CA8" w:rsidP="00394CA8">
            <w:pPr>
              <w:rPr>
                <w:sz w:val="16"/>
                <w:szCs w:val="16"/>
              </w:rPr>
            </w:pPr>
          </w:p>
        </w:tc>
        <w:tc>
          <w:tcPr>
            <w:tcW w:w="2040" w:type="pct"/>
            <w:shd w:val="clear" w:color="auto" w:fill="auto"/>
            <w:tcMar>
              <w:top w:w="85" w:type="dxa"/>
              <w:bottom w:w="85" w:type="dxa"/>
            </w:tcMar>
          </w:tcPr>
          <w:p w14:paraId="7C42C6CF" w14:textId="77777777" w:rsidR="00394CA8" w:rsidRPr="00A859F2" w:rsidRDefault="00394CA8" w:rsidP="00394CA8">
            <w:pPr>
              <w:rPr>
                <w:sz w:val="16"/>
                <w:szCs w:val="16"/>
              </w:rPr>
            </w:pPr>
            <w:r w:rsidRPr="00A859F2">
              <w:rPr>
                <w:sz w:val="16"/>
                <w:szCs w:val="16"/>
              </w:rPr>
              <w:t>Amélioration de l’accès physique au campus de l’OMPI</w:t>
            </w:r>
          </w:p>
        </w:tc>
        <w:tc>
          <w:tcPr>
            <w:tcW w:w="840" w:type="pct"/>
            <w:shd w:val="clear" w:color="auto" w:fill="FFFFFF"/>
            <w:tcMar>
              <w:top w:w="85" w:type="dxa"/>
              <w:bottom w:w="85" w:type="dxa"/>
            </w:tcMar>
          </w:tcPr>
          <w:p w14:paraId="28D1E9D0"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24</w:t>
            </w:r>
          </w:p>
        </w:tc>
        <w:tc>
          <w:tcPr>
            <w:tcW w:w="679" w:type="pct"/>
            <w:shd w:val="clear" w:color="auto" w:fill="auto"/>
            <w:tcMar>
              <w:top w:w="85" w:type="dxa"/>
              <w:bottom w:w="85" w:type="dxa"/>
            </w:tcMar>
          </w:tcPr>
          <w:p w14:paraId="180398B9" w14:textId="77777777" w:rsidR="00394CA8" w:rsidRPr="00A859F2" w:rsidRDefault="00394CA8" w:rsidP="00394CA8">
            <w:pPr>
              <w:jc w:val="center"/>
            </w:pPr>
            <w:r w:rsidRPr="00A859F2">
              <w:rPr>
                <w:color w:val="FF0000"/>
                <w:szCs w:val="22"/>
              </w:rPr>
              <w:sym w:font="Wingdings" w:char="F06C"/>
            </w:r>
            <w:r w:rsidRPr="00A859F2">
              <w:rPr>
                <w:color w:val="FF0000"/>
                <w:szCs w:val="22"/>
              </w:rPr>
              <w:sym w:font="Wingdings" w:char="F06C"/>
            </w:r>
          </w:p>
        </w:tc>
      </w:tr>
      <w:tr w:rsidR="00394CA8" w:rsidRPr="00A859F2" w14:paraId="230437DB" w14:textId="77777777" w:rsidTr="00851C67">
        <w:trPr>
          <w:cantSplit/>
          <w:trHeight w:val="20"/>
        </w:trPr>
        <w:tc>
          <w:tcPr>
            <w:tcW w:w="1441" w:type="pct"/>
            <w:vMerge/>
            <w:shd w:val="clear" w:color="auto" w:fill="auto"/>
            <w:tcMar>
              <w:top w:w="85" w:type="dxa"/>
              <w:bottom w:w="85" w:type="dxa"/>
            </w:tcMar>
          </w:tcPr>
          <w:p w14:paraId="6272C48C"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7EB17C2" w14:textId="77777777" w:rsidR="00394CA8" w:rsidRPr="0074225E" w:rsidRDefault="00394CA8" w:rsidP="00394CA8">
            <w:pPr>
              <w:rPr>
                <w:sz w:val="16"/>
                <w:szCs w:val="16"/>
              </w:rPr>
            </w:pPr>
            <w:r w:rsidRPr="0074225E">
              <w:rPr>
                <w:sz w:val="16"/>
                <w:szCs w:val="16"/>
              </w:rPr>
              <w:t>Continuité de service des TIC pour les systèmes essentiels</w:t>
            </w:r>
          </w:p>
        </w:tc>
        <w:tc>
          <w:tcPr>
            <w:tcW w:w="840" w:type="pct"/>
            <w:shd w:val="clear" w:color="auto" w:fill="FFFFFF"/>
            <w:tcMar>
              <w:top w:w="85" w:type="dxa"/>
              <w:bottom w:w="85" w:type="dxa"/>
            </w:tcMar>
          </w:tcPr>
          <w:p w14:paraId="40FB52B4"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25</w:t>
            </w:r>
          </w:p>
        </w:tc>
        <w:tc>
          <w:tcPr>
            <w:tcW w:w="679" w:type="pct"/>
            <w:shd w:val="clear" w:color="auto" w:fill="auto"/>
            <w:tcMar>
              <w:top w:w="85" w:type="dxa"/>
              <w:bottom w:w="85" w:type="dxa"/>
            </w:tcMar>
          </w:tcPr>
          <w:p w14:paraId="04A0AC72"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5AA41C40" w14:textId="77777777" w:rsidTr="00851C67">
        <w:trPr>
          <w:cantSplit/>
          <w:trHeight w:val="335"/>
        </w:trPr>
        <w:tc>
          <w:tcPr>
            <w:tcW w:w="1441" w:type="pct"/>
            <w:shd w:val="clear" w:color="auto" w:fill="auto"/>
            <w:tcMar>
              <w:top w:w="85" w:type="dxa"/>
              <w:bottom w:w="85" w:type="dxa"/>
            </w:tcMar>
          </w:tcPr>
          <w:p w14:paraId="73DF8700"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14AFEEA" w14:textId="77777777" w:rsidR="00394CA8" w:rsidRPr="00A859F2" w:rsidRDefault="00394CA8" w:rsidP="00394CA8">
            <w:pPr>
              <w:rPr>
                <w:sz w:val="16"/>
                <w:szCs w:val="16"/>
              </w:rPr>
            </w:pPr>
            <w:r w:rsidRPr="00A859F2">
              <w:rPr>
                <w:sz w:val="16"/>
                <w:szCs w:val="16"/>
              </w:rPr>
              <w:t>Pourcentage de risques pour l’information, y compris les risques tiers, détectés et gérés conformément aux seuils de tolérance définis par l’OMPI.</w:t>
            </w:r>
          </w:p>
        </w:tc>
        <w:tc>
          <w:tcPr>
            <w:tcW w:w="840" w:type="pct"/>
            <w:shd w:val="clear" w:color="auto" w:fill="FFFFFF"/>
            <w:tcMar>
              <w:top w:w="85" w:type="dxa"/>
              <w:bottom w:w="85" w:type="dxa"/>
            </w:tcMar>
          </w:tcPr>
          <w:p w14:paraId="152230DA"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5BB8C681" w14:textId="77777777" w:rsidR="00394CA8" w:rsidRPr="00A859F2" w:rsidRDefault="00394CA8" w:rsidP="00394CA8">
            <w:pPr>
              <w:jc w:val="center"/>
            </w:pPr>
            <w:r w:rsidRPr="00A859F2">
              <w:rPr>
                <w:color w:val="00B050"/>
                <w:szCs w:val="22"/>
              </w:rPr>
              <w:sym w:font="Wingdings" w:char="F06C"/>
            </w:r>
            <w:r w:rsidRPr="00A859F2">
              <w:rPr>
                <w:color w:val="00B050"/>
                <w:szCs w:val="22"/>
              </w:rPr>
              <w:sym w:font="Wingdings" w:char="F06C"/>
            </w:r>
          </w:p>
        </w:tc>
      </w:tr>
      <w:tr w:rsidR="00394CA8" w:rsidRPr="00A859F2" w14:paraId="50513D35" w14:textId="77777777" w:rsidTr="00851C67">
        <w:trPr>
          <w:cantSplit/>
          <w:trHeight w:val="335"/>
        </w:trPr>
        <w:tc>
          <w:tcPr>
            <w:tcW w:w="1441" w:type="pct"/>
            <w:shd w:val="clear" w:color="auto" w:fill="auto"/>
            <w:tcMar>
              <w:top w:w="85" w:type="dxa"/>
              <w:bottom w:w="85" w:type="dxa"/>
            </w:tcMar>
          </w:tcPr>
          <w:p w14:paraId="64DCB7D6" w14:textId="77777777" w:rsidR="00394CA8" w:rsidRPr="00A859F2" w:rsidRDefault="00394CA8" w:rsidP="00394CA8">
            <w:pPr>
              <w:rPr>
                <w:sz w:val="16"/>
                <w:szCs w:val="16"/>
              </w:rPr>
            </w:pPr>
          </w:p>
        </w:tc>
        <w:tc>
          <w:tcPr>
            <w:tcW w:w="2040" w:type="pct"/>
            <w:shd w:val="clear" w:color="auto" w:fill="auto"/>
            <w:tcMar>
              <w:top w:w="85" w:type="dxa"/>
              <w:bottom w:w="85" w:type="dxa"/>
            </w:tcMar>
          </w:tcPr>
          <w:p w14:paraId="02857EDD" w14:textId="77777777" w:rsidR="00394CA8" w:rsidRPr="00A859F2" w:rsidRDefault="00394CA8" w:rsidP="00394CA8">
            <w:pPr>
              <w:rPr>
                <w:sz w:val="16"/>
                <w:szCs w:val="16"/>
              </w:rPr>
            </w:pPr>
            <w:r w:rsidRPr="00A859F2">
              <w:rPr>
                <w:sz w:val="16"/>
                <w:szCs w:val="16"/>
              </w:rPr>
              <w:t>Détection anticipée et résolution rapide des failles de sécurité conformément au niveau de service défini</w:t>
            </w:r>
          </w:p>
        </w:tc>
        <w:tc>
          <w:tcPr>
            <w:tcW w:w="840" w:type="pct"/>
            <w:shd w:val="clear" w:color="auto" w:fill="FFFFFF"/>
            <w:tcMar>
              <w:top w:w="85" w:type="dxa"/>
              <w:bottom w:w="85" w:type="dxa"/>
            </w:tcMar>
          </w:tcPr>
          <w:p w14:paraId="566089E6"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50971D70"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6F8012E7" w14:textId="77777777" w:rsidTr="00851C67">
        <w:trPr>
          <w:cantSplit/>
          <w:trHeight w:val="16"/>
        </w:trPr>
        <w:tc>
          <w:tcPr>
            <w:tcW w:w="1441" w:type="pct"/>
            <w:shd w:val="clear" w:color="auto" w:fill="auto"/>
            <w:tcMar>
              <w:top w:w="85" w:type="dxa"/>
              <w:bottom w:w="85" w:type="dxa"/>
            </w:tcMar>
          </w:tcPr>
          <w:p w14:paraId="57A60D31"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8550312" w14:textId="77777777" w:rsidR="00394CA8" w:rsidRPr="00A859F2" w:rsidRDefault="00394CA8" w:rsidP="00394CA8">
            <w:pPr>
              <w:rPr>
                <w:sz w:val="16"/>
                <w:szCs w:val="16"/>
              </w:rPr>
            </w:pPr>
            <w:r w:rsidRPr="00A859F2">
              <w:rPr>
                <w:sz w:val="16"/>
                <w:szCs w:val="16"/>
              </w:rPr>
              <w:t>Respect accru des politiques et normes en matière de sécurité de l’information.</w:t>
            </w:r>
          </w:p>
        </w:tc>
        <w:tc>
          <w:tcPr>
            <w:tcW w:w="840" w:type="pct"/>
            <w:shd w:val="clear" w:color="auto" w:fill="FFFFFF"/>
            <w:tcMar>
              <w:top w:w="85" w:type="dxa"/>
              <w:bottom w:w="85" w:type="dxa"/>
            </w:tcMar>
          </w:tcPr>
          <w:p w14:paraId="10637D18"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53C2B3FF" w14:textId="77777777" w:rsidR="00394CA8" w:rsidRPr="00A859F2" w:rsidRDefault="00394CA8" w:rsidP="00394CA8">
            <w:pPr>
              <w:jc w:val="center"/>
              <w:rPr>
                <w:color w:val="0070C0"/>
              </w:rPr>
            </w:pPr>
            <w:r w:rsidRPr="00A859F2">
              <w:rPr>
                <w:color w:val="00B050"/>
                <w:szCs w:val="22"/>
              </w:rPr>
              <w:sym w:font="Wingdings" w:char="F06C"/>
            </w:r>
          </w:p>
        </w:tc>
      </w:tr>
      <w:tr w:rsidR="00394CA8" w:rsidRPr="00A859F2" w14:paraId="5A09A7DC" w14:textId="77777777" w:rsidTr="00851C67">
        <w:trPr>
          <w:cantSplit/>
          <w:trHeight w:val="335"/>
        </w:trPr>
        <w:tc>
          <w:tcPr>
            <w:tcW w:w="1441" w:type="pct"/>
            <w:shd w:val="clear" w:color="auto" w:fill="auto"/>
            <w:tcMar>
              <w:top w:w="85" w:type="dxa"/>
              <w:bottom w:w="85" w:type="dxa"/>
            </w:tcMar>
          </w:tcPr>
          <w:p w14:paraId="1F621CE2"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1FAD269" w14:textId="77777777" w:rsidR="00394CA8" w:rsidRPr="00A859F2" w:rsidRDefault="00394CA8" w:rsidP="00394CA8">
            <w:pPr>
              <w:rPr>
                <w:sz w:val="16"/>
                <w:szCs w:val="16"/>
              </w:rPr>
            </w:pPr>
            <w:r w:rsidRPr="00A859F2">
              <w:rPr>
                <w:sz w:val="16"/>
                <w:szCs w:val="16"/>
              </w:rPr>
              <w:t>Politique de classification et de diffusion de l’information largement adoptée afin d’assurer la confidentialité de l’information.</w:t>
            </w:r>
          </w:p>
        </w:tc>
        <w:tc>
          <w:tcPr>
            <w:tcW w:w="840" w:type="pct"/>
            <w:shd w:val="clear" w:color="auto" w:fill="FFFFFF"/>
            <w:tcMar>
              <w:top w:w="85" w:type="dxa"/>
              <w:bottom w:w="85" w:type="dxa"/>
            </w:tcMar>
          </w:tcPr>
          <w:p w14:paraId="5E66C47C" w14:textId="77777777" w:rsidR="00394CA8" w:rsidRPr="00A859F2" w:rsidRDefault="00394CA8" w:rsidP="00394CA8">
            <w:pPr>
              <w:spacing w:before="40"/>
              <w:jc w:val="center"/>
              <w:rPr>
                <w:sz w:val="16"/>
                <w:szCs w:val="16"/>
                <w:lang w:bidi="th-TH"/>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278CA7AF" w14:textId="77777777" w:rsidR="00394CA8" w:rsidRPr="00A859F2" w:rsidRDefault="00394CA8" w:rsidP="00394CA8">
            <w:pPr>
              <w:jc w:val="center"/>
              <w:rPr>
                <w:color w:val="A6A6A6" w:themeColor="background1" w:themeShade="A6"/>
                <w:szCs w:val="22"/>
              </w:rPr>
            </w:pPr>
            <w:r w:rsidRPr="00A859F2">
              <w:rPr>
                <w:color w:val="00B050"/>
                <w:szCs w:val="22"/>
              </w:rPr>
              <w:sym w:font="Wingdings" w:char="F06C"/>
            </w:r>
          </w:p>
        </w:tc>
      </w:tr>
      <w:tr w:rsidR="00394CA8" w:rsidRPr="00A859F2" w14:paraId="16066A4D" w14:textId="77777777" w:rsidTr="00851C67">
        <w:trPr>
          <w:cantSplit/>
          <w:trHeight w:val="335"/>
        </w:trPr>
        <w:tc>
          <w:tcPr>
            <w:tcW w:w="1441" w:type="pct"/>
            <w:shd w:val="clear" w:color="auto" w:fill="auto"/>
            <w:tcMar>
              <w:top w:w="85" w:type="dxa"/>
              <w:bottom w:w="85" w:type="dxa"/>
            </w:tcMar>
          </w:tcPr>
          <w:p w14:paraId="3F79811B"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35ACF03" w14:textId="77777777" w:rsidR="00394CA8" w:rsidRPr="00A859F2" w:rsidRDefault="00394CA8" w:rsidP="00394CA8">
            <w:pPr>
              <w:rPr>
                <w:sz w:val="16"/>
                <w:szCs w:val="16"/>
              </w:rPr>
            </w:pPr>
            <w:r w:rsidRPr="00A859F2">
              <w:rPr>
                <w:sz w:val="16"/>
                <w:szCs w:val="16"/>
              </w:rPr>
              <w:t>Réduction des chevauchements dans les capacités techniques en matière de sécurité de l’information grâce à des structures d’architecture réutilisables.</w:t>
            </w:r>
          </w:p>
        </w:tc>
        <w:tc>
          <w:tcPr>
            <w:tcW w:w="840" w:type="pct"/>
            <w:shd w:val="clear" w:color="auto" w:fill="FFFFFF"/>
            <w:tcMar>
              <w:top w:w="85" w:type="dxa"/>
              <w:bottom w:w="85" w:type="dxa"/>
            </w:tcMar>
          </w:tcPr>
          <w:p w14:paraId="3DC476A3"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35082F2C" w14:textId="77777777" w:rsidR="00394CA8" w:rsidRPr="00A859F2" w:rsidRDefault="00394CA8" w:rsidP="00394CA8">
            <w:pPr>
              <w:jc w:val="center"/>
              <w:rPr>
                <w:color w:val="008000"/>
                <w:szCs w:val="22"/>
              </w:rPr>
            </w:pPr>
            <w:r w:rsidRPr="00A859F2">
              <w:rPr>
                <w:color w:val="00B050"/>
                <w:szCs w:val="22"/>
              </w:rPr>
              <w:sym w:font="Wingdings" w:char="F06C"/>
            </w:r>
          </w:p>
        </w:tc>
      </w:tr>
      <w:tr w:rsidR="00394CA8" w:rsidRPr="00A859F2" w14:paraId="47F15B77" w14:textId="77777777" w:rsidTr="00851C67">
        <w:trPr>
          <w:cantSplit/>
          <w:trHeight w:val="335"/>
        </w:trPr>
        <w:tc>
          <w:tcPr>
            <w:tcW w:w="1441" w:type="pct"/>
            <w:shd w:val="clear" w:color="auto" w:fill="auto"/>
            <w:tcMar>
              <w:top w:w="85" w:type="dxa"/>
              <w:bottom w:w="85" w:type="dxa"/>
            </w:tcMar>
          </w:tcPr>
          <w:p w14:paraId="0F28D21C" w14:textId="77777777" w:rsidR="00394CA8" w:rsidRPr="00A859F2" w:rsidRDefault="00394CA8" w:rsidP="00394CA8">
            <w:pPr>
              <w:rPr>
                <w:sz w:val="16"/>
                <w:szCs w:val="16"/>
              </w:rPr>
            </w:pPr>
          </w:p>
        </w:tc>
        <w:tc>
          <w:tcPr>
            <w:tcW w:w="2040" w:type="pct"/>
            <w:shd w:val="clear" w:color="auto" w:fill="auto"/>
            <w:tcMar>
              <w:top w:w="85" w:type="dxa"/>
              <w:bottom w:w="85" w:type="dxa"/>
            </w:tcMar>
          </w:tcPr>
          <w:p w14:paraId="2C113040" w14:textId="77777777" w:rsidR="00394CA8" w:rsidRPr="00A859F2" w:rsidRDefault="00394CA8" w:rsidP="00394CA8">
            <w:pPr>
              <w:rPr>
                <w:sz w:val="16"/>
                <w:szCs w:val="16"/>
              </w:rPr>
            </w:pPr>
            <w:r w:rsidRPr="00A859F2">
              <w:rPr>
                <w:sz w:val="16"/>
                <w:szCs w:val="16"/>
              </w:rPr>
              <w:t>Capacité accrue de détection des menaces informatiques et de réaction rapide à ces menaces, garantissant une interruption minimale des opérations.</w:t>
            </w:r>
          </w:p>
        </w:tc>
        <w:tc>
          <w:tcPr>
            <w:tcW w:w="840" w:type="pct"/>
            <w:shd w:val="clear" w:color="auto" w:fill="FFFFFF"/>
            <w:tcMar>
              <w:top w:w="85" w:type="dxa"/>
              <w:bottom w:w="85" w:type="dxa"/>
            </w:tcMar>
          </w:tcPr>
          <w:p w14:paraId="2A74C3F2"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5C8DD355" w14:textId="77777777" w:rsidR="00394CA8" w:rsidRPr="00A859F2" w:rsidRDefault="00394CA8" w:rsidP="00394CA8">
            <w:pPr>
              <w:jc w:val="center"/>
              <w:rPr>
                <w:color w:val="008000"/>
                <w:szCs w:val="22"/>
              </w:rPr>
            </w:pPr>
            <w:r w:rsidRPr="00A859F2">
              <w:rPr>
                <w:color w:val="00B050"/>
                <w:szCs w:val="22"/>
              </w:rPr>
              <w:sym w:font="Wingdings" w:char="F06C"/>
            </w:r>
          </w:p>
        </w:tc>
      </w:tr>
      <w:tr w:rsidR="00394CA8" w:rsidRPr="00A859F2" w14:paraId="12AAFA35" w14:textId="77777777" w:rsidTr="00851C67">
        <w:trPr>
          <w:cantSplit/>
          <w:trHeight w:val="335"/>
        </w:trPr>
        <w:tc>
          <w:tcPr>
            <w:tcW w:w="1441" w:type="pct"/>
            <w:shd w:val="clear" w:color="auto" w:fill="auto"/>
            <w:tcMar>
              <w:top w:w="85" w:type="dxa"/>
              <w:bottom w:w="85" w:type="dxa"/>
            </w:tcMar>
          </w:tcPr>
          <w:p w14:paraId="114EBA2D" w14:textId="77777777" w:rsidR="00394CA8" w:rsidRPr="00A859F2" w:rsidRDefault="00394CA8" w:rsidP="00394CA8">
            <w:pPr>
              <w:rPr>
                <w:sz w:val="16"/>
                <w:szCs w:val="16"/>
              </w:rPr>
            </w:pPr>
          </w:p>
        </w:tc>
        <w:tc>
          <w:tcPr>
            <w:tcW w:w="2040" w:type="pct"/>
            <w:shd w:val="clear" w:color="auto" w:fill="auto"/>
            <w:tcMar>
              <w:top w:w="85" w:type="dxa"/>
              <w:bottom w:w="85" w:type="dxa"/>
            </w:tcMar>
          </w:tcPr>
          <w:p w14:paraId="144910F0" w14:textId="77777777" w:rsidR="00394CA8" w:rsidRPr="00A859F2" w:rsidRDefault="00394CA8" w:rsidP="00394CA8">
            <w:pPr>
              <w:rPr>
                <w:sz w:val="16"/>
                <w:szCs w:val="16"/>
              </w:rPr>
            </w:pPr>
            <w:r w:rsidRPr="00A859F2">
              <w:rPr>
                <w:sz w:val="16"/>
                <w:szCs w:val="16"/>
              </w:rPr>
              <w:t>Pourcentage de membres du personnel, de délégués et de visiteurs de l’OMPI qui signalent une blessure ou un incident du travail.</w:t>
            </w:r>
          </w:p>
        </w:tc>
        <w:tc>
          <w:tcPr>
            <w:tcW w:w="840" w:type="pct"/>
            <w:shd w:val="clear" w:color="auto" w:fill="FFFFFF"/>
            <w:tcMar>
              <w:top w:w="85" w:type="dxa"/>
              <w:bottom w:w="85" w:type="dxa"/>
            </w:tcMar>
          </w:tcPr>
          <w:p w14:paraId="521B90B1"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068AB769" w14:textId="77777777" w:rsidR="00394CA8" w:rsidRPr="00A859F2" w:rsidRDefault="00394CA8" w:rsidP="00394CA8">
            <w:pPr>
              <w:jc w:val="center"/>
              <w:rPr>
                <w:color w:val="008000"/>
                <w:szCs w:val="22"/>
              </w:rPr>
            </w:pPr>
            <w:r w:rsidRPr="00A859F2">
              <w:rPr>
                <w:color w:val="00B050"/>
                <w:szCs w:val="22"/>
              </w:rPr>
              <w:sym w:font="Wingdings" w:char="F06C"/>
            </w:r>
          </w:p>
        </w:tc>
      </w:tr>
      <w:tr w:rsidR="00394CA8" w:rsidRPr="00A859F2" w14:paraId="540C4ABE" w14:textId="77777777" w:rsidTr="00851C67">
        <w:trPr>
          <w:cantSplit/>
          <w:trHeight w:val="335"/>
        </w:trPr>
        <w:tc>
          <w:tcPr>
            <w:tcW w:w="1441" w:type="pct"/>
            <w:shd w:val="clear" w:color="auto" w:fill="auto"/>
            <w:tcMar>
              <w:top w:w="85" w:type="dxa"/>
              <w:bottom w:w="85" w:type="dxa"/>
            </w:tcMar>
          </w:tcPr>
          <w:p w14:paraId="444D8C89"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E152FF8" w14:textId="77777777" w:rsidR="00394CA8" w:rsidRPr="00A859F2" w:rsidRDefault="00394CA8" w:rsidP="00394CA8">
            <w:pPr>
              <w:rPr>
                <w:sz w:val="16"/>
                <w:szCs w:val="16"/>
              </w:rPr>
            </w:pPr>
            <w:r w:rsidRPr="00A859F2">
              <w:rPr>
                <w:sz w:val="16"/>
                <w:szCs w:val="16"/>
              </w:rPr>
              <w:t>Pourcentage de conférences et de manifestations pour lesquelles la sécurité est assurée à Genève et hors de Genève</w:t>
            </w:r>
            <w:r w:rsidRPr="00A859F2">
              <w:rPr>
                <w:rStyle w:val="FootnoteReference"/>
                <w:rFonts w:eastAsia="SimSun"/>
                <w:szCs w:val="16"/>
              </w:rPr>
              <w:footnoteReference w:id="85"/>
            </w:r>
            <w:r w:rsidRPr="00A859F2">
              <w:rPr>
                <w:sz w:val="16"/>
                <w:szCs w:val="16"/>
              </w:rPr>
              <w:t xml:space="preserve"> </w:t>
            </w:r>
          </w:p>
        </w:tc>
        <w:tc>
          <w:tcPr>
            <w:tcW w:w="840" w:type="pct"/>
            <w:shd w:val="clear" w:color="auto" w:fill="FFFFFF"/>
            <w:tcMar>
              <w:top w:w="85" w:type="dxa"/>
              <w:bottom w:w="85" w:type="dxa"/>
            </w:tcMar>
          </w:tcPr>
          <w:p w14:paraId="3DDE32E2"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28</w:t>
            </w:r>
          </w:p>
        </w:tc>
        <w:tc>
          <w:tcPr>
            <w:tcW w:w="679" w:type="pct"/>
            <w:shd w:val="clear" w:color="auto" w:fill="auto"/>
            <w:tcMar>
              <w:top w:w="85" w:type="dxa"/>
              <w:bottom w:w="85" w:type="dxa"/>
            </w:tcMar>
          </w:tcPr>
          <w:p w14:paraId="1052D043" w14:textId="77777777" w:rsidR="00394CA8" w:rsidRPr="00A859F2" w:rsidRDefault="00394CA8" w:rsidP="00394CA8">
            <w:pPr>
              <w:jc w:val="center"/>
              <w:rPr>
                <w:color w:val="008000"/>
                <w:szCs w:val="22"/>
              </w:rPr>
            </w:pPr>
            <w:r w:rsidRPr="00A859F2">
              <w:rPr>
                <w:color w:val="00B050"/>
                <w:szCs w:val="22"/>
              </w:rPr>
              <w:sym w:font="Wingdings" w:char="F06C"/>
            </w:r>
          </w:p>
        </w:tc>
      </w:tr>
      <w:tr w:rsidR="00394CA8" w:rsidRPr="00A859F2" w14:paraId="1292C455" w14:textId="77777777" w:rsidTr="00851C67">
        <w:trPr>
          <w:cantSplit/>
          <w:trHeight w:val="335"/>
        </w:trPr>
        <w:tc>
          <w:tcPr>
            <w:tcW w:w="1441" w:type="pct"/>
            <w:vMerge w:val="restart"/>
            <w:shd w:val="clear" w:color="auto" w:fill="auto"/>
            <w:tcMar>
              <w:top w:w="85" w:type="dxa"/>
              <w:bottom w:w="85" w:type="dxa"/>
            </w:tcMar>
          </w:tcPr>
          <w:p w14:paraId="769C41E6" w14:textId="77777777" w:rsidR="00394CA8" w:rsidRPr="00A859F2" w:rsidRDefault="00394CA8" w:rsidP="00394CA8">
            <w:pPr>
              <w:rPr>
                <w:sz w:val="16"/>
                <w:szCs w:val="16"/>
              </w:rPr>
            </w:pPr>
            <w:r w:rsidRPr="00A859F2">
              <w:rPr>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2040" w:type="pct"/>
            <w:shd w:val="clear" w:color="auto" w:fill="auto"/>
            <w:tcMar>
              <w:top w:w="85" w:type="dxa"/>
              <w:bottom w:w="85" w:type="dxa"/>
            </w:tcMar>
          </w:tcPr>
          <w:p w14:paraId="6398FD74" w14:textId="77777777" w:rsidR="00394CA8" w:rsidRPr="00A859F2" w:rsidRDefault="00394CA8" w:rsidP="00394CA8">
            <w:pPr>
              <w:rPr>
                <w:sz w:val="16"/>
                <w:szCs w:val="16"/>
              </w:rPr>
            </w:pPr>
            <w:r w:rsidRPr="00A859F2">
              <w:rPr>
                <w:caps/>
                <w:sz w:val="16"/>
                <w:szCs w:val="16"/>
              </w:rPr>
              <w:t>INDÉPENDaNCE</w:t>
            </w:r>
            <w:r w:rsidRPr="00A859F2">
              <w:rPr>
                <w:sz w:val="16"/>
                <w:szCs w:val="16"/>
              </w:rPr>
              <w:t xml:space="preserve"> – Aucune interférence et indépendance perçue par les principales parties prenantes</w:t>
            </w:r>
          </w:p>
        </w:tc>
        <w:tc>
          <w:tcPr>
            <w:tcW w:w="840" w:type="pct"/>
            <w:shd w:val="clear" w:color="auto" w:fill="FFFFFF"/>
            <w:tcMar>
              <w:top w:w="85" w:type="dxa"/>
              <w:bottom w:w="85" w:type="dxa"/>
            </w:tcMar>
          </w:tcPr>
          <w:p w14:paraId="7F40305D"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26</w:t>
            </w:r>
          </w:p>
        </w:tc>
        <w:tc>
          <w:tcPr>
            <w:tcW w:w="679" w:type="pct"/>
            <w:shd w:val="clear" w:color="auto" w:fill="auto"/>
            <w:tcMar>
              <w:top w:w="85" w:type="dxa"/>
              <w:bottom w:w="85" w:type="dxa"/>
            </w:tcMar>
          </w:tcPr>
          <w:p w14:paraId="5C8C6F32" w14:textId="77777777" w:rsidR="00394CA8" w:rsidRPr="00A859F2" w:rsidRDefault="00394CA8" w:rsidP="00394CA8">
            <w:pPr>
              <w:jc w:val="center"/>
              <w:rPr>
                <w:color w:val="008000"/>
                <w:szCs w:val="22"/>
              </w:rPr>
            </w:pPr>
            <w:r w:rsidRPr="00A859F2">
              <w:rPr>
                <w:color w:val="00B050"/>
                <w:szCs w:val="22"/>
              </w:rPr>
              <w:sym w:font="Wingdings" w:char="F06C"/>
            </w:r>
          </w:p>
        </w:tc>
      </w:tr>
      <w:tr w:rsidR="00394CA8" w:rsidRPr="00A859F2" w14:paraId="576B574E" w14:textId="77777777" w:rsidTr="00851C67">
        <w:trPr>
          <w:cantSplit/>
          <w:trHeight w:val="335"/>
        </w:trPr>
        <w:tc>
          <w:tcPr>
            <w:tcW w:w="1441" w:type="pct"/>
            <w:vMerge/>
            <w:shd w:val="clear" w:color="auto" w:fill="auto"/>
            <w:tcMar>
              <w:top w:w="85" w:type="dxa"/>
              <w:bottom w:w="85" w:type="dxa"/>
            </w:tcMar>
          </w:tcPr>
          <w:p w14:paraId="2382AB53"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6F35CB3" w14:textId="77777777" w:rsidR="00394CA8" w:rsidRPr="00A859F2" w:rsidRDefault="00394CA8" w:rsidP="00394CA8">
            <w:pPr>
              <w:rPr>
                <w:sz w:val="16"/>
                <w:szCs w:val="16"/>
              </w:rPr>
            </w:pPr>
            <w:r w:rsidRPr="00A859F2">
              <w:rPr>
                <w:caps/>
                <w:sz w:val="16"/>
                <w:szCs w:val="16"/>
              </w:rPr>
              <w:t>EFFicacitÉ</w:t>
            </w:r>
            <w:r w:rsidRPr="00A859F2">
              <w:rPr>
                <w:sz w:val="16"/>
                <w:szCs w:val="16"/>
              </w:rPr>
              <w:t xml:space="preserve"> – Pourcentage des travaux qui couvrent des domaines à haut risque, de la plus haute importance, en conformité avec la stratégie de l’Organisation </w:t>
            </w:r>
          </w:p>
        </w:tc>
        <w:tc>
          <w:tcPr>
            <w:tcW w:w="840" w:type="pct"/>
            <w:shd w:val="clear" w:color="auto" w:fill="FFFFFF"/>
            <w:tcMar>
              <w:top w:w="85" w:type="dxa"/>
              <w:bottom w:w="85" w:type="dxa"/>
            </w:tcMar>
          </w:tcPr>
          <w:p w14:paraId="21383F28" w14:textId="77777777" w:rsidR="00394CA8" w:rsidRPr="00A859F2" w:rsidRDefault="00394CA8" w:rsidP="00394CA8">
            <w:pPr>
              <w:spacing w:before="40"/>
              <w:jc w:val="center"/>
              <w:rPr>
                <w:sz w:val="16"/>
                <w:szCs w:val="16"/>
              </w:rPr>
            </w:pPr>
            <w:r w:rsidRPr="00A859F2">
              <w:rPr>
                <w:sz w:val="16"/>
                <w:szCs w:val="16"/>
              </w:rPr>
              <w:t>Programme 26</w:t>
            </w:r>
          </w:p>
        </w:tc>
        <w:tc>
          <w:tcPr>
            <w:tcW w:w="679" w:type="pct"/>
            <w:shd w:val="clear" w:color="auto" w:fill="auto"/>
            <w:tcMar>
              <w:top w:w="85" w:type="dxa"/>
              <w:bottom w:w="85" w:type="dxa"/>
            </w:tcMar>
          </w:tcPr>
          <w:p w14:paraId="05DBAC3D" w14:textId="77777777" w:rsidR="00394CA8" w:rsidRPr="00A859F2" w:rsidRDefault="00394CA8" w:rsidP="00394CA8">
            <w:pPr>
              <w:jc w:val="center"/>
              <w:rPr>
                <w:color w:val="008000"/>
                <w:szCs w:val="22"/>
              </w:rPr>
            </w:pPr>
            <w:r w:rsidRPr="00A859F2">
              <w:rPr>
                <w:color w:val="00B050"/>
                <w:szCs w:val="22"/>
              </w:rPr>
              <w:sym w:font="Wingdings" w:char="F06C"/>
            </w:r>
          </w:p>
        </w:tc>
      </w:tr>
      <w:tr w:rsidR="00394CA8" w:rsidRPr="00A859F2" w14:paraId="3480E553" w14:textId="77777777" w:rsidTr="00851C67">
        <w:trPr>
          <w:cantSplit/>
          <w:trHeight w:val="335"/>
        </w:trPr>
        <w:tc>
          <w:tcPr>
            <w:tcW w:w="1441" w:type="pct"/>
            <w:vMerge/>
            <w:shd w:val="clear" w:color="auto" w:fill="auto"/>
            <w:tcMar>
              <w:top w:w="85" w:type="dxa"/>
              <w:bottom w:w="85" w:type="dxa"/>
            </w:tcMar>
          </w:tcPr>
          <w:p w14:paraId="4C013F8D"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6EFD37F" w14:textId="77777777" w:rsidR="00394CA8" w:rsidRPr="00A859F2" w:rsidRDefault="00394CA8" w:rsidP="00394CA8">
            <w:pPr>
              <w:rPr>
                <w:sz w:val="16"/>
                <w:szCs w:val="16"/>
              </w:rPr>
            </w:pPr>
            <w:r>
              <w:rPr>
                <w:sz w:val="16"/>
                <w:szCs w:val="16"/>
              </w:rPr>
              <w:t>EFFICIENCE – L</w:t>
            </w:r>
            <w:r w:rsidRPr="00A859F2">
              <w:rPr>
                <w:sz w:val="16"/>
                <w:szCs w:val="16"/>
              </w:rPr>
              <w:t>es rapports de la DSI sont établis dans les délais et contiennent des recommandations précises, mesurables, réalistes, pertinentes et assorties de délais</w:t>
            </w:r>
          </w:p>
        </w:tc>
        <w:tc>
          <w:tcPr>
            <w:tcW w:w="840" w:type="pct"/>
            <w:shd w:val="clear" w:color="auto" w:fill="FFFFFF"/>
            <w:tcMar>
              <w:top w:w="85" w:type="dxa"/>
              <w:bottom w:w="85" w:type="dxa"/>
            </w:tcMar>
          </w:tcPr>
          <w:p w14:paraId="19918FB9"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26</w:t>
            </w:r>
          </w:p>
        </w:tc>
        <w:tc>
          <w:tcPr>
            <w:tcW w:w="679" w:type="pct"/>
            <w:shd w:val="clear" w:color="auto" w:fill="auto"/>
            <w:tcMar>
              <w:top w:w="85" w:type="dxa"/>
              <w:bottom w:w="85" w:type="dxa"/>
            </w:tcMar>
          </w:tcPr>
          <w:p w14:paraId="004364DB" w14:textId="77777777" w:rsidR="00394CA8" w:rsidRPr="00A859F2" w:rsidRDefault="00394CA8" w:rsidP="00394CA8">
            <w:pPr>
              <w:jc w:val="center"/>
              <w:rPr>
                <w:color w:val="008000"/>
                <w:szCs w:val="22"/>
              </w:rPr>
            </w:pPr>
            <w:r w:rsidRPr="00A859F2">
              <w:rPr>
                <w:color w:val="FF0000"/>
                <w:szCs w:val="22"/>
              </w:rPr>
              <w:sym w:font="Wingdings" w:char="F06C"/>
            </w:r>
            <w:r w:rsidRPr="00A859F2">
              <w:rPr>
                <w:color w:val="FF0000"/>
                <w:szCs w:val="22"/>
              </w:rPr>
              <w:sym w:font="Wingdings" w:char="F06C"/>
            </w:r>
            <w:r w:rsidRPr="00A859F2">
              <w:rPr>
                <w:color w:val="00B050"/>
                <w:szCs w:val="22"/>
              </w:rPr>
              <w:sym w:font="Wingdings" w:char="F06C"/>
            </w:r>
          </w:p>
        </w:tc>
      </w:tr>
      <w:tr w:rsidR="00394CA8" w:rsidRPr="00A859F2" w14:paraId="3FE48200" w14:textId="77777777" w:rsidTr="00851C67">
        <w:trPr>
          <w:cantSplit/>
          <w:trHeight w:val="335"/>
        </w:trPr>
        <w:tc>
          <w:tcPr>
            <w:tcW w:w="1441" w:type="pct"/>
            <w:shd w:val="clear" w:color="auto" w:fill="auto"/>
            <w:tcMar>
              <w:top w:w="85" w:type="dxa"/>
              <w:bottom w:w="85" w:type="dxa"/>
            </w:tcMar>
          </w:tcPr>
          <w:p w14:paraId="4FEA6ABC" w14:textId="77777777" w:rsidR="00394CA8" w:rsidRPr="00A859F2" w:rsidRDefault="00394CA8" w:rsidP="00394CA8">
            <w:pPr>
              <w:rPr>
                <w:sz w:val="16"/>
                <w:szCs w:val="16"/>
              </w:rPr>
            </w:pPr>
          </w:p>
        </w:tc>
        <w:tc>
          <w:tcPr>
            <w:tcW w:w="2040" w:type="pct"/>
            <w:shd w:val="clear" w:color="auto" w:fill="auto"/>
            <w:tcMar>
              <w:top w:w="85" w:type="dxa"/>
              <w:bottom w:w="85" w:type="dxa"/>
            </w:tcMar>
          </w:tcPr>
          <w:p w14:paraId="6F0D7E65" w14:textId="77777777" w:rsidR="00394CA8" w:rsidRPr="00A859F2" w:rsidRDefault="00394CA8" w:rsidP="00394CA8">
            <w:pPr>
              <w:rPr>
                <w:sz w:val="16"/>
                <w:szCs w:val="16"/>
              </w:rPr>
            </w:pPr>
            <w:r w:rsidRPr="00A859F2">
              <w:rPr>
                <w:sz w:val="16"/>
                <w:szCs w:val="16"/>
              </w:rPr>
              <w:t>APPRENTISSAGE INSTITUTIONNEL – Assimilation des enseignements et des recommandations tirés des processus de supervision</w:t>
            </w:r>
          </w:p>
        </w:tc>
        <w:tc>
          <w:tcPr>
            <w:tcW w:w="840" w:type="pct"/>
            <w:shd w:val="clear" w:color="auto" w:fill="FFFFFF"/>
            <w:tcMar>
              <w:top w:w="85" w:type="dxa"/>
              <w:bottom w:w="85" w:type="dxa"/>
            </w:tcMar>
          </w:tcPr>
          <w:p w14:paraId="73B6C932"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26</w:t>
            </w:r>
          </w:p>
        </w:tc>
        <w:tc>
          <w:tcPr>
            <w:tcW w:w="679" w:type="pct"/>
            <w:shd w:val="clear" w:color="auto" w:fill="auto"/>
            <w:tcMar>
              <w:top w:w="85" w:type="dxa"/>
              <w:bottom w:w="85" w:type="dxa"/>
            </w:tcMar>
          </w:tcPr>
          <w:p w14:paraId="46518191" w14:textId="77777777" w:rsidR="00394CA8" w:rsidRPr="00A859F2" w:rsidRDefault="00394CA8" w:rsidP="00394CA8">
            <w:pPr>
              <w:jc w:val="center"/>
              <w:rPr>
                <w:color w:val="00B050"/>
                <w:szCs w:val="22"/>
              </w:rPr>
            </w:pPr>
            <w:r w:rsidRPr="00A859F2">
              <w:rPr>
                <w:color w:val="00B050"/>
                <w:szCs w:val="22"/>
              </w:rPr>
              <w:sym w:font="Wingdings" w:char="F06C"/>
            </w:r>
            <w:r w:rsidRPr="00A859F2">
              <w:rPr>
                <w:color w:val="00B050"/>
                <w:szCs w:val="22"/>
              </w:rPr>
              <w:sym w:font="Wingdings" w:char="F06C"/>
            </w:r>
          </w:p>
        </w:tc>
      </w:tr>
      <w:tr w:rsidR="00394CA8" w:rsidRPr="00A859F2" w14:paraId="2ACF7BA0" w14:textId="77777777" w:rsidTr="00851C67">
        <w:trPr>
          <w:cantSplit/>
          <w:trHeight w:val="335"/>
        </w:trPr>
        <w:tc>
          <w:tcPr>
            <w:tcW w:w="1441" w:type="pct"/>
            <w:shd w:val="clear" w:color="auto" w:fill="auto"/>
            <w:tcMar>
              <w:top w:w="85" w:type="dxa"/>
              <w:bottom w:w="85" w:type="dxa"/>
            </w:tcMar>
          </w:tcPr>
          <w:p w14:paraId="3C5C0A2C" w14:textId="77777777" w:rsidR="00394CA8" w:rsidRPr="00A859F2" w:rsidRDefault="00394CA8" w:rsidP="00394CA8">
            <w:pPr>
              <w:rPr>
                <w:sz w:val="16"/>
                <w:szCs w:val="16"/>
              </w:rPr>
            </w:pPr>
          </w:p>
        </w:tc>
        <w:tc>
          <w:tcPr>
            <w:tcW w:w="2040" w:type="pct"/>
            <w:shd w:val="clear" w:color="auto" w:fill="auto"/>
            <w:tcMar>
              <w:top w:w="85" w:type="dxa"/>
              <w:bottom w:w="85" w:type="dxa"/>
            </w:tcMar>
          </w:tcPr>
          <w:p w14:paraId="31FF2176" w14:textId="77777777" w:rsidR="00394CA8" w:rsidRPr="00A859F2" w:rsidRDefault="00394CA8" w:rsidP="00394CA8">
            <w:pPr>
              <w:rPr>
                <w:sz w:val="16"/>
                <w:szCs w:val="16"/>
              </w:rPr>
            </w:pPr>
            <w:r w:rsidRPr="00A859F2">
              <w:rPr>
                <w:sz w:val="16"/>
                <w:szCs w:val="16"/>
              </w:rPr>
              <w:t>PERTINENCE, VALEUR AJOUTÉE &amp; ADMINISTRATION – Économies tangibles ou améliorations concrètes apportées aux processus et systèmes opérationnels</w:t>
            </w:r>
          </w:p>
        </w:tc>
        <w:tc>
          <w:tcPr>
            <w:tcW w:w="840" w:type="pct"/>
            <w:shd w:val="clear" w:color="auto" w:fill="FFFFFF"/>
            <w:tcMar>
              <w:top w:w="85" w:type="dxa"/>
              <w:bottom w:w="85" w:type="dxa"/>
            </w:tcMar>
          </w:tcPr>
          <w:p w14:paraId="23B37FCA" w14:textId="77777777" w:rsidR="00394CA8" w:rsidRPr="00A859F2" w:rsidRDefault="00394CA8" w:rsidP="00394CA8">
            <w:pPr>
              <w:spacing w:before="40"/>
              <w:jc w:val="center"/>
              <w:rPr>
                <w:sz w:val="16"/>
                <w:szCs w:val="16"/>
              </w:rPr>
            </w:pPr>
            <w:r w:rsidRPr="00A859F2">
              <w:rPr>
                <w:sz w:val="16"/>
                <w:szCs w:val="16"/>
              </w:rPr>
              <w:t>Programme</w:t>
            </w:r>
            <w:r>
              <w:rPr>
                <w:sz w:val="16"/>
                <w:szCs w:val="16"/>
              </w:rPr>
              <w:t> </w:t>
            </w:r>
            <w:r w:rsidRPr="00A859F2">
              <w:rPr>
                <w:sz w:val="16"/>
                <w:szCs w:val="16"/>
              </w:rPr>
              <w:t>26</w:t>
            </w:r>
          </w:p>
        </w:tc>
        <w:tc>
          <w:tcPr>
            <w:tcW w:w="679" w:type="pct"/>
            <w:shd w:val="clear" w:color="auto" w:fill="auto"/>
            <w:tcMar>
              <w:top w:w="85" w:type="dxa"/>
              <w:bottom w:w="85" w:type="dxa"/>
            </w:tcMar>
          </w:tcPr>
          <w:p w14:paraId="383A2CA5" w14:textId="77777777" w:rsidR="00394CA8" w:rsidRPr="00A859F2" w:rsidRDefault="00394CA8" w:rsidP="00394CA8">
            <w:pPr>
              <w:jc w:val="center"/>
              <w:rPr>
                <w:color w:val="008000"/>
                <w:szCs w:val="22"/>
              </w:rPr>
            </w:pPr>
            <w:r w:rsidRPr="00A859F2">
              <w:rPr>
                <w:color w:val="00B050"/>
                <w:szCs w:val="22"/>
              </w:rPr>
              <w:sym w:font="Wingdings" w:char="F06C"/>
            </w:r>
            <w:r w:rsidRPr="00A859F2">
              <w:rPr>
                <w:color w:val="FF0000"/>
                <w:szCs w:val="22"/>
              </w:rPr>
              <w:sym w:font="Wingdings" w:char="F06C"/>
            </w:r>
          </w:p>
        </w:tc>
      </w:tr>
      <w:bookmarkEnd w:id="72"/>
      <w:bookmarkEnd w:id="73"/>
    </w:tbl>
    <w:p w14:paraId="74C6801D" w14:textId="77777777" w:rsidR="00394CA8" w:rsidRDefault="00394CA8" w:rsidP="00394CA8">
      <w:pPr>
        <w:jc w:val="both"/>
        <w:rPr>
          <w:color w:val="000000"/>
          <w:sz w:val="20"/>
        </w:rPr>
      </w:pPr>
    </w:p>
    <w:p w14:paraId="7E2DD450" w14:textId="77777777" w:rsidR="00394CA8" w:rsidRDefault="00394CA8" w:rsidP="00394CA8">
      <w:r>
        <w:br w:type="page"/>
      </w:r>
    </w:p>
    <w:p w14:paraId="571A8268" w14:textId="77777777" w:rsidR="00F96912" w:rsidRPr="00CD000E" w:rsidRDefault="00F96912" w:rsidP="0087680E">
      <w:pPr>
        <w:pStyle w:val="Heading3"/>
      </w:pPr>
      <w:bookmarkStart w:id="74" w:name="_Toc482774620"/>
      <w:r w:rsidRPr="00CD000E">
        <w:rPr>
          <w:color w:val="000000"/>
        </w:rPr>
        <w:t>P</w:t>
      </w:r>
      <w:r w:rsidRPr="00CD000E">
        <w:t>rogramme 21</w:t>
      </w:r>
      <w:r w:rsidRPr="00CD000E">
        <w:rPr>
          <w:color w:val="000000"/>
        </w:rPr>
        <w:tab/>
      </w:r>
      <w:r w:rsidRPr="00CD000E">
        <w:t>Direction générale</w:t>
      </w:r>
      <w:bookmarkEnd w:id="74"/>
    </w:p>
    <w:p w14:paraId="2F09B430" w14:textId="77777777" w:rsidR="00F96912" w:rsidRPr="00CD000E" w:rsidRDefault="00F96912" w:rsidP="00F96912">
      <w:pPr>
        <w:tabs>
          <w:tab w:val="left" w:pos="2268"/>
        </w:tabs>
      </w:pPr>
    </w:p>
    <w:p w14:paraId="22525833" w14:textId="77777777" w:rsidR="00F96912" w:rsidRPr="00CD000E" w:rsidRDefault="00F96912" w:rsidP="00F96912">
      <w:pPr>
        <w:tabs>
          <w:tab w:val="left" w:pos="2268"/>
        </w:tabs>
      </w:pPr>
      <w:r w:rsidRPr="00CD000E">
        <w:rPr>
          <w:b/>
        </w:rPr>
        <w:t>Chef de programme</w:t>
      </w:r>
      <w:r w:rsidRPr="00CD000E">
        <w:rPr>
          <w:b/>
        </w:rPr>
        <w:tab/>
        <w:t>Le Directeur général</w:t>
      </w:r>
    </w:p>
    <w:p w14:paraId="4C0E704C" w14:textId="77777777" w:rsidR="00F96912" w:rsidRPr="00CD000E" w:rsidRDefault="00F96912" w:rsidP="00F96912">
      <w:pPr>
        <w:jc w:val="center"/>
        <w:rPr>
          <w:rFonts w:eastAsia="SimSun"/>
          <w:lang w:eastAsia="zh-CN"/>
        </w:rPr>
      </w:pPr>
    </w:p>
    <w:p w14:paraId="60F6F04B" w14:textId="77777777" w:rsidR="00F96912" w:rsidRPr="00CD000E" w:rsidRDefault="00F96912" w:rsidP="00F96912">
      <w:pPr>
        <w:jc w:val="center"/>
        <w:rPr>
          <w:rFonts w:eastAsia="SimSun"/>
          <w:lang w:eastAsia="zh-CN"/>
        </w:rPr>
      </w:pPr>
      <w:r w:rsidRPr="00CD000E">
        <w:rPr>
          <w:rFonts w:eastAsia="SimSun"/>
          <w:noProof/>
          <w:lang w:val="en-US"/>
        </w:rPr>
        <w:drawing>
          <wp:inline distT="0" distB="0" distL="0" distR="0" wp14:anchorId="1D366D73" wp14:editId="4C119DC2">
            <wp:extent cx="3960778" cy="273600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41"/>
        <w:gridCol w:w="2570"/>
        <w:gridCol w:w="1252"/>
        <w:gridCol w:w="2374"/>
        <w:gridCol w:w="1050"/>
      </w:tblGrid>
      <w:tr w:rsidR="00F96912" w:rsidRPr="00CD000E" w14:paraId="0B439B04" w14:textId="77777777" w:rsidTr="006658D5">
        <w:tc>
          <w:tcPr>
            <w:tcW w:w="5000" w:type="pct"/>
            <w:gridSpan w:val="5"/>
            <w:shd w:val="clear" w:color="auto" w:fill="C6D9F1" w:themeFill="text2" w:themeFillTint="33"/>
            <w:tcMar>
              <w:left w:w="58" w:type="dxa"/>
              <w:right w:w="58" w:type="dxa"/>
            </w:tcMar>
            <w:vAlign w:val="center"/>
          </w:tcPr>
          <w:p w14:paraId="7C6D6188" w14:textId="77777777" w:rsidR="00F96912" w:rsidRPr="00CD000E" w:rsidRDefault="00F96912" w:rsidP="006658D5">
            <w:pPr>
              <w:widowControl w:val="0"/>
              <w:tabs>
                <w:tab w:val="left" w:pos="1452"/>
              </w:tabs>
              <w:rPr>
                <w:b/>
                <w:bCs/>
                <w:sz w:val="16"/>
                <w:szCs w:val="16"/>
              </w:rPr>
            </w:pPr>
            <w:r w:rsidRPr="00CD000E">
              <w:rPr>
                <w:b/>
                <w:bCs/>
                <w:sz w:val="16"/>
                <w:szCs w:val="16"/>
              </w:rPr>
              <w:t>Résultat escompté</w:t>
            </w:r>
            <w:r w:rsidRPr="00CD000E">
              <w:rPr>
                <w:b/>
                <w:bCs/>
                <w:color w:val="000000"/>
                <w:sz w:val="16"/>
                <w:szCs w:val="16"/>
              </w:rPr>
              <w:t> :</w:t>
            </w:r>
            <w:r w:rsidRPr="00CD000E">
              <w:rPr>
                <w:b/>
                <w:bCs/>
                <w:sz w:val="16"/>
                <w:szCs w:val="16"/>
              </w:rPr>
              <w:t xml:space="preserve"> </w:t>
            </w:r>
            <w:r w:rsidRPr="00CD000E">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F96912" w:rsidRPr="00CD000E" w14:paraId="21DA80F9" w14:textId="77777777" w:rsidTr="006658D5">
        <w:tc>
          <w:tcPr>
            <w:tcW w:w="1074" w:type="pct"/>
            <w:shd w:val="clear" w:color="auto" w:fill="auto"/>
            <w:tcMar>
              <w:left w:w="58" w:type="dxa"/>
              <w:right w:w="58" w:type="dxa"/>
            </w:tcMar>
            <w:vAlign w:val="center"/>
          </w:tcPr>
          <w:p w14:paraId="3B9E9EA0" w14:textId="77777777" w:rsidR="00F96912" w:rsidRPr="00CD000E" w:rsidRDefault="00F96912" w:rsidP="006658D5">
            <w:pPr>
              <w:widowControl w:val="0"/>
              <w:jc w:val="center"/>
              <w:rPr>
                <w:b/>
                <w:bCs/>
                <w:sz w:val="16"/>
                <w:szCs w:val="16"/>
              </w:rPr>
            </w:pPr>
            <w:r w:rsidRPr="00CD000E">
              <w:rPr>
                <w:b/>
                <w:bCs/>
                <w:sz w:val="16"/>
                <w:szCs w:val="16"/>
              </w:rPr>
              <w:t>Indicateurs d’exécution</w:t>
            </w:r>
          </w:p>
        </w:tc>
        <w:tc>
          <w:tcPr>
            <w:tcW w:w="1416" w:type="pct"/>
            <w:shd w:val="clear" w:color="auto" w:fill="auto"/>
            <w:tcMar>
              <w:left w:w="58" w:type="dxa"/>
              <w:right w:w="58" w:type="dxa"/>
            </w:tcMar>
            <w:vAlign w:val="center"/>
          </w:tcPr>
          <w:p w14:paraId="4F38467A" w14:textId="77777777" w:rsidR="00F96912" w:rsidRPr="00CD000E" w:rsidRDefault="00F96912" w:rsidP="006658D5">
            <w:pPr>
              <w:widowControl w:val="0"/>
              <w:jc w:val="center"/>
              <w:rPr>
                <w:b/>
                <w:bCs/>
                <w:sz w:val="16"/>
                <w:szCs w:val="16"/>
              </w:rPr>
            </w:pPr>
            <w:r w:rsidRPr="00CD000E">
              <w:rPr>
                <w:b/>
                <w:bCs/>
                <w:sz w:val="16"/>
                <w:szCs w:val="16"/>
              </w:rPr>
              <w:t>Niveaux de référence</w:t>
            </w:r>
          </w:p>
        </w:tc>
        <w:tc>
          <w:tcPr>
            <w:tcW w:w="699" w:type="pct"/>
            <w:shd w:val="clear" w:color="auto" w:fill="auto"/>
            <w:tcMar>
              <w:top w:w="110" w:type="dxa"/>
              <w:left w:w="58" w:type="dxa"/>
              <w:right w:w="58" w:type="dxa"/>
            </w:tcMar>
            <w:vAlign w:val="center"/>
          </w:tcPr>
          <w:p w14:paraId="3CF494CE" w14:textId="77777777" w:rsidR="00F96912" w:rsidRPr="00CD000E" w:rsidRDefault="00F96912" w:rsidP="006658D5">
            <w:pPr>
              <w:widowControl w:val="0"/>
              <w:tabs>
                <w:tab w:val="left" w:pos="290"/>
              </w:tabs>
              <w:jc w:val="center"/>
              <w:rPr>
                <w:b/>
                <w:bCs/>
                <w:sz w:val="16"/>
                <w:szCs w:val="16"/>
              </w:rPr>
            </w:pPr>
            <w:r w:rsidRPr="00CD000E">
              <w:rPr>
                <w:b/>
                <w:bCs/>
                <w:sz w:val="16"/>
                <w:szCs w:val="16"/>
              </w:rPr>
              <w:t>Objectifs visés</w:t>
            </w:r>
          </w:p>
        </w:tc>
        <w:tc>
          <w:tcPr>
            <w:tcW w:w="1309" w:type="pct"/>
            <w:shd w:val="clear" w:color="auto" w:fill="FFFFFF"/>
            <w:tcMar>
              <w:top w:w="110" w:type="dxa"/>
              <w:left w:w="58" w:type="dxa"/>
              <w:right w:w="58" w:type="dxa"/>
            </w:tcMar>
            <w:vAlign w:val="center"/>
          </w:tcPr>
          <w:p w14:paraId="0DFD7E8D" w14:textId="77777777" w:rsidR="00F96912" w:rsidRPr="00CD000E" w:rsidRDefault="00F96912" w:rsidP="006658D5">
            <w:pPr>
              <w:widowControl w:val="0"/>
              <w:jc w:val="center"/>
              <w:rPr>
                <w:b/>
                <w:bCs/>
                <w:sz w:val="16"/>
                <w:szCs w:val="16"/>
              </w:rPr>
            </w:pPr>
            <w:r w:rsidRPr="00CD000E">
              <w:rPr>
                <w:b/>
                <w:bCs/>
                <w:sz w:val="16"/>
                <w:szCs w:val="16"/>
              </w:rPr>
              <w:t>Données relatives à l’exécution</w:t>
            </w:r>
          </w:p>
        </w:tc>
        <w:tc>
          <w:tcPr>
            <w:tcW w:w="502" w:type="pct"/>
            <w:shd w:val="clear" w:color="auto" w:fill="auto"/>
            <w:tcMar>
              <w:top w:w="110" w:type="dxa"/>
              <w:left w:w="58" w:type="dxa"/>
              <w:right w:w="58" w:type="dxa"/>
            </w:tcMar>
            <w:vAlign w:val="center"/>
          </w:tcPr>
          <w:p w14:paraId="50ECA749" w14:textId="77777777" w:rsidR="00F96912" w:rsidRPr="00CD000E" w:rsidRDefault="00F96912" w:rsidP="006658D5">
            <w:pPr>
              <w:widowControl w:val="0"/>
              <w:jc w:val="center"/>
              <w:rPr>
                <w:b/>
                <w:bCs/>
                <w:sz w:val="16"/>
                <w:szCs w:val="16"/>
              </w:rPr>
            </w:pPr>
            <w:r w:rsidRPr="00CD000E">
              <w:rPr>
                <w:b/>
                <w:bCs/>
                <w:sz w:val="16"/>
                <w:szCs w:val="16"/>
              </w:rPr>
              <w:t>Code d’évaluation</w:t>
            </w:r>
          </w:p>
        </w:tc>
      </w:tr>
      <w:tr w:rsidR="00F96912" w:rsidRPr="00CD000E" w14:paraId="1820E07F" w14:textId="77777777" w:rsidTr="006658D5">
        <w:tc>
          <w:tcPr>
            <w:tcW w:w="1074" w:type="pct"/>
            <w:shd w:val="clear" w:color="auto" w:fill="auto"/>
            <w:tcMar>
              <w:left w:w="58" w:type="dxa"/>
              <w:right w:w="58" w:type="dxa"/>
            </w:tcMar>
          </w:tcPr>
          <w:p w14:paraId="5692A80C" w14:textId="7E14C3A8" w:rsidR="00F96912" w:rsidRPr="00B214CB" w:rsidRDefault="00F96912" w:rsidP="006658D5">
            <w:pPr>
              <w:widowControl w:val="0"/>
              <w:rPr>
                <w:color w:val="000000"/>
                <w:sz w:val="16"/>
                <w:szCs w:val="16"/>
              </w:rPr>
            </w:pPr>
            <w:r w:rsidRPr="00B214CB">
              <w:rPr>
                <w:sz w:val="16"/>
                <w:szCs w:val="16"/>
              </w:rPr>
              <w:t>Augmentation du nombre d’utilisateurs de WIPO</w:t>
            </w:r>
            <w:r>
              <w:rPr>
                <w:sz w:val="16"/>
                <w:szCs w:val="16"/>
              </w:rPr>
              <w:t> </w:t>
            </w:r>
            <w:r w:rsidRPr="00B214CB">
              <w:rPr>
                <w:sz w:val="16"/>
                <w:szCs w:val="16"/>
              </w:rPr>
              <w:t>LEX</w:t>
            </w:r>
          </w:p>
        </w:tc>
        <w:tc>
          <w:tcPr>
            <w:tcW w:w="1416" w:type="pct"/>
            <w:shd w:val="clear" w:color="auto" w:fill="auto"/>
            <w:tcMar>
              <w:left w:w="58" w:type="dxa"/>
              <w:right w:w="58" w:type="dxa"/>
            </w:tcMar>
          </w:tcPr>
          <w:p w14:paraId="5345BB29" w14:textId="77777777" w:rsidR="00F96912" w:rsidRPr="00B214CB" w:rsidRDefault="00F96912" w:rsidP="006658D5">
            <w:pPr>
              <w:widowControl w:val="0"/>
              <w:rPr>
                <w:i/>
                <w:color w:val="002060"/>
                <w:sz w:val="16"/>
                <w:szCs w:val="16"/>
              </w:rPr>
            </w:pPr>
            <w:r w:rsidRPr="00B214CB">
              <w:rPr>
                <w:i/>
                <w:color w:val="002060"/>
                <w:sz w:val="16"/>
                <w:szCs w:val="16"/>
              </w:rPr>
              <w:t>Niveau de référence actualisé à fin</w:t>
            </w:r>
            <w:r>
              <w:rPr>
                <w:i/>
                <w:color w:val="002060"/>
                <w:sz w:val="16"/>
                <w:szCs w:val="16"/>
              </w:rPr>
              <w:t> </w:t>
            </w:r>
            <w:r w:rsidRPr="00B214CB">
              <w:rPr>
                <w:i/>
                <w:color w:val="002060"/>
                <w:sz w:val="16"/>
                <w:szCs w:val="16"/>
              </w:rPr>
              <w:t>2015 :</w:t>
            </w:r>
          </w:p>
          <w:p w14:paraId="3529F5D4" w14:textId="77777777" w:rsidR="00F96912" w:rsidRPr="00B214CB" w:rsidRDefault="00F96912" w:rsidP="006658D5">
            <w:pPr>
              <w:widowControl w:val="0"/>
              <w:rPr>
                <w:i/>
                <w:color w:val="002060"/>
                <w:sz w:val="16"/>
                <w:szCs w:val="16"/>
              </w:rPr>
            </w:pPr>
            <w:r w:rsidRPr="00B214CB">
              <w:rPr>
                <w:color w:val="002060"/>
                <w:sz w:val="16"/>
                <w:szCs w:val="16"/>
              </w:rPr>
              <w:t>3 350 643 (2014</w:t>
            </w:r>
            <w:r w:rsidRPr="00B214CB">
              <w:rPr>
                <w:color w:val="002060"/>
                <w:sz w:val="16"/>
                <w:szCs w:val="16"/>
              </w:rPr>
              <w:noBreakHyphen/>
              <w:t>2015)</w:t>
            </w:r>
          </w:p>
          <w:p w14:paraId="25C88901" w14:textId="77777777" w:rsidR="00F96912" w:rsidRPr="00B214CB" w:rsidRDefault="00F96912" w:rsidP="006658D5">
            <w:pPr>
              <w:widowControl w:val="0"/>
              <w:rPr>
                <w:color w:val="002060"/>
                <w:sz w:val="16"/>
                <w:szCs w:val="16"/>
              </w:rPr>
            </w:pPr>
            <w:r w:rsidRPr="00B214CB">
              <w:rPr>
                <w:color w:val="002060"/>
                <w:sz w:val="16"/>
                <w:szCs w:val="16"/>
              </w:rPr>
              <w:t>– 1 844 135 (2015)</w:t>
            </w:r>
          </w:p>
          <w:p w14:paraId="193CADAD" w14:textId="77777777" w:rsidR="00F96912" w:rsidRPr="00B214CB" w:rsidRDefault="00F96912" w:rsidP="006658D5">
            <w:pPr>
              <w:widowControl w:val="0"/>
              <w:rPr>
                <w:color w:val="002060"/>
                <w:sz w:val="16"/>
                <w:szCs w:val="16"/>
              </w:rPr>
            </w:pPr>
            <w:r w:rsidRPr="00B214CB">
              <w:rPr>
                <w:color w:val="002060"/>
                <w:sz w:val="16"/>
                <w:szCs w:val="16"/>
              </w:rPr>
              <w:t>– 1 506 508 (2014)</w:t>
            </w:r>
          </w:p>
          <w:p w14:paraId="47DF962C" w14:textId="77777777" w:rsidR="00F96912" w:rsidRPr="00B214CB" w:rsidRDefault="00F96912" w:rsidP="006658D5">
            <w:pPr>
              <w:widowControl w:val="0"/>
              <w:rPr>
                <w:color w:val="000000"/>
                <w:sz w:val="16"/>
                <w:szCs w:val="16"/>
              </w:rPr>
            </w:pPr>
          </w:p>
          <w:p w14:paraId="6790E508" w14:textId="77777777" w:rsidR="00F96912" w:rsidRPr="00B214CB" w:rsidRDefault="00F96912" w:rsidP="006658D5">
            <w:pPr>
              <w:widowControl w:val="0"/>
              <w:rPr>
                <w:i/>
                <w:sz w:val="16"/>
                <w:szCs w:val="16"/>
                <w:lang w:bidi="th-TH"/>
              </w:rPr>
            </w:pPr>
            <w:r w:rsidRPr="00B214CB">
              <w:rPr>
                <w:i/>
                <w:sz w:val="16"/>
                <w:szCs w:val="16"/>
                <w:lang w:bidi="th-TH"/>
              </w:rPr>
              <w:t>Niveau de référence initial dans le programme et budget 2016</w:t>
            </w:r>
            <w:r w:rsidRPr="00B214CB">
              <w:rPr>
                <w:i/>
                <w:sz w:val="16"/>
                <w:szCs w:val="16"/>
                <w:lang w:bidi="th-TH"/>
              </w:rPr>
              <w:noBreakHyphen/>
              <w:t>2017 :</w:t>
            </w:r>
          </w:p>
          <w:p w14:paraId="3CAF55F3" w14:textId="77777777" w:rsidR="00F96912" w:rsidRPr="00B214CB" w:rsidRDefault="00F96912" w:rsidP="006658D5">
            <w:pPr>
              <w:widowControl w:val="0"/>
              <w:rPr>
                <w:color w:val="000000"/>
                <w:sz w:val="16"/>
                <w:szCs w:val="16"/>
              </w:rPr>
            </w:pPr>
            <w:r w:rsidRPr="00B214CB">
              <w:rPr>
                <w:color w:val="000000"/>
                <w:sz w:val="16"/>
                <w:szCs w:val="16"/>
              </w:rPr>
              <w:t>2 236 486 (2012</w:t>
            </w:r>
            <w:r w:rsidRPr="00B214CB">
              <w:rPr>
                <w:color w:val="000000"/>
                <w:sz w:val="16"/>
                <w:szCs w:val="16"/>
              </w:rPr>
              <w:noBreakHyphen/>
              <w:t>2013)</w:t>
            </w:r>
          </w:p>
          <w:p w14:paraId="2D81104A" w14:textId="77777777" w:rsidR="00F96912" w:rsidRPr="00B214CB" w:rsidRDefault="00F96912" w:rsidP="006658D5">
            <w:pPr>
              <w:widowControl w:val="0"/>
              <w:rPr>
                <w:color w:val="000000"/>
                <w:sz w:val="16"/>
                <w:szCs w:val="16"/>
              </w:rPr>
            </w:pPr>
            <w:r w:rsidRPr="00B214CB">
              <w:rPr>
                <w:color w:val="000000"/>
                <w:sz w:val="16"/>
                <w:szCs w:val="16"/>
              </w:rPr>
              <w:t>1 506 508 (2014)</w:t>
            </w:r>
          </w:p>
        </w:tc>
        <w:tc>
          <w:tcPr>
            <w:tcW w:w="699" w:type="pct"/>
            <w:shd w:val="clear" w:color="auto" w:fill="auto"/>
            <w:tcMar>
              <w:top w:w="110" w:type="dxa"/>
              <w:left w:w="58" w:type="dxa"/>
              <w:right w:w="58" w:type="dxa"/>
            </w:tcMar>
          </w:tcPr>
          <w:p w14:paraId="4B5AA586" w14:textId="77777777" w:rsidR="00F96912" w:rsidRPr="00B214CB" w:rsidRDefault="00F96912" w:rsidP="006658D5">
            <w:pPr>
              <w:rPr>
                <w:i/>
                <w:color w:val="002060"/>
                <w:sz w:val="16"/>
                <w:szCs w:val="16"/>
              </w:rPr>
            </w:pPr>
            <w:r w:rsidRPr="00B214CB">
              <w:rPr>
                <w:i/>
                <w:color w:val="002060"/>
                <w:sz w:val="16"/>
                <w:szCs w:val="16"/>
              </w:rPr>
              <w:t>Objectif actualisé :</w:t>
            </w:r>
          </w:p>
          <w:p w14:paraId="6F8CD9D2" w14:textId="77777777" w:rsidR="00F96912" w:rsidRPr="00B214CB" w:rsidRDefault="00F96912" w:rsidP="006658D5">
            <w:pPr>
              <w:widowControl w:val="0"/>
              <w:rPr>
                <w:color w:val="002060"/>
                <w:sz w:val="16"/>
                <w:szCs w:val="16"/>
              </w:rPr>
            </w:pPr>
            <w:r w:rsidRPr="00B214CB">
              <w:rPr>
                <w:color w:val="002060"/>
                <w:sz w:val="16"/>
                <w:szCs w:val="16"/>
              </w:rPr>
              <w:t>Augmentation de 20% sur l’exercice biennal</w:t>
            </w:r>
          </w:p>
          <w:p w14:paraId="098D4CD2" w14:textId="77777777" w:rsidR="00F96912" w:rsidRPr="00B214CB" w:rsidRDefault="00F96912" w:rsidP="006658D5">
            <w:pPr>
              <w:widowControl w:val="0"/>
              <w:rPr>
                <w:color w:val="000000"/>
                <w:sz w:val="16"/>
                <w:szCs w:val="16"/>
              </w:rPr>
            </w:pPr>
          </w:p>
          <w:p w14:paraId="0CC8CD9D" w14:textId="77777777" w:rsidR="00F96912" w:rsidRPr="00B214CB" w:rsidRDefault="00F96912" w:rsidP="006658D5">
            <w:pPr>
              <w:rPr>
                <w:i/>
                <w:sz w:val="16"/>
                <w:szCs w:val="16"/>
                <w:lang w:bidi="th-TH"/>
              </w:rPr>
            </w:pPr>
            <w:r w:rsidRPr="00B214CB">
              <w:rPr>
                <w:i/>
                <w:sz w:val="16"/>
                <w:szCs w:val="16"/>
                <w:lang w:bidi="th-TH"/>
              </w:rPr>
              <w:t>Objectif initial dans le programme et budget 2016</w:t>
            </w:r>
            <w:r w:rsidRPr="00B214CB">
              <w:rPr>
                <w:i/>
                <w:sz w:val="16"/>
                <w:szCs w:val="16"/>
                <w:lang w:bidi="th-TH"/>
              </w:rPr>
              <w:noBreakHyphen/>
              <w:t>2017 :</w:t>
            </w:r>
          </w:p>
          <w:p w14:paraId="0E84B1CA" w14:textId="77777777" w:rsidR="00F96912" w:rsidRPr="00B214CB" w:rsidRDefault="00F96912" w:rsidP="006658D5">
            <w:pPr>
              <w:widowControl w:val="0"/>
              <w:rPr>
                <w:color w:val="000000"/>
                <w:sz w:val="16"/>
                <w:szCs w:val="16"/>
              </w:rPr>
            </w:pPr>
            <w:r w:rsidRPr="00B214CB">
              <w:rPr>
                <w:sz w:val="16"/>
                <w:szCs w:val="16"/>
              </w:rPr>
              <w:t>Augmentation de 20%</w:t>
            </w:r>
          </w:p>
        </w:tc>
        <w:tc>
          <w:tcPr>
            <w:tcW w:w="1309" w:type="pct"/>
            <w:shd w:val="clear" w:color="auto" w:fill="FFFFFF"/>
            <w:tcMar>
              <w:top w:w="110" w:type="dxa"/>
              <w:left w:w="58" w:type="dxa"/>
              <w:right w:w="58" w:type="dxa"/>
            </w:tcMar>
          </w:tcPr>
          <w:p w14:paraId="13A55D3D" w14:textId="77777777" w:rsidR="00F96912" w:rsidRPr="00B214CB" w:rsidRDefault="00F96912" w:rsidP="006658D5">
            <w:pPr>
              <w:widowControl w:val="0"/>
              <w:rPr>
                <w:color w:val="000000"/>
                <w:sz w:val="16"/>
                <w:szCs w:val="16"/>
              </w:rPr>
            </w:pPr>
            <w:r w:rsidRPr="00B214CB">
              <w:rPr>
                <w:color w:val="000000"/>
                <w:sz w:val="16"/>
                <w:szCs w:val="16"/>
              </w:rPr>
              <w:t>2 044 648 (+10,9% par rapport à 2015)</w:t>
            </w:r>
          </w:p>
        </w:tc>
        <w:tc>
          <w:tcPr>
            <w:tcW w:w="502" w:type="pct"/>
            <w:shd w:val="clear" w:color="auto" w:fill="auto"/>
            <w:tcMar>
              <w:top w:w="110" w:type="dxa"/>
              <w:left w:w="58" w:type="dxa"/>
              <w:right w:w="58" w:type="dxa"/>
            </w:tcMar>
          </w:tcPr>
          <w:p w14:paraId="49F6B23E" w14:textId="77777777" w:rsidR="00F96912" w:rsidRPr="00CD000E" w:rsidRDefault="00F96912" w:rsidP="006658D5">
            <w:pPr>
              <w:widowControl w:val="0"/>
              <w:jc w:val="center"/>
              <w:rPr>
                <w:color w:val="000000"/>
                <w:sz w:val="16"/>
                <w:szCs w:val="16"/>
              </w:rPr>
            </w:pPr>
            <w:r w:rsidRPr="00B214CB">
              <w:rPr>
                <w:rFonts w:eastAsia="SimSun"/>
                <w:b/>
                <w:color w:val="00B050"/>
                <w:sz w:val="16"/>
                <w:szCs w:val="16"/>
                <w:lang w:eastAsia="zh-CN"/>
              </w:rPr>
              <w:t>En bonne voie</w:t>
            </w:r>
          </w:p>
        </w:tc>
      </w:tr>
      <w:tr w:rsidR="00F96912" w:rsidRPr="00CD000E" w14:paraId="06E45670" w14:textId="77777777" w:rsidTr="006658D5">
        <w:tc>
          <w:tcPr>
            <w:tcW w:w="5000" w:type="pct"/>
            <w:gridSpan w:val="5"/>
            <w:shd w:val="clear" w:color="auto" w:fill="C6D9F1" w:themeFill="text2" w:themeFillTint="33"/>
            <w:tcMar>
              <w:left w:w="58" w:type="dxa"/>
              <w:right w:w="58" w:type="dxa"/>
            </w:tcMar>
            <w:vAlign w:val="center"/>
          </w:tcPr>
          <w:p w14:paraId="40513829" w14:textId="77777777" w:rsidR="00F96912" w:rsidRPr="00CD000E" w:rsidRDefault="00F96912" w:rsidP="006658D5">
            <w:pPr>
              <w:widowControl w:val="0"/>
              <w:tabs>
                <w:tab w:val="left" w:pos="1452"/>
              </w:tabs>
              <w:rPr>
                <w:b/>
                <w:bCs/>
                <w:sz w:val="16"/>
                <w:szCs w:val="16"/>
              </w:rPr>
            </w:pPr>
            <w:r w:rsidRPr="00CD000E">
              <w:rPr>
                <w:b/>
                <w:bCs/>
                <w:sz w:val="16"/>
                <w:szCs w:val="16"/>
              </w:rPr>
              <w:t xml:space="preserve">Résultat escompté : </w:t>
            </w:r>
            <w:r w:rsidRPr="00CD000E">
              <w:rPr>
                <w:bCs/>
                <w:sz w:val="16"/>
                <w:szCs w:val="16"/>
              </w:rPr>
              <w:t>VIII.3 Engagement réel auprès des États membres</w:t>
            </w:r>
          </w:p>
        </w:tc>
      </w:tr>
      <w:tr w:rsidR="00F96912" w:rsidRPr="00CD000E" w14:paraId="284CF327" w14:textId="77777777" w:rsidTr="006658D5">
        <w:tc>
          <w:tcPr>
            <w:tcW w:w="1074" w:type="pct"/>
            <w:shd w:val="clear" w:color="auto" w:fill="auto"/>
            <w:tcMar>
              <w:left w:w="58" w:type="dxa"/>
              <w:right w:w="58" w:type="dxa"/>
            </w:tcMar>
            <w:vAlign w:val="center"/>
          </w:tcPr>
          <w:p w14:paraId="00D4BC7D" w14:textId="77777777" w:rsidR="00F96912" w:rsidRPr="00CD000E" w:rsidRDefault="00F96912" w:rsidP="006658D5">
            <w:pPr>
              <w:widowControl w:val="0"/>
              <w:jc w:val="center"/>
              <w:rPr>
                <w:b/>
                <w:bCs/>
                <w:sz w:val="16"/>
                <w:szCs w:val="16"/>
              </w:rPr>
            </w:pPr>
            <w:r w:rsidRPr="00CD000E">
              <w:rPr>
                <w:b/>
                <w:bCs/>
                <w:sz w:val="16"/>
                <w:szCs w:val="16"/>
              </w:rPr>
              <w:t>Indicateurs d’exécution</w:t>
            </w:r>
          </w:p>
        </w:tc>
        <w:tc>
          <w:tcPr>
            <w:tcW w:w="1416" w:type="pct"/>
            <w:shd w:val="clear" w:color="auto" w:fill="auto"/>
            <w:tcMar>
              <w:left w:w="58" w:type="dxa"/>
              <w:right w:w="58" w:type="dxa"/>
            </w:tcMar>
            <w:vAlign w:val="center"/>
          </w:tcPr>
          <w:p w14:paraId="7C4FCAEB" w14:textId="77777777" w:rsidR="00F96912" w:rsidRPr="00CD000E" w:rsidRDefault="00F96912" w:rsidP="006658D5">
            <w:pPr>
              <w:widowControl w:val="0"/>
              <w:jc w:val="center"/>
              <w:rPr>
                <w:b/>
                <w:bCs/>
                <w:sz w:val="16"/>
                <w:szCs w:val="16"/>
              </w:rPr>
            </w:pPr>
            <w:r w:rsidRPr="00CD000E">
              <w:rPr>
                <w:b/>
                <w:bCs/>
                <w:sz w:val="16"/>
                <w:szCs w:val="16"/>
              </w:rPr>
              <w:t>Niveaux de référence</w:t>
            </w:r>
          </w:p>
        </w:tc>
        <w:tc>
          <w:tcPr>
            <w:tcW w:w="699" w:type="pct"/>
            <w:shd w:val="clear" w:color="auto" w:fill="auto"/>
            <w:tcMar>
              <w:top w:w="110" w:type="dxa"/>
              <w:left w:w="58" w:type="dxa"/>
              <w:right w:w="58" w:type="dxa"/>
            </w:tcMar>
            <w:vAlign w:val="center"/>
          </w:tcPr>
          <w:p w14:paraId="1C288C77" w14:textId="77777777" w:rsidR="00F96912" w:rsidRPr="00CD000E" w:rsidRDefault="00F96912" w:rsidP="006658D5">
            <w:pPr>
              <w:widowControl w:val="0"/>
              <w:jc w:val="center"/>
              <w:rPr>
                <w:b/>
                <w:bCs/>
                <w:sz w:val="16"/>
                <w:szCs w:val="16"/>
              </w:rPr>
            </w:pPr>
            <w:r w:rsidRPr="00CD000E">
              <w:rPr>
                <w:b/>
                <w:bCs/>
                <w:sz w:val="16"/>
                <w:szCs w:val="16"/>
              </w:rPr>
              <w:t>Objectifs visés</w:t>
            </w:r>
          </w:p>
        </w:tc>
        <w:tc>
          <w:tcPr>
            <w:tcW w:w="1309" w:type="pct"/>
            <w:shd w:val="clear" w:color="auto" w:fill="FFFFFF"/>
            <w:tcMar>
              <w:top w:w="110" w:type="dxa"/>
              <w:left w:w="58" w:type="dxa"/>
              <w:right w:w="58" w:type="dxa"/>
            </w:tcMar>
            <w:vAlign w:val="center"/>
          </w:tcPr>
          <w:p w14:paraId="5AA1703E" w14:textId="77777777" w:rsidR="00F96912" w:rsidRPr="00CD000E" w:rsidRDefault="00F96912" w:rsidP="006658D5">
            <w:pPr>
              <w:widowControl w:val="0"/>
              <w:jc w:val="center"/>
              <w:rPr>
                <w:b/>
                <w:bCs/>
                <w:sz w:val="16"/>
                <w:szCs w:val="16"/>
              </w:rPr>
            </w:pPr>
            <w:r w:rsidRPr="00CD000E">
              <w:rPr>
                <w:b/>
                <w:bCs/>
                <w:sz w:val="16"/>
                <w:szCs w:val="16"/>
              </w:rPr>
              <w:t>Données relatives à l’exécution</w:t>
            </w:r>
          </w:p>
        </w:tc>
        <w:tc>
          <w:tcPr>
            <w:tcW w:w="502" w:type="pct"/>
            <w:shd w:val="clear" w:color="auto" w:fill="auto"/>
            <w:tcMar>
              <w:top w:w="110" w:type="dxa"/>
              <w:left w:w="58" w:type="dxa"/>
              <w:right w:w="58" w:type="dxa"/>
            </w:tcMar>
            <w:vAlign w:val="center"/>
          </w:tcPr>
          <w:p w14:paraId="7E5BF182" w14:textId="77777777" w:rsidR="00F96912" w:rsidRPr="00CD000E" w:rsidRDefault="00F96912" w:rsidP="006658D5">
            <w:pPr>
              <w:widowControl w:val="0"/>
              <w:jc w:val="center"/>
              <w:rPr>
                <w:b/>
                <w:bCs/>
                <w:sz w:val="16"/>
                <w:szCs w:val="16"/>
              </w:rPr>
            </w:pPr>
            <w:r w:rsidRPr="00CD000E">
              <w:rPr>
                <w:b/>
                <w:bCs/>
                <w:sz w:val="16"/>
                <w:szCs w:val="16"/>
              </w:rPr>
              <w:t>Code d’évaluation</w:t>
            </w:r>
          </w:p>
        </w:tc>
      </w:tr>
      <w:tr w:rsidR="00F96912" w:rsidRPr="00CD000E" w14:paraId="4888D8B6" w14:textId="77777777" w:rsidTr="006658D5">
        <w:tc>
          <w:tcPr>
            <w:tcW w:w="1074" w:type="pct"/>
            <w:shd w:val="clear" w:color="auto" w:fill="auto"/>
            <w:tcMar>
              <w:left w:w="58" w:type="dxa"/>
              <w:right w:w="58" w:type="dxa"/>
            </w:tcMar>
          </w:tcPr>
          <w:p w14:paraId="2B18DA70" w14:textId="77777777" w:rsidR="00F96912" w:rsidRPr="00CD000E" w:rsidRDefault="00F96912" w:rsidP="006658D5">
            <w:pPr>
              <w:widowControl w:val="0"/>
              <w:rPr>
                <w:color w:val="000000"/>
                <w:sz w:val="16"/>
                <w:szCs w:val="16"/>
              </w:rPr>
            </w:pPr>
            <w:r w:rsidRPr="00CD000E">
              <w:rPr>
                <w:sz w:val="16"/>
                <w:szCs w:val="16"/>
              </w:rPr>
              <w:t>Pourcentage de réunions de comité pour lesquelles des réunions d’information préalables sont tenues pour les États membres</w:t>
            </w:r>
          </w:p>
        </w:tc>
        <w:tc>
          <w:tcPr>
            <w:tcW w:w="1416" w:type="pct"/>
            <w:shd w:val="clear" w:color="auto" w:fill="auto"/>
            <w:tcMar>
              <w:left w:w="58" w:type="dxa"/>
              <w:right w:w="58" w:type="dxa"/>
            </w:tcMar>
          </w:tcPr>
          <w:p w14:paraId="7380C829" w14:textId="77777777" w:rsidR="00F96912" w:rsidRPr="00CD000E" w:rsidRDefault="00F96912" w:rsidP="006658D5">
            <w:pPr>
              <w:widowControl w:val="0"/>
              <w:rPr>
                <w:i/>
                <w:color w:val="002060"/>
                <w:sz w:val="16"/>
                <w:szCs w:val="16"/>
              </w:rPr>
            </w:pPr>
            <w:r w:rsidRPr="00CD000E">
              <w:rPr>
                <w:i/>
                <w:color w:val="002060"/>
                <w:sz w:val="16"/>
                <w:szCs w:val="16"/>
              </w:rPr>
              <w:t>Niveau de référence actualisé à fin</w:t>
            </w:r>
            <w:r>
              <w:rPr>
                <w:i/>
                <w:color w:val="002060"/>
                <w:sz w:val="16"/>
                <w:szCs w:val="16"/>
              </w:rPr>
              <w:t> </w:t>
            </w:r>
            <w:r w:rsidRPr="00CD000E">
              <w:rPr>
                <w:i/>
                <w:color w:val="002060"/>
                <w:sz w:val="16"/>
                <w:szCs w:val="16"/>
              </w:rPr>
              <w:t>2015 :</w:t>
            </w:r>
          </w:p>
          <w:p w14:paraId="2E8BC60E" w14:textId="77777777" w:rsidR="00F96912" w:rsidRPr="00B214CB" w:rsidRDefault="00F96912" w:rsidP="006658D5">
            <w:pPr>
              <w:widowControl w:val="0"/>
              <w:rPr>
                <w:rFonts w:eastAsia="SimSun"/>
                <w:color w:val="002060"/>
                <w:sz w:val="16"/>
                <w:szCs w:val="16"/>
                <w:lang w:eastAsia="zh-CN"/>
              </w:rPr>
            </w:pPr>
            <w:r w:rsidRPr="00B214CB">
              <w:rPr>
                <w:rFonts w:eastAsia="SimSun"/>
                <w:color w:val="002060"/>
                <w:sz w:val="16"/>
                <w:szCs w:val="16"/>
                <w:lang w:eastAsia="zh-CN"/>
              </w:rPr>
              <w:t>97% selon une enquête menée auprès de secrétaires de comités</w:t>
            </w:r>
          </w:p>
          <w:p w14:paraId="4339D5FC" w14:textId="77777777" w:rsidR="00F96912" w:rsidRPr="00CD000E" w:rsidRDefault="00F96912" w:rsidP="006658D5">
            <w:pPr>
              <w:widowControl w:val="0"/>
              <w:rPr>
                <w:color w:val="000000"/>
                <w:sz w:val="16"/>
                <w:szCs w:val="16"/>
              </w:rPr>
            </w:pPr>
          </w:p>
          <w:p w14:paraId="1CD308A7" w14:textId="77777777" w:rsidR="00F96912" w:rsidRPr="00CD000E" w:rsidRDefault="00F96912" w:rsidP="006658D5">
            <w:pPr>
              <w:widowControl w:val="0"/>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66FFBBEB" w14:textId="77777777" w:rsidR="00F96912" w:rsidRPr="00CD000E" w:rsidRDefault="00F96912" w:rsidP="006658D5">
            <w:pPr>
              <w:widowControl w:val="0"/>
              <w:rPr>
                <w:color w:val="000000"/>
                <w:sz w:val="16"/>
                <w:szCs w:val="16"/>
              </w:rPr>
            </w:pPr>
            <w:r w:rsidRPr="00CD000E">
              <w:rPr>
                <w:sz w:val="16"/>
                <w:szCs w:val="16"/>
              </w:rPr>
              <w:t>93% (fin 2014)</w:t>
            </w:r>
          </w:p>
        </w:tc>
        <w:tc>
          <w:tcPr>
            <w:tcW w:w="699" w:type="pct"/>
            <w:shd w:val="clear" w:color="auto" w:fill="auto"/>
            <w:tcMar>
              <w:top w:w="110" w:type="dxa"/>
              <w:left w:w="58" w:type="dxa"/>
              <w:right w:w="58" w:type="dxa"/>
            </w:tcMar>
          </w:tcPr>
          <w:p w14:paraId="7BD90A9F" w14:textId="77777777" w:rsidR="00F96912" w:rsidRPr="00CD000E" w:rsidRDefault="00F96912" w:rsidP="006658D5">
            <w:pPr>
              <w:widowControl w:val="0"/>
              <w:rPr>
                <w:color w:val="000000"/>
                <w:sz w:val="16"/>
                <w:szCs w:val="16"/>
              </w:rPr>
            </w:pPr>
            <w:r w:rsidRPr="00CD000E">
              <w:rPr>
                <w:color w:val="000000"/>
                <w:sz w:val="16"/>
                <w:szCs w:val="16"/>
              </w:rPr>
              <w:t>90%</w:t>
            </w:r>
          </w:p>
        </w:tc>
        <w:tc>
          <w:tcPr>
            <w:tcW w:w="1309" w:type="pct"/>
            <w:shd w:val="clear" w:color="auto" w:fill="FFFFFF"/>
            <w:tcMar>
              <w:top w:w="110" w:type="dxa"/>
              <w:left w:w="58" w:type="dxa"/>
              <w:right w:w="58" w:type="dxa"/>
            </w:tcMar>
          </w:tcPr>
          <w:p w14:paraId="50797750" w14:textId="77777777" w:rsidR="00F96912" w:rsidRPr="00CD000E" w:rsidRDefault="00F96912" w:rsidP="006658D5">
            <w:pPr>
              <w:widowControl w:val="0"/>
              <w:rPr>
                <w:color w:val="000000"/>
                <w:sz w:val="16"/>
                <w:szCs w:val="16"/>
              </w:rPr>
            </w:pPr>
            <w:r w:rsidRPr="00B214CB">
              <w:rPr>
                <w:sz w:val="16"/>
                <w:szCs w:val="16"/>
              </w:rPr>
              <w:t>100% selon une enquête menée auprès de secrétaires de comités</w:t>
            </w:r>
          </w:p>
        </w:tc>
        <w:tc>
          <w:tcPr>
            <w:tcW w:w="502" w:type="pct"/>
            <w:shd w:val="clear" w:color="auto" w:fill="auto"/>
            <w:tcMar>
              <w:top w:w="110" w:type="dxa"/>
              <w:left w:w="58" w:type="dxa"/>
              <w:right w:w="58" w:type="dxa"/>
            </w:tcMar>
          </w:tcPr>
          <w:p w14:paraId="5EE31426" w14:textId="77777777" w:rsidR="00F96912" w:rsidRPr="00CD000E" w:rsidRDefault="00F96912" w:rsidP="006658D5">
            <w:pPr>
              <w:widowControl w:val="0"/>
              <w:jc w:val="center"/>
              <w:rPr>
                <w:color w:val="000000"/>
                <w:sz w:val="16"/>
                <w:szCs w:val="16"/>
              </w:rPr>
            </w:pPr>
            <w:r w:rsidRPr="00CD000E">
              <w:rPr>
                <w:rFonts w:eastAsia="SimSun"/>
                <w:b/>
                <w:color w:val="00B050"/>
                <w:sz w:val="16"/>
                <w:szCs w:val="16"/>
                <w:lang w:eastAsia="zh-CN"/>
              </w:rPr>
              <w:t>En bonne voie</w:t>
            </w:r>
          </w:p>
        </w:tc>
      </w:tr>
      <w:tr w:rsidR="00F96912" w:rsidRPr="00CD000E" w14:paraId="2C5D9026" w14:textId="77777777" w:rsidTr="006658D5">
        <w:tc>
          <w:tcPr>
            <w:tcW w:w="1074" w:type="pct"/>
            <w:shd w:val="clear" w:color="auto" w:fill="auto"/>
            <w:tcMar>
              <w:left w:w="58" w:type="dxa"/>
              <w:right w:w="58" w:type="dxa"/>
            </w:tcMar>
          </w:tcPr>
          <w:p w14:paraId="44EE8EF7" w14:textId="77777777" w:rsidR="00F96912" w:rsidRPr="00CD000E" w:rsidRDefault="00F96912" w:rsidP="006658D5">
            <w:pPr>
              <w:widowControl w:val="0"/>
              <w:rPr>
                <w:color w:val="000000"/>
                <w:sz w:val="16"/>
                <w:szCs w:val="16"/>
              </w:rPr>
            </w:pPr>
            <w:r w:rsidRPr="00CD000E">
              <w:rPr>
                <w:sz w:val="16"/>
                <w:szCs w:val="16"/>
              </w:rPr>
              <w:t>Pourcentage d’actes d’adhésion et autres actes accomplis à l’égard de traités faisant l’objet d’un traitement dans les délais requis</w:t>
            </w:r>
          </w:p>
        </w:tc>
        <w:tc>
          <w:tcPr>
            <w:tcW w:w="1416" w:type="pct"/>
            <w:shd w:val="clear" w:color="auto" w:fill="auto"/>
            <w:tcMar>
              <w:left w:w="58" w:type="dxa"/>
              <w:right w:w="58" w:type="dxa"/>
            </w:tcMar>
          </w:tcPr>
          <w:p w14:paraId="0EEF7333" w14:textId="77777777" w:rsidR="00F96912" w:rsidRPr="00CD000E" w:rsidRDefault="00F96912" w:rsidP="006658D5">
            <w:pPr>
              <w:widowControl w:val="0"/>
              <w:rPr>
                <w:i/>
                <w:color w:val="002060"/>
                <w:sz w:val="16"/>
                <w:szCs w:val="16"/>
              </w:rPr>
            </w:pPr>
            <w:r w:rsidRPr="00CD000E">
              <w:rPr>
                <w:i/>
                <w:color w:val="002060"/>
                <w:sz w:val="16"/>
                <w:szCs w:val="16"/>
              </w:rPr>
              <w:t>Niveau de référence actualisé à fin</w:t>
            </w:r>
            <w:r>
              <w:rPr>
                <w:i/>
                <w:color w:val="002060"/>
                <w:sz w:val="16"/>
                <w:szCs w:val="16"/>
              </w:rPr>
              <w:t> </w:t>
            </w:r>
            <w:r w:rsidRPr="00CD000E">
              <w:rPr>
                <w:i/>
                <w:color w:val="002060"/>
                <w:sz w:val="16"/>
                <w:szCs w:val="16"/>
              </w:rPr>
              <w:t>2015 :</w:t>
            </w:r>
          </w:p>
          <w:p w14:paraId="13231A5C" w14:textId="77777777" w:rsidR="00F96912" w:rsidRPr="00B214CB" w:rsidRDefault="00F96912" w:rsidP="006658D5">
            <w:pPr>
              <w:widowControl w:val="0"/>
              <w:rPr>
                <w:color w:val="002060"/>
                <w:sz w:val="16"/>
                <w:szCs w:val="16"/>
              </w:rPr>
            </w:pPr>
            <w:r w:rsidRPr="00B214CB">
              <w:rPr>
                <w:color w:val="002060"/>
                <w:sz w:val="16"/>
                <w:szCs w:val="16"/>
              </w:rPr>
              <w:t>90% des notifications d’adhésion et autres actes accomplis à l’égard de traités sont traités dans les trois jours</w:t>
            </w:r>
          </w:p>
          <w:p w14:paraId="44B7030E" w14:textId="77777777" w:rsidR="00F96912" w:rsidRPr="00CD000E" w:rsidRDefault="00F96912" w:rsidP="006658D5">
            <w:pPr>
              <w:widowControl w:val="0"/>
              <w:rPr>
                <w:color w:val="000000"/>
                <w:sz w:val="16"/>
                <w:szCs w:val="16"/>
              </w:rPr>
            </w:pPr>
          </w:p>
          <w:p w14:paraId="3BFCFC70" w14:textId="77777777" w:rsidR="00F96912" w:rsidRPr="00CD000E" w:rsidRDefault="00F96912" w:rsidP="006658D5">
            <w:pPr>
              <w:widowControl w:val="0"/>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736D320C" w14:textId="77777777" w:rsidR="00F96912" w:rsidRPr="00CD000E" w:rsidRDefault="00F96912" w:rsidP="006658D5">
            <w:pPr>
              <w:widowControl w:val="0"/>
              <w:rPr>
                <w:color w:val="000000"/>
                <w:sz w:val="16"/>
                <w:szCs w:val="16"/>
              </w:rPr>
            </w:pPr>
            <w:r w:rsidRPr="00CD000E">
              <w:rPr>
                <w:sz w:val="16"/>
                <w:szCs w:val="16"/>
              </w:rPr>
              <w:t>95% traitées dans les trois jours (fin 2014)</w:t>
            </w:r>
          </w:p>
        </w:tc>
        <w:tc>
          <w:tcPr>
            <w:tcW w:w="699" w:type="pct"/>
            <w:shd w:val="clear" w:color="auto" w:fill="auto"/>
            <w:tcMar>
              <w:top w:w="110" w:type="dxa"/>
              <w:left w:w="58" w:type="dxa"/>
              <w:right w:w="58" w:type="dxa"/>
            </w:tcMar>
          </w:tcPr>
          <w:p w14:paraId="3F25DCA3" w14:textId="77777777" w:rsidR="00F96912" w:rsidRPr="00B214CB" w:rsidRDefault="00F96912" w:rsidP="006658D5">
            <w:pPr>
              <w:widowControl w:val="0"/>
              <w:rPr>
                <w:color w:val="000000"/>
                <w:sz w:val="16"/>
                <w:szCs w:val="16"/>
              </w:rPr>
            </w:pPr>
            <w:r w:rsidRPr="00B214CB">
              <w:rPr>
                <w:sz w:val="16"/>
                <w:szCs w:val="16"/>
              </w:rPr>
              <w:t>95% traités dans les trois jours</w:t>
            </w:r>
          </w:p>
        </w:tc>
        <w:tc>
          <w:tcPr>
            <w:tcW w:w="1309" w:type="pct"/>
            <w:shd w:val="clear" w:color="auto" w:fill="FFFFFF"/>
            <w:tcMar>
              <w:top w:w="110" w:type="dxa"/>
              <w:left w:w="58" w:type="dxa"/>
              <w:right w:w="58" w:type="dxa"/>
            </w:tcMar>
          </w:tcPr>
          <w:p w14:paraId="2A8E30CF" w14:textId="77777777" w:rsidR="00F96912" w:rsidRPr="00B214CB" w:rsidRDefault="00F96912" w:rsidP="006658D5">
            <w:pPr>
              <w:widowControl w:val="0"/>
              <w:rPr>
                <w:color w:val="000000"/>
                <w:sz w:val="16"/>
                <w:szCs w:val="16"/>
              </w:rPr>
            </w:pPr>
            <w:r w:rsidRPr="00B214CB">
              <w:rPr>
                <w:color w:val="000000"/>
                <w:sz w:val="16"/>
                <w:szCs w:val="16"/>
              </w:rPr>
              <w:t>91% (39 sur 43) de tous les actes accomplis à l’égard des traités ont été traités dans les trois jours</w:t>
            </w:r>
          </w:p>
        </w:tc>
        <w:tc>
          <w:tcPr>
            <w:tcW w:w="502" w:type="pct"/>
            <w:shd w:val="clear" w:color="auto" w:fill="auto"/>
            <w:tcMar>
              <w:top w:w="110" w:type="dxa"/>
              <w:left w:w="58" w:type="dxa"/>
              <w:right w:w="58" w:type="dxa"/>
            </w:tcMar>
          </w:tcPr>
          <w:p w14:paraId="2BF335A4" w14:textId="77777777" w:rsidR="00F96912" w:rsidRPr="00CD000E" w:rsidRDefault="00F96912" w:rsidP="006658D5">
            <w:pPr>
              <w:widowControl w:val="0"/>
              <w:jc w:val="center"/>
              <w:rPr>
                <w:color w:val="000000"/>
                <w:sz w:val="16"/>
                <w:szCs w:val="16"/>
              </w:rPr>
            </w:pPr>
            <w:r w:rsidRPr="00CD000E">
              <w:rPr>
                <w:rFonts w:eastAsia="SimSun"/>
                <w:b/>
                <w:color w:val="00B050"/>
                <w:sz w:val="16"/>
                <w:szCs w:val="16"/>
                <w:lang w:eastAsia="zh-CN"/>
              </w:rPr>
              <w:t>En bonne voie</w:t>
            </w:r>
          </w:p>
        </w:tc>
      </w:tr>
      <w:tr w:rsidR="00F96912" w:rsidRPr="00CD000E" w14:paraId="14D1B014" w14:textId="77777777" w:rsidTr="006658D5">
        <w:tc>
          <w:tcPr>
            <w:tcW w:w="1074" w:type="pct"/>
            <w:shd w:val="clear" w:color="auto" w:fill="auto"/>
            <w:tcMar>
              <w:left w:w="58" w:type="dxa"/>
              <w:right w:w="58" w:type="dxa"/>
            </w:tcMar>
          </w:tcPr>
          <w:p w14:paraId="1C6FC4CB" w14:textId="77777777" w:rsidR="00F96912" w:rsidRPr="00CD000E" w:rsidRDefault="00F96912" w:rsidP="006658D5">
            <w:pPr>
              <w:keepNext/>
              <w:keepLines/>
              <w:widowControl w:val="0"/>
              <w:rPr>
                <w:color w:val="000000"/>
                <w:sz w:val="16"/>
                <w:szCs w:val="16"/>
              </w:rPr>
            </w:pPr>
            <w:r w:rsidRPr="00CD000E">
              <w:rPr>
                <w:sz w:val="16"/>
                <w:szCs w:val="16"/>
              </w:rPr>
              <w:t>Délais de publication des documents des assemblées</w:t>
            </w:r>
          </w:p>
        </w:tc>
        <w:tc>
          <w:tcPr>
            <w:tcW w:w="1416" w:type="pct"/>
            <w:shd w:val="clear" w:color="auto" w:fill="auto"/>
            <w:tcMar>
              <w:left w:w="58" w:type="dxa"/>
              <w:right w:w="58" w:type="dxa"/>
            </w:tcMar>
          </w:tcPr>
          <w:p w14:paraId="06DD6210" w14:textId="77777777" w:rsidR="00F96912" w:rsidRPr="00A14FAB" w:rsidRDefault="00F96912" w:rsidP="006658D5">
            <w:pPr>
              <w:keepNext/>
              <w:keepLines/>
              <w:widowControl w:val="0"/>
              <w:rPr>
                <w:i/>
                <w:color w:val="002060"/>
                <w:sz w:val="16"/>
                <w:szCs w:val="16"/>
              </w:rPr>
            </w:pPr>
            <w:r w:rsidRPr="00A14FAB">
              <w:rPr>
                <w:i/>
                <w:color w:val="002060"/>
                <w:sz w:val="16"/>
                <w:szCs w:val="16"/>
              </w:rPr>
              <w:t>Niveau de référence actualisé à fin 2015 :</w:t>
            </w:r>
          </w:p>
          <w:p w14:paraId="438AA22A" w14:textId="6ED2CAED" w:rsidR="00F96912" w:rsidRPr="00A14FAB" w:rsidRDefault="00F96912" w:rsidP="00DF39AB">
            <w:pPr>
              <w:keepNext/>
              <w:keepLines/>
              <w:rPr>
                <w:rFonts w:eastAsia="SimSun"/>
                <w:color w:val="002060"/>
                <w:sz w:val="16"/>
                <w:szCs w:val="16"/>
                <w:lang w:eastAsia="zh-CN"/>
              </w:rPr>
            </w:pPr>
            <w:r w:rsidRPr="00A14FAB">
              <w:rPr>
                <w:rFonts w:eastAsia="SimSun"/>
                <w:color w:val="002060"/>
                <w:sz w:val="16"/>
                <w:szCs w:val="16"/>
                <w:lang w:eastAsia="zh-CN"/>
              </w:rPr>
              <w:t>En 2014</w:t>
            </w:r>
            <w:r w:rsidRPr="00A14FAB">
              <w:rPr>
                <w:rFonts w:eastAsia="SimSun"/>
                <w:color w:val="002060"/>
                <w:sz w:val="16"/>
                <w:szCs w:val="16"/>
                <w:lang w:eastAsia="zh-CN"/>
              </w:rPr>
              <w:noBreakHyphen/>
              <w:t xml:space="preserve">2015, 97% de tous les documents pertinents ont été publiés </w:t>
            </w:r>
            <w:r w:rsidR="00DF39AB" w:rsidRPr="00A14FAB">
              <w:rPr>
                <w:rFonts w:eastAsia="SimSun"/>
                <w:color w:val="002060"/>
                <w:sz w:val="16"/>
                <w:szCs w:val="16"/>
                <w:lang w:eastAsia="zh-CN"/>
              </w:rPr>
              <w:t>deux mois avant les assemblées</w:t>
            </w:r>
          </w:p>
          <w:p w14:paraId="387C0624" w14:textId="77777777" w:rsidR="00F96912" w:rsidRPr="00A14FAB" w:rsidRDefault="00F96912" w:rsidP="006658D5">
            <w:pPr>
              <w:keepNext/>
              <w:keepLines/>
              <w:widowControl w:val="0"/>
              <w:rPr>
                <w:i/>
                <w:sz w:val="16"/>
                <w:szCs w:val="16"/>
                <w:lang w:bidi="th-TH"/>
              </w:rPr>
            </w:pPr>
          </w:p>
          <w:p w14:paraId="0904679A" w14:textId="77777777" w:rsidR="00F96912" w:rsidRPr="00A14FAB" w:rsidRDefault="00F96912" w:rsidP="006658D5">
            <w:pPr>
              <w:keepNext/>
              <w:keepLines/>
              <w:widowControl w:val="0"/>
              <w:rPr>
                <w:i/>
                <w:sz w:val="16"/>
                <w:szCs w:val="16"/>
                <w:lang w:bidi="th-TH"/>
              </w:rPr>
            </w:pPr>
            <w:r w:rsidRPr="00A14FAB">
              <w:rPr>
                <w:i/>
                <w:sz w:val="16"/>
                <w:szCs w:val="16"/>
                <w:lang w:bidi="th-TH"/>
              </w:rPr>
              <w:t>Niveau de référence initial dans le programme et budget 2016</w:t>
            </w:r>
            <w:r w:rsidRPr="00A14FAB">
              <w:rPr>
                <w:i/>
                <w:sz w:val="16"/>
                <w:szCs w:val="16"/>
                <w:lang w:bidi="th-TH"/>
              </w:rPr>
              <w:noBreakHyphen/>
              <w:t>2017 :</w:t>
            </w:r>
          </w:p>
          <w:p w14:paraId="09072E3B" w14:textId="5C7296CE" w:rsidR="00DF39AB" w:rsidRPr="00A14FAB" w:rsidRDefault="00DF39AB" w:rsidP="00DF39AB">
            <w:pPr>
              <w:keepNext/>
              <w:keepLines/>
              <w:widowControl w:val="0"/>
              <w:rPr>
                <w:sz w:val="16"/>
                <w:szCs w:val="16"/>
              </w:rPr>
            </w:pPr>
            <w:r w:rsidRPr="00A14FAB">
              <w:rPr>
                <w:sz w:val="16"/>
                <w:szCs w:val="16"/>
              </w:rPr>
              <w:t xml:space="preserve">En 2014, </w:t>
            </w:r>
            <w:r w:rsidR="00F96912" w:rsidRPr="00A14FAB">
              <w:rPr>
                <w:sz w:val="16"/>
                <w:szCs w:val="16"/>
              </w:rPr>
              <w:t>9</w:t>
            </w:r>
            <w:r w:rsidRPr="00A14FAB">
              <w:rPr>
                <w:sz w:val="16"/>
                <w:szCs w:val="16"/>
              </w:rPr>
              <w:t>5</w:t>
            </w:r>
            <w:r w:rsidR="00F96912" w:rsidRPr="00A14FAB">
              <w:rPr>
                <w:sz w:val="16"/>
                <w:szCs w:val="16"/>
              </w:rPr>
              <w:t xml:space="preserve">% des documents </w:t>
            </w:r>
            <w:r w:rsidRPr="00A14FAB">
              <w:rPr>
                <w:sz w:val="16"/>
                <w:szCs w:val="16"/>
              </w:rPr>
              <w:t xml:space="preserve">ont été </w:t>
            </w:r>
            <w:r w:rsidR="00F96912" w:rsidRPr="00A14FAB">
              <w:rPr>
                <w:sz w:val="16"/>
                <w:szCs w:val="16"/>
              </w:rPr>
              <w:t>publiés deux mois avant les assemblées</w:t>
            </w:r>
          </w:p>
        </w:tc>
        <w:tc>
          <w:tcPr>
            <w:tcW w:w="699" w:type="pct"/>
            <w:shd w:val="clear" w:color="auto" w:fill="auto"/>
            <w:tcMar>
              <w:top w:w="110" w:type="dxa"/>
              <w:left w:w="58" w:type="dxa"/>
              <w:right w:w="58" w:type="dxa"/>
            </w:tcMar>
          </w:tcPr>
          <w:p w14:paraId="73853225" w14:textId="77777777" w:rsidR="00F96912" w:rsidRPr="00A14FAB" w:rsidRDefault="00F96912" w:rsidP="006658D5">
            <w:pPr>
              <w:keepNext/>
              <w:keepLines/>
              <w:widowControl w:val="0"/>
              <w:rPr>
                <w:color w:val="000000"/>
                <w:sz w:val="16"/>
                <w:szCs w:val="16"/>
              </w:rPr>
            </w:pPr>
            <w:r w:rsidRPr="00A14FAB">
              <w:rPr>
                <w:sz w:val="16"/>
                <w:szCs w:val="16"/>
              </w:rPr>
              <w:t>95% des documents publiés deux mois avant les assemblées</w:t>
            </w:r>
          </w:p>
        </w:tc>
        <w:tc>
          <w:tcPr>
            <w:tcW w:w="1309" w:type="pct"/>
            <w:shd w:val="clear" w:color="auto" w:fill="FFFFFF"/>
            <w:tcMar>
              <w:top w:w="110" w:type="dxa"/>
              <w:left w:w="58" w:type="dxa"/>
              <w:right w:w="58" w:type="dxa"/>
            </w:tcMar>
          </w:tcPr>
          <w:p w14:paraId="57E1B5CB" w14:textId="7A32B9EF" w:rsidR="00F96912" w:rsidRPr="00A14FAB" w:rsidRDefault="00F96912" w:rsidP="00DF39AB">
            <w:pPr>
              <w:keepNext/>
              <w:keepLines/>
              <w:rPr>
                <w:color w:val="000000"/>
                <w:sz w:val="16"/>
                <w:szCs w:val="16"/>
              </w:rPr>
            </w:pPr>
            <w:r w:rsidRPr="00A14FAB">
              <w:rPr>
                <w:rFonts w:eastAsia="SimSun"/>
                <w:color w:val="000000"/>
                <w:sz w:val="16"/>
                <w:szCs w:val="16"/>
                <w:lang w:eastAsia="zh-CN"/>
              </w:rPr>
              <w:t>93,5% des documents pertinents publiés deux mois avant les assemblées</w:t>
            </w:r>
          </w:p>
        </w:tc>
        <w:tc>
          <w:tcPr>
            <w:tcW w:w="502" w:type="pct"/>
            <w:shd w:val="clear" w:color="auto" w:fill="auto"/>
            <w:tcMar>
              <w:top w:w="110" w:type="dxa"/>
              <w:left w:w="58" w:type="dxa"/>
              <w:right w:w="58" w:type="dxa"/>
            </w:tcMar>
          </w:tcPr>
          <w:p w14:paraId="09080C6F" w14:textId="77777777" w:rsidR="00F96912" w:rsidRPr="00CD000E" w:rsidRDefault="00F96912" w:rsidP="006658D5">
            <w:pPr>
              <w:keepNext/>
              <w:keepLines/>
              <w:widowControl w:val="0"/>
              <w:jc w:val="center"/>
              <w:rPr>
                <w:color w:val="000000"/>
                <w:sz w:val="16"/>
                <w:szCs w:val="16"/>
              </w:rPr>
            </w:pPr>
            <w:r w:rsidRPr="00CD000E">
              <w:rPr>
                <w:rFonts w:eastAsia="SimSun"/>
                <w:b/>
                <w:color w:val="00B050"/>
                <w:sz w:val="16"/>
                <w:szCs w:val="16"/>
                <w:lang w:eastAsia="zh-CN"/>
              </w:rPr>
              <w:t>En bonne voie</w:t>
            </w:r>
          </w:p>
        </w:tc>
      </w:tr>
      <w:tr w:rsidR="00F96912" w:rsidRPr="00CD000E" w14:paraId="5DCC1B3D" w14:textId="77777777" w:rsidTr="006658D5">
        <w:tc>
          <w:tcPr>
            <w:tcW w:w="1074" w:type="pct"/>
            <w:shd w:val="clear" w:color="auto" w:fill="auto"/>
            <w:tcMar>
              <w:left w:w="58" w:type="dxa"/>
              <w:right w:w="58" w:type="dxa"/>
            </w:tcMar>
          </w:tcPr>
          <w:p w14:paraId="4B5CBA1E" w14:textId="77777777" w:rsidR="00F96912" w:rsidRPr="00B214CB" w:rsidRDefault="00F96912" w:rsidP="006658D5">
            <w:pPr>
              <w:widowControl w:val="0"/>
              <w:rPr>
                <w:color w:val="000000"/>
                <w:sz w:val="16"/>
                <w:szCs w:val="16"/>
              </w:rPr>
            </w:pPr>
            <w:r w:rsidRPr="00B214CB">
              <w:rPr>
                <w:sz w:val="16"/>
                <w:szCs w:val="16"/>
              </w:rPr>
              <w:t>Taux de satisfaction des États membres et des parties prenantes en ce qui concerne l’organisation des événements</w:t>
            </w:r>
          </w:p>
        </w:tc>
        <w:tc>
          <w:tcPr>
            <w:tcW w:w="1416" w:type="pct"/>
            <w:shd w:val="clear" w:color="auto" w:fill="auto"/>
            <w:tcMar>
              <w:left w:w="58" w:type="dxa"/>
              <w:right w:w="58" w:type="dxa"/>
            </w:tcMar>
          </w:tcPr>
          <w:p w14:paraId="3F5CFC59" w14:textId="77777777" w:rsidR="00F96912" w:rsidRPr="00B214CB" w:rsidRDefault="00F96912" w:rsidP="006658D5">
            <w:pPr>
              <w:widowControl w:val="0"/>
              <w:rPr>
                <w:i/>
                <w:color w:val="002060"/>
                <w:sz w:val="16"/>
                <w:szCs w:val="16"/>
              </w:rPr>
            </w:pPr>
            <w:r w:rsidRPr="00B214CB">
              <w:rPr>
                <w:i/>
                <w:color w:val="002060"/>
                <w:sz w:val="16"/>
                <w:szCs w:val="16"/>
              </w:rPr>
              <w:t>Niveau de référence actualisé à fin</w:t>
            </w:r>
            <w:r>
              <w:rPr>
                <w:i/>
                <w:color w:val="002060"/>
                <w:sz w:val="16"/>
                <w:szCs w:val="16"/>
              </w:rPr>
              <w:t> </w:t>
            </w:r>
            <w:r w:rsidRPr="00B214CB">
              <w:rPr>
                <w:i/>
                <w:color w:val="002060"/>
                <w:sz w:val="16"/>
                <w:szCs w:val="16"/>
              </w:rPr>
              <w:t>2015 :</w:t>
            </w:r>
          </w:p>
          <w:p w14:paraId="6D49A7F0" w14:textId="77777777" w:rsidR="00F96912" w:rsidRPr="00B214CB" w:rsidRDefault="00F96912" w:rsidP="006658D5">
            <w:pPr>
              <w:widowControl w:val="0"/>
              <w:rPr>
                <w:color w:val="002060"/>
                <w:sz w:val="16"/>
                <w:szCs w:val="16"/>
              </w:rPr>
            </w:pPr>
            <w:r w:rsidRPr="00B214CB">
              <w:rPr>
                <w:color w:val="002060"/>
                <w:sz w:val="16"/>
                <w:szCs w:val="16"/>
              </w:rPr>
              <w:t>91% des États membres satisfaits des événements</w:t>
            </w:r>
          </w:p>
          <w:p w14:paraId="3DBC9893" w14:textId="77777777" w:rsidR="00F96912" w:rsidRPr="00B214CB" w:rsidRDefault="00F96912" w:rsidP="006658D5">
            <w:pPr>
              <w:widowControl w:val="0"/>
              <w:rPr>
                <w:color w:val="002060"/>
                <w:sz w:val="16"/>
                <w:szCs w:val="16"/>
              </w:rPr>
            </w:pPr>
            <w:r w:rsidRPr="00B214CB">
              <w:rPr>
                <w:color w:val="002060"/>
                <w:sz w:val="16"/>
                <w:szCs w:val="16"/>
              </w:rPr>
              <w:t>(enquête menée sur les assemblées 2015 de l’OMPI)</w:t>
            </w:r>
          </w:p>
          <w:p w14:paraId="073618F2" w14:textId="77777777" w:rsidR="00F96912" w:rsidRPr="00B214CB" w:rsidRDefault="00F96912" w:rsidP="006658D5">
            <w:pPr>
              <w:widowControl w:val="0"/>
              <w:rPr>
                <w:color w:val="000000"/>
                <w:sz w:val="16"/>
                <w:szCs w:val="16"/>
              </w:rPr>
            </w:pPr>
          </w:p>
          <w:p w14:paraId="4167B1B6" w14:textId="77777777" w:rsidR="00F96912" w:rsidRPr="00B214CB" w:rsidRDefault="00F96912" w:rsidP="006658D5">
            <w:pPr>
              <w:widowControl w:val="0"/>
              <w:rPr>
                <w:i/>
                <w:sz w:val="16"/>
                <w:szCs w:val="16"/>
                <w:lang w:bidi="th-TH"/>
              </w:rPr>
            </w:pPr>
            <w:r w:rsidRPr="00B214CB">
              <w:rPr>
                <w:i/>
                <w:sz w:val="16"/>
                <w:szCs w:val="16"/>
                <w:lang w:bidi="th-TH"/>
              </w:rPr>
              <w:t>Niveau de référence initial dans le programme et budget 2016</w:t>
            </w:r>
            <w:r w:rsidRPr="00B214CB">
              <w:rPr>
                <w:i/>
                <w:sz w:val="16"/>
                <w:szCs w:val="16"/>
                <w:lang w:bidi="th-TH"/>
              </w:rPr>
              <w:noBreakHyphen/>
              <w:t>2017 :</w:t>
            </w:r>
          </w:p>
          <w:p w14:paraId="42197CFE" w14:textId="77777777" w:rsidR="00F96912" w:rsidRPr="00B214CB" w:rsidRDefault="00F96912" w:rsidP="006658D5">
            <w:pPr>
              <w:widowControl w:val="0"/>
              <w:rPr>
                <w:color w:val="000000"/>
                <w:sz w:val="16"/>
                <w:szCs w:val="16"/>
              </w:rPr>
            </w:pPr>
            <w:r w:rsidRPr="00B214CB">
              <w:rPr>
                <w:sz w:val="16"/>
                <w:szCs w:val="16"/>
              </w:rPr>
              <w:t>Résultats de l’enquête de 2014 : 82%</w:t>
            </w:r>
          </w:p>
        </w:tc>
        <w:tc>
          <w:tcPr>
            <w:tcW w:w="699" w:type="pct"/>
            <w:shd w:val="clear" w:color="auto" w:fill="auto"/>
            <w:tcMar>
              <w:top w:w="110" w:type="dxa"/>
              <w:left w:w="58" w:type="dxa"/>
              <w:right w:w="58" w:type="dxa"/>
            </w:tcMar>
          </w:tcPr>
          <w:p w14:paraId="66DCE8FF" w14:textId="77777777" w:rsidR="00F96912" w:rsidRPr="00B214CB" w:rsidRDefault="00F96912" w:rsidP="006658D5">
            <w:pPr>
              <w:rPr>
                <w:i/>
                <w:color w:val="002060"/>
                <w:sz w:val="16"/>
                <w:szCs w:val="16"/>
              </w:rPr>
            </w:pPr>
            <w:r w:rsidRPr="00B214CB">
              <w:rPr>
                <w:i/>
                <w:color w:val="002060"/>
                <w:sz w:val="16"/>
                <w:szCs w:val="16"/>
              </w:rPr>
              <w:t>Objectif actualisé :</w:t>
            </w:r>
          </w:p>
          <w:p w14:paraId="43E37ED7" w14:textId="77777777" w:rsidR="00F96912" w:rsidRPr="00B214CB" w:rsidRDefault="00F96912" w:rsidP="006658D5">
            <w:pPr>
              <w:keepNext/>
              <w:keepLines/>
              <w:rPr>
                <w:rFonts w:eastAsia="SimSun"/>
                <w:color w:val="002060"/>
                <w:sz w:val="16"/>
                <w:szCs w:val="16"/>
                <w:lang w:eastAsia="zh-CN"/>
              </w:rPr>
            </w:pPr>
            <w:r w:rsidRPr="00B214CB">
              <w:rPr>
                <w:rFonts w:eastAsia="SimSun"/>
                <w:color w:val="002060"/>
                <w:sz w:val="16"/>
                <w:szCs w:val="16"/>
                <w:lang w:eastAsia="zh-CN"/>
              </w:rPr>
              <w:t xml:space="preserve">90% </w:t>
            </w:r>
            <w:r w:rsidRPr="00B214CB">
              <w:rPr>
                <w:color w:val="002060"/>
                <w:sz w:val="16"/>
                <w:szCs w:val="16"/>
              </w:rPr>
              <w:t>satisfaits des événements</w:t>
            </w:r>
          </w:p>
          <w:p w14:paraId="0985CFC8" w14:textId="77777777" w:rsidR="00F96912" w:rsidRPr="00B214CB" w:rsidRDefault="00F96912" w:rsidP="006658D5">
            <w:pPr>
              <w:keepNext/>
              <w:keepLines/>
              <w:rPr>
                <w:color w:val="000000"/>
                <w:sz w:val="16"/>
                <w:szCs w:val="16"/>
              </w:rPr>
            </w:pPr>
          </w:p>
          <w:p w14:paraId="6D80DEAE" w14:textId="77777777" w:rsidR="00F96912" w:rsidRPr="00B214CB" w:rsidRDefault="00F96912" w:rsidP="006658D5">
            <w:pPr>
              <w:rPr>
                <w:i/>
                <w:sz w:val="16"/>
                <w:szCs w:val="16"/>
                <w:lang w:bidi="th-TH"/>
              </w:rPr>
            </w:pPr>
            <w:r w:rsidRPr="00B214CB">
              <w:rPr>
                <w:i/>
                <w:sz w:val="16"/>
                <w:szCs w:val="16"/>
                <w:lang w:bidi="th-TH"/>
              </w:rPr>
              <w:t>Objectif initial dans le programme et budget 2016</w:t>
            </w:r>
            <w:r w:rsidRPr="00B214CB">
              <w:rPr>
                <w:i/>
                <w:sz w:val="16"/>
                <w:szCs w:val="16"/>
                <w:lang w:bidi="th-TH"/>
              </w:rPr>
              <w:noBreakHyphen/>
              <w:t>2017 :</w:t>
            </w:r>
          </w:p>
          <w:p w14:paraId="03EBADCE" w14:textId="77777777" w:rsidR="00F96912" w:rsidRPr="00B214CB" w:rsidRDefault="00F96912" w:rsidP="006658D5">
            <w:pPr>
              <w:widowControl w:val="0"/>
              <w:tabs>
                <w:tab w:val="left" w:pos="222"/>
              </w:tabs>
              <w:rPr>
                <w:color w:val="000000"/>
                <w:sz w:val="16"/>
                <w:szCs w:val="16"/>
              </w:rPr>
            </w:pPr>
            <w:r w:rsidRPr="00B214CB">
              <w:rPr>
                <w:color w:val="000000"/>
                <w:sz w:val="16"/>
                <w:szCs w:val="16"/>
              </w:rPr>
              <w:t>85%</w:t>
            </w:r>
          </w:p>
        </w:tc>
        <w:tc>
          <w:tcPr>
            <w:tcW w:w="1309" w:type="pct"/>
            <w:shd w:val="clear" w:color="auto" w:fill="FFFFFF"/>
            <w:tcMar>
              <w:top w:w="110" w:type="dxa"/>
              <w:left w:w="58" w:type="dxa"/>
              <w:right w:w="58" w:type="dxa"/>
            </w:tcMar>
          </w:tcPr>
          <w:p w14:paraId="03775D3B" w14:textId="77777777" w:rsidR="00F96912" w:rsidRPr="00B214CB" w:rsidRDefault="00F96912" w:rsidP="006658D5">
            <w:pPr>
              <w:widowControl w:val="0"/>
              <w:rPr>
                <w:color w:val="000000"/>
                <w:sz w:val="16"/>
                <w:szCs w:val="16"/>
              </w:rPr>
            </w:pPr>
            <w:r w:rsidRPr="00B214CB">
              <w:rPr>
                <w:color w:val="000000"/>
                <w:sz w:val="16"/>
                <w:szCs w:val="16"/>
              </w:rPr>
              <w:t>87% des États membres satisfaits des événements (enquête menée sur les assemblées 2016 de l’OMPI)</w:t>
            </w:r>
          </w:p>
        </w:tc>
        <w:tc>
          <w:tcPr>
            <w:tcW w:w="502" w:type="pct"/>
            <w:shd w:val="clear" w:color="auto" w:fill="auto"/>
            <w:tcMar>
              <w:top w:w="110" w:type="dxa"/>
              <w:left w:w="58" w:type="dxa"/>
              <w:right w:w="58" w:type="dxa"/>
            </w:tcMar>
          </w:tcPr>
          <w:p w14:paraId="1540460D" w14:textId="77777777" w:rsidR="00F96912" w:rsidRPr="00CD000E" w:rsidRDefault="00F96912" w:rsidP="006658D5">
            <w:pPr>
              <w:widowControl w:val="0"/>
              <w:jc w:val="center"/>
              <w:rPr>
                <w:color w:val="000000"/>
                <w:sz w:val="16"/>
                <w:szCs w:val="16"/>
              </w:rPr>
            </w:pPr>
            <w:r w:rsidRPr="00B214CB">
              <w:rPr>
                <w:rFonts w:eastAsia="SimSun"/>
                <w:b/>
                <w:color w:val="00B050"/>
                <w:sz w:val="16"/>
                <w:szCs w:val="16"/>
                <w:lang w:eastAsia="zh-CN"/>
              </w:rPr>
              <w:t>En bonne voie</w:t>
            </w:r>
          </w:p>
        </w:tc>
      </w:tr>
      <w:tr w:rsidR="00F96912" w:rsidRPr="00CD000E" w14:paraId="1DFCC226" w14:textId="77777777" w:rsidTr="006658D5">
        <w:tc>
          <w:tcPr>
            <w:tcW w:w="1074" w:type="pct"/>
            <w:shd w:val="clear" w:color="auto" w:fill="auto"/>
            <w:tcMar>
              <w:left w:w="58" w:type="dxa"/>
              <w:right w:w="58" w:type="dxa"/>
            </w:tcMar>
          </w:tcPr>
          <w:p w14:paraId="7A3DEE0A" w14:textId="77777777" w:rsidR="00F96912" w:rsidRPr="00CD000E" w:rsidRDefault="00F96912" w:rsidP="006658D5">
            <w:pPr>
              <w:widowControl w:val="0"/>
              <w:rPr>
                <w:color w:val="000000"/>
                <w:sz w:val="16"/>
                <w:szCs w:val="16"/>
              </w:rPr>
            </w:pPr>
            <w:r w:rsidRPr="00CD000E">
              <w:rPr>
                <w:sz w:val="16"/>
                <w:szCs w:val="16"/>
              </w:rPr>
              <w:t>Taux de satisfaction des délégués en ce qui concerne l’organisation des assemblées</w:t>
            </w:r>
          </w:p>
        </w:tc>
        <w:tc>
          <w:tcPr>
            <w:tcW w:w="1416" w:type="pct"/>
            <w:shd w:val="clear" w:color="auto" w:fill="auto"/>
            <w:tcMar>
              <w:left w:w="58" w:type="dxa"/>
              <w:right w:w="58" w:type="dxa"/>
            </w:tcMar>
          </w:tcPr>
          <w:p w14:paraId="34E1F1A4" w14:textId="77777777" w:rsidR="00F96912" w:rsidRPr="00CD000E" w:rsidRDefault="00F96912" w:rsidP="006658D5">
            <w:pPr>
              <w:widowControl w:val="0"/>
              <w:rPr>
                <w:i/>
                <w:color w:val="002060"/>
                <w:sz w:val="16"/>
                <w:szCs w:val="16"/>
              </w:rPr>
            </w:pPr>
            <w:r w:rsidRPr="00CD000E">
              <w:rPr>
                <w:i/>
                <w:color w:val="002060"/>
                <w:sz w:val="16"/>
                <w:szCs w:val="16"/>
              </w:rPr>
              <w:t>Niveau de référence actualisé à fin</w:t>
            </w:r>
            <w:r>
              <w:rPr>
                <w:i/>
                <w:color w:val="002060"/>
                <w:sz w:val="16"/>
                <w:szCs w:val="16"/>
              </w:rPr>
              <w:t> </w:t>
            </w:r>
            <w:r w:rsidRPr="00CD000E">
              <w:rPr>
                <w:i/>
                <w:color w:val="002060"/>
                <w:sz w:val="16"/>
                <w:szCs w:val="16"/>
              </w:rPr>
              <w:t>2015 :</w:t>
            </w:r>
          </w:p>
          <w:p w14:paraId="5AFFEBBB" w14:textId="3B1DA673" w:rsidR="00F96912" w:rsidRPr="00B214CB" w:rsidRDefault="00F96912" w:rsidP="006658D5">
            <w:pPr>
              <w:widowControl w:val="0"/>
              <w:rPr>
                <w:color w:val="002060"/>
                <w:sz w:val="16"/>
                <w:szCs w:val="16"/>
              </w:rPr>
            </w:pPr>
            <w:r w:rsidRPr="00B214CB">
              <w:rPr>
                <w:color w:val="002060"/>
                <w:sz w:val="16"/>
                <w:szCs w:val="16"/>
              </w:rPr>
              <w:t xml:space="preserve">90% </w:t>
            </w:r>
            <w:r w:rsidR="00DF39AB">
              <w:rPr>
                <w:color w:val="002060"/>
                <w:sz w:val="16"/>
                <w:szCs w:val="16"/>
              </w:rPr>
              <w:t>satisf</w:t>
            </w:r>
            <w:r w:rsidR="00A14FAB">
              <w:rPr>
                <w:color w:val="002060"/>
                <w:sz w:val="16"/>
                <w:szCs w:val="16"/>
              </w:rPr>
              <w:t>aits des modalités</w:t>
            </w:r>
            <w:r w:rsidR="00DF39AB" w:rsidRPr="00B214CB">
              <w:rPr>
                <w:color w:val="002060"/>
                <w:sz w:val="16"/>
                <w:szCs w:val="16"/>
              </w:rPr>
              <w:t xml:space="preserve"> </w:t>
            </w:r>
            <w:r w:rsidRPr="00B214CB">
              <w:rPr>
                <w:color w:val="002060"/>
                <w:sz w:val="16"/>
                <w:szCs w:val="16"/>
              </w:rPr>
              <w:t>(enquête menée sur les assemblées 2015 de l’OMPI)</w:t>
            </w:r>
          </w:p>
          <w:p w14:paraId="270345E5" w14:textId="77777777" w:rsidR="00F96912" w:rsidRPr="00CD000E" w:rsidRDefault="00F96912" w:rsidP="006658D5">
            <w:pPr>
              <w:widowControl w:val="0"/>
              <w:rPr>
                <w:color w:val="000000"/>
                <w:sz w:val="16"/>
                <w:szCs w:val="16"/>
              </w:rPr>
            </w:pPr>
          </w:p>
          <w:p w14:paraId="439D1751" w14:textId="77777777" w:rsidR="00F96912" w:rsidRPr="00CD000E" w:rsidRDefault="00F96912" w:rsidP="006658D5">
            <w:pPr>
              <w:widowControl w:val="0"/>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7C944FF2" w14:textId="77777777" w:rsidR="00F96912" w:rsidRPr="00CD000E" w:rsidRDefault="00F96912" w:rsidP="006658D5">
            <w:pPr>
              <w:widowControl w:val="0"/>
              <w:rPr>
                <w:color w:val="000000"/>
                <w:sz w:val="16"/>
                <w:szCs w:val="16"/>
              </w:rPr>
            </w:pPr>
            <w:r w:rsidRPr="00CD000E">
              <w:rPr>
                <w:sz w:val="16"/>
                <w:szCs w:val="16"/>
              </w:rPr>
              <w:t xml:space="preserve">87% satisfaits des dispositions prises (enquête menée </w:t>
            </w:r>
            <w:r w:rsidRPr="00CD000E">
              <w:rPr>
                <w:color w:val="000000"/>
                <w:sz w:val="16"/>
                <w:szCs w:val="16"/>
              </w:rPr>
              <w:t xml:space="preserve">sur les </w:t>
            </w:r>
            <w:r w:rsidRPr="00CD000E">
              <w:rPr>
                <w:sz w:val="16"/>
                <w:szCs w:val="16"/>
              </w:rPr>
              <w:t>assemblées 2014 de l’OMPI)</w:t>
            </w:r>
          </w:p>
        </w:tc>
        <w:tc>
          <w:tcPr>
            <w:tcW w:w="699" w:type="pct"/>
            <w:shd w:val="clear" w:color="auto" w:fill="auto"/>
            <w:tcMar>
              <w:top w:w="110" w:type="dxa"/>
              <w:left w:w="58" w:type="dxa"/>
              <w:right w:w="58" w:type="dxa"/>
            </w:tcMar>
          </w:tcPr>
          <w:p w14:paraId="60CBE8BA" w14:textId="77777777" w:rsidR="00F96912" w:rsidRPr="00CD000E" w:rsidRDefault="00F96912" w:rsidP="006658D5">
            <w:pPr>
              <w:widowControl w:val="0"/>
              <w:rPr>
                <w:color w:val="000000"/>
                <w:sz w:val="16"/>
                <w:szCs w:val="16"/>
              </w:rPr>
            </w:pPr>
            <w:r w:rsidRPr="00CD000E">
              <w:rPr>
                <w:sz w:val="16"/>
                <w:szCs w:val="16"/>
              </w:rPr>
              <w:t>80% satisfaits des dispositions prises</w:t>
            </w:r>
          </w:p>
        </w:tc>
        <w:tc>
          <w:tcPr>
            <w:tcW w:w="1309" w:type="pct"/>
            <w:shd w:val="clear" w:color="auto" w:fill="FFFFFF"/>
            <w:tcMar>
              <w:top w:w="110" w:type="dxa"/>
              <w:left w:w="58" w:type="dxa"/>
              <w:right w:w="58" w:type="dxa"/>
            </w:tcMar>
          </w:tcPr>
          <w:p w14:paraId="09AC247B" w14:textId="62E2BC65" w:rsidR="00F96912" w:rsidRPr="00CD000E" w:rsidRDefault="00F96912" w:rsidP="006658D5">
            <w:pPr>
              <w:widowControl w:val="0"/>
              <w:rPr>
                <w:color w:val="000000"/>
                <w:sz w:val="16"/>
                <w:szCs w:val="16"/>
              </w:rPr>
            </w:pPr>
            <w:r w:rsidRPr="00CD000E">
              <w:rPr>
                <w:sz w:val="16"/>
                <w:szCs w:val="16"/>
              </w:rPr>
              <w:t>94</w:t>
            </w:r>
            <w:r w:rsidRPr="00A14FAB">
              <w:rPr>
                <w:sz w:val="16"/>
                <w:szCs w:val="16"/>
              </w:rPr>
              <w:t xml:space="preserve">% </w:t>
            </w:r>
            <w:r w:rsidR="00A14FAB" w:rsidRPr="00A14FAB">
              <w:rPr>
                <w:sz w:val="16"/>
                <w:szCs w:val="16"/>
              </w:rPr>
              <w:t>satisfaits des modalités</w:t>
            </w:r>
            <w:r w:rsidR="00DF39AB" w:rsidRPr="00A14FAB">
              <w:rPr>
                <w:sz w:val="16"/>
                <w:szCs w:val="16"/>
              </w:rPr>
              <w:t xml:space="preserve"> </w:t>
            </w:r>
            <w:r w:rsidRPr="00A14FAB">
              <w:rPr>
                <w:sz w:val="16"/>
                <w:szCs w:val="16"/>
              </w:rPr>
              <w:t>(enquête men</w:t>
            </w:r>
            <w:r w:rsidRPr="00CD000E">
              <w:rPr>
                <w:sz w:val="16"/>
                <w:szCs w:val="16"/>
              </w:rPr>
              <w:t>ée sur les assemblées 2016 de l’OMPI)</w:t>
            </w:r>
          </w:p>
        </w:tc>
        <w:tc>
          <w:tcPr>
            <w:tcW w:w="502" w:type="pct"/>
            <w:shd w:val="clear" w:color="auto" w:fill="auto"/>
            <w:tcMar>
              <w:top w:w="110" w:type="dxa"/>
              <w:left w:w="58" w:type="dxa"/>
              <w:right w:w="58" w:type="dxa"/>
            </w:tcMar>
          </w:tcPr>
          <w:p w14:paraId="2C002E4B" w14:textId="77777777" w:rsidR="00F96912" w:rsidRPr="00CD000E" w:rsidRDefault="00F96912" w:rsidP="006658D5">
            <w:pPr>
              <w:widowControl w:val="0"/>
              <w:jc w:val="center"/>
              <w:rPr>
                <w:color w:val="000000"/>
                <w:sz w:val="16"/>
                <w:szCs w:val="16"/>
              </w:rPr>
            </w:pPr>
            <w:r w:rsidRPr="00CD000E">
              <w:rPr>
                <w:rFonts w:eastAsia="SimSun"/>
                <w:b/>
                <w:color w:val="00B050"/>
                <w:sz w:val="16"/>
                <w:szCs w:val="16"/>
                <w:lang w:eastAsia="zh-CN"/>
              </w:rPr>
              <w:t>En bonne voie</w:t>
            </w:r>
          </w:p>
        </w:tc>
      </w:tr>
      <w:tr w:rsidR="00F96912" w:rsidRPr="00CD000E" w14:paraId="11FC6D1D" w14:textId="77777777" w:rsidTr="006658D5">
        <w:tc>
          <w:tcPr>
            <w:tcW w:w="5000" w:type="pct"/>
            <w:gridSpan w:val="5"/>
            <w:shd w:val="clear" w:color="auto" w:fill="C6D9F1" w:themeFill="text2" w:themeFillTint="33"/>
            <w:tcMar>
              <w:left w:w="58" w:type="dxa"/>
              <w:right w:w="58" w:type="dxa"/>
            </w:tcMar>
            <w:vAlign w:val="center"/>
          </w:tcPr>
          <w:p w14:paraId="04B0E98D" w14:textId="77777777" w:rsidR="00F96912" w:rsidRPr="00CD000E" w:rsidRDefault="00F96912" w:rsidP="006658D5">
            <w:pPr>
              <w:widowControl w:val="0"/>
              <w:rPr>
                <w:color w:val="000000"/>
                <w:sz w:val="16"/>
                <w:szCs w:val="16"/>
              </w:rPr>
            </w:pPr>
            <w:r w:rsidRPr="00CD000E">
              <w:rPr>
                <w:b/>
                <w:sz w:val="16"/>
                <w:szCs w:val="16"/>
              </w:rPr>
              <w:t xml:space="preserve">Résultat escompté : </w:t>
            </w:r>
            <w:r w:rsidRPr="00CD000E">
              <w:rPr>
                <w:sz w:val="16"/>
                <w:szCs w:val="16"/>
              </w:rPr>
              <w:t>VIII.4 Échanges ouverts, transparents et dynamiques avec les parties prenantes non gouvernementales</w:t>
            </w:r>
            <w:r w:rsidRPr="00CD000E">
              <w:rPr>
                <w:color w:val="000000"/>
                <w:sz w:val="16"/>
                <w:szCs w:val="16"/>
              </w:rPr>
              <w:t xml:space="preserve"> </w:t>
            </w:r>
          </w:p>
        </w:tc>
      </w:tr>
      <w:tr w:rsidR="00F96912" w:rsidRPr="00CD000E" w14:paraId="28C020A6" w14:textId="77777777" w:rsidTr="006658D5">
        <w:tc>
          <w:tcPr>
            <w:tcW w:w="1074" w:type="pct"/>
            <w:shd w:val="clear" w:color="auto" w:fill="auto"/>
            <w:tcMar>
              <w:left w:w="58" w:type="dxa"/>
              <w:right w:w="58" w:type="dxa"/>
            </w:tcMar>
            <w:vAlign w:val="center"/>
          </w:tcPr>
          <w:p w14:paraId="1BF2AF6E" w14:textId="77777777" w:rsidR="00F96912" w:rsidRPr="00CD000E" w:rsidRDefault="00F96912" w:rsidP="006658D5">
            <w:pPr>
              <w:widowControl w:val="0"/>
              <w:jc w:val="center"/>
              <w:rPr>
                <w:b/>
                <w:bCs/>
                <w:sz w:val="16"/>
                <w:szCs w:val="16"/>
              </w:rPr>
            </w:pPr>
            <w:r w:rsidRPr="00CD000E">
              <w:rPr>
                <w:b/>
                <w:bCs/>
                <w:sz w:val="16"/>
                <w:szCs w:val="16"/>
              </w:rPr>
              <w:t>Indicateurs d’exécution</w:t>
            </w:r>
          </w:p>
        </w:tc>
        <w:tc>
          <w:tcPr>
            <w:tcW w:w="1416" w:type="pct"/>
            <w:shd w:val="clear" w:color="auto" w:fill="auto"/>
            <w:tcMar>
              <w:left w:w="58" w:type="dxa"/>
              <w:right w:w="58" w:type="dxa"/>
            </w:tcMar>
            <w:vAlign w:val="center"/>
          </w:tcPr>
          <w:p w14:paraId="4840C3C9" w14:textId="77777777" w:rsidR="00F96912" w:rsidRPr="00CD000E" w:rsidRDefault="00F96912" w:rsidP="006658D5">
            <w:pPr>
              <w:widowControl w:val="0"/>
              <w:jc w:val="center"/>
              <w:rPr>
                <w:b/>
                <w:bCs/>
                <w:sz w:val="16"/>
                <w:szCs w:val="16"/>
              </w:rPr>
            </w:pPr>
            <w:r w:rsidRPr="00CD000E">
              <w:rPr>
                <w:b/>
                <w:bCs/>
                <w:sz w:val="16"/>
                <w:szCs w:val="16"/>
              </w:rPr>
              <w:t>Niveaux de référence</w:t>
            </w:r>
          </w:p>
        </w:tc>
        <w:tc>
          <w:tcPr>
            <w:tcW w:w="699" w:type="pct"/>
            <w:shd w:val="clear" w:color="auto" w:fill="auto"/>
            <w:tcMar>
              <w:top w:w="110" w:type="dxa"/>
              <w:left w:w="58" w:type="dxa"/>
              <w:right w:w="58" w:type="dxa"/>
            </w:tcMar>
            <w:vAlign w:val="center"/>
          </w:tcPr>
          <w:p w14:paraId="77A3D207" w14:textId="77777777" w:rsidR="00F96912" w:rsidRPr="00CD000E" w:rsidRDefault="00F96912" w:rsidP="006658D5">
            <w:pPr>
              <w:widowControl w:val="0"/>
              <w:jc w:val="center"/>
              <w:rPr>
                <w:b/>
                <w:bCs/>
                <w:sz w:val="16"/>
                <w:szCs w:val="16"/>
              </w:rPr>
            </w:pPr>
            <w:r w:rsidRPr="00CD000E">
              <w:rPr>
                <w:b/>
                <w:bCs/>
                <w:sz w:val="16"/>
                <w:szCs w:val="16"/>
              </w:rPr>
              <w:t>Objectifs visés</w:t>
            </w:r>
          </w:p>
        </w:tc>
        <w:tc>
          <w:tcPr>
            <w:tcW w:w="1309" w:type="pct"/>
            <w:shd w:val="clear" w:color="auto" w:fill="FFFFFF"/>
            <w:tcMar>
              <w:top w:w="110" w:type="dxa"/>
              <w:left w:w="58" w:type="dxa"/>
              <w:right w:w="58" w:type="dxa"/>
            </w:tcMar>
            <w:vAlign w:val="center"/>
          </w:tcPr>
          <w:p w14:paraId="62BD58D7" w14:textId="77777777" w:rsidR="00F96912" w:rsidRPr="00CD000E" w:rsidRDefault="00F96912" w:rsidP="006658D5">
            <w:pPr>
              <w:widowControl w:val="0"/>
              <w:jc w:val="center"/>
              <w:rPr>
                <w:b/>
                <w:bCs/>
                <w:sz w:val="16"/>
                <w:szCs w:val="16"/>
              </w:rPr>
            </w:pPr>
            <w:r w:rsidRPr="00CD000E">
              <w:rPr>
                <w:b/>
                <w:bCs/>
                <w:sz w:val="16"/>
                <w:szCs w:val="16"/>
              </w:rPr>
              <w:t>Données relatives à l’exécution</w:t>
            </w:r>
          </w:p>
        </w:tc>
        <w:tc>
          <w:tcPr>
            <w:tcW w:w="502" w:type="pct"/>
            <w:shd w:val="clear" w:color="auto" w:fill="auto"/>
            <w:tcMar>
              <w:top w:w="110" w:type="dxa"/>
              <w:left w:w="58" w:type="dxa"/>
              <w:right w:w="58" w:type="dxa"/>
            </w:tcMar>
            <w:vAlign w:val="center"/>
          </w:tcPr>
          <w:p w14:paraId="15062B84" w14:textId="77777777" w:rsidR="00F96912" w:rsidRPr="00CD000E" w:rsidRDefault="00F96912" w:rsidP="006658D5">
            <w:pPr>
              <w:widowControl w:val="0"/>
              <w:jc w:val="center"/>
              <w:rPr>
                <w:b/>
                <w:bCs/>
                <w:sz w:val="16"/>
                <w:szCs w:val="16"/>
              </w:rPr>
            </w:pPr>
            <w:r w:rsidRPr="00CD000E">
              <w:rPr>
                <w:b/>
                <w:bCs/>
                <w:sz w:val="16"/>
                <w:szCs w:val="16"/>
              </w:rPr>
              <w:t>Code d’évaluation</w:t>
            </w:r>
          </w:p>
        </w:tc>
      </w:tr>
      <w:tr w:rsidR="00F96912" w:rsidRPr="00B214CB" w14:paraId="757A6776" w14:textId="77777777" w:rsidTr="006658D5">
        <w:tc>
          <w:tcPr>
            <w:tcW w:w="1074" w:type="pct"/>
            <w:shd w:val="clear" w:color="auto" w:fill="auto"/>
            <w:tcMar>
              <w:left w:w="58" w:type="dxa"/>
              <w:right w:w="58" w:type="dxa"/>
            </w:tcMar>
          </w:tcPr>
          <w:p w14:paraId="6DB154E5" w14:textId="77777777" w:rsidR="00F96912" w:rsidRPr="00B214CB" w:rsidRDefault="00F96912" w:rsidP="006658D5">
            <w:pPr>
              <w:widowControl w:val="0"/>
              <w:rPr>
                <w:color w:val="000000"/>
                <w:sz w:val="16"/>
                <w:szCs w:val="16"/>
              </w:rPr>
            </w:pPr>
            <w:r w:rsidRPr="00B214CB">
              <w:rPr>
                <w:sz w:val="16"/>
                <w:szCs w:val="16"/>
              </w:rPr>
              <w:t>Nombre d’ONG ayant le statut d’observateur permanent qui participent aux travaux de l’OMPI et inversement</w:t>
            </w:r>
          </w:p>
        </w:tc>
        <w:tc>
          <w:tcPr>
            <w:tcW w:w="1416" w:type="pct"/>
            <w:shd w:val="clear" w:color="auto" w:fill="auto"/>
            <w:tcMar>
              <w:left w:w="58" w:type="dxa"/>
              <w:right w:w="58" w:type="dxa"/>
            </w:tcMar>
          </w:tcPr>
          <w:p w14:paraId="4712D82A" w14:textId="77777777" w:rsidR="00F96912" w:rsidRPr="00B214CB" w:rsidRDefault="00F96912" w:rsidP="006658D5">
            <w:pPr>
              <w:widowControl w:val="0"/>
              <w:rPr>
                <w:i/>
                <w:color w:val="002060"/>
                <w:sz w:val="16"/>
                <w:szCs w:val="16"/>
              </w:rPr>
            </w:pPr>
            <w:r w:rsidRPr="00B214CB">
              <w:rPr>
                <w:i/>
                <w:color w:val="002060"/>
                <w:sz w:val="16"/>
                <w:szCs w:val="16"/>
              </w:rPr>
              <w:t>Niveau de référence actualisé à fin</w:t>
            </w:r>
            <w:r>
              <w:rPr>
                <w:i/>
                <w:color w:val="002060"/>
                <w:sz w:val="16"/>
                <w:szCs w:val="16"/>
              </w:rPr>
              <w:t> </w:t>
            </w:r>
            <w:r w:rsidRPr="00B214CB">
              <w:rPr>
                <w:i/>
                <w:color w:val="002060"/>
                <w:sz w:val="16"/>
                <w:szCs w:val="16"/>
              </w:rPr>
              <w:t>2015 :</w:t>
            </w:r>
          </w:p>
          <w:p w14:paraId="38FBB094" w14:textId="77777777" w:rsidR="00F96912" w:rsidRPr="00B214CB" w:rsidRDefault="00F96912" w:rsidP="006658D5">
            <w:pPr>
              <w:rPr>
                <w:rFonts w:eastAsia="SimSun"/>
                <w:color w:val="002060"/>
                <w:sz w:val="16"/>
                <w:szCs w:val="16"/>
                <w:lang w:eastAsia="zh-CN"/>
              </w:rPr>
            </w:pPr>
            <w:r w:rsidRPr="00B214CB">
              <w:rPr>
                <w:rFonts w:eastAsia="SimSun"/>
                <w:color w:val="002060"/>
                <w:sz w:val="16"/>
                <w:szCs w:val="16"/>
                <w:lang w:eastAsia="zh-CN"/>
              </w:rPr>
              <w:t>En 2014</w:t>
            </w:r>
            <w:r w:rsidRPr="00B214CB">
              <w:rPr>
                <w:rFonts w:eastAsia="SimSun"/>
                <w:color w:val="002060"/>
                <w:sz w:val="16"/>
                <w:szCs w:val="16"/>
                <w:lang w:eastAsia="zh-CN"/>
              </w:rPr>
              <w:noBreakHyphen/>
              <w:t>2015, 488 représentants d’ONG accréditées à titre permanent ont participé aux réunions de comité de l’OMPI</w:t>
            </w:r>
          </w:p>
          <w:p w14:paraId="2AB1F821" w14:textId="77777777" w:rsidR="00F96912" w:rsidRPr="00B214CB" w:rsidRDefault="00F96912" w:rsidP="006658D5">
            <w:pPr>
              <w:widowControl w:val="0"/>
              <w:rPr>
                <w:color w:val="000000"/>
                <w:sz w:val="16"/>
                <w:szCs w:val="16"/>
              </w:rPr>
            </w:pPr>
          </w:p>
          <w:p w14:paraId="0888E614" w14:textId="77777777" w:rsidR="00F96912" w:rsidRPr="00B214CB" w:rsidRDefault="00F96912" w:rsidP="006658D5">
            <w:pPr>
              <w:widowControl w:val="0"/>
              <w:rPr>
                <w:i/>
                <w:sz w:val="16"/>
                <w:szCs w:val="16"/>
                <w:lang w:bidi="th-TH"/>
              </w:rPr>
            </w:pPr>
            <w:r w:rsidRPr="00B214CB">
              <w:rPr>
                <w:i/>
                <w:sz w:val="16"/>
                <w:szCs w:val="16"/>
                <w:lang w:bidi="th-TH"/>
              </w:rPr>
              <w:t>Niveau de référence initial dans le programme et budget 2016</w:t>
            </w:r>
            <w:r w:rsidRPr="00B214CB">
              <w:rPr>
                <w:i/>
                <w:sz w:val="16"/>
                <w:szCs w:val="16"/>
                <w:lang w:bidi="th-TH"/>
              </w:rPr>
              <w:noBreakHyphen/>
              <w:t>2017 :</w:t>
            </w:r>
          </w:p>
          <w:p w14:paraId="06EF49D0" w14:textId="77777777" w:rsidR="00F96912" w:rsidRPr="00B214CB" w:rsidRDefault="00F96912" w:rsidP="006658D5">
            <w:pPr>
              <w:widowControl w:val="0"/>
              <w:rPr>
                <w:color w:val="000000"/>
                <w:sz w:val="16"/>
                <w:szCs w:val="16"/>
              </w:rPr>
            </w:pPr>
            <w:r w:rsidRPr="00B214CB">
              <w:rPr>
                <w:sz w:val="16"/>
                <w:szCs w:val="16"/>
              </w:rPr>
              <w:t>à déterminer</w:t>
            </w:r>
          </w:p>
        </w:tc>
        <w:tc>
          <w:tcPr>
            <w:tcW w:w="699" w:type="pct"/>
            <w:shd w:val="clear" w:color="auto" w:fill="auto"/>
            <w:tcMar>
              <w:top w:w="110" w:type="dxa"/>
              <w:left w:w="58" w:type="dxa"/>
              <w:right w:w="58" w:type="dxa"/>
            </w:tcMar>
          </w:tcPr>
          <w:p w14:paraId="24EF5B0C" w14:textId="77777777" w:rsidR="00F96912" w:rsidRPr="00B214CB" w:rsidRDefault="00F96912" w:rsidP="006658D5">
            <w:pPr>
              <w:widowControl w:val="0"/>
              <w:rPr>
                <w:sz w:val="16"/>
                <w:szCs w:val="16"/>
              </w:rPr>
            </w:pPr>
            <w:r w:rsidRPr="00B214CB">
              <w:rPr>
                <w:sz w:val="16"/>
                <w:szCs w:val="16"/>
              </w:rPr>
              <w:t>Maintenir ou accroître la participation</w:t>
            </w:r>
          </w:p>
        </w:tc>
        <w:tc>
          <w:tcPr>
            <w:tcW w:w="1309" w:type="pct"/>
            <w:shd w:val="clear" w:color="auto" w:fill="FFFFFF"/>
            <w:tcMar>
              <w:top w:w="110" w:type="dxa"/>
              <w:left w:w="58" w:type="dxa"/>
              <w:right w:w="58" w:type="dxa"/>
            </w:tcMar>
          </w:tcPr>
          <w:p w14:paraId="0D84B4D4" w14:textId="77777777" w:rsidR="00F96912" w:rsidRPr="00B214CB" w:rsidRDefault="00F96912" w:rsidP="006658D5">
            <w:pPr>
              <w:widowControl w:val="0"/>
              <w:rPr>
                <w:sz w:val="16"/>
                <w:szCs w:val="16"/>
              </w:rPr>
            </w:pPr>
            <w:r w:rsidRPr="00B214CB">
              <w:rPr>
                <w:sz w:val="16"/>
                <w:szCs w:val="16"/>
              </w:rPr>
              <w:t xml:space="preserve">259 </w:t>
            </w:r>
            <w:r w:rsidRPr="00B214CB">
              <w:rPr>
                <w:rFonts w:eastAsia="SimSun"/>
                <w:sz w:val="16"/>
                <w:szCs w:val="16"/>
                <w:lang w:eastAsia="zh-CN"/>
              </w:rPr>
              <w:t>représentants d’ONG accréditées à titre permanent ont participé aux réunions de comité de l’OMPI</w:t>
            </w:r>
            <w:r w:rsidRPr="00B214CB">
              <w:rPr>
                <w:sz w:val="16"/>
                <w:szCs w:val="16"/>
              </w:rPr>
              <w:t>, ce qui représentait 53% du nombre total d’ONG présentes à ces réunions durant l’exercice biennal 2014</w:t>
            </w:r>
            <w:r w:rsidRPr="00B214CB">
              <w:rPr>
                <w:sz w:val="16"/>
                <w:szCs w:val="16"/>
              </w:rPr>
              <w:noBreakHyphen/>
              <w:t>2015</w:t>
            </w:r>
          </w:p>
        </w:tc>
        <w:tc>
          <w:tcPr>
            <w:tcW w:w="502" w:type="pct"/>
            <w:shd w:val="clear" w:color="auto" w:fill="auto"/>
            <w:tcMar>
              <w:top w:w="110" w:type="dxa"/>
              <w:left w:w="58" w:type="dxa"/>
              <w:right w:w="58" w:type="dxa"/>
            </w:tcMar>
          </w:tcPr>
          <w:p w14:paraId="3719D7D9" w14:textId="77777777" w:rsidR="00F96912" w:rsidRPr="00B214CB" w:rsidRDefault="00F96912" w:rsidP="006658D5">
            <w:pPr>
              <w:widowControl w:val="0"/>
              <w:jc w:val="center"/>
              <w:rPr>
                <w:color w:val="000000"/>
                <w:sz w:val="16"/>
                <w:szCs w:val="16"/>
              </w:rPr>
            </w:pPr>
            <w:r w:rsidRPr="00B214CB">
              <w:rPr>
                <w:rFonts w:eastAsia="SimSun"/>
                <w:b/>
                <w:color w:val="00B050"/>
                <w:sz w:val="16"/>
                <w:szCs w:val="16"/>
                <w:lang w:eastAsia="zh-CN"/>
              </w:rPr>
              <w:t>En bonne voie</w:t>
            </w:r>
          </w:p>
        </w:tc>
      </w:tr>
      <w:tr w:rsidR="00F96912" w:rsidRPr="00B214CB" w14:paraId="754F8D90" w14:textId="77777777" w:rsidTr="006658D5">
        <w:tc>
          <w:tcPr>
            <w:tcW w:w="5000" w:type="pct"/>
            <w:gridSpan w:val="5"/>
            <w:shd w:val="clear" w:color="auto" w:fill="C6D9F1" w:themeFill="text2" w:themeFillTint="33"/>
            <w:tcMar>
              <w:left w:w="58" w:type="dxa"/>
              <w:right w:w="58" w:type="dxa"/>
            </w:tcMar>
            <w:vAlign w:val="center"/>
          </w:tcPr>
          <w:p w14:paraId="73E00C94" w14:textId="77777777" w:rsidR="00F96912" w:rsidRPr="00B214CB" w:rsidRDefault="00F96912" w:rsidP="006658D5">
            <w:pPr>
              <w:widowControl w:val="0"/>
              <w:tabs>
                <w:tab w:val="left" w:pos="1452"/>
              </w:tabs>
              <w:rPr>
                <w:b/>
                <w:bCs/>
                <w:sz w:val="16"/>
                <w:szCs w:val="16"/>
              </w:rPr>
            </w:pPr>
            <w:r w:rsidRPr="00B214CB">
              <w:rPr>
                <w:b/>
                <w:bCs/>
                <w:sz w:val="16"/>
                <w:szCs w:val="16"/>
              </w:rPr>
              <w:t xml:space="preserve">Résultat escompté : </w:t>
            </w:r>
            <w:r w:rsidRPr="00B214CB">
              <w:rPr>
                <w:bCs/>
                <w:sz w:val="16"/>
                <w:szCs w:val="16"/>
              </w:rPr>
              <w:t>VIII.5 L’OMPI collabore efficacement avec d’autres processus et instances de négociation de l’ONU et d’autres organisations intergouvernementales</w:t>
            </w:r>
          </w:p>
        </w:tc>
      </w:tr>
      <w:tr w:rsidR="00F96912" w:rsidRPr="00B214CB" w14:paraId="71742327" w14:textId="77777777" w:rsidTr="006658D5">
        <w:tc>
          <w:tcPr>
            <w:tcW w:w="1074" w:type="pct"/>
            <w:shd w:val="clear" w:color="auto" w:fill="auto"/>
            <w:tcMar>
              <w:left w:w="58" w:type="dxa"/>
              <w:right w:w="58" w:type="dxa"/>
            </w:tcMar>
            <w:vAlign w:val="center"/>
          </w:tcPr>
          <w:p w14:paraId="07F6BAA3" w14:textId="77777777" w:rsidR="00F96912" w:rsidRPr="00B214CB" w:rsidRDefault="00F96912" w:rsidP="006658D5">
            <w:pPr>
              <w:widowControl w:val="0"/>
              <w:jc w:val="center"/>
              <w:rPr>
                <w:b/>
                <w:bCs/>
                <w:sz w:val="16"/>
                <w:szCs w:val="16"/>
              </w:rPr>
            </w:pPr>
            <w:r w:rsidRPr="00B214CB">
              <w:rPr>
                <w:b/>
                <w:bCs/>
                <w:sz w:val="16"/>
                <w:szCs w:val="16"/>
              </w:rPr>
              <w:t>Indicateurs d’exécution</w:t>
            </w:r>
          </w:p>
        </w:tc>
        <w:tc>
          <w:tcPr>
            <w:tcW w:w="1416" w:type="pct"/>
            <w:shd w:val="clear" w:color="auto" w:fill="auto"/>
            <w:tcMar>
              <w:left w:w="58" w:type="dxa"/>
              <w:right w:w="58" w:type="dxa"/>
            </w:tcMar>
            <w:vAlign w:val="center"/>
          </w:tcPr>
          <w:p w14:paraId="1F62B34B" w14:textId="77777777" w:rsidR="00F96912" w:rsidRPr="00B214CB" w:rsidRDefault="00F96912" w:rsidP="006658D5">
            <w:pPr>
              <w:widowControl w:val="0"/>
              <w:jc w:val="center"/>
              <w:rPr>
                <w:b/>
                <w:bCs/>
                <w:sz w:val="16"/>
                <w:szCs w:val="16"/>
              </w:rPr>
            </w:pPr>
            <w:r w:rsidRPr="00B214CB">
              <w:rPr>
                <w:b/>
                <w:bCs/>
                <w:sz w:val="16"/>
                <w:szCs w:val="16"/>
              </w:rPr>
              <w:t>Niveaux de référence</w:t>
            </w:r>
          </w:p>
        </w:tc>
        <w:tc>
          <w:tcPr>
            <w:tcW w:w="699" w:type="pct"/>
            <w:shd w:val="clear" w:color="auto" w:fill="auto"/>
            <w:tcMar>
              <w:top w:w="110" w:type="dxa"/>
              <w:left w:w="58" w:type="dxa"/>
              <w:right w:w="58" w:type="dxa"/>
            </w:tcMar>
            <w:vAlign w:val="center"/>
          </w:tcPr>
          <w:p w14:paraId="288500F1" w14:textId="77777777" w:rsidR="00F96912" w:rsidRPr="00B214CB" w:rsidRDefault="00F96912" w:rsidP="006658D5">
            <w:pPr>
              <w:widowControl w:val="0"/>
              <w:jc w:val="center"/>
              <w:rPr>
                <w:b/>
                <w:bCs/>
                <w:sz w:val="16"/>
                <w:szCs w:val="16"/>
              </w:rPr>
            </w:pPr>
            <w:r w:rsidRPr="00B214CB">
              <w:rPr>
                <w:b/>
                <w:bCs/>
                <w:sz w:val="16"/>
                <w:szCs w:val="16"/>
              </w:rPr>
              <w:t>Objectifs visés</w:t>
            </w:r>
          </w:p>
        </w:tc>
        <w:tc>
          <w:tcPr>
            <w:tcW w:w="1309" w:type="pct"/>
            <w:shd w:val="clear" w:color="auto" w:fill="FFFFFF"/>
            <w:tcMar>
              <w:top w:w="110" w:type="dxa"/>
              <w:left w:w="58" w:type="dxa"/>
              <w:right w:w="58" w:type="dxa"/>
            </w:tcMar>
            <w:vAlign w:val="center"/>
          </w:tcPr>
          <w:p w14:paraId="1181D5FA" w14:textId="77777777" w:rsidR="00F96912" w:rsidRPr="00B214CB" w:rsidRDefault="00F96912" w:rsidP="006658D5">
            <w:pPr>
              <w:widowControl w:val="0"/>
              <w:jc w:val="center"/>
              <w:rPr>
                <w:b/>
                <w:bCs/>
                <w:sz w:val="16"/>
                <w:szCs w:val="16"/>
              </w:rPr>
            </w:pPr>
            <w:r w:rsidRPr="00B214CB">
              <w:rPr>
                <w:b/>
                <w:bCs/>
                <w:sz w:val="16"/>
                <w:szCs w:val="16"/>
              </w:rPr>
              <w:t>Données relatives à l’exécution</w:t>
            </w:r>
          </w:p>
        </w:tc>
        <w:tc>
          <w:tcPr>
            <w:tcW w:w="502" w:type="pct"/>
            <w:shd w:val="clear" w:color="auto" w:fill="auto"/>
            <w:tcMar>
              <w:top w:w="110" w:type="dxa"/>
              <w:left w:w="58" w:type="dxa"/>
              <w:right w:w="58" w:type="dxa"/>
            </w:tcMar>
            <w:vAlign w:val="center"/>
          </w:tcPr>
          <w:p w14:paraId="3CFA82AE" w14:textId="77777777" w:rsidR="00F96912" w:rsidRPr="00B214CB" w:rsidRDefault="00F96912" w:rsidP="006658D5">
            <w:pPr>
              <w:widowControl w:val="0"/>
              <w:jc w:val="center"/>
              <w:rPr>
                <w:b/>
                <w:bCs/>
                <w:sz w:val="16"/>
                <w:szCs w:val="16"/>
              </w:rPr>
            </w:pPr>
            <w:r w:rsidRPr="00B214CB">
              <w:rPr>
                <w:b/>
                <w:bCs/>
                <w:sz w:val="16"/>
                <w:szCs w:val="16"/>
              </w:rPr>
              <w:t>Code d’évaluation</w:t>
            </w:r>
          </w:p>
        </w:tc>
      </w:tr>
      <w:tr w:rsidR="00F96912" w:rsidRPr="00CD000E" w14:paraId="34140CF2" w14:textId="77777777" w:rsidTr="006658D5">
        <w:tc>
          <w:tcPr>
            <w:tcW w:w="1074" w:type="pct"/>
            <w:shd w:val="clear" w:color="auto" w:fill="auto"/>
            <w:tcMar>
              <w:left w:w="58" w:type="dxa"/>
              <w:right w:w="58" w:type="dxa"/>
            </w:tcMar>
          </w:tcPr>
          <w:p w14:paraId="0F75761F" w14:textId="77777777" w:rsidR="00F96912" w:rsidRPr="00B214CB" w:rsidRDefault="00F96912" w:rsidP="006658D5">
            <w:pPr>
              <w:widowControl w:val="0"/>
              <w:rPr>
                <w:color w:val="000000"/>
                <w:sz w:val="16"/>
                <w:szCs w:val="16"/>
              </w:rPr>
            </w:pPr>
            <w:r w:rsidRPr="00B214CB">
              <w:rPr>
                <w:sz w:val="16"/>
                <w:szCs w:val="16"/>
              </w:rPr>
              <w:t>Nouvelles initiatives communes avec d’autres organismes des Nations Unies ou organisations intergouvernementales</w:t>
            </w:r>
          </w:p>
        </w:tc>
        <w:tc>
          <w:tcPr>
            <w:tcW w:w="1416" w:type="pct"/>
            <w:shd w:val="clear" w:color="auto" w:fill="auto"/>
            <w:tcMar>
              <w:left w:w="58" w:type="dxa"/>
              <w:right w:w="58" w:type="dxa"/>
            </w:tcMar>
          </w:tcPr>
          <w:p w14:paraId="28414CC5" w14:textId="77777777" w:rsidR="00F96912" w:rsidRPr="00B214CB" w:rsidRDefault="00F96912" w:rsidP="006658D5">
            <w:pPr>
              <w:widowControl w:val="0"/>
              <w:rPr>
                <w:i/>
                <w:color w:val="002060"/>
                <w:sz w:val="16"/>
                <w:szCs w:val="16"/>
              </w:rPr>
            </w:pPr>
            <w:r w:rsidRPr="00B214CB">
              <w:rPr>
                <w:i/>
                <w:color w:val="002060"/>
                <w:sz w:val="16"/>
                <w:szCs w:val="16"/>
              </w:rPr>
              <w:t>Niveau de référence actualisé à fin</w:t>
            </w:r>
            <w:r>
              <w:rPr>
                <w:i/>
                <w:color w:val="002060"/>
                <w:sz w:val="16"/>
                <w:szCs w:val="16"/>
              </w:rPr>
              <w:t> </w:t>
            </w:r>
            <w:r w:rsidRPr="00B214CB">
              <w:rPr>
                <w:i/>
                <w:color w:val="002060"/>
                <w:sz w:val="16"/>
                <w:szCs w:val="16"/>
              </w:rPr>
              <w:t>2015 :</w:t>
            </w:r>
          </w:p>
          <w:p w14:paraId="6C2ADC4F" w14:textId="77777777" w:rsidR="00F96912" w:rsidRPr="00B214CB" w:rsidRDefault="00F96912" w:rsidP="006658D5">
            <w:pPr>
              <w:keepNext/>
              <w:keepLines/>
              <w:rPr>
                <w:color w:val="002060"/>
                <w:sz w:val="16"/>
                <w:szCs w:val="16"/>
                <w:lang w:bidi="th-TH"/>
              </w:rPr>
            </w:pPr>
            <w:r w:rsidRPr="00B214CB">
              <w:rPr>
                <w:rFonts w:eastAsia="SimSun"/>
                <w:color w:val="002060"/>
                <w:sz w:val="16"/>
                <w:szCs w:val="16"/>
                <w:lang w:eastAsia="zh-CN"/>
              </w:rPr>
              <w:t>Deux nouvell</w:t>
            </w:r>
            <w:r w:rsidRPr="00B214CB">
              <w:rPr>
                <w:color w:val="002060"/>
                <w:sz w:val="16"/>
                <w:szCs w:val="16"/>
                <w:lang w:bidi="th-TH"/>
              </w:rPr>
              <w:t>es initiatives menées par le Directeur général :</w:t>
            </w:r>
          </w:p>
          <w:p w14:paraId="4352AC20" w14:textId="77777777" w:rsidR="00F96912" w:rsidRPr="00B214CB" w:rsidRDefault="00F96912" w:rsidP="00D544B8">
            <w:pPr>
              <w:pStyle w:val="ListParagraph"/>
              <w:keepNext/>
              <w:keepLines/>
              <w:numPr>
                <w:ilvl w:val="0"/>
                <w:numId w:val="31"/>
              </w:numPr>
              <w:rPr>
                <w:rFonts w:ascii="Arial" w:eastAsia="SimSun" w:hAnsi="Arial" w:cs="Arial"/>
                <w:color w:val="002060"/>
                <w:sz w:val="16"/>
                <w:szCs w:val="16"/>
                <w:lang w:eastAsia="zh-CN"/>
              </w:rPr>
            </w:pPr>
            <w:r w:rsidRPr="00B214CB">
              <w:rPr>
                <w:rFonts w:ascii="Arial" w:eastAsia="SimSun" w:hAnsi="Arial" w:cs="Arial"/>
                <w:color w:val="002060"/>
                <w:sz w:val="16"/>
                <w:szCs w:val="16"/>
                <w:lang w:eastAsia="zh-CN"/>
              </w:rPr>
              <w:t>demande de statut d’observateur auprès de l’Organisation internationale pour les migrations (OIM) en 2014;</w:t>
            </w:r>
          </w:p>
          <w:p w14:paraId="55A210FB" w14:textId="77777777" w:rsidR="00F96912" w:rsidRPr="00B214CB" w:rsidRDefault="00F96912" w:rsidP="00D544B8">
            <w:pPr>
              <w:pStyle w:val="ListParagraph"/>
              <w:keepNext/>
              <w:keepLines/>
              <w:numPr>
                <w:ilvl w:val="0"/>
                <w:numId w:val="31"/>
              </w:numPr>
              <w:rPr>
                <w:rFonts w:ascii="Arial" w:eastAsia="SimSun" w:hAnsi="Arial" w:cs="Arial"/>
                <w:color w:val="002060"/>
                <w:sz w:val="16"/>
                <w:szCs w:val="16"/>
                <w:lang w:eastAsia="zh-CN"/>
              </w:rPr>
            </w:pPr>
            <w:r w:rsidRPr="00B214CB">
              <w:rPr>
                <w:rFonts w:ascii="Arial" w:eastAsia="SimSun" w:hAnsi="Arial" w:cs="Arial"/>
                <w:color w:val="002060"/>
                <w:sz w:val="16"/>
                <w:szCs w:val="16"/>
                <w:lang w:eastAsia="zh-CN"/>
              </w:rPr>
              <w:t xml:space="preserve">depuis 2015, membre du groupe de travail </w:t>
            </w:r>
            <w:proofErr w:type="spellStart"/>
            <w:r w:rsidRPr="00B214CB">
              <w:rPr>
                <w:rFonts w:ascii="Arial" w:eastAsia="SimSun" w:hAnsi="Arial" w:cs="Arial"/>
                <w:color w:val="002060"/>
                <w:sz w:val="16"/>
                <w:szCs w:val="16"/>
                <w:lang w:eastAsia="zh-CN"/>
              </w:rPr>
              <w:t>interinstitutions</w:t>
            </w:r>
            <w:proofErr w:type="spellEnd"/>
            <w:r w:rsidRPr="00B214CB">
              <w:rPr>
                <w:rFonts w:ascii="Arial" w:eastAsia="SimSun" w:hAnsi="Arial" w:cs="Arial"/>
                <w:color w:val="002060"/>
                <w:sz w:val="16"/>
                <w:szCs w:val="16"/>
                <w:lang w:eastAsia="zh-CN"/>
              </w:rPr>
              <w:t xml:space="preserve"> des Nations Unies sur le mécanisme de facilitation des technologies (IAWG) (établi par le Programme d’action d’Addis</w:t>
            </w:r>
            <w:r w:rsidRPr="00B214CB">
              <w:rPr>
                <w:rFonts w:ascii="Arial" w:eastAsia="SimSun" w:hAnsi="Arial" w:cs="Arial"/>
                <w:color w:val="002060"/>
                <w:sz w:val="16"/>
                <w:szCs w:val="16"/>
                <w:lang w:eastAsia="zh-CN"/>
              </w:rPr>
              <w:noBreakHyphen/>
              <w:t>Abeba)</w:t>
            </w:r>
          </w:p>
          <w:p w14:paraId="4572405B" w14:textId="77777777" w:rsidR="00F96912" w:rsidRPr="00B214CB" w:rsidRDefault="00F96912" w:rsidP="006658D5">
            <w:pPr>
              <w:widowControl w:val="0"/>
              <w:rPr>
                <w:color w:val="000000"/>
                <w:sz w:val="16"/>
                <w:szCs w:val="16"/>
              </w:rPr>
            </w:pPr>
          </w:p>
          <w:p w14:paraId="4B1BAE5C" w14:textId="77777777" w:rsidR="00F96912" w:rsidRPr="00B214CB" w:rsidRDefault="00F96912" w:rsidP="006658D5">
            <w:pPr>
              <w:widowControl w:val="0"/>
              <w:rPr>
                <w:i/>
                <w:sz w:val="16"/>
                <w:szCs w:val="16"/>
                <w:lang w:bidi="th-TH"/>
              </w:rPr>
            </w:pPr>
            <w:r w:rsidRPr="00B214CB">
              <w:rPr>
                <w:i/>
                <w:sz w:val="16"/>
                <w:szCs w:val="16"/>
                <w:lang w:bidi="th-TH"/>
              </w:rPr>
              <w:t>Niveau de référence initial dans le programme et budget 2016</w:t>
            </w:r>
            <w:r w:rsidRPr="00B214CB">
              <w:rPr>
                <w:i/>
                <w:sz w:val="16"/>
                <w:szCs w:val="16"/>
                <w:lang w:bidi="th-TH"/>
              </w:rPr>
              <w:noBreakHyphen/>
              <w:t>2017 :</w:t>
            </w:r>
          </w:p>
          <w:p w14:paraId="7FFCEE50" w14:textId="77777777" w:rsidR="00F96912" w:rsidRPr="00B214CB" w:rsidRDefault="00F96912" w:rsidP="006658D5">
            <w:pPr>
              <w:widowControl w:val="0"/>
              <w:rPr>
                <w:color w:val="000000"/>
                <w:sz w:val="16"/>
                <w:szCs w:val="16"/>
              </w:rPr>
            </w:pPr>
            <w:r w:rsidRPr="00B214CB">
              <w:rPr>
                <w:color w:val="000000"/>
                <w:sz w:val="16"/>
                <w:szCs w:val="16"/>
              </w:rPr>
              <w:t>Une (2014)</w:t>
            </w:r>
          </w:p>
        </w:tc>
        <w:tc>
          <w:tcPr>
            <w:tcW w:w="699" w:type="pct"/>
            <w:shd w:val="clear" w:color="auto" w:fill="auto"/>
            <w:tcMar>
              <w:top w:w="110" w:type="dxa"/>
              <w:left w:w="58" w:type="dxa"/>
              <w:right w:w="58" w:type="dxa"/>
            </w:tcMar>
          </w:tcPr>
          <w:p w14:paraId="254F6CAC" w14:textId="77777777" w:rsidR="00F96912" w:rsidRPr="00B214CB" w:rsidRDefault="00F96912" w:rsidP="006658D5">
            <w:pPr>
              <w:widowControl w:val="0"/>
              <w:tabs>
                <w:tab w:val="left" w:pos="220"/>
              </w:tabs>
              <w:rPr>
                <w:color w:val="000000"/>
                <w:sz w:val="16"/>
                <w:szCs w:val="16"/>
              </w:rPr>
            </w:pPr>
            <w:r>
              <w:rPr>
                <w:color w:val="000000"/>
                <w:sz w:val="16"/>
                <w:szCs w:val="16"/>
              </w:rPr>
              <w:t>Deux</w:t>
            </w:r>
          </w:p>
        </w:tc>
        <w:tc>
          <w:tcPr>
            <w:tcW w:w="1309" w:type="pct"/>
            <w:shd w:val="clear" w:color="auto" w:fill="FFFFFF"/>
            <w:tcMar>
              <w:top w:w="110" w:type="dxa"/>
              <w:left w:w="58" w:type="dxa"/>
              <w:right w:w="58" w:type="dxa"/>
            </w:tcMar>
          </w:tcPr>
          <w:p w14:paraId="7308D4D4" w14:textId="77777777" w:rsidR="00F96912" w:rsidRPr="00B214CB" w:rsidRDefault="00F96912" w:rsidP="006658D5">
            <w:pPr>
              <w:widowControl w:val="0"/>
              <w:rPr>
                <w:color w:val="000000"/>
                <w:sz w:val="16"/>
                <w:szCs w:val="16"/>
              </w:rPr>
            </w:pPr>
            <w:r w:rsidRPr="00B214CB">
              <w:rPr>
                <w:color w:val="000000"/>
                <w:sz w:val="16"/>
                <w:szCs w:val="16"/>
              </w:rPr>
              <w:t>Symposium technique sur la résistance aux antimicrobiens : comment stimuler l’innovation et favoriser l’accès aux antibiotiques et leur utilisation appropriée, organisé conjointement par l’OMC, l’OMPI et l’OMS au siège de l’OMPI à Genève le 26 octobre 2016</w:t>
            </w:r>
          </w:p>
          <w:p w14:paraId="34D9BAC2" w14:textId="77777777" w:rsidR="00F96912" w:rsidRPr="00B214CB" w:rsidRDefault="00F96912" w:rsidP="006658D5">
            <w:pPr>
              <w:widowControl w:val="0"/>
              <w:rPr>
                <w:color w:val="000000"/>
                <w:sz w:val="16"/>
                <w:szCs w:val="16"/>
              </w:rPr>
            </w:pPr>
            <w:r w:rsidRPr="00B214CB">
              <w:rPr>
                <w:color w:val="000000"/>
                <w:sz w:val="16"/>
                <w:szCs w:val="16"/>
              </w:rPr>
              <w:t>(1 initiative conjointe présidée par le Directeur général)</w:t>
            </w:r>
          </w:p>
        </w:tc>
        <w:tc>
          <w:tcPr>
            <w:tcW w:w="502" w:type="pct"/>
            <w:shd w:val="clear" w:color="auto" w:fill="auto"/>
            <w:tcMar>
              <w:top w:w="110" w:type="dxa"/>
              <w:left w:w="58" w:type="dxa"/>
              <w:right w:w="58" w:type="dxa"/>
            </w:tcMar>
          </w:tcPr>
          <w:p w14:paraId="1FDE73FA" w14:textId="77777777" w:rsidR="00F96912" w:rsidRPr="00CD000E" w:rsidRDefault="00F96912" w:rsidP="006658D5">
            <w:pPr>
              <w:widowControl w:val="0"/>
              <w:jc w:val="center"/>
              <w:rPr>
                <w:color w:val="000000"/>
                <w:sz w:val="16"/>
                <w:szCs w:val="16"/>
              </w:rPr>
            </w:pPr>
            <w:r w:rsidRPr="00B214CB">
              <w:rPr>
                <w:rFonts w:eastAsia="SimSun"/>
                <w:b/>
                <w:color w:val="00B050"/>
                <w:sz w:val="16"/>
                <w:szCs w:val="16"/>
                <w:lang w:eastAsia="zh-CN"/>
              </w:rPr>
              <w:t>En bonne voie</w:t>
            </w:r>
          </w:p>
        </w:tc>
      </w:tr>
      <w:tr w:rsidR="00F96912" w:rsidRPr="00CD000E" w14:paraId="69D4BF33" w14:textId="77777777" w:rsidTr="006658D5">
        <w:tc>
          <w:tcPr>
            <w:tcW w:w="5000" w:type="pct"/>
            <w:gridSpan w:val="5"/>
            <w:shd w:val="clear" w:color="auto" w:fill="C6D9F1" w:themeFill="text2" w:themeFillTint="33"/>
            <w:tcMar>
              <w:left w:w="58" w:type="dxa"/>
              <w:right w:w="58" w:type="dxa"/>
            </w:tcMar>
            <w:vAlign w:val="center"/>
          </w:tcPr>
          <w:p w14:paraId="00417290" w14:textId="77777777" w:rsidR="00F96912" w:rsidRPr="00CD000E" w:rsidRDefault="00F96912" w:rsidP="006658D5">
            <w:pPr>
              <w:keepNext/>
              <w:keepLines/>
              <w:widowControl w:val="0"/>
              <w:tabs>
                <w:tab w:val="left" w:pos="1452"/>
              </w:tabs>
              <w:rPr>
                <w:b/>
                <w:bCs/>
                <w:sz w:val="16"/>
                <w:szCs w:val="16"/>
              </w:rPr>
            </w:pPr>
            <w:r w:rsidRPr="00CD000E">
              <w:rPr>
                <w:b/>
                <w:bCs/>
                <w:sz w:val="16"/>
                <w:szCs w:val="16"/>
              </w:rPr>
              <w:t>Résultat escompté :</w:t>
            </w:r>
            <w:r w:rsidRPr="00CD000E">
              <w:rPr>
                <w:bCs/>
                <w:sz w:val="16"/>
                <w:szCs w:val="16"/>
              </w:rPr>
              <w:t xml:space="preserve"> IX.1 Services d’appui efficaces, efficients, de qualité et tournés vers la clientèle, à l’intention à la fois des clients internes et des parties prenantes externes</w:t>
            </w:r>
          </w:p>
        </w:tc>
      </w:tr>
      <w:tr w:rsidR="00F96912" w:rsidRPr="00CD000E" w14:paraId="30226778" w14:textId="77777777" w:rsidTr="006658D5">
        <w:tc>
          <w:tcPr>
            <w:tcW w:w="1074" w:type="pct"/>
            <w:shd w:val="clear" w:color="auto" w:fill="auto"/>
            <w:tcMar>
              <w:left w:w="58" w:type="dxa"/>
              <w:right w:w="58" w:type="dxa"/>
            </w:tcMar>
            <w:vAlign w:val="center"/>
          </w:tcPr>
          <w:p w14:paraId="21B7ECE9" w14:textId="77777777" w:rsidR="00F96912" w:rsidRPr="00CD000E" w:rsidRDefault="00F96912" w:rsidP="006658D5">
            <w:pPr>
              <w:keepNext/>
              <w:keepLines/>
              <w:widowControl w:val="0"/>
              <w:rPr>
                <w:b/>
                <w:bCs/>
                <w:sz w:val="16"/>
                <w:szCs w:val="16"/>
              </w:rPr>
            </w:pPr>
            <w:r w:rsidRPr="00CD000E">
              <w:rPr>
                <w:b/>
                <w:bCs/>
                <w:sz w:val="16"/>
                <w:szCs w:val="16"/>
              </w:rPr>
              <w:t>Indicateurs d’exécution</w:t>
            </w:r>
          </w:p>
        </w:tc>
        <w:tc>
          <w:tcPr>
            <w:tcW w:w="1416" w:type="pct"/>
            <w:shd w:val="clear" w:color="auto" w:fill="auto"/>
            <w:tcMar>
              <w:left w:w="58" w:type="dxa"/>
              <w:right w:w="58" w:type="dxa"/>
            </w:tcMar>
            <w:vAlign w:val="center"/>
          </w:tcPr>
          <w:p w14:paraId="28085F4B" w14:textId="77777777" w:rsidR="00F96912" w:rsidRPr="00CD000E" w:rsidRDefault="00F96912" w:rsidP="006658D5">
            <w:pPr>
              <w:keepNext/>
              <w:keepLines/>
              <w:widowControl w:val="0"/>
              <w:rPr>
                <w:b/>
                <w:bCs/>
                <w:sz w:val="16"/>
                <w:szCs w:val="16"/>
              </w:rPr>
            </w:pPr>
            <w:r w:rsidRPr="00CD000E">
              <w:rPr>
                <w:b/>
                <w:bCs/>
                <w:sz w:val="16"/>
                <w:szCs w:val="16"/>
              </w:rPr>
              <w:t>Niveaux de référence</w:t>
            </w:r>
          </w:p>
        </w:tc>
        <w:tc>
          <w:tcPr>
            <w:tcW w:w="699" w:type="pct"/>
            <w:shd w:val="clear" w:color="auto" w:fill="auto"/>
            <w:tcMar>
              <w:top w:w="110" w:type="dxa"/>
              <w:left w:w="58" w:type="dxa"/>
              <w:right w:w="58" w:type="dxa"/>
            </w:tcMar>
            <w:vAlign w:val="center"/>
          </w:tcPr>
          <w:p w14:paraId="643C8002" w14:textId="77777777" w:rsidR="00F96912" w:rsidRPr="00CD000E" w:rsidRDefault="00F96912" w:rsidP="006658D5">
            <w:pPr>
              <w:keepNext/>
              <w:keepLines/>
              <w:widowControl w:val="0"/>
              <w:rPr>
                <w:b/>
                <w:bCs/>
                <w:sz w:val="16"/>
                <w:szCs w:val="16"/>
              </w:rPr>
            </w:pPr>
            <w:r w:rsidRPr="00CD000E">
              <w:rPr>
                <w:b/>
                <w:bCs/>
                <w:sz w:val="16"/>
                <w:szCs w:val="16"/>
              </w:rPr>
              <w:t>Objectifs visés</w:t>
            </w:r>
          </w:p>
        </w:tc>
        <w:tc>
          <w:tcPr>
            <w:tcW w:w="1309" w:type="pct"/>
            <w:shd w:val="clear" w:color="auto" w:fill="FFFFFF"/>
            <w:tcMar>
              <w:top w:w="110" w:type="dxa"/>
              <w:left w:w="58" w:type="dxa"/>
              <w:right w:w="58" w:type="dxa"/>
            </w:tcMar>
            <w:vAlign w:val="center"/>
          </w:tcPr>
          <w:p w14:paraId="0007BCAC" w14:textId="77777777" w:rsidR="00F96912" w:rsidRPr="00CD000E" w:rsidRDefault="00F96912" w:rsidP="006658D5">
            <w:pPr>
              <w:keepNext/>
              <w:keepLines/>
              <w:widowControl w:val="0"/>
              <w:rPr>
                <w:b/>
                <w:bCs/>
                <w:sz w:val="16"/>
                <w:szCs w:val="16"/>
              </w:rPr>
            </w:pPr>
            <w:r w:rsidRPr="00CD000E">
              <w:rPr>
                <w:b/>
                <w:bCs/>
                <w:sz w:val="16"/>
                <w:szCs w:val="16"/>
              </w:rPr>
              <w:t>Données relatives à l’exécution</w:t>
            </w:r>
          </w:p>
        </w:tc>
        <w:tc>
          <w:tcPr>
            <w:tcW w:w="502" w:type="pct"/>
            <w:shd w:val="clear" w:color="auto" w:fill="auto"/>
            <w:tcMar>
              <w:top w:w="110" w:type="dxa"/>
              <w:left w:w="58" w:type="dxa"/>
              <w:right w:w="58" w:type="dxa"/>
            </w:tcMar>
            <w:vAlign w:val="center"/>
          </w:tcPr>
          <w:p w14:paraId="43DDD432" w14:textId="77777777" w:rsidR="00F96912" w:rsidRPr="00CD000E" w:rsidRDefault="00F96912" w:rsidP="006658D5">
            <w:pPr>
              <w:keepNext/>
              <w:keepLines/>
              <w:widowControl w:val="0"/>
              <w:jc w:val="center"/>
              <w:rPr>
                <w:b/>
                <w:bCs/>
                <w:sz w:val="16"/>
                <w:szCs w:val="16"/>
              </w:rPr>
            </w:pPr>
            <w:r w:rsidRPr="00CD000E">
              <w:rPr>
                <w:b/>
                <w:bCs/>
                <w:sz w:val="16"/>
                <w:szCs w:val="16"/>
              </w:rPr>
              <w:t>Code d’évaluation</w:t>
            </w:r>
          </w:p>
        </w:tc>
      </w:tr>
      <w:tr w:rsidR="00F96912" w:rsidRPr="00B214CB" w14:paraId="7B9B8AB5" w14:textId="77777777" w:rsidTr="006658D5">
        <w:tc>
          <w:tcPr>
            <w:tcW w:w="1074" w:type="pct"/>
            <w:shd w:val="clear" w:color="auto" w:fill="auto"/>
            <w:tcMar>
              <w:left w:w="58" w:type="dxa"/>
              <w:right w:w="58" w:type="dxa"/>
            </w:tcMar>
          </w:tcPr>
          <w:p w14:paraId="32E83DE3" w14:textId="77777777" w:rsidR="00F96912" w:rsidRPr="00B214CB" w:rsidRDefault="00F96912" w:rsidP="006658D5">
            <w:pPr>
              <w:keepNext/>
              <w:keepLines/>
              <w:widowControl w:val="0"/>
              <w:rPr>
                <w:color w:val="000000"/>
                <w:sz w:val="16"/>
                <w:szCs w:val="16"/>
              </w:rPr>
            </w:pPr>
            <w:r w:rsidRPr="00B214CB">
              <w:rPr>
                <w:sz w:val="16"/>
                <w:szCs w:val="16"/>
              </w:rPr>
              <w:t>Pourcentage de demandes d’avis juridique qui reçoivent des réponses rapides du Bureau du conseiller juridique</w:t>
            </w:r>
          </w:p>
        </w:tc>
        <w:tc>
          <w:tcPr>
            <w:tcW w:w="1416" w:type="pct"/>
            <w:shd w:val="clear" w:color="auto" w:fill="auto"/>
            <w:tcMar>
              <w:left w:w="58" w:type="dxa"/>
              <w:right w:w="58" w:type="dxa"/>
            </w:tcMar>
          </w:tcPr>
          <w:p w14:paraId="129AF865" w14:textId="77777777" w:rsidR="00F96912" w:rsidRPr="00B214CB" w:rsidRDefault="00F96912" w:rsidP="006658D5">
            <w:pPr>
              <w:keepNext/>
              <w:keepLines/>
              <w:widowControl w:val="0"/>
              <w:rPr>
                <w:i/>
                <w:color w:val="002060"/>
                <w:sz w:val="16"/>
                <w:szCs w:val="16"/>
              </w:rPr>
            </w:pPr>
            <w:r w:rsidRPr="00B214CB">
              <w:rPr>
                <w:i/>
                <w:color w:val="002060"/>
                <w:sz w:val="16"/>
                <w:szCs w:val="16"/>
              </w:rPr>
              <w:t>Niveau de référence actualisé à fin</w:t>
            </w:r>
            <w:r>
              <w:rPr>
                <w:i/>
                <w:color w:val="002060"/>
                <w:sz w:val="16"/>
                <w:szCs w:val="16"/>
              </w:rPr>
              <w:t> </w:t>
            </w:r>
            <w:r w:rsidRPr="00B214CB">
              <w:rPr>
                <w:i/>
                <w:color w:val="002060"/>
                <w:sz w:val="16"/>
                <w:szCs w:val="16"/>
              </w:rPr>
              <w:t>2015 :</w:t>
            </w:r>
          </w:p>
          <w:p w14:paraId="5E3806BE" w14:textId="77777777" w:rsidR="00F96912" w:rsidRPr="00B214CB" w:rsidRDefault="00F96912" w:rsidP="006658D5">
            <w:pPr>
              <w:keepNext/>
              <w:keepLines/>
              <w:widowControl w:val="0"/>
              <w:rPr>
                <w:color w:val="002060"/>
                <w:sz w:val="16"/>
                <w:szCs w:val="16"/>
              </w:rPr>
            </w:pPr>
            <w:r w:rsidRPr="00B214CB">
              <w:rPr>
                <w:color w:val="002060"/>
                <w:sz w:val="16"/>
                <w:szCs w:val="16"/>
              </w:rPr>
              <w:t>95% en 2014</w:t>
            </w:r>
            <w:r w:rsidRPr="00B214CB">
              <w:rPr>
                <w:color w:val="002060"/>
                <w:sz w:val="16"/>
                <w:szCs w:val="16"/>
              </w:rPr>
              <w:noBreakHyphen/>
              <w:t>2015</w:t>
            </w:r>
          </w:p>
          <w:p w14:paraId="26678EE0" w14:textId="77777777" w:rsidR="00F96912" w:rsidRPr="00B214CB" w:rsidRDefault="00F96912" w:rsidP="006658D5">
            <w:pPr>
              <w:keepNext/>
              <w:keepLines/>
              <w:widowControl w:val="0"/>
              <w:rPr>
                <w:color w:val="000000"/>
                <w:sz w:val="16"/>
                <w:szCs w:val="16"/>
              </w:rPr>
            </w:pPr>
          </w:p>
          <w:p w14:paraId="6DE0F7C5" w14:textId="77777777" w:rsidR="00F96912" w:rsidRPr="00B214CB" w:rsidRDefault="00F96912" w:rsidP="006658D5">
            <w:pPr>
              <w:keepNext/>
              <w:keepLines/>
              <w:widowControl w:val="0"/>
              <w:rPr>
                <w:i/>
                <w:sz w:val="16"/>
                <w:szCs w:val="16"/>
                <w:lang w:bidi="th-TH"/>
              </w:rPr>
            </w:pPr>
            <w:r w:rsidRPr="00B214CB">
              <w:rPr>
                <w:i/>
                <w:sz w:val="16"/>
                <w:szCs w:val="16"/>
                <w:lang w:bidi="th-TH"/>
              </w:rPr>
              <w:t>Niveau de référence initial dans le programme et budget 2016</w:t>
            </w:r>
            <w:r w:rsidRPr="00B214CB">
              <w:rPr>
                <w:i/>
                <w:sz w:val="16"/>
                <w:szCs w:val="16"/>
                <w:lang w:bidi="th-TH"/>
              </w:rPr>
              <w:noBreakHyphen/>
              <w:t>2017 :</w:t>
            </w:r>
          </w:p>
          <w:p w14:paraId="6A8E3CF2" w14:textId="77777777" w:rsidR="00F96912" w:rsidRPr="00B214CB" w:rsidRDefault="00F96912" w:rsidP="006658D5">
            <w:pPr>
              <w:keepNext/>
              <w:keepLines/>
              <w:widowControl w:val="0"/>
              <w:rPr>
                <w:color w:val="000000"/>
                <w:sz w:val="16"/>
                <w:szCs w:val="16"/>
              </w:rPr>
            </w:pPr>
            <w:r w:rsidRPr="00B214CB">
              <w:rPr>
                <w:color w:val="000000"/>
                <w:sz w:val="16"/>
                <w:szCs w:val="16"/>
              </w:rPr>
              <w:t>95%</w:t>
            </w:r>
          </w:p>
        </w:tc>
        <w:tc>
          <w:tcPr>
            <w:tcW w:w="699" w:type="pct"/>
            <w:shd w:val="clear" w:color="auto" w:fill="auto"/>
            <w:tcMar>
              <w:top w:w="110" w:type="dxa"/>
              <w:left w:w="58" w:type="dxa"/>
              <w:right w:w="58" w:type="dxa"/>
            </w:tcMar>
          </w:tcPr>
          <w:p w14:paraId="6DC4FDD5" w14:textId="77777777" w:rsidR="00F96912" w:rsidRPr="00B214CB" w:rsidRDefault="00F96912" w:rsidP="006658D5">
            <w:pPr>
              <w:keepNext/>
              <w:keepLines/>
              <w:widowControl w:val="0"/>
              <w:tabs>
                <w:tab w:val="left" w:pos="267"/>
              </w:tabs>
              <w:rPr>
                <w:color w:val="000000"/>
                <w:sz w:val="16"/>
                <w:szCs w:val="16"/>
              </w:rPr>
            </w:pPr>
            <w:r w:rsidRPr="00B214CB">
              <w:rPr>
                <w:color w:val="000000"/>
                <w:sz w:val="16"/>
                <w:szCs w:val="16"/>
              </w:rPr>
              <w:t>95%</w:t>
            </w:r>
          </w:p>
        </w:tc>
        <w:tc>
          <w:tcPr>
            <w:tcW w:w="1309" w:type="pct"/>
            <w:shd w:val="clear" w:color="auto" w:fill="FFFFFF"/>
            <w:tcMar>
              <w:top w:w="110" w:type="dxa"/>
              <w:left w:w="58" w:type="dxa"/>
              <w:right w:w="58" w:type="dxa"/>
            </w:tcMar>
          </w:tcPr>
          <w:p w14:paraId="394AC020" w14:textId="77777777" w:rsidR="00F96912" w:rsidRPr="00B214CB" w:rsidRDefault="00F96912" w:rsidP="006658D5">
            <w:pPr>
              <w:keepNext/>
              <w:keepLines/>
              <w:widowControl w:val="0"/>
              <w:rPr>
                <w:color w:val="000000"/>
                <w:sz w:val="16"/>
                <w:szCs w:val="16"/>
              </w:rPr>
            </w:pPr>
            <w:r w:rsidRPr="00B214CB">
              <w:rPr>
                <w:color w:val="000000"/>
                <w:sz w:val="16"/>
                <w:szCs w:val="16"/>
              </w:rPr>
              <w:t>95% des demandes ont reçu des réponses rapides du Bureau du conseiller juridique</w:t>
            </w:r>
          </w:p>
        </w:tc>
        <w:tc>
          <w:tcPr>
            <w:tcW w:w="502" w:type="pct"/>
            <w:shd w:val="clear" w:color="auto" w:fill="auto"/>
            <w:tcMar>
              <w:top w:w="110" w:type="dxa"/>
              <w:left w:w="58" w:type="dxa"/>
              <w:right w:w="58" w:type="dxa"/>
            </w:tcMar>
          </w:tcPr>
          <w:p w14:paraId="03B96D1C" w14:textId="77777777" w:rsidR="00F96912" w:rsidRPr="00B214CB" w:rsidRDefault="00F96912" w:rsidP="006658D5">
            <w:pPr>
              <w:keepNext/>
              <w:keepLines/>
              <w:widowControl w:val="0"/>
              <w:jc w:val="center"/>
              <w:rPr>
                <w:color w:val="000000"/>
                <w:sz w:val="16"/>
                <w:szCs w:val="16"/>
              </w:rPr>
            </w:pPr>
            <w:r w:rsidRPr="00B214CB">
              <w:rPr>
                <w:rFonts w:eastAsia="SimSun"/>
                <w:b/>
                <w:color w:val="00B050"/>
                <w:sz w:val="16"/>
                <w:szCs w:val="16"/>
                <w:lang w:eastAsia="zh-CN"/>
              </w:rPr>
              <w:t>En bonne voie</w:t>
            </w:r>
          </w:p>
        </w:tc>
      </w:tr>
      <w:tr w:rsidR="00F96912" w:rsidRPr="00B214CB" w14:paraId="458E23AE" w14:textId="77777777" w:rsidTr="006658D5">
        <w:tc>
          <w:tcPr>
            <w:tcW w:w="5000" w:type="pct"/>
            <w:gridSpan w:val="5"/>
            <w:shd w:val="clear" w:color="auto" w:fill="C6D9F1" w:themeFill="text2" w:themeFillTint="33"/>
            <w:tcMar>
              <w:left w:w="58" w:type="dxa"/>
              <w:right w:w="58" w:type="dxa"/>
            </w:tcMar>
            <w:vAlign w:val="center"/>
          </w:tcPr>
          <w:p w14:paraId="19254328" w14:textId="77777777" w:rsidR="00F96912" w:rsidRPr="00B214CB" w:rsidRDefault="00F96912" w:rsidP="006658D5">
            <w:pPr>
              <w:widowControl w:val="0"/>
              <w:tabs>
                <w:tab w:val="left" w:pos="1452"/>
              </w:tabs>
              <w:rPr>
                <w:b/>
                <w:bCs/>
                <w:sz w:val="16"/>
                <w:szCs w:val="16"/>
              </w:rPr>
            </w:pPr>
            <w:r w:rsidRPr="00B214CB">
              <w:rPr>
                <w:b/>
                <w:bCs/>
                <w:sz w:val="16"/>
                <w:szCs w:val="16"/>
              </w:rPr>
              <w:t xml:space="preserve">Résultat escompté : </w:t>
            </w:r>
            <w:r w:rsidRPr="00B214CB">
              <w:rPr>
                <w:bCs/>
                <w:sz w:val="16"/>
                <w:szCs w:val="16"/>
              </w:rPr>
              <w:t>IX.2 Un Secrétariat réactif, fonctionnant harmonieusement et doté de ressources humaines bien gérées et compétentes, à même d’obtenir des résultats concrets</w:t>
            </w:r>
          </w:p>
        </w:tc>
      </w:tr>
      <w:tr w:rsidR="00F96912" w:rsidRPr="00B214CB" w14:paraId="3E7B7A85" w14:textId="77777777" w:rsidTr="006658D5">
        <w:tc>
          <w:tcPr>
            <w:tcW w:w="1074" w:type="pct"/>
            <w:shd w:val="clear" w:color="auto" w:fill="auto"/>
            <w:tcMar>
              <w:left w:w="58" w:type="dxa"/>
              <w:right w:w="58" w:type="dxa"/>
            </w:tcMar>
            <w:vAlign w:val="center"/>
          </w:tcPr>
          <w:p w14:paraId="78FBB55B" w14:textId="77777777" w:rsidR="00F96912" w:rsidRPr="00B214CB" w:rsidRDefault="00F96912" w:rsidP="006658D5">
            <w:pPr>
              <w:widowControl w:val="0"/>
              <w:rPr>
                <w:b/>
                <w:bCs/>
                <w:sz w:val="16"/>
                <w:szCs w:val="16"/>
              </w:rPr>
            </w:pPr>
            <w:r w:rsidRPr="00B214CB">
              <w:rPr>
                <w:b/>
                <w:bCs/>
                <w:sz w:val="16"/>
                <w:szCs w:val="16"/>
              </w:rPr>
              <w:t>Indicateurs d’exécution</w:t>
            </w:r>
          </w:p>
        </w:tc>
        <w:tc>
          <w:tcPr>
            <w:tcW w:w="1416" w:type="pct"/>
            <w:shd w:val="clear" w:color="auto" w:fill="auto"/>
            <w:tcMar>
              <w:left w:w="58" w:type="dxa"/>
              <w:right w:w="58" w:type="dxa"/>
            </w:tcMar>
            <w:vAlign w:val="center"/>
          </w:tcPr>
          <w:p w14:paraId="6B695A85" w14:textId="77777777" w:rsidR="00F96912" w:rsidRPr="00B214CB" w:rsidRDefault="00F96912" w:rsidP="006658D5">
            <w:pPr>
              <w:widowControl w:val="0"/>
              <w:rPr>
                <w:b/>
                <w:bCs/>
                <w:sz w:val="16"/>
                <w:szCs w:val="16"/>
              </w:rPr>
            </w:pPr>
            <w:r w:rsidRPr="00B214CB">
              <w:rPr>
                <w:b/>
                <w:bCs/>
                <w:sz w:val="16"/>
                <w:szCs w:val="16"/>
              </w:rPr>
              <w:t>Niveaux de référence</w:t>
            </w:r>
          </w:p>
        </w:tc>
        <w:tc>
          <w:tcPr>
            <w:tcW w:w="699" w:type="pct"/>
            <w:shd w:val="clear" w:color="auto" w:fill="auto"/>
            <w:tcMar>
              <w:top w:w="110" w:type="dxa"/>
              <w:left w:w="58" w:type="dxa"/>
              <w:right w:w="58" w:type="dxa"/>
            </w:tcMar>
            <w:vAlign w:val="center"/>
          </w:tcPr>
          <w:p w14:paraId="43C280E6" w14:textId="77777777" w:rsidR="00F96912" w:rsidRPr="00B214CB" w:rsidRDefault="00F96912" w:rsidP="006658D5">
            <w:pPr>
              <w:widowControl w:val="0"/>
              <w:rPr>
                <w:b/>
                <w:bCs/>
                <w:sz w:val="16"/>
                <w:szCs w:val="16"/>
              </w:rPr>
            </w:pPr>
            <w:r w:rsidRPr="00B214CB">
              <w:rPr>
                <w:b/>
                <w:bCs/>
                <w:sz w:val="16"/>
                <w:szCs w:val="16"/>
              </w:rPr>
              <w:t>Objectifs visés</w:t>
            </w:r>
          </w:p>
        </w:tc>
        <w:tc>
          <w:tcPr>
            <w:tcW w:w="1309" w:type="pct"/>
            <w:shd w:val="clear" w:color="auto" w:fill="FFFFFF"/>
            <w:tcMar>
              <w:top w:w="110" w:type="dxa"/>
              <w:left w:w="58" w:type="dxa"/>
              <w:right w:w="58" w:type="dxa"/>
            </w:tcMar>
            <w:vAlign w:val="center"/>
          </w:tcPr>
          <w:p w14:paraId="17D7D6A4" w14:textId="77777777" w:rsidR="00F96912" w:rsidRPr="00B214CB" w:rsidRDefault="00F96912" w:rsidP="006658D5">
            <w:pPr>
              <w:widowControl w:val="0"/>
              <w:rPr>
                <w:b/>
                <w:bCs/>
                <w:sz w:val="16"/>
                <w:szCs w:val="16"/>
              </w:rPr>
            </w:pPr>
            <w:r w:rsidRPr="00B214CB">
              <w:rPr>
                <w:b/>
                <w:bCs/>
                <w:sz w:val="16"/>
                <w:szCs w:val="16"/>
              </w:rPr>
              <w:t>Données relatives à l’exécution</w:t>
            </w:r>
          </w:p>
        </w:tc>
        <w:tc>
          <w:tcPr>
            <w:tcW w:w="502" w:type="pct"/>
            <w:shd w:val="clear" w:color="auto" w:fill="auto"/>
            <w:tcMar>
              <w:top w:w="110" w:type="dxa"/>
              <w:left w:w="58" w:type="dxa"/>
              <w:right w:w="58" w:type="dxa"/>
            </w:tcMar>
            <w:vAlign w:val="center"/>
          </w:tcPr>
          <w:p w14:paraId="4E52184F" w14:textId="77777777" w:rsidR="00F96912" w:rsidRPr="00B214CB" w:rsidRDefault="00F96912" w:rsidP="006658D5">
            <w:pPr>
              <w:widowControl w:val="0"/>
              <w:jc w:val="center"/>
              <w:rPr>
                <w:b/>
                <w:bCs/>
                <w:sz w:val="16"/>
                <w:szCs w:val="16"/>
              </w:rPr>
            </w:pPr>
            <w:r w:rsidRPr="00B214CB">
              <w:rPr>
                <w:b/>
                <w:bCs/>
                <w:sz w:val="16"/>
                <w:szCs w:val="16"/>
              </w:rPr>
              <w:t>Code d’évaluation</w:t>
            </w:r>
          </w:p>
        </w:tc>
      </w:tr>
      <w:tr w:rsidR="00F96912" w:rsidRPr="00CD000E" w14:paraId="4D047445" w14:textId="77777777" w:rsidTr="006658D5">
        <w:tc>
          <w:tcPr>
            <w:tcW w:w="1074" w:type="pct"/>
            <w:shd w:val="clear" w:color="auto" w:fill="auto"/>
            <w:tcMar>
              <w:left w:w="58" w:type="dxa"/>
              <w:right w:w="58" w:type="dxa"/>
            </w:tcMar>
          </w:tcPr>
          <w:p w14:paraId="221828C5" w14:textId="77777777" w:rsidR="00F96912" w:rsidRPr="00B214CB" w:rsidRDefault="00F96912" w:rsidP="006658D5">
            <w:pPr>
              <w:widowControl w:val="0"/>
              <w:rPr>
                <w:color w:val="000000"/>
                <w:sz w:val="16"/>
                <w:szCs w:val="16"/>
              </w:rPr>
            </w:pPr>
            <w:r w:rsidRPr="00B214CB">
              <w:rPr>
                <w:sz w:val="16"/>
                <w:szCs w:val="16"/>
              </w:rPr>
              <w:t>Création d’un nouveau cadre relatif à la résilience et à la continuité des opérations de l’Organisation et de la documentation connexe</w:t>
            </w:r>
          </w:p>
        </w:tc>
        <w:tc>
          <w:tcPr>
            <w:tcW w:w="1416" w:type="pct"/>
            <w:shd w:val="clear" w:color="auto" w:fill="auto"/>
            <w:tcMar>
              <w:left w:w="58" w:type="dxa"/>
              <w:right w:w="58" w:type="dxa"/>
            </w:tcMar>
          </w:tcPr>
          <w:p w14:paraId="13E0C8FD" w14:textId="77777777" w:rsidR="00F96912" w:rsidRPr="00B214CB" w:rsidRDefault="00F96912" w:rsidP="006658D5">
            <w:pPr>
              <w:widowControl w:val="0"/>
              <w:rPr>
                <w:color w:val="000000"/>
                <w:sz w:val="16"/>
                <w:szCs w:val="16"/>
              </w:rPr>
            </w:pPr>
            <w:r w:rsidRPr="00B214CB">
              <w:rPr>
                <w:sz w:val="16"/>
                <w:szCs w:val="16"/>
              </w:rPr>
              <w:t>Le cadre actuel est incomplet et doit être remplacé</w:t>
            </w:r>
          </w:p>
        </w:tc>
        <w:tc>
          <w:tcPr>
            <w:tcW w:w="699" w:type="pct"/>
            <w:shd w:val="clear" w:color="auto" w:fill="auto"/>
            <w:tcMar>
              <w:top w:w="110" w:type="dxa"/>
              <w:left w:w="58" w:type="dxa"/>
              <w:right w:w="58" w:type="dxa"/>
            </w:tcMar>
          </w:tcPr>
          <w:p w14:paraId="318B46F6" w14:textId="77777777" w:rsidR="00F96912" w:rsidRPr="00B214CB" w:rsidRDefault="00F96912" w:rsidP="006658D5">
            <w:pPr>
              <w:widowControl w:val="0"/>
              <w:rPr>
                <w:color w:val="000000"/>
                <w:sz w:val="16"/>
                <w:szCs w:val="16"/>
              </w:rPr>
            </w:pPr>
            <w:r w:rsidRPr="00B214CB">
              <w:rPr>
                <w:sz w:val="16"/>
                <w:szCs w:val="16"/>
              </w:rPr>
              <w:t>Nouveaux plans et nouvelles stratégies relatifs à la résilience et à la continuité des opérations de l’Organisation élaborés pour les principaux domaines de l’Organisation</w:t>
            </w:r>
            <w:r w:rsidRPr="00B214CB">
              <w:rPr>
                <w:color w:val="000000"/>
                <w:sz w:val="16"/>
                <w:szCs w:val="16"/>
              </w:rPr>
              <w:t xml:space="preserve"> </w:t>
            </w:r>
          </w:p>
        </w:tc>
        <w:tc>
          <w:tcPr>
            <w:tcW w:w="1309" w:type="pct"/>
            <w:shd w:val="clear" w:color="auto" w:fill="FFFFFF"/>
            <w:tcMar>
              <w:top w:w="110" w:type="dxa"/>
              <w:left w:w="58" w:type="dxa"/>
              <w:right w:w="58" w:type="dxa"/>
            </w:tcMar>
          </w:tcPr>
          <w:p w14:paraId="472E15EC" w14:textId="77777777" w:rsidR="00F96912" w:rsidRPr="00B214CB" w:rsidRDefault="00F96912" w:rsidP="006658D5">
            <w:pPr>
              <w:widowControl w:val="0"/>
              <w:rPr>
                <w:color w:val="000000"/>
                <w:sz w:val="16"/>
                <w:szCs w:val="16"/>
              </w:rPr>
            </w:pPr>
            <w:r w:rsidRPr="00B214CB">
              <w:rPr>
                <w:color w:val="000000"/>
                <w:sz w:val="16"/>
                <w:szCs w:val="16"/>
              </w:rPr>
              <w:noBreakHyphen/>
              <w:t xml:space="preserve"> 1 plan de réponse en cas de pandémie a été élaboré et publié</w:t>
            </w:r>
          </w:p>
          <w:p w14:paraId="4E0BCE4F" w14:textId="77777777" w:rsidR="00F96912" w:rsidRPr="00B214CB" w:rsidRDefault="00F96912" w:rsidP="006658D5">
            <w:pPr>
              <w:widowControl w:val="0"/>
              <w:rPr>
                <w:color w:val="000000"/>
                <w:sz w:val="16"/>
                <w:szCs w:val="16"/>
              </w:rPr>
            </w:pPr>
            <w:r w:rsidRPr="00B214CB">
              <w:rPr>
                <w:color w:val="000000"/>
                <w:sz w:val="16"/>
                <w:szCs w:val="16"/>
              </w:rPr>
              <w:noBreakHyphen/>
              <w:t xml:space="preserve"> 15 analyses des incidences sur les opérations ont été réalisées pour les fonctions opérationnelles essentielles, les fonctions d’appui et les fonctions relatives aux données/systèmes essentiels de l’Organisation</w:t>
            </w:r>
          </w:p>
        </w:tc>
        <w:tc>
          <w:tcPr>
            <w:tcW w:w="502" w:type="pct"/>
            <w:shd w:val="clear" w:color="auto" w:fill="auto"/>
            <w:tcMar>
              <w:top w:w="110" w:type="dxa"/>
              <w:left w:w="58" w:type="dxa"/>
              <w:right w:w="58" w:type="dxa"/>
            </w:tcMar>
          </w:tcPr>
          <w:p w14:paraId="35F682CB" w14:textId="77777777" w:rsidR="00F96912" w:rsidRPr="00CD000E" w:rsidRDefault="00F96912" w:rsidP="006658D5">
            <w:pPr>
              <w:widowControl w:val="0"/>
              <w:jc w:val="center"/>
              <w:rPr>
                <w:color w:val="000000"/>
                <w:sz w:val="16"/>
                <w:szCs w:val="16"/>
              </w:rPr>
            </w:pPr>
            <w:r w:rsidRPr="00B214CB">
              <w:rPr>
                <w:rFonts w:eastAsia="SimSun"/>
                <w:b/>
                <w:color w:val="00B050"/>
                <w:sz w:val="16"/>
                <w:szCs w:val="16"/>
                <w:lang w:eastAsia="zh-CN"/>
              </w:rPr>
              <w:t>En bonne voie</w:t>
            </w:r>
          </w:p>
        </w:tc>
      </w:tr>
      <w:tr w:rsidR="00F96912" w:rsidRPr="00CD000E" w14:paraId="33F00228" w14:textId="77777777" w:rsidTr="006658D5">
        <w:tc>
          <w:tcPr>
            <w:tcW w:w="5000" w:type="pct"/>
            <w:gridSpan w:val="5"/>
            <w:shd w:val="clear" w:color="auto" w:fill="C6D9F1" w:themeFill="text2" w:themeFillTint="33"/>
            <w:tcMar>
              <w:left w:w="58" w:type="dxa"/>
              <w:right w:w="58" w:type="dxa"/>
            </w:tcMar>
            <w:vAlign w:val="center"/>
          </w:tcPr>
          <w:p w14:paraId="3EED62B1" w14:textId="77777777" w:rsidR="00F96912" w:rsidRPr="00CD000E" w:rsidRDefault="00F96912" w:rsidP="006658D5">
            <w:pPr>
              <w:widowControl w:val="0"/>
              <w:tabs>
                <w:tab w:val="left" w:pos="1452"/>
              </w:tabs>
              <w:rPr>
                <w:b/>
                <w:bCs/>
                <w:sz w:val="16"/>
                <w:szCs w:val="16"/>
              </w:rPr>
            </w:pPr>
            <w:r w:rsidRPr="00CD000E">
              <w:rPr>
                <w:b/>
                <w:bCs/>
                <w:sz w:val="16"/>
                <w:szCs w:val="16"/>
              </w:rPr>
              <w:t>Résultat escompté :</w:t>
            </w:r>
            <w:r w:rsidRPr="00CD000E">
              <w:rPr>
                <w:bCs/>
                <w:sz w:val="16"/>
                <w:szCs w:val="16"/>
              </w:rPr>
              <w:t xml:space="preserve"> IX.3 Un environnement de travail stimulant étayé par un cadre réglementaire efficace et des voies appropriées pour répondre aux préoccupations du personnel</w:t>
            </w:r>
          </w:p>
        </w:tc>
      </w:tr>
      <w:tr w:rsidR="00F96912" w:rsidRPr="00CD000E" w14:paraId="4FE0064A" w14:textId="77777777" w:rsidTr="006658D5">
        <w:tc>
          <w:tcPr>
            <w:tcW w:w="1074" w:type="pct"/>
            <w:shd w:val="clear" w:color="auto" w:fill="auto"/>
            <w:tcMar>
              <w:left w:w="58" w:type="dxa"/>
              <w:right w:w="58" w:type="dxa"/>
            </w:tcMar>
            <w:vAlign w:val="center"/>
          </w:tcPr>
          <w:p w14:paraId="198F9AEA" w14:textId="77777777" w:rsidR="00F96912" w:rsidRPr="00CD000E" w:rsidRDefault="00F96912" w:rsidP="006658D5">
            <w:pPr>
              <w:widowControl w:val="0"/>
              <w:rPr>
                <w:b/>
                <w:bCs/>
                <w:sz w:val="16"/>
                <w:szCs w:val="16"/>
              </w:rPr>
            </w:pPr>
            <w:r w:rsidRPr="00CD000E">
              <w:rPr>
                <w:b/>
                <w:bCs/>
                <w:sz w:val="16"/>
                <w:szCs w:val="16"/>
              </w:rPr>
              <w:t>Indicateurs d’exécution</w:t>
            </w:r>
          </w:p>
        </w:tc>
        <w:tc>
          <w:tcPr>
            <w:tcW w:w="1416" w:type="pct"/>
            <w:shd w:val="clear" w:color="auto" w:fill="auto"/>
            <w:tcMar>
              <w:left w:w="58" w:type="dxa"/>
              <w:right w:w="58" w:type="dxa"/>
            </w:tcMar>
            <w:vAlign w:val="center"/>
          </w:tcPr>
          <w:p w14:paraId="3536C971" w14:textId="77777777" w:rsidR="00F96912" w:rsidRPr="00CD000E" w:rsidRDefault="00F96912" w:rsidP="006658D5">
            <w:pPr>
              <w:widowControl w:val="0"/>
              <w:rPr>
                <w:b/>
                <w:bCs/>
                <w:sz w:val="16"/>
                <w:szCs w:val="16"/>
              </w:rPr>
            </w:pPr>
            <w:r w:rsidRPr="00CD000E">
              <w:rPr>
                <w:b/>
                <w:bCs/>
                <w:sz w:val="16"/>
                <w:szCs w:val="16"/>
              </w:rPr>
              <w:t>Niveaux de référence</w:t>
            </w:r>
          </w:p>
        </w:tc>
        <w:tc>
          <w:tcPr>
            <w:tcW w:w="699" w:type="pct"/>
            <w:shd w:val="clear" w:color="auto" w:fill="auto"/>
            <w:tcMar>
              <w:top w:w="110" w:type="dxa"/>
              <w:left w:w="58" w:type="dxa"/>
              <w:right w:w="58" w:type="dxa"/>
            </w:tcMar>
            <w:vAlign w:val="center"/>
          </w:tcPr>
          <w:p w14:paraId="11DAC401" w14:textId="77777777" w:rsidR="00F96912" w:rsidRPr="00CD000E" w:rsidRDefault="00F96912" w:rsidP="006658D5">
            <w:pPr>
              <w:widowControl w:val="0"/>
              <w:rPr>
                <w:b/>
                <w:bCs/>
                <w:sz w:val="16"/>
                <w:szCs w:val="16"/>
              </w:rPr>
            </w:pPr>
            <w:r w:rsidRPr="00CD000E">
              <w:rPr>
                <w:b/>
                <w:bCs/>
                <w:sz w:val="16"/>
                <w:szCs w:val="16"/>
              </w:rPr>
              <w:t>Objectifs visés</w:t>
            </w:r>
          </w:p>
        </w:tc>
        <w:tc>
          <w:tcPr>
            <w:tcW w:w="1309" w:type="pct"/>
            <w:shd w:val="clear" w:color="auto" w:fill="FFFFFF"/>
            <w:tcMar>
              <w:top w:w="110" w:type="dxa"/>
              <w:left w:w="58" w:type="dxa"/>
              <w:right w:w="58" w:type="dxa"/>
            </w:tcMar>
            <w:vAlign w:val="center"/>
          </w:tcPr>
          <w:p w14:paraId="109E0693" w14:textId="77777777" w:rsidR="00F96912" w:rsidRPr="00CD000E" w:rsidRDefault="00F96912" w:rsidP="006658D5">
            <w:pPr>
              <w:widowControl w:val="0"/>
              <w:rPr>
                <w:b/>
                <w:bCs/>
                <w:sz w:val="16"/>
                <w:szCs w:val="16"/>
              </w:rPr>
            </w:pPr>
            <w:r w:rsidRPr="00CD000E">
              <w:rPr>
                <w:b/>
                <w:bCs/>
                <w:sz w:val="16"/>
                <w:szCs w:val="16"/>
              </w:rPr>
              <w:t>Données relatives à l’exécution</w:t>
            </w:r>
          </w:p>
        </w:tc>
        <w:tc>
          <w:tcPr>
            <w:tcW w:w="502" w:type="pct"/>
            <w:shd w:val="clear" w:color="auto" w:fill="auto"/>
            <w:tcMar>
              <w:top w:w="110" w:type="dxa"/>
              <w:left w:w="58" w:type="dxa"/>
              <w:right w:w="58" w:type="dxa"/>
            </w:tcMar>
            <w:vAlign w:val="center"/>
          </w:tcPr>
          <w:p w14:paraId="196EEF53" w14:textId="77777777" w:rsidR="00F96912" w:rsidRPr="00CD000E" w:rsidRDefault="00F96912" w:rsidP="006658D5">
            <w:pPr>
              <w:widowControl w:val="0"/>
              <w:jc w:val="center"/>
              <w:rPr>
                <w:b/>
                <w:bCs/>
                <w:sz w:val="16"/>
                <w:szCs w:val="16"/>
              </w:rPr>
            </w:pPr>
            <w:r w:rsidRPr="00CD000E">
              <w:rPr>
                <w:b/>
                <w:bCs/>
                <w:sz w:val="16"/>
                <w:szCs w:val="16"/>
              </w:rPr>
              <w:t>Code d’évaluation</w:t>
            </w:r>
          </w:p>
        </w:tc>
      </w:tr>
      <w:tr w:rsidR="00F96912" w:rsidRPr="00B214CB" w14:paraId="3E1DF028" w14:textId="77777777" w:rsidTr="006658D5">
        <w:tc>
          <w:tcPr>
            <w:tcW w:w="1074" w:type="pct"/>
            <w:shd w:val="clear" w:color="auto" w:fill="auto"/>
            <w:tcMar>
              <w:left w:w="58" w:type="dxa"/>
              <w:right w:w="58" w:type="dxa"/>
            </w:tcMar>
          </w:tcPr>
          <w:p w14:paraId="605E1521" w14:textId="77777777" w:rsidR="00F96912" w:rsidRPr="00B214CB" w:rsidRDefault="00F96912" w:rsidP="006658D5">
            <w:pPr>
              <w:widowControl w:val="0"/>
              <w:rPr>
                <w:color w:val="000000"/>
                <w:sz w:val="16"/>
                <w:szCs w:val="16"/>
              </w:rPr>
            </w:pPr>
            <w:r w:rsidRPr="00B214CB">
              <w:rPr>
                <w:color w:val="000000"/>
                <w:sz w:val="16"/>
                <w:szCs w:val="16"/>
              </w:rPr>
              <w:t>Pourcentage du personnel de l’OMPI ayant connaissance des services qu’ils peuvent obtenir du Bureau du médiateur et de l’existence d’un mécanisme informel de résolution des conflits</w:t>
            </w:r>
          </w:p>
        </w:tc>
        <w:tc>
          <w:tcPr>
            <w:tcW w:w="1416" w:type="pct"/>
            <w:shd w:val="clear" w:color="auto" w:fill="auto"/>
            <w:tcMar>
              <w:left w:w="58" w:type="dxa"/>
              <w:right w:w="58" w:type="dxa"/>
            </w:tcMar>
          </w:tcPr>
          <w:p w14:paraId="145D8170" w14:textId="77777777" w:rsidR="00F96912" w:rsidRPr="00B214CB" w:rsidRDefault="00F96912" w:rsidP="006658D5">
            <w:pPr>
              <w:widowControl w:val="0"/>
              <w:rPr>
                <w:i/>
                <w:color w:val="002060"/>
                <w:sz w:val="16"/>
                <w:szCs w:val="16"/>
              </w:rPr>
            </w:pPr>
            <w:r w:rsidRPr="00B214CB">
              <w:rPr>
                <w:i/>
                <w:color w:val="002060"/>
                <w:sz w:val="16"/>
                <w:szCs w:val="16"/>
              </w:rPr>
              <w:t>Niveau de référence actualisé à fin</w:t>
            </w:r>
            <w:r>
              <w:rPr>
                <w:i/>
                <w:color w:val="002060"/>
                <w:sz w:val="16"/>
                <w:szCs w:val="16"/>
              </w:rPr>
              <w:t> </w:t>
            </w:r>
            <w:r w:rsidRPr="00B214CB">
              <w:rPr>
                <w:i/>
                <w:color w:val="002060"/>
                <w:sz w:val="16"/>
                <w:szCs w:val="16"/>
              </w:rPr>
              <w:t>2015 :</w:t>
            </w:r>
          </w:p>
          <w:p w14:paraId="623B4F1F" w14:textId="77777777" w:rsidR="00F96912" w:rsidRPr="00B214CB" w:rsidRDefault="00F96912" w:rsidP="006658D5">
            <w:pPr>
              <w:widowControl w:val="0"/>
              <w:rPr>
                <w:rFonts w:eastAsia="SimSun"/>
                <w:color w:val="002060"/>
                <w:sz w:val="16"/>
                <w:szCs w:val="16"/>
                <w:lang w:eastAsia="zh-CN"/>
              </w:rPr>
            </w:pPr>
            <w:r w:rsidRPr="00B214CB">
              <w:rPr>
                <w:rFonts w:eastAsia="SimSun"/>
                <w:color w:val="002060"/>
                <w:sz w:val="16"/>
                <w:szCs w:val="16"/>
                <w:lang w:eastAsia="zh-CN"/>
              </w:rPr>
              <w:t>L’enquête auprès du personnel prévue pour 2015 n’a pas été menée</w:t>
            </w:r>
          </w:p>
          <w:p w14:paraId="18574343" w14:textId="77777777" w:rsidR="00F96912" w:rsidRPr="00B214CB" w:rsidRDefault="00F96912" w:rsidP="006658D5">
            <w:pPr>
              <w:widowControl w:val="0"/>
              <w:rPr>
                <w:color w:val="000000"/>
                <w:sz w:val="16"/>
                <w:szCs w:val="16"/>
              </w:rPr>
            </w:pPr>
          </w:p>
          <w:p w14:paraId="66BC2380" w14:textId="77777777" w:rsidR="00F96912" w:rsidRPr="00B214CB" w:rsidRDefault="00F96912" w:rsidP="006658D5">
            <w:pPr>
              <w:widowControl w:val="0"/>
              <w:rPr>
                <w:i/>
                <w:sz w:val="16"/>
                <w:szCs w:val="16"/>
                <w:lang w:bidi="th-TH"/>
              </w:rPr>
            </w:pPr>
            <w:r w:rsidRPr="00B214CB">
              <w:rPr>
                <w:i/>
                <w:sz w:val="16"/>
                <w:szCs w:val="16"/>
                <w:lang w:bidi="th-TH"/>
              </w:rPr>
              <w:t>Niveau de référence initial dans le programme et budget 2016</w:t>
            </w:r>
            <w:r w:rsidRPr="00B214CB">
              <w:rPr>
                <w:i/>
                <w:sz w:val="16"/>
                <w:szCs w:val="16"/>
                <w:lang w:bidi="th-TH"/>
              </w:rPr>
              <w:noBreakHyphen/>
              <w:t>2017 :</w:t>
            </w:r>
          </w:p>
          <w:p w14:paraId="5AAACE40" w14:textId="77777777" w:rsidR="00F96912" w:rsidRPr="00B214CB" w:rsidRDefault="00F96912" w:rsidP="006658D5">
            <w:pPr>
              <w:widowControl w:val="0"/>
              <w:rPr>
                <w:color w:val="000000"/>
                <w:sz w:val="16"/>
                <w:szCs w:val="16"/>
              </w:rPr>
            </w:pPr>
            <w:r w:rsidRPr="00B214CB">
              <w:rPr>
                <w:color w:val="000000"/>
                <w:sz w:val="16"/>
                <w:szCs w:val="16"/>
              </w:rPr>
              <w:t xml:space="preserve">Enquête menée en 2013 : 63%.  </w:t>
            </w:r>
            <w:r w:rsidRPr="00B214CB">
              <w:rPr>
                <w:sz w:val="16"/>
                <w:szCs w:val="16"/>
              </w:rPr>
              <w:t>Une autre enquête est prévue en 2015.</w:t>
            </w:r>
          </w:p>
        </w:tc>
        <w:tc>
          <w:tcPr>
            <w:tcW w:w="699" w:type="pct"/>
            <w:shd w:val="clear" w:color="auto" w:fill="auto"/>
            <w:tcMar>
              <w:top w:w="110" w:type="dxa"/>
              <w:left w:w="58" w:type="dxa"/>
              <w:right w:w="58" w:type="dxa"/>
            </w:tcMar>
          </w:tcPr>
          <w:p w14:paraId="65B7448A" w14:textId="77777777" w:rsidR="00F96912" w:rsidRPr="00B214CB" w:rsidRDefault="00F96912" w:rsidP="006658D5">
            <w:pPr>
              <w:widowControl w:val="0"/>
              <w:tabs>
                <w:tab w:val="left" w:pos="220"/>
              </w:tabs>
              <w:rPr>
                <w:color w:val="000000"/>
                <w:sz w:val="16"/>
                <w:szCs w:val="16"/>
              </w:rPr>
            </w:pPr>
            <w:r w:rsidRPr="00B214CB">
              <w:rPr>
                <w:color w:val="000000"/>
                <w:sz w:val="16"/>
                <w:szCs w:val="16"/>
              </w:rPr>
              <w:t>70%</w:t>
            </w:r>
          </w:p>
        </w:tc>
        <w:tc>
          <w:tcPr>
            <w:tcW w:w="1309" w:type="pct"/>
            <w:shd w:val="clear" w:color="auto" w:fill="FFFFFF"/>
            <w:tcMar>
              <w:top w:w="110" w:type="dxa"/>
              <w:left w:w="58" w:type="dxa"/>
              <w:right w:w="58" w:type="dxa"/>
            </w:tcMar>
          </w:tcPr>
          <w:p w14:paraId="42CD536D" w14:textId="77777777" w:rsidR="00F96912" w:rsidRPr="00B214CB" w:rsidRDefault="00F96912" w:rsidP="006658D5">
            <w:pPr>
              <w:widowControl w:val="0"/>
              <w:rPr>
                <w:color w:val="000000"/>
                <w:sz w:val="16"/>
                <w:szCs w:val="16"/>
              </w:rPr>
            </w:pPr>
            <w:r w:rsidRPr="00B214CB">
              <w:rPr>
                <w:color w:val="000000"/>
                <w:sz w:val="16"/>
                <w:szCs w:val="16"/>
              </w:rPr>
              <w:t>Pas d’enquête menée en 2016</w:t>
            </w:r>
          </w:p>
        </w:tc>
        <w:tc>
          <w:tcPr>
            <w:tcW w:w="502" w:type="pct"/>
            <w:shd w:val="clear" w:color="auto" w:fill="auto"/>
            <w:tcMar>
              <w:top w:w="110" w:type="dxa"/>
              <w:left w:w="58" w:type="dxa"/>
              <w:right w:w="58" w:type="dxa"/>
            </w:tcMar>
          </w:tcPr>
          <w:p w14:paraId="5A0648A6" w14:textId="77777777" w:rsidR="00F96912" w:rsidRPr="00B214CB" w:rsidRDefault="00F96912" w:rsidP="006658D5">
            <w:pPr>
              <w:widowControl w:val="0"/>
              <w:jc w:val="center"/>
              <w:rPr>
                <w:b/>
                <w:color w:val="000000"/>
                <w:sz w:val="16"/>
                <w:szCs w:val="16"/>
              </w:rPr>
            </w:pPr>
            <w:r w:rsidRPr="00B214CB">
              <w:rPr>
                <w:b/>
                <w:color w:val="A6A6A6" w:themeColor="background1" w:themeShade="A6"/>
                <w:sz w:val="16"/>
                <w:szCs w:val="16"/>
              </w:rPr>
              <w:t>Non évaluable</w:t>
            </w:r>
          </w:p>
        </w:tc>
      </w:tr>
      <w:tr w:rsidR="00F96912" w:rsidRPr="00CD000E" w14:paraId="048F3D49" w14:textId="77777777" w:rsidTr="006658D5">
        <w:tc>
          <w:tcPr>
            <w:tcW w:w="1074" w:type="pct"/>
            <w:shd w:val="clear" w:color="auto" w:fill="auto"/>
            <w:tcMar>
              <w:left w:w="58" w:type="dxa"/>
              <w:right w:w="58" w:type="dxa"/>
            </w:tcMar>
          </w:tcPr>
          <w:p w14:paraId="1D92FEEF" w14:textId="77777777" w:rsidR="00F96912" w:rsidRPr="00B214CB" w:rsidRDefault="00F96912" w:rsidP="006658D5">
            <w:pPr>
              <w:widowControl w:val="0"/>
              <w:rPr>
                <w:color w:val="000000"/>
                <w:sz w:val="16"/>
                <w:szCs w:val="16"/>
              </w:rPr>
            </w:pPr>
            <w:r w:rsidRPr="00B214CB">
              <w:rPr>
                <w:sz w:val="16"/>
                <w:szCs w:val="16"/>
              </w:rPr>
              <w:t>Pourcentage de fonctionnaires ayant connaissance des principes et des politiques de l’OMPI dans le domaine éthique</w:t>
            </w:r>
          </w:p>
        </w:tc>
        <w:tc>
          <w:tcPr>
            <w:tcW w:w="1416" w:type="pct"/>
            <w:shd w:val="clear" w:color="auto" w:fill="auto"/>
            <w:tcMar>
              <w:left w:w="58" w:type="dxa"/>
              <w:right w:w="58" w:type="dxa"/>
            </w:tcMar>
          </w:tcPr>
          <w:p w14:paraId="2B4AC67B" w14:textId="77777777" w:rsidR="00F96912" w:rsidRPr="00B214CB" w:rsidRDefault="00F96912" w:rsidP="006658D5">
            <w:pPr>
              <w:widowControl w:val="0"/>
              <w:rPr>
                <w:i/>
                <w:color w:val="002060"/>
                <w:sz w:val="16"/>
                <w:szCs w:val="16"/>
              </w:rPr>
            </w:pPr>
            <w:r w:rsidRPr="00B214CB">
              <w:rPr>
                <w:i/>
                <w:color w:val="002060"/>
                <w:sz w:val="16"/>
                <w:szCs w:val="16"/>
              </w:rPr>
              <w:t>Niveau de référence actualisé à fin</w:t>
            </w:r>
            <w:r>
              <w:rPr>
                <w:i/>
                <w:color w:val="002060"/>
                <w:sz w:val="16"/>
                <w:szCs w:val="16"/>
              </w:rPr>
              <w:t> </w:t>
            </w:r>
            <w:r w:rsidRPr="00B214CB">
              <w:rPr>
                <w:i/>
                <w:color w:val="002060"/>
                <w:sz w:val="16"/>
                <w:szCs w:val="16"/>
              </w:rPr>
              <w:t>2015 :</w:t>
            </w:r>
          </w:p>
          <w:p w14:paraId="6EAD243D" w14:textId="77777777" w:rsidR="00F96912" w:rsidRPr="00B214CB" w:rsidRDefault="00F96912" w:rsidP="006658D5">
            <w:pPr>
              <w:widowControl w:val="0"/>
              <w:rPr>
                <w:rFonts w:eastAsia="SimSun"/>
                <w:color w:val="002060"/>
                <w:sz w:val="16"/>
                <w:szCs w:val="16"/>
                <w:lang w:eastAsia="zh-CN"/>
              </w:rPr>
            </w:pPr>
            <w:r w:rsidRPr="00B214CB">
              <w:rPr>
                <w:rFonts w:eastAsia="SimSun"/>
                <w:color w:val="002060"/>
                <w:sz w:val="16"/>
                <w:szCs w:val="16"/>
                <w:lang w:eastAsia="zh-CN"/>
              </w:rPr>
              <w:t>L’enquête auprès du personnel prévue pour l’exercice biennal n’a pas été menée.</w:t>
            </w:r>
          </w:p>
          <w:p w14:paraId="035423E9" w14:textId="77777777" w:rsidR="00F96912" w:rsidRPr="00B214CB" w:rsidRDefault="00F96912" w:rsidP="006658D5">
            <w:pPr>
              <w:widowControl w:val="0"/>
              <w:rPr>
                <w:color w:val="000000"/>
                <w:sz w:val="16"/>
                <w:szCs w:val="16"/>
              </w:rPr>
            </w:pPr>
          </w:p>
          <w:p w14:paraId="4DF25CC3" w14:textId="77777777" w:rsidR="00F96912" w:rsidRPr="00B214CB" w:rsidRDefault="00F96912" w:rsidP="006658D5">
            <w:pPr>
              <w:widowControl w:val="0"/>
              <w:rPr>
                <w:i/>
                <w:sz w:val="16"/>
                <w:szCs w:val="16"/>
                <w:lang w:bidi="th-TH"/>
              </w:rPr>
            </w:pPr>
            <w:r w:rsidRPr="00B214CB">
              <w:rPr>
                <w:i/>
                <w:sz w:val="16"/>
                <w:szCs w:val="16"/>
                <w:lang w:bidi="th-TH"/>
              </w:rPr>
              <w:t>Niveau de référence initial dans le programme et budget 2016</w:t>
            </w:r>
            <w:r w:rsidRPr="00B214CB">
              <w:rPr>
                <w:i/>
                <w:sz w:val="16"/>
                <w:szCs w:val="16"/>
                <w:lang w:bidi="th-TH"/>
              </w:rPr>
              <w:noBreakHyphen/>
              <w:t>2017 :</w:t>
            </w:r>
          </w:p>
          <w:p w14:paraId="65DD8ABE" w14:textId="77777777" w:rsidR="00F96912" w:rsidRPr="00B214CB" w:rsidRDefault="00F96912" w:rsidP="006658D5">
            <w:pPr>
              <w:widowControl w:val="0"/>
              <w:rPr>
                <w:color w:val="000000"/>
                <w:sz w:val="16"/>
                <w:szCs w:val="16"/>
              </w:rPr>
            </w:pPr>
            <w:r w:rsidRPr="00B214CB">
              <w:rPr>
                <w:sz w:val="16"/>
                <w:szCs w:val="16"/>
              </w:rPr>
              <w:t>98% selon l’enquête sur les valeurs essentielles du PRS (menée en 2013).  Une autre enquête est prévue en 2015.</w:t>
            </w:r>
          </w:p>
        </w:tc>
        <w:tc>
          <w:tcPr>
            <w:tcW w:w="699" w:type="pct"/>
            <w:shd w:val="clear" w:color="auto" w:fill="auto"/>
            <w:tcMar>
              <w:top w:w="110" w:type="dxa"/>
              <w:left w:w="58" w:type="dxa"/>
              <w:right w:w="58" w:type="dxa"/>
            </w:tcMar>
          </w:tcPr>
          <w:p w14:paraId="7F208D10" w14:textId="77777777" w:rsidR="00F96912" w:rsidRPr="00B214CB" w:rsidRDefault="00F96912" w:rsidP="006658D5">
            <w:pPr>
              <w:widowControl w:val="0"/>
              <w:tabs>
                <w:tab w:val="left" w:pos="220"/>
              </w:tabs>
              <w:rPr>
                <w:color w:val="000000"/>
                <w:sz w:val="16"/>
                <w:szCs w:val="16"/>
              </w:rPr>
            </w:pPr>
            <w:r w:rsidRPr="00B214CB">
              <w:rPr>
                <w:color w:val="000000"/>
                <w:sz w:val="16"/>
                <w:szCs w:val="16"/>
              </w:rPr>
              <w:t>95%</w:t>
            </w:r>
          </w:p>
        </w:tc>
        <w:tc>
          <w:tcPr>
            <w:tcW w:w="1309" w:type="pct"/>
            <w:shd w:val="clear" w:color="auto" w:fill="FFFFFF"/>
            <w:tcMar>
              <w:top w:w="110" w:type="dxa"/>
              <w:left w:w="58" w:type="dxa"/>
              <w:right w:w="58" w:type="dxa"/>
            </w:tcMar>
          </w:tcPr>
          <w:p w14:paraId="1ED08A30" w14:textId="77777777" w:rsidR="00F96912" w:rsidRPr="00B214CB" w:rsidRDefault="00F96912" w:rsidP="006658D5">
            <w:pPr>
              <w:widowControl w:val="0"/>
              <w:rPr>
                <w:color w:val="000000"/>
                <w:sz w:val="16"/>
                <w:szCs w:val="16"/>
              </w:rPr>
            </w:pPr>
            <w:r w:rsidRPr="00B214CB">
              <w:rPr>
                <w:color w:val="000000"/>
                <w:sz w:val="16"/>
                <w:szCs w:val="16"/>
              </w:rPr>
              <w:t>86% (enquête 2016 du Bureau de la déontologie)</w:t>
            </w:r>
          </w:p>
        </w:tc>
        <w:tc>
          <w:tcPr>
            <w:tcW w:w="502" w:type="pct"/>
            <w:shd w:val="clear" w:color="auto" w:fill="auto"/>
            <w:tcMar>
              <w:top w:w="110" w:type="dxa"/>
              <w:left w:w="58" w:type="dxa"/>
              <w:right w:w="58" w:type="dxa"/>
            </w:tcMar>
          </w:tcPr>
          <w:p w14:paraId="41521227" w14:textId="77777777" w:rsidR="00F96912" w:rsidRPr="00CD000E" w:rsidRDefault="00F96912" w:rsidP="006658D5">
            <w:pPr>
              <w:widowControl w:val="0"/>
              <w:jc w:val="center"/>
              <w:rPr>
                <w:color w:val="000000"/>
                <w:sz w:val="16"/>
                <w:szCs w:val="16"/>
              </w:rPr>
            </w:pPr>
            <w:r w:rsidRPr="00B214CB">
              <w:rPr>
                <w:rFonts w:eastAsia="SimSun"/>
                <w:b/>
                <w:color w:val="00B050"/>
                <w:sz w:val="16"/>
                <w:szCs w:val="16"/>
                <w:lang w:eastAsia="zh-CN"/>
              </w:rPr>
              <w:t>En bonne voie</w:t>
            </w:r>
          </w:p>
        </w:tc>
      </w:tr>
    </w:tbl>
    <w:p w14:paraId="062EC834" w14:textId="77777777" w:rsidR="00F96912" w:rsidRPr="00CD000E" w:rsidRDefault="00F96912" w:rsidP="00F96912">
      <w:pPr>
        <w:rPr>
          <w:color w:val="000000"/>
        </w:rPr>
      </w:pPr>
    </w:p>
    <w:p w14:paraId="4BC32C96" w14:textId="77777777" w:rsidR="00F96912" w:rsidRPr="00CD000E" w:rsidRDefault="00F96912" w:rsidP="00F96912">
      <w:pPr>
        <w:rPr>
          <w:color w:val="00000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1C57679B" w14:textId="77777777" w:rsidTr="006658D5">
        <w:trPr>
          <w:trHeight w:val="425"/>
          <w:jc w:val="center"/>
        </w:trPr>
        <w:tc>
          <w:tcPr>
            <w:tcW w:w="9571" w:type="dxa"/>
            <w:shd w:val="clear" w:color="auto" w:fill="C6D9F1" w:themeFill="text2" w:themeFillTint="33"/>
            <w:vAlign w:val="center"/>
          </w:tcPr>
          <w:p w14:paraId="19924B17" w14:textId="77777777" w:rsidR="00F96912" w:rsidRPr="00CD000E" w:rsidRDefault="00F96912" w:rsidP="006658D5">
            <w:pPr>
              <w:keepNext/>
              <w:keepLines/>
              <w:jc w:val="center"/>
              <w:rPr>
                <w:b/>
                <w:color w:val="000000"/>
              </w:rPr>
            </w:pPr>
            <w:r w:rsidRPr="00CD000E">
              <w:br w:type="page"/>
            </w:r>
            <w:r w:rsidRPr="00CD000E">
              <w:rPr>
                <w:b/>
                <w:color w:val="000000"/>
              </w:rPr>
              <w:t>Utilisation des ressources au titre du programme 21</w:t>
            </w:r>
          </w:p>
        </w:tc>
      </w:tr>
    </w:tbl>
    <w:p w14:paraId="602E6C44" w14:textId="77777777" w:rsidR="00F96912" w:rsidRPr="00CD000E" w:rsidRDefault="00F96912" w:rsidP="00F96912">
      <w:pPr>
        <w:keepNext/>
        <w:keepLines/>
        <w:rPr>
          <w:color w:val="000000"/>
        </w:rPr>
      </w:pPr>
    </w:p>
    <w:p w14:paraId="6FFC4710" w14:textId="77777777" w:rsidR="00F96912" w:rsidRPr="00CD000E" w:rsidRDefault="00F96912" w:rsidP="00F96912">
      <w:pPr>
        <w:pStyle w:val="NormalWeb"/>
        <w:keepNext/>
        <w:keepLines/>
        <w:spacing w:before="0" w:beforeAutospacing="0" w:after="0" w:afterAutospacing="0"/>
        <w:jc w:val="center"/>
      </w:pPr>
      <w:r w:rsidRPr="00CD000E">
        <w:rPr>
          <w:color w:val="000000"/>
        </w:rPr>
        <w:t>Budget et dépenses effectives (par résultat)</w:t>
      </w:r>
    </w:p>
    <w:p w14:paraId="3C3F3343"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5F9E7452" w14:textId="77777777" w:rsidR="00F96912" w:rsidRPr="00CD000E" w:rsidRDefault="00F96912" w:rsidP="00F96912">
      <w:pPr>
        <w:keepNext/>
        <w:keepLines/>
        <w:rPr>
          <w:color w:val="000000"/>
        </w:rPr>
      </w:pPr>
    </w:p>
    <w:tbl>
      <w:tblPr>
        <w:tblW w:w="4300" w:type="pct"/>
        <w:jc w:val="center"/>
        <w:tblCellMar>
          <w:top w:w="57" w:type="dxa"/>
          <w:bottom w:w="57" w:type="dxa"/>
        </w:tblCellMar>
        <w:tblLook w:val="04A0" w:firstRow="1" w:lastRow="0" w:firstColumn="1" w:lastColumn="0" w:noHBand="0" w:noVBand="1"/>
      </w:tblPr>
      <w:tblGrid>
        <w:gridCol w:w="622"/>
        <w:gridCol w:w="4154"/>
        <w:gridCol w:w="1550"/>
        <w:gridCol w:w="1550"/>
        <w:gridCol w:w="1411"/>
      </w:tblGrid>
      <w:tr w:rsidR="00F96912" w:rsidRPr="00CD000E" w14:paraId="41BAD92D" w14:textId="77777777" w:rsidTr="006658D5">
        <w:trPr>
          <w:jc w:val="center"/>
        </w:trPr>
        <w:tc>
          <w:tcPr>
            <w:tcW w:w="4866" w:type="dxa"/>
            <w:gridSpan w:val="2"/>
            <w:tcBorders>
              <w:top w:val="nil"/>
              <w:left w:val="nil"/>
              <w:bottom w:val="nil"/>
              <w:right w:val="nil"/>
            </w:tcBorders>
            <w:shd w:val="clear" w:color="000000" w:fill="C5D9F1"/>
            <w:noWrap/>
            <w:vAlign w:val="center"/>
            <w:hideMark/>
          </w:tcPr>
          <w:p w14:paraId="5CE1459B" w14:textId="77777777" w:rsidR="00F96912" w:rsidRPr="00CD000E" w:rsidRDefault="00F96912" w:rsidP="006658D5">
            <w:pPr>
              <w:keepNext/>
              <w:keepLines/>
              <w:jc w:val="center"/>
              <w:rPr>
                <w:b/>
                <w:bCs/>
                <w:sz w:val="16"/>
                <w:szCs w:val="16"/>
              </w:rPr>
            </w:pPr>
            <w:r w:rsidRPr="00CD000E">
              <w:rPr>
                <w:b/>
                <w:bCs/>
                <w:sz w:val="16"/>
                <w:szCs w:val="16"/>
              </w:rPr>
              <w:t>Numéro et description du résultat escompté</w:t>
            </w:r>
          </w:p>
        </w:tc>
        <w:tc>
          <w:tcPr>
            <w:tcW w:w="1153" w:type="dxa"/>
            <w:tcBorders>
              <w:top w:val="nil"/>
              <w:left w:val="nil"/>
              <w:bottom w:val="nil"/>
              <w:right w:val="nil"/>
            </w:tcBorders>
            <w:shd w:val="clear" w:color="000000" w:fill="C5D9F1"/>
            <w:vAlign w:val="center"/>
            <w:hideMark/>
          </w:tcPr>
          <w:p w14:paraId="493820A7" w14:textId="77777777" w:rsidR="00F96912" w:rsidRPr="00CD000E" w:rsidRDefault="00F96912" w:rsidP="006658D5">
            <w:pPr>
              <w:keepNext/>
              <w:keepLines/>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52" w:type="dxa"/>
            <w:tcBorders>
              <w:top w:val="nil"/>
              <w:left w:val="nil"/>
              <w:bottom w:val="nil"/>
              <w:right w:val="nil"/>
            </w:tcBorders>
            <w:shd w:val="clear" w:color="000000" w:fill="C5D9F1"/>
            <w:vAlign w:val="center"/>
            <w:hideMark/>
          </w:tcPr>
          <w:p w14:paraId="09497C3D" w14:textId="77777777" w:rsidR="00F96912" w:rsidRPr="00CD000E" w:rsidRDefault="00F96912" w:rsidP="006658D5">
            <w:pPr>
              <w:keepNext/>
              <w:keepLines/>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69" w:type="dxa"/>
            <w:tcBorders>
              <w:top w:val="nil"/>
              <w:left w:val="nil"/>
              <w:bottom w:val="nil"/>
              <w:right w:val="nil"/>
            </w:tcBorders>
            <w:shd w:val="clear" w:color="000000" w:fill="C5D9F1"/>
            <w:vAlign w:val="center"/>
            <w:hideMark/>
          </w:tcPr>
          <w:p w14:paraId="632FF445" w14:textId="77777777" w:rsidR="00F96912" w:rsidRPr="00CD000E" w:rsidRDefault="00F96912" w:rsidP="006658D5">
            <w:pPr>
              <w:keepNext/>
              <w:keepLines/>
              <w:jc w:val="center"/>
              <w:rPr>
                <w:b/>
                <w:bCs/>
                <w:sz w:val="16"/>
                <w:szCs w:val="16"/>
              </w:rPr>
            </w:pPr>
            <w:r>
              <w:rPr>
                <w:b/>
                <w:bCs/>
                <w:sz w:val="16"/>
                <w:szCs w:val="16"/>
              </w:rPr>
              <w:t>Dépenses </w:t>
            </w:r>
            <w:r w:rsidRPr="00CD000E">
              <w:rPr>
                <w:b/>
                <w:bCs/>
                <w:sz w:val="16"/>
                <w:szCs w:val="16"/>
              </w:rPr>
              <w:t>2016*</w:t>
            </w:r>
          </w:p>
        </w:tc>
      </w:tr>
      <w:tr w:rsidR="00F96912" w:rsidRPr="00CD000E" w14:paraId="48351BB5" w14:textId="77777777" w:rsidTr="006658D5">
        <w:trPr>
          <w:jc w:val="center"/>
        </w:trPr>
        <w:tc>
          <w:tcPr>
            <w:tcW w:w="631" w:type="dxa"/>
            <w:tcBorders>
              <w:top w:val="nil"/>
              <w:left w:val="nil"/>
              <w:bottom w:val="nil"/>
              <w:right w:val="nil"/>
            </w:tcBorders>
            <w:shd w:val="clear" w:color="auto" w:fill="auto"/>
            <w:noWrap/>
            <w:vAlign w:val="center"/>
            <w:hideMark/>
          </w:tcPr>
          <w:p w14:paraId="382A7295" w14:textId="77777777" w:rsidR="00F96912" w:rsidRPr="00CD000E" w:rsidRDefault="00F96912" w:rsidP="006658D5">
            <w:pPr>
              <w:keepNext/>
              <w:keepLines/>
              <w:rPr>
                <w:sz w:val="16"/>
                <w:szCs w:val="16"/>
              </w:rPr>
            </w:pPr>
            <w:r w:rsidRPr="00CD000E">
              <w:rPr>
                <w:sz w:val="16"/>
                <w:szCs w:val="16"/>
              </w:rPr>
              <w:t>IV.2</w:t>
            </w:r>
          </w:p>
        </w:tc>
        <w:tc>
          <w:tcPr>
            <w:tcW w:w="4235" w:type="dxa"/>
            <w:tcBorders>
              <w:top w:val="nil"/>
              <w:left w:val="nil"/>
              <w:bottom w:val="nil"/>
              <w:right w:val="nil"/>
            </w:tcBorders>
            <w:shd w:val="clear" w:color="auto" w:fill="auto"/>
            <w:vAlign w:val="center"/>
            <w:hideMark/>
          </w:tcPr>
          <w:p w14:paraId="4F7A92CC" w14:textId="77777777" w:rsidR="00F96912" w:rsidRPr="00CD000E" w:rsidRDefault="00F96912" w:rsidP="006658D5">
            <w:pPr>
              <w:keepNext/>
              <w:keepLines/>
              <w:rPr>
                <w:sz w:val="16"/>
                <w:szCs w:val="16"/>
              </w:rPr>
            </w:pPr>
            <w:r w:rsidRPr="00CD000E">
              <w:rPr>
                <w:sz w:val="16"/>
                <w:szCs w:val="16"/>
              </w:rPr>
              <w:t>Amélioration de l’accessibilité et de l’utilisation de l’information en matière de propriété intellectuelle par les institutions compétentes et le public afin de promouvoir l’innovation et la créativité</w:t>
            </w:r>
          </w:p>
        </w:tc>
        <w:tc>
          <w:tcPr>
            <w:tcW w:w="1153" w:type="dxa"/>
            <w:tcBorders>
              <w:top w:val="nil"/>
              <w:left w:val="nil"/>
              <w:bottom w:val="nil"/>
              <w:right w:val="nil"/>
            </w:tcBorders>
            <w:shd w:val="clear" w:color="auto" w:fill="auto"/>
            <w:noWrap/>
            <w:vAlign w:val="center"/>
            <w:hideMark/>
          </w:tcPr>
          <w:p w14:paraId="2C5E7FB1" w14:textId="77777777" w:rsidR="00F96912" w:rsidRPr="00CD000E" w:rsidRDefault="00F96912" w:rsidP="006658D5">
            <w:pPr>
              <w:keepNext/>
              <w:keepLines/>
              <w:jc w:val="center"/>
              <w:rPr>
                <w:color w:val="000000"/>
                <w:sz w:val="16"/>
                <w:szCs w:val="16"/>
              </w:rPr>
            </w:pPr>
            <w:r w:rsidRPr="00CD000E">
              <w:rPr>
                <w:color w:val="000000"/>
                <w:sz w:val="16"/>
                <w:szCs w:val="16"/>
              </w:rPr>
              <w:t>2 357</w:t>
            </w:r>
          </w:p>
        </w:tc>
        <w:tc>
          <w:tcPr>
            <w:tcW w:w="1152" w:type="dxa"/>
            <w:tcBorders>
              <w:top w:val="nil"/>
              <w:left w:val="nil"/>
              <w:bottom w:val="nil"/>
              <w:right w:val="nil"/>
            </w:tcBorders>
            <w:shd w:val="clear" w:color="auto" w:fill="auto"/>
            <w:noWrap/>
            <w:vAlign w:val="center"/>
            <w:hideMark/>
          </w:tcPr>
          <w:p w14:paraId="40556C23" w14:textId="77777777" w:rsidR="00F96912" w:rsidRPr="00CD000E" w:rsidRDefault="00F96912" w:rsidP="006658D5">
            <w:pPr>
              <w:keepNext/>
              <w:keepLines/>
              <w:jc w:val="center"/>
              <w:rPr>
                <w:color w:val="000000"/>
                <w:sz w:val="16"/>
                <w:szCs w:val="16"/>
              </w:rPr>
            </w:pPr>
            <w:r w:rsidRPr="00CD000E">
              <w:rPr>
                <w:color w:val="000000"/>
                <w:sz w:val="16"/>
                <w:szCs w:val="16"/>
              </w:rPr>
              <w:t>265</w:t>
            </w:r>
          </w:p>
        </w:tc>
        <w:tc>
          <w:tcPr>
            <w:tcW w:w="1169" w:type="dxa"/>
            <w:tcBorders>
              <w:top w:val="nil"/>
              <w:left w:val="nil"/>
              <w:bottom w:val="nil"/>
              <w:right w:val="nil"/>
            </w:tcBorders>
            <w:shd w:val="clear" w:color="auto" w:fill="auto"/>
            <w:noWrap/>
            <w:vAlign w:val="center"/>
            <w:hideMark/>
          </w:tcPr>
          <w:p w14:paraId="28225574" w14:textId="77777777" w:rsidR="00F96912" w:rsidRPr="00CD000E" w:rsidRDefault="00F96912" w:rsidP="006658D5">
            <w:pPr>
              <w:keepNext/>
              <w:keepLines/>
              <w:jc w:val="center"/>
              <w:rPr>
                <w:color w:val="000000"/>
                <w:sz w:val="16"/>
                <w:szCs w:val="16"/>
              </w:rPr>
            </w:pPr>
            <w:r w:rsidRPr="00CD000E">
              <w:rPr>
                <w:color w:val="000000"/>
                <w:sz w:val="16"/>
                <w:szCs w:val="16"/>
              </w:rPr>
              <w:t>271</w:t>
            </w:r>
          </w:p>
        </w:tc>
      </w:tr>
      <w:tr w:rsidR="00F96912" w:rsidRPr="00CD000E" w14:paraId="34DB7406" w14:textId="77777777" w:rsidTr="006658D5">
        <w:trPr>
          <w:jc w:val="center"/>
        </w:trPr>
        <w:tc>
          <w:tcPr>
            <w:tcW w:w="631" w:type="dxa"/>
            <w:tcBorders>
              <w:top w:val="nil"/>
              <w:left w:val="nil"/>
              <w:bottom w:val="nil"/>
              <w:right w:val="nil"/>
            </w:tcBorders>
            <w:shd w:val="clear" w:color="auto" w:fill="auto"/>
            <w:noWrap/>
            <w:vAlign w:val="center"/>
            <w:hideMark/>
          </w:tcPr>
          <w:p w14:paraId="3874BD0E" w14:textId="77777777" w:rsidR="00F96912" w:rsidRPr="00CD000E" w:rsidRDefault="00F96912" w:rsidP="006658D5">
            <w:pPr>
              <w:keepNext/>
              <w:keepLines/>
              <w:rPr>
                <w:sz w:val="16"/>
                <w:szCs w:val="16"/>
              </w:rPr>
            </w:pPr>
            <w:r w:rsidRPr="00CD000E">
              <w:rPr>
                <w:sz w:val="16"/>
                <w:szCs w:val="16"/>
              </w:rPr>
              <w:t>VIII.1</w:t>
            </w:r>
          </w:p>
        </w:tc>
        <w:tc>
          <w:tcPr>
            <w:tcW w:w="4235" w:type="dxa"/>
            <w:tcBorders>
              <w:top w:val="nil"/>
              <w:left w:val="nil"/>
              <w:bottom w:val="nil"/>
              <w:right w:val="nil"/>
            </w:tcBorders>
            <w:shd w:val="clear" w:color="auto" w:fill="auto"/>
            <w:vAlign w:val="center"/>
            <w:hideMark/>
          </w:tcPr>
          <w:p w14:paraId="718594CE" w14:textId="77777777" w:rsidR="00F96912" w:rsidRPr="00CD000E" w:rsidRDefault="00F96912" w:rsidP="006658D5">
            <w:pPr>
              <w:keepNext/>
              <w:keepLines/>
              <w:rPr>
                <w:sz w:val="16"/>
                <w:szCs w:val="16"/>
              </w:rPr>
            </w:pPr>
            <w:r w:rsidRPr="00CD000E">
              <w:rPr>
                <w:sz w:val="16"/>
                <w:szCs w:val="16"/>
              </w:rPr>
              <w:t>Communication plus efficace avec le grand public concernant la propriété intellectuelle et le rôle de l’OMPI</w:t>
            </w:r>
          </w:p>
        </w:tc>
        <w:tc>
          <w:tcPr>
            <w:tcW w:w="1153" w:type="dxa"/>
            <w:tcBorders>
              <w:top w:val="nil"/>
              <w:left w:val="nil"/>
              <w:bottom w:val="nil"/>
              <w:right w:val="nil"/>
            </w:tcBorders>
            <w:shd w:val="clear" w:color="auto" w:fill="auto"/>
            <w:noWrap/>
            <w:vAlign w:val="center"/>
            <w:hideMark/>
          </w:tcPr>
          <w:p w14:paraId="2CAA910F" w14:textId="77777777" w:rsidR="00F96912" w:rsidRPr="00CD000E" w:rsidRDefault="00F96912" w:rsidP="006658D5">
            <w:pPr>
              <w:keepNext/>
              <w:keepLines/>
              <w:jc w:val="center"/>
              <w:rPr>
                <w:color w:val="000000"/>
                <w:sz w:val="16"/>
                <w:szCs w:val="16"/>
              </w:rPr>
            </w:pPr>
            <w:r w:rsidRPr="00CD000E">
              <w:rPr>
                <w:color w:val="000000"/>
                <w:sz w:val="16"/>
                <w:szCs w:val="16"/>
              </w:rPr>
              <w:t>0</w:t>
            </w:r>
          </w:p>
        </w:tc>
        <w:tc>
          <w:tcPr>
            <w:tcW w:w="1152" w:type="dxa"/>
            <w:tcBorders>
              <w:top w:val="nil"/>
              <w:left w:val="nil"/>
              <w:bottom w:val="nil"/>
              <w:right w:val="nil"/>
            </w:tcBorders>
            <w:shd w:val="clear" w:color="auto" w:fill="auto"/>
            <w:noWrap/>
            <w:vAlign w:val="center"/>
            <w:hideMark/>
          </w:tcPr>
          <w:p w14:paraId="268BA76B" w14:textId="77777777" w:rsidR="00F96912" w:rsidRPr="00CD000E" w:rsidRDefault="00F96912" w:rsidP="006658D5">
            <w:pPr>
              <w:keepNext/>
              <w:keepLines/>
              <w:jc w:val="center"/>
              <w:rPr>
                <w:color w:val="000000"/>
                <w:sz w:val="16"/>
                <w:szCs w:val="16"/>
              </w:rPr>
            </w:pPr>
            <w:r w:rsidRPr="00CD000E">
              <w:rPr>
                <w:color w:val="000000"/>
                <w:sz w:val="16"/>
                <w:szCs w:val="16"/>
              </w:rPr>
              <w:t>109</w:t>
            </w:r>
          </w:p>
        </w:tc>
        <w:tc>
          <w:tcPr>
            <w:tcW w:w="1169" w:type="dxa"/>
            <w:tcBorders>
              <w:top w:val="nil"/>
              <w:left w:val="nil"/>
              <w:bottom w:val="nil"/>
              <w:right w:val="nil"/>
            </w:tcBorders>
            <w:shd w:val="clear" w:color="auto" w:fill="auto"/>
            <w:noWrap/>
            <w:vAlign w:val="center"/>
            <w:hideMark/>
          </w:tcPr>
          <w:p w14:paraId="56A28BD6" w14:textId="77777777" w:rsidR="00F96912" w:rsidRPr="00CD000E" w:rsidRDefault="00F96912" w:rsidP="006658D5">
            <w:pPr>
              <w:keepNext/>
              <w:keepLines/>
              <w:jc w:val="center"/>
              <w:rPr>
                <w:color w:val="000000"/>
                <w:sz w:val="16"/>
                <w:szCs w:val="16"/>
              </w:rPr>
            </w:pPr>
            <w:r w:rsidRPr="00CD000E">
              <w:rPr>
                <w:color w:val="000000"/>
                <w:sz w:val="16"/>
                <w:szCs w:val="16"/>
              </w:rPr>
              <w:t>15</w:t>
            </w:r>
          </w:p>
        </w:tc>
      </w:tr>
      <w:tr w:rsidR="00F96912" w:rsidRPr="00CD000E" w14:paraId="4B791442" w14:textId="77777777" w:rsidTr="006658D5">
        <w:trPr>
          <w:jc w:val="center"/>
        </w:trPr>
        <w:tc>
          <w:tcPr>
            <w:tcW w:w="631" w:type="dxa"/>
            <w:tcBorders>
              <w:top w:val="nil"/>
              <w:left w:val="nil"/>
              <w:bottom w:val="nil"/>
              <w:right w:val="nil"/>
            </w:tcBorders>
            <w:shd w:val="clear" w:color="auto" w:fill="auto"/>
            <w:noWrap/>
            <w:vAlign w:val="center"/>
            <w:hideMark/>
          </w:tcPr>
          <w:p w14:paraId="61FED781" w14:textId="77777777" w:rsidR="00F96912" w:rsidRPr="00CD000E" w:rsidRDefault="00F96912" w:rsidP="006658D5">
            <w:pPr>
              <w:keepNext/>
              <w:keepLines/>
              <w:rPr>
                <w:sz w:val="16"/>
                <w:szCs w:val="16"/>
              </w:rPr>
            </w:pPr>
            <w:r w:rsidRPr="00CD000E">
              <w:rPr>
                <w:sz w:val="16"/>
                <w:szCs w:val="16"/>
              </w:rPr>
              <w:t>VIII.3</w:t>
            </w:r>
          </w:p>
        </w:tc>
        <w:tc>
          <w:tcPr>
            <w:tcW w:w="4235" w:type="dxa"/>
            <w:tcBorders>
              <w:top w:val="nil"/>
              <w:left w:val="nil"/>
              <w:bottom w:val="nil"/>
              <w:right w:val="nil"/>
            </w:tcBorders>
            <w:shd w:val="clear" w:color="auto" w:fill="auto"/>
            <w:vAlign w:val="center"/>
            <w:hideMark/>
          </w:tcPr>
          <w:p w14:paraId="089E5B17" w14:textId="77777777" w:rsidR="00F96912" w:rsidRPr="00CD000E" w:rsidRDefault="00F96912" w:rsidP="006658D5">
            <w:pPr>
              <w:keepNext/>
              <w:keepLines/>
              <w:rPr>
                <w:sz w:val="16"/>
                <w:szCs w:val="16"/>
              </w:rPr>
            </w:pPr>
            <w:r w:rsidRPr="00CD000E">
              <w:rPr>
                <w:sz w:val="16"/>
                <w:szCs w:val="16"/>
              </w:rPr>
              <w:t>Engagement réel auprès des États membres</w:t>
            </w:r>
          </w:p>
        </w:tc>
        <w:tc>
          <w:tcPr>
            <w:tcW w:w="1153" w:type="dxa"/>
            <w:tcBorders>
              <w:top w:val="nil"/>
              <w:left w:val="nil"/>
              <w:bottom w:val="nil"/>
              <w:right w:val="nil"/>
            </w:tcBorders>
            <w:shd w:val="clear" w:color="auto" w:fill="auto"/>
            <w:noWrap/>
            <w:vAlign w:val="center"/>
            <w:hideMark/>
          </w:tcPr>
          <w:p w14:paraId="3E19320F" w14:textId="77777777" w:rsidR="00F96912" w:rsidRPr="00CD000E" w:rsidRDefault="00F96912" w:rsidP="006658D5">
            <w:pPr>
              <w:keepNext/>
              <w:keepLines/>
              <w:jc w:val="center"/>
              <w:rPr>
                <w:color w:val="000000"/>
                <w:sz w:val="16"/>
                <w:szCs w:val="16"/>
              </w:rPr>
            </w:pPr>
            <w:r w:rsidRPr="00CD000E">
              <w:rPr>
                <w:color w:val="000000"/>
                <w:sz w:val="16"/>
                <w:szCs w:val="16"/>
              </w:rPr>
              <w:t>7 099</w:t>
            </w:r>
          </w:p>
        </w:tc>
        <w:tc>
          <w:tcPr>
            <w:tcW w:w="1152" w:type="dxa"/>
            <w:tcBorders>
              <w:top w:val="nil"/>
              <w:left w:val="nil"/>
              <w:bottom w:val="nil"/>
              <w:right w:val="nil"/>
            </w:tcBorders>
            <w:shd w:val="clear" w:color="auto" w:fill="auto"/>
            <w:noWrap/>
            <w:vAlign w:val="center"/>
            <w:hideMark/>
          </w:tcPr>
          <w:p w14:paraId="67A245D5" w14:textId="77777777" w:rsidR="00F96912" w:rsidRPr="00CD000E" w:rsidRDefault="00F96912" w:rsidP="006658D5">
            <w:pPr>
              <w:keepNext/>
              <w:keepLines/>
              <w:jc w:val="center"/>
              <w:rPr>
                <w:color w:val="000000"/>
                <w:sz w:val="16"/>
                <w:szCs w:val="16"/>
              </w:rPr>
            </w:pPr>
            <w:r w:rsidRPr="00CD000E">
              <w:rPr>
                <w:color w:val="000000"/>
                <w:sz w:val="16"/>
                <w:szCs w:val="16"/>
              </w:rPr>
              <w:t>7 040</w:t>
            </w:r>
          </w:p>
        </w:tc>
        <w:tc>
          <w:tcPr>
            <w:tcW w:w="1169" w:type="dxa"/>
            <w:tcBorders>
              <w:top w:val="nil"/>
              <w:left w:val="nil"/>
              <w:bottom w:val="nil"/>
              <w:right w:val="nil"/>
            </w:tcBorders>
            <w:shd w:val="clear" w:color="auto" w:fill="auto"/>
            <w:noWrap/>
            <w:vAlign w:val="center"/>
            <w:hideMark/>
          </w:tcPr>
          <w:p w14:paraId="575DFB28" w14:textId="77777777" w:rsidR="00F96912" w:rsidRPr="00CD000E" w:rsidRDefault="00F96912" w:rsidP="006658D5">
            <w:pPr>
              <w:keepNext/>
              <w:keepLines/>
              <w:jc w:val="center"/>
              <w:rPr>
                <w:color w:val="000000"/>
                <w:sz w:val="16"/>
                <w:szCs w:val="16"/>
              </w:rPr>
            </w:pPr>
            <w:r w:rsidRPr="00CD000E">
              <w:rPr>
                <w:color w:val="000000"/>
                <w:sz w:val="16"/>
                <w:szCs w:val="16"/>
              </w:rPr>
              <w:t>3 459</w:t>
            </w:r>
          </w:p>
        </w:tc>
      </w:tr>
      <w:tr w:rsidR="00F96912" w:rsidRPr="00CD000E" w14:paraId="1E3A5B4B" w14:textId="77777777" w:rsidTr="006658D5">
        <w:trPr>
          <w:jc w:val="center"/>
        </w:trPr>
        <w:tc>
          <w:tcPr>
            <w:tcW w:w="631" w:type="dxa"/>
            <w:tcBorders>
              <w:top w:val="nil"/>
              <w:left w:val="nil"/>
              <w:bottom w:val="nil"/>
              <w:right w:val="nil"/>
            </w:tcBorders>
            <w:shd w:val="clear" w:color="auto" w:fill="auto"/>
            <w:noWrap/>
            <w:vAlign w:val="center"/>
            <w:hideMark/>
          </w:tcPr>
          <w:p w14:paraId="7F0B02F0" w14:textId="77777777" w:rsidR="00F96912" w:rsidRPr="00CD000E" w:rsidRDefault="00F96912" w:rsidP="006658D5">
            <w:pPr>
              <w:keepNext/>
              <w:keepLines/>
              <w:rPr>
                <w:sz w:val="16"/>
                <w:szCs w:val="16"/>
              </w:rPr>
            </w:pPr>
            <w:r w:rsidRPr="00CD000E">
              <w:rPr>
                <w:sz w:val="16"/>
                <w:szCs w:val="16"/>
              </w:rPr>
              <w:t>VIII.4</w:t>
            </w:r>
          </w:p>
        </w:tc>
        <w:tc>
          <w:tcPr>
            <w:tcW w:w="4235" w:type="dxa"/>
            <w:tcBorders>
              <w:top w:val="nil"/>
              <w:left w:val="nil"/>
              <w:bottom w:val="nil"/>
              <w:right w:val="nil"/>
            </w:tcBorders>
            <w:shd w:val="clear" w:color="auto" w:fill="auto"/>
            <w:vAlign w:val="center"/>
            <w:hideMark/>
          </w:tcPr>
          <w:p w14:paraId="647C9EA8" w14:textId="77777777" w:rsidR="00F96912" w:rsidRPr="00CD000E" w:rsidRDefault="00F96912" w:rsidP="006658D5">
            <w:pPr>
              <w:keepNext/>
              <w:keepLines/>
              <w:rPr>
                <w:sz w:val="16"/>
                <w:szCs w:val="16"/>
              </w:rPr>
            </w:pPr>
            <w:r w:rsidRPr="00CD000E">
              <w:rPr>
                <w:sz w:val="16"/>
                <w:szCs w:val="16"/>
              </w:rPr>
              <w:t>Échanges ouverts, transparents et dynamiques avec les parties prenantes non gouvernementales</w:t>
            </w:r>
          </w:p>
        </w:tc>
        <w:tc>
          <w:tcPr>
            <w:tcW w:w="1153" w:type="dxa"/>
            <w:tcBorders>
              <w:top w:val="nil"/>
              <w:left w:val="nil"/>
              <w:bottom w:val="nil"/>
              <w:right w:val="nil"/>
            </w:tcBorders>
            <w:shd w:val="clear" w:color="auto" w:fill="auto"/>
            <w:noWrap/>
            <w:vAlign w:val="center"/>
            <w:hideMark/>
          </w:tcPr>
          <w:p w14:paraId="1BDF7B69" w14:textId="77777777" w:rsidR="00F96912" w:rsidRPr="00CD000E" w:rsidRDefault="00F96912" w:rsidP="006658D5">
            <w:pPr>
              <w:keepNext/>
              <w:keepLines/>
              <w:jc w:val="center"/>
              <w:rPr>
                <w:color w:val="000000"/>
                <w:sz w:val="16"/>
                <w:szCs w:val="16"/>
              </w:rPr>
            </w:pPr>
            <w:r w:rsidRPr="00CD000E">
              <w:rPr>
                <w:color w:val="000000"/>
                <w:sz w:val="16"/>
                <w:szCs w:val="16"/>
              </w:rPr>
              <w:t>462</w:t>
            </w:r>
          </w:p>
        </w:tc>
        <w:tc>
          <w:tcPr>
            <w:tcW w:w="1152" w:type="dxa"/>
            <w:tcBorders>
              <w:top w:val="nil"/>
              <w:left w:val="nil"/>
              <w:bottom w:val="nil"/>
              <w:right w:val="nil"/>
            </w:tcBorders>
            <w:shd w:val="clear" w:color="auto" w:fill="auto"/>
            <w:noWrap/>
            <w:vAlign w:val="center"/>
            <w:hideMark/>
          </w:tcPr>
          <w:p w14:paraId="678E1F98" w14:textId="77777777" w:rsidR="00F96912" w:rsidRPr="00CD000E" w:rsidRDefault="00F96912" w:rsidP="006658D5">
            <w:pPr>
              <w:keepNext/>
              <w:keepLines/>
              <w:jc w:val="center"/>
              <w:rPr>
                <w:color w:val="000000"/>
                <w:sz w:val="16"/>
                <w:szCs w:val="16"/>
              </w:rPr>
            </w:pPr>
            <w:r w:rsidRPr="00CD000E">
              <w:rPr>
                <w:color w:val="000000"/>
                <w:sz w:val="16"/>
                <w:szCs w:val="16"/>
              </w:rPr>
              <w:t>374</w:t>
            </w:r>
          </w:p>
        </w:tc>
        <w:tc>
          <w:tcPr>
            <w:tcW w:w="1169" w:type="dxa"/>
            <w:tcBorders>
              <w:top w:val="nil"/>
              <w:left w:val="nil"/>
              <w:bottom w:val="nil"/>
              <w:right w:val="nil"/>
            </w:tcBorders>
            <w:shd w:val="clear" w:color="auto" w:fill="auto"/>
            <w:noWrap/>
            <w:vAlign w:val="center"/>
            <w:hideMark/>
          </w:tcPr>
          <w:p w14:paraId="525EE9C0" w14:textId="77777777" w:rsidR="00F96912" w:rsidRPr="00CD000E" w:rsidRDefault="00F96912" w:rsidP="006658D5">
            <w:pPr>
              <w:keepNext/>
              <w:keepLines/>
              <w:jc w:val="center"/>
              <w:rPr>
                <w:color w:val="000000"/>
                <w:sz w:val="16"/>
                <w:szCs w:val="16"/>
              </w:rPr>
            </w:pPr>
            <w:r w:rsidRPr="00CD000E">
              <w:rPr>
                <w:color w:val="000000"/>
                <w:sz w:val="16"/>
                <w:szCs w:val="16"/>
              </w:rPr>
              <w:t>188</w:t>
            </w:r>
          </w:p>
        </w:tc>
      </w:tr>
      <w:tr w:rsidR="00F96912" w:rsidRPr="00CD000E" w14:paraId="1B40D9CB" w14:textId="77777777" w:rsidTr="006658D5">
        <w:trPr>
          <w:jc w:val="center"/>
        </w:trPr>
        <w:tc>
          <w:tcPr>
            <w:tcW w:w="631" w:type="dxa"/>
            <w:tcBorders>
              <w:top w:val="nil"/>
              <w:left w:val="nil"/>
              <w:bottom w:val="nil"/>
              <w:right w:val="nil"/>
            </w:tcBorders>
            <w:shd w:val="clear" w:color="auto" w:fill="auto"/>
            <w:noWrap/>
            <w:vAlign w:val="center"/>
            <w:hideMark/>
          </w:tcPr>
          <w:p w14:paraId="3FCD1F58" w14:textId="77777777" w:rsidR="00F96912" w:rsidRPr="00CD000E" w:rsidRDefault="00F96912" w:rsidP="006658D5">
            <w:pPr>
              <w:keepNext/>
              <w:keepLines/>
              <w:rPr>
                <w:sz w:val="16"/>
                <w:szCs w:val="16"/>
              </w:rPr>
            </w:pPr>
            <w:r w:rsidRPr="00CD000E">
              <w:rPr>
                <w:sz w:val="16"/>
                <w:szCs w:val="16"/>
              </w:rPr>
              <w:t>VIII.5</w:t>
            </w:r>
          </w:p>
        </w:tc>
        <w:tc>
          <w:tcPr>
            <w:tcW w:w="4235" w:type="dxa"/>
            <w:tcBorders>
              <w:top w:val="nil"/>
              <w:left w:val="nil"/>
              <w:bottom w:val="nil"/>
              <w:right w:val="nil"/>
            </w:tcBorders>
            <w:shd w:val="clear" w:color="auto" w:fill="auto"/>
            <w:vAlign w:val="center"/>
            <w:hideMark/>
          </w:tcPr>
          <w:p w14:paraId="3B38374E" w14:textId="77777777" w:rsidR="00F96912" w:rsidRPr="00CD000E" w:rsidRDefault="00F96912" w:rsidP="006658D5">
            <w:pPr>
              <w:keepNext/>
              <w:keepLines/>
              <w:rPr>
                <w:sz w:val="16"/>
                <w:szCs w:val="16"/>
              </w:rPr>
            </w:pPr>
            <w:r w:rsidRPr="00CD000E">
              <w:rPr>
                <w:sz w:val="16"/>
                <w:szCs w:val="16"/>
              </w:rPr>
              <w:t>L’OMPI collabore efficacement avec d’autres processus et instances de négociation de l’ONU et d’autres organisations intergouvernementales</w:t>
            </w:r>
          </w:p>
        </w:tc>
        <w:tc>
          <w:tcPr>
            <w:tcW w:w="1153" w:type="dxa"/>
            <w:tcBorders>
              <w:top w:val="nil"/>
              <w:left w:val="nil"/>
              <w:bottom w:val="nil"/>
              <w:right w:val="nil"/>
            </w:tcBorders>
            <w:shd w:val="clear" w:color="auto" w:fill="auto"/>
            <w:noWrap/>
            <w:vAlign w:val="center"/>
            <w:hideMark/>
          </w:tcPr>
          <w:p w14:paraId="76AE77FC" w14:textId="77777777" w:rsidR="00F96912" w:rsidRPr="00CD000E" w:rsidRDefault="00F96912" w:rsidP="006658D5">
            <w:pPr>
              <w:keepNext/>
              <w:keepLines/>
              <w:jc w:val="center"/>
              <w:rPr>
                <w:color w:val="000000"/>
                <w:sz w:val="16"/>
                <w:szCs w:val="16"/>
              </w:rPr>
            </w:pPr>
            <w:r w:rsidRPr="00CD000E">
              <w:rPr>
                <w:color w:val="000000"/>
                <w:sz w:val="16"/>
                <w:szCs w:val="16"/>
              </w:rPr>
              <w:t>157</w:t>
            </w:r>
          </w:p>
        </w:tc>
        <w:tc>
          <w:tcPr>
            <w:tcW w:w="1152" w:type="dxa"/>
            <w:tcBorders>
              <w:top w:val="nil"/>
              <w:left w:val="nil"/>
              <w:bottom w:val="nil"/>
              <w:right w:val="nil"/>
            </w:tcBorders>
            <w:shd w:val="clear" w:color="auto" w:fill="auto"/>
            <w:noWrap/>
            <w:vAlign w:val="center"/>
            <w:hideMark/>
          </w:tcPr>
          <w:p w14:paraId="1E3DF7C9" w14:textId="77777777" w:rsidR="00F96912" w:rsidRPr="00CD000E" w:rsidRDefault="00F96912" w:rsidP="006658D5">
            <w:pPr>
              <w:keepNext/>
              <w:keepLines/>
              <w:jc w:val="center"/>
              <w:rPr>
                <w:color w:val="000000"/>
                <w:sz w:val="16"/>
                <w:szCs w:val="16"/>
              </w:rPr>
            </w:pPr>
            <w:r w:rsidRPr="00CD000E">
              <w:rPr>
                <w:color w:val="000000"/>
                <w:sz w:val="16"/>
                <w:szCs w:val="16"/>
              </w:rPr>
              <w:t>132</w:t>
            </w:r>
          </w:p>
        </w:tc>
        <w:tc>
          <w:tcPr>
            <w:tcW w:w="1169" w:type="dxa"/>
            <w:tcBorders>
              <w:top w:val="nil"/>
              <w:left w:val="nil"/>
              <w:bottom w:val="nil"/>
              <w:right w:val="nil"/>
            </w:tcBorders>
            <w:shd w:val="clear" w:color="auto" w:fill="auto"/>
            <w:noWrap/>
            <w:vAlign w:val="center"/>
            <w:hideMark/>
          </w:tcPr>
          <w:p w14:paraId="4A578973" w14:textId="77777777" w:rsidR="00F96912" w:rsidRPr="00CD000E" w:rsidRDefault="00F96912" w:rsidP="006658D5">
            <w:pPr>
              <w:keepNext/>
              <w:keepLines/>
              <w:jc w:val="center"/>
              <w:rPr>
                <w:color w:val="000000"/>
                <w:sz w:val="16"/>
                <w:szCs w:val="16"/>
              </w:rPr>
            </w:pPr>
            <w:r w:rsidRPr="00CD000E">
              <w:rPr>
                <w:color w:val="000000"/>
                <w:sz w:val="16"/>
                <w:szCs w:val="16"/>
              </w:rPr>
              <w:t>61</w:t>
            </w:r>
          </w:p>
        </w:tc>
      </w:tr>
      <w:tr w:rsidR="00F96912" w:rsidRPr="00CD000E" w14:paraId="38FA7FFA" w14:textId="77777777" w:rsidTr="006658D5">
        <w:trPr>
          <w:jc w:val="center"/>
        </w:trPr>
        <w:tc>
          <w:tcPr>
            <w:tcW w:w="631" w:type="dxa"/>
            <w:tcBorders>
              <w:top w:val="nil"/>
              <w:left w:val="nil"/>
              <w:bottom w:val="nil"/>
              <w:right w:val="nil"/>
            </w:tcBorders>
            <w:shd w:val="clear" w:color="auto" w:fill="auto"/>
            <w:noWrap/>
            <w:vAlign w:val="center"/>
            <w:hideMark/>
          </w:tcPr>
          <w:p w14:paraId="21F0127F" w14:textId="77777777" w:rsidR="00F96912" w:rsidRPr="00CD000E" w:rsidRDefault="00F96912" w:rsidP="006658D5">
            <w:pPr>
              <w:keepNext/>
              <w:keepLines/>
              <w:rPr>
                <w:sz w:val="16"/>
                <w:szCs w:val="16"/>
              </w:rPr>
            </w:pPr>
            <w:r w:rsidRPr="00CD000E">
              <w:rPr>
                <w:sz w:val="16"/>
                <w:szCs w:val="16"/>
              </w:rPr>
              <w:t>IX.1</w:t>
            </w:r>
          </w:p>
        </w:tc>
        <w:tc>
          <w:tcPr>
            <w:tcW w:w="4235" w:type="dxa"/>
            <w:tcBorders>
              <w:top w:val="nil"/>
              <w:left w:val="nil"/>
              <w:bottom w:val="nil"/>
              <w:right w:val="nil"/>
            </w:tcBorders>
            <w:shd w:val="clear" w:color="auto" w:fill="auto"/>
            <w:vAlign w:val="center"/>
            <w:hideMark/>
          </w:tcPr>
          <w:p w14:paraId="12024C22" w14:textId="77777777" w:rsidR="00F96912" w:rsidRPr="00CD000E" w:rsidRDefault="00F96912" w:rsidP="006658D5">
            <w:pPr>
              <w:keepNext/>
              <w:keepLines/>
              <w:rPr>
                <w:sz w:val="16"/>
                <w:szCs w:val="16"/>
              </w:rPr>
            </w:pPr>
            <w:r w:rsidRPr="00CD000E">
              <w:rPr>
                <w:sz w:val="16"/>
                <w:szCs w:val="16"/>
              </w:rPr>
              <w:t>Services d’appui efficaces, efficients, de qualité et tournés vers la clientèle, à l’intention à la fois des clients internes et des parties prenantes externes</w:t>
            </w:r>
          </w:p>
        </w:tc>
        <w:tc>
          <w:tcPr>
            <w:tcW w:w="1153" w:type="dxa"/>
            <w:tcBorders>
              <w:top w:val="nil"/>
              <w:left w:val="nil"/>
              <w:bottom w:val="nil"/>
              <w:right w:val="nil"/>
            </w:tcBorders>
            <w:shd w:val="clear" w:color="auto" w:fill="auto"/>
            <w:noWrap/>
            <w:vAlign w:val="center"/>
            <w:hideMark/>
          </w:tcPr>
          <w:p w14:paraId="7D2F7E74" w14:textId="77777777" w:rsidR="00F96912" w:rsidRPr="00CD000E" w:rsidRDefault="00F96912" w:rsidP="006658D5">
            <w:pPr>
              <w:keepNext/>
              <w:keepLines/>
              <w:jc w:val="center"/>
              <w:rPr>
                <w:color w:val="000000"/>
                <w:sz w:val="16"/>
                <w:szCs w:val="16"/>
              </w:rPr>
            </w:pPr>
            <w:r w:rsidRPr="00CD000E">
              <w:rPr>
                <w:color w:val="000000"/>
                <w:sz w:val="16"/>
                <w:szCs w:val="16"/>
              </w:rPr>
              <w:t>3 694</w:t>
            </w:r>
          </w:p>
        </w:tc>
        <w:tc>
          <w:tcPr>
            <w:tcW w:w="1152" w:type="dxa"/>
            <w:tcBorders>
              <w:top w:val="nil"/>
              <w:left w:val="nil"/>
              <w:bottom w:val="nil"/>
              <w:right w:val="nil"/>
            </w:tcBorders>
            <w:shd w:val="clear" w:color="auto" w:fill="auto"/>
            <w:noWrap/>
            <w:vAlign w:val="center"/>
            <w:hideMark/>
          </w:tcPr>
          <w:p w14:paraId="22131AA2" w14:textId="77777777" w:rsidR="00F96912" w:rsidRPr="00CD000E" w:rsidRDefault="00F96912" w:rsidP="006658D5">
            <w:pPr>
              <w:keepNext/>
              <w:keepLines/>
              <w:jc w:val="center"/>
              <w:rPr>
                <w:color w:val="000000"/>
                <w:sz w:val="16"/>
                <w:szCs w:val="16"/>
              </w:rPr>
            </w:pPr>
            <w:r w:rsidRPr="00CD000E">
              <w:rPr>
                <w:color w:val="000000"/>
                <w:sz w:val="16"/>
                <w:szCs w:val="16"/>
              </w:rPr>
              <w:t>3 649</w:t>
            </w:r>
          </w:p>
        </w:tc>
        <w:tc>
          <w:tcPr>
            <w:tcW w:w="1169" w:type="dxa"/>
            <w:tcBorders>
              <w:top w:val="nil"/>
              <w:left w:val="nil"/>
              <w:bottom w:val="nil"/>
              <w:right w:val="nil"/>
            </w:tcBorders>
            <w:shd w:val="clear" w:color="auto" w:fill="auto"/>
            <w:noWrap/>
            <w:vAlign w:val="center"/>
            <w:hideMark/>
          </w:tcPr>
          <w:p w14:paraId="51F1814E" w14:textId="77777777" w:rsidR="00F96912" w:rsidRPr="00CD000E" w:rsidRDefault="00F96912" w:rsidP="006658D5">
            <w:pPr>
              <w:keepNext/>
              <w:keepLines/>
              <w:jc w:val="center"/>
              <w:rPr>
                <w:color w:val="000000"/>
                <w:sz w:val="16"/>
                <w:szCs w:val="16"/>
              </w:rPr>
            </w:pPr>
            <w:r w:rsidRPr="00CD000E">
              <w:rPr>
                <w:color w:val="000000"/>
                <w:sz w:val="16"/>
                <w:szCs w:val="16"/>
              </w:rPr>
              <w:t>1 736</w:t>
            </w:r>
          </w:p>
        </w:tc>
      </w:tr>
      <w:tr w:rsidR="00F96912" w:rsidRPr="00CD000E" w14:paraId="4A511EC4" w14:textId="77777777" w:rsidTr="006658D5">
        <w:trPr>
          <w:jc w:val="center"/>
        </w:trPr>
        <w:tc>
          <w:tcPr>
            <w:tcW w:w="631" w:type="dxa"/>
            <w:tcBorders>
              <w:top w:val="nil"/>
              <w:left w:val="nil"/>
              <w:bottom w:val="nil"/>
              <w:right w:val="nil"/>
            </w:tcBorders>
            <w:shd w:val="clear" w:color="auto" w:fill="auto"/>
            <w:noWrap/>
            <w:vAlign w:val="center"/>
            <w:hideMark/>
          </w:tcPr>
          <w:p w14:paraId="7D0C7036" w14:textId="77777777" w:rsidR="00F96912" w:rsidRPr="00CD000E" w:rsidRDefault="00F96912" w:rsidP="006658D5">
            <w:pPr>
              <w:keepNext/>
              <w:keepLines/>
              <w:rPr>
                <w:sz w:val="16"/>
                <w:szCs w:val="16"/>
              </w:rPr>
            </w:pPr>
            <w:r w:rsidRPr="00CD000E">
              <w:rPr>
                <w:sz w:val="16"/>
                <w:szCs w:val="16"/>
              </w:rPr>
              <w:t>IX.2</w:t>
            </w:r>
          </w:p>
        </w:tc>
        <w:tc>
          <w:tcPr>
            <w:tcW w:w="4235" w:type="dxa"/>
            <w:tcBorders>
              <w:top w:val="nil"/>
              <w:left w:val="nil"/>
              <w:bottom w:val="nil"/>
              <w:right w:val="nil"/>
            </w:tcBorders>
            <w:shd w:val="clear" w:color="auto" w:fill="auto"/>
            <w:vAlign w:val="center"/>
            <w:hideMark/>
          </w:tcPr>
          <w:p w14:paraId="6139B203" w14:textId="77777777" w:rsidR="00F96912" w:rsidRPr="00CD000E" w:rsidRDefault="00F96912" w:rsidP="006658D5">
            <w:pPr>
              <w:keepNext/>
              <w:keepLines/>
              <w:rPr>
                <w:sz w:val="16"/>
                <w:szCs w:val="16"/>
              </w:rPr>
            </w:pPr>
            <w:r w:rsidRPr="00CD000E">
              <w:rPr>
                <w:sz w:val="16"/>
                <w:szCs w:val="16"/>
              </w:rPr>
              <w:t>Un Secrétariat réactif, fonctionnant harmonieusement et doté de ressources humaines bien gérées et compétentes, à même d’obtenir des résultats concrets</w:t>
            </w:r>
          </w:p>
        </w:tc>
        <w:tc>
          <w:tcPr>
            <w:tcW w:w="1153" w:type="dxa"/>
            <w:tcBorders>
              <w:top w:val="nil"/>
              <w:left w:val="nil"/>
              <w:bottom w:val="nil"/>
              <w:right w:val="nil"/>
            </w:tcBorders>
            <w:shd w:val="clear" w:color="auto" w:fill="auto"/>
            <w:noWrap/>
            <w:vAlign w:val="center"/>
            <w:hideMark/>
          </w:tcPr>
          <w:p w14:paraId="7D6F1A97" w14:textId="77777777" w:rsidR="00F96912" w:rsidRPr="00CD000E" w:rsidRDefault="00F96912" w:rsidP="006658D5">
            <w:pPr>
              <w:keepNext/>
              <w:keepLines/>
              <w:jc w:val="center"/>
              <w:rPr>
                <w:color w:val="000000"/>
                <w:sz w:val="16"/>
                <w:szCs w:val="16"/>
              </w:rPr>
            </w:pPr>
            <w:r w:rsidRPr="00CD000E">
              <w:rPr>
                <w:color w:val="000000"/>
                <w:sz w:val="16"/>
                <w:szCs w:val="16"/>
              </w:rPr>
              <w:t>5 992</w:t>
            </w:r>
          </w:p>
        </w:tc>
        <w:tc>
          <w:tcPr>
            <w:tcW w:w="1152" w:type="dxa"/>
            <w:tcBorders>
              <w:top w:val="nil"/>
              <w:left w:val="nil"/>
              <w:bottom w:val="nil"/>
              <w:right w:val="nil"/>
            </w:tcBorders>
            <w:shd w:val="clear" w:color="auto" w:fill="auto"/>
            <w:noWrap/>
            <w:vAlign w:val="center"/>
            <w:hideMark/>
          </w:tcPr>
          <w:p w14:paraId="2A5C1C93" w14:textId="77777777" w:rsidR="00F96912" w:rsidRPr="00CD000E" w:rsidRDefault="00F96912" w:rsidP="006658D5">
            <w:pPr>
              <w:keepNext/>
              <w:keepLines/>
              <w:jc w:val="center"/>
              <w:rPr>
                <w:color w:val="000000"/>
                <w:sz w:val="16"/>
                <w:szCs w:val="16"/>
              </w:rPr>
            </w:pPr>
            <w:r w:rsidRPr="00CD000E">
              <w:rPr>
                <w:color w:val="000000"/>
                <w:sz w:val="16"/>
                <w:szCs w:val="16"/>
              </w:rPr>
              <w:t>6 961</w:t>
            </w:r>
          </w:p>
        </w:tc>
        <w:tc>
          <w:tcPr>
            <w:tcW w:w="1169" w:type="dxa"/>
            <w:tcBorders>
              <w:top w:val="nil"/>
              <w:left w:val="nil"/>
              <w:bottom w:val="nil"/>
              <w:right w:val="nil"/>
            </w:tcBorders>
            <w:shd w:val="clear" w:color="auto" w:fill="auto"/>
            <w:noWrap/>
            <w:vAlign w:val="center"/>
            <w:hideMark/>
          </w:tcPr>
          <w:p w14:paraId="2AC107B3" w14:textId="77777777" w:rsidR="00F96912" w:rsidRPr="00CD000E" w:rsidRDefault="00F96912" w:rsidP="006658D5">
            <w:pPr>
              <w:keepNext/>
              <w:keepLines/>
              <w:jc w:val="center"/>
              <w:rPr>
                <w:color w:val="000000"/>
                <w:sz w:val="16"/>
                <w:szCs w:val="16"/>
              </w:rPr>
            </w:pPr>
            <w:r w:rsidRPr="00CD000E">
              <w:rPr>
                <w:color w:val="000000"/>
                <w:sz w:val="16"/>
                <w:szCs w:val="16"/>
              </w:rPr>
              <w:t>3 231</w:t>
            </w:r>
          </w:p>
        </w:tc>
      </w:tr>
      <w:tr w:rsidR="00F96912" w:rsidRPr="00CD000E" w14:paraId="4954692F" w14:textId="77777777" w:rsidTr="006658D5">
        <w:trPr>
          <w:jc w:val="center"/>
        </w:trPr>
        <w:tc>
          <w:tcPr>
            <w:tcW w:w="631" w:type="dxa"/>
            <w:tcBorders>
              <w:top w:val="nil"/>
              <w:left w:val="nil"/>
              <w:bottom w:val="nil"/>
              <w:right w:val="nil"/>
            </w:tcBorders>
            <w:shd w:val="clear" w:color="auto" w:fill="auto"/>
            <w:noWrap/>
            <w:vAlign w:val="center"/>
            <w:hideMark/>
          </w:tcPr>
          <w:p w14:paraId="25161CA5" w14:textId="77777777" w:rsidR="00F96912" w:rsidRPr="00CD000E" w:rsidRDefault="00F96912" w:rsidP="006658D5">
            <w:pPr>
              <w:keepNext/>
              <w:keepLines/>
              <w:rPr>
                <w:sz w:val="16"/>
                <w:szCs w:val="16"/>
              </w:rPr>
            </w:pPr>
            <w:r w:rsidRPr="00CD000E">
              <w:rPr>
                <w:sz w:val="16"/>
                <w:szCs w:val="16"/>
              </w:rPr>
              <w:t>IX.3</w:t>
            </w:r>
          </w:p>
        </w:tc>
        <w:tc>
          <w:tcPr>
            <w:tcW w:w="4235" w:type="dxa"/>
            <w:tcBorders>
              <w:top w:val="nil"/>
              <w:left w:val="nil"/>
              <w:bottom w:val="nil"/>
              <w:right w:val="nil"/>
            </w:tcBorders>
            <w:shd w:val="clear" w:color="auto" w:fill="auto"/>
            <w:vAlign w:val="center"/>
            <w:hideMark/>
          </w:tcPr>
          <w:p w14:paraId="5C55BECE" w14:textId="77777777" w:rsidR="00F96912" w:rsidRPr="00CD000E" w:rsidRDefault="00F96912" w:rsidP="006658D5">
            <w:pPr>
              <w:keepNext/>
              <w:keepLines/>
              <w:rPr>
                <w:sz w:val="16"/>
                <w:szCs w:val="16"/>
              </w:rPr>
            </w:pPr>
            <w:r w:rsidRPr="00CD000E">
              <w:rPr>
                <w:sz w:val="16"/>
                <w:szCs w:val="16"/>
              </w:rPr>
              <w:t>Un environnement de travail stimulant étayé par un cadre réglementaire efficace et des voies appropriées pour répondre aux préoccupations du personnel</w:t>
            </w:r>
          </w:p>
        </w:tc>
        <w:tc>
          <w:tcPr>
            <w:tcW w:w="1153" w:type="dxa"/>
            <w:tcBorders>
              <w:top w:val="nil"/>
              <w:left w:val="nil"/>
              <w:bottom w:val="nil"/>
              <w:right w:val="nil"/>
            </w:tcBorders>
            <w:shd w:val="clear" w:color="auto" w:fill="auto"/>
            <w:noWrap/>
            <w:vAlign w:val="center"/>
            <w:hideMark/>
          </w:tcPr>
          <w:p w14:paraId="6085CF02" w14:textId="77777777" w:rsidR="00F96912" w:rsidRPr="00CD000E" w:rsidRDefault="00F96912" w:rsidP="006658D5">
            <w:pPr>
              <w:keepNext/>
              <w:keepLines/>
              <w:jc w:val="center"/>
              <w:rPr>
                <w:color w:val="000000"/>
                <w:sz w:val="16"/>
                <w:szCs w:val="16"/>
              </w:rPr>
            </w:pPr>
            <w:r w:rsidRPr="00CD000E">
              <w:rPr>
                <w:color w:val="000000"/>
                <w:sz w:val="16"/>
                <w:szCs w:val="16"/>
              </w:rPr>
              <w:t>914</w:t>
            </w:r>
          </w:p>
        </w:tc>
        <w:tc>
          <w:tcPr>
            <w:tcW w:w="1152" w:type="dxa"/>
            <w:tcBorders>
              <w:top w:val="nil"/>
              <w:left w:val="nil"/>
              <w:bottom w:val="nil"/>
              <w:right w:val="nil"/>
            </w:tcBorders>
            <w:shd w:val="clear" w:color="auto" w:fill="auto"/>
            <w:noWrap/>
            <w:vAlign w:val="center"/>
            <w:hideMark/>
          </w:tcPr>
          <w:p w14:paraId="08636855" w14:textId="77777777" w:rsidR="00F96912" w:rsidRPr="00CD000E" w:rsidRDefault="00F96912" w:rsidP="006658D5">
            <w:pPr>
              <w:keepNext/>
              <w:keepLines/>
              <w:jc w:val="center"/>
              <w:rPr>
                <w:color w:val="000000"/>
                <w:sz w:val="16"/>
                <w:szCs w:val="16"/>
              </w:rPr>
            </w:pPr>
            <w:r w:rsidRPr="00CD000E">
              <w:rPr>
                <w:color w:val="000000"/>
                <w:sz w:val="16"/>
                <w:szCs w:val="16"/>
              </w:rPr>
              <w:t>909</w:t>
            </w:r>
          </w:p>
        </w:tc>
        <w:tc>
          <w:tcPr>
            <w:tcW w:w="1169" w:type="dxa"/>
            <w:tcBorders>
              <w:top w:val="nil"/>
              <w:left w:val="nil"/>
              <w:bottom w:val="nil"/>
              <w:right w:val="nil"/>
            </w:tcBorders>
            <w:shd w:val="clear" w:color="auto" w:fill="auto"/>
            <w:noWrap/>
            <w:vAlign w:val="center"/>
            <w:hideMark/>
          </w:tcPr>
          <w:p w14:paraId="68A627DE" w14:textId="77777777" w:rsidR="00F96912" w:rsidRPr="00CD000E" w:rsidRDefault="00F96912" w:rsidP="006658D5">
            <w:pPr>
              <w:keepNext/>
              <w:keepLines/>
              <w:jc w:val="center"/>
              <w:rPr>
                <w:color w:val="000000"/>
                <w:sz w:val="16"/>
                <w:szCs w:val="16"/>
              </w:rPr>
            </w:pPr>
            <w:r w:rsidRPr="00CD000E">
              <w:rPr>
                <w:color w:val="000000"/>
                <w:sz w:val="16"/>
                <w:szCs w:val="16"/>
              </w:rPr>
              <w:t>468</w:t>
            </w:r>
          </w:p>
        </w:tc>
      </w:tr>
      <w:tr w:rsidR="00F96912" w:rsidRPr="00CD000E" w14:paraId="79FE46C9" w14:textId="77777777" w:rsidTr="006658D5">
        <w:trPr>
          <w:jc w:val="center"/>
        </w:trPr>
        <w:tc>
          <w:tcPr>
            <w:tcW w:w="631" w:type="dxa"/>
            <w:tcBorders>
              <w:top w:val="nil"/>
              <w:left w:val="nil"/>
              <w:bottom w:val="nil"/>
              <w:right w:val="nil"/>
            </w:tcBorders>
            <w:shd w:val="clear" w:color="000000" w:fill="C5D9F1"/>
            <w:noWrap/>
            <w:vAlign w:val="bottom"/>
            <w:hideMark/>
          </w:tcPr>
          <w:p w14:paraId="4653FB61" w14:textId="77777777" w:rsidR="00F96912" w:rsidRPr="00CD000E" w:rsidRDefault="00F96912" w:rsidP="006658D5">
            <w:pPr>
              <w:keepNext/>
              <w:keepLines/>
              <w:rPr>
                <w:sz w:val="16"/>
                <w:szCs w:val="16"/>
              </w:rPr>
            </w:pPr>
            <w:r w:rsidRPr="00CD000E">
              <w:rPr>
                <w:sz w:val="16"/>
                <w:szCs w:val="16"/>
              </w:rPr>
              <w:t> </w:t>
            </w:r>
          </w:p>
        </w:tc>
        <w:tc>
          <w:tcPr>
            <w:tcW w:w="4235" w:type="dxa"/>
            <w:tcBorders>
              <w:top w:val="nil"/>
              <w:left w:val="nil"/>
              <w:bottom w:val="nil"/>
              <w:right w:val="nil"/>
            </w:tcBorders>
            <w:shd w:val="clear" w:color="000000" w:fill="C5D9F1"/>
            <w:noWrap/>
            <w:vAlign w:val="bottom"/>
            <w:hideMark/>
          </w:tcPr>
          <w:p w14:paraId="1EDF80C5" w14:textId="77777777" w:rsidR="00F96912" w:rsidRPr="00CD000E" w:rsidRDefault="00F96912" w:rsidP="006658D5">
            <w:pPr>
              <w:keepNext/>
              <w:keepLines/>
              <w:jc w:val="right"/>
              <w:rPr>
                <w:b/>
                <w:bCs/>
                <w:sz w:val="16"/>
                <w:szCs w:val="16"/>
              </w:rPr>
            </w:pPr>
            <w:r w:rsidRPr="00CD000E">
              <w:rPr>
                <w:b/>
                <w:bCs/>
                <w:sz w:val="16"/>
                <w:szCs w:val="16"/>
              </w:rPr>
              <w:t>Total</w:t>
            </w:r>
          </w:p>
        </w:tc>
        <w:tc>
          <w:tcPr>
            <w:tcW w:w="1153" w:type="dxa"/>
            <w:tcBorders>
              <w:top w:val="nil"/>
              <w:left w:val="nil"/>
              <w:bottom w:val="nil"/>
              <w:right w:val="nil"/>
            </w:tcBorders>
            <w:shd w:val="clear" w:color="000000" w:fill="C5D9F1"/>
            <w:noWrap/>
            <w:vAlign w:val="center"/>
            <w:hideMark/>
          </w:tcPr>
          <w:p w14:paraId="7F5BD8CF" w14:textId="77777777" w:rsidR="00F96912" w:rsidRPr="00CD000E" w:rsidRDefault="00F96912" w:rsidP="006658D5">
            <w:pPr>
              <w:keepNext/>
              <w:keepLines/>
              <w:jc w:val="center"/>
              <w:rPr>
                <w:color w:val="000000"/>
                <w:sz w:val="16"/>
                <w:szCs w:val="16"/>
              </w:rPr>
            </w:pPr>
            <w:r w:rsidRPr="00CD000E">
              <w:rPr>
                <w:color w:val="000000"/>
                <w:sz w:val="16"/>
                <w:szCs w:val="16"/>
              </w:rPr>
              <w:t>20 675</w:t>
            </w:r>
          </w:p>
        </w:tc>
        <w:tc>
          <w:tcPr>
            <w:tcW w:w="1152" w:type="dxa"/>
            <w:tcBorders>
              <w:top w:val="nil"/>
              <w:left w:val="nil"/>
              <w:bottom w:val="nil"/>
              <w:right w:val="nil"/>
            </w:tcBorders>
            <w:shd w:val="clear" w:color="000000" w:fill="C5D9F1"/>
            <w:noWrap/>
            <w:vAlign w:val="center"/>
            <w:hideMark/>
          </w:tcPr>
          <w:p w14:paraId="019975D7" w14:textId="77777777" w:rsidR="00F96912" w:rsidRPr="00CD000E" w:rsidRDefault="00F96912" w:rsidP="006658D5">
            <w:pPr>
              <w:keepNext/>
              <w:keepLines/>
              <w:jc w:val="center"/>
              <w:rPr>
                <w:color w:val="000000"/>
                <w:sz w:val="16"/>
                <w:szCs w:val="16"/>
              </w:rPr>
            </w:pPr>
            <w:r w:rsidRPr="00CD000E">
              <w:rPr>
                <w:color w:val="000000"/>
                <w:sz w:val="16"/>
                <w:szCs w:val="16"/>
              </w:rPr>
              <w:t>19 439</w:t>
            </w:r>
          </w:p>
        </w:tc>
        <w:tc>
          <w:tcPr>
            <w:tcW w:w="1169" w:type="dxa"/>
            <w:tcBorders>
              <w:top w:val="nil"/>
              <w:left w:val="nil"/>
              <w:bottom w:val="nil"/>
              <w:right w:val="nil"/>
            </w:tcBorders>
            <w:shd w:val="clear" w:color="000000" w:fill="C5D9F1"/>
            <w:noWrap/>
            <w:vAlign w:val="center"/>
            <w:hideMark/>
          </w:tcPr>
          <w:p w14:paraId="774A5726" w14:textId="77777777" w:rsidR="00F96912" w:rsidRPr="00CD000E" w:rsidRDefault="00F96912" w:rsidP="006658D5">
            <w:pPr>
              <w:keepNext/>
              <w:keepLines/>
              <w:jc w:val="center"/>
              <w:rPr>
                <w:color w:val="000000"/>
                <w:sz w:val="16"/>
                <w:szCs w:val="16"/>
              </w:rPr>
            </w:pPr>
            <w:r w:rsidRPr="00CD000E">
              <w:rPr>
                <w:color w:val="000000"/>
                <w:sz w:val="16"/>
                <w:szCs w:val="16"/>
              </w:rPr>
              <w:t>9 429</w:t>
            </w:r>
          </w:p>
        </w:tc>
      </w:tr>
      <w:tr w:rsidR="00F96912" w:rsidRPr="00CD000E" w14:paraId="3994DED8" w14:textId="77777777" w:rsidTr="006658D5">
        <w:trPr>
          <w:jc w:val="center"/>
        </w:trPr>
        <w:tc>
          <w:tcPr>
            <w:tcW w:w="7171" w:type="dxa"/>
            <w:gridSpan w:val="4"/>
            <w:tcBorders>
              <w:top w:val="nil"/>
              <w:left w:val="nil"/>
              <w:bottom w:val="nil"/>
              <w:right w:val="nil"/>
            </w:tcBorders>
            <w:shd w:val="clear" w:color="auto" w:fill="auto"/>
            <w:noWrap/>
            <w:vAlign w:val="center"/>
            <w:hideMark/>
          </w:tcPr>
          <w:p w14:paraId="2AEE8DAC" w14:textId="77777777" w:rsidR="00F96912" w:rsidRPr="00CD000E" w:rsidRDefault="00F96912" w:rsidP="006658D5">
            <w:pPr>
              <w:keepNext/>
              <w:keepLines/>
              <w:rPr>
                <w:i/>
                <w:iCs/>
                <w:sz w:val="16"/>
                <w:szCs w:val="16"/>
              </w:rPr>
            </w:pPr>
            <w:r w:rsidRPr="00CD000E">
              <w:rPr>
                <w:i/>
                <w:iCs/>
                <w:sz w:val="16"/>
                <w:szCs w:val="16"/>
              </w:rPr>
              <w:t>*Les chiffres des dépenses pour 2016 sont préliminaires, sous réserve d’audit par les vérificateurs externes des comptes</w:t>
            </w:r>
          </w:p>
        </w:tc>
        <w:tc>
          <w:tcPr>
            <w:tcW w:w="1169" w:type="dxa"/>
            <w:tcBorders>
              <w:top w:val="nil"/>
              <w:left w:val="nil"/>
              <w:bottom w:val="nil"/>
              <w:right w:val="nil"/>
            </w:tcBorders>
            <w:shd w:val="clear" w:color="auto" w:fill="auto"/>
            <w:noWrap/>
            <w:vAlign w:val="center"/>
            <w:hideMark/>
          </w:tcPr>
          <w:p w14:paraId="1CBDD4AE" w14:textId="77777777" w:rsidR="00F96912" w:rsidRPr="00CD000E" w:rsidRDefault="00F96912" w:rsidP="006658D5">
            <w:pPr>
              <w:keepNext/>
              <w:keepLines/>
              <w:rPr>
                <w:sz w:val="16"/>
                <w:szCs w:val="16"/>
              </w:rPr>
            </w:pPr>
          </w:p>
        </w:tc>
      </w:tr>
    </w:tbl>
    <w:p w14:paraId="1F35D0D3" w14:textId="77777777" w:rsidR="00F96912" w:rsidRPr="00CD000E" w:rsidRDefault="00F96912" w:rsidP="00F96912"/>
    <w:p w14:paraId="6E98E5A6" w14:textId="77777777" w:rsidR="00F96912" w:rsidRPr="00CD000E" w:rsidRDefault="00F96912" w:rsidP="00F96912">
      <w:pPr>
        <w:pStyle w:val="NormalWeb"/>
        <w:keepNext/>
        <w:keepLines/>
        <w:spacing w:before="0" w:beforeAutospacing="0" w:after="0" w:afterAutospacing="0"/>
        <w:jc w:val="center"/>
        <w:rPr>
          <w:color w:val="000000"/>
        </w:rPr>
      </w:pPr>
      <w:r w:rsidRPr="00CD000E">
        <w:rPr>
          <w:color w:val="000000"/>
        </w:rPr>
        <w:t>Budget et dépenses effectives (dépenses de personnel et autres dépenses)</w:t>
      </w:r>
    </w:p>
    <w:p w14:paraId="7AAEF794"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255CE6B9" w14:textId="77777777" w:rsidR="00F96912" w:rsidRPr="00CD000E" w:rsidRDefault="00F96912" w:rsidP="00F96912">
      <w:pPr>
        <w:pStyle w:val="NormalWeb"/>
        <w:keepNext/>
        <w:keepLines/>
        <w:spacing w:before="0" w:beforeAutospacing="0" w:after="0" w:afterAutospacing="0"/>
        <w:jc w:val="center"/>
        <w:rPr>
          <w:i/>
          <w:iCs/>
          <w:color w:val="000000"/>
          <w:sz w:val="20"/>
          <w:szCs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CD000E" w14:paraId="55B6D2F3" w14:textId="77777777" w:rsidTr="006658D5">
        <w:trPr>
          <w:jc w:val="center"/>
        </w:trPr>
        <w:tc>
          <w:tcPr>
            <w:tcW w:w="2470" w:type="dxa"/>
            <w:tcBorders>
              <w:top w:val="nil"/>
              <w:left w:val="nil"/>
              <w:bottom w:val="nil"/>
              <w:right w:val="nil"/>
            </w:tcBorders>
            <w:shd w:val="clear" w:color="000000" w:fill="C5D9F1"/>
            <w:noWrap/>
            <w:vAlign w:val="center"/>
            <w:hideMark/>
          </w:tcPr>
          <w:p w14:paraId="780C07B8" w14:textId="77777777" w:rsidR="00F96912" w:rsidRPr="00CD000E" w:rsidRDefault="00F96912" w:rsidP="006658D5">
            <w:pPr>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009106BF"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56BC8C40"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1A5D5C4E" w14:textId="77777777" w:rsidR="00F96912" w:rsidRPr="00CD000E" w:rsidRDefault="00F96912" w:rsidP="006658D5">
            <w:pPr>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0AAACE3E" w14:textId="77777777" w:rsidR="00F96912" w:rsidRPr="00B214CB" w:rsidRDefault="00F96912" w:rsidP="006658D5">
            <w:pPr>
              <w:jc w:val="center"/>
              <w:rPr>
                <w:b/>
                <w:bCs/>
                <w:sz w:val="16"/>
                <w:szCs w:val="16"/>
              </w:rPr>
            </w:pPr>
            <w:r w:rsidRPr="00B214CB">
              <w:rPr>
                <w:b/>
                <w:bCs/>
                <w:sz w:val="16"/>
                <w:szCs w:val="16"/>
              </w:rPr>
              <w:t>Taux d’utilisation (%)</w:t>
            </w:r>
          </w:p>
        </w:tc>
      </w:tr>
      <w:tr w:rsidR="00F96912" w:rsidRPr="00CD000E" w14:paraId="7FCB3A14" w14:textId="77777777" w:rsidTr="006658D5">
        <w:trPr>
          <w:jc w:val="center"/>
        </w:trPr>
        <w:tc>
          <w:tcPr>
            <w:tcW w:w="2470" w:type="dxa"/>
            <w:tcBorders>
              <w:top w:val="nil"/>
              <w:left w:val="nil"/>
              <w:bottom w:val="nil"/>
              <w:right w:val="nil"/>
            </w:tcBorders>
            <w:shd w:val="clear" w:color="auto" w:fill="auto"/>
            <w:noWrap/>
            <w:vAlign w:val="center"/>
            <w:hideMark/>
          </w:tcPr>
          <w:p w14:paraId="61C7977B" w14:textId="77777777" w:rsidR="00F96912" w:rsidRPr="00CD000E" w:rsidRDefault="00F96912" w:rsidP="006658D5">
            <w:pPr>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410B3668" w14:textId="77777777" w:rsidR="00F96912" w:rsidRPr="00CD000E" w:rsidRDefault="00F96912" w:rsidP="006658D5">
            <w:pPr>
              <w:jc w:val="center"/>
              <w:rPr>
                <w:color w:val="000000"/>
                <w:sz w:val="16"/>
                <w:szCs w:val="16"/>
              </w:rPr>
            </w:pPr>
            <w:r w:rsidRPr="00CD000E">
              <w:rPr>
                <w:color w:val="000000"/>
                <w:sz w:val="16"/>
                <w:szCs w:val="16"/>
              </w:rPr>
              <w:t xml:space="preserve">18 130 </w:t>
            </w:r>
          </w:p>
        </w:tc>
        <w:tc>
          <w:tcPr>
            <w:tcW w:w="1438" w:type="dxa"/>
            <w:tcBorders>
              <w:top w:val="nil"/>
              <w:left w:val="nil"/>
              <w:bottom w:val="nil"/>
              <w:right w:val="nil"/>
            </w:tcBorders>
            <w:shd w:val="clear" w:color="auto" w:fill="auto"/>
            <w:vAlign w:val="center"/>
            <w:hideMark/>
          </w:tcPr>
          <w:p w14:paraId="6632FCC2" w14:textId="77777777" w:rsidR="00F96912" w:rsidRPr="00CD000E" w:rsidRDefault="00F96912" w:rsidP="006658D5">
            <w:pPr>
              <w:jc w:val="center"/>
              <w:rPr>
                <w:color w:val="000000"/>
                <w:sz w:val="16"/>
                <w:szCs w:val="16"/>
              </w:rPr>
            </w:pPr>
            <w:r w:rsidRPr="00CD000E">
              <w:rPr>
                <w:color w:val="000000"/>
                <w:sz w:val="16"/>
                <w:szCs w:val="16"/>
              </w:rPr>
              <w:t xml:space="preserve">16 254 </w:t>
            </w:r>
          </w:p>
        </w:tc>
        <w:tc>
          <w:tcPr>
            <w:tcW w:w="1438" w:type="dxa"/>
            <w:tcBorders>
              <w:top w:val="nil"/>
              <w:left w:val="nil"/>
              <w:bottom w:val="nil"/>
              <w:right w:val="nil"/>
            </w:tcBorders>
            <w:shd w:val="clear" w:color="auto" w:fill="auto"/>
            <w:vAlign w:val="center"/>
            <w:hideMark/>
          </w:tcPr>
          <w:p w14:paraId="4D179B88" w14:textId="77777777" w:rsidR="00F96912" w:rsidRPr="00CD000E" w:rsidRDefault="00F96912" w:rsidP="006658D5">
            <w:pPr>
              <w:jc w:val="center"/>
              <w:rPr>
                <w:color w:val="000000"/>
                <w:sz w:val="16"/>
                <w:szCs w:val="16"/>
              </w:rPr>
            </w:pPr>
            <w:r w:rsidRPr="00CD000E">
              <w:rPr>
                <w:color w:val="000000"/>
                <w:sz w:val="16"/>
                <w:szCs w:val="16"/>
              </w:rPr>
              <w:t xml:space="preserve">7 988 </w:t>
            </w:r>
          </w:p>
        </w:tc>
        <w:tc>
          <w:tcPr>
            <w:tcW w:w="1438" w:type="dxa"/>
            <w:tcBorders>
              <w:top w:val="nil"/>
              <w:left w:val="nil"/>
              <w:bottom w:val="nil"/>
              <w:right w:val="nil"/>
            </w:tcBorders>
            <w:shd w:val="clear" w:color="auto" w:fill="auto"/>
            <w:vAlign w:val="center"/>
            <w:hideMark/>
          </w:tcPr>
          <w:p w14:paraId="1DB69051" w14:textId="77777777" w:rsidR="00F96912" w:rsidRPr="00B214CB" w:rsidRDefault="00F96912" w:rsidP="006658D5">
            <w:pPr>
              <w:jc w:val="center"/>
              <w:rPr>
                <w:sz w:val="16"/>
                <w:szCs w:val="16"/>
              </w:rPr>
            </w:pPr>
            <w:r w:rsidRPr="00B214CB">
              <w:rPr>
                <w:sz w:val="16"/>
                <w:szCs w:val="16"/>
              </w:rPr>
              <w:t>49%</w:t>
            </w:r>
          </w:p>
        </w:tc>
      </w:tr>
      <w:tr w:rsidR="00F96912" w:rsidRPr="00CD000E" w14:paraId="1508AC59" w14:textId="77777777" w:rsidTr="006658D5">
        <w:trPr>
          <w:jc w:val="center"/>
        </w:trPr>
        <w:tc>
          <w:tcPr>
            <w:tcW w:w="2470" w:type="dxa"/>
            <w:tcBorders>
              <w:top w:val="nil"/>
              <w:left w:val="nil"/>
              <w:bottom w:val="nil"/>
              <w:right w:val="nil"/>
            </w:tcBorders>
            <w:shd w:val="clear" w:color="auto" w:fill="auto"/>
            <w:noWrap/>
            <w:vAlign w:val="center"/>
            <w:hideMark/>
          </w:tcPr>
          <w:p w14:paraId="32801C7C" w14:textId="77777777" w:rsidR="00F96912" w:rsidRPr="00CD000E" w:rsidRDefault="00F96912" w:rsidP="006658D5">
            <w:pPr>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77D18740" w14:textId="77777777" w:rsidR="00F96912" w:rsidRPr="00CD000E" w:rsidRDefault="00F96912" w:rsidP="006658D5">
            <w:pPr>
              <w:jc w:val="center"/>
              <w:rPr>
                <w:color w:val="000000"/>
                <w:sz w:val="16"/>
                <w:szCs w:val="16"/>
              </w:rPr>
            </w:pPr>
            <w:r w:rsidRPr="00CD000E">
              <w:rPr>
                <w:color w:val="000000"/>
                <w:sz w:val="16"/>
                <w:szCs w:val="16"/>
              </w:rPr>
              <w:t xml:space="preserve">2 545 </w:t>
            </w:r>
          </w:p>
        </w:tc>
        <w:tc>
          <w:tcPr>
            <w:tcW w:w="1438" w:type="dxa"/>
            <w:tcBorders>
              <w:top w:val="nil"/>
              <w:left w:val="nil"/>
              <w:bottom w:val="nil"/>
              <w:right w:val="nil"/>
            </w:tcBorders>
            <w:shd w:val="clear" w:color="auto" w:fill="auto"/>
            <w:vAlign w:val="center"/>
            <w:hideMark/>
          </w:tcPr>
          <w:p w14:paraId="3C3EAA05" w14:textId="77777777" w:rsidR="00F96912" w:rsidRPr="00CD000E" w:rsidRDefault="00F96912" w:rsidP="006658D5">
            <w:pPr>
              <w:jc w:val="center"/>
              <w:rPr>
                <w:color w:val="000000"/>
                <w:sz w:val="16"/>
                <w:szCs w:val="16"/>
              </w:rPr>
            </w:pPr>
            <w:r w:rsidRPr="00CD000E">
              <w:rPr>
                <w:color w:val="000000"/>
                <w:sz w:val="16"/>
                <w:szCs w:val="16"/>
              </w:rPr>
              <w:t xml:space="preserve">3 185 </w:t>
            </w:r>
          </w:p>
        </w:tc>
        <w:tc>
          <w:tcPr>
            <w:tcW w:w="1438" w:type="dxa"/>
            <w:tcBorders>
              <w:top w:val="nil"/>
              <w:left w:val="nil"/>
              <w:bottom w:val="nil"/>
              <w:right w:val="nil"/>
            </w:tcBorders>
            <w:shd w:val="clear" w:color="auto" w:fill="auto"/>
            <w:vAlign w:val="center"/>
            <w:hideMark/>
          </w:tcPr>
          <w:p w14:paraId="4B0D60C0" w14:textId="77777777" w:rsidR="00F96912" w:rsidRPr="00CD000E" w:rsidRDefault="00F96912" w:rsidP="006658D5">
            <w:pPr>
              <w:jc w:val="center"/>
              <w:rPr>
                <w:color w:val="000000"/>
                <w:sz w:val="16"/>
                <w:szCs w:val="16"/>
              </w:rPr>
            </w:pPr>
            <w:r w:rsidRPr="00CD000E">
              <w:rPr>
                <w:color w:val="000000"/>
                <w:sz w:val="16"/>
                <w:szCs w:val="16"/>
              </w:rPr>
              <w:t xml:space="preserve">1 441 </w:t>
            </w:r>
          </w:p>
        </w:tc>
        <w:tc>
          <w:tcPr>
            <w:tcW w:w="1438" w:type="dxa"/>
            <w:tcBorders>
              <w:top w:val="nil"/>
              <w:left w:val="nil"/>
              <w:bottom w:val="nil"/>
              <w:right w:val="nil"/>
            </w:tcBorders>
            <w:shd w:val="clear" w:color="auto" w:fill="auto"/>
            <w:vAlign w:val="center"/>
            <w:hideMark/>
          </w:tcPr>
          <w:p w14:paraId="5B4584E8" w14:textId="77777777" w:rsidR="00F96912" w:rsidRPr="00B214CB" w:rsidRDefault="00F96912" w:rsidP="006658D5">
            <w:pPr>
              <w:jc w:val="center"/>
              <w:rPr>
                <w:sz w:val="16"/>
                <w:szCs w:val="16"/>
              </w:rPr>
            </w:pPr>
            <w:r w:rsidRPr="00B214CB">
              <w:rPr>
                <w:sz w:val="16"/>
                <w:szCs w:val="16"/>
              </w:rPr>
              <w:t>45%</w:t>
            </w:r>
          </w:p>
        </w:tc>
      </w:tr>
      <w:tr w:rsidR="00F96912" w:rsidRPr="00CD000E" w14:paraId="14DC3356" w14:textId="77777777" w:rsidTr="006658D5">
        <w:trPr>
          <w:jc w:val="center"/>
        </w:trPr>
        <w:tc>
          <w:tcPr>
            <w:tcW w:w="2470" w:type="dxa"/>
            <w:tcBorders>
              <w:top w:val="nil"/>
              <w:left w:val="nil"/>
              <w:bottom w:val="nil"/>
              <w:right w:val="nil"/>
            </w:tcBorders>
            <w:shd w:val="clear" w:color="000000" w:fill="C5D9F1"/>
            <w:noWrap/>
            <w:vAlign w:val="center"/>
            <w:hideMark/>
          </w:tcPr>
          <w:p w14:paraId="08C893AC" w14:textId="77777777" w:rsidR="00F96912" w:rsidRPr="00CD000E" w:rsidRDefault="00F96912" w:rsidP="006658D5">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11D5EFF3" w14:textId="77777777" w:rsidR="00F96912" w:rsidRPr="00CD000E" w:rsidRDefault="00F96912" w:rsidP="006658D5">
            <w:pPr>
              <w:jc w:val="center"/>
              <w:rPr>
                <w:b/>
                <w:bCs/>
                <w:color w:val="000000"/>
                <w:sz w:val="16"/>
                <w:szCs w:val="16"/>
              </w:rPr>
            </w:pPr>
            <w:r w:rsidRPr="00CD000E">
              <w:rPr>
                <w:b/>
                <w:bCs/>
                <w:color w:val="000000"/>
                <w:sz w:val="16"/>
                <w:szCs w:val="16"/>
              </w:rPr>
              <w:t xml:space="preserve">20 675 </w:t>
            </w:r>
          </w:p>
        </w:tc>
        <w:tc>
          <w:tcPr>
            <w:tcW w:w="1438" w:type="dxa"/>
            <w:tcBorders>
              <w:top w:val="nil"/>
              <w:left w:val="nil"/>
              <w:bottom w:val="nil"/>
              <w:right w:val="nil"/>
            </w:tcBorders>
            <w:shd w:val="clear" w:color="000000" w:fill="C5D9F1"/>
            <w:vAlign w:val="center"/>
            <w:hideMark/>
          </w:tcPr>
          <w:p w14:paraId="5762F52C" w14:textId="77777777" w:rsidR="00F96912" w:rsidRPr="00CD000E" w:rsidRDefault="00F96912" w:rsidP="006658D5">
            <w:pPr>
              <w:jc w:val="center"/>
              <w:rPr>
                <w:b/>
                <w:bCs/>
                <w:color w:val="000000"/>
                <w:sz w:val="16"/>
                <w:szCs w:val="16"/>
              </w:rPr>
            </w:pPr>
            <w:r w:rsidRPr="00CD000E">
              <w:rPr>
                <w:b/>
                <w:bCs/>
                <w:color w:val="000000"/>
                <w:sz w:val="16"/>
                <w:szCs w:val="16"/>
              </w:rPr>
              <w:t xml:space="preserve">19 439 </w:t>
            </w:r>
          </w:p>
        </w:tc>
        <w:tc>
          <w:tcPr>
            <w:tcW w:w="1438" w:type="dxa"/>
            <w:tcBorders>
              <w:top w:val="nil"/>
              <w:left w:val="nil"/>
              <w:bottom w:val="nil"/>
              <w:right w:val="nil"/>
            </w:tcBorders>
            <w:shd w:val="clear" w:color="000000" w:fill="C5D9F1"/>
            <w:vAlign w:val="center"/>
            <w:hideMark/>
          </w:tcPr>
          <w:p w14:paraId="0A648629" w14:textId="77777777" w:rsidR="00F96912" w:rsidRPr="00CD000E" w:rsidRDefault="00F96912" w:rsidP="006658D5">
            <w:pPr>
              <w:jc w:val="center"/>
              <w:rPr>
                <w:b/>
                <w:bCs/>
                <w:color w:val="000000"/>
                <w:sz w:val="16"/>
                <w:szCs w:val="16"/>
              </w:rPr>
            </w:pPr>
            <w:r w:rsidRPr="00CD000E">
              <w:rPr>
                <w:b/>
                <w:bCs/>
                <w:color w:val="000000"/>
                <w:sz w:val="16"/>
                <w:szCs w:val="16"/>
              </w:rPr>
              <w:t xml:space="preserve">9 429 </w:t>
            </w:r>
          </w:p>
        </w:tc>
        <w:tc>
          <w:tcPr>
            <w:tcW w:w="1438" w:type="dxa"/>
            <w:tcBorders>
              <w:top w:val="nil"/>
              <w:left w:val="nil"/>
              <w:bottom w:val="nil"/>
              <w:right w:val="nil"/>
            </w:tcBorders>
            <w:shd w:val="clear" w:color="000000" w:fill="C5D9F1"/>
            <w:vAlign w:val="center"/>
            <w:hideMark/>
          </w:tcPr>
          <w:p w14:paraId="4D7B78F5" w14:textId="77777777" w:rsidR="00F96912" w:rsidRPr="00B214CB" w:rsidRDefault="00F96912" w:rsidP="006658D5">
            <w:pPr>
              <w:jc w:val="center"/>
              <w:rPr>
                <w:b/>
                <w:bCs/>
                <w:sz w:val="16"/>
                <w:szCs w:val="16"/>
              </w:rPr>
            </w:pPr>
            <w:r w:rsidRPr="00B214CB">
              <w:rPr>
                <w:b/>
                <w:bCs/>
                <w:sz w:val="16"/>
                <w:szCs w:val="16"/>
              </w:rPr>
              <w:t>49%</w:t>
            </w:r>
          </w:p>
        </w:tc>
      </w:tr>
      <w:tr w:rsidR="00F96912" w:rsidRPr="00CD000E" w14:paraId="4081FF29"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5EAA2609" w14:textId="77777777" w:rsidR="00F96912" w:rsidRPr="00B214CB" w:rsidRDefault="00F96912" w:rsidP="006658D5">
            <w:pPr>
              <w:rPr>
                <w:i/>
                <w:iCs/>
                <w:sz w:val="16"/>
                <w:szCs w:val="16"/>
              </w:rPr>
            </w:pPr>
            <w:r w:rsidRPr="00B214CB">
              <w:rPr>
                <w:i/>
                <w:iCs/>
                <w:sz w:val="16"/>
                <w:szCs w:val="16"/>
              </w:rPr>
              <w:t xml:space="preserve">*Les chiffres des dépenses pour 2016 sont préliminaires, sous réserve d’audit par les vérificateurs externes des comptes </w:t>
            </w:r>
          </w:p>
        </w:tc>
      </w:tr>
    </w:tbl>
    <w:p w14:paraId="5626A435" w14:textId="77777777" w:rsidR="00F96912" w:rsidRPr="00CD000E" w:rsidRDefault="00F96912" w:rsidP="00F96912">
      <w:pPr>
        <w:rPr>
          <w:color w:val="000000"/>
        </w:rPr>
      </w:pPr>
    </w:p>
    <w:p w14:paraId="237656B4" w14:textId="07AA9947" w:rsidR="00F96912" w:rsidRPr="00CD000E" w:rsidRDefault="00F96912" w:rsidP="00F96912">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0DE8FBE1" w14:textId="77777777" w:rsidR="00F96912" w:rsidRPr="00B214CB" w:rsidRDefault="00F96912" w:rsidP="00F96912">
      <w:pPr>
        <w:rPr>
          <w:color w:val="000000"/>
          <w:sz w:val="20"/>
        </w:rPr>
      </w:pPr>
    </w:p>
    <w:p w14:paraId="3E139AF7" w14:textId="77777777" w:rsidR="00F96912" w:rsidRPr="00B214CB" w:rsidRDefault="00F96912" w:rsidP="00F96912">
      <w:pPr>
        <w:rPr>
          <w:color w:val="000000"/>
          <w:sz w:val="20"/>
        </w:rPr>
      </w:pPr>
    </w:p>
    <w:p w14:paraId="112CC05D" w14:textId="77777777" w:rsidR="00F96912" w:rsidRPr="00B214CB" w:rsidRDefault="00F96912" w:rsidP="00F96912">
      <w:pPr>
        <w:jc w:val="both"/>
        <w:rPr>
          <w:color w:val="000000"/>
          <w:sz w:val="20"/>
          <w:u w:val="single"/>
        </w:rPr>
      </w:pPr>
      <w:r w:rsidRPr="00B214CB">
        <w:rPr>
          <w:color w:val="000000"/>
          <w:sz w:val="20"/>
        </w:rPr>
        <w:t>A.</w:t>
      </w:r>
      <w:r w:rsidRPr="00B214CB">
        <w:rPr>
          <w:color w:val="000000"/>
          <w:sz w:val="20"/>
        </w:rPr>
        <w:tab/>
      </w:r>
      <w:r w:rsidRPr="00B214CB">
        <w:rPr>
          <w:color w:val="000000"/>
          <w:sz w:val="20"/>
          <w:u w:val="single"/>
        </w:rPr>
        <w:t>Budget 2016</w:t>
      </w:r>
      <w:r w:rsidRPr="00B214CB">
        <w:rPr>
          <w:color w:val="000000"/>
          <w:sz w:val="20"/>
          <w:u w:val="single"/>
        </w:rPr>
        <w:noBreakHyphen/>
        <w:t>2017 après virements</w:t>
      </w:r>
    </w:p>
    <w:p w14:paraId="7CDC5FF6" w14:textId="77777777" w:rsidR="00F96912" w:rsidRPr="00B214CB" w:rsidRDefault="00F96912" w:rsidP="00F96912">
      <w:pPr>
        <w:jc w:val="both"/>
        <w:rPr>
          <w:color w:val="000000"/>
          <w:sz w:val="20"/>
        </w:rPr>
      </w:pPr>
    </w:p>
    <w:p w14:paraId="2D5A58B4" w14:textId="77777777" w:rsidR="00F96912" w:rsidRPr="00B214CB" w:rsidRDefault="00F96912" w:rsidP="00D544B8">
      <w:pPr>
        <w:pStyle w:val="ListParagraph"/>
        <w:numPr>
          <w:ilvl w:val="0"/>
          <w:numId w:val="32"/>
        </w:numPr>
        <w:ind w:left="0" w:firstLine="0"/>
        <w:contextualSpacing w:val="0"/>
        <w:jc w:val="both"/>
        <w:rPr>
          <w:rFonts w:ascii="Arial" w:hAnsi="Arial" w:cs="Arial"/>
          <w:color w:val="000000"/>
          <w:sz w:val="20"/>
        </w:rPr>
      </w:pPr>
      <w:r w:rsidRPr="00B214CB">
        <w:rPr>
          <w:rFonts w:ascii="Arial" w:hAnsi="Arial" w:cs="Arial"/>
          <w:color w:val="000000"/>
          <w:sz w:val="20"/>
        </w:rPr>
        <w:t>La réduction des dépenses de personnel par rapport au budget 2016</w:t>
      </w:r>
      <w:r w:rsidRPr="00B214CB">
        <w:rPr>
          <w:rFonts w:ascii="Arial" w:hAnsi="Arial" w:cs="Arial"/>
          <w:color w:val="000000"/>
          <w:sz w:val="20"/>
        </w:rPr>
        <w:noBreakHyphen/>
        <w:t xml:space="preserve">2017 approuvé était due principalement au transfert de WIPO </w:t>
      </w:r>
      <w:proofErr w:type="spellStart"/>
      <w:r w:rsidRPr="00B214CB">
        <w:rPr>
          <w:rFonts w:ascii="Arial" w:hAnsi="Arial" w:cs="Arial"/>
          <w:color w:val="000000"/>
          <w:sz w:val="20"/>
        </w:rPr>
        <w:t>Lex</w:t>
      </w:r>
      <w:proofErr w:type="spellEnd"/>
      <w:r w:rsidRPr="00B214CB">
        <w:rPr>
          <w:rFonts w:ascii="Arial" w:hAnsi="Arial" w:cs="Arial"/>
          <w:color w:val="000000"/>
          <w:sz w:val="20"/>
        </w:rPr>
        <w:t xml:space="preserve"> au Service des bases de données mondiales (programme 13).  Cela se traduit par une baisse des ressources au titre du résultat escompté IV.2 (Amélioration de l’accessibilité de l’information en matière de propriété intellectuelle).</w:t>
      </w:r>
    </w:p>
    <w:p w14:paraId="7E09C049" w14:textId="77777777" w:rsidR="00F96912" w:rsidRPr="00B214CB" w:rsidRDefault="00F96912" w:rsidP="00F96912">
      <w:pPr>
        <w:jc w:val="both"/>
        <w:rPr>
          <w:color w:val="000000"/>
          <w:sz w:val="20"/>
        </w:rPr>
      </w:pPr>
    </w:p>
    <w:p w14:paraId="5722BAFC" w14:textId="77777777" w:rsidR="00F96912" w:rsidRPr="00B214CB" w:rsidRDefault="00F96912" w:rsidP="00D544B8">
      <w:pPr>
        <w:pStyle w:val="ListParagraph"/>
        <w:numPr>
          <w:ilvl w:val="0"/>
          <w:numId w:val="32"/>
        </w:numPr>
        <w:ind w:left="0" w:firstLine="0"/>
        <w:contextualSpacing w:val="0"/>
        <w:jc w:val="both"/>
        <w:rPr>
          <w:rFonts w:ascii="Arial" w:hAnsi="Arial" w:cs="Arial"/>
          <w:color w:val="000000"/>
          <w:sz w:val="20"/>
        </w:rPr>
      </w:pPr>
      <w:r w:rsidRPr="00B214CB">
        <w:rPr>
          <w:rFonts w:ascii="Arial" w:hAnsi="Arial" w:cs="Arial"/>
          <w:color w:val="000000"/>
          <w:sz w:val="20"/>
        </w:rPr>
        <w:t>L’augmentation des dépenses autres que celles de personnel s’explique essentiellement par le transfert de ressources supplémentaires au programme pour : i) l’organisation de la</w:t>
      </w:r>
      <w:r w:rsidRPr="00B214CB">
        <w:rPr>
          <w:sz w:val="20"/>
        </w:rPr>
        <w:t xml:space="preserve"> </w:t>
      </w:r>
      <w:r w:rsidRPr="00B214CB">
        <w:rPr>
          <w:rFonts w:ascii="Arial" w:hAnsi="Arial" w:cs="Arial"/>
          <w:color w:val="000000"/>
          <w:sz w:val="20"/>
        </w:rPr>
        <w:t>Conférence internationale sur le marché mondial des contenus numérique;  ii) l’organisation de différents événements dans les locaux de l’OMPI;  et iii) les activités liées au protocole, tout cela au titre du résultat escompté VIII.3 (Engagement réel auprès des États membres);  et iv) les frais de réception en rapport avec les assemblées de l’OMPI, répercutés sous le résultat escompté IX.3 (Un environnement de travail stimulant).  En outre, certaines ressources ont été redistribuées entre les résultats escomptés VIII.3 et</w:t>
      </w:r>
      <w:r>
        <w:rPr>
          <w:rFonts w:ascii="Arial" w:hAnsi="Arial" w:cs="Arial"/>
          <w:color w:val="000000"/>
          <w:sz w:val="20"/>
        </w:rPr>
        <w:t> </w:t>
      </w:r>
      <w:r w:rsidRPr="00B214CB">
        <w:rPr>
          <w:rFonts w:ascii="Arial" w:hAnsi="Arial" w:cs="Arial"/>
          <w:color w:val="000000"/>
          <w:sz w:val="20"/>
        </w:rPr>
        <w:t>IX.2 (Un Secrétariat réactif, fonctionnant harmonieusement), conformément aux plans de travail pour 2016.</w:t>
      </w:r>
    </w:p>
    <w:p w14:paraId="6A6C4929" w14:textId="77777777" w:rsidR="00F96912" w:rsidRPr="00B214CB" w:rsidRDefault="00F96912" w:rsidP="00F96912">
      <w:pPr>
        <w:jc w:val="both"/>
        <w:rPr>
          <w:color w:val="000000"/>
          <w:sz w:val="20"/>
        </w:rPr>
      </w:pPr>
    </w:p>
    <w:p w14:paraId="573F8E26" w14:textId="77777777" w:rsidR="00F96912" w:rsidRPr="00B214CB" w:rsidRDefault="00F96912" w:rsidP="00F96912">
      <w:pPr>
        <w:jc w:val="both"/>
        <w:rPr>
          <w:color w:val="000000"/>
          <w:sz w:val="20"/>
        </w:rPr>
      </w:pPr>
      <w:r w:rsidRPr="00B214CB">
        <w:rPr>
          <w:color w:val="000000"/>
          <w:sz w:val="20"/>
        </w:rPr>
        <w:t>B.</w:t>
      </w:r>
      <w:r w:rsidRPr="00B214CB">
        <w:rPr>
          <w:color w:val="000000"/>
          <w:sz w:val="20"/>
        </w:rPr>
        <w:tab/>
      </w:r>
      <w:r w:rsidRPr="00B214CB">
        <w:rPr>
          <w:color w:val="000000"/>
          <w:sz w:val="20"/>
          <w:u w:val="single"/>
        </w:rPr>
        <w:t>Utilisation du budget 2016</w:t>
      </w:r>
      <w:r w:rsidRPr="00B214CB">
        <w:rPr>
          <w:color w:val="000000"/>
          <w:sz w:val="20"/>
          <w:u w:val="single"/>
        </w:rPr>
        <w:noBreakHyphen/>
        <w:t>2017</w:t>
      </w:r>
    </w:p>
    <w:p w14:paraId="3C3D22FE" w14:textId="77777777" w:rsidR="00F96912" w:rsidRPr="00B214CB" w:rsidRDefault="00F96912" w:rsidP="00F96912">
      <w:pPr>
        <w:jc w:val="both"/>
        <w:rPr>
          <w:color w:val="000000"/>
          <w:sz w:val="20"/>
        </w:rPr>
      </w:pPr>
    </w:p>
    <w:p w14:paraId="1074464A" w14:textId="77777777" w:rsidR="00F96912" w:rsidRPr="00B214CB" w:rsidRDefault="00F96912" w:rsidP="00D544B8">
      <w:pPr>
        <w:pStyle w:val="ListParagraph"/>
        <w:numPr>
          <w:ilvl w:val="0"/>
          <w:numId w:val="32"/>
        </w:numPr>
        <w:ind w:left="0" w:firstLine="0"/>
        <w:contextualSpacing w:val="0"/>
        <w:jc w:val="both"/>
        <w:rPr>
          <w:rFonts w:ascii="Arial" w:hAnsi="Arial" w:cs="Arial"/>
          <w:color w:val="000000"/>
          <w:sz w:val="20"/>
        </w:rPr>
      </w:pPr>
      <w:r w:rsidRPr="00B214CB">
        <w:rPr>
          <w:rFonts w:ascii="Arial" w:hAnsi="Arial" w:cs="Arial"/>
          <w:color w:val="000000"/>
          <w:sz w:val="20"/>
        </w:rPr>
        <w:t>L’utilisation du budget se situe dan</w:t>
      </w:r>
      <w:r>
        <w:rPr>
          <w:rFonts w:ascii="Arial" w:hAnsi="Arial" w:cs="Arial"/>
          <w:color w:val="000000"/>
          <w:sz w:val="20"/>
        </w:rPr>
        <w:t>s la fourchette prévue des 40 à </w:t>
      </w:r>
      <w:r w:rsidRPr="00B214CB">
        <w:rPr>
          <w:rFonts w:ascii="Arial" w:hAnsi="Arial" w:cs="Arial"/>
          <w:color w:val="000000"/>
          <w:sz w:val="20"/>
        </w:rPr>
        <w:t>60% pour la première année de l’exercice biennal.</w:t>
      </w:r>
    </w:p>
    <w:p w14:paraId="57B93A75" w14:textId="77777777" w:rsidR="00F96912" w:rsidRPr="00CD000E" w:rsidRDefault="00F96912" w:rsidP="00F96912">
      <w:pPr>
        <w:rPr>
          <w:rFonts w:eastAsia="SimSun"/>
          <w:b/>
          <w:bCs/>
          <w:caps/>
          <w:kern w:val="32"/>
          <w:szCs w:val="32"/>
        </w:rPr>
      </w:pPr>
      <w:r w:rsidRPr="00CD000E">
        <w:br w:type="page"/>
      </w:r>
    </w:p>
    <w:p w14:paraId="796998B3" w14:textId="053F4BE1" w:rsidR="001F64B1" w:rsidRPr="001E6DFD" w:rsidRDefault="00C243CA" w:rsidP="0087680E">
      <w:pPr>
        <w:pStyle w:val="Heading3"/>
      </w:pPr>
      <w:bookmarkStart w:id="75" w:name="_Toc482774621"/>
      <w:r w:rsidRPr="001E6DFD">
        <w:t>Programme</w:t>
      </w:r>
      <w:r w:rsidR="00B4191E">
        <w:t> </w:t>
      </w:r>
      <w:r w:rsidRPr="001E6DFD">
        <w:t>22</w:t>
      </w:r>
      <w:r w:rsidRPr="001E6DFD">
        <w:tab/>
      </w:r>
      <w:r w:rsidRPr="001E6DFD">
        <w:rPr>
          <w:bCs/>
          <w:szCs w:val="22"/>
          <w:rtl/>
        </w:rPr>
        <w:t>‏</w:t>
      </w:r>
      <w:r w:rsidRPr="001E6DFD">
        <w:t>Gestion des programmes et des ressources</w:t>
      </w:r>
      <w:bookmarkEnd w:id="75"/>
    </w:p>
    <w:p w14:paraId="63140C80" w14:textId="77777777" w:rsidR="001F64B1" w:rsidRPr="001E6DFD" w:rsidRDefault="001F64B1" w:rsidP="00912C62">
      <w:pPr>
        <w:tabs>
          <w:tab w:val="left" w:pos="2268"/>
        </w:tabs>
        <w:ind w:left="2268" w:hanging="2268"/>
        <w:rPr>
          <w:sz w:val="20"/>
        </w:rPr>
      </w:pPr>
    </w:p>
    <w:p w14:paraId="133085E9" w14:textId="77777777" w:rsidR="001F64B1" w:rsidRPr="001E6DFD" w:rsidRDefault="00C243CA" w:rsidP="00912C62">
      <w:pPr>
        <w:tabs>
          <w:tab w:val="left" w:pos="2268"/>
        </w:tabs>
        <w:ind w:left="2268" w:hanging="2268"/>
        <w:rPr>
          <w:b/>
          <w:sz w:val="20"/>
          <w:szCs w:val="22"/>
        </w:rPr>
      </w:pPr>
      <w:r w:rsidRPr="001E6DFD">
        <w:rPr>
          <w:b/>
          <w:sz w:val="20"/>
          <w:szCs w:val="22"/>
        </w:rPr>
        <w:t>Chef de programme</w:t>
      </w:r>
      <w:r w:rsidRPr="001E6DFD">
        <w:rPr>
          <w:b/>
          <w:sz w:val="20"/>
          <w:szCs w:val="22"/>
        </w:rPr>
        <w:tab/>
        <w:t>M. A. Sundaram</w:t>
      </w:r>
    </w:p>
    <w:p w14:paraId="478DF557" w14:textId="77777777" w:rsidR="001F64B1" w:rsidRPr="001E6DFD" w:rsidRDefault="001F64B1" w:rsidP="0097226C">
      <w:pPr>
        <w:tabs>
          <w:tab w:val="left" w:pos="1985"/>
        </w:tabs>
        <w:rPr>
          <w:bCs/>
          <w:sz w:val="20"/>
          <w:szCs w:val="22"/>
        </w:rPr>
      </w:pPr>
    </w:p>
    <w:p w14:paraId="2C09DF33" w14:textId="651B1C59" w:rsidR="00BA5EA9" w:rsidRPr="001E6DFD" w:rsidRDefault="00B05B15" w:rsidP="0097226C">
      <w:pPr>
        <w:jc w:val="center"/>
        <w:rPr>
          <w:sz w:val="20"/>
        </w:rPr>
      </w:pPr>
      <w:r w:rsidRPr="00B05B15">
        <w:rPr>
          <w:noProof/>
          <w:lang w:val="en-US"/>
        </w:rPr>
        <w:drawing>
          <wp:inline distT="0" distB="0" distL="0" distR="0" wp14:anchorId="54066A87" wp14:editId="74F65301">
            <wp:extent cx="3960000" cy="2734721"/>
            <wp:effectExtent l="0" t="0" r="254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960000" cy="2734721"/>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515"/>
        <w:gridCol w:w="2776"/>
        <w:gridCol w:w="9"/>
        <w:gridCol w:w="1528"/>
        <w:gridCol w:w="147"/>
        <w:gridCol w:w="74"/>
        <w:gridCol w:w="2088"/>
        <w:gridCol w:w="1050"/>
      </w:tblGrid>
      <w:tr w:rsidR="00BA5EA9" w:rsidRPr="001E6DFD" w14:paraId="3B0E2009" w14:textId="77777777" w:rsidTr="005C716A">
        <w:tc>
          <w:tcPr>
            <w:tcW w:w="5000" w:type="pct"/>
            <w:gridSpan w:val="8"/>
            <w:shd w:val="clear" w:color="auto" w:fill="C6D9F1" w:themeFill="text2" w:themeFillTint="33"/>
            <w:tcMar>
              <w:left w:w="58" w:type="dxa"/>
              <w:right w:w="58" w:type="dxa"/>
            </w:tcMar>
            <w:vAlign w:val="center"/>
          </w:tcPr>
          <w:p w14:paraId="11C48424" w14:textId="58B3BA2A" w:rsidR="00BA5EA9" w:rsidRPr="001E6DFD" w:rsidRDefault="00C243CA"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Cs/>
                <w:sz w:val="16"/>
                <w:szCs w:val="16"/>
              </w:rPr>
              <w:t xml:space="preserve"> IX.1 Services d</w:t>
            </w:r>
            <w:r w:rsidR="00FA22F6" w:rsidRPr="001E6DFD">
              <w:rPr>
                <w:bCs/>
                <w:sz w:val="16"/>
                <w:szCs w:val="16"/>
              </w:rPr>
              <w:t>’</w:t>
            </w:r>
            <w:r w:rsidRPr="001E6DFD">
              <w:rPr>
                <w:bCs/>
                <w:sz w:val="16"/>
                <w:szCs w:val="16"/>
              </w:rPr>
              <w:t>appui efficaces, efficients, de qualité et tournés vers la clientèle, à l</w:t>
            </w:r>
            <w:r w:rsidR="00FA22F6" w:rsidRPr="001E6DFD">
              <w:rPr>
                <w:bCs/>
                <w:sz w:val="16"/>
                <w:szCs w:val="16"/>
              </w:rPr>
              <w:t>’</w:t>
            </w:r>
            <w:r w:rsidRPr="001E6DFD">
              <w:rPr>
                <w:bCs/>
                <w:sz w:val="16"/>
                <w:szCs w:val="16"/>
              </w:rPr>
              <w:t>intention à la fois des clients internes et des parties prenantes externes</w:t>
            </w:r>
          </w:p>
        </w:tc>
      </w:tr>
      <w:tr w:rsidR="00BA5EA9" w:rsidRPr="001E6DFD" w14:paraId="093ECA46" w14:textId="77777777" w:rsidTr="005C716A">
        <w:tc>
          <w:tcPr>
            <w:tcW w:w="905" w:type="pct"/>
            <w:shd w:val="clear" w:color="auto" w:fill="auto"/>
            <w:tcMar>
              <w:left w:w="58" w:type="dxa"/>
              <w:right w:w="58" w:type="dxa"/>
            </w:tcMar>
            <w:vAlign w:val="center"/>
          </w:tcPr>
          <w:p w14:paraId="27EFD3A3" w14:textId="682DBAFF" w:rsidR="00BA5EA9" w:rsidRPr="001E6DFD" w:rsidRDefault="00C243CA"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475" w:type="pct"/>
            <w:shd w:val="clear" w:color="auto" w:fill="auto"/>
            <w:tcMar>
              <w:left w:w="58" w:type="dxa"/>
              <w:right w:w="58" w:type="dxa"/>
            </w:tcMar>
            <w:vAlign w:val="center"/>
          </w:tcPr>
          <w:p w14:paraId="3696C9F0" w14:textId="77777777" w:rsidR="00BA5EA9" w:rsidRPr="001E6DFD" w:rsidRDefault="00C243CA" w:rsidP="0097226C">
            <w:pPr>
              <w:jc w:val="center"/>
              <w:rPr>
                <w:b/>
                <w:bCs/>
                <w:sz w:val="16"/>
                <w:szCs w:val="16"/>
              </w:rPr>
            </w:pPr>
            <w:r w:rsidRPr="001E6DFD">
              <w:rPr>
                <w:b/>
                <w:bCs/>
                <w:sz w:val="16"/>
                <w:szCs w:val="16"/>
              </w:rPr>
              <w:t>Niveaux de référence</w:t>
            </w:r>
          </w:p>
        </w:tc>
        <w:tc>
          <w:tcPr>
            <w:tcW w:w="810" w:type="pct"/>
            <w:gridSpan w:val="4"/>
            <w:shd w:val="clear" w:color="auto" w:fill="auto"/>
            <w:tcMar>
              <w:top w:w="110" w:type="dxa"/>
              <w:left w:w="58" w:type="dxa"/>
              <w:right w:w="58" w:type="dxa"/>
            </w:tcMar>
            <w:vAlign w:val="center"/>
          </w:tcPr>
          <w:p w14:paraId="51CDDF18" w14:textId="77777777" w:rsidR="00BA5EA9" w:rsidRPr="001E6DFD" w:rsidRDefault="00C243CA" w:rsidP="0097226C">
            <w:pPr>
              <w:tabs>
                <w:tab w:val="left" w:pos="290"/>
              </w:tabs>
              <w:jc w:val="center"/>
              <w:rPr>
                <w:b/>
                <w:bCs/>
                <w:sz w:val="16"/>
                <w:szCs w:val="16"/>
              </w:rPr>
            </w:pPr>
            <w:r w:rsidRPr="001E6DFD">
              <w:rPr>
                <w:b/>
                <w:bCs/>
                <w:sz w:val="16"/>
                <w:szCs w:val="16"/>
              </w:rPr>
              <w:t>Objectifs visés</w:t>
            </w:r>
          </w:p>
        </w:tc>
        <w:tc>
          <w:tcPr>
            <w:tcW w:w="1343" w:type="pct"/>
            <w:shd w:val="clear" w:color="auto" w:fill="FFFFFF"/>
            <w:tcMar>
              <w:top w:w="110" w:type="dxa"/>
              <w:left w:w="58" w:type="dxa"/>
              <w:right w:w="58" w:type="dxa"/>
            </w:tcMar>
            <w:vAlign w:val="center"/>
          </w:tcPr>
          <w:p w14:paraId="61F46C91" w14:textId="68168A88" w:rsidR="00BA5EA9" w:rsidRPr="001E6DFD" w:rsidRDefault="00C243CA"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67" w:type="pct"/>
            <w:shd w:val="clear" w:color="auto" w:fill="auto"/>
            <w:tcMar>
              <w:top w:w="110" w:type="dxa"/>
              <w:left w:w="58" w:type="dxa"/>
              <w:right w:w="58" w:type="dxa"/>
            </w:tcMar>
            <w:vAlign w:val="center"/>
          </w:tcPr>
          <w:p w14:paraId="78F5D023" w14:textId="3D085750"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43C37851" w14:textId="77777777" w:rsidTr="005C716A">
        <w:tc>
          <w:tcPr>
            <w:tcW w:w="905" w:type="pct"/>
            <w:shd w:val="clear" w:color="auto" w:fill="auto"/>
            <w:tcMar>
              <w:left w:w="58" w:type="dxa"/>
              <w:right w:w="58" w:type="dxa"/>
            </w:tcMar>
          </w:tcPr>
          <w:p w14:paraId="48E2A723" w14:textId="77777777" w:rsidR="00BA5EA9" w:rsidRPr="001E6DFD" w:rsidRDefault="00C243CA" w:rsidP="0097226C">
            <w:pPr>
              <w:ind w:left="33"/>
              <w:rPr>
                <w:sz w:val="16"/>
                <w:szCs w:val="16"/>
              </w:rPr>
            </w:pPr>
            <w:r w:rsidRPr="001E6DFD">
              <w:rPr>
                <w:sz w:val="16"/>
                <w:szCs w:val="16"/>
              </w:rPr>
              <w:t>Mise à disposition des rapports et analyses de nature financière et de gestion demandés par la haute direction, les chefs de programmes et les États membres conformément aux échéances convenues</w:t>
            </w:r>
          </w:p>
        </w:tc>
        <w:tc>
          <w:tcPr>
            <w:tcW w:w="1475" w:type="pct"/>
            <w:shd w:val="clear" w:color="auto" w:fill="auto"/>
            <w:tcMar>
              <w:left w:w="58" w:type="dxa"/>
              <w:right w:w="58" w:type="dxa"/>
            </w:tcMar>
          </w:tcPr>
          <w:p w14:paraId="5FE01DA2" w14:textId="2BD97DAE"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478ADB82" w14:textId="103A8B3B" w:rsidR="001F64B1" w:rsidRPr="00912C62" w:rsidRDefault="006A41CF" w:rsidP="0097226C">
            <w:pPr>
              <w:keepNext/>
              <w:keepLines/>
              <w:rPr>
                <w:color w:val="002060"/>
                <w:sz w:val="16"/>
                <w:szCs w:val="16"/>
                <w:lang w:bidi="th-TH"/>
              </w:rPr>
            </w:pPr>
            <w:r w:rsidRPr="00912C62">
              <w:rPr>
                <w:color w:val="002060"/>
                <w:sz w:val="16"/>
                <w:szCs w:val="16"/>
                <w:lang w:bidi="th-TH"/>
              </w:rPr>
              <w:noBreakHyphen/>
            </w:r>
            <w:r w:rsidR="00BA5EA9" w:rsidRPr="00912C62">
              <w:rPr>
                <w:color w:val="002060"/>
                <w:sz w:val="16"/>
                <w:szCs w:val="16"/>
                <w:lang w:bidi="th-TH"/>
              </w:rPr>
              <w:t xml:space="preserve"> </w:t>
            </w:r>
            <w:r w:rsidR="00652ACD" w:rsidRPr="00912C62">
              <w:rPr>
                <w:color w:val="002060"/>
                <w:sz w:val="16"/>
                <w:szCs w:val="16"/>
                <w:lang w:bidi="th-TH"/>
              </w:rPr>
              <w:t xml:space="preserve">Clôture mensuelle </w:t>
            </w:r>
            <w:r w:rsidR="00B222D5" w:rsidRPr="00912C62">
              <w:rPr>
                <w:color w:val="002060"/>
                <w:sz w:val="16"/>
                <w:szCs w:val="16"/>
                <w:lang w:bidi="th-TH"/>
              </w:rPr>
              <w:t>au plus tard le 10</w:t>
            </w:r>
            <w:r w:rsidR="00B222D5" w:rsidRPr="00912C62">
              <w:rPr>
                <w:color w:val="002060"/>
                <w:sz w:val="16"/>
                <w:szCs w:val="16"/>
                <w:vertAlign w:val="superscript"/>
                <w:lang w:bidi="th-TH"/>
              </w:rPr>
              <w:t>e</w:t>
            </w:r>
            <w:r w:rsidR="00B4191E" w:rsidRPr="00912C62">
              <w:rPr>
                <w:color w:val="002060"/>
                <w:sz w:val="16"/>
                <w:szCs w:val="16"/>
                <w:lang w:bidi="th-TH"/>
              </w:rPr>
              <w:t> </w:t>
            </w:r>
            <w:r w:rsidR="00652ACD" w:rsidRPr="00912C62">
              <w:rPr>
                <w:color w:val="002060"/>
                <w:sz w:val="16"/>
                <w:szCs w:val="16"/>
                <w:lang w:bidi="th-TH"/>
              </w:rPr>
              <w:t>jour ouvrable pendant 10</w:t>
            </w:r>
            <w:r w:rsidR="00B4191E" w:rsidRPr="00912C62">
              <w:rPr>
                <w:color w:val="002060"/>
                <w:sz w:val="16"/>
                <w:szCs w:val="16"/>
                <w:lang w:bidi="th-TH"/>
              </w:rPr>
              <w:t> </w:t>
            </w:r>
            <w:r w:rsidR="00652ACD" w:rsidRPr="00912C62">
              <w:rPr>
                <w:color w:val="002060"/>
                <w:sz w:val="16"/>
                <w:szCs w:val="16"/>
                <w:lang w:bidi="th-TH"/>
              </w:rPr>
              <w:t>mo</w:t>
            </w:r>
            <w:r w:rsidR="004A4D21" w:rsidRPr="00912C62">
              <w:rPr>
                <w:color w:val="002060"/>
                <w:sz w:val="16"/>
                <w:szCs w:val="16"/>
                <w:lang w:bidi="th-TH"/>
              </w:rPr>
              <w:t xml:space="preserve">is.  À </w:t>
            </w:r>
            <w:r w:rsidR="00652ACD" w:rsidRPr="00912C62">
              <w:rPr>
                <w:color w:val="002060"/>
                <w:sz w:val="16"/>
                <w:szCs w:val="16"/>
                <w:lang w:bidi="th-TH"/>
              </w:rPr>
              <w:t>l</w:t>
            </w:r>
            <w:r w:rsidR="00FA22F6" w:rsidRPr="00912C62">
              <w:rPr>
                <w:color w:val="002060"/>
                <w:sz w:val="16"/>
                <w:szCs w:val="16"/>
                <w:lang w:bidi="th-TH"/>
              </w:rPr>
              <w:t>’</w:t>
            </w:r>
            <w:r w:rsidR="00B222D5" w:rsidRPr="00912C62">
              <w:rPr>
                <w:color w:val="002060"/>
                <w:sz w:val="16"/>
                <w:szCs w:val="16"/>
                <w:lang w:bidi="th-TH"/>
              </w:rPr>
              <w:t>exception</w:t>
            </w:r>
            <w:r w:rsidR="00652ACD" w:rsidRPr="00912C62">
              <w:rPr>
                <w:color w:val="002060"/>
                <w:sz w:val="16"/>
                <w:szCs w:val="16"/>
                <w:lang w:bidi="th-TH"/>
              </w:rPr>
              <w:t xml:space="preserve"> </w:t>
            </w:r>
            <w:r w:rsidR="00B222D5" w:rsidRPr="00912C62">
              <w:rPr>
                <w:color w:val="002060"/>
                <w:sz w:val="16"/>
                <w:szCs w:val="16"/>
                <w:lang w:bidi="th-TH"/>
              </w:rPr>
              <w:t xml:space="preserve">des mois de janvier et </w:t>
            </w:r>
            <w:r w:rsidR="00652ACD" w:rsidRPr="00912C62">
              <w:rPr>
                <w:color w:val="002060"/>
                <w:sz w:val="16"/>
                <w:szCs w:val="16"/>
                <w:lang w:bidi="th-TH"/>
              </w:rPr>
              <w:t>octobre, en raison de la mise à niveau du système</w:t>
            </w:r>
            <w:r w:rsidR="00B222D5" w:rsidRPr="00912C62">
              <w:rPr>
                <w:color w:val="002060"/>
                <w:sz w:val="16"/>
                <w:szCs w:val="16"/>
                <w:lang w:bidi="th-TH"/>
              </w:rPr>
              <w:t>.</w:t>
            </w:r>
          </w:p>
          <w:p w14:paraId="3513F0E1" w14:textId="77777777" w:rsidR="001F64B1" w:rsidRPr="001E6DFD" w:rsidRDefault="001F64B1" w:rsidP="0097226C">
            <w:pPr>
              <w:rPr>
                <w:sz w:val="16"/>
                <w:szCs w:val="16"/>
              </w:rPr>
            </w:pPr>
          </w:p>
          <w:p w14:paraId="5EC5C34B" w14:textId="420846F5" w:rsidR="00FA22F6" w:rsidRPr="001E6DFD" w:rsidRDefault="00E64532" w:rsidP="0097226C">
            <w:pPr>
              <w:ind w:left="33"/>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588AE686" w14:textId="33DDCB1C" w:rsidR="00BA5EA9" w:rsidRPr="001E6DFD" w:rsidRDefault="00C243CA" w:rsidP="0097226C">
            <w:pPr>
              <w:ind w:left="33"/>
              <w:rPr>
                <w:sz w:val="16"/>
                <w:szCs w:val="16"/>
              </w:rPr>
            </w:pPr>
            <w:r w:rsidRPr="001E6DFD">
              <w:rPr>
                <w:sz w:val="16"/>
                <w:szCs w:val="16"/>
              </w:rPr>
              <w:t>Clôture mensuelle à effectuer dans les 10 jours ouvrables à compter de la fin du mois (hormis le mois de janvier, où la clôture mensuelle est déterminée en fonction de la progression de la clôture annuelle)</w:t>
            </w:r>
          </w:p>
        </w:tc>
        <w:tc>
          <w:tcPr>
            <w:tcW w:w="810" w:type="pct"/>
            <w:gridSpan w:val="4"/>
            <w:shd w:val="clear" w:color="auto" w:fill="auto"/>
            <w:tcMar>
              <w:top w:w="110" w:type="dxa"/>
              <w:left w:w="58" w:type="dxa"/>
              <w:right w:w="58" w:type="dxa"/>
            </w:tcMar>
          </w:tcPr>
          <w:p w14:paraId="63BA8A9A" w14:textId="77777777" w:rsidR="00BA5EA9" w:rsidRPr="001E6DFD" w:rsidRDefault="00C243CA" w:rsidP="0097226C">
            <w:pPr>
              <w:ind w:left="4"/>
              <w:rPr>
                <w:sz w:val="16"/>
                <w:szCs w:val="16"/>
              </w:rPr>
            </w:pPr>
            <w:r w:rsidRPr="001E6DFD">
              <w:rPr>
                <w:sz w:val="16"/>
                <w:szCs w:val="16"/>
              </w:rPr>
              <w:t>Identiques aux niveaux de référence</w:t>
            </w:r>
          </w:p>
        </w:tc>
        <w:tc>
          <w:tcPr>
            <w:tcW w:w="1343" w:type="pct"/>
            <w:shd w:val="clear" w:color="auto" w:fill="FFFFFF"/>
            <w:tcMar>
              <w:top w:w="110" w:type="dxa"/>
              <w:left w:w="58" w:type="dxa"/>
              <w:right w:w="58" w:type="dxa"/>
            </w:tcMar>
          </w:tcPr>
          <w:p w14:paraId="066433AE" w14:textId="0C4DB874" w:rsidR="00BA5EA9" w:rsidRPr="00912C62" w:rsidRDefault="003876F7" w:rsidP="006A41CF">
            <w:pPr>
              <w:rPr>
                <w:sz w:val="16"/>
                <w:szCs w:val="16"/>
              </w:rPr>
            </w:pPr>
            <w:r w:rsidRPr="00912C62">
              <w:rPr>
                <w:sz w:val="16"/>
                <w:szCs w:val="16"/>
              </w:rPr>
              <w:t>Clôture mensuelle au plus tard le 10</w:t>
            </w:r>
            <w:r w:rsidRPr="00912C62">
              <w:rPr>
                <w:sz w:val="16"/>
                <w:szCs w:val="16"/>
                <w:vertAlign w:val="superscript"/>
              </w:rPr>
              <w:t>e</w:t>
            </w:r>
            <w:r w:rsidR="00B4191E" w:rsidRPr="00912C62">
              <w:rPr>
                <w:sz w:val="16"/>
                <w:szCs w:val="16"/>
              </w:rPr>
              <w:t> </w:t>
            </w:r>
            <w:r w:rsidRPr="00912C62">
              <w:rPr>
                <w:sz w:val="16"/>
                <w:szCs w:val="16"/>
              </w:rPr>
              <w:t>jour ouvrable pendant 8</w:t>
            </w:r>
            <w:r w:rsidR="00B4191E" w:rsidRPr="00912C62">
              <w:rPr>
                <w:sz w:val="16"/>
                <w:szCs w:val="16"/>
              </w:rPr>
              <w:t> </w:t>
            </w:r>
            <w:r w:rsidRPr="00912C62">
              <w:rPr>
                <w:sz w:val="16"/>
                <w:szCs w:val="16"/>
              </w:rPr>
              <w:t>mo</w:t>
            </w:r>
            <w:r w:rsidR="004A4D21" w:rsidRPr="00912C62">
              <w:rPr>
                <w:sz w:val="16"/>
                <w:szCs w:val="16"/>
              </w:rPr>
              <w:t xml:space="preserve">is.  À </w:t>
            </w:r>
            <w:r w:rsidRPr="00912C62">
              <w:rPr>
                <w:sz w:val="16"/>
                <w:szCs w:val="16"/>
              </w:rPr>
              <w:t>l</w:t>
            </w:r>
            <w:r w:rsidR="00FA22F6" w:rsidRPr="00912C62">
              <w:rPr>
                <w:sz w:val="16"/>
                <w:szCs w:val="16"/>
              </w:rPr>
              <w:t>’</w:t>
            </w:r>
            <w:r w:rsidRPr="00912C62">
              <w:rPr>
                <w:sz w:val="16"/>
                <w:szCs w:val="16"/>
              </w:rPr>
              <w:t>exception des mois de janvier</w:t>
            </w:r>
            <w:r w:rsidR="002D5A6E" w:rsidRPr="00912C62">
              <w:rPr>
                <w:sz w:val="16"/>
                <w:szCs w:val="16"/>
              </w:rPr>
              <w:t xml:space="preserve"> (selon le niveau de référence), décembre (fermé conformément à la planification des clôtures selon le niveau de référence), février (en raison des problèmes causés par la mise à niveau du système AIMS</w:t>
            </w:r>
            <w:r w:rsidR="00D8234F" w:rsidRPr="00912C62">
              <w:rPr>
                <w:sz w:val="16"/>
                <w:szCs w:val="16"/>
              </w:rPr>
              <w:t xml:space="preserve"> et la clôture tardive de </w:t>
            </w:r>
            <w:r w:rsidR="00FA22F6" w:rsidRPr="00912C62">
              <w:rPr>
                <w:sz w:val="16"/>
                <w:szCs w:val="16"/>
              </w:rPr>
              <w:t>décembre 20</w:t>
            </w:r>
            <w:r w:rsidR="00D8234F" w:rsidRPr="00912C62">
              <w:rPr>
                <w:sz w:val="16"/>
                <w:szCs w:val="16"/>
              </w:rPr>
              <w:t>15)</w:t>
            </w:r>
            <w:r w:rsidR="008A1BA6" w:rsidRPr="00912C62">
              <w:rPr>
                <w:sz w:val="16"/>
                <w:szCs w:val="16"/>
              </w:rPr>
              <w:t xml:space="preserve"> et avril (en raison des retards dans l</w:t>
            </w:r>
            <w:r w:rsidR="00FA22F6" w:rsidRPr="00912C62">
              <w:rPr>
                <w:sz w:val="16"/>
                <w:szCs w:val="16"/>
              </w:rPr>
              <w:t>’</w:t>
            </w:r>
            <w:r w:rsidR="00955E3B" w:rsidRPr="00912C62">
              <w:rPr>
                <w:sz w:val="16"/>
                <w:szCs w:val="16"/>
              </w:rPr>
              <w:t>installation</w:t>
            </w:r>
            <w:r w:rsidR="008A1BA6" w:rsidRPr="00912C62">
              <w:rPr>
                <w:sz w:val="16"/>
                <w:szCs w:val="16"/>
              </w:rPr>
              <w:t xml:space="preserve"> de MIRIS</w:t>
            </w:r>
            <w:r w:rsidR="002479E9" w:rsidRPr="00912C62">
              <w:rPr>
                <w:sz w:val="16"/>
                <w:szCs w:val="16"/>
              </w:rPr>
              <w:t xml:space="preserve"> qui ont </w:t>
            </w:r>
            <w:r w:rsidR="00955E3B" w:rsidRPr="00912C62">
              <w:rPr>
                <w:sz w:val="16"/>
                <w:szCs w:val="16"/>
              </w:rPr>
              <w:t>créé</w:t>
            </w:r>
            <w:r w:rsidR="002479E9" w:rsidRPr="00912C62">
              <w:rPr>
                <w:sz w:val="16"/>
                <w:szCs w:val="16"/>
              </w:rPr>
              <w:t xml:space="preserve"> des problèmes dans la répartition mensuelle pour Madrid)</w:t>
            </w:r>
            <w:r w:rsidRPr="00912C62">
              <w:rPr>
                <w:sz w:val="16"/>
                <w:szCs w:val="16"/>
              </w:rPr>
              <w:t>.</w:t>
            </w:r>
          </w:p>
        </w:tc>
        <w:tc>
          <w:tcPr>
            <w:tcW w:w="467" w:type="pct"/>
            <w:shd w:val="clear" w:color="auto" w:fill="auto"/>
            <w:tcMar>
              <w:top w:w="110" w:type="dxa"/>
              <w:left w:w="58" w:type="dxa"/>
              <w:right w:w="58" w:type="dxa"/>
            </w:tcMar>
          </w:tcPr>
          <w:p w14:paraId="4D1F45BE" w14:textId="77777777" w:rsidR="00BA5EA9" w:rsidRPr="001E6DFD" w:rsidRDefault="00505EF6" w:rsidP="0097226C">
            <w:pPr>
              <w:keepNext/>
              <w:keepLines/>
              <w:jc w:val="center"/>
              <w:rPr>
                <w:sz w:val="16"/>
                <w:szCs w:val="16"/>
              </w:rPr>
            </w:pPr>
            <w:r w:rsidRPr="001E6DFD">
              <w:rPr>
                <w:b/>
                <w:color w:val="FF0000"/>
                <w:sz w:val="16"/>
                <w:szCs w:val="16"/>
              </w:rPr>
              <w:t>Pas en bonne voie</w:t>
            </w:r>
          </w:p>
        </w:tc>
      </w:tr>
      <w:tr w:rsidR="00BA5EA9" w:rsidRPr="001E6DFD" w14:paraId="045606CC" w14:textId="77777777" w:rsidTr="005C716A">
        <w:tc>
          <w:tcPr>
            <w:tcW w:w="905" w:type="pct"/>
            <w:shd w:val="clear" w:color="auto" w:fill="auto"/>
            <w:tcMar>
              <w:left w:w="58" w:type="dxa"/>
              <w:right w:w="58" w:type="dxa"/>
            </w:tcMar>
          </w:tcPr>
          <w:p w14:paraId="3CEBA3A7" w14:textId="261B1DE5" w:rsidR="00BA5EA9" w:rsidRPr="001E6DFD" w:rsidRDefault="00C243CA" w:rsidP="0097226C">
            <w:pPr>
              <w:ind w:left="33"/>
              <w:rPr>
                <w:sz w:val="16"/>
                <w:szCs w:val="16"/>
              </w:rPr>
            </w:pPr>
            <w:r w:rsidRPr="001E6DFD">
              <w:rPr>
                <w:sz w:val="16"/>
                <w:szCs w:val="16"/>
              </w:rPr>
              <w:t>Quantité de documents</w:t>
            </w:r>
            <w:r w:rsidR="00FA22F6" w:rsidRPr="001E6DFD">
              <w:rPr>
                <w:sz w:val="16"/>
                <w:szCs w:val="16"/>
              </w:rPr>
              <w:t xml:space="preserve"> du PBC</w:t>
            </w:r>
            <w:r w:rsidRPr="001E6DFD">
              <w:rPr>
                <w:sz w:val="16"/>
                <w:szCs w:val="16"/>
              </w:rPr>
              <w:t xml:space="preserve"> soumis à temps aux États membres</w:t>
            </w:r>
          </w:p>
        </w:tc>
        <w:tc>
          <w:tcPr>
            <w:tcW w:w="1475" w:type="pct"/>
            <w:shd w:val="clear" w:color="auto" w:fill="auto"/>
            <w:tcMar>
              <w:left w:w="58" w:type="dxa"/>
              <w:right w:w="58" w:type="dxa"/>
            </w:tcMar>
          </w:tcPr>
          <w:p w14:paraId="6DEA8E7D" w14:textId="014D63D2"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7E8B5E45" w14:textId="44AAD047" w:rsidR="001F64B1" w:rsidRPr="00912C62" w:rsidRDefault="00C243CA" w:rsidP="0097226C">
            <w:pPr>
              <w:rPr>
                <w:color w:val="002060"/>
                <w:sz w:val="16"/>
                <w:szCs w:val="16"/>
              </w:rPr>
            </w:pPr>
            <w:r w:rsidRPr="00912C62">
              <w:rPr>
                <w:color w:val="002060"/>
                <w:sz w:val="16"/>
                <w:szCs w:val="16"/>
              </w:rPr>
              <w:t>18% (sur la base d</w:t>
            </w:r>
            <w:r w:rsidR="00FA22F6" w:rsidRPr="00912C62">
              <w:rPr>
                <w:color w:val="002060"/>
                <w:sz w:val="16"/>
                <w:szCs w:val="16"/>
              </w:rPr>
              <w:t>’</w:t>
            </w:r>
            <w:r w:rsidRPr="00912C62">
              <w:rPr>
                <w:color w:val="002060"/>
                <w:sz w:val="16"/>
                <w:szCs w:val="16"/>
              </w:rPr>
              <w:t>un délai de huit</w:t>
            </w:r>
            <w:r w:rsidR="004D421A" w:rsidRPr="00912C62">
              <w:rPr>
                <w:color w:val="002060"/>
                <w:sz w:val="16"/>
                <w:szCs w:val="16"/>
              </w:rPr>
              <w:t> </w:t>
            </w:r>
            <w:r w:rsidRPr="00912C62">
              <w:rPr>
                <w:color w:val="002060"/>
                <w:sz w:val="16"/>
                <w:szCs w:val="16"/>
              </w:rPr>
              <w:t>semaines)</w:t>
            </w:r>
          </w:p>
          <w:p w14:paraId="43AC6CDC" w14:textId="77777777" w:rsidR="001F64B1" w:rsidRPr="001E6DFD" w:rsidRDefault="001F64B1" w:rsidP="0097226C">
            <w:pPr>
              <w:rPr>
                <w:sz w:val="16"/>
                <w:szCs w:val="16"/>
              </w:rPr>
            </w:pPr>
          </w:p>
          <w:p w14:paraId="13A69A38" w14:textId="05625A27" w:rsidR="00FA22F6" w:rsidRPr="001E6DFD" w:rsidRDefault="00E64532" w:rsidP="0097226C">
            <w:pPr>
              <w:ind w:left="33"/>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49FD42FE" w14:textId="68051B44" w:rsidR="00BA5EA9" w:rsidRPr="001E6DFD" w:rsidRDefault="00C243CA" w:rsidP="0097226C">
            <w:pPr>
              <w:ind w:left="34"/>
              <w:rPr>
                <w:sz w:val="16"/>
                <w:szCs w:val="16"/>
              </w:rPr>
            </w:pPr>
            <w:r w:rsidRPr="001E6DFD">
              <w:rPr>
                <w:sz w:val="16"/>
                <w:szCs w:val="16"/>
              </w:rPr>
              <w:t>12% (2014 sur la base d</w:t>
            </w:r>
            <w:r w:rsidR="00FA22F6" w:rsidRPr="001E6DFD">
              <w:rPr>
                <w:sz w:val="16"/>
                <w:szCs w:val="16"/>
              </w:rPr>
              <w:t>’</w:t>
            </w:r>
            <w:r w:rsidRPr="001E6DFD">
              <w:rPr>
                <w:sz w:val="16"/>
                <w:szCs w:val="16"/>
              </w:rPr>
              <w:t>un délai de huit</w:t>
            </w:r>
            <w:r w:rsidR="004D421A" w:rsidRPr="001E6DFD">
              <w:rPr>
                <w:sz w:val="16"/>
                <w:szCs w:val="16"/>
              </w:rPr>
              <w:t> </w:t>
            </w:r>
            <w:r w:rsidRPr="001E6DFD">
              <w:rPr>
                <w:sz w:val="16"/>
                <w:szCs w:val="16"/>
              </w:rPr>
              <w:t>semaines)</w:t>
            </w:r>
          </w:p>
        </w:tc>
        <w:tc>
          <w:tcPr>
            <w:tcW w:w="810" w:type="pct"/>
            <w:gridSpan w:val="4"/>
            <w:shd w:val="clear" w:color="auto" w:fill="auto"/>
            <w:tcMar>
              <w:top w:w="110" w:type="dxa"/>
              <w:left w:w="58" w:type="dxa"/>
              <w:right w:w="58" w:type="dxa"/>
            </w:tcMar>
          </w:tcPr>
          <w:p w14:paraId="17ED6271" w14:textId="0AEB9F4C" w:rsidR="00FA22F6" w:rsidRPr="00912C62" w:rsidRDefault="00AC7D97" w:rsidP="0097226C">
            <w:pPr>
              <w:rPr>
                <w:i/>
                <w:color w:val="002060"/>
                <w:sz w:val="16"/>
                <w:szCs w:val="16"/>
              </w:rPr>
            </w:pPr>
            <w:r w:rsidRPr="00912C62">
              <w:rPr>
                <w:i/>
                <w:color w:val="002060"/>
                <w:sz w:val="16"/>
                <w:szCs w:val="16"/>
              </w:rPr>
              <w:t>Objectif actualisé</w:t>
            </w:r>
            <w:r w:rsidR="00FA22F6" w:rsidRPr="00912C62">
              <w:rPr>
                <w:i/>
                <w:color w:val="002060"/>
                <w:sz w:val="16"/>
                <w:szCs w:val="16"/>
              </w:rPr>
              <w:t> :</w:t>
            </w:r>
          </w:p>
          <w:p w14:paraId="5E151938" w14:textId="26F3F9FD" w:rsidR="001F64B1" w:rsidRPr="00912C62" w:rsidRDefault="00C243CA" w:rsidP="0097226C">
            <w:pPr>
              <w:rPr>
                <w:color w:val="002060"/>
                <w:sz w:val="16"/>
                <w:szCs w:val="16"/>
              </w:rPr>
            </w:pPr>
            <w:r w:rsidRPr="00912C62">
              <w:rPr>
                <w:color w:val="002060"/>
                <w:sz w:val="16"/>
                <w:szCs w:val="16"/>
              </w:rPr>
              <w:t>20% (sur la base d</w:t>
            </w:r>
            <w:r w:rsidR="00FA22F6" w:rsidRPr="00912C62">
              <w:rPr>
                <w:color w:val="002060"/>
                <w:sz w:val="16"/>
                <w:szCs w:val="16"/>
              </w:rPr>
              <w:t>’</w:t>
            </w:r>
            <w:r w:rsidRPr="00912C62">
              <w:rPr>
                <w:color w:val="002060"/>
                <w:sz w:val="16"/>
                <w:szCs w:val="16"/>
              </w:rPr>
              <w:t>un délai de huit</w:t>
            </w:r>
            <w:r w:rsidR="004D421A" w:rsidRPr="00912C62">
              <w:rPr>
                <w:color w:val="002060"/>
                <w:sz w:val="16"/>
                <w:szCs w:val="16"/>
              </w:rPr>
              <w:t> </w:t>
            </w:r>
            <w:r w:rsidRPr="00912C62">
              <w:rPr>
                <w:color w:val="002060"/>
                <w:sz w:val="16"/>
                <w:szCs w:val="16"/>
              </w:rPr>
              <w:t>semaines)</w:t>
            </w:r>
          </w:p>
          <w:p w14:paraId="6A755D5F" w14:textId="77777777" w:rsidR="001F64B1" w:rsidRPr="001E6DFD" w:rsidRDefault="001F64B1" w:rsidP="0097226C">
            <w:pPr>
              <w:rPr>
                <w:sz w:val="16"/>
                <w:szCs w:val="16"/>
              </w:rPr>
            </w:pPr>
          </w:p>
          <w:p w14:paraId="338BF229" w14:textId="30033F89" w:rsidR="00BA5EA9" w:rsidRPr="001E6DFD" w:rsidRDefault="00AC7D97" w:rsidP="0097226C">
            <w:pPr>
              <w:rPr>
                <w:sz w:val="16"/>
                <w:szCs w:val="16"/>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r w:rsidR="00BA5EA9" w:rsidRPr="001E6DFD">
              <w:rPr>
                <w:i/>
                <w:sz w:val="16"/>
                <w:szCs w:val="16"/>
              </w:rPr>
              <w:t xml:space="preserve"> </w:t>
            </w:r>
            <w:r w:rsidR="00BA5EA9" w:rsidRPr="001E6DFD">
              <w:rPr>
                <w:sz w:val="16"/>
                <w:szCs w:val="16"/>
              </w:rPr>
              <w:t>15% (</w:t>
            </w:r>
            <w:r w:rsidR="00C243CA" w:rsidRPr="001E6DFD">
              <w:rPr>
                <w:sz w:val="16"/>
                <w:szCs w:val="16"/>
              </w:rPr>
              <w:t>sur la base d</w:t>
            </w:r>
            <w:r w:rsidR="00FA22F6" w:rsidRPr="001E6DFD">
              <w:rPr>
                <w:sz w:val="16"/>
                <w:szCs w:val="16"/>
              </w:rPr>
              <w:t>’</w:t>
            </w:r>
            <w:r w:rsidR="00C243CA" w:rsidRPr="001E6DFD">
              <w:rPr>
                <w:sz w:val="16"/>
                <w:szCs w:val="16"/>
              </w:rPr>
              <w:t>un délai de huit</w:t>
            </w:r>
            <w:r w:rsidR="004D421A" w:rsidRPr="001E6DFD">
              <w:rPr>
                <w:sz w:val="16"/>
                <w:szCs w:val="16"/>
              </w:rPr>
              <w:t> </w:t>
            </w:r>
            <w:r w:rsidR="00C243CA" w:rsidRPr="001E6DFD">
              <w:rPr>
                <w:sz w:val="16"/>
                <w:szCs w:val="16"/>
              </w:rPr>
              <w:t>semaines</w:t>
            </w:r>
            <w:r w:rsidR="00BA5EA9" w:rsidRPr="001E6DFD">
              <w:rPr>
                <w:sz w:val="16"/>
                <w:szCs w:val="16"/>
              </w:rPr>
              <w:t>)</w:t>
            </w:r>
          </w:p>
        </w:tc>
        <w:tc>
          <w:tcPr>
            <w:tcW w:w="1343" w:type="pct"/>
            <w:shd w:val="clear" w:color="auto" w:fill="auto"/>
            <w:tcMar>
              <w:top w:w="110" w:type="dxa"/>
              <w:left w:w="58" w:type="dxa"/>
              <w:right w:w="58" w:type="dxa"/>
            </w:tcMar>
          </w:tcPr>
          <w:p w14:paraId="1AD5D0E9" w14:textId="7DB414AA" w:rsidR="00BA5EA9" w:rsidRPr="001E6DFD" w:rsidRDefault="00C243CA" w:rsidP="0097226C">
            <w:pPr>
              <w:keepNext/>
              <w:keepLines/>
              <w:rPr>
                <w:sz w:val="16"/>
                <w:szCs w:val="16"/>
              </w:rPr>
            </w:pPr>
            <w:r w:rsidRPr="001E6DFD">
              <w:rPr>
                <w:sz w:val="16"/>
                <w:szCs w:val="16"/>
              </w:rPr>
              <w:t>50% (sur la base d</w:t>
            </w:r>
            <w:r w:rsidR="00FA22F6" w:rsidRPr="001E6DFD">
              <w:rPr>
                <w:sz w:val="16"/>
                <w:szCs w:val="16"/>
              </w:rPr>
              <w:t>’</w:t>
            </w:r>
            <w:r w:rsidRPr="001E6DFD">
              <w:rPr>
                <w:sz w:val="16"/>
                <w:szCs w:val="16"/>
              </w:rPr>
              <w:t>un délai de huit</w:t>
            </w:r>
            <w:r w:rsidR="004D421A" w:rsidRPr="001E6DFD">
              <w:rPr>
                <w:sz w:val="16"/>
                <w:szCs w:val="16"/>
              </w:rPr>
              <w:t> </w:t>
            </w:r>
            <w:r w:rsidRPr="001E6DFD">
              <w:rPr>
                <w:sz w:val="16"/>
                <w:szCs w:val="16"/>
              </w:rPr>
              <w:t>semaines)</w:t>
            </w:r>
          </w:p>
        </w:tc>
        <w:tc>
          <w:tcPr>
            <w:tcW w:w="467" w:type="pct"/>
            <w:shd w:val="clear" w:color="auto" w:fill="auto"/>
            <w:tcMar>
              <w:top w:w="110" w:type="dxa"/>
              <w:left w:w="58" w:type="dxa"/>
              <w:right w:w="58" w:type="dxa"/>
            </w:tcMar>
          </w:tcPr>
          <w:p w14:paraId="29678B41" w14:textId="6C120321" w:rsidR="00BA5EA9" w:rsidRPr="001E6DFD" w:rsidRDefault="00A43B2F" w:rsidP="00912C62">
            <w:pPr>
              <w:keepNext/>
              <w:keepLines/>
              <w:jc w:val="center"/>
              <w:rPr>
                <w:sz w:val="16"/>
                <w:szCs w:val="16"/>
              </w:rPr>
            </w:pPr>
            <w:r w:rsidRPr="001E6DFD">
              <w:rPr>
                <w:b/>
                <w:color w:val="00B050"/>
                <w:sz w:val="16"/>
                <w:szCs w:val="16"/>
              </w:rPr>
              <w:t>En bonne voie</w:t>
            </w:r>
          </w:p>
        </w:tc>
      </w:tr>
      <w:tr w:rsidR="00BA5EA9" w:rsidRPr="001E6DFD" w14:paraId="47700E99" w14:textId="77777777" w:rsidTr="005C716A">
        <w:tc>
          <w:tcPr>
            <w:tcW w:w="905" w:type="pct"/>
            <w:shd w:val="clear" w:color="auto" w:fill="auto"/>
            <w:tcMar>
              <w:left w:w="58" w:type="dxa"/>
              <w:right w:w="58" w:type="dxa"/>
            </w:tcMar>
          </w:tcPr>
          <w:p w14:paraId="734F6CD7" w14:textId="02135465" w:rsidR="00BA5EA9" w:rsidRPr="001E6DFD" w:rsidRDefault="00C243CA" w:rsidP="0097226C">
            <w:pPr>
              <w:ind w:left="33"/>
              <w:rPr>
                <w:sz w:val="16"/>
                <w:szCs w:val="16"/>
              </w:rPr>
            </w:pPr>
            <w:r w:rsidRPr="001E6DFD">
              <w:rPr>
                <w:sz w:val="16"/>
                <w:szCs w:val="16"/>
              </w:rPr>
              <w:t>Le système ERP de l</w:t>
            </w:r>
            <w:r w:rsidR="00FA22F6" w:rsidRPr="001E6DFD">
              <w:rPr>
                <w:sz w:val="16"/>
                <w:szCs w:val="16"/>
              </w:rPr>
              <w:t>’</w:t>
            </w:r>
            <w:r w:rsidRPr="001E6DFD">
              <w:rPr>
                <w:sz w:val="16"/>
                <w:szCs w:val="16"/>
              </w:rPr>
              <w:t>Organisation (AIMS) fonctionne de manière efficiente, compte tenu des besoins opérationnels et conformément aux pratiques recommandées</w:t>
            </w:r>
          </w:p>
        </w:tc>
        <w:tc>
          <w:tcPr>
            <w:tcW w:w="1475" w:type="pct"/>
            <w:shd w:val="clear" w:color="auto" w:fill="auto"/>
            <w:tcMar>
              <w:left w:w="58" w:type="dxa"/>
              <w:right w:w="58" w:type="dxa"/>
            </w:tcMar>
          </w:tcPr>
          <w:p w14:paraId="67926585" w14:textId="0E6B9FA1"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6DB4D17C" w14:textId="2B3B9047" w:rsidR="001F64B1" w:rsidRPr="00912C62" w:rsidRDefault="00FA22F6" w:rsidP="0097226C">
            <w:pPr>
              <w:rPr>
                <w:color w:val="002060"/>
                <w:sz w:val="16"/>
                <w:szCs w:val="16"/>
              </w:rPr>
            </w:pPr>
            <w:r w:rsidRPr="00912C62">
              <w:rPr>
                <w:color w:val="002060"/>
                <w:sz w:val="16"/>
                <w:szCs w:val="16"/>
              </w:rPr>
              <w:t>En 2015</w:t>
            </w:r>
            <w:r w:rsidR="00C243CA" w:rsidRPr="00912C62">
              <w:rPr>
                <w:color w:val="002060"/>
                <w:sz w:val="16"/>
                <w:szCs w:val="16"/>
              </w:rPr>
              <w:t>, AIMS fonctionnait bien à 99,93%.</w:t>
            </w:r>
            <w:r w:rsidR="004D421A" w:rsidRPr="00912C62">
              <w:rPr>
                <w:color w:val="002060"/>
                <w:sz w:val="16"/>
                <w:szCs w:val="16"/>
              </w:rPr>
              <w:t xml:space="preserve"> </w:t>
            </w:r>
            <w:r w:rsidR="00BA5EA9" w:rsidRPr="00912C62">
              <w:rPr>
                <w:color w:val="002060"/>
                <w:sz w:val="16"/>
                <w:szCs w:val="16"/>
              </w:rPr>
              <w:t xml:space="preserve"> </w:t>
            </w:r>
            <w:r w:rsidR="00C243CA" w:rsidRPr="00912C62">
              <w:rPr>
                <w:color w:val="002060"/>
                <w:sz w:val="16"/>
                <w:szCs w:val="16"/>
              </w:rPr>
              <w:t>31 incidents de priorité élevée au maximum ont été ouverts en même temps</w:t>
            </w:r>
          </w:p>
          <w:p w14:paraId="4CD57B48" w14:textId="77777777" w:rsidR="001F64B1" w:rsidRDefault="001F64B1" w:rsidP="0097226C">
            <w:pPr>
              <w:rPr>
                <w:sz w:val="16"/>
                <w:szCs w:val="16"/>
              </w:rPr>
            </w:pPr>
          </w:p>
          <w:p w14:paraId="5C1809D7" w14:textId="77777777" w:rsidR="00851C67" w:rsidRDefault="00851C67" w:rsidP="0097226C">
            <w:pPr>
              <w:rPr>
                <w:sz w:val="16"/>
                <w:szCs w:val="16"/>
              </w:rPr>
            </w:pPr>
          </w:p>
          <w:p w14:paraId="213E6B67" w14:textId="77777777" w:rsidR="00851C67" w:rsidRDefault="00851C67" w:rsidP="0097226C">
            <w:pPr>
              <w:rPr>
                <w:sz w:val="16"/>
                <w:szCs w:val="16"/>
              </w:rPr>
            </w:pPr>
          </w:p>
          <w:p w14:paraId="72AB1047" w14:textId="77777777" w:rsidR="00851C67" w:rsidRPr="001E6DFD" w:rsidRDefault="00851C67" w:rsidP="0097226C">
            <w:pPr>
              <w:rPr>
                <w:sz w:val="16"/>
                <w:szCs w:val="16"/>
              </w:rPr>
            </w:pPr>
          </w:p>
          <w:p w14:paraId="16083B61" w14:textId="00BA68E1" w:rsidR="00FA22F6" w:rsidRPr="001E6DFD" w:rsidRDefault="00E64532" w:rsidP="0097226C">
            <w:pPr>
              <w:ind w:left="33"/>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28D25909" w14:textId="271AAE9D" w:rsidR="00BA5EA9" w:rsidRPr="001E6DFD" w:rsidRDefault="00FA22F6" w:rsidP="0097226C">
            <w:pPr>
              <w:ind w:left="33"/>
              <w:rPr>
                <w:sz w:val="16"/>
                <w:szCs w:val="16"/>
              </w:rPr>
            </w:pPr>
            <w:r w:rsidRPr="001E6DFD">
              <w:rPr>
                <w:sz w:val="16"/>
                <w:szCs w:val="16"/>
              </w:rPr>
              <w:t>En 2014</w:t>
            </w:r>
            <w:r w:rsidR="00C243CA" w:rsidRPr="001E6DFD">
              <w:rPr>
                <w:sz w:val="16"/>
                <w:szCs w:val="16"/>
              </w:rPr>
              <w:t>, AIMS fonctionnait bien à 99,80%.</w:t>
            </w:r>
            <w:r w:rsidR="00BA5EA9" w:rsidRPr="001E6DFD">
              <w:rPr>
                <w:sz w:val="16"/>
                <w:szCs w:val="16"/>
              </w:rPr>
              <w:t xml:space="preserve"> </w:t>
            </w:r>
            <w:r w:rsidR="004D421A" w:rsidRPr="001E6DFD">
              <w:rPr>
                <w:sz w:val="16"/>
                <w:szCs w:val="16"/>
              </w:rPr>
              <w:t xml:space="preserve"> </w:t>
            </w:r>
            <w:r w:rsidR="00C243CA" w:rsidRPr="001E6DFD">
              <w:rPr>
                <w:sz w:val="16"/>
                <w:szCs w:val="16"/>
              </w:rPr>
              <w:t>25 incidents de priorité élevée au maximum ont été ouverts en même temps</w:t>
            </w:r>
          </w:p>
        </w:tc>
        <w:tc>
          <w:tcPr>
            <w:tcW w:w="810" w:type="pct"/>
            <w:gridSpan w:val="4"/>
            <w:shd w:val="clear" w:color="auto" w:fill="auto"/>
            <w:tcMar>
              <w:top w:w="110" w:type="dxa"/>
              <w:left w:w="58" w:type="dxa"/>
              <w:right w:w="58" w:type="dxa"/>
            </w:tcMar>
          </w:tcPr>
          <w:p w14:paraId="28AE77C7" w14:textId="1CA850F2" w:rsidR="001F64B1" w:rsidRPr="001303B4" w:rsidRDefault="008A5570" w:rsidP="0097226C">
            <w:pPr>
              <w:ind w:left="29"/>
              <w:rPr>
                <w:sz w:val="16"/>
                <w:szCs w:val="16"/>
              </w:rPr>
            </w:pPr>
            <w:r w:rsidRPr="00912C62">
              <w:rPr>
                <w:sz w:val="16"/>
                <w:szCs w:val="16"/>
              </w:rPr>
              <w:t>AIMS fonctionne bien à plus de 99,90%</w:t>
            </w:r>
          </w:p>
          <w:p w14:paraId="5F3C910A" w14:textId="77777777" w:rsidR="00CA1C73" w:rsidRPr="00912C62" w:rsidRDefault="00CA1C73" w:rsidP="0097226C">
            <w:pPr>
              <w:ind w:left="29"/>
              <w:rPr>
                <w:sz w:val="16"/>
                <w:szCs w:val="16"/>
              </w:rPr>
            </w:pPr>
          </w:p>
          <w:p w14:paraId="05221EF1" w14:textId="40665D0B" w:rsidR="00CA1C73" w:rsidRPr="00912C62" w:rsidRDefault="00CA1C73" w:rsidP="0097226C">
            <w:pPr>
              <w:ind w:left="29"/>
              <w:rPr>
                <w:sz w:val="16"/>
                <w:szCs w:val="16"/>
              </w:rPr>
            </w:pPr>
            <w:r w:rsidRPr="00912C62">
              <w:rPr>
                <w:sz w:val="16"/>
                <w:szCs w:val="16"/>
              </w:rPr>
              <w:t>Pas plus de 20</w:t>
            </w:r>
            <w:r w:rsidR="00B4191E" w:rsidRPr="00912C62">
              <w:rPr>
                <w:sz w:val="16"/>
                <w:szCs w:val="16"/>
              </w:rPr>
              <w:t> </w:t>
            </w:r>
            <w:r w:rsidRPr="00912C62">
              <w:rPr>
                <w:sz w:val="16"/>
                <w:szCs w:val="16"/>
              </w:rPr>
              <w:t>incidents de priorité élevée n</w:t>
            </w:r>
            <w:r w:rsidR="00FA22F6" w:rsidRPr="00912C62">
              <w:rPr>
                <w:sz w:val="16"/>
                <w:szCs w:val="16"/>
              </w:rPr>
              <w:t>’</w:t>
            </w:r>
            <w:r w:rsidRPr="00912C62">
              <w:rPr>
                <w:sz w:val="16"/>
                <w:szCs w:val="16"/>
              </w:rPr>
              <w:t>ont été ouverts en même temps.</w:t>
            </w:r>
          </w:p>
          <w:p w14:paraId="0E97D6C0" w14:textId="77777777" w:rsidR="00CA1C73" w:rsidRDefault="00CA1C73" w:rsidP="0097226C">
            <w:pPr>
              <w:ind w:left="33"/>
              <w:rPr>
                <w:sz w:val="16"/>
                <w:szCs w:val="16"/>
              </w:rPr>
            </w:pPr>
          </w:p>
          <w:p w14:paraId="279C6709" w14:textId="77777777" w:rsidR="00851C67" w:rsidRPr="00912C62" w:rsidRDefault="00851C67" w:rsidP="0097226C">
            <w:pPr>
              <w:ind w:left="33"/>
              <w:rPr>
                <w:sz w:val="16"/>
                <w:szCs w:val="16"/>
              </w:rPr>
            </w:pPr>
          </w:p>
          <w:p w14:paraId="5247EAB1" w14:textId="0089BB1E" w:rsidR="00BA5EA9" w:rsidRPr="00912C62" w:rsidRDefault="00C243CA" w:rsidP="0097226C">
            <w:pPr>
              <w:ind w:left="33"/>
              <w:rPr>
                <w:sz w:val="16"/>
                <w:szCs w:val="16"/>
              </w:rPr>
            </w:pPr>
            <w:r w:rsidRPr="00912C62">
              <w:rPr>
                <w:sz w:val="16"/>
                <w:szCs w:val="16"/>
              </w:rPr>
              <w:t>Les incidents de priorité élevée ne restent pas ouverts plus de huit</w:t>
            </w:r>
            <w:r w:rsidR="004D421A" w:rsidRPr="00912C62">
              <w:rPr>
                <w:sz w:val="16"/>
                <w:szCs w:val="16"/>
              </w:rPr>
              <w:t> </w:t>
            </w:r>
            <w:r w:rsidRPr="00912C62">
              <w:rPr>
                <w:sz w:val="16"/>
                <w:szCs w:val="16"/>
              </w:rPr>
              <w:t>jours</w:t>
            </w:r>
            <w:r w:rsidR="00CA1C73" w:rsidRPr="00912C62">
              <w:t xml:space="preserve"> </w:t>
            </w:r>
          </w:p>
        </w:tc>
        <w:tc>
          <w:tcPr>
            <w:tcW w:w="1343" w:type="pct"/>
            <w:shd w:val="clear" w:color="auto" w:fill="FFFFFF"/>
            <w:tcMar>
              <w:top w:w="110" w:type="dxa"/>
              <w:left w:w="58" w:type="dxa"/>
              <w:right w:w="58" w:type="dxa"/>
            </w:tcMar>
          </w:tcPr>
          <w:p w14:paraId="2C0377F2" w14:textId="54454247" w:rsidR="001F64B1" w:rsidRPr="00912C62" w:rsidRDefault="00FA22F6" w:rsidP="0097226C">
            <w:pPr>
              <w:keepNext/>
              <w:keepLines/>
              <w:rPr>
                <w:sz w:val="16"/>
                <w:szCs w:val="16"/>
              </w:rPr>
            </w:pPr>
            <w:r w:rsidRPr="00912C62">
              <w:rPr>
                <w:sz w:val="16"/>
                <w:szCs w:val="16"/>
              </w:rPr>
              <w:t>En 2016</w:t>
            </w:r>
            <w:r w:rsidR="005A1524" w:rsidRPr="00912C62">
              <w:rPr>
                <w:sz w:val="16"/>
                <w:szCs w:val="16"/>
              </w:rPr>
              <w:t>, AIMS fonctionnait bien à 100%</w:t>
            </w:r>
          </w:p>
          <w:p w14:paraId="69703507" w14:textId="77777777" w:rsidR="005A1524" w:rsidRPr="00912C62" w:rsidRDefault="005A1524" w:rsidP="005A1524">
            <w:pPr>
              <w:keepNext/>
              <w:keepLines/>
              <w:rPr>
                <w:sz w:val="16"/>
                <w:szCs w:val="16"/>
              </w:rPr>
            </w:pPr>
          </w:p>
          <w:p w14:paraId="009BDE87" w14:textId="38B63CA1" w:rsidR="005A1524" w:rsidRPr="001303B4" w:rsidRDefault="005A1524" w:rsidP="005A1524">
            <w:pPr>
              <w:keepNext/>
              <w:keepLines/>
              <w:rPr>
                <w:sz w:val="16"/>
                <w:szCs w:val="16"/>
              </w:rPr>
            </w:pPr>
            <w:r w:rsidRPr="00912C62">
              <w:rPr>
                <w:sz w:val="16"/>
                <w:szCs w:val="16"/>
              </w:rPr>
              <w:t xml:space="preserve">16 incidents de priorité élevée au maximum ont été ouverts en même temps </w:t>
            </w:r>
            <w:r w:rsidR="00FA22F6" w:rsidRPr="00912C62">
              <w:rPr>
                <w:sz w:val="16"/>
                <w:szCs w:val="16"/>
              </w:rPr>
              <w:t>en 2016</w:t>
            </w:r>
          </w:p>
          <w:p w14:paraId="1C1D4B1E" w14:textId="77777777" w:rsidR="001F64B1" w:rsidRDefault="001F64B1" w:rsidP="0097226C">
            <w:pPr>
              <w:keepNext/>
              <w:keepLines/>
              <w:rPr>
                <w:sz w:val="16"/>
                <w:szCs w:val="16"/>
              </w:rPr>
            </w:pPr>
          </w:p>
          <w:p w14:paraId="362985AF" w14:textId="77777777" w:rsidR="00851C67" w:rsidRDefault="00851C67" w:rsidP="0097226C">
            <w:pPr>
              <w:keepNext/>
              <w:keepLines/>
              <w:rPr>
                <w:sz w:val="16"/>
                <w:szCs w:val="16"/>
              </w:rPr>
            </w:pPr>
          </w:p>
          <w:p w14:paraId="71FA5400" w14:textId="77777777" w:rsidR="00851C67" w:rsidRPr="001303B4" w:rsidRDefault="00851C67" w:rsidP="0097226C">
            <w:pPr>
              <w:keepNext/>
              <w:keepLines/>
              <w:rPr>
                <w:sz w:val="16"/>
                <w:szCs w:val="16"/>
              </w:rPr>
            </w:pPr>
          </w:p>
          <w:p w14:paraId="2AD78D53" w14:textId="19A9CA11" w:rsidR="00BA5EA9" w:rsidRPr="00912C62" w:rsidRDefault="005A1524" w:rsidP="006A41CF">
            <w:pPr>
              <w:keepNext/>
              <w:keepLines/>
              <w:rPr>
                <w:sz w:val="16"/>
                <w:szCs w:val="16"/>
              </w:rPr>
            </w:pPr>
            <w:r w:rsidRPr="00912C62">
              <w:rPr>
                <w:sz w:val="16"/>
                <w:szCs w:val="16"/>
              </w:rPr>
              <w:t>Les</w:t>
            </w:r>
            <w:r w:rsidR="00BA5EA9" w:rsidRPr="00912C62">
              <w:rPr>
                <w:sz w:val="16"/>
                <w:szCs w:val="16"/>
              </w:rPr>
              <w:t xml:space="preserve"> </w:t>
            </w:r>
            <w:r w:rsidRPr="00912C62">
              <w:rPr>
                <w:sz w:val="16"/>
                <w:szCs w:val="16"/>
              </w:rPr>
              <w:t>incidents de priorité élevée ont été ouverts en moyenne 25</w:t>
            </w:r>
            <w:r w:rsidR="00B4191E" w:rsidRPr="00912C62">
              <w:rPr>
                <w:sz w:val="16"/>
                <w:szCs w:val="16"/>
              </w:rPr>
              <w:t> </w:t>
            </w:r>
            <w:r w:rsidRPr="00912C62">
              <w:rPr>
                <w:sz w:val="16"/>
                <w:szCs w:val="16"/>
              </w:rPr>
              <w:t xml:space="preserve">jours </w:t>
            </w:r>
            <w:r w:rsidR="00FA22F6" w:rsidRPr="00912C62">
              <w:rPr>
                <w:sz w:val="16"/>
                <w:szCs w:val="16"/>
              </w:rPr>
              <w:t>en 2016</w:t>
            </w:r>
          </w:p>
        </w:tc>
        <w:tc>
          <w:tcPr>
            <w:tcW w:w="467" w:type="pct"/>
            <w:shd w:val="clear" w:color="auto" w:fill="auto"/>
            <w:tcMar>
              <w:top w:w="110" w:type="dxa"/>
              <w:left w:w="58" w:type="dxa"/>
              <w:right w:w="58" w:type="dxa"/>
            </w:tcMar>
          </w:tcPr>
          <w:p w14:paraId="2A55714F" w14:textId="77777777" w:rsidR="001F64B1" w:rsidRPr="001E6DFD" w:rsidRDefault="00A43B2F" w:rsidP="0097226C">
            <w:pPr>
              <w:keepNext/>
              <w:keepLines/>
              <w:jc w:val="center"/>
              <w:rPr>
                <w:sz w:val="16"/>
                <w:szCs w:val="16"/>
              </w:rPr>
            </w:pPr>
            <w:r w:rsidRPr="001E6DFD">
              <w:rPr>
                <w:b/>
                <w:color w:val="00B050"/>
                <w:sz w:val="16"/>
                <w:szCs w:val="16"/>
              </w:rPr>
              <w:t>En bonne voie</w:t>
            </w:r>
          </w:p>
          <w:p w14:paraId="2AE8BA78" w14:textId="77777777" w:rsidR="001F64B1" w:rsidRPr="001E6DFD" w:rsidRDefault="001F64B1" w:rsidP="0097226C">
            <w:pPr>
              <w:keepNext/>
              <w:keepLines/>
              <w:jc w:val="center"/>
              <w:rPr>
                <w:b/>
                <w:sz w:val="16"/>
                <w:szCs w:val="16"/>
              </w:rPr>
            </w:pPr>
          </w:p>
          <w:p w14:paraId="3D464E1C" w14:textId="77777777" w:rsidR="001F64B1" w:rsidRPr="001E6DFD" w:rsidRDefault="00A43B2F" w:rsidP="0097226C">
            <w:pPr>
              <w:keepNext/>
              <w:keepLines/>
              <w:jc w:val="center"/>
              <w:rPr>
                <w:b/>
                <w:sz w:val="16"/>
                <w:szCs w:val="16"/>
              </w:rPr>
            </w:pPr>
            <w:r w:rsidRPr="001E6DFD">
              <w:rPr>
                <w:b/>
                <w:color w:val="00B050"/>
                <w:sz w:val="16"/>
                <w:szCs w:val="16"/>
              </w:rPr>
              <w:t>En bonne voie</w:t>
            </w:r>
          </w:p>
          <w:p w14:paraId="4D2F4AB5" w14:textId="77777777" w:rsidR="001F64B1" w:rsidRPr="001E6DFD" w:rsidRDefault="001F64B1" w:rsidP="0097226C">
            <w:pPr>
              <w:keepNext/>
              <w:keepLines/>
              <w:jc w:val="center"/>
              <w:rPr>
                <w:sz w:val="16"/>
                <w:szCs w:val="16"/>
              </w:rPr>
            </w:pPr>
          </w:p>
          <w:p w14:paraId="2A51E6FC" w14:textId="77777777" w:rsidR="001F64B1" w:rsidRDefault="001F64B1" w:rsidP="006A41CF">
            <w:pPr>
              <w:keepNext/>
              <w:keepLines/>
              <w:jc w:val="center"/>
              <w:rPr>
                <w:sz w:val="16"/>
                <w:szCs w:val="16"/>
              </w:rPr>
            </w:pPr>
          </w:p>
          <w:p w14:paraId="0FC253BB" w14:textId="77777777" w:rsidR="00493738" w:rsidRDefault="00493738" w:rsidP="006A41CF">
            <w:pPr>
              <w:keepNext/>
              <w:keepLines/>
              <w:jc w:val="center"/>
              <w:rPr>
                <w:sz w:val="16"/>
                <w:szCs w:val="16"/>
              </w:rPr>
            </w:pPr>
          </w:p>
          <w:p w14:paraId="2B758481" w14:textId="77777777" w:rsidR="00851C67" w:rsidRDefault="00851C67" w:rsidP="006A41CF">
            <w:pPr>
              <w:keepNext/>
              <w:keepLines/>
              <w:jc w:val="center"/>
              <w:rPr>
                <w:sz w:val="16"/>
                <w:szCs w:val="16"/>
              </w:rPr>
            </w:pPr>
          </w:p>
          <w:p w14:paraId="5669101E" w14:textId="77777777" w:rsidR="00851C67" w:rsidRPr="001E6DFD" w:rsidRDefault="00851C67" w:rsidP="006A41CF">
            <w:pPr>
              <w:keepNext/>
              <w:keepLines/>
              <w:jc w:val="center"/>
              <w:rPr>
                <w:sz w:val="16"/>
                <w:szCs w:val="16"/>
              </w:rPr>
            </w:pPr>
          </w:p>
          <w:p w14:paraId="2317143C" w14:textId="77777777" w:rsidR="00BA5EA9" w:rsidRPr="001E6DFD" w:rsidRDefault="00505EF6" w:rsidP="0097226C">
            <w:pPr>
              <w:keepNext/>
              <w:keepLines/>
              <w:jc w:val="center"/>
              <w:rPr>
                <w:sz w:val="16"/>
                <w:szCs w:val="16"/>
              </w:rPr>
            </w:pPr>
            <w:r w:rsidRPr="001E6DFD">
              <w:rPr>
                <w:b/>
                <w:color w:val="FF0000"/>
                <w:sz w:val="16"/>
                <w:szCs w:val="16"/>
              </w:rPr>
              <w:t>Pas en bonne voie</w:t>
            </w:r>
          </w:p>
        </w:tc>
      </w:tr>
      <w:tr w:rsidR="00BA5EA9" w:rsidRPr="001E6DFD" w14:paraId="3FB0CD51" w14:textId="77777777" w:rsidTr="005C716A">
        <w:tc>
          <w:tcPr>
            <w:tcW w:w="905" w:type="pct"/>
            <w:shd w:val="clear" w:color="auto" w:fill="auto"/>
            <w:tcMar>
              <w:left w:w="58" w:type="dxa"/>
              <w:right w:w="58" w:type="dxa"/>
            </w:tcMar>
          </w:tcPr>
          <w:p w14:paraId="30ECE464" w14:textId="77777777" w:rsidR="00BA5EA9" w:rsidRPr="001E6DFD" w:rsidRDefault="00C243CA" w:rsidP="0097226C">
            <w:pPr>
              <w:ind w:left="33"/>
              <w:rPr>
                <w:sz w:val="16"/>
                <w:szCs w:val="16"/>
              </w:rPr>
            </w:pPr>
            <w:r w:rsidRPr="001E6DFD">
              <w:rPr>
                <w:sz w:val="16"/>
                <w:szCs w:val="16"/>
              </w:rPr>
              <w:t>Les projets ERP sont mis en œuvre conformément au plan et dans les limites du budget du portefeuille</w:t>
            </w:r>
          </w:p>
        </w:tc>
        <w:tc>
          <w:tcPr>
            <w:tcW w:w="1475" w:type="pct"/>
            <w:shd w:val="clear" w:color="auto" w:fill="auto"/>
            <w:tcMar>
              <w:left w:w="58" w:type="dxa"/>
              <w:right w:w="58" w:type="dxa"/>
            </w:tcMar>
          </w:tcPr>
          <w:p w14:paraId="0B029DE2" w14:textId="13AF5C56" w:rsidR="00BA5EA9" w:rsidRPr="001E6DFD" w:rsidRDefault="00C243CA" w:rsidP="0097226C">
            <w:pPr>
              <w:ind w:left="33"/>
              <w:rPr>
                <w:sz w:val="16"/>
                <w:szCs w:val="16"/>
              </w:rPr>
            </w:pPr>
            <w:r w:rsidRPr="001E6DFD">
              <w:rPr>
                <w:sz w:val="16"/>
                <w:szCs w:val="16"/>
              </w:rPr>
              <w:t xml:space="preserve">Plan actualisé communiqué aux États membres </w:t>
            </w:r>
            <w:r w:rsidR="00FA22F6" w:rsidRPr="001E6DFD">
              <w:rPr>
                <w:sz w:val="16"/>
                <w:szCs w:val="16"/>
              </w:rPr>
              <w:t>en 2015</w:t>
            </w:r>
            <w:r w:rsidRPr="001E6DFD">
              <w:rPr>
                <w:sz w:val="16"/>
                <w:szCs w:val="16"/>
              </w:rPr>
              <w:t xml:space="preserve">. </w:t>
            </w:r>
            <w:r w:rsidR="004D421A" w:rsidRPr="001E6DFD">
              <w:rPr>
                <w:sz w:val="16"/>
                <w:szCs w:val="16"/>
              </w:rPr>
              <w:t xml:space="preserve"> </w:t>
            </w:r>
            <w:r w:rsidRPr="001E6DFD">
              <w:rPr>
                <w:sz w:val="16"/>
                <w:szCs w:val="16"/>
              </w:rPr>
              <w:t xml:space="preserve">Budget approuvé par les États membres </w:t>
            </w:r>
            <w:r w:rsidR="00FA22F6" w:rsidRPr="001E6DFD">
              <w:rPr>
                <w:sz w:val="16"/>
                <w:szCs w:val="16"/>
              </w:rPr>
              <w:t>en 2010</w:t>
            </w:r>
          </w:p>
        </w:tc>
        <w:tc>
          <w:tcPr>
            <w:tcW w:w="810" w:type="pct"/>
            <w:gridSpan w:val="4"/>
            <w:shd w:val="clear" w:color="auto" w:fill="auto"/>
            <w:tcMar>
              <w:top w:w="110" w:type="dxa"/>
              <w:left w:w="58" w:type="dxa"/>
              <w:right w:w="58" w:type="dxa"/>
            </w:tcMar>
          </w:tcPr>
          <w:p w14:paraId="7E6F9A80" w14:textId="77777777" w:rsidR="00BA5EA9" w:rsidRPr="001E6DFD" w:rsidRDefault="00C243CA" w:rsidP="0097226C">
            <w:pPr>
              <w:ind w:left="33"/>
              <w:rPr>
                <w:sz w:val="16"/>
                <w:szCs w:val="16"/>
              </w:rPr>
            </w:pPr>
            <w:r w:rsidRPr="001E6DFD">
              <w:rPr>
                <w:sz w:val="16"/>
                <w:szCs w:val="16"/>
              </w:rPr>
              <w:t>Conformément au plan</w:t>
            </w:r>
          </w:p>
        </w:tc>
        <w:tc>
          <w:tcPr>
            <w:tcW w:w="1343" w:type="pct"/>
            <w:shd w:val="clear" w:color="auto" w:fill="FFFFFF"/>
            <w:tcMar>
              <w:top w:w="110" w:type="dxa"/>
              <w:left w:w="58" w:type="dxa"/>
              <w:right w:w="58" w:type="dxa"/>
            </w:tcMar>
          </w:tcPr>
          <w:p w14:paraId="1A871192" w14:textId="483B4DA2" w:rsidR="001F64B1" w:rsidRPr="00912C62" w:rsidRDefault="00E560BC" w:rsidP="0097226C">
            <w:pPr>
              <w:keepNext/>
              <w:keepLines/>
              <w:rPr>
                <w:sz w:val="16"/>
                <w:szCs w:val="16"/>
              </w:rPr>
            </w:pPr>
            <w:r w:rsidRPr="00912C62">
              <w:rPr>
                <w:sz w:val="16"/>
                <w:szCs w:val="16"/>
              </w:rPr>
              <w:t>Les projets ERP livrés en temps voulu respectaient les limites du budget du portefeuille</w:t>
            </w:r>
          </w:p>
          <w:p w14:paraId="4AB9C543" w14:textId="77777777" w:rsidR="001F64B1" w:rsidRPr="001303B4" w:rsidRDefault="001F64B1" w:rsidP="0097226C">
            <w:pPr>
              <w:keepNext/>
              <w:keepLines/>
              <w:rPr>
                <w:sz w:val="16"/>
                <w:szCs w:val="16"/>
              </w:rPr>
            </w:pPr>
          </w:p>
          <w:p w14:paraId="53D17028" w14:textId="008C7D8F" w:rsidR="00BA5EA9" w:rsidRPr="00912C62" w:rsidRDefault="00D10F59" w:rsidP="0097226C">
            <w:pPr>
              <w:keepNext/>
              <w:keepLines/>
              <w:rPr>
                <w:sz w:val="16"/>
                <w:szCs w:val="16"/>
              </w:rPr>
            </w:pPr>
            <w:r w:rsidRPr="00912C62">
              <w:rPr>
                <w:sz w:val="16"/>
                <w:szCs w:val="16"/>
              </w:rPr>
              <w:t>Tous les projets n</w:t>
            </w:r>
            <w:r w:rsidR="00FA22F6" w:rsidRPr="00912C62">
              <w:rPr>
                <w:sz w:val="16"/>
                <w:szCs w:val="16"/>
              </w:rPr>
              <w:t>’</w:t>
            </w:r>
            <w:r w:rsidRPr="00912C62">
              <w:rPr>
                <w:sz w:val="16"/>
                <w:szCs w:val="16"/>
              </w:rPr>
              <w:t xml:space="preserve">ont pas été livrés conformément au plan communiqué aux États membres </w:t>
            </w:r>
            <w:r w:rsidR="00FA22F6" w:rsidRPr="00912C62">
              <w:rPr>
                <w:sz w:val="16"/>
                <w:szCs w:val="16"/>
              </w:rPr>
              <w:t>en 2015</w:t>
            </w:r>
            <w:r w:rsidRPr="00912C62">
              <w:rPr>
                <w:sz w:val="16"/>
                <w:szCs w:val="16"/>
              </w:rPr>
              <w:t>.</w:t>
            </w:r>
            <w:r w:rsidR="00BA5EA9" w:rsidRPr="00912C62">
              <w:rPr>
                <w:sz w:val="16"/>
                <w:szCs w:val="16"/>
              </w:rPr>
              <w:t xml:space="preserve">  </w:t>
            </w:r>
            <w:r w:rsidRPr="00912C62">
              <w:rPr>
                <w:sz w:val="16"/>
                <w:szCs w:val="16"/>
              </w:rPr>
              <w:t xml:space="preserve">En outre, certains projets ont été supprimés, </w:t>
            </w:r>
            <w:r w:rsidR="000122B6" w:rsidRPr="00912C62">
              <w:rPr>
                <w:sz w:val="16"/>
                <w:szCs w:val="16"/>
              </w:rPr>
              <w:t xml:space="preserve">après examen et approbation du Comité directeur </w:t>
            </w:r>
            <w:r w:rsidRPr="00912C62">
              <w:rPr>
                <w:sz w:val="16"/>
                <w:szCs w:val="16"/>
              </w:rPr>
              <w:t>de</w:t>
            </w:r>
            <w:r w:rsidR="000122B6" w:rsidRPr="00912C62">
              <w:rPr>
                <w:sz w:val="16"/>
                <w:szCs w:val="16"/>
              </w:rPr>
              <w:t>s</w:t>
            </w:r>
            <w:r w:rsidRPr="00912C62">
              <w:rPr>
                <w:sz w:val="16"/>
                <w:szCs w:val="16"/>
              </w:rPr>
              <w:t xml:space="preserve"> proje</w:t>
            </w:r>
            <w:r w:rsidR="004A4D21" w:rsidRPr="00912C62">
              <w:rPr>
                <w:sz w:val="16"/>
                <w:szCs w:val="16"/>
              </w:rPr>
              <w:t>ts.  Po</w:t>
            </w:r>
            <w:r w:rsidR="000E4642" w:rsidRPr="00912C62">
              <w:rPr>
                <w:sz w:val="16"/>
                <w:szCs w:val="16"/>
              </w:rPr>
              <w:t xml:space="preserve">ur plus de détails, </w:t>
            </w:r>
            <w:r w:rsidR="00955E3B" w:rsidRPr="00912C62">
              <w:rPr>
                <w:sz w:val="16"/>
                <w:szCs w:val="16"/>
              </w:rPr>
              <w:t>veuillez</w:t>
            </w:r>
            <w:r w:rsidR="006A41CF" w:rsidRPr="00912C62">
              <w:rPr>
                <w:sz w:val="16"/>
                <w:szCs w:val="16"/>
              </w:rPr>
              <w:noBreakHyphen/>
            </w:r>
            <w:r w:rsidR="00955E3B" w:rsidRPr="00912C62">
              <w:rPr>
                <w:sz w:val="16"/>
                <w:szCs w:val="16"/>
              </w:rPr>
              <w:t>vous</w:t>
            </w:r>
            <w:r w:rsidR="000E4642" w:rsidRPr="00912C62">
              <w:rPr>
                <w:sz w:val="16"/>
                <w:szCs w:val="16"/>
              </w:rPr>
              <w:t xml:space="preserve"> reporter au </w:t>
            </w:r>
            <w:r w:rsidR="00912BA2" w:rsidRPr="00912C62">
              <w:rPr>
                <w:sz w:val="16"/>
                <w:szCs w:val="16"/>
              </w:rPr>
              <w:t>Rapport final sur l</w:t>
            </w:r>
            <w:r w:rsidR="00FA22F6" w:rsidRPr="00912C62">
              <w:rPr>
                <w:sz w:val="16"/>
                <w:szCs w:val="16"/>
              </w:rPr>
              <w:t>’</w:t>
            </w:r>
            <w:r w:rsidR="00912BA2" w:rsidRPr="00912C62">
              <w:rPr>
                <w:sz w:val="16"/>
                <w:szCs w:val="16"/>
              </w:rPr>
              <w:t>état d</w:t>
            </w:r>
            <w:r w:rsidR="00FA22F6" w:rsidRPr="00912C62">
              <w:rPr>
                <w:sz w:val="16"/>
                <w:szCs w:val="16"/>
              </w:rPr>
              <w:t>’</w:t>
            </w:r>
            <w:r w:rsidR="00912BA2" w:rsidRPr="00912C62">
              <w:rPr>
                <w:sz w:val="16"/>
                <w:szCs w:val="16"/>
              </w:rPr>
              <w:t>avancement de la mise en œuvre d</w:t>
            </w:r>
            <w:r w:rsidR="00FA22F6" w:rsidRPr="00912C62">
              <w:rPr>
                <w:sz w:val="16"/>
                <w:szCs w:val="16"/>
              </w:rPr>
              <w:t>’</w:t>
            </w:r>
            <w:r w:rsidR="00912BA2" w:rsidRPr="00912C62">
              <w:rPr>
                <w:sz w:val="16"/>
                <w:szCs w:val="16"/>
              </w:rPr>
              <w:t>un système intégré et global de planification des ressources de l</w:t>
            </w:r>
            <w:r w:rsidR="00FA22F6" w:rsidRPr="00912C62">
              <w:rPr>
                <w:sz w:val="16"/>
                <w:szCs w:val="16"/>
              </w:rPr>
              <w:t>’</w:t>
            </w:r>
            <w:r w:rsidR="00912BA2" w:rsidRPr="00912C62">
              <w:rPr>
                <w:sz w:val="16"/>
                <w:szCs w:val="16"/>
              </w:rPr>
              <w:t>Organisation (ERP), q</w:t>
            </w:r>
            <w:r w:rsidR="000E4642" w:rsidRPr="00912C62">
              <w:rPr>
                <w:sz w:val="16"/>
                <w:szCs w:val="16"/>
              </w:rPr>
              <w:t xml:space="preserve">ui sera présenté aux États membres à la </w:t>
            </w:r>
            <w:r w:rsidR="00912BA2" w:rsidRPr="00912C62">
              <w:rPr>
                <w:sz w:val="16"/>
                <w:szCs w:val="16"/>
              </w:rPr>
              <w:t>vingt</w:t>
            </w:r>
            <w:r w:rsidR="006A41CF" w:rsidRPr="00912C62">
              <w:rPr>
                <w:sz w:val="16"/>
                <w:szCs w:val="16"/>
              </w:rPr>
              <w:noBreakHyphen/>
            </w:r>
            <w:r w:rsidR="00912BA2" w:rsidRPr="00912C62">
              <w:rPr>
                <w:sz w:val="16"/>
                <w:szCs w:val="16"/>
              </w:rPr>
              <w:t>sept</w:t>
            </w:r>
            <w:r w:rsidR="00FA22F6" w:rsidRPr="00912C62">
              <w:rPr>
                <w:sz w:val="16"/>
                <w:szCs w:val="16"/>
              </w:rPr>
              <w:t>ième session du PBC</w:t>
            </w:r>
            <w:r w:rsidR="000E4642" w:rsidRPr="00912C62">
              <w:rPr>
                <w:sz w:val="16"/>
                <w:szCs w:val="16"/>
              </w:rPr>
              <w:t>.</w:t>
            </w:r>
          </w:p>
        </w:tc>
        <w:tc>
          <w:tcPr>
            <w:tcW w:w="467" w:type="pct"/>
            <w:shd w:val="clear" w:color="auto" w:fill="auto"/>
            <w:tcMar>
              <w:top w:w="110" w:type="dxa"/>
              <w:left w:w="58" w:type="dxa"/>
              <w:right w:w="58" w:type="dxa"/>
            </w:tcMar>
          </w:tcPr>
          <w:p w14:paraId="24C8A00D" w14:textId="77777777" w:rsidR="00BA5EA9" w:rsidRPr="001E6DFD" w:rsidRDefault="00505EF6" w:rsidP="0097226C">
            <w:pPr>
              <w:keepNext/>
              <w:keepLines/>
              <w:jc w:val="center"/>
              <w:rPr>
                <w:sz w:val="16"/>
                <w:szCs w:val="16"/>
              </w:rPr>
            </w:pPr>
            <w:r w:rsidRPr="001E6DFD">
              <w:rPr>
                <w:b/>
                <w:color w:val="FF0000"/>
                <w:sz w:val="16"/>
                <w:szCs w:val="16"/>
              </w:rPr>
              <w:t>Pas en bonne voie</w:t>
            </w:r>
          </w:p>
        </w:tc>
      </w:tr>
      <w:tr w:rsidR="00BA5EA9" w:rsidRPr="001E6DFD" w14:paraId="25221D88" w14:textId="77777777" w:rsidTr="005C716A">
        <w:tc>
          <w:tcPr>
            <w:tcW w:w="5000" w:type="pct"/>
            <w:gridSpan w:val="8"/>
            <w:shd w:val="clear" w:color="auto" w:fill="C6D9F1" w:themeFill="text2" w:themeFillTint="33"/>
            <w:tcMar>
              <w:left w:w="58" w:type="dxa"/>
              <w:right w:w="58" w:type="dxa"/>
            </w:tcMar>
            <w:vAlign w:val="center"/>
          </w:tcPr>
          <w:p w14:paraId="7CC177E9" w14:textId="4F8EF4CA" w:rsidR="00BA5EA9" w:rsidRPr="001E6DFD" w:rsidRDefault="00C243CA"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IX.2 Un Secrétariat réactif, fonctionnant harmonieusement et doté de ressources humaines bien gérées et compétentes, à même d</w:t>
            </w:r>
            <w:r w:rsidR="00FA22F6" w:rsidRPr="001E6DFD">
              <w:rPr>
                <w:bCs/>
                <w:sz w:val="16"/>
                <w:szCs w:val="16"/>
              </w:rPr>
              <w:t>’</w:t>
            </w:r>
            <w:r w:rsidRPr="001E6DFD">
              <w:rPr>
                <w:bCs/>
                <w:sz w:val="16"/>
                <w:szCs w:val="16"/>
              </w:rPr>
              <w:t>obtenir des résultats concrets</w:t>
            </w:r>
          </w:p>
        </w:tc>
      </w:tr>
      <w:tr w:rsidR="00BA5EA9" w:rsidRPr="001E6DFD" w14:paraId="42A6B94B" w14:textId="77777777" w:rsidTr="005C716A">
        <w:tc>
          <w:tcPr>
            <w:tcW w:w="905" w:type="pct"/>
            <w:shd w:val="clear" w:color="auto" w:fill="auto"/>
            <w:tcMar>
              <w:left w:w="58" w:type="dxa"/>
              <w:right w:w="58" w:type="dxa"/>
            </w:tcMar>
            <w:vAlign w:val="center"/>
          </w:tcPr>
          <w:p w14:paraId="28D3B5DC" w14:textId="6D7ED618" w:rsidR="00BA5EA9" w:rsidRPr="001E6DFD" w:rsidRDefault="00C243CA" w:rsidP="0097226C">
            <w:pPr>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480" w:type="pct"/>
            <w:gridSpan w:val="2"/>
            <w:shd w:val="clear" w:color="auto" w:fill="auto"/>
            <w:tcMar>
              <w:left w:w="58" w:type="dxa"/>
              <w:right w:w="58" w:type="dxa"/>
            </w:tcMar>
            <w:vAlign w:val="center"/>
          </w:tcPr>
          <w:p w14:paraId="5CF48F63" w14:textId="77777777" w:rsidR="00BA5EA9" w:rsidRPr="001E6DFD" w:rsidRDefault="00C243CA" w:rsidP="0097226C">
            <w:pPr>
              <w:jc w:val="center"/>
              <w:rPr>
                <w:b/>
                <w:bCs/>
                <w:sz w:val="16"/>
                <w:szCs w:val="16"/>
              </w:rPr>
            </w:pPr>
            <w:r w:rsidRPr="001E6DFD">
              <w:rPr>
                <w:b/>
                <w:bCs/>
                <w:sz w:val="16"/>
                <w:szCs w:val="16"/>
              </w:rPr>
              <w:t>Niveaux de référence</w:t>
            </w:r>
          </w:p>
        </w:tc>
        <w:tc>
          <w:tcPr>
            <w:tcW w:w="662" w:type="pct"/>
            <w:shd w:val="clear" w:color="auto" w:fill="auto"/>
            <w:tcMar>
              <w:top w:w="110" w:type="dxa"/>
              <w:left w:w="58" w:type="dxa"/>
              <w:right w:w="58" w:type="dxa"/>
            </w:tcMar>
            <w:vAlign w:val="center"/>
          </w:tcPr>
          <w:p w14:paraId="2D2DBA55" w14:textId="77777777" w:rsidR="00BA5EA9" w:rsidRPr="001E6DFD" w:rsidRDefault="00C243CA" w:rsidP="0097226C">
            <w:pPr>
              <w:jc w:val="center"/>
              <w:rPr>
                <w:b/>
                <w:bCs/>
                <w:sz w:val="16"/>
                <w:szCs w:val="16"/>
              </w:rPr>
            </w:pPr>
            <w:r w:rsidRPr="001E6DFD">
              <w:rPr>
                <w:b/>
                <w:bCs/>
                <w:sz w:val="16"/>
                <w:szCs w:val="16"/>
              </w:rPr>
              <w:t>Objectifs visés</w:t>
            </w:r>
          </w:p>
        </w:tc>
        <w:tc>
          <w:tcPr>
            <w:tcW w:w="1486" w:type="pct"/>
            <w:gridSpan w:val="3"/>
            <w:shd w:val="clear" w:color="auto" w:fill="FFFFFF"/>
            <w:tcMar>
              <w:top w:w="110" w:type="dxa"/>
              <w:left w:w="58" w:type="dxa"/>
              <w:right w:w="58" w:type="dxa"/>
            </w:tcMar>
            <w:vAlign w:val="center"/>
          </w:tcPr>
          <w:p w14:paraId="4E5221E6" w14:textId="2902FF75" w:rsidR="00BA5EA9" w:rsidRPr="001E6DFD" w:rsidRDefault="00C243CA" w:rsidP="0097226C">
            <w:pPr>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67" w:type="pct"/>
            <w:shd w:val="clear" w:color="auto" w:fill="auto"/>
            <w:tcMar>
              <w:top w:w="110" w:type="dxa"/>
              <w:left w:w="58" w:type="dxa"/>
              <w:right w:w="58" w:type="dxa"/>
            </w:tcMar>
            <w:vAlign w:val="center"/>
          </w:tcPr>
          <w:p w14:paraId="3FEB5849" w14:textId="1FC60FBE"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49BD4019" w14:textId="77777777" w:rsidTr="005C716A">
        <w:tc>
          <w:tcPr>
            <w:tcW w:w="905" w:type="pct"/>
            <w:shd w:val="clear" w:color="auto" w:fill="auto"/>
            <w:tcMar>
              <w:left w:w="58" w:type="dxa"/>
              <w:right w:w="58" w:type="dxa"/>
            </w:tcMar>
          </w:tcPr>
          <w:p w14:paraId="111F44BF" w14:textId="456C09CD" w:rsidR="00BA5EA9" w:rsidRPr="001E6DFD" w:rsidRDefault="00C243CA" w:rsidP="0097226C">
            <w:pPr>
              <w:ind w:left="33"/>
              <w:rPr>
                <w:sz w:val="16"/>
                <w:szCs w:val="16"/>
              </w:rPr>
            </w:pPr>
            <w:r w:rsidRPr="001E6DFD">
              <w:rPr>
                <w:sz w:val="16"/>
                <w:szCs w:val="16"/>
              </w:rPr>
              <w:t>Les commissaires aux comptes externes ont produit un rapport financier satisfaisant, qui confirme que les opérations financières sont conformes aux dispositions des conventions et des traités de l</w:t>
            </w:r>
            <w:r w:rsidR="00FA22F6" w:rsidRPr="001E6DFD">
              <w:rPr>
                <w:sz w:val="16"/>
                <w:szCs w:val="16"/>
              </w:rPr>
              <w:t>’</w:t>
            </w:r>
            <w:r w:rsidRPr="001E6DFD">
              <w:rPr>
                <w:sz w:val="16"/>
                <w:szCs w:val="16"/>
              </w:rPr>
              <w:t>OMPI, au Règlement financier de l</w:t>
            </w:r>
            <w:r w:rsidR="00FA22F6" w:rsidRPr="001E6DFD">
              <w:rPr>
                <w:sz w:val="16"/>
                <w:szCs w:val="16"/>
              </w:rPr>
              <w:t>’</w:t>
            </w:r>
            <w:r w:rsidRPr="001E6DFD">
              <w:rPr>
                <w:sz w:val="16"/>
                <w:szCs w:val="16"/>
              </w:rPr>
              <w:t>OMPI et aux Normes comptables internationales pour le secteur public (IPSAS).</w:t>
            </w:r>
          </w:p>
        </w:tc>
        <w:tc>
          <w:tcPr>
            <w:tcW w:w="1480" w:type="pct"/>
            <w:gridSpan w:val="2"/>
            <w:shd w:val="clear" w:color="auto" w:fill="auto"/>
            <w:tcMar>
              <w:left w:w="58" w:type="dxa"/>
              <w:right w:w="58" w:type="dxa"/>
            </w:tcMar>
          </w:tcPr>
          <w:p w14:paraId="62F7A8CA" w14:textId="56728737"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5E08FEDC" w14:textId="71E7AEDB" w:rsidR="001F64B1" w:rsidRPr="00912C62" w:rsidRDefault="009A1740" w:rsidP="0097226C">
            <w:pPr>
              <w:rPr>
                <w:color w:val="002060"/>
                <w:sz w:val="16"/>
                <w:szCs w:val="16"/>
              </w:rPr>
            </w:pPr>
            <w:r w:rsidRPr="00912C62">
              <w:rPr>
                <w:color w:val="002060"/>
                <w:sz w:val="16"/>
                <w:szCs w:val="16"/>
              </w:rPr>
              <w:t>Réception d</w:t>
            </w:r>
            <w:r w:rsidR="00FA22F6" w:rsidRPr="00912C62">
              <w:rPr>
                <w:color w:val="002060"/>
                <w:sz w:val="16"/>
                <w:szCs w:val="16"/>
              </w:rPr>
              <w:t>’</w:t>
            </w:r>
            <w:r w:rsidRPr="00912C62">
              <w:rPr>
                <w:color w:val="002060"/>
                <w:sz w:val="16"/>
                <w:szCs w:val="16"/>
              </w:rPr>
              <w:t>un rapport d</w:t>
            </w:r>
            <w:r w:rsidR="00FA22F6" w:rsidRPr="00912C62">
              <w:rPr>
                <w:color w:val="002060"/>
                <w:sz w:val="16"/>
                <w:szCs w:val="16"/>
              </w:rPr>
              <w:t>’</w:t>
            </w:r>
            <w:r w:rsidRPr="00912C62">
              <w:rPr>
                <w:color w:val="002060"/>
                <w:sz w:val="16"/>
                <w:szCs w:val="16"/>
              </w:rPr>
              <w:t xml:space="preserve">audit favorable </w:t>
            </w:r>
            <w:r w:rsidR="00FA22F6" w:rsidRPr="00912C62">
              <w:rPr>
                <w:color w:val="002060"/>
                <w:sz w:val="16"/>
                <w:szCs w:val="16"/>
              </w:rPr>
              <w:t>pour 2014</w:t>
            </w:r>
            <w:r w:rsidR="006A41CF" w:rsidRPr="00912C62">
              <w:rPr>
                <w:color w:val="002060"/>
                <w:sz w:val="16"/>
                <w:szCs w:val="16"/>
              </w:rPr>
              <w:noBreakHyphen/>
            </w:r>
            <w:r w:rsidRPr="00912C62">
              <w:rPr>
                <w:color w:val="002060"/>
                <w:sz w:val="16"/>
                <w:szCs w:val="16"/>
              </w:rPr>
              <w:t>2015</w:t>
            </w:r>
            <w:r w:rsidR="00A350AB" w:rsidRPr="00912C62">
              <w:rPr>
                <w:color w:val="002060"/>
                <w:sz w:val="16"/>
                <w:szCs w:val="16"/>
              </w:rPr>
              <w:t>.</w:t>
            </w:r>
          </w:p>
          <w:p w14:paraId="479A5BED" w14:textId="3D9F5861" w:rsidR="00FA22F6" w:rsidRPr="00912C62" w:rsidRDefault="00C243CA" w:rsidP="0097226C">
            <w:pPr>
              <w:rPr>
                <w:color w:val="002060"/>
                <w:sz w:val="16"/>
                <w:szCs w:val="16"/>
              </w:rPr>
            </w:pPr>
            <w:r w:rsidRPr="00912C62">
              <w:rPr>
                <w:color w:val="002060"/>
                <w:sz w:val="16"/>
                <w:szCs w:val="16"/>
              </w:rPr>
              <w:t>Au moment de la présente publication, les résultats de l</w:t>
            </w:r>
            <w:r w:rsidR="00FA22F6" w:rsidRPr="00912C62">
              <w:rPr>
                <w:color w:val="002060"/>
                <w:sz w:val="16"/>
                <w:szCs w:val="16"/>
              </w:rPr>
              <w:t>’</w:t>
            </w:r>
            <w:r w:rsidRPr="00912C62">
              <w:rPr>
                <w:color w:val="002060"/>
                <w:sz w:val="16"/>
                <w:szCs w:val="16"/>
              </w:rPr>
              <w:t>audit</w:t>
            </w:r>
            <w:r w:rsidR="00B4191E" w:rsidRPr="00912C62">
              <w:rPr>
                <w:color w:val="002060"/>
                <w:sz w:val="16"/>
                <w:szCs w:val="16"/>
              </w:rPr>
              <w:t> </w:t>
            </w:r>
            <w:r w:rsidRPr="00912C62">
              <w:rPr>
                <w:color w:val="002060"/>
                <w:sz w:val="16"/>
                <w:szCs w:val="16"/>
              </w:rPr>
              <w:t>2015 n</w:t>
            </w:r>
            <w:r w:rsidR="00FA22F6" w:rsidRPr="00912C62">
              <w:rPr>
                <w:color w:val="002060"/>
                <w:sz w:val="16"/>
                <w:szCs w:val="16"/>
              </w:rPr>
              <w:t>’</w:t>
            </w:r>
            <w:r w:rsidRPr="00912C62">
              <w:rPr>
                <w:color w:val="002060"/>
                <w:sz w:val="16"/>
                <w:szCs w:val="16"/>
              </w:rPr>
              <w:t>avaient pas encore été publiés.</w:t>
            </w:r>
          </w:p>
          <w:p w14:paraId="46AEB45E" w14:textId="1BC560A0" w:rsidR="001F64B1" w:rsidRPr="00912C62" w:rsidRDefault="00024F34" w:rsidP="0097226C">
            <w:pPr>
              <w:rPr>
                <w:i/>
                <w:color w:val="002060"/>
                <w:sz w:val="16"/>
                <w:szCs w:val="16"/>
              </w:rPr>
            </w:pPr>
            <w:r w:rsidRPr="00912C62">
              <w:rPr>
                <w:color w:val="002060"/>
                <w:sz w:val="16"/>
                <w:szCs w:val="16"/>
              </w:rPr>
              <w:t>Réponses apportées à toutes les recommandations de l</w:t>
            </w:r>
            <w:r w:rsidR="00FA22F6" w:rsidRPr="00912C62">
              <w:rPr>
                <w:color w:val="002060"/>
                <w:sz w:val="16"/>
                <w:szCs w:val="16"/>
              </w:rPr>
              <w:t>’</w:t>
            </w:r>
            <w:r w:rsidRPr="00912C62">
              <w:rPr>
                <w:color w:val="002060"/>
                <w:sz w:val="16"/>
                <w:szCs w:val="16"/>
              </w:rPr>
              <w:t xml:space="preserve">audit reçues </w:t>
            </w:r>
            <w:r w:rsidR="00FA22F6" w:rsidRPr="00912C62">
              <w:rPr>
                <w:color w:val="002060"/>
                <w:sz w:val="16"/>
                <w:szCs w:val="16"/>
              </w:rPr>
              <w:t>en 2014</w:t>
            </w:r>
            <w:r w:rsidRPr="00912C62">
              <w:rPr>
                <w:color w:val="002060"/>
                <w:sz w:val="16"/>
                <w:szCs w:val="16"/>
              </w:rPr>
              <w:t xml:space="preserve"> et 2015</w:t>
            </w:r>
            <w:r w:rsidR="00A350AB" w:rsidRPr="00912C62">
              <w:rPr>
                <w:color w:val="002060"/>
                <w:sz w:val="16"/>
                <w:szCs w:val="16"/>
              </w:rPr>
              <w:t>.</w:t>
            </w:r>
          </w:p>
          <w:p w14:paraId="374A5A6F" w14:textId="77777777" w:rsidR="001F64B1" w:rsidRPr="001E6DFD" w:rsidRDefault="001F64B1" w:rsidP="0097226C">
            <w:pPr>
              <w:rPr>
                <w:i/>
                <w:sz w:val="16"/>
                <w:szCs w:val="16"/>
              </w:rPr>
            </w:pPr>
          </w:p>
          <w:p w14:paraId="03A4391B" w14:textId="15018C47" w:rsidR="00FA22F6" w:rsidRPr="001E6DFD" w:rsidRDefault="00E64532" w:rsidP="0097226C">
            <w:pPr>
              <w:ind w:left="33"/>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459CDA1E" w14:textId="028FB2E7" w:rsidR="00BA5EA9" w:rsidRPr="001E6DFD" w:rsidRDefault="00C243CA" w:rsidP="0097226C">
            <w:pPr>
              <w:ind w:left="33"/>
              <w:rPr>
                <w:sz w:val="16"/>
                <w:szCs w:val="16"/>
              </w:rPr>
            </w:pPr>
            <w:r w:rsidRPr="001E6DFD">
              <w:rPr>
                <w:sz w:val="16"/>
                <w:szCs w:val="16"/>
              </w:rPr>
              <w:t>Réception d</w:t>
            </w:r>
            <w:r w:rsidR="00FA22F6" w:rsidRPr="001E6DFD">
              <w:rPr>
                <w:sz w:val="16"/>
                <w:szCs w:val="16"/>
              </w:rPr>
              <w:t>’</w:t>
            </w:r>
            <w:r w:rsidRPr="001E6DFD">
              <w:rPr>
                <w:sz w:val="16"/>
                <w:szCs w:val="16"/>
              </w:rPr>
              <w:t>un rapport d</w:t>
            </w:r>
            <w:r w:rsidR="00FA22F6" w:rsidRPr="001E6DFD">
              <w:rPr>
                <w:sz w:val="16"/>
                <w:szCs w:val="16"/>
              </w:rPr>
              <w:t>’</w:t>
            </w:r>
            <w:r w:rsidRPr="001E6DFD">
              <w:rPr>
                <w:sz w:val="16"/>
                <w:szCs w:val="16"/>
              </w:rPr>
              <w:t xml:space="preserve">audit favorable </w:t>
            </w:r>
            <w:r w:rsidR="00FA22F6" w:rsidRPr="001E6DFD">
              <w:rPr>
                <w:sz w:val="16"/>
                <w:szCs w:val="16"/>
              </w:rPr>
              <w:t>pour 2014</w:t>
            </w:r>
            <w:r w:rsidR="006A41CF" w:rsidRPr="001E6DFD">
              <w:rPr>
                <w:sz w:val="16"/>
                <w:szCs w:val="16"/>
              </w:rPr>
              <w:noBreakHyphen/>
            </w:r>
            <w:r w:rsidRPr="001E6DFD">
              <w:rPr>
                <w:sz w:val="16"/>
                <w:szCs w:val="16"/>
              </w:rPr>
              <w:t>2015 et réponses apportées à toutes les recommandations de l</w:t>
            </w:r>
            <w:r w:rsidR="00FA22F6" w:rsidRPr="001E6DFD">
              <w:rPr>
                <w:sz w:val="16"/>
                <w:szCs w:val="16"/>
              </w:rPr>
              <w:t>’</w:t>
            </w:r>
            <w:r w:rsidRPr="001E6DFD">
              <w:rPr>
                <w:sz w:val="16"/>
                <w:szCs w:val="16"/>
              </w:rPr>
              <w:t>audit</w:t>
            </w:r>
          </w:p>
        </w:tc>
        <w:tc>
          <w:tcPr>
            <w:tcW w:w="662" w:type="pct"/>
            <w:shd w:val="clear" w:color="auto" w:fill="auto"/>
            <w:tcMar>
              <w:top w:w="110" w:type="dxa"/>
              <w:left w:w="58" w:type="dxa"/>
              <w:right w:w="58" w:type="dxa"/>
            </w:tcMar>
          </w:tcPr>
          <w:p w14:paraId="2D6878FB" w14:textId="4261D6B0" w:rsidR="00BA5EA9" w:rsidRPr="001E6DFD" w:rsidRDefault="00C243CA" w:rsidP="0097226C">
            <w:pPr>
              <w:ind w:left="33"/>
              <w:rPr>
                <w:sz w:val="16"/>
                <w:szCs w:val="16"/>
              </w:rPr>
            </w:pPr>
            <w:r w:rsidRPr="001E6DFD">
              <w:rPr>
                <w:sz w:val="16"/>
                <w:szCs w:val="16"/>
              </w:rPr>
              <w:t>Rapport d</w:t>
            </w:r>
            <w:r w:rsidR="00FA22F6" w:rsidRPr="001E6DFD">
              <w:rPr>
                <w:sz w:val="16"/>
                <w:szCs w:val="16"/>
              </w:rPr>
              <w:t>’</w:t>
            </w:r>
            <w:r w:rsidRPr="001E6DFD">
              <w:rPr>
                <w:sz w:val="16"/>
                <w:szCs w:val="16"/>
              </w:rPr>
              <w:t>audit favorable pour les deux années de l</w:t>
            </w:r>
            <w:r w:rsidR="00FA22F6" w:rsidRPr="001E6DFD">
              <w:rPr>
                <w:sz w:val="16"/>
                <w:szCs w:val="16"/>
              </w:rPr>
              <w:t>’</w:t>
            </w:r>
            <w:r w:rsidRPr="001E6DFD">
              <w:rPr>
                <w:sz w:val="16"/>
                <w:szCs w:val="16"/>
              </w:rPr>
              <w:t>exercice</w:t>
            </w:r>
          </w:p>
        </w:tc>
        <w:tc>
          <w:tcPr>
            <w:tcW w:w="1486" w:type="pct"/>
            <w:gridSpan w:val="3"/>
            <w:shd w:val="clear" w:color="auto" w:fill="FFFFFF"/>
            <w:tcMar>
              <w:top w:w="110" w:type="dxa"/>
              <w:left w:w="58" w:type="dxa"/>
              <w:right w:w="58" w:type="dxa"/>
            </w:tcMar>
          </w:tcPr>
          <w:p w14:paraId="0F55F1A2" w14:textId="045DB640" w:rsidR="00FA22F6" w:rsidRPr="00912C62" w:rsidRDefault="00DE57F2" w:rsidP="00DE57F2">
            <w:pPr>
              <w:rPr>
                <w:sz w:val="16"/>
                <w:szCs w:val="16"/>
              </w:rPr>
            </w:pPr>
            <w:r w:rsidRPr="00912C62">
              <w:rPr>
                <w:sz w:val="16"/>
                <w:szCs w:val="16"/>
              </w:rPr>
              <w:t>Réception d</w:t>
            </w:r>
            <w:r w:rsidR="00FA22F6" w:rsidRPr="00912C62">
              <w:rPr>
                <w:sz w:val="16"/>
                <w:szCs w:val="16"/>
              </w:rPr>
              <w:t>’</w:t>
            </w:r>
            <w:r w:rsidRPr="00912C62">
              <w:rPr>
                <w:sz w:val="16"/>
                <w:szCs w:val="16"/>
              </w:rPr>
              <w:t>un rapport d</w:t>
            </w:r>
            <w:r w:rsidR="00FA22F6" w:rsidRPr="00912C62">
              <w:rPr>
                <w:sz w:val="16"/>
                <w:szCs w:val="16"/>
              </w:rPr>
              <w:t>’</w:t>
            </w:r>
            <w:r w:rsidRPr="00912C62">
              <w:rPr>
                <w:sz w:val="16"/>
                <w:szCs w:val="16"/>
              </w:rPr>
              <w:t xml:space="preserve">audit favorable </w:t>
            </w:r>
            <w:r w:rsidR="00FA22F6" w:rsidRPr="00912C62">
              <w:rPr>
                <w:sz w:val="16"/>
                <w:szCs w:val="16"/>
              </w:rPr>
              <w:t>pour 2015</w:t>
            </w:r>
            <w:r w:rsidR="00A350AB" w:rsidRPr="00912C62">
              <w:rPr>
                <w:sz w:val="16"/>
                <w:szCs w:val="16"/>
              </w:rPr>
              <w:t>.</w:t>
            </w:r>
          </w:p>
          <w:p w14:paraId="3B55CBD8" w14:textId="318FA50A" w:rsidR="00FA22F6" w:rsidRPr="00912C62" w:rsidRDefault="00A350AB" w:rsidP="0097226C">
            <w:pPr>
              <w:rPr>
                <w:sz w:val="16"/>
                <w:szCs w:val="16"/>
              </w:rPr>
            </w:pPr>
            <w:r w:rsidRPr="00912C62">
              <w:rPr>
                <w:sz w:val="16"/>
                <w:szCs w:val="16"/>
              </w:rPr>
              <w:t>Au moment de la présente publication, les résultats de l</w:t>
            </w:r>
            <w:r w:rsidR="00FA22F6" w:rsidRPr="00912C62">
              <w:rPr>
                <w:sz w:val="16"/>
                <w:szCs w:val="16"/>
              </w:rPr>
              <w:t>’</w:t>
            </w:r>
            <w:r w:rsidRPr="00912C62">
              <w:rPr>
                <w:sz w:val="16"/>
                <w:szCs w:val="16"/>
              </w:rPr>
              <w:t>audit</w:t>
            </w:r>
            <w:r w:rsidR="00B4191E" w:rsidRPr="00912C62">
              <w:rPr>
                <w:sz w:val="16"/>
                <w:szCs w:val="16"/>
              </w:rPr>
              <w:t> </w:t>
            </w:r>
            <w:r w:rsidRPr="00912C62">
              <w:rPr>
                <w:sz w:val="16"/>
                <w:szCs w:val="16"/>
              </w:rPr>
              <w:t>2016 n</w:t>
            </w:r>
            <w:r w:rsidR="00FA22F6" w:rsidRPr="00912C62">
              <w:rPr>
                <w:sz w:val="16"/>
                <w:szCs w:val="16"/>
              </w:rPr>
              <w:t>’</w:t>
            </w:r>
            <w:r w:rsidRPr="00912C62">
              <w:rPr>
                <w:sz w:val="16"/>
                <w:szCs w:val="16"/>
              </w:rPr>
              <w:t>avaient pas encore été publiés.</w:t>
            </w:r>
          </w:p>
          <w:p w14:paraId="0DBC593D" w14:textId="07202971" w:rsidR="00BA5EA9" w:rsidRPr="00912C62" w:rsidRDefault="007F7162" w:rsidP="00912C62">
            <w:pPr>
              <w:rPr>
                <w:sz w:val="16"/>
                <w:szCs w:val="16"/>
              </w:rPr>
            </w:pPr>
            <w:r w:rsidRPr="00912C62">
              <w:rPr>
                <w:sz w:val="16"/>
                <w:szCs w:val="16"/>
              </w:rPr>
              <w:t>Réponses apportées à toutes les recommandations de l</w:t>
            </w:r>
            <w:r w:rsidR="00FA22F6" w:rsidRPr="00912C62">
              <w:rPr>
                <w:sz w:val="16"/>
                <w:szCs w:val="16"/>
              </w:rPr>
              <w:t>’</w:t>
            </w:r>
            <w:r w:rsidRPr="00912C62">
              <w:rPr>
                <w:sz w:val="16"/>
                <w:szCs w:val="16"/>
              </w:rPr>
              <w:t xml:space="preserve">audit reçues </w:t>
            </w:r>
            <w:r w:rsidR="00FA22F6" w:rsidRPr="00912C62">
              <w:rPr>
                <w:sz w:val="16"/>
                <w:szCs w:val="16"/>
              </w:rPr>
              <w:t>en 2016</w:t>
            </w:r>
            <w:r w:rsidRPr="00912C62">
              <w:rPr>
                <w:sz w:val="16"/>
                <w:szCs w:val="16"/>
              </w:rPr>
              <w:t>.</w:t>
            </w:r>
          </w:p>
        </w:tc>
        <w:tc>
          <w:tcPr>
            <w:tcW w:w="467" w:type="pct"/>
            <w:shd w:val="clear" w:color="auto" w:fill="auto"/>
            <w:tcMar>
              <w:top w:w="110" w:type="dxa"/>
              <w:left w:w="58" w:type="dxa"/>
              <w:right w:w="58" w:type="dxa"/>
            </w:tcMar>
          </w:tcPr>
          <w:p w14:paraId="6FD14126" w14:textId="098DFEF0" w:rsidR="00BA5EA9" w:rsidRPr="001E6DFD" w:rsidRDefault="00A43B2F" w:rsidP="006A41CF">
            <w:pPr>
              <w:keepNext/>
              <w:keepLines/>
              <w:jc w:val="center"/>
              <w:rPr>
                <w:sz w:val="16"/>
                <w:szCs w:val="16"/>
              </w:rPr>
            </w:pPr>
            <w:r w:rsidRPr="001E6DFD">
              <w:rPr>
                <w:b/>
                <w:color w:val="00B050"/>
                <w:sz w:val="16"/>
                <w:szCs w:val="16"/>
              </w:rPr>
              <w:t>En bonne voie</w:t>
            </w:r>
          </w:p>
        </w:tc>
      </w:tr>
      <w:tr w:rsidR="00BA5EA9" w:rsidRPr="001E6DFD" w14:paraId="62E9F2FA" w14:textId="77777777" w:rsidTr="005C716A">
        <w:tc>
          <w:tcPr>
            <w:tcW w:w="905" w:type="pct"/>
            <w:shd w:val="clear" w:color="auto" w:fill="auto"/>
            <w:tcMar>
              <w:left w:w="58" w:type="dxa"/>
              <w:right w:w="58" w:type="dxa"/>
            </w:tcMar>
          </w:tcPr>
          <w:p w14:paraId="7C50CB22" w14:textId="77777777" w:rsidR="00BA5EA9" w:rsidRPr="001E6DFD" w:rsidRDefault="00C243CA" w:rsidP="0097226C">
            <w:pPr>
              <w:ind w:left="33"/>
              <w:rPr>
                <w:sz w:val="16"/>
                <w:szCs w:val="16"/>
              </w:rPr>
            </w:pPr>
            <w:r w:rsidRPr="001E6DFD">
              <w:rPr>
                <w:sz w:val="16"/>
                <w:szCs w:val="16"/>
              </w:rPr>
              <w:t>Développement accru de la gestion axée sur les résultats</w:t>
            </w:r>
            <w:r w:rsidR="00BA5EA9" w:rsidRPr="001E6DFD">
              <w:rPr>
                <w:sz w:val="16"/>
                <w:szCs w:val="16"/>
              </w:rPr>
              <w:t xml:space="preserve"> </w:t>
            </w:r>
          </w:p>
        </w:tc>
        <w:tc>
          <w:tcPr>
            <w:tcW w:w="1480" w:type="pct"/>
            <w:gridSpan w:val="2"/>
            <w:shd w:val="clear" w:color="auto" w:fill="auto"/>
            <w:tcMar>
              <w:left w:w="58" w:type="dxa"/>
              <w:right w:w="58" w:type="dxa"/>
            </w:tcMar>
          </w:tcPr>
          <w:p w14:paraId="11DAF157" w14:textId="1F0B7953"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52ECFE70" w14:textId="1D52790D" w:rsidR="001F64B1" w:rsidRPr="00912C62" w:rsidRDefault="00505F12" w:rsidP="0097226C">
            <w:pPr>
              <w:rPr>
                <w:color w:val="002060"/>
                <w:sz w:val="16"/>
                <w:szCs w:val="16"/>
              </w:rPr>
            </w:pPr>
            <w:r w:rsidRPr="00912C62">
              <w:rPr>
                <w:color w:val="002060"/>
                <w:sz w:val="16"/>
                <w:szCs w:val="16"/>
              </w:rPr>
              <w:t>Note moyenne</w:t>
            </w:r>
            <w:r w:rsidR="00BA5EA9" w:rsidRPr="00912C62">
              <w:rPr>
                <w:rStyle w:val="FootnoteReference"/>
                <w:rFonts w:cs="Arial"/>
                <w:color w:val="002060"/>
                <w:szCs w:val="16"/>
              </w:rPr>
              <w:footnoteReference w:id="86"/>
            </w:r>
            <w:r w:rsidR="004D421A" w:rsidRPr="00912C62">
              <w:rPr>
                <w:color w:val="002060"/>
                <w:sz w:val="16"/>
                <w:szCs w:val="16"/>
              </w:rPr>
              <w:t> :</w:t>
            </w:r>
            <w:r w:rsidR="00BA5EA9" w:rsidRPr="00912C62">
              <w:rPr>
                <w:color w:val="002060"/>
                <w:sz w:val="16"/>
                <w:szCs w:val="16"/>
              </w:rPr>
              <w:t xml:space="preserve"> 3.6</w:t>
            </w:r>
          </w:p>
          <w:p w14:paraId="68E9F2A4" w14:textId="68962036" w:rsidR="00BA5EA9" w:rsidRPr="00912C62" w:rsidRDefault="00505F12" w:rsidP="0097226C">
            <w:pPr>
              <w:rPr>
                <w:color w:val="002060"/>
                <w:sz w:val="16"/>
                <w:szCs w:val="16"/>
              </w:rPr>
            </w:pPr>
            <w:r w:rsidRPr="00912C62">
              <w:rPr>
                <w:color w:val="002060"/>
                <w:sz w:val="16"/>
                <w:szCs w:val="16"/>
              </w:rPr>
              <w:t>Composantes</w:t>
            </w:r>
            <w:r w:rsidR="00FA22F6" w:rsidRPr="00912C62">
              <w:rPr>
                <w:color w:val="002060"/>
                <w:sz w:val="16"/>
                <w:szCs w:val="16"/>
              </w:rPr>
              <w:t> :</w:t>
            </w:r>
            <w:r w:rsidR="00BA5EA9" w:rsidRPr="00912C62">
              <w:rPr>
                <w:color w:val="002060"/>
                <w:sz w:val="16"/>
                <w:szCs w:val="16"/>
              </w:rPr>
              <w:t xml:space="preserve"> (</w:t>
            </w:r>
            <w:r w:rsidRPr="00912C62">
              <w:rPr>
                <w:color w:val="002060"/>
                <w:sz w:val="16"/>
                <w:szCs w:val="16"/>
              </w:rPr>
              <w:t>sur une échelle de 1 à 5</w:t>
            </w:r>
            <w:r w:rsidR="00BA5EA9" w:rsidRPr="00912C62">
              <w:rPr>
                <w:color w:val="002060"/>
                <w:sz w:val="16"/>
                <w:szCs w:val="16"/>
              </w:rPr>
              <w:t xml:space="preserve">) </w:t>
            </w:r>
          </w:p>
          <w:tbl>
            <w:tblPr>
              <w:tblStyle w:val="TableGrid"/>
              <w:tblW w:w="2669" w:type="dxa"/>
              <w:tblLook w:val="04A0" w:firstRow="1" w:lastRow="0" w:firstColumn="1" w:lastColumn="0" w:noHBand="0" w:noVBand="1"/>
            </w:tblPr>
            <w:tblGrid>
              <w:gridCol w:w="2102"/>
              <w:gridCol w:w="567"/>
            </w:tblGrid>
            <w:tr w:rsidR="00BA5EA9" w:rsidRPr="00912C62" w14:paraId="58EB899C" w14:textId="77777777" w:rsidTr="005C716A">
              <w:trPr>
                <w:trHeight w:val="188"/>
              </w:trPr>
              <w:tc>
                <w:tcPr>
                  <w:tcW w:w="2102" w:type="dxa"/>
                  <w:tcBorders>
                    <w:top w:val="nil"/>
                    <w:left w:val="nil"/>
                    <w:bottom w:val="nil"/>
                    <w:right w:val="nil"/>
                  </w:tcBorders>
                  <w:tcMar>
                    <w:left w:w="14" w:type="dxa"/>
                    <w:right w:w="0" w:type="dxa"/>
                  </w:tcMar>
                </w:tcPr>
                <w:p w14:paraId="720E6341" w14:textId="48628A7B" w:rsidR="00BA5EA9" w:rsidRPr="00912C62" w:rsidRDefault="007103ED" w:rsidP="0097226C">
                  <w:pPr>
                    <w:rPr>
                      <w:rFonts w:ascii="Arial Narrow" w:hAnsi="Arial Narrow"/>
                      <w:color w:val="002060"/>
                      <w:sz w:val="16"/>
                      <w:szCs w:val="16"/>
                    </w:rPr>
                  </w:pPr>
                  <w:r w:rsidRPr="00912C62">
                    <w:rPr>
                      <w:rFonts w:ascii="Arial Narrow" w:hAnsi="Arial Narrow"/>
                      <w:color w:val="002060"/>
                      <w:sz w:val="16"/>
                      <w:szCs w:val="16"/>
                    </w:rPr>
                    <w:t>–</w:t>
                  </w:r>
                  <w:r w:rsidR="00404EEE" w:rsidRPr="00912C62">
                    <w:rPr>
                      <w:rFonts w:ascii="Arial Narrow" w:hAnsi="Arial Narrow"/>
                      <w:color w:val="002060"/>
                      <w:sz w:val="16"/>
                      <w:szCs w:val="16"/>
                    </w:rPr>
                    <w:t xml:space="preserve"> Stratégie de gestion axée sur les résultats </w:t>
                  </w:r>
                </w:p>
              </w:tc>
              <w:tc>
                <w:tcPr>
                  <w:tcW w:w="567" w:type="dxa"/>
                  <w:tcBorders>
                    <w:top w:val="nil"/>
                    <w:left w:val="nil"/>
                    <w:bottom w:val="nil"/>
                    <w:right w:val="nil"/>
                  </w:tcBorders>
                  <w:tcMar>
                    <w:left w:w="14" w:type="dxa"/>
                    <w:right w:w="0" w:type="dxa"/>
                  </w:tcMar>
                </w:tcPr>
                <w:p w14:paraId="2D02A11C"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3</w:t>
                  </w:r>
                </w:p>
              </w:tc>
            </w:tr>
            <w:tr w:rsidR="00BA5EA9" w:rsidRPr="00912C62" w14:paraId="41ACC248" w14:textId="77777777" w:rsidTr="005C716A">
              <w:trPr>
                <w:trHeight w:val="188"/>
              </w:trPr>
              <w:tc>
                <w:tcPr>
                  <w:tcW w:w="2102" w:type="dxa"/>
                  <w:tcBorders>
                    <w:top w:val="nil"/>
                    <w:left w:val="nil"/>
                    <w:bottom w:val="nil"/>
                    <w:right w:val="nil"/>
                  </w:tcBorders>
                  <w:tcMar>
                    <w:left w:w="14" w:type="dxa"/>
                    <w:right w:w="0" w:type="dxa"/>
                  </w:tcMar>
                </w:tcPr>
                <w:p w14:paraId="5F0B08BA" w14:textId="04FFF005" w:rsidR="00BA5EA9" w:rsidRPr="00912C62" w:rsidRDefault="0059133D" w:rsidP="0097226C">
                  <w:pPr>
                    <w:rPr>
                      <w:rFonts w:ascii="Arial Narrow" w:hAnsi="Arial Narrow"/>
                      <w:color w:val="002060"/>
                      <w:sz w:val="16"/>
                      <w:szCs w:val="16"/>
                    </w:rPr>
                  </w:pPr>
                  <w:r w:rsidRPr="00912C62">
                    <w:rPr>
                      <w:rFonts w:ascii="Arial Narrow" w:hAnsi="Arial Narrow"/>
                      <w:color w:val="002060"/>
                      <w:sz w:val="16"/>
                      <w:szCs w:val="16"/>
                    </w:rPr>
                    <w:t>– Dispositif d</w:t>
                  </w:r>
                  <w:r w:rsidR="00FA22F6" w:rsidRPr="00912C62">
                    <w:rPr>
                      <w:rFonts w:ascii="Arial Narrow" w:hAnsi="Arial Narrow"/>
                      <w:color w:val="002060"/>
                      <w:sz w:val="16"/>
                      <w:szCs w:val="16"/>
                    </w:rPr>
                    <w:t>’</w:t>
                  </w:r>
                  <w:r w:rsidRPr="00912C62">
                    <w:rPr>
                      <w:rFonts w:ascii="Arial Narrow" w:hAnsi="Arial Narrow"/>
                      <w:color w:val="002060"/>
                      <w:sz w:val="16"/>
                      <w:szCs w:val="16"/>
                    </w:rPr>
                    <w:t>application du principe de responsabilité</w:t>
                  </w:r>
                </w:p>
              </w:tc>
              <w:tc>
                <w:tcPr>
                  <w:tcW w:w="567" w:type="dxa"/>
                  <w:tcBorders>
                    <w:top w:val="nil"/>
                    <w:left w:val="nil"/>
                    <w:bottom w:val="nil"/>
                    <w:right w:val="nil"/>
                  </w:tcBorders>
                  <w:tcMar>
                    <w:left w:w="14" w:type="dxa"/>
                    <w:right w:w="0" w:type="dxa"/>
                  </w:tcMar>
                </w:tcPr>
                <w:p w14:paraId="455AA65B"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255ADAC7" w14:textId="77777777" w:rsidTr="005C716A">
              <w:trPr>
                <w:trHeight w:val="188"/>
              </w:trPr>
              <w:tc>
                <w:tcPr>
                  <w:tcW w:w="2102" w:type="dxa"/>
                  <w:tcBorders>
                    <w:top w:val="nil"/>
                    <w:left w:val="nil"/>
                    <w:bottom w:val="nil"/>
                    <w:right w:val="nil"/>
                  </w:tcBorders>
                  <w:tcMar>
                    <w:left w:w="14" w:type="dxa"/>
                    <w:right w:w="0" w:type="dxa"/>
                  </w:tcMar>
                </w:tcPr>
                <w:p w14:paraId="1BA61A1A" w14:textId="0E0970FB" w:rsidR="00BA5EA9" w:rsidRPr="00912C62" w:rsidRDefault="007103ED" w:rsidP="0097226C">
                  <w:pPr>
                    <w:rPr>
                      <w:rFonts w:ascii="Arial Narrow" w:hAnsi="Arial Narrow"/>
                      <w:color w:val="002060"/>
                      <w:sz w:val="16"/>
                      <w:szCs w:val="16"/>
                    </w:rPr>
                  </w:pPr>
                  <w:r w:rsidRPr="00912C62">
                    <w:rPr>
                      <w:rFonts w:ascii="Arial Narrow" w:hAnsi="Arial Narrow"/>
                      <w:color w:val="002060"/>
                      <w:sz w:val="16"/>
                      <w:szCs w:val="16"/>
                    </w:rPr>
                    <w:t>–</w:t>
                  </w:r>
                  <w:r w:rsidR="00447F6B" w:rsidRPr="00912C62">
                    <w:rPr>
                      <w:rFonts w:ascii="Arial Narrow" w:hAnsi="Arial Narrow"/>
                      <w:color w:val="002060"/>
                      <w:sz w:val="16"/>
                      <w:szCs w:val="16"/>
                    </w:rPr>
                    <w:t xml:space="preserve"> </w:t>
                  </w:r>
                  <w:r w:rsidR="005D4B78" w:rsidRPr="00912C62">
                    <w:rPr>
                      <w:rFonts w:ascii="Arial Narrow" w:hAnsi="Arial Narrow"/>
                      <w:color w:val="002060"/>
                      <w:sz w:val="16"/>
                      <w:szCs w:val="16"/>
                    </w:rPr>
                    <w:t xml:space="preserve">Dispositif </w:t>
                  </w:r>
                  <w:r w:rsidR="00447F6B" w:rsidRPr="00912C62">
                    <w:rPr>
                      <w:rFonts w:ascii="Arial Narrow" w:hAnsi="Arial Narrow"/>
                      <w:color w:val="002060"/>
                      <w:sz w:val="16"/>
                      <w:szCs w:val="16"/>
                    </w:rPr>
                    <w:t xml:space="preserve">de gestion du changement </w:t>
                  </w:r>
                </w:p>
              </w:tc>
              <w:tc>
                <w:tcPr>
                  <w:tcW w:w="567" w:type="dxa"/>
                  <w:tcBorders>
                    <w:top w:val="nil"/>
                    <w:left w:val="nil"/>
                    <w:bottom w:val="nil"/>
                    <w:right w:val="nil"/>
                  </w:tcBorders>
                  <w:tcMar>
                    <w:left w:w="14" w:type="dxa"/>
                    <w:right w:w="0" w:type="dxa"/>
                  </w:tcMar>
                </w:tcPr>
                <w:p w14:paraId="4E441808"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2</w:t>
                  </w:r>
                </w:p>
              </w:tc>
            </w:tr>
            <w:tr w:rsidR="00BA5EA9" w:rsidRPr="00912C62" w14:paraId="61B966F1" w14:textId="77777777" w:rsidTr="005C716A">
              <w:trPr>
                <w:trHeight w:val="187"/>
              </w:trPr>
              <w:tc>
                <w:tcPr>
                  <w:tcW w:w="2102" w:type="dxa"/>
                  <w:tcBorders>
                    <w:top w:val="nil"/>
                    <w:left w:val="nil"/>
                    <w:bottom w:val="nil"/>
                    <w:right w:val="nil"/>
                  </w:tcBorders>
                  <w:tcMar>
                    <w:left w:w="14" w:type="dxa"/>
                    <w:right w:w="0" w:type="dxa"/>
                  </w:tcMar>
                </w:tcPr>
                <w:p w14:paraId="2987BF0A" w14:textId="5EF108C3" w:rsidR="00BA5EA9" w:rsidRPr="00912C62" w:rsidRDefault="007103ED" w:rsidP="0097226C">
                  <w:pPr>
                    <w:rPr>
                      <w:rFonts w:ascii="Arial Narrow" w:hAnsi="Arial Narrow"/>
                      <w:color w:val="002060"/>
                      <w:sz w:val="16"/>
                      <w:szCs w:val="16"/>
                    </w:rPr>
                  </w:pPr>
                  <w:r w:rsidRPr="00912C62">
                    <w:rPr>
                      <w:rFonts w:ascii="Arial Narrow" w:hAnsi="Arial Narrow"/>
                      <w:color w:val="002060"/>
                      <w:sz w:val="16"/>
                      <w:szCs w:val="16"/>
                    </w:rPr>
                    <w:t>–</w:t>
                  </w:r>
                  <w:r w:rsidR="00387768" w:rsidRPr="00912C62">
                    <w:rPr>
                      <w:rFonts w:ascii="Arial Narrow" w:hAnsi="Arial Narrow"/>
                      <w:color w:val="002060"/>
                      <w:sz w:val="16"/>
                      <w:szCs w:val="16"/>
                    </w:rPr>
                    <w:t xml:space="preserve"> </w:t>
                  </w:r>
                  <w:r w:rsidR="005D4B78" w:rsidRPr="00912C62">
                    <w:rPr>
                      <w:rFonts w:ascii="Arial Narrow" w:hAnsi="Arial Narrow"/>
                      <w:color w:val="002060"/>
                      <w:sz w:val="16"/>
                      <w:szCs w:val="16"/>
                    </w:rPr>
                    <w:t xml:space="preserve">Cadre </w:t>
                  </w:r>
                  <w:r w:rsidR="00387768" w:rsidRPr="00912C62">
                    <w:rPr>
                      <w:rFonts w:ascii="Arial Narrow" w:hAnsi="Arial Narrow"/>
                      <w:color w:val="002060"/>
                      <w:sz w:val="16"/>
                      <w:szCs w:val="16"/>
                    </w:rPr>
                    <w:t>de résultats stratégiques de l</w:t>
                  </w:r>
                  <w:r w:rsidR="00FA22F6" w:rsidRPr="00912C62">
                    <w:rPr>
                      <w:rFonts w:ascii="Arial Narrow" w:hAnsi="Arial Narrow"/>
                      <w:color w:val="002060"/>
                      <w:sz w:val="16"/>
                      <w:szCs w:val="16"/>
                    </w:rPr>
                    <w:t>’</w:t>
                  </w:r>
                  <w:r w:rsidR="00387768" w:rsidRPr="00912C62">
                    <w:rPr>
                      <w:rFonts w:ascii="Arial Narrow" w:hAnsi="Arial Narrow"/>
                      <w:color w:val="002060"/>
                      <w:sz w:val="16"/>
                      <w:szCs w:val="16"/>
                    </w:rPr>
                    <w:t>Organisation</w:t>
                  </w:r>
                </w:p>
              </w:tc>
              <w:tc>
                <w:tcPr>
                  <w:tcW w:w="567" w:type="dxa"/>
                  <w:tcBorders>
                    <w:top w:val="nil"/>
                    <w:left w:val="nil"/>
                    <w:bottom w:val="nil"/>
                    <w:right w:val="nil"/>
                  </w:tcBorders>
                  <w:tcMar>
                    <w:left w:w="14" w:type="dxa"/>
                    <w:right w:w="0" w:type="dxa"/>
                  </w:tcMar>
                </w:tcPr>
                <w:p w14:paraId="57B8A5B1"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5</w:t>
                  </w:r>
                </w:p>
              </w:tc>
            </w:tr>
            <w:tr w:rsidR="00BA5EA9" w:rsidRPr="00912C62" w14:paraId="569B1C4F" w14:textId="77777777" w:rsidTr="005C716A">
              <w:trPr>
                <w:trHeight w:val="375"/>
              </w:trPr>
              <w:tc>
                <w:tcPr>
                  <w:tcW w:w="2102" w:type="dxa"/>
                  <w:tcBorders>
                    <w:top w:val="nil"/>
                    <w:left w:val="nil"/>
                    <w:bottom w:val="nil"/>
                    <w:right w:val="nil"/>
                  </w:tcBorders>
                  <w:tcMar>
                    <w:left w:w="14" w:type="dxa"/>
                    <w:right w:w="0" w:type="dxa"/>
                  </w:tcMar>
                </w:tcPr>
                <w:p w14:paraId="20AF1E1E" w14:textId="49A57227" w:rsidR="00BA5EA9" w:rsidRPr="00912C62" w:rsidRDefault="007103ED" w:rsidP="0097226C">
                  <w:pPr>
                    <w:rPr>
                      <w:rFonts w:ascii="Arial Narrow" w:hAnsi="Arial Narrow"/>
                      <w:color w:val="002060"/>
                      <w:sz w:val="16"/>
                      <w:szCs w:val="16"/>
                    </w:rPr>
                  </w:pPr>
                  <w:r w:rsidRPr="00912C62">
                    <w:rPr>
                      <w:rFonts w:ascii="Arial Narrow" w:hAnsi="Arial Narrow"/>
                      <w:color w:val="002060"/>
                      <w:sz w:val="16"/>
                      <w:szCs w:val="16"/>
                    </w:rPr>
                    <w:t>–</w:t>
                  </w:r>
                  <w:r w:rsidR="009C2C17" w:rsidRPr="00912C62">
                    <w:rPr>
                      <w:rFonts w:ascii="Arial Narrow" w:hAnsi="Arial Narrow"/>
                      <w:color w:val="002060"/>
                      <w:sz w:val="16"/>
                      <w:szCs w:val="16"/>
                    </w:rPr>
                    <w:t xml:space="preserve"> Tableaux des résultats dans les programmes et les projets</w:t>
                  </w:r>
                </w:p>
              </w:tc>
              <w:tc>
                <w:tcPr>
                  <w:tcW w:w="567" w:type="dxa"/>
                  <w:tcBorders>
                    <w:top w:val="nil"/>
                    <w:left w:val="nil"/>
                    <w:bottom w:val="nil"/>
                    <w:right w:val="nil"/>
                  </w:tcBorders>
                  <w:tcMar>
                    <w:left w:w="14" w:type="dxa"/>
                    <w:right w:w="0" w:type="dxa"/>
                  </w:tcMar>
                </w:tcPr>
                <w:p w14:paraId="79233452"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776A0B99" w14:textId="77777777" w:rsidTr="005C716A">
              <w:trPr>
                <w:trHeight w:val="188"/>
              </w:trPr>
              <w:tc>
                <w:tcPr>
                  <w:tcW w:w="2102" w:type="dxa"/>
                  <w:tcBorders>
                    <w:top w:val="nil"/>
                    <w:left w:val="nil"/>
                    <w:bottom w:val="nil"/>
                    <w:right w:val="nil"/>
                  </w:tcBorders>
                  <w:tcMar>
                    <w:left w:w="14" w:type="dxa"/>
                    <w:right w:w="0" w:type="dxa"/>
                  </w:tcMar>
                </w:tcPr>
                <w:p w14:paraId="1799D98B" w14:textId="220BFBD6" w:rsidR="00BA5EA9" w:rsidRPr="00912C62" w:rsidRDefault="007103ED" w:rsidP="0097226C">
                  <w:pPr>
                    <w:rPr>
                      <w:rFonts w:ascii="Arial Narrow" w:hAnsi="Arial Narrow"/>
                      <w:color w:val="002060"/>
                      <w:sz w:val="16"/>
                      <w:szCs w:val="16"/>
                    </w:rPr>
                  </w:pPr>
                  <w:r w:rsidRPr="00912C62">
                    <w:rPr>
                      <w:rFonts w:ascii="Arial Narrow" w:hAnsi="Arial Narrow"/>
                      <w:color w:val="002060"/>
                      <w:sz w:val="16"/>
                      <w:szCs w:val="16"/>
                    </w:rPr>
                    <w:t>–</w:t>
                  </w:r>
                  <w:r w:rsidR="006C55A4" w:rsidRPr="00912C62">
                    <w:rPr>
                      <w:rFonts w:ascii="Arial Narrow" w:hAnsi="Arial Narrow"/>
                      <w:color w:val="002060"/>
                      <w:sz w:val="16"/>
                      <w:szCs w:val="16"/>
                    </w:rPr>
                    <w:t xml:space="preserve"> Système de mesure des résultats</w:t>
                  </w:r>
                </w:p>
              </w:tc>
              <w:tc>
                <w:tcPr>
                  <w:tcW w:w="567" w:type="dxa"/>
                  <w:tcBorders>
                    <w:top w:val="nil"/>
                    <w:left w:val="nil"/>
                    <w:bottom w:val="nil"/>
                    <w:right w:val="nil"/>
                  </w:tcBorders>
                  <w:tcMar>
                    <w:left w:w="14" w:type="dxa"/>
                    <w:right w:w="0" w:type="dxa"/>
                  </w:tcMar>
                </w:tcPr>
                <w:p w14:paraId="043B70FB"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54940481" w14:textId="77777777" w:rsidTr="005C716A">
              <w:trPr>
                <w:trHeight w:val="188"/>
              </w:trPr>
              <w:tc>
                <w:tcPr>
                  <w:tcW w:w="2102" w:type="dxa"/>
                  <w:tcBorders>
                    <w:top w:val="nil"/>
                    <w:left w:val="nil"/>
                    <w:bottom w:val="nil"/>
                    <w:right w:val="nil"/>
                  </w:tcBorders>
                  <w:tcMar>
                    <w:left w:w="14" w:type="dxa"/>
                    <w:right w:w="0" w:type="dxa"/>
                  </w:tcMar>
                </w:tcPr>
                <w:p w14:paraId="3A4BD22F" w14:textId="30481F9B" w:rsidR="00BA5EA9" w:rsidRPr="00912C62" w:rsidRDefault="007103ED" w:rsidP="0097226C">
                  <w:pPr>
                    <w:rPr>
                      <w:rFonts w:ascii="Arial Narrow" w:hAnsi="Arial Narrow"/>
                      <w:color w:val="002060"/>
                      <w:sz w:val="16"/>
                      <w:szCs w:val="16"/>
                    </w:rPr>
                  </w:pPr>
                  <w:r w:rsidRPr="00912C62">
                    <w:rPr>
                      <w:rFonts w:ascii="Arial Narrow" w:hAnsi="Arial Narrow"/>
                      <w:color w:val="002060"/>
                      <w:sz w:val="16"/>
                      <w:szCs w:val="16"/>
                    </w:rPr>
                    <w:t xml:space="preserve">– </w:t>
                  </w:r>
                  <w:r w:rsidR="008918DE" w:rsidRPr="00912C62">
                    <w:rPr>
                      <w:rFonts w:ascii="Arial Narrow" w:hAnsi="Arial Narrow"/>
                      <w:color w:val="002060"/>
                      <w:sz w:val="16"/>
                      <w:szCs w:val="16"/>
                    </w:rPr>
                    <w:t>É</w:t>
                  </w:r>
                  <w:r w:rsidR="006C55A4" w:rsidRPr="00912C62">
                    <w:rPr>
                      <w:rFonts w:ascii="Arial Narrow" w:hAnsi="Arial Narrow"/>
                      <w:color w:val="002060"/>
                      <w:sz w:val="16"/>
                      <w:szCs w:val="16"/>
                    </w:rPr>
                    <w:t>tablissement d</w:t>
                  </w:r>
                  <w:r w:rsidR="00FA22F6" w:rsidRPr="00912C62">
                    <w:rPr>
                      <w:rFonts w:ascii="Arial Narrow" w:hAnsi="Arial Narrow"/>
                      <w:color w:val="002060"/>
                      <w:sz w:val="16"/>
                      <w:szCs w:val="16"/>
                    </w:rPr>
                    <w:t>’</w:t>
                  </w:r>
                  <w:r w:rsidR="006C55A4" w:rsidRPr="00912C62">
                    <w:rPr>
                      <w:rFonts w:ascii="Arial Narrow" w:hAnsi="Arial Narrow"/>
                      <w:color w:val="002060"/>
                      <w:sz w:val="16"/>
                      <w:szCs w:val="16"/>
                    </w:rPr>
                    <w:t>un budget axé sur les résultats</w:t>
                  </w:r>
                </w:p>
              </w:tc>
              <w:tc>
                <w:tcPr>
                  <w:tcW w:w="567" w:type="dxa"/>
                  <w:tcBorders>
                    <w:top w:val="nil"/>
                    <w:left w:val="nil"/>
                    <w:bottom w:val="nil"/>
                    <w:right w:val="nil"/>
                  </w:tcBorders>
                  <w:tcMar>
                    <w:left w:w="14" w:type="dxa"/>
                    <w:right w:w="0" w:type="dxa"/>
                  </w:tcMar>
                </w:tcPr>
                <w:p w14:paraId="09CB3A9B"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2B58FF4D" w14:textId="77777777" w:rsidTr="005C716A">
              <w:trPr>
                <w:trHeight w:val="188"/>
              </w:trPr>
              <w:tc>
                <w:tcPr>
                  <w:tcW w:w="2102" w:type="dxa"/>
                  <w:tcBorders>
                    <w:top w:val="nil"/>
                    <w:left w:val="nil"/>
                    <w:bottom w:val="nil"/>
                    <w:right w:val="nil"/>
                  </w:tcBorders>
                  <w:tcMar>
                    <w:left w:w="14" w:type="dxa"/>
                    <w:right w:w="0" w:type="dxa"/>
                  </w:tcMar>
                </w:tcPr>
                <w:p w14:paraId="4D7DAB8B" w14:textId="77777777" w:rsidR="00BA5EA9" w:rsidRPr="00912C62" w:rsidRDefault="0059133D" w:rsidP="0097226C">
                  <w:pPr>
                    <w:rPr>
                      <w:rFonts w:ascii="Arial Narrow" w:hAnsi="Arial Narrow"/>
                      <w:color w:val="002060"/>
                      <w:sz w:val="16"/>
                      <w:szCs w:val="16"/>
                    </w:rPr>
                  </w:pPr>
                  <w:r w:rsidRPr="00912C62">
                    <w:rPr>
                      <w:rFonts w:ascii="Arial Narrow" w:hAnsi="Arial Narrow"/>
                      <w:color w:val="002060"/>
                      <w:sz w:val="16"/>
                      <w:szCs w:val="16"/>
                    </w:rPr>
                    <w:t>– Gestion des ressources humaines</w:t>
                  </w:r>
                  <w:r w:rsidR="00BA5EA9" w:rsidRPr="00912C62">
                    <w:rPr>
                      <w:rFonts w:ascii="Arial Narrow" w:hAnsi="Arial Narrow"/>
                      <w:color w:val="002060"/>
                      <w:sz w:val="16"/>
                      <w:szCs w:val="16"/>
                    </w:rPr>
                    <w:t xml:space="preserve"> </w:t>
                  </w:r>
                </w:p>
              </w:tc>
              <w:tc>
                <w:tcPr>
                  <w:tcW w:w="567" w:type="dxa"/>
                  <w:tcBorders>
                    <w:top w:val="nil"/>
                    <w:left w:val="nil"/>
                    <w:bottom w:val="nil"/>
                    <w:right w:val="nil"/>
                  </w:tcBorders>
                  <w:tcMar>
                    <w:left w:w="14" w:type="dxa"/>
                    <w:right w:w="0" w:type="dxa"/>
                  </w:tcMar>
                </w:tcPr>
                <w:p w14:paraId="692AD5CD"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3</w:t>
                  </w:r>
                </w:p>
              </w:tc>
            </w:tr>
            <w:tr w:rsidR="00BA5EA9" w:rsidRPr="00912C62" w14:paraId="07A29C9C" w14:textId="77777777" w:rsidTr="005C716A">
              <w:trPr>
                <w:trHeight w:val="365"/>
              </w:trPr>
              <w:tc>
                <w:tcPr>
                  <w:tcW w:w="2102" w:type="dxa"/>
                  <w:tcBorders>
                    <w:top w:val="nil"/>
                    <w:left w:val="nil"/>
                    <w:bottom w:val="nil"/>
                    <w:right w:val="nil"/>
                  </w:tcBorders>
                  <w:tcMar>
                    <w:left w:w="14" w:type="dxa"/>
                    <w:right w:w="0" w:type="dxa"/>
                  </w:tcMar>
                </w:tcPr>
                <w:p w14:paraId="1047010C" w14:textId="2ED67E36" w:rsidR="00BA5EA9" w:rsidRPr="00912C62" w:rsidRDefault="00D956A1" w:rsidP="0097226C">
                  <w:pPr>
                    <w:rPr>
                      <w:rFonts w:ascii="Arial Narrow" w:hAnsi="Arial Narrow"/>
                      <w:color w:val="002060"/>
                      <w:sz w:val="16"/>
                      <w:szCs w:val="16"/>
                    </w:rPr>
                  </w:pPr>
                  <w:r w:rsidRPr="00912C62">
                    <w:rPr>
                      <w:rFonts w:ascii="Arial Narrow" w:hAnsi="Arial Narrow"/>
                      <w:color w:val="002060"/>
                      <w:sz w:val="16"/>
                      <w:szCs w:val="16"/>
                    </w:rPr>
                    <w:t>–</w:t>
                  </w:r>
                  <w:r w:rsidR="00BA5EA9" w:rsidRPr="00912C62">
                    <w:rPr>
                      <w:rFonts w:ascii="Arial Narrow" w:hAnsi="Arial Narrow"/>
                      <w:color w:val="002060"/>
                      <w:sz w:val="16"/>
                      <w:szCs w:val="16"/>
                    </w:rPr>
                    <w:t xml:space="preserve"> </w:t>
                  </w:r>
                  <w:r w:rsidR="006956B9" w:rsidRPr="00912C62">
                    <w:rPr>
                      <w:rFonts w:ascii="Arial Narrow" w:hAnsi="Arial Narrow"/>
                      <w:color w:val="002060"/>
                      <w:sz w:val="16"/>
                      <w:szCs w:val="16"/>
                    </w:rPr>
                    <w:t xml:space="preserve">Contrôle de la performance et suivi des résultats </w:t>
                  </w:r>
                </w:p>
              </w:tc>
              <w:tc>
                <w:tcPr>
                  <w:tcW w:w="567" w:type="dxa"/>
                  <w:tcBorders>
                    <w:top w:val="nil"/>
                    <w:left w:val="nil"/>
                    <w:bottom w:val="nil"/>
                    <w:right w:val="nil"/>
                  </w:tcBorders>
                  <w:tcMar>
                    <w:left w:w="14" w:type="dxa"/>
                    <w:right w:w="0" w:type="dxa"/>
                  </w:tcMar>
                </w:tcPr>
                <w:p w14:paraId="0EFFD532"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3D1DE6AA" w14:textId="77777777" w:rsidTr="005C716A">
              <w:trPr>
                <w:trHeight w:val="375"/>
              </w:trPr>
              <w:tc>
                <w:tcPr>
                  <w:tcW w:w="2102" w:type="dxa"/>
                  <w:tcBorders>
                    <w:top w:val="nil"/>
                    <w:left w:val="nil"/>
                    <w:bottom w:val="nil"/>
                    <w:right w:val="nil"/>
                  </w:tcBorders>
                  <w:tcMar>
                    <w:left w:w="14" w:type="dxa"/>
                    <w:right w:w="0" w:type="dxa"/>
                  </w:tcMar>
                </w:tcPr>
                <w:p w14:paraId="045EBE0E" w14:textId="55BD0C77" w:rsidR="00BA5EA9" w:rsidRPr="00912C62" w:rsidRDefault="00D956A1" w:rsidP="0097226C">
                  <w:pPr>
                    <w:tabs>
                      <w:tab w:val="left" w:pos="111"/>
                    </w:tabs>
                    <w:rPr>
                      <w:rFonts w:ascii="Arial Narrow" w:hAnsi="Arial Narrow"/>
                      <w:color w:val="002060"/>
                      <w:sz w:val="16"/>
                      <w:szCs w:val="16"/>
                    </w:rPr>
                  </w:pPr>
                  <w:r w:rsidRPr="00912C62">
                    <w:rPr>
                      <w:rFonts w:ascii="Arial Narrow" w:hAnsi="Arial Narrow"/>
                      <w:color w:val="002060"/>
                      <w:sz w:val="16"/>
                      <w:szCs w:val="16"/>
                    </w:rPr>
                    <w:t>–</w:t>
                  </w:r>
                  <w:r w:rsidR="00BA5EA9" w:rsidRPr="00912C62">
                    <w:rPr>
                      <w:rFonts w:ascii="Arial Narrow" w:hAnsi="Arial Narrow"/>
                      <w:color w:val="002060"/>
                      <w:sz w:val="16"/>
                      <w:szCs w:val="16"/>
                    </w:rPr>
                    <w:t xml:space="preserve"> </w:t>
                  </w:r>
                  <w:r w:rsidR="00963DD5" w:rsidRPr="00912C62">
                    <w:rPr>
                      <w:rFonts w:ascii="Arial Narrow" w:hAnsi="Arial Narrow"/>
                      <w:color w:val="002060"/>
                      <w:sz w:val="16"/>
                      <w:szCs w:val="16"/>
                    </w:rPr>
                    <w:t xml:space="preserve">Compte rendu et communication des résultats </w:t>
                  </w:r>
                </w:p>
              </w:tc>
              <w:tc>
                <w:tcPr>
                  <w:tcW w:w="567" w:type="dxa"/>
                  <w:tcBorders>
                    <w:top w:val="nil"/>
                    <w:left w:val="nil"/>
                    <w:bottom w:val="nil"/>
                    <w:right w:val="nil"/>
                  </w:tcBorders>
                  <w:tcMar>
                    <w:left w:w="14" w:type="dxa"/>
                    <w:right w:w="0" w:type="dxa"/>
                  </w:tcMar>
                </w:tcPr>
                <w:p w14:paraId="23160A3F" w14:textId="77777777" w:rsidR="00FA22F6"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p w14:paraId="42BBE3C5" w14:textId="37B12CF2" w:rsidR="00BA5EA9" w:rsidRPr="00912C62" w:rsidRDefault="00BA5EA9" w:rsidP="0097226C">
                  <w:pPr>
                    <w:rPr>
                      <w:rFonts w:ascii="Arial Narrow" w:hAnsi="Arial Narrow"/>
                      <w:color w:val="002060"/>
                      <w:sz w:val="16"/>
                      <w:szCs w:val="16"/>
                    </w:rPr>
                  </w:pPr>
                </w:p>
              </w:tc>
            </w:tr>
            <w:tr w:rsidR="00BA5EA9" w:rsidRPr="00912C62" w14:paraId="3AABA7A2" w14:textId="77777777" w:rsidTr="005C716A">
              <w:trPr>
                <w:trHeight w:val="188"/>
              </w:trPr>
              <w:tc>
                <w:tcPr>
                  <w:tcW w:w="2102" w:type="dxa"/>
                  <w:tcBorders>
                    <w:top w:val="nil"/>
                    <w:left w:val="nil"/>
                    <w:bottom w:val="nil"/>
                    <w:right w:val="nil"/>
                  </w:tcBorders>
                  <w:tcMar>
                    <w:left w:w="14" w:type="dxa"/>
                    <w:right w:w="0" w:type="dxa"/>
                  </w:tcMar>
                </w:tcPr>
                <w:p w14:paraId="3F26E964" w14:textId="08CE45C1" w:rsidR="00BA5EA9" w:rsidRPr="00912C62" w:rsidRDefault="00D956A1" w:rsidP="0097226C">
                  <w:pPr>
                    <w:rPr>
                      <w:rFonts w:ascii="Arial Narrow" w:hAnsi="Arial Narrow"/>
                      <w:color w:val="002060"/>
                      <w:sz w:val="16"/>
                      <w:szCs w:val="16"/>
                    </w:rPr>
                  </w:pPr>
                  <w:r w:rsidRPr="00912C62">
                    <w:rPr>
                      <w:rFonts w:ascii="Arial Narrow" w:hAnsi="Arial Narrow"/>
                      <w:color w:val="002060"/>
                      <w:sz w:val="16"/>
                      <w:szCs w:val="16"/>
                    </w:rPr>
                    <w:t>–</w:t>
                  </w:r>
                  <w:r w:rsidR="00F927AD" w:rsidRPr="00912C62">
                    <w:rPr>
                      <w:rFonts w:ascii="Arial Narrow" w:hAnsi="Arial Narrow"/>
                      <w:color w:val="002060"/>
                      <w:sz w:val="16"/>
                      <w:szCs w:val="16"/>
                    </w:rPr>
                    <w:t xml:space="preserve"> É</w:t>
                  </w:r>
                  <w:r w:rsidR="00BA5EA9" w:rsidRPr="00912C62">
                    <w:rPr>
                      <w:rFonts w:ascii="Arial Narrow" w:hAnsi="Arial Narrow"/>
                      <w:color w:val="002060"/>
                      <w:sz w:val="16"/>
                      <w:szCs w:val="16"/>
                    </w:rPr>
                    <w:t>valuation</w:t>
                  </w:r>
                </w:p>
              </w:tc>
              <w:tc>
                <w:tcPr>
                  <w:tcW w:w="567" w:type="dxa"/>
                  <w:tcBorders>
                    <w:top w:val="nil"/>
                    <w:left w:val="nil"/>
                    <w:bottom w:val="nil"/>
                    <w:right w:val="nil"/>
                  </w:tcBorders>
                  <w:tcMar>
                    <w:left w:w="14" w:type="dxa"/>
                    <w:right w:w="0" w:type="dxa"/>
                  </w:tcMar>
                </w:tcPr>
                <w:p w14:paraId="52D46ECE"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3</w:t>
                  </w:r>
                </w:p>
              </w:tc>
            </w:tr>
            <w:tr w:rsidR="00BA5EA9" w:rsidRPr="00912C62" w14:paraId="7A9059EA" w14:textId="77777777" w:rsidTr="005C716A">
              <w:trPr>
                <w:trHeight w:val="188"/>
              </w:trPr>
              <w:tc>
                <w:tcPr>
                  <w:tcW w:w="2102" w:type="dxa"/>
                  <w:tcBorders>
                    <w:top w:val="nil"/>
                    <w:left w:val="nil"/>
                    <w:bottom w:val="nil"/>
                    <w:right w:val="nil"/>
                  </w:tcBorders>
                  <w:tcMar>
                    <w:left w:w="14" w:type="dxa"/>
                    <w:right w:w="0" w:type="dxa"/>
                  </w:tcMar>
                </w:tcPr>
                <w:p w14:paraId="664AC0AD" w14:textId="18A97580" w:rsidR="00BA5EA9" w:rsidRPr="00912C62" w:rsidRDefault="00D956A1" w:rsidP="0097226C">
                  <w:pPr>
                    <w:rPr>
                      <w:rFonts w:ascii="Arial Narrow" w:hAnsi="Arial Narrow"/>
                      <w:color w:val="002060"/>
                      <w:sz w:val="16"/>
                      <w:szCs w:val="16"/>
                    </w:rPr>
                  </w:pPr>
                  <w:r w:rsidRPr="00912C62">
                    <w:rPr>
                      <w:rFonts w:ascii="Arial Narrow" w:hAnsi="Arial Narrow"/>
                      <w:color w:val="002060"/>
                      <w:sz w:val="16"/>
                      <w:szCs w:val="16"/>
                    </w:rPr>
                    <w:t>–</w:t>
                  </w:r>
                  <w:r w:rsidR="00BA5EA9" w:rsidRPr="00912C62">
                    <w:rPr>
                      <w:rFonts w:ascii="Arial Narrow" w:hAnsi="Arial Narrow"/>
                      <w:color w:val="002060"/>
                      <w:sz w:val="16"/>
                      <w:szCs w:val="16"/>
                    </w:rPr>
                    <w:t xml:space="preserve"> </w:t>
                  </w:r>
                  <w:r w:rsidR="00AC7D4B" w:rsidRPr="00912C62">
                    <w:rPr>
                      <w:rFonts w:ascii="Arial Narrow" w:hAnsi="Arial Narrow"/>
                      <w:color w:val="002060"/>
                      <w:sz w:val="16"/>
                      <w:szCs w:val="16"/>
                    </w:rPr>
                    <w:t>Système</w:t>
                  </w:r>
                  <w:r w:rsidR="00041318" w:rsidRPr="00912C62">
                    <w:rPr>
                      <w:rFonts w:ascii="Arial Narrow" w:hAnsi="Arial Narrow"/>
                      <w:color w:val="002060"/>
                      <w:sz w:val="16"/>
                      <w:szCs w:val="16"/>
                    </w:rPr>
                    <w:t>s</w:t>
                  </w:r>
                  <w:r w:rsidR="00AC7D4B" w:rsidRPr="00912C62">
                    <w:rPr>
                      <w:rFonts w:ascii="Arial Narrow" w:hAnsi="Arial Narrow"/>
                      <w:color w:val="002060"/>
                      <w:sz w:val="16"/>
                      <w:szCs w:val="16"/>
                    </w:rPr>
                    <w:t xml:space="preserve"> de gestion d</w:t>
                  </w:r>
                  <w:r w:rsidR="00041318" w:rsidRPr="00912C62">
                    <w:rPr>
                      <w:rFonts w:ascii="Arial Narrow" w:hAnsi="Arial Narrow"/>
                      <w:color w:val="002060"/>
                      <w:sz w:val="16"/>
                      <w:szCs w:val="16"/>
                    </w:rPr>
                    <w:t>e l</w:t>
                  </w:r>
                  <w:r w:rsidR="00FA22F6" w:rsidRPr="00912C62">
                    <w:rPr>
                      <w:rFonts w:ascii="Arial Narrow" w:hAnsi="Arial Narrow"/>
                      <w:color w:val="002060"/>
                      <w:sz w:val="16"/>
                      <w:szCs w:val="16"/>
                    </w:rPr>
                    <w:t>’</w:t>
                  </w:r>
                  <w:r w:rsidR="00AC7D4B" w:rsidRPr="00912C62">
                    <w:rPr>
                      <w:rFonts w:ascii="Arial Narrow" w:hAnsi="Arial Narrow"/>
                      <w:color w:val="002060"/>
                      <w:sz w:val="16"/>
                      <w:szCs w:val="16"/>
                    </w:rPr>
                    <w:t>information</w:t>
                  </w:r>
                </w:p>
              </w:tc>
              <w:tc>
                <w:tcPr>
                  <w:tcW w:w="567" w:type="dxa"/>
                  <w:tcBorders>
                    <w:top w:val="nil"/>
                    <w:left w:val="nil"/>
                    <w:bottom w:val="nil"/>
                    <w:right w:val="nil"/>
                  </w:tcBorders>
                  <w:tcMar>
                    <w:left w:w="14" w:type="dxa"/>
                    <w:right w:w="0" w:type="dxa"/>
                  </w:tcMar>
                </w:tcPr>
                <w:p w14:paraId="5CCE89FB"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4EC8F87E" w14:textId="77777777" w:rsidTr="005C716A">
              <w:trPr>
                <w:trHeight w:val="188"/>
              </w:trPr>
              <w:tc>
                <w:tcPr>
                  <w:tcW w:w="2102" w:type="dxa"/>
                  <w:tcBorders>
                    <w:top w:val="nil"/>
                    <w:left w:val="nil"/>
                    <w:bottom w:val="nil"/>
                    <w:right w:val="nil"/>
                  </w:tcBorders>
                  <w:tcMar>
                    <w:left w:w="14" w:type="dxa"/>
                    <w:right w:w="0" w:type="dxa"/>
                  </w:tcMar>
                </w:tcPr>
                <w:p w14:paraId="0ED67041" w14:textId="69235A07" w:rsidR="00BA5EA9" w:rsidRPr="00912C62" w:rsidRDefault="00D956A1" w:rsidP="0097226C">
                  <w:pPr>
                    <w:rPr>
                      <w:rFonts w:ascii="Arial Narrow" w:hAnsi="Arial Narrow"/>
                      <w:color w:val="002060"/>
                      <w:sz w:val="16"/>
                      <w:szCs w:val="16"/>
                    </w:rPr>
                  </w:pPr>
                  <w:r w:rsidRPr="00912C62">
                    <w:rPr>
                      <w:rFonts w:ascii="Arial Narrow" w:hAnsi="Arial Narrow"/>
                      <w:color w:val="002060"/>
                      <w:sz w:val="16"/>
                      <w:szCs w:val="16"/>
                    </w:rPr>
                    <w:t>–</w:t>
                  </w:r>
                  <w:r w:rsidR="00BE40CB" w:rsidRPr="00912C62">
                    <w:rPr>
                      <w:rFonts w:ascii="Arial Narrow" w:hAnsi="Arial Narrow"/>
                      <w:color w:val="002060"/>
                      <w:sz w:val="16"/>
                      <w:szCs w:val="16"/>
                    </w:rPr>
                    <w:t xml:space="preserve"> Internalis</w:t>
                  </w:r>
                  <w:r w:rsidR="00BA5EA9" w:rsidRPr="00912C62">
                    <w:rPr>
                      <w:rFonts w:ascii="Arial Narrow" w:hAnsi="Arial Narrow"/>
                      <w:color w:val="002060"/>
                      <w:sz w:val="16"/>
                      <w:szCs w:val="16"/>
                    </w:rPr>
                    <w:t>ation</w:t>
                  </w:r>
                </w:p>
              </w:tc>
              <w:tc>
                <w:tcPr>
                  <w:tcW w:w="567" w:type="dxa"/>
                  <w:tcBorders>
                    <w:top w:val="nil"/>
                    <w:left w:val="nil"/>
                    <w:bottom w:val="nil"/>
                    <w:right w:val="nil"/>
                  </w:tcBorders>
                  <w:tcMar>
                    <w:left w:w="14" w:type="dxa"/>
                    <w:right w:w="0" w:type="dxa"/>
                  </w:tcMar>
                </w:tcPr>
                <w:p w14:paraId="539D2609"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27C419D5" w14:textId="77777777" w:rsidTr="005C716A">
              <w:trPr>
                <w:trHeight w:val="188"/>
              </w:trPr>
              <w:tc>
                <w:tcPr>
                  <w:tcW w:w="2102" w:type="dxa"/>
                  <w:tcBorders>
                    <w:top w:val="nil"/>
                    <w:left w:val="nil"/>
                    <w:bottom w:val="nil"/>
                    <w:right w:val="nil"/>
                  </w:tcBorders>
                  <w:tcMar>
                    <w:left w:w="14" w:type="dxa"/>
                    <w:right w:w="0" w:type="dxa"/>
                  </w:tcMar>
                </w:tcPr>
                <w:p w14:paraId="0EF1CFB8" w14:textId="7FFAAF0D" w:rsidR="00BA5EA9" w:rsidRPr="00912C62" w:rsidRDefault="00D956A1" w:rsidP="0097226C">
                  <w:pPr>
                    <w:rPr>
                      <w:rFonts w:ascii="Arial Narrow" w:hAnsi="Arial Narrow"/>
                      <w:color w:val="002060"/>
                      <w:sz w:val="16"/>
                      <w:szCs w:val="16"/>
                    </w:rPr>
                  </w:pPr>
                  <w:r w:rsidRPr="00912C62">
                    <w:rPr>
                      <w:rFonts w:ascii="Arial Narrow" w:hAnsi="Arial Narrow"/>
                      <w:color w:val="002060"/>
                      <w:sz w:val="16"/>
                      <w:szCs w:val="16"/>
                    </w:rPr>
                    <w:t>–</w:t>
                  </w:r>
                  <w:r w:rsidR="00BA5EA9" w:rsidRPr="00912C62">
                    <w:rPr>
                      <w:rFonts w:ascii="Arial Narrow" w:hAnsi="Arial Narrow"/>
                      <w:color w:val="002060"/>
                      <w:sz w:val="16"/>
                      <w:szCs w:val="16"/>
                    </w:rPr>
                    <w:t xml:space="preserve"> </w:t>
                  </w:r>
                  <w:r w:rsidR="005D4B78" w:rsidRPr="00912C62">
                    <w:rPr>
                      <w:rFonts w:ascii="Arial Narrow" w:hAnsi="Arial Narrow"/>
                      <w:color w:val="002060"/>
                      <w:sz w:val="16"/>
                      <w:szCs w:val="16"/>
                    </w:rPr>
                    <w:t>Direction</w:t>
                  </w:r>
                  <w:r w:rsidR="00BA5EA9" w:rsidRPr="00912C62">
                    <w:rPr>
                      <w:rFonts w:ascii="Arial Narrow" w:hAnsi="Arial Narrow"/>
                      <w:color w:val="002060"/>
                      <w:sz w:val="16"/>
                      <w:szCs w:val="16"/>
                    </w:rPr>
                    <w:t xml:space="preserve"> </w:t>
                  </w:r>
                </w:p>
              </w:tc>
              <w:tc>
                <w:tcPr>
                  <w:tcW w:w="567" w:type="dxa"/>
                  <w:tcBorders>
                    <w:top w:val="nil"/>
                    <w:left w:val="nil"/>
                    <w:bottom w:val="nil"/>
                    <w:right w:val="nil"/>
                  </w:tcBorders>
                  <w:tcMar>
                    <w:left w:w="14" w:type="dxa"/>
                    <w:right w:w="0" w:type="dxa"/>
                  </w:tcMar>
                </w:tcPr>
                <w:p w14:paraId="6DBA866E"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4</w:t>
                  </w:r>
                </w:p>
              </w:tc>
            </w:tr>
            <w:tr w:rsidR="00BA5EA9" w:rsidRPr="00912C62" w14:paraId="35DAFC1C" w14:textId="77777777" w:rsidTr="005C716A">
              <w:trPr>
                <w:trHeight w:val="167"/>
              </w:trPr>
              <w:tc>
                <w:tcPr>
                  <w:tcW w:w="2102" w:type="dxa"/>
                  <w:tcBorders>
                    <w:top w:val="nil"/>
                    <w:left w:val="nil"/>
                    <w:bottom w:val="nil"/>
                    <w:right w:val="nil"/>
                  </w:tcBorders>
                  <w:tcMar>
                    <w:left w:w="14" w:type="dxa"/>
                    <w:right w:w="0" w:type="dxa"/>
                  </w:tcMar>
                </w:tcPr>
                <w:p w14:paraId="291FBB33" w14:textId="4F1A82ED" w:rsidR="00BA5EA9" w:rsidRPr="00912C62" w:rsidRDefault="00D956A1" w:rsidP="0097226C">
                  <w:pPr>
                    <w:rPr>
                      <w:rFonts w:ascii="Arial Narrow" w:hAnsi="Arial Narrow"/>
                      <w:color w:val="002060"/>
                      <w:sz w:val="16"/>
                      <w:szCs w:val="16"/>
                    </w:rPr>
                  </w:pPr>
                  <w:r w:rsidRPr="00912C62">
                    <w:rPr>
                      <w:rFonts w:ascii="Arial Narrow" w:hAnsi="Arial Narrow"/>
                      <w:color w:val="002060"/>
                      <w:sz w:val="16"/>
                      <w:szCs w:val="16"/>
                    </w:rPr>
                    <w:t>–</w:t>
                  </w:r>
                  <w:r w:rsidR="00BA5EA9" w:rsidRPr="00912C62">
                    <w:rPr>
                      <w:rFonts w:ascii="Arial Narrow" w:hAnsi="Arial Narrow"/>
                      <w:color w:val="002060"/>
                      <w:sz w:val="16"/>
                      <w:szCs w:val="16"/>
                    </w:rPr>
                    <w:t xml:space="preserve"> </w:t>
                  </w:r>
                  <w:r w:rsidR="00BE40CB" w:rsidRPr="00912C62">
                    <w:rPr>
                      <w:rFonts w:ascii="Arial Narrow" w:hAnsi="Arial Narrow"/>
                      <w:color w:val="002060"/>
                      <w:sz w:val="16"/>
                      <w:szCs w:val="16"/>
                    </w:rPr>
                    <w:t>Utilisation des résultats et volonté d</w:t>
                  </w:r>
                  <w:r w:rsidR="00FA22F6" w:rsidRPr="00912C62">
                    <w:rPr>
                      <w:rFonts w:ascii="Arial Narrow" w:hAnsi="Arial Narrow"/>
                      <w:color w:val="002060"/>
                      <w:sz w:val="16"/>
                      <w:szCs w:val="16"/>
                    </w:rPr>
                    <w:t>’</w:t>
                  </w:r>
                  <w:r w:rsidR="00BE40CB" w:rsidRPr="00912C62">
                    <w:rPr>
                      <w:rFonts w:ascii="Arial Narrow" w:hAnsi="Arial Narrow"/>
                      <w:color w:val="002060"/>
                      <w:sz w:val="16"/>
                      <w:szCs w:val="16"/>
                    </w:rPr>
                    <w:t xml:space="preserve">apprendre </w:t>
                  </w:r>
                </w:p>
              </w:tc>
              <w:tc>
                <w:tcPr>
                  <w:tcW w:w="567" w:type="dxa"/>
                  <w:tcBorders>
                    <w:top w:val="nil"/>
                    <w:left w:val="nil"/>
                    <w:bottom w:val="nil"/>
                    <w:right w:val="nil"/>
                  </w:tcBorders>
                  <w:tcMar>
                    <w:left w:w="14" w:type="dxa"/>
                    <w:right w:w="0" w:type="dxa"/>
                  </w:tcMar>
                </w:tcPr>
                <w:p w14:paraId="415D5D8F" w14:textId="77777777" w:rsidR="00BA5EA9" w:rsidRPr="00912C62" w:rsidRDefault="00BA5EA9" w:rsidP="0097226C">
                  <w:pPr>
                    <w:ind w:right="-10"/>
                    <w:jc w:val="center"/>
                    <w:rPr>
                      <w:rFonts w:ascii="Arial Narrow" w:hAnsi="Arial Narrow"/>
                      <w:color w:val="002060"/>
                      <w:sz w:val="16"/>
                      <w:szCs w:val="16"/>
                    </w:rPr>
                  </w:pPr>
                  <w:r w:rsidRPr="00912C62">
                    <w:rPr>
                      <w:rFonts w:ascii="Arial Narrow" w:hAnsi="Arial Narrow"/>
                      <w:color w:val="002060"/>
                      <w:sz w:val="16"/>
                      <w:szCs w:val="16"/>
                    </w:rPr>
                    <w:t>3</w:t>
                  </w:r>
                </w:p>
              </w:tc>
            </w:tr>
          </w:tbl>
          <w:p w14:paraId="2D068AC0" w14:textId="77777777" w:rsidR="001F64B1" w:rsidRPr="00912C62" w:rsidRDefault="001F64B1" w:rsidP="0097226C">
            <w:pPr>
              <w:rPr>
                <w:i/>
                <w:sz w:val="16"/>
                <w:szCs w:val="16"/>
              </w:rPr>
            </w:pPr>
          </w:p>
          <w:p w14:paraId="40AFF23F" w14:textId="68C2E109" w:rsidR="00FA22F6" w:rsidRPr="00912C62" w:rsidRDefault="00E64532" w:rsidP="0097226C">
            <w:pPr>
              <w:rPr>
                <w:i/>
                <w:sz w:val="16"/>
                <w:szCs w:val="16"/>
              </w:rPr>
            </w:pPr>
            <w:r w:rsidRPr="00912C62">
              <w:rPr>
                <w:i/>
                <w:sz w:val="16"/>
                <w:szCs w:val="16"/>
              </w:rPr>
              <w:t>Niveau de référence initial dans le programme et budget 2016</w:t>
            </w:r>
            <w:r w:rsidR="006A41CF" w:rsidRPr="00912C62">
              <w:rPr>
                <w:i/>
                <w:sz w:val="16"/>
                <w:szCs w:val="16"/>
              </w:rPr>
              <w:noBreakHyphen/>
            </w:r>
            <w:r w:rsidRPr="00912C62">
              <w:rPr>
                <w:i/>
                <w:sz w:val="16"/>
                <w:szCs w:val="16"/>
              </w:rPr>
              <w:t>2017</w:t>
            </w:r>
            <w:r w:rsidR="00FA22F6" w:rsidRPr="00912C62">
              <w:rPr>
                <w:i/>
                <w:sz w:val="16"/>
                <w:szCs w:val="16"/>
              </w:rPr>
              <w:t> :</w:t>
            </w:r>
          </w:p>
          <w:p w14:paraId="48C9E795" w14:textId="5178C000" w:rsidR="00BA5EA9" w:rsidRPr="00912C62" w:rsidRDefault="0059133D" w:rsidP="0097226C">
            <w:pPr>
              <w:rPr>
                <w:color w:val="002060"/>
                <w:sz w:val="16"/>
                <w:szCs w:val="16"/>
              </w:rPr>
            </w:pPr>
            <w:r w:rsidRPr="00912C62">
              <w:rPr>
                <w:sz w:val="16"/>
                <w:szCs w:val="16"/>
              </w:rPr>
              <w:t>développement niveau</w:t>
            </w:r>
            <w:r w:rsidR="00B4191E" w:rsidRPr="00912C62">
              <w:rPr>
                <w:sz w:val="16"/>
                <w:szCs w:val="16"/>
              </w:rPr>
              <w:t> </w:t>
            </w:r>
            <w:r w:rsidRPr="00912C62">
              <w:rPr>
                <w:sz w:val="16"/>
                <w:szCs w:val="16"/>
              </w:rPr>
              <w:t>2</w:t>
            </w:r>
          </w:p>
        </w:tc>
        <w:tc>
          <w:tcPr>
            <w:tcW w:w="662" w:type="pct"/>
            <w:shd w:val="clear" w:color="auto" w:fill="auto"/>
            <w:tcMar>
              <w:top w:w="110" w:type="dxa"/>
              <w:left w:w="58" w:type="dxa"/>
              <w:right w:w="58" w:type="dxa"/>
            </w:tcMar>
          </w:tcPr>
          <w:p w14:paraId="40845944" w14:textId="6DE2F130" w:rsidR="00FA22F6" w:rsidRPr="00912C62" w:rsidRDefault="00AC7D97" w:rsidP="0097226C">
            <w:pPr>
              <w:ind w:right="-54"/>
              <w:rPr>
                <w:i/>
                <w:color w:val="002060"/>
                <w:sz w:val="16"/>
                <w:szCs w:val="16"/>
              </w:rPr>
            </w:pPr>
            <w:r w:rsidRPr="00912C62">
              <w:rPr>
                <w:i/>
                <w:color w:val="002060"/>
                <w:sz w:val="16"/>
                <w:szCs w:val="16"/>
              </w:rPr>
              <w:t>Objectif actualisé</w:t>
            </w:r>
            <w:r w:rsidR="00FA22F6" w:rsidRPr="00912C62">
              <w:rPr>
                <w:i/>
                <w:color w:val="002060"/>
                <w:sz w:val="16"/>
                <w:szCs w:val="16"/>
              </w:rPr>
              <w:t> :</w:t>
            </w:r>
          </w:p>
          <w:p w14:paraId="3E8AB5D6" w14:textId="346EA0D9" w:rsidR="001F64B1" w:rsidRPr="00912C62" w:rsidRDefault="0059133D" w:rsidP="0097226C">
            <w:pPr>
              <w:rPr>
                <w:color w:val="002060"/>
                <w:sz w:val="16"/>
                <w:szCs w:val="16"/>
              </w:rPr>
            </w:pPr>
            <w:r w:rsidRPr="00912C62">
              <w:rPr>
                <w:color w:val="002060"/>
                <w:sz w:val="16"/>
                <w:szCs w:val="16"/>
              </w:rPr>
              <w:t>développement niveau</w:t>
            </w:r>
            <w:r w:rsidR="00B4191E" w:rsidRPr="00912C62">
              <w:rPr>
                <w:color w:val="002060"/>
                <w:sz w:val="16"/>
                <w:szCs w:val="16"/>
              </w:rPr>
              <w:t> </w:t>
            </w:r>
            <w:r w:rsidRPr="00912C62">
              <w:rPr>
                <w:color w:val="002060"/>
                <w:sz w:val="16"/>
                <w:szCs w:val="16"/>
              </w:rPr>
              <w:t>4</w:t>
            </w:r>
          </w:p>
          <w:p w14:paraId="6A6EA157" w14:textId="77777777" w:rsidR="001F64B1" w:rsidRPr="001E6DFD" w:rsidRDefault="001F64B1" w:rsidP="0097226C">
            <w:pPr>
              <w:rPr>
                <w:sz w:val="16"/>
                <w:szCs w:val="16"/>
              </w:rPr>
            </w:pPr>
          </w:p>
          <w:p w14:paraId="7C71B33E" w14:textId="0EAE2886" w:rsidR="00FA22F6" w:rsidRPr="001E6DFD" w:rsidRDefault="00AC7D97" w:rsidP="0097226C">
            <w:pPr>
              <w:rPr>
                <w:i/>
                <w:sz w:val="16"/>
                <w:szCs w:val="16"/>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2B0D0344" w14:textId="6BE2318E" w:rsidR="00BA5EA9" w:rsidRPr="001E6DFD" w:rsidRDefault="0059133D" w:rsidP="0097226C">
            <w:pPr>
              <w:rPr>
                <w:sz w:val="16"/>
                <w:szCs w:val="16"/>
              </w:rPr>
            </w:pPr>
            <w:r w:rsidRPr="001E6DFD">
              <w:rPr>
                <w:sz w:val="16"/>
                <w:szCs w:val="16"/>
              </w:rPr>
              <w:t>développement niveau</w:t>
            </w:r>
            <w:r w:rsidR="00B4191E">
              <w:rPr>
                <w:sz w:val="16"/>
                <w:szCs w:val="16"/>
              </w:rPr>
              <w:t> </w:t>
            </w:r>
            <w:r w:rsidRPr="001E6DFD">
              <w:rPr>
                <w:sz w:val="16"/>
                <w:szCs w:val="16"/>
              </w:rPr>
              <w:t>3</w:t>
            </w:r>
          </w:p>
        </w:tc>
        <w:tc>
          <w:tcPr>
            <w:tcW w:w="1486" w:type="pct"/>
            <w:gridSpan w:val="3"/>
            <w:shd w:val="clear" w:color="auto" w:fill="FFFFFF"/>
            <w:tcMar>
              <w:top w:w="110" w:type="dxa"/>
              <w:left w:w="58" w:type="dxa"/>
              <w:right w:w="58" w:type="dxa"/>
            </w:tcMar>
          </w:tcPr>
          <w:p w14:paraId="2D430419" w14:textId="471DAC04" w:rsidR="00BA5EA9" w:rsidRPr="00912C62" w:rsidRDefault="000B2BB2" w:rsidP="0097226C">
            <w:pPr>
              <w:keepNext/>
              <w:keepLines/>
              <w:rPr>
                <w:sz w:val="16"/>
                <w:szCs w:val="16"/>
              </w:rPr>
            </w:pPr>
            <w:r w:rsidRPr="00912C62">
              <w:rPr>
                <w:sz w:val="16"/>
                <w:szCs w:val="16"/>
              </w:rPr>
              <w:t>Évaluation menée tous les deux</w:t>
            </w:r>
            <w:r w:rsidR="004D421A" w:rsidRPr="00912C62">
              <w:rPr>
                <w:sz w:val="16"/>
                <w:szCs w:val="16"/>
              </w:rPr>
              <w:t> </w:t>
            </w:r>
            <w:r w:rsidRPr="00912C62">
              <w:rPr>
                <w:sz w:val="16"/>
                <w:szCs w:val="16"/>
              </w:rPr>
              <w:t>ans</w:t>
            </w:r>
          </w:p>
        </w:tc>
        <w:tc>
          <w:tcPr>
            <w:tcW w:w="467" w:type="pct"/>
            <w:shd w:val="clear" w:color="auto" w:fill="auto"/>
            <w:tcMar>
              <w:top w:w="110" w:type="dxa"/>
              <w:left w:w="58" w:type="dxa"/>
              <w:right w:w="58" w:type="dxa"/>
            </w:tcMar>
          </w:tcPr>
          <w:p w14:paraId="7F00F5FD" w14:textId="62844871" w:rsidR="00BA5EA9" w:rsidRPr="001E6DFD" w:rsidRDefault="00B649F5" w:rsidP="0097226C">
            <w:pPr>
              <w:keepNext/>
              <w:keepLines/>
              <w:jc w:val="center"/>
              <w:rPr>
                <w:b/>
                <w:sz w:val="16"/>
                <w:szCs w:val="16"/>
              </w:rPr>
            </w:pPr>
            <w:proofErr w:type="spellStart"/>
            <w:r w:rsidRPr="001E6DFD">
              <w:rPr>
                <w:b/>
                <w:color w:val="0070C0"/>
                <w:sz w:val="16"/>
                <w:szCs w:val="16"/>
              </w:rPr>
              <w:t>n.d</w:t>
            </w:r>
            <w:proofErr w:type="spellEnd"/>
            <w:r w:rsidRPr="001E6DFD">
              <w:rPr>
                <w:b/>
                <w:color w:val="0070C0"/>
                <w:sz w:val="16"/>
                <w:szCs w:val="16"/>
              </w:rPr>
              <w:t xml:space="preserve">. </w:t>
            </w:r>
            <w:r w:rsidR="00FA22F6" w:rsidRPr="001E6DFD">
              <w:rPr>
                <w:b/>
                <w:color w:val="0070C0"/>
                <w:sz w:val="16"/>
                <w:szCs w:val="16"/>
              </w:rPr>
              <w:t>pour 2016</w:t>
            </w:r>
          </w:p>
        </w:tc>
      </w:tr>
      <w:tr w:rsidR="00BA5EA9" w:rsidRPr="001E6DFD" w14:paraId="26DA6CDC" w14:textId="77777777" w:rsidTr="005C716A">
        <w:tc>
          <w:tcPr>
            <w:tcW w:w="905" w:type="pct"/>
            <w:shd w:val="clear" w:color="auto" w:fill="auto"/>
            <w:tcMar>
              <w:left w:w="58" w:type="dxa"/>
              <w:right w:w="58" w:type="dxa"/>
            </w:tcMar>
          </w:tcPr>
          <w:p w14:paraId="441B5BA1" w14:textId="688305E9" w:rsidR="00BA5EA9" w:rsidRPr="001E6DFD" w:rsidRDefault="0059133D" w:rsidP="0097226C">
            <w:pPr>
              <w:ind w:left="33"/>
              <w:rPr>
                <w:sz w:val="16"/>
                <w:szCs w:val="16"/>
              </w:rPr>
            </w:pPr>
            <w:r w:rsidRPr="001E6DFD">
              <w:rPr>
                <w:sz w:val="16"/>
                <w:szCs w:val="16"/>
              </w:rPr>
              <w:t>Retour sur investissements conforme aux critères établis par le Comité consultatif pour l</w:t>
            </w:r>
            <w:r w:rsidR="00FA22F6" w:rsidRPr="001E6DFD">
              <w:rPr>
                <w:sz w:val="16"/>
                <w:szCs w:val="16"/>
              </w:rPr>
              <w:t>’</w:t>
            </w:r>
            <w:r w:rsidRPr="001E6DFD">
              <w:rPr>
                <w:sz w:val="16"/>
                <w:szCs w:val="16"/>
              </w:rPr>
              <w:t>investissement (CCI)</w:t>
            </w:r>
          </w:p>
        </w:tc>
        <w:tc>
          <w:tcPr>
            <w:tcW w:w="1480" w:type="pct"/>
            <w:gridSpan w:val="2"/>
            <w:shd w:val="clear" w:color="auto" w:fill="auto"/>
            <w:tcMar>
              <w:left w:w="58" w:type="dxa"/>
              <w:right w:w="58" w:type="dxa"/>
            </w:tcMar>
          </w:tcPr>
          <w:p w14:paraId="7425E443" w14:textId="49C4169F" w:rsidR="00FA22F6"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03A16076" w14:textId="64BB5C95" w:rsidR="001F64B1" w:rsidRPr="00912C62" w:rsidRDefault="007D4CD7" w:rsidP="0097226C">
            <w:pPr>
              <w:rPr>
                <w:color w:val="002060"/>
                <w:sz w:val="16"/>
                <w:szCs w:val="16"/>
              </w:rPr>
            </w:pPr>
            <w:r w:rsidRPr="00912C62">
              <w:rPr>
                <w:color w:val="002060"/>
                <w:sz w:val="16"/>
                <w:szCs w:val="16"/>
              </w:rPr>
              <w:t xml:space="preserve">Poursuite des investissements auprès des autorités suisses, conformément aux critères établis </w:t>
            </w:r>
            <w:r w:rsidR="00FA22F6" w:rsidRPr="00912C62">
              <w:rPr>
                <w:color w:val="002060"/>
                <w:sz w:val="16"/>
                <w:szCs w:val="16"/>
              </w:rPr>
              <w:t>en 2014</w:t>
            </w:r>
            <w:r w:rsidR="006A41CF" w:rsidRPr="00912C62">
              <w:rPr>
                <w:color w:val="002060"/>
                <w:sz w:val="16"/>
                <w:szCs w:val="16"/>
              </w:rPr>
              <w:noBreakHyphen/>
            </w:r>
            <w:r w:rsidRPr="00912C62">
              <w:rPr>
                <w:color w:val="002060"/>
                <w:sz w:val="16"/>
                <w:szCs w:val="16"/>
              </w:rPr>
              <w:t>2015</w:t>
            </w:r>
            <w:r w:rsidR="00D97146" w:rsidRPr="00912C62">
              <w:rPr>
                <w:color w:val="002060"/>
                <w:sz w:val="16"/>
                <w:szCs w:val="16"/>
              </w:rPr>
              <w:t>.  À partir de la mi</w:t>
            </w:r>
            <w:r w:rsidR="006A41CF" w:rsidRPr="00912C62">
              <w:rPr>
                <w:color w:val="002060"/>
                <w:sz w:val="16"/>
                <w:szCs w:val="16"/>
              </w:rPr>
              <w:noBreakHyphen/>
            </w:r>
            <w:r w:rsidR="00FA22F6" w:rsidRPr="00912C62">
              <w:rPr>
                <w:color w:val="002060"/>
                <w:sz w:val="16"/>
                <w:szCs w:val="16"/>
              </w:rPr>
              <w:t>octobre 20</w:t>
            </w:r>
            <w:r w:rsidR="00D97146" w:rsidRPr="00912C62">
              <w:rPr>
                <w:color w:val="002060"/>
                <w:sz w:val="16"/>
                <w:szCs w:val="16"/>
              </w:rPr>
              <w:t>15, les critères ont changé avec l</w:t>
            </w:r>
            <w:r w:rsidR="00FA22F6" w:rsidRPr="00912C62">
              <w:rPr>
                <w:color w:val="002060"/>
                <w:sz w:val="16"/>
                <w:szCs w:val="16"/>
              </w:rPr>
              <w:t>’</w:t>
            </w:r>
            <w:r w:rsidR="00D97146" w:rsidRPr="00912C62">
              <w:rPr>
                <w:color w:val="002060"/>
                <w:sz w:val="16"/>
                <w:szCs w:val="16"/>
              </w:rPr>
              <w:t>introduction d</w:t>
            </w:r>
            <w:r w:rsidR="00FA22F6" w:rsidRPr="00912C62">
              <w:rPr>
                <w:color w:val="002060"/>
                <w:sz w:val="16"/>
                <w:szCs w:val="16"/>
              </w:rPr>
              <w:t>’</w:t>
            </w:r>
            <w:r w:rsidR="00D97146" w:rsidRPr="00912C62">
              <w:rPr>
                <w:color w:val="002060"/>
                <w:sz w:val="16"/>
                <w:szCs w:val="16"/>
              </w:rPr>
              <w:t>une nouvelle politique d</w:t>
            </w:r>
            <w:r w:rsidR="00FA22F6" w:rsidRPr="00912C62">
              <w:rPr>
                <w:color w:val="002060"/>
                <w:sz w:val="16"/>
                <w:szCs w:val="16"/>
              </w:rPr>
              <w:t>’</w:t>
            </w:r>
            <w:r w:rsidR="00D97146" w:rsidRPr="00912C62">
              <w:rPr>
                <w:color w:val="002060"/>
                <w:sz w:val="16"/>
                <w:szCs w:val="16"/>
              </w:rPr>
              <w:t>investissement</w:t>
            </w:r>
          </w:p>
          <w:p w14:paraId="60FE421E" w14:textId="77777777" w:rsidR="001F64B1" w:rsidRPr="00912C62" w:rsidRDefault="001F64B1" w:rsidP="0097226C">
            <w:pPr>
              <w:rPr>
                <w:i/>
                <w:sz w:val="16"/>
                <w:szCs w:val="16"/>
              </w:rPr>
            </w:pPr>
          </w:p>
          <w:p w14:paraId="25B424CC" w14:textId="40CACCF1" w:rsidR="00FA22F6" w:rsidRPr="00912C62" w:rsidRDefault="00E64532" w:rsidP="0097226C">
            <w:pPr>
              <w:ind w:left="33"/>
              <w:rPr>
                <w:i/>
                <w:sz w:val="16"/>
                <w:szCs w:val="16"/>
              </w:rPr>
            </w:pPr>
            <w:r w:rsidRPr="00912C62">
              <w:rPr>
                <w:i/>
                <w:sz w:val="16"/>
                <w:szCs w:val="16"/>
              </w:rPr>
              <w:t>Niveau de référence initial dans le programme et budget 2016</w:t>
            </w:r>
            <w:r w:rsidR="006A41CF" w:rsidRPr="00912C62">
              <w:rPr>
                <w:i/>
                <w:sz w:val="16"/>
                <w:szCs w:val="16"/>
              </w:rPr>
              <w:noBreakHyphen/>
            </w:r>
            <w:r w:rsidRPr="00912C62">
              <w:rPr>
                <w:i/>
                <w:sz w:val="16"/>
                <w:szCs w:val="16"/>
              </w:rPr>
              <w:t>2017</w:t>
            </w:r>
            <w:r w:rsidR="00FA22F6" w:rsidRPr="00912C62">
              <w:rPr>
                <w:i/>
                <w:sz w:val="16"/>
                <w:szCs w:val="16"/>
              </w:rPr>
              <w:t> :</w:t>
            </w:r>
          </w:p>
          <w:p w14:paraId="21465E4C" w14:textId="0DBBDC9E" w:rsidR="00BA5EA9" w:rsidRPr="00912C62" w:rsidRDefault="0059133D" w:rsidP="0097226C">
            <w:pPr>
              <w:ind w:left="33"/>
              <w:rPr>
                <w:sz w:val="16"/>
                <w:szCs w:val="16"/>
              </w:rPr>
            </w:pPr>
            <w:r w:rsidRPr="00912C62">
              <w:rPr>
                <w:sz w:val="16"/>
                <w:szCs w:val="16"/>
              </w:rPr>
              <w:t>Poursuite des investissements auprès des autorités suisses, conformément aux critères établis par</w:t>
            </w:r>
            <w:r w:rsidR="00FA22F6" w:rsidRPr="00912C62">
              <w:rPr>
                <w:sz w:val="16"/>
                <w:szCs w:val="16"/>
              </w:rPr>
              <w:t xml:space="preserve"> le CCI</w:t>
            </w:r>
            <w:r w:rsidRPr="00912C62">
              <w:rPr>
                <w:sz w:val="16"/>
                <w:szCs w:val="16"/>
              </w:rPr>
              <w:t xml:space="preserve"> </w:t>
            </w:r>
            <w:r w:rsidR="00FA22F6" w:rsidRPr="00912C62">
              <w:rPr>
                <w:sz w:val="16"/>
                <w:szCs w:val="16"/>
              </w:rPr>
              <w:t>pour 2014</w:t>
            </w:r>
            <w:r w:rsidR="006A41CF" w:rsidRPr="00912C62">
              <w:rPr>
                <w:sz w:val="16"/>
                <w:szCs w:val="16"/>
              </w:rPr>
              <w:noBreakHyphen/>
            </w:r>
            <w:r w:rsidRPr="00912C62">
              <w:rPr>
                <w:sz w:val="16"/>
                <w:szCs w:val="16"/>
              </w:rPr>
              <w:t>2015</w:t>
            </w:r>
          </w:p>
        </w:tc>
        <w:tc>
          <w:tcPr>
            <w:tcW w:w="662" w:type="pct"/>
            <w:shd w:val="clear" w:color="auto" w:fill="auto"/>
            <w:tcMar>
              <w:top w:w="110" w:type="dxa"/>
              <w:left w:w="58" w:type="dxa"/>
              <w:right w:w="58" w:type="dxa"/>
            </w:tcMar>
          </w:tcPr>
          <w:p w14:paraId="239C56B6" w14:textId="767D6950" w:rsidR="001F64B1" w:rsidRPr="00912C62" w:rsidRDefault="00A866D3" w:rsidP="0097226C">
            <w:pPr>
              <w:ind w:right="-54"/>
              <w:rPr>
                <w:i/>
                <w:color w:val="002060"/>
                <w:sz w:val="16"/>
                <w:szCs w:val="16"/>
              </w:rPr>
            </w:pPr>
            <w:r w:rsidRPr="00912C62">
              <w:rPr>
                <w:i/>
                <w:color w:val="002060"/>
                <w:sz w:val="16"/>
                <w:szCs w:val="16"/>
              </w:rPr>
              <w:t>Objectif actualisé</w:t>
            </w:r>
            <w:r w:rsidR="00FA22F6" w:rsidRPr="00912C62">
              <w:rPr>
                <w:i/>
                <w:color w:val="002060"/>
                <w:sz w:val="16"/>
                <w:szCs w:val="16"/>
              </w:rPr>
              <w:t> :</w:t>
            </w:r>
          </w:p>
          <w:p w14:paraId="3FB75A6F" w14:textId="183BBF0D" w:rsidR="001F64B1" w:rsidRPr="00912C62" w:rsidRDefault="00217A66" w:rsidP="00217A66">
            <w:pPr>
              <w:ind w:left="33"/>
              <w:rPr>
                <w:color w:val="002060"/>
                <w:sz w:val="16"/>
                <w:szCs w:val="16"/>
              </w:rPr>
            </w:pPr>
            <w:r w:rsidRPr="00912C62">
              <w:rPr>
                <w:color w:val="002060"/>
                <w:sz w:val="16"/>
                <w:szCs w:val="16"/>
              </w:rPr>
              <w:t>Retour sur investissements conforme aux critères établis par la nouvelle politique d</w:t>
            </w:r>
            <w:r w:rsidR="00FA22F6" w:rsidRPr="00912C62">
              <w:rPr>
                <w:color w:val="002060"/>
                <w:sz w:val="16"/>
                <w:szCs w:val="16"/>
              </w:rPr>
              <w:t>’</w:t>
            </w:r>
            <w:r w:rsidRPr="00912C62">
              <w:rPr>
                <w:color w:val="002060"/>
                <w:sz w:val="16"/>
                <w:szCs w:val="16"/>
              </w:rPr>
              <w:t>investissement</w:t>
            </w:r>
            <w:r w:rsidR="00BA5EA9" w:rsidRPr="00912C62">
              <w:rPr>
                <w:rStyle w:val="FootnoteReference"/>
                <w:rFonts w:cs="Arial"/>
                <w:color w:val="002060"/>
                <w:szCs w:val="16"/>
              </w:rPr>
              <w:footnoteReference w:id="87"/>
            </w:r>
          </w:p>
          <w:p w14:paraId="781537C0" w14:textId="77777777" w:rsidR="001F64B1" w:rsidRPr="00912C62" w:rsidRDefault="001F64B1" w:rsidP="0097226C">
            <w:pPr>
              <w:ind w:left="33"/>
              <w:rPr>
                <w:sz w:val="16"/>
                <w:szCs w:val="16"/>
              </w:rPr>
            </w:pPr>
          </w:p>
          <w:p w14:paraId="6019E7BE" w14:textId="7B63011D" w:rsidR="00FA22F6" w:rsidRPr="00912C62" w:rsidRDefault="00AC7D97" w:rsidP="0097226C">
            <w:pPr>
              <w:rPr>
                <w:i/>
                <w:sz w:val="16"/>
                <w:szCs w:val="16"/>
              </w:rPr>
            </w:pPr>
            <w:r w:rsidRPr="00912C62">
              <w:rPr>
                <w:i/>
                <w:sz w:val="16"/>
                <w:szCs w:val="16"/>
              </w:rPr>
              <w:t>Objectif initial dans le programme et budget 2016</w:t>
            </w:r>
            <w:r w:rsidR="006A41CF" w:rsidRPr="00912C62">
              <w:rPr>
                <w:i/>
                <w:sz w:val="16"/>
                <w:szCs w:val="16"/>
              </w:rPr>
              <w:noBreakHyphen/>
            </w:r>
            <w:r w:rsidRPr="00912C62">
              <w:rPr>
                <w:i/>
                <w:sz w:val="16"/>
                <w:szCs w:val="16"/>
              </w:rPr>
              <w:t>2017</w:t>
            </w:r>
            <w:r w:rsidR="00FA22F6" w:rsidRPr="00912C62">
              <w:rPr>
                <w:i/>
                <w:sz w:val="16"/>
                <w:szCs w:val="16"/>
              </w:rPr>
              <w:t> :</w:t>
            </w:r>
          </w:p>
          <w:p w14:paraId="2815C002" w14:textId="394FB8CE" w:rsidR="00BA5EA9" w:rsidRPr="00912C62" w:rsidRDefault="0059133D" w:rsidP="0097226C">
            <w:pPr>
              <w:ind w:left="34"/>
              <w:rPr>
                <w:sz w:val="16"/>
                <w:szCs w:val="16"/>
              </w:rPr>
            </w:pPr>
            <w:r w:rsidRPr="00912C62">
              <w:rPr>
                <w:sz w:val="16"/>
                <w:szCs w:val="16"/>
              </w:rPr>
              <w:t>Retour sur investissements conforme aux critères établis par</w:t>
            </w:r>
            <w:r w:rsidR="00FA22F6" w:rsidRPr="00912C62">
              <w:rPr>
                <w:sz w:val="16"/>
                <w:szCs w:val="16"/>
              </w:rPr>
              <w:t xml:space="preserve"> le CCI</w:t>
            </w:r>
            <w:r w:rsidRPr="00912C62">
              <w:rPr>
                <w:sz w:val="16"/>
                <w:szCs w:val="16"/>
              </w:rPr>
              <w:t xml:space="preserve"> </w:t>
            </w:r>
            <w:r w:rsidR="00FA22F6" w:rsidRPr="00912C62">
              <w:rPr>
                <w:sz w:val="16"/>
                <w:szCs w:val="16"/>
              </w:rPr>
              <w:t>pour 2016</w:t>
            </w:r>
            <w:r w:rsidR="006A41CF" w:rsidRPr="00912C62">
              <w:rPr>
                <w:sz w:val="16"/>
                <w:szCs w:val="16"/>
              </w:rPr>
              <w:noBreakHyphen/>
            </w:r>
            <w:r w:rsidRPr="00912C62">
              <w:rPr>
                <w:sz w:val="16"/>
                <w:szCs w:val="16"/>
              </w:rPr>
              <w:t>2017</w:t>
            </w:r>
          </w:p>
        </w:tc>
        <w:tc>
          <w:tcPr>
            <w:tcW w:w="1486" w:type="pct"/>
            <w:gridSpan w:val="3"/>
            <w:shd w:val="clear" w:color="auto" w:fill="FFFFFF"/>
            <w:tcMar>
              <w:top w:w="110" w:type="dxa"/>
              <w:left w:w="58" w:type="dxa"/>
              <w:right w:w="58" w:type="dxa"/>
            </w:tcMar>
          </w:tcPr>
          <w:p w14:paraId="6573CC1D" w14:textId="1FA691C5" w:rsidR="00BA5EA9" w:rsidRPr="00912C62" w:rsidRDefault="000B5338" w:rsidP="0097226C">
            <w:pPr>
              <w:rPr>
                <w:sz w:val="16"/>
                <w:szCs w:val="16"/>
              </w:rPr>
            </w:pPr>
            <w:r w:rsidRPr="00912C62">
              <w:rPr>
                <w:sz w:val="16"/>
                <w:szCs w:val="16"/>
              </w:rPr>
              <w:t>Tout au long de l</w:t>
            </w:r>
            <w:r w:rsidR="00FA22F6" w:rsidRPr="00912C62">
              <w:rPr>
                <w:sz w:val="16"/>
                <w:szCs w:val="16"/>
              </w:rPr>
              <w:t>’</w:t>
            </w:r>
            <w:r w:rsidRPr="00912C62">
              <w:rPr>
                <w:sz w:val="16"/>
                <w:szCs w:val="16"/>
              </w:rPr>
              <w:t>année, le retour sur investissement</w:t>
            </w:r>
            <w:r w:rsidR="00606DEC" w:rsidRPr="00912C62">
              <w:rPr>
                <w:sz w:val="16"/>
                <w:szCs w:val="16"/>
              </w:rPr>
              <w:t>s</w:t>
            </w:r>
            <w:r w:rsidRPr="00912C62">
              <w:rPr>
                <w:sz w:val="16"/>
                <w:szCs w:val="16"/>
              </w:rPr>
              <w:t xml:space="preserve"> en francs suisses a systématiquement dépassé </w:t>
            </w:r>
            <w:r w:rsidR="00606DEC" w:rsidRPr="00912C62">
              <w:rPr>
                <w:sz w:val="16"/>
                <w:szCs w:val="16"/>
              </w:rPr>
              <w:t>l</w:t>
            </w:r>
            <w:r w:rsidR="00FA22F6" w:rsidRPr="00912C62">
              <w:rPr>
                <w:sz w:val="16"/>
                <w:szCs w:val="16"/>
              </w:rPr>
              <w:t>’</w:t>
            </w:r>
            <w:r w:rsidR="00606DEC" w:rsidRPr="00912C62">
              <w:rPr>
                <w:sz w:val="16"/>
                <w:szCs w:val="16"/>
              </w:rPr>
              <w:t>indice de référen</w:t>
            </w:r>
            <w:r w:rsidR="004A4D21" w:rsidRPr="00912C62">
              <w:rPr>
                <w:sz w:val="16"/>
                <w:szCs w:val="16"/>
              </w:rPr>
              <w:t>ce.  L’a</w:t>
            </w:r>
            <w:r w:rsidR="00D4767D" w:rsidRPr="00912C62">
              <w:rPr>
                <w:sz w:val="16"/>
                <w:szCs w:val="16"/>
              </w:rPr>
              <w:t>mélioration de la visibilité et de la prévision en matière de liquidités a permis un investissement d</w:t>
            </w:r>
            <w:r w:rsidR="00FA22F6" w:rsidRPr="00912C62">
              <w:rPr>
                <w:sz w:val="16"/>
                <w:szCs w:val="16"/>
              </w:rPr>
              <w:t>’</w:t>
            </w:r>
            <w:r w:rsidR="00D4767D" w:rsidRPr="00912C62">
              <w:rPr>
                <w:sz w:val="16"/>
                <w:szCs w:val="16"/>
              </w:rPr>
              <w:t xml:space="preserve">euros </w:t>
            </w:r>
            <w:proofErr w:type="spellStart"/>
            <w:r w:rsidR="00D4767D" w:rsidRPr="00912C62">
              <w:rPr>
                <w:sz w:val="16"/>
                <w:szCs w:val="16"/>
              </w:rPr>
              <w:t>intramensuel</w:t>
            </w:r>
            <w:proofErr w:type="spellEnd"/>
            <w:r w:rsidR="00D4767D" w:rsidRPr="00912C62">
              <w:rPr>
                <w:sz w:val="16"/>
                <w:szCs w:val="16"/>
              </w:rPr>
              <w:t>, et les retours générés ont dép</w:t>
            </w:r>
            <w:r w:rsidR="00606DEC" w:rsidRPr="00912C62">
              <w:rPr>
                <w:sz w:val="16"/>
                <w:szCs w:val="16"/>
              </w:rPr>
              <w:t>assé l</w:t>
            </w:r>
            <w:r w:rsidR="00FA22F6" w:rsidRPr="00912C62">
              <w:rPr>
                <w:sz w:val="16"/>
                <w:szCs w:val="16"/>
              </w:rPr>
              <w:t>’</w:t>
            </w:r>
            <w:r w:rsidR="00606DEC" w:rsidRPr="00912C62">
              <w:rPr>
                <w:sz w:val="16"/>
                <w:szCs w:val="16"/>
              </w:rPr>
              <w:t>indice de référence dè</w:t>
            </w:r>
            <w:r w:rsidR="00D4767D" w:rsidRPr="00912C62">
              <w:rPr>
                <w:sz w:val="16"/>
                <w:szCs w:val="16"/>
              </w:rPr>
              <w:t xml:space="preserve">s </w:t>
            </w:r>
            <w:r w:rsidR="00606DEC" w:rsidRPr="00912C62">
              <w:rPr>
                <w:sz w:val="16"/>
                <w:szCs w:val="16"/>
              </w:rPr>
              <w:t xml:space="preserve">le début de ces </w:t>
            </w:r>
            <w:r w:rsidR="00D4767D" w:rsidRPr="00912C62">
              <w:rPr>
                <w:sz w:val="16"/>
                <w:szCs w:val="16"/>
              </w:rPr>
              <w:t>investissements</w:t>
            </w:r>
            <w:r w:rsidR="00606DEC" w:rsidRPr="00912C62">
              <w:rPr>
                <w:sz w:val="16"/>
                <w:szCs w:val="16"/>
              </w:rPr>
              <w:t xml:space="preserve"> </w:t>
            </w:r>
            <w:r w:rsidR="00D4767D" w:rsidRPr="00912C62">
              <w:rPr>
                <w:sz w:val="16"/>
                <w:szCs w:val="16"/>
              </w:rPr>
              <w:t>(</w:t>
            </w:r>
            <w:r w:rsidR="00FA22F6" w:rsidRPr="00912C62">
              <w:rPr>
                <w:sz w:val="16"/>
                <w:szCs w:val="16"/>
              </w:rPr>
              <w:t>août 20</w:t>
            </w:r>
            <w:r w:rsidR="00D4767D" w:rsidRPr="00912C62">
              <w:rPr>
                <w:sz w:val="16"/>
                <w:szCs w:val="16"/>
              </w:rPr>
              <w:t xml:space="preserve">16). </w:t>
            </w:r>
            <w:r w:rsidR="00926242" w:rsidRPr="00912C62">
              <w:rPr>
                <w:sz w:val="16"/>
              </w:rPr>
              <w:t xml:space="preserve"> </w:t>
            </w:r>
            <w:r w:rsidR="00926242" w:rsidRPr="00912C62">
              <w:rPr>
                <w:sz w:val="16"/>
                <w:szCs w:val="16"/>
              </w:rPr>
              <w:t xml:space="preserve">Le fait que le </w:t>
            </w:r>
            <w:r w:rsidR="00606DEC" w:rsidRPr="00912C62">
              <w:rPr>
                <w:sz w:val="16"/>
                <w:szCs w:val="16"/>
              </w:rPr>
              <w:t xml:space="preserve">solde de trésorerie </w:t>
            </w:r>
            <w:r w:rsidR="00926242" w:rsidRPr="00912C62">
              <w:rPr>
                <w:sz w:val="16"/>
                <w:szCs w:val="16"/>
              </w:rPr>
              <w:t xml:space="preserve">ait été </w:t>
            </w:r>
            <w:r w:rsidR="00606DEC" w:rsidRPr="00912C62">
              <w:rPr>
                <w:sz w:val="16"/>
                <w:szCs w:val="16"/>
              </w:rPr>
              <w:t>en francs suisses a en grande partie évité des</w:t>
            </w:r>
            <w:r w:rsidR="00926242" w:rsidRPr="00912C62">
              <w:rPr>
                <w:sz w:val="16"/>
                <w:szCs w:val="16"/>
              </w:rPr>
              <w:t xml:space="preserve"> frais engendrés </w:t>
            </w:r>
            <w:r w:rsidR="00AD40E6" w:rsidRPr="00912C62">
              <w:rPr>
                <w:sz w:val="16"/>
                <w:szCs w:val="16"/>
              </w:rPr>
              <w:t>par des taux d</w:t>
            </w:r>
            <w:r w:rsidR="00FA22F6" w:rsidRPr="00912C62">
              <w:rPr>
                <w:sz w:val="16"/>
                <w:szCs w:val="16"/>
              </w:rPr>
              <w:t>’</w:t>
            </w:r>
            <w:r w:rsidR="00AD40E6" w:rsidRPr="00912C62">
              <w:rPr>
                <w:sz w:val="16"/>
                <w:szCs w:val="16"/>
              </w:rPr>
              <w:t>intérêt négatifs</w:t>
            </w:r>
            <w:r w:rsidR="00926242" w:rsidRPr="00912C62">
              <w:rPr>
                <w:sz w:val="16"/>
                <w:szCs w:val="16"/>
              </w:rPr>
              <w:t>,</w:t>
            </w:r>
            <w:r w:rsidR="00606DEC" w:rsidRPr="00912C62">
              <w:rPr>
                <w:sz w:val="16"/>
                <w:szCs w:val="16"/>
              </w:rPr>
              <w:t xml:space="preserve"> en dépit de la </w:t>
            </w:r>
            <w:r w:rsidR="00926242" w:rsidRPr="00912C62">
              <w:rPr>
                <w:sz w:val="16"/>
                <w:szCs w:val="16"/>
              </w:rPr>
              <w:t xml:space="preserve">grande </w:t>
            </w:r>
            <w:r w:rsidR="00606DEC" w:rsidRPr="00912C62">
              <w:rPr>
                <w:sz w:val="16"/>
                <w:szCs w:val="16"/>
              </w:rPr>
              <w:t xml:space="preserve">génération de </w:t>
            </w:r>
            <w:r w:rsidR="00926242" w:rsidRPr="00912C62">
              <w:rPr>
                <w:sz w:val="16"/>
                <w:szCs w:val="16"/>
              </w:rPr>
              <w:t>liquidités par</w:t>
            </w:r>
            <w:r w:rsidR="00606DEC" w:rsidRPr="00912C62">
              <w:rPr>
                <w:sz w:val="16"/>
                <w:szCs w:val="16"/>
              </w:rPr>
              <w:t xml:space="preserve"> l</w:t>
            </w:r>
            <w:r w:rsidR="00FA22F6" w:rsidRPr="00912C62">
              <w:rPr>
                <w:sz w:val="16"/>
                <w:szCs w:val="16"/>
              </w:rPr>
              <w:t>’</w:t>
            </w:r>
            <w:r w:rsidR="00606DEC" w:rsidRPr="00912C62">
              <w:rPr>
                <w:sz w:val="16"/>
                <w:szCs w:val="16"/>
              </w:rPr>
              <w:t>Org</w:t>
            </w:r>
            <w:r w:rsidR="00926242" w:rsidRPr="00912C62">
              <w:rPr>
                <w:sz w:val="16"/>
                <w:szCs w:val="16"/>
              </w:rPr>
              <w:t xml:space="preserve">anisation et </w:t>
            </w:r>
            <w:r w:rsidR="00606DEC" w:rsidRPr="00912C62">
              <w:rPr>
                <w:sz w:val="16"/>
                <w:szCs w:val="16"/>
              </w:rPr>
              <w:t>de taux d</w:t>
            </w:r>
            <w:r w:rsidR="00FA22F6" w:rsidRPr="00912C62">
              <w:rPr>
                <w:sz w:val="16"/>
                <w:szCs w:val="16"/>
              </w:rPr>
              <w:t>’</w:t>
            </w:r>
            <w:r w:rsidR="00606DEC" w:rsidRPr="00912C62">
              <w:rPr>
                <w:sz w:val="16"/>
                <w:szCs w:val="16"/>
              </w:rPr>
              <w:t xml:space="preserve">intérêt </w:t>
            </w:r>
            <w:r w:rsidR="00926242" w:rsidRPr="00912C62">
              <w:rPr>
                <w:sz w:val="16"/>
                <w:szCs w:val="16"/>
              </w:rPr>
              <w:t xml:space="preserve">peu favorables </w:t>
            </w:r>
            <w:r w:rsidR="00606DEC" w:rsidRPr="00912C62">
              <w:rPr>
                <w:sz w:val="16"/>
                <w:szCs w:val="16"/>
              </w:rPr>
              <w:t>pour les investissements en francs suisses.</w:t>
            </w:r>
          </w:p>
        </w:tc>
        <w:tc>
          <w:tcPr>
            <w:tcW w:w="467" w:type="pct"/>
            <w:shd w:val="clear" w:color="auto" w:fill="auto"/>
            <w:tcMar>
              <w:top w:w="110" w:type="dxa"/>
              <w:left w:w="58" w:type="dxa"/>
              <w:right w:w="58" w:type="dxa"/>
            </w:tcMar>
          </w:tcPr>
          <w:p w14:paraId="5B249E51" w14:textId="05EC42EF" w:rsidR="00BA5EA9" w:rsidRPr="001E6DFD" w:rsidRDefault="00A43B2F" w:rsidP="004A4D21">
            <w:pPr>
              <w:keepNext/>
              <w:keepLines/>
              <w:jc w:val="center"/>
              <w:rPr>
                <w:sz w:val="16"/>
                <w:szCs w:val="16"/>
              </w:rPr>
            </w:pPr>
            <w:r w:rsidRPr="001E6DFD">
              <w:rPr>
                <w:b/>
                <w:color w:val="00B050"/>
                <w:sz w:val="16"/>
                <w:szCs w:val="16"/>
              </w:rPr>
              <w:t>En bonne voie</w:t>
            </w:r>
          </w:p>
        </w:tc>
      </w:tr>
      <w:tr w:rsidR="00BA5EA9" w:rsidRPr="001E6DFD" w14:paraId="7D1F7ACF" w14:textId="77777777" w:rsidTr="005C716A">
        <w:tc>
          <w:tcPr>
            <w:tcW w:w="905" w:type="pct"/>
            <w:shd w:val="clear" w:color="auto" w:fill="auto"/>
            <w:tcMar>
              <w:left w:w="58" w:type="dxa"/>
              <w:right w:w="58" w:type="dxa"/>
            </w:tcMar>
          </w:tcPr>
          <w:p w14:paraId="248EE8D3" w14:textId="77777777" w:rsidR="00BA5EA9" w:rsidRPr="001E6DFD" w:rsidRDefault="0059133D" w:rsidP="0097226C">
            <w:pPr>
              <w:ind w:left="33"/>
              <w:rPr>
                <w:sz w:val="16"/>
                <w:szCs w:val="16"/>
              </w:rPr>
            </w:pPr>
            <w:r w:rsidRPr="001E6DFD">
              <w:rPr>
                <w:sz w:val="16"/>
                <w:szCs w:val="16"/>
              </w:rPr>
              <w:t>Gestion efficace des dépenses et des réserves</w:t>
            </w:r>
          </w:p>
        </w:tc>
        <w:tc>
          <w:tcPr>
            <w:tcW w:w="1480" w:type="pct"/>
            <w:gridSpan w:val="2"/>
            <w:shd w:val="clear" w:color="auto" w:fill="auto"/>
            <w:tcMar>
              <w:left w:w="58" w:type="dxa"/>
              <w:right w:w="58" w:type="dxa"/>
            </w:tcMar>
          </w:tcPr>
          <w:p w14:paraId="1986A346" w14:textId="7FF3C029" w:rsidR="00BA5EA9" w:rsidRPr="00912C62" w:rsidRDefault="00E64532" w:rsidP="0097226C">
            <w:pPr>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r w:rsidR="00BA5EA9" w:rsidRPr="00912C62">
              <w:rPr>
                <w:i/>
                <w:color w:val="002060"/>
                <w:sz w:val="16"/>
                <w:szCs w:val="16"/>
              </w:rPr>
              <w:t xml:space="preserve"> </w:t>
            </w:r>
          </w:p>
          <w:tbl>
            <w:tblPr>
              <w:tblStyle w:val="TableGrid"/>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tblGrid>
            <w:tr w:rsidR="00BA5EA9" w:rsidRPr="00912C62" w14:paraId="717B6471" w14:textId="77777777" w:rsidTr="005C716A">
              <w:tc>
                <w:tcPr>
                  <w:tcW w:w="2193" w:type="dxa"/>
                  <w:tcMar>
                    <w:left w:w="14" w:type="dxa"/>
                    <w:right w:w="14" w:type="dxa"/>
                  </w:tcMar>
                </w:tcPr>
                <w:p w14:paraId="5D3265E2" w14:textId="77777777" w:rsidR="00BA5EA9" w:rsidRPr="00912C62" w:rsidRDefault="00A866D3" w:rsidP="0097226C">
                  <w:pPr>
                    <w:ind w:right="-14"/>
                    <w:rPr>
                      <w:color w:val="002060"/>
                      <w:sz w:val="16"/>
                      <w:szCs w:val="16"/>
                    </w:rPr>
                  </w:pPr>
                  <w:r w:rsidRPr="00912C62">
                    <w:rPr>
                      <w:color w:val="002060"/>
                      <w:sz w:val="16"/>
                      <w:szCs w:val="16"/>
                    </w:rPr>
                    <w:t>Budget approuvé</w:t>
                  </w:r>
                  <w:r w:rsidR="00BA5EA9" w:rsidRPr="00912C62">
                    <w:rPr>
                      <w:color w:val="002060"/>
                      <w:sz w:val="16"/>
                      <w:szCs w:val="16"/>
                    </w:rPr>
                    <w:t xml:space="preserve"> (millions)</w:t>
                  </w:r>
                </w:p>
              </w:tc>
            </w:tr>
            <w:tr w:rsidR="00BA5EA9" w:rsidRPr="00912C62" w14:paraId="34820DCF" w14:textId="77777777" w:rsidTr="005C716A">
              <w:tc>
                <w:tcPr>
                  <w:tcW w:w="2193" w:type="dxa"/>
                  <w:tcMar>
                    <w:left w:w="14" w:type="dxa"/>
                    <w:right w:w="14" w:type="dxa"/>
                  </w:tcMar>
                </w:tcPr>
                <w:p w14:paraId="25C93EFC" w14:textId="0303E303" w:rsidR="00BA5EA9" w:rsidRPr="00912C62" w:rsidRDefault="0059133D" w:rsidP="0097226C">
                  <w:pPr>
                    <w:ind w:right="-14"/>
                    <w:rPr>
                      <w:color w:val="002060"/>
                      <w:sz w:val="16"/>
                      <w:szCs w:val="16"/>
                    </w:rPr>
                  </w:pPr>
                  <w:r w:rsidRPr="00912C62">
                    <w:rPr>
                      <w:color w:val="002060"/>
                      <w:sz w:val="16"/>
                      <w:szCs w:val="16"/>
                    </w:rPr>
                    <w:t>673</w:t>
                  </w:r>
                  <w:r w:rsidR="004D421A" w:rsidRPr="00912C62">
                    <w:rPr>
                      <w:color w:val="002060"/>
                      <w:sz w:val="16"/>
                      <w:szCs w:val="16"/>
                    </w:rPr>
                    <w:t> </w:t>
                  </w:r>
                  <w:r w:rsidRPr="00912C62">
                    <w:rPr>
                      <w:color w:val="002060"/>
                      <w:sz w:val="16"/>
                      <w:szCs w:val="16"/>
                    </w:rPr>
                    <w:t>99</w:t>
                  </w:r>
                  <w:r w:rsidR="00FA22F6" w:rsidRPr="00912C62">
                    <w:rPr>
                      <w:color w:val="002060"/>
                      <w:sz w:val="16"/>
                      <w:szCs w:val="16"/>
                    </w:rPr>
                    <w:t>3 franc</w:t>
                  </w:r>
                  <w:r w:rsidRPr="00912C62">
                    <w:rPr>
                      <w:color w:val="002060"/>
                      <w:sz w:val="16"/>
                      <w:szCs w:val="16"/>
                    </w:rPr>
                    <w:t>s suisses</w:t>
                  </w:r>
                </w:p>
              </w:tc>
            </w:tr>
            <w:tr w:rsidR="00BA5EA9" w:rsidRPr="00912C62" w14:paraId="6AC84C17" w14:textId="77777777" w:rsidTr="005C716A">
              <w:tc>
                <w:tcPr>
                  <w:tcW w:w="2193" w:type="dxa"/>
                  <w:tcMar>
                    <w:left w:w="14" w:type="dxa"/>
                    <w:right w:w="14" w:type="dxa"/>
                  </w:tcMar>
                </w:tcPr>
                <w:p w14:paraId="7C5883E1" w14:textId="77777777" w:rsidR="00BA5EA9" w:rsidRPr="00912C62" w:rsidRDefault="00BA5EA9" w:rsidP="0097226C">
                  <w:pPr>
                    <w:rPr>
                      <w:color w:val="002060"/>
                      <w:sz w:val="16"/>
                      <w:szCs w:val="16"/>
                    </w:rPr>
                  </w:pPr>
                </w:p>
              </w:tc>
            </w:tr>
            <w:tr w:rsidR="00BA5EA9" w:rsidRPr="00912C62" w14:paraId="4BC09D32" w14:textId="77777777" w:rsidTr="005C716A">
              <w:tc>
                <w:tcPr>
                  <w:tcW w:w="2193" w:type="dxa"/>
                  <w:tcMar>
                    <w:left w:w="14" w:type="dxa"/>
                    <w:right w:w="14" w:type="dxa"/>
                  </w:tcMar>
                </w:tcPr>
                <w:p w14:paraId="211C0A37" w14:textId="39C4A549" w:rsidR="00BA5EA9" w:rsidRPr="00912C62" w:rsidRDefault="001A7A2A" w:rsidP="0097226C">
                  <w:pPr>
                    <w:rPr>
                      <w:color w:val="002060"/>
                      <w:sz w:val="16"/>
                      <w:szCs w:val="16"/>
                    </w:rPr>
                  </w:pPr>
                  <w:r w:rsidRPr="00912C62">
                    <w:rPr>
                      <w:color w:val="002060"/>
                      <w:sz w:val="16"/>
                      <w:szCs w:val="16"/>
                    </w:rPr>
                    <w:t xml:space="preserve">Dépenses réelles </w:t>
                  </w:r>
                  <w:r w:rsidR="00BA5EA9" w:rsidRPr="00912C62">
                    <w:rPr>
                      <w:color w:val="002060"/>
                      <w:sz w:val="16"/>
                      <w:szCs w:val="16"/>
                    </w:rPr>
                    <w:t>(</w:t>
                  </w:r>
                  <w:r w:rsidRPr="00912C62">
                    <w:rPr>
                      <w:color w:val="002060"/>
                      <w:sz w:val="16"/>
                      <w:szCs w:val="16"/>
                    </w:rPr>
                    <w:t xml:space="preserve">en </w:t>
                  </w:r>
                  <w:r w:rsidR="00BA5EA9" w:rsidRPr="00912C62">
                    <w:rPr>
                      <w:color w:val="002060"/>
                      <w:sz w:val="16"/>
                      <w:szCs w:val="16"/>
                    </w:rPr>
                    <w:t>millions)</w:t>
                  </w:r>
                </w:p>
              </w:tc>
            </w:tr>
            <w:tr w:rsidR="00BA5EA9" w:rsidRPr="00912C62" w14:paraId="76533F3E" w14:textId="77777777" w:rsidTr="005C716A">
              <w:tc>
                <w:tcPr>
                  <w:tcW w:w="2193" w:type="dxa"/>
                  <w:tcMar>
                    <w:left w:w="14" w:type="dxa"/>
                    <w:right w:w="14" w:type="dxa"/>
                  </w:tcMar>
                </w:tcPr>
                <w:p w14:paraId="375B705D" w14:textId="4728A9A1" w:rsidR="001F64B1" w:rsidRPr="00912C62" w:rsidRDefault="0059133D" w:rsidP="0097226C">
                  <w:pPr>
                    <w:rPr>
                      <w:color w:val="002060"/>
                      <w:sz w:val="16"/>
                      <w:szCs w:val="16"/>
                    </w:rPr>
                  </w:pPr>
                  <w:r w:rsidRPr="00912C62">
                    <w:rPr>
                      <w:color w:val="002060"/>
                      <w:sz w:val="16"/>
                      <w:szCs w:val="16"/>
                    </w:rPr>
                    <w:t>642</w:t>
                  </w:r>
                  <w:r w:rsidR="004D421A" w:rsidRPr="00912C62">
                    <w:rPr>
                      <w:color w:val="002060"/>
                      <w:sz w:val="16"/>
                      <w:szCs w:val="16"/>
                    </w:rPr>
                    <w:t> </w:t>
                  </w:r>
                  <w:r w:rsidRPr="00912C62">
                    <w:rPr>
                      <w:color w:val="002060"/>
                      <w:sz w:val="16"/>
                      <w:szCs w:val="16"/>
                    </w:rPr>
                    <w:t>59</w:t>
                  </w:r>
                  <w:r w:rsidR="00FA22F6" w:rsidRPr="00912C62">
                    <w:rPr>
                      <w:color w:val="002060"/>
                      <w:sz w:val="16"/>
                      <w:szCs w:val="16"/>
                    </w:rPr>
                    <w:t>7 franc</w:t>
                  </w:r>
                  <w:r w:rsidRPr="00912C62">
                    <w:rPr>
                      <w:color w:val="002060"/>
                      <w:sz w:val="16"/>
                      <w:szCs w:val="16"/>
                    </w:rPr>
                    <w:t>s suisses</w:t>
                  </w:r>
                </w:p>
                <w:p w14:paraId="49F27A86" w14:textId="7E006086" w:rsidR="00BA5EA9" w:rsidRPr="00912C62" w:rsidRDefault="00BA5EA9" w:rsidP="0097226C">
                  <w:pPr>
                    <w:rPr>
                      <w:i/>
                      <w:color w:val="002060"/>
                      <w:sz w:val="16"/>
                      <w:szCs w:val="16"/>
                    </w:rPr>
                  </w:pPr>
                  <w:r w:rsidRPr="00912C62">
                    <w:rPr>
                      <w:i/>
                      <w:color w:val="002060"/>
                      <w:sz w:val="16"/>
                      <w:szCs w:val="16"/>
                    </w:rPr>
                    <w:t>(</w:t>
                  </w:r>
                  <w:r w:rsidR="007878B9" w:rsidRPr="00912C62">
                    <w:rPr>
                      <w:i/>
                      <w:color w:val="002060"/>
                      <w:sz w:val="16"/>
                      <w:szCs w:val="16"/>
                    </w:rPr>
                    <w:t>avant les ajustements relatifs à l</w:t>
                  </w:r>
                  <w:r w:rsidR="00FA22F6" w:rsidRPr="00912C62">
                    <w:rPr>
                      <w:i/>
                      <w:color w:val="002060"/>
                      <w:sz w:val="16"/>
                      <w:szCs w:val="16"/>
                    </w:rPr>
                    <w:t>’</w:t>
                  </w:r>
                  <w:r w:rsidR="007878B9" w:rsidRPr="00912C62">
                    <w:rPr>
                      <w:i/>
                      <w:color w:val="002060"/>
                      <w:sz w:val="16"/>
                      <w:szCs w:val="16"/>
                    </w:rPr>
                    <w:t>application des normes</w:t>
                  </w:r>
                  <w:r w:rsidR="004D421A" w:rsidRPr="00912C62">
                    <w:rPr>
                      <w:i/>
                      <w:color w:val="002060"/>
                      <w:sz w:val="16"/>
                      <w:szCs w:val="16"/>
                    </w:rPr>
                    <w:t> </w:t>
                  </w:r>
                  <w:r w:rsidR="007878B9" w:rsidRPr="00912C62">
                    <w:rPr>
                      <w:i/>
                      <w:color w:val="002060"/>
                      <w:sz w:val="16"/>
                      <w:szCs w:val="16"/>
                    </w:rPr>
                    <w:t>IPSAS</w:t>
                  </w:r>
                  <w:r w:rsidRPr="00912C62">
                    <w:rPr>
                      <w:i/>
                      <w:color w:val="002060"/>
                      <w:sz w:val="16"/>
                      <w:szCs w:val="16"/>
                    </w:rPr>
                    <w:t>)</w:t>
                  </w:r>
                </w:p>
              </w:tc>
            </w:tr>
          </w:tbl>
          <w:p w14:paraId="72AE222F" w14:textId="77777777" w:rsidR="001F64B1" w:rsidRPr="00912C62" w:rsidRDefault="001F64B1" w:rsidP="0097226C">
            <w:pPr>
              <w:rPr>
                <w:i/>
                <w:color w:val="002060"/>
                <w:sz w:val="16"/>
                <w:szCs w:val="16"/>
              </w:rPr>
            </w:pPr>
          </w:p>
          <w:p w14:paraId="09ED4590" w14:textId="143CA462" w:rsidR="00FA22F6" w:rsidRPr="00912C62" w:rsidRDefault="0059133D" w:rsidP="0097226C">
            <w:pPr>
              <w:rPr>
                <w:color w:val="002060"/>
                <w:sz w:val="16"/>
                <w:szCs w:val="16"/>
              </w:rPr>
            </w:pPr>
            <w:r w:rsidRPr="00912C62">
              <w:rPr>
                <w:color w:val="002060"/>
                <w:sz w:val="16"/>
                <w:szCs w:val="16"/>
              </w:rPr>
              <w:t xml:space="preserve">Montant des dépenses </w:t>
            </w:r>
            <w:r w:rsidR="00FA22F6" w:rsidRPr="00912C62">
              <w:rPr>
                <w:color w:val="002060"/>
                <w:sz w:val="16"/>
                <w:szCs w:val="16"/>
              </w:rPr>
              <w:t>en 2014</w:t>
            </w:r>
            <w:r w:rsidR="006A41CF" w:rsidRPr="00912C62">
              <w:rPr>
                <w:color w:val="002060"/>
                <w:sz w:val="16"/>
                <w:szCs w:val="16"/>
              </w:rPr>
              <w:noBreakHyphen/>
            </w:r>
            <w:r w:rsidRPr="00912C62">
              <w:rPr>
                <w:color w:val="002060"/>
                <w:sz w:val="16"/>
                <w:szCs w:val="16"/>
              </w:rPr>
              <w:t>2015</w:t>
            </w:r>
            <w:r w:rsidR="00FA22F6" w:rsidRPr="00912C62">
              <w:rPr>
                <w:color w:val="002060"/>
                <w:sz w:val="16"/>
                <w:szCs w:val="16"/>
              </w:rPr>
              <w:t> :</w:t>
            </w:r>
          </w:p>
          <w:p w14:paraId="61C5F2B2" w14:textId="6F84001E" w:rsidR="001F64B1" w:rsidRPr="00912C62" w:rsidRDefault="0059133D" w:rsidP="0097226C">
            <w:pPr>
              <w:rPr>
                <w:color w:val="002060"/>
                <w:sz w:val="16"/>
                <w:szCs w:val="16"/>
              </w:rPr>
            </w:pPr>
            <w:r w:rsidRPr="00912C62">
              <w:rPr>
                <w:color w:val="002060"/>
                <w:sz w:val="16"/>
                <w:szCs w:val="16"/>
              </w:rPr>
              <w:t>642</w:t>
            </w:r>
            <w:r w:rsidR="004D421A" w:rsidRPr="00912C62">
              <w:rPr>
                <w:color w:val="002060"/>
                <w:sz w:val="16"/>
                <w:szCs w:val="16"/>
              </w:rPr>
              <w:t> </w:t>
            </w:r>
            <w:r w:rsidRPr="00912C62">
              <w:rPr>
                <w:color w:val="002060"/>
                <w:sz w:val="16"/>
                <w:szCs w:val="16"/>
              </w:rPr>
              <w:t>59</w:t>
            </w:r>
            <w:r w:rsidR="00FA22F6" w:rsidRPr="00912C62">
              <w:rPr>
                <w:color w:val="002060"/>
                <w:sz w:val="16"/>
                <w:szCs w:val="16"/>
              </w:rPr>
              <w:t>7 franc</w:t>
            </w:r>
            <w:r w:rsidRPr="00912C62">
              <w:rPr>
                <w:color w:val="002060"/>
                <w:sz w:val="16"/>
                <w:szCs w:val="16"/>
              </w:rPr>
              <w:t>s suisses</w:t>
            </w:r>
          </w:p>
          <w:p w14:paraId="22D4A695" w14:textId="36058073" w:rsidR="00FA22F6" w:rsidRPr="00912C62" w:rsidRDefault="00BA5EA9" w:rsidP="0097226C">
            <w:pPr>
              <w:rPr>
                <w:color w:val="002060"/>
                <w:sz w:val="16"/>
                <w:szCs w:val="16"/>
              </w:rPr>
            </w:pPr>
            <w:r w:rsidRPr="00912C62">
              <w:rPr>
                <w:color w:val="002060"/>
                <w:sz w:val="16"/>
                <w:szCs w:val="16"/>
              </w:rPr>
              <w:t>(</w:t>
            </w:r>
            <w:r w:rsidR="0046687E" w:rsidRPr="00912C62">
              <w:rPr>
                <w:i/>
                <w:color w:val="002060"/>
                <w:sz w:val="16"/>
                <w:szCs w:val="16"/>
              </w:rPr>
              <w:t>avant les ajustements relatifs à l</w:t>
            </w:r>
            <w:r w:rsidR="00FA22F6" w:rsidRPr="00912C62">
              <w:rPr>
                <w:i/>
                <w:color w:val="002060"/>
                <w:sz w:val="16"/>
                <w:szCs w:val="16"/>
              </w:rPr>
              <w:t>’</w:t>
            </w:r>
            <w:r w:rsidR="0046687E" w:rsidRPr="00912C62">
              <w:rPr>
                <w:i/>
                <w:color w:val="002060"/>
                <w:sz w:val="16"/>
                <w:szCs w:val="16"/>
              </w:rPr>
              <w:t>application des normes</w:t>
            </w:r>
            <w:r w:rsidR="004D421A" w:rsidRPr="00912C62">
              <w:rPr>
                <w:i/>
                <w:color w:val="002060"/>
                <w:sz w:val="16"/>
                <w:szCs w:val="16"/>
              </w:rPr>
              <w:t> </w:t>
            </w:r>
            <w:r w:rsidR="0046687E" w:rsidRPr="00912C62">
              <w:rPr>
                <w:i/>
                <w:color w:val="002060"/>
                <w:sz w:val="16"/>
                <w:szCs w:val="16"/>
              </w:rPr>
              <w:t>IPSAS</w:t>
            </w:r>
            <w:r w:rsidRPr="00912C62">
              <w:rPr>
                <w:color w:val="002060"/>
                <w:sz w:val="16"/>
                <w:szCs w:val="16"/>
              </w:rPr>
              <w:t>)</w:t>
            </w:r>
          </w:p>
          <w:p w14:paraId="603FF55E" w14:textId="72E44158" w:rsidR="00FA22F6" w:rsidRPr="00912C62" w:rsidRDefault="006A6147" w:rsidP="0097226C">
            <w:pPr>
              <w:rPr>
                <w:color w:val="002060"/>
                <w:sz w:val="16"/>
                <w:szCs w:val="16"/>
              </w:rPr>
            </w:pPr>
            <w:r w:rsidRPr="00912C62">
              <w:rPr>
                <w:color w:val="002060"/>
                <w:sz w:val="16"/>
                <w:szCs w:val="16"/>
              </w:rPr>
              <w:t>par rapport au budget</w:t>
            </w:r>
            <w:r w:rsidR="00B4191E" w:rsidRPr="00912C62">
              <w:rPr>
                <w:color w:val="002060"/>
                <w:sz w:val="16"/>
                <w:szCs w:val="16"/>
              </w:rPr>
              <w:t> </w:t>
            </w:r>
            <w:r w:rsidRPr="00912C62">
              <w:rPr>
                <w:color w:val="002060"/>
                <w:sz w:val="16"/>
                <w:szCs w:val="16"/>
              </w:rPr>
              <w:t>2014</w:t>
            </w:r>
            <w:r w:rsidR="006A41CF" w:rsidRPr="00912C62">
              <w:rPr>
                <w:color w:val="002060"/>
                <w:sz w:val="16"/>
                <w:szCs w:val="16"/>
              </w:rPr>
              <w:noBreakHyphen/>
            </w:r>
            <w:r w:rsidRPr="00912C62">
              <w:rPr>
                <w:color w:val="002060"/>
                <w:sz w:val="16"/>
                <w:szCs w:val="16"/>
              </w:rPr>
              <w:t>2015 approuvé</w:t>
            </w:r>
            <w:r w:rsidR="00FA22F6" w:rsidRPr="00912C62">
              <w:rPr>
                <w:color w:val="002060"/>
                <w:sz w:val="16"/>
                <w:szCs w:val="16"/>
              </w:rPr>
              <w:t> :</w:t>
            </w:r>
          </w:p>
          <w:p w14:paraId="222A38E7" w14:textId="0C1D97DE" w:rsidR="001F64B1" w:rsidRPr="00912C62" w:rsidRDefault="0059133D" w:rsidP="0097226C">
            <w:pPr>
              <w:rPr>
                <w:color w:val="002060"/>
                <w:sz w:val="16"/>
                <w:szCs w:val="16"/>
              </w:rPr>
            </w:pPr>
            <w:r w:rsidRPr="00912C62">
              <w:rPr>
                <w:color w:val="002060"/>
                <w:sz w:val="16"/>
                <w:szCs w:val="16"/>
              </w:rPr>
              <w:t>673</w:t>
            </w:r>
            <w:r w:rsidR="004D421A" w:rsidRPr="00912C62">
              <w:rPr>
                <w:color w:val="002060"/>
                <w:sz w:val="16"/>
                <w:szCs w:val="16"/>
              </w:rPr>
              <w:t> </w:t>
            </w:r>
            <w:r w:rsidRPr="00912C62">
              <w:rPr>
                <w:color w:val="002060"/>
                <w:sz w:val="16"/>
                <w:szCs w:val="16"/>
              </w:rPr>
              <w:t>99</w:t>
            </w:r>
            <w:r w:rsidR="00FA22F6" w:rsidRPr="00912C62">
              <w:rPr>
                <w:color w:val="002060"/>
                <w:sz w:val="16"/>
                <w:szCs w:val="16"/>
              </w:rPr>
              <w:t>3 franc</w:t>
            </w:r>
            <w:r w:rsidRPr="00912C62">
              <w:rPr>
                <w:color w:val="002060"/>
                <w:sz w:val="16"/>
                <w:szCs w:val="16"/>
              </w:rPr>
              <w:t>s suisses</w:t>
            </w:r>
          </w:p>
          <w:p w14:paraId="48D5C8DD" w14:textId="77777777" w:rsidR="001F64B1" w:rsidRPr="001E6DFD" w:rsidRDefault="001F64B1" w:rsidP="0097226C">
            <w:pPr>
              <w:rPr>
                <w:sz w:val="16"/>
                <w:szCs w:val="16"/>
              </w:rPr>
            </w:pPr>
          </w:p>
          <w:p w14:paraId="7EAD1754" w14:textId="684A4051" w:rsidR="00FA22F6" w:rsidRPr="001E6DFD" w:rsidRDefault="00E64532" w:rsidP="0097226C">
            <w:pPr>
              <w:ind w:left="33"/>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0A86D842" w14:textId="1E72D24A" w:rsidR="00BA5EA9" w:rsidRPr="001E6DFD" w:rsidRDefault="0059133D" w:rsidP="0097226C">
            <w:pPr>
              <w:ind w:left="34"/>
              <w:rPr>
                <w:sz w:val="16"/>
                <w:szCs w:val="16"/>
              </w:rPr>
            </w:pPr>
            <w:r w:rsidRPr="001E6DFD">
              <w:rPr>
                <w:sz w:val="16"/>
                <w:szCs w:val="16"/>
              </w:rPr>
              <w:t xml:space="preserve">Aperçu des dépenses </w:t>
            </w:r>
            <w:r w:rsidR="00FA22F6" w:rsidRPr="001E6DFD">
              <w:rPr>
                <w:sz w:val="16"/>
                <w:szCs w:val="16"/>
              </w:rPr>
              <w:t>pour 2014</w:t>
            </w:r>
            <w:r w:rsidR="006A41CF" w:rsidRPr="001E6DFD">
              <w:rPr>
                <w:sz w:val="16"/>
                <w:szCs w:val="16"/>
              </w:rPr>
              <w:noBreakHyphen/>
            </w:r>
            <w:r w:rsidRPr="001E6DFD">
              <w:rPr>
                <w:sz w:val="16"/>
                <w:szCs w:val="16"/>
              </w:rPr>
              <w:t>2015 (dépenses budgétaires avant les ajustements relatifs à l</w:t>
            </w:r>
            <w:r w:rsidR="00FA22F6" w:rsidRPr="001E6DFD">
              <w:rPr>
                <w:sz w:val="16"/>
                <w:szCs w:val="16"/>
              </w:rPr>
              <w:t>’</w:t>
            </w:r>
            <w:r w:rsidRPr="001E6DFD">
              <w:rPr>
                <w:sz w:val="16"/>
                <w:szCs w:val="16"/>
              </w:rPr>
              <w:t>application des normes</w:t>
            </w:r>
            <w:r w:rsidR="004D421A" w:rsidRPr="001E6DFD">
              <w:rPr>
                <w:sz w:val="16"/>
                <w:szCs w:val="16"/>
              </w:rPr>
              <w:t> </w:t>
            </w:r>
            <w:r w:rsidRPr="001E6DFD">
              <w:rPr>
                <w:sz w:val="16"/>
                <w:szCs w:val="16"/>
              </w:rPr>
              <w:t>IPSAS)</w:t>
            </w:r>
            <w:r w:rsidR="00FA22F6" w:rsidRPr="001E6DFD">
              <w:rPr>
                <w:sz w:val="16"/>
                <w:szCs w:val="16"/>
              </w:rPr>
              <w:t> :</w:t>
            </w:r>
            <w:r w:rsidRPr="001E6DFD">
              <w:rPr>
                <w:sz w:val="16"/>
                <w:szCs w:val="16"/>
              </w:rPr>
              <w:t xml:space="preserve"> 659,</w:t>
            </w:r>
            <w:r w:rsidR="00FA22F6" w:rsidRPr="001E6DFD">
              <w:rPr>
                <w:sz w:val="16"/>
                <w:szCs w:val="16"/>
              </w:rPr>
              <w:t>9 million</w:t>
            </w:r>
            <w:r w:rsidRPr="001E6DFD">
              <w:rPr>
                <w:sz w:val="16"/>
                <w:szCs w:val="16"/>
              </w:rPr>
              <w:t xml:space="preserve">s de francs suisses (en </w:t>
            </w:r>
            <w:r w:rsidR="00FA22F6" w:rsidRPr="001E6DFD">
              <w:rPr>
                <w:sz w:val="16"/>
                <w:szCs w:val="16"/>
              </w:rPr>
              <w:t>avril 20</w:t>
            </w:r>
            <w:r w:rsidRPr="001E6DFD">
              <w:rPr>
                <w:sz w:val="16"/>
                <w:szCs w:val="16"/>
              </w:rPr>
              <w:t>15)</w:t>
            </w:r>
          </w:p>
        </w:tc>
        <w:tc>
          <w:tcPr>
            <w:tcW w:w="662" w:type="pct"/>
            <w:shd w:val="clear" w:color="auto" w:fill="auto"/>
            <w:tcMar>
              <w:top w:w="110" w:type="dxa"/>
              <w:left w:w="58" w:type="dxa"/>
              <w:right w:w="58" w:type="dxa"/>
            </w:tcMar>
          </w:tcPr>
          <w:p w14:paraId="722307BB" w14:textId="7FE0EDF9" w:rsidR="00BA5EA9" w:rsidRPr="001E6DFD" w:rsidRDefault="0059133D" w:rsidP="0097226C">
            <w:pPr>
              <w:ind w:left="33"/>
              <w:rPr>
                <w:sz w:val="16"/>
                <w:szCs w:val="16"/>
              </w:rPr>
            </w:pPr>
            <w:r w:rsidRPr="001E6DFD">
              <w:rPr>
                <w:sz w:val="16"/>
                <w:szCs w:val="16"/>
              </w:rPr>
              <w:t>Dépenses gérées dans le cadre de l</w:t>
            </w:r>
            <w:r w:rsidR="00FA22F6" w:rsidRPr="001E6DFD">
              <w:rPr>
                <w:sz w:val="16"/>
                <w:szCs w:val="16"/>
              </w:rPr>
              <w:t>’</w:t>
            </w:r>
            <w:r w:rsidRPr="001E6DFD">
              <w:rPr>
                <w:sz w:val="16"/>
                <w:szCs w:val="16"/>
              </w:rPr>
              <w:t>enveloppe budgétaire globale mais ne devant pas excéder le montant des recettes (dans le cas où les prévisions indiqueraient exceptionnellement une chute des recettes en dessous des niveaux de dépenses prévus)</w:t>
            </w:r>
          </w:p>
        </w:tc>
        <w:tc>
          <w:tcPr>
            <w:tcW w:w="1486" w:type="pct"/>
            <w:gridSpan w:val="3"/>
            <w:shd w:val="clear" w:color="auto" w:fill="FFFFFF"/>
            <w:tcMar>
              <w:top w:w="110" w:type="dxa"/>
              <w:left w:w="58" w:type="dxa"/>
              <w:right w:w="58" w:type="dxa"/>
            </w:tcMar>
          </w:tcPr>
          <w:tbl>
            <w:tblPr>
              <w:tblStyle w:val="TableGrid"/>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tblGrid>
            <w:tr w:rsidR="00BA5EA9" w:rsidRPr="00912C62" w14:paraId="42FBB84A" w14:textId="77777777" w:rsidTr="005C716A">
              <w:tc>
                <w:tcPr>
                  <w:tcW w:w="2193" w:type="dxa"/>
                  <w:tcMar>
                    <w:left w:w="14" w:type="dxa"/>
                    <w:right w:w="14" w:type="dxa"/>
                  </w:tcMar>
                </w:tcPr>
                <w:p w14:paraId="44EC9422" w14:textId="0D94D20D" w:rsidR="00BA5EA9" w:rsidRPr="00912C62" w:rsidRDefault="00A866D3" w:rsidP="0097226C">
                  <w:pPr>
                    <w:ind w:right="-14"/>
                    <w:rPr>
                      <w:sz w:val="16"/>
                      <w:szCs w:val="16"/>
                    </w:rPr>
                  </w:pPr>
                  <w:r w:rsidRPr="00912C62">
                    <w:rPr>
                      <w:sz w:val="16"/>
                      <w:szCs w:val="16"/>
                    </w:rPr>
                    <w:t>Budget</w:t>
                  </w:r>
                  <w:r w:rsidR="00B4191E" w:rsidRPr="00912C62">
                    <w:rPr>
                      <w:sz w:val="16"/>
                      <w:szCs w:val="16"/>
                    </w:rPr>
                    <w:t> </w:t>
                  </w:r>
                  <w:r w:rsidR="00BA5EA9" w:rsidRPr="00912C62">
                    <w:rPr>
                      <w:sz w:val="16"/>
                      <w:szCs w:val="16"/>
                    </w:rPr>
                    <w:t>2016</w:t>
                  </w:r>
                  <w:r w:rsidR="006A41CF" w:rsidRPr="00912C62">
                    <w:rPr>
                      <w:sz w:val="16"/>
                      <w:szCs w:val="16"/>
                    </w:rPr>
                    <w:noBreakHyphen/>
                  </w:r>
                  <w:r w:rsidRPr="00912C62">
                    <w:rPr>
                      <w:sz w:val="16"/>
                      <w:szCs w:val="16"/>
                    </w:rPr>
                    <w:t>20</w:t>
                  </w:r>
                  <w:r w:rsidR="00BA5EA9" w:rsidRPr="00912C62">
                    <w:rPr>
                      <w:sz w:val="16"/>
                      <w:szCs w:val="16"/>
                    </w:rPr>
                    <w:t>17</w:t>
                  </w:r>
                  <w:r w:rsidRPr="00912C62">
                    <w:rPr>
                      <w:sz w:val="16"/>
                      <w:szCs w:val="16"/>
                    </w:rPr>
                    <w:t xml:space="preserve"> approuvé</w:t>
                  </w:r>
                  <w:r w:rsidR="00BA5EA9" w:rsidRPr="00912C62">
                    <w:rPr>
                      <w:sz w:val="16"/>
                      <w:szCs w:val="16"/>
                    </w:rPr>
                    <w:t xml:space="preserve"> (millions)</w:t>
                  </w:r>
                </w:p>
              </w:tc>
            </w:tr>
            <w:tr w:rsidR="00BA5EA9" w:rsidRPr="00912C62" w14:paraId="363B5B49" w14:textId="77777777" w:rsidTr="005C716A">
              <w:tc>
                <w:tcPr>
                  <w:tcW w:w="2193" w:type="dxa"/>
                  <w:tcMar>
                    <w:left w:w="14" w:type="dxa"/>
                    <w:right w:w="14" w:type="dxa"/>
                  </w:tcMar>
                </w:tcPr>
                <w:p w14:paraId="4DD9C3DA" w14:textId="53A714A6" w:rsidR="00BA5EA9" w:rsidRPr="00912C62" w:rsidRDefault="0059133D" w:rsidP="0097226C">
                  <w:pPr>
                    <w:ind w:right="-14"/>
                    <w:rPr>
                      <w:sz w:val="16"/>
                      <w:szCs w:val="16"/>
                    </w:rPr>
                  </w:pPr>
                  <w:r w:rsidRPr="00912C62">
                    <w:rPr>
                      <w:sz w:val="16"/>
                      <w:szCs w:val="16"/>
                    </w:rPr>
                    <w:t>707</w:t>
                  </w:r>
                  <w:r w:rsidR="004D421A" w:rsidRPr="00912C62">
                    <w:rPr>
                      <w:sz w:val="16"/>
                      <w:szCs w:val="16"/>
                    </w:rPr>
                    <w:t> </w:t>
                  </w:r>
                  <w:r w:rsidRPr="00912C62">
                    <w:rPr>
                      <w:sz w:val="16"/>
                      <w:szCs w:val="16"/>
                    </w:rPr>
                    <w:t>03</w:t>
                  </w:r>
                  <w:r w:rsidR="00FA22F6" w:rsidRPr="00912C62">
                    <w:rPr>
                      <w:sz w:val="16"/>
                      <w:szCs w:val="16"/>
                    </w:rPr>
                    <w:t>6 franc</w:t>
                  </w:r>
                  <w:r w:rsidRPr="00912C62">
                    <w:rPr>
                      <w:sz w:val="16"/>
                      <w:szCs w:val="16"/>
                    </w:rPr>
                    <w:t>s suisses</w:t>
                  </w:r>
                </w:p>
              </w:tc>
            </w:tr>
            <w:tr w:rsidR="00BA5EA9" w:rsidRPr="00912C62" w14:paraId="46595209" w14:textId="77777777" w:rsidTr="005C716A">
              <w:tc>
                <w:tcPr>
                  <w:tcW w:w="2193" w:type="dxa"/>
                  <w:tcMar>
                    <w:left w:w="14" w:type="dxa"/>
                    <w:right w:w="14" w:type="dxa"/>
                  </w:tcMar>
                </w:tcPr>
                <w:p w14:paraId="1E29D83D" w14:textId="77777777" w:rsidR="00BA5EA9" w:rsidRPr="00912C62" w:rsidRDefault="00BA5EA9" w:rsidP="0097226C">
                  <w:pPr>
                    <w:rPr>
                      <w:sz w:val="16"/>
                      <w:szCs w:val="16"/>
                    </w:rPr>
                  </w:pPr>
                </w:p>
              </w:tc>
            </w:tr>
            <w:tr w:rsidR="00BA5EA9" w:rsidRPr="00912C62" w14:paraId="6429A75B" w14:textId="77777777" w:rsidTr="005C716A">
              <w:tc>
                <w:tcPr>
                  <w:tcW w:w="2193" w:type="dxa"/>
                  <w:tcMar>
                    <w:left w:w="14" w:type="dxa"/>
                    <w:right w:w="14" w:type="dxa"/>
                  </w:tcMar>
                </w:tcPr>
                <w:p w14:paraId="6BACEDBF" w14:textId="008C7B33" w:rsidR="00BA5EA9" w:rsidRPr="00912C62" w:rsidRDefault="00B72BB9" w:rsidP="0097226C">
                  <w:pPr>
                    <w:rPr>
                      <w:sz w:val="16"/>
                      <w:szCs w:val="16"/>
                    </w:rPr>
                  </w:pPr>
                  <w:r w:rsidRPr="00912C62">
                    <w:rPr>
                      <w:sz w:val="16"/>
                      <w:szCs w:val="16"/>
                    </w:rPr>
                    <w:t xml:space="preserve">Dépenses réelles à la fin </w:t>
                  </w:r>
                  <w:r w:rsidR="00FA22F6" w:rsidRPr="00912C62">
                    <w:rPr>
                      <w:sz w:val="16"/>
                      <w:szCs w:val="16"/>
                    </w:rPr>
                    <w:t>de 2016</w:t>
                  </w:r>
                  <w:r w:rsidRPr="00912C62">
                    <w:rPr>
                      <w:sz w:val="16"/>
                      <w:szCs w:val="16"/>
                    </w:rPr>
                    <w:t xml:space="preserve"> </w:t>
                  </w:r>
                  <w:r w:rsidR="00BA5EA9" w:rsidRPr="00912C62">
                    <w:rPr>
                      <w:sz w:val="16"/>
                      <w:szCs w:val="16"/>
                    </w:rPr>
                    <w:t>(</w:t>
                  </w:r>
                  <w:r w:rsidRPr="00912C62">
                    <w:rPr>
                      <w:sz w:val="16"/>
                      <w:szCs w:val="16"/>
                    </w:rPr>
                    <w:t xml:space="preserve">en </w:t>
                  </w:r>
                  <w:r w:rsidR="00BA5EA9" w:rsidRPr="00912C62">
                    <w:rPr>
                      <w:sz w:val="16"/>
                      <w:szCs w:val="16"/>
                    </w:rPr>
                    <w:t>millions)</w:t>
                  </w:r>
                </w:p>
              </w:tc>
            </w:tr>
            <w:tr w:rsidR="00BA5EA9" w:rsidRPr="00912C62" w14:paraId="135F29CF" w14:textId="77777777" w:rsidTr="005C716A">
              <w:tc>
                <w:tcPr>
                  <w:tcW w:w="2193" w:type="dxa"/>
                  <w:tcMar>
                    <w:left w:w="14" w:type="dxa"/>
                    <w:right w:w="14" w:type="dxa"/>
                  </w:tcMar>
                </w:tcPr>
                <w:p w14:paraId="2D062859" w14:textId="4BCFFDC5" w:rsidR="001F64B1" w:rsidRPr="00912C62" w:rsidRDefault="0059133D" w:rsidP="0097226C">
                  <w:pPr>
                    <w:rPr>
                      <w:sz w:val="16"/>
                      <w:szCs w:val="16"/>
                    </w:rPr>
                  </w:pPr>
                  <w:r w:rsidRPr="00912C62">
                    <w:rPr>
                      <w:sz w:val="16"/>
                      <w:szCs w:val="16"/>
                    </w:rPr>
                    <w:t>322</w:t>
                  </w:r>
                  <w:r w:rsidR="004D421A" w:rsidRPr="00912C62">
                    <w:rPr>
                      <w:sz w:val="16"/>
                      <w:szCs w:val="16"/>
                    </w:rPr>
                    <w:t> </w:t>
                  </w:r>
                  <w:r w:rsidRPr="00912C62">
                    <w:rPr>
                      <w:sz w:val="16"/>
                      <w:szCs w:val="16"/>
                    </w:rPr>
                    <w:t>17</w:t>
                  </w:r>
                  <w:r w:rsidR="00FA22F6" w:rsidRPr="00912C62">
                    <w:rPr>
                      <w:sz w:val="16"/>
                      <w:szCs w:val="16"/>
                    </w:rPr>
                    <w:t>8 franc</w:t>
                  </w:r>
                  <w:r w:rsidRPr="00912C62">
                    <w:rPr>
                      <w:sz w:val="16"/>
                      <w:szCs w:val="16"/>
                    </w:rPr>
                    <w:t>s suisses</w:t>
                  </w:r>
                </w:p>
                <w:p w14:paraId="6046B373" w14:textId="054743C4" w:rsidR="00BA5EA9" w:rsidRPr="00912C62" w:rsidRDefault="00BA5EA9" w:rsidP="0097226C">
                  <w:pPr>
                    <w:rPr>
                      <w:i/>
                      <w:sz w:val="16"/>
                      <w:szCs w:val="16"/>
                    </w:rPr>
                  </w:pPr>
                  <w:r w:rsidRPr="00912C62">
                    <w:rPr>
                      <w:i/>
                      <w:sz w:val="16"/>
                      <w:szCs w:val="16"/>
                    </w:rPr>
                    <w:t>(</w:t>
                  </w:r>
                  <w:r w:rsidR="00B72BB9" w:rsidRPr="00912C62">
                    <w:rPr>
                      <w:i/>
                      <w:sz w:val="16"/>
                      <w:szCs w:val="16"/>
                    </w:rPr>
                    <w:t>avant les ajustements relatifs à l</w:t>
                  </w:r>
                  <w:r w:rsidR="00FA22F6" w:rsidRPr="00912C62">
                    <w:rPr>
                      <w:i/>
                      <w:sz w:val="16"/>
                      <w:szCs w:val="16"/>
                    </w:rPr>
                    <w:t>’</w:t>
                  </w:r>
                  <w:r w:rsidR="00B72BB9" w:rsidRPr="00912C62">
                    <w:rPr>
                      <w:i/>
                      <w:sz w:val="16"/>
                      <w:szCs w:val="16"/>
                    </w:rPr>
                    <w:t>application des normes</w:t>
                  </w:r>
                  <w:r w:rsidR="004D421A" w:rsidRPr="00912C62">
                    <w:rPr>
                      <w:i/>
                      <w:sz w:val="16"/>
                      <w:szCs w:val="16"/>
                    </w:rPr>
                    <w:t> </w:t>
                  </w:r>
                  <w:r w:rsidR="00B72BB9" w:rsidRPr="00912C62">
                    <w:rPr>
                      <w:i/>
                      <w:sz w:val="16"/>
                      <w:szCs w:val="16"/>
                    </w:rPr>
                    <w:t>IPSAS</w:t>
                  </w:r>
                  <w:r w:rsidRPr="00912C62">
                    <w:rPr>
                      <w:i/>
                      <w:sz w:val="16"/>
                      <w:szCs w:val="16"/>
                    </w:rPr>
                    <w:t>)</w:t>
                  </w:r>
                </w:p>
              </w:tc>
            </w:tr>
          </w:tbl>
          <w:p w14:paraId="03ED77B0" w14:textId="77777777" w:rsidR="00BA5EA9" w:rsidRPr="001E6DFD" w:rsidRDefault="00BA5EA9" w:rsidP="0097226C">
            <w:pPr>
              <w:rPr>
                <w:sz w:val="16"/>
                <w:szCs w:val="16"/>
              </w:rPr>
            </w:pPr>
          </w:p>
        </w:tc>
        <w:tc>
          <w:tcPr>
            <w:tcW w:w="467" w:type="pct"/>
            <w:shd w:val="clear" w:color="auto" w:fill="auto"/>
            <w:tcMar>
              <w:top w:w="110" w:type="dxa"/>
              <w:left w:w="58" w:type="dxa"/>
              <w:right w:w="58" w:type="dxa"/>
            </w:tcMar>
          </w:tcPr>
          <w:p w14:paraId="76D24EA1" w14:textId="53D085A4" w:rsidR="00BA5EA9" w:rsidRPr="001E6DFD" w:rsidRDefault="00A43B2F" w:rsidP="004A4D21">
            <w:pPr>
              <w:keepNext/>
              <w:keepLines/>
              <w:jc w:val="center"/>
              <w:rPr>
                <w:sz w:val="16"/>
                <w:szCs w:val="16"/>
              </w:rPr>
            </w:pPr>
            <w:r w:rsidRPr="001E6DFD">
              <w:rPr>
                <w:b/>
                <w:color w:val="00B050"/>
                <w:sz w:val="16"/>
                <w:szCs w:val="16"/>
              </w:rPr>
              <w:t>En bonne voie</w:t>
            </w:r>
          </w:p>
        </w:tc>
      </w:tr>
      <w:tr w:rsidR="00BA5EA9" w:rsidRPr="001E6DFD" w14:paraId="457BB469" w14:textId="77777777" w:rsidTr="005C716A">
        <w:tc>
          <w:tcPr>
            <w:tcW w:w="905" w:type="pct"/>
            <w:shd w:val="clear" w:color="auto" w:fill="auto"/>
            <w:tcMar>
              <w:left w:w="58" w:type="dxa"/>
              <w:right w:w="58" w:type="dxa"/>
            </w:tcMar>
          </w:tcPr>
          <w:p w14:paraId="3BB74F03" w14:textId="72EFE471" w:rsidR="00BA5EA9" w:rsidRPr="001E6DFD" w:rsidRDefault="0059133D" w:rsidP="00912C62">
            <w:pPr>
              <w:keepNext/>
              <w:keepLines/>
              <w:ind w:left="33"/>
              <w:rPr>
                <w:sz w:val="16"/>
                <w:szCs w:val="16"/>
              </w:rPr>
            </w:pPr>
            <w:r w:rsidRPr="001E6DFD">
              <w:rPr>
                <w:sz w:val="16"/>
                <w:szCs w:val="16"/>
              </w:rPr>
              <w:t>Paiements (</w:t>
            </w:r>
            <w:r w:rsidR="00FA22F6" w:rsidRPr="001E6DFD">
              <w:rPr>
                <w:sz w:val="16"/>
                <w:szCs w:val="16"/>
              </w:rPr>
              <w:t>y compris</w:t>
            </w:r>
            <w:r w:rsidRPr="001E6DFD">
              <w:rPr>
                <w:sz w:val="16"/>
                <w:szCs w:val="16"/>
              </w:rPr>
              <w:t xml:space="preserve"> taxes perçues au titre des services fournis dans le cadre des systèmes de Madrid et de </w:t>
            </w:r>
            <w:r w:rsidR="00FA22F6" w:rsidRPr="001E6DFD">
              <w:rPr>
                <w:sz w:val="16"/>
                <w:szCs w:val="16"/>
              </w:rPr>
              <w:t>La Haye</w:t>
            </w:r>
            <w:r w:rsidRPr="001E6DFD">
              <w:rPr>
                <w:sz w:val="16"/>
                <w:szCs w:val="16"/>
              </w:rPr>
              <w:t>) effectués à temps</w:t>
            </w:r>
          </w:p>
        </w:tc>
        <w:tc>
          <w:tcPr>
            <w:tcW w:w="1480" w:type="pct"/>
            <w:gridSpan w:val="2"/>
            <w:shd w:val="clear" w:color="auto" w:fill="auto"/>
            <w:tcMar>
              <w:left w:w="58" w:type="dxa"/>
              <w:right w:w="58" w:type="dxa"/>
            </w:tcMar>
          </w:tcPr>
          <w:p w14:paraId="27D0BAA5" w14:textId="519D5554" w:rsidR="00FA22F6" w:rsidRPr="00912C62" w:rsidRDefault="00E64532" w:rsidP="00912C62">
            <w:pPr>
              <w:keepNext/>
              <w:keepLines/>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0E5CC3DD" w14:textId="5164EC79" w:rsidR="00D6416B" w:rsidRPr="00912C62" w:rsidRDefault="00D6416B" w:rsidP="00912C62">
            <w:pPr>
              <w:keepNext/>
              <w:keepLines/>
              <w:rPr>
                <w:color w:val="002060"/>
                <w:sz w:val="16"/>
                <w:szCs w:val="16"/>
              </w:rPr>
            </w:pPr>
            <w:r w:rsidRPr="00912C62">
              <w:rPr>
                <w:color w:val="002060"/>
                <w:sz w:val="16"/>
                <w:szCs w:val="16"/>
              </w:rPr>
              <w:t>Toutes les factures ont été réglées conformément aux critères établis, sauf facture tardive ou absence de demande dans le système.</w:t>
            </w:r>
          </w:p>
          <w:p w14:paraId="17D2BBCC" w14:textId="77777777" w:rsidR="00D6416B" w:rsidRPr="00912C62" w:rsidRDefault="00D6416B" w:rsidP="00912C62">
            <w:pPr>
              <w:keepNext/>
              <w:keepLines/>
              <w:rPr>
                <w:color w:val="002060"/>
                <w:sz w:val="16"/>
                <w:szCs w:val="16"/>
              </w:rPr>
            </w:pPr>
          </w:p>
          <w:p w14:paraId="0A7B48AB" w14:textId="4EA069D4" w:rsidR="001F64B1" w:rsidRPr="00912C62" w:rsidRDefault="00D6416B" w:rsidP="00912C62">
            <w:pPr>
              <w:keepNext/>
              <w:keepLines/>
              <w:rPr>
                <w:color w:val="002060"/>
                <w:sz w:val="16"/>
                <w:szCs w:val="16"/>
              </w:rPr>
            </w:pPr>
            <w:r w:rsidRPr="00912C62">
              <w:rPr>
                <w:color w:val="002060"/>
                <w:sz w:val="16"/>
                <w:szCs w:val="16"/>
              </w:rPr>
              <w:t>Répartitions mensuelles versées/créditées sur un compte courant/déduites des contributions le mois suivant, conformément au règlement d</w:t>
            </w:r>
            <w:r w:rsidR="00FA22F6" w:rsidRPr="00912C62">
              <w:rPr>
                <w:color w:val="002060"/>
                <w:sz w:val="16"/>
                <w:szCs w:val="16"/>
              </w:rPr>
              <w:t>’</w:t>
            </w:r>
            <w:r w:rsidRPr="00912C62">
              <w:rPr>
                <w:color w:val="002060"/>
                <w:sz w:val="16"/>
                <w:szCs w:val="16"/>
              </w:rPr>
              <w:t>exécution.</w:t>
            </w:r>
          </w:p>
          <w:p w14:paraId="369F8D81" w14:textId="77777777" w:rsidR="001F64B1" w:rsidRPr="001E6DFD" w:rsidRDefault="001F64B1" w:rsidP="00912C62">
            <w:pPr>
              <w:keepNext/>
              <w:keepLines/>
              <w:rPr>
                <w:sz w:val="16"/>
                <w:szCs w:val="16"/>
              </w:rPr>
            </w:pPr>
          </w:p>
          <w:p w14:paraId="2C0E2FE4" w14:textId="567350CE" w:rsidR="00FA22F6" w:rsidRPr="001E6DFD" w:rsidRDefault="00E64532" w:rsidP="00912C62">
            <w:pPr>
              <w:keepNext/>
              <w:keepLines/>
              <w:ind w:left="33"/>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1F3068E0" w14:textId="2DB83B11" w:rsidR="00BA5EA9" w:rsidRPr="001E6DFD" w:rsidRDefault="0059133D" w:rsidP="00912C62">
            <w:pPr>
              <w:keepNext/>
              <w:keepLines/>
              <w:ind w:left="33"/>
              <w:rPr>
                <w:sz w:val="16"/>
                <w:szCs w:val="16"/>
              </w:rPr>
            </w:pPr>
            <w:r w:rsidRPr="001E6DFD">
              <w:rPr>
                <w:sz w:val="16"/>
                <w:szCs w:val="16"/>
              </w:rPr>
              <w:t>90% des paiements effectués avant l</w:t>
            </w:r>
            <w:r w:rsidR="00FA22F6" w:rsidRPr="001E6DFD">
              <w:rPr>
                <w:sz w:val="16"/>
                <w:szCs w:val="16"/>
              </w:rPr>
              <w:t>’</w:t>
            </w:r>
            <w:r w:rsidRPr="001E6DFD">
              <w:rPr>
                <w:sz w:val="16"/>
                <w:szCs w:val="16"/>
              </w:rPr>
              <w:t>expiration du délai de sept</w:t>
            </w:r>
            <w:r w:rsidR="004D421A" w:rsidRPr="001E6DFD">
              <w:rPr>
                <w:sz w:val="16"/>
                <w:szCs w:val="16"/>
              </w:rPr>
              <w:t> </w:t>
            </w:r>
            <w:r w:rsidRPr="001E6DFD">
              <w:rPr>
                <w:sz w:val="16"/>
                <w:szCs w:val="16"/>
              </w:rPr>
              <w:t>jours ou à la date de réception de la facture (en cas de réception tardive) en cas d</w:t>
            </w:r>
            <w:r w:rsidR="00FA22F6" w:rsidRPr="001E6DFD">
              <w:rPr>
                <w:sz w:val="16"/>
                <w:szCs w:val="16"/>
              </w:rPr>
              <w:t>’</w:t>
            </w:r>
            <w:r w:rsidRPr="001E6DFD">
              <w:rPr>
                <w:sz w:val="16"/>
                <w:szCs w:val="16"/>
              </w:rPr>
              <w:t>absence d</w:t>
            </w:r>
            <w:r w:rsidR="00FA22F6" w:rsidRPr="001E6DFD">
              <w:rPr>
                <w:sz w:val="16"/>
                <w:szCs w:val="16"/>
              </w:rPr>
              <w:t>’</w:t>
            </w:r>
            <w:r w:rsidRPr="001E6DFD">
              <w:rPr>
                <w:sz w:val="16"/>
                <w:szCs w:val="16"/>
              </w:rPr>
              <w:t>autres problèmes de flux de travail (non</w:t>
            </w:r>
            <w:r w:rsidR="006A41CF" w:rsidRPr="001E6DFD">
              <w:rPr>
                <w:sz w:val="16"/>
                <w:szCs w:val="16"/>
              </w:rPr>
              <w:noBreakHyphen/>
            </w:r>
            <w:r w:rsidRPr="001E6DFD">
              <w:rPr>
                <w:sz w:val="16"/>
                <w:szCs w:val="16"/>
              </w:rPr>
              <w:t>expédition du bon de commande, etc.)</w:t>
            </w:r>
          </w:p>
        </w:tc>
        <w:tc>
          <w:tcPr>
            <w:tcW w:w="662" w:type="pct"/>
            <w:shd w:val="clear" w:color="auto" w:fill="auto"/>
            <w:tcMar>
              <w:top w:w="110" w:type="dxa"/>
              <w:left w:w="58" w:type="dxa"/>
              <w:right w:w="58" w:type="dxa"/>
            </w:tcMar>
          </w:tcPr>
          <w:p w14:paraId="1F340E0D" w14:textId="3427D3C3" w:rsidR="001F64B1" w:rsidRPr="00912C62" w:rsidRDefault="00955E3B" w:rsidP="00912C62">
            <w:pPr>
              <w:keepNext/>
              <w:keepLines/>
              <w:ind w:left="33"/>
              <w:rPr>
                <w:i/>
                <w:color w:val="002060"/>
                <w:sz w:val="16"/>
                <w:szCs w:val="16"/>
              </w:rPr>
            </w:pPr>
            <w:r w:rsidRPr="00912C62">
              <w:rPr>
                <w:i/>
                <w:color w:val="002060"/>
                <w:sz w:val="16"/>
                <w:szCs w:val="16"/>
              </w:rPr>
              <w:t>Objectif actualisé</w:t>
            </w:r>
            <w:r w:rsidR="00FA22F6" w:rsidRPr="00912C62">
              <w:rPr>
                <w:i/>
                <w:color w:val="002060"/>
                <w:sz w:val="16"/>
                <w:szCs w:val="16"/>
              </w:rPr>
              <w:t> :</w:t>
            </w:r>
          </w:p>
          <w:p w14:paraId="2B0BD6CD" w14:textId="2181EE6E" w:rsidR="001F64B1" w:rsidRPr="00912C62" w:rsidRDefault="00751187" w:rsidP="00912C62">
            <w:pPr>
              <w:keepNext/>
              <w:keepLines/>
              <w:ind w:left="33"/>
              <w:rPr>
                <w:color w:val="002060"/>
                <w:sz w:val="16"/>
                <w:szCs w:val="16"/>
              </w:rPr>
            </w:pPr>
            <w:r w:rsidRPr="00912C62">
              <w:rPr>
                <w:color w:val="002060"/>
                <w:sz w:val="16"/>
                <w:szCs w:val="16"/>
              </w:rPr>
              <w:t>90% des paiements effectués conformément aux conditions établies par les fournisseurs</w:t>
            </w:r>
          </w:p>
          <w:p w14:paraId="003C344B" w14:textId="77777777" w:rsidR="001F64B1" w:rsidRPr="001E6DFD" w:rsidRDefault="001F64B1" w:rsidP="00912C62">
            <w:pPr>
              <w:keepNext/>
              <w:keepLines/>
              <w:ind w:left="33"/>
              <w:rPr>
                <w:i/>
                <w:sz w:val="16"/>
                <w:szCs w:val="16"/>
              </w:rPr>
            </w:pPr>
          </w:p>
          <w:p w14:paraId="20AECF1B" w14:textId="2663931C" w:rsidR="00BA5EA9" w:rsidRPr="001E6DFD" w:rsidRDefault="00AC7D97" w:rsidP="00912C62">
            <w:pPr>
              <w:keepNext/>
              <w:keepLines/>
              <w:ind w:left="33"/>
              <w:rPr>
                <w:sz w:val="16"/>
                <w:szCs w:val="16"/>
              </w:rPr>
            </w:pPr>
            <w:r w:rsidRPr="00912C62">
              <w:rPr>
                <w:i/>
                <w:sz w:val="16"/>
                <w:szCs w:val="16"/>
              </w:rPr>
              <w:t>Objectif initial dans le programme et budget 2016</w:t>
            </w:r>
            <w:r w:rsidR="006A41CF" w:rsidRPr="00912C62">
              <w:rPr>
                <w:i/>
                <w:sz w:val="16"/>
                <w:szCs w:val="16"/>
              </w:rPr>
              <w:noBreakHyphen/>
            </w:r>
            <w:r w:rsidRPr="00912C62">
              <w:rPr>
                <w:i/>
                <w:sz w:val="16"/>
                <w:szCs w:val="16"/>
              </w:rPr>
              <w:t>2017</w:t>
            </w:r>
            <w:r w:rsidR="00FA22F6" w:rsidRPr="00912C62">
              <w:rPr>
                <w:i/>
                <w:sz w:val="16"/>
                <w:szCs w:val="16"/>
              </w:rPr>
              <w:t> :</w:t>
            </w:r>
            <w:r w:rsidR="00BA5EA9" w:rsidRPr="00912C62">
              <w:rPr>
                <w:i/>
                <w:sz w:val="16"/>
                <w:szCs w:val="16"/>
              </w:rPr>
              <w:t xml:space="preserve"> </w:t>
            </w:r>
            <w:r w:rsidR="007674C9" w:rsidRPr="00912C62">
              <w:rPr>
                <w:sz w:val="16"/>
                <w:szCs w:val="16"/>
              </w:rPr>
              <w:t>90% des paiements à effectuer dans les trois</w:t>
            </w:r>
            <w:r w:rsidR="004D421A" w:rsidRPr="00912C62">
              <w:rPr>
                <w:sz w:val="16"/>
                <w:szCs w:val="16"/>
              </w:rPr>
              <w:t> </w:t>
            </w:r>
            <w:r w:rsidR="007674C9" w:rsidRPr="00912C62">
              <w:rPr>
                <w:sz w:val="16"/>
                <w:szCs w:val="16"/>
              </w:rPr>
              <w:t>jours suivant la date de réception de la facture</w:t>
            </w:r>
          </w:p>
        </w:tc>
        <w:tc>
          <w:tcPr>
            <w:tcW w:w="1486" w:type="pct"/>
            <w:gridSpan w:val="3"/>
            <w:shd w:val="clear" w:color="auto" w:fill="FFFFFF"/>
            <w:tcMar>
              <w:top w:w="110" w:type="dxa"/>
              <w:left w:w="58" w:type="dxa"/>
              <w:right w:w="58" w:type="dxa"/>
            </w:tcMar>
          </w:tcPr>
          <w:p w14:paraId="0D22B6D2" w14:textId="6C0D97B9" w:rsidR="00FA22F6" w:rsidRPr="00912C62" w:rsidRDefault="007674C9" w:rsidP="00912C62">
            <w:pPr>
              <w:keepNext/>
              <w:keepLines/>
              <w:rPr>
                <w:sz w:val="16"/>
                <w:szCs w:val="16"/>
              </w:rPr>
            </w:pPr>
            <w:r w:rsidRPr="00912C62">
              <w:rPr>
                <w:sz w:val="16"/>
                <w:szCs w:val="16"/>
              </w:rPr>
              <w:t>Paiements nets sous 30</w:t>
            </w:r>
            <w:r w:rsidR="00B4191E" w:rsidRPr="00912C62">
              <w:rPr>
                <w:sz w:val="16"/>
                <w:szCs w:val="16"/>
              </w:rPr>
              <w:t> </w:t>
            </w:r>
            <w:r w:rsidRPr="00912C62">
              <w:rPr>
                <w:sz w:val="16"/>
                <w:szCs w:val="16"/>
              </w:rPr>
              <w:t>jours</w:t>
            </w:r>
          </w:p>
          <w:p w14:paraId="168C2FB8" w14:textId="3FE34CE3" w:rsidR="001F64B1" w:rsidRPr="00912C62" w:rsidRDefault="00912C62" w:rsidP="00912C62">
            <w:pPr>
              <w:keepNext/>
              <w:keepLines/>
              <w:rPr>
                <w:sz w:val="16"/>
                <w:szCs w:val="16"/>
              </w:rPr>
            </w:pPr>
            <w:r>
              <w:rPr>
                <w:sz w:val="16"/>
                <w:szCs w:val="16"/>
              </w:rPr>
              <w:t xml:space="preserve">– </w:t>
            </w:r>
            <w:r w:rsidR="007674C9" w:rsidRPr="00912C62">
              <w:rPr>
                <w:sz w:val="16"/>
                <w:szCs w:val="16"/>
              </w:rPr>
              <w:t xml:space="preserve">94% ont été payés à temps </w:t>
            </w:r>
            <w:r w:rsidR="00BE3607" w:rsidRPr="00912C62">
              <w:rPr>
                <w:sz w:val="16"/>
                <w:szCs w:val="16"/>
              </w:rPr>
              <w:t xml:space="preserve">selon </w:t>
            </w:r>
            <w:r w:rsidR="007674C9" w:rsidRPr="00912C62">
              <w:rPr>
                <w:sz w:val="16"/>
                <w:szCs w:val="16"/>
              </w:rPr>
              <w:t>la date de facturation ind</w:t>
            </w:r>
            <w:r w:rsidR="00BE3607" w:rsidRPr="00912C62">
              <w:rPr>
                <w:sz w:val="16"/>
                <w:szCs w:val="16"/>
              </w:rPr>
              <w:t xml:space="preserve">iquée </w:t>
            </w:r>
            <w:r w:rsidR="007674C9" w:rsidRPr="00912C62">
              <w:rPr>
                <w:sz w:val="16"/>
                <w:szCs w:val="16"/>
              </w:rPr>
              <w:t>par le fournisseur</w:t>
            </w:r>
            <w:r w:rsidR="00B24BF3" w:rsidRPr="00912C62">
              <w:rPr>
                <w:sz w:val="16"/>
                <w:szCs w:val="16"/>
              </w:rPr>
              <w:t>;</w:t>
            </w:r>
          </w:p>
          <w:p w14:paraId="1B0F5354" w14:textId="54DFE54F" w:rsidR="001F64B1" w:rsidRPr="00912C62" w:rsidRDefault="00912C62" w:rsidP="00912C62">
            <w:pPr>
              <w:keepNext/>
              <w:keepLines/>
              <w:rPr>
                <w:sz w:val="16"/>
                <w:szCs w:val="16"/>
              </w:rPr>
            </w:pPr>
            <w:r>
              <w:rPr>
                <w:sz w:val="16"/>
                <w:szCs w:val="16"/>
              </w:rPr>
              <w:t xml:space="preserve">– </w:t>
            </w:r>
            <w:r w:rsidR="00F13E02" w:rsidRPr="00912C62">
              <w:rPr>
                <w:sz w:val="16"/>
                <w:szCs w:val="16"/>
              </w:rPr>
              <w:t>3% ont été payés dans les 7</w:t>
            </w:r>
            <w:r w:rsidR="00B4191E" w:rsidRPr="00912C62">
              <w:rPr>
                <w:sz w:val="16"/>
                <w:szCs w:val="16"/>
              </w:rPr>
              <w:t> </w:t>
            </w:r>
            <w:r w:rsidR="00F13E02" w:rsidRPr="00912C62">
              <w:rPr>
                <w:sz w:val="16"/>
                <w:szCs w:val="16"/>
              </w:rPr>
              <w:t xml:space="preserve">jours suivant une réception tardive de facture; </w:t>
            </w:r>
            <w:r w:rsidR="00BA5EA9" w:rsidRPr="00912C62">
              <w:rPr>
                <w:sz w:val="16"/>
                <w:szCs w:val="16"/>
              </w:rPr>
              <w:t xml:space="preserve"> </w:t>
            </w:r>
            <w:r w:rsidR="00F13E02" w:rsidRPr="00912C62">
              <w:rPr>
                <w:sz w:val="16"/>
                <w:szCs w:val="16"/>
              </w:rPr>
              <w:t>et</w:t>
            </w:r>
          </w:p>
          <w:p w14:paraId="44226B45" w14:textId="5AED5473" w:rsidR="00FA22F6" w:rsidRPr="00912C62" w:rsidRDefault="00912C62" w:rsidP="00912C62">
            <w:pPr>
              <w:keepNext/>
              <w:keepLines/>
              <w:rPr>
                <w:sz w:val="16"/>
                <w:szCs w:val="16"/>
              </w:rPr>
            </w:pPr>
            <w:r>
              <w:rPr>
                <w:sz w:val="16"/>
                <w:szCs w:val="16"/>
              </w:rPr>
              <w:t xml:space="preserve">– </w:t>
            </w:r>
            <w:r w:rsidR="00F13E02" w:rsidRPr="00912C62">
              <w:rPr>
                <w:sz w:val="16"/>
                <w:szCs w:val="16"/>
              </w:rPr>
              <w:t xml:space="preserve">3% ont été payés plus tard (factures </w:t>
            </w:r>
            <w:r w:rsidR="00853F4F" w:rsidRPr="00912C62">
              <w:rPr>
                <w:sz w:val="16"/>
                <w:szCs w:val="16"/>
              </w:rPr>
              <w:t>présentées après le délai de paiement ou pour l</w:t>
            </w:r>
            <w:r w:rsidR="00B4191E" w:rsidRPr="00912C62">
              <w:rPr>
                <w:sz w:val="16"/>
                <w:szCs w:val="16"/>
              </w:rPr>
              <w:t>esquelles</w:t>
            </w:r>
            <w:r w:rsidR="00853F4F" w:rsidRPr="00912C62">
              <w:rPr>
                <w:sz w:val="16"/>
                <w:szCs w:val="16"/>
              </w:rPr>
              <w:t xml:space="preserve"> aucune demande n</w:t>
            </w:r>
            <w:r w:rsidR="00FA22F6" w:rsidRPr="00912C62">
              <w:rPr>
                <w:sz w:val="16"/>
                <w:szCs w:val="16"/>
              </w:rPr>
              <w:t>’</w:t>
            </w:r>
            <w:r w:rsidR="00853F4F" w:rsidRPr="00912C62">
              <w:rPr>
                <w:sz w:val="16"/>
                <w:szCs w:val="16"/>
              </w:rPr>
              <w:t xml:space="preserve">a été enregistrée dans </w:t>
            </w:r>
            <w:r w:rsidR="00F13E02" w:rsidRPr="00912C62">
              <w:rPr>
                <w:sz w:val="16"/>
                <w:szCs w:val="16"/>
              </w:rPr>
              <w:t>le système)</w:t>
            </w:r>
          </w:p>
          <w:p w14:paraId="3086EB7F" w14:textId="07CC4FEA" w:rsidR="00853F4F" w:rsidRPr="00912C62" w:rsidRDefault="00853F4F" w:rsidP="00912C62">
            <w:pPr>
              <w:keepNext/>
              <w:keepLines/>
              <w:rPr>
                <w:sz w:val="16"/>
                <w:szCs w:val="16"/>
              </w:rPr>
            </w:pPr>
          </w:p>
          <w:p w14:paraId="49FEF9FB" w14:textId="1BF8A713" w:rsidR="001F64B1" w:rsidRPr="00912C62" w:rsidRDefault="00853F4F" w:rsidP="00912C62">
            <w:pPr>
              <w:keepNext/>
              <w:keepLines/>
              <w:rPr>
                <w:sz w:val="16"/>
                <w:szCs w:val="16"/>
              </w:rPr>
            </w:pPr>
            <w:r w:rsidRPr="00912C62">
              <w:rPr>
                <w:sz w:val="16"/>
                <w:szCs w:val="16"/>
              </w:rPr>
              <w:t>Paiements immédiats</w:t>
            </w:r>
          </w:p>
          <w:p w14:paraId="55C8EB1F" w14:textId="62AF2A97" w:rsidR="001F64B1" w:rsidRPr="00912C62" w:rsidRDefault="00912C62" w:rsidP="00912C62">
            <w:pPr>
              <w:keepNext/>
              <w:keepLines/>
              <w:rPr>
                <w:sz w:val="16"/>
                <w:szCs w:val="16"/>
              </w:rPr>
            </w:pPr>
            <w:r>
              <w:rPr>
                <w:sz w:val="16"/>
                <w:szCs w:val="16"/>
              </w:rPr>
              <w:t xml:space="preserve">– </w:t>
            </w:r>
            <w:r w:rsidR="00A639BD" w:rsidRPr="00912C62">
              <w:rPr>
                <w:sz w:val="16"/>
                <w:szCs w:val="16"/>
              </w:rPr>
              <w:t>94% ont été payés dans la semaine suivant la date de réception de la facture</w:t>
            </w:r>
            <w:r w:rsidR="00BA5EA9" w:rsidRPr="00912C62">
              <w:rPr>
                <w:sz w:val="16"/>
                <w:szCs w:val="16"/>
              </w:rPr>
              <w:t xml:space="preserve">; </w:t>
            </w:r>
            <w:r w:rsidR="00EF4E96" w:rsidRPr="00912C62">
              <w:rPr>
                <w:sz w:val="16"/>
                <w:szCs w:val="16"/>
              </w:rPr>
              <w:t xml:space="preserve"> et</w:t>
            </w:r>
          </w:p>
          <w:p w14:paraId="17F0F568" w14:textId="37B05114" w:rsidR="001F64B1" w:rsidRPr="00912C62" w:rsidRDefault="00912C62" w:rsidP="00912C62">
            <w:pPr>
              <w:keepNext/>
              <w:keepLines/>
              <w:rPr>
                <w:sz w:val="16"/>
                <w:szCs w:val="16"/>
              </w:rPr>
            </w:pPr>
            <w:r>
              <w:rPr>
                <w:sz w:val="16"/>
                <w:szCs w:val="16"/>
              </w:rPr>
              <w:t xml:space="preserve">– </w:t>
            </w:r>
            <w:r w:rsidR="00BA5EA9" w:rsidRPr="00912C62">
              <w:rPr>
                <w:sz w:val="16"/>
                <w:szCs w:val="16"/>
              </w:rPr>
              <w:t xml:space="preserve">6% </w:t>
            </w:r>
            <w:r w:rsidR="00EF4E96" w:rsidRPr="00912C62">
              <w:rPr>
                <w:sz w:val="16"/>
                <w:szCs w:val="16"/>
              </w:rPr>
              <w:t xml:space="preserve">ont été payés plus tard </w:t>
            </w:r>
            <w:r w:rsidR="00BA5EA9" w:rsidRPr="00912C62">
              <w:rPr>
                <w:sz w:val="16"/>
                <w:szCs w:val="16"/>
              </w:rPr>
              <w:t>(</w:t>
            </w:r>
            <w:r w:rsidR="00381334" w:rsidRPr="00912C62">
              <w:rPr>
                <w:sz w:val="16"/>
                <w:szCs w:val="16"/>
              </w:rPr>
              <w:t>factures présentées après le délai de paiement ou pour l</w:t>
            </w:r>
            <w:r w:rsidR="00B4191E" w:rsidRPr="00912C62">
              <w:rPr>
                <w:sz w:val="16"/>
                <w:szCs w:val="16"/>
              </w:rPr>
              <w:t>esquelles</w:t>
            </w:r>
            <w:r w:rsidR="00381334" w:rsidRPr="00912C62">
              <w:rPr>
                <w:sz w:val="16"/>
                <w:szCs w:val="16"/>
              </w:rPr>
              <w:t xml:space="preserve"> aucune demande n</w:t>
            </w:r>
            <w:r w:rsidR="00FA22F6" w:rsidRPr="00912C62">
              <w:rPr>
                <w:sz w:val="16"/>
                <w:szCs w:val="16"/>
              </w:rPr>
              <w:t>’</w:t>
            </w:r>
            <w:r w:rsidR="00381334" w:rsidRPr="00912C62">
              <w:rPr>
                <w:sz w:val="16"/>
                <w:szCs w:val="16"/>
              </w:rPr>
              <w:t>a été enregistrée dans le système</w:t>
            </w:r>
            <w:r w:rsidR="00BA5EA9" w:rsidRPr="00912C62">
              <w:rPr>
                <w:sz w:val="16"/>
                <w:szCs w:val="16"/>
              </w:rPr>
              <w:t>)</w:t>
            </w:r>
          </w:p>
          <w:p w14:paraId="120354E6" w14:textId="77777777" w:rsidR="001F64B1" w:rsidRPr="00912C62" w:rsidRDefault="001F64B1" w:rsidP="00912C62">
            <w:pPr>
              <w:keepNext/>
              <w:keepLines/>
              <w:rPr>
                <w:sz w:val="16"/>
                <w:szCs w:val="16"/>
              </w:rPr>
            </w:pPr>
          </w:p>
          <w:p w14:paraId="24DCC549" w14:textId="61836599" w:rsidR="00BA5EA9" w:rsidRPr="00912C62" w:rsidRDefault="00D6416B" w:rsidP="00912C62">
            <w:pPr>
              <w:keepNext/>
              <w:keepLines/>
              <w:rPr>
                <w:sz w:val="16"/>
                <w:szCs w:val="16"/>
              </w:rPr>
            </w:pPr>
            <w:r w:rsidRPr="00912C62">
              <w:rPr>
                <w:sz w:val="16"/>
                <w:szCs w:val="16"/>
              </w:rPr>
              <w:t>Répartitions mensuelles versées/créditées sur un compte courant/déduites des contributions le mois suivant, conformément au règlement d</w:t>
            </w:r>
            <w:r w:rsidR="00FA22F6" w:rsidRPr="00912C62">
              <w:rPr>
                <w:sz w:val="16"/>
                <w:szCs w:val="16"/>
              </w:rPr>
              <w:t>’</w:t>
            </w:r>
            <w:r w:rsidRPr="00912C62">
              <w:rPr>
                <w:sz w:val="16"/>
                <w:szCs w:val="16"/>
              </w:rPr>
              <w:t>exécution.</w:t>
            </w:r>
          </w:p>
        </w:tc>
        <w:tc>
          <w:tcPr>
            <w:tcW w:w="467" w:type="pct"/>
            <w:shd w:val="clear" w:color="auto" w:fill="auto"/>
            <w:tcMar>
              <w:top w:w="110" w:type="dxa"/>
              <w:left w:w="58" w:type="dxa"/>
              <w:right w:w="58" w:type="dxa"/>
            </w:tcMar>
          </w:tcPr>
          <w:p w14:paraId="4489512B" w14:textId="77777777" w:rsidR="001F64B1" w:rsidRPr="001E6DFD" w:rsidRDefault="00A43B2F" w:rsidP="00912C62">
            <w:pPr>
              <w:keepNext/>
              <w:keepLines/>
              <w:jc w:val="center"/>
              <w:rPr>
                <w:b/>
                <w:sz w:val="16"/>
                <w:szCs w:val="16"/>
              </w:rPr>
            </w:pPr>
            <w:r w:rsidRPr="001E6DFD">
              <w:rPr>
                <w:b/>
                <w:color w:val="00B050"/>
                <w:sz w:val="16"/>
                <w:szCs w:val="16"/>
              </w:rPr>
              <w:t>En bonne voie</w:t>
            </w:r>
          </w:p>
          <w:p w14:paraId="62FBBBAE" w14:textId="77777777" w:rsidR="001F64B1" w:rsidRPr="001E6DFD" w:rsidRDefault="001F64B1" w:rsidP="00912C62">
            <w:pPr>
              <w:keepNext/>
              <w:keepLines/>
              <w:jc w:val="center"/>
              <w:rPr>
                <w:b/>
                <w:sz w:val="16"/>
                <w:szCs w:val="16"/>
              </w:rPr>
            </w:pPr>
          </w:p>
          <w:p w14:paraId="6E5BF2FA" w14:textId="77777777" w:rsidR="001F64B1" w:rsidRPr="001E6DFD" w:rsidRDefault="001F64B1" w:rsidP="00912C62">
            <w:pPr>
              <w:keepNext/>
              <w:keepLines/>
              <w:jc w:val="center"/>
              <w:rPr>
                <w:b/>
                <w:sz w:val="16"/>
                <w:szCs w:val="16"/>
              </w:rPr>
            </w:pPr>
          </w:p>
          <w:p w14:paraId="588548D2" w14:textId="77777777" w:rsidR="001F64B1" w:rsidRPr="001E6DFD" w:rsidRDefault="001F64B1" w:rsidP="00912C62">
            <w:pPr>
              <w:keepNext/>
              <w:keepLines/>
              <w:jc w:val="center"/>
              <w:rPr>
                <w:b/>
                <w:sz w:val="16"/>
                <w:szCs w:val="16"/>
              </w:rPr>
            </w:pPr>
          </w:p>
          <w:p w14:paraId="0C477EA1" w14:textId="77777777" w:rsidR="001F64B1" w:rsidRPr="001E6DFD" w:rsidRDefault="001F64B1" w:rsidP="00912C62">
            <w:pPr>
              <w:keepNext/>
              <w:keepLines/>
              <w:jc w:val="center"/>
              <w:rPr>
                <w:b/>
                <w:sz w:val="16"/>
                <w:szCs w:val="16"/>
              </w:rPr>
            </w:pPr>
          </w:p>
          <w:p w14:paraId="2DD18DE7" w14:textId="77777777" w:rsidR="001F64B1" w:rsidRPr="001E6DFD" w:rsidRDefault="001F64B1" w:rsidP="00912C62">
            <w:pPr>
              <w:keepNext/>
              <w:keepLines/>
              <w:jc w:val="center"/>
              <w:rPr>
                <w:b/>
                <w:sz w:val="16"/>
                <w:szCs w:val="16"/>
              </w:rPr>
            </w:pPr>
          </w:p>
          <w:p w14:paraId="5B3D9F39" w14:textId="77777777" w:rsidR="001F64B1" w:rsidRPr="001E6DFD" w:rsidRDefault="001F64B1" w:rsidP="00912C62">
            <w:pPr>
              <w:keepNext/>
              <w:keepLines/>
              <w:jc w:val="center"/>
              <w:rPr>
                <w:b/>
                <w:sz w:val="16"/>
                <w:szCs w:val="16"/>
              </w:rPr>
            </w:pPr>
          </w:p>
          <w:p w14:paraId="66123269" w14:textId="77777777" w:rsidR="001F64B1" w:rsidRPr="001E6DFD" w:rsidRDefault="001F64B1" w:rsidP="00912C62">
            <w:pPr>
              <w:keepNext/>
              <w:keepLines/>
              <w:jc w:val="center"/>
              <w:rPr>
                <w:b/>
                <w:sz w:val="16"/>
                <w:szCs w:val="16"/>
              </w:rPr>
            </w:pPr>
          </w:p>
          <w:p w14:paraId="6324C4C7" w14:textId="77777777" w:rsidR="001F64B1" w:rsidRPr="001E6DFD" w:rsidRDefault="001F64B1" w:rsidP="00912C62">
            <w:pPr>
              <w:keepNext/>
              <w:keepLines/>
              <w:jc w:val="center"/>
              <w:rPr>
                <w:b/>
                <w:sz w:val="16"/>
                <w:szCs w:val="16"/>
              </w:rPr>
            </w:pPr>
          </w:p>
          <w:p w14:paraId="149DEFF2" w14:textId="77777777" w:rsidR="001F64B1" w:rsidRPr="001E6DFD" w:rsidRDefault="001F64B1" w:rsidP="00912C62">
            <w:pPr>
              <w:keepNext/>
              <w:keepLines/>
              <w:jc w:val="center"/>
              <w:rPr>
                <w:b/>
                <w:sz w:val="16"/>
                <w:szCs w:val="16"/>
              </w:rPr>
            </w:pPr>
          </w:p>
          <w:p w14:paraId="0A0ACEBD" w14:textId="77777777" w:rsidR="001F64B1" w:rsidRPr="001E6DFD" w:rsidRDefault="001F64B1" w:rsidP="00912C62">
            <w:pPr>
              <w:keepNext/>
              <w:keepLines/>
              <w:jc w:val="center"/>
              <w:rPr>
                <w:b/>
                <w:sz w:val="16"/>
                <w:szCs w:val="16"/>
              </w:rPr>
            </w:pPr>
          </w:p>
          <w:p w14:paraId="5BA9E87F" w14:textId="77777777" w:rsidR="001F64B1" w:rsidRPr="001E6DFD" w:rsidRDefault="001F64B1" w:rsidP="00912C62">
            <w:pPr>
              <w:keepNext/>
              <w:keepLines/>
              <w:jc w:val="center"/>
              <w:rPr>
                <w:b/>
                <w:sz w:val="16"/>
                <w:szCs w:val="16"/>
              </w:rPr>
            </w:pPr>
          </w:p>
          <w:p w14:paraId="0DECC618" w14:textId="77777777" w:rsidR="006A41CF" w:rsidRPr="001E6DFD" w:rsidRDefault="006A41CF" w:rsidP="00912C62">
            <w:pPr>
              <w:keepNext/>
              <w:keepLines/>
              <w:jc w:val="center"/>
              <w:rPr>
                <w:b/>
                <w:sz w:val="16"/>
                <w:szCs w:val="16"/>
              </w:rPr>
            </w:pPr>
          </w:p>
          <w:p w14:paraId="2049470D" w14:textId="4D02D569" w:rsidR="001F64B1" w:rsidRPr="001E6DFD" w:rsidRDefault="00493738" w:rsidP="00912C62">
            <w:pPr>
              <w:keepNext/>
              <w:keepLines/>
              <w:jc w:val="center"/>
              <w:rPr>
                <w:b/>
                <w:sz w:val="16"/>
                <w:szCs w:val="16"/>
              </w:rPr>
            </w:pPr>
            <w:r w:rsidRPr="001E6DFD">
              <w:rPr>
                <w:b/>
                <w:color w:val="00B050"/>
                <w:sz w:val="16"/>
                <w:szCs w:val="16"/>
              </w:rPr>
              <w:t>En bonne voie</w:t>
            </w:r>
          </w:p>
          <w:p w14:paraId="36377B51" w14:textId="77777777" w:rsidR="001F64B1" w:rsidRPr="001E6DFD" w:rsidRDefault="001F64B1" w:rsidP="00912C62">
            <w:pPr>
              <w:keepNext/>
              <w:keepLines/>
              <w:jc w:val="center"/>
              <w:rPr>
                <w:b/>
                <w:sz w:val="16"/>
                <w:szCs w:val="16"/>
              </w:rPr>
            </w:pPr>
          </w:p>
          <w:p w14:paraId="098291BE" w14:textId="77777777" w:rsidR="001F64B1" w:rsidRPr="001E6DFD" w:rsidRDefault="001F64B1" w:rsidP="00912C62">
            <w:pPr>
              <w:keepNext/>
              <w:keepLines/>
              <w:jc w:val="center"/>
              <w:rPr>
                <w:b/>
                <w:sz w:val="16"/>
                <w:szCs w:val="16"/>
              </w:rPr>
            </w:pPr>
          </w:p>
          <w:p w14:paraId="711DEC27" w14:textId="77777777" w:rsidR="001F64B1" w:rsidRPr="001E6DFD" w:rsidRDefault="001F64B1" w:rsidP="00912C62">
            <w:pPr>
              <w:keepNext/>
              <w:keepLines/>
              <w:jc w:val="center"/>
              <w:rPr>
                <w:b/>
                <w:sz w:val="16"/>
                <w:szCs w:val="16"/>
              </w:rPr>
            </w:pPr>
          </w:p>
          <w:p w14:paraId="0AA0FF60" w14:textId="77777777" w:rsidR="006A41CF" w:rsidRPr="001E6DFD" w:rsidRDefault="006A41CF" w:rsidP="00912C62">
            <w:pPr>
              <w:keepNext/>
              <w:keepLines/>
              <w:jc w:val="center"/>
              <w:rPr>
                <w:b/>
                <w:sz w:val="16"/>
                <w:szCs w:val="16"/>
              </w:rPr>
            </w:pPr>
          </w:p>
          <w:p w14:paraId="5D71B9F3" w14:textId="77777777" w:rsidR="006A41CF" w:rsidRPr="001E6DFD" w:rsidRDefault="006A41CF" w:rsidP="00912C62">
            <w:pPr>
              <w:keepNext/>
              <w:keepLines/>
              <w:jc w:val="center"/>
              <w:rPr>
                <w:b/>
                <w:sz w:val="16"/>
                <w:szCs w:val="16"/>
              </w:rPr>
            </w:pPr>
          </w:p>
          <w:p w14:paraId="6EF78254" w14:textId="77777777" w:rsidR="006A41CF" w:rsidRPr="001E6DFD" w:rsidRDefault="006A41CF" w:rsidP="00912C62">
            <w:pPr>
              <w:keepNext/>
              <w:keepLines/>
              <w:jc w:val="center"/>
              <w:rPr>
                <w:b/>
                <w:sz w:val="16"/>
                <w:szCs w:val="16"/>
              </w:rPr>
            </w:pPr>
          </w:p>
          <w:p w14:paraId="38D4D13A" w14:textId="77777777" w:rsidR="001F64B1" w:rsidRDefault="001F64B1" w:rsidP="00912C62">
            <w:pPr>
              <w:keepNext/>
              <w:keepLines/>
              <w:jc w:val="center"/>
              <w:rPr>
                <w:b/>
                <w:sz w:val="16"/>
                <w:szCs w:val="16"/>
              </w:rPr>
            </w:pPr>
          </w:p>
          <w:p w14:paraId="00C1FFC1" w14:textId="77777777" w:rsidR="00493738" w:rsidRDefault="00493738" w:rsidP="00912C62">
            <w:pPr>
              <w:keepNext/>
              <w:keepLines/>
              <w:jc w:val="center"/>
              <w:rPr>
                <w:b/>
                <w:sz w:val="16"/>
                <w:szCs w:val="16"/>
              </w:rPr>
            </w:pPr>
          </w:p>
          <w:p w14:paraId="2D7D4417" w14:textId="77777777" w:rsidR="00493738" w:rsidRPr="001E6DFD" w:rsidRDefault="00493738" w:rsidP="00912C62">
            <w:pPr>
              <w:keepNext/>
              <w:keepLines/>
              <w:jc w:val="center"/>
              <w:rPr>
                <w:b/>
                <w:sz w:val="16"/>
                <w:szCs w:val="16"/>
              </w:rPr>
            </w:pPr>
          </w:p>
          <w:p w14:paraId="4CED44F8" w14:textId="2779FD07" w:rsidR="00BA5EA9" w:rsidRPr="001E6DFD" w:rsidRDefault="00A43B2F" w:rsidP="00912C62">
            <w:pPr>
              <w:keepNext/>
              <w:keepLines/>
              <w:jc w:val="center"/>
              <w:rPr>
                <w:sz w:val="16"/>
                <w:szCs w:val="16"/>
              </w:rPr>
            </w:pPr>
            <w:r w:rsidRPr="001E6DFD">
              <w:rPr>
                <w:b/>
                <w:color w:val="00B050"/>
                <w:sz w:val="16"/>
                <w:szCs w:val="16"/>
              </w:rPr>
              <w:t>En bonne voie</w:t>
            </w:r>
          </w:p>
        </w:tc>
      </w:tr>
      <w:tr w:rsidR="00BA5EA9" w:rsidRPr="001E6DFD" w14:paraId="6226F9AA" w14:textId="77777777" w:rsidTr="005C716A">
        <w:tc>
          <w:tcPr>
            <w:tcW w:w="5000" w:type="pct"/>
            <w:gridSpan w:val="8"/>
            <w:shd w:val="clear" w:color="auto" w:fill="C6D9F1" w:themeFill="text2" w:themeFillTint="33"/>
            <w:tcMar>
              <w:left w:w="58" w:type="dxa"/>
              <w:right w:w="58" w:type="dxa"/>
            </w:tcMar>
            <w:vAlign w:val="center"/>
          </w:tcPr>
          <w:p w14:paraId="35C50393" w14:textId="76D92859" w:rsidR="00BA5EA9" w:rsidRPr="001E6DFD" w:rsidRDefault="0059133D" w:rsidP="0097226C">
            <w:pPr>
              <w:keepNext/>
              <w:keepLines/>
              <w:tabs>
                <w:tab w:val="left" w:pos="1452"/>
              </w:tabs>
              <w:rPr>
                <w:b/>
                <w:bCs/>
                <w:sz w:val="16"/>
                <w:szCs w:val="16"/>
              </w:rPr>
            </w:pPr>
            <w:r w:rsidRPr="001E6DFD">
              <w:rPr>
                <w:b/>
                <w:bCs/>
                <w:sz w:val="16"/>
                <w:szCs w:val="16"/>
              </w:rPr>
              <w:t>Résultat escompté</w:t>
            </w:r>
            <w:r w:rsidR="00FA22F6" w:rsidRPr="001E6DFD">
              <w:rPr>
                <w:b/>
                <w:bCs/>
                <w:sz w:val="16"/>
                <w:szCs w:val="16"/>
              </w:rPr>
              <w:t> :</w:t>
            </w:r>
            <w:r w:rsidRPr="001E6DFD">
              <w:rPr>
                <w:b/>
                <w:bCs/>
                <w:sz w:val="16"/>
                <w:szCs w:val="16"/>
              </w:rPr>
              <w:t xml:space="preserve"> </w:t>
            </w:r>
            <w:r w:rsidRPr="001E6DFD">
              <w:rPr>
                <w:bCs/>
                <w:sz w:val="16"/>
                <w:szCs w:val="16"/>
              </w:rPr>
              <w:t>IX.3 Un environnement de travail stimulant étayé par un cadre réglementaire efficace et des voies appropriées pour répondre aux préoccupations du personnel</w:t>
            </w:r>
          </w:p>
        </w:tc>
      </w:tr>
      <w:tr w:rsidR="00BA5EA9" w:rsidRPr="001E6DFD" w14:paraId="6E19A8F9" w14:textId="77777777" w:rsidTr="005C716A">
        <w:tc>
          <w:tcPr>
            <w:tcW w:w="905" w:type="pct"/>
            <w:shd w:val="clear" w:color="auto" w:fill="auto"/>
            <w:tcMar>
              <w:left w:w="58" w:type="dxa"/>
              <w:right w:w="58" w:type="dxa"/>
            </w:tcMar>
            <w:vAlign w:val="center"/>
          </w:tcPr>
          <w:p w14:paraId="0C44D1BE" w14:textId="35B49E23" w:rsidR="00BA5EA9" w:rsidRPr="001E6DFD" w:rsidRDefault="0059133D" w:rsidP="0097226C">
            <w:pPr>
              <w:keepNext/>
              <w:keepLines/>
              <w:jc w:val="center"/>
              <w:rPr>
                <w:b/>
                <w:bCs/>
                <w:sz w:val="16"/>
                <w:szCs w:val="16"/>
              </w:rPr>
            </w:pPr>
            <w:r w:rsidRPr="001E6DFD">
              <w:rPr>
                <w:b/>
                <w:bCs/>
                <w:sz w:val="16"/>
                <w:szCs w:val="16"/>
              </w:rPr>
              <w:t>Indicateurs d</w:t>
            </w:r>
            <w:r w:rsidR="00FA22F6" w:rsidRPr="001E6DFD">
              <w:rPr>
                <w:b/>
                <w:bCs/>
                <w:sz w:val="16"/>
                <w:szCs w:val="16"/>
              </w:rPr>
              <w:t>’</w:t>
            </w:r>
            <w:r w:rsidRPr="001E6DFD">
              <w:rPr>
                <w:b/>
                <w:bCs/>
                <w:sz w:val="16"/>
                <w:szCs w:val="16"/>
              </w:rPr>
              <w:t>exécution</w:t>
            </w:r>
          </w:p>
        </w:tc>
        <w:tc>
          <w:tcPr>
            <w:tcW w:w="1480" w:type="pct"/>
            <w:gridSpan w:val="2"/>
            <w:shd w:val="clear" w:color="auto" w:fill="auto"/>
            <w:tcMar>
              <w:left w:w="58" w:type="dxa"/>
              <w:right w:w="58" w:type="dxa"/>
            </w:tcMar>
            <w:vAlign w:val="center"/>
          </w:tcPr>
          <w:p w14:paraId="472F177A" w14:textId="77777777" w:rsidR="00BA5EA9" w:rsidRPr="001E6DFD" w:rsidRDefault="0059133D" w:rsidP="0097226C">
            <w:pPr>
              <w:keepNext/>
              <w:keepLines/>
              <w:jc w:val="center"/>
              <w:rPr>
                <w:b/>
                <w:bCs/>
                <w:sz w:val="16"/>
                <w:szCs w:val="16"/>
              </w:rPr>
            </w:pPr>
            <w:r w:rsidRPr="001E6DFD">
              <w:rPr>
                <w:b/>
                <w:bCs/>
                <w:sz w:val="16"/>
                <w:szCs w:val="16"/>
              </w:rPr>
              <w:t>Niveaux de référence</w:t>
            </w:r>
          </w:p>
        </w:tc>
        <w:tc>
          <w:tcPr>
            <w:tcW w:w="757" w:type="pct"/>
            <w:gridSpan w:val="2"/>
            <w:shd w:val="clear" w:color="auto" w:fill="auto"/>
            <w:tcMar>
              <w:top w:w="110" w:type="dxa"/>
              <w:left w:w="58" w:type="dxa"/>
              <w:right w:w="58" w:type="dxa"/>
            </w:tcMar>
            <w:vAlign w:val="center"/>
          </w:tcPr>
          <w:p w14:paraId="74A478A9" w14:textId="77777777" w:rsidR="00BA5EA9" w:rsidRPr="001E6DFD" w:rsidRDefault="0059133D" w:rsidP="0097226C">
            <w:pPr>
              <w:keepNext/>
              <w:keepLines/>
              <w:tabs>
                <w:tab w:val="left" w:pos="290"/>
              </w:tabs>
              <w:jc w:val="center"/>
              <w:rPr>
                <w:b/>
                <w:bCs/>
                <w:sz w:val="16"/>
                <w:szCs w:val="16"/>
              </w:rPr>
            </w:pPr>
            <w:r w:rsidRPr="001E6DFD">
              <w:rPr>
                <w:b/>
                <w:bCs/>
                <w:sz w:val="16"/>
                <w:szCs w:val="16"/>
              </w:rPr>
              <w:t>Objectifs visés</w:t>
            </w:r>
          </w:p>
        </w:tc>
        <w:tc>
          <w:tcPr>
            <w:tcW w:w="1397" w:type="pct"/>
            <w:gridSpan w:val="2"/>
            <w:shd w:val="clear" w:color="auto" w:fill="FFFFFF"/>
            <w:tcMar>
              <w:top w:w="110" w:type="dxa"/>
              <w:left w:w="58" w:type="dxa"/>
              <w:right w:w="58" w:type="dxa"/>
            </w:tcMar>
            <w:vAlign w:val="center"/>
          </w:tcPr>
          <w:p w14:paraId="64B5E753" w14:textId="044DCFB0" w:rsidR="00BA5EA9" w:rsidRPr="001E6DFD" w:rsidRDefault="0059133D" w:rsidP="0097226C">
            <w:pPr>
              <w:keepNext/>
              <w:keepLines/>
              <w:jc w:val="center"/>
              <w:rPr>
                <w:b/>
                <w:bCs/>
                <w:sz w:val="16"/>
                <w:szCs w:val="16"/>
              </w:rPr>
            </w:pPr>
            <w:r w:rsidRPr="001E6DFD">
              <w:rPr>
                <w:b/>
                <w:bCs/>
                <w:sz w:val="16"/>
                <w:szCs w:val="16"/>
              </w:rPr>
              <w:t>Données relatives à l</w:t>
            </w:r>
            <w:r w:rsidR="00FA22F6" w:rsidRPr="001E6DFD">
              <w:rPr>
                <w:b/>
                <w:bCs/>
                <w:sz w:val="16"/>
                <w:szCs w:val="16"/>
              </w:rPr>
              <w:t>’</w:t>
            </w:r>
            <w:r w:rsidRPr="001E6DFD">
              <w:rPr>
                <w:b/>
                <w:bCs/>
                <w:sz w:val="16"/>
                <w:szCs w:val="16"/>
              </w:rPr>
              <w:t>exécution</w:t>
            </w:r>
          </w:p>
        </w:tc>
        <w:tc>
          <w:tcPr>
            <w:tcW w:w="461" w:type="pct"/>
            <w:shd w:val="clear" w:color="auto" w:fill="auto"/>
            <w:tcMar>
              <w:top w:w="110" w:type="dxa"/>
              <w:left w:w="58" w:type="dxa"/>
              <w:right w:w="58" w:type="dxa"/>
            </w:tcMar>
            <w:vAlign w:val="center"/>
          </w:tcPr>
          <w:p w14:paraId="317845C7" w14:textId="06EEBA7F" w:rsidR="00BA5EA9" w:rsidRPr="001E6DFD" w:rsidRDefault="00EA6936" w:rsidP="0097226C">
            <w:pPr>
              <w:keepNext/>
              <w:keepLines/>
              <w:jc w:val="center"/>
              <w:rPr>
                <w:b/>
                <w:bCs/>
                <w:sz w:val="16"/>
                <w:szCs w:val="16"/>
              </w:rPr>
            </w:pPr>
            <w:r w:rsidRPr="001E6DFD">
              <w:rPr>
                <w:b/>
                <w:bCs/>
                <w:sz w:val="16"/>
                <w:szCs w:val="16"/>
              </w:rPr>
              <w:t>Code d</w:t>
            </w:r>
            <w:r w:rsidR="00FA22F6" w:rsidRPr="001E6DFD">
              <w:rPr>
                <w:b/>
                <w:bCs/>
                <w:sz w:val="16"/>
                <w:szCs w:val="16"/>
              </w:rPr>
              <w:t>’</w:t>
            </w:r>
            <w:r w:rsidRPr="001E6DFD">
              <w:rPr>
                <w:b/>
                <w:bCs/>
                <w:sz w:val="16"/>
                <w:szCs w:val="16"/>
              </w:rPr>
              <w:t>évaluation</w:t>
            </w:r>
          </w:p>
        </w:tc>
      </w:tr>
      <w:tr w:rsidR="00BA5EA9" w:rsidRPr="001E6DFD" w14:paraId="00D86315" w14:textId="77777777" w:rsidTr="005C716A">
        <w:tc>
          <w:tcPr>
            <w:tcW w:w="905" w:type="pct"/>
            <w:shd w:val="clear" w:color="auto" w:fill="auto"/>
            <w:tcMar>
              <w:left w:w="58" w:type="dxa"/>
              <w:right w:w="58" w:type="dxa"/>
            </w:tcMar>
          </w:tcPr>
          <w:p w14:paraId="697455CF" w14:textId="233D858D" w:rsidR="00BA5EA9" w:rsidRPr="001E6DFD" w:rsidRDefault="004560B4" w:rsidP="0097226C">
            <w:pPr>
              <w:keepNext/>
              <w:keepLines/>
              <w:ind w:left="33"/>
              <w:rPr>
                <w:sz w:val="16"/>
                <w:szCs w:val="16"/>
              </w:rPr>
            </w:pPr>
            <w:r w:rsidRPr="001E6DFD">
              <w:rPr>
                <w:sz w:val="16"/>
                <w:szCs w:val="16"/>
              </w:rPr>
              <w:t>Règlement financier et ses règlements d</w:t>
            </w:r>
            <w:r w:rsidR="00FA22F6" w:rsidRPr="001E6DFD">
              <w:rPr>
                <w:sz w:val="16"/>
                <w:szCs w:val="16"/>
              </w:rPr>
              <w:t>’</w:t>
            </w:r>
            <w:r w:rsidRPr="001E6DFD">
              <w:rPr>
                <w:sz w:val="16"/>
                <w:szCs w:val="16"/>
              </w:rPr>
              <w:t>exécution et ordres de service correspondants à jour</w:t>
            </w:r>
          </w:p>
        </w:tc>
        <w:tc>
          <w:tcPr>
            <w:tcW w:w="1480" w:type="pct"/>
            <w:gridSpan w:val="2"/>
            <w:shd w:val="clear" w:color="auto" w:fill="auto"/>
            <w:tcMar>
              <w:left w:w="58" w:type="dxa"/>
              <w:right w:w="58" w:type="dxa"/>
            </w:tcMar>
          </w:tcPr>
          <w:p w14:paraId="170D6845" w14:textId="64741CDF" w:rsidR="00FA22F6" w:rsidRPr="00912C62" w:rsidRDefault="00E64532" w:rsidP="0097226C">
            <w:pPr>
              <w:keepNext/>
              <w:keepLines/>
              <w:rPr>
                <w:i/>
                <w:color w:val="002060"/>
                <w:sz w:val="16"/>
                <w:szCs w:val="16"/>
              </w:rPr>
            </w:pPr>
            <w:r w:rsidRPr="00912C62">
              <w:rPr>
                <w:i/>
                <w:color w:val="002060"/>
                <w:sz w:val="16"/>
                <w:szCs w:val="16"/>
              </w:rPr>
              <w:t>Niveau de référence actualisé à fin</w:t>
            </w:r>
            <w:r w:rsidR="00B4191E" w:rsidRPr="00912C62">
              <w:rPr>
                <w:i/>
                <w:color w:val="002060"/>
                <w:sz w:val="16"/>
                <w:szCs w:val="16"/>
              </w:rPr>
              <w:t> </w:t>
            </w:r>
            <w:r w:rsidRPr="00912C62">
              <w:rPr>
                <w:i/>
                <w:color w:val="002060"/>
                <w:sz w:val="16"/>
                <w:szCs w:val="16"/>
              </w:rPr>
              <w:t>2015</w:t>
            </w:r>
            <w:r w:rsidR="00FA22F6" w:rsidRPr="00912C62">
              <w:rPr>
                <w:i/>
                <w:color w:val="002060"/>
                <w:sz w:val="16"/>
                <w:szCs w:val="16"/>
              </w:rPr>
              <w:t> :</w:t>
            </w:r>
          </w:p>
          <w:p w14:paraId="769B4109" w14:textId="1C78D63B" w:rsidR="00FA22F6" w:rsidRPr="00912C62" w:rsidRDefault="005C4694" w:rsidP="0097226C">
            <w:pPr>
              <w:keepNext/>
              <w:keepLines/>
              <w:rPr>
                <w:color w:val="002060"/>
                <w:sz w:val="16"/>
                <w:szCs w:val="16"/>
              </w:rPr>
            </w:pPr>
            <w:r w:rsidRPr="00912C62">
              <w:rPr>
                <w:color w:val="002060"/>
                <w:sz w:val="16"/>
                <w:szCs w:val="16"/>
              </w:rPr>
              <w:t xml:space="preserve">Ordres de service publiés </w:t>
            </w:r>
            <w:r w:rsidR="00FA22F6" w:rsidRPr="00912C62">
              <w:rPr>
                <w:color w:val="002060"/>
                <w:sz w:val="16"/>
                <w:szCs w:val="16"/>
              </w:rPr>
              <w:t>en 2014</w:t>
            </w:r>
            <w:r w:rsidRPr="00912C62">
              <w:rPr>
                <w:color w:val="002060"/>
                <w:sz w:val="16"/>
                <w:szCs w:val="16"/>
              </w:rPr>
              <w:t xml:space="preserve"> et 2015</w:t>
            </w:r>
            <w:r w:rsidR="00BA5EA9" w:rsidRPr="00912C62">
              <w:rPr>
                <w:color w:val="002060"/>
                <w:sz w:val="16"/>
                <w:szCs w:val="16"/>
              </w:rPr>
              <w:t>.</w:t>
            </w:r>
          </w:p>
          <w:p w14:paraId="1C491698" w14:textId="5286DABA" w:rsidR="001F64B1" w:rsidRPr="00912C62" w:rsidRDefault="004560B4" w:rsidP="0097226C">
            <w:pPr>
              <w:keepNext/>
              <w:keepLines/>
              <w:rPr>
                <w:i/>
                <w:color w:val="002060"/>
                <w:sz w:val="16"/>
                <w:szCs w:val="16"/>
              </w:rPr>
            </w:pPr>
            <w:r w:rsidRPr="00912C62">
              <w:rPr>
                <w:color w:val="002060"/>
                <w:sz w:val="16"/>
                <w:szCs w:val="16"/>
              </w:rPr>
              <w:t>Règlement financier et règlement d</w:t>
            </w:r>
            <w:r w:rsidR="00FA22F6" w:rsidRPr="00912C62">
              <w:rPr>
                <w:color w:val="002060"/>
                <w:sz w:val="16"/>
                <w:szCs w:val="16"/>
              </w:rPr>
              <w:t>’</w:t>
            </w:r>
            <w:r w:rsidRPr="00912C62">
              <w:rPr>
                <w:color w:val="002060"/>
                <w:sz w:val="16"/>
                <w:szCs w:val="16"/>
              </w:rPr>
              <w:t xml:space="preserve">exécution du Règlement financier modifiés </w:t>
            </w:r>
            <w:r w:rsidR="00FA22F6" w:rsidRPr="00912C62">
              <w:rPr>
                <w:color w:val="002060"/>
                <w:sz w:val="16"/>
                <w:szCs w:val="16"/>
              </w:rPr>
              <w:t>en 2014</w:t>
            </w:r>
            <w:r w:rsidRPr="00912C62">
              <w:rPr>
                <w:color w:val="002060"/>
                <w:sz w:val="16"/>
                <w:szCs w:val="16"/>
              </w:rPr>
              <w:t xml:space="preserve"> et 2015 selon que de besoin</w:t>
            </w:r>
          </w:p>
          <w:p w14:paraId="3AF48116" w14:textId="77777777" w:rsidR="001F64B1" w:rsidRPr="001E6DFD" w:rsidRDefault="001F64B1" w:rsidP="0097226C">
            <w:pPr>
              <w:keepNext/>
              <w:keepLines/>
              <w:rPr>
                <w:sz w:val="16"/>
                <w:szCs w:val="16"/>
              </w:rPr>
            </w:pPr>
          </w:p>
          <w:p w14:paraId="4B1B77FC" w14:textId="4B8599BA" w:rsidR="00FA22F6" w:rsidRPr="0067214C" w:rsidRDefault="00E64532" w:rsidP="0067214C">
            <w:pPr>
              <w:keepNext/>
              <w:keepLines/>
              <w:rPr>
                <w:i/>
                <w:sz w:val="16"/>
                <w:szCs w:val="16"/>
              </w:rPr>
            </w:pPr>
            <w:r w:rsidRPr="0067214C">
              <w:rPr>
                <w:i/>
                <w:sz w:val="16"/>
                <w:szCs w:val="16"/>
              </w:rPr>
              <w:t>Niveau de référence initial dans le programme et budget 2016</w:t>
            </w:r>
            <w:r w:rsidR="006A41CF" w:rsidRPr="0067214C">
              <w:rPr>
                <w:i/>
                <w:sz w:val="16"/>
                <w:szCs w:val="16"/>
              </w:rPr>
              <w:noBreakHyphen/>
            </w:r>
            <w:r w:rsidRPr="0067214C">
              <w:rPr>
                <w:i/>
                <w:sz w:val="16"/>
                <w:szCs w:val="16"/>
              </w:rPr>
              <w:t>2017</w:t>
            </w:r>
            <w:r w:rsidR="00FA22F6" w:rsidRPr="0067214C">
              <w:rPr>
                <w:i/>
                <w:sz w:val="16"/>
                <w:szCs w:val="16"/>
              </w:rPr>
              <w:t> :</w:t>
            </w:r>
          </w:p>
          <w:p w14:paraId="080741D7" w14:textId="400A9E01" w:rsidR="00FA22F6" w:rsidRPr="0067214C" w:rsidRDefault="005C4694" w:rsidP="0067214C">
            <w:pPr>
              <w:keepNext/>
              <w:keepLines/>
              <w:rPr>
                <w:sz w:val="16"/>
                <w:szCs w:val="16"/>
              </w:rPr>
            </w:pPr>
            <w:r w:rsidRPr="0067214C">
              <w:rPr>
                <w:sz w:val="16"/>
                <w:szCs w:val="16"/>
              </w:rPr>
              <w:t xml:space="preserve">Ordres de service publiés </w:t>
            </w:r>
            <w:r w:rsidR="00FA22F6" w:rsidRPr="0067214C">
              <w:rPr>
                <w:sz w:val="16"/>
                <w:szCs w:val="16"/>
              </w:rPr>
              <w:t>en 2014</w:t>
            </w:r>
            <w:r w:rsidRPr="0067214C">
              <w:rPr>
                <w:sz w:val="16"/>
                <w:szCs w:val="16"/>
              </w:rPr>
              <w:t xml:space="preserve"> et 2015.</w:t>
            </w:r>
          </w:p>
          <w:p w14:paraId="627F0E62" w14:textId="0536AC90" w:rsidR="00BA5EA9" w:rsidRPr="001E6DFD" w:rsidRDefault="004560B4" w:rsidP="0067214C">
            <w:pPr>
              <w:keepNext/>
              <w:keepLines/>
              <w:rPr>
                <w:sz w:val="16"/>
                <w:szCs w:val="16"/>
              </w:rPr>
            </w:pPr>
            <w:r w:rsidRPr="001E6DFD">
              <w:rPr>
                <w:sz w:val="16"/>
                <w:szCs w:val="16"/>
              </w:rPr>
              <w:t>Règlement financier et règlements d</w:t>
            </w:r>
            <w:r w:rsidR="00FA22F6" w:rsidRPr="001E6DFD">
              <w:rPr>
                <w:sz w:val="16"/>
                <w:szCs w:val="16"/>
              </w:rPr>
              <w:t>’</w:t>
            </w:r>
            <w:r w:rsidRPr="001E6DFD">
              <w:rPr>
                <w:sz w:val="16"/>
                <w:szCs w:val="16"/>
              </w:rPr>
              <w:t xml:space="preserve">exécution du Règlement financier modifiés </w:t>
            </w:r>
            <w:r w:rsidR="00FA22F6" w:rsidRPr="001E6DFD">
              <w:rPr>
                <w:sz w:val="16"/>
                <w:szCs w:val="16"/>
              </w:rPr>
              <w:t>en 2014</w:t>
            </w:r>
            <w:r w:rsidRPr="001E6DFD">
              <w:rPr>
                <w:sz w:val="16"/>
                <w:szCs w:val="16"/>
              </w:rPr>
              <w:t xml:space="preserve"> selon que de besoin</w:t>
            </w:r>
            <w:r w:rsidR="00BA5EA9" w:rsidRPr="001E6DFD">
              <w:rPr>
                <w:sz w:val="16"/>
                <w:szCs w:val="16"/>
              </w:rPr>
              <w:t xml:space="preserve"> </w:t>
            </w:r>
          </w:p>
        </w:tc>
        <w:tc>
          <w:tcPr>
            <w:tcW w:w="757" w:type="pct"/>
            <w:gridSpan w:val="2"/>
            <w:shd w:val="clear" w:color="auto" w:fill="auto"/>
            <w:tcMar>
              <w:top w:w="110" w:type="dxa"/>
              <w:left w:w="58" w:type="dxa"/>
              <w:right w:w="58" w:type="dxa"/>
            </w:tcMar>
          </w:tcPr>
          <w:p w14:paraId="3F57BDC9" w14:textId="77777777" w:rsidR="00BA5EA9" w:rsidRPr="001E6DFD" w:rsidRDefault="004560B4" w:rsidP="0097226C">
            <w:pPr>
              <w:keepNext/>
              <w:keepLines/>
              <w:ind w:left="33"/>
              <w:rPr>
                <w:sz w:val="16"/>
                <w:szCs w:val="16"/>
              </w:rPr>
            </w:pPr>
            <w:r w:rsidRPr="001E6DFD">
              <w:rPr>
                <w:sz w:val="16"/>
                <w:szCs w:val="16"/>
              </w:rPr>
              <w:t>Examen et révision du cadre réglementaire le cas échéant</w:t>
            </w:r>
          </w:p>
        </w:tc>
        <w:tc>
          <w:tcPr>
            <w:tcW w:w="1397" w:type="pct"/>
            <w:gridSpan w:val="2"/>
            <w:shd w:val="clear" w:color="auto" w:fill="FFFFFF"/>
            <w:tcMar>
              <w:top w:w="110" w:type="dxa"/>
              <w:left w:w="58" w:type="dxa"/>
              <w:right w:w="58" w:type="dxa"/>
            </w:tcMar>
          </w:tcPr>
          <w:p w14:paraId="2418AF59" w14:textId="0BAE8707" w:rsidR="001F64B1" w:rsidRPr="0067214C" w:rsidRDefault="00023A96" w:rsidP="0097226C">
            <w:pPr>
              <w:keepNext/>
              <w:keepLines/>
              <w:rPr>
                <w:sz w:val="16"/>
                <w:szCs w:val="16"/>
              </w:rPr>
            </w:pPr>
            <w:r w:rsidRPr="0067214C">
              <w:rPr>
                <w:sz w:val="16"/>
                <w:szCs w:val="16"/>
              </w:rPr>
              <w:t xml:space="preserve">Mise en place de procédures systématisées </w:t>
            </w:r>
            <w:r w:rsidR="003239D7" w:rsidRPr="0067214C">
              <w:rPr>
                <w:sz w:val="16"/>
                <w:szCs w:val="16"/>
              </w:rPr>
              <w:t>pour le contenu, l</w:t>
            </w:r>
            <w:r w:rsidR="00FA22F6" w:rsidRPr="0067214C">
              <w:rPr>
                <w:sz w:val="16"/>
                <w:szCs w:val="16"/>
              </w:rPr>
              <w:t>’</w:t>
            </w:r>
            <w:r w:rsidR="003239D7" w:rsidRPr="0067214C">
              <w:rPr>
                <w:sz w:val="16"/>
                <w:szCs w:val="16"/>
              </w:rPr>
              <w:t>examen et l</w:t>
            </w:r>
            <w:r w:rsidR="00FA22F6" w:rsidRPr="0067214C">
              <w:rPr>
                <w:sz w:val="16"/>
                <w:szCs w:val="16"/>
              </w:rPr>
              <w:t>’</w:t>
            </w:r>
            <w:r w:rsidRPr="0067214C">
              <w:rPr>
                <w:sz w:val="16"/>
                <w:szCs w:val="16"/>
              </w:rPr>
              <w:t>approbation des ordres de service</w:t>
            </w:r>
            <w:r w:rsidR="003239D7" w:rsidRPr="0067214C">
              <w:rPr>
                <w:sz w:val="16"/>
                <w:szCs w:val="16"/>
              </w:rPr>
              <w:t xml:space="preserve"> et </w:t>
            </w:r>
            <w:r w:rsidRPr="0067214C">
              <w:rPr>
                <w:sz w:val="16"/>
                <w:szCs w:val="16"/>
              </w:rPr>
              <w:t>des avis au personnel</w:t>
            </w:r>
            <w:r w:rsidR="003239D7" w:rsidRPr="0067214C">
              <w:rPr>
                <w:sz w:val="16"/>
                <w:szCs w:val="16"/>
              </w:rPr>
              <w:t>.</w:t>
            </w:r>
          </w:p>
          <w:p w14:paraId="620BAF50" w14:textId="77777777" w:rsidR="001F64B1" w:rsidRPr="0067214C" w:rsidRDefault="001F64B1" w:rsidP="0097226C">
            <w:pPr>
              <w:keepNext/>
              <w:keepLines/>
              <w:rPr>
                <w:sz w:val="16"/>
                <w:szCs w:val="16"/>
              </w:rPr>
            </w:pPr>
          </w:p>
          <w:p w14:paraId="755182ED" w14:textId="39DD3DDE" w:rsidR="001F64B1" w:rsidRPr="00C119C4" w:rsidRDefault="007A5933" w:rsidP="0097226C">
            <w:pPr>
              <w:keepNext/>
              <w:keepLines/>
              <w:rPr>
                <w:rFonts w:eastAsia="Batang"/>
                <w:sz w:val="16"/>
                <w:szCs w:val="16"/>
                <w:lang w:eastAsia="ja-JP"/>
              </w:rPr>
            </w:pPr>
            <w:r w:rsidRPr="0067214C">
              <w:rPr>
                <w:sz w:val="16"/>
                <w:szCs w:val="16"/>
              </w:rPr>
              <w:t>Examen en cours et/ou publication d</w:t>
            </w:r>
            <w:r w:rsidR="00FA22F6" w:rsidRPr="0067214C">
              <w:rPr>
                <w:sz w:val="16"/>
                <w:szCs w:val="16"/>
              </w:rPr>
              <w:t>’</w:t>
            </w:r>
            <w:r w:rsidRPr="0067214C">
              <w:rPr>
                <w:sz w:val="16"/>
                <w:szCs w:val="16"/>
              </w:rPr>
              <w:t xml:space="preserve">ordres de service, </w:t>
            </w:r>
            <w:r w:rsidR="00FA22F6" w:rsidRPr="0067214C">
              <w:rPr>
                <w:sz w:val="16"/>
                <w:szCs w:val="16"/>
              </w:rPr>
              <w:t>y compris</w:t>
            </w:r>
            <w:r w:rsidRPr="0067214C">
              <w:rPr>
                <w:sz w:val="16"/>
                <w:szCs w:val="16"/>
              </w:rPr>
              <w:t xml:space="preserve"> ceux </w:t>
            </w:r>
            <w:r w:rsidR="00247EC2" w:rsidRPr="0067214C">
              <w:rPr>
                <w:sz w:val="16"/>
                <w:szCs w:val="16"/>
              </w:rPr>
              <w:t>traita</w:t>
            </w:r>
            <w:r w:rsidR="00247EC2" w:rsidRPr="00C119C4">
              <w:rPr>
                <w:rFonts w:eastAsia="Batang"/>
                <w:sz w:val="16"/>
                <w:szCs w:val="16"/>
                <w:lang w:eastAsia="ja-JP"/>
              </w:rPr>
              <w:t>nt</w:t>
            </w:r>
            <w:r w:rsidR="00FA22F6" w:rsidRPr="00C119C4">
              <w:rPr>
                <w:rFonts w:eastAsia="Batang"/>
                <w:sz w:val="16"/>
                <w:szCs w:val="16"/>
                <w:lang w:eastAsia="ja-JP"/>
              </w:rPr>
              <w:t> :</w:t>
            </w:r>
          </w:p>
          <w:p w14:paraId="5318A965" w14:textId="6899AB54" w:rsidR="001F64B1" w:rsidRPr="00C119C4" w:rsidRDefault="0067214C" w:rsidP="00C119C4">
            <w:pPr>
              <w:rPr>
                <w:rFonts w:eastAsia="Batang"/>
                <w:sz w:val="16"/>
                <w:szCs w:val="16"/>
                <w:lang w:eastAsia="ja-JP"/>
              </w:rPr>
            </w:pPr>
            <w:r w:rsidRPr="00C119C4">
              <w:rPr>
                <w:rFonts w:eastAsia="Batang"/>
                <w:sz w:val="16"/>
                <w:szCs w:val="16"/>
                <w:lang w:eastAsia="ja-JP"/>
              </w:rPr>
              <w:t xml:space="preserve">– </w:t>
            </w:r>
            <w:r w:rsidR="00B4191E" w:rsidRPr="00C119C4">
              <w:rPr>
                <w:rFonts w:eastAsia="Batang"/>
                <w:sz w:val="16"/>
                <w:szCs w:val="16"/>
                <w:lang w:eastAsia="ja-JP"/>
              </w:rPr>
              <w:t>d</w:t>
            </w:r>
            <w:r w:rsidR="00247EC2" w:rsidRPr="00C119C4">
              <w:rPr>
                <w:rFonts w:eastAsia="Batang"/>
                <w:sz w:val="16"/>
                <w:szCs w:val="16"/>
                <w:lang w:eastAsia="ja-JP"/>
              </w:rPr>
              <w:t xml:space="preserve">u </w:t>
            </w:r>
            <w:r w:rsidR="004560B4" w:rsidRPr="00C119C4">
              <w:rPr>
                <w:rFonts w:eastAsia="Batang"/>
                <w:sz w:val="16"/>
                <w:szCs w:val="16"/>
                <w:lang w:eastAsia="ja-JP"/>
              </w:rPr>
              <w:t>Groupe de gestion des risques de l</w:t>
            </w:r>
            <w:r w:rsidR="00FA22F6" w:rsidRPr="00C119C4">
              <w:rPr>
                <w:rFonts w:eastAsia="Batang"/>
                <w:sz w:val="16"/>
                <w:szCs w:val="16"/>
                <w:lang w:eastAsia="ja-JP"/>
              </w:rPr>
              <w:t>’</w:t>
            </w:r>
            <w:r w:rsidR="004560B4" w:rsidRPr="00C119C4">
              <w:rPr>
                <w:rFonts w:eastAsia="Batang"/>
                <w:sz w:val="16"/>
                <w:szCs w:val="16"/>
                <w:lang w:eastAsia="ja-JP"/>
              </w:rPr>
              <w:t>OMPI – Mandat et composition;</w:t>
            </w:r>
          </w:p>
          <w:p w14:paraId="742765B9" w14:textId="6A4EA502" w:rsidR="001F64B1" w:rsidRPr="0067214C" w:rsidRDefault="0067214C" w:rsidP="0067214C">
            <w:pPr>
              <w:pStyle w:val="Default"/>
              <w:keepNext/>
              <w:keepLines/>
              <w:ind w:right="0"/>
              <w:rPr>
                <w:color w:val="auto"/>
                <w:sz w:val="16"/>
                <w:szCs w:val="16"/>
                <w:lang w:val="fr-FR"/>
              </w:rPr>
            </w:pPr>
            <w:r>
              <w:rPr>
                <w:color w:val="auto"/>
                <w:sz w:val="16"/>
                <w:szCs w:val="16"/>
                <w:lang w:val="fr-FR"/>
              </w:rPr>
              <w:t xml:space="preserve">– </w:t>
            </w:r>
            <w:r w:rsidR="00B4191E" w:rsidRPr="0067214C">
              <w:rPr>
                <w:color w:val="auto"/>
                <w:sz w:val="16"/>
                <w:szCs w:val="16"/>
                <w:lang w:val="fr-FR"/>
              </w:rPr>
              <w:t>d</w:t>
            </w:r>
            <w:r w:rsidR="00247EC2" w:rsidRPr="0067214C">
              <w:rPr>
                <w:color w:val="auto"/>
                <w:sz w:val="16"/>
                <w:szCs w:val="16"/>
                <w:lang w:val="fr-FR"/>
              </w:rPr>
              <w:t>e l</w:t>
            </w:r>
            <w:r w:rsidR="00FA22F6" w:rsidRPr="0067214C">
              <w:rPr>
                <w:color w:val="auto"/>
                <w:sz w:val="16"/>
                <w:szCs w:val="16"/>
                <w:lang w:val="fr-FR"/>
              </w:rPr>
              <w:t>’</w:t>
            </w:r>
            <w:r w:rsidR="00247EC2" w:rsidRPr="0067214C">
              <w:rPr>
                <w:color w:val="auto"/>
                <w:sz w:val="16"/>
                <w:szCs w:val="16"/>
                <w:lang w:val="fr-FR"/>
              </w:rPr>
              <w:t>examen du cadre applicable aux achats</w:t>
            </w:r>
            <w:r w:rsidR="00BA5EA9" w:rsidRPr="0067214C">
              <w:rPr>
                <w:color w:val="auto"/>
                <w:sz w:val="16"/>
                <w:szCs w:val="16"/>
                <w:lang w:val="fr-FR"/>
              </w:rPr>
              <w:t>.</w:t>
            </w:r>
          </w:p>
          <w:p w14:paraId="267668D6" w14:textId="77777777" w:rsidR="001F64B1" w:rsidRPr="001303B4" w:rsidRDefault="001F64B1" w:rsidP="0097226C">
            <w:pPr>
              <w:keepNext/>
              <w:keepLines/>
              <w:rPr>
                <w:sz w:val="16"/>
                <w:szCs w:val="16"/>
              </w:rPr>
            </w:pPr>
          </w:p>
          <w:p w14:paraId="27A0B2AF" w14:textId="624EA4BE" w:rsidR="00BA5EA9" w:rsidRPr="0067214C" w:rsidRDefault="00A62E80" w:rsidP="0097226C">
            <w:pPr>
              <w:keepNext/>
              <w:keepLines/>
              <w:rPr>
                <w:sz w:val="16"/>
                <w:szCs w:val="16"/>
              </w:rPr>
            </w:pPr>
            <w:r w:rsidRPr="0067214C">
              <w:rPr>
                <w:sz w:val="16"/>
                <w:szCs w:val="16"/>
              </w:rPr>
              <w:t>Publication d</w:t>
            </w:r>
            <w:r w:rsidR="00FA22F6" w:rsidRPr="0067214C">
              <w:rPr>
                <w:sz w:val="16"/>
                <w:szCs w:val="16"/>
              </w:rPr>
              <w:t>’</w:t>
            </w:r>
            <w:r w:rsidRPr="0067214C">
              <w:rPr>
                <w:sz w:val="16"/>
                <w:szCs w:val="16"/>
              </w:rPr>
              <w:t xml:space="preserve">un manuel sur la gestion des biens </w:t>
            </w:r>
          </w:p>
        </w:tc>
        <w:tc>
          <w:tcPr>
            <w:tcW w:w="461" w:type="pct"/>
            <w:shd w:val="clear" w:color="auto" w:fill="auto"/>
            <w:tcMar>
              <w:top w:w="110" w:type="dxa"/>
              <w:left w:w="58" w:type="dxa"/>
              <w:right w:w="58" w:type="dxa"/>
            </w:tcMar>
          </w:tcPr>
          <w:p w14:paraId="5174972C" w14:textId="1DC08757" w:rsidR="00BA5EA9" w:rsidRPr="001E6DFD" w:rsidRDefault="00A43B2F" w:rsidP="00DF39AB">
            <w:pPr>
              <w:keepNext/>
              <w:keepLines/>
              <w:jc w:val="center"/>
              <w:rPr>
                <w:sz w:val="16"/>
                <w:szCs w:val="16"/>
              </w:rPr>
            </w:pPr>
            <w:r w:rsidRPr="001E6DFD">
              <w:rPr>
                <w:b/>
                <w:color w:val="00B050"/>
                <w:sz w:val="16"/>
                <w:szCs w:val="16"/>
              </w:rPr>
              <w:t>En bonne voie</w:t>
            </w:r>
          </w:p>
        </w:tc>
      </w:tr>
      <w:tr w:rsidR="00BA5EA9" w:rsidRPr="001E6DFD" w14:paraId="457AA95E" w14:textId="77777777" w:rsidTr="005C716A">
        <w:tc>
          <w:tcPr>
            <w:tcW w:w="905" w:type="pct"/>
            <w:shd w:val="clear" w:color="auto" w:fill="auto"/>
            <w:tcMar>
              <w:left w:w="58" w:type="dxa"/>
              <w:right w:w="58" w:type="dxa"/>
            </w:tcMar>
          </w:tcPr>
          <w:p w14:paraId="085DC5EB" w14:textId="77777777" w:rsidR="00BA5EA9" w:rsidRPr="001E6DFD" w:rsidRDefault="004560B4" w:rsidP="0097226C">
            <w:pPr>
              <w:ind w:left="33"/>
              <w:rPr>
                <w:sz w:val="16"/>
                <w:szCs w:val="16"/>
              </w:rPr>
            </w:pPr>
            <w:r w:rsidRPr="001E6DFD">
              <w:rPr>
                <w:sz w:val="16"/>
                <w:szCs w:val="16"/>
              </w:rPr>
              <w:t>Gestion des risques et contrôles internes plus élaborés, conformément à la feuille de route</w:t>
            </w:r>
          </w:p>
        </w:tc>
        <w:tc>
          <w:tcPr>
            <w:tcW w:w="1480" w:type="pct"/>
            <w:gridSpan w:val="2"/>
            <w:shd w:val="clear" w:color="auto" w:fill="auto"/>
            <w:tcMar>
              <w:left w:w="58" w:type="dxa"/>
              <w:right w:w="58" w:type="dxa"/>
            </w:tcMar>
          </w:tcPr>
          <w:p w14:paraId="4BF759F5" w14:textId="570F342A" w:rsidR="00FA22F6" w:rsidRPr="0067214C" w:rsidRDefault="00E64532" w:rsidP="0097226C">
            <w:pPr>
              <w:rPr>
                <w:i/>
                <w:color w:val="002060"/>
                <w:sz w:val="16"/>
                <w:szCs w:val="16"/>
              </w:rPr>
            </w:pPr>
            <w:r w:rsidRPr="0067214C">
              <w:rPr>
                <w:i/>
                <w:color w:val="002060"/>
                <w:sz w:val="16"/>
                <w:szCs w:val="16"/>
              </w:rPr>
              <w:t>Niveau de référence actualisé à fin</w:t>
            </w:r>
            <w:r w:rsidR="00B4191E" w:rsidRPr="0067214C">
              <w:rPr>
                <w:i/>
                <w:color w:val="002060"/>
                <w:sz w:val="16"/>
                <w:szCs w:val="16"/>
              </w:rPr>
              <w:t> </w:t>
            </w:r>
            <w:r w:rsidRPr="0067214C">
              <w:rPr>
                <w:i/>
                <w:color w:val="002060"/>
                <w:sz w:val="16"/>
                <w:szCs w:val="16"/>
              </w:rPr>
              <w:t>2015</w:t>
            </w:r>
            <w:r w:rsidR="00FA22F6" w:rsidRPr="0067214C">
              <w:rPr>
                <w:i/>
                <w:color w:val="002060"/>
                <w:sz w:val="16"/>
                <w:szCs w:val="16"/>
              </w:rPr>
              <w:t> :</w:t>
            </w:r>
          </w:p>
          <w:p w14:paraId="5FDDAB71" w14:textId="1975818A" w:rsidR="001F64B1" w:rsidRPr="0067214C" w:rsidRDefault="004560B4" w:rsidP="0097226C">
            <w:pPr>
              <w:rPr>
                <w:color w:val="002060"/>
                <w:sz w:val="16"/>
                <w:szCs w:val="16"/>
              </w:rPr>
            </w:pPr>
            <w:r w:rsidRPr="0067214C">
              <w:rPr>
                <w:color w:val="002060"/>
                <w:sz w:val="16"/>
                <w:szCs w:val="16"/>
              </w:rPr>
              <w:t>Progression de 80% par rapport à la feuille de route sur la gestion des risques;  progression de 30% par rapport à la feuille de route sur les contrôles internes</w:t>
            </w:r>
          </w:p>
          <w:p w14:paraId="560704B3" w14:textId="77777777" w:rsidR="001F64B1" w:rsidRPr="001E6DFD" w:rsidRDefault="001F64B1" w:rsidP="0097226C">
            <w:pPr>
              <w:rPr>
                <w:sz w:val="16"/>
                <w:szCs w:val="16"/>
              </w:rPr>
            </w:pPr>
          </w:p>
          <w:p w14:paraId="179C4523" w14:textId="77777777" w:rsidR="00851C67" w:rsidRDefault="00851C67" w:rsidP="0097226C">
            <w:pPr>
              <w:ind w:left="33"/>
              <w:rPr>
                <w:i/>
                <w:sz w:val="16"/>
                <w:szCs w:val="16"/>
              </w:rPr>
            </w:pPr>
          </w:p>
          <w:p w14:paraId="00F6DB74" w14:textId="1C9BFCC3" w:rsidR="00FA22F6" w:rsidRPr="001E6DFD" w:rsidRDefault="00E64532" w:rsidP="0097226C">
            <w:pPr>
              <w:ind w:left="33"/>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12508DEB" w14:textId="6B42E923" w:rsidR="00BA5EA9" w:rsidRPr="001E6DFD" w:rsidRDefault="004560B4" w:rsidP="0097226C">
            <w:pPr>
              <w:ind w:left="33"/>
              <w:rPr>
                <w:sz w:val="16"/>
                <w:szCs w:val="16"/>
              </w:rPr>
            </w:pPr>
            <w:r w:rsidRPr="001E6DFD">
              <w:rPr>
                <w:sz w:val="16"/>
                <w:szCs w:val="16"/>
              </w:rPr>
              <w:t>Progression de 75% par rapport à la feuille de route sur la gestion des risques;  progression de 25% par rapport à la feuille de route sur les contrôles internes</w:t>
            </w:r>
          </w:p>
        </w:tc>
        <w:tc>
          <w:tcPr>
            <w:tcW w:w="757" w:type="pct"/>
            <w:gridSpan w:val="2"/>
            <w:shd w:val="clear" w:color="auto" w:fill="auto"/>
            <w:tcMar>
              <w:top w:w="110" w:type="dxa"/>
              <w:left w:w="58" w:type="dxa"/>
              <w:right w:w="58" w:type="dxa"/>
            </w:tcMar>
          </w:tcPr>
          <w:p w14:paraId="37612413" w14:textId="77777777" w:rsidR="00414513" w:rsidRPr="001E6DFD" w:rsidRDefault="00414513" w:rsidP="0097226C">
            <w:pPr>
              <w:ind w:left="33"/>
              <w:rPr>
                <w:sz w:val="16"/>
                <w:szCs w:val="16"/>
              </w:rPr>
            </w:pPr>
            <w:r w:rsidRPr="001E6DFD">
              <w:rPr>
                <w:sz w:val="16"/>
                <w:szCs w:val="16"/>
              </w:rPr>
              <w:t>Progression de 100% par rapport à la feuille de route sur la gestion des risques</w:t>
            </w:r>
          </w:p>
          <w:p w14:paraId="24B1AD1E" w14:textId="77777777" w:rsidR="00414513" w:rsidRPr="001E6DFD" w:rsidRDefault="00414513" w:rsidP="0097226C">
            <w:pPr>
              <w:ind w:left="33"/>
              <w:rPr>
                <w:sz w:val="16"/>
                <w:szCs w:val="16"/>
              </w:rPr>
            </w:pPr>
          </w:p>
          <w:p w14:paraId="4F4B24ED" w14:textId="77777777" w:rsidR="00BA5EA9" w:rsidRPr="001E6DFD" w:rsidRDefault="00414513" w:rsidP="0097226C">
            <w:pPr>
              <w:ind w:left="33"/>
              <w:rPr>
                <w:sz w:val="16"/>
                <w:szCs w:val="16"/>
              </w:rPr>
            </w:pPr>
            <w:r w:rsidRPr="001E6DFD">
              <w:rPr>
                <w:sz w:val="16"/>
                <w:szCs w:val="16"/>
              </w:rPr>
              <w:t>Progression de 80% par rapport à la feuille de route sur les contrôles internes</w:t>
            </w:r>
          </w:p>
        </w:tc>
        <w:tc>
          <w:tcPr>
            <w:tcW w:w="1397" w:type="pct"/>
            <w:gridSpan w:val="2"/>
            <w:shd w:val="clear" w:color="auto" w:fill="FFFFFF"/>
            <w:tcMar>
              <w:top w:w="110" w:type="dxa"/>
              <w:left w:w="58" w:type="dxa"/>
              <w:right w:w="58" w:type="dxa"/>
            </w:tcMar>
          </w:tcPr>
          <w:p w14:paraId="10D46773" w14:textId="520210EB" w:rsidR="001F64B1" w:rsidRPr="0067214C" w:rsidRDefault="00A62E80" w:rsidP="0097226C">
            <w:pPr>
              <w:keepNext/>
              <w:keepLines/>
              <w:rPr>
                <w:sz w:val="16"/>
                <w:szCs w:val="16"/>
              </w:rPr>
            </w:pPr>
            <w:r w:rsidRPr="0067214C">
              <w:rPr>
                <w:sz w:val="16"/>
                <w:szCs w:val="16"/>
              </w:rPr>
              <w:t xml:space="preserve">Progression de </w:t>
            </w:r>
            <w:r w:rsidR="00BA5EA9" w:rsidRPr="0067214C">
              <w:rPr>
                <w:sz w:val="16"/>
                <w:szCs w:val="16"/>
              </w:rPr>
              <w:t xml:space="preserve">100% </w:t>
            </w:r>
            <w:r w:rsidRPr="0067214C">
              <w:rPr>
                <w:sz w:val="16"/>
                <w:szCs w:val="16"/>
              </w:rPr>
              <w:t xml:space="preserve">par rapport à la feuille de route sur la gestion des risques, </w:t>
            </w:r>
            <w:r w:rsidR="00FA22F6" w:rsidRPr="0067214C">
              <w:rPr>
                <w:sz w:val="16"/>
                <w:szCs w:val="16"/>
              </w:rPr>
              <w:t>y compris :</w:t>
            </w:r>
          </w:p>
          <w:p w14:paraId="543241BE" w14:textId="6CB015E2" w:rsidR="00FA22F6" w:rsidRPr="0067214C" w:rsidRDefault="0067214C" w:rsidP="0067214C">
            <w:pPr>
              <w:keepNext/>
              <w:keepLines/>
              <w:rPr>
                <w:sz w:val="16"/>
                <w:szCs w:val="16"/>
              </w:rPr>
            </w:pPr>
            <w:r>
              <w:rPr>
                <w:sz w:val="16"/>
                <w:szCs w:val="16"/>
              </w:rPr>
              <w:t xml:space="preserve">– </w:t>
            </w:r>
            <w:r w:rsidR="00920192" w:rsidRPr="0067214C">
              <w:rPr>
                <w:sz w:val="16"/>
                <w:szCs w:val="16"/>
              </w:rPr>
              <w:t xml:space="preserve">Réalisation des activités figurant sur la feuille de route </w:t>
            </w:r>
            <w:r w:rsidR="00FA22F6" w:rsidRPr="0067214C">
              <w:rPr>
                <w:sz w:val="16"/>
                <w:szCs w:val="16"/>
              </w:rPr>
              <w:t>de 2014</w:t>
            </w:r>
            <w:r w:rsidR="006A41CF" w:rsidRPr="0067214C">
              <w:rPr>
                <w:sz w:val="16"/>
                <w:szCs w:val="16"/>
              </w:rPr>
              <w:noBreakHyphen/>
            </w:r>
            <w:r w:rsidR="00920192" w:rsidRPr="0067214C">
              <w:rPr>
                <w:sz w:val="16"/>
                <w:szCs w:val="16"/>
              </w:rPr>
              <w:t>2015 avec de</w:t>
            </w:r>
            <w:r w:rsidR="00B4191E" w:rsidRPr="0067214C">
              <w:rPr>
                <w:sz w:val="16"/>
                <w:szCs w:val="16"/>
              </w:rPr>
              <w:t xml:space="preserve">s </w:t>
            </w:r>
            <w:r w:rsidR="00920192" w:rsidRPr="0067214C">
              <w:rPr>
                <w:sz w:val="16"/>
                <w:szCs w:val="16"/>
              </w:rPr>
              <w:t>rapports de performance sur les risques à l</w:t>
            </w:r>
            <w:r w:rsidR="00FA22F6" w:rsidRPr="0067214C">
              <w:rPr>
                <w:sz w:val="16"/>
                <w:szCs w:val="16"/>
              </w:rPr>
              <w:t>’</w:t>
            </w:r>
            <w:r w:rsidR="00920192" w:rsidRPr="0067214C">
              <w:rPr>
                <w:sz w:val="16"/>
                <w:szCs w:val="16"/>
              </w:rPr>
              <w:t xml:space="preserve">intention des États membres </w:t>
            </w:r>
            <w:r w:rsidR="00E50330" w:rsidRPr="0067214C">
              <w:rPr>
                <w:sz w:val="16"/>
                <w:szCs w:val="16"/>
              </w:rPr>
              <w:t xml:space="preserve">traités </w:t>
            </w:r>
            <w:r w:rsidR="00920192" w:rsidRPr="0067214C">
              <w:rPr>
                <w:sz w:val="16"/>
                <w:szCs w:val="16"/>
              </w:rPr>
              <w:t xml:space="preserve">par le </w:t>
            </w:r>
            <w:r w:rsidR="00E50330" w:rsidRPr="0067214C">
              <w:rPr>
                <w:sz w:val="16"/>
                <w:szCs w:val="16"/>
              </w:rPr>
              <w:t>rapport biennal sur l</w:t>
            </w:r>
            <w:r w:rsidR="00FA22F6" w:rsidRPr="0067214C">
              <w:rPr>
                <w:sz w:val="16"/>
                <w:szCs w:val="16"/>
              </w:rPr>
              <w:t>’</w:t>
            </w:r>
            <w:r w:rsidR="00E50330" w:rsidRPr="0067214C">
              <w:rPr>
                <w:sz w:val="16"/>
                <w:szCs w:val="16"/>
              </w:rPr>
              <w:t>exécution du programme</w:t>
            </w:r>
            <w:r w:rsidR="00BA5EA9" w:rsidRPr="0067214C">
              <w:rPr>
                <w:sz w:val="16"/>
                <w:szCs w:val="16"/>
              </w:rPr>
              <w:t xml:space="preserve">; </w:t>
            </w:r>
            <w:r w:rsidR="00E50330" w:rsidRPr="0067214C">
              <w:rPr>
                <w:sz w:val="16"/>
                <w:szCs w:val="16"/>
              </w:rPr>
              <w:t xml:space="preserve"> et</w:t>
            </w:r>
          </w:p>
          <w:p w14:paraId="484E499E" w14:textId="6032D014" w:rsidR="001F64B1" w:rsidRDefault="0067214C" w:rsidP="0067214C">
            <w:pPr>
              <w:keepNext/>
              <w:keepLines/>
              <w:rPr>
                <w:sz w:val="16"/>
                <w:szCs w:val="16"/>
              </w:rPr>
            </w:pPr>
            <w:r>
              <w:rPr>
                <w:sz w:val="16"/>
                <w:szCs w:val="16"/>
              </w:rPr>
              <w:t xml:space="preserve">– </w:t>
            </w:r>
            <w:r w:rsidR="00034B81" w:rsidRPr="0067214C">
              <w:rPr>
                <w:sz w:val="16"/>
                <w:szCs w:val="16"/>
              </w:rPr>
              <w:t xml:space="preserve">Activités </w:t>
            </w:r>
            <w:r w:rsidR="00FA22F6" w:rsidRPr="0067214C">
              <w:rPr>
                <w:sz w:val="16"/>
                <w:szCs w:val="16"/>
              </w:rPr>
              <w:t>pour 2016</w:t>
            </w:r>
            <w:r w:rsidR="006A41CF" w:rsidRPr="0067214C">
              <w:rPr>
                <w:sz w:val="16"/>
                <w:szCs w:val="16"/>
              </w:rPr>
              <w:noBreakHyphen/>
            </w:r>
            <w:r w:rsidR="00034B81" w:rsidRPr="0067214C">
              <w:rPr>
                <w:sz w:val="16"/>
                <w:szCs w:val="16"/>
              </w:rPr>
              <w:t>2017, suite à l</w:t>
            </w:r>
            <w:r w:rsidR="00FA22F6" w:rsidRPr="0067214C">
              <w:rPr>
                <w:sz w:val="16"/>
                <w:szCs w:val="16"/>
              </w:rPr>
              <w:t>’</w:t>
            </w:r>
            <w:r w:rsidR="00034B81" w:rsidRPr="0067214C">
              <w:rPr>
                <w:sz w:val="16"/>
                <w:szCs w:val="16"/>
              </w:rPr>
              <w:t>a</w:t>
            </w:r>
            <w:r w:rsidR="00203DE5" w:rsidRPr="0067214C">
              <w:rPr>
                <w:sz w:val="16"/>
                <w:szCs w:val="16"/>
              </w:rPr>
              <w:t>u</w:t>
            </w:r>
            <w:r w:rsidR="00034B81" w:rsidRPr="0067214C">
              <w:rPr>
                <w:sz w:val="16"/>
                <w:szCs w:val="16"/>
              </w:rPr>
              <w:t xml:space="preserve">dit </w:t>
            </w:r>
            <w:r w:rsidR="00203DE5" w:rsidRPr="0067214C">
              <w:rPr>
                <w:sz w:val="16"/>
                <w:szCs w:val="16"/>
              </w:rPr>
              <w:t xml:space="preserve">interne </w:t>
            </w:r>
            <w:r w:rsidR="00034B81" w:rsidRPr="0067214C">
              <w:rPr>
                <w:sz w:val="16"/>
                <w:szCs w:val="16"/>
              </w:rPr>
              <w:t>sur la gestion des risques à l</w:t>
            </w:r>
            <w:r w:rsidR="00FA22F6" w:rsidRPr="0067214C">
              <w:rPr>
                <w:sz w:val="16"/>
                <w:szCs w:val="16"/>
              </w:rPr>
              <w:t>’</w:t>
            </w:r>
            <w:r w:rsidR="00034B81" w:rsidRPr="0067214C">
              <w:rPr>
                <w:sz w:val="16"/>
                <w:szCs w:val="16"/>
              </w:rPr>
              <w:t>échelle de l</w:t>
            </w:r>
            <w:r w:rsidR="00FA22F6" w:rsidRPr="0067214C">
              <w:rPr>
                <w:sz w:val="16"/>
                <w:szCs w:val="16"/>
              </w:rPr>
              <w:t>’</w:t>
            </w:r>
            <w:r w:rsidR="00034B81" w:rsidRPr="0067214C">
              <w:rPr>
                <w:sz w:val="16"/>
                <w:szCs w:val="16"/>
              </w:rPr>
              <w:t>Organisation</w:t>
            </w:r>
            <w:r w:rsidR="00203DE5" w:rsidRPr="0067214C">
              <w:rPr>
                <w:sz w:val="16"/>
                <w:szCs w:val="16"/>
              </w:rPr>
              <w:t xml:space="preserve"> mené fin</w:t>
            </w:r>
            <w:r w:rsidR="00B4191E" w:rsidRPr="0067214C">
              <w:rPr>
                <w:sz w:val="16"/>
                <w:szCs w:val="16"/>
              </w:rPr>
              <w:t> </w:t>
            </w:r>
            <w:r w:rsidR="00203DE5" w:rsidRPr="0067214C">
              <w:rPr>
                <w:sz w:val="16"/>
                <w:szCs w:val="16"/>
              </w:rPr>
              <w:t>2016</w:t>
            </w:r>
            <w:r w:rsidR="00BA5EA9" w:rsidRPr="0067214C">
              <w:rPr>
                <w:sz w:val="16"/>
                <w:szCs w:val="16"/>
              </w:rPr>
              <w:t>.</w:t>
            </w:r>
          </w:p>
          <w:p w14:paraId="20ED3C7E" w14:textId="77777777" w:rsidR="0067214C" w:rsidRPr="0067214C" w:rsidRDefault="0067214C" w:rsidP="0067214C">
            <w:pPr>
              <w:keepNext/>
              <w:keepLines/>
              <w:rPr>
                <w:sz w:val="16"/>
                <w:szCs w:val="16"/>
              </w:rPr>
            </w:pPr>
          </w:p>
          <w:p w14:paraId="21C97D0F" w14:textId="2FEADB26" w:rsidR="00FA22F6" w:rsidRPr="0067214C" w:rsidRDefault="00186B2D" w:rsidP="0097226C">
            <w:pPr>
              <w:keepNext/>
              <w:keepLines/>
              <w:rPr>
                <w:sz w:val="16"/>
                <w:szCs w:val="16"/>
              </w:rPr>
            </w:pPr>
            <w:r w:rsidRPr="0067214C">
              <w:rPr>
                <w:sz w:val="16"/>
                <w:szCs w:val="16"/>
              </w:rPr>
              <w:t xml:space="preserve">Progression de </w:t>
            </w:r>
            <w:r w:rsidR="00BA5EA9" w:rsidRPr="0067214C">
              <w:rPr>
                <w:sz w:val="16"/>
                <w:szCs w:val="16"/>
              </w:rPr>
              <w:t xml:space="preserve">40% </w:t>
            </w:r>
            <w:r w:rsidRPr="0067214C">
              <w:rPr>
                <w:sz w:val="16"/>
                <w:szCs w:val="16"/>
              </w:rPr>
              <w:t xml:space="preserve">par rapport au projet de feuille de route sur les contrôles internes, </w:t>
            </w:r>
            <w:r w:rsidR="00FA22F6" w:rsidRPr="0067214C">
              <w:rPr>
                <w:sz w:val="16"/>
                <w:szCs w:val="16"/>
              </w:rPr>
              <w:t>y compris</w:t>
            </w:r>
            <w:r w:rsidRPr="0067214C">
              <w:rPr>
                <w:sz w:val="16"/>
                <w:szCs w:val="16"/>
              </w:rPr>
              <w:t xml:space="preserve"> dans les domaines suivant</w:t>
            </w:r>
            <w:r w:rsidR="00B4191E" w:rsidRPr="0067214C">
              <w:rPr>
                <w:sz w:val="16"/>
                <w:szCs w:val="16"/>
              </w:rPr>
              <w:t>s </w:t>
            </w:r>
            <w:r w:rsidR="00FA22F6" w:rsidRPr="0067214C">
              <w:rPr>
                <w:sz w:val="16"/>
                <w:szCs w:val="16"/>
              </w:rPr>
              <w:t>:</w:t>
            </w:r>
          </w:p>
          <w:p w14:paraId="33A19DC9" w14:textId="6C198DDF" w:rsidR="00FA22F6" w:rsidRPr="0067214C" w:rsidRDefault="0067214C" w:rsidP="0067214C">
            <w:pPr>
              <w:keepNext/>
              <w:keepLines/>
              <w:rPr>
                <w:sz w:val="16"/>
                <w:szCs w:val="16"/>
              </w:rPr>
            </w:pPr>
            <w:r>
              <w:rPr>
                <w:sz w:val="16"/>
                <w:szCs w:val="16"/>
              </w:rPr>
              <w:t xml:space="preserve">– </w:t>
            </w:r>
            <w:r w:rsidR="000D506A" w:rsidRPr="0067214C">
              <w:rPr>
                <w:sz w:val="16"/>
                <w:szCs w:val="16"/>
              </w:rPr>
              <w:t>Recensement des principales procédures administratives et contrôles internes</w:t>
            </w:r>
            <w:r w:rsidR="00BA5EA9" w:rsidRPr="0067214C">
              <w:rPr>
                <w:sz w:val="16"/>
                <w:szCs w:val="16"/>
              </w:rPr>
              <w:t>;</w:t>
            </w:r>
          </w:p>
          <w:p w14:paraId="597B1A2D" w14:textId="22DF064F" w:rsidR="00FA22F6" w:rsidRPr="0067214C" w:rsidRDefault="0067214C" w:rsidP="0067214C">
            <w:pPr>
              <w:keepNext/>
              <w:keepLines/>
              <w:rPr>
                <w:sz w:val="16"/>
                <w:szCs w:val="16"/>
              </w:rPr>
            </w:pPr>
            <w:r>
              <w:rPr>
                <w:sz w:val="16"/>
                <w:szCs w:val="16"/>
              </w:rPr>
              <w:t xml:space="preserve">– </w:t>
            </w:r>
            <w:r w:rsidR="002A0884" w:rsidRPr="0067214C">
              <w:rPr>
                <w:sz w:val="16"/>
                <w:szCs w:val="16"/>
              </w:rPr>
              <w:t>Méthodologie d</w:t>
            </w:r>
            <w:r w:rsidR="00FA22F6" w:rsidRPr="0067214C">
              <w:rPr>
                <w:sz w:val="16"/>
                <w:szCs w:val="16"/>
              </w:rPr>
              <w:t>’</w:t>
            </w:r>
            <w:r w:rsidR="002A0884" w:rsidRPr="0067214C">
              <w:rPr>
                <w:sz w:val="16"/>
                <w:szCs w:val="16"/>
              </w:rPr>
              <w:t>évaluation des procédures de contrôle en place</w:t>
            </w:r>
            <w:r w:rsidR="00BA5EA9" w:rsidRPr="0067214C">
              <w:rPr>
                <w:sz w:val="16"/>
                <w:szCs w:val="16"/>
              </w:rPr>
              <w:t>;</w:t>
            </w:r>
          </w:p>
          <w:p w14:paraId="0F7EF302" w14:textId="01D9F088" w:rsidR="00BA5EA9" w:rsidRPr="0067214C" w:rsidRDefault="0067214C" w:rsidP="0067214C">
            <w:pPr>
              <w:keepNext/>
              <w:keepLines/>
              <w:rPr>
                <w:sz w:val="16"/>
                <w:szCs w:val="16"/>
              </w:rPr>
            </w:pPr>
            <w:r>
              <w:rPr>
                <w:sz w:val="16"/>
                <w:szCs w:val="16"/>
              </w:rPr>
              <w:t xml:space="preserve">– </w:t>
            </w:r>
            <w:r w:rsidR="002A0884" w:rsidRPr="0067214C">
              <w:rPr>
                <w:sz w:val="16"/>
                <w:szCs w:val="16"/>
              </w:rPr>
              <w:t>L</w:t>
            </w:r>
            <w:r w:rsidR="00FA22F6" w:rsidRPr="0067214C">
              <w:rPr>
                <w:sz w:val="16"/>
                <w:szCs w:val="16"/>
              </w:rPr>
              <w:t>’</w:t>
            </w:r>
            <w:r w:rsidR="002A0884" w:rsidRPr="0067214C">
              <w:rPr>
                <w:sz w:val="16"/>
                <w:szCs w:val="16"/>
              </w:rPr>
              <w:t xml:space="preserve">évaluation des procédures de contrôle au niveau des entités (ELC) pour </w:t>
            </w:r>
            <w:r w:rsidR="00B0596B" w:rsidRPr="0067214C">
              <w:rPr>
                <w:sz w:val="16"/>
                <w:szCs w:val="16"/>
              </w:rPr>
              <w:t xml:space="preserve">favoriser la signature de lettres de déclaration de responsabilité </w:t>
            </w:r>
            <w:r w:rsidR="002A0884" w:rsidRPr="0067214C">
              <w:rPr>
                <w:sz w:val="16"/>
                <w:szCs w:val="16"/>
              </w:rPr>
              <w:t>(MRL)</w:t>
            </w:r>
          </w:p>
        </w:tc>
        <w:tc>
          <w:tcPr>
            <w:tcW w:w="461" w:type="pct"/>
            <w:shd w:val="clear" w:color="auto" w:fill="auto"/>
            <w:tcMar>
              <w:top w:w="110" w:type="dxa"/>
              <w:left w:w="58" w:type="dxa"/>
              <w:right w:w="58" w:type="dxa"/>
            </w:tcMar>
          </w:tcPr>
          <w:p w14:paraId="143D4EA0" w14:textId="77777777" w:rsidR="001F64B1" w:rsidRPr="001E6DFD" w:rsidRDefault="00A43B2F" w:rsidP="0097226C">
            <w:pPr>
              <w:keepNext/>
              <w:keepLines/>
              <w:jc w:val="center"/>
              <w:rPr>
                <w:b/>
                <w:sz w:val="16"/>
                <w:szCs w:val="16"/>
              </w:rPr>
            </w:pPr>
            <w:r w:rsidRPr="001E6DFD">
              <w:rPr>
                <w:b/>
                <w:color w:val="00B050"/>
                <w:sz w:val="16"/>
                <w:szCs w:val="16"/>
              </w:rPr>
              <w:t>En bonne voie</w:t>
            </w:r>
          </w:p>
          <w:p w14:paraId="0EFDFAC3" w14:textId="77777777" w:rsidR="001F64B1" w:rsidRPr="001E6DFD" w:rsidRDefault="001F64B1" w:rsidP="0097226C">
            <w:pPr>
              <w:keepNext/>
              <w:keepLines/>
              <w:jc w:val="center"/>
              <w:rPr>
                <w:b/>
                <w:sz w:val="16"/>
                <w:szCs w:val="16"/>
              </w:rPr>
            </w:pPr>
          </w:p>
          <w:p w14:paraId="4089CBE1" w14:textId="77777777" w:rsidR="001F64B1" w:rsidRPr="001E6DFD" w:rsidRDefault="001F64B1" w:rsidP="0097226C">
            <w:pPr>
              <w:keepNext/>
              <w:keepLines/>
              <w:jc w:val="center"/>
              <w:rPr>
                <w:b/>
                <w:sz w:val="16"/>
                <w:szCs w:val="16"/>
              </w:rPr>
            </w:pPr>
          </w:p>
          <w:p w14:paraId="015F43B2" w14:textId="77777777" w:rsidR="001F64B1" w:rsidRPr="001E6DFD" w:rsidRDefault="001F64B1" w:rsidP="0097226C">
            <w:pPr>
              <w:keepNext/>
              <w:keepLines/>
              <w:jc w:val="center"/>
              <w:rPr>
                <w:b/>
                <w:sz w:val="16"/>
                <w:szCs w:val="16"/>
              </w:rPr>
            </w:pPr>
          </w:p>
          <w:p w14:paraId="3EB4A5AF" w14:textId="77777777" w:rsidR="001F64B1" w:rsidRPr="001E6DFD" w:rsidRDefault="001F64B1" w:rsidP="0097226C">
            <w:pPr>
              <w:keepNext/>
              <w:keepLines/>
              <w:jc w:val="center"/>
              <w:rPr>
                <w:b/>
                <w:sz w:val="16"/>
                <w:szCs w:val="16"/>
              </w:rPr>
            </w:pPr>
          </w:p>
          <w:p w14:paraId="3344EFE3" w14:textId="77777777" w:rsidR="001F64B1" w:rsidRPr="001E6DFD" w:rsidRDefault="001F64B1" w:rsidP="0097226C">
            <w:pPr>
              <w:keepNext/>
              <w:keepLines/>
              <w:jc w:val="center"/>
              <w:rPr>
                <w:b/>
                <w:sz w:val="16"/>
                <w:szCs w:val="16"/>
              </w:rPr>
            </w:pPr>
          </w:p>
          <w:p w14:paraId="76B39713" w14:textId="77777777" w:rsidR="001F64B1" w:rsidRPr="001E6DFD" w:rsidRDefault="001F64B1" w:rsidP="0097226C">
            <w:pPr>
              <w:keepNext/>
              <w:keepLines/>
              <w:jc w:val="center"/>
              <w:rPr>
                <w:b/>
                <w:sz w:val="16"/>
                <w:szCs w:val="16"/>
              </w:rPr>
            </w:pPr>
          </w:p>
          <w:p w14:paraId="62B7BC45" w14:textId="77777777" w:rsidR="001F64B1" w:rsidRPr="001E6DFD" w:rsidRDefault="001F64B1" w:rsidP="0097226C">
            <w:pPr>
              <w:keepNext/>
              <w:keepLines/>
              <w:jc w:val="center"/>
              <w:rPr>
                <w:b/>
                <w:sz w:val="16"/>
                <w:szCs w:val="16"/>
              </w:rPr>
            </w:pPr>
          </w:p>
          <w:p w14:paraId="3DBE9362" w14:textId="77777777" w:rsidR="001F64B1" w:rsidRPr="001E6DFD" w:rsidRDefault="001F64B1" w:rsidP="0097226C">
            <w:pPr>
              <w:keepNext/>
              <w:keepLines/>
              <w:jc w:val="center"/>
              <w:rPr>
                <w:b/>
                <w:sz w:val="16"/>
                <w:szCs w:val="16"/>
              </w:rPr>
            </w:pPr>
          </w:p>
          <w:p w14:paraId="5328FB28" w14:textId="77777777" w:rsidR="001F64B1" w:rsidRPr="001E6DFD" w:rsidRDefault="001F64B1" w:rsidP="0097226C">
            <w:pPr>
              <w:keepNext/>
              <w:keepLines/>
              <w:jc w:val="center"/>
              <w:rPr>
                <w:b/>
                <w:sz w:val="16"/>
                <w:szCs w:val="16"/>
              </w:rPr>
            </w:pPr>
          </w:p>
          <w:p w14:paraId="6637FE3A" w14:textId="77777777" w:rsidR="001F64B1" w:rsidRPr="001E6DFD" w:rsidRDefault="001F64B1" w:rsidP="0097226C">
            <w:pPr>
              <w:keepNext/>
              <w:keepLines/>
              <w:jc w:val="center"/>
              <w:rPr>
                <w:b/>
                <w:sz w:val="16"/>
                <w:szCs w:val="16"/>
              </w:rPr>
            </w:pPr>
          </w:p>
          <w:p w14:paraId="123B937A" w14:textId="77777777" w:rsidR="006A41CF" w:rsidRPr="001E6DFD" w:rsidRDefault="006A41CF" w:rsidP="0097226C">
            <w:pPr>
              <w:keepNext/>
              <w:keepLines/>
              <w:jc w:val="center"/>
              <w:rPr>
                <w:b/>
                <w:sz w:val="16"/>
                <w:szCs w:val="16"/>
              </w:rPr>
            </w:pPr>
          </w:p>
          <w:p w14:paraId="1295668C" w14:textId="77777777" w:rsidR="006A41CF" w:rsidRPr="001E6DFD" w:rsidRDefault="006A41CF" w:rsidP="0097226C">
            <w:pPr>
              <w:keepNext/>
              <w:keepLines/>
              <w:jc w:val="center"/>
              <w:rPr>
                <w:b/>
                <w:sz w:val="16"/>
                <w:szCs w:val="16"/>
              </w:rPr>
            </w:pPr>
          </w:p>
          <w:p w14:paraId="088BB752" w14:textId="77777777" w:rsidR="006A41CF" w:rsidRPr="001E6DFD" w:rsidRDefault="006A41CF" w:rsidP="0097226C">
            <w:pPr>
              <w:keepNext/>
              <w:keepLines/>
              <w:jc w:val="center"/>
              <w:rPr>
                <w:b/>
                <w:sz w:val="16"/>
                <w:szCs w:val="16"/>
              </w:rPr>
            </w:pPr>
          </w:p>
          <w:p w14:paraId="73046993" w14:textId="77777777" w:rsidR="006A41CF" w:rsidRPr="001E6DFD" w:rsidRDefault="006A41CF" w:rsidP="0097226C">
            <w:pPr>
              <w:keepNext/>
              <w:keepLines/>
              <w:jc w:val="center"/>
              <w:rPr>
                <w:b/>
                <w:sz w:val="16"/>
                <w:szCs w:val="16"/>
              </w:rPr>
            </w:pPr>
          </w:p>
          <w:p w14:paraId="0D20E8F7" w14:textId="77777777" w:rsidR="001F64B1" w:rsidRDefault="001F64B1" w:rsidP="0097226C">
            <w:pPr>
              <w:keepNext/>
              <w:keepLines/>
              <w:jc w:val="center"/>
              <w:rPr>
                <w:b/>
                <w:sz w:val="16"/>
                <w:szCs w:val="16"/>
              </w:rPr>
            </w:pPr>
          </w:p>
          <w:p w14:paraId="398D17F5" w14:textId="77777777" w:rsidR="004E4A91" w:rsidRDefault="004E4A91" w:rsidP="0097226C">
            <w:pPr>
              <w:keepNext/>
              <w:keepLines/>
              <w:jc w:val="center"/>
              <w:rPr>
                <w:b/>
                <w:sz w:val="16"/>
                <w:szCs w:val="16"/>
              </w:rPr>
            </w:pPr>
          </w:p>
          <w:p w14:paraId="74DCE28D" w14:textId="77777777" w:rsidR="004E4A91" w:rsidRDefault="004E4A91" w:rsidP="0097226C">
            <w:pPr>
              <w:keepNext/>
              <w:keepLines/>
              <w:jc w:val="center"/>
              <w:rPr>
                <w:b/>
                <w:sz w:val="16"/>
                <w:szCs w:val="16"/>
              </w:rPr>
            </w:pPr>
          </w:p>
          <w:p w14:paraId="48367243" w14:textId="77777777" w:rsidR="0067214C" w:rsidRPr="001E6DFD" w:rsidRDefault="0067214C" w:rsidP="0097226C">
            <w:pPr>
              <w:keepNext/>
              <w:keepLines/>
              <w:jc w:val="center"/>
              <w:rPr>
                <w:b/>
                <w:sz w:val="16"/>
                <w:szCs w:val="16"/>
              </w:rPr>
            </w:pPr>
          </w:p>
          <w:p w14:paraId="79C2E93C" w14:textId="6A672677" w:rsidR="00BA5EA9" w:rsidRPr="001E6DFD" w:rsidRDefault="00A43B2F" w:rsidP="006A41CF">
            <w:pPr>
              <w:keepNext/>
              <w:keepLines/>
              <w:jc w:val="center"/>
              <w:rPr>
                <w:sz w:val="16"/>
                <w:szCs w:val="16"/>
              </w:rPr>
            </w:pPr>
            <w:r w:rsidRPr="001E6DFD">
              <w:rPr>
                <w:b/>
                <w:color w:val="00B050"/>
                <w:sz w:val="16"/>
                <w:szCs w:val="16"/>
              </w:rPr>
              <w:t>En bonne voie</w:t>
            </w:r>
          </w:p>
        </w:tc>
      </w:tr>
      <w:tr w:rsidR="00BA5EA9" w:rsidRPr="001E6DFD" w14:paraId="0F6E6EB5" w14:textId="77777777" w:rsidTr="005C716A">
        <w:tc>
          <w:tcPr>
            <w:tcW w:w="905" w:type="pct"/>
            <w:shd w:val="clear" w:color="auto" w:fill="auto"/>
            <w:tcMar>
              <w:left w:w="58" w:type="dxa"/>
              <w:right w:w="58" w:type="dxa"/>
            </w:tcMar>
          </w:tcPr>
          <w:p w14:paraId="0DC05DAF" w14:textId="77777777" w:rsidR="00BA5EA9" w:rsidRPr="001E6DFD" w:rsidRDefault="004560B4" w:rsidP="0097226C">
            <w:pPr>
              <w:ind w:left="33"/>
              <w:rPr>
                <w:sz w:val="16"/>
                <w:szCs w:val="16"/>
              </w:rPr>
            </w:pPr>
            <w:r w:rsidRPr="001E6DFD">
              <w:rPr>
                <w:sz w:val="16"/>
                <w:szCs w:val="16"/>
              </w:rPr>
              <w:t>Suivi efficace des recommandations de supervision</w:t>
            </w:r>
            <w:r w:rsidR="00BA5EA9" w:rsidRPr="001E6DFD">
              <w:rPr>
                <w:sz w:val="16"/>
                <w:szCs w:val="16"/>
              </w:rPr>
              <w:t xml:space="preserve"> </w:t>
            </w:r>
          </w:p>
        </w:tc>
        <w:tc>
          <w:tcPr>
            <w:tcW w:w="1480" w:type="pct"/>
            <w:gridSpan w:val="2"/>
            <w:shd w:val="clear" w:color="auto" w:fill="auto"/>
            <w:tcMar>
              <w:left w:w="58" w:type="dxa"/>
              <w:right w:w="58" w:type="dxa"/>
            </w:tcMar>
          </w:tcPr>
          <w:p w14:paraId="4F321A0B" w14:textId="5E5351D3" w:rsidR="00FA22F6" w:rsidRPr="0067214C" w:rsidRDefault="00E64532" w:rsidP="0097226C">
            <w:pPr>
              <w:rPr>
                <w:i/>
                <w:color w:val="002060"/>
                <w:sz w:val="16"/>
                <w:szCs w:val="16"/>
              </w:rPr>
            </w:pPr>
            <w:r w:rsidRPr="0067214C">
              <w:rPr>
                <w:i/>
                <w:color w:val="002060"/>
                <w:sz w:val="16"/>
                <w:szCs w:val="16"/>
              </w:rPr>
              <w:t>Niveau de référence actualisé à fin</w:t>
            </w:r>
            <w:r w:rsidR="00B4191E" w:rsidRPr="0067214C">
              <w:rPr>
                <w:i/>
                <w:color w:val="002060"/>
                <w:sz w:val="16"/>
                <w:szCs w:val="16"/>
              </w:rPr>
              <w:t> </w:t>
            </w:r>
            <w:r w:rsidRPr="0067214C">
              <w:rPr>
                <w:i/>
                <w:color w:val="002060"/>
                <w:sz w:val="16"/>
                <w:szCs w:val="16"/>
              </w:rPr>
              <w:t>2015</w:t>
            </w:r>
            <w:r w:rsidR="00FA22F6" w:rsidRPr="0067214C">
              <w:rPr>
                <w:i/>
                <w:color w:val="002060"/>
                <w:sz w:val="16"/>
                <w:szCs w:val="16"/>
              </w:rPr>
              <w:t> :</w:t>
            </w:r>
          </w:p>
          <w:p w14:paraId="0D3CD0FE" w14:textId="179F09CF" w:rsidR="00E20D0B" w:rsidRPr="0067214C" w:rsidRDefault="00E20D0B" w:rsidP="00E20D0B">
            <w:pPr>
              <w:rPr>
                <w:color w:val="002060"/>
                <w:sz w:val="16"/>
                <w:szCs w:val="16"/>
              </w:rPr>
            </w:pPr>
            <w:r w:rsidRPr="0067214C">
              <w:rPr>
                <w:color w:val="002060"/>
                <w:sz w:val="16"/>
                <w:szCs w:val="16"/>
              </w:rPr>
              <w:t>Vérificateur externe des comptes = 62% des recommandations en suspens fin</w:t>
            </w:r>
            <w:r w:rsidR="00B4191E" w:rsidRPr="0067214C">
              <w:rPr>
                <w:color w:val="002060"/>
                <w:sz w:val="16"/>
                <w:szCs w:val="16"/>
              </w:rPr>
              <w:t> </w:t>
            </w:r>
            <w:r w:rsidRPr="0067214C">
              <w:rPr>
                <w:color w:val="002060"/>
                <w:sz w:val="16"/>
                <w:szCs w:val="16"/>
              </w:rPr>
              <w:t xml:space="preserve">2013 ont été classées </w:t>
            </w:r>
            <w:r w:rsidR="00FA22F6" w:rsidRPr="0067214C">
              <w:rPr>
                <w:color w:val="002060"/>
                <w:sz w:val="16"/>
                <w:szCs w:val="16"/>
              </w:rPr>
              <w:t>en 2015</w:t>
            </w:r>
            <w:r w:rsidRPr="0067214C">
              <w:rPr>
                <w:color w:val="002060"/>
                <w:sz w:val="16"/>
                <w:szCs w:val="16"/>
              </w:rPr>
              <w:t xml:space="preserve"> (toute l</w:t>
            </w:r>
            <w:r w:rsidR="00FA22F6" w:rsidRPr="0067214C">
              <w:rPr>
                <w:color w:val="002060"/>
                <w:sz w:val="16"/>
                <w:szCs w:val="16"/>
              </w:rPr>
              <w:t>’</w:t>
            </w:r>
            <w:r w:rsidRPr="0067214C">
              <w:rPr>
                <w:color w:val="002060"/>
                <w:sz w:val="16"/>
                <w:szCs w:val="16"/>
              </w:rPr>
              <w:t>Organisation)</w:t>
            </w:r>
          </w:p>
          <w:p w14:paraId="446FE410" w14:textId="77777777" w:rsidR="001F64B1" w:rsidRPr="0067214C" w:rsidRDefault="001F64B1" w:rsidP="0097226C">
            <w:pPr>
              <w:rPr>
                <w:color w:val="002060"/>
                <w:sz w:val="16"/>
                <w:szCs w:val="16"/>
              </w:rPr>
            </w:pPr>
          </w:p>
          <w:p w14:paraId="138D130E" w14:textId="50E4C961" w:rsidR="001F64B1" w:rsidRPr="0067214C" w:rsidRDefault="00BA5EA9" w:rsidP="0097226C">
            <w:pPr>
              <w:rPr>
                <w:color w:val="002060"/>
                <w:sz w:val="16"/>
                <w:szCs w:val="16"/>
              </w:rPr>
            </w:pPr>
            <w:r w:rsidRPr="0067214C">
              <w:rPr>
                <w:color w:val="002060"/>
                <w:sz w:val="16"/>
                <w:szCs w:val="16"/>
              </w:rPr>
              <w:t xml:space="preserve">IOD = 82% </w:t>
            </w:r>
            <w:r w:rsidR="008271D0" w:rsidRPr="0067214C">
              <w:rPr>
                <w:color w:val="002060"/>
                <w:sz w:val="16"/>
                <w:szCs w:val="16"/>
              </w:rPr>
              <w:t>des recommandations en suspens fin</w:t>
            </w:r>
            <w:r w:rsidR="00B4191E" w:rsidRPr="0067214C">
              <w:rPr>
                <w:color w:val="002060"/>
                <w:sz w:val="16"/>
                <w:szCs w:val="16"/>
              </w:rPr>
              <w:t> </w:t>
            </w:r>
            <w:r w:rsidR="008271D0" w:rsidRPr="0067214C">
              <w:rPr>
                <w:color w:val="002060"/>
                <w:sz w:val="16"/>
                <w:szCs w:val="16"/>
              </w:rPr>
              <w:t xml:space="preserve">2013 ont été classées </w:t>
            </w:r>
            <w:r w:rsidR="00FA22F6" w:rsidRPr="0067214C">
              <w:rPr>
                <w:color w:val="002060"/>
                <w:sz w:val="16"/>
                <w:szCs w:val="16"/>
              </w:rPr>
              <w:t>en 2015</w:t>
            </w:r>
            <w:r w:rsidR="008271D0" w:rsidRPr="0067214C">
              <w:rPr>
                <w:color w:val="002060"/>
                <w:sz w:val="16"/>
                <w:szCs w:val="16"/>
              </w:rPr>
              <w:t xml:space="preserve"> </w:t>
            </w:r>
            <w:r w:rsidRPr="0067214C">
              <w:rPr>
                <w:color w:val="002060"/>
                <w:sz w:val="16"/>
                <w:szCs w:val="16"/>
              </w:rPr>
              <w:t>(</w:t>
            </w:r>
            <w:r w:rsidR="00A866D3" w:rsidRPr="0067214C">
              <w:rPr>
                <w:color w:val="002060"/>
                <w:sz w:val="16"/>
                <w:szCs w:val="16"/>
              </w:rPr>
              <w:t>programme</w:t>
            </w:r>
            <w:r w:rsidR="00B4191E" w:rsidRPr="0067214C">
              <w:rPr>
                <w:color w:val="002060"/>
                <w:sz w:val="16"/>
                <w:szCs w:val="16"/>
              </w:rPr>
              <w:t> </w:t>
            </w:r>
            <w:r w:rsidRPr="0067214C">
              <w:rPr>
                <w:color w:val="002060"/>
                <w:sz w:val="16"/>
                <w:szCs w:val="16"/>
              </w:rPr>
              <w:t>22)</w:t>
            </w:r>
          </w:p>
          <w:p w14:paraId="2620C060" w14:textId="77777777" w:rsidR="001F64B1" w:rsidRPr="0067214C" w:rsidRDefault="001F64B1" w:rsidP="0097226C">
            <w:pPr>
              <w:rPr>
                <w:color w:val="002060"/>
                <w:sz w:val="16"/>
                <w:szCs w:val="16"/>
              </w:rPr>
            </w:pPr>
          </w:p>
          <w:p w14:paraId="5180F6DE" w14:textId="692008E6" w:rsidR="001F64B1" w:rsidRPr="0067214C" w:rsidRDefault="0026556E" w:rsidP="0097226C">
            <w:pPr>
              <w:rPr>
                <w:color w:val="002060"/>
                <w:sz w:val="16"/>
                <w:szCs w:val="16"/>
              </w:rPr>
            </w:pPr>
            <w:r w:rsidRPr="0067214C">
              <w:rPr>
                <w:color w:val="002060"/>
                <w:sz w:val="16"/>
                <w:szCs w:val="16"/>
              </w:rPr>
              <w:t>CCI</w:t>
            </w:r>
            <w:r w:rsidR="00BA5EA9" w:rsidRPr="0067214C">
              <w:rPr>
                <w:color w:val="002060"/>
                <w:sz w:val="16"/>
                <w:szCs w:val="16"/>
              </w:rPr>
              <w:t xml:space="preserve"> = 87% </w:t>
            </w:r>
            <w:r w:rsidRPr="0067214C">
              <w:rPr>
                <w:color w:val="002060"/>
                <w:sz w:val="16"/>
                <w:szCs w:val="16"/>
              </w:rPr>
              <w:t>des recommandations en suspens fin</w:t>
            </w:r>
            <w:r w:rsidR="00B4191E" w:rsidRPr="0067214C">
              <w:rPr>
                <w:color w:val="002060"/>
                <w:sz w:val="16"/>
                <w:szCs w:val="16"/>
              </w:rPr>
              <w:t> </w:t>
            </w:r>
            <w:r w:rsidRPr="0067214C">
              <w:rPr>
                <w:color w:val="002060"/>
                <w:sz w:val="16"/>
                <w:szCs w:val="16"/>
              </w:rPr>
              <w:t xml:space="preserve">2013 ont été classées </w:t>
            </w:r>
            <w:r w:rsidR="00FA22F6" w:rsidRPr="0067214C">
              <w:rPr>
                <w:color w:val="002060"/>
                <w:sz w:val="16"/>
                <w:szCs w:val="16"/>
              </w:rPr>
              <w:t>en 2015</w:t>
            </w:r>
            <w:r w:rsidRPr="0067214C">
              <w:rPr>
                <w:color w:val="002060"/>
                <w:sz w:val="16"/>
                <w:szCs w:val="16"/>
              </w:rPr>
              <w:t xml:space="preserve"> </w:t>
            </w:r>
            <w:r w:rsidR="00BA5EA9" w:rsidRPr="0067214C">
              <w:rPr>
                <w:color w:val="002060"/>
                <w:sz w:val="16"/>
                <w:szCs w:val="16"/>
              </w:rPr>
              <w:t>(</w:t>
            </w:r>
            <w:r w:rsidRPr="0067214C">
              <w:rPr>
                <w:color w:val="002060"/>
                <w:sz w:val="16"/>
                <w:szCs w:val="16"/>
              </w:rPr>
              <w:t xml:space="preserve">début </w:t>
            </w:r>
            <w:r w:rsidR="00FA22F6" w:rsidRPr="0067214C">
              <w:rPr>
                <w:color w:val="002060"/>
                <w:sz w:val="16"/>
                <w:szCs w:val="16"/>
              </w:rPr>
              <w:t>en 2010</w:t>
            </w:r>
            <w:r w:rsidR="00BA5EA9" w:rsidRPr="0067214C">
              <w:rPr>
                <w:color w:val="002060"/>
                <w:sz w:val="16"/>
                <w:szCs w:val="16"/>
              </w:rPr>
              <w:t>)</w:t>
            </w:r>
          </w:p>
          <w:p w14:paraId="5B8B943D" w14:textId="77777777" w:rsidR="001F64B1" w:rsidRPr="001E6DFD" w:rsidRDefault="001F64B1" w:rsidP="0097226C">
            <w:pPr>
              <w:rPr>
                <w:i/>
                <w:sz w:val="16"/>
                <w:szCs w:val="16"/>
              </w:rPr>
            </w:pPr>
          </w:p>
          <w:p w14:paraId="2771B4D0" w14:textId="209A01CC" w:rsidR="00FA22F6" w:rsidRPr="001E6DFD" w:rsidRDefault="00E64532" w:rsidP="0097226C">
            <w:pPr>
              <w:rPr>
                <w:i/>
                <w:sz w:val="16"/>
                <w:szCs w:val="16"/>
              </w:rPr>
            </w:pPr>
            <w:r w:rsidRPr="001E6DFD">
              <w:rPr>
                <w:i/>
                <w:sz w:val="16"/>
                <w:szCs w:val="16"/>
              </w:rPr>
              <w:t>Niveau de référence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10B5B35D" w14:textId="2D37BD23" w:rsidR="00913C93" w:rsidRPr="001E6DFD" w:rsidRDefault="004560B4" w:rsidP="0097226C">
            <w:pPr>
              <w:ind w:left="33"/>
              <w:rPr>
                <w:sz w:val="16"/>
                <w:szCs w:val="16"/>
              </w:rPr>
            </w:pPr>
            <w:r w:rsidRPr="001E6DFD">
              <w:rPr>
                <w:sz w:val="16"/>
                <w:szCs w:val="16"/>
              </w:rPr>
              <w:t>Vérificateur externe des comptes</w:t>
            </w:r>
            <w:r w:rsidR="00FA22F6" w:rsidRPr="001E6DFD">
              <w:rPr>
                <w:sz w:val="16"/>
                <w:szCs w:val="16"/>
              </w:rPr>
              <w:t> :</w:t>
            </w:r>
            <w:r w:rsidRPr="001E6DFD">
              <w:rPr>
                <w:sz w:val="16"/>
                <w:szCs w:val="16"/>
              </w:rPr>
              <w:t xml:space="preserve"> 47% des recommandations en suspens fin</w:t>
            </w:r>
            <w:r w:rsidR="00B4191E">
              <w:rPr>
                <w:sz w:val="16"/>
                <w:szCs w:val="16"/>
              </w:rPr>
              <w:t> </w:t>
            </w:r>
            <w:r w:rsidRPr="001E6DFD">
              <w:rPr>
                <w:sz w:val="16"/>
                <w:szCs w:val="16"/>
              </w:rPr>
              <w:t>2013 ont été classées</w:t>
            </w:r>
            <w:r w:rsidR="00913C93" w:rsidRPr="001E6DFD">
              <w:rPr>
                <w:sz w:val="16"/>
                <w:szCs w:val="16"/>
              </w:rPr>
              <w:t xml:space="preserve"> </w:t>
            </w:r>
            <w:r w:rsidR="00FA22F6" w:rsidRPr="001E6DFD">
              <w:rPr>
                <w:sz w:val="16"/>
                <w:szCs w:val="16"/>
              </w:rPr>
              <w:t>en 2014</w:t>
            </w:r>
            <w:r w:rsidR="00913C93" w:rsidRPr="001E6DFD">
              <w:rPr>
                <w:sz w:val="16"/>
                <w:szCs w:val="16"/>
              </w:rPr>
              <w:t xml:space="preserve"> (toute l</w:t>
            </w:r>
            <w:r w:rsidR="00FA22F6" w:rsidRPr="001E6DFD">
              <w:rPr>
                <w:sz w:val="16"/>
                <w:szCs w:val="16"/>
              </w:rPr>
              <w:t>’</w:t>
            </w:r>
            <w:r w:rsidR="00913C93" w:rsidRPr="001E6DFD">
              <w:rPr>
                <w:sz w:val="16"/>
                <w:szCs w:val="16"/>
              </w:rPr>
              <w:t>Organisation)</w:t>
            </w:r>
          </w:p>
          <w:p w14:paraId="25AEA252" w14:textId="6AD4A582" w:rsidR="00913C93" w:rsidRPr="001E6DFD" w:rsidRDefault="004560B4" w:rsidP="0097226C">
            <w:pPr>
              <w:ind w:left="33"/>
              <w:rPr>
                <w:sz w:val="16"/>
                <w:szCs w:val="16"/>
              </w:rPr>
            </w:pPr>
            <w:r w:rsidRPr="001E6DFD">
              <w:rPr>
                <w:sz w:val="16"/>
                <w:szCs w:val="16"/>
              </w:rPr>
              <w:t>Division de la supervision interne IOD = 64% des recommandations en suspens fin</w:t>
            </w:r>
            <w:r w:rsidR="00B4191E">
              <w:rPr>
                <w:sz w:val="16"/>
                <w:szCs w:val="16"/>
              </w:rPr>
              <w:t> </w:t>
            </w:r>
            <w:r w:rsidRPr="001E6DFD">
              <w:rPr>
                <w:sz w:val="16"/>
                <w:szCs w:val="16"/>
              </w:rPr>
              <w:t xml:space="preserve">2013 ont été </w:t>
            </w:r>
            <w:r w:rsidR="00913C93" w:rsidRPr="001E6DFD">
              <w:rPr>
                <w:sz w:val="16"/>
                <w:szCs w:val="16"/>
              </w:rPr>
              <w:t xml:space="preserve">classées </w:t>
            </w:r>
            <w:r w:rsidR="00FA22F6" w:rsidRPr="001E6DFD">
              <w:rPr>
                <w:sz w:val="16"/>
                <w:szCs w:val="16"/>
              </w:rPr>
              <w:t>en 2014</w:t>
            </w:r>
            <w:r w:rsidR="00913C93" w:rsidRPr="001E6DFD">
              <w:rPr>
                <w:sz w:val="16"/>
                <w:szCs w:val="16"/>
              </w:rPr>
              <w:t xml:space="preserve"> (programme</w:t>
            </w:r>
            <w:r w:rsidR="00B4191E">
              <w:rPr>
                <w:sz w:val="16"/>
                <w:szCs w:val="16"/>
              </w:rPr>
              <w:t> </w:t>
            </w:r>
            <w:r w:rsidR="00913C93" w:rsidRPr="001E6DFD">
              <w:rPr>
                <w:sz w:val="16"/>
                <w:szCs w:val="16"/>
              </w:rPr>
              <w:t>22)</w:t>
            </w:r>
          </w:p>
          <w:p w14:paraId="3795EBB9" w14:textId="41461178" w:rsidR="00BA5EA9" w:rsidRPr="001E6DFD" w:rsidRDefault="004560B4" w:rsidP="0097226C">
            <w:pPr>
              <w:ind w:left="33"/>
              <w:rPr>
                <w:sz w:val="16"/>
                <w:szCs w:val="16"/>
              </w:rPr>
            </w:pPr>
            <w:r w:rsidRPr="001E6DFD">
              <w:rPr>
                <w:sz w:val="16"/>
                <w:szCs w:val="16"/>
              </w:rPr>
              <w:t>CCI = 61% des recommandations en suspens fin</w:t>
            </w:r>
            <w:r w:rsidR="00B4191E">
              <w:rPr>
                <w:sz w:val="16"/>
                <w:szCs w:val="16"/>
              </w:rPr>
              <w:t> </w:t>
            </w:r>
            <w:r w:rsidRPr="001E6DFD">
              <w:rPr>
                <w:sz w:val="16"/>
                <w:szCs w:val="16"/>
              </w:rPr>
              <w:t xml:space="preserve">2013 ont été classées </w:t>
            </w:r>
            <w:r w:rsidR="00FA22F6" w:rsidRPr="001E6DFD">
              <w:rPr>
                <w:sz w:val="16"/>
                <w:szCs w:val="16"/>
              </w:rPr>
              <w:t>en 2014</w:t>
            </w:r>
            <w:r w:rsidR="00486DDC" w:rsidRPr="001E6DFD">
              <w:rPr>
                <w:sz w:val="16"/>
                <w:szCs w:val="16"/>
              </w:rPr>
              <w:t xml:space="preserve"> (début </w:t>
            </w:r>
            <w:r w:rsidR="00FA22F6" w:rsidRPr="001E6DFD">
              <w:rPr>
                <w:sz w:val="16"/>
                <w:szCs w:val="16"/>
              </w:rPr>
              <w:t>en 2010</w:t>
            </w:r>
            <w:r w:rsidR="00486DDC" w:rsidRPr="001E6DFD">
              <w:rPr>
                <w:sz w:val="16"/>
                <w:szCs w:val="16"/>
              </w:rPr>
              <w:t>)</w:t>
            </w:r>
          </w:p>
        </w:tc>
        <w:tc>
          <w:tcPr>
            <w:tcW w:w="757" w:type="pct"/>
            <w:gridSpan w:val="2"/>
            <w:shd w:val="clear" w:color="auto" w:fill="auto"/>
            <w:tcMar>
              <w:top w:w="110" w:type="dxa"/>
              <w:left w:w="58" w:type="dxa"/>
              <w:right w:w="58" w:type="dxa"/>
            </w:tcMar>
          </w:tcPr>
          <w:p w14:paraId="677E385C" w14:textId="17AEB65D" w:rsidR="00FA22F6" w:rsidRPr="0067214C" w:rsidRDefault="00AC7D97" w:rsidP="0097226C">
            <w:pPr>
              <w:ind w:right="-54"/>
              <w:rPr>
                <w:i/>
                <w:color w:val="002060"/>
                <w:sz w:val="16"/>
                <w:szCs w:val="16"/>
              </w:rPr>
            </w:pPr>
            <w:r w:rsidRPr="0067214C">
              <w:rPr>
                <w:i/>
                <w:color w:val="002060"/>
                <w:sz w:val="16"/>
                <w:szCs w:val="16"/>
              </w:rPr>
              <w:t>Objectif actualisé</w:t>
            </w:r>
            <w:r w:rsidR="00FA22F6" w:rsidRPr="0067214C">
              <w:rPr>
                <w:i/>
                <w:color w:val="002060"/>
                <w:sz w:val="16"/>
                <w:szCs w:val="16"/>
              </w:rPr>
              <w:t> :</w:t>
            </w:r>
          </w:p>
          <w:p w14:paraId="48F5859A" w14:textId="77777777" w:rsidR="0067214C" w:rsidRDefault="0026556E" w:rsidP="0026556E">
            <w:pPr>
              <w:rPr>
                <w:color w:val="002060"/>
                <w:sz w:val="16"/>
                <w:szCs w:val="16"/>
              </w:rPr>
            </w:pPr>
            <w:r w:rsidRPr="0067214C">
              <w:rPr>
                <w:color w:val="002060"/>
                <w:sz w:val="16"/>
                <w:szCs w:val="16"/>
              </w:rPr>
              <w:t>Vérificateur externe des comptes</w:t>
            </w:r>
            <w:r w:rsidR="00BA5EA9" w:rsidRPr="0067214C">
              <w:rPr>
                <w:color w:val="002060"/>
                <w:sz w:val="16"/>
                <w:szCs w:val="16"/>
              </w:rPr>
              <w:t xml:space="preserve"> = 65% </w:t>
            </w:r>
            <w:r w:rsidRPr="0067214C">
              <w:rPr>
                <w:color w:val="002060"/>
                <w:sz w:val="16"/>
                <w:szCs w:val="16"/>
              </w:rPr>
              <w:t>des recommandations en suspens fin</w:t>
            </w:r>
            <w:r w:rsidR="00B4191E" w:rsidRPr="0067214C">
              <w:rPr>
                <w:color w:val="002060"/>
                <w:sz w:val="16"/>
                <w:szCs w:val="16"/>
              </w:rPr>
              <w:t> </w:t>
            </w:r>
            <w:r w:rsidRPr="0067214C">
              <w:rPr>
                <w:color w:val="002060"/>
                <w:sz w:val="16"/>
                <w:szCs w:val="16"/>
              </w:rPr>
              <w:t xml:space="preserve">2015 ont été classées </w:t>
            </w:r>
            <w:r w:rsidR="00FA22F6" w:rsidRPr="0067214C">
              <w:rPr>
                <w:color w:val="002060"/>
                <w:sz w:val="16"/>
                <w:szCs w:val="16"/>
              </w:rPr>
              <w:t>en 2016</w:t>
            </w:r>
            <w:r w:rsidR="006A41CF" w:rsidRPr="0067214C">
              <w:rPr>
                <w:color w:val="002060"/>
                <w:sz w:val="16"/>
                <w:szCs w:val="16"/>
              </w:rPr>
              <w:noBreakHyphen/>
            </w:r>
            <w:r w:rsidRPr="0067214C">
              <w:rPr>
                <w:color w:val="002060"/>
                <w:sz w:val="16"/>
                <w:szCs w:val="16"/>
              </w:rPr>
              <w:t>2017</w:t>
            </w:r>
          </w:p>
          <w:p w14:paraId="14750131" w14:textId="77777777" w:rsidR="0067214C" w:rsidRDefault="0067214C" w:rsidP="0026556E">
            <w:pPr>
              <w:rPr>
                <w:color w:val="002060"/>
                <w:sz w:val="16"/>
                <w:szCs w:val="16"/>
              </w:rPr>
            </w:pPr>
          </w:p>
          <w:p w14:paraId="301E5415" w14:textId="77777777" w:rsidR="0067214C" w:rsidRDefault="0026556E" w:rsidP="0097226C">
            <w:pPr>
              <w:rPr>
                <w:color w:val="002060"/>
                <w:sz w:val="16"/>
                <w:szCs w:val="16"/>
              </w:rPr>
            </w:pPr>
            <w:r w:rsidRPr="0067214C">
              <w:rPr>
                <w:color w:val="002060"/>
                <w:sz w:val="16"/>
                <w:szCs w:val="16"/>
              </w:rPr>
              <w:t>IOD = 85% des recommandations en suspens fin</w:t>
            </w:r>
            <w:r w:rsidR="00B4191E" w:rsidRPr="0067214C">
              <w:rPr>
                <w:color w:val="002060"/>
                <w:sz w:val="16"/>
                <w:szCs w:val="16"/>
              </w:rPr>
              <w:t> </w:t>
            </w:r>
            <w:r w:rsidRPr="0067214C">
              <w:rPr>
                <w:color w:val="002060"/>
                <w:sz w:val="16"/>
                <w:szCs w:val="16"/>
              </w:rPr>
              <w:t xml:space="preserve">2015 ont été classées </w:t>
            </w:r>
            <w:r w:rsidR="00FA22F6" w:rsidRPr="0067214C">
              <w:rPr>
                <w:color w:val="002060"/>
                <w:sz w:val="16"/>
                <w:szCs w:val="16"/>
              </w:rPr>
              <w:t>en 2016</w:t>
            </w:r>
            <w:r w:rsidR="006A41CF" w:rsidRPr="0067214C">
              <w:rPr>
                <w:color w:val="002060"/>
                <w:sz w:val="16"/>
                <w:szCs w:val="16"/>
              </w:rPr>
              <w:noBreakHyphen/>
            </w:r>
            <w:r w:rsidRPr="0067214C">
              <w:rPr>
                <w:color w:val="002060"/>
                <w:sz w:val="16"/>
                <w:szCs w:val="16"/>
              </w:rPr>
              <w:t>2017</w:t>
            </w:r>
          </w:p>
          <w:p w14:paraId="256EBD5B" w14:textId="77777777" w:rsidR="0067214C" w:rsidRDefault="0067214C" w:rsidP="0097226C">
            <w:pPr>
              <w:rPr>
                <w:color w:val="002060"/>
                <w:sz w:val="16"/>
                <w:szCs w:val="16"/>
              </w:rPr>
            </w:pPr>
          </w:p>
          <w:p w14:paraId="474B14F3" w14:textId="168C74EF" w:rsidR="001F64B1" w:rsidRPr="0067214C" w:rsidRDefault="00514A9B" w:rsidP="0097226C">
            <w:pPr>
              <w:rPr>
                <w:color w:val="002060"/>
                <w:sz w:val="16"/>
                <w:szCs w:val="16"/>
              </w:rPr>
            </w:pPr>
            <w:r w:rsidRPr="0067214C">
              <w:rPr>
                <w:color w:val="002060"/>
                <w:sz w:val="16"/>
                <w:szCs w:val="16"/>
              </w:rPr>
              <w:t xml:space="preserve">CCI </w:t>
            </w:r>
            <w:r w:rsidR="00BA5EA9" w:rsidRPr="0067214C">
              <w:rPr>
                <w:color w:val="002060"/>
                <w:sz w:val="16"/>
                <w:szCs w:val="16"/>
              </w:rPr>
              <w:t xml:space="preserve">= 70% </w:t>
            </w:r>
            <w:r w:rsidRPr="0067214C">
              <w:rPr>
                <w:color w:val="002060"/>
                <w:sz w:val="16"/>
                <w:szCs w:val="16"/>
              </w:rPr>
              <w:t>des recommandations en suspens fin</w:t>
            </w:r>
            <w:r w:rsidR="00B4191E" w:rsidRPr="0067214C">
              <w:rPr>
                <w:color w:val="002060"/>
                <w:sz w:val="16"/>
                <w:szCs w:val="16"/>
              </w:rPr>
              <w:t> </w:t>
            </w:r>
            <w:r w:rsidRPr="0067214C">
              <w:rPr>
                <w:color w:val="002060"/>
                <w:sz w:val="16"/>
                <w:szCs w:val="16"/>
              </w:rPr>
              <w:t xml:space="preserve">2015 ont été classées </w:t>
            </w:r>
            <w:r w:rsidR="00FA22F6" w:rsidRPr="0067214C">
              <w:rPr>
                <w:color w:val="002060"/>
                <w:sz w:val="16"/>
                <w:szCs w:val="16"/>
              </w:rPr>
              <w:t>en 2016</w:t>
            </w:r>
            <w:r w:rsidR="006A41CF" w:rsidRPr="0067214C">
              <w:rPr>
                <w:color w:val="002060"/>
                <w:sz w:val="16"/>
                <w:szCs w:val="16"/>
              </w:rPr>
              <w:noBreakHyphen/>
            </w:r>
            <w:r w:rsidRPr="0067214C">
              <w:rPr>
                <w:color w:val="002060"/>
                <w:sz w:val="16"/>
                <w:szCs w:val="16"/>
              </w:rPr>
              <w:t>2017</w:t>
            </w:r>
            <w:r w:rsidR="003374E2" w:rsidRPr="0067214C">
              <w:rPr>
                <w:color w:val="002060"/>
                <w:sz w:val="16"/>
                <w:szCs w:val="16"/>
              </w:rPr>
              <w:t xml:space="preserve"> </w:t>
            </w:r>
            <w:r w:rsidR="00BA5EA9" w:rsidRPr="0067214C">
              <w:rPr>
                <w:color w:val="002060"/>
                <w:sz w:val="16"/>
                <w:szCs w:val="16"/>
              </w:rPr>
              <w:t>(</w:t>
            </w:r>
            <w:r w:rsidR="003374E2" w:rsidRPr="0067214C">
              <w:rPr>
                <w:color w:val="002060"/>
                <w:sz w:val="16"/>
                <w:szCs w:val="16"/>
              </w:rPr>
              <w:t xml:space="preserve">début </w:t>
            </w:r>
            <w:r w:rsidR="00FA22F6" w:rsidRPr="0067214C">
              <w:rPr>
                <w:color w:val="002060"/>
                <w:sz w:val="16"/>
                <w:szCs w:val="16"/>
              </w:rPr>
              <w:t>en 2010</w:t>
            </w:r>
            <w:r w:rsidR="00BA5EA9" w:rsidRPr="0067214C">
              <w:rPr>
                <w:color w:val="002060"/>
                <w:sz w:val="16"/>
                <w:szCs w:val="16"/>
              </w:rPr>
              <w:t>)</w:t>
            </w:r>
          </w:p>
          <w:p w14:paraId="266F886B" w14:textId="77777777" w:rsidR="001F64B1" w:rsidRPr="001E6DFD" w:rsidRDefault="001F64B1" w:rsidP="0097226C">
            <w:pPr>
              <w:rPr>
                <w:sz w:val="16"/>
                <w:szCs w:val="16"/>
              </w:rPr>
            </w:pPr>
          </w:p>
          <w:p w14:paraId="1FD1380E" w14:textId="77777777" w:rsidR="001F64B1" w:rsidRPr="001E6DFD" w:rsidRDefault="001F64B1" w:rsidP="0097226C">
            <w:pPr>
              <w:rPr>
                <w:i/>
                <w:sz w:val="16"/>
                <w:szCs w:val="16"/>
              </w:rPr>
            </w:pPr>
          </w:p>
          <w:p w14:paraId="36F17DE3" w14:textId="7E1B8165" w:rsidR="00FA22F6" w:rsidRPr="001E6DFD" w:rsidRDefault="00AC7D97" w:rsidP="0097226C">
            <w:pPr>
              <w:rPr>
                <w:i/>
                <w:sz w:val="16"/>
                <w:szCs w:val="16"/>
              </w:rPr>
            </w:pPr>
            <w:r w:rsidRPr="001E6DFD">
              <w:rPr>
                <w:i/>
                <w:sz w:val="16"/>
                <w:szCs w:val="16"/>
              </w:rPr>
              <w:t>Objectif initial dans le programme et budget 2016</w:t>
            </w:r>
            <w:r w:rsidR="006A41CF" w:rsidRPr="001E6DFD">
              <w:rPr>
                <w:i/>
                <w:sz w:val="16"/>
                <w:szCs w:val="16"/>
              </w:rPr>
              <w:noBreakHyphen/>
            </w:r>
            <w:r w:rsidRPr="001E6DFD">
              <w:rPr>
                <w:i/>
                <w:sz w:val="16"/>
                <w:szCs w:val="16"/>
              </w:rPr>
              <w:t>2017</w:t>
            </w:r>
            <w:r w:rsidR="00FA22F6" w:rsidRPr="001E6DFD">
              <w:rPr>
                <w:i/>
                <w:sz w:val="16"/>
                <w:szCs w:val="16"/>
              </w:rPr>
              <w:t> :</w:t>
            </w:r>
          </w:p>
          <w:p w14:paraId="335363F6" w14:textId="323D3C96" w:rsidR="00CA4A97" w:rsidRPr="001E6DFD" w:rsidRDefault="004560B4" w:rsidP="0097226C">
            <w:pPr>
              <w:rPr>
                <w:sz w:val="16"/>
                <w:szCs w:val="16"/>
              </w:rPr>
            </w:pPr>
            <w:r w:rsidRPr="001E6DFD">
              <w:rPr>
                <w:sz w:val="16"/>
                <w:szCs w:val="16"/>
              </w:rPr>
              <w:t>Vérificateur externe des comptes = 55% des recommandations en suspens fin</w:t>
            </w:r>
            <w:r w:rsidR="00B4191E">
              <w:rPr>
                <w:sz w:val="16"/>
                <w:szCs w:val="16"/>
              </w:rPr>
              <w:t> </w:t>
            </w:r>
            <w:r w:rsidRPr="001E6DFD">
              <w:rPr>
                <w:sz w:val="16"/>
                <w:szCs w:val="16"/>
              </w:rPr>
              <w:t xml:space="preserve">2015 classées </w:t>
            </w:r>
            <w:r w:rsidR="00FA22F6" w:rsidRPr="001E6DFD">
              <w:rPr>
                <w:sz w:val="16"/>
                <w:szCs w:val="16"/>
              </w:rPr>
              <w:t>en 2016</w:t>
            </w:r>
            <w:r w:rsidR="006A41CF" w:rsidRPr="001E6DFD">
              <w:rPr>
                <w:sz w:val="16"/>
                <w:szCs w:val="16"/>
              </w:rPr>
              <w:noBreakHyphen/>
            </w:r>
            <w:r w:rsidRPr="001E6DFD">
              <w:rPr>
                <w:sz w:val="16"/>
                <w:szCs w:val="16"/>
              </w:rPr>
              <w:t>2017</w:t>
            </w:r>
          </w:p>
          <w:p w14:paraId="261F54B2" w14:textId="1C82DFB2" w:rsidR="00FA22F6" w:rsidRPr="001E6DFD" w:rsidRDefault="00491D52" w:rsidP="0097226C">
            <w:pPr>
              <w:rPr>
                <w:sz w:val="16"/>
                <w:szCs w:val="16"/>
              </w:rPr>
            </w:pPr>
            <w:r w:rsidRPr="001E6DFD">
              <w:rPr>
                <w:sz w:val="16"/>
                <w:szCs w:val="16"/>
              </w:rPr>
              <w:t xml:space="preserve">IOD </w:t>
            </w:r>
            <w:r w:rsidR="004560B4" w:rsidRPr="001E6DFD">
              <w:rPr>
                <w:sz w:val="16"/>
                <w:szCs w:val="16"/>
              </w:rPr>
              <w:t>= 70% des recommandations en suspens fin</w:t>
            </w:r>
            <w:r w:rsidR="00B4191E">
              <w:rPr>
                <w:sz w:val="16"/>
                <w:szCs w:val="16"/>
              </w:rPr>
              <w:t> </w:t>
            </w:r>
            <w:r w:rsidR="004560B4" w:rsidRPr="001E6DFD">
              <w:rPr>
                <w:sz w:val="16"/>
                <w:szCs w:val="16"/>
              </w:rPr>
              <w:t xml:space="preserve">2015 classées </w:t>
            </w:r>
            <w:r w:rsidR="00FA22F6" w:rsidRPr="001E6DFD">
              <w:rPr>
                <w:sz w:val="16"/>
                <w:szCs w:val="16"/>
              </w:rPr>
              <w:t>en 2016</w:t>
            </w:r>
            <w:r w:rsidR="006A41CF" w:rsidRPr="001E6DFD">
              <w:rPr>
                <w:sz w:val="16"/>
                <w:szCs w:val="16"/>
              </w:rPr>
              <w:noBreakHyphen/>
            </w:r>
            <w:r w:rsidR="004560B4" w:rsidRPr="001E6DFD">
              <w:rPr>
                <w:sz w:val="16"/>
                <w:szCs w:val="16"/>
              </w:rPr>
              <w:t>2017</w:t>
            </w:r>
          </w:p>
          <w:p w14:paraId="5E9D94FF" w14:textId="37AA3836" w:rsidR="00BA5EA9" w:rsidRPr="001E6DFD" w:rsidRDefault="004560B4" w:rsidP="0097226C">
            <w:pPr>
              <w:rPr>
                <w:sz w:val="16"/>
                <w:szCs w:val="16"/>
              </w:rPr>
            </w:pPr>
            <w:r w:rsidRPr="001E6DFD">
              <w:rPr>
                <w:sz w:val="16"/>
                <w:szCs w:val="16"/>
              </w:rPr>
              <w:t>CCI = 70% des reco</w:t>
            </w:r>
            <w:r w:rsidR="00CA4A97" w:rsidRPr="001E6DFD">
              <w:rPr>
                <w:sz w:val="16"/>
                <w:szCs w:val="16"/>
              </w:rPr>
              <w:t>mmandations en suspens fin</w:t>
            </w:r>
            <w:r w:rsidR="00B4191E">
              <w:rPr>
                <w:sz w:val="16"/>
                <w:szCs w:val="16"/>
              </w:rPr>
              <w:t> </w:t>
            </w:r>
            <w:r w:rsidR="00CA4A97" w:rsidRPr="001E6DFD">
              <w:rPr>
                <w:sz w:val="16"/>
                <w:szCs w:val="16"/>
              </w:rPr>
              <w:t xml:space="preserve">2015 </w:t>
            </w:r>
            <w:r w:rsidRPr="001E6DFD">
              <w:rPr>
                <w:sz w:val="16"/>
                <w:szCs w:val="16"/>
              </w:rPr>
              <w:t xml:space="preserve">classées </w:t>
            </w:r>
            <w:r w:rsidR="00FA22F6" w:rsidRPr="001E6DFD">
              <w:rPr>
                <w:sz w:val="16"/>
                <w:szCs w:val="16"/>
              </w:rPr>
              <w:t>en 2016</w:t>
            </w:r>
            <w:r w:rsidR="006A41CF" w:rsidRPr="001E6DFD">
              <w:rPr>
                <w:sz w:val="16"/>
                <w:szCs w:val="16"/>
              </w:rPr>
              <w:noBreakHyphen/>
            </w:r>
            <w:r w:rsidRPr="001E6DFD">
              <w:rPr>
                <w:sz w:val="16"/>
                <w:szCs w:val="16"/>
              </w:rPr>
              <w:t>2017</w:t>
            </w:r>
            <w:r w:rsidR="00CA4A97" w:rsidRPr="001E6DFD">
              <w:rPr>
                <w:sz w:val="16"/>
                <w:szCs w:val="16"/>
              </w:rPr>
              <w:t xml:space="preserve">(début </w:t>
            </w:r>
            <w:r w:rsidR="00FA22F6" w:rsidRPr="001E6DFD">
              <w:rPr>
                <w:sz w:val="16"/>
                <w:szCs w:val="16"/>
              </w:rPr>
              <w:t>en 2010</w:t>
            </w:r>
            <w:r w:rsidR="00CA4A97" w:rsidRPr="001E6DFD">
              <w:rPr>
                <w:sz w:val="16"/>
                <w:szCs w:val="16"/>
              </w:rPr>
              <w:t>)</w:t>
            </w:r>
          </w:p>
        </w:tc>
        <w:tc>
          <w:tcPr>
            <w:tcW w:w="1397" w:type="pct"/>
            <w:gridSpan w:val="2"/>
            <w:shd w:val="clear" w:color="auto" w:fill="FFFFFF"/>
            <w:tcMar>
              <w:top w:w="110" w:type="dxa"/>
              <w:left w:w="58" w:type="dxa"/>
              <w:right w:w="58" w:type="dxa"/>
            </w:tcMar>
          </w:tcPr>
          <w:p w14:paraId="5E69DEAA" w14:textId="32B4FF40" w:rsidR="001F64B1" w:rsidRPr="0067214C" w:rsidRDefault="002A6384" w:rsidP="0097226C">
            <w:pPr>
              <w:keepNext/>
              <w:keepLines/>
              <w:rPr>
                <w:sz w:val="16"/>
                <w:szCs w:val="16"/>
              </w:rPr>
            </w:pPr>
            <w:r w:rsidRPr="0067214C">
              <w:rPr>
                <w:sz w:val="16"/>
                <w:szCs w:val="16"/>
              </w:rPr>
              <w:t xml:space="preserve">Vérificateur externe des comptes </w:t>
            </w:r>
            <w:r w:rsidR="00BA5EA9" w:rsidRPr="0067214C">
              <w:rPr>
                <w:sz w:val="16"/>
                <w:szCs w:val="16"/>
              </w:rPr>
              <w:t xml:space="preserve">= 48% </w:t>
            </w:r>
            <w:r w:rsidRPr="0067214C">
              <w:rPr>
                <w:sz w:val="16"/>
                <w:szCs w:val="16"/>
              </w:rPr>
              <w:t>des recommandations en suspens fin</w:t>
            </w:r>
            <w:r w:rsidR="00B4191E" w:rsidRPr="0067214C">
              <w:rPr>
                <w:sz w:val="16"/>
                <w:szCs w:val="16"/>
              </w:rPr>
              <w:t> </w:t>
            </w:r>
            <w:r w:rsidRPr="0067214C">
              <w:rPr>
                <w:sz w:val="16"/>
                <w:szCs w:val="16"/>
              </w:rPr>
              <w:t xml:space="preserve">2015 ont été classées </w:t>
            </w:r>
            <w:r w:rsidR="00FA22F6" w:rsidRPr="0067214C">
              <w:rPr>
                <w:sz w:val="16"/>
                <w:szCs w:val="16"/>
              </w:rPr>
              <w:t>en 2016</w:t>
            </w:r>
            <w:r w:rsidR="006A41CF" w:rsidRPr="0067214C">
              <w:rPr>
                <w:sz w:val="16"/>
                <w:szCs w:val="16"/>
              </w:rPr>
              <w:noBreakHyphen/>
            </w:r>
            <w:r w:rsidRPr="0067214C">
              <w:rPr>
                <w:sz w:val="16"/>
                <w:szCs w:val="16"/>
              </w:rPr>
              <w:t xml:space="preserve">2017 </w:t>
            </w:r>
            <w:r w:rsidR="00BA5EA9" w:rsidRPr="0067214C">
              <w:rPr>
                <w:sz w:val="16"/>
                <w:szCs w:val="16"/>
              </w:rPr>
              <w:t>(</w:t>
            </w:r>
            <w:r w:rsidRPr="0067214C">
              <w:rPr>
                <w:sz w:val="16"/>
                <w:szCs w:val="16"/>
              </w:rPr>
              <w:t>toute l</w:t>
            </w:r>
            <w:r w:rsidR="00FA22F6" w:rsidRPr="0067214C">
              <w:rPr>
                <w:sz w:val="16"/>
                <w:szCs w:val="16"/>
              </w:rPr>
              <w:t>’</w:t>
            </w:r>
            <w:r w:rsidRPr="0067214C">
              <w:rPr>
                <w:sz w:val="16"/>
                <w:szCs w:val="16"/>
              </w:rPr>
              <w:t>Organisation</w:t>
            </w:r>
            <w:r w:rsidR="00BA5EA9" w:rsidRPr="0067214C">
              <w:rPr>
                <w:sz w:val="16"/>
                <w:szCs w:val="16"/>
              </w:rPr>
              <w:t>)</w:t>
            </w:r>
          </w:p>
          <w:p w14:paraId="1E900C68" w14:textId="77777777" w:rsidR="001F64B1" w:rsidRPr="0067214C" w:rsidRDefault="001F64B1" w:rsidP="0097226C">
            <w:pPr>
              <w:keepNext/>
              <w:keepLines/>
              <w:rPr>
                <w:sz w:val="16"/>
                <w:szCs w:val="16"/>
              </w:rPr>
            </w:pPr>
          </w:p>
          <w:p w14:paraId="75564D8E" w14:textId="55A61199" w:rsidR="001F64B1" w:rsidRPr="0067214C" w:rsidRDefault="00BA5EA9" w:rsidP="0097226C">
            <w:pPr>
              <w:rPr>
                <w:sz w:val="16"/>
                <w:szCs w:val="16"/>
              </w:rPr>
            </w:pPr>
            <w:r w:rsidRPr="0067214C">
              <w:rPr>
                <w:sz w:val="16"/>
                <w:szCs w:val="16"/>
              </w:rPr>
              <w:t xml:space="preserve">IOD = 71% </w:t>
            </w:r>
            <w:r w:rsidR="002A6384" w:rsidRPr="0067214C">
              <w:rPr>
                <w:sz w:val="16"/>
                <w:szCs w:val="16"/>
              </w:rPr>
              <w:t>des recommandations en suspens fin</w:t>
            </w:r>
            <w:r w:rsidR="00B4191E" w:rsidRPr="0067214C">
              <w:rPr>
                <w:sz w:val="16"/>
                <w:szCs w:val="16"/>
              </w:rPr>
              <w:t> </w:t>
            </w:r>
            <w:r w:rsidR="002A6384" w:rsidRPr="0067214C">
              <w:rPr>
                <w:sz w:val="16"/>
                <w:szCs w:val="16"/>
              </w:rPr>
              <w:t xml:space="preserve">2015 ont été classées </w:t>
            </w:r>
            <w:r w:rsidR="00FA22F6" w:rsidRPr="0067214C">
              <w:rPr>
                <w:sz w:val="16"/>
                <w:szCs w:val="16"/>
              </w:rPr>
              <w:t>en 2016</w:t>
            </w:r>
            <w:r w:rsidR="006A41CF" w:rsidRPr="0067214C">
              <w:rPr>
                <w:sz w:val="16"/>
                <w:szCs w:val="16"/>
              </w:rPr>
              <w:noBreakHyphen/>
            </w:r>
            <w:r w:rsidR="002A6384" w:rsidRPr="0067214C">
              <w:rPr>
                <w:sz w:val="16"/>
                <w:szCs w:val="16"/>
              </w:rPr>
              <w:t xml:space="preserve">2017 </w:t>
            </w:r>
            <w:r w:rsidR="004560B4" w:rsidRPr="0067214C">
              <w:rPr>
                <w:sz w:val="16"/>
                <w:szCs w:val="16"/>
              </w:rPr>
              <w:t>(programme</w:t>
            </w:r>
            <w:r w:rsidR="00B4191E" w:rsidRPr="0067214C">
              <w:rPr>
                <w:sz w:val="16"/>
                <w:szCs w:val="16"/>
              </w:rPr>
              <w:t> </w:t>
            </w:r>
            <w:r w:rsidR="004560B4" w:rsidRPr="0067214C">
              <w:rPr>
                <w:sz w:val="16"/>
                <w:szCs w:val="16"/>
              </w:rPr>
              <w:t>22)</w:t>
            </w:r>
          </w:p>
          <w:p w14:paraId="0AEA467D" w14:textId="77777777" w:rsidR="001F64B1" w:rsidRPr="0067214C" w:rsidRDefault="001F64B1" w:rsidP="0097226C">
            <w:pPr>
              <w:keepNext/>
              <w:keepLines/>
              <w:rPr>
                <w:sz w:val="16"/>
                <w:szCs w:val="16"/>
              </w:rPr>
            </w:pPr>
          </w:p>
          <w:p w14:paraId="589ECD4D" w14:textId="4D286C45" w:rsidR="001F64B1" w:rsidRPr="0067214C" w:rsidRDefault="00BA5EA9" w:rsidP="0097226C">
            <w:pPr>
              <w:keepNext/>
              <w:keepLines/>
              <w:rPr>
                <w:sz w:val="16"/>
                <w:szCs w:val="16"/>
              </w:rPr>
            </w:pPr>
            <w:r w:rsidRPr="0067214C">
              <w:rPr>
                <w:sz w:val="16"/>
                <w:szCs w:val="16"/>
              </w:rPr>
              <w:t xml:space="preserve">JIU = 58% </w:t>
            </w:r>
            <w:r w:rsidR="00486DDC" w:rsidRPr="0067214C">
              <w:rPr>
                <w:sz w:val="16"/>
                <w:szCs w:val="16"/>
              </w:rPr>
              <w:t>des recommandations en suspens fin</w:t>
            </w:r>
            <w:r w:rsidR="00B4191E" w:rsidRPr="0067214C">
              <w:rPr>
                <w:sz w:val="16"/>
                <w:szCs w:val="16"/>
              </w:rPr>
              <w:t> </w:t>
            </w:r>
            <w:r w:rsidR="00486DDC" w:rsidRPr="0067214C">
              <w:rPr>
                <w:sz w:val="16"/>
                <w:szCs w:val="16"/>
              </w:rPr>
              <w:t>2015 ont été classées fin</w:t>
            </w:r>
            <w:r w:rsidR="00B4191E" w:rsidRPr="0067214C">
              <w:rPr>
                <w:sz w:val="16"/>
                <w:szCs w:val="16"/>
              </w:rPr>
              <w:t> </w:t>
            </w:r>
            <w:r w:rsidR="00486DDC" w:rsidRPr="0067214C">
              <w:rPr>
                <w:sz w:val="16"/>
                <w:szCs w:val="16"/>
              </w:rPr>
              <w:t>2016</w:t>
            </w:r>
          </w:p>
          <w:p w14:paraId="5F36DD09" w14:textId="01299B09" w:rsidR="00BA5EA9" w:rsidRPr="0067214C" w:rsidRDefault="00BA5EA9" w:rsidP="0097226C">
            <w:pPr>
              <w:keepNext/>
              <w:keepLines/>
              <w:rPr>
                <w:sz w:val="16"/>
                <w:szCs w:val="16"/>
              </w:rPr>
            </w:pPr>
            <w:r w:rsidRPr="0067214C">
              <w:rPr>
                <w:sz w:val="16"/>
                <w:szCs w:val="16"/>
              </w:rPr>
              <w:t>(</w:t>
            </w:r>
            <w:r w:rsidR="006510EE" w:rsidRPr="0067214C">
              <w:rPr>
                <w:sz w:val="16"/>
                <w:szCs w:val="16"/>
              </w:rPr>
              <w:t xml:space="preserve">début </w:t>
            </w:r>
            <w:r w:rsidR="00FA22F6" w:rsidRPr="0067214C">
              <w:rPr>
                <w:sz w:val="16"/>
                <w:szCs w:val="16"/>
              </w:rPr>
              <w:t>en 2010</w:t>
            </w:r>
            <w:r w:rsidRPr="0067214C">
              <w:rPr>
                <w:sz w:val="16"/>
                <w:szCs w:val="16"/>
              </w:rPr>
              <w:t>)</w:t>
            </w:r>
          </w:p>
        </w:tc>
        <w:tc>
          <w:tcPr>
            <w:tcW w:w="461" w:type="pct"/>
            <w:shd w:val="clear" w:color="auto" w:fill="auto"/>
            <w:tcMar>
              <w:top w:w="110" w:type="dxa"/>
              <w:left w:w="58" w:type="dxa"/>
              <w:right w:w="58" w:type="dxa"/>
            </w:tcMar>
          </w:tcPr>
          <w:p w14:paraId="56CA88D8" w14:textId="77777777" w:rsidR="001F64B1" w:rsidRPr="001E6DFD" w:rsidRDefault="00A43B2F" w:rsidP="0097226C">
            <w:pPr>
              <w:keepNext/>
              <w:keepLines/>
              <w:jc w:val="center"/>
              <w:rPr>
                <w:b/>
                <w:sz w:val="16"/>
                <w:szCs w:val="16"/>
              </w:rPr>
            </w:pPr>
            <w:r w:rsidRPr="001E6DFD">
              <w:rPr>
                <w:b/>
                <w:color w:val="00B050"/>
                <w:sz w:val="16"/>
                <w:szCs w:val="16"/>
              </w:rPr>
              <w:t>En bonne voie</w:t>
            </w:r>
          </w:p>
          <w:p w14:paraId="32F0B9DC" w14:textId="77777777" w:rsidR="001F64B1" w:rsidRPr="001E6DFD" w:rsidRDefault="001F64B1" w:rsidP="0097226C">
            <w:pPr>
              <w:keepNext/>
              <w:keepLines/>
              <w:jc w:val="center"/>
              <w:rPr>
                <w:sz w:val="16"/>
                <w:szCs w:val="16"/>
              </w:rPr>
            </w:pPr>
          </w:p>
          <w:p w14:paraId="5816FC45" w14:textId="77777777" w:rsidR="001F64B1" w:rsidRPr="001E6DFD" w:rsidRDefault="001F64B1" w:rsidP="0097226C">
            <w:pPr>
              <w:keepNext/>
              <w:keepLines/>
              <w:jc w:val="center"/>
              <w:rPr>
                <w:sz w:val="16"/>
                <w:szCs w:val="16"/>
              </w:rPr>
            </w:pPr>
          </w:p>
          <w:p w14:paraId="04D8CA9F" w14:textId="77777777" w:rsidR="001F64B1" w:rsidRPr="001E6DFD" w:rsidRDefault="001F64B1" w:rsidP="0097226C">
            <w:pPr>
              <w:keepNext/>
              <w:keepLines/>
              <w:jc w:val="center"/>
              <w:rPr>
                <w:sz w:val="16"/>
                <w:szCs w:val="16"/>
              </w:rPr>
            </w:pPr>
          </w:p>
          <w:p w14:paraId="5CD74D2F" w14:textId="77777777" w:rsidR="006A41CF" w:rsidRPr="001E6DFD" w:rsidRDefault="006A41CF" w:rsidP="0097226C">
            <w:pPr>
              <w:keepNext/>
              <w:keepLines/>
              <w:jc w:val="center"/>
              <w:rPr>
                <w:sz w:val="16"/>
                <w:szCs w:val="16"/>
              </w:rPr>
            </w:pPr>
          </w:p>
          <w:p w14:paraId="4AB8F5E4" w14:textId="77777777" w:rsidR="006A41CF" w:rsidRPr="001E6DFD" w:rsidRDefault="006A41CF" w:rsidP="0097226C">
            <w:pPr>
              <w:keepNext/>
              <w:keepLines/>
              <w:jc w:val="center"/>
              <w:rPr>
                <w:sz w:val="16"/>
                <w:szCs w:val="16"/>
              </w:rPr>
            </w:pPr>
          </w:p>
          <w:p w14:paraId="0BE1EA4A" w14:textId="77777777" w:rsidR="001F64B1" w:rsidRPr="001E6DFD" w:rsidRDefault="00A43B2F" w:rsidP="0097226C">
            <w:pPr>
              <w:keepNext/>
              <w:keepLines/>
              <w:jc w:val="center"/>
              <w:rPr>
                <w:b/>
                <w:sz w:val="16"/>
                <w:szCs w:val="16"/>
              </w:rPr>
            </w:pPr>
            <w:r w:rsidRPr="001E6DFD">
              <w:rPr>
                <w:b/>
                <w:color w:val="00B050"/>
                <w:sz w:val="16"/>
                <w:szCs w:val="16"/>
              </w:rPr>
              <w:t>En bonne voie</w:t>
            </w:r>
          </w:p>
          <w:p w14:paraId="74E5D905" w14:textId="77777777" w:rsidR="001F64B1" w:rsidRPr="001E6DFD" w:rsidRDefault="001F64B1" w:rsidP="0097226C">
            <w:pPr>
              <w:keepNext/>
              <w:keepLines/>
              <w:jc w:val="center"/>
              <w:rPr>
                <w:sz w:val="16"/>
                <w:szCs w:val="16"/>
              </w:rPr>
            </w:pPr>
          </w:p>
          <w:p w14:paraId="30C3813D" w14:textId="77777777" w:rsidR="001F64B1" w:rsidRPr="001E6DFD" w:rsidRDefault="001F64B1" w:rsidP="0097226C">
            <w:pPr>
              <w:keepNext/>
              <w:keepLines/>
              <w:jc w:val="center"/>
              <w:rPr>
                <w:sz w:val="16"/>
                <w:szCs w:val="16"/>
              </w:rPr>
            </w:pPr>
          </w:p>
          <w:p w14:paraId="5741D4B4" w14:textId="77777777" w:rsidR="001F64B1" w:rsidRPr="001E6DFD" w:rsidRDefault="001F64B1" w:rsidP="0097226C">
            <w:pPr>
              <w:keepNext/>
              <w:keepLines/>
              <w:jc w:val="center"/>
              <w:rPr>
                <w:sz w:val="16"/>
                <w:szCs w:val="16"/>
              </w:rPr>
            </w:pPr>
          </w:p>
          <w:p w14:paraId="69843191" w14:textId="34BE024C" w:rsidR="00BA5EA9" w:rsidRPr="001E6DFD" w:rsidRDefault="00A43B2F" w:rsidP="006A41CF">
            <w:pPr>
              <w:keepNext/>
              <w:keepLines/>
              <w:jc w:val="center"/>
              <w:rPr>
                <w:sz w:val="16"/>
                <w:szCs w:val="16"/>
              </w:rPr>
            </w:pPr>
            <w:r w:rsidRPr="001E6DFD">
              <w:rPr>
                <w:b/>
                <w:color w:val="00B050"/>
                <w:sz w:val="16"/>
                <w:szCs w:val="16"/>
              </w:rPr>
              <w:t>En bonne voie</w:t>
            </w:r>
          </w:p>
        </w:tc>
      </w:tr>
    </w:tbl>
    <w:p w14:paraId="61151B51" w14:textId="77777777" w:rsidR="00851C67" w:rsidRDefault="00851C67">
      <w:pPr>
        <w:rPr>
          <w:sz w:val="20"/>
        </w:rPr>
      </w:pPr>
    </w:p>
    <w:p w14:paraId="6A60D20A" w14:textId="77777777" w:rsidR="0067214C" w:rsidRDefault="0067214C">
      <w:r>
        <w:br w:type="page"/>
      </w:r>
    </w:p>
    <w:tbl>
      <w:tblPr>
        <w:tblStyle w:val="TableGrid1"/>
        <w:tblW w:w="49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5"/>
      </w:tblGrid>
      <w:tr w:rsidR="00BA5EA9" w:rsidRPr="001E6DFD" w14:paraId="03C21869" w14:textId="77777777" w:rsidTr="0067214C">
        <w:trPr>
          <w:trHeight w:val="423"/>
        </w:trPr>
        <w:tc>
          <w:tcPr>
            <w:tcW w:w="9496" w:type="dxa"/>
            <w:shd w:val="clear" w:color="auto" w:fill="C6D9F1" w:themeFill="text2" w:themeFillTint="33"/>
            <w:vAlign w:val="center"/>
          </w:tcPr>
          <w:p w14:paraId="33C766DE" w14:textId="71A88E1D" w:rsidR="00BA5EA9" w:rsidRPr="001E6DFD" w:rsidRDefault="00BA5EA9" w:rsidP="0097226C">
            <w:pPr>
              <w:keepNext/>
              <w:keepLines/>
              <w:jc w:val="center"/>
              <w:rPr>
                <w:b/>
                <w:sz w:val="20"/>
              </w:rPr>
            </w:pPr>
            <w:r w:rsidRPr="001E6DFD">
              <w:rPr>
                <w:sz w:val="20"/>
              </w:rPr>
              <w:br w:type="page"/>
            </w:r>
            <w:r w:rsidR="002F00FF" w:rsidRPr="001E6DFD">
              <w:rPr>
                <w:b/>
                <w:sz w:val="20"/>
              </w:rPr>
              <w:t>Utilisation des ressources au titre du programme</w:t>
            </w:r>
            <w:r w:rsidR="00B4191E">
              <w:rPr>
                <w:b/>
                <w:sz w:val="20"/>
              </w:rPr>
              <w:t> </w:t>
            </w:r>
            <w:r w:rsidRPr="001E6DFD">
              <w:rPr>
                <w:b/>
                <w:sz w:val="20"/>
              </w:rPr>
              <w:t>22</w:t>
            </w:r>
          </w:p>
        </w:tc>
      </w:tr>
    </w:tbl>
    <w:p w14:paraId="482F2BBE" w14:textId="77777777" w:rsidR="001F64B1" w:rsidRPr="001E6DFD" w:rsidRDefault="001F64B1" w:rsidP="0097226C">
      <w:pPr>
        <w:rPr>
          <w:sz w:val="20"/>
        </w:rPr>
      </w:pPr>
    </w:p>
    <w:p w14:paraId="54ADE952" w14:textId="77777777" w:rsidR="001F64B1" w:rsidRPr="001E6DFD" w:rsidRDefault="004560B4" w:rsidP="0097226C">
      <w:pPr>
        <w:keepNext/>
        <w:keepLines/>
        <w:jc w:val="center"/>
        <w:rPr>
          <w:sz w:val="18"/>
          <w:szCs w:val="18"/>
        </w:rPr>
      </w:pPr>
      <w:r w:rsidRPr="001E6DFD">
        <w:rPr>
          <w:sz w:val="18"/>
          <w:szCs w:val="18"/>
        </w:rPr>
        <w:t>Budget et dépenses effectives (par résultat)</w:t>
      </w:r>
    </w:p>
    <w:p w14:paraId="2EDCCBB4" w14:textId="77777777" w:rsidR="001F64B1" w:rsidRPr="001E6DFD" w:rsidRDefault="004560B4" w:rsidP="0097226C">
      <w:pPr>
        <w:keepNext/>
        <w:keepLines/>
        <w:jc w:val="center"/>
        <w:rPr>
          <w:i/>
          <w:iCs/>
          <w:sz w:val="16"/>
          <w:szCs w:val="16"/>
        </w:rPr>
      </w:pPr>
      <w:r w:rsidRPr="001E6DFD">
        <w:rPr>
          <w:i/>
          <w:iCs/>
          <w:sz w:val="16"/>
          <w:szCs w:val="16"/>
        </w:rPr>
        <w:t>(en milliers de francs suisses)</w:t>
      </w:r>
    </w:p>
    <w:p w14:paraId="677F74DB"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508"/>
        <w:gridCol w:w="4239"/>
        <w:gridCol w:w="1560"/>
        <w:gridCol w:w="1560"/>
        <w:gridCol w:w="1420"/>
      </w:tblGrid>
      <w:tr w:rsidR="00BA5EA9" w:rsidRPr="001E6DFD" w14:paraId="605D364D" w14:textId="77777777" w:rsidTr="005C716A">
        <w:trPr>
          <w:jc w:val="center"/>
        </w:trPr>
        <w:tc>
          <w:tcPr>
            <w:tcW w:w="4800" w:type="dxa"/>
            <w:gridSpan w:val="2"/>
            <w:tcBorders>
              <w:top w:val="nil"/>
              <w:left w:val="nil"/>
              <w:bottom w:val="nil"/>
              <w:right w:val="nil"/>
            </w:tcBorders>
            <w:shd w:val="clear" w:color="000000" w:fill="C5D9F1"/>
            <w:noWrap/>
            <w:vAlign w:val="center"/>
            <w:hideMark/>
          </w:tcPr>
          <w:p w14:paraId="1FB2E5CE" w14:textId="77777777" w:rsidR="00BA5EA9" w:rsidRPr="001E6DFD" w:rsidRDefault="004560B4" w:rsidP="0097226C">
            <w:pPr>
              <w:jc w:val="center"/>
              <w:rPr>
                <w:b/>
                <w:bCs/>
                <w:sz w:val="16"/>
                <w:szCs w:val="16"/>
              </w:rPr>
            </w:pPr>
            <w:r w:rsidRPr="001E6DFD">
              <w:rPr>
                <w:b/>
                <w:bCs/>
                <w:sz w:val="16"/>
                <w:szCs w:val="16"/>
              </w:rPr>
              <w:t>Numéro et description du résultat escompté</w:t>
            </w:r>
            <w:r w:rsidR="00BA5EA9" w:rsidRPr="001E6DFD">
              <w:rPr>
                <w:b/>
                <w:bCs/>
                <w:sz w:val="16"/>
                <w:szCs w:val="16"/>
              </w:rPr>
              <w:t xml:space="preserve"> </w:t>
            </w:r>
          </w:p>
        </w:tc>
        <w:tc>
          <w:tcPr>
            <w:tcW w:w="1180" w:type="dxa"/>
            <w:tcBorders>
              <w:top w:val="nil"/>
              <w:left w:val="nil"/>
              <w:bottom w:val="nil"/>
              <w:right w:val="nil"/>
            </w:tcBorders>
            <w:shd w:val="clear" w:color="000000" w:fill="C5D9F1"/>
            <w:vAlign w:val="center"/>
            <w:hideMark/>
          </w:tcPr>
          <w:p w14:paraId="2D26C70F" w14:textId="6E380B30"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180" w:type="dxa"/>
            <w:tcBorders>
              <w:top w:val="nil"/>
              <w:left w:val="nil"/>
              <w:bottom w:val="nil"/>
              <w:right w:val="nil"/>
            </w:tcBorders>
            <w:shd w:val="clear" w:color="000000" w:fill="C5D9F1"/>
            <w:vAlign w:val="center"/>
            <w:hideMark/>
          </w:tcPr>
          <w:p w14:paraId="43AF5F45" w14:textId="105C6FB1" w:rsidR="00BA5EA9" w:rsidRPr="001E6DFD" w:rsidRDefault="002A49FC"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180" w:type="dxa"/>
            <w:tcBorders>
              <w:top w:val="nil"/>
              <w:left w:val="nil"/>
              <w:bottom w:val="nil"/>
              <w:right w:val="nil"/>
            </w:tcBorders>
            <w:shd w:val="clear" w:color="000000" w:fill="C5D9F1"/>
            <w:vAlign w:val="center"/>
            <w:hideMark/>
          </w:tcPr>
          <w:p w14:paraId="39E6A538" w14:textId="3488A765" w:rsidR="00BA5EA9" w:rsidRPr="001E6DFD" w:rsidRDefault="002A49FC"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r>
      <w:tr w:rsidR="00BA5EA9" w:rsidRPr="001E6DFD" w14:paraId="6F612282" w14:textId="77777777" w:rsidTr="005C716A">
        <w:trPr>
          <w:jc w:val="center"/>
        </w:trPr>
        <w:tc>
          <w:tcPr>
            <w:tcW w:w="511" w:type="dxa"/>
            <w:tcBorders>
              <w:top w:val="nil"/>
              <w:left w:val="nil"/>
              <w:bottom w:val="nil"/>
              <w:right w:val="nil"/>
            </w:tcBorders>
            <w:shd w:val="clear" w:color="auto" w:fill="auto"/>
            <w:noWrap/>
            <w:vAlign w:val="center"/>
            <w:hideMark/>
          </w:tcPr>
          <w:p w14:paraId="72F90375" w14:textId="77777777" w:rsidR="00BA5EA9" w:rsidRPr="001E6DFD" w:rsidRDefault="00BA5EA9" w:rsidP="0097226C">
            <w:pPr>
              <w:rPr>
                <w:sz w:val="16"/>
                <w:szCs w:val="16"/>
              </w:rPr>
            </w:pPr>
            <w:r w:rsidRPr="001E6DFD">
              <w:rPr>
                <w:sz w:val="16"/>
                <w:szCs w:val="16"/>
              </w:rPr>
              <w:t>IX.1</w:t>
            </w:r>
          </w:p>
        </w:tc>
        <w:tc>
          <w:tcPr>
            <w:tcW w:w="4289" w:type="dxa"/>
            <w:tcBorders>
              <w:top w:val="nil"/>
              <w:left w:val="nil"/>
              <w:bottom w:val="nil"/>
              <w:right w:val="nil"/>
            </w:tcBorders>
            <w:shd w:val="clear" w:color="auto" w:fill="auto"/>
            <w:vAlign w:val="center"/>
            <w:hideMark/>
          </w:tcPr>
          <w:p w14:paraId="56069763" w14:textId="0BA02D49" w:rsidR="00BA5EA9" w:rsidRPr="001E6DFD" w:rsidRDefault="004560B4" w:rsidP="0097226C">
            <w:pPr>
              <w:rPr>
                <w:sz w:val="16"/>
                <w:szCs w:val="16"/>
              </w:rPr>
            </w:pPr>
            <w:r w:rsidRPr="001E6DFD">
              <w:rPr>
                <w:sz w:val="16"/>
                <w:szCs w:val="16"/>
              </w:rPr>
              <w:t>Services d</w:t>
            </w:r>
            <w:r w:rsidR="00FA22F6" w:rsidRPr="001E6DFD">
              <w:rPr>
                <w:sz w:val="16"/>
                <w:szCs w:val="16"/>
              </w:rPr>
              <w:t>’</w:t>
            </w:r>
            <w:r w:rsidRPr="001E6DFD">
              <w:rPr>
                <w:sz w:val="16"/>
                <w:szCs w:val="16"/>
              </w:rPr>
              <w:t>appui efficaces, efficients, de qualité et tournés vers la clientèle, à l</w:t>
            </w:r>
            <w:r w:rsidR="00FA22F6" w:rsidRPr="001E6DFD">
              <w:rPr>
                <w:sz w:val="16"/>
                <w:szCs w:val="16"/>
              </w:rPr>
              <w:t>’</w:t>
            </w:r>
            <w:r w:rsidRPr="001E6DFD">
              <w:rPr>
                <w:sz w:val="16"/>
                <w:szCs w:val="16"/>
              </w:rPr>
              <w:t>intention à la fois des clients internes et des parties prenantes externes</w:t>
            </w:r>
          </w:p>
        </w:tc>
        <w:tc>
          <w:tcPr>
            <w:tcW w:w="1180" w:type="dxa"/>
            <w:tcBorders>
              <w:top w:val="nil"/>
              <w:left w:val="nil"/>
              <w:bottom w:val="nil"/>
              <w:right w:val="nil"/>
            </w:tcBorders>
            <w:shd w:val="clear" w:color="auto" w:fill="auto"/>
            <w:noWrap/>
            <w:vAlign w:val="center"/>
            <w:hideMark/>
          </w:tcPr>
          <w:p w14:paraId="55EAA2C8" w14:textId="77777777" w:rsidR="00BA5EA9" w:rsidRPr="001E6DFD" w:rsidRDefault="00282CF5" w:rsidP="0097226C">
            <w:pPr>
              <w:jc w:val="center"/>
              <w:rPr>
                <w:sz w:val="16"/>
                <w:szCs w:val="16"/>
              </w:rPr>
            </w:pPr>
            <w:r w:rsidRPr="001E6DFD">
              <w:rPr>
                <w:sz w:val="16"/>
                <w:szCs w:val="16"/>
              </w:rPr>
              <w:t>13 229</w:t>
            </w:r>
          </w:p>
        </w:tc>
        <w:tc>
          <w:tcPr>
            <w:tcW w:w="1180" w:type="dxa"/>
            <w:tcBorders>
              <w:top w:val="nil"/>
              <w:left w:val="nil"/>
              <w:bottom w:val="nil"/>
              <w:right w:val="nil"/>
            </w:tcBorders>
            <w:shd w:val="clear" w:color="auto" w:fill="auto"/>
            <w:noWrap/>
            <w:vAlign w:val="center"/>
            <w:hideMark/>
          </w:tcPr>
          <w:p w14:paraId="2573A920" w14:textId="77777777" w:rsidR="00BA5EA9" w:rsidRPr="001E6DFD" w:rsidRDefault="00282CF5" w:rsidP="0097226C">
            <w:pPr>
              <w:jc w:val="center"/>
              <w:rPr>
                <w:sz w:val="16"/>
                <w:szCs w:val="16"/>
              </w:rPr>
            </w:pPr>
            <w:r w:rsidRPr="001E6DFD">
              <w:rPr>
                <w:sz w:val="16"/>
                <w:szCs w:val="16"/>
              </w:rPr>
              <w:t>13 311</w:t>
            </w:r>
          </w:p>
        </w:tc>
        <w:tc>
          <w:tcPr>
            <w:tcW w:w="1180" w:type="dxa"/>
            <w:tcBorders>
              <w:top w:val="nil"/>
              <w:left w:val="nil"/>
              <w:bottom w:val="nil"/>
              <w:right w:val="nil"/>
            </w:tcBorders>
            <w:shd w:val="clear" w:color="auto" w:fill="auto"/>
            <w:noWrap/>
            <w:vAlign w:val="center"/>
            <w:hideMark/>
          </w:tcPr>
          <w:p w14:paraId="612BFBA0" w14:textId="77777777" w:rsidR="00BA5EA9" w:rsidRPr="001E6DFD" w:rsidRDefault="00282CF5" w:rsidP="0097226C">
            <w:pPr>
              <w:jc w:val="center"/>
              <w:rPr>
                <w:sz w:val="16"/>
                <w:szCs w:val="16"/>
              </w:rPr>
            </w:pPr>
            <w:r w:rsidRPr="001E6DFD">
              <w:rPr>
                <w:sz w:val="16"/>
                <w:szCs w:val="16"/>
              </w:rPr>
              <w:t>5 908</w:t>
            </w:r>
          </w:p>
        </w:tc>
      </w:tr>
      <w:tr w:rsidR="00BA5EA9" w:rsidRPr="001E6DFD" w14:paraId="30152B0B" w14:textId="77777777" w:rsidTr="005C716A">
        <w:trPr>
          <w:jc w:val="center"/>
        </w:trPr>
        <w:tc>
          <w:tcPr>
            <w:tcW w:w="511" w:type="dxa"/>
            <w:tcBorders>
              <w:top w:val="nil"/>
              <w:left w:val="nil"/>
              <w:bottom w:val="nil"/>
              <w:right w:val="nil"/>
            </w:tcBorders>
            <w:shd w:val="clear" w:color="auto" w:fill="auto"/>
            <w:noWrap/>
            <w:vAlign w:val="center"/>
            <w:hideMark/>
          </w:tcPr>
          <w:p w14:paraId="7C75B8F4" w14:textId="77777777" w:rsidR="00BA5EA9" w:rsidRPr="001E6DFD" w:rsidRDefault="00BA5EA9" w:rsidP="0097226C">
            <w:pPr>
              <w:rPr>
                <w:sz w:val="16"/>
                <w:szCs w:val="16"/>
              </w:rPr>
            </w:pPr>
            <w:r w:rsidRPr="001E6DFD">
              <w:rPr>
                <w:sz w:val="16"/>
                <w:szCs w:val="16"/>
              </w:rPr>
              <w:t>IX.2</w:t>
            </w:r>
          </w:p>
        </w:tc>
        <w:tc>
          <w:tcPr>
            <w:tcW w:w="4289" w:type="dxa"/>
            <w:tcBorders>
              <w:top w:val="nil"/>
              <w:left w:val="nil"/>
              <w:bottom w:val="nil"/>
              <w:right w:val="nil"/>
            </w:tcBorders>
            <w:shd w:val="clear" w:color="auto" w:fill="auto"/>
            <w:vAlign w:val="center"/>
            <w:hideMark/>
          </w:tcPr>
          <w:p w14:paraId="4B455FDA" w14:textId="68B5A2CA" w:rsidR="00BA5EA9" w:rsidRPr="001E6DFD" w:rsidRDefault="004560B4" w:rsidP="0097226C">
            <w:pPr>
              <w:rPr>
                <w:sz w:val="16"/>
                <w:szCs w:val="16"/>
              </w:rPr>
            </w:pPr>
            <w:r w:rsidRPr="001E6DFD">
              <w:rPr>
                <w:sz w:val="16"/>
                <w:szCs w:val="16"/>
              </w:rPr>
              <w:t>Un Secrétariat réactif, fonctionnant harmonieusement et doté de ressources humaines bien gérées et compétentes, à même d</w:t>
            </w:r>
            <w:r w:rsidR="00FA22F6" w:rsidRPr="001E6DFD">
              <w:rPr>
                <w:sz w:val="16"/>
                <w:szCs w:val="16"/>
              </w:rPr>
              <w:t>’</w:t>
            </w:r>
            <w:r w:rsidRPr="001E6DFD">
              <w:rPr>
                <w:sz w:val="16"/>
                <w:szCs w:val="16"/>
              </w:rPr>
              <w:t>obtenir des résultats concrets</w:t>
            </w:r>
          </w:p>
        </w:tc>
        <w:tc>
          <w:tcPr>
            <w:tcW w:w="1180" w:type="dxa"/>
            <w:tcBorders>
              <w:top w:val="nil"/>
              <w:left w:val="nil"/>
              <w:bottom w:val="nil"/>
              <w:right w:val="nil"/>
            </w:tcBorders>
            <w:shd w:val="clear" w:color="auto" w:fill="auto"/>
            <w:noWrap/>
            <w:vAlign w:val="center"/>
            <w:hideMark/>
          </w:tcPr>
          <w:p w14:paraId="3F7B07BC" w14:textId="77777777" w:rsidR="00BA5EA9" w:rsidRPr="001E6DFD" w:rsidRDefault="00282CF5" w:rsidP="0097226C">
            <w:pPr>
              <w:jc w:val="center"/>
              <w:rPr>
                <w:sz w:val="16"/>
                <w:szCs w:val="16"/>
              </w:rPr>
            </w:pPr>
            <w:r w:rsidRPr="001E6DFD">
              <w:rPr>
                <w:sz w:val="16"/>
                <w:szCs w:val="16"/>
              </w:rPr>
              <w:t>16 744</w:t>
            </w:r>
          </w:p>
        </w:tc>
        <w:tc>
          <w:tcPr>
            <w:tcW w:w="1180" w:type="dxa"/>
            <w:tcBorders>
              <w:top w:val="nil"/>
              <w:left w:val="nil"/>
              <w:bottom w:val="nil"/>
              <w:right w:val="nil"/>
            </w:tcBorders>
            <w:shd w:val="clear" w:color="auto" w:fill="auto"/>
            <w:noWrap/>
            <w:vAlign w:val="center"/>
            <w:hideMark/>
          </w:tcPr>
          <w:p w14:paraId="6DE49375" w14:textId="77777777" w:rsidR="00BA5EA9" w:rsidRPr="001E6DFD" w:rsidRDefault="00282CF5" w:rsidP="0097226C">
            <w:pPr>
              <w:jc w:val="center"/>
              <w:rPr>
                <w:sz w:val="16"/>
                <w:szCs w:val="16"/>
              </w:rPr>
            </w:pPr>
            <w:r w:rsidRPr="001E6DFD">
              <w:rPr>
                <w:sz w:val="16"/>
                <w:szCs w:val="16"/>
              </w:rPr>
              <w:t>15 948</w:t>
            </w:r>
          </w:p>
        </w:tc>
        <w:tc>
          <w:tcPr>
            <w:tcW w:w="1180" w:type="dxa"/>
            <w:tcBorders>
              <w:top w:val="nil"/>
              <w:left w:val="nil"/>
              <w:bottom w:val="nil"/>
              <w:right w:val="nil"/>
            </w:tcBorders>
            <w:shd w:val="clear" w:color="auto" w:fill="auto"/>
            <w:noWrap/>
            <w:vAlign w:val="center"/>
            <w:hideMark/>
          </w:tcPr>
          <w:p w14:paraId="74F9D960" w14:textId="77777777" w:rsidR="00BA5EA9" w:rsidRPr="001E6DFD" w:rsidRDefault="00282CF5" w:rsidP="0097226C">
            <w:pPr>
              <w:jc w:val="center"/>
              <w:rPr>
                <w:sz w:val="16"/>
                <w:szCs w:val="16"/>
              </w:rPr>
            </w:pPr>
            <w:r w:rsidRPr="001E6DFD">
              <w:rPr>
                <w:sz w:val="16"/>
                <w:szCs w:val="16"/>
              </w:rPr>
              <w:t>6 902</w:t>
            </w:r>
          </w:p>
        </w:tc>
      </w:tr>
      <w:tr w:rsidR="00BA5EA9" w:rsidRPr="001E6DFD" w14:paraId="4E256A3B" w14:textId="77777777" w:rsidTr="005C716A">
        <w:trPr>
          <w:jc w:val="center"/>
        </w:trPr>
        <w:tc>
          <w:tcPr>
            <w:tcW w:w="511" w:type="dxa"/>
            <w:tcBorders>
              <w:top w:val="nil"/>
              <w:left w:val="nil"/>
              <w:bottom w:val="nil"/>
              <w:right w:val="nil"/>
            </w:tcBorders>
            <w:shd w:val="clear" w:color="auto" w:fill="auto"/>
            <w:noWrap/>
            <w:vAlign w:val="center"/>
            <w:hideMark/>
          </w:tcPr>
          <w:p w14:paraId="3720FF84" w14:textId="77777777" w:rsidR="00BA5EA9" w:rsidRPr="001E6DFD" w:rsidRDefault="00BA5EA9" w:rsidP="0097226C">
            <w:pPr>
              <w:rPr>
                <w:sz w:val="16"/>
                <w:szCs w:val="16"/>
              </w:rPr>
            </w:pPr>
            <w:r w:rsidRPr="001E6DFD">
              <w:rPr>
                <w:sz w:val="16"/>
                <w:szCs w:val="16"/>
              </w:rPr>
              <w:t>IX.3</w:t>
            </w:r>
          </w:p>
        </w:tc>
        <w:tc>
          <w:tcPr>
            <w:tcW w:w="4289" w:type="dxa"/>
            <w:tcBorders>
              <w:top w:val="nil"/>
              <w:left w:val="nil"/>
              <w:bottom w:val="nil"/>
              <w:right w:val="nil"/>
            </w:tcBorders>
            <w:shd w:val="clear" w:color="auto" w:fill="auto"/>
            <w:vAlign w:val="center"/>
            <w:hideMark/>
          </w:tcPr>
          <w:p w14:paraId="07F73F7A" w14:textId="77777777" w:rsidR="00BA5EA9" w:rsidRPr="001E6DFD" w:rsidRDefault="004560B4" w:rsidP="0097226C">
            <w:pPr>
              <w:rPr>
                <w:sz w:val="16"/>
                <w:szCs w:val="16"/>
              </w:rPr>
            </w:pPr>
            <w:r w:rsidRPr="001E6DFD">
              <w:rPr>
                <w:sz w:val="16"/>
                <w:szCs w:val="16"/>
              </w:rPr>
              <w:t>Un environnement de travail stimulant étayé par un cadre réglementaire efficace et des voies appropriées pour répondre aux préoccupations du personnel</w:t>
            </w:r>
          </w:p>
        </w:tc>
        <w:tc>
          <w:tcPr>
            <w:tcW w:w="1180" w:type="dxa"/>
            <w:tcBorders>
              <w:top w:val="nil"/>
              <w:left w:val="nil"/>
              <w:bottom w:val="nil"/>
              <w:right w:val="nil"/>
            </w:tcBorders>
            <w:shd w:val="clear" w:color="auto" w:fill="auto"/>
            <w:noWrap/>
            <w:vAlign w:val="center"/>
            <w:hideMark/>
          </w:tcPr>
          <w:p w14:paraId="334ADA9A" w14:textId="77777777" w:rsidR="00BA5EA9" w:rsidRPr="001E6DFD" w:rsidRDefault="00282CF5" w:rsidP="0097226C">
            <w:pPr>
              <w:jc w:val="center"/>
              <w:rPr>
                <w:sz w:val="16"/>
                <w:szCs w:val="16"/>
              </w:rPr>
            </w:pPr>
            <w:r w:rsidRPr="001E6DFD">
              <w:rPr>
                <w:sz w:val="16"/>
                <w:szCs w:val="16"/>
              </w:rPr>
              <w:t>1 626</w:t>
            </w:r>
          </w:p>
        </w:tc>
        <w:tc>
          <w:tcPr>
            <w:tcW w:w="1180" w:type="dxa"/>
            <w:tcBorders>
              <w:top w:val="nil"/>
              <w:left w:val="nil"/>
              <w:bottom w:val="nil"/>
              <w:right w:val="nil"/>
            </w:tcBorders>
            <w:shd w:val="clear" w:color="auto" w:fill="auto"/>
            <w:noWrap/>
            <w:vAlign w:val="center"/>
            <w:hideMark/>
          </w:tcPr>
          <w:p w14:paraId="59B11106" w14:textId="77777777" w:rsidR="00BA5EA9" w:rsidRPr="001E6DFD" w:rsidRDefault="00282CF5" w:rsidP="0097226C">
            <w:pPr>
              <w:jc w:val="center"/>
              <w:rPr>
                <w:sz w:val="16"/>
                <w:szCs w:val="16"/>
              </w:rPr>
            </w:pPr>
            <w:r w:rsidRPr="001E6DFD">
              <w:rPr>
                <w:sz w:val="16"/>
                <w:szCs w:val="16"/>
              </w:rPr>
              <w:t>2 188</w:t>
            </w:r>
          </w:p>
        </w:tc>
        <w:tc>
          <w:tcPr>
            <w:tcW w:w="1180" w:type="dxa"/>
            <w:tcBorders>
              <w:top w:val="nil"/>
              <w:left w:val="nil"/>
              <w:bottom w:val="nil"/>
              <w:right w:val="nil"/>
            </w:tcBorders>
            <w:shd w:val="clear" w:color="auto" w:fill="auto"/>
            <w:noWrap/>
            <w:vAlign w:val="center"/>
            <w:hideMark/>
          </w:tcPr>
          <w:p w14:paraId="78E6ED2A" w14:textId="77777777" w:rsidR="00BA5EA9" w:rsidRPr="001E6DFD" w:rsidRDefault="00BA5EA9" w:rsidP="0097226C">
            <w:pPr>
              <w:jc w:val="center"/>
              <w:rPr>
                <w:sz w:val="16"/>
                <w:szCs w:val="16"/>
              </w:rPr>
            </w:pPr>
            <w:r w:rsidRPr="001E6DFD">
              <w:rPr>
                <w:sz w:val="16"/>
                <w:szCs w:val="16"/>
              </w:rPr>
              <w:t>973</w:t>
            </w:r>
          </w:p>
        </w:tc>
      </w:tr>
      <w:tr w:rsidR="00BA5EA9" w:rsidRPr="001E6DFD" w14:paraId="6DA583A9" w14:textId="77777777" w:rsidTr="005C716A">
        <w:trPr>
          <w:jc w:val="center"/>
        </w:trPr>
        <w:tc>
          <w:tcPr>
            <w:tcW w:w="511" w:type="dxa"/>
            <w:tcBorders>
              <w:top w:val="nil"/>
              <w:left w:val="nil"/>
              <w:bottom w:val="nil"/>
              <w:right w:val="nil"/>
            </w:tcBorders>
            <w:shd w:val="clear" w:color="auto" w:fill="auto"/>
            <w:noWrap/>
            <w:vAlign w:val="center"/>
            <w:hideMark/>
          </w:tcPr>
          <w:p w14:paraId="0C692A96" w14:textId="77777777" w:rsidR="00BA5EA9" w:rsidRPr="001E6DFD" w:rsidRDefault="00BA5EA9" w:rsidP="0097226C">
            <w:pPr>
              <w:rPr>
                <w:sz w:val="16"/>
                <w:szCs w:val="16"/>
              </w:rPr>
            </w:pPr>
            <w:r w:rsidRPr="001E6DFD">
              <w:rPr>
                <w:sz w:val="16"/>
                <w:szCs w:val="16"/>
              </w:rPr>
              <w:t>IX.8</w:t>
            </w:r>
          </w:p>
        </w:tc>
        <w:tc>
          <w:tcPr>
            <w:tcW w:w="4289" w:type="dxa"/>
            <w:tcBorders>
              <w:top w:val="nil"/>
              <w:left w:val="nil"/>
              <w:bottom w:val="nil"/>
              <w:right w:val="nil"/>
            </w:tcBorders>
            <w:shd w:val="clear" w:color="auto" w:fill="auto"/>
            <w:vAlign w:val="center"/>
            <w:hideMark/>
          </w:tcPr>
          <w:p w14:paraId="3993651B" w14:textId="138C76CB" w:rsidR="00BA5EA9" w:rsidRPr="001E6DFD" w:rsidRDefault="004560B4" w:rsidP="0097226C">
            <w:pPr>
              <w:rPr>
                <w:sz w:val="16"/>
                <w:szCs w:val="16"/>
              </w:rPr>
            </w:pPr>
            <w:r w:rsidRPr="001E6DFD">
              <w:rPr>
                <w:sz w:val="16"/>
                <w:szCs w:val="16"/>
              </w:rPr>
              <w:t>Renforcement de l</w:t>
            </w:r>
            <w:r w:rsidR="00FA22F6" w:rsidRPr="001E6DFD">
              <w:rPr>
                <w:sz w:val="16"/>
                <w:szCs w:val="16"/>
              </w:rPr>
              <w:t>’</w:t>
            </w:r>
            <w:r w:rsidRPr="001E6DFD">
              <w:rPr>
                <w:sz w:val="16"/>
                <w:szCs w:val="16"/>
              </w:rPr>
              <w:t>obligation redditionnelle, de l</w:t>
            </w:r>
            <w:r w:rsidR="00FA22F6" w:rsidRPr="001E6DFD">
              <w:rPr>
                <w:sz w:val="16"/>
                <w:szCs w:val="16"/>
              </w:rPr>
              <w:t>’</w:t>
            </w:r>
            <w:r w:rsidRPr="001E6DFD">
              <w:rPr>
                <w:sz w:val="16"/>
                <w:szCs w:val="16"/>
              </w:rPr>
              <w:t>apprentissage institutionnel, de l</w:t>
            </w:r>
            <w:r w:rsidR="00FA22F6" w:rsidRPr="001E6DFD">
              <w:rPr>
                <w:sz w:val="16"/>
                <w:szCs w:val="16"/>
              </w:rPr>
              <w:t>’</w:t>
            </w:r>
            <w:r w:rsidRPr="001E6DFD">
              <w:rPr>
                <w:sz w:val="16"/>
                <w:szCs w:val="16"/>
              </w:rPr>
              <w:t>optimisation des ressources financières, de l</w:t>
            </w:r>
            <w:r w:rsidR="00FA22F6" w:rsidRPr="001E6DFD">
              <w:rPr>
                <w:sz w:val="16"/>
                <w:szCs w:val="16"/>
              </w:rPr>
              <w:t>’</w:t>
            </w:r>
            <w:r w:rsidRPr="001E6DFD">
              <w:rPr>
                <w:sz w:val="16"/>
                <w:szCs w:val="16"/>
              </w:rPr>
              <w:t>administration, du contrôle interne et de la gestion institutionnelle avec le concours d</w:t>
            </w:r>
            <w:r w:rsidR="00FA22F6" w:rsidRPr="001E6DFD">
              <w:rPr>
                <w:sz w:val="16"/>
                <w:szCs w:val="16"/>
              </w:rPr>
              <w:t>’</w:t>
            </w:r>
            <w:r w:rsidRPr="001E6DFD">
              <w:rPr>
                <w:sz w:val="16"/>
                <w:szCs w:val="16"/>
              </w:rPr>
              <w:t>une supervision indépendante efficace</w:t>
            </w:r>
          </w:p>
        </w:tc>
        <w:tc>
          <w:tcPr>
            <w:tcW w:w="1180" w:type="dxa"/>
            <w:tcBorders>
              <w:top w:val="nil"/>
              <w:left w:val="nil"/>
              <w:bottom w:val="nil"/>
              <w:right w:val="nil"/>
            </w:tcBorders>
            <w:shd w:val="clear" w:color="auto" w:fill="auto"/>
            <w:noWrap/>
            <w:vAlign w:val="center"/>
            <w:hideMark/>
          </w:tcPr>
          <w:p w14:paraId="669A8184" w14:textId="77777777" w:rsidR="00BA5EA9" w:rsidRPr="001E6DFD" w:rsidRDefault="00282CF5" w:rsidP="0097226C">
            <w:pPr>
              <w:jc w:val="center"/>
              <w:rPr>
                <w:sz w:val="16"/>
                <w:szCs w:val="16"/>
              </w:rPr>
            </w:pPr>
            <w:r w:rsidRPr="001E6DFD">
              <w:rPr>
                <w:sz w:val="16"/>
                <w:szCs w:val="16"/>
              </w:rPr>
              <w:t>1 677</w:t>
            </w:r>
          </w:p>
        </w:tc>
        <w:tc>
          <w:tcPr>
            <w:tcW w:w="1180" w:type="dxa"/>
            <w:tcBorders>
              <w:top w:val="nil"/>
              <w:left w:val="nil"/>
              <w:bottom w:val="nil"/>
              <w:right w:val="nil"/>
            </w:tcBorders>
            <w:shd w:val="clear" w:color="auto" w:fill="auto"/>
            <w:noWrap/>
            <w:vAlign w:val="center"/>
            <w:hideMark/>
          </w:tcPr>
          <w:p w14:paraId="50679472" w14:textId="77777777" w:rsidR="00BA5EA9" w:rsidRPr="001E6DFD" w:rsidRDefault="00282CF5" w:rsidP="0097226C">
            <w:pPr>
              <w:jc w:val="center"/>
              <w:rPr>
                <w:sz w:val="16"/>
                <w:szCs w:val="16"/>
              </w:rPr>
            </w:pPr>
            <w:r w:rsidRPr="001E6DFD">
              <w:rPr>
                <w:sz w:val="16"/>
                <w:szCs w:val="16"/>
              </w:rPr>
              <w:t>1 593</w:t>
            </w:r>
          </w:p>
        </w:tc>
        <w:tc>
          <w:tcPr>
            <w:tcW w:w="1180" w:type="dxa"/>
            <w:tcBorders>
              <w:top w:val="nil"/>
              <w:left w:val="nil"/>
              <w:bottom w:val="nil"/>
              <w:right w:val="nil"/>
            </w:tcBorders>
            <w:shd w:val="clear" w:color="auto" w:fill="auto"/>
            <w:noWrap/>
            <w:vAlign w:val="center"/>
            <w:hideMark/>
          </w:tcPr>
          <w:p w14:paraId="30B6BE0B" w14:textId="77777777" w:rsidR="00BA5EA9" w:rsidRPr="001E6DFD" w:rsidRDefault="00BA5EA9" w:rsidP="0097226C">
            <w:pPr>
              <w:jc w:val="center"/>
              <w:rPr>
                <w:sz w:val="16"/>
                <w:szCs w:val="16"/>
              </w:rPr>
            </w:pPr>
            <w:r w:rsidRPr="001E6DFD">
              <w:rPr>
                <w:sz w:val="16"/>
                <w:szCs w:val="16"/>
              </w:rPr>
              <w:t>727</w:t>
            </w:r>
          </w:p>
        </w:tc>
      </w:tr>
      <w:tr w:rsidR="00BA5EA9" w:rsidRPr="001E6DFD" w14:paraId="41A10978" w14:textId="77777777" w:rsidTr="005C716A">
        <w:trPr>
          <w:jc w:val="center"/>
        </w:trPr>
        <w:tc>
          <w:tcPr>
            <w:tcW w:w="511" w:type="dxa"/>
            <w:tcBorders>
              <w:top w:val="nil"/>
              <w:left w:val="nil"/>
              <w:bottom w:val="nil"/>
              <w:right w:val="nil"/>
            </w:tcBorders>
            <w:shd w:val="clear" w:color="000000" w:fill="C5D9F1"/>
            <w:noWrap/>
            <w:vAlign w:val="bottom"/>
            <w:hideMark/>
          </w:tcPr>
          <w:p w14:paraId="01B8D82B" w14:textId="786AE89C" w:rsidR="00BA5EA9" w:rsidRPr="001E6DFD" w:rsidRDefault="00BA5EA9" w:rsidP="0097226C">
            <w:pPr>
              <w:rPr>
                <w:sz w:val="16"/>
                <w:szCs w:val="16"/>
              </w:rPr>
            </w:pPr>
          </w:p>
        </w:tc>
        <w:tc>
          <w:tcPr>
            <w:tcW w:w="4289" w:type="dxa"/>
            <w:tcBorders>
              <w:top w:val="nil"/>
              <w:left w:val="nil"/>
              <w:bottom w:val="nil"/>
              <w:right w:val="nil"/>
            </w:tcBorders>
            <w:shd w:val="clear" w:color="000000" w:fill="C5D9F1"/>
            <w:noWrap/>
            <w:vAlign w:val="bottom"/>
            <w:hideMark/>
          </w:tcPr>
          <w:p w14:paraId="2B49A125" w14:textId="77777777" w:rsidR="00BA5EA9" w:rsidRPr="001E6DFD" w:rsidRDefault="004560B4" w:rsidP="0097226C">
            <w:pPr>
              <w:jc w:val="right"/>
              <w:rPr>
                <w:b/>
                <w:bCs/>
                <w:sz w:val="16"/>
                <w:szCs w:val="16"/>
              </w:rPr>
            </w:pPr>
            <w:r w:rsidRPr="001E6DFD">
              <w:rPr>
                <w:b/>
                <w:bCs/>
                <w:sz w:val="16"/>
                <w:szCs w:val="16"/>
              </w:rPr>
              <w:t>Total</w:t>
            </w:r>
          </w:p>
        </w:tc>
        <w:tc>
          <w:tcPr>
            <w:tcW w:w="1180" w:type="dxa"/>
            <w:tcBorders>
              <w:top w:val="nil"/>
              <w:left w:val="nil"/>
              <w:bottom w:val="nil"/>
              <w:right w:val="nil"/>
            </w:tcBorders>
            <w:shd w:val="clear" w:color="000000" w:fill="C5D9F1"/>
            <w:noWrap/>
            <w:vAlign w:val="center"/>
            <w:hideMark/>
          </w:tcPr>
          <w:p w14:paraId="42B7D2C6" w14:textId="77777777" w:rsidR="00BA5EA9" w:rsidRPr="001E6DFD" w:rsidRDefault="00282CF5" w:rsidP="0097226C">
            <w:pPr>
              <w:jc w:val="center"/>
              <w:rPr>
                <w:b/>
                <w:sz w:val="16"/>
                <w:szCs w:val="16"/>
              </w:rPr>
            </w:pPr>
            <w:r w:rsidRPr="001E6DFD">
              <w:rPr>
                <w:b/>
                <w:sz w:val="16"/>
                <w:szCs w:val="16"/>
              </w:rPr>
              <w:t>33 276</w:t>
            </w:r>
          </w:p>
        </w:tc>
        <w:tc>
          <w:tcPr>
            <w:tcW w:w="1180" w:type="dxa"/>
            <w:tcBorders>
              <w:top w:val="nil"/>
              <w:left w:val="nil"/>
              <w:bottom w:val="nil"/>
              <w:right w:val="nil"/>
            </w:tcBorders>
            <w:shd w:val="clear" w:color="000000" w:fill="C5D9F1"/>
            <w:noWrap/>
            <w:vAlign w:val="center"/>
            <w:hideMark/>
          </w:tcPr>
          <w:p w14:paraId="211DC79B" w14:textId="77777777" w:rsidR="00BA5EA9" w:rsidRPr="001E6DFD" w:rsidRDefault="00282CF5" w:rsidP="0097226C">
            <w:pPr>
              <w:jc w:val="center"/>
              <w:rPr>
                <w:b/>
                <w:sz w:val="16"/>
                <w:szCs w:val="16"/>
              </w:rPr>
            </w:pPr>
            <w:r w:rsidRPr="001E6DFD">
              <w:rPr>
                <w:b/>
                <w:sz w:val="16"/>
                <w:szCs w:val="16"/>
              </w:rPr>
              <w:t>33 040</w:t>
            </w:r>
          </w:p>
        </w:tc>
        <w:tc>
          <w:tcPr>
            <w:tcW w:w="1180" w:type="dxa"/>
            <w:tcBorders>
              <w:top w:val="nil"/>
              <w:left w:val="nil"/>
              <w:bottom w:val="nil"/>
              <w:right w:val="nil"/>
            </w:tcBorders>
            <w:shd w:val="clear" w:color="000000" w:fill="C5D9F1"/>
            <w:noWrap/>
            <w:vAlign w:val="center"/>
            <w:hideMark/>
          </w:tcPr>
          <w:p w14:paraId="0E7F3857" w14:textId="77777777" w:rsidR="00BA5EA9" w:rsidRPr="001E6DFD" w:rsidRDefault="00282CF5" w:rsidP="0097226C">
            <w:pPr>
              <w:jc w:val="center"/>
              <w:rPr>
                <w:b/>
                <w:sz w:val="16"/>
                <w:szCs w:val="16"/>
              </w:rPr>
            </w:pPr>
            <w:r w:rsidRPr="001E6DFD">
              <w:rPr>
                <w:b/>
                <w:sz w:val="16"/>
                <w:szCs w:val="16"/>
              </w:rPr>
              <w:t>14 511</w:t>
            </w:r>
          </w:p>
        </w:tc>
      </w:tr>
      <w:tr w:rsidR="00913C93" w:rsidRPr="001E6DFD" w14:paraId="28E77E50" w14:textId="77777777" w:rsidTr="005C716A">
        <w:trPr>
          <w:jc w:val="center"/>
        </w:trPr>
        <w:tc>
          <w:tcPr>
            <w:tcW w:w="8340" w:type="dxa"/>
            <w:gridSpan w:val="5"/>
            <w:tcBorders>
              <w:top w:val="nil"/>
              <w:left w:val="nil"/>
              <w:bottom w:val="nil"/>
              <w:right w:val="nil"/>
            </w:tcBorders>
            <w:shd w:val="clear" w:color="auto" w:fill="auto"/>
            <w:noWrap/>
            <w:vAlign w:val="center"/>
            <w:hideMark/>
          </w:tcPr>
          <w:p w14:paraId="59F50C58" w14:textId="7655EA29" w:rsidR="00913C93" w:rsidRPr="001E6DFD" w:rsidRDefault="00913C93" w:rsidP="0097226C">
            <w:pPr>
              <w:rPr>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p>
        </w:tc>
      </w:tr>
    </w:tbl>
    <w:p w14:paraId="260F91A6" w14:textId="458A6EF2" w:rsidR="005C716A" w:rsidRPr="0067214C" w:rsidRDefault="005C716A">
      <w:pPr>
        <w:rPr>
          <w:sz w:val="20"/>
          <w:szCs w:val="18"/>
        </w:rPr>
      </w:pPr>
    </w:p>
    <w:p w14:paraId="113F1113" w14:textId="77777777" w:rsidR="00FA22F6" w:rsidRPr="001E6DFD" w:rsidRDefault="004560B4" w:rsidP="0097226C">
      <w:pPr>
        <w:keepNext/>
        <w:keepLines/>
        <w:jc w:val="center"/>
        <w:rPr>
          <w:sz w:val="18"/>
          <w:szCs w:val="18"/>
        </w:rPr>
      </w:pPr>
      <w:r w:rsidRPr="001E6DFD">
        <w:rPr>
          <w:sz w:val="18"/>
          <w:szCs w:val="18"/>
        </w:rPr>
        <w:t>Budget et dépenses effectives (dépenses de personnel et autres dépenses)</w:t>
      </w:r>
    </w:p>
    <w:p w14:paraId="2007CF5C" w14:textId="1B01058F" w:rsidR="001F64B1" w:rsidRPr="001E6DFD" w:rsidRDefault="004560B4" w:rsidP="0097226C">
      <w:pPr>
        <w:keepNext/>
        <w:keepLines/>
        <w:jc w:val="center"/>
        <w:rPr>
          <w:i/>
          <w:iCs/>
          <w:sz w:val="16"/>
          <w:szCs w:val="16"/>
        </w:rPr>
      </w:pPr>
      <w:r w:rsidRPr="001E6DFD">
        <w:rPr>
          <w:i/>
          <w:iCs/>
          <w:sz w:val="16"/>
          <w:szCs w:val="16"/>
        </w:rPr>
        <w:t>(en milliers de francs suisses)</w:t>
      </w:r>
    </w:p>
    <w:p w14:paraId="66AAB00C" w14:textId="77777777" w:rsidR="00BA5EA9" w:rsidRPr="001E6DFD" w:rsidRDefault="00BA5EA9" w:rsidP="0097226C">
      <w:pPr>
        <w:rPr>
          <w:sz w:val="20"/>
        </w:rPr>
      </w:pPr>
    </w:p>
    <w:tbl>
      <w:tblPr>
        <w:tblW w:w="4300" w:type="pct"/>
        <w:jc w:val="center"/>
        <w:tblCellMar>
          <w:top w:w="57" w:type="dxa"/>
          <w:bottom w:w="57" w:type="dxa"/>
        </w:tblCellMar>
        <w:tblLook w:val="04A0" w:firstRow="1" w:lastRow="0" w:firstColumn="1" w:lastColumn="0" w:noHBand="0" w:noVBand="1"/>
      </w:tblPr>
      <w:tblGrid>
        <w:gridCol w:w="2495"/>
        <w:gridCol w:w="1577"/>
        <w:gridCol w:w="1577"/>
        <w:gridCol w:w="1453"/>
        <w:gridCol w:w="1205"/>
      </w:tblGrid>
      <w:tr w:rsidR="00BA5EA9" w:rsidRPr="001E6DFD" w14:paraId="021375E4" w14:textId="77777777" w:rsidTr="005C716A">
        <w:trPr>
          <w:jc w:val="center"/>
        </w:trPr>
        <w:tc>
          <w:tcPr>
            <w:tcW w:w="2495" w:type="dxa"/>
            <w:tcBorders>
              <w:top w:val="nil"/>
              <w:left w:val="nil"/>
              <w:bottom w:val="nil"/>
              <w:right w:val="nil"/>
            </w:tcBorders>
            <w:shd w:val="clear" w:color="000000" w:fill="C5D9F1"/>
            <w:noWrap/>
            <w:vAlign w:val="center"/>
            <w:hideMark/>
          </w:tcPr>
          <w:p w14:paraId="3D309BF8" w14:textId="40DC1C25" w:rsidR="00BA5EA9" w:rsidRPr="001E6DFD" w:rsidRDefault="00BA5EA9" w:rsidP="0097226C">
            <w:pPr>
              <w:rPr>
                <w:sz w:val="16"/>
                <w:szCs w:val="16"/>
              </w:rPr>
            </w:pPr>
          </w:p>
        </w:tc>
        <w:tc>
          <w:tcPr>
            <w:tcW w:w="1453" w:type="dxa"/>
            <w:tcBorders>
              <w:top w:val="nil"/>
              <w:left w:val="nil"/>
              <w:bottom w:val="nil"/>
              <w:right w:val="nil"/>
            </w:tcBorders>
            <w:shd w:val="clear" w:color="000000" w:fill="C5D9F1"/>
            <w:vAlign w:val="center"/>
            <w:hideMark/>
          </w:tcPr>
          <w:p w14:paraId="0CDC4A3F" w14:textId="54DCFA03" w:rsidR="00BA5EA9" w:rsidRPr="001E6DFD" w:rsidRDefault="004560B4"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approuvé</w:t>
            </w:r>
          </w:p>
        </w:tc>
        <w:tc>
          <w:tcPr>
            <w:tcW w:w="1453" w:type="dxa"/>
            <w:tcBorders>
              <w:top w:val="nil"/>
              <w:left w:val="nil"/>
              <w:bottom w:val="nil"/>
              <w:right w:val="nil"/>
            </w:tcBorders>
            <w:shd w:val="clear" w:color="000000" w:fill="C5D9F1"/>
            <w:vAlign w:val="center"/>
            <w:hideMark/>
          </w:tcPr>
          <w:p w14:paraId="7A18FB7F" w14:textId="35791576" w:rsidR="00BA5EA9" w:rsidRPr="001E6DFD" w:rsidRDefault="00F3341E" w:rsidP="0097226C">
            <w:pPr>
              <w:jc w:val="center"/>
              <w:rPr>
                <w:b/>
                <w:bCs/>
                <w:sz w:val="16"/>
                <w:szCs w:val="16"/>
              </w:rPr>
            </w:pPr>
            <w:r w:rsidRPr="001E6DFD">
              <w:rPr>
                <w:b/>
                <w:bCs/>
                <w:sz w:val="16"/>
                <w:szCs w:val="16"/>
              </w:rPr>
              <w:t>Budget</w:t>
            </w:r>
            <w:r w:rsidR="00B4191E">
              <w:rPr>
                <w:b/>
                <w:bCs/>
                <w:sz w:val="16"/>
                <w:szCs w:val="16"/>
              </w:rPr>
              <w:t> </w:t>
            </w:r>
            <w:r w:rsidRPr="001E6DFD">
              <w:rPr>
                <w:b/>
                <w:bCs/>
                <w:sz w:val="16"/>
                <w:szCs w:val="16"/>
              </w:rPr>
              <w:t>2016</w:t>
            </w:r>
            <w:r w:rsidR="006A41CF" w:rsidRPr="001E6DFD">
              <w:rPr>
                <w:b/>
                <w:bCs/>
                <w:sz w:val="16"/>
                <w:szCs w:val="16"/>
              </w:rPr>
              <w:noBreakHyphen/>
            </w:r>
            <w:r w:rsidRPr="001E6DFD">
              <w:rPr>
                <w:b/>
                <w:bCs/>
                <w:sz w:val="16"/>
                <w:szCs w:val="16"/>
              </w:rPr>
              <w:t>2017 après virements</w:t>
            </w:r>
          </w:p>
        </w:tc>
        <w:tc>
          <w:tcPr>
            <w:tcW w:w="1453" w:type="dxa"/>
            <w:tcBorders>
              <w:top w:val="nil"/>
              <w:left w:val="nil"/>
              <w:bottom w:val="nil"/>
              <w:right w:val="nil"/>
            </w:tcBorders>
            <w:shd w:val="clear" w:color="000000" w:fill="C5D9F1"/>
            <w:vAlign w:val="center"/>
            <w:hideMark/>
          </w:tcPr>
          <w:p w14:paraId="2B752236" w14:textId="05E87A20" w:rsidR="00BA5EA9" w:rsidRPr="001E6DFD" w:rsidRDefault="004560B4" w:rsidP="0097226C">
            <w:pPr>
              <w:jc w:val="center"/>
              <w:rPr>
                <w:b/>
                <w:bCs/>
                <w:sz w:val="16"/>
                <w:szCs w:val="16"/>
              </w:rPr>
            </w:pPr>
            <w:r w:rsidRPr="001E6DFD">
              <w:rPr>
                <w:b/>
                <w:bCs/>
                <w:sz w:val="16"/>
                <w:szCs w:val="16"/>
              </w:rPr>
              <w:t>Dépenses</w:t>
            </w:r>
            <w:r w:rsidR="00B4191E">
              <w:rPr>
                <w:b/>
                <w:bCs/>
                <w:sz w:val="16"/>
                <w:szCs w:val="16"/>
              </w:rPr>
              <w:t> </w:t>
            </w:r>
            <w:r w:rsidRPr="001E6DFD">
              <w:rPr>
                <w:b/>
                <w:bCs/>
                <w:sz w:val="16"/>
                <w:szCs w:val="16"/>
              </w:rPr>
              <w:t>2016*</w:t>
            </w:r>
          </w:p>
        </w:tc>
        <w:tc>
          <w:tcPr>
            <w:tcW w:w="1453" w:type="dxa"/>
            <w:tcBorders>
              <w:top w:val="nil"/>
              <w:left w:val="nil"/>
              <w:bottom w:val="nil"/>
              <w:right w:val="nil"/>
            </w:tcBorders>
            <w:shd w:val="clear" w:color="000000" w:fill="C5D9F1"/>
            <w:vAlign w:val="center"/>
            <w:hideMark/>
          </w:tcPr>
          <w:p w14:paraId="47AE3AD2" w14:textId="35831E36" w:rsidR="00BA5EA9" w:rsidRPr="001E6DFD" w:rsidRDefault="004560B4" w:rsidP="0097226C">
            <w:pPr>
              <w:jc w:val="center"/>
              <w:rPr>
                <w:b/>
                <w:bCs/>
                <w:sz w:val="16"/>
                <w:szCs w:val="16"/>
              </w:rPr>
            </w:pPr>
            <w:r w:rsidRPr="001E6DFD">
              <w:rPr>
                <w:b/>
                <w:bCs/>
                <w:sz w:val="16"/>
                <w:szCs w:val="16"/>
              </w:rPr>
              <w:t>Taux d</w:t>
            </w:r>
            <w:r w:rsidR="00FA22F6" w:rsidRPr="001E6DFD">
              <w:rPr>
                <w:b/>
                <w:bCs/>
                <w:sz w:val="16"/>
                <w:szCs w:val="16"/>
              </w:rPr>
              <w:t>’</w:t>
            </w:r>
            <w:r w:rsidRPr="001E6DFD">
              <w:rPr>
                <w:b/>
                <w:bCs/>
                <w:sz w:val="16"/>
                <w:szCs w:val="16"/>
              </w:rPr>
              <w:t>utilisation (%)</w:t>
            </w:r>
          </w:p>
        </w:tc>
      </w:tr>
      <w:tr w:rsidR="00BA5EA9" w:rsidRPr="001E6DFD" w14:paraId="58F1B279" w14:textId="77777777" w:rsidTr="005C716A">
        <w:trPr>
          <w:jc w:val="center"/>
        </w:trPr>
        <w:tc>
          <w:tcPr>
            <w:tcW w:w="2495" w:type="dxa"/>
            <w:tcBorders>
              <w:top w:val="nil"/>
              <w:left w:val="nil"/>
              <w:bottom w:val="nil"/>
              <w:right w:val="nil"/>
            </w:tcBorders>
            <w:shd w:val="clear" w:color="auto" w:fill="auto"/>
            <w:noWrap/>
            <w:vAlign w:val="center"/>
            <w:hideMark/>
          </w:tcPr>
          <w:p w14:paraId="3F9E5903" w14:textId="77777777" w:rsidR="00BA5EA9" w:rsidRPr="001E6DFD" w:rsidRDefault="002A49FC" w:rsidP="0097226C">
            <w:pPr>
              <w:rPr>
                <w:sz w:val="16"/>
                <w:szCs w:val="16"/>
              </w:rPr>
            </w:pPr>
            <w:r w:rsidRPr="001E6DFD">
              <w:rPr>
                <w:sz w:val="16"/>
                <w:szCs w:val="16"/>
              </w:rPr>
              <w:t>Ressources en personnel</w:t>
            </w:r>
          </w:p>
        </w:tc>
        <w:tc>
          <w:tcPr>
            <w:tcW w:w="1453" w:type="dxa"/>
            <w:tcBorders>
              <w:top w:val="nil"/>
              <w:left w:val="nil"/>
              <w:bottom w:val="nil"/>
              <w:right w:val="nil"/>
            </w:tcBorders>
            <w:shd w:val="clear" w:color="auto" w:fill="auto"/>
            <w:vAlign w:val="center"/>
            <w:hideMark/>
          </w:tcPr>
          <w:p w14:paraId="38C98FE0" w14:textId="77777777" w:rsidR="00BA5EA9" w:rsidRPr="001E6DFD" w:rsidRDefault="00282CF5" w:rsidP="0097226C">
            <w:pPr>
              <w:jc w:val="center"/>
              <w:rPr>
                <w:sz w:val="16"/>
                <w:szCs w:val="16"/>
              </w:rPr>
            </w:pPr>
            <w:r w:rsidRPr="001E6DFD">
              <w:rPr>
                <w:sz w:val="16"/>
                <w:szCs w:val="16"/>
              </w:rPr>
              <w:t>23 453</w:t>
            </w:r>
            <w:r w:rsidR="00BA5EA9" w:rsidRPr="001E6DFD">
              <w:rPr>
                <w:sz w:val="16"/>
                <w:szCs w:val="16"/>
              </w:rPr>
              <w:t xml:space="preserve"> </w:t>
            </w:r>
          </w:p>
        </w:tc>
        <w:tc>
          <w:tcPr>
            <w:tcW w:w="1453" w:type="dxa"/>
            <w:tcBorders>
              <w:top w:val="nil"/>
              <w:left w:val="nil"/>
              <w:bottom w:val="nil"/>
              <w:right w:val="nil"/>
            </w:tcBorders>
            <w:shd w:val="clear" w:color="auto" w:fill="auto"/>
            <w:vAlign w:val="center"/>
            <w:hideMark/>
          </w:tcPr>
          <w:p w14:paraId="27A14F4E" w14:textId="77777777" w:rsidR="00BA5EA9" w:rsidRPr="001E6DFD" w:rsidRDefault="00282CF5" w:rsidP="0097226C">
            <w:pPr>
              <w:jc w:val="center"/>
              <w:rPr>
                <w:sz w:val="16"/>
                <w:szCs w:val="16"/>
              </w:rPr>
            </w:pPr>
            <w:r w:rsidRPr="001E6DFD">
              <w:rPr>
                <w:sz w:val="16"/>
                <w:szCs w:val="16"/>
              </w:rPr>
              <w:t>23 458</w:t>
            </w:r>
            <w:r w:rsidR="00BA5EA9" w:rsidRPr="001E6DFD">
              <w:rPr>
                <w:sz w:val="16"/>
                <w:szCs w:val="16"/>
              </w:rPr>
              <w:t xml:space="preserve"> </w:t>
            </w:r>
          </w:p>
        </w:tc>
        <w:tc>
          <w:tcPr>
            <w:tcW w:w="1453" w:type="dxa"/>
            <w:tcBorders>
              <w:top w:val="nil"/>
              <w:left w:val="nil"/>
              <w:bottom w:val="nil"/>
              <w:right w:val="nil"/>
            </w:tcBorders>
            <w:shd w:val="clear" w:color="auto" w:fill="auto"/>
            <w:vAlign w:val="center"/>
            <w:hideMark/>
          </w:tcPr>
          <w:p w14:paraId="726C2F63" w14:textId="77777777" w:rsidR="00BA5EA9" w:rsidRPr="001E6DFD" w:rsidRDefault="00282CF5" w:rsidP="0097226C">
            <w:pPr>
              <w:jc w:val="center"/>
              <w:rPr>
                <w:sz w:val="16"/>
                <w:szCs w:val="16"/>
              </w:rPr>
            </w:pPr>
            <w:r w:rsidRPr="001E6DFD">
              <w:rPr>
                <w:sz w:val="16"/>
                <w:szCs w:val="16"/>
              </w:rPr>
              <w:t>10 351</w:t>
            </w:r>
            <w:r w:rsidR="00BA5EA9" w:rsidRPr="001E6DFD">
              <w:rPr>
                <w:sz w:val="16"/>
                <w:szCs w:val="16"/>
              </w:rPr>
              <w:t xml:space="preserve"> </w:t>
            </w:r>
          </w:p>
        </w:tc>
        <w:tc>
          <w:tcPr>
            <w:tcW w:w="1453" w:type="dxa"/>
            <w:tcBorders>
              <w:top w:val="nil"/>
              <w:left w:val="nil"/>
              <w:bottom w:val="nil"/>
              <w:right w:val="nil"/>
            </w:tcBorders>
            <w:shd w:val="clear" w:color="auto" w:fill="auto"/>
            <w:vAlign w:val="center"/>
            <w:hideMark/>
          </w:tcPr>
          <w:p w14:paraId="3B62D0D1" w14:textId="77777777" w:rsidR="00BA5EA9" w:rsidRPr="001E6DFD" w:rsidRDefault="00BA5EA9" w:rsidP="0097226C">
            <w:pPr>
              <w:jc w:val="center"/>
              <w:rPr>
                <w:sz w:val="16"/>
                <w:szCs w:val="16"/>
              </w:rPr>
            </w:pPr>
            <w:r w:rsidRPr="001E6DFD">
              <w:rPr>
                <w:sz w:val="16"/>
                <w:szCs w:val="16"/>
              </w:rPr>
              <w:t>44%</w:t>
            </w:r>
          </w:p>
        </w:tc>
      </w:tr>
      <w:tr w:rsidR="00BA5EA9" w:rsidRPr="001E6DFD" w14:paraId="62C48B3B" w14:textId="77777777" w:rsidTr="005C716A">
        <w:trPr>
          <w:jc w:val="center"/>
        </w:trPr>
        <w:tc>
          <w:tcPr>
            <w:tcW w:w="2495" w:type="dxa"/>
            <w:tcBorders>
              <w:top w:val="nil"/>
              <w:left w:val="nil"/>
              <w:bottom w:val="nil"/>
              <w:right w:val="nil"/>
            </w:tcBorders>
            <w:shd w:val="clear" w:color="auto" w:fill="auto"/>
            <w:noWrap/>
            <w:vAlign w:val="center"/>
            <w:hideMark/>
          </w:tcPr>
          <w:p w14:paraId="4B58AFE9" w14:textId="77777777" w:rsidR="00BA5EA9" w:rsidRPr="001E6DFD" w:rsidRDefault="002A49FC" w:rsidP="0097226C">
            <w:pPr>
              <w:rPr>
                <w:sz w:val="16"/>
                <w:szCs w:val="16"/>
              </w:rPr>
            </w:pPr>
            <w:r w:rsidRPr="001E6DFD">
              <w:rPr>
                <w:sz w:val="16"/>
                <w:szCs w:val="16"/>
              </w:rPr>
              <w:t>Autres ressources</w:t>
            </w:r>
          </w:p>
        </w:tc>
        <w:tc>
          <w:tcPr>
            <w:tcW w:w="1453" w:type="dxa"/>
            <w:tcBorders>
              <w:top w:val="nil"/>
              <w:left w:val="nil"/>
              <w:bottom w:val="nil"/>
              <w:right w:val="nil"/>
            </w:tcBorders>
            <w:shd w:val="clear" w:color="auto" w:fill="auto"/>
            <w:vAlign w:val="center"/>
            <w:hideMark/>
          </w:tcPr>
          <w:p w14:paraId="24616353" w14:textId="77777777" w:rsidR="00BA5EA9" w:rsidRPr="001E6DFD" w:rsidRDefault="00282CF5" w:rsidP="0097226C">
            <w:pPr>
              <w:jc w:val="center"/>
              <w:rPr>
                <w:sz w:val="16"/>
                <w:szCs w:val="16"/>
              </w:rPr>
            </w:pPr>
            <w:r w:rsidRPr="001E6DFD">
              <w:rPr>
                <w:sz w:val="16"/>
                <w:szCs w:val="16"/>
              </w:rPr>
              <w:t>9 822</w:t>
            </w:r>
            <w:r w:rsidR="00BA5EA9" w:rsidRPr="001E6DFD">
              <w:rPr>
                <w:sz w:val="16"/>
                <w:szCs w:val="16"/>
              </w:rPr>
              <w:t xml:space="preserve"> </w:t>
            </w:r>
          </w:p>
        </w:tc>
        <w:tc>
          <w:tcPr>
            <w:tcW w:w="1453" w:type="dxa"/>
            <w:tcBorders>
              <w:top w:val="nil"/>
              <w:left w:val="nil"/>
              <w:bottom w:val="nil"/>
              <w:right w:val="nil"/>
            </w:tcBorders>
            <w:shd w:val="clear" w:color="auto" w:fill="auto"/>
            <w:vAlign w:val="center"/>
            <w:hideMark/>
          </w:tcPr>
          <w:p w14:paraId="472C2D49" w14:textId="77777777" w:rsidR="00BA5EA9" w:rsidRPr="001E6DFD" w:rsidRDefault="00282CF5" w:rsidP="0097226C">
            <w:pPr>
              <w:jc w:val="center"/>
              <w:rPr>
                <w:sz w:val="16"/>
                <w:szCs w:val="16"/>
              </w:rPr>
            </w:pPr>
            <w:r w:rsidRPr="001E6DFD">
              <w:rPr>
                <w:sz w:val="16"/>
                <w:szCs w:val="16"/>
              </w:rPr>
              <w:t>9 582</w:t>
            </w:r>
            <w:r w:rsidR="00BA5EA9" w:rsidRPr="001E6DFD">
              <w:rPr>
                <w:sz w:val="16"/>
                <w:szCs w:val="16"/>
              </w:rPr>
              <w:t xml:space="preserve"> </w:t>
            </w:r>
          </w:p>
        </w:tc>
        <w:tc>
          <w:tcPr>
            <w:tcW w:w="1453" w:type="dxa"/>
            <w:tcBorders>
              <w:top w:val="nil"/>
              <w:left w:val="nil"/>
              <w:bottom w:val="nil"/>
              <w:right w:val="nil"/>
            </w:tcBorders>
            <w:shd w:val="clear" w:color="auto" w:fill="auto"/>
            <w:vAlign w:val="center"/>
            <w:hideMark/>
          </w:tcPr>
          <w:p w14:paraId="04D223F6" w14:textId="77777777" w:rsidR="00BA5EA9" w:rsidRPr="001E6DFD" w:rsidRDefault="00282CF5" w:rsidP="0097226C">
            <w:pPr>
              <w:jc w:val="center"/>
              <w:rPr>
                <w:sz w:val="16"/>
                <w:szCs w:val="16"/>
              </w:rPr>
            </w:pPr>
            <w:r w:rsidRPr="001E6DFD">
              <w:rPr>
                <w:sz w:val="16"/>
                <w:szCs w:val="16"/>
              </w:rPr>
              <w:t>4 159</w:t>
            </w:r>
            <w:r w:rsidR="00BA5EA9" w:rsidRPr="001E6DFD">
              <w:rPr>
                <w:sz w:val="16"/>
                <w:szCs w:val="16"/>
              </w:rPr>
              <w:t xml:space="preserve"> </w:t>
            </w:r>
          </w:p>
        </w:tc>
        <w:tc>
          <w:tcPr>
            <w:tcW w:w="1453" w:type="dxa"/>
            <w:tcBorders>
              <w:top w:val="nil"/>
              <w:left w:val="nil"/>
              <w:bottom w:val="nil"/>
              <w:right w:val="nil"/>
            </w:tcBorders>
            <w:shd w:val="clear" w:color="auto" w:fill="auto"/>
            <w:vAlign w:val="center"/>
            <w:hideMark/>
          </w:tcPr>
          <w:p w14:paraId="0CBA5110" w14:textId="77777777" w:rsidR="00BA5EA9" w:rsidRPr="001E6DFD" w:rsidRDefault="00BA5EA9" w:rsidP="0097226C">
            <w:pPr>
              <w:jc w:val="center"/>
              <w:rPr>
                <w:sz w:val="16"/>
                <w:szCs w:val="16"/>
              </w:rPr>
            </w:pPr>
            <w:r w:rsidRPr="001E6DFD">
              <w:rPr>
                <w:sz w:val="16"/>
                <w:szCs w:val="16"/>
              </w:rPr>
              <w:t>43%</w:t>
            </w:r>
          </w:p>
        </w:tc>
      </w:tr>
      <w:tr w:rsidR="00BA5EA9" w:rsidRPr="001E6DFD" w14:paraId="75EBCFAA" w14:textId="77777777" w:rsidTr="005C716A">
        <w:trPr>
          <w:jc w:val="center"/>
        </w:trPr>
        <w:tc>
          <w:tcPr>
            <w:tcW w:w="2495" w:type="dxa"/>
            <w:tcBorders>
              <w:top w:val="nil"/>
              <w:left w:val="nil"/>
              <w:bottom w:val="nil"/>
              <w:right w:val="nil"/>
            </w:tcBorders>
            <w:shd w:val="clear" w:color="000000" w:fill="C5D9F1"/>
            <w:noWrap/>
            <w:vAlign w:val="center"/>
            <w:hideMark/>
          </w:tcPr>
          <w:p w14:paraId="291E4E05" w14:textId="1F66ABDE" w:rsidR="00BA5EA9" w:rsidRPr="001E6DFD" w:rsidRDefault="004560B4" w:rsidP="0097226C">
            <w:pPr>
              <w:jc w:val="right"/>
              <w:rPr>
                <w:b/>
                <w:bCs/>
                <w:sz w:val="16"/>
                <w:szCs w:val="16"/>
              </w:rPr>
            </w:pPr>
            <w:r w:rsidRPr="001E6DFD">
              <w:rPr>
                <w:b/>
                <w:bCs/>
                <w:sz w:val="16"/>
                <w:szCs w:val="16"/>
              </w:rPr>
              <w:t>Total</w:t>
            </w:r>
            <w:r w:rsidR="00BA5EA9" w:rsidRPr="001E6DFD">
              <w:rPr>
                <w:b/>
                <w:bCs/>
                <w:sz w:val="16"/>
                <w:szCs w:val="16"/>
              </w:rPr>
              <w:t xml:space="preserve"> </w:t>
            </w:r>
          </w:p>
        </w:tc>
        <w:tc>
          <w:tcPr>
            <w:tcW w:w="1453" w:type="dxa"/>
            <w:tcBorders>
              <w:top w:val="nil"/>
              <w:left w:val="nil"/>
              <w:bottom w:val="nil"/>
              <w:right w:val="nil"/>
            </w:tcBorders>
            <w:shd w:val="clear" w:color="000000" w:fill="C5D9F1"/>
            <w:vAlign w:val="center"/>
            <w:hideMark/>
          </w:tcPr>
          <w:p w14:paraId="0AA3EBC3" w14:textId="77777777" w:rsidR="00BA5EA9" w:rsidRPr="001E6DFD" w:rsidRDefault="00282CF5" w:rsidP="0097226C">
            <w:pPr>
              <w:jc w:val="center"/>
              <w:rPr>
                <w:b/>
                <w:bCs/>
                <w:sz w:val="16"/>
                <w:szCs w:val="16"/>
              </w:rPr>
            </w:pPr>
            <w:r w:rsidRPr="001E6DFD">
              <w:rPr>
                <w:b/>
                <w:bCs/>
                <w:sz w:val="16"/>
                <w:szCs w:val="16"/>
              </w:rPr>
              <w:t>33 276</w:t>
            </w:r>
            <w:r w:rsidR="00BA5EA9" w:rsidRPr="001E6DFD">
              <w:rPr>
                <w:b/>
                <w:bCs/>
                <w:sz w:val="16"/>
                <w:szCs w:val="16"/>
              </w:rPr>
              <w:t xml:space="preserve"> </w:t>
            </w:r>
          </w:p>
        </w:tc>
        <w:tc>
          <w:tcPr>
            <w:tcW w:w="1453" w:type="dxa"/>
            <w:tcBorders>
              <w:top w:val="nil"/>
              <w:left w:val="nil"/>
              <w:bottom w:val="nil"/>
              <w:right w:val="nil"/>
            </w:tcBorders>
            <w:shd w:val="clear" w:color="000000" w:fill="C5D9F1"/>
            <w:vAlign w:val="center"/>
            <w:hideMark/>
          </w:tcPr>
          <w:p w14:paraId="4D98586D" w14:textId="77777777" w:rsidR="00BA5EA9" w:rsidRPr="001E6DFD" w:rsidRDefault="00282CF5" w:rsidP="0097226C">
            <w:pPr>
              <w:jc w:val="center"/>
              <w:rPr>
                <w:b/>
                <w:bCs/>
                <w:sz w:val="16"/>
                <w:szCs w:val="16"/>
              </w:rPr>
            </w:pPr>
            <w:r w:rsidRPr="001E6DFD">
              <w:rPr>
                <w:b/>
                <w:bCs/>
                <w:sz w:val="16"/>
                <w:szCs w:val="16"/>
              </w:rPr>
              <w:t>33 040</w:t>
            </w:r>
            <w:r w:rsidR="00BA5EA9" w:rsidRPr="001E6DFD">
              <w:rPr>
                <w:b/>
                <w:bCs/>
                <w:sz w:val="16"/>
                <w:szCs w:val="16"/>
              </w:rPr>
              <w:t xml:space="preserve"> </w:t>
            </w:r>
          </w:p>
        </w:tc>
        <w:tc>
          <w:tcPr>
            <w:tcW w:w="1453" w:type="dxa"/>
            <w:tcBorders>
              <w:top w:val="nil"/>
              <w:left w:val="nil"/>
              <w:bottom w:val="nil"/>
              <w:right w:val="nil"/>
            </w:tcBorders>
            <w:shd w:val="clear" w:color="000000" w:fill="C5D9F1"/>
            <w:vAlign w:val="center"/>
            <w:hideMark/>
          </w:tcPr>
          <w:p w14:paraId="68853D77" w14:textId="77777777" w:rsidR="00BA5EA9" w:rsidRPr="001E6DFD" w:rsidRDefault="00282CF5" w:rsidP="0097226C">
            <w:pPr>
              <w:jc w:val="center"/>
              <w:rPr>
                <w:b/>
                <w:bCs/>
                <w:sz w:val="16"/>
                <w:szCs w:val="16"/>
              </w:rPr>
            </w:pPr>
            <w:r w:rsidRPr="001E6DFD">
              <w:rPr>
                <w:b/>
                <w:bCs/>
                <w:sz w:val="16"/>
                <w:szCs w:val="16"/>
              </w:rPr>
              <w:t>14 511</w:t>
            </w:r>
            <w:r w:rsidR="00BA5EA9" w:rsidRPr="001E6DFD">
              <w:rPr>
                <w:b/>
                <w:bCs/>
                <w:sz w:val="16"/>
                <w:szCs w:val="16"/>
              </w:rPr>
              <w:t xml:space="preserve"> </w:t>
            </w:r>
          </w:p>
        </w:tc>
        <w:tc>
          <w:tcPr>
            <w:tcW w:w="1453" w:type="dxa"/>
            <w:tcBorders>
              <w:top w:val="nil"/>
              <w:left w:val="nil"/>
              <w:bottom w:val="nil"/>
              <w:right w:val="nil"/>
            </w:tcBorders>
            <w:shd w:val="clear" w:color="000000" w:fill="C5D9F1"/>
            <w:vAlign w:val="center"/>
            <w:hideMark/>
          </w:tcPr>
          <w:p w14:paraId="5A93DF56" w14:textId="77777777" w:rsidR="00BA5EA9" w:rsidRPr="001E6DFD" w:rsidRDefault="00BA5EA9" w:rsidP="0097226C">
            <w:pPr>
              <w:jc w:val="center"/>
              <w:rPr>
                <w:b/>
                <w:bCs/>
                <w:sz w:val="16"/>
                <w:szCs w:val="16"/>
              </w:rPr>
            </w:pPr>
            <w:r w:rsidRPr="001E6DFD">
              <w:rPr>
                <w:b/>
                <w:bCs/>
                <w:sz w:val="16"/>
                <w:szCs w:val="16"/>
              </w:rPr>
              <w:t>44%</w:t>
            </w:r>
          </w:p>
        </w:tc>
      </w:tr>
      <w:tr w:rsidR="00BA5EA9" w:rsidRPr="001E6DFD" w14:paraId="4A9EE7C5" w14:textId="77777777" w:rsidTr="005C716A">
        <w:trPr>
          <w:jc w:val="center"/>
        </w:trPr>
        <w:tc>
          <w:tcPr>
            <w:tcW w:w="8307" w:type="dxa"/>
            <w:gridSpan w:val="5"/>
            <w:tcBorders>
              <w:top w:val="nil"/>
              <w:left w:val="nil"/>
              <w:bottom w:val="nil"/>
              <w:right w:val="nil"/>
            </w:tcBorders>
            <w:shd w:val="clear" w:color="auto" w:fill="auto"/>
            <w:noWrap/>
            <w:vAlign w:val="center"/>
            <w:hideMark/>
          </w:tcPr>
          <w:p w14:paraId="728A9C66" w14:textId="7516C3DE" w:rsidR="00BA5EA9" w:rsidRPr="001E6DFD" w:rsidRDefault="00B649F5" w:rsidP="0097226C">
            <w:pPr>
              <w:rPr>
                <w:i/>
                <w:iCs/>
                <w:sz w:val="16"/>
                <w:szCs w:val="16"/>
              </w:rPr>
            </w:pPr>
            <w:r w:rsidRPr="001E6DFD">
              <w:rPr>
                <w:i/>
                <w:iCs/>
                <w:sz w:val="16"/>
                <w:szCs w:val="16"/>
              </w:rPr>
              <w:t xml:space="preserve">*Les chiffres des dépenses </w:t>
            </w:r>
            <w:r w:rsidR="00FA22F6" w:rsidRPr="001E6DFD">
              <w:rPr>
                <w:i/>
                <w:iCs/>
                <w:sz w:val="16"/>
                <w:szCs w:val="16"/>
              </w:rPr>
              <w:t>pour 2016</w:t>
            </w:r>
            <w:r w:rsidRPr="001E6DFD">
              <w:rPr>
                <w:i/>
                <w:iCs/>
                <w:sz w:val="16"/>
                <w:szCs w:val="16"/>
              </w:rPr>
              <w:t xml:space="preserve"> sont préliminaires, sous réserve d</w:t>
            </w:r>
            <w:r w:rsidR="00FA22F6" w:rsidRPr="001E6DFD">
              <w:rPr>
                <w:i/>
                <w:iCs/>
                <w:sz w:val="16"/>
                <w:szCs w:val="16"/>
              </w:rPr>
              <w:t>’</w:t>
            </w:r>
            <w:r w:rsidRPr="001E6DFD">
              <w:rPr>
                <w:i/>
                <w:iCs/>
                <w:sz w:val="16"/>
                <w:szCs w:val="16"/>
              </w:rPr>
              <w:t>audit par les vérificateurs externes des comptes</w:t>
            </w:r>
            <w:r w:rsidR="00BA5EA9" w:rsidRPr="001E6DFD">
              <w:rPr>
                <w:i/>
                <w:iCs/>
                <w:sz w:val="16"/>
                <w:szCs w:val="16"/>
              </w:rPr>
              <w:t xml:space="preserve"> </w:t>
            </w:r>
          </w:p>
        </w:tc>
      </w:tr>
    </w:tbl>
    <w:p w14:paraId="4D2E4E00" w14:textId="77777777" w:rsidR="001F64B1" w:rsidRPr="001E6DFD" w:rsidRDefault="001F64B1" w:rsidP="0097226C">
      <w:pPr>
        <w:jc w:val="center"/>
        <w:rPr>
          <w:sz w:val="20"/>
        </w:rPr>
      </w:pPr>
    </w:p>
    <w:p w14:paraId="04734340" w14:textId="05BF6322" w:rsidR="001F64B1" w:rsidRPr="001E6DFD" w:rsidRDefault="004560B4" w:rsidP="0097226C">
      <w:pPr>
        <w:keepNext/>
        <w:keepLines/>
        <w:ind w:left="567" w:right="282"/>
        <w:rPr>
          <w:i/>
          <w:sz w:val="16"/>
          <w:szCs w:val="16"/>
        </w:rPr>
      </w:pPr>
      <w:r w:rsidRPr="001E6DFD">
        <w:rPr>
          <w:i/>
          <w:sz w:val="16"/>
          <w:szCs w:val="16"/>
        </w:rPr>
        <w:t>NOTE</w:t>
      </w:r>
      <w:r w:rsidR="00FA22F6" w:rsidRPr="001E6DFD">
        <w:rPr>
          <w:i/>
          <w:sz w:val="16"/>
          <w:szCs w:val="16"/>
        </w:rPr>
        <w:t> :</w:t>
      </w:r>
      <w:r w:rsidRPr="001E6DFD">
        <w:rPr>
          <w:i/>
          <w:sz w:val="16"/>
          <w:szCs w:val="16"/>
        </w:rPr>
        <w:t xml:space="preserve"> Le budget</w:t>
      </w:r>
      <w:r w:rsidR="00B4191E">
        <w:rPr>
          <w:i/>
          <w:sz w:val="16"/>
          <w:szCs w:val="16"/>
        </w:rPr>
        <w:t> </w:t>
      </w:r>
      <w:r w:rsidRPr="001E6DFD">
        <w:rPr>
          <w:i/>
          <w:sz w:val="16"/>
          <w:szCs w:val="16"/>
        </w:rPr>
        <w:t>2016</w:t>
      </w:r>
      <w:r w:rsidR="006A41CF" w:rsidRPr="001E6DFD">
        <w:rPr>
          <w:i/>
          <w:sz w:val="16"/>
          <w:szCs w:val="16"/>
        </w:rPr>
        <w:noBreakHyphen/>
      </w:r>
      <w:r w:rsidRPr="001E6DFD">
        <w:rPr>
          <w:i/>
          <w:sz w:val="16"/>
          <w:szCs w:val="16"/>
        </w:rPr>
        <w:t xml:space="preserve">2017 après virements tient compte des virements effectués </w:t>
      </w:r>
      <w:r w:rsidR="00945B76">
        <w:rPr>
          <w:i/>
          <w:sz w:val="16"/>
          <w:szCs w:val="16"/>
        </w:rPr>
        <w:t>au 8 mars 2017</w:t>
      </w:r>
      <w:r w:rsidRPr="001E6DFD">
        <w:rPr>
          <w:i/>
          <w:sz w:val="16"/>
          <w:szCs w:val="16"/>
        </w:rPr>
        <w:t xml:space="preserve"> pour répondre aux besoins durant l</w:t>
      </w:r>
      <w:r w:rsidR="00FA22F6" w:rsidRPr="001E6DFD">
        <w:rPr>
          <w:i/>
          <w:sz w:val="16"/>
          <w:szCs w:val="16"/>
        </w:rPr>
        <w:t>’</w:t>
      </w:r>
      <w:r w:rsidRPr="001E6DFD">
        <w:rPr>
          <w:i/>
          <w:sz w:val="16"/>
          <w:szCs w:val="16"/>
        </w:rPr>
        <w:t xml:space="preserve">exercice </w:t>
      </w:r>
      <w:r w:rsidR="00FA22F6" w:rsidRPr="001E6DFD">
        <w:rPr>
          <w:i/>
          <w:sz w:val="16"/>
          <w:szCs w:val="16"/>
        </w:rPr>
        <w:t>biennal 2016</w:t>
      </w:r>
      <w:r w:rsidR="006A41CF" w:rsidRPr="001E6DFD">
        <w:rPr>
          <w:i/>
          <w:sz w:val="16"/>
          <w:szCs w:val="16"/>
        </w:rPr>
        <w:noBreakHyphen/>
      </w:r>
      <w:r w:rsidRPr="001E6DFD">
        <w:rPr>
          <w:i/>
          <w:sz w:val="16"/>
          <w:szCs w:val="16"/>
        </w:rPr>
        <w:t>2017 conformément à l</w:t>
      </w:r>
      <w:r w:rsidR="00FA22F6" w:rsidRPr="001E6DFD">
        <w:rPr>
          <w:i/>
          <w:sz w:val="16"/>
          <w:szCs w:val="16"/>
        </w:rPr>
        <w:t>’article 5</w:t>
      </w:r>
      <w:r w:rsidRPr="001E6DFD">
        <w:rPr>
          <w:i/>
          <w:sz w:val="16"/>
          <w:szCs w:val="16"/>
        </w:rPr>
        <w:t>.5 du Règlement financier.</w:t>
      </w:r>
    </w:p>
    <w:p w14:paraId="54E79B48" w14:textId="77777777" w:rsidR="001F64B1" w:rsidRPr="001E6DFD" w:rsidRDefault="001F64B1" w:rsidP="0097226C">
      <w:pPr>
        <w:rPr>
          <w:sz w:val="20"/>
        </w:rPr>
      </w:pPr>
    </w:p>
    <w:p w14:paraId="543CF95D" w14:textId="77777777" w:rsidR="001F64B1" w:rsidRPr="001E6DFD" w:rsidRDefault="001F64B1" w:rsidP="0097226C">
      <w:pPr>
        <w:rPr>
          <w:sz w:val="20"/>
        </w:rPr>
      </w:pPr>
    </w:p>
    <w:p w14:paraId="42374751" w14:textId="58E8498B" w:rsidR="001F64B1" w:rsidRPr="0067214C" w:rsidRDefault="00BA5EA9" w:rsidP="0097226C">
      <w:pPr>
        <w:keepNext/>
        <w:keepLines/>
        <w:rPr>
          <w:sz w:val="20"/>
          <w:u w:val="single"/>
        </w:rPr>
      </w:pPr>
      <w:r w:rsidRPr="0067214C">
        <w:rPr>
          <w:sz w:val="20"/>
        </w:rPr>
        <w:t>A.</w:t>
      </w:r>
      <w:r w:rsidRPr="0067214C">
        <w:rPr>
          <w:sz w:val="20"/>
        </w:rPr>
        <w:tab/>
      </w:r>
      <w:r w:rsidR="00F3341E" w:rsidRPr="0067214C">
        <w:rPr>
          <w:sz w:val="20"/>
          <w:u w:val="single"/>
        </w:rPr>
        <w:t>Budget</w:t>
      </w:r>
      <w:r w:rsidR="00B4191E" w:rsidRPr="0067214C">
        <w:rPr>
          <w:sz w:val="20"/>
          <w:u w:val="single"/>
        </w:rPr>
        <w:t> </w:t>
      </w:r>
      <w:r w:rsidR="00F3341E" w:rsidRPr="0067214C">
        <w:rPr>
          <w:sz w:val="20"/>
          <w:u w:val="single"/>
        </w:rPr>
        <w:t>2016</w:t>
      </w:r>
      <w:r w:rsidR="006A41CF" w:rsidRPr="0067214C">
        <w:rPr>
          <w:sz w:val="20"/>
          <w:u w:val="single"/>
        </w:rPr>
        <w:noBreakHyphen/>
      </w:r>
      <w:r w:rsidR="00F3341E" w:rsidRPr="0067214C">
        <w:rPr>
          <w:sz w:val="20"/>
          <w:u w:val="single"/>
        </w:rPr>
        <w:t>2017 après virements</w:t>
      </w:r>
    </w:p>
    <w:p w14:paraId="5DB7C2CB" w14:textId="77777777" w:rsidR="001F64B1" w:rsidRPr="0067214C" w:rsidRDefault="001F64B1" w:rsidP="0097226C">
      <w:pPr>
        <w:keepNext/>
        <w:keepLines/>
        <w:rPr>
          <w:sz w:val="20"/>
        </w:rPr>
      </w:pPr>
    </w:p>
    <w:p w14:paraId="6DB8D3D0" w14:textId="3D3050B8" w:rsidR="001F64B1" w:rsidRPr="0067214C" w:rsidRDefault="00AD40E6" w:rsidP="00D544B8">
      <w:pPr>
        <w:pStyle w:val="ListParagraph"/>
        <w:keepNext/>
        <w:keepLines/>
        <w:numPr>
          <w:ilvl w:val="0"/>
          <w:numId w:val="22"/>
        </w:numPr>
        <w:ind w:left="0" w:firstLine="0"/>
        <w:contextualSpacing w:val="0"/>
        <w:jc w:val="both"/>
        <w:rPr>
          <w:rFonts w:ascii="Arial" w:hAnsi="Arial" w:cs="Arial"/>
          <w:sz w:val="20"/>
          <w:szCs w:val="20"/>
        </w:rPr>
      </w:pPr>
      <w:r w:rsidRPr="0067214C">
        <w:rPr>
          <w:rFonts w:ascii="Arial" w:hAnsi="Arial" w:cs="Arial"/>
          <w:sz w:val="20"/>
          <w:szCs w:val="20"/>
        </w:rPr>
        <w:t xml:space="preserve">La diminution des ressources autres que </w:t>
      </w:r>
      <w:r w:rsidR="00C6696D" w:rsidRPr="0067214C">
        <w:rPr>
          <w:rFonts w:ascii="Arial" w:hAnsi="Arial" w:cs="Arial"/>
          <w:sz w:val="20"/>
          <w:szCs w:val="20"/>
        </w:rPr>
        <w:t xml:space="preserve">pour le </w:t>
      </w:r>
      <w:r w:rsidRPr="0067214C">
        <w:rPr>
          <w:rFonts w:ascii="Arial" w:hAnsi="Arial" w:cs="Arial"/>
          <w:sz w:val="20"/>
          <w:szCs w:val="20"/>
        </w:rPr>
        <w:t>personnel par rapport au budget</w:t>
      </w:r>
      <w:r w:rsidR="00B4191E" w:rsidRPr="0067214C">
        <w:rPr>
          <w:rFonts w:ascii="Arial" w:hAnsi="Arial" w:cs="Arial"/>
          <w:sz w:val="20"/>
          <w:szCs w:val="20"/>
        </w:rPr>
        <w:t> </w:t>
      </w:r>
      <w:r w:rsidRPr="0067214C">
        <w:rPr>
          <w:rFonts w:ascii="Arial" w:hAnsi="Arial" w:cs="Arial"/>
          <w:sz w:val="20"/>
          <w:szCs w:val="20"/>
        </w:rPr>
        <w:t>2016</w:t>
      </w:r>
      <w:r w:rsidR="006A41CF" w:rsidRPr="0067214C">
        <w:rPr>
          <w:rFonts w:ascii="Arial" w:hAnsi="Arial" w:cs="Arial"/>
          <w:sz w:val="20"/>
          <w:szCs w:val="20"/>
        </w:rPr>
        <w:noBreakHyphen/>
      </w:r>
      <w:r w:rsidRPr="0067214C">
        <w:rPr>
          <w:rFonts w:ascii="Arial" w:hAnsi="Arial" w:cs="Arial"/>
          <w:sz w:val="20"/>
          <w:szCs w:val="20"/>
        </w:rPr>
        <w:t>2017</w:t>
      </w:r>
      <w:r w:rsidR="00C6696D" w:rsidRPr="0067214C">
        <w:rPr>
          <w:rFonts w:ascii="Arial" w:hAnsi="Arial" w:cs="Arial"/>
          <w:sz w:val="20"/>
          <w:szCs w:val="20"/>
        </w:rPr>
        <w:t xml:space="preserve"> </w:t>
      </w:r>
      <w:r w:rsidRPr="0067214C">
        <w:rPr>
          <w:rFonts w:ascii="Arial" w:hAnsi="Arial" w:cs="Arial"/>
          <w:sz w:val="20"/>
          <w:szCs w:val="20"/>
        </w:rPr>
        <w:t>approuvé découlait d</w:t>
      </w:r>
      <w:r w:rsidR="00FA22F6" w:rsidRPr="0067214C">
        <w:rPr>
          <w:rFonts w:ascii="Arial" w:hAnsi="Arial" w:cs="Arial"/>
          <w:sz w:val="20"/>
          <w:szCs w:val="20"/>
        </w:rPr>
        <w:t>’</w:t>
      </w:r>
      <w:r w:rsidRPr="0067214C">
        <w:rPr>
          <w:rFonts w:ascii="Arial" w:hAnsi="Arial" w:cs="Arial"/>
          <w:sz w:val="20"/>
          <w:szCs w:val="20"/>
        </w:rPr>
        <w:t>un ajustement à la baisse principalement d</w:t>
      </w:r>
      <w:r w:rsidR="00C322C6" w:rsidRPr="0067214C">
        <w:rPr>
          <w:rFonts w:ascii="Arial" w:hAnsi="Arial" w:cs="Arial"/>
          <w:sz w:val="20"/>
          <w:szCs w:val="20"/>
        </w:rPr>
        <w:t>û</w:t>
      </w:r>
      <w:r w:rsidRPr="0067214C">
        <w:rPr>
          <w:rFonts w:ascii="Arial" w:hAnsi="Arial" w:cs="Arial"/>
          <w:sz w:val="20"/>
          <w:szCs w:val="20"/>
        </w:rPr>
        <w:t xml:space="preserve"> à l</w:t>
      </w:r>
      <w:r w:rsidR="00FA22F6" w:rsidRPr="0067214C">
        <w:rPr>
          <w:rFonts w:ascii="Arial" w:hAnsi="Arial" w:cs="Arial"/>
          <w:sz w:val="20"/>
          <w:szCs w:val="20"/>
        </w:rPr>
        <w:t>’</w:t>
      </w:r>
      <w:r w:rsidRPr="0067214C">
        <w:rPr>
          <w:rFonts w:ascii="Arial" w:hAnsi="Arial" w:cs="Arial"/>
          <w:sz w:val="20"/>
          <w:szCs w:val="20"/>
        </w:rPr>
        <w:t>évitement de frais liés à des taux d</w:t>
      </w:r>
      <w:r w:rsidR="00FA22F6" w:rsidRPr="0067214C">
        <w:rPr>
          <w:rFonts w:ascii="Arial" w:hAnsi="Arial" w:cs="Arial"/>
          <w:sz w:val="20"/>
          <w:szCs w:val="20"/>
        </w:rPr>
        <w:t>’</w:t>
      </w:r>
      <w:r w:rsidRPr="0067214C">
        <w:rPr>
          <w:rFonts w:ascii="Arial" w:hAnsi="Arial" w:cs="Arial"/>
          <w:sz w:val="20"/>
          <w:szCs w:val="20"/>
        </w:rPr>
        <w:t>intérêt négati</w:t>
      </w:r>
      <w:r w:rsidR="004A4D21" w:rsidRPr="0067214C">
        <w:rPr>
          <w:rFonts w:ascii="Arial" w:hAnsi="Arial" w:cs="Arial"/>
          <w:sz w:val="20"/>
          <w:szCs w:val="20"/>
        </w:rPr>
        <w:t>fs.  Ce</w:t>
      </w:r>
      <w:r w:rsidRPr="0067214C">
        <w:rPr>
          <w:rFonts w:ascii="Arial" w:hAnsi="Arial" w:cs="Arial"/>
          <w:sz w:val="20"/>
          <w:szCs w:val="20"/>
        </w:rPr>
        <w:t xml:space="preserve">la a été en partie </w:t>
      </w:r>
      <w:r w:rsidR="00C6696D" w:rsidRPr="0067214C">
        <w:rPr>
          <w:rFonts w:ascii="Arial" w:hAnsi="Arial" w:cs="Arial"/>
          <w:sz w:val="20"/>
          <w:szCs w:val="20"/>
        </w:rPr>
        <w:t>compensé</w:t>
      </w:r>
      <w:r w:rsidR="00C322C6" w:rsidRPr="0067214C">
        <w:rPr>
          <w:rFonts w:ascii="Arial" w:hAnsi="Arial" w:cs="Arial"/>
          <w:sz w:val="20"/>
          <w:szCs w:val="20"/>
        </w:rPr>
        <w:t xml:space="preserve"> par</w:t>
      </w:r>
      <w:r w:rsidRPr="0067214C">
        <w:rPr>
          <w:rFonts w:ascii="Arial" w:hAnsi="Arial" w:cs="Arial"/>
          <w:sz w:val="20"/>
          <w:szCs w:val="20"/>
        </w:rPr>
        <w:t xml:space="preserve"> l</w:t>
      </w:r>
      <w:r w:rsidR="00FA22F6" w:rsidRPr="0067214C">
        <w:rPr>
          <w:rFonts w:ascii="Arial" w:hAnsi="Arial" w:cs="Arial"/>
          <w:sz w:val="20"/>
          <w:szCs w:val="20"/>
        </w:rPr>
        <w:t>’</w:t>
      </w:r>
      <w:r w:rsidRPr="0067214C">
        <w:rPr>
          <w:rFonts w:ascii="Arial" w:hAnsi="Arial" w:cs="Arial"/>
          <w:sz w:val="20"/>
          <w:szCs w:val="20"/>
        </w:rPr>
        <w:t>a</w:t>
      </w:r>
      <w:r w:rsidR="00C6696D" w:rsidRPr="0067214C">
        <w:rPr>
          <w:rFonts w:ascii="Arial" w:hAnsi="Arial" w:cs="Arial"/>
          <w:sz w:val="20"/>
          <w:szCs w:val="20"/>
        </w:rPr>
        <w:t>ffectation de</w:t>
      </w:r>
      <w:r w:rsidRPr="0067214C">
        <w:rPr>
          <w:rFonts w:ascii="Arial" w:hAnsi="Arial" w:cs="Arial"/>
          <w:sz w:val="20"/>
          <w:szCs w:val="20"/>
        </w:rPr>
        <w:t xml:space="preserve"> fonds </w:t>
      </w:r>
      <w:r w:rsidR="00E32EAF" w:rsidRPr="0067214C">
        <w:rPr>
          <w:rFonts w:ascii="Arial" w:hAnsi="Arial" w:cs="Arial"/>
          <w:sz w:val="20"/>
          <w:szCs w:val="20"/>
        </w:rPr>
        <w:t xml:space="preserve">au financement de </w:t>
      </w:r>
      <w:r w:rsidRPr="0067214C">
        <w:rPr>
          <w:rFonts w:ascii="Arial" w:hAnsi="Arial" w:cs="Arial"/>
          <w:sz w:val="20"/>
          <w:szCs w:val="20"/>
        </w:rPr>
        <w:t xml:space="preserve">la fonction de trésorerie et </w:t>
      </w:r>
      <w:r w:rsidR="00C6696D" w:rsidRPr="0067214C">
        <w:rPr>
          <w:rFonts w:ascii="Arial" w:hAnsi="Arial" w:cs="Arial"/>
          <w:sz w:val="20"/>
          <w:szCs w:val="20"/>
        </w:rPr>
        <w:t xml:space="preserve">à </w:t>
      </w:r>
      <w:r w:rsidRPr="0067214C">
        <w:rPr>
          <w:rFonts w:ascii="Arial" w:hAnsi="Arial" w:cs="Arial"/>
          <w:sz w:val="20"/>
          <w:szCs w:val="20"/>
        </w:rPr>
        <w:t>l</w:t>
      </w:r>
      <w:r w:rsidR="00FA22F6" w:rsidRPr="0067214C">
        <w:rPr>
          <w:rFonts w:ascii="Arial" w:hAnsi="Arial" w:cs="Arial"/>
          <w:sz w:val="20"/>
          <w:szCs w:val="20"/>
        </w:rPr>
        <w:t>’</w:t>
      </w:r>
      <w:r w:rsidRPr="0067214C">
        <w:rPr>
          <w:rFonts w:ascii="Arial" w:hAnsi="Arial" w:cs="Arial"/>
          <w:sz w:val="20"/>
          <w:szCs w:val="20"/>
        </w:rPr>
        <w:t xml:space="preserve">exploitation et </w:t>
      </w:r>
      <w:r w:rsidR="00C6696D" w:rsidRPr="0067214C">
        <w:rPr>
          <w:rFonts w:ascii="Arial" w:hAnsi="Arial" w:cs="Arial"/>
          <w:sz w:val="20"/>
          <w:szCs w:val="20"/>
        </w:rPr>
        <w:t>à</w:t>
      </w:r>
      <w:r w:rsidR="00E32EAF" w:rsidRPr="0067214C">
        <w:rPr>
          <w:rFonts w:ascii="Arial" w:hAnsi="Arial" w:cs="Arial"/>
          <w:sz w:val="20"/>
          <w:szCs w:val="20"/>
        </w:rPr>
        <w:t xml:space="preserve"> </w:t>
      </w:r>
      <w:r w:rsidRPr="0067214C">
        <w:rPr>
          <w:rFonts w:ascii="Arial" w:hAnsi="Arial" w:cs="Arial"/>
          <w:sz w:val="20"/>
          <w:szCs w:val="20"/>
        </w:rPr>
        <w:t>l</w:t>
      </w:r>
      <w:r w:rsidR="00FA22F6" w:rsidRPr="0067214C">
        <w:rPr>
          <w:rFonts w:ascii="Arial" w:hAnsi="Arial" w:cs="Arial"/>
          <w:sz w:val="20"/>
          <w:szCs w:val="20"/>
        </w:rPr>
        <w:t>’</w:t>
      </w:r>
      <w:r w:rsidRPr="0067214C">
        <w:rPr>
          <w:rFonts w:ascii="Arial" w:hAnsi="Arial" w:cs="Arial"/>
          <w:sz w:val="20"/>
          <w:szCs w:val="20"/>
        </w:rPr>
        <w:t xml:space="preserve">amélioration du </w:t>
      </w:r>
      <w:r w:rsidR="00B4191E" w:rsidRPr="0067214C">
        <w:rPr>
          <w:rFonts w:ascii="Arial" w:hAnsi="Arial" w:cs="Arial"/>
          <w:sz w:val="20"/>
          <w:szCs w:val="20"/>
        </w:rPr>
        <w:t>s</w:t>
      </w:r>
      <w:r w:rsidR="00E32EAF" w:rsidRPr="0067214C">
        <w:rPr>
          <w:rFonts w:ascii="Arial" w:hAnsi="Arial" w:cs="Arial"/>
          <w:sz w:val="20"/>
          <w:szCs w:val="20"/>
        </w:rPr>
        <w:t xml:space="preserve">ystème intégré de gestion administrative </w:t>
      </w:r>
      <w:r w:rsidRPr="0067214C">
        <w:rPr>
          <w:rFonts w:ascii="Arial" w:hAnsi="Arial" w:cs="Arial"/>
          <w:sz w:val="20"/>
          <w:szCs w:val="20"/>
        </w:rPr>
        <w:t>(AIMS).</w:t>
      </w:r>
    </w:p>
    <w:p w14:paraId="66A2CC3E" w14:textId="77777777" w:rsidR="001F64B1" w:rsidRPr="001303B4" w:rsidRDefault="001F64B1" w:rsidP="0097226C">
      <w:pPr>
        <w:jc w:val="both"/>
        <w:rPr>
          <w:sz w:val="20"/>
        </w:rPr>
      </w:pPr>
    </w:p>
    <w:p w14:paraId="0E826621" w14:textId="3DB1CBD7" w:rsidR="001F64B1" w:rsidRPr="0067214C" w:rsidRDefault="00DF645A" w:rsidP="00D544B8">
      <w:pPr>
        <w:pStyle w:val="ListParagraph"/>
        <w:numPr>
          <w:ilvl w:val="0"/>
          <w:numId w:val="22"/>
        </w:numPr>
        <w:ind w:left="0" w:firstLine="0"/>
        <w:contextualSpacing w:val="0"/>
        <w:jc w:val="both"/>
        <w:rPr>
          <w:rFonts w:ascii="Arial" w:hAnsi="Arial" w:cs="Arial"/>
          <w:sz w:val="20"/>
          <w:szCs w:val="20"/>
        </w:rPr>
      </w:pPr>
      <w:r w:rsidRPr="0067214C">
        <w:rPr>
          <w:rFonts w:ascii="Arial" w:hAnsi="Arial" w:cs="Arial"/>
          <w:sz w:val="20"/>
          <w:szCs w:val="20"/>
        </w:rPr>
        <w:t xml:space="preserve">La légère augmentation des ressources </w:t>
      </w:r>
      <w:r w:rsidR="009E3CFE" w:rsidRPr="0067214C">
        <w:rPr>
          <w:rFonts w:ascii="Arial" w:hAnsi="Arial" w:cs="Arial"/>
          <w:sz w:val="20"/>
          <w:szCs w:val="20"/>
        </w:rPr>
        <w:t>e</w:t>
      </w:r>
      <w:r w:rsidR="00381826" w:rsidRPr="0067214C">
        <w:rPr>
          <w:rFonts w:ascii="Arial" w:hAnsi="Arial" w:cs="Arial"/>
          <w:sz w:val="20"/>
          <w:szCs w:val="20"/>
        </w:rPr>
        <w:t>n</w:t>
      </w:r>
      <w:r w:rsidR="009E3CFE" w:rsidRPr="0067214C">
        <w:rPr>
          <w:rFonts w:ascii="Arial" w:hAnsi="Arial" w:cs="Arial"/>
          <w:sz w:val="20"/>
          <w:szCs w:val="20"/>
        </w:rPr>
        <w:t xml:space="preserve"> </w:t>
      </w:r>
      <w:r w:rsidRPr="0067214C">
        <w:rPr>
          <w:rFonts w:ascii="Arial" w:hAnsi="Arial" w:cs="Arial"/>
          <w:sz w:val="20"/>
          <w:szCs w:val="20"/>
        </w:rPr>
        <w:t>personnel résult</w:t>
      </w:r>
      <w:r w:rsidR="00110E6A" w:rsidRPr="0067214C">
        <w:rPr>
          <w:rFonts w:ascii="Arial" w:hAnsi="Arial" w:cs="Arial"/>
          <w:sz w:val="20"/>
          <w:szCs w:val="20"/>
        </w:rPr>
        <w:t>ait</w:t>
      </w:r>
      <w:r w:rsidRPr="0067214C">
        <w:rPr>
          <w:rFonts w:ascii="Arial" w:hAnsi="Arial" w:cs="Arial"/>
          <w:sz w:val="20"/>
          <w:szCs w:val="20"/>
        </w:rPr>
        <w:t xml:space="preserve"> </w:t>
      </w:r>
      <w:r w:rsidR="009E3CFE" w:rsidRPr="0067214C">
        <w:rPr>
          <w:rFonts w:ascii="Arial" w:hAnsi="Arial" w:cs="Arial"/>
          <w:sz w:val="20"/>
          <w:szCs w:val="20"/>
        </w:rPr>
        <w:t>essentiellement de</w:t>
      </w:r>
      <w:r w:rsidRPr="0067214C">
        <w:rPr>
          <w:rFonts w:ascii="Arial" w:hAnsi="Arial" w:cs="Arial"/>
          <w:sz w:val="20"/>
          <w:szCs w:val="20"/>
        </w:rPr>
        <w:t xml:space="preserve"> reclassements</w:t>
      </w:r>
      <w:r w:rsidR="00086191" w:rsidRPr="0067214C">
        <w:rPr>
          <w:rFonts w:ascii="Arial" w:hAnsi="Arial" w:cs="Arial"/>
          <w:sz w:val="20"/>
          <w:szCs w:val="20"/>
        </w:rPr>
        <w:t xml:space="preserve">, </w:t>
      </w:r>
      <w:r w:rsidR="009E3CFE" w:rsidRPr="0067214C">
        <w:rPr>
          <w:rFonts w:ascii="Arial" w:hAnsi="Arial" w:cs="Arial"/>
          <w:sz w:val="20"/>
          <w:szCs w:val="20"/>
        </w:rPr>
        <w:t>de</w:t>
      </w:r>
      <w:r w:rsidRPr="0067214C">
        <w:rPr>
          <w:rFonts w:ascii="Arial" w:hAnsi="Arial" w:cs="Arial"/>
          <w:sz w:val="20"/>
          <w:szCs w:val="20"/>
        </w:rPr>
        <w:t xml:space="preserve"> régularisations </w:t>
      </w:r>
      <w:r w:rsidR="00845A7C" w:rsidRPr="0067214C">
        <w:rPr>
          <w:rFonts w:ascii="Arial" w:hAnsi="Arial" w:cs="Arial"/>
          <w:sz w:val="20"/>
          <w:szCs w:val="20"/>
        </w:rPr>
        <w:t>effectives</w:t>
      </w:r>
      <w:r w:rsidRPr="0067214C">
        <w:rPr>
          <w:rFonts w:ascii="Arial" w:hAnsi="Arial" w:cs="Arial"/>
          <w:sz w:val="20"/>
          <w:szCs w:val="20"/>
        </w:rPr>
        <w:t xml:space="preserve"> des personnes exerçant des fonctions </w:t>
      </w:r>
      <w:r w:rsidR="009E3CFE" w:rsidRPr="0067214C">
        <w:rPr>
          <w:rFonts w:ascii="Arial" w:hAnsi="Arial" w:cs="Arial"/>
          <w:sz w:val="20"/>
          <w:szCs w:val="20"/>
        </w:rPr>
        <w:t>continues</w:t>
      </w:r>
      <w:r w:rsidR="00086191" w:rsidRPr="0067214C">
        <w:rPr>
          <w:rFonts w:ascii="Arial" w:hAnsi="Arial" w:cs="Arial"/>
          <w:sz w:val="20"/>
          <w:szCs w:val="20"/>
        </w:rPr>
        <w:t>, ainsi que</w:t>
      </w:r>
      <w:r w:rsidRPr="0067214C">
        <w:rPr>
          <w:rFonts w:ascii="Arial" w:hAnsi="Arial" w:cs="Arial"/>
          <w:sz w:val="20"/>
          <w:szCs w:val="20"/>
        </w:rPr>
        <w:t xml:space="preserve"> du redéploiement d</w:t>
      </w:r>
      <w:r w:rsidR="00FA22F6" w:rsidRPr="0067214C">
        <w:rPr>
          <w:rFonts w:ascii="Arial" w:hAnsi="Arial" w:cs="Arial"/>
          <w:sz w:val="20"/>
          <w:szCs w:val="20"/>
        </w:rPr>
        <w:t>’</w:t>
      </w:r>
      <w:r w:rsidRPr="0067214C">
        <w:rPr>
          <w:rFonts w:ascii="Arial" w:hAnsi="Arial" w:cs="Arial"/>
          <w:sz w:val="20"/>
          <w:szCs w:val="20"/>
        </w:rPr>
        <w:t xml:space="preserve">un </w:t>
      </w:r>
      <w:r w:rsidR="005D0CB3" w:rsidRPr="0067214C">
        <w:rPr>
          <w:rFonts w:ascii="Arial" w:hAnsi="Arial" w:cs="Arial"/>
          <w:sz w:val="20"/>
          <w:szCs w:val="20"/>
        </w:rPr>
        <w:t>emploi</w:t>
      </w:r>
      <w:r w:rsidRPr="0067214C">
        <w:rPr>
          <w:rFonts w:ascii="Arial" w:hAnsi="Arial" w:cs="Arial"/>
          <w:sz w:val="20"/>
          <w:szCs w:val="20"/>
        </w:rPr>
        <w:t xml:space="preserve"> temporaire et d</w:t>
      </w:r>
      <w:r w:rsidR="00FA22F6" w:rsidRPr="0067214C">
        <w:rPr>
          <w:rFonts w:ascii="Arial" w:hAnsi="Arial" w:cs="Arial"/>
          <w:sz w:val="20"/>
          <w:szCs w:val="20"/>
        </w:rPr>
        <w:t>’</w:t>
      </w:r>
      <w:r w:rsidRPr="0067214C">
        <w:rPr>
          <w:rFonts w:ascii="Arial" w:hAnsi="Arial" w:cs="Arial"/>
          <w:sz w:val="20"/>
          <w:szCs w:val="20"/>
        </w:rPr>
        <w:t>un</w:t>
      </w:r>
      <w:r w:rsidR="005D0CB3" w:rsidRPr="0067214C">
        <w:rPr>
          <w:rFonts w:ascii="Arial" w:hAnsi="Arial" w:cs="Arial"/>
          <w:sz w:val="20"/>
          <w:szCs w:val="20"/>
        </w:rPr>
        <w:t xml:space="preserve"> poste dans le p</w:t>
      </w:r>
      <w:r w:rsidRPr="0067214C">
        <w:rPr>
          <w:rFonts w:ascii="Arial" w:hAnsi="Arial" w:cs="Arial"/>
          <w:sz w:val="20"/>
          <w:szCs w:val="20"/>
        </w:rPr>
        <w:t>rogramme</w:t>
      </w:r>
      <w:r w:rsidR="009E3CFE" w:rsidRPr="0067214C">
        <w:rPr>
          <w:rFonts w:ascii="Arial" w:hAnsi="Arial" w:cs="Arial"/>
          <w:sz w:val="20"/>
          <w:szCs w:val="20"/>
        </w:rPr>
        <w:t>,</w:t>
      </w:r>
      <w:r w:rsidRPr="0067214C">
        <w:rPr>
          <w:rFonts w:ascii="Arial" w:hAnsi="Arial" w:cs="Arial"/>
          <w:sz w:val="20"/>
          <w:szCs w:val="20"/>
        </w:rPr>
        <w:t xml:space="preserve"> </w:t>
      </w:r>
      <w:r w:rsidR="00086191" w:rsidRPr="0067214C">
        <w:rPr>
          <w:rFonts w:ascii="Arial" w:hAnsi="Arial" w:cs="Arial"/>
          <w:sz w:val="20"/>
          <w:szCs w:val="20"/>
        </w:rPr>
        <w:t xml:space="preserve">en vue </w:t>
      </w:r>
      <w:r w:rsidR="005D0CB3" w:rsidRPr="0067214C">
        <w:rPr>
          <w:rFonts w:ascii="Arial" w:hAnsi="Arial" w:cs="Arial"/>
          <w:sz w:val="20"/>
          <w:szCs w:val="20"/>
        </w:rPr>
        <w:t xml:space="preserve">de </w:t>
      </w:r>
      <w:r w:rsidR="00E871AE" w:rsidRPr="0067214C">
        <w:rPr>
          <w:rFonts w:ascii="Arial" w:hAnsi="Arial" w:cs="Arial"/>
          <w:sz w:val="20"/>
          <w:szCs w:val="20"/>
        </w:rPr>
        <w:t>favoriser</w:t>
      </w:r>
      <w:r w:rsidR="00AA6710" w:rsidRPr="0067214C">
        <w:rPr>
          <w:rFonts w:ascii="Arial" w:hAnsi="Arial" w:cs="Arial"/>
          <w:sz w:val="20"/>
          <w:szCs w:val="20"/>
        </w:rPr>
        <w:t xml:space="preserve"> </w:t>
      </w:r>
      <w:r w:rsidR="009E3CFE" w:rsidRPr="0067214C">
        <w:rPr>
          <w:rFonts w:ascii="Arial" w:hAnsi="Arial" w:cs="Arial"/>
          <w:sz w:val="20"/>
          <w:szCs w:val="20"/>
        </w:rPr>
        <w:t xml:space="preserve">respectivement </w:t>
      </w:r>
      <w:r w:rsidR="00AA6710" w:rsidRPr="0067214C">
        <w:rPr>
          <w:rFonts w:ascii="Arial" w:hAnsi="Arial" w:cs="Arial"/>
          <w:sz w:val="20"/>
          <w:szCs w:val="20"/>
        </w:rPr>
        <w:t>la g</w:t>
      </w:r>
      <w:r w:rsidR="00E871AE" w:rsidRPr="0067214C">
        <w:rPr>
          <w:rFonts w:ascii="Arial" w:hAnsi="Arial" w:cs="Arial"/>
          <w:sz w:val="20"/>
          <w:szCs w:val="20"/>
        </w:rPr>
        <w:t>estion des risques et l</w:t>
      </w:r>
      <w:r w:rsidR="00FA22F6" w:rsidRPr="0067214C">
        <w:rPr>
          <w:rFonts w:ascii="Arial" w:hAnsi="Arial" w:cs="Arial"/>
          <w:sz w:val="20"/>
          <w:szCs w:val="20"/>
        </w:rPr>
        <w:t>’</w:t>
      </w:r>
      <w:r w:rsidR="00E871AE" w:rsidRPr="0067214C">
        <w:rPr>
          <w:rFonts w:ascii="Arial" w:hAnsi="Arial" w:cs="Arial"/>
          <w:sz w:val="20"/>
          <w:szCs w:val="20"/>
        </w:rPr>
        <w:t>établissem</w:t>
      </w:r>
      <w:r w:rsidR="00D5144F" w:rsidRPr="0067214C">
        <w:rPr>
          <w:rFonts w:ascii="Arial" w:hAnsi="Arial" w:cs="Arial"/>
          <w:sz w:val="20"/>
          <w:szCs w:val="20"/>
        </w:rPr>
        <w:t>e</w:t>
      </w:r>
      <w:r w:rsidR="00E871AE" w:rsidRPr="0067214C">
        <w:rPr>
          <w:rFonts w:ascii="Arial" w:hAnsi="Arial" w:cs="Arial"/>
          <w:sz w:val="20"/>
          <w:szCs w:val="20"/>
        </w:rPr>
        <w:t>nt de</w:t>
      </w:r>
      <w:r w:rsidR="00AA6710" w:rsidRPr="0067214C">
        <w:rPr>
          <w:rFonts w:ascii="Arial" w:hAnsi="Arial" w:cs="Arial"/>
          <w:sz w:val="20"/>
          <w:szCs w:val="20"/>
        </w:rPr>
        <w:t xml:space="preserve"> r</w:t>
      </w:r>
      <w:r w:rsidRPr="0067214C">
        <w:rPr>
          <w:rFonts w:ascii="Arial" w:hAnsi="Arial" w:cs="Arial"/>
          <w:sz w:val="20"/>
          <w:szCs w:val="20"/>
        </w:rPr>
        <w:t>a</w:t>
      </w:r>
      <w:r w:rsidR="00E871AE" w:rsidRPr="0067214C">
        <w:rPr>
          <w:rFonts w:ascii="Arial" w:hAnsi="Arial" w:cs="Arial"/>
          <w:sz w:val="20"/>
          <w:szCs w:val="20"/>
        </w:rPr>
        <w:t>pports financie</w:t>
      </w:r>
      <w:r w:rsidR="004A4D21" w:rsidRPr="0067214C">
        <w:rPr>
          <w:rFonts w:ascii="Arial" w:hAnsi="Arial" w:cs="Arial"/>
          <w:sz w:val="20"/>
          <w:szCs w:val="20"/>
        </w:rPr>
        <w:t>rs.  Ce</w:t>
      </w:r>
      <w:r w:rsidR="00AA6710" w:rsidRPr="0067214C">
        <w:rPr>
          <w:rFonts w:ascii="Arial" w:hAnsi="Arial" w:cs="Arial"/>
          <w:sz w:val="20"/>
          <w:szCs w:val="20"/>
        </w:rPr>
        <w:t>la a été co</w:t>
      </w:r>
      <w:r w:rsidR="00D5144F" w:rsidRPr="0067214C">
        <w:rPr>
          <w:rFonts w:ascii="Arial" w:hAnsi="Arial" w:cs="Arial"/>
          <w:sz w:val="20"/>
          <w:szCs w:val="20"/>
        </w:rPr>
        <w:t>mpensé par la redistribution de</w:t>
      </w:r>
      <w:r w:rsidR="00AA6710" w:rsidRPr="0067214C">
        <w:rPr>
          <w:rFonts w:ascii="Arial" w:hAnsi="Arial" w:cs="Arial"/>
          <w:sz w:val="20"/>
          <w:szCs w:val="20"/>
        </w:rPr>
        <w:t xml:space="preserve"> ressources </w:t>
      </w:r>
      <w:r w:rsidR="00D5144F" w:rsidRPr="0067214C">
        <w:rPr>
          <w:rFonts w:ascii="Arial" w:hAnsi="Arial" w:cs="Arial"/>
          <w:sz w:val="20"/>
          <w:szCs w:val="20"/>
        </w:rPr>
        <w:t>e</w:t>
      </w:r>
      <w:r w:rsidR="00381826" w:rsidRPr="0067214C">
        <w:rPr>
          <w:rFonts w:ascii="Arial" w:hAnsi="Arial" w:cs="Arial"/>
          <w:sz w:val="20"/>
          <w:szCs w:val="20"/>
        </w:rPr>
        <w:t>n</w:t>
      </w:r>
      <w:r w:rsidR="00D5144F" w:rsidRPr="0067214C">
        <w:rPr>
          <w:rFonts w:ascii="Arial" w:hAnsi="Arial" w:cs="Arial"/>
          <w:sz w:val="20"/>
          <w:szCs w:val="20"/>
        </w:rPr>
        <w:t xml:space="preserve"> </w:t>
      </w:r>
      <w:r w:rsidR="00AA6710" w:rsidRPr="0067214C">
        <w:rPr>
          <w:rFonts w:ascii="Arial" w:hAnsi="Arial" w:cs="Arial"/>
          <w:sz w:val="20"/>
          <w:szCs w:val="20"/>
        </w:rPr>
        <w:t xml:space="preserve">personnel </w:t>
      </w:r>
      <w:r w:rsidR="00D5144F" w:rsidRPr="0067214C">
        <w:rPr>
          <w:rFonts w:ascii="Arial" w:hAnsi="Arial" w:cs="Arial"/>
          <w:sz w:val="20"/>
          <w:szCs w:val="20"/>
        </w:rPr>
        <w:t xml:space="preserve">vers des ressources </w:t>
      </w:r>
      <w:r w:rsidR="00110E6A" w:rsidRPr="0067214C">
        <w:rPr>
          <w:rFonts w:ascii="Arial" w:hAnsi="Arial" w:cs="Arial"/>
          <w:sz w:val="20"/>
          <w:szCs w:val="20"/>
        </w:rPr>
        <w:t>autres</w:t>
      </w:r>
      <w:r w:rsidR="00D5144F" w:rsidRPr="0067214C">
        <w:rPr>
          <w:rFonts w:ascii="Arial" w:hAnsi="Arial" w:cs="Arial"/>
          <w:sz w:val="20"/>
          <w:szCs w:val="20"/>
        </w:rPr>
        <w:t xml:space="preserve"> pour le personnel, en vue de couvrir</w:t>
      </w:r>
      <w:r w:rsidR="00FA22F6" w:rsidRPr="0067214C">
        <w:rPr>
          <w:rFonts w:ascii="Arial" w:hAnsi="Arial" w:cs="Arial"/>
          <w:sz w:val="20"/>
          <w:szCs w:val="20"/>
        </w:rPr>
        <w:t> :</w:t>
      </w:r>
      <w:r w:rsidR="00214A9E" w:rsidRPr="0067214C">
        <w:rPr>
          <w:rFonts w:ascii="Arial" w:hAnsi="Arial" w:cs="Arial"/>
          <w:sz w:val="20"/>
          <w:szCs w:val="20"/>
        </w:rPr>
        <w:t xml:space="preserve"> </w:t>
      </w:r>
      <w:r w:rsidR="00AA6710" w:rsidRPr="0067214C">
        <w:rPr>
          <w:rFonts w:ascii="Arial" w:hAnsi="Arial" w:cs="Arial"/>
          <w:sz w:val="20"/>
          <w:szCs w:val="20"/>
        </w:rPr>
        <w:t>i)</w:t>
      </w:r>
      <w:r w:rsidR="004D421A" w:rsidRPr="0067214C">
        <w:rPr>
          <w:rFonts w:ascii="Arial" w:hAnsi="Arial" w:cs="Arial"/>
          <w:sz w:val="20"/>
          <w:szCs w:val="20"/>
        </w:rPr>
        <w:t> </w:t>
      </w:r>
      <w:r w:rsidR="00AA6710" w:rsidRPr="0067214C">
        <w:rPr>
          <w:rFonts w:ascii="Arial" w:hAnsi="Arial" w:cs="Arial"/>
          <w:sz w:val="20"/>
          <w:szCs w:val="20"/>
        </w:rPr>
        <w:t xml:space="preserve">la mise en œuvre du projet </w:t>
      </w:r>
      <w:r w:rsidR="00110E6A" w:rsidRPr="0067214C">
        <w:rPr>
          <w:rFonts w:ascii="Arial" w:hAnsi="Arial" w:cs="Arial"/>
          <w:sz w:val="20"/>
          <w:szCs w:val="20"/>
        </w:rPr>
        <w:t>de</w:t>
      </w:r>
      <w:r w:rsidR="00FA22F6" w:rsidRPr="0067214C">
        <w:rPr>
          <w:rFonts w:ascii="Arial" w:hAnsi="Arial" w:cs="Arial"/>
          <w:sz w:val="20"/>
          <w:szCs w:val="20"/>
        </w:rPr>
        <w:t xml:space="preserve"> la CFP</w:t>
      </w:r>
      <w:r w:rsidR="00110E6A" w:rsidRPr="0067214C">
        <w:rPr>
          <w:rFonts w:ascii="Arial" w:hAnsi="Arial" w:cs="Arial"/>
          <w:sz w:val="20"/>
          <w:szCs w:val="20"/>
        </w:rPr>
        <w:t>I concernant les prestations versées aux salariés</w:t>
      </w:r>
      <w:r w:rsidR="00214A9E" w:rsidRPr="0067214C">
        <w:rPr>
          <w:rFonts w:ascii="Arial" w:hAnsi="Arial" w:cs="Arial"/>
          <w:sz w:val="20"/>
          <w:szCs w:val="20"/>
        </w:rPr>
        <w:t xml:space="preserve"> et;  i</w:t>
      </w:r>
      <w:r w:rsidR="00AA6710" w:rsidRPr="0067214C">
        <w:rPr>
          <w:rFonts w:ascii="Arial" w:hAnsi="Arial" w:cs="Arial"/>
          <w:sz w:val="20"/>
          <w:szCs w:val="20"/>
        </w:rPr>
        <w:t>i)</w:t>
      </w:r>
      <w:r w:rsidR="004D421A" w:rsidRPr="0067214C">
        <w:rPr>
          <w:rFonts w:ascii="Arial" w:hAnsi="Arial" w:cs="Arial"/>
          <w:sz w:val="20"/>
          <w:szCs w:val="20"/>
        </w:rPr>
        <w:t> </w:t>
      </w:r>
      <w:r w:rsidR="00AA6710" w:rsidRPr="0067214C">
        <w:rPr>
          <w:rFonts w:ascii="Arial" w:hAnsi="Arial" w:cs="Arial"/>
          <w:sz w:val="20"/>
          <w:szCs w:val="20"/>
        </w:rPr>
        <w:t>la gestion d</w:t>
      </w:r>
      <w:r w:rsidR="00214A9E" w:rsidRPr="0067214C">
        <w:rPr>
          <w:rFonts w:ascii="Arial" w:hAnsi="Arial" w:cs="Arial"/>
          <w:sz w:val="20"/>
          <w:szCs w:val="20"/>
        </w:rPr>
        <w:t>e la trésorerie</w:t>
      </w:r>
      <w:r w:rsidR="00AA6710" w:rsidRPr="0067214C">
        <w:rPr>
          <w:rFonts w:ascii="Arial" w:hAnsi="Arial" w:cs="Arial"/>
          <w:sz w:val="20"/>
          <w:szCs w:val="20"/>
        </w:rPr>
        <w:t>.</w:t>
      </w:r>
    </w:p>
    <w:p w14:paraId="3B94C047" w14:textId="77777777" w:rsidR="001F64B1" w:rsidRPr="0067214C" w:rsidRDefault="001F64B1" w:rsidP="0097226C">
      <w:pPr>
        <w:jc w:val="both"/>
        <w:rPr>
          <w:sz w:val="20"/>
        </w:rPr>
      </w:pPr>
    </w:p>
    <w:p w14:paraId="54A137C9" w14:textId="5F7E1001" w:rsidR="001F64B1" w:rsidRPr="0067214C" w:rsidRDefault="00BA5EA9" w:rsidP="0097226C">
      <w:pPr>
        <w:jc w:val="both"/>
        <w:rPr>
          <w:sz w:val="20"/>
          <w:u w:val="single"/>
        </w:rPr>
      </w:pPr>
      <w:r w:rsidRPr="0067214C">
        <w:rPr>
          <w:sz w:val="20"/>
        </w:rPr>
        <w:t>B.</w:t>
      </w:r>
      <w:r w:rsidRPr="0067214C">
        <w:rPr>
          <w:sz w:val="20"/>
        </w:rPr>
        <w:tab/>
      </w:r>
      <w:r w:rsidR="00F3341E" w:rsidRPr="0067214C">
        <w:rPr>
          <w:sz w:val="20"/>
          <w:u w:val="single"/>
        </w:rPr>
        <w:t>Utilisation du budget</w:t>
      </w:r>
      <w:r w:rsidR="00B4191E" w:rsidRPr="0067214C">
        <w:rPr>
          <w:sz w:val="20"/>
          <w:u w:val="single"/>
        </w:rPr>
        <w:t> </w:t>
      </w:r>
      <w:r w:rsidR="00F3341E" w:rsidRPr="0067214C">
        <w:rPr>
          <w:sz w:val="20"/>
          <w:u w:val="single"/>
        </w:rPr>
        <w:t>2016</w:t>
      </w:r>
      <w:r w:rsidR="006A41CF" w:rsidRPr="0067214C">
        <w:rPr>
          <w:sz w:val="20"/>
          <w:u w:val="single"/>
        </w:rPr>
        <w:noBreakHyphen/>
      </w:r>
      <w:r w:rsidR="00F3341E" w:rsidRPr="0067214C">
        <w:rPr>
          <w:sz w:val="20"/>
          <w:u w:val="single"/>
        </w:rPr>
        <w:t>2017</w:t>
      </w:r>
    </w:p>
    <w:p w14:paraId="47E60B9C" w14:textId="77777777" w:rsidR="001F64B1" w:rsidRPr="0067214C" w:rsidRDefault="001F64B1" w:rsidP="0097226C">
      <w:pPr>
        <w:jc w:val="both"/>
        <w:rPr>
          <w:sz w:val="20"/>
        </w:rPr>
      </w:pPr>
    </w:p>
    <w:p w14:paraId="5F584799" w14:textId="55930E4E" w:rsidR="001F64B1" w:rsidRPr="0067214C" w:rsidRDefault="00110E6A" w:rsidP="00D544B8">
      <w:pPr>
        <w:pStyle w:val="ListParagraph"/>
        <w:numPr>
          <w:ilvl w:val="0"/>
          <w:numId w:val="22"/>
        </w:numPr>
        <w:ind w:left="0" w:firstLine="0"/>
        <w:contextualSpacing w:val="0"/>
        <w:jc w:val="both"/>
        <w:rPr>
          <w:rFonts w:ascii="Arial" w:hAnsi="Arial" w:cs="Arial"/>
          <w:sz w:val="20"/>
          <w:szCs w:val="20"/>
        </w:rPr>
      </w:pPr>
      <w:r w:rsidRPr="0067214C">
        <w:rPr>
          <w:rFonts w:ascii="Arial" w:hAnsi="Arial" w:cs="Arial"/>
          <w:sz w:val="20"/>
          <w:szCs w:val="20"/>
        </w:rPr>
        <w:t>La légère sous</w:t>
      </w:r>
      <w:r w:rsidR="006A41CF" w:rsidRPr="0067214C">
        <w:rPr>
          <w:rFonts w:ascii="Arial" w:hAnsi="Arial" w:cs="Arial"/>
          <w:sz w:val="20"/>
          <w:szCs w:val="20"/>
        </w:rPr>
        <w:noBreakHyphen/>
      </w:r>
      <w:r w:rsidRPr="0067214C">
        <w:rPr>
          <w:rFonts w:ascii="Arial" w:hAnsi="Arial" w:cs="Arial"/>
          <w:sz w:val="20"/>
          <w:szCs w:val="20"/>
        </w:rPr>
        <w:t xml:space="preserve">utilisation des ressources </w:t>
      </w:r>
      <w:r w:rsidR="00D5144F" w:rsidRPr="0067214C">
        <w:rPr>
          <w:rFonts w:ascii="Arial" w:hAnsi="Arial" w:cs="Arial"/>
          <w:sz w:val="20"/>
          <w:szCs w:val="20"/>
        </w:rPr>
        <w:t>e</w:t>
      </w:r>
      <w:r w:rsidR="00381826" w:rsidRPr="0067214C">
        <w:rPr>
          <w:rFonts w:ascii="Arial" w:hAnsi="Arial" w:cs="Arial"/>
          <w:sz w:val="20"/>
          <w:szCs w:val="20"/>
        </w:rPr>
        <w:t>n</w:t>
      </w:r>
      <w:r w:rsidR="00D5144F" w:rsidRPr="0067214C">
        <w:rPr>
          <w:rFonts w:ascii="Arial" w:hAnsi="Arial" w:cs="Arial"/>
          <w:sz w:val="20"/>
          <w:szCs w:val="20"/>
        </w:rPr>
        <w:t xml:space="preserve"> </w:t>
      </w:r>
      <w:r w:rsidRPr="0067214C">
        <w:rPr>
          <w:rFonts w:ascii="Arial" w:hAnsi="Arial" w:cs="Arial"/>
          <w:sz w:val="20"/>
          <w:szCs w:val="20"/>
        </w:rPr>
        <w:t xml:space="preserve">personnel était principalement due aux processus de recrutement </w:t>
      </w:r>
      <w:r w:rsidR="001E7869" w:rsidRPr="0067214C">
        <w:rPr>
          <w:rFonts w:ascii="Arial" w:hAnsi="Arial" w:cs="Arial"/>
          <w:sz w:val="20"/>
          <w:szCs w:val="20"/>
        </w:rPr>
        <w:t xml:space="preserve">en cours </w:t>
      </w:r>
      <w:r w:rsidRPr="0067214C">
        <w:rPr>
          <w:rFonts w:ascii="Arial" w:hAnsi="Arial" w:cs="Arial"/>
          <w:sz w:val="20"/>
          <w:szCs w:val="20"/>
        </w:rPr>
        <w:t xml:space="preserve">et aux </w:t>
      </w:r>
      <w:r w:rsidR="001E7869" w:rsidRPr="0067214C">
        <w:rPr>
          <w:rFonts w:ascii="Arial" w:hAnsi="Arial" w:cs="Arial"/>
          <w:sz w:val="20"/>
          <w:szCs w:val="20"/>
        </w:rPr>
        <w:t xml:space="preserve">contrats de travail </w:t>
      </w:r>
      <w:r w:rsidRPr="0067214C">
        <w:rPr>
          <w:rFonts w:ascii="Arial" w:hAnsi="Arial" w:cs="Arial"/>
          <w:sz w:val="20"/>
          <w:szCs w:val="20"/>
        </w:rPr>
        <w:t>à temps partiel.</w:t>
      </w:r>
    </w:p>
    <w:p w14:paraId="62E0C767" w14:textId="77777777" w:rsidR="00F96912" w:rsidRPr="00266EB9" w:rsidRDefault="000638FC" w:rsidP="0087680E">
      <w:pPr>
        <w:pStyle w:val="Heading3"/>
        <w:rPr>
          <w:iCs/>
        </w:rPr>
      </w:pPr>
      <w:r w:rsidRPr="001E6DFD">
        <w:rPr>
          <w:bCs/>
          <w:iCs/>
          <w:szCs w:val="28"/>
        </w:rPr>
        <w:br w:type="page"/>
      </w:r>
      <w:bookmarkStart w:id="76" w:name="_Toc482774622"/>
      <w:r w:rsidR="00F96912" w:rsidRPr="00266EB9">
        <w:t>Programme 23</w:t>
      </w:r>
      <w:r w:rsidR="00F96912" w:rsidRPr="00266EB9">
        <w:tab/>
      </w:r>
      <w:r w:rsidR="00F96912" w:rsidRPr="00266EB9">
        <w:rPr>
          <w:bCs/>
          <w:szCs w:val="22"/>
          <w:rtl/>
        </w:rPr>
        <w:t>‏</w:t>
      </w:r>
      <w:r w:rsidR="00F96912" w:rsidRPr="00266EB9">
        <w:t>Gestion et mise en valeur des ressources humaines</w:t>
      </w:r>
      <w:bookmarkEnd w:id="76"/>
    </w:p>
    <w:p w14:paraId="644EA796" w14:textId="77777777" w:rsidR="00F96912" w:rsidRPr="00266EB9" w:rsidRDefault="00F96912" w:rsidP="00F96912">
      <w:pPr>
        <w:tabs>
          <w:tab w:val="left" w:pos="1985"/>
        </w:tabs>
        <w:jc w:val="both"/>
        <w:rPr>
          <w:sz w:val="20"/>
        </w:rPr>
      </w:pPr>
    </w:p>
    <w:p w14:paraId="38801848" w14:textId="77777777" w:rsidR="00F96912" w:rsidRPr="00266EB9" w:rsidRDefault="00F96912" w:rsidP="00F96912">
      <w:pPr>
        <w:tabs>
          <w:tab w:val="left" w:pos="1985"/>
        </w:tabs>
        <w:rPr>
          <w:b/>
          <w:sz w:val="20"/>
        </w:rPr>
      </w:pPr>
      <w:r w:rsidRPr="00266EB9">
        <w:rPr>
          <w:b/>
          <w:sz w:val="20"/>
        </w:rPr>
        <w:t>Chef de programme</w:t>
      </w:r>
      <w:r w:rsidRPr="00266EB9">
        <w:rPr>
          <w:sz w:val="20"/>
        </w:rPr>
        <w:tab/>
      </w:r>
      <w:r w:rsidRPr="00266EB9">
        <w:rPr>
          <w:b/>
          <w:sz w:val="20"/>
        </w:rPr>
        <w:t>Le Directeur général</w:t>
      </w:r>
    </w:p>
    <w:p w14:paraId="2530667D" w14:textId="77777777" w:rsidR="00F96912" w:rsidRPr="00266EB9" w:rsidRDefault="00F96912" w:rsidP="00F96912">
      <w:pPr>
        <w:jc w:val="center"/>
        <w:rPr>
          <w:sz w:val="20"/>
        </w:rPr>
      </w:pPr>
      <w:r w:rsidRPr="00266EB9">
        <w:rPr>
          <w:noProof/>
          <w:lang w:val="en-US"/>
        </w:rPr>
        <w:drawing>
          <wp:inline distT="0" distB="0" distL="0" distR="0" wp14:anchorId="7AA99EBF" wp14:editId="583C00CB">
            <wp:extent cx="3964540" cy="2736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64540"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64"/>
        <w:gridCol w:w="2322"/>
        <w:gridCol w:w="1517"/>
        <w:gridCol w:w="2234"/>
        <w:gridCol w:w="1250"/>
      </w:tblGrid>
      <w:tr w:rsidR="00F96912" w:rsidRPr="00266EB9" w14:paraId="297AF3C9" w14:textId="77777777" w:rsidTr="006658D5">
        <w:trPr>
          <w:cantSplit/>
        </w:trPr>
        <w:tc>
          <w:tcPr>
            <w:tcW w:w="5000" w:type="pct"/>
            <w:gridSpan w:val="5"/>
            <w:shd w:val="clear" w:color="auto" w:fill="C6D9F1" w:themeFill="text2" w:themeFillTint="33"/>
            <w:tcMar>
              <w:left w:w="108" w:type="dxa"/>
              <w:right w:w="108" w:type="dxa"/>
            </w:tcMar>
            <w:vAlign w:val="center"/>
          </w:tcPr>
          <w:p w14:paraId="4CD88534" w14:textId="77777777" w:rsidR="00F96912" w:rsidRPr="00266EB9" w:rsidRDefault="00F96912" w:rsidP="006658D5">
            <w:pPr>
              <w:keepNext/>
              <w:keepLines/>
              <w:tabs>
                <w:tab w:val="left" w:pos="1452"/>
              </w:tabs>
              <w:rPr>
                <w:b/>
                <w:bCs/>
                <w:sz w:val="16"/>
                <w:szCs w:val="16"/>
              </w:rPr>
            </w:pPr>
            <w:r w:rsidRPr="00266EB9">
              <w:rPr>
                <w:b/>
                <w:bCs/>
                <w:sz w:val="16"/>
                <w:szCs w:val="16"/>
              </w:rPr>
              <w:t>Résultat escompté :</w:t>
            </w:r>
            <w:r w:rsidRPr="00266EB9">
              <w:rPr>
                <w:bCs/>
                <w:sz w:val="16"/>
                <w:szCs w:val="16"/>
              </w:rPr>
              <w:t xml:space="preserve"> IX.1 Services d’appui efficaces, efficients, de qualité et tournés vers la clientèle, à l’intention à la fois des clients internes et des parties prenantes externes</w:t>
            </w:r>
          </w:p>
        </w:tc>
      </w:tr>
      <w:tr w:rsidR="00F96912" w:rsidRPr="00266EB9" w14:paraId="401B2D96" w14:textId="77777777" w:rsidTr="006658D5">
        <w:trPr>
          <w:cantSplit/>
        </w:trPr>
        <w:tc>
          <w:tcPr>
            <w:tcW w:w="1057" w:type="pct"/>
            <w:shd w:val="clear" w:color="auto" w:fill="auto"/>
            <w:tcMar>
              <w:left w:w="108" w:type="dxa"/>
              <w:right w:w="108" w:type="dxa"/>
            </w:tcMar>
            <w:vAlign w:val="center"/>
          </w:tcPr>
          <w:p w14:paraId="6CE71BF7" w14:textId="77777777" w:rsidR="00F96912" w:rsidRPr="00266EB9" w:rsidRDefault="00F96912" w:rsidP="006658D5">
            <w:pPr>
              <w:jc w:val="center"/>
              <w:rPr>
                <w:b/>
                <w:bCs/>
                <w:sz w:val="16"/>
                <w:szCs w:val="16"/>
              </w:rPr>
            </w:pPr>
            <w:r w:rsidRPr="00266EB9">
              <w:rPr>
                <w:b/>
                <w:bCs/>
                <w:sz w:val="16"/>
                <w:szCs w:val="16"/>
              </w:rPr>
              <w:t>Indicateurs d’exécution</w:t>
            </w:r>
          </w:p>
        </w:tc>
        <w:tc>
          <w:tcPr>
            <w:tcW w:w="1250" w:type="pct"/>
            <w:shd w:val="clear" w:color="auto" w:fill="auto"/>
            <w:tcMar>
              <w:left w:w="108" w:type="dxa"/>
              <w:right w:w="108" w:type="dxa"/>
            </w:tcMar>
            <w:vAlign w:val="center"/>
          </w:tcPr>
          <w:p w14:paraId="7928CA8A" w14:textId="77777777" w:rsidR="00F96912" w:rsidRPr="00266EB9" w:rsidRDefault="00F96912" w:rsidP="006658D5">
            <w:pPr>
              <w:jc w:val="center"/>
              <w:rPr>
                <w:b/>
                <w:bCs/>
                <w:sz w:val="16"/>
                <w:szCs w:val="16"/>
              </w:rPr>
            </w:pPr>
            <w:r w:rsidRPr="00266EB9">
              <w:rPr>
                <w:b/>
                <w:bCs/>
                <w:sz w:val="16"/>
                <w:szCs w:val="16"/>
              </w:rPr>
              <w:t>Niveaux de référence</w:t>
            </w:r>
          </w:p>
        </w:tc>
        <w:tc>
          <w:tcPr>
            <w:tcW w:w="817" w:type="pct"/>
            <w:shd w:val="clear" w:color="auto" w:fill="auto"/>
            <w:tcMar>
              <w:top w:w="57" w:type="dxa"/>
              <w:left w:w="108" w:type="dxa"/>
              <w:right w:w="108" w:type="dxa"/>
            </w:tcMar>
            <w:vAlign w:val="center"/>
          </w:tcPr>
          <w:p w14:paraId="2CEEFB0F" w14:textId="77777777" w:rsidR="00F96912" w:rsidRPr="00266EB9" w:rsidRDefault="00F96912" w:rsidP="006658D5">
            <w:pPr>
              <w:jc w:val="center"/>
              <w:rPr>
                <w:b/>
                <w:bCs/>
                <w:sz w:val="16"/>
                <w:szCs w:val="16"/>
              </w:rPr>
            </w:pPr>
            <w:r w:rsidRPr="00266EB9">
              <w:rPr>
                <w:b/>
                <w:bCs/>
                <w:sz w:val="16"/>
                <w:szCs w:val="16"/>
              </w:rPr>
              <w:t>Objectifs visés</w:t>
            </w:r>
          </w:p>
        </w:tc>
        <w:tc>
          <w:tcPr>
            <w:tcW w:w="1203" w:type="pct"/>
            <w:shd w:val="clear" w:color="auto" w:fill="FFFFFF"/>
            <w:tcMar>
              <w:top w:w="57" w:type="dxa"/>
              <w:left w:w="108" w:type="dxa"/>
              <w:right w:w="108" w:type="dxa"/>
            </w:tcMar>
            <w:vAlign w:val="center"/>
          </w:tcPr>
          <w:p w14:paraId="672229B7" w14:textId="77777777" w:rsidR="00F96912" w:rsidRPr="00266EB9" w:rsidRDefault="00F96912" w:rsidP="006658D5">
            <w:pPr>
              <w:jc w:val="center"/>
              <w:rPr>
                <w:b/>
                <w:bCs/>
                <w:sz w:val="16"/>
                <w:szCs w:val="16"/>
              </w:rPr>
            </w:pPr>
            <w:r w:rsidRPr="00266EB9">
              <w:rPr>
                <w:b/>
                <w:bCs/>
                <w:sz w:val="16"/>
                <w:szCs w:val="16"/>
              </w:rPr>
              <w:t>Données relatives à l’exécution</w:t>
            </w:r>
          </w:p>
        </w:tc>
        <w:tc>
          <w:tcPr>
            <w:tcW w:w="673" w:type="pct"/>
            <w:shd w:val="clear" w:color="auto" w:fill="auto"/>
            <w:tcMar>
              <w:top w:w="57" w:type="dxa"/>
              <w:left w:w="108" w:type="dxa"/>
              <w:right w:w="108" w:type="dxa"/>
            </w:tcMar>
            <w:vAlign w:val="center"/>
          </w:tcPr>
          <w:p w14:paraId="24A74552" w14:textId="77777777" w:rsidR="00F96912" w:rsidRPr="00266EB9" w:rsidRDefault="00F96912" w:rsidP="006658D5">
            <w:pPr>
              <w:jc w:val="center"/>
              <w:rPr>
                <w:b/>
                <w:bCs/>
                <w:sz w:val="16"/>
                <w:szCs w:val="16"/>
              </w:rPr>
            </w:pPr>
            <w:r w:rsidRPr="00266EB9">
              <w:rPr>
                <w:b/>
                <w:bCs/>
                <w:sz w:val="16"/>
                <w:szCs w:val="16"/>
              </w:rPr>
              <w:t>Code d’évaluation</w:t>
            </w:r>
          </w:p>
        </w:tc>
      </w:tr>
      <w:tr w:rsidR="00F96912" w:rsidRPr="00266EB9" w14:paraId="3E2E8996" w14:textId="77777777" w:rsidTr="006658D5">
        <w:trPr>
          <w:cantSplit/>
        </w:trPr>
        <w:tc>
          <w:tcPr>
            <w:tcW w:w="1057" w:type="pct"/>
            <w:shd w:val="clear" w:color="auto" w:fill="auto"/>
            <w:tcMar>
              <w:left w:w="108" w:type="dxa"/>
              <w:right w:w="108" w:type="dxa"/>
            </w:tcMar>
          </w:tcPr>
          <w:p w14:paraId="6DB0A250" w14:textId="77777777" w:rsidR="00F96912" w:rsidRPr="00266EB9" w:rsidRDefault="00F96912" w:rsidP="006658D5">
            <w:pPr>
              <w:rPr>
                <w:color w:val="000000"/>
                <w:sz w:val="16"/>
                <w:szCs w:val="16"/>
              </w:rPr>
            </w:pPr>
            <w:r w:rsidRPr="00266EB9">
              <w:rPr>
                <w:sz w:val="16"/>
                <w:szCs w:val="16"/>
              </w:rPr>
              <w:t>Pourcentage du personnel satisfait des services des ressources humaines</w:t>
            </w:r>
          </w:p>
        </w:tc>
        <w:tc>
          <w:tcPr>
            <w:tcW w:w="1250" w:type="pct"/>
            <w:shd w:val="clear" w:color="auto" w:fill="auto"/>
            <w:tcMar>
              <w:left w:w="108" w:type="dxa"/>
              <w:right w:w="108" w:type="dxa"/>
            </w:tcMar>
          </w:tcPr>
          <w:p w14:paraId="2C4FDA90" w14:textId="77777777" w:rsidR="00F96912" w:rsidRPr="002655A7" w:rsidRDefault="00F96912" w:rsidP="006658D5">
            <w:pPr>
              <w:rPr>
                <w:i/>
                <w:color w:val="002060"/>
                <w:sz w:val="16"/>
                <w:szCs w:val="16"/>
              </w:rPr>
            </w:pPr>
            <w:r w:rsidRPr="00266EB9">
              <w:rPr>
                <w:i/>
                <w:color w:val="002060"/>
                <w:sz w:val="16"/>
                <w:szCs w:val="16"/>
              </w:rPr>
              <w:t>Niveau de référence actualisé à</w:t>
            </w:r>
            <w:r w:rsidRPr="002655A7">
              <w:rPr>
                <w:i/>
                <w:color w:val="002060"/>
                <w:sz w:val="16"/>
                <w:szCs w:val="16"/>
              </w:rPr>
              <w:t xml:space="preserve"> fin 2015 :</w:t>
            </w:r>
          </w:p>
          <w:p w14:paraId="0E8097C3" w14:textId="77777777" w:rsidR="00F96912" w:rsidRPr="002655A7" w:rsidRDefault="00F96912" w:rsidP="006658D5">
            <w:pPr>
              <w:rPr>
                <w:color w:val="002060"/>
                <w:sz w:val="16"/>
                <w:szCs w:val="16"/>
              </w:rPr>
            </w:pPr>
            <w:r w:rsidRPr="002655A7">
              <w:rPr>
                <w:color w:val="002060"/>
                <w:sz w:val="16"/>
                <w:szCs w:val="16"/>
              </w:rPr>
              <w:t>Aucune enquête n’a été menée en 2014</w:t>
            </w:r>
            <w:r w:rsidRPr="002655A7">
              <w:rPr>
                <w:color w:val="002060"/>
                <w:sz w:val="16"/>
                <w:szCs w:val="16"/>
              </w:rPr>
              <w:noBreakHyphen/>
              <w:t>2015</w:t>
            </w:r>
          </w:p>
          <w:p w14:paraId="764AD852" w14:textId="77777777" w:rsidR="00F96912" w:rsidRPr="00266EB9" w:rsidRDefault="00F96912" w:rsidP="006658D5">
            <w:pPr>
              <w:rPr>
                <w:color w:val="000000"/>
                <w:sz w:val="16"/>
                <w:szCs w:val="16"/>
              </w:rPr>
            </w:pPr>
          </w:p>
          <w:p w14:paraId="3059C2BE"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7E90BDB9" w14:textId="77777777" w:rsidR="00F96912" w:rsidRPr="00266EB9" w:rsidRDefault="00F96912" w:rsidP="006658D5">
            <w:pPr>
              <w:rPr>
                <w:color w:val="000000"/>
                <w:sz w:val="16"/>
                <w:szCs w:val="16"/>
              </w:rPr>
            </w:pPr>
            <w:r w:rsidRPr="00266EB9">
              <w:rPr>
                <w:sz w:val="16"/>
                <w:szCs w:val="16"/>
              </w:rPr>
              <w:t>Très satisfaits : 30,8%</w:t>
            </w:r>
            <w:r w:rsidRPr="00266EB9">
              <w:rPr>
                <w:color w:val="000000"/>
                <w:sz w:val="16"/>
                <w:szCs w:val="16"/>
              </w:rPr>
              <w:br/>
              <w:t>S</w:t>
            </w:r>
            <w:r w:rsidRPr="00266EB9">
              <w:rPr>
                <w:sz w:val="16"/>
                <w:szCs w:val="16"/>
              </w:rPr>
              <w:t>atisfaits : 49,1%</w:t>
            </w:r>
            <w:r w:rsidRPr="00266EB9">
              <w:rPr>
                <w:sz w:val="16"/>
                <w:szCs w:val="16"/>
              </w:rPr>
              <w:br/>
            </w:r>
            <w:r w:rsidRPr="00266EB9">
              <w:rPr>
                <w:color w:val="000000"/>
                <w:sz w:val="16"/>
                <w:szCs w:val="16"/>
              </w:rPr>
              <w:t>Mé</w:t>
            </w:r>
            <w:r w:rsidRPr="00266EB9">
              <w:rPr>
                <w:sz w:val="16"/>
                <w:szCs w:val="16"/>
              </w:rPr>
              <w:t>contents : 17,6%</w:t>
            </w:r>
            <w:r w:rsidRPr="00266EB9">
              <w:rPr>
                <w:sz w:val="16"/>
                <w:szCs w:val="16"/>
              </w:rPr>
              <w:br/>
              <w:t>T</w:t>
            </w:r>
            <w:r w:rsidRPr="00266EB9">
              <w:rPr>
                <w:color w:val="000000"/>
                <w:sz w:val="16"/>
                <w:szCs w:val="16"/>
              </w:rPr>
              <w:t>rè</w:t>
            </w:r>
            <w:r w:rsidRPr="00266EB9">
              <w:rPr>
                <w:sz w:val="16"/>
                <w:szCs w:val="16"/>
              </w:rPr>
              <w:t>s mécontents : 2,5%</w:t>
            </w:r>
          </w:p>
        </w:tc>
        <w:tc>
          <w:tcPr>
            <w:tcW w:w="817" w:type="pct"/>
            <w:shd w:val="clear" w:color="auto" w:fill="auto"/>
            <w:tcMar>
              <w:top w:w="57" w:type="dxa"/>
              <w:left w:w="108" w:type="dxa"/>
              <w:right w:w="108" w:type="dxa"/>
            </w:tcMar>
          </w:tcPr>
          <w:p w14:paraId="11CB6615" w14:textId="77777777" w:rsidR="00F96912" w:rsidRPr="00266EB9" w:rsidRDefault="00F96912" w:rsidP="006658D5">
            <w:pPr>
              <w:rPr>
                <w:color w:val="000000"/>
                <w:sz w:val="16"/>
                <w:szCs w:val="16"/>
              </w:rPr>
            </w:pPr>
            <w:r w:rsidRPr="00266EB9">
              <w:rPr>
                <w:sz w:val="16"/>
                <w:szCs w:val="16"/>
              </w:rPr>
              <w:t>Très satisfaits ou satisfaits : 85%</w:t>
            </w:r>
          </w:p>
        </w:tc>
        <w:tc>
          <w:tcPr>
            <w:tcW w:w="1203" w:type="pct"/>
            <w:shd w:val="clear" w:color="auto" w:fill="FFFFFF"/>
            <w:tcMar>
              <w:top w:w="57" w:type="dxa"/>
              <w:left w:w="108" w:type="dxa"/>
              <w:right w:w="108" w:type="dxa"/>
            </w:tcMar>
          </w:tcPr>
          <w:p w14:paraId="4318017B" w14:textId="77777777" w:rsidR="00F96912" w:rsidRPr="00266EB9" w:rsidRDefault="00F96912" w:rsidP="006658D5">
            <w:pPr>
              <w:rPr>
                <w:color w:val="E36C0A" w:themeColor="accent6" w:themeShade="BF"/>
                <w:sz w:val="16"/>
                <w:szCs w:val="16"/>
              </w:rPr>
            </w:pPr>
            <w:r w:rsidRPr="00266EB9">
              <w:rPr>
                <w:sz w:val="16"/>
                <w:szCs w:val="16"/>
              </w:rPr>
              <w:t>Une enquête sera menée à la fin de l’exercice biennal</w:t>
            </w:r>
          </w:p>
        </w:tc>
        <w:tc>
          <w:tcPr>
            <w:tcW w:w="673" w:type="pct"/>
            <w:shd w:val="clear" w:color="auto" w:fill="auto"/>
            <w:tcMar>
              <w:top w:w="57" w:type="dxa"/>
              <w:left w:w="108" w:type="dxa"/>
              <w:right w:w="108" w:type="dxa"/>
            </w:tcMar>
          </w:tcPr>
          <w:p w14:paraId="0AFD9AF6" w14:textId="77777777" w:rsidR="00F96912" w:rsidRPr="00266EB9" w:rsidRDefault="00F96912" w:rsidP="006658D5">
            <w:pPr>
              <w:keepNext/>
              <w:keepLines/>
              <w:jc w:val="center"/>
              <w:rPr>
                <w:b/>
                <w:color w:val="E36C0A" w:themeColor="accent6" w:themeShade="BF"/>
                <w:sz w:val="16"/>
                <w:szCs w:val="16"/>
              </w:rPr>
            </w:pPr>
            <w:proofErr w:type="spellStart"/>
            <w:r w:rsidRPr="00266EB9">
              <w:rPr>
                <w:b/>
                <w:color w:val="0070C0"/>
                <w:sz w:val="16"/>
                <w:szCs w:val="16"/>
              </w:rPr>
              <w:t>n.d</w:t>
            </w:r>
            <w:proofErr w:type="spellEnd"/>
            <w:r w:rsidRPr="00266EB9">
              <w:rPr>
                <w:b/>
                <w:color w:val="0070C0"/>
                <w:sz w:val="16"/>
                <w:szCs w:val="16"/>
              </w:rPr>
              <w:t>. pour 2016</w:t>
            </w:r>
          </w:p>
        </w:tc>
      </w:tr>
      <w:tr w:rsidR="00F96912" w:rsidRPr="00266EB9" w14:paraId="4BE1B4DE" w14:textId="77777777" w:rsidTr="006658D5">
        <w:trPr>
          <w:cantSplit/>
        </w:trPr>
        <w:tc>
          <w:tcPr>
            <w:tcW w:w="1057" w:type="pct"/>
            <w:shd w:val="clear" w:color="auto" w:fill="auto"/>
            <w:tcMar>
              <w:left w:w="108" w:type="dxa"/>
              <w:right w:w="108" w:type="dxa"/>
            </w:tcMar>
          </w:tcPr>
          <w:p w14:paraId="1A611E81" w14:textId="77777777" w:rsidR="00F96912" w:rsidRPr="00266EB9" w:rsidRDefault="00F96912" w:rsidP="006658D5">
            <w:pPr>
              <w:rPr>
                <w:color w:val="000000"/>
                <w:sz w:val="16"/>
                <w:szCs w:val="16"/>
              </w:rPr>
            </w:pPr>
            <w:r w:rsidRPr="00266EB9">
              <w:rPr>
                <w:sz w:val="16"/>
                <w:szCs w:val="16"/>
              </w:rPr>
              <w:t>Augmentation d’activités gérées automatiquement par rapport aux actions gérées manuellement</w:t>
            </w:r>
          </w:p>
        </w:tc>
        <w:tc>
          <w:tcPr>
            <w:tcW w:w="1250" w:type="pct"/>
            <w:shd w:val="clear" w:color="auto" w:fill="auto"/>
            <w:tcMar>
              <w:left w:w="108" w:type="dxa"/>
              <w:right w:w="108" w:type="dxa"/>
            </w:tcMar>
          </w:tcPr>
          <w:p w14:paraId="1ADBFAA1" w14:textId="77777777" w:rsidR="00F96912" w:rsidRPr="00266EB9" w:rsidRDefault="00F96912" w:rsidP="006658D5">
            <w:pPr>
              <w:rPr>
                <w:i/>
                <w:color w:val="002060"/>
                <w:sz w:val="16"/>
                <w:szCs w:val="16"/>
              </w:rPr>
            </w:pPr>
            <w:r w:rsidRPr="00266EB9">
              <w:rPr>
                <w:i/>
                <w:color w:val="002060"/>
                <w:sz w:val="16"/>
                <w:szCs w:val="16"/>
              </w:rPr>
              <w:t>Niveau de référence actualisé à fin 2015 :</w:t>
            </w:r>
          </w:p>
          <w:p w14:paraId="042ABC12" w14:textId="77777777" w:rsidR="00F96912" w:rsidRPr="00266EB9" w:rsidRDefault="00F96912" w:rsidP="006658D5">
            <w:pPr>
              <w:rPr>
                <w:color w:val="002060"/>
                <w:sz w:val="16"/>
                <w:szCs w:val="16"/>
              </w:rPr>
            </w:pPr>
            <w:r w:rsidRPr="00266EB9">
              <w:rPr>
                <w:color w:val="002060"/>
                <w:sz w:val="16"/>
                <w:szCs w:val="16"/>
              </w:rPr>
              <w:t>3 processus sont automatisés, sur un total de 18 (17%) :</w:t>
            </w:r>
          </w:p>
          <w:p w14:paraId="767DC040" w14:textId="77777777" w:rsidR="00F96912" w:rsidRPr="00266EB9" w:rsidRDefault="00F96912" w:rsidP="006658D5">
            <w:pPr>
              <w:rPr>
                <w:color w:val="002060"/>
                <w:sz w:val="16"/>
                <w:szCs w:val="16"/>
              </w:rPr>
            </w:pPr>
            <w:r w:rsidRPr="00266EB9">
              <w:rPr>
                <w:color w:val="002060"/>
                <w:sz w:val="16"/>
                <w:szCs w:val="16"/>
              </w:rPr>
              <w:t>– Calcul des promotions</w:t>
            </w:r>
          </w:p>
          <w:p w14:paraId="51453C8D" w14:textId="77777777" w:rsidR="00F96912" w:rsidRPr="00266EB9" w:rsidRDefault="00F96912" w:rsidP="006658D5">
            <w:pPr>
              <w:rPr>
                <w:color w:val="002060"/>
                <w:sz w:val="16"/>
                <w:szCs w:val="16"/>
              </w:rPr>
            </w:pPr>
            <w:r w:rsidRPr="00266EB9">
              <w:rPr>
                <w:color w:val="002060"/>
                <w:sz w:val="16"/>
                <w:szCs w:val="16"/>
              </w:rPr>
              <w:t>– Dépôt en libre</w:t>
            </w:r>
            <w:r>
              <w:rPr>
                <w:color w:val="002060"/>
                <w:sz w:val="16"/>
                <w:szCs w:val="16"/>
              </w:rPr>
              <w:noBreakHyphen/>
            </w:r>
            <w:r w:rsidRPr="00266EB9">
              <w:rPr>
                <w:color w:val="002060"/>
                <w:sz w:val="16"/>
                <w:szCs w:val="16"/>
              </w:rPr>
              <w:t>service et calcul de l’indemnité pour frais d’études</w:t>
            </w:r>
          </w:p>
          <w:p w14:paraId="6830DD3D" w14:textId="77777777" w:rsidR="00F96912" w:rsidRPr="00266EB9" w:rsidRDefault="00F96912" w:rsidP="006658D5">
            <w:pPr>
              <w:rPr>
                <w:color w:val="002060"/>
                <w:sz w:val="16"/>
                <w:szCs w:val="16"/>
              </w:rPr>
            </w:pPr>
            <w:r w:rsidRPr="00266EB9">
              <w:rPr>
                <w:color w:val="002060"/>
                <w:sz w:val="16"/>
                <w:szCs w:val="16"/>
              </w:rPr>
              <w:t>– Nouvel enfant à charge</w:t>
            </w:r>
          </w:p>
          <w:p w14:paraId="35A45C34" w14:textId="77777777" w:rsidR="00F96912" w:rsidRPr="00266EB9" w:rsidRDefault="00F96912" w:rsidP="006658D5">
            <w:pPr>
              <w:rPr>
                <w:color w:val="000000"/>
                <w:sz w:val="16"/>
                <w:szCs w:val="16"/>
              </w:rPr>
            </w:pPr>
          </w:p>
          <w:p w14:paraId="7D721812"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1D125AEF" w14:textId="77777777" w:rsidR="00F96912" w:rsidRPr="00266EB9" w:rsidRDefault="00F96912" w:rsidP="006658D5">
            <w:pPr>
              <w:rPr>
                <w:color w:val="000000"/>
                <w:sz w:val="16"/>
                <w:szCs w:val="16"/>
              </w:rPr>
            </w:pPr>
            <w:r w:rsidRPr="00266EB9">
              <w:rPr>
                <w:color w:val="000000"/>
                <w:sz w:val="16"/>
                <w:szCs w:val="16"/>
              </w:rPr>
              <w:t>0%</w:t>
            </w:r>
          </w:p>
        </w:tc>
        <w:tc>
          <w:tcPr>
            <w:tcW w:w="817" w:type="pct"/>
            <w:shd w:val="clear" w:color="auto" w:fill="auto"/>
            <w:tcMar>
              <w:top w:w="57" w:type="dxa"/>
              <w:left w:w="108" w:type="dxa"/>
              <w:right w:w="108" w:type="dxa"/>
            </w:tcMar>
          </w:tcPr>
          <w:p w14:paraId="643747FB" w14:textId="77777777" w:rsidR="00F96912" w:rsidRPr="00266EB9" w:rsidRDefault="00F96912" w:rsidP="006658D5">
            <w:pPr>
              <w:rPr>
                <w:color w:val="000000"/>
                <w:sz w:val="16"/>
                <w:szCs w:val="16"/>
              </w:rPr>
            </w:pPr>
            <w:r w:rsidRPr="00266EB9">
              <w:rPr>
                <w:color w:val="000000"/>
                <w:sz w:val="16"/>
                <w:szCs w:val="16"/>
              </w:rPr>
              <w:t>67%</w:t>
            </w:r>
          </w:p>
        </w:tc>
        <w:tc>
          <w:tcPr>
            <w:tcW w:w="1203" w:type="pct"/>
            <w:shd w:val="clear" w:color="auto" w:fill="FFFFFF"/>
            <w:tcMar>
              <w:top w:w="57" w:type="dxa"/>
              <w:left w:w="108" w:type="dxa"/>
              <w:right w:w="108" w:type="dxa"/>
            </w:tcMar>
          </w:tcPr>
          <w:p w14:paraId="37D15B20" w14:textId="77777777" w:rsidR="00F96912" w:rsidRPr="00266EB9" w:rsidRDefault="00F96912" w:rsidP="006658D5">
            <w:pPr>
              <w:rPr>
                <w:sz w:val="16"/>
                <w:szCs w:val="16"/>
              </w:rPr>
            </w:pPr>
            <w:r w:rsidRPr="00266EB9">
              <w:rPr>
                <w:sz w:val="16"/>
                <w:szCs w:val="16"/>
              </w:rPr>
              <w:t>5 processus supplémentaires ont été automatisés en 2016 :</w:t>
            </w:r>
          </w:p>
          <w:p w14:paraId="75A1A686" w14:textId="77777777" w:rsidR="00F96912" w:rsidRPr="00266EB9" w:rsidRDefault="00F96912" w:rsidP="006658D5">
            <w:pPr>
              <w:rPr>
                <w:sz w:val="16"/>
                <w:szCs w:val="16"/>
              </w:rPr>
            </w:pPr>
            <w:r w:rsidRPr="00266EB9">
              <w:rPr>
                <w:sz w:val="16"/>
                <w:szCs w:val="16"/>
              </w:rPr>
              <w:t>– Dépôt des documents pour charges de famille (phase 1)</w:t>
            </w:r>
          </w:p>
          <w:p w14:paraId="557E62F5" w14:textId="77777777" w:rsidR="00F96912" w:rsidRPr="00266EB9" w:rsidRDefault="00F96912" w:rsidP="006658D5">
            <w:pPr>
              <w:rPr>
                <w:sz w:val="16"/>
                <w:szCs w:val="16"/>
              </w:rPr>
            </w:pPr>
            <w:r w:rsidRPr="00266EB9">
              <w:rPr>
                <w:sz w:val="16"/>
                <w:szCs w:val="16"/>
              </w:rPr>
              <w:t>– Calcul de l’allocation</w:t>
            </w:r>
            <w:r>
              <w:rPr>
                <w:sz w:val="16"/>
                <w:szCs w:val="16"/>
              </w:rPr>
              <w:noBreakHyphen/>
            </w:r>
            <w:r w:rsidRPr="00266EB9">
              <w:rPr>
                <w:sz w:val="16"/>
                <w:szCs w:val="16"/>
              </w:rPr>
              <w:t>logement</w:t>
            </w:r>
          </w:p>
          <w:p w14:paraId="6CA729A4" w14:textId="77777777" w:rsidR="00F96912" w:rsidRPr="00266EB9" w:rsidRDefault="00F96912" w:rsidP="006658D5">
            <w:pPr>
              <w:rPr>
                <w:sz w:val="16"/>
                <w:szCs w:val="16"/>
              </w:rPr>
            </w:pPr>
            <w:r w:rsidRPr="00266EB9">
              <w:rPr>
                <w:sz w:val="16"/>
                <w:szCs w:val="16"/>
              </w:rPr>
              <w:t>– Saisie et modification de l’adresse en libre</w:t>
            </w:r>
            <w:r>
              <w:rPr>
                <w:sz w:val="16"/>
                <w:szCs w:val="16"/>
              </w:rPr>
              <w:noBreakHyphen/>
            </w:r>
            <w:r w:rsidRPr="00266EB9">
              <w:rPr>
                <w:sz w:val="16"/>
                <w:szCs w:val="16"/>
              </w:rPr>
              <w:t>service</w:t>
            </w:r>
          </w:p>
          <w:p w14:paraId="63F57435" w14:textId="77777777" w:rsidR="00F96912" w:rsidRPr="00266EB9" w:rsidRDefault="00F96912" w:rsidP="006658D5">
            <w:pPr>
              <w:rPr>
                <w:sz w:val="16"/>
                <w:szCs w:val="16"/>
              </w:rPr>
            </w:pPr>
            <w:r w:rsidRPr="00266EB9">
              <w:rPr>
                <w:sz w:val="16"/>
                <w:szCs w:val="16"/>
              </w:rPr>
              <w:t>– Déduction du salaire de la prime pour l’assurance perte de gains GPAFI</w:t>
            </w:r>
          </w:p>
          <w:p w14:paraId="5A780A37" w14:textId="09BD9F95" w:rsidR="00F96912" w:rsidRPr="00266EB9" w:rsidRDefault="00493738" w:rsidP="006658D5">
            <w:pPr>
              <w:rPr>
                <w:sz w:val="16"/>
                <w:szCs w:val="16"/>
              </w:rPr>
            </w:pPr>
            <w:r>
              <w:rPr>
                <w:sz w:val="16"/>
                <w:szCs w:val="16"/>
              </w:rPr>
              <w:t>– Congés et absences</w:t>
            </w:r>
          </w:p>
          <w:p w14:paraId="4A2CCE93" w14:textId="77777777" w:rsidR="00F96912" w:rsidRPr="00266EB9" w:rsidRDefault="00F96912" w:rsidP="006658D5">
            <w:pPr>
              <w:rPr>
                <w:sz w:val="16"/>
                <w:szCs w:val="16"/>
              </w:rPr>
            </w:pPr>
            <w:r w:rsidRPr="00266EB9">
              <w:rPr>
                <w:sz w:val="16"/>
                <w:szCs w:val="16"/>
              </w:rPr>
              <w:t>– Déduction de la pension pour l’assurance maladie après la cessation de service</w:t>
            </w:r>
          </w:p>
          <w:p w14:paraId="33FDBB24" w14:textId="77777777" w:rsidR="00F96912" w:rsidRPr="00266EB9" w:rsidRDefault="00F96912" w:rsidP="006658D5">
            <w:pPr>
              <w:pStyle w:val="ListParagraph"/>
              <w:ind w:left="0"/>
              <w:rPr>
                <w:rFonts w:ascii="Arial" w:hAnsi="Arial" w:cs="Arial"/>
                <w:sz w:val="16"/>
                <w:szCs w:val="16"/>
              </w:rPr>
            </w:pPr>
            <w:r w:rsidRPr="00266EB9">
              <w:rPr>
                <w:rFonts w:ascii="Arial" w:hAnsi="Arial" w:cs="Arial"/>
                <w:sz w:val="16"/>
                <w:szCs w:val="16"/>
              </w:rPr>
              <w:t>8 sur 18 (44%) (au total)</w:t>
            </w:r>
          </w:p>
        </w:tc>
        <w:tc>
          <w:tcPr>
            <w:tcW w:w="673" w:type="pct"/>
            <w:shd w:val="clear" w:color="auto" w:fill="auto"/>
            <w:tcMar>
              <w:top w:w="57" w:type="dxa"/>
              <w:left w:w="108" w:type="dxa"/>
              <w:right w:w="108" w:type="dxa"/>
            </w:tcMar>
          </w:tcPr>
          <w:p w14:paraId="28011079" w14:textId="77777777" w:rsidR="00F96912" w:rsidRPr="00266EB9" w:rsidRDefault="00F96912" w:rsidP="006658D5">
            <w:pPr>
              <w:keepNext/>
              <w:keepLines/>
              <w:jc w:val="center"/>
              <w:rPr>
                <w:b/>
                <w:color w:val="000000"/>
                <w:sz w:val="16"/>
                <w:szCs w:val="16"/>
              </w:rPr>
            </w:pPr>
            <w:r w:rsidRPr="00266EB9">
              <w:rPr>
                <w:b/>
                <w:color w:val="00B050"/>
                <w:sz w:val="16"/>
                <w:szCs w:val="16"/>
              </w:rPr>
              <w:t>En bonne voie</w:t>
            </w:r>
          </w:p>
        </w:tc>
      </w:tr>
      <w:tr w:rsidR="00F96912" w:rsidRPr="00266EB9" w14:paraId="164E0415" w14:textId="77777777" w:rsidTr="006658D5">
        <w:trPr>
          <w:cantSplit/>
        </w:trPr>
        <w:tc>
          <w:tcPr>
            <w:tcW w:w="1057" w:type="pct"/>
            <w:shd w:val="clear" w:color="auto" w:fill="auto"/>
            <w:tcMar>
              <w:left w:w="108" w:type="dxa"/>
              <w:right w:w="108" w:type="dxa"/>
            </w:tcMar>
          </w:tcPr>
          <w:p w14:paraId="2CE48A5B" w14:textId="77777777" w:rsidR="00F96912" w:rsidRPr="00266EB9" w:rsidRDefault="00F96912" w:rsidP="006658D5">
            <w:pPr>
              <w:rPr>
                <w:color w:val="000000"/>
                <w:sz w:val="16"/>
                <w:szCs w:val="16"/>
              </w:rPr>
            </w:pPr>
            <w:r w:rsidRPr="00266EB9">
              <w:rPr>
                <w:sz w:val="16"/>
                <w:szCs w:val="16"/>
              </w:rPr>
              <w:t>Pourcentage des requêtes traitées en moins de cinq jours ouvrables</w:t>
            </w:r>
          </w:p>
          <w:p w14:paraId="569C9980" w14:textId="77777777" w:rsidR="00F96912" w:rsidRPr="00266EB9" w:rsidRDefault="00F96912" w:rsidP="006658D5">
            <w:pPr>
              <w:rPr>
                <w:color w:val="000000"/>
                <w:sz w:val="16"/>
                <w:szCs w:val="16"/>
              </w:rPr>
            </w:pPr>
          </w:p>
        </w:tc>
        <w:tc>
          <w:tcPr>
            <w:tcW w:w="1250" w:type="pct"/>
            <w:shd w:val="clear" w:color="auto" w:fill="auto"/>
            <w:tcMar>
              <w:left w:w="108" w:type="dxa"/>
              <w:right w:w="108" w:type="dxa"/>
            </w:tcMar>
          </w:tcPr>
          <w:p w14:paraId="50B9B88A" w14:textId="77777777" w:rsidR="00F96912" w:rsidRPr="00266EB9" w:rsidRDefault="00F96912" w:rsidP="006658D5">
            <w:pPr>
              <w:rPr>
                <w:i/>
                <w:color w:val="002060"/>
                <w:sz w:val="16"/>
                <w:szCs w:val="16"/>
              </w:rPr>
            </w:pPr>
            <w:r w:rsidRPr="00266EB9">
              <w:rPr>
                <w:i/>
                <w:color w:val="002060"/>
                <w:sz w:val="16"/>
                <w:szCs w:val="16"/>
              </w:rPr>
              <w:t>Niveau de référence actualisé à fin 2015 :</w:t>
            </w:r>
          </w:p>
          <w:p w14:paraId="7FE95554" w14:textId="77777777" w:rsidR="00F96912" w:rsidRPr="00266EB9" w:rsidRDefault="00F96912" w:rsidP="006658D5">
            <w:pPr>
              <w:rPr>
                <w:color w:val="002060"/>
                <w:sz w:val="16"/>
                <w:szCs w:val="16"/>
              </w:rPr>
            </w:pPr>
            <w:r w:rsidRPr="00266EB9">
              <w:rPr>
                <w:color w:val="002060"/>
                <w:sz w:val="16"/>
                <w:szCs w:val="16"/>
              </w:rPr>
              <w:t>94,7%</w:t>
            </w:r>
            <w:r w:rsidRPr="00266EB9">
              <w:rPr>
                <w:rStyle w:val="FootnoteReference"/>
                <w:rFonts w:cs="Arial"/>
                <w:color w:val="002060"/>
              </w:rPr>
              <w:footnoteReference w:id="88"/>
            </w:r>
            <w:r w:rsidRPr="00266EB9">
              <w:rPr>
                <w:color w:val="002060"/>
                <w:sz w:val="16"/>
                <w:szCs w:val="16"/>
              </w:rPr>
              <w:t xml:space="preserve"> des requêtes enregistrées dans le système de tickets WINS ont été traitées dans les cinq jours ouvrables</w:t>
            </w:r>
          </w:p>
          <w:p w14:paraId="357B777E" w14:textId="77777777" w:rsidR="00F96912" w:rsidRPr="00266EB9" w:rsidRDefault="00F96912" w:rsidP="006658D5">
            <w:pPr>
              <w:rPr>
                <w:color w:val="000000"/>
                <w:sz w:val="16"/>
                <w:szCs w:val="16"/>
              </w:rPr>
            </w:pPr>
          </w:p>
          <w:p w14:paraId="5CA3FFE7"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1A9D26AC" w14:textId="77777777" w:rsidR="00F96912" w:rsidRPr="00266EB9" w:rsidRDefault="00F96912" w:rsidP="006658D5">
            <w:pPr>
              <w:rPr>
                <w:i/>
                <w:color w:val="000000"/>
                <w:sz w:val="16"/>
                <w:szCs w:val="16"/>
              </w:rPr>
            </w:pPr>
            <w:r w:rsidRPr="00266EB9">
              <w:rPr>
                <w:i/>
                <w:sz w:val="16"/>
                <w:szCs w:val="16"/>
              </w:rPr>
              <w:t>À déterminer fin 2015</w:t>
            </w:r>
          </w:p>
        </w:tc>
        <w:tc>
          <w:tcPr>
            <w:tcW w:w="817" w:type="pct"/>
            <w:shd w:val="clear" w:color="auto" w:fill="auto"/>
            <w:tcMar>
              <w:top w:w="57" w:type="dxa"/>
              <w:left w:w="108" w:type="dxa"/>
              <w:right w:w="108" w:type="dxa"/>
            </w:tcMar>
          </w:tcPr>
          <w:p w14:paraId="19E16197" w14:textId="77777777" w:rsidR="00F96912" w:rsidRPr="00266EB9" w:rsidRDefault="00F96912" w:rsidP="006658D5">
            <w:pPr>
              <w:rPr>
                <w:i/>
                <w:color w:val="002060"/>
                <w:sz w:val="16"/>
                <w:szCs w:val="16"/>
              </w:rPr>
            </w:pPr>
            <w:r w:rsidRPr="00266EB9">
              <w:rPr>
                <w:i/>
                <w:color w:val="002060"/>
                <w:sz w:val="16"/>
                <w:szCs w:val="16"/>
              </w:rPr>
              <w:t>Objectif actualisé :</w:t>
            </w:r>
          </w:p>
          <w:p w14:paraId="76698DCE" w14:textId="77777777" w:rsidR="00F96912" w:rsidRPr="00266EB9" w:rsidRDefault="00F96912" w:rsidP="006658D5">
            <w:pPr>
              <w:rPr>
                <w:i/>
                <w:color w:val="002060"/>
                <w:sz w:val="16"/>
                <w:szCs w:val="16"/>
                <w:u w:val="single"/>
              </w:rPr>
            </w:pPr>
            <w:r w:rsidRPr="00266EB9">
              <w:rPr>
                <w:color w:val="002060"/>
                <w:sz w:val="16"/>
                <w:szCs w:val="16"/>
              </w:rPr>
              <w:t>95%</w:t>
            </w:r>
          </w:p>
          <w:p w14:paraId="4A7221A1" w14:textId="77777777" w:rsidR="00F96912" w:rsidRPr="00266EB9" w:rsidRDefault="00F96912" w:rsidP="006658D5">
            <w:pPr>
              <w:rPr>
                <w:i/>
                <w:color w:val="002060"/>
                <w:sz w:val="16"/>
                <w:szCs w:val="16"/>
                <w:u w:val="single"/>
              </w:rPr>
            </w:pPr>
          </w:p>
          <w:p w14:paraId="1780F8D4" w14:textId="77777777" w:rsidR="00F96912" w:rsidRPr="00266EB9" w:rsidRDefault="00F96912" w:rsidP="006658D5">
            <w:pPr>
              <w:rPr>
                <w:i/>
                <w:color w:val="000000"/>
                <w:sz w:val="16"/>
                <w:szCs w:val="16"/>
              </w:rPr>
            </w:pPr>
          </w:p>
          <w:p w14:paraId="49D6A09A" w14:textId="77777777" w:rsidR="00F96912" w:rsidRPr="00266EB9" w:rsidRDefault="00F96912" w:rsidP="006658D5">
            <w:pPr>
              <w:rPr>
                <w:i/>
                <w:color w:val="000000"/>
                <w:sz w:val="16"/>
                <w:szCs w:val="16"/>
              </w:rPr>
            </w:pPr>
          </w:p>
          <w:p w14:paraId="49DC07A4" w14:textId="77777777" w:rsidR="00F96912" w:rsidRPr="00266EB9" w:rsidRDefault="00F96912" w:rsidP="006658D5">
            <w:pPr>
              <w:rPr>
                <w:i/>
                <w:color w:val="000000"/>
                <w:sz w:val="16"/>
                <w:szCs w:val="16"/>
              </w:rPr>
            </w:pPr>
          </w:p>
          <w:p w14:paraId="191DF44C" w14:textId="77777777" w:rsidR="00F96912" w:rsidRPr="00266EB9" w:rsidRDefault="00F96912" w:rsidP="006658D5">
            <w:pPr>
              <w:rPr>
                <w:i/>
                <w:color w:val="000000"/>
                <w:sz w:val="16"/>
                <w:szCs w:val="16"/>
              </w:rPr>
            </w:pPr>
          </w:p>
          <w:p w14:paraId="2D31D9A8" w14:textId="77777777" w:rsidR="00F96912" w:rsidRPr="00266EB9" w:rsidRDefault="00F96912" w:rsidP="006658D5">
            <w:pPr>
              <w:rPr>
                <w:color w:val="000000"/>
                <w:sz w:val="16"/>
                <w:szCs w:val="16"/>
              </w:rPr>
            </w:pPr>
            <w:r w:rsidRPr="00266EB9">
              <w:rPr>
                <w:i/>
                <w:color w:val="000000"/>
                <w:sz w:val="16"/>
                <w:szCs w:val="16"/>
              </w:rPr>
              <w:t>Objectif initial dans le programme et budget 2016</w:t>
            </w:r>
            <w:r>
              <w:rPr>
                <w:i/>
                <w:color w:val="000000"/>
                <w:sz w:val="16"/>
                <w:szCs w:val="16"/>
              </w:rPr>
              <w:noBreakHyphen/>
            </w:r>
            <w:r w:rsidRPr="00266EB9">
              <w:rPr>
                <w:i/>
                <w:color w:val="000000"/>
                <w:sz w:val="16"/>
                <w:szCs w:val="16"/>
              </w:rPr>
              <w:t>2017 :</w:t>
            </w:r>
          </w:p>
          <w:p w14:paraId="6C77D7E6" w14:textId="77777777" w:rsidR="00F96912" w:rsidRPr="00266EB9" w:rsidRDefault="00F96912" w:rsidP="006658D5">
            <w:pPr>
              <w:rPr>
                <w:color w:val="000000"/>
                <w:sz w:val="16"/>
                <w:szCs w:val="16"/>
              </w:rPr>
            </w:pPr>
            <w:r w:rsidRPr="00266EB9">
              <w:rPr>
                <w:color w:val="000000"/>
                <w:sz w:val="16"/>
                <w:szCs w:val="16"/>
              </w:rPr>
              <w:t>90%</w:t>
            </w:r>
          </w:p>
        </w:tc>
        <w:tc>
          <w:tcPr>
            <w:tcW w:w="1203" w:type="pct"/>
            <w:shd w:val="clear" w:color="auto" w:fill="FFFFFF"/>
            <w:tcMar>
              <w:top w:w="57" w:type="dxa"/>
              <w:left w:w="108" w:type="dxa"/>
              <w:right w:w="108" w:type="dxa"/>
            </w:tcMar>
          </w:tcPr>
          <w:p w14:paraId="4CA2728A" w14:textId="77777777" w:rsidR="00F96912" w:rsidRPr="00266EB9" w:rsidRDefault="00F96912" w:rsidP="006658D5">
            <w:pPr>
              <w:keepNext/>
              <w:keepLines/>
              <w:rPr>
                <w:b/>
                <w:color w:val="E36C0A" w:themeColor="accent6" w:themeShade="BF"/>
                <w:sz w:val="16"/>
                <w:szCs w:val="16"/>
              </w:rPr>
            </w:pPr>
            <w:r w:rsidRPr="00266EB9">
              <w:rPr>
                <w:sz w:val="16"/>
                <w:szCs w:val="16"/>
              </w:rPr>
              <w:t>Statistiques non disponibles pour 2016 étant donné qu’on a abandonné l’outil de tickets (WINS) au profit d’Outlook afin d’améliorer le service à la clientèle</w:t>
            </w:r>
          </w:p>
        </w:tc>
        <w:tc>
          <w:tcPr>
            <w:tcW w:w="673" w:type="pct"/>
            <w:shd w:val="clear" w:color="auto" w:fill="auto"/>
            <w:tcMar>
              <w:top w:w="57" w:type="dxa"/>
              <w:left w:w="108" w:type="dxa"/>
              <w:right w:w="108" w:type="dxa"/>
            </w:tcMar>
          </w:tcPr>
          <w:p w14:paraId="0F10E5D6" w14:textId="77777777" w:rsidR="00F96912" w:rsidRPr="00266EB9" w:rsidRDefault="00F96912" w:rsidP="006658D5">
            <w:pPr>
              <w:keepNext/>
              <w:keepLines/>
              <w:jc w:val="center"/>
              <w:rPr>
                <w:b/>
                <w:color w:val="E36C0A" w:themeColor="accent6" w:themeShade="BF"/>
                <w:sz w:val="16"/>
                <w:szCs w:val="16"/>
              </w:rPr>
            </w:pPr>
            <w:proofErr w:type="spellStart"/>
            <w:r w:rsidRPr="00266EB9">
              <w:rPr>
                <w:b/>
                <w:color w:val="0070C0"/>
                <w:sz w:val="16"/>
                <w:szCs w:val="16"/>
              </w:rPr>
              <w:t>n.d</w:t>
            </w:r>
            <w:proofErr w:type="spellEnd"/>
            <w:r w:rsidRPr="00266EB9">
              <w:rPr>
                <w:b/>
                <w:color w:val="0070C0"/>
                <w:sz w:val="16"/>
                <w:szCs w:val="16"/>
              </w:rPr>
              <w:t>. pour 2016</w:t>
            </w:r>
          </w:p>
        </w:tc>
      </w:tr>
      <w:tr w:rsidR="00F96912" w:rsidRPr="00266EB9" w14:paraId="104EE2A7" w14:textId="77777777" w:rsidTr="006658D5">
        <w:trPr>
          <w:cantSplit/>
        </w:trPr>
        <w:tc>
          <w:tcPr>
            <w:tcW w:w="1057" w:type="pct"/>
            <w:shd w:val="clear" w:color="auto" w:fill="auto"/>
            <w:tcMar>
              <w:left w:w="108" w:type="dxa"/>
              <w:right w:w="108" w:type="dxa"/>
            </w:tcMar>
          </w:tcPr>
          <w:p w14:paraId="49FF5C17" w14:textId="77777777" w:rsidR="00F96912" w:rsidRPr="00266EB9" w:rsidRDefault="00F96912" w:rsidP="006658D5">
            <w:pPr>
              <w:rPr>
                <w:color w:val="000000"/>
                <w:sz w:val="16"/>
                <w:szCs w:val="16"/>
              </w:rPr>
            </w:pPr>
            <w:r w:rsidRPr="00266EB9">
              <w:rPr>
                <w:sz w:val="16"/>
                <w:szCs w:val="16"/>
              </w:rPr>
              <w:t>Couverture d’assurance optimisée</w:t>
            </w:r>
            <w:r w:rsidRPr="00266EB9">
              <w:rPr>
                <w:color w:val="000000"/>
                <w:sz w:val="16"/>
                <w:szCs w:val="16"/>
              </w:rPr>
              <w:t xml:space="preserve"> </w:t>
            </w:r>
          </w:p>
        </w:tc>
        <w:tc>
          <w:tcPr>
            <w:tcW w:w="1250" w:type="pct"/>
            <w:shd w:val="clear" w:color="auto" w:fill="auto"/>
            <w:tcMar>
              <w:left w:w="108" w:type="dxa"/>
              <w:right w:w="108" w:type="dxa"/>
            </w:tcMar>
          </w:tcPr>
          <w:p w14:paraId="647CBC9D" w14:textId="77777777" w:rsidR="00F96912" w:rsidRPr="00266EB9" w:rsidRDefault="00F96912" w:rsidP="006658D5">
            <w:pPr>
              <w:rPr>
                <w:i/>
                <w:color w:val="002060"/>
                <w:sz w:val="16"/>
                <w:szCs w:val="16"/>
              </w:rPr>
            </w:pPr>
            <w:r w:rsidRPr="00266EB9">
              <w:rPr>
                <w:i/>
                <w:color w:val="002060"/>
                <w:sz w:val="16"/>
                <w:szCs w:val="16"/>
              </w:rPr>
              <w:t>Niveau de référence actualisé à fin 2015 :</w:t>
            </w:r>
          </w:p>
          <w:p w14:paraId="205CC035" w14:textId="77777777" w:rsidR="00F96912" w:rsidRPr="00266EB9" w:rsidRDefault="00F96912" w:rsidP="006658D5">
            <w:pPr>
              <w:rPr>
                <w:color w:val="002060"/>
                <w:sz w:val="16"/>
                <w:szCs w:val="16"/>
              </w:rPr>
            </w:pPr>
            <w:r w:rsidRPr="00266EB9">
              <w:rPr>
                <w:color w:val="002060"/>
                <w:sz w:val="16"/>
                <w:szCs w:val="16"/>
              </w:rPr>
              <w:t>Taux de couverture de l’assurance maladie collective : 87,7%</w:t>
            </w:r>
          </w:p>
          <w:p w14:paraId="21467DAF" w14:textId="77777777" w:rsidR="00F96912" w:rsidRPr="00266EB9" w:rsidRDefault="00F96912" w:rsidP="006658D5">
            <w:pPr>
              <w:rPr>
                <w:i/>
                <w:color w:val="000000"/>
                <w:sz w:val="16"/>
                <w:szCs w:val="16"/>
              </w:rPr>
            </w:pPr>
          </w:p>
          <w:p w14:paraId="2850608B"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2E94704A" w14:textId="77777777" w:rsidR="00F96912" w:rsidRPr="00266EB9" w:rsidRDefault="00F96912" w:rsidP="006658D5">
            <w:pPr>
              <w:rPr>
                <w:color w:val="000000"/>
                <w:sz w:val="16"/>
                <w:szCs w:val="16"/>
              </w:rPr>
            </w:pPr>
            <w:r w:rsidRPr="00266EB9">
              <w:rPr>
                <w:sz w:val="16"/>
                <w:szCs w:val="16"/>
              </w:rPr>
              <w:t>À déterminer fin 2015</w:t>
            </w:r>
          </w:p>
        </w:tc>
        <w:tc>
          <w:tcPr>
            <w:tcW w:w="817" w:type="pct"/>
            <w:shd w:val="clear" w:color="auto" w:fill="auto"/>
            <w:tcMar>
              <w:top w:w="57" w:type="dxa"/>
              <w:left w:w="108" w:type="dxa"/>
              <w:right w:w="108" w:type="dxa"/>
            </w:tcMar>
          </w:tcPr>
          <w:p w14:paraId="0FA49EC7" w14:textId="77777777" w:rsidR="00F96912" w:rsidRPr="002655A7" w:rsidRDefault="00F96912" w:rsidP="006658D5">
            <w:pPr>
              <w:rPr>
                <w:i/>
                <w:color w:val="002060"/>
                <w:sz w:val="16"/>
                <w:szCs w:val="16"/>
              </w:rPr>
            </w:pPr>
            <w:r w:rsidRPr="002655A7">
              <w:rPr>
                <w:i/>
                <w:color w:val="002060"/>
                <w:sz w:val="16"/>
                <w:szCs w:val="16"/>
              </w:rPr>
              <w:t>Objectif fixé :</w:t>
            </w:r>
          </w:p>
          <w:p w14:paraId="396BEE3E" w14:textId="77777777" w:rsidR="00F96912" w:rsidRPr="00266EB9" w:rsidRDefault="00F96912" w:rsidP="006658D5">
            <w:pPr>
              <w:rPr>
                <w:color w:val="002060"/>
                <w:sz w:val="16"/>
                <w:szCs w:val="16"/>
              </w:rPr>
            </w:pPr>
            <w:r w:rsidRPr="00266EB9">
              <w:rPr>
                <w:color w:val="002060"/>
                <w:sz w:val="16"/>
                <w:szCs w:val="16"/>
              </w:rPr>
              <w:t>Maintenir le niveau</w:t>
            </w:r>
          </w:p>
          <w:p w14:paraId="7C9F91F8" w14:textId="77777777" w:rsidR="00F96912" w:rsidRPr="00266EB9" w:rsidRDefault="00F96912" w:rsidP="006658D5">
            <w:pPr>
              <w:rPr>
                <w:color w:val="000000"/>
                <w:sz w:val="16"/>
                <w:szCs w:val="16"/>
              </w:rPr>
            </w:pPr>
          </w:p>
          <w:p w14:paraId="10AFC1F2" w14:textId="77777777" w:rsidR="00F96912" w:rsidRPr="00266EB9" w:rsidRDefault="00F96912" w:rsidP="006658D5">
            <w:pPr>
              <w:rPr>
                <w:color w:val="000000"/>
                <w:sz w:val="16"/>
                <w:szCs w:val="16"/>
              </w:rPr>
            </w:pPr>
          </w:p>
          <w:p w14:paraId="41B01524" w14:textId="77777777" w:rsidR="00F96912" w:rsidRPr="00266EB9" w:rsidRDefault="00F96912" w:rsidP="006658D5">
            <w:pPr>
              <w:rPr>
                <w:color w:val="000000"/>
                <w:sz w:val="16"/>
                <w:szCs w:val="16"/>
              </w:rPr>
            </w:pPr>
          </w:p>
          <w:p w14:paraId="1B27D0B6" w14:textId="77777777" w:rsidR="00F96912" w:rsidRPr="00266EB9" w:rsidRDefault="00F96912" w:rsidP="006658D5">
            <w:pPr>
              <w:rPr>
                <w:i/>
                <w:color w:val="000000"/>
                <w:sz w:val="16"/>
                <w:szCs w:val="16"/>
              </w:rPr>
            </w:pPr>
            <w:r w:rsidRPr="00266EB9">
              <w:rPr>
                <w:i/>
                <w:color w:val="000000"/>
                <w:sz w:val="16"/>
                <w:szCs w:val="16"/>
              </w:rPr>
              <w:t>Objectif initial dans le programme et budget 2016</w:t>
            </w:r>
            <w:r>
              <w:rPr>
                <w:i/>
                <w:color w:val="000000"/>
                <w:sz w:val="16"/>
                <w:szCs w:val="16"/>
              </w:rPr>
              <w:noBreakHyphen/>
            </w:r>
            <w:r w:rsidRPr="00266EB9">
              <w:rPr>
                <w:i/>
                <w:color w:val="000000"/>
                <w:sz w:val="16"/>
                <w:szCs w:val="16"/>
              </w:rPr>
              <w:t>2017 :</w:t>
            </w:r>
          </w:p>
          <w:p w14:paraId="617E864B" w14:textId="77777777" w:rsidR="00F96912" w:rsidRPr="00266EB9" w:rsidRDefault="00F96912" w:rsidP="006658D5">
            <w:pPr>
              <w:rPr>
                <w:color w:val="000000"/>
                <w:sz w:val="16"/>
                <w:szCs w:val="16"/>
              </w:rPr>
            </w:pPr>
            <w:r w:rsidRPr="00266EB9">
              <w:rPr>
                <w:sz w:val="16"/>
                <w:szCs w:val="16"/>
              </w:rPr>
              <w:t>À déterminer fin 2015</w:t>
            </w:r>
          </w:p>
        </w:tc>
        <w:tc>
          <w:tcPr>
            <w:tcW w:w="1203" w:type="pct"/>
            <w:shd w:val="clear" w:color="auto" w:fill="FFFFFF"/>
            <w:tcMar>
              <w:top w:w="57" w:type="dxa"/>
              <w:left w:w="108" w:type="dxa"/>
              <w:right w:w="108" w:type="dxa"/>
            </w:tcMar>
          </w:tcPr>
          <w:p w14:paraId="4DF2E395" w14:textId="77777777" w:rsidR="00F96912" w:rsidRPr="00266EB9" w:rsidRDefault="00F96912" w:rsidP="006658D5">
            <w:pPr>
              <w:keepNext/>
              <w:keepLines/>
              <w:rPr>
                <w:b/>
                <w:color w:val="E36C0A" w:themeColor="accent6" w:themeShade="BF"/>
                <w:sz w:val="16"/>
                <w:szCs w:val="16"/>
              </w:rPr>
            </w:pPr>
            <w:r w:rsidRPr="00266EB9">
              <w:rPr>
                <w:color w:val="000000"/>
                <w:sz w:val="16"/>
                <w:szCs w:val="16"/>
              </w:rPr>
              <w:t>87,8%</w:t>
            </w:r>
            <w:r w:rsidRPr="00266EB9" w:rsidDel="00E53F17">
              <w:rPr>
                <w:color w:val="000000"/>
                <w:sz w:val="16"/>
                <w:szCs w:val="16"/>
              </w:rPr>
              <w:t xml:space="preserve"> </w:t>
            </w:r>
          </w:p>
        </w:tc>
        <w:tc>
          <w:tcPr>
            <w:tcW w:w="673" w:type="pct"/>
            <w:shd w:val="clear" w:color="auto" w:fill="auto"/>
            <w:tcMar>
              <w:top w:w="57" w:type="dxa"/>
              <w:left w:w="108" w:type="dxa"/>
              <w:right w:w="108" w:type="dxa"/>
            </w:tcMar>
          </w:tcPr>
          <w:p w14:paraId="7A119A06" w14:textId="77777777" w:rsidR="00F96912" w:rsidRPr="00266EB9" w:rsidRDefault="00F96912" w:rsidP="006658D5">
            <w:pPr>
              <w:keepNext/>
              <w:keepLines/>
              <w:jc w:val="center"/>
              <w:rPr>
                <w:b/>
                <w:color w:val="E36C0A" w:themeColor="accent6" w:themeShade="BF"/>
                <w:sz w:val="16"/>
                <w:szCs w:val="16"/>
              </w:rPr>
            </w:pPr>
            <w:r w:rsidRPr="00266EB9">
              <w:rPr>
                <w:b/>
                <w:color w:val="00B050"/>
                <w:sz w:val="16"/>
                <w:szCs w:val="16"/>
              </w:rPr>
              <w:t>En bonne voie</w:t>
            </w:r>
          </w:p>
        </w:tc>
      </w:tr>
      <w:tr w:rsidR="00F96912" w:rsidRPr="00266EB9" w14:paraId="384976D7" w14:textId="77777777" w:rsidTr="006658D5">
        <w:trPr>
          <w:cantSplit/>
        </w:trPr>
        <w:tc>
          <w:tcPr>
            <w:tcW w:w="5000" w:type="pct"/>
            <w:gridSpan w:val="5"/>
            <w:shd w:val="clear" w:color="auto" w:fill="C6D9F1" w:themeFill="text2" w:themeFillTint="33"/>
            <w:tcMar>
              <w:left w:w="108" w:type="dxa"/>
              <w:right w:w="108" w:type="dxa"/>
            </w:tcMar>
            <w:vAlign w:val="center"/>
          </w:tcPr>
          <w:p w14:paraId="3D59C78E" w14:textId="77777777" w:rsidR="00F96912" w:rsidRPr="00266EB9" w:rsidRDefault="00F96912" w:rsidP="006658D5">
            <w:pPr>
              <w:keepNext/>
              <w:keepLines/>
              <w:tabs>
                <w:tab w:val="left" w:pos="1452"/>
              </w:tabs>
              <w:rPr>
                <w:b/>
                <w:bCs/>
                <w:sz w:val="16"/>
                <w:szCs w:val="16"/>
              </w:rPr>
            </w:pPr>
            <w:r w:rsidRPr="00266EB9">
              <w:rPr>
                <w:b/>
                <w:bCs/>
                <w:sz w:val="16"/>
                <w:szCs w:val="16"/>
              </w:rPr>
              <w:t xml:space="preserve">Résultat escompté : </w:t>
            </w:r>
            <w:r w:rsidRPr="00266EB9">
              <w:rPr>
                <w:bCs/>
                <w:sz w:val="16"/>
                <w:szCs w:val="16"/>
              </w:rPr>
              <w:t>IX.2 Un Secrétariat réactif, fonctionnant harmonieusement et doté de ressources humaines bien gérées et compétentes, à même d’obtenir des résultats concrets</w:t>
            </w:r>
          </w:p>
        </w:tc>
      </w:tr>
      <w:tr w:rsidR="00F96912" w:rsidRPr="00266EB9" w14:paraId="57FC845C" w14:textId="77777777" w:rsidTr="006658D5">
        <w:trPr>
          <w:cantSplit/>
        </w:trPr>
        <w:tc>
          <w:tcPr>
            <w:tcW w:w="1057" w:type="pct"/>
            <w:shd w:val="clear" w:color="auto" w:fill="auto"/>
            <w:tcMar>
              <w:left w:w="108" w:type="dxa"/>
              <w:right w:w="108" w:type="dxa"/>
            </w:tcMar>
            <w:vAlign w:val="center"/>
          </w:tcPr>
          <w:p w14:paraId="7560F14A" w14:textId="77777777" w:rsidR="00F96912" w:rsidRPr="00266EB9" w:rsidRDefault="00F96912" w:rsidP="006658D5">
            <w:pPr>
              <w:jc w:val="center"/>
              <w:rPr>
                <w:b/>
                <w:bCs/>
                <w:sz w:val="16"/>
                <w:szCs w:val="16"/>
              </w:rPr>
            </w:pPr>
            <w:r w:rsidRPr="00266EB9">
              <w:rPr>
                <w:b/>
                <w:bCs/>
                <w:sz w:val="16"/>
                <w:szCs w:val="16"/>
              </w:rPr>
              <w:t>Indicateurs d’exécution</w:t>
            </w:r>
          </w:p>
        </w:tc>
        <w:tc>
          <w:tcPr>
            <w:tcW w:w="1250" w:type="pct"/>
            <w:shd w:val="clear" w:color="auto" w:fill="auto"/>
            <w:tcMar>
              <w:left w:w="108" w:type="dxa"/>
              <w:right w:w="108" w:type="dxa"/>
            </w:tcMar>
            <w:vAlign w:val="center"/>
          </w:tcPr>
          <w:p w14:paraId="2315A643" w14:textId="77777777" w:rsidR="00F96912" w:rsidRPr="00266EB9" w:rsidRDefault="00F96912" w:rsidP="006658D5">
            <w:pPr>
              <w:jc w:val="center"/>
              <w:rPr>
                <w:b/>
                <w:bCs/>
                <w:sz w:val="16"/>
                <w:szCs w:val="16"/>
              </w:rPr>
            </w:pPr>
            <w:r w:rsidRPr="00266EB9">
              <w:rPr>
                <w:b/>
                <w:bCs/>
                <w:sz w:val="16"/>
                <w:szCs w:val="16"/>
              </w:rPr>
              <w:t>Niveaux de référence</w:t>
            </w:r>
          </w:p>
        </w:tc>
        <w:tc>
          <w:tcPr>
            <w:tcW w:w="817" w:type="pct"/>
            <w:shd w:val="clear" w:color="auto" w:fill="auto"/>
            <w:tcMar>
              <w:top w:w="57" w:type="dxa"/>
              <w:left w:w="108" w:type="dxa"/>
              <w:right w:w="108" w:type="dxa"/>
            </w:tcMar>
            <w:vAlign w:val="center"/>
          </w:tcPr>
          <w:p w14:paraId="10980DEB" w14:textId="77777777" w:rsidR="00F96912" w:rsidRPr="00266EB9" w:rsidRDefault="00F96912" w:rsidP="006658D5">
            <w:pPr>
              <w:jc w:val="center"/>
              <w:rPr>
                <w:b/>
                <w:bCs/>
                <w:sz w:val="16"/>
                <w:szCs w:val="16"/>
              </w:rPr>
            </w:pPr>
            <w:r w:rsidRPr="00266EB9">
              <w:rPr>
                <w:b/>
                <w:bCs/>
                <w:sz w:val="16"/>
                <w:szCs w:val="16"/>
              </w:rPr>
              <w:t>Objectifs visés</w:t>
            </w:r>
          </w:p>
        </w:tc>
        <w:tc>
          <w:tcPr>
            <w:tcW w:w="1203" w:type="pct"/>
            <w:shd w:val="clear" w:color="auto" w:fill="FFFFFF"/>
            <w:tcMar>
              <w:top w:w="57" w:type="dxa"/>
              <w:left w:w="108" w:type="dxa"/>
              <w:right w:w="108" w:type="dxa"/>
            </w:tcMar>
            <w:vAlign w:val="center"/>
          </w:tcPr>
          <w:p w14:paraId="345A9EFA" w14:textId="77777777" w:rsidR="00F96912" w:rsidRPr="00266EB9" w:rsidRDefault="00F96912" w:rsidP="006658D5">
            <w:pPr>
              <w:jc w:val="center"/>
              <w:rPr>
                <w:b/>
                <w:bCs/>
                <w:sz w:val="16"/>
                <w:szCs w:val="16"/>
              </w:rPr>
            </w:pPr>
            <w:r w:rsidRPr="00266EB9">
              <w:rPr>
                <w:b/>
                <w:bCs/>
                <w:sz w:val="16"/>
                <w:szCs w:val="16"/>
              </w:rPr>
              <w:t>Données relatives à l’exécution</w:t>
            </w:r>
          </w:p>
        </w:tc>
        <w:tc>
          <w:tcPr>
            <w:tcW w:w="673" w:type="pct"/>
            <w:shd w:val="clear" w:color="auto" w:fill="auto"/>
            <w:tcMar>
              <w:top w:w="57" w:type="dxa"/>
              <w:left w:w="108" w:type="dxa"/>
              <w:right w:w="108" w:type="dxa"/>
            </w:tcMar>
            <w:vAlign w:val="center"/>
          </w:tcPr>
          <w:p w14:paraId="1391B5EA" w14:textId="77777777" w:rsidR="00F96912" w:rsidRPr="00266EB9" w:rsidRDefault="00F96912" w:rsidP="006658D5">
            <w:pPr>
              <w:jc w:val="center"/>
              <w:rPr>
                <w:b/>
                <w:bCs/>
                <w:sz w:val="16"/>
                <w:szCs w:val="16"/>
              </w:rPr>
            </w:pPr>
            <w:r w:rsidRPr="00266EB9">
              <w:rPr>
                <w:b/>
                <w:bCs/>
                <w:sz w:val="16"/>
                <w:szCs w:val="16"/>
              </w:rPr>
              <w:t>Code d’évaluation</w:t>
            </w:r>
          </w:p>
        </w:tc>
      </w:tr>
      <w:tr w:rsidR="00F96912" w:rsidRPr="00266EB9" w14:paraId="236AD2DC" w14:textId="77777777" w:rsidTr="006658D5">
        <w:trPr>
          <w:cantSplit/>
        </w:trPr>
        <w:tc>
          <w:tcPr>
            <w:tcW w:w="1057" w:type="pct"/>
            <w:shd w:val="clear" w:color="auto" w:fill="auto"/>
            <w:tcMar>
              <w:left w:w="108" w:type="dxa"/>
              <w:right w:w="108" w:type="dxa"/>
            </w:tcMar>
          </w:tcPr>
          <w:p w14:paraId="0D6E99A9" w14:textId="77777777" w:rsidR="00F96912" w:rsidRPr="00266EB9" w:rsidRDefault="00F96912" w:rsidP="006658D5">
            <w:pPr>
              <w:rPr>
                <w:color w:val="000000"/>
                <w:sz w:val="16"/>
                <w:szCs w:val="16"/>
              </w:rPr>
            </w:pPr>
            <w:r w:rsidRPr="00266EB9">
              <w:rPr>
                <w:sz w:val="16"/>
                <w:szCs w:val="16"/>
              </w:rPr>
              <w:t>Pourcentage de femmes à des postes d’administrateur et dans les catégories supérieures</w:t>
            </w:r>
          </w:p>
          <w:p w14:paraId="6709B2DF" w14:textId="77777777" w:rsidR="00F96912" w:rsidRPr="00266EB9" w:rsidRDefault="00F96912" w:rsidP="006658D5">
            <w:pPr>
              <w:rPr>
                <w:color w:val="000000"/>
                <w:sz w:val="16"/>
                <w:szCs w:val="16"/>
              </w:rPr>
            </w:pPr>
          </w:p>
          <w:p w14:paraId="7A2003FA" w14:textId="77777777" w:rsidR="00F96912" w:rsidRPr="00266EB9" w:rsidRDefault="00F96912" w:rsidP="006658D5">
            <w:pPr>
              <w:rPr>
                <w:color w:val="000000"/>
                <w:sz w:val="16"/>
                <w:szCs w:val="16"/>
              </w:rPr>
            </w:pPr>
          </w:p>
        </w:tc>
        <w:tc>
          <w:tcPr>
            <w:tcW w:w="1250" w:type="pct"/>
            <w:shd w:val="clear" w:color="auto" w:fill="auto"/>
            <w:tcMar>
              <w:left w:w="108" w:type="dxa"/>
              <w:right w:w="108" w:type="dxa"/>
            </w:tcMar>
          </w:tcPr>
          <w:p w14:paraId="39458E66" w14:textId="77777777" w:rsidR="00F96912" w:rsidRPr="002655A7" w:rsidRDefault="00F96912" w:rsidP="006658D5">
            <w:pPr>
              <w:rPr>
                <w:i/>
                <w:color w:val="002060"/>
                <w:sz w:val="16"/>
                <w:szCs w:val="16"/>
              </w:rPr>
            </w:pPr>
            <w:r w:rsidRPr="00266EB9">
              <w:rPr>
                <w:i/>
                <w:color w:val="002060"/>
                <w:sz w:val="16"/>
                <w:szCs w:val="16"/>
              </w:rPr>
              <w:t>Niveau de référence actua</w:t>
            </w:r>
            <w:r w:rsidRPr="002655A7">
              <w:rPr>
                <w:i/>
                <w:color w:val="002060"/>
                <w:sz w:val="16"/>
                <w:szCs w:val="16"/>
              </w:rPr>
              <w:t>lisé :</w:t>
            </w:r>
          </w:p>
          <w:p w14:paraId="3C74AD35" w14:textId="77777777" w:rsidR="00F96912" w:rsidRPr="002655A7" w:rsidRDefault="00F96912" w:rsidP="006658D5">
            <w:pPr>
              <w:rPr>
                <w:color w:val="002060"/>
                <w:sz w:val="16"/>
                <w:szCs w:val="16"/>
              </w:rPr>
            </w:pPr>
            <w:r w:rsidRPr="002655A7">
              <w:rPr>
                <w:color w:val="002060"/>
                <w:sz w:val="16"/>
                <w:szCs w:val="16"/>
              </w:rPr>
              <w:t>P</w:t>
            </w:r>
            <w:r w:rsidRPr="002655A7">
              <w:rPr>
                <w:color w:val="002060"/>
                <w:sz w:val="16"/>
                <w:szCs w:val="16"/>
              </w:rPr>
              <w:noBreakHyphen/>
              <w:t>4 – 46,1%</w:t>
            </w:r>
          </w:p>
          <w:p w14:paraId="63258F09" w14:textId="77777777" w:rsidR="00F96912" w:rsidRPr="002655A7" w:rsidRDefault="00F96912" w:rsidP="006658D5">
            <w:pPr>
              <w:rPr>
                <w:color w:val="002060"/>
                <w:sz w:val="16"/>
                <w:szCs w:val="16"/>
              </w:rPr>
            </w:pPr>
          </w:p>
          <w:p w14:paraId="32ED42BB" w14:textId="77777777" w:rsidR="00F96912" w:rsidRPr="002655A7" w:rsidRDefault="00F96912" w:rsidP="006658D5">
            <w:pPr>
              <w:rPr>
                <w:color w:val="002060"/>
                <w:sz w:val="16"/>
                <w:szCs w:val="16"/>
              </w:rPr>
            </w:pPr>
            <w:r w:rsidRPr="002655A7">
              <w:rPr>
                <w:color w:val="002060"/>
                <w:sz w:val="16"/>
                <w:szCs w:val="16"/>
              </w:rPr>
              <w:t>P</w:t>
            </w:r>
            <w:r w:rsidRPr="002655A7">
              <w:rPr>
                <w:color w:val="002060"/>
                <w:sz w:val="16"/>
                <w:szCs w:val="16"/>
              </w:rPr>
              <w:noBreakHyphen/>
              <w:t>5 – 34,1%</w:t>
            </w:r>
          </w:p>
          <w:p w14:paraId="5325E071" w14:textId="77777777" w:rsidR="00F96912" w:rsidRPr="002655A7" w:rsidRDefault="00F96912" w:rsidP="006658D5">
            <w:pPr>
              <w:rPr>
                <w:color w:val="002060"/>
                <w:sz w:val="16"/>
                <w:szCs w:val="16"/>
              </w:rPr>
            </w:pPr>
          </w:p>
          <w:p w14:paraId="6F202717" w14:textId="77777777" w:rsidR="00F96912" w:rsidRPr="002655A7" w:rsidRDefault="00F96912" w:rsidP="006658D5">
            <w:pPr>
              <w:rPr>
                <w:color w:val="002060"/>
                <w:sz w:val="16"/>
                <w:szCs w:val="16"/>
              </w:rPr>
            </w:pPr>
            <w:r w:rsidRPr="002655A7">
              <w:rPr>
                <w:color w:val="002060"/>
                <w:sz w:val="16"/>
                <w:szCs w:val="16"/>
              </w:rPr>
              <w:t>D</w:t>
            </w:r>
            <w:r w:rsidRPr="002655A7">
              <w:rPr>
                <w:color w:val="002060"/>
                <w:sz w:val="16"/>
                <w:szCs w:val="16"/>
              </w:rPr>
              <w:noBreakHyphen/>
              <w:t>1 – 26,5%</w:t>
            </w:r>
          </w:p>
          <w:p w14:paraId="3F88879B" w14:textId="77777777" w:rsidR="00F96912" w:rsidRPr="002655A7" w:rsidRDefault="00F96912" w:rsidP="006658D5">
            <w:pPr>
              <w:rPr>
                <w:color w:val="002060"/>
                <w:sz w:val="16"/>
                <w:szCs w:val="16"/>
              </w:rPr>
            </w:pPr>
          </w:p>
          <w:p w14:paraId="73C70E83" w14:textId="77777777" w:rsidR="00F96912" w:rsidRPr="002655A7" w:rsidRDefault="00F96912" w:rsidP="006658D5">
            <w:pPr>
              <w:rPr>
                <w:color w:val="002060"/>
                <w:sz w:val="16"/>
                <w:szCs w:val="16"/>
              </w:rPr>
            </w:pPr>
            <w:r w:rsidRPr="002655A7">
              <w:rPr>
                <w:color w:val="002060"/>
                <w:sz w:val="16"/>
                <w:szCs w:val="16"/>
              </w:rPr>
              <w:t>D</w:t>
            </w:r>
            <w:r w:rsidRPr="002655A7">
              <w:rPr>
                <w:color w:val="002060"/>
                <w:sz w:val="16"/>
                <w:szCs w:val="16"/>
              </w:rPr>
              <w:noBreakHyphen/>
              <w:t>2 – 22,2%</w:t>
            </w:r>
          </w:p>
          <w:p w14:paraId="3684A330" w14:textId="77777777" w:rsidR="00F96912" w:rsidRPr="002655A7" w:rsidRDefault="00F96912" w:rsidP="006658D5">
            <w:pPr>
              <w:rPr>
                <w:color w:val="002060"/>
                <w:sz w:val="16"/>
                <w:szCs w:val="16"/>
              </w:rPr>
            </w:pPr>
            <w:r w:rsidRPr="002655A7">
              <w:rPr>
                <w:color w:val="002060"/>
                <w:sz w:val="16"/>
                <w:szCs w:val="16"/>
              </w:rPr>
              <w:t>(fin 2015)</w:t>
            </w:r>
          </w:p>
          <w:p w14:paraId="19753BFC" w14:textId="77777777" w:rsidR="00F96912" w:rsidRPr="00266EB9" w:rsidRDefault="00F96912" w:rsidP="006658D5">
            <w:pPr>
              <w:rPr>
                <w:i/>
                <w:color w:val="000000"/>
                <w:sz w:val="16"/>
                <w:szCs w:val="16"/>
              </w:rPr>
            </w:pPr>
          </w:p>
          <w:p w14:paraId="418AFA54"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0BB242CF" w14:textId="77777777" w:rsidR="00F96912" w:rsidRPr="00266EB9" w:rsidRDefault="00F96912" w:rsidP="006658D5">
            <w:pPr>
              <w:rPr>
                <w:color w:val="000000"/>
                <w:sz w:val="16"/>
                <w:szCs w:val="16"/>
              </w:rPr>
            </w:pPr>
            <w:r w:rsidRPr="00266EB9">
              <w:rPr>
                <w:sz w:val="16"/>
                <w:szCs w:val="16"/>
              </w:rPr>
              <w:t>P</w:t>
            </w:r>
            <w:r>
              <w:rPr>
                <w:sz w:val="16"/>
                <w:szCs w:val="16"/>
              </w:rPr>
              <w:noBreakHyphen/>
            </w:r>
            <w:r w:rsidRPr="00266EB9">
              <w:rPr>
                <w:sz w:val="16"/>
                <w:szCs w:val="16"/>
              </w:rPr>
              <w:t>4 – 44,4%</w:t>
            </w:r>
          </w:p>
          <w:p w14:paraId="50B9ADF4" w14:textId="77777777" w:rsidR="00F96912" w:rsidRPr="00266EB9" w:rsidRDefault="00F96912" w:rsidP="006658D5">
            <w:pPr>
              <w:rPr>
                <w:color w:val="000000"/>
                <w:sz w:val="16"/>
                <w:szCs w:val="16"/>
              </w:rPr>
            </w:pPr>
            <w:r w:rsidRPr="00266EB9">
              <w:rPr>
                <w:sz w:val="16"/>
                <w:szCs w:val="16"/>
              </w:rPr>
              <w:t>P</w:t>
            </w:r>
            <w:r>
              <w:rPr>
                <w:sz w:val="16"/>
                <w:szCs w:val="16"/>
              </w:rPr>
              <w:noBreakHyphen/>
            </w:r>
            <w:r w:rsidRPr="00266EB9">
              <w:rPr>
                <w:sz w:val="16"/>
                <w:szCs w:val="16"/>
              </w:rPr>
              <w:t>5 – 34,4%</w:t>
            </w:r>
          </w:p>
          <w:p w14:paraId="7E5350AA" w14:textId="77777777" w:rsidR="00F96912" w:rsidRPr="00266EB9" w:rsidRDefault="00F96912" w:rsidP="006658D5">
            <w:pPr>
              <w:rPr>
                <w:color w:val="000000"/>
                <w:sz w:val="16"/>
                <w:szCs w:val="16"/>
              </w:rPr>
            </w:pPr>
            <w:r w:rsidRPr="00266EB9">
              <w:rPr>
                <w:sz w:val="16"/>
                <w:szCs w:val="16"/>
              </w:rPr>
              <w:t>D</w:t>
            </w:r>
            <w:r>
              <w:rPr>
                <w:sz w:val="16"/>
                <w:szCs w:val="16"/>
              </w:rPr>
              <w:noBreakHyphen/>
            </w:r>
            <w:r w:rsidRPr="00266EB9">
              <w:rPr>
                <w:sz w:val="16"/>
                <w:szCs w:val="16"/>
              </w:rPr>
              <w:t>1 – 26,7%</w:t>
            </w:r>
          </w:p>
          <w:p w14:paraId="5D4A8098" w14:textId="77777777" w:rsidR="00F96912" w:rsidRPr="00266EB9" w:rsidRDefault="00F96912" w:rsidP="006658D5">
            <w:pPr>
              <w:rPr>
                <w:color w:val="000000"/>
                <w:sz w:val="16"/>
                <w:szCs w:val="16"/>
              </w:rPr>
            </w:pPr>
            <w:r w:rsidRPr="00266EB9">
              <w:rPr>
                <w:sz w:val="16"/>
                <w:szCs w:val="16"/>
              </w:rPr>
              <w:t>D</w:t>
            </w:r>
            <w:r>
              <w:rPr>
                <w:sz w:val="16"/>
                <w:szCs w:val="16"/>
              </w:rPr>
              <w:noBreakHyphen/>
            </w:r>
            <w:r w:rsidRPr="00266EB9">
              <w:rPr>
                <w:sz w:val="16"/>
                <w:szCs w:val="16"/>
              </w:rPr>
              <w:t>2 – 22,2%</w:t>
            </w:r>
          </w:p>
          <w:p w14:paraId="0E342435" w14:textId="77777777" w:rsidR="00F96912" w:rsidRPr="00266EB9" w:rsidRDefault="00F96912" w:rsidP="006658D5">
            <w:pPr>
              <w:rPr>
                <w:color w:val="000000"/>
                <w:sz w:val="16"/>
                <w:szCs w:val="16"/>
              </w:rPr>
            </w:pPr>
            <w:r w:rsidRPr="00266EB9">
              <w:rPr>
                <w:sz w:val="16"/>
                <w:szCs w:val="16"/>
              </w:rPr>
              <w:t>(décembre 2014)</w:t>
            </w:r>
          </w:p>
        </w:tc>
        <w:tc>
          <w:tcPr>
            <w:tcW w:w="817" w:type="pct"/>
            <w:shd w:val="clear" w:color="auto" w:fill="auto"/>
            <w:tcMar>
              <w:top w:w="57" w:type="dxa"/>
              <w:left w:w="108" w:type="dxa"/>
              <w:right w:w="108" w:type="dxa"/>
            </w:tcMar>
          </w:tcPr>
          <w:p w14:paraId="015DC8B2" w14:textId="77777777" w:rsidR="00F96912" w:rsidRPr="002655A7" w:rsidRDefault="00F96912" w:rsidP="006658D5">
            <w:pPr>
              <w:rPr>
                <w:i/>
                <w:color w:val="002060"/>
                <w:sz w:val="16"/>
                <w:szCs w:val="16"/>
              </w:rPr>
            </w:pPr>
            <w:r w:rsidRPr="00266EB9">
              <w:rPr>
                <w:i/>
                <w:color w:val="002060"/>
                <w:sz w:val="16"/>
                <w:szCs w:val="16"/>
              </w:rPr>
              <w:t>Ob</w:t>
            </w:r>
            <w:r w:rsidRPr="002655A7">
              <w:rPr>
                <w:i/>
                <w:color w:val="002060"/>
                <w:sz w:val="16"/>
                <w:szCs w:val="16"/>
              </w:rPr>
              <w:t>jectif actualisé :</w:t>
            </w:r>
          </w:p>
          <w:p w14:paraId="05E8F410" w14:textId="77777777" w:rsidR="00F96912" w:rsidRPr="002655A7" w:rsidRDefault="00F96912" w:rsidP="006658D5">
            <w:pPr>
              <w:rPr>
                <w:color w:val="002060"/>
                <w:sz w:val="16"/>
                <w:szCs w:val="16"/>
              </w:rPr>
            </w:pPr>
            <w:r w:rsidRPr="002655A7">
              <w:rPr>
                <w:color w:val="002060"/>
                <w:sz w:val="16"/>
                <w:szCs w:val="16"/>
              </w:rPr>
              <w:t>P</w:t>
            </w:r>
            <w:r w:rsidRPr="002655A7">
              <w:rPr>
                <w:color w:val="002060"/>
                <w:sz w:val="16"/>
                <w:szCs w:val="16"/>
              </w:rPr>
              <w:noBreakHyphen/>
              <w:t>4 – 47%</w:t>
            </w:r>
          </w:p>
          <w:p w14:paraId="54E7C169" w14:textId="77777777" w:rsidR="00F96912" w:rsidRPr="002655A7" w:rsidRDefault="00F96912" w:rsidP="006658D5">
            <w:pPr>
              <w:rPr>
                <w:color w:val="002060"/>
                <w:sz w:val="16"/>
                <w:szCs w:val="16"/>
              </w:rPr>
            </w:pPr>
          </w:p>
          <w:p w14:paraId="59F3B5F1" w14:textId="77777777" w:rsidR="00F96912" w:rsidRPr="002655A7" w:rsidRDefault="00F96912" w:rsidP="006658D5">
            <w:pPr>
              <w:rPr>
                <w:color w:val="002060"/>
                <w:sz w:val="16"/>
                <w:szCs w:val="16"/>
              </w:rPr>
            </w:pPr>
            <w:r w:rsidRPr="002655A7">
              <w:rPr>
                <w:color w:val="002060"/>
                <w:sz w:val="16"/>
                <w:szCs w:val="16"/>
              </w:rPr>
              <w:t>P</w:t>
            </w:r>
            <w:r w:rsidRPr="002655A7">
              <w:rPr>
                <w:color w:val="002060"/>
                <w:sz w:val="16"/>
                <w:szCs w:val="16"/>
              </w:rPr>
              <w:noBreakHyphen/>
              <w:t>5 – 35%</w:t>
            </w:r>
          </w:p>
          <w:p w14:paraId="7597CA25" w14:textId="77777777" w:rsidR="00F96912" w:rsidRPr="002655A7" w:rsidRDefault="00F96912" w:rsidP="006658D5">
            <w:pPr>
              <w:rPr>
                <w:color w:val="002060"/>
                <w:sz w:val="16"/>
                <w:szCs w:val="16"/>
              </w:rPr>
            </w:pPr>
          </w:p>
          <w:p w14:paraId="5B32E759" w14:textId="77777777" w:rsidR="00F96912" w:rsidRPr="002655A7" w:rsidRDefault="00F96912" w:rsidP="006658D5">
            <w:pPr>
              <w:rPr>
                <w:color w:val="002060"/>
                <w:sz w:val="16"/>
                <w:szCs w:val="16"/>
              </w:rPr>
            </w:pPr>
            <w:r w:rsidRPr="002655A7">
              <w:rPr>
                <w:color w:val="002060"/>
                <w:sz w:val="16"/>
                <w:szCs w:val="16"/>
              </w:rPr>
              <w:t>D</w:t>
            </w:r>
            <w:r w:rsidRPr="002655A7">
              <w:rPr>
                <w:color w:val="002060"/>
                <w:sz w:val="16"/>
                <w:szCs w:val="16"/>
              </w:rPr>
              <w:noBreakHyphen/>
              <w:t>1 – 30%</w:t>
            </w:r>
          </w:p>
          <w:p w14:paraId="4AE22F8D" w14:textId="77777777" w:rsidR="00F96912" w:rsidRPr="002655A7" w:rsidRDefault="00F96912" w:rsidP="006658D5">
            <w:pPr>
              <w:rPr>
                <w:color w:val="002060"/>
                <w:sz w:val="16"/>
                <w:szCs w:val="16"/>
              </w:rPr>
            </w:pPr>
          </w:p>
          <w:p w14:paraId="6247157A" w14:textId="77777777" w:rsidR="00F96912" w:rsidRPr="002655A7" w:rsidRDefault="00F96912" w:rsidP="006658D5">
            <w:pPr>
              <w:rPr>
                <w:color w:val="002060"/>
                <w:sz w:val="16"/>
                <w:szCs w:val="16"/>
              </w:rPr>
            </w:pPr>
            <w:r w:rsidRPr="002655A7">
              <w:rPr>
                <w:color w:val="002060"/>
                <w:sz w:val="16"/>
                <w:szCs w:val="16"/>
              </w:rPr>
              <w:t>D</w:t>
            </w:r>
            <w:r w:rsidRPr="002655A7">
              <w:rPr>
                <w:color w:val="002060"/>
                <w:sz w:val="16"/>
                <w:szCs w:val="16"/>
              </w:rPr>
              <w:noBreakHyphen/>
              <w:t>2 – 30%</w:t>
            </w:r>
          </w:p>
          <w:p w14:paraId="5C0FE0AE" w14:textId="77777777" w:rsidR="00F96912" w:rsidRPr="002655A7" w:rsidRDefault="00F96912" w:rsidP="006658D5">
            <w:pPr>
              <w:keepNext/>
              <w:keepLines/>
              <w:rPr>
                <w:color w:val="002060"/>
                <w:sz w:val="16"/>
                <w:szCs w:val="16"/>
              </w:rPr>
            </w:pPr>
          </w:p>
          <w:p w14:paraId="682B5A9C" w14:textId="77777777" w:rsidR="00F96912" w:rsidRPr="00266EB9" w:rsidRDefault="00F96912" w:rsidP="006658D5">
            <w:pPr>
              <w:keepNext/>
              <w:keepLines/>
              <w:rPr>
                <w:color w:val="000000"/>
                <w:sz w:val="16"/>
                <w:szCs w:val="16"/>
              </w:rPr>
            </w:pPr>
          </w:p>
          <w:p w14:paraId="624005FC" w14:textId="77777777" w:rsidR="00F96912" w:rsidRPr="00266EB9" w:rsidRDefault="00F96912" w:rsidP="006658D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4D32834A" w14:textId="77777777" w:rsidR="00F96912" w:rsidRPr="00266EB9" w:rsidRDefault="00F96912" w:rsidP="006658D5">
            <w:pPr>
              <w:rPr>
                <w:color w:val="000000"/>
                <w:sz w:val="16"/>
                <w:szCs w:val="16"/>
              </w:rPr>
            </w:pPr>
            <w:r w:rsidRPr="00266EB9">
              <w:rPr>
                <w:sz w:val="16"/>
                <w:szCs w:val="16"/>
              </w:rPr>
              <w:t>P</w:t>
            </w:r>
            <w:r>
              <w:rPr>
                <w:sz w:val="16"/>
                <w:szCs w:val="16"/>
              </w:rPr>
              <w:noBreakHyphen/>
            </w:r>
            <w:r w:rsidRPr="00266EB9">
              <w:rPr>
                <w:sz w:val="16"/>
                <w:szCs w:val="16"/>
              </w:rPr>
              <w:t>4 – 46%</w:t>
            </w:r>
          </w:p>
          <w:p w14:paraId="25E3998F" w14:textId="77777777" w:rsidR="00F96912" w:rsidRPr="00266EB9" w:rsidRDefault="00F96912" w:rsidP="006658D5">
            <w:pPr>
              <w:rPr>
                <w:color w:val="000000"/>
                <w:sz w:val="16"/>
                <w:szCs w:val="16"/>
              </w:rPr>
            </w:pPr>
            <w:r w:rsidRPr="00266EB9">
              <w:rPr>
                <w:sz w:val="16"/>
                <w:szCs w:val="16"/>
              </w:rPr>
              <w:t>P</w:t>
            </w:r>
            <w:r>
              <w:rPr>
                <w:sz w:val="16"/>
                <w:szCs w:val="16"/>
              </w:rPr>
              <w:noBreakHyphen/>
            </w:r>
            <w:r w:rsidRPr="00266EB9">
              <w:rPr>
                <w:sz w:val="16"/>
                <w:szCs w:val="16"/>
              </w:rPr>
              <w:t>5 – 35%</w:t>
            </w:r>
          </w:p>
          <w:p w14:paraId="2786B71A" w14:textId="77777777" w:rsidR="00F96912" w:rsidRPr="00266EB9" w:rsidRDefault="00F96912" w:rsidP="006658D5">
            <w:pPr>
              <w:rPr>
                <w:color w:val="000000"/>
                <w:sz w:val="16"/>
                <w:szCs w:val="16"/>
              </w:rPr>
            </w:pPr>
            <w:r w:rsidRPr="00266EB9">
              <w:rPr>
                <w:sz w:val="16"/>
                <w:szCs w:val="16"/>
              </w:rPr>
              <w:t>D</w:t>
            </w:r>
            <w:r>
              <w:rPr>
                <w:sz w:val="16"/>
                <w:szCs w:val="16"/>
              </w:rPr>
              <w:noBreakHyphen/>
            </w:r>
            <w:r w:rsidRPr="00266EB9">
              <w:rPr>
                <w:sz w:val="16"/>
                <w:szCs w:val="16"/>
              </w:rPr>
              <w:t>1 – 30%</w:t>
            </w:r>
          </w:p>
          <w:p w14:paraId="762B241A" w14:textId="77777777" w:rsidR="00F96912" w:rsidRPr="00266EB9" w:rsidRDefault="00F96912" w:rsidP="006658D5">
            <w:pPr>
              <w:rPr>
                <w:color w:val="000000"/>
                <w:sz w:val="16"/>
                <w:szCs w:val="16"/>
              </w:rPr>
            </w:pPr>
            <w:r w:rsidRPr="00266EB9">
              <w:rPr>
                <w:sz w:val="16"/>
                <w:szCs w:val="16"/>
              </w:rPr>
              <w:t>D</w:t>
            </w:r>
            <w:r>
              <w:rPr>
                <w:sz w:val="16"/>
                <w:szCs w:val="16"/>
              </w:rPr>
              <w:noBreakHyphen/>
            </w:r>
            <w:r w:rsidRPr="00266EB9">
              <w:rPr>
                <w:sz w:val="16"/>
                <w:szCs w:val="16"/>
              </w:rPr>
              <w:t>2 – 30%</w:t>
            </w:r>
            <w:r w:rsidRPr="00266EB9">
              <w:rPr>
                <w:color w:val="000000"/>
                <w:sz w:val="16"/>
                <w:szCs w:val="16"/>
              </w:rPr>
              <w:t xml:space="preserve"> </w:t>
            </w:r>
          </w:p>
        </w:tc>
        <w:tc>
          <w:tcPr>
            <w:tcW w:w="1203" w:type="pct"/>
            <w:shd w:val="clear" w:color="auto" w:fill="FFFFFF"/>
            <w:tcMar>
              <w:top w:w="57" w:type="dxa"/>
              <w:left w:w="108" w:type="dxa"/>
              <w:right w:w="108" w:type="dxa"/>
            </w:tcMar>
          </w:tcPr>
          <w:p w14:paraId="7014FA78" w14:textId="77777777" w:rsidR="00F96912" w:rsidRPr="00266EB9" w:rsidRDefault="00F96912" w:rsidP="006658D5">
            <w:pPr>
              <w:rPr>
                <w:color w:val="000000"/>
                <w:sz w:val="16"/>
                <w:szCs w:val="16"/>
              </w:rPr>
            </w:pPr>
          </w:p>
          <w:p w14:paraId="6FD9C58D" w14:textId="77777777" w:rsidR="00F96912" w:rsidRPr="00266EB9" w:rsidRDefault="00F96912" w:rsidP="006658D5">
            <w:pPr>
              <w:rPr>
                <w:sz w:val="16"/>
                <w:szCs w:val="16"/>
              </w:rPr>
            </w:pPr>
            <w:r w:rsidRPr="00266EB9">
              <w:rPr>
                <w:sz w:val="16"/>
                <w:szCs w:val="16"/>
              </w:rPr>
              <w:t>P</w:t>
            </w:r>
            <w:r>
              <w:rPr>
                <w:sz w:val="16"/>
                <w:szCs w:val="16"/>
              </w:rPr>
              <w:noBreakHyphen/>
            </w:r>
            <w:r w:rsidRPr="00266EB9">
              <w:rPr>
                <w:sz w:val="16"/>
                <w:szCs w:val="16"/>
              </w:rPr>
              <w:t>4 – 45,6%</w:t>
            </w:r>
          </w:p>
          <w:p w14:paraId="107CAB16" w14:textId="77777777" w:rsidR="00F96912" w:rsidRDefault="00F96912" w:rsidP="006658D5">
            <w:pPr>
              <w:rPr>
                <w:sz w:val="16"/>
                <w:szCs w:val="16"/>
              </w:rPr>
            </w:pPr>
          </w:p>
          <w:p w14:paraId="19BC1E05" w14:textId="77777777" w:rsidR="00F96912" w:rsidRPr="00266EB9" w:rsidRDefault="00F96912" w:rsidP="006658D5">
            <w:pPr>
              <w:rPr>
                <w:sz w:val="16"/>
                <w:szCs w:val="16"/>
              </w:rPr>
            </w:pPr>
          </w:p>
          <w:p w14:paraId="60D8740A" w14:textId="77777777" w:rsidR="00F96912" w:rsidRPr="00266EB9" w:rsidRDefault="00F96912" w:rsidP="006658D5">
            <w:pPr>
              <w:rPr>
                <w:sz w:val="16"/>
                <w:szCs w:val="16"/>
              </w:rPr>
            </w:pPr>
            <w:r w:rsidRPr="00266EB9">
              <w:rPr>
                <w:sz w:val="16"/>
                <w:szCs w:val="16"/>
              </w:rPr>
              <w:t>P</w:t>
            </w:r>
            <w:r>
              <w:rPr>
                <w:sz w:val="16"/>
                <w:szCs w:val="16"/>
              </w:rPr>
              <w:noBreakHyphen/>
            </w:r>
            <w:r w:rsidRPr="00266EB9">
              <w:rPr>
                <w:sz w:val="16"/>
                <w:szCs w:val="16"/>
              </w:rPr>
              <w:t>5 – 35,6%</w:t>
            </w:r>
          </w:p>
          <w:p w14:paraId="6AE895BF" w14:textId="77777777" w:rsidR="00F96912" w:rsidRDefault="00F96912" w:rsidP="006658D5">
            <w:pPr>
              <w:rPr>
                <w:sz w:val="16"/>
                <w:szCs w:val="16"/>
              </w:rPr>
            </w:pPr>
          </w:p>
          <w:p w14:paraId="77C5B2B9" w14:textId="77777777" w:rsidR="00F96912" w:rsidRPr="00266EB9" w:rsidRDefault="00F96912" w:rsidP="006658D5">
            <w:pPr>
              <w:rPr>
                <w:sz w:val="16"/>
                <w:szCs w:val="16"/>
              </w:rPr>
            </w:pPr>
          </w:p>
          <w:p w14:paraId="76666A73" w14:textId="77777777" w:rsidR="00F96912" w:rsidRPr="00266EB9" w:rsidRDefault="00F96912" w:rsidP="006658D5">
            <w:pPr>
              <w:rPr>
                <w:sz w:val="16"/>
                <w:szCs w:val="16"/>
              </w:rPr>
            </w:pPr>
            <w:r w:rsidRPr="00266EB9">
              <w:rPr>
                <w:sz w:val="16"/>
                <w:szCs w:val="16"/>
              </w:rPr>
              <w:t>D</w:t>
            </w:r>
            <w:r>
              <w:rPr>
                <w:sz w:val="16"/>
                <w:szCs w:val="16"/>
              </w:rPr>
              <w:noBreakHyphen/>
            </w:r>
            <w:r w:rsidRPr="00266EB9">
              <w:rPr>
                <w:sz w:val="16"/>
                <w:szCs w:val="16"/>
              </w:rPr>
              <w:t>1 – 30,0%</w:t>
            </w:r>
          </w:p>
          <w:p w14:paraId="520EB8BC" w14:textId="77777777" w:rsidR="00F96912" w:rsidRDefault="00F96912" w:rsidP="006658D5">
            <w:pPr>
              <w:rPr>
                <w:sz w:val="16"/>
                <w:szCs w:val="6"/>
              </w:rPr>
            </w:pPr>
          </w:p>
          <w:p w14:paraId="19D1E0FC" w14:textId="77777777" w:rsidR="00F96912" w:rsidRPr="00266EB9" w:rsidRDefault="00F96912" w:rsidP="006658D5">
            <w:pPr>
              <w:rPr>
                <w:sz w:val="16"/>
                <w:szCs w:val="6"/>
              </w:rPr>
            </w:pPr>
          </w:p>
          <w:p w14:paraId="23B0F179" w14:textId="77777777" w:rsidR="00F96912" w:rsidRPr="00266EB9" w:rsidRDefault="00F96912" w:rsidP="006658D5">
            <w:pPr>
              <w:rPr>
                <w:color w:val="000000"/>
                <w:sz w:val="16"/>
                <w:szCs w:val="16"/>
              </w:rPr>
            </w:pPr>
            <w:r w:rsidRPr="00266EB9">
              <w:rPr>
                <w:sz w:val="16"/>
                <w:szCs w:val="16"/>
              </w:rPr>
              <w:t>D</w:t>
            </w:r>
            <w:r>
              <w:rPr>
                <w:sz w:val="16"/>
                <w:szCs w:val="16"/>
              </w:rPr>
              <w:noBreakHyphen/>
            </w:r>
            <w:r w:rsidRPr="00266EB9">
              <w:rPr>
                <w:sz w:val="16"/>
                <w:szCs w:val="16"/>
              </w:rPr>
              <w:t>2 – 16,7%</w:t>
            </w:r>
          </w:p>
        </w:tc>
        <w:tc>
          <w:tcPr>
            <w:tcW w:w="673" w:type="pct"/>
            <w:shd w:val="clear" w:color="auto" w:fill="auto"/>
            <w:tcMar>
              <w:top w:w="57" w:type="dxa"/>
              <w:left w:w="108" w:type="dxa"/>
              <w:right w:w="108" w:type="dxa"/>
            </w:tcMar>
          </w:tcPr>
          <w:p w14:paraId="562C8533" w14:textId="77777777" w:rsidR="00F96912" w:rsidRPr="00266EB9" w:rsidRDefault="00F96912" w:rsidP="006658D5">
            <w:pPr>
              <w:keepNext/>
              <w:keepLines/>
              <w:jc w:val="center"/>
              <w:rPr>
                <w:b/>
                <w:bCs/>
                <w:color w:val="FF0000"/>
                <w:sz w:val="16"/>
                <w:szCs w:val="16"/>
              </w:rPr>
            </w:pPr>
          </w:p>
          <w:p w14:paraId="04FED1FE" w14:textId="77777777" w:rsidR="00F96912" w:rsidRPr="00266EB9" w:rsidRDefault="00F96912" w:rsidP="006658D5">
            <w:pPr>
              <w:keepNext/>
              <w:keepLines/>
              <w:jc w:val="center"/>
              <w:rPr>
                <w:b/>
                <w:bCs/>
                <w:color w:val="FF0000"/>
                <w:sz w:val="16"/>
                <w:szCs w:val="16"/>
              </w:rPr>
            </w:pPr>
            <w:r w:rsidRPr="00266EB9">
              <w:rPr>
                <w:b/>
                <w:color w:val="FF0000"/>
                <w:sz w:val="16"/>
                <w:szCs w:val="16"/>
              </w:rPr>
              <w:t>Pas en bonne voie</w:t>
            </w:r>
          </w:p>
          <w:p w14:paraId="3ECAB64B" w14:textId="77777777" w:rsidR="00F96912" w:rsidRPr="00266EB9" w:rsidRDefault="00F96912" w:rsidP="006658D5">
            <w:pPr>
              <w:keepNext/>
              <w:keepLines/>
              <w:jc w:val="center"/>
              <w:rPr>
                <w:b/>
                <w:bCs/>
                <w:color w:val="00B050"/>
                <w:sz w:val="16"/>
                <w:szCs w:val="16"/>
              </w:rPr>
            </w:pPr>
          </w:p>
          <w:p w14:paraId="01C03DDB" w14:textId="77777777" w:rsidR="00F96912" w:rsidRPr="00266EB9" w:rsidRDefault="00F96912" w:rsidP="006658D5">
            <w:pPr>
              <w:keepNext/>
              <w:keepLines/>
              <w:jc w:val="center"/>
              <w:rPr>
                <w:b/>
                <w:bCs/>
                <w:color w:val="00B050"/>
                <w:sz w:val="16"/>
                <w:szCs w:val="16"/>
              </w:rPr>
            </w:pPr>
            <w:r w:rsidRPr="00266EB9">
              <w:rPr>
                <w:b/>
                <w:color w:val="00B050"/>
                <w:sz w:val="16"/>
                <w:szCs w:val="16"/>
              </w:rPr>
              <w:t>En bonne voie</w:t>
            </w:r>
          </w:p>
          <w:p w14:paraId="4711AF88" w14:textId="77777777" w:rsidR="00F96912" w:rsidRPr="00266EB9" w:rsidRDefault="00F96912" w:rsidP="006658D5">
            <w:pPr>
              <w:keepNext/>
              <w:keepLines/>
              <w:jc w:val="center"/>
              <w:rPr>
                <w:b/>
                <w:bCs/>
                <w:color w:val="00B050"/>
                <w:sz w:val="16"/>
                <w:szCs w:val="16"/>
              </w:rPr>
            </w:pPr>
          </w:p>
          <w:p w14:paraId="0C87DE5C" w14:textId="77777777" w:rsidR="00F96912" w:rsidRPr="00266EB9" w:rsidRDefault="00F96912" w:rsidP="006658D5">
            <w:pPr>
              <w:keepNext/>
              <w:keepLines/>
              <w:jc w:val="center"/>
              <w:rPr>
                <w:b/>
                <w:bCs/>
                <w:color w:val="00B050"/>
                <w:sz w:val="16"/>
                <w:szCs w:val="16"/>
              </w:rPr>
            </w:pPr>
            <w:r w:rsidRPr="00266EB9">
              <w:rPr>
                <w:b/>
                <w:color w:val="00B050"/>
                <w:sz w:val="16"/>
                <w:szCs w:val="16"/>
              </w:rPr>
              <w:t>En bonne voie</w:t>
            </w:r>
          </w:p>
          <w:p w14:paraId="536A33C1" w14:textId="77777777" w:rsidR="00F96912" w:rsidRPr="00266EB9" w:rsidRDefault="00F96912" w:rsidP="006658D5">
            <w:pPr>
              <w:keepNext/>
              <w:keepLines/>
              <w:jc w:val="center"/>
              <w:rPr>
                <w:b/>
                <w:bCs/>
                <w:color w:val="FF0000"/>
                <w:sz w:val="16"/>
                <w:szCs w:val="16"/>
              </w:rPr>
            </w:pPr>
          </w:p>
          <w:p w14:paraId="2C506621" w14:textId="77777777" w:rsidR="00F96912" w:rsidRPr="00266EB9" w:rsidRDefault="00F96912" w:rsidP="006658D5">
            <w:pPr>
              <w:keepNext/>
              <w:keepLines/>
              <w:jc w:val="center"/>
              <w:rPr>
                <w:color w:val="000000"/>
                <w:sz w:val="16"/>
                <w:szCs w:val="16"/>
              </w:rPr>
            </w:pPr>
            <w:r w:rsidRPr="00266EB9">
              <w:rPr>
                <w:b/>
                <w:color w:val="FF0000"/>
                <w:sz w:val="16"/>
                <w:szCs w:val="16"/>
              </w:rPr>
              <w:t>Pas en bonne voie</w:t>
            </w:r>
          </w:p>
        </w:tc>
      </w:tr>
      <w:tr w:rsidR="00F96912" w:rsidRPr="00266EB9" w14:paraId="0A73787B" w14:textId="77777777" w:rsidTr="006658D5">
        <w:trPr>
          <w:cantSplit/>
        </w:trPr>
        <w:tc>
          <w:tcPr>
            <w:tcW w:w="1057" w:type="pct"/>
            <w:shd w:val="clear" w:color="auto" w:fill="auto"/>
            <w:tcMar>
              <w:left w:w="108" w:type="dxa"/>
              <w:right w:w="108" w:type="dxa"/>
            </w:tcMar>
          </w:tcPr>
          <w:p w14:paraId="542817B7" w14:textId="77777777" w:rsidR="00F96912" w:rsidRPr="00266EB9" w:rsidRDefault="00F96912" w:rsidP="006658D5">
            <w:pPr>
              <w:rPr>
                <w:color w:val="000000"/>
                <w:sz w:val="16"/>
                <w:szCs w:val="16"/>
              </w:rPr>
            </w:pPr>
            <w:r w:rsidRPr="00266EB9">
              <w:rPr>
                <w:color w:val="000000"/>
                <w:sz w:val="16"/>
                <w:szCs w:val="16"/>
              </w:rPr>
              <w:t>D</w:t>
            </w:r>
            <w:r w:rsidRPr="00266EB9">
              <w:rPr>
                <w:sz w:val="16"/>
                <w:szCs w:val="16"/>
              </w:rPr>
              <w:t>élais de recrutement</w:t>
            </w:r>
          </w:p>
        </w:tc>
        <w:tc>
          <w:tcPr>
            <w:tcW w:w="1250" w:type="pct"/>
            <w:shd w:val="clear" w:color="auto" w:fill="auto"/>
            <w:tcMar>
              <w:left w:w="108" w:type="dxa"/>
              <w:right w:w="108" w:type="dxa"/>
            </w:tcMar>
          </w:tcPr>
          <w:p w14:paraId="2122A07F" w14:textId="77777777" w:rsidR="00F96912" w:rsidRPr="00266EB9" w:rsidRDefault="00F96912" w:rsidP="006658D5">
            <w:pPr>
              <w:rPr>
                <w:i/>
                <w:color w:val="002060"/>
                <w:sz w:val="16"/>
                <w:szCs w:val="16"/>
              </w:rPr>
            </w:pPr>
            <w:r w:rsidRPr="00266EB9">
              <w:rPr>
                <w:i/>
                <w:color w:val="002060"/>
                <w:sz w:val="16"/>
                <w:szCs w:val="16"/>
              </w:rPr>
              <w:t>Niveau de référence actualisé à fin 2015 :</w:t>
            </w:r>
          </w:p>
          <w:p w14:paraId="4873F9E2" w14:textId="77777777" w:rsidR="00F96912" w:rsidRPr="00266EB9" w:rsidRDefault="00F96912" w:rsidP="006658D5">
            <w:pPr>
              <w:rPr>
                <w:color w:val="002060"/>
                <w:sz w:val="16"/>
                <w:szCs w:val="16"/>
              </w:rPr>
            </w:pPr>
            <w:r w:rsidRPr="00266EB9">
              <w:rPr>
                <w:color w:val="002060"/>
                <w:sz w:val="16"/>
                <w:szCs w:val="16"/>
              </w:rPr>
              <w:t>Moyenne sur l’exercice biennal : 19,77</w:t>
            </w:r>
          </w:p>
          <w:p w14:paraId="24463376" w14:textId="77777777" w:rsidR="00F96912" w:rsidRPr="00266EB9" w:rsidRDefault="00F96912" w:rsidP="006658D5">
            <w:pPr>
              <w:rPr>
                <w:sz w:val="16"/>
              </w:rPr>
            </w:pPr>
            <w:r w:rsidRPr="00266EB9">
              <w:rPr>
                <w:color w:val="002060"/>
                <w:sz w:val="16"/>
                <w:szCs w:val="16"/>
              </w:rPr>
              <w:t>2014 : 17,28 semaines</w:t>
            </w:r>
            <w:r w:rsidRPr="00266EB9">
              <w:rPr>
                <w:sz w:val="16"/>
                <w:szCs w:val="16"/>
              </w:rPr>
              <w:t xml:space="preserve"> </w:t>
            </w:r>
            <w:r w:rsidRPr="00266EB9">
              <w:rPr>
                <w:color w:val="002060"/>
                <w:sz w:val="16"/>
                <w:szCs w:val="16"/>
              </w:rPr>
              <w:t>(y compris 29 agents temporaires de longue durée)</w:t>
            </w:r>
          </w:p>
          <w:p w14:paraId="3430FFF9" w14:textId="77777777" w:rsidR="00F96912" w:rsidRPr="00266EB9" w:rsidRDefault="00F96912" w:rsidP="006658D5">
            <w:pPr>
              <w:rPr>
                <w:color w:val="002060"/>
                <w:sz w:val="16"/>
                <w:szCs w:val="16"/>
              </w:rPr>
            </w:pPr>
            <w:r w:rsidRPr="00266EB9">
              <w:rPr>
                <w:color w:val="002060"/>
                <w:sz w:val="16"/>
                <w:szCs w:val="16"/>
              </w:rPr>
              <w:t>2015 : 26,32 semaines (pas d’agent temporaire de longue durée en 2015)</w:t>
            </w:r>
          </w:p>
          <w:p w14:paraId="56D8BF95" w14:textId="77777777" w:rsidR="00F96912" w:rsidRPr="00266EB9" w:rsidRDefault="00F96912" w:rsidP="006658D5">
            <w:pPr>
              <w:rPr>
                <w:color w:val="002060"/>
                <w:sz w:val="16"/>
                <w:szCs w:val="16"/>
              </w:rPr>
            </w:pPr>
          </w:p>
          <w:p w14:paraId="543AA5F2"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68FD278D" w14:textId="77777777" w:rsidR="00F96912" w:rsidRPr="00266EB9" w:rsidRDefault="00F96912" w:rsidP="006658D5">
            <w:pPr>
              <w:rPr>
                <w:color w:val="000000"/>
                <w:sz w:val="16"/>
                <w:szCs w:val="16"/>
              </w:rPr>
            </w:pPr>
            <w:r w:rsidRPr="00266EB9">
              <w:rPr>
                <w:sz w:val="16"/>
                <w:szCs w:val="16"/>
              </w:rPr>
              <w:t>14,7 semaines (y compris les agents temporaires de longue durée)</w:t>
            </w:r>
            <w:r w:rsidRPr="00266EB9">
              <w:rPr>
                <w:color w:val="000000"/>
                <w:sz w:val="16"/>
                <w:szCs w:val="16"/>
              </w:rPr>
              <w:br/>
              <w:t>1</w:t>
            </w:r>
            <w:r w:rsidRPr="00266EB9">
              <w:rPr>
                <w:sz w:val="16"/>
                <w:szCs w:val="16"/>
              </w:rPr>
              <w:t>9,07 semaines (sans compter les agents temporaires de longue durée)</w:t>
            </w:r>
          </w:p>
        </w:tc>
        <w:tc>
          <w:tcPr>
            <w:tcW w:w="817" w:type="pct"/>
            <w:shd w:val="clear" w:color="auto" w:fill="auto"/>
            <w:tcMar>
              <w:top w:w="57" w:type="dxa"/>
              <w:left w:w="108" w:type="dxa"/>
              <w:right w:w="108" w:type="dxa"/>
            </w:tcMar>
          </w:tcPr>
          <w:p w14:paraId="52E348FA" w14:textId="77777777" w:rsidR="00F96912" w:rsidRPr="00266EB9" w:rsidRDefault="00F96912" w:rsidP="006658D5">
            <w:pPr>
              <w:rPr>
                <w:color w:val="000000"/>
                <w:sz w:val="16"/>
                <w:szCs w:val="16"/>
              </w:rPr>
            </w:pPr>
            <w:r w:rsidRPr="00266EB9">
              <w:rPr>
                <w:sz w:val="16"/>
                <w:szCs w:val="16"/>
              </w:rPr>
              <w:t>19 semaines</w:t>
            </w:r>
          </w:p>
        </w:tc>
        <w:tc>
          <w:tcPr>
            <w:tcW w:w="1203" w:type="pct"/>
            <w:shd w:val="clear" w:color="auto" w:fill="FFFFFF"/>
            <w:tcMar>
              <w:top w:w="57" w:type="dxa"/>
              <w:left w:w="108" w:type="dxa"/>
              <w:right w:w="108" w:type="dxa"/>
            </w:tcMar>
          </w:tcPr>
          <w:p w14:paraId="74738937" w14:textId="77777777" w:rsidR="00F96912" w:rsidRPr="00266EB9" w:rsidRDefault="00F96912" w:rsidP="006658D5">
            <w:pPr>
              <w:rPr>
                <w:color w:val="000000"/>
                <w:sz w:val="16"/>
                <w:szCs w:val="16"/>
              </w:rPr>
            </w:pPr>
            <w:r w:rsidRPr="00266EB9">
              <w:rPr>
                <w:color w:val="000000"/>
                <w:sz w:val="16"/>
                <w:szCs w:val="16"/>
              </w:rPr>
              <w:t>18,81 semaines (15 concours de 2016 toujours en cours au 15 mars 2017)</w:t>
            </w:r>
          </w:p>
        </w:tc>
        <w:tc>
          <w:tcPr>
            <w:tcW w:w="673" w:type="pct"/>
            <w:shd w:val="clear" w:color="auto" w:fill="auto"/>
            <w:tcMar>
              <w:top w:w="57" w:type="dxa"/>
              <w:left w:w="108" w:type="dxa"/>
              <w:right w:w="108" w:type="dxa"/>
            </w:tcMar>
          </w:tcPr>
          <w:p w14:paraId="0F64007D" w14:textId="77777777" w:rsidR="00F96912" w:rsidRPr="00266EB9" w:rsidRDefault="00F96912" w:rsidP="006658D5">
            <w:pPr>
              <w:keepNext/>
              <w:keepLines/>
              <w:jc w:val="center"/>
              <w:rPr>
                <w:b/>
                <w:color w:val="000000"/>
                <w:sz w:val="16"/>
                <w:szCs w:val="16"/>
              </w:rPr>
            </w:pPr>
            <w:r w:rsidRPr="00266EB9">
              <w:rPr>
                <w:b/>
                <w:color w:val="00B050"/>
                <w:sz w:val="16"/>
                <w:szCs w:val="16"/>
              </w:rPr>
              <w:t>En bonne voie</w:t>
            </w:r>
          </w:p>
        </w:tc>
      </w:tr>
      <w:tr w:rsidR="00F96912" w:rsidRPr="00266EB9" w14:paraId="262167AA" w14:textId="77777777" w:rsidTr="006658D5">
        <w:trPr>
          <w:cantSplit/>
        </w:trPr>
        <w:tc>
          <w:tcPr>
            <w:tcW w:w="1057" w:type="pct"/>
            <w:shd w:val="clear" w:color="auto" w:fill="auto"/>
            <w:tcMar>
              <w:left w:w="108" w:type="dxa"/>
              <w:right w:w="108" w:type="dxa"/>
            </w:tcMar>
          </w:tcPr>
          <w:p w14:paraId="0AE1BB96" w14:textId="77777777" w:rsidR="00F96912" w:rsidRPr="00266EB9" w:rsidRDefault="00F96912" w:rsidP="006658D5">
            <w:pPr>
              <w:keepLines/>
              <w:rPr>
                <w:color w:val="000000"/>
                <w:sz w:val="16"/>
                <w:szCs w:val="16"/>
              </w:rPr>
            </w:pPr>
            <w:r w:rsidRPr="00266EB9">
              <w:rPr>
                <w:sz w:val="16"/>
                <w:szCs w:val="16"/>
              </w:rPr>
              <w:t>Pourcentage du personnel dont le travail est évalué en fonction de leurs objectifs et de leurs compétences individuels</w:t>
            </w:r>
          </w:p>
        </w:tc>
        <w:tc>
          <w:tcPr>
            <w:tcW w:w="1250" w:type="pct"/>
            <w:shd w:val="clear" w:color="auto" w:fill="auto"/>
            <w:tcMar>
              <w:left w:w="108" w:type="dxa"/>
              <w:right w:w="108" w:type="dxa"/>
            </w:tcMar>
          </w:tcPr>
          <w:p w14:paraId="10E6261D" w14:textId="77777777" w:rsidR="00F96912" w:rsidRPr="00266EB9" w:rsidRDefault="00F96912" w:rsidP="006658D5">
            <w:pPr>
              <w:rPr>
                <w:i/>
                <w:color w:val="002060"/>
                <w:sz w:val="16"/>
                <w:szCs w:val="16"/>
              </w:rPr>
            </w:pPr>
            <w:r w:rsidRPr="00266EB9">
              <w:rPr>
                <w:i/>
                <w:color w:val="002060"/>
                <w:sz w:val="16"/>
                <w:szCs w:val="16"/>
              </w:rPr>
              <w:t>Niveau de référence actualisé à fin 2015 :</w:t>
            </w:r>
          </w:p>
          <w:p w14:paraId="6850D7FC" w14:textId="77777777" w:rsidR="00F96912" w:rsidRPr="00266EB9" w:rsidRDefault="00F96912" w:rsidP="006658D5">
            <w:pPr>
              <w:rPr>
                <w:color w:val="002060"/>
                <w:sz w:val="16"/>
                <w:szCs w:val="16"/>
              </w:rPr>
            </w:pPr>
            <w:r w:rsidRPr="00266EB9">
              <w:rPr>
                <w:color w:val="002060"/>
                <w:sz w:val="16"/>
                <w:szCs w:val="16"/>
              </w:rPr>
              <w:t>2014 : 93,1%</w:t>
            </w:r>
          </w:p>
          <w:p w14:paraId="007ADA42" w14:textId="77777777" w:rsidR="00F96912" w:rsidRPr="00266EB9" w:rsidRDefault="00F96912" w:rsidP="006658D5">
            <w:pPr>
              <w:rPr>
                <w:color w:val="002060"/>
                <w:sz w:val="16"/>
                <w:szCs w:val="16"/>
              </w:rPr>
            </w:pPr>
            <w:r w:rsidRPr="00266EB9">
              <w:rPr>
                <w:color w:val="002060"/>
                <w:sz w:val="16"/>
                <w:szCs w:val="16"/>
              </w:rPr>
              <w:t>2015 : 94,7%</w:t>
            </w:r>
            <w:r w:rsidRPr="00266EB9">
              <w:rPr>
                <w:rStyle w:val="FootnoteReference"/>
                <w:rFonts w:cs="Arial"/>
                <w:color w:val="002060"/>
              </w:rPr>
              <w:footnoteReference w:id="89"/>
            </w:r>
          </w:p>
          <w:p w14:paraId="0413C52F" w14:textId="77777777" w:rsidR="00F96912" w:rsidRPr="00266EB9" w:rsidRDefault="00F96912" w:rsidP="006658D5">
            <w:pPr>
              <w:rPr>
                <w:color w:val="002060"/>
                <w:sz w:val="16"/>
                <w:szCs w:val="16"/>
              </w:rPr>
            </w:pPr>
            <w:r w:rsidRPr="00266EB9">
              <w:rPr>
                <w:color w:val="002060"/>
                <w:sz w:val="16"/>
                <w:szCs w:val="16"/>
              </w:rPr>
              <w:t>(au 30 avril de l’année suivante)</w:t>
            </w:r>
          </w:p>
          <w:p w14:paraId="05806030" w14:textId="77777777" w:rsidR="00F96912" w:rsidRPr="00266EB9" w:rsidRDefault="00F96912" w:rsidP="006658D5">
            <w:pPr>
              <w:rPr>
                <w:i/>
                <w:color w:val="000000"/>
                <w:sz w:val="16"/>
                <w:szCs w:val="16"/>
              </w:rPr>
            </w:pPr>
          </w:p>
          <w:p w14:paraId="28F6D4B0"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204A2B75" w14:textId="77777777" w:rsidR="00F96912" w:rsidRPr="00266EB9" w:rsidRDefault="00F96912" w:rsidP="006658D5">
            <w:pPr>
              <w:keepLines/>
              <w:rPr>
                <w:color w:val="000000"/>
                <w:sz w:val="16"/>
                <w:szCs w:val="16"/>
              </w:rPr>
            </w:pPr>
            <w:r w:rsidRPr="00266EB9">
              <w:rPr>
                <w:color w:val="000000"/>
                <w:sz w:val="16"/>
                <w:szCs w:val="16"/>
              </w:rPr>
              <w:t>82,9% (2014)</w:t>
            </w:r>
          </w:p>
        </w:tc>
        <w:tc>
          <w:tcPr>
            <w:tcW w:w="817" w:type="pct"/>
            <w:shd w:val="clear" w:color="auto" w:fill="auto"/>
            <w:tcMar>
              <w:top w:w="57" w:type="dxa"/>
              <w:left w:w="108" w:type="dxa"/>
              <w:right w:w="108" w:type="dxa"/>
            </w:tcMar>
          </w:tcPr>
          <w:p w14:paraId="5871FC95" w14:textId="77777777" w:rsidR="00F96912" w:rsidRPr="00266EB9" w:rsidRDefault="00F96912" w:rsidP="006658D5">
            <w:pPr>
              <w:rPr>
                <w:i/>
                <w:color w:val="002060"/>
                <w:sz w:val="16"/>
                <w:szCs w:val="16"/>
              </w:rPr>
            </w:pPr>
            <w:r w:rsidRPr="00266EB9">
              <w:rPr>
                <w:i/>
                <w:color w:val="002060"/>
                <w:sz w:val="16"/>
                <w:szCs w:val="16"/>
              </w:rPr>
              <w:t>Objectif actualisé :</w:t>
            </w:r>
          </w:p>
          <w:p w14:paraId="27F3D6DB" w14:textId="77777777" w:rsidR="00F96912" w:rsidRPr="00266EB9" w:rsidRDefault="00F96912" w:rsidP="006658D5">
            <w:pPr>
              <w:keepLines/>
              <w:rPr>
                <w:color w:val="002060"/>
                <w:sz w:val="16"/>
                <w:szCs w:val="16"/>
              </w:rPr>
            </w:pPr>
            <w:r w:rsidRPr="00266EB9">
              <w:rPr>
                <w:color w:val="002060"/>
                <w:sz w:val="16"/>
                <w:szCs w:val="16"/>
              </w:rPr>
              <w:t>95%</w:t>
            </w:r>
          </w:p>
          <w:p w14:paraId="50864EF2" w14:textId="77777777" w:rsidR="00F96912" w:rsidRPr="00266EB9" w:rsidRDefault="00F96912" w:rsidP="006658D5">
            <w:pPr>
              <w:rPr>
                <w:i/>
                <w:sz w:val="16"/>
                <w:szCs w:val="16"/>
                <w:lang w:bidi="th-TH"/>
              </w:rPr>
            </w:pPr>
          </w:p>
          <w:p w14:paraId="4B8F8D61" w14:textId="77777777" w:rsidR="00F96912" w:rsidRPr="00266EB9" w:rsidRDefault="00F96912" w:rsidP="006658D5">
            <w:pPr>
              <w:rPr>
                <w:i/>
                <w:sz w:val="16"/>
                <w:szCs w:val="16"/>
                <w:lang w:bidi="th-TH"/>
              </w:rPr>
            </w:pPr>
          </w:p>
          <w:p w14:paraId="5D2F988E" w14:textId="77777777" w:rsidR="00F96912" w:rsidRPr="00266EB9" w:rsidRDefault="00F96912" w:rsidP="006658D5">
            <w:pPr>
              <w:rPr>
                <w:i/>
                <w:sz w:val="16"/>
                <w:szCs w:val="16"/>
                <w:lang w:bidi="th-TH"/>
              </w:rPr>
            </w:pPr>
          </w:p>
          <w:p w14:paraId="05FC6305" w14:textId="77777777" w:rsidR="00F96912" w:rsidRPr="00266EB9" w:rsidRDefault="00F96912" w:rsidP="006658D5">
            <w:pPr>
              <w:rPr>
                <w:i/>
                <w:sz w:val="16"/>
                <w:szCs w:val="16"/>
                <w:lang w:bidi="th-TH"/>
              </w:rPr>
            </w:pPr>
          </w:p>
          <w:p w14:paraId="3E6F6BB7" w14:textId="77777777" w:rsidR="00F96912" w:rsidRPr="00266EB9" w:rsidRDefault="00F96912" w:rsidP="006658D5">
            <w:pPr>
              <w:rPr>
                <w:i/>
                <w:sz w:val="16"/>
                <w:szCs w:val="16"/>
                <w:lang w:bidi="th-TH"/>
              </w:rPr>
            </w:pPr>
          </w:p>
          <w:p w14:paraId="53842E76" w14:textId="77777777" w:rsidR="00F96912" w:rsidRPr="00266EB9" w:rsidRDefault="00F96912" w:rsidP="006658D5">
            <w:pPr>
              <w:rPr>
                <w:i/>
                <w:sz w:val="16"/>
                <w:szCs w:val="16"/>
                <w:lang w:bidi="th-TH"/>
              </w:rPr>
            </w:pPr>
            <w:r w:rsidRPr="00266EB9">
              <w:rPr>
                <w:i/>
                <w:sz w:val="16"/>
                <w:szCs w:val="16"/>
                <w:lang w:bidi="th-TH"/>
              </w:rPr>
              <w:t>Objectif initial dans le programme et budget 2016</w:t>
            </w:r>
            <w:r>
              <w:rPr>
                <w:i/>
                <w:sz w:val="16"/>
                <w:szCs w:val="16"/>
                <w:lang w:bidi="th-TH"/>
              </w:rPr>
              <w:noBreakHyphen/>
            </w:r>
            <w:r w:rsidRPr="00266EB9">
              <w:rPr>
                <w:i/>
                <w:sz w:val="16"/>
                <w:szCs w:val="16"/>
                <w:lang w:bidi="th-TH"/>
              </w:rPr>
              <w:t>2017 :</w:t>
            </w:r>
          </w:p>
          <w:p w14:paraId="10F73CB0" w14:textId="77777777" w:rsidR="00F96912" w:rsidRPr="00266EB9" w:rsidRDefault="00F96912" w:rsidP="006658D5">
            <w:pPr>
              <w:keepLines/>
              <w:rPr>
                <w:color w:val="000000"/>
                <w:sz w:val="16"/>
                <w:szCs w:val="16"/>
              </w:rPr>
            </w:pPr>
            <w:r w:rsidRPr="00266EB9">
              <w:rPr>
                <w:color w:val="000000"/>
                <w:sz w:val="16"/>
                <w:szCs w:val="16"/>
              </w:rPr>
              <w:t>90%</w:t>
            </w:r>
          </w:p>
        </w:tc>
        <w:tc>
          <w:tcPr>
            <w:tcW w:w="1203" w:type="pct"/>
            <w:shd w:val="clear" w:color="auto" w:fill="FFFFFF"/>
            <w:tcMar>
              <w:top w:w="57" w:type="dxa"/>
              <w:left w:w="108" w:type="dxa"/>
              <w:right w:w="108" w:type="dxa"/>
            </w:tcMar>
          </w:tcPr>
          <w:p w14:paraId="77DFDAEA" w14:textId="77777777" w:rsidR="00F96912" w:rsidRPr="00266EB9" w:rsidRDefault="00F96912" w:rsidP="006658D5">
            <w:pPr>
              <w:keepLines/>
              <w:rPr>
                <w:color w:val="000000"/>
                <w:sz w:val="16"/>
                <w:szCs w:val="16"/>
              </w:rPr>
            </w:pPr>
            <w:r w:rsidRPr="00266EB9">
              <w:rPr>
                <w:color w:val="000000"/>
                <w:sz w:val="16"/>
                <w:szCs w:val="16"/>
              </w:rPr>
              <w:t xml:space="preserve">92,7% (au 30 avril de l’année suivante) </w:t>
            </w:r>
          </w:p>
        </w:tc>
        <w:tc>
          <w:tcPr>
            <w:tcW w:w="673" w:type="pct"/>
            <w:shd w:val="clear" w:color="auto" w:fill="auto"/>
            <w:tcMar>
              <w:top w:w="57" w:type="dxa"/>
              <w:left w:w="108" w:type="dxa"/>
              <w:right w:w="108" w:type="dxa"/>
            </w:tcMar>
          </w:tcPr>
          <w:p w14:paraId="61DE3EF0" w14:textId="77777777" w:rsidR="00F96912" w:rsidRPr="00266EB9" w:rsidRDefault="00F96912" w:rsidP="006658D5">
            <w:pPr>
              <w:keepLines/>
              <w:jc w:val="center"/>
              <w:rPr>
                <w:b/>
                <w:color w:val="000000"/>
                <w:sz w:val="16"/>
                <w:szCs w:val="16"/>
              </w:rPr>
            </w:pPr>
            <w:r w:rsidRPr="00266EB9">
              <w:rPr>
                <w:b/>
                <w:color w:val="00B050"/>
                <w:sz w:val="16"/>
                <w:szCs w:val="16"/>
              </w:rPr>
              <w:t>En bonne voie</w:t>
            </w:r>
            <w:r w:rsidRPr="00266EB9" w:rsidDel="00E53F17">
              <w:rPr>
                <w:b/>
                <w:color w:val="943634" w:themeColor="accent2" w:themeShade="BF"/>
                <w:sz w:val="16"/>
                <w:szCs w:val="16"/>
              </w:rPr>
              <w:t xml:space="preserve"> </w:t>
            </w:r>
          </w:p>
        </w:tc>
      </w:tr>
      <w:tr w:rsidR="00F96912" w:rsidRPr="00266EB9" w14:paraId="0DF7AB39" w14:textId="77777777" w:rsidTr="006658D5">
        <w:trPr>
          <w:cantSplit/>
        </w:trPr>
        <w:tc>
          <w:tcPr>
            <w:tcW w:w="1057" w:type="pct"/>
            <w:shd w:val="clear" w:color="auto" w:fill="auto"/>
            <w:tcMar>
              <w:left w:w="108" w:type="dxa"/>
              <w:right w:w="108" w:type="dxa"/>
            </w:tcMar>
          </w:tcPr>
          <w:p w14:paraId="6A929C81" w14:textId="77777777" w:rsidR="00F96912" w:rsidRPr="00266EB9" w:rsidRDefault="00F96912" w:rsidP="00851C67">
            <w:pPr>
              <w:rPr>
                <w:color w:val="000000"/>
                <w:sz w:val="16"/>
                <w:szCs w:val="16"/>
              </w:rPr>
            </w:pPr>
            <w:r w:rsidRPr="00266EB9">
              <w:rPr>
                <w:sz w:val="16"/>
                <w:szCs w:val="16"/>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1250" w:type="pct"/>
            <w:shd w:val="clear" w:color="auto" w:fill="auto"/>
            <w:tcMar>
              <w:left w:w="108" w:type="dxa"/>
              <w:right w:w="108" w:type="dxa"/>
            </w:tcMar>
          </w:tcPr>
          <w:p w14:paraId="158AE01A" w14:textId="77777777" w:rsidR="00F96912" w:rsidRPr="00266EB9" w:rsidRDefault="00F96912" w:rsidP="00851C67">
            <w:pPr>
              <w:rPr>
                <w:i/>
                <w:color w:val="002060"/>
                <w:sz w:val="16"/>
                <w:szCs w:val="16"/>
              </w:rPr>
            </w:pPr>
            <w:r w:rsidRPr="00266EB9">
              <w:rPr>
                <w:i/>
                <w:color w:val="002060"/>
                <w:sz w:val="16"/>
                <w:szCs w:val="16"/>
              </w:rPr>
              <w:t>Niveau de référence actualisé à fin 2015 :</w:t>
            </w:r>
          </w:p>
          <w:p w14:paraId="0BC3F3C1" w14:textId="77777777" w:rsidR="00F96912" w:rsidRPr="00266EB9" w:rsidRDefault="00F96912" w:rsidP="00851C67">
            <w:pPr>
              <w:rPr>
                <w:color w:val="002060"/>
                <w:sz w:val="16"/>
                <w:szCs w:val="16"/>
              </w:rPr>
            </w:pPr>
            <w:r w:rsidRPr="00266EB9">
              <w:rPr>
                <w:color w:val="002060"/>
                <w:sz w:val="16"/>
                <w:szCs w:val="16"/>
              </w:rPr>
              <w:t xml:space="preserve">i) 60 jours suivant la réception des requêtes en réexamen et des réponses aux plaintes </w:t>
            </w:r>
            <w:r w:rsidRPr="00266EB9">
              <w:rPr>
                <w:color w:val="002060"/>
                <w:sz w:val="16"/>
                <w:szCs w:val="16"/>
              </w:rPr>
              <w:br/>
              <w:t>ii) 30 jours suivant la réception des objections;  35 jours suivant la réponse aux lettres d’accusation et</w:t>
            </w:r>
          </w:p>
          <w:p w14:paraId="776AF054" w14:textId="77777777" w:rsidR="00F96912" w:rsidRPr="00266EB9" w:rsidRDefault="00F96912" w:rsidP="00851C67">
            <w:pPr>
              <w:rPr>
                <w:color w:val="002060"/>
                <w:sz w:val="16"/>
                <w:szCs w:val="16"/>
              </w:rPr>
            </w:pPr>
            <w:r w:rsidRPr="00266EB9">
              <w:rPr>
                <w:color w:val="002060"/>
                <w:sz w:val="16"/>
                <w:szCs w:val="16"/>
              </w:rPr>
              <w:t>iii) 1 jour ouvrable à compter de la réception des demandes</w:t>
            </w:r>
          </w:p>
          <w:p w14:paraId="5C92AFB7" w14:textId="77777777" w:rsidR="00F96912" w:rsidRPr="00266EB9" w:rsidRDefault="00F96912" w:rsidP="00851C67">
            <w:pPr>
              <w:rPr>
                <w:color w:val="000000"/>
                <w:sz w:val="16"/>
                <w:szCs w:val="16"/>
              </w:rPr>
            </w:pPr>
          </w:p>
          <w:p w14:paraId="550D495E" w14:textId="77777777" w:rsidR="00F96912" w:rsidRPr="00266EB9" w:rsidRDefault="00F96912" w:rsidP="00851C67">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79C47D3A" w14:textId="77777777" w:rsidR="00F96912" w:rsidRPr="00266EB9" w:rsidRDefault="00F96912" w:rsidP="00851C67">
            <w:pPr>
              <w:rPr>
                <w:color w:val="000000"/>
                <w:sz w:val="16"/>
                <w:szCs w:val="16"/>
              </w:rPr>
            </w:pPr>
            <w:proofErr w:type="spellStart"/>
            <w:r w:rsidRPr="00266EB9">
              <w:rPr>
                <w:color w:val="000000"/>
                <w:sz w:val="16"/>
                <w:szCs w:val="16"/>
              </w:rPr>
              <w:t>n.d</w:t>
            </w:r>
            <w:proofErr w:type="spellEnd"/>
            <w:r w:rsidRPr="00266EB9">
              <w:rPr>
                <w:color w:val="000000"/>
                <w:sz w:val="16"/>
                <w:szCs w:val="16"/>
              </w:rPr>
              <w:t>.</w:t>
            </w:r>
          </w:p>
        </w:tc>
        <w:tc>
          <w:tcPr>
            <w:tcW w:w="817" w:type="pct"/>
            <w:shd w:val="clear" w:color="auto" w:fill="auto"/>
            <w:tcMar>
              <w:top w:w="57" w:type="dxa"/>
              <w:left w:w="108" w:type="dxa"/>
              <w:right w:w="108" w:type="dxa"/>
            </w:tcMar>
          </w:tcPr>
          <w:p w14:paraId="0205115C" w14:textId="77777777" w:rsidR="00F96912" w:rsidRPr="00266EB9" w:rsidRDefault="00F96912" w:rsidP="00851C67">
            <w:pPr>
              <w:rPr>
                <w:i/>
                <w:color w:val="002060"/>
                <w:sz w:val="16"/>
                <w:szCs w:val="16"/>
              </w:rPr>
            </w:pPr>
            <w:r w:rsidRPr="00266EB9">
              <w:rPr>
                <w:i/>
                <w:color w:val="002060"/>
                <w:sz w:val="16"/>
                <w:szCs w:val="16"/>
              </w:rPr>
              <w:t>Objectif actualisé :</w:t>
            </w:r>
          </w:p>
          <w:p w14:paraId="1777B07E" w14:textId="77777777" w:rsidR="00F96912" w:rsidRPr="00266EB9" w:rsidRDefault="00F96912" w:rsidP="00851C67">
            <w:pPr>
              <w:rPr>
                <w:color w:val="002060"/>
                <w:sz w:val="16"/>
                <w:szCs w:val="16"/>
              </w:rPr>
            </w:pPr>
            <w:r w:rsidRPr="00266EB9">
              <w:rPr>
                <w:color w:val="002060"/>
                <w:sz w:val="16"/>
                <w:szCs w:val="16"/>
              </w:rPr>
              <w:t xml:space="preserve">i) 60 jours suivant la réception des requêtes en réexamen et des réponses aux plaintes </w:t>
            </w:r>
            <w:r w:rsidRPr="00266EB9">
              <w:rPr>
                <w:color w:val="002060"/>
                <w:sz w:val="16"/>
                <w:szCs w:val="16"/>
              </w:rPr>
              <w:br/>
              <w:t>ii) 30 jours suivant la réception de la réponse aux objections/ réponse aux lettres d’accusation et</w:t>
            </w:r>
          </w:p>
          <w:p w14:paraId="2FE854F4" w14:textId="37FE4F20" w:rsidR="00F96912" w:rsidRPr="00851C67" w:rsidRDefault="00F96912" w:rsidP="00851C67">
            <w:pPr>
              <w:rPr>
                <w:color w:val="002060"/>
                <w:sz w:val="16"/>
                <w:szCs w:val="16"/>
              </w:rPr>
            </w:pPr>
            <w:r w:rsidRPr="00266EB9">
              <w:rPr>
                <w:color w:val="002060"/>
                <w:sz w:val="16"/>
                <w:szCs w:val="16"/>
              </w:rPr>
              <w:t>iii) 5 jours ouvrables à compter de la réception des demandes</w:t>
            </w:r>
          </w:p>
        </w:tc>
        <w:tc>
          <w:tcPr>
            <w:tcW w:w="1203" w:type="pct"/>
            <w:shd w:val="clear" w:color="auto" w:fill="FFFFFF"/>
            <w:tcMar>
              <w:top w:w="57" w:type="dxa"/>
              <w:left w:w="108" w:type="dxa"/>
              <w:right w:w="108" w:type="dxa"/>
            </w:tcMar>
          </w:tcPr>
          <w:p w14:paraId="7F0FD394" w14:textId="77777777" w:rsidR="00F96912" w:rsidRDefault="00F96912" w:rsidP="00851C67">
            <w:pPr>
              <w:rPr>
                <w:color w:val="000000"/>
                <w:sz w:val="16"/>
                <w:szCs w:val="16"/>
              </w:rPr>
            </w:pPr>
            <w:r w:rsidRPr="00266EB9">
              <w:rPr>
                <w:color w:val="000000"/>
                <w:sz w:val="16"/>
                <w:szCs w:val="16"/>
              </w:rPr>
              <w:t>i) 60 jours suivant la réception des requêtes en réexamen et des réponses aux plaintes;</w:t>
            </w:r>
          </w:p>
          <w:p w14:paraId="1D34C4C9" w14:textId="77777777" w:rsidR="00F96912" w:rsidRPr="00266EB9" w:rsidRDefault="00F96912" w:rsidP="00851C67">
            <w:pPr>
              <w:rPr>
                <w:color w:val="000000"/>
                <w:sz w:val="16"/>
                <w:szCs w:val="16"/>
              </w:rPr>
            </w:pPr>
          </w:p>
          <w:p w14:paraId="0C6E1BC7" w14:textId="77777777" w:rsidR="00F96912" w:rsidRDefault="00F96912" w:rsidP="00851C67">
            <w:pPr>
              <w:rPr>
                <w:color w:val="000000"/>
                <w:sz w:val="16"/>
                <w:szCs w:val="16"/>
              </w:rPr>
            </w:pPr>
            <w:r w:rsidRPr="00266EB9">
              <w:rPr>
                <w:color w:val="000000"/>
                <w:sz w:val="16"/>
                <w:szCs w:val="16"/>
              </w:rPr>
              <w:t>ii) 30 jours suivant la réception de la réponse aux objections/ 30 jours suivant la réception de la réponse aux lettres d’accusation;  et</w:t>
            </w:r>
          </w:p>
          <w:p w14:paraId="772C6314" w14:textId="77777777" w:rsidR="00F96912" w:rsidRPr="00266EB9" w:rsidRDefault="00F96912" w:rsidP="00851C67">
            <w:pPr>
              <w:rPr>
                <w:color w:val="000000"/>
                <w:sz w:val="16"/>
                <w:szCs w:val="16"/>
              </w:rPr>
            </w:pPr>
          </w:p>
          <w:p w14:paraId="7CE1E289" w14:textId="77777777" w:rsidR="00F96912" w:rsidRPr="00266EB9" w:rsidRDefault="00F96912" w:rsidP="00851C67">
            <w:pPr>
              <w:rPr>
                <w:color w:val="000000"/>
                <w:sz w:val="16"/>
                <w:szCs w:val="16"/>
              </w:rPr>
            </w:pPr>
            <w:r w:rsidRPr="00266EB9">
              <w:rPr>
                <w:color w:val="000000"/>
                <w:sz w:val="16"/>
                <w:szCs w:val="16"/>
              </w:rPr>
              <w:t>iii) sur 450 demandes d’avis reçues en 2016, une réponse a été donnée dans un délai d’un jour dans 89,3% des cas, en 2 à 4 jours dans 9,3% des cas, et dans un délai de 5 jours ouvrables ou plus dans 1,3% des cas.</w:t>
            </w:r>
          </w:p>
        </w:tc>
        <w:tc>
          <w:tcPr>
            <w:tcW w:w="673" w:type="pct"/>
            <w:shd w:val="clear" w:color="auto" w:fill="auto"/>
            <w:tcMar>
              <w:top w:w="57" w:type="dxa"/>
              <w:left w:w="108" w:type="dxa"/>
              <w:right w:w="108" w:type="dxa"/>
            </w:tcMar>
          </w:tcPr>
          <w:p w14:paraId="00BC8DBF" w14:textId="77777777" w:rsidR="00F96912" w:rsidRPr="00266EB9" w:rsidRDefault="00F96912" w:rsidP="00851C67">
            <w:pPr>
              <w:jc w:val="center"/>
              <w:rPr>
                <w:b/>
                <w:color w:val="00B050"/>
                <w:sz w:val="16"/>
                <w:szCs w:val="16"/>
              </w:rPr>
            </w:pPr>
            <w:r w:rsidRPr="00266EB9">
              <w:rPr>
                <w:b/>
                <w:color w:val="00B050"/>
                <w:sz w:val="16"/>
                <w:szCs w:val="16"/>
              </w:rPr>
              <w:t>En bonne voie</w:t>
            </w:r>
          </w:p>
          <w:p w14:paraId="5C96821F" w14:textId="77777777" w:rsidR="00F96912" w:rsidRPr="00266EB9" w:rsidRDefault="00F96912" w:rsidP="00851C67">
            <w:pPr>
              <w:jc w:val="center"/>
              <w:rPr>
                <w:b/>
                <w:color w:val="00B050"/>
                <w:sz w:val="16"/>
                <w:szCs w:val="16"/>
              </w:rPr>
            </w:pPr>
          </w:p>
          <w:p w14:paraId="150ABFC6" w14:textId="77777777" w:rsidR="00F96912" w:rsidRDefault="00F96912" w:rsidP="00851C67">
            <w:pPr>
              <w:jc w:val="center"/>
              <w:rPr>
                <w:b/>
                <w:color w:val="00B050"/>
                <w:sz w:val="16"/>
                <w:szCs w:val="16"/>
              </w:rPr>
            </w:pPr>
          </w:p>
          <w:p w14:paraId="586BCC12" w14:textId="77777777" w:rsidR="00F96912" w:rsidRPr="00266EB9" w:rsidRDefault="00F96912" w:rsidP="00851C67">
            <w:pPr>
              <w:jc w:val="center"/>
              <w:rPr>
                <w:b/>
                <w:color w:val="00B050"/>
                <w:sz w:val="16"/>
                <w:szCs w:val="16"/>
              </w:rPr>
            </w:pPr>
          </w:p>
          <w:p w14:paraId="3A80B0C5" w14:textId="77777777" w:rsidR="00F96912" w:rsidRPr="00266EB9" w:rsidRDefault="00F96912" w:rsidP="00851C67">
            <w:pPr>
              <w:jc w:val="center"/>
              <w:rPr>
                <w:b/>
                <w:color w:val="00B050"/>
                <w:sz w:val="16"/>
                <w:szCs w:val="16"/>
              </w:rPr>
            </w:pPr>
            <w:r w:rsidRPr="00266EB9">
              <w:rPr>
                <w:b/>
                <w:color w:val="00B050"/>
                <w:sz w:val="16"/>
                <w:szCs w:val="16"/>
              </w:rPr>
              <w:t>En bonne voie</w:t>
            </w:r>
          </w:p>
          <w:p w14:paraId="760A546C" w14:textId="77777777" w:rsidR="00F96912" w:rsidRPr="00266EB9" w:rsidRDefault="00F96912" w:rsidP="00851C67">
            <w:pPr>
              <w:jc w:val="center"/>
              <w:rPr>
                <w:b/>
                <w:color w:val="00B050"/>
                <w:sz w:val="16"/>
                <w:szCs w:val="16"/>
              </w:rPr>
            </w:pPr>
          </w:p>
          <w:p w14:paraId="0555B1CB" w14:textId="77777777" w:rsidR="00F96912" w:rsidRDefault="00F96912" w:rsidP="00851C67">
            <w:pPr>
              <w:jc w:val="center"/>
              <w:rPr>
                <w:b/>
                <w:color w:val="00B050"/>
                <w:sz w:val="16"/>
                <w:szCs w:val="16"/>
              </w:rPr>
            </w:pPr>
          </w:p>
          <w:p w14:paraId="43926448" w14:textId="77777777" w:rsidR="00F96912" w:rsidRPr="00266EB9" w:rsidRDefault="00F96912" w:rsidP="00851C67">
            <w:pPr>
              <w:jc w:val="center"/>
              <w:rPr>
                <w:b/>
                <w:color w:val="00B050"/>
                <w:sz w:val="16"/>
                <w:szCs w:val="16"/>
              </w:rPr>
            </w:pPr>
          </w:p>
          <w:p w14:paraId="621DE616" w14:textId="77777777" w:rsidR="00F96912" w:rsidRPr="00266EB9" w:rsidRDefault="00F96912" w:rsidP="00851C67">
            <w:pPr>
              <w:jc w:val="center"/>
              <w:rPr>
                <w:b/>
                <w:color w:val="00B050"/>
                <w:sz w:val="16"/>
                <w:szCs w:val="16"/>
              </w:rPr>
            </w:pPr>
          </w:p>
          <w:p w14:paraId="3010C238" w14:textId="77777777" w:rsidR="00F96912" w:rsidRPr="00266EB9" w:rsidRDefault="00F96912" w:rsidP="00851C67">
            <w:pPr>
              <w:jc w:val="center"/>
              <w:rPr>
                <w:b/>
                <w:color w:val="000000"/>
                <w:sz w:val="16"/>
                <w:szCs w:val="16"/>
              </w:rPr>
            </w:pPr>
            <w:r w:rsidRPr="00266EB9">
              <w:rPr>
                <w:b/>
                <w:color w:val="00B050"/>
                <w:sz w:val="16"/>
                <w:szCs w:val="16"/>
              </w:rPr>
              <w:t>En bonne voie</w:t>
            </w:r>
          </w:p>
        </w:tc>
      </w:tr>
      <w:tr w:rsidR="00851C67" w:rsidRPr="00266EB9" w14:paraId="5A695443" w14:textId="77777777" w:rsidTr="006658D5">
        <w:trPr>
          <w:cantSplit/>
        </w:trPr>
        <w:tc>
          <w:tcPr>
            <w:tcW w:w="1057" w:type="pct"/>
            <w:shd w:val="clear" w:color="auto" w:fill="auto"/>
            <w:tcMar>
              <w:left w:w="108" w:type="dxa"/>
              <w:right w:w="108" w:type="dxa"/>
            </w:tcMar>
          </w:tcPr>
          <w:p w14:paraId="7C77D632" w14:textId="77777777" w:rsidR="00851C67" w:rsidRPr="00266EB9" w:rsidRDefault="00851C67" w:rsidP="00851C67">
            <w:pPr>
              <w:rPr>
                <w:sz w:val="16"/>
                <w:szCs w:val="16"/>
              </w:rPr>
            </w:pPr>
          </w:p>
        </w:tc>
        <w:tc>
          <w:tcPr>
            <w:tcW w:w="1250" w:type="pct"/>
            <w:shd w:val="clear" w:color="auto" w:fill="auto"/>
            <w:tcMar>
              <w:left w:w="108" w:type="dxa"/>
              <w:right w:w="108" w:type="dxa"/>
            </w:tcMar>
          </w:tcPr>
          <w:p w14:paraId="1C613EEB" w14:textId="77777777" w:rsidR="00851C67" w:rsidRPr="00266EB9" w:rsidRDefault="00851C67" w:rsidP="00851C67">
            <w:pPr>
              <w:rPr>
                <w:i/>
                <w:color w:val="002060"/>
                <w:sz w:val="16"/>
                <w:szCs w:val="16"/>
              </w:rPr>
            </w:pPr>
          </w:p>
        </w:tc>
        <w:tc>
          <w:tcPr>
            <w:tcW w:w="817" w:type="pct"/>
            <w:shd w:val="clear" w:color="auto" w:fill="auto"/>
            <w:tcMar>
              <w:top w:w="57" w:type="dxa"/>
              <w:left w:w="108" w:type="dxa"/>
              <w:right w:w="108" w:type="dxa"/>
            </w:tcMar>
          </w:tcPr>
          <w:p w14:paraId="35EEEF72" w14:textId="77777777" w:rsidR="00851C67" w:rsidRPr="00266EB9" w:rsidRDefault="00851C67" w:rsidP="00851C67">
            <w:pPr>
              <w:rPr>
                <w:i/>
                <w:sz w:val="16"/>
                <w:szCs w:val="16"/>
                <w:lang w:bidi="th-TH"/>
              </w:rPr>
            </w:pPr>
            <w:r w:rsidRPr="00266EB9">
              <w:rPr>
                <w:i/>
                <w:color w:val="000000"/>
                <w:sz w:val="16"/>
                <w:szCs w:val="16"/>
              </w:rPr>
              <w:t>Objectif initial dans le programme et budget 2016</w:t>
            </w:r>
            <w:r>
              <w:rPr>
                <w:i/>
                <w:color w:val="000000"/>
                <w:sz w:val="16"/>
                <w:szCs w:val="16"/>
              </w:rPr>
              <w:noBreakHyphen/>
            </w:r>
            <w:r w:rsidRPr="00266EB9">
              <w:rPr>
                <w:i/>
                <w:color w:val="000000"/>
                <w:sz w:val="16"/>
                <w:szCs w:val="16"/>
              </w:rPr>
              <w:t>2017 :</w:t>
            </w:r>
          </w:p>
          <w:p w14:paraId="2A64A63B" w14:textId="77777777" w:rsidR="00851C67" w:rsidRPr="00266EB9" w:rsidRDefault="00851C67" w:rsidP="00851C67">
            <w:pPr>
              <w:rPr>
                <w:color w:val="000000"/>
                <w:sz w:val="16"/>
                <w:szCs w:val="16"/>
              </w:rPr>
            </w:pPr>
            <w:r w:rsidRPr="00266EB9">
              <w:rPr>
                <w:color w:val="000000"/>
                <w:sz w:val="16"/>
                <w:szCs w:val="16"/>
              </w:rPr>
              <w:t xml:space="preserve">i) 60 jours suivant la réception des requêtes en réexamen et des réponses aux plaintes </w:t>
            </w:r>
            <w:r w:rsidRPr="00266EB9">
              <w:rPr>
                <w:color w:val="000000"/>
                <w:sz w:val="16"/>
                <w:szCs w:val="16"/>
              </w:rPr>
              <w:br/>
              <w:t>ii) 30 jours suivant la réception des objections/ réponses aux lettres d’accusation et</w:t>
            </w:r>
          </w:p>
          <w:p w14:paraId="59B76F7F" w14:textId="7249F9A6" w:rsidR="00851C67" w:rsidRPr="00266EB9" w:rsidRDefault="00851C67" w:rsidP="00851C67">
            <w:pPr>
              <w:rPr>
                <w:i/>
                <w:color w:val="002060"/>
                <w:sz w:val="16"/>
                <w:szCs w:val="16"/>
              </w:rPr>
            </w:pPr>
            <w:r w:rsidRPr="00266EB9">
              <w:rPr>
                <w:color w:val="000000"/>
                <w:sz w:val="16"/>
                <w:szCs w:val="16"/>
              </w:rPr>
              <w:t>iii) 10 jours ouvrables à compter de la réception des demandes</w:t>
            </w:r>
          </w:p>
        </w:tc>
        <w:tc>
          <w:tcPr>
            <w:tcW w:w="1203" w:type="pct"/>
            <w:shd w:val="clear" w:color="auto" w:fill="FFFFFF"/>
            <w:tcMar>
              <w:top w:w="57" w:type="dxa"/>
              <w:left w:w="108" w:type="dxa"/>
              <w:right w:w="108" w:type="dxa"/>
            </w:tcMar>
          </w:tcPr>
          <w:p w14:paraId="6D3D48D4" w14:textId="77777777" w:rsidR="00851C67" w:rsidRPr="00266EB9" w:rsidRDefault="00851C67" w:rsidP="00851C67">
            <w:pPr>
              <w:rPr>
                <w:color w:val="000000"/>
                <w:sz w:val="16"/>
                <w:szCs w:val="16"/>
              </w:rPr>
            </w:pPr>
          </w:p>
        </w:tc>
        <w:tc>
          <w:tcPr>
            <w:tcW w:w="673" w:type="pct"/>
            <w:shd w:val="clear" w:color="auto" w:fill="auto"/>
            <w:tcMar>
              <w:top w:w="57" w:type="dxa"/>
              <w:left w:w="108" w:type="dxa"/>
              <w:right w:w="108" w:type="dxa"/>
            </w:tcMar>
          </w:tcPr>
          <w:p w14:paraId="631FEA38" w14:textId="77777777" w:rsidR="00851C67" w:rsidRPr="00266EB9" w:rsidRDefault="00851C67" w:rsidP="00851C67">
            <w:pPr>
              <w:jc w:val="center"/>
              <w:rPr>
                <w:b/>
                <w:color w:val="00B050"/>
                <w:sz w:val="16"/>
                <w:szCs w:val="16"/>
              </w:rPr>
            </w:pPr>
          </w:p>
        </w:tc>
      </w:tr>
      <w:tr w:rsidR="00F96912" w:rsidRPr="00266EB9" w14:paraId="72C937D5" w14:textId="77777777" w:rsidTr="006658D5">
        <w:trPr>
          <w:cantSplit/>
        </w:trPr>
        <w:tc>
          <w:tcPr>
            <w:tcW w:w="1057" w:type="pct"/>
            <w:shd w:val="clear" w:color="auto" w:fill="auto"/>
            <w:tcMar>
              <w:left w:w="108" w:type="dxa"/>
              <w:right w:w="108" w:type="dxa"/>
            </w:tcMar>
          </w:tcPr>
          <w:p w14:paraId="71706B1E" w14:textId="77777777" w:rsidR="00F96912" w:rsidRPr="00266EB9" w:rsidRDefault="00F96912" w:rsidP="006658D5">
            <w:pPr>
              <w:rPr>
                <w:color w:val="000000"/>
                <w:sz w:val="16"/>
                <w:szCs w:val="16"/>
              </w:rPr>
            </w:pPr>
            <w:r w:rsidRPr="00266EB9">
              <w:rPr>
                <w:sz w:val="16"/>
                <w:szCs w:val="16"/>
              </w:rPr>
              <w:t>Diversité géographique : pourcentage du personnel</w:t>
            </w:r>
            <w:r w:rsidRPr="00266EB9">
              <w:rPr>
                <w:rStyle w:val="FootnoteReference"/>
                <w:rFonts w:cs="Arial"/>
              </w:rPr>
              <w:footnoteReference w:id="90"/>
            </w:r>
            <w:r w:rsidRPr="00266EB9">
              <w:rPr>
                <w:sz w:val="16"/>
                <w:szCs w:val="16"/>
              </w:rPr>
              <w:t xml:space="preserve"> par région</w:t>
            </w:r>
          </w:p>
        </w:tc>
        <w:tc>
          <w:tcPr>
            <w:tcW w:w="1250" w:type="pct"/>
            <w:shd w:val="clear" w:color="auto" w:fill="auto"/>
            <w:tcMar>
              <w:left w:w="108" w:type="dxa"/>
              <w:right w:w="108" w:type="dxa"/>
            </w:tcMar>
          </w:tcPr>
          <w:p w14:paraId="00CA4DB2" w14:textId="77777777" w:rsidR="00F96912" w:rsidRPr="002655A7" w:rsidRDefault="00F96912" w:rsidP="006658D5">
            <w:pPr>
              <w:rPr>
                <w:i/>
                <w:color w:val="002060"/>
                <w:sz w:val="16"/>
                <w:szCs w:val="16"/>
              </w:rPr>
            </w:pPr>
            <w:r w:rsidRPr="00266EB9">
              <w:rPr>
                <w:i/>
                <w:color w:val="002060"/>
                <w:sz w:val="16"/>
                <w:szCs w:val="16"/>
              </w:rPr>
              <w:t>Nivea</w:t>
            </w:r>
            <w:r w:rsidRPr="002655A7">
              <w:rPr>
                <w:i/>
                <w:color w:val="002060"/>
                <w:sz w:val="16"/>
                <w:szCs w:val="16"/>
              </w:rPr>
              <w:t>u de référence actualisé à fin 2015 :</w:t>
            </w:r>
          </w:p>
          <w:p w14:paraId="6C135970" w14:textId="6ABA599A" w:rsidR="00F96912" w:rsidRPr="002655A7" w:rsidRDefault="00F96912" w:rsidP="006658D5">
            <w:pPr>
              <w:rPr>
                <w:color w:val="002060"/>
                <w:sz w:val="16"/>
                <w:szCs w:val="16"/>
              </w:rPr>
            </w:pPr>
            <w:r w:rsidRPr="002655A7">
              <w:rPr>
                <w:color w:val="002060"/>
                <w:sz w:val="16"/>
                <w:szCs w:val="16"/>
              </w:rPr>
              <w:t>Afrique : 1</w:t>
            </w:r>
            <w:r w:rsidR="00493738">
              <w:rPr>
                <w:color w:val="002060"/>
                <w:sz w:val="16"/>
                <w:szCs w:val="16"/>
              </w:rPr>
              <w:t>0</w:t>
            </w:r>
            <w:r w:rsidRPr="002655A7">
              <w:rPr>
                <w:color w:val="002060"/>
                <w:sz w:val="16"/>
                <w:szCs w:val="16"/>
              </w:rPr>
              <w:t>,</w:t>
            </w:r>
            <w:r w:rsidR="00493738">
              <w:rPr>
                <w:color w:val="002060"/>
                <w:sz w:val="16"/>
                <w:szCs w:val="16"/>
              </w:rPr>
              <w:t>7</w:t>
            </w:r>
            <w:r w:rsidRPr="002655A7">
              <w:rPr>
                <w:color w:val="002060"/>
                <w:sz w:val="16"/>
                <w:szCs w:val="16"/>
              </w:rPr>
              <w:t>%</w:t>
            </w:r>
          </w:p>
          <w:p w14:paraId="3D5B0B3C" w14:textId="17505DD1" w:rsidR="00F96912" w:rsidRPr="002655A7" w:rsidRDefault="00F96912" w:rsidP="006658D5">
            <w:pPr>
              <w:rPr>
                <w:color w:val="002060"/>
                <w:sz w:val="16"/>
                <w:szCs w:val="16"/>
              </w:rPr>
            </w:pPr>
            <w:r w:rsidRPr="002655A7">
              <w:rPr>
                <w:color w:val="002060"/>
                <w:sz w:val="16"/>
                <w:szCs w:val="16"/>
              </w:rPr>
              <w:t>Asie et Pacifique : 1</w:t>
            </w:r>
            <w:r w:rsidR="00493738">
              <w:rPr>
                <w:color w:val="002060"/>
                <w:sz w:val="16"/>
                <w:szCs w:val="16"/>
              </w:rPr>
              <w:t>4</w:t>
            </w:r>
            <w:r w:rsidRPr="002655A7">
              <w:rPr>
                <w:color w:val="002060"/>
                <w:sz w:val="16"/>
                <w:szCs w:val="16"/>
              </w:rPr>
              <w:t>,3%</w:t>
            </w:r>
          </w:p>
          <w:p w14:paraId="68CAD13D" w14:textId="3BFC2120" w:rsidR="00F96912" w:rsidRPr="002655A7" w:rsidRDefault="00F96912" w:rsidP="006658D5">
            <w:pPr>
              <w:rPr>
                <w:color w:val="002060"/>
                <w:sz w:val="16"/>
                <w:szCs w:val="16"/>
              </w:rPr>
            </w:pPr>
            <w:r w:rsidRPr="002655A7">
              <w:rPr>
                <w:color w:val="002060"/>
                <w:sz w:val="16"/>
                <w:szCs w:val="16"/>
              </w:rPr>
              <w:t xml:space="preserve">Europe centrale et orientale et Asie centrale : </w:t>
            </w:r>
            <w:r w:rsidR="00493738">
              <w:rPr>
                <w:color w:val="002060"/>
                <w:sz w:val="16"/>
                <w:szCs w:val="16"/>
              </w:rPr>
              <w:t>6</w:t>
            </w:r>
            <w:r w:rsidRPr="002655A7">
              <w:rPr>
                <w:color w:val="002060"/>
                <w:sz w:val="16"/>
                <w:szCs w:val="16"/>
              </w:rPr>
              <w:t>,</w:t>
            </w:r>
            <w:r w:rsidR="00493738">
              <w:rPr>
                <w:color w:val="002060"/>
                <w:sz w:val="16"/>
                <w:szCs w:val="16"/>
              </w:rPr>
              <w:t>9</w:t>
            </w:r>
            <w:r w:rsidRPr="002655A7">
              <w:rPr>
                <w:color w:val="002060"/>
                <w:sz w:val="16"/>
                <w:szCs w:val="16"/>
              </w:rPr>
              <w:t>%</w:t>
            </w:r>
          </w:p>
          <w:p w14:paraId="47CA0633" w14:textId="6887015C" w:rsidR="00F96912" w:rsidRPr="002655A7" w:rsidRDefault="00F96912" w:rsidP="006658D5">
            <w:pPr>
              <w:rPr>
                <w:color w:val="002060"/>
                <w:sz w:val="16"/>
                <w:szCs w:val="16"/>
              </w:rPr>
            </w:pPr>
            <w:r w:rsidRPr="002655A7">
              <w:rPr>
                <w:color w:val="002060"/>
                <w:sz w:val="16"/>
                <w:szCs w:val="16"/>
              </w:rPr>
              <w:t>Amérique latine et Caraïbes : 8,</w:t>
            </w:r>
            <w:r w:rsidR="00493738">
              <w:rPr>
                <w:color w:val="002060"/>
                <w:sz w:val="16"/>
                <w:szCs w:val="16"/>
              </w:rPr>
              <w:t>4</w:t>
            </w:r>
            <w:r w:rsidRPr="002655A7">
              <w:rPr>
                <w:color w:val="002060"/>
                <w:sz w:val="16"/>
                <w:szCs w:val="16"/>
              </w:rPr>
              <w:t>%</w:t>
            </w:r>
          </w:p>
          <w:p w14:paraId="2C5CA1BA" w14:textId="6A2ABD07" w:rsidR="00F96912" w:rsidRPr="002655A7" w:rsidRDefault="00F96912" w:rsidP="006658D5">
            <w:pPr>
              <w:rPr>
                <w:color w:val="002060"/>
                <w:sz w:val="16"/>
                <w:szCs w:val="16"/>
              </w:rPr>
            </w:pPr>
            <w:r w:rsidRPr="002655A7">
              <w:rPr>
                <w:color w:val="002060"/>
                <w:sz w:val="16"/>
                <w:szCs w:val="16"/>
              </w:rPr>
              <w:t>Moyen</w:t>
            </w:r>
            <w:r w:rsidRPr="002655A7">
              <w:rPr>
                <w:color w:val="002060"/>
                <w:sz w:val="16"/>
                <w:szCs w:val="16"/>
              </w:rPr>
              <w:noBreakHyphen/>
              <w:t>Orient : 1,</w:t>
            </w:r>
            <w:r w:rsidR="00493738">
              <w:rPr>
                <w:color w:val="002060"/>
                <w:sz w:val="16"/>
                <w:szCs w:val="16"/>
              </w:rPr>
              <w:t>1</w:t>
            </w:r>
            <w:r w:rsidRPr="002655A7">
              <w:rPr>
                <w:color w:val="002060"/>
                <w:sz w:val="16"/>
                <w:szCs w:val="16"/>
              </w:rPr>
              <w:t>%</w:t>
            </w:r>
          </w:p>
          <w:p w14:paraId="78B5362E" w14:textId="7195B552" w:rsidR="00F96912" w:rsidRPr="002655A7" w:rsidRDefault="00F96912" w:rsidP="006658D5">
            <w:pPr>
              <w:rPr>
                <w:color w:val="002060"/>
                <w:sz w:val="16"/>
                <w:szCs w:val="16"/>
              </w:rPr>
            </w:pPr>
            <w:r w:rsidRPr="002655A7">
              <w:rPr>
                <w:color w:val="002060"/>
                <w:sz w:val="16"/>
                <w:szCs w:val="16"/>
              </w:rPr>
              <w:t>Amérique du Nord : 9,</w:t>
            </w:r>
            <w:r w:rsidR="00493738">
              <w:rPr>
                <w:color w:val="002060"/>
                <w:sz w:val="16"/>
                <w:szCs w:val="16"/>
              </w:rPr>
              <w:t>0</w:t>
            </w:r>
            <w:r w:rsidRPr="002655A7">
              <w:rPr>
                <w:color w:val="002060"/>
                <w:sz w:val="16"/>
                <w:szCs w:val="16"/>
              </w:rPr>
              <w:t>%</w:t>
            </w:r>
            <w:r w:rsidRPr="002655A7">
              <w:rPr>
                <w:color w:val="002060"/>
                <w:sz w:val="16"/>
                <w:szCs w:val="16"/>
              </w:rPr>
              <w:br/>
              <w:t>Europe de l’Ouest : 4</w:t>
            </w:r>
            <w:r w:rsidR="00493738">
              <w:rPr>
                <w:color w:val="002060"/>
                <w:sz w:val="16"/>
                <w:szCs w:val="16"/>
              </w:rPr>
              <w:t>9</w:t>
            </w:r>
            <w:r w:rsidRPr="002655A7">
              <w:rPr>
                <w:color w:val="002060"/>
                <w:sz w:val="16"/>
                <w:szCs w:val="16"/>
              </w:rPr>
              <w:t>,</w:t>
            </w:r>
            <w:r w:rsidR="00493738">
              <w:rPr>
                <w:color w:val="002060"/>
                <w:sz w:val="16"/>
                <w:szCs w:val="16"/>
              </w:rPr>
              <w:t>5</w:t>
            </w:r>
            <w:r w:rsidRPr="002655A7">
              <w:rPr>
                <w:color w:val="002060"/>
                <w:sz w:val="16"/>
                <w:szCs w:val="16"/>
              </w:rPr>
              <w:t>%</w:t>
            </w:r>
          </w:p>
          <w:p w14:paraId="5AEC8C34" w14:textId="77777777" w:rsidR="00F96912" w:rsidRPr="00266EB9" w:rsidRDefault="00F96912" w:rsidP="006658D5">
            <w:pPr>
              <w:rPr>
                <w:color w:val="002060"/>
                <w:sz w:val="16"/>
                <w:szCs w:val="16"/>
              </w:rPr>
            </w:pPr>
          </w:p>
          <w:p w14:paraId="3FCB8CB8" w14:textId="77777777" w:rsidR="00F96912" w:rsidRPr="00266EB9" w:rsidRDefault="00F96912" w:rsidP="006658D5">
            <w:pPr>
              <w:rPr>
                <w:sz w:val="16"/>
                <w:szCs w:val="16"/>
              </w:rPr>
            </w:pPr>
            <w:r w:rsidRPr="00266EB9">
              <w:rPr>
                <w:sz w:val="16"/>
                <w:szCs w:val="16"/>
              </w:rPr>
              <w:t>Niveau de référence initial dans le programme et budget 2016</w:t>
            </w:r>
            <w:r>
              <w:rPr>
                <w:sz w:val="16"/>
                <w:szCs w:val="16"/>
              </w:rPr>
              <w:noBreakHyphen/>
            </w:r>
            <w:r w:rsidRPr="00266EB9">
              <w:rPr>
                <w:sz w:val="16"/>
                <w:szCs w:val="16"/>
              </w:rPr>
              <w:t>2017 :</w:t>
            </w:r>
          </w:p>
          <w:p w14:paraId="7EE242E9" w14:textId="77777777" w:rsidR="00F96912" w:rsidRPr="00266EB9" w:rsidRDefault="00F96912" w:rsidP="006658D5">
            <w:pPr>
              <w:rPr>
                <w:sz w:val="16"/>
                <w:szCs w:val="16"/>
              </w:rPr>
            </w:pPr>
            <w:r w:rsidRPr="00266EB9">
              <w:rPr>
                <w:sz w:val="16"/>
                <w:szCs w:val="16"/>
              </w:rPr>
              <w:t>Afrique</w:t>
            </w:r>
            <w:r w:rsidRPr="00266EB9">
              <w:rPr>
                <w:color w:val="000000"/>
                <w:sz w:val="16"/>
                <w:szCs w:val="16"/>
              </w:rPr>
              <w:t xml:space="preserve"> : </w:t>
            </w:r>
            <w:r w:rsidRPr="00266EB9">
              <w:rPr>
                <w:sz w:val="16"/>
                <w:szCs w:val="16"/>
              </w:rPr>
              <w:t>10</w:t>
            </w:r>
            <w:r w:rsidRPr="00266EB9">
              <w:rPr>
                <w:color w:val="000000"/>
                <w:sz w:val="16"/>
                <w:szCs w:val="16"/>
              </w:rPr>
              <w:t>,8%</w:t>
            </w:r>
          </w:p>
          <w:p w14:paraId="492DDD34" w14:textId="77777777" w:rsidR="00F96912" w:rsidRPr="00266EB9" w:rsidRDefault="00F96912" w:rsidP="006658D5">
            <w:pPr>
              <w:rPr>
                <w:sz w:val="16"/>
                <w:szCs w:val="16"/>
              </w:rPr>
            </w:pPr>
            <w:r w:rsidRPr="00266EB9">
              <w:rPr>
                <w:sz w:val="16"/>
                <w:szCs w:val="16"/>
              </w:rPr>
              <w:t>Asie et Pacifique :</w:t>
            </w:r>
            <w:r w:rsidRPr="00266EB9">
              <w:rPr>
                <w:color w:val="000000"/>
                <w:sz w:val="16"/>
                <w:szCs w:val="16"/>
              </w:rPr>
              <w:t xml:space="preserve"> </w:t>
            </w:r>
            <w:r w:rsidRPr="00266EB9">
              <w:rPr>
                <w:sz w:val="16"/>
                <w:szCs w:val="16"/>
              </w:rPr>
              <w:t>13</w:t>
            </w:r>
            <w:r w:rsidRPr="00266EB9">
              <w:rPr>
                <w:color w:val="000000"/>
                <w:sz w:val="16"/>
                <w:szCs w:val="16"/>
              </w:rPr>
              <w:t>,</w:t>
            </w:r>
            <w:r w:rsidRPr="00266EB9">
              <w:rPr>
                <w:sz w:val="16"/>
                <w:szCs w:val="16"/>
              </w:rPr>
              <w:t>5</w:t>
            </w:r>
            <w:r w:rsidRPr="00266EB9">
              <w:rPr>
                <w:color w:val="000000"/>
                <w:sz w:val="16"/>
                <w:szCs w:val="16"/>
              </w:rPr>
              <w:t>%</w:t>
            </w:r>
          </w:p>
          <w:p w14:paraId="7F8BF7C4" w14:textId="77777777" w:rsidR="00F96912" w:rsidRPr="00266EB9" w:rsidRDefault="00F96912" w:rsidP="006658D5">
            <w:pPr>
              <w:rPr>
                <w:sz w:val="16"/>
                <w:szCs w:val="16"/>
              </w:rPr>
            </w:pPr>
            <w:r w:rsidRPr="00266EB9">
              <w:rPr>
                <w:sz w:val="16"/>
                <w:szCs w:val="16"/>
              </w:rPr>
              <w:t>Europe centrale et orientale et Asie centrale</w:t>
            </w:r>
            <w:r w:rsidRPr="00266EB9">
              <w:rPr>
                <w:color w:val="000000"/>
                <w:sz w:val="16"/>
                <w:szCs w:val="16"/>
              </w:rPr>
              <w:t> : 6,7%</w:t>
            </w:r>
          </w:p>
          <w:p w14:paraId="37AD1F47" w14:textId="77777777" w:rsidR="00F96912" w:rsidRPr="00266EB9" w:rsidRDefault="00F96912" w:rsidP="006658D5">
            <w:pPr>
              <w:rPr>
                <w:sz w:val="16"/>
                <w:szCs w:val="16"/>
              </w:rPr>
            </w:pPr>
            <w:r w:rsidRPr="00266EB9">
              <w:rPr>
                <w:sz w:val="16"/>
                <w:szCs w:val="16"/>
              </w:rPr>
              <w:t>Amérique latine et Caraïbes :</w:t>
            </w:r>
            <w:r w:rsidRPr="00266EB9">
              <w:rPr>
                <w:color w:val="000000"/>
                <w:sz w:val="16"/>
                <w:szCs w:val="16"/>
              </w:rPr>
              <w:t xml:space="preserve"> </w:t>
            </w:r>
            <w:r w:rsidRPr="00266EB9">
              <w:rPr>
                <w:sz w:val="16"/>
                <w:szCs w:val="16"/>
              </w:rPr>
              <w:t>8</w:t>
            </w:r>
            <w:r w:rsidRPr="00266EB9">
              <w:rPr>
                <w:color w:val="000000"/>
                <w:sz w:val="16"/>
                <w:szCs w:val="16"/>
              </w:rPr>
              <w:t>,</w:t>
            </w:r>
            <w:r w:rsidRPr="00266EB9">
              <w:rPr>
                <w:sz w:val="16"/>
                <w:szCs w:val="16"/>
              </w:rPr>
              <w:t>2</w:t>
            </w:r>
            <w:r w:rsidRPr="00266EB9">
              <w:rPr>
                <w:color w:val="000000"/>
                <w:sz w:val="16"/>
                <w:szCs w:val="16"/>
              </w:rPr>
              <w:t>%</w:t>
            </w:r>
          </w:p>
          <w:p w14:paraId="0795B10D" w14:textId="77777777" w:rsidR="00F96912" w:rsidRPr="00266EB9" w:rsidRDefault="00F96912" w:rsidP="006658D5">
            <w:pPr>
              <w:rPr>
                <w:sz w:val="16"/>
                <w:szCs w:val="16"/>
              </w:rPr>
            </w:pPr>
            <w:r w:rsidRPr="00266EB9">
              <w:rPr>
                <w:sz w:val="16"/>
                <w:szCs w:val="16"/>
              </w:rPr>
              <w:t>Moyen</w:t>
            </w:r>
            <w:r>
              <w:rPr>
                <w:sz w:val="16"/>
                <w:szCs w:val="16"/>
              </w:rPr>
              <w:noBreakHyphen/>
            </w:r>
            <w:r w:rsidRPr="00266EB9">
              <w:rPr>
                <w:sz w:val="16"/>
                <w:szCs w:val="16"/>
              </w:rPr>
              <w:t>Orient</w:t>
            </w:r>
            <w:r w:rsidRPr="00266EB9">
              <w:rPr>
                <w:color w:val="000000"/>
                <w:sz w:val="16"/>
                <w:szCs w:val="16"/>
              </w:rPr>
              <w:t> :</w:t>
            </w:r>
            <w:r w:rsidRPr="00266EB9">
              <w:rPr>
                <w:sz w:val="16"/>
                <w:szCs w:val="16"/>
              </w:rPr>
              <w:t xml:space="preserve"> 1,2%</w:t>
            </w:r>
          </w:p>
          <w:p w14:paraId="14B5F36D" w14:textId="77777777" w:rsidR="00F96912" w:rsidRPr="00266EB9" w:rsidRDefault="00F96912" w:rsidP="006658D5">
            <w:pPr>
              <w:rPr>
                <w:sz w:val="16"/>
                <w:szCs w:val="16"/>
              </w:rPr>
            </w:pPr>
            <w:r w:rsidRPr="00266EB9">
              <w:rPr>
                <w:sz w:val="16"/>
                <w:szCs w:val="16"/>
              </w:rPr>
              <w:t>Amérique du Nord : 8,4%</w:t>
            </w:r>
          </w:p>
          <w:p w14:paraId="23485CD0" w14:textId="77777777" w:rsidR="00F96912" w:rsidRPr="00266EB9" w:rsidRDefault="00F96912" w:rsidP="006658D5">
            <w:pPr>
              <w:rPr>
                <w:sz w:val="16"/>
                <w:szCs w:val="16"/>
              </w:rPr>
            </w:pPr>
            <w:r w:rsidRPr="00266EB9">
              <w:rPr>
                <w:sz w:val="16"/>
                <w:szCs w:val="16"/>
              </w:rPr>
              <w:t>Europe de l’Ouest : 51,2%</w:t>
            </w:r>
          </w:p>
          <w:p w14:paraId="2A1D6497" w14:textId="77777777" w:rsidR="00F96912" w:rsidRPr="00266EB9" w:rsidRDefault="00F96912" w:rsidP="006658D5">
            <w:pPr>
              <w:rPr>
                <w:color w:val="000000"/>
                <w:sz w:val="16"/>
                <w:szCs w:val="16"/>
              </w:rPr>
            </w:pPr>
            <w:r w:rsidRPr="00266EB9">
              <w:rPr>
                <w:sz w:val="16"/>
                <w:szCs w:val="16"/>
              </w:rPr>
              <w:t>(décembre 2014)</w:t>
            </w:r>
          </w:p>
        </w:tc>
        <w:tc>
          <w:tcPr>
            <w:tcW w:w="817" w:type="pct"/>
            <w:shd w:val="clear" w:color="auto" w:fill="auto"/>
            <w:tcMar>
              <w:top w:w="57" w:type="dxa"/>
              <w:left w:w="108" w:type="dxa"/>
              <w:right w:w="108" w:type="dxa"/>
            </w:tcMar>
          </w:tcPr>
          <w:p w14:paraId="44A8C434" w14:textId="77777777" w:rsidR="00F96912" w:rsidRPr="00266EB9" w:rsidRDefault="00F96912" w:rsidP="006658D5">
            <w:pPr>
              <w:rPr>
                <w:i/>
                <w:color w:val="002060"/>
                <w:sz w:val="16"/>
                <w:szCs w:val="16"/>
              </w:rPr>
            </w:pPr>
            <w:r w:rsidRPr="00266EB9">
              <w:rPr>
                <w:i/>
                <w:color w:val="002060"/>
                <w:sz w:val="16"/>
                <w:szCs w:val="16"/>
              </w:rPr>
              <w:t>Objectif actualisé :</w:t>
            </w:r>
          </w:p>
          <w:p w14:paraId="197BE672" w14:textId="77777777" w:rsidR="00F96912" w:rsidRPr="00266EB9" w:rsidRDefault="00F96912" w:rsidP="006658D5">
            <w:pPr>
              <w:rPr>
                <w:color w:val="002060"/>
                <w:sz w:val="16"/>
                <w:szCs w:val="16"/>
              </w:rPr>
            </w:pPr>
            <w:r w:rsidRPr="00266EB9">
              <w:rPr>
                <w:color w:val="002060"/>
                <w:sz w:val="16"/>
                <w:szCs w:val="16"/>
              </w:rPr>
              <w:t>Accord des États membres sur la politique de l’OMPI sur la répartition géographique</w:t>
            </w:r>
          </w:p>
          <w:p w14:paraId="414457F0" w14:textId="77777777" w:rsidR="00F96912" w:rsidRPr="00266EB9" w:rsidRDefault="00F96912" w:rsidP="006658D5">
            <w:pPr>
              <w:rPr>
                <w:color w:val="000000"/>
                <w:sz w:val="16"/>
                <w:szCs w:val="16"/>
              </w:rPr>
            </w:pPr>
          </w:p>
          <w:p w14:paraId="75EE78B0" w14:textId="77777777" w:rsidR="00F96912" w:rsidRPr="00266EB9" w:rsidRDefault="00F96912" w:rsidP="006658D5">
            <w:pPr>
              <w:rPr>
                <w:i/>
                <w:color w:val="000000"/>
                <w:sz w:val="16"/>
                <w:szCs w:val="16"/>
              </w:rPr>
            </w:pPr>
            <w:r w:rsidRPr="00266EB9">
              <w:rPr>
                <w:i/>
                <w:color w:val="000000"/>
                <w:sz w:val="16"/>
                <w:szCs w:val="16"/>
              </w:rPr>
              <w:t>Objectif initial dans le programme et budget 2016</w:t>
            </w:r>
            <w:r>
              <w:rPr>
                <w:i/>
                <w:color w:val="000000"/>
                <w:sz w:val="16"/>
                <w:szCs w:val="16"/>
              </w:rPr>
              <w:noBreakHyphen/>
            </w:r>
            <w:r w:rsidRPr="00266EB9">
              <w:rPr>
                <w:i/>
                <w:color w:val="000000"/>
                <w:sz w:val="16"/>
                <w:szCs w:val="16"/>
              </w:rPr>
              <w:t>2017 :</w:t>
            </w:r>
          </w:p>
          <w:p w14:paraId="5898E45C" w14:textId="77777777" w:rsidR="00F96912" w:rsidRPr="00266EB9" w:rsidRDefault="00F96912" w:rsidP="006658D5">
            <w:pPr>
              <w:rPr>
                <w:color w:val="000000"/>
                <w:sz w:val="16"/>
                <w:szCs w:val="16"/>
              </w:rPr>
            </w:pPr>
            <w:r w:rsidRPr="00266EB9">
              <w:rPr>
                <w:sz w:val="16"/>
                <w:szCs w:val="16"/>
              </w:rPr>
              <w:t>La politique de l’OMPI sur la répartition géographique doit être examinée par les États membres</w:t>
            </w:r>
          </w:p>
        </w:tc>
        <w:tc>
          <w:tcPr>
            <w:tcW w:w="1203" w:type="pct"/>
            <w:shd w:val="clear" w:color="auto" w:fill="FFFFFF"/>
            <w:tcMar>
              <w:top w:w="57" w:type="dxa"/>
              <w:left w:w="108" w:type="dxa"/>
              <w:right w:w="108" w:type="dxa"/>
            </w:tcMar>
          </w:tcPr>
          <w:p w14:paraId="7C7D70F7" w14:textId="77777777" w:rsidR="00F96912" w:rsidRPr="00266EB9" w:rsidRDefault="00F96912" w:rsidP="006658D5">
            <w:pPr>
              <w:rPr>
                <w:sz w:val="16"/>
                <w:szCs w:val="16"/>
              </w:rPr>
            </w:pPr>
            <w:r w:rsidRPr="00266EB9">
              <w:rPr>
                <w:sz w:val="16"/>
                <w:szCs w:val="16"/>
              </w:rPr>
              <w:t>Afrique :</w:t>
            </w:r>
            <w:r w:rsidRPr="00266EB9">
              <w:rPr>
                <w:color w:val="000000"/>
                <w:sz w:val="16"/>
                <w:szCs w:val="16"/>
              </w:rPr>
              <w:t xml:space="preserve"> </w:t>
            </w:r>
            <w:r w:rsidRPr="00266EB9">
              <w:rPr>
                <w:sz w:val="16"/>
                <w:szCs w:val="16"/>
              </w:rPr>
              <w:t>11</w:t>
            </w:r>
            <w:r w:rsidRPr="00266EB9">
              <w:rPr>
                <w:color w:val="000000"/>
                <w:sz w:val="16"/>
                <w:szCs w:val="16"/>
              </w:rPr>
              <w:t>,</w:t>
            </w:r>
            <w:r w:rsidRPr="00266EB9">
              <w:rPr>
                <w:sz w:val="16"/>
                <w:szCs w:val="16"/>
              </w:rPr>
              <w:t>3</w:t>
            </w:r>
            <w:r w:rsidRPr="00266EB9">
              <w:rPr>
                <w:color w:val="000000"/>
                <w:sz w:val="16"/>
                <w:szCs w:val="16"/>
              </w:rPr>
              <w:t>%</w:t>
            </w:r>
          </w:p>
          <w:p w14:paraId="7363A1DF" w14:textId="77777777" w:rsidR="00F96912" w:rsidRPr="00266EB9" w:rsidRDefault="00F96912" w:rsidP="006658D5">
            <w:pPr>
              <w:rPr>
                <w:sz w:val="16"/>
                <w:szCs w:val="16"/>
              </w:rPr>
            </w:pPr>
            <w:r w:rsidRPr="00266EB9">
              <w:rPr>
                <w:sz w:val="16"/>
                <w:szCs w:val="16"/>
              </w:rPr>
              <w:t>Asie et Pacifique :</w:t>
            </w:r>
            <w:r w:rsidRPr="00266EB9">
              <w:rPr>
                <w:color w:val="000000"/>
                <w:sz w:val="16"/>
                <w:szCs w:val="16"/>
              </w:rPr>
              <w:t xml:space="preserve"> </w:t>
            </w:r>
            <w:r w:rsidRPr="00266EB9">
              <w:rPr>
                <w:sz w:val="16"/>
                <w:szCs w:val="16"/>
              </w:rPr>
              <w:t>17</w:t>
            </w:r>
            <w:r w:rsidRPr="00266EB9">
              <w:rPr>
                <w:color w:val="000000"/>
                <w:sz w:val="16"/>
                <w:szCs w:val="16"/>
              </w:rPr>
              <w:t>,</w:t>
            </w:r>
            <w:r w:rsidRPr="00266EB9">
              <w:rPr>
                <w:sz w:val="16"/>
                <w:szCs w:val="16"/>
              </w:rPr>
              <w:t>3</w:t>
            </w:r>
            <w:r w:rsidRPr="00266EB9">
              <w:rPr>
                <w:color w:val="000000"/>
                <w:sz w:val="16"/>
                <w:szCs w:val="16"/>
              </w:rPr>
              <w:t>%</w:t>
            </w:r>
          </w:p>
          <w:p w14:paraId="5045E8AA" w14:textId="77777777" w:rsidR="00F96912" w:rsidRPr="00266EB9" w:rsidRDefault="00F96912" w:rsidP="006658D5">
            <w:pPr>
              <w:rPr>
                <w:sz w:val="16"/>
                <w:szCs w:val="16"/>
              </w:rPr>
            </w:pPr>
            <w:r w:rsidRPr="00266EB9">
              <w:rPr>
                <w:sz w:val="16"/>
                <w:szCs w:val="16"/>
              </w:rPr>
              <w:t>Europe centrale et orientale et Asie centrale</w:t>
            </w:r>
            <w:r w:rsidRPr="00266EB9">
              <w:rPr>
                <w:color w:val="000000"/>
                <w:sz w:val="16"/>
                <w:szCs w:val="16"/>
              </w:rPr>
              <w:t xml:space="preserve"> : </w:t>
            </w:r>
            <w:r w:rsidRPr="00266EB9">
              <w:rPr>
                <w:sz w:val="16"/>
                <w:szCs w:val="16"/>
              </w:rPr>
              <w:t>7,8%</w:t>
            </w:r>
          </w:p>
          <w:p w14:paraId="24FB96F4" w14:textId="77777777" w:rsidR="00F96912" w:rsidRPr="00266EB9" w:rsidRDefault="00F96912" w:rsidP="006658D5">
            <w:pPr>
              <w:rPr>
                <w:sz w:val="16"/>
                <w:szCs w:val="16"/>
              </w:rPr>
            </w:pPr>
            <w:r w:rsidRPr="00266EB9">
              <w:rPr>
                <w:sz w:val="16"/>
                <w:szCs w:val="16"/>
              </w:rPr>
              <w:t>Amérique latine et Caraïbes :</w:t>
            </w:r>
            <w:r w:rsidRPr="00266EB9">
              <w:rPr>
                <w:color w:val="000000"/>
                <w:sz w:val="16"/>
                <w:szCs w:val="16"/>
              </w:rPr>
              <w:t xml:space="preserve"> </w:t>
            </w:r>
            <w:r w:rsidRPr="00266EB9">
              <w:rPr>
                <w:sz w:val="16"/>
                <w:szCs w:val="16"/>
              </w:rPr>
              <w:t>8</w:t>
            </w:r>
            <w:r w:rsidRPr="00266EB9">
              <w:rPr>
                <w:color w:val="000000"/>
                <w:sz w:val="16"/>
                <w:szCs w:val="16"/>
              </w:rPr>
              <w:t>,</w:t>
            </w:r>
            <w:r w:rsidRPr="00266EB9">
              <w:rPr>
                <w:sz w:val="16"/>
                <w:szCs w:val="16"/>
              </w:rPr>
              <w:t>0</w:t>
            </w:r>
            <w:r w:rsidRPr="00266EB9">
              <w:rPr>
                <w:color w:val="000000"/>
                <w:sz w:val="16"/>
                <w:szCs w:val="16"/>
              </w:rPr>
              <w:t>%</w:t>
            </w:r>
          </w:p>
          <w:p w14:paraId="62DAD645" w14:textId="77777777" w:rsidR="00F96912" w:rsidRPr="00266EB9" w:rsidRDefault="00F96912" w:rsidP="006658D5">
            <w:pPr>
              <w:rPr>
                <w:sz w:val="16"/>
                <w:szCs w:val="16"/>
              </w:rPr>
            </w:pPr>
            <w:r w:rsidRPr="00266EB9">
              <w:rPr>
                <w:sz w:val="16"/>
                <w:szCs w:val="16"/>
              </w:rPr>
              <w:t>Moyen</w:t>
            </w:r>
            <w:r>
              <w:rPr>
                <w:sz w:val="16"/>
                <w:szCs w:val="16"/>
              </w:rPr>
              <w:noBreakHyphen/>
            </w:r>
            <w:r w:rsidRPr="00266EB9">
              <w:rPr>
                <w:sz w:val="16"/>
                <w:szCs w:val="16"/>
              </w:rPr>
              <w:t>Orient :</w:t>
            </w:r>
            <w:r w:rsidRPr="00266EB9">
              <w:rPr>
                <w:color w:val="000000"/>
                <w:sz w:val="16"/>
                <w:szCs w:val="16"/>
              </w:rPr>
              <w:t xml:space="preserve"> </w:t>
            </w:r>
            <w:r w:rsidRPr="00266EB9">
              <w:rPr>
                <w:sz w:val="16"/>
                <w:szCs w:val="16"/>
              </w:rPr>
              <w:t>1,3%</w:t>
            </w:r>
          </w:p>
          <w:p w14:paraId="005B07C9" w14:textId="77777777" w:rsidR="00F96912" w:rsidRPr="00266EB9" w:rsidRDefault="00F96912" w:rsidP="006658D5">
            <w:pPr>
              <w:rPr>
                <w:sz w:val="16"/>
                <w:szCs w:val="16"/>
              </w:rPr>
            </w:pPr>
            <w:r w:rsidRPr="00266EB9">
              <w:rPr>
                <w:sz w:val="16"/>
                <w:szCs w:val="16"/>
              </w:rPr>
              <w:t>Amérique du Nord : 8,4%</w:t>
            </w:r>
          </w:p>
          <w:p w14:paraId="3F466104" w14:textId="4FF98F96" w:rsidR="00F96912" w:rsidRPr="00266EB9" w:rsidRDefault="00F96912" w:rsidP="00556813">
            <w:pPr>
              <w:rPr>
                <w:color w:val="000000"/>
                <w:sz w:val="16"/>
                <w:szCs w:val="16"/>
              </w:rPr>
            </w:pPr>
            <w:r w:rsidRPr="00266EB9">
              <w:rPr>
                <w:sz w:val="16"/>
                <w:szCs w:val="16"/>
              </w:rPr>
              <w:t>Europe de l’Ouest : 45,</w:t>
            </w:r>
            <w:r w:rsidR="00556813">
              <w:rPr>
                <w:sz w:val="16"/>
                <w:szCs w:val="16"/>
              </w:rPr>
              <w:t>8</w:t>
            </w:r>
            <w:r w:rsidRPr="00266EB9">
              <w:rPr>
                <w:sz w:val="16"/>
                <w:szCs w:val="16"/>
              </w:rPr>
              <w:t>%</w:t>
            </w:r>
          </w:p>
        </w:tc>
        <w:tc>
          <w:tcPr>
            <w:tcW w:w="673" w:type="pct"/>
            <w:shd w:val="clear" w:color="auto" w:fill="auto"/>
            <w:tcMar>
              <w:top w:w="57" w:type="dxa"/>
              <w:left w:w="108" w:type="dxa"/>
              <w:right w:w="108" w:type="dxa"/>
            </w:tcMar>
          </w:tcPr>
          <w:p w14:paraId="0A04BCBC" w14:textId="77777777" w:rsidR="00F96912" w:rsidRPr="00266EB9" w:rsidRDefault="00F96912" w:rsidP="006658D5">
            <w:pPr>
              <w:keepNext/>
              <w:keepLines/>
              <w:jc w:val="center"/>
              <w:rPr>
                <w:b/>
                <w:color w:val="808080"/>
                <w:sz w:val="16"/>
                <w:szCs w:val="14"/>
              </w:rPr>
            </w:pPr>
            <w:r w:rsidRPr="00266EB9">
              <w:rPr>
                <w:b/>
                <w:color w:val="A6A6A6" w:themeColor="background1" w:themeShade="A6"/>
                <w:sz w:val="16"/>
                <w:szCs w:val="16"/>
              </w:rPr>
              <w:t>Non évaluable</w:t>
            </w:r>
          </w:p>
        </w:tc>
      </w:tr>
      <w:tr w:rsidR="00F96912" w:rsidRPr="00266EB9" w14:paraId="08398C37" w14:textId="77777777" w:rsidTr="006658D5">
        <w:trPr>
          <w:cantSplit/>
        </w:trPr>
        <w:tc>
          <w:tcPr>
            <w:tcW w:w="1057" w:type="pct"/>
            <w:shd w:val="clear" w:color="auto" w:fill="auto"/>
            <w:tcMar>
              <w:left w:w="108" w:type="dxa"/>
              <w:right w:w="108" w:type="dxa"/>
            </w:tcMar>
          </w:tcPr>
          <w:p w14:paraId="2C6FE7C8" w14:textId="77777777" w:rsidR="00F96912" w:rsidRPr="00266EB9" w:rsidRDefault="00F96912" w:rsidP="006658D5">
            <w:pPr>
              <w:rPr>
                <w:color w:val="000000"/>
                <w:sz w:val="16"/>
                <w:szCs w:val="16"/>
              </w:rPr>
            </w:pPr>
            <w:r w:rsidRPr="00266EB9">
              <w:rPr>
                <w:sz w:val="16"/>
                <w:szCs w:val="16"/>
              </w:rPr>
              <w:t>Nombre de candidatures reçues depuis les États membres non représentés en pourcentage du total</w:t>
            </w:r>
          </w:p>
        </w:tc>
        <w:tc>
          <w:tcPr>
            <w:tcW w:w="1250" w:type="pct"/>
            <w:shd w:val="clear" w:color="auto" w:fill="auto"/>
            <w:tcMar>
              <w:left w:w="108" w:type="dxa"/>
              <w:right w:w="108" w:type="dxa"/>
            </w:tcMar>
          </w:tcPr>
          <w:p w14:paraId="5C1BB1CE" w14:textId="77777777" w:rsidR="00F96912" w:rsidRPr="00266EB9" w:rsidRDefault="00F96912" w:rsidP="006658D5">
            <w:pPr>
              <w:rPr>
                <w:i/>
                <w:color w:val="002060"/>
                <w:sz w:val="16"/>
                <w:szCs w:val="16"/>
              </w:rPr>
            </w:pPr>
            <w:r w:rsidRPr="00266EB9">
              <w:rPr>
                <w:i/>
                <w:color w:val="002060"/>
                <w:sz w:val="16"/>
                <w:szCs w:val="16"/>
              </w:rPr>
              <w:t>Niveau de référence actualisé à fin 2015 :</w:t>
            </w:r>
          </w:p>
          <w:p w14:paraId="2D8116FC" w14:textId="77777777" w:rsidR="00F96912" w:rsidRPr="00266EB9" w:rsidRDefault="00F96912" w:rsidP="006658D5">
            <w:pPr>
              <w:rPr>
                <w:color w:val="002060"/>
                <w:sz w:val="16"/>
                <w:szCs w:val="16"/>
              </w:rPr>
            </w:pPr>
            <w:r w:rsidRPr="00266EB9">
              <w:rPr>
                <w:color w:val="002060"/>
                <w:sz w:val="16"/>
                <w:szCs w:val="16"/>
              </w:rPr>
              <w:t>7,1%</w:t>
            </w:r>
          </w:p>
          <w:p w14:paraId="4C5B91A5" w14:textId="77777777" w:rsidR="00F96912" w:rsidRPr="00266EB9" w:rsidRDefault="00F96912" w:rsidP="006658D5">
            <w:pPr>
              <w:rPr>
                <w:color w:val="000000"/>
                <w:sz w:val="16"/>
                <w:szCs w:val="16"/>
              </w:rPr>
            </w:pPr>
          </w:p>
          <w:p w14:paraId="6FEF4772" w14:textId="77777777" w:rsidR="00F96912" w:rsidRPr="00266EB9" w:rsidRDefault="00F96912" w:rsidP="006658D5">
            <w:pPr>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4994DED1" w14:textId="77777777" w:rsidR="00F96912" w:rsidRPr="00266EB9" w:rsidRDefault="00F96912" w:rsidP="006658D5">
            <w:pPr>
              <w:rPr>
                <w:color w:val="000000"/>
                <w:sz w:val="16"/>
                <w:szCs w:val="16"/>
              </w:rPr>
            </w:pPr>
            <w:r w:rsidRPr="00266EB9">
              <w:rPr>
                <w:sz w:val="16"/>
                <w:szCs w:val="16"/>
              </w:rPr>
              <w:t>À déterminer fin 2015</w:t>
            </w:r>
          </w:p>
        </w:tc>
        <w:tc>
          <w:tcPr>
            <w:tcW w:w="817" w:type="pct"/>
            <w:shd w:val="clear" w:color="auto" w:fill="auto"/>
            <w:tcMar>
              <w:top w:w="57" w:type="dxa"/>
              <w:left w:w="108" w:type="dxa"/>
              <w:right w:w="108" w:type="dxa"/>
            </w:tcMar>
          </w:tcPr>
          <w:p w14:paraId="6F34E23F" w14:textId="77777777" w:rsidR="00F96912" w:rsidRPr="002655A7" w:rsidRDefault="00F96912" w:rsidP="006658D5">
            <w:pPr>
              <w:rPr>
                <w:i/>
                <w:color w:val="002060"/>
                <w:sz w:val="16"/>
                <w:szCs w:val="16"/>
              </w:rPr>
            </w:pPr>
            <w:r w:rsidRPr="002655A7">
              <w:rPr>
                <w:i/>
                <w:color w:val="002060"/>
                <w:sz w:val="16"/>
                <w:szCs w:val="16"/>
              </w:rPr>
              <w:t>Objectif fixé :</w:t>
            </w:r>
          </w:p>
          <w:p w14:paraId="5AD8816C" w14:textId="77777777" w:rsidR="00F96912" w:rsidRPr="002655A7" w:rsidRDefault="00F96912" w:rsidP="006658D5">
            <w:pPr>
              <w:rPr>
                <w:color w:val="002060"/>
                <w:sz w:val="16"/>
                <w:szCs w:val="16"/>
              </w:rPr>
            </w:pPr>
            <w:r w:rsidRPr="002655A7">
              <w:rPr>
                <w:color w:val="002060"/>
                <w:sz w:val="16"/>
                <w:szCs w:val="16"/>
              </w:rPr>
              <w:t>8%</w:t>
            </w:r>
          </w:p>
          <w:p w14:paraId="3EE9F3B6" w14:textId="77777777" w:rsidR="00F96912" w:rsidRPr="00266EB9" w:rsidRDefault="00F96912" w:rsidP="006658D5">
            <w:pPr>
              <w:rPr>
                <w:color w:val="000000"/>
                <w:sz w:val="16"/>
                <w:szCs w:val="16"/>
              </w:rPr>
            </w:pPr>
          </w:p>
          <w:p w14:paraId="3037610A" w14:textId="77777777" w:rsidR="00F96912" w:rsidRPr="00266EB9" w:rsidRDefault="00F96912" w:rsidP="006658D5">
            <w:pPr>
              <w:rPr>
                <w:i/>
                <w:color w:val="000000"/>
                <w:sz w:val="16"/>
                <w:szCs w:val="16"/>
              </w:rPr>
            </w:pPr>
          </w:p>
          <w:p w14:paraId="579280E4" w14:textId="77777777" w:rsidR="00F96912" w:rsidRPr="00266EB9" w:rsidRDefault="00F96912" w:rsidP="006658D5">
            <w:pPr>
              <w:rPr>
                <w:i/>
                <w:color w:val="000000"/>
                <w:sz w:val="16"/>
                <w:szCs w:val="16"/>
              </w:rPr>
            </w:pPr>
            <w:r w:rsidRPr="00266EB9">
              <w:rPr>
                <w:i/>
                <w:color w:val="000000"/>
                <w:sz w:val="16"/>
                <w:szCs w:val="16"/>
              </w:rPr>
              <w:t>Objectif initial dans le programme et budget 2016</w:t>
            </w:r>
            <w:r>
              <w:rPr>
                <w:i/>
                <w:color w:val="000000"/>
                <w:sz w:val="16"/>
                <w:szCs w:val="16"/>
              </w:rPr>
              <w:noBreakHyphen/>
            </w:r>
            <w:r w:rsidRPr="00266EB9">
              <w:rPr>
                <w:i/>
                <w:color w:val="000000"/>
                <w:sz w:val="16"/>
                <w:szCs w:val="16"/>
              </w:rPr>
              <w:t>2017 :</w:t>
            </w:r>
          </w:p>
          <w:p w14:paraId="2A6796E0" w14:textId="77777777" w:rsidR="00F96912" w:rsidRPr="00266EB9" w:rsidRDefault="00F96912" w:rsidP="006658D5">
            <w:pPr>
              <w:rPr>
                <w:color w:val="000000"/>
                <w:sz w:val="16"/>
                <w:szCs w:val="16"/>
              </w:rPr>
            </w:pPr>
            <w:r w:rsidRPr="00266EB9">
              <w:rPr>
                <w:sz w:val="16"/>
                <w:szCs w:val="16"/>
              </w:rPr>
              <w:t>À déterminer fin 2015 (en se basant sur le pourcentage d’augmentation entre 2014 et 2015)</w:t>
            </w:r>
          </w:p>
        </w:tc>
        <w:tc>
          <w:tcPr>
            <w:tcW w:w="1203" w:type="pct"/>
            <w:shd w:val="clear" w:color="auto" w:fill="FFFFFF"/>
            <w:tcMar>
              <w:top w:w="57" w:type="dxa"/>
              <w:left w:w="108" w:type="dxa"/>
              <w:right w:w="108" w:type="dxa"/>
            </w:tcMar>
          </w:tcPr>
          <w:p w14:paraId="6313E65D" w14:textId="77777777" w:rsidR="00F96912" w:rsidRPr="00266EB9" w:rsidRDefault="00F96912" w:rsidP="006658D5">
            <w:pPr>
              <w:rPr>
                <w:color w:val="000000"/>
                <w:sz w:val="16"/>
                <w:szCs w:val="16"/>
              </w:rPr>
            </w:pPr>
            <w:r w:rsidRPr="00266EB9">
              <w:rPr>
                <w:color w:val="000000"/>
                <w:sz w:val="16"/>
                <w:szCs w:val="16"/>
              </w:rPr>
              <w:t xml:space="preserve">7,9% (sur la base de toutes les candidatures reçues en 2016 pour des postes d’administrateurs et des catégories supérieures) </w:t>
            </w:r>
          </w:p>
        </w:tc>
        <w:tc>
          <w:tcPr>
            <w:tcW w:w="673" w:type="pct"/>
            <w:shd w:val="clear" w:color="auto" w:fill="auto"/>
            <w:tcMar>
              <w:top w:w="57" w:type="dxa"/>
              <w:left w:w="108" w:type="dxa"/>
              <w:right w:w="108" w:type="dxa"/>
            </w:tcMar>
          </w:tcPr>
          <w:p w14:paraId="0D797992" w14:textId="77777777" w:rsidR="00F96912" w:rsidRPr="00266EB9" w:rsidRDefault="00F96912" w:rsidP="006658D5">
            <w:pPr>
              <w:keepNext/>
              <w:keepLines/>
              <w:jc w:val="center"/>
              <w:rPr>
                <w:b/>
                <w:color w:val="00B050"/>
                <w:sz w:val="16"/>
                <w:szCs w:val="16"/>
              </w:rPr>
            </w:pPr>
            <w:r w:rsidRPr="00266EB9">
              <w:rPr>
                <w:b/>
                <w:color w:val="00B050"/>
                <w:sz w:val="16"/>
                <w:szCs w:val="16"/>
              </w:rPr>
              <w:t>En bonne voie</w:t>
            </w:r>
          </w:p>
        </w:tc>
      </w:tr>
      <w:tr w:rsidR="00F96912" w:rsidRPr="00266EB9" w14:paraId="74192695" w14:textId="77777777" w:rsidTr="006658D5">
        <w:trPr>
          <w:cantSplit/>
        </w:trPr>
        <w:tc>
          <w:tcPr>
            <w:tcW w:w="1057" w:type="pct"/>
            <w:shd w:val="clear" w:color="auto" w:fill="auto"/>
            <w:tcMar>
              <w:left w:w="108" w:type="dxa"/>
              <w:right w:w="108" w:type="dxa"/>
            </w:tcMar>
          </w:tcPr>
          <w:p w14:paraId="22C4D9F9" w14:textId="77777777" w:rsidR="00F96912" w:rsidRPr="00266EB9" w:rsidRDefault="00F96912" w:rsidP="006658D5">
            <w:pPr>
              <w:keepNext/>
              <w:rPr>
                <w:color w:val="000000"/>
                <w:sz w:val="16"/>
                <w:szCs w:val="16"/>
              </w:rPr>
            </w:pPr>
            <w:r w:rsidRPr="00266EB9">
              <w:rPr>
                <w:sz w:val="16"/>
                <w:szCs w:val="16"/>
              </w:rPr>
              <w:t>Perfectionnement de la planification des ressources humaines</w:t>
            </w:r>
            <w:r w:rsidRPr="00266EB9">
              <w:rPr>
                <w:color w:val="000000"/>
                <w:sz w:val="16"/>
                <w:szCs w:val="16"/>
              </w:rPr>
              <w:t xml:space="preserve"> </w:t>
            </w:r>
          </w:p>
        </w:tc>
        <w:tc>
          <w:tcPr>
            <w:tcW w:w="1250" w:type="pct"/>
            <w:shd w:val="clear" w:color="auto" w:fill="auto"/>
            <w:tcMar>
              <w:left w:w="108" w:type="dxa"/>
              <w:right w:w="108" w:type="dxa"/>
            </w:tcMar>
          </w:tcPr>
          <w:p w14:paraId="74EADD93" w14:textId="3EF4A2A4" w:rsidR="00F96912" w:rsidRPr="002655A7" w:rsidRDefault="00F96912" w:rsidP="006658D5">
            <w:pPr>
              <w:keepNext/>
              <w:rPr>
                <w:i/>
                <w:color w:val="002060"/>
                <w:sz w:val="16"/>
                <w:szCs w:val="16"/>
              </w:rPr>
            </w:pPr>
            <w:r w:rsidRPr="00266EB9">
              <w:rPr>
                <w:i/>
                <w:color w:val="002060"/>
                <w:sz w:val="16"/>
                <w:szCs w:val="16"/>
              </w:rPr>
              <w:t>Niveau de référence actualisé</w:t>
            </w:r>
            <w:r w:rsidR="006A627E" w:rsidRPr="003A0A18">
              <w:rPr>
                <w:rStyle w:val="FootnoteReference"/>
                <w:i/>
                <w:color w:val="002060"/>
                <w:szCs w:val="16"/>
              </w:rPr>
              <w:footnoteReference w:id="91"/>
            </w:r>
            <w:r w:rsidRPr="00266EB9">
              <w:rPr>
                <w:i/>
                <w:color w:val="002060"/>
                <w:sz w:val="16"/>
                <w:szCs w:val="16"/>
              </w:rPr>
              <w:t xml:space="preserve"> à fin </w:t>
            </w:r>
            <w:r w:rsidRPr="002655A7">
              <w:rPr>
                <w:i/>
                <w:color w:val="002060"/>
                <w:sz w:val="16"/>
                <w:szCs w:val="16"/>
              </w:rPr>
              <w:t>2015 :</w:t>
            </w:r>
          </w:p>
          <w:p w14:paraId="7143527A" w14:textId="77777777" w:rsidR="00F96912" w:rsidRPr="002655A7" w:rsidRDefault="00F96912" w:rsidP="006658D5">
            <w:pPr>
              <w:keepNext/>
              <w:rPr>
                <w:color w:val="002060"/>
                <w:sz w:val="16"/>
                <w:szCs w:val="16"/>
              </w:rPr>
            </w:pPr>
            <w:r w:rsidRPr="002655A7">
              <w:rPr>
                <w:color w:val="002060"/>
                <w:sz w:val="16"/>
                <w:szCs w:val="16"/>
              </w:rPr>
              <w:t>Étape 2</w:t>
            </w:r>
          </w:p>
          <w:p w14:paraId="3EBFF8BF" w14:textId="77777777" w:rsidR="00F96912" w:rsidRPr="00266EB9" w:rsidRDefault="00F96912" w:rsidP="006658D5">
            <w:pPr>
              <w:keepNext/>
              <w:rPr>
                <w:i/>
                <w:color w:val="000000"/>
                <w:sz w:val="16"/>
                <w:szCs w:val="16"/>
              </w:rPr>
            </w:pPr>
          </w:p>
          <w:p w14:paraId="65B69CEA" w14:textId="77777777" w:rsidR="00F96912" w:rsidRPr="00266EB9" w:rsidRDefault="00F96912" w:rsidP="006658D5">
            <w:pPr>
              <w:keepNext/>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29AE9B92" w14:textId="77777777" w:rsidR="00F96912" w:rsidRPr="00266EB9" w:rsidRDefault="00F96912" w:rsidP="006658D5">
            <w:pPr>
              <w:keepNext/>
              <w:rPr>
                <w:color w:val="000000"/>
                <w:sz w:val="16"/>
                <w:szCs w:val="16"/>
              </w:rPr>
            </w:pPr>
            <w:r w:rsidRPr="00266EB9">
              <w:rPr>
                <w:sz w:val="16"/>
                <w:szCs w:val="16"/>
              </w:rPr>
              <w:t>à déterminer</w:t>
            </w:r>
          </w:p>
        </w:tc>
        <w:tc>
          <w:tcPr>
            <w:tcW w:w="817" w:type="pct"/>
            <w:shd w:val="clear" w:color="auto" w:fill="auto"/>
            <w:tcMar>
              <w:top w:w="57" w:type="dxa"/>
              <w:left w:w="108" w:type="dxa"/>
              <w:right w:w="108" w:type="dxa"/>
            </w:tcMar>
          </w:tcPr>
          <w:p w14:paraId="2A92EC5C" w14:textId="77777777" w:rsidR="00F96912" w:rsidRPr="002655A7" w:rsidRDefault="00F96912" w:rsidP="006658D5">
            <w:pPr>
              <w:keepNext/>
              <w:rPr>
                <w:color w:val="002060"/>
                <w:sz w:val="16"/>
                <w:szCs w:val="16"/>
              </w:rPr>
            </w:pPr>
            <w:r w:rsidRPr="002655A7">
              <w:rPr>
                <w:color w:val="002060"/>
                <w:sz w:val="16"/>
                <w:szCs w:val="16"/>
              </w:rPr>
              <w:t>Objectif défini :</w:t>
            </w:r>
          </w:p>
          <w:p w14:paraId="6182415D" w14:textId="77777777" w:rsidR="00F96912" w:rsidRPr="002655A7" w:rsidRDefault="00F96912" w:rsidP="006658D5">
            <w:pPr>
              <w:keepNext/>
              <w:rPr>
                <w:color w:val="002060"/>
                <w:sz w:val="16"/>
                <w:szCs w:val="16"/>
              </w:rPr>
            </w:pPr>
            <w:r w:rsidRPr="002655A7">
              <w:rPr>
                <w:color w:val="002060"/>
                <w:sz w:val="16"/>
                <w:szCs w:val="16"/>
              </w:rPr>
              <w:t>Étape 3</w:t>
            </w:r>
          </w:p>
          <w:p w14:paraId="5D12729C" w14:textId="77777777" w:rsidR="00F96912" w:rsidRPr="00266EB9" w:rsidRDefault="00F96912" w:rsidP="006658D5">
            <w:pPr>
              <w:keepNext/>
              <w:rPr>
                <w:color w:val="000000"/>
                <w:sz w:val="16"/>
                <w:szCs w:val="16"/>
              </w:rPr>
            </w:pPr>
          </w:p>
          <w:p w14:paraId="27C3C51B" w14:textId="77777777" w:rsidR="00F96912" w:rsidRPr="00266EB9" w:rsidRDefault="00F96912" w:rsidP="006658D5">
            <w:pPr>
              <w:keepNext/>
              <w:rPr>
                <w:i/>
                <w:color w:val="000000"/>
                <w:sz w:val="16"/>
                <w:szCs w:val="16"/>
              </w:rPr>
            </w:pPr>
          </w:p>
          <w:p w14:paraId="1C6D6F02" w14:textId="77777777" w:rsidR="00F96912" w:rsidRPr="00266EB9" w:rsidRDefault="00F96912" w:rsidP="006658D5">
            <w:pPr>
              <w:keepNext/>
              <w:rPr>
                <w:i/>
                <w:sz w:val="16"/>
                <w:szCs w:val="16"/>
                <w:lang w:bidi="th-TH"/>
              </w:rPr>
            </w:pPr>
            <w:r w:rsidRPr="00266EB9">
              <w:rPr>
                <w:i/>
                <w:color w:val="000000"/>
                <w:sz w:val="16"/>
                <w:szCs w:val="16"/>
              </w:rPr>
              <w:t>Objectif initial dans le programme et budget 2016</w:t>
            </w:r>
            <w:r>
              <w:rPr>
                <w:i/>
                <w:color w:val="000000"/>
                <w:sz w:val="16"/>
                <w:szCs w:val="16"/>
              </w:rPr>
              <w:noBreakHyphen/>
            </w:r>
            <w:r w:rsidRPr="00266EB9">
              <w:rPr>
                <w:i/>
                <w:color w:val="000000"/>
                <w:sz w:val="16"/>
                <w:szCs w:val="16"/>
              </w:rPr>
              <w:t>2017 :</w:t>
            </w:r>
          </w:p>
          <w:p w14:paraId="2D485D2B" w14:textId="77777777" w:rsidR="00F96912" w:rsidRPr="00266EB9" w:rsidRDefault="00F96912" w:rsidP="006658D5">
            <w:pPr>
              <w:keepNext/>
              <w:rPr>
                <w:color w:val="000000"/>
                <w:sz w:val="16"/>
                <w:szCs w:val="16"/>
              </w:rPr>
            </w:pPr>
            <w:r w:rsidRPr="00266EB9">
              <w:rPr>
                <w:sz w:val="16"/>
                <w:szCs w:val="16"/>
              </w:rPr>
              <w:t>à déterminer</w:t>
            </w:r>
          </w:p>
        </w:tc>
        <w:tc>
          <w:tcPr>
            <w:tcW w:w="1203" w:type="pct"/>
            <w:shd w:val="clear" w:color="auto" w:fill="FFFFFF"/>
            <w:tcMar>
              <w:top w:w="57" w:type="dxa"/>
              <w:left w:w="108" w:type="dxa"/>
              <w:right w:w="108" w:type="dxa"/>
            </w:tcMar>
          </w:tcPr>
          <w:p w14:paraId="4C2B125D" w14:textId="77777777" w:rsidR="00F96912" w:rsidRPr="00266EB9" w:rsidRDefault="00F96912" w:rsidP="006658D5">
            <w:pPr>
              <w:keepNext/>
              <w:keepLines/>
              <w:rPr>
                <w:color w:val="000000"/>
                <w:sz w:val="16"/>
                <w:szCs w:val="16"/>
              </w:rPr>
            </w:pPr>
            <w:r w:rsidRPr="00266EB9">
              <w:rPr>
                <w:color w:val="000000"/>
                <w:sz w:val="16"/>
                <w:szCs w:val="16"/>
              </w:rPr>
              <w:t>Évaluation à faire à la fin de l’exercice biennal</w:t>
            </w:r>
          </w:p>
        </w:tc>
        <w:tc>
          <w:tcPr>
            <w:tcW w:w="673" w:type="pct"/>
            <w:shd w:val="clear" w:color="auto" w:fill="auto"/>
            <w:tcMar>
              <w:top w:w="57" w:type="dxa"/>
              <w:left w:w="108" w:type="dxa"/>
              <w:right w:w="108" w:type="dxa"/>
            </w:tcMar>
          </w:tcPr>
          <w:p w14:paraId="2B6C4829" w14:textId="77777777" w:rsidR="00F96912" w:rsidRPr="00266EB9" w:rsidRDefault="00F96912" w:rsidP="006658D5">
            <w:pPr>
              <w:keepNext/>
              <w:keepLines/>
              <w:jc w:val="center"/>
              <w:rPr>
                <w:b/>
                <w:color w:val="00B050"/>
                <w:sz w:val="16"/>
                <w:szCs w:val="16"/>
              </w:rPr>
            </w:pPr>
            <w:proofErr w:type="spellStart"/>
            <w:r w:rsidRPr="00266EB9">
              <w:rPr>
                <w:b/>
                <w:color w:val="0070C0"/>
                <w:sz w:val="16"/>
                <w:szCs w:val="16"/>
              </w:rPr>
              <w:t>n.d</w:t>
            </w:r>
            <w:proofErr w:type="spellEnd"/>
            <w:r w:rsidRPr="00266EB9">
              <w:rPr>
                <w:b/>
                <w:color w:val="0070C0"/>
                <w:sz w:val="16"/>
                <w:szCs w:val="16"/>
              </w:rPr>
              <w:t>. pour 2016</w:t>
            </w:r>
          </w:p>
        </w:tc>
      </w:tr>
      <w:tr w:rsidR="00F96912" w:rsidRPr="00266EB9" w14:paraId="0D87A2A3" w14:textId="77777777" w:rsidTr="006658D5">
        <w:trPr>
          <w:cantSplit/>
        </w:trPr>
        <w:tc>
          <w:tcPr>
            <w:tcW w:w="1057" w:type="pct"/>
            <w:shd w:val="clear" w:color="auto" w:fill="auto"/>
            <w:tcMar>
              <w:left w:w="108" w:type="dxa"/>
              <w:right w:w="108" w:type="dxa"/>
            </w:tcMar>
          </w:tcPr>
          <w:p w14:paraId="03EA0C3B" w14:textId="77777777" w:rsidR="00F96912" w:rsidRPr="00266EB9" w:rsidRDefault="00F96912" w:rsidP="006658D5">
            <w:pPr>
              <w:keepNext/>
              <w:keepLines/>
              <w:rPr>
                <w:color w:val="000000"/>
                <w:sz w:val="16"/>
                <w:szCs w:val="16"/>
              </w:rPr>
            </w:pPr>
            <w:r w:rsidRPr="00266EB9">
              <w:rPr>
                <w:sz w:val="16"/>
                <w:szCs w:val="16"/>
              </w:rPr>
              <w:t>Pourcentage des besoins en formation satisfaits dont : i) besoins critiques en formation collective et ii) besoins en formation individuels</w:t>
            </w:r>
          </w:p>
        </w:tc>
        <w:tc>
          <w:tcPr>
            <w:tcW w:w="1250" w:type="pct"/>
            <w:shd w:val="clear" w:color="auto" w:fill="auto"/>
            <w:tcMar>
              <w:left w:w="108" w:type="dxa"/>
              <w:right w:w="108" w:type="dxa"/>
            </w:tcMar>
          </w:tcPr>
          <w:p w14:paraId="44E3EEB4" w14:textId="77777777" w:rsidR="00F96912" w:rsidRPr="00266EB9" w:rsidRDefault="00F96912" w:rsidP="006658D5">
            <w:pPr>
              <w:keepNext/>
              <w:keepLines/>
              <w:rPr>
                <w:i/>
                <w:color w:val="002060"/>
                <w:sz w:val="16"/>
                <w:szCs w:val="16"/>
              </w:rPr>
            </w:pPr>
            <w:r w:rsidRPr="00266EB9">
              <w:rPr>
                <w:i/>
                <w:color w:val="002060"/>
                <w:sz w:val="16"/>
                <w:szCs w:val="16"/>
              </w:rPr>
              <w:t>Niveau de référence actualisé à fin 2015 :</w:t>
            </w:r>
          </w:p>
          <w:p w14:paraId="77493CDD" w14:textId="77777777" w:rsidR="00F96912" w:rsidRPr="00266EB9" w:rsidRDefault="00F96912" w:rsidP="006658D5">
            <w:pPr>
              <w:keepNext/>
              <w:keepLines/>
              <w:rPr>
                <w:color w:val="002060"/>
                <w:sz w:val="16"/>
                <w:szCs w:val="16"/>
              </w:rPr>
            </w:pPr>
            <w:r w:rsidRPr="00266EB9">
              <w:rPr>
                <w:color w:val="002060"/>
                <w:sz w:val="16"/>
                <w:szCs w:val="16"/>
              </w:rPr>
              <w:t>i) 2014</w:t>
            </w:r>
            <w:r>
              <w:rPr>
                <w:color w:val="002060"/>
                <w:sz w:val="16"/>
                <w:szCs w:val="16"/>
              </w:rPr>
              <w:noBreakHyphen/>
            </w:r>
            <w:r w:rsidRPr="00266EB9">
              <w:rPr>
                <w:color w:val="002060"/>
                <w:sz w:val="16"/>
                <w:szCs w:val="16"/>
              </w:rPr>
              <w:t>2015 : 81%</w:t>
            </w:r>
          </w:p>
          <w:p w14:paraId="4FB0E372" w14:textId="77777777" w:rsidR="00F96912" w:rsidRPr="00266EB9" w:rsidRDefault="00F96912" w:rsidP="006658D5">
            <w:pPr>
              <w:keepNext/>
              <w:keepLines/>
              <w:rPr>
                <w:color w:val="002060"/>
                <w:sz w:val="16"/>
                <w:szCs w:val="16"/>
              </w:rPr>
            </w:pPr>
          </w:p>
          <w:p w14:paraId="50125B50" w14:textId="77777777" w:rsidR="00F96912" w:rsidRPr="00266EB9" w:rsidRDefault="00F96912" w:rsidP="006658D5">
            <w:pPr>
              <w:keepNext/>
              <w:keepLines/>
              <w:rPr>
                <w:color w:val="002060"/>
                <w:sz w:val="16"/>
                <w:szCs w:val="16"/>
              </w:rPr>
            </w:pPr>
            <w:r w:rsidRPr="00266EB9">
              <w:rPr>
                <w:color w:val="002060"/>
                <w:sz w:val="16"/>
                <w:szCs w:val="16"/>
              </w:rPr>
              <w:t>ii) 2015 : 62%</w:t>
            </w:r>
          </w:p>
          <w:p w14:paraId="6B45F02A" w14:textId="77777777" w:rsidR="00F96912" w:rsidRPr="00266EB9" w:rsidRDefault="00F96912" w:rsidP="006658D5">
            <w:pPr>
              <w:keepNext/>
              <w:keepLines/>
              <w:rPr>
                <w:color w:val="000000"/>
                <w:sz w:val="16"/>
                <w:szCs w:val="16"/>
              </w:rPr>
            </w:pPr>
          </w:p>
          <w:p w14:paraId="751B6EDF" w14:textId="77777777" w:rsidR="00F96912" w:rsidRPr="00266EB9" w:rsidRDefault="00F96912" w:rsidP="006658D5">
            <w:pPr>
              <w:keepNext/>
              <w:keepLines/>
              <w:rPr>
                <w:i/>
                <w:color w:val="000000"/>
                <w:sz w:val="16"/>
                <w:szCs w:val="16"/>
              </w:rPr>
            </w:pPr>
          </w:p>
          <w:p w14:paraId="38794557" w14:textId="77777777" w:rsidR="00F96912" w:rsidRPr="00266EB9" w:rsidRDefault="00F96912" w:rsidP="006658D5">
            <w:pPr>
              <w:keepNext/>
              <w:keepLines/>
              <w:rPr>
                <w:i/>
                <w:color w:val="000000"/>
                <w:sz w:val="16"/>
                <w:szCs w:val="16"/>
              </w:rPr>
            </w:pPr>
          </w:p>
          <w:p w14:paraId="1F65FCD7" w14:textId="77777777" w:rsidR="00F96912" w:rsidRPr="00266EB9" w:rsidRDefault="00F96912" w:rsidP="006658D5">
            <w:pPr>
              <w:keepNext/>
              <w:keepLines/>
              <w:rPr>
                <w:i/>
                <w:color w:val="000000"/>
                <w:sz w:val="16"/>
                <w:szCs w:val="16"/>
              </w:rPr>
            </w:pPr>
          </w:p>
          <w:p w14:paraId="26A17C9A" w14:textId="77777777" w:rsidR="00F96912" w:rsidRPr="00266EB9" w:rsidRDefault="00F96912" w:rsidP="006658D5">
            <w:pPr>
              <w:keepNext/>
              <w:keepLines/>
              <w:rPr>
                <w:i/>
                <w:color w:val="000000"/>
                <w:sz w:val="16"/>
                <w:szCs w:val="16"/>
              </w:rPr>
            </w:pPr>
            <w:r w:rsidRPr="00266EB9">
              <w:rPr>
                <w:i/>
                <w:color w:val="000000"/>
                <w:sz w:val="16"/>
                <w:szCs w:val="16"/>
              </w:rPr>
              <w:t>Niveau de référence initial dans le programme et budget 2016</w:t>
            </w:r>
            <w:r>
              <w:rPr>
                <w:i/>
                <w:color w:val="000000"/>
                <w:sz w:val="16"/>
                <w:szCs w:val="16"/>
              </w:rPr>
              <w:noBreakHyphen/>
            </w:r>
            <w:r w:rsidRPr="00266EB9">
              <w:rPr>
                <w:i/>
                <w:color w:val="000000"/>
                <w:sz w:val="16"/>
                <w:szCs w:val="16"/>
              </w:rPr>
              <w:t>2017 :</w:t>
            </w:r>
          </w:p>
          <w:p w14:paraId="1C35F823" w14:textId="77777777" w:rsidR="00F96912" w:rsidRPr="00266EB9" w:rsidRDefault="00F96912" w:rsidP="006658D5">
            <w:pPr>
              <w:rPr>
                <w:sz w:val="16"/>
                <w:szCs w:val="16"/>
              </w:rPr>
            </w:pPr>
            <w:r w:rsidRPr="00266EB9">
              <w:rPr>
                <w:sz w:val="16"/>
                <w:szCs w:val="16"/>
              </w:rPr>
              <w:t>i) 81,04%</w:t>
            </w:r>
          </w:p>
          <w:p w14:paraId="5D7D2889" w14:textId="77777777" w:rsidR="00F96912" w:rsidRPr="00266EB9" w:rsidRDefault="00F96912" w:rsidP="006658D5">
            <w:pPr>
              <w:rPr>
                <w:sz w:val="16"/>
                <w:szCs w:val="16"/>
              </w:rPr>
            </w:pPr>
          </w:p>
          <w:p w14:paraId="2588F719" w14:textId="77777777" w:rsidR="00F96912" w:rsidRPr="00266EB9" w:rsidRDefault="00F96912" w:rsidP="006658D5">
            <w:pPr>
              <w:keepNext/>
              <w:keepLines/>
              <w:rPr>
                <w:sz w:val="16"/>
                <w:szCs w:val="16"/>
              </w:rPr>
            </w:pPr>
            <w:r w:rsidRPr="00266EB9">
              <w:rPr>
                <w:sz w:val="16"/>
                <w:szCs w:val="16"/>
              </w:rPr>
              <w:t>ii) 60,94%</w:t>
            </w:r>
          </w:p>
        </w:tc>
        <w:tc>
          <w:tcPr>
            <w:tcW w:w="817" w:type="pct"/>
            <w:shd w:val="clear" w:color="auto" w:fill="auto"/>
            <w:tcMar>
              <w:top w:w="57" w:type="dxa"/>
              <w:left w:w="108" w:type="dxa"/>
              <w:right w:w="108" w:type="dxa"/>
            </w:tcMar>
          </w:tcPr>
          <w:p w14:paraId="127C4011" w14:textId="77777777" w:rsidR="00F96912" w:rsidRPr="00266EB9" w:rsidRDefault="00F96912" w:rsidP="006658D5">
            <w:pPr>
              <w:keepNext/>
              <w:keepLines/>
              <w:rPr>
                <w:i/>
                <w:color w:val="002060"/>
                <w:sz w:val="16"/>
                <w:szCs w:val="16"/>
              </w:rPr>
            </w:pPr>
            <w:r w:rsidRPr="00266EB9">
              <w:rPr>
                <w:i/>
                <w:color w:val="002060"/>
                <w:sz w:val="16"/>
                <w:szCs w:val="16"/>
              </w:rPr>
              <w:t>Objectif actualisé :</w:t>
            </w:r>
          </w:p>
          <w:p w14:paraId="43B298AD" w14:textId="77777777" w:rsidR="00F96912" w:rsidRPr="00266EB9" w:rsidRDefault="00F96912" w:rsidP="006658D5">
            <w:pPr>
              <w:keepNext/>
              <w:keepLines/>
              <w:rPr>
                <w:color w:val="002060"/>
                <w:sz w:val="16"/>
                <w:szCs w:val="16"/>
              </w:rPr>
            </w:pPr>
            <w:r w:rsidRPr="00266EB9">
              <w:rPr>
                <w:color w:val="002060"/>
                <w:sz w:val="16"/>
                <w:szCs w:val="16"/>
              </w:rPr>
              <w:t>i) 80% des besoins au cours de l’exercice biennal sont satisfaits au moyen d’un programme de formation</w:t>
            </w:r>
          </w:p>
          <w:p w14:paraId="35981025" w14:textId="77777777" w:rsidR="00F96912" w:rsidRPr="00266EB9" w:rsidRDefault="00F96912" w:rsidP="006658D5">
            <w:pPr>
              <w:keepNext/>
              <w:keepLines/>
              <w:rPr>
                <w:color w:val="002060"/>
                <w:sz w:val="16"/>
                <w:szCs w:val="16"/>
              </w:rPr>
            </w:pPr>
            <w:r w:rsidRPr="00266EB9">
              <w:rPr>
                <w:color w:val="002060"/>
                <w:sz w:val="16"/>
                <w:szCs w:val="16"/>
              </w:rPr>
              <w:t>ii) 65% des besoins en formation individuels sont satisfaits</w:t>
            </w:r>
          </w:p>
          <w:p w14:paraId="25B0397A" w14:textId="77777777" w:rsidR="00F96912" w:rsidRPr="00266EB9" w:rsidRDefault="00F96912" w:rsidP="006658D5">
            <w:pPr>
              <w:keepNext/>
              <w:keepLines/>
              <w:rPr>
                <w:color w:val="000000"/>
                <w:sz w:val="16"/>
                <w:szCs w:val="16"/>
              </w:rPr>
            </w:pPr>
          </w:p>
          <w:p w14:paraId="7499D595" w14:textId="77777777" w:rsidR="00F96912" w:rsidRPr="00266EB9" w:rsidRDefault="00F96912" w:rsidP="006658D5">
            <w:pPr>
              <w:rPr>
                <w:i/>
                <w:sz w:val="16"/>
                <w:szCs w:val="16"/>
                <w:lang w:bidi="th-TH"/>
              </w:rPr>
            </w:pPr>
            <w:r w:rsidRPr="00266EB9">
              <w:rPr>
                <w:i/>
                <w:color w:val="000000"/>
                <w:sz w:val="16"/>
                <w:szCs w:val="16"/>
              </w:rPr>
              <w:t>Objectif initial dans le programme et budget 2016</w:t>
            </w:r>
            <w:r>
              <w:rPr>
                <w:i/>
                <w:color w:val="000000"/>
                <w:sz w:val="16"/>
                <w:szCs w:val="16"/>
              </w:rPr>
              <w:noBreakHyphen/>
            </w:r>
            <w:r w:rsidRPr="00266EB9">
              <w:rPr>
                <w:i/>
                <w:color w:val="000000"/>
                <w:sz w:val="16"/>
                <w:szCs w:val="16"/>
              </w:rPr>
              <w:t>2017 :</w:t>
            </w:r>
          </w:p>
          <w:p w14:paraId="4CA3B448" w14:textId="77777777" w:rsidR="00F96912" w:rsidRPr="00266EB9" w:rsidRDefault="00F96912" w:rsidP="006658D5">
            <w:pPr>
              <w:keepNext/>
              <w:keepLines/>
              <w:rPr>
                <w:color w:val="000000"/>
                <w:sz w:val="16"/>
                <w:szCs w:val="16"/>
              </w:rPr>
            </w:pPr>
            <w:r w:rsidRPr="00266EB9">
              <w:rPr>
                <w:sz w:val="16"/>
                <w:szCs w:val="16"/>
              </w:rPr>
              <w:t>i) 60% des besoins de formation sont satisfaits grâce à un programme de formation</w:t>
            </w:r>
            <w:r w:rsidRPr="00266EB9">
              <w:rPr>
                <w:color w:val="000000"/>
                <w:sz w:val="16"/>
                <w:szCs w:val="16"/>
              </w:rPr>
              <w:br/>
              <w:t>i</w:t>
            </w:r>
            <w:r w:rsidRPr="00266EB9">
              <w:rPr>
                <w:sz w:val="16"/>
                <w:szCs w:val="16"/>
              </w:rPr>
              <w:t>i) 55% des besoins en formation individuels sont satisfaits</w:t>
            </w:r>
          </w:p>
        </w:tc>
        <w:tc>
          <w:tcPr>
            <w:tcW w:w="1203" w:type="pct"/>
            <w:shd w:val="clear" w:color="auto" w:fill="FFFFFF"/>
            <w:tcMar>
              <w:top w:w="57" w:type="dxa"/>
              <w:left w:w="108" w:type="dxa"/>
              <w:right w:w="108" w:type="dxa"/>
            </w:tcMar>
          </w:tcPr>
          <w:p w14:paraId="3F481170" w14:textId="77777777" w:rsidR="00F96912" w:rsidRPr="00266EB9" w:rsidRDefault="00F96912" w:rsidP="006658D5">
            <w:pPr>
              <w:keepNext/>
              <w:keepLines/>
              <w:rPr>
                <w:color w:val="000000"/>
                <w:sz w:val="16"/>
                <w:szCs w:val="16"/>
              </w:rPr>
            </w:pPr>
            <w:r w:rsidRPr="00266EB9">
              <w:rPr>
                <w:color w:val="000000"/>
                <w:sz w:val="16"/>
                <w:szCs w:val="16"/>
              </w:rPr>
              <w:t>i) 40,4%</w:t>
            </w:r>
          </w:p>
          <w:p w14:paraId="4AD1C303" w14:textId="77777777" w:rsidR="00F96912" w:rsidRDefault="00F96912" w:rsidP="006658D5">
            <w:pPr>
              <w:keepNext/>
              <w:keepLines/>
              <w:rPr>
                <w:color w:val="000000"/>
                <w:sz w:val="16"/>
                <w:szCs w:val="16"/>
              </w:rPr>
            </w:pPr>
          </w:p>
          <w:p w14:paraId="6C33354F" w14:textId="77777777" w:rsidR="00F96912" w:rsidRPr="00266EB9" w:rsidRDefault="00F96912" w:rsidP="006658D5">
            <w:pPr>
              <w:keepNext/>
              <w:keepLines/>
              <w:rPr>
                <w:color w:val="000000"/>
                <w:sz w:val="16"/>
                <w:szCs w:val="16"/>
              </w:rPr>
            </w:pPr>
          </w:p>
          <w:p w14:paraId="03911522" w14:textId="77777777" w:rsidR="00F96912" w:rsidRPr="00266EB9" w:rsidRDefault="00F96912" w:rsidP="006658D5">
            <w:pPr>
              <w:keepNext/>
              <w:keepLines/>
              <w:rPr>
                <w:color w:val="000000"/>
                <w:sz w:val="16"/>
                <w:szCs w:val="16"/>
              </w:rPr>
            </w:pPr>
            <w:r w:rsidRPr="00266EB9">
              <w:rPr>
                <w:color w:val="000000"/>
                <w:sz w:val="16"/>
                <w:szCs w:val="16"/>
              </w:rPr>
              <w:t xml:space="preserve">ii) 60,4% </w:t>
            </w:r>
          </w:p>
        </w:tc>
        <w:tc>
          <w:tcPr>
            <w:tcW w:w="673" w:type="pct"/>
            <w:shd w:val="clear" w:color="auto" w:fill="auto"/>
            <w:tcMar>
              <w:top w:w="57" w:type="dxa"/>
              <w:left w:w="108" w:type="dxa"/>
              <w:right w:w="108" w:type="dxa"/>
            </w:tcMar>
          </w:tcPr>
          <w:p w14:paraId="6FE46F5F" w14:textId="77777777" w:rsidR="00F96912" w:rsidRPr="00266EB9" w:rsidRDefault="00F96912" w:rsidP="006658D5">
            <w:pPr>
              <w:keepNext/>
              <w:keepLines/>
              <w:jc w:val="center"/>
              <w:rPr>
                <w:b/>
                <w:color w:val="00B050"/>
                <w:sz w:val="16"/>
                <w:szCs w:val="16"/>
              </w:rPr>
            </w:pPr>
            <w:r w:rsidRPr="00266EB9">
              <w:rPr>
                <w:b/>
                <w:color w:val="00B050"/>
                <w:sz w:val="16"/>
                <w:szCs w:val="16"/>
              </w:rPr>
              <w:t>En bonne voie</w:t>
            </w:r>
          </w:p>
          <w:p w14:paraId="29918E4B" w14:textId="77777777" w:rsidR="00F96912" w:rsidRPr="00266EB9" w:rsidRDefault="00F96912" w:rsidP="006658D5">
            <w:pPr>
              <w:keepNext/>
              <w:keepLines/>
              <w:jc w:val="center"/>
              <w:rPr>
                <w:color w:val="000000"/>
                <w:sz w:val="16"/>
                <w:szCs w:val="16"/>
              </w:rPr>
            </w:pPr>
          </w:p>
          <w:p w14:paraId="500C939C" w14:textId="77777777" w:rsidR="00F96912" w:rsidRPr="00266EB9" w:rsidRDefault="00F96912" w:rsidP="006658D5">
            <w:pPr>
              <w:keepNext/>
              <w:keepLines/>
              <w:jc w:val="center"/>
              <w:rPr>
                <w:b/>
                <w:color w:val="000000"/>
                <w:sz w:val="16"/>
                <w:szCs w:val="16"/>
              </w:rPr>
            </w:pPr>
            <w:r w:rsidRPr="00266EB9">
              <w:rPr>
                <w:b/>
                <w:color w:val="00B050"/>
                <w:sz w:val="16"/>
                <w:szCs w:val="16"/>
              </w:rPr>
              <w:t>En bonne voie</w:t>
            </w:r>
          </w:p>
        </w:tc>
      </w:tr>
    </w:tbl>
    <w:p w14:paraId="27770E53" w14:textId="77777777" w:rsidR="00F96912" w:rsidRPr="00266EB9" w:rsidRDefault="00F96912" w:rsidP="00F96912">
      <w:pPr>
        <w:rPr>
          <w:sz w:val="20"/>
        </w:rPr>
      </w:pPr>
    </w:p>
    <w:p w14:paraId="1D6D4817" w14:textId="77777777" w:rsidR="00F96912" w:rsidRPr="00266EB9" w:rsidRDefault="00F96912" w:rsidP="00F96912">
      <w:pPr>
        <w:rPr>
          <w:sz w:val="20"/>
        </w:rPr>
      </w:pPr>
    </w:p>
    <w:p w14:paraId="686CD6EB" w14:textId="77777777" w:rsidR="002D5783" w:rsidRDefault="002D5783">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266EB9" w14:paraId="5B577E2E" w14:textId="77777777" w:rsidTr="002D5783">
        <w:trPr>
          <w:cantSplit/>
        </w:trPr>
        <w:tc>
          <w:tcPr>
            <w:tcW w:w="9287" w:type="dxa"/>
            <w:shd w:val="clear" w:color="auto" w:fill="C6D9F1" w:themeFill="text2" w:themeFillTint="33"/>
            <w:vAlign w:val="center"/>
          </w:tcPr>
          <w:p w14:paraId="04736E34" w14:textId="7D23FB4E" w:rsidR="00F96912" w:rsidRPr="00266EB9" w:rsidRDefault="00F96912" w:rsidP="006658D5">
            <w:pPr>
              <w:keepNext/>
              <w:keepLines/>
              <w:jc w:val="center"/>
              <w:rPr>
                <w:b/>
                <w:color w:val="000000"/>
                <w:sz w:val="20"/>
              </w:rPr>
            </w:pPr>
            <w:r w:rsidRPr="00266EB9">
              <w:rPr>
                <w:b/>
                <w:color w:val="000000"/>
                <w:sz w:val="20"/>
              </w:rPr>
              <w:t>Utilisation des ressources au titre du programme 23</w:t>
            </w:r>
          </w:p>
        </w:tc>
      </w:tr>
    </w:tbl>
    <w:p w14:paraId="46909AE1" w14:textId="77777777" w:rsidR="00F96912" w:rsidRPr="00266EB9" w:rsidRDefault="00F96912" w:rsidP="00F96912">
      <w:pPr>
        <w:pStyle w:val="NormalWeb"/>
        <w:keepNext/>
        <w:keepLines/>
        <w:spacing w:before="0" w:beforeAutospacing="0" w:after="0" w:afterAutospacing="0"/>
        <w:jc w:val="center"/>
        <w:rPr>
          <w:color w:val="000000"/>
          <w:sz w:val="20"/>
          <w:szCs w:val="20"/>
        </w:rPr>
      </w:pPr>
    </w:p>
    <w:p w14:paraId="3492805B" w14:textId="77777777" w:rsidR="00F96912" w:rsidRPr="00266EB9" w:rsidRDefault="00F96912" w:rsidP="00F96912">
      <w:pPr>
        <w:pStyle w:val="NormalWeb"/>
        <w:keepNext/>
        <w:keepLines/>
        <w:spacing w:before="0" w:beforeAutospacing="0" w:after="0" w:afterAutospacing="0"/>
        <w:jc w:val="center"/>
      </w:pPr>
      <w:r w:rsidRPr="00266EB9">
        <w:rPr>
          <w:color w:val="000000"/>
        </w:rPr>
        <w:t>Budget et dépenses effectives (par résultat)</w:t>
      </w:r>
    </w:p>
    <w:p w14:paraId="7352FBFF" w14:textId="77777777" w:rsidR="00F96912" w:rsidRPr="00266EB9" w:rsidRDefault="00F96912" w:rsidP="00F96912">
      <w:pPr>
        <w:pStyle w:val="NormalWeb"/>
        <w:keepNext/>
        <w:keepLines/>
        <w:spacing w:before="0" w:beforeAutospacing="0" w:after="0" w:afterAutospacing="0"/>
        <w:jc w:val="center"/>
      </w:pPr>
      <w:r w:rsidRPr="00266EB9">
        <w:rPr>
          <w:i/>
          <w:iCs/>
          <w:color w:val="000000"/>
          <w:sz w:val="16"/>
          <w:szCs w:val="16"/>
        </w:rPr>
        <w:t>(en milliers de francs suisses)</w:t>
      </w:r>
    </w:p>
    <w:p w14:paraId="519A56C7" w14:textId="77777777" w:rsidR="00F96912" w:rsidRPr="00266EB9" w:rsidRDefault="00F96912" w:rsidP="00F96912">
      <w:pPr>
        <w:pStyle w:val="NormalWeb"/>
        <w:keepNext/>
        <w:keepLines/>
        <w:spacing w:before="0" w:beforeAutospacing="0" w:after="0" w:afterAutospacing="0"/>
        <w:jc w:val="center"/>
        <w:rPr>
          <w:i/>
          <w:iCs/>
          <w:color w:val="000000"/>
          <w:sz w:val="20"/>
          <w:szCs w:val="20"/>
        </w:rPr>
      </w:pPr>
    </w:p>
    <w:tbl>
      <w:tblPr>
        <w:tblW w:w="4300" w:type="pct"/>
        <w:jc w:val="center"/>
        <w:tblCellMar>
          <w:top w:w="57" w:type="dxa"/>
          <w:bottom w:w="57" w:type="dxa"/>
        </w:tblCellMar>
        <w:tblLook w:val="04A0" w:firstRow="1" w:lastRow="0" w:firstColumn="1" w:lastColumn="0" w:noHBand="0" w:noVBand="1"/>
      </w:tblPr>
      <w:tblGrid>
        <w:gridCol w:w="514"/>
        <w:gridCol w:w="4199"/>
        <w:gridCol w:w="1572"/>
        <w:gridCol w:w="1572"/>
        <w:gridCol w:w="1430"/>
      </w:tblGrid>
      <w:tr w:rsidR="00F96912" w:rsidRPr="00266EB9" w14:paraId="42F078CC" w14:textId="77777777" w:rsidTr="006658D5">
        <w:trPr>
          <w:cantSplit/>
          <w:jc w:val="center"/>
        </w:trPr>
        <w:tc>
          <w:tcPr>
            <w:tcW w:w="4730" w:type="dxa"/>
            <w:gridSpan w:val="2"/>
            <w:tcBorders>
              <w:top w:val="nil"/>
              <w:left w:val="nil"/>
              <w:bottom w:val="nil"/>
              <w:right w:val="nil"/>
            </w:tcBorders>
            <w:shd w:val="clear" w:color="000000" w:fill="C5D9F1"/>
            <w:noWrap/>
            <w:vAlign w:val="center"/>
            <w:hideMark/>
          </w:tcPr>
          <w:p w14:paraId="28FFF4C6" w14:textId="77777777" w:rsidR="00F96912" w:rsidRPr="00266EB9" w:rsidRDefault="00F96912" w:rsidP="006658D5">
            <w:pPr>
              <w:jc w:val="center"/>
              <w:rPr>
                <w:b/>
                <w:bCs/>
                <w:sz w:val="16"/>
                <w:szCs w:val="16"/>
              </w:rPr>
            </w:pPr>
            <w:r w:rsidRPr="00266EB9">
              <w:rPr>
                <w:b/>
                <w:bCs/>
                <w:sz w:val="16"/>
                <w:szCs w:val="16"/>
              </w:rPr>
              <w:t>Numéro et description du résultat escompté</w:t>
            </w:r>
          </w:p>
        </w:tc>
        <w:tc>
          <w:tcPr>
            <w:tcW w:w="1164" w:type="dxa"/>
            <w:tcBorders>
              <w:top w:val="nil"/>
              <w:left w:val="nil"/>
              <w:bottom w:val="nil"/>
              <w:right w:val="nil"/>
            </w:tcBorders>
            <w:shd w:val="clear" w:color="000000" w:fill="C5D9F1"/>
            <w:vAlign w:val="center"/>
            <w:hideMark/>
          </w:tcPr>
          <w:p w14:paraId="7E5E19A8" w14:textId="77777777" w:rsidR="00F96912" w:rsidRPr="00266EB9" w:rsidRDefault="00F96912" w:rsidP="006658D5">
            <w:pPr>
              <w:jc w:val="center"/>
              <w:rPr>
                <w:b/>
                <w:bCs/>
                <w:sz w:val="16"/>
                <w:szCs w:val="16"/>
              </w:rPr>
            </w:pPr>
            <w:r>
              <w:rPr>
                <w:b/>
                <w:bCs/>
                <w:sz w:val="16"/>
                <w:szCs w:val="16"/>
              </w:rPr>
              <w:t>Budget </w:t>
            </w:r>
            <w:r w:rsidRPr="00266EB9">
              <w:rPr>
                <w:b/>
                <w:bCs/>
                <w:sz w:val="16"/>
                <w:szCs w:val="16"/>
              </w:rPr>
              <w:t>2016</w:t>
            </w:r>
            <w:r>
              <w:rPr>
                <w:b/>
                <w:bCs/>
                <w:sz w:val="16"/>
                <w:szCs w:val="16"/>
              </w:rPr>
              <w:noBreakHyphen/>
            </w:r>
            <w:r w:rsidRPr="00266EB9">
              <w:rPr>
                <w:b/>
                <w:bCs/>
                <w:sz w:val="16"/>
                <w:szCs w:val="16"/>
              </w:rPr>
              <w:t>2017 approuvé</w:t>
            </w:r>
          </w:p>
        </w:tc>
        <w:tc>
          <w:tcPr>
            <w:tcW w:w="1164" w:type="dxa"/>
            <w:tcBorders>
              <w:top w:val="nil"/>
              <w:left w:val="nil"/>
              <w:bottom w:val="nil"/>
              <w:right w:val="nil"/>
            </w:tcBorders>
            <w:shd w:val="clear" w:color="000000" w:fill="C5D9F1"/>
            <w:vAlign w:val="center"/>
            <w:hideMark/>
          </w:tcPr>
          <w:p w14:paraId="7B0B380A" w14:textId="77777777" w:rsidR="00F96912" w:rsidRPr="00266EB9" w:rsidRDefault="00F96912" w:rsidP="006658D5">
            <w:pPr>
              <w:jc w:val="center"/>
              <w:rPr>
                <w:b/>
                <w:bCs/>
                <w:sz w:val="16"/>
                <w:szCs w:val="16"/>
              </w:rPr>
            </w:pPr>
            <w:r>
              <w:rPr>
                <w:b/>
                <w:bCs/>
                <w:sz w:val="16"/>
                <w:szCs w:val="16"/>
              </w:rPr>
              <w:t>Budget </w:t>
            </w:r>
            <w:r w:rsidRPr="00266EB9">
              <w:rPr>
                <w:b/>
                <w:bCs/>
                <w:sz w:val="16"/>
                <w:szCs w:val="16"/>
              </w:rPr>
              <w:t>2016</w:t>
            </w:r>
            <w:r>
              <w:rPr>
                <w:b/>
                <w:bCs/>
                <w:sz w:val="16"/>
                <w:szCs w:val="16"/>
              </w:rPr>
              <w:noBreakHyphen/>
            </w:r>
            <w:r w:rsidRPr="00266EB9">
              <w:rPr>
                <w:b/>
                <w:bCs/>
                <w:sz w:val="16"/>
                <w:szCs w:val="16"/>
              </w:rPr>
              <w:t>2017 après virements</w:t>
            </w:r>
          </w:p>
        </w:tc>
        <w:tc>
          <w:tcPr>
            <w:tcW w:w="1164" w:type="dxa"/>
            <w:tcBorders>
              <w:top w:val="nil"/>
              <w:left w:val="nil"/>
              <w:bottom w:val="nil"/>
              <w:right w:val="nil"/>
            </w:tcBorders>
            <w:shd w:val="clear" w:color="000000" w:fill="C5D9F1"/>
            <w:vAlign w:val="center"/>
            <w:hideMark/>
          </w:tcPr>
          <w:p w14:paraId="7871DB21" w14:textId="77777777" w:rsidR="00F96912" w:rsidRPr="00266EB9" w:rsidRDefault="00F96912" w:rsidP="006658D5">
            <w:pPr>
              <w:jc w:val="center"/>
              <w:rPr>
                <w:b/>
                <w:bCs/>
                <w:sz w:val="16"/>
                <w:szCs w:val="16"/>
              </w:rPr>
            </w:pPr>
            <w:r>
              <w:rPr>
                <w:b/>
                <w:bCs/>
                <w:sz w:val="16"/>
                <w:szCs w:val="16"/>
              </w:rPr>
              <w:t>Dépenses </w:t>
            </w:r>
            <w:r w:rsidRPr="00266EB9">
              <w:rPr>
                <w:b/>
                <w:bCs/>
                <w:sz w:val="16"/>
                <w:szCs w:val="16"/>
              </w:rPr>
              <w:t>2016*</w:t>
            </w:r>
          </w:p>
        </w:tc>
      </w:tr>
      <w:tr w:rsidR="00F96912" w:rsidRPr="00266EB9" w14:paraId="380EA7B7" w14:textId="77777777" w:rsidTr="006658D5">
        <w:trPr>
          <w:cantSplit/>
          <w:jc w:val="center"/>
        </w:trPr>
        <w:tc>
          <w:tcPr>
            <w:tcW w:w="515" w:type="dxa"/>
            <w:tcBorders>
              <w:top w:val="nil"/>
              <w:left w:val="nil"/>
              <w:bottom w:val="nil"/>
              <w:right w:val="nil"/>
            </w:tcBorders>
            <w:shd w:val="clear" w:color="auto" w:fill="auto"/>
            <w:noWrap/>
            <w:vAlign w:val="center"/>
            <w:hideMark/>
          </w:tcPr>
          <w:p w14:paraId="1E571509" w14:textId="77777777" w:rsidR="00F96912" w:rsidRPr="00266EB9" w:rsidRDefault="00F96912" w:rsidP="006658D5">
            <w:pPr>
              <w:rPr>
                <w:sz w:val="16"/>
                <w:szCs w:val="16"/>
              </w:rPr>
            </w:pPr>
            <w:r w:rsidRPr="00266EB9">
              <w:rPr>
                <w:sz w:val="16"/>
                <w:szCs w:val="16"/>
              </w:rPr>
              <w:t>IX.1</w:t>
            </w:r>
          </w:p>
        </w:tc>
        <w:tc>
          <w:tcPr>
            <w:tcW w:w="4215" w:type="dxa"/>
            <w:tcBorders>
              <w:top w:val="nil"/>
              <w:left w:val="nil"/>
              <w:bottom w:val="nil"/>
              <w:right w:val="nil"/>
            </w:tcBorders>
            <w:shd w:val="clear" w:color="auto" w:fill="auto"/>
            <w:vAlign w:val="center"/>
            <w:hideMark/>
          </w:tcPr>
          <w:p w14:paraId="0DCEB577" w14:textId="77777777" w:rsidR="00F96912" w:rsidRPr="00266EB9" w:rsidRDefault="00F96912" w:rsidP="006658D5">
            <w:pPr>
              <w:rPr>
                <w:sz w:val="16"/>
                <w:szCs w:val="16"/>
              </w:rPr>
            </w:pPr>
            <w:r w:rsidRPr="00266EB9">
              <w:rPr>
                <w:sz w:val="16"/>
                <w:szCs w:val="16"/>
              </w:rPr>
              <w:t>Services d’appui efficaces, efficients, de qualité et tournés vers la clientèle, à l’intention à la fois des clients internes et des parties prenantes externes</w:t>
            </w:r>
          </w:p>
        </w:tc>
        <w:tc>
          <w:tcPr>
            <w:tcW w:w="1164" w:type="dxa"/>
            <w:tcBorders>
              <w:top w:val="nil"/>
              <w:left w:val="nil"/>
              <w:bottom w:val="nil"/>
              <w:right w:val="nil"/>
            </w:tcBorders>
            <w:shd w:val="clear" w:color="auto" w:fill="auto"/>
            <w:noWrap/>
            <w:vAlign w:val="center"/>
            <w:hideMark/>
          </w:tcPr>
          <w:p w14:paraId="4E145CBD" w14:textId="77777777" w:rsidR="00F96912" w:rsidRPr="00266EB9" w:rsidRDefault="00F96912" w:rsidP="006658D5">
            <w:pPr>
              <w:jc w:val="center"/>
              <w:rPr>
                <w:color w:val="000000"/>
                <w:sz w:val="16"/>
                <w:szCs w:val="16"/>
              </w:rPr>
            </w:pPr>
            <w:r w:rsidRPr="00266EB9">
              <w:rPr>
                <w:color w:val="000000"/>
                <w:sz w:val="16"/>
                <w:szCs w:val="16"/>
              </w:rPr>
              <w:t>12 096</w:t>
            </w:r>
          </w:p>
        </w:tc>
        <w:tc>
          <w:tcPr>
            <w:tcW w:w="1164" w:type="dxa"/>
            <w:tcBorders>
              <w:top w:val="nil"/>
              <w:left w:val="nil"/>
              <w:bottom w:val="nil"/>
              <w:right w:val="nil"/>
            </w:tcBorders>
            <w:shd w:val="clear" w:color="auto" w:fill="auto"/>
            <w:noWrap/>
            <w:vAlign w:val="center"/>
            <w:hideMark/>
          </w:tcPr>
          <w:p w14:paraId="7E369593" w14:textId="77777777" w:rsidR="00F96912" w:rsidRPr="00266EB9" w:rsidRDefault="00F96912" w:rsidP="006658D5">
            <w:pPr>
              <w:jc w:val="center"/>
              <w:rPr>
                <w:color w:val="000000"/>
                <w:sz w:val="16"/>
                <w:szCs w:val="16"/>
              </w:rPr>
            </w:pPr>
            <w:r w:rsidRPr="00266EB9">
              <w:rPr>
                <w:color w:val="000000"/>
                <w:sz w:val="16"/>
                <w:szCs w:val="16"/>
              </w:rPr>
              <w:t>12 426</w:t>
            </w:r>
          </w:p>
        </w:tc>
        <w:tc>
          <w:tcPr>
            <w:tcW w:w="1164" w:type="dxa"/>
            <w:tcBorders>
              <w:top w:val="nil"/>
              <w:left w:val="nil"/>
              <w:bottom w:val="nil"/>
              <w:right w:val="nil"/>
            </w:tcBorders>
            <w:shd w:val="clear" w:color="auto" w:fill="auto"/>
            <w:noWrap/>
            <w:vAlign w:val="center"/>
            <w:hideMark/>
          </w:tcPr>
          <w:p w14:paraId="0F151D38" w14:textId="77777777" w:rsidR="00F96912" w:rsidRPr="00266EB9" w:rsidRDefault="00F96912" w:rsidP="006658D5">
            <w:pPr>
              <w:jc w:val="center"/>
              <w:rPr>
                <w:color w:val="000000"/>
                <w:sz w:val="16"/>
                <w:szCs w:val="16"/>
              </w:rPr>
            </w:pPr>
            <w:r w:rsidRPr="00266EB9">
              <w:rPr>
                <w:color w:val="000000"/>
                <w:sz w:val="16"/>
                <w:szCs w:val="16"/>
              </w:rPr>
              <w:t>5 802</w:t>
            </w:r>
          </w:p>
        </w:tc>
      </w:tr>
      <w:tr w:rsidR="00F96912" w:rsidRPr="00266EB9" w14:paraId="287D4AD6" w14:textId="77777777" w:rsidTr="006658D5">
        <w:trPr>
          <w:cantSplit/>
          <w:jc w:val="center"/>
        </w:trPr>
        <w:tc>
          <w:tcPr>
            <w:tcW w:w="515" w:type="dxa"/>
            <w:tcBorders>
              <w:top w:val="nil"/>
              <w:left w:val="nil"/>
              <w:bottom w:val="nil"/>
              <w:right w:val="nil"/>
            </w:tcBorders>
            <w:shd w:val="clear" w:color="auto" w:fill="auto"/>
            <w:noWrap/>
            <w:vAlign w:val="center"/>
            <w:hideMark/>
          </w:tcPr>
          <w:p w14:paraId="2544DE11" w14:textId="77777777" w:rsidR="00F96912" w:rsidRPr="00266EB9" w:rsidRDefault="00F96912" w:rsidP="006658D5">
            <w:pPr>
              <w:rPr>
                <w:sz w:val="16"/>
                <w:szCs w:val="16"/>
              </w:rPr>
            </w:pPr>
            <w:r w:rsidRPr="00266EB9">
              <w:rPr>
                <w:sz w:val="16"/>
                <w:szCs w:val="16"/>
              </w:rPr>
              <w:t>IX.2</w:t>
            </w:r>
          </w:p>
        </w:tc>
        <w:tc>
          <w:tcPr>
            <w:tcW w:w="4215" w:type="dxa"/>
            <w:tcBorders>
              <w:top w:val="nil"/>
              <w:left w:val="nil"/>
              <w:bottom w:val="nil"/>
              <w:right w:val="nil"/>
            </w:tcBorders>
            <w:shd w:val="clear" w:color="auto" w:fill="auto"/>
            <w:vAlign w:val="center"/>
            <w:hideMark/>
          </w:tcPr>
          <w:p w14:paraId="5E07E9B2" w14:textId="77777777" w:rsidR="00F96912" w:rsidRPr="00266EB9" w:rsidRDefault="00F96912" w:rsidP="006658D5">
            <w:pPr>
              <w:rPr>
                <w:sz w:val="16"/>
                <w:szCs w:val="16"/>
              </w:rPr>
            </w:pPr>
            <w:r w:rsidRPr="00266EB9">
              <w:rPr>
                <w:sz w:val="16"/>
                <w:szCs w:val="16"/>
              </w:rPr>
              <w:t>Un Secrétariat réactif, fonctionnant harmonieusement et doté de ressources humaines bien gérées et compétentes, à même d’obtenir des résultats concrets</w:t>
            </w:r>
          </w:p>
        </w:tc>
        <w:tc>
          <w:tcPr>
            <w:tcW w:w="1164" w:type="dxa"/>
            <w:tcBorders>
              <w:top w:val="nil"/>
              <w:left w:val="nil"/>
              <w:bottom w:val="nil"/>
              <w:right w:val="nil"/>
            </w:tcBorders>
            <w:shd w:val="clear" w:color="auto" w:fill="auto"/>
            <w:noWrap/>
            <w:vAlign w:val="center"/>
            <w:hideMark/>
          </w:tcPr>
          <w:p w14:paraId="709D425B" w14:textId="77777777" w:rsidR="00F96912" w:rsidRPr="00266EB9" w:rsidRDefault="00F96912" w:rsidP="006658D5">
            <w:pPr>
              <w:jc w:val="center"/>
              <w:rPr>
                <w:color w:val="000000"/>
                <w:sz w:val="16"/>
                <w:szCs w:val="16"/>
              </w:rPr>
            </w:pPr>
            <w:r w:rsidRPr="00266EB9">
              <w:rPr>
                <w:color w:val="000000"/>
                <w:sz w:val="16"/>
                <w:szCs w:val="16"/>
              </w:rPr>
              <w:t>12 521</w:t>
            </w:r>
          </w:p>
        </w:tc>
        <w:tc>
          <w:tcPr>
            <w:tcW w:w="1164" w:type="dxa"/>
            <w:tcBorders>
              <w:top w:val="nil"/>
              <w:left w:val="nil"/>
              <w:bottom w:val="nil"/>
              <w:right w:val="nil"/>
            </w:tcBorders>
            <w:shd w:val="clear" w:color="auto" w:fill="auto"/>
            <w:noWrap/>
            <w:vAlign w:val="center"/>
            <w:hideMark/>
          </w:tcPr>
          <w:p w14:paraId="5C077E17" w14:textId="77777777" w:rsidR="00F96912" w:rsidRPr="00266EB9" w:rsidRDefault="00F96912" w:rsidP="006658D5">
            <w:pPr>
              <w:jc w:val="center"/>
              <w:rPr>
                <w:color w:val="000000"/>
                <w:sz w:val="16"/>
                <w:szCs w:val="16"/>
              </w:rPr>
            </w:pPr>
            <w:r w:rsidRPr="00266EB9">
              <w:rPr>
                <w:color w:val="000000"/>
                <w:sz w:val="16"/>
                <w:szCs w:val="16"/>
              </w:rPr>
              <w:t>13 233</w:t>
            </w:r>
          </w:p>
        </w:tc>
        <w:tc>
          <w:tcPr>
            <w:tcW w:w="1164" w:type="dxa"/>
            <w:tcBorders>
              <w:top w:val="nil"/>
              <w:left w:val="nil"/>
              <w:bottom w:val="nil"/>
              <w:right w:val="nil"/>
            </w:tcBorders>
            <w:shd w:val="clear" w:color="auto" w:fill="auto"/>
            <w:noWrap/>
            <w:vAlign w:val="center"/>
            <w:hideMark/>
          </w:tcPr>
          <w:p w14:paraId="267D1AE3" w14:textId="77777777" w:rsidR="00F96912" w:rsidRPr="00266EB9" w:rsidRDefault="00F96912" w:rsidP="006658D5">
            <w:pPr>
              <w:jc w:val="center"/>
              <w:rPr>
                <w:color w:val="000000"/>
                <w:sz w:val="16"/>
                <w:szCs w:val="16"/>
              </w:rPr>
            </w:pPr>
            <w:r w:rsidRPr="00266EB9">
              <w:rPr>
                <w:color w:val="000000"/>
                <w:sz w:val="16"/>
                <w:szCs w:val="16"/>
              </w:rPr>
              <w:t>12 070</w:t>
            </w:r>
          </w:p>
        </w:tc>
      </w:tr>
      <w:tr w:rsidR="00F96912" w:rsidRPr="00266EB9" w14:paraId="38EA7497" w14:textId="77777777" w:rsidTr="006658D5">
        <w:trPr>
          <w:cantSplit/>
          <w:jc w:val="center"/>
        </w:trPr>
        <w:tc>
          <w:tcPr>
            <w:tcW w:w="515" w:type="dxa"/>
            <w:tcBorders>
              <w:top w:val="nil"/>
              <w:left w:val="nil"/>
              <w:bottom w:val="nil"/>
              <w:right w:val="nil"/>
            </w:tcBorders>
            <w:shd w:val="clear" w:color="000000" w:fill="C5D9F1"/>
            <w:noWrap/>
            <w:vAlign w:val="bottom"/>
            <w:hideMark/>
          </w:tcPr>
          <w:p w14:paraId="69ACBB72" w14:textId="77777777" w:rsidR="00F96912" w:rsidRPr="00266EB9" w:rsidRDefault="00F96912" w:rsidP="006658D5">
            <w:pPr>
              <w:rPr>
                <w:sz w:val="16"/>
                <w:szCs w:val="16"/>
              </w:rPr>
            </w:pPr>
            <w:r w:rsidRPr="00266EB9">
              <w:rPr>
                <w:sz w:val="16"/>
                <w:szCs w:val="16"/>
              </w:rPr>
              <w:t> </w:t>
            </w:r>
          </w:p>
        </w:tc>
        <w:tc>
          <w:tcPr>
            <w:tcW w:w="4215" w:type="dxa"/>
            <w:tcBorders>
              <w:top w:val="nil"/>
              <w:left w:val="nil"/>
              <w:bottom w:val="nil"/>
              <w:right w:val="nil"/>
            </w:tcBorders>
            <w:shd w:val="clear" w:color="000000" w:fill="C5D9F1"/>
            <w:noWrap/>
            <w:vAlign w:val="bottom"/>
            <w:hideMark/>
          </w:tcPr>
          <w:p w14:paraId="229FFE1A" w14:textId="77777777" w:rsidR="00F96912" w:rsidRPr="00266EB9" w:rsidRDefault="00F96912" w:rsidP="006658D5">
            <w:pPr>
              <w:jc w:val="right"/>
              <w:rPr>
                <w:b/>
                <w:bCs/>
                <w:sz w:val="16"/>
                <w:szCs w:val="16"/>
              </w:rPr>
            </w:pPr>
            <w:r w:rsidRPr="00266EB9">
              <w:rPr>
                <w:b/>
                <w:bCs/>
                <w:sz w:val="16"/>
                <w:szCs w:val="16"/>
              </w:rPr>
              <w:t>Total</w:t>
            </w:r>
          </w:p>
        </w:tc>
        <w:tc>
          <w:tcPr>
            <w:tcW w:w="1164" w:type="dxa"/>
            <w:tcBorders>
              <w:top w:val="nil"/>
              <w:left w:val="nil"/>
              <w:bottom w:val="nil"/>
              <w:right w:val="nil"/>
            </w:tcBorders>
            <w:shd w:val="clear" w:color="000000" w:fill="C5D9F1"/>
            <w:noWrap/>
            <w:vAlign w:val="center"/>
            <w:hideMark/>
          </w:tcPr>
          <w:p w14:paraId="6EE3DE52" w14:textId="77777777" w:rsidR="00F96912" w:rsidRPr="00266EB9" w:rsidRDefault="00F96912" w:rsidP="006658D5">
            <w:pPr>
              <w:jc w:val="center"/>
              <w:rPr>
                <w:color w:val="000000"/>
                <w:sz w:val="16"/>
                <w:szCs w:val="16"/>
              </w:rPr>
            </w:pPr>
            <w:r w:rsidRPr="00266EB9">
              <w:rPr>
                <w:color w:val="000000"/>
                <w:sz w:val="16"/>
                <w:szCs w:val="16"/>
              </w:rPr>
              <w:t>24 617</w:t>
            </w:r>
          </w:p>
        </w:tc>
        <w:tc>
          <w:tcPr>
            <w:tcW w:w="1164" w:type="dxa"/>
            <w:tcBorders>
              <w:top w:val="nil"/>
              <w:left w:val="nil"/>
              <w:bottom w:val="nil"/>
              <w:right w:val="nil"/>
            </w:tcBorders>
            <w:shd w:val="clear" w:color="000000" w:fill="C5D9F1"/>
            <w:noWrap/>
            <w:vAlign w:val="center"/>
            <w:hideMark/>
          </w:tcPr>
          <w:p w14:paraId="36D4D671" w14:textId="77777777" w:rsidR="00F96912" w:rsidRPr="00266EB9" w:rsidRDefault="00F96912" w:rsidP="006658D5">
            <w:pPr>
              <w:jc w:val="center"/>
              <w:rPr>
                <w:color w:val="000000"/>
                <w:sz w:val="16"/>
                <w:szCs w:val="16"/>
              </w:rPr>
            </w:pPr>
            <w:r w:rsidRPr="00266EB9">
              <w:rPr>
                <w:color w:val="000000"/>
                <w:sz w:val="16"/>
                <w:szCs w:val="16"/>
              </w:rPr>
              <w:t>25 659</w:t>
            </w:r>
          </w:p>
        </w:tc>
        <w:tc>
          <w:tcPr>
            <w:tcW w:w="1164" w:type="dxa"/>
            <w:tcBorders>
              <w:top w:val="nil"/>
              <w:left w:val="nil"/>
              <w:bottom w:val="nil"/>
              <w:right w:val="nil"/>
            </w:tcBorders>
            <w:shd w:val="clear" w:color="000000" w:fill="C5D9F1"/>
            <w:noWrap/>
            <w:vAlign w:val="center"/>
            <w:hideMark/>
          </w:tcPr>
          <w:p w14:paraId="1E33810C" w14:textId="77777777" w:rsidR="00F96912" w:rsidRPr="00266EB9" w:rsidRDefault="00F96912" w:rsidP="006658D5">
            <w:pPr>
              <w:jc w:val="center"/>
              <w:rPr>
                <w:color w:val="000000"/>
                <w:sz w:val="16"/>
                <w:szCs w:val="16"/>
              </w:rPr>
            </w:pPr>
            <w:r w:rsidRPr="00266EB9">
              <w:rPr>
                <w:color w:val="000000"/>
                <w:sz w:val="16"/>
                <w:szCs w:val="16"/>
              </w:rPr>
              <w:t>17 873</w:t>
            </w:r>
          </w:p>
        </w:tc>
      </w:tr>
      <w:tr w:rsidR="00F96912" w:rsidRPr="00266EB9" w14:paraId="2D298C0F" w14:textId="77777777" w:rsidTr="006658D5">
        <w:trPr>
          <w:cantSplit/>
          <w:jc w:val="center"/>
        </w:trPr>
        <w:tc>
          <w:tcPr>
            <w:tcW w:w="7058" w:type="dxa"/>
            <w:gridSpan w:val="4"/>
            <w:tcBorders>
              <w:top w:val="nil"/>
              <w:left w:val="nil"/>
              <w:bottom w:val="nil"/>
              <w:right w:val="nil"/>
            </w:tcBorders>
            <w:shd w:val="clear" w:color="auto" w:fill="auto"/>
            <w:noWrap/>
            <w:vAlign w:val="center"/>
            <w:hideMark/>
          </w:tcPr>
          <w:p w14:paraId="1587866C" w14:textId="77777777" w:rsidR="00F96912" w:rsidRPr="00266EB9" w:rsidRDefault="00F96912" w:rsidP="006658D5">
            <w:pPr>
              <w:rPr>
                <w:i/>
                <w:iCs/>
                <w:sz w:val="16"/>
                <w:szCs w:val="16"/>
              </w:rPr>
            </w:pPr>
            <w:r w:rsidRPr="00266EB9">
              <w:rPr>
                <w:i/>
                <w:iCs/>
                <w:sz w:val="16"/>
                <w:szCs w:val="16"/>
              </w:rPr>
              <w:t>*Les chiffres des dépenses pour 2016 sont préliminaires, sous réserve d’audit par les vérificateurs externes des comptes</w:t>
            </w:r>
          </w:p>
        </w:tc>
        <w:tc>
          <w:tcPr>
            <w:tcW w:w="1164" w:type="dxa"/>
            <w:tcBorders>
              <w:top w:val="nil"/>
              <w:left w:val="nil"/>
              <w:bottom w:val="nil"/>
              <w:right w:val="nil"/>
            </w:tcBorders>
            <w:shd w:val="clear" w:color="auto" w:fill="auto"/>
            <w:noWrap/>
            <w:vAlign w:val="center"/>
            <w:hideMark/>
          </w:tcPr>
          <w:p w14:paraId="0B3C8E3E" w14:textId="77777777" w:rsidR="00F96912" w:rsidRPr="00266EB9" w:rsidRDefault="00F96912" w:rsidP="006658D5">
            <w:pPr>
              <w:rPr>
                <w:sz w:val="16"/>
                <w:szCs w:val="16"/>
              </w:rPr>
            </w:pPr>
          </w:p>
        </w:tc>
      </w:tr>
    </w:tbl>
    <w:p w14:paraId="2DEEE362" w14:textId="77777777" w:rsidR="00F96912" w:rsidRPr="00266EB9" w:rsidRDefault="00F96912" w:rsidP="00F96912">
      <w:pPr>
        <w:pStyle w:val="NormalWeb"/>
        <w:keepNext/>
        <w:keepLines/>
        <w:spacing w:before="0" w:beforeAutospacing="0" w:after="0" w:afterAutospacing="0"/>
        <w:jc w:val="center"/>
        <w:rPr>
          <w:i/>
          <w:iCs/>
          <w:color w:val="000000"/>
          <w:sz w:val="20"/>
          <w:szCs w:val="20"/>
        </w:rPr>
      </w:pPr>
    </w:p>
    <w:p w14:paraId="4095E877" w14:textId="77777777" w:rsidR="00F96912" w:rsidRPr="00266EB9" w:rsidRDefault="00F96912" w:rsidP="00F96912">
      <w:pPr>
        <w:pStyle w:val="NormalWeb"/>
        <w:keepNext/>
        <w:keepLines/>
        <w:spacing w:before="0" w:beforeAutospacing="0" w:after="0" w:afterAutospacing="0"/>
        <w:jc w:val="center"/>
        <w:rPr>
          <w:color w:val="000000"/>
        </w:rPr>
      </w:pPr>
      <w:r w:rsidRPr="00266EB9">
        <w:rPr>
          <w:color w:val="000000"/>
        </w:rPr>
        <w:t>Budget et dépenses effectives (dépenses de personnel et autres dépenses)</w:t>
      </w:r>
    </w:p>
    <w:p w14:paraId="5203EA1B" w14:textId="77777777" w:rsidR="00F96912" w:rsidRPr="00266EB9" w:rsidRDefault="00F96912" w:rsidP="00F96912">
      <w:pPr>
        <w:pStyle w:val="NormalWeb"/>
        <w:keepNext/>
        <w:keepLines/>
        <w:spacing w:before="0" w:beforeAutospacing="0" w:after="0" w:afterAutospacing="0"/>
        <w:jc w:val="center"/>
      </w:pPr>
      <w:r w:rsidRPr="00266EB9">
        <w:rPr>
          <w:i/>
          <w:iCs/>
          <w:color w:val="000000"/>
          <w:sz w:val="16"/>
          <w:szCs w:val="16"/>
        </w:rPr>
        <w:t>(en milliers de francs suisses)</w:t>
      </w:r>
    </w:p>
    <w:p w14:paraId="7B38F595" w14:textId="77777777" w:rsidR="00F96912" w:rsidRPr="00266EB9" w:rsidRDefault="00F96912" w:rsidP="00F96912">
      <w:pPr>
        <w:keepNext/>
        <w:keepLines/>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266EB9" w14:paraId="7EEA242F" w14:textId="77777777" w:rsidTr="006658D5">
        <w:trPr>
          <w:cantSplit/>
          <w:jc w:val="center"/>
        </w:trPr>
        <w:tc>
          <w:tcPr>
            <w:tcW w:w="2470" w:type="dxa"/>
            <w:tcBorders>
              <w:top w:val="nil"/>
              <w:left w:val="nil"/>
              <w:bottom w:val="nil"/>
              <w:right w:val="nil"/>
            </w:tcBorders>
            <w:shd w:val="clear" w:color="000000" w:fill="C5D9F1"/>
            <w:noWrap/>
            <w:vAlign w:val="center"/>
            <w:hideMark/>
          </w:tcPr>
          <w:p w14:paraId="533244EC" w14:textId="77777777" w:rsidR="00F96912" w:rsidRPr="00266EB9" w:rsidRDefault="00F96912" w:rsidP="006658D5">
            <w:pPr>
              <w:keepNext/>
              <w:keepLines/>
              <w:rPr>
                <w:color w:val="000000"/>
                <w:sz w:val="16"/>
                <w:szCs w:val="16"/>
              </w:rPr>
            </w:pPr>
            <w:r w:rsidRPr="00266EB9">
              <w:rPr>
                <w:color w:val="000000"/>
                <w:sz w:val="16"/>
                <w:szCs w:val="16"/>
              </w:rPr>
              <w:t> </w:t>
            </w:r>
          </w:p>
        </w:tc>
        <w:tc>
          <w:tcPr>
            <w:tcW w:w="1438" w:type="dxa"/>
            <w:tcBorders>
              <w:top w:val="nil"/>
              <w:left w:val="nil"/>
              <w:bottom w:val="nil"/>
              <w:right w:val="nil"/>
            </w:tcBorders>
            <w:shd w:val="clear" w:color="000000" w:fill="C5D9F1"/>
            <w:vAlign w:val="center"/>
            <w:hideMark/>
          </w:tcPr>
          <w:p w14:paraId="4A8AEBDF" w14:textId="77777777" w:rsidR="00F96912" w:rsidRPr="00266EB9" w:rsidRDefault="00F96912" w:rsidP="006658D5">
            <w:pPr>
              <w:jc w:val="center"/>
              <w:rPr>
                <w:b/>
                <w:bCs/>
                <w:sz w:val="16"/>
                <w:szCs w:val="16"/>
              </w:rPr>
            </w:pPr>
            <w:r>
              <w:rPr>
                <w:b/>
                <w:bCs/>
                <w:sz w:val="16"/>
                <w:szCs w:val="16"/>
              </w:rPr>
              <w:t>Budget </w:t>
            </w:r>
            <w:r w:rsidRPr="00266EB9">
              <w:rPr>
                <w:b/>
                <w:bCs/>
                <w:sz w:val="16"/>
                <w:szCs w:val="16"/>
              </w:rPr>
              <w:t>2016</w:t>
            </w:r>
            <w:r>
              <w:rPr>
                <w:b/>
                <w:bCs/>
                <w:sz w:val="16"/>
                <w:szCs w:val="16"/>
              </w:rPr>
              <w:noBreakHyphen/>
            </w:r>
            <w:r w:rsidRPr="00266EB9">
              <w:rPr>
                <w:b/>
                <w:bCs/>
                <w:sz w:val="16"/>
                <w:szCs w:val="16"/>
              </w:rPr>
              <w:t>2017 approuvé</w:t>
            </w:r>
          </w:p>
        </w:tc>
        <w:tc>
          <w:tcPr>
            <w:tcW w:w="1438" w:type="dxa"/>
            <w:tcBorders>
              <w:top w:val="nil"/>
              <w:left w:val="nil"/>
              <w:bottom w:val="nil"/>
              <w:right w:val="nil"/>
            </w:tcBorders>
            <w:shd w:val="clear" w:color="000000" w:fill="C5D9F1"/>
            <w:vAlign w:val="center"/>
            <w:hideMark/>
          </w:tcPr>
          <w:p w14:paraId="4E87B78E" w14:textId="77777777" w:rsidR="00F96912" w:rsidRPr="00266EB9" w:rsidRDefault="00F96912" w:rsidP="006658D5">
            <w:pPr>
              <w:jc w:val="center"/>
              <w:rPr>
                <w:b/>
                <w:bCs/>
                <w:sz w:val="16"/>
                <w:szCs w:val="16"/>
              </w:rPr>
            </w:pPr>
            <w:r>
              <w:rPr>
                <w:b/>
                <w:bCs/>
                <w:sz w:val="16"/>
                <w:szCs w:val="16"/>
              </w:rPr>
              <w:t>Budget </w:t>
            </w:r>
            <w:r w:rsidRPr="00266EB9">
              <w:rPr>
                <w:b/>
                <w:bCs/>
                <w:sz w:val="16"/>
                <w:szCs w:val="16"/>
              </w:rPr>
              <w:t>2016</w:t>
            </w:r>
            <w:r>
              <w:rPr>
                <w:b/>
                <w:bCs/>
                <w:sz w:val="16"/>
                <w:szCs w:val="16"/>
              </w:rPr>
              <w:noBreakHyphen/>
            </w:r>
            <w:r w:rsidRPr="00266EB9">
              <w:rPr>
                <w:b/>
                <w:bCs/>
                <w:sz w:val="16"/>
                <w:szCs w:val="16"/>
              </w:rPr>
              <w:t>2017 après virements</w:t>
            </w:r>
          </w:p>
        </w:tc>
        <w:tc>
          <w:tcPr>
            <w:tcW w:w="1438" w:type="dxa"/>
            <w:tcBorders>
              <w:top w:val="nil"/>
              <w:left w:val="nil"/>
              <w:bottom w:val="nil"/>
              <w:right w:val="nil"/>
            </w:tcBorders>
            <w:shd w:val="clear" w:color="000000" w:fill="C5D9F1"/>
            <w:vAlign w:val="center"/>
            <w:hideMark/>
          </w:tcPr>
          <w:p w14:paraId="4799B1DB" w14:textId="77777777" w:rsidR="00F96912" w:rsidRPr="00266EB9" w:rsidRDefault="00F96912" w:rsidP="006658D5">
            <w:pPr>
              <w:jc w:val="center"/>
              <w:rPr>
                <w:b/>
                <w:bCs/>
                <w:sz w:val="16"/>
                <w:szCs w:val="16"/>
              </w:rPr>
            </w:pPr>
            <w:r>
              <w:rPr>
                <w:b/>
                <w:bCs/>
                <w:sz w:val="16"/>
                <w:szCs w:val="16"/>
              </w:rPr>
              <w:t>Dépenses </w:t>
            </w:r>
            <w:r w:rsidRPr="00266EB9">
              <w:rPr>
                <w:b/>
                <w:bCs/>
                <w:sz w:val="16"/>
                <w:szCs w:val="16"/>
              </w:rPr>
              <w:t>2016*</w:t>
            </w:r>
          </w:p>
        </w:tc>
        <w:tc>
          <w:tcPr>
            <w:tcW w:w="1438" w:type="dxa"/>
            <w:tcBorders>
              <w:top w:val="nil"/>
              <w:left w:val="nil"/>
              <w:bottom w:val="nil"/>
              <w:right w:val="nil"/>
            </w:tcBorders>
            <w:shd w:val="clear" w:color="000000" w:fill="C5D9F1"/>
            <w:vAlign w:val="center"/>
            <w:hideMark/>
          </w:tcPr>
          <w:p w14:paraId="6E48EE48" w14:textId="77777777" w:rsidR="00F96912" w:rsidRPr="00266EB9" w:rsidRDefault="00F96912" w:rsidP="006658D5">
            <w:pPr>
              <w:jc w:val="center"/>
              <w:rPr>
                <w:b/>
                <w:bCs/>
                <w:sz w:val="16"/>
                <w:szCs w:val="16"/>
              </w:rPr>
            </w:pPr>
            <w:r w:rsidRPr="00266EB9">
              <w:rPr>
                <w:b/>
                <w:bCs/>
                <w:sz w:val="16"/>
                <w:szCs w:val="16"/>
              </w:rPr>
              <w:t>Taux d’utilisation (%)</w:t>
            </w:r>
          </w:p>
        </w:tc>
      </w:tr>
      <w:tr w:rsidR="00F96912" w:rsidRPr="00266EB9" w14:paraId="30A341A2" w14:textId="77777777" w:rsidTr="006658D5">
        <w:trPr>
          <w:cantSplit/>
          <w:jc w:val="center"/>
        </w:trPr>
        <w:tc>
          <w:tcPr>
            <w:tcW w:w="2470" w:type="dxa"/>
            <w:tcBorders>
              <w:top w:val="nil"/>
              <w:left w:val="nil"/>
              <w:bottom w:val="nil"/>
              <w:right w:val="nil"/>
            </w:tcBorders>
            <w:shd w:val="clear" w:color="auto" w:fill="auto"/>
            <w:noWrap/>
            <w:vAlign w:val="center"/>
            <w:hideMark/>
          </w:tcPr>
          <w:p w14:paraId="777B0BCB" w14:textId="77777777" w:rsidR="00F96912" w:rsidRPr="00266EB9" w:rsidRDefault="00F96912" w:rsidP="006658D5">
            <w:pPr>
              <w:rPr>
                <w:color w:val="000000"/>
                <w:sz w:val="16"/>
                <w:szCs w:val="16"/>
              </w:rPr>
            </w:pPr>
            <w:r w:rsidRPr="00266EB9">
              <w:rPr>
                <w:sz w:val="16"/>
                <w:szCs w:val="16"/>
              </w:rPr>
              <w:t>Ressources en personnel</w:t>
            </w:r>
            <w:r w:rsidRPr="00266EB9">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46805A2A" w14:textId="77777777" w:rsidR="00F96912" w:rsidRPr="00266EB9" w:rsidRDefault="00F96912" w:rsidP="006658D5">
            <w:pPr>
              <w:keepNext/>
              <w:keepLines/>
              <w:jc w:val="center"/>
              <w:rPr>
                <w:color w:val="000000"/>
                <w:sz w:val="16"/>
                <w:szCs w:val="16"/>
              </w:rPr>
            </w:pPr>
            <w:r w:rsidRPr="00266EB9">
              <w:rPr>
                <w:color w:val="000000"/>
                <w:sz w:val="16"/>
                <w:szCs w:val="16"/>
              </w:rPr>
              <w:t xml:space="preserve">18 835 </w:t>
            </w:r>
          </w:p>
        </w:tc>
        <w:tc>
          <w:tcPr>
            <w:tcW w:w="1438" w:type="dxa"/>
            <w:tcBorders>
              <w:top w:val="nil"/>
              <w:left w:val="nil"/>
              <w:bottom w:val="nil"/>
              <w:right w:val="nil"/>
            </w:tcBorders>
            <w:shd w:val="clear" w:color="auto" w:fill="auto"/>
            <w:vAlign w:val="center"/>
            <w:hideMark/>
          </w:tcPr>
          <w:p w14:paraId="450FDAFE" w14:textId="77777777" w:rsidR="00F96912" w:rsidRPr="00266EB9" w:rsidRDefault="00F96912" w:rsidP="006658D5">
            <w:pPr>
              <w:keepNext/>
              <w:keepLines/>
              <w:jc w:val="center"/>
              <w:rPr>
                <w:color w:val="000000"/>
                <w:sz w:val="16"/>
                <w:szCs w:val="16"/>
              </w:rPr>
            </w:pPr>
            <w:r w:rsidRPr="00266EB9">
              <w:rPr>
                <w:color w:val="000000"/>
                <w:sz w:val="16"/>
                <w:szCs w:val="16"/>
              </w:rPr>
              <w:t xml:space="preserve">18 968 </w:t>
            </w:r>
          </w:p>
        </w:tc>
        <w:tc>
          <w:tcPr>
            <w:tcW w:w="1438" w:type="dxa"/>
            <w:tcBorders>
              <w:top w:val="nil"/>
              <w:left w:val="nil"/>
              <w:bottom w:val="nil"/>
              <w:right w:val="nil"/>
            </w:tcBorders>
            <w:shd w:val="clear" w:color="auto" w:fill="auto"/>
            <w:vAlign w:val="center"/>
            <w:hideMark/>
          </w:tcPr>
          <w:p w14:paraId="0C512508" w14:textId="77777777" w:rsidR="00F96912" w:rsidRPr="00266EB9" w:rsidRDefault="00F96912" w:rsidP="006658D5">
            <w:pPr>
              <w:keepNext/>
              <w:keepLines/>
              <w:jc w:val="center"/>
              <w:rPr>
                <w:color w:val="000000"/>
                <w:sz w:val="16"/>
                <w:szCs w:val="16"/>
              </w:rPr>
            </w:pPr>
            <w:r w:rsidRPr="00266EB9">
              <w:rPr>
                <w:color w:val="000000"/>
                <w:sz w:val="16"/>
                <w:szCs w:val="16"/>
              </w:rPr>
              <w:t xml:space="preserve">14 901 </w:t>
            </w:r>
          </w:p>
        </w:tc>
        <w:tc>
          <w:tcPr>
            <w:tcW w:w="1438" w:type="dxa"/>
            <w:tcBorders>
              <w:top w:val="nil"/>
              <w:left w:val="nil"/>
              <w:bottom w:val="nil"/>
              <w:right w:val="nil"/>
            </w:tcBorders>
            <w:shd w:val="clear" w:color="auto" w:fill="auto"/>
            <w:vAlign w:val="center"/>
            <w:hideMark/>
          </w:tcPr>
          <w:p w14:paraId="200666D2" w14:textId="77777777" w:rsidR="00F96912" w:rsidRPr="00266EB9" w:rsidRDefault="00F96912" w:rsidP="006658D5">
            <w:pPr>
              <w:keepNext/>
              <w:keepLines/>
              <w:jc w:val="center"/>
              <w:rPr>
                <w:color w:val="000000"/>
                <w:sz w:val="16"/>
                <w:szCs w:val="16"/>
              </w:rPr>
            </w:pPr>
            <w:r w:rsidRPr="00266EB9">
              <w:rPr>
                <w:color w:val="000000"/>
                <w:sz w:val="16"/>
                <w:szCs w:val="16"/>
              </w:rPr>
              <w:t>79%</w:t>
            </w:r>
          </w:p>
        </w:tc>
      </w:tr>
      <w:tr w:rsidR="00F96912" w:rsidRPr="00266EB9" w14:paraId="777D98E8" w14:textId="77777777" w:rsidTr="006658D5">
        <w:trPr>
          <w:cantSplit/>
          <w:jc w:val="center"/>
        </w:trPr>
        <w:tc>
          <w:tcPr>
            <w:tcW w:w="2470" w:type="dxa"/>
            <w:tcBorders>
              <w:top w:val="nil"/>
              <w:left w:val="nil"/>
              <w:bottom w:val="nil"/>
              <w:right w:val="nil"/>
            </w:tcBorders>
            <w:shd w:val="clear" w:color="auto" w:fill="auto"/>
            <w:noWrap/>
            <w:vAlign w:val="center"/>
            <w:hideMark/>
          </w:tcPr>
          <w:p w14:paraId="0219B84D" w14:textId="77777777" w:rsidR="00F96912" w:rsidRPr="00266EB9" w:rsidRDefault="00F96912" w:rsidP="006658D5">
            <w:pPr>
              <w:rPr>
                <w:color w:val="000000"/>
                <w:sz w:val="16"/>
                <w:szCs w:val="16"/>
              </w:rPr>
            </w:pPr>
            <w:r w:rsidRPr="00266EB9">
              <w:rPr>
                <w:sz w:val="16"/>
                <w:szCs w:val="16"/>
              </w:rPr>
              <w:t>Autres ressources</w:t>
            </w:r>
            <w:r w:rsidRPr="00266EB9">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2FC00A49" w14:textId="77777777" w:rsidR="00F96912" w:rsidRPr="00266EB9" w:rsidRDefault="00F96912" w:rsidP="006658D5">
            <w:pPr>
              <w:keepNext/>
              <w:keepLines/>
              <w:jc w:val="center"/>
              <w:rPr>
                <w:color w:val="000000"/>
                <w:sz w:val="16"/>
                <w:szCs w:val="16"/>
              </w:rPr>
            </w:pPr>
            <w:r w:rsidRPr="00266EB9">
              <w:rPr>
                <w:color w:val="000000"/>
                <w:sz w:val="16"/>
                <w:szCs w:val="16"/>
              </w:rPr>
              <w:t xml:space="preserve">5 782 </w:t>
            </w:r>
          </w:p>
        </w:tc>
        <w:tc>
          <w:tcPr>
            <w:tcW w:w="1438" w:type="dxa"/>
            <w:tcBorders>
              <w:top w:val="nil"/>
              <w:left w:val="nil"/>
              <w:bottom w:val="nil"/>
              <w:right w:val="nil"/>
            </w:tcBorders>
            <w:shd w:val="clear" w:color="auto" w:fill="auto"/>
            <w:vAlign w:val="center"/>
            <w:hideMark/>
          </w:tcPr>
          <w:p w14:paraId="755761B8" w14:textId="77777777" w:rsidR="00F96912" w:rsidRPr="00266EB9" w:rsidRDefault="00F96912" w:rsidP="006658D5">
            <w:pPr>
              <w:keepNext/>
              <w:keepLines/>
              <w:jc w:val="center"/>
              <w:rPr>
                <w:color w:val="000000"/>
                <w:sz w:val="16"/>
                <w:szCs w:val="16"/>
              </w:rPr>
            </w:pPr>
            <w:r w:rsidRPr="00266EB9">
              <w:rPr>
                <w:color w:val="000000"/>
                <w:sz w:val="16"/>
                <w:szCs w:val="16"/>
              </w:rPr>
              <w:t xml:space="preserve">6 691 </w:t>
            </w:r>
          </w:p>
        </w:tc>
        <w:tc>
          <w:tcPr>
            <w:tcW w:w="1438" w:type="dxa"/>
            <w:tcBorders>
              <w:top w:val="nil"/>
              <w:left w:val="nil"/>
              <w:bottom w:val="nil"/>
              <w:right w:val="nil"/>
            </w:tcBorders>
            <w:shd w:val="clear" w:color="auto" w:fill="auto"/>
            <w:vAlign w:val="center"/>
            <w:hideMark/>
          </w:tcPr>
          <w:p w14:paraId="344CC076" w14:textId="77777777" w:rsidR="00F96912" w:rsidRPr="00266EB9" w:rsidRDefault="00F96912" w:rsidP="006658D5">
            <w:pPr>
              <w:keepNext/>
              <w:keepLines/>
              <w:jc w:val="center"/>
              <w:rPr>
                <w:color w:val="000000"/>
                <w:sz w:val="16"/>
                <w:szCs w:val="16"/>
              </w:rPr>
            </w:pPr>
            <w:r w:rsidRPr="00266EB9">
              <w:rPr>
                <w:color w:val="000000"/>
                <w:sz w:val="16"/>
                <w:szCs w:val="16"/>
              </w:rPr>
              <w:t xml:space="preserve">2 972 </w:t>
            </w:r>
          </w:p>
        </w:tc>
        <w:tc>
          <w:tcPr>
            <w:tcW w:w="1438" w:type="dxa"/>
            <w:tcBorders>
              <w:top w:val="nil"/>
              <w:left w:val="nil"/>
              <w:bottom w:val="nil"/>
              <w:right w:val="nil"/>
            </w:tcBorders>
            <w:shd w:val="clear" w:color="auto" w:fill="auto"/>
            <w:vAlign w:val="center"/>
            <w:hideMark/>
          </w:tcPr>
          <w:p w14:paraId="7F804901" w14:textId="77777777" w:rsidR="00F96912" w:rsidRPr="00266EB9" w:rsidRDefault="00F96912" w:rsidP="006658D5">
            <w:pPr>
              <w:keepNext/>
              <w:keepLines/>
              <w:jc w:val="center"/>
              <w:rPr>
                <w:color w:val="000000"/>
                <w:sz w:val="16"/>
                <w:szCs w:val="16"/>
              </w:rPr>
            </w:pPr>
            <w:r w:rsidRPr="00266EB9">
              <w:rPr>
                <w:color w:val="000000"/>
                <w:sz w:val="16"/>
                <w:szCs w:val="16"/>
              </w:rPr>
              <w:t>44%</w:t>
            </w:r>
          </w:p>
        </w:tc>
      </w:tr>
      <w:tr w:rsidR="00F96912" w:rsidRPr="00266EB9" w14:paraId="73B8029C" w14:textId="77777777" w:rsidTr="006658D5">
        <w:trPr>
          <w:cantSplit/>
          <w:jc w:val="center"/>
        </w:trPr>
        <w:tc>
          <w:tcPr>
            <w:tcW w:w="2470" w:type="dxa"/>
            <w:tcBorders>
              <w:top w:val="nil"/>
              <w:left w:val="nil"/>
              <w:bottom w:val="nil"/>
              <w:right w:val="nil"/>
            </w:tcBorders>
            <w:shd w:val="clear" w:color="000000" w:fill="C5D9F1"/>
            <w:noWrap/>
            <w:vAlign w:val="center"/>
            <w:hideMark/>
          </w:tcPr>
          <w:p w14:paraId="285FEB8D" w14:textId="77777777" w:rsidR="00F96912" w:rsidRPr="00266EB9" w:rsidRDefault="00F96912" w:rsidP="006658D5">
            <w:pPr>
              <w:keepNext/>
              <w:keepLines/>
              <w:jc w:val="right"/>
              <w:rPr>
                <w:b/>
                <w:bCs/>
                <w:color w:val="000000"/>
                <w:sz w:val="16"/>
                <w:szCs w:val="16"/>
              </w:rPr>
            </w:pPr>
            <w:r w:rsidRPr="00266EB9">
              <w:rPr>
                <w:b/>
                <w:bCs/>
                <w:color w:val="000000"/>
                <w:sz w:val="16"/>
                <w:szCs w:val="16"/>
              </w:rPr>
              <w:t>Total</w:t>
            </w:r>
          </w:p>
        </w:tc>
        <w:tc>
          <w:tcPr>
            <w:tcW w:w="1438" w:type="dxa"/>
            <w:tcBorders>
              <w:top w:val="nil"/>
              <w:left w:val="nil"/>
              <w:bottom w:val="nil"/>
              <w:right w:val="nil"/>
            </w:tcBorders>
            <w:shd w:val="clear" w:color="000000" w:fill="C5D9F1"/>
            <w:vAlign w:val="center"/>
            <w:hideMark/>
          </w:tcPr>
          <w:p w14:paraId="02DC5006" w14:textId="77777777" w:rsidR="00F96912" w:rsidRPr="00266EB9" w:rsidRDefault="00F96912" w:rsidP="006658D5">
            <w:pPr>
              <w:keepNext/>
              <w:keepLines/>
              <w:jc w:val="center"/>
              <w:rPr>
                <w:b/>
                <w:bCs/>
                <w:color w:val="000000"/>
                <w:sz w:val="16"/>
                <w:szCs w:val="16"/>
              </w:rPr>
            </w:pPr>
            <w:r w:rsidRPr="00266EB9">
              <w:rPr>
                <w:b/>
                <w:bCs/>
                <w:color w:val="000000"/>
                <w:sz w:val="16"/>
                <w:szCs w:val="16"/>
              </w:rPr>
              <w:t xml:space="preserve">24 617 </w:t>
            </w:r>
          </w:p>
        </w:tc>
        <w:tc>
          <w:tcPr>
            <w:tcW w:w="1438" w:type="dxa"/>
            <w:tcBorders>
              <w:top w:val="nil"/>
              <w:left w:val="nil"/>
              <w:bottom w:val="nil"/>
              <w:right w:val="nil"/>
            </w:tcBorders>
            <w:shd w:val="clear" w:color="000000" w:fill="C5D9F1"/>
            <w:vAlign w:val="center"/>
            <w:hideMark/>
          </w:tcPr>
          <w:p w14:paraId="58F6BAD0" w14:textId="77777777" w:rsidR="00F96912" w:rsidRPr="00266EB9" w:rsidRDefault="00F96912" w:rsidP="006658D5">
            <w:pPr>
              <w:keepNext/>
              <w:keepLines/>
              <w:jc w:val="center"/>
              <w:rPr>
                <w:b/>
                <w:bCs/>
                <w:color w:val="000000"/>
                <w:sz w:val="16"/>
                <w:szCs w:val="16"/>
              </w:rPr>
            </w:pPr>
            <w:r w:rsidRPr="00266EB9">
              <w:rPr>
                <w:b/>
                <w:bCs/>
                <w:color w:val="000000"/>
                <w:sz w:val="16"/>
                <w:szCs w:val="16"/>
              </w:rPr>
              <w:t xml:space="preserve">25 659 </w:t>
            </w:r>
          </w:p>
        </w:tc>
        <w:tc>
          <w:tcPr>
            <w:tcW w:w="1438" w:type="dxa"/>
            <w:tcBorders>
              <w:top w:val="nil"/>
              <w:left w:val="nil"/>
              <w:bottom w:val="nil"/>
              <w:right w:val="nil"/>
            </w:tcBorders>
            <w:shd w:val="clear" w:color="000000" w:fill="C5D9F1"/>
            <w:vAlign w:val="center"/>
            <w:hideMark/>
          </w:tcPr>
          <w:p w14:paraId="0C69A618" w14:textId="77777777" w:rsidR="00F96912" w:rsidRPr="00266EB9" w:rsidRDefault="00F96912" w:rsidP="006658D5">
            <w:pPr>
              <w:keepNext/>
              <w:keepLines/>
              <w:jc w:val="center"/>
              <w:rPr>
                <w:b/>
                <w:bCs/>
                <w:color w:val="000000"/>
                <w:sz w:val="16"/>
                <w:szCs w:val="16"/>
              </w:rPr>
            </w:pPr>
            <w:r w:rsidRPr="00266EB9">
              <w:rPr>
                <w:b/>
                <w:bCs/>
                <w:color w:val="000000"/>
                <w:sz w:val="16"/>
                <w:szCs w:val="16"/>
              </w:rPr>
              <w:t xml:space="preserve">17 873 </w:t>
            </w:r>
          </w:p>
        </w:tc>
        <w:tc>
          <w:tcPr>
            <w:tcW w:w="1438" w:type="dxa"/>
            <w:tcBorders>
              <w:top w:val="nil"/>
              <w:left w:val="nil"/>
              <w:bottom w:val="nil"/>
              <w:right w:val="nil"/>
            </w:tcBorders>
            <w:shd w:val="clear" w:color="000000" w:fill="C5D9F1"/>
            <w:vAlign w:val="center"/>
            <w:hideMark/>
          </w:tcPr>
          <w:p w14:paraId="4C1599BF" w14:textId="77777777" w:rsidR="00F96912" w:rsidRPr="00266EB9" w:rsidRDefault="00F96912" w:rsidP="006658D5">
            <w:pPr>
              <w:keepNext/>
              <w:keepLines/>
              <w:jc w:val="center"/>
              <w:rPr>
                <w:b/>
                <w:bCs/>
                <w:color w:val="000000"/>
                <w:sz w:val="16"/>
                <w:szCs w:val="16"/>
              </w:rPr>
            </w:pPr>
            <w:r w:rsidRPr="00266EB9">
              <w:rPr>
                <w:b/>
                <w:bCs/>
                <w:color w:val="000000"/>
                <w:sz w:val="16"/>
                <w:szCs w:val="16"/>
              </w:rPr>
              <w:t>70%</w:t>
            </w:r>
          </w:p>
        </w:tc>
      </w:tr>
      <w:tr w:rsidR="00F96912" w:rsidRPr="00266EB9" w14:paraId="0E7C6D70" w14:textId="77777777" w:rsidTr="006658D5">
        <w:trPr>
          <w:cantSplit/>
          <w:jc w:val="center"/>
        </w:trPr>
        <w:tc>
          <w:tcPr>
            <w:tcW w:w="8222" w:type="dxa"/>
            <w:gridSpan w:val="5"/>
            <w:tcBorders>
              <w:top w:val="nil"/>
              <w:left w:val="nil"/>
              <w:bottom w:val="nil"/>
              <w:right w:val="nil"/>
            </w:tcBorders>
            <w:shd w:val="clear" w:color="auto" w:fill="auto"/>
            <w:noWrap/>
            <w:vAlign w:val="center"/>
            <w:hideMark/>
          </w:tcPr>
          <w:p w14:paraId="75490CC9" w14:textId="77777777" w:rsidR="00F96912" w:rsidRPr="00266EB9" w:rsidRDefault="00F96912" w:rsidP="006658D5">
            <w:pPr>
              <w:keepNext/>
              <w:keepLines/>
              <w:rPr>
                <w:i/>
                <w:iCs/>
                <w:color w:val="000000"/>
                <w:sz w:val="16"/>
                <w:szCs w:val="16"/>
              </w:rPr>
            </w:pPr>
            <w:r w:rsidRPr="00266EB9">
              <w:rPr>
                <w:i/>
                <w:iCs/>
                <w:sz w:val="16"/>
                <w:szCs w:val="16"/>
              </w:rPr>
              <w:t>*Les chiffres des dépenses pour 2016 sont préliminaires, sous réserve d’audit par les vérificateurs externes des comptes</w:t>
            </w:r>
          </w:p>
        </w:tc>
      </w:tr>
    </w:tbl>
    <w:p w14:paraId="567F2340" w14:textId="77777777" w:rsidR="00F96912" w:rsidRPr="00266EB9" w:rsidRDefault="00F96912" w:rsidP="00F96912">
      <w:pPr>
        <w:keepNext/>
        <w:keepLines/>
        <w:jc w:val="both"/>
        <w:rPr>
          <w:sz w:val="20"/>
        </w:rPr>
      </w:pPr>
    </w:p>
    <w:p w14:paraId="6678259D" w14:textId="4277214C" w:rsidR="00F96912" w:rsidRPr="00266EB9" w:rsidRDefault="00F96912" w:rsidP="00F96912">
      <w:pPr>
        <w:keepNext/>
        <w:keepLines/>
        <w:ind w:left="567" w:right="424"/>
        <w:rPr>
          <w:i/>
          <w:sz w:val="16"/>
          <w:szCs w:val="16"/>
        </w:rPr>
      </w:pPr>
      <w:r w:rsidRPr="00266EB9">
        <w:rPr>
          <w:i/>
          <w:sz w:val="16"/>
          <w:szCs w:val="16"/>
        </w:rPr>
        <w:t>NOTE : Le budget 2016</w:t>
      </w:r>
      <w:r>
        <w:rPr>
          <w:i/>
          <w:sz w:val="16"/>
          <w:szCs w:val="16"/>
        </w:rPr>
        <w:noBreakHyphen/>
      </w:r>
      <w:r w:rsidRPr="00266EB9">
        <w:rPr>
          <w:i/>
          <w:sz w:val="16"/>
          <w:szCs w:val="16"/>
        </w:rPr>
        <w:t xml:space="preserve">2017 après virements tient compte des virements effectués </w:t>
      </w:r>
      <w:r w:rsidR="00945B76">
        <w:rPr>
          <w:i/>
          <w:sz w:val="16"/>
          <w:szCs w:val="16"/>
        </w:rPr>
        <w:t>au 8 mars 2017</w:t>
      </w:r>
      <w:r w:rsidRPr="00266EB9">
        <w:rPr>
          <w:i/>
          <w:sz w:val="16"/>
          <w:szCs w:val="16"/>
        </w:rPr>
        <w:t xml:space="preserve"> pour répondre aux besoins durant l’exercice biennal 2016</w:t>
      </w:r>
      <w:r>
        <w:rPr>
          <w:i/>
          <w:sz w:val="16"/>
          <w:szCs w:val="16"/>
        </w:rPr>
        <w:noBreakHyphen/>
      </w:r>
      <w:r w:rsidRPr="00266EB9">
        <w:rPr>
          <w:i/>
          <w:sz w:val="16"/>
          <w:szCs w:val="16"/>
        </w:rPr>
        <w:t>2017 conformément à l’article 5.5 du Règlement financier.</w:t>
      </w:r>
    </w:p>
    <w:p w14:paraId="2A47F04C" w14:textId="77777777" w:rsidR="00F96912" w:rsidRPr="00266EB9" w:rsidRDefault="00F96912" w:rsidP="00F96912">
      <w:pPr>
        <w:rPr>
          <w:sz w:val="20"/>
        </w:rPr>
      </w:pPr>
    </w:p>
    <w:p w14:paraId="24DA5B8B" w14:textId="77777777" w:rsidR="00F96912" w:rsidRPr="00266EB9" w:rsidRDefault="00F96912" w:rsidP="00F96912">
      <w:pPr>
        <w:rPr>
          <w:sz w:val="20"/>
        </w:rPr>
      </w:pPr>
    </w:p>
    <w:p w14:paraId="67F6A55B" w14:textId="77777777" w:rsidR="00F96912" w:rsidRPr="00266EB9" w:rsidRDefault="00F96912" w:rsidP="00F96912">
      <w:pPr>
        <w:keepNext/>
        <w:jc w:val="both"/>
        <w:rPr>
          <w:sz w:val="20"/>
          <w:u w:val="single"/>
        </w:rPr>
      </w:pPr>
      <w:r w:rsidRPr="00266EB9">
        <w:rPr>
          <w:sz w:val="20"/>
        </w:rPr>
        <w:t>A.</w:t>
      </w:r>
      <w:r w:rsidRPr="00266EB9">
        <w:rPr>
          <w:sz w:val="20"/>
        </w:rPr>
        <w:tab/>
      </w:r>
      <w:r w:rsidRPr="00266EB9">
        <w:rPr>
          <w:sz w:val="20"/>
          <w:u w:val="single"/>
        </w:rPr>
        <w:t>Budget 2016</w:t>
      </w:r>
      <w:r>
        <w:rPr>
          <w:sz w:val="20"/>
          <w:u w:val="single"/>
        </w:rPr>
        <w:noBreakHyphen/>
      </w:r>
      <w:r w:rsidRPr="00266EB9">
        <w:rPr>
          <w:sz w:val="20"/>
          <w:u w:val="single"/>
        </w:rPr>
        <w:t>2017 après virements</w:t>
      </w:r>
    </w:p>
    <w:p w14:paraId="7C32874C" w14:textId="77777777" w:rsidR="00F96912" w:rsidRPr="00266EB9" w:rsidRDefault="00F96912" w:rsidP="00F96912">
      <w:pPr>
        <w:jc w:val="both"/>
        <w:rPr>
          <w:sz w:val="20"/>
        </w:rPr>
      </w:pPr>
    </w:p>
    <w:p w14:paraId="397D5663" w14:textId="77777777" w:rsidR="00F96912" w:rsidRPr="00266EB9" w:rsidRDefault="00F96912" w:rsidP="00D544B8">
      <w:pPr>
        <w:pStyle w:val="ListParagraph"/>
        <w:numPr>
          <w:ilvl w:val="0"/>
          <w:numId w:val="43"/>
        </w:numPr>
        <w:ind w:left="0" w:firstLine="0"/>
        <w:jc w:val="both"/>
        <w:rPr>
          <w:rFonts w:ascii="Arial" w:hAnsi="Arial" w:cs="Arial"/>
          <w:sz w:val="20"/>
        </w:rPr>
      </w:pPr>
      <w:r w:rsidRPr="00266EB9">
        <w:rPr>
          <w:rFonts w:ascii="Arial" w:hAnsi="Arial" w:cs="Arial"/>
          <w:sz w:val="20"/>
        </w:rPr>
        <w:t>L’augmentation des dépenses de personnel par rapport au budget approuvé pour 2016</w:t>
      </w:r>
      <w:r>
        <w:rPr>
          <w:rFonts w:ascii="Arial" w:hAnsi="Arial" w:cs="Arial"/>
          <w:sz w:val="20"/>
        </w:rPr>
        <w:noBreakHyphen/>
      </w:r>
      <w:r w:rsidRPr="00266EB9">
        <w:rPr>
          <w:rFonts w:ascii="Arial" w:hAnsi="Arial" w:cs="Arial"/>
          <w:sz w:val="20"/>
        </w:rPr>
        <w:t>2017 est essentiellement due à la régularisation d’un membre du personnel qui exerçait des fonctions continues et au reclassement d’un poste.</w:t>
      </w:r>
    </w:p>
    <w:p w14:paraId="1867DD79" w14:textId="77777777" w:rsidR="00F96912" w:rsidRPr="00266EB9" w:rsidRDefault="00F96912" w:rsidP="00F96912">
      <w:pPr>
        <w:jc w:val="both"/>
        <w:rPr>
          <w:sz w:val="20"/>
          <w:u w:val="single"/>
        </w:rPr>
      </w:pPr>
    </w:p>
    <w:p w14:paraId="63A825B3" w14:textId="77777777" w:rsidR="00F96912" w:rsidRPr="00266EB9" w:rsidRDefault="00F96912" w:rsidP="00D544B8">
      <w:pPr>
        <w:pStyle w:val="ListParagraph"/>
        <w:numPr>
          <w:ilvl w:val="0"/>
          <w:numId w:val="43"/>
        </w:numPr>
        <w:ind w:left="0" w:firstLine="0"/>
        <w:jc w:val="both"/>
        <w:rPr>
          <w:rFonts w:ascii="Arial" w:hAnsi="Arial" w:cs="Arial"/>
          <w:sz w:val="20"/>
        </w:rPr>
      </w:pPr>
      <w:r w:rsidRPr="00266EB9">
        <w:rPr>
          <w:rFonts w:ascii="Arial" w:hAnsi="Arial" w:cs="Arial"/>
          <w:sz w:val="20"/>
        </w:rPr>
        <w:t>L’augmentation des autres dépenses par rapport au budget approuvé pour 2016</w:t>
      </w:r>
      <w:r>
        <w:rPr>
          <w:rFonts w:ascii="Arial" w:hAnsi="Arial" w:cs="Arial"/>
          <w:sz w:val="20"/>
        </w:rPr>
        <w:noBreakHyphen/>
      </w:r>
      <w:r w:rsidRPr="00266EB9">
        <w:rPr>
          <w:rFonts w:ascii="Arial" w:hAnsi="Arial" w:cs="Arial"/>
          <w:sz w:val="20"/>
        </w:rPr>
        <w:t>2017 est essentiellement due à la prise en charge des éléments suivants : i) l’accueil de la quatre</w:t>
      </w:r>
      <w:r>
        <w:rPr>
          <w:rFonts w:ascii="Arial" w:hAnsi="Arial" w:cs="Arial"/>
          <w:sz w:val="20"/>
        </w:rPr>
        <w:noBreakHyphen/>
      </w:r>
      <w:r w:rsidRPr="00266EB9">
        <w:rPr>
          <w:rFonts w:ascii="Arial" w:hAnsi="Arial" w:cs="Arial"/>
          <w:sz w:val="20"/>
        </w:rPr>
        <w:t>vingt</w:t>
      </w:r>
      <w:r>
        <w:rPr>
          <w:rFonts w:ascii="Arial" w:hAnsi="Arial" w:cs="Arial"/>
          <w:sz w:val="20"/>
        </w:rPr>
        <w:noBreakHyphen/>
      </w:r>
      <w:r w:rsidRPr="00266EB9">
        <w:rPr>
          <w:rFonts w:ascii="Arial" w:hAnsi="Arial" w:cs="Arial"/>
          <w:sz w:val="20"/>
        </w:rPr>
        <w:t>troisième session de la CFPI;  ii) l’organisation d’un atelier sur l’égalité des sexes pour les délégués de l’OMPI, et du déjeuner consacré au thème “les femmes et la propriété intellectuelle” en marge des assemblées;  iii) la collecte de données s’agissant de la prise en considération systématique de la problématique hommes</w:t>
      </w:r>
      <w:r>
        <w:rPr>
          <w:rFonts w:ascii="Arial" w:hAnsi="Arial" w:cs="Arial"/>
          <w:sz w:val="20"/>
        </w:rPr>
        <w:noBreakHyphen/>
      </w:r>
      <w:r w:rsidRPr="00266EB9">
        <w:rPr>
          <w:rFonts w:ascii="Arial" w:hAnsi="Arial" w:cs="Arial"/>
          <w:sz w:val="20"/>
        </w:rPr>
        <w:t>femmes à l’OMPI;  iv) une enquête sur la gestion du temps;  v) le Comité d’appel de l’OMPI;  vi) le traitement des indemnités pour frais d’études, la perception des créances pour les primes de l’assurance maladie après la cessation de service, la mise en œuvre du nouvel ensemble de prestations de la CFPI et la fourniture de services médicaux sur place;  vii) les évaluations concernant la sécurité et la santé au travail;  et viii) l’augmentation des coûts liés aux activités financées en commun avec le système des Nations Unies.</w:t>
      </w:r>
    </w:p>
    <w:p w14:paraId="44BB2D74" w14:textId="77777777" w:rsidR="00F96912" w:rsidRPr="00266EB9" w:rsidRDefault="00F96912" w:rsidP="00F96912">
      <w:pPr>
        <w:jc w:val="both"/>
        <w:rPr>
          <w:sz w:val="20"/>
        </w:rPr>
      </w:pPr>
    </w:p>
    <w:p w14:paraId="5BCB846B" w14:textId="77777777" w:rsidR="00F96912" w:rsidRPr="00266EB9" w:rsidRDefault="00F96912" w:rsidP="00F96912">
      <w:pPr>
        <w:jc w:val="both"/>
        <w:rPr>
          <w:sz w:val="20"/>
          <w:u w:val="single"/>
        </w:rPr>
      </w:pPr>
      <w:r w:rsidRPr="00266EB9">
        <w:rPr>
          <w:sz w:val="20"/>
        </w:rPr>
        <w:t>B.</w:t>
      </w:r>
      <w:r w:rsidRPr="00266EB9">
        <w:rPr>
          <w:sz w:val="20"/>
        </w:rPr>
        <w:tab/>
      </w:r>
      <w:r w:rsidRPr="00266EB9">
        <w:rPr>
          <w:sz w:val="20"/>
          <w:u w:val="single"/>
        </w:rPr>
        <w:t>Utilisation du budget 2016</w:t>
      </w:r>
      <w:r>
        <w:rPr>
          <w:sz w:val="20"/>
          <w:u w:val="single"/>
        </w:rPr>
        <w:noBreakHyphen/>
      </w:r>
      <w:r w:rsidRPr="00266EB9">
        <w:rPr>
          <w:sz w:val="20"/>
          <w:u w:val="single"/>
        </w:rPr>
        <w:t>2017</w:t>
      </w:r>
    </w:p>
    <w:p w14:paraId="29A3EF70" w14:textId="77777777" w:rsidR="00F96912" w:rsidRPr="00266EB9" w:rsidRDefault="00F96912" w:rsidP="00F96912">
      <w:pPr>
        <w:autoSpaceDE w:val="0"/>
        <w:autoSpaceDN w:val="0"/>
        <w:jc w:val="both"/>
        <w:rPr>
          <w:sz w:val="20"/>
        </w:rPr>
      </w:pPr>
    </w:p>
    <w:p w14:paraId="11256B1D" w14:textId="77777777" w:rsidR="00F96912" w:rsidRPr="00266EB9" w:rsidRDefault="00F96912" w:rsidP="00D544B8">
      <w:pPr>
        <w:pStyle w:val="ListParagraph"/>
        <w:numPr>
          <w:ilvl w:val="0"/>
          <w:numId w:val="43"/>
        </w:numPr>
        <w:ind w:left="0" w:firstLine="0"/>
        <w:jc w:val="both"/>
        <w:rPr>
          <w:rFonts w:ascii="Arial" w:hAnsi="Arial" w:cs="Arial"/>
          <w:sz w:val="20"/>
        </w:rPr>
      </w:pPr>
      <w:r w:rsidRPr="00266EB9">
        <w:rPr>
          <w:rFonts w:ascii="Arial" w:hAnsi="Arial" w:cs="Arial"/>
          <w:sz w:val="20"/>
        </w:rPr>
        <w:t>Le taux d’utilisation du budget pour les dépenses de personnel était de 79%, traduisant l’imputation d’une provision pour frais de justice d’un montant total de 6,2 millions de francs suisses.</w:t>
      </w:r>
    </w:p>
    <w:p w14:paraId="638AFFB0" w14:textId="77777777" w:rsidR="00F96912" w:rsidRPr="00266EB9" w:rsidRDefault="00F96912" w:rsidP="00F96912">
      <w:pPr>
        <w:autoSpaceDE w:val="0"/>
        <w:autoSpaceDN w:val="0"/>
        <w:jc w:val="both"/>
        <w:rPr>
          <w:sz w:val="20"/>
        </w:rPr>
      </w:pPr>
    </w:p>
    <w:p w14:paraId="66800011" w14:textId="77777777" w:rsidR="00F96912" w:rsidRPr="00266EB9" w:rsidRDefault="00F96912" w:rsidP="00D544B8">
      <w:pPr>
        <w:pStyle w:val="ListParagraph"/>
        <w:numPr>
          <w:ilvl w:val="0"/>
          <w:numId w:val="43"/>
        </w:numPr>
        <w:ind w:left="0" w:firstLine="0"/>
        <w:jc w:val="both"/>
        <w:rPr>
          <w:rFonts w:ascii="Arial" w:hAnsi="Arial" w:cs="Arial"/>
          <w:sz w:val="20"/>
        </w:rPr>
      </w:pPr>
      <w:r w:rsidRPr="00266EB9">
        <w:rPr>
          <w:rFonts w:ascii="Arial" w:hAnsi="Arial" w:cs="Arial"/>
          <w:sz w:val="20"/>
        </w:rPr>
        <w:t>Le taux d’utilisation du budget pour les autres dépenses se situait dans la fourchette prévue des 40 à 60% pour la première année de l’exercice biennal.</w:t>
      </w:r>
    </w:p>
    <w:p w14:paraId="578F730D" w14:textId="77777777" w:rsidR="00F96912" w:rsidRDefault="00F96912" w:rsidP="00F96912">
      <w:pPr>
        <w:rPr>
          <w:b/>
          <w:bCs/>
          <w:iCs/>
          <w:caps/>
          <w:color w:val="000000"/>
          <w:szCs w:val="28"/>
        </w:rPr>
      </w:pPr>
      <w:r>
        <w:br w:type="page"/>
      </w:r>
    </w:p>
    <w:p w14:paraId="353DA2A0" w14:textId="77777777" w:rsidR="00F96912" w:rsidRPr="00CD000E" w:rsidRDefault="00F96912" w:rsidP="0087680E">
      <w:pPr>
        <w:pStyle w:val="Heading3"/>
      </w:pPr>
      <w:bookmarkStart w:id="77" w:name="_Toc482774623"/>
      <w:r w:rsidRPr="00CD000E">
        <w:t>Programme 24</w:t>
      </w:r>
      <w:r w:rsidRPr="00CD000E">
        <w:tab/>
        <w:t>Services d</w:t>
      </w:r>
      <w:r>
        <w:t>’appui</w:t>
      </w:r>
      <w:r w:rsidRPr="00CD000E">
        <w:t xml:space="preserve"> généraux</w:t>
      </w:r>
      <w:bookmarkEnd w:id="77"/>
    </w:p>
    <w:p w14:paraId="189492FE" w14:textId="77777777" w:rsidR="00F96912" w:rsidRPr="00CD000E" w:rsidRDefault="00F96912" w:rsidP="00F96912">
      <w:pPr>
        <w:tabs>
          <w:tab w:val="left" w:pos="2268"/>
        </w:tabs>
        <w:ind w:left="1985" w:hanging="1985"/>
        <w:rPr>
          <w:b/>
          <w:sz w:val="20"/>
        </w:rPr>
      </w:pPr>
    </w:p>
    <w:p w14:paraId="16D7DCF6" w14:textId="77777777" w:rsidR="00F96912" w:rsidRPr="00CD000E" w:rsidRDefault="00F96912" w:rsidP="00F96912">
      <w:pPr>
        <w:tabs>
          <w:tab w:val="left" w:pos="2268"/>
        </w:tabs>
        <w:ind w:left="2268" w:hanging="2268"/>
        <w:rPr>
          <w:b/>
          <w:sz w:val="20"/>
        </w:rPr>
      </w:pPr>
      <w:r w:rsidRPr="00CD000E">
        <w:rPr>
          <w:b/>
          <w:sz w:val="20"/>
        </w:rPr>
        <w:t>Chef de programme</w:t>
      </w:r>
      <w:r w:rsidRPr="00CD000E">
        <w:rPr>
          <w:b/>
          <w:sz w:val="20"/>
        </w:rPr>
        <w:tab/>
        <w:t>M. </w:t>
      </w:r>
      <w:r w:rsidRPr="00CD000E">
        <w:rPr>
          <w:b/>
          <w:bCs/>
          <w:sz w:val="20"/>
        </w:rPr>
        <w:t>A.</w:t>
      </w:r>
      <w:r w:rsidRPr="00CD000E">
        <w:rPr>
          <w:b/>
          <w:sz w:val="20"/>
        </w:rPr>
        <w:t> </w:t>
      </w:r>
      <w:r w:rsidRPr="00CD000E">
        <w:rPr>
          <w:b/>
          <w:bCs/>
          <w:sz w:val="20"/>
        </w:rPr>
        <w:t>Sundaram</w:t>
      </w:r>
    </w:p>
    <w:p w14:paraId="7244962A" w14:textId="77777777" w:rsidR="00F96912" w:rsidRPr="00CD000E" w:rsidRDefault="00F96912" w:rsidP="00F96912">
      <w:pPr>
        <w:jc w:val="center"/>
        <w:rPr>
          <w:sz w:val="20"/>
          <w:szCs w:val="24"/>
        </w:rPr>
      </w:pPr>
      <w:r w:rsidRPr="00CD000E">
        <w:rPr>
          <w:noProof/>
          <w:lang w:val="en-US"/>
        </w:rPr>
        <w:drawing>
          <wp:inline distT="0" distB="0" distL="0" distR="0" wp14:anchorId="10F74BE2" wp14:editId="7A26D24C">
            <wp:extent cx="3960778" cy="273600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53"/>
        <w:gridCol w:w="104"/>
        <w:gridCol w:w="2219"/>
        <w:gridCol w:w="30"/>
        <w:gridCol w:w="1447"/>
        <w:gridCol w:w="205"/>
        <w:gridCol w:w="2077"/>
        <w:gridCol w:w="102"/>
        <w:gridCol w:w="1050"/>
      </w:tblGrid>
      <w:tr w:rsidR="00F96912" w:rsidRPr="00CD000E" w14:paraId="13E5D984" w14:textId="77777777" w:rsidTr="006658D5">
        <w:trPr>
          <w:cantSplit/>
        </w:trPr>
        <w:tc>
          <w:tcPr>
            <w:tcW w:w="5000" w:type="pct"/>
            <w:gridSpan w:val="9"/>
            <w:shd w:val="clear" w:color="auto" w:fill="C6D9F1" w:themeFill="text2" w:themeFillTint="33"/>
            <w:tcMar>
              <w:left w:w="58" w:type="dxa"/>
              <w:right w:w="58" w:type="dxa"/>
            </w:tcMar>
            <w:vAlign w:val="center"/>
          </w:tcPr>
          <w:p w14:paraId="4C41D06E" w14:textId="77777777" w:rsidR="00F96912" w:rsidRPr="00CD000E" w:rsidRDefault="00F96912" w:rsidP="006658D5">
            <w:pPr>
              <w:keepNext/>
              <w:keepLines/>
              <w:tabs>
                <w:tab w:val="left" w:pos="1452"/>
              </w:tabs>
              <w:rPr>
                <w:b/>
                <w:bCs/>
                <w:sz w:val="16"/>
                <w:szCs w:val="16"/>
              </w:rPr>
            </w:pPr>
            <w:r w:rsidRPr="00CD000E">
              <w:rPr>
                <w:b/>
                <w:bCs/>
                <w:sz w:val="16"/>
                <w:szCs w:val="16"/>
              </w:rPr>
              <w:t xml:space="preserve">Résultat escompté : </w:t>
            </w:r>
            <w:r w:rsidRPr="00CD000E">
              <w:rPr>
                <w:bCs/>
                <w:sz w:val="16"/>
                <w:szCs w:val="16"/>
              </w:rPr>
              <w:t>VIII.5 L’OMPI collabore efficacement avec d’autres processus et instances de négociation de l’ONU et d’autres organisations intergouvernementales</w:t>
            </w:r>
          </w:p>
        </w:tc>
      </w:tr>
      <w:tr w:rsidR="00F96912" w:rsidRPr="00CD000E" w14:paraId="3FC5AA07" w14:textId="77777777" w:rsidTr="006658D5">
        <w:trPr>
          <w:cantSplit/>
        </w:trPr>
        <w:tc>
          <w:tcPr>
            <w:tcW w:w="1148" w:type="pct"/>
            <w:gridSpan w:val="2"/>
            <w:shd w:val="clear" w:color="auto" w:fill="auto"/>
            <w:tcMar>
              <w:left w:w="58" w:type="dxa"/>
              <w:right w:w="58" w:type="dxa"/>
            </w:tcMar>
            <w:vAlign w:val="center"/>
          </w:tcPr>
          <w:p w14:paraId="73D6505A" w14:textId="77777777" w:rsidR="00F96912" w:rsidRPr="00CD000E" w:rsidRDefault="00F96912" w:rsidP="006658D5">
            <w:pPr>
              <w:jc w:val="center"/>
              <w:rPr>
                <w:b/>
                <w:bCs/>
                <w:sz w:val="16"/>
                <w:szCs w:val="16"/>
              </w:rPr>
            </w:pPr>
            <w:r w:rsidRPr="00CD000E">
              <w:rPr>
                <w:b/>
                <w:bCs/>
                <w:sz w:val="16"/>
                <w:szCs w:val="16"/>
              </w:rPr>
              <w:t>Indicateurs d’exécution</w:t>
            </w:r>
          </w:p>
        </w:tc>
        <w:tc>
          <w:tcPr>
            <w:tcW w:w="1222" w:type="pct"/>
            <w:shd w:val="clear" w:color="auto" w:fill="auto"/>
            <w:tcMar>
              <w:left w:w="58" w:type="dxa"/>
              <w:right w:w="58" w:type="dxa"/>
            </w:tcMar>
            <w:vAlign w:val="center"/>
          </w:tcPr>
          <w:p w14:paraId="7FD57DC2" w14:textId="77777777" w:rsidR="00F96912" w:rsidRPr="00CD000E" w:rsidRDefault="00F96912" w:rsidP="006658D5">
            <w:pPr>
              <w:jc w:val="center"/>
              <w:rPr>
                <w:b/>
                <w:bCs/>
                <w:sz w:val="16"/>
                <w:szCs w:val="16"/>
              </w:rPr>
            </w:pPr>
            <w:r w:rsidRPr="00CD000E">
              <w:rPr>
                <w:b/>
                <w:bCs/>
                <w:sz w:val="16"/>
                <w:szCs w:val="16"/>
              </w:rPr>
              <w:t>Niveaux de référence</w:t>
            </w:r>
          </w:p>
        </w:tc>
        <w:tc>
          <w:tcPr>
            <w:tcW w:w="831" w:type="pct"/>
            <w:gridSpan w:val="2"/>
            <w:shd w:val="clear" w:color="auto" w:fill="auto"/>
            <w:tcMar>
              <w:top w:w="110" w:type="dxa"/>
              <w:left w:w="58" w:type="dxa"/>
              <w:right w:w="58" w:type="dxa"/>
            </w:tcMar>
            <w:vAlign w:val="center"/>
          </w:tcPr>
          <w:p w14:paraId="3C467F6D"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269" w:type="pct"/>
            <w:gridSpan w:val="2"/>
            <w:shd w:val="clear" w:color="auto" w:fill="FFFFFF"/>
            <w:tcMar>
              <w:top w:w="110" w:type="dxa"/>
              <w:left w:w="58" w:type="dxa"/>
              <w:right w:w="58" w:type="dxa"/>
            </w:tcMar>
            <w:vAlign w:val="center"/>
          </w:tcPr>
          <w:p w14:paraId="77934D7D"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530" w:type="pct"/>
            <w:gridSpan w:val="2"/>
            <w:shd w:val="clear" w:color="auto" w:fill="auto"/>
            <w:tcMar>
              <w:top w:w="110" w:type="dxa"/>
              <w:left w:w="58" w:type="dxa"/>
              <w:right w:w="58" w:type="dxa"/>
            </w:tcMar>
            <w:vAlign w:val="center"/>
          </w:tcPr>
          <w:p w14:paraId="6910ACE5"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775B49E7" w14:textId="77777777" w:rsidTr="006658D5">
        <w:trPr>
          <w:cantSplit/>
        </w:trPr>
        <w:tc>
          <w:tcPr>
            <w:tcW w:w="1148" w:type="pct"/>
            <w:gridSpan w:val="2"/>
            <w:shd w:val="clear" w:color="auto" w:fill="auto"/>
            <w:tcMar>
              <w:left w:w="58" w:type="dxa"/>
              <w:right w:w="58" w:type="dxa"/>
            </w:tcMar>
          </w:tcPr>
          <w:p w14:paraId="1D18AA68" w14:textId="77777777" w:rsidR="00F96912" w:rsidRPr="00CD000E" w:rsidRDefault="00F96912" w:rsidP="006658D5">
            <w:pPr>
              <w:rPr>
                <w:color w:val="000000"/>
                <w:sz w:val="16"/>
                <w:szCs w:val="16"/>
              </w:rPr>
            </w:pPr>
            <w:r w:rsidRPr="00CD000E">
              <w:rPr>
                <w:sz w:val="16"/>
                <w:szCs w:val="16"/>
              </w:rPr>
              <w:t>Pourcentage des biens et services d’origine locale par rapport au total des biens et services acquis pour les activités de développement</w:t>
            </w:r>
          </w:p>
        </w:tc>
        <w:tc>
          <w:tcPr>
            <w:tcW w:w="1222" w:type="pct"/>
            <w:shd w:val="clear" w:color="auto" w:fill="auto"/>
            <w:tcMar>
              <w:left w:w="58" w:type="dxa"/>
              <w:right w:w="58" w:type="dxa"/>
            </w:tcMar>
          </w:tcPr>
          <w:p w14:paraId="564E25C8"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0F0C46DF" w14:textId="77777777" w:rsidR="00F96912" w:rsidRPr="00CD000E" w:rsidRDefault="00F96912" w:rsidP="006658D5">
            <w:pPr>
              <w:rPr>
                <w:color w:val="002060"/>
                <w:sz w:val="16"/>
                <w:szCs w:val="16"/>
                <w:lang w:bidi="th-TH"/>
              </w:rPr>
            </w:pPr>
            <w:r w:rsidRPr="00CD000E">
              <w:rPr>
                <w:color w:val="002060"/>
                <w:sz w:val="16"/>
                <w:szCs w:val="16"/>
                <w:lang w:bidi="th-TH"/>
              </w:rPr>
              <w:t>2015 : 57%</w:t>
            </w:r>
          </w:p>
          <w:p w14:paraId="65078AFD" w14:textId="77777777" w:rsidR="00F96912" w:rsidRPr="00CD000E" w:rsidRDefault="00F96912" w:rsidP="006658D5">
            <w:pPr>
              <w:rPr>
                <w:color w:val="000000"/>
                <w:sz w:val="16"/>
                <w:szCs w:val="16"/>
              </w:rPr>
            </w:pPr>
          </w:p>
          <w:p w14:paraId="6D6BEBAB"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603CDE34" w14:textId="77777777" w:rsidR="00F96912" w:rsidRPr="00CD000E" w:rsidRDefault="00F96912" w:rsidP="006658D5">
            <w:pPr>
              <w:rPr>
                <w:color w:val="000000"/>
                <w:sz w:val="16"/>
                <w:szCs w:val="16"/>
              </w:rPr>
            </w:pPr>
            <w:r w:rsidRPr="00CD000E">
              <w:rPr>
                <w:sz w:val="16"/>
                <w:szCs w:val="16"/>
              </w:rPr>
              <w:t>45% (fin 2014)</w:t>
            </w:r>
          </w:p>
        </w:tc>
        <w:tc>
          <w:tcPr>
            <w:tcW w:w="831" w:type="pct"/>
            <w:gridSpan w:val="2"/>
            <w:shd w:val="clear" w:color="auto" w:fill="auto"/>
            <w:tcMar>
              <w:top w:w="110" w:type="dxa"/>
              <w:left w:w="58" w:type="dxa"/>
              <w:right w:w="58" w:type="dxa"/>
            </w:tcMar>
          </w:tcPr>
          <w:p w14:paraId="1A255E10" w14:textId="77777777" w:rsidR="00F96912" w:rsidRPr="00CD000E" w:rsidRDefault="00F96912" w:rsidP="006658D5">
            <w:pPr>
              <w:rPr>
                <w:i/>
                <w:color w:val="002060"/>
                <w:sz w:val="16"/>
                <w:szCs w:val="16"/>
              </w:rPr>
            </w:pPr>
            <w:r w:rsidRPr="00CD000E">
              <w:rPr>
                <w:i/>
                <w:color w:val="002060"/>
                <w:sz w:val="16"/>
                <w:szCs w:val="16"/>
              </w:rPr>
              <w:t>Objectif actualisé :</w:t>
            </w:r>
          </w:p>
          <w:p w14:paraId="2696583E" w14:textId="77777777" w:rsidR="00F96912" w:rsidRPr="00CD000E" w:rsidRDefault="00F96912" w:rsidP="006658D5">
            <w:pPr>
              <w:rPr>
                <w:color w:val="002060"/>
                <w:sz w:val="16"/>
                <w:szCs w:val="16"/>
              </w:rPr>
            </w:pPr>
            <w:r w:rsidRPr="00CD000E">
              <w:rPr>
                <w:sz w:val="16"/>
                <w:szCs w:val="16"/>
              </w:rPr>
              <w:t>Au moins 50%</w:t>
            </w:r>
          </w:p>
          <w:p w14:paraId="70C4007D" w14:textId="77777777" w:rsidR="00F96912" w:rsidRPr="001303B4" w:rsidRDefault="00F96912" w:rsidP="006658D5">
            <w:pPr>
              <w:rPr>
                <w:color w:val="000000"/>
                <w:sz w:val="16"/>
                <w:szCs w:val="16"/>
              </w:rPr>
            </w:pPr>
          </w:p>
          <w:p w14:paraId="2A539D91" w14:textId="77777777" w:rsidR="00F96912" w:rsidRPr="00CD000E" w:rsidRDefault="00F96912" w:rsidP="006658D5">
            <w:pPr>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64D09B91" w14:textId="77777777" w:rsidR="00F96912" w:rsidRPr="00CD000E" w:rsidRDefault="00F96912" w:rsidP="006658D5">
            <w:pPr>
              <w:rPr>
                <w:color w:val="000000"/>
                <w:sz w:val="16"/>
                <w:szCs w:val="16"/>
              </w:rPr>
            </w:pPr>
            <w:r w:rsidRPr="00CD000E">
              <w:rPr>
                <w:sz w:val="16"/>
                <w:szCs w:val="16"/>
              </w:rPr>
              <w:t>Égaler ou surpasser les résultats de 2014</w:t>
            </w:r>
          </w:p>
        </w:tc>
        <w:tc>
          <w:tcPr>
            <w:tcW w:w="1269" w:type="pct"/>
            <w:gridSpan w:val="2"/>
            <w:shd w:val="clear" w:color="auto" w:fill="FFFFFF"/>
            <w:tcMar>
              <w:top w:w="110" w:type="dxa"/>
              <w:left w:w="58" w:type="dxa"/>
              <w:right w:w="58" w:type="dxa"/>
            </w:tcMar>
          </w:tcPr>
          <w:p w14:paraId="31ECE5FD" w14:textId="77777777" w:rsidR="00F96912" w:rsidRPr="00CD000E" w:rsidRDefault="00F96912" w:rsidP="006658D5">
            <w:pPr>
              <w:rPr>
                <w:color w:val="000000"/>
                <w:sz w:val="16"/>
                <w:szCs w:val="16"/>
              </w:rPr>
            </w:pPr>
            <w:r w:rsidRPr="00CD000E">
              <w:rPr>
                <w:color w:val="000000"/>
                <w:sz w:val="16"/>
                <w:szCs w:val="16"/>
              </w:rPr>
              <w:t>60,3%</w:t>
            </w:r>
          </w:p>
        </w:tc>
        <w:tc>
          <w:tcPr>
            <w:tcW w:w="530" w:type="pct"/>
            <w:gridSpan w:val="2"/>
            <w:shd w:val="clear" w:color="auto" w:fill="auto"/>
            <w:tcMar>
              <w:top w:w="110" w:type="dxa"/>
              <w:left w:w="58" w:type="dxa"/>
              <w:right w:w="58" w:type="dxa"/>
            </w:tcMar>
          </w:tcPr>
          <w:p w14:paraId="683FEC5B" w14:textId="77777777" w:rsidR="00F96912" w:rsidRPr="00CD000E" w:rsidRDefault="00F96912" w:rsidP="006658D5">
            <w:pPr>
              <w:keepNext/>
              <w:keepLines/>
              <w:jc w:val="center"/>
              <w:rPr>
                <w:b/>
                <w:color w:val="000000"/>
                <w:sz w:val="16"/>
                <w:szCs w:val="16"/>
              </w:rPr>
            </w:pPr>
            <w:r w:rsidRPr="00CD000E">
              <w:rPr>
                <w:b/>
                <w:color w:val="00B050"/>
                <w:sz w:val="16"/>
                <w:szCs w:val="16"/>
              </w:rPr>
              <w:t>En bonne voie</w:t>
            </w:r>
          </w:p>
        </w:tc>
      </w:tr>
      <w:tr w:rsidR="00F96912" w:rsidRPr="00CD000E" w14:paraId="260B7C6B" w14:textId="77777777" w:rsidTr="006658D5">
        <w:trPr>
          <w:cantSplit/>
        </w:trPr>
        <w:tc>
          <w:tcPr>
            <w:tcW w:w="1148" w:type="pct"/>
            <w:gridSpan w:val="2"/>
            <w:shd w:val="clear" w:color="auto" w:fill="auto"/>
            <w:tcMar>
              <w:left w:w="58" w:type="dxa"/>
              <w:right w:w="58" w:type="dxa"/>
            </w:tcMar>
          </w:tcPr>
          <w:p w14:paraId="042F23E0" w14:textId="77777777" w:rsidR="00F96912" w:rsidRPr="00CD000E" w:rsidRDefault="00F96912" w:rsidP="006658D5">
            <w:pPr>
              <w:rPr>
                <w:color w:val="000000"/>
                <w:sz w:val="16"/>
                <w:szCs w:val="16"/>
              </w:rPr>
            </w:pPr>
            <w:r w:rsidRPr="00CD000E">
              <w:rPr>
                <w:sz w:val="16"/>
                <w:szCs w:val="16"/>
              </w:rPr>
              <w:t>Pourcentage de dépenses soumises à effet de levier de l’ONU (appels d’offre communs ou portage)</w:t>
            </w:r>
          </w:p>
        </w:tc>
        <w:tc>
          <w:tcPr>
            <w:tcW w:w="1222" w:type="pct"/>
            <w:shd w:val="clear" w:color="auto" w:fill="auto"/>
            <w:tcMar>
              <w:left w:w="58" w:type="dxa"/>
              <w:right w:w="58" w:type="dxa"/>
            </w:tcMar>
          </w:tcPr>
          <w:p w14:paraId="1F7FECB8"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09A905FF" w14:textId="77777777" w:rsidR="00F96912" w:rsidRPr="00CD000E" w:rsidRDefault="00F96912" w:rsidP="006658D5">
            <w:pPr>
              <w:rPr>
                <w:color w:val="002060"/>
                <w:sz w:val="16"/>
                <w:szCs w:val="16"/>
                <w:lang w:bidi="th-TH"/>
              </w:rPr>
            </w:pPr>
            <w:r w:rsidRPr="00CD000E">
              <w:rPr>
                <w:color w:val="002060"/>
                <w:sz w:val="16"/>
                <w:szCs w:val="16"/>
                <w:lang w:bidi="th-TH"/>
              </w:rPr>
              <w:t>2015 : 5,8%</w:t>
            </w:r>
          </w:p>
          <w:p w14:paraId="3457AF20" w14:textId="77777777" w:rsidR="00F96912" w:rsidRPr="00CD000E" w:rsidRDefault="00F96912" w:rsidP="006658D5">
            <w:pPr>
              <w:rPr>
                <w:color w:val="000000"/>
                <w:sz w:val="16"/>
                <w:szCs w:val="16"/>
              </w:rPr>
            </w:pPr>
          </w:p>
          <w:p w14:paraId="22E62DE7"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737BB122" w14:textId="77777777" w:rsidR="00F96912" w:rsidRPr="00CD000E" w:rsidRDefault="00F96912" w:rsidP="006658D5">
            <w:pPr>
              <w:rPr>
                <w:color w:val="000000"/>
                <w:sz w:val="16"/>
                <w:szCs w:val="16"/>
              </w:rPr>
            </w:pPr>
            <w:r w:rsidRPr="00CD000E">
              <w:rPr>
                <w:sz w:val="16"/>
                <w:szCs w:val="16"/>
              </w:rPr>
              <w:t>4,15% (fin 2014)</w:t>
            </w:r>
          </w:p>
        </w:tc>
        <w:tc>
          <w:tcPr>
            <w:tcW w:w="831" w:type="pct"/>
            <w:gridSpan w:val="2"/>
            <w:shd w:val="clear" w:color="auto" w:fill="auto"/>
            <w:tcMar>
              <w:top w:w="110" w:type="dxa"/>
              <w:left w:w="58" w:type="dxa"/>
              <w:right w:w="58" w:type="dxa"/>
            </w:tcMar>
          </w:tcPr>
          <w:p w14:paraId="6B476AB9" w14:textId="77777777" w:rsidR="00F96912" w:rsidRPr="00CD000E" w:rsidRDefault="00F96912" w:rsidP="006658D5">
            <w:pPr>
              <w:rPr>
                <w:i/>
                <w:color w:val="002060"/>
                <w:sz w:val="16"/>
                <w:szCs w:val="16"/>
              </w:rPr>
            </w:pPr>
            <w:r w:rsidRPr="00CD000E">
              <w:rPr>
                <w:i/>
                <w:color w:val="002060"/>
                <w:sz w:val="16"/>
                <w:szCs w:val="16"/>
              </w:rPr>
              <w:t>Objectif actualisé :</w:t>
            </w:r>
          </w:p>
          <w:p w14:paraId="2DD62156" w14:textId="77777777" w:rsidR="00F96912" w:rsidRPr="00CD000E" w:rsidRDefault="00F96912" w:rsidP="006658D5">
            <w:pPr>
              <w:rPr>
                <w:color w:val="002060"/>
                <w:sz w:val="16"/>
                <w:szCs w:val="16"/>
              </w:rPr>
            </w:pPr>
            <w:r w:rsidRPr="00CD000E">
              <w:rPr>
                <w:sz w:val="16"/>
                <w:szCs w:val="16"/>
              </w:rPr>
              <w:t>Égaler ou surpasser les résultats de 2015</w:t>
            </w:r>
          </w:p>
          <w:p w14:paraId="0AC9A9E6" w14:textId="77777777" w:rsidR="00F96912" w:rsidRPr="001303B4" w:rsidRDefault="00F96912" w:rsidP="006658D5">
            <w:pPr>
              <w:rPr>
                <w:color w:val="000000"/>
                <w:sz w:val="16"/>
                <w:szCs w:val="16"/>
              </w:rPr>
            </w:pPr>
          </w:p>
          <w:p w14:paraId="7587A53B" w14:textId="77777777" w:rsidR="00F96912" w:rsidRPr="00CD000E" w:rsidRDefault="00F96912" w:rsidP="006658D5">
            <w:pPr>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6FDACFFA" w14:textId="77777777" w:rsidR="00F96912" w:rsidRPr="00CD000E" w:rsidRDefault="00F96912" w:rsidP="006658D5">
            <w:pPr>
              <w:rPr>
                <w:color w:val="000000"/>
                <w:sz w:val="16"/>
                <w:szCs w:val="16"/>
              </w:rPr>
            </w:pPr>
            <w:r w:rsidRPr="00CD000E">
              <w:rPr>
                <w:sz w:val="16"/>
                <w:szCs w:val="16"/>
              </w:rPr>
              <w:t>Égaler ou surpasser les résultats de 2014</w:t>
            </w:r>
          </w:p>
        </w:tc>
        <w:tc>
          <w:tcPr>
            <w:tcW w:w="1269" w:type="pct"/>
            <w:gridSpan w:val="2"/>
            <w:shd w:val="clear" w:color="auto" w:fill="FFFFFF"/>
            <w:tcMar>
              <w:top w:w="110" w:type="dxa"/>
              <w:left w:w="58" w:type="dxa"/>
              <w:right w:w="58" w:type="dxa"/>
            </w:tcMar>
          </w:tcPr>
          <w:p w14:paraId="38699A4A" w14:textId="77777777" w:rsidR="00F96912" w:rsidRPr="00CD000E" w:rsidRDefault="00F96912" w:rsidP="006658D5">
            <w:pPr>
              <w:keepNext/>
              <w:keepLines/>
              <w:rPr>
                <w:color w:val="000000"/>
                <w:sz w:val="16"/>
                <w:szCs w:val="16"/>
              </w:rPr>
            </w:pPr>
            <w:r w:rsidRPr="00CD000E">
              <w:rPr>
                <w:color w:val="000000"/>
                <w:sz w:val="16"/>
                <w:szCs w:val="16"/>
              </w:rPr>
              <w:t>6,7%</w:t>
            </w:r>
          </w:p>
        </w:tc>
        <w:tc>
          <w:tcPr>
            <w:tcW w:w="530" w:type="pct"/>
            <w:gridSpan w:val="2"/>
            <w:shd w:val="clear" w:color="auto" w:fill="auto"/>
            <w:tcMar>
              <w:top w:w="110" w:type="dxa"/>
              <w:left w:w="58" w:type="dxa"/>
              <w:right w:w="58" w:type="dxa"/>
            </w:tcMar>
          </w:tcPr>
          <w:p w14:paraId="4650D516"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tc>
      </w:tr>
      <w:tr w:rsidR="00F96912" w:rsidRPr="00CD000E" w14:paraId="191C2C50" w14:textId="77777777" w:rsidTr="006658D5">
        <w:trPr>
          <w:cantSplit/>
        </w:trPr>
        <w:tc>
          <w:tcPr>
            <w:tcW w:w="5000" w:type="pct"/>
            <w:gridSpan w:val="9"/>
            <w:shd w:val="clear" w:color="auto" w:fill="C6D9F1" w:themeFill="text2" w:themeFillTint="33"/>
            <w:tcMar>
              <w:left w:w="58" w:type="dxa"/>
              <w:right w:w="58" w:type="dxa"/>
            </w:tcMar>
            <w:vAlign w:val="center"/>
          </w:tcPr>
          <w:p w14:paraId="21B0DD07" w14:textId="77777777" w:rsidR="00F96912" w:rsidRPr="00CD000E" w:rsidRDefault="00F96912" w:rsidP="006658D5">
            <w:pPr>
              <w:keepNext/>
              <w:keepLines/>
              <w:tabs>
                <w:tab w:val="left" w:pos="1452"/>
              </w:tabs>
              <w:rPr>
                <w:b/>
                <w:bCs/>
                <w:sz w:val="16"/>
                <w:szCs w:val="16"/>
              </w:rPr>
            </w:pPr>
            <w:r w:rsidRPr="00CD000E">
              <w:rPr>
                <w:b/>
                <w:bCs/>
                <w:sz w:val="16"/>
                <w:szCs w:val="16"/>
              </w:rPr>
              <w:t xml:space="preserve">Résultat escompté : </w:t>
            </w:r>
            <w:r w:rsidRPr="00CD000E">
              <w:rPr>
                <w:bCs/>
                <w:sz w:val="16"/>
                <w:szCs w:val="16"/>
              </w:rPr>
              <w:t>IX.1 Services d’appui efficaces, efficients, de qualité et tournés vers la clientèle, à l’intention à la fois des clients internes et des parties prenantes externes</w:t>
            </w:r>
          </w:p>
        </w:tc>
      </w:tr>
      <w:tr w:rsidR="00F96912" w:rsidRPr="00CD000E" w14:paraId="73F3CC3E" w14:textId="77777777" w:rsidTr="006658D5">
        <w:trPr>
          <w:cantSplit/>
        </w:trPr>
        <w:tc>
          <w:tcPr>
            <w:tcW w:w="1148" w:type="pct"/>
            <w:gridSpan w:val="2"/>
            <w:shd w:val="clear" w:color="auto" w:fill="auto"/>
            <w:tcMar>
              <w:left w:w="58" w:type="dxa"/>
              <w:right w:w="58" w:type="dxa"/>
            </w:tcMar>
            <w:vAlign w:val="center"/>
          </w:tcPr>
          <w:p w14:paraId="68DCB993" w14:textId="77777777" w:rsidR="00F96912" w:rsidRPr="00CD000E" w:rsidRDefault="00F96912" w:rsidP="006658D5">
            <w:pPr>
              <w:rPr>
                <w:b/>
                <w:bCs/>
                <w:sz w:val="16"/>
                <w:szCs w:val="16"/>
              </w:rPr>
            </w:pPr>
            <w:r w:rsidRPr="00CD000E">
              <w:rPr>
                <w:b/>
                <w:bCs/>
                <w:sz w:val="16"/>
                <w:szCs w:val="16"/>
              </w:rPr>
              <w:t>Indicateurs d’exécution</w:t>
            </w:r>
          </w:p>
        </w:tc>
        <w:tc>
          <w:tcPr>
            <w:tcW w:w="1222" w:type="pct"/>
            <w:shd w:val="clear" w:color="auto" w:fill="auto"/>
            <w:tcMar>
              <w:left w:w="58" w:type="dxa"/>
              <w:right w:w="58" w:type="dxa"/>
            </w:tcMar>
            <w:vAlign w:val="center"/>
          </w:tcPr>
          <w:p w14:paraId="76C8254D" w14:textId="77777777" w:rsidR="00F96912" w:rsidRPr="00CD000E" w:rsidRDefault="00F96912" w:rsidP="006658D5">
            <w:pPr>
              <w:rPr>
                <w:b/>
                <w:bCs/>
                <w:sz w:val="16"/>
                <w:szCs w:val="16"/>
              </w:rPr>
            </w:pPr>
            <w:r w:rsidRPr="00CD000E">
              <w:rPr>
                <w:b/>
                <w:bCs/>
                <w:sz w:val="16"/>
                <w:szCs w:val="16"/>
              </w:rPr>
              <w:t>Niveaux de référence</w:t>
            </w:r>
          </w:p>
        </w:tc>
        <w:tc>
          <w:tcPr>
            <w:tcW w:w="831" w:type="pct"/>
            <w:gridSpan w:val="2"/>
            <w:shd w:val="clear" w:color="auto" w:fill="auto"/>
            <w:tcMar>
              <w:top w:w="110" w:type="dxa"/>
              <w:left w:w="58" w:type="dxa"/>
              <w:right w:w="58" w:type="dxa"/>
            </w:tcMar>
            <w:vAlign w:val="center"/>
          </w:tcPr>
          <w:p w14:paraId="774BE033" w14:textId="77777777" w:rsidR="00F96912" w:rsidRPr="00CD000E" w:rsidRDefault="00F96912" w:rsidP="006658D5">
            <w:pPr>
              <w:rPr>
                <w:b/>
                <w:bCs/>
                <w:sz w:val="16"/>
                <w:szCs w:val="16"/>
              </w:rPr>
            </w:pPr>
            <w:r w:rsidRPr="00CD000E">
              <w:rPr>
                <w:b/>
                <w:bCs/>
                <w:sz w:val="16"/>
                <w:szCs w:val="16"/>
              </w:rPr>
              <w:t>Objectifs visés</w:t>
            </w:r>
          </w:p>
        </w:tc>
        <w:tc>
          <w:tcPr>
            <w:tcW w:w="1269" w:type="pct"/>
            <w:gridSpan w:val="2"/>
            <w:shd w:val="clear" w:color="auto" w:fill="FFFFFF"/>
            <w:tcMar>
              <w:top w:w="110" w:type="dxa"/>
              <w:left w:w="58" w:type="dxa"/>
              <w:right w:w="58" w:type="dxa"/>
            </w:tcMar>
            <w:vAlign w:val="center"/>
          </w:tcPr>
          <w:p w14:paraId="34E4EDA7" w14:textId="77777777" w:rsidR="00F96912" w:rsidRPr="00CD000E" w:rsidRDefault="00F96912" w:rsidP="006658D5">
            <w:pPr>
              <w:rPr>
                <w:b/>
                <w:bCs/>
                <w:sz w:val="16"/>
                <w:szCs w:val="16"/>
              </w:rPr>
            </w:pPr>
            <w:r w:rsidRPr="00CD000E">
              <w:rPr>
                <w:b/>
                <w:bCs/>
                <w:sz w:val="16"/>
                <w:szCs w:val="16"/>
              </w:rPr>
              <w:t>Données relatives à l’exécution</w:t>
            </w:r>
          </w:p>
        </w:tc>
        <w:tc>
          <w:tcPr>
            <w:tcW w:w="530" w:type="pct"/>
            <w:gridSpan w:val="2"/>
            <w:shd w:val="clear" w:color="auto" w:fill="auto"/>
            <w:tcMar>
              <w:top w:w="110" w:type="dxa"/>
              <w:left w:w="58" w:type="dxa"/>
              <w:right w:w="58" w:type="dxa"/>
            </w:tcMar>
            <w:vAlign w:val="center"/>
          </w:tcPr>
          <w:p w14:paraId="4D7DF383"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4E4452A2" w14:textId="77777777" w:rsidTr="006658D5">
        <w:trPr>
          <w:cantSplit/>
        </w:trPr>
        <w:tc>
          <w:tcPr>
            <w:tcW w:w="1148" w:type="pct"/>
            <w:gridSpan w:val="2"/>
            <w:shd w:val="clear" w:color="auto" w:fill="auto"/>
            <w:tcMar>
              <w:left w:w="58" w:type="dxa"/>
              <w:right w:w="58" w:type="dxa"/>
            </w:tcMar>
          </w:tcPr>
          <w:p w14:paraId="6AEF56B0" w14:textId="77777777" w:rsidR="00F96912" w:rsidRPr="00CD000E" w:rsidRDefault="00F96912" w:rsidP="006658D5">
            <w:pPr>
              <w:rPr>
                <w:color w:val="000000"/>
                <w:sz w:val="16"/>
                <w:szCs w:val="16"/>
              </w:rPr>
            </w:pPr>
            <w:r w:rsidRPr="00CD000E">
              <w:rPr>
                <w:sz w:val="16"/>
                <w:szCs w:val="16"/>
              </w:rPr>
              <w:t>Économies sur les achats de biens et de services effectués par l’OMPI (par suite d’invitations à soumissionner ou de négociations directes)</w:t>
            </w:r>
          </w:p>
        </w:tc>
        <w:tc>
          <w:tcPr>
            <w:tcW w:w="1222" w:type="pct"/>
            <w:shd w:val="clear" w:color="auto" w:fill="auto"/>
            <w:tcMar>
              <w:left w:w="58" w:type="dxa"/>
              <w:right w:w="58" w:type="dxa"/>
            </w:tcMar>
          </w:tcPr>
          <w:p w14:paraId="7ADD9AFD"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228FE242" w14:textId="77777777" w:rsidR="00F96912" w:rsidRPr="00CD000E" w:rsidRDefault="00F96912" w:rsidP="006658D5">
            <w:pPr>
              <w:rPr>
                <w:color w:val="002060"/>
                <w:sz w:val="16"/>
                <w:szCs w:val="16"/>
                <w:lang w:bidi="th-TH"/>
              </w:rPr>
            </w:pPr>
            <w:r w:rsidRPr="00CD000E">
              <w:rPr>
                <w:sz w:val="16"/>
                <w:szCs w:val="16"/>
                <w:lang w:bidi="th-TH"/>
              </w:rPr>
              <w:t>3 826 361 francs suisses</w:t>
            </w:r>
          </w:p>
          <w:p w14:paraId="04E7CBAE" w14:textId="77777777" w:rsidR="00F96912" w:rsidRPr="00CD000E" w:rsidRDefault="00F96912" w:rsidP="006658D5">
            <w:pPr>
              <w:rPr>
                <w:color w:val="000000"/>
                <w:sz w:val="16"/>
                <w:szCs w:val="16"/>
              </w:rPr>
            </w:pPr>
          </w:p>
          <w:p w14:paraId="4B7D938C"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2B924AB0" w14:textId="77777777" w:rsidR="00F96912" w:rsidRPr="00CD000E" w:rsidRDefault="00F96912" w:rsidP="006658D5">
            <w:pPr>
              <w:rPr>
                <w:color w:val="000000"/>
                <w:sz w:val="16"/>
                <w:szCs w:val="16"/>
              </w:rPr>
            </w:pPr>
            <w:r w:rsidRPr="00CD000E">
              <w:rPr>
                <w:color w:val="000000"/>
                <w:sz w:val="16"/>
                <w:szCs w:val="16"/>
              </w:rPr>
              <w:t>2,6 millions de francs suisses (fin 2014)</w:t>
            </w:r>
          </w:p>
        </w:tc>
        <w:tc>
          <w:tcPr>
            <w:tcW w:w="831" w:type="pct"/>
            <w:gridSpan w:val="2"/>
            <w:shd w:val="clear" w:color="auto" w:fill="auto"/>
            <w:tcMar>
              <w:top w:w="110" w:type="dxa"/>
              <w:left w:w="58" w:type="dxa"/>
              <w:right w:w="58" w:type="dxa"/>
            </w:tcMar>
          </w:tcPr>
          <w:p w14:paraId="2647F9D6" w14:textId="77777777" w:rsidR="00F96912" w:rsidRPr="00CD000E" w:rsidRDefault="00F96912" w:rsidP="006658D5">
            <w:pPr>
              <w:rPr>
                <w:color w:val="002060"/>
                <w:sz w:val="16"/>
                <w:szCs w:val="16"/>
              </w:rPr>
            </w:pPr>
            <w:r w:rsidRPr="00CD000E">
              <w:rPr>
                <w:sz w:val="16"/>
                <w:szCs w:val="16"/>
              </w:rPr>
              <w:t>Égaler ou surpasser les résultats de 2014</w:t>
            </w:r>
            <w:r w:rsidRPr="00CD000E">
              <w:rPr>
                <w:rStyle w:val="FootnoteReference"/>
                <w:color w:val="002060"/>
              </w:rPr>
              <w:footnoteReference w:id="92"/>
            </w:r>
          </w:p>
        </w:tc>
        <w:tc>
          <w:tcPr>
            <w:tcW w:w="1269" w:type="pct"/>
            <w:gridSpan w:val="2"/>
            <w:shd w:val="clear" w:color="auto" w:fill="FFFFFF"/>
            <w:tcMar>
              <w:top w:w="110" w:type="dxa"/>
              <w:left w:w="58" w:type="dxa"/>
              <w:right w:w="58" w:type="dxa"/>
            </w:tcMar>
          </w:tcPr>
          <w:p w14:paraId="32484D8D" w14:textId="77777777" w:rsidR="00F96912" w:rsidRPr="00CD000E" w:rsidRDefault="00F96912" w:rsidP="006658D5">
            <w:pPr>
              <w:rPr>
                <w:color w:val="000000"/>
                <w:sz w:val="16"/>
                <w:szCs w:val="16"/>
              </w:rPr>
            </w:pPr>
            <w:r w:rsidRPr="00CD000E">
              <w:rPr>
                <w:sz w:val="16"/>
                <w:szCs w:val="16"/>
              </w:rPr>
              <w:t>1 801 919 francs suisses</w:t>
            </w:r>
          </w:p>
        </w:tc>
        <w:tc>
          <w:tcPr>
            <w:tcW w:w="530" w:type="pct"/>
            <w:gridSpan w:val="2"/>
            <w:shd w:val="clear" w:color="auto" w:fill="auto"/>
            <w:tcMar>
              <w:top w:w="110" w:type="dxa"/>
              <w:left w:w="58" w:type="dxa"/>
              <w:right w:w="58" w:type="dxa"/>
            </w:tcMar>
          </w:tcPr>
          <w:p w14:paraId="1AD3E6A7" w14:textId="77777777" w:rsidR="00F96912" w:rsidRPr="00CD000E" w:rsidRDefault="00F96912" w:rsidP="006658D5">
            <w:pPr>
              <w:keepNext/>
              <w:keepLines/>
              <w:jc w:val="center"/>
              <w:rPr>
                <w:b/>
                <w:color w:val="000000"/>
                <w:sz w:val="16"/>
                <w:szCs w:val="16"/>
              </w:rPr>
            </w:pPr>
            <w:r w:rsidRPr="00CD000E">
              <w:rPr>
                <w:b/>
                <w:color w:val="FF0000"/>
                <w:sz w:val="16"/>
                <w:szCs w:val="16"/>
              </w:rPr>
              <w:t>Pas en bonne voie</w:t>
            </w:r>
          </w:p>
        </w:tc>
      </w:tr>
      <w:tr w:rsidR="00F96912" w:rsidRPr="00CD000E" w14:paraId="0378FE14" w14:textId="77777777" w:rsidTr="006658D5">
        <w:trPr>
          <w:cantSplit/>
        </w:trPr>
        <w:tc>
          <w:tcPr>
            <w:tcW w:w="1148" w:type="pct"/>
            <w:gridSpan w:val="2"/>
            <w:shd w:val="clear" w:color="auto" w:fill="auto"/>
            <w:tcMar>
              <w:left w:w="58" w:type="dxa"/>
              <w:right w:w="58" w:type="dxa"/>
            </w:tcMar>
          </w:tcPr>
          <w:p w14:paraId="2E22F302" w14:textId="77777777" w:rsidR="00F96912" w:rsidRPr="00CD000E" w:rsidRDefault="00F96912" w:rsidP="006658D5">
            <w:pPr>
              <w:rPr>
                <w:color w:val="000000"/>
                <w:sz w:val="16"/>
                <w:szCs w:val="16"/>
                <w:highlight w:val="yellow"/>
              </w:rPr>
            </w:pPr>
            <w:r w:rsidRPr="00CD000E">
              <w:rPr>
                <w:sz w:val="16"/>
                <w:szCs w:val="16"/>
              </w:rPr>
              <w:t>Temps de traitement des demandes électroniques</w:t>
            </w:r>
          </w:p>
        </w:tc>
        <w:tc>
          <w:tcPr>
            <w:tcW w:w="1222" w:type="pct"/>
            <w:shd w:val="clear" w:color="auto" w:fill="auto"/>
            <w:tcMar>
              <w:left w:w="58" w:type="dxa"/>
              <w:right w:w="58" w:type="dxa"/>
            </w:tcMar>
          </w:tcPr>
          <w:p w14:paraId="0DD16B9F"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361A68B6" w14:textId="77777777" w:rsidR="00F96912" w:rsidRPr="002820B5" w:rsidRDefault="00F96912" w:rsidP="006658D5">
            <w:pPr>
              <w:rPr>
                <w:color w:val="002060"/>
                <w:sz w:val="16"/>
                <w:szCs w:val="16"/>
              </w:rPr>
            </w:pPr>
            <w:r w:rsidRPr="002820B5">
              <w:rPr>
                <w:color w:val="002060"/>
                <w:sz w:val="16"/>
                <w:szCs w:val="16"/>
              </w:rPr>
              <w:t>Demandes électroniques de manifestation = &lt;1 heure</w:t>
            </w:r>
          </w:p>
          <w:p w14:paraId="2E2FDF91" w14:textId="77777777" w:rsidR="00F96912" w:rsidRPr="00CD000E" w:rsidRDefault="00F96912" w:rsidP="006658D5">
            <w:pPr>
              <w:rPr>
                <w:i/>
                <w:color w:val="000000"/>
                <w:sz w:val="16"/>
                <w:szCs w:val="16"/>
              </w:rPr>
            </w:pPr>
          </w:p>
          <w:p w14:paraId="7DA08228"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11AE397C" w14:textId="77777777" w:rsidR="00F96912" w:rsidRPr="00CD000E" w:rsidRDefault="00F96912" w:rsidP="006658D5">
            <w:pPr>
              <w:rPr>
                <w:color w:val="000000"/>
                <w:sz w:val="16"/>
                <w:szCs w:val="16"/>
              </w:rPr>
            </w:pPr>
            <w:r w:rsidRPr="00CD000E">
              <w:rPr>
                <w:color w:val="000000"/>
                <w:sz w:val="16"/>
                <w:szCs w:val="16"/>
              </w:rPr>
              <w:t>Une demi</w:t>
            </w:r>
            <w:r>
              <w:rPr>
                <w:color w:val="000000"/>
                <w:sz w:val="16"/>
                <w:szCs w:val="16"/>
              </w:rPr>
              <w:noBreakHyphen/>
            </w:r>
            <w:r w:rsidRPr="00CD000E">
              <w:rPr>
                <w:color w:val="000000"/>
                <w:sz w:val="16"/>
                <w:szCs w:val="16"/>
              </w:rPr>
              <w:t>journée (2014)</w:t>
            </w:r>
          </w:p>
        </w:tc>
        <w:tc>
          <w:tcPr>
            <w:tcW w:w="831" w:type="pct"/>
            <w:gridSpan w:val="2"/>
            <w:shd w:val="clear" w:color="auto" w:fill="auto"/>
            <w:tcMar>
              <w:top w:w="110" w:type="dxa"/>
              <w:left w:w="58" w:type="dxa"/>
              <w:right w:w="58" w:type="dxa"/>
            </w:tcMar>
          </w:tcPr>
          <w:p w14:paraId="63E014C0" w14:textId="77777777" w:rsidR="00F96912" w:rsidRPr="00CD000E" w:rsidRDefault="00F96912" w:rsidP="006658D5">
            <w:pPr>
              <w:rPr>
                <w:color w:val="000000"/>
                <w:sz w:val="16"/>
                <w:szCs w:val="16"/>
              </w:rPr>
            </w:pPr>
            <w:r w:rsidRPr="00CD000E">
              <w:rPr>
                <w:color w:val="000000"/>
                <w:sz w:val="16"/>
                <w:szCs w:val="16"/>
              </w:rPr>
              <w:t>Moins d’une demi</w:t>
            </w:r>
            <w:r>
              <w:rPr>
                <w:color w:val="000000"/>
                <w:sz w:val="16"/>
                <w:szCs w:val="16"/>
              </w:rPr>
              <w:noBreakHyphen/>
            </w:r>
            <w:r w:rsidRPr="00CD000E">
              <w:rPr>
                <w:color w:val="000000"/>
                <w:sz w:val="16"/>
                <w:szCs w:val="16"/>
              </w:rPr>
              <w:t>journée</w:t>
            </w:r>
          </w:p>
        </w:tc>
        <w:tc>
          <w:tcPr>
            <w:tcW w:w="1269" w:type="pct"/>
            <w:gridSpan w:val="2"/>
            <w:shd w:val="clear" w:color="auto" w:fill="FFFFFF"/>
            <w:tcMar>
              <w:top w:w="110" w:type="dxa"/>
              <w:left w:w="58" w:type="dxa"/>
              <w:right w:w="58" w:type="dxa"/>
            </w:tcMar>
          </w:tcPr>
          <w:p w14:paraId="2688E743" w14:textId="77777777" w:rsidR="00F96912" w:rsidRPr="00CD000E" w:rsidRDefault="00F96912" w:rsidP="006658D5">
            <w:pPr>
              <w:keepNext/>
              <w:keepLines/>
              <w:rPr>
                <w:color w:val="000000"/>
                <w:sz w:val="16"/>
                <w:szCs w:val="16"/>
              </w:rPr>
            </w:pPr>
            <w:r w:rsidRPr="00CD000E">
              <w:rPr>
                <w:color w:val="000000"/>
                <w:sz w:val="16"/>
                <w:szCs w:val="16"/>
              </w:rPr>
              <w:t>Moins d’une demi</w:t>
            </w:r>
            <w:r>
              <w:rPr>
                <w:color w:val="000000"/>
                <w:sz w:val="16"/>
                <w:szCs w:val="16"/>
              </w:rPr>
              <w:noBreakHyphen/>
            </w:r>
            <w:r w:rsidRPr="00CD000E">
              <w:rPr>
                <w:color w:val="000000"/>
                <w:sz w:val="16"/>
                <w:szCs w:val="16"/>
              </w:rPr>
              <w:t>journée</w:t>
            </w:r>
          </w:p>
        </w:tc>
        <w:tc>
          <w:tcPr>
            <w:tcW w:w="530" w:type="pct"/>
            <w:gridSpan w:val="2"/>
            <w:shd w:val="clear" w:color="auto" w:fill="auto"/>
            <w:tcMar>
              <w:top w:w="110" w:type="dxa"/>
              <w:left w:w="58" w:type="dxa"/>
              <w:right w:w="58" w:type="dxa"/>
            </w:tcMar>
          </w:tcPr>
          <w:p w14:paraId="6D1CC330"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tc>
      </w:tr>
      <w:tr w:rsidR="00F96912" w:rsidRPr="00CD000E" w14:paraId="72937C3C" w14:textId="77777777" w:rsidTr="006658D5">
        <w:trPr>
          <w:cantSplit/>
        </w:trPr>
        <w:tc>
          <w:tcPr>
            <w:tcW w:w="1148" w:type="pct"/>
            <w:gridSpan w:val="2"/>
            <w:shd w:val="clear" w:color="auto" w:fill="auto"/>
            <w:tcMar>
              <w:left w:w="58" w:type="dxa"/>
              <w:right w:w="58" w:type="dxa"/>
            </w:tcMar>
          </w:tcPr>
          <w:p w14:paraId="53B7FF7C" w14:textId="77777777" w:rsidR="00F96912" w:rsidRPr="00CD000E" w:rsidRDefault="00F96912" w:rsidP="006658D5">
            <w:pPr>
              <w:rPr>
                <w:color w:val="000000"/>
                <w:sz w:val="16"/>
                <w:szCs w:val="16"/>
              </w:rPr>
            </w:pPr>
            <w:r w:rsidRPr="00CD000E">
              <w:rPr>
                <w:sz w:val="16"/>
                <w:szCs w:val="16"/>
              </w:rPr>
              <w:t>Temps de traitement des autorisations de voyage électroniques</w:t>
            </w:r>
          </w:p>
        </w:tc>
        <w:tc>
          <w:tcPr>
            <w:tcW w:w="1222" w:type="pct"/>
            <w:shd w:val="clear" w:color="auto" w:fill="auto"/>
            <w:tcMar>
              <w:left w:w="58" w:type="dxa"/>
              <w:right w:w="58" w:type="dxa"/>
            </w:tcMar>
          </w:tcPr>
          <w:p w14:paraId="54D1170E" w14:textId="77777777" w:rsidR="00F96912" w:rsidRPr="002820B5" w:rsidRDefault="00F96912" w:rsidP="006658D5">
            <w:pPr>
              <w:rPr>
                <w:i/>
                <w:color w:val="002060"/>
                <w:sz w:val="16"/>
                <w:szCs w:val="16"/>
              </w:rPr>
            </w:pPr>
            <w:r w:rsidRPr="00CD000E">
              <w:rPr>
                <w:i/>
                <w:color w:val="002060"/>
                <w:sz w:val="16"/>
                <w:szCs w:val="16"/>
              </w:rPr>
              <w:t>Niveau de référence actualisé à</w:t>
            </w:r>
            <w:r w:rsidRPr="002820B5">
              <w:rPr>
                <w:i/>
                <w:color w:val="002060"/>
                <w:sz w:val="16"/>
                <w:szCs w:val="16"/>
              </w:rPr>
              <w:t xml:space="preserve"> fin 2015 :</w:t>
            </w:r>
          </w:p>
          <w:p w14:paraId="746E5A36" w14:textId="77777777" w:rsidR="00F96912" w:rsidRPr="002820B5" w:rsidRDefault="00F96912" w:rsidP="006658D5">
            <w:pPr>
              <w:rPr>
                <w:color w:val="002060"/>
                <w:sz w:val="16"/>
                <w:szCs w:val="16"/>
              </w:rPr>
            </w:pPr>
            <w:r w:rsidRPr="002820B5">
              <w:rPr>
                <w:color w:val="002060"/>
                <w:sz w:val="16"/>
                <w:szCs w:val="16"/>
              </w:rPr>
              <w:t>Autorisations de voyage électroniques = ½ journée</w:t>
            </w:r>
          </w:p>
          <w:p w14:paraId="4887B98F" w14:textId="77777777" w:rsidR="00F96912" w:rsidRPr="00CD000E" w:rsidRDefault="00F96912" w:rsidP="006658D5">
            <w:pPr>
              <w:rPr>
                <w:color w:val="002060"/>
                <w:sz w:val="16"/>
                <w:szCs w:val="16"/>
              </w:rPr>
            </w:pPr>
          </w:p>
          <w:p w14:paraId="19E68B07"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3C704A7C" w14:textId="77777777" w:rsidR="00F96912" w:rsidRPr="00CD000E" w:rsidRDefault="00F96912" w:rsidP="006658D5">
            <w:pPr>
              <w:rPr>
                <w:color w:val="000000"/>
                <w:sz w:val="16"/>
                <w:szCs w:val="16"/>
              </w:rPr>
            </w:pPr>
            <w:r w:rsidRPr="00CD000E">
              <w:rPr>
                <w:color w:val="000000"/>
                <w:sz w:val="16"/>
                <w:szCs w:val="16"/>
              </w:rPr>
              <w:t>Une demi</w:t>
            </w:r>
            <w:r>
              <w:rPr>
                <w:color w:val="000000"/>
                <w:sz w:val="16"/>
                <w:szCs w:val="16"/>
              </w:rPr>
              <w:noBreakHyphen/>
            </w:r>
            <w:r w:rsidRPr="00CD000E">
              <w:rPr>
                <w:color w:val="000000"/>
                <w:sz w:val="16"/>
                <w:szCs w:val="16"/>
              </w:rPr>
              <w:t>journée (2014)</w:t>
            </w:r>
          </w:p>
        </w:tc>
        <w:tc>
          <w:tcPr>
            <w:tcW w:w="831" w:type="pct"/>
            <w:gridSpan w:val="2"/>
            <w:shd w:val="clear" w:color="auto" w:fill="auto"/>
            <w:tcMar>
              <w:top w:w="110" w:type="dxa"/>
              <w:left w:w="58" w:type="dxa"/>
              <w:right w:w="58" w:type="dxa"/>
            </w:tcMar>
          </w:tcPr>
          <w:p w14:paraId="3AE640B4" w14:textId="77777777" w:rsidR="00F96912" w:rsidRPr="00CD000E" w:rsidRDefault="00F96912" w:rsidP="006658D5">
            <w:pPr>
              <w:rPr>
                <w:color w:val="000000"/>
                <w:sz w:val="16"/>
                <w:szCs w:val="16"/>
              </w:rPr>
            </w:pPr>
            <w:r w:rsidRPr="00CD000E">
              <w:rPr>
                <w:color w:val="000000"/>
                <w:sz w:val="16"/>
                <w:szCs w:val="16"/>
              </w:rPr>
              <w:t>Moins d’une demi</w:t>
            </w:r>
            <w:r>
              <w:rPr>
                <w:color w:val="000000"/>
                <w:sz w:val="16"/>
                <w:szCs w:val="16"/>
              </w:rPr>
              <w:noBreakHyphen/>
            </w:r>
            <w:r w:rsidRPr="00CD000E">
              <w:rPr>
                <w:color w:val="000000"/>
                <w:sz w:val="16"/>
                <w:szCs w:val="16"/>
              </w:rPr>
              <w:t>journée</w:t>
            </w:r>
          </w:p>
        </w:tc>
        <w:tc>
          <w:tcPr>
            <w:tcW w:w="1269" w:type="pct"/>
            <w:gridSpan w:val="2"/>
            <w:shd w:val="clear" w:color="auto" w:fill="FFFFFF"/>
            <w:tcMar>
              <w:top w:w="110" w:type="dxa"/>
              <w:left w:w="58" w:type="dxa"/>
              <w:right w:w="58" w:type="dxa"/>
            </w:tcMar>
          </w:tcPr>
          <w:p w14:paraId="2E4D0213" w14:textId="77777777" w:rsidR="00F96912" w:rsidRPr="00CD000E" w:rsidRDefault="00F96912" w:rsidP="006658D5">
            <w:pPr>
              <w:keepNext/>
              <w:keepLines/>
              <w:rPr>
                <w:color w:val="000000"/>
                <w:sz w:val="16"/>
                <w:szCs w:val="16"/>
              </w:rPr>
            </w:pPr>
            <w:r w:rsidRPr="00CD000E">
              <w:rPr>
                <w:color w:val="000000"/>
                <w:sz w:val="16"/>
                <w:szCs w:val="16"/>
              </w:rPr>
              <w:t>Moins d’une demi</w:t>
            </w:r>
            <w:r>
              <w:rPr>
                <w:color w:val="000000"/>
                <w:sz w:val="16"/>
                <w:szCs w:val="16"/>
              </w:rPr>
              <w:noBreakHyphen/>
            </w:r>
            <w:r w:rsidRPr="00CD000E">
              <w:rPr>
                <w:color w:val="000000"/>
                <w:sz w:val="16"/>
                <w:szCs w:val="16"/>
              </w:rPr>
              <w:t>journée</w:t>
            </w:r>
          </w:p>
        </w:tc>
        <w:tc>
          <w:tcPr>
            <w:tcW w:w="530" w:type="pct"/>
            <w:gridSpan w:val="2"/>
            <w:shd w:val="clear" w:color="auto" w:fill="auto"/>
            <w:tcMar>
              <w:top w:w="110" w:type="dxa"/>
              <w:left w:w="58" w:type="dxa"/>
              <w:right w:w="58" w:type="dxa"/>
            </w:tcMar>
          </w:tcPr>
          <w:p w14:paraId="5B554DB8" w14:textId="77777777" w:rsidR="00F96912" w:rsidRPr="00CD000E" w:rsidRDefault="00F96912" w:rsidP="006658D5">
            <w:pPr>
              <w:keepNext/>
              <w:keepLines/>
              <w:jc w:val="center"/>
              <w:rPr>
                <w:b/>
                <w:color w:val="000000"/>
                <w:sz w:val="16"/>
                <w:szCs w:val="16"/>
              </w:rPr>
            </w:pPr>
            <w:r w:rsidRPr="00CD000E">
              <w:rPr>
                <w:b/>
                <w:color w:val="00B050"/>
                <w:sz w:val="16"/>
                <w:szCs w:val="16"/>
              </w:rPr>
              <w:t>En bonne voie</w:t>
            </w:r>
          </w:p>
        </w:tc>
      </w:tr>
      <w:tr w:rsidR="00F96912" w:rsidRPr="00CD000E" w14:paraId="6D41A942" w14:textId="77777777" w:rsidTr="006658D5">
        <w:trPr>
          <w:cantSplit/>
        </w:trPr>
        <w:tc>
          <w:tcPr>
            <w:tcW w:w="1148" w:type="pct"/>
            <w:gridSpan w:val="2"/>
            <w:shd w:val="clear" w:color="auto" w:fill="auto"/>
            <w:tcMar>
              <w:left w:w="58" w:type="dxa"/>
              <w:right w:w="58" w:type="dxa"/>
            </w:tcMar>
          </w:tcPr>
          <w:p w14:paraId="1F11F552" w14:textId="77777777" w:rsidR="00F96912" w:rsidRPr="00CD000E" w:rsidRDefault="00F96912" w:rsidP="006658D5">
            <w:pPr>
              <w:rPr>
                <w:color w:val="000000"/>
                <w:sz w:val="16"/>
                <w:szCs w:val="16"/>
              </w:rPr>
            </w:pPr>
            <w:r w:rsidRPr="00CD000E">
              <w:rPr>
                <w:sz w:val="16"/>
                <w:szCs w:val="16"/>
              </w:rPr>
              <w:t>Temps de traitement des visas</w:t>
            </w:r>
          </w:p>
        </w:tc>
        <w:tc>
          <w:tcPr>
            <w:tcW w:w="1222" w:type="pct"/>
            <w:shd w:val="clear" w:color="auto" w:fill="auto"/>
            <w:tcMar>
              <w:left w:w="58" w:type="dxa"/>
              <w:right w:w="58" w:type="dxa"/>
            </w:tcMar>
          </w:tcPr>
          <w:p w14:paraId="0EFD1772"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1E791CED" w14:textId="77777777" w:rsidR="00F96912" w:rsidRPr="00CD000E" w:rsidRDefault="00F96912" w:rsidP="006658D5">
            <w:pPr>
              <w:rPr>
                <w:color w:val="002060"/>
                <w:sz w:val="16"/>
                <w:szCs w:val="16"/>
              </w:rPr>
            </w:pPr>
            <w:r w:rsidRPr="00CD000E">
              <w:rPr>
                <w:color w:val="002060"/>
                <w:sz w:val="16"/>
                <w:szCs w:val="16"/>
              </w:rPr>
              <w:t>Visas &lt; 1</w:t>
            </w:r>
            <w:r>
              <w:rPr>
                <w:color w:val="002060"/>
                <w:sz w:val="16"/>
                <w:szCs w:val="16"/>
              </w:rPr>
              <w:t> </w:t>
            </w:r>
            <w:r w:rsidRPr="00CD000E">
              <w:rPr>
                <w:color w:val="002060"/>
                <w:sz w:val="16"/>
                <w:szCs w:val="16"/>
              </w:rPr>
              <w:t>jour</w:t>
            </w:r>
          </w:p>
          <w:p w14:paraId="27575F87" w14:textId="77777777" w:rsidR="00F96912" w:rsidRPr="00CD000E" w:rsidRDefault="00F96912" w:rsidP="006658D5">
            <w:pPr>
              <w:rPr>
                <w:color w:val="000000"/>
                <w:sz w:val="16"/>
                <w:szCs w:val="16"/>
              </w:rPr>
            </w:pPr>
          </w:p>
          <w:p w14:paraId="5DF8970E"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24C7EC33" w14:textId="77777777" w:rsidR="00F96912" w:rsidRPr="00CD000E" w:rsidRDefault="00F96912" w:rsidP="006658D5">
            <w:pPr>
              <w:rPr>
                <w:i/>
                <w:color w:val="002060"/>
                <w:sz w:val="16"/>
                <w:szCs w:val="16"/>
              </w:rPr>
            </w:pPr>
            <w:r w:rsidRPr="00CD000E">
              <w:rPr>
                <w:color w:val="000000"/>
                <w:sz w:val="16"/>
                <w:szCs w:val="16"/>
              </w:rPr>
              <w:t>Moins d’un jour (2014)</w:t>
            </w:r>
          </w:p>
        </w:tc>
        <w:tc>
          <w:tcPr>
            <w:tcW w:w="831" w:type="pct"/>
            <w:gridSpan w:val="2"/>
            <w:shd w:val="clear" w:color="auto" w:fill="auto"/>
            <w:tcMar>
              <w:top w:w="110" w:type="dxa"/>
              <w:left w:w="58" w:type="dxa"/>
              <w:right w:w="58" w:type="dxa"/>
            </w:tcMar>
          </w:tcPr>
          <w:p w14:paraId="24BD1A86" w14:textId="77777777" w:rsidR="00F96912" w:rsidRPr="00CD000E" w:rsidRDefault="00F96912" w:rsidP="006658D5">
            <w:pPr>
              <w:rPr>
                <w:color w:val="000000"/>
                <w:sz w:val="16"/>
                <w:szCs w:val="16"/>
              </w:rPr>
            </w:pPr>
            <w:r w:rsidRPr="00CD000E">
              <w:rPr>
                <w:color w:val="000000"/>
                <w:sz w:val="16"/>
                <w:szCs w:val="16"/>
              </w:rPr>
              <w:t>Moins d’un jour</w:t>
            </w:r>
          </w:p>
        </w:tc>
        <w:tc>
          <w:tcPr>
            <w:tcW w:w="1269" w:type="pct"/>
            <w:gridSpan w:val="2"/>
            <w:shd w:val="clear" w:color="auto" w:fill="FFFFFF"/>
            <w:tcMar>
              <w:top w:w="110" w:type="dxa"/>
              <w:left w:w="58" w:type="dxa"/>
              <w:right w:w="58" w:type="dxa"/>
            </w:tcMar>
          </w:tcPr>
          <w:p w14:paraId="05AF50CA" w14:textId="77777777" w:rsidR="00F96912" w:rsidRPr="00CD000E" w:rsidRDefault="00F96912" w:rsidP="006658D5">
            <w:pPr>
              <w:keepNext/>
              <w:keepLines/>
              <w:rPr>
                <w:color w:val="000000"/>
                <w:sz w:val="16"/>
                <w:szCs w:val="16"/>
              </w:rPr>
            </w:pPr>
            <w:r w:rsidRPr="00CD000E">
              <w:rPr>
                <w:color w:val="000000"/>
                <w:sz w:val="16"/>
                <w:szCs w:val="16"/>
              </w:rPr>
              <w:t>Moins d’un jour</w:t>
            </w:r>
          </w:p>
        </w:tc>
        <w:tc>
          <w:tcPr>
            <w:tcW w:w="530" w:type="pct"/>
            <w:gridSpan w:val="2"/>
            <w:shd w:val="clear" w:color="auto" w:fill="auto"/>
            <w:tcMar>
              <w:top w:w="110" w:type="dxa"/>
              <w:left w:w="58" w:type="dxa"/>
              <w:right w:w="58" w:type="dxa"/>
            </w:tcMar>
          </w:tcPr>
          <w:p w14:paraId="31BAFB26"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428DC4BA" w14:textId="77777777" w:rsidTr="006658D5">
        <w:trPr>
          <w:cantSplit/>
        </w:trPr>
        <w:tc>
          <w:tcPr>
            <w:tcW w:w="1148" w:type="pct"/>
            <w:gridSpan w:val="2"/>
            <w:shd w:val="clear" w:color="auto" w:fill="auto"/>
            <w:tcMar>
              <w:left w:w="58" w:type="dxa"/>
              <w:right w:w="58" w:type="dxa"/>
            </w:tcMar>
          </w:tcPr>
          <w:p w14:paraId="0B073B9F" w14:textId="658187E4" w:rsidR="00F96912" w:rsidRPr="00CD000E" w:rsidRDefault="00F96912" w:rsidP="006658D5">
            <w:pPr>
              <w:rPr>
                <w:color w:val="000000"/>
                <w:sz w:val="16"/>
                <w:szCs w:val="16"/>
              </w:rPr>
            </w:pPr>
            <w:r w:rsidRPr="00CD000E">
              <w:rPr>
                <w:sz w:val="16"/>
                <w:szCs w:val="16"/>
              </w:rPr>
              <w:t>Moyenne TMC</w:t>
            </w:r>
            <w:r w:rsidR="002D5783">
              <w:rPr>
                <w:rStyle w:val="FootnoteReference"/>
                <w:color w:val="000000"/>
                <w:szCs w:val="16"/>
              </w:rPr>
              <w:footnoteReference w:id="93"/>
            </w:r>
            <w:r w:rsidRPr="00CD000E">
              <w:rPr>
                <w:sz w:val="16"/>
                <w:szCs w:val="16"/>
              </w:rPr>
              <w:t xml:space="preserve"> du prix d’un billet</w:t>
            </w:r>
          </w:p>
        </w:tc>
        <w:tc>
          <w:tcPr>
            <w:tcW w:w="1222" w:type="pct"/>
            <w:shd w:val="clear" w:color="auto" w:fill="auto"/>
            <w:tcMar>
              <w:left w:w="58" w:type="dxa"/>
              <w:right w:w="58" w:type="dxa"/>
            </w:tcMar>
          </w:tcPr>
          <w:p w14:paraId="2F86F2CB" w14:textId="77777777" w:rsidR="00F96912" w:rsidRPr="00CD000E" w:rsidRDefault="00F96912" w:rsidP="006658D5">
            <w:pPr>
              <w:rPr>
                <w:i/>
                <w:color w:val="002060"/>
                <w:sz w:val="16"/>
                <w:szCs w:val="16"/>
              </w:rPr>
            </w:pPr>
            <w:r w:rsidRPr="00CD000E">
              <w:rPr>
                <w:i/>
                <w:color w:val="002060"/>
                <w:sz w:val="16"/>
                <w:szCs w:val="16"/>
              </w:rPr>
              <w:t>Niveau de référence actualisé à fin 2015 :</w:t>
            </w:r>
          </w:p>
          <w:p w14:paraId="671D19C7" w14:textId="77777777" w:rsidR="00F96912" w:rsidRPr="002820B5" w:rsidRDefault="00F96912" w:rsidP="006658D5">
            <w:pPr>
              <w:rPr>
                <w:color w:val="002060"/>
                <w:sz w:val="16"/>
                <w:szCs w:val="16"/>
              </w:rPr>
            </w:pPr>
            <w:r w:rsidRPr="002820B5">
              <w:rPr>
                <w:color w:val="002060"/>
                <w:sz w:val="16"/>
                <w:szCs w:val="16"/>
              </w:rPr>
              <w:t>1606 francs suisses</w:t>
            </w:r>
          </w:p>
          <w:p w14:paraId="6272E4CC" w14:textId="77777777" w:rsidR="00F96912" w:rsidRPr="00CD000E" w:rsidRDefault="00F96912" w:rsidP="006658D5">
            <w:pPr>
              <w:rPr>
                <w:i/>
                <w:color w:val="000000"/>
                <w:sz w:val="16"/>
                <w:szCs w:val="16"/>
              </w:rPr>
            </w:pPr>
          </w:p>
          <w:p w14:paraId="6CC04976"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 xml:space="preserve">2017 : </w:t>
            </w:r>
            <w:r w:rsidRPr="00CD000E">
              <w:rPr>
                <w:i/>
                <w:color w:val="000000"/>
                <w:sz w:val="16"/>
                <w:szCs w:val="16"/>
              </w:rPr>
              <w:br/>
            </w:r>
            <w:r w:rsidRPr="00CD000E">
              <w:rPr>
                <w:color w:val="000000"/>
                <w:sz w:val="16"/>
                <w:szCs w:val="16"/>
              </w:rPr>
              <w:t>1850 francs suisses (déc. 2014)</w:t>
            </w:r>
          </w:p>
        </w:tc>
        <w:tc>
          <w:tcPr>
            <w:tcW w:w="831" w:type="pct"/>
            <w:gridSpan w:val="2"/>
            <w:shd w:val="clear" w:color="auto" w:fill="auto"/>
            <w:tcMar>
              <w:top w:w="110" w:type="dxa"/>
              <w:left w:w="58" w:type="dxa"/>
              <w:right w:w="58" w:type="dxa"/>
            </w:tcMar>
          </w:tcPr>
          <w:p w14:paraId="27CF2E87" w14:textId="77777777" w:rsidR="00F96912" w:rsidRPr="002820B5" w:rsidRDefault="00F96912" w:rsidP="006658D5">
            <w:pPr>
              <w:rPr>
                <w:i/>
                <w:color w:val="002060"/>
                <w:sz w:val="16"/>
                <w:szCs w:val="16"/>
              </w:rPr>
            </w:pPr>
            <w:r w:rsidRPr="002820B5">
              <w:rPr>
                <w:i/>
                <w:color w:val="002060"/>
                <w:sz w:val="16"/>
                <w:szCs w:val="16"/>
              </w:rPr>
              <w:t>Objectif actualisé :</w:t>
            </w:r>
          </w:p>
          <w:p w14:paraId="5238B1DB" w14:textId="77777777" w:rsidR="00F96912" w:rsidRPr="002820B5" w:rsidRDefault="00F96912" w:rsidP="006658D5">
            <w:pPr>
              <w:rPr>
                <w:color w:val="002060"/>
                <w:sz w:val="16"/>
                <w:szCs w:val="16"/>
              </w:rPr>
            </w:pPr>
            <w:r w:rsidRPr="002820B5">
              <w:rPr>
                <w:color w:val="002060"/>
                <w:sz w:val="16"/>
                <w:szCs w:val="16"/>
              </w:rPr>
              <w:t>≤ 1606 francs suisses</w:t>
            </w:r>
          </w:p>
          <w:p w14:paraId="640BFCF7" w14:textId="77777777" w:rsidR="00F96912" w:rsidRPr="001303B4" w:rsidRDefault="00F96912" w:rsidP="006658D5">
            <w:pPr>
              <w:rPr>
                <w:color w:val="000000"/>
                <w:sz w:val="16"/>
                <w:szCs w:val="16"/>
              </w:rPr>
            </w:pPr>
          </w:p>
          <w:p w14:paraId="3AF48AD7" w14:textId="77777777" w:rsidR="00F96912" w:rsidRPr="00CD000E" w:rsidRDefault="00F96912" w:rsidP="006658D5">
            <w:pPr>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527F1E4A" w14:textId="77777777" w:rsidR="00F96912" w:rsidRPr="00CD000E" w:rsidRDefault="00F96912" w:rsidP="006658D5">
            <w:pPr>
              <w:rPr>
                <w:color w:val="000000"/>
                <w:sz w:val="16"/>
                <w:szCs w:val="16"/>
              </w:rPr>
            </w:pPr>
            <w:r w:rsidRPr="00CD000E">
              <w:rPr>
                <w:color w:val="000000"/>
                <w:sz w:val="16"/>
                <w:szCs w:val="16"/>
              </w:rPr>
              <w:t xml:space="preserve">≤ </w:t>
            </w:r>
            <w:r w:rsidRPr="00CD000E">
              <w:rPr>
                <w:sz w:val="16"/>
                <w:szCs w:val="16"/>
              </w:rPr>
              <w:t>1850 francs suisses</w:t>
            </w:r>
          </w:p>
        </w:tc>
        <w:tc>
          <w:tcPr>
            <w:tcW w:w="1269" w:type="pct"/>
            <w:gridSpan w:val="2"/>
            <w:shd w:val="clear" w:color="auto" w:fill="FFFFFF"/>
            <w:tcMar>
              <w:top w:w="110" w:type="dxa"/>
              <w:left w:w="58" w:type="dxa"/>
              <w:right w:w="58" w:type="dxa"/>
            </w:tcMar>
          </w:tcPr>
          <w:p w14:paraId="71B9E1F5" w14:textId="77777777" w:rsidR="00F96912" w:rsidRPr="00CD000E" w:rsidRDefault="00F96912" w:rsidP="006658D5">
            <w:pPr>
              <w:keepNext/>
              <w:keepLines/>
              <w:rPr>
                <w:color w:val="000000"/>
                <w:sz w:val="16"/>
                <w:szCs w:val="16"/>
              </w:rPr>
            </w:pPr>
            <w:r w:rsidRPr="00CD000E">
              <w:rPr>
                <w:sz w:val="16"/>
                <w:szCs w:val="16"/>
              </w:rPr>
              <w:t>1374 francs suisses</w:t>
            </w:r>
          </w:p>
        </w:tc>
        <w:tc>
          <w:tcPr>
            <w:tcW w:w="530" w:type="pct"/>
            <w:gridSpan w:val="2"/>
            <w:shd w:val="clear" w:color="auto" w:fill="auto"/>
            <w:tcMar>
              <w:top w:w="110" w:type="dxa"/>
              <w:left w:w="58" w:type="dxa"/>
              <w:right w:w="58" w:type="dxa"/>
            </w:tcMar>
          </w:tcPr>
          <w:p w14:paraId="031E757C" w14:textId="77777777" w:rsidR="00F96912" w:rsidRPr="00CD000E" w:rsidRDefault="00F96912" w:rsidP="006658D5">
            <w:pPr>
              <w:keepNext/>
              <w:keepLines/>
              <w:jc w:val="center"/>
              <w:rPr>
                <w:color w:val="00B050"/>
                <w:sz w:val="16"/>
                <w:szCs w:val="16"/>
              </w:rPr>
            </w:pPr>
            <w:r w:rsidRPr="00CD000E">
              <w:rPr>
                <w:b/>
                <w:color w:val="00B050"/>
                <w:sz w:val="16"/>
                <w:szCs w:val="16"/>
              </w:rPr>
              <w:t>En bonne voie</w:t>
            </w:r>
          </w:p>
        </w:tc>
      </w:tr>
      <w:tr w:rsidR="00F96912" w:rsidRPr="00CD000E" w14:paraId="1431BE7D" w14:textId="77777777" w:rsidTr="006658D5">
        <w:trPr>
          <w:cantSplit/>
        </w:trPr>
        <w:tc>
          <w:tcPr>
            <w:tcW w:w="1148" w:type="pct"/>
            <w:gridSpan w:val="2"/>
            <w:shd w:val="clear" w:color="auto" w:fill="auto"/>
            <w:tcMar>
              <w:left w:w="58" w:type="dxa"/>
              <w:right w:w="58" w:type="dxa"/>
            </w:tcMar>
          </w:tcPr>
          <w:p w14:paraId="53C0F3A1" w14:textId="77777777" w:rsidR="00F96912" w:rsidRPr="00CD000E" w:rsidRDefault="00F96912" w:rsidP="006658D5">
            <w:pPr>
              <w:rPr>
                <w:color w:val="000000"/>
                <w:sz w:val="16"/>
                <w:szCs w:val="16"/>
              </w:rPr>
            </w:pPr>
            <w:r w:rsidRPr="00CD000E">
              <w:rPr>
                <w:sz w:val="16"/>
                <w:szCs w:val="16"/>
              </w:rPr>
              <w:t>Moyenne globale du prix d’un billet</w:t>
            </w:r>
          </w:p>
        </w:tc>
        <w:tc>
          <w:tcPr>
            <w:tcW w:w="1222" w:type="pct"/>
            <w:shd w:val="clear" w:color="auto" w:fill="auto"/>
            <w:tcMar>
              <w:left w:w="58" w:type="dxa"/>
              <w:right w:w="58" w:type="dxa"/>
            </w:tcMar>
          </w:tcPr>
          <w:p w14:paraId="2C4F5316" w14:textId="77777777" w:rsidR="00F96912" w:rsidRPr="002820B5" w:rsidRDefault="00F96912" w:rsidP="006658D5">
            <w:pPr>
              <w:rPr>
                <w:i/>
                <w:color w:val="002060"/>
                <w:sz w:val="16"/>
                <w:szCs w:val="16"/>
              </w:rPr>
            </w:pPr>
            <w:r w:rsidRPr="00CD000E">
              <w:rPr>
                <w:i/>
                <w:color w:val="002060"/>
                <w:sz w:val="16"/>
                <w:szCs w:val="16"/>
              </w:rPr>
              <w:t xml:space="preserve">Niveau de référence actualisé à fin </w:t>
            </w:r>
            <w:r w:rsidRPr="002820B5">
              <w:rPr>
                <w:i/>
                <w:color w:val="002060"/>
                <w:sz w:val="16"/>
                <w:szCs w:val="16"/>
              </w:rPr>
              <w:t>2015 :</w:t>
            </w:r>
          </w:p>
          <w:p w14:paraId="7A334689" w14:textId="77777777" w:rsidR="00F96912" w:rsidRPr="002820B5" w:rsidRDefault="00F96912" w:rsidP="006658D5">
            <w:pPr>
              <w:rPr>
                <w:color w:val="002060"/>
                <w:sz w:val="16"/>
                <w:szCs w:val="16"/>
                <w:lang w:bidi="th-TH"/>
              </w:rPr>
            </w:pPr>
            <w:r w:rsidRPr="002820B5">
              <w:rPr>
                <w:color w:val="002060"/>
                <w:sz w:val="16"/>
                <w:szCs w:val="16"/>
                <w:lang w:bidi="th-TH"/>
              </w:rPr>
              <w:t>1481 francs suisses</w:t>
            </w:r>
          </w:p>
          <w:p w14:paraId="1C25E3EB" w14:textId="77777777" w:rsidR="00F96912" w:rsidRPr="00CD000E" w:rsidRDefault="00F96912" w:rsidP="006658D5">
            <w:pPr>
              <w:rPr>
                <w:color w:val="000000"/>
                <w:sz w:val="16"/>
                <w:szCs w:val="16"/>
              </w:rPr>
            </w:pPr>
          </w:p>
          <w:p w14:paraId="74A5624B"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07B8D2BB" w14:textId="77777777" w:rsidR="00F96912" w:rsidRPr="00CD000E" w:rsidRDefault="00F96912" w:rsidP="006658D5">
            <w:pPr>
              <w:rPr>
                <w:i/>
                <w:color w:val="002060"/>
                <w:sz w:val="16"/>
                <w:szCs w:val="16"/>
              </w:rPr>
            </w:pPr>
            <w:r w:rsidRPr="00CD000E">
              <w:rPr>
                <w:color w:val="000000"/>
                <w:sz w:val="16"/>
                <w:szCs w:val="16"/>
              </w:rPr>
              <w:t>1600 francs suisses (déc. 2014)</w:t>
            </w:r>
          </w:p>
        </w:tc>
        <w:tc>
          <w:tcPr>
            <w:tcW w:w="831" w:type="pct"/>
            <w:gridSpan w:val="2"/>
            <w:shd w:val="clear" w:color="auto" w:fill="auto"/>
            <w:tcMar>
              <w:top w:w="110" w:type="dxa"/>
              <w:left w:w="58" w:type="dxa"/>
              <w:right w:w="58" w:type="dxa"/>
            </w:tcMar>
          </w:tcPr>
          <w:p w14:paraId="58791098" w14:textId="77777777" w:rsidR="00F96912" w:rsidRPr="002820B5" w:rsidRDefault="00F96912" w:rsidP="006658D5">
            <w:pPr>
              <w:rPr>
                <w:i/>
                <w:color w:val="002060"/>
                <w:sz w:val="16"/>
                <w:szCs w:val="16"/>
              </w:rPr>
            </w:pPr>
            <w:r w:rsidRPr="00CD000E">
              <w:rPr>
                <w:i/>
                <w:color w:val="002060"/>
                <w:sz w:val="16"/>
                <w:szCs w:val="16"/>
              </w:rPr>
              <w:t>Object</w:t>
            </w:r>
            <w:r w:rsidRPr="002820B5">
              <w:rPr>
                <w:i/>
                <w:color w:val="002060"/>
                <w:sz w:val="16"/>
                <w:szCs w:val="16"/>
              </w:rPr>
              <w:t>if actualisé :</w:t>
            </w:r>
          </w:p>
          <w:p w14:paraId="377E8E0E" w14:textId="77777777" w:rsidR="00F96912" w:rsidRPr="002820B5" w:rsidRDefault="00F96912" w:rsidP="006658D5">
            <w:pPr>
              <w:rPr>
                <w:color w:val="002060"/>
                <w:sz w:val="16"/>
                <w:szCs w:val="16"/>
              </w:rPr>
            </w:pPr>
            <w:r w:rsidRPr="002820B5">
              <w:rPr>
                <w:color w:val="002060"/>
                <w:sz w:val="16"/>
                <w:szCs w:val="16"/>
              </w:rPr>
              <w:t>≤ 1481 francs suisses</w:t>
            </w:r>
          </w:p>
          <w:p w14:paraId="0D1C8C13" w14:textId="77777777" w:rsidR="00F96912" w:rsidRPr="00CD000E" w:rsidRDefault="00F96912" w:rsidP="006658D5">
            <w:pPr>
              <w:rPr>
                <w:color w:val="000000"/>
                <w:sz w:val="16"/>
                <w:szCs w:val="16"/>
              </w:rPr>
            </w:pPr>
          </w:p>
          <w:p w14:paraId="1B367857" w14:textId="77777777" w:rsidR="00F96912" w:rsidRPr="00CD000E" w:rsidRDefault="00F96912" w:rsidP="006658D5">
            <w:pPr>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13B3675E" w14:textId="77777777" w:rsidR="00F96912" w:rsidRPr="00CD000E" w:rsidRDefault="00F96912" w:rsidP="006658D5">
            <w:pPr>
              <w:rPr>
                <w:color w:val="000000"/>
                <w:sz w:val="16"/>
                <w:szCs w:val="16"/>
              </w:rPr>
            </w:pPr>
            <w:r w:rsidRPr="00CD000E">
              <w:rPr>
                <w:color w:val="000000"/>
                <w:sz w:val="16"/>
                <w:szCs w:val="16"/>
              </w:rPr>
              <w:t xml:space="preserve">≤ </w:t>
            </w:r>
            <w:r w:rsidRPr="00CD000E">
              <w:rPr>
                <w:sz w:val="16"/>
                <w:szCs w:val="16"/>
              </w:rPr>
              <w:t>1600 francs suisses</w:t>
            </w:r>
            <w:r w:rsidRPr="00CD000E">
              <w:rPr>
                <w:color w:val="000000"/>
                <w:sz w:val="16"/>
                <w:szCs w:val="16"/>
              </w:rPr>
              <w:t xml:space="preserve"> </w:t>
            </w:r>
          </w:p>
        </w:tc>
        <w:tc>
          <w:tcPr>
            <w:tcW w:w="1269" w:type="pct"/>
            <w:gridSpan w:val="2"/>
            <w:shd w:val="clear" w:color="auto" w:fill="FFFFFF"/>
            <w:tcMar>
              <w:top w:w="110" w:type="dxa"/>
              <w:left w:w="58" w:type="dxa"/>
              <w:right w:w="58" w:type="dxa"/>
            </w:tcMar>
          </w:tcPr>
          <w:p w14:paraId="649138BE" w14:textId="77777777" w:rsidR="00F96912" w:rsidRPr="00CD000E" w:rsidRDefault="00F96912" w:rsidP="006658D5">
            <w:pPr>
              <w:keepNext/>
              <w:keepLines/>
              <w:rPr>
                <w:color w:val="000000"/>
                <w:sz w:val="16"/>
                <w:szCs w:val="16"/>
              </w:rPr>
            </w:pPr>
            <w:r w:rsidRPr="00CD000E">
              <w:rPr>
                <w:sz w:val="16"/>
                <w:szCs w:val="16"/>
              </w:rPr>
              <w:t>1315 francs suisses</w:t>
            </w:r>
          </w:p>
        </w:tc>
        <w:tc>
          <w:tcPr>
            <w:tcW w:w="530" w:type="pct"/>
            <w:gridSpan w:val="2"/>
            <w:shd w:val="clear" w:color="auto" w:fill="auto"/>
            <w:tcMar>
              <w:top w:w="110" w:type="dxa"/>
              <w:left w:w="58" w:type="dxa"/>
              <w:right w:w="58" w:type="dxa"/>
            </w:tcMar>
          </w:tcPr>
          <w:p w14:paraId="323AC8AF" w14:textId="77777777" w:rsidR="00F96912" w:rsidRPr="00CD000E" w:rsidRDefault="00F96912" w:rsidP="006658D5">
            <w:pPr>
              <w:keepNext/>
              <w:keepLines/>
              <w:jc w:val="center"/>
              <w:rPr>
                <w:color w:val="00B050"/>
                <w:sz w:val="16"/>
                <w:szCs w:val="16"/>
              </w:rPr>
            </w:pPr>
            <w:r w:rsidRPr="00CD000E">
              <w:rPr>
                <w:b/>
                <w:color w:val="00B050"/>
                <w:sz w:val="16"/>
                <w:szCs w:val="16"/>
              </w:rPr>
              <w:t>En bonne voie</w:t>
            </w:r>
          </w:p>
        </w:tc>
      </w:tr>
      <w:tr w:rsidR="00F96912" w:rsidRPr="00CD000E" w14:paraId="2C7918ED" w14:textId="77777777" w:rsidTr="006658D5">
        <w:trPr>
          <w:cantSplit/>
        </w:trPr>
        <w:tc>
          <w:tcPr>
            <w:tcW w:w="1148" w:type="pct"/>
            <w:gridSpan w:val="2"/>
            <w:shd w:val="clear" w:color="auto" w:fill="auto"/>
            <w:tcMar>
              <w:left w:w="58" w:type="dxa"/>
              <w:right w:w="58" w:type="dxa"/>
            </w:tcMar>
          </w:tcPr>
          <w:p w14:paraId="53657DE0" w14:textId="77777777" w:rsidR="00F96912" w:rsidRPr="00CD000E" w:rsidRDefault="00F96912" w:rsidP="006658D5">
            <w:pPr>
              <w:rPr>
                <w:color w:val="000000"/>
                <w:sz w:val="16"/>
                <w:szCs w:val="16"/>
              </w:rPr>
            </w:pPr>
            <w:r w:rsidRPr="00CD000E">
              <w:rPr>
                <w:sz w:val="16"/>
                <w:szCs w:val="16"/>
              </w:rPr>
              <w:t>Coût moyen des frais de service</w:t>
            </w:r>
          </w:p>
        </w:tc>
        <w:tc>
          <w:tcPr>
            <w:tcW w:w="1222" w:type="pct"/>
            <w:shd w:val="clear" w:color="auto" w:fill="auto"/>
            <w:tcMar>
              <w:left w:w="58" w:type="dxa"/>
              <w:right w:w="58" w:type="dxa"/>
            </w:tcMar>
          </w:tcPr>
          <w:p w14:paraId="779AEA9D" w14:textId="77777777" w:rsidR="00F96912" w:rsidRPr="002820B5" w:rsidRDefault="00F96912" w:rsidP="006658D5">
            <w:pPr>
              <w:rPr>
                <w:i/>
                <w:color w:val="002060"/>
                <w:sz w:val="16"/>
                <w:szCs w:val="16"/>
              </w:rPr>
            </w:pPr>
            <w:r w:rsidRPr="00CD000E">
              <w:rPr>
                <w:i/>
                <w:color w:val="002060"/>
                <w:sz w:val="16"/>
                <w:szCs w:val="16"/>
              </w:rPr>
              <w:t>Niveau de référence actualisé à fin 20</w:t>
            </w:r>
            <w:r w:rsidRPr="002820B5">
              <w:rPr>
                <w:i/>
                <w:color w:val="002060"/>
                <w:sz w:val="16"/>
                <w:szCs w:val="16"/>
              </w:rPr>
              <w:t>15 :</w:t>
            </w:r>
          </w:p>
          <w:p w14:paraId="0D278CFD" w14:textId="77777777" w:rsidR="00F96912" w:rsidRPr="002820B5" w:rsidRDefault="00F96912" w:rsidP="006658D5">
            <w:pPr>
              <w:rPr>
                <w:color w:val="002060"/>
                <w:sz w:val="16"/>
                <w:szCs w:val="16"/>
              </w:rPr>
            </w:pPr>
            <w:r w:rsidRPr="002820B5">
              <w:rPr>
                <w:color w:val="002060"/>
                <w:sz w:val="16"/>
                <w:szCs w:val="16"/>
              </w:rPr>
              <w:t>95 francs suisses</w:t>
            </w:r>
          </w:p>
          <w:p w14:paraId="41587471" w14:textId="77777777" w:rsidR="00F96912" w:rsidRPr="00CD000E" w:rsidRDefault="00F96912" w:rsidP="006658D5">
            <w:pPr>
              <w:rPr>
                <w:color w:val="000000"/>
                <w:sz w:val="16"/>
                <w:szCs w:val="16"/>
              </w:rPr>
            </w:pPr>
          </w:p>
          <w:p w14:paraId="7977E52B" w14:textId="77777777" w:rsidR="00F96912" w:rsidRPr="00CD000E" w:rsidRDefault="00F96912" w:rsidP="006658D5">
            <w:pPr>
              <w:rPr>
                <w:i/>
                <w:color w:val="000000"/>
                <w:sz w:val="16"/>
                <w:szCs w:val="16"/>
              </w:rPr>
            </w:pPr>
            <w:r w:rsidRPr="00CD000E">
              <w:rPr>
                <w:i/>
                <w:color w:val="000000"/>
                <w:sz w:val="16"/>
                <w:szCs w:val="16"/>
              </w:rPr>
              <w:t>Niveau de référence initial dans le programme et budget 2016</w:t>
            </w:r>
            <w:r>
              <w:rPr>
                <w:i/>
                <w:color w:val="000000"/>
                <w:sz w:val="16"/>
                <w:szCs w:val="16"/>
              </w:rPr>
              <w:noBreakHyphen/>
            </w:r>
            <w:r w:rsidRPr="00CD000E">
              <w:rPr>
                <w:i/>
                <w:color w:val="000000"/>
                <w:sz w:val="16"/>
                <w:szCs w:val="16"/>
              </w:rPr>
              <w:t>2017 :</w:t>
            </w:r>
          </w:p>
          <w:p w14:paraId="079FA5D3" w14:textId="77777777" w:rsidR="00F96912" w:rsidRPr="00CD000E" w:rsidRDefault="00F96912" w:rsidP="006658D5">
            <w:pPr>
              <w:rPr>
                <w:i/>
                <w:color w:val="002060"/>
                <w:sz w:val="16"/>
                <w:szCs w:val="16"/>
              </w:rPr>
            </w:pPr>
            <w:r w:rsidRPr="00CD000E">
              <w:rPr>
                <w:color w:val="000000"/>
                <w:sz w:val="16"/>
                <w:szCs w:val="16"/>
              </w:rPr>
              <w:t>118 francs suisses (fin 2014)</w:t>
            </w:r>
          </w:p>
        </w:tc>
        <w:tc>
          <w:tcPr>
            <w:tcW w:w="831" w:type="pct"/>
            <w:gridSpan w:val="2"/>
            <w:shd w:val="clear" w:color="auto" w:fill="auto"/>
            <w:tcMar>
              <w:top w:w="110" w:type="dxa"/>
              <w:left w:w="58" w:type="dxa"/>
              <w:right w:w="58" w:type="dxa"/>
            </w:tcMar>
          </w:tcPr>
          <w:p w14:paraId="12A9453B" w14:textId="77777777" w:rsidR="00F96912" w:rsidRPr="00CD000E" w:rsidRDefault="00F96912" w:rsidP="006658D5">
            <w:pPr>
              <w:rPr>
                <w:color w:val="000000"/>
                <w:sz w:val="16"/>
                <w:szCs w:val="16"/>
              </w:rPr>
            </w:pPr>
            <w:r w:rsidRPr="00CD000E">
              <w:rPr>
                <w:color w:val="000000"/>
                <w:sz w:val="16"/>
                <w:szCs w:val="16"/>
              </w:rPr>
              <w:t xml:space="preserve">&lt; </w:t>
            </w:r>
            <w:r w:rsidRPr="00CD000E">
              <w:rPr>
                <w:sz w:val="16"/>
                <w:szCs w:val="16"/>
              </w:rPr>
              <w:t>100 francs suisses</w:t>
            </w:r>
          </w:p>
        </w:tc>
        <w:tc>
          <w:tcPr>
            <w:tcW w:w="1269" w:type="pct"/>
            <w:gridSpan w:val="2"/>
            <w:shd w:val="clear" w:color="auto" w:fill="FFFFFF"/>
            <w:tcMar>
              <w:top w:w="110" w:type="dxa"/>
              <w:left w:w="58" w:type="dxa"/>
              <w:right w:w="58" w:type="dxa"/>
            </w:tcMar>
          </w:tcPr>
          <w:p w14:paraId="02D1970B" w14:textId="77777777" w:rsidR="00F96912" w:rsidRPr="00CD000E" w:rsidRDefault="00F96912" w:rsidP="006658D5">
            <w:pPr>
              <w:keepNext/>
              <w:keepLines/>
              <w:rPr>
                <w:color w:val="000000"/>
                <w:sz w:val="16"/>
                <w:szCs w:val="16"/>
              </w:rPr>
            </w:pPr>
            <w:r w:rsidRPr="00CD000E">
              <w:rPr>
                <w:sz w:val="16"/>
                <w:szCs w:val="16"/>
              </w:rPr>
              <w:t>92 francs suisses</w:t>
            </w:r>
          </w:p>
        </w:tc>
        <w:tc>
          <w:tcPr>
            <w:tcW w:w="530" w:type="pct"/>
            <w:gridSpan w:val="2"/>
            <w:shd w:val="clear" w:color="auto" w:fill="auto"/>
            <w:tcMar>
              <w:top w:w="110" w:type="dxa"/>
              <w:left w:w="58" w:type="dxa"/>
              <w:right w:w="58" w:type="dxa"/>
            </w:tcMar>
          </w:tcPr>
          <w:p w14:paraId="3D9C33B9"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1D774D61" w14:textId="77777777" w:rsidTr="006658D5">
        <w:trPr>
          <w:cantSplit/>
        </w:trPr>
        <w:tc>
          <w:tcPr>
            <w:tcW w:w="1148" w:type="pct"/>
            <w:gridSpan w:val="2"/>
            <w:shd w:val="clear" w:color="auto" w:fill="auto"/>
            <w:tcMar>
              <w:left w:w="58" w:type="dxa"/>
              <w:right w:w="58" w:type="dxa"/>
            </w:tcMar>
          </w:tcPr>
          <w:p w14:paraId="3CBE08FA" w14:textId="77777777" w:rsidR="00F96912" w:rsidRPr="00CD000E" w:rsidRDefault="00F96912" w:rsidP="006658D5">
            <w:pPr>
              <w:rPr>
                <w:color w:val="000000"/>
                <w:sz w:val="16"/>
                <w:szCs w:val="16"/>
              </w:rPr>
            </w:pPr>
            <w:r w:rsidRPr="00CD000E">
              <w:rPr>
                <w:sz w:val="16"/>
                <w:szCs w:val="16"/>
              </w:rPr>
              <w:t>Locaux et installations de l’OMPI restant adaptés à l’usage prévu</w:t>
            </w:r>
            <w:r w:rsidRPr="00CD000E">
              <w:rPr>
                <w:color w:val="000000"/>
                <w:sz w:val="16"/>
                <w:szCs w:val="16"/>
              </w:rPr>
              <w:t xml:space="preserve"> </w:t>
            </w:r>
          </w:p>
        </w:tc>
        <w:tc>
          <w:tcPr>
            <w:tcW w:w="1222" w:type="pct"/>
            <w:shd w:val="clear" w:color="auto" w:fill="auto"/>
            <w:tcMar>
              <w:left w:w="58" w:type="dxa"/>
              <w:right w:w="58" w:type="dxa"/>
            </w:tcMar>
          </w:tcPr>
          <w:p w14:paraId="616B203B" w14:textId="77777777" w:rsidR="00F96912" w:rsidRPr="00CD000E" w:rsidRDefault="00F96912" w:rsidP="006658D5">
            <w:pPr>
              <w:rPr>
                <w:color w:val="002060"/>
                <w:sz w:val="16"/>
                <w:szCs w:val="16"/>
              </w:rPr>
            </w:pPr>
            <w:r w:rsidRPr="00CD000E">
              <w:rPr>
                <w:sz w:val="16"/>
                <w:szCs w:val="16"/>
              </w:rPr>
              <w:t>Un jour ouvrable par an au maximum de panne d’installations techniques (électricité, eau, chauffage, refroidissement, ventilation) ayant une incidence sur les activités principales de l’OMPI.</w:t>
            </w:r>
          </w:p>
        </w:tc>
        <w:tc>
          <w:tcPr>
            <w:tcW w:w="831" w:type="pct"/>
            <w:gridSpan w:val="2"/>
            <w:shd w:val="clear" w:color="auto" w:fill="auto"/>
            <w:tcMar>
              <w:top w:w="110" w:type="dxa"/>
              <w:left w:w="58" w:type="dxa"/>
              <w:right w:w="58" w:type="dxa"/>
            </w:tcMar>
          </w:tcPr>
          <w:p w14:paraId="65C0673A" w14:textId="77777777" w:rsidR="00F96912" w:rsidRPr="00CD000E" w:rsidRDefault="00F96912" w:rsidP="006658D5">
            <w:pPr>
              <w:rPr>
                <w:color w:val="000000"/>
                <w:sz w:val="16"/>
                <w:szCs w:val="16"/>
              </w:rPr>
            </w:pPr>
            <w:r w:rsidRPr="00CD000E">
              <w:rPr>
                <w:sz w:val="16"/>
                <w:szCs w:val="16"/>
              </w:rPr>
              <w:t>Conserver la période d’un jour ouvrable par an au maximum de panne d’installations techniques (électricité, eau, chauffage, refroidissement, ventilation) ayant une incidence sur les activités principales de l’OMPI.</w:t>
            </w:r>
            <w:r w:rsidRPr="00CD000E">
              <w:rPr>
                <w:sz w:val="16"/>
              </w:rPr>
              <w:t xml:space="preserve">  </w:t>
            </w:r>
          </w:p>
        </w:tc>
        <w:tc>
          <w:tcPr>
            <w:tcW w:w="1269" w:type="pct"/>
            <w:gridSpan w:val="2"/>
            <w:shd w:val="clear" w:color="auto" w:fill="FFFFFF"/>
            <w:tcMar>
              <w:top w:w="110" w:type="dxa"/>
              <w:left w:w="58" w:type="dxa"/>
              <w:right w:w="58" w:type="dxa"/>
            </w:tcMar>
          </w:tcPr>
          <w:p w14:paraId="2144F636" w14:textId="77777777" w:rsidR="00F96912" w:rsidRPr="00CD000E" w:rsidRDefault="00F96912" w:rsidP="006658D5">
            <w:pPr>
              <w:keepNext/>
              <w:keepLines/>
              <w:rPr>
                <w:color w:val="000000"/>
                <w:sz w:val="16"/>
                <w:szCs w:val="16"/>
              </w:rPr>
            </w:pPr>
            <w:r w:rsidRPr="002820B5">
              <w:rPr>
                <w:sz w:val="16"/>
                <w:szCs w:val="16"/>
              </w:rPr>
              <w:t>Zéro jour ouvrable avec une panne d’installations techniques ayant une incidence sur les activités principales de l’OMPI</w:t>
            </w:r>
          </w:p>
        </w:tc>
        <w:tc>
          <w:tcPr>
            <w:tcW w:w="530" w:type="pct"/>
            <w:gridSpan w:val="2"/>
            <w:shd w:val="clear" w:color="auto" w:fill="auto"/>
            <w:tcMar>
              <w:top w:w="110" w:type="dxa"/>
              <w:left w:w="58" w:type="dxa"/>
              <w:right w:w="58" w:type="dxa"/>
            </w:tcMar>
          </w:tcPr>
          <w:p w14:paraId="6DA63CCC"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792622CF" w14:textId="77777777" w:rsidTr="006658D5">
        <w:trPr>
          <w:cantSplit/>
        </w:trPr>
        <w:tc>
          <w:tcPr>
            <w:tcW w:w="1148" w:type="pct"/>
            <w:gridSpan w:val="2"/>
            <w:shd w:val="clear" w:color="auto" w:fill="auto"/>
            <w:tcMar>
              <w:left w:w="58" w:type="dxa"/>
              <w:right w:w="58" w:type="dxa"/>
            </w:tcMar>
          </w:tcPr>
          <w:p w14:paraId="04E0520A" w14:textId="77777777" w:rsidR="00F96912" w:rsidRPr="00CD000E" w:rsidRDefault="00F96912" w:rsidP="006658D5">
            <w:pPr>
              <w:rPr>
                <w:color w:val="000000"/>
                <w:sz w:val="16"/>
                <w:szCs w:val="16"/>
              </w:rPr>
            </w:pPr>
            <w:r w:rsidRPr="00CD000E">
              <w:rPr>
                <w:sz w:val="16"/>
                <w:szCs w:val="16"/>
              </w:rPr>
              <w:t>Utiliser de manière optimale les locaux de l’OMPI et tous les types d’espace</w:t>
            </w:r>
          </w:p>
        </w:tc>
        <w:tc>
          <w:tcPr>
            <w:tcW w:w="1222" w:type="pct"/>
            <w:shd w:val="clear" w:color="auto" w:fill="auto"/>
            <w:tcMar>
              <w:left w:w="58" w:type="dxa"/>
              <w:right w:w="58" w:type="dxa"/>
            </w:tcMar>
          </w:tcPr>
          <w:p w14:paraId="2CB80E45" w14:textId="77777777" w:rsidR="00F96912" w:rsidRPr="00CD000E" w:rsidRDefault="00F96912" w:rsidP="006658D5">
            <w:pPr>
              <w:rPr>
                <w:color w:val="000000"/>
                <w:sz w:val="16"/>
                <w:szCs w:val="16"/>
              </w:rPr>
            </w:pPr>
            <w:r w:rsidRPr="00CD000E">
              <w:rPr>
                <w:sz w:val="16"/>
                <w:szCs w:val="16"/>
              </w:rPr>
              <w:t>80 espaces de travail loués, 5</w:t>
            </w:r>
            <w:r>
              <w:rPr>
                <w:sz w:val="16"/>
                <w:szCs w:val="16"/>
              </w:rPr>
              <w:t> </w:t>
            </w:r>
            <w:r w:rsidRPr="00CD000E">
              <w:rPr>
                <w:sz w:val="16"/>
                <w:szCs w:val="16"/>
              </w:rPr>
              <w:t>zones de stockage ou d’archivage hors site</w:t>
            </w:r>
          </w:p>
        </w:tc>
        <w:tc>
          <w:tcPr>
            <w:tcW w:w="831" w:type="pct"/>
            <w:gridSpan w:val="2"/>
            <w:shd w:val="clear" w:color="auto" w:fill="auto"/>
            <w:tcMar>
              <w:top w:w="110" w:type="dxa"/>
              <w:left w:w="58" w:type="dxa"/>
              <w:right w:w="58" w:type="dxa"/>
            </w:tcMar>
          </w:tcPr>
          <w:p w14:paraId="2C082F3B" w14:textId="77777777" w:rsidR="00F96912" w:rsidRPr="002820B5" w:rsidRDefault="00F96912" w:rsidP="006658D5">
            <w:pPr>
              <w:rPr>
                <w:i/>
                <w:color w:val="002060"/>
                <w:sz w:val="16"/>
                <w:szCs w:val="16"/>
              </w:rPr>
            </w:pPr>
            <w:r w:rsidRPr="00CD000E">
              <w:rPr>
                <w:i/>
                <w:color w:val="002060"/>
                <w:sz w:val="16"/>
                <w:szCs w:val="16"/>
              </w:rPr>
              <w:t>O</w:t>
            </w:r>
            <w:r w:rsidRPr="002820B5">
              <w:rPr>
                <w:i/>
                <w:color w:val="002060"/>
                <w:sz w:val="16"/>
                <w:szCs w:val="16"/>
              </w:rPr>
              <w:t>bjectif actualisé :</w:t>
            </w:r>
          </w:p>
          <w:p w14:paraId="5108ACD2" w14:textId="77777777" w:rsidR="00F96912" w:rsidRPr="002820B5" w:rsidRDefault="00F96912" w:rsidP="006658D5">
            <w:pPr>
              <w:rPr>
                <w:color w:val="002060"/>
                <w:sz w:val="16"/>
                <w:szCs w:val="16"/>
              </w:rPr>
            </w:pPr>
            <w:r w:rsidRPr="002820B5">
              <w:rPr>
                <w:color w:val="002060"/>
                <w:sz w:val="16"/>
                <w:szCs w:val="16"/>
              </w:rPr>
              <w:t>Conserver les nombres de 80 espaces de travail loués, et réduire à 4 le nombre de zones de stockage ou d’archivage hors site</w:t>
            </w:r>
          </w:p>
          <w:p w14:paraId="54DACB94" w14:textId="77777777" w:rsidR="00F96912" w:rsidRPr="001303B4" w:rsidRDefault="00F96912" w:rsidP="006658D5">
            <w:pPr>
              <w:rPr>
                <w:color w:val="000000"/>
                <w:sz w:val="16"/>
                <w:szCs w:val="16"/>
              </w:rPr>
            </w:pPr>
          </w:p>
          <w:p w14:paraId="68C0DE0E" w14:textId="77777777" w:rsidR="00F96912" w:rsidRPr="00CD000E" w:rsidRDefault="00F96912" w:rsidP="006658D5">
            <w:pPr>
              <w:rPr>
                <w:i/>
                <w:sz w:val="16"/>
                <w:szCs w:val="16"/>
                <w:lang w:bidi="th-TH"/>
              </w:rPr>
            </w:pPr>
            <w:r w:rsidRPr="00CD000E">
              <w:rPr>
                <w:i/>
                <w:sz w:val="16"/>
                <w:szCs w:val="16"/>
                <w:lang w:bidi="th-TH"/>
              </w:rPr>
              <w:t>Objectif initial dans le programme et budget 2016</w:t>
            </w:r>
            <w:r>
              <w:rPr>
                <w:i/>
                <w:sz w:val="16"/>
                <w:szCs w:val="16"/>
                <w:lang w:bidi="th-TH"/>
              </w:rPr>
              <w:noBreakHyphen/>
            </w:r>
            <w:r w:rsidRPr="00CD000E">
              <w:rPr>
                <w:i/>
                <w:sz w:val="16"/>
                <w:szCs w:val="16"/>
                <w:lang w:bidi="th-TH"/>
              </w:rPr>
              <w:t>2017 :</w:t>
            </w:r>
          </w:p>
          <w:p w14:paraId="4A13B180" w14:textId="77777777" w:rsidR="00F96912" w:rsidRPr="00CD000E" w:rsidRDefault="00F96912" w:rsidP="006658D5">
            <w:pPr>
              <w:rPr>
                <w:color w:val="000000"/>
                <w:sz w:val="16"/>
                <w:szCs w:val="16"/>
              </w:rPr>
            </w:pPr>
            <w:r w:rsidRPr="00CD000E">
              <w:rPr>
                <w:sz w:val="16"/>
                <w:szCs w:val="16"/>
              </w:rPr>
              <w:t>Conserver les nombres de 80 espaces de travail loués, et de 5</w:t>
            </w:r>
            <w:r>
              <w:rPr>
                <w:sz w:val="16"/>
                <w:szCs w:val="16"/>
              </w:rPr>
              <w:t> </w:t>
            </w:r>
            <w:r w:rsidRPr="00CD000E">
              <w:rPr>
                <w:sz w:val="16"/>
                <w:szCs w:val="16"/>
              </w:rPr>
              <w:t>zones de stockage ou d’archivage hors site</w:t>
            </w:r>
          </w:p>
        </w:tc>
        <w:tc>
          <w:tcPr>
            <w:tcW w:w="1269" w:type="pct"/>
            <w:gridSpan w:val="2"/>
            <w:shd w:val="clear" w:color="auto" w:fill="FFFFFF"/>
            <w:tcMar>
              <w:top w:w="110" w:type="dxa"/>
              <w:left w:w="58" w:type="dxa"/>
              <w:right w:w="58" w:type="dxa"/>
            </w:tcMar>
          </w:tcPr>
          <w:p w14:paraId="708D6359" w14:textId="77777777" w:rsidR="00F96912" w:rsidRPr="00CD000E" w:rsidRDefault="00F96912" w:rsidP="006658D5">
            <w:pPr>
              <w:keepNext/>
              <w:keepLines/>
              <w:rPr>
                <w:color w:val="000000"/>
                <w:sz w:val="16"/>
                <w:szCs w:val="16"/>
              </w:rPr>
            </w:pPr>
            <w:r w:rsidRPr="002820B5">
              <w:rPr>
                <w:sz w:val="16"/>
                <w:szCs w:val="16"/>
              </w:rPr>
              <w:t>80 espaces de travail loués conservés;  4 zones de stockage ou d’archivage hors site (1 de moins qu’à la fin de 2015)</w:t>
            </w:r>
          </w:p>
        </w:tc>
        <w:tc>
          <w:tcPr>
            <w:tcW w:w="530" w:type="pct"/>
            <w:gridSpan w:val="2"/>
            <w:shd w:val="clear" w:color="auto" w:fill="auto"/>
            <w:tcMar>
              <w:top w:w="110" w:type="dxa"/>
              <w:left w:w="58" w:type="dxa"/>
              <w:right w:w="58" w:type="dxa"/>
            </w:tcMar>
          </w:tcPr>
          <w:p w14:paraId="7B294417"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41258EC3" w14:textId="77777777" w:rsidTr="006658D5">
        <w:trPr>
          <w:cantSplit/>
        </w:trPr>
        <w:tc>
          <w:tcPr>
            <w:tcW w:w="1148" w:type="pct"/>
            <w:gridSpan w:val="2"/>
            <w:shd w:val="clear" w:color="auto" w:fill="auto"/>
            <w:tcMar>
              <w:left w:w="58" w:type="dxa"/>
              <w:right w:w="58" w:type="dxa"/>
            </w:tcMar>
          </w:tcPr>
          <w:p w14:paraId="4712542A" w14:textId="77777777" w:rsidR="00F96912" w:rsidRPr="00CD000E" w:rsidRDefault="00F96912" w:rsidP="006658D5">
            <w:pPr>
              <w:rPr>
                <w:color w:val="000000"/>
                <w:sz w:val="16"/>
                <w:szCs w:val="16"/>
              </w:rPr>
            </w:pPr>
            <w:r w:rsidRPr="00CD000E">
              <w:rPr>
                <w:sz w:val="16"/>
                <w:szCs w:val="16"/>
              </w:rPr>
              <w:t xml:space="preserve">Pourcentage d’articles de haute valeur </w:t>
            </w:r>
            <w:r>
              <w:rPr>
                <w:sz w:val="16"/>
                <w:szCs w:val="16"/>
              </w:rPr>
              <w:br/>
            </w:r>
            <w:r w:rsidRPr="00CD000E">
              <w:rPr>
                <w:sz w:val="16"/>
                <w:szCs w:val="16"/>
              </w:rPr>
              <w:t>(c.</w:t>
            </w:r>
            <w:r>
              <w:rPr>
                <w:sz w:val="16"/>
                <w:szCs w:val="16"/>
              </w:rPr>
              <w:noBreakHyphen/>
            </w:r>
            <w:r w:rsidRPr="00CD000E">
              <w:rPr>
                <w:sz w:val="16"/>
                <w:szCs w:val="16"/>
              </w:rPr>
              <w:t>à</w:t>
            </w:r>
            <w:r>
              <w:rPr>
                <w:sz w:val="16"/>
                <w:szCs w:val="16"/>
              </w:rPr>
              <w:noBreakHyphen/>
            </w:r>
            <w:r w:rsidRPr="00CD000E">
              <w:rPr>
                <w:sz w:val="16"/>
                <w:szCs w:val="16"/>
              </w:rPr>
              <w:t>d. &gt;</w:t>
            </w:r>
            <w:r w:rsidRPr="00CD000E">
              <w:rPr>
                <w:color w:val="000000"/>
                <w:sz w:val="16"/>
                <w:szCs w:val="16"/>
              </w:rPr>
              <w:t xml:space="preserve"> </w:t>
            </w:r>
            <w:r w:rsidRPr="00CD000E">
              <w:rPr>
                <w:sz w:val="16"/>
                <w:szCs w:val="16"/>
              </w:rPr>
              <w:t>5000 francs suisses) inventoriés</w:t>
            </w:r>
            <w:r w:rsidRPr="00CD000E">
              <w:rPr>
                <w:rStyle w:val="FootnoteReference"/>
                <w:color w:val="000000"/>
              </w:rPr>
              <w:footnoteReference w:id="94"/>
            </w:r>
          </w:p>
        </w:tc>
        <w:tc>
          <w:tcPr>
            <w:tcW w:w="1222" w:type="pct"/>
            <w:shd w:val="clear" w:color="auto" w:fill="auto"/>
            <w:tcMar>
              <w:left w:w="58" w:type="dxa"/>
              <w:right w:w="58" w:type="dxa"/>
            </w:tcMar>
          </w:tcPr>
          <w:p w14:paraId="25339791" w14:textId="77777777" w:rsidR="00F96912" w:rsidRPr="00CD000E" w:rsidRDefault="00F96912" w:rsidP="006658D5">
            <w:pPr>
              <w:rPr>
                <w:i/>
                <w:color w:val="000000"/>
                <w:sz w:val="16"/>
                <w:szCs w:val="16"/>
              </w:rPr>
            </w:pPr>
            <w:r w:rsidRPr="00CD000E">
              <w:rPr>
                <w:color w:val="000000"/>
                <w:sz w:val="16"/>
                <w:szCs w:val="16"/>
              </w:rPr>
              <w:t>95%</w:t>
            </w:r>
          </w:p>
        </w:tc>
        <w:tc>
          <w:tcPr>
            <w:tcW w:w="831" w:type="pct"/>
            <w:gridSpan w:val="2"/>
            <w:shd w:val="clear" w:color="auto" w:fill="auto"/>
            <w:tcMar>
              <w:top w:w="110" w:type="dxa"/>
              <w:left w:w="58" w:type="dxa"/>
              <w:right w:w="58" w:type="dxa"/>
            </w:tcMar>
          </w:tcPr>
          <w:p w14:paraId="474A5404" w14:textId="77777777" w:rsidR="00F96912" w:rsidRPr="00CD000E" w:rsidRDefault="00F96912" w:rsidP="006658D5">
            <w:pPr>
              <w:rPr>
                <w:color w:val="000000"/>
                <w:sz w:val="16"/>
                <w:szCs w:val="16"/>
              </w:rPr>
            </w:pPr>
            <w:r w:rsidRPr="00CD000E">
              <w:rPr>
                <w:sz w:val="16"/>
                <w:szCs w:val="16"/>
              </w:rPr>
              <w:t>Maintenir à 95%</w:t>
            </w:r>
          </w:p>
        </w:tc>
        <w:tc>
          <w:tcPr>
            <w:tcW w:w="1269" w:type="pct"/>
            <w:gridSpan w:val="2"/>
            <w:shd w:val="clear" w:color="auto" w:fill="FFFFFF"/>
            <w:tcMar>
              <w:top w:w="110" w:type="dxa"/>
              <w:left w:w="58" w:type="dxa"/>
              <w:right w:w="58" w:type="dxa"/>
            </w:tcMar>
          </w:tcPr>
          <w:p w14:paraId="0985FC17" w14:textId="77777777" w:rsidR="00F96912" w:rsidRPr="00CD000E" w:rsidRDefault="00F96912" w:rsidP="006658D5">
            <w:pPr>
              <w:keepNext/>
              <w:keepLines/>
              <w:rPr>
                <w:color w:val="000000"/>
                <w:sz w:val="16"/>
                <w:szCs w:val="16"/>
              </w:rPr>
            </w:pPr>
            <w:r w:rsidRPr="00CD000E">
              <w:rPr>
                <w:sz w:val="16"/>
                <w:szCs w:val="16"/>
              </w:rPr>
              <w:t>95% inventoriés</w:t>
            </w:r>
          </w:p>
        </w:tc>
        <w:tc>
          <w:tcPr>
            <w:tcW w:w="530" w:type="pct"/>
            <w:gridSpan w:val="2"/>
            <w:shd w:val="clear" w:color="auto" w:fill="auto"/>
            <w:tcMar>
              <w:top w:w="110" w:type="dxa"/>
              <w:left w:w="58" w:type="dxa"/>
              <w:right w:w="58" w:type="dxa"/>
            </w:tcMar>
          </w:tcPr>
          <w:p w14:paraId="7424C1A3" w14:textId="77777777" w:rsidR="00F96912" w:rsidRPr="00CD000E" w:rsidRDefault="00F96912" w:rsidP="006658D5">
            <w:pPr>
              <w:keepNext/>
              <w:keepLines/>
              <w:jc w:val="center"/>
              <w:rPr>
                <w:color w:val="000000"/>
                <w:sz w:val="16"/>
                <w:szCs w:val="16"/>
              </w:rPr>
            </w:pPr>
            <w:r w:rsidRPr="00CD000E">
              <w:rPr>
                <w:b/>
                <w:color w:val="00B050"/>
                <w:sz w:val="16"/>
                <w:szCs w:val="16"/>
              </w:rPr>
              <w:t>En bonne voie</w:t>
            </w:r>
          </w:p>
        </w:tc>
      </w:tr>
      <w:tr w:rsidR="00F96912" w:rsidRPr="00CD000E" w14:paraId="735FC020" w14:textId="77777777" w:rsidTr="006658D5">
        <w:trPr>
          <w:cantSplit/>
        </w:trPr>
        <w:tc>
          <w:tcPr>
            <w:tcW w:w="1148" w:type="pct"/>
            <w:gridSpan w:val="2"/>
            <w:shd w:val="clear" w:color="auto" w:fill="auto"/>
            <w:tcMar>
              <w:left w:w="58" w:type="dxa"/>
              <w:right w:w="58" w:type="dxa"/>
            </w:tcMar>
          </w:tcPr>
          <w:p w14:paraId="58E2B51E" w14:textId="77777777" w:rsidR="00F96912" w:rsidRPr="00CD000E" w:rsidRDefault="00F96912" w:rsidP="006658D5">
            <w:pPr>
              <w:rPr>
                <w:color w:val="000000"/>
                <w:sz w:val="16"/>
                <w:szCs w:val="16"/>
              </w:rPr>
            </w:pPr>
            <w:r w:rsidRPr="00CD000E">
              <w:rPr>
                <w:sz w:val="16"/>
                <w:szCs w:val="16"/>
              </w:rPr>
              <w:t>Pourcentage d’articles compris entre 1000 et 5000 francs suisses, œuvres d’art et articles d’une certaine valeur</w:t>
            </w:r>
          </w:p>
        </w:tc>
        <w:tc>
          <w:tcPr>
            <w:tcW w:w="1222" w:type="pct"/>
            <w:shd w:val="clear" w:color="auto" w:fill="auto"/>
            <w:tcMar>
              <w:left w:w="58" w:type="dxa"/>
              <w:right w:w="58" w:type="dxa"/>
            </w:tcMar>
          </w:tcPr>
          <w:p w14:paraId="0C4B176B" w14:textId="77777777" w:rsidR="00F96912" w:rsidRPr="00CD000E" w:rsidRDefault="00F96912" w:rsidP="006658D5">
            <w:pPr>
              <w:rPr>
                <w:color w:val="000000"/>
                <w:sz w:val="16"/>
                <w:szCs w:val="16"/>
              </w:rPr>
            </w:pPr>
            <w:proofErr w:type="spellStart"/>
            <w:r w:rsidRPr="00CD000E">
              <w:rPr>
                <w:color w:val="000000"/>
                <w:sz w:val="16"/>
                <w:szCs w:val="16"/>
              </w:rPr>
              <w:t>n.d</w:t>
            </w:r>
            <w:proofErr w:type="spellEnd"/>
            <w:r w:rsidRPr="00CD000E">
              <w:rPr>
                <w:color w:val="000000"/>
                <w:sz w:val="16"/>
                <w:szCs w:val="16"/>
              </w:rPr>
              <w:t>.</w:t>
            </w:r>
          </w:p>
        </w:tc>
        <w:tc>
          <w:tcPr>
            <w:tcW w:w="831" w:type="pct"/>
            <w:gridSpan w:val="2"/>
            <w:shd w:val="clear" w:color="auto" w:fill="auto"/>
            <w:tcMar>
              <w:top w:w="110" w:type="dxa"/>
              <w:left w:w="58" w:type="dxa"/>
              <w:right w:w="58" w:type="dxa"/>
            </w:tcMar>
          </w:tcPr>
          <w:p w14:paraId="37CE1D58" w14:textId="77777777" w:rsidR="00F96912" w:rsidRPr="00CD000E" w:rsidRDefault="00F96912" w:rsidP="006658D5">
            <w:pPr>
              <w:rPr>
                <w:color w:val="000000"/>
                <w:sz w:val="16"/>
                <w:szCs w:val="16"/>
              </w:rPr>
            </w:pPr>
            <w:r w:rsidRPr="00CD000E">
              <w:rPr>
                <w:color w:val="000000"/>
                <w:sz w:val="16"/>
                <w:szCs w:val="16"/>
              </w:rPr>
              <w:t>90%</w:t>
            </w:r>
          </w:p>
        </w:tc>
        <w:tc>
          <w:tcPr>
            <w:tcW w:w="1269" w:type="pct"/>
            <w:gridSpan w:val="2"/>
            <w:shd w:val="clear" w:color="auto" w:fill="FFFFFF"/>
            <w:tcMar>
              <w:top w:w="110" w:type="dxa"/>
              <w:left w:w="58" w:type="dxa"/>
              <w:right w:w="58" w:type="dxa"/>
            </w:tcMar>
          </w:tcPr>
          <w:p w14:paraId="794878A8" w14:textId="77777777" w:rsidR="00F96912" w:rsidRPr="00CD000E" w:rsidRDefault="00F96912" w:rsidP="006658D5">
            <w:pPr>
              <w:keepNext/>
              <w:keepLines/>
              <w:rPr>
                <w:sz w:val="16"/>
                <w:szCs w:val="16"/>
              </w:rPr>
            </w:pPr>
            <w:r w:rsidRPr="00CD000E">
              <w:rPr>
                <w:sz w:val="16"/>
                <w:szCs w:val="16"/>
              </w:rPr>
              <w:t>99% des œuvres d’art inventorié</w:t>
            </w:r>
            <w:r>
              <w:rPr>
                <w:sz w:val="16"/>
                <w:szCs w:val="16"/>
              </w:rPr>
              <w:t>es</w:t>
            </w:r>
            <w:r w:rsidRPr="00CD000E">
              <w:rPr>
                <w:rStyle w:val="FootnoteReference"/>
                <w:rFonts w:cs="Arial"/>
              </w:rPr>
              <w:footnoteReference w:id="95"/>
            </w:r>
          </w:p>
          <w:p w14:paraId="6C49AE01" w14:textId="77777777" w:rsidR="00F96912" w:rsidRPr="00CD000E" w:rsidRDefault="00F96912" w:rsidP="006658D5">
            <w:pPr>
              <w:keepNext/>
              <w:keepLines/>
              <w:rPr>
                <w:sz w:val="16"/>
                <w:szCs w:val="16"/>
              </w:rPr>
            </w:pPr>
          </w:p>
          <w:p w14:paraId="61A548A2" w14:textId="77777777" w:rsidR="00F96912" w:rsidRPr="00CD000E" w:rsidRDefault="00F96912" w:rsidP="006658D5">
            <w:pPr>
              <w:keepNext/>
              <w:keepLines/>
              <w:rPr>
                <w:sz w:val="16"/>
                <w:szCs w:val="16"/>
              </w:rPr>
            </w:pPr>
            <w:r w:rsidRPr="002820B5">
              <w:rPr>
                <w:sz w:val="16"/>
                <w:szCs w:val="16"/>
              </w:rPr>
              <w:t>Un inventaire des articles de valeur compris entre 1000 et 5000 francs suisses sera effectué en 2017</w:t>
            </w:r>
            <w:r w:rsidRPr="002820B5">
              <w:rPr>
                <w:rStyle w:val="FootnoteReference"/>
                <w:rFonts w:cs="Arial"/>
              </w:rPr>
              <w:footnoteReference w:id="96"/>
            </w:r>
          </w:p>
        </w:tc>
        <w:tc>
          <w:tcPr>
            <w:tcW w:w="530" w:type="pct"/>
            <w:gridSpan w:val="2"/>
            <w:shd w:val="clear" w:color="auto" w:fill="auto"/>
            <w:tcMar>
              <w:top w:w="110" w:type="dxa"/>
              <w:left w:w="58" w:type="dxa"/>
              <w:right w:w="58" w:type="dxa"/>
            </w:tcMar>
          </w:tcPr>
          <w:p w14:paraId="1CE05AD3"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660920AC" w14:textId="77777777" w:rsidR="00F96912" w:rsidRPr="00CD000E" w:rsidRDefault="00F96912" w:rsidP="006658D5">
            <w:pPr>
              <w:keepNext/>
              <w:keepLines/>
              <w:jc w:val="center"/>
              <w:rPr>
                <w:b/>
                <w:color w:val="00B050"/>
                <w:sz w:val="16"/>
                <w:szCs w:val="16"/>
              </w:rPr>
            </w:pPr>
          </w:p>
          <w:p w14:paraId="07376664" w14:textId="77777777" w:rsidR="00F96912" w:rsidRPr="00CD000E" w:rsidRDefault="00F96912" w:rsidP="006658D5">
            <w:pPr>
              <w:keepNext/>
              <w:keepLines/>
              <w:jc w:val="center"/>
              <w:rPr>
                <w:color w:val="000000"/>
                <w:sz w:val="16"/>
                <w:szCs w:val="16"/>
              </w:rPr>
            </w:pPr>
            <w:proofErr w:type="spellStart"/>
            <w:r w:rsidRPr="00CD000E">
              <w:rPr>
                <w:b/>
                <w:color w:val="0070C0"/>
                <w:sz w:val="16"/>
                <w:szCs w:val="16"/>
              </w:rPr>
              <w:t>n.d</w:t>
            </w:r>
            <w:proofErr w:type="spellEnd"/>
            <w:r w:rsidRPr="00CD000E">
              <w:rPr>
                <w:b/>
                <w:color w:val="0070C0"/>
                <w:sz w:val="16"/>
                <w:szCs w:val="16"/>
              </w:rPr>
              <w:t>. pour 2016</w:t>
            </w:r>
          </w:p>
        </w:tc>
      </w:tr>
      <w:tr w:rsidR="00F96912" w:rsidRPr="00CD000E" w14:paraId="185A7C4E" w14:textId="77777777" w:rsidTr="006658D5">
        <w:trPr>
          <w:cantSplit/>
        </w:trPr>
        <w:tc>
          <w:tcPr>
            <w:tcW w:w="5000" w:type="pct"/>
            <w:gridSpan w:val="9"/>
            <w:shd w:val="clear" w:color="auto" w:fill="C6D9F1" w:themeFill="text2" w:themeFillTint="33"/>
            <w:tcMar>
              <w:left w:w="58" w:type="dxa"/>
              <w:right w:w="58" w:type="dxa"/>
            </w:tcMar>
            <w:vAlign w:val="center"/>
          </w:tcPr>
          <w:p w14:paraId="3B5A7580" w14:textId="77777777" w:rsidR="00F96912" w:rsidRPr="00CD000E" w:rsidRDefault="00F96912" w:rsidP="006658D5">
            <w:pPr>
              <w:keepNext/>
              <w:keepLines/>
              <w:tabs>
                <w:tab w:val="left" w:pos="1452"/>
              </w:tabs>
              <w:rPr>
                <w:b/>
                <w:bCs/>
                <w:sz w:val="16"/>
                <w:szCs w:val="16"/>
              </w:rPr>
            </w:pPr>
            <w:r w:rsidRPr="00CD000E">
              <w:rPr>
                <w:b/>
                <w:bCs/>
                <w:sz w:val="16"/>
                <w:szCs w:val="16"/>
              </w:rPr>
              <w:t>Résultat escompté :</w:t>
            </w:r>
            <w:r w:rsidRPr="00CD000E">
              <w:rPr>
                <w:bCs/>
                <w:sz w:val="16"/>
                <w:szCs w:val="16"/>
              </w:rPr>
              <w:t xml:space="preserve"> IX.4 Une Organisation écologiquement et socialement responsable assurant la sûreté et la sécurité du personnel, des délégués, des visiteurs, de l’information et des biens</w:t>
            </w:r>
          </w:p>
        </w:tc>
      </w:tr>
      <w:tr w:rsidR="00F96912" w:rsidRPr="00CD000E" w14:paraId="225986DE" w14:textId="77777777" w:rsidTr="006658D5">
        <w:trPr>
          <w:cantSplit/>
        </w:trPr>
        <w:tc>
          <w:tcPr>
            <w:tcW w:w="1077" w:type="pct"/>
            <w:shd w:val="clear" w:color="auto" w:fill="auto"/>
            <w:tcMar>
              <w:left w:w="58" w:type="dxa"/>
              <w:right w:w="58" w:type="dxa"/>
            </w:tcMar>
            <w:vAlign w:val="center"/>
          </w:tcPr>
          <w:p w14:paraId="625F76C7" w14:textId="77777777" w:rsidR="00F96912" w:rsidRPr="00CD000E" w:rsidRDefault="00F96912" w:rsidP="006658D5">
            <w:pPr>
              <w:keepNext/>
              <w:jc w:val="center"/>
              <w:rPr>
                <w:b/>
                <w:bCs/>
                <w:sz w:val="16"/>
                <w:szCs w:val="16"/>
              </w:rPr>
            </w:pPr>
            <w:r w:rsidRPr="00CD000E">
              <w:rPr>
                <w:b/>
                <w:bCs/>
                <w:sz w:val="16"/>
                <w:szCs w:val="16"/>
              </w:rPr>
              <w:t>Indicateurs d’exécution</w:t>
            </w:r>
          </w:p>
        </w:tc>
        <w:tc>
          <w:tcPr>
            <w:tcW w:w="1312" w:type="pct"/>
            <w:gridSpan w:val="3"/>
            <w:shd w:val="clear" w:color="auto" w:fill="auto"/>
            <w:tcMar>
              <w:left w:w="58" w:type="dxa"/>
              <w:right w:w="58" w:type="dxa"/>
            </w:tcMar>
            <w:vAlign w:val="center"/>
          </w:tcPr>
          <w:p w14:paraId="035CA436" w14:textId="77777777" w:rsidR="00F96912" w:rsidRPr="00CD000E" w:rsidRDefault="00F96912" w:rsidP="006658D5">
            <w:pPr>
              <w:keepNext/>
              <w:jc w:val="center"/>
              <w:rPr>
                <w:b/>
                <w:bCs/>
                <w:sz w:val="16"/>
                <w:szCs w:val="16"/>
              </w:rPr>
            </w:pPr>
            <w:r w:rsidRPr="00CD000E">
              <w:rPr>
                <w:b/>
                <w:bCs/>
                <w:sz w:val="16"/>
                <w:szCs w:val="16"/>
              </w:rPr>
              <w:t>Niveaux de référence</w:t>
            </w:r>
          </w:p>
        </w:tc>
        <w:tc>
          <w:tcPr>
            <w:tcW w:w="937" w:type="pct"/>
            <w:gridSpan w:val="2"/>
            <w:shd w:val="clear" w:color="auto" w:fill="auto"/>
            <w:tcMar>
              <w:top w:w="110" w:type="dxa"/>
              <w:left w:w="58" w:type="dxa"/>
              <w:right w:w="58" w:type="dxa"/>
            </w:tcMar>
            <w:vAlign w:val="center"/>
          </w:tcPr>
          <w:p w14:paraId="14145F05" w14:textId="77777777" w:rsidR="00F96912" w:rsidRPr="00CD000E" w:rsidRDefault="00F96912" w:rsidP="006658D5">
            <w:pPr>
              <w:keepNext/>
              <w:jc w:val="center"/>
              <w:rPr>
                <w:b/>
                <w:bCs/>
                <w:sz w:val="16"/>
                <w:szCs w:val="16"/>
              </w:rPr>
            </w:pPr>
            <w:r w:rsidRPr="00CD000E">
              <w:rPr>
                <w:b/>
                <w:bCs/>
                <w:sz w:val="16"/>
                <w:szCs w:val="16"/>
              </w:rPr>
              <w:t>Objectifs visés</w:t>
            </w:r>
          </w:p>
        </w:tc>
        <w:tc>
          <w:tcPr>
            <w:tcW w:w="1213" w:type="pct"/>
            <w:gridSpan w:val="2"/>
            <w:shd w:val="clear" w:color="auto" w:fill="FFFFFF"/>
            <w:tcMar>
              <w:top w:w="110" w:type="dxa"/>
              <w:left w:w="58" w:type="dxa"/>
              <w:right w:w="58" w:type="dxa"/>
            </w:tcMar>
            <w:vAlign w:val="center"/>
          </w:tcPr>
          <w:p w14:paraId="6C8E0D84" w14:textId="77777777" w:rsidR="00F96912" w:rsidRPr="00CD000E" w:rsidRDefault="00F96912" w:rsidP="006658D5">
            <w:pPr>
              <w:keepNext/>
              <w:jc w:val="center"/>
              <w:rPr>
                <w:b/>
                <w:bCs/>
                <w:sz w:val="16"/>
                <w:szCs w:val="16"/>
              </w:rPr>
            </w:pPr>
            <w:r w:rsidRPr="00CD000E">
              <w:rPr>
                <w:b/>
                <w:bCs/>
                <w:sz w:val="16"/>
                <w:szCs w:val="16"/>
              </w:rPr>
              <w:t>Données relatives à l’exécution</w:t>
            </w:r>
          </w:p>
        </w:tc>
        <w:tc>
          <w:tcPr>
            <w:tcW w:w="461" w:type="pct"/>
            <w:shd w:val="clear" w:color="auto" w:fill="auto"/>
            <w:tcMar>
              <w:top w:w="110" w:type="dxa"/>
              <w:left w:w="58" w:type="dxa"/>
              <w:right w:w="58" w:type="dxa"/>
            </w:tcMar>
            <w:vAlign w:val="center"/>
          </w:tcPr>
          <w:p w14:paraId="20A984D4"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CD000E" w14:paraId="4DCD6565" w14:textId="77777777" w:rsidTr="006658D5">
        <w:trPr>
          <w:cantSplit/>
        </w:trPr>
        <w:tc>
          <w:tcPr>
            <w:tcW w:w="1077" w:type="pct"/>
            <w:shd w:val="clear" w:color="auto" w:fill="auto"/>
            <w:tcMar>
              <w:left w:w="58" w:type="dxa"/>
              <w:right w:w="58" w:type="dxa"/>
            </w:tcMar>
          </w:tcPr>
          <w:p w14:paraId="5F97C1EC" w14:textId="77777777" w:rsidR="00F96912" w:rsidRPr="00CD000E" w:rsidRDefault="00F96912" w:rsidP="006658D5">
            <w:pPr>
              <w:rPr>
                <w:color w:val="000000"/>
                <w:sz w:val="16"/>
                <w:szCs w:val="16"/>
              </w:rPr>
            </w:pPr>
            <w:r w:rsidRPr="00CD000E">
              <w:rPr>
                <w:sz w:val="16"/>
                <w:szCs w:val="16"/>
              </w:rPr>
              <w:t>Réduction de l’impact environnemental des activités de l’OMPI</w:t>
            </w:r>
          </w:p>
        </w:tc>
        <w:tc>
          <w:tcPr>
            <w:tcW w:w="1312" w:type="pct"/>
            <w:gridSpan w:val="3"/>
            <w:shd w:val="clear" w:color="auto" w:fill="auto"/>
            <w:tcMar>
              <w:left w:w="58" w:type="dxa"/>
              <w:right w:w="58" w:type="dxa"/>
            </w:tcMar>
          </w:tcPr>
          <w:p w14:paraId="5BF75B51" w14:textId="77777777" w:rsidR="00F96912" w:rsidRPr="002820B5" w:rsidRDefault="00F96912" w:rsidP="006658D5">
            <w:pPr>
              <w:rPr>
                <w:i/>
                <w:color w:val="002060"/>
                <w:sz w:val="16"/>
                <w:szCs w:val="16"/>
              </w:rPr>
            </w:pPr>
            <w:r w:rsidRPr="002820B5">
              <w:rPr>
                <w:i/>
                <w:color w:val="002060"/>
                <w:sz w:val="16"/>
                <w:szCs w:val="16"/>
              </w:rPr>
              <w:t>Niveau de référence actualisé à fin 2015 :</w:t>
            </w:r>
          </w:p>
          <w:p w14:paraId="3B77116F" w14:textId="77777777" w:rsidR="00F96912" w:rsidRPr="002820B5" w:rsidRDefault="00F96912" w:rsidP="006658D5">
            <w:pPr>
              <w:rPr>
                <w:color w:val="002060"/>
                <w:sz w:val="16"/>
                <w:szCs w:val="16"/>
              </w:rPr>
            </w:pPr>
            <w:r w:rsidRPr="002820B5">
              <w:rPr>
                <w:color w:val="002060"/>
                <w:sz w:val="16"/>
                <w:szCs w:val="16"/>
              </w:rPr>
              <w:t>Émissions de gaz à effet de serre : 7730 tonnes de CO2 (5,2 tonnes par employé recensées) en 2015</w:t>
            </w:r>
            <w:r w:rsidRPr="002820B5">
              <w:rPr>
                <w:rStyle w:val="FootnoteReference"/>
                <w:rFonts w:cs="Arial"/>
                <w:color w:val="002060"/>
              </w:rPr>
              <w:footnoteReference w:id="97"/>
            </w:r>
            <w:r>
              <w:rPr>
                <w:color w:val="002060"/>
                <w:sz w:val="16"/>
                <w:szCs w:val="16"/>
              </w:rPr>
              <w:t>.</w:t>
            </w:r>
          </w:p>
          <w:p w14:paraId="61E4B573" w14:textId="77777777" w:rsidR="00F96912" w:rsidRPr="002820B5" w:rsidRDefault="00F96912" w:rsidP="006658D5">
            <w:pPr>
              <w:rPr>
                <w:color w:val="002060"/>
                <w:sz w:val="16"/>
                <w:szCs w:val="16"/>
              </w:rPr>
            </w:pPr>
          </w:p>
          <w:p w14:paraId="1E11ECB9" w14:textId="77777777" w:rsidR="00F96912" w:rsidRPr="002820B5" w:rsidRDefault="00F96912" w:rsidP="006658D5">
            <w:pPr>
              <w:rPr>
                <w:color w:val="002060"/>
                <w:sz w:val="16"/>
                <w:szCs w:val="16"/>
              </w:rPr>
            </w:pPr>
            <w:r w:rsidRPr="002820B5">
              <w:rPr>
                <w:color w:val="002060"/>
                <w:sz w:val="16"/>
                <w:szCs w:val="16"/>
              </w:rPr>
              <w:t>En outre, en 2015, l’OMPI a compensé 6248 tonnes de CO2 par le biais de certificats de réduction des émissions (CER), étant entendu que la compensation pour le gaz naturel a été assurée directement par le fournisseur et que la compensation au titre du présent programme englobe également les voyages.</w:t>
            </w:r>
          </w:p>
          <w:p w14:paraId="30B336EC" w14:textId="77777777" w:rsidR="00F96912" w:rsidRPr="002820B5" w:rsidRDefault="00F96912" w:rsidP="006658D5">
            <w:pPr>
              <w:rPr>
                <w:color w:val="002060"/>
                <w:sz w:val="16"/>
                <w:szCs w:val="16"/>
              </w:rPr>
            </w:pPr>
          </w:p>
          <w:p w14:paraId="664EBAAC" w14:textId="77777777" w:rsidR="00F96912" w:rsidRPr="002820B5" w:rsidRDefault="00F96912" w:rsidP="006658D5">
            <w:pPr>
              <w:rPr>
                <w:color w:val="002060"/>
                <w:sz w:val="16"/>
                <w:szCs w:val="16"/>
              </w:rPr>
            </w:pPr>
            <w:r w:rsidRPr="002820B5">
              <w:rPr>
                <w:color w:val="002060"/>
                <w:sz w:val="16"/>
                <w:szCs w:val="16"/>
              </w:rPr>
              <w:t>Consommation d’énergie en 2015 pour l’ensemble des bâtiments du siège et des bâtiments loués à Genève (à l’exception des bureaux extérieurs de l’OMPI)</w:t>
            </w:r>
          </w:p>
          <w:p w14:paraId="755C4880" w14:textId="77777777" w:rsidR="00F96912" w:rsidRPr="002820B5" w:rsidRDefault="00F96912" w:rsidP="00D544B8">
            <w:pPr>
              <w:pStyle w:val="ListParagraph"/>
              <w:numPr>
                <w:ilvl w:val="0"/>
                <w:numId w:val="33"/>
              </w:numPr>
              <w:tabs>
                <w:tab w:val="left" w:pos="110"/>
              </w:tabs>
              <w:ind w:left="0" w:firstLine="0"/>
              <w:rPr>
                <w:rFonts w:ascii="Arial" w:hAnsi="Arial" w:cs="Arial"/>
                <w:color w:val="002060"/>
                <w:sz w:val="16"/>
                <w:szCs w:val="16"/>
              </w:rPr>
            </w:pPr>
            <w:r w:rsidRPr="002820B5">
              <w:rPr>
                <w:rFonts w:ascii="Arial" w:hAnsi="Arial" w:cs="Arial"/>
                <w:color w:val="002060"/>
                <w:sz w:val="16"/>
                <w:szCs w:val="16"/>
              </w:rPr>
              <w:t xml:space="preserve">électricité (8 176 493 </w:t>
            </w:r>
            <w:proofErr w:type="spellStart"/>
            <w:r w:rsidRPr="002820B5">
              <w:rPr>
                <w:rFonts w:ascii="Arial" w:hAnsi="Arial" w:cs="Arial"/>
                <w:color w:val="002060"/>
                <w:sz w:val="16"/>
                <w:szCs w:val="16"/>
              </w:rPr>
              <w:t>KwH</w:t>
            </w:r>
            <w:proofErr w:type="spellEnd"/>
            <w:r w:rsidRPr="002820B5">
              <w:rPr>
                <w:rFonts w:ascii="Arial" w:hAnsi="Arial" w:cs="Arial"/>
                <w:color w:val="002060"/>
                <w:sz w:val="16"/>
                <w:szCs w:val="16"/>
              </w:rPr>
              <w:t>),</w:t>
            </w:r>
          </w:p>
          <w:p w14:paraId="7056458B" w14:textId="77777777" w:rsidR="00F96912" w:rsidRPr="002820B5" w:rsidRDefault="00F96912" w:rsidP="00D544B8">
            <w:pPr>
              <w:pStyle w:val="ListParagraph"/>
              <w:numPr>
                <w:ilvl w:val="0"/>
                <w:numId w:val="33"/>
              </w:numPr>
              <w:tabs>
                <w:tab w:val="left" w:pos="110"/>
              </w:tabs>
              <w:ind w:left="0" w:firstLine="0"/>
              <w:rPr>
                <w:rFonts w:ascii="Arial" w:hAnsi="Arial" w:cs="Arial"/>
                <w:color w:val="002060"/>
                <w:sz w:val="16"/>
                <w:szCs w:val="16"/>
              </w:rPr>
            </w:pPr>
            <w:r w:rsidRPr="002820B5">
              <w:rPr>
                <w:rFonts w:ascii="Arial" w:hAnsi="Arial" w:cs="Arial"/>
                <w:color w:val="002060"/>
                <w:sz w:val="16"/>
                <w:szCs w:val="16"/>
              </w:rPr>
              <w:t>eau (41 647 m3),</w:t>
            </w:r>
          </w:p>
          <w:p w14:paraId="38B6C6AE" w14:textId="77777777" w:rsidR="00F96912" w:rsidRPr="002820B5" w:rsidRDefault="00F96912" w:rsidP="00D544B8">
            <w:pPr>
              <w:pStyle w:val="ListParagraph"/>
              <w:numPr>
                <w:ilvl w:val="0"/>
                <w:numId w:val="33"/>
              </w:numPr>
              <w:tabs>
                <w:tab w:val="left" w:pos="110"/>
              </w:tabs>
              <w:ind w:left="0" w:firstLine="0"/>
              <w:rPr>
                <w:rFonts w:ascii="Arial" w:hAnsi="Arial" w:cs="Arial"/>
                <w:color w:val="002060"/>
                <w:sz w:val="16"/>
                <w:szCs w:val="16"/>
              </w:rPr>
            </w:pPr>
            <w:r w:rsidRPr="002820B5">
              <w:rPr>
                <w:rFonts w:ascii="Arial" w:hAnsi="Arial" w:cs="Arial"/>
                <w:color w:val="002060"/>
                <w:sz w:val="16"/>
                <w:szCs w:val="16"/>
              </w:rPr>
              <w:t>gaz naturel (7 201</w:t>
            </w:r>
            <w:r>
              <w:rPr>
                <w:rFonts w:ascii="Arial" w:hAnsi="Arial" w:cs="Arial"/>
                <w:color w:val="002060"/>
                <w:sz w:val="16"/>
                <w:szCs w:val="16"/>
              </w:rPr>
              <w:t> </w:t>
            </w:r>
            <w:r w:rsidRPr="002820B5">
              <w:rPr>
                <w:rFonts w:ascii="Arial" w:hAnsi="Arial" w:cs="Arial"/>
                <w:color w:val="002060"/>
                <w:sz w:val="16"/>
                <w:szCs w:val="16"/>
              </w:rPr>
              <w:t>417</w:t>
            </w:r>
            <w:r>
              <w:rPr>
                <w:rFonts w:ascii="Arial" w:hAnsi="Arial" w:cs="Arial"/>
                <w:color w:val="002060"/>
                <w:sz w:val="16"/>
                <w:szCs w:val="16"/>
              </w:rPr>
              <w:t> </w:t>
            </w:r>
            <w:proofErr w:type="spellStart"/>
            <w:r w:rsidRPr="002820B5">
              <w:rPr>
                <w:rFonts w:ascii="Arial" w:hAnsi="Arial" w:cs="Arial"/>
                <w:color w:val="002060"/>
                <w:sz w:val="16"/>
                <w:szCs w:val="16"/>
              </w:rPr>
              <w:t>KwH</w:t>
            </w:r>
            <w:proofErr w:type="spellEnd"/>
            <w:r w:rsidRPr="002820B5">
              <w:rPr>
                <w:rFonts w:ascii="Arial" w:hAnsi="Arial" w:cs="Arial"/>
                <w:color w:val="002060"/>
                <w:sz w:val="16"/>
                <w:szCs w:val="16"/>
              </w:rPr>
              <w:t>),</w:t>
            </w:r>
          </w:p>
          <w:p w14:paraId="56F0CB50" w14:textId="77777777" w:rsidR="00F96912" w:rsidRPr="002820B5" w:rsidRDefault="00F96912" w:rsidP="00D544B8">
            <w:pPr>
              <w:pStyle w:val="ListParagraph"/>
              <w:numPr>
                <w:ilvl w:val="0"/>
                <w:numId w:val="33"/>
              </w:numPr>
              <w:tabs>
                <w:tab w:val="left" w:pos="110"/>
              </w:tabs>
              <w:ind w:left="0" w:firstLine="0"/>
              <w:rPr>
                <w:rFonts w:ascii="Arial" w:hAnsi="Arial" w:cs="Arial"/>
                <w:color w:val="002060"/>
                <w:sz w:val="16"/>
                <w:szCs w:val="16"/>
              </w:rPr>
            </w:pPr>
            <w:r w:rsidRPr="002820B5">
              <w:rPr>
                <w:rFonts w:ascii="Arial" w:hAnsi="Arial" w:cs="Arial"/>
                <w:color w:val="002060"/>
                <w:sz w:val="16"/>
                <w:szCs w:val="16"/>
              </w:rPr>
              <w:t>fioul domestique (5050 l) (princ</w:t>
            </w:r>
            <w:r>
              <w:rPr>
                <w:rFonts w:ascii="Arial" w:hAnsi="Arial" w:cs="Arial"/>
                <w:color w:val="002060"/>
                <w:sz w:val="16"/>
                <w:szCs w:val="16"/>
              </w:rPr>
              <w:t>ipalement</w:t>
            </w:r>
            <w:r w:rsidRPr="002820B5">
              <w:rPr>
                <w:rFonts w:ascii="Arial" w:hAnsi="Arial" w:cs="Arial"/>
                <w:color w:val="002060"/>
                <w:sz w:val="16"/>
                <w:szCs w:val="16"/>
              </w:rPr>
              <w:t xml:space="preserve"> pour les générateurs)</w:t>
            </w:r>
          </w:p>
          <w:p w14:paraId="6EB4AE8D" w14:textId="77777777" w:rsidR="00F96912" w:rsidRPr="002820B5" w:rsidRDefault="00F96912" w:rsidP="006658D5">
            <w:pPr>
              <w:rPr>
                <w:color w:val="000000"/>
                <w:sz w:val="16"/>
                <w:szCs w:val="16"/>
              </w:rPr>
            </w:pPr>
          </w:p>
          <w:p w14:paraId="2499460B" w14:textId="77777777" w:rsidR="00F96912" w:rsidRPr="002820B5" w:rsidRDefault="00F96912" w:rsidP="006658D5">
            <w:pPr>
              <w:rPr>
                <w:i/>
                <w:color w:val="000000"/>
                <w:sz w:val="16"/>
                <w:szCs w:val="16"/>
              </w:rPr>
            </w:pPr>
            <w:r w:rsidRPr="002820B5">
              <w:rPr>
                <w:i/>
                <w:color w:val="000000"/>
                <w:sz w:val="16"/>
                <w:szCs w:val="16"/>
              </w:rPr>
              <w:t>Niveau de référence initial dans le programme et budget 2016</w:t>
            </w:r>
            <w:r w:rsidRPr="002820B5">
              <w:rPr>
                <w:i/>
                <w:color w:val="000000"/>
                <w:sz w:val="16"/>
                <w:szCs w:val="16"/>
              </w:rPr>
              <w:noBreakHyphen/>
              <w:t>2017 :</w:t>
            </w:r>
          </w:p>
          <w:p w14:paraId="2720E05A" w14:textId="77777777" w:rsidR="00F96912" w:rsidRPr="002820B5" w:rsidRDefault="00F96912" w:rsidP="006658D5">
            <w:pPr>
              <w:rPr>
                <w:color w:val="000000"/>
                <w:sz w:val="16"/>
                <w:szCs w:val="16"/>
              </w:rPr>
            </w:pPr>
            <w:r w:rsidRPr="002820B5">
              <w:rPr>
                <w:sz w:val="16"/>
                <w:szCs w:val="16"/>
              </w:rPr>
              <w:t>A.  L’engagement pris dans le cadre de la neutralité climatique de l’Organisation des Nations Unies annoncée par le Secrétaire général de l’ONU en septembre 2014</w:t>
            </w:r>
            <w:r w:rsidRPr="002820B5">
              <w:rPr>
                <w:color w:val="000000"/>
                <w:sz w:val="16"/>
                <w:szCs w:val="16"/>
              </w:rPr>
              <w:br/>
              <w:t>B</w:t>
            </w:r>
            <w:r w:rsidRPr="002820B5">
              <w:rPr>
                <w:sz w:val="16"/>
                <w:szCs w:val="16"/>
              </w:rPr>
              <w:t>.  L’engagement pris envers le pays hôte et les règles locales en matière de consommation d’énergie</w:t>
            </w:r>
            <w:r w:rsidRPr="002820B5">
              <w:rPr>
                <w:sz w:val="16"/>
                <w:szCs w:val="16"/>
              </w:rPr>
              <w:br/>
            </w:r>
            <w:r w:rsidRPr="002820B5">
              <w:rPr>
                <w:color w:val="000000"/>
                <w:sz w:val="16"/>
                <w:szCs w:val="16"/>
              </w:rPr>
              <w:t>C.</w:t>
            </w:r>
            <w:r w:rsidRPr="002820B5">
              <w:rPr>
                <w:color w:val="000000"/>
                <w:sz w:val="16"/>
              </w:rPr>
              <w:t xml:space="preserve">  </w:t>
            </w:r>
            <w:r w:rsidRPr="002820B5">
              <w:rPr>
                <w:sz w:val="16"/>
                <w:szCs w:val="16"/>
              </w:rPr>
              <w:t>Le niveau de consommation d’énergie à la fin de 2015</w:t>
            </w:r>
          </w:p>
        </w:tc>
        <w:tc>
          <w:tcPr>
            <w:tcW w:w="937" w:type="pct"/>
            <w:gridSpan w:val="2"/>
            <w:shd w:val="clear" w:color="auto" w:fill="auto"/>
            <w:tcMar>
              <w:top w:w="110" w:type="dxa"/>
              <w:left w:w="58" w:type="dxa"/>
              <w:right w:w="58" w:type="dxa"/>
            </w:tcMar>
          </w:tcPr>
          <w:p w14:paraId="334B93B2" w14:textId="77777777" w:rsidR="00F96912" w:rsidRPr="002820B5" w:rsidRDefault="00F96912" w:rsidP="006658D5">
            <w:pPr>
              <w:rPr>
                <w:color w:val="000000"/>
                <w:sz w:val="16"/>
                <w:szCs w:val="16"/>
              </w:rPr>
            </w:pPr>
            <w:r w:rsidRPr="002820B5">
              <w:rPr>
                <w:color w:val="000000"/>
                <w:sz w:val="16"/>
                <w:szCs w:val="16"/>
              </w:rPr>
              <w:t>A.  Maintenir les émissions de carbone et de gaz à effet de serre aux niveaux de fin 2015</w:t>
            </w:r>
            <w:r w:rsidRPr="002820B5">
              <w:rPr>
                <w:rStyle w:val="FootnoteReference"/>
                <w:rFonts w:cs="Arial"/>
                <w:color w:val="000000"/>
              </w:rPr>
              <w:footnoteReference w:id="98"/>
            </w:r>
          </w:p>
          <w:p w14:paraId="756DD393" w14:textId="77777777" w:rsidR="00F96912" w:rsidRPr="002820B5" w:rsidRDefault="00F96912" w:rsidP="006658D5">
            <w:pPr>
              <w:rPr>
                <w:color w:val="000000"/>
                <w:sz w:val="16"/>
                <w:szCs w:val="16"/>
              </w:rPr>
            </w:pPr>
          </w:p>
          <w:p w14:paraId="115AAC49" w14:textId="77777777" w:rsidR="00F96912" w:rsidRPr="002820B5" w:rsidRDefault="00F96912" w:rsidP="006658D5">
            <w:pPr>
              <w:rPr>
                <w:color w:val="000000"/>
                <w:sz w:val="16"/>
                <w:szCs w:val="16"/>
              </w:rPr>
            </w:pPr>
            <w:r w:rsidRPr="002820B5">
              <w:rPr>
                <w:color w:val="000000"/>
                <w:sz w:val="16"/>
                <w:szCs w:val="16"/>
              </w:rPr>
              <w:t>B.  Mise en œuvre d’ici fin 2017 de mesures visant à maintenir la consommation d’énergie aux niveaux de fin 2015 dans des conditions météorologiques comparables (pour l’électricité, l’eau, le gaz et le fioul domestique)</w:t>
            </w:r>
          </w:p>
        </w:tc>
        <w:tc>
          <w:tcPr>
            <w:tcW w:w="1213" w:type="pct"/>
            <w:gridSpan w:val="2"/>
            <w:shd w:val="clear" w:color="auto" w:fill="FFFFFF"/>
            <w:tcMar>
              <w:top w:w="110" w:type="dxa"/>
              <w:left w:w="58" w:type="dxa"/>
              <w:right w:w="58" w:type="dxa"/>
            </w:tcMar>
          </w:tcPr>
          <w:p w14:paraId="5E9025FD" w14:textId="77777777" w:rsidR="00F96912" w:rsidRPr="002820B5" w:rsidRDefault="00F96912" w:rsidP="006658D5">
            <w:pPr>
              <w:rPr>
                <w:sz w:val="16"/>
                <w:szCs w:val="16"/>
              </w:rPr>
            </w:pPr>
            <w:r w:rsidRPr="002820B5">
              <w:rPr>
                <w:sz w:val="16"/>
                <w:szCs w:val="16"/>
              </w:rPr>
              <w:t>Les émissions de carbone et de gaz à effet de serre devraient rester à des niveaux comparables à ceux de 2015 sur la base des données brutes de 2016</w:t>
            </w:r>
            <w:r w:rsidRPr="002820B5">
              <w:rPr>
                <w:rStyle w:val="FootnoteReference"/>
                <w:rFonts w:cs="Arial"/>
              </w:rPr>
              <w:footnoteReference w:id="99"/>
            </w:r>
          </w:p>
          <w:p w14:paraId="5B0E40F6" w14:textId="77777777" w:rsidR="00F96912" w:rsidRPr="002820B5" w:rsidRDefault="00F96912" w:rsidP="006658D5">
            <w:pPr>
              <w:rPr>
                <w:sz w:val="16"/>
                <w:szCs w:val="16"/>
              </w:rPr>
            </w:pPr>
          </w:p>
          <w:p w14:paraId="4CDF0657" w14:textId="77777777" w:rsidR="00F96912" w:rsidRPr="002820B5" w:rsidRDefault="00F96912" w:rsidP="006658D5">
            <w:pPr>
              <w:rPr>
                <w:sz w:val="16"/>
                <w:szCs w:val="16"/>
              </w:rPr>
            </w:pPr>
            <w:r w:rsidRPr="002820B5">
              <w:rPr>
                <w:sz w:val="16"/>
                <w:szCs w:val="16"/>
              </w:rPr>
              <w:t>Consommation d’énergie en 2016 pour l’ensemble des bâtiments du siège et des bâtiments loués à Genève (par rapport à 2015) :</w:t>
            </w:r>
          </w:p>
          <w:p w14:paraId="230323CE" w14:textId="77777777" w:rsidR="00F96912" w:rsidRPr="002820B5" w:rsidRDefault="00F96912" w:rsidP="006658D5">
            <w:pPr>
              <w:rPr>
                <w:sz w:val="16"/>
                <w:szCs w:val="16"/>
              </w:rPr>
            </w:pPr>
          </w:p>
          <w:p w14:paraId="4A815467" w14:textId="77777777" w:rsidR="00F96912" w:rsidRPr="002820B5" w:rsidRDefault="00F96912" w:rsidP="006658D5">
            <w:pPr>
              <w:rPr>
                <w:sz w:val="16"/>
                <w:szCs w:val="16"/>
              </w:rPr>
            </w:pPr>
            <w:r w:rsidRPr="002820B5">
              <w:rPr>
                <w:sz w:val="16"/>
                <w:szCs w:val="16"/>
              </w:rPr>
              <w:t>– électricité : 7 758 000 kWh (baisse de 5,1%), essentiellement due à l’installation de capteurs de présence et de luminaires consommant moins d’énergie;</w:t>
            </w:r>
          </w:p>
          <w:p w14:paraId="5E8FC098" w14:textId="77777777" w:rsidR="00F96912" w:rsidRPr="002820B5" w:rsidRDefault="00F96912" w:rsidP="006658D5">
            <w:pPr>
              <w:rPr>
                <w:sz w:val="16"/>
                <w:szCs w:val="16"/>
              </w:rPr>
            </w:pPr>
            <w:r w:rsidRPr="002820B5">
              <w:rPr>
                <w:sz w:val="16"/>
                <w:szCs w:val="16"/>
              </w:rPr>
              <w:t>– eau : 40 654 m</w:t>
            </w:r>
            <w:r w:rsidRPr="002820B5">
              <w:rPr>
                <w:sz w:val="16"/>
                <w:szCs w:val="16"/>
                <w:vertAlign w:val="superscript"/>
              </w:rPr>
              <w:t>3</w:t>
            </w:r>
            <w:r w:rsidRPr="002820B5">
              <w:rPr>
                <w:sz w:val="16"/>
                <w:szCs w:val="16"/>
              </w:rPr>
              <w:t xml:space="preserve"> (baisse de 2,4%) résultant d’une diminution de la consommation;</w:t>
            </w:r>
          </w:p>
          <w:p w14:paraId="4BDC6481" w14:textId="77777777" w:rsidR="00F96912" w:rsidRPr="002820B5" w:rsidRDefault="00F96912" w:rsidP="006658D5">
            <w:pPr>
              <w:rPr>
                <w:sz w:val="16"/>
                <w:szCs w:val="16"/>
              </w:rPr>
            </w:pPr>
            <w:r w:rsidRPr="002820B5">
              <w:rPr>
                <w:sz w:val="16"/>
                <w:szCs w:val="16"/>
              </w:rPr>
              <w:t>– gaz naturel : 7 550 012 kWh (hausse de 4,8%) due essentiellement à un hiver 2016 plus froid;</w:t>
            </w:r>
          </w:p>
          <w:p w14:paraId="6108882C" w14:textId="77777777" w:rsidR="00F96912" w:rsidRPr="002820B5" w:rsidRDefault="00F96912" w:rsidP="006658D5">
            <w:pPr>
              <w:rPr>
                <w:color w:val="000000"/>
                <w:sz w:val="16"/>
                <w:szCs w:val="16"/>
              </w:rPr>
            </w:pPr>
            <w:r w:rsidRPr="002820B5">
              <w:rPr>
                <w:sz w:val="16"/>
                <w:szCs w:val="16"/>
              </w:rPr>
              <w:t xml:space="preserve">– fioul domestique : (5500 l) (hausse de 9%), essentiellement due à la décision de tester périodiquement les générateurs de secours sur une plus longue durée.  </w:t>
            </w:r>
          </w:p>
        </w:tc>
        <w:tc>
          <w:tcPr>
            <w:tcW w:w="461" w:type="pct"/>
            <w:shd w:val="clear" w:color="auto" w:fill="auto"/>
            <w:tcMar>
              <w:top w:w="110" w:type="dxa"/>
              <w:left w:w="58" w:type="dxa"/>
              <w:right w:w="58" w:type="dxa"/>
            </w:tcMar>
          </w:tcPr>
          <w:p w14:paraId="1F5CDBA0"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48624238" w14:textId="77777777" w:rsidR="00F96912" w:rsidRPr="00CD000E" w:rsidRDefault="00F96912" w:rsidP="006658D5">
            <w:pPr>
              <w:keepNext/>
              <w:keepLines/>
              <w:jc w:val="center"/>
              <w:rPr>
                <w:b/>
                <w:color w:val="00B050"/>
                <w:sz w:val="16"/>
                <w:szCs w:val="16"/>
              </w:rPr>
            </w:pPr>
          </w:p>
          <w:p w14:paraId="7C9347EA" w14:textId="77777777" w:rsidR="00F96912" w:rsidRPr="00CD000E" w:rsidRDefault="00F96912" w:rsidP="006658D5">
            <w:pPr>
              <w:keepNext/>
              <w:keepLines/>
              <w:jc w:val="center"/>
              <w:rPr>
                <w:b/>
                <w:color w:val="00B050"/>
                <w:sz w:val="16"/>
                <w:szCs w:val="16"/>
              </w:rPr>
            </w:pPr>
          </w:p>
          <w:p w14:paraId="393AD997" w14:textId="77777777" w:rsidR="00F96912" w:rsidRPr="00CD000E" w:rsidRDefault="00F96912" w:rsidP="006658D5">
            <w:pPr>
              <w:keepNext/>
              <w:keepLines/>
              <w:jc w:val="center"/>
              <w:rPr>
                <w:b/>
                <w:color w:val="00B050"/>
                <w:sz w:val="16"/>
                <w:szCs w:val="16"/>
              </w:rPr>
            </w:pPr>
          </w:p>
          <w:p w14:paraId="21BA39D1" w14:textId="77777777" w:rsidR="00F96912" w:rsidRPr="00CD000E" w:rsidRDefault="00F96912" w:rsidP="006658D5">
            <w:pPr>
              <w:keepNext/>
              <w:keepLines/>
              <w:rPr>
                <w:b/>
                <w:color w:val="00B050"/>
                <w:sz w:val="16"/>
                <w:szCs w:val="16"/>
              </w:rPr>
            </w:pPr>
          </w:p>
          <w:p w14:paraId="0048D71A" w14:textId="77777777" w:rsidR="00F96912" w:rsidRPr="00CD000E" w:rsidRDefault="00F96912" w:rsidP="006658D5">
            <w:pPr>
              <w:keepNext/>
              <w:keepLines/>
              <w:jc w:val="center"/>
              <w:rPr>
                <w:b/>
                <w:color w:val="00B050"/>
                <w:sz w:val="16"/>
                <w:szCs w:val="16"/>
              </w:rPr>
            </w:pPr>
          </w:p>
          <w:p w14:paraId="0570C190" w14:textId="77777777" w:rsidR="00F96912" w:rsidRPr="00CD000E" w:rsidRDefault="00F96912" w:rsidP="006658D5">
            <w:pPr>
              <w:keepNext/>
              <w:keepLines/>
              <w:jc w:val="center"/>
              <w:rPr>
                <w:b/>
                <w:color w:val="00B050"/>
                <w:sz w:val="16"/>
                <w:szCs w:val="16"/>
              </w:rPr>
            </w:pPr>
          </w:p>
          <w:p w14:paraId="51BE5EDF" w14:textId="77777777" w:rsidR="00F96912" w:rsidRPr="00CD000E" w:rsidRDefault="00F96912" w:rsidP="006658D5">
            <w:pPr>
              <w:keepNext/>
              <w:keepLines/>
              <w:jc w:val="center"/>
              <w:rPr>
                <w:b/>
                <w:color w:val="00B050"/>
                <w:sz w:val="16"/>
                <w:szCs w:val="16"/>
              </w:rPr>
            </w:pPr>
          </w:p>
          <w:p w14:paraId="0F4A63A6" w14:textId="77777777" w:rsidR="00F96912" w:rsidRPr="00CD000E" w:rsidRDefault="00F96912" w:rsidP="006658D5">
            <w:pPr>
              <w:keepNext/>
              <w:keepLines/>
              <w:jc w:val="center"/>
              <w:rPr>
                <w:b/>
                <w:color w:val="00B050"/>
                <w:sz w:val="16"/>
                <w:szCs w:val="16"/>
              </w:rPr>
            </w:pPr>
          </w:p>
          <w:p w14:paraId="33DD8157" w14:textId="77777777" w:rsidR="00F96912" w:rsidRPr="00CD000E" w:rsidRDefault="00F96912" w:rsidP="006658D5">
            <w:pPr>
              <w:keepNext/>
              <w:keepLines/>
              <w:jc w:val="center"/>
              <w:rPr>
                <w:b/>
                <w:color w:val="00B050"/>
                <w:sz w:val="16"/>
                <w:szCs w:val="16"/>
              </w:rPr>
            </w:pPr>
          </w:p>
          <w:p w14:paraId="53B7BC9F" w14:textId="77777777" w:rsidR="00F96912" w:rsidRDefault="00F96912" w:rsidP="006658D5">
            <w:pPr>
              <w:keepNext/>
              <w:keepLines/>
              <w:jc w:val="center"/>
              <w:rPr>
                <w:b/>
                <w:color w:val="00B050"/>
                <w:sz w:val="16"/>
                <w:szCs w:val="16"/>
              </w:rPr>
            </w:pPr>
          </w:p>
          <w:p w14:paraId="4ACC0DAE" w14:textId="77777777" w:rsidR="00F96912" w:rsidRPr="00CD000E" w:rsidRDefault="00F96912" w:rsidP="006658D5">
            <w:pPr>
              <w:keepNext/>
              <w:keepLines/>
              <w:jc w:val="center"/>
              <w:rPr>
                <w:b/>
                <w:color w:val="00B050"/>
                <w:sz w:val="16"/>
                <w:szCs w:val="16"/>
              </w:rPr>
            </w:pPr>
          </w:p>
          <w:p w14:paraId="1135B7F6"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54DF137C" w14:textId="77777777" w:rsidR="00F96912" w:rsidRPr="00CD000E" w:rsidRDefault="00F96912" w:rsidP="006658D5">
            <w:pPr>
              <w:keepNext/>
              <w:keepLines/>
              <w:jc w:val="center"/>
              <w:rPr>
                <w:b/>
                <w:color w:val="00B050"/>
                <w:sz w:val="16"/>
                <w:szCs w:val="16"/>
              </w:rPr>
            </w:pPr>
          </w:p>
          <w:p w14:paraId="0CFB61F4" w14:textId="77777777" w:rsidR="00F96912" w:rsidRPr="00CD000E" w:rsidRDefault="00F96912" w:rsidP="006658D5">
            <w:pPr>
              <w:keepNext/>
              <w:keepLines/>
              <w:jc w:val="center"/>
              <w:rPr>
                <w:color w:val="000000"/>
                <w:sz w:val="16"/>
                <w:szCs w:val="16"/>
              </w:rPr>
            </w:pPr>
          </w:p>
          <w:p w14:paraId="22E98251" w14:textId="77777777" w:rsidR="00F96912" w:rsidRPr="00CD000E" w:rsidRDefault="00F96912" w:rsidP="006658D5">
            <w:pPr>
              <w:keepNext/>
              <w:keepLines/>
              <w:jc w:val="center"/>
              <w:rPr>
                <w:color w:val="000000"/>
                <w:sz w:val="16"/>
                <w:szCs w:val="16"/>
              </w:rPr>
            </w:pPr>
          </w:p>
          <w:p w14:paraId="73392B80" w14:textId="77777777" w:rsidR="00F96912" w:rsidRPr="00CD000E" w:rsidRDefault="00F96912" w:rsidP="006658D5">
            <w:pPr>
              <w:keepNext/>
              <w:keepLines/>
              <w:jc w:val="center"/>
              <w:rPr>
                <w:color w:val="000000"/>
                <w:sz w:val="16"/>
                <w:szCs w:val="16"/>
              </w:rPr>
            </w:pPr>
          </w:p>
          <w:p w14:paraId="7346B1AD" w14:textId="77777777" w:rsidR="00F96912" w:rsidRPr="00CD000E" w:rsidRDefault="00F96912" w:rsidP="006658D5">
            <w:pPr>
              <w:keepNext/>
              <w:keepLines/>
              <w:jc w:val="center"/>
              <w:rPr>
                <w:b/>
                <w:color w:val="00B050"/>
                <w:sz w:val="16"/>
                <w:szCs w:val="16"/>
              </w:rPr>
            </w:pPr>
            <w:r w:rsidRPr="00CD000E">
              <w:rPr>
                <w:b/>
                <w:color w:val="00B050"/>
                <w:sz w:val="16"/>
                <w:szCs w:val="16"/>
              </w:rPr>
              <w:t>En bonne voie</w:t>
            </w:r>
          </w:p>
          <w:p w14:paraId="7A1B3481" w14:textId="77777777" w:rsidR="00F96912" w:rsidRPr="00CD000E" w:rsidRDefault="00F96912" w:rsidP="006658D5">
            <w:pPr>
              <w:keepNext/>
              <w:keepLines/>
              <w:jc w:val="center"/>
              <w:rPr>
                <w:color w:val="000000"/>
                <w:sz w:val="16"/>
                <w:szCs w:val="16"/>
              </w:rPr>
            </w:pPr>
          </w:p>
          <w:p w14:paraId="00BA200B" w14:textId="77777777" w:rsidR="00F96912" w:rsidRPr="00CD000E" w:rsidRDefault="00F96912" w:rsidP="006658D5">
            <w:pPr>
              <w:keepNext/>
              <w:keepLines/>
              <w:jc w:val="center"/>
              <w:rPr>
                <w:color w:val="000000"/>
                <w:sz w:val="16"/>
                <w:szCs w:val="16"/>
              </w:rPr>
            </w:pPr>
          </w:p>
          <w:p w14:paraId="7F6BFE1D" w14:textId="77777777" w:rsidR="00F96912" w:rsidRPr="00CD000E" w:rsidRDefault="00F96912" w:rsidP="006658D5">
            <w:pPr>
              <w:keepNext/>
              <w:keepLines/>
              <w:jc w:val="center"/>
              <w:rPr>
                <w:b/>
                <w:color w:val="FF0000"/>
                <w:sz w:val="16"/>
                <w:szCs w:val="16"/>
              </w:rPr>
            </w:pPr>
            <w:r w:rsidRPr="00CD000E">
              <w:rPr>
                <w:b/>
                <w:color w:val="FF0000"/>
                <w:sz w:val="16"/>
                <w:szCs w:val="16"/>
              </w:rPr>
              <w:t>Pas en bonne voie</w:t>
            </w:r>
          </w:p>
          <w:p w14:paraId="6D00A09C" w14:textId="77777777" w:rsidR="00F96912" w:rsidRPr="00CD000E" w:rsidRDefault="00F96912" w:rsidP="006658D5">
            <w:pPr>
              <w:keepNext/>
              <w:keepLines/>
              <w:jc w:val="center"/>
              <w:rPr>
                <w:b/>
                <w:color w:val="FF0000"/>
                <w:sz w:val="16"/>
                <w:szCs w:val="16"/>
              </w:rPr>
            </w:pPr>
          </w:p>
          <w:p w14:paraId="4C1E72A3" w14:textId="77777777" w:rsidR="00F96912" w:rsidRPr="00CD000E" w:rsidRDefault="00F96912" w:rsidP="006658D5">
            <w:pPr>
              <w:keepNext/>
              <w:keepLines/>
              <w:jc w:val="center"/>
              <w:rPr>
                <w:b/>
                <w:color w:val="FF0000"/>
                <w:sz w:val="16"/>
                <w:szCs w:val="16"/>
              </w:rPr>
            </w:pPr>
          </w:p>
          <w:p w14:paraId="4720BBB2" w14:textId="77777777" w:rsidR="00F96912" w:rsidRPr="00CD000E" w:rsidRDefault="00F96912" w:rsidP="006658D5">
            <w:pPr>
              <w:keepNext/>
              <w:keepLines/>
              <w:jc w:val="center"/>
              <w:rPr>
                <w:b/>
                <w:color w:val="000000"/>
                <w:sz w:val="16"/>
                <w:szCs w:val="16"/>
              </w:rPr>
            </w:pPr>
            <w:r w:rsidRPr="00CD000E">
              <w:rPr>
                <w:b/>
                <w:color w:val="FF0000"/>
                <w:sz w:val="16"/>
                <w:szCs w:val="16"/>
              </w:rPr>
              <w:t>Pas en bonne voie</w:t>
            </w:r>
          </w:p>
        </w:tc>
      </w:tr>
      <w:tr w:rsidR="00F96912" w:rsidRPr="00CD000E" w14:paraId="669EBF8B" w14:textId="77777777" w:rsidTr="006658D5">
        <w:trPr>
          <w:cantSplit/>
        </w:trPr>
        <w:tc>
          <w:tcPr>
            <w:tcW w:w="1077" w:type="pct"/>
            <w:shd w:val="clear" w:color="auto" w:fill="auto"/>
            <w:tcMar>
              <w:left w:w="58" w:type="dxa"/>
              <w:right w:w="58" w:type="dxa"/>
            </w:tcMar>
          </w:tcPr>
          <w:p w14:paraId="5BB7A357" w14:textId="77777777" w:rsidR="00F96912" w:rsidRPr="00CD000E" w:rsidRDefault="00F96912" w:rsidP="006658D5">
            <w:pPr>
              <w:rPr>
                <w:color w:val="000000"/>
                <w:sz w:val="16"/>
                <w:szCs w:val="16"/>
              </w:rPr>
            </w:pPr>
            <w:r w:rsidRPr="00CD000E">
              <w:rPr>
                <w:sz w:val="16"/>
                <w:szCs w:val="16"/>
              </w:rPr>
              <w:t xml:space="preserve">Amélioration de l’accès physique au </w:t>
            </w:r>
            <w:r>
              <w:rPr>
                <w:sz w:val="16"/>
                <w:szCs w:val="16"/>
              </w:rPr>
              <w:t>site</w:t>
            </w:r>
            <w:r w:rsidRPr="00CD000E">
              <w:rPr>
                <w:sz w:val="16"/>
                <w:szCs w:val="16"/>
              </w:rPr>
              <w:t xml:space="preserve"> de l’OMPI</w:t>
            </w:r>
            <w:r w:rsidRPr="00CD000E">
              <w:rPr>
                <w:color w:val="000000"/>
                <w:sz w:val="16"/>
                <w:szCs w:val="16"/>
              </w:rPr>
              <w:t xml:space="preserve"> </w:t>
            </w:r>
          </w:p>
        </w:tc>
        <w:tc>
          <w:tcPr>
            <w:tcW w:w="1312" w:type="pct"/>
            <w:gridSpan w:val="3"/>
            <w:shd w:val="clear" w:color="auto" w:fill="auto"/>
            <w:tcMar>
              <w:left w:w="58" w:type="dxa"/>
              <w:right w:w="58" w:type="dxa"/>
            </w:tcMar>
          </w:tcPr>
          <w:p w14:paraId="2F021DAB" w14:textId="77777777" w:rsidR="00F96912" w:rsidRPr="002820B5" w:rsidRDefault="00F96912" w:rsidP="006658D5">
            <w:pPr>
              <w:rPr>
                <w:i/>
                <w:color w:val="002060"/>
                <w:sz w:val="16"/>
                <w:szCs w:val="16"/>
              </w:rPr>
            </w:pPr>
            <w:r w:rsidRPr="002820B5">
              <w:rPr>
                <w:i/>
                <w:color w:val="002060"/>
                <w:sz w:val="16"/>
                <w:szCs w:val="16"/>
              </w:rPr>
              <w:t>Niveau de référence actualisé à fin 2015 :</w:t>
            </w:r>
          </w:p>
          <w:p w14:paraId="7F38F385" w14:textId="77777777" w:rsidR="00F96912" w:rsidRPr="002820B5" w:rsidRDefault="00F96912" w:rsidP="006658D5">
            <w:pPr>
              <w:pStyle w:val="CommentText"/>
              <w:rPr>
                <w:color w:val="002060"/>
                <w:sz w:val="16"/>
                <w:szCs w:val="16"/>
              </w:rPr>
            </w:pPr>
            <w:r w:rsidRPr="002820B5">
              <w:rPr>
                <w:color w:val="002060"/>
                <w:sz w:val="16"/>
                <w:szCs w:val="16"/>
              </w:rPr>
              <w:t>Nombre de lecteurs de badge à abaisser :</w:t>
            </w:r>
          </w:p>
          <w:p w14:paraId="46E343AE" w14:textId="77777777" w:rsidR="00F96912" w:rsidRPr="002820B5" w:rsidRDefault="00F96912" w:rsidP="006658D5">
            <w:pPr>
              <w:pStyle w:val="CommentText"/>
              <w:rPr>
                <w:color w:val="002060"/>
                <w:sz w:val="16"/>
                <w:szCs w:val="16"/>
              </w:rPr>
            </w:pPr>
            <w:r w:rsidRPr="002820B5">
              <w:rPr>
                <w:color w:val="002060"/>
                <w:sz w:val="16"/>
                <w:szCs w:val="16"/>
              </w:rPr>
              <w:t>– AB (6)</w:t>
            </w:r>
          </w:p>
          <w:p w14:paraId="17A8488C" w14:textId="77777777" w:rsidR="00F96912" w:rsidRPr="002820B5" w:rsidRDefault="00F96912" w:rsidP="006658D5">
            <w:pPr>
              <w:pStyle w:val="CommentText"/>
              <w:rPr>
                <w:color w:val="002060"/>
                <w:sz w:val="16"/>
                <w:szCs w:val="16"/>
              </w:rPr>
            </w:pPr>
            <w:r w:rsidRPr="002820B5">
              <w:rPr>
                <w:color w:val="002060"/>
                <w:sz w:val="16"/>
                <w:szCs w:val="16"/>
              </w:rPr>
              <w:t>– GBI et GBII (4)</w:t>
            </w:r>
          </w:p>
          <w:p w14:paraId="2DF3F0A3" w14:textId="77777777" w:rsidR="00F96912" w:rsidRPr="002820B5" w:rsidRDefault="00F96912" w:rsidP="006658D5">
            <w:pPr>
              <w:pStyle w:val="CommentText"/>
              <w:rPr>
                <w:color w:val="002060"/>
                <w:sz w:val="16"/>
                <w:szCs w:val="16"/>
              </w:rPr>
            </w:pPr>
            <w:r w:rsidRPr="002820B5">
              <w:rPr>
                <w:color w:val="002060"/>
                <w:sz w:val="16"/>
                <w:szCs w:val="16"/>
              </w:rPr>
              <w:t>– NB (32)</w:t>
            </w:r>
          </w:p>
          <w:p w14:paraId="02636586" w14:textId="77777777" w:rsidR="00F96912" w:rsidRPr="002820B5" w:rsidRDefault="00F96912" w:rsidP="006658D5">
            <w:pPr>
              <w:pStyle w:val="CommentText"/>
              <w:rPr>
                <w:color w:val="002060"/>
                <w:sz w:val="16"/>
                <w:szCs w:val="16"/>
              </w:rPr>
            </w:pPr>
            <w:r w:rsidRPr="002820B5">
              <w:rPr>
                <w:color w:val="002060"/>
                <w:sz w:val="16"/>
                <w:szCs w:val="16"/>
              </w:rPr>
              <w:t>– PCT (0)</w:t>
            </w:r>
          </w:p>
          <w:p w14:paraId="3A3A8405" w14:textId="77777777" w:rsidR="00F96912" w:rsidRPr="002820B5" w:rsidRDefault="00F96912" w:rsidP="006658D5">
            <w:pPr>
              <w:pStyle w:val="CommentText"/>
              <w:rPr>
                <w:color w:val="002060"/>
                <w:sz w:val="16"/>
                <w:szCs w:val="16"/>
              </w:rPr>
            </w:pPr>
            <w:r w:rsidRPr="002820B5">
              <w:rPr>
                <w:color w:val="002060"/>
                <w:sz w:val="16"/>
                <w:szCs w:val="16"/>
              </w:rPr>
              <w:t>– Salle de conférence de l’OMPI (0)</w:t>
            </w:r>
          </w:p>
          <w:p w14:paraId="71E79273" w14:textId="77777777" w:rsidR="00F96912" w:rsidRPr="002820B5" w:rsidRDefault="00F96912" w:rsidP="006658D5">
            <w:pPr>
              <w:pStyle w:val="CommentText"/>
              <w:rPr>
                <w:color w:val="002060"/>
                <w:sz w:val="16"/>
                <w:szCs w:val="16"/>
              </w:rPr>
            </w:pPr>
          </w:p>
          <w:p w14:paraId="5BEA466E" w14:textId="77777777" w:rsidR="00F96912" w:rsidRPr="002820B5" w:rsidRDefault="00F96912" w:rsidP="006658D5">
            <w:pPr>
              <w:pStyle w:val="CommentText"/>
              <w:rPr>
                <w:color w:val="002060"/>
                <w:sz w:val="16"/>
                <w:szCs w:val="16"/>
              </w:rPr>
            </w:pPr>
            <w:r w:rsidRPr="002820B5">
              <w:rPr>
                <w:color w:val="002060"/>
                <w:sz w:val="16"/>
                <w:szCs w:val="16"/>
              </w:rPr>
              <w:t>Nombre de barrières de sécurité à installer :</w:t>
            </w:r>
          </w:p>
          <w:p w14:paraId="459CBF28" w14:textId="77777777" w:rsidR="00F96912" w:rsidRPr="002820B5" w:rsidRDefault="00F96912" w:rsidP="006658D5">
            <w:pPr>
              <w:pStyle w:val="CommentText"/>
              <w:rPr>
                <w:color w:val="002060"/>
                <w:sz w:val="16"/>
                <w:szCs w:val="16"/>
              </w:rPr>
            </w:pPr>
            <w:r w:rsidRPr="002820B5">
              <w:rPr>
                <w:color w:val="002060"/>
                <w:sz w:val="16"/>
                <w:szCs w:val="16"/>
              </w:rPr>
              <w:t>– AB (4)</w:t>
            </w:r>
          </w:p>
          <w:p w14:paraId="295E292A" w14:textId="77777777" w:rsidR="00F96912" w:rsidRPr="002820B5" w:rsidRDefault="00F96912" w:rsidP="006658D5">
            <w:pPr>
              <w:pStyle w:val="CommentText"/>
              <w:rPr>
                <w:color w:val="002060"/>
                <w:sz w:val="16"/>
                <w:szCs w:val="16"/>
              </w:rPr>
            </w:pPr>
            <w:r w:rsidRPr="002820B5">
              <w:rPr>
                <w:color w:val="002060"/>
                <w:sz w:val="16"/>
                <w:szCs w:val="16"/>
              </w:rPr>
              <w:t>– liaison GBI</w:t>
            </w:r>
            <w:r w:rsidRPr="002820B5">
              <w:rPr>
                <w:color w:val="002060"/>
                <w:sz w:val="16"/>
                <w:szCs w:val="16"/>
              </w:rPr>
              <w:noBreakHyphen/>
              <w:t>GBII (5)</w:t>
            </w:r>
          </w:p>
          <w:p w14:paraId="1C5DFC9D" w14:textId="77777777" w:rsidR="00F96912" w:rsidRPr="002820B5" w:rsidRDefault="00F96912" w:rsidP="006658D5">
            <w:pPr>
              <w:pStyle w:val="CommentText"/>
              <w:rPr>
                <w:color w:val="002060"/>
                <w:sz w:val="16"/>
                <w:szCs w:val="16"/>
              </w:rPr>
            </w:pPr>
            <w:r w:rsidRPr="002820B5">
              <w:rPr>
                <w:color w:val="002060"/>
                <w:sz w:val="16"/>
                <w:szCs w:val="16"/>
              </w:rPr>
              <w:t>– NB (4)</w:t>
            </w:r>
          </w:p>
          <w:p w14:paraId="5CB0CA08" w14:textId="77777777" w:rsidR="00F96912" w:rsidRPr="002820B5" w:rsidRDefault="00F96912" w:rsidP="006658D5">
            <w:pPr>
              <w:pStyle w:val="CommentText"/>
              <w:rPr>
                <w:color w:val="002060"/>
                <w:sz w:val="16"/>
                <w:szCs w:val="16"/>
              </w:rPr>
            </w:pPr>
            <w:r w:rsidRPr="002820B5">
              <w:rPr>
                <w:color w:val="002060"/>
                <w:sz w:val="16"/>
                <w:szCs w:val="16"/>
              </w:rPr>
              <w:t>– PCT (0)</w:t>
            </w:r>
          </w:p>
          <w:p w14:paraId="05437B30" w14:textId="77777777" w:rsidR="00F96912" w:rsidRPr="002820B5" w:rsidRDefault="00F96912" w:rsidP="006658D5">
            <w:pPr>
              <w:pStyle w:val="CommentText"/>
              <w:rPr>
                <w:color w:val="002060"/>
                <w:sz w:val="16"/>
                <w:szCs w:val="16"/>
              </w:rPr>
            </w:pPr>
            <w:r w:rsidRPr="002820B5">
              <w:rPr>
                <w:color w:val="002060"/>
                <w:sz w:val="16"/>
                <w:szCs w:val="16"/>
              </w:rPr>
              <w:t>– Salle de conférence de l’OMPI (0)</w:t>
            </w:r>
          </w:p>
          <w:p w14:paraId="08D99198" w14:textId="77777777" w:rsidR="00F96912" w:rsidRPr="002820B5" w:rsidRDefault="00F96912" w:rsidP="006658D5">
            <w:pPr>
              <w:rPr>
                <w:color w:val="000000"/>
                <w:sz w:val="16"/>
                <w:szCs w:val="16"/>
              </w:rPr>
            </w:pPr>
          </w:p>
          <w:p w14:paraId="1DB32DB1" w14:textId="77777777" w:rsidR="00F96912" w:rsidRPr="002820B5" w:rsidRDefault="00F96912" w:rsidP="006658D5">
            <w:pPr>
              <w:rPr>
                <w:i/>
                <w:color w:val="000000"/>
                <w:sz w:val="16"/>
                <w:szCs w:val="16"/>
              </w:rPr>
            </w:pPr>
            <w:r w:rsidRPr="002820B5">
              <w:rPr>
                <w:i/>
                <w:color w:val="000000"/>
                <w:sz w:val="16"/>
                <w:szCs w:val="16"/>
              </w:rPr>
              <w:t>Niveau de référence initial dans le programme et budget 2016</w:t>
            </w:r>
            <w:r w:rsidRPr="002820B5">
              <w:rPr>
                <w:i/>
                <w:color w:val="000000"/>
                <w:sz w:val="16"/>
                <w:szCs w:val="16"/>
              </w:rPr>
              <w:noBreakHyphen/>
              <w:t>2017 :</w:t>
            </w:r>
          </w:p>
          <w:p w14:paraId="7DEC9EFD" w14:textId="77777777" w:rsidR="00F96912" w:rsidRPr="002820B5" w:rsidRDefault="00F96912" w:rsidP="006658D5">
            <w:pPr>
              <w:rPr>
                <w:color w:val="000000"/>
                <w:sz w:val="16"/>
                <w:szCs w:val="16"/>
              </w:rPr>
            </w:pPr>
            <w:r w:rsidRPr="002820B5">
              <w:rPr>
                <w:sz w:val="16"/>
                <w:szCs w:val="16"/>
              </w:rPr>
              <w:t>Les recommandations figurant dans l’audit sur l’accessibilité physique de 2012</w:t>
            </w:r>
          </w:p>
        </w:tc>
        <w:tc>
          <w:tcPr>
            <w:tcW w:w="937" w:type="pct"/>
            <w:gridSpan w:val="2"/>
            <w:shd w:val="clear" w:color="auto" w:fill="auto"/>
            <w:tcMar>
              <w:top w:w="110" w:type="dxa"/>
              <w:left w:w="58" w:type="dxa"/>
              <w:right w:w="58" w:type="dxa"/>
            </w:tcMar>
          </w:tcPr>
          <w:p w14:paraId="799C38E2" w14:textId="77777777" w:rsidR="00F96912" w:rsidRPr="002820B5" w:rsidRDefault="00F96912" w:rsidP="006658D5">
            <w:pPr>
              <w:rPr>
                <w:color w:val="000000"/>
                <w:sz w:val="16"/>
                <w:szCs w:val="16"/>
              </w:rPr>
            </w:pPr>
            <w:r w:rsidRPr="002820B5">
              <w:rPr>
                <w:sz w:val="16"/>
                <w:szCs w:val="16"/>
              </w:rPr>
              <w:t>Mise en œuvre des mesures suivantes d’ici fin 2017 :</w:t>
            </w:r>
            <w:r w:rsidRPr="002820B5">
              <w:rPr>
                <w:color w:val="000000"/>
                <w:sz w:val="16"/>
                <w:szCs w:val="16"/>
              </w:rPr>
              <w:br/>
              <w:t>1</w:t>
            </w:r>
            <w:r w:rsidRPr="002820B5">
              <w:rPr>
                <w:sz w:val="16"/>
                <w:szCs w:val="16"/>
              </w:rPr>
              <w:t>.  Installation de lecteurs de badge situés à une hauteur appropriée pour les personnes handicapées</w:t>
            </w:r>
            <w:r w:rsidRPr="002820B5">
              <w:rPr>
                <w:sz w:val="16"/>
                <w:szCs w:val="16"/>
              </w:rPr>
              <w:br/>
            </w:r>
            <w:r w:rsidRPr="002820B5">
              <w:rPr>
                <w:color w:val="000000"/>
                <w:sz w:val="16"/>
                <w:szCs w:val="16"/>
              </w:rPr>
              <w:t>2.</w:t>
            </w:r>
            <w:r w:rsidRPr="002820B5">
              <w:rPr>
                <w:color w:val="000000"/>
                <w:sz w:val="16"/>
              </w:rPr>
              <w:t xml:space="preserve"> </w:t>
            </w:r>
            <w:r w:rsidRPr="002820B5">
              <w:rPr>
                <w:color w:val="000000"/>
                <w:sz w:val="16"/>
                <w:szCs w:val="16"/>
              </w:rPr>
              <w:t xml:space="preserve"> </w:t>
            </w:r>
            <w:r w:rsidRPr="002820B5">
              <w:rPr>
                <w:sz w:val="16"/>
                <w:szCs w:val="16"/>
              </w:rPr>
              <w:t>Installation de barrières de sécurité là où elles se révèlent nécessaires</w:t>
            </w:r>
          </w:p>
        </w:tc>
        <w:tc>
          <w:tcPr>
            <w:tcW w:w="1213" w:type="pct"/>
            <w:gridSpan w:val="2"/>
            <w:shd w:val="clear" w:color="auto" w:fill="FFFFFF"/>
            <w:tcMar>
              <w:top w:w="110" w:type="dxa"/>
              <w:left w:w="58" w:type="dxa"/>
              <w:right w:w="58" w:type="dxa"/>
            </w:tcMar>
          </w:tcPr>
          <w:p w14:paraId="793F225F" w14:textId="77777777" w:rsidR="00F96912" w:rsidRPr="002820B5" w:rsidRDefault="00F96912" w:rsidP="006658D5">
            <w:pPr>
              <w:pStyle w:val="CommentText"/>
              <w:rPr>
                <w:sz w:val="16"/>
                <w:szCs w:val="16"/>
              </w:rPr>
            </w:pPr>
            <w:r w:rsidRPr="002820B5">
              <w:rPr>
                <w:sz w:val="16"/>
                <w:szCs w:val="16"/>
              </w:rPr>
              <w:t>Nombre de lecteurs de badge abaissés :</w:t>
            </w:r>
          </w:p>
          <w:p w14:paraId="0616827D" w14:textId="77777777" w:rsidR="00F96912" w:rsidRPr="002820B5" w:rsidRDefault="00F96912" w:rsidP="006658D5">
            <w:pPr>
              <w:pStyle w:val="CommentText"/>
              <w:rPr>
                <w:sz w:val="16"/>
                <w:szCs w:val="16"/>
              </w:rPr>
            </w:pPr>
            <w:r w:rsidRPr="002820B5">
              <w:rPr>
                <w:sz w:val="16"/>
                <w:szCs w:val="16"/>
              </w:rPr>
              <w:t>– AB (2 sur 6)</w:t>
            </w:r>
          </w:p>
          <w:p w14:paraId="28989F26" w14:textId="77777777" w:rsidR="00F96912" w:rsidRPr="002820B5" w:rsidRDefault="00F96912" w:rsidP="006658D5">
            <w:pPr>
              <w:pStyle w:val="CommentText"/>
              <w:rPr>
                <w:sz w:val="16"/>
                <w:szCs w:val="16"/>
              </w:rPr>
            </w:pPr>
            <w:r w:rsidRPr="002820B5">
              <w:rPr>
                <w:color w:val="002060"/>
                <w:sz w:val="16"/>
                <w:szCs w:val="16"/>
              </w:rPr>
              <w:t xml:space="preserve">– </w:t>
            </w:r>
            <w:r w:rsidRPr="002820B5">
              <w:rPr>
                <w:sz w:val="16"/>
                <w:szCs w:val="16"/>
              </w:rPr>
              <w:t>GBI et GBII (2 sur 4)</w:t>
            </w:r>
          </w:p>
          <w:p w14:paraId="021E2EF4" w14:textId="77777777" w:rsidR="00F96912" w:rsidRPr="002820B5" w:rsidRDefault="00F96912" w:rsidP="006658D5">
            <w:pPr>
              <w:rPr>
                <w:sz w:val="16"/>
                <w:szCs w:val="16"/>
              </w:rPr>
            </w:pPr>
          </w:p>
          <w:p w14:paraId="5AFBF851" w14:textId="77777777" w:rsidR="00F96912" w:rsidRPr="002820B5" w:rsidRDefault="00F96912" w:rsidP="006658D5">
            <w:pPr>
              <w:pStyle w:val="CommentText"/>
              <w:rPr>
                <w:sz w:val="16"/>
                <w:szCs w:val="16"/>
              </w:rPr>
            </w:pPr>
            <w:r w:rsidRPr="002820B5">
              <w:rPr>
                <w:sz w:val="16"/>
                <w:szCs w:val="16"/>
              </w:rPr>
              <w:t>Nombre de mains courantes installées :</w:t>
            </w:r>
          </w:p>
          <w:p w14:paraId="0F7225AE" w14:textId="77777777" w:rsidR="00F96912" w:rsidRPr="002820B5" w:rsidRDefault="00F96912" w:rsidP="006658D5">
            <w:pPr>
              <w:pStyle w:val="CommentText"/>
              <w:rPr>
                <w:color w:val="000000"/>
                <w:sz w:val="16"/>
                <w:szCs w:val="16"/>
              </w:rPr>
            </w:pPr>
            <w:r w:rsidRPr="002820B5">
              <w:rPr>
                <w:sz w:val="16"/>
                <w:szCs w:val="16"/>
              </w:rPr>
              <w:t>– liaison GBI</w:t>
            </w:r>
            <w:r w:rsidRPr="002820B5">
              <w:rPr>
                <w:sz w:val="16"/>
                <w:szCs w:val="16"/>
              </w:rPr>
              <w:noBreakHyphen/>
              <w:t xml:space="preserve">GBII (5 sur 5) </w:t>
            </w:r>
          </w:p>
        </w:tc>
        <w:tc>
          <w:tcPr>
            <w:tcW w:w="461" w:type="pct"/>
            <w:shd w:val="clear" w:color="auto" w:fill="auto"/>
            <w:tcMar>
              <w:top w:w="110" w:type="dxa"/>
              <w:left w:w="58" w:type="dxa"/>
              <w:right w:w="58" w:type="dxa"/>
            </w:tcMar>
          </w:tcPr>
          <w:p w14:paraId="291C3E0F" w14:textId="77777777" w:rsidR="00F96912" w:rsidRPr="00CD000E" w:rsidRDefault="00F96912" w:rsidP="006658D5">
            <w:pPr>
              <w:keepNext/>
              <w:keepLines/>
              <w:jc w:val="center"/>
              <w:rPr>
                <w:b/>
                <w:color w:val="FF0000"/>
                <w:sz w:val="16"/>
                <w:szCs w:val="16"/>
              </w:rPr>
            </w:pPr>
            <w:r w:rsidRPr="00CD000E">
              <w:rPr>
                <w:b/>
                <w:color w:val="FF0000"/>
                <w:sz w:val="16"/>
                <w:szCs w:val="16"/>
              </w:rPr>
              <w:t>Pas en bonne voie</w:t>
            </w:r>
          </w:p>
          <w:p w14:paraId="3B85819E" w14:textId="77777777" w:rsidR="00F96912" w:rsidRPr="00CD000E" w:rsidRDefault="00F96912" w:rsidP="006658D5">
            <w:pPr>
              <w:keepNext/>
              <w:keepLines/>
              <w:jc w:val="center"/>
              <w:rPr>
                <w:b/>
                <w:color w:val="00B050"/>
                <w:sz w:val="16"/>
                <w:szCs w:val="16"/>
              </w:rPr>
            </w:pPr>
          </w:p>
          <w:p w14:paraId="0BCA5EC5" w14:textId="77777777" w:rsidR="00F96912" w:rsidRPr="00CD000E" w:rsidRDefault="00F96912" w:rsidP="006658D5">
            <w:pPr>
              <w:keepNext/>
              <w:keepLines/>
              <w:jc w:val="center"/>
              <w:rPr>
                <w:b/>
                <w:color w:val="00B050"/>
                <w:sz w:val="16"/>
                <w:szCs w:val="16"/>
              </w:rPr>
            </w:pPr>
          </w:p>
          <w:p w14:paraId="6DA27345" w14:textId="77777777" w:rsidR="00F96912" w:rsidRPr="00CD000E" w:rsidRDefault="00F96912" w:rsidP="006658D5">
            <w:pPr>
              <w:keepNext/>
              <w:keepLines/>
              <w:jc w:val="center"/>
              <w:rPr>
                <w:b/>
                <w:color w:val="00B050"/>
                <w:sz w:val="16"/>
                <w:szCs w:val="16"/>
              </w:rPr>
            </w:pPr>
          </w:p>
          <w:p w14:paraId="0C2D17C1" w14:textId="77777777" w:rsidR="00F96912" w:rsidRPr="00CD000E" w:rsidRDefault="00F96912" w:rsidP="006658D5">
            <w:pPr>
              <w:keepNext/>
              <w:keepLines/>
              <w:jc w:val="center"/>
              <w:rPr>
                <w:b/>
                <w:color w:val="00B050"/>
                <w:sz w:val="16"/>
                <w:szCs w:val="16"/>
              </w:rPr>
            </w:pPr>
          </w:p>
          <w:p w14:paraId="38F4F9FE" w14:textId="77777777" w:rsidR="00F96912" w:rsidRPr="00CD000E" w:rsidRDefault="00F96912" w:rsidP="006658D5">
            <w:pPr>
              <w:keepNext/>
              <w:keepLines/>
              <w:jc w:val="center"/>
              <w:rPr>
                <w:b/>
                <w:color w:val="00B050"/>
                <w:sz w:val="16"/>
                <w:szCs w:val="16"/>
              </w:rPr>
            </w:pPr>
          </w:p>
          <w:p w14:paraId="29274590" w14:textId="77777777" w:rsidR="00F96912" w:rsidRPr="00CD000E" w:rsidRDefault="00F96912" w:rsidP="006658D5">
            <w:pPr>
              <w:keepNext/>
              <w:keepLines/>
              <w:jc w:val="center"/>
              <w:rPr>
                <w:b/>
                <w:color w:val="FF0000"/>
                <w:sz w:val="16"/>
                <w:szCs w:val="16"/>
              </w:rPr>
            </w:pPr>
            <w:r w:rsidRPr="00CD000E">
              <w:rPr>
                <w:b/>
                <w:color w:val="FF0000"/>
                <w:sz w:val="16"/>
                <w:szCs w:val="16"/>
              </w:rPr>
              <w:t>Pas en bonne voie</w:t>
            </w:r>
          </w:p>
          <w:p w14:paraId="62A4794E" w14:textId="77777777" w:rsidR="00F96912" w:rsidRPr="00CD000E" w:rsidRDefault="00F96912" w:rsidP="006658D5">
            <w:pPr>
              <w:keepNext/>
              <w:keepLines/>
              <w:jc w:val="center"/>
              <w:rPr>
                <w:b/>
                <w:color w:val="00B050"/>
                <w:sz w:val="16"/>
                <w:szCs w:val="16"/>
              </w:rPr>
            </w:pPr>
          </w:p>
          <w:p w14:paraId="5ACE96ED" w14:textId="77777777" w:rsidR="00F96912" w:rsidRPr="00CD000E" w:rsidRDefault="00F96912" w:rsidP="006658D5">
            <w:pPr>
              <w:keepNext/>
              <w:keepLines/>
              <w:jc w:val="center"/>
              <w:rPr>
                <w:b/>
                <w:color w:val="00B050"/>
                <w:sz w:val="16"/>
                <w:szCs w:val="16"/>
              </w:rPr>
            </w:pPr>
          </w:p>
          <w:p w14:paraId="4280EA06" w14:textId="77777777" w:rsidR="00F96912" w:rsidRPr="00CD000E" w:rsidRDefault="00F96912" w:rsidP="006658D5">
            <w:pPr>
              <w:keepNext/>
              <w:keepLines/>
              <w:jc w:val="center"/>
              <w:rPr>
                <w:color w:val="000000"/>
                <w:sz w:val="16"/>
                <w:szCs w:val="16"/>
              </w:rPr>
            </w:pPr>
          </w:p>
        </w:tc>
      </w:tr>
    </w:tbl>
    <w:p w14:paraId="73272FC1" w14:textId="77777777" w:rsidR="00F96912" w:rsidRPr="00CD000E" w:rsidRDefault="00F96912" w:rsidP="00F96912">
      <w:pPr>
        <w:rPr>
          <w:color w:val="000000"/>
          <w:sz w:val="20"/>
          <w:szCs w:val="2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18239702" w14:textId="77777777" w:rsidTr="006658D5">
        <w:trPr>
          <w:trHeight w:val="425"/>
          <w:jc w:val="center"/>
        </w:trPr>
        <w:tc>
          <w:tcPr>
            <w:tcW w:w="9287" w:type="dxa"/>
            <w:shd w:val="clear" w:color="auto" w:fill="C6D9F1" w:themeFill="text2" w:themeFillTint="33"/>
            <w:vAlign w:val="center"/>
          </w:tcPr>
          <w:p w14:paraId="415FED68" w14:textId="77777777" w:rsidR="00F96912" w:rsidRPr="00CD000E" w:rsidRDefault="00F96912" w:rsidP="006658D5">
            <w:pPr>
              <w:keepNext/>
              <w:keepLines/>
              <w:jc w:val="center"/>
              <w:rPr>
                <w:b/>
                <w:color w:val="000000"/>
                <w:sz w:val="20"/>
              </w:rPr>
            </w:pPr>
            <w:r w:rsidRPr="00CD000E">
              <w:rPr>
                <w:b/>
                <w:color w:val="000000"/>
                <w:sz w:val="20"/>
              </w:rPr>
              <w:t>Utilisation des ressources au titre du programme 24</w:t>
            </w:r>
          </w:p>
        </w:tc>
      </w:tr>
    </w:tbl>
    <w:p w14:paraId="2864F49B" w14:textId="77777777" w:rsidR="00F96912" w:rsidRPr="00CD000E" w:rsidRDefault="00F96912" w:rsidP="00F96912">
      <w:pPr>
        <w:rPr>
          <w:sz w:val="20"/>
        </w:rPr>
      </w:pPr>
    </w:p>
    <w:p w14:paraId="44089FB9" w14:textId="77777777" w:rsidR="00F96912" w:rsidRPr="00CD000E" w:rsidRDefault="00F96912" w:rsidP="00F96912">
      <w:pPr>
        <w:pStyle w:val="NormalWeb"/>
        <w:keepNext/>
        <w:keepLines/>
        <w:spacing w:before="0" w:beforeAutospacing="0" w:after="0" w:afterAutospacing="0"/>
        <w:jc w:val="center"/>
      </w:pPr>
      <w:r w:rsidRPr="00CD000E">
        <w:rPr>
          <w:color w:val="000000"/>
        </w:rPr>
        <w:t>Budget et dépenses effectives (par résultat)</w:t>
      </w:r>
    </w:p>
    <w:p w14:paraId="19E445A4"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6550585A"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619"/>
        <w:gridCol w:w="4157"/>
        <w:gridCol w:w="1550"/>
        <w:gridCol w:w="1550"/>
        <w:gridCol w:w="1411"/>
      </w:tblGrid>
      <w:tr w:rsidR="00F96912" w:rsidRPr="00CD000E" w14:paraId="3284CD98" w14:textId="77777777" w:rsidTr="006658D5">
        <w:trPr>
          <w:jc w:val="center"/>
        </w:trPr>
        <w:tc>
          <w:tcPr>
            <w:tcW w:w="4861" w:type="dxa"/>
            <w:gridSpan w:val="2"/>
            <w:tcBorders>
              <w:top w:val="nil"/>
              <w:left w:val="nil"/>
              <w:bottom w:val="nil"/>
              <w:right w:val="nil"/>
            </w:tcBorders>
            <w:shd w:val="clear" w:color="000000" w:fill="C5D9F1"/>
            <w:noWrap/>
            <w:vAlign w:val="center"/>
            <w:hideMark/>
          </w:tcPr>
          <w:p w14:paraId="565A623D" w14:textId="77777777" w:rsidR="00F96912" w:rsidRPr="00CD000E" w:rsidRDefault="00F96912" w:rsidP="006658D5">
            <w:pPr>
              <w:jc w:val="center"/>
              <w:rPr>
                <w:b/>
                <w:bCs/>
                <w:sz w:val="16"/>
                <w:szCs w:val="16"/>
              </w:rPr>
            </w:pPr>
            <w:r w:rsidRPr="00CD000E">
              <w:rPr>
                <w:b/>
                <w:bCs/>
                <w:sz w:val="16"/>
                <w:szCs w:val="16"/>
              </w:rPr>
              <w:t>Numéro et description du résultat escompté</w:t>
            </w:r>
          </w:p>
        </w:tc>
        <w:tc>
          <w:tcPr>
            <w:tcW w:w="1155" w:type="dxa"/>
            <w:tcBorders>
              <w:top w:val="nil"/>
              <w:left w:val="nil"/>
              <w:bottom w:val="nil"/>
              <w:right w:val="nil"/>
            </w:tcBorders>
            <w:shd w:val="clear" w:color="000000" w:fill="C5D9F1"/>
            <w:vAlign w:val="center"/>
            <w:hideMark/>
          </w:tcPr>
          <w:p w14:paraId="6477AD6D"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54" w:type="dxa"/>
            <w:tcBorders>
              <w:top w:val="nil"/>
              <w:left w:val="nil"/>
              <w:bottom w:val="nil"/>
              <w:right w:val="nil"/>
            </w:tcBorders>
            <w:shd w:val="clear" w:color="000000" w:fill="C5D9F1"/>
            <w:vAlign w:val="center"/>
            <w:hideMark/>
          </w:tcPr>
          <w:p w14:paraId="5E4524AF"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70" w:type="dxa"/>
            <w:tcBorders>
              <w:top w:val="nil"/>
              <w:left w:val="nil"/>
              <w:bottom w:val="nil"/>
              <w:right w:val="nil"/>
            </w:tcBorders>
            <w:shd w:val="clear" w:color="000000" w:fill="C5D9F1"/>
            <w:vAlign w:val="center"/>
            <w:hideMark/>
          </w:tcPr>
          <w:p w14:paraId="1D9D319B" w14:textId="77777777" w:rsidR="00F96912" w:rsidRPr="00CD000E" w:rsidRDefault="00F96912" w:rsidP="006658D5">
            <w:pPr>
              <w:jc w:val="center"/>
              <w:rPr>
                <w:b/>
                <w:bCs/>
                <w:sz w:val="16"/>
                <w:szCs w:val="16"/>
              </w:rPr>
            </w:pPr>
            <w:r>
              <w:rPr>
                <w:b/>
                <w:bCs/>
                <w:sz w:val="16"/>
                <w:szCs w:val="16"/>
              </w:rPr>
              <w:t>Dépenses </w:t>
            </w:r>
            <w:r w:rsidRPr="00CD000E">
              <w:rPr>
                <w:b/>
                <w:bCs/>
                <w:sz w:val="16"/>
                <w:szCs w:val="16"/>
              </w:rPr>
              <w:t>2016*</w:t>
            </w:r>
          </w:p>
        </w:tc>
      </w:tr>
      <w:tr w:rsidR="00F96912" w:rsidRPr="00CD000E" w14:paraId="5651FCA4" w14:textId="77777777" w:rsidTr="006658D5">
        <w:trPr>
          <w:jc w:val="center"/>
        </w:trPr>
        <w:tc>
          <w:tcPr>
            <w:tcW w:w="626" w:type="dxa"/>
            <w:tcBorders>
              <w:top w:val="nil"/>
              <w:left w:val="nil"/>
              <w:bottom w:val="nil"/>
              <w:right w:val="nil"/>
            </w:tcBorders>
            <w:shd w:val="clear" w:color="auto" w:fill="auto"/>
            <w:noWrap/>
            <w:vAlign w:val="center"/>
            <w:hideMark/>
          </w:tcPr>
          <w:p w14:paraId="2BD0023B" w14:textId="77777777" w:rsidR="00F96912" w:rsidRPr="00CD000E" w:rsidRDefault="00F96912" w:rsidP="006658D5">
            <w:pPr>
              <w:rPr>
                <w:sz w:val="16"/>
                <w:szCs w:val="16"/>
              </w:rPr>
            </w:pPr>
            <w:r w:rsidRPr="00CD000E">
              <w:rPr>
                <w:sz w:val="16"/>
                <w:szCs w:val="16"/>
              </w:rPr>
              <w:t>VIII.5</w:t>
            </w:r>
          </w:p>
        </w:tc>
        <w:tc>
          <w:tcPr>
            <w:tcW w:w="4235" w:type="dxa"/>
            <w:tcBorders>
              <w:top w:val="nil"/>
              <w:left w:val="nil"/>
              <w:bottom w:val="nil"/>
              <w:right w:val="nil"/>
            </w:tcBorders>
            <w:shd w:val="clear" w:color="auto" w:fill="auto"/>
            <w:vAlign w:val="center"/>
            <w:hideMark/>
          </w:tcPr>
          <w:p w14:paraId="65F26C3F" w14:textId="77777777" w:rsidR="00F96912" w:rsidRPr="00CD000E" w:rsidRDefault="00F96912" w:rsidP="006658D5">
            <w:pPr>
              <w:rPr>
                <w:sz w:val="16"/>
                <w:szCs w:val="16"/>
              </w:rPr>
            </w:pPr>
            <w:r w:rsidRPr="00CD000E">
              <w:rPr>
                <w:sz w:val="16"/>
                <w:szCs w:val="16"/>
              </w:rPr>
              <w:t>L’OMPI collabore efficacement avec d’autres processus et instances de négociation de l’ONU et d’autres organisations intergouvernementales</w:t>
            </w:r>
          </w:p>
        </w:tc>
        <w:tc>
          <w:tcPr>
            <w:tcW w:w="1155" w:type="dxa"/>
            <w:tcBorders>
              <w:top w:val="nil"/>
              <w:left w:val="nil"/>
              <w:bottom w:val="nil"/>
              <w:right w:val="nil"/>
            </w:tcBorders>
            <w:shd w:val="clear" w:color="auto" w:fill="auto"/>
            <w:noWrap/>
            <w:vAlign w:val="center"/>
            <w:hideMark/>
          </w:tcPr>
          <w:p w14:paraId="202F8C6C" w14:textId="77777777" w:rsidR="00F96912" w:rsidRPr="00CD000E" w:rsidRDefault="00F96912" w:rsidP="006658D5">
            <w:pPr>
              <w:jc w:val="center"/>
              <w:rPr>
                <w:color w:val="000000"/>
                <w:sz w:val="16"/>
                <w:szCs w:val="16"/>
              </w:rPr>
            </w:pPr>
            <w:r w:rsidRPr="00CD000E">
              <w:rPr>
                <w:color w:val="000000"/>
                <w:sz w:val="16"/>
                <w:szCs w:val="16"/>
              </w:rPr>
              <w:t>1 476</w:t>
            </w:r>
          </w:p>
        </w:tc>
        <w:tc>
          <w:tcPr>
            <w:tcW w:w="1154" w:type="dxa"/>
            <w:tcBorders>
              <w:top w:val="nil"/>
              <w:left w:val="nil"/>
              <w:bottom w:val="nil"/>
              <w:right w:val="nil"/>
            </w:tcBorders>
            <w:shd w:val="clear" w:color="auto" w:fill="auto"/>
            <w:noWrap/>
            <w:vAlign w:val="center"/>
            <w:hideMark/>
          </w:tcPr>
          <w:p w14:paraId="5B2AD569" w14:textId="77777777" w:rsidR="00F96912" w:rsidRPr="00CD000E" w:rsidRDefault="00F96912" w:rsidP="006658D5">
            <w:pPr>
              <w:jc w:val="center"/>
              <w:rPr>
                <w:color w:val="000000"/>
                <w:sz w:val="16"/>
                <w:szCs w:val="16"/>
              </w:rPr>
            </w:pPr>
            <w:r w:rsidRPr="00CD000E">
              <w:rPr>
                <w:color w:val="000000"/>
                <w:sz w:val="16"/>
                <w:szCs w:val="16"/>
              </w:rPr>
              <w:t>1 559</w:t>
            </w:r>
          </w:p>
        </w:tc>
        <w:tc>
          <w:tcPr>
            <w:tcW w:w="1170" w:type="dxa"/>
            <w:tcBorders>
              <w:top w:val="nil"/>
              <w:left w:val="nil"/>
              <w:bottom w:val="nil"/>
              <w:right w:val="nil"/>
            </w:tcBorders>
            <w:shd w:val="clear" w:color="auto" w:fill="auto"/>
            <w:noWrap/>
            <w:vAlign w:val="center"/>
            <w:hideMark/>
          </w:tcPr>
          <w:p w14:paraId="154A169B" w14:textId="77777777" w:rsidR="00F96912" w:rsidRPr="00CD000E" w:rsidRDefault="00F96912" w:rsidP="006658D5">
            <w:pPr>
              <w:jc w:val="center"/>
              <w:rPr>
                <w:color w:val="000000"/>
                <w:sz w:val="16"/>
                <w:szCs w:val="16"/>
              </w:rPr>
            </w:pPr>
            <w:r w:rsidRPr="00CD000E">
              <w:rPr>
                <w:color w:val="000000"/>
                <w:sz w:val="16"/>
                <w:szCs w:val="16"/>
              </w:rPr>
              <w:t>694</w:t>
            </w:r>
          </w:p>
        </w:tc>
      </w:tr>
      <w:tr w:rsidR="00F96912" w:rsidRPr="00CD000E" w14:paraId="021041A2" w14:textId="77777777" w:rsidTr="006658D5">
        <w:trPr>
          <w:jc w:val="center"/>
        </w:trPr>
        <w:tc>
          <w:tcPr>
            <w:tcW w:w="626" w:type="dxa"/>
            <w:tcBorders>
              <w:top w:val="nil"/>
              <w:left w:val="nil"/>
              <w:bottom w:val="nil"/>
              <w:right w:val="nil"/>
            </w:tcBorders>
            <w:shd w:val="clear" w:color="auto" w:fill="auto"/>
            <w:noWrap/>
            <w:vAlign w:val="center"/>
            <w:hideMark/>
          </w:tcPr>
          <w:p w14:paraId="22561298" w14:textId="77777777" w:rsidR="00F96912" w:rsidRPr="00CD000E" w:rsidRDefault="00F96912" w:rsidP="006658D5">
            <w:pPr>
              <w:rPr>
                <w:sz w:val="16"/>
                <w:szCs w:val="16"/>
              </w:rPr>
            </w:pPr>
            <w:r w:rsidRPr="00CD000E">
              <w:rPr>
                <w:sz w:val="16"/>
                <w:szCs w:val="16"/>
              </w:rPr>
              <w:t>IX.1</w:t>
            </w:r>
          </w:p>
        </w:tc>
        <w:tc>
          <w:tcPr>
            <w:tcW w:w="4235" w:type="dxa"/>
            <w:tcBorders>
              <w:top w:val="nil"/>
              <w:left w:val="nil"/>
              <w:bottom w:val="nil"/>
              <w:right w:val="nil"/>
            </w:tcBorders>
            <w:shd w:val="clear" w:color="auto" w:fill="auto"/>
            <w:vAlign w:val="center"/>
            <w:hideMark/>
          </w:tcPr>
          <w:p w14:paraId="5B142417" w14:textId="77777777" w:rsidR="00F96912" w:rsidRPr="00CD000E" w:rsidRDefault="00F96912" w:rsidP="006658D5">
            <w:pPr>
              <w:rPr>
                <w:sz w:val="16"/>
                <w:szCs w:val="16"/>
              </w:rPr>
            </w:pPr>
            <w:r w:rsidRPr="00CD000E">
              <w:rPr>
                <w:sz w:val="16"/>
                <w:szCs w:val="16"/>
              </w:rPr>
              <w:t>Services d’appui efficaces, efficients, de qualité et tournés vers la clientèle, à l’intention à la fois des clients internes et des parties prenantes externes</w:t>
            </w:r>
          </w:p>
        </w:tc>
        <w:tc>
          <w:tcPr>
            <w:tcW w:w="1155" w:type="dxa"/>
            <w:tcBorders>
              <w:top w:val="nil"/>
              <w:left w:val="nil"/>
              <w:bottom w:val="nil"/>
              <w:right w:val="nil"/>
            </w:tcBorders>
            <w:shd w:val="clear" w:color="auto" w:fill="auto"/>
            <w:noWrap/>
            <w:vAlign w:val="center"/>
            <w:hideMark/>
          </w:tcPr>
          <w:p w14:paraId="2EB95C26" w14:textId="77777777" w:rsidR="00F96912" w:rsidRPr="00CD000E" w:rsidRDefault="00F96912" w:rsidP="006658D5">
            <w:pPr>
              <w:jc w:val="center"/>
              <w:rPr>
                <w:color w:val="000000"/>
                <w:sz w:val="16"/>
                <w:szCs w:val="16"/>
              </w:rPr>
            </w:pPr>
            <w:r w:rsidRPr="00CD000E">
              <w:rPr>
                <w:color w:val="000000"/>
                <w:sz w:val="16"/>
                <w:szCs w:val="16"/>
              </w:rPr>
              <w:t>44 433</w:t>
            </w:r>
          </w:p>
        </w:tc>
        <w:tc>
          <w:tcPr>
            <w:tcW w:w="1154" w:type="dxa"/>
            <w:tcBorders>
              <w:top w:val="nil"/>
              <w:left w:val="nil"/>
              <w:bottom w:val="nil"/>
              <w:right w:val="nil"/>
            </w:tcBorders>
            <w:shd w:val="clear" w:color="auto" w:fill="auto"/>
            <w:noWrap/>
            <w:vAlign w:val="center"/>
            <w:hideMark/>
          </w:tcPr>
          <w:p w14:paraId="1810F6D2" w14:textId="77777777" w:rsidR="00F96912" w:rsidRPr="00CD000E" w:rsidRDefault="00F96912" w:rsidP="006658D5">
            <w:pPr>
              <w:jc w:val="center"/>
              <w:rPr>
                <w:color w:val="000000"/>
                <w:sz w:val="16"/>
                <w:szCs w:val="16"/>
              </w:rPr>
            </w:pPr>
            <w:r w:rsidRPr="00CD000E">
              <w:rPr>
                <w:color w:val="000000"/>
                <w:sz w:val="16"/>
                <w:szCs w:val="16"/>
              </w:rPr>
              <w:t>49 797</w:t>
            </w:r>
          </w:p>
        </w:tc>
        <w:tc>
          <w:tcPr>
            <w:tcW w:w="1170" w:type="dxa"/>
            <w:tcBorders>
              <w:top w:val="nil"/>
              <w:left w:val="nil"/>
              <w:bottom w:val="nil"/>
              <w:right w:val="nil"/>
            </w:tcBorders>
            <w:shd w:val="clear" w:color="auto" w:fill="auto"/>
            <w:noWrap/>
            <w:vAlign w:val="center"/>
            <w:hideMark/>
          </w:tcPr>
          <w:p w14:paraId="5DD9A809" w14:textId="77777777" w:rsidR="00F96912" w:rsidRPr="00CD000E" w:rsidRDefault="00F96912" w:rsidP="006658D5">
            <w:pPr>
              <w:jc w:val="center"/>
              <w:rPr>
                <w:color w:val="000000"/>
                <w:sz w:val="16"/>
                <w:szCs w:val="16"/>
              </w:rPr>
            </w:pPr>
            <w:r w:rsidRPr="00CD000E">
              <w:rPr>
                <w:color w:val="000000"/>
                <w:sz w:val="16"/>
                <w:szCs w:val="16"/>
              </w:rPr>
              <w:t>19 354</w:t>
            </w:r>
          </w:p>
        </w:tc>
      </w:tr>
      <w:tr w:rsidR="00F96912" w:rsidRPr="00CD000E" w14:paraId="5D8D09AA" w14:textId="77777777" w:rsidTr="006658D5">
        <w:trPr>
          <w:jc w:val="center"/>
        </w:trPr>
        <w:tc>
          <w:tcPr>
            <w:tcW w:w="626" w:type="dxa"/>
            <w:tcBorders>
              <w:top w:val="nil"/>
              <w:left w:val="nil"/>
              <w:bottom w:val="nil"/>
              <w:right w:val="nil"/>
            </w:tcBorders>
            <w:shd w:val="clear" w:color="auto" w:fill="auto"/>
            <w:noWrap/>
            <w:vAlign w:val="center"/>
            <w:hideMark/>
          </w:tcPr>
          <w:p w14:paraId="44B28798" w14:textId="77777777" w:rsidR="00F96912" w:rsidRPr="00CD000E" w:rsidRDefault="00F96912" w:rsidP="006658D5">
            <w:pPr>
              <w:rPr>
                <w:sz w:val="16"/>
                <w:szCs w:val="16"/>
              </w:rPr>
            </w:pPr>
            <w:r w:rsidRPr="00CD000E">
              <w:rPr>
                <w:sz w:val="16"/>
                <w:szCs w:val="16"/>
              </w:rPr>
              <w:t>IX.4</w:t>
            </w:r>
          </w:p>
        </w:tc>
        <w:tc>
          <w:tcPr>
            <w:tcW w:w="4235" w:type="dxa"/>
            <w:tcBorders>
              <w:top w:val="nil"/>
              <w:left w:val="nil"/>
              <w:bottom w:val="nil"/>
              <w:right w:val="nil"/>
            </w:tcBorders>
            <w:shd w:val="clear" w:color="auto" w:fill="auto"/>
            <w:vAlign w:val="center"/>
            <w:hideMark/>
          </w:tcPr>
          <w:p w14:paraId="10089E5A" w14:textId="77777777" w:rsidR="00F96912" w:rsidRPr="00CD000E" w:rsidRDefault="00F96912" w:rsidP="006658D5">
            <w:pPr>
              <w:rPr>
                <w:sz w:val="16"/>
                <w:szCs w:val="16"/>
              </w:rPr>
            </w:pPr>
            <w:r w:rsidRPr="00CD000E">
              <w:rPr>
                <w:sz w:val="16"/>
                <w:szCs w:val="16"/>
              </w:rPr>
              <w:t>Une Organisation écologiquement et socialement responsable assurant la sûreté et la sécurité du personnel, des délégués, des visiteurs, de l’information et des biens</w:t>
            </w:r>
          </w:p>
        </w:tc>
        <w:tc>
          <w:tcPr>
            <w:tcW w:w="1155" w:type="dxa"/>
            <w:tcBorders>
              <w:top w:val="nil"/>
              <w:left w:val="nil"/>
              <w:bottom w:val="nil"/>
              <w:right w:val="nil"/>
            </w:tcBorders>
            <w:shd w:val="clear" w:color="auto" w:fill="auto"/>
            <w:noWrap/>
            <w:vAlign w:val="center"/>
            <w:hideMark/>
          </w:tcPr>
          <w:p w14:paraId="35AF9BCB" w14:textId="77777777" w:rsidR="00F96912" w:rsidRPr="00CD000E" w:rsidRDefault="00F96912" w:rsidP="006658D5">
            <w:pPr>
              <w:jc w:val="center"/>
              <w:rPr>
                <w:color w:val="000000"/>
                <w:sz w:val="16"/>
                <w:szCs w:val="16"/>
              </w:rPr>
            </w:pPr>
            <w:r w:rsidRPr="00CD000E">
              <w:rPr>
                <w:color w:val="000000"/>
                <w:sz w:val="16"/>
                <w:szCs w:val="16"/>
              </w:rPr>
              <w:t>1 308</w:t>
            </w:r>
          </w:p>
        </w:tc>
        <w:tc>
          <w:tcPr>
            <w:tcW w:w="1154" w:type="dxa"/>
            <w:tcBorders>
              <w:top w:val="nil"/>
              <w:left w:val="nil"/>
              <w:bottom w:val="nil"/>
              <w:right w:val="nil"/>
            </w:tcBorders>
            <w:shd w:val="clear" w:color="auto" w:fill="auto"/>
            <w:noWrap/>
            <w:vAlign w:val="center"/>
            <w:hideMark/>
          </w:tcPr>
          <w:p w14:paraId="2CF87DF5" w14:textId="77777777" w:rsidR="00F96912" w:rsidRPr="00CD000E" w:rsidRDefault="00F96912" w:rsidP="006658D5">
            <w:pPr>
              <w:jc w:val="center"/>
              <w:rPr>
                <w:color w:val="000000"/>
                <w:sz w:val="16"/>
                <w:szCs w:val="16"/>
              </w:rPr>
            </w:pPr>
            <w:r w:rsidRPr="00CD000E">
              <w:rPr>
                <w:color w:val="000000"/>
                <w:sz w:val="16"/>
                <w:szCs w:val="16"/>
              </w:rPr>
              <w:t>1 216</w:t>
            </w:r>
          </w:p>
        </w:tc>
        <w:tc>
          <w:tcPr>
            <w:tcW w:w="1170" w:type="dxa"/>
            <w:tcBorders>
              <w:top w:val="nil"/>
              <w:left w:val="nil"/>
              <w:bottom w:val="nil"/>
              <w:right w:val="nil"/>
            </w:tcBorders>
            <w:shd w:val="clear" w:color="auto" w:fill="auto"/>
            <w:noWrap/>
            <w:vAlign w:val="center"/>
            <w:hideMark/>
          </w:tcPr>
          <w:p w14:paraId="5404F738" w14:textId="77777777" w:rsidR="00F96912" w:rsidRPr="00CD000E" w:rsidRDefault="00F96912" w:rsidP="006658D5">
            <w:pPr>
              <w:jc w:val="center"/>
              <w:rPr>
                <w:color w:val="000000"/>
                <w:sz w:val="16"/>
                <w:szCs w:val="16"/>
              </w:rPr>
            </w:pPr>
            <w:r w:rsidRPr="00CD000E">
              <w:rPr>
                <w:color w:val="000000"/>
                <w:sz w:val="16"/>
                <w:szCs w:val="16"/>
              </w:rPr>
              <w:t>537</w:t>
            </w:r>
          </w:p>
        </w:tc>
      </w:tr>
      <w:tr w:rsidR="00F96912" w:rsidRPr="00CD000E" w14:paraId="084DAFD2" w14:textId="77777777" w:rsidTr="006658D5">
        <w:trPr>
          <w:jc w:val="center"/>
        </w:trPr>
        <w:tc>
          <w:tcPr>
            <w:tcW w:w="626" w:type="dxa"/>
            <w:tcBorders>
              <w:top w:val="nil"/>
              <w:left w:val="nil"/>
              <w:bottom w:val="nil"/>
              <w:right w:val="nil"/>
            </w:tcBorders>
            <w:shd w:val="clear" w:color="000000" w:fill="C5D9F1"/>
            <w:noWrap/>
            <w:vAlign w:val="bottom"/>
            <w:hideMark/>
          </w:tcPr>
          <w:p w14:paraId="06B8B54C" w14:textId="77777777" w:rsidR="00F96912" w:rsidRPr="00CD000E" w:rsidRDefault="00F96912" w:rsidP="006658D5">
            <w:pPr>
              <w:rPr>
                <w:sz w:val="16"/>
                <w:szCs w:val="16"/>
              </w:rPr>
            </w:pPr>
            <w:r w:rsidRPr="00CD000E">
              <w:rPr>
                <w:sz w:val="16"/>
                <w:szCs w:val="16"/>
              </w:rPr>
              <w:t> </w:t>
            </w:r>
          </w:p>
        </w:tc>
        <w:tc>
          <w:tcPr>
            <w:tcW w:w="4235" w:type="dxa"/>
            <w:tcBorders>
              <w:top w:val="nil"/>
              <w:left w:val="nil"/>
              <w:bottom w:val="nil"/>
              <w:right w:val="nil"/>
            </w:tcBorders>
            <w:shd w:val="clear" w:color="000000" w:fill="C5D9F1"/>
            <w:noWrap/>
            <w:vAlign w:val="bottom"/>
            <w:hideMark/>
          </w:tcPr>
          <w:p w14:paraId="770FE5B8" w14:textId="77777777" w:rsidR="00F96912" w:rsidRPr="00CD000E" w:rsidRDefault="00F96912" w:rsidP="006658D5">
            <w:pPr>
              <w:jc w:val="right"/>
              <w:rPr>
                <w:b/>
                <w:bCs/>
                <w:sz w:val="16"/>
                <w:szCs w:val="16"/>
              </w:rPr>
            </w:pPr>
            <w:r w:rsidRPr="00CD000E">
              <w:rPr>
                <w:b/>
                <w:bCs/>
                <w:sz w:val="16"/>
                <w:szCs w:val="16"/>
              </w:rPr>
              <w:t>Total</w:t>
            </w:r>
          </w:p>
        </w:tc>
        <w:tc>
          <w:tcPr>
            <w:tcW w:w="1155" w:type="dxa"/>
            <w:tcBorders>
              <w:top w:val="nil"/>
              <w:left w:val="nil"/>
              <w:bottom w:val="nil"/>
              <w:right w:val="nil"/>
            </w:tcBorders>
            <w:shd w:val="clear" w:color="000000" w:fill="C5D9F1"/>
            <w:noWrap/>
            <w:vAlign w:val="center"/>
            <w:hideMark/>
          </w:tcPr>
          <w:p w14:paraId="37ECBE21" w14:textId="77777777" w:rsidR="00F96912" w:rsidRPr="00CD000E" w:rsidRDefault="00F96912" w:rsidP="006658D5">
            <w:pPr>
              <w:jc w:val="center"/>
              <w:rPr>
                <w:color w:val="000000"/>
                <w:sz w:val="16"/>
                <w:szCs w:val="16"/>
              </w:rPr>
            </w:pPr>
            <w:r w:rsidRPr="00CD000E">
              <w:rPr>
                <w:color w:val="000000"/>
                <w:sz w:val="16"/>
                <w:szCs w:val="16"/>
              </w:rPr>
              <w:t>47 216</w:t>
            </w:r>
          </w:p>
        </w:tc>
        <w:tc>
          <w:tcPr>
            <w:tcW w:w="1154" w:type="dxa"/>
            <w:tcBorders>
              <w:top w:val="nil"/>
              <w:left w:val="nil"/>
              <w:bottom w:val="nil"/>
              <w:right w:val="nil"/>
            </w:tcBorders>
            <w:shd w:val="clear" w:color="000000" w:fill="C5D9F1"/>
            <w:noWrap/>
            <w:vAlign w:val="center"/>
            <w:hideMark/>
          </w:tcPr>
          <w:p w14:paraId="1046BC40" w14:textId="77777777" w:rsidR="00F96912" w:rsidRPr="00CD000E" w:rsidRDefault="00F96912" w:rsidP="006658D5">
            <w:pPr>
              <w:jc w:val="center"/>
              <w:rPr>
                <w:color w:val="000000"/>
                <w:sz w:val="16"/>
                <w:szCs w:val="16"/>
              </w:rPr>
            </w:pPr>
            <w:r w:rsidRPr="00CD000E">
              <w:rPr>
                <w:color w:val="000000"/>
                <w:sz w:val="16"/>
                <w:szCs w:val="16"/>
              </w:rPr>
              <w:t>52 572</w:t>
            </w:r>
          </w:p>
        </w:tc>
        <w:tc>
          <w:tcPr>
            <w:tcW w:w="1170" w:type="dxa"/>
            <w:tcBorders>
              <w:top w:val="nil"/>
              <w:left w:val="nil"/>
              <w:bottom w:val="nil"/>
              <w:right w:val="nil"/>
            </w:tcBorders>
            <w:shd w:val="clear" w:color="000000" w:fill="C5D9F1"/>
            <w:noWrap/>
            <w:vAlign w:val="center"/>
            <w:hideMark/>
          </w:tcPr>
          <w:p w14:paraId="04B0A8F0" w14:textId="77777777" w:rsidR="00F96912" w:rsidRPr="00CD000E" w:rsidRDefault="00F96912" w:rsidP="006658D5">
            <w:pPr>
              <w:jc w:val="center"/>
              <w:rPr>
                <w:color w:val="000000"/>
                <w:sz w:val="16"/>
                <w:szCs w:val="16"/>
              </w:rPr>
            </w:pPr>
            <w:r w:rsidRPr="00CD000E">
              <w:rPr>
                <w:color w:val="000000"/>
                <w:sz w:val="16"/>
                <w:szCs w:val="16"/>
              </w:rPr>
              <w:t>20 584</w:t>
            </w:r>
          </w:p>
        </w:tc>
      </w:tr>
      <w:tr w:rsidR="00F96912" w:rsidRPr="00CD000E" w14:paraId="7010A136" w14:textId="77777777" w:rsidTr="006658D5">
        <w:trPr>
          <w:jc w:val="center"/>
        </w:trPr>
        <w:tc>
          <w:tcPr>
            <w:tcW w:w="7170" w:type="dxa"/>
            <w:gridSpan w:val="4"/>
            <w:tcBorders>
              <w:top w:val="nil"/>
              <w:left w:val="nil"/>
              <w:bottom w:val="nil"/>
              <w:right w:val="nil"/>
            </w:tcBorders>
            <w:shd w:val="clear" w:color="auto" w:fill="auto"/>
            <w:noWrap/>
            <w:vAlign w:val="center"/>
            <w:hideMark/>
          </w:tcPr>
          <w:p w14:paraId="275EBA59" w14:textId="77777777" w:rsidR="00F96912" w:rsidRPr="00CD000E" w:rsidRDefault="00F96912" w:rsidP="006658D5">
            <w:pPr>
              <w:rPr>
                <w:i/>
                <w:iCs/>
                <w:sz w:val="16"/>
                <w:szCs w:val="16"/>
              </w:rPr>
            </w:pPr>
            <w:r w:rsidRPr="00CD000E">
              <w:rPr>
                <w:i/>
                <w:iCs/>
                <w:sz w:val="16"/>
                <w:szCs w:val="16"/>
              </w:rPr>
              <w:t>*Les chiffres des dépenses pour 2016 sont préliminaires, sous réserve d’audit par les vérificateurs externes des comptes</w:t>
            </w:r>
          </w:p>
        </w:tc>
        <w:tc>
          <w:tcPr>
            <w:tcW w:w="1170" w:type="dxa"/>
            <w:tcBorders>
              <w:top w:val="nil"/>
              <w:left w:val="nil"/>
              <w:bottom w:val="nil"/>
              <w:right w:val="nil"/>
            </w:tcBorders>
            <w:shd w:val="clear" w:color="auto" w:fill="auto"/>
            <w:noWrap/>
            <w:vAlign w:val="center"/>
            <w:hideMark/>
          </w:tcPr>
          <w:p w14:paraId="781F9E81" w14:textId="77777777" w:rsidR="00F96912" w:rsidRPr="00CD000E" w:rsidRDefault="00F96912" w:rsidP="006658D5">
            <w:pPr>
              <w:rPr>
                <w:sz w:val="16"/>
                <w:szCs w:val="16"/>
              </w:rPr>
            </w:pPr>
          </w:p>
        </w:tc>
      </w:tr>
    </w:tbl>
    <w:p w14:paraId="49059977" w14:textId="77777777" w:rsidR="00F96912" w:rsidRPr="00CD000E" w:rsidRDefault="00F96912" w:rsidP="00F96912">
      <w:pPr>
        <w:rPr>
          <w:sz w:val="20"/>
        </w:rPr>
      </w:pPr>
    </w:p>
    <w:p w14:paraId="76DD4604" w14:textId="77777777" w:rsidR="00F96912" w:rsidRPr="00CD000E" w:rsidRDefault="00F96912" w:rsidP="00F96912">
      <w:pPr>
        <w:pStyle w:val="NormalWeb"/>
        <w:keepNext/>
        <w:keepLines/>
        <w:spacing w:before="0" w:beforeAutospacing="0" w:after="0" w:afterAutospacing="0"/>
        <w:jc w:val="center"/>
        <w:rPr>
          <w:color w:val="000000"/>
        </w:rPr>
      </w:pPr>
      <w:r w:rsidRPr="00CD000E">
        <w:rPr>
          <w:color w:val="000000"/>
        </w:rPr>
        <w:t>Budget et dépenses effectives (dépenses de personnel et autres dépenses)</w:t>
      </w:r>
    </w:p>
    <w:p w14:paraId="21D3F4DA" w14:textId="77777777" w:rsidR="00F96912" w:rsidRPr="00CD000E" w:rsidRDefault="00F96912" w:rsidP="00F96912">
      <w:pPr>
        <w:pStyle w:val="NormalWeb"/>
        <w:keepNext/>
        <w:keepLines/>
        <w:spacing w:before="0" w:beforeAutospacing="0" w:after="0" w:afterAutospacing="0"/>
        <w:jc w:val="center"/>
        <w:rPr>
          <w:noProof/>
        </w:rPr>
      </w:pPr>
      <w:r w:rsidRPr="00CD000E">
        <w:rPr>
          <w:i/>
          <w:iCs/>
          <w:color w:val="000000"/>
          <w:sz w:val="16"/>
          <w:szCs w:val="16"/>
        </w:rPr>
        <w:t>(en milliers de francs suisses)</w:t>
      </w:r>
    </w:p>
    <w:p w14:paraId="5B650A2A" w14:textId="77777777" w:rsidR="00F96912" w:rsidRPr="00CD000E" w:rsidRDefault="00F96912" w:rsidP="00F96912">
      <w:pPr>
        <w:jc w:val="center"/>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61190A" w14:paraId="32531A7D" w14:textId="77777777" w:rsidTr="006658D5">
        <w:trPr>
          <w:jc w:val="center"/>
        </w:trPr>
        <w:tc>
          <w:tcPr>
            <w:tcW w:w="2470" w:type="dxa"/>
            <w:tcBorders>
              <w:top w:val="nil"/>
              <w:left w:val="nil"/>
              <w:bottom w:val="nil"/>
              <w:right w:val="nil"/>
            </w:tcBorders>
            <w:shd w:val="clear" w:color="000000" w:fill="C5D9F1"/>
            <w:noWrap/>
            <w:vAlign w:val="center"/>
            <w:hideMark/>
          </w:tcPr>
          <w:p w14:paraId="4E43C539" w14:textId="77777777" w:rsidR="00F96912" w:rsidRPr="00CD000E" w:rsidRDefault="00F96912" w:rsidP="006658D5">
            <w:pPr>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18F1FEFD"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16CFFD3D"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4432D205" w14:textId="77777777" w:rsidR="00F96912" w:rsidRPr="00CD000E" w:rsidRDefault="00F96912" w:rsidP="006658D5">
            <w:pPr>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6CAFE0E1" w14:textId="77777777" w:rsidR="00F96912" w:rsidRPr="0061190A" w:rsidRDefault="00F96912" w:rsidP="006658D5">
            <w:pPr>
              <w:jc w:val="center"/>
              <w:rPr>
                <w:b/>
                <w:bCs/>
                <w:sz w:val="16"/>
                <w:szCs w:val="16"/>
              </w:rPr>
            </w:pPr>
            <w:r w:rsidRPr="0061190A">
              <w:rPr>
                <w:b/>
                <w:bCs/>
                <w:sz w:val="16"/>
                <w:szCs w:val="16"/>
              </w:rPr>
              <w:t>Taux d’utilisation (%)</w:t>
            </w:r>
          </w:p>
        </w:tc>
      </w:tr>
      <w:tr w:rsidR="00F96912" w:rsidRPr="00CD000E" w14:paraId="36C0F6F1" w14:textId="77777777" w:rsidTr="006658D5">
        <w:trPr>
          <w:jc w:val="center"/>
        </w:trPr>
        <w:tc>
          <w:tcPr>
            <w:tcW w:w="2470" w:type="dxa"/>
            <w:tcBorders>
              <w:top w:val="nil"/>
              <w:left w:val="nil"/>
              <w:bottom w:val="nil"/>
              <w:right w:val="nil"/>
            </w:tcBorders>
            <w:shd w:val="clear" w:color="auto" w:fill="auto"/>
            <w:noWrap/>
            <w:vAlign w:val="center"/>
            <w:hideMark/>
          </w:tcPr>
          <w:p w14:paraId="392C05E7" w14:textId="77777777" w:rsidR="00F96912" w:rsidRPr="00CD000E" w:rsidRDefault="00F96912" w:rsidP="006658D5">
            <w:pPr>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68EB363F" w14:textId="77777777" w:rsidR="00F96912" w:rsidRPr="00CD000E" w:rsidRDefault="00F96912" w:rsidP="006658D5">
            <w:pPr>
              <w:jc w:val="center"/>
              <w:rPr>
                <w:color w:val="000000"/>
                <w:sz w:val="16"/>
                <w:szCs w:val="16"/>
              </w:rPr>
            </w:pPr>
            <w:r w:rsidRPr="00CD000E">
              <w:rPr>
                <w:color w:val="000000"/>
                <w:sz w:val="16"/>
                <w:szCs w:val="16"/>
              </w:rPr>
              <w:t xml:space="preserve">19 287 </w:t>
            </w:r>
          </w:p>
        </w:tc>
        <w:tc>
          <w:tcPr>
            <w:tcW w:w="1438" w:type="dxa"/>
            <w:tcBorders>
              <w:top w:val="nil"/>
              <w:left w:val="nil"/>
              <w:bottom w:val="nil"/>
              <w:right w:val="nil"/>
            </w:tcBorders>
            <w:shd w:val="clear" w:color="auto" w:fill="auto"/>
            <w:vAlign w:val="center"/>
            <w:hideMark/>
          </w:tcPr>
          <w:p w14:paraId="228D0C18" w14:textId="77777777" w:rsidR="00F96912" w:rsidRPr="00CD000E" w:rsidRDefault="00F96912" w:rsidP="006658D5">
            <w:pPr>
              <w:jc w:val="center"/>
              <w:rPr>
                <w:color w:val="000000"/>
                <w:sz w:val="16"/>
                <w:szCs w:val="16"/>
              </w:rPr>
            </w:pPr>
            <w:r w:rsidRPr="00CD000E">
              <w:rPr>
                <w:color w:val="000000"/>
                <w:sz w:val="16"/>
                <w:szCs w:val="16"/>
              </w:rPr>
              <w:t xml:space="preserve">17 165 </w:t>
            </w:r>
          </w:p>
        </w:tc>
        <w:tc>
          <w:tcPr>
            <w:tcW w:w="1438" w:type="dxa"/>
            <w:tcBorders>
              <w:top w:val="nil"/>
              <w:left w:val="nil"/>
              <w:bottom w:val="nil"/>
              <w:right w:val="nil"/>
            </w:tcBorders>
            <w:shd w:val="clear" w:color="auto" w:fill="auto"/>
            <w:vAlign w:val="center"/>
            <w:hideMark/>
          </w:tcPr>
          <w:p w14:paraId="1815BC34" w14:textId="77777777" w:rsidR="00F96912" w:rsidRPr="00CD000E" w:rsidRDefault="00F96912" w:rsidP="006658D5">
            <w:pPr>
              <w:jc w:val="center"/>
              <w:rPr>
                <w:color w:val="000000"/>
                <w:sz w:val="16"/>
                <w:szCs w:val="16"/>
              </w:rPr>
            </w:pPr>
            <w:r w:rsidRPr="00CD000E">
              <w:rPr>
                <w:color w:val="000000"/>
                <w:sz w:val="16"/>
                <w:szCs w:val="16"/>
              </w:rPr>
              <w:t xml:space="preserve">8 032 </w:t>
            </w:r>
          </w:p>
        </w:tc>
        <w:tc>
          <w:tcPr>
            <w:tcW w:w="1438" w:type="dxa"/>
            <w:tcBorders>
              <w:top w:val="nil"/>
              <w:left w:val="nil"/>
              <w:bottom w:val="nil"/>
              <w:right w:val="nil"/>
            </w:tcBorders>
            <w:shd w:val="clear" w:color="auto" w:fill="auto"/>
            <w:vAlign w:val="center"/>
            <w:hideMark/>
          </w:tcPr>
          <w:p w14:paraId="14E1D54F" w14:textId="77777777" w:rsidR="00F96912" w:rsidRPr="00CD000E" w:rsidRDefault="00F96912" w:rsidP="006658D5">
            <w:pPr>
              <w:jc w:val="center"/>
              <w:rPr>
                <w:color w:val="000000"/>
                <w:sz w:val="16"/>
                <w:szCs w:val="16"/>
              </w:rPr>
            </w:pPr>
            <w:r w:rsidRPr="00CD000E">
              <w:rPr>
                <w:color w:val="000000"/>
                <w:sz w:val="16"/>
                <w:szCs w:val="16"/>
              </w:rPr>
              <w:t>47%</w:t>
            </w:r>
          </w:p>
        </w:tc>
      </w:tr>
      <w:tr w:rsidR="00F96912" w:rsidRPr="00CD000E" w14:paraId="49D967E4" w14:textId="77777777" w:rsidTr="006658D5">
        <w:trPr>
          <w:jc w:val="center"/>
        </w:trPr>
        <w:tc>
          <w:tcPr>
            <w:tcW w:w="2470" w:type="dxa"/>
            <w:tcBorders>
              <w:top w:val="nil"/>
              <w:left w:val="nil"/>
              <w:bottom w:val="nil"/>
              <w:right w:val="nil"/>
            </w:tcBorders>
            <w:shd w:val="clear" w:color="auto" w:fill="auto"/>
            <w:noWrap/>
            <w:vAlign w:val="center"/>
            <w:hideMark/>
          </w:tcPr>
          <w:p w14:paraId="23CE3AB8" w14:textId="77777777" w:rsidR="00F96912" w:rsidRPr="00CD000E" w:rsidRDefault="00F96912" w:rsidP="006658D5">
            <w:pPr>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39AF5D0A" w14:textId="77777777" w:rsidR="00F96912" w:rsidRPr="00CD000E" w:rsidRDefault="00F96912" w:rsidP="006658D5">
            <w:pPr>
              <w:jc w:val="center"/>
              <w:rPr>
                <w:color w:val="000000"/>
                <w:sz w:val="16"/>
                <w:szCs w:val="16"/>
              </w:rPr>
            </w:pPr>
            <w:r w:rsidRPr="00CD000E">
              <w:rPr>
                <w:color w:val="000000"/>
                <w:sz w:val="16"/>
                <w:szCs w:val="16"/>
              </w:rPr>
              <w:t xml:space="preserve">27 930 </w:t>
            </w:r>
          </w:p>
        </w:tc>
        <w:tc>
          <w:tcPr>
            <w:tcW w:w="1438" w:type="dxa"/>
            <w:tcBorders>
              <w:top w:val="nil"/>
              <w:left w:val="nil"/>
              <w:bottom w:val="nil"/>
              <w:right w:val="nil"/>
            </w:tcBorders>
            <w:shd w:val="clear" w:color="auto" w:fill="auto"/>
            <w:vAlign w:val="center"/>
            <w:hideMark/>
          </w:tcPr>
          <w:p w14:paraId="17912B51" w14:textId="77777777" w:rsidR="00F96912" w:rsidRPr="00CD000E" w:rsidRDefault="00F96912" w:rsidP="006658D5">
            <w:pPr>
              <w:jc w:val="center"/>
              <w:rPr>
                <w:color w:val="000000"/>
                <w:sz w:val="16"/>
                <w:szCs w:val="16"/>
              </w:rPr>
            </w:pPr>
            <w:r w:rsidRPr="00CD000E">
              <w:rPr>
                <w:color w:val="000000"/>
                <w:sz w:val="16"/>
                <w:szCs w:val="16"/>
              </w:rPr>
              <w:t xml:space="preserve">35 408 </w:t>
            </w:r>
          </w:p>
        </w:tc>
        <w:tc>
          <w:tcPr>
            <w:tcW w:w="1438" w:type="dxa"/>
            <w:tcBorders>
              <w:top w:val="nil"/>
              <w:left w:val="nil"/>
              <w:bottom w:val="nil"/>
              <w:right w:val="nil"/>
            </w:tcBorders>
            <w:shd w:val="clear" w:color="auto" w:fill="auto"/>
            <w:vAlign w:val="center"/>
            <w:hideMark/>
          </w:tcPr>
          <w:p w14:paraId="37377E5F" w14:textId="77777777" w:rsidR="00F96912" w:rsidRPr="00CD000E" w:rsidRDefault="00F96912" w:rsidP="006658D5">
            <w:pPr>
              <w:jc w:val="center"/>
              <w:rPr>
                <w:color w:val="000000"/>
                <w:sz w:val="16"/>
                <w:szCs w:val="16"/>
              </w:rPr>
            </w:pPr>
            <w:r w:rsidRPr="00CD000E">
              <w:rPr>
                <w:color w:val="000000"/>
                <w:sz w:val="16"/>
                <w:szCs w:val="16"/>
              </w:rPr>
              <w:t xml:space="preserve">12 552 </w:t>
            </w:r>
          </w:p>
        </w:tc>
        <w:tc>
          <w:tcPr>
            <w:tcW w:w="1438" w:type="dxa"/>
            <w:tcBorders>
              <w:top w:val="nil"/>
              <w:left w:val="nil"/>
              <w:bottom w:val="nil"/>
              <w:right w:val="nil"/>
            </w:tcBorders>
            <w:shd w:val="clear" w:color="auto" w:fill="auto"/>
            <w:vAlign w:val="center"/>
            <w:hideMark/>
          </w:tcPr>
          <w:p w14:paraId="66F7C1F9" w14:textId="77777777" w:rsidR="00F96912" w:rsidRPr="00CD000E" w:rsidRDefault="00F96912" w:rsidP="006658D5">
            <w:pPr>
              <w:jc w:val="center"/>
              <w:rPr>
                <w:color w:val="000000"/>
                <w:sz w:val="16"/>
                <w:szCs w:val="16"/>
              </w:rPr>
            </w:pPr>
            <w:r w:rsidRPr="00CD000E">
              <w:rPr>
                <w:color w:val="000000"/>
                <w:sz w:val="16"/>
                <w:szCs w:val="16"/>
              </w:rPr>
              <w:t>35%</w:t>
            </w:r>
          </w:p>
        </w:tc>
      </w:tr>
      <w:tr w:rsidR="00F96912" w:rsidRPr="00CD000E" w14:paraId="2AB741DC" w14:textId="77777777" w:rsidTr="006658D5">
        <w:trPr>
          <w:jc w:val="center"/>
        </w:trPr>
        <w:tc>
          <w:tcPr>
            <w:tcW w:w="2470" w:type="dxa"/>
            <w:tcBorders>
              <w:top w:val="nil"/>
              <w:left w:val="nil"/>
              <w:bottom w:val="nil"/>
              <w:right w:val="nil"/>
            </w:tcBorders>
            <w:shd w:val="clear" w:color="000000" w:fill="C5D9F1"/>
            <w:noWrap/>
            <w:vAlign w:val="center"/>
            <w:hideMark/>
          </w:tcPr>
          <w:p w14:paraId="34736807" w14:textId="77777777" w:rsidR="00F96912" w:rsidRPr="00CD000E" w:rsidRDefault="00F96912" w:rsidP="006658D5">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4A6A91FC" w14:textId="77777777" w:rsidR="00F96912" w:rsidRPr="00CD000E" w:rsidRDefault="00F96912" w:rsidP="006658D5">
            <w:pPr>
              <w:jc w:val="center"/>
              <w:rPr>
                <w:b/>
                <w:bCs/>
                <w:color w:val="000000"/>
                <w:sz w:val="16"/>
                <w:szCs w:val="16"/>
              </w:rPr>
            </w:pPr>
            <w:r w:rsidRPr="00CD000E">
              <w:rPr>
                <w:b/>
                <w:bCs/>
                <w:color w:val="000000"/>
                <w:sz w:val="16"/>
                <w:szCs w:val="16"/>
              </w:rPr>
              <w:t xml:space="preserve">47 216 </w:t>
            </w:r>
          </w:p>
        </w:tc>
        <w:tc>
          <w:tcPr>
            <w:tcW w:w="1438" w:type="dxa"/>
            <w:tcBorders>
              <w:top w:val="nil"/>
              <w:left w:val="nil"/>
              <w:bottom w:val="nil"/>
              <w:right w:val="nil"/>
            </w:tcBorders>
            <w:shd w:val="clear" w:color="000000" w:fill="C5D9F1"/>
            <w:vAlign w:val="center"/>
            <w:hideMark/>
          </w:tcPr>
          <w:p w14:paraId="756F4849" w14:textId="77777777" w:rsidR="00F96912" w:rsidRPr="00CD000E" w:rsidRDefault="00F96912" w:rsidP="006658D5">
            <w:pPr>
              <w:jc w:val="center"/>
              <w:rPr>
                <w:b/>
                <w:bCs/>
                <w:color w:val="000000"/>
                <w:sz w:val="16"/>
                <w:szCs w:val="16"/>
              </w:rPr>
            </w:pPr>
            <w:r w:rsidRPr="00CD000E">
              <w:rPr>
                <w:b/>
                <w:bCs/>
                <w:color w:val="000000"/>
                <w:sz w:val="16"/>
                <w:szCs w:val="16"/>
              </w:rPr>
              <w:t xml:space="preserve">52 572 </w:t>
            </w:r>
          </w:p>
        </w:tc>
        <w:tc>
          <w:tcPr>
            <w:tcW w:w="1438" w:type="dxa"/>
            <w:tcBorders>
              <w:top w:val="nil"/>
              <w:left w:val="nil"/>
              <w:bottom w:val="nil"/>
              <w:right w:val="nil"/>
            </w:tcBorders>
            <w:shd w:val="clear" w:color="000000" w:fill="C5D9F1"/>
            <w:vAlign w:val="center"/>
            <w:hideMark/>
          </w:tcPr>
          <w:p w14:paraId="49350D42" w14:textId="77777777" w:rsidR="00F96912" w:rsidRPr="00CD000E" w:rsidRDefault="00F96912" w:rsidP="006658D5">
            <w:pPr>
              <w:jc w:val="center"/>
              <w:rPr>
                <w:b/>
                <w:bCs/>
                <w:color w:val="000000"/>
                <w:sz w:val="16"/>
                <w:szCs w:val="16"/>
              </w:rPr>
            </w:pPr>
            <w:r w:rsidRPr="00CD000E">
              <w:rPr>
                <w:b/>
                <w:bCs/>
                <w:color w:val="000000"/>
                <w:sz w:val="16"/>
                <w:szCs w:val="16"/>
              </w:rPr>
              <w:t xml:space="preserve">20 584 </w:t>
            </w:r>
          </w:p>
        </w:tc>
        <w:tc>
          <w:tcPr>
            <w:tcW w:w="1438" w:type="dxa"/>
            <w:tcBorders>
              <w:top w:val="nil"/>
              <w:left w:val="nil"/>
              <w:bottom w:val="nil"/>
              <w:right w:val="nil"/>
            </w:tcBorders>
            <w:shd w:val="clear" w:color="000000" w:fill="C5D9F1"/>
            <w:vAlign w:val="center"/>
            <w:hideMark/>
          </w:tcPr>
          <w:p w14:paraId="134A76AB" w14:textId="77777777" w:rsidR="00F96912" w:rsidRPr="00CD000E" w:rsidRDefault="00F96912" w:rsidP="006658D5">
            <w:pPr>
              <w:jc w:val="center"/>
              <w:rPr>
                <w:b/>
                <w:bCs/>
                <w:color w:val="000000"/>
                <w:sz w:val="16"/>
                <w:szCs w:val="16"/>
              </w:rPr>
            </w:pPr>
            <w:r w:rsidRPr="00CD000E">
              <w:rPr>
                <w:b/>
                <w:bCs/>
                <w:color w:val="000000"/>
                <w:sz w:val="16"/>
                <w:szCs w:val="16"/>
              </w:rPr>
              <w:t>39%</w:t>
            </w:r>
          </w:p>
        </w:tc>
      </w:tr>
      <w:tr w:rsidR="00F96912" w:rsidRPr="00CD000E" w14:paraId="171F3548"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53665030" w14:textId="77777777" w:rsidR="00F96912" w:rsidRPr="00CD000E" w:rsidRDefault="00F96912" w:rsidP="006658D5">
            <w:pPr>
              <w:rPr>
                <w:i/>
                <w:iCs/>
                <w:color w:val="000000"/>
                <w:sz w:val="16"/>
                <w:szCs w:val="16"/>
              </w:rPr>
            </w:pPr>
            <w:r w:rsidRPr="00CD000E">
              <w:rPr>
                <w:i/>
                <w:iCs/>
                <w:color w:val="000000"/>
                <w:sz w:val="16"/>
                <w:szCs w:val="16"/>
              </w:rPr>
              <w:t xml:space="preserve">*Les chiffres des dépenses pour 2016 sont préliminaires, sous réserve d’audit par les vérificateurs externes des comptes </w:t>
            </w:r>
          </w:p>
        </w:tc>
      </w:tr>
    </w:tbl>
    <w:p w14:paraId="234BB797" w14:textId="77777777" w:rsidR="00F96912" w:rsidRPr="00CD000E" w:rsidRDefault="00F96912" w:rsidP="00F96912">
      <w:pPr>
        <w:rPr>
          <w:sz w:val="20"/>
        </w:rPr>
      </w:pPr>
    </w:p>
    <w:p w14:paraId="2ACEEAAF" w14:textId="4F0DF1DF" w:rsidR="00F96912" w:rsidRPr="00CD000E" w:rsidRDefault="00F96912" w:rsidP="00F96912">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5F0DF258" w14:textId="77777777" w:rsidR="00F96912" w:rsidRPr="00CD000E" w:rsidRDefault="00F96912" w:rsidP="00F96912">
      <w:pPr>
        <w:rPr>
          <w:sz w:val="20"/>
        </w:rPr>
      </w:pPr>
    </w:p>
    <w:p w14:paraId="351711B5" w14:textId="77777777" w:rsidR="00F96912" w:rsidRPr="00CD000E" w:rsidRDefault="00F96912" w:rsidP="00F96912">
      <w:pPr>
        <w:rPr>
          <w:sz w:val="20"/>
        </w:rPr>
      </w:pPr>
    </w:p>
    <w:p w14:paraId="510F0A45" w14:textId="77777777" w:rsidR="00F96912" w:rsidRPr="00CD000E" w:rsidRDefault="00F96912" w:rsidP="00F96912">
      <w:pPr>
        <w:jc w:val="both"/>
        <w:rPr>
          <w:sz w:val="20"/>
          <w:u w:val="single"/>
        </w:rPr>
      </w:pPr>
      <w:r w:rsidRPr="00CD000E">
        <w:rPr>
          <w:sz w:val="20"/>
        </w:rPr>
        <w:t>A.</w:t>
      </w:r>
      <w:r w:rsidRPr="00CD000E">
        <w:rPr>
          <w:sz w:val="20"/>
        </w:rPr>
        <w:tab/>
      </w:r>
      <w:r w:rsidRPr="00CD000E">
        <w:rPr>
          <w:sz w:val="20"/>
          <w:u w:val="single"/>
        </w:rPr>
        <w:t>Budget 2016</w:t>
      </w:r>
      <w:r>
        <w:rPr>
          <w:sz w:val="20"/>
          <w:u w:val="single"/>
        </w:rPr>
        <w:noBreakHyphen/>
      </w:r>
      <w:r w:rsidRPr="00CD000E">
        <w:rPr>
          <w:sz w:val="20"/>
          <w:u w:val="single"/>
        </w:rPr>
        <w:t>2017 après virements</w:t>
      </w:r>
    </w:p>
    <w:p w14:paraId="4909D7C7" w14:textId="77777777" w:rsidR="00F96912" w:rsidRPr="00CD000E" w:rsidRDefault="00F96912" w:rsidP="00F96912">
      <w:pPr>
        <w:jc w:val="both"/>
        <w:rPr>
          <w:sz w:val="20"/>
        </w:rPr>
      </w:pPr>
    </w:p>
    <w:p w14:paraId="19A7B78D" w14:textId="77777777" w:rsidR="00F96912" w:rsidRPr="0061190A" w:rsidRDefault="00F96912" w:rsidP="00D544B8">
      <w:pPr>
        <w:pStyle w:val="ListParagraph"/>
        <w:numPr>
          <w:ilvl w:val="0"/>
          <w:numId w:val="34"/>
        </w:numPr>
        <w:ind w:left="0" w:firstLine="0"/>
        <w:jc w:val="both"/>
        <w:rPr>
          <w:rFonts w:ascii="Arial" w:hAnsi="Arial" w:cs="Arial"/>
          <w:sz w:val="20"/>
        </w:rPr>
      </w:pPr>
      <w:r w:rsidRPr="0061190A">
        <w:rPr>
          <w:rFonts w:ascii="Arial" w:hAnsi="Arial" w:cs="Arial"/>
          <w:sz w:val="20"/>
        </w:rPr>
        <w:t>Le budget après virements faisait apparaître une nette augmentation des dépenses autres que les dépenses de personnel, essentiellement due à : i) l’allocation de ressources supplémentaires pour couvrir les intérêts payés d’avance en lien avec le remboursement de l’emprunt contracté pour le Nouveau Bâtiment;  et ii) la réaffectation de dépenses de personnel aux autres dépenses à l’appui des activités d’achat dans le domaine informatique et de la préparation des assemblées.  Cette augmentation était partiellement compensée par le transfert : i) du Groupe des messagers</w:t>
      </w:r>
      <w:r w:rsidRPr="0061190A">
        <w:rPr>
          <w:rFonts w:ascii="Arial" w:hAnsi="Arial" w:cs="Arial"/>
          <w:sz w:val="20"/>
        </w:rPr>
        <w:noBreakHyphen/>
        <w:t>chauffeurs du programme 24 au programme 27 (Services de conférence et services linguistiques), répercuté sous les résultats escomptés IX.1 (Services d’appui efficaces, efficients, de qualité et tournés vers la clientèle) et IX.4 (Une Organisation écologiquement et socialement responsable);  et ii) des montants non dépensés affectés en 2016 à l’entretien, la maintenance et les rénovations des locaux et installations de l’OMPI, au titre du résultat escompté IX.1, en faveur d’autres priorités de l’Organisation.</w:t>
      </w:r>
    </w:p>
    <w:p w14:paraId="52394FEC" w14:textId="77777777" w:rsidR="00F96912" w:rsidRPr="0061190A" w:rsidRDefault="00F96912" w:rsidP="00F96912">
      <w:pPr>
        <w:jc w:val="both"/>
        <w:rPr>
          <w:sz w:val="20"/>
        </w:rPr>
      </w:pPr>
    </w:p>
    <w:p w14:paraId="7BBBF74F" w14:textId="77777777" w:rsidR="00F96912" w:rsidRPr="0061190A" w:rsidRDefault="00F96912" w:rsidP="00D544B8">
      <w:pPr>
        <w:pStyle w:val="ListParagraph"/>
        <w:numPr>
          <w:ilvl w:val="0"/>
          <w:numId w:val="34"/>
        </w:numPr>
        <w:ind w:left="0" w:firstLine="0"/>
        <w:jc w:val="both"/>
        <w:rPr>
          <w:rFonts w:ascii="Arial" w:hAnsi="Arial" w:cs="Arial"/>
          <w:sz w:val="20"/>
        </w:rPr>
      </w:pPr>
      <w:r w:rsidRPr="0061190A">
        <w:rPr>
          <w:rFonts w:ascii="Arial" w:hAnsi="Arial" w:cs="Arial"/>
          <w:sz w:val="20"/>
        </w:rPr>
        <w:t>La diminution générale des dépenses de personnel par rapport au budget 2016</w:t>
      </w:r>
      <w:r w:rsidRPr="0061190A">
        <w:rPr>
          <w:rFonts w:ascii="Arial" w:hAnsi="Arial" w:cs="Arial"/>
          <w:sz w:val="20"/>
        </w:rPr>
        <w:noBreakHyphen/>
        <w:t>2017 approuvé est le résultat net, d’une part, des reclassements et des régularisations d’agents exerçant des fonctions continues et, d’autre part, du redéploiement du Groupe des messagers</w:t>
      </w:r>
      <w:r w:rsidRPr="0061190A">
        <w:rPr>
          <w:rFonts w:ascii="Arial" w:hAnsi="Arial" w:cs="Arial"/>
          <w:sz w:val="20"/>
        </w:rPr>
        <w:noBreakHyphen/>
        <w:t>chauffeurs au titre du programme 27, comme mentionné ci</w:t>
      </w:r>
      <w:r w:rsidRPr="0061190A">
        <w:rPr>
          <w:rFonts w:ascii="Arial" w:hAnsi="Arial" w:cs="Arial"/>
          <w:sz w:val="20"/>
        </w:rPr>
        <w:noBreakHyphen/>
        <w:t>dessus.</w:t>
      </w:r>
    </w:p>
    <w:p w14:paraId="750B8516" w14:textId="77777777" w:rsidR="00F96912" w:rsidRPr="0061190A" w:rsidRDefault="00F96912" w:rsidP="00F96912">
      <w:pPr>
        <w:jc w:val="both"/>
        <w:rPr>
          <w:sz w:val="20"/>
        </w:rPr>
      </w:pPr>
    </w:p>
    <w:p w14:paraId="55FD92B4" w14:textId="77777777" w:rsidR="00F96912" w:rsidRPr="0061190A" w:rsidRDefault="00F96912" w:rsidP="00F96912">
      <w:pPr>
        <w:jc w:val="both"/>
        <w:rPr>
          <w:sz w:val="20"/>
          <w:u w:val="single"/>
        </w:rPr>
      </w:pPr>
      <w:r w:rsidRPr="0061190A">
        <w:rPr>
          <w:sz w:val="20"/>
        </w:rPr>
        <w:t>B.</w:t>
      </w:r>
      <w:r w:rsidRPr="0061190A">
        <w:rPr>
          <w:sz w:val="20"/>
        </w:rPr>
        <w:tab/>
      </w:r>
      <w:r w:rsidRPr="0061190A">
        <w:rPr>
          <w:sz w:val="20"/>
          <w:u w:val="single"/>
        </w:rPr>
        <w:t>Utilisation du budget 2016</w:t>
      </w:r>
      <w:r w:rsidRPr="0061190A">
        <w:rPr>
          <w:sz w:val="20"/>
          <w:u w:val="single"/>
        </w:rPr>
        <w:noBreakHyphen/>
        <w:t>2017</w:t>
      </w:r>
    </w:p>
    <w:p w14:paraId="7BF1EB03" w14:textId="77777777" w:rsidR="00F96912" w:rsidRPr="0061190A" w:rsidRDefault="00F96912" w:rsidP="00F96912">
      <w:pPr>
        <w:jc w:val="both"/>
        <w:rPr>
          <w:sz w:val="20"/>
        </w:rPr>
      </w:pPr>
    </w:p>
    <w:p w14:paraId="0AD1DA50" w14:textId="77777777" w:rsidR="00F96912" w:rsidRPr="0061190A" w:rsidRDefault="00F96912" w:rsidP="00D544B8">
      <w:pPr>
        <w:pStyle w:val="ListParagraph"/>
        <w:numPr>
          <w:ilvl w:val="0"/>
          <w:numId w:val="34"/>
        </w:numPr>
        <w:ind w:left="0" w:firstLine="0"/>
        <w:jc w:val="both"/>
        <w:rPr>
          <w:rFonts w:ascii="Arial" w:hAnsi="Arial" w:cs="Arial"/>
          <w:sz w:val="20"/>
        </w:rPr>
      </w:pPr>
      <w:r w:rsidRPr="0061190A">
        <w:rPr>
          <w:rFonts w:ascii="Arial" w:hAnsi="Arial" w:cs="Arial"/>
          <w:sz w:val="20"/>
        </w:rPr>
        <w:t>L’utilisation du budget se situe dans la fourchette prévue des 40 à 60% pour la première année de l’exercice biennal.  La légère sous</w:t>
      </w:r>
      <w:r w:rsidRPr="0061190A">
        <w:rPr>
          <w:rFonts w:ascii="Arial" w:hAnsi="Arial" w:cs="Arial"/>
          <w:sz w:val="20"/>
        </w:rPr>
        <w:noBreakHyphen/>
        <w:t>utilisation des ressources de personnel découle principalement des postes vacants, des remplacements et des fonctionnaires travaillant à temps partiel.</w:t>
      </w:r>
    </w:p>
    <w:p w14:paraId="2FB0EB15" w14:textId="77777777" w:rsidR="00F96912" w:rsidRPr="00CD000E" w:rsidRDefault="00F96912" w:rsidP="00F96912">
      <w:pPr>
        <w:rPr>
          <w:rFonts w:eastAsia="SimSun"/>
          <w:b/>
          <w:bCs/>
          <w:iCs/>
          <w:caps/>
          <w:szCs w:val="28"/>
        </w:rPr>
      </w:pPr>
      <w:bookmarkStart w:id="78" w:name="_Toc422210477"/>
      <w:r w:rsidRPr="00CD000E">
        <w:rPr>
          <w:b/>
        </w:rPr>
        <w:br w:type="page"/>
      </w:r>
    </w:p>
    <w:p w14:paraId="31374B10" w14:textId="77777777" w:rsidR="00F96912" w:rsidRPr="00CD000E" w:rsidRDefault="00F96912" w:rsidP="0087680E">
      <w:pPr>
        <w:pStyle w:val="Heading3"/>
      </w:pPr>
      <w:bookmarkStart w:id="79" w:name="_Toc482774624"/>
      <w:bookmarkEnd w:id="78"/>
      <w:r w:rsidRPr="00CD000E">
        <w:rPr>
          <w:color w:val="000000"/>
        </w:rPr>
        <w:t>P</w:t>
      </w:r>
      <w:r w:rsidRPr="00CD000E">
        <w:t>rogramme 25</w:t>
      </w:r>
      <w:r w:rsidRPr="00CD000E">
        <w:rPr>
          <w:color w:val="000000"/>
        </w:rPr>
        <w:tab/>
      </w:r>
      <w:r w:rsidRPr="00CD000E">
        <w:t>Technologies de l’information et de la communication</w:t>
      </w:r>
      <w:bookmarkEnd w:id="79"/>
    </w:p>
    <w:p w14:paraId="314774C3" w14:textId="77777777" w:rsidR="00F96912" w:rsidRPr="00CD000E" w:rsidRDefault="00F96912" w:rsidP="00F96912">
      <w:pPr>
        <w:tabs>
          <w:tab w:val="left" w:pos="2268"/>
        </w:tabs>
        <w:ind w:left="2268" w:hanging="2268"/>
        <w:rPr>
          <w:sz w:val="20"/>
        </w:rPr>
      </w:pPr>
    </w:p>
    <w:p w14:paraId="1D572F6A" w14:textId="77777777" w:rsidR="00F96912" w:rsidRPr="00CD000E" w:rsidRDefault="00F96912" w:rsidP="00F96912">
      <w:pPr>
        <w:tabs>
          <w:tab w:val="left" w:pos="2268"/>
        </w:tabs>
        <w:ind w:left="2268" w:hanging="2268"/>
        <w:rPr>
          <w:b/>
          <w:sz w:val="20"/>
        </w:rPr>
      </w:pPr>
      <w:r w:rsidRPr="00CD000E">
        <w:rPr>
          <w:b/>
          <w:sz w:val="20"/>
        </w:rPr>
        <w:t>Chef de programme</w:t>
      </w:r>
      <w:r w:rsidRPr="00CD000E">
        <w:rPr>
          <w:b/>
          <w:sz w:val="20"/>
        </w:rPr>
        <w:tab/>
        <w:t>M. A. Sundaram</w:t>
      </w:r>
    </w:p>
    <w:p w14:paraId="34C2AF6E" w14:textId="77777777" w:rsidR="00F96912" w:rsidRPr="00CD000E" w:rsidRDefault="00F96912" w:rsidP="00F96912">
      <w:pPr>
        <w:jc w:val="center"/>
        <w:rPr>
          <w:b/>
          <w:sz w:val="20"/>
        </w:rPr>
      </w:pPr>
      <w:r w:rsidRPr="00CD000E">
        <w:rPr>
          <w:noProof/>
          <w:lang w:val="en-US"/>
        </w:rPr>
        <w:drawing>
          <wp:inline distT="0" distB="0" distL="0" distR="0" wp14:anchorId="3E5EAC77" wp14:editId="510B18A3">
            <wp:extent cx="3960778" cy="273600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774"/>
        <w:gridCol w:w="2501"/>
        <w:gridCol w:w="1255"/>
        <w:gridCol w:w="2607"/>
        <w:gridCol w:w="1050"/>
      </w:tblGrid>
      <w:tr w:rsidR="00F96912" w:rsidRPr="00CD000E" w14:paraId="0518D956" w14:textId="77777777" w:rsidTr="006658D5">
        <w:tc>
          <w:tcPr>
            <w:tcW w:w="5000" w:type="pct"/>
            <w:gridSpan w:val="5"/>
            <w:shd w:val="clear" w:color="auto" w:fill="C6D9F1" w:themeFill="text2" w:themeFillTint="33"/>
            <w:tcMar>
              <w:left w:w="58" w:type="dxa"/>
              <w:right w:w="58" w:type="dxa"/>
            </w:tcMar>
            <w:vAlign w:val="center"/>
          </w:tcPr>
          <w:p w14:paraId="2BD0D219" w14:textId="77777777" w:rsidR="00F96912" w:rsidRPr="00CD000E" w:rsidRDefault="00F96912" w:rsidP="006658D5">
            <w:pPr>
              <w:tabs>
                <w:tab w:val="left" w:pos="1452"/>
              </w:tabs>
              <w:rPr>
                <w:b/>
                <w:bCs/>
                <w:sz w:val="16"/>
                <w:szCs w:val="16"/>
              </w:rPr>
            </w:pPr>
            <w:r w:rsidRPr="00CD000E">
              <w:rPr>
                <w:b/>
                <w:bCs/>
                <w:sz w:val="16"/>
                <w:szCs w:val="16"/>
              </w:rPr>
              <w:t xml:space="preserve">Résultat escompté : </w:t>
            </w:r>
            <w:r w:rsidRPr="00CD000E">
              <w:rPr>
                <w:bCs/>
                <w:sz w:val="16"/>
                <w:szCs w:val="16"/>
              </w:rPr>
              <w:t>IX.1 Services d’appui efficaces, efficients, de qualité et tournés vers la clientèle, à l’intention à la fois des clients internes et des parties prenantes externes</w:t>
            </w:r>
          </w:p>
        </w:tc>
      </w:tr>
      <w:tr w:rsidR="00F96912" w:rsidRPr="00CD000E" w14:paraId="4DDCDD85" w14:textId="77777777" w:rsidTr="006658D5">
        <w:tc>
          <w:tcPr>
            <w:tcW w:w="1042" w:type="pct"/>
            <w:shd w:val="clear" w:color="auto" w:fill="auto"/>
            <w:tcMar>
              <w:left w:w="58" w:type="dxa"/>
              <w:right w:w="58" w:type="dxa"/>
            </w:tcMar>
            <w:vAlign w:val="center"/>
          </w:tcPr>
          <w:p w14:paraId="255659F6" w14:textId="77777777" w:rsidR="00F96912" w:rsidRPr="00CD000E" w:rsidRDefault="00F96912" w:rsidP="006658D5">
            <w:pPr>
              <w:jc w:val="center"/>
              <w:rPr>
                <w:b/>
                <w:bCs/>
                <w:sz w:val="16"/>
                <w:szCs w:val="16"/>
              </w:rPr>
            </w:pPr>
            <w:r w:rsidRPr="00CD000E">
              <w:rPr>
                <w:b/>
                <w:bCs/>
                <w:sz w:val="16"/>
                <w:szCs w:val="16"/>
              </w:rPr>
              <w:t>Indicateurs d’exécution</w:t>
            </w:r>
          </w:p>
        </w:tc>
        <w:tc>
          <w:tcPr>
            <w:tcW w:w="1438" w:type="pct"/>
            <w:shd w:val="clear" w:color="auto" w:fill="auto"/>
            <w:tcMar>
              <w:left w:w="58" w:type="dxa"/>
              <w:right w:w="58" w:type="dxa"/>
            </w:tcMar>
            <w:vAlign w:val="center"/>
          </w:tcPr>
          <w:p w14:paraId="7CC6022A" w14:textId="77777777" w:rsidR="00F96912" w:rsidRPr="00CD000E" w:rsidRDefault="00F96912" w:rsidP="006658D5">
            <w:pPr>
              <w:jc w:val="center"/>
              <w:rPr>
                <w:b/>
                <w:bCs/>
                <w:sz w:val="16"/>
                <w:szCs w:val="16"/>
              </w:rPr>
            </w:pPr>
            <w:r w:rsidRPr="00CD000E">
              <w:rPr>
                <w:b/>
                <w:bCs/>
                <w:sz w:val="16"/>
                <w:szCs w:val="16"/>
              </w:rPr>
              <w:t>Niveaux de référence</w:t>
            </w:r>
          </w:p>
        </w:tc>
        <w:tc>
          <w:tcPr>
            <w:tcW w:w="595" w:type="pct"/>
            <w:shd w:val="clear" w:color="auto" w:fill="auto"/>
            <w:tcMar>
              <w:top w:w="110" w:type="dxa"/>
              <w:left w:w="58" w:type="dxa"/>
              <w:right w:w="58" w:type="dxa"/>
            </w:tcMar>
            <w:vAlign w:val="center"/>
          </w:tcPr>
          <w:p w14:paraId="534DF041"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495" w:type="pct"/>
            <w:shd w:val="clear" w:color="auto" w:fill="FFFFFF"/>
            <w:tcMar>
              <w:top w:w="110" w:type="dxa"/>
              <w:left w:w="58" w:type="dxa"/>
              <w:right w:w="58" w:type="dxa"/>
            </w:tcMar>
            <w:vAlign w:val="center"/>
          </w:tcPr>
          <w:p w14:paraId="7006D623"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430" w:type="pct"/>
            <w:shd w:val="clear" w:color="auto" w:fill="auto"/>
            <w:tcMar>
              <w:top w:w="110" w:type="dxa"/>
              <w:left w:w="58" w:type="dxa"/>
              <w:right w:w="58" w:type="dxa"/>
            </w:tcMar>
            <w:vAlign w:val="center"/>
          </w:tcPr>
          <w:p w14:paraId="5151E577" w14:textId="77777777" w:rsidR="00F96912" w:rsidRPr="00CD000E" w:rsidRDefault="00F96912" w:rsidP="006658D5">
            <w:pPr>
              <w:jc w:val="center"/>
              <w:rPr>
                <w:b/>
                <w:bCs/>
                <w:sz w:val="16"/>
                <w:szCs w:val="16"/>
              </w:rPr>
            </w:pPr>
            <w:r w:rsidRPr="00CD000E">
              <w:rPr>
                <w:b/>
                <w:bCs/>
                <w:sz w:val="16"/>
                <w:szCs w:val="16"/>
              </w:rPr>
              <w:t>Code d’évaluation</w:t>
            </w:r>
          </w:p>
        </w:tc>
      </w:tr>
      <w:tr w:rsidR="00F96912" w:rsidRPr="00CD000E" w14:paraId="3DB33453" w14:textId="77777777" w:rsidTr="006658D5">
        <w:tc>
          <w:tcPr>
            <w:tcW w:w="1042" w:type="pct"/>
            <w:shd w:val="clear" w:color="auto" w:fill="auto"/>
            <w:tcMar>
              <w:left w:w="58" w:type="dxa"/>
              <w:right w:w="58" w:type="dxa"/>
            </w:tcMar>
          </w:tcPr>
          <w:p w14:paraId="2D2B289C" w14:textId="77777777" w:rsidR="00F96912" w:rsidRPr="00CD000E" w:rsidRDefault="00F96912" w:rsidP="006658D5">
            <w:pPr>
              <w:rPr>
                <w:color w:val="000000"/>
                <w:sz w:val="16"/>
                <w:szCs w:val="16"/>
              </w:rPr>
            </w:pPr>
            <w:r w:rsidRPr="00CD000E">
              <w:rPr>
                <w:sz w:val="16"/>
                <w:szCs w:val="16"/>
              </w:rPr>
              <w:t>Les plateformes TIC sont hébergées et gérées de manière rentable, conformément aux demandes liées à l’activité.</w:t>
            </w:r>
          </w:p>
        </w:tc>
        <w:tc>
          <w:tcPr>
            <w:tcW w:w="1438" w:type="pct"/>
            <w:shd w:val="clear" w:color="auto" w:fill="auto"/>
            <w:tcMar>
              <w:left w:w="58" w:type="dxa"/>
              <w:right w:w="58" w:type="dxa"/>
            </w:tcMar>
          </w:tcPr>
          <w:p w14:paraId="6BC1B4B9" w14:textId="77777777" w:rsidR="00F96912" w:rsidRPr="002B50EA" w:rsidRDefault="00F96912" w:rsidP="006658D5">
            <w:pPr>
              <w:rPr>
                <w:i/>
                <w:color w:val="002060"/>
                <w:sz w:val="16"/>
                <w:szCs w:val="16"/>
              </w:rPr>
            </w:pPr>
            <w:r w:rsidRPr="002B50EA">
              <w:rPr>
                <w:i/>
                <w:color w:val="002060"/>
                <w:sz w:val="16"/>
                <w:szCs w:val="16"/>
              </w:rPr>
              <w:t>Niveau de référence actualisé à fin</w:t>
            </w:r>
            <w:r>
              <w:rPr>
                <w:i/>
                <w:color w:val="002060"/>
                <w:sz w:val="16"/>
                <w:szCs w:val="16"/>
              </w:rPr>
              <w:t> </w:t>
            </w:r>
            <w:r w:rsidRPr="002B50EA">
              <w:rPr>
                <w:i/>
                <w:color w:val="002060"/>
                <w:sz w:val="16"/>
                <w:szCs w:val="16"/>
              </w:rPr>
              <w:t>2015 :</w:t>
            </w:r>
          </w:p>
          <w:p w14:paraId="013F0510" w14:textId="77777777" w:rsidR="00F96912" w:rsidRPr="002B50EA" w:rsidRDefault="00F96912" w:rsidP="006658D5">
            <w:pPr>
              <w:rPr>
                <w:color w:val="002060"/>
                <w:sz w:val="16"/>
                <w:szCs w:val="16"/>
              </w:rPr>
            </w:pPr>
            <w:r w:rsidRPr="002B50EA">
              <w:rPr>
                <w:color w:val="002060"/>
                <w:sz w:val="16"/>
                <w:szCs w:val="16"/>
              </w:rPr>
              <w:t>26 accords de prestation de services</w:t>
            </w:r>
          </w:p>
          <w:p w14:paraId="69B1E0D8" w14:textId="77777777" w:rsidR="00F96912" w:rsidRPr="002B50EA" w:rsidRDefault="00F96912" w:rsidP="006658D5">
            <w:pPr>
              <w:rPr>
                <w:color w:val="000000"/>
                <w:sz w:val="16"/>
                <w:szCs w:val="16"/>
              </w:rPr>
            </w:pPr>
          </w:p>
          <w:p w14:paraId="680BBAD9" w14:textId="77777777" w:rsidR="00F96912" w:rsidRPr="002B50EA" w:rsidRDefault="00F96912" w:rsidP="006658D5">
            <w:pPr>
              <w:rPr>
                <w:i/>
                <w:sz w:val="16"/>
                <w:szCs w:val="16"/>
                <w:lang w:bidi="th-TH"/>
              </w:rPr>
            </w:pPr>
            <w:r w:rsidRPr="002B50EA">
              <w:rPr>
                <w:i/>
                <w:sz w:val="16"/>
                <w:szCs w:val="16"/>
                <w:lang w:bidi="th-TH"/>
              </w:rPr>
              <w:t>Niveau de référence initial dans le programme et budget 2016</w:t>
            </w:r>
            <w:r w:rsidRPr="002B50EA">
              <w:rPr>
                <w:i/>
                <w:sz w:val="16"/>
                <w:szCs w:val="16"/>
                <w:lang w:bidi="th-TH"/>
              </w:rPr>
              <w:noBreakHyphen/>
              <w:t xml:space="preserve">2017 : </w:t>
            </w:r>
            <w:proofErr w:type="spellStart"/>
            <w:r w:rsidRPr="002B50EA">
              <w:rPr>
                <w:color w:val="000000"/>
                <w:sz w:val="16"/>
                <w:szCs w:val="16"/>
              </w:rPr>
              <w:t>n.d</w:t>
            </w:r>
            <w:proofErr w:type="spellEnd"/>
            <w:r w:rsidRPr="002B50EA">
              <w:rPr>
                <w:color w:val="000000"/>
                <w:sz w:val="16"/>
                <w:szCs w:val="16"/>
              </w:rPr>
              <w:t>.</w:t>
            </w:r>
          </w:p>
        </w:tc>
        <w:tc>
          <w:tcPr>
            <w:tcW w:w="595" w:type="pct"/>
            <w:shd w:val="clear" w:color="auto" w:fill="auto"/>
            <w:tcMar>
              <w:top w:w="110" w:type="dxa"/>
              <w:left w:w="58" w:type="dxa"/>
              <w:right w:w="58" w:type="dxa"/>
            </w:tcMar>
          </w:tcPr>
          <w:p w14:paraId="250C1038" w14:textId="77777777" w:rsidR="00F96912" w:rsidRPr="002B50EA" w:rsidRDefault="00F96912" w:rsidP="006658D5">
            <w:pPr>
              <w:rPr>
                <w:color w:val="000000"/>
                <w:sz w:val="16"/>
                <w:szCs w:val="16"/>
              </w:rPr>
            </w:pPr>
            <w:r w:rsidRPr="002B50EA">
              <w:rPr>
                <w:sz w:val="16"/>
                <w:szCs w:val="16"/>
              </w:rPr>
              <w:t>De nouveaux accords de prestation de services sont créés et acceptés par les plus grands consommateurs de services des plateformes TIC.</w:t>
            </w:r>
          </w:p>
        </w:tc>
        <w:tc>
          <w:tcPr>
            <w:tcW w:w="1495" w:type="pct"/>
            <w:shd w:val="clear" w:color="auto" w:fill="FFFFFF"/>
            <w:tcMar>
              <w:top w:w="110" w:type="dxa"/>
              <w:left w:w="58" w:type="dxa"/>
              <w:right w:w="58" w:type="dxa"/>
            </w:tcMar>
          </w:tcPr>
          <w:p w14:paraId="5AD6F1B5" w14:textId="77777777" w:rsidR="00F96912" w:rsidRPr="002B50EA" w:rsidRDefault="00F96912" w:rsidP="006658D5">
            <w:pPr>
              <w:rPr>
                <w:color w:val="000000"/>
                <w:sz w:val="16"/>
                <w:szCs w:val="16"/>
              </w:rPr>
            </w:pPr>
            <w:r w:rsidRPr="002B50EA">
              <w:rPr>
                <w:color w:val="000000"/>
                <w:sz w:val="16"/>
                <w:szCs w:val="16"/>
              </w:rPr>
              <w:t xml:space="preserve">6 nouveaux </w:t>
            </w:r>
            <w:r w:rsidRPr="002B50EA">
              <w:rPr>
                <w:sz w:val="16"/>
                <w:szCs w:val="16"/>
              </w:rPr>
              <w:t>accords de prestation de services</w:t>
            </w:r>
            <w:r w:rsidRPr="002B50EA">
              <w:rPr>
                <w:color w:val="000000"/>
                <w:sz w:val="16"/>
                <w:szCs w:val="16"/>
              </w:rPr>
              <w:t xml:space="preserve"> (sécurité des informations, WIPO DAS, WIPO CASE, Service WIPO </w:t>
            </w:r>
            <w:proofErr w:type="spellStart"/>
            <w:r w:rsidRPr="002B50EA">
              <w:rPr>
                <w:color w:val="000000"/>
                <w:sz w:val="16"/>
                <w:szCs w:val="16"/>
              </w:rPr>
              <w:t>WebMums</w:t>
            </w:r>
            <w:proofErr w:type="spellEnd"/>
            <w:r w:rsidRPr="002B50EA">
              <w:rPr>
                <w:color w:val="000000"/>
                <w:sz w:val="16"/>
                <w:szCs w:val="16"/>
              </w:rPr>
              <w:t xml:space="preserve"> (Membres de l’Union de Madrid), WIPO </w:t>
            </w:r>
            <w:proofErr w:type="spellStart"/>
            <w:r w:rsidRPr="002B50EA">
              <w:rPr>
                <w:color w:val="000000"/>
                <w:sz w:val="16"/>
                <w:szCs w:val="16"/>
              </w:rPr>
              <w:t>Connect</w:t>
            </w:r>
            <w:proofErr w:type="spellEnd"/>
            <w:r w:rsidRPr="002B50EA">
              <w:rPr>
                <w:color w:val="000000"/>
                <w:sz w:val="16"/>
                <w:szCs w:val="16"/>
              </w:rPr>
              <w:t>, Gestion des contenus de l’Organisation) ont été signés avec le Centre international de calcul des Nations Unies (UNICC)</w:t>
            </w:r>
          </w:p>
        </w:tc>
        <w:tc>
          <w:tcPr>
            <w:tcW w:w="430" w:type="pct"/>
            <w:shd w:val="clear" w:color="auto" w:fill="auto"/>
            <w:tcMar>
              <w:top w:w="110" w:type="dxa"/>
              <w:left w:w="58" w:type="dxa"/>
              <w:right w:w="58" w:type="dxa"/>
            </w:tcMar>
          </w:tcPr>
          <w:p w14:paraId="0303A3E5" w14:textId="77777777" w:rsidR="00F96912" w:rsidRPr="00CD000E" w:rsidRDefault="00F96912" w:rsidP="006658D5">
            <w:pPr>
              <w:jc w:val="center"/>
              <w:rPr>
                <w:b/>
                <w:color w:val="000000"/>
                <w:sz w:val="16"/>
                <w:szCs w:val="16"/>
              </w:rPr>
            </w:pPr>
            <w:r w:rsidRPr="00CD000E">
              <w:rPr>
                <w:b/>
                <w:color w:val="00B050"/>
                <w:sz w:val="16"/>
                <w:szCs w:val="16"/>
              </w:rPr>
              <w:t>En bonne voie</w:t>
            </w:r>
          </w:p>
        </w:tc>
      </w:tr>
      <w:tr w:rsidR="00F96912" w:rsidRPr="00CD000E" w14:paraId="774510F2" w14:textId="77777777" w:rsidTr="006658D5">
        <w:tc>
          <w:tcPr>
            <w:tcW w:w="1042" w:type="pct"/>
            <w:shd w:val="clear" w:color="auto" w:fill="auto"/>
            <w:tcMar>
              <w:left w:w="58" w:type="dxa"/>
              <w:right w:w="58" w:type="dxa"/>
            </w:tcMar>
          </w:tcPr>
          <w:p w14:paraId="1EEB2D79" w14:textId="77777777" w:rsidR="00F96912" w:rsidRPr="00CD000E" w:rsidRDefault="00F96912" w:rsidP="006658D5">
            <w:pPr>
              <w:rPr>
                <w:color w:val="000000"/>
                <w:sz w:val="16"/>
                <w:szCs w:val="16"/>
              </w:rPr>
            </w:pPr>
          </w:p>
        </w:tc>
        <w:tc>
          <w:tcPr>
            <w:tcW w:w="1438" w:type="pct"/>
            <w:shd w:val="clear" w:color="auto" w:fill="auto"/>
            <w:tcMar>
              <w:left w:w="58" w:type="dxa"/>
              <w:right w:w="58" w:type="dxa"/>
            </w:tcMar>
          </w:tcPr>
          <w:p w14:paraId="3F3C32DB" w14:textId="77777777" w:rsidR="00F96912" w:rsidRPr="002B50EA" w:rsidRDefault="00F96912" w:rsidP="006658D5">
            <w:pPr>
              <w:rPr>
                <w:i/>
                <w:color w:val="002060"/>
                <w:sz w:val="16"/>
                <w:szCs w:val="16"/>
              </w:rPr>
            </w:pPr>
            <w:r w:rsidRPr="002B50EA">
              <w:rPr>
                <w:i/>
                <w:color w:val="002060"/>
                <w:sz w:val="16"/>
                <w:szCs w:val="16"/>
              </w:rPr>
              <w:t>Niveau de référence actualisé à fin</w:t>
            </w:r>
            <w:r>
              <w:rPr>
                <w:i/>
                <w:color w:val="002060"/>
                <w:sz w:val="16"/>
                <w:szCs w:val="16"/>
              </w:rPr>
              <w:t> </w:t>
            </w:r>
            <w:r w:rsidRPr="002B50EA">
              <w:rPr>
                <w:i/>
                <w:color w:val="002060"/>
                <w:sz w:val="16"/>
                <w:szCs w:val="16"/>
              </w:rPr>
              <w:t>2015</w:t>
            </w:r>
            <w:r w:rsidRPr="002B50EA">
              <w:rPr>
                <w:rStyle w:val="FootnoteReference"/>
                <w:rFonts w:cs="Arial"/>
                <w:i/>
                <w:color w:val="002060"/>
                <w:szCs w:val="16"/>
              </w:rPr>
              <w:footnoteReference w:id="100"/>
            </w:r>
            <w:r w:rsidRPr="002B50EA">
              <w:rPr>
                <w:i/>
                <w:color w:val="002060"/>
                <w:sz w:val="16"/>
                <w:szCs w:val="16"/>
              </w:rPr>
              <w:t> :</w:t>
            </w:r>
          </w:p>
          <w:p w14:paraId="0377C25F" w14:textId="77777777" w:rsidR="00F96912" w:rsidRPr="002B50EA" w:rsidRDefault="00F96912" w:rsidP="006658D5">
            <w:pPr>
              <w:rPr>
                <w:color w:val="002060"/>
                <w:sz w:val="16"/>
                <w:szCs w:val="16"/>
              </w:rPr>
            </w:pPr>
            <w:r w:rsidRPr="002B50EA">
              <w:rPr>
                <w:color w:val="002060"/>
                <w:sz w:val="16"/>
                <w:szCs w:val="16"/>
              </w:rPr>
              <w:t>– Coût unitaire mensuel moyen des serveurs : 414 francs suisses</w:t>
            </w:r>
          </w:p>
          <w:p w14:paraId="24685C94" w14:textId="77777777" w:rsidR="00F96912" w:rsidRPr="002B50EA" w:rsidRDefault="00F96912" w:rsidP="006658D5">
            <w:pPr>
              <w:pStyle w:val="ListParagraph"/>
              <w:ind w:left="0"/>
              <w:rPr>
                <w:rFonts w:ascii="Arial" w:hAnsi="Arial" w:cs="Arial"/>
                <w:color w:val="002060"/>
                <w:sz w:val="16"/>
                <w:szCs w:val="16"/>
              </w:rPr>
            </w:pPr>
            <w:r w:rsidRPr="002B50EA">
              <w:rPr>
                <w:rFonts w:ascii="Arial" w:hAnsi="Arial" w:cs="Arial"/>
                <w:color w:val="002060"/>
                <w:sz w:val="16"/>
                <w:szCs w:val="16"/>
              </w:rPr>
              <w:t>– Coût unitaire mensuel moyen par To de stockage : 234 francs suisses</w:t>
            </w:r>
          </w:p>
          <w:p w14:paraId="52B457BB" w14:textId="77777777" w:rsidR="00F96912" w:rsidRPr="002B50EA" w:rsidRDefault="00F96912" w:rsidP="006658D5">
            <w:pPr>
              <w:pStyle w:val="ListParagraph"/>
              <w:ind w:left="0"/>
              <w:rPr>
                <w:rFonts w:ascii="Arial" w:hAnsi="Arial" w:cs="Arial"/>
                <w:color w:val="002060"/>
                <w:sz w:val="16"/>
                <w:szCs w:val="16"/>
              </w:rPr>
            </w:pPr>
            <w:r w:rsidRPr="002B50EA">
              <w:rPr>
                <w:rFonts w:ascii="Arial" w:hAnsi="Arial" w:cs="Arial"/>
                <w:color w:val="002060"/>
                <w:sz w:val="16"/>
                <w:szCs w:val="16"/>
              </w:rPr>
              <w:t>– Coût unitaire mensuel moyen de sauvegarde par To de stockage : 252 francs suisses</w:t>
            </w:r>
          </w:p>
          <w:p w14:paraId="6B968316" w14:textId="77777777" w:rsidR="00F96912" w:rsidRPr="002B50EA" w:rsidRDefault="00F96912" w:rsidP="006658D5">
            <w:pPr>
              <w:pStyle w:val="ListParagraph"/>
              <w:ind w:left="0"/>
              <w:rPr>
                <w:rFonts w:ascii="Arial" w:hAnsi="Arial" w:cs="Arial"/>
                <w:color w:val="002060"/>
                <w:sz w:val="16"/>
                <w:szCs w:val="16"/>
              </w:rPr>
            </w:pPr>
          </w:p>
          <w:p w14:paraId="082FE140" w14:textId="77777777" w:rsidR="00F96912" w:rsidRPr="002B50EA" w:rsidRDefault="00F96912" w:rsidP="006658D5">
            <w:pPr>
              <w:rPr>
                <w:color w:val="002060"/>
                <w:sz w:val="16"/>
                <w:szCs w:val="16"/>
              </w:rPr>
            </w:pPr>
            <w:r w:rsidRPr="002B50EA">
              <w:rPr>
                <w:sz w:val="16"/>
                <w:szCs w:val="16"/>
              </w:rPr>
              <w:t>Nombre d’incidents de service à impact moyen ou fort : 1,75 par mois</w:t>
            </w:r>
          </w:p>
          <w:p w14:paraId="2FE10A46" w14:textId="77777777" w:rsidR="00F96912" w:rsidRPr="002B50EA" w:rsidRDefault="00F96912" w:rsidP="006658D5">
            <w:pPr>
              <w:rPr>
                <w:color w:val="000000"/>
                <w:sz w:val="16"/>
                <w:szCs w:val="16"/>
              </w:rPr>
            </w:pPr>
          </w:p>
          <w:p w14:paraId="6753F7D8" w14:textId="77777777" w:rsidR="00F96912" w:rsidRPr="002B50EA" w:rsidRDefault="00F96912" w:rsidP="006658D5">
            <w:pPr>
              <w:rPr>
                <w:i/>
                <w:sz w:val="16"/>
                <w:szCs w:val="16"/>
                <w:lang w:bidi="th-TH"/>
              </w:rPr>
            </w:pPr>
            <w:r w:rsidRPr="002B50EA">
              <w:rPr>
                <w:i/>
                <w:sz w:val="16"/>
                <w:szCs w:val="16"/>
                <w:lang w:bidi="th-TH"/>
              </w:rPr>
              <w:t>Niveau de référence initial dans le programme et budget 2016</w:t>
            </w:r>
            <w:r w:rsidRPr="002B50EA">
              <w:rPr>
                <w:i/>
                <w:sz w:val="16"/>
                <w:szCs w:val="16"/>
                <w:lang w:bidi="th-TH"/>
              </w:rPr>
              <w:noBreakHyphen/>
              <w:t>2017 :</w:t>
            </w:r>
          </w:p>
          <w:p w14:paraId="1B580033" w14:textId="77777777" w:rsidR="00F96912" w:rsidRPr="002B50EA" w:rsidRDefault="00F96912" w:rsidP="006658D5">
            <w:pPr>
              <w:rPr>
                <w:color w:val="000000"/>
                <w:sz w:val="16"/>
                <w:szCs w:val="16"/>
              </w:rPr>
            </w:pPr>
            <w:r w:rsidRPr="002B50EA">
              <w:rPr>
                <w:color w:val="000000"/>
                <w:sz w:val="16"/>
                <w:szCs w:val="16"/>
              </w:rPr>
              <w:t>Coût unitaire des serveurs : 448 francs suisses/mois;</w:t>
            </w:r>
          </w:p>
          <w:p w14:paraId="1A0C5921" w14:textId="77777777" w:rsidR="00F96912" w:rsidRPr="002B50EA" w:rsidRDefault="00F96912" w:rsidP="006658D5">
            <w:pPr>
              <w:rPr>
                <w:color w:val="000000"/>
                <w:sz w:val="16"/>
                <w:szCs w:val="16"/>
              </w:rPr>
            </w:pPr>
            <w:r w:rsidRPr="002B50EA">
              <w:rPr>
                <w:color w:val="000000"/>
                <w:sz w:val="16"/>
                <w:szCs w:val="16"/>
              </w:rPr>
              <w:t>Coût unitaire par To de stockage : 299 francs suisses/mois;</w:t>
            </w:r>
          </w:p>
          <w:p w14:paraId="66C40E18" w14:textId="77777777" w:rsidR="00F96912" w:rsidRPr="002B50EA" w:rsidRDefault="00F96912" w:rsidP="006658D5">
            <w:pPr>
              <w:rPr>
                <w:color w:val="000000"/>
                <w:sz w:val="16"/>
                <w:szCs w:val="16"/>
              </w:rPr>
            </w:pPr>
            <w:r w:rsidRPr="002B50EA">
              <w:rPr>
                <w:sz w:val="16"/>
                <w:szCs w:val="16"/>
              </w:rPr>
              <w:t>Coût unitaire de sauvegarde par To de stockage : 370 francs suisses/mois (à fin 2014)</w:t>
            </w:r>
            <w:r w:rsidRPr="002B50EA">
              <w:rPr>
                <w:color w:val="000000"/>
                <w:sz w:val="16"/>
                <w:szCs w:val="16"/>
              </w:rPr>
              <w:t>;</w:t>
            </w:r>
          </w:p>
          <w:p w14:paraId="0A5D9706" w14:textId="77777777" w:rsidR="00F96912" w:rsidRPr="002B50EA" w:rsidRDefault="00F96912" w:rsidP="006658D5">
            <w:pPr>
              <w:rPr>
                <w:color w:val="000000"/>
                <w:sz w:val="16"/>
                <w:szCs w:val="16"/>
              </w:rPr>
            </w:pPr>
          </w:p>
          <w:p w14:paraId="43776EA9" w14:textId="77777777" w:rsidR="00F96912" w:rsidRPr="002B50EA" w:rsidRDefault="00F96912" w:rsidP="006658D5">
            <w:pPr>
              <w:rPr>
                <w:color w:val="000000"/>
                <w:sz w:val="16"/>
                <w:szCs w:val="16"/>
              </w:rPr>
            </w:pPr>
            <w:r w:rsidRPr="002B50EA">
              <w:rPr>
                <w:sz w:val="16"/>
                <w:szCs w:val="16"/>
              </w:rPr>
              <w:t>Nombre d’incidents de service à impact moyen ou fort : 1,75 par mois</w:t>
            </w:r>
          </w:p>
        </w:tc>
        <w:tc>
          <w:tcPr>
            <w:tcW w:w="595" w:type="pct"/>
            <w:shd w:val="clear" w:color="auto" w:fill="auto"/>
            <w:tcMar>
              <w:top w:w="110" w:type="dxa"/>
              <w:left w:w="58" w:type="dxa"/>
              <w:right w:w="58" w:type="dxa"/>
            </w:tcMar>
          </w:tcPr>
          <w:p w14:paraId="57DD2D0C" w14:textId="77777777" w:rsidR="00F96912" w:rsidRPr="002B50EA" w:rsidRDefault="00F96912" w:rsidP="006658D5">
            <w:pPr>
              <w:rPr>
                <w:color w:val="000000"/>
                <w:sz w:val="16"/>
                <w:szCs w:val="16"/>
              </w:rPr>
            </w:pPr>
            <w:r w:rsidRPr="002B50EA">
              <w:rPr>
                <w:color w:val="000000"/>
                <w:sz w:val="16"/>
                <w:szCs w:val="16"/>
              </w:rPr>
              <w:t>Baisse des coûts unitaires d’au moins 5% par an;</w:t>
            </w:r>
          </w:p>
          <w:p w14:paraId="5B161587" w14:textId="77777777" w:rsidR="00F96912" w:rsidRPr="002B50EA" w:rsidRDefault="00F96912" w:rsidP="006658D5">
            <w:pPr>
              <w:rPr>
                <w:color w:val="000000"/>
                <w:sz w:val="16"/>
                <w:szCs w:val="16"/>
              </w:rPr>
            </w:pPr>
          </w:p>
          <w:p w14:paraId="7944B2A8" w14:textId="77777777" w:rsidR="00F96912" w:rsidRPr="002B50EA" w:rsidRDefault="00F96912" w:rsidP="006658D5">
            <w:pPr>
              <w:rPr>
                <w:color w:val="000000"/>
                <w:sz w:val="16"/>
                <w:szCs w:val="16"/>
              </w:rPr>
            </w:pPr>
          </w:p>
          <w:p w14:paraId="5B86D655" w14:textId="77777777" w:rsidR="00F96912" w:rsidRPr="002B50EA" w:rsidRDefault="00F96912" w:rsidP="006658D5">
            <w:pPr>
              <w:rPr>
                <w:color w:val="000000"/>
                <w:sz w:val="16"/>
                <w:szCs w:val="16"/>
              </w:rPr>
            </w:pPr>
          </w:p>
          <w:p w14:paraId="5ED96C18" w14:textId="77777777" w:rsidR="00F96912" w:rsidRPr="002B50EA" w:rsidRDefault="00F96912" w:rsidP="006658D5">
            <w:pPr>
              <w:rPr>
                <w:color w:val="000000"/>
                <w:sz w:val="16"/>
                <w:szCs w:val="16"/>
              </w:rPr>
            </w:pPr>
          </w:p>
          <w:p w14:paraId="5614C02A" w14:textId="77777777" w:rsidR="00F96912" w:rsidRPr="002B50EA" w:rsidRDefault="00F96912" w:rsidP="006658D5">
            <w:pPr>
              <w:rPr>
                <w:color w:val="000000"/>
                <w:sz w:val="16"/>
                <w:szCs w:val="16"/>
              </w:rPr>
            </w:pPr>
          </w:p>
          <w:p w14:paraId="751CF73A" w14:textId="77777777" w:rsidR="00F96912" w:rsidRPr="002B50EA" w:rsidRDefault="00F96912" w:rsidP="006658D5">
            <w:pPr>
              <w:rPr>
                <w:color w:val="000000"/>
                <w:sz w:val="16"/>
                <w:szCs w:val="16"/>
              </w:rPr>
            </w:pPr>
            <w:r w:rsidRPr="002B50EA">
              <w:rPr>
                <w:color w:val="000000"/>
                <w:sz w:val="16"/>
                <w:szCs w:val="16"/>
              </w:rPr>
              <w:t>Pas d’augmentation du nombre d’incidents de service à impact moyen ou fort.</w:t>
            </w:r>
          </w:p>
        </w:tc>
        <w:tc>
          <w:tcPr>
            <w:tcW w:w="1495" w:type="pct"/>
            <w:shd w:val="clear" w:color="auto" w:fill="FFFFFF"/>
            <w:tcMar>
              <w:top w:w="110" w:type="dxa"/>
              <w:left w:w="58" w:type="dxa"/>
              <w:right w:w="58" w:type="dxa"/>
            </w:tcMar>
          </w:tcPr>
          <w:p w14:paraId="73456274" w14:textId="77777777" w:rsidR="00F96912" w:rsidRPr="002B50EA" w:rsidRDefault="00F96912" w:rsidP="006658D5">
            <w:pPr>
              <w:rPr>
                <w:sz w:val="16"/>
                <w:szCs w:val="16"/>
              </w:rPr>
            </w:pPr>
            <w:r w:rsidRPr="002B50EA">
              <w:rPr>
                <w:sz w:val="16"/>
                <w:szCs w:val="16"/>
              </w:rPr>
              <w:t>Coût unitaire mensuel moyen des serveurs : 418 francs suisses</w:t>
            </w:r>
          </w:p>
          <w:p w14:paraId="47DEFC0B" w14:textId="77777777" w:rsidR="00F96912" w:rsidRPr="002B50EA" w:rsidRDefault="00F96912" w:rsidP="006658D5">
            <w:pPr>
              <w:pStyle w:val="ListParagraph"/>
              <w:ind w:left="0"/>
              <w:rPr>
                <w:rFonts w:ascii="Arial" w:hAnsi="Arial" w:cs="Arial"/>
                <w:sz w:val="16"/>
                <w:szCs w:val="16"/>
              </w:rPr>
            </w:pPr>
          </w:p>
          <w:p w14:paraId="50780E3B" w14:textId="77777777" w:rsidR="00F96912" w:rsidRPr="002B50EA" w:rsidRDefault="00F96912" w:rsidP="006658D5">
            <w:pPr>
              <w:rPr>
                <w:sz w:val="16"/>
                <w:szCs w:val="16"/>
              </w:rPr>
            </w:pPr>
            <w:r w:rsidRPr="002B50EA">
              <w:rPr>
                <w:sz w:val="16"/>
                <w:szCs w:val="16"/>
              </w:rPr>
              <w:t>Coût unitaire mensuel moyen par To de stockage : 233 francs suisses</w:t>
            </w:r>
          </w:p>
          <w:p w14:paraId="28C6DE47" w14:textId="77777777" w:rsidR="00F96912" w:rsidRPr="002B50EA" w:rsidRDefault="00F96912" w:rsidP="006658D5">
            <w:pPr>
              <w:pStyle w:val="ListParagraph"/>
              <w:ind w:left="0"/>
              <w:rPr>
                <w:rFonts w:ascii="Arial" w:hAnsi="Arial" w:cs="Arial"/>
                <w:sz w:val="16"/>
                <w:szCs w:val="16"/>
              </w:rPr>
            </w:pPr>
          </w:p>
          <w:p w14:paraId="704A1265" w14:textId="77777777" w:rsidR="00F96912" w:rsidRPr="002B50EA" w:rsidRDefault="00F96912" w:rsidP="006658D5">
            <w:pPr>
              <w:rPr>
                <w:sz w:val="16"/>
                <w:szCs w:val="16"/>
              </w:rPr>
            </w:pPr>
            <w:r w:rsidRPr="002B50EA">
              <w:rPr>
                <w:sz w:val="16"/>
                <w:szCs w:val="16"/>
              </w:rPr>
              <w:t>Coût unitaire mensuel moyen de sauvegarde par To de stockage : 232 francs suisses</w:t>
            </w:r>
          </w:p>
          <w:p w14:paraId="64B0AD44" w14:textId="77777777" w:rsidR="00F96912" w:rsidRPr="002B50EA" w:rsidRDefault="00F96912" w:rsidP="006658D5">
            <w:pPr>
              <w:rPr>
                <w:sz w:val="16"/>
                <w:szCs w:val="16"/>
              </w:rPr>
            </w:pPr>
          </w:p>
          <w:p w14:paraId="68F3FE37" w14:textId="77777777" w:rsidR="00F96912" w:rsidRPr="002B50EA" w:rsidRDefault="00F96912" w:rsidP="006658D5">
            <w:pPr>
              <w:rPr>
                <w:sz w:val="16"/>
                <w:szCs w:val="16"/>
              </w:rPr>
            </w:pPr>
            <w:r w:rsidRPr="002B50EA">
              <w:rPr>
                <w:sz w:val="16"/>
                <w:szCs w:val="16"/>
              </w:rPr>
              <w:t>1,17 incident de service à impact moyen ou fort par mois</w:t>
            </w:r>
          </w:p>
        </w:tc>
        <w:tc>
          <w:tcPr>
            <w:tcW w:w="430" w:type="pct"/>
            <w:shd w:val="clear" w:color="auto" w:fill="auto"/>
            <w:tcMar>
              <w:top w:w="110" w:type="dxa"/>
              <w:left w:w="58" w:type="dxa"/>
              <w:right w:w="58" w:type="dxa"/>
            </w:tcMar>
          </w:tcPr>
          <w:p w14:paraId="736C6F20" w14:textId="77777777" w:rsidR="00F96912" w:rsidRPr="00CD000E" w:rsidRDefault="00F96912" w:rsidP="006658D5">
            <w:pPr>
              <w:jc w:val="center"/>
              <w:rPr>
                <w:b/>
                <w:color w:val="FF0000"/>
                <w:sz w:val="16"/>
                <w:szCs w:val="16"/>
              </w:rPr>
            </w:pPr>
            <w:r w:rsidRPr="00CD000E">
              <w:rPr>
                <w:b/>
                <w:color w:val="FF0000"/>
                <w:sz w:val="16"/>
                <w:szCs w:val="16"/>
              </w:rPr>
              <w:t>Pas en bonne voie</w:t>
            </w:r>
          </w:p>
          <w:p w14:paraId="21F01517" w14:textId="77777777" w:rsidR="00F96912" w:rsidRPr="00CD000E" w:rsidRDefault="00F96912" w:rsidP="006658D5">
            <w:pPr>
              <w:jc w:val="center"/>
              <w:rPr>
                <w:b/>
                <w:color w:val="FF0000"/>
                <w:sz w:val="16"/>
                <w:szCs w:val="16"/>
              </w:rPr>
            </w:pPr>
          </w:p>
          <w:p w14:paraId="1265CD94" w14:textId="77777777" w:rsidR="00F96912" w:rsidRPr="00CD000E" w:rsidRDefault="00F96912" w:rsidP="006658D5">
            <w:pPr>
              <w:jc w:val="center"/>
              <w:rPr>
                <w:b/>
                <w:color w:val="FF0000"/>
                <w:sz w:val="16"/>
                <w:szCs w:val="16"/>
              </w:rPr>
            </w:pPr>
            <w:r w:rsidRPr="00CD000E">
              <w:rPr>
                <w:b/>
                <w:color w:val="FF0000"/>
                <w:sz w:val="16"/>
                <w:szCs w:val="16"/>
              </w:rPr>
              <w:t>Pas en bonne voie</w:t>
            </w:r>
          </w:p>
          <w:p w14:paraId="668C5F69" w14:textId="77777777" w:rsidR="00F96912" w:rsidRDefault="00F96912" w:rsidP="006658D5">
            <w:pPr>
              <w:jc w:val="center"/>
              <w:rPr>
                <w:b/>
                <w:color w:val="00B050"/>
                <w:sz w:val="16"/>
                <w:szCs w:val="16"/>
              </w:rPr>
            </w:pPr>
          </w:p>
          <w:p w14:paraId="3B301E94" w14:textId="77777777" w:rsidR="00851C67" w:rsidRPr="00CD000E" w:rsidRDefault="00851C67" w:rsidP="006658D5">
            <w:pPr>
              <w:jc w:val="center"/>
              <w:rPr>
                <w:b/>
                <w:color w:val="00B050"/>
                <w:sz w:val="16"/>
                <w:szCs w:val="16"/>
              </w:rPr>
            </w:pPr>
          </w:p>
          <w:p w14:paraId="32352546" w14:textId="77777777" w:rsidR="00F96912" w:rsidRPr="00CD000E" w:rsidRDefault="00F96912" w:rsidP="006658D5">
            <w:pPr>
              <w:jc w:val="center"/>
              <w:rPr>
                <w:b/>
                <w:color w:val="00B050"/>
                <w:sz w:val="16"/>
                <w:szCs w:val="16"/>
              </w:rPr>
            </w:pPr>
            <w:r w:rsidRPr="00CD000E">
              <w:rPr>
                <w:b/>
                <w:color w:val="00B050"/>
                <w:sz w:val="16"/>
                <w:szCs w:val="16"/>
              </w:rPr>
              <w:t>En bonne voie</w:t>
            </w:r>
          </w:p>
          <w:p w14:paraId="3BE3B803" w14:textId="77777777" w:rsidR="00F96912" w:rsidRPr="00CD000E" w:rsidRDefault="00F96912" w:rsidP="006658D5">
            <w:pPr>
              <w:jc w:val="center"/>
              <w:rPr>
                <w:color w:val="000000"/>
                <w:sz w:val="16"/>
                <w:szCs w:val="16"/>
              </w:rPr>
            </w:pPr>
          </w:p>
          <w:p w14:paraId="2A170CCE" w14:textId="77777777" w:rsidR="00F96912" w:rsidRPr="00CD000E" w:rsidRDefault="00F96912" w:rsidP="006658D5">
            <w:pPr>
              <w:jc w:val="center"/>
              <w:rPr>
                <w:sz w:val="16"/>
                <w:szCs w:val="16"/>
              </w:rPr>
            </w:pPr>
          </w:p>
          <w:p w14:paraId="5152F9C6" w14:textId="77777777" w:rsidR="00F96912" w:rsidRPr="00CD000E" w:rsidRDefault="00F96912" w:rsidP="006658D5">
            <w:pPr>
              <w:jc w:val="center"/>
              <w:rPr>
                <w:sz w:val="16"/>
                <w:szCs w:val="16"/>
              </w:rPr>
            </w:pPr>
            <w:r w:rsidRPr="00CD000E">
              <w:rPr>
                <w:b/>
                <w:color w:val="00B050"/>
                <w:sz w:val="16"/>
                <w:szCs w:val="16"/>
              </w:rPr>
              <w:t>En bonne voie</w:t>
            </w:r>
          </w:p>
        </w:tc>
      </w:tr>
      <w:tr w:rsidR="00F96912" w:rsidRPr="00CD000E" w14:paraId="468D66BC" w14:textId="77777777" w:rsidTr="006658D5">
        <w:tc>
          <w:tcPr>
            <w:tcW w:w="1042" w:type="pct"/>
            <w:shd w:val="clear" w:color="auto" w:fill="auto"/>
            <w:tcMar>
              <w:left w:w="58" w:type="dxa"/>
              <w:right w:w="58" w:type="dxa"/>
            </w:tcMar>
          </w:tcPr>
          <w:p w14:paraId="2FA802F6" w14:textId="77777777" w:rsidR="00F96912" w:rsidRPr="00CD000E" w:rsidRDefault="00F96912" w:rsidP="006658D5">
            <w:pPr>
              <w:rPr>
                <w:color w:val="000000"/>
                <w:sz w:val="16"/>
                <w:szCs w:val="16"/>
              </w:rPr>
            </w:pPr>
            <w:r w:rsidRPr="00CD000E">
              <w:rPr>
                <w:sz w:val="16"/>
                <w:szCs w:val="16"/>
              </w:rPr>
              <w:t>Les activités de développement des applications sont conformes aux normes de l’OMPI en matière de références et de données de base.</w:t>
            </w:r>
          </w:p>
        </w:tc>
        <w:tc>
          <w:tcPr>
            <w:tcW w:w="1438" w:type="pct"/>
            <w:shd w:val="clear" w:color="auto" w:fill="auto"/>
            <w:tcMar>
              <w:left w:w="58" w:type="dxa"/>
              <w:right w:w="58" w:type="dxa"/>
            </w:tcMar>
          </w:tcPr>
          <w:p w14:paraId="5B86522F" w14:textId="77777777" w:rsidR="00F96912" w:rsidRPr="002B50EA" w:rsidRDefault="00F96912" w:rsidP="006658D5">
            <w:pPr>
              <w:rPr>
                <w:i/>
                <w:color w:val="002060"/>
                <w:sz w:val="16"/>
                <w:szCs w:val="16"/>
              </w:rPr>
            </w:pPr>
            <w:r w:rsidRPr="002B50EA">
              <w:rPr>
                <w:i/>
                <w:color w:val="002060"/>
                <w:sz w:val="16"/>
                <w:szCs w:val="16"/>
              </w:rPr>
              <w:t>Niveau de référence actualisé à fin</w:t>
            </w:r>
            <w:r>
              <w:rPr>
                <w:i/>
                <w:color w:val="002060"/>
                <w:sz w:val="16"/>
                <w:szCs w:val="16"/>
              </w:rPr>
              <w:t> </w:t>
            </w:r>
            <w:r w:rsidRPr="002B50EA">
              <w:rPr>
                <w:i/>
                <w:color w:val="002060"/>
                <w:sz w:val="16"/>
                <w:szCs w:val="16"/>
              </w:rPr>
              <w:t>2015 :</w:t>
            </w:r>
          </w:p>
          <w:p w14:paraId="4B0BC577" w14:textId="77777777" w:rsidR="00F96912" w:rsidRPr="002B50EA" w:rsidRDefault="00F96912" w:rsidP="006658D5">
            <w:pPr>
              <w:rPr>
                <w:color w:val="002060"/>
                <w:sz w:val="16"/>
                <w:szCs w:val="16"/>
              </w:rPr>
            </w:pPr>
            <w:r w:rsidRPr="002B50EA">
              <w:rPr>
                <w:color w:val="002060"/>
                <w:sz w:val="16"/>
                <w:szCs w:val="16"/>
              </w:rPr>
              <w:t>Néant</w:t>
            </w:r>
          </w:p>
          <w:p w14:paraId="1DA351C1" w14:textId="77777777" w:rsidR="00F96912" w:rsidRPr="002B50EA" w:rsidRDefault="00F96912" w:rsidP="006658D5">
            <w:pPr>
              <w:rPr>
                <w:color w:val="000000"/>
                <w:sz w:val="16"/>
                <w:szCs w:val="16"/>
              </w:rPr>
            </w:pPr>
          </w:p>
          <w:p w14:paraId="1D8425B1" w14:textId="77777777" w:rsidR="00F96912" w:rsidRPr="002B50EA" w:rsidRDefault="00F96912" w:rsidP="006658D5">
            <w:pPr>
              <w:rPr>
                <w:i/>
                <w:sz w:val="16"/>
                <w:szCs w:val="16"/>
                <w:lang w:bidi="th-TH"/>
              </w:rPr>
            </w:pPr>
            <w:r w:rsidRPr="002B50EA">
              <w:rPr>
                <w:i/>
                <w:sz w:val="16"/>
                <w:szCs w:val="16"/>
                <w:lang w:bidi="th-TH"/>
              </w:rPr>
              <w:t>Niveau de référence initial dans le programme et budget 2016</w:t>
            </w:r>
            <w:r w:rsidRPr="002B50EA">
              <w:rPr>
                <w:i/>
                <w:sz w:val="16"/>
                <w:szCs w:val="16"/>
                <w:lang w:bidi="th-TH"/>
              </w:rPr>
              <w:noBreakHyphen/>
              <w:t>2017 :</w:t>
            </w:r>
          </w:p>
          <w:p w14:paraId="71A6C333" w14:textId="77777777" w:rsidR="00F96912" w:rsidRPr="002B50EA" w:rsidRDefault="00F96912" w:rsidP="006658D5">
            <w:pPr>
              <w:rPr>
                <w:color w:val="000000"/>
                <w:sz w:val="16"/>
                <w:szCs w:val="16"/>
              </w:rPr>
            </w:pPr>
            <w:proofErr w:type="spellStart"/>
            <w:r w:rsidRPr="002B50EA">
              <w:rPr>
                <w:color w:val="000000"/>
                <w:sz w:val="16"/>
                <w:szCs w:val="16"/>
              </w:rPr>
              <w:t>n.d</w:t>
            </w:r>
            <w:proofErr w:type="spellEnd"/>
            <w:r w:rsidRPr="002B50EA">
              <w:rPr>
                <w:color w:val="000000"/>
                <w:sz w:val="16"/>
                <w:szCs w:val="16"/>
              </w:rPr>
              <w:t xml:space="preserve">.  </w:t>
            </w:r>
          </w:p>
        </w:tc>
        <w:tc>
          <w:tcPr>
            <w:tcW w:w="595" w:type="pct"/>
            <w:shd w:val="clear" w:color="auto" w:fill="auto"/>
            <w:tcMar>
              <w:top w:w="110" w:type="dxa"/>
              <w:left w:w="58" w:type="dxa"/>
              <w:right w:w="58" w:type="dxa"/>
            </w:tcMar>
          </w:tcPr>
          <w:p w14:paraId="259B7BCE" w14:textId="77777777" w:rsidR="00F96912" w:rsidRPr="002B50EA" w:rsidRDefault="00F96912" w:rsidP="006658D5">
            <w:pPr>
              <w:rPr>
                <w:color w:val="000000"/>
                <w:sz w:val="16"/>
                <w:szCs w:val="16"/>
              </w:rPr>
            </w:pPr>
            <w:r w:rsidRPr="002B50EA">
              <w:rPr>
                <w:sz w:val="16"/>
                <w:szCs w:val="16"/>
              </w:rPr>
              <w:t>La stratégie et le référentiel de l’OMPI pour les références et les données de base sont utilisés par au moins une équipe de développement des applications</w:t>
            </w:r>
          </w:p>
        </w:tc>
        <w:tc>
          <w:tcPr>
            <w:tcW w:w="1495" w:type="pct"/>
            <w:shd w:val="clear" w:color="auto" w:fill="FFFFFF"/>
            <w:tcMar>
              <w:top w:w="110" w:type="dxa"/>
              <w:left w:w="58" w:type="dxa"/>
              <w:right w:w="58" w:type="dxa"/>
            </w:tcMar>
          </w:tcPr>
          <w:p w14:paraId="58E9667A" w14:textId="4533F54E" w:rsidR="00F96912" w:rsidRPr="002B50EA" w:rsidRDefault="00F96912" w:rsidP="001F2738">
            <w:pPr>
              <w:rPr>
                <w:color w:val="000000"/>
                <w:sz w:val="16"/>
                <w:szCs w:val="16"/>
              </w:rPr>
            </w:pPr>
            <w:r w:rsidRPr="002B50EA">
              <w:rPr>
                <w:color w:val="000000"/>
                <w:sz w:val="16"/>
                <w:szCs w:val="16"/>
              </w:rPr>
              <w:t>Les normes de l’OMPI en matière de références et de données de base, y compris les processus de gouvernance, étaient toujours en cours d’élaboration à la fin de 201</w:t>
            </w:r>
            <w:r w:rsidRPr="001303B4">
              <w:rPr>
                <w:color w:val="000000"/>
                <w:sz w:val="16"/>
                <w:szCs w:val="16"/>
              </w:rPr>
              <w:t>6</w:t>
            </w:r>
            <w:r w:rsidR="00403B32" w:rsidRPr="001303B4">
              <w:rPr>
                <w:color w:val="000000"/>
                <w:sz w:val="16"/>
                <w:szCs w:val="16"/>
              </w:rPr>
              <w:t xml:space="preserve">, </w:t>
            </w:r>
            <w:r w:rsidR="001F2738" w:rsidRPr="001303B4">
              <w:rPr>
                <w:color w:val="000000"/>
                <w:sz w:val="16"/>
                <w:szCs w:val="16"/>
              </w:rPr>
              <w:t>suite au repositionnement de cette initiative</w:t>
            </w:r>
            <w:r w:rsidR="00403B32" w:rsidRPr="001303B4">
              <w:rPr>
                <w:color w:val="000000"/>
                <w:sz w:val="16"/>
                <w:szCs w:val="16"/>
              </w:rPr>
              <w:t>.</w:t>
            </w:r>
          </w:p>
        </w:tc>
        <w:tc>
          <w:tcPr>
            <w:tcW w:w="430" w:type="pct"/>
            <w:shd w:val="clear" w:color="auto" w:fill="auto"/>
            <w:tcMar>
              <w:top w:w="110" w:type="dxa"/>
              <w:left w:w="58" w:type="dxa"/>
              <w:right w:w="58" w:type="dxa"/>
            </w:tcMar>
          </w:tcPr>
          <w:p w14:paraId="4D4E0E74" w14:textId="571862E3" w:rsidR="00F96912" w:rsidRPr="00CD000E" w:rsidRDefault="00F96912" w:rsidP="001303B4">
            <w:pPr>
              <w:jc w:val="center"/>
              <w:rPr>
                <w:color w:val="000000"/>
                <w:sz w:val="16"/>
                <w:szCs w:val="16"/>
              </w:rPr>
            </w:pPr>
            <w:r w:rsidRPr="00CD000E">
              <w:rPr>
                <w:b/>
                <w:color w:val="FF0000"/>
                <w:sz w:val="16"/>
                <w:szCs w:val="16"/>
              </w:rPr>
              <w:t>Pas en bonne voie</w:t>
            </w:r>
          </w:p>
        </w:tc>
      </w:tr>
      <w:tr w:rsidR="00F96912" w:rsidRPr="00CD000E" w14:paraId="361B6689" w14:textId="77777777" w:rsidTr="006658D5">
        <w:tc>
          <w:tcPr>
            <w:tcW w:w="1042" w:type="pct"/>
            <w:shd w:val="clear" w:color="auto" w:fill="auto"/>
            <w:tcMar>
              <w:left w:w="58" w:type="dxa"/>
              <w:right w:w="58" w:type="dxa"/>
            </w:tcMar>
          </w:tcPr>
          <w:p w14:paraId="39AB1808" w14:textId="77777777" w:rsidR="00F96912" w:rsidRPr="00CD000E" w:rsidRDefault="00F96912" w:rsidP="006658D5">
            <w:pPr>
              <w:rPr>
                <w:color w:val="000000"/>
                <w:sz w:val="16"/>
                <w:szCs w:val="16"/>
              </w:rPr>
            </w:pPr>
            <w:r w:rsidRPr="00CD000E">
              <w:rPr>
                <w:sz w:val="16"/>
                <w:szCs w:val="16"/>
              </w:rPr>
              <w:t>Pourcentage de clients satisfaits des prestations du service d’assistance.</w:t>
            </w:r>
          </w:p>
        </w:tc>
        <w:tc>
          <w:tcPr>
            <w:tcW w:w="1438" w:type="pct"/>
            <w:shd w:val="clear" w:color="auto" w:fill="auto"/>
            <w:tcMar>
              <w:left w:w="58" w:type="dxa"/>
              <w:right w:w="58" w:type="dxa"/>
            </w:tcMar>
          </w:tcPr>
          <w:p w14:paraId="73C5CDA9" w14:textId="77777777" w:rsidR="00F96912" w:rsidRPr="002B50EA" w:rsidRDefault="00F96912" w:rsidP="006658D5">
            <w:pPr>
              <w:rPr>
                <w:i/>
                <w:color w:val="002060"/>
                <w:sz w:val="16"/>
                <w:szCs w:val="16"/>
              </w:rPr>
            </w:pPr>
            <w:r w:rsidRPr="002B50EA">
              <w:rPr>
                <w:i/>
                <w:color w:val="002060"/>
                <w:sz w:val="16"/>
                <w:szCs w:val="16"/>
              </w:rPr>
              <w:t>Niveau de référence actualisé à fin</w:t>
            </w:r>
            <w:r>
              <w:rPr>
                <w:i/>
                <w:color w:val="002060"/>
                <w:sz w:val="16"/>
                <w:szCs w:val="16"/>
              </w:rPr>
              <w:t> </w:t>
            </w:r>
            <w:r w:rsidRPr="002B50EA">
              <w:rPr>
                <w:i/>
                <w:color w:val="002060"/>
                <w:sz w:val="16"/>
                <w:szCs w:val="16"/>
              </w:rPr>
              <w:t>2015 :</w:t>
            </w:r>
          </w:p>
          <w:p w14:paraId="066FB5AC" w14:textId="77777777" w:rsidR="00F96912" w:rsidRPr="002B50EA" w:rsidRDefault="00F96912" w:rsidP="006658D5">
            <w:pPr>
              <w:rPr>
                <w:color w:val="002060"/>
                <w:sz w:val="16"/>
                <w:szCs w:val="16"/>
              </w:rPr>
            </w:pPr>
            <w:r w:rsidRPr="002B50EA">
              <w:rPr>
                <w:color w:val="002060"/>
                <w:sz w:val="16"/>
                <w:szCs w:val="16"/>
              </w:rPr>
              <w:t>97% satisfaits des prestations du service d’assistance</w:t>
            </w:r>
          </w:p>
          <w:p w14:paraId="069942E8" w14:textId="77777777" w:rsidR="00F96912" w:rsidRPr="002B50EA" w:rsidRDefault="00F96912" w:rsidP="006658D5">
            <w:pPr>
              <w:rPr>
                <w:i/>
                <w:color w:val="002060"/>
                <w:sz w:val="16"/>
                <w:szCs w:val="16"/>
              </w:rPr>
            </w:pPr>
            <w:r w:rsidRPr="002B50EA">
              <w:rPr>
                <w:color w:val="002060"/>
                <w:sz w:val="16"/>
                <w:szCs w:val="16"/>
              </w:rPr>
              <w:t>– 64%</w:t>
            </w:r>
            <w:r w:rsidRPr="002B50EA">
              <w:rPr>
                <w:rStyle w:val="FootnoteReference"/>
                <w:rFonts w:eastAsiaTheme="minorEastAsia" w:cs="Arial"/>
                <w:color w:val="002060"/>
                <w:szCs w:val="16"/>
              </w:rPr>
              <w:footnoteReference w:id="101"/>
            </w:r>
            <w:r w:rsidRPr="002B50EA">
              <w:rPr>
                <w:color w:val="002060"/>
                <w:sz w:val="16"/>
                <w:szCs w:val="16"/>
              </w:rPr>
              <w:t xml:space="preserve"> pleinement satisfaits</w:t>
            </w:r>
          </w:p>
          <w:p w14:paraId="40A87355" w14:textId="77777777" w:rsidR="00F96912" w:rsidRPr="002B50EA" w:rsidRDefault="00F96912" w:rsidP="006658D5">
            <w:pPr>
              <w:pStyle w:val="ListParagraph"/>
              <w:ind w:left="0"/>
              <w:rPr>
                <w:rFonts w:ascii="Arial" w:hAnsi="Arial" w:cs="Arial"/>
                <w:i/>
                <w:color w:val="002060"/>
                <w:sz w:val="16"/>
                <w:szCs w:val="16"/>
              </w:rPr>
            </w:pPr>
            <w:r w:rsidRPr="002B50EA">
              <w:rPr>
                <w:rFonts w:ascii="Arial" w:hAnsi="Arial" w:cs="Arial"/>
                <w:color w:val="002060"/>
                <w:sz w:val="16"/>
                <w:szCs w:val="16"/>
              </w:rPr>
              <w:t>– 33% satisfaits</w:t>
            </w:r>
          </w:p>
          <w:p w14:paraId="195D4E6F" w14:textId="77777777" w:rsidR="00F96912" w:rsidRPr="002B50EA" w:rsidRDefault="00F96912" w:rsidP="006658D5">
            <w:pPr>
              <w:rPr>
                <w:color w:val="000000"/>
                <w:sz w:val="16"/>
                <w:szCs w:val="16"/>
              </w:rPr>
            </w:pPr>
          </w:p>
          <w:p w14:paraId="2B96C7E6" w14:textId="77777777" w:rsidR="00F96912" w:rsidRPr="002B50EA" w:rsidRDefault="00F96912" w:rsidP="006658D5">
            <w:pPr>
              <w:rPr>
                <w:i/>
                <w:sz w:val="16"/>
                <w:szCs w:val="16"/>
                <w:lang w:bidi="th-TH"/>
              </w:rPr>
            </w:pPr>
            <w:r w:rsidRPr="002B50EA">
              <w:rPr>
                <w:i/>
                <w:sz w:val="16"/>
                <w:szCs w:val="16"/>
                <w:lang w:bidi="th-TH"/>
              </w:rPr>
              <w:t>Niveau de référence initial dans le programme et budget 2016</w:t>
            </w:r>
            <w:r w:rsidRPr="002B50EA">
              <w:rPr>
                <w:i/>
                <w:sz w:val="16"/>
                <w:szCs w:val="16"/>
                <w:lang w:bidi="th-TH"/>
              </w:rPr>
              <w:noBreakHyphen/>
              <w:t>2017 :</w:t>
            </w:r>
          </w:p>
          <w:p w14:paraId="527F98A6" w14:textId="77777777" w:rsidR="00F96912" w:rsidRPr="002B50EA" w:rsidRDefault="00F96912" w:rsidP="006658D5">
            <w:pPr>
              <w:rPr>
                <w:color w:val="000000"/>
                <w:sz w:val="16"/>
                <w:szCs w:val="16"/>
              </w:rPr>
            </w:pPr>
            <w:r w:rsidRPr="002B50EA">
              <w:rPr>
                <w:sz w:val="16"/>
                <w:szCs w:val="16"/>
              </w:rPr>
              <w:t>97% de satisfaits ou très satisfaits du service d’assistance.</w:t>
            </w:r>
          </w:p>
        </w:tc>
        <w:tc>
          <w:tcPr>
            <w:tcW w:w="595" w:type="pct"/>
            <w:shd w:val="clear" w:color="auto" w:fill="auto"/>
            <w:tcMar>
              <w:top w:w="110" w:type="dxa"/>
              <w:left w:w="58" w:type="dxa"/>
              <w:right w:w="58" w:type="dxa"/>
            </w:tcMar>
          </w:tcPr>
          <w:p w14:paraId="040FE6D5" w14:textId="77777777" w:rsidR="00F96912" w:rsidRPr="002B50EA" w:rsidRDefault="00F96912" w:rsidP="006658D5">
            <w:pPr>
              <w:rPr>
                <w:color w:val="000000"/>
                <w:sz w:val="16"/>
                <w:szCs w:val="16"/>
              </w:rPr>
            </w:pPr>
            <w:r w:rsidRPr="002B50EA">
              <w:rPr>
                <w:sz w:val="16"/>
                <w:szCs w:val="16"/>
              </w:rPr>
              <w:t>Maintenir le même niveau de satisfaction auprès des utilisateurs.</w:t>
            </w:r>
          </w:p>
        </w:tc>
        <w:tc>
          <w:tcPr>
            <w:tcW w:w="1495" w:type="pct"/>
            <w:shd w:val="clear" w:color="auto" w:fill="FFFFFF"/>
            <w:tcMar>
              <w:top w:w="110" w:type="dxa"/>
              <w:left w:w="58" w:type="dxa"/>
              <w:right w:w="58" w:type="dxa"/>
            </w:tcMar>
          </w:tcPr>
          <w:p w14:paraId="71173AA4" w14:textId="77777777" w:rsidR="00F96912" w:rsidRPr="002B50EA" w:rsidRDefault="00F96912" w:rsidP="006658D5">
            <w:pPr>
              <w:rPr>
                <w:sz w:val="16"/>
                <w:szCs w:val="16"/>
              </w:rPr>
            </w:pPr>
            <w:r w:rsidRPr="002B50EA">
              <w:rPr>
                <w:sz w:val="16"/>
                <w:szCs w:val="16"/>
              </w:rPr>
              <w:t>97,4% satisfaits des prestations du service d’assistance</w:t>
            </w:r>
          </w:p>
          <w:p w14:paraId="23318770" w14:textId="1078CBE0" w:rsidR="00F96912" w:rsidRPr="002B50EA" w:rsidRDefault="00F96912" w:rsidP="006658D5">
            <w:pPr>
              <w:rPr>
                <w:i/>
                <w:sz w:val="16"/>
                <w:szCs w:val="16"/>
              </w:rPr>
            </w:pPr>
            <w:r w:rsidRPr="002B50EA">
              <w:rPr>
                <w:sz w:val="16"/>
                <w:szCs w:val="16"/>
              </w:rPr>
              <w:t>– 66,7% pleinement satisfaits</w:t>
            </w:r>
          </w:p>
          <w:p w14:paraId="3E258FB5" w14:textId="77777777" w:rsidR="00F96912" w:rsidRPr="002B50EA" w:rsidRDefault="00F96912" w:rsidP="006658D5">
            <w:pPr>
              <w:pStyle w:val="ListParagraph"/>
              <w:ind w:left="0"/>
              <w:rPr>
                <w:rFonts w:ascii="Arial" w:hAnsi="Arial" w:cs="Arial"/>
                <w:sz w:val="16"/>
                <w:szCs w:val="16"/>
              </w:rPr>
            </w:pPr>
            <w:r w:rsidRPr="002B50EA">
              <w:rPr>
                <w:rFonts w:ascii="Arial" w:hAnsi="Arial" w:cs="Arial"/>
                <w:sz w:val="16"/>
                <w:szCs w:val="16"/>
              </w:rPr>
              <w:t xml:space="preserve">– 30,7% </w:t>
            </w:r>
            <w:r w:rsidRPr="002B50EA">
              <w:rPr>
                <w:rFonts w:ascii="Arial" w:hAnsi="Arial" w:cs="Arial"/>
                <w:color w:val="002060"/>
                <w:sz w:val="16"/>
                <w:szCs w:val="16"/>
              </w:rPr>
              <w:t>satisfaits</w:t>
            </w:r>
          </w:p>
        </w:tc>
        <w:tc>
          <w:tcPr>
            <w:tcW w:w="430" w:type="pct"/>
            <w:shd w:val="clear" w:color="auto" w:fill="auto"/>
            <w:tcMar>
              <w:top w:w="110" w:type="dxa"/>
              <w:left w:w="58" w:type="dxa"/>
              <w:right w:w="58" w:type="dxa"/>
            </w:tcMar>
          </w:tcPr>
          <w:p w14:paraId="1BC6D663" w14:textId="0531F864" w:rsidR="00F96912" w:rsidRPr="00CD000E" w:rsidRDefault="00F96912" w:rsidP="00403B32">
            <w:pPr>
              <w:jc w:val="center"/>
              <w:rPr>
                <w:color w:val="000000"/>
                <w:sz w:val="16"/>
                <w:szCs w:val="16"/>
              </w:rPr>
            </w:pPr>
            <w:r w:rsidRPr="00CD000E">
              <w:rPr>
                <w:b/>
                <w:color w:val="00B050"/>
                <w:sz w:val="16"/>
                <w:szCs w:val="16"/>
              </w:rPr>
              <w:t>En bonne voie</w:t>
            </w:r>
          </w:p>
        </w:tc>
      </w:tr>
      <w:tr w:rsidR="00F96912" w:rsidRPr="00CD000E" w14:paraId="737EF569" w14:textId="77777777" w:rsidTr="006658D5">
        <w:tc>
          <w:tcPr>
            <w:tcW w:w="1042" w:type="pct"/>
            <w:shd w:val="clear" w:color="auto" w:fill="auto"/>
            <w:tcMar>
              <w:left w:w="58" w:type="dxa"/>
              <w:right w:w="58" w:type="dxa"/>
            </w:tcMar>
          </w:tcPr>
          <w:p w14:paraId="5439760D" w14:textId="77777777" w:rsidR="00F96912" w:rsidRPr="00CD000E" w:rsidRDefault="00F96912" w:rsidP="006658D5">
            <w:pPr>
              <w:rPr>
                <w:color w:val="000000"/>
                <w:sz w:val="16"/>
                <w:szCs w:val="16"/>
              </w:rPr>
            </w:pPr>
            <w:r w:rsidRPr="00CD000E">
              <w:rPr>
                <w:sz w:val="16"/>
                <w:szCs w:val="16"/>
              </w:rPr>
              <w:t>Les projets de l’OMPI relatifs aux TIC sont gérés conformément aux principes directeurs de l’OMPI en matière de gestion de projets et aux principes directeurs de l’OMPI en matière de transition de services</w:t>
            </w:r>
          </w:p>
        </w:tc>
        <w:tc>
          <w:tcPr>
            <w:tcW w:w="1438" w:type="pct"/>
            <w:shd w:val="clear" w:color="auto" w:fill="auto"/>
            <w:tcMar>
              <w:left w:w="58" w:type="dxa"/>
              <w:right w:w="58" w:type="dxa"/>
            </w:tcMar>
          </w:tcPr>
          <w:p w14:paraId="3B72BA39" w14:textId="77777777" w:rsidR="00F96912" w:rsidRPr="002B50EA" w:rsidRDefault="00F96912" w:rsidP="006658D5">
            <w:pPr>
              <w:rPr>
                <w:i/>
                <w:color w:val="002060"/>
                <w:sz w:val="16"/>
                <w:szCs w:val="16"/>
              </w:rPr>
            </w:pPr>
            <w:r w:rsidRPr="002B50EA">
              <w:rPr>
                <w:i/>
                <w:color w:val="002060"/>
                <w:sz w:val="16"/>
                <w:szCs w:val="16"/>
              </w:rPr>
              <w:t>Niveau de référence actualisé à fin</w:t>
            </w:r>
            <w:r>
              <w:rPr>
                <w:i/>
                <w:color w:val="002060"/>
                <w:sz w:val="16"/>
                <w:szCs w:val="16"/>
              </w:rPr>
              <w:t> </w:t>
            </w:r>
            <w:r w:rsidRPr="002B50EA">
              <w:rPr>
                <w:i/>
                <w:color w:val="002060"/>
                <w:sz w:val="16"/>
                <w:szCs w:val="16"/>
              </w:rPr>
              <w:t>2015 :</w:t>
            </w:r>
          </w:p>
          <w:p w14:paraId="3B5EECF5" w14:textId="77777777" w:rsidR="00F96912" w:rsidRPr="002B50EA" w:rsidRDefault="00F96912" w:rsidP="006658D5">
            <w:pPr>
              <w:rPr>
                <w:color w:val="002060"/>
                <w:sz w:val="16"/>
                <w:szCs w:val="16"/>
              </w:rPr>
            </w:pPr>
            <w:proofErr w:type="spellStart"/>
            <w:r w:rsidRPr="002B50EA">
              <w:rPr>
                <w:color w:val="002060"/>
                <w:sz w:val="16"/>
                <w:szCs w:val="16"/>
              </w:rPr>
              <w:t>s.o</w:t>
            </w:r>
            <w:proofErr w:type="spellEnd"/>
            <w:r w:rsidRPr="002B50EA">
              <w:rPr>
                <w:color w:val="002060"/>
                <w:sz w:val="16"/>
                <w:szCs w:val="16"/>
              </w:rPr>
              <w:t>. (nouveau)</w:t>
            </w:r>
          </w:p>
          <w:p w14:paraId="43B53B16" w14:textId="77777777" w:rsidR="00F96912" w:rsidRPr="002B50EA" w:rsidRDefault="00F96912" w:rsidP="006658D5">
            <w:pPr>
              <w:rPr>
                <w:color w:val="002060"/>
                <w:sz w:val="16"/>
                <w:szCs w:val="16"/>
              </w:rPr>
            </w:pPr>
            <w:r w:rsidRPr="002B50EA">
              <w:rPr>
                <w:color w:val="002060"/>
                <w:sz w:val="16"/>
                <w:szCs w:val="16"/>
              </w:rPr>
              <w:t>Les principes directeurs de l’OMPI en matière de transition de services sont établis</w:t>
            </w:r>
          </w:p>
          <w:p w14:paraId="1AA88ACB" w14:textId="77777777" w:rsidR="00F96912" w:rsidRPr="002B50EA" w:rsidRDefault="00F96912" w:rsidP="006658D5">
            <w:pPr>
              <w:rPr>
                <w:color w:val="000000"/>
                <w:sz w:val="16"/>
                <w:szCs w:val="16"/>
              </w:rPr>
            </w:pPr>
          </w:p>
          <w:p w14:paraId="4EE15261" w14:textId="77777777" w:rsidR="00F96912" w:rsidRPr="002B50EA" w:rsidRDefault="00F96912" w:rsidP="006658D5">
            <w:pPr>
              <w:rPr>
                <w:color w:val="000000"/>
                <w:sz w:val="16"/>
                <w:szCs w:val="16"/>
              </w:rPr>
            </w:pPr>
          </w:p>
          <w:p w14:paraId="35223BC4" w14:textId="77777777" w:rsidR="00F96912" w:rsidRPr="002B50EA" w:rsidRDefault="00F96912" w:rsidP="006658D5">
            <w:pPr>
              <w:rPr>
                <w:i/>
                <w:sz w:val="16"/>
                <w:szCs w:val="16"/>
                <w:lang w:bidi="th-TH"/>
              </w:rPr>
            </w:pPr>
            <w:r w:rsidRPr="002B50EA">
              <w:rPr>
                <w:i/>
                <w:sz w:val="16"/>
                <w:szCs w:val="16"/>
                <w:lang w:bidi="th-TH"/>
              </w:rPr>
              <w:t>Niveau de référence initial dans le programme et budget 2016</w:t>
            </w:r>
            <w:r w:rsidRPr="002B50EA">
              <w:rPr>
                <w:i/>
                <w:sz w:val="16"/>
                <w:szCs w:val="16"/>
                <w:lang w:bidi="th-TH"/>
              </w:rPr>
              <w:noBreakHyphen/>
              <w:t>2017 :</w:t>
            </w:r>
          </w:p>
          <w:p w14:paraId="7D5B9096" w14:textId="77777777" w:rsidR="00F96912" w:rsidRPr="002B50EA" w:rsidRDefault="00F96912" w:rsidP="006658D5">
            <w:pPr>
              <w:rPr>
                <w:color w:val="000000"/>
                <w:sz w:val="16"/>
                <w:szCs w:val="16"/>
              </w:rPr>
            </w:pPr>
            <w:proofErr w:type="spellStart"/>
            <w:r w:rsidRPr="002B50EA">
              <w:rPr>
                <w:sz w:val="16"/>
                <w:szCs w:val="16"/>
              </w:rPr>
              <w:t>s.o</w:t>
            </w:r>
            <w:proofErr w:type="spellEnd"/>
            <w:r w:rsidRPr="002B50EA">
              <w:rPr>
                <w:sz w:val="16"/>
                <w:szCs w:val="16"/>
              </w:rPr>
              <w:t>. (nouveau)</w:t>
            </w:r>
          </w:p>
          <w:p w14:paraId="3CC6C826" w14:textId="77777777" w:rsidR="00F96912" w:rsidRPr="002B50EA" w:rsidRDefault="00F96912" w:rsidP="006658D5">
            <w:pPr>
              <w:rPr>
                <w:color w:val="000000"/>
                <w:sz w:val="16"/>
                <w:szCs w:val="16"/>
              </w:rPr>
            </w:pPr>
            <w:r w:rsidRPr="002B50EA">
              <w:rPr>
                <w:sz w:val="16"/>
                <w:szCs w:val="16"/>
              </w:rPr>
              <w:t>Les principes directeurs en matière de transition de services ne sont pas établis.</w:t>
            </w:r>
            <w:r w:rsidRPr="002B50EA">
              <w:rPr>
                <w:sz w:val="16"/>
              </w:rPr>
              <w:t xml:space="preserve"> </w:t>
            </w:r>
            <w:r w:rsidRPr="002B50EA">
              <w:rPr>
                <w:sz w:val="16"/>
                <w:szCs w:val="16"/>
              </w:rPr>
              <w:t xml:space="preserve"> </w:t>
            </w:r>
          </w:p>
        </w:tc>
        <w:tc>
          <w:tcPr>
            <w:tcW w:w="595" w:type="pct"/>
            <w:shd w:val="clear" w:color="auto" w:fill="auto"/>
            <w:tcMar>
              <w:top w:w="110" w:type="dxa"/>
              <w:left w:w="58" w:type="dxa"/>
              <w:right w:w="58" w:type="dxa"/>
            </w:tcMar>
          </w:tcPr>
          <w:p w14:paraId="30F924CF" w14:textId="77777777" w:rsidR="00F96912" w:rsidRPr="002B50EA" w:rsidRDefault="00F96912" w:rsidP="006658D5">
            <w:pPr>
              <w:rPr>
                <w:color w:val="000000"/>
                <w:sz w:val="16"/>
                <w:szCs w:val="16"/>
              </w:rPr>
            </w:pPr>
            <w:r w:rsidRPr="002B50EA">
              <w:rPr>
                <w:sz w:val="16"/>
                <w:szCs w:val="16"/>
              </w:rPr>
              <w:t>Plus de 70% des projets sont gérés conformément aux principes directeurs de l’OMPI en matière de gestion de projets</w:t>
            </w:r>
          </w:p>
          <w:p w14:paraId="6105EC38" w14:textId="77777777" w:rsidR="00F96912" w:rsidRPr="002B50EA" w:rsidRDefault="00F96912" w:rsidP="006658D5">
            <w:pPr>
              <w:rPr>
                <w:color w:val="000000"/>
                <w:sz w:val="16"/>
                <w:szCs w:val="16"/>
              </w:rPr>
            </w:pPr>
          </w:p>
          <w:p w14:paraId="3B440413" w14:textId="77777777" w:rsidR="00F96912" w:rsidRPr="002B50EA" w:rsidRDefault="00F96912" w:rsidP="006658D5">
            <w:pPr>
              <w:rPr>
                <w:color w:val="000000"/>
                <w:sz w:val="16"/>
                <w:szCs w:val="16"/>
              </w:rPr>
            </w:pPr>
            <w:r w:rsidRPr="002B50EA">
              <w:rPr>
                <w:sz w:val="16"/>
                <w:szCs w:val="16"/>
              </w:rPr>
              <w:t>70% des nouveaux projets réalisés sont conformes aux principes directeurs de l’OMPI en matière de transition de services</w:t>
            </w:r>
          </w:p>
        </w:tc>
        <w:tc>
          <w:tcPr>
            <w:tcW w:w="1495" w:type="pct"/>
            <w:shd w:val="clear" w:color="auto" w:fill="FFFFFF"/>
            <w:tcMar>
              <w:top w:w="110" w:type="dxa"/>
              <w:left w:w="58" w:type="dxa"/>
              <w:right w:w="58" w:type="dxa"/>
            </w:tcMar>
          </w:tcPr>
          <w:p w14:paraId="3B5D1DAD" w14:textId="77777777" w:rsidR="00F96912" w:rsidRPr="002B50EA" w:rsidRDefault="00F96912" w:rsidP="006658D5">
            <w:pPr>
              <w:rPr>
                <w:color w:val="000000"/>
                <w:sz w:val="16"/>
                <w:szCs w:val="16"/>
              </w:rPr>
            </w:pPr>
            <w:r w:rsidRPr="002B50EA">
              <w:rPr>
                <w:color w:val="000000"/>
                <w:sz w:val="16"/>
                <w:szCs w:val="16"/>
              </w:rPr>
              <w:t>100% des projets du Département des technologies de l’information et de la communication ont été gérés conformément aux principes directeurs de l’OMPI en matière de gestion de projets (3 sur 3)</w:t>
            </w:r>
          </w:p>
          <w:p w14:paraId="7E484857" w14:textId="77777777" w:rsidR="00F96912" w:rsidRPr="002B50EA" w:rsidRDefault="00F96912" w:rsidP="006658D5">
            <w:pPr>
              <w:rPr>
                <w:color w:val="000000"/>
                <w:sz w:val="16"/>
                <w:szCs w:val="16"/>
              </w:rPr>
            </w:pPr>
          </w:p>
          <w:p w14:paraId="360C3149" w14:textId="77777777" w:rsidR="00F96912" w:rsidRPr="002B50EA" w:rsidRDefault="00F96912" w:rsidP="006658D5">
            <w:pPr>
              <w:rPr>
                <w:color w:val="000000"/>
                <w:sz w:val="16"/>
                <w:szCs w:val="16"/>
              </w:rPr>
            </w:pPr>
          </w:p>
          <w:p w14:paraId="0CCB84C8" w14:textId="77777777" w:rsidR="00F96912" w:rsidRPr="002B50EA" w:rsidRDefault="00F96912" w:rsidP="006658D5">
            <w:pPr>
              <w:rPr>
                <w:color w:val="000000"/>
                <w:sz w:val="16"/>
                <w:szCs w:val="16"/>
              </w:rPr>
            </w:pPr>
          </w:p>
          <w:p w14:paraId="76B1962A" w14:textId="77777777" w:rsidR="00F96912" w:rsidRPr="002B50EA" w:rsidRDefault="00F96912" w:rsidP="006658D5">
            <w:pPr>
              <w:rPr>
                <w:color w:val="000000"/>
                <w:sz w:val="16"/>
                <w:szCs w:val="16"/>
              </w:rPr>
            </w:pPr>
          </w:p>
          <w:p w14:paraId="15DABB3A" w14:textId="77777777" w:rsidR="00F96912" w:rsidRPr="002B50EA" w:rsidRDefault="00F96912" w:rsidP="006658D5">
            <w:pPr>
              <w:rPr>
                <w:color w:val="000000"/>
                <w:sz w:val="16"/>
                <w:szCs w:val="16"/>
              </w:rPr>
            </w:pPr>
          </w:p>
          <w:p w14:paraId="034D5E31" w14:textId="77777777" w:rsidR="00F96912" w:rsidRPr="002B50EA" w:rsidRDefault="00F96912" w:rsidP="006658D5">
            <w:pPr>
              <w:rPr>
                <w:color w:val="000000"/>
                <w:sz w:val="16"/>
                <w:szCs w:val="16"/>
              </w:rPr>
            </w:pPr>
            <w:r w:rsidRPr="002B50EA">
              <w:rPr>
                <w:color w:val="000000"/>
                <w:sz w:val="16"/>
                <w:szCs w:val="16"/>
              </w:rPr>
              <w:t>66% des projets réalisés par le Département des technologies de l’information et de la communication étaient conformes aux principes directeurs de l’OMPI en matière de transition de service (2 sur 3)</w:t>
            </w:r>
          </w:p>
        </w:tc>
        <w:tc>
          <w:tcPr>
            <w:tcW w:w="430" w:type="pct"/>
            <w:shd w:val="clear" w:color="auto" w:fill="auto"/>
            <w:tcMar>
              <w:top w:w="110" w:type="dxa"/>
              <w:left w:w="58" w:type="dxa"/>
              <w:right w:w="58" w:type="dxa"/>
            </w:tcMar>
          </w:tcPr>
          <w:p w14:paraId="4A23212B" w14:textId="77777777" w:rsidR="00F96912" w:rsidRPr="00CD000E" w:rsidRDefault="00F96912" w:rsidP="006658D5">
            <w:pPr>
              <w:jc w:val="center"/>
              <w:rPr>
                <w:b/>
                <w:color w:val="00B050"/>
                <w:sz w:val="16"/>
                <w:szCs w:val="16"/>
              </w:rPr>
            </w:pPr>
            <w:r w:rsidRPr="00CD000E">
              <w:rPr>
                <w:b/>
                <w:color w:val="00B050"/>
                <w:sz w:val="16"/>
                <w:szCs w:val="16"/>
              </w:rPr>
              <w:t>En bonne voie</w:t>
            </w:r>
          </w:p>
          <w:p w14:paraId="40BC3E46" w14:textId="77777777" w:rsidR="00F96912" w:rsidRPr="00CD000E" w:rsidRDefault="00F96912" w:rsidP="006658D5">
            <w:pPr>
              <w:rPr>
                <w:color w:val="000000"/>
                <w:sz w:val="16"/>
                <w:szCs w:val="16"/>
              </w:rPr>
            </w:pPr>
          </w:p>
          <w:p w14:paraId="10ADD122" w14:textId="77777777" w:rsidR="00F96912" w:rsidRPr="00CD000E" w:rsidRDefault="00F96912" w:rsidP="006658D5">
            <w:pPr>
              <w:rPr>
                <w:color w:val="000000"/>
                <w:sz w:val="16"/>
                <w:szCs w:val="16"/>
              </w:rPr>
            </w:pPr>
          </w:p>
          <w:p w14:paraId="773CC6B0" w14:textId="77777777" w:rsidR="00F96912" w:rsidRPr="00CD000E" w:rsidRDefault="00F96912" w:rsidP="006658D5">
            <w:pPr>
              <w:rPr>
                <w:color w:val="000000"/>
                <w:sz w:val="16"/>
                <w:szCs w:val="16"/>
              </w:rPr>
            </w:pPr>
          </w:p>
          <w:p w14:paraId="719F36C2" w14:textId="77777777" w:rsidR="00F96912" w:rsidRPr="00CD000E" w:rsidRDefault="00F96912" w:rsidP="006658D5">
            <w:pPr>
              <w:rPr>
                <w:color w:val="000000"/>
                <w:sz w:val="16"/>
                <w:szCs w:val="16"/>
              </w:rPr>
            </w:pPr>
          </w:p>
          <w:p w14:paraId="0404B52E" w14:textId="77777777" w:rsidR="00F96912" w:rsidRPr="00CD000E" w:rsidRDefault="00F96912" w:rsidP="006658D5">
            <w:pPr>
              <w:rPr>
                <w:color w:val="000000"/>
                <w:sz w:val="16"/>
                <w:szCs w:val="16"/>
              </w:rPr>
            </w:pPr>
          </w:p>
          <w:p w14:paraId="43A74D33" w14:textId="77777777" w:rsidR="00F96912" w:rsidRPr="00CD000E" w:rsidRDefault="00F96912" w:rsidP="006658D5">
            <w:pPr>
              <w:rPr>
                <w:color w:val="000000"/>
                <w:sz w:val="16"/>
                <w:szCs w:val="16"/>
              </w:rPr>
            </w:pPr>
          </w:p>
          <w:p w14:paraId="04496CCE" w14:textId="77777777" w:rsidR="00F96912" w:rsidRPr="00CD000E" w:rsidRDefault="00F96912" w:rsidP="006658D5">
            <w:pPr>
              <w:rPr>
                <w:color w:val="000000"/>
                <w:sz w:val="16"/>
                <w:szCs w:val="16"/>
              </w:rPr>
            </w:pPr>
          </w:p>
          <w:p w14:paraId="0FDFD50F" w14:textId="77777777" w:rsidR="00F96912" w:rsidRPr="00CD000E" w:rsidRDefault="00F96912" w:rsidP="006658D5">
            <w:pPr>
              <w:rPr>
                <w:color w:val="000000"/>
                <w:sz w:val="16"/>
                <w:szCs w:val="16"/>
              </w:rPr>
            </w:pPr>
          </w:p>
          <w:p w14:paraId="18FD5919" w14:textId="77777777" w:rsidR="00F96912" w:rsidRPr="00CD000E" w:rsidRDefault="00F96912" w:rsidP="006658D5">
            <w:pPr>
              <w:rPr>
                <w:b/>
                <w:color w:val="00B050"/>
                <w:sz w:val="16"/>
                <w:szCs w:val="16"/>
              </w:rPr>
            </w:pPr>
          </w:p>
          <w:p w14:paraId="4A4FD3D9" w14:textId="77777777" w:rsidR="00F96912" w:rsidRPr="00CD000E" w:rsidRDefault="00F96912" w:rsidP="006658D5">
            <w:pPr>
              <w:jc w:val="center"/>
              <w:rPr>
                <w:color w:val="000000"/>
                <w:sz w:val="16"/>
                <w:szCs w:val="16"/>
              </w:rPr>
            </w:pPr>
            <w:r w:rsidRPr="00CD000E">
              <w:rPr>
                <w:b/>
                <w:color w:val="00B050"/>
                <w:sz w:val="16"/>
                <w:szCs w:val="16"/>
              </w:rPr>
              <w:t>En bonne voie</w:t>
            </w:r>
          </w:p>
        </w:tc>
      </w:tr>
      <w:tr w:rsidR="00F96912" w:rsidRPr="00CD000E" w14:paraId="69643AB8" w14:textId="77777777" w:rsidTr="006658D5">
        <w:tc>
          <w:tcPr>
            <w:tcW w:w="5000" w:type="pct"/>
            <w:gridSpan w:val="5"/>
            <w:shd w:val="clear" w:color="auto" w:fill="C6D9F1" w:themeFill="text2" w:themeFillTint="33"/>
            <w:tcMar>
              <w:left w:w="58" w:type="dxa"/>
              <w:right w:w="58" w:type="dxa"/>
            </w:tcMar>
            <w:vAlign w:val="center"/>
          </w:tcPr>
          <w:p w14:paraId="6899A538" w14:textId="77777777" w:rsidR="00F96912" w:rsidRPr="00CD000E" w:rsidRDefault="00F96912" w:rsidP="00851C67">
            <w:pPr>
              <w:keepNext/>
              <w:keepLines/>
              <w:tabs>
                <w:tab w:val="left" w:pos="1452"/>
              </w:tabs>
              <w:rPr>
                <w:b/>
                <w:bCs/>
                <w:sz w:val="16"/>
                <w:szCs w:val="16"/>
              </w:rPr>
            </w:pPr>
            <w:r w:rsidRPr="00CD000E">
              <w:rPr>
                <w:b/>
                <w:bCs/>
                <w:color w:val="000000"/>
                <w:sz w:val="16"/>
                <w:szCs w:val="16"/>
              </w:rPr>
              <w:t>Résultat escompté :</w:t>
            </w:r>
            <w:r w:rsidRPr="00CD000E">
              <w:rPr>
                <w:bCs/>
                <w:color w:val="000000"/>
                <w:sz w:val="16"/>
                <w:szCs w:val="16"/>
              </w:rPr>
              <w:t xml:space="preserve"> </w:t>
            </w:r>
            <w:r w:rsidRPr="00CD000E">
              <w:rPr>
                <w:bCs/>
                <w:sz w:val="16"/>
                <w:szCs w:val="16"/>
              </w:rPr>
              <w:t>IX.4 Une Organisation écologiquement et socialement responsable assurant la sûreté et la sécurité du personnel, des délégués, des visiteurs et des biens</w:t>
            </w:r>
          </w:p>
        </w:tc>
      </w:tr>
      <w:tr w:rsidR="00F96912" w:rsidRPr="00CD000E" w14:paraId="624AE3EB" w14:textId="77777777" w:rsidTr="006658D5">
        <w:tc>
          <w:tcPr>
            <w:tcW w:w="1042" w:type="pct"/>
            <w:shd w:val="clear" w:color="auto" w:fill="auto"/>
            <w:tcMar>
              <w:left w:w="58" w:type="dxa"/>
              <w:right w:w="58" w:type="dxa"/>
            </w:tcMar>
            <w:vAlign w:val="center"/>
          </w:tcPr>
          <w:p w14:paraId="452D9BD4" w14:textId="77777777" w:rsidR="00F96912" w:rsidRPr="00CD000E" w:rsidRDefault="00F96912" w:rsidP="00851C67">
            <w:pPr>
              <w:keepNext/>
              <w:keepLines/>
              <w:jc w:val="center"/>
              <w:rPr>
                <w:b/>
                <w:bCs/>
                <w:sz w:val="16"/>
                <w:szCs w:val="16"/>
              </w:rPr>
            </w:pPr>
            <w:r w:rsidRPr="00CD000E">
              <w:rPr>
                <w:b/>
                <w:bCs/>
                <w:sz w:val="16"/>
                <w:szCs w:val="16"/>
              </w:rPr>
              <w:t>Indicateurs d’exécution</w:t>
            </w:r>
          </w:p>
        </w:tc>
        <w:tc>
          <w:tcPr>
            <w:tcW w:w="1438" w:type="pct"/>
            <w:shd w:val="clear" w:color="auto" w:fill="auto"/>
            <w:tcMar>
              <w:left w:w="58" w:type="dxa"/>
              <w:right w:w="58" w:type="dxa"/>
            </w:tcMar>
            <w:vAlign w:val="center"/>
          </w:tcPr>
          <w:p w14:paraId="01BFFEF1" w14:textId="77777777" w:rsidR="00F96912" w:rsidRPr="00CD000E" w:rsidRDefault="00F96912" w:rsidP="00851C67">
            <w:pPr>
              <w:keepNext/>
              <w:keepLines/>
              <w:jc w:val="center"/>
              <w:rPr>
                <w:b/>
                <w:bCs/>
                <w:sz w:val="16"/>
                <w:szCs w:val="16"/>
              </w:rPr>
            </w:pPr>
            <w:r w:rsidRPr="00CD000E">
              <w:rPr>
                <w:b/>
                <w:bCs/>
                <w:sz w:val="16"/>
                <w:szCs w:val="16"/>
              </w:rPr>
              <w:t>Niveaux de référence</w:t>
            </w:r>
          </w:p>
        </w:tc>
        <w:tc>
          <w:tcPr>
            <w:tcW w:w="595" w:type="pct"/>
            <w:shd w:val="clear" w:color="auto" w:fill="auto"/>
            <w:tcMar>
              <w:top w:w="110" w:type="dxa"/>
              <w:left w:w="58" w:type="dxa"/>
              <w:right w:w="58" w:type="dxa"/>
            </w:tcMar>
            <w:vAlign w:val="center"/>
          </w:tcPr>
          <w:p w14:paraId="3DA41EBF" w14:textId="77777777" w:rsidR="00F96912" w:rsidRPr="00CD000E" w:rsidRDefault="00F96912" w:rsidP="00851C67">
            <w:pPr>
              <w:keepNext/>
              <w:keepLines/>
              <w:jc w:val="center"/>
              <w:rPr>
                <w:b/>
                <w:bCs/>
                <w:sz w:val="16"/>
                <w:szCs w:val="16"/>
              </w:rPr>
            </w:pPr>
            <w:r w:rsidRPr="00CD000E">
              <w:rPr>
                <w:b/>
                <w:bCs/>
                <w:sz w:val="16"/>
                <w:szCs w:val="16"/>
              </w:rPr>
              <w:t>Objectifs visés</w:t>
            </w:r>
          </w:p>
        </w:tc>
        <w:tc>
          <w:tcPr>
            <w:tcW w:w="1495" w:type="pct"/>
            <w:shd w:val="clear" w:color="auto" w:fill="FFFFFF"/>
            <w:tcMar>
              <w:top w:w="110" w:type="dxa"/>
              <w:left w:w="58" w:type="dxa"/>
              <w:right w:w="58" w:type="dxa"/>
            </w:tcMar>
            <w:vAlign w:val="center"/>
          </w:tcPr>
          <w:p w14:paraId="5C3C4BE5" w14:textId="77777777" w:rsidR="00F96912" w:rsidRPr="00CD000E" w:rsidRDefault="00F96912" w:rsidP="00851C67">
            <w:pPr>
              <w:keepNext/>
              <w:keepLines/>
              <w:jc w:val="center"/>
              <w:rPr>
                <w:b/>
                <w:bCs/>
                <w:sz w:val="16"/>
                <w:szCs w:val="16"/>
              </w:rPr>
            </w:pPr>
            <w:r w:rsidRPr="00CD000E">
              <w:rPr>
                <w:b/>
                <w:bCs/>
                <w:sz w:val="16"/>
                <w:szCs w:val="16"/>
              </w:rPr>
              <w:t>Données relatives à l’exécution</w:t>
            </w:r>
          </w:p>
        </w:tc>
        <w:tc>
          <w:tcPr>
            <w:tcW w:w="430" w:type="pct"/>
            <w:shd w:val="clear" w:color="auto" w:fill="auto"/>
            <w:tcMar>
              <w:top w:w="110" w:type="dxa"/>
              <w:left w:w="58" w:type="dxa"/>
              <w:right w:w="58" w:type="dxa"/>
            </w:tcMar>
            <w:vAlign w:val="center"/>
          </w:tcPr>
          <w:p w14:paraId="10387E1D" w14:textId="77777777" w:rsidR="00F96912" w:rsidRPr="00CD000E" w:rsidRDefault="00F96912" w:rsidP="00851C67">
            <w:pPr>
              <w:keepNext/>
              <w:keepLines/>
              <w:jc w:val="center"/>
              <w:rPr>
                <w:b/>
                <w:bCs/>
                <w:sz w:val="16"/>
                <w:szCs w:val="16"/>
              </w:rPr>
            </w:pPr>
            <w:r w:rsidRPr="00CD000E">
              <w:rPr>
                <w:b/>
                <w:bCs/>
                <w:sz w:val="16"/>
                <w:szCs w:val="16"/>
              </w:rPr>
              <w:t>Code d’évaluation</w:t>
            </w:r>
          </w:p>
        </w:tc>
      </w:tr>
      <w:tr w:rsidR="00F96912" w:rsidRPr="00CD000E" w14:paraId="73877834" w14:textId="77777777" w:rsidTr="006658D5">
        <w:tc>
          <w:tcPr>
            <w:tcW w:w="1042" w:type="pct"/>
            <w:shd w:val="clear" w:color="auto" w:fill="auto"/>
            <w:tcMar>
              <w:left w:w="58" w:type="dxa"/>
              <w:right w:w="58" w:type="dxa"/>
            </w:tcMar>
          </w:tcPr>
          <w:p w14:paraId="6E168FDA" w14:textId="77777777" w:rsidR="00F96912" w:rsidRPr="00CD000E" w:rsidRDefault="00F96912" w:rsidP="00851C67">
            <w:pPr>
              <w:keepNext/>
              <w:keepLines/>
              <w:rPr>
                <w:color w:val="000000"/>
                <w:sz w:val="16"/>
                <w:szCs w:val="16"/>
              </w:rPr>
            </w:pPr>
            <w:r w:rsidRPr="00CD000E">
              <w:rPr>
                <w:sz w:val="16"/>
                <w:szCs w:val="16"/>
              </w:rPr>
              <w:t>Continuité de service des TIC pour les systèmes essentiels.</w:t>
            </w:r>
          </w:p>
        </w:tc>
        <w:tc>
          <w:tcPr>
            <w:tcW w:w="1438" w:type="pct"/>
            <w:shd w:val="clear" w:color="auto" w:fill="auto"/>
            <w:tcMar>
              <w:left w:w="58" w:type="dxa"/>
              <w:right w:w="58" w:type="dxa"/>
            </w:tcMar>
          </w:tcPr>
          <w:p w14:paraId="72998418" w14:textId="77777777" w:rsidR="00F96912" w:rsidRPr="002B50EA" w:rsidRDefault="00F96912" w:rsidP="00851C67">
            <w:pPr>
              <w:keepNext/>
              <w:keepLines/>
              <w:rPr>
                <w:i/>
                <w:color w:val="002060"/>
                <w:sz w:val="16"/>
                <w:szCs w:val="16"/>
              </w:rPr>
            </w:pPr>
            <w:r w:rsidRPr="002B50EA">
              <w:rPr>
                <w:i/>
                <w:color w:val="002060"/>
                <w:sz w:val="16"/>
                <w:szCs w:val="16"/>
              </w:rPr>
              <w:t>Niveau de référence actualisé à fin</w:t>
            </w:r>
            <w:r>
              <w:rPr>
                <w:i/>
                <w:color w:val="002060"/>
                <w:sz w:val="16"/>
                <w:szCs w:val="16"/>
              </w:rPr>
              <w:t> </w:t>
            </w:r>
            <w:r w:rsidRPr="002B50EA">
              <w:rPr>
                <w:i/>
                <w:color w:val="002060"/>
                <w:sz w:val="16"/>
                <w:szCs w:val="16"/>
              </w:rPr>
              <w:t>2015 :</w:t>
            </w:r>
          </w:p>
          <w:p w14:paraId="066D8E20" w14:textId="77777777" w:rsidR="00F96912" w:rsidRPr="002B50EA" w:rsidRDefault="00F96912" w:rsidP="00851C67">
            <w:pPr>
              <w:keepNext/>
              <w:keepLines/>
              <w:rPr>
                <w:color w:val="002060"/>
                <w:sz w:val="16"/>
                <w:szCs w:val="16"/>
              </w:rPr>
            </w:pPr>
            <w:r w:rsidRPr="002B50EA">
              <w:rPr>
                <w:color w:val="002060"/>
                <w:sz w:val="16"/>
                <w:szCs w:val="16"/>
              </w:rPr>
              <w:t>Serveur, stockage, sauvegarde et infrastructure de réseau étendus aux services essentiels de TIC.  En 2014</w:t>
            </w:r>
            <w:r w:rsidRPr="002B50EA">
              <w:rPr>
                <w:color w:val="002060"/>
                <w:sz w:val="16"/>
                <w:szCs w:val="16"/>
              </w:rPr>
              <w:noBreakHyphen/>
              <w:t>2015, 12 services essentiels de TIC supplémentaires ont été évalués et des mesures adaptées ont été mises en œuvre pour assurer la continuité de service.</w:t>
            </w:r>
          </w:p>
          <w:p w14:paraId="675FEC4A" w14:textId="77777777" w:rsidR="00F96912" w:rsidRPr="002B50EA" w:rsidRDefault="00F96912" w:rsidP="00851C67">
            <w:pPr>
              <w:keepNext/>
              <w:keepLines/>
              <w:rPr>
                <w:color w:val="002060"/>
                <w:sz w:val="16"/>
                <w:szCs w:val="16"/>
              </w:rPr>
            </w:pPr>
            <w:r w:rsidRPr="002B50EA">
              <w:rPr>
                <w:sz w:val="16"/>
                <w:szCs w:val="16"/>
              </w:rPr>
              <w:t>La capacité de continuité de service des TIC a été validée en 2015 grâce à un test d’une journée réussi en matière de reprise des opérations après un sinistre;  un exercice de reprise sur défaillance PCT a été réalisé en 30 minutes</w:t>
            </w:r>
            <w:r w:rsidRPr="002B50EA">
              <w:rPr>
                <w:color w:val="002060"/>
                <w:sz w:val="16"/>
                <w:szCs w:val="16"/>
              </w:rPr>
              <w:t>.</w:t>
            </w:r>
          </w:p>
          <w:p w14:paraId="65F8C958" w14:textId="77777777" w:rsidR="00F96912" w:rsidRPr="002B50EA" w:rsidRDefault="00F96912" w:rsidP="00851C67">
            <w:pPr>
              <w:keepNext/>
              <w:keepLines/>
              <w:rPr>
                <w:i/>
                <w:sz w:val="16"/>
                <w:szCs w:val="16"/>
                <w:lang w:bidi="th-TH"/>
              </w:rPr>
            </w:pPr>
          </w:p>
          <w:p w14:paraId="1451157B" w14:textId="77777777" w:rsidR="00F96912" w:rsidRPr="002B50EA" w:rsidRDefault="00F96912" w:rsidP="00851C67">
            <w:pPr>
              <w:keepNext/>
              <w:keepLines/>
              <w:rPr>
                <w:color w:val="000000"/>
                <w:sz w:val="16"/>
                <w:szCs w:val="16"/>
              </w:rPr>
            </w:pPr>
            <w:r w:rsidRPr="002B50EA">
              <w:rPr>
                <w:i/>
                <w:sz w:val="16"/>
                <w:szCs w:val="16"/>
                <w:lang w:bidi="th-TH"/>
              </w:rPr>
              <w:t>Niveau de référence initial dans le programme et budget 2016</w:t>
            </w:r>
            <w:r w:rsidRPr="002B50EA">
              <w:rPr>
                <w:i/>
                <w:sz w:val="16"/>
                <w:szCs w:val="16"/>
                <w:lang w:bidi="th-TH"/>
              </w:rPr>
              <w:noBreakHyphen/>
              <w:t xml:space="preserve">2017 : </w:t>
            </w:r>
            <w:r w:rsidRPr="002B50EA">
              <w:rPr>
                <w:color w:val="000000"/>
                <w:sz w:val="16"/>
                <w:szCs w:val="16"/>
              </w:rPr>
              <w:t>Les systèmes essentiels peuvent être restaurés rapidement et sans perte de données en cas de graves perturbations localisées</w:t>
            </w:r>
          </w:p>
        </w:tc>
        <w:tc>
          <w:tcPr>
            <w:tcW w:w="595" w:type="pct"/>
            <w:shd w:val="clear" w:color="auto" w:fill="auto"/>
            <w:tcMar>
              <w:top w:w="110" w:type="dxa"/>
              <w:left w:w="58" w:type="dxa"/>
              <w:right w:w="58" w:type="dxa"/>
            </w:tcMar>
          </w:tcPr>
          <w:p w14:paraId="05B1C15D" w14:textId="77777777" w:rsidR="00F96912" w:rsidRPr="002B50EA" w:rsidRDefault="00F96912" w:rsidP="00851C67">
            <w:pPr>
              <w:keepNext/>
              <w:keepLines/>
              <w:rPr>
                <w:color w:val="000000"/>
                <w:sz w:val="16"/>
                <w:szCs w:val="16"/>
              </w:rPr>
            </w:pPr>
            <w:r w:rsidRPr="002B50EA">
              <w:rPr>
                <w:sz w:val="16"/>
                <w:szCs w:val="16"/>
              </w:rPr>
              <w:t>Des améliorations sont apportées à une plateforme TIC pour permettre aux systèmes essentiels de continuer à fonctionner en cas d’une perturbation majeure à l’échelle régionale.</w:t>
            </w:r>
          </w:p>
        </w:tc>
        <w:tc>
          <w:tcPr>
            <w:tcW w:w="1495" w:type="pct"/>
            <w:shd w:val="clear" w:color="auto" w:fill="FFFFFF"/>
            <w:tcMar>
              <w:top w:w="110" w:type="dxa"/>
              <w:left w:w="58" w:type="dxa"/>
              <w:right w:w="58" w:type="dxa"/>
            </w:tcMar>
          </w:tcPr>
          <w:p w14:paraId="0F53D0AC" w14:textId="77777777" w:rsidR="00F96912" w:rsidRPr="002B50EA" w:rsidRDefault="00F96912" w:rsidP="00851C67">
            <w:pPr>
              <w:pStyle w:val="ListParagraph"/>
              <w:keepNext/>
              <w:keepLines/>
              <w:ind w:left="0"/>
              <w:rPr>
                <w:rFonts w:ascii="Arial" w:hAnsi="Arial" w:cs="Arial"/>
                <w:sz w:val="16"/>
                <w:szCs w:val="16"/>
              </w:rPr>
            </w:pPr>
            <w:r w:rsidRPr="002B50EA">
              <w:rPr>
                <w:rFonts w:ascii="Arial" w:hAnsi="Arial" w:cs="Arial"/>
                <w:sz w:val="16"/>
                <w:szCs w:val="16"/>
              </w:rPr>
              <w:t>2 services essentiels de TIC supplémentaires ont été renforcés en vue d’assurer la continuité de service</w:t>
            </w:r>
          </w:p>
          <w:p w14:paraId="1D791FB1" w14:textId="77777777" w:rsidR="00F96912" w:rsidRPr="002B50EA" w:rsidRDefault="00F96912" w:rsidP="00851C67">
            <w:pPr>
              <w:keepNext/>
              <w:keepLines/>
              <w:rPr>
                <w:sz w:val="16"/>
                <w:szCs w:val="16"/>
              </w:rPr>
            </w:pPr>
          </w:p>
          <w:p w14:paraId="4AC18E89" w14:textId="77777777" w:rsidR="00F96912" w:rsidRPr="002B50EA" w:rsidRDefault="00F96912" w:rsidP="00851C67">
            <w:pPr>
              <w:pStyle w:val="ListParagraph"/>
              <w:keepNext/>
              <w:keepLines/>
              <w:ind w:left="0"/>
              <w:rPr>
                <w:rFonts w:ascii="Arial" w:hAnsi="Arial" w:cs="Arial"/>
                <w:color w:val="000000"/>
                <w:sz w:val="16"/>
                <w:szCs w:val="16"/>
              </w:rPr>
            </w:pPr>
            <w:r w:rsidRPr="002B50EA">
              <w:rPr>
                <w:rFonts w:ascii="Arial" w:hAnsi="Arial" w:cs="Arial"/>
                <w:sz w:val="16"/>
                <w:szCs w:val="16"/>
              </w:rPr>
              <w:t>La capacité de continuité de service des TIC a été validée en 2016 grâce à un test d’une journée réussi en matière de reprise des opérations après un sinistre</w:t>
            </w:r>
          </w:p>
        </w:tc>
        <w:tc>
          <w:tcPr>
            <w:tcW w:w="430" w:type="pct"/>
            <w:shd w:val="clear" w:color="auto" w:fill="auto"/>
            <w:tcMar>
              <w:top w:w="110" w:type="dxa"/>
              <w:left w:w="58" w:type="dxa"/>
              <w:right w:w="58" w:type="dxa"/>
            </w:tcMar>
          </w:tcPr>
          <w:p w14:paraId="7E85F150" w14:textId="77777777" w:rsidR="00F96912" w:rsidRPr="00CD000E" w:rsidRDefault="00F96912" w:rsidP="00851C67">
            <w:pPr>
              <w:keepNext/>
              <w:keepLines/>
              <w:jc w:val="center"/>
              <w:rPr>
                <w:color w:val="000000"/>
                <w:sz w:val="16"/>
                <w:szCs w:val="16"/>
              </w:rPr>
            </w:pPr>
            <w:r w:rsidRPr="00CD000E">
              <w:rPr>
                <w:b/>
                <w:color w:val="00B050"/>
                <w:sz w:val="16"/>
                <w:szCs w:val="16"/>
              </w:rPr>
              <w:t>En bonne voie</w:t>
            </w:r>
          </w:p>
        </w:tc>
      </w:tr>
    </w:tbl>
    <w:p w14:paraId="2F1B638B" w14:textId="77777777" w:rsidR="00F96912" w:rsidRPr="00CD000E" w:rsidRDefault="00F96912" w:rsidP="00F96912"/>
    <w:p w14:paraId="48C6A0B0" w14:textId="77777777" w:rsidR="00F96912" w:rsidRPr="00CD000E" w:rsidRDefault="00F96912" w:rsidP="00F9691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75F9362C" w14:textId="77777777" w:rsidTr="006658D5">
        <w:trPr>
          <w:trHeight w:val="425"/>
        </w:trPr>
        <w:tc>
          <w:tcPr>
            <w:tcW w:w="9572" w:type="dxa"/>
            <w:shd w:val="clear" w:color="auto" w:fill="C6D9F1" w:themeFill="text2" w:themeFillTint="33"/>
            <w:vAlign w:val="center"/>
          </w:tcPr>
          <w:p w14:paraId="070F6DF0" w14:textId="77777777" w:rsidR="00F96912" w:rsidRPr="00CD000E" w:rsidRDefault="00F96912" w:rsidP="006658D5">
            <w:pPr>
              <w:keepNext/>
              <w:keepLines/>
              <w:jc w:val="center"/>
              <w:rPr>
                <w:b/>
                <w:color w:val="000000"/>
                <w:sz w:val="20"/>
              </w:rPr>
            </w:pPr>
            <w:r w:rsidRPr="00CD000E">
              <w:rPr>
                <w:b/>
                <w:color w:val="000000"/>
                <w:sz w:val="20"/>
              </w:rPr>
              <w:t>Utilisation des ressources au titre du programme 25</w:t>
            </w:r>
          </w:p>
        </w:tc>
      </w:tr>
    </w:tbl>
    <w:p w14:paraId="74A039B5" w14:textId="77777777" w:rsidR="00F96912" w:rsidRPr="00CD000E" w:rsidRDefault="00F96912" w:rsidP="00F96912">
      <w:pPr>
        <w:rPr>
          <w:sz w:val="20"/>
        </w:rPr>
      </w:pPr>
    </w:p>
    <w:p w14:paraId="41D2BB08" w14:textId="77777777" w:rsidR="00F96912" w:rsidRPr="00CD000E" w:rsidRDefault="00F96912" w:rsidP="00F96912">
      <w:pPr>
        <w:keepNext/>
        <w:keepLines/>
        <w:jc w:val="center"/>
        <w:rPr>
          <w:sz w:val="18"/>
          <w:szCs w:val="18"/>
        </w:rPr>
      </w:pPr>
      <w:r w:rsidRPr="00CD000E">
        <w:rPr>
          <w:color w:val="000000"/>
          <w:sz w:val="18"/>
          <w:szCs w:val="18"/>
        </w:rPr>
        <w:t>Budget et dépenses effectives (par résultat)</w:t>
      </w:r>
    </w:p>
    <w:p w14:paraId="4C5DF97F" w14:textId="77777777" w:rsidR="00F96912" w:rsidRPr="00CD000E" w:rsidRDefault="00F96912" w:rsidP="00F96912">
      <w:pPr>
        <w:keepNext/>
        <w:keepLines/>
        <w:jc w:val="center"/>
        <w:rPr>
          <w:i/>
          <w:iCs/>
          <w:color w:val="000000"/>
          <w:sz w:val="16"/>
          <w:szCs w:val="16"/>
        </w:rPr>
      </w:pPr>
      <w:r w:rsidRPr="00CD000E">
        <w:rPr>
          <w:i/>
          <w:iCs/>
          <w:color w:val="000000"/>
          <w:sz w:val="16"/>
          <w:szCs w:val="16"/>
        </w:rPr>
        <w:t>(en milliers de francs suisses)</w:t>
      </w:r>
    </w:p>
    <w:p w14:paraId="4C3963F0"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575"/>
        <w:gridCol w:w="4078"/>
        <w:gridCol w:w="1577"/>
        <w:gridCol w:w="1577"/>
        <w:gridCol w:w="1435"/>
      </w:tblGrid>
      <w:tr w:rsidR="00F96912" w:rsidRPr="00CD000E" w14:paraId="0F584944" w14:textId="77777777" w:rsidTr="006658D5">
        <w:trPr>
          <w:jc w:val="center"/>
        </w:trPr>
        <w:tc>
          <w:tcPr>
            <w:tcW w:w="4653" w:type="dxa"/>
            <w:gridSpan w:val="2"/>
            <w:tcBorders>
              <w:top w:val="nil"/>
              <w:left w:val="nil"/>
              <w:bottom w:val="nil"/>
              <w:right w:val="nil"/>
            </w:tcBorders>
            <w:shd w:val="clear" w:color="000000" w:fill="C5D9F1"/>
            <w:noWrap/>
            <w:vAlign w:val="center"/>
            <w:hideMark/>
          </w:tcPr>
          <w:p w14:paraId="50BBD01E" w14:textId="77777777" w:rsidR="00F96912" w:rsidRPr="00CD000E" w:rsidRDefault="00F96912" w:rsidP="006658D5">
            <w:pPr>
              <w:jc w:val="center"/>
              <w:rPr>
                <w:b/>
                <w:bCs/>
                <w:sz w:val="16"/>
                <w:szCs w:val="16"/>
              </w:rPr>
            </w:pPr>
            <w:r w:rsidRPr="00CD000E">
              <w:rPr>
                <w:b/>
                <w:bCs/>
                <w:sz w:val="16"/>
                <w:szCs w:val="16"/>
              </w:rPr>
              <w:t>Numéro et description du résultat escompté</w:t>
            </w:r>
          </w:p>
        </w:tc>
        <w:tc>
          <w:tcPr>
            <w:tcW w:w="1182" w:type="dxa"/>
            <w:tcBorders>
              <w:top w:val="nil"/>
              <w:left w:val="nil"/>
              <w:bottom w:val="nil"/>
              <w:right w:val="nil"/>
            </w:tcBorders>
            <w:shd w:val="clear" w:color="000000" w:fill="C5D9F1"/>
            <w:vAlign w:val="center"/>
            <w:hideMark/>
          </w:tcPr>
          <w:p w14:paraId="502BF83F"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82" w:type="dxa"/>
            <w:tcBorders>
              <w:top w:val="nil"/>
              <w:left w:val="nil"/>
              <w:bottom w:val="nil"/>
              <w:right w:val="nil"/>
            </w:tcBorders>
            <w:shd w:val="clear" w:color="000000" w:fill="C5D9F1"/>
            <w:vAlign w:val="center"/>
            <w:hideMark/>
          </w:tcPr>
          <w:p w14:paraId="41DF7190"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205" w:type="dxa"/>
            <w:tcBorders>
              <w:top w:val="nil"/>
              <w:left w:val="nil"/>
              <w:bottom w:val="nil"/>
              <w:right w:val="nil"/>
            </w:tcBorders>
            <w:shd w:val="clear" w:color="000000" w:fill="C5D9F1"/>
            <w:vAlign w:val="center"/>
            <w:hideMark/>
          </w:tcPr>
          <w:p w14:paraId="341471A3" w14:textId="77777777" w:rsidR="00F96912" w:rsidRPr="00CD000E" w:rsidRDefault="00F96912" w:rsidP="006658D5">
            <w:pPr>
              <w:jc w:val="center"/>
              <w:rPr>
                <w:b/>
                <w:bCs/>
                <w:sz w:val="16"/>
                <w:szCs w:val="16"/>
              </w:rPr>
            </w:pPr>
            <w:r>
              <w:rPr>
                <w:b/>
                <w:bCs/>
                <w:sz w:val="16"/>
                <w:szCs w:val="16"/>
              </w:rPr>
              <w:t>Dépenses </w:t>
            </w:r>
            <w:r w:rsidRPr="00CD000E">
              <w:rPr>
                <w:b/>
                <w:bCs/>
                <w:sz w:val="16"/>
                <w:szCs w:val="16"/>
              </w:rPr>
              <w:t>2016*</w:t>
            </w:r>
          </w:p>
        </w:tc>
      </w:tr>
      <w:tr w:rsidR="00F96912" w:rsidRPr="00CD000E" w14:paraId="07588760" w14:textId="77777777" w:rsidTr="006658D5">
        <w:trPr>
          <w:jc w:val="center"/>
        </w:trPr>
        <w:tc>
          <w:tcPr>
            <w:tcW w:w="575" w:type="dxa"/>
            <w:tcBorders>
              <w:top w:val="nil"/>
              <w:left w:val="nil"/>
              <w:bottom w:val="nil"/>
              <w:right w:val="nil"/>
            </w:tcBorders>
            <w:shd w:val="clear" w:color="auto" w:fill="auto"/>
            <w:noWrap/>
            <w:vAlign w:val="center"/>
            <w:hideMark/>
          </w:tcPr>
          <w:p w14:paraId="48FF8161" w14:textId="77777777" w:rsidR="00F96912" w:rsidRPr="00CD000E" w:rsidRDefault="00F96912" w:rsidP="006658D5">
            <w:pPr>
              <w:rPr>
                <w:sz w:val="16"/>
                <w:szCs w:val="16"/>
              </w:rPr>
            </w:pPr>
            <w:r w:rsidRPr="00CD000E">
              <w:rPr>
                <w:sz w:val="16"/>
                <w:szCs w:val="16"/>
              </w:rPr>
              <w:t>IX.1</w:t>
            </w:r>
          </w:p>
        </w:tc>
        <w:tc>
          <w:tcPr>
            <w:tcW w:w="4078" w:type="dxa"/>
            <w:tcBorders>
              <w:top w:val="nil"/>
              <w:left w:val="nil"/>
              <w:bottom w:val="nil"/>
              <w:right w:val="nil"/>
            </w:tcBorders>
            <w:shd w:val="clear" w:color="auto" w:fill="auto"/>
            <w:vAlign w:val="center"/>
            <w:hideMark/>
          </w:tcPr>
          <w:p w14:paraId="0D13519D" w14:textId="77777777" w:rsidR="00F96912" w:rsidRPr="00CD000E" w:rsidRDefault="00F96912" w:rsidP="006658D5">
            <w:pPr>
              <w:rPr>
                <w:sz w:val="16"/>
                <w:szCs w:val="16"/>
              </w:rPr>
            </w:pPr>
            <w:r w:rsidRPr="00CD000E">
              <w:rPr>
                <w:sz w:val="16"/>
                <w:szCs w:val="16"/>
              </w:rPr>
              <w:t>Services d’appui efficaces, efficients, de qualité et tournés vers la clientèle, à l’intention à la fois des clients internes et des parties prenantes externes</w:t>
            </w:r>
          </w:p>
        </w:tc>
        <w:tc>
          <w:tcPr>
            <w:tcW w:w="1182" w:type="dxa"/>
            <w:tcBorders>
              <w:top w:val="nil"/>
              <w:left w:val="nil"/>
              <w:bottom w:val="nil"/>
              <w:right w:val="nil"/>
            </w:tcBorders>
            <w:shd w:val="clear" w:color="auto" w:fill="auto"/>
            <w:noWrap/>
            <w:vAlign w:val="center"/>
            <w:hideMark/>
          </w:tcPr>
          <w:p w14:paraId="392EB2AD" w14:textId="77777777" w:rsidR="00F96912" w:rsidRPr="00CD000E" w:rsidRDefault="00F96912" w:rsidP="006658D5">
            <w:pPr>
              <w:jc w:val="center"/>
              <w:rPr>
                <w:color w:val="000000"/>
                <w:sz w:val="16"/>
                <w:szCs w:val="16"/>
              </w:rPr>
            </w:pPr>
            <w:r w:rsidRPr="00CD000E">
              <w:rPr>
                <w:color w:val="000000"/>
                <w:sz w:val="16"/>
                <w:szCs w:val="16"/>
              </w:rPr>
              <w:t>51 480</w:t>
            </w:r>
          </w:p>
        </w:tc>
        <w:tc>
          <w:tcPr>
            <w:tcW w:w="1182" w:type="dxa"/>
            <w:tcBorders>
              <w:top w:val="nil"/>
              <w:left w:val="nil"/>
              <w:bottom w:val="nil"/>
              <w:right w:val="nil"/>
            </w:tcBorders>
            <w:shd w:val="clear" w:color="auto" w:fill="auto"/>
            <w:noWrap/>
            <w:vAlign w:val="center"/>
            <w:hideMark/>
          </w:tcPr>
          <w:p w14:paraId="4F896AFE" w14:textId="77777777" w:rsidR="00F96912" w:rsidRPr="00CD000E" w:rsidRDefault="00F96912" w:rsidP="006658D5">
            <w:pPr>
              <w:jc w:val="center"/>
              <w:rPr>
                <w:color w:val="000000"/>
                <w:sz w:val="16"/>
                <w:szCs w:val="16"/>
              </w:rPr>
            </w:pPr>
            <w:r w:rsidRPr="00CD000E">
              <w:rPr>
                <w:color w:val="000000"/>
                <w:sz w:val="16"/>
                <w:szCs w:val="16"/>
              </w:rPr>
              <w:t>48 326</w:t>
            </w:r>
          </w:p>
        </w:tc>
        <w:tc>
          <w:tcPr>
            <w:tcW w:w="1205" w:type="dxa"/>
            <w:tcBorders>
              <w:top w:val="nil"/>
              <w:left w:val="nil"/>
              <w:bottom w:val="nil"/>
              <w:right w:val="nil"/>
            </w:tcBorders>
            <w:shd w:val="clear" w:color="auto" w:fill="auto"/>
            <w:noWrap/>
            <w:vAlign w:val="center"/>
            <w:hideMark/>
          </w:tcPr>
          <w:p w14:paraId="65DA6B70" w14:textId="77777777" w:rsidR="00F96912" w:rsidRPr="00CD000E" w:rsidRDefault="00F96912" w:rsidP="006658D5">
            <w:pPr>
              <w:jc w:val="center"/>
              <w:rPr>
                <w:color w:val="000000"/>
                <w:sz w:val="16"/>
                <w:szCs w:val="16"/>
              </w:rPr>
            </w:pPr>
            <w:r w:rsidRPr="00CD000E">
              <w:rPr>
                <w:color w:val="000000"/>
                <w:sz w:val="16"/>
                <w:szCs w:val="16"/>
              </w:rPr>
              <w:t>21 629</w:t>
            </w:r>
          </w:p>
        </w:tc>
      </w:tr>
      <w:tr w:rsidR="00F96912" w:rsidRPr="00CD000E" w14:paraId="2C2AEA7A" w14:textId="77777777" w:rsidTr="006658D5">
        <w:trPr>
          <w:jc w:val="center"/>
        </w:trPr>
        <w:tc>
          <w:tcPr>
            <w:tcW w:w="575" w:type="dxa"/>
            <w:tcBorders>
              <w:top w:val="nil"/>
              <w:left w:val="nil"/>
              <w:bottom w:val="nil"/>
              <w:right w:val="nil"/>
            </w:tcBorders>
            <w:shd w:val="clear" w:color="auto" w:fill="auto"/>
            <w:noWrap/>
            <w:vAlign w:val="center"/>
            <w:hideMark/>
          </w:tcPr>
          <w:p w14:paraId="6A4E1FA0" w14:textId="77777777" w:rsidR="00F96912" w:rsidRPr="00CD000E" w:rsidRDefault="00F96912" w:rsidP="006658D5">
            <w:pPr>
              <w:rPr>
                <w:sz w:val="16"/>
                <w:szCs w:val="16"/>
              </w:rPr>
            </w:pPr>
            <w:r w:rsidRPr="00CD000E">
              <w:rPr>
                <w:sz w:val="16"/>
                <w:szCs w:val="16"/>
              </w:rPr>
              <w:t>IX.4</w:t>
            </w:r>
          </w:p>
        </w:tc>
        <w:tc>
          <w:tcPr>
            <w:tcW w:w="4078" w:type="dxa"/>
            <w:tcBorders>
              <w:top w:val="nil"/>
              <w:left w:val="nil"/>
              <w:bottom w:val="nil"/>
              <w:right w:val="nil"/>
            </w:tcBorders>
            <w:shd w:val="clear" w:color="auto" w:fill="auto"/>
            <w:vAlign w:val="center"/>
            <w:hideMark/>
          </w:tcPr>
          <w:p w14:paraId="52202E57" w14:textId="77777777" w:rsidR="00F96912" w:rsidRPr="00CD000E" w:rsidRDefault="00F96912" w:rsidP="006658D5">
            <w:pPr>
              <w:rPr>
                <w:sz w:val="16"/>
                <w:szCs w:val="16"/>
              </w:rPr>
            </w:pPr>
            <w:r w:rsidRPr="00CD000E">
              <w:rPr>
                <w:sz w:val="16"/>
                <w:szCs w:val="16"/>
              </w:rPr>
              <w:t>Une Organisation écologiquement et socialement responsable assurant la sûreté et la sécurité du personnel, des délégués, des visiteurs, de l’information et des biens</w:t>
            </w:r>
          </w:p>
        </w:tc>
        <w:tc>
          <w:tcPr>
            <w:tcW w:w="1182" w:type="dxa"/>
            <w:tcBorders>
              <w:top w:val="nil"/>
              <w:left w:val="nil"/>
              <w:bottom w:val="nil"/>
              <w:right w:val="nil"/>
            </w:tcBorders>
            <w:shd w:val="clear" w:color="auto" w:fill="auto"/>
            <w:noWrap/>
            <w:vAlign w:val="center"/>
            <w:hideMark/>
          </w:tcPr>
          <w:p w14:paraId="379EAB0E" w14:textId="77777777" w:rsidR="00F96912" w:rsidRPr="00CD000E" w:rsidRDefault="00F96912" w:rsidP="006658D5">
            <w:pPr>
              <w:jc w:val="center"/>
              <w:rPr>
                <w:color w:val="000000"/>
                <w:sz w:val="16"/>
                <w:szCs w:val="16"/>
              </w:rPr>
            </w:pPr>
            <w:r w:rsidRPr="00CD000E">
              <w:rPr>
                <w:color w:val="000000"/>
                <w:sz w:val="16"/>
                <w:szCs w:val="16"/>
              </w:rPr>
              <w:t>552</w:t>
            </w:r>
          </w:p>
        </w:tc>
        <w:tc>
          <w:tcPr>
            <w:tcW w:w="1182" w:type="dxa"/>
            <w:tcBorders>
              <w:top w:val="nil"/>
              <w:left w:val="nil"/>
              <w:bottom w:val="nil"/>
              <w:right w:val="nil"/>
            </w:tcBorders>
            <w:shd w:val="clear" w:color="auto" w:fill="auto"/>
            <w:noWrap/>
            <w:vAlign w:val="center"/>
            <w:hideMark/>
          </w:tcPr>
          <w:p w14:paraId="5D14FDB1" w14:textId="77777777" w:rsidR="00F96912" w:rsidRPr="00CD000E" w:rsidRDefault="00F96912" w:rsidP="006658D5">
            <w:pPr>
              <w:jc w:val="center"/>
              <w:rPr>
                <w:color w:val="000000"/>
                <w:sz w:val="16"/>
                <w:szCs w:val="16"/>
              </w:rPr>
            </w:pPr>
            <w:r w:rsidRPr="00CD000E">
              <w:rPr>
                <w:color w:val="000000"/>
                <w:sz w:val="16"/>
                <w:szCs w:val="16"/>
              </w:rPr>
              <w:t>486</w:t>
            </w:r>
          </w:p>
        </w:tc>
        <w:tc>
          <w:tcPr>
            <w:tcW w:w="1205" w:type="dxa"/>
            <w:tcBorders>
              <w:top w:val="nil"/>
              <w:left w:val="nil"/>
              <w:bottom w:val="nil"/>
              <w:right w:val="nil"/>
            </w:tcBorders>
            <w:shd w:val="clear" w:color="auto" w:fill="auto"/>
            <w:noWrap/>
            <w:vAlign w:val="center"/>
            <w:hideMark/>
          </w:tcPr>
          <w:p w14:paraId="095565B1" w14:textId="77777777" w:rsidR="00F96912" w:rsidRPr="00CD000E" w:rsidRDefault="00F96912" w:rsidP="006658D5">
            <w:pPr>
              <w:jc w:val="center"/>
              <w:rPr>
                <w:color w:val="000000"/>
                <w:sz w:val="16"/>
                <w:szCs w:val="16"/>
              </w:rPr>
            </w:pPr>
            <w:r w:rsidRPr="00CD000E">
              <w:rPr>
                <w:color w:val="000000"/>
                <w:sz w:val="16"/>
                <w:szCs w:val="16"/>
              </w:rPr>
              <w:t>240</w:t>
            </w:r>
          </w:p>
        </w:tc>
      </w:tr>
      <w:tr w:rsidR="00F96912" w:rsidRPr="00CD000E" w14:paraId="7BD5BC10" w14:textId="77777777" w:rsidTr="006658D5">
        <w:trPr>
          <w:jc w:val="center"/>
        </w:trPr>
        <w:tc>
          <w:tcPr>
            <w:tcW w:w="575" w:type="dxa"/>
            <w:tcBorders>
              <w:top w:val="nil"/>
              <w:left w:val="nil"/>
              <w:bottom w:val="nil"/>
              <w:right w:val="nil"/>
            </w:tcBorders>
            <w:shd w:val="clear" w:color="000000" w:fill="C5D9F1"/>
            <w:noWrap/>
            <w:vAlign w:val="bottom"/>
            <w:hideMark/>
          </w:tcPr>
          <w:p w14:paraId="0572267C" w14:textId="77777777" w:rsidR="00F96912" w:rsidRPr="00CD000E" w:rsidRDefault="00F96912" w:rsidP="006658D5">
            <w:pPr>
              <w:rPr>
                <w:sz w:val="16"/>
                <w:szCs w:val="16"/>
              </w:rPr>
            </w:pPr>
            <w:r w:rsidRPr="00CD000E">
              <w:rPr>
                <w:sz w:val="16"/>
                <w:szCs w:val="16"/>
              </w:rPr>
              <w:t> </w:t>
            </w:r>
          </w:p>
        </w:tc>
        <w:tc>
          <w:tcPr>
            <w:tcW w:w="4078" w:type="dxa"/>
            <w:tcBorders>
              <w:top w:val="nil"/>
              <w:left w:val="nil"/>
              <w:bottom w:val="nil"/>
              <w:right w:val="nil"/>
            </w:tcBorders>
            <w:shd w:val="clear" w:color="000000" w:fill="C5D9F1"/>
            <w:noWrap/>
            <w:vAlign w:val="bottom"/>
            <w:hideMark/>
          </w:tcPr>
          <w:p w14:paraId="073B2690" w14:textId="77777777" w:rsidR="00F96912" w:rsidRPr="00CD000E" w:rsidRDefault="00F96912" w:rsidP="006658D5">
            <w:pPr>
              <w:jc w:val="right"/>
              <w:rPr>
                <w:b/>
                <w:bCs/>
                <w:sz w:val="16"/>
                <w:szCs w:val="16"/>
              </w:rPr>
            </w:pPr>
            <w:r w:rsidRPr="00CD000E">
              <w:rPr>
                <w:b/>
                <w:bCs/>
                <w:sz w:val="16"/>
                <w:szCs w:val="16"/>
              </w:rPr>
              <w:t>Total</w:t>
            </w:r>
          </w:p>
        </w:tc>
        <w:tc>
          <w:tcPr>
            <w:tcW w:w="1182" w:type="dxa"/>
            <w:tcBorders>
              <w:top w:val="nil"/>
              <w:left w:val="nil"/>
              <w:bottom w:val="nil"/>
              <w:right w:val="nil"/>
            </w:tcBorders>
            <w:shd w:val="clear" w:color="000000" w:fill="C5D9F1"/>
            <w:noWrap/>
            <w:vAlign w:val="center"/>
            <w:hideMark/>
          </w:tcPr>
          <w:p w14:paraId="034308AE" w14:textId="77777777" w:rsidR="00F96912" w:rsidRPr="00CD000E" w:rsidRDefault="00F96912" w:rsidP="006658D5">
            <w:pPr>
              <w:jc w:val="center"/>
              <w:rPr>
                <w:b/>
                <w:color w:val="000000"/>
                <w:sz w:val="16"/>
                <w:szCs w:val="16"/>
              </w:rPr>
            </w:pPr>
            <w:r w:rsidRPr="00CD000E">
              <w:rPr>
                <w:b/>
                <w:color w:val="000000"/>
                <w:sz w:val="16"/>
                <w:szCs w:val="16"/>
              </w:rPr>
              <w:t>52 032</w:t>
            </w:r>
          </w:p>
        </w:tc>
        <w:tc>
          <w:tcPr>
            <w:tcW w:w="1182" w:type="dxa"/>
            <w:tcBorders>
              <w:top w:val="nil"/>
              <w:left w:val="nil"/>
              <w:bottom w:val="nil"/>
              <w:right w:val="nil"/>
            </w:tcBorders>
            <w:shd w:val="clear" w:color="000000" w:fill="C5D9F1"/>
            <w:noWrap/>
            <w:vAlign w:val="center"/>
            <w:hideMark/>
          </w:tcPr>
          <w:p w14:paraId="3DB0AEB0" w14:textId="77777777" w:rsidR="00F96912" w:rsidRPr="00CD000E" w:rsidRDefault="00F96912" w:rsidP="006658D5">
            <w:pPr>
              <w:jc w:val="center"/>
              <w:rPr>
                <w:b/>
                <w:color w:val="000000"/>
                <w:sz w:val="16"/>
                <w:szCs w:val="16"/>
              </w:rPr>
            </w:pPr>
            <w:r w:rsidRPr="00CD000E">
              <w:rPr>
                <w:b/>
                <w:color w:val="000000"/>
                <w:sz w:val="16"/>
                <w:szCs w:val="16"/>
              </w:rPr>
              <w:t>48 812</w:t>
            </w:r>
          </w:p>
        </w:tc>
        <w:tc>
          <w:tcPr>
            <w:tcW w:w="1205" w:type="dxa"/>
            <w:tcBorders>
              <w:top w:val="nil"/>
              <w:left w:val="nil"/>
              <w:bottom w:val="nil"/>
              <w:right w:val="nil"/>
            </w:tcBorders>
            <w:shd w:val="clear" w:color="000000" w:fill="C5D9F1"/>
            <w:noWrap/>
            <w:vAlign w:val="center"/>
            <w:hideMark/>
          </w:tcPr>
          <w:p w14:paraId="3E2A679D" w14:textId="77777777" w:rsidR="00F96912" w:rsidRPr="00CD000E" w:rsidRDefault="00F96912" w:rsidP="006658D5">
            <w:pPr>
              <w:jc w:val="center"/>
              <w:rPr>
                <w:b/>
                <w:color w:val="000000"/>
                <w:sz w:val="16"/>
                <w:szCs w:val="16"/>
              </w:rPr>
            </w:pPr>
            <w:r w:rsidRPr="00CD000E">
              <w:rPr>
                <w:b/>
                <w:color w:val="000000"/>
                <w:sz w:val="16"/>
                <w:szCs w:val="16"/>
              </w:rPr>
              <w:t>21 869</w:t>
            </w:r>
          </w:p>
        </w:tc>
      </w:tr>
      <w:tr w:rsidR="00F96912" w:rsidRPr="00CD000E" w14:paraId="1A5DFC11" w14:textId="77777777" w:rsidTr="006658D5">
        <w:trPr>
          <w:jc w:val="center"/>
        </w:trPr>
        <w:tc>
          <w:tcPr>
            <w:tcW w:w="7017" w:type="dxa"/>
            <w:gridSpan w:val="4"/>
            <w:tcBorders>
              <w:top w:val="nil"/>
              <w:left w:val="nil"/>
              <w:bottom w:val="nil"/>
              <w:right w:val="nil"/>
            </w:tcBorders>
            <w:shd w:val="clear" w:color="auto" w:fill="auto"/>
            <w:noWrap/>
            <w:vAlign w:val="center"/>
            <w:hideMark/>
          </w:tcPr>
          <w:p w14:paraId="519C9D55" w14:textId="77777777" w:rsidR="00F96912" w:rsidRPr="00CD000E" w:rsidRDefault="00F96912" w:rsidP="006658D5">
            <w:pPr>
              <w:rPr>
                <w:i/>
                <w:iCs/>
                <w:sz w:val="16"/>
                <w:szCs w:val="16"/>
              </w:rPr>
            </w:pPr>
            <w:r w:rsidRPr="00CD000E">
              <w:rPr>
                <w:i/>
                <w:iCs/>
                <w:sz w:val="16"/>
                <w:szCs w:val="16"/>
              </w:rPr>
              <w:t>*Les chiffres des dépenses pour 2016 sont préliminaires, sous réserve d’audit par les vérificateurs externes des comptes</w:t>
            </w:r>
          </w:p>
        </w:tc>
        <w:tc>
          <w:tcPr>
            <w:tcW w:w="1205" w:type="dxa"/>
            <w:tcBorders>
              <w:top w:val="nil"/>
              <w:left w:val="nil"/>
              <w:bottom w:val="nil"/>
              <w:right w:val="nil"/>
            </w:tcBorders>
            <w:shd w:val="clear" w:color="auto" w:fill="auto"/>
            <w:noWrap/>
            <w:vAlign w:val="center"/>
            <w:hideMark/>
          </w:tcPr>
          <w:p w14:paraId="004CB8E6" w14:textId="77777777" w:rsidR="00F96912" w:rsidRPr="00CD000E" w:rsidRDefault="00F96912" w:rsidP="006658D5">
            <w:pPr>
              <w:rPr>
                <w:sz w:val="16"/>
                <w:szCs w:val="16"/>
              </w:rPr>
            </w:pPr>
          </w:p>
        </w:tc>
      </w:tr>
    </w:tbl>
    <w:p w14:paraId="229BC79C" w14:textId="77777777" w:rsidR="00F96912" w:rsidRPr="00CD000E" w:rsidRDefault="00F96912" w:rsidP="00F96912">
      <w:pPr>
        <w:rPr>
          <w:sz w:val="20"/>
        </w:rPr>
      </w:pPr>
    </w:p>
    <w:p w14:paraId="4D456CB1" w14:textId="77777777" w:rsidR="00F96912" w:rsidRPr="00CD000E" w:rsidRDefault="00F96912" w:rsidP="00851C67">
      <w:pPr>
        <w:keepNext/>
        <w:keepLines/>
        <w:jc w:val="center"/>
        <w:rPr>
          <w:color w:val="000000"/>
          <w:sz w:val="18"/>
          <w:szCs w:val="18"/>
        </w:rPr>
      </w:pPr>
      <w:r w:rsidRPr="00CD000E">
        <w:rPr>
          <w:color w:val="000000"/>
          <w:sz w:val="18"/>
          <w:szCs w:val="18"/>
        </w:rPr>
        <w:t>Budget et dépenses effectives (dépenses de personnel et autres dépenses)</w:t>
      </w:r>
    </w:p>
    <w:p w14:paraId="7B67971E" w14:textId="77777777" w:rsidR="00F96912" w:rsidRPr="00CD000E" w:rsidRDefault="00F96912" w:rsidP="00851C67">
      <w:pPr>
        <w:keepNext/>
        <w:keepLines/>
        <w:jc w:val="center"/>
        <w:rPr>
          <w:i/>
          <w:iCs/>
          <w:color w:val="000000"/>
          <w:sz w:val="16"/>
          <w:szCs w:val="16"/>
        </w:rPr>
      </w:pPr>
      <w:r w:rsidRPr="00CD000E">
        <w:rPr>
          <w:i/>
          <w:iCs/>
          <w:color w:val="000000"/>
          <w:sz w:val="16"/>
          <w:szCs w:val="16"/>
        </w:rPr>
        <w:t>(en milliers de francs suisses)</w:t>
      </w:r>
    </w:p>
    <w:p w14:paraId="501D4B6A" w14:textId="77777777" w:rsidR="00F96912" w:rsidRPr="00CD000E" w:rsidRDefault="00F96912" w:rsidP="00851C67">
      <w:pPr>
        <w:keepNext/>
        <w:keepLines/>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CD000E" w14:paraId="6BEB196A" w14:textId="77777777" w:rsidTr="006658D5">
        <w:trPr>
          <w:jc w:val="center"/>
        </w:trPr>
        <w:tc>
          <w:tcPr>
            <w:tcW w:w="2470" w:type="dxa"/>
            <w:tcBorders>
              <w:top w:val="nil"/>
              <w:left w:val="nil"/>
              <w:bottom w:val="nil"/>
              <w:right w:val="nil"/>
            </w:tcBorders>
            <w:shd w:val="clear" w:color="000000" w:fill="C5D9F1"/>
            <w:noWrap/>
            <w:vAlign w:val="center"/>
            <w:hideMark/>
          </w:tcPr>
          <w:p w14:paraId="0EE3028B" w14:textId="77777777" w:rsidR="00F96912" w:rsidRPr="00CD000E" w:rsidRDefault="00F96912" w:rsidP="00851C67">
            <w:pPr>
              <w:keepNext/>
              <w:keepLines/>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35E54A97" w14:textId="77777777" w:rsidR="00F96912" w:rsidRPr="00CD000E" w:rsidRDefault="00F96912" w:rsidP="00851C67">
            <w:pPr>
              <w:keepNext/>
              <w:keepLines/>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386B5042" w14:textId="77777777" w:rsidR="00F96912" w:rsidRPr="00CD000E" w:rsidRDefault="00F96912" w:rsidP="00851C67">
            <w:pPr>
              <w:keepNext/>
              <w:keepLines/>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07F2BFCF" w14:textId="77777777" w:rsidR="00F96912" w:rsidRPr="00CD000E" w:rsidRDefault="00F96912" w:rsidP="00851C67">
            <w:pPr>
              <w:keepNext/>
              <w:keepLines/>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06B514C9" w14:textId="77777777" w:rsidR="00F96912" w:rsidRPr="002B50EA" w:rsidRDefault="00F96912" w:rsidP="00851C67">
            <w:pPr>
              <w:keepNext/>
              <w:keepLines/>
              <w:jc w:val="center"/>
              <w:rPr>
                <w:b/>
                <w:bCs/>
                <w:sz w:val="16"/>
                <w:szCs w:val="16"/>
              </w:rPr>
            </w:pPr>
            <w:r w:rsidRPr="002B50EA">
              <w:rPr>
                <w:b/>
                <w:bCs/>
                <w:sz w:val="16"/>
                <w:szCs w:val="16"/>
              </w:rPr>
              <w:t>Taux d’utilisation (%)</w:t>
            </w:r>
          </w:p>
        </w:tc>
      </w:tr>
      <w:tr w:rsidR="00F96912" w:rsidRPr="00CD000E" w14:paraId="62D4880A" w14:textId="77777777" w:rsidTr="006658D5">
        <w:trPr>
          <w:jc w:val="center"/>
        </w:trPr>
        <w:tc>
          <w:tcPr>
            <w:tcW w:w="2470" w:type="dxa"/>
            <w:tcBorders>
              <w:top w:val="nil"/>
              <w:left w:val="nil"/>
              <w:bottom w:val="nil"/>
              <w:right w:val="nil"/>
            </w:tcBorders>
            <w:shd w:val="clear" w:color="auto" w:fill="auto"/>
            <w:noWrap/>
            <w:vAlign w:val="center"/>
            <w:hideMark/>
          </w:tcPr>
          <w:p w14:paraId="353AF2C4" w14:textId="77777777" w:rsidR="00F96912" w:rsidRPr="00CD000E" w:rsidRDefault="00F96912" w:rsidP="00851C67">
            <w:pPr>
              <w:keepNext/>
              <w:keepLines/>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31801B67" w14:textId="77777777" w:rsidR="00F96912" w:rsidRPr="00CD000E" w:rsidRDefault="00F96912" w:rsidP="00851C67">
            <w:pPr>
              <w:keepNext/>
              <w:keepLines/>
              <w:jc w:val="center"/>
              <w:rPr>
                <w:color w:val="000000"/>
                <w:sz w:val="16"/>
                <w:szCs w:val="16"/>
              </w:rPr>
            </w:pPr>
            <w:r w:rsidRPr="00CD000E">
              <w:rPr>
                <w:color w:val="000000"/>
                <w:sz w:val="16"/>
                <w:szCs w:val="16"/>
              </w:rPr>
              <w:t xml:space="preserve">14 178 </w:t>
            </w:r>
          </w:p>
        </w:tc>
        <w:tc>
          <w:tcPr>
            <w:tcW w:w="1438" w:type="dxa"/>
            <w:tcBorders>
              <w:top w:val="nil"/>
              <w:left w:val="nil"/>
              <w:bottom w:val="nil"/>
              <w:right w:val="nil"/>
            </w:tcBorders>
            <w:shd w:val="clear" w:color="auto" w:fill="auto"/>
            <w:vAlign w:val="center"/>
            <w:hideMark/>
          </w:tcPr>
          <w:p w14:paraId="1AA7FBDD" w14:textId="77777777" w:rsidR="00F96912" w:rsidRPr="00CD000E" w:rsidRDefault="00F96912" w:rsidP="00851C67">
            <w:pPr>
              <w:keepNext/>
              <w:keepLines/>
              <w:jc w:val="center"/>
              <w:rPr>
                <w:color w:val="000000"/>
                <w:sz w:val="16"/>
                <w:szCs w:val="16"/>
              </w:rPr>
            </w:pPr>
            <w:r w:rsidRPr="00CD000E">
              <w:rPr>
                <w:color w:val="000000"/>
                <w:sz w:val="16"/>
                <w:szCs w:val="16"/>
              </w:rPr>
              <w:t xml:space="preserve">13 289 </w:t>
            </w:r>
          </w:p>
        </w:tc>
        <w:tc>
          <w:tcPr>
            <w:tcW w:w="1438" w:type="dxa"/>
            <w:tcBorders>
              <w:top w:val="nil"/>
              <w:left w:val="nil"/>
              <w:bottom w:val="nil"/>
              <w:right w:val="nil"/>
            </w:tcBorders>
            <w:shd w:val="clear" w:color="auto" w:fill="auto"/>
            <w:vAlign w:val="center"/>
            <w:hideMark/>
          </w:tcPr>
          <w:p w14:paraId="3975FEAA" w14:textId="77777777" w:rsidR="00F96912" w:rsidRPr="00CD000E" w:rsidRDefault="00F96912" w:rsidP="00851C67">
            <w:pPr>
              <w:keepNext/>
              <w:keepLines/>
              <w:jc w:val="center"/>
              <w:rPr>
                <w:color w:val="000000"/>
                <w:sz w:val="16"/>
                <w:szCs w:val="16"/>
              </w:rPr>
            </w:pPr>
            <w:r w:rsidRPr="00CD000E">
              <w:rPr>
                <w:color w:val="000000"/>
                <w:sz w:val="16"/>
                <w:szCs w:val="16"/>
              </w:rPr>
              <w:t xml:space="preserve">6 503 </w:t>
            </w:r>
          </w:p>
        </w:tc>
        <w:tc>
          <w:tcPr>
            <w:tcW w:w="1438" w:type="dxa"/>
            <w:tcBorders>
              <w:top w:val="nil"/>
              <w:left w:val="nil"/>
              <w:bottom w:val="nil"/>
              <w:right w:val="nil"/>
            </w:tcBorders>
            <w:shd w:val="clear" w:color="auto" w:fill="auto"/>
            <w:vAlign w:val="center"/>
            <w:hideMark/>
          </w:tcPr>
          <w:p w14:paraId="7EB78E21" w14:textId="77777777" w:rsidR="00F96912" w:rsidRPr="002B50EA" w:rsidRDefault="00F96912" w:rsidP="00851C67">
            <w:pPr>
              <w:keepNext/>
              <w:keepLines/>
              <w:jc w:val="center"/>
              <w:rPr>
                <w:sz w:val="16"/>
                <w:szCs w:val="16"/>
              </w:rPr>
            </w:pPr>
            <w:r w:rsidRPr="002B50EA">
              <w:rPr>
                <w:sz w:val="16"/>
                <w:szCs w:val="16"/>
              </w:rPr>
              <w:t>49%</w:t>
            </w:r>
          </w:p>
        </w:tc>
      </w:tr>
      <w:tr w:rsidR="00F96912" w:rsidRPr="00CD000E" w14:paraId="20EDE7B5" w14:textId="77777777" w:rsidTr="006658D5">
        <w:trPr>
          <w:jc w:val="center"/>
        </w:trPr>
        <w:tc>
          <w:tcPr>
            <w:tcW w:w="2470" w:type="dxa"/>
            <w:tcBorders>
              <w:top w:val="nil"/>
              <w:left w:val="nil"/>
              <w:bottom w:val="nil"/>
              <w:right w:val="nil"/>
            </w:tcBorders>
            <w:shd w:val="clear" w:color="auto" w:fill="auto"/>
            <w:noWrap/>
            <w:vAlign w:val="center"/>
            <w:hideMark/>
          </w:tcPr>
          <w:p w14:paraId="0E73D1CF" w14:textId="77777777" w:rsidR="00F96912" w:rsidRPr="00CD000E" w:rsidRDefault="00F96912" w:rsidP="00851C67">
            <w:pPr>
              <w:keepNext/>
              <w:keepLines/>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0C44B470" w14:textId="77777777" w:rsidR="00F96912" w:rsidRPr="00CD000E" w:rsidRDefault="00F96912" w:rsidP="00851C67">
            <w:pPr>
              <w:keepNext/>
              <w:keepLines/>
              <w:jc w:val="center"/>
              <w:rPr>
                <w:color w:val="000000"/>
                <w:sz w:val="16"/>
                <w:szCs w:val="16"/>
              </w:rPr>
            </w:pPr>
            <w:r w:rsidRPr="00CD000E">
              <w:rPr>
                <w:color w:val="000000"/>
                <w:sz w:val="16"/>
                <w:szCs w:val="16"/>
              </w:rPr>
              <w:t xml:space="preserve">37 853 </w:t>
            </w:r>
          </w:p>
        </w:tc>
        <w:tc>
          <w:tcPr>
            <w:tcW w:w="1438" w:type="dxa"/>
            <w:tcBorders>
              <w:top w:val="nil"/>
              <w:left w:val="nil"/>
              <w:bottom w:val="nil"/>
              <w:right w:val="nil"/>
            </w:tcBorders>
            <w:shd w:val="clear" w:color="auto" w:fill="auto"/>
            <w:vAlign w:val="center"/>
            <w:hideMark/>
          </w:tcPr>
          <w:p w14:paraId="42CAF60B" w14:textId="77777777" w:rsidR="00F96912" w:rsidRPr="00CD000E" w:rsidRDefault="00F96912" w:rsidP="00851C67">
            <w:pPr>
              <w:keepNext/>
              <w:keepLines/>
              <w:jc w:val="center"/>
              <w:rPr>
                <w:color w:val="000000"/>
                <w:sz w:val="16"/>
                <w:szCs w:val="16"/>
              </w:rPr>
            </w:pPr>
            <w:r w:rsidRPr="00CD000E">
              <w:rPr>
                <w:color w:val="000000"/>
                <w:sz w:val="16"/>
                <w:szCs w:val="16"/>
              </w:rPr>
              <w:t xml:space="preserve">35 523 </w:t>
            </w:r>
          </w:p>
        </w:tc>
        <w:tc>
          <w:tcPr>
            <w:tcW w:w="1438" w:type="dxa"/>
            <w:tcBorders>
              <w:top w:val="nil"/>
              <w:left w:val="nil"/>
              <w:bottom w:val="nil"/>
              <w:right w:val="nil"/>
            </w:tcBorders>
            <w:shd w:val="clear" w:color="auto" w:fill="auto"/>
            <w:vAlign w:val="center"/>
            <w:hideMark/>
          </w:tcPr>
          <w:p w14:paraId="7F4DD72A" w14:textId="77777777" w:rsidR="00F96912" w:rsidRPr="00CD000E" w:rsidRDefault="00F96912" w:rsidP="00851C67">
            <w:pPr>
              <w:keepNext/>
              <w:keepLines/>
              <w:jc w:val="center"/>
              <w:rPr>
                <w:color w:val="000000"/>
                <w:sz w:val="16"/>
                <w:szCs w:val="16"/>
              </w:rPr>
            </w:pPr>
            <w:r w:rsidRPr="00CD000E">
              <w:rPr>
                <w:color w:val="000000"/>
                <w:sz w:val="16"/>
                <w:szCs w:val="16"/>
              </w:rPr>
              <w:t xml:space="preserve">15 366 </w:t>
            </w:r>
          </w:p>
        </w:tc>
        <w:tc>
          <w:tcPr>
            <w:tcW w:w="1438" w:type="dxa"/>
            <w:tcBorders>
              <w:top w:val="nil"/>
              <w:left w:val="nil"/>
              <w:bottom w:val="nil"/>
              <w:right w:val="nil"/>
            </w:tcBorders>
            <w:shd w:val="clear" w:color="auto" w:fill="auto"/>
            <w:vAlign w:val="center"/>
            <w:hideMark/>
          </w:tcPr>
          <w:p w14:paraId="684457EC" w14:textId="77777777" w:rsidR="00F96912" w:rsidRPr="002B50EA" w:rsidRDefault="00F96912" w:rsidP="00851C67">
            <w:pPr>
              <w:keepNext/>
              <w:keepLines/>
              <w:jc w:val="center"/>
              <w:rPr>
                <w:sz w:val="16"/>
                <w:szCs w:val="16"/>
              </w:rPr>
            </w:pPr>
            <w:r w:rsidRPr="002B50EA">
              <w:rPr>
                <w:sz w:val="16"/>
                <w:szCs w:val="16"/>
              </w:rPr>
              <w:t>43%</w:t>
            </w:r>
          </w:p>
        </w:tc>
      </w:tr>
      <w:tr w:rsidR="00F96912" w:rsidRPr="00CD000E" w14:paraId="3D5EB429" w14:textId="77777777" w:rsidTr="006658D5">
        <w:trPr>
          <w:jc w:val="center"/>
        </w:trPr>
        <w:tc>
          <w:tcPr>
            <w:tcW w:w="2470" w:type="dxa"/>
            <w:tcBorders>
              <w:top w:val="nil"/>
              <w:left w:val="nil"/>
              <w:bottom w:val="nil"/>
              <w:right w:val="nil"/>
            </w:tcBorders>
            <w:shd w:val="clear" w:color="000000" w:fill="C5D9F1"/>
            <w:noWrap/>
            <w:vAlign w:val="center"/>
            <w:hideMark/>
          </w:tcPr>
          <w:p w14:paraId="61DEBE9A" w14:textId="77777777" w:rsidR="00F96912" w:rsidRPr="00CD000E" w:rsidRDefault="00F96912" w:rsidP="00851C67">
            <w:pPr>
              <w:keepNext/>
              <w:keepLines/>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39430E76" w14:textId="77777777" w:rsidR="00F96912" w:rsidRPr="00CD000E" w:rsidRDefault="00F96912" w:rsidP="00851C67">
            <w:pPr>
              <w:keepNext/>
              <w:keepLines/>
              <w:jc w:val="center"/>
              <w:rPr>
                <w:b/>
                <w:bCs/>
                <w:color w:val="000000"/>
                <w:sz w:val="16"/>
                <w:szCs w:val="16"/>
              </w:rPr>
            </w:pPr>
            <w:r w:rsidRPr="00CD000E">
              <w:rPr>
                <w:b/>
                <w:bCs/>
                <w:color w:val="000000"/>
                <w:sz w:val="16"/>
                <w:szCs w:val="16"/>
              </w:rPr>
              <w:t xml:space="preserve">52 032 </w:t>
            </w:r>
          </w:p>
        </w:tc>
        <w:tc>
          <w:tcPr>
            <w:tcW w:w="1438" w:type="dxa"/>
            <w:tcBorders>
              <w:top w:val="nil"/>
              <w:left w:val="nil"/>
              <w:bottom w:val="nil"/>
              <w:right w:val="nil"/>
            </w:tcBorders>
            <w:shd w:val="clear" w:color="000000" w:fill="C5D9F1"/>
            <w:vAlign w:val="center"/>
            <w:hideMark/>
          </w:tcPr>
          <w:p w14:paraId="5C8E89A6" w14:textId="77777777" w:rsidR="00F96912" w:rsidRPr="00CD000E" w:rsidRDefault="00F96912" w:rsidP="00851C67">
            <w:pPr>
              <w:keepNext/>
              <w:keepLines/>
              <w:jc w:val="center"/>
              <w:rPr>
                <w:b/>
                <w:bCs/>
                <w:color w:val="000000"/>
                <w:sz w:val="16"/>
                <w:szCs w:val="16"/>
              </w:rPr>
            </w:pPr>
            <w:r w:rsidRPr="00CD000E">
              <w:rPr>
                <w:b/>
                <w:bCs/>
                <w:color w:val="000000"/>
                <w:sz w:val="16"/>
                <w:szCs w:val="16"/>
              </w:rPr>
              <w:t xml:space="preserve">48 812 </w:t>
            </w:r>
          </w:p>
        </w:tc>
        <w:tc>
          <w:tcPr>
            <w:tcW w:w="1438" w:type="dxa"/>
            <w:tcBorders>
              <w:top w:val="nil"/>
              <w:left w:val="nil"/>
              <w:bottom w:val="nil"/>
              <w:right w:val="nil"/>
            </w:tcBorders>
            <w:shd w:val="clear" w:color="000000" w:fill="C5D9F1"/>
            <w:vAlign w:val="center"/>
            <w:hideMark/>
          </w:tcPr>
          <w:p w14:paraId="63439BC4" w14:textId="77777777" w:rsidR="00F96912" w:rsidRPr="00CD000E" w:rsidRDefault="00F96912" w:rsidP="00851C67">
            <w:pPr>
              <w:keepNext/>
              <w:keepLines/>
              <w:jc w:val="center"/>
              <w:rPr>
                <w:b/>
                <w:bCs/>
                <w:color w:val="000000"/>
                <w:sz w:val="16"/>
                <w:szCs w:val="16"/>
              </w:rPr>
            </w:pPr>
            <w:r w:rsidRPr="00CD000E">
              <w:rPr>
                <w:b/>
                <w:bCs/>
                <w:color w:val="000000"/>
                <w:sz w:val="16"/>
                <w:szCs w:val="16"/>
              </w:rPr>
              <w:t xml:space="preserve">21 869 </w:t>
            </w:r>
          </w:p>
        </w:tc>
        <w:tc>
          <w:tcPr>
            <w:tcW w:w="1438" w:type="dxa"/>
            <w:tcBorders>
              <w:top w:val="nil"/>
              <w:left w:val="nil"/>
              <w:bottom w:val="nil"/>
              <w:right w:val="nil"/>
            </w:tcBorders>
            <w:shd w:val="clear" w:color="000000" w:fill="C5D9F1"/>
            <w:vAlign w:val="center"/>
            <w:hideMark/>
          </w:tcPr>
          <w:p w14:paraId="33BB8EB6" w14:textId="77777777" w:rsidR="00F96912" w:rsidRPr="002B50EA" w:rsidRDefault="00F96912" w:rsidP="00851C67">
            <w:pPr>
              <w:keepNext/>
              <w:keepLines/>
              <w:jc w:val="center"/>
              <w:rPr>
                <w:b/>
                <w:bCs/>
                <w:sz w:val="16"/>
                <w:szCs w:val="16"/>
              </w:rPr>
            </w:pPr>
            <w:r w:rsidRPr="002B50EA">
              <w:rPr>
                <w:b/>
                <w:bCs/>
                <w:sz w:val="16"/>
                <w:szCs w:val="16"/>
              </w:rPr>
              <w:t>45%</w:t>
            </w:r>
          </w:p>
        </w:tc>
      </w:tr>
      <w:tr w:rsidR="00F96912" w:rsidRPr="00CD000E" w14:paraId="25B85DDD"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75324CC7" w14:textId="77777777" w:rsidR="00F96912" w:rsidRPr="002B50EA" w:rsidRDefault="00F96912" w:rsidP="00851C67">
            <w:pPr>
              <w:keepNext/>
              <w:keepLines/>
              <w:rPr>
                <w:i/>
                <w:iCs/>
                <w:sz w:val="16"/>
                <w:szCs w:val="16"/>
              </w:rPr>
            </w:pPr>
            <w:r w:rsidRPr="002B50EA">
              <w:rPr>
                <w:i/>
                <w:iCs/>
                <w:sz w:val="16"/>
                <w:szCs w:val="16"/>
              </w:rPr>
              <w:t xml:space="preserve">*Les chiffres des dépenses pour 2016 sont préliminaires, sous réserve d’audit par les vérificateurs externes des comptes </w:t>
            </w:r>
          </w:p>
        </w:tc>
      </w:tr>
    </w:tbl>
    <w:p w14:paraId="2CF5AC98" w14:textId="77777777" w:rsidR="00F96912" w:rsidRPr="00CD000E" w:rsidRDefault="00F96912" w:rsidP="00851C67">
      <w:pPr>
        <w:keepNext/>
        <w:keepLines/>
        <w:rPr>
          <w:sz w:val="20"/>
        </w:rPr>
      </w:pPr>
    </w:p>
    <w:p w14:paraId="67EB1DBB" w14:textId="0349FD03" w:rsidR="00F96912" w:rsidRPr="00CD000E" w:rsidRDefault="00F96912" w:rsidP="00851C67">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41E078F5" w14:textId="77777777" w:rsidR="00F96912" w:rsidRPr="00CD000E" w:rsidRDefault="00F96912" w:rsidP="00F96912">
      <w:pPr>
        <w:rPr>
          <w:sz w:val="20"/>
        </w:rPr>
      </w:pPr>
    </w:p>
    <w:p w14:paraId="5B8D29AA" w14:textId="77777777" w:rsidR="00F96912" w:rsidRPr="00CD000E" w:rsidRDefault="00F96912" w:rsidP="00F96912">
      <w:pPr>
        <w:rPr>
          <w:sz w:val="20"/>
        </w:rPr>
      </w:pPr>
    </w:p>
    <w:p w14:paraId="518456B8" w14:textId="77777777" w:rsidR="00F96912" w:rsidRPr="00CD000E" w:rsidRDefault="00F96912" w:rsidP="00F96912">
      <w:pPr>
        <w:jc w:val="both"/>
        <w:rPr>
          <w:sz w:val="20"/>
          <w:u w:val="single"/>
        </w:rPr>
      </w:pPr>
      <w:r w:rsidRPr="00CD000E">
        <w:rPr>
          <w:sz w:val="20"/>
        </w:rPr>
        <w:t>A.</w:t>
      </w:r>
      <w:r w:rsidRPr="00CD000E">
        <w:rPr>
          <w:sz w:val="20"/>
        </w:rPr>
        <w:tab/>
      </w:r>
      <w:r w:rsidRPr="00CD000E">
        <w:rPr>
          <w:sz w:val="20"/>
          <w:u w:val="single"/>
        </w:rPr>
        <w:t>Budget 2016</w:t>
      </w:r>
      <w:r>
        <w:rPr>
          <w:sz w:val="20"/>
          <w:u w:val="single"/>
        </w:rPr>
        <w:noBreakHyphen/>
      </w:r>
      <w:r w:rsidRPr="00CD000E">
        <w:rPr>
          <w:sz w:val="20"/>
          <w:u w:val="single"/>
        </w:rPr>
        <w:t>2017 après virements</w:t>
      </w:r>
    </w:p>
    <w:p w14:paraId="5CFFA343" w14:textId="77777777" w:rsidR="00F96912" w:rsidRPr="00CD000E" w:rsidRDefault="00F96912" w:rsidP="00F96912">
      <w:pPr>
        <w:jc w:val="both"/>
        <w:rPr>
          <w:sz w:val="20"/>
        </w:rPr>
      </w:pPr>
    </w:p>
    <w:p w14:paraId="56273A0C" w14:textId="77777777" w:rsidR="00F96912" w:rsidRPr="002B50EA" w:rsidRDefault="00F96912" w:rsidP="00D544B8">
      <w:pPr>
        <w:pStyle w:val="ListParagraph"/>
        <w:numPr>
          <w:ilvl w:val="0"/>
          <w:numId w:val="35"/>
        </w:numPr>
        <w:tabs>
          <w:tab w:val="left" w:pos="0"/>
          <w:tab w:val="left" w:pos="709"/>
        </w:tabs>
        <w:autoSpaceDE w:val="0"/>
        <w:autoSpaceDN w:val="0"/>
        <w:ind w:left="0" w:firstLine="0"/>
        <w:jc w:val="both"/>
        <w:rPr>
          <w:rFonts w:ascii="Arial" w:hAnsi="Arial" w:cs="Arial"/>
          <w:color w:val="000000"/>
          <w:sz w:val="20"/>
          <w:lang w:eastAsia="zh-CN"/>
        </w:rPr>
      </w:pPr>
      <w:r w:rsidRPr="002B50EA">
        <w:rPr>
          <w:rFonts w:ascii="Arial" w:hAnsi="Arial" w:cs="Arial"/>
          <w:color w:val="000000"/>
          <w:sz w:val="20"/>
          <w:lang w:eastAsia="zh-CN"/>
        </w:rPr>
        <w:t>La légère baisse des dépenses de personnel par rapport au budget 2016</w:t>
      </w:r>
      <w:r w:rsidRPr="002B50EA">
        <w:rPr>
          <w:rFonts w:ascii="Arial" w:hAnsi="Arial" w:cs="Arial"/>
          <w:color w:val="000000"/>
          <w:sz w:val="20"/>
          <w:lang w:eastAsia="zh-CN"/>
        </w:rPr>
        <w:noBreakHyphen/>
        <w:t>2017 approuvé découlait principalement : i) de la réaffectation d’un poste et d’un poste temporaire du programme en vue de répondre aux besoins opérationnels de la Direction générale (programme 21) et de la Sécurité des informations, des biens et des personnes (programme 28);  et ii) de la réallocation de ressources aux dépenses autres que celles de personnel afin de pouvoir recourir à des services de conseil en matière de gestion de la base de données.  Cette baisse a été compensée par le reclassement d’un poste.</w:t>
      </w:r>
    </w:p>
    <w:p w14:paraId="39EAD01A" w14:textId="77777777" w:rsidR="00F96912" w:rsidRPr="002B50EA" w:rsidRDefault="00F96912" w:rsidP="00F96912">
      <w:pPr>
        <w:jc w:val="both"/>
        <w:rPr>
          <w:sz w:val="20"/>
        </w:rPr>
      </w:pPr>
    </w:p>
    <w:p w14:paraId="003E44F3" w14:textId="77777777" w:rsidR="00F96912" w:rsidRPr="002B50EA" w:rsidRDefault="00F96912" w:rsidP="00D544B8">
      <w:pPr>
        <w:pStyle w:val="ListParagraph"/>
        <w:numPr>
          <w:ilvl w:val="0"/>
          <w:numId w:val="35"/>
        </w:numPr>
        <w:tabs>
          <w:tab w:val="left" w:pos="0"/>
          <w:tab w:val="left" w:pos="709"/>
        </w:tabs>
        <w:autoSpaceDE w:val="0"/>
        <w:autoSpaceDN w:val="0"/>
        <w:ind w:left="0" w:firstLine="0"/>
        <w:jc w:val="both"/>
        <w:rPr>
          <w:rFonts w:ascii="Arial" w:hAnsi="Arial" w:cs="Arial"/>
          <w:color w:val="000000"/>
          <w:sz w:val="20"/>
          <w:lang w:eastAsia="zh-CN"/>
        </w:rPr>
      </w:pPr>
      <w:r w:rsidRPr="002B50EA">
        <w:rPr>
          <w:rFonts w:ascii="Arial" w:hAnsi="Arial" w:cs="Arial"/>
          <w:color w:val="000000"/>
          <w:sz w:val="20"/>
          <w:lang w:eastAsia="zh-CN"/>
        </w:rPr>
        <w:t>La baisse générale des dépenses autres que celles de personnel par rapport au budget 2016</w:t>
      </w:r>
      <w:r w:rsidRPr="002B50EA">
        <w:rPr>
          <w:rFonts w:ascii="Arial" w:hAnsi="Arial" w:cs="Arial"/>
          <w:color w:val="000000"/>
          <w:sz w:val="20"/>
          <w:lang w:eastAsia="zh-CN"/>
        </w:rPr>
        <w:noBreakHyphen/>
        <w:t>2017 approuvé est le résultat net, d’une part, de l’allocation de ressources supplémentaires pour couvrir : i) l’achat d’ordinateurs portables et de matériel connexe à l’appui de l’initiative sur la continuité des opérations;  et ii) le recours à des services de conseil en matière de gestion de la base de données tels que mentionnés ci</w:t>
      </w:r>
      <w:r w:rsidRPr="002B50EA">
        <w:rPr>
          <w:rFonts w:ascii="Arial" w:hAnsi="Arial" w:cs="Arial"/>
          <w:color w:val="000000"/>
          <w:sz w:val="20"/>
          <w:lang w:eastAsia="zh-CN"/>
        </w:rPr>
        <w:noBreakHyphen/>
        <w:t>dessus, et, d’autre part, la réaffectation des sommes non dépensées en 2016 par la Division des technologies de l’information pour prendre en charge d’autres priorités de l’Organisation en 2017, au titre du résultat escompté IX.1 (Services d’appui efficaces, efficients, de qualité et tournés vers la clientèle).</w:t>
      </w:r>
    </w:p>
    <w:p w14:paraId="6FE7C709" w14:textId="77777777" w:rsidR="00F96912" w:rsidRPr="002B50EA" w:rsidRDefault="00F96912" w:rsidP="00F96912">
      <w:pPr>
        <w:jc w:val="both"/>
        <w:rPr>
          <w:sz w:val="20"/>
        </w:rPr>
      </w:pPr>
    </w:p>
    <w:p w14:paraId="29CB9D48" w14:textId="77777777" w:rsidR="00F96912" w:rsidRPr="002B50EA" w:rsidRDefault="00F96912" w:rsidP="00F96912">
      <w:pPr>
        <w:jc w:val="both"/>
        <w:rPr>
          <w:sz w:val="20"/>
          <w:u w:val="single"/>
        </w:rPr>
      </w:pPr>
      <w:r w:rsidRPr="002B50EA">
        <w:rPr>
          <w:sz w:val="20"/>
        </w:rPr>
        <w:t>B.</w:t>
      </w:r>
      <w:r w:rsidRPr="002B50EA">
        <w:rPr>
          <w:sz w:val="20"/>
        </w:rPr>
        <w:tab/>
      </w:r>
      <w:r w:rsidRPr="002B50EA">
        <w:rPr>
          <w:sz w:val="20"/>
          <w:u w:val="single"/>
        </w:rPr>
        <w:t>Utilisation du budget 2016</w:t>
      </w:r>
      <w:r w:rsidRPr="002B50EA">
        <w:rPr>
          <w:sz w:val="20"/>
          <w:u w:val="single"/>
        </w:rPr>
        <w:noBreakHyphen/>
        <w:t>2017</w:t>
      </w:r>
    </w:p>
    <w:p w14:paraId="035DA25C" w14:textId="77777777" w:rsidR="00F96912" w:rsidRPr="002B50EA" w:rsidRDefault="00F96912" w:rsidP="00F96912">
      <w:pPr>
        <w:jc w:val="both"/>
        <w:rPr>
          <w:sz w:val="20"/>
        </w:rPr>
      </w:pPr>
    </w:p>
    <w:p w14:paraId="3A2A56AC" w14:textId="77777777" w:rsidR="00F96912" w:rsidRPr="002B50EA" w:rsidRDefault="00F96912" w:rsidP="00D544B8">
      <w:pPr>
        <w:pStyle w:val="ListParagraph"/>
        <w:numPr>
          <w:ilvl w:val="0"/>
          <w:numId w:val="35"/>
        </w:numPr>
        <w:tabs>
          <w:tab w:val="left" w:pos="0"/>
          <w:tab w:val="left" w:pos="709"/>
        </w:tabs>
        <w:autoSpaceDE w:val="0"/>
        <w:autoSpaceDN w:val="0"/>
        <w:ind w:left="0" w:firstLine="0"/>
        <w:jc w:val="both"/>
        <w:rPr>
          <w:rFonts w:ascii="Arial" w:hAnsi="Arial" w:cs="Arial"/>
          <w:color w:val="000000"/>
          <w:sz w:val="20"/>
          <w:lang w:eastAsia="zh-CN"/>
        </w:rPr>
      </w:pPr>
      <w:r w:rsidRPr="002B50EA">
        <w:rPr>
          <w:rFonts w:ascii="Arial" w:hAnsi="Arial" w:cs="Arial"/>
          <w:color w:val="000000"/>
          <w:sz w:val="20"/>
          <w:lang w:eastAsia="zh-CN"/>
        </w:rPr>
        <w:t>Le taux d’utilisation du budget pour les dépenses autres que les dépenses de personnel a été plus faible que prévu du fait de dépenses inférieures aux prévisions en ce qui concerne : i) les coûts relatifs à l’UNICC;  ii) la formation;  et iii) la gestion des services TIC et des relations avec les clients.</w:t>
      </w:r>
    </w:p>
    <w:p w14:paraId="054BE79E" w14:textId="77777777" w:rsidR="00F96912" w:rsidRPr="00CD000E" w:rsidRDefault="00F96912" w:rsidP="00F96912">
      <w:pPr>
        <w:rPr>
          <w:sz w:val="20"/>
        </w:rPr>
      </w:pPr>
    </w:p>
    <w:p w14:paraId="4C0157CA" w14:textId="77777777" w:rsidR="00F96912" w:rsidRPr="00CD000E" w:rsidRDefault="00F96912" w:rsidP="00F96912">
      <w:pPr>
        <w:rPr>
          <w:rFonts w:eastAsia="SimSun"/>
          <w:b/>
          <w:bCs/>
          <w:iCs/>
          <w:caps/>
          <w:szCs w:val="28"/>
        </w:rPr>
      </w:pPr>
      <w:r w:rsidRPr="00CD000E">
        <w:rPr>
          <w:b/>
        </w:rPr>
        <w:br w:type="page"/>
      </w:r>
    </w:p>
    <w:p w14:paraId="6A91AD7B" w14:textId="77777777" w:rsidR="00F96912" w:rsidRPr="00CD000E" w:rsidRDefault="00F96912" w:rsidP="0087680E">
      <w:pPr>
        <w:pStyle w:val="Heading3"/>
      </w:pPr>
      <w:bookmarkStart w:id="80" w:name="_Toc482774625"/>
      <w:r w:rsidRPr="00CD000E">
        <w:rPr>
          <w:color w:val="000000"/>
        </w:rPr>
        <w:t>P</w:t>
      </w:r>
      <w:r w:rsidRPr="00CD000E">
        <w:t>rogramme 26</w:t>
      </w:r>
      <w:r w:rsidRPr="00CD000E">
        <w:tab/>
        <w:t>Supervision interne</w:t>
      </w:r>
      <w:bookmarkEnd w:id="80"/>
    </w:p>
    <w:p w14:paraId="71B9445D" w14:textId="77777777" w:rsidR="00F96912" w:rsidRPr="00CD000E" w:rsidRDefault="00F96912" w:rsidP="00F96912">
      <w:pPr>
        <w:tabs>
          <w:tab w:val="left" w:pos="2268"/>
        </w:tabs>
        <w:ind w:left="2268" w:hanging="2268"/>
        <w:rPr>
          <w:sz w:val="20"/>
        </w:rPr>
      </w:pPr>
    </w:p>
    <w:p w14:paraId="6B808736" w14:textId="77777777" w:rsidR="00F96912" w:rsidRPr="00CD000E" w:rsidRDefault="00F96912" w:rsidP="00F96912">
      <w:pPr>
        <w:tabs>
          <w:tab w:val="left" w:pos="2268"/>
        </w:tabs>
        <w:ind w:left="2268" w:hanging="2268"/>
        <w:rPr>
          <w:b/>
          <w:sz w:val="20"/>
        </w:rPr>
      </w:pPr>
      <w:r w:rsidRPr="00CD000E">
        <w:rPr>
          <w:b/>
          <w:sz w:val="20"/>
        </w:rPr>
        <w:t>Chef de programme</w:t>
      </w:r>
      <w:r w:rsidRPr="00CD000E">
        <w:rPr>
          <w:b/>
          <w:sz w:val="20"/>
        </w:rPr>
        <w:tab/>
        <w:t>M. R. Singh</w:t>
      </w:r>
    </w:p>
    <w:p w14:paraId="3CD02452" w14:textId="77777777" w:rsidR="00F96912" w:rsidRPr="00CD000E" w:rsidRDefault="00F96912" w:rsidP="00F96912">
      <w:pPr>
        <w:tabs>
          <w:tab w:val="left" w:pos="1985"/>
        </w:tabs>
        <w:jc w:val="center"/>
        <w:rPr>
          <w:b/>
          <w:sz w:val="20"/>
        </w:rPr>
      </w:pPr>
      <w:r w:rsidRPr="00CD000E">
        <w:rPr>
          <w:noProof/>
          <w:lang w:val="en-US"/>
        </w:rPr>
        <w:drawing>
          <wp:inline distT="0" distB="0" distL="0" distR="0" wp14:anchorId="31BD0307" wp14:editId="3B29E6E7">
            <wp:extent cx="3960778" cy="273600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40"/>
        <w:gridCol w:w="2504"/>
        <w:gridCol w:w="1921"/>
        <w:gridCol w:w="1772"/>
        <w:gridCol w:w="1050"/>
      </w:tblGrid>
      <w:tr w:rsidR="00F96912" w:rsidRPr="00CD000E" w14:paraId="71261370" w14:textId="77777777" w:rsidTr="00851C67">
        <w:tc>
          <w:tcPr>
            <w:tcW w:w="5000" w:type="pct"/>
            <w:gridSpan w:val="5"/>
            <w:shd w:val="clear" w:color="auto" w:fill="C6D9F1" w:themeFill="text2" w:themeFillTint="33"/>
            <w:tcMar>
              <w:top w:w="57" w:type="dxa"/>
              <w:left w:w="58" w:type="dxa"/>
              <w:right w:w="58" w:type="dxa"/>
            </w:tcMar>
            <w:vAlign w:val="center"/>
          </w:tcPr>
          <w:p w14:paraId="180E2174" w14:textId="77777777" w:rsidR="00F96912" w:rsidRPr="00CD000E" w:rsidRDefault="00F96912" w:rsidP="006658D5">
            <w:pPr>
              <w:tabs>
                <w:tab w:val="left" w:pos="1452"/>
              </w:tabs>
              <w:rPr>
                <w:b/>
                <w:bCs/>
                <w:sz w:val="16"/>
                <w:szCs w:val="16"/>
              </w:rPr>
            </w:pPr>
            <w:r w:rsidRPr="00CD000E">
              <w:rPr>
                <w:b/>
                <w:bCs/>
                <w:sz w:val="16"/>
                <w:szCs w:val="16"/>
              </w:rPr>
              <w:t xml:space="preserve">Résultat escompté : </w:t>
            </w:r>
            <w:r w:rsidRPr="00CD000E">
              <w:rPr>
                <w:bCs/>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r>
      <w:tr w:rsidR="00F96912" w:rsidRPr="00CD000E" w14:paraId="0C4652BF" w14:textId="77777777" w:rsidTr="00851C67">
        <w:tc>
          <w:tcPr>
            <w:tcW w:w="1092" w:type="pct"/>
            <w:shd w:val="clear" w:color="auto" w:fill="auto"/>
            <w:tcMar>
              <w:top w:w="57" w:type="dxa"/>
              <w:left w:w="58" w:type="dxa"/>
              <w:right w:w="58" w:type="dxa"/>
            </w:tcMar>
            <w:vAlign w:val="center"/>
          </w:tcPr>
          <w:p w14:paraId="5CC4A7A5" w14:textId="77777777" w:rsidR="00F96912" w:rsidRPr="00CD000E" w:rsidRDefault="00F96912" w:rsidP="006658D5">
            <w:pPr>
              <w:jc w:val="center"/>
              <w:rPr>
                <w:b/>
                <w:bCs/>
                <w:sz w:val="16"/>
                <w:szCs w:val="16"/>
              </w:rPr>
            </w:pPr>
            <w:r w:rsidRPr="00CD000E">
              <w:rPr>
                <w:b/>
                <w:bCs/>
                <w:sz w:val="16"/>
                <w:szCs w:val="16"/>
              </w:rPr>
              <w:t>Indicateurs d’exécution</w:t>
            </w:r>
          </w:p>
        </w:tc>
        <w:tc>
          <w:tcPr>
            <w:tcW w:w="1398" w:type="pct"/>
            <w:shd w:val="clear" w:color="auto" w:fill="auto"/>
            <w:tcMar>
              <w:top w:w="57" w:type="dxa"/>
              <w:left w:w="58" w:type="dxa"/>
              <w:right w:w="58" w:type="dxa"/>
            </w:tcMar>
            <w:vAlign w:val="center"/>
          </w:tcPr>
          <w:p w14:paraId="7F605DCC" w14:textId="77777777" w:rsidR="00F96912" w:rsidRPr="00CD000E" w:rsidRDefault="00F96912" w:rsidP="006658D5">
            <w:pPr>
              <w:jc w:val="center"/>
              <w:rPr>
                <w:b/>
                <w:bCs/>
                <w:sz w:val="16"/>
                <w:szCs w:val="16"/>
              </w:rPr>
            </w:pPr>
            <w:r w:rsidRPr="00CD000E">
              <w:rPr>
                <w:b/>
                <w:bCs/>
                <w:sz w:val="16"/>
                <w:szCs w:val="16"/>
              </w:rPr>
              <w:t>Niveaux de référence</w:t>
            </w:r>
          </w:p>
        </w:tc>
        <w:tc>
          <w:tcPr>
            <w:tcW w:w="1081" w:type="pct"/>
            <w:shd w:val="clear" w:color="auto" w:fill="auto"/>
            <w:tcMar>
              <w:top w:w="57" w:type="dxa"/>
              <w:left w:w="58" w:type="dxa"/>
              <w:right w:w="58" w:type="dxa"/>
            </w:tcMar>
            <w:vAlign w:val="center"/>
          </w:tcPr>
          <w:p w14:paraId="2EFB5ACA"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000" w:type="pct"/>
            <w:shd w:val="clear" w:color="auto" w:fill="FFFFFF"/>
            <w:tcMar>
              <w:top w:w="57" w:type="dxa"/>
              <w:left w:w="58" w:type="dxa"/>
              <w:right w:w="58" w:type="dxa"/>
            </w:tcMar>
            <w:vAlign w:val="center"/>
          </w:tcPr>
          <w:p w14:paraId="7BD6BEA3"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429" w:type="pct"/>
            <w:shd w:val="clear" w:color="auto" w:fill="auto"/>
            <w:tcMar>
              <w:top w:w="57" w:type="dxa"/>
              <w:left w:w="58" w:type="dxa"/>
              <w:right w:w="58" w:type="dxa"/>
            </w:tcMar>
            <w:vAlign w:val="center"/>
          </w:tcPr>
          <w:p w14:paraId="785C6973" w14:textId="77777777" w:rsidR="00F96912" w:rsidRPr="00CD000E" w:rsidRDefault="00F96912" w:rsidP="006658D5">
            <w:pPr>
              <w:jc w:val="center"/>
              <w:rPr>
                <w:b/>
                <w:bCs/>
                <w:sz w:val="16"/>
                <w:szCs w:val="16"/>
              </w:rPr>
            </w:pPr>
            <w:r w:rsidRPr="00CD000E">
              <w:rPr>
                <w:b/>
                <w:bCs/>
                <w:sz w:val="16"/>
                <w:szCs w:val="16"/>
              </w:rPr>
              <w:t>Code d’évaluation</w:t>
            </w:r>
          </w:p>
        </w:tc>
      </w:tr>
      <w:tr w:rsidR="00F96912" w:rsidRPr="00CD000E" w14:paraId="54EAE497" w14:textId="77777777" w:rsidTr="00851C67">
        <w:trPr>
          <w:trHeight w:val="4571"/>
        </w:trPr>
        <w:tc>
          <w:tcPr>
            <w:tcW w:w="1092" w:type="pct"/>
            <w:shd w:val="clear" w:color="auto" w:fill="auto"/>
            <w:tcMar>
              <w:top w:w="57" w:type="dxa"/>
              <w:left w:w="58" w:type="dxa"/>
              <w:right w:w="58" w:type="dxa"/>
            </w:tcMar>
          </w:tcPr>
          <w:p w14:paraId="00E12782" w14:textId="77777777" w:rsidR="00F96912" w:rsidRPr="00A05E50" w:rsidRDefault="00F96912" w:rsidP="006658D5">
            <w:pPr>
              <w:rPr>
                <w:color w:val="000000"/>
                <w:sz w:val="16"/>
                <w:szCs w:val="16"/>
              </w:rPr>
            </w:pPr>
            <w:r w:rsidRPr="00A05E50">
              <w:rPr>
                <w:sz w:val="16"/>
                <w:szCs w:val="16"/>
              </w:rPr>
              <w:t>INDÉPEND</w:t>
            </w:r>
            <w:r w:rsidRPr="00A05E50">
              <w:rPr>
                <w:color w:val="000000"/>
                <w:sz w:val="16"/>
                <w:szCs w:val="16"/>
              </w:rPr>
              <w:t>A</w:t>
            </w:r>
            <w:r w:rsidRPr="00A05E50">
              <w:rPr>
                <w:sz w:val="16"/>
                <w:szCs w:val="16"/>
              </w:rPr>
              <w:t>NCE – Non</w:t>
            </w:r>
            <w:r w:rsidRPr="00A05E50">
              <w:rPr>
                <w:sz w:val="16"/>
                <w:szCs w:val="16"/>
              </w:rPr>
              <w:noBreakHyphen/>
              <w:t>ingérence et indépendance perçue par les principales parties prenantes</w:t>
            </w:r>
          </w:p>
        </w:tc>
        <w:tc>
          <w:tcPr>
            <w:tcW w:w="1398" w:type="pct"/>
            <w:shd w:val="clear" w:color="auto" w:fill="auto"/>
            <w:tcMar>
              <w:top w:w="57" w:type="dxa"/>
              <w:left w:w="58" w:type="dxa"/>
              <w:right w:w="58" w:type="dxa"/>
            </w:tcMar>
          </w:tcPr>
          <w:p w14:paraId="58B54997" w14:textId="77777777" w:rsidR="00F96912" w:rsidRPr="00A05E50" w:rsidRDefault="00F96912" w:rsidP="006658D5">
            <w:pPr>
              <w:rPr>
                <w:i/>
                <w:color w:val="002060"/>
                <w:sz w:val="16"/>
                <w:szCs w:val="16"/>
              </w:rPr>
            </w:pPr>
            <w:r w:rsidRPr="00A05E50">
              <w:rPr>
                <w:i/>
                <w:color w:val="002060"/>
                <w:sz w:val="16"/>
                <w:szCs w:val="16"/>
              </w:rPr>
              <w:t>Niveau de référence actualisé à fin</w:t>
            </w:r>
            <w:r>
              <w:rPr>
                <w:i/>
                <w:color w:val="002060"/>
                <w:sz w:val="16"/>
                <w:szCs w:val="16"/>
              </w:rPr>
              <w:t> </w:t>
            </w:r>
            <w:r w:rsidRPr="00A05E50">
              <w:rPr>
                <w:i/>
                <w:color w:val="002060"/>
                <w:sz w:val="16"/>
                <w:szCs w:val="16"/>
              </w:rPr>
              <w:t>2015 :</w:t>
            </w:r>
          </w:p>
          <w:p w14:paraId="3DD51BDF" w14:textId="77777777" w:rsidR="00F96912" w:rsidRPr="00A05E50" w:rsidRDefault="00F96912" w:rsidP="006658D5">
            <w:pPr>
              <w:rPr>
                <w:color w:val="002060"/>
                <w:sz w:val="16"/>
                <w:szCs w:val="16"/>
                <w:lang w:bidi="th-TH"/>
              </w:rPr>
            </w:pPr>
            <w:r w:rsidRPr="00A05E50">
              <w:rPr>
                <w:color w:val="002060"/>
                <w:sz w:val="16"/>
                <w:szCs w:val="16"/>
                <w:lang w:bidi="th-TH"/>
              </w:rPr>
              <w:t>Aucune ingérence dans les travaux de la Division de la supervision interne (DSI), ainsi qu’il ressort des rapports annuels publiés sous les cotes WO/PBC/22/4 et WO/PBC/24/6</w:t>
            </w:r>
          </w:p>
          <w:p w14:paraId="339AFC2D" w14:textId="77777777" w:rsidR="00F96912" w:rsidRPr="00A05E50" w:rsidRDefault="00F96912" w:rsidP="006658D5">
            <w:pPr>
              <w:rPr>
                <w:sz w:val="16"/>
                <w:szCs w:val="16"/>
                <w:lang w:bidi="th-TH"/>
              </w:rPr>
            </w:pPr>
          </w:p>
          <w:p w14:paraId="5BC90CBC" w14:textId="77777777" w:rsidR="00F96912" w:rsidRPr="00A05E50" w:rsidRDefault="00F96912" w:rsidP="006658D5">
            <w:pPr>
              <w:rPr>
                <w:sz w:val="16"/>
                <w:szCs w:val="16"/>
                <w:lang w:bidi="th-TH"/>
              </w:rPr>
            </w:pPr>
            <w:r w:rsidRPr="00A05E50">
              <w:rPr>
                <w:sz w:val="16"/>
                <w:szCs w:val="16"/>
                <w:lang w:bidi="th-TH"/>
              </w:rPr>
              <w:t>Le directeur de la DSI s’est entretenu régulièrement avec le Directeur général, l’OCIS et, le cas échéant, les représentants des États membres</w:t>
            </w:r>
          </w:p>
          <w:p w14:paraId="4AFA5F97" w14:textId="77777777" w:rsidR="00F96912" w:rsidRPr="00A05E50" w:rsidRDefault="00F96912" w:rsidP="006658D5">
            <w:pPr>
              <w:rPr>
                <w:sz w:val="16"/>
                <w:szCs w:val="16"/>
                <w:lang w:bidi="th-TH"/>
              </w:rPr>
            </w:pPr>
          </w:p>
          <w:p w14:paraId="0231EECA" w14:textId="77777777" w:rsidR="00F96912" w:rsidRPr="00A05E50" w:rsidRDefault="00F96912" w:rsidP="006658D5">
            <w:pPr>
              <w:rPr>
                <w:sz w:val="16"/>
                <w:szCs w:val="16"/>
                <w:lang w:bidi="th-TH"/>
              </w:rPr>
            </w:pPr>
            <w:r w:rsidRPr="00A05E50">
              <w:rPr>
                <w:sz w:val="16"/>
                <w:szCs w:val="16"/>
                <w:lang w:bidi="th-TH"/>
              </w:rPr>
              <w:t>Les cas d’atteintes perçues à l’indépendance ont été renvoyés à l’OCIS conformément au paragraphe 18 de la charte</w:t>
            </w:r>
          </w:p>
          <w:p w14:paraId="50A26112" w14:textId="77777777" w:rsidR="00F96912" w:rsidRPr="00A05E50" w:rsidRDefault="00F96912" w:rsidP="006658D5">
            <w:pPr>
              <w:rPr>
                <w:sz w:val="16"/>
                <w:szCs w:val="16"/>
                <w:lang w:bidi="th-TH"/>
              </w:rPr>
            </w:pPr>
          </w:p>
          <w:p w14:paraId="0072D765" w14:textId="77777777" w:rsidR="00F96912" w:rsidRPr="00A05E50" w:rsidRDefault="00F96912" w:rsidP="006658D5">
            <w:pPr>
              <w:rPr>
                <w:color w:val="000000"/>
                <w:sz w:val="16"/>
                <w:szCs w:val="16"/>
              </w:rPr>
            </w:pPr>
            <w:r w:rsidRPr="00A05E50">
              <w:rPr>
                <w:i/>
                <w:sz w:val="16"/>
                <w:szCs w:val="16"/>
                <w:lang w:bidi="th-TH"/>
              </w:rPr>
              <w:t>Niveau de référence initial dans le programme et budget 2016</w:t>
            </w:r>
            <w:r w:rsidRPr="00A05E50">
              <w:rPr>
                <w:i/>
                <w:sz w:val="16"/>
                <w:szCs w:val="16"/>
                <w:lang w:bidi="th-TH"/>
              </w:rPr>
              <w:noBreakHyphen/>
              <w:t xml:space="preserve">2017 : </w:t>
            </w:r>
            <w:r w:rsidRPr="00A05E50">
              <w:rPr>
                <w:color w:val="000000"/>
                <w:sz w:val="16"/>
                <w:szCs w:val="16"/>
              </w:rPr>
              <w:br/>
              <w:t>Aucune ingérence dans les travaux de la DSI</w:t>
            </w:r>
          </w:p>
        </w:tc>
        <w:tc>
          <w:tcPr>
            <w:tcW w:w="1081" w:type="pct"/>
            <w:shd w:val="clear" w:color="auto" w:fill="auto"/>
            <w:tcMar>
              <w:top w:w="57" w:type="dxa"/>
              <w:left w:w="58" w:type="dxa"/>
              <w:right w:w="58" w:type="dxa"/>
            </w:tcMar>
          </w:tcPr>
          <w:p w14:paraId="50BDFEBA" w14:textId="77777777" w:rsidR="00F96912" w:rsidRPr="00A05E50" w:rsidRDefault="00F96912" w:rsidP="006658D5">
            <w:pPr>
              <w:rPr>
                <w:color w:val="000000"/>
                <w:sz w:val="16"/>
                <w:szCs w:val="16"/>
              </w:rPr>
            </w:pPr>
            <w:r w:rsidRPr="00A05E50">
              <w:rPr>
                <w:sz w:val="16"/>
                <w:szCs w:val="16"/>
              </w:rPr>
              <w:t>Aucune ingérence dans les travaux de la DSI</w:t>
            </w:r>
          </w:p>
        </w:tc>
        <w:tc>
          <w:tcPr>
            <w:tcW w:w="1000" w:type="pct"/>
            <w:shd w:val="clear" w:color="auto" w:fill="FFFFFF"/>
            <w:tcMar>
              <w:top w:w="57" w:type="dxa"/>
              <w:left w:w="58" w:type="dxa"/>
              <w:right w:w="58" w:type="dxa"/>
            </w:tcMar>
          </w:tcPr>
          <w:p w14:paraId="23E218E3" w14:textId="77777777" w:rsidR="00F96912" w:rsidRPr="00A05E50" w:rsidRDefault="00F96912" w:rsidP="006658D5">
            <w:pPr>
              <w:rPr>
                <w:sz w:val="16"/>
                <w:szCs w:val="16"/>
                <w:lang w:bidi="th-TH"/>
              </w:rPr>
            </w:pPr>
            <w:r w:rsidRPr="00A05E50">
              <w:rPr>
                <w:sz w:val="16"/>
                <w:szCs w:val="16"/>
                <w:lang w:bidi="th-TH"/>
              </w:rPr>
              <w:t>Aucune ingérence dans les travaux de la DSI, ainsi qu’il ressort des rapports annuels publiés sous les cotes WO/PBC/24/6</w:t>
            </w:r>
            <w:r w:rsidRPr="00A05E50">
              <w:rPr>
                <w:rStyle w:val="FootnoteReference"/>
                <w:rFonts w:cs="Arial"/>
                <w:lang w:bidi="th-TH"/>
              </w:rPr>
              <w:footnoteReference w:id="102"/>
            </w:r>
            <w:r w:rsidRPr="00A05E50">
              <w:rPr>
                <w:sz w:val="16"/>
                <w:szCs w:val="16"/>
                <w:lang w:bidi="th-TH"/>
              </w:rPr>
              <w:t xml:space="preserve"> et WO/PBC/25/5</w:t>
            </w:r>
            <w:r w:rsidRPr="00A05E50">
              <w:rPr>
                <w:rStyle w:val="FootnoteReference"/>
                <w:rFonts w:cs="Arial"/>
                <w:lang w:bidi="th-TH"/>
              </w:rPr>
              <w:footnoteReference w:id="103"/>
            </w:r>
          </w:p>
          <w:p w14:paraId="33E19050" w14:textId="77777777" w:rsidR="00F96912" w:rsidRPr="00A05E50" w:rsidRDefault="00F96912" w:rsidP="006658D5">
            <w:pPr>
              <w:rPr>
                <w:sz w:val="16"/>
                <w:szCs w:val="16"/>
                <w:lang w:bidi="th-TH"/>
              </w:rPr>
            </w:pPr>
          </w:p>
          <w:p w14:paraId="6F6A0A5A" w14:textId="77777777" w:rsidR="00F96912" w:rsidRPr="00A05E50" w:rsidRDefault="00F96912" w:rsidP="006658D5">
            <w:pPr>
              <w:rPr>
                <w:sz w:val="16"/>
                <w:szCs w:val="16"/>
                <w:lang w:bidi="th-TH"/>
              </w:rPr>
            </w:pPr>
            <w:r w:rsidRPr="00A05E50">
              <w:rPr>
                <w:sz w:val="16"/>
                <w:szCs w:val="16"/>
                <w:lang w:bidi="th-TH"/>
              </w:rPr>
              <w:t>Le directeur par intérim de la DSI s’est entretenu régulièrement avec le Directeur général, l’OCIS et, le cas échéant, les représentants des États membres</w:t>
            </w:r>
          </w:p>
          <w:p w14:paraId="521C0EDD" w14:textId="77777777" w:rsidR="00F96912" w:rsidRPr="00A05E50" w:rsidRDefault="00F96912" w:rsidP="006658D5">
            <w:pPr>
              <w:rPr>
                <w:sz w:val="16"/>
                <w:szCs w:val="16"/>
                <w:lang w:bidi="th-TH"/>
              </w:rPr>
            </w:pPr>
          </w:p>
          <w:p w14:paraId="19730AFB" w14:textId="77777777" w:rsidR="00F96912" w:rsidRPr="00A05E50" w:rsidRDefault="00F96912" w:rsidP="006658D5">
            <w:pPr>
              <w:rPr>
                <w:color w:val="000000"/>
                <w:sz w:val="16"/>
                <w:szCs w:val="16"/>
              </w:rPr>
            </w:pPr>
            <w:r w:rsidRPr="00A05E50">
              <w:rPr>
                <w:sz w:val="16"/>
                <w:szCs w:val="16"/>
                <w:lang w:bidi="th-TH"/>
              </w:rPr>
              <w:t>Les cas d’atteintes perçues à l’indépendance ont été renvoyés à l’OCIS conformément au paragraphe 18 de la charte</w:t>
            </w:r>
          </w:p>
        </w:tc>
        <w:tc>
          <w:tcPr>
            <w:tcW w:w="429" w:type="pct"/>
            <w:shd w:val="clear" w:color="auto" w:fill="auto"/>
            <w:tcMar>
              <w:top w:w="57" w:type="dxa"/>
              <w:left w:w="58" w:type="dxa"/>
              <w:right w:w="58" w:type="dxa"/>
            </w:tcMar>
          </w:tcPr>
          <w:p w14:paraId="6D78F8BA" w14:textId="77777777" w:rsidR="00F96912" w:rsidRPr="00CD000E" w:rsidRDefault="00F96912" w:rsidP="006658D5">
            <w:pPr>
              <w:jc w:val="center"/>
              <w:rPr>
                <w:color w:val="000000"/>
                <w:sz w:val="16"/>
                <w:szCs w:val="16"/>
              </w:rPr>
            </w:pPr>
            <w:r w:rsidRPr="00A05E50">
              <w:rPr>
                <w:b/>
                <w:color w:val="00B050"/>
                <w:sz w:val="16"/>
                <w:szCs w:val="16"/>
              </w:rPr>
              <w:t>En bonne voie</w:t>
            </w:r>
          </w:p>
        </w:tc>
      </w:tr>
      <w:tr w:rsidR="00F96912" w:rsidRPr="00CD000E" w14:paraId="4D5B681B" w14:textId="77777777" w:rsidTr="00851C67">
        <w:tc>
          <w:tcPr>
            <w:tcW w:w="1092" w:type="pct"/>
            <w:shd w:val="clear" w:color="auto" w:fill="auto"/>
            <w:tcMar>
              <w:top w:w="28" w:type="dxa"/>
              <w:left w:w="58" w:type="dxa"/>
              <w:bottom w:w="28" w:type="dxa"/>
              <w:right w:w="58" w:type="dxa"/>
            </w:tcMar>
          </w:tcPr>
          <w:p w14:paraId="525059C8" w14:textId="77777777" w:rsidR="00F96912" w:rsidRPr="00CD000E" w:rsidRDefault="00F96912" w:rsidP="004E4A91">
            <w:pPr>
              <w:keepLines/>
              <w:rPr>
                <w:color w:val="000000"/>
                <w:sz w:val="16"/>
                <w:szCs w:val="16"/>
              </w:rPr>
            </w:pPr>
            <w:r w:rsidRPr="00CD000E">
              <w:rPr>
                <w:sz w:val="16"/>
                <w:szCs w:val="16"/>
              </w:rPr>
              <w:t>EFF</w:t>
            </w:r>
            <w:r w:rsidRPr="00CD000E">
              <w:rPr>
                <w:color w:val="000000"/>
                <w:sz w:val="16"/>
                <w:szCs w:val="16"/>
              </w:rPr>
              <w:t>ICACIT</w:t>
            </w:r>
            <w:r w:rsidRPr="00CD000E">
              <w:rPr>
                <w:sz w:val="16"/>
                <w:szCs w:val="16"/>
              </w:rPr>
              <w:t>É – Pourcentage des travaux qui couvrent des domaines à haut risque, de la plus haute importance, en conformité avec la stratégie de l’Organisation</w:t>
            </w:r>
          </w:p>
        </w:tc>
        <w:tc>
          <w:tcPr>
            <w:tcW w:w="1398" w:type="pct"/>
            <w:shd w:val="clear" w:color="auto" w:fill="auto"/>
            <w:tcMar>
              <w:top w:w="28" w:type="dxa"/>
              <w:left w:w="58" w:type="dxa"/>
              <w:bottom w:w="28" w:type="dxa"/>
              <w:right w:w="58" w:type="dxa"/>
            </w:tcMar>
          </w:tcPr>
          <w:p w14:paraId="6F914131" w14:textId="77777777" w:rsidR="00F96912" w:rsidRPr="00A05E50" w:rsidRDefault="00F96912" w:rsidP="004E4A91">
            <w:pPr>
              <w:keepLines/>
              <w:rPr>
                <w:i/>
                <w:color w:val="002060"/>
                <w:sz w:val="16"/>
                <w:szCs w:val="16"/>
              </w:rPr>
            </w:pPr>
            <w:r w:rsidRPr="00A05E50">
              <w:rPr>
                <w:i/>
                <w:color w:val="002060"/>
                <w:sz w:val="16"/>
                <w:szCs w:val="16"/>
              </w:rPr>
              <w:t>Niveau de référence actualisé à fin</w:t>
            </w:r>
            <w:r>
              <w:rPr>
                <w:i/>
                <w:color w:val="002060"/>
                <w:sz w:val="16"/>
                <w:szCs w:val="16"/>
              </w:rPr>
              <w:t> </w:t>
            </w:r>
            <w:r w:rsidRPr="00A05E50">
              <w:rPr>
                <w:i/>
                <w:color w:val="002060"/>
                <w:sz w:val="16"/>
                <w:szCs w:val="16"/>
              </w:rPr>
              <w:t>2015 :</w:t>
            </w:r>
          </w:p>
          <w:p w14:paraId="327EF873" w14:textId="77777777" w:rsidR="00F96912" w:rsidRPr="00A05E50" w:rsidRDefault="00F96912" w:rsidP="004E4A91">
            <w:pPr>
              <w:keepLines/>
              <w:rPr>
                <w:color w:val="002060"/>
                <w:sz w:val="16"/>
                <w:szCs w:val="16"/>
              </w:rPr>
            </w:pPr>
            <w:r w:rsidRPr="00A05E50">
              <w:rPr>
                <w:color w:val="002060"/>
                <w:sz w:val="16"/>
                <w:szCs w:val="16"/>
              </w:rPr>
              <w:t>Tous les travaux (100%) ont couvert des secteurs à haut risque ou de la plus haute importance</w:t>
            </w:r>
          </w:p>
          <w:p w14:paraId="4C0E3329" w14:textId="77777777" w:rsidR="00F96912" w:rsidRPr="00CD000E" w:rsidRDefault="00F96912" w:rsidP="004E4A91">
            <w:pPr>
              <w:keepLines/>
              <w:rPr>
                <w:i/>
                <w:sz w:val="16"/>
                <w:szCs w:val="16"/>
                <w:lang w:bidi="th-TH"/>
              </w:rPr>
            </w:pPr>
          </w:p>
          <w:p w14:paraId="57CD8E80" w14:textId="77777777" w:rsidR="00F96912" w:rsidRDefault="00F96912" w:rsidP="004E4A91">
            <w:pPr>
              <w:keepLines/>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20038F3A" w14:textId="77777777" w:rsidR="00851C67" w:rsidRPr="00CD000E" w:rsidRDefault="00851C67" w:rsidP="004E4A91">
            <w:pPr>
              <w:keepLines/>
              <w:rPr>
                <w:i/>
                <w:sz w:val="16"/>
                <w:szCs w:val="16"/>
                <w:lang w:bidi="th-TH"/>
              </w:rPr>
            </w:pPr>
          </w:p>
          <w:p w14:paraId="00EC5691" w14:textId="77777777" w:rsidR="00851C67" w:rsidRDefault="00851C67" w:rsidP="004E4A91">
            <w:pPr>
              <w:keepLines/>
              <w:rPr>
                <w:sz w:val="16"/>
                <w:szCs w:val="16"/>
              </w:rPr>
            </w:pPr>
          </w:p>
          <w:p w14:paraId="03E09FD7" w14:textId="77777777" w:rsidR="00F96912" w:rsidRPr="00CD000E" w:rsidRDefault="00F96912" w:rsidP="004E4A91">
            <w:pPr>
              <w:keepLines/>
              <w:rPr>
                <w:color w:val="000000"/>
                <w:sz w:val="16"/>
                <w:szCs w:val="16"/>
              </w:rPr>
            </w:pPr>
            <w:r w:rsidRPr="00CD000E">
              <w:rPr>
                <w:sz w:val="16"/>
                <w:szCs w:val="16"/>
              </w:rPr>
              <w:t xml:space="preserve">Tous les travaux (100%) couvrent des secteurs à haut risque </w:t>
            </w:r>
            <w:r w:rsidRPr="00CD000E">
              <w:rPr>
                <w:color w:val="000000"/>
                <w:sz w:val="16"/>
                <w:szCs w:val="16"/>
              </w:rPr>
              <w:t xml:space="preserve">ou </w:t>
            </w:r>
            <w:r w:rsidRPr="00CD000E">
              <w:rPr>
                <w:sz w:val="16"/>
                <w:szCs w:val="16"/>
              </w:rPr>
              <w:t>de la plus haute importance</w:t>
            </w:r>
          </w:p>
        </w:tc>
        <w:tc>
          <w:tcPr>
            <w:tcW w:w="1081" w:type="pct"/>
            <w:shd w:val="clear" w:color="auto" w:fill="auto"/>
            <w:tcMar>
              <w:top w:w="28" w:type="dxa"/>
              <w:left w:w="58" w:type="dxa"/>
              <w:bottom w:w="28" w:type="dxa"/>
              <w:right w:w="58" w:type="dxa"/>
            </w:tcMar>
          </w:tcPr>
          <w:p w14:paraId="5B60BEB0" w14:textId="77777777" w:rsidR="00F96912" w:rsidRPr="00CD000E" w:rsidRDefault="00F96912" w:rsidP="004E4A91">
            <w:pPr>
              <w:keepLines/>
              <w:rPr>
                <w:color w:val="000000"/>
                <w:sz w:val="16"/>
                <w:szCs w:val="16"/>
              </w:rPr>
            </w:pPr>
            <w:r w:rsidRPr="00CD000E">
              <w:rPr>
                <w:sz w:val="16"/>
                <w:szCs w:val="16"/>
              </w:rPr>
              <w:t>Tous les travaux (100%) couvrent des secteurs à haut risque</w:t>
            </w:r>
            <w:r w:rsidRPr="00CD000E">
              <w:rPr>
                <w:color w:val="000000"/>
                <w:sz w:val="16"/>
                <w:szCs w:val="16"/>
              </w:rPr>
              <w:t xml:space="preserve"> ou</w:t>
            </w:r>
            <w:r w:rsidRPr="00CD000E">
              <w:rPr>
                <w:sz w:val="16"/>
                <w:szCs w:val="16"/>
              </w:rPr>
              <w:t xml:space="preserve"> de la plus haute importance, en conformité avec les objectifs stratégiques de l’OMPI</w:t>
            </w:r>
          </w:p>
        </w:tc>
        <w:tc>
          <w:tcPr>
            <w:tcW w:w="1000" w:type="pct"/>
            <w:shd w:val="clear" w:color="auto" w:fill="FFFFFF"/>
            <w:tcMar>
              <w:top w:w="28" w:type="dxa"/>
              <w:left w:w="58" w:type="dxa"/>
              <w:bottom w:w="28" w:type="dxa"/>
              <w:right w:w="58" w:type="dxa"/>
            </w:tcMar>
          </w:tcPr>
          <w:p w14:paraId="29805FFF" w14:textId="77777777" w:rsidR="00F96912" w:rsidRPr="00CD000E" w:rsidRDefault="00F96912" w:rsidP="004E4A91">
            <w:pPr>
              <w:keepLines/>
              <w:rPr>
                <w:color w:val="000000"/>
                <w:sz w:val="16"/>
                <w:szCs w:val="16"/>
              </w:rPr>
            </w:pPr>
            <w:r w:rsidRPr="00CD000E">
              <w:rPr>
                <w:sz w:val="16"/>
                <w:szCs w:val="16"/>
              </w:rPr>
              <w:t xml:space="preserve">Tous les travaux (100%) </w:t>
            </w:r>
            <w:r w:rsidRPr="00CD000E">
              <w:rPr>
                <w:color w:val="000000"/>
                <w:sz w:val="16"/>
                <w:szCs w:val="16"/>
              </w:rPr>
              <w:t xml:space="preserve">ont couvert </w:t>
            </w:r>
            <w:r w:rsidRPr="00CD000E">
              <w:rPr>
                <w:sz w:val="16"/>
                <w:szCs w:val="16"/>
              </w:rPr>
              <w:t xml:space="preserve">des secteurs à haut risque </w:t>
            </w:r>
            <w:r w:rsidRPr="00CD000E">
              <w:rPr>
                <w:color w:val="000000"/>
                <w:sz w:val="16"/>
                <w:szCs w:val="16"/>
              </w:rPr>
              <w:t>ou</w:t>
            </w:r>
            <w:r w:rsidRPr="00CD000E">
              <w:rPr>
                <w:sz w:val="16"/>
                <w:szCs w:val="16"/>
              </w:rPr>
              <w:t xml:space="preserve"> de la plus haute importance</w:t>
            </w:r>
          </w:p>
        </w:tc>
        <w:tc>
          <w:tcPr>
            <w:tcW w:w="429" w:type="pct"/>
            <w:shd w:val="clear" w:color="auto" w:fill="auto"/>
            <w:tcMar>
              <w:top w:w="28" w:type="dxa"/>
              <w:left w:w="58" w:type="dxa"/>
              <w:bottom w:w="28" w:type="dxa"/>
              <w:right w:w="58" w:type="dxa"/>
            </w:tcMar>
          </w:tcPr>
          <w:p w14:paraId="3CEF8F5B" w14:textId="77777777" w:rsidR="00F96912" w:rsidRPr="00CD000E" w:rsidRDefault="00F96912" w:rsidP="004E4A91">
            <w:pPr>
              <w:keepLines/>
              <w:jc w:val="center"/>
              <w:rPr>
                <w:color w:val="000000"/>
                <w:sz w:val="16"/>
                <w:szCs w:val="16"/>
              </w:rPr>
            </w:pPr>
            <w:r w:rsidRPr="00CD000E">
              <w:rPr>
                <w:b/>
                <w:color w:val="00B050"/>
                <w:sz w:val="16"/>
                <w:szCs w:val="16"/>
              </w:rPr>
              <w:t>En bonne voie</w:t>
            </w:r>
          </w:p>
        </w:tc>
      </w:tr>
      <w:tr w:rsidR="00F96912" w:rsidRPr="00CD000E" w14:paraId="74CF4381" w14:textId="77777777" w:rsidTr="00851C67">
        <w:tc>
          <w:tcPr>
            <w:tcW w:w="1092" w:type="pct"/>
            <w:shd w:val="clear" w:color="auto" w:fill="auto"/>
            <w:tcMar>
              <w:top w:w="28" w:type="dxa"/>
              <w:left w:w="58" w:type="dxa"/>
              <w:bottom w:w="28" w:type="dxa"/>
              <w:right w:w="58" w:type="dxa"/>
            </w:tcMar>
          </w:tcPr>
          <w:p w14:paraId="46B5A9AD" w14:textId="77777777" w:rsidR="00F96912" w:rsidRPr="00A05E50" w:rsidRDefault="00F96912" w:rsidP="006658D5">
            <w:pPr>
              <w:keepNext/>
              <w:keepLines/>
              <w:rPr>
                <w:color w:val="000000"/>
                <w:sz w:val="16"/>
                <w:szCs w:val="16"/>
              </w:rPr>
            </w:pPr>
            <w:r w:rsidRPr="00A05E50">
              <w:rPr>
                <w:sz w:val="16"/>
                <w:szCs w:val="16"/>
              </w:rPr>
              <w:t>EFFICIENCE – les rapports de la DSI sont établis dans les délais et contiennent des recommandations précises, mesurables, réalistes, pertinentes et assorties de délais</w:t>
            </w:r>
          </w:p>
        </w:tc>
        <w:tc>
          <w:tcPr>
            <w:tcW w:w="1398" w:type="pct"/>
            <w:shd w:val="clear" w:color="auto" w:fill="auto"/>
            <w:tcMar>
              <w:top w:w="28" w:type="dxa"/>
              <w:left w:w="58" w:type="dxa"/>
              <w:bottom w:w="28" w:type="dxa"/>
              <w:right w:w="58" w:type="dxa"/>
            </w:tcMar>
          </w:tcPr>
          <w:p w14:paraId="423B31D5" w14:textId="77777777" w:rsidR="00F96912" w:rsidRPr="00A05E50" w:rsidRDefault="00F96912" w:rsidP="006658D5">
            <w:pPr>
              <w:keepNext/>
              <w:keepLines/>
              <w:rPr>
                <w:i/>
                <w:color w:val="002060"/>
                <w:sz w:val="16"/>
                <w:szCs w:val="16"/>
              </w:rPr>
            </w:pPr>
            <w:r w:rsidRPr="00A05E50">
              <w:rPr>
                <w:i/>
                <w:color w:val="002060"/>
                <w:sz w:val="16"/>
                <w:szCs w:val="16"/>
              </w:rPr>
              <w:t>Niveau de référence actualisé à fin</w:t>
            </w:r>
            <w:r>
              <w:rPr>
                <w:i/>
                <w:color w:val="002060"/>
                <w:sz w:val="16"/>
                <w:szCs w:val="16"/>
              </w:rPr>
              <w:t> </w:t>
            </w:r>
            <w:r w:rsidRPr="00A05E50">
              <w:rPr>
                <w:i/>
                <w:color w:val="002060"/>
                <w:sz w:val="16"/>
                <w:szCs w:val="16"/>
              </w:rPr>
              <w:t>2015 :</w:t>
            </w:r>
          </w:p>
          <w:p w14:paraId="73F38600" w14:textId="77777777" w:rsidR="00F96912" w:rsidRPr="00A05E50" w:rsidRDefault="00F96912" w:rsidP="006658D5">
            <w:pPr>
              <w:keepNext/>
              <w:keepLines/>
              <w:rPr>
                <w:color w:val="002060"/>
                <w:sz w:val="16"/>
                <w:szCs w:val="16"/>
                <w:lang w:bidi="th-TH"/>
              </w:rPr>
            </w:pPr>
            <w:r w:rsidRPr="00A05E50">
              <w:rPr>
                <w:color w:val="002060"/>
                <w:sz w:val="16"/>
                <w:szCs w:val="16"/>
                <w:lang w:bidi="th-TH"/>
              </w:rPr>
              <w:t>24% des rapports d’audit et d’évaluation établis en moins de 4 mois</w:t>
            </w:r>
          </w:p>
          <w:p w14:paraId="6068B518" w14:textId="77777777" w:rsidR="00F96912" w:rsidRPr="00A05E50" w:rsidRDefault="00F96912" w:rsidP="006658D5">
            <w:pPr>
              <w:keepNext/>
              <w:keepLines/>
              <w:rPr>
                <w:color w:val="002060"/>
                <w:sz w:val="16"/>
                <w:szCs w:val="16"/>
                <w:lang w:bidi="th-TH"/>
              </w:rPr>
            </w:pPr>
          </w:p>
          <w:p w14:paraId="6EBEA583" w14:textId="77777777" w:rsidR="00F96912" w:rsidRPr="00A05E50" w:rsidRDefault="00F96912" w:rsidP="006658D5">
            <w:pPr>
              <w:keepNext/>
              <w:keepLines/>
              <w:rPr>
                <w:color w:val="002060"/>
                <w:sz w:val="16"/>
                <w:szCs w:val="16"/>
                <w:lang w:bidi="th-TH"/>
              </w:rPr>
            </w:pPr>
            <w:r w:rsidRPr="00A05E50">
              <w:rPr>
                <w:color w:val="002060"/>
                <w:sz w:val="16"/>
                <w:szCs w:val="16"/>
                <w:lang w:bidi="th-TH"/>
              </w:rPr>
              <w:t>58% des rapports sur les activités d’enquête établis dans le délai prévu par la politique en matière d’enquêtes</w:t>
            </w:r>
          </w:p>
          <w:p w14:paraId="22E07F2A" w14:textId="77777777" w:rsidR="00F96912" w:rsidRPr="00A05E50" w:rsidRDefault="00F96912" w:rsidP="006658D5">
            <w:pPr>
              <w:keepNext/>
              <w:keepLines/>
              <w:rPr>
                <w:color w:val="002060"/>
                <w:sz w:val="16"/>
                <w:szCs w:val="16"/>
                <w:lang w:bidi="th-TH"/>
              </w:rPr>
            </w:pPr>
          </w:p>
          <w:p w14:paraId="24EF2DC8" w14:textId="77777777" w:rsidR="00F96912" w:rsidRPr="00A05E50" w:rsidRDefault="00F96912" w:rsidP="006658D5">
            <w:pPr>
              <w:keepNext/>
              <w:keepLines/>
              <w:rPr>
                <w:color w:val="002060"/>
                <w:sz w:val="16"/>
                <w:szCs w:val="16"/>
                <w:lang w:bidi="th-TH"/>
              </w:rPr>
            </w:pPr>
            <w:r w:rsidRPr="00A05E50">
              <w:rPr>
                <w:color w:val="002060"/>
                <w:sz w:val="16"/>
                <w:szCs w:val="16"/>
                <w:lang w:bidi="th-TH"/>
              </w:rPr>
              <w:t>88% des responsables percevaient les recommandations de la DSI comme étant précises, mesurables, réalistes, pertinentes et assorties de délais</w:t>
            </w:r>
          </w:p>
          <w:p w14:paraId="06BC0656" w14:textId="77777777" w:rsidR="00F96912" w:rsidRPr="00A05E50" w:rsidRDefault="00F96912" w:rsidP="006658D5">
            <w:pPr>
              <w:keepNext/>
              <w:keepLines/>
              <w:rPr>
                <w:i/>
                <w:color w:val="002060"/>
                <w:sz w:val="16"/>
                <w:szCs w:val="16"/>
                <w:u w:val="single"/>
                <w:lang w:bidi="th-TH"/>
              </w:rPr>
            </w:pPr>
          </w:p>
          <w:p w14:paraId="63A6E895" w14:textId="77777777" w:rsidR="00F96912" w:rsidRPr="00A05E50" w:rsidRDefault="00F96912" w:rsidP="006658D5">
            <w:pPr>
              <w:keepNext/>
              <w:keepLines/>
              <w:rPr>
                <w:i/>
                <w:sz w:val="16"/>
                <w:szCs w:val="16"/>
                <w:lang w:bidi="th-TH"/>
              </w:rPr>
            </w:pPr>
            <w:r w:rsidRPr="00A05E50">
              <w:rPr>
                <w:i/>
                <w:sz w:val="16"/>
                <w:szCs w:val="16"/>
                <w:lang w:bidi="th-TH"/>
              </w:rPr>
              <w:t>Niveau de référence initial dans le programme et budget 2016</w:t>
            </w:r>
            <w:r w:rsidRPr="00A05E50">
              <w:rPr>
                <w:i/>
                <w:sz w:val="16"/>
                <w:szCs w:val="16"/>
                <w:lang w:bidi="th-TH"/>
              </w:rPr>
              <w:noBreakHyphen/>
              <w:t>2017 :</w:t>
            </w:r>
          </w:p>
          <w:p w14:paraId="1535833C" w14:textId="77777777" w:rsidR="00F96912" w:rsidRPr="00A05E50" w:rsidRDefault="00F96912" w:rsidP="006658D5">
            <w:pPr>
              <w:keepNext/>
              <w:keepLines/>
              <w:rPr>
                <w:color w:val="000000"/>
                <w:sz w:val="16"/>
                <w:szCs w:val="16"/>
              </w:rPr>
            </w:pPr>
          </w:p>
          <w:p w14:paraId="40F845E0" w14:textId="77777777" w:rsidR="00F96912" w:rsidRPr="00A05E50" w:rsidRDefault="00F96912" w:rsidP="006658D5">
            <w:pPr>
              <w:keepNext/>
              <w:keepLines/>
              <w:rPr>
                <w:color w:val="000000"/>
                <w:sz w:val="16"/>
                <w:szCs w:val="16"/>
              </w:rPr>
            </w:pPr>
            <w:r w:rsidRPr="00A05E50">
              <w:rPr>
                <w:color w:val="000000"/>
                <w:sz w:val="16"/>
                <w:szCs w:val="16"/>
              </w:rPr>
              <w:t>75% des rapports d’audit et d’évaluation établis en moins de 4 mois</w:t>
            </w:r>
          </w:p>
          <w:p w14:paraId="0F9D7B3E" w14:textId="77777777" w:rsidR="00F96912" w:rsidRPr="00A05E50" w:rsidRDefault="00F96912" w:rsidP="006658D5">
            <w:pPr>
              <w:keepNext/>
              <w:keepLines/>
              <w:rPr>
                <w:color w:val="000000"/>
                <w:sz w:val="16"/>
                <w:szCs w:val="16"/>
              </w:rPr>
            </w:pPr>
            <w:r w:rsidRPr="00A05E50">
              <w:rPr>
                <w:color w:val="000000"/>
                <w:sz w:val="16"/>
                <w:szCs w:val="16"/>
              </w:rPr>
              <w:br/>
              <w:t>Tous les rapports sur les activités d’enquête établis conformément à la politique en matière d’enquêtes</w:t>
            </w:r>
          </w:p>
          <w:p w14:paraId="278DBD56" w14:textId="77777777" w:rsidR="00F96912" w:rsidRPr="00A05E50" w:rsidRDefault="00F96912" w:rsidP="006658D5">
            <w:pPr>
              <w:keepNext/>
              <w:keepLines/>
              <w:rPr>
                <w:color w:val="000000"/>
                <w:sz w:val="16"/>
                <w:szCs w:val="16"/>
              </w:rPr>
            </w:pPr>
            <w:r w:rsidRPr="00A05E50">
              <w:rPr>
                <w:color w:val="000000"/>
                <w:sz w:val="16"/>
                <w:szCs w:val="16"/>
              </w:rPr>
              <w:br/>
            </w:r>
            <w:r w:rsidRPr="00851C67">
              <w:rPr>
                <w:color w:val="002060"/>
                <w:sz w:val="16"/>
                <w:szCs w:val="16"/>
              </w:rPr>
              <w:t>75% d</w:t>
            </w:r>
            <w:r w:rsidRPr="00851C67">
              <w:rPr>
                <w:color w:val="002060"/>
                <w:sz w:val="16"/>
                <w:szCs w:val="16"/>
                <w:lang w:bidi="th-TH"/>
              </w:rPr>
              <w:t>es recommandations de la DSI sont précises, mesurables, réalistes, pertinentes et assorties de délais</w:t>
            </w:r>
          </w:p>
        </w:tc>
        <w:tc>
          <w:tcPr>
            <w:tcW w:w="1081" w:type="pct"/>
            <w:shd w:val="clear" w:color="auto" w:fill="auto"/>
            <w:tcMar>
              <w:top w:w="28" w:type="dxa"/>
              <w:left w:w="58" w:type="dxa"/>
              <w:bottom w:w="28" w:type="dxa"/>
              <w:right w:w="58" w:type="dxa"/>
            </w:tcMar>
          </w:tcPr>
          <w:p w14:paraId="03A54E7C" w14:textId="77777777" w:rsidR="00F96912" w:rsidRPr="00A05E50" w:rsidRDefault="00F96912" w:rsidP="006658D5">
            <w:pPr>
              <w:keepNext/>
              <w:keepLines/>
              <w:rPr>
                <w:i/>
                <w:color w:val="002060"/>
                <w:sz w:val="16"/>
                <w:szCs w:val="16"/>
              </w:rPr>
            </w:pPr>
            <w:r w:rsidRPr="00A05E50">
              <w:rPr>
                <w:i/>
                <w:color w:val="002060"/>
                <w:sz w:val="16"/>
                <w:szCs w:val="16"/>
              </w:rPr>
              <w:t>Objectif actualisé :</w:t>
            </w:r>
          </w:p>
          <w:p w14:paraId="77C08E09" w14:textId="77777777" w:rsidR="00F96912" w:rsidRPr="00A05E50" w:rsidRDefault="00F96912" w:rsidP="006658D5">
            <w:pPr>
              <w:keepNext/>
              <w:keepLines/>
              <w:rPr>
                <w:color w:val="000000"/>
                <w:sz w:val="16"/>
                <w:szCs w:val="16"/>
              </w:rPr>
            </w:pPr>
          </w:p>
          <w:p w14:paraId="3115E8CE" w14:textId="77777777" w:rsidR="00F96912" w:rsidRPr="00A05E50" w:rsidRDefault="00F96912" w:rsidP="006658D5">
            <w:pPr>
              <w:keepNext/>
              <w:keepLines/>
              <w:rPr>
                <w:color w:val="002060"/>
                <w:sz w:val="16"/>
                <w:szCs w:val="16"/>
                <w:lang w:bidi="th-TH"/>
              </w:rPr>
            </w:pPr>
            <w:r w:rsidRPr="00A05E50">
              <w:rPr>
                <w:color w:val="002060"/>
                <w:sz w:val="16"/>
                <w:szCs w:val="16"/>
                <w:lang w:bidi="th-TH"/>
              </w:rPr>
              <w:t>85% des rapports d’audit et d’évaluation établis en moins de 4 mois</w:t>
            </w:r>
            <w:r w:rsidRPr="00A05E50">
              <w:rPr>
                <w:color w:val="002060"/>
                <w:sz w:val="16"/>
                <w:szCs w:val="16"/>
                <w:lang w:bidi="th-TH"/>
              </w:rPr>
              <w:br/>
            </w:r>
          </w:p>
          <w:p w14:paraId="43A6179C" w14:textId="77777777" w:rsidR="00F96912" w:rsidRPr="00A05E50" w:rsidRDefault="00F96912" w:rsidP="006658D5">
            <w:pPr>
              <w:keepNext/>
              <w:keepLines/>
              <w:rPr>
                <w:color w:val="002060"/>
                <w:sz w:val="16"/>
                <w:szCs w:val="16"/>
                <w:lang w:bidi="th-TH"/>
              </w:rPr>
            </w:pPr>
            <w:r w:rsidRPr="00A05E50">
              <w:rPr>
                <w:color w:val="002060"/>
                <w:sz w:val="16"/>
                <w:szCs w:val="16"/>
                <w:lang w:bidi="th-TH"/>
              </w:rPr>
              <w:t>Tous les rapports sur les activités d’enquête établis dans le délai prévu par la politique en matière d’enquêtes</w:t>
            </w:r>
            <w:r w:rsidRPr="00A05E50">
              <w:rPr>
                <w:color w:val="002060"/>
                <w:sz w:val="16"/>
                <w:szCs w:val="16"/>
                <w:lang w:bidi="th-TH"/>
              </w:rPr>
              <w:br/>
            </w:r>
          </w:p>
          <w:p w14:paraId="55E48EEB" w14:textId="77777777" w:rsidR="00F96912" w:rsidRPr="00A05E50" w:rsidRDefault="00F96912" w:rsidP="006658D5">
            <w:pPr>
              <w:keepNext/>
              <w:keepLines/>
              <w:rPr>
                <w:color w:val="002060"/>
                <w:sz w:val="16"/>
                <w:szCs w:val="16"/>
                <w:lang w:bidi="th-TH"/>
              </w:rPr>
            </w:pPr>
            <w:r w:rsidRPr="00A05E50">
              <w:rPr>
                <w:color w:val="002060"/>
                <w:sz w:val="16"/>
                <w:szCs w:val="16"/>
                <w:lang w:bidi="th-TH"/>
              </w:rPr>
              <w:t>100% des responsables perçoivent les recommandations de la DSI comme étant précises, mesurables, réalistes, pertinentes et assorties de délais</w:t>
            </w:r>
          </w:p>
          <w:p w14:paraId="3C4B9FA5" w14:textId="77777777" w:rsidR="00F96912" w:rsidRPr="00A05E50" w:rsidRDefault="00F96912" w:rsidP="006658D5">
            <w:pPr>
              <w:keepNext/>
              <w:keepLines/>
              <w:rPr>
                <w:i/>
                <w:color w:val="000000"/>
                <w:sz w:val="16"/>
                <w:szCs w:val="16"/>
              </w:rPr>
            </w:pPr>
          </w:p>
          <w:p w14:paraId="3C38415A" w14:textId="77777777" w:rsidR="00F96912" w:rsidRPr="00A05E50" w:rsidRDefault="00F96912" w:rsidP="006658D5">
            <w:pPr>
              <w:keepNext/>
              <w:keepLines/>
              <w:rPr>
                <w:i/>
                <w:color w:val="000000"/>
                <w:sz w:val="16"/>
                <w:szCs w:val="16"/>
              </w:rPr>
            </w:pPr>
            <w:r w:rsidRPr="00A05E50">
              <w:rPr>
                <w:i/>
                <w:color w:val="000000"/>
                <w:sz w:val="16"/>
                <w:szCs w:val="16"/>
              </w:rPr>
              <w:t>Objectif initial :</w:t>
            </w:r>
          </w:p>
          <w:p w14:paraId="552FED50" w14:textId="77777777" w:rsidR="00F96912" w:rsidRPr="00A05E50" w:rsidRDefault="00F96912" w:rsidP="006658D5">
            <w:pPr>
              <w:keepNext/>
              <w:keepLines/>
              <w:rPr>
                <w:color w:val="000000"/>
                <w:sz w:val="16"/>
                <w:szCs w:val="16"/>
              </w:rPr>
            </w:pPr>
          </w:p>
          <w:p w14:paraId="2AB00B2D" w14:textId="77777777" w:rsidR="00F96912" w:rsidRPr="00A05E50" w:rsidRDefault="00F96912" w:rsidP="006658D5">
            <w:pPr>
              <w:keepNext/>
              <w:keepLines/>
              <w:rPr>
                <w:color w:val="000000"/>
                <w:sz w:val="16"/>
                <w:szCs w:val="16"/>
              </w:rPr>
            </w:pPr>
            <w:r w:rsidRPr="00A05E50">
              <w:rPr>
                <w:color w:val="000000"/>
                <w:sz w:val="16"/>
                <w:szCs w:val="16"/>
              </w:rPr>
              <w:t>85% des rapports d’audit et d’évaluation établis en moins de 4 mois</w:t>
            </w:r>
            <w:r w:rsidRPr="00A05E50">
              <w:rPr>
                <w:color w:val="000000"/>
                <w:sz w:val="16"/>
                <w:szCs w:val="16"/>
              </w:rPr>
              <w:br/>
            </w:r>
          </w:p>
          <w:p w14:paraId="3EA99384" w14:textId="77777777" w:rsidR="00F96912" w:rsidRPr="00A05E50" w:rsidRDefault="00F96912" w:rsidP="006658D5">
            <w:pPr>
              <w:keepNext/>
              <w:keepLines/>
              <w:rPr>
                <w:color w:val="000000"/>
                <w:sz w:val="16"/>
                <w:szCs w:val="16"/>
              </w:rPr>
            </w:pPr>
            <w:r w:rsidRPr="00A05E50">
              <w:rPr>
                <w:color w:val="002060"/>
                <w:sz w:val="16"/>
                <w:szCs w:val="16"/>
                <w:lang w:bidi="th-TH"/>
              </w:rPr>
              <w:t>Tous les rapports sur les activités d’enquête établis dans le délai prévu par la politique en matière d’enquêtes</w:t>
            </w:r>
          </w:p>
          <w:p w14:paraId="0A8D0473" w14:textId="77777777" w:rsidR="00F96912" w:rsidRPr="00A05E50" w:rsidRDefault="00F96912" w:rsidP="006658D5">
            <w:pPr>
              <w:keepNext/>
              <w:keepLines/>
              <w:rPr>
                <w:color w:val="000000"/>
                <w:sz w:val="16"/>
                <w:szCs w:val="16"/>
              </w:rPr>
            </w:pPr>
          </w:p>
          <w:p w14:paraId="5EF06CEB" w14:textId="77777777" w:rsidR="00F96912" w:rsidRPr="00A05E50" w:rsidRDefault="00F96912" w:rsidP="006658D5">
            <w:pPr>
              <w:keepNext/>
              <w:keepLines/>
              <w:rPr>
                <w:color w:val="000000"/>
                <w:sz w:val="16"/>
                <w:szCs w:val="16"/>
              </w:rPr>
            </w:pPr>
            <w:r w:rsidRPr="00851C67">
              <w:rPr>
                <w:color w:val="002060"/>
                <w:sz w:val="16"/>
                <w:szCs w:val="16"/>
              </w:rPr>
              <w:t>100% d</w:t>
            </w:r>
            <w:r w:rsidRPr="00851C67">
              <w:rPr>
                <w:color w:val="002060"/>
                <w:sz w:val="16"/>
                <w:szCs w:val="16"/>
                <w:lang w:bidi="th-TH"/>
              </w:rPr>
              <w:t>es recommandations sont précises, mesurables, réalistes, per</w:t>
            </w:r>
            <w:r w:rsidRPr="00A05E50">
              <w:rPr>
                <w:color w:val="002060"/>
                <w:sz w:val="16"/>
                <w:szCs w:val="16"/>
                <w:lang w:bidi="th-TH"/>
              </w:rPr>
              <w:t>tinentes et assorties de délais</w:t>
            </w:r>
          </w:p>
        </w:tc>
        <w:tc>
          <w:tcPr>
            <w:tcW w:w="1000" w:type="pct"/>
            <w:shd w:val="clear" w:color="auto" w:fill="FFFFFF"/>
            <w:tcMar>
              <w:top w:w="28" w:type="dxa"/>
              <w:left w:w="58" w:type="dxa"/>
              <w:bottom w:w="28" w:type="dxa"/>
              <w:right w:w="58" w:type="dxa"/>
            </w:tcMar>
          </w:tcPr>
          <w:p w14:paraId="488F559A" w14:textId="77777777" w:rsidR="00F96912" w:rsidRPr="00A05E50" w:rsidRDefault="00F96912" w:rsidP="006658D5">
            <w:pPr>
              <w:keepNext/>
              <w:keepLines/>
              <w:rPr>
                <w:sz w:val="16"/>
                <w:szCs w:val="16"/>
                <w:lang w:bidi="th-TH"/>
              </w:rPr>
            </w:pPr>
          </w:p>
          <w:p w14:paraId="3DD3D3CE" w14:textId="77777777" w:rsidR="00F96912" w:rsidRPr="00851C67" w:rsidRDefault="00F96912" w:rsidP="006658D5">
            <w:pPr>
              <w:keepNext/>
              <w:keepLines/>
              <w:rPr>
                <w:color w:val="002060"/>
                <w:sz w:val="16"/>
                <w:szCs w:val="16"/>
                <w:lang w:bidi="th-TH"/>
              </w:rPr>
            </w:pPr>
          </w:p>
          <w:p w14:paraId="02715E08" w14:textId="77777777" w:rsidR="00F96912" w:rsidRPr="00851C67" w:rsidRDefault="00F96912" w:rsidP="006658D5">
            <w:pPr>
              <w:keepNext/>
              <w:keepLines/>
              <w:rPr>
                <w:color w:val="002060"/>
                <w:sz w:val="16"/>
                <w:szCs w:val="16"/>
                <w:lang w:bidi="th-TH"/>
              </w:rPr>
            </w:pPr>
            <w:r w:rsidRPr="00851C67">
              <w:rPr>
                <w:color w:val="002060"/>
                <w:sz w:val="16"/>
                <w:szCs w:val="16"/>
                <w:lang w:bidi="th-TH"/>
              </w:rPr>
              <w:t>a) 50% des rapports d’audit et d’évaluation établis en moins de 4 mois</w:t>
            </w:r>
          </w:p>
          <w:p w14:paraId="5231045D" w14:textId="77777777" w:rsidR="00F96912" w:rsidRPr="00851C67" w:rsidRDefault="00F96912" w:rsidP="006658D5">
            <w:pPr>
              <w:keepNext/>
              <w:keepLines/>
              <w:rPr>
                <w:color w:val="002060"/>
                <w:sz w:val="16"/>
                <w:szCs w:val="16"/>
                <w:lang w:bidi="th-TH"/>
              </w:rPr>
            </w:pPr>
          </w:p>
          <w:p w14:paraId="3D814B1D" w14:textId="77777777" w:rsidR="00F96912" w:rsidRPr="00851C67" w:rsidRDefault="00F96912" w:rsidP="006658D5">
            <w:pPr>
              <w:keepNext/>
              <w:keepLines/>
              <w:rPr>
                <w:color w:val="002060"/>
                <w:sz w:val="16"/>
                <w:szCs w:val="16"/>
                <w:lang w:bidi="th-TH"/>
              </w:rPr>
            </w:pPr>
            <w:r w:rsidRPr="00851C67">
              <w:rPr>
                <w:color w:val="002060"/>
                <w:sz w:val="16"/>
                <w:szCs w:val="16"/>
                <w:lang w:bidi="th-TH"/>
              </w:rPr>
              <w:t>b) 53% des rapports sur les activités d’enquête établis dans le délai prévu par la politique en matière d’enquêtes</w:t>
            </w:r>
          </w:p>
          <w:p w14:paraId="242B7486" w14:textId="77777777" w:rsidR="00F96912" w:rsidRPr="00851C67" w:rsidRDefault="00F96912" w:rsidP="006658D5">
            <w:pPr>
              <w:keepNext/>
              <w:keepLines/>
              <w:rPr>
                <w:color w:val="002060"/>
                <w:sz w:val="16"/>
                <w:szCs w:val="16"/>
                <w:lang w:bidi="th-TH"/>
              </w:rPr>
            </w:pPr>
          </w:p>
          <w:p w14:paraId="3221FC1E" w14:textId="77777777" w:rsidR="00F96912" w:rsidRPr="00A05E50" w:rsidRDefault="00F96912" w:rsidP="006658D5">
            <w:pPr>
              <w:keepNext/>
              <w:keepLines/>
              <w:rPr>
                <w:color w:val="000000"/>
                <w:sz w:val="16"/>
                <w:szCs w:val="16"/>
              </w:rPr>
            </w:pPr>
            <w:r w:rsidRPr="00851C67">
              <w:rPr>
                <w:color w:val="002060"/>
                <w:sz w:val="16"/>
                <w:szCs w:val="16"/>
                <w:lang w:bidi="th-TH"/>
              </w:rPr>
              <w:t>c) 81% des responsables</w:t>
            </w:r>
            <w:r w:rsidRPr="00A05E50">
              <w:rPr>
                <w:color w:val="002060"/>
                <w:sz w:val="16"/>
                <w:szCs w:val="16"/>
                <w:lang w:bidi="th-TH"/>
              </w:rPr>
              <w:t xml:space="preserve"> percevaient les recommandations de la DSI comme étant précises, mesurables, réalistes, pertinentes et assorties de délais</w:t>
            </w:r>
          </w:p>
        </w:tc>
        <w:tc>
          <w:tcPr>
            <w:tcW w:w="429" w:type="pct"/>
            <w:shd w:val="clear" w:color="auto" w:fill="auto"/>
            <w:tcMar>
              <w:top w:w="28" w:type="dxa"/>
              <w:left w:w="58" w:type="dxa"/>
              <w:bottom w:w="28" w:type="dxa"/>
              <w:right w:w="58" w:type="dxa"/>
            </w:tcMar>
          </w:tcPr>
          <w:p w14:paraId="5CD1D0A8" w14:textId="77777777" w:rsidR="00F96912" w:rsidRPr="00A05E50" w:rsidRDefault="00F96912" w:rsidP="006658D5">
            <w:pPr>
              <w:keepNext/>
              <w:keepLines/>
              <w:jc w:val="center"/>
              <w:rPr>
                <w:b/>
                <w:bCs/>
                <w:color w:val="00B050"/>
                <w:sz w:val="16"/>
                <w:szCs w:val="16"/>
              </w:rPr>
            </w:pPr>
          </w:p>
          <w:p w14:paraId="783E9AFD" w14:textId="77777777" w:rsidR="00F96912" w:rsidRPr="00A05E50" w:rsidRDefault="00F96912" w:rsidP="006658D5">
            <w:pPr>
              <w:keepNext/>
              <w:keepLines/>
              <w:jc w:val="center"/>
              <w:rPr>
                <w:b/>
                <w:bCs/>
                <w:color w:val="00B050"/>
                <w:sz w:val="16"/>
                <w:szCs w:val="16"/>
              </w:rPr>
            </w:pPr>
          </w:p>
          <w:p w14:paraId="14CCD393" w14:textId="77777777" w:rsidR="00F96912" w:rsidRPr="00A05E50" w:rsidRDefault="00F96912" w:rsidP="006658D5">
            <w:pPr>
              <w:keepNext/>
              <w:keepLines/>
              <w:jc w:val="center"/>
              <w:rPr>
                <w:b/>
                <w:bCs/>
                <w:color w:val="FF0000"/>
                <w:sz w:val="16"/>
                <w:szCs w:val="16"/>
              </w:rPr>
            </w:pPr>
            <w:r w:rsidRPr="00A05E50">
              <w:rPr>
                <w:b/>
                <w:color w:val="FF0000"/>
                <w:sz w:val="16"/>
                <w:szCs w:val="16"/>
              </w:rPr>
              <w:t>Pas en bonne voie</w:t>
            </w:r>
          </w:p>
          <w:p w14:paraId="10DD6507" w14:textId="77777777" w:rsidR="00F96912" w:rsidRPr="00A05E50" w:rsidRDefault="00F96912" w:rsidP="006658D5">
            <w:pPr>
              <w:keepNext/>
              <w:keepLines/>
              <w:jc w:val="center"/>
              <w:rPr>
                <w:b/>
                <w:bCs/>
                <w:color w:val="00B050"/>
                <w:sz w:val="16"/>
                <w:szCs w:val="16"/>
              </w:rPr>
            </w:pPr>
          </w:p>
          <w:p w14:paraId="187980FB" w14:textId="77777777" w:rsidR="00F96912" w:rsidRPr="00A05E50" w:rsidRDefault="00F96912" w:rsidP="006658D5">
            <w:pPr>
              <w:keepNext/>
              <w:keepLines/>
              <w:jc w:val="center"/>
              <w:rPr>
                <w:b/>
                <w:bCs/>
                <w:color w:val="00B050"/>
                <w:sz w:val="16"/>
                <w:szCs w:val="16"/>
              </w:rPr>
            </w:pPr>
          </w:p>
          <w:p w14:paraId="0855E2F2" w14:textId="77777777" w:rsidR="00F96912" w:rsidRPr="00A05E50" w:rsidRDefault="00F96912" w:rsidP="006658D5">
            <w:pPr>
              <w:keepNext/>
              <w:keepLines/>
              <w:jc w:val="center"/>
              <w:rPr>
                <w:b/>
                <w:bCs/>
                <w:color w:val="00B050"/>
                <w:sz w:val="16"/>
                <w:szCs w:val="16"/>
              </w:rPr>
            </w:pPr>
          </w:p>
          <w:p w14:paraId="61F01582" w14:textId="77777777" w:rsidR="00F96912" w:rsidRPr="00A05E50" w:rsidRDefault="00F96912" w:rsidP="006658D5">
            <w:pPr>
              <w:keepNext/>
              <w:keepLines/>
              <w:jc w:val="center"/>
              <w:rPr>
                <w:b/>
                <w:bCs/>
                <w:color w:val="FF0000"/>
                <w:sz w:val="16"/>
                <w:szCs w:val="16"/>
              </w:rPr>
            </w:pPr>
            <w:r w:rsidRPr="00A05E50">
              <w:rPr>
                <w:b/>
                <w:color w:val="FF0000"/>
                <w:sz w:val="16"/>
                <w:szCs w:val="16"/>
              </w:rPr>
              <w:t>Pas en bonne voie</w:t>
            </w:r>
          </w:p>
          <w:p w14:paraId="527613E3" w14:textId="77777777" w:rsidR="00F96912" w:rsidRPr="00A05E50" w:rsidRDefault="00F96912" w:rsidP="006658D5">
            <w:pPr>
              <w:keepNext/>
              <w:keepLines/>
              <w:jc w:val="center"/>
              <w:rPr>
                <w:b/>
                <w:bCs/>
                <w:color w:val="00B050"/>
                <w:sz w:val="16"/>
                <w:szCs w:val="16"/>
              </w:rPr>
            </w:pPr>
          </w:p>
          <w:p w14:paraId="16E5C861" w14:textId="77777777" w:rsidR="00F96912" w:rsidRDefault="00F96912" w:rsidP="006658D5">
            <w:pPr>
              <w:keepNext/>
              <w:keepLines/>
              <w:jc w:val="center"/>
              <w:rPr>
                <w:b/>
                <w:bCs/>
                <w:color w:val="00B050"/>
                <w:sz w:val="16"/>
                <w:szCs w:val="16"/>
              </w:rPr>
            </w:pPr>
          </w:p>
          <w:p w14:paraId="0844EDB6" w14:textId="77777777" w:rsidR="00F96912" w:rsidRPr="00A05E50" w:rsidRDefault="00F96912" w:rsidP="006658D5">
            <w:pPr>
              <w:keepNext/>
              <w:keepLines/>
              <w:jc w:val="center"/>
              <w:rPr>
                <w:b/>
                <w:bCs/>
                <w:color w:val="00B050"/>
                <w:sz w:val="16"/>
                <w:szCs w:val="16"/>
              </w:rPr>
            </w:pPr>
          </w:p>
          <w:p w14:paraId="576002A2" w14:textId="77777777" w:rsidR="00F96912" w:rsidRDefault="00F96912" w:rsidP="006658D5">
            <w:pPr>
              <w:keepNext/>
              <w:keepLines/>
              <w:jc w:val="center"/>
              <w:rPr>
                <w:b/>
                <w:bCs/>
                <w:color w:val="00B050"/>
                <w:sz w:val="16"/>
                <w:szCs w:val="16"/>
              </w:rPr>
            </w:pPr>
          </w:p>
          <w:p w14:paraId="6912C7A7" w14:textId="77777777" w:rsidR="00403B32" w:rsidRPr="00A05E50" w:rsidRDefault="00403B32" w:rsidP="006658D5">
            <w:pPr>
              <w:keepNext/>
              <w:keepLines/>
              <w:jc w:val="center"/>
              <w:rPr>
                <w:b/>
                <w:bCs/>
                <w:color w:val="00B050"/>
                <w:sz w:val="16"/>
                <w:szCs w:val="16"/>
              </w:rPr>
            </w:pPr>
          </w:p>
          <w:p w14:paraId="1951DE71" w14:textId="77777777" w:rsidR="00F96912" w:rsidRPr="00CD000E" w:rsidRDefault="00F96912" w:rsidP="006658D5">
            <w:pPr>
              <w:keepNext/>
              <w:keepLines/>
              <w:jc w:val="center"/>
              <w:rPr>
                <w:b/>
                <w:bCs/>
                <w:color w:val="00B050"/>
                <w:sz w:val="16"/>
                <w:szCs w:val="16"/>
              </w:rPr>
            </w:pPr>
            <w:r w:rsidRPr="00A05E50">
              <w:rPr>
                <w:b/>
                <w:color w:val="00B050"/>
                <w:sz w:val="16"/>
                <w:szCs w:val="16"/>
              </w:rPr>
              <w:t>En bonne voie</w:t>
            </w:r>
          </w:p>
        </w:tc>
      </w:tr>
      <w:tr w:rsidR="00F96912" w:rsidRPr="00CD000E" w14:paraId="2EDA7AC0" w14:textId="77777777" w:rsidTr="00851C67">
        <w:tc>
          <w:tcPr>
            <w:tcW w:w="1092" w:type="pct"/>
            <w:shd w:val="clear" w:color="auto" w:fill="auto"/>
            <w:tcMar>
              <w:top w:w="28" w:type="dxa"/>
              <w:left w:w="58" w:type="dxa"/>
              <w:bottom w:w="28" w:type="dxa"/>
              <w:right w:w="58" w:type="dxa"/>
            </w:tcMar>
          </w:tcPr>
          <w:p w14:paraId="4E5D9D61" w14:textId="77777777" w:rsidR="00F96912" w:rsidRPr="00A05E50" w:rsidRDefault="00F96912" w:rsidP="006658D5">
            <w:pPr>
              <w:rPr>
                <w:color w:val="000000"/>
                <w:sz w:val="16"/>
                <w:szCs w:val="16"/>
              </w:rPr>
            </w:pPr>
            <w:r w:rsidRPr="00A05E50">
              <w:rPr>
                <w:sz w:val="16"/>
                <w:szCs w:val="16"/>
              </w:rPr>
              <w:t xml:space="preserve">PERTINENCE, VALEUR AJOUTÉE </w:t>
            </w:r>
            <w:r w:rsidRPr="00A05E50">
              <w:rPr>
                <w:color w:val="000000"/>
                <w:sz w:val="16"/>
                <w:szCs w:val="16"/>
              </w:rPr>
              <w:t>ET</w:t>
            </w:r>
            <w:r w:rsidRPr="00A05E50">
              <w:rPr>
                <w:sz w:val="16"/>
                <w:szCs w:val="16"/>
              </w:rPr>
              <w:t xml:space="preserve"> ADMINISTRATION – Économies tangibles ou améliorations concrètes apportées aux processus et systèmes opérationnels</w:t>
            </w:r>
          </w:p>
        </w:tc>
        <w:tc>
          <w:tcPr>
            <w:tcW w:w="1398" w:type="pct"/>
            <w:shd w:val="clear" w:color="auto" w:fill="auto"/>
            <w:tcMar>
              <w:top w:w="28" w:type="dxa"/>
              <w:left w:w="58" w:type="dxa"/>
              <w:bottom w:w="28" w:type="dxa"/>
              <w:right w:w="58" w:type="dxa"/>
            </w:tcMar>
          </w:tcPr>
          <w:p w14:paraId="786B7344" w14:textId="77777777" w:rsidR="00F96912" w:rsidRPr="00A05E50" w:rsidRDefault="00F96912" w:rsidP="006658D5">
            <w:pPr>
              <w:rPr>
                <w:i/>
                <w:color w:val="002060"/>
                <w:sz w:val="16"/>
                <w:szCs w:val="16"/>
              </w:rPr>
            </w:pPr>
            <w:r w:rsidRPr="00A05E50">
              <w:rPr>
                <w:i/>
                <w:color w:val="002060"/>
                <w:sz w:val="16"/>
                <w:szCs w:val="16"/>
              </w:rPr>
              <w:t>Niveau de référence actualisé à fin</w:t>
            </w:r>
            <w:r>
              <w:rPr>
                <w:i/>
                <w:color w:val="002060"/>
                <w:sz w:val="16"/>
                <w:szCs w:val="16"/>
              </w:rPr>
              <w:t> </w:t>
            </w:r>
            <w:r w:rsidRPr="00A05E50">
              <w:rPr>
                <w:i/>
                <w:color w:val="002060"/>
                <w:sz w:val="16"/>
                <w:szCs w:val="16"/>
              </w:rPr>
              <w:t>2015 :</w:t>
            </w:r>
          </w:p>
          <w:p w14:paraId="4D320086" w14:textId="77777777" w:rsidR="00F96912" w:rsidRPr="00A05E50" w:rsidRDefault="00F96912" w:rsidP="006658D5">
            <w:pPr>
              <w:rPr>
                <w:color w:val="002060"/>
                <w:sz w:val="16"/>
                <w:szCs w:val="16"/>
              </w:rPr>
            </w:pPr>
            <w:r w:rsidRPr="00A05E50">
              <w:rPr>
                <w:color w:val="002060"/>
                <w:sz w:val="16"/>
                <w:szCs w:val="16"/>
              </w:rPr>
              <w:t>69% des responsables estimaient que les recommandations de la DSI se traduisaient par des gains d’efficacité</w:t>
            </w:r>
          </w:p>
          <w:p w14:paraId="124AE215" w14:textId="77777777" w:rsidR="00F96912" w:rsidRPr="00A05E50" w:rsidRDefault="00F96912" w:rsidP="006658D5">
            <w:pPr>
              <w:rPr>
                <w:color w:val="002060"/>
                <w:sz w:val="16"/>
                <w:szCs w:val="16"/>
              </w:rPr>
            </w:pPr>
          </w:p>
          <w:p w14:paraId="11545A74" w14:textId="77777777" w:rsidR="00F96912" w:rsidRPr="00A05E50" w:rsidRDefault="00F96912" w:rsidP="006658D5">
            <w:pPr>
              <w:rPr>
                <w:color w:val="002060"/>
                <w:sz w:val="16"/>
                <w:szCs w:val="16"/>
              </w:rPr>
            </w:pPr>
            <w:r w:rsidRPr="00A05E50">
              <w:rPr>
                <w:color w:val="002060"/>
                <w:sz w:val="16"/>
                <w:szCs w:val="16"/>
              </w:rPr>
              <w:t>28% des économies de coût annuelles pouvaient être reliées aux recommandations de la DSI</w:t>
            </w:r>
          </w:p>
          <w:p w14:paraId="6C1ECA89" w14:textId="77777777" w:rsidR="00F96912" w:rsidRPr="00A05E50" w:rsidRDefault="00F96912" w:rsidP="006658D5">
            <w:pPr>
              <w:rPr>
                <w:i/>
                <w:color w:val="002060"/>
                <w:sz w:val="16"/>
                <w:szCs w:val="16"/>
                <w:u w:val="single"/>
                <w:lang w:bidi="th-TH"/>
              </w:rPr>
            </w:pPr>
          </w:p>
          <w:p w14:paraId="744CE506" w14:textId="77777777" w:rsidR="00F96912" w:rsidRPr="00A05E50" w:rsidRDefault="00F96912" w:rsidP="006658D5">
            <w:pPr>
              <w:rPr>
                <w:i/>
                <w:sz w:val="16"/>
                <w:szCs w:val="16"/>
                <w:lang w:bidi="th-TH"/>
              </w:rPr>
            </w:pPr>
            <w:r w:rsidRPr="00A05E50">
              <w:rPr>
                <w:i/>
                <w:sz w:val="16"/>
                <w:szCs w:val="16"/>
                <w:lang w:bidi="th-TH"/>
              </w:rPr>
              <w:t>Niveau de référence initial dans le programme et budget 2016</w:t>
            </w:r>
            <w:r w:rsidRPr="00A05E50">
              <w:rPr>
                <w:i/>
                <w:sz w:val="16"/>
                <w:szCs w:val="16"/>
                <w:lang w:bidi="th-TH"/>
              </w:rPr>
              <w:noBreakHyphen/>
              <w:t>2017 :</w:t>
            </w:r>
          </w:p>
          <w:p w14:paraId="44FB0FBD" w14:textId="77777777" w:rsidR="00F96912" w:rsidRPr="00A05E50" w:rsidRDefault="00F96912" w:rsidP="006658D5">
            <w:pPr>
              <w:rPr>
                <w:color w:val="000000"/>
                <w:sz w:val="16"/>
                <w:szCs w:val="16"/>
              </w:rPr>
            </w:pPr>
            <w:proofErr w:type="spellStart"/>
            <w:r w:rsidRPr="00A05E50">
              <w:rPr>
                <w:sz w:val="16"/>
                <w:szCs w:val="16"/>
              </w:rPr>
              <w:t>n.d</w:t>
            </w:r>
            <w:proofErr w:type="spellEnd"/>
            <w:r w:rsidRPr="00A05E50">
              <w:rPr>
                <w:sz w:val="16"/>
                <w:szCs w:val="16"/>
              </w:rPr>
              <w:t>. (à disposition fin 2015)</w:t>
            </w:r>
          </w:p>
        </w:tc>
        <w:tc>
          <w:tcPr>
            <w:tcW w:w="1081" w:type="pct"/>
            <w:shd w:val="clear" w:color="auto" w:fill="auto"/>
            <w:tcMar>
              <w:top w:w="28" w:type="dxa"/>
              <w:left w:w="58" w:type="dxa"/>
              <w:bottom w:w="28" w:type="dxa"/>
              <w:right w:w="58" w:type="dxa"/>
            </w:tcMar>
          </w:tcPr>
          <w:p w14:paraId="6E97A989" w14:textId="77777777" w:rsidR="00F96912" w:rsidRPr="00A05E50" w:rsidRDefault="00F96912" w:rsidP="006658D5">
            <w:pPr>
              <w:rPr>
                <w:i/>
                <w:color w:val="002060"/>
                <w:sz w:val="16"/>
                <w:szCs w:val="16"/>
              </w:rPr>
            </w:pPr>
            <w:r w:rsidRPr="00A05E50">
              <w:rPr>
                <w:i/>
                <w:color w:val="002060"/>
                <w:sz w:val="16"/>
                <w:szCs w:val="16"/>
              </w:rPr>
              <w:t>Objectif actualisé :</w:t>
            </w:r>
          </w:p>
          <w:p w14:paraId="4B4FF1D8" w14:textId="77777777" w:rsidR="00F96912" w:rsidRPr="00A05E50" w:rsidRDefault="00F96912" w:rsidP="006658D5">
            <w:pPr>
              <w:rPr>
                <w:color w:val="002060"/>
                <w:sz w:val="16"/>
                <w:szCs w:val="16"/>
              </w:rPr>
            </w:pPr>
          </w:p>
          <w:p w14:paraId="54FDB5B9" w14:textId="77777777" w:rsidR="00F96912" w:rsidRPr="00A05E50" w:rsidRDefault="00F96912" w:rsidP="006658D5">
            <w:pPr>
              <w:rPr>
                <w:color w:val="002060"/>
                <w:sz w:val="16"/>
                <w:szCs w:val="16"/>
              </w:rPr>
            </w:pPr>
            <w:r w:rsidRPr="00A05E50">
              <w:rPr>
                <w:color w:val="002060"/>
                <w:sz w:val="16"/>
                <w:szCs w:val="16"/>
              </w:rPr>
              <w:t>50% des responsables estiment que les recommandations de la DSI se sont traduites par des gains d’efficacité</w:t>
            </w:r>
          </w:p>
          <w:p w14:paraId="24315446" w14:textId="77777777" w:rsidR="00F96912" w:rsidRPr="00A05E50" w:rsidRDefault="00F96912" w:rsidP="006658D5">
            <w:pPr>
              <w:rPr>
                <w:color w:val="002060"/>
                <w:sz w:val="16"/>
                <w:szCs w:val="16"/>
              </w:rPr>
            </w:pPr>
          </w:p>
          <w:p w14:paraId="137AC1A5" w14:textId="77777777" w:rsidR="00F96912" w:rsidRPr="00A05E50" w:rsidRDefault="00F96912" w:rsidP="006658D5">
            <w:pPr>
              <w:rPr>
                <w:color w:val="002060"/>
                <w:sz w:val="16"/>
                <w:szCs w:val="16"/>
              </w:rPr>
            </w:pPr>
            <w:r w:rsidRPr="00A05E50">
              <w:rPr>
                <w:color w:val="002060"/>
                <w:sz w:val="16"/>
                <w:szCs w:val="16"/>
              </w:rPr>
              <w:t>50% des économies de coût annuelles pouvaient être reliées aux recommandations de la DSI</w:t>
            </w:r>
          </w:p>
          <w:p w14:paraId="6763A3F7" w14:textId="77777777" w:rsidR="00F96912" w:rsidRPr="00A05E50" w:rsidRDefault="00F96912" w:rsidP="006658D5">
            <w:pPr>
              <w:rPr>
                <w:color w:val="000000"/>
                <w:sz w:val="16"/>
                <w:szCs w:val="16"/>
              </w:rPr>
            </w:pPr>
          </w:p>
          <w:p w14:paraId="74963071" w14:textId="77777777" w:rsidR="00F96912" w:rsidRPr="00A05E50" w:rsidRDefault="00F96912" w:rsidP="006658D5">
            <w:pPr>
              <w:rPr>
                <w:i/>
                <w:sz w:val="16"/>
                <w:szCs w:val="16"/>
                <w:lang w:bidi="th-TH"/>
              </w:rPr>
            </w:pPr>
            <w:r w:rsidRPr="00A05E50">
              <w:rPr>
                <w:i/>
                <w:sz w:val="16"/>
                <w:szCs w:val="16"/>
                <w:lang w:bidi="th-TH"/>
              </w:rPr>
              <w:t>Objectif initial dans le programme et budget 2016</w:t>
            </w:r>
            <w:r w:rsidRPr="00A05E50">
              <w:rPr>
                <w:i/>
                <w:sz w:val="16"/>
                <w:szCs w:val="16"/>
                <w:lang w:bidi="th-TH"/>
              </w:rPr>
              <w:noBreakHyphen/>
              <w:t>2017 :</w:t>
            </w:r>
          </w:p>
          <w:p w14:paraId="40CD469A" w14:textId="77777777" w:rsidR="00F96912" w:rsidRPr="00A05E50" w:rsidRDefault="00F96912" w:rsidP="006658D5">
            <w:pPr>
              <w:rPr>
                <w:color w:val="000000"/>
                <w:sz w:val="16"/>
                <w:szCs w:val="16"/>
              </w:rPr>
            </w:pPr>
            <w:r w:rsidRPr="00A05E50">
              <w:rPr>
                <w:sz w:val="16"/>
                <w:szCs w:val="16"/>
              </w:rPr>
              <w:t>50% des recommandations se traduisent par des gains d’efficacité</w:t>
            </w:r>
          </w:p>
        </w:tc>
        <w:tc>
          <w:tcPr>
            <w:tcW w:w="1000" w:type="pct"/>
            <w:shd w:val="clear" w:color="auto" w:fill="FFFFFF"/>
            <w:tcMar>
              <w:top w:w="28" w:type="dxa"/>
              <w:left w:w="58" w:type="dxa"/>
              <w:bottom w:w="28" w:type="dxa"/>
              <w:right w:w="58" w:type="dxa"/>
            </w:tcMar>
          </w:tcPr>
          <w:p w14:paraId="1E1A5CD6" w14:textId="77777777" w:rsidR="00F96912" w:rsidRPr="00A05E50" w:rsidRDefault="00F96912" w:rsidP="006658D5">
            <w:pPr>
              <w:rPr>
                <w:sz w:val="16"/>
                <w:szCs w:val="16"/>
              </w:rPr>
            </w:pPr>
          </w:p>
          <w:p w14:paraId="74683DE1" w14:textId="77777777" w:rsidR="00F96912" w:rsidRPr="00A05E50" w:rsidRDefault="00F96912" w:rsidP="006658D5">
            <w:pPr>
              <w:rPr>
                <w:sz w:val="16"/>
                <w:szCs w:val="16"/>
              </w:rPr>
            </w:pPr>
          </w:p>
          <w:p w14:paraId="5E1ACD28" w14:textId="77777777" w:rsidR="00F96912" w:rsidRPr="00A05E50" w:rsidRDefault="00F96912" w:rsidP="006658D5">
            <w:pPr>
              <w:rPr>
                <w:sz w:val="16"/>
                <w:szCs w:val="16"/>
              </w:rPr>
            </w:pPr>
            <w:r w:rsidRPr="00A05E50">
              <w:rPr>
                <w:sz w:val="16"/>
                <w:szCs w:val="16"/>
              </w:rPr>
              <w:t>71% des responsables estimaient que les recommandations de la DSI s’étaient traduites par des gains d’efficacité</w:t>
            </w:r>
          </w:p>
          <w:p w14:paraId="453D7171" w14:textId="77777777" w:rsidR="00F96912" w:rsidRPr="00A05E50" w:rsidRDefault="00F96912" w:rsidP="006658D5">
            <w:pPr>
              <w:rPr>
                <w:sz w:val="16"/>
                <w:szCs w:val="16"/>
              </w:rPr>
            </w:pPr>
          </w:p>
          <w:p w14:paraId="6135C3D5" w14:textId="77777777" w:rsidR="00F96912" w:rsidRPr="00A05E50" w:rsidRDefault="00F96912" w:rsidP="006658D5">
            <w:pPr>
              <w:rPr>
                <w:color w:val="002060"/>
                <w:sz w:val="16"/>
                <w:szCs w:val="16"/>
              </w:rPr>
            </w:pPr>
            <w:r w:rsidRPr="00A05E50">
              <w:rPr>
                <w:sz w:val="16"/>
                <w:szCs w:val="16"/>
              </w:rPr>
              <w:t>30% des économies de coût annuelles pouvaient être reliées aux recommandations de la DSI</w:t>
            </w:r>
          </w:p>
        </w:tc>
        <w:tc>
          <w:tcPr>
            <w:tcW w:w="429" w:type="pct"/>
            <w:shd w:val="clear" w:color="auto" w:fill="auto"/>
            <w:tcMar>
              <w:top w:w="28" w:type="dxa"/>
              <w:left w:w="58" w:type="dxa"/>
              <w:bottom w:w="28" w:type="dxa"/>
              <w:right w:w="58" w:type="dxa"/>
            </w:tcMar>
          </w:tcPr>
          <w:p w14:paraId="66A69CAA" w14:textId="77777777" w:rsidR="00F96912" w:rsidRPr="00A05E50" w:rsidRDefault="00F96912" w:rsidP="006658D5">
            <w:pPr>
              <w:jc w:val="center"/>
              <w:rPr>
                <w:b/>
                <w:bCs/>
                <w:color w:val="00B050"/>
                <w:sz w:val="16"/>
                <w:szCs w:val="16"/>
              </w:rPr>
            </w:pPr>
          </w:p>
          <w:p w14:paraId="20D5213E" w14:textId="77777777" w:rsidR="00F96912" w:rsidRPr="00A05E50" w:rsidRDefault="00F96912" w:rsidP="006658D5">
            <w:pPr>
              <w:jc w:val="center"/>
              <w:rPr>
                <w:b/>
                <w:bCs/>
                <w:color w:val="00B050"/>
                <w:sz w:val="16"/>
                <w:szCs w:val="16"/>
              </w:rPr>
            </w:pPr>
          </w:p>
          <w:p w14:paraId="2B690830" w14:textId="77777777" w:rsidR="00F96912" w:rsidRPr="00A05E50" w:rsidRDefault="00F96912" w:rsidP="006658D5">
            <w:pPr>
              <w:jc w:val="center"/>
              <w:rPr>
                <w:b/>
                <w:bCs/>
                <w:color w:val="00B050"/>
                <w:sz w:val="16"/>
                <w:szCs w:val="16"/>
              </w:rPr>
            </w:pPr>
            <w:r w:rsidRPr="00A05E50">
              <w:rPr>
                <w:b/>
                <w:color w:val="00B050"/>
                <w:sz w:val="16"/>
                <w:szCs w:val="16"/>
              </w:rPr>
              <w:t>En bonne voie</w:t>
            </w:r>
          </w:p>
          <w:p w14:paraId="776BE9E8" w14:textId="77777777" w:rsidR="00F96912" w:rsidRPr="00A05E50" w:rsidRDefault="00F96912" w:rsidP="006658D5">
            <w:pPr>
              <w:jc w:val="center"/>
              <w:rPr>
                <w:color w:val="000000"/>
                <w:sz w:val="16"/>
                <w:szCs w:val="16"/>
              </w:rPr>
            </w:pPr>
          </w:p>
          <w:p w14:paraId="01F96CA2" w14:textId="77777777" w:rsidR="00F96912" w:rsidRPr="00A05E50" w:rsidRDefault="00F96912" w:rsidP="006658D5">
            <w:pPr>
              <w:jc w:val="center"/>
              <w:rPr>
                <w:color w:val="000000"/>
                <w:sz w:val="16"/>
                <w:szCs w:val="16"/>
              </w:rPr>
            </w:pPr>
          </w:p>
          <w:p w14:paraId="58C9465C" w14:textId="77777777" w:rsidR="00F96912" w:rsidRPr="00A05E50" w:rsidRDefault="00F96912" w:rsidP="006658D5">
            <w:pPr>
              <w:jc w:val="center"/>
              <w:rPr>
                <w:color w:val="000000"/>
                <w:sz w:val="16"/>
                <w:szCs w:val="16"/>
              </w:rPr>
            </w:pPr>
          </w:p>
          <w:p w14:paraId="3C9D2A84" w14:textId="77777777" w:rsidR="00F96912" w:rsidRDefault="00F96912" w:rsidP="006658D5">
            <w:pPr>
              <w:jc w:val="center"/>
              <w:rPr>
                <w:color w:val="000000"/>
                <w:sz w:val="16"/>
                <w:szCs w:val="16"/>
              </w:rPr>
            </w:pPr>
          </w:p>
          <w:p w14:paraId="7474D46E" w14:textId="77777777" w:rsidR="00F96912" w:rsidRPr="00A05E50" w:rsidRDefault="00F96912" w:rsidP="006658D5">
            <w:pPr>
              <w:jc w:val="center"/>
              <w:rPr>
                <w:color w:val="000000"/>
                <w:sz w:val="16"/>
                <w:szCs w:val="16"/>
              </w:rPr>
            </w:pPr>
          </w:p>
          <w:p w14:paraId="41066EEE" w14:textId="77777777" w:rsidR="00F96912" w:rsidRPr="00CD000E" w:rsidRDefault="00F96912" w:rsidP="006658D5">
            <w:pPr>
              <w:jc w:val="center"/>
              <w:rPr>
                <w:b/>
                <w:color w:val="000000"/>
                <w:sz w:val="16"/>
                <w:szCs w:val="16"/>
              </w:rPr>
            </w:pPr>
            <w:r w:rsidRPr="00A05E50">
              <w:rPr>
                <w:b/>
                <w:color w:val="FF0000"/>
                <w:sz w:val="16"/>
                <w:szCs w:val="16"/>
              </w:rPr>
              <w:t>Pas en bonne voie</w:t>
            </w:r>
          </w:p>
        </w:tc>
      </w:tr>
      <w:tr w:rsidR="00F96912" w:rsidRPr="00CD000E" w14:paraId="1DA0A314" w14:textId="77777777" w:rsidTr="00851C67">
        <w:tc>
          <w:tcPr>
            <w:tcW w:w="1092" w:type="pct"/>
            <w:shd w:val="clear" w:color="auto" w:fill="auto"/>
            <w:tcMar>
              <w:top w:w="28" w:type="dxa"/>
              <w:left w:w="58" w:type="dxa"/>
              <w:bottom w:w="28" w:type="dxa"/>
              <w:right w:w="58" w:type="dxa"/>
            </w:tcMar>
          </w:tcPr>
          <w:p w14:paraId="0EA3ECDF" w14:textId="77777777" w:rsidR="00F96912" w:rsidRPr="00CD000E" w:rsidRDefault="00F96912" w:rsidP="006658D5">
            <w:pPr>
              <w:rPr>
                <w:color w:val="000000"/>
                <w:sz w:val="16"/>
                <w:szCs w:val="16"/>
              </w:rPr>
            </w:pPr>
            <w:r w:rsidRPr="00CD000E">
              <w:rPr>
                <w:sz w:val="16"/>
                <w:szCs w:val="16"/>
              </w:rPr>
              <w:t>APPRENTISSAGE INSTITUTIONNEL – Assimilation des enseignements et recommandations des processus de supervision</w:t>
            </w:r>
          </w:p>
        </w:tc>
        <w:tc>
          <w:tcPr>
            <w:tcW w:w="1398" w:type="pct"/>
            <w:shd w:val="clear" w:color="auto" w:fill="auto"/>
            <w:tcMar>
              <w:top w:w="28" w:type="dxa"/>
              <w:left w:w="58" w:type="dxa"/>
              <w:bottom w:w="28" w:type="dxa"/>
              <w:right w:w="58" w:type="dxa"/>
            </w:tcMar>
          </w:tcPr>
          <w:p w14:paraId="41C2E7AD" w14:textId="77777777" w:rsidR="00F96912" w:rsidRPr="00CD000E" w:rsidRDefault="00F96912" w:rsidP="006658D5">
            <w:pPr>
              <w:rPr>
                <w:i/>
                <w:color w:val="002060"/>
                <w:sz w:val="16"/>
                <w:szCs w:val="16"/>
              </w:rPr>
            </w:pPr>
            <w:r w:rsidRPr="00CD000E">
              <w:rPr>
                <w:i/>
                <w:color w:val="002060"/>
                <w:sz w:val="16"/>
                <w:szCs w:val="16"/>
              </w:rPr>
              <w:t>Niveau de référence actualisé à fin</w:t>
            </w:r>
            <w:r>
              <w:rPr>
                <w:i/>
                <w:color w:val="002060"/>
                <w:sz w:val="16"/>
                <w:szCs w:val="16"/>
              </w:rPr>
              <w:t> </w:t>
            </w:r>
            <w:r w:rsidRPr="00CD000E">
              <w:rPr>
                <w:i/>
                <w:color w:val="002060"/>
                <w:sz w:val="16"/>
                <w:szCs w:val="16"/>
              </w:rPr>
              <w:t>2015 :</w:t>
            </w:r>
          </w:p>
          <w:p w14:paraId="6D3EA851" w14:textId="77777777" w:rsidR="00F96912" w:rsidRPr="00CD000E" w:rsidRDefault="00F96912" w:rsidP="006658D5">
            <w:pPr>
              <w:rPr>
                <w:color w:val="002060"/>
                <w:sz w:val="16"/>
                <w:szCs w:val="16"/>
              </w:rPr>
            </w:pPr>
            <w:r w:rsidRPr="00CD000E">
              <w:rPr>
                <w:color w:val="002060"/>
                <w:sz w:val="16"/>
                <w:szCs w:val="16"/>
              </w:rPr>
              <w:t>Plus de 95% des recommandations acceptées</w:t>
            </w:r>
          </w:p>
          <w:p w14:paraId="17CC2EC7" w14:textId="77777777" w:rsidR="00F96912" w:rsidRPr="00A05E50" w:rsidRDefault="00F96912" w:rsidP="006658D5">
            <w:pPr>
              <w:rPr>
                <w:color w:val="002060"/>
                <w:sz w:val="16"/>
                <w:szCs w:val="16"/>
              </w:rPr>
            </w:pPr>
          </w:p>
          <w:p w14:paraId="0F2B4BCF" w14:textId="77777777" w:rsidR="00F96912" w:rsidRPr="00A05E50" w:rsidRDefault="00F96912" w:rsidP="006658D5">
            <w:pPr>
              <w:rPr>
                <w:color w:val="002060"/>
                <w:sz w:val="16"/>
                <w:szCs w:val="16"/>
              </w:rPr>
            </w:pPr>
            <w:r w:rsidRPr="00A05E50">
              <w:rPr>
                <w:color w:val="002060"/>
                <w:sz w:val="16"/>
                <w:szCs w:val="16"/>
              </w:rPr>
              <w:t>40% des recommandations mises en œuvre dans les 2 ans</w:t>
            </w:r>
          </w:p>
          <w:p w14:paraId="0B07EA91" w14:textId="77777777" w:rsidR="00F96912" w:rsidRPr="00CD000E" w:rsidRDefault="00F96912" w:rsidP="006658D5">
            <w:pPr>
              <w:rPr>
                <w:sz w:val="16"/>
                <w:szCs w:val="16"/>
                <w:lang w:bidi="th-TH"/>
              </w:rPr>
            </w:pPr>
          </w:p>
          <w:p w14:paraId="49BE7027" w14:textId="77777777" w:rsidR="00F96912" w:rsidRPr="00CD000E" w:rsidRDefault="00F96912" w:rsidP="006658D5">
            <w:pPr>
              <w:rPr>
                <w:i/>
                <w:sz w:val="16"/>
                <w:szCs w:val="16"/>
                <w:lang w:bidi="th-TH"/>
              </w:rPr>
            </w:pPr>
            <w:r w:rsidRPr="00CD000E">
              <w:rPr>
                <w:i/>
                <w:sz w:val="16"/>
                <w:szCs w:val="16"/>
                <w:lang w:bidi="th-TH"/>
              </w:rPr>
              <w:t>Niveau de référence initial dans le programme et budget 2016</w:t>
            </w:r>
            <w:r>
              <w:rPr>
                <w:i/>
                <w:sz w:val="16"/>
                <w:szCs w:val="16"/>
                <w:lang w:bidi="th-TH"/>
              </w:rPr>
              <w:noBreakHyphen/>
            </w:r>
            <w:r w:rsidRPr="00CD000E">
              <w:rPr>
                <w:i/>
                <w:sz w:val="16"/>
                <w:szCs w:val="16"/>
                <w:lang w:bidi="th-TH"/>
              </w:rPr>
              <w:t>2017 :</w:t>
            </w:r>
          </w:p>
          <w:p w14:paraId="29E159D7" w14:textId="77777777" w:rsidR="00F96912" w:rsidRPr="00CD000E" w:rsidRDefault="00F96912" w:rsidP="006658D5">
            <w:pPr>
              <w:rPr>
                <w:color w:val="000000"/>
                <w:sz w:val="16"/>
                <w:szCs w:val="16"/>
              </w:rPr>
            </w:pPr>
            <w:r w:rsidRPr="00CD000E">
              <w:rPr>
                <w:sz w:val="16"/>
                <w:szCs w:val="16"/>
              </w:rPr>
              <w:t xml:space="preserve">90% des recommandations acceptées mises en œuvre dans les </w:t>
            </w:r>
            <w:r w:rsidRPr="00CD000E">
              <w:rPr>
                <w:color w:val="000000"/>
                <w:sz w:val="16"/>
                <w:szCs w:val="16"/>
              </w:rPr>
              <w:t>2</w:t>
            </w:r>
            <w:r>
              <w:rPr>
                <w:color w:val="000000"/>
                <w:sz w:val="16"/>
                <w:szCs w:val="16"/>
              </w:rPr>
              <w:t> </w:t>
            </w:r>
            <w:r w:rsidRPr="00CD000E">
              <w:rPr>
                <w:sz w:val="16"/>
                <w:szCs w:val="16"/>
              </w:rPr>
              <w:t>ans</w:t>
            </w:r>
          </w:p>
        </w:tc>
        <w:tc>
          <w:tcPr>
            <w:tcW w:w="1081" w:type="pct"/>
            <w:shd w:val="clear" w:color="auto" w:fill="auto"/>
            <w:tcMar>
              <w:top w:w="28" w:type="dxa"/>
              <w:left w:w="58" w:type="dxa"/>
              <w:bottom w:w="28" w:type="dxa"/>
              <w:right w:w="58" w:type="dxa"/>
            </w:tcMar>
          </w:tcPr>
          <w:p w14:paraId="4540667F" w14:textId="77777777" w:rsidR="00F96912" w:rsidRPr="00CD000E" w:rsidRDefault="00F96912" w:rsidP="006658D5">
            <w:pPr>
              <w:rPr>
                <w:i/>
                <w:color w:val="002060"/>
                <w:sz w:val="16"/>
                <w:szCs w:val="16"/>
              </w:rPr>
            </w:pPr>
          </w:p>
          <w:p w14:paraId="52A8E45C" w14:textId="77777777" w:rsidR="00F96912" w:rsidRPr="00CD000E" w:rsidRDefault="00F96912" w:rsidP="006658D5">
            <w:pPr>
              <w:rPr>
                <w:i/>
                <w:color w:val="002060"/>
                <w:sz w:val="16"/>
                <w:szCs w:val="16"/>
              </w:rPr>
            </w:pPr>
          </w:p>
          <w:p w14:paraId="344D8F8A" w14:textId="77777777" w:rsidR="00F96912" w:rsidRPr="00CD000E" w:rsidRDefault="00F96912" w:rsidP="006658D5">
            <w:pPr>
              <w:rPr>
                <w:color w:val="000000"/>
                <w:sz w:val="16"/>
                <w:szCs w:val="16"/>
              </w:rPr>
            </w:pPr>
            <w:r w:rsidRPr="00CD000E">
              <w:rPr>
                <w:sz w:val="16"/>
                <w:szCs w:val="16"/>
              </w:rPr>
              <w:t>90% des recommandations acceptées</w:t>
            </w:r>
          </w:p>
          <w:p w14:paraId="1E886D1D" w14:textId="77777777" w:rsidR="00F96912" w:rsidRPr="00CD000E" w:rsidRDefault="00F96912" w:rsidP="006658D5">
            <w:pPr>
              <w:rPr>
                <w:color w:val="000000"/>
                <w:sz w:val="16"/>
                <w:szCs w:val="16"/>
              </w:rPr>
            </w:pPr>
          </w:p>
          <w:p w14:paraId="72CEAC0D" w14:textId="77777777" w:rsidR="00F96912" w:rsidRPr="00CD000E" w:rsidRDefault="00F96912" w:rsidP="006658D5">
            <w:pPr>
              <w:rPr>
                <w:color w:val="000000"/>
                <w:sz w:val="16"/>
                <w:szCs w:val="16"/>
              </w:rPr>
            </w:pPr>
          </w:p>
          <w:p w14:paraId="7DAB699A" w14:textId="77777777" w:rsidR="00F96912" w:rsidRPr="00CD000E" w:rsidRDefault="00F96912" w:rsidP="006658D5">
            <w:pPr>
              <w:rPr>
                <w:color w:val="000000"/>
                <w:sz w:val="16"/>
                <w:szCs w:val="16"/>
              </w:rPr>
            </w:pPr>
            <w:r w:rsidRPr="00CD000E">
              <w:rPr>
                <w:sz w:val="16"/>
                <w:szCs w:val="16"/>
              </w:rPr>
              <w:t xml:space="preserve">90% des recommandations mises en œuvre dans les </w:t>
            </w:r>
            <w:r w:rsidRPr="00CD000E">
              <w:rPr>
                <w:color w:val="000000"/>
                <w:sz w:val="16"/>
                <w:szCs w:val="16"/>
              </w:rPr>
              <w:t>2</w:t>
            </w:r>
            <w:r>
              <w:rPr>
                <w:sz w:val="16"/>
                <w:szCs w:val="16"/>
              </w:rPr>
              <w:t> </w:t>
            </w:r>
            <w:r w:rsidRPr="00CD000E">
              <w:rPr>
                <w:sz w:val="16"/>
                <w:szCs w:val="16"/>
              </w:rPr>
              <w:t>ans</w:t>
            </w:r>
          </w:p>
        </w:tc>
        <w:tc>
          <w:tcPr>
            <w:tcW w:w="1000" w:type="pct"/>
            <w:shd w:val="clear" w:color="auto" w:fill="FFFFFF"/>
            <w:tcMar>
              <w:top w:w="28" w:type="dxa"/>
              <w:left w:w="58" w:type="dxa"/>
              <w:bottom w:w="28" w:type="dxa"/>
              <w:right w:w="58" w:type="dxa"/>
            </w:tcMar>
          </w:tcPr>
          <w:p w14:paraId="33FF34F4" w14:textId="77777777" w:rsidR="00F96912" w:rsidRPr="00CD000E" w:rsidRDefault="00F96912" w:rsidP="006658D5">
            <w:pPr>
              <w:rPr>
                <w:sz w:val="16"/>
                <w:szCs w:val="16"/>
              </w:rPr>
            </w:pPr>
          </w:p>
          <w:p w14:paraId="609F3FCB" w14:textId="77777777" w:rsidR="00F96912" w:rsidRPr="00CD000E" w:rsidRDefault="00F96912" w:rsidP="006658D5">
            <w:pPr>
              <w:rPr>
                <w:sz w:val="16"/>
                <w:szCs w:val="16"/>
              </w:rPr>
            </w:pPr>
          </w:p>
          <w:p w14:paraId="585F2FB4" w14:textId="77777777" w:rsidR="00F96912" w:rsidRPr="00CD000E" w:rsidRDefault="00F96912" w:rsidP="006658D5">
            <w:pPr>
              <w:rPr>
                <w:sz w:val="16"/>
                <w:szCs w:val="16"/>
              </w:rPr>
            </w:pPr>
            <w:r w:rsidRPr="00CD000E">
              <w:rPr>
                <w:sz w:val="16"/>
                <w:szCs w:val="16"/>
              </w:rPr>
              <w:t>95% des recommandations acceptées</w:t>
            </w:r>
          </w:p>
          <w:p w14:paraId="56B5E7E1" w14:textId="77777777" w:rsidR="00F96912" w:rsidRDefault="00F96912" w:rsidP="006658D5">
            <w:pPr>
              <w:rPr>
                <w:sz w:val="16"/>
                <w:szCs w:val="16"/>
              </w:rPr>
            </w:pPr>
          </w:p>
          <w:p w14:paraId="1B8D7443" w14:textId="77777777" w:rsidR="00F96912" w:rsidRPr="00CD000E" w:rsidRDefault="00F96912" w:rsidP="006658D5">
            <w:pPr>
              <w:rPr>
                <w:sz w:val="16"/>
                <w:szCs w:val="16"/>
              </w:rPr>
            </w:pPr>
          </w:p>
          <w:p w14:paraId="1CB1F9CC" w14:textId="77777777" w:rsidR="00F96912" w:rsidRPr="00CD000E" w:rsidRDefault="00F96912" w:rsidP="006658D5">
            <w:pPr>
              <w:rPr>
                <w:color w:val="000000"/>
                <w:sz w:val="16"/>
                <w:szCs w:val="16"/>
              </w:rPr>
            </w:pPr>
            <w:r w:rsidRPr="00CD000E">
              <w:rPr>
                <w:sz w:val="16"/>
                <w:szCs w:val="16"/>
              </w:rPr>
              <w:t xml:space="preserve">59% des recommandations mises en œuvre dans les </w:t>
            </w:r>
            <w:r w:rsidRPr="00CD000E">
              <w:rPr>
                <w:color w:val="000000"/>
                <w:sz w:val="16"/>
                <w:szCs w:val="16"/>
              </w:rPr>
              <w:t>2</w:t>
            </w:r>
            <w:r>
              <w:rPr>
                <w:sz w:val="16"/>
                <w:szCs w:val="16"/>
              </w:rPr>
              <w:t> </w:t>
            </w:r>
            <w:r w:rsidRPr="00CD000E">
              <w:rPr>
                <w:sz w:val="16"/>
                <w:szCs w:val="16"/>
              </w:rPr>
              <w:t>ans</w:t>
            </w:r>
          </w:p>
        </w:tc>
        <w:tc>
          <w:tcPr>
            <w:tcW w:w="429" w:type="pct"/>
            <w:shd w:val="clear" w:color="auto" w:fill="auto"/>
            <w:tcMar>
              <w:top w:w="28" w:type="dxa"/>
              <w:left w:w="58" w:type="dxa"/>
              <w:bottom w:w="28" w:type="dxa"/>
              <w:right w:w="58" w:type="dxa"/>
            </w:tcMar>
          </w:tcPr>
          <w:p w14:paraId="72C8B736" w14:textId="77777777" w:rsidR="00F96912" w:rsidRPr="00CD000E" w:rsidRDefault="00F96912" w:rsidP="006658D5">
            <w:pPr>
              <w:jc w:val="center"/>
              <w:rPr>
                <w:b/>
                <w:bCs/>
                <w:color w:val="00B050"/>
                <w:sz w:val="16"/>
                <w:szCs w:val="16"/>
              </w:rPr>
            </w:pPr>
          </w:p>
          <w:p w14:paraId="192983FD" w14:textId="77777777" w:rsidR="00F96912" w:rsidRPr="00CD000E" w:rsidRDefault="00F96912" w:rsidP="006658D5">
            <w:pPr>
              <w:jc w:val="center"/>
              <w:rPr>
                <w:b/>
                <w:bCs/>
                <w:color w:val="00B050"/>
                <w:sz w:val="16"/>
                <w:szCs w:val="16"/>
              </w:rPr>
            </w:pPr>
          </w:p>
          <w:p w14:paraId="68B92DA4" w14:textId="77777777" w:rsidR="00F96912" w:rsidRPr="00CD000E" w:rsidRDefault="00F96912" w:rsidP="006658D5">
            <w:pPr>
              <w:jc w:val="center"/>
              <w:rPr>
                <w:b/>
                <w:bCs/>
                <w:color w:val="00B050"/>
                <w:sz w:val="16"/>
                <w:szCs w:val="16"/>
              </w:rPr>
            </w:pPr>
            <w:r w:rsidRPr="00CD000E">
              <w:rPr>
                <w:b/>
                <w:color w:val="00B050"/>
                <w:sz w:val="16"/>
                <w:szCs w:val="16"/>
              </w:rPr>
              <w:t>En bonne voie</w:t>
            </w:r>
          </w:p>
          <w:p w14:paraId="2318D747" w14:textId="77777777" w:rsidR="00F96912" w:rsidRPr="00CD000E" w:rsidRDefault="00F96912" w:rsidP="006658D5">
            <w:pPr>
              <w:jc w:val="center"/>
              <w:rPr>
                <w:color w:val="000000"/>
                <w:sz w:val="16"/>
                <w:szCs w:val="16"/>
              </w:rPr>
            </w:pPr>
          </w:p>
          <w:p w14:paraId="0B078B73" w14:textId="77777777" w:rsidR="00F96912" w:rsidRPr="00CD000E" w:rsidRDefault="00F96912" w:rsidP="006658D5">
            <w:pPr>
              <w:jc w:val="center"/>
              <w:rPr>
                <w:color w:val="000000"/>
                <w:sz w:val="16"/>
                <w:szCs w:val="16"/>
              </w:rPr>
            </w:pPr>
          </w:p>
          <w:p w14:paraId="3B7D6749" w14:textId="77777777" w:rsidR="00F96912" w:rsidRPr="00CD000E" w:rsidRDefault="00F96912" w:rsidP="006658D5">
            <w:pPr>
              <w:jc w:val="center"/>
              <w:rPr>
                <w:b/>
                <w:bCs/>
                <w:color w:val="00B050"/>
                <w:sz w:val="16"/>
                <w:szCs w:val="16"/>
              </w:rPr>
            </w:pPr>
          </w:p>
          <w:p w14:paraId="54F03150" w14:textId="77777777" w:rsidR="00F96912" w:rsidRPr="00CD000E" w:rsidRDefault="00F96912" w:rsidP="006658D5">
            <w:pPr>
              <w:jc w:val="center"/>
              <w:rPr>
                <w:color w:val="000000"/>
                <w:sz w:val="16"/>
                <w:szCs w:val="16"/>
              </w:rPr>
            </w:pPr>
            <w:r w:rsidRPr="00CD000E">
              <w:rPr>
                <w:b/>
                <w:color w:val="00B050"/>
                <w:sz w:val="16"/>
                <w:szCs w:val="16"/>
              </w:rPr>
              <w:t>En bonne voie</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41E2CE3B" w14:textId="77777777" w:rsidTr="00851C67">
        <w:trPr>
          <w:trHeight w:val="425"/>
        </w:trPr>
        <w:tc>
          <w:tcPr>
            <w:tcW w:w="9287" w:type="dxa"/>
            <w:shd w:val="clear" w:color="auto" w:fill="C6D9F1" w:themeFill="text2" w:themeFillTint="33"/>
            <w:vAlign w:val="center"/>
          </w:tcPr>
          <w:p w14:paraId="317A74E2" w14:textId="77777777" w:rsidR="00F96912" w:rsidRPr="00CD000E" w:rsidRDefault="00F96912" w:rsidP="006658D5">
            <w:pPr>
              <w:keepNext/>
              <w:keepLines/>
              <w:jc w:val="center"/>
              <w:rPr>
                <w:b/>
                <w:color w:val="000000"/>
                <w:sz w:val="20"/>
              </w:rPr>
            </w:pPr>
            <w:r w:rsidRPr="00CD000E">
              <w:rPr>
                <w:b/>
                <w:color w:val="000000"/>
                <w:sz w:val="20"/>
              </w:rPr>
              <w:t>Utilisation des ressources au titre du programme 26</w:t>
            </w:r>
          </w:p>
        </w:tc>
      </w:tr>
    </w:tbl>
    <w:p w14:paraId="350E75E4" w14:textId="77777777" w:rsidR="00F96912" w:rsidRPr="00CD000E" w:rsidRDefault="00F96912" w:rsidP="00F96912">
      <w:pPr>
        <w:rPr>
          <w:sz w:val="20"/>
        </w:rPr>
      </w:pPr>
    </w:p>
    <w:p w14:paraId="06CD781C" w14:textId="77777777" w:rsidR="00F96912" w:rsidRPr="00CD000E" w:rsidRDefault="00F96912" w:rsidP="00F96912">
      <w:pPr>
        <w:keepNext/>
        <w:keepLines/>
        <w:jc w:val="center"/>
        <w:rPr>
          <w:sz w:val="18"/>
          <w:szCs w:val="18"/>
        </w:rPr>
      </w:pPr>
      <w:r w:rsidRPr="00CD000E">
        <w:rPr>
          <w:color w:val="000000"/>
          <w:sz w:val="18"/>
          <w:szCs w:val="18"/>
        </w:rPr>
        <w:t>Budget et dépenses effectives (par résultat)</w:t>
      </w:r>
    </w:p>
    <w:p w14:paraId="13857A34" w14:textId="77777777" w:rsidR="00F96912" w:rsidRPr="00CD000E" w:rsidRDefault="00F96912" w:rsidP="00F96912">
      <w:pPr>
        <w:keepNext/>
        <w:keepLines/>
        <w:jc w:val="center"/>
        <w:rPr>
          <w:i/>
          <w:iCs/>
          <w:color w:val="000000"/>
          <w:sz w:val="16"/>
          <w:szCs w:val="16"/>
        </w:rPr>
      </w:pPr>
      <w:r w:rsidRPr="00CD000E">
        <w:rPr>
          <w:i/>
          <w:iCs/>
          <w:color w:val="000000"/>
          <w:sz w:val="16"/>
          <w:szCs w:val="16"/>
        </w:rPr>
        <w:t>(en milliers de francs suisses)</w:t>
      </w:r>
    </w:p>
    <w:p w14:paraId="02ADE0EE"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506"/>
        <w:gridCol w:w="4207"/>
        <w:gridCol w:w="1572"/>
        <w:gridCol w:w="1572"/>
        <w:gridCol w:w="1430"/>
      </w:tblGrid>
      <w:tr w:rsidR="00F96912" w:rsidRPr="00CD000E" w14:paraId="39E7A2C9" w14:textId="77777777" w:rsidTr="006658D5">
        <w:trPr>
          <w:jc w:val="center"/>
        </w:trPr>
        <w:tc>
          <w:tcPr>
            <w:tcW w:w="4730" w:type="dxa"/>
            <w:gridSpan w:val="2"/>
            <w:tcBorders>
              <w:top w:val="nil"/>
              <w:left w:val="nil"/>
              <w:bottom w:val="nil"/>
              <w:right w:val="nil"/>
            </w:tcBorders>
            <w:shd w:val="clear" w:color="000000" w:fill="C5D9F1"/>
            <w:noWrap/>
            <w:vAlign w:val="center"/>
            <w:hideMark/>
          </w:tcPr>
          <w:p w14:paraId="639ABB3D" w14:textId="77777777" w:rsidR="00F96912" w:rsidRPr="00CD000E" w:rsidRDefault="00F96912" w:rsidP="006658D5">
            <w:pPr>
              <w:jc w:val="center"/>
              <w:rPr>
                <w:b/>
                <w:bCs/>
                <w:sz w:val="16"/>
                <w:szCs w:val="16"/>
              </w:rPr>
            </w:pPr>
            <w:r w:rsidRPr="00CD000E">
              <w:rPr>
                <w:b/>
                <w:bCs/>
                <w:sz w:val="16"/>
                <w:szCs w:val="16"/>
              </w:rPr>
              <w:t>Numéro et description du résultat escompté</w:t>
            </w:r>
          </w:p>
        </w:tc>
        <w:tc>
          <w:tcPr>
            <w:tcW w:w="1164" w:type="dxa"/>
            <w:tcBorders>
              <w:top w:val="nil"/>
              <w:left w:val="nil"/>
              <w:bottom w:val="nil"/>
              <w:right w:val="nil"/>
            </w:tcBorders>
            <w:shd w:val="clear" w:color="000000" w:fill="C5D9F1"/>
            <w:vAlign w:val="center"/>
            <w:hideMark/>
          </w:tcPr>
          <w:p w14:paraId="420DF685"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approuvé</w:t>
            </w:r>
          </w:p>
        </w:tc>
        <w:tc>
          <w:tcPr>
            <w:tcW w:w="1164" w:type="dxa"/>
            <w:tcBorders>
              <w:top w:val="nil"/>
              <w:left w:val="nil"/>
              <w:bottom w:val="nil"/>
              <w:right w:val="nil"/>
            </w:tcBorders>
            <w:shd w:val="clear" w:color="000000" w:fill="C5D9F1"/>
            <w:vAlign w:val="center"/>
            <w:hideMark/>
          </w:tcPr>
          <w:p w14:paraId="2CB71140" w14:textId="77777777" w:rsidR="00F96912" w:rsidRPr="00CD000E" w:rsidRDefault="00F96912" w:rsidP="006658D5">
            <w:pPr>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64" w:type="dxa"/>
            <w:tcBorders>
              <w:top w:val="nil"/>
              <w:left w:val="nil"/>
              <w:bottom w:val="nil"/>
              <w:right w:val="nil"/>
            </w:tcBorders>
            <w:shd w:val="clear" w:color="000000" w:fill="C5D9F1"/>
            <w:vAlign w:val="center"/>
            <w:hideMark/>
          </w:tcPr>
          <w:p w14:paraId="061DA24A" w14:textId="77777777" w:rsidR="00F96912" w:rsidRPr="00CD000E" w:rsidRDefault="00F96912" w:rsidP="006658D5">
            <w:pPr>
              <w:jc w:val="center"/>
              <w:rPr>
                <w:b/>
                <w:bCs/>
                <w:sz w:val="16"/>
                <w:szCs w:val="16"/>
              </w:rPr>
            </w:pPr>
            <w:r w:rsidRPr="00CD000E">
              <w:rPr>
                <w:b/>
                <w:bCs/>
                <w:sz w:val="16"/>
                <w:szCs w:val="16"/>
              </w:rPr>
              <w:t>Dépe</w:t>
            </w:r>
            <w:r>
              <w:rPr>
                <w:b/>
                <w:bCs/>
                <w:sz w:val="16"/>
                <w:szCs w:val="16"/>
              </w:rPr>
              <w:t>nses </w:t>
            </w:r>
            <w:r w:rsidRPr="00CD000E">
              <w:rPr>
                <w:b/>
                <w:bCs/>
                <w:sz w:val="16"/>
                <w:szCs w:val="16"/>
              </w:rPr>
              <w:t>2016*</w:t>
            </w:r>
          </w:p>
        </w:tc>
      </w:tr>
      <w:tr w:rsidR="00F96912" w:rsidRPr="00CD000E" w14:paraId="241511FD" w14:textId="77777777" w:rsidTr="006658D5">
        <w:trPr>
          <w:jc w:val="center"/>
        </w:trPr>
        <w:tc>
          <w:tcPr>
            <w:tcW w:w="507" w:type="dxa"/>
            <w:tcBorders>
              <w:top w:val="nil"/>
              <w:left w:val="nil"/>
              <w:bottom w:val="nil"/>
              <w:right w:val="nil"/>
            </w:tcBorders>
            <w:shd w:val="clear" w:color="auto" w:fill="auto"/>
            <w:noWrap/>
            <w:vAlign w:val="center"/>
            <w:hideMark/>
          </w:tcPr>
          <w:p w14:paraId="065CD1D0" w14:textId="77777777" w:rsidR="00F96912" w:rsidRPr="00CD000E" w:rsidRDefault="00F96912" w:rsidP="006658D5">
            <w:pPr>
              <w:rPr>
                <w:sz w:val="16"/>
                <w:szCs w:val="16"/>
              </w:rPr>
            </w:pPr>
            <w:r w:rsidRPr="00CD000E">
              <w:rPr>
                <w:sz w:val="16"/>
                <w:szCs w:val="16"/>
              </w:rPr>
              <w:t>IX.8</w:t>
            </w:r>
          </w:p>
        </w:tc>
        <w:tc>
          <w:tcPr>
            <w:tcW w:w="4223" w:type="dxa"/>
            <w:tcBorders>
              <w:top w:val="nil"/>
              <w:left w:val="nil"/>
              <w:bottom w:val="nil"/>
              <w:right w:val="nil"/>
            </w:tcBorders>
            <w:shd w:val="clear" w:color="auto" w:fill="auto"/>
            <w:vAlign w:val="center"/>
            <w:hideMark/>
          </w:tcPr>
          <w:p w14:paraId="31E9D568" w14:textId="77777777" w:rsidR="00F96912" w:rsidRPr="00CD000E" w:rsidRDefault="00F96912" w:rsidP="006658D5">
            <w:pPr>
              <w:rPr>
                <w:sz w:val="16"/>
                <w:szCs w:val="16"/>
              </w:rPr>
            </w:pPr>
            <w:r w:rsidRPr="00CD000E">
              <w:rPr>
                <w:sz w:val="16"/>
                <w:szCs w:val="16"/>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164" w:type="dxa"/>
            <w:tcBorders>
              <w:top w:val="nil"/>
              <w:left w:val="nil"/>
              <w:bottom w:val="nil"/>
              <w:right w:val="nil"/>
            </w:tcBorders>
            <w:shd w:val="clear" w:color="auto" w:fill="auto"/>
            <w:noWrap/>
            <w:vAlign w:val="center"/>
            <w:hideMark/>
          </w:tcPr>
          <w:p w14:paraId="72ACBD23" w14:textId="77777777" w:rsidR="00F96912" w:rsidRPr="00CD000E" w:rsidRDefault="00F96912" w:rsidP="006658D5">
            <w:pPr>
              <w:jc w:val="center"/>
              <w:rPr>
                <w:color w:val="000000"/>
                <w:sz w:val="16"/>
                <w:szCs w:val="16"/>
              </w:rPr>
            </w:pPr>
            <w:r w:rsidRPr="00CD000E">
              <w:rPr>
                <w:color w:val="000000"/>
                <w:sz w:val="16"/>
                <w:szCs w:val="16"/>
              </w:rPr>
              <w:t>5 358</w:t>
            </w:r>
          </w:p>
        </w:tc>
        <w:tc>
          <w:tcPr>
            <w:tcW w:w="1164" w:type="dxa"/>
            <w:tcBorders>
              <w:top w:val="nil"/>
              <w:left w:val="nil"/>
              <w:bottom w:val="nil"/>
              <w:right w:val="nil"/>
            </w:tcBorders>
            <w:shd w:val="clear" w:color="auto" w:fill="auto"/>
            <w:noWrap/>
            <w:vAlign w:val="center"/>
            <w:hideMark/>
          </w:tcPr>
          <w:p w14:paraId="67E0D70E" w14:textId="77777777" w:rsidR="00F96912" w:rsidRPr="00CD000E" w:rsidRDefault="00F96912" w:rsidP="006658D5">
            <w:pPr>
              <w:jc w:val="center"/>
              <w:rPr>
                <w:color w:val="000000"/>
                <w:sz w:val="16"/>
                <w:szCs w:val="16"/>
              </w:rPr>
            </w:pPr>
            <w:r w:rsidRPr="00CD000E">
              <w:rPr>
                <w:color w:val="000000"/>
                <w:sz w:val="16"/>
                <w:szCs w:val="16"/>
              </w:rPr>
              <w:t>5 450</w:t>
            </w:r>
          </w:p>
        </w:tc>
        <w:tc>
          <w:tcPr>
            <w:tcW w:w="1164" w:type="dxa"/>
            <w:tcBorders>
              <w:top w:val="nil"/>
              <w:left w:val="nil"/>
              <w:bottom w:val="nil"/>
              <w:right w:val="nil"/>
            </w:tcBorders>
            <w:shd w:val="clear" w:color="auto" w:fill="auto"/>
            <w:noWrap/>
            <w:vAlign w:val="center"/>
            <w:hideMark/>
          </w:tcPr>
          <w:p w14:paraId="37A73124" w14:textId="77777777" w:rsidR="00F96912" w:rsidRPr="00CD000E" w:rsidRDefault="00F96912" w:rsidP="006658D5">
            <w:pPr>
              <w:jc w:val="center"/>
              <w:rPr>
                <w:color w:val="000000"/>
                <w:sz w:val="16"/>
                <w:szCs w:val="16"/>
              </w:rPr>
            </w:pPr>
            <w:r w:rsidRPr="00CD000E">
              <w:rPr>
                <w:color w:val="000000"/>
                <w:sz w:val="16"/>
                <w:szCs w:val="16"/>
              </w:rPr>
              <w:t>2 049</w:t>
            </w:r>
          </w:p>
        </w:tc>
      </w:tr>
      <w:tr w:rsidR="00F96912" w:rsidRPr="00CD000E" w14:paraId="3237EEB5" w14:textId="77777777" w:rsidTr="006658D5">
        <w:trPr>
          <w:jc w:val="center"/>
        </w:trPr>
        <w:tc>
          <w:tcPr>
            <w:tcW w:w="507" w:type="dxa"/>
            <w:tcBorders>
              <w:top w:val="nil"/>
              <w:left w:val="nil"/>
              <w:bottom w:val="nil"/>
              <w:right w:val="nil"/>
            </w:tcBorders>
            <w:shd w:val="clear" w:color="000000" w:fill="C5D9F1"/>
            <w:noWrap/>
            <w:vAlign w:val="bottom"/>
            <w:hideMark/>
          </w:tcPr>
          <w:p w14:paraId="575FDD91" w14:textId="77777777" w:rsidR="00F96912" w:rsidRPr="00CD000E" w:rsidRDefault="00F96912" w:rsidP="006658D5">
            <w:pPr>
              <w:rPr>
                <w:sz w:val="16"/>
                <w:szCs w:val="16"/>
              </w:rPr>
            </w:pPr>
            <w:r w:rsidRPr="00CD000E">
              <w:rPr>
                <w:sz w:val="16"/>
                <w:szCs w:val="16"/>
              </w:rPr>
              <w:t> </w:t>
            </w:r>
          </w:p>
        </w:tc>
        <w:tc>
          <w:tcPr>
            <w:tcW w:w="4223" w:type="dxa"/>
            <w:tcBorders>
              <w:top w:val="nil"/>
              <w:left w:val="nil"/>
              <w:bottom w:val="nil"/>
              <w:right w:val="nil"/>
            </w:tcBorders>
            <w:shd w:val="clear" w:color="000000" w:fill="C5D9F1"/>
            <w:noWrap/>
            <w:vAlign w:val="bottom"/>
            <w:hideMark/>
          </w:tcPr>
          <w:p w14:paraId="13C3E888" w14:textId="77777777" w:rsidR="00F96912" w:rsidRPr="00CD000E" w:rsidRDefault="00F96912" w:rsidP="006658D5">
            <w:pPr>
              <w:jc w:val="right"/>
              <w:rPr>
                <w:b/>
                <w:bCs/>
                <w:sz w:val="16"/>
                <w:szCs w:val="16"/>
              </w:rPr>
            </w:pPr>
            <w:r w:rsidRPr="00CD000E">
              <w:rPr>
                <w:b/>
                <w:bCs/>
                <w:sz w:val="16"/>
                <w:szCs w:val="16"/>
              </w:rPr>
              <w:t>Total</w:t>
            </w:r>
          </w:p>
        </w:tc>
        <w:tc>
          <w:tcPr>
            <w:tcW w:w="1164" w:type="dxa"/>
            <w:tcBorders>
              <w:top w:val="nil"/>
              <w:left w:val="nil"/>
              <w:bottom w:val="nil"/>
              <w:right w:val="nil"/>
            </w:tcBorders>
            <w:shd w:val="clear" w:color="000000" w:fill="C5D9F1"/>
            <w:noWrap/>
            <w:vAlign w:val="center"/>
            <w:hideMark/>
          </w:tcPr>
          <w:p w14:paraId="5DBC6F9D" w14:textId="77777777" w:rsidR="00F96912" w:rsidRPr="00CD000E" w:rsidRDefault="00F96912" w:rsidP="006658D5">
            <w:pPr>
              <w:jc w:val="center"/>
              <w:rPr>
                <w:color w:val="000000"/>
                <w:sz w:val="16"/>
                <w:szCs w:val="16"/>
              </w:rPr>
            </w:pPr>
            <w:r w:rsidRPr="00CD000E">
              <w:rPr>
                <w:color w:val="000000"/>
                <w:sz w:val="16"/>
                <w:szCs w:val="16"/>
              </w:rPr>
              <w:t>5 358</w:t>
            </w:r>
          </w:p>
        </w:tc>
        <w:tc>
          <w:tcPr>
            <w:tcW w:w="1164" w:type="dxa"/>
            <w:tcBorders>
              <w:top w:val="nil"/>
              <w:left w:val="nil"/>
              <w:bottom w:val="nil"/>
              <w:right w:val="nil"/>
            </w:tcBorders>
            <w:shd w:val="clear" w:color="000000" w:fill="C5D9F1"/>
            <w:noWrap/>
            <w:vAlign w:val="center"/>
            <w:hideMark/>
          </w:tcPr>
          <w:p w14:paraId="2112BB72" w14:textId="77777777" w:rsidR="00F96912" w:rsidRPr="00CD000E" w:rsidRDefault="00F96912" w:rsidP="006658D5">
            <w:pPr>
              <w:jc w:val="center"/>
              <w:rPr>
                <w:color w:val="000000"/>
                <w:sz w:val="16"/>
                <w:szCs w:val="16"/>
              </w:rPr>
            </w:pPr>
            <w:r w:rsidRPr="00CD000E">
              <w:rPr>
                <w:color w:val="000000"/>
                <w:sz w:val="16"/>
                <w:szCs w:val="16"/>
              </w:rPr>
              <w:t>5 450</w:t>
            </w:r>
          </w:p>
        </w:tc>
        <w:tc>
          <w:tcPr>
            <w:tcW w:w="1164" w:type="dxa"/>
            <w:tcBorders>
              <w:top w:val="nil"/>
              <w:left w:val="nil"/>
              <w:bottom w:val="nil"/>
              <w:right w:val="nil"/>
            </w:tcBorders>
            <w:shd w:val="clear" w:color="000000" w:fill="C5D9F1"/>
            <w:noWrap/>
            <w:vAlign w:val="center"/>
            <w:hideMark/>
          </w:tcPr>
          <w:p w14:paraId="66ADBCFC" w14:textId="77777777" w:rsidR="00F96912" w:rsidRPr="00CD000E" w:rsidRDefault="00F96912" w:rsidP="006658D5">
            <w:pPr>
              <w:jc w:val="center"/>
              <w:rPr>
                <w:color w:val="000000"/>
                <w:sz w:val="16"/>
                <w:szCs w:val="16"/>
              </w:rPr>
            </w:pPr>
            <w:r w:rsidRPr="00CD000E">
              <w:rPr>
                <w:color w:val="000000"/>
                <w:sz w:val="16"/>
                <w:szCs w:val="16"/>
              </w:rPr>
              <w:t>2 049</w:t>
            </w:r>
          </w:p>
        </w:tc>
      </w:tr>
      <w:tr w:rsidR="00F96912" w:rsidRPr="00CD000E" w14:paraId="6A5D60EE" w14:textId="77777777" w:rsidTr="006658D5">
        <w:trPr>
          <w:jc w:val="center"/>
        </w:trPr>
        <w:tc>
          <w:tcPr>
            <w:tcW w:w="7058" w:type="dxa"/>
            <w:gridSpan w:val="4"/>
            <w:tcBorders>
              <w:top w:val="nil"/>
              <w:left w:val="nil"/>
              <w:bottom w:val="nil"/>
              <w:right w:val="nil"/>
            </w:tcBorders>
            <w:shd w:val="clear" w:color="auto" w:fill="auto"/>
            <w:noWrap/>
            <w:vAlign w:val="center"/>
            <w:hideMark/>
          </w:tcPr>
          <w:p w14:paraId="26CD6375" w14:textId="77777777" w:rsidR="00F96912" w:rsidRPr="00CD000E" w:rsidRDefault="00F96912" w:rsidP="006658D5">
            <w:pPr>
              <w:rPr>
                <w:i/>
                <w:iCs/>
                <w:sz w:val="16"/>
                <w:szCs w:val="16"/>
              </w:rPr>
            </w:pPr>
            <w:r w:rsidRPr="00CD000E">
              <w:rPr>
                <w:i/>
                <w:iCs/>
                <w:sz w:val="16"/>
                <w:szCs w:val="16"/>
              </w:rPr>
              <w:t>*Les chiffres des dépenses pour 2016 sont préliminaires, sous réserve d’audit par les vérificateurs externes des comptes</w:t>
            </w:r>
          </w:p>
        </w:tc>
        <w:tc>
          <w:tcPr>
            <w:tcW w:w="1164" w:type="dxa"/>
            <w:tcBorders>
              <w:top w:val="nil"/>
              <w:left w:val="nil"/>
              <w:bottom w:val="nil"/>
              <w:right w:val="nil"/>
            </w:tcBorders>
            <w:shd w:val="clear" w:color="auto" w:fill="auto"/>
            <w:noWrap/>
            <w:vAlign w:val="center"/>
            <w:hideMark/>
          </w:tcPr>
          <w:p w14:paraId="306D40D8" w14:textId="77777777" w:rsidR="00F96912" w:rsidRPr="00CD000E" w:rsidRDefault="00F96912" w:rsidP="006658D5">
            <w:pPr>
              <w:rPr>
                <w:sz w:val="16"/>
                <w:szCs w:val="16"/>
              </w:rPr>
            </w:pPr>
          </w:p>
        </w:tc>
      </w:tr>
    </w:tbl>
    <w:p w14:paraId="1B5C68B9" w14:textId="77777777" w:rsidR="00F96912" w:rsidRPr="00C022DD" w:rsidRDefault="00F96912" w:rsidP="00F96912">
      <w:pPr>
        <w:keepNext/>
        <w:keepLines/>
        <w:jc w:val="center"/>
        <w:rPr>
          <w:color w:val="000000"/>
          <w:szCs w:val="18"/>
        </w:rPr>
      </w:pPr>
    </w:p>
    <w:p w14:paraId="432A4804" w14:textId="77777777" w:rsidR="00F96912" w:rsidRPr="00CD000E" w:rsidRDefault="00F96912" w:rsidP="00F96912">
      <w:pPr>
        <w:keepNext/>
        <w:keepLines/>
        <w:jc w:val="center"/>
        <w:rPr>
          <w:color w:val="000000"/>
          <w:sz w:val="18"/>
          <w:szCs w:val="18"/>
        </w:rPr>
      </w:pPr>
      <w:r w:rsidRPr="00CD000E">
        <w:rPr>
          <w:color w:val="000000"/>
          <w:sz w:val="18"/>
          <w:szCs w:val="18"/>
        </w:rPr>
        <w:t>Budget et dépenses effectives (dépenses de personnel et autres dépenses)</w:t>
      </w:r>
    </w:p>
    <w:p w14:paraId="48198DE1" w14:textId="77777777" w:rsidR="00F96912" w:rsidRPr="00CD000E" w:rsidRDefault="00F96912" w:rsidP="00F96912">
      <w:pPr>
        <w:keepNext/>
        <w:keepLines/>
        <w:jc w:val="center"/>
        <w:rPr>
          <w:i/>
          <w:iCs/>
          <w:color w:val="000000"/>
          <w:sz w:val="16"/>
          <w:szCs w:val="16"/>
        </w:rPr>
      </w:pPr>
      <w:r w:rsidRPr="00CD000E">
        <w:rPr>
          <w:i/>
          <w:iCs/>
          <w:color w:val="000000"/>
          <w:sz w:val="16"/>
          <w:szCs w:val="16"/>
        </w:rPr>
        <w:t>(en milliers de francs suisses)</w:t>
      </w:r>
    </w:p>
    <w:p w14:paraId="1764D512" w14:textId="77777777" w:rsidR="00F96912" w:rsidRPr="00CD000E" w:rsidRDefault="00F96912" w:rsidP="00F96912">
      <w:pPr>
        <w:keepNext/>
        <w:keepLines/>
        <w:jc w:val="center"/>
        <w:rPr>
          <w:color w:val="000000"/>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CD000E" w14:paraId="57802652" w14:textId="77777777" w:rsidTr="006658D5">
        <w:trPr>
          <w:jc w:val="center"/>
        </w:trPr>
        <w:tc>
          <w:tcPr>
            <w:tcW w:w="2470" w:type="dxa"/>
            <w:tcBorders>
              <w:top w:val="nil"/>
              <w:left w:val="nil"/>
              <w:bottom w:val="nil"/>
              <w:right w:val="nil"/>
            </w:tcBorders>
            <w:shd w:val="clear" w:color="000000" w:fill="C5D9F1"/>
            <w:noWrap/>
            <w:vAlign w:val="center"/>
            <w:hideMark/>
          </w:tcPr>
          <w:p w14:paraId="124ECF56" w14:textId="77777777" w:rsidR="00F96912" w:rsidRPr="00CD000E" w:rsidRDefault="00F96912" w:rsidP="006658D5">
            <w:pPr>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7474C7C4"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3F20ACE1" w14:textId="77777777" w:rsidR="00F96912" w:rsidRPr="00CD000E" w:rsidRDefault="00F96912" w:rsidP="006658D5">
            <w:pPr>
              <w:jc w:val="center"/>
              <w:rPr>
                <w:b/>
                <w:bCs/>
                <w:color w:val="000000"/>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438" w:type="dxa"/>
            <w:tcBorders>
              <w:top w:val="nil"/>
              <w:left w:val="nil"/>
              <w:bottom w:val="nil"/>
              <w:right w:val="nil"/>
            </w:tcBorders>
            <w:shd w:val="clear" w:color="000000" w:fill="C5D9F1"/>
            <w:vAlign w:val="center"/>
            <w:hideMark/>
          </w:tcPr>
          <w:p w14:paraId="6395052F" w14:textId="77777777" w:rsidR="00F96912" w:rsidRPr="00CD000E" w:rsidRDefault="00F96912" w:rsidP="006658D5">
            <w:pPr>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66F4C6EB" w14:textId="77777777" w:rsidR="00F96912" w:rsidRPr="00A05E50" w:rsidRDefault="00F96912" w:rsidP="006658D5">
            <w:pPr>
              <w:jc w:val="center"/>
              <w:rPr>
                <w:b/>
                <w:bCs/>
                <w:sz w:val="16"/>
                <w:szCs w:val="16"/>
              </w:rPr>
            </w:pPr>
            <w:r w:rsidRPr="00A05E50">
              <w:rPr>
                <w:b/>
                <w:bCs/>
                <w:sz w:val="16"/>
                <w:szCs w:val="16"/>
              </w:rPr>
              <w:t>Taux d’utilisation (%)</w:t>
            </w:r>
          </w:p>
        </w:tc>
      </w:tr>
      <w:tr w:rsidR="00F96912" w:rsidRPr="00CD000E" w14:paraId="4E0CA525" w14:textId="77777777" w:rsidTr="006658D5">
        <w:trPr>
          <w:jc w:val="center"/>
        </w:trPr>
        <w:tc>
          <w:tcPr>
            <w:tcW w:w="2470" w:type="dxa"/>
            <w:tcBorders>
              <w:top w:val="nil"/>
              <w:left w:val="nil"/>
              <w:bottom w:val="nil"/>
              <w:right w:val="nil"/>
            </w:tcBorders>
            <w:shd w:val="clear" w:color="auto" w:fill="auto"/>
            <w:noWrap/>
            <w:vAlign w:val="center"/>
            <w:hideMark/>
          </w:tcPr>
          <w:p w14:paraId="6A4B08C7" w14:textId="77777777" w:rsidR="00F96912" w:rsidRPr="00CD000E" w:rsidRDefault="00F96912" w:rsidP="006658D5">
            <w:pPr>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5B9CB732" w14:textId="77777777" w:rsidR="00F96912" w:rsidRPr="00CD000E" w:rsidRDefault="00F96912" w:rsidP="006658D5">
            <w:pPr>
              <w:jc w:val="center"/>
              <w:rPr>
                <w:color w:val="000000"/>
                <w:sz w:val="16"/>
                <w:szCs w:val="16"/>
              </w:rPr>
            </w:pPr>
            <w:r w:rsidRPr="00CD000E">
              <w:rPr>
                <w:color w:val="000000"/>
                <w:sz w:val="16"/>
                <w:szCs w:val="16"/>
              </w:rPr>
              <w:t xml:space="preserve">4 658 </w:t>
            </w:r>
          </w:p>
        </w:tc>
        <w:tc>
          <w:tcPr>
            <w:tcW w:w="1438" w:type="dxa"/>
            <w:tcBorders>
              <w:top w:val="nil"/>
              <w:left w:val="nil"/>
              <w:bottom w:val="nil"/>
              <w:right w:val="nil"/>
            </w:tcBorders>
            <w:shd w:val="clear" w:color="auto" w:fill="auto"/>
            <w:vAlign w:val="center"/>
            <w:hideMark/>
          </w:tcPr>
          <w:p w14:paraId="262CF180" w14:textId="77777777" w:rsidR="00F96912" w:rsidRPr="00CD000E" w:rsidRDefault="00F96912" w:rsidP="006658D5">
            <w:pPr>
              <w:jc w:val="center"/>
              <w:rPr>
                <w:color w:val="000000"/>
                <w:sz w:val="16"/>
                <w:szCs w:val="16"/>
              </w:rPr>
            </w:pPr>
            <w:r w:rsidRPr="00CD000E">
              <w:rPr>
                <w:color w:val="000000"/>
                <w:sz w:val="16"/>
                <w:szCs w:val="16"/>
              </w:rPr>
              <w:t xml:space="preserve">4 790 </w:t>
            </w:r>
          </w:p>
        </w:tc>
        <w:tc>
          <w:tcPr>
            <w:tcW w:w="1438" w:type="dxa"/>
            <w:tcBorders>
              <w:top w:val="nil"/>
              <w:left w:val="nil"/>
              <w:bottom w:val="nil"/>
              <w:right w:val="nil"/>
            </w:tcBorders>
            <w:shd w:val="clear" w:color="auto" w:fill="auto"/>
            <w:vAlign w:val="center"/>
            <w:hideMark/>
          </w:tcPr>
          <w:p w14:paraId="25398A67" w14:textId="77777777" w:rsidR="00F96912" w:rsidRPr="00CD000E" w:rsidRDefault="00F96912" w:rsidP="006658D5">
            <w:pPr>
              <w:jc w:val="center"/>
              <w:rPr>
                <w:color w:val="000000"/>
                <w:sz w:val="16"/>
                <w:szCs w:val="16"/>
              </w:rPr>
            </w:pPr>
            <w:r w:rsidRPr="00CD000E">
              <w:rPr>
                <w:color w:val="000000"/>
                <w:sz w:val="16"/>
                <w:szCs w:val="16"/>
              </w:rPr>
              <w:t xml:space="preserve">1 847 </w:t>
            </w:r>
          </w:p>
        </w:tc>
        <w:tc>
          <w:tcPr>
            <w:tcW w:w="1438" w:type="dxa"/>
            <w:tcBorders>
              <w:top w:val="nil"/>
              <w:left w:val="nil"/>
              <w:bottom w:val="nil"/>
              <w:right w:val="nil"/>
            </w:tcBorders>
            <w:shd w:val="clear" w:color="auto" w:fill="auto"/>
            <w:vAlign w:val="center"/>
            <w:hideMark/>
          </w:tcPr>
          <w:p w14:paraId="2B7F4F29" w14:textId="77777777" w:rsidR="00F96912" w:rsidRPr="00A05E50" w:rsidRDefault="00F96912" w:rsidP="006658D5">
            <w:pPr>
              <w:jc w:val="center"/>
              <w:rPr>
                <w:sz w:val="16"/>
                <w:szCs w:val="16"/>
              </w:rPr>
            </w:pPr>
            <w:r w:rsidRPr="00A05E50">
              <w:rPr>
                <w:sz w:val="16"/>
                <w:szCs w:val="16"/>
              </w:rPr>
              <w:t>39%</w:t>
            </w:r>
          </w:p>
        </w:tc>
      </w:tr>
      <w:tr w:rsidR="00F96912" w:rsidRPr="00CD000E" w14:paraId="7C89E986" w14:textId="77777777" w:rsidTr="006658D5">
        <w:trPr>
          <w:jc w:val="center"/>
        </w:trPr>
        <w:tc>
          <w:tcPr>
            <w:tcW w:w="2470" w:type="dxa"/>
            <w:tcBorders>
              <w:top w:val="nil"/>
              <w:left w:val="nil"/>
              <w:bottom w:val="nil"/>
              <w:right w:val="nil"/>
            </w:tcBorders>
            <w:shd w:val="clear" w:color="auto" w:fill="auto"/>
            <w:noWrap/>
            <w:vAlign w:val="center"/>
            <w:hideMark/>
          </w:tcPr>
          <w:p w14:paraId="562860B2" w14:textId="77777777" w:rsidR="00F96912" w:rsidRPr="00CD000E" w:rsidRDefault="00F96912" w:rsidP="006658D5">
            <w:pPr>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661267DA" w14:textId="77777777" w:rsidR="00F96912" w:rsidRPr="00CD000E" w:rsidRDefault="00F96912" w:rsidP="006658D5">
            <w:pPr>
              <w:jc w:val="center"/>
              <w:rPr>
                <w:color w:val="000000"/>
                <w:sz w:val="16"/>
                <w:szCs w:val="16"/>
              </w:rPr>
            </w:pPr>
            <w:r w:rsidRPr="00CD000E">
              <w:rPr>
                <w:color w:val="000000"/>
                <w:sz w:val="16"/>
                <w:szCs w:val="16"/>
              </w:rPr>
              <w:t xml:space="preserve">700 </w:t>
            </w:r>
          </w:p>
        </w:tc>
        <w:tc>
          <w:tcPr>
            <w:tcW w:w="1438" w:type="dxa"/>
            <w:tcBorders>
              <w:top w:val="nil"/>
              <w:left w:val="nil"/>
              <w:bottom w:val="nil"/>
              <w:right w:val="nil"/>
            </w:tcBorders>
            <w:shd w:val="clear" w:color="auto" w:fill="auto"/>
            <w:vAlign w:val="center"/>
            <w:hideMark/>
          </w:tcPr>
          <w:p w14:paraId="6B26F234" w14:textId="77777777" w:rsidR="00F96912" w:rsidRPr="00CD000E" w:rsidRDefault="00F96912" w:rsidP="006658D5">
            <w:pPr>
              <w:jc w:val="center"/>
              <w:rPr>
                <w:color w:val="000000"/>
                <w:sz w:val="16"/>
                <w:szCs w:val="16"/>
              </w:rPr>
            </w:pPr>
            <w:r w:rsidRPr="00CD000E">
              <w:rPr>
                <w:color w:val="000000"/>
                <w:sz w:val="16"/>
                <w:szCs w:val="16"/>
              </w:rPr>
              <w:t xml:space="preserve">659 </w:t>
            </w:r>
          </w:p>
        </w:tc>
        <w:tc>
          <w:tcPr>
            <w:tcW w:w="1438" w:type="dxa"/>
            <w:tcBorders>
              <w:top w:val="nil"/>
              <w:left w:val="nil"/>
              <w:bottom w:val="nil"/>
              <w:right w:val="nil"/>
            </w:tcBorders>
            <w:shd w:val="clear" w:color="auto" w:fill="auto"/>
            <w:vAlign w:val="center"/>
            <w:hideMark/>
          </w:tcPr>
          <w:p w14:paraId="5026B731" w14:textId="77777777" w:rsidR="00F96912" w:rsidRPr="00CD000E" w:rsidRDefault="00F96912" w:rsidP="006658D5">
            <w:pPr>
              <w:jc w:val="center"/>
              <w:rPr>
                <w:color w:val="000000"/>
                <w:sz w:val="16"/>
                <w:szCs w:val="16"/>
              </w:rPr>
            </w:pPr>
            <w:r w:rsidRPr="00CD000E">
              <w:rPr>
                <w:color w:val="000000"/>
                <w:sz w:val="16"/>
                <w:szCs w:val="16"/>
              </w:rPr>
              <w:t xml:space="preserve">202 </w:t>
            </w:r>
          </w:p>
        </w:tc>
        <w:tc>
          <w:tcPr>
            <w:tcW w:w="1438" w:type="dxa"/>
            <w:tcBorders>
              <w:top w:val="nil"/>
              <w:left w:val="nil"/>
              <w:bottom w:val="nil"/>
              <w:right w:val="nil"/>
            </w:tcBorders>
            <w:shd w:val="clear" w:color="auto" w:fill="auto"/>
            <w:vAlign w:val="center"/>
            <w:hideMark/>
          </w:tcPr>
          <w:p w14:paraId="784EA7D7" w14:textId="77777777" w:rsidR="00F96912" w:rsidRPr="00A05E50" w:rsidRDefault="00F96912" w:rsidP="006658D5">
            <w:pPr>
              <w:jc w:val="center"/>
              <w:rPr>
                <w:sz w:val="16"/>
                <w:szCs w:val="16"/>
              </w:rPr>
            </w:pPr>
            <w:r w:rsidRPr="00A05E50">
              <w:rPr>
                <w:sz w:val="16"/>
                <w:szCs w:val="16"/>
              </w:rPr>
              <w:t>31%</w:t>
            </w:r>
          </w:p>
        </w:tc>
      </w:tr>
      <w:tr w:rsidR="00F96912" w:rsidRPr="00CD000E" w14:paraId="58608F26" w14:textId="77777777" w:rsidTr="006658D5">
        <w:trPr>
          <w:jc w:val="center"/>
        </w:trPr>
        <w:tc>
          <w:tcPr>
            <w:tcW w:w="2470" w:type="dxa"/>
            <w:tcBorders>
              <w:top w:val="nil"/>
              <w:left w:val="nil"/>
              <w:bottom w:val="nil"/>
              <w:right w:val="nil"/>
            </w:tcBorders>
            <w:shd w:val="clear" w:color="000000" w:fill="C5D9F1"/>
            <w:noWrap/>
            <w:vAlign w:val="center"/>
            <w:hideMark/>
          </w:tcPr>
          <w:p w14:paraId="51D0B4A3" w14:textId="77777777" w:rsidR="00F96912" w:rsidRPr="00CD000E" w:rsidRDefault="00F96912" w:rsidP="006658D5">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4EAEADE7" w14:textId="77777777" w:rsidR="00F96912" w:rsidRPr="00CD000E" w:rsidRDefault="00F96912" w:rsidP="006658D5">
            <w:pPr>
              <w:jc w:val="center"/>
              <w:rPr>
                <w:b/>
                <w:bCs/>
                <w:color w:val="000000"/>
                <w:sz w:val="16"/>
                <w:szCs w:val="16"/>
              </w:rPr>
            </w:pPr>
            <w:r w:rsidRPr="00CD000E">
              <w:rPr>
                <w:b/>
                <w:bCs/>
                <w:color w:val="000000"/>
                <w:sz w:val="16"/>
                <w:szCs w:val="16"/>
              </w:rPr>
              <w:t xml:space="preserve">5 358 </w:t>
            </w:r>
          </w:p>
        </w:tc>
        <w:tc>
          <w:tcPr>
            <w:tcW w:w="1438" w:type="dxa"/>
            <w:tcBorders>
              <w:top w:val="nil"/>
              <w:left w:val="nil"/>
              <w:bottom w:val="nil"/>
              <w:right w:val="nil"/>
            </w:tcBorders>
            <w:shd w:val="clear" w:color="000000" w:fill="C5D9F1"/>
            <w:vAlign w:val="center"/>
            <w:hideMark/>
          </w:tcPr>
          <w:p w14:paraId="1E5244D9" w14:textId="77777777" w:rsidR="00F96912" w:rsidRPr="00CD000E" w:rsidRDefault="00F96912" w:rsidP="006658D5">
            <w:pPr>
              <w:jc w:val="center"/>
              <w:rPr>
                <w:b/>
                <w:bCs/>
                <w:color w:val="000000"/>
                <w:sz w:val="16"/>
                <w:szCs w:val="16"/>
              </w:rPr>
            </w:pPr>
            <w:r w:rsidRPr="00CD000E">
              <w:rPr>
                <w:b/>
                <w:bCs/>
                <w:color w:val="000000"/>
                <w:sz w:val="16"/>
                <w:szCs w:val="16"/>
              </w:rPr>
              <w:t xml:space="preserve">5 450 </w:t>
            </w:r>
          </w:p>
        </w:tc>
        <w:tc>
          <w:tcPr>
            <w:tcW w:w="1438" w:type="dxa"/>
            <w:tcBorders>
              <w:top w:val="nil"/>
              <w:left w:val="nil"/>
              <w:bottom w:val="nil"/>
              <w:right w:val="nil"/>
            </w:tcBorders>
            <w:shd w:val="clear" w:color="000000" w:fill="C5D9F1"/>
            <w:vAlign w:val="center"/>
            <w:hideMark/>
          </w:tcPr>
          <w:p w14:paraId="5527E8B6" w14:textId="77777777" w:rsidR="00F96912" w:rsidRPr="00CD000E" w:rsidRDefault="00F96912" w:rsidP="006658D5">
            <w:pPr>
              <w:jc w:val="center"/>
              <w:rPr>
                <w:b/>
                <w:bCs/>
                <w:color w:val="000000"/>
                <w:sz w:val="16"/>
                <w:szCs w:val="16"/>
              </w:rPr>
            </w:pPr>
            <w:r w:rsidRPr="00CD000E">
              <w:rPr>
                <w:b/>
                <w:bCs/>
                <w:color w:val="000000"/>
                <w:sz w:val="16"/>
                <w:szCs w:val="16"/>
              </w:rPr>
              <w:t xml:space="preserve">2 049 </w:t>
            </w:r>
          </w:p>
        </w:tc>
        <w:tc>
          <w:tcPr>
            <w:tcW w:w="1438" w:type="dxa"/>
            <w:tcBorders>
              <w:top w:val="nil"/>
              <w:left w:val="nil"/>
              <w:bottom w:val="nil"/>
              <w:right w:val="nil"/>
            </w:tcBorders>
            <w:shd w:val="clear" w:color="000000" w:fill="C5D9F1"/>
            <w:vAlign w:val="center"/>
            <w:hideMark/>
          </w:tcPr>
          <w:p w14:paraId="77176A93" w14:textId="77777777" w:rsidR="00F96912" w:rsidRPr="00A05E50" w:rsidRDefault="00F96912" w:rsidP="006658D5">
            <w:pPr>
              <w:jc w:val="center"/>
              <w:rPr>
                <w:b/>
                <w:bCs/>
                <w:sz w:val="16"/>
                <w:szCs w:val="16"/>
              </w:rPr>
            </w:pPr>
            <w:r w:rsidRPr="00A05E50">
              <w:rPr>
                <w:b/>
                <w:bCs/>
                <w:sz w:val="16"/>
                <w:szCs w:val="16"/>
              </w:rPr>
              <w:t>38%</w:t>
            </w:r>
          </w:p>
        </w:tc>
      </w:tr>
      <w:tr w:rsidR="00F96912" w:rsidRPr="00CD000E" w14:paraId="113A825B"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0B60877D" w14:textId="77777777" w:rsidR="00F96912" w:rsidRPr="00A05E50" w:rsidRDefault="00F96912" w:rsidP="006658D5">
            <w:pPr>
              <w:rPr>
                <w:i/>
                <w:iCs/>
                <w:sz w:val="16"/>
                <w:szCs w:val="16"/>
              </w:rPr>
            </w:pPr>
            <w:r w:rsidRPr="00A05E50">
              <w:rPr>
                <w:i/>
                <w:iCs/>
                <w:sz w:val="16"/>
                <w:szCs w:val="16"/>
              </w:rPr>
              <w:t xml:space="preserve">*Les chiffres des dépenses pour 2016 sont préliminaires, sous réserve d’audit par les vérificateurs externes des comptes </w:t>
            </w:r>
          </w:p>
        </w:tc>
      </w:tr>
    </w:tbl>
    <w:p w14:paraId="0CA79C87" w14:textId="77777777" w:rsidR="00F96912" w:rsidRPr="00CD000E" w:rsidRDefault="00F96912" w:rsidP="00F96912">
      <w:pPr>
        <w:rPr>
          <w:sz w:val="20"/>
        </w:rPr>
      </w:pPr>
    </w:p>
    <w:p w14:paraId="152C94C1" w14:textId="59C746DA" w:rsidR="00F96912" w:rsidRPr="00CD000E" w:rsidRDefault="00F96912" w:rsidP="00F96912">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6A535BF2" w14:textId="77777777" w:rsidR="00F96912" w:rsidRPr="00CD000E" w:rsidRDefault="00F96912" w:rsidP="00F96912">
      <w:pPr>
        <w:rPr>
          <w:sz w:val="20"/>
        </w:rPr>
      </w:pPr>
    </w:p>
    <w:p w14:paraId="1AFB36B9" w14:textId="77777777" w:rsidR="00F96912" w:rsidRPr="00CD000E" w:rsidRDefault="00F96912" w:rsidP="00F96912">
      <w:pPr>
        <w:jc w:val="both"/>
        <w:rPr>
          <w:sz w:val="20"/>
        </w:rPr>
      </w:pPr>
    </w:p>
    <w:p w14:paraId="326F0896" w14:textId="77777777" w:rsidR="00F96912" w:rsidRPr="00A05E50" w:rsidRDefault="00F96912" w:rsidP="00F96912">
      <w:pPr>
        <w:jc w:val="both"/>
        <w:rPr>
          <w:sz w:val="20"/>
          <w:u w:val="single"/>
        </w:rPr>
      </w:pPr>
      <w:r w:rsidRPr="00A05E50">
        <w:rPr>
          <w:sz w:val="20"/>
        </w:rPr>
        <w:t>A.</w:t>
      </w:r>
      <w:r w:rsidRPr="00A05E50">
        <w:rPr>
          <w:sz w:val="20"/>
        </w:rPr>
        <w:tab/>
      </w:r>
      <w:r w:rsidRPr="00A05E50">
        <w:rPr>
          <w:sz w:val="20"/>
          <w:u w:val="single"/>
        </w:rPr>
        <w:t>Budget 2016</w:t>
      </w:r>
      <w:r w:rsidRPr="00A05E50">
        <w:rPr>
          <w:sz w:val="20"/>
          <w:u w:val="single"/>
        </w:rPr>
        <w:noBreakHyphen/>
        <w:t>2017 après virements</w:t>
      </w:r>
    </w:p>
    <w:p w14:paraId="68A930DD" w14:textId="77777777" w:rsidR="00F96912" w:rsidRPr="00A05E50" w:rsidRDefault="00F96912" w:rsidP="00F96912">
      <w:pPr>
        <w:jc w:val="both"/>
        <w:rPr>
          <w:sz w:val="20"/>
        </w:rPr>
      </w:pPr>
    </w:p>
    <w:p w14:paraId="3DC48E57" w14:textId="77777777" w:rsidR="00F96912" w:rsidRPr="00A05E50" w:rsidRDefault="00F96912" w:rsidP="00D544B8">
      <w:pPr>
        <w:pStyle w:val="ListParagraph"/>
        <w:keepNext/>
        <w:keepLines/>
        <w:numPr>
          <w:ilvl w:val="0"/>
          <w:numId w:val="36"/>
        </w:numPr>
        <w:tabs>
          <w:tab w:val="left" w:pos="0"/>
          <w:tab w:val="left" w:pos="709"/>
        </w:tabs>
        <w:autoSpaceDE w:val="0"/>
        <w:autoSpaceDN w:val="0"/>
        <w:ind w:left="0" w:firstLine="0"/>
        <w:jc w:val="both"/>
        <w:rPr>
          <w:rFonts w:ascii="Arial" w:hAnsi="Arial" w:cs="Arial"/>
          <w:sz w:val="20"/>
          <w:szCs w:val="20"/>
          <w:lang w:eastAsia="ko-KR"/>
        </w:rPr>
      </w:pPr>
      <w:r w:rsidRPr="00A05E50">
        <w:rPr>
          <w:rFonts w:ascii="Arial" w:hAnsi="Arial" w:cs="Arial"/>
          <w:color w:val="000000"/>
          <w:sz w:val="20"/>
          <w:szCs w:val="20"/>
          <w:lang w:eastAsia="zh-CN"/>
        </w:rPr>
        <w:t xml:space="preserve">L’augmentation générale du budget </w:t>
      </w:r>
      <w:r w:rsidRPr="00A05E50">
        <w:rPr>
          <w:rFonts w:ascii="Arial" w:hAnsi="Arial" w:cs="Arial"/>
          <w:sz w:val="20"/>
          <w:szCs w:val="20"/>
          <w:lang w:eastAsia="ko-KR"/>
        </w:rPr>
        <w:t>2016</w:t>
      </w:r>
      <w:r w:rsidRPr="00A05E50">
        <w:rPr>
          <w:rFonts w:ascii="Arial" w:hAnsi="Arial" w:cs="Arial"/>
          <w:sz w:val="20"/>
          <w:szCs w:val="20"/>
          <w:lang w:eastAsia="ko-KR"/>
        </w:rPr>
        <w:noBreakHyphen/>
        <w:t>2017 après virements par rapport au budget 2016</w:t>
      </w:r>
      <w:r w:rsidRPr="00A05E50">
        <w:rPr>
          <w:rFonts w:ascii="Arial" w:hAnsi="Arial" w:cs="Arial"/>
          <w:sz w:val="20"/>
          <w:szCs w:val="20"/>
          <w:lang w:eastAsia="ko-KR"/>
        </w:rPr>
        <w:noBreakHyphen/>
        <w:t>2017 approuvé découlait principalement de l’augmentation des dépenses de personnel allouées au programme pour répondre à la nécessité d’engager un enquêteur en contrat de courte durée afin d’améliorer la qualité et la rapidité des travaux menés par la section des enquêtes de la DSI.  La légère baisse des dépenses hors personnel était due au transfert de ressources pour des stages auprès de la DG</w:t>
      </w:r>
      <w:r w:rsidRPr="00A05E50">
        <w:rPr>
          <w:rFonts w:ascii="Arial" w:hAnsi="Arial" w:cs="Arial"/>
          <w:sz w:val="20"/>
          <w:szCs w:val="20"/>
        </w:rPr>
        <w:t>RH (programme</w:t>
      </w:r>
      <w:r>
        <w:rPr>
          <w:rFonts w:ascii="Arial" w:hAnsi="Arial" w:cs="Arial"/>
          <w:sz w:val="20"/>
          <w:szCs w:val="20"/>
        </w:rPr>
        <w:t> </w:t>
      </w:r>
      <w:r w:rsidRPr="00A05E50">
        <w:rPr>
          <w:rFonts w:ascii="Arial" w:hAnsi="Arial" w:cs="Arial"/>
          <w:sz w:val="20"/>
          <w:szCs w:val="20"/>
        </w:rPr>
        <w:t>23), qui centralise la gestion des stagiaires.</w:t>
      </w:r>
    </w:p>
    <w:p w14:paraId="38956357" w14:textId="77777777" w:rsidR="00F96912" w:rsidRPr="00A05E50" w:rsidRDefault="00F96912" w:rsidP="00F96912">
      <w:pPr>
        <w:jc w:val="both"/>
        <w:rPr>
          <w:sz w:val="20"/>
        </w:rPr>
      </w:pPr>
    </w:p>
    <w:p w14:paraId="5610E23C" w14:textId="77777777" w:rsidR="00F96912" w:rsidRPr="00A05E50" w:rsidRDefault="00F96912" w:rsidP="00F96912">
      <w:pPr>
        <w:jc w:val="both"/>
        <w:rPr>
          <w:sz w:val="20"/>
          <w:u w:val="single"/>
        </w:rPr>
      </w:pPr>
      <w:r w:rsidRPr="00A05E50">
        <w:rPr>
          <w:sz w:val="20"/>
        </w:rPr>
        <w:t>B.</w:t>
      </w:r>
      <w:r w:rsidRPr="00A05E50">
        <w:rPr>
          <w:sz w:val="20"/>
        </w:rPr>
        <w:tab/>
      </w:r>
      <w:r w:rsidRPr="00A05E50">
        <w:rPr>
          <w:sz w:val="20"/>
          <w:u w:val="single"/>
        </w:rPr>
        <w:t>Utilisation du budget 2016</w:t>
      </w:r>
      <w:r w:rsidRPr="00A05E50">
        <w:rPr>
          <w:sz w:val="20"/>
          <w:u w:val="single"/>
        </w:rPr>
        <w:noBreakHyphen/>
        <w:t>2017</w:t>
      </w:r>
    </w:p>
    <w:p w14:paraId="60C40BA2" w14:textId="77777777" w:rsidR="00F96912" w:rsidRPr="00A05E50" w:rsidRDefault="00F96912" w:rsidP="00F96912">
      <w:pPr>
        <w:jc w:val="both"/>
        <w:rPr>
          <w:sz w:val="20"/>
        </w:rPr>
      </w:pPr>
    </w:p>
    <w:p w14:paraId="5BFF3F02" w14:textId="77777777" w:rsidR="00F96912" w:rsidRPr="00A05E50" w:rsidRDefault="00F96912" w:rsidP="00D544B8">
      <w:pPr>
        <w:pStyle w:val="ListParagraph"/>
        <w:keepNext/>
        <w:keepLines/>
        <w:numPr>
          <w:ilvl w:val="0"/>
          <w:numId w:val="36"/>
        </w:numPr>
        <w:tabs>
          <w:tab w:val="left" w:pos="0"/>
          <w:tab w:val="left" w:pos="709"/>
        </w:tabs>
        <w:autoSpaceDE w:val="0"/>
        <w:autoSpaceDN w:val="0"/>
        <w:ind w:left="0" w:firstLine="0"/>
        <w:jc w:val="both"/>
        <w:rPr>
          <w:rFonts w:ascii="Arial" w:hAnsi="Arial" w:cs="Arial"/>
          <w:b/>
          <w:color w:val="000000"/>
          <w:sz w:val="20"/>
          <w:szCs w:val="20"/>
          <w:u w:val="single"/>
          <w:lang w:eastAsia="zh-CN"/>
        </w:rPr>
      </w:pPr>
      <w:r w:rsidRPr="00A05E50">
        <w:rPr>
          <w:rFonts w:ascii="Arial" w:hAnsi="Arial" w:cs="Arial"/>
          <w:color w:val="000000"/>
          <w:sz w:val="20"/>
          <w:szCs w:val="20"/>
          <w:lang w:eastAsia="zh-CN"/>
        </w:rPr>
        <w:t>L’utilisation des dépenses de personnel dans le budget</w:t>
      </w:r>
      <w:r w:rsidRPr="00A05E50">
        <w:rPr>
          <w:rFonts w:ascii="Arial" w:hAnsi="Arial" w:cs="Arial"/>
          <w:sz w:val="20"/>
          <w:szCs w:val="20"/>
        </w:rPr>
        <w:t xml:space="preserve"> a été plus faible que prévu en raison de deux postes vacants et de certains emplois à temps partiel maintenus durant la majeure partie de l’année.  Les dépenses autres que celles de personnel ont également été inférieures aux prévisions en ce qui concerne les activités en matière d’audit, d’évaluation et d’enquête.</w:t>
      </w:r>
    </w:p>
    <w:p w14:paraId="6A2124EA" w14:textId="77777777" w:rsidR="00F96912" w:rsidRPr="00CD000E" w:rsidRDefault="00F96912" w:rsidP="00F96912">
      <w:pPr>
        <w:rPr>
          <w:color w:val="000000"/>
          <w:sz w:val="20"/>
        </w:rPr>
      </w:pPr>
    </w:p>
    <w:p w14:paraId="14920226" w14:textId="77777777" w:rsidR="00F96912" w:rsidRPr="00CD000E" w:rsidRDefault="00F96912" w:rsidP="00F96912">
      <w:pPr>
        <w:rPr>
          <w:rFonts w:eastAsia="SimSun"/>
          <w:b/>
          <w:bCs/>
          <w:iCs/>
          <w:caps/>
          <w:szCs w:val="28"/>
        </w:rPr>
      </w:pPr>
      <w:bookmarkStart w:id="81" w:name="_Toc454544501"/>
      <w:r w:rsidRPr="00CD000E">
        <w:rPr>
          <w:b/>
        </w:rPr>
        <w:br w:type="page"/>
      </w:r>
    </w:p>
    <w:p w14:paraId="406916D0" w14:textId="77777777" w:rsidR="00F96912" w:rsidRPr="00CD000E" w:rsidRDefault="00F96912" w:rsidP="0087680E">
      <w:pPr>
        <w:pStyle w:val="Heading3"/>
      </w:pPr>
      <w:bookmarkStart w:id="82" w:name="_Toc482774626"/>
      <w:bookmarkEnd w:id="81"/>
      <w:r w:rsidRPr="00CD000E">
        <w:rPr>
          <w:color w:val="000000"/>
        </w:rPr>
        <w:t>P</w:t>
      </w:r>
      <w:r w:rsidRPr="00CD000E">
        <w:t>rogramme 27</w:t>
      </w:r>
      <w:r w:rsidRPr="00CD000E">
        <w:tab/>
        <w:t>Services de conférence et services linguistiques</w:t>
      </w:r>
      <w:bookmarkEnd w:id="82"/>
    </w:p>
    <w:p w14:paraId="1A9D0D72" w14:textId="77777777" w:rsidR="00F96912" w:rsidRPr="00CD000E" w:rsidRDefault="00F96912" w:rsidP="00F96912">
      <w:pPr>
        <w:tabs>
          <w:tab w:val="left" w:pos="2268"/>
        </w:tabs>
        <w:jc w:val="both"/>
        <w:rPr>
          <w:sz w:val="20"/>
        </w:rPr>
      </w:pPr>
    </w:p>
    <w:p w14:paraId="161986C3" w14:textId="77777777" w:rsidR="00F96912" w:rsidRPr="00CD000E" w:rsidRDefault="00F96912" w:rsidP="00F96912">
      <w:pPr>
        <w:tabs>
          <w:tab w:val="left" w:pos="2268"/>
        </w:tabs>
        <w:jc w:val="both"/>
      </w:pPr>
      <w:r w:rsidRPr="00CD000E">
        <w:rPr>
          <w:b/>
          <w:sz w:val="20"/>
        </w:rPr>
        <w:t>Chef de programme</w:t>
      </w:r>
      <w:r w:rsidRPr="00CD000E">
        <w:rPr>
          <w:b/>
          <w:sz w:val="20"/>
        </w:rPr>
        <w:tab/>
        <w:t>M. A. Sundaram</w:t>
      </w:r>
    </w:p>
    <w:p w14:paraId="6C53B117" w14:textId="77777777" w:rsidR="00F96912" w:rsidRPr="00CD000E" w:rsidRDefault="00F96912" w:rsidP="00F96912">
      <w:pPr>
        <w:jc w:val="center"/>
      </w:pPr>
      <w:r w:rsidRPr="00CD000E">
        <w:rPr>
          <w:noProof/>
          <w:lang w:val="en-US"/>
        </w:rPr>
        <w:drawing>
          <wp:inline distT="0" distB="0" distL="0" distR="0" wp14:anchorId="518C1112" wp14:editId="0577C1A0">
            <wp:extent cx="3960778" cy="273600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40"/>
        <w:gridCol w:w="2300"/>
        <w:gridCol w:w="1366"/>
        <w:gridCol w:w="2531"/>
        <w:gridCol w:w="1050"/>
      </w:tblGrid>
      <w:tr w:rsidR="00F96912" w:rsidRPr="00CD000E" w14:paraId="4773423C" w14:textId="77777777" w:rsidTr="006658D5">
        <w:tc>
          <w:tcPr>
            <w:tcW w:w="5000" w:type="pct"/>
            <w:gridSpan w:val="5"/>
            <w:shd w:val="clear" w:color="auto" w:fill="C6D9F1" w:themeFill="text2" w:themeFillTint="33"/>
            <w:tcMar>
              <w:left w:w="58" w:type="dxa"/>
              <w:right w:w="58" w:type="dxa"/>
            </w:tcMar>
            <w:vAlign w:val="center"/>
          </w:tcPr>
          <w:p w14:paraId="61BDBFC8" w14:textId="77777777" w:rsidR="00F96912" w:rsidRPr="00CD000E" w:rsidRDefault="00F96912" w:rsidP="006658D5">
            <w:pPr>
              <w:tabs>
                <w:tab w:val="left" w:pos="1452"/>
              </w:tabs>
              <w:rPr>
                <w:b/>
                <w:bCs/>
                <w:sz w:val="16"/>
                <w:szCs w:val="16"/>
              </w:rPr>
            </w:pPr>
            <w:r w:rsidRPr="00CD000E">
              <w:rPr>
                <w:b/>
                <w:bCs/>
                <w:sz w:val="16"/>
                <w:szCs w:val="16"/>
              </w:rPr>
              <w:t xml:space="preserve">Résultat escompté : </w:t>
            </w:r>
            <w:r w:rsidRPr="00CD000E">
              <w:rPr>
                <w:bCs/>
                <w:sz w:val="16"/>
                <w:szCs w:val="16"/>
              </w:rPr>
              <w:t>IX.1 Services d’appui efficaces, efficients, de qualité et tournés vers la clientèle, à l’intention à la fois des clients internes et des parties prenantes externes</w:t>
            </w:r>
          </w:p>
        </w:tc>
      </w:tr>
      <w:tr w:rsidR="00F96912" w:rsidRPr="00CD000E" w14:paraId="7C4FEBC6" w14:textId="77777777" w:rsidTr="006658D5">
        <w:tc>
          <w:tcPr>
            <w:tcW w:w="1071" w:type="pct"/>
            <w:shd w:val="clear" w:color="auto" w:fill="auto"/>
            <w:tcMar>
              <w:left w:w="58" w:type="dxa"/>
              <w:right w:w="58" w:type="dxa"/>
            </w:tcMar>
            <w:vAlign w:val="center"/>
          </w:tcPr>
          <w:p w14:paraId="2BC0C4D3" w14:textId="77777777" w:rsidR="00F96912" w:rsidRPr="00CD000E" w:rsidRDefault="00F96912" w:rsidP="006658D5">
            <w:pPr>
              <w:jc w:val="center"/>
              <w:rPr>
                <w:b/>
                <w:bCs/>
                <w:sz w:val="16"/>
                <w:szCs w:val="16"/>
              </w:rPr>
            </w:pPr>
            <w:r w:rsidRPr="00CD000E">
              <w:rPr>
                <w:b/>
                <w:bCs/>
                <w:sz w:val="16"/>
                <w:szCs w:val="16"/>
              </w:rPr>
              <w:t>Indicateurs d’exécution</w:t>
            </w:r>
          </w:p>
        </w:tc>
        <w:tc>
          <w:tcPr>
            <w:tcW w:w="1267" w:type="pct"/>
            <w:shd w:val="clear" w:color="auto" w:fill="auto"/>
            <w:tcMar>
              <w:left w:w="58" w:type="dxa"/>
              <w:right w:w="58" w:type="dxa"/>
            </w:tcMar>
            <w:vAlign w:val="center"/>
          </w:tcPr>
          <w:p w14:paraId="1D4BA201" w14:textId="77777777" w:rsidR="00F96912" w:rsidRPr="00CD000E" w:rsidRDefault="00F96912" w:rsidP="006658D5">
            <w:pPr>
              <w:jc w:val="center"/>
              <w:rPr>
                <w:b/>
                <w:bCs/>
                <w:sz w:val="16"/>
                <w:szCs w:val="16"/>
              </w:rPr>
            </w:pPr>
            <w:r w:rsidRPr="00CD000E">
              <w:rPr>
                <w:b/>
                <w:bCs/>
                <w:sz w:val="16"/>
                <w:szCs w:val="16"/>
              </w:rPr>
              <w:t>Niveaux de référence</w:t>
            </w:r>
          </w:p>
        </w:tc>
        <w:tc>
          <w:tcPr>
            <w:tcW w:w="758" w:type="pct"/>
            <w:shd w:val="clear" w:color="auto" w:fill="auto"/>
            <w:tcMar>
              <w:top w:w="110" w:type="dxa"/>
              <w:left w:w="58" w:type="dxa"/>
              <w:right w:w="58" w:type="dxa"/>
            </w:tcMar>
            <w:vAlign w:val="center"/>
          </w:tcPr>
          <w:p w14:paraId="7992C18C"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392" w:type="pct"/>
            <w:shd w:val="clear" w:color="auto" w:fill="FFFFFF"/>
            <w:tcMar>
              <w:top w:w="110" w:type="dxa"/>
              <w:left w:w="58" w:type="dxa"/>
              <w:right w:w="58" w:type="dxa"/>
            </w:tcMar>
            <w:vAlign w:val="center"/>
          </w:tcPr>
          <w:p w14:paraId="0E18191D"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512" w:type="pct"/>
            <w:shd w:val="clear" w:color="auto" w:fill="auto"/>
            <w:tcMar>
              <w:top w:w="110" w:type="dxa"/>
              <w:left w:w="58" w:type="dxa"/>
              <w:right w:w="58" w:type="dxa"/>
            </w:tcMar>
            <w:vAlign w:val="center"/>
          </w:tcPr>
          <w:p w14:paraId="4D882DC0" w14:textId="77777777" w:rsidR="00F96912" w:rsidRPr="00CD000E" w:rsidRDefault="00F96912" w:rsidP="006658D5">
            <w:pPr>
              <w:jc w:val="center"/>
              <w:rPr>
                <w:b/>
                <w:bCs/>
                <w:sz w:val="16"/>
                <w:szCs w:val="16"/>
              </w:rPr>
            </w:pPr>
            <w:r w:rsidRPr="00CD000E">
              <w:rPr>
                <w:b/>
                <w:bCs/>
                <w:sz w:val="16"/>
                <w:szCs w:val="16"/>
              </w:rPr>
              <w:t>Code d’évaluation</w:t>
            </w:r>
          </w:p>
        </w:tc>
      </w:tr>
      <w:tr w:rsidR="00F96912" w:rsidRPr="00EE4D36" w14:paraId="2E9B1D2C" w14:textId="77777777" w:rsidTr="006658D5">
        <w:tc>
          <w:tcPr>
            <w:tcW w:w="1071" w:type="pct"/>
            <w:shd w:val="clear" w:color="auto" w:fill="auto"/>
            <w:tcMar>
              <w:left w:w="58" w:type="dxa"/>
              <w:right w:w="58" w:type="dxa"/>
            </w:tcMar>
          </w:tcPr>
          <w:p w14:paraId="211500A5" w14:textId="77777777" w:rsidR="00F96912" w:rsidRPr="00EE4D36" w:rsidRDefault="00F96912" w:rsidP="006658D5">
            <w:pPr>
              <w:rPr>
                <w:color w:val="000000"/>
                <w:sz w:val="16"/>
                <w:szCs w:val="16"/>
              </w:rPr>
            </w:pPr>
            <w:r w:rsidRPr="00EE4D36">
              <w:rPr>
                <w:sz w:val="16"/>
                <w:szCs w:val="16"/>
              </w:rPr>
              <w:t>Pourcentage de participants internes et externes satisfaits des services de conférence de l’OMPI</w:t>
            </w:r>
          </w:p>
        </w:tc>
        <w:tc>
          <w:tcPr>
            <w:tcW w:w="1267" w:type="pct"/>
            <w:shd w:val="clear" w:color="auto" w:fill="auto"/>
            <w:tcMar>
              <w:left w:w="58" w:type="dxa"/>
              <w:right w:w="58" w:type="dxa"/>
            </w:tcMar>
          </w:tcPr>
          <w:p w14:paraId="3DC67B34" w14:textId="77777777" w:rsidR="00F96912" w:rsidRPr="00EE4D36" w:rsidRDefault="00F96912" w:rsidP="006658D5">
            <w:pPr>
              <w:rPr>
                <w:i/>
                <w:color w:val="002060"/>
                <w:sz w:val="16"/>
                <w:szCs w:val="16"/>
              </w:rPr>
            </w:pPr>
            <w:r w:rsidRPr="00EE4D36">
              <w:rPr>
                <w:i/>
                <w:color w:val="002060"/>
                <w:sz w:val="16"/>
                <w:szCs w:val="16"/>
              </w:rPr>
              <w:t>Niveau de référence actualisé à fin 2015 :</w:t>
            </w:r>
          </w:p>
          <w:p w14:paraId="02715BC0" w14:textId="77777777" w:rsidR="00F96912" w:rsidRPr="00EE4D36" w:rsidRDefault="00F96912" w:rsidP="006658D5">
            <w:pPr>
              <w:rPr>
                <w:rFonts w:eastAsia="Batang"/>
                <w:color w:val="002060"/>
                <w:sz w:val="16"/>
                <w:szCs w:val="16"/>
                <w:lang w:eastAsia="ja-JP"/>
              </w:rPr>
            </w:pPr>
            <w:r w:rsidRPr="00EE4D36">
              <w:rPr>
                <w:color w:val="002060"/>
                <w:sz w:val="16"/>
                <w:szCs w:val="16"/>
              </w:rPr>
              <w:t>97% des</w:t>
            </w:r>
            <w:r w:rsidRPr="00EE4D36">
              <w:rPr>
                <w:rFonts w:eastAsia="Batang"/>
                <w:color w:val="002060"/>
                <w:sz w:val="16"/>
                <w:szCs w:val="16"/>
                <w:lang w:eastAsia="ja-JP"/>
              </w:rPr>
              <w:t xml:space="preserve"> utilisateurs en 2014</w:t>
            </w:r>
            <w:r w:rsidRPr="00EE4D36">
              <w:rPr>
                <w:rFonts w:eastAsia="Batang"/>
                <w:color w:val="002060"/>
                <w:sz w:val="16"/>
                <w:szCs w:val="16"/>
                <w:lang w:eastAsia="ja-JP"/>
              </w:rPr>
              <w:noBreakHyphen/>
              <w:t>2015 jugeaient la qualité globale des services de conférence de l’OMPI excellente ou bonne :</w:t>
            </w:r>
          </w:p>
          <w:p w14:paraId="51D990C4" w14:textId="77777777" w:rsidR="00F96912" w:rsidRPr="00EE4D36" w:rsidRDefault="00F96912" w:rsidP="006658D5">
            <w:pPr>
              <w:pStyle w:val="ListParagraph"/>
              <w:ind w:left="0"/>
              <w:rPr>
                <w:rFonts w:ascii="Arial" w:eastAsia="Batang" w:hAnsi="Arial" w:cs="Arial"/>
                <w:color w:val="002060"/>
                <w:sz w:val="16"/>
                <w:szCs w:val="16"/>
              </w:rPr>
            </w:pPr>
            <w:r w:rsidRPr="00EE4D36">
              <w:rPr>
                <w:rFonts w:ascii="Arial" w:eastAsia="Batang" w:hAnsi="Arial" w:cs="Arial"/>
                <w:color w:val="002060"/>
                <w:sz w:val="16"/>
                <w:szCs w:val="16"/>
              </w:rPr>
              <w:noBreakHyphen/>
              <w:t xml:space="preserve"> 2014 : excellente (48%) ou bonne (49%);</w:t>
            </w:r>
          </w:p>
          <w:p w14:paraId="22939C01" w14:textId="77777777" w:rsidR="00F96912" w:rsidRPr="00EE4D36" w:rsidRDefault="00F96912" w:rsidP="006658D5">
            <w:pPr>
              <w:pStyle w:val="ListParagraph"/>
              <w:ind w:left="0"/>
              <w:rPr>
                <w:rFonts w:ascii="Arial" w:eastAsia="Batang" w:hAnsi="Arial" w:cs="Arial"/>
                <w:color w:val="002060"/>
                <w:sz w:val="16"/>
                <w:szCs w:val="16"/>
              </w:rPr>
            </w:pPr>
            <w:r w:rsidRPr="00EE4D36">
              <w:rPr>
                <w:rFonts w:ascii="Arial" w:eastAsia="Batang" w:hAnsi="Arial" w:cs="Arial"/>
                <w:color w:val="002060"/>
                <w:sz w:val="16"/>
                <w:szCs w:val="16"/>
              </w:rPr>
              <w:noBreakHyphen/>
              <w:t xml:space="preserve"> 2015 : excellente (60%) ou bonne (37%).</w:t>
            </w:r>
          </w:p>
          <w:p w14:paraId="13D492F4" w14:textId="77777777" w:rsidR="00F96912" w:rsidRPr="00EE4D36" w:rsidRDefault="00F96912" w:rsidP="006658D5">
            <w:pPr>
              <w:rPr>
                <w:color w:val="000000"/>
                <w:sz w:val="16"/>
                <w:szCs w:val="16"/>
              </w:rPr>
            </w:pPr>
          </w:p>
          <w:p w14:paraId="5D166425" w14:textId="77777777" w:rsidR="00F96912" w:rsidRPr="00EE4D36" w:rsidRDefault="00F96912" w:rsidP="006658D5">
            <w:pPr>
              <w:rPr>
                <w:i/>
                <w:sz w:val="16"/>
                <w:szCs w:val="16"/>
                <w:lang w:bidi="th-TH"/>
              </w:rPr>
            </w:pPr>
            <w:r w:rsidRPr="00EE4D36">
              <w:rPr>
                <w:i/>
                <w:sz w:val="16"/>
                <w:szCs w:val="16"/>
                <w:lang w:bidi="th-TH"/>
              </w:rPr>
              <w:t>Niveau de référence initial dans le programme et budget 2016</w:t>
            </w:r>
            <w:r w:rsidRPr="00EE4D36">
              <w:rPr>
                <w:i/>
                <w:sz w:val="16"/>
                <w:szCs w:val="16"/>
                <w:lang w:bidi="th-TH"/>
              </w:rPr>
              <w:noBreakHyphen/>
              <w:t>2017 :</w:t>
            </w:r>
          </w:p>
          <w:p w14:paraId="3F0CC08D" w14:textId="77777777" w:rsidR="00F96912" w:rsidRPr="00EE4D36" w:rsidRDefault="00F96912" w:rsidP="006658D5">
            <w:pPr>
              <w:rPr>
                <w:color w:val="000000"/>
                <w:sz w:val="16"/>
                <w:szCs w:val="16"/>
              </w:rPr>
            </w:pPr>
            <w:r w:rsidRPr="00EE4D36">
              <w:rPr>
                <w:sz w:val="16"/>
                <w:szCs w:val="16"/>
              </w:rPr>
              <w:t>97% des participants satisfaits des services (fin 2014)</w:t>
            </w:r>
          </w:p>
        </w:tc>
        <w:tc>
          <w:tcPr>
            <w:tcW w:w="758" w:type="pct"/>
            <w:shd w:val="clear" w:color="auto" w:fill="auto"/>
            <w:tcMar>
              <w:top w:w="110" w:type="dxa"/>
              <w:left w:w="58" w:type="dxa"/>
              <w:right w:w="58" w:type="dxa"/>
            </w:tcMar>
          </w:tcPr>
          <w:p w14:paraId="6743A448" w14:textId="77777777" w:rsidR="00F96912" w:rsidRPr="00EE4D36" w:rsidRDefault="00F96912" w:rsidP="006658D5">
            <w:pPr>
              <w:rPr>
                <w:i/>
                <w:color w:val="002060"/>
                <w:sz w:val="16"/>
                <w:szCs w:val="16"/>
              </w:rPr>
            </w:pPr>
            <w:r w:rsidRPr="00EE4D36">
              <w:rPr>
                <w:i/>
                <w:color w:val="002060"/>
                <w:sz w:val="16"/>
                <w:szCs w:val="16"/>
              </w:rPr>
              <w:t>Objectif actualisé :</w:t>
            </w:r>
          </w:p>
          <w:p w14:paraId="29024DCD" w14:textId="77777777" w:rsidR="00F96912" w:rsidRPr="00EE4D36" w:rsidRDefault="00F96912" w:rsidP="006658D5">
            <w:pPr>
              <w:rPr>
                <w:color w:val="002060"/>
                <w:sz w:val="16"/>
                <w:szCs w:val="16"/>
              </w:rPr>
            </w:pPr>
            <w:r w:rsidRPr="00EE4D36">
              <w:rPr>
                <w:color w:val="002060"/>
                <w:sz w:val="16"/>
                <w:szCs w:val="16"/>
              </w:rPr>
              <w:t>Maintenir le taux de la fin 2015</w:t>
            </w:r>
          </w:p>
          <w:p w14:paraId="586F7DAC" w14:textId="77777777" w:rsidR="00F96912" w:rsidRPr="00EE4D36" w:rsidRDefault="00F96912" w:rsidP="006658D5">
            <w:pPr>
              <w:rPr>
                <w:i/>
                <w:color w:val="000000"/>
                <w:sz w:val="16"/>
                <w:szCs w:val="16"/>
              </w:rPr>
            </w:pPr>
          </w:p>
          <w:p w14:paraId="48352545" w14:textId="77777777" w:rsidR="00F96912" w:rsidRPr="00EE4D36" w:rsidRDefault="00F96912" w:rsidP="006658D5">
            <w:pPr>
              <w:rPr>
                <w:i/>
                <w:sz w:val="16"/>
                <w:szCs w:val="16"/>
                <w:lang w:bidi="th-TH"/>
              </w:rPr>
            </w:pPr>
            <w:r w:rsidRPr="00EE4D36">
              <w:rPr>
                <w:i/>
                <w:color w:val="000000"/>
                <w:sz w:val="16"/>
                <w:szCs w:val="16"/>
              </w:rPr>
              <w:t>Objectif initial dans le programme et budget 2016</w:t>
            </w:r>
            <w:r w:rsidRPr="00EE4D36">
              <w:rPr>
                <w:i/>
                <w:color w:val="000000"/>
                <w:sz w:val="16"/>
                <w:szCs w:val="16"/>
              </w:rPr>
              <w:noBreakHyphen/>
              <w:t>2017 :</w:t>
            </w:r>
          </w:p>
          <w:p w14:paraId="39E3B696" w14:textId="77777777" w:rsidR="00F96912" w:rsidRPr="00EE4D36" w:rsidRDefault="00F96912" w:rsidP="006658D5">
            <w:pPr>
              <w:rPr>
                <w:color w:val="000000"/>
                <w:sz w:val="16"/>
                <w:szCs w:val="16"/>
              </w:rPr>
            </w:pPr>
            <w:r w:rsidRPr="00EE4D36">
              <w:rPr>
                <w:sz w:val="16"/>
                <w:szCs w:val="16"/>
              </w:rPr>
              <w:t>Maintenir le taux de la fin 2014</w:t>
            </w:r>
          </w:p>
        </w:tc>
        <w:tc>
          <w:tcPr>
            <w:tcW w:w="1392" w:type="pct"/>
            <w:shd w:val="clear" w:color="auto" w:fill="FFFFFF"/>
            <w:tcMar>
              <w:top w:w="110" w:type="dxa"/>
              <w:left w:w="58" w:type="dxa"/>
              <w:right w:w="58" w:type="dxa"/>
            </w:tcMar>
          </w:tcPr>
          <w:p w14:paraId="6FE06F42" w14:textId="77777777" w:rsidR="00F96912" w:rsidRPr="00EE4D36" w:rsidRDefault="00F96912" w:rsidP="006658D5">
            <w:pPr>
              <w:rPr>
                <w:color w:val="000000"/>
                <w:sz w:val="16"/>
                <w:szCs w:val="16"/>
              </w:rPr>
            </w:pPr>
            <w:r w:rsidRPr="00EE4D36">
              <w:rPr>
                <w:sz w:val="16"/>
                <w:szCs w:val="16"/>
              </w:rPr>
              <w:t>96% des</w:t>
            </w:r>
            <w:r w:rsidRPr="00EE4D36">
              <w:rPr>
                <w:rFonts w:eastAsia="Batang"/>
                <w:sz w:val="16"/>
                <w:szCs w:val="16"/>
                <w:lang w:eastAsia="ja-JP"/>
              </w:rPr>
              <w:t xml:space="preserve"> utilisateurs jugeaient la qualité globale des services de conférence de l’OMPI excellente (56%) ou bonne (40%)</w:t>
            </w:r>
          </w:p>
        </w:tc>
        <w:tc>
          <w:tcPr>
            <w:tcW w:w="512" w:type="pct"/>
            <w:shd w:val="clear" w:color="auto" w:fill="auto"/>
            <w:tcMar>
              <w:top w:w="110" w:type="dxa"/>
              <w:left w:w="58" w:type="dxa"/>
              <w:right w:w="58" w:type="dxa"/>
            </w:tcMar>
          </w:tcPr>
          <w:p w14:paraId="10191DDB" w14:textId="77777777" w:rsidR="00F96912" w:rsidRPr="00EE4D36" w:rsidRDefault="00F96912" w:rsidP="006658D5">
            <w:pPr>
              <w:jc w:val="center"/>
              <w:rPr>
                <w:color w:val="000000"/>
                <w:sz w:val="16"/>
                <w:szCs w:val="16"/>
              </w:rPr>
            </w:pPr>
            <w:r w:rsidRPr="00EE4D36">
              <w:rPr>
                <w:b/>
                <w:color w:val="00B050"/>
                <w:sz w:val="16"/>
                <w:szCs w:val="16"/>
              </w:rPr>
              <w:t>En bonne voie</w:t>
            </w:r>
          </w:p>
        </w:tc>
      </w:tr>
      <w:tr w:rsidR="00F96912" w:rsidRPr="00CD000E" w14:paraId="6751B674" w14:textId="77777777" w:rsidTr="006658D5">
        <w:tc>
          <w:tcPr>
            <w:tcW w:w="1071" w:type="pct"/>
            <w:shd w:val="clear" w:color="auto" w:fill="auto"/>
            <w:tcMar>
              <w:left w:w="58" w:type="dxa"/>
              <w:right w:w="58" w:type="dxa"/>
            </w:tcMar>
          </w:tcPr>
          <w:p w14:paraId="0FBAE6D2" w14:textId="77777777" w:rsidR="00F96912" w:rsidRPr="00EE4D36" w:rsidRDefault="00F96912" w:rsidP="006658D5">
            <w:pPr>
              <w:rPr>
                <w:color w:val="000000"/>
                <w:sz w:val="16"/>
                <w:szCs w:val="16"/>
              </w:rPr>
            </w:pPr>
            <w:r w:rsidRPr="00EE4D36">
              <w:rPr>
                <w:sz w:val="16"/>
                <w:szCs w:val="16"/>
              </w:rPr>
              <w:t>Mise en œuvre efficace de la politique linguistique de l’OMPI</w:t>
            </w:r>
          </w:p>
        </w:tc>
        <w:tc>
          <w:tcPr>
            <w:tcW w:w="1267" w:type="pct"/>
            <w:shd w:val="clear" w:color="auto" w:fill="auto"/>
            <w:tcMar>
              <w:left w:w="58" w:type="dxa"/>
              <w:right w:w="58" w:type="dxa"/>
            </w:tcMar>
          </w:tcPr>
          <w:p w14:paraId="1035C4DC" w14:textId="77777777" w:rsidR="00F96912" w:rsidRPr="00EE4D36" w:rsidRDefault="00F96912" w:rsidP="006658D5">
            <w:pPr>
              <w:rPr>
                <w:i/>
                <w:color w:val="002060"/>
                <w:sz w:val="16"/>
                <w:szCs w:val="16"/>
              </w:rPr>
            </w:pPr>
            <w:r w:rsidRPr="00EE4D36">
              <w:rPr>
                <w:i/>
                <w:color w:val="002060"/>
                <w:sz w:val="16"/>
                <w:szCs w:val="16"/>
              </w:rPr>
              <w:t>Niveau de référence actualisé à fin 2015 :</w:t>
            </w:r>
          </w:p>
          <w:p w14:paraId="79CDD2BB" w14:textId="77777777" w:rsidR="00F96912" w:rsidRPr="00EE4D36" w:rsidRDefault="00F96912" w:rsidP="006658D5">
            <w:pPr>
              <w:rPr>
                <w:color w:val="002060"/>
                <w:sz w:val="16"/>
                <w:szCs w:val="16"/>
              </w:rPr>
            </w:pPr>
            <w:r w:rsidRPr="00EE4D36">
              <w:rPr>
                <w:color w:val="002060"/>
                <w:sz w:val="16"/>
                <w:szCs w:val="16"/>
              </w:rPr>
              <w:t>Outre tous les comités et organes principaux, la couverture en 6 langues a été étendue en 2014</w:t>
            </w:r>
            <w:r w:rsidRPr="00EE4D36">
              <w:rPr>
                <w:color w:val="002060"/>
                <w:sz w:val="16"/>
                <w:szCs w:val="16"/>
              </w:rPr>
              <w:noBreakHyphen/>
              <w:t>2015 à quatre groupes de travail :</w:t>
            </w:r>
          </w:p>
          <w:p w14:paraId="681A5395" w14:textId="77777777" w:rsidR="00F96912" w:rsidRPr="00EE4D36" w:rsidRDefault="00F96912" w:rsidP="006658D5">
            <w:pPr>
              <w:rPr>
                <w:color w:val="002060"/>
                <w:sz w:val="16"/>
                <w:szCs w:val="16"/>
              </w:rPr>
            </w:pPr>
            <w:r w:rsidRPr="00EE4D36">
              <w:rPr>
                <w:color w:val="002060"/>
                <w:sz w:val="16"/>
                <w:szCs w:val="16"/>
              </w:rPr>
              <w:t>i) Groupe de travail du PCT;  ii) Groupe de travail sur le développement juridique du système de La Haye concernant l’enregistrement international des dessins et modèles industriels;</w:t>
            </w:r>
          </w:p>
          <w:p w14:paraId="55055A83" w14:textId="77777777" w:rsidR="00F96912" w:rsidRPr="00EE4D36" w:rsidRDefault="00F96912" w:rsidP="006658D5">
            <w:pPr>
              <w:rPr>
                <w:color w:val="002060"/>
                <w:sz w:val="16"/>
                <w:szCs w:val="16"/>
              </w:rPr>
            </w:pPr>
            <w:r w:rsidRPr="00EE4D36">
              <w:rPr>
                <w:color w:val="002060"/>
                <w:sz w:val="16"/>
                <w:szCs w:val="16"/>
              </w:rPr>
              <w:t>iii) Groupe de travail sur le développement juridique du système de Madrid concernant l’enregistrement international des marques;  et</w:t>
            </w:r>
          </w:p>
          <w:p w14:paraId="496E3632" w14:textId="77777777" w:rsidR="00F96912" w:rsidRPr="00EE4D36" w:rsidRDefault="00F96912" w:rsidP="006658D5">
            <w:pPr>
              <w:rPr>
                <w:color w:val="002060"/>
                <w:sz w:val="16"/>
                <w:szCs w:val="16"/>
              </w:rPr>
            </w:pPr>
            <w:r w:rsidRPr="00EE4D36">
              <w:rPr>
                <w:color w:val="002060"/>
                <w:sz w:val="16"/>
                <w:szCs w:val="16"/>
              </w:rPr>
              <w:t>iv) Groupe de travail sur la révision de la CIB.</w:t>
            </w:r>
          </w:p>
          <w:p w14:paraId="2421F781" w14:textId="77777777" w:rsidR="00F96912" w:rsidRPr="00EE4D36" w:rsidRDefault="00F96912" w:rsidP="006658D5">
            <w:pPr>
              <w:rPr>
                <w:color w:val="002060"/>
                <w:sz w:val="16"/>
                <w:szCs w:val="16"/>
              </w:rPr>
            </w:pPr>
          </w:p>
          <w:p w14:paraId="4620D373" w14:textId="77777777" w:rsidR="00F96912" w:rsidRPr="00EE4D36" w:rsidRDefault="00F96912" w:rsidP="006658D5">
            <w:pPr>
              <w:rPr>
                <w:color w:val="002060"/>
                <w:sz w:val="16"/>
                <w:szCs w:val="16"/>
              </w:rPr>
            </w:pPr>
            <w:r w:rsidRPr="00EE4D36">
              <w:rPr>
                <w:color w:val="002060"/>
                <w:sz w:val="16"/>
                <w:szCs w:val="16"/>
              </w:rPr>
              <w:t>Environ 87% des documents reçus pour traduction (3489 sur un total de 4030 documents) faisaient moins de 3300 mots.</w:t>
            </w:r>
          </w:p>
          <w:p w14:paraId="745CB678" w14:textId="77777777" w:rsidR="00F96912" w:rsidRPr="004E4A91" w:rsidRDefault="00F96912" w:rsidP="006658D5">
            <w:pPr>
              <w:rPr>
                <w:color w:val="002060"/>
                <w:sz w:val="12"/>
                <w:szCs w:val="16"/>
              </w:rPr>
            </w:pPr>
          </w:p>
          <w:p w14:paraId="23D115AD" w14:textId="77777777" w:rsidR="00F96912" w:rsidRPr="00EE4D36" w:rsidRDefault="00F96912" w:rsidP="006658D5">
            <w:pPr>
              <w:rPr>
                <w:color w:val="002060"/>
                <w:sz w:val="16"/>
                <w:szCs w:val="16"/>
              </w:rPr>
            </w:pPr>
            <w:r w:rsidRPr="00EE4D36">
              <w:rPr>
                <w:color w:val="002060"/>
                <w:sz w:val="16"/>
                <w:szCs w:val="16"/>
              </w:rPr>
              <w:t>Les documents dépassant cette limite étaient principalement des publications, des rapports in extenso et d’autres rapports annuels, des documents contenant des données relatives aux pratiques des États membres, et ceux qui étaient établis sur demande spécifique des États membres, lesquels n’étaient pas soumis à cette limitation de mots.</w:t>
            </w:r>
          </w:p>
          <w:p w14:paraId="27395FE5" w14:textId="77777777" w:rsidR="00F96912" w:rsidRPr="00EE4D36" w:rsidRDefault="00F96912" w:rsidP="006658D5">
            <w:pPr>
              <w:rPr>
                <w:color w:val="002060"/>
                <w:sz w:val="16"/>
                <w:szCs w:val="16"/>
              </w:rPr>
            </w:pPr>
          </w:p>
          <w:p w14:paraId="5F20AA0F" w14:textId="77777777" w:rsidR="00F96912" w:rsidRPr="00EE4D36" w:rsidRDefault="00F96912" w:rsidP="006658D5">
            <w:pPr>
              <w:rPr>
                <w:i/>
                <w:sz w:val="16"/>
                <w:szCs w:val="16"/>
                <w:lang w:bidi="th-TH"/>
              </w:rPr>
            </w:pPr>
            <w:r w:rsidRPr="00EE4D36">
              <w:rPr>
                <w:i/>
                <w:sz w:val="16"/>
                <w:szCs w:val="16"/>
                <w:lang w:bidi="th-TH"/>
              </w:rPr>
              <w:t>Niveau de référence initial dans le programme et budget 2016</w:t>
            </w:r>
            <w:r w:rsidRPr="00EE4D36">
              <w:rPr>
                <w:i/>
                <w:sz w:val="16"/>
                <w:szCs w:val="16"/>
                <w:lang w:bidi="th-TH"/>
              </w:rPr>
              <w:noBreakHyphen/>
              <w:t>2017 :</w:t>
            </w:r>
          </w:p>
          <w:p w14:paraId="0328E170" w14:textId="77777777" w:rsidR="00F96912" w:rsidRPr="00EE4D36" w:rsidRDefault="00F96912" w:rsidP="006658D5">
            <w:pPr>
              <w:rPr>
                <w:color w:val="000000"/>
                <w:sz w:val="16"/>
                <w:szCs w:val="16"/>
              </w:rPr>
            </w:pPr>
            <w:r w:rsidRPr="00EE4D36">
              <w:rPr>
                <w:sz w:val="16"/>
                <w:szCs w:val="16"/>
              </w:rPr>
              <w:t>Extension de la couverture linguistique aux documents de tous les comités et organes principaux et de certains groupes de travail</w:t>
            </w:r>
          </w:p>
        </w:tc>
        <w:tc>
          <w:tcPr>
            <w:tcW w:w="758" w:type="pct"/>
            <w:shd w:val="clear" w:color="auto" w:fill="auto"/>
            <w:tcMar>
              <w:top w:w="110" w:type="dxa"/>
              <w:left w:w="58" w:type="dxa"/>
              <w:right w:w="58" w:type="dxa"/>
            </w:tcMar>
          </w:tcPr>
          <w:p w14:paraId="525D2CF3" w14:textId="77777777" w:rsidR="00F96912" w:rsidRPr="00EE4D36" w:rsidRDefault="00F96912" w:rsidP="006658D5">
            <w:pPr>
              <w:rPr>
                <w:color w:val="000000"/>
                <w:sz w:val="16"/>
                <w:szCs w:val="16"/>
              </w:rPr>
            </w:pPr>
            <w:r w:rsidRPr="00EE4D36">
              <w:rPr>
                <w:sz w:val="16"/>
                <w:szCs w:val="16"/>
              </w:rPr>
              <w:t>Extension de la couverture linguistique aux documents de tous les comités</w:t>
            </w:r>
            <w:r w:rsidRPr="00EE4D36">
              <w:rPr>
                <w:color w:val="000000"/>
                <w:sz w:val="16"/>
                <w:szCs w:val="16"/>
              </w:rPr>
              <w:t>,</w:t>
            </w:r>
            <w:r w:rsidRPr="00EE4D36">
              <w:rPr>
                <w:sz w:val="16"/>
                <w:szCs w:val="16"/>
              </w:rPr>
              <w:t xml:space="preserve"> organes principaux et groupes de travail dont la longueur respecte les dispositions de la politique linguistique</w:t>
            </w:r>
          </w:p>
        </w:tc>
        <w:tc>
          <w:tcPr>
            <w:tcW w:w="1392" w:type="pct"/>
            <w:shd w:val="clear" w:color="auto" w:fill="FFFFFF"/>
            <w:tcMar>
              <w:top w:w="110" w:type="dxa"/>
              <w:left w:w="58" w:type="dxa"/>
              <w:right w:w="58" w:type="dxa"/>
            </w:tcMar>
          </w:tcPr>
          <w:p w14:paraId="5B924703" w14:textId="77777777" w:rsidR="00F96912" w:rsidRPr="00EE4D36" w:rsidRDefault="00F96912" w:rsidP="006658D5">
            <w:pPr>
              <w:rPr>
                <w:color w:val="000000"/>
                <w:sz w:val="16"/>
                <w:szCs w:val="16"/>
              </w:rPr>
            </w:pPr>
            <w:r w:rsidRPr="00EE4D36">
              <w:rPr>
                <w:color w:val="000000"/>
                <w:sz w:val="16"/>
                <w:szCs w:val="16"/>
              </w:rPr>
              <w:t>La couverture en 6 langues a été étendue à 2 groupes de travail supplémentaires : i) le Groupe de travail chargé d’élaborer un règlement d’exécution commun à l’Arrangement de Lisbonne et à l’Acte de Genève de l’Arrangement de Lisbonne;  et ii) l’Union de l’IPC – Comité d’experts</w:t>
            </w:r>
          </w:p>
          <w:p w14:paraId="15BB1BAE" w14:textId="77777777" w:rsidR="00F96912" w:rsidRPr="00EE4D36" w:rsidRDefault="00F96912" w:rsidP="006658D5">
            <w:pPr>
              <w:rPr>
                <w:color w:val="000000"/>
                <w:sz w:val="16"/>
                <w:szCs w:val="16"/>
              </w:rPr>
            </w:pPr>
            <w:r w:rsidRPr="00EE4D36">
              <w:rPr>
                <w:color w:val="000000"/>
                <w:sz w:val="16"/>
                <w:szCs w:val="16"/>
              </w:rPr>
              <w:t xml:space="preserve">(cumul de tous les comités et </w:t>
            </w:r>
            <w:r w:rsidRPr="00EE4D36">
              <w:rPr>
                <w:sz w:val="16"/>
                <w:szCs w:val="16"/>
              </w:rPr>
              <w:t>organes principaux et des 6 groupes de travail</w:t>
            </w:r>
            <w:r w:rsidRPr="00EE4D36">
              <w:rPr>
                <w:color w:val="000000"/>
                <w:sz w:val="16"/>
                <w:szCs w:val="16"/>
              </w:rPr>
              <w:t>)</w:t>
            </w:r>
          </w:p>
          <w:p w14:paraId="462190AB" w14:textId="77777777" w:rsidR="00F96912" w:rsidRPr="00EE4D36" w:rsidRDefault="00F96912" w:rsidP="006658D5">
            <w:pPr>
              <w:rPr>
                <w:color w:val="000000"/>
                <w:sz w:val="16"/>
                <w:szCs w:val="16"/>
              </w:rPr>
            </w:pPr>
          </w:p>
          <w:p w14:paraId="73984D62" w14:textId="77777777" w:rsidR="00F96912" w:rsidRPr="00EE4D36" w:rsidRDefault="00F96912" w:rsidP="006658D5">
            <w:pPr>
              <w:rPr>
                <w:color w:val="000000"/>
                <w:sz w:val="16"/>
                <w:szCs w:val="16"/>
              </w:rPr>
            </w:pPr>
            <w:r w:rsidRPr="00EE4D36">
              <w:rPr>
                <w:color w:val="000000"/>
                <w:sz w:val="16"/>
                <w:szCs w:val="16"/>
              </w:rPr>
              <w:t xml:space="preserve">81% (542 sur 666) des documents de réunion reçus pour traduction faisaient moins </w:t>
            </w:r>
            <w:r w:rsidRPr="00EE4D36">
              <w:rPr>
                <w:sz w:val="16"/>
                <w:szCs w:val="16"/>
              </w:rPr>
              <w:t>de 10 pages types de l’ONU, soit 3300 mots.  Les documents dépassant cette limite étaient principalement des rapports in extenso et d’autres rapports annuels, des propositions des États membres et des documents établis sur demande spécifique des États membres qui étaient mis à disposition dans les 6 langues dans leur intégralité.</w:t>
            </w:r>
          </w:p>
        </w:tc>
        <w:tc>
          <w:tcPr>
            <w:tcW w:w="512" w:type="pct"/>
            <w:shd w:val="clear" w:color="auto" w:fill="auto"/>
            <w:tcMar>
              <w:top w:w="110" w:type="dxa"/>
              <w:left w:w="58" w:type="dxa"/>
              <w:right w:w="58" w:type="dxa"/>
            </w:tcMar>
          </w:tcPr>
          <w:p w14:paraId="34DDAA74" w14:textId="77777777" w:rsidR="00F96912" w:rsidRPr="00EE4D36" w:rsidRDefault="00F96912" w:rsidP="006658D5">
            <w:pPr>
              <w:jc w:val="center"/>
              <w:rPr>
                <w:b/>
                <w:color w:val="00B050"/>
                <w:sz w:val="16"/>
                <w:szCs w:val="16"/>
              </w:rPr>
            </w:pPr>
            <w:r w:rsidRPr="00EE4D36">
              <w:rPr>
                <w:b/>
                <w:color w:val="00B050"/>
                <w:sz w:val="16"/>
                <w:szCs w:val="16"/>
              </w:rPr>
              <w:t>En bonne voie</w:t>
            </w:r>
          </w:p>
          <w:p w14:paraId="36E0F5BD" w14:textId="77777777" w:rsidR="00F96912" w:rsidRPr="00EE4D36" w:rsidRDefault="00F96912" w:rsidP="006658D5">
            <w:pPr>
              <w:jc w:val="center"/>
              <w:rPr>
                <w:b/>
                <w:color w:val="00B050"/>
                <w:sz w:val="16"/>
                <w:szCs w:val="16"/>
              </w:rPr>
            </w:pPr>
          </w:p>
          <w:p w14:paraId="6F402614" w14:textId="77777777" w:rsidR="00F96912" w:rsidRPr="00EE4D36" w:rsidRDefault="00F96912" w:rsidP="006658D5">
            <w:pPr>
              <w:jc w:val="center"/>
              <w:rPr>
                <w:b/>
                <w:color w:val="00B050"/>
                <w:sz w:val="16"/>
                <w:szCs w:val="16"/>
              </w:rPr>
            </w:pPr>
          </w:p>
          <w:p w14:paraId="0B01C5FB" w14:textId="77777777" w:rsidR="00F96912" w:rsidRPr="00EE4D36" w:rsidRDefault="00F96912" w:rsidP="006658D5">
            <w:pPr>
              <w:jc w:val="center"/>
              <w:rPr>
                <w:b/>
                <w:color w:val="00B050"/>
                <w:sz w:val="16"/>
                <w:szCs w:val="16"/>
              </w:rPr>
            </w:pPr>
          </w:p>
          <w:p w14:paraId="5E14D346" w14:textId="77777777" w:rsidR="00F96912" w:rsidRPr="00EE4D36" w:rsidRDefault="00F96912" w:rsidP="006658D5">
            <w:pPr>
              <w:jc w:val="center"/>
              <w:rPr>
                <w:b/>
                <w:color w:val="00B050"/>
                <w:sz w:val="16"/>
                <w:szCs w:val="16"/>
              </w:rPr>
            </w:pPr>
          </w:p>
          <w:p w14:paraId="5FF9FAE5" w14:textId="77777777" w:rsidR="00F96912" w:rsidRPr="00EE4D36" w:rsidRDefault="00F96912" w:rsidP="006658D5">
            <w:pPr>
              <w:jc w:val="center"/>
              <w:rPr>
                <w:b/>
                <w:color w:val="00B050"/>
                <w:sz w:val="16"/>
                <w:szCs w:val="16"/>
              </w:rPr>
            </w:pPr>
          </w:p>
          <w:p w14:paraId="141B1490" w14:textId="77777777" w:rsidR="00F96912" w:rsidRPr="00EE4D36" w:rsidRDefault="00F96912" w:rsidP="006658D5">
            <w:pPr>
              <w:jc w:val="center"/>
              <w:rPr>
                <w:b/>
                <w:color w:val="00B050"/>
                <w:sz w:val="16"/>
                <w:szCs w:val="16"/>
              </w:rPr>
            </w:pPr>
          </w:p>
          <w:p w14:paraId="6DF084F8" w14:textId="77777777" w:rsidR="00F96912" w:rsidRPr="00EE4D36" w:rsidRDefault="00F96912" w:rsidP="006658D5">
            <w:pPr>
              <w:jc w:val="center"/>
              <w:rPr>
                <w:b/>
                <w:color w:val="00B050"/>
                <w:sz w:val="16"/>
                <w:szCs w:val="16"/>
              </w:rPr>
            </w:pPr>
          </w:p>
          <w:p w14:paraId="3F2A01D3" w14:textId="77777777" w:rsidR="00F96912" w:rsidRPr="00EE4D36" w:rsidRDefault="00F96912" w:rsidP="006658D5">
            <w:pPr>
              <w:jc w:val="center"/>
              <w:rPr>
                <w:b/>
                <w:color w:val="00B050"/>
                <w:sz w:val="16"/>
                <w:szCs w:val="16"/>
              </w:rPr>
            </w:pPr>
          </w:p>
          <w:p w14:paraId="4994CC80" w14:textId="77777777" w:rsidR="00F96912" w:rsidRPr="00EE4D36" w:rsidRDefault="00F96912" w:rsidP="006658D5">
            <w:pPr>
              <w:jc w:val="center"/>
              <w:rPr>
                <w:b/>
                <w:color w:val="00B050"/>
                <w:sz w:val="16"/>
                <w:szCs w:val="16"/>
              </w:rPr>
            </w:pPr>
          </w:p>
          <w:p w14:paraId="7F872A2C" w14:textId="77777777" w:rsidR="00F96912" w:rsidRDefault="00F96912" w:rsidP="006658D5">
            <w:pPr>
              <w:jc w:val="center"/>
              <w:rPr>
                <w:b/>
                <w:color w:val="00B050"/>
                <w:sz w:val="16"/>
                <w:szCs w:val="16"/>
              </w:rPr>
            </w:pPr>
          </w:p>
          <w:p w14:paraId="453F6BA9" w14:textId="77777777" w:rsidR="004E4A91" w:rsidRPr="00EE4D36" w:rsidRDefault="004E4A91" w:rsidP="006658D5">
            <w:pPr>
              <w:jc w:val="center"/>
              <w:rPr>
                <w:b/>
                <w:color w:val="00B050"/>
                <w:sz w:val="16"/>
                <w:szCs w:val="16"/>
              </w:rPr>
            </w:pPr>
          </w:p>
          <w:p w14:paraId="7F69D397" w14:textId="77777777" w:rsidR="00F96912" w:rsidRPr="00EE4D36" w:rsidRDefault="00F96912" w:rsidP="006658D5">
            <w:pPr>
              <w:jc w:val="center"/>
              <w:rPr>
                <w:b/>
                <w:color w:val="00B050"/>
                <w:sz w:val="16"/>
                <w:szCs w:val="16"/>
              </w:rPr>
            </w:pPr>
          </w:p>
          <w:p w14:paraId="19E74091" w14:textId="77777777" w:rsidR="00F96912" w:rsidRPr="00EE4D36" w:rsidRDefault="00F96912" w:rsidP="006658D5">
            <w:pPr>
              <w:jc w:val="center"/>
              <w:rPr>
                <w:b/>
                <w:color w:val="00B050"/>
                <w:sz w:val="16"/>
                <w:szCs w:val="16"/>
              </w:rPr>
            </w:pPr>
          </w:p>
          <w:p w14:paraId="57A4C621" w14:textId="77777777" w:rsidR="00F96912" w:rsidRPr="00CD000E" w:rsidRDefault="00F96912" w:rsidP="006658D5">
            <w:pPr>
              <w:jc w:val="center"/>
              <w:rPr>
                <w:b/>
                <w:color w:val="000000"/>
                <w:sz w:val="16"/>
                <w:szCs w:val="16"/>
              </w:rPr>
            </w:pPr>
            <w:r w:rsidRPr="00EE4D36">
              <w:rPr>
                <w:b/>
                <w:color w:val="00B050"/>
                <w:sz w:val="16"/>
                <w:szCs w:val="16"/>
              </w:rPr>
              <w:t>En bonne voie</w:t>
            </w:r>
          </w:p>
        </w:tc>
      </w:tr>
      <w:tr w:rsidR="00F96912" w:rsidRPr="00EE4D36" w14:paraId="51D891CF" w14:textId="77777777" w:rsidTr="006658D5">
        <w:tc>
          <w:tcPr>
            <w:tcW w:w="1071" w:type="pct"/>
            <w:shd w:val="clear" w:color="auto" w:fill="auto"/>
            <w:tcMar>
              <w:left w:w="58" w:type="dxa"/>
              <w:right w:w="58" w:type="dxa"/>
            </w:tcMar>
          </w:tcPr>
          <w:p w14:paraId="44D17182" w14:textId="77777777" w:rsidR="00F96912" w:rsidRPr="00EE4D36" w:rsidRDefault="00F96912" w:rsidP="006658D5">
            <w:pPr>
              <w:rPr>
                <w:color w:val="000000"/>
                <w:sz w:val="16"/>
                <w:szCs w:val="16"/>
              </w:rPr>
            </w:pPr>
            <w:r w:rsidRPr="00EE4D36">
              <w:rPr>
                <w:sz w:val="16"/>
                <w:szCs w:val="16"/>
              </w:rPr>
              <w:t>Réduction des coûts d’impression (par page)</w:t>
            </w:r>
          </w:p>
        </w:tc>
        <w:tc>
          <w:tcPr>
            <w:tcW w:w="1267" w:type="pct"/>
            <w:shd w:val="clear" w:color="auto" w:fill="auto"/>
            <w:tcMar>
              <w:left w:w="58" w:type="dxa"/>
              <w:right w:w="58" w:type="dxa"/>
            </w:tcMar>
          </w:tcPr>
          <w:p w14:paraId="31FC5B40" w14:textId="77777777" w:rsidR="00F96912" w:rsidRPr="00EE4D36" w:rsidRDefault="00F96912" w:rsidP="006658D5">
            <w:pPr>
              <w:rPr>
                <w:i/>
                <w:color w:val="002060"/>
                <w:sz w:val="16"/>
                <w:szCs w:val="16"/>
              </w:rPr>
            </w:pPr>
            <w:r w:rsidRPr="00EE4D36">
              <w:rPr>
                <w:i/>
                <w:color w:val="002060"/>
                <w:sz w:val="16"/>
                <w:szCs w:val="16"/>
              </w:rPr>
              <w:t>Niveau de référence actualisé à fin 2015 :</w:t>
            </w:r>
          </w:p>
          <w:p w14:paraId="3945639E" w14:textId="77777777" w:rsidR="00F96912" w:rsidRPr="00EE4D36" w:rsidRDefault="00F96912" w:rsidP="006658D5">
            <w:pPr>
              <w:rPr>
                <w:color w:val="002060"/>
                <w:sz w:val="16"/>
                <w:szCs w:val="16"/>
              </w:rPr>
            </w:pPr>
            <w:r w:rsidRPr="00EE4D36">
              <w:rPr>
                <w:color w:val="002060"/>
                <w:sz w:val="16"/>
                <w:szCs w:val="16"/>
              </w:rPr>
              <w:t>Coût moyen par page en 2014 et en 2015 : 0,15 franc suisse (diminution de 25%)</w:t>
            </w:r>
          </w:p>
          <w:p w14:paraId="360B752C" w14:textId="77777777" w:rsidR="00F96912" w:rsidRPr="004E4A91" w:rsidRDefault="00F96912" w:rsidP="006658D5">
            <w:pPr>
              <w:rPr>
                <w:color w:val="000000"/>
                <w:sz w:val="12"/>
                <w:szCs w:val="16"/>
              </w:rPr>
            </w:pPr>
          </w:p>
          <w:p w14:paraId="709AEB7A" w14:textId="77777777" w:rsidR="00F96912" w:rsidRPr="00EE4D36" w:rsidRDefault="00F96912" w:rsidP="006658D5">
            <w:pPr>
              <w:rPr>
                <w:i/>
                <w:sz w:val="16"/>
                <w:szCs w:val="16"/>
                <w:lang w:bidi="th-TH"/>
              </w:rPr>
            </w:pPr>
            <w:r w:rsidRPr="00EE4D36">
              <w:rPr>
                <w:i/>
                <w:sz w:val="16"/>
                <w:szCs w:val="16"/>
                <w:lang w:bidi="th-TH"/>
              </w:rPr>
              <w:t>Niveau de référence initial dans le programme et budget 2016</w:t>
            </w:r>
            <w:r w:rsidRPr="00EE4D36">
              <w:rPr>
                <w:i/>
                <w:sz w:val="16"/>
                <w:szCs w:val="16"/>
                <w:lang w:bidi="th-TH"/>
              </w:rPr>
              <w:noBreakHyphen/>
              <w:t>2017 :</w:t>
            </w:r>
          </w:p>
          <w:p w14:paraId="0248A701" w14:textId="77777777" w:rsidR="00F96912" w:rsidRPr="00EE4D36" w:rsidRDefault="00F96912" w:rsidP="006658D5">
            <w:pPr>
              <w:rPr>
                <w:color w:val="000000"/>
                <w:sz w:val="16"/>
                <w:szCs w:val="16"/>
              </w:rPr>
            </w:pPr>
            <w:r w:rsidRPr="00EE4D36">
              <w:rPr>
                <w:color w:val="000000"/>
                <w:sz w:val="16"/>
                <w:szCs w:val="16"/>
              </w:rPr>
              <w:t>0,14 franc suisse par page</w:t>
            </w:r>
          </w:p>
        </w:tc>
        <w:tc>
          <w:tcPr>
            <w:tcW w:w="758" w:type="pct"/>
            <w:shd w:val="clear" w:color="auto" w:fill="auto"/>
            <w:tcMar>
              <w:top w:w="110" w:type="dxa"/>
              <w:left w:w="58" w:type="dxa"/>
              <w:right w:w="58" w:type="dxa"/>
            </w:tcMar>
          </w:tcPr>
          <w:p w14:paraId="383B7242" w14:textId="77777777" w:rsidR="00F96912" w:rsidRPr="00EE4D36" w:rsidRDefault="00F96912" w:rsidP="006658D5">
            <w:pPr>
              <w:rPr>
                <w:color w:val="000000"/>
                <w:sz w:val="16"/>
                <w:szCs w:val="16"/>
              </w:rPr>
            </w:pPr>
            <w:r w:rsidRPr="00EE4D36">
              <w:rPr>
                <w:color w:val="000000"/>
                <w:sz w:val="16"/>
                <w:szCs w:val="16"/>
              </w:rPr>
              <w:t>Maintien du coût moyen par page de 0,15 franc suisse</w:t>
            </w:r>
          </w:p>
        </w:tc>
        <w:tc>
          <w:tcPr>
            <w:tcW w:w="1392" w:type="pct"/>
            <w:shd w:val="clear" w:color="auto" w:fill="FFFFFF"/>
            <w:tcMar>
              <w:top w:w="110" w:type="dxa"/>
              <w:left w:w="58" w:type="dxa"/>
              <w:right w:w="58" w:type="dxa"/>
            </w:tcMar>
          </w:tcPr>
          <w:p w14:paraId="5B9B1DDA" w14:textId="77777777" w:rsidR="00F96912" w:rsidRPr="00EE4D36" w:rsidRDefault="00F96912" w:rsidP="006658D5">
            <w:pPr>
              <w:rPr>
                <w:color w:val="000000"/>
                <w:sz w:val="16"/>
                <w:szCs w:val="16"/>
              </w:rPr>
            </w:pPr>
            <w:r w:rsidRPr="00EE4D36">
              <w:rPr>
                <w:color w:val="000000"/>
                <w:sz w:val="16"/>
                <w:szCs w:val="16"/>
              </w:rPr>
              <w:t>Coût moyen par page de 0,161 franc suisse</w:t>
            </w:r>
          </w:p>
        </w:tc>
        <w:tc>
          <w:tcPr>
            <w:tcW w:w="512" w:type="pct"/>
            <w:shd w:val="clear" w:color="auto" w:fill="auto"/>
            <w:tcMar>
              <w:top w:w="110" w:type="dxa"/>
              <w:left w:w="58" w:type="dxa"/>
              <w:right w:w="58" w:type="dxa"/>
            </w:tcMar>
          </w:tcPr>
          <w:p w14:paraId="68D516CC" w14:textId="77777777" w:rsidR="00F96912" w:rsidRPr="00EE4D36" w:rsidRDefault="00F96912" w:rsidP="006658D5">
            <w:pPr>
              <w:jc w:val="center"/>
              <w:rPr>
                <w:b/>
                <w:color w:val="000000"/>
                <w:sz w:val="16"/>
                <w:szCs w:val="16"/>
              </w:rPr>
            </w:pPr>
            <w:r w:rsidRPr="00EE4D36">
              <w:rPr>
                <w:b/>
                <w:color w:val="FF0000"/>
                <w:sz w:val="16"/>
                <w:szCs w:val="16"/>
              </w:rPr>
              <w:t>Pas en bonne voie</w:t>
            </w:r>
          </w:p>
        </w:tc>
      </w:tr>
      <w:tr w:rsidR="00F96912" w:rsidRPr="00CD000E" w14:paraId="184EDDDB" w14:textId="77777777" w:rsidTr="006658D5">
        <w:tc>
          <w:tcPr>
            <w:tcW w:w="1071" w:type="pct"/>
            <w:shd w:val="clear" w:color="auto" w:fill="auto"/>
            <w:tcMar>
              <w:left w:w="58" w:type="dxa"/>
              <w:right w:w="58" w:type="dxa"/>
            </w:tcMar>
          </w:tcPr>
          <w:p w14:paraId="7C5E9C25" w14:textId="77777777" w:rsidR="00F96912" w:rsidRPr="00EE4D36" w:rsidRDefault="00F96912" w:rsidP="006658D5">
            <w:pPr>
              <w:rPr>
                <w:color w:val="000000"/>
                <w:sz w:val="16"/>
                <w:szCs w:val="16"/>
              </w:rPr>
            </w:pPr>
            <w:r w:rsidRPr="00EE4D36">
              <w:rPr>
                <w:sz w:val="16"/>
                <w:szCs w:val="16"/>
              </w:rPr>
              <w:t>Publication en temps voulu des documents pour les comités et groupes de travail</w:t>
            </w:r>
          </w:p>
        </w:tc>
        <w:tc>
          <w:tcPr>
            <w:tcW w:w="1267" w:type="pct"/>
            <w:shd w:val="clear" w:color="auto" w:fill="auto"/>
            <w:tcMar>
              <w:left w:w="58" w:type="dxa"/>
              <w:right w:w="58" w:type="dxa"/>
            </w:tcMar>
          </w:tcPr>
          <w:p w14:paraId="54993180" w14:textId="77777777" w:rsidR="00F96912" w:rsidRPr="00EE4D36" w:rsidRDefault="00F96912" w:rsidP="006658D5">
            <w:pPr>
              <w:rPr>
                <w:i/>
                <w:color w:val="002060"/>
                <w:sz w:val="16"/>
                <w:szCs w:val="16"/>
              </w:rPr>
            </w:pPr>
            <w:r w:rsidRPr="00EE4D36">
              <w:rPr>
                <w:i/>
                <w:color w:val="002060"/>
                <w:sz w:val="16"/>
                <w:szCs w:val="16"/>
              </w:rPr>
              <w:t>Niveau de référence actualisé à fin 2015 :</w:t>
            </w:r>
          </w:p>
          <w:p w14:paraId="140CD14C" w14:textId="77777777" w:rsidR="00F96912" w:rsidRPr="00EE4D36" w:rsidRDefault="00F96912" w:rsidP="006658D5">
            <w:pPr>
              <w:rPr>
                <w:rFonts w:eastAsiaTheme="minorHAnsi"/>
                <w:color w:val="002060"/>
                <w:sz w:val="16"/>
                <w:szCs w:val="16"/>
              </w:rPr>
            </w:pPr>
            <w:r w:rsidRPr="00EE4D36">
              <w:rPr>
                <w:rFonts w:eastAsiaTheme="minorHAnsi"/>
                <w:color w:val="002060"/>
                <w:sz w:val="16"/>
                <w:szCs w:val="16"/>
              </w:rPr>
              <w:t>En 2014</w:t>
            </w:r>
            <w:r w:rsidRPr="00EE4D36">
              <w:rPr>
                <w:rFonts w:eastAsiaTheme="minorHAnsi"/>
                <w:color w:val="002060"/>
                <w:sz w:val="16"/>
                <w:szCs w:val="16"/>
              </w:rPr>
              <w:noBreakHyphen/>
              <w:t>2015, 52,6% de tous les documents pour les principaux comités étaient publiés dans toutes les langues 2 mois avant les réunions concernées</w:t>
            </w:r>
          </w:p>
          <w:p w14:paraId="4AC60343" w14:textId="77777777" w:rsidR="00F96912" w:rsidRPr="00EE4D36" w:rsidRDefault="00F96912" w:rsidP="006658D5">
            <w:pPr>
              <w:rPr>
                <w:rFonts w:eastAsiaTheme="minorHAnsi"/>
                <w:color w:val="002060"/>
                <w:sz w:val="16"/>
                <w:szCs w:val="16"/>
              </w:rPr>
            </w:pPr>
            <w:r w:rsidRPr="00EE4D36">
              <w:rPr>
                <w:rFonts w:eastAsiaTheme="minorHAnsi"/>
                <w:color w:val="002060"/>
                <w:sz w:val="16"/>
                <w:szCs w:val="16"/>
              </w:rPr>
              <w:t>– 2014 : 41%</w:t>
            </w:r>
          </w:p>
          <w:p w14:paraId="2977F317" w14:textId="77777777" w:rsidR="00F96912" w:rsidRPr="00EE4D36" w:rsidRDefault="00F96912" w:rsidP="006658D5">
            <w:pPr>
              <w:rPr>
                <w:rFonts w:eastAsiaTheme="minorHAnsi"/>
                <w:color w:val="002060"/>
                <w:sz w:val="16"/>
                <w:szCs w:val="16"/>
              </w:rPr>
            </w:pPr>
            <w:r w:rsidRPr="00EE4D36">
              <w:rPr>
                <w:rFonts w:eastAsiaTheme="minorHAnsi"/>
                <w:color w:val="002060"/>
                <w:sz w:val="16"/>
                <w:szCs w:val="16"/>
              </w:rPr>
              <w:t>– 2015 : 69%</w:t>
            </w:r>
          </w:p>
          <w:p w14:paraId="79B57359" w14:textId="77777777" w:rsidR="00F96912" w:rsidRPr="004E4A91" w:rsidRDefault="00F96912" w:rsidP="006658D5">
            <w:pPr>
              <w:rPr>
                <w:color w:val="000000"/>
                <w:sz w:val="12"/>
                <w:szCs w:val="16"/>
              </w:rPr>
            </w:pPr>
          </w:p>
          <w:p w14:paraId="41170DCD" w14:textId="77777777" w:rsidR="00F96912" w:rsidRPr="00EE4D36" w:rsidRDefault="00F96912" w:rsidP="006658D5">
            <w:pPr>
              <w:rPr>
                <w:i/>
                <w:sz w:val="16"/>
                <w:szCs w:val="16"/>
                <w:lang w:bidi="th-TH"/>
              </w:rPr>
            </w:pPr>
            <w:r w:rsidRPr="00EE4D36">
              <w:rPr>
                <w:i/>
                <w:sz w:val="16"/>
                <w:szCs w:val="16"/>
                <w:lang w:bidi="th-TH"/>
              </w:rPr>
              <w:t>Niveau de référence initial dans le programme et budget 2016</w:t>
            </w:r>
            <w:r w:rsidRPr="00EE4D36">
              <w:rPr>
                <w:i/>
                <w:sz w:val="16"/>
                <w:szCs w:val="16"/>
                <w:lang w:bidi="th-TH"/>
              </w:rPr>
              <w:noBreakHyphen/>
              <w:t>2017 :</w:t>
            </w:r>
          </w:p>
          <w:p w14:paraId="2C793DAD" w14:textId="77777777" w:rsidR="00F96912" w:rsidRPr="00EE4D36" w:rsidRDefault="00F96912" w:rsidP="006658D5">
            <w:pPr>
              <w:rPr>
                <w:color w:val="000000"/>
                <w:sz w:val="16"/>
                <w:szCs w:val="16"/>
              </w:rPr>
            </w:pPr>
            <w:r w:rsidRPr="00EE4D36">
              <w:rPr>
                <w:sz w:val="16"/>
                <w:szCs w:val="16"/>
              </w:rPr>
              <w:t xml:space="preserve">21% des documents publiés dans toutes les langues </w:t>
            </w:r>
            <w:r w:rsidRPr="00EE4D36">
              <w:rPr>
                <w:color w:val="000000"/>
                <w:sz w:val="16"/>
                <w:szCs w:val="16"/>
              </w:rPr>
              <w:t>2 </w:t>
            </w:r>
            <w:r w:rsidRPr="00EE4D36">
              <w:rPr>
                <w:sz w:val="16"/>
                <w:szCs w:val="16"/>
              </w:rPr>
              <w:t>mois avant les réunions concernées</w:t>
            </w:r>
          </w:p>
        </w:tc>
        <w:tc>
          <w:tcPr>
            <w:tcW w:w="758" w:type="pct"/>
            <w:shd w:val="clear" w:color="auto" w:fill="auto"/>
            <w:tcMar>
              <w:top w:w="110" w:type="dxa"/>
              <w:left w:w="58" w:type="dxa"/>
              <w:right w:w="58" w:type="dxa"/>
            </w:tcMar>
          </w:tcPr>
          <w:p w14:paraId="423FE546" w14:textId="77777777" w:rsidR="00F96912" w:rsidRPr="00EE4D36" w:rsidRDefault="00F96912" w:rsidP="006658D5">
            <w:pPr>
              <w:rPr>
                <w:color w:val="000000"/>
                <w:sz w:val="16"/>
                <w:szCs w:val="16"/>
              </w:rPr>
            </w:pPr>
            <w:r w:rsidRPr="00EE4D36">
              <w:rPr>
                <w:sz w:val="16"/>
                <w:szCs w:val="16"/>
              </w:rPr>
              <w:t xml:space="preserve">65% des documents publiés dans toutes les langues </w:t>
            </w:r>
            <w:r w:rsidRPr="00EE4D36">
              <w:rPr>
                <w:color w:val="000000"/>
                <w:sz w:val="16"/>
                <w:szCs w:val="16"/>
              </w:rPr>
              <w:t>2 </w:t>
            </w:r>
            <w:r w:rsidRPr="00EE4D36">
              <w:rPr>
                <w:sz w:val="16"/>
                <w:szCs w:val="16"/>
              </w:rPr>
              <w:t>mois avant les réunions concernées</w:t>
            </w:r>
          </w:p>
        </w:tc>
        <w:tc>
          <w:tcPr>
            <w:tcW w:w="1392" w:type="pct"/>
            <w:shd w:val="clear" w:color="auto" w:fill="FFFFFF"/>
            <w:tcMar>
              <w:top w:w="110" w:type="dxa"/>
              <w:left w:w="58" w:type="dxa"/>
              <w:right w:w="58" w:type="dxa"/>
            </w:tcMar>
          </w:tcPr>
          <w:p w14:paraId="284B7696" w14:textId="77777777" w:rsidR="00F96912" w:rsidRPr="00EE4D36" w:rsidRDefault="00F96912" w:rsidP="006658D5">
            <w:pPr>
              <w:rPr>
                <w:color w:val="000000"/>
                <w:sz w:val="16"/>
                <w:szCs w:val="16"/>
              </w:rPr>
            </w:pPr>
            <w:r w:rsidRPr="00EE4D36">
              <w:rPr>
                <w:sz w:val="16"/>
                <w:szCs w:val="16"/>
              </w:rPr>
              <w:t xml:space="preserve">51% des documents publiés dans toutes les langues </w:t>
            </w:r>
            <w:r w:rsidRPr="00EE4D36">
              <w:rPr>
                <w:color w:val="000000"/>
                <w:sz w:val="16"/>
                <w:szCs w:val="16"/>
              </w:rPr>
              <w:t>2 </w:t>
            </w:r>
            <w:r w:rsidRPr="00EE4D36">
              <w:rPr>
                <w:sz w:val="16"/>
                <w:szCs w:val="16"/>
              </w:rPr>
              <w:t>mois avant les réunions concernées</w:t>
            </w:r>
          </w:p>
        </w:tc>
        <w:tc>
          <w:tcPr>
            <w:tcW w:w="512" w:type="pct"/>
            <w:shd w:val="clear" w:color="auto" w:fill="auto"/>
            <w:tcMar>
              <w:top w:w="110" w:type="dxa"/>
              <w:left w:w="58" w:type="dxa"/>
              <w:right w:w="58" w:type="dxa"/>
            </w:tcMar>
          </w:tcPr>
          <w:p w14:paraId="72112F42" w14:textId="77777777" w:rsidR="00F96912" w:rsidRPr="00CD000E" w:rsidRDefault="00F96912" w:rsidP="006658D5">
            <w:pPr>
              <w:jc w:val="center"/>
              <w:rPr>
                <w:color w:val="000000"/>
                <w:sz w:val="16"/>
                <w:szCs w:val="16"/>
              </w:rPr>
            </w:pPr>
            <w:r w:rsidRPr="00EE4D36">
              <w:rPr>
                <w:b/>
                <w:color w:val="FF0000"/>
                <w:sz w:val="16"/>
                <w:szCs w:val="16"/>
              </w:rPr>
              <w:t>Pas en bonne voie</w:t>
            </w:r>
          </w:p>
        </w:tc>
      </w:tr>
      <w:tr w:rsidR="00F96912" w:rsidRPr="00CD000E" w14:paraId="7BB925AC" w14:textId="77777777" w:rsidTr="006658D5">
        <w:tc>
          <w:tcPr>
            <w:tcW w:w="1071" w:type="pct"/>
            <w:shd w:val="clear" w:color="auto" w:fill="auto"/>
            <w:tcMar>
              <w:left w:w="58" w:type="dxa"/>
              <w:right w:w="58" w:type="dxa"/>
            </w:tcMar>
          </w:tcPr>
          <w:p w14:paraId="24A1DD2C" w14:textId="77777777" w:rsidR="00F96912" w:rsidRPr="00CD000E" w:rsidRDefault="00F96912" w:rsidP="006658D5">
            <w:pPr>
              <w:rPr>
                <w:color w:val="000000"/>
                <w:sz w:val="16"/>
                <w:szCs w:val="16"/>
              </w:rPr>
            </w:pPr>
            <w:r w:rsidRPr="00CD000E">
              <w:rPr>
                <w:sz w:val="16"/>
                <w:szCs w:val="16"/>
              </w:rPr>
              <w:t>Coût par mot traduit</w:t>
            </w:r>
          </w:p>
        </w:tc>
        <w:tc>
          <w:tcPr>
            <w:tcW w:w="1267" w:type="pct"/>
            <w:shd w:val="clear" w:color="auto" w:fill="auto"/>
            <w:tcMar>
              <w:left w:w="58" w:type="dxa"/>
              <w:right w:w="58" w:type="dxa"/>
            </w:tcMar>
          </w:tcPr>
          <w:p w14:paraId="70AEA6D1" w14:textId="77777777" w:rsidR="00F96912" w:rsidRPr="00EE4D36" w:rsidRDefault="00F96912" w:rsidP="006658D5">
            <w:pPr>
              <w:rPr>
                <w:i/>
                <w:color w:val="002060"/>
                <w:sz w:val="16"/>
                <w:szCs w:val="16"/>
              </w:rPr>
            </w:pPr>
            <w:r w:rsidRPr="00EE4D36">
              <w:rPr>
                <w:i/>
                <w:color w:val="002060"/>
                <w:sz w:val="16"/>
                <w:szCs w:val="16"/>
              </w:rPr>
              <w:t>Niveau de référence actualisé à fin 2015 :</w:t>
            </w:r>
          </w:p>
          <w:p w14:paraId="774284DA" w14:textId="77777777" w:rsidR="00F96912" w:rsidRPr="00EE4D36" w:rsidRDefault="00F96912" w:rsidP="006658D5">
            <w:pPr>
              <w:rPr>
                <w:color w:val="002060"/>
                <w:sz w:val="16"/>
                <w:szCs w:val="16"/>
              </w:rPr>
            </w:pPr>
            <w:r w:rsidRPr="00EE4D36">
              <w:rPr>
                <w:color w:val="002060"/>
                <w:sz w:val="16"/>
                <w:szCs w:val="16"/>
              </w:rPr>
              <w:t>Le coût par mot traduit était de :</w:t>
            </w:r>
          </w:p>
          <w:p w14:paraId="4DEF92CF" w14:textId="77777777" w:rsidR="00F96912" w:rsidRPr="00EE4D36" w:rsidRDefault="00F96912" w:rsidP="006658D5">
            <w:pPr>
              <w:rPr>
                <w:color w:val="002060"/>
                <w:sz w:val="16"/>
                <w:szCs w:val="16"/>
              </w:rPr>
            </w:pPr>
            <w:r w:rsidRPr="00EE4D36">
              <w:rPr>
                <w:color w:val="002060"/>
                <w:sz w:val="16"/>
                <w:szCs w:val="16"/>
              </w:rPr>
              <w:t>– 0,59 franc suisse en 2014 (baisse de 6,3% par rapport à 2013)</w:t>
            </w:r>
          </w:p>
          <w:p w14:paraId="7ADFF386" w14:textId="77777777" w:rsidR="00F96912" w:rsidRPr="00EE4D36" w:rsidRDefault="00F96912" w:rsidP="006658D5">
            <w:pPr>
              <w:rPr>
                <w:color w:val="002060"/>
                <w:sz w:val="16"/>
                <w:szCs w:val="16"/>
              </w:rPr>
            </w:pPr>
            <w:r w:rsidRPr="00EE4D36">
              <w:rPr>
                <w:color w:val="002060"/>
                <w:sz w:val="16"/>
                <w:szCs w:val="16"/>
              </w:rPr>
              <w:t>– 0,57 franc suisse en 2015 (baisse de 3,4% par rapport à 2014).</w:t>
            </w:r>
          </w:p>
          <w:p w14:paraId="7C8E6432" w14:textId="77777777" w:rsidR="00F96912" w:rsidRPr="004E4A91" w:rsidRDefault="00F96912" w:rsidP="006658D5">
            <w:pPr>
              <w:rPr>
                <w:color w:val="002060"/>
                <w:sz w:val="12"/>
                <w:szCs w:val="16"/>
              </w:rPr>
            </w:pPr>
          </w:p>
          <w:p w14:paraId="7DA6D06A" w14:textId="77777777" w:rsidR="00F96912" w:rsidRPr="00EE4D36" w:rsidRDefault="00F96912" w:rsidP="006658D5">
            <w:pPr>
              <w:rPr>
                <w:color w:val="002060"/>
                <w:sz w:val="16"/>
                <w:szCs w:val="16"/>
              </w:rPr>
            </w:pPr>
            <w:r w:rsidRPr="00EE4D36">
              <w:rPr>
                <w:sz w:val="16"/>
                <w:szCs w:val="16"/>
              </w:rPr>
              <w:t>Un total de 15,03 millions de mots (</w:t>
            </w:r>
            <w:r w:rsidRPr="00EE4D36">
              <w:rPr>
                <w:color w:val="000000"/>
                <w:sz w:val="16"/>
                <w:szCs w:val="16"/>
              </w:rPr>
              <w:t>45 537 </w:t>
            </w:r>
            <w:r w:rsidRPr="00EE4D36">
              <w:rPr>
                <w:sz w:val="16"/>
                <w:szCs w:val="16"/>
              </w:rPr>
              <w:t>pages types de l’ONU) ont été traduits en </w:t>
            </w:r>
            <w:r w:rsidRPr="00EE4D36">
              <w:rPr>
                <w:color w:val="000000"/>
                <w:sz w:val="16"/>
                <w:szCs w:val="16"/>
              </w:rPr>
              <w:t xml:space="preserve">2014, </w:t>
            </w:r>
            <w:r w:rsidRPr="00EE4D36">
              <w:rPr>
                <w:sz w:val="16"/>
                <w:szCs w:val="16"/>
              </w:rPr>
              <w:t>et 15,32 millions de mots (</w:t>
            </w:r>
            <w:r w:rsidRPr="00EE4D36">
              <w:rPr>
                <w:color w:val="000000"/>
                <w:sz w:val="16"/>
                <w:szCs w:val="16"/>
              </w:rPr>
              <w:t>46 420</w:t>
            </w:r>
            <w:r w:rsidRPr="00EE4D36">
              <w:rPr>
                <w:sz w:val="16"/>
                <w:szCs w:val="16"/>
              </w:rPr>
              <w:t> pages) en </w:t>
            </w:r>
            <w:r w:rsidRPr="00EE4D36">
              <w:rPr>
                <w:color w:val="000000"/>
                <w:sz w:val="16"/>
                <w:szCs w:val="16"/>
              </w:rPr>
              <w:t>2015</w:t>
            </w:r>
          </w:p>
          <w:p w14:paraId="03967543" w14:textId="77777777" w:rsidR="00F96912" w:rsidRPr="004E4A91" w:rsidRDefault="00F96912" w:rsidP="006658D5">
            <w:pPr>
              <w:rPr>
                <w:color w:val="000000"/>
                <w:sz w:val="12"/>
                <w:szCs w:val="16"/>
              </w:rPr>
            </w:pPr>
          </w:p>
          <w:p w14:paraId="3E1D3D78" w14:textId="77777777" w:rsidR="00F96912" w:rsidRPr="00EE4D36" w:rsidRDefault="00F96912" w:rsidP="006658D5">
            <w:pPr>
              <w:rPr>
                <w:i/>
                <w:sz w:val="16"/>
                <w:szCs w:val="16"/>
                <w:lang w:bidi="th-TH"/>
              </w:rPr>
            </w:pPr>
            <w:r w:rsidRPr="00EE4D36">
              <w:rPr>
                <w:i/>
                <w:sz w:val="16"/>
                <w:szCs w:val="16"/>
                <w:lang w:bidi="th-TH"/>
              </w:rPr>
              <w:t>Niveau de référence initial dans le programme et budget 2016</w:t>
            </w:r>
            <w:r w:rsidRPr="00EE4D36">
              <w:rPr>
                <w:i/>
                <w:sz w:val="16"/>
                <w:szCs w:val="16"/>
                <w:lang w:bidi="th-TH"/>
              </w:rPr>
              <w:noBreakHyphen/>
              <w:t>2017 :</w:t>
            </w:r>
          </w:p>
          <w:p w14:paraId="02CBEBEE" w14:textId="77777777" w:rsidR="00F96912" w:rsidRPr="00EE4D36" w:rsidRDefault="00F96912" w:rsidP="006658D5">
            <w:pPr>
              <w:rPr>
                <w:color w:val="000000"/>
                <w:sz w:val="16"/>
                <w:szCs w:val="16"/>
              </w:rPr>
            </w:pPr>
            <w:r w:rsidRPr="00EE4D36">
              <w:rPr>
                <w:sz w:val="16"/>
                <w:szCs w:val="16"/>
              </w:rPr>
              <w:t>0,59 franc suisse par mot</w:t>
            </w:r>
          </w:p>
        </w:tc>
        <w:tc>
          <w:tcPr>
            <w:tcW w:w="758" w:type="pct"/>
            <w:shd w:val="clear" w:color="auto" w:fill="auto"/>
            <w:tcMar>
              <w:top w:w="110" w:type="dxa"/>
              <w:left w:w="58" w:type="dxa"/>
              <w:right w:w="58" w:type="dxa"/>
            </w:tcMar>
          </w:tcPr>
          <w:p w14:paraId="6426B9F0" w14:textId="77777777" w:rsidR="00F96912" w:rsidRPr="00EE4D36" w:rsidRDefault="00F96912" w:rsidP="006658D5">
            <w:pPr>
              <w:rPr>
                <w:color w:val="000000"/>
                <w:sz w:val="16"/>
                <w:szCs w:val="16"/>
              </w:rPr>
            </w:pPr>
            <w:r w:rsidRPr="00EE4D36">
              <w:rPr>
                <w:sz w:val="16"/>
                <w:szCs w:val="16"/>
              </w:rPr>
              <w:t>Maintien de ce coût</w:t>
            </w:r>
          </w:p>
        </w:tc>
        <w:tc>
          <w:tcPr>
            <w:tcW w:w="1392" w:type="pct"/>
            <w:shd w:val="clear" w:color="auto" w:fill="FFFFFF"/>
            <w:tcMar>
              <w:top w:w="110" w:type="dxa"/>
              <w:left w:w="58" w:type="dxa"/>
              <w:right w:w="58" w:type="dxa"/>
            </w:tcMar>
          </w:tcPr>
          <w:p w14:paraId="3CB81A09" w14:textId="77777777" w:rsidR="00F96912" w:rsidRPr="00EE4D36" w:rsidRDefault="00F96912" w:rsidP="006658D5">
            <w:pPr>
              <w:tabs>
                <w:tab w:val="left" w:pos="2500"/>
              </w:tabs>
              <w:rPr>
                <w:color w:val="000000"/>
                <w:sz w:val="16"/>
                <w:szCs w:val="16"/>
              </w:rPr>
            </w:pPr>
            <w:r w:rsidRPr="00EE4D36">
              <w:rPr>
                <w:color w:val="000000"/>
                <w:sz w:val="16"/>
                <w:szCs w:val="16"/>
              </w:rPr>
              <w:t>Le coût par mot traduit a encore été abaissé, à 0,55 franc suisse</w:t>
            </w:r>
          </w:p>
          <w:p w14:paraId="7DCBA0AF" w14:textId="77777777" w:rsidR="00F96912" w:rsidRPr="00EE4D36" w:rsidRDefault="00F96912" w:rsidP="006658D5">
            <w:pPr>
              <w:tabs>
                <w:tab w:val="left" w:pos="2500"/>
              </w:tabs>
              <w:rPr>
                <w:color w:val="000000"/>
                <w:sz w:val="16"/>
                <w:szCs w:val="16"/>
              </w:rPr>
            </w:pPr>
            <w:r w:rsidRPr="00EE4D36">
              <w:rPr>
                <w:color w:val="000000"/>
                <w:sz w:val="16"/>
                <w:szCs w:val="16"/>
              </w:rPr>
              <w:t>(</w:t>
            </w:r>
            <w:r w:rsidRPr="00EE4D36">
              <w:rPr>
                <w:color w:val="000000"/>
                <w:sz w:val="16"/>
                <w:szCs w:val="16"/>
              </w:rPr>
              <w:noBreakHyphen/>
              <w:t>3,5% par rapport à 2015)</w:t>
            </w:r>
          </w:p>
          <w:p w14:paraId="07E05C7A" w14:textId="77777777" w:rsidR="00F96912" w:rsidRPr="00EE4D36" w:rsidRDefault="00F96912" w:rsidP="006658D5">
            <w:pPr>
              <w:rPr>
                <w:color w:val="000000"/>
                <w:sz w:val="16"/>
                <w:szCs w:val="16"/>
              </w:rPr>
            </w:pPr>
          </w:p>
          <w:p w14:paraId="45487462" w14:textId="77777777" w:rsidR="00F96912" w:rsidRPr="00EE4D36" w:rsidRDefault="00F96912" w:rsidP="006658D5">
            <w:pPr>
              <w:rPr>
                <w:color w:val="000000"/>
                <w:sz w:val="16"/>
                <w:szCs w:val="16"/>
              </w:rPr>
            </w:pPr>
            <w:r w:rsidRPr="00EE4D36">
              <w:rPr>
                <w:color w:val="000000"/>
                <w:sz w:val="16"/>
                <w:szCs w:val="16"/>
              </w:rPr>
              <w:t>Un total de 15,69 millions de mots (47 554 pages types de l’ONU) ont été traduits (+2,6% par rapport à 2015)</w:t>
            </w:r>
          </w:p>
        </w:tc>
        <w:tc>
          <w:tcPr>
            <w:tcW w:w="512" w:type="pct"/>
            <w:shd w:val="clear" w:color="auto" w:fill="auto"/>
            <w:tcMar>
              <w:top w:w="110" w:type="dxa"/>
              <w:left w:w="58" w:type="dxa"/>
              <w:right w:w="58" w:type="dxa"/>
            </w:tcMar>
          </w:tcPr>
          <w:p w14:paraId="07A5B90F" w14:textId="77777777" w:rsidR="00F96912" w:rsidRPr="00CD000E" w:rsidRDefault="00F96912" w:rsidP="006658D5">
            <w:pPr>
              <w:jc w:val="center"/>
              <w:rPr>
                <w:color w:val="000000"/>
                <w:sz w:val="16"/>
                <w:szCs w:val="16"/>
              </w:rPr>
            </w:pPr>
            <w:r w:rsidRPr="00CD000E">
              <w:rPr>
                <w:b/>
                <w:color w:val="00B050"/>
                <w:sz w:val="16"/>
                <w:szCs w:val="16"/>
              </w:rPr>
              <w:t>En bonne voie</w:t>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06D5051F" w14:textId="77777777" w:rsidTr="00851C67">
        <w:trPr>
          <w:trHeight w:val="425"/>
          <w:jc w:val="center"/>
        </w:trPr>
        <w:tc>
          <w:tcPr>
            <w:tcW w:w="9287" w:type="dxa"/>
            <w:shd w:val="clear" w:color="auto" w:fill="C6D9F1" w:themeFill="text2" w:themeFillTint="33"/>
            <w:vAlign w:val="center"/>
          </w:tcPr>
          <w:p w14:paraId="0961C526" w14:textId="77777777" w:rsidR="00F96912" w:rsidRPr="00CD000E" w:rsidRDefault="00F96912" w:rsidP="006658D5">
            <w:pPr>
              <w:keepNext/>
              <w:keepLines/>
              <w:jc w:val="center"/>
              <w:rPr>
                <w:b/>
                <w:color w:val="000000"/>
                <w:sz w:val="20"/>
              </w:rPr>
            </w:pPr>
            <w:r w:rsidRPr="00CD000E">
              <w:rPr>
                <w:b/>
                <w:color w:val="000000"/>
                <w:sz w:val="20"/>
              </w:rPr>
              <w:t>Utilisation des ressources au titre du programme 27</w:t>
            </w:r>
          </w:p>
        </w:tc>
      </w:tr>
    </w:tbl>
    <w:p w14:paraId="35322039" w14:textId="77777777" w:rsidR="00F96912" w:rsidRPr="00CD000E" w:rsidRDefault="00F96912" w:rsidP="00F96912">
      <w:pPr>
        <w:keepNext/>
        <w:keepLines/>
        <w:rPr>
          <w:sz w:val="20"/>
        </w:rPr>
      </w:pPr>
    </w:p>
    <w:p w14:paraId="5F0AF9C1" w14:textId="77777777" w:rsidR="00F96912" w:rsidRPr="00CD000E" w:rsidRDefault="00F96912" w:rsidP="00F96912">
      <w:pPr>
        <w:pStyle w:val="NormalWeb"/>
        <w:keepNext/>
        <w:keepLines/>
        <w:spacing w:before="0" w:beforeAutospacing="0" w:after="0" w:afterAutospacing="0"/>
        <w:jc w:val="center"/>
      </w:pPr>
      <w:r w:rsidRPr="00CD000E">
        <w:rPr>
          <w:color w:val="000000"/>
        </w:rPr>
        <w:t>Budget et dépenses effectives (par résultat)</w:t>
      </w:r>
    </w:p>
    <w:p w14:paraId="431C5327"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30AEEA8B" w14:textId="77777777" w:rsidR="00F96912" w:rsidRPr="00CD000E" w:rsidRDefault="00F96912" w:rsidP="00F96912">
      <w:pPr>
        <w:keepNext/>
        <w:keepLines/>
        <w:rPr>
          <w:sz w:val="20"/>
        </w:rPr>
      </w:pPr>
    </w:p>
    <w:tbl>
      <w:tblPr>
        <w:tblW w:w="4300" w:type="pct"/>
        <w:jc w:val="center"/>
        <w:tblCellMar>
          <w:top w:w="57" w:type="dxa"/>
          <w:bottom w:w="57" w:type="dxa"/>
        </w:tblCellMar>
        <w:tblLook w:val="04A0" w:firstRow="1" w:lastRow="0" w:firstColumn="1" w:lastColumn="0" w:noHBand="0" w:noVBand="1"/>
      </w:tblPr>
      <w:tblGrid>
        <w:gridCol w:w="499"/>
        <w:gridCol w:w="4248"/>
        <w:gridCol w:w="1560"/>
        <w:gridCol w:w="1560"/>
        <w:gridCol w:w="1420"/>
      </w:tblGrid>
      <w:tr w:rsidR="00F96912" w:rsidRPr="00CD000E" w14:paraId="056D7BF8" w14:textId="77777777" w:rsidTr="006658D5">
        <w:trPr>
          <w:jc w:val="center"/>
        </w:trPr>
        <w:tc>
          <w:tcPr>
            <w:tcW w:w="4800" w:type="dxa"/>
            <w:gridSpan w:val="2"/>
            <w:tcBorders>
              <w:top w:val="nil"/>
              <w:left w:val="nil"/>
              <w:bottom w:val="nil"/>
              <w:right w:val="nil"/>
            </w:tcBorders>
            <w:shd w:val="clear" w:color="000000" w:fill="C5D9F1"/>
            <w:noWrap/>
            <w:vAlign w:val="center"/>
            <w:hideMark/>
          </w:tcPr>
          <w:p w14:paraId="41689523" w14:textId="77777777" w:rsidR="00F96912" w:rsidRPr="00CD000E" w:rsidRDefault="00F96912" w:rsidP="006658D5">
            <w:pPr>
              <w:keepNext/>
              <w:keepLines/>
              <w:jc w:val="center"/>
              <w:rPr>
                <w:b/>
                <w:bCs/>
                <w:sz w:val="16"/>
                <w:szCs w:val="16"/>
              </w:rPr>
            </w:pPr>
            <w:r w:rsidRPr="00CD000E">
              <w:rPr>
                <w:b/>
                <w:bCs/>
                <w:sz w:val="16"/>
                <w:szCs w:val="16"/>
              </w:rPr>
              <w:t>Numéro et description du résultat escompté</w:t>
            </w:r>
          </w:p>
        </w:tc>
        <w:tc>
          <w:tcPr>
            <w:tcW w:w="1180" w:type="dxa"/>
            <w:tcBorders>
              <w:top w:val="nil"/>
              <w:left w:val="nil"/>
              <w:bottom w:val="nil"/>
              <w:right w:val="nil"/>
            </w:tcBorders>
            <w:shd w:val="clear" w:color="000000" w:fill="C5D9F1"/>
            <w:vAlign w:val="center"/>
            <w:hideMark/>
          </w:tcPr>
          <w:p w14:paraId="642E33DC" w14:textId="77777777" w:rsidR="00F96912" w:rsidRPr="00CD000E" w:rsidRDefault="00F96912" w:rsidP="006658D5">
            <w:pPr>
              <w:keepNext/>
              <w:keepLines/>
              <w:jc w:val="center"/>
              <w:rPr>
                <w:b/>
                <w:bCs/>
                <w:sz w:val="16"/>
                <w:szCs w:val="16"/>
              </w:rPr>
            </w:pPr>
            <w:r w:rsidRPr="00CD000E">
              <w:rPr>
                <w:b/>
                <w:bCs/>
                <w:sz w:val="16"/>
                <w:szCs w:val="16"/>
              </w:rPr>
              <w:t>Budge</w:t>
            </w:r>
            <w:r>
              <w:rPr>
                <w:b/>
                <w:bCs/>
                <w:sz w:val="16"/>
                <w:szCs w:val="16"/>
              </w:rPr>
              <w:t>t </w:t>
            </w:r>
            <w:r w:rsidRPr="00CD000E">
              <w:rPr>
                <w:b/>
                <w:bCs/>
                <w:sz w:val="16"/>
                <w:szCs w:val="16"/>
              </w:rPr>
              <w:t>2016</w:t>
            </w:r>
            <w:r>
              <w:rPr>
                <w:b/>
                <w:bCs/>
                <w:sz w:val="16"/>
                <w:szCs w:val="16"/>
              </w:rPr>
              <w:noBreakHyphen/>
            </w:r>
            <w:r w:rsidRPr="00CD000E">
              <w:rPr>
                <w:b/>
                <w:bCs/>
                <w:sz w:val="16"/>
                <w:szCs w:val="16"/>
              </w:rPr>
              <w:t>2017 approuvé</w:t>
            </w:r>
          </w:p>
        </w:tc>
        <w:tc>
          <w:tcPr>
            <w:tcW w:w="1180" w:type="dxa"/>
            <w:tcBorders>
              <w:top w:val="nil"/>
              <w:left w:val="nil"/>
              <w:bottom w:val="nil"/>
              <w:right w:val="nil"/>
            </w:tcBorders>
            <w:shd w:val="clear" w:color="000000" w:fill="C5D9F1"/>
            <w:vAlign w:val="center"/>
            <w:hideMark/>
          </w:tcPr>
          <w:p w14:paraId="5B885816" w14:textId="77777777" w:rsidR="00F96912" w:rsidRPr="00CD000E" w:rsidRDefault="00F96912" w:rsidP="006658D5">
            <w:pPr>
              <w:keepNext/>
              <w:keepLines/>
              <w:jc w:val="center"/>
              <w:rPr>
                <w:b/>
                <w:bCs/>
                <w:sz w:val="16"/>
                <w:szCs w:val="16"/>
              </w:rPr>
            </w:pPr>
            <w:r>
              <w:rPr>
                <w:b/>
                <w:bCs/>
                <w:sz w:val="16"/>
                <w:szCs w:val="16"/>
              </w:rPr>
              <w:t>Budget </w:t>
            </w:r>
            <w:r w:rsidRPr="00CD000E">
              <w:rPr>
                <w:b/>
                <w:bCs/>
                <w:sz w:val="16"/>
                <w:szCs w:val="16"/>
              </w:rPr>
              <w:t>2016</w:t>
            </w:r>
            <w:r>
              <w:rPr>
                <w:b/>
                <w:bCs/>
                <w:sz w:val="16"/>
                <w:szCs w:val="16"/>
              </w:rPr>
              <w:noBreakHyphen/>
            </w:r>
            <w:r w:rsidRPr="00CD000E">
              <w:rPr>
                <w:b/>
                <w:bCs/>
                <w:sz w:val="16"/>
                <w:szCs w:val="16"/>
              </w:rPr>
              <w:t>2017 après virements</w:t>
            </w:r>
          </w:p>
        </w:tc>
        <w:tc>
          <w:tcPr>
            <w:tcW w:w="1180" w:type="dxa"/>
            <w:tcBorders>
              <w:top w:val="nil"/>
              <w:left w:val="nil"/>
              <w:bottom w:val="nil"/>
              <w:right w:val="nil"/>
            </w:tcBorders>
            <w:shd w:val="clear" w:color="000000" w:fill="C5D9F1"/>
            <w:vAlign w:val="center"/>
            <w:hideMark/>
          </w:tcPr>
          <w:p w14:paraId="18A823AE" w14:textId="77777777" w:rsidR="00F96912" w:rsidRPr="00CD000E" w:rsidRDefault="00F96912" w:rsidP="006658D5">
            <w:pPr>
              <w:keepNext/>
              <w:keepLines/>
              <w:jc w:val="center"/>
              <w:rPr>
                <w:b/>
                <w:bCs/>
                <w:sz w:val="16"/>
                <w:szCs w:val="16"/>
              </w:rPr>
            </w:pPr>
            <w:r>
              <w:rPr>
                <w:b/>
                <w:bCs/>
                <w:sz w:val="16"/>
                <w:szCs w:val="16"/>
              </w:rPr>
              <w:t>Dépenses </w:t>
            </w:r>
            <w:r w:rsidRPr="00CD000E">
              <w:rPr>
                <w:b/>
                <w:bCs/>
                <w:sz w:val="16"/>
                <w:szCs w:val="16"/>
              </w:rPr>
              <w:t>2016*</w:t>
            </w:r>
          </w:p>
        </w:tc>
      </w:tr>
      <w:tr w:rsidR="00F96912" w:rsidRPr="00CD000E" w14:paraId="27360AE2" w14:textId="77777777" w:rsidTr="006658D5">
        <w:trPr>
          <w:jc w:val="center"/>
        </w:trPr>
        <w:tc>
          <w:tcPr>
            <w:tcW w:w="502" w:type="dxa"/>
            <w:tcBorders>
              <w:top w:val="nil"/>
              <w:left w:val="nil"/>
              <w:bottom w:val="nil"/>
              <w:right w:val="nil"/>
            </w:tcBorders>
            <w:shd w:val="clear" w:color="auto" w:fill="auto"/>
            <w:noWrap/>
            <w:vAlign w:val="center"/>
            <w:hideMark/>
          </w:tcPr>
          <w:p w14:paraId="54397D95" w14:textId="77777777" w:rsidR="00F96912" w:rsidRPr="00CD000E" w:rsidRDefault="00F96912" w:rsidP="006658D5">
            <w:pPr>
              <w:keepNext/>
              <w:keepLines/>
              <w:rPr>
                <w:sz w:val="16"/>
                <w:szCs w:val="16"/>
              </w:rPr>
            </w:pPr>
            <w:r w:rsidRPr="00CD000E">
              <w:rPr>
                <w:sz w:val="16"/>
                <w:szCs w:val="16"/>
              </w:rPr>
              <w:t>IX.1</w:t>
            </w:r>
          </w:p>
        </w:tc>
        <w:tc>
          <w:tcPr>
            <w:tcW w:w="4298" w:type="dxa"/>
            <w:tcBorders>
              <w:top w:val="nil"/>
              <w:left w:val="nil"/>
              <w:bottom w:val="nil"/>
              <w:right w:val="nil"/>
            </w:tcBorders>
            <w:shd w:val="clear" w:color="auto" w:fill="auto"/>
            <w:vAlign w:val="center"/>
            <w:hideMark/>
          </w:tcPr>
          <w:p w14:paraId="3C93A894" w14:textId="77777777" w:rsidR="00F96912" w:rsidRPr="00CD000E" w:rsidRDefault="00F96912" w:rsidP="006658D5">
            <w:pPr>
              <w:keepNext/>
              <w:keepLines/>
              <w:rPr>
                <w:sz w:val="16"/>
                <w:szCs w:val="16"/>
              </w:rPr>
            </w:pPr>
            <w:r w:rsidRPr="00CD000E">
              <w:rPr>
                <w:sz w:val="16"/>
                <w:szCs w:val="16"/>
              </w:rPr>
              <w:t>Services d’appui efficaces, efficients, de qualité et tournés vers la clientèle, à l’intention à la fois des clients internes et des parties prenantes externes</w:t>
            </w:r>
          </w:p>
        </w:tc>
        <w:tc>
          <w:tcPr>
            <w:tcW w:w="1180" w:type="dxa"/>
            <w:tcBorders>
              <w:top w:val="nil"/>
              <w:left w:val="nil"/>
              <w:bottom w:val="nil"/>
              <w:right w:val="nil"/>
            </w:tcBorders>
            <w:shd w:val="clear" w:color="auto" w:fill="auto"/>
            <w:noWrap/>
            <w:vAlign w:val="center"/>
            <w:hideMark/>
          </w:tcPr>
          <w:p w14:paraId="07B6FB61" w14:textId="77777777" w:rsidR="00F96912" w:rsidRPr="00CD000E" w:rsidRDefault="00F96912" w:rsidP="006658D5">
            <w:pPr>
              <w:keepNext/>
              <w:keepLines/>
              <w:jc w:val="center"/>
              <w:rPr>
                <w:color w:val="000000"/>
                <w:sz w:val="16"/>
                <w:szCs w:val="16"/>
              </w:rPr>
            </w:pPr>
            <w:r w:rsidRPr="00CD000E">
              <w:rPr>
                <w:color w:val="000000"/>
                <w:sz w:val="16"/>
                <w:szCs w:val="16"/>
              </w:rPr>
              <w:t>38 925</w:t>
            </w:r>
          </w:p>
        </w:tc>
        <w:tc>
          <w:tcPr>
            <w:tcW w:w="1180" w:type="dxa"/>
            <w:tcBorders>
              <w:top w:val="nil"/>
              <w:left w:val="nil"/>
              <w:bottom w:val="nil"/>
              <w:right w:val="nil"/>
            </w:tcBorders>
            <w:shd w:val="clear" w:color="auto" w:fill="auto"/>
            <w:noWrap/>
            <w:vAlign w:val="center"/>
            <w:hideMark/>
          </w:tcPr>
          <w:p w14:paraId="11D661E7" w14:textId="77777777" w:rsidR="00F96912" w:rsidRPr="00CD000E" w:rsidRDefault="00F96912" w:rsidP="006658D5">
            <w:pPr>
              <w:keepNext/>
              <w:keepLines/>
              <w:jc w:val="center"/>
              <w:rPr>
                <w:color w:val="000000"/>
                <w:sz w:val="16"/>
                <w:szCs w:val="16"/>
              </w:rPr>
            </w:pPr>
            <w:r w:rsidRPr="00CD000E">
              <w:rPr>
                <w:color w:val="000000"/>
                <w:sz w:val="16"/>
                <w:szCs w:val="16"/>
              </w:rPr>
              <w:t>38 622</w:t>
            </w:r>
          </w:p>
        </w:tc>
        <w:tc>
          <w:tcPr>
            <w:tcW w:w="1180" w:type="dxa"/>
            <w:tcBorders>
              <w:top w:val="nil"/>
              <w:left w:val="nil"/>
              <w:bottom w:val="nil"/>
              <w:right w:val="nil"/>
            </w:tcBorders>
            <w:shd w:val="clear" w:color="auto" w:fill="auto"/>
            <w:noWrap/>
            <w:vAlign w:val="center"/>
            <w:hideMark/>
          </w:tcPr>
          <w:p w14:paraId="68768E18" w14:textId="77777777" w:rsidR="00F96912" w:rsidRPr="00CD000E" w:rsidRDefault="00F96912" w:rsidP="006658D5">
            <w:pPr>
              <w:keepNext/>
              <w:keepLines/>
              <w:jc w:val="center"/>
              <w:rPr>
                <w:color w:val="000000"/>
                <w:sz w:val="16"/>
                <w:szCs w:val="16"/>
              </w:rPr>
            </w:pPr>
            <w:r w:rsidRPr="00CD000E">
              <w:rPr>
                <w:color w:val="000000"/>
                <w:sz w:val="16"/>
                <w:szCs w:val="16"/>
              </w:rPr>
              <w:t>17 609</w:t>
            </w:r>
          </w:p>
        </w:tc>
      </w:tr>
      <w:tr w:rsidR="00F96912" w:rsidRPr="00CD000E" w14:paraId="34DC5313" w14:textId="77777777" w:rsidTr="006658D5">
        <w:trPr>
          <w:jc w:val="center"/>
        </w:trPr>
        <w:tc>
          <w:tcPr>
            <w:tcW w:w="502" w:type="dxa"/>
            <w:tcBorders>
              <w:top w:val="nil"/>
              <w:left w:val="nil"/>
              <w:bottom w:val="nil"/>
              <w:right w:val="nil"/>
            </w:tcBorders>
            <w:shd w:val="clear" w:color="auto" w:fill="auto"/>
            <w:noWrap/>
            <w:vAlign w:val="center"/>
            <w:hideMark/>
          </w:tcPr>
          <w:p w14:paraId="5F4C439C" w14:textId="77777777" w:rsidR="00F96912" w:rsidRPr="00CD000E" w:rsidRDefault="00F96912" w:rsidP="006658D5">
            <w:pPr>
              <w:keepNext/>
              <w:keepLines/>
              <w:rPr>
                <w:sz w:val="16"/>
                <w:szCs w:val="16"/>
              </w:rPr>
            </w:pPr>
            <w:r w:rsidRPr="00CD000E">
              <w:rPr>
                <w:sz w:val="16"/>
                <w:szCs w:val="16"/>
              </w:rPr>
              <w:t>IX.4</w:t>
            </w:r>
          </w:p>
        </w:tc>
        <w:tc>
          <w:tcPr>
            <w:tcW w:w="4298" w:type="dxa"/>
            <w:tcBorders>
              <w:top w:val="nil"/>
              <w:left w:val="nil"/>
              <w:bottom w:val="nil"/>
              <w:right w:val="nil"/>
            </w:tcBorders>
            <w:shd w:val="clear" w:color="auto" w:fill="auto"/>
            <w:vAlign w:val="center"/>
            <w:hideMark/>
          </w:tcPr>
          <w:p w14:paraId="0BCAAAC4" w14:textId="77777777" w:rsidR="00F96912" w:rsidRPr="00CD000E" w:rsidRDefault="00F96912" w:rsidP="006658D5">
            <w:pPr>
              <w:keepNext/>
              <w:keepLines/>
              <w:rPr>
                <w:sz w:val="16"/>
                <w:szCs w:val="16"/>
              </w:rPr>
            </w:pPr>
            <w:r w:rsidRPr="00CD000E">
              <w:rPr>
                <w:sz w:val="16"/>
                <w:szCs w:val="16"/>
              </w:rPr>
              <w:t>Une Organisation écologiquement et socialement responsable assurant la sûreté et la sécurité du personnel, des délégués, des visiteurs, de l’information et des biens</w:t>
            </w:r>
          </w:p>
        </w:tc>
        <w:tc>
          <w:tcPr>
            <w:tcW w:w="1180" w:type="dxa"/>
            <w:tcBorders>
              <w:top w:val="nil"/>
              <w:left w:val="nil"/>
              <w:bottom w:val="nil"/>
              <w:right w:val="nil"/>
            </w:tcBorders>
            <w:shd w:val="clear" w:color="auto" w:fill="auto"/>
            <w:noWrap/>
            <w:vAlign w:val="center"/>
            <w:hideMark/>
          </w:tcPr>
          <w:p w14:paraId="7905D4AD" w14:textId="77777777" w:rsidR="00F96912" w:rsidRPr="00CD000E" w:rsidRDefault="00F96912" w:rsidP="006658D5">
            <w:pPr>
              <w:keepNext/>
              <w:keepLines/>
              <w:jc w:val="center"/>
              <w:rPr>
                <w:color w:val="000000"/>
                <w:sz w:val="16"/>
                <w:szCs w:val="16"/>
              </w:rPr>
            </w:pPr>
            <w:r w:rsidRPr="00CD000E">
              <w:rPr>
                <w:color w:val="000000"/>
                <w:sz w:val="16"/>
                <w:szCs w:val="16"/>
              </w:rPr>
              <w:t>0</w:t>
            </w:r>
          </w:p>
        </w:tc>
        <w:tc>
          <w:tcPr>
            <w:tcW w:w="1180" w:type="dxa"/>
            <w:tcBorders>
              <w:top w:val="nil"/>
              <w:left w:val="nil"/>
              <w:bottom w:val="nil"/>
              <w:right w:val="nil"/>
            </w:tcBorders>
            <w:shd w:val="clear" w:color="auto" w:fill="auto"/>
            <w:noWrap/>
            <w:vAlign w:val="center"/>
            <w:hideMark/>
          </w:tcPr>
          <w:p w14:paraId="6FBCE8E1" w14:textId="77777777" w:rsidR="00F96912" w:rsidRPr="00CD000E" w:rsidRDefault="00F96912" w:rsidP="006658D5">
            <w:pPr>
              <w:keepNext/>
              <w:keepLines/>
              <w:jc w:val="center"/>
              <w:rPr>
                <w:color w:val="000000"/>
                <w:sz w:val="16"/>
                <w:szCs w:val="16"/>
              </w:rPr>
            </w:pPr>
            <w:r w:rsidRPr="00CD000E">
              <w:rPr>
                <w:color w:val="000000"/>
                <w:sz w:val="16"/>
                <w:szCs w:val="16"/>
              </w:rPr>
              <w:t>39</w:t>
            </w:r>
          </w:p>
        </w:tc>
        <w:tc>
          <w:tcPr>
            <w:tcW w:w="1180" w:type="dxa"/>
            <w:tcBorders>
              <w:top w:val="nil"/>
              <w:left w:val="nil"/>
              <w:bottom w:val="nil"/>
              <w:right w:val="nil"/>
            </w:tcBorders>
            <w:shd w:val="clear" w:color="auto" w:fill="auto"/>
            <w:noWrap/>
            <w:vAlign w:val="center"/>
            <w:hideMark/>
          </w:tcPr>
          <w:p w14:paraId="3D3EFF7E" w14:textId="77777777" w:rsidR="00F96912" w:rsidRPr="00CD000E" w:rsidRDefault="00F96912" w:rsidP="006658D5">
            <w:pPr>
              <w:keepNext/>
              <w:keepLines/>
              <w:jc w:val="center"/>
              <w:rPr>
                <w:color w:val="000000"/>
                <w:sz w:val="16"/>
                <w:szCs w:val="16"/>
              </w:rPr>
            </w:pPr>
            <w:r w:rsidRPr="00CD000E">
              <w:rPr>
                <w:color w:val="000000"/>
                <w:sz w:val="16"/>
                <w:szCs w:val="16"/>
              </w:rPr>
              <w:t>0</w:t>
            </w:r>
          </w:p>
        </w:tc>
      </w:tr>
      <w:tr w:rsidR="00F96912" w:rsidRPr="00CD000E" w14:paraId="1B4D3DCB" w14:textId="77777777" w:rsidTr="006658D5">
        <w:trPr>
          <w:jc w:val="center"/>
        </w:trPr>
        <w:tc>
          <w:tcPr>
            <w:tcW w:w="502" w:type="dxa"/>
            <w:tcBorders>
              <w:top w:val="nil"/>
              <w:left w:val="nil"/>
              <w:bottom w:val="nil"/>
              <w:right w:val="nil"/>
            </w:tcBorders>
            <w:shd w:val="clear" w:color="000000" w:fill="C5D9F1"/>
            <w:noWrap/>
            <w:vAlign w:val="bottom"/>
            <w:hideMark/>
          </w:tcPr>
          <w:p w14:paraId="036BD2A1" w14:textId="77777777" w:rsidR="00F96912" w:rsidRPr="00CD000E" w:rsidRDefault="00F96912" w:rsidP="006658D5">
            <w:pPr>
              <w:keepNext/>
              <w:keepLines/>
              <w:rPr>
                <w:sz w:val="16"/>
                <w:szCs w:val="16"/>
              </w:rPr>
            </w:pPr>
            <w:r w:rsidRPr="00CD000E">
              <w:rPr>
                <w:sz w:val="16"/>
                <w:szCs w:val="16"/>
              </w:rPr>
              <w:t> </w:t>
            </w:r>
          </w:p>
        </w:tc>
        <w:tc>
          <w:tcPr>
            <w:tcW w:w="4298" w:type="dxa"/>
            <w:tcBorders>
              <w:top w:val="nil"/>
              <w:left w:val="nil"/>
              <w:bottom w:val="nil"/>
              <w:right w:val="nil"/>
            </w:tcBorders>
            <w:shd w:val="clear" w:color="000000" w:fill="C5D9F1"/>
            <w:noWrap/>
            <w:vAlign w:val="bottom"/>
            <w:hideMark/>
          </w:tcPr>
          <w:p w14:paraId="5A7C0BFB" w14:textId="77777777" w:rsidR="00F96912" w:rsidRPr="00CD000E" w:rsidRDefault="00F96912" w:rsidP="006658D5">
            <w:pPr>
              <w:keepNext/>
              <w:keepLines/>
              <w:jc w:val="right"/>
              <w:rPr>
                <w:b/>
                <w:bCs/>
                <w:sz w:val="16"/>
                <w:szCs w:val="16"/>
              </w:rPr>
            </w:pPr>
            <w:r w:rsidRPr="00CD000E">
              <w:rPr>
                <w:b/>
                <w:bCs/>
                <w:sz w:val="16"/>
                <w:szCs w:val="16"/>
              </w:rPr>
              <w:t>Total</w:t>
            </w:r>
          </w:p>
        </w:tc>
        <w:tc>
          <w:tcPr>
            <w:tcW w:w="1180" w:type="dxa"/>
            <w:tcBorders>
              <w:top w:val="nil"/>
              <w:left w:val="nil"/>
              <w:bottom w:val="nil"/>
              <w:right w:val="nil"/>
            </w:tcBorders>
            <w:shd w:val="clear" w:color="000000" w:fill="C5D9F1"/>
            <w:noWrap/>
            <w:vAlign w:val="center"/>
            <w:hideMark/>
          </w:tcPr>
          <w:p w14:paraId="63E47D70" w14:textId="77777777" w:rsidR="00F96912" w:rsidRPr="00CD000E" w:rsidRDefault="00F96912" w:rsidP="006658D5">
            <w:pPr>
              <w:keepNext/>
              <w:keepLines/>
              <w:jc w:val="center"/>
              <w:rPr>
                <w:color w:val="000000"/>
                <w:sz w:val="16"/>
                <w:szCs w:val="16"/>
              </w:rPr>
            </w:pPr>
            <w:r w:rsidRPr="00CD000E">
              <w:rPr>
                <w:color w:val="000000"/>
                <w:sz w:val="16"/>
                <w:szCs w:val="16"/>
              </w:rPr>
              <w:t>38 925</w:t>
            </w:r>
          </w:p>
        </w:tc>
        <w:tc>
          <w:tcPr>
            <w:tcW w:w="1180" w:type="dxa"/>
            <w:tcBorders>
              <w:top w:val="nil"/>
              <w:left w:val="nil"/>
              <w:bottom w:val="nil"/>
              <w:right w:val="nil"/>
            </w:tcBorders>
            <w:shd w:val="clear" w:color="000000" w:fill="C5D9F1"/>
            <w:noWrap/>
            <w:vAlign w:val="center"/>
            <w:hideMark/>
          </w:tcPr>
          <w:p w14:paraId="4FAD290C" w14:textId="77777777" w:rsidR="00F96912" w:rsidRPr="00CD000E" w:rsidRDefault="00F96912" w:rsidP="006658D5">
            <w:pPr>
              <w:keepNext/>
              <w:keepLines/>
              <w:jc w:val="center"/>
              <w:rPr>
                <w:color w:val="000000"/>
                <w:sz w:val="16"/>
                <w:szCs w:val="16"/>
              </w:rPr>
            </w:pPr>
            <w:r w:rsidRPr="00CD000E">
              <w:rPr>
                <w:color w:val="000000"/>
                <w:sz w:val="16"/>
                <w:szCs w:val="16"/>
              </w:rPr>
              <w:t>38 661</w:t>
            </w:r>
          </w:p>
        </w:tc>
        <w:tc>
          <w:tcPr>
            <w:tcW w:w="1180" w:type="dxa"/>
            <w:tcBorders>
              <w:top w:val="nil"/>
              <w:left w:val="nil"/>
              <w:bottom w:val="nil"/>
              <w:right w:val="nil"/>
            </w:tcBorders>
            <w:shd w:val="clear" w:color="000000" w:fill="C5D9F1"/>
            <w:noWrap/>
            <w:vAlign w:val="center"/>
            <w:hideMark/>
          </w:tcPr>
          <w:p w14:paraId="410C98C3" w14:textId="77777777" w:rsidR="00F96912" w:rsidRPr="00CD000E" w:rsidRDefault="00F96912" w:rsidP="006658D5">
            <w:pPr>
              <w:keepNext/>
              <w:keepLines/>
              <w:jc w:val="center"/>
              <w:rPr>
                <w:color w:val="000000"/>
                <w:sz w:val="16"/>
                <w:szCs w:val="16"/>
              </w:rPr>
            </w:pPr>
            <w:r w:rsidRPr="00CD000E">
              <w:rPr>
                <w:color w:val="000000"/>
                <w:sz w:val="16"/>
                <w:szCs w:val="16"/>
              </w:rPr>
              <w:t>17 609</w:t>
            </w:r>
          </w:p>
        </w:tc>
      </w:tr>
      <w:tr w:rsidR="00F96912" w:rsidRPr="00CD000E" w14:paraId="3F2BBE33" w14:textId="77777777" w:rsidTr="006658D5">
        <w:trPr>
          <w:jc w:val="center"/>
        </w:trPr>
        <w:tc>
          <w:tcPr>
            <w:tcW w:w="7160" w:type="dxa"/>
            <w:gridSpan w:val="4"/>
            <w:tcBorders>
              <w:top w:val="nil"/>
              <w:left w:val="nil"/>
              <w:bottom w:val="nil"/>
              <w:right w:val="nil"/>
            </w:tcBorders>
            <w:shd w:val="clear" w:color="auto" w:fill="auto"/>
            <w:noWrap/>
            <w:vAlign w:val="center"/>
            <w:hideMark/>
          </w:tcPr>
          <w:p w14:paraId="7D485D20" w14:textId="77777777" w:rsidR="00F96912" w:rsidRPr="00CD000E" w:rsidRDefault="00F96912" w:rsidP="006658D5">
            <w:pPr>
              <w:keepNext/>
              <w:keepLines/>
              <w:rPr>
                <w:i/>
                <w:iCs/>
                <w:sz w:val="16"/>
                <w:szCs w:val="16"/>
              </w:rPr>
            </w:pPr>
            <w:r w:rsidRPr="00CD000E">
              <w:rPr>
                <w:i/>
                <w:iCs/>
                <w:sz w:val="16"/>
                <w:szCs w:val="16"/>
              </w:rPr>
              <w:t>*Les chiffres des dépenses pour 2016 sont préliminaires, sous réserve d’audit par les vérificateurs externes des comptes</w:t>
            </w:r>
          </w:p>
        </w:tc>
        <w:tc>
          <w:tcPr>
            <w:tcW w:w="1180" w:type="dxa"/>
            <w:tcBorders>
              <w:top w:val="nil"/>
              <w:left w:val="nil"/>
              <w:bottom w:val="nil"/>
              <w:right w:val="nil"/>
            </w:tcBorders>
            <w:shd w:val="clear" w:color="auto" w:fill="auto"/>
            <w:noWrap/>
            <w:vAlign w:val="center"/>
            <w:hideMark/>
          </w:tcPr>
          <w:p w14:paraId="5C29804C" w14:textId="77777777" w:rsidR="00F96912" w:rsidRPr="00CD000E" w:rsidRDefault="00F96912" w:rsidP="006658D5">
            <w:pPr>
              <w:keepNext/>
              <w:keepLines/>
              <w:rPr>
                <w:sz w:val="16"/>
                <w:szCs w:val="16"/>
              </w:rPr>
            </w:pPr>
          </w:p>
        </w:tc>
      </w:tr>
    </w:tbl>
    <w:p w14:paraId="0C2C7529" w14:textId="77777777" w:rsidR="00F96912" w:rsidRPr="00CD000E" w:rsidRDefault="00F96912" w:rsidP="00F96912">
      <w:pPr>
        <w:rPr>
          <w:sz w:val="20"/>
        </w:rPr>
      </w:pPr>
    </w:p>
    <w:p w14:paraId="20975613" w14:textId="77777777" w:rsidR="00F96912" w:rsidRPr="00CD000E" w:rsidRDefault="00F96912" w:rsidP="00F96912">
      <w:pPr>
        <w:pStyle w:val="NormalWeb"/>
        <w:keepNext/>
        <w:keepLines/>
        <w:spacing w:before="0" w:beforeAutospacing="0" w:after="0" w:afterAutospacing="0"/>
        <w:jc w:val="center"/>
        <w:rPr>
          <w:color w:val="000000"/>
        </w:rPr>
      </w:pPr>
      <w:r w:rsidRPr="00CD000E">
        <w:rPr>
          <w:color w:val="000000"/>
        </w:rPr>
        <w:t>Budget et dépenses effectives (dépenses de personnel et autres dépenses)</w:t>
      </w:r>
    </w:p>
    <w:p w14:paraId="68CDE8DF"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3E6BA846"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2473"/>
        <w:gridCol w:w="1577"/>
        <w:gridCol w:w="1577"/>
        <w:gridCol w:w="1440"/>
        <w:gridCol w:w="1165"/>
      </w:tblGrid>
      <w:tr w:rsidR="00F96912" w:rsidRPr="00EE4D36" w14:paraId="03B1A212" w14:textId="77777777" w:rsidTr="006658D5">
        <w:trPr>
          <w:jc w:val="center"/>
        </w:trPr>
        <w:tc>
          <w:tcPr>
            <w:tcW w:w="2473" w:type="dxa"/>
            <w:tcBorders>
              <w:top w:val="nil"/>
              <w:left w:val="nil"/>
              <w:bottom w:val="nil"/>
              <w:right w:val="nil"/>
            </w:tcBorders>
            <w:shd w:val="clear" w:color="000000" w:fill="C5D9F1"/>
            <w:noWrap/>
            <w:vAlign w:val="center"/>
            <w:hideMark/>
          </w:tcPr>
          <w:p w14:paraId="43236989" w14:textId="77777777" w:rsidR="00F96912" w:rsidRPr="00CD000E" w:rsidRDefault="00F96912" w:rsidP="006658D5">
            <w:pPr>
              <w:rPr>
                <w:color w:val="000000"/>
                <w:sz w:val="16"/>
                <w:szCs w:val="16"/>
              </w:rPr>
            </w:pPr>
            <w:r w:rsidRPr="00CD000E">
              <w:rPr>
                <w:color w:val="000000"/>
                <w:sz w:val="16"/>
                <w:szCs w:val="16"/>
              </w:rPr>
              <w:t> </w:t>
            </w:r>
          </w:p>
        </w:tc>
        <w:tc>
          <w:tcPr>
            <w:tcW w:w="1439" w:type="dxa"/>
            <w:tcBorders>
              <w:top w:val="nil"/>
              <w:left w:val="nil"/>
              <w:bottom w:val="nil"/>
              <w:right w:val="nil"/>
            </w:tcBorders>
            <w:shd w:val="clear" w:color="000000" w:fill="C5D9F1"/>
            <w:vAlign w:val="center"/>
            <w:hideMark/>
          </w:tcPr>
          <w:p w14:paraId="40947A05"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40" w:type="dxa"/>
            <w:tcBorders>
              <w:top w:val="nil"/>
              <w:left w:val="nil"/>
              <w:bottom w:val="nil"/>
              <w:right w:val="nil"/>
            </w:tcBorders>
            <w:shd w:val="clear" w:color="000000" w:fill="C5D9F1"/>
            <w:vAlign w:val="center"/>
            <w:hideMark/>
          </w:tcPr>
          <w:p w14:paraId="1B19F613" w14:textId="77777777" w:rsidR="00F96912" w:rsidRPr="00CD000E" w:rsidRDefault="00F96912" w:rsidP="006658D5">
            <w:pPr>
              <w:jc w:val="center"/>
              <w:rPr>
                <w:b/>
                <w:bCs/>
                <w:color w:val="000000"/>
                <w:sz w:val="16"/>
                <w:szCs w:val="16"/>
              </w:rPr>
            </w:pPr>
            <w:r>
              <w:rPr>
                <w:b/>
                <w:bCs/>
                <w:color w:val="000000"/>
                <w:sz w:val="16"/>
                <w:szCs w:val="16"/>
              </w:rPr>
              <w:t>Budget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40" w:type="dxa"/>
            <w:tcBorders>
              <w:top w:val="nil"/>
              <w:left w:val="nil"/>
              <w:bottom w:val="nil"/>
              <w:right w:val="nil"/>
            </w:tcBorders>
            <w:shd w:val="clear" w:color="000000" w:fill="C5D9F1"/>
            <w:vAlign w:val="center"/>
            <w:hideMark/>
          </w:tcPr>
          <w:p w14:paraId="4E01EBBA" w14:textId="77777777" w:rsidR="00F96912" w:rsidRPr="00CD000E" w:rsidRDefault="00F96912" w:rsidP="006658D5">
            <w:pPr>
              <w:jc w:val="center"/>
              <w:rPr>
                <w:b/>
                <w:bCs/>
                <w:color w:val="000000"/>
                <w:sz w:val="16"/>
                <w:szCs w:val="16"/>
              </w:rPr>
            </w:pPr>
            <w:r>
              <w:rPr>
                <w:b/>
                <w:bCs/>
                <w:color w:val="000000"/>
                <w:sz w:val="16"/>
                <w:szCs w:val="16"/>
              </w:rPr>
              <w:t>Dépenses </w:t>
            </w:r>
            <w:r w:rsidRPr="00CD000E">
              <w:rPr>
                <w:b/>
                <w:bCs/>
                <w:color w:val="000000"/>
                <w:sz w:val="16"/>
                <w:szCs w:val="16"/>
              </w:rPr>
              <w:t>2016*</w:t>
            </w:r>
          </w:p>
        </w:tc>
        <w:tc>
          <w:tcPr>
            <w:tcW w:w="1440" w:type="dxa"/>
            <w:tcBorders>
              <w:top w:val="nil"/>
              <w:left w:val="nil"/>
              <w:bottom w:val="nil"/>
              <w:right w:val="nil"/>
            </w:tcBorders>
            <w:shd w:val="clear" w:color="000000" w:fill="C5D9F1"/>
            <w:vAlign w:val="center"/>
            <w:hideMark/>
          </w:tcPr>
          <w:p w14:paraId="3ABD1A95" w14:textId="77777777" w:rsidR="00F96912" w:rsidRPr="00EE4D36" w:rsidRDefault="00F96912" w:rsidP="006658D5">
            <w:pPr>
              <w:jc w:val="center"/>
              <w:rPr>
                <w:b/>
                <w:bCs/>
                <w:sz w:val="16"/>
                <w:szCs w:val="16"/>
              </w:rPr>
            </w:pPr>
            <w:r w:rsidRPr="00EE4D36">
              <w:rPr>
                <w:b/>
                <w:bCs/>
                <w:sz w:val="16"/>
                <w:szCs w:val="16"/>
              </w:rPr>
              <w:t>Taux d’utilisation (%)</w:t>
            </w:r>
          </w:p>
        </w:tc>
      </w:tr>
      <w:tr w:rsidR="00F96912" w:rsidRPr="00EE4D36" w14:paraId="0C422BCB" w14:textId="77777777" w:rsidTr="006658D5">
        <w:trPr>
          <w:jc w:val="center"/>
        </w:trPr>
        <w:tc>
          <w:tcPr>
            <w:tcW w:w="2473" w:type="dxa"/>
            <w:tcBorders>
              <w:top w:val="nil"/>
              <w:left w:val="nil"/>
              <w:bottom w:val="nil"/>
              <w:right w:val="nil"/>
            </w:tcBorders>
            <w:shd w:val="clear" w:color="auto" w:fill="auto"/>
            <w:noWrap/>
            <w:vAlign w:val="center"/>
            <w:hideMark/>
          </w:tcPr>
          <w:p w14:paraId="50A33B25" w14:textId="77777777" w:rsidR="00F96912" w:rsidRPr="00CD000E" w:rsidRDefault="00F96912" w:rsidP="006658D5">
            <w:pPr>
              <w:rPr>
                <w:color w:val="000000"/>
                <w:sz w:val="16"/>
                <w:szCs w:val="16"/>
              </w:rPr>
            </w:pPr>
            <w:r w:rsidRPr="00CD000E">
              <w:rPr>
                <w:sz w:val="16"/>
                <w:szCs w:val="16"/>
              </w:rPr>
              <w:t>Ressources en personnel</w:t>
            </w:r>
            <w:r w:rsidRPr="00CD000E">
              <w:rPr>
                <w:color w:val="000000"/>
                <w:sz w:val="16"/>
                <w:szCs w:val="16"/>
              </w:rPr>
              <w:t xml:space="preserve"> </w:t>
            </w:r>
          </w:p>
        </w:tc>
        <w:tc>
          <w:tcPr>
            <w:tcW w:w="1439" w:type="dxa"/>
            <w:tcBorders>
              <w:top w:val="nil"/>
              <w:left w:val="nil"/>
              <w:bottom w:val="nil"/>
              <w:right w:val="nil"/>
            </w:tcBorders>
            <w:shd w:val="clear" w:color="auto" w:fill="auto"/>
            <w:vAlign w:val="center"/>
            <w:hideMark/>
          </w:tcPr>
          <w:p w14:paraId="2120D389" w14:textId="77777777" w:rsidR="00F96912" w:rsidRPr="00CD000E" w:rsidRDefault="00F96912" w:rsidP="006658D5">
            <w:pPr>
              <w:jc w:val="center"/>
              <w:rPr>
                <w:color w:val="000000"/>
                <w:sz w:val="16"/>
                <w:szCs w:val="16"/>
              </w:rPr>
            </w:pPr>
            <w:r w:rsidRPr="00CD000E">
              <w:rPr>
                <w:color w:val="000000"/>
                <w:sz w:val="16"/>
                <w:szCs w:val="16"/>
              </w:rPr>
              <w:t xml:space="preserve">29 571 </w:t>
            </w:r>
          </w:p>
        </w:tc>
        <w:tc>
          <w:tcPr>
            <w:tcW w:w="1440" w:type="dxa"/>
            <w:tcBorders>
              <w:top w:val="nil"/>
              <w:left w:val="nil"/>
              <w:bottom w:val="nil"/>
              <w:right w:val="nil"/>
            </w:tcBorders>
            <w:shd w:val="clear" w:color="auto" w:fill="auto"/>
            <w:vAlign w:val="center"/>
            <w:hideMark/>
          </w:tcPr>
          <w:p w14:paraId="035FE120" w14:textId="77777777" w:rsidR="00F96912" w:rsidRPr="00CD000E" w:rsidRDefault="00F96912" w:rsidP="006658D5">
            <w:pPr>
              <w:jc w:val="center"/>
              <w:rPr>
                <w:color w:val="000000"/>
                <w:sz w:val="16"/>
                <w:szCs w:val="16"/>
              </w:rPr>
            </w:pPr>
            <w:r w:rsidRPr="00CD000E">
              <w:rPr>
                <w:color w:val="000000"/>
                <w:sz w:val="16"/>
                <w:szCs w:val="16"/>
              </w:rPr>
              <w:t xml:space="preserve">28 834 </w:t>
            </w:r>
          </w:p>
        </w:tc>
        <w:tc>
          <w:tcPr>
            <w:tcW w:w="1440" w:type="dxa"/>
            <w:tcBorders>
              <w:top w:val="nil"/>
              <w:left w:val="nil"/>
              <w:bottom w:val="nil"/>
              <w:right w:val="nil"/>
            </w:tcBorders>
            <w:shd w:val="clear" w:color="auto" w:fill="auto"/>
            <w:vAlign w:val="center"/>
            <w:hideMark/>
          </w:tcPr>
          <w:p w14:paraId="104C3E80" w14:textId="77777777" w:rsidR="00F96912" w:rsidRPr="00CD000E" w:rsidRDefault="00F96912" w:rsidP="006658D5">
            <w:pPr>
              <w:jc w:val="center"/>
              <w:rPr>
                <w:color w:val="000000"/>
                <w:sz w:val="16"/>
                <w:szCs w:val="16"/>
              </w:rPr>
            </w:pPr>
            <w:r w:rsidRPr="00CD000E">
              <w:rPr>
                <w:color w:val="000000"/>
                <w:sz w:val="16"/>
                <w:szCs w:val="16"/>
              </w:rPr>
              <w:t xml:space="preserve">13 024 </w:t>
            </w:r>
          </w:p>
        </w:tc>
        <w:tc>
          <w:tcPr>
            <w:tcW w:w="1440" w:type="dxa"/>
            <w:tcBorders>
              <w:top w:val="nil"/>
              <w:left w:val="nil"/>
              <w:bottom w:val="nil"/>
              <w:right w:val="nil"/>
            </w:tcBorders>
            <w:shd w:val="clear" w:color="auto" w:fill="auto"/>
            <w:vAlign w:val="center"/>
            <w:hideMark/>
          </w:tcPr>
          <w:p w14:paraId="58067EFA" w14:textId="77777777" w:rsidR="00F96912" w:rsidRPr="00EE4D36" w:rsidRDefault="00F96912" w:rsidP="006658D5">
            <w:pPr>
              <w:jc w:val="center"/>
              <w:rPr>
                <w:sz w:val="16"/>
                <w:szCs w:val="16"/>
              </w:rPr>
            </w:pPr>
            <w:r w:rsidRPr="00EE4D36">
              <w:rPr>
                <w:sz w:val="16"/>
                <w:szCs w:val="16"/>
              </w:rPr>
              <w:t>45%</w:t>
            </w:r>
          </w:p>
        </w:tc>
      </w:tr>
      <w:tr w:rsidR="00F96912" w:rsidRPr="00EE4D36" w14:paraId="175C1A2E" w14:textId="77777777" w:rsidTr="006658D5">
        <w:trPr>
          <w:jc w:val="center"/>
        </w:trPr>
        <w:tc>
          <w:tcPr>
            <w:tcW w:w="2473" w:type="dxa"/>
            <w:tcBorders>
              <w:top w:val="nil"/>
              <w:left w:val="nil"/>
              <w:bottom w:val="nil"/>
              <w:right w:val="nil"/>
            </w:tcBorders>
            <w:shd w:val="clear" w:color="auto" w:fill="auto"/>
            <w:noWrap/>
            <w:vAlign w:val="center"/>
            <w:hideMark/>
          </w:tcPr>
          <w:p w14:paraId="6196BE98" w14:textId="77777777" w:rsidR="00F96912" w:rsidRPr="00CD000E" w:rsidRDefault="00F96912" w:rsidP="006658D5">
            <w:pPr>
              <w:rPr>
                <w:color w:val="000000"/>
                <w:sz w:val="16"/>
                <w:szCs w:val="16"/>
              </w:rPr>
            </w:pPr>
            <w:r w:rsidRPr="00CD000E">
              <w:rPr>
                <w:sz w:val="16"/>
                <w:szCs w:val="16"/>
              </w:rPr>
              <w:t>Autres ressources</w:t>
            </w:r>
            <w:r w:rsidRPr="00CD000E">
              <w:rPr>
                <w:color w:val="000000"/>
                <w:sz w:val="16"/>
                <w:szCs w:val="16"/>
              </w:rPr>
              <w:t xml:space="preserve"> </w:t>
            </w:r>
          </w:p>
        </w:tc>
        <w:tc>
          <w:tcPr>
            <w:tcW w:w="1439" w:type="dxa"/>
            <w:tcBorders>
              <w:top w:val="nil"/>
              <w:left w:val="nil"/>
              <w:bottom w:val="nil"/>
              <w:right w:val="nil"/>
            </w:tcBorders>
            <w:shd w:val="clear" w:color="auto" w:fill="auto"/>
            <w:vAlign w:val="center"/>
            <w:hideMark/>
          </w:tcPr>
          <w:p w14:paraId="6F1AC1BB" w14:textId="77777777" w:rsidR="00F96912" w:rsidRPr="00CD000E" w:rsidRDefault="00F96912" w:rsidP="006658D5">
            <w:pPr>
              <w:jc w:val="center"/>
              <w:rPr>
                <w:color w:val="000000"/>
                <w:sz w:val="16"/>
                <w:szCs w:val="16"/>
              </w:rPr>
            </w:pPr>
            <w:r w:rsidRPr="00CD000E">
              <w:rPr>
                <w:color w:val="000000"/>
                <w:sz w:val="16"/>
                <w:szCs w:val="16"/>
              </w:rPr>
              <w:t xml:space="preserve">9 354 </w:t>
            </w:r>
          </w:p>
        </w:tc>
        <w:tc>
          <w:tcPr>
            <w:tcW w:w="1440" w:type="dxa"/>
            <w:tcBorders>
              <w:top w:val="nil"/>
              <w:left w:val="nil"/>
              <w:bottom w:val="nil"/>
              <w:right w:val="nil"/>
            </w:tcBorders>
            <w:shd w:val="clear" w:color="auto" w:fill="auto"/>
            <w:vAlign w:val="center"/>
            <w:hideMark/>
          </w:tcPr>
          <w:p w14:paraId="70870E14" w14:textId="77777777" w:rsidR="00F96912" w:rsidRPr="00CD000E" w:rsidRDefault="00F96912" w:rsidP="006658D5">
            <w:pPr>
              <w:jc w:val="center"/>
              <w:rPr>
                <w:color w:val="000000"/>
                <w:sz w:val="16"/>
                <w:szCs w:val="16"/>
              </w:rPr>
            </w:pPr>
            <w:r w:rsidRPr="00CD000E">
              <w:rPr>
                <w:color w:val="000000"/>
                <w:sz w:val="16"/>
                <w:szCs w:val="16"/>
              </w:rPr>
              <w:t xml:space="preserve">9 826 </w:t>
            </w:r>
          </w:p>
        </w:tc>
        <w:tc>
          <w:tcPr>
            <w:tcW w:w="1440" w:type="dxa"/>
            <w:tcBorders>
              <w:top w:val="nil"/>
              <w:left w:val="nil"/>
              <w:bottom w:val="nil"/>
              <w:right w:val="nil"/>
            </w:tcBorders>
            <w:shd w:val="clear" w:color="auto" w:fill="auto"/>
            <w:vAlign w:val="center"/>
            <w:hideMark/>
          </w:tcPr>
          <w:p w14:paraId="08340BBB" w14:textId="77777777" w:rsidR="00F96912" w:rsidRPr="00CD000E" w:rsidRDefault="00F96912" w:rsidP="006658D5">
            <w:pPr>
              <w:jc w:val="center"/>
              <w:rPr>
                <w:color w:val="000000"/>
                <w:sz w:val="16"/>
                <w:szCs w:val="16"/>
              </w:rPr>
            </w:pPr>
            <w:r w:rsidRPr="00CD000E">
              <w:rPr>
                <w:color w:val="000000"/>
                <w:sz w:val="16"/>
                <w:szCs w:val="16"/>
              </w:rPr>
              <w:t xml:space="preserve">4 585 </w:t>
            </w:r>
          </w:p>
        </w:tc>
        <w:tc>
          <w:tcPr>
            <w:tcW w:w="1440" w:type="dxa"/>
            <w:tcBorders>
              <w:top w:val="nil"/>
              <w:left w:val="nil"/>
              <w:bottom w:val="nil"/>
              <w:right w:val="nil"/>
            </w:tcBorders>
            <w:shd w:val="clear" w:color="auto" w:fill="auto"/>
            <w:vAlign w:val="center"/>
            <w:hideMark/>
          </w:tcPr>
          <w:p w14:paraId="4FB2BF27" w14:textId="77777777" w:rsidR="00F96912" w:rsidRPr="00EE4D36" w:rsidRDefault="00F96912" w:rsidP="006658D5">
            <w:pPr>
              <w:jc w:val="center"/>
              <w:rPr>
                <w:sz w:val="16"/>
                <w:szCs w:val="16"/>
              </w:rPr>
            </w:pPr>
            <w:r w:rsidRPr="00EE4D36">
              <w:rPr>
                <w:sz w:val="16"/>
                <w:szCs w:val="16"/>
              </w:rPr>
              <w:t>47%</w:t>
            </w:r>
          </w:p>
        </w:tc>
      </w:tr>
      <w:tr w:rsidR="00F96912" w:rsidRPr="00EE4D36" w14:paraId="73848018" w14:textId="77777777" w:rsidTr="006658D5">
        <w:trPr>
          <w:jc w:val="center"/>
        </w:trPr>
        <w:tc>
          <w:tcPr>
            <w:tcW w:w="2473" w:type="dxa"/>
            <w:tcBorders>
              <w:top w:val="nil"/>
              <w:left w:val="nil"/>
              <w:bottom w:val="nil"/>
              <w:right w:val="nil"/>
            </w:tcBorders>
            <w:shd w:val="clear" w:color="000000" w:fill="C5D9F1"/>
            <w:noWrap/>
            <w:vAlign w:val="center"/>
            <w:hideMark/>
          </w:tcPr>
          <w:p w14:paraId="4365167A" w14:textId="77777777" w:rsidR="00F96912" w:rsidRPr="00CD000E" w:rsidRDefault="00F96912" w:rsidP="006658D5">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9" w:type="dxa"/>
            <w:tcBorders>
              <w:top w:val="nil"/>
              <w:left w:val="nil"/>
              <w:bottom w:val="nil"/>
              <w:right w:val="nil"/>
            </w:tcBorders>
            <w:shd w:val="clear" w:color="000000" w:fill="C5D9F1"/>
            <w:vAlign w:val="center"/>
            <w:hideMark/>
          </w:tcPr>
          <w:p w14:paraId="181C0FE7" w14:textId="77777777" w:rsidR="00F96912" w:rsidRPr="00CD000E" w:rsidRDefault="00F96912" w:rsidP="006658D5">
            <w:pPr>
              <w:jc w:val="center"/>
              <w:rPr>
                <w:b/>
                <w:bCs/>
                <w:color w:val="000000"/>
                <w:sz w:val="16"/>
                <w:szCs w:val="16"/>
              </w:rPr>
            </w:pPr>
            <w:r w:rsidRPr="00CD000E">
              <w:rPr>
                <w:b/>
                <w:bCs/>
                <w:color w:val="000000"/>
                <w:sz w:val="16"/>
                <w:szCs w:val="16"/>
              </w:rPr>
              <w:t xml:space="preserve">38 925 </w:t>
            </w:r>
          </w:p>
        </w:tc>
        <w:tc>
          <w:tcPr>
            <w:tcW w:w="1440" w:type="dxa"/>
            <w:tcBorders>
              <w:top w:val="nil"/>
              <w:left w:val="nil"/>
              <w:bottom w:val="nil"/>
              <w:right w:val="nil"/>
            </w:tcBorders>
            <w:shd w:val="clear" w:color="000000" w:fill="C5D9F1"/>
            <w:vAlign w:val="center"/>
            <w:hideMark/>
          </w:tcPr>
          <w:p w14:paraId="079AD2A2" w14:textId="77777777" w:rsidR="00F96912" w:rsidRPr="00CD000E" w:rsidRDefault="00F96912" w:rsidP="006658D5">
            <w:pPr>
              <w:jc w:val="center"/>
              <w:rPr>
                <w:b/>
                <w:bCs/>
                <w:color w:val="000000"/>
                <w:sz w:val="16"/>
                <w:szCs w:val="16"/>
              </w:rPr>
            </w:pPr>
            <w:r w:rsidRPr="00CD000E">
              <w:rPr>
                <w:b/>
                <w:bCs/>
                <w:color w:val="000000"/>
                <w:sz w:val="16"/>
                <w:szCs w:val="16"/>
              </w:rPr>
              <w:t xml:space="preserve">38 661 </w:t>
            </w:r>
          </w:p>
        </w:tc>
        <w:tc>
          <w:tcPr>
            <w:tcW w:w="1440" w:type="dxa"/>
            <w:tcBorders>
              <w:top w:val="nil"/>
              <w:left w:val="nil"/>
              <w:bottom w:val="nil"/>
              <w:right w:val="nil"/>
            </w:tcBorders>
            <w:shd w:val="clear" w:color="000000" w:fill="C5D9F1"/>
            <w:vAlign w:val="center"/>
            <w:hideMark/>
          </w:tcPr>
          <w:p w14:paraId="598F4FCA" w14:textId="77777777" w:rsidR="00F96912" w:rsidRPr="00CD000E" w:rsidRDefault="00F96912" w:rsidP="006658D5">
            <w:pPr>
              <w:jc w:val="center"/>
              <w:rPr>
                <w:b/>
                <w:bCs/>
                <w:color w:val="000000"/>
                <w:sz w:val="16"/>
                <w:szCs w:val="16"/>
              </w:rPr>
            </w:pPr>
            <w:r w:rsidRPr="00CD000E">
              <w:rPr>
                <w:b/>
                <w:bCs/>
                <w:color w:val="000000"/>
                <w:sz w:val="16"/>
                <w:szCs w:val="16"/>
              </w:rPr>
              <w:t xml:space="preserve">17 609 </w:t>
            </w:r>
          </w:p>
        </w:tc>
        <w:tc>
          <w:tcPr>
            <w:tcW w:w="1440" w:type="dxa"/>
            <w:tcBorders>
              <w:top w:val="nil"/>
              <w:left w:val="nil"/>
              <w:bottom w:val="nil"/>
              <w:right w:val="nil"/>
            </w:tcBorders>
            <w:shd w:val="clear" w:color="000000" w:fill="C5D9F1"/>
            <w:vAlign w:val="center"/>
            <w:hideMark/>
          </w:tcPr>
          <w:p w14:paraId="69F4E866" w14:textId="77777777" w:rsidR="00F96912" w:rsidRPr="00EE4D36" w:rsidRDefault="00F96912" w:rsidP="006658D5">
            <w:pPr>
              <w:jc w:val="center"/>
              <w:rPr>
                <w:b/>
                <w:bCs/>
                <w:sz w:val="16"/>
                <w:szCs w:val="16"/>
              </w:rPr>
            </w:pPr>
            <w:r w:rsidRPr="00EE4D36">
              <w:rPr>
                <w:b/>
                <w:bCs/>
                <w:sz w:val="16"/>
                <w:szCs w:val="16"/>
              </w:rPr>
              <w:t>46%</w:t>
            </w:r>
          </w:p>
        </w:tc>
      </w:tr>
      <w:tr w:rsidR="00F96912" w:rsidRPr="00EE4D36" w14:paraId="6D699ACE" w14:textId="77777777" w:rsidTr="006658D5">
        <w:trPr>
          <w:jc w:val="center"/>
        </w:trPr>
        <w:tc>
          <w:tcPr>
            <w:tcW w:w="8232" w:type="dxa"/>
            <w:gridSpan w:val="5"/>
            <w:tcBorders>
              <w:top w:val="nil"/>
              <w:left w:val="nil"/>
              <w:bottom w:val="nil"/>
              <w:right w:val="nil"/>
            </w:tcBorders>
            <w:shd w:val="clear" w:color="auto" w:fill="auto"/>
            <w:noWrap/>
            <w:vAlign w:val="center"/>
            <w:hideMark/>
          </w:tcPr>
          <w:p w14:paraId="3D332044" w14:textId="77777777" w:rsidR="00F96912" w:rsidRPr="00EE4D36" w:rsidRDefault="00F96912" w:rsidP="006658D5">
            <w:pPr>
              <w:rPr>
                <w:i/>
                <w:iCs/>
                <w:sz w:val="16"/>
                <w:szCs w:val="16"/>
              </w:rPr>
            </w:pPr>
            <w:r w:rsidRPr="00EE4D36">
              <w:rPr>
                <w:i/>
                <w:iCs/>
                <w:sz w:val="16"/>
                <w:szCs w:val="16"/>
              </w:rPr>
              <w:t xml:space="preserve">*Les chiffres des dépenses pour 2016 sont préliminaires, sous réserve d’audit par les vérificateurs externes des comptes </w:t>
            </w:r>
          </w:p>
        </w:tc>
      </w:tr>
    </w:tbl>
    <w:p w14:paraId="0764C355" w14:textId="77777777" w:rsidR="00F96912" w:rsidRPr="00CD000E" w:rsidRDefault="00F96912" w:rsidP="00F96912">
      <w:pPr>
        <w:jc w:val="center"/>
        <w:rPr>
          <w:sz w:val="20"/>
        </w:rPr>
      </w:pPr>
    </w:p>
    <w:p w14:paraId="3FA635F9" w14:textId="116E1DF9" w:rsidR="00F96912" w:rsidRPr="00CD000E" w:rsidRDefault="00F96912" w:rsidP="00F96912">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66715DBB" w14:textId="77777777" w:rsidR="00F96912" w:rsidRPr="00CD000E" w:rsidRDefault="00F96912" w:rsidP="00F96912">
      <w:pPr>
        <w:rPr>
          <w:sz w:val="20"/>
        </w:rPr>
      </w:pPr>
    </w:p>
    <w:p w14:paraId="2625CBB1" w14:textId="77777777" w:rsidR="00F96912" w:rsidRPr="00CD000E" w:rsidRDefault="00F96912" w:rsidP="00F96912">
      <w:pPr>
        <w:jc w:val="both"/>
        <w:rPr>
          <w:sz w:val="20"/>
        </w:rPr>
      </w:pPr>
    </w:p>
    <w:p w14:paraId="13040957" w14:textId="77777777" w:rsidR="00F96912" w:rsidRPr="00EE4D36" w:rsidRDefault="00F96912" w:rsidP="00F96912">
      <w:pPr>
        <w:jc w:val="both"/>
        <w:rPr>
          <w:sz w:val="20"/>
          <w:u w:val="single"/>
        </w:rPr>
      </w:pPr>
      <w:r w:rsidRPr="00EE4D36">
        <w:rPr>
          <w:sz w:val="20"/>
        </w:rPr>
        <w:t>A.</w:t>
      </w:r>
      <w:r w:rsidRPr="00EE4D36">
        <w:rPr>
          <w:sz w:val="20"/>
        </w:rPr>
        <w:tab/>
      </w:r>
      <w:r w:rsidRPr="00EE4D36">
        <w:rPr>
          <w:sz w:val="20"/>
          <w:u w:val="single"/>
        </w:rPr>
        <w:t>Budget 2016</w:t>
      </w:r>
      <w:r w:rsidRPr="00EE4D36">
        <w:rPr>
          <w:sz w:val="20"/>
          <w:u w:val="single"/>
        </w:rPr>
        <w:noBreakHyphen/>
        <w:t>2017 après virements</w:t>
      </w:r>
    </w:p>
    <w:p w14:paraId="1CE6FF63" w14:textId="77777777" w:rsidR="00F96912" w:rsidRPr="00EE4D36" w:rsidRDefault="00F96912" w:rsidP="00F96912">
      <w:pPr>
        <w:jc w:val="both"/>
        <w:rPr>
          <w:sz w:val="20"/>
        </w:rPr>
      </w:pPr>
    </w:p>
    <w:p w14:paraId="64E035F4" w14:textId="77777777" w:rsidR="00F96912" w:rsidRPr="00EE4D36" w:rsidRDefault="00F96912" w:rsidP="00D544B8">
      <w:pPr>
        <w:pStyle w:val="ListParagraph"/>
        <w:numPr>
          <w:ilvl w:val="0"/>
          <w:numId w:val="37"/>
        </w:numPr>
        <w:ind w:left="0" w:firstLine="0"/>
        <w:contextualSpacing w:val="0"/>
        <w:jc w:val="both"/>
        <w:rPr>
          <w:rFonts w:ascii="Arial" w:hAnsi="Arial" w:cs="Arial"/>
          <w:sz w:val="20"/>
          <w:szCs w:val="20"/>
        </w:rPr>
      </w:pPr>
      <w:r w:rsidRPr="00EE4D36">
        <w:rPr>
          <w:rFonts w:ascii="Arial" w:hAnsi="Arial" w:cs="Arial"/>
          <w:sz w:val="20"/>
          <w:szCs w:val="20"/>
        </w:rPr>
        <w:t>L’augmentation du budget 2016</w:t>
      </w:r>
      <w:r w:rsidRPr="00EE4D36">
        <w:rPr>
          <w:rFonts w:ascii="Arial" w:hAnsi="Arial" w:cs="Arial"/>
          <w:sz w:val="20"/>
          <w:szCs w:val="20"/>
        </w:rPr>
        <w:noBreakHyphen/>
        <w:t>2017 après virements (dépenses autres que les dépenses de personnel) découlait principalement : i) du transfert du Groupe des messagers</w:t>
      </w:r>
      <w:r w:rsidRPr="00EE4D36">
        <w:rPr>
          <w:rFonts w:ascii="Arial" w:hAnsi="Arial" w:cs="Arial"/>
          <w:sz w:val="20"/>
          <w:szCs w:val="20"/>
        </w:rPr>
        <w:noBreakHyphen/>
        <w:t>chauffeurs au programme (inscrit initialement au budget dans la catégorie des Services d’appui généraux (programme 24)), répercuté sous les résultats escomptés IX.1 (Services d’appui efficaces, efficients, de qualité et tournés vers la clientèle) et IX.4 (Une Organisation écologiquement et socialement responsable);  et ii) du transfert de ressources en personnel vers d’autres postes de dépense afin d’engager temporairement un secrétaire pour assister les services de conférence et d’impression.</w:t>
      </w:r>
    </w:p>
    <w:p w14:paraId="0882CC4D" w14:textId="77777777" w:rsidR="00F96912" w:rsidRPr="00EE4D36" w:rsidRDefault="00F96912" w:rsidP="00F96912">
      <w:pPr>
        <w:jc w:val="both"/>
        <w:rPr>
          <w:sz w:val="20"/>
        </w:rPr>
      </w:pPr>
    </w:p>
    <w:p w14:paraId="1CE466B7" w14:textId="77777777" w:rsidR="00F96912" w:rsidRPr="00EE4D36" w:rsidRDefault="00F96912" w:rsidP="00D544B8">
      <w:pPr>
        <w:pStyle w:val="ListParagraph"/>
        <w:numPr>
          <w:ilvl w:val="0"/>
          <w:numId w:val="37"/>
        </w:numPr>
        <w:ind w:left="0" w:firstLine="0"/>
        <w:contextualSpacing w:val="0"/>
        <w:jc w:val="both"/>
        <w:rPr>
          <w:rFonts w:ascii="Arial" w:hAnsi="Arial" w:cs="Arial"/>
          <w:sz w:val="20"/>
          <w:szCs w:val="20"/>
        </w:rPr>
      </w:pPr>
      <w:r w:rsidRPr="00EE4D36">
        <w:rPr>
          <w:rFonts w:ascii="Arial" w:hAnsi="Arial" w:cs="Arial"/>
          <w:sz w:val="20"/>
          <w:szCs w:val="20"/>
        </w:rPr>
        <w:t>La diminution nette du budget 2016</w:t>
      </w:r>
      <w:r w:rsidRPr="00EE4D36">
        <w:rPr>
          <w:rFonts w:ascii="Arial" w:hAnsi="Arial" w:cs="Arial"/>
          <w:sz w:val="20"/>
          <w:szCs w:val="20"/>
        </w:rPr>
        <w:noBreakHyphen/>
        <w:t>2017 après virements (dépenses de personnel) tenait compte, d’une part, des reclassements et du transfert du Groupe des messagers</w:t>
      </w:r>
      <w:r w:rsidRPr="00EE4D36">
        <w:rPr>
          <w:rFonts w:ascii="Arial" w:hAnsi="Arial" w:cs="Arial"/>
          <w:sz w:val="20"/>
          <w:szCs w:val="20"/>
        </w:rPr>
        <w:noBreakHyphen/>
        <w:t>chauffeurs et, d’autre part, du transfert de ressources du programme pour répondre à d’autres besoins opérationnels au sein du secteur administration et gestion (programmes 22, 24 et 28).</w:t>
      </w:r>
    </w:p>
    <w:p w14:paraId="01452B90" w14:textId="77777777" w:rsidR="00F96912" w:rsidRPr="00EE4D36" w:rsidRDefault="00F96912" w:rsidP="00F96912">
      <w:pPr>
        <w:jc w:val="both"/>
        <w:rPr>
          <w:sz w:val="20"/>
        </w:rPr>
      </w:pPr>
    </w:p>
    <w:p w14:paraId="55A4E5D0" w14:textId="77777777" w:rsidR="00F96912" w:rsidRPr="00EE4D36" w:rsidRDefault="00F96912" w:rsidP="00F96912">
      <w:pPr>
        <w:jc w:val="both"/>
        <w:rPr>
          <w:sz w:val="20"/>
          <w:u w:val="single"/>
        </w:rPr>
      </w:pPr>
      <w:r w:rsidRPr="00EE4D36">
        <w:rPr>
          <w:sz w:val="20"/>
        </w:rPr>
        <w:t>B.</w:t>
      </w:r>
      <w:r w:rsidRPr="00EE4D36">
        <w:rPr>
          <w:sz w:val="20"/>
        </w:rPr>
        <w:tab/>
      </w:r>
      <w:r w:rsidRPr="00EE4D36">
        <w:rPr>
          <w:sz w:val="20"/>
          <w:u w:val="single"/>
        </w:rPr>
        <w:t>Utilisation du budget 2016</w:t>
      </w:r>
      <w:r w:rsidRPr="00EE4D36">
        <w:rPr>
          <w:sz w:val="20"/>
          <w:u w:val="single"/>
        </w:rPr>
        <w:noBreakHyphen/>
        <w:t>2017</w:t>
      </w:r>
    </w:p>
    <w:p w14:paraId="321146BD" w14:textId="77777777" w:rsidR="00F96912" w:rsidRPr="00EE4D36" w:rsidRDefault="00F96912" w:rsidP="00F96912">
      <w:pPr>
        <w:jc w:val="both"/>
        <w:rPr>
          <w:sz w:val="20"/>
        </w:rPr>
      </w:pPr>
    </w:p>
    <w:p w14:paraId="5E09471F" w14:textId="17D50534" w:rsidR="00F96912" w:rsidRPr="00403B32" w:rsidRDefault="00F96912" w:rsidP="00F96912">
      <w:pPr>
        <w:pStyle w:val="ListParagraph"/>
        <w:numPr>
          <w:ilvl w:val="0"/>
          <w:numId w:val="37"/>
        </w:numPr>
        <w:ind w:left="0" w:firstLine="0"/>
        <w:contextualSpacing w:val="0"/>
        <w:jc w:val="both"/>
        <w:rPr>
          <w:rFonts w:eastAsia="SimSun"/>
          <w:b/>
          <w:bCs/>
          <w:iCs/>
          <w:caps/>
        </w:rPr>
      </w:pPr>
      <w:r w:rsidRPr="00403B32">
        <w:rPr>
          <w:rFonts w:ascii="Arial" w:hAnsi="Arial" w:cs="Arial"/>
          <w:sz w:val="20"/>
          <w:szCs w:val="20"/>
        </w:rPr>
        <w:t>L’utilisation des dépenses de personnel du budget était légèrement inférieure aux prévisions, en raison principalement de postes vacants, notamment au sein de la Division des services linguistiques et de la Division des conférences et des services généraux.  La sous</w:t>
      </w:r>
      <w:r w:rsidRPr="00403B32">
        <w:rPr>
          <w:rFonts w:ascii="Arial" w:hAnsi="Arial" w:cs="Arial"/>
          <w:sz w:val="20"/>
          <w:szCs w:val="20"/>
        </w:rPr>
        <w:noBreakHyphen/>
        <w:t>utilisation des ressources hors personnel découlait essentiellement du niveau moins élevé que prévu des dépenses pour les activités de traduction et d’intégration des outils informatiques et de TAO.</w:t>
      </w:r>
      <w:bookmarkStart w:id="83" w:name="_Toc454544502"/>
      <w:r w:rsidRPr="00403B32">
        <w:rPr>
          <w:b/>
        </w:rPr>
        <w:br w:type="page"/>
      </w:r>
    </w:p>
    <w:p w14:paraId="24FA5917" w14:textId="77777777" w:rsidR="00F96912" w:rsidRPr="00070489" w:rsidRDefault="00F96912" w:rsidP="0087680E">
      <w:pPr>
        <w:pStyle w:val="Heading3"/>
      </w:pPr>
      <w:bookmarkStart w:id="84" w:name="_Toc482774627"/>
      <w:bookmarkEnd w:id="83"/>
      <w:r w:rsidRPr="00070489">
        <w:rPr>
          <w:color w:val="000000"/>
        </w:rPr>
        <w:t>P</w:t>
      </w:r>
      <w:r w:rsidRPr="00070489">
        <w:t>rogramme 28</w:t>
      </w:r>
      <w:r w:rsidRPr="00070489">
        <w:tab/>
        <w:t>Sécurité des informations, des biens et des personnes</w:t>
      </w:r>
      <w:bookmarkEnd w:id="84"/>
    </w:p>
    <w:p w14:paraId="33387F41" w14:textId="77777777" w:rsidR="00F96912" w:rsidRPr="00070489" w:rsidRDefault="00F96912" w:rsidP="00F96912">
      <w:pPr>
        <w:tabs>
          <w:tab w:val="left" w:pos="2268"/>
        </w:tabs>
        <w:ind w:left="2268" w:hanging="2268"/>
        <w:rPr>
          <w:sz w:val="20"/>
        </w:rPr>
      </w:pPr>
    </w:p>
    <w:p w14:paraId="1976A76C" w14:textId="77777777" w:rsidR="00F96912" w:rsidRPr="00CD000E" w:rsidRDefault="00F96912" w:rsidP="00F96912">
      <w:pPr>
        <w:tabs>
          <w:tab w:val="left" w:pos="2268"/>
        </w:tabs>
        <w:ind w:left="2268" w:hanging="2268"/>
        <w:rPr>
          <w:b/>
          <w:sz w:val="20"/>
        </w:rPr>
      </w:pPr>
      <w:r w:rsidRPr="00070489">
        <w:rPr>
          <w:b/>
          <w:sz w:val="20"/>
        </w:rPr>
        <w:t>Chef de programme</w:t>
      </w:r>
      <w:r w:rsidRPr="00070489">
        <w:rPr>
          <w:b/>
          <w:sz w:val="20"/>
        </w:rPr>
        <w:tab/>
        <w:t>M. A. Sundaram</w:t>
      </w:r>
    </w:p>
    <w:p w14:paraId="7801A6A8" w14:textId="77777777" w:rsidR="00F96912" w:rsidRPr="00CD000E" w:rsidRDefault="00F96912" w:rsidP="00F96912">
      <w:pPr>
        <w:jc w:val="center"/>
      </w:pPr>
      <w:r w:rsidRPr="00CD000E">
        <w:rPr>
          <w:noProof/>
          <w:lang w:val="en-US"/>
        </w:rPr>
        <w:drawing>
          <wp:inline distT="0" distB="0" distL="0" distR="0" wp14:anchorId="5E4BC1AF" wp14:editId="1B523702">
            <wp:extent cx="3960778" cy="273600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960778" cy="2736000"/>
                    </a:xfrm>
                    <a:prstGeom prst="rect">
                      <a:avLst/>
                    </a:prstGeom>
                    <a:noFill/>
                    <a:ln>
                      <a:noFill/>
                    </a:ln>
                  </pic:spPr>
                </pic:pic>
              </a:graphicData>
            </a:graphic>
          </wp:inline>
        </w:drawing>
      </w:r>
    </w:p>
    <w:tbl>
      <w:tblPr>
        <w:tblW w:w="5000" w:type="pct"/>
        <w:tblCellMar>
          <w:top w:w="57" w:type="dxa"/>
          <w:bottom w:w="57" w:type="dxa"/>
        </w:tblCellMar>
        <w:tblLook w:val="0000" w:firstRow="0" w:lastRow="0" w:firstColumn="0" w:lastColumn="0" w:noHBand="0" w:noVBand="0"/>
      </w:tblPr>
      <w:tblGrid>
        <w:gridCol w:w="1941"/>
        <w:gridCol w:w="2499"/>
        <w:gridCol w:w="1295"/>
        <w:gridCol w:w="2402"/>
        <w:gridCol w:w="1050"/>
      </w:tblGrid>
      <w:tr w:rsidR="00F96912" w:rsidRPr="00CD000E" w14:paraId="6F0DEC6F" w14:textId="77777777" w:rsidTr="006658D5">
        <w:tc>
          <w:tcPr>
            <w:tcW w:w="5000" w:type="pct"/>
            <w:gridSpan w:val="5"/>
            <w:shd w:val="clear" w:color="auto" w:fill="C6D9F1" w:themeFill="text2" w:themeFillTint="33"/>
            <w:tcMar>
              <w:left w:w="58" w:type="dxa"/>
              <w:right w:w="58" w:type="dxa"/>
            </w:tcMar>
            <w:vAlign w:val="center"/>
          </w:tcPr>
          <w:p w14:paraId="726385B9" w14:textId="77777777" w:rsidR="00F96912" w:rsidRPr="00CD000E" w:rsidRDefault="00F96912" w:rsidP="006658D5">
            <w:pPr>
              <w:keepNext/>
              <w:keepLines/>
              <w:tabs>
                <w:tab w:val="left" w:pos="1452"/>
              </w:tabs>
              <w:rPr>
                <w:b/>
                <w:bCs/>
                <w:sz w:val="16"/>
                <w:szCs w:val="16"/>
              </w:rPr>
            </w:pPr>
            <w:r w:rsidRPr="00CD000E">
              <w:rPr>
                <w:b/>
                <w:bCs/>
                <w:sz w:val="16"/>
                <w:szCs w:val="16"/>
              </w:rPr>
              <w:t xml:space="preserve">Résultat escompté : </w:t>
            </w:r>
            <w:r w:rsidRPr="00CD000E">
              <w:rPr>
                <w:bCs/>
                <w:sz w:val="16"/>
                <w:szCs w:val="16"/>
              </w:rPr>
              <w:t>IX.1 Services d’appui efficaces, efficients, de qualité et tournés vers la clientèle, à l’intention à la fois des clients internes et des parties prenantes externes</w:t>
            </w:r>
          </w:p>
        </w:tc>
      </w:tr>
      <w:tr w:rsidR="00F96912" w:rsidRPr="00CD000E" w14:paraId="7FCF38FD" w14:textId="77777777" w:rsidTr="006658D5">
        <w:tc>
          <w:tcPr>
            <w:tcW w:w="1075" w:type="pct"/>
            <w:shd w:val="clear" w:color="auto" w:fill="auto"/>
            <w:tcMar>
              <w:left w:w="58" w:type="dxa"/>
              <w:right w:w="58" w:type="dxa"/>
            </w:tcMar>
            <w:vAlign w:val="center"/>
          </w:tcPr>
          <w:p w14:paraId="043463A0" w14:textId="77777777" w:rsidR="00F96912" w:rsidRPr="00CD000E" w:rsidRDefault="00F96912" w:rsidP="006658D5">
            <w:pPr>
              <w:jc w:val="center"/>
              <w:rPr>
                <w:b/>
                <w:bCs/>
                <w:sz w:val="16"/>
                <w:szCs w:val="16"/>
              </w:rPr>
            </w:pPr>
            <w:r w:rsidRPr="00CD000E">
              <w:rPr>
                <w:b/>
                <w:bCs/>
                <w:sz w:val="16"/>
                <w:szCs w:val="16"/>
              </w:rPr>
              <w:t>Indicateurs d’exécution</w:t>
            </w:r>
          </w:p>
        </w:tc>
        <w:tc>
          <w:tcPr>
            <w:tcW w:w="1378" w:type="pct"/>
            <w:shd w:val="clear" w:color="auto" w:fill="auto"/>
            <w:tcMar>
              <w:left w:w="58" w:type="dxa"/>
              <w:right w:w="58" w:type="dxa"/>
            </w:tcMar>
            <w:vAlign w:val="center"/>
          </w:tcPr>
          <w:p w14:paraId="68DEA9FE" w14:textId="77777777" w:rsidR="00F96912" w:rsidRPr="00CD000E" w:rsidRDefault="00F96912" w:rsidP="006658D5">
            <w:pPr>
              <w:jc w:val="center"/>
              <w:rPr>
                <w:b/>
                <w:bCs/>
                <w:sz w:val="16"/>
                <w:szCs w:val="16"/>
              </w:rPr>
            </w:pPr>
            <w:r w:rsidRPr="00CD000E">
              <w:rPr>
                <w:b/>
                <w:bCs/>
                <w:sz w:val="16"/>
                <w:szCs w:val="16"/>
              </w:rPr>
              <w:t>Niveaux de référence</w:t>
            </w:r>
          </w:p>
        </w:tc>
        <w:tc>
          <w:tcPr>
            <w:tcW w:w="723" w:type="pct"/>
            <w:shd w:val="clear" w:color="auto" w:fill="auto"/>
            <w:tcMar>
              <w:top w:w="110" w:type="dxa"/>
              <w:left w:w="58" w:type="dxa"/>
              <w:right w:w="58" w:type="dxa"/>
            </w:tcMar>
            <w:vAlign w:val="center"/>
          </w:tcPr>
          <w:p w14:paraId="412C704E" w14:textId="77777777" w:rsidR="00F96912" w:rsidRPr="00CD000E" w:rsidRDefault="00F96912" w:rsidP="006658D5">
            <w:pPr>
              <w:tabs>
                <w:tab w:val="left" w:pos="290"/>
              </w:tabs>
              <w:jc w:val="center"/>
              <w:rPr>
                <w:b/>
                <w:bCs/>
                <w:sz w:val="16"/>
                <w:szCs w:val="16"/>
              </w:rPr>
            </w:pPr>
            <w:r w:rsidRPr="00CD000E">
              <w:rPr>
                <w:b/>
                <w:bCs/>
                <w:sz w:val="16"/>
                <w:szCs w:val="16"/>
              </w:rPr>
              <w:t>Objectifs visés</w:t>
            </w:r>
          </w:p>
        </w:tc>
        <w:tc>
          <w:tcPr>
            <w:tcW w:w="1325" w:type="pct"/>
            <w:shd w:val="clear" w:color="auto" w:fill="FFFFFF"/>
            <w:tcMar>
              <w:top w:w="110" w:type="dxa"/>
              <w:left w:w="58" w:type="dxa"/>
              <w:right w:w="58" w:type="dxa"/>
            </w:tcMar>
            <w:vAlign w:val="center"/>
          </w:tcPr>
          <w:p w14:paraId="60DD43EA" w14:textId="77777777" w:rsidR="00F96912" w:rsidRPr="00CD000E" w:rsidRDefault="00F96912" w:rsidP="006658D5">
            <w:pPr>
              <w:jc w:val="center"/>
              <w:rPr>
                <w:b/>
                <w:bCs/>
                <w:sz w:val="16"/>
                <w:szCs w:val="16"/>
              </w:rPr>
            </w:pPr>
            <w:r w:rsidRPr="00CD000E">
              <w:rPr>
                <w:b/>
                <w:bCs/>
                <w:sz w:val="16"/>
                <w:szCs w:val="16"/>
              </w:rPr>
              <w:t>Données relatives à l’exécution</w:t>
            </w:r>
          </w:p>
        </w:tc>
        <w:tc>
          <w:tcPr>
            <w:tcW w:w="499" w:type="pct"/>
            <w:shd w:val="clear" w:color="auto" w:fill="auto"/>
            <w:tcMar>
              <w:top w:w="110" w:type="dxa"/>
              <w:left w:w="58" w:type="dxa"/>
              <w:right w:w="58" w:type="dxa"/>
            </w:tcMar>
            <w:vAlign w:val="center"/>
          </w:tcPr>
          <w:p w14:paraId="23835136"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070489" w14:paraId="0E140472" w14:textId="77777777" w:rsidTr="006658D5">
        <w:tc>
          <w:tcPr>
            <w:tcW w:w="1075" w:type="pct"/>
            <w:shd w:val="clear" w:color="auto" w:fill="auto"/>
            <w:tcMar>
              <w:left w:w="58" w:type="dxa"/>
              <w:right w:w="58" w:type="dxa"/>
            </w:tcMar>
          </w:tcPr>
          <w:p w14:paraId="4BCA40D7" w14:textId="77777777" w:rsidR="00F96912" w:rsidRPr="00070489" w:rsidRDefault="00F96912" w:rsidP="006658D5">
            <w:pPr>
              <w:rPr>
                <w:color w:val="000000"/>
                <w:sz w:val="16"/>
                <w:szCs w:val="16"/>
              </w:rPr>
            </w:pPr>
            <w:r w:rsidRPr="00070489">
              <w:rPr>
                <w:sz w:val="16"/>
                <w:szCs w:val="16"/>
              </w:rPr>
              <w:t>Gouvernance en matière de sécurité de l’information définie et appliquée.</w:t>
            </w:r>
          </w:p>
        </w:tc>
        <w:tc>
          <w:tcPr>
            <w:tcW w:w="1378" w:type="pct"/>
            <w:shd w:val="clear" w:color="auto" w:fill="auto"/>
            <w:tcMar>
              <w:left w:w="58" w:type="dxa"/>
              <w:right w:w="58" w:type="dxa"/>
            </w:tcMar>
          </w:tcPr>
          <w:p w14:paraId="29264668" w14:textId="77777777" w:rsidR="00F96912" w:rsidRPr="00070489" w:rsidRDefault="00F96912" w:rsidP="006658D5">
            <w:pPr>
              <w:rPr>
                <w:color w:val="000000"/>
                <w:sz w:val="16"/>
                <w:szCs w:val="16"/>
              </w:rPr>
            </w:pPr>
            <w:r w:rsidRPr="00070489">
              <w:rPr>
                <w:sz w:val="16"/>
                <w:szCs w:val="16"/>
              </w:rPr>
              <w:t>Gouvernance limitée en matière de sécurité de l’information.  Capacités limitées de mise en œuvre de la stratégie en matière de sécurité de l’information.</w:t>
            </w:r>
          </w:p>
        </w:tc>
        <w:tc>
          <w:tcPr>
            <w:tcW w:w="723" w:type="pct"/>
            <w:shd w:val="clear" w:color="auto" w:fill="auto"/>
            <w:tcMar>
              <w:top w:w="110" w:type="dxa"/>
              <w:left w:w="58" w:type="dxa"/>
              <w:right w:w="58" w:type="dxa"/>
            </w:tcMar>
          </w:tcPr>
          <w:p w14:paraId="3C67D681" w14:textId="77777777" w:rsidR="00F96912" w:rsidRPr="00070489" w:rsidRDefault="00F96912" w:rsidP="006658D5">
            <w:pPr>
              <w:rPr>
                <w:color w:val="000000"/>
                <w:sz w:val="16"/>
                <w:szCs w:val="16"/>
              </w:rPr>
            </w:pPr>
            <w:r w:rsidRPr="00070489">
              <w:rPr>
                <w:sz w:val="16"/>
                <w:szCs w:val="16"/>
              </w:rPr>
              <w:t>Adoption du cadre de gouvernance en matière de sécurité de l’information</w:t>
            </w:r>
          </w:p>
        </w:tc>
        <w:tc>
          <w:tcPr>
            <w:tcW w:w="1325" w:type="pct"/>
            <w:shd w:val="clear" w:color="auto" w:fill="FFFFFF"/>
            <w:tcMar>
              <w:top w:w="110" w:type="dxa"/>
              <w:left w:w="58" w:type="dxa"/>
              <w:right w:w="58" w:type="dxa"/>
            </w:tcMar>
          </w:tcPr>
          <w:p w14:paraId="769CDAB7" w14:textId="77777777" w:rsidR="00F96912" w:rsidRPr="00070489" w:rsidRDefault="00F96912" w:rsidP="006658D5">
            <w:pPr>
              <w:rPr>
                <w:color w:val="000000"/>
                <w:sz w:val="16"/>
                <w:szCs w:val="16"/>
              </w:rPr>
            </w:pPr>
            <w:r w:rsidRPr="00070489">
              <w:rPr>
                <w:color w:val="000000"/>
                <w:sz w:val="16"/>
                <w:szCs w:val="16"/>
              </w:rPr>
              <w:t>L’ordre de service n° 04/2016, précisant le cahier des charges du nouveau cadre de gouvernance en matière de sécurité et d’assurance informatique, a été publié en janvier 2016.  En 2016, le Conseil de sécurité et d’assurance informatique s’est réuni une fois, le Comité directeur de la sécurité et de l’assurance informatique s’est réuni 3 fois et les agents de liaison pour les questions de sécurité au sein des différents secteurs se sont réunis deux fois pour examiner, approuver et orienter plusieurs projets dans ce domaine</w:t>
            </w:r>
          </w:p>
        </w:tc>
        <w:tc>
          <w:tcPr>
            <w:tcW w:w="499" w:type="pct"/>
            <w:shd w:val="clear" w:color="auto" w:fill="auto"/>
            <w:tcMar>
              <w:top w:w="110" w:type="dxa"/>
              <w:left w:w="58" w:type="dxa"/>
              <w:right w:w="58" w:type="dxa"/>
            </w:tcMar>
          </w:tcPr>
          <w:p w14:paraId="7A7FA619" w14:textId="77777777" w:rsidR="00F96912" w:rsidRPr="00070489" w:rsidRDefault="00F96912" w:rsidP="006658D5">
            <w:pPr>
              <w:keepNext/>
              <w:keepLines/>
              <w:jc w:val="center"/>
              <w:rPr>
                <w:b/>
                <w:color w:val="000000"/>
                <w:sz w:val="16"/>
                <w:szCs w:val="16"/>
              </w:rPr>
            </w:pPr>
            <w:r w:rsidRPr="00070489">
              <w:rPr>
                <w:b/>
                <w:color w:val="00B050"/>
                <w:sz w:val="16"/>
                <w:szCs w:val="16"/>
              </w:rPr>
              <w:t>En bonne voie</w:t>
            </w:r>
            <w:r w:rsidRPr="00070489" w:rsidDel="0046699F">
              <w:rPr>
                <w:b/>
                <w:color w:val="00B050"/>
                <w:sz w:val="16"/>
                <w:szCs w:val="16"/>
              </w:rPr>
              <w:t xml:space="preserve"> </w:t>
            </w:r>
          </w:p>
        </w:tc>
      </w:tr>
      <w:tr w:rsidR="00F96912" w:rsidRPr="00CD000E" w14:paraId="73A947AB" w14:textId="77777777" w:rsidTr="006658D5">
        <w:tc>
          <w:tcPr>
            <w:tcW w:w="1075" w:type="pct"/>
            <w:shd w:val="clear" w:color="auto" w:fill="auto"/>
            <w:tcMar>
              <w:left w:w="58" w:type="dxa"/>
              <w:right w:w="58" w:type="dxa"/>
            </w:tcMar>
          </w:tcPr>
          <w:p w14:paraId="30FB4A87" w14:textId="77777777" w:rsidR="00F96912" w:rsidRPr="00070489" w:rsidRDefault="00F96912" w:rsidP="006658D5">
            <w:pPr>
              <w:rPr>
                <w:color w:val="000000"/>
                <w:sz w:val="16"/>
                <w:szCs w:val="16"/>
              </w:rPr>
            </w:pPr>
            <w:r w:rsidRPr="00070489">
              <w:rPr>
                <w:sz w:val="16"/>
                <w:szCs w:val="16"/>
              </w:rPr>
              <w:t>Nombre de membres du personnel au courant de leurs responsabilités, des politiques et des pratiques recommandées en matière de sécurité de l’information.</w:t>
            </w:r>
          </w:p>
        </w:tc>
        <w:tc>
          <w:tcPr>
            <w:tcW w:w="1378" w:type="pct"/>
            <w:shd w:val="clear" w:color="auto" w:fill="auto"/>
            <w:tcMar>
              <w:left w:w="58" w:type="dxa"/>
              <w:right w:w="58" w:type="dxa"/>
            </w:tcMar>
          </w:tcPr>
          <w:p w14:paraId="3366F0F7" w14:textId="77777777" w:rsidR="00F96912" w:rsidRPr="00070489" w:rsidRDefault="00F96912" w:rsidP="006658D5">
            <w:pPr>
              <w:rPr>
                <w:i/>
                <w:color w:val="002060"/>
                <w:sz w:val="16"/>
                <w:szCs w:val="16"/>
              </w:rPr>
            </w:pPr>
            <w:r w:rsidRPr="00070489">
              <w:rPr>
                <w:i/>
                <w:color w:val="002060"/>
                <w:sz w:val="16"/>
                <w:szCs w:val="16"/>
              </w:rPr>
              <w:t>Niveau de référence actualisé à fin</w:t>
            </w:r>
            <w:r>
              <w:rPr>
                <w:i/>
                <w:color w:val="002060"/>
                <w:sz w:val="16"/>
                <w:szCs w:val="16"/>
              </w:rPr>
              <w:t> </w:t>
            </w:r>
            <w:r w:rsidRPr="00070489">
              <w:rPr>
                <w:i/>
                <w:color w:val="002060"/>
                <w:sz w:val="16"/>
                <w:szCs w:val="16"/>
              </w:rPr>
              <w:t>2015 :</w:t>
            </w:r>
          </w:p>
          <w:p w14:paraId="0F36F7FE" w14:textId="77777777" w:rsidR="00F96912" w:rsidRPr="00070489" w:rsidRDefault="00F96912" w:rsidP="006658D5">
            <w:pPr>
              <w:rPr>
                <w:color w:val="002060"/>
                <w:sz w:val="16"/>
                <w:szCs w:val="16"/>
              </w:rPr>
            </w:pPr>
            <w:r w:rsidRPr="00070489">
              <w:rPr>
                <w:color w:val="002060"/>
                <w:sz w:val="16"/>
                <w:szCs w:val="16"/>
              </w:rPr>
              <w:t>7% en 2015</w:t>
            </w:r>
          </w:p>
          <w:p w14:paraId="4AD490F5" w14:textId="77777777" w:rsidR="00F96912" w:rsidRPr="00070489" w:rsidRDefault="00F96912" w:rsidP="006658D5">
            <w:pPr>
              <w:rPr>
                <w:color w:val="002060"/>
                <w:sz w:val="16"/>
                <w:szCs w:val="16"/>
              </w:rPr>
            </w:pPr>
            <w:r w:rsidRPr="00070489">
              <w:rPr>
                <w:color w:val="002060"/>
                <w:sz w:val="16"/>
                <w:szCs w:val="16"/>
              </w:rPr>
              <w:t>17% en 2014</w:t>
            </w:r>
          </w:p>
          <w:p w14:paraId="57C9DDFF" w14:textId="77777777" w:rsidR="00F96912" w:rsidRPr="00070489" w:rsidRDefault="00F96912" w:rsidP="006658D5">
            <w:pPr>
              <w:rPr>
                <w:color w:val="000000"/>
                <w:sz w:val="16"/>
                <w:szCs w:val="16"/>
              </w:rPr>
            </w:pPr>
          </w:p>
          <w:p w14:paraId="7656550D" w14:textId="77777777" w:rsidR="00F96912" w:rsidRPr="00070489" w:rsidRDefault="00F96912" w:rsidP="006658D5">
            <w:pPr>
              <w:rPr>
                <w:i/>
                <w:sz w:val="16"/>
                <w:szCs w:val="16"/>
                <w:lang w:bidi="th-TH"/>
              </w:rPr>
            </w:pPr>
            <w:r w:rsidRPr="00070489">
              <w:rPr>
                <w:i/>
                <w:sz w:val="16"/>
                <w:szCs w:val="16"/>
                <w:lang w:bidi="th-TH"/>
              </w:rPr>
              <w:t>Niveau de référence initial dans le programme et budget 2016</w:t>
            </w:r>
            <w:r w:rsidRPr="00070489">
              <w:rPr>
                <w:i/>
                <w:sz w:val="16"/>
                <w:szCs w:val="16"/>
                <w:lang w:bidi="th-TH"/>
              </w:rPr>
              <w:noBreakHyphen/>
              <w:t>2017 :</w:t>
            </w:r>
          </w:p>
          <w:p w14:paraId="6909D69F" w14:textId="77777777" w:rsidR="00F96912" w:rsidRPr="00070489" w:rsidRDefault="00F96912" w:rsidP="006658D5">
            <w:pPr>
              <w:rPr>
                <w:color w:val="000000"/>
                <w:sz w:val="16"/>
                <w:szCs w:val="16"/>
              </w:rPr>
            </w:pPr>
            <w:r w:rsidRPr="00070489">
              <w:rPr>
                <w:sz w:val="16"/>
                <w:szCs w:val="16"/>
              </w:rPr>
              <w:t>12% des membres du personnel ont été victimes de campagnes d’hameçonnage (moyenne basée sur deux campagnes de simulation menées en 2014 et au cours du premier semestre de 2015)</w:t>
            </w:r>
          </w:p>
        </w:tc>
        <w:tc>
          <w:tcPr>
            <w:tcW w:w="723" w:type="pct"/>
            <w:shd w:val="clear" w:color="auto" w:fill="auto"/>
            <w:tcMar>
              <w:top w:w="110" w:type="dxa"/>
              <w:left w:w="58" w:type="dxa"/>
              <w:right w:w="58" w:type="dxa"/>
            </w:tcMar>
          </w:tcPr>
          <w:p w14:paraId="397B7830" w14:textId="77777777" w:rsidR="00F96912" w:rsidRPr="00070489" w:rsidRDefault="00F96912" w:rsidP="006658D5">
            <w:pPr>
              <w:rPr>
                <w:color w:val="000000"/>
                <w:sz w:val="16"/>
                <w:szCs w:val="16"/>
              </w:rPr>
            </w:pPr>
            <w:r w:rsidRPr="00070489">
              <w:rPr>
                <w:sz w:val="16"/>
                <w:szCs w:val="16"/>
              </w:rPr>
              <w:t>Moins de 5% des membres du personnel victimes de campagnes d’hameçonnage</w:t>
            </w:r>
          </w:p>
        </w:tc>
        <w:tc>
          <w:tcPr>
            <w:tcW w:w="1325" w:type="pct"/>
            <w:shd w:val="clear" w:color="auto" w:fill="FFFFFF"/>
            <w:tcMar>
              <w:top w:w="110" w:type="dxa"/>
              <w:left w:w="58" w:type="dxa"/>
              <w:right w:w="58" w:type="dxa"/>
            </w:tcMar>
          </w:tcPr>
          <w:p w14:paraId="50BEAEE4" w14:textId="5478FB49" w:rsidR="00F96912" w:rsidRPr="00070489" w:rsidRDefault="00F96912" w:rsidP="006658D5">
            <w:pPr>
              <w:rPr>
                <w:color w:val="000000"/>
                <w:sz w:val="16"/>
                <w:szCs w:val="16"/>
              </w:rPr>
            </w:pPr>
            <w:r w:rsidRPr="00070489">
              <w:rPr>
                <w:color w:val="000000"/>
                <w:sz w:val="16"/>
                <w:szCs w:val="16"/>
              </w:rPr>
              <w:t>13% des membres du personnel ont été victimes de campagnes d’hameçonnage</w:t>
            </w:r>
            <w:r w:rsidR="00403B32">
              <w:rPr>
                <w:rStyle w:val="FootnoteReference"/>
                <w:color w:val="000000"/>
                <w:szCs w:val="16"/>
              </w:rPr>
              <w:footnoteReference w:id="104"/>
            </w:r>
          </w:p>
        </w:tc>
        <w:tc>
          <w:tcPr>
            <w:tcW w:w="499" w:type="pct"/>
            <w:shd w:val="clear" w:color="auto" w:fill="auto"/>
            <w:tcMar>
              <w:top w:w="110" w:type="dxa"/>
              <w:left w:w="58" w:type="dxa"/>
              <w:right w:w="58" w:type="dxa"/>
            </w:tcMar>
          </w:tcPr>
          <w:p w14:paraId="3E48386B" w14:textId="77777777" w:rsidR="00F96912" w:rsidRPr="00CD000E" w:rsidRDefault="00F96912" w:rsidP="006658D5">
            <w:pPr>
              <w:keepNext/>
              <w:keepLines/>
              <w:jc w:val="center"/>
              <w:rPr>
                <w:color w:val="000000"/>
                <w:sz w:val="16"/>
                <w:szCs w:val="16"/>
              </w:rPr>
            </w:pPr>
            <w:r w:rsidRPr="00070489">
              <w:rPr>
                <w:b/>
                <w:color w:val="FF0000"/>
                <w:sz w:val="16"/>
                <w:szCs w:val="16"/>
              </w:rPr>
              <w:t>Pas en bonne voie</w:t>
            </w:r>
          </w:p>
        </w:tc>
      </w:tr>
      <w:tr w:rsidR="00F96912" w:rsidRPr="00CD000E" w14:paraId="776B92EE" w14:textId="77777777" w:rsidTr="006658D5">
        <w:tc>
          <w:tcPr>
            <w:tcW w:w="5000" w:type="pct"/>
            <w:gridSpan w:val="5"/>
            <w:shd w:val="clear" w:color="auto" w:fill="C6D9F1" w:themeFill="text2" w:themeFillTint="33"/>
            <w:tcMar>
              <w:left w:w="58" w:type="dxa"/>
              <w:right w:w="58" w:type="dxa"/>
            </w:tcMar>
            <w:vAlign w:val="center"/>
          </w:tcPr>
          <w:p w14:paraId="402F736A" w14:textId="77777777" w:rsidR="00F96912" w:rsidRPr="00CD000E" w:rsidRDefault="00F96912" w:rsidP="006658D5">
            <w:pPr>
              <w:keepNext/>
              <w:keepLines/>
              <w:tabs>
                <w:tab w:val="left" w:pos="1452"/>
              </w:tabs>
              <w:rPr>
                <w:b/>
                <w:bCs/>
                <w:sz w:val="16"/>
                <w:szCs w:val="16"/>
              </w:rPr>
            </w:pPr>
            <w:r w:rsidRPr="00CD000E">
              <w:rPr>
                <w:b/>
                <w:bCs/>
                <w:sz w:val="16"/>
                <w:szCs w:val="16"/>
              </w:rPr>
              <w:t xml:space="preserve">Résultat escompté : </w:t>
            </w:r>
            <w:r w:rsidRPr="00CD000E">
              <w:rPr>
                <w:bCs/>
                <w:sz w:val="16"/>
                <w:szCs w:val="16"/>
              </w:rPr>
              <w:t>IX.4 Une Organisation écologiquement et socialement responsable assurant la sûreté et la sécurité du personnel, des délégués, des visiteurs, de l’information et des biens</w:t>
            </w:r>
          </w:p>
        </w:tc>
      </w:tr>
      <w:tr w:rsidR="00F96912" w:rsidRPr="00CD000E" w14:paraId="5D709C44" w14:textId="77777777" w:rsidTr="006658D5">
        <w:tc>
          <w:tcPr>
            <w:tcW w:w="1075" w:type="pct"/>
            <w:shd w:val="clear" w:color="auto" w:fill="auto"/>
            <w:tcMar>
              <w:left w:w="58" w:type="dxa"/>
              <w:right w:w="58" w:type="dxa"/>
            </w:tcMar>
            <w:vAlign w:val="center"/>
          </w:tcPr>
          <w:p w14:paraId="74F0A41A" w14:textId="77777777" w:rsidR="00F96912" w:rsidRPr="00CD000E" w:rsidRDefault="00F96912" w:rsidP="006658D5">
            <w:pPr>
              <w:keepNext/>
              <w:keepLines/>
              <w:rPr>
                <w:b/>
                <w:bCs/>
                <w:sz w:val="16"/>
                <w:szCs w:val="16"/>
              </w:rPr>
            </w:pPr>
            <w:r w:rsidRPr="00CD000E">
              <w:rPr>
                <w:b/>
                <w:bCs/>
                <w:sz w:val="16"/>
                <w:szCs w:val="16"/>
              </w:rPr>
              <w:t>Indicateurs d’exécution</w:t>
            </w:r>
          </w:p>
        </w:tc>
        <w:tc>
          <w:tcPr>
            <w:tcW w:w="1378" w:type="pct"/>
            <w:shd w:val="clear" w:color="auto" w:fill="auto"/>
            <w:tcMar>
              <w:left w:w="58" w:type="dxa"/>
              <w:right w:w="58" w:type="dxa"/>
            </w:tcMar>
            <w:vAlign w:val="center"/>
          </w:tcPr>
          <w:p w14:paraId="4ED46C03" w14:textId="77777777" w:rsidR="00F96912" w:rsidRPr="00CD000E" w:rsidRDefault="00F96912" w:rsidP="006658D5">
            <w:pPr>
              <w:keepNext/>
              <w:keepLines/>
              <w:rPr>
                <w:b/>
                <w:bCs/>
                <w:sz w:val="16"/>
                <w:szCs w:val="16"/>
              </w:rPr>
            </w:pPr>
            <w:r w:rsidRPr="00CD000E">
              <w:rPr>
                <w:b/>
                <w:bCs/>
                <w:sz w:val="16"/>
                <w:szCs w:val="16"/>
              </w:rPr>
              <w:t>Niveaux de référence</w:t>
            </w:r>
          </w:p>
        </w:tc>
        <w:tc>
          <w:tcPr>
            <w:tcW w:w="723" w:type="pct"/>
            <w:shd w:val="clear" w:color="auto" w:fill="auto"/>
            <w:tcMar>
              <w:top w:w="110" w:type="dxa"/>
              <w:left w:w="58" w:type="dxa"/>
              <w:right w:w="58" w:type="dxa"/>
            </w:tcMar>
            <w:vAlign w:val="center"/>
          </w:tcPr>
          <w:p w14:paraId="46407E97" w14:textId="77777777" w:rsidR="00F96912" w:rsidRPr="00CD000E" w:rsidRDefault="00F96912" w:rsidP="006658D5">
            <w:pPr>
              <w:keepNext/>
              <w:keepLines/>
              <w:tabs>
                <w:tab w:val="left" w:pos="290"/>
              </w:tabs>
              <w:rPr>
                <w:b/>
                <w:bCs/>
                <w:sz w:val="16"/>
                <w:szCs w:val="16"/>
              </w:rPr>
            </w:pPr>
            <w:r w:rsidRPr="00CD000E">
              <w:rPr>
                <w:b/>
                <w:bCs/>
                <w:sz w:val="16"/>
                <w:szCs w:val="16"/>
              </w:rPr>
              <w:t>Objectifs visés</w:t>
            </w:r>
          </w:p>
        </w:tc>
        <w:tc>
          <w:tcPr>
            <w:tcW w:w="1325" w:type="pct"/>
            <w:shd w:val="clear" w:color="auto" w:fill="FFFFFF"/>
            <w:tcMar>
              <w:top w:w="110" w:type="dxa"/>
              <w:left w:w="58" w:type="dxa"/>
              <w:right w:w="58" w:type="dxa"/>
            </w:tcMar>
            <w:vAlign w:val="center"/>
          </w:tcPr>
          <w:p w14:paraId="334535FB" w14:textId="77777777" w:rsidR="00F96912" w:rsidRPr="00CD000E" w:rsidRDefault="00F96912" w:rsidP="006658D5">
            <w:pPr>
              <w:keepNext/>
              <w:keepLines/>
              <w:rPr>
                <w:b/>
                <w:bCs/>
                <w:sz w:val="16"/>
                <w:szCs w:val="16"/>
              </w:rPr>
            </w:pPr>
            <w:r w:rsidRPr="00CD000E">
              <w:rPr>
                <w:b/>
                <w:bCs/>
                <w:sz w:val="16"/>
                <w:szCs w:val="16"/>
              </w:rPr>
              <w:t>Données relatives à l’exécution</w:t>
            </w:r>
          </w:p>
        </w:tc>
        <w:tc>
          <w:tcPr>
            <w:tcW w:w="499" w:type="pct"/>
            <w:shd w:val="clear" w:color="auto" w:fill="auto"/>
            <w:tcMar>
              <w:top w:w="110" w:type="dxa"/>
              <w:left w:w="58" w:type="dxa"/>
              <w:right w:w="58" w:type="dxa"/>
            </w:tcMar>
            <w:vAlign w:val="center"/>
          </w:tcPr>
          <w:p w14:paraId="0134B0D5" w14:textId="77777777" w:rsidR="00F96912" w:rsidRPr="00CD000E" w:rsidRDefault="00F96912" w:rsidP="006658D5">
            <w:pPr>
              <w:keepNext/>
              <w:keepLines/>
              <w:jc w:val="center"/>
              <w:rPr>
                <w:b/>
                <w:bCs/>
                <w:sz w:val="16"/>
                <w:szCs w:val="16"/>
              </w:rPr>
            </w:pPr>
            <w:r w:rsidRPr="00CD000E">
              <w:rPr>
                <w:b/>
                <w:bCs/>
                <w:sz w:val="16"/>
                <w:szCs w:val="16"/>
              </w:rPr>
              <w:t>Code d’évaluation</w:t>
            </w:r>
          </w:p>
        </w:tc>
      </w:tr>
      <w:tr w:rsidR="00F96912" w:rsidRPr="00B2532D" w14:paraId="4C6DD5C7" w14:textId="77777777" w:rsidTr="006658D5">
        <w:tc>
          <w:tcPr>
            <w:tcW w:w="1075" w:type="pct"/>
            <w:shd w:val="clear" w:color="auto" w:fill="auto"/>
            <w:tcMar>
              <w:left w:w="58" w:type="dxa"/>
              <w:right w:w="58" w:type="dxa"/>
            </w:tcMar>
          </w:tcPr>
          <w:p w14:paraId="4427C215" w14:textId="77777777" w:rsidR="00F96912" w:rsidRPr="00B2532D" w:rsidRDefault="00F96912" w:rsidP="006658D5">
            <w:pPr>
              <w:keepNext/>
              <w:keepLines/>
              <w:rPr>
                <w:color w:val="000000"/>
                <w:sz w:val="16"/>
                <w:szCs w:val="16"/>
              </w:rPr>
            </w:pPr>
            <w:r w:rsidRPr="00B2532D">
              <w:rPr>
                <w:sz w:val="16"/>
                <w:szCs w:val="16"/>
              </w:rPr>
              <w:t>Pourcentage de risques pour l’information, y compris les risques tiers, détectés et gérés conformément aux seuils de tolérance définis par l’OMPI</w:t>
            </w:r>
          </w:p>
        </w:tc>
        <w:tc>
          <w:tcPr>
            <w:tcW w:w="1378" w:type="pct"/>
            <w:shd w:val="clear" w:color="auto" w:fill="auto"/>
            <w:tcMar>
              <w:left w:w="58" w:type="dxa"/>
              <w:right w:w="58" w:type="dxa"/>
            </w:tcMar>
          </w:tcPr>
          <w:p w14:paraId="444D7BB7" w14:textId="77777777" w:rsidR="00F96912" w:rsidRPr="00B2532D" w:rsidRDefault="00F96912" w:rsidP="006658D5">
            <w:pPr>
              <w:keepNext/>
              <w:keepLines/>
              <w:rPr>
                <w:color w:val="000000"/>
                <w:sz w:val="16"/>
                <w:szCs w:val="16"/>
              </w:rPr>
            </w:pPr>
            <w:r w:rsidRPr="00B2532D">
              <w:rPr>
                <w:sz w:val="16"/>
                <w:szCs w:val="16"/>
              </w:rPr>
              <w:t>Risques pour l’information communiqués au cas par cas</w:t>
            </w:r>
            <w:r w:rsidRPr="00B2532D">
              <w:rPr>
                <w:color w:val="000000"/>
                <w:sz w:val="16"/>
                <w:szCs w:val="16"/>
              </w:rPr>
              <w:br/>
            </w:r>
            <w:r w:rsidRPr="00B2532D">
              <w:rPr>
                <w:sz w:val="16"/>
                <w:szCs w:val="16"/>
              </w:rPr>
              <w:t>Risques tiers recensés et traités de manière non systématique</w:t>
            </w:r>
          </w:p>
        </w:tc>
        <w:tc>
          <w:tcPr>
            <w:tcW w:w="723" w:type="pct"/>
            <w:shd w:val="clear" w:color="auto" w:fill="auto"/>
            <w:tcMar>
              <w:top w:w="110" w:type="dxa"/>
              <w:left w:w="58" w:type="dxa"/>
              <w:right w:w="58" w:type="dxa"/>
            </w:tcMar>
          </w:tcPr>
          <w:p w14:paraId="6B8FFE62" w14:textId="77777777" w:rsidR="00F96912" w:rsidRPr="00B2532D" w:rsidRDefault="00F96912" w:rsidP="006658D5">
            <w:pPr>
              <w:keepNext/>
              <w:keepLines/>
              <w:rPr>
                <w:color w:val="000000"/>
                <w:sz w:val="16"/>
                <w:szCs w:val="16"/>
              </w:rPr>
            </w:pPr>
            <w:r w:rsidRPr="00B2532D">
              <w:rPr>
                <w:color w:val="000000"/>
                <w:sz w:val="16"/>
                <w:szCs w:val="16"/>
              </w:rPr>
              <w:t>Rapports trimestriels sur les risques pour l’information communiqués aux organes internes de gouvernance de la sécurité de l’information</w:t>
            </w:r>
            <w:r w:rsidRPr="00B2532D">
              <w:rPr>
                <w:color w:val="000000"/>
                <w:sz w:val="16"/>
                <w:szCs w:val="16"/>
              </w:rPr>
              <w:br/>
            </w:r>
          </w:p>
          <w:p w14:paraId="0E1EECD1" w14:textId="77777777" w:rsidR="00F96912" w:rsidRPr="00B2532D" w:rsidRDefault="00F96912" w:rsidP="006658D5">
            <w:pPr>
              <w:keepNext/>
              <w:keepLines/>
              <w:rPr>
                <w:color w:val="000000"/>
                <w:sz w:val="16"/>
                <w:szCs w:val="16"/>
              </w:rPr>
            </w:pPr>
            <w:r w:rsidRPr="00B2532D">
              <w:rPr>
                <w:color w:val="000000"/>
                <w:sz w:val="16"/>
                <w:szCs w:val="16"/>
              </w:rPr>
              <w:t>Gestion active des risques tiers (&lt;10%)</w:t>
            </w:r>
          </w:p>
        </w:tc>
        <w:tc>
          <w:tcPr>
            <w:tcW w:w="1325" w:type="pct"/>
            <w:shd w:val="clear" w:color="auto" w:fill="FFFFFF"/>
            <w:tcMar>
              <w:top w:w="110" w:type="dxa"/>
              <w:left w:w="58" w:type="dxa"/>
              <w:right w:w="58" w:type="dxa"/>
            </w:tcMar>
          </w:tcPr>
          <w:p w14:paraId="536FC11A" w14:textId="77777777" w:rsidR="00F96912" w:rsidRPr="00B2532D" w:rsidRDefault="00F96912" w:rsidP="006658D5">
            <w:pPr>
              <w:keepNext/>
              <w:keepLines/>
              <w:rPr>
                <w:color w:val="000000"/>
                <w:sz w:val="16"/>
                <w:szCs w:val="16"/>
              </w:rPr>
            </w:pPr>
            <w:r w:rsidRPr="00B2532D">
              <w:rPr>
                <w:color w:val="000000"/>
                <w:sz w:val="16"/>
                <w:szCs w:val="16"/>
              </w:rPr>
              <w:t>Tous les risques (100%) pour l’information, y compris les risques tiers, ont été communiqués au Comité directeur de la sécurité et de l’assurance informatique, qui s’est réuni 3 fois en 2016</w:t>
            </w:r>
          </w:p>
          <w:p w14:paraId="014FDE9C" w14:textId="77777777" w:rsidR="00F96912" w:rsidRPr="00B2532D" w:rsidRDefault="00F96912" w:rsidP="006658D5">
            <w:pPr>
              <w:keepNext/>
              <w:keepLines/>
              <w:rPr>
                <w:color w:val="000000"/>
                <w:sz w:val="16"/>
                <w:szCs w:val="16"/>
              </w:rPr>
            </w:pPr>
          </w:p>
          <w:p w14:paraId="701BCA2E" w14:textId="77777777" w:rsidR="00F96912" w:rsidRDefault="00F96912" w:rsidP="006658D5">
            <w:pPr>
              <w:keepNext/>
              <w:keepLines/>
              <w:rPr>
                <w:color w:val="000000"/>
                <w:sz w:val="16"/>
                <w:szCs w:val="16"/>
              </w:rPr>
            </w:pPr>
          </w:p>
          <w:p w14:paraId="752839CD" w14:textId="77777777" w:rsidR="00F96912" w:rsidRDefault="00F96912" w:rsidP="006658D5">
            <w:pPr>
              <w:keepNext/>
              <w:keepLines/>
              <w:rPr>
                <w:color w:val="000000"/>
                <w:sz w:val="16"/>
                <w:szCs w:val="16"/>
              </w:rPr>
            </w:pPr>
          </w:p>
          <w:p w14:paraId="233E52DA" w14:textId="77777777" w:rsidR="00F96912" w:rsidRPr="00B2532D" w:rsidRDefault="00F96912" w:rsidP="006658D5">
            <w:pPr>
              <w:keepNext/>
              <w:keepLines/>
              <w:rPr>
                <w:color w:val="000000"/>
                <w:sz w:val="16"/>
                <w:szCs w:val="16"/>
              </w:rPr>
            </w:pPr>
            <w:r w:rsidRPr="00B2532D">
              <w:rPr>
                <w:color w:val="000000"/>
                <w:sz w:val="16"/>
                <w:szCs w:val="16"/>
              </w:rPr>
              <w:t>3 prestataires de services externes ont été évalués en vertu des exigences de la Politique de l’OMPI en matière de sécurité relative aux prestataires de services en 2016;  aucun risque important pour l’information n’a été recensé.</w:t>
            </w:r>
          </w:p>
        </w:tc>
        <w:tc>
          <w:tcPr>
            <w:tcW w:w="499" w:type="pct"/>
            <w:shd w:val="clear" w:color="auto" w:fill="auto"/>
            <w:tcMar>
              <w:top w:w="110" w:type="dxa"/>
              <w:left w:w="58" w:type="dxa"/>
              <w:right w:w="58" w:type="dxa"/>
            </w:tcMar>
          </w:tcPr>
          <w:p w14:paraId="28FD45E5" w14:textId="77777777" w:rsidR="00F96912" w:rsidRPr="00B2532D" w:rsidRDefault="00F96912" w:rsidP="006658D5">
            <w:pPr>
              <w:keepNext/>
              <w:keepLines/>
              <w:jc w:val="center"/>
              <w:rPr>
                <w:color w:val="FF0000"/>
                <w:sz w:val="16"/>
                <w:szCs w:val="16"/>
              </w:rPr>
            </w:pPr>
            <w:r w:rsidRPr="00B2532D">
              <w:rPr>
                <w:b/>
                <w:color w:val="00B050"/>
                <w:sz w:val="16"/>
                <w:szCs w:val="16"/>
              </w:rPr>
              <w:t>En bonne voie</w:t>
            </w:r>
          </w:p>
          <w:p w14:paraId="176F2DB9" w14:textId="77777777" w:rsidR="00F96912" w:rsidRPr="00B2532D" w:rsidRDefault="00F96912" w:rsidP="006658D5">
            <w:pPr>
              <w:keepNext/>
              <w:keepLines/>
              <w:jc w:val="center"/>
              <w:rPr>
                <w:color w:val="FF0000"/>
                <w:sz w:val="16"/>
                <w:szCs w:val="16"/>
              </w:rPr>
            </w:pPr>
          </w:p>
          <w:p w14:paraId="1F39C948" w14:textId="77777777" w:rsidR="00F96912" w:rsidRPr="00B2532D" w:rsidRDefault="00F96912" w:rsidP="006658D5">
            <w:pPr>
              <w:keepNext/>
              <w:keepLines/>
              <w:jc w:val="center"/>
              <w:rPr>
                <w:color w:val="FF0000"/>
                <w:sz w:val="16"/>
                <w:szCs w:val="16"/>
              </w:rPr>
            </w:pPr>
          </w:p>
          <w:p w14:paraId="06EB960B" w14:textId="77777777" w:rsidR="00F96912" w:rsidRPr="00B2532D" w:rsidRDefault="00F96912" w:rsidP="006658D5">
            <w:pPr>
              <w:keepNext/>
              <w:keepLines/>
              <w:jc w:val="center"/>
              <w:rPr>
                <w:color w:val="FF0000"/>
                <w:sz w:val="16"/>
                <w:szCs w:val="16"/>
              </w:rPr>
            </w:pPr>
          </w:p>
          <w:p w14:paraId="16E7D108" w14:textId="77777777" w:rsidR="00F96912" w:rsidRPr="00B2532D" w:rsidRDefault="00F96912" w:rsidP="006658D5">
            <w:pPr>
              <w:keepNext/>
              <w:keepLines/>
              <w:jc w:val="center"/>
              <w:rPr>
                <w:color w:val="FF0000"/>
                <w:sz w:val="16"/>
                <w:szCs w:val="16"/>
              </w:rPr>
            </w:pPr>
          </w:p>
          <w:p w14:paraId="564AD9C0" w14:textId="77777777" w:rsidR="00F96912" w:rsidRPr="00B2532D" w:rsidRDefault="00F96912" w:rsidP="006658D5">
            <w:pPr>
              <w:keepNext/>
              <w:keepLines/>
              <w:jc w:val="center"/>
              <w:rPr>
                <w:color w:val="FF0000"/>
                <w:sz w:val="16"/>
                <w:szCs w:val="16"/>
              </w:rPr>
            </w:pPr>
          </w:p>
          <w:p w14:paraId="10907D49" w14:textId="77777777" w:rsidR="00F96912" w:rsidRPr="00B2532D" w:rsidRDefault="00F96912" w:rsidP="006658D5">
            <w:pPr>
              <w:keepNext/>
              <w:keepLines/>
              <w:jc w:val="center"/>
              <w:rPr>
                <w:b/>
                <w:color w:val="00B050"/>
                <w:sz w:val="16"/>
                <w:szCs w:val="16"/>
              </w:rPr>
            </w:pPr>
          </w:p>
          <w:p w14:paraId="12230787" w14:textId="77777777" w:rsidR="00F96912" w:rsidRDefault="00F96912" w:rsidP="006658D5">
            <w:pPr>
              <w:keepNext/>
              <w:keepLines/>
              <w:jc w:val="center"/>
              <w:rPr>
                <w:b/>
                <w:color w:val="00B050"/>
                <w:sz w:val="16"/>
                <w:szCs w:val="16"/>
              </w:rPr>
            </w:pPr>
          </w:p>
          <w:p w14:paraId="64E48DBF" w14:textId="77777777" w:rsidR="00F96912" w:rsidRDefault="00F96912" w:rsidP="006658D5">
            <w:pPr>
              <w:keepNext/>
              <w:keepLines/>
              <w:jc w:val="center"/>
              <w:rPr>
                <w:b/>
                <w:color w:val="00B050"/>
                <w:sz w:val="16"/>
                <w:szCs w:val="16"/>
              </w:rPr>
            </w:pPr>
          </w:p>
          <w:p w14:paraId="2F1ED212" w14:textId="77777777" w:rsidR="00F96912" w:rsidRPr="00B2532D" w:rsidRDefault="00F96912" w:rsidP="006658D5">
            <w:pPr>
              <w:keepNext/>
              <w:keepLines/>
              <w:jc w:val="center"/>
              <w:rPr>
                <w:color w:val="000000"/>
                <w:sz w:val="16"/>
                <w:szCs w:val="16"/>
              </w:rPr>
            </w:pPr>
            <w:r w:rsidRPr="00B2532D">
              <w:rPr>
                <w:b/>
                <w:color w:val="00B050"/>
                <w:sz w:val="16"/>
                <w:szCs w:val="16"/>
              </w:rPr>
              <w:t>En bonne voie</w:t>
            </w:r>
          </w:p>
        </w:tc>
      </w:tr>
      <w:tr w:rsidR="00F96912" w:rsidRPr="00B2532D" w14:paraId="347AC67C" w14:textId="77777777" w:rsidTr="006658D5">
        <w:tc>
          <w:tcPr>
            <w:tcW w:w="1075" w:type="pct"/>
            <w:shd w:val="clear" w:color="auto" w:fill="auto"/>
            <w:tcMar>
              <w:left w:w="58" w:type="dxa"/>
              <w:right w:w="58" w:type="dxa"/>
            </w:tcMar>
          </w:tcPr>
          <w:p w14:paraId="2CAF19F2" w14:textId="77777777" w:rsidR="00F96912" w:rsidRPr="00B2532D" w:rsidRDefault="00F96912" w:rsidP="006658D5">
            <w:pPr>
              <w:rPr>
                <w:color w:val="000000"/>
                <w:sz w:val="16"/>
                <w:szCs w:val="16"/>
              </w:rPr>
            </w:pPr>
            <w:r w:rsidRPr="00B2532D">
              <w:rPr>
                <w:sz w:val="16"/>
                <w:szCs w:val="16"/>
              </w:rPr>
              <w:t>Détection anticipée et résolution rapide des failles de sécurité conformément au niveau de service défini</w:t>
            </w:r>
          </w:p>
        </w:tc>
        <w:tc>
          <w:tcPr>
            <w:tcW w:w="1378" w:type="pct"/>
            <w:shd w:val="clear" w:color="auto" w:fill="auto"/>
            <w:tcMar>
              <w:left w:w="58" w:type="dxa"/>
              <w:right w:w="58" w:type="dxa"/>
            </w:tcMar>
          </w:tcPr>
          <w:p w14:paraId="54832CE8" w14:textId="77777777" w:rsidR="00F96912" w:rsidRPr="00B2532D" w:rsidRDefault="00F96912" w:rsidP="006658D5">
            <w:pPr>
              <w:rPr>
                <w:color w:val="000000"/>
                <w:sz w:val="16"/>
                <w:szCs w:val="16"/>
              </w:rPr>
            </w:pPr>
            <w:r w:rsidRPr="00B2532D">
              <w:rPr>
                <w:sz w:val="16"/>
                <w:szCs w:val="16"/>
              </w:rPr>
              <w:t>Détection et solution limitées des failles en matière de sécurité de l’information</w:t>
            </w:r>
          </w:p>
        </w:tc>
        <w:tc>
          <w:tcPr>
            <w:tcW w:w="723" w:type="pct"/>
            <w:shd w:val="clear" w:color="auto" w:fill="auto"/>
            <w:tcMar>
              <w:top w:w="110" w:type="dxa"/>
              <w:left w:w="58" w:type="dxa"/>
              <w:right w:w="58" w:type="dxa"/>
            </w:tcMar>
          </w:tcPr>
          <w:p w14:paraId="475EB1DF" w14:textId="77777777" w:rsidR="00F96912" w:rsidRPr="00B2532D" w:rsidRDefault="00F96912" w:rsidP="006658D5">
            <w:pPr>
              <w:keepNext/>
              <w:keepLines/>
              <w:rPr>
                <w:color w:val="000000"/>
                <w:sz w:val="16"/>
                <w:szCs w:val="16"/>
              </w:rPr>
            </w:pPr>
            <w:r w:rsidRPr="00B2532D">
              <w:rPr>
                <w:sz w:val="16"/>
                <w:szCs w:val="16"/>
              </w:rPr>
              <w:t>Failles en matière de sécurité de l’information détectées et comblées pour 90% des données sensibles</w:t>
            </w:r>
          </w:p>
        </w:tc>
        <w:tc>
          <w:tcPr>
            <w:tcW w:w="1325" w:type="pct"/>
            <w:shd w:val="clear" w:color="auto" w:fill="FFFFFF"/>
            <w:tcMar>
              <w:top w:w="110" w:type="dxa"/>
              <w:left w:w="58" w:type="dxa"/>
              <w:right w:w="58" w:type="dxa"/>
            </w:tcMar>
          </w:tcPr>
          <w:p w14:paraId="16DA9FF1" w14:textId="77777777" w:rsidR="00F96912" w:rsidRPr="00B2532D" w:rsidRDefault="00F96912" w:rsidP="006658D5">
            <w:pPr>
              <w:keepNext/>
              <w:keepLines/>
              <w:rPr>
                <w:color w:val="000000"/>
                <w:sz w:val="16"/>
                <w:szCs w:val="16"/>
              </w:rPr>
            </w:pPr>
            <w:r w:rsidRPr="00B2532D">
              <w:rPr>
                <w:color w:val="000000"/>
                <w:sz w:val="16"/>
                <w:szCs w:val="16"/>
              </w:rPr>
              <w:t>En 2016, 2 tests d’intrusion externes et 3 tests internes à l’échelle de l’Organisation ont été réalisés.  Les tests externes ont détecté 5 failles critiques et de niveau élevé, qui ont toutes été comblées (100%);  les tests internes ont détecté 14 failles critiques et de niveau élevé au premier trimestre, dont 97% étaient comblées à la fin de 2016, et 4 failles critiques et de niveau élevé au quatrième trimestre, dont 50% étaient comblées et 50% en voie de l’être à la fin de 2016.</w:t>
            </w:r>
          </w:p>
        </w:tc>
        <w:tc>
          <w:tcPr>
            <w:tcW w:w="499" w:type="pct"/>
            <w:shd w:val="clear" w:color="auto" w:fill="auto"/>
            <w:tcMar>
              <w:top w:w="110" w:type="dxa"/>
              <w:left w:w="58" w:type="dxa"/>
              <w:right w:w="58" w:type="dxa"/>
            </w:tcMar>
          </w:tcPr>
          <w:p w14:paraId="5C36918D" w14:textId="77777777" w:rsidR="00F96912" w:rsidRPr="00B2532D" w:rsidRDefault="00F96912" w:rsidP="006658D5">
            <w:pPr>
              <w:keepNext/>
              <w:keepLines/>
              <w:jc w:val="center"/>
              <w:rPr>
                <w:color w:val="000000"/>
                <w:sz w:val="16"/>
                <w:szCs w:val="16"/>
              </w:rPr>
            </w:pPr>
            <w:r w:rsidRPr="00B2532D">
              <w:rPr>
                <w:b/>
                <w:color w:val="00B050"/>
                <w:sz w:val="16"/>
                <w:szCs w:val="16"/>
              </w:rPr>
              <w:t>En bonne voie</w:t>
            </w:r>
          </w:p>
        </w:tc>
      </w:tr>
      <w:tr w:rsidR="00F96912" w:rsidRPr="00CD000E" w14:paraId="07B1C47A" w14:textId="77777777" w:rsidTr="006658D5">
        <w:tc>
          <w:tcPr>
            <w:tcW w:w="1075" w:type="pct"/>
            <w:shd w:val="clear" w:color="auto" w:fill="auto"/>
            <w:tcMar>
              <w:left w:w="58" w:type="dxa"/>
              <w:right w:w="58" w:type="dxa"/>
            </w:tcMar>
          </w:tcPr>
          <w:p w14:paraId="651D4AFA" w14:textId="77777777" w:rsidR="00F96912" w:rsidRPr="00B2532D" w:rsidRDefault="00F96912" w:rsidP="006658D5">
            <w:pPr>
              <w:rPr>
                <w:color w:val="000000"/>
                <w:sz w:val="16"/>
                <w:szCs w:val="16"/>
              </w:rPr>
            </w:pPr>
            <w:r w:rsidRPr="00B2532D">
              <w:rPr>
                <w:sz w:val="16"/>
                <w:szCs w:val="16"/>
              </w:rPr>
              <w:t>Respect accru des politiques et normes en matière de sécurité de l’information</w:t>
            </w:r>
          </w:p>
        </w:tc>
        <w:tc>
          <w:tcPr>
            <w:tcW w:w="1378" w:type="pct"/>
            <w:shd w:val="clear" w:color="auto" w:fill="auto"/>
            <w:tcMar>
              <w:left w:w="58" w:type="dxa"/>
              <w:right w:w="58" w:type="dxa"/>
            </w:tcMar>
          </w:tcPr>
          <w:p w14:paraId="2FD2410C" w14:textId="77777777" w:rsidR="00F96912" w:rsidRPr="00B2532D" w:rsidRDefault="00F96912" w:rsidP="006658D5">
            <w:pPr>
              <w:rPr>
                <w:i/>
                <w:color w:val="002060"/>
                <w:sz w:val="16"/>
                <w:szCs w:val="16"/>
              </w:rPr>
            </w:pPr>
            <w:r w:rsidRPr="00B2532D">
              <w:rPr>
                <w:i/>
                <w:color w:val="002060"/>
                <w:sz w:val="16"/>
                <w:szCs w:val="16"/>
              </w:rPr>
              <w:t>Niveau de référence actualisé à fin</w:t>
            </w:r>
            <w:r>
              <w:rPr>
                <w:i/>
                <w:color w:val="002060"/>
                <w:sz w:val="16"/>
                <w:szCs w:val="16"/>
              </w:rPr>
              <w:t> </w:t>
            </w:r>
            <w:r w:rsidRPr="00B2532D">
              <w:rPr>
                <w:i/>
                <w:color w:val="002060"/>
                <w:sz w:val="16"/>
                <w:szCs w:val="16"/>
              </w:rPr>
              <w:t>2015 :</w:t>
            </w:r>
          </w:p>
          <w:p w14:paraId="3016363D" w14:textId="77777777" w:rsidR="00F96912" w:rsidRPr="00B2532D" w:rsidRDefault="00F96912" w:rsidP="006658D5">
            <w:pPr>
              <w:rPr>
                <w:color w:val="002060"/>
                <w:sz w:val="16"/>
                <w:szCs w:val="16"/>
              </w:rPr>
            </w:pPr>
            <w:r w:rsidRPr="00B2532D">
              <w:rPr>
                <w:color w:val="002060"/>
                <w:sz w:val="16"/>
                <w:szCs w:val="16"/>
              </w:rPr>
              <w:t>Transition réussie de la certification du PCT à la norme ISO 27001:2013.</w:t>
            </w:r>
          </w:p>
          <w:p w14:paraId="5F2B8392" w14:textId="77777777" w:rsidR="00F96912" w:rsidRPr="00B2532D" w:rsidRDefault="00F96912" w:rsidP="006658D5">
            <w:pPr>
              <w:rPr>
                <w:color w:val="002060"/>
                <w:sz w:val="16"/>
                <w:szCs w:val="16"/>
              </w:rPr>
            </w:pPr>
            <w:r w:rsidRPr="00B2532D">
              <w:rPr>
                <w:color w:val="002060"/>
                <w:sz w:val="16"/>
                <w:szCs w:val="16"/>
              </w:rPr>
              <w:t>Certification renouvelée en octobre 2015 et portée élargie pour inclure les systèmes de Madrid et de La Haye.</w:t>
            </w:r>
          </w:p>
          <w:p w14:paraId="236367D6" w14:textId="77777777" w:rsidR="00F96912" w:rsidRPr="00B2532D" w:rsidRDefault="00F96912" w:rsidP="006658D5">
            <w:pPr>
              <w:rPr>
                <w:color w:val="000000"/>
                <w:sz w:val="16"/>
                <w:szCs w:val="16"/>
              </w:rPr>
            </w:pPr>
          </w:p>
          <w:p w14:paraId="37933085" w14:textId="77777777" w:rsidR="00F96912" w:rsidRPr="00B2532D" w:rsidRDefault="00F96912" w:rsidP="006658D5">
            <w:pPr>
              <w:rPr>
                <w:i/>
                <w:sz w:val="16"/>
                <w:szCs w:val="16"/>
                <w:lang w:bidi="th-TH"/>
              </w:rPr>
            </w:pPr>
            <w:r w:rsidRPr="00B2532D">
              <w:rPr>
                <w:i/>
                <w:sz w:val="16"/>
                <w:szCs w:val="16"/>
                <w:lang w:bidi="th-TH"/>
              </w:rPr>
              <w:t>Niveau de référence initial dans le programme et budget 2016</w:t>
            </w:r>
            <w:r w:rsidRPr="00B2532D">
              <w:rPr>
                <w:i/>
                <w:sz w:val="16"/>
                <w:szCs w:val="16"/>
                <w:lang w:bidi="th-TH"/>
              </w:rPr>
              <w:noBreakHyphen/>
              <w:t>2017 :</w:t>
            </w:r>
          </w:p>
          <w:p w14:paraId="24B92580" w14:textId="77777777" w:rsidR="00F96912" w:rsidRPr="00B2532D" w:rsidRDefault="00F96912" w:rsidP="006658D5">
            <w:pPr>
              <w:rPr>
                <w:color w:val="000000"/>
                <w:sz w:val="16"/>
                <w:szCs w:val="16"/>
              </w:rPr>
            </w:pPr>
            <w:r w:rsidRPr="00B2532D">
              <w:rPr>
                <w:sz w:val="16"/>
                <w:szCs w:val="16"/>
              </w:rPr>
              <w:t>Conformité et certification à la norme ISO 27001 limitées aux demandes PCT</w:t>
            </w:r>
          </w:p>
        </w:tc>
        <w:tc>
          <w:tcPr>
            <w:tcW w:w="723" w:type="pct"/>
            <w:shd w:val="clear" w:color="auto" w:fill="auto"/>
            <w:tcMar>
              <w:top w:w="110" w:type="dxa"/>
              <w:left w:w="58" w:type="dxa"/>
              <w:right w:w="58" w:type="dxa"/>
            </w:tcMar>
          </w:tcPr>
          <w:p w14:paraId="6DE06867" w14:textId="77777777" w:rsidR="00F96912" w:rsidRPr="00B2532D" w:rsidRDefault="00F96912" w:rsidP="006658D5">
            <w:pPr>
              <w:keepNext/>
              <w:keepLines/>
              <w:rPr>
                <w:color w:val="000000"/>
                <w:sz w:val="16"/>
                <w:szCs w:val="16"/>
              </w:rPr>
            </w:pPr>
            <w:r w:rsidRPr="00B2532D">
              <w:rPr>
                <w:sz w:val="16"/>
                <w:szCs w:val="16"/>
              </w:rPr>
              <w:t>Conformité et certification à la norme ISO 27001 étendues aux demandes pour La Haye, Madrid et les ressources humaines</w:t>
            </w:r>
          </w:p>
        </w:tc>
        <w:tc>
          <w:tcPr>
            <w:tcW w:w="1325" w:type="pct"/>
            <w:shd w:val="clear" w:color="auto" w:fill="FFFFFF"/>
            <w:tcMar>
              <w:top w:w="110" w:type="dxa"/>
              <w:left w:w="58" w:type="dxa"/>
              <w:right w:w="58" w:type="dxa"/>
            </w:tcMar>
          </w:tcPr>
          <w:p w14:paraId="55122D81" w14:textId="77777777" w:rsidR="00F96912" w:rsidRPr="00B2532D" w:rsidRDefault="00F96912" w:rsidP="006658D5">
            <w:pPr>
              <w:keepNext/>
              <w:keepLines/>
              <w:rPr>
                <w:color w:val="000000"/>
                <w:sz w:val="16"/>
                <w:szCs w:val="16"/>
              </w:rPr>
            </w:pPr>
            <w:r w:rsidRPr="00B2532D">
              <w:rPr>
                <w:color w:val="000000"/>
                <w:sz w:val="16"/>
                <w:szCs w:val="16"/>
              </w:rPr>
              <w:t>Le PCT, La Haye, Madrid et le Centre d’arbitrage et de médiation étaient tous certifiés ISO 27001 en 2016</w:t>
            </w:r>
          </w:p>
        </w:tc>
        <w:tc>
          <w:tcPr>
            <w:tcW w:w="499" w:type="pct"/>
            <w:shd w:val="clear" w:color="auto" w:fill="auto"/>
            <w:tcMar>
              <w:top w:w="110" w:type="dxa"/>
              <w:left w:w="58" w:type="dxa"/>
              <w:right w:w="58" w:type="dxa"/>
            </w:tcMar>
          </w:tcPr>
          <w:p w14:paraId="356891E5" w14:textId="77777777" w:rsidR="00F96912" w:rsidRPr="00CD000E" w:rsidRDefault="00F96912" w:rsidP="006658D5">
            <w:pPr>
              <w:keepNext/>
              <w:keepLines/>
              <w:jc w:val="center"/>
              <w:rPr>
                <w:color w:val="000000"/>
                <w:sz w:val="16"/>
                <w:szCs w:val="16"/>
              </w:rPr>
            </w:pPr>
            <w:r w:rsidRPr="00B2532D">
              <w:rPr>
                <w:b/>
                <w:color w:val="00B050"/>
                <w:sz w:val="16"/>
                <w:szCs w:val="16"/>
              </w:rPr>
              <w:t>En bonne voie</w:t>
            </w:r>
          </w:p>
        </w:tc>
      </w:tr>
      <w:tr w:rsidR="00F96912" w:rsidRPr="00B2532D" w14:paraId="0BB7B8CB" w14:textId="77777777" w:rsidTr="006658D5">
        <w:tc>
          <w:tcPr>
            <w:tcW w:w="1075" w:type="pct"/>
            <w:shd w:val="clear" w:color="auto" w:fill="auto"/>
            <w:tcMar>
              <w:left w:w="58" w:type="dxa"/>
              <w:right w:w="58" w:type="dxa"/>
            </w:tcMar>
          </w:tcPr>
          <w:p w14:paraId="49CB3E55" w14:textId="77777777" w:rsidR="00F96912" w:rsidRPr="00B2532D" w:rsidRDefault="00F96912" w:rsidP="006658D5">
            <w:pPr>
              <w:rPr>
                <w:color w:val="000000"/>
                <w:sz w:val="16"/>
                <w:szCs w:val="16"/>
              </w:rPr>
            </w:pPr>
            <w:r w:rsidRPr="00B2532D">
              <w:rPr>
                <w:sz w:val="16"/>
                <w:szCs w:val="16"/>
              </w:rPr>
              <w:t>Politique de classification et de diffusion de l’information largement adoptée afin d’assurer la confidentialité de l’information</w:t>
            </w:r>
          </w:p>
        </w:tc>
        <w:tc>
          <w:tcPr>
            <w:tcW w:w="1378" w:type="pct"/>
            <w:shd w:val="clear" w:color="auto" w:fill="auto"/>
            <w:tcMar>
              <w:left w:w="58" w:type="dxa"/>
              <w:right w:w="58" w:type="dxa"/>
            </w:tcMar>
          </w:tcPr>
          <w:p w14:paraId="15231DB2" w14:textId="77777777" w:rsidR="00F96912" w:rsidRPr="00B2532D" w:rsidRDefault="00F96912" w:rsidP="006658D5">
            <w:pPr>
              <w:rPr>
                <w:color w:val="000000"/>
                <w:sz w:val="16"/>
                <w:szCs w:val="16"/>
              </w:rPr>
            </w:pPr>
            <w:r w:rsidRPr="00B2532D">
              <w:rPr>
                <w:sz w:val="16"/>
                <w:szCs w:val="16"/>
              </w:rPr>
              <w:t>Adoption limitée de la politique de classification et de diffusion de l’information</w:t>
            </w:r>
          </w:p>
        </w:tc>
        <w:tc>
          <w:tcPr>
            <w:tcW w:w="723" w:type="pct"/>
            <w:shd w:val="clear" w:color="auto" w:fill="auto"/>
            <w:tcMar>
              <w:top w:w="110" w:type="dxa"/>
              <w:left w:w="58" w:type="dxa"/>
              <w:right w:w="58" w:type="dxa"/>
            </w:tcMar>
          </w:tcPr>
          <w:p w14:paraId="7F36EED5" w14:textId="77777777" w:rsidR="00F96912" w:rsidRPr="00B2532D" w:rsidRDefault="00F96912" w:rsidP="006658D5">
            <w:pPr>
              <w:keepNext/>
              <w:keepLines/>
              <w:rPr>
                <w:color w:val="000000"/>
                <w:sz w:val="16"/>
                <w:szCs w:val="16"/>
              </w:rPr>
            </w:pPr>
            <w:r w:rsidRPr="00B2532D">
              <w:rPr>
                <w:sz w:val="16"/>
                <w:szCs w:val="16"/>
              </w:rPr>
              <w:t>Augmentation de 40% de l’adoption de la politique de classification et d’utilisation de l’information</w:t>
            </w:r>
          </w:p>
        </w:tc>
        <w:tc>
          <w:tcPr>
            <w:tcW w:w="1325" w:type="pct"/>
            <w:shd w:val="clear" w:color="auto" w:fill="FFFFFF"/>
            <w:tcMar>
              <w:top w:w="110" w:type="dxa"/>
              <w:left w:w="58" w:type="dxa"/>
              <w:right w:w="58" w:type="dxa"/>
            </w:tcMar>
          </w:tcPr>
          <w:p w14:paraId="797551EB" w14:textId="77777777" w:rsidR="00F96912" w:rsidRPr="00B2532D" w:rsidRDefault="00F96912" w:rsidP="006658D5">
            <w:pPr>
              <w:keepNext/>
              <w:keepLines/>
              <w:rPr>
                <w:color w:val="000000"/>
                <w:sz w:val="16"/>
                <w:szCs w:val="16"/>
              </w:rPr>
            </w:pPr>
            <w:r w:rsidRPr="00B2532D">
              <w:rPr>
                <w:color w:val="000000"/>
                <w:sz w:val="16"/>
                <w:szCs w:val="16"/>
              </w:rPr>
              <w:t>À la fin de 2016, un projet de politique de classification et de diffusion de l’information était en cours d’examen par les acteurs opérationnels</w:t>
            </w:r>
          </w:p>
        </w:tc>
        <w:tc>
          <w:tcPr>
            <w:tcW w:w="499" w:type="pct"/>
            <w:shd w:val="clear" w:color="auto" w:fill="auto"/>
            <w:tcMar>
              <w:top w:w="110" w:type="dxa"/>
              <w:left w:w="58" w:type="dxa"/>
              <w:right w:w="58" w:type="dxa"/>
            </w:tcMar>
          </w:tcPr>
          <w:p w14:paraId="24D49DD5" w14:textId="77777777" w:rsidR="00F96912" w:rsidRPr="00B2532D" w:rsidRDefault="00F96912" w:rsidP="006658D5">
            <w:pPr>
              <w:keepNext/>
              <w:keepLines/>
              <w:jc w:val="center"/>
              <w:rPr>
                <w:color w:val="000000"/>
                <w:sz w:val="16"/>
                <w:szCs w:val="16"/>
              </w:rPr>
            </w:pPr>
            <w:r w:rsidRPr="00B2532D">
              <w:rPr>
                <w:b/>
                <w:color w:val="00B050"/>
                <w:sz w:val="16"/>
                <w:szCs w:val="16"/>
              </w:rPr>
              <w:t>En bonne voie</w:t>
            </w:r>
          </w:p>
        </w:tc>
      </w:tr>
      <w:tr w:rsidR="00F96912" w:rsidRPr="00CD000E" w14:paraId="6A3CFF8A" w14:textId="77777777" w:rsidTr="006658D5">
        <w:tc>
          <w:tcPr>
            <w:tcW w:w="1075" w:type="pct"/>
            <w:shd w:val="clear" w:color="auto" w:fill="auto"/>
            <w:tcMar>
              <w:left w:w="58" w:type="dxa"/>
              <w:right w:w="58" w:type="dxa"/>
            </w:tcMar>
          </w:tcPr>
          <w:p w14:paraId="2238F101" w14:textId="77777777" w:rsidR="00F96912" w:rsidRPr="00B2532D" w:rsidRDefault="00F96912" w:rsidP="004E4A91">
            <w:pPr>
              <w:keepNext/>
              <w:keepLines/>
              <w:rPr>
                <w:color w:val="000000"/>
                <w:sz w:val="16"/>
                <w:szCs w:val="16"/>
              </w:rPr>
            </w:pPr>
            <w:r w:rsidRPr="00B2532D">
              <w:rPr>
                <w:sz w:val="16"/>
                <w:szCs w:val="16"/>
              </w:rPr>
              <w:t>Réduction des chevauchements dans les capacités techniques en matière de sécurité de l’information grâce à des structures d’architecture réutilisables</w:t>
            </w:r>
          </w:p>
        </w:tc>
        <w:tc>
          <w:tcPr>
            <w:tcW w:w="1378" w:type="pct"/>
            <w:shd w:val="clear" w:color="auto" w:fill="auto"/>
            <w:tcMar>
              <w:left w:w="58" w:type="dxa"/>
              <w:right w:w="58" w:type="dxa"/>
            </w:tcMar>
          </w:tcPr>
          <w:p w14:paraId="7D82821C" w14:textId="77777777" w:rsidR="00F96912" w:rsidRPr="00B2532D" w:rsidRDefault="00F96912" w:rsidP="004E4A91">
            <w:pPr>
              <w:keepNext/>
              <w:keepLines/>
              <w:rPr>
                <w:color w:val="000000"/>
                <w:sz w:val="16"/>
                <w:szCs w:val="16"/>
              </w:rPr>
            </w:pPr>
            <w:r w:rsidRPr="00B2532D">
              <w:rPr>
                <w:sz w:val="16"/>
                <w:szCs w:val="16"/>
              </w:rPr>
              <w:t>Déploiement disparate des capacités réduisant les possibilités de réutilisation et la souplesse d’utilisation</w:t>
            </w:r>
          </w:p>
        </w:tc>
        <w:tc>
          <w:tcPr>
            <w:tcW w:w="723" w:type="pct"/>
            <w:shd w:val="clear" w:color="auto" w:fill="auto"/>
            <w:tcMar>
              <w:top w:w="110" w:type="dxa"/>
              <w:left w:w="58" w:type="dxa"/>
              <w:right w:w="58" w:type="dxa"/>
            </w:tcMar>
          </w:tcPr>
          <w:p w14:paraId="12C668B5" w14:textId="77777777" w:rsidR="00F96912" w:rsidRPr="00B2532D" w:rsidRDefault="00F96912" w:rsidP="004E4A91">
            <w:pPr>
              <w:keepNext/>
              <w:keepLines/>
              <w:rPr>
                <w:color w:val="000000"/>
                <w:sz w:val="16"/>
                <w:szCs w:val="16"/>
              </w:rPr>
            </w:pPr>
            <w:r w:rsidRPr="00B2532D">
              <w:rPr>
                <w:sz w:val="16"/>
                <w:szCs w:val="16"/>
              </w:rPr>
              <w:t>Adoption d’une architecture permettant d’accroître le taux de réutilisation et d’adaptation des capacités en matière de sécurité de 30%</w:t>
            </w:r>
          </w:p>
        </w:tc>
        <w:tc>
          <w:tcPr>
            <w:tcW w:w="1325" w:type="pct"/>
            <w:shd w:val="clear" w:color="auto" w:fill="FFFFFF"/>
            <w:tcMar>
              <w:top w:w="110" w:type="dxa"/>
              <w:left w:w="58" w:type="dxa"/>
              <w:right w:w="58" w:type="dxa"/>
            </w:tcMar>
          </w:tcPr>
          <w:p w14:paraId="60AB96E2" w14:textId="77777777" w:rsidR="00F96912" w:rsidRPr="00B2532D" w:rsidRDefault="00F96912" w:rsidP="004E4A91">
            <w:pPr>
              <w:keepNext/>
              <w:keepLines/>
              <w:rPr>
                <w:color w:val="000000"/>
                <w:spacing w:val="-2"/>
                <w:sz w:val="16"/>
                <w:szCs w:val="16"/>
              </w:rPr>
            </w:pPr>
            <w:r w:rsidRPr="00B2532D">
              <w:rPr>
                <w:color w:val="000000"/>
                <w:spacing w:val="-2"/>
                <w:sz w:val="16"/>
                <w:szCs w:val="16"/>
              </w:rPr>
              <w:t>Des architectures de référence en matière de sécurité ont été mises au point pour l’architecture mondiale des bureaux, l’identification et la gestion de l’accès ainsi que le cryptage pour les bureaux extérieurs.  Ces architectures ont été utilisées pour guider la conception de nouvelles applications et de nouveaux systèmes.</w:t>
            </w:r>
          </w:p>
        </w:tc>
        <w:tc>
          <w:tcPr>
            <w:tcW w:w="499" w:type="pct"/>
            <w:shd w:val="clear" w:color="auto" w:fill="auto"/>
            <w:tcMar>
              <w:top w:w="110" w:type="dxa"/>
              <w:left w:w="58" w:type="dxa"/>
              <w:right w:w="58" w:type="dxa"/>
            </w:tcMar>
          </w:tcPr>
          <w:p w14:paraId="31C83F9C" w14:textId="77777777" w:rsidR="00F96912" w:rsidRPr="00CD000E" w:rsidRDefault="00F96912" w:rsidP="004E4A91">
            <w:pPr>
              <w:keepNext/>
              <w:keepLines/>
              <w:jc w:val="center"/>
              <w:rPr>
                <w:color w:val="000000"/>
                <w:sz w:val="16"/>
                <w:szCs w:val="16"/>
              </w:rPr>
            </w:pPr>
            <w:r w:rsidRPr="00B2532D">
              <w:rPr>
                <w:b/>
                <w:color w:val="00B050"/>
                <w:sz w:val="16"/>
                <w:szCs w:val="16"/>
              </w:rPr>
              <w:t>En bonne voie</w:t>
            </w:r>
          </w:p>
        </w:tc>
      </w:tr>
      <w:tr w:rsidR="00F96912" w:rsidRPr="00B2532D" w14:paraId="25AAEF05" w14:textId="77777777" w:rsidTr="006658D5">
        <w:tc>
          <w:tcPr>
            <w:tcW w:w="1075" w:type="pct"/>
            <w:shd w:val="clear" w:color="auto" w:fill="auto"/>
            <w:tcMar>
              <w:left w:w="58" w:type="dxa"/>
              <w:right w:w="58" w:type="dxa"/>
            </w:tcMar>
          </w:tcPr>
          <w:p w14:paraId="41242FFE" w14:textId="77777777" w:rsidR="00F96912" w:rsidRPr="00B2532D" w:rsidRDefault="00F96912" w:rsidP="006658D5">
            <w:pPr>
              <w:rPr>
                <w:color w:val="000000"/>
                <w:sz w:val="16"/>
                <w:szCs w:val="16"/>
              </w:rPr>
            </w:pPr>
            <w:r w:rsidRPr="00B2532D">
              <w:rPr>
                <w:sz w:val="16"/>
                <w:szCs w:val="16"/>
              </w:rPr>
              <w:t>Capacité accrue de détection des menaces informatiques et de réaction rapide à ces menaces, garantissant une interruption minimale des opérations</w:t>
            </w:r>
          </w:p>
        </w:tc>
        <w:tc>
          <w:tcPr>
            <w:tcW w:w="1378" w:type="pct"/>
            <w:shd w:val="clear" w:color="auto" w:fill="auto"/>
            <w:tcMar>
              <w:left w:w="58" w:type="dxa"/>
              <w:right w:w="58" w:type="dxa"/>
            </w:tcMar>
          </w:tcPr>
          <w:p w14:paraId="2451FB77" w14:textId="77777777" w:rsidR="00F96912" w:rsidRPr="00B2532D" w:rsidRDefault="00F96912" w:rsidP="006658D5">
            <w:pPr>
              <w:rPr>
                <w:i/>
                <w:color w:val="002060"/>
                <w:sz w:val="16"/>
                <w:szCs w:val="16"/>
              </w:rPr>
            </w:pPr>
            <w:r w:rsidRPr="00B2532D">
              <w:rPr>
                <w:i/>
                <w:color w:val="002060"/>
                <w:sz w:val="16"/>
                <w:szCs w:val="16"/>
              </w:rPr>
              <w:t>Niveau de référence actualisé à fin</w:t>
            </w:r>
            <w:r>
              <w:rPr>
                <w:i/>
                <w:color w:val="002060"/>
                <w:sz w:val="16"/>
                <w:szCs w:val="16"/>
              </w:rPr>
              <w:t> </w:t>
            </w:r>
            <w:r w:rsidRPr="00B2532D">
              <w:rPr>
                <w:i/>
                <w:color w:val="002060"/>
                <w:sz w:val="16"/>
                <w:szCs w:val="16"/>
              </w:rPr>
              <w:t>2015 :</w:t>
            </w:r>
          </w:p>
          <w:p w14:paraId="7828D60D" w14:textId="77777777" w:rsidR="00F96912" w:rsidRPr="00B2532D" w:rsidRDefault="00F96912" w:rsidP="006658D5">
            <w:pPr>
              <w:rPr>
                <w:color w:val="000000"/>
                <w:sz w:val="16"/>
                <w:szCs w:val="16"/>
              </w:rPr>
            </w:pPr>
            <w:r w:rsidRPr="00B2532D">
              <w:rPr>
                <w:color w:val="002060"/>
                <w:sz w:val="16"/>
                <w:szCs w:val="16"/>
              </w:rPr>
              <w:t>Un système de gestion des événements liés à la sécurité et de l’information connexe (SEIM) a été installé pour mettre en corrélation tous les événements liés à la sécurité d’autres systèmes, puis générer des alarmes, offrant une meilleure visibilité, favorisant une réaction plus rapide et renforçant les capacités technico</w:t>
            </w:r>
            <w:r w:rsidRPr="00B2532D">
              <w:rPr>
                <w:color w:val="002060"/>
                <w:sz w:val="16"/>
                <w:szCs w:val="16"/>
              </w:rPr>
              <w:noBreakHyphen/>
              <w:t>légales</w:t>
            </w:r>
          </w:p>
          <w:p w14:paraId="51A8980C" w14:textId="77777777" w:rsidR="00F96912" w:rsidRPr="00B2532D" w:rsidRDefault="00F96912" w:rsidP="006658D5">
            <w:pPr>
              <w:rPr>
                <w:color w:val="000000"/>
                <w:sz w:val="16"/>
                <w:szCs w:val="16"/>
              </w:rPr>
            </w:pPr>
          </w:p>
          <w:p w14:paraId="4BDDF0C8" w14:textId="77777777" w:rsidR="00F96912" w:rsidRPr="00B2532D" w:rsidRDefault="00F96912" w:rsidP="006658D5">
            <w:pPr>
              <w:rPr>
                <w:i/>
                <w:sz w:val="16"/>
                <w:szCs w:val="16"/>
                <w:lang w:bidi="th-TH"/>
              </w:rPr>
            </w:pPr>
            <w:r w:rsidRPr="00B2532D">
              <w:rPr>
                <w:i/>
                <w:sz w:val="16"/>
                <w:szCs w:val="16"/>
                <w:lang w:bidi="th-TH"/>
              </w:rPr>
              <w:t>Niveau de référence initial dans le programme et budget 2016</w:t>
            </w:r>
            <w:r w:rsidRPr="00B2532D">
              <w:rPr>
                <w:i/>
                <w:sz w:val="16"/>
                <w:szCs w:val="16"/>
                <w:lang w:bidi="th-TH"/>
              </w:rPr>
              <w:noBreakHyphen/>
              <w:t>2017 :</w:t>
            </w:r>
          </w:p>
          <w:p w14:paraId="1C6AFC21" w14:textId="77777777" w:rsidR="00F96912" w:rsidRPr="00B2532D" w:rsidRDefault="00F96912" w:rsidP="006658D5">
            <w:pPr>
              <w:rPr>
                <w:color w:val="000000"/>
                <w:sz w:val="16"/>
                <w:szCs w:val="16"/>
              </w:rPr>
            </w:pPr>
            <w:r w:rsidRPr="00B2532D">
              <w:rPr>
                <w:sz w:val="16"/>
                <w:szCs w:val="16"/>
              </w:rPr>
              <w:t>Existence de capacités basiques en matière de sécurité, de veille contre la cybercriminalité et de réaction aux incidents</w:t>
            </w:r>
          </w:p>
        </w:tc>
        <w:tc>
          <w:tcPr>
            <w:tcW w:w="723" w:type="pct"/>
            <w:shd w:val="clear" w:color="auto" w:fill="auto"/>
            <w:tcMar>
              <w:top w:w="110" w:type="dxa"/>
              <w:left w:w="58" w:type="dxa"/>
              <w:right w:w="58" w:type="dxa"/>
            </w:tcMar>
          </w:tcPr>
          <w:p w14:paraId="4F573ECD" w14:textId="77777777" w:rsidR="00F96912" w:rsidRPr="00B2532D" w:rsidRDefault="00F96912" w:rsidP="006658D5">
            <w:pPr>
              <w:rPr>
                <w:color w:val="000000"/>
                <w:sz w:val="16"/>
                <w:szCs w:val="16"/>
              </w:rPr>
            </w:pPr>
            <w:r w:rsidRPr="00B2532D">
              <w:rPr>
                <w:sz w:val="16"/>
                <w:szCs w:val="16"/>
              </w:rPr>
              <w:t xml:space="preserve">Création d’un Centre opérationnel de </w:t>
            </w:r>
            <w:proofErr w:type="spellStart"/>
            <w:r w:rsidRPr="00B2532D">
              <w:rPr>
                <w:sz w:val="16"/>
                <w:szCs w:val="16"/>
              </w:rPr>
              <w:t>cybersécurité</w:t>
            </w:r>
            <w:proofErr w:type="spellEnd"/>
            <w:r w:rsidRPr="00B2532D">
              <w:rPr>
                <w:sz w:val="16"/>
                <w:szCs w:val="16"/>
              </w:rPr>
              <w:t xml:space="preserve"> améliorant de 30% les capacités de surveillance, de détection et de réaction en matière de sécurité informatique</w:t>
            </w:r>
          </w:p>
        </w:tc>
        <w:tc>
          <w:tcPr>
            <w:tcW w:w="1325" w:type="pct"/>
            <w:shd w:val="clear" w:color="auto" w:fill="FFFFFF"/>
            <w:tcMar>
              <w:top w:w="110" w:type="dxa"/>
              <w:left w:w="58" w:type="dxa"/>
              <w:right w:w="58" w:type="dxa"/>
            </w:tcMar>
          </w:tcPr>
          <w:p w14:paraId="61111CE1" w14:textId="77777777" w:rsidR="00F96912" w:rsidRPr="00B2532D" w:rsidRDefault="00F96912" w:rsidP="006658D5">
            <w:pPr>
              <w:keepNext/>
              <w:keepLines/>
              <w:rPr>
                <w:color w:val="000000"/>
                <w:sz w:val="16"/>
                <w:szCs w:val="16"/>
              </w:rPr>
            </w:pPr>
            <w:r w:rsidRPr="00B2532D">
              <w:rPr>
                <w:color w:val="000000"/>
                <w:sz w:val="16"/>
                <w:szCs w:val="16"/>
              </w:rPr>
              <w:t xml:space="preserve">En 2016, les capacités actuelles ont été évaluées, et la création du Centre opérationnel de </w:t>
            </w:r>
            <w:proofErr w:type="spellStart"/>
            <w:r w:rsidRPr="00B2532D">
              <w:rPr>
                <w:color w:val="000000"/>
                <w:sz w:val="16"/>
                <w:szCs w:val="16"/>
              </w:rPr>
              <w:t>cybersécurité</w:t>
            </w:r>
            <w:proofErr w:type="spellEnd"/>
            <w:r w:rsidRPr="00B2532D">
              <w:rPr>
                <w:color w:val="000000"/>
                <w:sz w:val="16"/>
                <w:szCs w:val="16"/>
              </w:rPr>
              <w:t xml:space="preserve"> et d’une stratégie/feuille de route en matière de gestion de la vulnérabilité, qui inspirera le modèle d’approvisionnement pour le futur Centre de l’OMPI qui sera mis en œuvre en 2017, a été lancée.  Dans l’intervalle, les capacités de surveillance, d’analyse et de réaction aux incidents compromettant la sécurité de l’information ont été améliorées par la mise en place de contrôles de sécurité du nœud terminal sur les postes de travail et les serveurs.</w:t>
            </w:r>
          </w:p>
        </w:tc>
        <w:tc>
          <w:tcPr>
            <w:tcW w:w="499" w:type="pct"/>
            <w:shd w:val="clear" w:color="auto" w:fill="auto"/>
            <w:tcMar>
              <w:top w:w="110" w:type="dxa"/>
              <w:left w:w="58" w:type="dxa"/>
              <w:right w:w="58" w:type="dxa"/>
            </w:tcMar>
          </w:tcPr>
          <w:p w14:paraId="688DDED8" w14:textId="77777777" w:rsidR="00F96912" w:rsidRPr="00B2532D" w:rsidRDefault="00F96912" w:rsidP="006658D5">
            <w:pPr>
              <w:keepNext/>
              <w:keepLines/>
              <w:jc w:val="center"/>
              <w:rPr>
                <w:color w:val="000000"/>
                <w:sz w:val="16"/>
                <w:szCs w:val="16"/>
              </w:rPr>
            </w:pPr>
            <w:r w:rsidRPr="00B2532D">
              <w:rPr>
                <w:b/>
                <w:color w:val="00B050"/>
                <w:sz w:val="16"/>
                <w:szCs w:val="16"/>
              </w:rPr>
              <w:t>En bonne voie</w:t>
            </w:r>
          </w:p>
        </w:tc>
      </w:tr>
      <w:tr w:rsidR="00F96912" w:rsidRPr="00CD000E" w14:paraId="107102C9" w14:textId="77777777" w:rsidTr="006658D5">
        <w:tc>
          <w:tcPr>
            <w:tcW w:w="1075" w:type="pct"/>
            <w:shd w:val="clear" w:color="auto" w:fill="auto"/>
            <w:tcMar>
              <w:left w:w="58" w:type="dxa"/>
              <w:right w:w="58" w:type="dxa"/>
            </w:tcMar>
          </w:tcPr>
          <w:p w14:paraId="29A05188" w14:textId="77777777" w:rsidR="00F96912" w:rsidRPr="00B2532D" w:rsidRDefault="00F96912" w:rsidP="006658D5">
            <w:pPr>
              <w:rPr>
                <w:color w:val="000000"/>
                <w:sz w:val="16"/>
                <w:szCs w:val="16"/>
              </w:rPr>
            </w:pPr>
            <w:r w:rsidRPr="00B2532D">
              <w:rPr>
                <w:sz w:val="16"/>
                <w:szCs w:val="16"/>
              </w:rPr>
              <w:t>Pourcentage de membres du personnel, de délégués et de visiteurs de l’OMPI qui signalent une blessure ou un incident du travail</w:t>
            </w:r>
          </w:p>
        </w:tc>
        <w:tc>
          <w:tcPr>
            <w:tcW w:w="1378" w:type="pct"/>
            <w:shd w:val="clear" w:color="auto" w:fill="auto"/>
            <w:tcMar>
              <w:left w:w="58" w:type="dxa"/>
              <w:right w:w="58" w:type="dxa"/>
            </w:tcMar>
          </w:tcPr>
          <w:p w14:paraId="0664A986" w14:textId="77777777" w:rsidR="00F96912" w:rsidRPr="00B2532D" w:rsidRDefault="00F96912" w:rsidP="006658D5">
            <w:pPr>
              <w:rPr>
                <w:i/>
                <w:color w:val="002060"/>
                <w:sz w:val="16"/>
                <w:szCs w:val="16"/>
              </w:rPr>
            </w:pPr>
            <w:r w:rsidRPr="00B2532D">
              <w:rPr>
                <w:i/>
                <w:color w:val="002060"/>
                <w:sz w:val="16"/>
                <w:szCs w:val="16"/>
              </w:rPr>
              <w:t>Niveau de référence actualisé à fin</w:t>
            </w:r>
            <w:r>
              <w:rPr>
                <w:i/>
                <w:color w:val="002060"/>
                <w:sz w:val="16"/>
                <w:szCs w:val="16"/>
              </w:rPr>
              <w:t> </w:t>
            </w:r>
            <w:r w:rsidRPr="00B2532D">
              <w:rPr>
                <w:i/>
                <w:color w:val="002060"/>
                <w:sz w:val="16"/>
                <w:szCs w:val="16"/>
              </w:rPr>
              <w:t>2015 :</w:t>
            </w:r>
          </w:p>
          <w:p w14:paraId="5EC8285C" w14:textId="77777777" w:rsidR="00F96912" w:rsidRPr="00B2532D" w:rsidRDefault="00F96912" w:rsidP="006658D5">
            <w:pPr>
              <w:keepNext/>
              <w:keepLines/>
              <w:rPr>
                <w:color w:val="002060"/>
                <w:sz w:val="16"/>
                <w:szCs w:val="16"/>
              </w:rPr>
            </w:pPr>
            <w:r w:rsidRPr="00B2532D">
              <w:rPr>
                <w:color w:val="002060"/>
                <w:sz w:val="16"/>
                <w:szCs w:val="16"/>
              </w:rPr>
              <w:t>Le pourcentage total d’incidents liés à la sûreté ayant entraîné des blessures en 2014</w:t>
            </w:r>
            <w:r w:rsidRPr="00B2532D">
              <w:rPr>
                <w:color w:val="002060"/>
                <w:sz w:val="16"/>
                <w:szCs w:val="16"/>
              </w:rPr>
              <w:noBreakHyphen/>
              <w:t>2015 s’élevait à 1,1% :</w:t>
            </w:r>
          </w:p>
          <w:p w14:paraId="3FC1317B" w14:textId="77777777" w:rsidR="00F96912" w:rsidRPr="00B2532D" w:rsidRDefault="00F96912" w:rsidP="006658D5">
            <w:pPr>
              <w:keepNext/>
              <w:keepLines/>
              <w:rPr>
                <w:color w:val="002060"/>
                <w:sz w:val="16"/>
                <w:szCs w:val="16"/>
              </w:rPr>
            </w:pPr>
            <w:r w:rsidRPr="00B2532D">
              <w:rPr>
                <w:color w:val="002060"/>
                <w:sz w:val="16"/>
                <w:szCs w:val="16"/>
              </w:rPr>
              <w:t>– 2 incidents liés à la sûreté (2014)</w:t>
            </w:r>
          </w:p>
          <w:p w14:paraId="71941046" w14:textId="77777777" w:rsidR="00F96912" w:rsidRPr="00B2532D" w:rsidRDefault="00F96912" w:rsidP="006658D5">
            <w:pPr>
              <w:keepNext/>
              <w:keepLines/>
              <w:rPr>
                <w:color w:val="002060"/>
                <w:sz w:val="16"/>
                <w:szCs w:val="16"/>
              </w:rPr>
            </w:pPr>
            <w:r w:rsidRPr="00B2532D">
              <w:rPr>
                <w:color w:val="002060"/>
                <w:sz w:val="16"/>
                <w:szCs w:val="16"/>
              </w:rPr>
              <w:t>– 5 incidents liés à la sûreté (2015)</w:t>
            </w:r>
          </w:p>
          <w:p w14:paraId="58415067" w14:textId="77777777" w:rsidR="00F96912" w:rsidRPr="00B2532D" w:rsidRDefault="00F96912" w:rsidP="006658D5">
            <w:pPr>
              <w:rPr>
                <w:color w:val="000000"/>
                <w:sz w:val="16"/>
                <w:szCs w:val="16"/>
              </w:rPr>
            </w:pPr>
          </w:p>
          <w:p w14:paraId="5CB66CBD" w14:textId="77777777" w:rsidR="00F96912" w:rsidRPr="00B2532D" w:rsidRDefault="00F96912" w:rsidP="006658D5">
            <w:pPr>
              <w:rPr>
                <w:i/>
                <w:sz w:val="16"/>
                <w:szCs w:val="16"/>
                <w:lang w:bidi="th-TH"/>
              </w:rPr>
            </w:pPr>
            <w:r w:rsidRPr="00B2532D">
              <w:rPr>
                <w:i/>
                <w:sz w:val="16"/>
                <w:szCs w:val="16"/>
                <w:lang w:bidi="th-TH"/>
              </w:rPr>
              <w:t>Niveau de référence initial dans le programme et budget 2016</w:t>
            </w:r>
            <w:r w:rsidRPr="00B2532D">
              <w:rPr>
                <w:i/>
                <w:sz w:val="16"/>
                <w:szCs w:val="16"/>
                <w:lang w:bidi="th-TH"/>
              </w:rPr>
              <w:noBreakHyphen/>
              <w:t>2017 :</w:t>
            </w:r>
          </w:p>
          <w:p w14:paraId="5D766906" w14:textId="77777777" w:rsidR="00F96912" w:rsidRPr="00B2532D" w:rsidRDefault="00F96912" w:rsidP="006658D5">
            <w:pPr>
              <w:rPr>
                <w:color w:val="000000"/>
                <w:sz w:val="16"/>
                <w:szCs w:val="16"/>
              </w:rPr>
            </w:pPr>
            <w:r w:rsidRPr="00B2532D">
              <w:rPr>
                <w:sz w:val="16"/>
                <w:szCs w:val="16"/>
              </w:rPr>
              <w:t>2% ou moins du nombre total de parties prenantes/clients signalant une blessure ou un incident lié au travail</w:t>
            </w:r>
          </w:p>
        </w:tc>
        <w:tc>
          <w:tcPr>
            <w:tcW w:w="723" w:type="pct"/>
            <w:shd w:val="clear" w:color="auto" w:fill="auto"/>
            <w:tcMar>
              <w:top w:w="110" w:type="dxa"/>
              <w:left w:w="58" w:type="dxa"/>
              <w:right w:w="58" w:type="dxa"/>
            </w:tcMar>
          </w:tcPr>
          <w:p w14:paraId="22A7E745" w14:textId="77777777" w:rsidR="00F96912" w:rsidRPr="00B2532D" w:rsidRDefault="00F96912" w:rsidP="006658D5">
            <w:pPr>
              <w:rPr>
                <w:color w:val="000000"/>
                <w:sz w:val="16"/>
                <w:szCs w:val="16"/>
              </w:rPr>
            </w:pPr>
            <w:r w:rsidRPr="00B2532D">
              <w:rPr>
                <w:sz w:val="16"/>
                <w:szCs w:val="16"/>
              </w:rPr>
              <w:t>2</w:t>
            </w:r>
            <w:r w:rsidRPr="00B2532D">
              <w:rPr>
                <w:color w:val="000000"/>
                <w:sz w:val="16"/>
                <w:szCs w:val="16"/>
              </w:rPr>
              <w:t>%</w:t>
            </w:r>
            <w:r w:rsidRPr="00B2532D">
              <w:rPr>
                <w:sz w:val="16"/>
                <w:szCs w:val="16"/>
              </w:rPr>
              <w:t xml:space="preserve"> ou moins</w:t>
            </w:r>
          </w:p>
        </w:tc>
        <w:tc>
          <w:tcPr>
            <w:tcW w:w="1325" w:type="pct"/>
            <w:shd w:val="clear" w:color="auto" w:fill="FFFFFF"/>
            <w:tcMar>
              <w:top w:w="110" w:type="dxa"/>
              <w:left w:w="58" w:type="dxa"/>
              <w:right w:w="58" w:type="dxa"/>
            </w:tcMar>
          </w:tcPr>
          <w:p w14:paraId="1E5FFE9C" w14:textId="77777777" w:rsidR="00F96912" w:rsidRPr="00B2532D" w:rsidRDefault="00F96912" w:rsidP="006658D5">
            <w:pPr>
              <w:rPr>
                <w:color w:val="000000"/>
                <w:sz w:val="16"/>
                <w:szCs w:val="16"/>
              </w:rPr>
            </w:pPr>
            <w:r w:rsidRPr="00B2532D">
              <w:rPr>
                <w:sz w:val="16"/>
                <w:szCs w:val="16"/>
                <w:lang w:bidi="th-TH"/>
              </w:rPr>
              <w:t>Au total, 523 demandes d’assistance en matière de sécurité ont été reçues, 4 (0,8%) pour des incidents ayant entraîné des blessures et 32 (6%) pour des incidents médicaux</w:t>
            </w:r>
          </w:p>
        </w:tc>
        <w:tc>
          <w:tcPr>
            <w:tcW w:w="499" w:type="pct"/>
            <w:shd w:val="clear" w:color="auto" w:fill="auto"/>
            <w:tcMar>
              <w:top w:w="110" w:type="dxa"/>
              <w:left w:w="58" w:type="dxa"/>
              <w:right w:w="58" w:type="dxa"/>
            </w:tcMar>
          </w:tcPr>
          <w:p w14:paraId="63B77785" w14:textId="77777777" w:rsidR="00F96912" w:rsidRPr="00CD000E" w:rsidRDefault="00F96912" w:rsidP="006658D5">
            <w:pPr>
              <w:keepNext/>
              <w:keepLines/>
              <w:jc w:val="center"/>
              <w:rPr>
                <w:color w:val="000000"/>
                <w:sz w:val="16"/>
                <w:szCs w:val="16"/>
              </w:rPr>
            </w:pPr>
            <w:r w:rsidRPr="00B2532D">
              <w:rPr>
                <w:b/>
                <w:color w:val="00B050"/>
                <w:sz w:val="16"/>
                <w:szCs w:val="16"/>
              </w:rPr>
              <w:t>En bonne voie</w:t>
            </w:r>
          </w:p>
        </w:tc>
      </w:tr>
      <w:tr w:rsidR="00F96912" w:rsidRPr="00CD000E" w14:paraId="14BBD137" w14:textId="77777777" w:rsidTr="006658D5">
        <w:tc>
          <w:tcPr>
            <w:tcW w:w="1075" w:type="pct"/>
            <w:shd w:val="clear" w:color="auto" w:fill="auto"/>
            <w:tcMar>
              <w:left w:w="58" w:type="dxa"/>
              <w:right w:w="58" w:type="dxa"/>
            </w:tcMar>
          </w:tcPr>
          <w:p w14:paraId="5A8487D9" w14:textId="77777777" w:rsidR="00F96912" w:rsidRPr="00B2532D" w:rsidRDefault="00F96912" w:rsidP="006658D5">
            <w:pPr>
              <w:rPr>
                <w:color w:val="000000"/>
                <w:sz w:val="16"/>
                <w:szCs w:val="16"/>
              </w:rPr>
            </w:pPr>
            <w:r w:rsidRPr="00B2532D">
              <w:rPr>
                <w:color w:val="000000"/>
                <w:sz w:val="16"/>
                <w:szCs w:val="16"/>
              </w:rPr>
              <w:t>Pourcentage de conférences et d’événements pris en charge sur le plan de la sécurité à Genève ou à l’extérieur</w:t>
            </w:r>
            <w:r w:rsidRPr="00B2532D">
              <w:rPr>
                <w:rStyle w:val="FootnoteReference"/>
                <w:color w:val="000000"/>
              </w:rPr>
              <w:footnoteReference w:id="105"/>
            </w:r>
          </w:p>
        </w:tc>
        <w:tc>
          <w:tcPr>
            <w:tcW w:w="1378" w:type="pct"/>
            <w:shd w:val="clear" w:color="auto" w:fill="auto"/>
            <w:tcMar>
              <w:left w:w="58" w:type="dxa"/>
              <w:right w:w="58" w:type="dxa"/>
            </w:tcMar>
          </w:tcPr>
          <w:p w14:paraId="295C7DD4" w14:textId="77777777" w:rsidR="00F96912" w:rsidRPr="00B2532D" w:rsidRDefault="00F96912" w:rsidP="006658D5">
            <w:pPr>
              <w:rPr>
                <w:i/>
                <w:color w:val="002060"/>
                <w:sz w:val="16"/>
                <w:szCs w:val="16"/>
              </w:rPr>
            </w:pPr>
            <w:r w:rsidRPr="00B2532D">
              <w:rPr>
                <w:i/>
                <w:color w:val="002060"/>
                <w:sz w:val="16"/>
                <w:szCs w:val="16"/>
              </w:rPr>
              <w:t>Niveau de référence actualisé à fin 2015 :</w:t>
            </w:r>
          </w:p>
          <w:p w14:paraId="5C53FA5E" w14:textId="77777777" w:rsidR="00F96912" w:rsidRPr="00B2532D" w:rsidRDefault="00F96912" w:rsidP="006658D5">
            <w:pPr>
              <w:rPr>
                <w:color w:val="002060"/>
                <w:sz w:val="16"/>
                <w:szCs w:val="16"/>
                <w:lang w:bidi="th-TH"/>
              </w:rPr>
            </w:pPr>
            <w:r w:rsidRPr="00B2532D">
              <w:rPr>
                <w:color w:val="002060"/>
                <w:sz w:val="16"/>
                <w:szCs w:val="16"/>
                <w:lang w:bidi="th-TH"/>
              </w:rPr>
              <w:t>90% ou plus</w:t>
            </w:r>
          </w:p>
          <w:p w14:paraId="1CB8C583" w14:textId="77777777" w:rsidR="00F96912" w:rsidRPr="00B2532D" w:rsidRDefault="00F96912" w:rsidP="006658D5">
            <w:pPr>
              <w:rPr>
                <w:i/>
                <w:sz w:val="16"/>
                <w:szCs w:val="16"/>
                <w:lang w:bidi="th-TH"/>
              </w:rPr>
            </w:pPr>
          </w:p>
          <w:p w14:paraId="777DF280" w14:textId="77777777" w:rsidR="00F96912" w:rsidRPr="00B2532D" w:rsidRDefault="00F96912" w:rsidP="006658D5">
            <w:pPr>
              <w:rPr>
                <w:i/>
                <w:sz w:val="16"/>
                <w:szCs w:val="16"/>
                <w:lang w:bidi="th-TH"/>
              </w:rPr>
            </w:pPr>
            <w:r w:rsidRPr="00B2532D">
              <w:rPr>
                <w:i/>
                <w:sz w:val="16"/>
                <w:szCs w:val="16"/>
                <w:lang w:bidi="th-TH"/>
              </w:rPr>
              <w:t>Niveau de référence initial dans le programme et budget 2016</w:t>
            </w:r>
            <w:r w:rsidRPr="00B2532D">
              <w:rPr>
                <w:i/>
                <w:sz w:val="16"/>
                <w:szCs w:val="16"/>
                <w:lang w:bidi="th-TH"/>
              </w:rPr>
              <w:noBreakHyphen/>
              <w:t>2017 :</w:t>
            </w:r>
          </w:p>
          <w:p w14:paraId="35CD1661" w14:textId="77777777" w:rsidR="00F96912" w:rsidRPr="00B2532D" w:rsidRDefault="00F96912" w:rsidP="006658D5">
            <w:pPr>
              <w:rPr>
                <w:color w:val="000000"/>
                <w:sz w:val="16"/>
                <w:szCs w:val="16"/>
              </w:rPr>
            </w:pPr>
            <w:r w:rsidRPr="00B2532D">
              <w:rPr>
                <w:sz w:val="16"/>
                <w:szCs w:val="16"/>
              </w:rPr>
              <w:t>90% ou plus de demandes d’assistance en matière de sécurité émanant de parties prenantes/clients reçues dans les délais pour des conférences ou des manifestations organisées à Genève ou à l’extérieur</w:t>
            </w:r>
          </w:p>
        </w:tc>
        <w:tc>
          <w:tcPr>
            <w:tcW w:w="723" w:type="pct"/>
            <w:shd w:val="clear" w:color="auto" w:fill="auto"/>
            <w:tcMar>
              <w:top w:w="110" w:type="dxa"/>
              <w:left w:w="58" w:type="dxa"/>
              <w:right w:w="58" w:type="dxa"/>
            </w:tcMar>
          </w:tcPr>
          <w:p w14:paraId="17E06713" w14:textId="77777777" w:rsidR="00F96912" w:rsidRPr="00B2532D" w:rsidRDefault="00F96912" w:rsidP="006658D5">
            <w:pPr>
              <w:rPr>
                <w:color w:val="000000"/>
                <w:sz w:val="16"/>
                <w:szCs w:val="16"/>
              </w:rPr>
            </w:pPr>
            <w:r w:rsidRPr="00B2532D">
              <w:rPr>
                <w:color w:val="000000"/>
                <w:sz w:val="16"/>
                <w:szCs w:val="16"/>
              </w:rPr>
              <w:t>90% ou plus</w:t>
            </w:r>
          </w:p>
        </w:tc>
        <w:tc>
          <w:tcPr>
            <w:tcW w:w="1325" w:type="pct"/>
            <w:shd w:val="clear" w:color="auto" w:fill="FFFFFF"/>
            <w:tcMar>
              <w:top w:w="110" w:type="dxa"/>
              <w:left w:w="58" w:type="dxa"/>
              <w:right w:w="58" w:type="dxa"/>
            </w:tcMar>
          </w:tcPr>
          <w:p w14:paraId="16DF0398" w14:textId="77777777" w:rsidR="00F96912" w:rsidRPr="00B2532D" w:rsidRDefault="00F96912" w:rsidP="006658D5">
            <w:pPr>
              <w:keepNext/>
              <w:keepLines/>
              <w:rPr>
                <w:color w:val="000000"/>
                <w:sz w:val="16"/>
                <w:szCs w:val="16"/>
              </w:rPr>
            </w:pPr>
            <w:r w:rsidRPr="00B2532D">
              <w:rPr>
                <w:sz w:val="16"/>
                <w:szCs w:val="16"/>
                <w:lang w:bidi="th-TH"/>
              </w:rPr>
              <w:t>Une assistance a été fournie à l’occasion de 115 réunions et conférences et 97 événements, ce qui représente 100% de demandes prises en charge</w:t>
            </w:r>
          </w:p>
        </w:tc>
        <w:tc>
          <w:tcPr>
            <w:tcW w:w="499" w:type="pct"/>
            <w:shd w:val="clear" w:color="auto" w:fill="auto"/>
            <w:tcMar>
              <w:top w:w="110" w:type="dxa"/>
              <w:left w:w="58" w:type="dxa"/>
              <w:right w:w="58" w:type="dxa"/>
            </w:tcMar>
          </w:tcPr>
          <w:p w14:paraId="0499A0D5" w14:textId="77777777" w:rsidR="00F96912" w:rsidRPr="00CD000E" w:rsidRDefault="00F96912" w:rsidP="006658D5">
            <w:pPr>
              <w:keepNext/>
              <w:keepLines/>
              <w:jc w:val="center"/>
              <w:rPr>
                <w:color w:val="000000"/>
                <w:sz w:val="16"/>
                <w:szCs w:val="16"/>
              </w:rPr>
            </w:pPr>
            <w:r w:rsidRPr="00B2532D">
              <w:rPr>
                <w:b/>
                <w:color w:val="00B050"/>
                <w:sz w:val="16"/>
                <w:szCs w:val="16"/>
              </w:rPr>
              <w:t>En bonne voie</w:t>
            </w:r>
          </w:p>
        </w:tc>
      </w:tr>
    </w:tbl>
    <w:p w14:paraId="257CCF8F" w14:textId="77777777" w:rsidR="00F96912" w:rsidRDefault="00F96912" w:rsidP="00F96912">
      <w: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57" w:type="dxa"/>
          <w:bottom w:w="57" w:type="dxa"/>
        </w:tblCellMar>
        <w:tblLook w:val="04A0" w:firstRow="1" w:lastRow="0" w:firstColumn="1" w:lastColumn="0" w:noHBand="0" w:noVBand="1"/>
      </w:tblPr>
      <w:tblGrid>
        <w:gridCol w:w="9287"/>
      </w:tblGrid>
      <w:tr w:rsidR="00F96912" w:rsidRPr="00CD000E" w14:paraId="0D0F61B4" w14:textId="77777777" w:rsidTr="006658D5">
        <w:trPr>
          <w:trHeight w:val="425"/>
          <w:jc w:val="center"/>
        </w:trPr>
        <w:tc>
          <w:tcPr>
            <w:tcW w:w="9572" w:type="dxa"/>
            <w:shd w:val="clear" w:color="auto" w:fill="C6D9F1" w:themeFill="text2" w:themeFillTint="33"/>
            <w:vAlign w:val="center"/>
          </w:tcPr>
          <w:p w14:paraId="403359F8" w14:textId="77777777" w:rsidR="00F96912" w:rsidRPr="00CD000E" w:rsidRDefault="00F96912" w:rsidP="006658D5">
            <w:pPr>
              <w:keepNext/>
              <w:keepLines/>
              <w:jc w:val="center"/>
              <w:rPr>
                <w:b/>
                <w:color w:val="000000"/>
                <w:sz w:val="20"/>
              </w:rPr>
            </w:pPr>
            <w:r w:rsidRPr="00CD000E">
              <w:rPr>
                <w:b/>
                <w:color w:val="000000"/>
                <w:sz w:val="20"/>
              </w:rPr>
              <w:t>Utilisation des ressources au titre du programme 28</w:t>
            </w:r>
          </w:p>
        </w:tc>
      </w:tr>
    </w:tbl>
    <w:p w14:paraId="2223EB5E" w14:textId="77777777" w:rsidR="00F96912" w:rsidRPr="00CD000E" w:rsidRDefault="00F96912" w:rsidP="00F96912">
      <w:pPr>
        <w:keepNext/>
        <w:keepLines/>
        <w:rPr>
          <w:sz w:val="20"/>
        </w:rPr>
      </w:pPr>
    </w:p>
    <w:p w14:paraId="570938BC" w14:textId="77777777" w:rsidR="00F96912" w:rsidRPr="00CD000E" w:rsidRDefault="00F96912" w:rsidP="00F96912">
      <w:pPr>
        <w:pStyle w:val="NormalWeb"/>
        <w:keepNext/>
        <w:keepLines/>
        <w:spacing w:before="0" w:beforeAutospacing="0" w:after="0" w:afterAutospacing="0"/>
        <w:jc w:val="center"/>
      </w:pPr>
      <w:r w:rsidRPr="00CD000E">
        <w:rPr>
          <w:color w:val="000000"/>
        </w:rPr>
        <w:t>Budget et dépenses effectives (par résultat)</w:t>
      </w:r>
    </w:p>
    <w:p w14:paraId="17D257FF"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7B8680FD"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501"/>
        <w:gridCol w:w="4214"/>
        <w:gridCol w:w="1571"/>
        <w:gridCol w:w="1571"/>
        <w:gridCol w:w="1430"/>
      </w:tblGrid>
      <w:tr w:rsidR="00F96912" w:rsidRPr="00CD000E" w14:paraId="3CF6D718" w14:textId="77777777" w:rsidTr="006658D5">
        <w:trPr>
          <w:jc w:val="center"/>
        </w:trPr>
        <w:tc>
          <w:tcPr>
            <w:tcW w:w="4730" w:type="dxa"/>
            <w:gridSpan w:val="2"/>
            <w:tcBorders>
              <w:top w:val="nil"/>
              <w:left w:val="nil"/>
              <w:bottom w:val="nil"/>
              <w:right w:val="nil"/>
            </w:tcBorders>
            <w:shd w:val="clear" w:color="000000" w:fill="C5D9F1"/>
            <w:noWrap/>
            <w:vAlign w:val="center"/>
            <w:hideMark/>
          </w:tcPr>
          <w:p w14:paraId="720F6251" w14:textId="77777777" w:rsidR="00F96912" w:rsidRPr="00CD000E" w:rsidRDefault="00F96912" w:rsidP="006658D5">
            <w:pPr>
              <w:jc w:val="center"/>
              <w:rPr>
                <w:b/>
                <w:bCs/>
                <w:sz w:val="16"/>
                <w:szCs w:val="16"/>
              </w:rPr>
            </w:pPr>
            <w:r w:rsidRPr="00CD000E">
              <w:rPr>
                <w:b/>
                <w:bCs/>
                <w:sz w:val="16"/>
                <w:szCs w:val="16"/>
              </w:rPr>
              <w:t>Numéro et description du résultat escompté</w:t>
            </w:r>
          </w:p>
        </w:tc>
        <w:tc>
          <w:tcPr>
            <w:tcW w:w="1164" w:type="dxa"/>
            <w:tcBorders>
              <w:top w:val="nil"/>
              <w:left w:val="nil"/>
              <w:bottom w:val="nil"/>
              <w:right w:val="nil"/>
            </w:tcBorders>
            <w:shd w:val="clear" w:color="000000" w:fill="C5D9F1"/>
            <w:vAlign w:val="center"/>
            <w:hideMark/>
          </w:tcPr>
          <w:p w14:paraId="533BB9BB" w14:textId="77777777" w:rsidR="00F96912" w:rsidRPr="00CD000E" w:rsidRDefault="00F96912" w:rsidP="006658D5">
            <w:pPr>
              <w:jc w:val="center"/>
              <w:rPr>
                <w:b/>
                <w:bCs/>
                <w:sz w:val="16"/>
                <w:szCs w:val="16"/>
              </w:rPr>
            </w:pPr>
            <w:r w:rsidRPr="00CD000E">
              <w:rPr>
                <w:b/>
                <w:bCs/>
                <w:sz w:val="16"/>
                <w:szCs w:val="16"/>
              </w:rPr>
              <w:t>Budget</w:t>
            </w:r>
            <w:r>
              <w:rPr>
                <w:b/>
                <w:bCs/>
                <w:sz w:val="16"/>
                <w:szCs w:val="16"/>
              </w:rPr>
              <w:t> </w:t>
            </w:r>
            <w:r w:rsidRPr="00CD000E">
              <w:rPr>
                <w:b/>
                <w:bCs/>
                <w:sz w:val="16"/>
                <w:szCs w:val="16"/>
              </w:rPr>
              <w:t>2016</w:t>
            </w:r>
            <w:r>
              <w:rPr>
                <w:b/>
                <w:bCs/>
                <w:sz w:val="16"/>
                <w:szCs w:val="16"/>
              </w:rPr>
              <w:noBreakHyphen/>
            </w:r>
            <w:r w:rsidRPr="00CD000E">
              <w:rPr>
                <w:b/>
                <w:bCs/>
                <w:sz w:val="16"/>
                <w:szCs w:val="16"/>
              </w:rPr>
              <w:t>2017 approuvé</w:t>
            </w:r>
          </w:p>
        </w:tc>
        <w:tc>
          <w:tcPr>
            <w:tcW w:w="1164" w:type="dxa"/>
            <w:tcBorders>
              <w:top w:val="nil"/>
              <w:left w:val="nil"/>
              <w:bottom w:val="nil"/>
              <w:right w:val="nil"/>
            </w:tcBorders>
            <w:shd w:val="clear" w:color="000000" w:fill="C5D9F1"/>
            <w:vAlign w:val="center"/>
            <w:hideMark/>
          </w:tcPr>
          <w:p w14:paraId="355121F6" w14:textId="77777777" w:rsidR="00F96912" w:rsidRPr="00CD000E" w:rsidRDefault="00F96912" w:rsidP="006658D5">
            <w:pPr>
              <w:jc w:val="center"/>
              <w:rPr>
                <w:b/>
                <w:bCs/>
                <w:sz w:val="16"/>
                <w:szCs w:val="16"/>
              </w:rPr>
            </w:pPr>
            <w:r w:rsidRPr="00CD000E">
              <w:rPr>
                <w:b/>
                <w:bCs/>
                <w:sz w:val="16"/>
                <w:szCs w:val="16"/>
              </w:rPr>
              <w:t>Budget</w:t>
            </w:r>
            <w:r>
              <w:rPr>
                <w:b/>
                <w:bCs/>
                <w:sz w:val="16"/>
                <w:szCs w:val="16"/>
              </w:rPr>
              <w:t> </w:t>
            </w:r>
            <w:r w:rsidRPr="00CD000E">
              <w:rPr>
                <w:b/>
                <w:bCs/>
                <w:sz w:val="16"/>
                <w:szCs w:val="16"/>
              </w:rPr>
              <w:t>2016</w:t>
            </w:r>
            <w:r>
              <w:rPr>
                <w:b/>
                <w:bCs/>
                <w:sz w:val="16"/>
                <w:szCs w:val="16"/>
              </w:rPr>
              <w:noBreakHyphen/>
            </w:r>
            <w:r w:rsidRPr="00CD000E">
              <w:rPr>
                <w:b/>
                <w:bCs/>
                <w:sz w:val="16"/>
                <w:szCs w:val="16"/>
              </w:rPr>
              <w:t>2017 après virements</w:t>
            </w:r>
          </w:p>
        </w:tc>
        <w:tc>
          <w:tcPr>
            <w:tcW w:w="1164" w:type="dxa"/>
            <w:tcBorders>
              <w:top w:val="nil"/>
              <w:left w:val="nil"/>
              <w:bottom w:val="nil"/>
              <w:right w:val="nil"/>
            </w:tcBorders>
            <w:shd w:val="clear" w:color="000000" w:fill="C5D9F1"/>
            <w:vAlign w:val="center"/>
            <w:hideMark/>
          </w:tcPr>
          <w:p w14:paraId="0490AAD8" w14:textId="77777777" w:rsidR="00F96912" w:rsidRPr="00CD000E" w:rsidRDefault="00F96912" w:rsidP="006658D5">
            <w:pPr>
              <w:jc w:val="center"/>
              <w:rPr>
                <w:b/>
                <w:bCs/>
                <w:sz w:val="16"/>
                <w:szCs w:val="16"/>
              </w:rPr>
            </w:pPr>
            <w:r w:rsidRPr="00CD000E">
              <w:rPr>
                <w:b/>
                <w:bCs/>
                <w:sz w:val="16"/>
                <w:szCs w:val="16"/>
              </w:rPr>
              <w:t>Dépenses</w:t>
            </w:r>
            <w:r>
              <w:rPr>
                <w:b/>
                <w:bCs/>
                <w:sz w:val="16"/>
                <w:szCs w:val="16"/>
              </w:rPr>
              <w:t> </w:t>
            </w:r>
            <w:r w:rsidRPr="00CD000E">
              <w:rPr>
                <w:b/>
                <w:bCs/>
                <w:sz w:val="16"/>
                <w:szCs w:val="16"/>
              </w:rPr>
              <w:t>2016*</w:t>
            </w:r>
          </w:p>
        </w:tc>
      </w:tr>
      <w:tr w:rsidR="00F96912" w:rsidRPr="00CD000E" w14:paraId="5246C14F" w14:textId="77777777" w:rsidTr="006658D5">
        <w:trPr>
          <w:jc w:val="center"/>
        </w:trPr>
        <w:tc>
          <w:tcPr>
            <w:tcW w:w="499" w:type="dxa"/>
            <w:tcBorders>
              <w:top w:val="nil"/>
              <w:left w:val="nil"/>
              <w:bottom w:val="nil"/>
              <w:right w:val="nil"/>
            </w:tcBorders>
            <w:shd w:val="clear" w:color="000000" w:fill="FFFFFF"/>
            <w:noWrap/>
            <w:vAlign w:val="center"/>
            <w:hideMark/>
          </w:tcPr>
          <w:p w14:paraId="64A67727" w14:textId="77777777" w:rsidR="00F96912" w:rsidRPr="00CD000E" w:rsidRDefault="00F96912" w:rsidP="006658D5">
            <w:pPr>
              <w:rPr>
                <w:sz w:val="16"/>
                <w:szCs w:val="16"/>
              </w:rPr>
            </w:pPr>
            <w:r w:rsidRPr="00CD000E">
              <w:rPr>
                <w:sz w:val="16"/>
                <w:szCs w:val="16"/>
              </w:rPr>
              <w:t>IX.1</w:t>
            </w:r>
          </w:p>
        </w:tc>
        <w:tc>
          <w:tcPr>
            <w:tcW w:w="4231" w:type="dxa"/>
            <w:tcBorders>
              <w:top w:val="nil"/>
              <w:left w:val="nil"/>
              <w:bottom w:val="nil"/>
              <w:right w:val="nil"/>
            </w:tcBorders>
            <w:shd w:val="clear" w:color="auto" w:fill="auto"/>
            <w:vAlign w:val="center"/>
            <w:hideMark/>
          </w:tcPr>
          <w:p w14:paraId="6135FF4A" w14:textId="77777777" w:rsidR="00F96912" w:rsidRPr="00CD000E" w:rsidRDefault="00F96912" w:rsidP="006658D5">
            <w:pPr>
              <w:rPr>
                <w:sz w:val="16"/>
                <w:szCs w:val="16"/>
              </w:rPr>
            </w:pPr>
            <w:r w:rsidRPr="00CD000E">
              <w:rPr>
                <w:sz w:val="16"/>
                <w:szCs w:val="16"/>
              </w:rPr>
              <w:t>Services d’appui efficaces, efficients, de qualité et tournés vers la clientèle, à l’intention à la fois des clients internes et des parties prenantes externes</w:t>
            </w:r>
          </w:p>
        </w:tc>
        <w:tc>
          <w:tcPr>
            <w:tcW w:w="1164" w:type="dxa"/>
            <w:tcBorders>
              <w:top w:val="nil"/>
              <w:left w:val="nil"/>
              <w:bottom w:val="nil"/>
              <w:right w:val="nil"/>
            </w:tcBorders>
            <w:shd w:val="clear" w:color="auto" w:fill="auto"/>
            <w:noWrap/>
            <w:vAlign w:val="center"/>
            <w:hideMark/>
          </w:tcPr>
          <w:p w14:paraId="6F8F97D7" w14:textId="77777777" w:rsidR="00F96912" w:rsidRPr="00CD000E" w:rsidRDefault="00F96912" w:rsidP="006658D5">
            <w:pPr>
              <w:jc w:val="center"/>
              <w:rPr>
                <w:color w:val="000000"/>
                <w:sz w:val="16"/>
                <w:szCs w:val="16"/>
              </w:rPr>
            </w:pPr>
            <w:r w:rsidRPr="00CD000E">
              <w:rPr>
                <w:color w:val="000000"/>
                <w:sz w:val="16"/>
                <w:szCs w:val="16"/>
              </w:rPr>
              <w:t>1 189</w:t>
            </w:r>
          </w:p>
        </w:tc>
        <w:tc>
          <w:tcPr>
            <w:tcW w:w="1164" w:type="dxa"/>
            <w:tcBorders>
              <w:top w:val="nil"/>
              <w:left w:val="nil"/>
              <w:bottom w:val="nil"/>
              <w:right w:val="nil"/>
            </w:tcBorders>
            <w:shd w:val="clear" w:color="auto" w:fill="auto"/>
            <w:noWrap/>
            <w:vAlign w:val="center"/>
            <w:hideMark/>
          </w:tcPr>
          <w:p w14:paraId="72C10AC3" w14:textId="77777777" w:rsidR="00F96912" w:rsidRPr="00CD000E" w:rsidRDefault="00F96912" w:rsidP="006658D5">
            <w:pPr>
              <w:jc w:val="center"/>
              <w:rPr>
                <w:color w:val="000000"/>
                <w:sz w:val="16"/>
                <w:szCs w:val="16"/>
              </w:rPr>
            </w:pPr>
            <w:r w:rsidRPr="00CD000E">
              <w:rPr>
                <w:color w:val="000000"/>
                <w:sz w:val="16"/>
                <w:szCs w:val="16"/>
              </w:rPr>
              <w:t>2 733</w:t>
            </w:r>
          </w:p>
        </w:tc>
        <w:tc>
          <w:tcPr>
            <w:tcW w:w="1164" w:type="dxa"/>
            <w:tcBorders>
              <w:top w:val="nil"/>
              <w:left w:val="nil"/>
              <w:bottom w:val="nil"/>
              <w:right w:val="nil"/>
            </w:tcBorders>
            <w:shd w:val="clear" w:color="auto" w:fill="auto"/>
            <w:noWrap/>
            <w:vAlign w:val="center"/>
            <w:hideMark/>
          </w:tcPr>
          <w:p w14:paraId="72C6DE30" w14:textId="77777777" w:rsidR="00F96912" w:rsidRPr="00CD000E" w:rsidRDefault="00F96912" w:rsidP="006658D5">
            <w:pPr>
              <w:jc w:val="center"/>
              <w:rPr>
                <w:color w:val="000000"/>
                <w:sz w:val="16"/>
                <w:szCs w:val="16"/>
              </w:rPr>
            </w:pPr>
            <w:r w:rsidRPr="00CD000E">
              <w:rPr>
                <w:color w:val="000000"/>
                <w:sz w:val="16"/>
                <w:szCs w:val="16"/>
              </w:rPr>
              <w:t>1 161</w:t>
            </w:r>
          </w:p>
        </w:tc>
      </w:tr>
      <w:tr w:rsidR="00F96912" w:rsidRPr="00CD000E" w14:paraId="6CAC5607" w14:textId="77777777" w:rsidTr="006658D5">
        <w:trPr>
          <w:jc w:val="center"/>
        </w:trPr>
        <w:tc>
          <w:tcPr>
            <w:tcW w:w="499" w:type="dxa"/>
            <w:tcBorders>
              <w:top w:val="nil"/>
              <w:left w:val="nil"/>
              <w:bottom w:val="nil"/>
              <w:right w:val="nil"/>
            </w:tcBorders>
            <w:shd w:val="clear" w:color="auto" w:fill="auto"/>
            <w:noWrap/>
            <w:vAlign w:val="center"/>
            <w:hideMark/>
          </w:tcPr>
          <w:p w14:paraId="7F72E6DC" w14:textId="77777777" w:rsidR="00F96912" w:rsidRPr="00CD000E" w:rsidRDefault="00F96912" w:rsidP="006658D5">
            <w:pPr>
              <w:rPr>
                <w:sz w:val="16"/>
                <w:szCs w:val="16"/>
              </w:rPr>
            </w:pPr>
            <w:r w:rsidRPr="00CD000E">
              <w:rPr>
                <w:sz w:val="16"/>
                <w:szCs w:val="16"/>
              </w:rPr>
              <w:t>IX.4</w:t>
            </w:r>
          </w:p>
        </w:tc>
        <w:tc>
          <w:tcPr>
            <w:tcW w:w="4231" w:type="dxa"/>
            <w:tcBorders>
              <w:top w:val="nil"/>
              <w:left w:val="nil"/>
              <w:bottom w:val="nil"/>
              <w:right w:val="nil"/>
            </w:tcBorders>
            <w:shd w:val="clear" w:color="auto" w:fill="auto"/>
            <w:vAlign w:val="center"/>
            <w:hideMark/>
          </w:tcPr>
          <w:p w14:paraId="760F8D17" w14:textId="77777777" w:rsidR="00F96912" w:rsidRPr="00CD000E" w:rsidRDefault="00F96912" w:rsidP="006658D5">
            <w:pPr>
              <w:rPr>
                <w:sz w:val="16"/>
                <w:szCs w:val="16"/>
              </w:rPr>
            </w:pPr>
            <w:r w:rsidRPr="00CD000E">
              <w:rPr>
                <w:sz w:val="16"/>
                <w:szCs w:val="16"/>
              </w:rPr>
              <w:t>Une Organisation écologiquement et socialement responsable assurant la sûreté et la sécurité du personnel, des délégués, des visiteurs, de l’information et des biens</w:t>
            </w:r>
          </w:p>
        </w:tc>
        <w:tc>
          <w:tcPr>
            <w:tcW w:w="1164" w:type="dxa"/>
            <w:tcBorders>
              <w:top w:val="nil"/>
              <w:left w:val="nil"/>
              <w:bottom w:val="nil"/>
              <w:right w:val="nil"/>
            </w:tcBorders>
            <w:shd w:val="clear" w:color="auto" w:fill="auto"/>
            <w:noWrap/>
            <w:vAlign w:val="center"/>
            <w:hideMark/>
          </w:tcPr>
          <w:p w14:paraId="4DA49F45" w14:textId="77777777" w:rsidR="00F96912" w:rsidRPr="00CD000E" w:rsidRDefault="00F96912" w:rsidP="006658D5">
            <w:pPr>
              <w:jc w:val="center"/>
              <w:rPr>
                <w:color w:val="000000"/>
                <w:sz w:val="16"/>
                <w:szCs w:val="16"/>
              </w:rPr>
            </w:pPr>
            <w:r w:rsidRPr="00CD000E">
              <w:rPr>
                <w:color w:val="000000"/>
                <w:sz w:val="16"/>
                <w:szCs w:val="16"/>
              </w:rPr>
              <w:t>16 544</w:t>
            </w:r>
          </w:p>
        </w:tc>
        <w:tc>
          <w:tcPr>
            <w:tcW w:w="1164" w:type="dxa"/>
            <w:tcBorders>
              <w:top w:val="nil"/>
              <w:left w:val="nil"/>
              <w:bottom w:val="nil"/>
              <w:right w:val="nil"/>
            </w:tcBorders>
            <w:shd w:val="clear" w:color="auto" w:fill="auto"/>
            <w:noWrap/>
            <w:vAlign w:val="center"/>
            <w:hideMark/>
          </w:tcPr>
          <w:p w14:paraId="3F7EF3E8" w14:textId="77777777" w:rsidR="00F96912" w:rsidRPr="00CD000E" w:rsidRDefault="00F96912" w:rsidP="006658D5">
            <w:pPr>
              <w:jc w:val="center"/>
              <w:rPr>
                <w:color w:val="000000"/>
                <w:sz w:val="16"/>
                <w:szCs w:val="16"/>
              </w:rPr>
            </w:pPr>
            <w:r w:rsidRPr="00CD000E">
              <w:rPr>
                <w:color w:val="000000"/>
                <w:sz w:val="16"/>
                <w:szCs w:val="16"/>
              </w:rPr>
              <w:t>16 644</w:t>
            </w:r>
          </w:p>
        </w:tc>
        <w:tc>
          <w:tcPr>
            <w:tcW w:w="1164" w:type="dxa"/>
            <w:tcBorders>
              <w:top w:val="nil"/>
              <w:left w:val="nil"/>
              <w:bottom w:val="nil"/>
              <w:right w:val="nil"/>
            </w:tcBorders>
            <w:shd w:val="clear" w:color="auto" w:fill="auto"/>
            <w:noWrap/>
            <w:vAlign w:val="center"/>
            <w:hideMark/>
          </w:tcPr>
          <w:p w14:paraId="045FDCF5" w14:textId="77777777" w:rsidR="00F96912" w:rsidRPr="00CD000E" w:rsidRDefault="00F96912" w:rsidP="006658D5">
            <w:pPr>
              <w:jc w:val="center"/>
              <w:rPr>
                <w:color w:val="000000"/>
                <w:sz w:val="16"/>
                <w:szCs w:val="16"/>
              </w:rPr>
            </w:pPr>
            <w:r w:rsidRPr="00CD000E">
              <w:rPr>
                <w:color w:val="000000"/>
                <w:sz w:val="16"/>
                <w:szCs w:val="16"/>
              </w:rPr>
              <w:t>6 805</w:t>
            </w:r>
          </w:p>
        </w:tc>
      </w:tr>
      <w:tr w:rsidR="00F96912" w:rsidRPr="00CD000E" w14:paraId="5E55E954" w14:textId="77777777" w:rsidTr="006658D5">
        <w:trPr>
          <w:jc w:val="center"/>
        </w:trPr>
        <w:tc>
          <w:tcPr>
            <w:tcW w:w="499" w:type="dxa"/>
            <w:tcBorders>
              <w:top w:val="nil"/>
              <w:left w:val="nil"/>
              <w:bottom w:val="nil"/>
              <w:right w:val="nil"/>
            </w:tcBorders>
            <w:shd w:val="clear" w:color="000000" w:fill="C5D9F1"/>
            <w:noWrap/>
            <w:vAlign w:val="bottom"/>
            <w:hideMark/>
          </w:tcPr>
          <w:p w14:paraId="2A6D3F22" w14:textId="77777777" w:rsidR="00F96912" w:rsidRPr="00CD000E" w:rsidRDefault="00F96912" w:rsidP="006658D5">
            <w:pPr>
              <w:rPr>
                <w:sz w:val="16"/>
                <w:szCs w:val="16"/>
              </w:rPr>
            </w:pPr>
            <w:r w:rsidRPr="00CD000E">
              <w:rPr>
                <w:sz w:val="16"/>
                <w:szCs w:val="16"/>
              </w:rPr>
              <w:t> </w:t>
            </w:r>
          </w:p>
        </w:tc>
        <w:tc>
          <w:tcPr>
            <w:tcW w:w="4231" w:type="dxa"/>
            <w:tcBorders>
              <w:top w:val="nil"/>
              <w:left w:val="nil"/>
              <w:bottom w:val="nil"/>
              <w:right w:val="nil"/>
            </w:tcBorders>
            <w:shd w:val="clear" w:color="000000" w:fill="C5D9F1"/>
            <w:noWrap/>
            <w:vAlign w:val="bottom"/>
            <w:hideMark/>
          </w:tcPr>
          <w:p w14:paraId="3C1BC71B" w14:textId="77777777" w:rsidR="00F96912" w:rsidRPr="00CD000E" w:rsidRDefault="00F96912" w:rsidP="006658D5">
            <w:pPr>
              <w:jc w:val="right"/>
              <w:rPr>
                <w:b/>
                <w:bCs/>
                <w:sz w:val="16"/>
                <w:szCs w:val="16"/>
              </w:rPr>
            </w:pPr>
            <w:r w:rsidRPr="00CD000E">
              <w:rPr>
                <w:b/>
                <w:bCs/>
                <w:sz w:val="16"/>
                <w:szCs w:val="16"/>
              </w:rPr>
              <w:t>Total</w:t>
            </w:r>
          </w:p>
        </w:tc>
        <w:tc>
          <w:tcPr>
            <w:tcW w:w="1164" w:type="dxa"/>
            <w:tcBorders>
              <w:top w:val="nil"/>
              <w:left w:val="nil"/>
              <w:bottom w:val="nil"/>
              <w:right w:val="nil"/>
            </w:tcBorders>
            <w:shd w:val="clear" w:color="000000" w:fill="C5D9F1"/>
            <w:noWrap/>
            <w:vAlign w:val="center"/>
            <w:hideMark/>
          </w:tcPr>
          <w:p w14:paraId="10B222CA" w14:textId="77777777" w:rsidR="00F96912" w:rsidRPr="00CD000E" w:rsidRDefault="00F96912" w:rsidP="006658D5">
            <w:pPr>
              <w:jc w:val="center"/>
              <w:rPr>
                <w:color w:val="000000"/>
                <w:sz w:val="16"/>
                <w:szCs w:val="16"/>
              </w:rPr>
            </w:pPr>
            <w:r w:rsidRPr="00CD000E">
              <w:rPr>
                <w:color w:val="000000"/>
                <w:sz w:val="16"/>
                <w:szCs w:val="16"/>
              </w:rPr>
              <w:t>17 733</w:t>
            </w:r>
          </w:p>
        </w:tc>
        <w:tc>
          <w:tcPr>
            <w:tcW w:w="1164" w:type="dxa"/>
            <w:tcBorders>
              <w:top w:val="nil"/>
              <w:left w:val="nil"/>
              <w:bottom w:val="nil"/>
              <w:right w:val="nil"/>
            </w:tcBorders>
            <w:shd w:val="clear" w:color="000000" w:fill="C5D9F1"/>
            <w:noWrap/>
            <w:vAlign w:val="center"/>
            <w:hideMark/>
          </w:tcPr>
          <w:p w14:paraId="1CED59E7" w14:textId="77777777" w:rsidR="00F96912" w:rsidRPr="00CD000E" w:rsidRDefault="00F96912" w:rsidP="006658D5">
            <w:pPr>
              <w:jc w:val="center"/>
              <w:rPr>
                <w:color w:val="000000"/>
                <w:sz w:val="16"/>
                <w:szCs w:val="16"/>
              </w:rPr>
            </w:pPr>
            <w:r w:rsidRPr="00CD000E">
              <w:rPr>
                <w:color w:val="000000"/>
                <w:sz w:val="16"/>
                <w:szCs w:val="16"/>
              </w:rPr>
              <w:t>19 377</w:t>
            </w:r>
          </w:p>
        </w:tc>
        <w:tc>
          <w:tcPr>
            <w:tcW w:w="1164" w:type="dxa"/>
            <w:tcBorders>
              <w:top w:val="nil"/>
              <w:left w:val="nil"/>
              <w:bottom w:val="nil"/>
              <w:right w:val="nil"/>
            </w:tcBorders>
            <w:shd w:val="clear" w:color="000000" w:fill="C5D9F1"/>
            <w:noWrap/>
            <w:vAlign w:val="center"/>
            <w:hideMark/>
          </w:tcPr>
          <w:p w14:paraId="589EC770" w14:textId="77777777" w:rsidR="00F96912" w:rsidRPr="00CD000E" w:rsidRDefault="00F96912" w:rsidP="006658D5">
            <w:pPr>
              <w:jc w:val="center"/>
              <w:rPr>
                <w:color w:val="000000"/>
                <w:sz w:val="16"/>
                <w:szCs w:val="16"/>
              </w:rPr>
            </w:pPr>
            <w:r w:rsidRPr="00CD000E">
              <w:rPr>
                <w:color w:val="000000"/>
                <w:sz w:val="16"/>
                <w:szCs w:val="16"/>
              </w:rPr>
              <w:t>7 967</w:t>
            </w:r>
          </w:p>
        </w:tc>
      </w:tr>
      <w:tr w:rsidR="00F96912" w:rsidRPr="00CD000E" w14:paraId="30FFCBE2" w14:textId="77777777" w:rsidTr="006658D5">
        <w:trPr>
          <w:jc w:val="center"/>
        </w:trPr>
        <w:tc>
          <w:tcPr>
            <w:tcW w:w="7058" w:type="dxa"/>
            <w:gridSpan w:val="4"/>
            <w:tcBorders>
              <w:top w:val="nil"/>
              <w:left w:val="nil"/>
              <w:bottom w:val="nil"/>
              <w:right w:val="nil"/>
            </w:tcBorders>
            <w:shd w:val="clear" w:color="auto" w:fill="auto"/>
            <w:noWrap/>
            <w:vAlign w:val="center"/>
            <w:hideMark/>
          </w:tcPr>
          <w:p w14:paraId="20E52CF6" w14:textId="77777777" w:rsidR="00F96912" w:rsidRPr="00CD000E" w:rsidRDefault="00F96912" w:rsidP="006658D5">
            <w:pPr>
              <w:rPr>
                <w:i/>
                <w:iCs/>
                <w:sz w:val="16"/>
                <w:szCs w:val="16"/>
              </w:rPr>
            </w:pPr>
            <w:r w:rsidRPr="00CD000E">
              <w:rPr>
                <w:i/>
                <w:iCs/>
                <w:sz w:val="16"/>
                <w:szCs w:val="16"/>
              </w:rPr>
              <w:t>*Les chiffres des dépenses pour 2016 sont préliminaires, sous réserve d’audit par les vérificateurs externes des comptes</w:t>
            </w:r>
          </w:p>
        </w:tc>
        <w:tc>
          <w:tcPr>
            <w:tcW w:w="1164" w:type="dxa"/>
            <w:tcBorders>
              <w:top w:val="nil"/>
              <w:left w:val="nil"/>
              <w:bottom w:val="nil"/>
              <w:right w:val="nil"/>
            </w:tcBorders>
            <w:shd w:val="clear" w:color="auto" w:fill="auto"/>
            <w:noWrap/>
            <w:vAlign w:val="center"/>
            <w:hideMark/>
          </w:tcPr>
          <w:p w14:paraId="12FA8CFF" w14:textId="77777777" w:rsidR="00F96912" w:rsidRPr="00CD000E" w:rsidRDefault="00F96912" w:rsidP="006658D5">
            <w:pPr>
              <w:rPr>
                <w:sz w:val="16"/>
                <w:szCs w:val="16"/>
              </w:rPr>
            </w:pPr>
          </w:p>
        </w:tc>
      </w:tr>
    </w:tbl>
    <w:p w14:paraId="603D6E3F" w14:textId="77777777" w:rsidR="00F96912" w:rsidRPr="00CD000E" w:rsidRDefault="00F96912" w:rsidP="00F96912">
      <w:pPr>
        <w:ind w:right="173"/>
        <w:rPr>
          <w:sz w:val="20"/>
        </w:rPr>
      </w:pPr>
    </w:p>
    <w:p w14:paraId="2FBB5C3A" w14:textId="77777777" w:rsidR="00F96912" w:rsidRPr="00CD000E" w:rsidRDefault="00F96912" w:rsidP="00F96912">
      <w:pPr>
        <w:pStyle w:val="NormalWeb"/>
        <w:keepNext/>
        <w:keepLines/>
        <w:spacing w:before="0" w:beforeAutospacing="0" w:after="0" w:afterAutospacing="0"/>
        <w:jc w:val="center"/>
        <w:rPr>
          <w:color w:val="000000"/>
        </w:rPr>
      </w:pPr>
      <w:r w:rsidRPr="00CD000E">
        <w:rPr>
          <w:color w:val="000000"/>
        </w:rPr>
        <w:t>Budget et dépenses effectives (dépenses de personnel et autres dépenses)</w:t>
      </w:r>
    </w:p>
    <w:p w14:paraId="41CDE1C8" w14:textId="77777777" w:rsidR="00F96912" w:rsidRPr="00CD000E" w:rsidRDefault="00F96912" w:rsidP="00F96912">
      <w:pPr>
        <w:pStyle w:val="NormalWeb"/>
        <w:keepNext/>
        <w:keepLines/>
        <w:spacing w:before="0" w:beforeAutospacing="0" w:after="0" w:afterAutospacing="0"/>
        <w:jc w:val="center"/>
        <w:rPr>
          <w:i/>
          <w:iCs/>
          <w:color w:val="000000"/>
          <w:sz w:val="16"/>
          <w:szCs w:val="16"/>
        </w:rPr>
      </w:pPr>
      <w:r w:rsidRPr="00CD000E">
        <w:rPr>
          <w:i/>
          <w:iCs/>
          <w:color w:val="000000"/>
          <w:sz w:val="16"/>
          <w:szCs w:val="16"/>
        </w:rPr>
        <w:t>(en milliers de francs suisses)</w:t>
      </w:r>
    </w:p>
    <w:p w14:paraId="125B7ECA" w14:textId="77777777" w:rsidR="00F96912" w:rsidRPr="00CD000E" w:rsidRDefault="00F96912" w:rsidP="00F96912">
      <w:pPr>
        <w:rPr>
          <w:sz w:val="20"/>
        </w:rPr>
      </w:pPr>
    </w:p>
    <w:tbl>
      <w:tblPr>
        <w:tblW w:w="4300" w:type="pct"/>
        <w:jc w:val="center"/>
        <w:tblCellMar>
          <w:top w:w="57" w:type="dxa"/>
          <w:bottom w:w="57" w:type="dxa"/>
        </w:tblCellMar>
        <w:tblLook w:val="04A0" w:firstRow="1" w:lastRow="0" w:firstColumn="1" w:lastColumn="0" w:noHBand="0" w:noVBand="1"/>
      </w:tblPr>
      <w:tblGrid>
        <w:gridCol w:w="2470"/>
        <w:gridCol w:w="1577"/>
        <w:gridCol w:w="1577"/>
        <w:gridCol w:w="1438"/>
        <w:gridCol w:w="1160"/>
      </w:tblGrid>
      <w:tr w:rsidR="00F96912" w:rsidRPr="00B2532D" w14:paraId="6542D934" w14:textId="77777777" w:rsidTr="006658D5">
        <w:trPr>
          <w:jc w:val="center"/>
        </w:trPr>
        <w:tc>
          <w:tcPr>
            <w:tcW w:w="2470" w:type="dxa"/>
            <w:tcBorders>
              <w:top w:val="nil"/>
              <w:left w:val="nil"/>
              <w:bottom w:val="nil"/>
              <w:right w:val="nil"/>
            </w:tcBorders>
            <w:shd w:val="clear" w:color="000000" w:fill="C5D9F1"/>
            <w:noWrap/>
            <w:vAlign w:val="center"/>
            <w:hideMark/>
          </w:tcPr>
          <w:p w14:paraId="5B1BC9A6" w14:textId="77777777" w:rsidR="00F96912" w:rsidRPr="00CD000E" w:rsidRDefault="00F96912" w:rsidP="006658D5">
            <w:pPr>
              <w:rPr>
                <w:color w:val="000000"/>
                <w:sz w:val="16"/>
                <w:szCs w:val="16"/>
              </w:rPr>
            </w:pPr>
            <w:r w:rsidRPr="00CD000E">
              <w:rPr>
                <w:color w:val="000000"/>
                <w:sz w:val="16"/>
                <w:szCs w:val="16"/>
              </w:rPr>
              <w:t> </w:t>
            </w:r>
          </w:p>
        </w:tc>
        <w:tc>
          <w:tcPr>
            <w:tcW w:w="1438" w:type="dxa"/>
            <w:tcBorders>
              <w:top w:val="nil"/>
              <w:left w:val="nil"/>
              <w:bottom w:val="nil"/>
              <w:right w:val="nil"/>
            </w:tcBorders>
            <w:shd w:val="clear" w:color="000000" w:fill="C5D9F1"/>
            <w:vAlign w:val="center"/>
            <w:hideMark/>
          </w:tcPr>
          <w:p w14:paraId="5413BCF8" w14:textId="77777777" w:rsidR="00F96912" w:rsidRPr="00CD000E" w:rsidRDefault="00F96912" w:rsidP="006658D5">
            <w:pPr>
              <w:jc w:val="center"/>
              <w:rPr>
                <w:b/>
                <w:bCs/>
                <w:color w:val="000000"/>
                <w:sz w:val="16"/>
                <w:szCs w:val="16"/>
              </w:rPr>
            </w:pPr>
            <w:r w:rsidRPr="00CD000E">
              <w:rPr>
                <w:b/>
                <w:bCs/>
                <w:color w:val="000000"/>
                <w:sz w:val="16"/>
                <w:szCs w:val="16"/>
              </w:rPr>
              <w:t>Budget</w:t>
            </w:r>
            <w:r>
              <w:rPr>
                <w:b/>
                <w:bCs/>
                <w:color w:val="000000"/>
                <w:sz w:val="16"/>
                <w:szCs w:val="16"/>
              </w:rPr>
              <w:t> </w:t>
            </w:r>
            <w:r w:rsidRPr="00CD000E">
              <w:rPr>
                <w:b/>
                <w:bCs/>
                <w:color w:val="000000"/>
                <w:sz w:val="16"/>
                <w:szCs w:val="16"/>
              </w:rPr>
              <w:t>2016</w:t>
            </w:r>
            <w:r>
              <w:rPr>
                <w:b/>
                <w:bCs/>
                <w:color w:val="000000"/>
                <w:sz w:val="16"/>
                <w:szCs w:val="16"/>
              </w:rPr>
              <w:noBreakHyphen/>
            </w:r>
            <w:r w:rsidRPr="00CD000E">
              <w:rPr>
                <w:b/>
                <w:bCs/>
                <w:color w:val="000000"/>
                <w:sz w:val="16"/>
                <w:szCs w:val="16"/>
              </w:rPr>
              <w:t>2017 approuvé</w:t>
            </w:r>
          </w:p>
        </w:tc>
        <w:tc>
          <w:tcPr>
            <w:tcW w:w="1438" w:type="dxa"/>
            <w:tcBorders>
              <w:top w:val="nil"/>
              <w:left w:val="nil"/>
              <w:bottom w:val="nil"/>
              <w:right w:val="nil"/>
            </w:tcBorders>
            <w:shd w:val="clear" w:color="000000" w:fill="C5D9F1"/>
            <w:vAlign w:val="center"/>
            <w:hideMark/>
          </w:tcPr>
          <w:p w14:paraId="144563DE" w14:textId="77777777" w:rsidR="00F96912" w:rsidRPr="00CD000E" w:rsidRDefault="00F96912" w:rsidP="006658D5">
            <w:pPr>
              <w:jc w:val="center"/>
              <w:rPr>
                <w:b/>
                <w:bCs/>
                <w:color w:val="000000"/>
                <w:sz w:val="16"/>
                <w:szCs w:val="16"/>
              </w:rPr>
            </w:pPr>
            <w:r w:rsidRPr="00CD000E">
              <w:rPr>
                <w:b/>
                <w:bCs/>
                <w:color w:val="000000"/>
                <w:sz w:val="16"/>
                <w:szCs w:val="16"/>
              </w:rPr>
              <w:t>Budget</w:t>
            </w:r>
            <w:r>
              <w:rPr>
                <w:b/>
                <w:bCs/>
                <w:color w:val="000000"/>
                <w:sz w:val="16"/>
                <w:szCs w:val="16"/>
              </w:rPr>
              <w:t> </w:t>
            </w:r>
            <w:r w:rsidRPr="00CD000E">
              <w:rPr>
                <w:b/>
                <w:bCs/>
                <w:color w:val="000000"/>
                <w:sz w:val="16"/>
                <w:szCs w:val="16"/>
              </w:rPr>
              <w:t>2016</w:t>
            </w:r>
            <w:r>
              <w:rPr>
                <w:b/>
                <w:bCs/>
                <w:color w:val="000000"/>
                <w:sz w:val="16"/>
                <w:szCs w:val="16"/>
              </w:rPr>
              <w:noBreakHyphen/>
            </w:r>
            <w:r w:rsidRPr="00CD000E">
              <w:rPr>
                <w:b/>
                <w:bCs/>
                <w:color w:val="000000"/>
                <w:sz w:val="16"/>
                <w:szCs w:val="16"/>
              </w:rPr>
              <w:t>2017 après virements</w:t>
            </w:r>
          </w:p>
        </w:tc>
        <w:tc>
          <w:tcPr>
            <w:tcW w:w="1438" w:type="dxa"/>
            <w:tcBorders>
              <w:top w:val="nil"/>
              <w:left w:val="nil"/>
              <w:bottom w:val="nil"/>
              <w:right w:val="nil"/>
            </w:tcBorders>
            <w:shd w:val="clear" w:color="000000" w:fill="C5D9F1"/>
            <w:vAlign w:val="center"/>
            <w:hideMark/>
          </w:tcPr>
          <w:p w14:paraId="4514F318" w14:textId="77777777" w:rsidR="00F96912" w:rsidRPr="00CD000E" w:rsidRDefault="00F96912" w:rsidP="006658D5">
            <w:pPr>
              <w:jc w:val="center"/>
              <w:rPr>
                <w:b/>
                <w:bCs/>
                <w:color w:val="000000"/>
                <w:sz w:val="16"/>
                <w:szCs w:val="16"/>
              </w:rPr>
            </w:pPr>
            <w:r w:rsidRPr="00CD000E">
              <w:rPr>
                <w:b/>
                <w:bCs/>
                <w:color w:val="000000"/>
                <w:sz w:val="16"/>
                <w:szCs w:val="16"/>
              </w:rPr>
              <w:t>Dépenses</w:t>
            </w:r>
            <w:r>
              <w:rPr>
                <w:b/>
                <w:bCs/>
                <w:color w:val="000000"/>
                <w:sz w:val="16"/>
                <w:szCs w:val="16"/>
              </w:rPr>
              <w:t> </w:t>
            </w:r>
            <w:r w:rsidRPr="00CD000E">
              <w:rPr>
                <w:b/>
                <w:bCs/>
                <w:color w:val="000000"/>
                <w:sz w:val="16"/>
                <w:szCs w:val="16"/>
              </w:rPr>
              <w:t>2016*</w:t>
            </w:r>
          </w:p>
        </w:tc>
        <w:tc>
          <w:tcPr>
            <w:tcW w:w="1438" w:type="dxa"/>
            <w:tcBorders>
              <w:top w:val="nil"/>
              <w:left w:val="nil"/>
              <w:bottom w:val="nil"/>
              <w:right w:val="nil"/>
            </w:tcBorders>
            <w:shd w:val="clear" w:color="000000" w:fill="C5D9F1"/>
            <w:vAlign w:val="center"/>
            <w:hideMark/>
          </w:tcPr>
          <w:p w14:paraId="4FBEC971" w14:textId="77777777" w:rsidR="00F96912" w:rsidRPr="00B2532D" w:rsidRDefault="00F96912" w:rsidP="006658D5">
            <w:pPr>
              <w:jc w:val="center"/>
              <w:rPr>
                <w:b/>
                <w:bCs/>
                <w:sz w:val="16"/>
                <w:szCs w:val="16"/>
              </w:rPr>
            </w:pPr>
            <w:r w:rsidRPr="00B2532D">
              <w:rPr>
                <w:b/>
                <w:bCs/>
                <w:sz w:val="16"/>
                <w:szCs w:val="16"/>
              </w:rPr>
              <w:t>Taux d’utilisation (%)</w:t>
            </w:r>
          </w:p>
        </w:tc>
      </w:tr>
      <w:tr w:rsidR="00F96912" w:rsidRPr="00B2532D" w14:paraId="1753BAD6" w14:textId="77777777" w:rsidTr="006658D5">
        <w:trPr>
          <w:jc w:val="center"/>
        </w:trPr>
        <w:tc>
          <w:tcPr>
            <w:tcW w:w="2470" w:type="dxa"/>
            <w:tcBorders>
              <w:top w:val="nil"/>
              <w:left w:val="nil"/>
              <w:bottom w:val="nil"/>
              <w:right w:val="nil"/>
            </w:tcBorders>
            <w:shd w:val="clear" w:color="auto" w:fill="auto"/>
            <w:noWrap/>
            <w:vAlign w:val="center"/>
            <w:hideMark/>
          </w:tcPr>
          <w:p w14:paraId="509381F9" w14:textId="77777777" w:rsidR="00F96912" w:rsidRPr="00CD000E" w:rsidRDefault="00F96912" w:rsidP="006658D5">
            <w:pPr>
              <w:rPr>
                <w:color w:val="000000"/>
                <w:sz w:val="16"/>
                <w:szCs w:val="16"/>
              </w:rPr>
            </w:pPr>
            <w:r w:rsidRPr="00CD000E">
              <w:rPr>
                <w:sz w:val="16"/>
                <w:szCs w:val="16"/>
              </w:rPr>
              <w:t>Ressources en personnel</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45EDFE61" w14:textId="77777777" w:rsidR="00F96912" w:rsidRPr="00CD000E" w:rsidRDefault="00F96912" w:rsidP="006658D5">
            <w:pPr>
              <w:jc w:val="center"/>
              <w:rPr>
                <w:color w:val="000000"/>
                <w:sz w:val="16"/>
                <w:szCs w:val="16"/>
              </w:rPr>
            </w:pPr>
            <w:r w:rsidRPr="00CD000E">
              <w:rPr>
                <w:color w:val="000000"/>
                <w:sz w:val="16"/>
                <w:szCs w:val="16"/>
              </w:rPr>
              <w:t xml:space="preserve">4 311 </w:t>
            </w:r>
          </w:p>
        </w:tc>
        <w:tc>
          <w:tcPr>
            <w:tcW w:w="1438" w:type="dxa"/>
            <w:tcBorders>
              <w:top w:val="nil"/>
              <w:left w:val="nil"/>
              <w:bottom w:val="nil"/>
              <w:right w:val="nil"/>
            </w:tcBorders>
            <w:shd w:val="clear" w:color="auto" w:fill="auto"/>
            <w:vAlign w:val="center"/>
            <w:hideMark/>
          </w:tcPr>
          <w:p w14:paraId="5644AFAC" w14:textId="77777777" w:rsidR="00F96912" w:rsidRPr="00CD000E" w:rsidRDefault="00F96912" w:rsidP="006658D5">
            <w:pPr>
              <w:jc w:val="center"/>
              <w:rPr>
                <w:color w:val="000000"/>
                <w:sz w:val="16"/>
                <w:szCs w:val="16"/>
              </w:rPr>
            </w:pPr>
            <w:r w:rsidRPr="00CD000E">
              <w:rPr>
                <w:color w:val="000000"/>
                <w:sz w:val="16"/>
                <w:szCs w:val="16"/>
              </w:rPr>
              <w:t xml:space="preserve">4 806 </w:t>
            </w:r>
          </w:p>
        </w:tc>
        <w:tc>
          <w:tcPr>
            <w:tcW w:w="1438" w:type="dxa"/>
            <w:tcBorders>
              <w:top w:val="nil"/>
              <w:left w:val="nil"/>
              <w:bottom w:val="nil"/>
              <w:right w:val="nil"/>
            </w:tcBorders>
            <w:shd w:val="clear" w:color="auto" w:fill="auto"/>
            <w:vAlign w:val="center"/>
            <w:hideMark/>
          </w:tcPr>
          <w:p w14:paraId="24142A8F" w14:textId="77777777" w:rsidR="00F96912" w:rsidRPr="00CD000E" w:rsidRDefault="00F96912" w:rsidP="006658D5">
            <w:pPr>
              <w:jc w:val="center"/>
              <w:rPr>
                <w:color w:val="000000"/>
                <w:sz w:val="16"/>
                <w:szCs w:val="16"/>
              </w:rPr>
            </w:pPr>
            <w:r w:rsidRPr="00CD000E">
              <w:rPr>
                <w:color w:val="000000"/>
                <w:sz w:val="16"/>
                <w:szCs w:val="16"/>
              </w:rPr>
              <w:t xml:space="preserve">2 189 </w:t>
            </w:r>
          </w:p>
        </w:tc>
        <w:tc>
          <w:tcPr>
            <w:tcW w:w="1438" w:type="dxa"/>
            <w:tcBorders>
              <w:top w:val="nil"/>
              <w:left w:val="nil"/>
              <w:bottom w:val="nil"/>
              <w:right w:val="nil"/>
            </w:tcBorders>
            <w:shd w:val="clear" w:color="auto" w:fill="auto"/>
            <w:vAlign w:val="center"/>
            <w:hideMark/>
          </w:tcPr>
          <w:p w14:paraId="34B177F5" w14:textId="77777777" w:rsidR="00F96912" w:rsidRPr="00B2532D" w:rsidRDefault="00F96912" w:rsidP="006658D5">
            <w:pPr>
              <w:jc w:val="center"/>
              <w:rPr>
                <w:sz w:val="16"/>
                <w:szCs w:val="16"/>
              </w:rPr>
            </w:pPr>
            <w:r w:rsidRPr="00B2532D">
              <w:rPr>
                <w:sz w:val="16"/>
                <w:szCs w:val="16"/>
              </w:rPr>
              <w:t>46%</w:t>
            </w:r>
          </w:p>
        </w:tc>
      </w:tr>
      <w:tr w:rsidR="00F96912" w:rsidRPr="00B2532D" w14:paraId="1D1D0865" w14:textId="77777777" w:rsidTr="006658D5">
        <w:trPr>
          <w:jc w:val="center"/>
        </w:trPr>
        <w:tc>
          <w:tcPr>
            <w:tcW w:w="2470" w:type="dxa"/>
            <w:tcBorders>
              <w:top w:val="nil"/>
              <w:left w:val="nil"/>
              <w:bottom w:val="nil"/>
              <w:right w:val="nil"/>
            </w:tcBorders>
            <w:shd w:val="clear" w:color="auto" w:fill="auto"/>
            <w:noWrap/>
            <w:vAlign w:val="center"/>
            <w:hideMark/>
          </w:tcPr>
          <w:p w14:paraId="02336C80" w14:textId="77777777" w:rsidR="00F96912" w:rsidRPr="00CD000E" w:rsidRDefault="00F96912" w:rsidP="006658D5">
            <w:pPr>
              <w:rPr>
                <w:color w:val="000000"/>
                <w:sz w:val="16"/>
                <w:szCs w:val="16"/>
              </w:rPr>
            </w:pPr>
            <w:r w:rsidRPr="00CD000E">
              <w:rPr>
                <w:sz w:val="16"/>
                <w:szCs w:val="16"/>
              </w:rPr>
              <w:t>Autres ressources</w:t>
            </w:r>
            <w:r w:rsidRPr="00CD000E">
              <w:rPr>
                <w:color w:val="000000"/>
                <w:sz w:val="16"/>
                <w:szCs w:val="16"/>
              </w:rPr>
              <w:t xml:space="preserve"> </w:t>
            </w:r>
          </w:p>
        </w:tc>
        <w:tc>
          <w:tcPr>
            <w:tcW w:w="1438" w:type="dxa"/>
            <w:tcBorders>
              <w:top w:val="nil"/>
              <w:left w:val="nil"/>
              <w:bottom w:val="nil"/>
              <w:right w:val="nil"/>
            </w:tcBorders>
            <w:shd w:val="clear" w:color="auto" w:fill="auto"/>
            <w:vAlign w:val="center"/>
            <w:hideMark/>
          </w:tcPr>
          <w:p w14:paraId="09D62C4A" w14:textId="77777777" w:rsidR="00F96912" w:rsidRPr="00CD000E" w:rsidRDefault="00F96912" w:rsidP="006658D5">
            <w:pPr>
              <w:jc w:val="center"/>
              <w:rPr>
                <w:color w:val="000000"/>
                <w:sz w:val="16"/>
                <w:szCs w:val="16"/>
              </w:rPr>
            </w:pPr>
            <w:r w:rsidRPr="00CD000E">
              <w:rPr>
                <w:color w:val="000000"/>
                <w:sz w:val="16"/>
                <w:szCs w:val="16"/>
              </w:rPr>
              <w:t xml:space="preserve">13 422 </w:t>
            </w:r>
          </w:p>
        </w:tc>
        <w:tc>
          <w:tcPr>
            <w:tcW w:w="1438" w:type="dxa"/>
            <w:tcBorders>
              <w:top w:val="nil"/>
              <w:left w:val="nil"/>
              <w:bottom w:val="nil"/>
              <w:right w:val="nil"/>
            </w:tcBorders>
            <w:shd w:val="clear" w:color="auto" w:fill="auto"/>
            <w:vAlign w:val="center"/>
            <w:hideMark/>
          </w:tcPr>
          <w:p w14:paraId="786DD8CA" w14:textId="77777777" w:rsidR="00F96912" w:rsidRPr="00CD000E" w:rsidRDefault="00F96912" w:rsidP="006658D5">
            <w:pPr>
              <w:jc w:val="center"/>
              <w:rPr>
                <w:color w:val="000000"/>
                <w:sz w:val="16"/>
                <w:szCs w:val="16"/>
              </w:rPr>
            </w:pPr>
            <w:r w:rsidRPr="00CD000E">
              <w:rPr>
                <w:color w:val="000000"/>
                <w:sz w:val="16"/>
                <w:szCs w:val="16"/>
              </w:rPr>
              <w:t xml:space="preserve">14 571 </w:t>
            </w:r>
          </w:p>
        </w:tc>
        <w:tc>
          <w:tcPr>
            <w:tcW w:w="1438" w:type="dxa"/>
            <w:tcBorders>
              <w:top w:val="nil"/>
              <w:left w:val="nil"/>
              <w:bottom w:val="nil"/>
              <w:right w:val="nil"/>
            </w:tcBorders>
            <w:shd w:val="clear" w:color="auto" w:fill="auto"/>
            <w:vAlign w:val="center"/>
            <w:hideMark/>
          </w:tcPr>
          <w:p w14:paraId="2922C046" w14:textId="77777777" w:rsidR="00F96912" w:rsidRPr="00CD000E" w:rsidRDefault="00F96912" w:rsidP="006658D5">
            <w:pPr>
              <w:jc w:val="center"/>
              <w:rPr>
                <w:color w:val="000000"/>
                <w:sz w:val="16"/>
                <w:szCs w:val="16"/>
              </w:rPr>
            </w:pPr>
            <w:r w:rsidRPr="00CD000E">
              <w:rPr>
                <w:color w:val="000000"/>
                <w:sz w:val="16"/>
                <w:szCs w:val="16"/>
              </w:rPr>
              <w:t xml:space="preserve">5 778 </w:t>
            </w:r>
          </w:p>
        </w:tc>
        <w:tc>
          <w:tcPr>
            <w:tcW w:w="1438" w:type="dxa"/>
            <w:tcBorders>
              <w:top w:val="nil"/>
              <w:left w:val="nil"/>
              <w:bottom w:val="nil"/>
              <w:right w:val="nil"/>
            </w:tcBorders>
            <w:shd w:val="clear" w:color="auto" w:fill="auto"/>
            <w:vAlign w:val="center"/>
            <w:hideMark/>
          </w:tcPr>
          <w:p w14:paraId="35371493" w14:textId="77777777" w:rsidR="00F96912" w:rsidRPr="00B2532D" w:rsidRDefault="00F96912" w:rsidP="006658D5">
            <w:pPr>
              <w:jc w:val="center"/>
              <w:rPr>
                <w:sz w:val="16"/>
                <w:szCs w:val="16"/>
              </w:rPr>
            </w:pPr>
            <w:r w:rsidRPr="00B2532D">
              <w:rPr>
                <w:sz w:val="16"/>
                <w:szCs w:val="16"/>
              </w:rPr>
              <w:t>40%</w:t>
            </w:r>
          </w:p>
        </w:tc>
      </w:tr>
      <w:tr w:rsidR="00F96912" w:rsidRPr="00B2532D" w14:paraId="58EF0FD5" w14:textId="77777777" w:rsidTr="006658D5">
        <w:trPr>
          <w:jc w:val="center"/>
        </w:trPr>
        <w:tc>
          <w:tcPr>
            <w:tcW w:w="2470" w:type="dxa"/>
            <w:tcBorders>
              <w:top w:val="nil"/>
              <w:left w:val="nil"/>
              <w:bottom w:val="nil"/>
              <w:right w:val="nil"/>
            </w:tcBorders>
            <w:shd w:val="clear" w:color="000000" w:fill="C5D9F1"/>
            <w:noWrap/>
            <w:vAlign w:val="center"/>
            <w:hideMark/>
          </w:tcPr>
          <w:p w14:paraId="7DD7DEFB" w14:textId="77777777" w:rsidR="00F96912" w:rsidRPr="00CD000E" w:rsidRDefault="00F96912" w:rsidP="006658D5">
            <w:pPr>
              <w:jc w:val="right"/>
              <w:rPr>
                <w:b/>
                <w:bCs/>
                <w:color w:val="000000"/>
                <w:sz w:val="16"/>
                <w:szCs w:val="16"/>
              </w:rPr>
            </w:pPr>
            <w:r w:rsidRPr="00CD000E">
              <w:rPr>
                <w:b/>
                <w:bCs/>
                <w:sz w:val="16"/>
                <w:szCs w:val="16"/>
              </w:rPr>
              <w:t>Total</w:t>
            </w:r>
            <w:r w:rsidRPr="00CD000E">
              <w:rPr>
                <w:b/>
                <w:bCs/>
                <w:color w:val="000000"/>
                <w:sz w:val="16"/>
                <w:szCs w:val="16"/>
              </w:rPr>
              <w:t xml:space="preserve"> </w:t>
            </w:r>
          </w:p>
        </w:tc>
        <w:tc>
          <w:tcPr>
            <w:tcW w:w="1438" w:type="dxa"/>
            <w:tcBorders>
              <w:top w:val="nil"/>
              <w:left w:val="nil"/>
              <w:bottom w:val="nil"/>
              <w:right w:val="nil"/>
            </w:tcBorders>
            <w:shd w:val="clear" w:color="000000" w:fill="C5D9F1"/>
            <w:vAlign w:val="center"/>
            <w:hideMark/>
          </w:tcPr>
          <w:p w14:paraId="5D9250A6" w14:textId="77777777" w:rsidR="00F96912" w:rsidRPr="00CD000E" w:rsidRDefault="00F96912" w:rsidP="006658D5">
            <w:pPr>
              <w:jc w:val="center"/>
              <w:rPr>
                <w:b/>
                <w:bCs/>
                <w:color w:val="000000"/>
                <w:sz w:val="16"/>
                <w:szCs w:val="16"/>
              </w:rPr>
            </w:pPr>
            <w:r w:rsidRPr="00CD000E">
              <w:rPr>
                <w:b/>
                <w:bCs/>
                <w:color w:val="000000"/>
                <w:sz w:val="16"/>
                <w:szCs w:val="16"/>
              </w:rPr>
              <w:t xml:space="preserve">17 733 </w:t>
            </w:r>
          </w:p>
        </w:tc>
        <w:tc>
          <w:tcPr>
            <w:tcW w:w="1438" w:type="dxa"/>
            <w:tcBorders>
              <w:top w:val="nil"/>
              <w:left w:val="nil"/>
              <w:bottom w:val="nil"/>
              <w:right w:val="nil"/>
            </w:tcBorders>
            <w:shd w:val="clear" w:color="000000" w:fill="C5D9F1"/>
            <w:vAlign w:val="center"/>
            <w:hideMark/>
          </w:tcPr>
          <w:p w14:paraId="512CC7BF" w14:textId="77777777" w:rsidR="00F96912" w:rsidRPr="00CD000E" w:rsidRDefault="00F96912" w:rsidP="006658D5">
            <w:pPr>
              <w:jc w:val="center"/>
              <w:rPr>
                <w:b/>
                <w:bCs/>
                <w:color w:val="000000"/>
                <w:sz w:val="16"/>
                <w:szCs w:val="16"/>
              </w:rPr>
            </w:pPr>
            <w:r w:rsidRPr="00CD000E">
              <w:rPr>
                <w:b/>
                <w:bCs/>
                <w:color w:val="000000"/>
                <w:sz w:val="16"/>
                <w:szCs w:val="16"/>
              </w:rPr>
              <w:t xml:space="preserve">19 377 </w:t>
            </w:r>
          </w:p>
        </w:tc>
        <w:tc>
          <w:tcPr>
            <w:tcW w:w="1438" w:type="dxa"/>
            <w:tcBorders>
              <w:top w:val="nil"/>
              <w:left w:val="nil"/>
              <w:bottom w:val="nil"/>
              <w:right w:val="nil"/>
            </w:tcBorders>
            <w:shd w:val="clear" w:color="000000" w:fill="C5D9F1"/>
            <w:vAlign w:val="center"/>
            <w:hideMark/>
          </w:tcPr>
          <w:p w14:paraId="3DF7C341" w14:textId="77777777" w:rsidR="00F96912" w:rsidRPr="00CD000E" w:rsidRDefault="00F96912" w:rsidP="006658D5">
            <w:pPr>
              <w:jc w:val="center"/>
              <w:rPr>
                <w:b/>
                <w:bCs/>
                <w:color w:val="000000"/>
                <w:sz w:val="16"/>
                <w:szCs w:val="16"/>
              </w:rPr>
            </w:pPr>
            <w:r w:rsidRPr="00CD000E">
              <w:rPr>
                <w:b/>
                <w:bCs/>
                <w:color w:val="000000"/>
                <w:sz w:val="16"/>
                <w:szCs w:val="16"/>
              </w:rPr>
              <w:t xml:space="preserve">7 967 </w:t>
            </w:r>
          </w:p>
        </w:tc>
        <w:tc>
          <w:tcPr>
            <w:tcW w:w="1438" w:type="dxa"/>
            <w:tcBorders>
              <w:top w:val="nil"/>
              <w:left w:val="nil"/>
              <w:bottom w:val="nil"/>
              <w:right w:val="nil"/>
            </w:tcBorders>
            <w:shd w:val="clear" w:color="000000" w:fill="C5D9F1"/>
            <w:vAlign w:val="center"/>
            <w:hideMark/>
          </w:tcPr>
          <w:p w14:paraId="650A586C" w14:textId="77777777" w:rsidR="00F96912" w:rsidRPr="00B2532D" w:rsidRDefault="00F96912" w:rsidP="006658D5">
            <w:pPr>
              <w:jc w:val="center"/>
              <w:rPr>
                <w:b/>
                <w:bCs/>
                <w:sz w:val="16"/>
                <w:szCs w:val="16"/>
              </w:rPr>
            </w:pPr>
            <w:r w:rsidRPr="00B2532D">
              <w:rPr>
                <w:b/>
                <w:bCs/>
                <w:sz w:val="16"/>
                <w:szCs w:val="16"/>
              </w:rPr>
              <w:t>41%</w:t>
            </w:r>
          </w:p>
        </w:tc>
      </w:tr>
      <w:tr w:rsidR="00F96912" w:rsidRPr="00B2532D" w14:paraId="25A3E841" w14:textId="77777777" w:rsidTr="006658D5">
        <w:trPr>
          <w:jc w:val="center"/>
        </w:trPr>
        <w:tc>
          <w:tcPr>
            <w:tcW w:w="8222" w:type="dxa"/>
            <w:gridSpan w:val="5"/>
            <w:tcBorders>
              <w:top w:val="nil"/>
              <w:left w:val="nil"/>
              <w:bottom w:val="nil"/>
              <w:right w:val="nil"/>
            </w:tcBorders>
            <w:shd w:val="clear" w:color="auto" w:fill="auto"/>
            <w:noWrap/>
            <w:vAlign w:val="center"/>
            <w:hideMark/>
          </w:tcPr>
          <w:p w14:paraId="663F4E18" w14:textId="77777777" w:rsidR="00F96912" w:rsidRPr="00B2532D" w:rsidRDefault="00F96912" w:rsidP="006658D5">
            <w:pPr>
              <w:rPr>
                <w:i/>
                <w:iCs/>
                <w:sz w:val="16"/>
                <w:szCs w:val="16"/>
              </w:rPr>
            </w:pPr>
            <w:r w:rsidRPr="00B2532D">
              <w:rPr>
                <w:i/>
                <w:iCs/>
                <w:sz w:val="16"/>
                <w:szCs w:val="16"/>
              </w:rPr>
              <w:t xml:space="preserve">*Les chiffres des dépenses pour 2016 sont préliminaires, sous réserve d’audit par les vérificateurs externes des comptes </w:t>
            </w:r>
          </w:p>
        </w:tc>
      </w:tr>
    </w:tbl>
    <w:p w14:paraId="1C11D0EB" w14:textId="77777777" w:rsidR="00F96912" w:rsidRPr="00CD000E" w:rsidRDefault="00F96912" w:rsidP="00F96912"/>
    <w:p w14:paraId="72888FE6" w14:textId="068BDFEC" w:rsidR="00F96912" w:rsidRPr="00CD000E" w:rsidRDefault="00F96912" w:rsidP="00F96912">
      <w:pPr>
        <w:keepNext/>
        <w:keepLines/>
        <w:ind w:left="567" w:right="282"/>
        <w:rPr>
          <w:i/>
          <w:sz w:val="16"/>
          <w:szCs w:val="16"/>
        </w:rPr>
      </w:pPr>
      <w:r w:rsidRPr="00CD000E">
        <w:rPr>
          <w:i/>
          <w:sz w:val="16"/>
          <w:szCs w:val="16"/>
        </w:rPr>
        <w:t>NOTE : Le budget 2016</w:t>
      </w:r>
      <w:r>
        <w:rPr>
          <w:i/>
          <w:sz w:val="16"/>
          <w:szCs w:val="16"/>
        </w:rPr>
        <w:noBreakHyphen/>
      </w:r>
      <w:r w:rsidRPr="00CD000E">
        <w:rPr>
          <w:i/>
          <w:sz w:val="16"/>
          <w:szCs w:val="16"/>
        </w:rPr>
        <w:t xml:space="preserve">2017 après virements tient compte des virements effectués </w:t>
      </w:r>
      <w:r w:rsidR="00945B76">
        <w:rPr>
          <w:i/>
          <w:sz w:val="16"/>
          <w:szCs w:val="16"/>
        </w:rPr>
        <w:t>au 8 mars 2017</w:t>
      </w:r>
      <w:r w:rsidRPr="00CD000E">
        <w:rPr>
          <w:i/>
          <w:sz w:val="16"/>
          <w:szCs w:val="16"/>
        </w:rPr>
        <w:t xml:space="preserve"> pour répondre aux besoins durant l’exercice biennal 2016</w:t>
      </w:r>
      <w:r>
        <w:rPr>
          <w:i/>
          <w:sz w:val="16"/>
          <w:szCs w:val="16"/>
        </w:rPr>
        <w:noBreakHyphen/>
      </w:r>
      <w:r w:rsidRPr="00CD000E">
        <w:rPr>
          <w:i/>
          <w:sz w:val="16"/>
          <w:szCs w:val="16"/>
        </w:rPr>
        <w:t>2017 conformément à l’article 5.5 du Règlement financier.</w:t>
      </w:r>
    </w:p>
    <w:p w14:paraId="7C056429" w14:textId="77777777" w:rsidR="00F96912" w:rsidRPr="00CD000E" w:rsidRDefault="00F96912" w:rsidP="00F96912">
      <w:pPr>
        <w:rPr>
          <w:sz w:val="20"/>
        </w:rPr>
      </w:pPr>
    </w:p>
    <w:p w14:paraId="75E0719A" w14:textId="77777777" w:rsidR="00F96912" w:rsidRPr="00CD000E" w:rsidRDefault="00F96912" w:rsidP="00F96912">
      <w:pPr>
        <w:rPr>
          <w:sz w:val="20"/>
        </w:rPr>
      </w:pPr>
    </w:p>
    <w:p w14:paraId="3E7312C3" w14:textId="77777777" w:rsidR="00F96912" w:rsidRPr="00B2532D" w:rsidRDefault="00F96912" w:rsidP="00F96912">
      <w:pPr>
        <w:jc w:val="both"/>
        <w:rPr>
          <w:sz w:val="20"/>
          <w:u w:val="single"/>
        </w:rPr>
      </w:pPr>
      <w:r w:rsidRPr="00B2532D">
        <w:rPr>
          <w:sz w:val="20"/>
        </w:rPr>
        <w:t>A.</w:t>
      </w:r>
      <w:r w:rsidRPr="00B2532D">
        <w:rPr>
          <w:sz w:val="20"/>
        </w:rPr>
        <w:tab/>
      </w:r>
      <w:r w:rsidRPr="00B2532D">
        <w:rPr>
          <w:sz w:val="20"/>
          <w:u w:val="single"/>
        </w:rPr>
        <w:t>Budget 2016</w:t>
      </w:r>
      <w:r w:rsidRPr="00B2532D">
        <w:rPr>
          <w:sz w:val="20"/>
          <w:u w:val="single"/>
        </w:rPr>
        <w:noBreakHyphen/>
        <w:t>2017 après virements</w:t>
      </w:r>
    </w:p>
    <w:p w14:paraId="5FA39961" w14:textId="77777777" w:rsidR="00F96912" w:rsidRPr="00B2532D" w:rsidRDefault="00F96912" w:rsidP="00F96912">
      <w:pPr>
        <w:jc w:val="both"/>
        <w:rPr>
          <w:sz w:val="20"/>
        </w:rPr>
      </w:pPr>
    </w:p>
    <w:p w14:paraId="22401693" w14:textId="77777777" w:rsidR="00F96912" w:rsidRPr="00B2532D" w:rsidRDefault="00F96912" w:rsidP="00D544B8">
      <w:pPr>
        <w:pStyle w:val="ListParagraph"/>
        <w:numPr>
          <w:ilvl w:val="0"/>
          <w:numId w:val="38"/>
        </w:numPr>
        <w:ind w:left="0" w:firstLine="0"/>
        <w:contextualSpacing w:val="0"/>
        <w:jc w:val="both"/>
        <w:rPr>
          <w:rFonts w:ascii="Arial" w:hAnsi="Arial" w:cs="Arial"/>
          <w:sz w:val="20"/>
          <w:szCs w:val="20"/>
        </w:rPr>
      </w:pPr>
      <w:r w:rsidRPr="00B2532D">
        <w:rPr>
          <w:rFonts w:ascii="Arial" w:hAnsi="Arial" w:cs="Arial"/>
          <w:sz w:val="20"/>
          <w:szCs w:val="20"/>
        </w:rPr>
        <w:t>L’augmentation nette du budget 2016</w:t>
      </w:r>
      <w:r w:rsidRPr="00B2532D">
        <w:rPr>
          <w:rFonts w:ascii="Arial" w:hAnsi="Arial" w:cs="Arial"/>
          <w:sz w:val="20"/>
          <w:szCs w:val="20"/>
        </w:rPr>
        <w:noBreakHyphen/>
        <w:t>2017 après virements (dépenses de personnel) tenait compte : i) du transfert au programme de deux postes temporaires à l’appui de la gestion du programme en matière de risques et de sécurité de l’information dans le cadre de la mise en œuvre de la stratégie d’assurance informatique;  et ii) du reclassement d’un poste.  Cela a été légèrement compensé par le transfert de ressources aux dépenses hors personnel visant à renforcer la fonction d’architecture de la sécurité informatique et à soutenir la mise en œuvre du plan de gestion des risques en matière de sécurité et son intégration.</w:t>
      </w:r>
    </w:p>
    <w:p w14:paraId="0FAED44E" w14:textId="77777777" w:rsidR="00F96912" w:rsidRPr="00B2532D" w:rsidRDefault="00F96912" w:rsidP="00F96912">
      <w:pPr>
        <w:pStyle w:val="ListParagraph"/>
        <w:ind w:left="0"/>
        <w:contextualSpacing w:val="0"/>
        <w:jc w:val="both"/>
        <w:rPr>
          <w:rFonts w:ascii="Arial" w:hAnsi="Arial" w:cs="Arial"/>
          <w:sz w:val="20"/>
          <w:szCs w:val="20"/>
        </w:rPr>
      </w:pPr>
    </w:p>
    <w:p w14:paraId="41137214" w14:textId="77777777" w:rsidR="00F96912" w:rsidRPr="00B2532D" w:rsidRDefault="00F96912" w:rsidP="00D544B8">
      <w:pPr>
        <w:pStyle w:val="ListParagraph"/>
        <w:numPr>
          <w:ilvl w:val="0"/>
          <w:numId w:val="38"/>
        </w:numPr>
        <w:ind w:left="0" w:firstLine="0"/>
        <w:contextualSpacing w:val="0"/>
        <w:jc w:val="both"/>
        <w:rPr>
          <w:rFonts w:ascii="Arial" w:hAnsi="Arial" w:cs="Arial"/>
          <w:sz w:val="20"/>
          <w:szCs w:val="20"/>
        </w:rPr>
      </w:pPr>
      <w:r w:rsidRPr="00B2532D">
        <w:rPr>
          <w:rFonts w:ascii="Arial" w:hAnsi="Arial" w:cs="Arial"/>
          <w:sz w:val="20"/>
          <w:szCs w:val="20"/>
        </w:rPr>
        <w:t>L’augmentation nette du budget 2016</w:t>
      </w:r>
      <w:r w:rsidRPr="00B2532D">
        <w:rPr>
          <w:rFonts w:ascii="Arial" w:hAnsi="Arial" w:cs="Arial"/>
          <w:sz w:val="20"/>
          <w:szCs w:val="20"/>
        </w:rPr>
        <w:noBreakHyphen/>
        <w:t>2017 après virements (dépenses hors personnel) tenait compte du transfert de ressources supplémentaires au programme à l’appui : i) de la mise en œuvre du plan de gestion des risques en matière de sécurité et de son intégration, y compris la présence d’agents de sécurité armés;  ii) de l’installation d’une surveillance vidéo en circuit fermé et d’un système de supervision pour équiper le bâtiment CAM aux fins d’assurer la continuité des opérations;  et iii) des besoins opérationnels croissants en matière d’agents de sécurité en lien avec l’organisation de manifestations.  Cela a été partiellement compensé par la réaffectation des sommes non dépensées en 2016 pour la sécurité de l’information en vue de faire face à d’autres priorités de l’Organisation en 2017.</w:t>
      </w:r>
    </w:p>
    <w:p w14:paraId="220C3685" w14:textId="77777777" w:rsidR="00F96912" w:rsidRPr="00B2532D" w:rsidRDefault="00F96912" w:rsidP="00F96912">
      <w:pPr>
        <w:jc w:val="both"/>
        <w:rPr>
          <w:sz w:val="20"/>
        </w:rPr>
      </w:pPr>
    </w:p>
    <w:p w14:paraId="49944A35" w14:textId="77777777" w:rsidR="00F96912" w:rsidRPr="00B2532D" w:rsidRDefault="00F96912" w:rsidP="00F96912">
      <w:pPr>
        <w:jc w:val="both"/>
        <w:rPr>
          <w:sz w:val="20"/>
          <w:u w:val="single"/>
        </w:rPr>
      </w:pPr>
      <w:r w:rsidRPr="00B2532D">
        <w:rPr>
          <w:sz w:val="20"/>
        </w:rPr>
        <w:t>B.</w:t>
      </w:r>
      <w:r w:rsidRPr="00B2532D">
        <w:rPr>
          <w:sz w:val="20"/>
        </w:rPr>
        <w:tab/>
      </w:r>
      <w:r w:rsidRPr="00B2532D">
        <w:rPr>
          <w:sz w:val="20"/>
          <w:u w:val="single"/>
        </w:rPr>
        <w:t>Utilisation du budget 2016</w:t>
      </w:r>
      <w:r w:rsidRPr="00B2532D">
        <w:rPr>
          <w:sz w:val="20"/>
          <w:u w:val="single"/>
        </w:rPr>
        <w:noBreakHyphen/>
        <w:t>2017</w:t>
      </w:r>
    </w:p>
    <w:p w14:paraId="58EFAE71" w14:textId="77777777" w:rsidR="00F96912" w:rsidRPr="00B2532D" w:rsidRDefault="00F96912" w:rsidP="00F96912">
      <w:pPr>
        <w:jc w:val="both"/>
        <w:rPr>
          <w:sz w:val="20"/>
        </w:rPr>
      </w:pPr>
    </w:p>
    <w:p w14:paraId="58BF8FF2" w14:textId="2862387D" w:rsidR="00A27921" w:rsidRPr="004E4A91" w:rsidRDefault="00F96912" w:rsidP="004E4A91">
      <w:pPr>
        <w:pStyle w:val="ListParagraph"/>
        <w:numPr>
          <w:ilvl w:val="0"/>
          <w:numId w:val="38"/>
        </w:numPr>
        <w:ind w:left="0" w:firstLine="0"/>
        <w:contextualSpacing w:val="0"/>
        <w:jc w:val="both"/>
        <w:rPr>
          <w:rFonts w:ascii="Arial" w:hAnsi="Arial" w:cs="Arial"/>
          <w:sz w:val="20"/>
        </w:rPr>
      </w:pPr>
      <w:r w:rsidRPr="004E4A91">
        <w:rPr>
          <w:rFonts w:ascii="Arial" w:hAnsi="Arial" w:cs="Arial"/>
          <w:sz w:val="20"/>
        </w:rPr>
        <w:t>L’utilisation du budget a été plus faible que prévu, essentiellement en raison de retards observés dans le recrutement, qui se sont répercutés sur la mise en œuvre du projet.</w:t>
      </w:r>
    </w:p>
    <w:p w14:paraId="5B1DCD54" w14:textId="77777777" w:rsidR="00A27921" w:rsidRDefault="00A27921">
      <w:pPr>
        <w:rPr>
          <w:sz w:val="20"/>
        </w:rPr>
      </w:pPr>
      <w:r>
        <w:rPr>
          <w:sz w:val="20"/>
        </w:rPr>
        <w:br w:type="page"/>
      </w:r>
    </w:p>
    <w:p w14:paraId="6C5F8AF1" w14:textId="215AF904" w:rsidR="000638FC" w:rsidRPr="00A27921" w:rsidRDefault="00A27921" w:rsidP="00A27921">
      <w:pPr>
        <w:pStyle w:val="Heading1"/>
      </w:pPr>
      <w:bookmarkStart w:id="85" w:name="_Toc482774628"/>
      <w:r w:rsidRPr="00A27921">
        <w:t>Appendices</w:t>
      </w:r>
      <w:bookmarkEnd w:id="85"/>
    </w:p>
    <w:p w14:paraId="3A0FDEB4" w14:textId="77777777" w:rsidR="00A27921" w:rsidRPr="00A27921" w:rsidRDefault="00A27921" w:rsidP="00F96912">
      <w:pPr>
        <w:rPr>
          <w:bCs/>
          <w:iCs/>
          <w:szCs w:val="28"/>
        </w:rPr>
      </w:pPr>
    </w:p>
    <w:p w14:paraId="33833130" w14:textId="13EC466F" w:rsidR="00A27921" w:rsidRPr="00A27921" w:rsidRDefault="00767EC2" w:rsidP="00767EC2">
      <w:pPr>
        <w:pStyle w:val="Heading3"/>
        <w:ind w:left="0" w:firstLine="0"/>
      </w:pPr>
      <w:bookmarkStart w:id="86" w:name="_Toc422210520"/>
      <w:bookmarkStart w:id="87" w:name="_Toc482087968"/>
      <w:bookmarkStart w:id="88" w:name="_Toc482088034"/>
      <w:bookmarkStart w:id="89" w:name="_Toc482105837"/>
      <w:bookmarkStart w:id="90" w:name="_Toc482774629"/>
      <w:r>
        <w:t>A</w:t>
      </w:r>
      <w:r w:rsidRPr="00A27921">
        <w:t xml:space="preserve">ppendice </w:t>
      </w:r>
      <w:r>
        <w:t>I</w:t>
      </w:r>
      <w:bookmarkEnd w:id="86"/>
      <w:bookmarkEnd w:id="87"/>
      <w:bookmarkEnd w:id="88"/>
      <w:bookmarkEnd w:id="89"/>
      <w:r>
        <w:tab/>
      </w:r>
      <w:r>
        <w:br/>
        <w:t>R</w:t>
      </w:r>
      <w:r w:rsidRPr="00A27921">
        <w:t>épartition de l’évaluation des résultats par programme</w:t>
      </w:r>
      <w:bookmarkEnd w:id="90"/>
    </w:p>
    <w:p w14:paraId="4B02D1C2" w14:textId="77777777" w:rsidR="00A27921" w:rsidRPr="00A27921" w:rsidRDefault="00A27921" w:rsidP="00A27921">
      <w:pPr>
        <w:rPr>
          <w:sz w:val="20"/>
        </w:rPr>
      </w:pPr>
    </w:p>
    <w:p w14:paraId="4635D8B7" w14:textId="77777777" w:rsidR="00A27921" w:rsidRPr="00A27921" w:rsidRDefault="00A27921" w:rsidP="00A27921">
      <w:pPr>
        <w:jc w:val="both"/>
        <w:rPr>
          <w:sz w:val="20"/>
        </w:rPr>
      </w:pPr>
      <w:r w:rsidRPr="00A27921">
        <w:rPr>
          <w:sz w:val="20"/>
        </w:rPr>
        <w:t>Un nouveau format simplifié, est en cours d’introduction pour le Rapport sur l’exécution du programme en 2016 afin de mieux distinguer entre les rapports sur l’exécution du programme pour la première année (rapports sur l’état d’avancement) et la seconde (rapports sur les réalisations) de l’exercice biennal.</w:t>
      </w:r>
    </w:p>
    <w:p w14:paraId="1AC7CB23" w14:textId="77777777" w:rsidR="00A27921" w:rsidRPr="00A27921" w:rsidRDefault="00A27921" w:rsidP="00A27921">
      <w:pPr>
        <w:jc w:val="both"/>
        <w:rPr>
          <w:sz w:val="20"/>
        </w:rPr>
      </w:pPr>
    </w:p>
    <w:p w14:paraId="7DC8AB58" w14:textId="77777777" w:rsidR="00A27921" w:rsidRPr="00A27921" w:rsidRDefault="00A27921" w:rsidP="00A27921">
      <w:pPr>
        <w:jc w:val="both"/>
        <w:rPr>
          <w:sz w:val="20"/>
        </w:rPr>
      </w:pPr>
      <w:r w:rsidRPr="00A27921">
        <w:rPr>
          <w:sz w:val="20"/>
        </w:rPr>
        <w:t>L’évaluation des résultats par programmes figurant dans le rapport sur l’exécution du programme en 2016 comprend :</w:t>
      </w:r>
    </w:p>
    <w:p w14:paraId="16624090" w14:textId="77777777" w:rsidR="00A27921" w:rsidRPr="00A27921" w:rsidRDefault="00A27921" w:rsidP="00A27921">
      <w:pPr>
        <w:jc w:val="both"/>
        <w:rPr>
          <w:i/>
          <w:iCs/>
          <w:sz w:val="20"/>
        </w:rPr>
      </w:pPr>
    </w:p>
    <w:p w14:paraId="525395E0" w14:textId="77777777" w:rsidR="00A27921" w:rsidRPr="00A27921" w:rsidRDefault="00A27921" w:rsidP="00A27921">
      <w:pPr>
        <w:jc w:val="both"/>
        <w:rPr>
          <w:i/>
          <w:iCs/>
          <w:sz w:val="20"/>
        </w:rPr>
      </w:pPr>
      <w:r w:rsidRPr="00A27921">
        <w:rPr>
          <w:i/>
          <w:iCs/>
          <w:sz w:val="20"/>
        </w:rPr>
        <w:t>Section I : Données relatives à l’exécution</w:t>
      </w:r>
    </w:p>
    <w:p w14:paraId="6BA989BD" w14:textId="77777777" w:rsidR="00A27921" w:rsidRPr="00A27921" w:rsidRDefault="00A27921" w:rsidP="00A27921">
      <w:pPr>
        <w:jc w:val="both"/>
        <w:rPr>
          <w:sz w:val="20"/>
        </w:rPr>
      </w:pPr>
    </w:p>
    <w:p w14:paraId="62160FEB" w14:textId="77777777" w:rsidR="00A27921" w:rsidRPr="00A27921" w:rsidRDefault="00A27921" w:rsidP="00A27921">
      <w:pPr>
        <w:jc w:val="both"/>
        <w:rPr>
          <w:sz w:val="20"/>
        </w:rPr>
      </w:pPr>
      <w:r w:rsidRPr="00A27921">
        <w:rPr>
          <w:sz w:val="20"/>
        </w:rPr>
        <w:t>Le tableau figurant dans cette section contient les résultats escomptés auxquels le programme est censé contribuer et les indicateurs d’exécution qui mesurent la contribution du programme aux résultats approuvés par les États membres dans le programme et budget pour 2016</w:t>
      </w:r>
      <w:r w:rsidRPr="00A27921">
        <w:rPr>
          <w:sz w:val="20"/>
        </w:rPr>
        <w:noBreakHyphen/>
        <w:t>2017.  Afin de renforcer l’information en 2016</w:t>
      </w:r>
      <w:r w:rsidRPr="00A27921">
        <w:rPr>
          <w:sz w:val="20"/>
        </w:rPr>
        <w:noBreakHyphen/>
        <w:t>2017, une attention accrue a été accordée à la définition et à l’actualisation des niveaux de référence et des objectifs de façon à mettre à jour les objectifs lorsque ceux</w:t>
      </w:r>
      <w:r w:rsidRPr="00A27921">
        <w:rPr>
          <w:sz w:val="20"/>
        </w:rPr>
        <w:noBreakHyphen/>
        <w:t>ci ont déjà été atteints à la fin de 2015</w:t>
      </w:r>
      <w:r w:rsidRPr="00A27921">
        <w:rPr>
          <w:rStyle w:val="FootnoteReference"/>
          <w:rFonts w:cs="Arial"/>
          <w:sz w:val="20"/>
        </w:rPr>
        <w:footnoteReference w:id="106"/>
      </w:r>
      <w:r w:rsidRPr="00A27921">
        <w:rPr>
          <w:sz w:val="20"/>
        </w:rPr>
        <w:t>.</w:t>
      </w:r>
    </w:p>
    <w:p w14:paraId="036D98BF" w14:textId="77777777" w:rsidR="00A27921" w:rsidRPr="00A27921" w:rsidRDefault="00A27921" w:rsidP="00A27921">
      <w:pPr>
        <w:jc w:val="both"/>
        <w:rPr>
          <w:sz w:val="20"/>
        </w:rPr>
      </w:pPr>
    </w:p>
    <w:p w14:paraId="1E8979DB" w14:textId="77777777" w:rsidR="00A27921" w:rsidRPr="00A27921" w:rsidRDefault="00A27921" w:rsidP="00A27921">
      <w:pPr>
        <w:spacing w:after="120"/>
        <w:jc w:val="both"/>
        <w:rPr>
          <w:sz w:val="20"/>
        </w:rPr>
      </w:pPr>
      <w:r w:rsidRPr="00A27921">
        <w:rPr>
          <w:sz w:val="20"/>
        </w:rPr>
        <w:t>Outre les résultats escomptés et les indicateurs d’exécution, les tableaux de données relatives à l’exécution contiennent les informations suivantes :</w:t>
      </w:r>
    </w:p>
    <w:p w14:paraId="1B148F51" w14:textId="77777777" w:rsidR="00A27921" w:rsidRPr="00A27921" w:rsidRDefault="00A27921" w:rsidP="00767EC2">
      <w:pPr>
        <w:pStyle w:val="ListParagraph"/>
        <w:numPr>
          <w:ilvl w:val="0"/>
          <w:numId w:val="46"/>
        </w:numPr>
        <w:spacing w:after="120"/>
        <w:contextualSpacing w:val="0"/>
        <w:jc w:val="both"/>
        <w:rPr>
          <w:rFonts w:ascii="Arial" w:hAnsi="Arial" w:cs="Arial"/>
          <w:sz w:val="20"/>
          <w:szCs w:val="20"/>
        </w:rPr>
      </w:pPr>
      <w:r w:rsidRPr="00A27921">
        <w:rPr>
          <w:rFonts w:ascii="Arial" w:hAnsi="Arial" w:cs="Arial"/>
          <w:i/>
          <w:sz w:val="20"/>
          <w:szCs w:val="20"/>
        </w:rPr>
        <w:t>Niveau de référence initial dans le programme et budget pour 2016</w:t>
      </w:r>
      <w:r w:rsidRPr="00A27921">
        <w:rPr>
          <w:rFonts w:ascii="Arial" w:hAnsi="Arial" w:cs="Arial"/>
          <w:i/>
          <w:sz w:val="20"/>
          <w:szCs w:val="20"/>
        </w:rPr>
        <w:noBreakHyphen/>
        <w:t>2017</w:t>
      </w:r>
      <w:r w:rsidRPr="00A27921">
        <w:rPr>
          <w:rFonts w:ascii="Arial" w:hAnsi="Arial" w:cs="Arial"/>
          <w:sz w:val="20"/>
          <w:szCs w:val="20"/>
        </w:rPr>
        <w:t> : les niveaux de référence initiaux tels qu’approuvés dans le programme et budget pour l’exercice biennal 2016</w:t>
      </w:r>
      <w:r w:rsidRPr="00A27921">
        <w:rPr>
          <w:rFonts w:ascii="Arial" w:hAnsi="Arial" w:cs="Arial"/>
          <w:sz w:val="20"/>
          <w:szCs w:val="20"/>
        </w:rPr>
        <w:noBreakHyphen/>
        <w:t>2017;</w:t>
      </w:r>
    </w:p>
    <w:p w14:paraId="7ECAD836" w14:textId="77777777" w:rsidR="00A27921" w:rsidRPr="00A27921" w:rsidRDefault="00A27921" w:rsidP="00767EC2">
      <w:pPr>
        <w:pStyle w:val="ListParagraph"/>
        <w:numPr>
          <w:ilvl w:val="0"/>
          <w:numId w:val="46"/>
        </w:numPr>
        <w:spacing w:after="120"/>
        <w:contextualSpacing w:val="0"/>
        <w:jc w:val="both"/>
        <w:rPr>
          <w:rFonts w:ascii="Arial" w:hAnsi="Arial" w:cs="Arial"/>
          <w:sz w:val="20"/>
          <w:szCs w:val="20"/>
        </w:rPr>
      </w:pPr>
      <w:r w:rsidRPr="00A27921">
        <w:rPr>
          <w:rFonts w:ascii="Arial" w:hAnsi="Arial" w:cs="Arial"/>
          <w:i/>
          <w:sz w:val="20"/>
          <w:szCs w:val="20"/>
        </w:rPr>
        <w:t>Niveaux de référence actualisés</w:t>
      </w:r>
      <w:r w:rsidRPr="00A27921">
        <w:rPr>
          <w:rStyle w:val="FootnoteReference"/>
          <w:rFonts w:eastAsiaTheme="minorEastAsia" w:cs="Arial"/>
          <w:i/>
          <w:sz w:val="20"/>
        </w:rPr>
        <w:footnoteReference w:id="107"/>
      </w:r>
      <w:r w:rsidRPr="00A27921">
        <w:rPr>
          <w:rFonts w:ascii="Arial" w:hAnsi="Arial" w:cs="Arial"/>
          <w:sz w:val="20"/>
          <w:szCs w:val="20"/>
        </w:rPr>
        <w:t> : les niveaux de référence éventuellement mis à jour compte tenu de la situation à la fin de 2015;</w:t>
      </w:r>
    </w:p>
    <w:p w14:paraId="46D57BE3" w14:textId="77777777" w:rsidR="00A27921" w:rsidRPr="00A27921" w:rsidRDefault="00A27921" w:rsidP="00767EC2">
      <w:pPr>
        <w:pStyle w:val="ListParagraph"/>
        <w:numPr>
          <w:ilvl w:val="0"/>
          <w:numId w:val="46"/>
        </w:numPr>
        <w:spacing w:after="120"/>
        <w:contextualSpacing w:val="0"/>
        <w:jc w:val="both"/>
        <w:rPr>
          <w:rFonts w:ascii="Arial" w:hAnsi="Arial" w:cs="Arial"/>
          <w:sz w:val="20"/>
          <w:szCs w:val="20"/>
        </w:rPr>
      </w:pPr>
      <w:r w:rsidRPr="00A27921">
        <w:rPr>
          <w:rFonts w:ascii="Arial" w:hAnsi="Arial" w:cs="Arial"/>
          <w:i/>
          <w:sz w:val="20"/>
          <w:szCs w:val="20"/>
        </w:rPr>
        <w:t>Objectif initial dans le programme et budget pour 2016</w:t>
      </w:r>
      <w:r w:rsidRPr="00A27921">
        <w:rPr>
          <w:rFonts w:ascii="Arial" w:hAnsi="Arial" w:cs="Arial"/>
          <w:i/>
          <w:sz w:val="20"/>
          <w:szCs w:val="20"/>
        </w:rPr>
        <w:noBreakHyphen/>
        <w:t>2017 :</w:t>
      </w:r>
      <w:r w:rsidRPr="00A27921">
        <w:rPr>
          <w:rFonts w:ascii="Arial" w:hAnsi="Arial" w:cs="Arial"/>
          <w:sz w:val="20"/>
          <w:szCs w:val="20"/>
        </w:rPr>
        <w:t xml:space="preserve"> les objectifs initiaux tels qu’ils sont définis dans le Programme et budget pour l’exercice biennal 2016</w:t>
      </w:r>
      <w:r w:rsidRPr="00A27921">
        <w:rPr>
          <w:rFonts w:ascii="Arial" w:hAnsi="Arial" w:cs="Arial"/>
          <w:sz w:val="20"/>
          <w:szCs w:val="20"/>
        </w:rPr>
        <w:noBreakHyphen/>
        <w:t>2017;</w:t>
      </w:r>
    </w:p>
    <w:p w14:paraId="06FE9F71" w14:textId="77777777" w:rsidR="00A27921" w:rsidRPr="00A27921" w:rsidRDefault="00A27921" w:rsidP="00767EC2">
      <w:pPr>
        <w:pStyle w:val="ListParagraph"/>
        <w:numPr>
          <w:ilvl w:val="0"/>
          <w:numId w:val="46"/>
        </w:numPr>
        <w:spacing w:after="120"/>
        <w:contextualSpacing w:val="0"/>
        <w:jc w:val="both"/>
        <w:rPr>
          <w:rFonts w:ascii="Arial" w:hAnsi="Arial" w:cs="Arial"/>
          <w:sz w:val="20"/>
          <w:szCs w:val="20"/>
        </w:rPr>
      </w:pPr>
      <w:r w:rsidRPr="00A27921">
        <w:rPr>
          <w:rFonts w:ascii="Arial" w:hAnsi="Arial" w:cs="Arial"/>
          <w:i/>
          <w:sz w:val="20"/>
          <w:szCs w:val="20"/>
        </w:rPr>
        <w:t>Objectif défini ou actualisé</w:t>
      </w:r>
      <w:r w:rsidRPr="00A27921">
        <w:rPr>
          <w:rStyle w:val="FootnoteReference"/>
          <w:rFonts w:eastAsiaTheme="minorEastAsia" w:cs="Arial"/>
          <w:i/>
          <w:sz w:val="20"/>
        </w:rPr>
        <w:footnoteReference w:id="108"/>
      </w:r>
      <w:r w:rsidRPr="00A27921">
        <w:rPr>
          <w:rFonts w:ascii="Arial" w:hAnsi="Arial" w:cs="Arial"/>
          <w:sz w:val="20"/>
          <w:szCs w:val="20"/>
        </w:rPr>
        <w:t> : i) les objectifs initialement caractérisés par la mention “à déterminer” dans le programme et budget 2016</w:t>
      </w:r>
      <w:r w:rsidRPr="00A27921">
        <w:rPr>
          <w:rFonts w:ascii="Arial" w:hAnsi="Arial" w:cs="Arial"/>
          <w:sz w:val="20"/>
          <w:szCs w:val="20"/>
        </w:rPr>
        <w:noBreakHyphen/>
        <w:t>2017 qui ont été définis sur la base des données à fin 2015</w:t>
      </w:r>
      <w:r w:rsidRPr="00A27921">
        <w:rPr>
          <w:rStyle w:val="FootnoteReference"/>
          <w:rFonts w:eastAsiaTheme="minorEastAsia" w:cs="Arial"/>
          <w:sz w:val="20"/>
        </w:rPr>
        <w:footnoteReference w:id="109"/>
      </w:r>
      <w:r w:rsidRPr="00A27921">
        <w:rPr>
          <w:rFonts w:ascii="Arial" w:hAnsi="Arial" w:cs="Arial"/>
          <w:sz w:val="20"/>
          <w:szCs w:val="20"/>
        </w:rPr>
        <w:t>;  ou ii) les objectifs qui ont été mis à jour lorsque l’objectif initial a déjà été atteint à la fin de 2015;</w:t>
      </w:r>
    </w:p>
    <w:p w14:paraId="71375BB5" w14:textId="77777777" w:rsidR="00A27921" w:rsidRPr="00A27921" w:rsidRDefault="00A27921" w:rsidP="00767EC2">
      <w:pPr>
        <w:pStyle w:val="ListParagraph"/>
        <w:numPr>
          <w:ilvl w:val="0"/>
          <w:numId w:val="46"/>
        </w:numPr>
        <w:spacing w:after="120"/>
        <w:contextualSpacing w:val="0"/>
        <w:jc w:val="both"/>
        <w:rPr>
          <w:rFonts w:ascii="Arial" w:hAnsi="Arial" w:cs="Arial"/>
          <w:sz w:val="20"/>
          <w:szCs w:val="20"/>
        </w:rPr>
      </w:pPr>
      <w:r w:rsidRPr="00A27921">
        <w:rPr>
          <w:rFonts w:ascii="Arial" w:hAnsi="Arial" w:cs="Arial"/>
          <w:i/>
          <w:sz w:val="20"/>
          <w:szCs w:val="20"/>
        </w:rPr>
        <w:t>Données relatives à l’exécution</w:t>
      </w:r>
      <w:r w:rsidRPr="00A27921">
        <w:rPr>
          <w:rFonts w:ascii="Arial" w:hAnsi="Arial" w:cs="Arial"/>
          <w:sz w:val="20"/>
          <w:szCs w:val="20"/>
        </w:rPr>
        <w:t> : les données relatives à l’exécution du programme en 2016 en ce qui concerne chaque indicateur.  En règle générale, lorsque les données relatives à l’exécution sont mesurées en pourcentage de variation (augmentation ou diminution), le pourcentage de variation est, sauf indication contraire, indiqué par comparaison avec l’année précédente, par exemple, variation en pourcentage en 2016 par rapport à 2015;  et</w:t>
      </w:r>
    </w:p>
    <w:p w14:paraId="73C62EA7" w14:textId="77777777" w:rsidR="00A27921" w:rsidRPr="00A27921" w:rsidRDefault="00A27921" w:rsidP="00767EC2">
      <w:pPr>
        <w:pStyle w:val="ListParagraph"/>
        <w:numPr>
          <w:ilvl w:val="0"/>
          <w:numId w:val="46"/>
        </w:numPr>
        <w:contextualSpacing w:val="0"/>
        <w:jc w:val="both"/>
        <w:rPr>
          <w:rFonts w:ascii="Arial" w:hAnsi="Arial" w:cs="Arial"/>
          <w:sz w:val="20"/>
          <w:szCs w:val="20"/>
        </w:rPr>
      </w:pPr>
      <w:r w:rsidRPr="00A27921">
        <w:rPr>
          <w:rFonts w:ascii="Arial" w:hAnsi="Arial" w:cs="Arial"/>
          <w:i/>
          <w:sz w:val="20"/>
          <w:szCs w:val="20"/>
        </w:rPr>
        <w:t>Code d’évaluation</w:t>
      </w:r>
      <w:r w:rsidRPr="00A27921">
        <w:rPr>
          <w:rFonts w:ascii="Arial" w:hAnsi="Arial" w:cs="Arial"/>
          <w:sz w:val="20"/>
          <w:szCs w:val="20"/>
        </w:rPr>
        <w:t> : une évaluation de l’exécution du programme au moyen du système de code de couleurs.</w:t>
      </w:r>
    </w:p>
    <w:p w14:paraId="14F8BF45" w14:textId="77777777" w:rsidR="00A27921" w:rsidRPr="00A27921" w:rsidRDefault="00A27921" w:rsidP="00A27921">
      <w:pPr>
        <w:jc w:val="both"/>
        <w:rPr>
          <w:sz w:val="20"/>
        </w:rPr>
      </w:pPr>
    </w:p>
    <w:p w14:paraId="25CE849F" w14:textId="77777777" w:rsidR="00A27921" w:rsidRPr="00A27921" w:rsidRDefault="00A27921" w:rsidP="00A27921">
      <w:pPr>
        <w:rPr>
          <w:i/>
          <w:iCs/>
          <w:sz w:val="20"/>
        </w:rPr>
      </w:pPr>
      <w:r w:rsidRPr="00A27921">
        <w:rPr>
          <w:i/>
          <w:iCs/>
          <w:sz w:val="20"/>
        </w:rPr>
        <w:br w:type="page"/>
      </w:r>
    </w:p>
    <w:p w14:paraId="7EC29755" w14:textId="77777777" w:rsidR="00A27921" w:rsidRPr="00A27921" w:rsidRDefault="00A27921" w:rsidP="00A27921">
      <w:pPr>
        <w:jc w:val="both"/>
        <w:rPr>
          <w:i/>
          <w:iCs/>
          <w:sz w:val="20"/>
        </w:rPr>
      </w:pPr>
      <w:r w:rsidRPr="00A27921">
        <w:rPr>
          <w:i/>
          <w:iCs/>
          <w:sz w:val="20"/>
        </w:rPr>
        <w:t>Section II : Utilisation des ressources en 2016</w:t>
      </w:r>
    </w:p>
    <w:p w14:paraId="0A349457" w14:textId="77777777" w:rsidR="00A27921" w:rsidRPr="00A27921" w:rsidRDefault="00A27921" w:rsidP="00A27921">
      <w:pPr>
        <w:jc w:val="both"/>
        <w:rPr>
          <w:sz w:val="20"/>
        </w:rPr>
      </w:pPr>
    </w:p>
    <w:p w14:paraId="1E2B75D8" w14:textId="77777777" w:rsidR="00A27921" w:rsidRPr="00A27921" w:rsidRDefault="00A27921" w:rsidP="00A27921">
      <w:pPr>
        <w:tabs>
          <w:tab w:val="left" w:pos="851"/>
        </w:tabs>
        <w:jc w:val="both"/>
        <w:rPr>
          <w:sz w:val="20"/>
        </w:rPr>
      </w:pPr>
      <w:r w:rsidRPr="00A27921">
        <w:rPr>
          <w:sz w:val="20"/>
        </w:rPr>
        <w:t>Cette section fournit des informations sur le budget approuvé pour l’exercice biennal 2016</w:t>
      </w:r>
      <w:r w:rsidRPr="00A27921">
        <w:rPr>
          <w:sz w:val="20"/>
        </w:rPr>
        <w:noBreakHyphen/>
        <w:t>2017, le budget 2016</w:t>
      </w:r>
      <w:r w:rsidRPr="00A27921">
        <w:rPr>
          <w:sz w:val="20"/>
        </w:rPr>
        <w:noBreakHyphen/>
        <w:t>2017 après virements, ainsi que les dépenses effectives et l’utilisation du budget en 2016.  Les informations communiquées dans cette section sont réparties en deux tableaux :</w:t>
      </w:r>
    </w:p>
    <w:p w14:paraId="0454A7B4" w14:textId="77777777" w:rsidR="00A27921" w:rsidRPr="00A27921" w:rsidRDefault="00A27921" w:rsidP="00A27921">
      <w:pPr>
        <w:tabs>
          <w:tab w:val="left" w:pos="851"/>
        </w:tabs>
        <w:jc w:val="both"/>
        <w:rPr>
          <w:sz w:val="20"/>
        </w:rPr>
      </w:pPr>
    </w:p>
    <w:p w14:paraId="3EB25BC3" w14:textId="77777777" w:rsidR="00A27921" w:rsidRPr="00A27921" w:rsidRDefault="00A27921" w:rsidP="00767EC2">
      <w:pPr>
        <w:pStyle w:val="ListParagraph"/>
        <w:numPr>
          <w:ilvl w:val="0"/>
          <w:numId w:val="47"/>
        </w:numPr>
        <w:spacing w:after="120"/>
        <w:ind w:left="357" w:hanging="357"/>
        <w:contextualSpacing w:val="0"/>
        <w:jc w:val="both"/>
        <w:rPr>
          <w:rFonts w:ascii="Arial" w:hAnsi="Arial" w:cs="Arial"/>
          <w:sz w:val="20"/>
          <w:szCs w:val="20"/>
        </w:rPr>
      </w:pPr>
      <w:r w:rsidRPr="00A27921">
        <w:rPr>
          <w:rFonts w:ascii="Arial" w:hAnsi="Arial" w:cs="Arial"/>
          <w:sz w:val="20"/>
          <w:szCs w:val="20"/>
        </w:rPr>
        <w:t>La partie Budget et dépenses effectives (</w:t>
      </w:r>
      <w:r w:rsidRPr="00A27921">
        <w:rPr>
          <w:rFonts w:ascii="Arial" w:hAnsi="Arial" w:cs="Arial"/>
          <w:i/>
          <w:sz w:val="20"/>
          <w:szCs w:val="20"/>
        </w:rPr>
        <w:t>par résultat</w:t>
      </w:r>
      <w:r w:rsidRPr="00A27921">
        <w:rPr>
          <w:rFonts w:ascii="Arial" w:hAnsi="Arial" w:cs="Arial"/>
          <w:sz w:val="20"/>
          <w:szCs w:val="20"/>
        </w:rPr>
        <w:t>) donne des informations sur le budget approuvé pour l’exercice biennal 2016</w:t>
      </w:r>
      <w:r w:rsidRPr="00A27921">
        <w:rPr>
          <w:rFonts w:ascii="Arial" w:hAnsi="Arial" w:cs="Arial"/>
          <w:sz w:val="20"/>
          <w:szCs w:val="20"/>
        </w:rPr>
        <w:noBreakHyphen/>
        <w:t>2017, le budget 2016</w:t>
      </w:r>
      <w:r w:rsidRPr="00A27921">
        <w:rPr>
          <w:rFonts w:ascii="Arial" w:hAnsi="Arial" w:cs="Arial"/>
          <w:sz w:val="20"/>
          <w:szCs w:val="20"/>
        </w:rPr>
        <w:noBreakHyphen/>
        <w:t>2017 après virements, et les dépenses consenties en 2016 par résultat;  et</w:t>
      </w:r>
    </w:p>
    <w:p w14:paraId="5B772A98" w14:textId="77777777" w:rsidR="00A27921" w:rsidRPr="00A27921" w:rsidRDefault="00A27921" w:rsidP="00767EC2">
      <w:pPr>
        <w:pStyle w:val="ListParagraph"/>
        <w:numPr>
          <w:ilvl w:val="0"/>
          <w:numId w:val="47"/>
        </w:numPr>
        <w:contextualSpacing w:val="0"/>
        <w:jc w:val="both"/>
        <w:rPr>
          <w:rFonts w:ascii="Arial" w:hAnsi="Arial" w:cs="Arial"/>
          <w:sz w:val="20"/>
          <w:szCs w:val="20"/>
        </w:rPr>
      </w:pPr>
      <w:r w:rsidRPr="00A27921">
        <w:rPr>
          <w:rFonts w:ascii="Arial" w:hAnsi="Arial" w:cs="Arial"/>
          <w:sz w:val="20"/>
          <w:szCs w:val="20"/>
        </w:rPr>
        <w:t>La partie Budget et dépenses effectives (</w:t>
      </w:r>
      <w:r w:rsidRPr="00A27921">
        <w:rPr>
          <w:rFonts w:ascii="Arial" w:hAnsi="Arial" w:cs="Arial"/>
          <w:i/>
          <w:sz w:val="20"/>
          <w:szCs w:val="20"/>
        </w:rPr>
        <w:t>ressources en personnel et autres ressources</w:t>
      </w:r>
      <w:r w:rsidRPr="00A27921">
        <w:rPr>
          <w:rFonts w:ascii="Arial" w:hAnsi="Arial" w:cs="Arial"/>
          <w:sz w:val="20"/>
          <w:szCs w:val="20"/>
        </w:rPr>
        <w:t>) fournit des informations sur le budget approuvé pour l’exercice biennal 2016</w:t>
      </w:r>
      <w:r w:rsidRPr="00A27921">
        <w:rPr>
          <w:rFonts w:ascii="Arial" w:hAnsi="Arial" w:cs="Arial"/>
          <w:sz w:val="20"/>
          <w:szCs w:val="20"/>
        </w:rPr>
        <w:noBreakHyphen/>
        <w:t>2017, le budget 2016</w:t>
      </w:r>
      <w:r w:rsidRPr="00A27921">
        <w:rPr>
          <w:rFonts w:ascii="Arial" w:hAnsi="Arial" w:cs="Arial"/>
          <w:sz w:val="20"/>
          <w:szCs w:val="20"/>
        </w:rPr>
        <w:noBreakHyphen/>
        <w:t>2017 après virements, les dépenses consenties en 2016 (dépenses de personnel et autres dépenses), et le taux d’utilisation.</w:t>
      </w:r>
    </w:p>
    <w:p w14:paraId="05A9F27F" w14:textId="77777777" w:rsidR="00A27921" w:rsidRPr="00A27921" w:rsidRDefault="00A27921" w:rsidP="00A27921">
      <w:pPr>
        <w:autoSpaceDE w:val="0"/>
        <w:autoSpaceDN w:val="0"/>
        <w:adjustRightInd w:val="0"/>
        <w:jc w:val="both"/>
        <w:rPr>
          <w:sz w:val="20"/>
        </w:rPr>
      </w:pPr>
    </w:p>
    <w:p w14:paraId="63C8AD7A" w14:textId="77777777" w:rsidR="00A27921" w:rsidRPr="00A27921" w:rsidRDefault="00A27921" w:rsidP="00A27921">
      <w:pPr>
        <w:autoSpaceDE w:val="0"/>
        <w:autoSpaceDN w:val="0"/>
        <w:adjustRightInd w:val="0"/>
        <w:jc w:val="both"/>
        <w:rPr>
          <w:sz w:val="20"/>
        </w:rPr>
      </w:pPr>
      <w:r w:rsidRPr="00A27921">
        <w:rPr>
          <w:sz w:val="20"/>
        </w:rPr>
        <w:t>Les différences entre le budget approuvé et le budget après virements font l’objet d’explications, de même que l’utilisation du budget, grâce à une présentation par résultat et par objet de dépense (dépenses de personnel et autres dépenses).</w:t>
      </w:r>
    </w:p>
    <w:p w14:paraId="24B41C21" w14:textId="77777777" w:rsidR="00A27921" w:rsidRPr="00A27921" w:rsidRDefault="00A27921" w:rsidP="00A27921">
      <w:pPr>
        <w:autoSpaceDE w:val="0"/>
        <w:autoSpaceDN w:val="0"/>
        <w:adjustRightInd w:val="0"/>
        <w:jc w:val="both"/>
        <w:rPr>
          <w:sz w:val="20"/>
        </w:rPr>
      </w:pPr>
    </w:p>
    <w:p w14:paraId="2CA7ECAA" w14:textId="77777777" w:rsidR="00A27921" w:rsidRPr="00A27921" w:rsidRDefault="00A27921" w:rsidP="00A27921">
      <w:pPr>
        <w:autoSpaceDE w:val="0"/>
        <w:autoSpaceDN w:val="0"/>
        <w:adjustRightInd w:val="0"/>
        <w:jc w:val="both"/>
        <w:rPr>
          <w:sz w:val="20"/>
        </w:rPr>
      </w:pPr>
    </w:p>
    <w:p w14:paraId="412F04F5" w14:textId="77777777" w:rsidR="00A27921" w:rsidRPr="00A27921" w:rsidRDefault="00A27921" w:rsidP="00A27921">
      <w:pPr>
        <w:autoSpaceDE w:val="0"/>
        <w:autoSpaceDN w:val="0"/>
        <w:adjustRightInd w:val="0"/>
        <w:jc w:val="both"/>
        <w:rPr>
          <w:sz w:val="20"/>
        </w:rPr>
      </w:pPr>
    </w:p>
    <w:p w14:paraId="43DE049E" w14:textId="77777777" w:rsidR="00A27921" w:rsidRPr="00A27921" w:rsidRDefault="00A27921" w:rsidP="00A27921">
      <w:pPr>
        <w:pStyle w:val="Endofdocument-Annex"/>
        <w:rPr>
          <w:sz w:val="20"/>
          <w:lang w:val="fr-FR"/>
        </w:rPr>
      </w:pPr>
      <w:r w:rsidRPr="00A27921">
        <w:rPr>
          <w:sz w:val="20"/>
          <w:lang w:val="fr-FR"/>
        </w:rPr>
        <w:t>[L’appendice II suit]</w:t>
      </w:r>
    </w:p>
    <w:p w14:paraId="0DDF677A" w14:textId="49727B3A" w:rsidR="00767EC2" w:rsidRDefault="00767EC2">
      <w:pPr>
        <w:rPr>
          <w:bCs/>
          <w:iCs/>
          <w:sz w:val="20"/>
        </w:rPr>
      </w:pPr>
      <w:r>
        <w:rPr>
          <w:bCs/>
          <w:iCs/>
          <w:sz w:val="20"/>
        </w:rPr>
        <w:br w:type="page"/>
      </w:r>
    </w:p>
    <w:p w14:paraId="0861A06E" w14:textId="666A6438" w:rsidR="00767EC2" w:rsidRPr="00F076D7" w:rsidRDefault="00767EC2" w:rsidP="00767EC2">
      <w:pPr>
        <w:pStyle w:val="Heading3"/>
        <w:ind w:left="0" w:firstLine="0"/>
        <w:rPr>
          <w:bCs/>
        </w:rPr>
      </w:pPr>
      <w:bookmarkStart w:id="91" w:name="_Toc454544506"/>
      <w:bookmarkStart w:id="92" w:name="_Toc482774630"/>
      <w:r>
        <w:rPr>
          <w:lang w:eastAsia="zh-CN"/>
        </w:rPr>
        <w:t>A</w:t>
      </w:r>
      <w:r w:rsidRPr="00F076D7">
        <w:rPr>
          <w:lang w:eastAsia="zh-CN"/>
        </w:rPr>
        <w:t>ppendice </w:t>
      </w:r>
      <w:r>
        <w:rPr>
          <w:lang w:eastAsia="zh-CN"/>
        </w:rPr>
        <w:t>II</w:t>
      </w:r>
      <w:r>
        <w:rPr>
          <w:lang w:eastAsia="zh-CN"/>
        </w:rPr>
        <w:tab/>
      </w:r>
      <w:r>
        <w:rPr>
          <w:lang w:eastAsia="zh-CN"/>
        </w:rPr>
        <w:br/>
      </w:r>
      <w:bookmarkEnd w:id="91"/>
      <w:r w:rsidRPr="00F076D7">
        <w:rPr>
          <w:bCs/>
        </w:rPr>
        <w:t>Mise en œuvre des fonds fiduciaires 2016</w:t>
      </w:r>
      <w:bookmarkEnd w:id="92"/>
    </w:p>
    <w:p w14:paraId="245458BB" w14:textId="77777777" w:rsidR="00767EC2" w:rsidRPr="00F076D7" w:rsidRDefault="00767EC2" w:rsidP="00767EC2">
      <w:pPr>
        <w:rPr>
          <w:sz w:val="20"/>
        </w:rPr>
      </w:pPr>
    </w:p>
    <w:p w14:paraId="52DCBD52" w14:textId="77777777" w:rsidR="00767EC2" w:rsidRPr="00F076D7" w:rsidRDefault="00767EC2" w:rsidP="00767EC2">
      <w:pPr>
        <w:jc w:val="both"/>
        <w:rPr>
          <w:sz w:val="20"/>
        </w:rPr>
      </w:pPr>
      <w:r w:rsidRPr="00F076D7">
        <w:rPr>
          <w:sz w:val="20"/>
        </w:rPr>
        <w:t>Dans le cadre des efforts déployés pour encourager l’intégration de toutes les activités dans le cadre de gestion axée sur les résultats de l’Organisation, quelle que soit la source des fonds, la présente annexe donne une vue globale des activités mises en œuvre pour les fonds fiduciaires de l’OMPI.  En même temps, ce rapport répond à une demande émise par les donateurs qui souhaitaient obtenir un rapport plus exhaustif sur tous les fonds fiduciaires avec des informations financières et programmatiques.  Dans une volonté de regrouper tous les rapports, le rapport sur les fonds fiduciaires fait partie intégrante du rapport sur l’exécution du programme et couvre des activités mises en œuvre en 2016.  Le rapport annuel suivant concernant les fonds fiduciaires sera inclus dans le Rapport sur l’exécution du programme en 2016</w:t>
      </w:r>
      <w:r w:rsidRPr="00F076D7">
        <w:rPr>
          <w:sz w:val="20"/>
        </w:rPr>
        <w:noBreakHyphen/>
        <w:t>2017.  La présente annexe concerne les fonds fiduciaires précisés dans le tableau ci</w:t>
      </w:r>
      <w:r w:rsidRPr="00F076D7">
        <w:rPr>
          <w:sz w:val="20"/>
        </w:rPr>
        <w:noBreakHyphen/>
        <w:t>dessous et exclut ceux des administrateurs auxiliaires.</w:t>
      </w:r>
    </w:p>
    <w:p w14:paraId="7957E640" w14:textId="77777777" w:rsidR="00767EC2" w:rsidRPr="00767EC2" w:rsidRDefault="00767EC2" w:rsidP="00767EC2">
      <w:pPr>
        <w:rPr>
          <w:sz w:val="2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0A0" w:firstRow="1" w:lastRow="0" w:firstColumn="1" w:lastColumn="0" w:noHBand="0" w:noVBand="0"/>
      </w:tblPr>
      <w:tblGrid>
        <w:gridCol w:w="4502"/>
        <w:gridCol w:w="4785"/>
      </w:tblGrid>
      <w:tr w:rsidR="00767EC2" w:rsidRPr="00F076D7" w14:paraId="69682817" w14:textId="77777777" w:rsidTr="00A83D07">
        <w:trPr>
          <w:cantSplit/>
        </w:trPr>
        <w:tc>
          <w:tcPr>
            <w:tcW w:w="4502" w:type="dxa"/>
            <w:shd w:val="clear" w:color="auto" w:fill="C6D9F1" w:themeFill="text2" w:themeFillTint="33"/>
            <w:tcMar>
              <w:top w:w="57" w:type="dxa"/>
              <w:left w:w="108" w:type="dxa"/>
              <w:bottom w:w="57" w:type="dxa"/>
              <w:right w:w="108" w:type="dxa"/>
            </w:tcMar>
            <w:vAlign w:val="center"/>
          </w:tcPr>
          <w:p w14:paraId="3C2921EE" w14:textId="77777777" w:rsidR="00767EC2" w:rsidRPr="00F076D7" w:rsidRDefault="00767EC2" w:rsidP="00A83D07">
            <w:pPr>
              <w:jc w:val="center"/>
              <w:rPr>
                <w:b/>
                <w:bCs/>
                <w:sz w:val="18"/>
                <w:szCs w:val="18"/>
              </w:rPr>
            </w:pPr>
            <w:r w:rsidRPr="00F076D7">
              <w:rPr>
                <w:b/>
                <w:bCs/>
                <w:sz w:val="18"/>
                <w:szCs w:val="18"/>
              </w:rPr>
              <w:t>FONDS FIDUCIAIRES</w:t>
            </w:r>
          </w:p>
        </w:tc>
        <w:tc>
          <w:tcPr>
            <w:tcW w:w="4785" w:type="dxa"/>
            <w:shd w:val="clear" w:color="auto" w:fill="C6D9F1" w:themeFill="text2" w:themeFillTint="33"/>
            <w:tcMar>
              <w:top w:w="57" w:type="dxa"/>
              <w:left w:w="108" w:type="dxa"/>
              <w:bottom w:w="57" w:type="dxa"/>
              <w:right w:w="108" w:type="dxa"/>
            </w:tcMar>
            <w:vAlign w:val="center"/>
          </w:tcPr>
          <w:p w14:paraId="11078AE5" w14:textId="77777777" w:rsidR="00767EC2" w:rsidRPr="00F076D7" w:rsidRDefault="00767EC2" w:rsidP="00A83D07">
            <w:pPr>
              <w:jc w:val="center"/>
              <w:rPr>
                <w:b/>
                <w:bCs/>
                <w:sz w:val="18"/>
                <w:szCs w:val="18"/>
              </w:rPr>
            </w:pPr>
            <w:r w:rsidRPr="00F076D7">
              <w:rPr>
                <w:b/>
                <w:bCs/>
                <w:sz w:val="18"/>
                <w:szCs w:val="18"/>
              </w:rPr>
              <w:t>SECTEUR DE MISE EN ŒUVRE</w:t>
            </w:r>
          </w:p>
        </w:tc>
      </w:tr>
      <w:tr w:rsidR="00767EC2" w:rsidRPr="00F076D7" w14:paraId="650688CA" w14:textId="77777777" w:rsidTr="00A83D07">
        <w:trPr>
          <w:cantSplit/>
        </w:trPr>
        <w:tc>
          <w:tcPr>
            <w:tcW w:w="4502" w:type="dxa"/>
            <w:tcMar>
              <w:top w:w="57" w:type="dxa"/>
              <w:left w:w="108" w:type="dxa"/>
              <w:bottom w:w="57" w:type="dxa"/>
              <w:right w:w="108" w:type="dxa"/>
            </w:tcMar>
          </w:tcPr>
          <w:p w14:paraId="5BD6DD56" w14:textId="77777777" w:rsidR="00767EC2" w:rsidRPr="00F076D7" w:rsidRDefault="00767EC2" w:rsidP="00A83D07">
            <w:pPr>
              <w:rPr>
                <w:sz w:val="18"/>
                <w:szCs w:val="18"/>
              </w:rPr>
            </w:pPr>
            <w:r w:rsidRPr="00F076D7">
              <w:rPr>
                <w:sz w:val="18"/>
                <w:szCs w:val="18"/>
              </w:rPr>
              <w:t>Australie I</w:t>
            </w:r>
          </w:p>
        </w:tc>
        <w:tc>
          <w:tcPr>
            <w:tcW w:w="4785" w:type="dxa"/>
            <w:tcMar>
              <w:top w:w="57" w:type="dxa"/>
              <w:left w:w="108" w:type="dxa"/>
              <w:bottom w:w="57" w:type="dxa"/>
              <w:right w:w="108" w:type="dxa"/>
            </w:tcMar>
          </w:tcPr>
          <w:p w14:paraId="5CF6040F" w14:textId="77777777" w:rsidR="00767EC2" w:rsidRPr="00F076D7" w:rsidRDefault="00767EC2" w:rsidP="00A83D07">
            <w:pPr>
              <w:rPr>
                <w:sz w:val="18"/>
                <w:szCs w:val="18"/>
              </w:rPr>
            </w:pPr>
            <w:r w:rsidRPr="00F076D7">
              <w:rPr>
                <w:sz w:val="18"/>
                <w:szCs w:val="18"/>
              </w:rPr>
              <w:t>Cabinet du Directeur général</w:t>
            </w:r>
          </w:p>
        </w:tc>
      </w:tr>
      <w:tr w:rsidR="00767EC2" w:rsidRPr="00F076D7" w14:paraId="13CB01E2" w14:textId="77777777" w:rsidTr="00A83D07">
        <w:trPr>
          <w:cantSplit/>
        </w:trPr>
        <w:tc>
          <w:tcPr>
            <w:tcW w:w="4502" w:type="dxa"/>
            <w:tcMar>
              <w:top w:w="57" w:type="dxa"/>
              <w:left w:w="108" w:type="dxa"/>
              <w:bottom w:w="57" w:type="dxa"/>
              <w:right w:w="108" w:type="dxa"/>
            </w:tcMar>
          </w:tcPr>
          <w:p w14:paraId="46BAA950" w14:textId="77777777" w:rsidR="00767EC2" w:rsidRPr="00F076D7" w:rsidRDefault="00767EC2" w:rsidP="00A83D07">
            <w:pPr>
              <w:rPr>
                <w:sz w:val="18"/>
                <w:szCs w:val="18"/>
              </w:rPr>
            </w:pPr>
            <w:r w:rsidRPr="00F076D7">
              <w:rPr>
                <w:sz w:val="18"/>
                <w:szCs w:val="18"/>
              </w:rPr>
              <w:t>Australie II</w:t>
            </w:r>
          </w:p>
        </w:tc>
        <w:tc>
          <w:tcPr>
            <w:tcW w:w="4785" w:type="dxa"/>
            <w:tcMar>
              <w:top w:w="57" w:type="dxa"/>
              <w:left w:w="108" w:type="dxa"/>
              <w:bottom w:w="57" w:type="dxa"/>
              <w:right w:w="108" w:type="dxa"/>
            </w:tcMar>
          </w:tcPr>
          <w:p w14:paraId="01FE4C8A" w14:textId="77777777" w:rsidR="00767EC2" w:rsidRPr="00F076D7" w:rsidRDefault="00767EC2" w:rsidP="00A83D07">
            <w:pPr>
              <w:rPr>
                <w:sz w:val="18"/>
                <w:szCs w:val="18"/>
              </w:rPr>
            </w:pPr>
            <w:r w:rsidRPr="00F076D7">
              <w:rPr>
                <w:sz w:val="18"/>
                <w:szCs w:val="18"/>
              </w:rPr>
              <w:t>Cabinet du Directeur général</w:t>
            </w:r>
          </w:p>
        </w:tc>
      </w:tr>
      <w:tr w:rsidR="00767EC2" w:rsidRPr="00F076D7" w14:paraId="664A6393" w14:textId="77777777" w:rsidTr="00A83D07">
        <w:trPr>
          <w:cantSplit/>
        </w:trPr>
        <w:tc>
          <w:tcPr>
            <w:tcW w:w="4502" w:type="dxa"/>
            <w:tcMar>
              <w:top w:w="57" w:type="dxa"/>
              <w:left w:w="108" w:type="dxa"/>
              <w:bottom w:w="57" w:type="dxa"/>
              <w:right w:w="108" w:type="dxa"/>
            </w:tcMar>
            <w:vAlign w:val="center"/>
          </w:tcPr>
          <w:p w14:paraId="6E13F3F9" w14:textId="77777777" w:rsidR="00767EC2" w:rsidRPr="00F076D7" w:rsidRDefault="00767EC2" w:rsidP="00A83D07">
            <w:pPr>
              <w:rPr>
                <w:sz w:val="18"/>
                <w:szCs w:val="18"/>
              </w:rPr>
            </w:pPr>
            <w:r w:rsidRPr="00F076D7">
              <w:rPr>
                <w:sz w:val="18"/>
                <w:szCs w:val="18"/>
              </w:rPr>
              <w:t>Brésil Sud</w:t>
            </w:r>
          </w:p>
        </w:tc>
        <w:tc>
          <w:tcPr>
            <w:tcW w:w="4785" w:type="dxa"/>
            <w:tcMar>
              <w:top w:w="57" w:type="dxa"/>
              <w:left w:w="108" w:type="dxa"/>
              <w:bottom w:w="57" w:type="dxa"/>
              <w:right w:w="108" w:type="dxa"/>
            </w:tcMar>
            <w:vAlign w:val="center"/>
          </w:tcPr>
          <w:p w14:paraId="0E838322" w14:textId="77777777" w:rsidR="00767EC2" w:rsidRPr="00F076D7" w:rsidRDefault="00767EC2" w:rsidP="00A83D07">
            <w:pPr>
              <w:rPr>
                <w:sz w:val="18"/>
                <w:szCs w:val="18"/>
              </w:rPr>
            </w:pPr>
            <w:r w:rsidRPr="00F076D7">
              <w:rPr>
                <w:sz w:val="18"/>
                <w:szCs w:val="18"/>
              </w:rPr>
              <w:t>Cabinet du Directeur général</w:t>
            </w:r>
          </w:p>
        </w:tc>
      </w:tr>
      <w:tr w:rsidR="00767EC2" w:rsidRPr="00F076D7" w14:paraId="788DEBC4" w14:textId="77777777" w:rsidTr="00A83D07">
        <w:trPr>
          <w:cantSplit/>
        </w:trPr>
        <w:tc>
          <w:tcPr>
            <w:tcW w:w="4502" w:type="dxa"/>
            <w:tcMar>
              <w:top w:w="57" w:type="dxa"/>
              <w:left w:w="108" w:type="dxa"/>
              <w:bottom w:w="57" w:type="dxa"/>
              <w:right w:w="108" w:type="dxa"/>
            </w:tcMar>
          </w:tcPr>
          <w:p w14:paraId="4EDAEF65" w14:textId="77777777" w:rsidR="00767EC2" w:rsidRPr="00F076D7" w:rsidRDefault="00767EC2" w:rsidP="00A83D07">
            <w:pPr>
              <w:rPr>
                <w:sz w:val="18"/>
                <w:szCs w:val="18"/>
              </w:rPr>
            </w:pPr>
            <w:r w:rsidRPr="00F076D7">
              <w:rPr>
                <w:sz w:val="18"/>
                <w:szCs w:val="18"/>
              </w:rPr>
              <w:t>Espagne</w:t>
            </w:r>
          </w:p>
        </w:tc>
        <w:tc>
          <w:tcPr>
            <w:tcW w:w="4785" w:type="dxa"/>
            <w:tcMar>
              <w:top w:w="57" w:type="dxa"/>
              <w:left w:w="108" w:type="dxa"/>
              <w:bottom w:w="57" w:type="dxa"/>
              <w:right w:w="108" w:type="dxa"/>
            </w:tcMar>
          </w:tcPr>
          <w:p w14:paraId="401ECC3C" w14:textId="77777777" w:rsidR="00767EC2" w:rsidRPr="00F076D7" w:rsidRDefault="00767EC2" w:rsidP="00A83D07">
            <w:pPr>
              <w:rPr>
                <w:sz w:val="18"/>
                <w:szCs w:val="18"/>
              </w:rPr>
            </w:pPr>
            <w:r w:rsidRPr="00F076D7">
              <w:rPr>
                <w:sz w:val="18"/>
                <w:szCs w:val="18"/>
              </w:rPr>
              <w:t>Secteur du développement</w:t>
            </w:r>
          </w:p>
        </w:tc>
      </w:tr>
      <w:tr w:rsidR="00767EC2" w:rsidRPr="00F076D7" w14:paraId="30595071" w14:textId="77777777" w:rsidTr="00A83D07">
        <w:trPr>
          <w:cantSplit/>
        </w:trPr>
        <w:tc>
          <w:tcPr>
            <w:tcW w:w="4502" w:type="dxa"/>
            <w:tcMar>
              <w:top w:w="57" w:type="dxa"/>
              <w:left w:w="108" w:type="dxa"/>
              <w:bottom w:w="57" w:type="dxa"/>
              <w:right w:w="108" w:type="dxa"/>
            </w:tcMar>
          </w:tcPr>
          <w:p w14:paraId="779AB376" w14:textId="77777777" w:rsidR="00767EC2" w:rsidRPr="00F076D7" w:rsidRDefault="00767EC2" w:rsidP="00A83D07">
            <w:pPr>
              <w:rPr>
                <w:sz w:val="18"/>
                <w:szCs w:val="18"/>
              </w:rPr>
            </w:pPr>
            <w:r w:rsidRPr="00F076D7">
              <w:rPr>
                <w:sz w:val="18"/>
                <w:szCs w:val="18"/>
              </w:rPr>
              <w:t>États</w:t>
            </w:r>
            <w:r w:rsidRPr="00F076D7">
              <w:rPr>
                <w:sz w:val="18"/>
                <w:szCs w:val="18"/>
              </w:rPr>
              <w:noBreakHyphen/>
              <w:t>Unis d’Amérique/industries de la création</w:t>
            </w:r>
          </w:p>
        </w:tc>
        <w:tc>
          <w:tcPr>
            <w:tcW w:w="4785" w:type="dxa"/>
            <w:tcMar>
              <w:top w:w="57" w:type="dxa"/>
              <w:left w:w="108" w:type="dxa"/>
              <w:bottom w:w="57" w:type="dxa"/>
              <w:right w:w="108" w:type="dxa"/>
            </w:tcMar>
          </w:tcPr>
          <w:p w14:paraId="04E3C06A" w14:textId="77777777" w:rsidR="00767EC2" w:rsidRPr="00F076D7" w:rsidRDefault="00767EC2" w:rsidP="00A83D07">
            <w:pPr>
              <w:rPr>
                <w:sz w:val="18"/>
                <w:szCs w:val="18"/>
              </w:rPr>
            </w:pPr>
            <w:r w:rsidRPr="00F076D7">
              <w:rPr>
                <w:sz w:val="18"/>
                <w:szCs w:val="18"/>
              </w:rPr>
              <w:t>Secteur de la culture et des industries de la création</w:t>
            </w:r>
          </w:p>
        </w:tc>
      </w:tr>
      <w:tr w:rsidR="00767EC2" w:rsidRPr="00F076D7" w14:paraId="4DBD9A97" w14:textId="77777777" w:rsidTr="00A83D07">
        <w:trPr>
          <w:cantSplit/>
        </w:trPr>
        <w:tc>
          <w:tcPr>
            <w:tcW w:w="4502" w:type="dxa"/>
            <w:tcMar>
              <w:top w:w="57" w:type="dxa"/>
              <w:left w:w="108" w:type="dxa"/>
              <w:bottom w:w="57" w:type="dxa"/>
              <w:right w:w="108" w:type="dxa"/>
            </w:tcMar>
          </w:tcPr>
          <w:p w14:paraId="6D6FBFC9" w14:textId="77777777" w:rsidR="00767EC2" w:rsidRPr="00F076D7" w:rsidRDefault="00767EC2" w:rsidP="00A83D07">
            <w:pPr>
              <w:rPr>
                <w:sz w:val="18"/>
                <w:szCs w:val="18"/>
              </w:rPr>
            </w:pPr>
            <w:r w:rsidRPr="00F076D7">
              <w:rPr>
                <w:sz w:val="18"/>
                <w:szCs w:val="18"/>
              </w:rPr>
              <w:t xml:space="preserve">Finlande/droit d’auteur </w:t>
            </w:r>
          </w:p>
        </w:tc>
        <w:tc>
          <w:tcPr>
            <w:tcW w:w="4785" w:type="dxa"/>
            <w:tcMar>
              <w:top w:w="57" w:type="dxa"/>
              <w:left w:w="108" w:type="dxa"/>
              <w:bottom w:w="57" w:type="dxa"/>
              <w:right w:w="108" w:type="dxa"/>
            </w:tcMar>
          </w:tcPr>
          <w:p w14:paraId="731D7FD2" w14:textId="77777777" w:rsidR="00767EC2" w:rsidRPr="00F076D7" w:rsidRDefault="00767EC2" w:rsidP="00A83D07">
            <w:pPr>
              <w:rPr>
                <w:sz w:val="18"/>
                <w:szCs w:val="18"/>
              </w:rPr>
            </w:pPr>
            <w:r w:rsidRPr="00F076D7">
              <w:rPr>
                <w:sz w:val="18"/>
                <w:szCs w:val="18"/>
              </w:rPr>
              <w:t>Secteur de la culture et des industries de la création</w:t>
            </w:r>
          </w:p>
        </w:tc>
      </w:tr>
      <w:tr w:rsidR="00767EC2" w:rsidRPr="00F076D7" w14:paraId="53E85C85" w14:textId="77777777" w:rsidTr="00A83D07">
        <w:trPr>
          <w:cantSplit/>
        </w:trPr>
        <w:tc>
          <w:tcPr>
            <w:tcW w:w="4502" w:type="dxa"/>
            <w:tcMar>
              <w:top w:w="57" w:type="dxa"/>
              <w:left w:w="108" w:type="dxa"/>
              <w:bottom w:w="57" w:type="dxa"/>
              <w:right w:w="108" w:type="dxa"/>
            </w:tcMar>
          </w:tcPr>
          <w:p w14:paraId="7DE08412" w14:textId="77777777" w:rsidR="00767EC2" w:rsidRPr="00F076D7" w:rsidRDefault="00767EC2" w:rsidP="00A83D07">
            <w:pPr>
              <w:rPr>
                <w:sz w:val="18"/>
                <w:szCs w:val="18"/>
              </w:rPr>
            </w:pPr>
            <w:r w:rsidRPr="00F076D7">
              <w:rPr>
                <w:sz w:val="18"/>
                <w:szCs w:val="18"/>
              </w:rPr>
              <w:t>Fonds des Nations Unies pour les partenariats internationaux – Mettre fin à la pénurie d’ouvrages destinés aux personnes handicapées</w:t>
            </w:r>
          </w:p>
        </w:tc>
        <w:tc>
          <w:tcPr>
            <w:tcW w:w="4785" w:type="dxa"/>
            <w:tcMar>
              <w:top w:w="57" w:type="dxa"/>
              <w:left w:w="108" w:type="dxa"/>
              <w:bottom w:w="57" w:type="dxa"/>
              <w:right w:w="108" w:type="dxa"/>
            </w:tcMar>
          </w:tcPr>
          <w:p w14:paraId="293791FD" w14:textId="77777777" w:rsidR="00767EC2" w:rsidRPr="00F076D7" w:rsidRDefault="00767EC2" w:rsidP="00A83D07">
            <w:pPr>
              <w:rPr>
                <w:sz w:val="18"/>
                <w:szCs w:val="18"/>
              </w:rPr>
            </w:pPr>
            <w:r w:rsidRPr="00F076D7">
              <w:rPr>
                <w:sz w:val="18"/>
                <w:szCs w:val="18"/>
              </w:rPr>
              <w:t>Secteur de la culture et des industries de la création</w:t>
            </w:r>
          </w:p>
        </w:tc>
      </w:tr>
      <w:tr w:rsidR="00767EC2" w:rsidRPr="00F076D7" w14:paraId="0590D89B" w14:textId="77777777" w:rsidTr="00A83D07">
        <w:trPr>
          <w:cantSplit/>
        </w:trPr>
        <w:tc>
          <w:tcPr>
            <w:tcW w:w="4502" w:type="dxa"/>
            <w:tcMar>
              <w:top w:w="57" w:type="dxa"/>
              <w:left w:w="108" w:type="dxa"/>
              <w:bottom w:w="57" w:type="dxa"/>
              <w:right w:w="108" w:type="dxa"/>
            </w:tcMar>
          </w:tcPr>
          <w:p w14:paraId="14322A58" w14:textId="77777777" w:rsidR="00767EC2" w:rsidRPr="00F076D7" w:rsidRDefault="00767EC2" w:rsidP="00A83D07">
            <w:pPr>
              <w:rPr>
                <w:sz w:val="18"/>
                <w:szCs w:val="18"/>
              </w:rPr>
            </w:pPr>
            <w:r w:rsidRPr="00F076D7">
              <w:rPr>
                <w:sz w:val="18"/>
                <w:szCs w:val="18"/>
              </w:rPr>
              <w:t>France/propriété industrielle</w:t>
            </w:r>
          </w:p>
        </w:tc>
        <w:tc>
          <w:tcPr>
            <w:tcW w:w="4785" w:type="dxa"/>
            <w:tcMar>
              <w:top w:w="57" w:type="dxa"/>
              <w:left w:w="108" w:type="dxa"/>
              <w:bottom w:w="57" w:type="dxa"/>
              <w:right w:w="108" w:type="dxa"/>
            </w:tcMar>
          </w:tcPr>
          <w:p w14:paraId="638F2525" w14:textId="77777777" w:rsidR="00767EC2" w:rsidRPr="00F076D7" w:rsidRDefault="00767EC2" w:rsidP="00A83D07">
            <w:pPr>
              <w:rPr>
                <w:sz w:val="18"/>
                <w:szCs w:val="18"/>
              </w:rPr>
            </w:pPr>
            <w:r w:rsidRPr="00F076D7">
              <w:rPr>
                <w:sz w:val="18"/>
                <w:szCs w:val="18"/>
              </w:rPr>
              <w:t xml:space="preserve">Secteur du développement </w:t>
            </w:r>
          </w:p>
        </w:tc>
      </w:tr>
      <w:tr w:rsidR="00767EC2" w:rsidRPr="00F076D7" w14:paraId="7CFF614A" w14:textId="77777777" w:rsidTr="00A83D07">
        <w:trPr>
          <w:cantSplit/>
        </w:trPr>
        <w:tc>
          <w:tcPr>
            <w:tcW w:w="4502" w:type="dxa"/>
            <w:tcMar>
              <w:top w:w="57" w:type="dxa"/>
              <w:left w:w="108" w:type="dxa"/>
              <w:bottom w:w="57" w:type="dxa"/>
              <w:right w:w="108" w:type="dxa"/>
            </w:tcMar>
          </w:tcPr>
          <w:p w14:paraId="20D275D2" w14:textId="77777777" w:rsidR="00767EC2" w:rsidRPr="00F076D7" w:rsidRDefault="00767EC2" w:rsidP="00A83D07">
            <w:pPr>
              <w:rPr>
                <w:sz w:val="18"/>
                <w:szCs w:val="18"/>
              </w:rPr>
            </w:pPr>
            <w:r w:rsidRPr="00F076D7">
              <w:rPr>
                <w:sz w:val="18"/>
                <w:szCs w:val="18"/>
              </w:rPr>
              <w:t>Italie</w:t>
            </w:r>
          </w:p>
        </w:tc>
        <w:tc>
          <w:tcPr>
            <w:tcW w:w="4785" w:type="dxa"/>
            <w:tcMar>
              <w:top w:w="57" w:type="dxa"/>
              <w:left w:w="108" w:type="dxa"/>
              <w:bottom w:w="57" w:type="dxa"/>
              <w:right w:w="108" w:type="dxa"/>
            </w:tcMar>
          </w:tcPr>
          <w:p w14:paraId="44FEC604" w14:textId="77777777" w:rsidR="00767EC2" w:rsidRPr="00F076D7" w:rsidRDefault="00767EC2" w:rsidP="00A83D07">
            <w:pPr>
              <w:rPr>
                <w:sz w:val="18"/>
                <w:szCs w:val="18"/>
              </w:rPr>
            </w:pPr>
            <w:r w:rsidRPr="00F076D7">
              <w:rPr>
                <w:sz w:val="18"/>
                <w:szCs w:val="18"/>
              </w:rPr>
              <w:t>Secteur du développement</w:t>
            </w:r>
          </w:p>
        </w:tc>
      </w:tr>
      <w:tr w:rsidR="00767EC2" w:rsidRPr="00F076D7" w14:paraId="7FFDBA23" w14:textId="77777777" w:rsidTr="00A83D07">
        <w:trPr>
          <w:cantSplit/>
        </w:trPr>
        <w:tc>
          <w:tcPr>
            <w:tcW w:w="4502" w:type="dxa"/>
            <w:tcMar>
              <w:top w:w="57" w:type="dxa"/>
              <w:left w:w="108" w:type="dxa"/>
              <w:bottom w:w="57" w:type="dxa"/>
              <w:right w:w="108" w:type="dxa"/>
            </w:tcMar>
          </w:tcPr>
          <w:p w14:paraId="6C444BEA" w14:textId="77777777" w:rsidR="00767EC2" w:rsidRPr="00F076D7" w:rsidRDefault="00767EC2" w:rsidP="00A83D07">
            <w:pPr>
              <w:rPr>
                <w:sz w:val="18"/>
                <w:szCs w:val="18"/>
              </w:rPr>
            </w:pPr>
            <w:r w:rsidRPr="00F076D7">
              <w:rPr>
                <w:sz w:val="18"/>
                <w:szCs w:val="18"/>
              </w:rPr>
              <w:t>Japon/droit d’auteur</w:t>
            </w:r>
          </w:p>
        </w:tc>
        <w:tc>
          <w:tcPr>
            <w:tcW w:w="4785" w:type="dxa"/>
            <w:tcMar>
              <w:top w:w="57" w:type="dxa"/>
              <w:left w:w="108" w:type="dxa"/>
              <w:bottom w:w="57" w:type="dxa"/>
              <w:right w:w="108" w:type="dxa"/>
            </w:tcMar>
          </w:tcPr>
          <w:p w14:paraId="13214FC3" w14:textId="77777777" w:rsidR="00767EC2" w:rsidRPr="00F076D7" w:rsidRDefault="00767EC2" w:rsidP="00A83D07">
            <w:pPr>
              <w:rPr>
                <w:sz w:val="18"/>
                <w:szCs w:val="18"/>
              </w:rPr>
            </w:pPr>
            <w:r w:rsidRPr="00F076D7">
              <w:rPr>
                <w:sz w:val="18"/>
                <w:szCs w:val="18"/>
              </w:rPr>
              <w:t>Secteur de la culture et des industries de la création</w:t>
            </w:r>
          </w:p>
        </w:tc>
      </w:tr>
      <w:tr w:rsidR="00767EC2" w:rsidRPr="00F076D7" w14:paraId="3313C8C6" w14:textId="77777777" w:rsidTr="00A83D07">
        <w:trPr>
          <w:cantSplit/>
        </w:trPr>
        <w:tc>
          <w:tcPr>
            <w:tcW w:w="4502" w:type="dxa"/>
            <w:tcMar>
              <w:top w:w="57" w:type="dxa"/>
              <w:left w:w="108" w:type="dxa"/>
              <w:bottom w:w="57" w:type="dxa"/>
              <w:right w:w="108" w:type="dxa"/>
            </w:tcMar>
          </w:tcPr>
          <w:p w14:paraId="43DAC9CD" w14:textId="77777777" w:rsidR="00767EC2" w:rsidRPr="00F076D7" w:rsidRDefault="00767EC2" w:rsidP="00A83D07">
            <w:pPr>
              <w:rPr>
                <w:sz w:val="18"/>
                <w:szCs w:val="18"/>
              </w:rPr>
            </w:pPr>
            <w:r w:rsidRPr="00F076D7">
              <w:rPr>
                <w:sz w:val="18"/>
                <w:szCs w:val="18"/>
              </w:rPr>
              <w:t>Japon/propriété industrielle</w:t>
            </w:r>
          </w:p>
        </w:tc>
        <w:tc>
          <w:tcPr>
            <w:tcW w:w="4785" w:type="dxa"/>
            <w:tcMar>
              <w:top w:w="57" w:type="dxa"/>
              <w:left w:w="108" w:type="dxa"/>
              <w:bottom w:w="57" w:type="dxa"/>
              <w:right w:w="108" w:type="dxa"/>
            </w:tcMar>
          </w:tcPr>
          <w:p w14:paraId="3B7C8554" w14:textId="77777777" w:rsidR="00767EC2" w:rsidRPr="00F076D7" w:rsidRDefault="00767EC2" w:rsidP="00A83D07">
            <w:pPr>
              <w:rPr>
                <w:sz w:val="18"/>
                <w:szCs w:val="18"/>
              </w:rPr>
            </w:pPr>
            <w:r w:rsidRPr="00F076D7">
              <w:rPr>
                <w:sz w:val="18"/>
                <w:szCs w:val="18"/>
              </w:rPr>
              <w:t>Secteur du développement</w:t>
            </w:r>
          </w:p>
        </w:tc>
      </w:tr>
      <w:tr w:rsidR="00767EC2" w:rsidRPr="00F076D7" w14:paraId="2D231E74" w14:textId="77777777" w:rsidTr="00A83D07">
        <w:trPr>
          <w:cantSplit/>
        </w:trPr>
        <w:tc>
          <w:tcPr>
            <w:tcW w:w="4502" w:type="dxa"/>
            <w:tcMar>
              <w:top w:w="57" w:type="dxa"/>
              <w:left w:w="108" w:type="dxa"/>
              <w:bottom w:w="57" w:type="dxa"/>
              <w:right w:w="108" w:type="dxa"/>
            </w:tcMar>
          </w:tcPr>
          <w:p w14:paraId="190A24EE" w14:textId="77777777" w:rsidR="00767EC2" w:rsidRPr="00F076D7" w:rsidRDefault="00767EC2" w:rsidP="00A83D07">
            <w:pPr>
              <w:rPr>
                <w:sz w:val="18"/>
                <w:szCs w:val="18"/>
              </w:rPr>
            </w:pPr>
            <w:r w:rsidRPr="00F076D7">
              <w:rPr>
                <w:sz w:val="18"/>
                <w:szCs w:val="18"/>
              </w:rPr>
              <w:t>Japon/propriété industrielle/Afrique</w:t>
            </w:r>
          </w:p>
        </w:tc>
        <w:tc>
          <w:tcPr>
            <w:tcW w:w="4785" w:type="dxa"/>
            <w:tcMar>
              <w:top w:w="57" w:type="dxa"/>
              <w:left w:w="108" w:type="dxa"/>
              <w:bottom w:w="57" w:type="dxa"/>
              <w:right w:w="108" w:type="dxa"/>
            </w:tcMar>
          </w:tcPr>
          <w:p w14:paraId="35377F80" w14:textId="77777777" w:rsidR="00767EC2" w:rsidRPr="00F076D7" w:rsidRDefault="00767EC2" w:rsidP="00A83D07">
            <w:pPr>
              <w:rPr>
                <w:sz w:val="18"/>
                <w:szCs w:val="18"/>
              </w:rPr>
            </w:pPr>
            <w:r w:rsidRPr="00F076D7">
              <w:rPr>
                <w:sz w:val="18"/>
                <w:szCs w:val="18"/>
              </w:rPr>
              <w:t>Secteur du développement</w:t>
            </w:r>
          </w:p>
        </w:tc>
      </w:tr>
      <w:tr w:rsidR="00767EC2" w:rsidRPr="00F076D7" w14:paraId="4728296C" w14:textId="77777777" w:rsidTr="00A83D07">
        <w:trPr>
          <w:cantSplit/>
        </w:trPr>
        <w:tc>
          <w:tcPr>
            <w:tcW w:w="4502" w:type="dxa"/>
            <w:tcMar>
              <w:top w:w="57" w:type="dxa"/>
              <w:left w:w="108" w:type="dxa"/>
              <w:bottom w:w="57" w:type="dxa"/>
              <w:right w:w="108" w:type="dxa"/>
            </w:tcMar>
          </w:tcPr>
          <w:p w14:paraId="37541086" w14:textId="77777777" w:rsidR="00767EC2" w:rsidRPr="00F076D7" w:rsidRDefault="00767EC2" w:rsidP="00A83D07">
            <w:pPr>
              <w:rPr>
                <w:sz w:val="18"/>
                <w:szCs w:val="18"/>
              </w:rPr>
            </w:pPr>
            <w:r w:rsidRPr="00F076D7">
              <w:rPr>
                <w:sz w:val="18"/>
                <w:szCs w:val="18"/>
              </w:rPr>
              <w:t>Mexique</w:t>
            </w:r>
          </w:p>
        </w:tc>
        <w:tc>
          <w:tcPr>
            <w:tcW w:w="4785" w:type="dxa"/>
            <w:tcMar>
              <w:top w:w="57" w:type="dxa"/>
              <w:left w:w="108" w:type="dxa"/>
              <w:bottom w:w="57" w:type="dxa"/>
              <w:right w:w="108" w:type="dxa"/>
            </w:tcMar>
          </w:tcPr>
          <w:p w14:paraId="2F0AA9FD" w14:textId="77777777" w:rsidR="00767EC2" w:rsidRPr="00F076D7" w:rsidRDefault="00767EC2" w:rsidP="00A83D07">
            <w:pPr>
              <w:rPr>
                <w:sz w:val="18"/>
                <w:szCs w:val="18"/>
              </w:rPr>
            </w:pPr>
            <w:r w:rsidRPr="00F076D7">
              <w:rPr>
                <w:sz w:val="18"/>
                <w:szCs w:val="18"/>
              </w:rPr>
              <w:t>Secteur du développement</w:t>
            </w:r>
          </w:p>
        </w:tc>
      </w:tr>
      <w:tr w:rsidR="00767EC2" w:rsidRPr="00F076D7" w14:paraId="4DBAD92D" w14:textId="77777777" w:rsidTr="00A83D07">
        <w:trPr>
          <w:cantSplit/>
        </w:trPr>
        <w:tc>
          <w:tcPr>
            <w:tcW w:w="4502" w:type="dxa"/>
            <w:tcMar>
              <w:top w:w="57" w:type="dxa"/>
              <w:left w:w="108" w:type="dxa"/>
              <w:bottom w:w="57" w:type="dxa"/>
              <w:right w:w="108" w:type="dxa"/>
            </w:tcMar>
          </w:tcPr>
          <w:p w14:paraId="6AC9FE41" w14:textId="77777777" w:rsidR="00767EC2" w:rsidRPr="00F076D7" w:rsidRDefault="00767EC2" w:rsidP="00A83D07">
            <w:pPr>
              <w:rPr>
                <w:sz w:val="18"/>
                <w:szCs w:val="18"/>
              </w:rPr>
            </w:pPr>
            <w:r w:rsidRPr="00F076D7">
              <w:rPr>
                <w:sz w:val="18"/>
                <w:szCs w:val="18"/>
              </w:rPr>
              <w:t>Office d’État de la propriété intellectuelle de la Chine (SIPO)</w:t>
            </w:r>
          </w:p>
        </w:tc>
        <w:tc>
          <w:tcPr>
            <w:tcW w:w="4785" w:type="dxa"/>
            <w:tcMar>
              <w:top w:w="57" w:type="dxa"/>
              <w:left w:w="108" w:type="dxa"/>
              <w:bottom w:w="57" w:type="dxa"/>
              <w:right w:w="108" w:type="dxa"/>
            </w:tcMar>
          </w:tcPr>
          <w:p w14:paraId="622C04A3" w14:textId="77777777" w:rsidR="00767EC2" w:rsidRPr="00F076D7" w:rsidRDefault="00767EC2" w:rsidP="00A83D07">
            <w:pPr>
              <w:rPr>
                <w:sz w:val="18"/>
                <w:szCs w:val="18"/>
              </w:rPr>
            </w:pPr>
            <w:r w:rsidRPr="00F076D7">
              <w:rPr>
                <w:sz w:val="18"/>
                <w:szCs w:val="18"/>
              </w:rPr>
              <w:t>Secteur des marques et des dessins et modèles</w:t>
            </w:r>
          </w:p>
        </w:tc>
      </w:tr>
      <w:tr w:rsidR="00767EC2" w:rsidRPr="00F076D7" w14:paraId="3F55C463" w14:textId="77777777" w:rsidTr="00A83D07">
        <w:trPr>
          <w:cantSplit/>
        </w:trPr>
        <w:tc>
          <w:tcPr>
            <w:tcW w:w="4502" w:type="dxa"/>
            <w:tcMar>
              <w:top w:w="57" w:type="dxa"/>
              <w:left w:w="108" w:type="dxa"/>
              <w:bottom w:w="57" w:type="dxa"/>
              <w:right w:w="108" w:type="dxa"/>
            </w:tcMar>
          </w:tcPr>
          <w:p w14:paraId="142A65C6" w14:textId="77777777" w:rsidR="00767EC2" w:rsidRPr="00F076D7" w:rsidRDefault="00767EC2" w:rsidP="00A83D07">
            <w:pPr>
              <w:rPr>
                <w:sz w:val="18"/>
                <w:szCs w:val="18"/>
              </w:rPr>
            </w:pPr>
            <w:r w:rsidRPr="00F076D7">
              <w:rPr>
                <w:sz w:val="18"/>
                <w:szCs w:val="18"/>
              </w:rPr>
              <w:t>Programme ibéro</w:t>
            </w:r>
            <w:r w:rsidRPr="00F076D7">
              <w:rPr>
                <w:sz w:val="18"/>
                <w:szCs w:val="18"/>
              </w:rPr>
              <w:noBreakHyphen/>
              <w:t>américain de la propriété industrielle</w:t>
            </w:r>
          </w:p>
        </w:tc>
        <w:tc>
          <w:tcPr>
            <w:tcW w:w="4785" w:type="dxa"/>
            <w:tcMar>
              <w:top w:w="57" w:type="dxa"/>
              <w:left w:w="108" w:type="dxa"/>
              <w:bottom w:w="57" w:type="dxa"/>
              <w:right w:w="108" w:type="dxa"/>
            </w:tcMar>
          </w:tcPr>
          <w:p w14:paraId="398F08EA" w14:textId="77777777" w:rsidR="00767EC2" w:rsidRPr="00F076D7" w:rsidRDefault="00767EC2" w:rsidP="00A83D07">
            <w:pPr>
              <w:rPr>
                <w:sz w:val="18"/>
                <w:szCs w:val="18"/>
              </w:rPr>
            </w:pPr>
            <w:r w:rsidRPr="00F076D7">
              <w:rPr>
                <w:sz w:val="18"/>
                <w:szCs w:val="18"/>
              </w:rPr>
              <w:t>Secteur du développement</w:t>
            </w:r>
          </w:p>
        </w:tc>
      </w:tr>
      <w:tr w:rsidR="00767EC2" w:rsidRPr="00F076D7" w14:paraId="17E66AB5" w14:textId="77777777" w:rsidTr="00A83D07">
        <w:trPr>
          <w:cantSplit/>
        </w:trPr>
        <w:tc>
          <w:tcPr>
            <w:tcW w:w="4502" w:type="dxa"/>
            <w:tcMar>
              <w:top w:w="57" w:type="dxa"/>
              <w:left w:w="108" w:type="dxa"/>
              <w:bottom w:w="57" w:type="dxa"/>
              <w:right w:w="108" w:type="dxa"/>
            </w:tcMar>
          </w:tcPr>
          <w:p w14:paraId="585BD976" w14:textId="77777777" w:rsidR="00767EC2" w:rsidRPr="00F076D7" w:rsidRDefault="00767EC2" w:rsidP="00A83D07">
            <w:pPr>
              <w:rPr>
                <w:sz w:val="18"/>
                <w:szCs w:val="18"/>
              </w:rPr>
            </w:pPr>
            <w:r w:rsidRPr="00F076D7">
              <w:rPr>
                <w:sz w:val="18"/>
                <w:szCs w:val="18"/>
              </w:rPr>
              <w:t>République de Corée/droit d’auteur</w:t>
            </w:r>
          </w:p>
        </w:tc>
        <w:tc>
          <w:tcPr>
            <w:tcW w:w="4785" w:type="dxa"/>
            <w:tcMar>
              <w:top w:w="57" w:type="dxa"/>
              <w:left w:w="108" w:type="dxa"/>
              <w:bottom w:w="57" w:type="dxa"/>
              <w:right w:w="108" w:type="dxa"/>
            </w:tcMar>
          </w:tcPr>
          <w:p w14:paraId="56B2795B" w14:textId="77777777" w:rsidR="00767EC2" w:rsidRPr="00F076D7" w:rsidRDefault="00767EC2" w:rsidP="00A83D07">
            <w:pPr>
              <w:rPr>
                <w:sz w:val="18"/>
                <w:szCs w:val="18"/>
              </w:rPr>
            </w:pPr>
            <w:r w:rsidRPr="00F076D7">
              <w:rPr>
                <w:sz w:val="18"/>
                <w:szCs w:val="18"/>
              </w:rPr>
              <w:t>Secteur de la culture et des industries de la création</w:t>
            </w:r>
          </w:p>
        </w:tc>
      </w:tr>
      <w:tr w:rsidR="00767EC2" w:rsidRPr="00F076D7" w14:paraId="429D11B4" w14:textId="77777777" w:rsidTr="00A83D07">
        <w:trPr>
          <w:cantSplit/>
        </w:trPr>
        <w:tc>
          <w:tcPr>
            <w:tcW w:w="4502" w:type="dxa"/>
            <w:tcMar>
              <w:top w:w="57" w:type="dxa"/>
              <w:left w:w="108" w:type="dxa"/>
              <w:bottom w:w="57" w:type="dxa"/>
              <w:right w:w="108" w:type="dxa"/>
            </w:tcMar>
          </w:tcPr>
          <w:p w14:paraId="7D9862A3" w14:textId="77777777" w:rsidR="00767EC2" w:rsidRPr="00F076D7" w:rsidRDefault="00767EC2" w:rsidP="00A83D07">
            <w:pPr>
              <w:rPr>
                <w:sz w:val="18"/>
                <w:szCs w:val="18"/>
              </w:rPr>
            </w:pPr>
            <w:r w:rsidRPr="00F076D7">
              <w:rPr>
                <w:sz w:val="18"/>
                <w:szCs w:val="18"/>
              </w:rPr>
              <w:t>République de Corée/formation</w:t>
            </w:r>
          </w:p>
        </w:tc>
        <w:tc>
          <w:tcPr>
            <w:tcW w:w="4785" w:type="dxa"/>
            <w:tcMar>
              <w:top w:w="57" w:type="dxa"/>
              <w:left w:w="108" w:type="dxa"/>
              <w:bottom w:w="57" w:type="dxa"/>
              <w:right w:w="108" w:type="dxa"/>
            </w:tcMar>
          </w:tcPr>
          <w:p w14:paraId="5A0D12F4" w14:textId="77777777" w:rsidR="00767EC2" w:rsidRPr="00F076D7" w:rsidRDefault="00767EC2" w:rsidP="00A83D07">
            <w:pPr>
              <w:rPr>
                <w:sz w:val="18"/>
                <w:szCs w:val="18"/>
              </w:rPr>
            </w:pPr>
            <w:r w:rsidRPr="00F076D7">
              <w:rPr>
                <w:sz w:val="18"/>
                <w:szCs w:val="18"/>
              </w:rPr>
              <w:t>Secteur du développement</w:t>
            </w:r>
          </w:p>
        </w:tc>
      </w:tr>
      <w:tr w:rsidR="00767EC2" w:rsidRPr="00F076D7" w14:paraId="0DE14916" w14:textId="77777777" w:rsidTr="00A83D07">
        <w:trPr>
          <w:cantSplit/>
        </w:trPr>
        <w:tc>
          <w:tcPr>
            <w:tcW w:w="4502" w:type="dxa"/>
            <w:tcMar>
              <w:top w:w="57" w:type="dxa"/>
              <w:left w:w="108" w:type="dxa"/>
              <w:bottom w:w="57" w:type="dxa"/>
              <w:right w:w="108" w:type="dxa"/>
            </w:tcMar>
          </w:tcPr>
          <w:p w14:paraId="1EBCF1EC" w14:textId="77777777" w:rsidR="00767EC2" w:rsidRPr="00F076D7" w:rsidRDefault="00767EC2" w:rsidP="00A83D07">
            <w:pPr>
              <w:rPr>
                <w:sz w:val="18"/>
                <w:szCs w:val="18"/>
              </w:rPr>
            </w:pPr>
            <w:r w:rsidRPr="00F076D7">
              <w:rPr>
                <w:sz w:val="18"/>
                <w:szCs w:val="18"/>
              </w:rPr>
              <w:t>République de Corée/promotion du respect de la propriété intellectuelle</w:t>
            </w:r>
          </w:p>
        </w:tc>
        <w:tc>
          <w:tcPr>
            <w:tcW w:w="4785" w:type="dxa"/>
            <w:tcMar>
              <w:top w:w="57" w:type="dxa"/>
              <w:left w:w="108" w:type="dxa"/>
              <w:bottom w:w="57" w:type="dxa"/>
              <w:right w:w="108" w:type="dxa"/>
            </w:tcMar>
          </w:tcPr>
          <w:p w14:paraId="5199A1CE" w14:textId="77777777" w:rsidR="00767EC2" w:rsidRPr="00F076D7" w:rsidRDefault="00767EC2" w:rsidP="00A83D07">
            <w:pPr>
              <w:rPr>
                <w:sz w:val="18"/>
                <w:szCs w:val="18"/>
              </w:rPr>
            </w:pPr>
            <w:r w:rsidRPr="00F076D7">
              <w:rPr>
                <w:sz w:val="18"/>
                <w:szCs w:val="18"/>
              </w:rPr>
              <w:t>Secteur des questions mondiales</w:t>
            </w:r>
          </w:p>
        </w:tc>
      </w:tr>
      <w:tr w:rsidR="00767EC2" w:rsidRPr="00F076D7" w14:paraId="3D4E947F" w14:textId="77777777" w:rsidTr="00A83D07">
        <w:trPr>
          <w:cantSplit/>
        </w:trPr>
        <w:tc>
          <w:tcPr>
            <w:tcW w:w="4502" w:type="dxa"/>
            <w:tcMar>
              <w:top w:w="57" w:type="dxa"/>
              <w:left w:w="108" w:type="dxa"/>
              <w:bottom w:w="57" w:type="dxa"/>
              <w:right w:w="108" w:type="dxa"/>
            </w:tcMar>
          </w:tcPr>
          <w:p w14:paraId="16BD7E07" w14:textId="77777777" w:rsidR="00767EC2" w:rsidRPr="00F076D7" w:rsidRDefault="00767EC2" w:rsidP="00A83D07">
            <w:pPr>
              <w:rPr>
                <w:sz w:val="18"/>
                <w:szCs w:val="18"/>
              </w:rPr>
            </w:pPr>
            <w:r w:rsidRPr="00F076D7">
              <w:rPr>
                <w:sz w:val="18"/>
                <w:szCs w:val="18"/>
              </w:rPr>
              <w:t>République de Corée/propriété industrielle</w:t>
            </w:r>
          </w:p>
        </w:tc>
        <w:tc>
          <w:tcPr>
            <w:tcW w:w="4785" w:type="dxa"/>
            <w:tcMar>
              <w:top w:w="57" w:type="dxa"/>
              <w:left w:w="108" w:type="dxa"/>
              <w:bottom w:w="57" w:type="dxa"/>
              <w:right w:w="108" w:type="dxa"/>
            </w:tcMar>
          </w:tcPr>
          <w:p w14:paraId="7E988C62" w14:textId="77777777" w:rsidR="00767EC2" w:rsidRPr="00F076D7" w:rsidRDefault="00767EC2" w:rsidP="00A83D07">
            <w:pPr>
              <w:rPr>
                <w:sz w:val="18"/>
                <w:szCs w:val="18"/>
              </w:rPr>
            </w:pPr>
            <w:r w:rsidRPr="00F076D7">
              <w:rPr>
                <w:sz w:val="18"/>
                <w:szCs w:val="18"/>
              </w:rPr>
              <w:t>Secteur du développement</w:t>
            </w:r>
          </w:p>
        </w:tc>
      </w:tr>
      <w:tr w:rsidR="00767EC2" w:rsidRPr="00F076D7" w14:paraId="3593A809" w14:textId="77777777" w:rsidTr="00A83D07">
        <w:trPr>
          <w:cantSplit/>
        </w:trPr>
        <w:tc>
          <w:tcPr>
            <w:tcW w:w="4502" w:type="dxa"/>
            <w:tcMar>
              <w:top w:w="57" w:type="dxa"/>
              <w:left w:w="108" w:type="dxa"/>
              <w:bottom w:w="57" w:type="dxa"/>
              <w:right w:w="108" w:type="dxa"/>
            </w:tcMar>
          </w:tcPr>
          <w:p w14:paraId="0AA3A096" w14:textId="77777777" w:rsidR="00767EC2" w:rsidRPr="00F076D7" w:rsidRDefault="00767EC2" w:rsidP="00A83D07">
            <w:pPr>
              <w:rPr>
                <w:sz w:val="18"/>
                <w:szCs w:val="18"/>
              </w:rPr>
            </w:pPr>
            <w:r w:rsidRPr="00F076D7">
              <w:rPr>
                <w:sz w:val="18"/>
                <w:szCs w:val="18"/>
              </w:rPr>
              <w:t>Uruguay</w:t>
            </w:r>
          </w:p>
        </w:tc>
        <w:tc>
          <w:tcPr>
            <w:tcW w:w="4785" w:type="dxa"/>
            <w:tcMar>
              <w:top w:w="57" w:type="dxa"/>
              <w:left w:w="108" w:type="dxa"/>
              <w:bottom w:w="57" w:type="dxa"/>
              <w:right w:w="108" w:type="dxa"/>
            </w:tcMar>
          </w:tcPr>
          <w:p w14:paraId="425442CE" w14:textId="77777777" w:rsidR="00767EC2" w:rsidRPr="00F076D7" w:rsidRDefault="00767EC2" w:rsidP="00A83D07">
            <w:pPr>
              <w:rPr>
                <w:sz w:val="18"/>
                <w:szCs w:val="18"/>
              </w:rPr>
            </w:pPr>
            <w:r w:rsidRPr="00F076D7">
              <w:rPr>
                <w:sz w:val="18"/>
                <w:szCs w:val="18"/>
              </w:rPr>
              <w:t>Secteur du développement</w:t>
            </w:r>
          </w:p>
        </w:tc>
      </w:tr>
    </w:tbl>
    <w:p w14:paraId="7CA23AE1" w14:textId="77777777" w:rsidR="00767EC2" w:rsidRPr="00F076D7" w:rsidRDefault="00767EC2" w:rsidP="00767EC2">
      <w:pPr>
        <w:rPr>
          <w:b/>
          <w:sz w:val="20"/>
        </w:rPr>
      </w:pPr>
      <w:r w:rsidRPr="00F076D7">
        <w:rPr>
          <w:b/>
          <w:sz w:val="20"/>
        </w:rPr>
        <w:br w:type="page"/>
      </w:r>
    </w:p>
    <w:p w14:paraId="76B9D33B" w14:textId="77777777" w:rsidR="00767EC2" w:rsidRPr="00F076D7" w:rsidRDefault="00767EC2" w:rsidP="00767EC2">
      <w:pPr>
        <w:rPr>
          <w:b/>
          <w:sz w:val="20"/>
        </w:rPr>
      </w:pPr>
      <w:r w:rsidRPr="00F076D7">
        <w:rPr>
          <w:b/>
          <w:sz w:val="20"/>
        </w:rPr>
        <w:t>AUSTRALIE I</w:t>
      </w:r>
    </w:p>
    <w:p w14:paraId="51E96443" w14:textId="77777777" w:rsidR="00767EC2" w:rsidRPr="00F076D7" w:rsidRDefault="00767EC2" w:rsidP="00767EC2">
      <w:pPr>
        <w:rPr>
          <w:b/>
          <w:sz w:val="20"/>
        </w:rPr>
      </w:pPr>
    </w:p>
    <w:tbl>
      <w:tblPr>
        <w:tblW w:w="4961" w:type="pct"/>
        <w:tblCellMar>
          <w:top w:w="57" w:type="dxa"/>
          <w:bottom w:w="57" w:type="dxa"/>
        </w:tblCellMar>
        <w:tblLook w:val="0000" w:firstRow="0" w:lastRow="0" w:firstColumn="0" w:lastColumn="0" w:noHBand="0" w:noVBand="0"/>
      </w:tblPr>
      <w:tblGrid>
        <w:gridCol w:w="1843"/>
        <w:gridCol w:w="1135"/>
        <w:gridCol w:w="1559"/>
        <w:gridCol w:w="4678"/>
      </w:tblGrid>
      <w:tr w:rsidR="00767EC2" w:rsidRPr="00F076D7" w14:paraId="12759837" w14:textId="77777777" w:rsidTr="00A83D07">
        <w:trPr>
          <w:cantSplit/>
        </w:trPr>
        <w:tc>
          <w:tcPr>
            <w:tcW w:w="9214" w:type="dxa"/>
            <w:gridSpan w:val="4"/>
            <w:shd w:val="clear" w:color="auto" w:fill="C6D9F1" w:themeFill="text2" w:themeFillTint="33"/>
          </w:tcPr>
          <w:p w14:paraId="01B8327D" w14:textId="77777777" w:rsidR="00767EC2" w:rsidRPr="00F076D7" w:rsidRDefault="00767EC2" w:rsidP="00A83D07">
            <w:pPr>
              <w:keepNext/>
              <w:keepLines/>
              <w:tabs>
                <w:tab w:val="left" w:pos="1740"/>
              </w:tabs>
              <w:rPr>
                <w:rFonts w:cs="Times New Roman"/>
                <w:sz w:val="16"/>
                <w:szCs w:val="16"/>
              </w:rPr>
            </w:pPr>
            <w:r w:rsidRPr="00F076D7">
              <w:rPr>
                <w:rFonts w:cs="Times New Roman"/>
                <w:b/>
                <w:sz w:val="16"/>
                <w:szCs w:val="16"/>
              </w:rPr>
              <w:t>RÉSULTAT</w:t>
            </w:r>
            <w:r w:rsidRPr="00F076D7">
              <w:rPr>
                <w:rFonts w:cs="Times New Roman"/>
                <w:sz w:val="16"/>
                <w:szCs w:val="16"/>
              </w:rPr>
              <w:t> : 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767EC2" w:rsidRPr="00F076D7" w14:paraId="46B70740" w14:textId="77777777" w:rsidTr="00A83D07">
        <w:trPr>
          <w:cantSplit/>
        </w:trPr>
        <w:tc>
          <w:tcPr>
            <w:tcW w:w="1843" w:type="dxa"/>
            <w:vAlign w:val="center"/>
          </w:tcPr>
          <w:p w14:paraId="445D2F4E" w14:textId="77777777" w:rsidR="00767EC2" w:rsidRPr="00F076D7" w:rsidRDefault="00767EC2" w:rsidP="00A83D07">
            <w:pPr>
              <w:keepNext/>
              <w:keepLines/>
              <w:rPr>
                <w:b/>
                <w:bCs/>
                <w:sz w:val="16"/>
                <w:szCs w:val="16"/>
              </w:rPr>
            </w:pPr>
            <w:r w:rsidRPr="00F076D7">
              <w:rPr>
                <w:b/>
                <w:bCs/>
                <w:sz w:val="16"/>
                <w:szCs w:val="16"/>
              </w:rPr>
              <w:t>Activité</w:t>
            </w:r>
          </w:p>
        </w:tc>
        <w:tc>
          <w:tcPr>
            <w:tcW w:w="1135" w:type="dxa"/>
            <w:vAlign w:val="center"/>
          </w:tcPr>
          <w:p w14:paraId="45EC8C17" w14:textId="77777777" w:rsidR="00767EC2" w:rsidRPr="00F076D7" w:rsidRDefault="00767EC2" w:rsidP="00A83D07">
            <w:pPr>
              <w:keepNext/>
              <w:keepLines/>
              <w:rPr>
                <w:sz w:val="16"/>
                <w:szCs w:val="16"/>
              </w:rPr>
            </w:pPr>
            <w:r w:rsidRPr="00F076D7">
              <w:rPr>
                <w:b/>
                <w:sz w:val="16"/>
                <w:szCs w:val="16"/>
              </w:rPr>
              <w:t>Date</w:t>
            </w:r>
          </w:p>
        </w:tc>
        <w:tc>
          <w:tcPr>
            <w:tcW w:w="1559" w:type="dxa"/>
            <w:vAlign w:val="center"/>
          </w:tcPr>
          <w:p w14:paraId="1EC73682" w14:textId="77777777" w:rsidR="00767EC2" w:rsidRPr="00F076D7" w:rsidRDefault="00767EC2" w:rsidP="00A83D07">
            <w:pPr>
              <w:keepNext/>
              <w:keepLines/>
              <w:rPr>
                <w:sz w:val="16"/>
                <w:szCs w:val="16"/>
              </w:rPr>
            </w:pPr>
            <w:r w:rsidRPr="00F076D7">
              <w:rPr>
                <w:b/>
                <w:sz w:val="16"/>
                <w:szCs w:val="16"/>
              </w:rPr>
              <w:t>Pays hôte/ bénéficiaires</w:t>
            </w:r>
          </w:p>
        </w:tc>
        <w:tc>
          <w:tcPr>
            <w:tcW w:w="4677" w:type="dxa"/>
            <w:vAlign w:val="center"/>
          </w:tcPr>
          <w:p w14:paraId="5B82DF22" w14:textId="77777777" w:rsidR="00767EC2" w:rsidRPr="00F076D7" w:rsidRDefault="00767EC2" w:rsidP="00A83D07">
            <w:pPr>
              <w:keepNext/>
              <w:keepLines/>
              <w:rPr>
                <w:sz w:val="16"/>
                <w:szCs w:val="16"/>
              </w:rPr>
            </w:pPr>
            <w:r w:rsidRPr="00F076D7">
              <w:rPr>
                <w:b/>
                <w:sz w:val="16"/>
                <w:szCs w:val="16"/>
              </w:rPr>
              <w:t>Objectif(s)/description(s)</w:t>
            </w:r>
          </w:p>
        </w:tc>
      </w:tr>
      <w:tr w:rsidR="00767EC2" w:rsidRPr="00F076D7" w14:paraId="715FEBD1" w14:textId="77777777" w:rsidTr="00A83D07">
        <w:trPr>
          <w:cantSplit/>
        </w:trPr>
        <w:tc>
          <w:tcPr>
            <w:tcW w:w="1843" w:type="dxa"/>
          </w:tcPr>
          <w:p w14:paraId="769DEB4D" w14:textId="77777777" w:rsidR="00767EC2" w:rsidRPr="00F076D7" w:rsidRDefault="00767EC2" w:rsidP="00A83D07">
            <w:pPr>
              <w:rPr>
                <w:sz w:val="16"/>
                <w:szCs w:val="16"/>
              </w:rPr>
            </w:pPr>
            <w:r w:rsidRPr="00F076D7">
              <w:rPr>
                <w:sz w:val="16"/>
                <w:szCs w:val="16"/>
              </w:rPr>
              <w:t>Poursuite des accords d’accueil pour des chercheurs en science biomédicale africains dans des organismes de recherche à l’étranger</w:t>
            </w:r>
          </w:p>
        </w:tc>
        <w:tc>
          <w:tcPr>
            <w:tcW w:w="1135" w:type="dxa"/>
          </w:tcPr>
          <w:p w14:paraId="2358ED00" w14:textId="77777777" w:rsidR="00767EC2" w:rsidRPr="00F076D7" w:rsidRDefault="00767EC2" w:rsidP="00A83D07">
            <w:pPr>
              <w:rPr>
                <w:sz w:val="16"/>
                <w:szCs w:val="16"/>
              </w:rPr>
            </w:pPr>
            <w:r w:rsidRPr="00F076D7">
              <w:rPr>
                <w:sz w:val="16"/>
                <w:szCs w:val="16"/>
              </w:rPr>
              <w:t>Janvier – mars 2016</w:t>
            </w:r>
          </w:p>
        </w:tc>
        <w:tc>
          <w:tcPr>
            <w:tcW w:w="1559" w:type="dxa"/>
          </w:tcPr>
          <w:p w14:paraId="2588CE6D" w14:textId="77777777" w:rsidR="00767EC2" w:rsidRPr="00F076D7" w:rsidRDefault="00767EC2" w:rsidP="00A83D07">
            <w:pPr>
              <w:spacing w:line="276" w:lineRule="auto"/>
              <w:rPr>
                <w:sz w:val="16"/>
                <w:szCs w:val="16"/>
              </w:rPr>
            </w:pPr>
            <w:r w:rsidRPr="00F076D7">
              <w:rPr>
                <w:rFonts w:cs="Times New Roman"/>
                <w:sz w:val="16"/>
                <w:szCs w:val="16"/>
              </w:rPr>
              <w:t>Université de Californie de San Diego, États</w:t>
            </w:r>
            <w:r w:rsidRPr="00F076D7">
              <w:rPr>
                <w:rFonts w:cs="Times New Roman"/>
                <w:sz w:val="16"/>
                <w:szCs w:val="16"/>
              </w:rPr>
              <w:noBreakHyphen/>
              <w:t xml:space="preserve">Unis d’Amérique/ M. Christian </w:t>
            </w:r>
            <w:proofErr w:type="spellStart"/>
            <w:r w:rsidRPr="00F076D7">
              <w:rPr>
                <w:rFonts w:cs="Times New Roman"/>
                <w:sz w:val="16"/>
                <w:szCs w:val="16"/>
              </w:rPr>
              <w:t>Agyare</w:t>
            </w:r>
            <w:proofErr w:type="spellEnd"/>
            <w:r w:rsidRPr="00F076D7">
              <w:rPr>
                <w:rFonts w:cs="Times New Roman"/>
                <w:sz w:val="16"/>
                <w:szCs w:val="16"/>
              </w:rPr>
              <w:t xml:space="preserve"> et Mme </w:t>
            </w:r>
            <w:proofErr w:type="spellStart"/>
            <w:r w:rsidRPr="00F076D7">
              <w:rPr>
                <w:rFonts w:cs="Times New Roman"/>
                <w:sz w:val="16"/>
                <w:szCs w:val="16"/>
              </w:rPr>
              <w:t>Kyere</w:t>
            </w:r>
            <w:proofErr w:type="spellEnd"/>
            <w:r w:rsidRPr="00F076D7">
              <w:rPr>
                <w:rFonts w:cs="Times New Roman"/>
                <w:sz w:val="16"/>
                <w:szCs w:val="16"/>
              </w:rPr>
              <w:t>-Davies.</w:t>
            </w:r>
          </w:p>
        </w:tc>
        <w:tc>
          <w:tcPr>
            <w:tcW w:w="4677" w:type="dxa"/>
          </w:tcPr>
          <w:p w14:paraId="0C63F2A2" w14:textId="77777777" w:rsidR="00767EC2" w:rsidRPr="00F076D7" w:rsidRDefault="00767EC2" w:rsidP="00A83D07">
            <w:pPr>
              <w:rPr>
                <w:sz w:val="16"/>
                <w:szCs w:val="16"/>
              </w:rPr>
            </w:pPr>
            <w:r w:rsidRPr="00F076D7">
              <w:rPr>
                <w:rFonts w:cs="Times New Roman"/>
                <w:sz w:val="16"/>
                <w:szCs w:val="16"/>
              </w:rPr>
              <w:t xml:space="preserve">Promouvoir : i) l’utilisation efficace du système de la propriété intellectuelle pour relever un défi dans le domaine de la santé mondiale (maladies tropicales négligées), qui touche de nombreux PMA;  et ii) transfert des savoirs pour les scientifiques, notamment dans les PMA.  Des programmes de recherche personnalisés ont été élaborés pour veiller à ce que les participants mettent à niveau leurs compétences en matière de recherche et soient en mesure d’apporter une contribution significative dans leur pays d’origine sur les maladies tropicales négligées.  </w:t>
            </w:r>
            <w:r w:rsidRPr="00F076D7">
              <w:rPr>
                <w:sz w:val="16"/>
                <w:szCs w:val="16"/>
              </w:rPr>
              <w:t>Lors de son congé sabbatique à l’université de Californie à San Diego (UCSD), Mme </w:t>
            </w:r>
            <w:proofErr w:type="spellStart"/>
            <w:r w:rsidRPr="00F076D7">
              <w:rPr>
                <w:sz w:val="16"/>
                <w:szCs w:val="16"/>
              </w:rPr>
              <w:t>Kyere</w:t>
            </w:r>
            <w:proofErr w:type="spellEnd"/>
            <w:r w:rsidRPr="00F076D7">
              <w:rPr>
                <w:sz w:val="16"/>
                <w:szCs w:val="16"/>
              </w:rPr>
              <w:noBreakHyphen/>
              <w:t>Davies a fait avancer les travaux entrepris par son superviseur, M. Christian </w:t>
            </w:r>
            <w:proofErr w:type="spellStart"/>
            <w:r w:rsidRPr="00F076D7">
              <w:rPr>
                <w:sz w:val="16"/>
                <w:szCs w:val="16"/>
              </w:rPr>
              <w:t>Agyare</w:t>
            </w:r>
            <w:proofErr w:type="spellEnd"/>
            <w:r w:rsidRPr="00F076D7">
              <w:rPr>
                <w:sz w:val="16"/>
                <w:szCs w:val="16"/>
              </w:rPr>
              <w:t xml:space="preserve">, alors qu’il était titulaire d’une bourse de recherche dans le cadre du programme WIPO </w:t>
            </w:r>
            <w:proofErr w:type="spellStart"/>
            <w:r w:rsidRPr="00F076D7">
              <w:rPr>
                <w:sz w:val="16"/>
                <w:szCs w:val="16"/>
              </w:rPr>
              <w:t>Re:Search</w:t>
            </w:r>
            <w:proofErr w:type="spellEnd"/>
            <w:r w:rsidRPr="00F076D7">
              <w:rPr>
                <w:sz w:val="16"/>
                <w:szCs w:val="16"/>
              </w:rPr>
              <w:t xml:space="preserve"> avec le même laboratoire.  Cela a démontré non seulement la durabilité des activités de renforcement des capacités entreprises dans le cadre des bourses WIPO </w:t>
            </w:r>
            <w:proofErr w:type="spellStart"/>
            <w:r w:rsidRPr="00F076D7">
              <w:rPr>
                <w:sz w:val="16"/>
                <w:szCs w:val="16"/>
              </w:rPr>
              <w:t>Re:Search</w:t>
            </w:r>
            <w:proofErr w:type="spellEnd"/>
            <w:r w:rsidRPr="00F076D7">
              <w:rPr>
                <w:sz w:val="16"/>
                <w:szCs w:val="16"/>
              </w:rPr>
              <w:t>, mais aussi leur contribution directe à l’accroissement des connaissances institutionnelles dans l’institut d’origine du boursier.</w:t>
            </w:r>
          </w:p>
        </w:tc>
      </w:tr>
      <w:tr w:rsidR="00767EC2" w:rsidRPr="00F076D7" w14:paraId="0BDA296B" w14:textId="77777777" w:rsidTr="00A83D07">
        <w:trPr>
          <w:cantSplit/>
        </w:trPr>
        <w:tc>
          <w:tcPr>
            <w:tcW w:w="1843" w:type="dxa"/>
          </w:tcPr>
          <w:p w14:paraId="07E6AF42" w14:textId="77777777" w:rsidR="00767EC2" w:rsidRPr="00F076D7" w:rsidRDefault="00767EC2" w:rsidP="00A83D07">
            <w:pPr>
              <w:rPr>
                <w:rFonts w:cs="Times New Roman"/>
                <w:sz w:val="16"/>
                <w:szCs w:val="16"/>
              </w:rPr>
            </w:pPr>
            <w:r w:rsidRPr="00F076D7">
              <w:rPr>
                <w:sz w:val="16"/>
                <w:szCs w:val="16"/>
              </w:rPr>
              <w:t xml:space="preserve">Élaboration d’un rapport sur les défis mondiaux, intitulé </w:t>
            </w:r>
            <w:r w:rsidRPr="00F076D7">
              <w:rPr>
                <w:i/>
                <w:sz w:val="16"/>
                <w:szCs w:val="16"/>
              </w:rPr>
              <w:t>“Partager l’innovation et renforcer les capacités de lutte contre les maladies tropicales négligées : sélection de récits des scientifiques titulaires d’une bourse de recherche dans le cadre du programme WIPO </w:t>
            </w:r>
            <w:proofErr w:type="spellStart"/>
            <w:r w:rsidRPr="00F076D7">
              <w:rPr>
                <w:i/>
                <w:sz w:val="16"/>
                <w:szCs w:val="16"/>
              </w:rPr>
              <w:t>Re:Search</w:t>
            </w:r>
            <w:proofErr w:type="spellEnd"/>
            <w:r w:rsidRPr="00F076D7">
              <w:rPr>
                <w:i/>
                <w:sz w:val="16"/>
                <w:szCs w:val="16"/>
              </w:rPr>
              <w:t>”</w:t>
            </w:r>
          </w:p>
        </w:tc>
        <w:tc>
          <w:tcPr>
            <w:tcW w:w="1135" w:type="dxa"/>
          </w:tcPr>
          <w:p w14:paraId="37DE33E5" w14:textId="77777777" w:rsidR="00767EC2" w:rsidRPr="00F076D7" w:rsidRDefault="00767EC2" w:rsidP="00A83D07">
            <w:pPr>
              <w:rPr>
                <w:rFonts w:cs="Times New Roman"/>
                <w:sz w:val="16"/>
                <w:szCs w:val="16"/>
              </w:rPr>
            </w:pPr>
            <w:r w:rsidRPr="00F076D7">
              <w:rPr>
                <w:rFonts w:cs="Times New Roman"/>
                <w:sz w:val="16"/>
                <w:szCs w:val="16"/>
              </w:rPr>
              <w:t>Janvier – juillet 2016</w:t>
            </w:r>
          </w:p>
        </w:tc>
        <w:tc>
          <w:tcPr>
            <w:tcW w:w="1559" w:type="dxa"/>
          </w:tcPr>
          <w:p w14:paraId="6279A584" w14:textId="77777777" w:rsidR="00767EC2" w:rsidRPr="00F076D7" w:rsidRDefault="00767EC2" w:rsidP="00A83D07">
            <w:pPr>
              <w:spacing w:line="276" w:lineRule="auto"/>
              <w:rPr>
                <w:rFonts w:cs="Times New Roman"/>
                <w:sz w:val="16"/>
                <w:szCs w:val="16"/>
              </w:rPr>
            </w:pPr>
            <w:r w:rsidRPr="00F076D7">
              <w:rPr>
                <w:rFonts w:cs="Times New Roman"/>
                <w:sz w:val="16"/>
                <w:szCs w:val="16"/>
              </w:rPr>
              <w:t>Tous</w:t>
            </w:r>
          </w:p>
        </w:tc>
        <w:tc>
          <w:tcPr>
            <w:tcW w:w="4677" w:type="dxa"/>
          </w:tcPr>
          <w:p w14:paraId="6FCFA42C" w14:textId="77777777" w:rsidR="00767EC2" w:rsidRPr="00F076D7" w:rsidRDefault="00767EC2" w:rsidP="00A83D07">
            <w:pPr>
              <w:rPr>
                <w:rFonts w:cs="Times New Roman"/>
                <w:sz w:val="16"/>
                <w:szCs w:val="16"/>
              </w:rPr>
            </w:pPr>
            <w:r w:rsidRPr="00F076D7">
              <w:rPr>
                <w:sz w:val="16"/>
                <w:szCs w:val="16"/>
              </w:rPr>
              <w:t>En relatant les récits et les expériences des six scientifiques qui ont participé au programme sabbatique/de recherche WIPO </w:t>
            </w:r>
            <w:proofErr w:type="spellStart"/>
            <w:r w:rsidRPr="00F076D7">
              <w:rPr>
                <w:sz w:val="16"/>
                <w:szCs w:val="16"/>
              </w:rPr>
              <w:t>Re:Search</w:t>
            </w:r>
            <w:proofErr w:type="spellEnd"/>
            <w:r w:rsidRPr="00F076D7">
              <w:rPr>
                <w:sz w:val="16"/>
                <w:szCs w:val="16"/>
              </w:rPr>
              <w:t xml:space="preserve"> au titre du premier fonds fiduciaire de l’Australie, cette publication montre l’importance des partenariats en tant qu’investissement dans le renforcement des capacités humaines et institutionnelles et en tant qu’outil stratégique permettant d’axer la recherche et le développement durables sur les maladies tropicales négligées dans les régions touchées par ces maladies.  Cette publication souligne également la forte valeur de l’engagement dont a fait preuve un donateur (le Gouvernement de l’Australie) quant à la mise en place et au maintien de ces programmes qui peuvent avoir un impact exponentiel</w:t>
            </w:r>
            <w:r w:rsidRPr="00F076D7">
              <w:rPr>
                <w:rFonts w:cs="Times New Roman"/>
                <w:sz w:val="16"/>
                <w:szCs w:val="16"/>
              </w:rPr>
              <w:t>.</w:t>
            </w:r>
          </w:p>
        </w:tc>
      </w:tr>
    </w:tbl>
    <w:p w14:paraId="4B73A3E5" w14:textId="77777777" w:rsidR="00767EC2" w:rsidRPr="00F076D7" w:rsidRDefault="00767EC2" w:rsidP="00767EC2">
      <w:pPr>
        <w:rPr>
          <w:rFonts w:cs="Times New Roman"/>
          <w:sz w:val="20"/>
          <w:szCs w:val="24"/>
        </w:rPr>
      </w:pPr>
    </w:p>
    <w:p w14:paraId="2E63609C" w14:textId="77777777" w:rsidR="00767EC2" w:rsidRPr="00F076D7" w:rsidRDefault="00767EC2" w:rsidP="00767EC2">
      <w:pPr>
        <w:rPr>
          <w:rFonts w:cs="Times New Roman"/>
          <w:sz w:val="20"/>
          <w:szCs w:val="24"/>
        </w:rPr>
      </w:pPr>
    </w:p>
    <w:p w14:paraId="357E0109" w14:textId="77777777" w:rsidR="00767EC2" w:rsidRPr="00F076D7" w:rsidRDefault="00767EC2" w:rsidP="00767EC2">
      <w:pPr>
        <w:rPr>
          <w:b/>
          <w:bCs/>
          <w:sz w:val="20"/>
        </w:rPr>
      </w:pPr>
      <w:r w:rsidRPr="00F076D7">
        <w:rPr>
          <w:b/>
          <w:sz w:val="20"/>
        </w:rPr>
        <w:t>AUSTRALIE I – Contributions des donateurs et dépenses en</w:t>
      </w:r>
      <w:r w:rsidRPr="00F076D7">
        <w:rPr>
          <w:b/>
          <w:bCs/>
          <w:sz w:val="20"/>
        </w:rPr>
        <w:t xml:space="preserve"> 2016</w:t>
      </w:r>
    </w:p>
    <w:p w14:paraId="3DFA913C" w14:textId="77777777" w:rsidR="00767EC2" w:rsidRPr="00F076D7" w:rsidRDefault="00767EC2" w:rsidP="00767EC2">
      <w:pPr>
        <w:rPr>
          <w:b/>
          <w:bCs/>
          <w:sz w:val="20"/>
        </w:rPr>
      </w:pPr>
    </w:p>
    <w:tbl>
      <w:tblPr>
        <w:tblW w:w="5000" w:type="pct"/>
        <w:tblCellMar>
          <w:top w:w="57" w:type="dxa"/>
          <w:bottom w:w="57" w:type="dxa"/>
        </w:tblCellMar>
        <w:tblLook w:val="04A0" w:firstRow="1" w:lastRow="0" w:firstColumn="1" w:lastColumn="0" w:noHBand="0" w:noVBand="1"/>
      </w:tblPr>
      <w:tblGrid>
        <w:gridCol w:w="1858"/>
        <w:gridCol w:w="1858"/>
        <w:gridCol w:w="1857"/>
        <w:gridCol w:w="1857"/>
        <w:gridCol w:w="1857"/>
      </w:tblGrid>
      <w:tr w:rsidR="00767EC2" w:rsidRPr="00F076D7" w14:paraId="36979598" w14:textId="77777777" w:rsidTr="00A83D07">
        <w:trPr>
          <w:cantSplit/>
        </w:trPr>
        <w:tc>
          <w:tcPr>
            <w:tcW w:w="1812" w:type="dxa"/>
            <w:tcBorders>
              <w:top w:val="nil"/>
              <w:left w:val="nil"/>
              <w:bottom w:val="nil"/>
              <w:right w:val="nil"/>
            </w:tcBorders>
            <w:shd w:val="clear" w:color="000000" w:fill="C5D9F1"/>
            <w:vAlign w:val="center"/>
            <w:hideMark/>
          </w:tcPr>
          <w:p w14:paraId="50A271E7" w14:textId="77777777" w:rsidR="00767EC2" w:rsidRPr="00F076D7" w:rsidRDefault="00767EC2" w:rsidP="00A83D07">
            <w:pPr>
              <w:jc w:val="center"/>
              <w:rPr>
                <w:b/>
                <w:bCs/>
                <w:sz w:val="16"/>
                <w:szCs w:val="16"/>
              </w:rPr>
            </w:pPr>
            <w:r w:rsidRPr="00F076D7">
              <w:rPr>
                <w:b/>
                <w:bCs/>
                <w:sz w:val="16"/>
                <w:szCs w:val="16"/>
              </w:rPr>
              <w:t>Solde au 31 décembre 2015</w:t>
            </w:r>
          </w:p>
        </w:tc>
        <w:tc>
          <w:tcPr>
            <w:tcW w:w="1812" w:type="dxa"/>
            <w:tcBorders>
              <w:top w:val="nil"/>
              <w:left w:val="nil"/>
              <w:bottom w:val="nil"/>
              <w:right w:val="nil"/>
            </w:tcBorders>
            <w:shd w:val="clear" w:color="000000" w:fill="C5D9F1"/>
            <w:noWrap/>
            <w:vAlign w:val="center"/>
            <w:hideMark/>
          </w:tcPr>
          <w:p w14:paraId="02F89339" w14:textId="77777777" w:rsidR="00767EC2" w:rsidRPr="00F076D7" w:rsidRDefault="00767EC2" w:rsidP="00A83D07">
            <w:pPr>
              <w:jc w:val="center"/>
              <w:rPr>
                <w:b/>
                <w:bCs/>
                <w:sz w:val="16"/>
                <w:szCs w:val="16"/>
              </w:rPr>
            </w:pPr>
            <w:r w:rsidRPr="00F076D7">
              <w:rPr>
                <w:b/>
                <w:bCs/>
                <w:sz w:val="16"/>
                <w:szCs w:val="16"/>
              </w:rPr>
              <w:t>Recettes 2016</w:t>
            </w:r>
          </w:p>
        </w:tc>
        <w:tc>
          <w:tcPr>
            <w:tcW w:w="1812" w:type="dxa"/>
            <w:tcBorders>
              <w:top w:val="nil"/>
              <w:left w:val="nil"/>
              <w:bottom w:val="nil"/>
              <w:right w:val="nil"/>
            </w:tcBorders>
            <w:shd w:val="clear" w:color="000000" w:fill="C5D9F1"/>
            <w:noWrap/>
            <w:vAlign w:val="center"/>
            <w:hideMark/>
          </w:tcPr>
          <w:p w14:paraId="15349F31" w14:textId="77777777" w:rsidR="00767EC2" w:rsidRPr="00F076D7" w:rsidRDefault="00767EC2" w:rsidP="00A83D07">
            <w:pPr>
              <w:jc w:val="center"/>
              <w:rPr>
                <w:b/>
                <w:bCs/>
                <w:sz w:val="16"/>
                <w:szCs w:val="16"/>
              </w:rPr>
            </w:pPr>
            <w:r w:rsidRPr="00F076D7">
              <w:rPr>
                <w:b/>
                <w:bCs/>
                <w:sz w:val="16"/>
                <w:szCs w:val="16"/>
              </w:rPr>
              <w:t>Dépenses 2016</w:t>
            </w:r>
          </w:p>
        </w:tc>
        <w:tc>
          <w:tcPr>
            <w:tcW w:w="1812" w:type="dxa"/>
            <w:tcBorders>
              <w:top w:val="nil"/>
              <w:left w:val="nil"/>
              <w:bottom w:val="nil"/>
              <w:right w:val="nil"/>
            </w:tcBorders>
            <w:shd w:val="clear" w:color="000000" w:fill="C5D9F1"/>
            <w:noWrap/>
            <w:vAlign w:val="center"/>
            <w:hideMark/>
          </w:tcPr>
          <w:p w14:paraId="1ECBD819" w14:textId="77777777" w:rsidR="00767EC2" w:rsidRPr="00F076D7" w:rsidRDefault="00767EC2" w:rsidP="00A83D07">
            <w:pPr>
              <w:jc w:val="center"/>
              <w:rPr>
                <w:b/>
                <w:bCs/>
                <w:sz w:val="16"/>
                <w:szCs w:val="16"/>
              </w:rPr>
            </w:pPr>
            <w:r w:rsidRPr="00F076D7">
              <w:rPr>
                <w:b/>
                <w:bCs/>
                <w:sz w:val="16"/>
                <w:szCs w:val="16"/>
              </w:rPr>
              <w:t>Remboursements</w:t>
            </w:r>
          </w:p>
        </w:tc>
        <w:tc>
          <w:tcPr>
            <w:tcW w:w="1812" w:type="dxa"/>
            <w:tcBorders>
              <w:top w:val="nil"/>
              <w:left w:val="nil"/>
              <w:bottom w:val="nil"/>
              <w:right w:val="nil"/>
            </w:tcBorders>
            <w:shd w:val="clear" w:color="000000" w:fill="C5D9F1"/>
            <w:vAlign w:val="center"/>
            <w:hideMark/>
          </w:tcPr>
          <w:p w14:paraId="0D2DF188"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1094AE31" w14:textId="77777777" w:rsidTr="00A83D07">
        <w:trPr>
          <w:cantSplit/>
        </w:trPr>
        <w:tc>
          <w:tcPr>
            <w:tcW w:w="1812" w:type="dxa"/>
            <w:tcBorders>
              <w:top w:val="nil"/>
              <w:left w:val="nil"/>
              <w:bottom w:val="nil"/>
              <w:right w:val="nil"/>
            </w:tcBorders>
            <w:shd w:val="clear" w:color="auto" w:fill="auto"/>
            <w:noWrap/>
            <w:vAlign w:val="bottom"/>
            <w:hideMark/>
          </w:tcPr>
          <w:p w14:paraId="7052C1FB" w14:textId="77777777" w:rsidR="00767EC2" w:rsidRPr="00F076D7" w:rsidRDefault="00767EC2" w:rsidP="00A83D07">
            <w:pPr>
              <w:jc w:val="center"/>
              <w:rPr>
                <w:sz w:val="16"/>
                <w:szCs w:val="16"/>
              </w:rPr>
            </w:pPr>
            <w:r w:rsidRPr="00F076D7">
              <w:rPr>
                <w:sz w:val="16"/>
                <w:szCs w:val="16"/>
              </w:rPr>
              <w:t>110 219</w:t>
            </w:r>
          </w:p>
        </w:tc>
        <w:tc>
          <w:tcPr>
            <w:tcW w:w="1812" w:type="dxa"/>
            <w:tcBorders>
              <w:top w:val="nil"/>
              <w:left w:val="nil"/>
              <w:bottom w:val="nil"/>
              <w:right w:val="nil"/>
            </w:tcBorders>
            <w:shd w:val="clear" w:color="auto" w:fill="auto"/>
            <w:noWrap/>
            <w:vAlign w:val="bottom"/>
            <w:hideMark/>
          </w:tcPr>
          <w:p w14:paraId="31E8AB40" w14:textId="77777777" w:rsidR="00767EC2" w:rsidRPr="00F076D7" w:rsidRDefault="00767EC2" w:rsidP="00A83D07">
            <w:pPr>
              <w:jc w:val="center"/>
              <w:rPr>
                <w:sz w:val="16"/>
                <w:szCs w:val="16"/>
              </w:rPr>
            </w:pPr>
            <w:r w:rsidRPr="00F076D7">
              <w:rPr>
                <w:sz w:val="16"/>
                <w:szCs w:val="16"/>
              </w:rPr>
              <w:t>40</w:t>
            </w:r>
          </w:p>
        </w:tc>
        <w:tc>
          <w:tcPr>
            <w:tcW w:w="1812" w:type="dxa"/>
            <w:tcBorders>
              <w:top w:val="nil"/>
              <w:left w:val="nil"/>
              <w:bottom w:val="nil"/>
              <w:right w:val="nil"/>
            </w:tcBorders>
            <w:shd w:val="clear" w:color="auto" w:fill="auto"/>
            <w:noWrap/>
            <w:vAlign w:val="bottom"/>
            <w:hideMark/>
          </w:tcPr>
          <w:p w14:paraId="45FE93D6" w14:textId="77777777" w:rsidR="00767EC2" w:rsidRPr="00F076D7" w:rsidRDefault="00767EC2" w:rsidP="00A83D07">
            <w:pPr>
              <w:jc w:val="center"/>
              <w:rPr>
                <w:sz w:val="16"/>
                <w:szCs w:val="16"/>
              </w:rPr>
            </w:pPr>
            <w:r w:rsidRPr="00F076D7">
              <w:rPr>
                <w:sz w:val="16"/>
                <w:szCs w:val="16"/>
              </w:rPr>
              <w:t>10 775</w:t>
            </w:r>
          </w:p>
        </w:tc>
        <w:tc>
          <w:tcPr>
            <w:tcW w:w="1812" w:type="dxa"/>
            <w:tcBorders>
              <w:top w:val="nil"/>
              <w:left w:val="nil"/>
              <w:bottom w:val="nil"/>
              <w:right w:val="nil"/>
            </w:tcBorders>
            <w:shd w:val="clear" w:color="auto" w:fill="auto"/>
            <w:noWrap/>
            <w:vAlign w:val="bottom"/>
            <w:hideMark/>
          </w:tcPr>
          <w:p w14:paraId="527A4D8F" w14:textId="77777777" w:rsidR="00767EC2" w:rsidRPr="00F076D7" w:rsidRDefault="00767EC2" w:rsidP="00A83D07">
            <w:pPr>
              <w:jc w:val="center"/>
              <w:rPr>
                <w:sz w:val="16"/>
                <w:szCs w:val="16"/>
              </w:rPr>
            </w:pPr>
            <w:r w:rsidRPr="00F076D7">
              <w:rPr>
                <w:sz w:val="16"/>
                <w:szCs w:val="16"/>
              </w:rPr>
              <w:t>99 484</w:t>
            </w:r>
          </w:p>
        </w:tc>
        <w:tc>
          <w:tcPr>
            <w:tcW w:w="1812" w:type="dxa"/>
            <w:tcBorders>
              <w:top w:val="nil"/>
              <w:left w:val="nil"/>
              <w:bottom w:val="nil"/>
              <w:right w:val="nil"/>
            </w:tcBorders>
            <w:shd w:val="clear" w:color="auto" w:fill="auto"/>
            <w:noWrap/>
            <w:vAlign w:val="bottom"/>
            <w:hideMark/>
          </w:tcPr>
          <w:p w14:paraId="38FE5877" w14:textId="77777777" w:rsidR="00767EC2" w:rsidRPr="00F076D7" w:rsidRDefault="00767EC2" w:rsidP="00A83D07">
            <w:pPr>
              <w:jc w:val="center"/>
              <w:rPr>
                <w:sz w:val="16"/>
                <w:szCs w:val="16"/>
              </w:rPr>
            </w:pPr>
            <w:r w:rsidRPr="00F076D7">
              <w:rPr>
                <w:sz w:val="16"/>
                <w:szCs w:val="16"/>
              </w:rPr>
              <w:noBreakHyphen/>
            </w:r>
          </w:p>
        </w:tc>
      </w:tr>
    </w:tbl>
    <w:p w14:paraId="32EB42ED" w14:textId="77777777" w:rsidR="00767EC2" w:rsidRPr="00F076D7" w:rsidRDefault="00767EC2" w:rsidP="00767EC2">
      <w:pPr>
        <w:rPr>
          <w:b/>
          <w:bCs/>
          <w:sz w:val="20"/>
        </w:rPr>
      </w:pPr>
    </w:p>
    <w:p w14:paraId="06734FA0" w14:textId="77777777" w:rsidR="00767EC2" w:rsidRPr="00F076D7" w:rsidRDefault="00767EC2" w:rsidP="00767EC2">
      <w:pPr>
        <w:rPr>
          <w:b/>
          <w:bCs/>
          <w:sz w:val="20"/>
        </w:rPr>
      </w:pPr>
    </w:p>
    <w:p w14:paraId="10C25238" w14:textId="77777777" w:rsidR="00767EC2" w:rsidRPr="00F076D7" w:rsidRDefault="00767EC2" w:rsidP="00767EC2">
      <w:pPr>
        <w:keepNext/>
        <w:rPr>
          <w:b/>
          <w:bCs/>
          <w:sz w:val="20"/>
        </w:rPr>
      </w:pPr>
      <w:r w:rsidRPr="00F076D7">
        <w:rPr>
          <w:b/>
          <w:bCs/>
          <w:sz w:val="20"/>
        </w:rPr>
        <w:t>AUSTRALIE II</w:t>
      </w:r>
    </w:p>
    <w:p w14:paraId="09D8DE74" w14:textId="77777777" w:rsidR="00767EC2" w:rsidRPr="00F076D7" w:rsidRDefault="00767EC2" w:rsidP="00767EC2">
      <w:pPr>
        <w:keepNext/>
        <w:rPr>
          <w:b/>
          <w:sz w:val="20"/>
        </w:rPr>
      </w:pPr>
    </w:p>
    <w:tbl>
      <w:tblPr>
        <w:tblW w:w="4884" w:type="pct"/>
        <w:tblCellMar>
          <w:top w:w="57" w:type="dxa"/>
          <w:bottom w:w="57" w:type="dxa"/>
        </w:tblCellMar>
        <w:tblLook w:val="0000" w:firstRow="0" w:lastRow="0" w:firstColumn="0" w:lastColumn="0" w:noHBand="0" w:noVBand="0"/>
      </w:tblPr>
      <w:tblGrid>
        <w:gridCol w:w="1843"/>
        <w:gridCol w:w="1277"/>
        <w:gridCol w:w="1418"/>
        <w:gridCol w:w="4534"/>
      </w:tblGrid>
      <w:tr w:rsidR="00767EC2" w:rsidRPr="00F076D7" w14:paraId="632347AD" w14:textId="77777777" w:rsidTr="00A83D07">
        <w:trPr>
          <w:cantSplit/>
        </w:trPr>
        <w:tc>
          <w:tcPr>
            <w:tcW w:w="9072" w:type="dxa"/>
            <w:gridSpan w:val="4"/>
            <w:shd w:val="clear" w:color="auto" w:fill="C6D9F1" w:themeFill="text2" w:themeFillTint="33"/>
            <w:vAlign w:val="center"/>
          </w:tcPr>
          <w:p w14:paraId="5FDAACC7" w14:textId="77777777" w:rsidR="00767EC2" w:rsidRPr="00F076D7" w:rsidRDefault="00767EC2" w:rsidP="00A83D07">
            <w:pPr>
              <w:keepNext/>
              <w:keepLines/>
              <w:tabs>
                <w:tab w:val="left" w:pos="1740"/>
              </w:tabs>
              <w:rPr>
                <w:b/>
                <w:bCs/>
                <w:sz w:val="16"/>
                <w:szCs w:val="16"/>
              </w:rPr>
            </w:pPr>
            <w:r w:rsidRPr="00F076D7">
              <w:rPr>
                <w:b/>
                <w:bCs/>
                <w:sz w:val="16"/>
                <w:szCs w:val="16"/>
              </w:rPr>
              <w:t>RÉSULTAT</w:t>
            </w:r>
            <w:r w:rsidRPr="00F076D7">
              <w:rPr>
                <w:bCs/>
                <w:sz w:val="16"/>
                <w:szCs w:val="16"/>
              </w:rPr>
              <w:t> : III.1 Stratégies et plans nationaux en matière d’innovation et de propriété intellectuelle conformes aux objectifs de développement nationaux</w:t>
            </w:r>
          </w:p>
        </w:tc>
      </w:tr>
      <w:tr w:rsidR="00767EC2" w:rsidRPr="00F076D7" w14:paraId="6FA91C17" w14:textId="77777777" w:rsidTr="00A83D07">
        <w:trPr>
          <w:cantSplit/>
        </w:trPr>
        <w:tc>
          <w:tcPr>
            <w:tcW w:w="1843" w:type="dxa"/>
            <w:vAlign w:val="center"/>
          </w:tcPr>
          <w:p w14:paraId="5B819B93" w14:textId="77777777" w:rsidR="00767EC2" w:rsidRPr="00F076D7" w:rsidRDefault="00767EC2" w:rsidP="00A83D07">
            <w:pPr>
              <w:keepNext/>
              <w:keepLines/>
              <w:rPr>
                <w:b/>
                <w:bCs/>
                <w:sz w:val="16"/>
                <w:szCs w:val="16"/>
              </w:rPr>
            </w:pPr>
            <w:r w:rsidRPr="00F076D7">
              <w:rPr>
                <w:b/>
                <w:bCs/>
                <w:sz w:val="16"/>
                <w:szCs w:val="16"/>
              </w:rPr>
              <w:t>Activité</w:t>
            </w:r>
          </w:p>
        </w:tc>
        <w:tc>
          <w:tcPr>
            <w:tcW w:w="1277" w:type="dxa"/>
            <w:shd w:val="clear" w:color="auto" w:fill="auto"/>
            <w:tcMar>
              <w:top w:w="57" w:type="dxa"/>
            </w:tcMar>
            <w:vAlign w:val="center"/>
          </w:tcPr>
          <w:p w14:paraId="163A4D8B" w14:textId="77777777" w:rsidR="00767EC2" w:rsidRPr="00F076D7" w:rsidRDefault="00767EC2" w:rsidP="00A83D07">
            <w:pPr>
              <w:keepNext/>
              <w:keepLines/>
              <w:rPr>
                <w:b/>
                <w:sz w:val="16"/>
                <w:szCs w:val="16"/>
              </w:rPr>
            </w:pPr>
            <w:r w:rsidRPr="00F076D7">
              <w:rPr>
                <w:b/>
                <w:sz w:val="16"/>
                <w:szCs w:val="16"/>
              </w:rPr>
              <w:t>Date</w:t>
            </w:r>
          </w:p>
        </w:tc>
        <w:tc>
          <w:tcPr>
            <w:tcW w:w="1418" w:type="dxa"/>
            <w:shd w:val="clear" w:color="auto" w:fill="auto"/>
            <w:tcMar>
              <w:top w:w="57" w:type="dxa"/>
            </w:tcMar>
            <w:vAlign w:val="center"/>
          </w:tcPr>
          <w:p w14:paraId="55BD79A1" w14:textId="77777777" w:rsidR="00767EC2" w:rsidRPr="00F076D7" w:rsidRDefault="00767EC2" w:rsidP="00A83D07">
            <w:pPr>
              <w:keepNext/>
              <w:keepLines/>
              <w:rPr>
                <w:b/>
                <w:sz w:val="16"/>
                <w:szCs w:val="16"/>
              </w:rPr>
            </w:pPr>
            <w:r w:rsidRPr="00F076D7">
              <w:rPr>
                <w:b/>
                <w:sz w:val="16"/>
                <w:szCs w:val="16"/>
              </w:rPr>
              <w:t>Pays hôte/ bénéficiaires</w:t>
            </w:r>
          </w:p>
        </w:tc>
        <w:tc>
          <w:tcPr>
            <w:tcW w:w="4534" w:type="dxa"/>
            <w:shd w:val="clear" w:color="auto" w:fill="FFFFFF"/>
            <w:tcMar>
              <w:top w:w="57" w:type="dxa"/>
            </w:tcMar>
            <w:vAlign w:val="center"/>
          </w:tcPr>
          <w:p w14:paraId="60EFEECD"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690C00D5" w14:textId="77777777" w:rsidTr="00A83D07">
        <w:trPr>
          <w:cantSplit/>
        </w:trPr>
        <w:tc>
          <w:tcPr>
            <w:tcW w:w="1843" w:type="dxa"/>
          </w:tcPr>
          <w:p w14:paraId="45A79498" w14:textId="77777777" w:rsidR="00767EC2" w:rsidRPr="00F076D7" w:rsidRDefault="00767EC2" w:rsidP="00A83D07">
            <w:pPr>
              <w:rPr>
                <w:sz w:val="16"/>
                <w:szCs w:val="16"/>
              </w:rPr>
            </w:pPr>
            <w:r w:rsidRPr="00F076D7">
              <w:rPr>
                <w:sz w:val="16"/>
                <w:szCs w:val="16"/>
              </w:rPr>
              <w:t>Réunions finales de consultation des parties prenantes nationales visant à parachever la stratégie en matière de propriété intellectuelle pour Kiribati</w:t>
            </w:r>
          </w:p>
        </w:tc>
        <w:tc>
          <w:tcPr>
            <w:tcW w:w="1277" w:type="dxa"/>
          </w:tcPr>
          <w:p w14:paraId="48FC56D2" w14:textId="77777777" w:rsidR="00767EC2" w:rsidRPr="00F076D7" w:rsidRDefault="00767EC2" w:rsidP="00A83D07">
            <w:pPr>
              <w:autoSpaceDE w:val="0"/>
              <w:autoSpaceDN w:val="0"/>
              <w:adjustRightInd w:val="0"/>
              <w:rPr>
                <w:sz w:val="16"/>
                <w:szCs w:val="16"/>
              </w:rPr>
            </w:pPr>
            <w:r w:rsidRPr="00F076D7">
              <w:rPr>
                <w:sz w:val="16"/>
                <w:szCs w:val="16"/>
              </w:rPr>
              <w:t>20 – 23 juin 2016</w:t>
            </w:r>
          </w:p>
        </w:tc>
        <w:tc>
          <w:tcPr>
            <w:tcW w:w="1418" w:type="dxa"/>
          </w:tcPr>
          <w:p w14:paraId="139B9AB2" w14:textId="77777777" w:rsidR="00767EC2" w:rsidRPr="00F076D7" w:rsidRDefault="00767EC2" w:rsidP="00A83D07">
            <w:pPr>
              <w:autoSpaceDE w:val="0"/>
              <w:autoSpaceDN w:val="0"/>
              <w:adjustRightInd w:val="0"/>
              <w:rPr>
                <w:sz w:val="16"/>
                <w:szCs w:val="16"/>
              </w:rPr>
            </w:pPr>
            <w:r w:rsidRPr="00F076D7">
              <w:rPr>
                <w:sz w:val="16"/>
                <w:szCs w:val="16"/>
              </w:rPr>
              <w:t>Kiribati</w:t>
            </w:r>
          </w:p>
        </w:tc>
        <w:tc>
          <w:tcPr>
            <w:tcW w:w="4534" w:type="dxa"/>
          </w:tcPr>
          <w:p w14:paraId="538A616D" w14:textId="77777777" w:rsidR="00767EC2" w:rsidRPr="00F076D7" w:rsidRDefault="00767EC2" w:rsidP="00A83D07">
            <w:pPr>
              <w:autoSpaceDE w:val="0"/>
              <w:autoSpaceDN w:val="0"/>
              <w:adjustRightInd w:val="0"/>
              <w:rPr>
                <w:sz w:val="16"/>
                <w:szCs w:val="16"/>
              </w:rPr>
            </w:pPr>
            <w:r w:rsidRPr="00F076D7">
              <w:rPr>
                <w:sz w:val="16"/>
                <w:szCs w:val="16"/>
              </w:rPr>
              <w:t>Valider le projet de politique de propriété intellectuelle transmis pour examen au Gouvernement de Kiribati, par le biais de consultations finales des parties prenantes nationales, en vue de procéder à toutes les modifications nécessaires avant la soumission de la version définitive du document sur la politique en matière de propriété intellectuelle.  Ces modifications ont été examinées en interne par plusieurs divisions de l’OMPI.</w:t>
            </w:r>
          </w:p>
          <w:p w14:paraId="7EC8665D" w14:textId="77777777" w:rsidR="00767EC2" w:rsidRPr="00F076D7" w:rsidRDefault="00767EC2" w:rsidP="00A83D07">
            <w:pPr>
              <w:autoSpaceDE w:val="0"/>
              <w:autoSpaceDN w:val="0"/>
              <w:adjustRightInd w:val="0"/>
              <w:rPr>
                <w:sz w:val="16"/>
                <w:szCs w:val="16"/>
              </w:rPr>
            </w:pPr>
            <w:r w:rsidRPr="00F076D7">
              <w:rPr>
                <w:sz w:val="16"/>
                <w:szCs w:val="16"/>
              </w:rPr>
              <w:t xml:space="preserve">Une fois que le projet révisé de Stratégie nationale en matière de propriété intellectuelle a été parachevé à la suite d’une nouvelle série de consultations internes à l’OMPI, le Directeur général de l’OMPI l’a envoyé au ministre du Commerce, de l’Industrie et des Coopératives de Kiribati pour examen et suivi à l’échelle nationale le 9 septembre 2016.  Une note a ensuite été rédigée par Kiribati pour examen par son Cabinet fin novembre 2016.  </w:t>
            </w:r>
          </w:p>
        </w:tc>
      </w:tr>
      <w:tr w:rsidR="00767EC2" w:rsidRPr="00F076D7" w14:paraId="10C389EA" w14:textId="77777777" w:rsidTr="00A83D07">
        <w:trPr>
          <w:cantSplit/>
        </w:trPr>
        <w:tc>
          <w:tcPr>
            <w:tcW w:w="1843" w:type="dxa"/>
          </w:tcPr>
          <w:p w14:paraId="0C88DFBF" w14:textId="77777777" w:rsidR="00767EC2" w:rsidRPr="00F076D7" w:rsidRDefault="00767EC2" w:rsidP="00A83D07">
            <w:pPr>
              <w:autoSpaceDE w:val="0"/>
              <w:autoSpaceDN w:val="0"/>
              <w:adjustRightInd w:val="0"/>
              <w:rPr>
                <w:sz w:val="16"/>
                <w:szCs w:val="16"/>
              </w:rPr>
            </w:pPr>
            <w:r w:rsidRPr="00F076D7">
              <w:rPr>
                <w:sz w:val="16"/>
                <w:szCs w:val="16"/>
              </w:rPr>
              <w:t>Première mission d’évaluation aux fins d’élaboration d’une stratégie nationale en matière de propriété intellectuelle pour la République démocratique populaire lao</w:t>
            </w:r>
          </w:p>
        </w:tc>
        <w:tc>
          <w:tcPr>
            <w:tcW w:w="1277" w:type="dxa"/>
          </w:tcPr>
          <w:p w14:paraId="79FC593B" w14:textId="77777777" w:rsidR="00767EC2" w:rsidRPr="00F076D7" w:rsidRDefault="00767EC2" w:rsidP="00A83D07">
            <w:pPr>
              <w:autoSpaceDE w:val="0"/>
              <w:autoSpaceDN w:val="0"/>
              <w:adjustRightInd w:val="0"/>
              <w:rPr>
                <w:sz w:val="16"/>
                <w:szCs w:val="16"/>
              </w:rPr>
            </w:pPr>
            <w:r w:rsidRPr="00F076D7">
              <w:rPr>
                <w:sz w:val="16"/>
                <w:szCs w:val="16"/>
              </w:rPr>
              <w:t>26 – 28 avril 2016</w:t>
            </w:r>
          </w:p>
        </w:tc>
        <w:tc>
          <w:tcPr>
            <w:tcW w:w="1418" w:type="dxa"/>
          </w:tcPr>
          <w:p w14:paraId="60F82B23" w14:textId="77777777" w:rsidR="00767EC2" w:rsidRPr="00F076D7" w:rsidRDefault="00767EC2" w:rsidP="00A83D07">
            <w:pPr>
              <w:autoSpaceDE w:val="0"/>
              <w:autoSpaceDN w:val="0"/>
              <w:adjustRightInd w:val="0"/>
              <w:rPr>
                <w:sz w:val="16"/>
                <w:szCs w:val="16"/>
              </w:rPr>
            </w:pPr>
            <w:r w:rsidRPr="00F076D7">
              <w:rPr>
                <w:sz w:val="16"/>
                <w:szCs w:val="16"/>
              </w:rPr>
              <w:t>République démocratique populaire lao</w:t>
            </w:r>
          </w:p>
        </w:tc>
        <w:tc>
          <w:tcPr>
            <w:tcW w:w="4534" w:type="dxa"/>
          </w:tcPr>
          <w:p w14:paraId="2B9BBD8D" w14:textId="77777777" w:rsidR="00767EC2" w:rsidRPr="00F076D7" w:rsidRDefault="00767EC2" w:rsidP="00A83D07">
            <w:pPr>
              <w:tabs>
                <w:tab w:val="left" w:pos="737"/>
              </w:tabs>
              <w:rPr>
                <w:sz w:val="16"/>
                <w:szCs w:val="16"/>
              </w:rPr>
            </w:pPr>
            <w:r w:rsidRPr="00F076D7">
              <w:rPr>
                <w:sz w:val="16"/>
                <w:szCs w:val="16"/>
              </w:rPr>
              <w:t>i) Sensibiliser davantage au rôle qui est celui d’une stratégie nationale en matière de propriété intellectuelle et aux corrélations qui existent entre ce type de stratégie et les autres politiques des pouvoirs publics;  sensibiliser également à la méthodologie et aux outils permettant de formuler ce type de stratégie;  ii) former les experts nationaux à la méthodologie et à l’utilisation des outils;  iii) organiser des réunions consultatives et des visites de courtoisie avec le directeur général du Département de la propriété intellectuelle ainsi que des hauts fonctionnaires du Ministère des Sciences et Technologies et d’autres ministères concernés pour discuter des délais et des prochaines étapes et s’assurer de leur volonté politique quant au processus à venir.</w:t>
            </w:r>
          </w:p>
        </w:tc>
      </w:tr>
      <w:tr w:rsidR="00767EC2" w:rsidRPr="00F076D7" w14:paraId="6E6D6178" w14:textId="77777777" w:rsidTr="00A83D07">
        <w:trPr>
          <w:cantSplit/>
        </w:trPr>
        <w:tc>
          <w:tcPr>
            <w:tcW w:w="1843" w:type="dxa"/>
          </w:tcPr>
          <w:p w14:paraId="388E989F" w14:textId="77777777" w:rsidR="00767EC2" w:rsidRPr="00F076D7" w:rsidRDefault="00767EC2" w:rsidP="00A83D07">
            <w:pPr>
              <w:autoSpaceDE w:val="0"/>
              <w:autoSpaceDN w:val="0"/>
              <w:adjustRightInd w:val="0"/>
              <w:rPr>
                <w:sz w:val="16"/>
                <w:szCs w:val="16"/>
              </w:rPr>
            </w:pPr>
            <w:r w:rsidRPr="00F076D7">
              <w:rPr>
                <w:sz w:val="16"/>
                <w:szCs w:val="16"/>
              </w:rPr>
              <w:t>L’équipe de projet (composée d’un consultant international, de deux experts nationaux et d’une équipe dédiée composée de fonctionnaires du Département de la propriété intellectuelle et du Ministère des Sciences et Technologies) effectue des recherches documentaires et élabore un questionnaire de base aux fins d’élaboration d’une stratégie nationale en matière de propriété intellectuelle pour la République démocratique</w:t>
            </w:r>
            <w:r w:rsidRPr="00F076D7">
              <w:t xml:space="preserve"> </w:t>
            </w:r>
            <w:r w:rsidRPr="00F076D7">
              <w:rPr>
                <w:sz w:val="16"/>
                <w:szCs w:val="16"/>
              </w:rPr>
              <w:t xml:space="preserve">populaire lao </w:t>
            </w:r>
          </w:p>
        </w:tc>
        <w:tc>
          <w:tcPr>
            <w:tcW w:w="1277" w:type="dxa"/>
          </w:tcPr>
          <w:p w14:paraId="5181D198" w14:textId="77777777" w:rsidR="00767EC2" w:rsidRPr="00F076D7" w:rsidRDefault="00767EC2" w:rsidP="00A83D07">
            <w:pPr>
              <w:autoSpaceDE w:val="0"/>
              <w:autoSpaceDN w:val="0"/>
              <w:adjustRightInd w:val="0"/>
              <w:rPr>
                <w:sz w:val="16"/>
                <w:szCs w:val="16"/>
              </w:rPr>
            </w:pPr>
            <w:r w:rsidRPr="00F076D7">
              <w:rPr>
                <w:sz w:val="16"/>
                <w:szCs w:val="16"/>
              </w:rPr>
              <w:t>Mai – juillet 2016</w:t>
            </w:r>
          </w:p>
        </w:tc>
        <w:tc>
          <w:tcPr>
            <w:tcW w:w="1418" w:type="dxa"/>
          </w:tcPr>
          <w:p w14:paraId="7C529925" w14:textId="77777777" w:rsidR="00767EC2" w:rsidRPr="00F076D7" w:rsidRDefault="00767EC2" w:rsidP="00A83D07">
            <w:pPr>
              <w:autoSpaceDE w:val="0"/>
              <w:autoSpaceDN w:val="0"/>
              <w:adjustRightInd w:val="0"/>
              <w:rPr>
                <w:sz w:val="16"/>
                <w:szCs w:val="16"/>
              </w:rPr>
            </w:pPr>
            <w:r w:rsidRPr="00F076D7">
              <w:rPr>
                <w:sz w:val="16"/>
                <w:szCs w:val="16"/>
              </w:rPr>
              <w:t>République démocratique populaire lao</w:t>
            </w:r>
          </w:p>
        </w:tc>
        <w:tc>
          <w:tcPr>
            <w:tcW w:w="4534" w:type="dxa"/>
          </w:tcPr>
          <w:p w14:paraId="07CA13FC" w14:textId="77777777" w:rsidR="00767EC2" w:rsidRPr="00F076D7" w:rsidRDefault="00767EC2" w:rsidP="00A83D07">
            <w:pPr>
              <w:autoSpaceDE w:val="0"/>
              <w:autoSpaceDN w:val="0"/>
              <w:adjustRightInd w:val="0"/>
              <w:rPr>
                <w:sz w:val="16"/>
                <w:szCs w:val="16"/>
              </w:rPr>
            </w:pPr>
            <w:r w:rsidRPr="00F076D7">
              <w:rPr>
                <w:sz w:val="16"/>
                <w:szCs w:val="16"/>
              </w:rPr>
              <w:t>i) Examiner les documents stratégiques existants afin d’avoir une vue d’ensemble des objectifs, des stratégies et des politiques de développement nationaux, et identifier comment harmoniser la stratégie nationale en matière de propriété intellectuelle avec les priorités de développement nationales et l’intégrer à ces propriétés;  ii) se faire une idée précise de la situation actuelle du pays en matière de propriété intellectuelle (par le biais d’une évaluation de la propriété intellectuelle ou d’un questionnaire de base), de ses faiblesses, de ses points forts et de son potentiel, et évaluer, d’après les données recueillies, ce qui doit être pris en compte lors de la formulation d’une stratégie nationale en matière de propriété intellectuelle.</w:t>
            </w:r>
          </w:p>
        </w:tc>
      </w:tr>
      <w:tr w:rsidR="00767EC2" w:rsidRPr="00F076D7" w14:paraId="4862D825" w14:textId="77777777" w:rsidTr="00A83D07">
        <w:trPr>
          <w:cantSplit/>
        </w:trPr>
        <w:tc>
          <w:tcPr>
            <w:tcW w:w="1843" w:type="dxa"/>
          </w:tcPr>
          <w:p w14:paraId="754117E6" w14:textId="77777777" w:rsidR="00767EC2" w:rsidRPr="00F076D7" w:rsidRDefault="00767EC2" w:rsidP="00A83D07">
            <w:pPr>
              <w:autoSpaceDE w:val="0"/>
              <w:autoSpaceDN w:val="0"/>
              <w:adjustRightInd w:val="0"/>
              <w:rPr>
                <w:sz w:val="16"/>
                <w:szCs w:val="16"/>
              </w:rPr>
            </w:pPr>
            <w:r w:rsidRPr="00F076D7">
              <w:rPr>
                <w:sz w:val="16"/>
                <w:szCs w:val="16"/>
              </w:rPr>
              <w:t>Réunions consultatives des parties prenantes nationales aux fins d’élaboration d’une stratégie nationale en matière de propriété intellectuelle</w:t>
            </w:r>
          </w:p>
        </w:tc>
        <w:tc>
          <w:tcPr>
            <w:tcW w:w="1277" w:type="dxa"/>
          </w:tcPr>
          <w:p w14:paraId="5D3ED48E" w14:textId="77777777" w:rsidR="00767EC2" w:rsidRPr="00F076D7" w:rsidRDefault="00767EC2" w:rsidP="00A83D07">
            <w:pPr>
              <w:autoSpaceDE w:val="0"/>
              <w:autoSpaceDN w:val="0"/>
              <w:adjustRightInd w:val="0"/>
              <w:rPr>
                <w:sz w:val="16"/>
                <w:szCs w:val="16"/>
              </w:rPr>
            </w:pPr>
            <w:r w:rsidRPr="00F076D7">
              <w:rPr>
                <w:sz w:val="16"/>
                <w:szCs w:val="16"/>
              </w:rPr>
              <w:t>1</w:t>
            </w:r>
            <w:r w:rsidRPr="00F076D7">
              <w:rPr>
                <w:sz w:val="16"/>
                <w:szCs w:val="16"/>
                <w:vertAlign w:val="superscript"/>
              </w:rPr>
              <w:t>er</w:t>
            </w:r>
            <w:r w:rsidRPr="00F076D7">
              <w:rPr>
                <w:sz w:val="16"/>
                <w:szCs w:val="16"/>
              </w:rPr>
              <w:t xml:space="preserve"> – 5 août 2016</w:t>
            </w:r>
          </w:p>
        </w:tc>
        <w:tc>
          <w:tcPr>
            <w:tcW w:w="1418" w:type="dxa"/>
          </w:tcPr>
          <w:p w14:paraId="4E6D2B1E" w14:textId="77777777" w:rsidR="00767EC2" w:rsidRPr="00F076D7" w:rsidRDefault="00767EC2" w:rsidP="00A83D07">
            <w:pPr>
              <w:autoSpaceDE w:val="0"/>
              <w:autoSpaceDN w:val="0"/>
              <w:adjustRightInd w:val="0"/>
              <w:rPr>
                <w:sz w:val="16"/>
                <w:szCs w:val="16"/>
              </w:rPr>
            </w:pPr>
            <w:r w:rsidRPr="00F076D7">
              <w:rPr>
                <w:sz w:val="16"/>
                <w:szCs w:val="16"/>
              </w:rPr>
              <w:t>République démocratique populaire lao</w:t>
            </w:r>
          </w:p>
        </w:tc>
        <w:tc>
          <w:tcPr>
            <w:tcW w:w="4534" w:type="dxa"/>
          </w:tcPr>
          <w:p w14:paraId="4D1C0E71" w14:textId="77777777" w:rsidR="00767EC2" w:rsidRPr="00F076D7" w:rsidRDefault="00767EC2" w:rsidP="00A83D07">
            <w:pPr>
              <w:autoSpaceDE w:val="0"/>
              <w:autoSpaceDN w:val="0"/>
              <w:adjustRightInd w:val="0"/>
              <w:rPr>
                <w:sz w:val="16"/>
                <w:szCs w:val="16"/>
              </w:rPr>
            </w:pPr>
            <w:r w:rsidRPr="00F076D7">
              <w:rPr>
                <w:sz w:val="16"/>
                <w:szCs w:val="16"/>
              </w:rPr>
              <w:t>Partager les résultats/conclusions initiales du processus de recueil de données (recherches documentaires et enquête) et engager des discussions avec les autorités nationales et les parties prenantes concernées pour valider les résultats/conclusions initiales de l’évaluation et pour obtenir des précisions, si nécessaire.</w:t>
            </w:r>
          </w:p>
        </w:tc>
      </w:tr>
      <w:tr w:rsidR="00767EC2" w:rsidRPr="00F076D7" w14:paraId="6B983880" w14:textId="77777777" w:rsidTr="00A83D07">
        <w:trPr>
          <w:cantSplit/>
        </w:trPr>
        <w:tc>
          <w:tcPr>
            <w:tcW w:w="1843" w:type="dxa"/>
          </w:tcPr>
          <w:p w14:paraId="130AEE24" w14:textId="77777777" w:rsidR="00767EC2" w:rsidRPr="00F076D7" w:rsidRDefault="00767EC2" w:rsidP="00A83D07">
            <w:pPr>
              <w:autoSpaceDE w:val="0"/>
              <w:autoSpaceDN w:val="0"/>
              <w:adjustRightInd w:val="0"/>
              <w:rPr>
                <w:sz w:val="16"/>
                <w:szCs w:val="16"/>
              </w:rPr>
            </w:pPr>
            <w:r w:rsidRPr="00F076D7">
              <w:rPr>
                <w:sz w:val="16"/>
                <w:szCs w:val="16"/>
              </w:rPr>
              <w:t>Élaboration du premier projet de stratégie nationale en matière de propriété intellectuelle</w:t>
            </w:r>
          </w:p>
        </w:tc>
        <w:tc>
          <w:tcPr>
            <w:tcW w:w="1277" w:type="dxa"/>
          </w:tcPr>
          <w:p w14:paraId="255EA7BB" w14:textId="77777777" w:rsidR="00767EC2" w:rsidRPr="00F076D7" w:rsidRDefault="00767EC2" w:rsidP="00A83D07">
            <w:pPr>
              <w:autoSpaceDE w:val="0"/>
              <w:autoSpaceDN w:val="0"/>
              <w:adjustRightInd w:val="0"/>
              <w:rPr>
                <w:sz w:val="16"/>
                <w:szCs w:val="16"/>
              </w:rPr>
            </w:pPr>
            <w:r w:rsidRPr="00F076D7">
              <w:rPr>
                <w:sz w:val="16"/>
                <w:szCs w:val="16"/>
              </w:rPr>
              <w:t>Septembre – décembre 2016</w:t>
            </w:r>
          </w:p>
        </w:tc>
        <w:tc>
          <w:tcPr>
            <w:tcW w:w="1418" w:type="dxa"/>
          </w:tcPr>
          <w:p w14:paraId="3B5583CE" w14:textId="77777777" w:rsidR="00767EC2" w:rsidRPr="00F076D7" w:rsidRDefault="00767EC2" w:rsidP="00A83D07">
            <w:pPr>
              <w:autoSpaceDE w:val="0"/>
              <w:autoSpaceDN w:val="0"/>
              <w:adjustRightInd w:val="0"/>
              <w:rPr>
                <w:sz w:val="16"/>
                <w:szCs w:val="16"/>
              </w:rPr>
            </w:pPr>
            <w:r w:rsidRPr="00F076D7">
              <w:rPr>
                <w:sz w:val="16"/>
                <w:szCs w:val="16"/>
              </w:rPr>
              <w:t>République démocratique populaire lao</w:t>
            </w:r>
          </w:p>
        </w:tc>
        <w:tc>
          <w:tcPr>
            <w:tcW w:w="4534" w:type="dxa"/>
          </w:tcPr>
          <w:p w14:paraId="5AAE4BA1" w14:textId="77777777" w:rsidR="00767EC2" w:rsidRPr="00F076D7" w:rsidRDefault="00767EC2" w:rsidP="00A83D07">
            <w:pPr>
              <w:autoSpaceDE w:val="0"/>
              <w:autoSpaceDN w:val="0"/>
              <w:adjustRightInd w:val="0"/>
              <w:rPr>
                <w:sz w:val="16"/>
                <w:szCs w:val="16"/>
              </w:rPr>
            </w:pPr>
            <w:r w:rsidRPr="00F076D7">
              <w:rPr>
                <w:sz w:val="16"/>
                <w:szCs w:val="16"/>
              </w:rPr>
              <w:t>Formuler un premier projet de stratégie et plan d’action nationaux en matière de propriété intellectuelle, intégrant les suggestions, les avis et les recommandations issus des consultations nationales, et identifier les principaux objectifs et priorités stratégiques en matière de propriété intellectuelle par secteur et pour le pays dans son ensemble.  Au cours du processus de rédaction, il y a eu beaucoup d’interactions entre les membres de l’équipe de projet et l’OMPI pour réviser et affiner le projet de stratégie, ainsi que pour recueillir des documents et des informations supplémentaires.</w:t>
            </w:r>
          </w:p>
        </w:tc>
      </w:tr>
      <w:tr w:rsidR="00767EC2" w:rsidRPr="00F076D7" w14:paraId="75622800" w14:textId="77777777" w:rsidTr="00A83D07">
        <w:trPr>
          <w:cantSplit/>
        </w:trPr>
        <w:tc>
          <w:tcPr>
            <w:tcW w:w="1843" w:type="dxa"/>
          </w:tcPr>
          <w:p w14:paraId="49BC7E9C" w14:textId="77777777" w:rsidR="00767EC2" w:rsidRPr="00F076D7" w:rsidRDefault="00767EC2" w:rsidP="00A83D07">
            <w:pPr>
              <w:autoSpaceDE w:val="0"/>
              <w:autoSpaceDN w:val="0"/>
              <w:adjustRightInd w:val="0"/>
              <w:rPr>
                <w:sz w:val="16"/>
                <w:szCs w:val="16"/>
              </w:rPr>
            </w:pPr>
            <w:r w:rsidRPr="00F076D7">
              <w:rPr>
                <w:sz w:val="16"/>
                <w:szCs w:val="16"/>
              </w:rPr>
              <w:t>Atelier national sur le droit d’auteur et les droits connexes à l’intention des parties prenantes, réunions consultatives</w:t>
            </w:r>
          </w:p>
        </w:tc>
        <w:tc>
          <w:tcPr>
            <w:tcW w:w="1277" w:type="dxa"/>
          </w:tcPr>
          <w:p w14:paraId="5F52071A" w14:textId="77777777" w:rsidR="00767EC2" w:rsidRPr="00F076D7" w:rsidRDefault="00767EC2" w:rsidP="00A83D07">
            <w:pPr>
              <w:autoSpaceDE w:val="0"/>
              <w:autoSpaceDN w:val="0"/>
              <w:adjustRightInd w:val="0"/>
              <w:rPr>
                <w:sz w:val="16"/>
                <w:szCs w:val="16"/>
              </w:rPr>
            </w:pPr>
            <w:r w:rsidRPr="00F076D7">
              <w:rPr>
                <w:sz w:val="16"/>
                <w:szCs w:val="16"/>
              </w:rPr>
              <w:t>24 – 26 octobre 2016</w:t>
            </w:r>
          </w:p>
        </w:tc>
        <w:tc>
          <w:tcPr>
            <w:tcW w:w="1418" w:type="dxa"/>
          </w:tcPr>
          <w:p w14:paraId="68E767E1" w14:textId="77777777" w:rsidR="00767EC2" w:rsidRPr="00F076D7" w:rsidRDefault="00767EC2" w:rsidP="00A83D07">
            <w:pPr>
              <w:autoSpaceDE w:val="0"/>
              <w:autoSpaceDN w:val="0"/>
              <w:adjustRightInd w:val="0"/>
              <w:rPr>
                <w:sz w:val="16"/>
                <w:szCs w:val="16"/>
              </w:rPr>
            </w:pPr>
            <w:r w:rsidRPr="00F076D7">
              <w:rPr>
                <w:sz w:val="16"/>
                <w:szCs w:val="16"/>
              </w:rPr>
              <w:t>Tonga</w:t>
            </w:r>
          </w:p>
        </w:tc>
        <w:tc>
          <w:tcPr>
            <w:tcW w:w="4534" w:type="dxa"/>
          </w:tcPr>
          <w:p w14:paraId="1089111C" w14:textId="77777777" w:rsidR="00767EC2" w:rsidRPr="00F076D7" w:rsidRDefault="00767EC2" w:rsidP="00A83D07">
            <w:pPr>
              <w:autoSpaceDE w:val="0"/>
              <w:autoSpaceDN w:val="0"/>
              <w:adjustRightInd w:val="0"/>
              <w:rPr>
                <w:sz w:val="16"/>
                <w:szCs w:val="16"/>
              </w:rPr>
            </w:pPr>
            <w:r w:rsidRPr="00F076D7">
              <w:rPr>
                <w:sz w:val="16"/>
                <w:szCs w:val="16"/>
              </w:rPr>
              <w:t>Renforcer les capacités des agents de l’État et des parties prenantes et les sensibiliser à la pertinence et à l’importance du droit d’auteur pour la promotion du développement culturel et économique.</w:t>
            </w:r>
          </w:p>
        </w:tc>
      </w:tr>
    </w:tbl>
    <w:p w14:paraId="51A5771E" w14:textId="77777777" w:rsidR="00767EC2" w:rsidRPr="00F076D7" w:rsidRDefault="00767EC2" w:rsidP="00767EC2">
      <w:pPr>
        <w:rPr>
          <w:sz w:val="20"/>
        </w:rPr>
      </w:pPr>
    </w:p>
    <w:p w14:paraId="53D7A21F" w14:textId="77777777" w:rsidR="00767EC2" w:rsidRPr="00F076D7" w:rsidRDefault="00767EC2" w:rsidP="00767EC2">
      <w:pPr>
        <w:rPr>
          <w:sz w:val="20"/>
        </w:rPr>
      </w:pPr>
    </w:p>
    <w:p w14:paraId="12737281" w14:textId="77777777" w:rsidR="00767EC2" w:rsidRPr="00F076D7" w:rsidRDefault="00767EC2" w:rsidP="00767EC2">
      <w:pPr>
        <w:rPr>
          <w:b/>
          <w:bCs/>
          <w:sz w:val="20"/>
        </w:rPr>
      </w:pPr>
      <w:r w:rsidRPr="00F076D7">
        <w:rPr>
          <w:b/>
          <w:bCs/>
          <w:sz w:val="20"/>
        </w:rPr>
        <w:t>AUSTRALIE II – Contributions des donateurs et dépenses en 2016</w:t>
      </w:r>
    </w:p>
    <w:p w14:paraId="71FC8046" w14:textId="77777777" w:rsidR="00767EC2" w:rsidRPr="00F076D7" w:rsidRDefault="00767EC2" w:rsidP="00767EC2">
      <w:pPr>
        <w:rPr>
          <w:b/>
          <w:sz w:val="20"/>
        </w:rPr>
      </w:pPr>
    </w:p>
    <w:tbl>
      <w:tblPr>
        <w:tblW w:w="4961" w:type="pct"/>
        <w:tblCellMar>
          <w:top w:w="57" w:type="dxa"/>
          <w:bottom w:w="57" w:type="dxa"/>
        </w:tblCellMar>
        <w:tblLook w:val="04A0" w:firstRow="1" w:lastRow="0" w:firstColumn="1" w:lastColumn="0" w:noHBand="0" w:noVBand="1"/>
      </w:tblPr>
      <w:tblGrid>
        <w:gridCol w:w="1843"/>
        <w:gridCol w:w="1843"/>
        <w:gridCol w:w="1843"/>
        <w:gridCol w:w="1843"/>
        <w:gridCol w:w="1843"/>
      </w:tblGrid>
      <w:tr w:rsidR="00767EC2" w:rsidRPr="00F076D7" w14:paraId="15F3DB2E" w14:textId="77777777" w:rsidTr="00A83D07">
        <w:trPr>
          <w:cantSplit/>
        </w:trPr>
        <w:tc>
          <w:tcPr>
            <w:tcW w:w="1842" w:type="dxa"/>
            <w:shd w:val="clear" w:color="000000" w:fill="C5D9F1"/>
            <w:vAlign w:val="center"/>
            <w:hideMark/>
          </w:tcPr>
          <w:p w14:paraId="7ED1ED38" w14:textId="77777777" w:rsidR="00767EC2" w:rsidRPr="00F076D7" w:rsidRDefault="00767EC2" w:rsidP="00A83D07">
            <w:pPr>
              <w:jc w:val="center"/>
              <w:rPr>
                <w:b/>
                <w:bCs/>
                <w:sz w:val="16"/>
                <w:szCs w:val="16"/>
              </w:rPr>
            </w:pPr>
            <w:r w:rsidRPr="00F076D7">
              <w:rPr>
                <w:b/>
                <w:bCs/>
                <w:sz w:val="16"/>
                <w:szCs w:val="16"/>
              </w:rPr>
              <w:t>Solde au 31 décembre 2015</w:t>
            </w:r>
          </w:p>
        </w:tc>
        <w:tc>
          <w:tcPr>
            <w:tcW w:w="1843" w:type="dxa"/>
            <w:shd w:val="clear" w:color="000000" w:fill="C5D9F1"/>
            <w:noWrap/>
            <w:vAlign w:val="center"/>
            <w:hideMark/>
          </w:tcPr>
          <w:p w14:paraId="56867DD8" w14:textId="77777777" w:rsidR="00767EC2" w:rsidRPr="00F076D7" w:rsidRDefault="00767EC2" w:rsidP="00A83D07">
            <w:pPr>
              <w:jc w:val="center"/>
              <w:rPr>
                <w:b/>
                <w:bCs/>
                <w:sz w:val="16"/>
                <w:szCs w:val="16"/>
              </w:rPr>
            </w:pPr>
            <w:r w:rsidRPr="00F076D7">
              <w:rPr>
                <w:b/>
                <w:bCs/>
                <w:sz w:val="16"/>
                <w:szCs w:val="16"/>
              </w:rPr>
              <w:t>Recettes 2016</w:t>
            </w:r>
          </w:p>
        </w:tc>
        <w:tc>
          <w:tcPr>
            <w:tcW w:w="1843" w:type="dxa"/>
            <w:shd w:val="clear" w:color="000000" w:fill="C5D9F1"/>
            <w:noWrap/>
            <w:vAlign w:val="center"/>
            <w:hideMark/>
          </w:tcPr>
          <w:p w14:paraId="0096B518" w14:textId="77777777" w:rsidR="00767EC2" w:rsidRPr="00F076D7" w:rsidRDefault="00767EC2" w:rsidP="00A83D07">
            <w:pPr>
              <w:jc w:val="center"/>
              <w:rPr>
                <w:b/>
                <w:bCs/>
                <w:sz w:val="16"/>
                <w:szCs w:val="16"/>
              </w:rPr>
            </w:pPr>
            <w:r w:rsidRPr="00F076D7">
              <w:rPr>
                <w:b/>
                <w:bCs/>
                <w:sz w:val="16"/>
                <w:szCs w:val="16"/>
              </w:rPr>
              <w:t>Dépenses 2016</w:t>
            </w:r>
          </w:p>
        </w:tc>
        <w:tc>
          <w:tcPr>
            <w:tcW w:w="1843" w:type="dxa"/>
            <w:shd w:val="clear" w:color="000000" w:fill="C5D9F1"/>
            <w:noWrap/>
            <w:vAlign w:val="center"/>
            <w:hideMark/>
          </w:tcPr>
          <w:p w14:paraId="30AE033B" w14:textId="77777777" w:rsidR="00767EC2" w:rsidRPr="00F076D7" w:rsidRDefault="00767EC2" w:rsidP="00A83D07">
            <w:pPr>
              <w:jc w:val="center"/>
              <w:rPr>
                <w:b/>
                <w:bCs/>
                <w:sz w:val="16"/>
                <w:szCs w:val="16"/>
              </w:rPr>
            </w:pPr>
            <w:r w:rsidRPr="00F076D7">
              <w:rPr>
                <w:b/>
                <w:bCs/>
                <w:sz w:val="16"/>
                <w:szCs w:val="16"/>
              </w:rPr>
              <w:t>Remboursements</w:t>
            </w:r>
          </w:p>
        </w:tc>
        <w:tc>
          <w:tcPr>
            <w:tcW w:w="1843" w:type="dxa"/>
            <w:shd w:val="clear" w:color="000000" w:fill="C5D9F1"/>
            <w:vAlign w:val="center"/>
            <w:hideMark/>
          </w:tcPr>
          <w:p w14:paraId="1EBEBA0A"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74CB59E3" w14:textId="77777777" w:rsidTr="00A83D07">
        <w:trPr>
          <w:cantSplit/>
        </w:trPr>
        <w:tc>
          <w:tcPr>
            <w:tcW w:w="1842" w:type="dxa"/>
            <w:shd w:val="clear" w:color="auto" w:fill="auto"/>
            <w:noWrap/>
            <w:vAlign w:val="bottom"/>
            <w:hideMark/>
          </w:tcPr>
          <w:p w14:paraId="472C1EC2" w14:textId="77777777" w:rsidR="00767EC2" w:rsidRPr="00F076D7" w:rsidRDefault="00767EC2" w:rsidP="00A83D07">
            <w:pPr>
              <w:jc w:val="center"/>
              <w:rPr>
                <w:sz w:val="16"/>
                <w:szCs w:val="16"/>
              </w:rPr>
            </w:pPr>
            <w:r w:rsidRPr="00F076D7">
              <w:rPr>
                <w:sz w:val="16"/>
                <w:szCs w:val="16"/>
              </w:rPr>
              <w:noBreakHyphen/>
            </w:r>
          </w:p>
        </w:tc>
        <w:tc>
          <w:tcPr>
            <w:tcW w:w="1843" w:type="dxa"/>
            <w:shd w:val="clear" w:color="auto" w:fill="auto"/>
            <w:noWrap/>
            <w:vAlign w:val="bottom"/>
            <w:hideMark/>
          </w:tcPr>
          <w:p w14:paraId="02A4CCAA" w14:textId="77777777" w:rsidR="00767EC2" w:rsidRPr="00F076D7" w:rsidRDefault="00767EC2" w:rsidP="00A83D07">
            <w:pPr>
              <w:jc w:val="center"/>
              <w:rPr>
                <w:sz w:val="16"/>
                <w:szCs w:val="16"/>
              </w:rPr>
            </w:pPr>
            <w:r w:rsidRPr="00F076D7">
              <w:rPr>
                <w:sz w:val="16"/>
                <w:szCs w:val="16"/>
              </w:rPr>
              <w:t>1 301 725</w:t>
            </w:r>
          </w:p>
        </w:tc>
        <w:tc>
          <w:tcPr>
            <w:tcW w:w="1843" w:type="dxa"/>
            <w:shd w:val="clear" w:color="auto" w:fill="auto"/>
            <w:noWrap/>
            <w:vAlign w:val="bottom"/>
            <w:hideMark/>
          </w:tcPr>
          <w:p w14:paraId="074C38E7" w14:textId="77777777" w:rsidR="00767EC2" w:rsidRPr="00F076D7" w:rsidRDefault="00767EC2" w:rsidP="00A83D07">
            <w:pPr>
              <w:jc w:val="center"/>
              <w:rPr>
                <w:sz w:val="16"/>
                <w:szCs w:val="16"/>
              </w:rPr>
            </w:pPr>
            <w:r w:rsidRPr="00F076D7">
              <w:rPr>
                <w:sz w:val="16"/>
                <w:szCs w:val="16"/>
              </w:rPr>
              <w:t>138 023</w:t>
            </w:r>
          </w:p>
        </w:tc>
        <w:tc>
          <w:tcPr>
            <w:tcW w:w="1843" w:type="dxa"/>
            <w:shd w:val="clear" w:color="auto" w:fill="auto"/>
            <w:noWrap/>
            <w:vAlign w:val="bottom"/>
            <w:hideMark/>
          </w:tcPr>
          <w:p w14:paraId="122FB0AB" w14:textId="77777777" w:rsidR="00767EC2" w:rsidRPr="00F076D7" w:rsidRDefault="00767EC2" w:rsidP="00A83D07">
            <w:pPr>
              <w:jc w:val="center"/>
              <w:rPr>
                <w:sz w:val="16"/>
                <w:szCs w:val="16"/>
              </w:rPr>
            </w:pPr>
            <w:r w:rsidRPr="00F076D7">
              <w:rPr>
                <w:sz w:val="16"/>
                <w:szCs w:val="16"/>
              </w:rPr>
              <w:noBreakHyphen/>
            </w:r>
          </w:p>
        </w:tc>
        <w:tc>
          <w:tcPr>
            <w:tcW w:w="1843" w:type="dxa"/>
            <w:shd w:val="clear" w:color="auto" w:fill="auto"/>
            <w:noWrap/>
            <w:vAlign w:val="bottom"/>
            <w:hideMark/>
          </w:tcPr>
          <w:p w14:paraId="4A9943D0" w14:textId="77777777" w:rsidR="00767EC2" w:rsidRPr="00F076D7" w:rsidRDefault="00767EC2" w:rsidP="00A83D07">
            <w:pPr>
              <w:jc w:val="center"/>
              <w:rPr>
                <w:sz w:val="16"/>
                <w:szCs w:val="16"/>
              </w:rPr>
            </w:pPr>
            <w:r w:rsidRPr="00F076D7">
              <w:rPr>
                <w:sz w:val="16"/>
                <w:szCs w:val="16"/>
              </w:rPr>
              <w:t>1 163 701</w:t>
            </w:r>
          </w:p>
        </w:tc>
      </w:tr>
    </w:tbl>
    <w:p w14:paraId="38446176" w14:textId="77777777" w:rsidR="00767EC2" w:rsidRPr="00F076D7" w:rsidRDefault="00767EC2" w:rsidP="00767EC2">
      <w:pPr>
        <w:rPr>
          <w:sz w:val="20"/>
        </w:rPr>
      </w:pPr>
    </w:p>
    <w:p w14:paraId="325BB96B" w14:textId="77777777" w:rsidR="00767EC2" w:rsidRPr="00F076D7" w:rsidRDefault="00767EC2" w:rsidP="00767EC2">
      <w:pPr>
        <w:rPr>
          <w:sz w:val="20"/>
        </w:rPr>
      </w:pPr>
    </w:p>
    <w:p w14:paraId="03E517A4" w14:textId="77777777" w:rsidR="00767EC2" w:rsidRPr="00F076D7" w:rsidRDefault="00767EC2" w:rsidP="00767EC2">
      <w:pPr>
        <w:keepNext/>
        <w:keepLines/>
        <w:rPr>
          <w:b/>
          <w:sz w:val="20"/>
        </w:rPr>
      </w:pPr>
      <w:r w:rsidRPr="00F076D7">
        <w:rPr>
          <w:b/>
          <w:sz w:val="20"/>
        </w:rPr>
        <w:t>BRÉSIL SUD</w:t>
      </w:r>
    </w:p>
    <w:p w14:paraId="06C892EC" w14:textId="77777777" w:rsidR="00767EC2" w:rsidRPr="00F076D7" w:rsidRDefault="00767EC2" w:rsidP="00767EC2">
      <w:pPr>
        <w:keepNext/>
        <w:keepLines/>
        <w:rPr>
          <w:sz w:val="20"/>
        </w:rPr>
      </w:pPr>
    </w:p>
    <w:tbl>
      <w:tblPr>
        <w:tblW w:w="4961" w:type="pct"/>
        <w:tblCellMar>
          <w:top w:w="57" w:type="dxa"/>
          <w:bottom w:w="57" w:type="dxa"/>
        </w:tblCellMar>
        <w:tblLook w:val="0000" w:firstRow="0" w:lastRow="0" w:firstColumn="0" w:lastColumn="0" w:noHBand="0" w:noVBand="0"/>
      </w:tblPr>
      <w:tblGrid>
        <w:gridCol w:w="1924"/>
        <w:gridCol w:w="1215"/>
        <w:gridCol w:w="1886"/>
        <w:gridCol w:w="4190"/>
      </w:tblGrid>
      <w:tr w:rsidR="00767EC2" w:rsidRPr="00F076D7" w14:paraId="73E291F3" w14:textId="77777777" w:rsidTr="00A83D07">
        <w:trPr>
          <w:cantSplit/>
        </w:trPr>
        <w:tc>
          <w:tcPr>
            <w:tcW w:w="9214" w:type="dxa"/>
            <w:gridSpan w:val="4"/>
            <w:shd w:val="clear" w:color="auto" w:fill="C6D9F1" w:themeFill="text2" w:themeFillTint="33"/>
          </w:tcPr>
          <w:p w14:paraId="57B91EE1" w14:textId="77777777" w:rsidR="00767EC2" w:rsidRPr="00F076D7" w:rsidRDefault="00767EC2" w:rsidP="00A83D07">
            <w:pPr>
              <w:keepNext/>
              <w:keepLines/>
              <w:tabs>
                <w:tab w:val="left" w:pos="1740"/>
              </w:tabs>
              <w:rPr>
                <w:sz w:val="16"/>
                <w:szCs w:val="16"/>
              </w:rPr>
            </w:pPr>
            <w:r w:rsidRPr="00F076D7">
              <w:rPr>
                <w:b/>
                <w:sz w:val="16"/>
                <w:szCs w:val="16"/>
              </w:rPr>
              <w:t xml:space="preserve">RÉSULTAT : </w:t>
            </w:r>
            <w:r w:rsidRPr="00F076D7">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5D095816" w14:textId="77777777" w:rsidTr="00A83D07">
        <w:trPr>
          <w:cantSplit/>
        </w:trPr>
        <w:tc>
          <w:tcPr>
            <w:tcW w:w="1843" w:type="dxa"/>
            <w:vAlign w:val="center"/>
          </w:tcPr>
          <w:p w14:paraId="56060CEA" w14:textId="77777777" w:rsidR="00767EC2" w:rsidRPr="00F076D7" w:rsidRDefault="00767EC2" w:rsidP="00A83D07">
            <w:pPr>
              <w:keepNext/>
              <w:keepLines/>
              <w:rPr>
                <w:b/>
                <w:bCs/>
                <w:sz w:val="16"/>
                <w:szCs w:val="16"/>
              </w:rPr>
            </w:pPr>
            <w:r w:rsidRPr="00F076D7">
              <w:rPr>
                <w:b/>
                <w:bCs/>
                <w:sz w:val="16"/>
                <w:szCs w:val="16"/>
              </w:rPr>
              <w:t>Activité</w:t>
            </w:r>
          </w:p>
        </w:tc>
        <w:tc>
          <w:tcPr>
            <w:tcW w:w="1217" w:type="dxa"/>
            <w:vAlign w:val="center"/>
          </w:tcPr>
          <w:p w14:paraId="412A4D97" w14:textId="77777777" w:rsidR="00767EC2" w:rsidRPr="00F076D7" w:rsidRDefault="00767EC2" w:rsidP="00A83D07">
            <w:pPr>
              <w:keepNext/>
              <w:keepLines/>
              <w:rPr>
                <w:b/>
                <w:sz w:val="16"/>
                <w:szCs w:val="16"/>
              </w:rPr>
            </w:pPr>
            <w:r w:rsidRPr="00F076D7">
              <w:rPr>
                <w:b/>
                <w:sz w:val="16"/>
                <w:szCs w:val="16"/>
              </w:rPr>
              <w:t>Date</w:t>
            </w:r>
          </w:p>
        </w:tc>
        <w:tc>
          <w:tcPr>
            <w:tcW w:w="1902" w:type="dxa"/>
            <w:vAlign w:val="center"/>
          </w:tcPr>
          <w:p w14:paraId="0EEF78DE" w14:textId="77777777" w:rsidR="00767EC2" w:rsidRPr="00F076D7" w:rsidRDefault="00767EC2" w:rsidP="00A83D07">
            <w:pPr>
              <w:keepNext/>
              <w:keepLines/>
              <w:rPr>
                <w:b/>
                <w:sz w:val="16"/>
                <w:szCs w:val="16"/>
              </w:rPr>
            </w:pPr>
            <w:r w:rsidRPr="00F076D7">
              <w:rPr>
                <w:b/>
                <w:sz w:val="16"/>
                <w:szCs w:val="16"/>
              </w:rPr>
              <w:t>Pays hôte/ bénéficiaires</w:t>
            </w:r>
          </w:p>
        </w:tc>
        <w:tc>
          <w:tcPr>
            <w:tcW w:w="4252" w:type="dxa"/>
            <w:vAlign w:val="center"/>
          </w:tcPr>
          <w:p w14:paraId="13FC9C6A"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0E851493" w14:textId="77777777" w:rsidTr="00A83D07">
        <w:trPr>
          <w:cantSplit/>
        </w:trPr>
        <w:tc>
          <w:tcPr>
            <w:tcW w:w="1843" w:type="dxa"/>
          </w:tcPr>
          <w:p w14:paraId="4A852C11" w14:textId="77777777" w:rsidR="00767EC2" w:rsidRPr="00F076D7" w:rsidRDefault="00767EC2" w:rsidP="00A83D07">
            <w:pPr>
              <w:autoSpaceDE w:val="0"/>
              <w:autoSpaceDN w:val="0"/>
              <w:adjustRightInd w:val="0"/>
              <w:rPr>
                <w:sz w:val="16"/>
                <w:szCs w:val="16"/>
              </w:rPr>
            </w:pPr>
            <w:r w:rsidRPr="00F076D7">
              <w:rPr>
                <w:sz w:val="16"/>
                <w:szCs w:val="16"/>
              </w:rPr>
              <w:t>Quinzième séminaire régional sur la propriété intellectuelle à l’intention des juges et des procureurs d’Amérique latine</w:t>
            </w:r>
          </w:p>
        </w:tc>
        <w:tc>
          <w:tcPr>
            <w:tcW w:w="1217" w:type="dxa"/>
          </w:tcPr>
          <w:p w14:paraId="71F86D7A" w14:textId="77777777" w:rsidR="00767EC2" w:rsidRPr="00F076D7" w:rsidRDefault="00767EC2" w:rsidP="00A83D07">
            <w:pPr>
              <w:autoSpaceDE w:val="0"/>
              <w:autoSpaceDN w:val="0"/>
              <w:adjustRightInd w:val="0"/>
              <w:rPr>
                <w:sz w:val="16"/>
                <w:szCs w:val="16"/>
              </w:rPr>
            </w:pPr>
            <w:r w:rsidRPr="00F076D7">
              <w:rPr>
                <w:sz w:val="16"/>
                <w:szCs w:val="16"/>
              </w:rPr>
              <w:t>23 – 25 mai 2016</w:t>
            </w:r>
          </w:p>
        </w:tc>
        <w:tc>
          <w:tcPr>
            <w:tcW w:w="1902" w:type="dxa"/>
          </w:tcPr>
          <w:p w14:paraId="628CD156" w14:textId="77777777" w:rsidR="00767EC2" w:rsidRPr="00F076D7" w:rsidRDefault="00767EC2" w:rsidP="00A83D07">
            <w:pPr>
              <w:autoSpaceDE w:val="0"/>
              <w:autoSpaceDN w:val="0"/>
              <w:adjustRightInd w:val="0"/>
              <w:rPr>
                <w:sz w:val="16"/>
                <w:szCs w:val="16"/>
              </w:rPr>
            </w:pPr>
            <w:r w:rsidRPr="00F076D7">
              <w:rPr>
                <w:sz w:val="16"/>
                <w:szCs w:val="16"/>
              </w:rPr>
              <w:t>Brésil/ 30 participants des pays suivants : Chili, Colombie, Costa Rica, Cuba, Équateur, El Salvador, Guatemala, Honduras, Mexique, Nicaragua, Panama, Paraguay, Pérou, République dominicaine,</w:t>
            </w:r>
          </w:p>
        </w:tc>
        <w:tc>
          <w:tcPr>
            <w:tcW w:w="4252" w:type="dxa"/>
          </w:tcPr>
          <w:p w14:paraId="4F47BF5C" w14:textId="77777777" w:rsidR="00767EC2" w:rsidRPr="00F076D7" w:rsidRDefault="00767EC2" w:rsidP="00A83D07">
            <w:pPr>
              <w:autoSpaceDE w:val="0"/>
              <w:autoSpaceDN w:val="0"/>
              <w:adjustRightInd w:val="0"/>
              <w:rPr>
                <w:sz w:val="16"/>
                <w:szCs w:val="16"/>
              </w:rPr>
            </w:pPr>
            <w:r w:rsidRPr="00F076D7">
              <w:rPr>
                <w:sz w:val="16"/>
                <w:szCs w:val="16"/>
              </w:rPr>
              <w:t>i) Promouvoir l’échange d’expériences entre les représentants des institutions judiciaires et les procureurs d’Amérique latine;  ii) faciliter la conclusion d’accords sur la création de réseaux sectoriels visant à garantir la continuité des relations de travail interinstitutionnelles dans le secteur judiciaire.</w:t>
            </w:r>
          </w:p>
        </w:tc>
      </w:tr>
      <w:tr w:rsidR="00767EC2" w:rsidRPr="00F076D7" w14:paraId="47F1E029" w14:textId="77777777" w:rsidTr="00A83D07">
        <w:trPr>
          <w:cantSplit/>
        </w:trPr>
        <w:tc>
          <w:tcPr>
            <w:tcW w:w="1843" w:type="dxa"/>
          </w:tcPr>
          <w:p w14:paraId="22731150" w14:textId="77777777" w:rsidR="00767EC2" w:rsidRPr="00F076D7" w:rsidRDefault="00767EC2" w:rsidP="00A83D07">
            <w:pPr>
              <w:autoSpaceDE w:val="0"/>
              <w:autoSpaceDN w:val="0"/>
              <w:adjustRightInd w:val="0"/>
              <w:rPr>
                <w:sz w:val="16"/>
                <w:szCs w:val="16"/>
              </w:rPr>
            </w:pPr>
            <w:r w:rsidRPr="00F076D7">
              <w:rPr>
                <w:sz w:val="16"/>
                <w:szCs w:val="16"/>
              </w:rPr>
              <w:t>Trente</w:t>
            </w:r>
            <w:r w:rsidRPr="00F076D7">
              <w:rPr>
                <w:sz w:val="16"/>
                <w:szCs w:val="16"/>
              </w:rPr>
              <w:noBreakHyphen/>
              <w:t>quatrième atelier régional à l’intention des offices de propriété industrielle d’Amérique latine</w:t>
            </w:r>
          </w:p>
        </w:tc>
        <w:tc>
          <w:tcPr>
            <w:tcW w:w="1217" w:type="dxa"/>
          </w:tcPr>
          <w:p w14:paraId="336BEF99" w14:textId="77777777" w:rsidR="00767EC2" w:rsidRPr="00F076D7" w:rsidRDefault="00767EC2" w:rsidP="00A83D07">
            <w:pPr>
              <w:autoSpaceDE w:val="0"/>
              <w:autoSpaceDN w:val="0"/>
              <w:adjustRightInd w:val="0"/>
              <w:rPr>
                <w:sz w:val="16"/>
                <w:szCs w:val="16"/>
              </w:rPr>
            </w:pPr>
            <w:r w:rsidRPr="00F076D7">
              <w:rPr>
                <w:sz w:val="16"/>
                <w:szCs w:val="16"/>
              </w:rPr>
              <w:t>4 – 8 juillet 2016</w:t>
            </w:r>
          </w:p>
        </w:tc>
        <w:tc>
          <w:tcPr>
            <w:tcW w:w="1902" w:type="dxa"/>
          </w:tcPr>
          <w:p w14:paraId="4ED389A3" w14:textId="77777777" w:rsidR="00767EC2" w:rsidRPr="00F076D7" w:rsidRDefault="00767EC2" w:rsidP="00A83D07">
            <w:pPr>
              <w:autoSpaceDE w:val="0"/>
              <w:autoSpaceDN w:val="0"/>
              <w:adjustRightInd w:val="0"/>
              <w:rPr>
                <w:sz w:val="16"/>
                <w:szCs w:val="16"/>
              </w:rPr>
            </w:pPr>
            <w:r w:rsidRPr="00F076D7">
              <w:rPr>
                <w:sz w:val="16"/>
                <w:szCs w:val="16"/>
              </w:rPr>
              <w:t>Brésil/ 20 participants des pays suivants : Argentine, Brésil, Chili, Costa Rica, Cuba, Équateur, El Salvador, Honduras, Mexique, Nicaragua, Panama, Paraguay, Pérou, République dominicaine, Uruguay</w:t>
            </w:r>
          </w:p>
        </w:tc>
        <w:tc>
          <w:tcPr>
            <w:tcW w:w="4252" w:type="dxa"/>
          </w:tcPr>
          <w:p w14:paraId="24540FE1" w14:textId="77777777" w:rsidR="00767EC2" w:rsidRPr="00F076D7" w:rsidDel="00B80D1A" w:rsidRDefault="00767EC2" w:rsidP="00A83D07">
            <w:pPr>
              <w:autoSpaceDE w:val="0"/>
              <w:autoSpaceDN w:val="0"/>
              <w:adjustRightInd w:val="0"/>
              <w:rPr>
                <w:sz w:val="16"/>
                <w:szCs w:val="16"/>
              </w:rPr>
            </w:pPr>
            <w:r w:rsidRPr="00F076D7">
              <w:rPr>
                <w:sz w:val="16"/>
                <w:szCs w:val="16"/>
              </w:rPr>
              <w:t>Promouvoir l’échange d’expériences entre les fonctionnaires des offices nationaux de propriété intellectuelle sur des sujets choisis, en mettant l’accent notamment sur la coopération internationale en matière de propriété intellectuelle.  Cette édition était axée sur la mise en place de mécanismes de collaboration entre les offices de propriété intellectuelle en ce qui concerne la gestion du processus d’examen des marques et des appellations d’origine.</w:t>
            </w:r>
          </w:p>
        </w:tc>
      </w:tr>
      <w:tr w:rsidR="00767EC2" w:rsidRPr="00F076D7" w14:paraId="723BDD7D" w14:textId="77777777" w:rsidTr="00A83D07">
        <w:trPr>
          <w:cantSplit/>
        </w:trPr>
        <w:tc>
          <w:tcPr>
            <w:tcW w:w="1843" w:type="dxa"/>
          </w:tcPr>
          <w:p w14:paraId="2531724B" w14:textId="77777777" w:rsidR="00767EC2" w:rsidRPr="00F076D7" w:rsidRDefault="00767EC2" w:rsidP="00A83D07">
            <w:pPr>
              <w:autoSpaceDE w:val="0"/>
              <w:autoSpaceDN w:val="0"/>
              <w:adjustRightInd w:val="0"/>
              <w:rPr>
                <w:sz w:val="16"/>
                <w:szCs w:val="16"/>
              </w:rPr>
            </w:pPr>
            <w:r w:rsidRPr="00F076D7">
              <w:rPr>
                <w:sz w:val="16"/>
                <w:szCs w:val="16"/>
              </w:rPr>
              <w:t xml:space="preserve">Troisième séminaire international sur les indications géographiques et les marques collectives </w:t>
            </w:r>
          </w:p>
        </w:tc>
        <w:tc>
          <w:tcPr>
            <w:tcW w:w="1217" w:type="dxa"/>
          </w:tcPr>
          <w:p w14:paraId="74FA6236" w14:textId="77777777" w:rsidR="00767EC2" w:rsidRPr="00F076D7" w:rsidRDefault="00767EC2" w:rsidP="00A83D07">
            <w:pPr>
              <w:autoSpaceDE w:val="0"/>
              <w:autoSpaceDN w:val="0"/>
              <w:adjustRightInd w:val="0"/>
              <w:rPr>
                <w:sz w:val="16"/>
                <w:szCs w:val="16"/>
              </w:rPr>
            </w:pPr>
            <w:r w:rsidRPr="00F076D7">
              <w:rPr>
                <w:sz w:val="16"/>
                <w:szCs w:val="16"/>
              </w:rPr>
              <w:t>31 août – 2 septembre 2016</w:t>
            </w:r>
          </w:p>
        </w:tc>
        <w:tc>
          <w:tcPr>
            <w:tcW w:w="1902" w:type="dxa"/>
          </w:tcPr>
          <w:p w14:paraId="4496AFF2" w14:textId="77777777" w:rsidR="00767EC2" w:rsidRPr="00F076D7" w:rsidRDefault="00767EC2" w:rsidP="00A83D07">
            <w:pPr>
              <w:autoSpaceDE w:val="0"/>
              <w:autoSpaceDN w:val="0"/>
              <w:adjustRightInd w:val="0"/>
              <w:rPr>
                <w:sz w:val="16"/>
                <w:szCs w:val="16"/>
              </w:rPr>
            </w:pPr>
            <w:r w:rsidRPr="00F076D7">
              <w:rPr>
                <w:sz w:val="16"/>
                <w:szCs w:val="16"/>
              </w:rPr>
              <w:t>Brésil/ 200 participants des pays suivants : Honduras, Mexique, Pérou</w:t>
            </w:r>
          </w:p>
        </w:tc>
        <w:tc>
          <w:tcPr>
            <w:tcW w:w="4252" w:type="dxa"/>
          </w:tcPr>
          <w:p w14:paraId="63E8BA31" w14:textId="77777777" w:rsidR="00767EC2" w:rsidRPr="00F076D7" w:rsidRDefault="00767EC2" w:rsidP="00A83D07">
            <w:pPr>
              <w:autoSpaceDE w:val="0"/>
              <w:autoSpaceDN w:val="0"/>
              <w:adjustRightInd w:val="0"/>
              <w:rPr>
                <w:sz w:val="16"/>
                <w:szCs w:val="16"/>
              </w:rPr>
            </w:pPr>
            <w:r w:rsidRPr="00F076D7">
              <w:rPr>
                <w:sz w:val="16"/>
                <w:szCs w:val="16"/>
              </w:rPr>
              <w:t>Lancer le débat sur les gains socioéconomiques que les indications géographiques et les marques collectives pourraient apporter au développement national dans son ensemble.</w:t>
            </w:r>
          </w:p>
        </w:tc>
      </w:tr>
      <w:tr w:rsidR="00767EC2" w:rsidRPr="00F076D7" w14:paraId="233A4885" w14:textId="77777777" w:rsidTr="00A83D07">
        <w:trPr>
          <w:cantSplit/>
        </w:trPr>
        <w:tc>
          <w:tcPr>
            <w:tcW w:w="1843" w:type="dxa"/>
          </w:tcPr>
          <w:p w14:paraId="7DACEFA1" w14:textId="77777777" w:rsidR="00767EC2" w:rsidRPr="00F076D7" w:rsidRDefault="00767EC2" w:rsidP="00A83D07">
            <w:pPr>
              <w:autoSpaceDE w:val="0"/>
              <w:autoSpaceDN w:val="0"/>
              <w:adjustRightInd w:val="0"/>
              <w:rPr>
                <w:sz w:val="16"/>
                <w:szCs w:val="16"/>
                <w:highlight w:val="cyan"/>
              </w:rPr>
            </w:pPr>
            <w:r w:rsidRPr="00F076D7">
              <w:rPr>
                <w:sz w:val="16"/>
                <w:szCs w:val="16"/>
              </w:rPr>
              <w:t>Quatrième atelier régional sur la propriété intellectuelle et le transfert de techniques</w:t>
            </w:r>
          </w:p>
        </w:tc>
        <w:tc>
          <w:tcPr>
            <w:tcW w:w="1217" w:type="dxa"/>
          </w:tcPr>
          <w:p w14:paraId="6E71F0FE" w14:textId="77777777" w:rsidR="00767EC2" w:rsidRPr="00F076D7" w:rsidRDefault="00767EC2" w:rsidP="00A83D07">
            <w:pPr>
              <w:autoSpaceDE w:val="0"/>
              <w:autoSpaceDN w:val="0"/>
              <w:adjustRightInd w:val="0"/>
              <w:rPr>
                <w:sz w:val="16"/>
                <w:szCs w:val="16"/>
              </w:rPr>
            </w:pPr>
            <w:r w:rsidRPr="00F076D7">
              <w:rPr>
                <w:sz w:val="16"/>
                <w:szCs w:val="16"/>
              </w:rPr>
              <w:t>7 – 9 septembre 2016</w:t>
            </w:r>
          </w:p>
        </w:tc>
        <w:tc>
          <w:tcPr>
            <w:tcW w:w="1902" w:type="dxa"/>
          </w:tcPr>
          <w:p w14:paraId="243723B5" w14:textId="77777777" w:rsidR="00767EC2" w:rsidRPr="00F076D7" w:rsidRDefault="00767EC2" w:rsidP="00A83D07">
            <w:pPr>
              <w:autoSpaceDE w:val="0"/>
              <w:autoSpaceDN w:val="0"/>
              <w:adjustRightInd w:val="0"/>
              <w:rPr>
                <w:sz w:val="16"/>
                <w:szCs w:val="16"/>
              </w:rPr>
            </w:pPr>
            <w:r w:rsidRPr="00F076D7">
              <w:rPr>
                <w:sz w:val="16"/>
                <w:szCs w:val="16"/>
              </w:rPr>
              <w:t>El Salvador/ 40 participants des pays suivants : Colombie, Costa Rica, Équateur, Guatemala, Mexique</w:t>
            </w:r>
          </w:p>
        </w:tc>
        <w:tc>
          <w:tcPr>
            <w:tcW w:w="4252" w:type="dxa"/>
          </w:tcPr>
          <w:p w14:paraId="72618BBA" w14:textId="77777777" w:rsidR="00767EC2" w:rsidRPr="00F076D7" w:rsidRDefault="00767EC2" w:rsidP="00A83D07">
            <w:pPr>
              <w:autoSpaceDE w:val="0"/>
              <w:autoSpaceDN w:val="0"/>
              <w:adjustRightInd w:val="0"/>
              <w:rPr>
                <w:sz w:val="16"/>
                <w:szCs w:val="16"/>
              </w:rPr>
            </w:pPr>
            <w:r w:rsidRPr="00F076D7">
              <w:rPr>
                <w:sz w:val="16"/>
                <w:szCs w:val="16"/>
              </w:rPr>
              <w:t>i) Promouvoir la mise en place d’accords et de partenariats de transfert de techniques entre les établissements universitaires et le secteur industriel;  ii) présenter les aspects pratiques et les expériences relatifs à la négociation et à la rédaction d’accords technologiques.</w:t>
            </w:r>
          </w:p>
        </w:tc>
      </w:tr>
      <w:tr w:rsidR="00767EC2" w:rsidRPr="00F076D7" w14:paraId="09EF7B1A" w14:textId="77777777" w:rsidTr="00A83D07">
        <w:trPr>
          <w:cantSplit/>
        </w:trPr>
        <w:tc>
          <w:tcPr>
            <w:tcW w:w="1843" w:type="dxa"/>
          </w:tcPr>
          <w:p w14:paraId="0DFCEA04" w14:textId="77777777" w:rsidR="00767EC2" w:rsidRPr="00F076D7" w:rsidRDefault="00767EC2" w:rsidP="00A83D07">
            <w:pPr>
              <w:autoSpaceDE w:val="0"/>
              <w:autoSpaceDN w:val="0"/>
              <w:adjustRightInd w:val="0"/>
              <w:rPr>
                <w:sz w:val="16"/>
                <w:szCs w:val="16"/>
              </w:rPr>
            </w:pPr>
            <w:r w:rsidRPr="00F076D7">
              <w:rPr>
                <w:sz w:val="16"/>
                <w:szCs w:val="16"/>
              </w:rPr>
              <w:t>Neuvième réunion universitaire sur la propriété intellectuelle, l’innovation et le développement (ENAPID) et colloque international des académies de propriété intellectuelle des pays d’Amérique latine et des Caraïbes</w:t>
            </w:r>
          </w:p>
        </w:tc>
        <w:tc>
          <w:tcPr>
            <w:tcW w:w="1217" w:type="dxa"/>
          </w:tcPr>
          <w:p w14:paraId="3AAA4ACF" w14:textId="77777777" w:rsidR="00767EC2" w:rsidRPr="00F076D7" w:rsidRDefault="00767EC2" w:rsidP="00A83D07">
            <w:pPr>
              <w:autoSpaceDE w:val="0"/>
              <w:autoSpaceDN w:val="0"/>
              <w:adjustRightInd w:val="0"/>
              <w:rPr>
                <w:sz w:val="16"/>
                <w:szCs w:val="16"/>
              </w:rPr>
            </w:pPr>
            <w:r w:rsidRPr="00F076D7">
              <w:rPr>
                <w:sz w:val="16"/>
                <w:szCs w:val="16"/>
              </w:rPr>
              <w:t>23 – 25 novembre 2016</w:t>
            </w:r>
          </w:p>
        </w:tc>
        <w:tc>
          <w:tcPr>
            <w:tcW w:w="1902" w:type="dxa"/>
          </w:tcPr>
          <w:p w14:paraId="3204B93F" w14:textId="77777777" w:rsidR="00767EC2" w:rsidRPr="00F076D7" w:rsidRDefault="00767EC2" w:rsidP="00A83D07">
            <w:pPr>
              <w:autoSpaceDE w:val="0"/>
              <w:autoSpaceDN w:val="0"/>
              <w:adjustRightInd w:val="0"/>
              <w:rPr>
                <w:sz w:val="16"/>
                <w:szCs w:val="16"/>
              </w:rPr>
            </w:pPr>
            <w:r w:rsidRPr="00F076D7">
              <w:rPr>
                <w:sz w:val="16"/>
                <w:szCs w:val="16"/>
              </w:rPr>
              <w:t>Brésil/ 250 participants des pays suivants : Argentine, Chili, Colombie, Costa Rica, Cuba, Équateur, El Salvador, Guatemala, Mexique, Nicaragua, Paraguay, Pérou, République dominicaine, Uruguay, Venezuela</w:t>
            </w:r>
          </w:p>
        </w:tc>
        <w:tc>
          <w:tcPr>
            <w:tcW w:w="4252" w:type="dxa"/>
          </w:tcPr>
          <w:p w14:paraId="7A437BC0" w14:textId="77777777" w:rsidR="00767EC2" w:rsidRPr="00F076D7" w:rsidDel="00B80D1A" w:rsidRDefault="00767EC2" w:rsidP="00A83D07">
            <w:pPr>
              <w:autoSpaceDE w:val="0"/>
              <w:autoSpaceDN w:val="0"/>
              <w:adjustRightInd w:val="0"/>
              <w:rPr>
                <w:sz w:val="16"/>
                <w:szCs w:val="16"/>
              </w:rPr>
            </w:pPr>
            <w:r w:rsidRPr="00F076D7">
              <w:rPr>
                <w:sz w:val="16"/>
                <w:szCs w:val="16"/>
              </w:rPr>
              <w:t>Créer un forum permettant aux institutions de recherche, à l’industrie et au gouvernement d’analyser l’innovation ouverte, y compris des questions telles que la R</w:t>
            </w:r>
            <w:r w:rsidRPr="00F076D7">
              <w:rPr>
                <w:sz w:val="16"/>
                <w:szCs w:val="16"/>
              </w:rPr>
              <w:noBreakHyphen/>
              <w:t>D, la fourniture de services et la concession sous licence de droits de propriété intellectuelle, ainsi que le transfert de techniques.  Le dernier jour, les pays d’Amérique latine ont échangé sur les difficultés et les perspectives des académies de propriété intellectuelle de la région.</w:t>
            </w:r>
          </w:p>
        </w:tc>
      </w:tr>
    </w:tbl>
    <w:p w14:paraId="43523BC8" w14:textId="77777777" w:rsidR="00767EC2" w:rsidRPr="00F076D7" w:rsidRDefault="00767EC2" w:rsidP="00767EC2">
      <w:pPr>
        <w:rPr>
          <w:rFonts w:cs="Times New Roman"/>
          <w:sz w:val="20"/>
        </w:rPr>
      </w:pPr>
    </w:p>
    <w:p w14:paraId="44CC4F5B" w14:textId="77777777" w:rsidR="00767EC2" w:rsidRPr="00F076D7" w:rsidRDefault="00767EC2" w:rsidP="00767EC2">
      <w:pPr>
        <w:rPr>
          <w:rFonts w:cs="Times New Roman"/>
          <w:sz w:val="20"/>
        </w:rPr>
      </w:pPr>
    </w:p>
    <w:p w14:paraId="6D0D3EE1" w14:textId="77777777" w:rsidR="00767EC2" w:rsidRPr="00F076D7" w:rsidRDefault="00767EC2" w:rsidP="00767EC2">
      <w:pPr>
        <w:keepNext/>
        <w:rPr>
          <w:b/>
          <w:bCs/>
          <w:sz w:val="20"/>
        </w:rPr>
      </w:pPr>
      <w:r w:rsidRPr="00F076D7">
        <w:rPr>
          <w:b/>
          <w:bCs/>
          <w:sz w:val="20"/>
        </w:rPr>
        <w:t>BRÉSIL SUD</w:t>
      </w:r>
      <w:r w:rsidRPr="00F076D7">
        <w:rPr>
          <w:bCs/>
          <w:sz w:val="20"/>
        </w:rPr>
        <w:t xml:space="preserve"> – </w:t>
      </w:r>
      <w:r w:rsidRPr="00F076D7">
        <w:rPr>
          <w:b/>
          <w:bCs/>
          <w:sz w:val="20"/>
        </w:rPr>
        <w:t>Contributions des donateurs et dépenses en 2016</w:t>
      </w:r>
    </w:p>
    <w:p w14:paraId="3032425D" w14:textId="77777777" w:rsidR="00767EC2" w:rsidRPr="00F076D7" w:rsidRDefault="00767EC2" w:rsidP="00767EC2">
      <w:pPr>
        <w:keepNext/>
        <w:rPr>
          <w:b/>
          <w:bCs/>
          <w:sz w:val="20"/>
        </w:rPr>
      </w:pPr>
    </w:p>
    <w:tbl>
      <w:tblPr>
        <w:tblW w:w="4961" w:type="pct"/>
        <w:tblCellMar>
          <w:top w:w="57" w:type="dxa"/>
          <w:bottom w:w="57" w:type="dxa"/>
        </w:tblCellMar>
        <w:tblLook w:val="04A0" w:firstRow="1" w:lastRow="0" w:firstColumn="1" w:lastColumn="0" w:noHBand="0" w:noVBand="1"/>
      </w:tblPr>
      <w:tblGrid>
        <w:gridCol w:w="1843"/>
        <w:gridCol w:w="1843"/>
        <w:gridCol w:w="1843"/>
        <w:gridCol w:w="1843"/>
        <w:gridCol w:w="1843"/>
      </w:tblGrid>
      <w:tr w:rsidR="00767EC2" w:rsidRPr="00F076D7" w14:paraId="4B0C2DE5" w14:textId="77777777" w:rsidTr="00A83D07">
        <w:trPr>
          <w:cantSplit/>
        </w:trPr>
        <w:tc>
          <w:tcPr>
            <w:tcW w:w="1842" w:type="dxa"/>
            <w:tcBorders>
              <w:top w:val="nil"/>
              <w:left w:val="nil"/>
              <w:bottom w:val="nil"/>
              <w:right w:val="nil"/>
            </w:tcBorders>
            <w:shd w:val="clear" w:color="000000" w:fill="C5D9F1"/>
            <w:vAlign w:val="center"/>
            <w:hideMark/>
          </w:tcPr>
          <w:p w14:paraId="1328B098" w14:textId="77777777" w:rsidR="00767EC2" w:rsidRPr="00F076D7" w:rsidRDefault="00767EC2" w:rsidP="00A83D07">
            <w:pPr>
              <w:jc w:val="center"/>
              <w:rPr>
                <w:b/>
                <w:bCs/>
                <w:sz w:val="16"/>
                <w:szCs w:val="16"/>
              </w:rPr>
            </w:pPr>
            <w:r w:rsidRPr="00F076D7">
              <w:rPr>
                <w:b/>
                <w:bCs/>
                <w:sz w:val="16"/>
                <w:szCs w:val="16"/>
              </w:rPr>
              <w:t>Solde au 31 décembre 2015</w:t>
            </w:r>
          </w:p>
        </w:tc>
        <w:tc>
          <w:tcPr>
            <w:tcW w:w="1843" w:type="dxa"/>
            <w:tcBorders>
              <w:top w:val="nil"/>
              <w:left w:val="nil"/>
              <w:bottom w:val="nil"/>
              <w:right w:val="nil"/>
            </w:tcBorders>
            <w:shd w:val="clear" w:color="000000" w:fill="C5D9F1"/>
            <w:noWrap/>
            <w:vAlign w:val="center"/>
            <w:hideMark/>
          </w:tcPr>
          <w:p w14:paraId="1B0B83A6" w14:textId="77777777" w:rsidR="00767EC2" w:rsidRPr="00F076D7" w:rsidRDefault="00767EC2" w:rsidP="00A83D07">
            <w:pPr>
              <w:jc w:val="center"/>
              <w:rPr>
                <w:b/>
                <w:bCs/>
                <w:sz w:val="16"/>
                <w:szCs w:val="16"/>
              </w:rPr>
            </w:pPr>
            <w:r w:rsidRPr="00F076D7">
              <w:rPr>
                <w:b/>
                <w:bCs/>
                <w:sz w:val="16"/>
                <w:szCs w:val="16"/>
              </w:rPr>
              <w:t>Recettes 2016</w:t>
            </w:r>
          </w:p>
        </w:tc>
        <w:tc>
          <w:tcPr>
            <w:tcW w:w="1843" w:type="dxa"/>
            <w:tcBorders>
              <w:top w:val="nil"/>
              <w:left w:val="nil"/>
              <w:bottom w:val="nil"/>
              <w:right w:val="nil"/>
            </w:tcBorders>
            <w:shd w:val="clear" w:color="000000" w:fill="C5D9F1"/>
            <w:noWrap/>
            <w:vAlign w:val="center"/>
            <w:hideMark/>
          </w:tcPr>
          <w:p w14:paraId="23C63546" w14:textId="77777777" w:rsidR="00767EC2" w:rsidRPr="00F076D7" w:rsidRDefault="00767EC2" w:rsidP="00A83D07">
            <w:pPr>
              <w:jc w:val="center"/>
              <w:rPr>
                <w:b/>
                <w:bCs/>
                <w:sz w:val="16"/>
                <w:szCs w:val="16"/>
              </w:rPr>
            </w:pPr>
            <w:r w:rsidRPr="00F076D7">
              <w:rPr>
                <w:b/>
                <w:bCs/>
                <w:sz w:val="16"/>
                <w:szCs w:val="16"/>
              </w:rPr>
              <w:t>Dépenses 2016</w:t>
            </w:r>
          </w:p>
        </w:tc>
        <w:tc>
          <w:tcPr>
            <w:tcW w:w="1843" w:type="dxa"/>
            <w:tcBorders>
              <w:top w:val="nil"/>
              <w:left w:val="nil"/>
              <w:bottom w:val="nil"/>
              <w:right w:val="nil"/>
            </w:tcBorders>
            <w:shd w:val="clear" w:color="000000" w:fill="C5D9F1"/>
            <w:noWrap/>
            <w:vAlign w:val="center"/>
            <w:hideMark/>
          </w:tcPr>
          <w:p w14:paraId="05F67A3A" w14:textId="77777777" w:rsidR="00767EC2" w:rsidRPr="00F076D7" w:rsidRDefault="00767EC2" w:rsidP="00A83D07">
            <w:pPr>
              <w:jc w:val="center"/>
              <w:rPr>
                <w:b/>
                <w:bCs/>
                <w:sz w:val="16"/>
                <w:szCs w:val="16"/>
              </w:rPr>
            </w:pPr>
            <w:r w:rsidRPr="00F076D7">
              <w:rPr>
                <w:b/>
                <w:bCs/>
                <w:sz w:val="16"/>
                <w:szCs w:val="16"/>
              </w:rPr>
              <w:t>Remboursements</w:t>
            </w:r>
          </w:p>
        </w:tc>
        <w:tc>
          <w:tcPr>
            <w:tcW w:w="1843" w:type="dxa"/>
            <w:tcBorders>
              <w:top w:val="nil"/>
              <w:left w:val="nil"/>
              <w:bottom w:val="nil"/>
              <w:right w:val="nil"/>
            </w:tcBorders>
            <w:shd w:val="clear" w:color="000000" w:fill="C5D9F1"/>
            <w:vAlign w:val="center"/>
            <w:hideMark/>
          </w:tcPr>
          <w:p w14:paraId="5BBBB499"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4E5A34C8" w14:textId="77777777" w:rsidTr="00A83D07">
        <w:trPr>
          <w:cantSplit/>
        </w:trPr>
        <w:tc>
          <w:tcPr>
            <w:tcW w:w="1842" w:type="dxa"/>
            <w:tcBorders>
              <w:top w:val="nil"/>
              <w:left w:val="nil"/>
              <w:bottom w:val="nil"/>
              <w:right w:val="nil"/>
            </w:tcBorders>
            <w:shd w:val="clear" w:color="auto" w:fill="auto"/>
            <w:noWrap/>
            <w:vAlign w:val="bottom"/>
            <w:hideMark/>
          </w:tcPr>
          <w:p w14:paraId="2D497BA4" w14:textId="77777777" w:rsidR="00767EC2" w:rsidRPr="00F076D7" w:rsidRDefault="00767EC2" w:rsidP="00A83D07">
            <w:pPr>
              <w:jc w:val="center"/>
              <w:rPr>
                <w:sz w:val="16"/>
                <w:szCs w:val="16"/>
              </w:rPr>
            </w:pPr>
            <w:r w:rsidRPr="00F076D7">
              <w:rPr>
                <w:sz w:val="16"/>
                <w:szCs w:val="16"/>
              </w:rPr>
              <w:t>238 315</w:t>
            </w:r>
          </w:p>
        </w:tc>
        <w:tc>
          <w:tcPr>
            <w:tcW w:w="1843" w:type="dxa"/>
            <w:tcBorders>
              <w:top w:val="nil"/>
              <w:left w:val="nil"/>
              <w:bottom w:val="nil"/>
              <w:right w:val="nil"/>
            </w:tcBorders>
            <w:shd w:val="clear" w:color="auto" w:fill="auto"/>
            <w:noWrap/>
            <w:vAlign w:val="bottom"/>
            <w:hideMark/>
          </w:tcPr>
          <w:p w14:paraId="7719070F" w14:textId="77777777" w:rsidR="00767EC2" w:rsidRPr="00F076D7" w:rsidRDefault="00767EC2" w:rsidP="00A83D07">
            <w:pPr>
              <w:jc w:val="center"/>
              <w:rPr>
                <w:sz w:val="16"/>
                <w:szCs w:val="16"/>
              </w:rPr>
            </w:pPr>
            <w:r w:rsidRPr="00F076D7">
              <w:rPr>
                <w:sz w:val="16"/>
                <w:szCs w:val="16"/>
              </w:rPr>
              <w:noBreakHyphen/>
            </w:r>
          </w:p>
        </w:tc>
        <w:tc>
          <w:tcPr>
            <w:tcW w:w="1843" w:type="dxa"/>
            <w:tcBorders>
              <w:top w:val="nil"/>
              <w:left w:val="nil"/>
              <w:bottom w:val="nil"/>
              <w:right w:val="nil"/>
            </w:tcBorders>
            <w:shd w:val="clear" w:color="auto" w:fill="auto"/>
            <w:noWrap/>
            <w:vAlign w:val="bottom"/>
            <w:hideMark/>
          </w:tcPr>
          <w:p w14:paraId="1630CB67" w14:textId="77777777" w:rsidR="00767EC2" w:rsidRPr="00F076D7" w:rsidRDefault="00767EC2" w:rsidP="00A83D07">
            <w:pPr>
              <w:jc w:val="center"/>
              <w:rPr>
                <w:sz w:val="16"/>
                <w:szCs w:val="16"/>
              </w:rPr>
            </w:pPr>
            <w:r w:rsidRPr="00F076D7">
              <w:rPr>
                <w:sz w:val="16"/>
                <w:szCs w:val="16"/>
              </w:rPr>
              <w:t>128 072</w:t>
            </w:r>
          </w:p>
        </w:tc>
        <w:tc>
          <w:tcPr>
            <w:tcW w:w="1843" w:type="dxa"/>
            <w:tcBorders>
              <w:top w:val="nil"/>
              <w:left w:val="nil"/>
              <w:bottom w:val="nil"/>
              <w:right w:val="nil"/>
            </w:tcBorders>
            <w:shd w:val="clear" w:color="auto" w:fill="auto"/>
            <w:noWrap/>
            <w:vAlign w:val="bottom"/>
            <w:hideMark/>
          </w:tcPr>
          <w:p w14:paraId="68F7F91F" w14:textId="77777777" w:rsidR="00767EC2" w:rsidRPr="00F076D7" w:rsidRDefault="00767EC2" w:rsidP="00A83D07">
            <w:pPr>
              <w:jc w:val="center"/>
              <w:rPr>
                <w:sz w:val="16"/>
                <w:szCs w:val="16"/>
              </w:rPr>
            </w:pPr>
            <w:r w:rsidRPr="00F076D7">
              <w:rPr>
                <w:sz w:val="16"/>
                <w:szCs w:val="16"/>
              </w:rPr>
              <w:noBreakHyphen/>
            </w:r>
          </w:p>
        </w:tc>
        <w:tc>
          <w:tcPr>
            <w:tcW w:w="1843" w:type="dxa"/>
            <w:tcBorders>
              <w:top w:val="nil"/>
              <w:left w:val="nil"/>
              <w:bottom w:val="nil"/>
              <w:right w:val="nil"/>
            </w:tcBorders>
            <w:shd w:val="clear" w:color="auto" w:fill="auto"/>
            <w:noWrap/>
            <w:vAlign w:val="bottom"/>
            <w:hideMark/>
          </w:tcPr>
          <w:p w14:paraId="0C1CF7C7" w14:textId="77777777" w:rsidR="00767EC2" w:rsidRPr="00F076D7" w:rsidRDefault="00767EC2" w:rsidP="00A83D07">
            <w:pPr>
              <w:jc w:val="center"/>
              <w:rPr>
                <w:sz w:val="16"/>
                <w:szCs w:val="16"/>
              </w:rPr>
            </w:pPr>
            <w:r w:rsidRPr="00F076D7">
              <w:rPr>
                <w:sz w:val="16"/>
                <w:szCs w:val="16"/>
              </w:rPr>
              <w:t>110 242</w:t>
            </w:r>
          </w:p>
        </w:tc>
      </w:tr>
    </w:tbl>
    <w:p w14:paraId="75A7ABED" w14:textId="77777777" w:rsidR="00767EC2" w:rsidRPr="00F076D7" w:rsidRDefault="00767EC2" w:rsidP="00767EC2">
      <w:pPr>
        <w:rPr>
          <w:bCs/>
          <w:sz w:val="20"/>
        </w:rPr>
      </w:pPr>
    </w:p>
    <w:p w14:paraId="3C7BAA0B" w14:textId="77777777" w:rsidR="00767EC2" w:rsidRPr="00F076D7" w:rsidRDefault="00767EC2" w:rsidP="00767EC2">
      <w:pPr>
        <w:rPr>
          <w:bCs/>
          <w:sz w:val="20"/>
        </w:rPr>
      </w:pPr>
    </w:p>
    <w:p w14:paraId="6F374714" w14:textId="77777777" w:rsidR="00767EC2" w:rsidRPr="00F076D7" w:rsidRDefault="00767EC2" w:rsidP="00767EC2">
      <w:pPr>
        <w:keepNext/>
        <w:keepLines/>
        <w:rPr>
          <w:b/>
          <w:sz w:val="20"/>
        </w:rPr>
      </w:pPr>
      <w:r w:rsidRPr="00F076D7">
        <w:rPr>
          <w:b/>
          <w:sz w:val="20"/>
        </w:rPr>
        <w:t>ESPAGNE</w:t>
      </w:r>
    </w:p>
    <w:p w14:paraId="36AEB75D" w14:textId="77777777" w:rsidR="00767EC2" w:rsidRPr="00F076D7" w:rsidRDefault="00767EC2" w:rsidP="00767EC2">
      <w:pPr>
        <w:keepNext/>
        <w:keepLines/>
        <w:rPr>
          <w:b/>
          <w:sz w:val="20"/>
        </w:rPr>
      </w:pPr>
    </w:p>
    <w:tbl>
      <w:tblPr>
        <w:tblW w:w="4884" w:type="pct"/>
        <w:tblCellMar>
          <w:top w:w="57" w:type="dxa"/>
          <w:bottom w:w="57" w:type="dxa"/>
        </w:tblCellMar>
        <w:tblLook w:val="0000" w:firstRow="0" w:lastRow="0" w:firstColumn="0" w:lastColumn="0" w:noHBand="0" w:noVBand="0"/>
      </w:tblPr>
      <w:tblGrid>
        <w:gridCol w:w="2191"/>
        <w:gridCol w:w="1220"/>
        <w:gridCol w:w="16"/>
        <w:gridCol w:w="1765"/>
        <w:gridCol w:w="3880"/>
      </w:tblGrid>
      <w:tr w:rsidR="00767EC2" w:rsidRPr="00F076D7" w14:paraId="5FF0A2F9" w14:textId="77777777" w:rsidTr="00A83D07">
        <w:trPr>
          <w:cantSplit/>
        </w:trPr>
        <w:tc>
          <w:tcPr>
            <w:tcW w:w="9072" w:type="dxa"/>
            <w:gridSpan w:val="5"/>
            <w:shd w:val="clear" w:color="auto" w:fill="C6D9F1"/>
            <w:vAlign w:val="center"/>
          </w:tcPr>
          <w:p w14:paraId="67BD303E" w14:textId="77777777" w:rsidR="00767EC2" w:rsidRPr="00F076D7" w:rsidRDefault="00767EC2" w:rsidP="00A83D07">
            <w:pPr>
              <w:keepNext/>
              <w:keepLines/>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762491DB" w14:textId="77777777" w:rsidTr="00A83D07">
        <w:trPr>
          <w:cantSplit/>
        </w:trPr>
        <w:tc>
          <w:tcPr>
            <w:tcW w:w="1920" w:type="dxa"/>
            <w:shd w:val="clear" w:color="auto" w:fill="auto"/>
          </w:tcPr>
          <w:p w14:paraId="2DA90C3D"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Activité</w:t>
            </w:r>
          </w:p>
        </w:tc>
        <w:tc>
          <w:tcPr>
            <w:tcW w:w="1242" w:type="dxa"/>
            <w:gridSpan w:val="2"/>
            <w:shd w:val="clear" w:color="auto" w:fill="auto"/>
            <w:tcMar>
              <w:top w:w="57" w:type="dxa"/>
            </w:tcMar>
          </w:tcPr>
          <w:p w14:paraId="49475B93"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Date</w:t>
            </w:r>
          </w:p>
        </w:tc>
        <w:tc>
          <w:tcPr>
            <w:tcW w:w="1790" w:type="dxa"/>
            <w:shd w:val="clear" w:color="auto" w:fill="auto"/>
            <w:tcMar>
              <w:top w:w="57" w:type="dxa"/>
            </w:tcMar>
          </w:tcPr>
          <w:p w14:paraId="5190E0F5"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Pays hôte/bénéficiaires</w:t>
            </w:r>
          </w:p>
        </w:tc>
        <w:tc>
          <w:tcPr>
            <w:tcW w:w="4120" w:type="dxa"/>
            <w:shd w:val="clear" w:color="auto" w:fill="auto"/>
            <w:tcMar>
              <w:top w:w="57" w:type="dxa"/>
            </w:tcMar>
          </w:tcPr>
          <w:p w14:paraId="3E12E694"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Objectif(s)/description(s)</w:t>
            </w:r>
          </w:p>
        </w:tc>
      </w:tr>
      <w:tr w:rsidR="00767EC2" w:rsidRPr="00F076D7" w14:paraId="6FBFA211" w14:textId="77777777" w:rsidTr="00A83D07">
        <w:trPr>
          <w:cantSplit/>
        </w:trPr>
        <w:tc>
          <w:tcPr>
            <w:tcW w:w="1920" w:type="dxa"/>
            <w:shd w:val="clear" w:color="auto" w:fill="auto"/>
          </w:tcPr>
          <w:p w14:paraId="73FC7372" w14:textId="77777777" w:rsidR="00767EC2" w:rsidRPr="00F076D7" w:rsidRDefault="00767EC2" w:rsidP="00A83D07">
            <w:pPr>
              <w:keepNext/>
              <w:keepLines/>
              <w:autoSpaceDE w:val="0"/>
              <w:autoSpaceDN w:val="0"/>
              <w:adjustRightInd w:val="0"/>
              <w:rPr>
                <w:sz w:val="16"/>
                <w:szCs w:val="16"/>
              </w:rPr>
            </w:pPr>
            <w:r w:rsidRPr="00F076D7">
              <w:rPr>
                <w:sz w:val="16"/>
                <w:szCs w:val="16"/>
              </w:rPr>
              <w:t>Participation du Directeur de L’Office espagnol des brevets et des marques (OEPM) aux dix</w:t>
            </w:r>
            <w:r w:rsidRPr="00F076D7">
              <w:rPr>
                <w:sz w:val="16"/>
                <w:szCs w:val="16"/>
              </w:rPr>
              <w:noBreakHyphen/>
              <w:t xml:space="preserve">neuvièmes séances de travail de l’Association interaméricaine de la propriété intellectuelle (ASIPI) et à son Conseil d’administration </w:t>
            </w:r>
          </w:p>
        </w:tc>
        <w:tc>
          <w:tcPr>
            <w:tcW w:w="1225" w:type="dxa"/>
            <w:shd w:val="clear" w:color="auto" w:fill="auto"/>
            <w:tcMar>
              <w:top w:w="57" w:type="dxa"/>
            </w:tcMar>
          </w:tcPr>
          <w:p w14:paraId="36E5C40A" w14:textId="77777777" w:rsidR="00767EC2" w:rsidRPr="00F076D7" w:rsidRDefault="00767EC2" w:rsidP="00A83D07">
            <w:pPr>
              <w:keepNext/>
              <w:keepLines/>
              <w:autoSpaceDE w:val="0"/>
              <w:autoSpaceDN w:val="0"/>
              <w:adjustRightInd w:val="0"/>
              <w:rPr>
                <w:sz w:val="16"/>
                <w:szCs w:val="16"/>
              </w:rPr>
            </w:pPr>
            <w:r w:rsidRPr="00F076D7">
              <w:rPr>
                <w:sz w:val="16"/>
                <w:szCs w:val="16"/>
              </w:rPr>
              <w:t>4 – 7 décembre 2016</w:t>
            </w:r>
          </w:p>
        </w:tc>
        <w:tc>
          <w:tcPr>
            <w:tcW w:w="1807" w:type="dxa"/>
            <w:gridSpan w:val="2"/>
            <w:shd w:val="clear" w:color="auto" w:fill="auto"/>
            <w:tcMar>
              <w:top w:w="57" w:type="dxa"/>
            </w:tcMar>
          </w:tcPr>
          <w:p w14:paraId="279E9591" w14:textId="77777777" w:rsidR="00767EC2" w:rsidRPr="00F076D7" w:rsidRDefault="00767EC2" w:rsidP="00A83D07">
            <w:pPr>
              <w:keepNext/>
              <w:keepLines/>
              <w:autoSpaceDE w:val="0"/>
              <w:autoSpaceDN w:val="0"/>
              <w:adjustRightInd w:val="0"/>
              <w:rPr>
                <w:sz w:val="16"/>
                <w:szCs w:val="16"/>
              </w:rPr>
            </w:pPr>
            <w:r w:rsidRPr="00F076D7">
              <w:rPr>
                <w:sz w:val="16"/>
                <w:szCs w:val="16"/>
              </w:rPr>
              <w:t>Argentine/ Tous les pays d’Amérique latine</w:t>
            </w:r>
          </w:p>
        </w:tc>
        <w:tc>
          <w:tcPr>
            <w:tcW w:w="4120" w:type="dxa"/>
            <w:shd w:val="clear" w:color="auto" w:fill="auto"/>
            <w:tcMar>
              <w:top w:w="57" w:type="dxa"/>
            </w:tcMar>
          </w:tcPr>
          <w:p w14:paraId="09DC9EAA" w14:textId="77777777" w:rsidR="00767EC2" w:rsidRPr="00F076D7" w:rsidRDefault="00767EC2" w:rsidP="00A83D07">
            <w:pPr>
              <w:keepNext/>
              <w:keepLines/>
              <w:autoSpaceDE w:val="0"/>
              <w:autoSpaceDN w:val="0"/>
              <w:adjustRightInd w:val="0"/>
              <w:rPr>
                <w:sz w:val="16"/>
                <w:szCs w:val="16"/>
                <w:highlight w:val="cyan"/>
              </w:rPr>
            </w:pPr>
            <w:r w:rsidRPr="00F076D7">
              <w:rPr>
                <w:sz w:val="16"/>
                <w:szCs w:val="16"/>
              </w:rPr>
              <w:t>Présenter le PCT et ses dernières évolutions, avec une table ronde sur l’utilisation du PCT et sur le projet d’accélération des procédures d’examen des demandes de brevet (PPH).  L’Office espagnol des brevets et des marques (OEPM) a participé à la table ronde afin de procéder à un échange d’expériences et de contribuer aux discussions techniques.</w:t>
            </w:r>
          </w:p>
        </w:tc>
      </w:tr>
      <w:tr w:rsidR="00767EC2" w:rsidRPr="00F076D7" w14:paraId="4FB71307" w14:textId="77777777" w:rsidTr="00A83D07">
        <w:trPr>
          <w:cantSplit/>
        </w:trPr>
        <w:tc>
          <w:tcPr>
            <w:tcW w:w="1920" w:type="dxa"/>
          </w:tcPr>
          <w:p w14:paraId="25B95CDD" w14:textId="77777777" w:rsidR="00767EC2" w:rsidRPr="00F076D7" w:rsidRDefault="00767EC2" w:rsidP="00A83D07">
            <w:pPr>
              <w:autoSpaceDE w:val="0"/>
              <w:autoSpaceDN w:val="0"/>
              <w:adjustRightInd w:val="0"/>
              <w:rPr>
                <w:sz w:val="16"/>
                <w:szCs w:val="16"/>
                <w:highlight w:val="cyan"/>
              </w:rPr>
            </w:pPr>
            <w:r w:rsidRPr="00F076D7">
              <w:rPr>
                <w:sz w:val="16"/>
                <w:szCs w:val="16"/>
              </w:rPr>
              <w:t>OMPI/OEPM/ AECID.</w:t>
            </w:r>
            <w:r w:rsidRPr="00F076D7">
              <w:rPr>
                <w:sz w:val="16"/>
                <w:szCs w:val="16"/>
              </w:rPr>
              <w:br/>
              <w:t>Quatrième séminaire régional sur les marques et les dessins et modèles industriels, facteurs d’innovation et actifs d’entreprise : les dessins et modèles, un outil commercial stratégique et un facteur de différenciation</w:t>
            </w:r>
          </w:p>
        </w:tc>
        <w:tc>
          <w:tcPr>
            <w:tcW w:w="1225" w:type="dxa"/>
            <w:shd w:val="clear" w:color="auto" w:fill="auto"/>
            <w:tcMar>
              <w:top w:w="57" w:type="dxa"/>
            </w:tcMar>
          </w:tcPr>
          <w:p w14:paraId="532C5955" w14:textId="77777777" w:rsidR="00767EC2" w:rsidRPr="00F076D7" w:rsidRDefault="00767EC2" w:rsidP="00A83D07">
            <w:pPr>
              <w:autoSpaceDE w:val="0"/>
              <w:autoSpaceDN w:val="0"/>
              <w:adjustRightInd w:val="0"/>
              <w:rPr>
                <w:sz w:val="16"/>
                <w:szCs w:val="16"/>
              </w:rPr>
            </w:pPr>
            <w:r w:rsidRPr="00F076D7">
              <w:rPr>
                <w:sz w:val="16"/>
                <w:szCs w:val="16"/>
              </w:rPr>
              <w:t>7 – 10 mars 2016</w:t>
            </w:r>
          </w:p>
        </w:tc>
        <w:tc>
          <w:tcPr>
            <w:tcW w:w="1807" w:type="dxa"/>
            <w:gridSpan w:val="2"/>
            <w:shd w:val="clear" w:color="auto" w:fill="auto"/>
            <w:tcMar>
              <w:top w:w="57" w:type="dxa"/>
            </w:tcMar>
          </w:tcPr>
          <w:p w14:paraId="676C03EB" w14:textId="77777777" w:rsidR="00767EC2" w:rsidRPr="00F076D7" w:rsidRDefault="00767EC2" w:rsidP="00A83D07">
            <w:pPr>
              <w:autoSpaceDE w:val="0"/>
              <w:autoSpaceDN w:val="0"/>
              <w:adjustRightInd w:val="0"/>
              <w:rPr>
                <w:sz w:val="16"/>
                <w:szCs w:val="16"/>
              </w:rPr>
            </w:pPr>
            <w:r w:rsidRPr="00F076D7">
              <w:rPr>
                <w:sz w:val="16"/>
                <w:szCs w:val="16"/>
              </w:rPr>
              <w:t>Colombie/ Tous les pays d’Amérique latine</w:t>
            </w:r>
          </w:p>
        </w:tc>
        <w:tc>
          <w:tcPr>
            <w:tcW w:w="4120" w:type="dxa"/>
            <w:shd w:val="clear" w:color="auto" w:fill="FFFFFF"/>
            <w:tcMar>
              <w:top w:w="57" w:type="dxa"/>
            </w:tcMar>
          </w:tcPr>
          <w:p w14:paraId="35DF39BF" w14:textId="77777777" w:rsidR="00767EC2" w:rsidRPr="00F076D7" w:rsidRDefault="00767EC2" w:rsidP="00A83D07">
            <w:pPr>
              <w:rPr>
                <w:sz w:val="16"/>
                <w:szCs w:val="16"/>
                <w:highlight w:val="cyan"/>
              </w:rPr>
            </w:pPr>
            <w:r w:rsidRPr="00F076D7">
              <w:rPr>
                <w:sz w:val="16"/>
                <w:szCs w:val="16"/>
              </w:rPr>
              <w:t>i) Promouvoir l’utilisation des dessins et modèles industriels à des fins stratégiques, comme moteurs du développement économique;  ii) créer un forum d’échange d’idées sur la protection des dessins et modèles ainsi que sur les pratiques et tendances observées aux niveaux national et international.</w:t>
            </w:r>
          </w:p>
        </w:tc>
      </w:tr>
      <w:tr w:rsidR="00767EC2" w:rsidRPr="00F076D7" w14:paraId="2C525989" w14:textId="77777777" w:rsidTr="00A83D07">
        <w:trPr>
          <w:cantSplit/>
        </w:trPr>
        <w:tc>
          <w:tcPr>
            <w:tcW w:w="1920" w:type="dxa"/>
          </w:tcPr>
          <w:p w14:paraId="3D61C7B0" w14:textId="77777777" w:rsidR="00767EC2" w:rsidRPr="00F076D7" w:rsidRDefault="00767EC2" w:rsidP="00A83D07">
            <w:pPr>
              <w:autoSpaceDE w:val="0"/>
              <w:autoSpaceDN w:val="0"/>
              <w:adjustRightInd w:val="0"/>
              <w:rPr>
                <w:sz w:val="16"/>
                <w:szCs w:val="16"/>
              </w:rPr>
            </w:pPr>
            <w:r w:rsidRPr="00F076D7">
              <w:rPr>
                <w:sz w:val="16"/>
                <w:szCs w:val="16"/>
              </w:rPr>
              <w:t xml:space="preserve">Séminaire régional sur le PCT et le Traité de Budapest </w:t>
            </w:r>
          </w:p>
        </w:tc>
        <w:tc>
          <w:tcPr>
            <w:tcW w:w="1225" w:type="dxa"/>
            <w:shd w:val="clear" w:color="auto" w:fill="auto"/>
            <w:tcMar>
              <w:top w:w="57" w:type="dxa"/>
            </w:tcMar>
          </w:tcPr>
          <w:p w14:paraId="6B36841A" w14:textId="77777777" w:rsidR="00767EC2" w:rsidRPr="00F076D7" w:rsidRDefault="00767EC2" w:rsidP="00A83D07">
            <w:pPr>
              <w:autoSpaceDE w:val="0"/>
              <w:autoSpaceDN w:val="0"/>
              <w:adjustRightInd w:val="0"/>
              <w:rPr>
                <w:sz w:val="16"/>
                <w:szCs w:val="16"/>
              </w:rPr>
            </w:pPr>
            <w:r w:rsidRPr="00F076D7">
              <w:rPr>
                <w:sz w:val="16"/>
                <w:szCs w:val="16"/>
              </w:rPr>
              <w:t>5 – 7 septembre 2016</w:t>
            </w:r>
          </w:p>
        </w:tc>
        <w:tc>
          <w:tcPr>
            <w:tcW w:w="1807" w:type="dxa"/>
            <w:gridSpan w:val="2"/>
            <w:shd w:val="clear" w:color="auto" w:fill="auto"/>
            <w:tcMar>
              <w:top w:w="57" w:type="dxa"/>
            </w:tcMar>
          </w:tcPr>
          <w:p w14:paraId="2576B921" w14:textId="77777777" w:rsidR="00767EC2" w:rsidRPr="00F076D7" w:rsidRDefault="00767EC2" w:rsidP="00A83D07">
            <w:pPr>
              <w:autoSpaceDE w:val="0"/>
              <w:autoSpaceDN w:val="0"/>
              <w:adjustRightInd w:val="0"/>
              <w:rPr>
                <w:sz w:val="16"/>
                <w:szCs w:val="16"/>
              </w:rPr>
            </w:pPr>
            <w:r w:rsidRPr="00F076D7">
              <w:rPr>
                <w:sz w:val="16"/>
                <w:szCs w:val="16"/>
              </w:rPr>
              <w:t>Cuba/ Tous les pays d’Amérique latine</w:t>
            </w:r>
          </w:p>
        </w:tc>
        <w:tc>
          <w:tcPr>
            <w:tcW w:w="4120" w:type="dxa"/>
            <w:shd w:val="clear" w:color="auto" w:fill="FFFFFF"/>
            <w:tcMar>
              <w:top w:w="57" w:type="dxa"/>
            </w:tcMar>
          </w:tcPr>
          <w:p w14:paraId="56A8FF2E" w14:textId="77777777" w:rsidR="00767EC2" w:rsidRPr="00F076D7" w:rsidRDefault="00767EC2" w:rsidP="00A83D07">
            <w:pPr>
              <w:autoSpaceDE w:val="0"/>
              <w:autoSpaceDN w:val="0"/>
              <w:adjustRightInd w:val="0"/>
              <w:rPr>
                <w:sz w:val="16"/>
                <w:szCs w:val="16"/>
                <w:highlight w:val="cyan"/>
              </w:rPr>
            </w:pPr>
            <w:r w:rsidRPr="00F076D7">
              <w:rPr>
                <w:sz w:val="16"/>
                <w:szCs w:val="16"/>
              </w:rPr>
              <w:t>Faciliter l’échange d’idées et de meilleures pratiques sur l’utilisation du système international de propriété intellectuelle à l’intention des déposants et des offices nationaux.</w:t>
            </w:r>
          </w:p>
        </w:tc>
      </w:tr>
      <w:tr w:rsidR="00767EC2" w:rsidRPr="00F076D7" w14:paraId="3D5BD98D" w14:textId="77777777" w:rsidTr="00A83D07">
        <w:trPr>
          <w:cantSplit/>
        </w:trPr>
        <w:tc>
          <w:tcPr>
            <w:tcW w:w="1920" w:type="dxa"/>
          </w:tcPr>
          <w:p w14:paraId="6E419DBB" w14:textId="77777777" w:rsidR="00767EC2" w:rsidRPr="00F076D7" w:rsidRDefault="00767EC2" w:rsidP="00A83D07">
            <w:pPr>
              <w:autoSpaceDE w:val="0"/>
              <w:autoSpaceDN w:val="0"/>
              <w:adjustRightInd w:val="0"/>
              <w:rPr>
                <w:sz w:val="16"/>
                <w:szCs w:val="16"/>
              </w:rPr>
            </w:pPr>
            <w:r w:rsidRPr="00F076D7">
              <w:rPr>
                <w:sz w:val="16"/>
                <w:szCs w:val="16"/>
              </w:rPr>
              <w:t>Séminaire régional pour la promotion de l’utilisation de la propriété industrielle par les PME : (Formation des entrepreneurs du futur/potentiels)</w:t>
            </w:r>
          </w:p>
        </w:tc>
        <w:tc>
          <w:tcPr>
            <w:tcW w:w="1225" w:type="dxa"/>
            <w:shd w:val="clear" w:color="auto" w:fill="auto"/>
            <w:tcMar>
              <w:top w:w="57" w:type="dxa"/>
            </w:tcMar>
          </w:tcPr>
          <w:p w14:paraId="664CFB47" w14:textId="77777777" w:rsidR="00767EC2" w:rsidRPr="00F076D7" w:rsidRDefault="00767EC2" w:rsidP="00A83D07">
            <w:pPr>
              <w:autoSpaceDE w:val="0"/>
              <w:autoSpaceDN w:val="0"/>
              <w:adjustRightInd w:val="0"/>
              <w:rPr>
                <w:sz w:val="16"/>
                <w:szCs w:val="16"/>
              </w:rPr>
            </w:pPr>
            <w:r w:rsidRPr="00F076D7">
              <w:rPr>
                <w:sz w:val="16"/>
                <w:szCs w:val="16"/>
              </w:rPr>
              <w:t>19 et 20 octobre 2016</w:t>
            </w:r>
          </w:p>
        </w:tc>
        <w:tc>
          <w:tcPr>
            <w:tcW w:w="1807" w:type="dxa"/>
            <w:gridSpan w:val="2"/>
            <w:shd w:val="clear" w:color="auto" w:fill="auto"/>
            <w:tcMar>
              <w:top w:w="57" w:type="dxa"/>
            </w:tcMar>
          </w:tcPr>
          <w:p w14:paraId="3250C5A9" w14:textId="77777777" w:rsidR="00767EC2" w:rsidRPr="00F076D7" w:rsidRDefault="00767EC2" w:rsidP="00A83D07">
            <w:pPr>
              <w:autoSpaceDE w:val="0"/>
              <w:autoSpaceDN w:val="0"/>
              <w:adjustRightInd w:val="0"/>
              <w:rPr>
                <w:sz w:val="16"/>
                <w:szCs w:val="16"/>
              </w:rPr>
            </w:pPr>
            <w:r w:rsidRPr="00F076D7">
              <w:rPr>
                <w:sz w:val="16"/>
                <w:szCs w:val="16"/>
              </w:rPr>
              <w:t>Ville de Mexico/ Tous les pays d’Amérique latine</w:t>
            </w:r>
          </w:p>
        </w:tc>
        <w:tc>
          <w:tcPr>
            <w:tcW w:w="4120" w:type="dxa"/>
            <w:shd w:val="clear" w:color="auto" w:fill="FFFFFF"/>
            <w:tcMar>
              <w:top w:w="57" w:type="dxa"/>
            </w:tcMar>
          </w:tcPr>
          <w:p w14:paraId="5FBBA954" w14:textId="77777777" w:rsidR="00767EC2" w:rsidRPr="00F076D7" w:rsidRDefault="00767EC2" w:rsidP="00A83D07">
            <w:pPr>
              <w:autoSpaceDE w:val="0"/>
              <w:autoSpaceDN w:val="0"/>
              <w:adjustRightInd w:val="0"/>
              <w:rPr>
                <w:sz w:val="16"/>
                <w:szCs w:val="16"/>
              </w:rPr>
            </w:pPr>
            <w:r w:rsidRPr="00F076D7">
              <w:rPr>
                <w:sz w:val="16"/>
                <w:szCs w:val="16"/>
              </w:rPr>
              <w:t>Accompagner les offices de propriété intellectuelle, qui s’efforcent de créer des services et des programmes qui visent à aider les PME à utiliser le système de propriété intellectuelle.</w:t>
            </w:r>
          </w:p>
        </w:tc>
      </w:tr>
      <w:tr w:rsidR="00767EC2" w:rsidRPr="00F076D7" w14:paraId="1147F104" w14:textId="77777777" w:rsidTr="00A83D07">
        <w:trPr>
          <w:cantSplit/>
        </w:trPr>
        <w:tc>
          <w:tcPr>
            <w:tcW w:w="1920" w:type="dxa"/>
          </w:tcPr>
          <w:p w14:paraId="07B5CE7E" w14:textId="77777777" w:rsidR="00767EC2" w:rsidRPr="00F076D7" w:rsidRDefault="00767EC2" w:rsidP="00A83D07">
            <w:pPr>
              <w:autoSpaceDE w:val="0"/>
              <w:autoSpaceDN w:val="0"/>
              <w:adjustRightInd w:val="0"/>
              <w:rPr>
                <w:sz w:val="16"/>
                <w:szCs w:val="16"/>
              </w:rPr>
            </w:pPr>
            <w:r w:rsidRPr="00F076D7">
              <w:rPr>
                <w:sz w:val="16"/>
                <w:szCs w:val="16"/>
              </w:rPr>
              <w:t>Journée de sensibilisation organisée avec la Chambre de commerce d’Espagne au Mexique, en coopération avec l’Office espagnol des brevets et des marques (OEPM) et</w:t>
            </w:r>
            <w:r w:rsidRPr="00F076D7">
              <w:rPr>
                <w:rFonts w:cs="Times New Roman"/>
                <w:sz w:val="16"/>
                <w:szCs w:val="16"/>
              </w:rPr>
              <w:t xml:space="preserve"> l’Institut mexicain de la propriété industrielle (IMPI)</w:t>
            </w:r>
            <w:r w:rsidRPr="00F076D7">
              <w:rPr>
                <w:sz w:val="16"/>
                <w:szCs w:val="16"/>
              </w:rPr>
              <w:t>, avec l’appui de l’OMPI</w:t>
            </w:r>
          </w:p>
        </w:tc>
        <w:tc>
          <w:tcPr>
            <w:tcW w:w="1225" w:type="dxa"/>
            <w:shd w:val="clear" w:color="auto" w:fill="auto"/>
            <w:tcMar>
              <w:top w:w="57" w:type="dxa"/>
            </w:tcMar>
          </w:tcPr>
          <w:p w14:paraId="64BF6A33" w14:textId="77777777" w:rsidR="00767EC2" w:rsidRPr="00F076D7" w:rsidRDefault="00767EC2" w:rsidP="00A83D07">
            <w:pPr>
              <w:autoSpaceDE w:val="0"/>
              <w:autoSpaceDN w:val="0"/>
              <w:adjustRightInd w:val="0"/>
              <w:rPr>
                <w:sz w:val="16"/>
                <w:szCs w:val="16"/>
              </w:rPr>
            </w:pPr>
            <w:r w:rsidRPr="00F076D7">
              <w:rPr>
                <w:sz w:val="16"/>
                <w:szCs w:val="16"/>
              </w:rPr>
              <w:t>21 octobre 2016</w:t>
            </w:r>
          </w:p>
        </w:tc>
        <w:tc>
          <w:tcPr>
            <w:tcW w:w="1807" w:type="dxa"/>
            <w:gridSpan w:val="2"/>
            <w:shd w:val="clear" w:color="auto" w:fill="auto"/>
            <w:tcMar>
              <w:top w:w="57" w:type="dxa"/>
            </w:tcMar>
          </w:tcPr>
          <w:p w14:paraId="1E5A09BC" w14:textId="77777777" w:rsidR="00767EC2" w:rsidRPr="00F076D7" w:rsidRDefault="00767EC2" w:rsidP="00A83D07">
            <w:pPr>
              <w:autoSpaceDE w:val="0"/>
              <w:autoSpaceDN w:val="0"/>
              <w:adjustRightInd w:val="0"/>
              <w:rPr>
                <w:sz w:val="16"/>
                <w:szCs w:val="16"/>
              </w:rPr>
            </w:pPr>
            <w:r w:rsidRPr="00F076D7">
              <w:rPr>
                <w:sz w:val="16"/>
                <w:szCs w:val="16"/>
              </w:rPr>
              <w:t>Ville de Mexico/ Tous les pays d’Amérique latine</w:t>
            </w:r>
          </w:p>
        </w:tc>
        <w:tc>
          <w:tcPr>
            <w:tcW w:w="4120" w:type="dxa"/>
            <w:shd w:val="clear" w:color="auto" w:fill="FFFFFF"/>
            <w:tcMar>
              <w:top w:w="57" w:type="dxa"/>
            </w:tcMar>
          </w:tcPr>
          <w:p w14:paraId="7F3437A7" w14:textId="77777777" w:rsidR="00767EC2" w:rsidRPr="00F076D7" w:rsidRDefault="00767EC2" w:rsidP="00A83D07">
            <w:pPr>
              <w:autoSpaceDE w:val="0"/>
              <w:autoSpaceDN w:val="0"/>
              <w:adjustRightInd w:val="0"/>
              <w:rPr>
                <w:sz w:val="16"/>
                <w:szCs w:val="16"/>
                <w:highlight w:val="cyan"/>
              </w:rPr>
            </w:pPr>
            <w:r w:rsidRPr="00F076D7">
              <w:rPr>
                <w:sz w:val="16"/>
                <w:szCs w:val="16"/>
              </w:rPr>
              <w:t>Traiter la question de la pertinence de la protection de la propriété intellectuelle et de la gestion de la propriété intellectuelle pour la compétitivité industrielle du secteur privé.</w:t>
            </w:r>
          </w:p>
        </w:tc>
      </w:tr>
      <w:tr w:rsidR="00767EC2" w:rsidRPr="00F076D7" w14:paraId="0116A682" w14:textId="77777777" w:rsidTr="00A83D07">
        <w:trPr>
          <w:cantSplit/>
        </w:trPr>
        <w:tc>
          <w:tcPr>
            <w:tcW w:w="1920" w:type="dxa"/>
          </w:tcPr>
          <w:p w14:paraId="0FF5D6C9" w14:textId="77777777" w:rsidR="00767EC2" w:rsidRPr="00F076D7" w:rsidRDefault="00767EC2" w:rsidP="00A83D07">
            <w:pPr>
              <w:autoSpaceDE w:val="0"/>
              <w:autoSpaceDN w:val="0"/>
              <w:adjustRightInd w:val="0"/>
              <w:rPr>
                <w:b/>
                <w:sz w:val="16"/>
                <w:szCs w:val="16"/>
              </w:rPr>
            </w:pPr>
            <w:r w:rsidRPr="00F076D7">
              <w:rPr>
                <w:sz w:val="16"/>
                <w:szCs w:val="16"/>
              </w:rPr>
              <w:t>Quinzième séminaire régional OMPI/AECID/OEPM sur la propriété intellectuelle à l’intention des juges et des procureurs des pays d’Amérique latine</w:t>
            </w:r>
          </w:p>
        </w:tc>
        <w:tc>
          <w:tcPr>
            <w:tcW w:w="1225" w:type="dxa"/>
            <w:shd w:val="clear" w:color="auto" w:fill="auto"/>
            <w:tcMar>
              <w:top w:w="57" w:type="dxa"/>
            </w:tcMar>
          </w:tcPr>
          <w:p w14:paraId="653D9690" w14:textId="77777777" w:rsidR="00767EC2" w:rsidRPr="00F076D7" w:rsidRDefault="00767EC2" w:rsidP="00A83D07">
            <w:pPr>
              <w:autoSpaceDE w:val="0"/>
              <w:autoSpaceDN w:val="0"/>
              <w:adjustRightInd w:val="0"/>
              <w:rPr>
                <w:sz w:val="16"/>
                <w:szCs w:val="16"/>
              </w:rPr>
            </w:pPr>
            <w:r w:rsidRPr="00F076D7">
              <w:rPr>
                <w:sz w:val="16"/>
                <w:szCs w:val="16"/>
              </w:rPr>
              <w:t>16 – 20 mai 2016</w:t>
            </w:r>
          </w:p>
        </w:tc>
        <w:tc>
          <w:tcPr>
            <w:tcW w:w="1807" w:type="dxa"/>
            <w:gridSpan w:val="2"/>
            <w:shd w:val="clear" w:color="auto" w:fill="auto"/>
            <w:tcMar>
              <w:top w:w="57" w:type="dxa"/>
            </w:tcMar>
          </w:tcPr>
          <w:p w14:paraId="06C5FF56" w14:textId="77777777" w:rsidR="00767EC2" w:rsidRPr="00F076D7" w:rsidRDefault="00767EC2" w:rsidP="00A83D07">
            <w:pPr>
              <w:keepNext/>
              <w:keepLines/>
              <w:autoSpaceDE w:val="0"/>
              <w:autoSpaceDN w:val="0"/>
              <w:adjustRightInd w:val="0"/>
              <w:rPr>
                <w:sz w:val="16"/>
                <w:szCs w:val="16"/>
              </w:rPr>
            </w:pPr>
            <w:r w:rsidRPr="00F076D7">
              <w:rPr>
                <w:sz w:val="16"/>
                <w:szCs w:val="16"/>
              </w:rPr>
              <w:t xml:space="preserve">Brésil/ Tribunal de </w:t>
            </w:r>
            <w:proofErr w:type="spellStart"/>
            <w:r w:rsidRPr="00F076D7">
              <w:rPr>
                <w:sz w:val="16"/>
                <w:szCs w:val="16"/>
              </w:rPr>
              <w:t>Justicia</w:t>
            </w:r>
            <w:proofErr w:type="spellEnd"/>
            <w:r w:rsidRPr="00F076D7">
              <w:rPr>
                <w:sz w:val="16"/>
                <w:szCs w:val="16"/>
              </w:rPr>
              <w:t xml:space="preserve"> de la </w:t>
            </w:r>
            <w:proofErr w:type="spellStart"/>
            <w:r w:rsidRPr="00F076D7">
              <w:rPr>
                <w:sz w:val="16"/>
                <w:szCs w:val="16"/>
              </w:rPr>
              <w:t>Comunidad</w:t>
            </w:r>
            <w:proofErr w:type="spellEnd"/>
            <w:r w:rsidRPr="00F076D7">
              <w:rPr>
                <w:sz w:val="16"/>
                <w:szCs w:val="16"/>
              </w:rPr>
              <w:t xml:space="preserve"> </w:t>
            </w:r>
            <w:proofErr w:type="spellStart"/>
            <w:r w:rsidRPr="00F076D7">
              <w:rPr>
                <w:sz w:val="16"/>
                <w:szCs w:val="16"/>
              </w:rPr>
              <w:t>Andina</w:t>
            </w:r>
            <w:proofErr w:type="spellEnd"/>
            <w:r w:rsidRPr="00F076D7">
              <w:rPr>
                <w:sz w:val="16"/>
                <w:szCs w:val="16"/>
              </w:rPr>
              <w:t xml:space="preserve"> (TJCA)/ Tous les pays d’Amérique latine</w:t>
            </w:r>
            <w:r w:rsidRPr="00F076D7" w:rsidDel="00D0183D">
              <w:rPr>
                <w:sz w:val="16"/>
                <w:szCs w:val="16"/>
              </w:rPr>
              <w:t xml:space="preserve"> </w:t>
            </w:r>
          </w:p>
        </w:tc>
        <w:tc>
          <w:tcPr>
            <w:tcW w:w="4120" w:type="dxa"/>
            <w:shd w:val="clear" w:color="auto" w:fill="FFFFFF"/>
            <w:tcMar>
              <w:top w:w="57" w:type="dxa"/>
            </w:tcMar>
          </w:tcPr>
          <w:p w14:paraId="74E144BB" w14:textId="77777777" w:rsidR="00767EC2" w:rsidRPr="00F076D7" w:rsidRDefault="00767EC2" w:rsidP="00A83D07">
            <w:pPr>
              <w:autoSpaceDE w:val="0"/>
              <w:autoSpaceDN w:val="0"/>
              <w:adjustRightInd w:val="0"/>
              <w:rPr>
                <w:b/>
                <w:sz w:val="16"/>
                <w:szCs w:val="16"/>
                <w:highlight w:val="cyan"/>
              </w:rPr>
            </w:pPr>
            <w:r w:rsidRPr="00F076D7">
              <w:rPr>
                <w:sz w:val="16"/>
                <w:szCs w:val="16"/>
              </w:rPr>
              <w:t>i) Permettre aux juges et procureurs latino</w:t>
            </w:r>
            <w:r w:rsidRPr="00F076D7">
              <w:rPr>
                <w:sz w:val="16"/>
                <w:szCs w:val="16"/>
              </w:rPr>
              <w:noBreakHyphen/>
              <w:t>américains de mieux appréhender le système de propriété intellectuelle;  ii) faciliter l’identification d’intérêts communs afin de permettre la soumission d’idées et de propositions;  iii) améliorer la qualité des décisions judiciaires et des interprétations juridiques.</w:t>
            </w:r>
          </w:p>
        </w:tc>
      </w:tr>
      <w:tr w:rsidR="00767EC2" w:rsidRPr="00F076D7" w14:paraId="4CEFA28F" w14:textId="77777777" w:rsidTr="00A83D07">
        <w:trPr>
          <w:cantSplit/>
        </w:trPr>
        <w:tc>
          <w:tcPr>
            <w:tcW w:w="1920" w:type="dxa"/>
          </w:tcPr>
          <w:p w14:paraId="5CFE8458" w14:textId="77777777" w:rsidR="00767EC2" w:rsidRPr="00F076D7" w:rsidRDefault="00767EC2" w:rsidP="00A83D07">
            <w:pPr>
              <w:autoSpaceDE w:val="0"/>
              <w:autoSpaceDN w:val="0"/>
              <w:adjustRightInd w:val="0"/>
              <w:rPr>
                <w:sz w:val="16"/>
                <w:szCs w:val="16"/>
                <w:highlight w:val="cyan"/>
              </w:rPr>
            </w:pPr>
            <w:r w:rsidRPr="00F076D7">
              <w:rPr>
                <w:sz w:val="16"/>
                <w:szCs w:val="16"/>
              </w:rPr>
              <w:t>Participation d’un expert espagnol au séminaire régional sur le Traité de Singapour sur le droit des marques (STLT)</w:t>
            </w:r>
          </w:p>
        </w:tc>
        <w:tc>
          <w:tcPr>
            <w:tcW w:w="1225" w:type="dxa"/>
            <w:shd w:val="clear" w:color="auto" w:fill="auto"/>
            <w:tcMar>
              <w:top w:w="57" w:type="dxa"/>
            </w:tcMar>
          </w:tcPr>
          <w:p w14:paraId="2B2809E0" w14:textId="77777777" w:rsidR="00767EC2" w:rsidRPr="00F076D7" w:rsidRDefault="00767EC2" w:rsidP="00A83D07">
            <w:pPr>
              <w:autoSpaceDE w:val="0"/>
              <w:autoSpaceDN w:val="0"/>
              <w:adjustRightInd w:val="0"/>
              <w:rPr>
                <w:sz w:val="16"/>
                <w:szCs w:val="16"/>
              </w:rPr>
            </w:pPr>
            <w:r w:rsidRPr="00F076D7">
              <w:rPr>
                <w:sz w:val="16"/>
                <w:szCs w:val="16"/>
              </w:rPr>
              <w:t>6 et 7 septembre 2016</w:t>
            </w:r>
          </w:p>
        </w:tc>
        <w:tc>
          <w:tcPr>
            <w:tcW w:w="1807" w:type="dxa"/>
            <w:gridSpan w:val="2"/>
            <w:shd w:val="clear" w:color="auto" w:fill="auto"/>
            <w:tcMar>
              <w:top w:w="57" w:type="dxa"/>
            </w:tcMar>
          </w:tcPr>
          <w:p w14:paraId="3A0F9684" w14:textId="77777777" w:rsidR="00767EC2" w:rsidRPr="00F076D7" w:rsidDel="000303CA" w:rsidRDefault="00767EC2" w:rsidP="00A83D07">
            <w:pPr>
              <w:keepNext/>
              <w:keepLines/>
              <w:autoSpaceDE w:val="0"/>
              <w:autoSpaceDN w:val="0"/>
              <w:adjustRightInd w:val="0"/>
              <w:rPr>
                <w:sz w:val="16"/>
                <w:szCs w:val="16"/>
              </w:rPr>
            </w:pPr>
            <w:r w:rsidRPr="00F076D7">
              <w:rPr>
                <w:sz w:val="16"/>
                <w:szCs w:val="16"/>
              </w:rPr>
              <w:t>Chili/ Tous les pays d’Amérique latine</w:t>
            </w:r>
          </w:p>
        </w:tc>
        <w:tc>
          <w:tcPr>
            <w:tcW w:w="4120" w:type="dxa"/>
            <w:shd w:val="clear" w:color="auto" w:fill="FFFFFF"/>
            <w:tcMar>
              <w:top w:w="57" w:type="dxa"/>
            </w:tcMar>
          </w:tcPr>
          <w:p w14:paraId="030E0C04" w14:textId="77777777" w:rsidR="00767EC2" w:rsidRPr="00F076D7" w:rsidDel="000303CA" w:rsidRDefault="00767EC2" w:rsidP="00A83D07">
            <w:pPr>
              <w:autoSpaceDE w:val="0"/>
              <w:autoSpaceDN w:val="0"/>
              <w:adjustRightInd w:val="0"/>
              <w:rPr>
                <w:sz w:val="16"/>
                <w:szCs w:val="16"/>
                <w:highlight w:val="cyan"/>
              </w:rPr>
            </w:pPr>
            <w:r w:rsidRPr="00F076D7">
              <w:rPr>
                <w:sz w:val="16"/>
                <w:szCs w:val="16"/>
              </w:rPr>
              <w:t>Procéder à un échange d’expériences et d’idées sur l’utilisation et l’application du STLT en Espagne.</w:t>
            </w:r>
          </w:p>
        </w:tc>
      </w:tr>
      <w:tr w:rsidR="00767EC2" w:rsidRPr="00F076D7" w14:paraId="692060A3" w14:textId="77777777" w:rsidTr="00A83D07">
        <w:trPr>
          <w:cantSplit/>
        </w:trPr>
        <w:tc>
          <w:tcPr>
            <w:tcW w:w="1920" w:type="dxa"/>
          </w:tcPr>
          <w:p w14:paraId="203C2F21" w14:textId="77777777" w:rsidR="00767EC2" w:rsidRPr="00F076D7" w:rsidRDefault="00767EC2" w:rsidP="00A83D07">
            <w:pPr>
              <w:autoSpaceDE w:val="0"/>
              <w:autoSpaceDN w:val="0"/>
              <w:adjustRightInd w:val="0"/>
              <w:rPr>
                <w:sz w:val="16"/>
                <w:szCs w:val="16"/>
              </w:rPr>
            </w:pPr>
            <w:r w:rsidRPr="00F076D7">
              <w:rPr>
                <w:sz w:val="16"/>
                <w:szCs w:val="16"/>
              </w:rPr>
              <w:t xml:space="preserve">Projet de sensibilisation </w:t>
            </w:r>
          </w:p>
        </w:tc>
        <w:tc>
          <w:tcPr>
            <w:tcW w:w="1225" w:type="dxa"/>
            <w:shd w:val="clear" w:color="auto" w:fill="auto"/>
            <w:tcMar>
              <w:top w:w="57" w:type="dxa"/>
            </w:tcMar>
          </w:tcPr>
          <w:p w14:paraId="3FE8D40A" w14:textId="77777777" w:rsidR="00767EC2" w:rsidRPr="00F076D7" w:rsidRDefault="00767EC2" w:rsidP="00A83D07">
            <w:pPr>
              <w:keepNext/>
              <w:keepLines/>
              <w:autoSpaceDE w:val="0"/>
              <w:autoSpaceDN w:val="0"/>
              <w:adjustRightInd w:val="0"/>
              <w:rPr>
                <w:sz w:val="16"/>
                <w:szCs w:val="16"/>
              </w:rPr>
            </w:pPr>
            <w:r w:rsidRPr="00F076D7">
              <w:rPr>
                <w:sz w:val="16"/>
                <w:szCs w:val="16"/>
              </w:rPr>
              <w:t>Mars 2016</w:t>
            </w:r>
          </w:p>
          <w:p w14:paraId="621B4F4F"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1807" w:type="dxa"/>
            <w:gridSpan w:val="2"/>
            <w:shd w:val="clear" w:color="auto" w:fill="auto"/>
            <w:tcMar>
              <w:top w:w="57" w:type="dxa"/>
            </w:tcMar>
          </w:tcPr>
          <w:p w14:paraId="4CBE7512" w14:textId="77777777" w:rsidR="00767EC2" w:rsidRPr="00F076D7" w:rsidDel="000303CA" w:rsidRDefault="00767EC2" w:rsidP="00A83D07">
            <w:pPr>
              <w:keepNext/>
              <w:keepLines/>
              <w:autoSpaceDE w:val="0"/>
              <w:autoSpaceDN w:val="0"/>
              <w:adjustRightInd w:val="0"/>
              <w:rPr>
                <w:sz w:val="16"/>
                <w:szCs w:val="16"/>
              </w:rPr>
            </w:pPr>
            <w:r w:rsidRPr="00F076D7">
              <w:rPr>
                <w:sz w:val="16"/>
                <w:szCs w:val="16"/>
              </w:rPr>
              <w:t>Tous les pays ibéro</w:t>
            </w:r>
            <w:r w:rsidRPr="00F076D7">
              <w:rPr>
                <w:sz w:val="16"/>
                <w:szCs w:val="16"/>
              </w:rPr>
              <w:noBreakHyphen/>
              <w:t>américains</w:t>
            </w:r>
          </w:p>
        </w:tc>
        <w:tc>
          <w:tcPr>
            <w:tcW w:w="4120" w:type="dxa"/>
            <w:shd w:val="clear" w:color="auto" w:fill="FFFFFF"/>
            <w:tcMar>
              <w:top w:w="57" w:type="dxa"/>
            </w:tcMar>
          </w:tcPr>
          <w:p w14:paraId="419E188B" w14:textId="77777777" w:rsidR="00767EC2" w:rsidRPr="00F076D7" w:rsidDel="000303CA" w:rsidRDefault="00767EC2" w:rsidP="00A83D07">
            <w:pPr>
              <w:autoSpaceDE w:val="0"/>
              <w:autoSpaceDN w:val="0"/>
              <w:adjustRightInd w:val="0"/>
              <w:rPr>
                <w:sz w:val="16"/>
                <w:szCs w:val="16"/>
              </w:rPr>
            </w:pPr>
            <w:r w:rsidRPr="00F076D7">
              <w:rPr>
                <w:sz w:val="16"/>
                <w:szCs w:val="16"/>
              </w:rPr>
              <w:t>Produire un jeu vidéo éducatif visant à sensibiliser les adolescents à la propriété intellectuelle</w:t>
            </w:r>
          </w:p>
        </w:tc>
      </w:tr>
      <w:tr w:rsidR="00767EC2" w:rsidRPr="00F076D7" w14:paraId="6BA7DAE7" w14:textId="77777777" w:rsidTr="00A83D07">
        <w:trPr>
          <w:cantSplit/>
        </w:trPr>
        <w:tc>
          <w:tcPr>
            <w:tcW w:w="1920" w:type="dxa"/>
          </w:tcPr>
          <w:p w14:paraId="1A284CBF" w14:textId="77777777" w:rsidR="00767EC2" w:rsidRPr="00F076D7" w:rsidRDefault="00767EC2" w:rsidP="00A83D07">
            <w:pPr>
              <w:autoSpaceDE w:val="0"/>
              <w:autoSpaceDN w:val="0"/>
              <w:adjustRightInd w:val="0"/>
              <w:rPr>
                <w:sz w:val="16"/>
                <w:szCs w:val="16"/>
              </w:rPr>
            </w:pPr>
            <w:r w:rsidRPr="00F076D7">
              <w:rPr>
                <w:sz w:val="16"/>
                <w:szCs w:val="16"/>
              </w:rPr>
              <w:t xml:space="preserve">Atelier régional de formation des formateurs à la rédaction de brevets, organisé conjointement par l’OMPI, l’OEPM et l’AECID </w:t>
            </w:r>
          </w:p>
        </w:tc>
        <w:tc>
          <w:tcPr>
            <w:tcW w:w="1225" w:type="dxa"/>
            <w:shd w:val="clear" w:color="auto" w:fill="auto"/>
            <w:tcMar>
              <w:top w:w="57" w:type="dxa"/>
            </w:tcMar>
          </w:tcPr>
          <w:p w14:paraId="1714F4B6" w14:textId="77777777" w:rsidR="00767EC2" w:rsidRPr="00F076D7" w:rsidRDefault="00767EC2" w:rsidP="00A83D07">
            <w:pPr>
              <w:autoSpaceDE w:val="0"/>
              <w:autoSpaceDN w:val="0"/>
              <w:adjustRightInd w:val="0"/>
              <w:rPr>
                <w:sz w:val="16"/>
                <w:szCs w:val="16"/>
              </w:rPr>
            </w:pPr>
            <w:r w:rsidRPr="00F076D7">
              <w:rPr>
                <w:sz w:val="16"/>
                <w:szCs w:val="16"/>
              </w:rPr>
              <w:t>11 – 15 avril 2016</w:t>
            </w:r>
          </w:p>
          <w:p w14:paraId="19FC9BDF"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1807" w:type="dxa"/>
            <w:gridSpan w:val="2"/>
            <w:shd w:val="clear" w:color="auto" w:fill="auto"/>
            <w:tcMar>
              <w:top w:w="57" w:type="dxa"/>
            </w:tcMar>
          </w:tcPr>
          <w:p w14:paraId="0AF484DE" w14:textId="77777777" w:rsidR="00767EC2" w:rsidRPr="00F076D7" w:rsidDel="000303CA" w:rsidRDefault="00767EC2" w:rsidP="00A83D07">
            <w:pPr>
              <w:keepNext/>
              <w:keepLines/>
              <w:autoSpaceDE w:val="0"/>
              <w:autoSpaceDN w:val="0"/>
              <w:adjustRightInd w:val="0"/>
              <w:rPr>
                <w:sz w:val="16"/>
                <w:szCs w:val="16"/>
              </w:rPr>
            </w:pPr>
            <w:r w:rsidRPr="00F076D7">
              <w:rPr>
                <w:sz w:val="16"/>
                <w:szCs w:val="16"/>
              </w:rPr>
              <w:t>Colombie/ Tous les pays d’Amérique latine</w:t>
            </w:r>
          </w:p>
        </w:tc>
        <w:tc>
          <w:tcPr>
            <w:tcW w:w="4120" w:type="dxa"/>
            <w:shd w:val="clear" w:color="auto" w:fill="FFFFFF"/>
            <w:tcMar>
              <w:top w:w="57" w:type="dxa"/>
            </w:tcMar>
          </w:tcPr>
          <w:p w14:paraId="6199FDBB" w14:textId="77777777" w:rsidR="00767EC2" w:rsidRPr="00F076D7" w:rsidDel="000303CA" w:rsidRDefault="00767EC2" w:rsidP="00A83D07">
            <w:pPr>
              <w:autoSpaceDE w:val="0"/>
              <w:autoSpaceDN w:val="0"/>
              <w:adjustRightInd w:val="0"/>
              <w:rPr>
                <w:sz w:val="16"/>
                <w:szCs w:val="16"/>
                <w:highlight w:val="cyan"/>
              </w:rPr>
            </w:pPr>
            <w:r w:rsidRPr="00F076D7">
              <w:rPr>
                <w:sz w:val="16"/>
                <w:szCs w:val="16"/>
              </w:rPr>
              <w:t>Évaluer les compétences en vue de l’organisation des futurs programmes nationaux de renforcement des capacités des pays d’Amérique latine.</w:t>
            </w:r>
          </w:p>
        </w:tc>
      </w:tr>
      <w:tr w:rsidR="00767EC2" w:rsidRPr="00F076D7" w14:paraId="241577E1" w14:textId="77777777" w:rsidTr="00A83D07">
        <w:trPr>
          <w:cantSplit/>
        </w:trPr>
        <w:tc>
          <w:tcPr>
            <w:tcW w:w="9072" w:type="dxa"/>
            <w:gridSpan w:val="5"/>
            <w:shd w:val="clear" w:color="auto" w:fill="C6D9F1"/>
            <w:vAlign w:val="center"/>
          </w:tcPr>
          <w:p w14:paraId="2185C64F" w14:textId="77777777" w:rsidR="00767EC2" w:rsidRPr="00F076D7" w:rsidRDefault="00767EC2" w:rsidP="00A83D07">
            <w:pPr>
              <w:tabs>
                <w:tab w:val="left" w:pos="1740"/>
              </w:tabs>
              <w:rPr>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III.4 Mécanismes et programmes de coopération renforcés, adaptés aux besoins des pays en développement, des PMA et des pays en transition</w:t>
            </w:r>
          </w:p>
        </w:tc>
      </w:tr>
      <w:tr w:rsidR="00767EC2" w:rsidRPr="00F076D7" w14:paraId="037A371E" w14:textId="77777777" w:rsidTr="00A83D07">
        <w:trPr>
          <w:cantSplit/>
        </w:trPr>
        <w:tc>
          <w:tcPr>
            <w:tcW w:w="1920" w:type="dxa"/>
            <w:shd w:val="clear" w:color="auto" w:fill="auto"/>
          </w:tcPr>
          <w:p w14:paraId="66A4A889" w14:textId="77777777" w:rsidR="00767EC2" w:rsidRPr="00F076D7" w:rsidRDefault="00767EC2" w:rsidP="00A83D07">
            <w:pPr>
              <w:autoSpaceDE w:val="0"/>
              <w:autoSpaceDN w:val="0"/>
              <w:adjustRightInd w:val="0"/>
              <w:jc w:val="center"/>
              <w:rPr>
                <w:b/>
                <w:sz w:val="16"/>
                <w:szCs w:val="16"/>
              </w:rPr>
            </w:pPr>
            <w:r w:rsidRPr="00F076D7">
              <w:rPr>
                <w:b/>
                <w:sz w:val="16"/>
                <w:szCs w:val="16"/>
              </w:rPr>
              <w:t>Activité</w:t>
            </w:r>
          </w:p>
        </w:tc>
        <w:tc>
          <w:tcPr>
            <w:tcW w:w="1242" w:type="dxa"/>
            <w:gridSpan w:val="2"/>
            <w:shd w:val="clear" w:color="auto" w:fill="auto"/>
            <w:tcMar>
              <w:top w:w="57" w:type="dxa"/>
            </w:tcMar>
          </w:tcPr>
          <w:p w14:paraId="55E279A4" w14:textId="77777777" w:rsidR="00767EC2" w:rsidRPr="00F076D7" w:rsidRDefault="00767EC2" w:rsidP="00A83D07">
            <w:pPr>
              <w:autoSpaceDE w:val="0"/>
              <w:autoSpaceDN w:val="0"/>
              <w:adjustRightInd w:val="0"/>
              <w:jc w:val="center"/>
              <w:rPr>
                <w:b/>
                <w:sz w:val="16"/>
                <w:szCs w:val="16"/>
              </w:rPr>
            </w:pPr>
            <w:r w:rsidRPr="00F076D7">
              <w:rPr>
                <w:b/>
                <w:sz w:val="16"/>
                <w:szCs w:val="16"/>
              </w:rPr>
              <w:t>Date</w:t>
            </w:r>
          </w:p>
        </w:tc>
        <w:tc>
          <w:tcPr>
            <w:tcW w:w="1790" w:type="dxa"/>
            <w:shd w:val="clear" w:color="auto" w:fill="auto"/>
            <w:tcMar>
              <w:top w:w="57" w:type="dxa"/>
            </w:tcMar>
          </w:tcPr>
          <w:p w14:paraId="6C617BAA" w14:textId="77777777" w:rsidR="00767EC2" w:rsidRPr="00F076D7" w:rsidRDefault="00767EC2" w:rsidP="00A83D07">
            <w:pPr>
              <w:autoSpaceDE w:val="0"/>
              <w:autoSpaceDN w:val="0"/>
              <w:adjustRightInd w:val="0"/>
              <w:jc w:val="center"/>
              <w:rPr>
                <w:b/>
                <w:sz w:val="16"/>
                <w:szCs w:val="16"/>
              </w:rPr>
            </w:pPr>
            <w:r w:rsidRPr="00F076D7">
              <w:rPr>
                <w:b/>
                <w:sz w:val="16"/>
                <w:szCs w:val="16"/>
              </w:rPr>
              <w:t>Pays hôte/</w:t>
            </w:r>
            <w:r w:rsidRPr="00F076D7">
              <w:rPr>
                <w:sz w:val="16"/>
                <w:szCs w:val="16"/>
              </w:rPr>
              <w:t xml:space="preserve"> </w:t>
            </w:r>
            <w:r w:rsidRPr="00F076D7">
              <w:rPr>
                <w:b/>
                <w:sz w:val="16"/>
                <w:szCs w:val="16"/>
              </w:rPr>
              <w:t>bénéficiaires</w:t>
            </w:r>
          </w:p>
        </w:tc>
        <w:tc>
          <w:tcPr>
            <w:tcW w:w="4120" w:type="dxa"/>
            <w:shd w:val="clear" w:color="auto" w:fill="auto"/>
            <w:tcMar>
              <w:top w:w="57" w:type="dxa"/>
            </w:tcMar>
          </w:tcPr>
          <w:p w14:paraId="72D228F5" w14:textId="77777777" w:rsidR="00767EC2" w:rsidRPr="00F076D7" w:rsidRDefault="00767EC2" w:rsidP="00A83D07">
            <w:pPr>
              <w:autoSpaceDE w:val="0"/>
              <w:autoSpaceDN w:val="0"/>
              <w:adjustRightInd w:val="0"/>
              <w:jc w:val="center"/>
              <w:rPr>
                <w:b/>
                <w:sz w:val="16"/>
                <w:szCs w:val="16"/>
              </w:rPr>
            </w:pPr>
            <w:r w:rsidRPr="00F076D7">
              <w:rPr>
                <w:b/>
                <w:sz w:val="16"/>
                <w:szCs w:val="16"/>
              </w:rPr>
              <w:t>Objectif(s)/description(s)</w:t>
            </w:r>
          </w:p>
        </w:tc>
      </w:tr>
      <w:tr w:rsidR="00767EC2" w:rsidRPr="00F076D7" w14:paraId="45E87AD7" w14:textId="77777777" w:rsidTr="00A83D07">
        <w:trPr>
          <w:cantSplit/>
        </w:trPr>
        <w:tc>
          <w:tcPr>
            <w:tcW w:w="1920" w:type="dxa"/>
          </w:tcPr>
          <w:p w14:paraId="02A133F9" w14:textId="77777777" w:rsidR="00767EC2" w:rsidRPr="00F076D7" w:rsidRDefault="00767EC2" w:rsidP="00A83D07">
            <w:pPr>
              <w:autoSpaceDE w:val="0"/>
              <w:autoSpaceDN w:val="0"/>
              <w:adjustRightInd w:val="0"/>
              <w:rPr>
                <w:sz w:val="16"/>
                <w:szCs w:val="16"/>
                <w:highlight w:val="cyan"/>
              </w:rPr>
            </w:pPr>
            <w:r w:rsidRPr="00F076D7">
              <w:rPr>
                <w:sz w:val="16"/>
                <w:szCs w:val="16"/>
              </w:rPr>
              <w:t>Participation du directeur de l’OEPM</w:t>
            </w:r>
            <w:r w:rsidRPr="00F076D7">
              <w:rPr>
                <w:sz w:val="16"/>
                <w:szCs w:val="16"/>
              </w:rPr>
              <w:br/>
              <w:t xml:space="preserve">à la Réunion régionale des directeurs d’offices de propriété industrielle d’Amérique latine, organisée par l’OMPI </w:t>
            </w:r>
          </w:p>
        </w:tc>
        <w:tc>
          <w:tcPr>
            <w:tcW w:w="1242" w:type="dxa"/>
            <w:gridSpan w:val="2"/>
            <w:shd w:val="clear" w:color="auto" w:fill="auto"/>
            <w:tcMar>
              <w:top w:w="57" w:type="dxa"/>
            </w:tcMar>
          </w:tcPr>
          <w:p w14:paraId="7D53822A" w14:textId="77777777" w:rsidR="00767EC2" w:rsidRPr="00F076D7" w:rsidRDefault="00767EC2" w:rsidP="00A83D07">
            <w:pPr>
              <w:autoSpaceDE w:val="0"/>
              <w:autoSpaceDN w:val="0"/>
              <w:adjustRightInd w:val="0"/>
              <w:rPr>
                <w:sz w:val="16"/>
                <w:szCs w:val="16"/>
              </w:rPr>
            </w:pPr>
            <w:r w:rsidRPr="00F076D7">
              <w:rPr>
                <w:sz w:val="16"/>
                <w:szCs w:val="16"/>
              </w:rPr>
              <w:t>15 et 16 septembre 2016</w:t>
            </w:r>
          </w:p>
        </w:tc>
        <w:tc>
          <w:tcPr>
            <w:tcW w:w="1790" w:type="dxa"/>
            <w:shd w:val="clear" w:color="auto" w:fill="auto"/>
            <w:tcMar>
              <w:top w:w="57" w:type="dxa"/>
            </w:tcMar>
          </w:tcPr>
          <w:p w14:paraId="07B573A2" w14:textId="77777777" w:rsidR="00767EC2" w:rsidRPr="00F076D7" w:rsidRDefault="00767EC2" w:rsidP="00A83D07">
            <w:pPr>
              <w:autoSpaceDE w:val="0"/>
              <w:autoSpaceDN w:val="0"/>
              <w:adjustRightInd w:val="0"/>
              <w:rPr>
                <w:sz w:val="16"/>
                <w:szCs w:val="16"/>
              </w:rPr>
            </w:pPr>
            <w:r w:rsidRPr="00F076D7">
              <w:rPr>
                <w:sz w:val="16"/>
                <w:szCs w:val="16"/>
              </w:rPr>
              <w:t>Colombie/ Tous les pays d’Amérique latine</w:t>
            </w:r>
          </w:p>
        </w:tc>
        <w:tc>
          <w:tcPr>
            <w:tcW w:w="4120" w:type="dxa"/>
            <w:shd w:val="clear" w:color="auto" w:fill="FFFFFF"/>
            <w:tcMar>
              <w:top w:w="57" w:type="dxa"/>
            </w:tcMar>
          </w:tcPr>
          <w:p w14:paraId="5721C752" w14:textId="77777777" w:rsidR="00767EC2" w:rsidRPr="00F076D7" w:rsidRDefault="00767EC2" w:rsidP="00A83D07">
            <w:pPr>
              <w:autoSpaceDE w:val="0"/>
              <w:autoSpaceDN w:val="0"/>
              <w:adjustRightInd w:val="0"/>
              <w:rPr>
                <w:b/>
                <w:sz w:val="16"/>
                <w:szCs w:val="16"/>
                <w:highlight w:val="cyan"/>
              </w:rPr>
            </w:pPr>
            <w:r w:rsidRPr="00F076D7">
              <w:rPr>
                <w:sz w:val="16"/>
                <w:szCs w:val="16"/>
              </w:rPr>
              <w:t>Permettre un échange d’idées et de meilleures pratiques avec les pays d’Amérique latine.</w:t>
            </w:r>
          </w:p>
        </w:tc>
      </w:tr>
      <w:tr w:rsidR="00767EC2" w:rsidRPr="00F076D7" w14:paraId="75C5AE19" w14:textId="77777777" w:rsidTr="00A83D07">
        <w:trPr>
          <w:cantSplit/>
        </w:trPr>
        <w:tc>
          <w:tcPr>
            <w:tcW w:w="1920" w:type="dxa"/>
          </w:tcPr>
          <w:p w14:paraId="02BD7316" w14:textId="77777777" w:rsidR="00767EC2" w:rsidRPr="00F076D7" w:rsidRDefault="00767EC2" w:rsidP="00A83D07">
            <w:pPr>
              <w:autoSpaceDE w:val="0"/>
              <w:autoSpaceDN w:val="0"/>
              <w:adjustRightInd w:val="0"/>
              <w:rPr>
                <w:sz w:val="16"/>
                <w:szCs w:val="16"/>
              </w:rPr>
            </w:pPr>
            <w:r w:rsidRPr="00F076D7">
              <w:rPr>
                <w:sz w:val="16"/>
                <w:szCs w:val="16"/>
              </w:rPr>
              <w:t>Participation du directeur de l’OEPM</w:t>
            </w:r>
            <w:r w:rsidRPr="00F076D7">
              <w:rPr>
                <w:sz w:val="16"/>
                <w:szCs w:val="16"/>
              </w:rPr>
              <w:br/>
              <w:t>à la Réunion régionale des directeurs d’offices de propriété industrielle et d’offices de promotion des exportations d’Amérique latine, organisée par l’OMPI</w:t>
            </w:r>
          </w:p>
        </w:tc>
        <w:tc>
          <w:tcPr>
            <w:tcW w:w="1242" w:type="dxa"/>
            <w:gridSpan w:val="2"/>
            <w:shd w:val="clear" w:color="auto" w:fill="auto"/>
            <w:tcMar>
              <w:top w:w="57" w:type="dxa"/>
            </w:tcMar>
          </w:tcPr>
          <w:p w14:paraId="38F4B276" w14:textId="77777777" w:rsidR="00767EC2" w:rsidRPr="00F076D7" w:rsidRDefault="00767EC2" w:rsidP="00A83D07">
            <w:pPr>
              <w:autoSpaceDE w:val="0"/>
              <w:autoSpaceDN w:val="0"/>
              <w:adjustRightInd w:val="0"/>
              <w:rPr>
                <w:sz w:val="16"/>
                <w:szCs w:val="16"/>
              </w:rPr>
            </w:pPr>
            <w:r w:rsidRPr="00F076D7">
              <w:rPr>
                <w:sz w:val="16"/>
                <w:szCs w:val="16"/>
              </w:rPr>
              <w:t>14 et 15 septembre 2016</w:t>
            </w:r>
          </w:p>
        </w:tc>
        <w:tc>
          <w:tcPr>
            <w:tcW w:w="1790" w:type="dxa"/>
            <w:shd w:val="clear" w:color="auto" w:fill="auto"/>
            <w:tcMar>
              <w:top w:w="57" w:type="dxa"/>
            </w:tcMar>
          </w:tcPr>
          <w:p w14:paraId="1E6F3DCD" w14:textId="77777777" w:rsidR="00767EC2" w:rsidRPr="00F076D7" w:rsidRDefault="00767EC2" w:rsidP="00A83D07">
            <w:pPr>
              <w:autoSpaceDE w:val="0"/>
              <w:autoSpaceDN w:val="0"/>
              <w:adjustRightInd w:val="0"/>
              <w:rPr>
                <w:sz w:val="16"/>
                <w:szCs w:val="16"/>
              </w:rPr>
            </w:pPr>
            <w:r w:rsidRPr="00F076D7">
              <w:rPr>
                <w:sz w:val="16"/>
                <w:szCs w:val="16"/>
              </w:rPr>
              <w:t>Colombie/ Tous les pays d’Amérique latine</w:t>
            </w:r>
          </w:p>
        </w:tc>
        <w:tc>
          <w:tcPr>
            <w:tcW w:w="4120" w:type="dxa"/>
            <w:shd w:val="clear" w:color="auto" w:fill="FFFFFF"/>
            <w:tcMar>
              <w:top w:w="57" w:type="dxa"/>
            </w:tcMar>
          </w:tcPr>
          <w:p w14:paraId="2CA29F4A" w14:textId="77777777" w:rsidR="00767EC2" w:rsidRPr="00F076D7" w:rsidRDefault="00767EC2" w:rsidP="00A83D07">
            <w:pPr>
              <w:autoSpaceDE w:val="0"/>
              <w:autoSpaceDN w:val="0"/>
              <w:adjustRightInd w:val="0"/>
              <w:rPr>
                <w:sz w:val="16"/>
                <w:szCs w:val="16"/>
              </w:rPr>
            </w:pPr>
            <w:r w:rsidRPr="00F076D7">
              <w:rPr>
                <w:sz w:val="16"/>
                <w:szCs w:val="16"/>
              </w:rPr>
              <w:t>Faciliter le partage d’informations sur les stratégies visant à encourager les exportateurs à utiliser le système de propriété intellectuelle.</w:t>
            </w:r>
          </w:p>
        </w:tc>
      </w:tr>
      <w:tr w:rsidR="00767EC2" w:rsidRPr="00F076D7" w14:paraId="29243868" w14:textId="77777777" w:rsidTr="00A83D07">
        <w:trPr>
          <w:cantSplit/>
        </w:trPr>
        <w:tc>
          <w:tcPr>
            <w:tcW w:w="9072" w:type="dxa"/>
            <w:gridSpan w:val="5"/>
            <w:shd w:val="clear" w:color="auto" w:fill="C6D9F1"/>
            <w:vAlign w:val="center"/>
          </w:tcPr>
          <w:p w14:paraId="3BB4FB94" w14:textId="77777777" w:rsidR="00767EC2" w:rsidRPr="00F076D7" w:rsidRDefault="00767EC2" w:rsidP="00A83D07">
            <w:pPr>
              <w:keepNext/>
              <w:keepLines/>
              <w:tabs>
                <w:tab w:val="left" w:pos="1740"/>
              </w:tabs>
              <w:rPr>
                <w:b/>
                <w:bCs/>
                <w:sz w:val="16"/>
                <w:szCs w:val="16"/>
              </w:rPr>
            </w:pPr>
            <w:r w:rsidRPr="00F076D7">
              <w:rPr>
                <w:b/>
                <w:bCs/>
                <w:sz w:val="16"/>
                <w:szCs w:val="16"/>
              </w:rPr>
              <w:t>RÉSULTAT </w:t>
            </w:r>
            <w:r>
              <w:rPr>
                <w:b/>
                <w:bCs/>
                <w:sz w:val="16"/>
                <w:szCs w:val="16"/>
              </w:rPr>
              <w:t xml:space="preserve">: </w:t>
            </w:r>
            <w:r w:rsidRPr="00F076D7">
              <w:rPr>
                <w:bCs/>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r>
      <w:tr w:rsidR="00767EC2" w:rsidRPr="00F076D7" w14:paraId="3C35E604" w14:textId="77777777" w:rsidTr="00A83D07">
        <w:trPr>
          <w:cantSplit/>
        </w:trPr>
        <w:tc>
          <w:tcPr>
            <w:tcW w:w="1920" w:type="dxa"/>
            <w:shd w:val="clear" w:color="auto" w:fill="auto"/>
          </w:tcPr>
          <w:p w14:paraId="6D94A6E0"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Activité</w:t>
            </w:r>
          </w:p>
        </w:tc>
        <w:tc>
          <w:tcPr>
            <w:tcW w:w="1242" w:type="dxa"/>
            <w:gridSpan w:val="2"/>
            <w:shd w:val="clear" w:color="auto" w:fill="auto"/>
            <w:tcMar>
              <w:top w:w="57" w:type="dxa"/>
            </w:tcMar>
          </w:tcPr>
          <w:p w14:paraId="7AD2C8F2"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Date</w:t>
            </w:r>
          </w:p>
        </w:tc>
        <w:tc>
          <w:tcPr>
            <w:tcW w:w="1790" w:type="dxa"/>
            <w:shd w:val="clear" w:color="auto" w:fill="auto"/>
            <w:tcMar>
              <w:top w:w="57" w:type="dxa"/>
            </w:tcMar>
          </w:tcPr>
          <w:p w14:paraId="0373E993"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Pays hôte/ bénéficiaires</w:t>
            </w:r>
          </w:p>
        </w:tc>
        <w:tc>
          <w:tcPr>
            <w:tcW w:w="4120" w:type="dxa"/>
            <w:shd w:val="clear" w:color="auto" w:fill="auto"/>
            <w:tcMar>
              <w:top w:w="57" w:type="dxa"/>
            </w:tcMar>
          </w:tcPr>
          <w:p w14:paraId="10D4510C" w14:textId="77777777" w:rsidR="00767EC2" w:rsidRPr="00F076D7" w:rsidRDefault="00767EC2" w:rsidP="00A83D07">
            <w:pPr>
              <w:keepNext/>
              <w:keepLines/>
              <w:autoSpaceDE w:val="0"/>
              <w:autoSpaceDN w:val="0"/>
              <w:adjustRightInd w:val="0"/>
              <w:jc w:val="center"/>
              <w:rPr>
                <w:b/>
                <w:sz w:val="16"/>
                <w:szCs w:val="16"/>
              </w:rPr>
            </w:pPr>
            <w:r w:rsidRPr="00F076D7">
              <w:rPr>
                <w:b/>
                <w:sz w:val="16"/>
                <w:szCs w:val="16"/>
              </w:rPr>
              <w:t>Objectif(s)/description(s)</w:t>
            </w:r>
          </w:p>
        </w:tc>
      </w:tr>
      <w:tr w:rsidR="00767EC2" w:rsidRPr="00F076D7" w14:paraId="3052BB17" w14:textId="77777777" w:rsidTr="00A83D07">
        <w:trPr>
          <w:cantSplit/>
        </w:trPr>
        <w:tc>
          <w:tcPr>
            <w:tcW w:w="1920" w:type="dxa"/>
            <w:shd w:val="clear" w:color="auto" w:fill="auto"/>
          </w:tcPr>
          <w:p w14:paraId="7AC60B2E" w14:textId="77777777" w:rsidR="00767EC2" w:rsidRPr="00F076D7" w:rsidRDefault="00767EC2" w:rsidP="00A83D07">
            <w:pPr>
              <w:keepNext/>
              <w:keepLines/>
              <w:autoSpaceDE w:val="0"/>
              <w:autoSpaceDN w:val="0"/>
              <w:adjustRightInd w:val="0"/>
              <w:rPr>
                <w:sz w:val="16"/>
                <w:szCs w:val="16"/>
              </w:rPr>
            </w:pPr>
            <w:r w:rsidRPr="00F076D7">
              <w:rPr>
                <w:sz w:val="16"/>
                <w:szCs w:val="16"/>
              </w:rPr>
              <w:t>Projet LATIPAT, douzième réunion régionale OMPI/OEB/OEBM des spécialistes des technologies de l’information et de la gestion des informations relatives aux brevets des offices de propriété industrielle en Amérique latine</w:t>
            </w:r>
          </w:p>
        </w:tc>
        <w:tc>
          <w:tcPr>
            <w:tcW w:w="1242" w:type="dxa"/>
            <w:gridSpan w:val="2"/>
            <w:shd w:val="clear" w:color="auto" w:fill="auto"/>
            <w:tcMar>
              <w:top w:w="57" w:type="dxa"/>
            </w:tcMar>
          </w:tcPr>
          <w:p w14:paraId="1AA7DAD9" w14:textId="77777777" w:rsidR="00767EC2" w:rsidRPr="00F076D7" w:rsidRDefault="00767EC2" w:rsidP="00A83D07">
            <w:pPr>
              <w:keepNext/>
              <w:keepLines/>
              <w:autoSpaceDE w:val="0"/>
              <w:autoSpaceDN w:val="0"/>
              <w:adjustRightInd w:val="0"/>
              <w:rPr>
                <w:b/>
                <w:sz w:val="16"/>
                <w:szCs w:val="16"/>
              </w:rPr>
            </w:pPr>
            <w:r w:rsidRPr="00F076D7">
              <w:rPr>
                <w:sz w:val="16"/>
                <w:szCs w:val="16"/>
                <w:lang w:eastAsia="ja-JP"/>
              </w:rPr>
              <w:t>29 novembre – 2 décembre 2016</w:t>
            </w:r>
          </w:p>
        </w:tc>
        <w:tc>
          <w:tcPr>
            <w:tcW w:w="1790" w:type="dxa"/>
            <w:shd w:val="clear" w:color="auto" w:fill="auto"/>
            <w:tcMar>
              <w:top w:w="57" w:type="dxa"/>
            </w:tcMar>
          </w:tcPr>
          <w:p w14:paraId="34838954" w14:textId="77777777" w:rsidR="00767EC2" w:rsidRPr="00F076D7" w:rsidRDefault="00767EC2" w:rsidP="00A83D07">
            <w:pPr>
              <w:keepNext/>
              <w:keepLines/>
              <w:autoSpaceDE w:val="0"/>
              <w:autoSpaceDN w:val="0"/>
              <w:adjustRightInd w:val="0"/>
              <w:rPr>
                <w:b/>
                <w:sz w:val="16"/>
                <w:szCs w:val="16"/>
              </w:rPr>
            </w:pPr>
            <w:r w:rsidRPr="00F076D7">
              <w:rPr>
                <w:sz w:val="16"/>
                <w:szCs w:val="16"/>
              </w:rPr>
              <w:t>Cuba/ Tous les pays d’Amérique latine</w:t>
            </w:r>
          </w:p>
        </w:tc>
        <w:tc>
          <w:tcPr>
            <w:tcW w:w="4120" w:type="dxa"/>
            <w:shd w:val="clear" w:color="auto" w:fill="auto"/>
            <w:tcMar>
              <w:top w:w="57" w:type="dxa"/>
            </w:tcMar>
          </w:tcPr>
          <w:p w14:paraId="353834D5" w14:textId="77777777" w:rsidR="00767EC2" w:rsidRPr="00F076D7" w:rsidRDefault="00767EC2" w:rsidP="00A83D07">
            <w:pPr>
              <w:keepNext/>
              <w:keepLines/>
              <w:autoSpaceDE w:val="0"/>
              <w:autoSpaceDN w:val="0"/>
              <w:adjustRightInd w:val="0"/>
              <w:rPr>
                <w:sz w:val="16"/>
                <w:szCs w:val="16"/>
              </w:rPr>
            </w:pPr>
            <w:r w:rsidRPr="00F076D7">
              <w:rPr>
                <w:sz w:val="16"/>
                <w:szCs w:val="16"/>
              </w:rPr>
              <w:t>Le projet LATIPAT a été créé pour constituer une base de données et entrer des informations relatives aux brevets concernant tous les pays d’Amérique latine.  Actuellement, le projet LATIPAT est un exemple, non seulement pour les pays d’Amérique latine, mais pour les différents forums internationaux se rapportant aux informations sur les brevets, aux engagements, à la persévérance et au travail d’équipe.  Sur une période de plus de 15 ans, la base de données a recueilli plus de 2 millions de documents et elle reçoit en moyenne 14 000 visites par mois.</w:t>
            </w:r>
          </w:p>
          <w:p w14:paraId="484F96A3" w14:textId="77777777" w:rsidR="00767EC2" w:rsidRPr="00F076D7" w:rsidRDefault="00767EC2" w:rsidP="00A83D07">
            <w:pPr>
              <w:keepNext/>
              <w:keepLines/>
              <w:autoSpaceDE w:val="0"/>
              <w:autoSpaceDN w:val="0"/>
              <w:adjustRightInd w:val="0"/>
              <w:rPr>
                <w:b/>
                <w:sz w:val="16"/>
                <w:szCs w:val="16"/>
              </w:rPr>
            </w:pPr>
            <w:r w:rsidRPr="00F076D7">
              <w:rPr>
                <w:sz w:val="16"/>
                <w:szCs w:val="16"/>
              </w:rPr>
              <w:t>Les pays d’Amérique latine et l’Espagne se réunissent chaque année pour discuter de la gestion du projet et de l’adoption de nouvelles fonctionnalités.</w:t>
            </w:r>
          </w:p>
        </w:tc>
      </w:tr>
    </w:tbl>
    <w:p w14:paraId="70E02CF5" w14:textId="77777777" w:rsidR="00767EC2" w:rsidRPr="00F076D7" w:rsidRDefault="00767EC2" w:rsidP="00767EC2">
      <w:pPr>
        <w:rPr>
          <w:sz w:val="20"/>
        </w:rPr>
      </w:pPr>
    </w:p>
    <w:p w14:paraId="63299768" w14:textId="77777777" w:rsidR="00767EC2" w:rsidRPr="00F076D7" w:rsidRDefault="00767EC2" w:rsidP="00767EC2">
      <w:pPr>
        <w:rPr>
          <w:sz w:val="20"/>
        </w:rPr>
      </w:pPr>
    </w:p>
    <w:p w14:paraId="4DA259E8" w14:textId="77777777" w:rsidR="00767EC2" w:rsidRPr="00F076D7" w:rsidRDefault="00767EC2" w:rsidP="00767EC2">
      <w:pPr>
        <w:keepNext/>
        <w:rPr>
          <w:b/>
          <w:bCs/>
          <w:sz w:val="20"/>
        </w:rPr>
      </w:pPr>
      <w:r w:rsidRPr="00F076D7">
        <w:rPr>
          <w:b/>
          <w:bCs/>
          <w:sz w:val="20"/>
        </w:rPr>
        <w:t>ESPAGNE – Contributions des donateurs et dépenses en 2016</w:t>
      </w:r>
    </w:p>
    <w:p w14:paraId="685FED0D" w14:textId="77777777" w:rsidR="00767EC2" w:rsidRPr="00F076D7" w:rsidRDefault="00767EC2" w:rsidP="00767EC2">
      <w:pPr>
        <w:keepNext/>
        <w:rPr>
          <w:b/>
          <w:bCs/>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644529C3" w14:textId="77777777" w:rsidTr="00A83D07">
        <w:trPr>
          <w:cantSplit/>
        </w:trPr>
        <w:tc>
          <w:tcPr>
            <w:tcW w:w="1814" w:type="dxa"/>
            <w:tcBorders>
              <w:top w:val="nil"/>
              <w:left w:val="nil"/>
              <w:bottom w:val="nil"/>
              <w:right w:val="nil"/>
            </w:tcBorders>
            <w:shd w:val="clear" w:color="000000" w:fill="C5D9F1"/>
            <w:vAlign w:val="center"/>
            <w:hideMark/>
          </w:tcPr>
          <w:p w14:paraId="4315E869" w14:textId="77777777" w:rsidR="00767EC2" w:rsidRPr="00F076D7" w:rsidRDefault="00767EC2" w:rsidP="00A83D07">
            <w:pPr>
              <w:keepNext/>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3A81D212" w14:textId="77777777" w:rsidR="00767EC2" w:rsidRPr="00F076D7" w:rsidRDefault="00767EC2" w:rsidP="00A83D07">
            <w:pPr>
              <w:keepNext/>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2164D2C9" w14:textId="77777777" w:rsidR="00767EC2" w:rsidRPr="00F076D7" w:rsidRDefault="00767EC2" w:rsidP="00A83D07">
            <w:pPr>
              <w:keepNext/>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33F71F1E" w14:textId="77777777" w:rsidR="00767EC2" w:rsidRPr="00F076D7" w:rsidRDefault="00767EC2" w:rsidP="00A83D07">
            <w:pPr>
              <w:keepNext/>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2A71A149" w14:textId="77777777" w:rsidR="00767EC2" w:rsidRPr="00F076D7" w:rsidRDefault="00767EC2" w:rsidP="00A83D07">
            <w:pPr>
              <w:keepNext/>
              <w:jc w:val="center"/>
              <w:rPr>
                <w:b/>
                <w:bCs/>
                <w:sz w:val="16"/>
                <w:szCs w:val="16"/>
              </w:rPr>
            </w:pPr>
            <w:r w:rsidRPr="00F076D7">
              <w:rPr>
                <w:b/>
                <w:bCs/>
                <w:sz w:val="16"/>
                <w:szCs w:val="16"/>
              </w:rPr>
              <w:t>Solde au 31 décembre 2016</w:t>
            </w:r>
          </w:p>
        </w:tc>
      </w:tr>
      <w:tr w:rsidR="00767EC2" w:rsidRPr="00F076D7" w14:paraId="3A594338" w14:textId="77777777" w:rsidTr="00A83D07">
        <w:trPr>
          <w:cantSplit/>
        </w:trPr>
        <w:tc>
          <w:tcPr>
            <w:tcW w:w="1814" w:type="dxa"/>
            <w:tcBorders>
              <w:top w:val="nil"/>
              <w:left w:val="nil"/>
              <w:bottom w:val="nil"/>
              <w:right w:val="nil"/>
            </w:tcBorders>
            <w:shd w:val="clear" w:color="auto" w:fill="auto"/>
            <w:noWrap/>
            <w:vAlign w:val="bottom"/>
            <w:hideMark/>
          </w:tcPr>
          <w:p w14:paraId="4C5FF92D" w14:textId="77777777" w:rsidR="00767EC2" w:rsidRPr="00F076D7" w:rsidRDefault="00767EC2" w:rsidP="00A83D07">
            <w:pPr>
              <w:keepNext/>
              <w:jc w:val="center"/>
              <w:rPr>
                <w:sz w:val="16"/>
                <w:szCs w:val="16"/>
              </w:rPr>
            </w:pPr>
            <w:r w:rsidRPr="00F076D7">
              <w:rPr>
                <w:sz w:val="16"/>
                <w:szCs w:val="16"/>
              </w:rPr>
              <w:t>107 221</w:t>
            </w:r>
          </w:p>
        </w:tc>
        <w:tc>
          <w:tcPr>
            <w:tcW w:w="1814" w:type="dxa"/>
            <w:tcBorders>
              <w:top w:val="nil"/>
              <w:left w:val="nil"/>
              <w:bottom w:val="nil"/>
              <w:right w:val="nil"/>
            </w:tcBorders>
            <w:shd w:val="clear" w:color="auto" w:fill="auto"/>
            <w:noWrap/>
            <w:vAlign w:val="bottom"/>
            <w:hideMark/>
          </w:tcPr>
          <w:p w14:paraId="18E71D4D" w14:textId="77777777" w:rsidR="00767EC2" w:rsidRPr="00F076D7" w:rsidRDefault="00767EC2" w:rsidP="00A83D07">
            <w:pPr>
              <w:keepNext/>
              <w:jc w:val="center"/>
              <w:rPr>
                <w:sz w:val="16"/>
                <w:szCs w:val="16"/>
              </w:rPr>
            </w:pPr>
            <w:r w:rsidRPr="00F076D7">
              <w:rPr>
                <w:sz w:val="16"/>
                <w:szCs w:val="16"/>
              </w:rPr>
              <w:t>165 276</w:t>
            </w:r>
          </w:p>
        </w:tc>
        <w:tc>
          <w:tcPr>
            <w:tcW w:w="1815" w:type="dxa"/>
            <w:tcBorders>
              <w:top w:val="nil"/>
              <w:left w:val="nil"/>
              <w:bottom w:val="nil"/>
              <w:right w:val="nil"/>
            </w:tcBorders>
            <w:shd w:val="clear" w:color="auto" w:fill="auto"/>
            <w:noWrap/>
            <w:vAlign w:val="bottom"/>
            <w:hideMark/>
          </w:tcPr>
          <w:p w14:paraId="755BC04D" w14:textId="77777777" w:rsidR="00767EC2" w:rsidRPr="00F076D7" w:rsidRDefault="00767EC2" w:rsidP="00A83D07">
            <w:pPr>
              <w:keepNext/>
              <w:jc w:val="center"/>
              <w:rPr>
                <w:sz w:val="16"/>
                <w:szCs w:val="16"/>
              </w:rPr>
            </w:pPr>
            <w:r w:rsidRPr="00F076D7">
              <w:rPr>
                <w:sz w:val="16"/>
                <w:szCs w:val="16"/>
              </w:rPr>
              <w:t>180 441</w:t>
            </w:r>
          </w:p>
        </w:tc>
        <w:tc>
          <w:tcPr>
            <w:tcW w:w="1814" w:type="dxa"/>
            <w:tcBorders>
              <w:top w:val="nil"/>
              <w:left w:val="nil"/>
              <w:bottom w:val="nil"/>
              <w:right w:val="nil"/>
            </w:tcBorders>
            <w:shd w:val="clear" w:color="auto" w:fill="auto"/>
            <w:noWrap/>
            <w:vAlign w:val="bottom"/>
            <w:hideMark/>
          </w:tcPr>
          <w:p w14:paraId="5BED460D" w14:textId="77777777" w:rsidR="00767EC2" w:rsidRPr="00F076D7" w:rsidRDefault="00767EC2" w:rsidP="00A83D07">
            <w:pPr>
              <w:keepNext/>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38A55922" w14:textId="77777777" w:rsidR="00767EC2" w:rsidRPr="00F076D7" w:rsidRDefault="00767EC2" w:rsidP="00A83D07">
            <w:pPr>
              <w:keepNext/>
              <w:jc w:val="center"/>
              <w:rPr>
                <w:sz w:val="16"/>
                <w:szCs w:val="16"/>
              </w:rPr>
            </w:pPr>
            <w:r w:rsidRPr="00F076D7">
              <w:rPr>
                <w:sz w:val="16"/>
                <w:szCs w:val="16"/>
              </w:rPr>
              <w:t>92 056</w:t>
            </w:r>
          </w:p>
        </w:tc>
      </w:tr>
    </w:tbl>
    <w:p w14:paraId="0D749B55" w14:textId="77777777" w:rsidR="00767EC2" w:rsidRPr="00F076D7" w:rsidRDefault="00767EC2" w:rsidP="00767EC2">
      <w:pPr>
        <w:rPr>
          <w:rFonts w:asciiTheme="minorBidi" w:hAnsiTheme="minorBidi" w:cstheme="minorBidi"/>
          <w:b/>
          <w:bCs/>
          <w:sz w:val="20"/>
        </w:rPr>
      </w:pPr>
    </w:p>
    <w:p w14:paraId="04204CD1" w14:textId="77777777" w:rsidR="00767EC2" w:rsidRPr="00F076D7" w:rsidRDefault="00767EC2" w:rsidP="00767EC2">
      <w:pPr>
        <w:rPr>
          <w:b/>
          <w:sz w:val="20"/>
        </w:rPr>
      </w:pPr>
      <w:r w:rsidRPr="00F076D7">
        <w:rPr>
          <w:b/>
          <w:sz w:val="20"/>
        </w:rPr>
        <w:t>ÉTATS</w:t>
      </w:r>
      <w:r w:rsidRPr="00F076D7">
        <w:rPr>
          <w:b/>
          <w:sz w:val="20"/>
        </w:rPr>
        <w:noBreakHyphen/>
        <w:t>UNIS D’AMÉRIQUE/INDUSTRIES CRÉATIVES</w:t>
      </w:r>
    </w:p>
    <w:p w14:paraId="662F8E25" w14:textId="77777777" w:rsidR="00767EC2" w:rsidRPr="00F076D7" w:rsidRDefault="00767EC2" w:rsidP="00767EC2">
      <w:pPr>
        <w:rPr>
          <w:b/>
          <w:sz w:val="20"/>
        </w:rPr>
      </w:pPr>
    </w:p>
    <w:tbl>
      <w:tblPr>
        <w:tblW w:w="4884" w:type="pct"/>
        <w:tblCellMar>
          <w:top w:w="57" w:type="dxa"/>
          <w:bottom w:w="57" w:type="dxa"/>
        </w:tblCellMar>
        <w:tblLook w:val="0000" w:firstRow="0" w:lastRow="0" w:firstColumn="0" w:lastColumn="0" w:noHBand="0" w:noVBand="0"/>
      </w:tblPr>
      <w:tblGrid>
        <w:gridCol w:w="1924"/>
        <w:gridCol w:w="1241"/>
        <w:gridCol w:w="1788"/>
        <w:gridCol w:w="4119"/>
      </w:tblGrid>
      <w:tr w:rsidR="00767EC2" w:rsidRPr="00F076D7" w14:paraId="758C03D7" w14:textId="77777777" w:rsidTr="00A83D07">
        <w:trPr>
          <w:cantSplit/>
        </w:trPr>
        <w:tc>
          <w:tcPr>
            <w:tcW w:w="9072" w:type="dxa"/>
            <w:gridSpan w:val="4"/>
            <w:shd w:val="clear" w:color="auto" w:fill="C6D9F1"/>
            <w:vAlign w:val="center"/>
          </w:tcPr>
          <w:p w14:paraId="496CFF54" w14:textId="77777777" w:rsidR="00767EC2" w:rsidRPr="00F076D7" w:rsidRDefault="00767EC2" w:rsidP="00A83D07">
            <w:pPr>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49B6EAD2" w14:textId="77777777" w:rsidTr="00A83D07">
        <w:trPr>
          <w:cantSplit/>
        </w:trPr>
        <w:tc>
          <w:tcPr>
            <w:tcW w:w="1924" w:type="dxa"/>
          </w:tcPr>
          <w:p w14:paraId="177C5681" w14:textId="77777777" w:rsidR="00767EC2" w:rsidRPr="00F076D7" w:rsidRDefault="00767EC2" w:rsidP="00A83D07">
            <w:pPr>
              <w:autoSpaceDE w:val="0"/>
              <w:autoSpaceDN w:val="0"/>
              <w:adjustRightInd w:val="0"/>
              <w:rPr>
                <w:b/>
                <w:sz w:val="16"/>
                <w:szCs w:val="16"/>
              </w:rPr>
            </w:pPr>
            <w:r w:rsidRPr="00F076D7">
              <w:rPr>
                <w:b/>
                <w:sz w:val="16"/>
                <w:szCs w:val="16"/>
              </w:rPr>
              <w:t>Activité</w:t>
            </w:r>
          </w:p>
        </w:tc>
        <w:tc>
          <w:tcPr>
            <w:tcW w:w="1241" w:type="dxa"/>
            <w:shd w:val="clear" w:color="auto" w:fill="auto"/>
            <w:tcMar>
              <w:top w:w="57" w:type="dxa"/>
            </w:tcMar>
          </w:tcPr>
          <w:p w14:paraId="180F4F09" w14:textId="77777777" w:rsidR="00767EC2" w:rsidRPr="00F076D7" w:rsidRDefault="00767EC2" w:rsidP="00A83D07">
            <w:pPr>
              <w:autoSpaceDE w:val="0"/>
              <w:autoSpaceDN w:val="0"/>
              <w:adjustRightInd w:val="0"/>
              <w:rPr>
                <w:b/>
                <w:sz w:val="16"/>
                <w:szCs w:val="16"/>
              </w:rPr>
            </w:pPr>
            <w:r w:rsidRPr="00F076D7">
              <w:rPr>
                <w:b/>
                <w:sz w:val="16"/>
                <w:szCs w:val="16"/>
              </w:rPr>
              <w:t>Date</w:t>
            </w:r>
          </w:p>
        </w:tc>
        <w:tc>
          <w:tcPr>
            <w:tcW w:w="1788" w:type="dxa"/>
            <w:shd w:val="clear" w:color="auto" w:fill="auto"/>
            <w:tcMar>
              <w:top w:w="57" w:type="dxa"/>
            </w:tcMar>
          </w:tcPr>
          <w:p w14:paraId="1E57BA47" w14:textId="77777777" w:rsidR="00767EC2" w:rsidRPr="00F076D7" w:rsidRDefault="00767EC2" w:rsidP="00A83D07">
            <w:pPr>
              <w:autoSpaceDE w:val="0"/>
              <w:autoSpaceDN w:val="0"/>
              <w:adjustRightInd w:val="0"/>
              <w:rPr>
                <w:b/>
                <w:sz w:val="16"/>
                <w:szCs w:val="16"/>
              </w:rPr>
            </w:pPr>
            <w:r w:rsidRPr="00F076D7">
              <w:rPr>
                <w:b/>
                <w:sz w:val="16"/>
                <w:szCs w:val="16"/>
              </w:rPr>
              <w:t>Pays hôte/</w:t>
            </w:r>
            <w:r w:rsidRPr="00F076D7">
              <w:rPr>
                <w:sz w:val="16"/>
                <w:szCs w:val="16"/>
              </w:rPr>
              <w:t xml:space="preserve"> </w:t>
            </w:r>
            <w:r w:rsidRPr="00F076D7">
              <w:rPr>
                <w:b/>
                <w:sz w:val="16"/>
                <w:szCs w:val="16"/>
              </w:rPr>
              <w:t>bénéficiaires</w:t>
            </w:r>
          </w:p>
        </w:tc>
        <w:tc>
          <w:tcPr>
            <w:tcW w:w="4119" w:type="dxa"/>
            <w:shd w:val="clear" w:color="auto" w:fill="FFFFFF"/>
            <w:tcMar>
              <w:top w:w="57" w:type="dxa"/>
            </w:tcMar>
          </w:tcPr>
          <w:p w14:paraId="2691FD80" w14:textId="77777777" w:rsidR="00767EC2" w:rsidRPr="00F076D7" w:rsidRDefault="00767EC2" w:rsidP="00A83D07">
            <w:pPr>
              <w:autoSpaceDE w:val="0"/>
              <w:autoSpaceDN w:val="0"/>
              <w:adjustRightInd w:val="0"/>
              <w:rPr>
                <w:b/>
                <w:sz w:val="16"/>
                <w:szCs w:val="16"/>
              </w:rPr>
            </w:pPr>
            <w:r w:rsidRPr="00F076D7">
              <w:rPr>
                <w:b/>
                <w:sz w:val="16"/>
                <w:szCs w:val="16"/>
              </w:rPr>
              <w:t>Objectif(s)/description(s)</w:t>
            </w:r>
          </w:p>
        </w:tc>
      </w:tr>
      <w:tr w:rsidR="00767EC2" w:rsidRPr="00F076D7" w14:paraId="7A5689AF" w14:textId="77777777" w:rsidTr="00A83D07">
        <w:tblPrEx>
          <w:tblLook w:val="04A0" w:firstRow="1" w:lastRow="0" w:firstColumn="1" w:lastColumn="0" w:noHBand="0" w:noVBand="1"/>
        </w:tblPrEx>
        <w:trPr>
          <w:cantSplit/>
        </w:trPr>
        <w:tc>
          <w:tcPr>
            <w:tcW w:w="1924" w:type="dxa"/>
          </w:tcPr>
          <w:p w14:paraId="095B5388" w14:textId="77777777" w:rsidR="00767EC2" w:rsidRPr="00F076D7" w:rsidRDefault="00767EC2" w:rsidP="00A83D07">
            <w:pPr>
              <w:autoSpaceDE w:val="0"/>
              <w:autoSpaceDN w:val="0"/>
              <w:adjustRightInd w:val="0"/>
              <w:rPr>
                <w:sz w:val="16"/>
                <w:szCs w:val="16"/>
              </w:rPr>
            </w:pPr>
            <w:r w:rsidRPr="00F076D7">
              <w:rPr>
                <w:sz w:val="16"/>
                <w:szCs w:val="16"/>
              </w:rPr>
              <w:t>Atelier national sur le thème “Vivre de la musique”</w:t>
            </w:r>
          </w:p>
        </w:tc>
        <w:tc>
          <w:tcPr>
            <w:tcW w:w="1241" w:type="dxa"/>
          </w:tcPr>
          <w:p w14:paraId="0FA048B3" w14:textId="77777777" w:rsidR="00767EC2" w:rsidRPr="00F076D7" w:rsidRDefault="00767EC2" w:rsidP="00A83D07">
            <w:pPr>
              <w:autoSpaceDE w:val="0"/>
              <w:autoSpaceDN w:val="0"/>
              <w:adjustRightInd w:val="0"/>
              <w:rPr>
                <w:sz w:val="16"/>
                <w:szCs w:val="16"/>
              </w:rPr>
            </w:pPr>
            <w:r w:rsidRPr="00F076D7">
              <w:rPr>
                <w:sz w:val="16"/>
                <w:szCs w:val="16"/>
              </w:rPr>
              <w:t>21 et 22 novembre 2016</w:t>
            </w:r>
          </w:p>
        </w:tc>
        <w:tc>
          <w:tcPr>
            <w:tcW w:w="1788" w:type="dxa"/>
          </w:tcPr>
          <w:p w14:paraId="1311A8A9" w14:textId="77777777" w:rsidR="00767EC2" w:rsidRPr="00F076D7" w:rsidRDefault="00767EC2" w:rsidP="00A83D07">
            <w:pPr>
              <w:autoSpaceDE w:val="0"/>
              <w:autoSpaceDN w:val="0"/>
              <w:adjustRightInd w:val="0"/>
              <w:rPr>
                <w:sz w:val="16"/>
                <w:szCs w:val="16"/>
              </w:rPr>
            </w:pPr>
            <w:r w:rsidRPr="00F076D7">
              <w:rPr>
                <w:sz w:val="16"/>
                <w:szCs w:val="16"/>
              </w:rPr>
              <w:t>Argentine</w:t>
            </w:r>
          </w:p>
        </w:tc>
        <w:tc>
          <w:tcPr>
            <w:tcW w:w="4119" w:type="dxa"/>
          </w:tcPr>
          <w:p w14:paraId="278026A0" w14:textId="77777777" w:rsidR="00767EC2" w:rsidRPr="00F076D7" w:rsidRDefault="00767EC2" w:rsidP="00A83D07">
            <w:pPr>
              <w:autoSpaceDE w:val="0"/>
              <w:autoSpaceDN w:val="0"/>
              <w:adjustRightInd w:val="0"/>
              <w:rPr>
                <w:sz w:val="16"/>
                <w:szCs w:val="16"/>
              </w:rPr>
            </w:pPr>
            <w:r w:rsidRPr="00F076D7">
              <w:rPr>
                <w:sz w:val="16"/>
                <w:szCs w:val="16"/>
              </w:rPr>
              <w:t>Fournir des informations pratiques sur les flux de droits d’auteur dus aux artistes et aux artistes</w:t>
            </w:r>
            <w:r w:rsidRPr="00F076D7">
              <w:rPr>
                <w:sz w:val="16"/>
                <w:szCs w:val="16"/>
              </w:rPr>
              <w:noBreakHyphen/>
              <w:t>interprètes ou exécutants en insistant sur l’environnement numérique et la gestion des droits individuels.</w:t>
            </w:r>
          </w:p>
        </w:tc>
      </w:tr>
      <w:tr w:rsidR="00767EC2" w:rsidRPr="00F076D7" w14:paraId="69F69CFC" w14:textId="77777777" w:rsidTr="00A83D07">
        <w:tblPrEx>
          <w:tblLook w:val="04A0" w:firstRow="1" w:lastRow="0" w:firstColumn="1" w:lastColumn="0" w:noHBand="0" w:noVBand="1"/>
        </w:tblPrEx>
        <w:trPr>
          <w:cantSplit/>
        </w:trPr>
        <w:tc>
          <w:tcPr>
            <w:tcW w:w="1924" w:type="dxa"/>
          </w:tcPr>
          <w:p w14:paraId="64ECFC4D" w14:textId="77777777" w:rsidR="00767EC2" w:rsidRPr="00F076D7" w:rsidRDefault="00767EC2" w:rsidP="00A83D07">
            <w:pPr>
              <w:autoSpaceDE w:val="0"/>
              <w:autoSpaceDN w:val="0"/>
              <w:adjustRightInd w:val="0"/>
              <w:rPr>
                <w:sz w:val="16"/>
                <w:szCs w:val="16"/>
              </w:rPr>
            </w:pPr>
            <w:r w:rsidRPr="00F076D7">
              <w:rPr>
                <w:sz w:val="16"/>
                <w:szCs w:val="16"/>
              </w:rPr>
              <w:t>Consultations sur la gestion des droits individuels</w:t>
            </w:r>
          </w:p>
        </w:tc>
        <w:tc>
          <w:tcPr>
            <w:tcW w:w="1241" w:type="dxa"/>
          </w:tcPr>
          <w:p w14:paraId="72980E3B" w14:textId="77777777" w:rsidR="00767EC2" w:rsidRPr="00F076D7" w:rsidRDefault="00767EC2" w:rsidP="00A83D07">
            <w:pPr>
              <w:autoSpaceDE w:val="0"/>
              <w:autoSpaceDN w:val="0"/>
              <w:adjustRightInd w:val="0"/>
              <w:rPr>
                <w:sz w:val="16"/>
                <w:szCs w:val="16"/>
              </w:rPr>
            </w:pPr>
            <w:r w:rsidRPr="00F076D7">
              <w:rPr>
                <w:sz w:val="16"/>
                <w:szCs w:val="16"/>
              </w:rPr>
              <w:t>11 novembre 2016</w:t>
            </w:r>
          </w:p>
        </w:tc>
        <w:tc>
          <w:tcPr>
            <w:tcW w:w="1788" w:type="dxa"/>
          </w:tcPr>
          <w:p w14:paraId="4E66DBBA" w14:textId="77777777" w:rsidR="00767EC2" w:rsidRPr="00F076D7" w:rsidRDefault="00767EC2" w:rsidP="00A83D07">
            <w:pPr>
              <w:autoSpaceDE w:val="0"/>
              <w:autoSpaceDN w:val="0"/>
              <w:adjustRightInd w:val="0"/>
              <w:rPr>
                <w:sz w:val="16"/>
                <w:szCs w:val="16"/>
              </w:rPr>
            </w:pPr>
            <w:r w:rsidRPr="00F076D7">
              <w:rPr>
                <w:sz w:val="16"/>
                <w:szCs w:val="16"/>
              </w:rPr>
              <w:t>Tous</w:t>
            </w:r>
          </w:p>
        </w:tc>
        <w:tc>
          <w:tcPr>
            <w:tcW w:w="4119" w:type="dxa"/>
          </w:tcPr>
          <w:p w14:paraId="5B0856CB" w14:textId="77777777" w:rsidR="00767EC2" w:rsidRPr="00F076D7" w:rsidRDefault="00767EC2" w:rsidP="00A83D07">
            <w:pPr>
              <w:autoSpaceDE w:val="0"/>
              <w:autoSpaceDN w:val="0"/>
              <w:adjustRightInd w:val="0"/>
              <w:rPr>
                <w:sz w:val="16"/>
                <w:szCs w:val="16"/>
              </w:rPr>
            </w:pPr>
            <w:r w:rsidRPr="00F076D7">
              <w:rPr>
                <w:sz w:val="16"/>
                <w:szCs w:val="16"/>
              </w:rPr>
              <w:t>Examiner les options quant aux activités de l’OMPI sur la gestion des droits individuels.</w:t>
            </w:r>
          </w:p>
        </w:tc>
      </w:tr>
      <w:tr w:rsidR="00767EC2" w:rsidRPr="00F076D7" w14:paraId="64948827" w14:textId="77777777" w:rsidTr="00A83D07">
        <w:tblPrEx>
          <w:tblLook w:val="04A0" w:firstRow="1" w:lastRow="0" w:firstColumn="1" w:lastColumn="0" w:noHBand="0" w:noVBand="1"/>
        </w:tblPrEx>
        <w:trPr>
          <w:cantSplit/>
        </w:trPr>
        <w:tc>
          <w:tcPr>
            <w:tcW w:w="1924" w:type="dxa"/>
          </w:tcPr>
          <w:p w14:paraId="34F15753" w14:textId="77777777" w:rsidR="00767EC2" w:rsidRPr="00F076D7" w:rsidRDefault="00767EC2" w:rsidP="00A83D07">
            <w:pPr>
              <w:autoSpaceDE w:val="0"/>
              <w:autoSpaceDN w:val="0"/>
              <w:adjustRightInd w:val="0"/>
              <w:rPr>
                <w:sz w:val="16"/>
                <w:szCs w:val="16"/>
              </w:rPr>
            </w:pPr>
            <w:r w:rsidRPr="00F076D7">
              <w:rPr>
                <w:sz w:val="16"/>
                <w:szCs w:val="16"/>
              </w:rPr>
              <w:t>Enquête internationale sur la redevance pour copie privée (droit et pratique)</w:t>
            </w:r>
          </w:p>
        </w:tc>
        <w:tc>
          <w:tcPr>
            <w:tcW w:w="1241" w:type="dxa"/>
          </w:tcPr>
          <w:p w14:paraId="29AFD495" w14:textId="77777777" w:rsidR="00767EC2" w:rsidRPr="00F076D7" w:rsidRDefault="00767EC2" w:rsidP="00A83D07">
            <w:pPr>
              <w:autoSpaceDE w:val="0"/>
              <w:autoSpaceDN w:val="0"/>
              <w:adjustRightInd w:val="0"/>
              <w:rPr>
                <w:sz w:val="16"/>
                <w:szCs w:val="16"/>
              </w:rPr>
            </w:pPr>
            <w:r w:rsidRPr="00F076D7">
              <w:rPr>
                <w:sz w:val="16"/>
                <w:szCs w:val="16"/>
              </w:rPr>
              <w:t>1</w:t>
            </w:r>
            <w:r w:rsidRPr="00F076D7">
              <w:rPr>
                <w:sz w:val="16"/>
                <w:szCs w:val="16"/>
                <w:vertAlign w:val="superscript"/>
              </w:rPr>
              <w:t>er</w:t>
            </w:r>
            <w:r w:rsidRPr="00F076D7">
              <w:rPr>
                <w:sz w:val="16"/>
                <w:szCs w:val="16"/>
              </w:rPr>
              <w:t> septembre – 31 décembre 2016</w:t>
            </w:r>
          </w:p>
        </w:tc>
        <w:tc>
          <w:tcPr>
            <w:tcW w:w="1788" w:type="dxa"/>
          </w:tcPr>
          <w:p w14:paraId="597B3244" w14:textId="77777777" w:rsidR="00767EC2" w:rsidRPr="00F076D7" w:rsidRDefault="00767EC2" w:rsidP="00A83D07">
            <w:pPr>
              <w:autoSpaceDE w:val="0"/>
              <w:autoSpaceDN w:val="0"/>
              <w:adjustRightInd w:val="0"/>
              <w:rPr>
                <w:sz w:val="16"/>
                <w:szCs w:val="16"/>
              </w:rPr>
            </w:pPr>
            <w:r w:rsidRPr="00F076D7">
              <w:rPr>
                <w:sz w:val="16"/>
                <w:szCs w:val="16"/>
              </w:rPr>
              <w:t>Tous</w:t>
            </w:r>
          </w:p>
        </w:tc>
        <w:tc>
          <w:tcPr>
            <w:tcW w:w="4119" w:type="dxa"/>
          </w:tcPr>
          <w:p w14:paraId="6644483F" w14:textId="77777777" w:rsidR="00767EC2" w:rsidRPr="00F076D7" w:rsidRDefault="00767EC2" w:rsidP="00A83D07">
            <w:pPr>
              <w:autoSpaceDE w:val="0"/>
              <w:autoSpaceDN w:val="0"/>
              <w:adjustRightInd w:val="0"/>
              <w:rPr>
                <w:sz w:val="16"/>
                <w:szCs w:val="16"/>
              </w:rPr>
            </w:pPr>
            <w:r w:rsidRPr="00F076D7">
              <w:rPr>
                <w:sz w:val="16"/>
                <w:szCs w:val="16"/>
              </w:rPr>
              <w:t>Fournir des informations sur les évolutions juridiques, la collecte et le reversement de la redevance pour copie privée.</w:t>
            </w:r>
          </w:p>
        </w:tc>
      </w:tr>
      <w:tr w:rsidR="00767EC2" w:rsidRPr="00F076D7" w14:paraId="6F5A0895" w14:textId="77777777" w:rsidTr="00A83D07">
        <w:tblPrEx>
          <w:tblLook w:val="04A0" w:firstRow="1" w:lastRow="0" w:firstColumn="1" w:lastColumn="0" w:noHBand="0" w:noVBand="1"/>
        </w:tblPrEx>
        <w:trPr>
          <w:cantSplit/>
        </w:trPr>
        <w:tc>
          <w:tcPr>
            <w:tcW w:w="1924" w:type="dxa"/>
          </w:tcPr>
          <w:p w14:paraId="31383642" w14:textId="77777777" w:rsidR="00767EC2" w:rsidRPr="00F076D7" w:rsidRDefault="00767EC2" w:rsidP="00A83D07">
            <w:pPr>
              <w:rPr>
                <w:sz w:val="16"/>
                <w:szCs w:val="16"/>
                <w:highlight w:val="cyan"/>
              </w:rPr>
            </w:pPr>
            <w:r w:rsidRPr="00F076D7">
              <w:rPr>
                <w:sz w:val="16"/>
                <w:szCs w:val="16"/>
              </w:rPr>
              <w:t>Enquête internationale sur la redevance au titre du droit d’auteur sur les œuvres textuelles et visuelles (droit et pratique)</w:t>
            </w:r>
          </w:p>
        </w:tc>
        <w:tc>
          <w:tcPr>
            <w:tcW w:w="1241" w:type="dxa"/>
          </w:tcPr>
          <w:p w14:paraId="54863FA4" w14:textId="77777777" w:rsidR="00767EC2" w:rsidRPr="00F076D7" w:rsidRDefault="00767EC2" w:rsidP="00A83D07">
            <w:pPr>
              <w:autoSpaceDE w:val="0"/>
              <w:autoSpaceDN w:val="0"/>
              <w:adjustRightInd w:val="0"/>
              <w:rPr>
                <w:sz w:val="16"/>
                <w:szCs w:val="16"/>
              </w:rPr>
            </w:pPr>
            <w:r w:rsidRPr="00F076D7">
              <w:rPr>
                <w:sz w:val="16"/>
                <w:szCs w:val="16"/>
              </w:rPr>
              <w:t>1</w:t>
            </w:r>
            <w:r w:rsidRPr="00F076D7">
              <w:rPr>
                <w:sz w:val="16"/>
                <w:szCs w:val="16"/>
                <w:vertAlign w:val="superscript"/>
              </w:rPr>
              <w:t>er</w:t>
            </w:r>
            <w:r w:rsidRPr="00F076D7">
              <w:rPr>
                <w:sz w:val="16"/>
                <w:szCs w:val="16"/>
              </w:rPr>
              <w:t> septembre – 31 décembre 2016</w:t>
            </w:r>
          </w:p>
          <w:p w14:paraId="3D44633A"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1788" w:type="dxa"/>
          </w:tcPr>
          <w:p w14:paraId="039F6A16" w14:textId="77777777" w:rsidR="00767EC2" w:rsidRPr="00F076D7" w:rsidRDefault="00767EC2" w:rsidP="00A83D07">
            <w:pPr>
              <w:autoSpaceDE w:val="0"/>
              <w:autoSpaceDN w:val="0"/>
              <w:adjustRightInd w:val="0"/>
              <w:rPr>
                <w:sz w:val="16"/>
                <w:szCs w:val="16"/>
              </w:rPr>
            </w:pPr>
            <w:r w:rsidRPr="00F076D7">
              <w:rPr>
                <w:sz w:val="16"/>
                <w:szCs w:val="16"/>
              </w:rPr>
              <w:t>Tous</w:t>
            </w:r>
          </w:p>
        </w:tc>
        <w:tc>
          <w:tcPr>
            <w:tcW w:w="4119" w:type="dxa"/>
          </w:tcPr>
          <w:p w14:paraId="15B58272" w14:textId="77777777" w:rsidR="00767EC2" w:rsidRPr="00F076D7" w:rsidRDefault="00767EC2" w:rsidP="00A83D07">
            <w:pPr>
              <w:autoSpaceDE w:val="0"/>
              <w:autoSpaceDN w:val="0"/>
              <w:adjustRightInd w:val="0"/>
              <w:rPr>
                <w:sz w:val="16"/>
                <w:szCs w:val="16"/>
                <w:highlight w:val="cyan"/>
              </w:rPr>
            </w:pPr>
            <w:r w:rsidRPr="00F076D7">
              <w:rPr>
                <w:sz w:val="16"/>
                <w:szCs w:val="16"/>
              </w:rPr>
              <w:t>Fournir des informations sur les évolutions juridiques, la collecte et le reversement de la redevance au titre du droit d’auteur sur les œuvres textuelles et visuelles (droit et pratique).</w:t>
            </w:r>
          </w:p>
        </w:tc>
      </w:tr>
    </w:tbl>
    <w:p w14:paraId="6C082CAB" w14:textId="77777777" w:rsidR="00767EC2" w:rsidRPr="00F076D7" w:rsidRDefault="00767EC2" w:rsidP="00767EC2">
      <w:pPr>
        <w:rPr>
          <w:b/>
          <w:sz w:val="20"/>
        </w:rPr>
      </w:pPr>
    </w:p>
    <w:p w14:paraId="10A69595" w14:textId="77777777" w:rsidR="00767EC2" w:rsidRPr="00F076D7" w:rsidRDefault="00767EC2" w:rsidP="00767EC2">
      <w:pPr>
        <w:rPr>
          <w:b/>
          <w:sz w:val="20"/>
        </w:rPr>
      </w:pPr>
    </w:p>
    <w:p w14:paraId="61C53989" w14:textId="77777777" w:rsidR="00767EC2" w:rsidRPr="00F076D7" w:rsidRDefault="00767EC2" w:rsidP="00767EC2">
      <w:pPr>
        <w:keepNext/>
        <w:keepLines/>
        <w:rPr>
          <w:b/>
          <w:sz w:val="20"/>
        </w:rPr>
      </w:pPr>
      <w:r w:rsidRPr="00F076D7">
        <w:rPr>
          <w:b/>
          <w:sz w:val="20"/>
        </w:rPr>
        <w:t>ÉTATS</w:t>
      </w:r>
      <w:r w:rsidRPr="00F076D7">
        <w:rPr>
          <w:b/>
          <w:sz w:val="20"/>
        </w:rPr>
        <w:noBreakHyphen/>
        <w:t>UNIS D’AMÉRIQUE/INDUSTRIES CRÉATIVES – Contributions des donateurs et dépenses en 2016</w:t>
      </w:r>
    </w:p>
    <w:p w14:paraId="663D36C0" w14:textId="77777777" w:rsidR="00767EC2" w:rsidRPr="00F076D7" w:rsidRDefault="00767EC2" w:rsidP="00767EC2">
      <w:pPr>
        <w:keepNext/>
        <w:keepLines/>
        <w:rPr>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094169A3" w14:textId="77777777" w:rsidTr="00A83D07">
        <w:trPr>
          <w:cantSplit/>
        </w:trPr>
        <w:tc>
          <w:tcPr>
            <w:tcW w:w="1814" w:type="dxa"/>
            <w:tcBorders>
              <w:top w:val="nil"/>
              <w:left w:val="nil"/>
              <w:bottom w:val="nil"/>
              <w:right w:val="nil"/>
            </w:tcBorders>
            <w:shd w:val="clear" w:color="000000" w:fill="C5D9F1"/>
            <w:vAlign w:val="center"/>
            <w:hideMark/>
          </w:tcPr>
          <w:p w14:paraId="556A58DD" w14:textId="77777777" w:rsidR="00767EC2" w:rsidRPr="00F076D7" w:rsidRDefault="00767EC2" w:rsidP="00A83D07">
            <w:pPr>
              <w:keepNext/>
              <w:keepLines/>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6BDFEC73" w14:textId="77777777" w:rsidR="00767EC2" w:rsidRPr="00F076D7" w:rsidRDefault="00767EC2" w:rsidP="00A83D07">
            <w:pPr>
              <w:keepNext/>
              <w:keepLines/>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087EF3A3" w14:textId="77777777" w:rsidR="00767EC2" w:rsidRPr="00F076D7" w:rsidRDefault="00767EC2" w:rsidP="00A83D07">
            <w:pPr>
              <w:keepNext/>
              <w:keepLines/>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0955716F" w14:textId="77777777" w:rsidR="00767EC2" w:rsidRPr="00F076D7" w:rsidRDefault="00767EC2" w:rsidP="00A83D07">
            <w:pPr>
              <w:keepNext/>
              <w:keepLines/>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2DED7229" w14:textId="77777777" w:rsidR="00767EC2" w:rsidRPr="00F076D7" w:rsidRDefault="00767EC2" w:rsidP="00A83D07">
            <w:pPr>
              <w:keepNext/>
              <w:keepLines/>
              <w:jc w:val="center"/>
              <w:rPr>
                <w:b/>
                <w:bCs/>
                <w:sz w:val="16"/>
                <w:szCs w:val="16"/>
              </w:rPr>
            </w:pPr>
            <w:r w:rsidRPr="00F076D7">
              <w:rPr>
                <w:b/>
                <w:bCs/>
                <w:sz w:val="16"/>
                <w:szCs w:val="16"/>
              </w:rPr>
              <w:t>Solde au 31 décembre 2016</w:t>
            </w:r>
          </w:p>
        </w:tc>
      </w:tr>
      <w:tr w:rsidR="00767EC2" w:rsidRPr="00F076D7" w14:paraId="36F40476" w14:textId="77777777" w:rsidTr="00A83D07">
        <w:trPr>
          <w:cantSplit/>
        </w:trPr>
        <w:tc>
          <w:tcPr>
            <w:tcW w:w="1814" w:type="dxa"/>
            <w:tcBorders>
              <w:top w:val="nil"/>
              <w:left w:val="nil"/>
              <w:bottom w:val="nil"/>
              <w:right w:val="nil"/>
            </w:tcBorders>
            <w:shd w:val="clear" w:color="auto" w:fill="auto"/>
            <w:noWrap/>
            <w:vAlign w:val="bottom"/>
            <w:hideMark/>
          </w:tcPr>
          <w:p w14:paraId="2D7E446B" w14:textId="77777777" w:rsidR="00767EC2" w:rsidRPr="00F076D7" w:rsidRDefault="00767EC2" w:rsidP="00A83D07">
            <w:pPr>
              <w:jc w:val="center"/>
              <w:rPr>
                <w:sz w:val="16"/>
                <w:szCs w:val="16"/>
              </w:rPr>
            </w:pPr>
            <w:r w:rsidRPr="00F076D7">
              <w:rPr>
                <w:sz w:val="16"/>
                <w:szCs w:val="16"/>
              </w:rPr>
              <w:noBreakHyphen/>
            </w:r>
          </w:p>
        </w:tc>
        <w:tc>
          <w:tcPr>
            <w:tcW w:w="1814" w:type="dxa"/>
            <w:tcBorders>
              <w:top w:val="nil"/>
              <w:left w:val="nil"/>
              <w:bottom w:val="nil"/>
              <w:right w:val="nil"/>
            </w:tcBorders>
            <w:shd w:val="clear" w:color="auto" w:fill="auto"/>
            <w:noWrap/>
            <w:vAlign w:val="bottom"/>
            <w:hideMark/>
          </w:tcPr>
          <w:p w14:paraId="60138B2B" w14:textId="77777777" w:rsidR="00767EC2" w:rsidRPr="00F076D7" w:rsidRDefault="00767EC2" w:rsidP="00A83D07">
            <w:pPr>
              <w:jc w:val="center"/>
              <w:rPr>
                <w:sz w:val="16"/>
                <w:szCs w:val="16"/>
              </w:rPr>
            </w:pPr>
            <w:r w:rsidRPr="00F076D7">
              <w:rPr>
                <w:sz w:val="16"/>
                <w:szCs w:val="16"/>
              </w:rPr>
              <w:t>98 314</w:t>
            </w:r>
          </w:p>
        </w:tc>
        <w:tc>
          <w:tcPr>
            <w:tcW w:w="1815" w:type="dxa"/>
            <w:tcBorders>
              <w:top w:val="nil"/>
              <w:left w:val="nil"/>
              <w:bottom w:val="nil"/>
              <w:right w:val="nil"/>
            </w:tcBorders>
            <w:shd w:val="clear" w:color="auto" w:fill="auto"/>
            <w:noWrap/>
            <w:vAlign w:val="bottom"/>
            <w:hideMark/>
          </w:tcPr>
          <w:p w14:paraId="68CEE9B4" w14:textId="77777777" w:rsidR="00767EC2" w:rsidRPr="00F076D7" w:rsidRDefault="00767EC2" w:rsidP="00A83D07">
            <w:pPr>
              <w:jc w:val="center"/>
              <w:rPr>
                <w:sz w:val="16"/>
                <w:szCs w:val="16"/>
              </w:rPr>
            </w:pPr>
            <w:r w:rsidRPr="00F076D7">
              <w:rPr>
                <w:sz w:val="16"/>
                <w:szCs w:val="16"/>
              </w:rPr>
              <w:t>35 518</w:t>
            </w:r>
          </w:p>
        </w:tc>
        <w:tc>
          <w:tcPr>
            <w:tcW w:w="1814" w:type="dxa"/>
            <w:tcBorders>
              <w:top w:val="nil"/>
              <w:left w:val="nil"/>
              <w:bottom w:val="nil"/>
              <w:right w:val="nil"/>
            </w:tcBorders>
            <w:shd w:val="clear" w:color="auto" w:fill="auto"/>
            <w:noWrap/>
            <w:vAlign w:val="bottom"/>
            <w:hideMark/>
          </w:tcPr>
          <w:p w14:paraId="64E88C9C"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48671DEE" w14:textId="77777777" w:rsidR="00767EC2" w:rsidRPr="00F076D7" w:rsidRDefault="00767EC2" w:rsidP="00A83D07">
            <w:pPr>
              <w:jc w:val="center"/>
              <w:rPr>
                <w:sz w:val="16"/>
                <w:szCs w:val="16"/>
              </w:rPr>
            </w:pPr>
            <w:r w:rsidRPr="00F076D7">
              <w:rPr>
                <w:sz w:val="16"/>
                <w:szCs w:val="16"/>
              </w:rPr>
              <w:t>62 796</w:t>
            </w:r>
          </w:p>
        </w:tc>
      </w:tr>
    </w:tbl>
    <w:p w14:paraId="4A5BE3E8" w14:textId="77777777" w:rsidR="00767EC2" w:rsidRPr="00F076D7" w:rsidRDefault="00767EC2" w:rsidP="00767EC2"/>
    <w:p w14:paraId="4243083C" w14:textId="77777777" w:rsidR="00767EC2" w:rsidRPr="00F076D7" w:rsidRDefault="00767EC2" w:rsidP="00767EC2"/>
    <w:p w14:paraId="209FAE2E" w14:textId="77777777" w:rsidR="00767EC2" w:rsidRPr="00F076D7" w:rsidRDefault="00767EC2" w:rsidP="00767EC2">
      <w:pPr>
        <w:keepNext/>
        <w:keepLines/>
        <w:rPr>
          <w:b/>
          <w:sz w:val="20"/>
        </w:rPr>
      </w:pPr>
      <w:r w:rsidRPr="00F076D7">
        <w:rPr>
          <w:b/>
          <w:sz w:val="20"/>
        </w:rPr>
        <w:t>FINLANDE/DROIT D’AUTEUR</w:t>
      </w:r>
    </w:p>
    <w:p w14:paraId="28E9E005" w14:textId="77777777" w:rsidR="00767EC2" w:rsidRPr="00F076D7" w:rsidRDefault="00767EC2" w:rsidP="00767EC2">
      <w:pPr>
        <w:keepNext/>
        <w:keepLines/>
        <w:rPr>
          <w:bCs/>
          <w:sz w:val="20"/>
        </w:rPr>
      </w:pPr>
    </w:p>
    <w:tbl>
      <w:tblPr>
        <w:tblW w:w="4884" w:type="pct"/>
        <w:tblCellMar>
          <w:top w:w="57" w:type="dxa"/>
          <w:bottom w:w="57" w:type="dxa"/>
        </w:tblCellMar>
        <w:tblLook w:val="0000" w:firstRow="0" w:lastRow="0" w:firstColumn="0" w:lastColumn="0" w:noHBand="0" w:noVBand="0"/>
      </w:tblPr>
      <w:tblGrid>
        <w:gridCol w:w="1925"/>
        <w:gridCol w:w="1240"/>
        <w:gridCol w:w="1514"/>
        <w:gridCol w:w="4393"/>
      </w:tblGrid>
      <w:tr w:rsidR="00767EC2" w:rsidRPr="00F076D7" w14:paraId="5DE7528A" w14:textId="77777777" w:rsidTr="00A83D07">
        <w:trPr>
          <w:cantSplit/>
        </w:trPr>
        <w:tc>
          <w:tcPr>
            <w:tcW w:w="9072" w:type="dxa"/>
            <w:gridSpan w:val="4"/>
            <w:shd w:val="clear" w:color="auto" w:fill="C6D9F1" w:themeFill="text2" w:themeFillTint="33"/>
            <w:vAlign w:val="center"/>
          </w:tcPr>
          <w:p w14:paraId="2F43FA55" w14:textId="77777777" w:rsidR="00767EC2" w:rsidRPr="00F076D7" w:rsidRDefault="00767EC2" w:rsidP="00A83D07">
            <w:pPr>
              <w:keepNext/>
              <w:keepLines/>
              <w:tabs>
                <w:tab w:val="left" w:pos="1740"/>
              </w:tabs>
              <w:rPr>
                <w:b/>
                <w:bCs/>
                <w:sz w:val="16"/>
                <w:szCs w:val="16"/>
              </w:rPr>
            </w:pPr>
            <w:r w:rsidRPr="00F076D7">
              <w:rPr>
                <w:b/>
                <w:bCs/>
                <w:sz w:val="16"/>
                <w:szCs w:val="16"/>
              </w:rPr>
              <w:t>RÉSULTAT </w:t>
            </w:r>
            <w:r>
              <w:rPr>
                <w:b/>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6C51AB0A" w14:textId="77777777" w:rsidTr="00A83D07">
        <w:trPr>
          <w:cantSplit/>
        </w:trPr>
        <w:tc>
          <w:tcPr>
            <w:tcW w:w="1925" w:type="dxa"/>
            <w:vAlign w:val="center"/>
          </w:tcPr>
          <w:p w14:paraId="0E5652CD" w14:textId="77777777" w:rsidR="00767EC2" w:rsidRPr="00F076D7" w:rsidRDefault="00767EC2" w:rsidP="00A83D07">
            <w:pPr>
              <w:keepNext/>
              <w:keepLines/>
              <w:rPr>
                <w:b/>
                <w:bCs/>
                <w:sz w:val="16"/>
                <w:szCs w:val="16"/>
              </w:rPr>
            </w:pPr>
            <w:r w:rsidRPr="00F076D7">
              <w:rPr>
                <w:b/>
                <w:bCs/>
                <w:sz w:val="16"/>
                <w:szCs w:val="16"/>
              </w:rPr>
              <w:t>Activité</w:t>
            </w:r>
          </w:p>
        </w:tc>
        <w:tc>
          <w:tcPr>
            <w:tcW w:w="1240" w:type="dxa"/>
            <w:shd w:val="clear" w:color="auto" w:fill="auto"/>
            <w:tcMar>
              <w:top w:w="57" w:type="dxa"/>
            </w:tcMar>
            <w:vAlign w:val="center"/>
          </w:tcPr>
          <w:p w14:paraId="20B32DB5" w14:textId="77777777" w:rsidR="00767EC2" w:rsidRPr="00F076D7" w:rsidRDefault="00767EC2" w:rsidP="00A83D07">
            <w:pPr>
              <w:keepNext/>
              <w:keepLines/>
              <w:rPr>
                <w:b/>
                <w:sz w:val="16"/>
                <w:szCs w:val="16"/>
              </w:rPr>
            </w:pPr>
            <w:r w:rsidRPr="00F076D7">
              <w:rPr>
                <w:b/>
                <w:sz w:val="16"/>
                <w:szCs w:val="16"/>
              </w:rPr>
              <w:t>Date</w:t>
            </w:r>
          </w:p>
        </w:tc>
        <w:tc>
          <w:tcPr>
            <w:tcW w:w="1514" w:type="dxa"/>
            <w:shd w:val="clear" w:color="auto" w:fill="auto"/>
            <w:tcMar>
              <w:top w:w="57" w:type="dxa"/>
            </w:tcMar>
            <w:vAlign w:val="center"/>
          </w:tcPr>
          <w:p w14:paraId="14ED4B2E" w14:textId="77777777" w:rsidR="00767EC2" w:rsidRPr="00F076D7" w:rsidRDefault="00767EC2" w:rsidP="00A83D07">
            <w:pPr>
              <w:keepNext/>
              <w:keepLines/>
              <w:rPr>
                <w:b/>
                <w:sz w:val="16"/>
                <w:szCs w:val="16"/>
              </w:rPr>
            </w:pPr>
            <w:r w:rsidRPr="00F076D7">
              <w:rPr>
                <w:b/>
                <w:sz w:val="16"/>
                <w:szCs w:val="16"/>
              </w:rPr>
              <w:t>Pays hôte/ bénéficiaires</w:t>
            </w:r>
          </w:p>
        </w:tc>
        <w:tc>
          <w:tcPr>
            <w:tcW w:w="4393" w:type="dxa"/>
            <w:shd w:val="clear" w:color="auto" w:fill="FFFFFF"/>
            <w:tcMar>
              <w:top w:w="57" w:type="dxa"/>
            </w:tcMar>
            <w:vAlign w:val="center"/>
          </w:tcPr>
          <w:p w14:paraId="6E69CFB1"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6E215827" w14:textId="77777777" w:rsidTr="00A83D07">
        <w:tblPrEx>
          <w:tblLook w:val="04A0" w:firstRow="1" w:lastRow="0" w:firstColumn="1" w:lastColumn="0" w:noHBand="0" w:noVBand="1"/>
        </w:tblPrEx>
        <w:trPr>
          <w:cantSplit/>
        </w:trPr>
        <w:tc>
          <w:tcPr>
            <w:tcW w:w="1925" w:type="dxa"/>
          </w:tcPr>
          <w:p w14:paraId="141B947F"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Élaboration de directives relatives à l’évaluation de l’impact économique, social et culturel du droit d’auteur dans les industries créatives</w:t>
            </w:r>
          </w:p>
        </w:tc>
        <w:tc>
          <w:tcPr>
            <w:tcW w:w="1240" w:type="dxa"/>
          </w:tcPr>
          <w:p w14:paraId="011C9B57"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Mars 2016</w:t>
            </w:r>
          </w:p>
        </w:tc>
        <w:tc>
          <w:tcPr>
            <w:tcW w:w="1514" w:type="dxa"/>
          </w:tcPr>
          <w:p w14:paraId="41800BDB"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Finlande</w:t>
            </w:r>
          </w:p>
        </w:tc>
        <w:tc>
          <w:tcPr>
            <w:tcW w:w="4393" w:type="dxa"/>
          </w:tcPr>
          <w:p w14:paraId="6853B3B0"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Soumission à des experts de la phase pilote du projet relatif à l’évaluation de l’impact économique, social et culturel du droit d’auteur sur les industries créatives en Finlande, l’objectif étant de tester la mise en œuvre des directives de l’OMPI en Finlande.</w:t>
            </w:r>
          </w:p>
        </w:tc>
      </w:tr>
    </w:tbl>
    <w:p w14:paraId="103FBB9E" w14:textId="77777777" w:rsidR="00767EC2" w:rsidRPr="00F076D7" w:rsidRDefault="00767EC2" w:rsidP="00767EC2">
      <w:pPr>
        <w:rPr>
          <w:sz w:val="20"/>
        </w:rPr>
      </w:pPr>
    </w:p>
    <w:p w14:paraId="780D6201" w14:textId="77777777" w:rsidR="00767EC2" w:rsidRPr="00F076D7" w:rsidRDefault="00767EC2" w:rsidP="00767EC2">
      <w:pPr>
        <w:rPr>
          <w:sz w:val="20"/>
        </w:rPr>
      </w:pPr>
    </w:p>
    <w:p w14:paraId="3475B6C0" w14:textId="77777777" w:rsidR="00767EC2" w:rsidRPr="00F076D7" w:rsidRDefault="00767EC2" w:rsidP="00767EC2">
      <w:pPr>
        <w:keepNext/>
        <w:rPr>
          <w:b/>
          <w:sz w:val="20"/>
        </w:rPr>
      </w:pPr>
      <w:r w:rsidRPr="00F076D7">
        <w:rPr>
          <w:b/>
          <w:sz w:val="20"/>
        </w:rPr>
        <w:t>FINLANDE/DROIT D’AUTEUR – Contributions des donateurs et dépenses en 2016</w:t>
      </w:r>
    </w:p>
    <w:p w14:paraId="22F0BD4B" w14:textId="77777777" w:rsidR="00767EC2" w:rsidRPr="00F076D7" w:rsidRDefault="00767EC2" w:rsidP="00767EC2">
      <w:pPr>
        <w:keepNext/>
        <w:rPr>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16803B60" w14:textId="77777777" w:rsidTr="00A83D07">
        <w:trPr>
          <w:cantSplit/>
        </w:trPr>
        <w:tc>
          <w:tcPr>
            <w:tcW w:w="1814" w:type="dxa"/>
            <w:shd w:val="clear" w:color="000000" w:fill="C5D9F1"/>
            <w:vAlign w:val="center"/>
            <w:hideMark/>
          </w:tcPr>
          <w:p w14:paraId="089A9C0C" w14:textId="77777777" w:rsidR="00767EC2" w:rsidRPr="00F076D7" w:rsidRDefault="00767EC2" w:rsidP="00A83D07">
            <w:pPr>
              <w:keepNext/>
              <w:jc w:val="center"/>
              <w:rPr>
                <w:b/>
                <w:bCs/>
                <w:sz w:val="16"/>
                <w:szCs w:val="16"/>
              </w:rPr>
            </w:pPr>
            <w:r w:rsidRPr="00F076D7">
              <w:rPr>
                <w:b/>
                <w:bCs/>
                <w:sz w:val="16"/>
                <w:szCs w:val="16"/>
              </w:rPr>
              <w:t>Solde au 31 décembre 2015</w:t>
            </w:r>
          </w:p>
        </w:tc>
        <w:tc>
          <w:tcPr>
            <w:tcW w:w="1814" w:type="dxa"/>
            <w:shd w:val="clear" w:color="000000" w:fill="C5D9F1"/>
            <w:noWrap/>
            <w:vAlign w:val="center"/>
            <w:hideMark/>
          </w:tcPr>
          <w:p w14:paraId="2E613BDF" w14:textId="77777777" w:rsidR="00767EC2" w:rsidRPr="00F076D7" w:rsidRDefault="00767EC2" w:rsidP="00A83D07">
            <w:pPr>
              <w:keepNext/>
              <w:jc w:val="center"/>
              <w:rPr>
                <w:b/>
                <w:bCs/>
                <w:sz w:val="16"/>
                <w:szCs w:val="16"/>
              </w:rPr>
            </w:pPr>
            <w:r w:rsidRPr="00F076D7">
              <w:rPr>
                <w:b/>
                <w:bCs/>
                <w:sz w:val="16"/>
                <w:szCs w:val="16"/>
              </w:rPr>
              <w:t>Recettes 2016</w:t>
            </w:r>
          </w:p>
        </w:tc>
        <w:tc>
          <w:tcPr>
            <w:tcW w:w="1815" w:type="dxa"/>
            <w:shd w:val="clear" w:color="000000" w:fill="C5D9F1"/>
            <w:noWrap/>
            <w:vAlign w:val="center"/>
            <w:hideMark/>
          </w:tcPr>
          <w:p w14:paraId="6342A6BD" w14:textId="77777777" w:rsidR="00767EC2" w:rsidRPr="00F076D7" w:rsidRDefault="00767EC2" w:rsidP="00A83D07">
            <w:pPr>
              <w:keepNext/>
              <w:jc w:val="center"/>
              <w:rPr>
                <w:b/>
                <w:bCs/>
                <w:sz w:val="16"/>
                <w:szCs w:val="16"/>
              </w:rPr>
            </w:pPr>
            <w:r w:rsidRPr="00F076D7">
              <w:rPr>
                <w:b/>
                <w:bCs/>
                <w:sz w:val="16"/>
                <w:szCs w:val="16"/>
              </w:rPr>
              <w:t>Dépenses 2016</w:t>
            </w:r>
          </w:p>
        </w:tc>
        <w:tc>
          <w:tcPr>
            <w:tcW w:w="1814" w:type="dxa"/>
            <w:shd w:val="clear" w:color="000000" w:fill="C5D9F1"/>
            <w:noWrap/>
            <w:vAlign w:val="center"/>
            <w:hideMark/>
          </w:tcPr>
          <w:p w14:paraId="0F037A81" w14:textId="77777777" w:rsidR="00767EC2" w:rsidRPr="00F076D7" w:rsidRDefault="00767EC2" w:rsidP="00A83D07">
            <w:pPr>
              <w:keepNext/>
              <w:jc w:val="center"/>
              <w:rPr>
                <w:b/>
                <w:bCs/>
                <w:sz w:val="16"/>
                <w:szCs w:val="16"/>
              </w:rPr>
            </w:pPr>
            <w:r w:rsidRPr="00F076D7">
              <w:rPr>
                <w:b/>
                <w:bCs/>
                <w:sz w:val="16"/>
                <w:szCs w:val="16"/>
              </w:rPr>
              <w:t>Remboursements</w:t>
            </w:r>
          </w:p>
        </w:tc>
        <w:tc>
          <w:tcPr>
            <w:tcW w:w="1815" w:type="dxa"/>
            <w:shd w:val="clear" w:color="000000" w:fill="C5D9F1"/>
            <w:vAlign w:val="center"/>
            <w:hideMark/>
          </w:tcPr>
          <w:p w14:paraId="137F522D" w14:textId="77777777" w:rsidR="00767EC2" w:rsidRPr="00F076D7" w:rsidRDefault="00767EC2" w:rsidP="00A83D07">
            <w:pPr>
              <w:keepNext/>
              <w:jc w:val="center"/>
              <w:rPr>
                <w:b/>
                <w:bCs/>
                <w:sz w:val="16"/>
                <w:szCs w:val="16"/>
              </w:rPr>
            </w:pPr>
            <w:r w:rsidRPr="00F076D7">
              <w:rPr>
                <w:b/>
                <w:bCs/>
                <w:sz w:val="16"/>
                <w:szCs w:val="16"/>
              </w:rPr>
              <w:t>Solde au 31 décembre 2016</w:t>
            </w:r>
          </w:p>
        </w:tc>
      </w:tr>
      <w:tr w:rsidR="00767EC2" w:rsidRPr="00F076D7" w14:paraId="6516CEEC" w14:textId="77777777" w:rsidTr="00A83D07">
        <w:trPr>
          <w:cantSplit/>
        </w:trPr>
        <w:tc>
          <w:tcPr>
            <w:tcW w:w="1814" w:type="dxa"/>
            <w:shd w:val="clear" w:color="auto" w:fill="auto"/>
            <w:noWrap/>
            <w:vAlign w:val="bottom"/>
            <w:hideMark/>
          </w:tcPr>
          <w:p w14:paraId="5072A019" w14:textId="77777777" w:rsidR="00767EC2" w:rsidRPr="00F076D7" w:rsidRDefault="00767EC2" w:rsidP="00A83D07">
            <w:pPr>
              <w:jc w:val="center"/>
              <w:rPr>
                <w:sz w:val="16"/>
                <w:szCs w:val="16"/>
              </w:rPr>
            </w:pPr>
            <w:r w:rsidRPr="00F076D7">
              <w:rPr>
                <w:sz w:val="16"/>
                <w:szCs w:val="16"/>
              </w:rPr>
              <w:t>14 360</w:t>
            </w:r>
          </w:p>
        </w:tc>
        <w:tc>
          <w:tcPr>
            <w:tcW w:w="1814" w:type="dxa"/>
            <w:shd w:val="clear" w:color="auto" w:fill="auto"/>
            <w:noWrap/>
            <w:vAlign w:val="bottom"/>
            <w:hideMark/>
          </w:tcPr>
          <w:p w14:paraId="5874D132" w14:textId="77777777" w:rsidR="00767EC2" w:rsidRPr="00F076D7" w:rsidRDefault="00767EC2" w:rsidP="00A83D07">
            <w:pPr>
              <w:jc w:val="center"/>
              <w:rPr>
                <w:sz w:val="16"/>
                <w:szCs w:val="16"/>
              </w:rPr>
            </w:pPr>
            <w:r w:rsidRPr="00F076D7">
              <w:rPr>
                <w:sz w:val="16"/>
                <w:szCs w:val="16"/>
              </w:rPr>
              <w:noBreakHyphen/>
            </w:r>
          </w:p>
        </w:tc>
        <w:tc>
          <w:tcPr>
            <w:tcW w:w="1815" w:type="dxa"/>
            <w:shd w:val="clear" w:color="auto" w:fill="auto"/>
            <w:noWrap/>
            <w:vAlign w:val="bottom"/>
            <w:hideMark/>
          </w:tcPr>
          <w:p w14:paraId="148A5D82" w14:textId="77777777" w:rsidR="00767EC2" w:rsidRPr="00F076D7" w:rsidRDefault="00767EC2" w:rsidP="00A83D07">
            <w:pPr>
              <w:jc w:val="center"/>
              <w:rPr>
                <w:sz w:val="16"/>
                <w:szCs w:val="16"/>
              </w:rPr>
            </w:pPr>
            <w:r w:rsidRPr="00F076D7">
              <w:rPr>
                <w:sz w:val="16"/>
                <w:szCs w:val="16"/>
              </w:rPr>
              <w:t>11 345</w:t>
            </w:r>
          </w:p>
        </w:tc>
        <w:tc>
          <w:tcPr>
            <w:tcW w:w="1814" w:type="dxa"/>
            <w:shd w:val="clear" w:color="auto" w:fill="auto"/>
            <w:noWrap/>
            <w:vAlign w:val="bottom"/>
            <w:hideMark/>
          </w:tcPr>
          <w:p w14:paraId="1B31FEC0" w14:textId="77777777" w:rsidR="00767EC2" w:rsidRPr="00F076D7" w:rsidRDefault="00767EC2" w:rsidP="00A83D07">
            <w:pPr>
              <w:jc w:val="center"/>
              <w:rPr>
                <w:sz w:val="16"/>
                <w:szCs w:val="16"/>
              </w:rPr>
            </w:pPr>
            <w:r w:rsidRPr="00F076D7">
              <w:rPr>
                <w:sz w:val="16"/>
                <w:szCs w:val="16"/>
              </w:rPr>
              <w:noBreakHyphen/>
            </w:r>
          </w:p>
        </w:tc>
        <w:tc>
          <w:tcPr>
            <w:tcW w:w="1815" w:type="dxa"/>
            <w:shd w:val="clear" w:color="auto" w:fill="auto"/>
            <w:noWrap/>
            <w:vAlign w:val="bottom"/>
            <w:hideMark/>
          </w:tcPr>
          <w:p w14:paraId="6806B9E7" w14:textId="77777777" w:rsidR="00767EC2" w:rsidRPr="00F076D7" w:rsidRDefault="00767EC2" w:rsidP="00A83D07">
            <w:pPr>
              <w:jc w:val="center"/>
              <w:rPr>
                <w:sz w:val="16"/>
                <w:szCs w:val="16"/>
              </w:rPr>
            </w:pPr>
            <w:r w:rsidRPr="00F076D7">
              <w:rPr>
                <w:sz w:val="16"/>
                <w:szCs w:val="16"/>
              </w:rPr>
              <w:t>3 015</w:t>
            </w:r>
          </w:p>
        </w:tc>
      </w:tr>
    </w:tbl>
    <w:p w14:paraId="370D252D" w14:textId="77777777" w:rsidR="00767EC2" w:rsidRPr="00F076D7" w:rsidRDefault="00767EC2" w:rsidP="00767EC2">
      <w:pPr>
        <w:rPr>
          <w:sz w:val="20"/>
        </w:rPr>
      </w:pPr>
    </w:p>
    <w:p w14:paraId="0E580957" w14:textId="77777777" w:rsidR="00767EC2" w:rsidRPr="00F076D7" w:rsidRDefault="00767EC2" w:rsidP="00767EC2">
      <w:pPr>
        <w:rPr>
          <w:sz w:val="20"/>
        </w:rPr>
      </w:pPr>
    </w:p>
    <w:p w14:paraId="19029254" w14:textId="77777777" w:rsidR="004E4A91" w:rsidRDefault="004E4A91">
      <w:pPr>
        <w:rPr>
          <w:rFonts w:cs="Times New Roman"/>
          <w:b/>
          <w:sz w:val="20"/>
        </w:rPr>
      </w:pPr>
      <w:r>
        <w:rPr>
          <w:rFonts w:cs="Times New Roman"/>
          <w:b/>
          <w:sz w:val="20"/>
        </w:rPr>
        <w:br w:type="page"/>
      </w:r>
    </w:p>
    <w:p w14:paraId="626B07D9" w14:textId="677BF212" w:rsidR="00767EC2" w:rsidRPr="00F076D7" w:rsidRDefault="00767EC2" w:rsidP="00767EC2">
      <w:pPr>
        <w:rPr>
          <w:rFonts w:cs="Times New Roman"/>
          <w:b/>
          <w:sz w:val="20"/>
        </w:rPr>
      </w:pPr>
      <w:r w:rsidRPr="00F076D7">
        <w:rPr>
          <w:rFonts w:cs="Times New Roman"/>
          <w:b/>
          <w:sz w:val="20"/>
        </w:rPr>
        <w:t>FONDS DES NATIONS UNIES POUR LES PARTENARIATS INTERNATIONAUX – Mettre fin à la pénurie d’ouvrages destinés aux personnes handicapées</w:t>
      </w:r>
    </w:p>
    <w:p w14:paraId="3F190758" w14:textId="77777777" w:rsidR="00767EC2" w:rsidRPr="00F076D7" w:rsidRDefault="00767EC2" w:rsidP="00767EC2">
      <w:pPr>
        <w:rPr>
          <w:rFonts w:asciiTheme="minorBidi" w:hAnsiTheme="minorBidi" w:cstheme="minorBidi"/>
          <w:sz w:val="20"/>
        </w:rPr>
      </w:pPr>
    </w:p>
    <w:tbl>
      <w:tblPr>
        <w:tblW w:w="4884" w:type="pct"/>
        <w:tblCellMar>
          <w:top w:w="57" w:type="dxa"/>
          <w:bottom w:w="57" w:type="dxa"/>
        </w:tblCellMar>
        <w:tblLook w:val="04A0" w:firstRow="1" w:lastRow="0" w:firstColumn="1" w:lastColumn="0" w:noHBand="0" w:noVBand="1"/>
      </w:tblPr>
      <w:tblGrid>
        <w:gridCol w:w="1788"/>
        <w:gridCol w:w="1241"/>
        <w:gridCol w:w="1378"/>
        <w:gridCol w:w="4665"/>
      </w:tblGrid>
      <w:tr w:rsidR="00767EC2" w:rsidRPr="00F076D7" w14:paraId="0D27CDA0" w14:textId="77777777" w:rsidTr="00A83D07">
        <w:trPr>
          <w:cantSplit/>
        </w:trPr>
        <w:tc>
          <w:tcPr>
            <w:tcW w:w="9072" w:type="dxa"/>
            <w:gridSpan w:val="4"/>
            <w:shd w:val="clear" w:color="auto" w:fill="C6D9F1" w:themeFill="text2" w:themeFillTint="33"/>
            <w:hideMark/>
          </w:tcPr>
          <w:p w14:paraId="3E3B89F2" w14:textId="77777777" w:rsidR="00767EC2" w:rsidRPr="00F076D7" w:rsidRDefault="00767EC2" w:rsidP="00A83D07">
            <w:pPr>
              <w:tabs>
                <w:tab w:val="left" w:pos="1740"/>
              </w:tabs>
              <w:rPr>
                <w:rFonts w:cs="Times New Roman"/>
                <w:sz w:val="16"/>
                <w:szCs w:val="16"/>
              </w:rPr>
            </w:pPr>
            <w:r w:rsidRPr="00F076D7">
              <w:rPr>
                <w:rFonts w:cs="Times New Roman"/>
                <w:b/>
                <w:sz w:val="16"/>
                <w:szCs w:val="16"/>
              </w:rPr>
              <w:t>RÉSULTAT</w:t>
            </w:r>
            <w:r w:rsidRPr="00F076D7">
              <w:rPr>
                <w:rFonts w:cs="Times New Roman"/>
                <w:sz w:val="16"/>
                <w:szCs w:val="16"/>
              </w:rPr>
              <w:t> </w:t>
            </w:r>
            <w:r>
              <w:rPr>
                <w:rFonts w:cs="Times New Roman"/>
                <w:sz w:val="16"/>
                <w:szCs w:val="16"/>
              </w:rPr>
              <w:t xml:space="preserve">: </w:t>
            </w:r>
            <w:r w:rsidRPr="00F076D7">
              <w:rPr>
                <w:rFonts w:cs="Times New Roman"/>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3556EA11" w14:textId="77777777" w:rsidTr="00A83D07">
        <w:trPr>
          <w:cantSplit/>
        </w:trPr>
        <w:tc>
          <w:tcPr>
            <w:tcW w:w="1788" w:type="dxa"/>
            <w:vAlign w:val="center"/>
            <w:hideMark/>
          </w:tcPr>
          <w:p w14:paraId="4B083C41" w14:textId="77777777" w:rsidR="00767EC2" w:rsidRPr="00F076D7" w:rsidRDefault="00767EC2" w:rsidP="00A83D07">
            <w:pPr>
              <w:rPr>
                <w:b/>
                <w:bCs/>
                <w:sz w:val="16"/>
                <w:szCs w:val="16"/>
              </w:rPr>
            </w:pPr>
            <w:r w:rsidRPr="00F076D7">
              <w:rPr>
                <w:b/>
                <w:bCs/>
                <w:sz w:val="16"/>
                <w:szCs w:val="16"/>
              </w:rPr>
              <w:t>Activité</w:t>
            </w:r>
          </w:p>
        </w:tc>
        <w:tc>
          <w:tcPr>
            <w:tcW w:w="1241" w:type="dxa"/>
            <w:vAlign w:val="center"/>
            <w:hideMark/>
          </w:tcPr>
          <w:p w14:paraId="15FC6E3F" w14:textId="77777777" w:rsidR="00767EC2" w:rsidRPr="00F076D7" w:rsidRDefault="00767EC2" w:rsidP="00A83D07">
            <w:pPr>
              <w:rPr>
                <w:b/>
                <w:sz w:val="16"/>
                <w:szCs w:val="16"/>
              </w:rPr>
            </w:pPr>
            <w:r w:rsidRPr="00F076D7">
              <w:rPr>
                <w:b/>
                <w:sz w:val="16"/>
                <w:szCs w:val="16"/>
              </w:rPr>
              <w:t>Date</w:t>
            </w:r>
          </w:p>
        </w:tc>
        <w:tc>
          <w:tcPr>
            <w:tcW w:w="1378" w:type="dxa"/>
            <w:vAlign w:val="center"/>
            <w:hideMark/>
          </w:tcPr>
          <w:p w14:paraId="101E1831" w14:textId="77777777" w:rsidR="00767EC2" w:rsidRPr="00F076D7" w:rsidRDefault="00767EC2" w:rsidP="00A83D07">
            <w:pPr>
              <w:rPr>
                <w:b/>
                <w:sz w:val="16"/>
                <w:szCs w:val="16"/>
              </w:rPr>
            </w:pPr>
            <w:r w:rsidRPr="00F076D7">
              <w:rPr>
                <w:b/>
                <w:sz w:val="16"/>
                <w:szCs w:val="16"/>
              </w:rPr>
              <w:t>Pays hôte/ bénéficiaires</w:t>
            </w:r>
          </w:p>
        </w:tc>
        <w:tc>
          <w:tcPr>
            <w:tcW w:w="4665" w:type="dxa"/>
            <w:vAlign w:val="center"/>
            <w:hideMark/>
          </w:tcPr>
          <w:p w14:paraId="6D92D734" w14:textId="77777777" w:rsidR="00767EC2" w:rsidRPr="00F076D7" w:rsidRDefault="00767EC2" w:rsidP="00A83D07">
            <w:pPr>
              <w:rPr>
                <w:b/>
                <w:sz w:val="16"/>
                <w:szCs w:val="16"/>
              </w:rPr>
            </w:pPr>
            <w:r w:rsidRPr="00F076D7">
              <w:rPr>
                <w:b/>
                <w:sz w:val="16"/>
                <w:szCs w:val="16"/>
              </w:rPr>
              <w:t>Objectif(s)/description(s)</w:t>
            </w:r>
          </w:p>
        </w:tc>
      </w:tr>
      <w:tr w:rsidR="00767EC2" w:rsidRPr="00F076D7" w14:paraId="004B72A4" w14:textId="77777777" w:rsidTr="00A83D07">
        <w:trPr>
          <w:cantSplit/>
        </w:trPr>
        <w:tc>
          <w:tcPr>
            <w:tcW w:w="1788" w:type="dxa"/>
          </w:tcPr>
          <w:p w14:paraId="625E5189" w14:textId="77777777" w:rsidR="00767EC2" w:rsidRPr="00F076D7" w:rsidRDefault="00767EC2" w:rsidP="00A83D07">
            <w:pPr>
              <w:autoSpaceDE w:val="0"/>
              <w:autoSpaceDN w:val="0"/>
              <w:adjustRightInd w:val="0"/>
              <w:rPr>
                <w:sz w:val="16"/>
                <w:szCs w:val="16"/>
              </w:rPr>
            </w:pPr>
            <w:r w:rsidRPr="00F076D7">
              <w:rPr>
                <w:rFonts w:eastAsiaTheme="minorHAnsi"/>
                <w:sz w:val="16"/>
                <w:szCs w:val="16"/>
              </w:rPr>
              <w:t>Formation et assistance technique par le biais d’un protocole d’entente avec le Consortium DAISY, l’un des partenaires d’exécution du Consortium pour des livres accessibles (ABC).</w:t>
            </w:r>
          </w:p>
        </w:tc>
        <w:tc>
          <w:tcPr>
            <w:tcW w:w="1241" w:type="dxa"/>
          </w:tcPr>
          <w:p w14:paraId="576AD9EC" w14:textId="77777777" w:rsidR="00767EC2" w:rsidRPr="00F076D7" w:rsidRDefault="00767EC2" w:rsidP="00A83D07">
            <w:pPr>
              <w:autoSpaceDE w:val="0"/>
              <w:autoSpaceDN w:val="0"/>
              <w:adjustRightInd w:val="0"/>
              <w:rPr>
                <w:sz w:val="16"/>
                <w:szCs w:val="16"/>
              </w:rPr>
            </w:pPr>
            <w:r w:rsidRPr="00F076D7">
              <w:rPr>
                <w:sz w:val="16"/>
                <w:szCs w:val="16"/>
              </w:rPr>
              <w:t>1</w:t>
            </w:r>
            <w:r w:rsidRPr="00F076D7">
              <w:rPr>
                <w:sz w:val="16"/>
                <w:szCs w:val="16"/>
                <w:vertAlign w:val="superscript"/>
              </w:rPr>
              <w:t>er</w:t>
            </w:r>
            <w:r w:rsidRPr="00F076D7">
              <w:rPr>
                <w:sz w:val="16"/>
                <w:szCs w:val="16"/>
              </w:rPr>
              <w:t> juillet – 31 décembre 2016</w:t>
            </w:r>
          </w:p>
          <w:p w14:paraId="393714D1"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1378" w:type="dxa"/>
          </w:tcPr>
          <w:p w14:paraId="112666DA" w14:textId="77777777" w:rsidR="00767EC2" w:rsidRPr="00F076D7" w:rsidRDefault="00767EC2" w:rsidP="00A83D07">
            <w:pPr>
              <w:autoSpaceDE w:val="0"/>
              <w:autoSpaceDN w:val="0"/>
              <w:adjustRightInd w:val="0"/>
              <w:rPr>
                <w:sz w:val="16"/>
                <w:szCs w:val="16"/>
              </w:rPr>
            </w:pPr>
            <w:r w:rsidRPr="00F076D7">
              <w:rPr>
                <w:sz w:val="16"/>
                <w:szCs w:val="16"/>
              </w:rPr>
              <w:t>Inde</w:t>
            </w:r>
          </w:p>
        </w:tc>
        <w:tc>
          <w:tcPr>
            <w:tcW w:w="4665" w:type="dxa"/>
          </w:tcPr>
          <w:p w14:paraId="09447345" w14:textId="77777777" w:rsidR="00767EC2" w:rsidRPr="00F076D7" w:rsidRDefault="00767EC2" w:rsidP="00A83D07">
            <w:pPr>
              <w:rPr>
                <w:rFonts w:eastAsiaTheme="minorHAnsi"/>
                <w:sz w:val="16"/>
                <w:szCs w:val="16"/>
              </w:rPr>
            </w:pPr>
            <w:r w:rsidRPr="00F076D7">
              <w:rPr>
                <w:sz w:val="16"/>
                <w:szCs w:val="16"/>
              </w:rPr>
              <w:t xml:space="preserve">i) Sensibiliser </w:t>
            </w:r>
            <w:r w:rsidRPr="00F076D7">
              <w:rPr>
                <w:rFonts w:eastAsiaTheme="minorHAnsi"/>
                <w:sz w:val="16"/>
                <w:szCs w:val="16"/>
              </w:rPr>
              <w:t>les principales parties prenantes</w:t>
            </w:r>
            <w:r w:rsidRPr="00F076D7">
              <w:rPr>
                <w:sz w:val="16"/>
                <w:szCs w:val="16"/>
              </w:rPr>
              <w:t xml:space="preserve"> aux</w:t>
            </w:r>
            <w:r w:rsidRPr="00F076D7">
              <w:rPr>
                <w:rFonts w:eastAsiaTheme="minorHAnsi"/>
                <w:sz w:val="16"/>
                <w:szCs w:val="16"/>
              </w:rPr>
              <w:t xml:space="preserve"> problèmes d’accessibilité que rencontrent les personnes ayant des difficultés de lecture des textes imprimés;  ii) former les éditeurs de manuels scolaires des états indiens de Haryana, de Chhattisgarh, de </w:t>
            </w:r>
            <w:proofErr w:type="spellStart"/>
            <w:r w:rsidRPr="00F076D7">
              <w:rPr>
                <w:rFonts w:eastAsiaTheme="minorHAnsi"/>
                <w:sz w:val="16"/>
                <w:szCs w:val="16"/>
              </w:rPr>
              <w:t>Maharashtra</w:t>
            </w:r>
            <w:proofErr w:type="spellEnd"/>
            <w:r w:rsidRPr="00F076D7">
              <w:rPr>
                <w:rFonts w:eastAsiaTheme="minorHAnsi"/>
                <w:sz w:val="16"/>
                <w:szCs w:val="16"/>
              </w:rPr>
              <w:t xml:space="preserve">, de Karnataka, de Tamil Nadu, d’Andhra </w:t>
            </w:r>
            <w:proofErr w:type="spellStart"/>
            <w:r w:rsidRPr="00F076D7">
              <w:rPr>
                <w:rFonts w:eastAsiaTheme="minorHAnsi"/>
                <w:sz w:val="16"/>
                <w:szCs w:val="16"/>
              </w:rPr>
              <w:t>Pradesh</w:t>
            </w:r>
            <w:proofErr w:type="spellEnd"/>
            <w:r w:rsidRPr="00F076D7">
              <w:rPr>
                <w:rFonts w:eastAsiaTheme="minorHAnsi"/>
                <w:sz w:val="16"/>
                <w:szCs w:val="16"/>
              </w:rPr>
              <w:t xml:space="preserve"> et de Gujarat à la production de livres électroniques afin qu’ils puissent :</w:t>
            </w:r>
          </w:p>
          <w:p w14:paraId="2206C8C7" w14:textId="77777777" w:rsidR="00767EC2" w:rsidRPr="00F076D7" w:rsidRDefault="00767EC2" w:rsidP="00767EC2">
            <w:pPr>
              <w:numPr>
                <w:ilvl w:val="0"/>
                <w:numId w:val="48"/>
              </w:numPr>
              <w:spacing w:line="257" w:lineRule="auto"/>
              <w:ind w:left="413" w:hanging="413"/>
              <w:contextualSpacing/>
              <w:rPr>
                <w:rFonts w:eastAsiaTheme="minorHAnsi"/>
                <w:sz w:val="16"/>
                <w:szCs w:val="16"/>
              </w:rPr>
            </w:pPr>
            <w:r w:rsidRPr="00F076D7">
              <w:rPr>
                <w:rFonts w:eastAsiaTheme="minorHAnsi"/>
                <w:sz w:val="16"/>
                <w:szCs w:val="16"/>
              </w:rPr>
              <w:t xml:space="preserve">convertir les manuels existants au format </w:t>
            </w:r>
            <w:proofErr w:type="spellStart"/>
            <w:r w:rsidRPr="00F076D7">
              <w:rPr>
                <w:rFonts w:eastAsiaTheme="minorHAnsi"/>
                <w:sz w:val="16"/>
                <w:szCs w:val="16"/>
              </w:rPr>
              <w:t>EPub</w:t>
            </w:r>
            <w:proofErr w:type="spellEnd"/>
            <w:r w:rsidRPr="00F076D7">
              <w:rPr>
                <w:rFonts w:eastAsiaTheme="minorHAnsi"/>
                <w:sz w:val="16"/>
                <w:szCs w:val="16"/>
              </w:rPr>
              <w:t xml:space="preserve"> accessible utilisant la table de caractères Unicode pour les classes de l’enseignement secondaire;</w:t>
            </w:r>
          </w:p>
          <w:p w14:paraId="7951424C" w14:textId="77777777" w:rsidR="00767EC2" w:rsidRPr="00F076D7" w:rsidRDefault="00767EC2" w:rsidP="00767EC2">
            <w:pPr>
              <w:numPr>
                <w:ilvl w:val="0"/>
                <w:numId w:val="48"/>
              </w:numPr>
              <w:spacing w:line="256" w:lineRule="auto"/>
              <w:ind w:left="413" w:hanging="413"/>
              <w:contextualSpacing/>
              <w:rPr>
                <w:rFonts w:eastAsiaTheme="minorHAnsi"/>
                <w:sz w:val="16"/>
                <w:szCs w:val="16"/>
              </w:rPr>
            </w:pPr>
            <w:r w:rsidRPr="00F076D7">
              <w:rPr>
                <w:rFonts w:eastAsiaTheme="minorHAnsi"/>
                <w:sz w:val="16"/>
                <w:szCs w:val="16"/>
              </w:rPr>
              <w:t xml:space="preserve">s’assurer que les futurs manuels seront élaborés à l’aide de la table de caractères Unicode et que les fichiers </w:t>
            </w:r>
            <w:proofErr w:type="spellStart"/>
            <w:r w:rsidRPr="00F076D7">
              <w:rPr>
                <w:rFonts w:eastAsiaTheme="minorHAnsi"/>
                <w:sz w:val="16"/>
                <w:szCs w:val="16"/>
              </w:rPr>
              <w:t>EPub</w:t>
            </w:r>
            <w:proofErr w:type="spellEnd"/>
            <w:r w:rsidRPr="00F076D7">
              <w:rPr>
                <w:rFonts w:eastAsiaTheme="minorHAnsi"/>
                <w:sz w:val="16"/>
                <w:szCs w:val="16"/>
              </w:rPr>
              <w:t xml:space="preserve"> correspondant à ces manuels seront mis à la disposition des personnes ayant des difficultés de lectures des textes imprimés ou des organismes qui leur assurent une prestation de services.</w:t>
            </w:r>
          </w:p>
          <w:p w14:paraId="3D694CCE" w14:textId="77777777" w:rsidR="00767EC2" w:rsidRPr="00F076D7" w:rsidRDefault="00767EC2" w:rsidP="00A83D07">
            <w:pPr>
              <w:rPr>
                <w:rFonts w:eastAsiaTheme="minorHAnsi"/>
                <w:spacing w:val="-2"/>
                <w:sz w:val="16"/>
                <w:szCs w:val="16"/>
              </w:rPr>
            </w:pPr>
            <w:r w:rsidRPr="00F076D7">
              <w:rPr>
                <w:rFonts w:eastAsiaTheme="minorHAnsi"/>
                <w:spacing w:val="-2"/>
                <w:sz w:val="16"/>
                <w:szCs w:val="16"/>
              </w:rPr>
              <w:t>En outre, le projet vise à accroître l’offre de livres en braille en :</w:t>
            </w:r>
          </w:p>
          <w:p w14:paraId="0BB44398" w14:textId="77777777" w:rsidR="00767EC2" w:rsidRPr="00F076D7" w:rsidRDefault="00767EC2" w:rsidP="00767EC2">
            <w:pPr>
              <w:numPr>
                <w:ilvl w:val="0"/>
                <w:numId w:val="48"/>
              </w:numPr>
              <w:spacing w:line="257" w:lineRule="auto"/>
              <w:ind w:left="413" w:hanging="413"/>
              <w:contextualSpacing/>
              <w:rPr>
                <w:rFonts w:eastAsiaTheme="minorHAnsi"/>
                <w:sz w:val="16"/>
                <w:szCs w:val="16"/>
              </w:rPr>
            </w:pPr>
            <w:r w:rsidRPr="00F076D7">
              <w:rPr>
                <w:rFonts w:eastAsiaTheme="minorHAnsi"/>
                <w:sz w:val="16"/>
                <w:szCs w:val="16"/>
              </w:rPr>
              <w:t>formant les imprimeries d’ouvrages en braille à la production de textes imprimés en braille à partir de fichiers numériques accessibles en ligne;</w:t>
            </w:r>
          </w:p>
          <w:p w14:paraId="1D91E002" w14:textId="77777777" w:rsidR="00767EC2" w:rsidRPr="00F076D7" w:rsidRDefault="00767EC2" w:rsidP="00767EC2">
            <w:pPr>
              <w:numPr>
                <w:ilvl w:val="0"/>
                <w:numId w:val="48"/>
              </w:numPr>
              <w:spacing w:line="257" w:lineRule="auto"/>
              <w:ind w:left="413" w:hanging="413"/>
              <w:contextualSpacing/>
              <w:rPr>
                <w:rFonts w:asciiTheme="minorHAnsi" w:eastAsiaTheme="minorHAnsi" w:hAnsiTheme="minorHAnsi"/>
                <w:sz w:val="16"/>
                <w:szCs w:val="16"/>
              </w:rPr>
            </w:pPr>
            <w:r w:rsidRPr="00F076D7">
              <w:rPr>
                <w:rFonts w:eastAsiaTheme="minorHAnsi"/>
                <w:sz w:val="16"/>
                <w:szCs w:val="16"/>
              </w:rPr>
              <w:t xml:space="preserve">créant un manuel de formation décrivant le </w:t>
            </w:r>
            <w:r w:rsidRPr="00F076D7">
              <w:rPr>
                <w:rFonts w:eastAsiaTheme="minorEastAsia"/>
                <w:sz w:val="16"/>
                <w:szCs w:val="16"/>
                <w:lang w:eastAsia="ja-JP"/>
              </w:rPr>
              <w:t>flux d’opérations</w:t>
            </w:r>
            <w:r w:rsidRPr="00F076D7">
              <w:rPr>
                <w:rFonts w:eastAsiaTheme="minorHAnsi"/>
                <w:sz w:val="16"/>
                <w:szCs w:val="16"/>
              </w:rPr>
              <w:t xml:space="preserve"> qui permettent de produire des textes imprimés en braille à partir de textes numériques accessibles en ligne.</w:t>
            </w:r>
          </w:p>
        </w:tc>
      </w:tr>
    </w:tbl>
    <w:p w14:paraId="69799CBF" w14:textId="77777777" w:rsidR="00767EC2" w:rsidRDefault="00767EC2" w:rsidP="00767EC2">
      <w:pPr>
        <w:rPr>
          <w:rFonts w:cs="Times New Roman"/>
          <w:b/>
          <w:sz w:val="20"/>
        </w:rPr>
      </w:pPr>
    </w:p>
    <w:p w14:paraId="797F3ACE" w14:textId="77777777" w:rsidR="00767EC2" w:rsidRDefault="00767EC2" w:rsidP="00767EC2">
      <w:pPr>
        <w:rPr>
          <w:rFonts w:cs="Times New Roman"/>
          <w:b/>
          <w:sz w:val="20"/>
        </w:rPr>
      </w:pPr>
    </w:p>
    <w:p w14:paraId="20FFDCE2" w14:textId="77777777" w:rsidR="00767EC2" w:rsidRPr="00F076D7" w:rsidRDefault="00767EC2" w:rsidP="00767EC2">
      <w:pPr>
        <w:rPr>
          <w:rFonts w:cs="Times New Roman"/>
          <w:b/>
          <w:sz w:val="20"/>
        </w:rPr>
      </w:pPr>
      <w:r w:rsidRPr="00F076D7">
        <w:rPr>
          <w:rFonts w:cs="Times New Roman"/>
          <w:b/>
          <w:sz w:val="20"/>
        </w:rPr>
        <w:t>FONDS DES NATIONS UNIES POUR LES PARTENARIATS INTERNATIONAUX – Mettre fin à la pénurie d’ouvrages destinés aux personnes handicapées – Contributions et dépenses des donateurs en 2016</w:t>
      </w:r>
    </w:p>
    <w:p w14:paraId="12C9A119" w14:textId="77777777" w:rsidR="00767EC2" w:rsidRPr="00F076D7" w:rsidRDefault="00767EC2" w:rsidP="00767EC2">
      <w:pPr>
        <w:rPr>
          <w:rFonts w:cs="Times New Roman"/>
          <w:b/>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49D854E9" w14:textId="77777777" w:rsidTr="00A83D07">
        <w:trPr>
          <w:cantSplit/>
        </w:trPr>
        <w:tc>
          <w:tcPr>
            <w:tcW w:w="1814" w:type="dxa"/>
            <w:tcBorders>
              <w:top w:val="nil"/>
              <w:left w:val="nil"/>
              <w:bottom w:val="nil"/>
              <w:right w:val="nil"/>
            </w:tcBorders>
            <w:shd w:val="clear" w:color="000000" w:fill="C5D9F1"/>
            <w:vAlign w:val="center"/>
            <w:hideMark/>
          </w:tcPr>
          <w:p w14:paraId="5C35EB23"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1B8A7A41"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2A80CF9B"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2AA9256E"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360DC8AD"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1972A24D" w14:textId="77777777" w:rsidTr="00A83D07">
        <w:trPr>
          <w:cantSplit/>
        </w:trPr>
        <w:tc>
          <w:tcPr>
            <w:tcW w:w="1814" w:type="dxa"/>
            <w:tcBorders>
              <w:top w:val="nil"/>
              <w:left w:val="nil"/>
              <w:bottom w:val="nil"/>
              <w:right w:val="nil"/>
            </w:tcBorders>
            <w:shd w:val="clear" w:color="auto" w:fill="auto"/>
            <w:noWrap/>
            <w:vAlign w:val="bottom"/>
            <w:hideMark/>
          </w:tcPr>
          <w:p w14:paraId="0B3E541A" w14:textId="77777777" w:rsidR="00767EC2" w:rsidRPr="00F076D7" w:rsidRDefault="00767EC2" w:rsidP="00A83D07">
            <w:pPr>
              <w:jc w:val="center"/>
              <w:rPr>
                <w:sz w:val="16"/>
                <w:szCs w:val="16"/>
              </w:rPr>
            </w:pPr>
            <w:r w:rsidRPr="00F076D7">
              <w:rPr>
                <w:sz w:val="16"/>
                <w:szCs w:val="16"/>
              </w:rPr>
              <w:noBreakHyphen/>
            </w:r>
          </w:p>
        </w:tc>
        <w:tc>
          <w:tcPr>
            <w:tcW w:w="1814" w:type="dxa"/>
            <w:tcBorders>
              <w:top w:val="nil"/>
              <w:left w:val="nil"/>
              <w:bottom w:val="nil"/>
              <w:right w:val="nil"/>
            </w:tcBorders>
            <w:shd w:val="clear" w:color="auto" w:fill="auto"/>
            <w:noWrap/>
            <w:vAlign w:val="bottom"/>
            <w:hideMark/>
          </w:tcPr>
          <w:p w14:paraId="712D1AAC" w14:textId="77777777" w:rsidR="00767EC2" w:rsidRPr="00F076D7" w:rsidRDefault="00767EC2" w:rsidP="00A83D07">
            <w:pPr>
              <w:jc w:val="center"/>
              <w:rPr>
                <w:sz w:val="16"/>
                <w:szCs w:val="16"/>
              </w:rPr>
            </w:pPr>
            <w:r w:rsidRPr="00F076D7">
              <w:rPr>
                <w:sz w:val="16"/>
                <w:szCs w:val="16"/>
              </w:rPr>
              <w:t>49 200</w:t>
            </w:r>
          </w:p>
        </w:tc>
        <w:tc>
          <w:tcPr>
            <w:tcW w:w="1815" w:type="dxa"/>
            <w:tcBorders>
              <w:top w:val="nil"/>
              <w:left w:val="nil"/>
              <w:bottom w:val="nil"/>
              <w:right w:val="nil"/>
            </w:tcBorders>
            <w:shd w:val="clear" w:color="auto" w:fill="auto"/>
            <w:noWrap/>
            <w:vAlign w:val="bottom"/>
            <w:hideMark/>
          </w:tcPr>
          <w:p w14:paraId="6A651F49" w14:textId="77777777" w:rsidR="00767EC2" w:rsidRPr="00F076D7" w:rsidRDefault="00767EC2" w:rsidP="00A83D07">
            <w:pPr>
              <w:jc w:val="center"/>
              <w:rPr>
                <w:sz w:val="16"/>
                <w:szCs w:val="16"/>
              </w:rPr>
            </w:pPr>
            <w:r w:rsidRPr="00F076D7">
              <w:rPr>
                <w:sz w:val="16"/>
                <w:szCs w:val="16"/>
              </w:rPr>
              <w:t>4 016</w:t>
            </w:r>
          </w:p>
        </w:tc>
        <w:tc>
          <w:tcPr>
            <w:tcW w:w="1814" w:type="dxa"/>
            <w:tcBorders>
              <w:top w:val="nil"/>
              <w:left w:val="nil"/>
              <w:bottom w:val="nil"/>
              <w:right w:val="nil"/>
            </w:tcBorders>
            <w:shd w:val="clear" w:color="auto" w:fill="auto"/>
            <w:noWrap/>
            <w:vAlign w:val="bottom"/>
            <w:hideMark/>
          </w:tcPr>
          <w:p w14:paraId="446E1573"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4E39C620" w14:textId="77777777" w:rsidR="00767EC2" w:rsidRPr="00F076D7" w:rsidRDefault="00767EC2" w:rsidP="00A83D07">
            <w:pPr>
              <w:jc w:val="center"/>
              <w:rPr>
                <w:sz w:val="16"/>
                <w:szCs w:val="16"/>
              </w:rPr>
            </w:pPr>
            <w:r w:rsidRPr="00F076D7">
              <w:rPr>
                <w:sz w:val="16"/>
                <w:szCs w:val="16"/>
              </w:rPr>
              <w:t>45 184</w:t>
            </w:r>
          </w:p>
        </w:tc>
      </w:tr>
    </w:tbl>
    <w:p w14:paraId="5DC9344B" w14:textId="77777777" w:rsidR="00767EC2" w:rsidRPr="00F076D7" w:rsidRDefault="00767EC2" w:rsidP="00767EC2"/>
    <w:p w14:paraId="0AE816AA" w14:textId="77777777" w:rsidR="00767EC2" w:rsidRPr="00F076D7" w:rsidRDefault="00767EC2" w:rsidP="00767EC2"/>
    <w:p w14:paraId="04BA1D13" w14:textId="77777777" w:rsidR="00767EC2" w:rsidRPr="00F076D7" w:rsidRDefault="00767EC2" w:rsidP="00767EC2">
      <w:pPr>
        <w:keepNext/>
        <w:keepLines/>
        <w:rPr>
          <w:b/>
          <w:sz w:val="20"/>
          <w:szCs w:val="16"/>
        </w:rPr>
      </w:pPr>
      <w:r w:rsidRPr="00F076D7">
        <w:rPr>
          <w:b/>
          <w:sz w:val="20"/>
          <w:szCs w:val="16"/>
        </w:rPr>
        <w:t>FRANCE/PROPRIÉTÉ INDUSTRIELLE</w:t>
      </w:r>
    </w:p>
    <w:p w14:paraId="72FA26E9" w14:textId="77777777" w:rsidR="00767EC2" w:rsidRPr="00F076D7" w:rsidRDefault="00767EC2" w:rsidP="00767EC2">
      <w:pPr>
        <w:keepNext/>
        <w:keepLines/>
        <w:rPr>
          <w:b/>
          <w:sz w:val="16"/>
          <w:szCs w:val="16"/>
        </w:rPr>
      </w:pPr>
    </w:p>
    <w:tbl>
      <w:tblPr>
        <w:tblW w:w="4884" w:type="pct"/>
        <w:tblCellMar>
          <w:top w:w="57" w:type="dxa"/>
          <w:bottom w:w="57" w:type="dxa"/>
        </w:tblCellMar>
        <w:tblLook w:val="0000" w:firstRow="0" w:lastRow="0" w:firstColumn="0" w:lastColumn="0" w:noHBand="0" w:noVBand="0"/>
      </w:tblPr>
      <w:tblGrid>
        <w:gridCol w:w="1921"/>
        <w:gridCol w:w="1264"/>
        <w:gridCol w:w="1513"/>
        <w:gridCol w:w="4374"/>
      </w:tblGrid>
      <w:tr w:rsidR="00767EC2" w:rsidRPr="00F076D7" w14:paraId="62B3BD73" w14:textId="77777777" w:rsidTr="00A83D07">
        <w:trPr>
          <w:cantSplit/>
        </w:trPr>
        <w:tc>
          <w:tcPr>
            <w:tcW w:w="9072" w:type="dxa"/>
            <w:gridSpan w:val="4"/>
            <w:shd w:val="clear" w:color="auto" w:fill="C6D9F1" w:themeFill="text2" w:themeFillTint="33"/>
            <w:vAlign w:val="center"/>
          </w:tcPr>
          <w:p w14:paraId="01B39DA7" w14:textId="77777777" w:rsidR="00767EC2" w:rsidRPr="00F076D7" w:rsidRDefault="00767EC2" w:rsidP="00A83D07">
            <w:pPr>
              <w:keepNext/>
              <w:keepLines/>
              <w:tabs>
                <w:tab w:val="left" w:pos="1740"/>
              </w:tabs>
              <w:rPr>
                <w:b/>
                <w:bCs/>
                <w:sz w:val="16"/>
                <w:szCs w:val="16"/>
              </w:rPr>
            </w:pPr>
            <w:r w:rsidRPr="00F076D7">
              <w:rPr>
                <w:b/>
                <w:bCs/>
                <w:sz w:val="16"/>
                <w:szCs w:val="16"/>
              </w:rPr>
              <w:t>RÉSULTAT </w:t>
            </w:r>
            <w:r>
              <w:rPr>
                <w:b/>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3F651B9E" w14:textId="77777777" w:rsidTr="00A83D07">
        <w:trPr>
          <w:cantSplit/>
        </w:trPr>
        <w:tc>
          <w:tcPr>
            <w:tcW w:w="1925" w:type="dxa"/>
            <w:vAlign w:val="center"/>
          </w:tcPr>
          <w:p w14:paraId="2477BDF2" w14:textId="77777777" w:rsidR="00767EC2" w:rsidRPr="00F076D7" w:rsidRDefault="00767EC2" w:rsidP="00A83D07">
            <w:pPr>
              <w:keepNext/>
              <w:keepLines/>
              <w:rPr>
                <w:b/>
                <w:bCs/>
                <w:sz w:val="16"/>
                <w:szCs w:val="16"/>
              </w:rPr>
            </w:pPr>
            <w:r w:rsidRPr="00F076D7">
              <w:rPr>
                <w:b/>
                <w:bCs/>
                <w:sz w:val="16"/>
                <w:szCs w:val="16"/>
              </w:rPr>
              <w:t>Activité</w:t>
            </w:r>
          </w:p>
        </w:tc>
        <w:tc>
          <w:tcPr>
            <w:tcW w:w="1240" w:type="dxa"/>
            <w:shd w:val="clear" w:color="auto" w:fill="auto"/>
            <w:tcMar>
              <w:top w:w="110" w:type="dxa"/>
            </w:tcMar>
            <w:vAlign w:val="center"/>
          </w:tcPr>
          <w:p w14:paraId="20BEBD3D" w14:textId="77777777" w:rsidR="00767EC2" w:rsidRPr="00F076D7" w:rsidRDefault="00767EC2" w:rsidP="00A83D07">
            <w:pPr>
              <w:keepNext/>
              <w:keepLines/>
              <w:rPr>
                <w:b/>
                <w:sz w:val="16"/>
                <w:szCs w:val="16"/>
              </w:rPr>
            </w:pPr>
            <w:r w:rsidRPr="00F076D7">
              <w:rPr>
                <w:b/>
                <w:sz w:val="16"/>
                <w:szCs w:val="16"/>
              </w:rPr>
              <w:t>Date</w:t>
            </w:r>
          </w:p>
        </w:tc>
        <w:tc>
          <w:tcPr>
            <w:tcW w:w="1514" w:type="dxa"/>
            <w:shd w:val="clear" w:color="auto" w:fill="auto"/>
            <w:tcMar>
              <w:top w:w="110" w:type="dxa"/>
            </w:tcMar>
            <w:vAlign w:val="center"/>
          </w:tcPr>
          <w:p w14:paraId="506E9C35" w14:textId="77777777" w:rsidR="00767EC2" w:rsidRPr="00F076D7" w:rsidRDefault="00767EC2" w:rsidP="00A83D07">
            <w:pPr>
              <w:keepNext/>
              <w:keepLines/>
              <w:rPr>
                <w:b/>
                <w:sz w:val="16"/>
                <w:szCs w:val="16"/>
              </w:rPr>
            </w:pPr>
            <w:r w:rsidRPr="00F076D7">
              <w:rPr>
                <w:b/>
                <w:sz w:val="16"/>
                <w:szCs w:val="16"/>
              </w:rPr>
              <w:t>Pays hôte/ bénéficiaires</w:t>
            </w:r>
          </w:p>
        </w:tc>
        <w:tc>
          <w:tcPr>
            <w:tcW w:w="4393" w:type="dxa"/>
            <w:shd w:val="clear" w:color="auto" w:fill="FFFFFF"/>
            <w:tcMar>
              <w:top w:w="110" w:type="dxa"/>
            </w:tcMar>
            <w:vAlign w:val="center"/>
          </w:tcPr>
          <w:p w14:paraId="3E6B8F4C"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5FBB9B7A" w14:textId="77777777" w:rsidTr="00A83D07">
        <w:tblPrEx>
          <w:tblLook w:val="04A0" w:firstRow="1" w:lastRow="0" w:firstColumn="1" w:lastColumn="0" w:noHBand="0" w:noVBand="1"/>
        </w:tblPrEx>
        <w:trPr>
          <w:cantSplit/>
        </w:trPr>
        <w:tc>
          <w:tcPr>
            <w:tcW w:w="1925" w:type="dxa"/>
          </w:tcPr>
          <w:p w14:paraId="24E16167"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Programme de formation CAPI (Certificat d’animateur propriété intellectuelle) avec l’Institut national de la propriété industrielle (INPI, France) et l’Office marocain de la propriété industrielle et commerciale (OMPIC)</w:t>
            </w:r>
          </w:p>
        </w:tc>
        <w:tc>
          <w:tcPr>
            <w:tcW w:w="1240" w:type="dxa"/>
          </w:tcPr>
          <w:p w14:paraId="7562808F" w14:textId="77777777" w:rsidR="00767EC2" w:rsidRPr="00F076D7" w:rsidRDefault="00767EC2" w:rsidP="00A83D07">
            <w:pPr>
              <w:rPr>
                <w:rFonts w:eastAsia="MS Mincho"/>
                <w:sz w:val="16"/>
                <w:szCs w:val="16"/>
                <w:lang w:eastAsia="ja-JP" w:bidi="th-TH"/>
              </w:rPr>
            </w:pPr>
            <w:r w:rsidRPr="00F076D7">
              <w:rPr>
                <w:sz w:val="16"/>
                <w:szCs w:val="16"/>
              </w:rPr>
              <w:t>1</w:t>
            </w:r>
            <w:r w:rsidRPr="00F076D7">
              <w:rPr>
                <w:sz w:val="16"/>
                <w:szCs w:val="16"/>
                <w:vertAlign w:val="superscript"/>
              </w:rPr>
              <w:t>er</w:t>
            </w:r>
            <w:r w:rsidRPr="00F076D7">
              <w:rPr>
                <w:rFonts w:eastAsia="MS Mincho"/>
                <w:sz w:val="16"/>
                <w:szCs w:val="16"/>
                <w:lang w:eastAsia="ja-JP" w:bidi="th-TH"/>
              </w:rPr>
              <w:t> janvier – 12 mai 2016</w:t>
            </w:r>
            <w:r w:rsidRPr="00F076D7">
              <w:rPr>
                <w:rStyle w:val="FootnoteReference"/>
                <w:rFonts w:eastAsia="MS Mincho"/>
                <w:szCs w:val="16"/>
                <w:lang w:eastAsia="ja-JP" w:bidi="th-TH"/>
              </w:rPr>
              <w:footnoteReference w:id="110"/>
            </w:r>
          </w:p>
        </w:tc>
        <w:tc>
          <w:tcPr>
            <w:tcW w:w="1514" w:type="dxa"/>
          </w:tcPr>
          <w:p w14:paraId="5EEAED7A" w14:textId="77777777" w:rsidR="00767EC2" w:rsidRPr="00F076D7" w:rsidRDefault="00767EC2" w:rsidP="00A83D07">
            <w:pPr>
              <w:autoSpaceDE w:val="0"/>
              <w:autoSpaceDN w:val="0"/>
              <w:adjustRightInd w:val="0"/>
              <w:rPr>
                <w:rFonts w:eastAsia="MS Mincho"/>
                <w:sz w:val="16"/>
                <w:szCs w:val="16"/>
                <w:lang w:eastAsia="ja-JP" w:bidi="th-TH"/>
              </w:rPr>
            </w:pPr>
            <w:r w:rsidRPr="00F076D7">
              <w:rPr>
                <w:rFonts w:eastAsia="MS Mincho"/>
                <w:sz w:val="16"/>
                <w:szCs w:val="16"/>
                <w:lang w:eastAsia="ja-JP" w:bidi="th-TH"/>
              </w:rPr>
              <w:t>Maroc/ 10 participants des pays suivants : Algérie, Cameroun, Côte d’Ivoire, Sénégal, Tunisie</w:t>
            </w:r>
          </w:p>
        </w:tc>
        <w:tc>
          <w:tcPr>
            <w:tcW w:w="4393" w:type="dxa"/>
          </w:tcPr>
          <w:p w14:paraId="75A54100"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Un programme de formation certifié visant à répondre aux besoins des entreprises et des professionnels qui souhaitent : i) acquérir une expertise en matière de gestion des droits de propriété industrielle;  ii) comprendre les enjeux de la propriété industrielle;  iii) accroître l’efficacité de la gestion et de l’évaluation des actifs incorporels;  iv) maîtriser l’utilisation de la protection et des outils de recherche.</w:t>
            </w:r>
          </w:p>
        </w:tc>
      </w:tr>
      <w:tr w:rsidR="00767EC2" w:rsidRPr="00F076D7" w14:paraId="51A6AB4C" w14:textId="77777777" w:rsidTr="00A83D07">
        <w:tblPrEx>
          <w:tblLook w:val="04A0" w:firstRow="1" w:lastRow="0" w:firstColumn="1" w:lastColumn="0" w:noHBand="0" w:noVBand="1"/>
        </w:tblPrEx>
        <w:trPr>
          <w:cantSplit/>
        </w:trPr>
        <w:tc>
          <w:tcPr>
            <w:tcW w:w="1925" w:type="dxa"/>
          </w:tcPr>
          <w:p w14:paraId="3B48888A"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Séminaire régional sur l’innovation en collaboration et la propriété intellectuelle : “Développer des partenariats entre les universités et les entreprises”</w:t>
            </w:r>
          </w:p>
        </w:tc>
        <w:tc>
          <w:tcPr>
            <w:tcW w:w="1240" w:type="dxa"/>
          </w:tcPr>
          <w:p w14:paraId="68AADB37"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13 et 14 janvier 2016</w:t>
            </w:r>
          </w:p>
        </w:tc>
        <w:tc>
          <w:tcPr>
            <w:tcW w:w="1514" w:type="dxa"/>
          </w:tcPr>
          <w:p w14:paraId="7DA8B8F3"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 xml:space="preserve">Chili/ 100 participants et représentants nationaux des pays suivants : Bolivie, Colombie, Mexique et Pérou </w:t>
            </w:r>
          </w:p>
        </w:tc>
        <w:tc>
          <w:tcPr>
            <w:tcW w:w="4393" w:type="dxa"/>
          </w:tcPr>
          <w:p w14:paraId="4CCC38AA"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i) Présenter différents modèles qui aident à créer un environnement propice à l’innovation et à la protection des droits de propriété intellectuelle;  ii) développer les capacités d’innovation grâce à une utilisation efficace du système de propriété intellectuelle;  iii) traiter les thèmes de l’innovation en collaboration et de l’innovation ouverte;  iv) procéder à un partage d’expériences quant à la mise en place d’une coopération étroite entre les universités, les instituts de R</w:t>
            </w:r>
            <w:r w:rsidRPr="00F076D7">
              <w:rPr>
                <w:rFonts w:eastAsia="MS Mincho"/>
                <w:sz w:val="16"/>
                <w:szCs w:val="16"/>
                <w:lang w:eastAsia="ja-JP" w:bidi="th-TH"/>
              </w:rPr>
              <w:noBreakHyphen/>
              <w:t>D et le secteur privé.</w:t>
            </w:r>
          </w:p>
        </w:tc>
      </w:tr>
      <w:tr w:rsidR="00767EC2" w:rsidRPr="00F076D7" w14:paraId="37849A52" w14:textId="77777777" w:rsidTr="00A83D07">
        <w:tblPrEx>
          <w:tblLook w:val="04A0" w:firstRow="1" w:lastRow="0" w:firstColumn="1" w:lastColumn="0" w:noHBand="0" w:noVBand="1"/>
        </w:tblPrEx>
        <w:trPr>
          <w:cantSplit/>
        </w:trPr>
        <w:tc>
          <w:tcPr>
            <w:tcW w:w="1925" w:type="dxa"/>
          </w:tcPr>
          <w:p w14:paraId="02065EC6"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Manifestations organisées en marge de la vingt</w:t>
            </w:r>
            <w:r w:rsidRPr="00F076D7">
              <w:rPr>
                <w:rFonts w:eastAsia="MS Mincho"/>
                <w:sz w:val="16"/>
                <w:szCs w:val="16"/>
                <w:lang w:eastAsia="ja-JP" w:bidi="th-TH"/>
              </w:rPr>
              <w:noBreakHyphen/>
              <w:t>deuxième session de la Conférence des parties à la convention</w:t>
            </w:r>
            <w:r w:rsidRPr="00F076D7">
              <w:rPr>
                <w:rFonts w:eastAsia="MS Mincho"/>
                <w:sz w:val="16"/>
                <w:szCs w:val="16"/>
                <w:lang w:eastAsia="ja-JP" w:bidi="th-TH"/>
              </w:rPr>
              <w:noBreakHyphen/>
              <w:t>cadre des Nations Unies sur les changements climatiques (COP 22)</w:t>
            </w:r>
          </w:p>
        </w:tc>
        <w:tc>
          <w:tcPr>
            <w:tcW w:w="1240" w:type="dxa"/>
          </w:tcPr>
          <w:p w14:paraId="496E9571"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10 – 12 novembre 2016</w:t>
            </w:r>
          </w:p>
        </w:tc>
        <w:tc>
          <w:tcPr>
            <w:tcW w:w="1514" w:type="dxa"/>
          </w:tcPr>
          <w:p w14:paraId="3267DCC8"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Maroc/ 12 petites et moyennes entreprises (PME) d’Afrique et de la région des pays arabes, 10 PME de France</w:t>
            </w:r>
          </w:p>
        </w:tc>
        <w:tc>
          <w:tcPr>
            <w:tcW w:w="4393" w:type="dxa"/>
          </w:tcPr>
          <w:p w14:paraId="558DAF22"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i) Donner l’occasion de présenter des solutions innovantes aux changements climatiques aux PME françaises et internationales intéressées par le marché africain;  ii) créer un forum de discussion sur les innovations en matière d’énergies renouvelables, l’économie consolidée, les secteurs de l’agriculture et de l’eau et WIPO GREEN.</w:t>
            </w:r>
          </w:p>
        </w:tc>
      </w:tr>
      <w:tr w:rsidR="00767EC2" w:rsidRPr="00F076D7" w14:paraId="3C155CE0" w14:textId="77777777" w:rsidTr="00A83D07">
        <w:tblPrEx>
          <w:tblLook w:val="04A0" w:firstRow="1" w:lastRow="0" w:firstColumn="1" w:lastColumn="0" w:noHBand="0" w:noVBand="1"/>
        </w:tblPrEx>
        <w:trPr>
          <w:cantSplit/>
        </w:trPr>
        <w:tc>
          <w:tcPr>
            <w:tcW w:w="1925" w:type="dxa"/>
          </w:tcPr>
          <w:p w14:paraId="75211600"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Atelier régional sur la protection et l’application du droit d’auteur à l’intention des juges</w:t>
            </w:r>
          </w:p>
        </w:tc>
        <w:tc>
          <w:tcPr>
            <w:tcW w:w="1240" w:type="dxa"/>
          </w:tcPr>
          <w:p w14:paraId="1155F284"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2 et 3 mai 2016</w:t>
            </w:r>
          </w:p>
        </w:tc>
        <w:tc>
          <w:tcPr>
            <w:tcW w:w="1514" w:type="dxa"/>
          </w:tcPr>
          <w:p w14:paraId="294576D0"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Émirats arabes unis/ 36 magistrats des pays suivants : Algérie, Arabie saoudite, Bahreïn, Égypte, Palestine, Jordanie, Koweït, Liban, Maroc, Qatar, Émirats arabes unis</w:t>
            </w:r>
          </w:p>
        </w:tc>
        <w:tc>
          <w:tcPr>
            <w:tcW w:w="4393" w:type="dxa"/>
          </w:tcPr>
          <w:p w14:paraId="68EBE0A1"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i) comprendre l’importance économique de la propriété intellectuelle et l’impact socioéconomique du piratage;  ii) maîtriser les règles et concepts nationaux et internationaux afférents à la protection et à l’application du droit d’auteur à la lumière de l’Accord sur les aspects des droits de propriété intellectuelle qui touchent au commerce (ADPIC);  iii) être capable de cerner quels sont les objets de la protection et savoir quels sont les critères de paternité d’une œuvre;  iv) analyser les cas de violation du droit d’auteur et travailler sur des affaires civiles et pénales concrètes;  v) identifier, évaluer et compenser la perte économique subie par les titulaires du droit victimes de violation du droit d’auteur sur l’Internet;  vi) connaître les règles de protection de la radiodiffusion.</w:t>
            </w:r>
          </w:p>
        </w:tc>
      </w:tr>
      <w:tr w:rsidR="00767EC2" w:rsidRPr="00F076D7" w14:paraId="02232798" w14:textId="77777777" w:rsidTr="00A83D07">
        <w:tblPrEx>
          <w:tblLook w:val="04A0" w:firstRow="1" w:lastRow="0" w:firstColumn="1" w:lastColumn="0" w:noHBand="0" w:noVBand="1"/>
        </w:tblPrEx>
        <w:trPr>
          <w:cantSplit/>
        </w:trPr>
        <w:tc>
          <w:tcPr>
            <w:tcW w:w="1925" w:type="dxa"/>
          </w:tcPr>
          <w:p w14:paraId="1A98D5CB"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Atelier régional sur la promotion du respect de la propriété intellectuelle aux fins de compétitivité des PME et des petites et moyennes institutions (PMI) et de création d’emplois dans les PME et les PMI</w:t>
            </w:r>
          </w:p>
        </w:tc>
        <w:tc>
          <w:tcPr>
            <w:tcW w:w="1240" w:type="dxa"/>
          </w:tcPr>
          <w:p w14:paraId="744E8D1B"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31 mai – 2 juin 2016</w:t>
            </w:r>
          </w:p>
        </w:tc>
        <w:tc>
          <w:tcPr>
            <w:tcW w:w="1514" w:type="dxa"/>
          </w:tcPr>
          <w:p w14:paraId="04884624"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Côte d’Ivoire/ 39 PME</w:t>
            </w:r>
          </w:p>
        </w:tc>
        <w:tc>
          <w:tcPr>
            <w:tcW w:w="4393" w:type="dxa"/>
          </w:tcPr>
          <w:p w14:paraId="7AF773D2"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i) sensibiliser les PME/PMI à l’importance de protéger leurs actifs de propriété intellectuelle et à l’importance de la veille économique, qui constitue un outil stratégique pour la prise de décision et leur développement;  ii) présenter la plateforme des centres d’appui à la technologie et à l’innovation (CATI) et son utilisation comme outil d’appui à l’innovation.</w:t>
            </w:r>
          </w:p>
        </w:tc>
      </w:tr>
      <w:tr w:rsidR="00767EC2" w:rsidRPr="00F076D7" w14:paraId="22756375" w14:textId="77777777" w:rsidTr="00A83D07">
        <w:tblPrEx>
          <w:tblLook w:val="04A0" w:firstRow="1" w:lastRow="0" w:firstColumn="1" w:lastColumn="0" w:noHBand="0" w:noVBand="1"/>
        </w:tblPrEx>
        <w:trPr>
          <w:cantSplit/>
        </w:trPr>
        <w:tc>
          <w:tcPr>
            <w:tcW w:w="1925" w:type="dxa"/>
          </w:tcPr>
          <w:p w14:paraId="19B29FB4"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Atelier régional de l’OMPI sur la promotion du respect de la propriété intellectuelle à l’intention des juges</w:t>
            </w:r>
          </w:p>
          <w:p w14:paraId="74A579AE" w14:textId="77777777" w:rsidR="00767EC2" w:rsidRPr="00F076D7" w:rsidRDefault="00767EC2" w:rsidP="00A83D07">
            <w:pPr>
              <w:rPr>
                <w:rFonts w:eastAsia="MS Mincho"/>
                <w:sz w:val="16"/>
                <w:szCs w:val="16"/>
                <w:lang w:eastAsia="ja-JP" w:bidi="th-TH"/>
              </w:rPr>
            </w:pPr>
          </w:p>
          <w:p w14:paraId="0B3A0F63" w14:textId="77777777" w:rsidR="00767EC2" w:rsidRPr="00F076D7" w:rsidRDefault="00767EC2" w:rsidP="00A83D07">
            <w:pPr>
              <w:rPr>
                <w:rFonts w:eastAsia="MS Mincho"/>
                <w:sz w:val="16"/>
                <w:szCs w:val="16"/>
                <w:lang w:eastAsia="ja-JP" w:bidi="th-TH"/>
              </w:rPr>
            </w:pPr>
          </w:p>
          <w:p w14:paraId="4D6CF027"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Atelier régional de l’OMPI sur la promotion du respect de la propriété intellectuelle à l’intention des fonctionnaires des douanes et de la police</w:t>
            </w:r>
          </w:p>
        </w:tc>
        <w:tc>
          <w:tcPr>
            <w:tcW w:w="1240" w:type="dxa"/>
          </w:tcPr>
          <w:p w14:paraId="6745E1EE"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31 mai – 2 juin 2016</w:t>
            </w:r>
          </w:p>
        </w:tc>
        <w:tc>
          <w:tcPr>
            <w:tcW w:w="1514" w:type="dxa"/>
          </w:tcPr>
          <w:p w14:paraId="7EF95886"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Côte d’Ivoire/ 65 juges</w:t>
            </w:r>
          </w:p>
          <w:p w14:paraId="3EC6108E" w14:textId="77777777" w:rsidR="00767EC2" w:rsidRPr="00F076D7" w:rsidRDefault="00767EC2" w:rsidP="00A83D07">
            <w:pPr>
              <w:rPr>
                <w:rFonts w:eastAsia="MS Mincho"/>
                <w:sz w:val="16"/>
                <w:szCs w:val="16"/>
                <w:lang w:eastAsia="ja-JP" w:bidi="th-TH"/>
              </w:rPr>
            </w:pPr>
          </w:p>
          <w:p w14:paraId="4F75E570" w14:textId="77777777" w:rsidR="00767EC2" w:rsidRPr="00F076D7" w:rsidRDefault="00767EC2" w:rsidP="00A83D07">
            <w:pPr>
              <w:rPr>
                <w:rFonts w:eastAsia="MS Mincho"/>
                <w:sz w:val="16"/>
                <w:szCs w:val="16"/>
                <w:lang w:eastAsia="ja-JP" w:bidi="th-TH"/>
              </w:rPr>
            </w:pPr>
          </w:p>
          <w:p w14:paraId="78EFC8F5" w14:textId="77777777" w:rsidR="00767EC2" w:rsidRPr="00F076D7" w:rsidRDefault="00767EC2" w:rsidP="00A83D07">
            <w:pPr>
              <w:rPr>
                <w:rFonts w:eastAsia="MS Mincho"/>
                <w:sz w:val="16"/>
                <w:szCs w:val="16"/>
                <w:lang w:eastAsia="ja-JP" w:bidi="th-TH"/>
              </w:rPr>
            </w:pPr>
          </w:p>
          <w:p w14:paraId="21FD65F4" w14:textId="77777777" w:rsidR="00767EC2" w:rsidRPr="00F076D7" w:rsidRDefault="00767EC2" w:rsidP="00A83D07">
            <w:pPr>
              <w:rPr>
                <w:rFonts w:eastAsia="MS Mincho"/>
                <w:sz w:val="16"/>
                <w:szCs w:val="16"/>
                <w:lang w:eastAsia="ja-JP" w:bidi="th-TH"/>
              </w:rPr>
            </w:pPr>
          </w:p>
          <w:p w14:paraId="113CFA5D" w14:textId="77777777" w:rsidR="00767EC2" w:rsidRPr="00F076D7" w:rsidRDefault="00767EC2" w:rsidP="00A83D07">
            <w:pPr>
              <w:rPr>
                <w:rFonts w:eastAsia="MS Mincho"/>
                <w:sz w:val="16"/>
                <w:szCs w:val="16"/>
                <w:lang w:eastAsia="ja-JP" w:bidi="th-TH"/>
              </w:rPr>
            </w:pPr>
          </w:p>
          <w:p w14:paraId="6B5D8884"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 xml:space="preserve">Côte d’Ivoire/ 38 fonctionnaires des douanes et de la police </w:t>
            </w:r>
          </w:p>
        </w:tc>
        <w:tc>
          <w:tcPr>
            <w:tcW w:w="4393" w:type="dxa"/>
          </w:tcPr>
          <w:p w14:paraId="7E4B1BC5"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i) développer et renforcer les capacités des magistrats et des fonctionnaires des douanes des pays invités en matière d’application des droits de propriété intellectuelle et de promotion du respect de la propriété intellectuelle;  ii) renforcer la collaboration nationale et infrarégionale entre les administrations judiciaires et les administrations douanières pour mieux lutter contre les atteintes aux droits de propriété intellectuelle;  iii) donner l’occasion à chaque groupe participant de partager son expérience et de discuter des enjeux relatifs à l’application des dispositions légales et réglementaires afférentes aux droits de propriété intellectuelle;  iv) encourager l’établissement ou le développement de comités nationaux et régionaux de lutte contre la contrefaçon et de piratage.</w:t>
            </w:r>
          </w:p>
        </w:tc>
      </w:tr>
      <w:tr w:rsidR="00767EC2" w:rsidRPr="00F076D7" w14:paraId="060E2C6B" w14:textId="77777777" w:rsidTr="00A83D07">
        <w:tblPrEx>
          <w:tblLook w:val="04A0" w:firstRow="1" w:lastRow="0" w:firstColumn="1" w:lastColumn="0" w:noHBand="0" w:noVBand="1"/>
        </w:tblPrEx>
        <w:trPr>
          <w:cantSplit/>
        </w:trPr>
        <w:tc>
          <w:tcPr>
            <w:tcW w:w="1925" w:type="dxa"/>
          </w:tcPr>
          <w:p w14:paraId="0C7541F8"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Colloque sur les indications géographiques</w:t>
            </w:r>
          </w:p>
        </w:tc>
        <w:tc>
          <w:tcPr>
            <w:tcW w:w="1240" w:type="dxa"/>
          </w:tcPr>
          <w:p w14:paraId="09707EFE"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7 septembre 2016</w:t>
            </w:r>
          </w:p>
        </w:tc>
        <w:tc>
          <w:tcPr>
            <w:tcW w:w="1514" w:type="dxa"/>
          </w:tcPr>
          <w:p w14:paraId="3BC49D15"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Cameroun</w:t>
            </w:r>
          </w:p>
        </w:tc>
        <w:tc>
          <w:tcPr>
            <w:tcW w:w="4393" w:type="dxa"/>
            <w:vMerge w:val="restart"/>
          </w:tcPr>
          <w:p w14:paraId="00CAFB0F"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i) Renforcer les capacités des offices de propriété intellectuelle et des titulaires de droits de propriété intellectuelle pour une utilisation stratégique des actifs de propriété intellectuelle à des fins de compétitivité et création d’emplois;  ii) sensibiliser à la réglementation régissant l’utilisation du logo Indications géographiques protégées et Répression de la fraude.</w:t>
            </w:r>
          </w:p>
        </w:tc>
      </w:tr>
      <w:tr w:rsidR="00767EC2" w:rsidRPr="00F076D7" w14:paraId="1EC34C64" w14:textId="77777777" w:rsidTr="00A83D07">
        <w:tblPrEx>
          <w:tblLook w:val="04A0" w:firstRow="1" w:lastRow="0" w:firstColumn="1" w:lastColumn="0" w:noHBand="0" w:noVBand="1"/>
        </w:tblPrEx>
        <w:trPr>
          <w:cantSplit/>
        </w:trPr>
        <w:tc>
          <w:tcPr>
            <w:tcW w:w="1925" w:type="dxa"/>
          </w:tcPr>
          <w:p w14:paraId="68CAC0AA"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Salon international des produits dont la qualité est liée à leur origine géographique.</w:t>
            </w:r>
          </w:p>
        </w:tc>
        <w:tc>
          <w:tcPr>
            <w:tcW w:w="1240" w:type="dxa"/>
          </w:tcPr>
          <w:p w14:paraId="454E1D26"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8 – 10 septembre 2016</w:t>
            </w:r>
          </w:p>
        </w:tc>
        <w:tc>
          <w:tcPr>
            <w:tcW w:w="1514" w:type="dxa"/>
          </w:tcPr>
          <w:p w14:paraId="60C125CD" w14:textId="77777777" w:rsidR="00767EC2" w:rsidRPr="00F076D7" w:rsidRDefault="00767EC2" w:rsidP="00A83D07">
            <w:pPr>
              <w:rPr>
                <w:rFonts w:eastAsia="MS Mincho"/>
                <w:sz w:val="16"/>
                <w:szCs w:val="16"/>
                <w:lang w:eastAsia="ja-JP" w:bidi="th-TH"/>
              </w:rPr>
            </w:pPr>
          </w:p>
        </w:tc>
        <w:tc>
          <w:tcPr>
            <w:tcW w:w="4393" w:type="dxa"/>
            <w:vMerge/>
          </w:tcPr>
          <w:p w14:paraId="6CD411FF" w14:textId="77777777" w:rsidR="00767EC2" w:rsidRPr="00F076D7" w:rsidRDefault="00767EC2" w:rsidP="00A83D07">
            <w:pPr>
              <w:rPr>
                <w:rFonts w:eastAsia="MS Mincho"/>
                <w:sz w:val="16"/>
                <w:szCs w:val="16"/>
                <w:lang w:eastAsia="ja-JP" w:bidi="th-TH"/>
              </w:rPr>
            </w:pPr>
          </w:p>
        </w:tc>
      </w:tr>
      <w:tr w:rsidR="00767EC2" w:rsidRPr="00F076D7" w14:paraId="1853FFEC" w14:textId="77777777" w:rsidTr="00A83D07">
        <w:tblPrEx>
          <w:tblLook w:val="04A0" w:firstRow="1" w:lastRow="0" w:firstColumn="1" w:lastColumn="0" w:noHBand="0" w:noVBand="1"/>
        </w:tblPrEx>
        <w:trPr>
          <w:cantSplit/>
        </w:trPr>
        <w:tc>
          <w:tcPr>
            <w:tcW w:w="1925" w:type="dxa"/>
          </w:tcPr>
          <w:p w14:paraId="45564942"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Visite de travail à Casablanca (Maroc)</w:t>
            </w:r>
            <w:r w:rsidRPr="00F076D7">
              <w:rPr>
                <w:rFonts w:eastAsia="MS Mincho"/>
                <w:sz w:val="16"/>
                <w:szCs w:val="16"/>
                <w:lang w:eastAsia="ja-JP" w:bidi="th-TH"/>
              </w:rPr>
              <w:br/>
            </w:r>
          </w:p>
          <w:p w14:paraId="1A4533E8"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Séance de travail avec l’Office marocain de la propriété industrielle et commerciale (OMPIC) pour discuter du suivi du programme de formation CAPI</w:t>
            </w:r>
          </w:p>
        </w:tc>
        <w:tc>
          <w:tcPr>
            <w:tcW w:w="1240" w:type="dxa"/>
          </w:tcPr>
          <w:p w14:paraId="6BE51755"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4 et 5 mars 2016</w:t>
            </w:r>
          </w:p>
          <w:p w14:paraId="4EBCFFBB" w14:textId="77777777" w:rsidR="00767EC2" w:rsidRPr="00F076D7" w:rsidRDefault="00767EC2" w:rsidP="00A83D07">
            <w:pPr>
              <w:rPr>
                <w:rFonts w:eastAsia="MS Mincho"/>
                <w:sz w:val="16"/>
                <w:szCs w:val="16"/>
                <w:lang w:eastAsia="ja-JP" w:bidi="th-TH"/>
              </w:rPr>
            </w:pPr>
          </w:p>
          <w:p w14:paraId="43AB7955"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7 et 8 mars 2016</w:t>
            </w:r>
          </w:p>
        </w:tc>
        <w:tc>
          <w:tcPr>
            <w:tcW w:w="1514" w:type="dxa"/>
          </w:tcPr>
          <w:p w14:paraId="245A87E6"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Maroc</w:t>
            </w:r>
          </w:p>
        </w:tc>
        <w:tc>
          <w:tcPr>
            <w:tcW w:w="4393" w:type="dxa"/>
          </w:tcPr>
          <w:p w14:paraId="401C4A1D"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Explorer les moyens d’assurer la durabilité du programme de formation CAPI</w:t>
            </w:r>
          </w:p>
        </w:tc>
      </w:tr>
      <w:tr w:rsidR="00767EC2" w:rsidRPr="00F076D7" w14:paraId="265ED84B" w14:textId="77777777" w:rsidTr="00A83D07">
        <w:tblPrEx>
          <w:tblLook w:val="04A0" w:firstRow="1" w:lastRow="0" w:firstColumn="1" w:lastColumn="0" w:noHBand="0" w:noVBand="1"/>
        </w:tblPrEx>
        <w:trPr>
          <w:cantSplit/>
        </w:trPr>
        <w:tc>
          <w:tcPr>
            <w:tcW w:w="1925" w:type="dxa"/>
          </w:tcPr>
          <w:p w14:paraId="698DBBDA"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Élaboration d’une politique en matière de propriété intellectuelle et une stratégie d’innovation dans les universités et les institutions de recherche et de développement public destinées à faciliter le transfert de techniques vers l’industrie, créant ainsi un “cercle d’innovation vertueux”</w:t>
            </w:r>
          </w:p>
        </w:tc>
        <w:tc>
          <w:tcPr>
            <w:tcW w:w="1240" w:type="dxa"/>
          </w:tcPr>
          <w:p w14:paraId="7D6C8018" w14:textId="77777777" w:rsidR="00767EC2" w:rsidRPr="00F076D7" w:rsidRDefault="00767EC2" w:rsidP="00A83D07">
            <w:pPr>
              <w:rPr>
                <w:rFonts w:eastAsia="MS Mincho"/>
                <w:sz w:val="16"/>
                <w:szCs w:val="16"/>
                <w:lang w:eastAsia="ja-JP" w:bidi="th-TH"/>
              </w:rPr>
            </w:pPr>
            <w:r w:rsidRPr="00F076D7">
              <w:rPr>
                <w:sz w:val="16"/>
                <w:szCs w:val="16"/>
              </w:rPr>
              <w:t>1</w:t>
            </w:r>
            <w:r w:rsidRPr="00F076D7">
              <w:rPr>
                <w:sz w:val="16"/>
                <w:szCs w:val="16"/>
                <w:vertAlign w:val="superscript"/>
              </w:rPr>
              <w:t>er</w:t>
            </w:r>
            <w:r w:rsidRPr="00F076D7">
              <w:rPr>
                <w:rFonts w:eastAsia="MS Mincho"/>
                <w:sz w:val="16"/>
                <w:szCs w:val="16"/>
                <w:lang w:eastAsia="ja-JP" w:bidi="th-TH"/>
              </w:rPr>
              <w:t xml:space="preserve"> – 16 mai 2016</w:t>
            </w:r>
          </w:p>
        </w:tc>
        <w:tc>
          <w:tcPr>
            <w:tcW w:w="1514" w:type="dxa"/>
          </w:tcPr>
          <w:p w14:paraId="467B1A1F"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Maroc/ 46 participants des pays suivants : Organisation régionale africaine de la propriété intellectuelle (ARIPO)</w:t>
            </w:r>
            <w:r w:rsidRPr="00F076D7">
              <w:rPr>
                <w:sz w:val="16"/>
                <w:szCs w:val="16"/>
              </w:rPr>
              <w:t xml:space="preserve">, </w:t>
            </w:r>
            <w:r w:rsidRPr="00F076D7">
              <w:rPr>
                <w:rFonts w:eastAsia="MS Mincho"/>
                <w:sz w:val="16"/>
                <w:szCs w:val="16"/>
                <w:lang w:eastAsia="ja-JP" w:bidi="th-TH"/>
              </w:rPr>
              <w:t>Afrique du Sud, Algérie, Bénin, Botswana, Cameroun, Congo, Côte d’Ivoire, Égypte, Éthiopie, Gabon, Ghana, Guinée, Kenya, Mali, Maurice, Mozambique, Niger, Nigéria, Organisation africaine de la propriété intellectuelle (OAPI), Ouganda, République démocratique du Congo, Rwanda, Sénégal, Soudan, Tunisie</w:t>
            </w:r>
          </w:p>
        </w:tc>
        <w:tc>
          <w:tcPr>
            <w:tcW w:w="4393" w:type="dxa"/>
          </w:tcPr>
          <w:p w14:paraId="7BA5E569"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i) discuter du rôle des universités et des institutions de recherche dans une économie de plus en plus basée sur la connaissance et l’innovation;  ii) explorer comment les politiques et les stratégies en matière de propriété intellectuelle et d’innovation pourraient contribuer à la production de connaissances en vue du transfert de techniques vers le secteur industriel;  iii) créer un cycle d’innovation vertueux encourageant à la fois la recherche et l’offre de solutions novatrices permettant d’accroître la compétitivité des PME/PMI et de stimuler la croissance dans les pays impliqués dans les économies africaines;  iv) étudier les moyens de faciliter la participation des pays africains à l’économie mondiale du numérique et du savoir.</w:t>
            </w:r>
          </w:p>
        </w:tc>
      </w:tr>
      <w:tr w:rsidR="00767EC2" w:rsidRPr="00F076D7" w14:paraId="0CC99BB1" w14:textId="77777777" w:rsidTr="00A83D07">
        <w:tblPrEx>
          <w:tblLook w:val="04A0" w:firstRow="1" w:lastRow="0" w:firstColumn="1" w:lastColumn="0" w:noHBand="0" w:noVBand="1"/>
        </w:tblPrEx>
        <w:trPr>
          <w:cantSplit/>
        </w:trPr>
        <w:tc>
          <w:tcPr>
            <w:tcW w:w="1925" w:type="dxa"/>
          </w:tcPr>
          <w:p w14:paraId="1F9C8559"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Cours de formation sur les marques</w:t>
            </w:r>
          </w:p>
        </w:tc>
        <w:tc>
          <w:tcPr>
            <w:tcW w:w="1240" w:type="dxa"/>
          </w:tcPr>
          <w:p w14:paraId="52B4617A"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11 – 22 juillet 2016</w:t>
            </w:r>
          </w:p>
        </w:tc>
        <w:tc>
          <w:tcPr>
            <w:tcW w:w="1514" w:type="dxa"/>
          </w:tcPr>
          <w:p w14:paraId="6D0C5D5C"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Maroc/ 20 participants</w:t>
            </w:r>
          </w:p>
        </w:tc>
        <w:tc>
          <w:tcPr>
            <w:tcW w:w="4393" w:type="dxa"/>
          </w:tcPr>
          <w:p w14:paraId="0E667CAC"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i) améliorer les compétences et les connaissances des fonctionnaires des marques des offices de propriété intellectuelle ou des ministères concernés des pays en développement par le biais de discussions sur les questions et procédures relatives aux marques;  ii) familiariser les responsables de marques de commerce participants avec des questions actuelles et importantes dans le domaine des marques et domaines connexes.</w:t>
            </w:r>
          </w:p>
        </w:tc>
      </w:tr>
      <w:tr w:rsidR="00767EC2" w:rsidRPr="00F076D7" w14:paraId="39596C9E" w14:textId="77777777" w:rsidTr="00A83D07">
        <w:tblPrEx>
          <w:tblLook w:val="04A0" w:firstRow="1" w:lastRow="0" w:firstColumn="1" w:lastColumn="0" w:noHBand="0" w:noVBand="1"/>
        </w:tblPrEx>
        <w:trPr>
          <w:cantSplit/>
        </w:trPr>
        <w:tc>
          <w:tcPr>
            <w:tcW w:w="1925" w:type="dxa"/>
          </w:tcPr>
          <w:p w14:paraId="2D669A89"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Atelier régional de l’OMPI sur la promotion du respect de la propriété intellectuelle à l’intention des juges</w:t>
            </w:r>
          </w:p>
        </w:tc>
        <w:tc>
          <w:tcPr>
            <w:tcW w:w="1240" w:type="dxa"/>
          </w:tcPr>
          <w:p w14:paraId="54434D50"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29 et 30 novembre 2016</w:t>
            </w:r>
          </w:p>
        </w:tc>
        <w:tc>
          <w:tcPr>
            <w:tcW w:w="1514" w:type="dxa"/>
          </w:tcPr>
          <w:p w14:paraId="34F9E435"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Madagascar/ 40 juges de Madagascar et 9 juges des Comores</w:t>
            </w:r>
          </w:p>
        </w:tc>
        <w:tc>
          <w:tcPr>
            <w:tcW w:w="4393" w:type="dxa"/>
          </w:tcPr>
          <w:p w14:paraId="71B49F8A"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Développer et renforcer les capacités respectives du pouvoir judiciaire et des douanes de Madagascar et des Comores en matière d’application des droits de propriété intellectuelle et de promotion du respect de la propriété intellectuelle.</w:t>
            </w:r>
          </w:p>
        </w:tc>
      </w:tr>
      <w:tr w:rsidR="00767EC2" w:rsidRPr="00F076D7" w14:paraId="7F80F9AC" w14:textId="77777777" w:rsidTr="00A83D07">
        <w:tblPrEx>
          <w:tblLook w:val="04A0" w:firstRow="1" w:lastRow="0" w:firstColumn="1" w:lastColumn="0" w:noHBand="0" w:noVBand="1"/>
        </w:tblPrEx>
        <w:trPr>
          <w:cantSplit/>
        </w:trPr>
        <w:tc>
          <w:tcPr>
            <w:tcW w:w="1925" w:type="dxa"/>
          </w:tcPr>
          <w:p w14:paraId="36A8AA10"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 xml:space="preserve">Atelier </w:t>
            </w:r>
            <w:proofErr w:type="spellStart"/>
            <w:r w:rsidRPr="00F076D7">
              <w:rPr>
                <w:rFonts w:eastAsia="MS Mincho"/>
                <w:sz w:val="16"/>
                <w:szCs w:val="16"/>
                <w:lang w:eastAsia="ja-JP" w:bidi="th-TH"/>
              </w:rPr>
              <w:t>sous</w:t>
            </w:r>
            <w:r w:rsidRPr="00F076D7">
              <w:rPr>
                <w:rFonts w:eastAsia="MS Mincho"/>
                <w:sz w:val="16"/>
                <w:szCs w:val="16"/>
                <w:lang w:eastAsia="ja-JP" w:bidi="th-TH"/>
              </w:rPr>
              <w:noBreakHyphen/>
              <w:t>régional</w:t>
            </w:r>
            <w:proofErr w:type="spellEnd"/>
            <w:r w:rsidRPr="00F076D7">
              <w:rPr>
                <w:rFonts w:eastAsia="MS Mincho"/>
                <w:sz w:val="16"/>
                <w:szCs w:val="16"/>
                <w:lang w:eastAsia="ja-JP" w:bidi="th-TH"/>
              </w:rPr>
              <w:t xml:space="preserve"> sur la promotion du respect de la propriété intellectuelle à l’intention des agents chargés de l’application de la loi (fonctionnaires de la police et des douanes)</w:t>
            </w:r>
          </w:p>
        </w:tc>
        <w:tc>
          <w:tcPr>
            <w:tcW w:w="1240" w:type="dxa"/>
          </w:tcPr>
          <w:p w14:paraId="7F90F848"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1</w:t>
            </w:r>
            <w:r w:rsidRPr="00F076D7">
              <w:rPr>
                <w:rFonts w:eastAsia="MS Mincho"/>
                <w:sz w:val="16"/>
                <w:szCs w:val="16"/>
                <w:vertAlign w:val="superscript"/>
                <w:lang w:eastAsia="ja-JP" w:bidi="th-TH"/>
              </w:rPr>
              <w:t>er</w:t>
            </w:r>
            <w:r w:rsidRPr="00F076D7">
              <w:rPr>
                <w:rFonts w:eastAsia="MS Mincho"/>
                <w:sz w:val="16"/>
                <w:szCs w:val="16"/>
                <w:lang w:eastAsia="ja-JP" w:bidi="th-TH"/>
              </w:rPr>
              <w:t> décembre 2016</w:t>
            </w:r>
          </w:p>
        </w:tc>
        <w:tc>
          <w:tcPr>
            <w:tcW w:w="1514" w:type="dxa"/>
          </w:tcPr>
          <w:p w14:paraId="7791E581"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Madagascar/ 38 fonctionnaires des douanes et de police de Madagascar,</w:t>
            </w:r>
          </w:p>
          <w:p w14:paraId="331E6FBD" w14:textId="77777777" w:rsidR="00767EC2" w:rsidRPr="00F076D7" w:rsidRDefault="00767EC2" w:rsidP="00A83D07">
            <w:pPr>
              <w:rPr>
                <w:rFonts w:eastAsia="MS Mincho"/>
                <w:sz w:val="16"/>
                <w:szCs w:val="16"/>
                <w:lang w:eastAsia="ja-JP" w:bidi="th-TH"/>
              </w:rPr>
            </w:pPr>
            <w:r w:rsidRPr="00F076D7">
              <w:rPr>
                <w:rFonts w:eastAsia="MS Mincho"/>
                <w:sz w:val="16"/>
                <w:szCs w:val="16"/>
                <w:lang w:eastAsia="ja-JP" w:bidi="th-TH"/>
              </w:rPr>
              <w:t>18 fonctionnaires des douanes et de police des Comores</w:t>
            </w:r>
          </w:p>
        </w:tc>
        <w:tc>
          <w:tcPr>
            <w:tcW w:w="4393" w:type="dxa"/>
          </w:tcPr>
          <w:p w14:paraId="31B17276" w14:textId="77777777" w:rsidR="00767EC2" w:rsidRPr="00F076D7" w:rsidRDefault="00767EC2" w:rsidP="00A83D07">
            <w:pPr>
              <w:rPr>
                <w:rFonts w:eastAsia="MS Mincho"/>
                <w:sz w:val="16"/>
                <w:szCs w:val="16"/>
                <w:highlight w:val="cyan"/>
                <w:lang w:eastAsia="ja-JP" w:bidi="th-TH"/>
              </w:rPr>
            </w:pPr>
            <w:r w:rsidRPr="00F076D7">
              <w:rPr>
                <w:rFonts w:eastAsia="MS Mincho"/>
                <w:sz w:val="16"/>
                <w:szCs w:val="16"/>
                <w:lang w:eastAsia="ja-JP" w:bidi="th-TH"/>
              </w:rPr>
              <w:t>i) compléter les connaissances et les compétences des participants en ce qui concerne les procédures judiciaires et la gestion des litiges en matière de propriété intellectuelle ainsi que l’application des mesures douanières, afin de les aider à mieux utiliser les procédures décrites dans la partie III de l’Accord sur les ADPIC;  ii) donner l’occasion à chaque groupe participant de partager ses expériences et de discuter des difficultés auxquelles il est confronté quant à la mise en œuvre des dispositions juridiques et réglementaires relatives à l’application des droits de propriété intellectuelle;  iii) familiariser les juges avec les outils de jurisprudence élaborés respectivement par l’OMPI et l’OAPI.</w:t>
            </w:r>
          </w:p>
        </w:tc>
      </w:tr>
    </w:tbl>
    <w:p w14:paraId="52E235E5" w14:textId="77777777" w:rsidR="00767EC2" w:rsidRPr="00F076D7" w:rsidRDefault="00767EC2" w:rsidP="00767EC2">
      <w:pPr>
        <w:keepNext/>
        <w:keepLines/>
        <w:rPr>
          <w:b/>
          <w:sz w:val="20"/>
          <w:szCs w:val="16"/>
        </w:rPr>
      </w:pPr>
    </w:p>
    <w:p w14:paraId="4B3A63DD" w14:textId="77777777" w:rsidR="00767EC2" w:rsidRPr="00F076D7" w:rsidRDefault="00767EC2" w:rsidP="00767EC2">
      <w:pPr>
        <w:keepNext/>
        <w:keepLines/>
        <w:rPr>
          <w:b/>
          <w:sz w:val="20"/>
          <w:szCs w:val="16"/>
        </w:rPr>
      </w:pPr>
      <w:r w:rsidRPr="00F076D7">
        <w:rPr>
          <w:b/>
          <w:sz w:val="20"/>
          <w:szCs w:val="16"/>
        </w:rPr>
        <w:t>FRANCE/PROPRIÉTÉ INDUSTRIELLE — Contributions des donateurs et dépenses en 2016</w:t>
      </w:r>
    </w:p>
    <w:p w14:paraId="1A15EEAD" w14:textId="77777777" w:rsidR="00767EC2" w:rsidRPr="00F076D7" w:rsidRDefault="00767EC2" w:rsidP="00767EC2">
      <w:pPr>
        <w:keepNext/>
        <w:keepLines/>
        <w:rPr>
          <w:b/>
          <w:sz w:val="20"/>
          <w:szCs w:val="16"/>
        </w:rPr>
      </w:pPr>
    </w:p>
    <w:tbl>
      <w:tblPr>
        <w:tblW w:w="4942" w:type="pct"/>
        <w:tblCellMar>
          <w:top w:w="57" w:type="dxa"/>
          <w:bottom w:w="57" w:type="dxa"/>
        </w:tblCellMar>
        <w:tblLook w:val="04A0" w:firstRow="1" w:lastRow="0" w:firstColumn="1" w:lastColumn="0" w:noHBand="0" w:noVBand="1"/>
      </w:tblPr>
      <w:tblGrid>
        <w:gridCol w:w="1835"/>
        <w:gridCol w:w="1836"/>
        <w:gridCol w:w="1836"/>
        <w:gridCol w:w="1836"/>
        <w:gridCol w:w="1836"/>
      </w:tblGrid>
      <w:tr w:rsidR="00767EC2" w:rsidRPr="00F076D7" w14:paraId="6367C150" w14:textId="77777777" w:rsidTr="00A83D07">
        <w:trPr>
          <w:cantSplit/>
        </w:trPr>
        <w:tc>
          <w:tcPr>
            <w:tcW w:w="1835" w:type="dxa"/>
            <w:tcBorders>
              <w:top w:val="nil"/>
              <w:left w:val="nil"/>
              <w:bottom w:val="nil"/>
              <w:right w:val="nil"/>
            </w:tcBorders>
            <w:shd w:val="clear" w:color="000000" w:fill="C5D9F1"/>
            <w:vAlign w:val="center"/>
            <w:hideMark/>
          </w:tcPr>
          <w:p w14:paraId="56723112" w14:textId="77777777" w:rsidR="00767EC2" w:rsidRPr="00F076D7" w:rsidRDefault="00767EC2" w:rsidP="00A83D07">
            <w:pPr>
              <w:keepNext/>
              <w:keepLines/>
              <w:jc w:val="center"/>
              <w:rPr>
                <w:b/>
                <w:bCs/>
                <w:sz w:val="16"/>
                <w:szCs w:val="16"/>
              </w:rPr>
            </w:pPr>
            <w:r w:rsidRPr="00F076D7">
              <w:rPr>
                <w:b/>
                <w:bCs/>
                <w:sz w:val="16"/>
                <w:szCs w:val="16"/>
              </w:rPr>
              <w:t>Solde au 31 décembre 2015</w:t>
            </w:r>
          </w:p>
        </w:tc>
        <w:tc>
          <w:tcPr>
            <w:tcW w:w="1836" w:type="dxa"/>
            <w:tcBorders>
              <w:top w:val="nil"/>
              <w:left w:val="nil"/>
              <w:bottom w:val="nil"/>
              <w:right w:val="nil"/>
            </w:tcBorders>
            <w:shd w:val="clear" w:color="000000" w:fill="C5D9F1"/>
            <w:noWrap/>
            <w:vAlign w:val="center"/>
            <w:hideMark/>
          </w:tcPr>
          <w:p w14:paraId="75D171A7" w14:textId="77777777" w:rsidR="00767EC2" w:rsidRPr="00F076D7" w:rsidRDefault="00767EC2" w:rsidP="00A83D07">
            <w:pPr>
              <w:keepNext/>
              <w:keepLines/>
              <w:jc w:val="center"/>
              <w:rPr>
                <w:b/>
                <w:bCs/>
                <w:sz w:val="16"/>
                <w:szCs w:val="16"/>
              </w:rPr>
            </w:pPr>
            <w:r w:rsidRPr="00F076D7">
              <w:rPr>
                <w:b/>
                <w:bCs/>
                <w:sz w:val="16"/>
                <w:szCs w:val="16"/>
              </w:rPr>
              <w:t>Revenus 2016</w:t>
            </w:r>
          </w:p>
        </w:tc>
        <w:tc>
          <w:tcPr>
            <w:tcW w:w="1836" w:type="dxa"/>
            <w:tcBorders>
              <w:top w:val="nil"/>
              <w:left w:val="nil"/>
              <w:bottom w:val="nil"/>
              <w:right w:val="nil"/>
            </w:tcBorders>
            <w:shd w:val="clear" w:color="000000" w:fill="C5D9F1"/>
            <w:noWrap/>
            <w:vAlign w:val="center"/>
            <w:hideMark/>
          </w:tcPr>
          <w:p w14:paraId="7F020601" w14:textId="77777777" w:rsidR="00767EC2" w:rsidRPr="00F076D7" w:rsidRDefault="00767EC2" w:rsidP="00A83D07">
            <w:pPr>
              <w:keepNext/>
              <w:keepLines/>
              <w:jc w:val="center"/>
              <w:rPr>
                <w:b/>
                <w:bCs/>
                <w:sz w:val="16"/>
                <w:szCs w:val="16"/>
              </w:rPr>
            </w:pPr>
            <w:r w:rsidRPr="00F076D7">
              <w:rPr>
                <w:b/>
                <w:bCs/>
                <w:sz w:val="16"/>
                <w:szCs w:val="16"/>
              </w:rPr>
              <w:t>Dépenses en 2016</w:t>
            </w:r>
          </w:p>
        </w:tc>
        <w:tc>
          <w:tcPr>
            <w:tcW w:w="1836" w:type="dxa"/>
            <w:tcBorders>
              <w:top w:val="nil"/>
              <w:left w:val="nil"/>
              <w:bottom w:val="nil"/>
              <w:right w:val="nil"/>
            </w:tcBorders>
            <w:shd w:val="clear" w:color="000000" w:fill="C5D9F1"/>
            <w:noWrap/>
            <w:vAlign w:val="center"/>
            <w:hideMark/>
          </w:tcPr>
          <w:p w14:paraId="0BAD5B9D" w14:textId="77777777" w:rsidR="00767EC2" w:rsidRPr="00F076D7" w:rsidRDefault="00767EC2" w:rsidP="00A83D07">
            <w:pPr>
              <w:keepNext/>
              <w:keepLines/>
              <w:jc w:val="center"/>
              <w:rPr>
                <w:b/>
                <w:bCs/>
                <w:sz w:val="16"/>
                <w:szCs w:val="16"/>
              </w:rPr>
            </w:pPr>
            <w:r w:rsidRPr="00F076D7">
              <w:rPr>
                <w:b/>
                <w:bCs/>
                <w:sz w:val="16"/>
                <w:szCs w:val="16"/>
              </w:rPr>
              <w:t>Remboursements</w:t>
            </w:r>
          </w:p>
        </w:tc>
        <w:tc>
          <w:tcPr>
            <w:tcW w:w="1836" w:type="dxa"/>
            <w:tcBorders>
              <w:top w:val="nil"/>
              <w:left w:val="nil"/>
              <w:bottom w:val="nil"/>
              <w:right w:val="nil"/>
            </w:tcBorders>
            <w:shd w:val="clear" w:color="000000" w:fill="C5D9F1"/>
            <w:vAlign w:val="center"/>
            <w:hideMark/>
          </w:tcPr>
          <w:p w14:paraId="14A04445" w14:textId="77777777" w:rsidR="00767EC2" w:rsidRPr="00F076D7" w:rsidRDefault="00767EC2" w:rsidP="00A83D07">
            <w:pPr>
              <w:keepNext/>
              <w:keepLines/>
              <w:jc w:val="center"/>
              <w:rPr>
                <w:b/>
                <w:bCs/>
                <w:sz w:val="16"/>
                <w:szCs w:val="16"/>
              </w:rPr>
            </w:pPr>
            <w:r w:rsidRPr="00F076D7">
              <w:rPr>
                <w:b/>
                <w:bCs/>
                <w:sz w:val="16"/>
                <w:szCs w:val="16"/>
              </w:rPr>
              <w:t>Solde au 31 décembre 2016</w:t>
            </w:r>
          </w:p>
        </w:tc>
      </w:tr>
      <w:tr w:rsidR="00767EC2" w:rsidRPr="00F076D7" w14:paraId="37FC5989" w14:textId="77777777" w:rsidTr="00A83D07">
        <w:trPr>
          <w:cantSplit/>
        </w:trPr>
        <w:tc>
          <w:tcPr>
            <w:tcW w:w="1835" w:type="dxa"/>
            <w:tcBorders>
              <w:top w:val="nil"/>
              <w:left w:val="nil"/>
              <w:bottom w:val="nil"/>
              <w:right w:val="nil"/>
            </w:tcBorders>
            <w:shd w:val="clear" w:color="auto" w:fill="auto"/>
            <w:noWrap/>
            <w:vAlign w:val="bottom"/>
            <w:hideMark/>
          </w:tcPr>
          <w:p w14:paraId="1E700763" w14:textId="77777777" w:rsidR="00767EC2" w:rsidRPr="00F076D7" w:rsidRDefault="00767EC2" w:rsidP="00A83D07">
            <w:pPr>
              <w:keepNext/>
              <w:keepLines/>
              <w:jc w:val="center"/>
              <w:rPr>
                <w:sz w:val="16"/>
                <w:szCs w:val="16"/>
              </w:rPr>
            </w:pPr>
            <w:r w:rsidRPr="00F076D7">
              <w:rPr>
                <w:sz w:val="16"/>
                <w:szCs w:val="16"/>
              </w:rPr>
              <w:t>960 497</w:t>
            </w:r>
          </w:p>
        </w:tc>
        <w:tc>
          <w:tcPr>
            <w:tcW w:w="1836" w:type="dxa"/>
            <w:tcBorders>
              <w:top w:val="nil"/>
              <w:left w:val="nil"/>
              <w:bottom w:val="nil"/>
              <w:right w:val="nil"/>
            </w:tcBorders>
            <w:shd w:val="clear" w:color="auto" w:fill="auto"/>
            <w:noWrap/>
            <w:vAlign w:val="bottom"/>
            <w:hideMark/>
          </w:tcPr>
          <w:p w14:paraId="4AD814F7" w14:textId="77777777" w:rsidR="00767EC2" w:rsidRPr="00F076D7" w:rsidRDefault="00767EC2" w:rsidP="00A83D07">
            <w:pPr>
              <w:keepNext/>
              <w:keepLines/>
              <w:jc w:val="center"/>
              <w:rPr>
                <w:sz w:val="16"/>
                <w:szCs w:val="16"/>
              </w:rPr>
            </w:pPr>
            <w:r w:rsidRPr="00F076D7">
              <w:rPr>
                <w:sz w:val="16"/>
                <w:szCs w:val="16"/>
              </w:rPr>
              <w:t>289 323</w:t>
            </w:r>
          </w:p>
        </w:tc>
        <w:tc>
          <w:tcPr>
            <w:tcW w:w="1836" w:type="dxa"/>
            <w:tcBorders>
              <w:top w:val="nil"/>
              <w:left w:val="nil"/>
              <w:bottom w:val="nil"/>
              <w:right w:val="nil"/>
            </w:tcBorders>
            <w:shd w:val="clear" w:color="auto" w:fill="auto"/>
            <w:noWrap/>
            <w:vAlign w:val="bottom"/>
            <w:hideMark/>
          </w:tcPr>
          <w:p w14:paraId="5EA923D1" w14:textId="77777777" w:rsidR="00767EC2" w:rsidRPr="00F076D7" w:rsidRDefault="00767EC2" w:rsidP="00A83D07">
            <w:pPr>
              <w:keepNext/>
              <w:keepLines/>
              <w:jc w:val="center"/>
              <w:rPr>
                <w:sz w:val="16"/>
                <w:szCs w:val="16"/>
              </w:rPr>
            </w:pPr>
            <w:r w:rsidRPr="00F076D7">
              <w:rPr>
                <w:sz w:val="16"/>
                <w:szCs w:val="16"/>
              </w:rPr>
              <w:t>545 186</w:t>
            </w:r>
          </w:p>
        </w:tc>
        <w:tc>
          <w:tcPr>
            <w:tcW w:w="1836" w:type="dxa"/>
            <w:tcBorders>
              <w:top w:val="nil"/>
              <w:left w:val="nil"/>
              <w:bottom w:val="nil"/>
              <w:right w:val="nil"/>
            </w:tcBorders>
            <w:shd w:val="clear" w:color="auto" w:fill="auto"/>
            <w:noWrap/>
            <w:vAlign w:val="bottom"/>
            <w:hideMark/>
          </w:tcPr>
          <w:p w14:paraId="19CFEBD5" w14:textId="77777777" w:rsidR="00767EC2" w:rsidRPr="00F076D7" w:rsidRDefault="00767EC2" w:rsidP="00A83D07">
            <w:pPr>
              <w:keepNext/>
              <w:keepLines/>
              <w:jc w:val="center"/>
              <w:rPr>
                <w:sz w:val="16"/>
                <w:szCs w:val="16"/>
              </w:rPr>
            </w:pPr>
            <w:r w:rsidRPr="00F076D7">
              <w:rPr>
                <w:sz w:val="16"/>
                <w:szCs w:val="16"/>
              </w:rPr>
              <w:noBreakHyphen/>
            </w:r>
          </w:p>
        </w:tc>
        <w:tc>
          <w:tcPr>
            <w:tcW w:w="1836" w:type="dxa"/>
            <w:tcBorders>
              <w:top w:val="nil"/>
              <w:left w:val="nil"/>
              <w:bottom w:val="nil"/>
              <w:right w:val="nil"/>
            </w:tcBorders>
            <w:shd w:val="clear" w:color="auto" w:fill="auto"/>
            <w:noWrap/>
            <w:vAlign w:val="bottom"/>
            <w:hideMark/>
          </w:tcPr>
          <w:p w14:paraId="58971B3A" w14:textId="77777777" w:rsidR="00767EC2" w:rsidRPr="00F076D7" w:rsidRDefault="00767EC2" w:rsidP="00A83D07">
            <w:pPr>
              <w:keepNext/>
              <w:keepLines/>
              <w:jc w:val="center"/>
              <w:rPr>
                <w:sz w:val="16"/>
                <w:szCs w:val="16"/>
              </w:rPr>
            </w:pPr>
            <w:r w:rsidRPr="00F076D7">
              <w:rPr>
                <w:sz w:val="16"/>
                <w:szCs w:val="16"/>
              </w:rPr>
              <w:t>704 634</w:t>
            </w:r>
          </w:p>
        </w:tc>
      </w:tr>
    </w:tbl>
    <w:p w14:paraId="6703B1F6" w14:textId="77777777" w:rsidR="00767EC2" w:rsidRPr="00F076D7" w:rsidRDefault="00767EC2" w:rsidP="00767EC2">
      <w:pPr>
        <w:rPr>
          <w:rFonts w:cs="Times New Roman"/>
          <w:sz w:val="20"/>
          <w:szCs w:val="24"/>
        </w:rPr>
      </w:pPr>
    </w:p>
    <w:p w14:paraId="13CF185D" w14:textId="77777777" w:rsidR="00767EC2" w:rsidRPr="00F076D7" w:rsidRDefault="00767EC2" w:rsidP="00767EC2">
      <w:pPr>
        <w:rPr>
          <w:b/>
          <w:sz w:val="20"/>
        </w:rPr>
      </w:pPr>
    </w:p>
    <w:p w14:paraId="0AE67424" w14:textId="77777777" w:rsidR="00767EC2" w:rsidRPr="00F076D7" w:rsidRDefault="00767EC2" w:rsidP="00767EC2">
      <w:pPr>
        <w:keepNext/>
        <w:keepLines/>
        <w:rPr>
          <w:b/>
          <w:sz w:val="20"/>
        </w:rPr>
      </w:pPr>
      <w:r w:rsidRPr="00F076D7">
        <w:rPr>
          <w:b/>
          <w:sz w:val="20"/>
        </w:rPr>
        <w:t>ITALIE</w:t>
      </w:r>
    </w:p>
    <w:p w14:paraId="46024013" w14:textId="77777777" w:rsidR="00767EC2" w:rsidRPr="00F076D7" w:rsidRDefault="00767EC2" w:rsidP="00767EC2">
      <w:pPr>
        <w:keepNext/>
        <w:keepLines/>
        <w:rPr>
          <w:b/>
          <w:sz w:val="20"/>
        </w:rPr>
      </w:pPr>
    </w:p>
    <w:tbl>
      <w:tblPr>
        <w:tblW w:w="4884" w:type="pct"/>
        <w:tblCellMar>
          <w:top w:w="57" w:type="dxa"/>
          <w:bottom w:w="57" w:type="dxa"/>
        </w:tblCellMar>
        <w:tblLook w:val="0000" w:firstRow="0" w:lastRow="0" w:firstColumn="0" w:lastColumn="0" w:noHBand="0" w:noVBand="0"/>
      </w:tblPr>
      <w:tblGrid>
        <w:gridCol w:w="1789"/>
        <w:gridCol w:w="1240"/>
        <w:gridCol w:w="1924"/>
        <w:gridCol w:w="4119"/>
      </w:tblGrid>
      <w:tr w:rsidR="00767EC2" w:rsidRPr="00F076D7" w14:paraId="272A5F3B" w14:textId="77777777" w:rsidTr="00A83D07">
        <w:trPr>
          <w:cantSplit/>
        </w:trPr>
        <w:tc>
          <w:tcPr>
            <w:tcW w:w="9072" w:type="dxa"/>
            <w:gridSpan w:val="4"/>
            <w:shd w:val="clear" w:color="auto" w:fill="C6D9F1" w:themeFill="text2" w:themeFillTint="33"/>
            <w:vAlign w:val="center"/>
          </w:tcPr>
          <w:p w14:paraId="5F60FF2E" w14:textId="77777777" w:rsidR="00767EC2" w:rsidRPr="00F076D7" w:rsidRDefault="00767EC2" w:rsidP="00A83D07">
            <w:pPr>
              <w:keepNext/>
              <w:keepLines/>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767EC2" w:rsidRPr="00F076D7" w14:paraId="15AFB671" w14:textId="77777777" w:rsidTr="00A83D07">
        <w:trPr>
          <w:cantSplit/>
        </w:trPr>
        <w:tc>
          <w:tcPr>
            <w:tcW w:w="1789" w:type="dxa"/>
            <w:vAlign w:val="center"/>
          </w:tcPr>
          <w:p w14:paraId="1F9413E8" w14:textId="77777777" w:rsidR="00767EC2" w:rsidRPr="00F076D7" w:rsidRDefault="00767EC2" w:rsidP="00A83D07">
            <w:pPr>
              <w:keepNext/>
              <w:keepLines/>
              <w:rPr>
                <w:b/>
                <w:bCs/>
                <w:sz w:val="16"/>
                <w:szCs w:val="16"/>
              </w:rPr>
            </w:pPr>
            <w:r w:rsidRPr="00F076D7">
              <w:rPr>
                <w:b/>
                <w:bCs/>
                <w:sz w:val="16"/>
                <w:szCs w:val="16"/>
              </w:rPr>
              <w:t>Activité</w:t>
            </w:r>
          </w:p>
        </w:tc>
        <w:tc>
          <w:tcPr>
            <w:tcW w:w="1240" w:type="dxa"/>
            <w:tcMar>
              <w:top w:w="57" w:type="dxa"/>
            </w:tcMar>
            <w:vAlign w:val="center"/>
          </w:tcPr>
          <w:p w14:paraId="0ECC6AF9" w14:textId="77777777" w:rsidR="00767EC2" w:rsidRPr="00F076D7" w:rsidRDefault="00767EC2" w:rsidP="00A83D07">
            <w:pPr>
              <w:keepNext/>
              <w:keepLines/>
              <w:rPr>
                <w:b/>
                <w:sz w:val="16"/>
                <w:szCs w:val="16"/>
              </w:rPr>
            </w:pPr>
            <w:r w:rsidRPr="00F076D7">
              <w:rPr>
                <w:b/>
                <w:sz w:val="16"/>
                <w:szCs w:val="16"/>
              </w:rPr>
              <w:t>Date</w:t>
            </w:r>
          </w:p>
        </w:tc>
        <w:tc>
          <w:tcPr>
            <w:tcW w:w="1924" w:type="dxa"/>
            <w:tcMar>
              <w:top w:w="57" w:type="dxa"/>
            </w:tcMar>
            <w:vAlign w:val="center"/>
          </w:tcPr>
          <w:p w14:paraId="53309511" w14:textId="77777777" w:rsidR="00767EC2" w:rsidRPr="00F076D7" w:rsidRDefault="00767EC2" w:rsidP="00A83D07">
            <w:pPr>
              <w:keepNext/>
              <w:keepLines/>
              <w:rPr>
                <w:b/>
                <w:sz w:val="16"/>
                <w:szCs w:val="16"/>
              </w:rPr>
            </w:pPr>
            <w:r w:rsidRPr="00F076D7">
              <w:rPr>
                <w:b/>
                <w:sz w:val="16"/>
                <w:szCs w:val="16"/>
              </w:rPr>
              <w:t>Pays hôte/bénéficiaires</w:t>
            </w:r>
          </w:p>
        </w:tc>
        <w:tc>
          <w:tcPr>
            <w:tcW w:w="4119" w:type="dxa"/>
            <w:shd w:val="clear" w:color="auto" w:fill="FFFFFF"/>
            <w:tcMar>
              <w:top w:w="57" w:type="dxa"/>
            </w:tcMar>
            <w:vAlign w:val="center"/>
          </w:tcPr>
          <w:p w14:paraId="09D39960"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6AF4FAE4" w14:textId="77777777" w:rsidTr="00A83D07">
        <w:tblPrEx>
          <w:tblLook w:val="04A0" w:firstRow="1" w:lastRow="0" w:firstColumn="1" w:lastColumn="0" w:noHBand="0" w:noVBand="1"/>
        </w:tblPrEx>
        <w:trPr>
          <w:cantSplit/>
        </w:trPr>
        <w:tc>
          <w:tcPr>
            <w:tcW w:w="1789" w:type="dxa"/>
          </w:tcPr>
          <w:p w14:paraId="10F6DA3B" w14:textId="77777777" w:rsidR="00767EC2" w:rsidRPr="00F076D7" w:rsidRDefault="00767EC2" w:rsidP="00A83D07">
            <w:pPr>
              <w:autoSpaceDE w:val="0"/>
              <w:autoSpaceDN w:val="0"/>
              <w:adjustRightInd w:val="0"/>
              <w:rPr>
                <w:sz w:val="16"/>
                <w:szCs w:val="16"/>
              </w:rPr>
            </w:pPr>
            <w:r w:rsidRPr="00F076D7">
              <w:rPr>
                <w:sz w:val="16"/>
                <w:szCs w:val="16"/>
              </w:rPr>
              <w:t>Création d’une base de données nationale de brevets en ligne au sein de l’Office italien des brevets et des marques (DGLC</w:t>
            </w:r>
            <w:r w:rsidRPr="00F076D7">
              <w:rPr>
                <w:sz w:val="16"/>
                <w:szCs w:val="16"/>
              </w:rPr>
              <w:noBreakHyphen/>
              <w:t>UIBM)</w:t>
            </w:r>
          </w:p>
        </w:tc>
        <w:tc>
          <w:tcPr>
            <w:tcW w:w="1240" w:type="dxa"/>
          </w:tcPr>
          <w:p w14:paraId="691EC05B" w14:textId="77777777" w:rsidR="00767EC2" w:rsidRPr="00F076D7" w:rsidRDefault="00767EC2" w:rsidP="00A83D07">
            <w:pPr>
              <w:keepNext/>
              <w:keepLines/>
              <w:autoSpaceDE w:val="0"/>
              <w:autoSpaceDN w:val="0"/>
              <w:adjustRightInd w:val="0"/>
              <w:rPr>
                <w:sz w:val="16"/>
                <w:szCs w:val="16"/>
              </w:rPr>
            </w:pPr>
            <w:r w:rsidRPr="00F076D7">
              <w:rPr>
                <w:sz w:val="16"/>
                <w:szCs w:val="16"/>
              </w:rPr>
              <w:t>Juin 2013 – mai 2016</w:t>
            </w:r>
          </w:p>
        </w:tc>
        <w:tc>
          <w:tcPr>
            <w:tcW w:w="1924" w:type="dxa"/>
          </w:tcPr>
          <w:p w14:paraId="5BC6425E" w14:textId="77777777" w:rsidR="00767EC2" w:rsidRPr="00F076D7" w:rsidRDefault="00767EC2" w:rsidP="00A83D07">
            <w:pPr>
              <w:autoSpaceDE w:val="0"/>
              <w:autoSpaceDN w:val="0"/>
              <w:adjustRightInd w:val="0"/>
              <w:rPr>
                <w:sz w:val="16"/>
                <w:szCs w:val="16"/>
              </w:rPr>
            </w:pPr>
            <w:r w:rsidRPr="00F076D7">
              <w:rPr>
                <w:sz w:val="16"/>
                <w:szCs w:val="16"/>
              </w:rPr>
              <w:t>Italie</w:t>
            </w:r>
          </w:p>
        </w:tc>
        <w:tc>
          <w:tcPr>
            <w:tcW w:w="4119" w:type="dxa"/>
          </w:tcPr>
          <w:p w14:paraId="5FECEBC9"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 xml:space="preserve">i) Faciliter la participation de l’Italie aux accords multilatéraux en vigueur en matière de partage des informations et documents de brevet;  ii) fixer la base de la participation de l’Italie à PATENTSCOPE et à d’autres bases de données de brevets mondiales ou internationales (par exemple </w:t>
            </w:r>
            <w:proofErr w:type="spellStart"/>
            <w:r w:rsidRPr="00F076D7">
              <w:rPr>
                <w:rFonts w:cs="Times New Roman"/>
                <w:sz w:val="16"/>
                <w:szCs w:val="16"/>
              </w:rPr>
              <w:t>Espacenet</w:t>
            </w:r>
            <w:proofErr w:type="spellEnd"/>
            <w:r w:rsidRPr="00F076D7">
              <w:rPr>
                <w:rFonts w:cs="Times New Roman"/>
                <w:sz w:val="16"/>
                <w:szCs w:val="16"/>
              </w:rPr>
              <w:t>);  et iii) contribuer à la diffusion accrue de collections numérisées de brevets pour le bénéfice de tous les États membres de l’OMPI, y compris les pays en développement.</w:t>
            </w:r>
          </w:p>
          <w:p w14:paraId="1F1E5D7B" w14:textId="77777777" w:rsidR="00767EC2" w:rsidRPr="00F076D7" w:rsidRDefault="00767EC2" w:rsidP="00A83D07">
            <w:pPr>
              <w:autoSpaceDE w:val="0"/>
              <w:autoSpaceDN w:val="0"/>
              <w:adjustRightInd w:val="0"/>
              <w:rPr>
                <w:sz w:val="16"/>
                <w:szCs w:val="16"/>
              </w:rPr>
            </w:pPr>
            <w:r w:rsidRPr="00F076D7">
              <w:rPr>
                <w:sz w:val="16"/>
                <w:szCs w:val="16"/>
              </w:rPr>
              <w:t>Lancé en 2013, ce projet a abouti à la publication en ligne de la collection complète des dépôts de brevets en format papier depuis 2008.</w:t>
            </w:r>
            <w:r w:rsidRPr="00F076D7">
              <w:rPr>
                <w:sz w:val="16"/>
              </w:rPr>
              <w:t xml:space="preserve">  </w:t>
            </w:r>
            <w:r w:rsidRPr="00F076D7">
              <w:rPr>
                <w:rFonts w:cs="Times New Roman"/>
                <w:sz w:val="16"/>
                <w:szCs w:val="16"/>
              </w:rPr>
              <w:t>Pleinement opérationnelle depuis mai 2016, la base de données contribue à la diffusion accrue de collections numérisées de brevets pour le bénéfice de tous les États membres de l’OMPI, y compris les pays en développement.</w:t>
            </w:r>
          </w:p>
        </w:tc>
      </w:tr>
    </w:tbl>
    <w:p w14:paraId="5349FA68" w14:textId="77777777" w:rsidR="00767EC2" w:rsidRPr="00F076D7" w:rsidRDefault="00767EC2" w:rsidP="00767EC2">
      <w:pPr>
        <w:rPr>
          <w:sz w:val="20"/>
        </w:rPr>
      </w:pPr>
    </w:p>
    <w:p w14:paraId="5818521A" w14:textId="77777777" w:rsidR="00767EC2" w:rsidRPr="00F076D7" w:rsidRDefault="00767EC2" w:rsidP="00767EC2">
      <w:pPr>
        <w:keepNext/>
        <w:keepLines/>
        <w:rPr>
          <w:b/>
          <w:sz w:val="20"/>
        </w:rPr>
      </w:pPr>
    </w:p>
    <w:p w14:paraId="3812A5FC" w14:textId="77777777" w:rsidR="00767EC2" w:rsidRPr="00F076D7" w:rsidRDefault="00767EC2" w:rsidP="00767EC2">
      <w:pPr>
        <w:keepNext/>
        <w:keepLines/>
        <w:rPr>
          <w:sz w:val="20"/>
        </w:rPr>
      </w:pPr>
      <w:r w:rsidRPr="00F076D7">
        <w:rPr>
          <w:b/>
          <w:sz w:val="20"/>
        </w:rPr>
        <w:t>ITALIE – Contributions des donateurs et dépenses en 2016</w:t>
      </w:r>
    </w:p>
    <w:p w14:paraId="3E7675A9" w14:textId="77777777" w:rsidR="00767EC2" w:rsidRPr="00F076D7" w:rsidRDefault="00767EC2" w:rsidP="00767EC2">
      <w:pPr>
        <w:keepNext/>
        <w:keepLines/>
        <w:rPr>
          <w:rFonts w:cs="Times New Roman"/>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4DC98CD0" w14:textId="77777777" w:rsidTr="00A83D07">
        <w:trPr>
          <w:cantSplit/>
        </w:trPr>
        <w:tc>
          <w:tcPr>
            <w:tcW w:w="1814" w:type="dxa"/>
            <w:tcBorders>
              <w:top w:val="nil"/>
              <w:left w:val="nil"/>
              <w:bottom w:val="nil"/>
              <w:right w:val="nil"/>
            </w:tcBorders>
            <w:shd w:val="clear" w:color="000000" w:fill="C5D9F1"/>
            <w:vAlign w:val="center"/>
            <w:hideMark/>
          </w:tcPr>
          <w:p w14:paraId="618CA850" w14:textId="77777777" w:rsidR="00767EC2" w:rsidRPr="00F076D7" w:rsidRDefault="00767EC2" w:rsidP="00A83D07">
            <w:pPr>
              <w:keepNext/>
              <w:keepLines/>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6C21EFAF" w14:textId="77777777" w:rsidR="00767EC2" w:rsidRPr="00F076D7" w:rsidRDefault="00767EC2" w:rsidP="00A83D07">
            <w:pPr>
              <w:keepNext/>
              <w:keepLines/>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6CF4F89E" w14:textId="77777777" w:rsidR="00767EC2" w:rsidRPr="00F076D7" w:rsidRDefault="00767EC2" w:rsidP="00A83D07">
            <w:pPr>
              <w:keepNext/>
              <w:keepLines/>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0CF2C2C2" w14:textId="77777777" w:rsidR="00767EC2" w:rsidRPr="00F076D7" w:rsidRDefault="00767EC2" w:rsidP="00A83D07">
            <w:pPr>
              <w:keepNext/>
              <w:keepLines/>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58263B9B" w14:textId="77777777" w:rsidR="00767EC2" w:rsidRPr="00F076D7" w:rsidRDefault="00767EC2" w:rsidP="00A83D07">
            <w:pPr>
              <w:keepNext/>
              <w:keepLines/>
              <w:jc w:val="center"/>
              <w:rPr>
                <w:b/>
                <w:bCs/>
                <w:sz w:val="16"/>
                <w:szCs w:val="16"/>
              </w:rPr>
            </w:pPr>
            <w:r w:rsidRPr="00F076D7">
              <w:rPr>
                <w:b/>
                <w:bCs/>
                <w:sz w:val="16"/>
                <w:szCs w:val="16"/>
              </w:rPr>
              <w:t>Solde au 31 décembre 2016</w:t>
            </w:r>
          </w:p>
        </w:tc>
      </w:tr>
      <w:tr w:rsidR="00767EC2" w:rsidRPr="00F076D7" w14:paraId="6F428AE1" w14:textId="77777777" w:rsidTr="00A83D07">
        <w:trPr>
          <w:cantSplit/>
        </w:trPr>
        <w:tc>
          <w:tcPr>
            <w:tcW w:w="1814" w:type="dxa"/>
            <w:tcBorders>
              <w:top w:val="nil"/>
              <w:left w:val="nil"/>
              <w:bottom w:val="nil"/>
              <w:right w:val="nil"/>
            </w:tcBorders>
            <w:shd w:val="clear" w:color="auto" w:fill="auto"/>
            <w:noWrap/>
            <w:vAlign w:val="bottom"/>
            <w:hideMark/>
          </w:tcPr>
          <w:p w14:paraId="482BE9CB" w14:textId="77777777" w:rsidR="00767EC2" w:rsidRPr="00F076D7" w:rsidRDefault="00767EC2" w:rsidP="00A83D07">
            <w:pPr>
              <w:jc w:val="center"/>
              <w:rPr>
                <w:sz w:val="16"/>
                <w:szCs w:val="16"/>
              </w:rPr>
            </w:pPr>
            <w:r w:rsidRPr="00F076D7">
              <w:rPr>
                <w:sz w:val="16"/>
                <w:szCs w:val="16"/>
              </w:rPr>
              <w:t>796 598</w:t>
            </w:r>
          </w:p>
        </w:tc>
        <w:tc>
          <w:tcPr>
            <w:tcW w:w="1814" w:type="dxa"/>
            <w:tcBorders>
              <w:top w:val="nil"/>
              <w:left w:val="nil"/>
              <w:bottom w:val="nil"/>
              <w:right w:val="nil"/>
            </w:tcBorders>
            <w:shd w:val="clear" w:color="auto" w:fill="auto"/>
            <w:noWrap/>
            <w:vAlign w:val="bottom"/>
            <w:hideMark/>
          </w:tcPr>
          <w:p w14:paraId="57B4EF9B"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5358E580" w14:textId="77777777" w:rsidR="00767EC2" w:rsidRPr="00F076D7" w:rsidRDefault="00767EC2" w:rsidP="00A83D07">
            <w:pPr>
              <w:jc w:val="center"/>
              <w:rPr>
                <w:sz w:val="16"/>
                <w:szCs w:val="16"/>
              </w:rPr>
            </w:pPr>
            <w:r w:rsidRPr="00F076D7">
              <w:rPr>
                <w:sz w:val="16"/>
                <w:szCs w:val="16"/>
              </w:rPr>
              <w:t>81 503</w:t>
            </w:r>
          </w:p>
        </w:tc>
        <w:tc>
          <w:tcPr>
            <w:tcW w:w="1814" w:type="dxa"/>
            <w:tcBorders>
              <w:top w:val="nil"/>
              <w:left w:val="nil"/>
              <w:bottom w:val="nil"/>
              <w:right w:val="nil"/>
            </w:tcBorders>
            <w:shd w:val="clear" w:color="auto" w:fill="auto"/>
            <w:noWrap/>
            <w:vAlign w:val="bottom"/>
            <w:hideMark/>
          </w:tcPr>
          <w:p w14:paraId="14693153"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2295FE1E" w14:textId="77777777" w:rsidR="00767EC2" w:rsidRPr="00F076D7" w:rsidRDefault="00767EC2" w:rsidP="00A83D07">
            <w:pPr>
              <w:jc w:val="center"/>
              <w:rPr>
                <w:sz w:val="16"/>
                <w:szCs w:val="16"/>
              </w:rPr>
            </w:pPr>
            <w:r w:rsidRPr="00F076D7">
              <w:rPr>
                <w:sz w:val="16"/>
                <w:szCs w:val="16"/>
              </w:rPr>
              <w:t>715 095</w:t>
            </w:r>
          </w:p>
        </w:tc>
      </w:tr>
    </w:tbl>
    <w:p w14:paraId="66D6CC9A" w14:textId="77777777" w:rsidR="00767EC2" w:rsidRPr="00F076D7" w:rsidRDefault="00767EC2" w:rsidP="00767EC2">
      <w:pPr>
        <w:rPr>
          <w:b/>
          <w:sz w:val="20"/>
          <w:szCs w:val="16"/>
        </w:rPr>
      </w:pPr>
    </w:p>
    <w:p w14:paraId="59741B51" w14:textId="77777777" w:rsidR="00767EC2" w:rsidRPr="00F076D7" w:rsidRDefault="00767EC2" w:rsidP="00767EC2">
      <w:pPr>
        <w:rPr>
          <w:b/>
          <w:sz w:val="20"/>
          <w:szCs w:val="16"/>
        </w:rPr>
      </w:pPr>
    </w:p>
    <w:p w14:paraId="5648D76E" w14:textId="77777777" w:rsidR="00767EC2" w:rsidRPr="00F076D7" w:rsidRDefault="00767EC2" w:rsidP="00767EC2">
      <w:pPr>
        <w:keepNext/>
        <w:rPr>
          <w:b/>
          <w:sz w:val="20"/>
          <w:szCs w:val="16"/>
          <w:lang w:eastAsia="ja-JP"/>
        </w:rPr>
      </w:pPr>
      <w:r w:rsidRPr="00F076D7">
        <w:rPr>
          <w:b/>
          <w:sz w:val="20"/>
          <w:szCs w:val="16"/>
          <w:lang w:eastAsia="ja-JP"/>
        </w:rPr>
        <w:t>JAPON/DROIT D’AUTEUR</w:t>
      </w:r>
    </w:p>
    <w:p w14:paraId="437D6B1B" w14:textId="77777777" w:rsidR="00767EC2" w:rsidRPr="00F076D7" w:rsidRDefault="00767EC2" w:rsidP="00767EC2">
      <w:pPr>
        <w:keepNext/>
        <w:rPr>
          <w:b/>
          <w:sz w:val="20"/>
          <w:lang w:eastAsia="ja-JP"/>
        </w:rPr>
      </w:pPr>
    </w:p>
    <w:tbl>
      <w:tblPr>
        <w:tblW w:w="4884" w:type="pct"/>
        <w:tblCellMar>
          <w:top w:w="57" w:type="dxa"/>
          <w:bottom w:w="57" w:type="dxa"/>
        </w:tblCellMar>
        <w:tblLook w:val="0000" w:firstRow="0" w:lastRow="0" w:firstColumn="0" w:lastColumn="0" w:noHBand="0" w:noVBand="0"/>
      </w:tblPr>
      <w:tblGrid>
        <w:gridCol w:w="1763"/>
        <w:gridCol w:w="1089"/>
        <w:gridCol w:w="125"/>
        <w:gridCol w:w="1907"/>
        <w:gridCol w:w="4188"/>
      </w:tblGrid>
      <w:tr w:rsidR="00767EC2" w:rsidRPr="00F076D7" w14:paraId="5CA50724" w14:textId="77777777" w:rsidTr="00A83D07">
        <w:trPr>
          <w:cantSplit/>
        </w:trPr>
        <w:tc>
          <w:tcPr>
            <w:tcW w:w="9072" w:type="dxa"/>
            <w:gridSpan w:val="5"/>
            <w:shd w:val="clear" w:color="auto" w:fill="C6D9F1" w:themeFill="text2" w:themeFillTint="33"/>
            <w:vAlign w:val="center"/>
          </w:tcPr>
          <w:p w14:paraId="3D82C3F9" w14:textId="77777777" w:rsidR="00767EC2" w:rsidRPr="00F076D7" w:rsidRDefault="00767EC2" w:rsidP="00A83D07">
            <w:pPr>
              <w:keepNext/>
              <w:keepLines/>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0BE25B12" w14:textId="77777777" w:rsidTr="00A83D07">
        <w:trPr>
          <w:cantSplit/>
        </w:trPr>
        <w:tc>
          <w:tcPr>
            <w:tcW w:w="1763" w:type="dxa"/>
            <w:vAlign w:val="center"/>
          </w:tcPr>
          <w:p w14:paraId="420FC832" w14:textId="77777777" w:rsidR="00767EC2" w:rsidRPr="00F076D7" w:rsidRDefault="00767EC2" w:rsidP="00A83D07">
            <w:pPr>
              <w:keepNext/>
              <w:keepLines/>
              <w:rPr>
                <w:b/>
                <w:bCs/>
                <w:sz w:val="16"/>
                <w:szCs w:val="16"/>
              </w:rPr>
            </w:pPr>
            <w:r w:rsidRPr="00F076D7">
              <w:rPr>
                <w:b/>
                <w:bCs/>
                <w:sz w:val="16"/>
                <w:szCs w:val="16"/>
              </w:rPr>
              <w:t>Activité</w:t>
            </w:r>
          </w:p>
        </w:tc>
        <w:tc>
          <w:tcPr>
            <w:tcW w:w="1214" w:type="dxa"/>
            <w:gridSpan w:val="2"/>
            <w:shd w:val="clear" w:color="auto" w:fill="auto"/>
            <w:tcMar>
              <w:top w:w="57" w:type="dxa"/>
            </w:tcMar>
            <w:vAlign w:val="center"/>
          </w:tcPr>
          <w:p w14:paraId="727FF104" w14:textId="77777777" w:rsidR="00767EC2" w:rsidRPr="00F076D7" w:rsidRDefault="00767EC2" w:rsidP="00A83D07">
            <w:pPr>
              <w:keepNext/>
              <w:keepLines/>
              <w:rPr>
                <w:b/>
                <w:sz w:val="16"/>
                <w:szCs w:val="16"/>
              </w:rPr>
            </w:pPr>
            <w:r w:rsidRPr="00F076D7">
              <w:rPr>
                <w:b/>
                <w:sz w:val="16"/>
                <w:szCs w:val="16"/>
              </w:rPr>
              <w:t>Date</w:t>
            </w:r>
          </w:p>
        </w:tc>
        <w:tc>
          <w:tcPr>
            <w:tcW w:w="1907" w:type="dxa"/>
            <w:shd w:val="clear" w:color="auto" w:fill="auto"/>
            <w:tcMar>
              <w:top w:w="57" w:type="dxa"/>
            </w:tcMar>
            <w:vAlign w:val="center"/>
          </w:tcPr>
          <w:p w14:paraId="314E11E7" w14:textId="77777777" w:rsidR="00767EC2" w:rsidRPr="00F076D7" w:rsidRDefault="00767EC2" w:rsidP="00A83D07">
            <w:pPr>
              <w:keepNext/>
              <w:keepLines/>
              <w:rPr>
                <w:b/>
                <w:sz w:val="16"/>
                <w:szCs w:val="16"/>
              </w:rPr>
            </w:pPr>
            <w:r w:rsidRPr="00F076D7">
              <w:rPr>
                <w:b/>
                <w:sz w:val="16"/>
                <w:szCs w:val="16"/>
              </w:rPr>
              <w:t>Pays hôte/bénéficiaires</w:t>
            </w:r>
          </w:p>
        </w:tc>
        <w:tc>
          <w:tcPr>
            <w:tcW w:w="4188" w:type="dxa"/>
            <w:shd w:val="clear" w:color="auto" w:fill="FFFFFF"/>
            <w:tcMar>
              <w:top w:w="57" w:type="dxa"/>
            </w:tcMar>
            <w:vAlign w:val="center"/>
          </w:tcPr>
          <w:p w14:paraId="1B119087"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0751157E" w14:textId="77777777" w:rsidTr="00A83D07">
        <w:trPr>
          <w:cantSplit/>
        </w:trPr>
        <w:tc>
          <w:tcPr>
            <w:tcW w:w="1763" w:type="dxa"/>
          </w:tcPr>
          <w:p w14:paraId="05CC74B8" w14:textId="77777777" w:rsidR="00767EC2" w:rsidRPr="00F076D7" w:rsidDel="009E0498" w:rsidRDefault="00767EC2" w:rsidP="00A83D07">
            <w:pPr>
              <w:autoSpaceDE w:val="0"/>
              <w:autoSpaceDN w:val="0"/>
              <w:adjustRightInd w:val="0"/>
              <w:rPr>
                <w:sz w:val="16"/>
                <w:szCs w:val="16"/>
              </w:rPr>
            </w:pPr>
            <w:r w:rsidRPr="00F076D7">
              <w:rPr>
                <w:sz w:val="16"/>
                <w:szCs w:val="16"/>
              </w:rPr>
              <w:t>Atelier national sur la sensibilisation au droit d’auteur et aux droits connexes</w:t>
            </w:r>
          </w:p>
        </w:tc>
        <w:tc>
          <w:tcPr>
            <w:tcW w:w="1214" w:type="dxa"/>
            <w:gridSpan w:val="2"/>
          </w:tcPr>
          <w:p w14:paraId="0FA66CA5" w14:textId="77777777" w:rsidR="00767EC2" w:rsidRPr="00F076D7" w:rsidRDefault="00767EC2" w:rsidP="00A83D07">
            <w:pPr>
              <w:autoSpaceDE w:val="0"/>
              <w:autoSpaceDN w:val="0"/>
              <w:adjustRightInd w:val="0"/>
              <w:rPr>
                <w:sz w:val="16"/>
                <w:szCs w:val="16"/>
              </w:rPr>
            </w:pPr>
            <w:r w:rsidRPr="00F076D7">
              <w:rPr>
                <w:sz w:val="16"/>
                <w:szCs w:val="16"/>
              </w:rPr>
              <w:t>18 et 19 janvier 2016</w:t>
            </w:r>
          </w:p>
        </w:tc>
        <w:tc>
          <w:tcPr>
            <w:tcW w:w="1907" w:type="dxa"/>
          </w:tcPr>
          <w:p w14:paraId="7EA2B973" w14:textId="77777777" w:rsidR="00767EC2" w:rsidRPr="00F076D7" w:rsidRDefault="00767EC2" w:rsidP="00A83D07">
            <w:pPr>
              <w:autoSpaceDE w:val="0"/>
              <w:autoSpaceDN w:val="0"/>
              <w:adjustRightInd w:val="0"/>
              <w:rPr>
                <w:sz w:val="16"/>
                <w:szCs w:val="16"/>
              </w:rPr>
            </w:pPr>
            <w:r w:rsidRPr="00F076D7">
              <w:rPr>
                <w:sz w:val="16"/>
                <w:szCs w:val="16"/>
              </w:rPr>
              <w:t>Sri Lanka/ plus de 60 participants locaux</w:t>
            </w:r>
          </w:p>
        </w:tc>
        <w:tc>
          <w:tcPr>
            <w:tcW w:w="4188" w:type="dxa"/>
          </w:tcPr>
          <w:p w14:paraId="43B163DE" w14:textId="77777777" w:rsidR="00767EC2" w:rsidRPr="00F076D7" w:rsidDel="00152E3E" w:rsidRDefault="00767EC2" w:rsidP="00A83D07">
            <w:pPr>
              <w:autoSpaceDE w:val="0"/>
              <w:autoSpaceDN w:val="0"/>
              <w:adjustRightInd w:val="0"/>
              <w:rPr>
                <w:sz w:val="16"/>
                <w:szCs w:val="16"/>
              </w:rPr>
            </w:pPr>
            <w:r w:rsidRPr="00F076D7">
              <w:rPr>
                <w:sz w:val="16"/>
                <w:szCs w:val="16"/>
              </w:rPr>
              <w:t>i) Améliorer la compréhension de l’importance d’un système de droit d’auteur équilibré pour le développement économique et culturel du pays;  ii) discuter des méthodes et des démarches permettant de sensibiliser davantage les agents de l’État et les parties prenantes.</w:t>
            </w:r>
          </w:p>
        </w:tc>
      </w:tr>
      <w:tr w:rsidR="00767EC2" w:rsidRPr="00F076D7" w14:paraId="072AA5BB" w14:textId="77777777" w:rsidTr="00A83D07">
        <w:trPr>
          <w:cantSplit/>
        </w:trPr>
        <w:tc>
          <w:tcPr>
            <w:tcW w:w="1763" w:type="dxa"/>
          </w:tcPr>
          <w:p w14:paraId="4CB22E15" w14:textId="77777777" w:rsidR="00767EC2" w:rsidRPr="00F076D7" w:rsidRDefault="00767EC2" w:rsidP="00A83D07">
            <w:pPr>
              <w:autoSpaceDE w:val="0"/>
              <w:autoSpaceDN w:val="0"/>
              <w:adjustRightInd w:val="0"/>
              <w:rPr>
                <w:sz w:val="16"/>
                <w:szCs w:val="16"/>
              </w:rPr>
            </w:pPr>
            <w:r w:rsidRPr="00F076D7">
              <w:rPr>
                <w:sz w:val="16"/>
                <w:szCs w:val="16"/>
              </w:rPr>
              <w:t xml:space="preserve">Atelier </w:t>
            </w:r>
            <w:proofErr w:type="spellStart"/>
            <w:r w:rsidRPr="00F076D7">
              <w:rPr>
                <w:sz w:val="16"/>
                <w:szCs w:val="16"/>
              </w:rPr>
              <w:t>sous</w:t>
            </w:r>
            <w:r w:rsidRPr="00F076D7">
              <w:rPr>
                <w:sz w:val="16"/>
                <w:szCs w:val="16"/>
              </w:rPr>
              <w:noBreakHyphen/>
              <w:t>régional</w:t>
            </w:r>
            <w:proofErr w:type="spellEnd"/>
            <w:r w:rsidRPr="00F076D7">
              <w:rPr>
                <w:sz w:val="16"/>
                <w:szCs w:val="16"/>
              </w:rPr>
              <w:t xml:space="preserve"> sur le droit d’auteur et les droits connexes dans le Pacifique Sud à l’intention des décideurs</w:t>
            </w:r>
          </w:p>
        </w:tc>
        <w:tc>
          <w:tcPr>
            <w:tcW w:w="1214" w:type="dxa"/>
            <w:gridSpan w:val="2"/>
          </w:tcPr>
          <w:p w14:paraId="6A9EB504" w14:textId="77777777" w:rsidR="00767EC2" w:rsidRPr="00F076D7" w:rsidRDefault="00767EC2" w:rsidP="00A83D07">
            <w:pPr>
              <w:autoSpaceDE w:val="0"/>
              <w:autoSpaceDN w:val="0"/>
              <w:adjustRightInd w:val="0"/>
              <w:rPr>
                <w:sz w:val="16"/>
                <w:szCs w:val="16"/>
              </w:rPr>
            </w:pPr>
            <w:r w:rsidRPr="00F076D7">
              <w:rPr>
                <w:sz w:val="16"/>
                <w:szCs w:val="16"/>
              </w:rPr>
              <w:t>24 – 26 février 2016</w:t>
            </w:r>
          </w:p>
        </w:tc>
        <w:tc>
          <w:tcPr>
            <w:tcW w:w="1907" w:type="dxa"/>
          </w:tcPr>
          <w:p w14:paraId="65934F0A" w14:textId="77777777" w:rsidR="00767EC2" w:rsidRPr="00F076D7" w:rsidRDefault="00767EC2" w:rsidP="00A83D07">
            <w:pPr>
              <w:autoSpaceDE w:val="0"/>
              <w:autoSpaceDN w:val="0"/>
              <w:adjustRightInd w:val="0"/>
              <w:rPr>
                <w:sz w:val="16"/>
                <w:szCs w:val="16"/>
              </w:rPr>
            </w:pPr>
            <w:r w:rsidRPr="00F076D7">
              <w:rPr>
                <w:sz w:val="16"/>
                <w:szCs w:val="16"/>
              </w:rPr>
              <w:t xml:space="preserve">Australie/ 15 participants des pays suivants : Fidji, Îles Cook, Îles Salomon, Kiribati, Nauru, </w:t>
            </w:r>
            <w:proofErr w:type="spellStart"/>
            <w:r w:rsidRPr="00F076D7">
              <w:rPr>
                <w:sz w:val="16"/>
                <w:szCs w:val="16"/>
              </w:rPr>
              <w:t>Nioué</w:t>
            </w:r>
            <w:proofErr w:type="spellEnd"/>
            <w:r w:rsidRPr="00F076D7">
              <w:rPr>
                <w:sz w:val="16"/>
                <w:szCs w:val="16"/>
              </w:rPr>
              <w:t>, Papouasie</w:t>
            </w:r>
            <w:r w:rsidRPr="00F076D7">
              <w:rPr>
                <w:sz w:val="16"/>
                <w:szCs w:val="16"/>
              </w:rPr>
              <w:noBreakHyphen/>
              <w:t xml:space="preserve">Nouvelle-Guinée, République des Îles Marshall, Samoa, Tonga, Vanuatu </w:t>
            </w:r>
          </w:p>
        </w:tc>
        <w:tc>
          <w:tcPr>
            <w:tcW w:w="4188" w:type="dxa"/>
          </w:tcPr>
          <w:p w14:paraId="5F4C24BF" w14:textId="77777777" w:rsidR="00767EC2" w:rsidRPr="00F076D7" w:rsidRDefault="00767EC2" w:rsidP="00A83D07">
            <w:pPr>
              <w:autoSpaceDE w:val="0"/>
              <w:autoSpaceDN w:val="0"/>
              <w:adjustRightInd w:val="0"/>
              <w:rPr>
                <w:sz w:val="16"/>
                <w:szCs w:val="16"/>
              </w:rPr>
            </w:pPr>
            <w:r w:rsidRPr="00F076D7">
              <w:rPr>
                <w:sz w:val="16"/>
                <w:szCs w:val="16"/>
              </w:rPr>
              <w:t>i) Échanger sur les difficultés, les enjeux et les évolutions en matière de droit d’auteur et de droits connexes;  ii) procéder à un échange de points de vue et d’expériences sur la mise en place et le renforcement des systèmes de droit d’auteur ainsi que sur la création et le renforcement des capacités de formulation des actions à mener, notamment en matière de développement culturel et économique;  iii) explorer les nouveaux domaines possibles de coopération dans la région.</w:t>
            </w:r>
          </w:p>
        </w:tc>
      </w:tr>
      <w:tr w:rsidR="00767EC2" w:rsidRPr="00F076D7" w14:paraId="7182C21A" w14:textId="77777777" w:rsidTr="00A83D07">
        <w:trPr>
          <w:cantSplit/>
        </w:trPr>
        <w:tc>
          <w:tcPr>
            <w:tcW w:w="1763" w:type="dxa"/>
          </w:tcPr>
          <w:p w14:paraId="0A24B175" w14:textId="77777777" w:rsidR="00767EC2" w:rsidRPr="00F076D7" w:rsidDel="009E0498" w:rsidRDefault="00767EC2" w:rsidP="00A83D07">
            <w:pPr>
              <w:autoSpaceDE w:val="0"/>
              <w:autoSpaceDN w:val="0"/>
              <w:adjustRightInd w:val="0"/>
              <w:rPr>
                <w:sz w:val="16"/>
                <w:szCs w:val="16"/>
              </w:rPr>
            </w:pPr>
            <w:r w:rsidRPr="00F076D7">
              <w:rPr>
                <w:sz w:val="16"/>
                <w:szCs w:val="16"/>
              </w:rPr>
              <w:t>Atelier national sur la sensibilisation au droit d’auteur et aux droits connexes</w:t>
            </w:r>
          </w:p>
        </w:tc>
        <w:tc>
          <w:tcPr>
            <w:tcW w:w="1214" w:type="dxa"/>
            <w:gridSpan w:val="2"/>
          </w:tcPr>
          <w:p w14:paraId="3CB883A9" w14:textId="77777777" w:rsidR="00767EC2" w:rsidRPr="00F076D7" w:rsidRDefault="00767EC2" w:rsidP="00A83D07">
            <w:pPr>
              <w:autoSpaceDE w:val="0"/>
              <w:autoSpaceDN w:val="0"/>
              <w:adjustRightInd w:val="0"/>
              <w:rPr>
                <w:sz w:val="16"/>
                <w:szCs w:val="16"/>
              </w:rPr>
            </w:pPr>
            <w:r w:rsidRPr="00F076D7">
              <w:rPr>
                <w:sz w:val="16"/>
                <w:szCs w:val="16"/>
              </w:rPr>
              <w:t>12 et 13 mai 2016</w:t>
            </w:r>
          </w:p>
        </w:tc>
        <w:tc>
          <w:tcPr>
            <w:tcW w:w="1907" w:type="dxa"/>
          </w:tcPr>
          <w:p w14:paraId="0D9FC00A" w14:textId="77777777" w:rsidR="00767EC2" w:rsidRPr="00F076D7" w:rsidRDefault="00767EC2" w:rsidP="00A83D07">
            <w:pPr>
              <w:autoSpaceDE w:val="0"/>
              <w:autoSpaceDN w:val="0"/>
              <w:adjustRightInd w:val="0"/>
              <w:rPr>
                <w:sz w:val="16"/>
                <w:szCs w:val="16"/>
              </w:rPr>
            </w:pPr>
            <w:r w:rsidRPr="00F076D7">
              <w:rPr>
                <w:sz w:val="16"/>
                <w:szCs w:val="16"/>
              </w:rPr>
              <w:t>République démocratique populaire lao/ approximativement 50 participants locaux</w:t>
            </w:r>
          </w:p>
        </w:tc>
        <w:tc>
          <w:tcPr>
            <w:tcW w:w="4188" w:type="dxa"/>
          </w:tcPr>
          <w:p w14:paraId="44970AB6" w14:textId="77777777" w:rsidR="00767EC2" w:rsidRPr="00F076D7" w:rsidDel="00152E3E" w:rsidRDefault="00767EC2" w:rsidP="00A83D07">
            <w:pPr>
              <w:autoSpaceDE w:val="0"/>
              <w:autoSpaceDN w:val="0"/>
              <w:adjustRightInd w:val="0"/>
              <w:rPr>
                <w:sz w:val="16"/>
                <w:szCs w:val="16"/>
                <w:highlight w:val="cyan"/>
              </w:rPr>
            </w:pPr>
            <w:r w:rsidRPr="00F076D7">
              <w:rPr>
                <w:sz w:val="16"/>
                <w:szCs w:val="16"/>
              </w:rPr>
              <w:t>i) Sensibiliser davantage au droit d’auteur et aux droits connexes;  ii) promouvoir une meilleure compréhension du rôle du droit d’auteur dans l’amélioration du développement culturel et économique et l’encouragement de la créativité.</w:t>
            </w:r>
          </w:p>
        </w:tc>
      </w:tr>
      <w:tr w:rsidR="00767EC2" w:rsidRPr="00F076D7" w14:paraId="142BF6A3" w14:textId="77777777" w:rsidTr="00A83D07">
        <w:trPr>
          <w:cantSplit/>
        </w:trPr>
        <w:tc>
          <w:tcPr>
            <w:tcW w:w="1763" w:type="dxa"/>
          </w:tcPr>
          <w:p w14:paraId="405D656B" w14:textId="77777777" w:rsidR="00767EC2" w:rsidRPr="00F076D7" w:rsidRDefault="00767EC2" w:rsidP="00A83D07">
            <w:pPr>
              <w:keepNext/>
              <w:keepLines/>
              <w:tabs>
                <w:tab w:val="left" w:pos="1740"/>
              </w:tabs>
              <w:rPr>
                <w:sz w:val="16"/>
                <w:szCs w:val="16"/>
              </w:rPr>
            </w:pPr>
            <w:r w:rsidRPr="00F076D7">
              <w:rPr>
                <w:sz w:val="16"/>
                <w:szCs w:val="16"/>
              </w:rPr>
              <w:t xml:space="preserve">Atelier </w:t>
            </w:r>
            <w:proofErr w:type="spellStart"/>
            <w:r w:rsidRPr="00F076D7">
              <w:rPr>
                <w:sz w:val="16"/>
                <w:szCs w:val="16"/>
              </w:rPr>
              <w:t>sous</w:t>
            </w:r>
            <w:r w:rsidRPr="00F076D7">
              <w:rPr>
                <w:sz w:val="16"/>
                <w:szCs w:val="16"/>
              </w:rPr>
              <w:noBreakHyphen/>
              <w:t>régional</w:t>
            </w:r>
            <w:proofErr w:type="spellEnd"/>
            <w:r w:rsidRPr="00F076D7">
              <w:rPr>
                <w:sz w:val="16"/>
                <w:szCs w:val="16"/>
              </w:rPr>
              <w:t xml:space="preserve"> sur la sensibilisation au droit d’auteur et sur le renforcement des capacités à l’intention des pays de l’ASEAN</w:t>
            </w:r>
          </w:p>
        </w:tc>
        <w:tc>
          <w:tcPr>
            <w:tcW w:w="1214" w:type="dxa"/>
            <w:gridSpan w:val="2"/>
          </w:tcPr>
          <w:p w14:paraId="5A088B04" w14:textId="77777777" w:rsidR="00767EC2" w:rsidRPr="00F076D7" w:rsidRDefault="00767EC2" w:rsidP="00A83D07">
            <w:pPr>
              <w:autoSpaceDE w:val="0"/>
              <w:autoSpaceDN w:val="0"/>
              <w:adjustRightInd w:val="0"/>
              <w:rPr>
                <w:sz w:val="16"/>
                <w:szCs w:val="16"/>
              </w:rPr>
            </w:pPr>
            <w:r w:rsidRPr="00F076D7">
              <w:rPr>
                <w:sz w:val="16"/>
                <w:szCs w:val="16"/>
              </w:rPr>
              <w:t>6 – 8 septembre 2016</w:t>
            </w:r>
          </w:p>
        </w:tc>
        <w:tc>
          <w:tcPr>
            <w:tcW w:w="1907" w:type="dxa"/>
          </w:tcPr>
          <w:p w14:paraId="14CA0DCB" w14:textId="77777777" w:rsidR="00767EC2" w:rsidRPr="00F076D7" w:rsidRDefault="00767EC2" w:rsidP="00A83D07">
            <w:pPr>
              <w:autoSpaceDE w:val="0"/>
              <w:autoSpaceDN w:val="0"/>
              <w:adjustRightInd w:val="0"/>
              <w:rPr>
                <w:sz w:val="16"/>
                <w:szCs w:val="16"/>
                <w:lang w:eastAsia="ja-JP"/>
              </w:rPr>
            </w:pPr>
            <w:r w:rsidRPr="00F076D7">
              <w:rPr>
                <w:sz w:val="16"/>
                <w:szCs w:val="16"/>
              </w:rPr>
              <w:t xml:space="preserve">Malaisie/ 10 participants des pays suivants : </w:t>
            </w:r>
            <w:proofErr w:type="spellStart"/>
            <w:r w:rsidRPr="00F076D7">
              <w:rPr>
                <w:sz w:val="16"/>
                <w:szCs w:val="16"/>
              </w:rPr>
              <w:t>Brunéi</w:t>
            </w:r>
            <w:proofErr w:type="spellEnd"/>
            <w:r w:rsidRPr="00F076D7">
              <w:rPr>
                <w:sz w:val="16"/>
                <w:szCs w:val="16"/>
              </w:rPr>
              <w:t xml:space="preserve"> Darussalam, Cambodge, Indonésie, Myanmar, Philippines, République démocratique populaire lao, Singapour, Thaïlande, Viet Nam, et plusieurs participants locaux du pays hôte</w:t>
            </w:r>
          </w:p>
        </w:tc>
        <w:tc>
          <w:tcPr>
            <w:tcW w:w="4188" w:type="dxa"/>
          </w:tcPr>
          <w:p w14:paraId="267FE975" w14:textId="77777777" w:rsidR="00767EC2" w:rsidRPr="00F076D7" w:rsidRDefault="00767EC2" w:rsidP="00A83D07">
            <w:pPr>
              <w:autoSpaceDE w:val="0"/>
              <w:autoSpaceDN w:val="0"/>
              <w:adjustRightInd w:val="0"/>
              <w:rPr>
                <w:sz w:val="16"/>
                <w:szCs w:val="16"/>
                <w:highlight w:val="cyan"/>
              </w:rPr>
            </w:pPr>
            <w:r w:rsidRPr="00F076D7">
              <w:rPr>
                <w:sz w:val="16"/>
                <w:szCs w:val="16"/>
              </w:rPr>
              <w:t>i) Échanger sur les difficultés et les enjeux en matière de sensibilisation et de renforcement des capacités dans le domaine du droit d’auteur et des droits connexes;  ii) explorer les nouveaux domaines possibles de coopération entre les offices du droit d’auteur pour répondre aux besoins et aux défis en matière de renforcement des capacités au niveau infrarégional.</w:t>
            </w:r>
          </w:p>
        </w:tc>
      </w:tr>
      <w:tr w:rsidR="00767EC2" w:rsidRPr="00F076D7" w14:paraId="51240B59" w14:textId="77777777" w:rsidTr="00A83D07">
        <w:trPr>
          <w:cantSplit/>
        </w:trPr>
        <w:tc>
          <w:tcPr>
            <w:tcW w:w="9072" w:type="dxa"/>
            <w:gridSpan w:val="5"/>
            <w:shd w:val="clear" w:color="auto" w:fill="C6D9F1" w:themeFill="text2" w:themeFillTint="33"/>
          </w:tcPr>
          <w:p w14:paraId="75A1897A" w14:textId="77777777" w:rsidR="00767EC2" w:rsidRPr="00F076D7" w:rsidRDefault="00767EC2" w:rsidP="00A83D07">
            <w:pPr>
              <w:rPr>
                <w:bCs/>
                <w:sz w:val="16"/>
                <w:szCs w:val="16"/>
                <w:shd w:val="clear" w:color="auto" w:fill="C6D9F1" w:themeFill="text2" w:themeFillTint="33"/>
              </w:rPr>
            </w:pPr>
            <w:r w:rsidRPr="00F076D7">
              <w:rPr>
                <w:b/>
                <w:bCs/>
                <w:sz w:val="16"/>
                <w:szCs w:val="16"/>
                <w:shd w:val="clear" w:color="auto" w:fill="C6D9F1" w:themeFill="text2" w:themeFillTint="33"/>
              </w:rPr>
              <w:t>RÉSULTAT</w:t>
            </w:r>
            <w:r w:rsidRPr="00F076D7">
              <w:rPr>
                <w:bCs/>
                <w:sz w:val="16"/>
                <w:szCs w:val="16"/>
                <w:shd w:val="clear" w:color="auto" w:fill="C6D9F1" w:themeFill="text2" w:themeFillTint="33"/>
              </w:rPr>
              <w:t> </w:t>
            </w:r>
            <w:r>
              <w:rPr>
                <w:bCs/>
                <w:sz w:val="16"/>
                <w:szCs w:val="16"/>
                <w:shd w:val="clear" w:color="auto" w:fill="C6D9F1" w:themeFill="text2" w:themeFillTint="33"/>
              </w:rPr>
              <w:t xml:space="preserve">: </w:t>
            </w:r>
            <w:r w:rsidRPr="00F076D7">
              <w:rPr>
                <w:bCs/>
                <w:sz w:val="16"/>
                <w:szCs w:val="16"/>
                <w:shd w:val="clear" w:color="auto" w:fill="C6D9F1" w:themeFill="text2" w:themeFillTint="33"/>
              </w:rPr>
              <w:t>IV.4</w:t>
            </w:r>
            <w:r w:rsidRPr="00F076D7">
              <w:rPr>
                <w:rFonts w:eastAsiaTheme="minorEastAsia"/>
                <w:sz w:val="16"/>
                <w:szCs w:val="16"/>
              </w:rPr>
              <w:t xml:space="preserve"> </w:t>
            </w:r>
            <w:r w:rsidRPr="00F076D7">
              <w:rPr>
                <w:bCs/>
                <w:sz w:val="16"/>
                <w:szCs w:val="16"/>
                <w:shd w:val="clear" w:color="auto" w:fill="C6D9F1" w:themeFill="text2" w:themeFillTint="33"/>
              </w:rPr>
              <w:t>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r>
      <w:tr w:rsidR="00767EC2" w:rsidRPr="00F076D7" w14:paraId="79294DC5" w14:textId="77777777" w:rsidTr="00A83D07">
        <w:trPr>
          <w:cantSplit/>
        </w:trPr>
        <w:tc>
          <w:tcPr>
            <w:tcW w:w="1763" w:type="dxa"/>
            <w:vAlign w:val="center"/>
          </w:tcPr>
          <w:p w14:paraId="6ED44319" w14:textId="77777777" w:rsidR="00767EC2" w:rsidRPr="00F076D7" w:rsidRDefault="00767EC2" w:rsidP="00A83D07">
            <w:pPr>
              <w:autoSpaceDE w:val="0"/>
              <w:autoSpaceDN w:val="0"/>
              <w:adjustRightInd w:val="0"/>
              <w:rPr>
                <w:b/>
                <w:sz w:val="16"/>
                <w:szCs w:val="16"/>
              </w:rPr>
            </w:pPr>
            <w:r w:rsidRPr="00F076D7">
              <w:rPr>
                <w:b/>
                <w:sz w:val="16"/>
                <w:szCs w:val="16"/>
              </w:rPr>
              <w:t>Activité</w:t>
            </w:r>
          </w:p>
        </w:tc>
        <w:tc>
          <w:tcPr>
            <w:tcW w:w="1089" w:type="dxa"/>
            <w:vAlign w:val="center"/>
          </w:tcPr>
          <w:p w14:paraId="601F1A41" w14:textId="77777777" w:rsidR="00767EC2" w:rsidRPr="00F076D7" w:rsidRDefault="00767EC2" w:rsidP="00A83D07">
            <w:pPr>
              <w:autoSpaceDE w:val="0"/>
              <w:autoSpaceDN w:val="0"/>
              <w:adjustRightInd w:val="0"/>
              <w:rPr>
                <w:b/>
                <w:sz w:val="16"/>
                <w:szCs w:val="16"/>
              </w:rPr>
            </w:pPr>
            <w:r w:rsidRPr="00F076D7">
              <w:rPr>
                <w:b/>
                <w:sz w:val="16"/>
                <w:szCs w:val="16"/>
              </w:rPr>
              <w:t>Date</w:t>
            </w:r>
          </w:p>
        </w:tc>
        <w:tc>
          <w:tcPr>
            <w:tcW w:w="2032" w:type="dxa"/>
            <w:gridSpan w:val="2"/>
            <w:vAlign w:val="center"/>
          </w:tcPr>
          <w:p w14:paraId="243F1957" w14:textId="77777777" w:rsidR="00767EC2" w:rsidRPr="00F076D7" w:rsidRDefault="00767EC2" w:rsidP="00A83D07">
            <w:pPr>
              <w:autoSpaceDE w:val="0"/>
              <w:autoSpaceDN w:val="0"/>
              <w:adjustRightInd w:val="0"/>
              <w:rPr>
                <w:b/>
                <w:sz w:val="16"/>
                <w:szCs w:val="16"/>
              </w:rPr>
            </w:pPr>
            <w:r w:rsidRPr="00F076D7">
              <w:rPr>
                <w:b/>
                <w:sz w:val="16"/>
                <w:szCs w:val="16"/>
              </w:rPr>
              <w:t>Pays hôte/bénéficiaires</w:t>
            </w:r>
          </w:p>
        </w:tc>
        <w:tc>
          <w:tcPr>
            <w:tcW w:w="4188" w:type="dxa"/>
            <w:vAlign w:val="center"/>
          </w:tcPr>
          <w:p w14:paraId="23BBDD66" w14:textId="77777777" w:rsidR="00767EC2" w:rsidRPr="00F076D7" w:rsidRDefault="00767EC2" w:rsidP="00A83D07">
            <w:pPr>
              <w:autoSpaceDE w:val="0"/>
              <w:autoSpaceDN w:val="0"/>
              <w:adjustRightInd w:val="0"/>
              <w:rPr>
                <w:b/>
                <w:sz w:val="16"/>
                <w:szCs w:val="16"/>
              </w:rPr>
            </w:pPr>
            <w:r w:rsidRPr="00F076D7">
              <w:rPr>
                <w:b/>
                <w:sz w:val="16"/>
                <w:szCs w:val="16"/>
              </w:rPr>
              <w:t>Objectif(s)/description(s)</w:t>
            </w:r>
          </w:p>
        </w:tc>
      </w:tr>
      <w:tr w:rsidR="00767EC2" w:rsidRPr="00F076D7" w14:paraId="3E01F39F" w14:textId="77777777" w:rsidTr="00A83D07">
        <w:trPr>
          <w:cantSplit/>
        </w:trPr>
        <w:tc>
          <w:tcPr>
            <w:tcW w:w="1763" w:type="dxa"/>
          </w:tcPr>
          <w:p w14:paraId="409975DA" w14:textId="77777777" w:rsidR="00767EC2" w:rsidRPr="00F076D7" w:rsidRDefault="00767EC2" w:rsidP="00A83D07">
            <w:pPr>
              <w:autoSpaceDE w:val="0"/>
              <w:autoSpaceDN w:val="0"/>
              <w:adjustRightInd w:val="0"/>
              <w:rPr>
                <w:sz w:val="16"/>
                <w:szCs w:val="16"/>
              </w:rPr>
            </w:pPr>
            <w:r w:rsidRPr="00F076D7">
              <w:rPr>
                <w:sz w:val="16"/>
                <w:szCs w:val="16"/>
              </w:rPr>
              <w:t>Atelier sur la protection du droit d’auteur et des droits connexes</w:t>
            </w:r>
          </w:p>
        </w:tc>
        <w:tc>
          <w:tcPr>
            <w:tcW w:w="1089" w:type="dxa"/>
          </w:tcPr>
          <w:p w14:paraId="5A4B0CA0" w14:textId="77777777" w:rsidR="00767EC2" w:rsidRPr="00F076D7" w:rsidRDefault="00767EC2" w:rsidP="00A83D07">
            <w:pPr>
              <w:autoSpaceDE w:val="0"/>
              <w:autoSpaceDN w:val="0"/>
              <w:adjustRightInd w:val="0"/>
              <w:rPr>
                <w:sz w:val="16"/>
                <w:szCs w:val="16"/>
              </w:rPr>
            </w:pPr>
            <w:r w:rsidRPr="00F076D7">
              <w:rPr>
                <w:sz w:val="16"/>
                <w:szCs w:val="16"/>
              </w:rPr>
              <w:t>17 – 28 octobre 2016</w:t>
            </w:r>
          </w:p>
        </w:tc>
        <w:tc>
          <w:tcPr>
            <w:tcW w:w="2032" w:type="dxa"/>
            <w:gridSpan w:val="2"/>
          </w:tcPr>
          <w:p w14:paraId="0C304D90" w14:textId="77777777" w:rsidR="00767EC2" w:rsidRPr="00F076D7" w:rsidRDefault="00767EC2" w:rsidP="00A83D07">
            <w:pPr>
              <w:autoSpaceDE w:val="0"/>
              <w:autoSpaceDN w:val="0"/>
              <w:adjustRightInd w:val="0"/>
              <w:rPr>
                <w:sz w:val="16"/>
                <w:szCs w:val="16"/>
              </w:rPr>
            </w:pPr>
            <w:r w:rsidRPr="00F076D7">
              <w:rPr>
                <w:sz w:val="16"/>
                <w:szCs w:val="16"/>
                <w:lang w:eastAsia="ja-JP"/>
              </w:rPr>
              <w:t>Japon/ 8 participants des pays suivants : Chine, Pakistan, Philippines, Viet Nam</w:t>
            </w:r>
          </w:p>
        </w:tc>
        <w:tc>
          <w:tcPr>
            <w:tcW w:w="4188" w:type="dxa"/>
          </w:tcPr>
          <w:p w14:paraId="341C5552" w14:textId="77777777" w:rsidR="00767EC2" w:rsidRPr="00F076D7" w:rsidRDefault="00767EC2" w:rsidP="00A83D07">
            <w:pPr>
              <w:autoSpaceDE w:val="0"/>
              <w:autoSpaceDN w:val="0"/>
              <w:adjustRightInd w:val="0"/>
              <w:rPr>
                <w:sz w:val="16"/>
                <w:szCs w:val="16"/>
              </w:rPr>
            </w:pPr>
            <w:r w:rsidRPr="00F076D7">
              <w:rPr>
                <w:sz w:val="16"/>
                <w:szCs w:val="16"/>
                <w:lang w:eastAsia="ja-JP"/>
              </w:rPr>
              <w:t xml:space="preserve">i) </w:t>
            </w:r>
            <w:r w:rsidRPr="00F076D7">
              <w:rPr>
                <w:sz w:val="16"/>
                <w:szCs w:val="16"/>
              </w:rPr>
              <w:t>Informer les fonctionnaires des offices du droit d’auteur et d’autres institutions connexes dans la région Asie</w:t>
            </w:r>
            <w:r w:rsidRPr="00F076D7">
              <w:rPr>
                <w:sz w:val="16"/>
                <w:szCs w:val="16"/>
              </w:rPr>
              <w:noBreakHyphen/>
              <w:t>Pacifique de l’importance de la protection du droit d’auteur et des droits connexes;  ii) procéder à un échange d’expériences avec les confrères japonais.</w:t>
            </w:r>
            <w:r w:rsidRPr="00F076D7">
              <w:rPr>
                <w:sz w:val="16"/>
                <w:szCs w:val="16"/>
                <w:lang w:eastAsia="ja-JP"/>
              </w:rPr>
              <w:t xml:space="preserve">  </w:t>
            </w:r>
          </w:p>
        </w:tc>
      </w:tr>
      <w:tr w:rsidR="00767EC2" w:rsidRPr="00F076D7" w14:paraId="1461264C" w14:textId="77777777" w:rsidTr="00A83D07">
        <w:trPr>
          <w:cantSplit/>
        </w:trPr>
        <w:tc>
          <w:tcPr>
            <w:tcW w:w="1763" w:type="dxa"/>
          </w:tcPr>
          <w:p w14:paraId="6BEBE384" w14:textId="77777777" w:rsidR="00767EC2" w:rsidRPr="00F076D7" w:rsidRDefault="00767EC2" w:rsidP="00A83D07">
            <w:pPr>
              <w:autoSpaceDE w:val="0"/>
              <w:autoSpaceDN w:val="0"/>
              <w:adjustRightInd w:val="0"/>
              <w:rPr>
                <w:sz w:val="16"/>
                <w:szCs w:val="16"/>
              </w:rPr>
            </w:pPr>
            <w:r w:rsidRPr="00F076D7">
              <w:rPr>
                <w:sz w:val="16"/>
                <w:szCs w:val="16"/>
              </w:rPr>
              <w:t>Visite d’étude auprès d’organismes de gestion du droit d’auteur</w:t>
            </w:r>
          </w:p>
        </w:tc>
        <w:tc>
          <w:tcPr>
            <w:tcW w:w="1089" w:type="dxa"/>
          </w:tcPr>
          <w:p w14:paraId="5384271A" w14:textId="77777777" w:rsidR="00767EC2" w:rsidRPr="00F076D7" w:rsidRDefault="00767EC2" w:rsidP="00A83D07">
            <w:pPr>
              <w:autoSpaceDE w:val="0"/>
              <w:autoSpaceDN w:val="0"/>
              <w:adjustRightInd w:val="0"/>
              <w:rPr>
                <w:sz w:val="16"/>
                <w:szCs w:val="16"/>
              </w:rPr>
            </w:pPr>
            <w:r w:rsidRPr="00F076D7">
              <w:rPr>
                <w:sz w:val="16"/>
                <w:szCs w:val="16"/>
              </w:rPr>
              <w:t>24 – 28 octobre 2016</w:t>
            </w:r>
          </w:p>
        </w:tc>
        <w:tc>
          <w:tcPr>
            <w:tcW w:w="2032" w:type="dxa"/>
            <w:gridSpan w:val="2"/>
          </w:tcPr>
          <w:p w14:paraId="0FDCFCB8" w14:textId="77777777" w:rsidR="00767EC2" w:rsidRPr="00F076D7" w:rsidRDefault="00767EC2" w:rsidP="00A83D07">
            <w:pPr>
              <w:autoSpaceDE w:val="0"/>
              <w:autoSpaceDN w:val="0"/>
              <w:adjustRightInd w:val="0"/>
              <w:rPr>
                <w:sz w:val="16"/>
                <w:szCs w:val="16"/>
              </w:rPr>
            </w:pPr>
            <w:r w:rsidRPr="00F076D7">
              <w:rPr>
                <w:sz w:val="16"/>
                <w:szCs w:val="16"/>
              </w:rPr>
              <w:t>Japon/ 8</w:t>
            </w:r>
            <w:r w:rsidRPr="00F076D7">
              <w:rPr>
                <w:sz w:val="16"/>
                <w:szCs w:val="16"/>
                <w:lang w:eastAsia="ja-JP"/>
              </w:rPr>
              <w:t xml:space="preserve"> </w:t>
            </w:r>
            <w:r w:rsidRPr="00F076D7">
              <w:rPr>
                <w:sz w:val="16"/>
                <w:szCs w:val="16"/>
              </w:rPr>
              <w:t>participants des pays suivants : Cambodge, Îles Cook, Maldives, Myanmar, République démocratique populaire lao</w:t>
            </w:r>
          </w:p>
        </w:tc>
        <w:tc>
          <w:tcPr>
            <w:tcW w:w="4188" w:type="dxa"/>
          </w:tcPr>
          <w:p w14:paraId="2BD7E461" w14:textId="77777777" w:rsidR="00767EC2" w:rsidRPr="00F076D7" w:rsidRDefault="00767EC2" w:rsidP="00A83D07">
            <w:pPr>
              <w:autoSpaceDE w:val="0"/>
              <w:autoSpaceDN w:val="0"/>
              <w:adjustRightInd w:val="0"/>
              <w:rPr>
                <w:sz w:val="16"/>
                <w:szCs w:val="16"/>
              </w:rPr>
            </w:pPr>
            <w:r w:rsidRPr="00F076D7">
              <w:rPr>
                <w:sz w:val="16"/>
                <w:szCs w:val="16"/>
              </w:rPr>
              <w:t>i) Approfondir les connaissances et la compréhension des participants sur les questions relatives à la gestion du droit d’auteur;  ii) faciliter la coopération et la coordination entre les offices du droit d’auteur et les organismes de gestion du droit d’auteur;  et iii) s’instruire sur les pratiques et l’expérience du Japon dans le domaine du droit d’auteur et des droits connexes</w:t>
            </w:r>
          </w:p>
        </w:tc>
      </w:tr>
    </w:tbl>
    <w:p w14:paraId="6E06E8E7" w14:textId="77777777" w:rsidR="00767EC2" w:rsidRPr="00F076D7" w:rsidRDefault="00767EC2" w:rsidP="00767EC2">
      <w:pPr>
        <w:rPr>
          <w:rFonts w:cs="Times New Roman"/>
          <w:sz w:val="20"/>
        </w:rPr>
      </w:pPr>
    </w:p>
    <w:p w14:paraId="1A21E812" w14:textId="77777777" w:rsidR="00767EC2" w:rsidRPr="00F076D7" w:rsidRDefault="00767EC2" w:rsidP="00767EC2">
      <w:pPr>
        <w:rPr>
          <w:rFonts w:cs="Times New Roman"/>
          <w:sz w:val="20"/>
        </w:rPr>
      </w:pPr>
    </w:p>
    <w:p w14:paraId="21D0C1A6" w14:textId="77777777" w:rsidR="00767EC2" w:rsidRPr="00F076D7" w:rsidRDefault="00767EC2" w:rsidP="00767EC2">
      <w:pPr>
        <w:rPr>
          <w:b/>
          <w:bCs/>
          <w:sz w:val="20"/>
        </w:rPr>
      </w:pPr>
      <w:r w:rsidRPr="00F076D7">
        <w:rPr>
          <w:b/>
          <w:bCs/>
          <w:sz w:val="20"/>
        </w:rPr>
        <w:t>JAPON/DROIT D’AUTEUR – Contributions des donateurs et dépenses en 2016</w:t>
      </w:r>
    </w:p>
    <w:p w14:paraId="60A1BF3D" w14:textId="77777777" w:rsidR="00767EC2" w:rsidRPr="00F076D7" w:rsidRDefault="00767EC2" w:rsidP="00767EC2">
      <w:pPr>
        <w:rPr>
          <w:b/>
          <w:bCs/>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7DCCA995" w14:textId="77777777" w:rsidTr="00A83D07">
        <w:trPr>
          <w:cantSplit/>
        </w:trPr>
        <w:tc>
          <w:tcPr>
            <w:tcW w:w="1814" w:type="dxa"/>
            <w:shd w:val="clear" w:color="000000" w:fill="C5D9F1"/>
            <w:vAlign w:val="center"/>
            <w:hideMark/>
          </w:tcPr>
          <w:p w14:paraId="3832815E"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shd w:val="clear" w:color="000000" w:fill="C5D9F1"/>
            <w:noWrap/>
            <w:vAlign w:val="center"/>
            <w:hideMark/>
          </w:tcPr>
          <w:p w14:paraId="0499D6CF" w14:textId="77777777" w:rsidR="00767EC2" w:rsidRPr="00F076D7" w:rsidRDefault="00767EC2" w:rsidP="00A83D07">
            <w:pPr>
              <w:jc w:val="center"/>
              <w:rPr>
                <w:b/>
                <w:bCs/>
                <w:sz w:val="16"/>
                <w:szCs w:val="16"/>
              </w:rPr>
            </w:pPr>
            <w:r w:rsidRPr="00F076D7">
              <w:rPr>
                <w:b/>
                <w:bCs/>
                <w:sz w:val="16"/>
                <w:szCs w:val="16"/>
              </w:rPr>
              <w:t>Recettes 2016</w:t>
            </w:r>
          </w:p>
        </w:tc>
        <w:tc>
          <w:tcPr>
            <w:tcW w:w="1815" w:type="dxa"/>
            <w:shd w:val="clear" w:color="000000" w:fill="C5D9F1"/>
            <w:noWrap/>
            <w:vAlign w:val="center"/>
            <w:hideMark/>
          </w:tcPr>
          <w:p w14:paraId="1CD266A5"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shd w:val="clear" w:color="000000" w:fill="C5D9F1"/>
            <w:noWrap/>
            <w:vAlign w:val="center"/>
            <w:hideMark/>
          </w:tcPr>
          <w:p w14:paraId="4EB87832" w14:textId="77777777" w:rsidR="00767EC2" w:rsidRPr="00F076D7" w:rsidRDefault="00767EC2" w:rsidP="00A83D07">
            <w:pPr>
              <w:jc w:val="center"/>
              <w:rPr>
                <w:b/>
                <w:bCs/>
                <w:sz w:val="16"/>
                <w:szCs w:val="16"/>
              </w:rPr>
            </w:pPr>
            <w:r w:rsidRPr="00F076D7">
              <w:rPr>
                <w:b/>
                <w:bCs/>
                <w:sz w:val="16"/>
                <w:szCs w:val="16"/>
              </w:rPr>
              <w:t>Remboursements</w:t>
            </w:r>
          </w:p>
        </w:tc>
        <w:tc>
          <w:tcPr>
            <w:tcW w:w="1815" w:type="dxa"/>
            <w:shd w:val="clear" w:color="000000" w:fill="C5D9F1"/>
            <w:vAlign w:val="center"/>
            <w:hideMark/>
          </w:tcPr>
          <w:p w14:paraId="15E7EF1B"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646BE8C7" w14:textId="77777777" w:rsidTr="00A83D07">
        <w:trPr>
          <w:cantSplit/>
        </w:trPr>
        <w:tc>
          <w:tcPr>
            <w:tcW w:w="1814" w:type="dxa"/>
            <w:shd w:val="clear" w:color="auto" w:fill="auto"/>
            <w:noWrap/>
            <w:vAlign w:val="bottom"/>
            <w:hideMark/>
          </w:tcPr>
          <w:p w14:paraId="2F92C3F9" w14:textId="77777777" w:rsidR="00767EC2" w:rsidRPr="00F076D7" w:rsidRDefault="00767EC2" w:rsidP="00A83D07">
            <w:pPr>
              <w:jc w:val="center"/>
              <w:rPr>
                <w:sz w:val="16"/>
                <w:szCs w:val="16"/>
              </w:rPr>
            </w:pPr>
            <w:r w:rsidRPr="00F076D7">
              <w:rPr>
                <w:sz w:val="16"/>
                <w:szCs w:val="16"/>
              </w:rPr>
              <w:t xml:space="preserve">344 935 </w:t>
            </w:r>
          </w:p>
        </w:tc>
        <w:tc>
          <w:tcPr>
            <w:tcW w:w="1814" w:type="dxa"/>
            <w:shd w:val="clear" w:color="auto" w:fill="auto"/>
            <w:noWrap/>
            <w:vAlign w:val="bottom"/>
            <w:hideMark/>
          </w:tcPr>
          <w:p w14:paraId="2C74F143" w14:textId="77777777" w:rsidR="00767EC2" w:rsidRPr="00F076D7" w:rsidRDefault="00767EC2" w:rsidP="00A83D07">
            <w:pPr>
              <w:jc w:val="center"/>
              <w:rPr>
                <w:sz w:val="16"/>
                <w:szCs w:val="16"/>
              </w:rPr>
            </w:pPr>
            <w:r w:rsidRPr="00F076D7">
              <w:rPr>
                <w:sz w:val="16"/>
                <w:szCs w:val="16"/>
              </w:rPr>
              <w:t xml:space="preserve">468 973 </w:t>
            </w:r>
          </w:p>
        </w:tc>
        <w:tc>
          <w:tcPr>
            <w:tcW w:w="1815" w:type="dxa"/>
            <w:shd w:val="clear" w:color="auto" w:fill="auto"/>
            <w:noWrap/>
            <w:vAlign w:val="bottom"/>
            <w:hideMark/>
          </w:tcPr>
          <w:p w14:paraId="1D586DF6" w14:textId="77777777" w:rsidR="00767EC2" w:rsidRPr="00F076D7" w:rsidRDefault="00767EC2" w:rsidP="00A83D07">
            <w:pPr>
              <w:jc w:val="center"/>
              <w:rPr>
                <w:sz w:val="16"/>
                <w:szCs w:val="16"/>
              </w:rPr>
            </w:pPr>
            <w:r w:rsidRPr="00F076D7">
              <w:rPr>
                <w:sz w:val="16"/>
                <w:szCs w:val="16"/>
              </w:rPr>
              <w:t xml:space="preserve">530 717 </w:t>
            </w:r>
          </w:p>
        </w:tc>
        <w:tc>
          <w:tcPr>
            <w:tcW w:w="1814" w:type="dxa"/>
            <w:shd w:val="clear" w:color="auto" w:fill="auto"/>
            <w:noWrap/>
            <w:vAlign w:val="bottom"/>
            <w:hideMark/>
          </w:tcPr>
          <w:p w14:paraId="647F28F1" w14:textId="77777777" w:rsidR="00767EC2" w:rsidRPr="00F076D7" w:rsidRDefault="00767EC2" w:rsidP="00A83D07">
            <w:pPr>
              <w:jc w:val="center"/>
              <w:rPr>
                <w:sz w:val="16"/>
                <w:szCs w:val="16"/>
              </w:rPr>
            </w:pPr>
            <w:r w:rsidRPr="00F076D7">
              <w:rPr>
                <w:sz w:val="16"/>
                <w:szCs w:val="16"/>
              </w:rPr>
              <w:noBreakHyphen/>
            </w:r>
          </w:p>
        </w:tc>
        <w:tc>
          <w:tcPr>
            <w:tcW w:w="1815" w:type="dxa"/>
            <w:shd w:val="clear" w:color="auto" w:fill="auto"/>
            <w:noWrap/>
            <w:vAlign w:val="bottom"/>
            <w:hideMark/>
          </w:tcPr>
          <w:p w14:paraId="7D5296B0" w14:textId="77777777" w:rsidR="00767EC2" w:rsidRPr="00F076D7" w:rsidRDefault="00767EC2" w:rsidP="00A83D07">
            <w:pPr>
              <w:jc w:val="center"/>
              <w:rPr>
                <w:sz w:val="16"/>
                <w:szCs w:val="16"/>
              </w:rPr>
            </w:pPr>
            <w:r w:rsidRPr="00F076D7">
              <w:rPr>
                <w:sz w:val="16"/>
                <w:szCs w:val="16"/>
              </w:rPr>
              <w:t>283 190</w:t>
            </w:r>
          </w:p>
        </w:tc>
      </w:tr>
    </w:tbl>
    <w:p w14:paraId="1ACE0A77" w14:textId="77777777" w:rsidR="00767EC2" w:rsidRPr="00F076D7" w:rsidRDefault="00767EC2" w:rsidP="00767EC2">
      <w:pPr>
        <w:keepNext/>
        <w:keepLines/>
        <w:rPr>
          <w:rFonts w:eastAsiaTheme="minorEastAsia"/>
          <w:b/>
          <w:sz w:val="20"/>
          <w:szCs w:val="16"/>
        </w:rPr>
      </w:pPr>
      <w:r w:rsidRPr="00F076D7">
        <w:rPr>
          <w:rFonts w:eastAsiaTheme="minorEastAsia"/>
          <w:b/>
          <w:sz w:val="20"/>
          <w:szCs w:val="16"/>
        </w:rPr>
        <w:t>JAPON/PROPRIÉTÉ INDUSTRIELLE</w:t>
      </w:r>
    </w:p>
    <w:p w14:paraId="6D74277B" w14:textId="77777777" w:rsidR="00767EC2" w:rsidRPr="00F076D7" w:rsidRDefault="00767EC2" w:rsidP="00767EC2">
      <w:pPr>
        <w:keepNext/>
        <w:keepLines/>
        <w:rPr>
          <w:rFonts w:eastAsiaTheme="minorEastAsia"/>
          <w:b/>
          <w:sz w:val="20"/>
          <w:szCs w:val="16"/>
        </w:rPr>
      </w:pPr>
    </w:p>
    <w:tbl>
      <w:tblPr>
        <w:tblW w:w="4884" w:type="pct"/>
        <w:tblCellMar>
          <w:top w:w="57" w:type="dxa"/>
          <w:bottom w:w="57" w:type="dxa"/>
        </w:tblCellMar>
        <w:tblLook w:val="0000" w:firstRow="0" w:lastRow="0" w:firstColumn="0" w:lastColumn="0" w:noHBand="0" w:noVBand="0"/>
      </w:tblPr>
      <w:tblGrid>
        <w:gridCol w:w="1679"/>
        <w:gridCol w:w="1551"/>
        <w:gridCol w:w="8"/>
        <w:gridCol w:w="104"/>
        <w:gridCol w:w="19"/>
        <w:gridCol w:w="2243"/>
        <w:gridCol w:w="3468"/>
      </w:tblGrid>
      <w:tr w:rsidR="00767EC2" w:rsidRPr="00F076D7" w14:paraId="69C8ECC3" w14:textId="77777777" w:rsidTr="00A83D07">
        <w:trPr>
          <w:cantSplit/>
        </w:trPr>
        <w:tc>
          <w:tcPr>
            <w:tcW w:w="9072" w:type="dxa"/>
            <w:gridSpan w:val="7"/>
            <w:shd w:val="clear" w:color="auto" w:fill="C6D9F1" w:themeFill="text2" w:themeFillTint="33"/>
          </w:tcPr>
          <w:p w14:paraId="1C1B98FD" w14:textId="77777777" w:rsidR="00767EC2" w:rsidRPr="00F076D7" w:rsidRDefault="00767EC2" w:rsidP="00A83D07">
            <w:pPr>
              <w:keepNext/>
              <w:keepLines/>
              <w:tabs>
                <w:tab w:val="left" w:pos="1740"/>
              </w:tabs>
              <w:rPr>
                <w:rFonts w:eastAsiaTheme="minorEastAsia"/>
                <w:sz w:val="16"/>
                <w:szCs w:val="16"/>
              </w:rPr>
            </w:pPr>
            <w:r w:rsidRPr="00F076D7">
              <w:rPr>
                <w:rFonts w:eastAsiaTheme="minorEastAsia"/>
                <w:b/>
                <w:sz w:val="16"/>
                <w:szCs w:val="16"/>
              </w:rPr>
              <w:t>RÉSULTAT</w:t>
            </w:r>
            <w:r w:rsidRPr="00F076D7">
              <w:rPr>
                <w:rFonts w:eastAsiaTheme="minorEastAsia"/>
                <w:sz w:val="16"/>
                <w:szCs w:val="16"/>
              </w:rPr>
              <w:t> </w:t>
            </w:r>
            <w:r>
              <w:rPr>
                <w:rFonts w:eastAsiaTheme="minorEastAsia"/>
                <w:sz w:val="16"/>
                <w:szCs w:val="16"/>
              </w:rPr>
              <w:t xml:space="preserve">: </w:t>
            </w:r>
            <w:r w:rsidRPr="00F076D7">
              <w:rPr>
                <w:rFonts w:eastAsiaTheme="minorEastAsia"/>
                <w:sz w:val="16"/>
                <w:szCs w:val="16"/>
              </w:rPr>
              <w:t>II.1 Utilisation élargie et plus efficace du système du PCT pour le dépôt des demandes internationales de brevet</w:t>
            </w:r>
          </w:p>
        </w:tc>
      </w:tr>
      <w:tr w:rsidR="00767EC2" w:rsidRPr="00F076D7" w14:paraId="31E9C078" w14:textId="77777777" w:rsidTr="00A83D07">
        <w:trPr>
          <w:cantSplit/>
        </w:trPr>
        <w:tc>
          <w:tcPr>
            <w:tcW w:w="1785" w:type="dxa"/>
            <w:vAlign w:val="center"/>
          </w:tcPr>
          <w:p w14:paraId="5C2FE049"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190" w:type="dxa"/>
            <w:gridSpan w:val="2"/>
            <w:vAlign w:val="center"/>
          </w:tcPr>
          <w:p w14:paraId="33BC3C7E"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844" w:type="dxa"/>
            <w:gridSpan w:val="3"/>
            <w:vAlign w:val="center"/>
          </w:tcPr>
          <w:p w14:paraId="57697DCC"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hôte/bénéficiaires</w:t>
            </w:r>
          </w:p>
        </w:tc>
        <w:tc>
          <w:tcPr>
            <w:tcW w:w="4253" w:type="dxa"/>
            <w:vAlign w:val="center"/>
          </w:tcPr>
          <w:p w14:paraId="050BD4A7"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20EC435C" w14:textId="77777777" w:rsidTr="00A83D07">
        <w:tblPrEx>
          <w:tblLook w:val="04A0" w:firstRow="1" w:lastRow="0" w:firstColumn="1" w:lastColumn="0" w:noHBand="0" w:noVBand="1"/>
        </w:tblPrEx>
        <w:trPr>
          <w:cantSplit/>
        </w:trPr>
        <w:tc>
          <w:tcPr>
            <w:tcW w:w="1785" w:type="dxa"/>
          </w:tcPr>
          <w:p w14:paraId="6F897F1A"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Atelier national sur le système du PCT</w:t>
            </w:r>
          </w:p>
        </w:tc>
        <w:tc>
          <w:tcPr>
            <w:tcW w:w="1190" w:type="dxa"/>
            <w:gridSpan w:val="2"/>
          </w:tcPr>
          <w:p w14:paraId="08DDFB8A"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28 et 29 novembre 2016</w:t>
            </w:r>
          </w:p>
        </w:tc>
        <w:tc>
          <w:tcPr>
            <w:tcW w:w="1844" w:type="dxa"/>
            <w:gridSpan w:val="3"/>
          </w:tcPr>
          <w:p w14:paraId="4707909C"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Inde/ 50 participants locaux</w:t>
            </w:r>
          </w:p>
        </w:tc>
        <w:tc>
          <w:tcPr>
            <w:tcW w:w="4253" w:type="dxa"/>
          </w:tcPr>
          <w:p w14:paraId="08438259" w14:textId="77777777" w:rsidR="00767EC2" w:rsidRPr="00F076D7" w:rsidRDefault="00767EC2" w:rsidP="00A83D07">
            <w:pPr>
              <w:tabs>
                <w:tab w:val="left" w:pos="0"/>
              </w:tabs>
              <w:rPr>
                <w:rFonts w:eastAsiaTheme="minorEastAsia" w:cs="Times New Roman"/>
                <w:sz w:val="16"/>
                <w:szCs w:val="16"/>
                <w:highlight w:val="cyan"/>
                <w:lang w:eastAsia="ko-KR"/>
              </w:rPr>
            </w:pPr>
            <w:r w:rsidRPr="00F076D7">
              <w:rPr>
                <w:rFonts w:eastAsia="MS Mincho" w:cs="Times New Roman"/>
                <w:sz w:val="16"/>
                <w:szCs w:val="16"/>
                <w:lang w:eastAsia="ja-JP"/>
              </w:rPr>
              <w:t>i) Affûter la connaissance des questions relatives aux travaux des administrations chargées de la recherche internationale et des administrations chargées de l’examen préliminaire international (entre autres, rapport de recherche internationale / rapport préliminaire international sur la brevetabilité, chapitre II du PCT);  ii) accroître les compétences des examinateurs par rapport aux travaux des administrations chargées de la recherche internationale et des administrations chargées de l’examen préliminaire international (entre autres, rapport de recherche internationale / rapport préliminaire international sur la brevetabilité, chapitre II du PCT);  iii) appliquer les connaissances et les compétences acquises sur le lieu de travail.</w:t>
            </w:r>
          </w:p>
        </w:tc>
      </w:tr>
      <w:tr w:rsidR="00767EC2" w:rsidRPr="00F076D7" w14:paraId="2A30220F" w14:textId="77777777" w:rsidTr="00A83D07">
        <w:trPr>
          <w:cantSplit/>
        </w:trPr>
        <w:tc>
          <w:tcPr>
            <w:tcW w:w="9072" w:type="dxa"/>
            <w:gridSpan w:val="7"/>
            <w:shd w:val="clear" w:color="auto" w:fill="C6D9F1" w:themeFill="text2" w:themeFillTint="33"/>
          </w:tcPr>
          <w:p w14:paraId="22E0EEA6" w14:textId="77777777" w:rsidR="00767EC2" w:rsidRPr="00F076D7" w:rsidRDefault="00767EC2" w:rsidP="00A83D07">
            <w:pPr>
              <w:keepNext/>
              <w:keepLines/>
              <w:tabs>
                <w:tab w:val="left" w:pos="1740"/>
              </w:tabs>
              <w:rPr>
                <w:rFonts w:eastAsiaTheme="minorEastAsia"/>
                <w:sz w:val="16"/>
                <w:szCs w:val="16"/>
              </w:rPr>
            </w:pPr>
            <w:r w:rsidRPr="00F076D7">
              <w:rPr>
                <w:rFonts w:eastAsiaTheme="minorEastAsia"/>
                <w:b/>
                <w:sz w:val="16"/>
                <w:szCs w:val="16"/>
              </w:rPr>
              <w:t>RÉSULTAT</w:t>
            </w:r>
            <w:r w:rsidRPr="00F076D7">
              <w:rPr>
                <w:rFonts w:eastAsiaTheme="minorEastAsia"/>
                <w:sz w:val="16"/>
                <w:szCs w:val="16"/>
              </w:rPr>
              <w:t> </w:t>
            </w:r>
            <w:r>
              <w:rPr>
                <w:rFonts w:eastAsiaTheme="minorEastAsia"/>
                <w:sz w:val="16"/>
                <w:szCs w:val="16"/>
              </w:rPr>
              <w:t xml:space="preserve">: </w:t>
            </w:r>
            <w:r w:rsidRPr="00F076D7">
              <w:rPr>
                <w:rFonts w:eastAsiaTheme="minorEastAsia"/>
                <w:sz w:val="16"/>
                <w:szCs w:val="16"/>
              </w:rPr>
              <w:t>II.4 Utilisation élargie et plus efficace du système de La Haye, notamment par les pays en développement et les PMA</w:t>
            </w:r>
          </w:p>
        </w:tc>
      </w:tr>
      <w:tr w:rsidR="00767EC2" w:rsidRPr="00F076D7" w14:paraId="426090D9" w14:textId="77777777" w:rsidTr="00A83D07">
        <w:trPr>
          <w:cantSplit/>
        </w:trPr>
        <w:tc>
          <w:tcPr>
            <w:tcW w:w="1785" w:type="dxa"/>
            <w:vAlign w:val="center"/>
          </w:tcPr>
          <w:p w14:paraId="1397656E"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190" w:type="dxa"/>
            <w:gridSpan w:val="2"/>
            <w:vAlign w:val="center"/>
          </w:tcPr>
          <w:p w14:paraId="321AE77B"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844" w:type="dxa"/>
            <w:gridSpan w:val="3"/>
            <w:vAlign w:val="center"/>
          </w:tcPr>
          <w:p w14:paraId="4D2F2E34"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hôte/bénéficiaires</w:t>
            </w:r>
          </w:p>
        </w:tc>
        <w:tc>
          <w:tcPr>
            <w:tcW w:w="4253" w:type="dxa"/>
            <w:vAlign w:val="center"/>
          </w:tcPr>
          <w:p w14:paraId="260C5689"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275CCBDC" w14:textId="77777777" w:rsidTr="00A83D07">
        <w:tblPrEx>
          <w:tblLook w:val="04A0" w:firstRow="1" w:lastRow="0" w:firstColumn="1" w:lastColumn="0" w:noHBand="0" w:noVBand="1"/>
        </w:tblPrEx>
        <w:trPr>
          <w:cantSplit/>
        </w:trPr>
        <w:tc>
          <w:tcPr>
            <w:tcW w:w="1785" w:type="dxa"/>
          </w:tcPr>
          <w:p w14:paraId="0DA1AED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Missions consultatives d’experts</w:t>
            </w:r>
          </w:p>
        </w:tc>
        <w:tc>
          <w:tcPr>
            <w:tcW w:w="1190" w:type="dxa"/>
            <w:gridSpan w:val="2"/>
          </w:tcPr>
          <w:p w14:paraId="0EBC8DE7"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4 mars 2016</w:t>
            </w:r>
          </w:p>
        </w:tc>
        <w:tc>
          <w:tcPr>
            <w:tcW w:w="1844" w:type="dxa"/>
            <w:gridSpan w:val="3"/>
          </w:tcPr>
          <w:p w14:paraId="729C81B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Viet Nam/ 30 participants locaux</w:t>
            </w:r>
          </w:p>
        </w:tc>
        <w:tc>
          <w:tcPr>
            <w:tcW w:w="4253" w:type="dxa"/>
          </w:tcPr>
          <w:p w14:paraId="7928A55D" w14:textId="77777777" w:rsidR="00767EC2" w:rsidRPr="00F076D7" w:rsidRDefault="00767EC2" w:rsidP="00A83D07">
            <w:pPr>
              <w:autoSpaceDE w:val="0"/>
              <w:autoSpaceDN w:val="0"/>
              <w:adjustRightInd w:val="0"/>
              <w:rPr>
                <w:rFonts w:eastAsiaTheme="minorEastAsia"/>
                <w:sz w:val="16"/>
                <w:szCs w:val="16"/>
                <w:highlight w:val="cyan"/>
              </w:rPr>
            </w:pPr>
            <w:r w:rsidRPr="00F076D7">
              <w:rPr>
                <w:rFonts w:eastAsiaTheme="minorEastAsia"/>
                <w:sz w:val="16"/>
                <w:szCs w:val="16"/>
                <w:lang w:eastAsia="ja-JP"/>
              </w:rPr>
              <w:t>Renforcer les capacités de l’office, de l’office international et des titulaires de droits au titre du système de La Haye dans le domaine de la communication par des moyens informatiques.</w:t>
            </w:r>
          </w:p>
        </w:tc>
      </w:tr>
      <w:tr w:rsidR="00767EC2" w:rsidRPr="00F076D7" w14:paraId="72832EFA" w14:textId="77777777" w:rsidTr="00A83D07">
        <w:tblPrEx>
          <w:tblLook w:val="04A0" w:firstRow="1" w:lastRow="0" w:firstColumn="1" w:lastColumn="0" w:noHBand="0" w:noVBand="1"/>
        </w:tblPrEx>
        <w:trPr>
          <w:cantSplit/>
        </w:trPr>
        <w:tc>
          <w:tcPr>
            <w:tcW w:w="1785" w:type="dxa"/>
          </w:tcPr>
          <w:p w14:paraId="2E058021"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Visite d’étude avant l’adhésion au système de La Haye</w:t>
            </w:r>
          </w:p>
        </w:tc>
        <w:tc>
          <w:tcPr>
            <w:tcW w:w="1190" w:type="dxa"/>
            <w:gridSpan w:val="2"/>
          </w:tcPr>
          <w:p w14:paraId="2411373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29 et 30 novembre 2016</w:t>
            </w:r>
          </w:p>
        </w:tc>
        <w:tc>
          <w:tcPr>
            <w:tcW w:w="1844" w:type="dxa"/>
            <w:gridSpan w:val="3"/>
          </w:tcPr>
          <w:p w14:paraId="43805941"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Japon/ 6 participants du Viet Nam</w:t>
            </w:r>
          </w:p>
        </w:tc>
        <w:tc>
          <w:tcPr>
            <w:tcW w:w="4253" w:type="dxa"/>
          </w:tcPr>
          <w:p w14:paraId="2DECDA65"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i) Renforcer les capacités s’agissant des règlements du système de La Haye et le traitement des enregistrements internationaux;  ii) familiariser les participants avec les demandes de dépôt, les formulaires de dépôt et les documents relatifs aux demandes de dépôt international;  iii) lancer les travaux préparatoires pour la réception, l’administration et l’examen des demandes internationales.</w:t>
            </w:r>
          </w:p>
        </w:tc>
      </w:tr>
      <w:tr w:rsidR="00767EC2" w:rsidRPr="00F076D7" w14:paraId="0D4CF901" w14:textId="77777777" w:rsidTr="00A83D07">
        <w:trPr>
          <w:cantSplit/>
        </w:trPr>
        <w:tc>
          <w:tcPr>
            <w:tcW w:w="9072" w:type="dxa"/>
            <w:gridSpan w:val="7"/>
            <w:shd w:val="clear" w:color="auto" w:fill="C6D9F1" w:themeFill="text2" w:themeFillTint="33"/>
          </w:tcPr>
          <w:p w14:paraId="2DAE284E" w14:textId="77777777" w:rsidR="00767EC2" w:rsidRPr="00F076D7" w:rsidRDefault="00767EC2" w:rsidP="00A83D07">
            <w:pPr>
              <w:keepNext/>
              <w:keepLines/>
              <w:tabs>
                <w:tab w:val="left" w:pos="1740"/>
              </w:tabs>
              <w:rPr>
                <w:rFonts w:eastAsiaTheme="minorEastAsia"/>
                <w:sz w:val="16"/>
                <w:szCs w:val="16"/>
              </w:rPr>
            </w:pPr>
            <w:r w:rsidRPr="00F076D7">
              <w:rPr>
                <w:rFonts w:eastAsiaTheme="minorEastAsia"/>
                <w:b/>
                <w:sz w:val="16"/>
                <w:szCs w:val="16"/>
              </w:rPr>
              <w:t>RÉSULTAT</w:t>
            </w:r>
            <w:r w:rsidRPr="00F076D7">
              <w:rPr>
                <w:rFonts w:eastAsiaTheme="minorEastAsia"/>
                <w:sz w:val="16"/>
                <w:szCs w:val="16"/>
              </w:rPr>
              <w:t> </w:t>
            </w:r>
            <w:r>
              <w:rPr>
                <w:rFonts w:eastAsiaTheme="minorEastAsia"/>
                <w:sz w:val="16"/>
                <w:szCs w:val="16"/>
              </w:rPr>
              <w:t xml:space="preserve">: </w:t>
            </w:r>
            <w:r w:rsidRPr="00F076D7">
              <w:rPr>
                <w:rFonts w:eastAsiaTheme="minorEastAsia"/>
                <w:sz w:val="16"/>
                <w:szCs w:val="16"/>
              </w:rPr>
              <w:t>II.6 Utilisation élargie et plus efficace du système de Madrid, notamment par les pays en développement et les PMA</w:t>
            </w:r>
          </w:p>
        </w:tc>
      </w:tr>
      <w:tr w:rsidR="00767EC2" w:rsidRPr="00F076D7" w14:paraId="086D041B" w14:textId="77777777" w:rsidTr="00A83D07">
        <w:trPr>
          <w:cantSplit/>
        </w:trPr>
        <w:tc>
          <w:tcPr>
            <w:tcW w:w="1785" w:type="dxa"/>
            <w:vAlign w:val="center"/>
          </w:tcPr>
          <w:p w14:paraId="5CF94579"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181" w:type="dxa"/>
            <w:vAlign w:val="center"/>
          </w:tcPr>
          <w:p w14:paraId="61EB0FF1"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853" w:type="dxa"/>
            <w:gridSpan w:val="4"/>
            <w:vAlign w:val="center"/>
          </w:tcPr>
          <w:p w14:paraId="11CF7A5A"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hôte/bénéficiaires</w:t>
            </w:r>
          </w:p>
        </w:tc>
        <w:tc>
          <w:tcPr>
            <w:tcW w:w="4253" w:type="dxa"/>
            <w:vAlign w:val="center"/>
          </w:tcPr>
          <w:p w14:paraId="5F959474"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7BD3AFBA" w14:textId="77777777" w:rsidTr="00A83D07">
        <w:tblPrEx>
          <w:tblLook w:val="04A0" w:firstRow="1" w:lastRow="0" w:firstColumn="1" w:lastColumn="0" w:noHBand="0" w:noVBand="1"/>
        </w:tblPrEx>
        <w:trPr>
          <w:cantSplit/>
        </w:trPr>
        <w:tc>
          <w:tcPr>
            <w:tcW w:w="1785" w:type="dxa"/>
          </w:tcPr>
          <w:p w14:paraId="59432ABE"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Réunion </w:t>
            </w:r>
            <w:proofErr w:type="spellStart"/>
            <w:r w:rsidRPr="00F076D7">
              <w:rPr>
                <w:rFonts w:eastAsiaTheme="minorEastAsia"/>
                <w:sz w:val="16"/>
                <w:szCs w:val="16"/>
                <w:lang w:eastAsia="ja-JP"/>
              </w:rPr>
              <w:t>sous</w:t>
            </w:r>
            <w:r w:rsidRPr="00F076D7">
              <w:rPr>
                <w:rFonts w:eastAsiaTheme="minorEastAsia"/>
                <w:sz w:val="16"/>
                <w:szCs w:val="16"/>
                <w:lang w:eastAsia="ja-JP"/>
              </w:rPr>
              <w:noBreakHyphen/>
              <w:t>régionale</w:t>
            </w:r>
            <w:proofErr w:type="spellEnd"/>
            <w:r w:rsidRPr="00F076D7">
              <w:rPr>
                <w:rFonts w:eastAsiaTheme="minorEastAsia"/>
                <w:sz w:val="16"/>
                <w:szCs w:val="16"/>
                <w:lang w:eastAsia="ja-JP"/>
              </w:rPr>
              <w:t xml:space="preserve"> des fonctionnaires des offices de propriété intellectuelle qui sont responsables de la mise en œuvre du système de Madrid</w:t>
            </w:r>
          </w:p>
        </w:tc>
        <w:tc>
          <w:tcPr>
            <w:tcW w:w="1181" w:type="dxa"/>
          </w:tcPr>
          <w:p w14:paraId="00CB97F0"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13 et 14 décembre 2016</w:t>
            </w:r>
          </w:p>
        </w:tc>
        <w:tc>
          <w:tcPr>
            <w:tcW w:w="1853" w:type="dxa"/>
            <w:gridSpan w:val="4"/>
          </w:tcPr>
          <w:p w14:paraId="1D908EA8"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Japon/ 17 participants des pays suivants : Bhoutan, Cambodge, Inde, Indonésie, Malaisie Myanmar, Pakistan, Philippines, République démocratique populaire lao, Singapour, Sri Lanka, Thaïlande, Viet Nam</w:t>
            </w:r>
          </w:p>
        </w:tc>
        <w:tc>
          <w:tcPr>
            <w:tcW w:w="4253" w:type="dxa"/>
          </w:tcPr>
          <w:p w14:paraId="4DBD8CE9" w14:textId="77777777" w:rsidR="00767EC2" w:rsidRPr="00F076D7" w:rsidRDefault="00767EC2" w:rsidP="00A83D07">
            <w:pPr>
              <w:tabs>
                <w:tab w:val="left" w:pos="0"/>
              </w:tabs>
              <w:rPr>
                <w:rFonts w:eastAsiaTheme="minorEastAsia"/>
                <w:sz w:val="16"/>
                <w:szCs w:val="16"/>
              </w:rPr>
            </w:pPr>
            <w:r w:rsidRPr="00F076D7">
              <w:rPr>
                <w:rFonts w:eastAsiaTheme="minorEastAsia"/>
                <w:sz w:val="16"/>
                <w:szCs w:val="16"/>
                <w:lang w:eastAsia="ja-JP"/>
              </w:rPr>
              <w:t>i) Affûter les connaissances que les participants ont du système de Madrid;  ii) accroître les compétences relatives à la mise en œuvre du système de Madrid;  iii) faire profiter les parties non contractantes de la compréhension et de l’expérience du système de Madrid qu’ont les parties contractantes;  iv) appliquer les connaissances et les compétences acquises sur le lieu de travail;  v) offrir aux participants la possibilité d’examiner les futures évolutions qui se rapportent à l’utilisation du système de Madrid.</w:t>
            </w:r>
          </w:p>
        </w:tc>
      </w:tr>
      <w:tr w:rsidR="00767EC2" w:rsidRPr="00F076D7" w14:paraId="1DF7B6EC" w14:textId="77777777" w:rsidTr="00A83D07">
        <w:trPr>
          <w:cantSplit/>
        </w:trPr>
        <w:tc>
          <w:tcPr>
            <w:tcW w:w="9072" w:type="dxa"/>
            <w:gridSpan w:val="7"/>
            <w:shd w:val="clear" w:color="auto" w:fill="C6D9F1" w:themeFill="text2" w:themeFillTint="33"/>
          </w:tcPr>
          <w:p w14:paraId="03097C71" w14:textId="77777777" w:rsidR="00767EC2" w:rsidRPr="00F076D7" w:rsidRDefault="00767EC2" w:rsidP="00A83D07">
            <w:pPr>
              <w:keepNext/>
              <w:keepLines/>
              <w:tabs>
                <w:tab w:val="left" w:pos="1740"/>
              </w:tabs>
              <w:rPr>
                <w:rFonts w:eastAsiaTheme="minorEastAsia"/>
                <w:bCs/>
                <w:sz w:val="16"/>
                <w:szCs w:val="16"/>
              </w:rPr>
            </w:pPr>
            <w:r w:rsidRPr="00F076D7">
              <w:rPr>
                <w:rFonts w:eastAsiaTheme="minorEastAsia"/>
                <w:b/>
                <w:bCs/>
                <w:sz w:val="16"/>
                <w:szCs w:val="16"/>
              </w:rPr>
              <w:t>RÉSULTAT</w:t>
            </w:r>
            <w:r w:rsidRPr="00F076D7">
              <w:rPr>
                <w:rFonts w:eastAsiaTheme="minorEastAsia"/>
                <w:bCs/>
                <w:sz w:val="16"/>
                <w:szCs w:val="16"/>
              </w:rPr>
              <w:t> </w:t>
            </w:r>
            <w:r>
              <w:rPr>
                <w:rFonts w:eastAsiaTheme="minorEastAsia"/>
                <w:bCs/>
                <w:sz w:val="16"/>
                <w:szCs w:val="16"/>
              </w:rPr>
              <w:t xml:space="preserve">: </w:t>
            </w:r>
            <w:r w:rsidRPr="00F076D7">
              <w:rPr>
                <w:rFonts w:eastAsiaTheme="minorEastAsia"/>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07D71FC2" w14:textId="77777777" w:rsidTr="00A83D07">
        <w:trPr>
          <w:cantSplit/>
        </w:trPr>
        <w:tc>
          <w:tcPr>
            <w:tcW w:w="1785" w:type="dxa"/>
            <w:vAlign w:val="center"/>
          </w:tcPr>
          <w:p w14:paraId="4331343C"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190" w:type="dxa"/>
            <w:gridSpan w:val="2"/>
            <w:vAlign w:val="center"/>
          </w:tcPr>
          <w:p w14:paraId="51ADAAA0"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844" w:type="dxa"/>
            <w:gridSpan w:val="3"/>
            <w:vAlign w:val="center"/>
          </w:tcPr>
          <w:p w14:paraId="0E77AB3F"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hôte/bénéficiaire</w:t>
            </w:r>
          </w:p>
        </w:tc>
        <w:tc>
          <w:tcPr>
            <w:tcW w:w="4253" w:type="dxa"/>
            <w:vAlign w:val="center"/>
          </w:tcPr>
          <w:p w14:paraId="1FF151AD"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40EA89D4" w14:textId="77777777" w:rsidTr="00A83D07">
        <w:tblPrEx>
          <w:tblLook w:val="04A0" w:firstRow="1" w:lastRow="0" w:firstColumn="1" w:lastColumn="0" w:noHBand="0" w:noVBand="1"/>
        </w:tblPrEx>
        <w:trPr>
          <w:cantSplit/>
        </w:trPr>
        <w:tc>
          <w:tcPr>
            <w:tcW w:w="1785" w:type="dxa"/>
          </w:tcPr>
          <w:p w14:paraId="62EA1B02" w14:textId="77777777" w:rsidR="00767EC2" w:rsidRPr="00F076D7" w:rsidRDefault="00767EC2" w:rsidP="00A83D07">
            <w:pPr>
              <w:rPr>
                <w:rFonts w:eastAsiaTheme="minorEastAsia"/>
                <w:sz w:val="16"/>
                <w:szCs w:val="16"/>
                <w:lang w:eastAsia="ja-JP"/>
              </w:rPr>
            </w:pPr>
            <w:r w:rsidRPr="00F076D7">
              <w:rPr>
                <w:rFonts w:eastAsiaTheme="minorEastAsia"/>
                <w:sz w:val="16"/>
                <w:szCs w:val="16"/>
                <w:lang w:eastAsia="ja-JP"/>
              </w:rPr>
              <w:t>Six stages de courte durée</w:t>
            </w:r>
          </w:p>
        </w:tc>
        <w:tc>
          <w:tcPr>
            <w:tcW w:w="1190" w:type="dxa"/>
            <w:gridSpan w:val="2"/>
          </w:tcPr>
          <w:p w14:paraId="4A1B0B25"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Janvier – décembre 2016</w:t>
            </w:r>
          </w:p>
        </w:tc>
        <w:tc>
          <w:tcPr>
            <w:tcW w:w="1844" w:type="dxa"/>
            <w:gridSpan w:val="3"/>
          </w:tcPr>
          <w:p w14:paraId="0A87681B" w14:textId="77777777" w:rsidR="00767EC2" w:rsidRPr="00F076D7" w:rsidRDefault="00767EC2" w:rsidP="00A83D07">
            <w:pPr>
              <w:autoSpaceDE w:val="0"/>
              <w:autoSpaceDN w:val="0"/>
              <w:adjustRightInd w:val="0"/>
              <w:rPr>
                <w:rFonts w:eastAsiaTheme="minorEastAsia"/>
                <w:sz w:val="16"/>
                <w:szCs w:val="16"/>
                <w:highlight w:val="yellow"/>
                <w:lang w:eastAsia="ja-JP"/>
              </w:rPr>
            </w:pPr>
            <w:r w:rsidRPr="00F076D7">
              <w:rPr>
                <w:rFonts w:eastAsiaTheme="minorEastAsia"/>
                <w:sz w:val="16"/>
                <w:szCs w:val="16"/>
                <w:lang w:eastAsia="ja-JP"/>
              </w:rPr>
              <w:t>Japon/ 6 participants des pays suivants : Inde, Malaisie, Mongolie, Pakistan, Sri Lanka, Thaïlande</w:t>
            </w:r>
          </w:p>
        </w:tc>
        <w:tc>
          <w:tcPr>
            <w:tcW w:w="4253" w:type="dxa"/>
          </w:tcPr>
          <w:p w14:paraId="07B1893C"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lang w:eastAsia="ja-JP"/>
              </w:rPr>
              <w:t xml:space="preserve">Transmettre aux diplômés en propriété intellectuelle des connaissances, des compétences et des réflexions sur le monde réel de la propriété intellectuelle par le biais de cours qui seront complétés par une formation pratique et une expérience professionnelle.  </w:t>
            </w:r>
          </w:p>
        </w:tc>
      </w:tr>
      <w:tr w:rsidR="00767EC2" w:rsidRPr="00F076D7" w14:paraId="20D4DE9B" w14:textId="77777777" w:rsidTr="00A83D07">
        <w:tblPrEx>
          <w:tblLook w:val="04A0" w:firstRow="1" w:lastRow="0" w:firstColumn="1" w:lastColumn="0" w:noHBand="0" w:noVBand="1"/>
        </w:tblPrEx>
        <w:trPr>
          <w:cantSplit/>
        </w:trPr>
        <w:tc>
          <w:tcPr>
            <w:tcW w:w="1785" w:type="dxa"/>
          </w:tcPr>
          <w:p w14:paraId="00B66B5A" w14:textId="77777777" w:rsidR="00767EC2" w:rsidRPr="00F076D7" w:rsidRDefault="00767EC2" w:rsidP="00A83D07">
            <w:pPr>
              <w:rPr>
                <w:rFonts w:eastAsiaTheme="minorEastAsia"/>
                <w:sz w:val="16"/>
                <w:szCs w:val="16"/>
                <w:lang w:eastAsia="ja-JP"/>
              </w:rPr>
            </w:pPr>
            <w:r w:rsidRPr="00F076D7">
              <w:rPr>
                <w:rFonts w:eastAsiaTheme="minorEastAsia"/>
                <w:sz w:val="16"/>
                <w:szCs w:val="16"/>
                <w:lang w:eastAsia="ja-JP"/>
              </w:rPr>
              <w:t>Atelier national sur l’utilisation efficace du système de Madrid à l’intention des agents de marques et des spécialistes des marques</w:t>
            </w:r>
          </w:p>
        </w:tc>
        <w:tc>
          <w:tcPr>
            <w:tcW w:w="1190" w:type="dxa"/>
            <w:gridSpan w:val="2"/>
          </w:tcPr>
          <w:p w14:paraId="71410D4C"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20 et 21 janvier 2016</w:t>
            </w:r>
          </w:p>
        </w:tc>
        <w:tc>
          <w:tcPr>
            <w:tcW w:w="1844" w:type="dxa"/>
            <w:gridSpan w:val="3"/>
          </w:tcPr>
          <w:p w14:paraId="67A7FFE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Cambodge/ 60 participants locaux</w:t>
            </w:r>
          </w:p>
        </w:tc>
        <w:tc>
          <w:tcPr>
            <w:tcW w:w="4253" w:type="dxa"/>
          </w:tcPr>
          <w:p w14:paraId="3310A69F" w14:textId="77777777" w:rsidR="00767EC2" w:rsidRPr="00F076D7" w:rsidRDefault="00767EC2" w:rsidP="00A83D07">
            <w:pPr>
              <w:rPr>
                <w:rFonts w:eastAsiaTheme="minorEastAsia"/>
                <w:sz w:val="16"/>
                <w:szCs w:val="16"/>
                <w:highlight w:val="cyan"/>
              </w:rPr>
            </w:pPr>
            <w:r w:rsidRPr="00F076D7">
              <w:rPr>
                <w:rFonts w:eastAsiaTheme="minorEastAsia"/>
                <w:sz w:val="16"/>
                <w:szCs w:val="16"/>
                <w:lang w:eastAsia="ja-JP"/>
              </w:rPr>
              <w:t>i) Affûter les connaissances que les agents de marques et les spécialistes des marques ont du système de Madrid;  ii) accroître les compétences quant à l’utilisation du système de Madrid;  iii) faire profiter de la compréhension du système de Madrid et des expériences acquises par le Japon;  iv) permettre aux participants à l’atelier d’appliquer les connaissances et les compétences acquises sur le lieu de travail.</w:t>
            </w:r>
          </w:p>
        </w:tc>
      </w:tr>
      <w:tr w:rsidR="00767EC2" w:rsidRPr="00F076D7" w14:paraId="5562D5C8" w14:textId="77777777" w:rsidTr="00A83D07">
        <w:tblPrEx>
          <w:tblLook w:val="04A0" w:firstRow="1" w:lastRow="0" w:firstColumn="1" w:lastColumn="0" w:noHBand="0" w:noVBand="1"/>
        </w:tblPrEx>
        <w:trPr>
          <w:cantSplit/>
        </w:trPr>
        <w:tc>
          <w:tcPr>
            <w:tcW w:w="1785" w:type="dxa"/>
          </w:tcPr>
          <w:p w14:paraId="216CA6AB"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Programme de formation sur l’examen des demandes de titres de propriété industrielle – programme de base (brevets et marques)</w:t>
            </w:r>
          </w:p>
        </w:tc>
        <w:tc>
          <w:tcPr>
            <w:tcW w:w="1190" w:type="dxa"/>
            <w:gridSpan w:val="2"/>
          </w:tcPr>
          <w:p w14:paraId="6042B71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18 – 29 janvier 2016</w:t>
            </w:r>
          </w:p>
        </w:tc>
        <w:tc>
          <w:tcPr>
            <w:tcW w:w="1844" w:type="dxa"/>
            <w:gridSpan w:val="3"/>
          </w:tcPr>
          <w:p w14:paraId="7A773722"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Japon/ 20 participants des pays suivants : Afghanistan, ARIPO, Cambodge, Chili, Conseil de coopération du Golfe (CCG), Indonésie, Kenya, Malaisie, Maroc, Myanmar, Nigéria, OAPI</w:t>
            </w:r>
            <w:r w:rsidRPr="00F076D7">
              <w:rPr>
                <w:sz w:val="16"/>
                <w:szCs w:val="16"/>
              </w:rPr>
              <w:t xml:space="preserve">, </w:t>
            </w:r>
            <w:r w:rsidRPr="00F076D7">
              <w:rPr>
                <w:rFonts w:eastAsiaTheme="minorEastAsia"/>
                <w:sz w:val="16"/>
                <w:szCs w:val="16"/>
                <w:lang w:eastAsia="ja-JP"/>
              </w:rPr>
              <w:t>Pakistan, République démocratique populaire lao, Sri Lanka, Turquie, Viet Nam</w:t>
            </w:r>
          </w:p>
        </w:tc>
        <w:tc>
          <w:tcPr>
            <w:tcW w:w="4253" w:type="dxa"/>
          </w:tcPr>
          <w:p w14:paraId="4A8B199F"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i) Compléter les importantes connaissances élémentaires acquises en ce qui concerne les procédures de fond et les lois permettant de procéder à l’examen des demandes de brevet et des demandes d’enregistrement de marques;  ii) renforcer les capacités d’utilisation des outils de recherche;  iii) améliorer la compréhension des cas d’atteinte au brevet et à la marque à partir d’études de cas.</w:t>
            </w:r>
          </w:p>
        </w:tc>
      </w:tr>
      <w:tr w:rsidR="00767EC2" w:rsidRPr="00F076D7" w14:paraId="35A21DA0" w14:textId="77777777" w:rsidTr="00A83D07">
        <w:tblPrEx>
          <w:tblLook w:val="04A0" w:firstRow="1" w:lastRow="0" w:firstColumn="1" w:lastColumn="0" w:noHBand="0" w:noVBand="1"/>
        </w:tblPrEx>
        <w:trPr>
          <w:cantSplit/>
        </w:trPr>
        <w:tc>
          <w:tcPr>
            <w:tcW w:w="1785" w:type="dxa"/>
          </w:tcPr>
          <w:p w14:paraId="4BB03E82"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Programme de formation sur la gestion de la propriété intellectuelle et la formulation ainsi que la mise en œuvre des plans des offices de propriété intellectuelle axés sur les résultats </w:t>
            </w:r>
          </w:p>
        </w:tc>
        <w:tc>
          <w:tcPr>
            <w:tcW w:w="1190" w:type="dxa"/>
            <w:gridSpan w:val="2"/>
          </w:tcPr>
          <w:p w14:paraId="435AEDCC"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16 – 23 février 2016</w:t>
            </w:r>
          </w:p>
        </w:tc>
        <w:tc>
          <w:tcPr>
            <w:tcW w:w="1844" w:type="dxa"/>
            <w:gridSpan w:val="3"/>
          </w:tcPr>
          <w:p w14:paraId="12618C85"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Japon/ 20 participants des pays suivants : </w:t>
            </w:r>
            <w:r w:rsidRPr="00F076D7">
              <w:rPr>
                <w:rFonts w:eastAsiaTheme="minorEastAsia"/>
                <w:sz w:val="16"/>
              </w:rPr>
              <w:t>Brésil, Cambodge, Chili, Chine, Égypte, Inde, Indonésie, Malaisie, Mexique, Myanmar, Nigéria, Ouganda, Pérou, Philippines, République démocratique populaire lao, Sénégal, Thaïlande, Viet Nam</w:t>
            </w:r>
          </w:p>
        </w:tc>
        <w:tc>
          <w:tcPr>
            <w:tcW w:w="4253" w:type="dxa"/>
          </w:tcPr>
          <w:p w14:paraId="435882E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i) Affûter les connaissances des participants en matière de pratiques modernes de gestion de la propriété intellectuelle, à savoir la manière de formuler des politiques, des stratégies et des plans en ce qui concerne le développement des ressources humaines, le renforcement des capacités des examinateurs, la gestion concrète des offices, le soutien de la propriété intellectuelle pour les petites et moyennes entreprises (PME) et la gestion de la qualité des examens;  ii) renforcer la capacité des participants de formuler, mettre en œuvre et évaluer les plans des offices de propriété intellectuelle qui sont assortis d’une échéance, qui sont axés sur les résultats et qui ont un impact mesurable.</w:t>
            </w:r>
          </w:p>
        </w:tc>
      </w:tr>
      <w:tr w:rsidR="00767EC2" w:rsidRPr="00F076D7" w14:paraId="75A64B92" w14:textId="77777777" w:rsidTr="00A83D07">
        <w:tblPrEx>
          <w:tblLook w:val="04A0" w:firstRow="1" w:lastRow="0" w:firstColumn="1" w:lastColumn="0" w:noHBand="0" w:noVBand="1"/>
        </w:tblPrEx>
        <w:trPr>
          <w:cantSplit/>
        </w:trPr>
        <w:tc>
          <w:tcPr>
            <w:tcW w:w="1785" w:type="dxa"/>
          </w:tcPr>
          <w:p w14:paraId="275750D4" w14:textId="77777777" w:rsidR="00767EC2" w:rsidRPr="00F076D7" w:rsidRDefault="00767EC2" w:rsidP="00A83D07">
            <w:pPr>
              <w:autoSpaceDE w:val="0"/>
              <w:autoSpaceDN w:val="0"/>
              <w:adjustRightInd w:val="0"/>
              <w:rPr>
                <w:rFonts w:eastAsiaTheme="minorEastAsia"/>
                <w:sz w:val="16"/>
                <w:szCs w:val="16"/>
                <w:highlight w:val="cyan"/>
              </w:rPr>
            </w:pPr>
            <w:r w:rsidRPr="00F076D7">
              <w:rPr>
                <w:rFonts w:eastAsiaTheme="minorEastAsia"/>
                <w:sz w:val="16"/>
                <w:szCs w:val="16"/>
              </w:rPr>
              <w:t>Cours de formation reposant sur des études de cas sur les examens de demandes de brevet</w:t>
            </w:r>
          </w:p>
        </w:tc>
        <w:tc>
          <w:tcPr>
            <w:tcW w:w="1190" w:type="dxa"/>
            <w:gridSpan w:val="2"/>
          </w:tcPr>
          <w:p w14:paraId="5BC4965A"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24 février – 1</w:t>
            </w:r>
            <w:r w:rsidRPr="00F076D7">
              <w:rPr>
                <w:rFonts w:eastAsiaTheme="minorEastAsia"/>
                <w:sz w:val="16"/>
                <w:szCs w:val="16"/>
                <w:vertAlign w:val="superscript"/>
                <w:lang w:eastAsia="ja-JP"/>
              </w:rPr>
              <w:t>er</w:t>
            </w:r>
            <w:r w:rsidRPr="00F076D7">
              <w:rPr>
                <w:rFonts w:eastAsiaTheme="minorEastAsia"/>
                <w:sz w:val="16"/>
                <w:szCs w:val="16"/>
                <w:lang w:eastAsia="ja-JP"/>
              </w:rPr>
              <w:t> mars 2016</w:t>
            </w:r>
          </w:p>
        </w:tc>
        <w:tc>
          <w:tcPr>
            <w:tcW w:w="1844" w:type="dxa"/>
            <w:gridSpan w:val="3"/>
          </w:tcPr>
          <w:p w14:paraId="1FC8E386"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Japon/ 8 participants des pays suivants : Chili, Chine, Malaisie, Philippines, Thaïlande, Viet Nam</w:t>
            </w:r>
          </w:p>
        </w:tc>
        <w:tc>
          <w:tcPr>
            <w:tcW w:w="4253" w:type="dxa"/>
          </w:tcPr>
          <w:p w14:paraId="78CD4393"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Dispenser aux participants qui ont terminé le programme intermédiaire/avancé une formation continue reposant sur des études de cas relatives à l’examen des demandes de brevet dans un domaine spécifique.</w:t>
            </w:r>
          </w:p>
        </w:tc>
      </w:tr>
      <w:tr w:rsidR="00767EC2" w:rsidRPr="00F076D7" w14:paraId="52AC23D7" w14:textId="77777777" w:rsidTr="00A83D07">
        <w:tblPrEx>
          <w:tblLook w:val="04A0" w:firstRow="1" w:lastRow="0" w:firstColumn="1" w:lastColumn="0" w:noHBand="0" w:noVBand="1"/>
        </w:tblPrEx>
        <w:trPr>
          <w:cantSplit/>
        </w:trPr>
        <w:tc>
          <w:tcPr>
            <w:tcW w:w="1785" w:type="dxa"/>
          </w:tcPr>
          <w:p w14:paraId="07AE12E8" w14:textId="77777777" w:rsidR="00767EC2" w:rsidRPr="00F076D7" w:rsidRDefault="00767EC2" w:rsidP="00A83D07">
            <w:pPr>
              <w:autoSpaceDE w:val="0"/>
              <w:autoSpaceDN w:val="0"/>
              <w:adjustRightInd w:val="0"/>
              <w:rPr>
                <w:rFonts w:eastAsiaTheme="minorEastAsia"/>
                <w:sz w:val="16"/>
                <w:szCs w:val="16"/>
                <w:highlight w:val="cyan"/>
              </w:rPr>
            </w:pPr>
            <w:r w:rsidRPr="00F076D7">
              <w:rPr>
                <w:rFonts w:eastAsiaTheme="minorEastAsia"/>
                <w:sz w:val="16"/>
                <w:szCs w:val="16"/>
              </w:rPr>
              <w:t>Atelier national sur l’examen des demandes d’enregistrement de dessins et modèles et le système de La Haye concernant l’enregistrement international des dessins et modèles industriels</w:t>
            </w:r>
          </w:p>
        </w:tc>
        <w:tc>
          <w:tcPr>
            <w:tcW w:w="1190" w:type="dxa"/>
            <w:gridSpan w:val="2"/>
          </w:tcPr>
          <w:p w14:paraId="3C18134A"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3 et 4 mars 2016</w:t>
            </w:r>
          </w:p>
        </w:tc>
        <w:tc>
          <w:tcPr>
            <w:tcW w:w="1844" w:type="dxa"/>
            <w:gridSpan w:val="3"/>
          </w:tcPr>
          <w:p w14:paraId="02A8E2E4"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Viet Nam/ 30 participants locaux</w:t>
            </w:r>
          </w:p>
        </w:tc>
        <w:tc>
          <w:tcPr>
            <w:tcW w:w="4253" w:type="dxa"/>
          </w:tcPr>
          <w:p w14:paraId="2414F29D" w14:textId="77777777" w:rsidR="00767EC2" w:rsidRPr="00F076D7" w:rsidRDefault="00767EC2" w:rsidP="00A83D07">
            <w:pPr>
              <w:tabs>
                <w:tab w:val="left" w:pos="0"/>
              </w:tabs>
              <w:rPr>
                <w:rFonts w:eastAsiaTheme="minorEastAsia"/>
                <w:sz w:val="16"/>
                <w:szCs w:val="16"/>
              </w:rPr>
            </w:pPr>
            <w:r w:rsidRPr="00F076D7">
              <w:rPr>
                <w:rFonts w:eastAsiaTheme="minorEastAsia"/>
                <w:sz w:val="16"/>
                <w:szCs w:val="16"/>
              </w:rPr>
              <w:t xml:space="preserve">i) Affûter la connaissance du système de La Haye;  ii) accroître les compétences quant à la mise en œuvre effective du système de La Haye;  iii) faire profiter de la compréhension du système de La Haye et des expériences acquises par le Japon;  iv) </w:t>
            </w:r>
            <w:r w:rsidRPr="00F076D7">
              <w:rPr>
                <w:rFonts w:eastAsiaTheme="minorEastAsia"/>
                <w:sz w:val="16"/>
                <w:szCs w:val="16"/>
                <w:lang w:eastAsia="ja-JP"/>
              </w:rPr>
              <w:t>appliquer les connaissances et les compétences acquises sur le lieu de travail.</w:t>
            </w:r>
          </w:p>
        </w:tc>
      </w:tr>
      <w:tr w:rsidR="00767EC2" w:rsidRPr="00F076D7" w14:paraId="4CDDE268" w14:textId="77777777" w:rsidTr="00A83D07">
        <w:tblPrEx>
          <w:tblLook w:val="04A0" w:firstRow="1" w:lastRow="0" w:firstColumn="1" w:lastColumn="0" w:noHBand="0" w:noVBand="1"/>
        </w:tblPrEx>
        <w:trPr>
          <w:cantSplit/>
        </w:trPr>
        <w:tc>
          <w:tcPr>
            <w:tcW w:w="1785" w:type="dxa"/>
          </w:tcPr>
          <w:p w14:paraId="30E7BF6E"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 xml:space="preserve">Atelier </w:t>
            </w:r>
            <w:proofErr w:type="spellStart"/>
            <w:r w:rsidRPr="00F076D7">
              <w:rPr>
                <w:rFonts w:eastAsiaTheme="minorEastAsia"/>
                <w:sz w:val="16"/>
                <w:szCs w:val="16"/>
              </w:rPr>
              <w:t>sous</w:t>
            </w:r>
            <w:r w:rsidRPr="00F076D7">
              <w:rPr>
                <w:rFonts w:eastAsiaTheme="minorEastAsia"/>
                <w:sz w:val="16"/>
                <w:szCs w:val="16"/>
              </w:rPr>
              <w:noBreakHyphen/>
              <w:t>régional</w:t>
            </w:r>
            <w:proofErr w:type="spellEnd"/>
            <w:r w:rsidRPr="00F076D7">
              <w:rPr>
                <w:rFonts w:eastAsiaTheme="minorEastAsia"/>
                <w:sz w:val="16"/>
                <w:szCs w:val="16"/>
              </w:rPr>
              <w:t xml:space="preserve"> sur le système de gestion de la qualité de l’examen des demandes de brevet </w:t>
            </w:r>
          </w:p>
        </w:tc>
        <w:tc>
          <w:tcPr>
            <w:tcW w:w="1190" w:type="dxa"/>
            <w:gridSpan w:val="2"/>
          </w:tcPr>
          <w:p w14:paraId="45A7AE0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19 et 20 avril 2016</w:t>
            </w:r>
          </w:p>
        </w:tc>
        <w:tc>
          <w:tcPr>
            <w:tcW w:w="1844" w:type="dxa"/>
            <w:gridSpan w:val="3"/>
          </w:tcPr>
          <w:p w14:paraId="4CCB74C4"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Malaisie/ 20 participants des pays suivants : Inde, Indonésie, Malaisie, Philippines, Singapour, Thaïlande, Viet Nam</w:t>
            </w:r>
          </w:p>
        </w:tc>
        <w:tc>
          <w:tcPr>
            <w:tcW w:w="4253" w:type="dxa"/>
          </w:tcPr>
          <w:p w14:paraId="344B6E94" w14:textId="77777777" w:rsidR="00767EC2" w:rsidRPr="00F076D7" w:rsidRDefault="00767EC2" w:rsidP="00A83D07">
            <w:pPr>
              <w:tabs>
                <w:tab w:val="left" w:pos="0"/>
              </w:tabs>
              <w:rPr>
                <w:rFonts w:eastAsiaTheme="minorEastAsia"/>
                <w:sz w:val="16"/>
                <w:szCs w:val="16"/>
                <w:highlight w:val="cyan"/>
              </w:rPr>
            </w:pPr>
            <w:r w:rsidRPr="00F076D7">
              <w:rPr>
                <w:rFonts w:eastAsiaTheme="minorEastAsia"/>
                <w:sz w:val="16"/>
                <w:szCs w:val="16"/>
                <w:lang w:eastAsia="ja-JP"/>
              </w:rPr>
              <w:t>i)</w:t>
            </w:r>
            <w:r w:rsidRPr="00F076D7">
              <w:rPr>
                <w:rFonts w:eastAsiaTheme="minorEastAsia"/>
                <w:sz w:val="16"/>
                <w:szCs w:val="16"/>
              </w:rPr>
              <w:t xml:space="preserve"> Faire acquérir les connaissances nécessaires à la gestion de la qualité;  ii) accroître les compétences en matière de gestion de la qualité de l’examen des demandes de brevet;  iii) faire profiter de la compréhension du système de gestion de la qualité acquise par le pays de chaque participant ainsi que de l’expérience des administrations chargées de la recherche internationale;  iv) </w:t>
            </w:r>
            <w:r w:rsidRPr="00F076D7">
              <w:rPr>
                <w:rFonts w:eastAsiaTheme="minorEastAsia"/>
                <w:sz w:val="16"/>
                <w:szCs w:val="16"/>
                <w:lang w:eastAsia="ja-JP"/>
              </w:rPr>
              <w:t>appliquer les connaissances et les compétences acquises sur le lieu de travail</w:t>
            </w:r>
            <w:r w:rsidRPr="00F076D7">
              <w:rPr>
                <w:rFonts w:eastAsiaTheme="minorEastAsia"/>
                <w:sz w:val="16"/>
                <w:szCs w:val="16"/>
              </w:rPr>
              <w:t>.</w:t>
            </w:r>
          </w:p>
        </w:tc>
      </w:tr>
      <w:tr w:rsidR="00767EC2" w:rsidRPr="00F076D7" w14:paraId="1E799256" w14:textId="77777777" w:rsidTr="00A83D07">
        <w:tblPrEx>
          <w:tblLook w:val="04A0" w:firstRow="1" w:lastRow="0" w:firstColumn="1" w:lastColumn="0" w:noHBand="0" w:noVBand="1"/>
        </w:tblPrEx>
        <w:trPr>
          <w:cantSplit/>
        </w:trPr>
        <w:tc>
          <w:tcPr>
            <w:tcW w:w="1785" w:type="dxa"/>
          </w:tcPr>
          <w:p w14:paraId="774383EC" w14:textId="77777777" w:rsidR="00767EC2" w:rsidRPr="00F076D7" w:rsidRDefault="00767EC2" w:rsidP="00A83D07">
            <w:pPr>
              <w:autoSpaceDE w:val="0"/>
              <w:autoSpaceDN w:val="0"/>
              <w:adjustRightInd w:val="0"/>
              <w:rPr>
                <w:rFonts w:eastAsiaTheme="minorEastAsia"/>
                <w:sz w:val="16"/>
                <w:szCs w:val="16"/>
                <w:highlight w:val="cyan"/>
              </w:rPr>
            </w:pPr>
            <w:r w:rsidRPr="00F076D7">
              <w:rPr>
                <w:rFonts w:eastAsiaTheme="minorEastAsia"/>
                <w:sz w:val="16"/>
                <w:szCs w:val="16"/>
              </w:rPr>
              <w:t xml:space="preserve">Bourse d’études de longue durée </w:t>
            </w:r>
          </w:p>
        </w:tc>
        <w:tc>
          <w:tcPr>
            <w:tcW w:w="1190" w:type="dxa"/>
            <w:gridSpan w:val="2"/>
          </w:tcPr>
          <w:p w14:paraId="7428F442"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Juillet – septembre 2016</w:t>
            </w:r>
          </w:p>
        </w:tc>
        <w:tc>
          <w:tcPr>
            <w:tcW w:w="1844" w:type="dxa"/>
            <w:gridSpan w:val="3"/>
          </w:tcPr>
          <w:p w14:paraId="622F8E06" w14:textId="77777777" w:rsidR="00767EC2" w:rsidRPr="00F076D7" w:rsidRDefault="00767EC2" w:rsidP="00A83D07">
            <w:pPr>
              <w:autoSpaceDE w:val="0"/>
              <w:autoSpaceDN w:val="0"/>
              <w:adjustRightInd w:val="0"/>
              <w:rPr>
                <w:rFonts w:eastAsiaTheme="minorEastAsia"/>
                <w:sz w:val="16"/>
                <w:szCs w:val="16"/>
                <w:highlight w:val="yellow"/>
                <w:lang w:eastAsia="ja-JP"/>
              </w:rPr>
            </w:pPr>
            <w:r w:rsidRPr="00F076D7">
              <w:rPr>
                <w:rFonts w:eastAsiaTheme="minorEastAsia"/>
                <w:sz w:val="16"/>
                <w:szCs w:val="16"/>
                <w:lang w:eastAsia="ja-JP"/>
              </w:rPr>
              <w:t>Institut universitaire de technologie d’Osaka (OIT), Japon/1 participant des Philippines</w:t>
            </w:r>
          </w:p>
        </w:tc>
        <w:tc>
          <w:tcPr>
            <w:tcW w:w="4253" w:type="dxa"/>
          </w:tcPr>
          <w:p w14:paraId="5568545F"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Augmenter le nombre d’experts en propriété intellectuelle dans la région pouvant entreprendre des missions d’enseignement et de recherche sur les questions de propriété intellectuelle.</w:t>
            </w:r>
          </w:p>
        </w:tc>
      </w:tr>
      <w:tr w:rsidR="00767EC2" w:rsidRPr="00F076D7" w14:paraId="61B7FB56" w14:textId="77777777" w:rsidTr="00A83D07">
        <w:tblPrEx>
          <w:tblLook w:val="04A0" w:firstRow="1" w:lastRow="0" w:firstColumn="1" w:lastColumn="0" w:noHBand="0" w:noVBand="1"/>
        </w:tblPrEx>
        <w:trPr>
          <w:cantSplit/>
        </w:trPr>
        <w:tc>
          <w:tcPr>
            <w:tcW w:w="1785" w:type="dxa"/>
          </w:tcPr>
          <w:p w14:paraId="38EFAE35" w14:textId="77777777" w:rsidR="00767EC2" w:rsidRPr="00F076D7" w:rsidRDefault="00767EC2" w:rsidP="00A83D07">
            <w:pPr>
              <w:autoSpaceDE w:val="0"/>
              <w:autoSpaceDN w:val="0"/>
              <w:adjustRightInd w:val="0"/>
              <w:rPr>
                <w:rFonts w:eastAsiaTheme="minorEastAsia"/>
                <w:sz w:val="16"/>
                <w:szCs w:val="16"/>
                <w:highlight w:val="cyan"/>
              </w:rPr>
            </w:pPr>
            <w:r w:rsidRPr="00F076D7">
              <w:rPr>
                <w:rFonts w:eastAsiaTheme="minorEastAsia"/>
                <w:sz w:val="16"/>
                <w:szCs w:val="16"/>
              </w:rPr>
              <w:t>Atelier national sur les marques tridimensionnelles</w:t>
            </w:r>
          </w:p>
        </w:tc>
        <w:tc>
          <w:tcPr>
            <w:tcW w:w="1190" w:type="dxa"/>
            <w:gridSpan w:val="2"/>
          </w:tcPr>
          <w:p w14:paraId="5DFAED3C"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 août 2016</w:t>
            </w:r>
          </w:p>
        </w:tc>
        <w:tc>
          <w:tcPr>
            <w:tcW w:w="1844" w:type="dxa"/>
            <w:gridSpan w:val="3"/>
          </w:tcPr>
          <w:p w14:paraId="7E6C09A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Indonésie/ 50 participants locaux</w:t>
            </w:r>
          </w:p>
        </w:tc>
        <w:tc>
          <w:tcPr>
            <w:tcW w:w="4253" w:type="dxa"/>
          </w:tcPr>
          <w:p w14:paraId="11BB83B2" w14:textId="77777777" w:rsidR="00767EC2" w:rsidRPr="00F076D7" w:rsidRDefault="00767EC2" w:rsidP="00A83D07">
            <w:pPr>
              <w:tabs>
                <w:tab w:val="left" w:pos="403"/>
              </w:tabs>
              <w:rPr>
                <w:rFonts w:eastAsiaTheme="minorEastAsia" w:cs="Times New Roman"/>
                <w:sz w:val="16"/>
                <w:szCs w:val="16"/>
                <w:lang w:eastAsia="ko-KR"/>
              </w:rPr>
            </w:pPr>
            <w:r w:rsidRPr="00F076D7">
              <w:rPr>
                <w:rFonts w:eastAsiaTheme="minorEastAsia" w:cs="Times New Roman"/>
                <w:sz w:val="16"/>
                <w:szCs w:val="16"/>
                <w:lang w:eastAsia="ko-KR"/>
              </w:rPr>
              <w:t>i)</w:t>
            </w:r>
            <w:r w:rsidRPr="00F076D7">
              <w:rPr>
                <w:rFonts w:eastAsiaTheme="minorEastAsia"/>
                <w:sz w:val="16"/>
                <w:szCs w:val="16"/>
              </w:rPr>
              <w:t xml:space="preserve"> Affûter la connaissance des marques tridimensionnelles;  ii) procéder à un partage d’expérience au Japon;  iii) </w:t>
            </w:r>
            <w:r w:rsidRPr="00F076D7">
              <w:rPr>
                <w:rFonts w:eastAsiaTheme="minorEastAsia"/>
                <w:sz w:val="16"/>
                <w:szCs w:val="16"/>
                <w:lang w:eastAsia="ja-JP"/>
              </w:rPr>
              <w:t>appliquer les connaissances et les compétences acquises sur le lieu de travail.</w:t>
            </w:r>
          </w:p>
        </w:tc>
      </w:tr>
      <w:tr w:rsidR="00767EC2" w:rsidRPr="00F076D7" w14:paraId="6300D417" w14:textId="77777777" w:rsidTr="00A83D07">
        <w:tblPrEx>
          <w:tblLook w:val="04A0" w:firstRow="1" w:lastRow="0" w:firstColumn="1" w:lastColumn="0" w:noHBand="0" w:noVBand="1"/>
        </w:tblPrEx>
        <w:trPr>
          <w:cantSplit/>
        </w:trPr>
        <w:tc>
          <w:tcPr>
            <w:tcW w:w="1785" w:type="dxa"/>
          </w:tcPr>
          <w:p w14:paraId="6A31EA81"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Mise à disposition de ressources humaines de référence en matière de propriété intellectuelle à des fins de formation</w:t>
            </w:r>
          </w:p>
        </w:tc>
        <w:tc>
          <w:tcPr>
            <w:tcW w:w="1190" w:type="dxa"/>
            <w:gridSpan w:val="2"/>
          </w:tcPr>
          <w:p w14:paraId="17FE5605"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29 août – 2 septembre 2016</w:t>
            </w:r>
          </w:p>
        </w:tc>
        <w:tc>
          <w:tcPr>
            <w:tcW w:w="1844" w:type="dxa"/>
            <w:gridSpan w:val="3"/>
          </w:tcPr>
          <w:p w14:paraId="1336BAA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Japon</w:t>
            </w:r>
          </w:p>
        </w:tc>
        <w:tc>
          <w:tcPr>
            <w:tcW w:w="4253" w:type="dxa"/>
          </w:tcPr>
          <w:p w14:paraId="35A3ABC1" w14:textId="77777777" w:rsidR="00767EC2" w:rsidRPr="00F076D7" w:rsidRDefault="00767EC2" w:rsidP="00A83D07">
            <w:pPr>
              <w:tabs>
                <w:tab w:val="left" w:pos="403"/>
              </w:tabs>
              <w:rPr>
                <w:rFonts w:eastAsiaTheme="minorEastAsia"/>
                <w:sz w:val="16"/>
                <w:szCs w:val="16"/>
                <w:highlight w:val="cyan"/>
                <w:lang w:eastAsia="ja-JP"/>
              </w:rPr>
            </w:pPr>
            <w:r w:rsidRPr="00F076D7">
              <w:rPr>
                <w:rFonts w:eastAsiaTheme="minorEastAsia"/>
                <w:sz w:val="16"/>
                <w:szCs w:val="16"/>
                <w:lang w:eastAsia="ja-JP"/>
              </w:rPr>
              <w:t>Aider i) les participants au séminaire pour l’éducation et la recherche en matière de propriété intellectuelle organisé par l’Association des universités japonaises (JANU) à mieux comprendre le cadre international de la propriété intellectuelle;  ii) les participants au Cours d’été sur la propriété intellectuelle (2016) organisé par l’Institut universitaire de technologie d’Osaka (OIT) à mieux comprendre le cadre international de la propriété intellectuelle.</w:t>
            </w:r>
          </w:p>
        </w:tc>
      </w:tr>
      <w:tr w:rsidR="00767EC2" w:rsidRPr="00F076D7" w14:paraId="4676C165" w14:textId="77777777" w:rsidTr="00A83D07">
        <w:tblPrEx>
          <w:tblLook w:val="04A0" w:firstRow="1" w:lastRow="0" w:firstColumn="1" w:lastColumn="0" w:noHBand="0" w:noVBand="1"/>
        </w:tblPrEx>
        <w:trPr>
          <w:cantSplit/>
        </w:trPr>
        <w:tc>
          <w:tcPr>
            <w:tcW w:w="1785" w:type="dxa"/>
          </w:tcPr>
          <w:p w14:paraId="31D5736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Atelier régional sur l’utilisation des produits du PCT</w:t>
            </w:r>
          </w:p>
        </w:tc>
        <w:tc>
          <w:tcPr>
            <w:tcW w:w="1190" w:type="dxa"/>
            <w:gridSpan w:val="2"/>
          </w:tcPr>
          <w:p w14:paraId="64B9630D"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13 et 14 septembre 2016</w:t>
            </w:r>
          </w:p>
        </w:tc>
        <w:tc>
          <w:tcPr>
            <w:tcW w:w="1844" w:type="dxa"/>
            <w:gridSpan w:val="3"/>
          </w:tcPr>
          <w:p w14:paraId="3719D6BF" w14:textId="77777777" w:rsidR="00767EC2" w:rsidRPr="00F076D7" w:rsidRDefault="00767EC2" w:rsidP="00A83D07">
            <w:pPr>
              <w:autoSpaceDE w:val="0"/>
              <w:autoSpaceDN w:val="0"/>
              <w:adjustRightInd w:val="0"/>
              <w:rPr>
                <w:rFonts w:eastAsiaTheme="minorEastAsia"/>
                <w:sz w:val="16"/>
                <w:szCs w:val="16"/>
                <w:highlight w:val="yellow"/>
                <w:lang w:eastAsia="ja-JP"/>
              </w:rPr>
            </w:pPr>
            <w:r w:rsidRPr="00F076D7">
              <w:rPr>
                <w:rFonts w:eastAsiaTheme="minorEastAsia"/>
                <w:sz w:val="16"/>
                <w:szCs w:val="16"/>
                <w:lang w:eastAsia="ja-JP"/>
              </w:rPr>
              <w:t>Japon/ 19 participants des pays suivants : Costa Rica, Indonésie, Malaisie, Mexique, Philippines, Pérou, République démocratique populaire lao, Thaïlande, Viet Nam</w:t>
            </w:r>
          </w:p>
        </w:tc>
        <w:tc>
          <w:tcPr>
            <w:tcW w:w="4253" w:type="dxa"/>
          </w:tcPr>
          <w:p w14:paraId="75501BE0"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Renforcer et améliorer les capacités d’examen des demandes de brevet des offices de propriété intellectuelle des pays en développement et des pays émergents qui ne sont pas désignés comme </w:t>
            </w:r>
            <w:r w:rsidRPr="00F076D7">
              <w:rPr>
                <w:rFonts w:eastAsiaTheme="minorEastAsia"/>
                <w:sz w:val="16"/>
                <w:szCs w:val="16"/>
              </w:rPr>
              <w:t>administrations chargées de la recherche internationale</w:t>
            </w:r>
            <w:r w:rsidRPr="00F076D7">
              <w:rPr>
                <w:rFonts w:eastAsiaTheme="minorEastAsia"/>
                <w:sz w:val="16"/>
                <w:szCs w:val="16"/>
                <w:lang w:eastAsia="ja-JP"/>
              </w:rPr>
              <w:t xml:space="preserve"> dans le cadre du PCT.</w:t>
            </w:r>
          </w:p>
          <w:p w14:paraId="1D4A4CF3" w14:textId="77777777" w:rsidR="00767EC2" w:rsidRPr="00F076D7" w:rsidRDefault="00767EC2" w:rsidP="00A83D07">
            <w:pPr>
              <w:autoSpaceDE w:val="0"/>
              <w:autoSpaceDN w:val="0"/>
              <w:adjustRightInd w:val="0"/>
              <w:rPr>
                <w:rFonts w:eastAsia="MS Mincho"/>
                <w:sz w:val="16"/>
                <w:szCs w:val="16"/>
                <w:highlight w:val="cyan"/>
                <w:lang w:eastAsia="ja-JP"/>
              </w:rPr>
            </w:pPr>
            <w:r w:rsidRPr="00F076D7">
              <w:rPr>
                <w:rFonts w:eastAsiaTheme="minorEastAsia"/>
                <w:sz w:val="16"/>
                <w:szCs w:val="16"/>
                <w:lang w:eastAsia="ja-JP"/>
              </w:rPr>
              <w:t>i) Faire acquérir les connaissances nécessaires à un examen opportun et efficace des demandes de brevet par le biais des produits du PCT;  ii) dispenser une formation technique pratique visant à accroître les compétences s’agissant d’accéder efficacement aux bases de données permettant d’obtenir des produits du PCT tels que des rapports de recherche internationale et des rapports d’examen préliminaire international;  iii) diffuser les connaissances acquises au sein de l’office de propriété intellectuelle de chaque participant.</w:t>
            </w:r>
          </w:p>
        </w:tc>
      </w:tr>
      <w:tr w:rsidR="00767EC2" w:rsidRPr="00F076D7" w14:paraId="1C3D1342" w14:textId="77777777" w:rsidTr="00A83D07">
        <w:trPr>
          <w:cantSplit/>
        </w:trPr>
        <w:tc>
          <w:tcPr>
            <w:tcW w:w="9072" w:type="dxa"/>
            <w:gridSpan w:val="7"/>
            <w:shd w:val="clear" w:color="auto" w:fill="C6D9F1" w:themeFill="text2" w:themeFillTint="33"/>
          </w:tcPr>
          <w:p w14:paraId="54E62598" w14:textId="77777777" w:rsidR="00767EC2" w:rsidRPr="00F076D7" w:rsidRDefault="00767EC2" w:rsidP="00A83D07">
            <w:pPr>
              <w:keepNext/>
              <w:keepLines/>
              <w:tabs>
                <w:tab w:val="left" w:pos="1740"/>
              </w:tabs>
              <w:rPr>
                <w:rFonts w:eastAsiaTheme="minorEastAsia"/>
                <w:sz w:val="16"/>
                <w:szCs w:val="16"/>
              </w:rPr>
            </w:pPr>
            <w:r w:rsidRPr="00F076D7">
              <w:rPr>
                <w:rFonts w:eastAsiaTheme="minorEastAsia"/>
                <w:b/>
                <w:sz w:val="16"/>
                <w:szCs w:val="16"/>
              </w:rPr>
              <w:t>RÉSULTAT </w:t>
            </w:r>
            <w:r>
              <w:rPr>
                <w:rFonts w:eastAsiaTheme="minorEastAsia"/>
                <w:b/>
                <w:sz w:val="16"/>
                <w:szCs w:val="16"/>
              </w:rPr>
              <w:t xml:space="preserve">: </w:t>
            </w:r>
            <w:r w:rsidRPr="00F076D7">
              <w:rPr>
                <w:rFonts w:eastAsiaTheme="minorEastAsia"/>
                <w:sz w:val="16"/>
                <w:szCs w:val="16"/>
              </w:rPr>
              <w:t>III.6 Renforcement des capacités des PME s’agissant de mettre la propriété intellectuelle au service de l’innovation</w:t>
            </w:r>
          </w:p>
        </w:tc>
      </w:tr>
      <w:tr w:rsidR="00767EC2" w:rsidRPr="00F076D7" w14:paraId="65054948" w14:textId="77777777" w:rsidTr="00A83D07">
        <w:trPr>
          <w:cantSplit/>
        </w:trPr>
        <w:tc>
          <w:tcPr>
            <w:tcW w:w="1785" w:type="dxa"/>
            <w:vAlign w:val="center"/>
          </w:tcPr>
          <w:p w14:paraId="6E18990D"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336" w:type="dxa"/>
            <w:gridSpan w:val="3"/>
            <w:vAlign w:val="center"/>
          </w:tcPr>
          <w:p w14:paraId="40B46BE7"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698" w:type="dxa"/>
            <w:gridSpan w:val="2"/>
            <w:vAlign w:val="center"/>
          </w:tcPr>
          <w:p w14:paraId="649C5136"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hôte/bénéficiaires</w:t>
            </w:r>
          </w:p>
        </w:tc>
        <w:tc>
          <w:tcPr>
            <w:tcW w:w="4253" w:type="dxa"/>
            <w:vAlign w:val="center"/>
          </w:tcPr>
          <w:p w14:paraId="5BE46BB8"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1A012D03" w14:textId="77777777" w:rsidTr="00A83D07">
        <w:tblPrEx>
          <w:tblLook w:val="04A0" w:firstRow="1" w:lastRow="0" w:firstColumn="1" w:lastColumn="0" w:noHBand="0" w:noVBand="1"/>
        </w:tblPrEx>
        <w:trPr>
          <w:cantSplit/>
        </w:trPr>
        <w:tc>
          <w:tcPr>
            <w:tcW w:w="1785" w:type="dxa"/>
          </w:tcPr>
          <w:p w14:paraId="16D94E6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Initiatives en ce qui concerne la base de données </w:t>
            </w:r>
            <w:r w:rsidRPr="00F076D7">
              <w:rPr>
                <w:rFonts w:eastAsiaTheme="minorEastAsia"/>
                <w:i/>
                <w:sz w:val="16"/>
                <w:szCs w:val="16"/>
                <w:lang w:eastAsia="ja-JP"/>
              </w:rPr>
              <w:t>IP </w:t>
            </w:r>
            <w:proofErr w:type="spellStart"/>
            <w:r w:rsidRPr="00F076D7">
              <w:rPr>
                <w:rFonts w:eastAsiaTheme="minorEastAsia"/>
                <w:i/>
                <w:sz w:val="16"/>
                <w:szCs w:val="16"/>
                <w:lang w:eastAsia="ja-JP"/>
              </w:rPr>
              <w:t>Advantage</w:t>
            </w:r>
            <w:proofErr w:type="spellEnd"/>
          </w:p>
        </w:tc>
        <w:tc>
          <w:tcPr>
            <w:tcW w:w="1336" w:type="dxa"/>
            <w:gridSpan w:val="3"/>
          </w:tcPr>
          <w:p w14:paraId="29A0EFC7"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Janvier – décembre 2016</w:t>
            </w:r>
          </w:p>
        </w:tc>
        <w:tc>
          <w:tcPr>
            <w:tcW w:w="1698" w:type="dxa"/>
            <w:gridSpan w:val="2"/>
          </w:tcPr>
          <w:p w14:paraId="1E1B6788"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Bureau de l’OMPI au Japon et siège de l’Organisation/Tous les pays</w:t>
            </w:r>
          </w:p>
        </w:tc>
        <w:tc>
          <w:tcPr>
            <w:tcW w:w="4253" w:type="dxa"/>
          </w:tcPr>
          <w:p w14:paraId="1C5F95C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Quatre nouvelles études de cas ont été ajoutées dans la base de données </w:t>
            </w:r>
            <w:r w:rsidRPr="00F076D7">
              <w:rPr>
                <w:rFonts w:eastAsiaTheme="minorEastAsia"/>
                <w:i/>
                <w:sz w:val="16"/>
                <w:szCs w:val="16"/>
                <w:lang w:eastAsia="ja-JP"/>
              </w:rPr>
              <w:t>IP </w:t>
            </w:r>
            <w:proofErr w:type="spellStart"/>
            <w:r w:rsidRPr="00F076D7">
              <w:rPr>
                <w:rFonts w:eastAsiaTheme="minorEastAsia"/>
                <w:i/>
                <w:sz w:val="16"/>
                <w:szCs w:val="16"/>
                <w:lang w:eastAsia="ja-JP"/>
              </w:rPr>
              <w:t>Advantage</w:t>
            </w:r>
            <w:proofErr w:type="spellEnd"/>
            <w:r w:rsidRPr="00F076D7">
              <w:rPr>
                <w:rFonts w:eastAsiaTheme="minorEastAsia"/>
                <w:sz w:val="16"/>
                <w:szCs w:val="16"/>
                <w:lang w:eastAsia="ja-JP"/>
              </w:rPr>
              <w:t xml:space="preserve"> par le Bureau de l’OMPI au Japon, et quatre clips vidéo visant à améliorer la compréhension de l’utilisation du système de propriété intellectuelle pour l’innovation ont été créés par la Division de la communication et le Bureau de l’OMPI au Japon.</w:t>
            </w:r>
          </w:p>
        </w:tc>
      </w:tr>
      <w:tr w:rsidR="00767EC2" w:rsidRPr="00F076D7" w14:paraId="4244C639" w14:textId="77777777" w:rsidTr="00A83D07">
        <w:trPr>
          <w:cantSplit/>
        </w:trPr>
        <w:tc>
          <w:tcPr>
            <w:tcW w:w="9072" w:type="dxa"/>
            <w:gridSpan w:val="7"/>
            <w:shd w:val="clear" w:color="auto" w:fill="C6D9F1" w:themeFill="text2" w:themeFillTint="33"/>
          </w:tcPr>
          <w:p w14:paraId="3A289765" w14:textId="77777777" w:rsidR="00767EC2" w:rsidRPr="00F076D7" w:rsidRDefault="00767EC2" w:rsidP="00A83D07">
            <w:pPr>
              <w:keepNext/>
              <w:keepLines/>
              <w:tabs>
                <w:tab w:val="left" w:pos="1740"/>
              </w:tabs>
              <w:rPr>
                <w:rFonts w:eastAsiaTheme="minorEastAsia"/>
                <w:sz w:val="16"/>
                <w:szCs w:val="16"/>
              </w:rPr>
            </w:pPr>
            <w:r w:rsidRPr="00F076D7">
              <w:rPr>
                <w:rFonts w:eastAsiaTheme="minorEastAsia"/>
                <w:b/>
                <w:sz w:val="16"/>
                <w:szCs w:val="16"/>
              </w:rPr>
              <w:t>RÉSULTAT</w:t>
            </w:r>
            <w:r w:rsidRPr="00F076D7">
              <w:rPr>
                <w:rFonts w:eastAsiaTheme="minorEastAsia"/>
                <w:sz w:val="16"/>
                <w:szCs w:val="16"/>
              </w:rPr>
              <w:t> </w:t>
            </w:r>
            <w:r>
              <w:rPr>
                <w:rFonts w:eastAsiaTheme="minorEastAsia"/>
                <w:sz w:val="16"/>
                <w:szCs w:val="16"/>
              </w:rPr>
              <w:t xml:space="preserve">: </w:t>
            </w:r>
            <w:r w:rsidRPr="00F076D7">
              <w:rPr>
                <w:rFonts w:eastAsiaTheme="minorEastAsia"/>
                <w:sz w:val="16"/>
                <w:szCs w:val="16"/>
              </w:rPr>
              <w:t>IV.2 Amélioration de l’accessibilité et de l’utilisation de l’information en matière de propriété intellectuelle par les institutions compétentes et le public afin de promouvoir l’innovation et la créativité</w:t>
            </w:r>
          </w:p>
        </w:tc>
      </w:tr>
      <w:tr w:rsidR="00767EC2" w:rsidRPr="00F076D7" w14:paraId="7788FE85" w14:textId="77777777" w:rsidTr="00A83D07">
        <w:trPr>
          <w:cantSplit/>
        </w:trPr>
        <w:tc>
          <w:tcPr>
            <w:tcW w:w="1785" w:type="dxa"/>
            <w:vAlign w:val="center"/>
          </w:tcPr>
          <w:p w14:paraId="63754BF3"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336" w:type="dxa"/>
            <w:gridSpan w:val="3"/>
            <w:vAlign w:val="center"/>
          </w:tcPr>
          <w:p w14:paraId="25EFA1EA"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698" w:type="dxa"/>
            <w:gridSpan w:val="2"/>
            <w:vAlign w:val="center"/>
          </w:tcPr>
          <w:p w14:paraId="7523526A"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hôte/bénéficiaires</w:t>
            </w:r>
          </w:p>
        </w:tc>
        <w:tc>
          <w:tcPr>
            <w:tcW w:w="4253" w:type="dxa"/>
            <w:vAlign w:val="center"/>
          </w:tcPr>
          <w:p w14:paraId="671DA67D"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34E07933" w14:textId="77777777" w:rsidTr="00A83D07">
        <w:tblPrEx>
          <w:tblLook w:val="04A0" w:firstRow="1" w:lastRow="0" w:firstColumn="1" w:lastColumn="0" w:noHBand="0" w:noVBand="1"/>
        </w:tblPrEx>
        <w:trPr>
          <w:cantSplit/>
        </w:trPr>
        <w:tc>
          <w:tcPr>
            <w:tcW w:w="1785" w:type="dxa"/>
          </w:tcPr>
          <w:p w14:paraId="5D9930D9" w14:textId="77777777" w:rsidR="00767EC2" w:rsidRPr="00F076D7" w:rsidRDefault="00767EC2" w:rsidP="00A83D07">
            <w:pPr>
              <w:keepNext/>
              <w:keepLines/>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Création d’un environnement propice à la propriété intellectuelle aux fins de renforcement des capacités en matière d’innovation et de créativité</w:t>
            </w:r>
          </w:p>
        </w:tc>
        <w:tc>
          <w:tcPr>
            <w:tcW w:w="1336" w:type="dxa"/>
            <w:gridSpan w:val="3"/>
          </w:tcPr>
          <w:p w14:paraId="58F3CA53" w14:textId="77777777" w:rsidR="00767EC2" w:rsidRPr="00F076D7" w:rsidRDefault="00767EC2" w:rsidP="00A83D07">
            <w:pPr>
              <w:keepNext/>
              <w:keepLines/>
              <w:autoSpaceDE w:val="0"/>
              <w:autoSpaceDN w:val="0"/>
              <w:adjustRightInd w:val="0"/>
              <w:rPr>
                <w:rFonts w:eastAsiaTheme="minorEastAsia"/>
                <w:sz w:val="16"/>
                <w:szCs w:val="16"/>
                <w:lang w:eastAsia="ja-JP"/>
              </w:rPr>
            </w:pPr>
            <w:r w:rsidRPr="00F076D7">
              <w:rPr>
                <w:rFonts w:eastAsiaTheme="minorEastAsia"/>
                <w:sz w:val="16"/>
                <w:szCs w:val="16"/>
                <w:lang w:eastAsia="ja-JP"/>
              </w:rPr>
              <w:t>Février – décembre 2016</w:t>
            </w:r>
          </w:p>
        </w:tc>
        <w:tc>
          <w:tcPr>
            <w:tcW w:w="1698" w:type="dxa"/>
            <w:gridSpan w:val="2"/>
          </w:tcPr>
          <w:p w14:paraId="1BA5B5A9" w14:textId="77777777" w:rsidR="00767EC2" w:rsidRPr="00F076D7" w:rsidRDefault="00767EC2" w:rsidP="00A83D07">
            <w:pPr>
              <w:keepNext/>
              <w:keepLines/>
              <w:autoSpaceDE w:val="0"/>
              <w:autoSpaceDN w:val="0"/>
              <w:adjustRightInd w:val="0"/>
              <w:rPr>
                <w:rFonts w:eastAsiaTheme="minorEastAsia"/>
                <w:sz w:val="16"/>
                <w:szCs w:val="16"/>
                <w:lang w:eastAsia="ja-JP"/>
              </w:rPr>
            </w:pPr>
            <w:r w:rsidRPr="00F076D7">
              <w:rPr>
                <w:rFonts w:eastAsiaTheme="minorEastAsia"/>
                <w:sz w:val="16"/>
                <w:szCs w:val="16"/>
                <w:lang w:eastAsia="ja-JP"/>
              </w:rPr>
              <w:t>Malaisie, Philippines, Thaïlande, Sri Lanka</w:t>
            </w:r>
          </w:p>
        </w:tc>
        <w:tc>
          <w:tcPr>
            <w:tcW w:w="4253" w:type="dxa"/>
          </w:tcPr>
          <w:p w14:paraId="3F36D043" w14:textId="77777777" w:rsidR="00767EC2" w:rsidRPr="00F076D7" w:rsidRDefault="00767EC2" w:rsidP="00A83D07">
            <w:pPr>
              <w:keepNext/>
              <w:keepLines/>
              <w:tabs>
                <w:tab w:val="left" w:pos="0"/>
                <w:tab w:val="left" w:pos="335"/>
              </w:tabs>
              <w:rPr>
                <w:rFonts w:eastAsiaTheme="minorEastAsia"/>
                <w:sz w:val="16"/>
                <w:szCs w:val="16"/>
                <w:highlight w:val="cyan"/>
                <w:lang w:eastAsia="ja-JP"/>
              </w:rPr>
            </w:pPr>
            <w:r w:rsidRPr="00F076D7">
              <w:rPr>
                <w:rFonts w:eastAsiaTheme="minorEastAsia"/>
                <w:sz w:val="16"/>
                <w:szCs w:val="16"/>
                <w:lang w:eastAsia="ja-JP"/>
              </w:rPr>
              <w:t>i) Améliorer la compréhension des capacités existantes et potentielles des institutions des Philippines et de la Thaïlande s’agissant de mettre en place une veille technologique, de se lancer dans l’innovation technologique ainsi que d’absorber, d’adapter et de commercialiser les technologies;  ii) identifier les institutions des pays bénéficiaires, qui pourraient faire partie de l’environnement propice à la propriété intellectuelle aux fins de progrès technologique et d’autres initiatives connexes;  iii) accroître l’intérêt des participants à former des communautés en réseau aux fins de progrès technologique et d’autres initiatives connexes;  iv) débattre d’une stratégie appropriée et d’une voie possible avec les parties prenantes nationales permettant de créer un environnement propice à la propriété intellectuelle qui tienne compte des structures, des systèmes et du contexte nationaux.</w:t>
            </w:r>
          </w:p>
        </w:tc>
      </w:tr>
      <w:tr w:rsidR="00767EC2" w:rsidRPr="00F076D7" w14:paraId="3E80D9D2" w14:textId="77777777" w:rsidTr="00A83D07">
        <w:tblPrEx>
          <w:tblLook w:val="04A0" w:firstRow="1" w:lastRow="0" w:firstColumn="1" w:lastColumn="0" w:noHBand="0" w:noVBand="1"/>
        </w:tblPrEx>
        <w:trPr>
          <w:cantSplit/>
        </w:trPr>
        <w:tc>
          <w:tcPr>
            <w:tcW w:w="1785" w:type="dxa"/>
          </w:tcPr>
          <w:p w14:paraId="229671B8"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Mise à disposition de matériel de référence en matière de propriété intellectuelle</w:t>
            </w:r>
          </w:p>
        </w:tc>
        <w:tc>
          <w:tcPr>
            <w:tcW w:w="1336" w:type="dxa"/>
            <w:gridSpan w:val="3"/>
          </w:tcPr>
          <w:p w14:paraId="009571AB"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3 et 4 mars 2016</w:t>
            </w:r>
          </w:p>
        </w:tc>
        <w:tc>
          <w:tcPr>
            <w:tcW w:w="1698" w:type="dxa"/>
            <w:gridSpan w:val="2"/>
          </w:tcPr>
          <w:p w14:paraId="00366E17" w14:textId="77777777" w:rsidR="00767EC2" w:rsidRPr="001E3776" w:rsidRDefault="00767EC2" w:rsidP="00A83D07">
            <w:pPr>
              <w:autoSpaceDE w:val="0"/>
              <w:autoSpaceDN w:val="0"/>
              <w:adjustRightInd w:val="0"/>
              <w:rPr>
                <w:rFonts w:eastAsiaTheme="minorEastAsia"/>
                <w:sz w:val="16"/>
                <w:szCs w:val="16"/>
                <w:lang w:val="en-US" w:eastAsia="ja-JP"/>
              </w:rPr>
            </w:pPr>
            <w:r w:rsidRPr="001E3776">
              <w:rPr>
                <w:rFonts w:eastAsiaTheme="minorEastAsia"/>
                <w:sz w:val="16"/>
                <w:szCs w:val="16"/>
                <w:lang w:val="en-US" w:eastAsia="ja-JP"/>
              </w:rPr>
              <w:t xml:space="preserve">Philippines/ Philippines, Viet Nam, </w:t>
            </w:r>
            <w:proofErr w:type="spellStart"/>
            <w:r w:rsidRPr="001E3776">
              <w:rPr>
                <w:rFonts w:eastAsiaTheme="minorEastAsia"/>
                <w:sz w:val="16"/>
                <w:szCs w:val="16"/>
                <w:lang w:val="en-US" w:eastAsia="ja-JP"/>
              </w:rPr>
              <w:t>Thaïlande</w:t>
            </w:r>
            <w:proofErr w:type="spellEnd"/>
          </w:p>
        </w:tc>
        <w:tc>
          <w:tcPr>
            <w:tcW w:w="4253" w:type="dxa"/>
          </w:tcPr>
          <w:p w14:paraId="432A07FA"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Vingt</w:t>
            </w:r>
            <w:r w:rsidRPr="00F076D7">
              <w:rPr>
                <w:rFonts w:eastAsiaTheme="minorEastAsia"/>
                <w:sz w:val="16"/>
                <w:szCs w:val="16"/>
                <w:lang w:eastAsia="ja-JP"/>
              </w:rPr>
              <w:noBreakHyphen/>
              <w:t>cinq manuels sur la propriété intellectuelle ont été remis aux participants à l’Atelier régional sur la gestion de la propriété intellectuelle autour du programme WIPO </w:t>
            </w:r>
            <w:proofErr w:type="spellStart"/>
            <w:r w:rsidRPr="00F076D7">
              <w:rPr>
                <w:rFonts w:eastAsiaTheme="minorEastAsia"/>
                <w:sz w:val="16"/>
                <w:szCs w:val="16"/>
                <w:lang w:eastAsia="ja-JP"/>
              </w:rPr>
              <w:t>Re:Search</w:t>
            </w:r>
            <w:proofErr w:type="spellEnd"/>
            <w:r w:rsidRPr="00F076D7">
              <w:rPr>
                <w:rFonts w:eastAsiaTheme="minorEastAsia"/>
                <w:sz w:val="16"/>
                <w:szCs w:val="16"/>
                <w:lang w:eastAsia="ja-JP"/>
              </w:rPr>
              <w:t xml:space="preserve"> et de la base de données WIPO GREEN à des fins de renforcement des acquis sur la gestion de la propriété intellectuelle et de mise à disposition des participants de matériel de référence pertinent en matière de propriété intellectuelle qu’ils pourront exploiter après la formation.</w:t>
            </w:r>
          </w:p>
        </w:tc>
      </w:tr>
      <w:tr w:rsidR="00767EC2" w:rsidRPr="00F076D7" w14:paraId="305A22AE" w14:textId="77777777" w:rsidTr="00A83D07">
        <w:tblPrEx>
          <w:tblLook w:val="04A0" w:firstRow="1" w:lastRow="0" w:firstColumn="1" w:lastColumn="0" w:noHBand="0" w:noVBand="1"/>
        </w:tblPrEx>
        <w:trPr>
          <w:cantSplit/>
        </w:trPr>
        <w:tc>
          <w:tcPr>
            <w:tcW w:w="1785" w:type="dxa"/>
          </w:tcPr>
          <w:p w14:paraId="7031331D"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Visite d’étude à l’Office de propriété intellectuelle des Philippines et à certains bureaux d’appui à l’innovation et à la technologie à Manille</w:t>
            </w:r>
          </w:p>
        </w:tc>
        <w:tc>
          <w:tcPr>
            <w:tcW w:w="1336" w:type="dxa"/>
            <w:gridSpan w:val="3"/>
          </w:tcPr>
          <w:p w14:paraId="2A82D9F8"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25 – 29 juillet 2016</w:t>
            </w:r>
          </w:p>
        </w:tc>
        <w:tc>
          <w:tcPr>
            <w:tcW w:w="1698" w:type="dxa"/>
            <w:gridSpan w:val="2"/>
          </w:tcPr>
          <w:p w14:paraId="78F0D14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Philippines/ Bangladesh, Bhoutan, Inde, Népal, Mongolie, Pakistan, Sri Lanka</w:t>
            </w:r>
          </w:p>
        </w:tc>
        <w:tc>
          <w:tcPr>
            <w:tcW w:w="4253" w:type="dxa"/>
          </w:tcPr>
          <w:p w14:paraId="4999E7B0"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Contribuer aux services efficaces d’appui à l’innovation, notamment à l’utilisation et à l’exploitation des bases de données sur la technologie en développant l’expérience du personnel en matière de promotion et de gestion des centres d’appui à la technologie et à l’innovation (CATI).</w:t>
            </w:r>
          </w:p>
        </w:tc>
      </w:tr>
      <w:tr w:rsidR="00767EC2" w:rsidRPr="00F076D7" w14:paraId="2115FB71" w14:textId="77777777" w:rsidTr="00A83D07">
        <w:tblPrEx>
          <w:tblLook w:val="04A0" w:firstRow="1" w:lastRow="0" w:firstColumn="1" w:lastColumn="0" w:noHBand="0" w:noVBand="1"/>
        </w:tblPrEx>
        <w:trPr>
          <w:cantSplit/>
        </w:trPr>
        <w:tc>
          <w:tcPr>
            <w:tcW w:w="1785" w:type="dxa"/>
          </w:tcPr>
          <w:p w14:paraId="0CF13B97"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Renforcement des compétences en matière de rédaction de demandes de brevet aux fins d’appui efficace à l’innovation</w:t>
            </w:r>
          </w:p>
        </w:tc>
        <w:tc>
          <w:tcPr>
            <w:tcW w:w="1336" w:type="dxa"/>
            <w:gridSpan w:val="3"/>
          </w:tcPr>
          <w:p w14:paraId="1D87C32F"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22 – 26 août 2016</w:t>
            </w:r>
          </w:p>
          <w:p w14:paraId="7C57A5CE"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21 – 25 novembre 2016</w:t>
            </w:r>
          </w:p>
        </w:tc>
        <w:tc>
          <w:tcPr>
            <w:tcW w:w="1698" w:type="dxa"/>
            <w:gridSpan w:val="2"/>
          </w:tcPr>
          <w:p w14:paraId="4980D7D5"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Thaïlande</w:t>
            </w:r>
          </w:p>
          <w:p w14:paraId="6EE4D3ED" w14:textId="77777777" w:rsidR="00767EC2" w:rsidRPr="00F076D7" w:rsidRDefault="00767EC2" w:rsidP="00A83D07">
            <w:pPr>
              <w:autoSpaceDE w:val="0"/>
              <w:autoSpaceDN w:val="0"/>
              <w:adjustRightInd w:val="0"/>
              <w:rPr>
                <w:rFonts w:eastAsiaTheme="minorEastAsia"/>
                <w:sz w:val="16"/>
                <w:szCs w:val="16"/>
                <w:lang w:eastAsia="ja-JP"/>
              </w:rPr>
            </w:pPr>
          </w:p>
          <w:p w14:paraId="5BA32B3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Philippines </w:t>
            </w:r>
          </w:p>
        </w:tc>
        <w:tc>
          <w:tcPr>
            <w:tcW w:w="4253" w:type="dxa"/>
          </w:tcPr>
          <w:p w14:paraId="1DBE1AC7"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Accroître les compétences du personnel de certaines institutions de la Thaïlande et des Philippines en matière de rédaction de demandes de brevet.</w:t>
            </w:r>
          </w:p>
        </w:tc>
      </w:tr>
      <w:tr w:rsidR="00767EC2" w:rsidRPr="00F076D7" w14:paraId="691FD0CC" w14:textId="77777777" w:rsidTr="00A83D07">
        <w:tblPrEx>
          <w:tblLook w:val="04A0" w:firstRow="1" w:lastRow="0" w:firstColumn="1" w:lastColumn="0" w:noHBand="0" w:noVBand="1"/>
        </w:tblPrEx>
        <w:trPr>
          <w:cantSplit/>
        </w:trPr>
        <w:tc>
          <w:tcPr>
            <w:tcW w:w="1785" w:type="dxa"/>
          </w:tcPr>
          <w:p w14:paraId="635BEBE6"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Atelier régional sur l’analyse des brevets</w:t>
            </w:r>
          </w:p>
        </w:tc>
        <w:tc>
          <w:tcPr>
            <w:tcW w:w="1336" w:type="dxa"/>
            <w:gridSpan w:val="3"/>
          </w:tcPr>
          <w:p w14:paraId="5875CC31"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27 – 29 septembre 2016</w:t>
            </w:r>
          </w:p>
        </w:tc>
        <w:tc>
          <w:tcPr>
            <w:tcW w:w="1698" w:type="dxa"/>
            <w:gridSpan w:val="2"/>
          </w:tcPr>
          <w:p w14:paraId="3A275462"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Malaisie/ 11 participants des pays suivants : Indonésie, Malaisie, Philippines, Singapour, Thaïlande, Viet Nam</w:t>
            </w:r>
          </w:p>
        </w:tc>
        <w:tc>
          <w:tcPr>
            <w:tcW w:w="4253" w:type="dxa"/>
          </w:tcPr>
          <w:p w14:paraId="11DD129D" w14:textId="77777777" w:rsidR="00767EC2" w:rsidRPr="00F076D7" w:rsidRDefault="00767EC2" w:rsidP="00A83D07">
            <w:pPr>
              <w:rPr>
                <w:rFonts w:eastAsiaTheme="minorEastAsia"/>
                <w:sz w:val="16"/>
                <w:szCs w:val="16"/>
                <w:highlight w:val="cyan"/>
                <w:lang w:eastAsia="ja-JP"/>
              </w:rPr>
            </w:pPr>
            <w:r w:rsidRPr="00F076D7">
              <w:rPr>
                <w:rFonts w:eastAsiaTheme="minorEastAsia"/>
                <w:sz w:val="16"/>
                <w:szCs w:val="16"/>
                <w:lang w:eastAsia="ja-JP"/>
              </w:rPr>
              <w:t>Être capable d’utiliser efficacement les principes directeurs de l’OMPI pour la rédaction des rapports panoramiques sur les brevets ainsi que le manuel de l’OMPI sur l’utilisation de logiciels gratuits à code source ouvert pour la rédaction des rapports panoramiques sur les brevets.</w:t>
            </w:r>
          </w:p>
        </w:tc>
      </w:tr>
      <w:tr w:rsidR="00767EC2" w:rsidRPr="00F076D7" w14:paraId="39A1F304" w14:textId="77777777" w:rsidTr="00A83D07">
        <w:tblPrEx>
          <w:tblLook w:val="04A0" w:firstRow="1" w:lastRow="0" w:firstColumn="1" w:lastColumn="0" w:noHBand="0" w:noVBand="1"/>
        </w:tblPrEx>
        <w:trPr>
          <w:cantSplit/>
        </w:trPr>
        <w:tc>
          <w:tcPr>
            <w:tcW w:w="1785" w:type="dxa"/>
          </w:tcPr>
          <w:p w14:paraId="049A120E"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Atelier régional sur la diffusion et l’utilisation efficace des informations en matière de brevets</w:t>
            </w:r>
          </w:p>
        </w:tc>
        <w:tc>
          <w:tcPr>
            <w:tcW w:w="1336" w:type="dxa"/>
            <w:gridSpan w:val="3"/>
          </w:tcPr>
          <w:p w14:paraId="25B364CD"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6 et 7 décembre 2016</w:t>
            </w:r>
          </w:p>
        </w:tc>
        <w:tc>
          <w:tcPr>
            <w:tcW w:w="1698" w:type="dxa"/>
            <w:gridSpan w:val="2"/>
          </w:tcPr>
          <w:p w14:paraId="6E2ECB69"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Japon/ 14 participants des pays suivants : Brésil, Inde, Indonésie, Philippines, Malaisie, Thaïlande, Viet Nam</w:t>
            </w:r>
          </w:p>
        </w:tc>
        <w:tc>
          <w:tcPr>
            <w:tcW w:w="4253" w:type="dxa"/>
          </w:tcPr>
          <w:p w14:paraId="143E6B2A" w14:textId="77777777" w:rsidR="00767EC2" w:rsidRPr="00F076D7" w:rsidRDefault="00767EC2" w:rsidP="00A83D07">
            <w:pPr>
              <w:autoSpaceDE w:val="0"/>
              <w:autoSpaceDN w:val="0"/>
              <w:adjustRightInd w:val="0"/>
              <w:rPr>
                <w:rFonts w:eastAsiaTheme="minorEastAsia"/>
                <w:sz w:val="16"/>
                <w:szCs w:val="16"/>
                <w:highlight w:val="cyan"/>
                <w:lang w:eastAsia="ja-JP"/>
              </w:rPr>
            </w:pPr>
            <w:r w:rsidRPr="00F076D7">
              <w:rPr>
                <w:rFonts w:eastAsiaTheme="minorEastAsia"/>
                <w:sz w:val="16"/>
                <w:szCs w:val="16"/>
                <w:lang w:eastAsia="ja-JP"/>
              </w:rPr>
              <w:t>i) Accroître le volume d’informations / de données en matière de brevets diffusées par les offices de propriété intellectuelle à la fois au niveau national et à l’étranger;  ii) impliquer davantage d’offices de propriété intellectuelle dans l’échange d’informations numérisées en matière de brevets.</w:t>
            </w:r>
          </w:p>
        </w:tc>
      </w:tr>
      <w:tr w:rsidR="00767EC2" w:rsidRPr="00F076D7" w14:paraId="0800EA6F" w14:textId="77777777" w:rsidTr="00A83D07">
        <w:trPr>
          <w:cantSplit/>
        </w:trPr>
        <w:tc>
          <w:tcPr>
            <w:tcW w:w="9072" w:type="dxa"/>
            <w:gridSpan w:val="7"/>
            <w:shd w:val="clear" w:color="auto" w:fill="C6D9F1" w:themeFill="text2" w:themeFillTint="33"/>
          </w:tcPr>
          <w:p w14:paraId="14F4A23E" w14:textId="77777777" w:rsidR="00767EC2" w:rsidRPr="00F076D7" w:rsidRDefault="00767EC2" w:rsidP="00A83D07">
            <w:pPr>
              <w:keepNext/>
              <w:keepLines/>
              <w:tabs>
                <w:tab w:val="left" w:pos="1740"/>
              </w:tabs>
              <w:rPr>
                <w:rFonts w:eastAsiaTheme="minorEastAsia"/>
                <w:sz w:val="16"/>
                <w:szCs w:val="16"/>
              </w:rPr>
            </w:pPr>
            <w:r w:rsidRPr="00F076D7">
              <w:rPr>
                <w:rFonts w:eastAsiaTheme="minorEastAsia"/>
                <w:b/>
                <w:sz w:val="16"/>
                <w:szCs w:val="16"/>
              </w:rPr>
              <w:t>RÉSULTAT</w:t>
            </w:r>
            <w:r w:rsidRPr="00F076D7">
              <w:rPr>
                <w:rFonts w:eastAsiaTheme="minorEastAsia"/>
                <w:sz w:val="16"/>
                <w:szCs w:val="16"/>
              </w:rPr>
              <w:t> </w:t>
            </w:r>
            <w:r>
              <w:rPr>
                <w:rFonts w:eastAsiaTheme="minorEastAsia"/>
                <w:sz w:val="16"/>
                <w:szCs w:val="16"/>
              </w:rPr>
              <w:t xml:space="preserve">: </w:t>
            </w:r>
            <w:r w:rsidRPr="00F076D7">
              <w:rPr>
                <w:rFonts w:eastAsiaTheme="minorEastAsia"/>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r>
      <w:tr w:rsidR="00767EC2" w:rsidRPr="00F076D7" w14:paraId="470837FD" w14:textId="77777777" w:rsidTr="00A83D07">
        <w:trPr>
          <w:cantSplit/>
        </w:trPr>
        <w:tc>
          <w:tcPr>
            <w:tcW w:w="1785" w:type="dxa"/>
            <w:vAlign w:val="center"/>
          </w:tcPr>
          <w:p w14:paraId="262E69DC"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336" w:type="dxa"/>
            <w:gridSpan w:val="3"/>
            <w:vAlign w:val="center"/>
          </w:tcPr>
          <w:p w14:paraId="5D9FE5FA"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698" w:type="dxa"/>
            <w:gridSpan w:val="2"/>
            <w:vAlign w:val="center"/>
          </w:tcPr>
          <w:p w14:paraId="5A46857B"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 bénéficiaires</w:t>
            </w:r>
          </w:p>
        </w:tc>
        <w:tc>
          <w:tcPr>
            <w:tcW w:w="4253" w:type="dxa"/>
            <w:vAlign w:val="center"/>
          </w:tcPr>
          <w:p w14:paraId="5E7B9B78"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5D5B6A59" w14:textId="77777777" w:rsidTr="00A83D07">
        <w:tblPrEx>
          <w:tblLook w:val="04A0" w:firstRow="1" w:lastRow="0" w:firstColumn="1" w:lastColumn="0" w:noHBand="0" w:noVBand="1"/>
        </w:tblPrEx>
        <w:trPr>
          <w:cantSplit/>
        </w:trPr>
        <w:tc>
          <w:tcPr>
            <w:tcW w:w="1785" w:type="dxa"/>
          </w:tcPr>
          <w:p w14:paraId="2158C63F"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Diagnostic des offices de propriété intellectuelle</w:t>
            </w:r>
          </w:p>
        </w:tc>
        <w:tc>
          <w:tcPr>
            <w:tcW w:w="1336" w:type="dxa"/>
            <w:gridSpan w:val="3"/>
          </w:tcPr>
          <w:p w14:paraId="65BA107D"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Mai – décembre 2016</w:t>
            </w:r>
          </w:p>
        </w:tc>
        <w:tc>
          <w:tcPr>
            <w:tcW w:w="1698" w:type="dxa"/>
            <w:gridSpan w:val="2"/>
          </w:tcPr>
          <w:p w14:paraId="2E176EB1"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Thaïlande</w:t>
            </w:r>
          </w:p>
        </w:tc>
        <w:tc>
          <w:tcPr>
            <w:tcW w:w="4253" w:type="dxa"/>
          </w:tcPr>
          <w:p w14:paraId="53FE49A0" w14:textId="77777777" w:rsidR="00767EC2" w:rsidRPr="00F076D7" w:rsidRDefault="00767EC2" w:rsidP="00A83D07">
            <w:pPr>
              <w:tabs>
                <w:tab w:val="left" w:pos="540"/>
                <w:tab w:val="left" w:pos="851"/>
              </w:tabs>
              <w:contextualSpacing/>
              <w:rPr>
                <w:rFonts w:eastAsiaTheme="minorEastAsia" w:cs="Times New Roman"/>
                <w:sz w:val="16"/>
                <w:szCs w:val="16"/>
                <w:highlight w:val="cyan"/>
                <w:lang w:eastAsia="ja-JP"/>
              </w:rPr>
            </w:pPr>
            <w:r w:rsidRPr="00F076D7">
              <w:rPr>
                <w:rFonts w:eastAsiaTheme="minorEastAsia"/>
                <w:sz w:val="16"/>
                <w:szCs w:val="16"/>
              </w:rPr>
              <w:t>Évaluer de manière globale l’environnement juridique, l’infrastructure des ressources, les processus, la compétence organisationnelle et l’efficacité des systèmes d’enregistrement des brevets, des marques et des dessins et modèles administrés par l’office de propriété intellectuelle aux fins d’identification des lacunes et des domaines d’amélioration en vue d’une efficacité et d’une efficience de rayonnement mondial en matière de mise à disposition de services d’enregistrement d’actifs de propriété intellectuelle à la communauté d’utilisateurs locale et mondiale.</w:t>
            </w:r>
          </w:p>
        </w:tc>
      </w:tr>
      <w:tr w:rsidR="00767EC2" w:rsidRPr="00F076D7" w14:paraId="31DDD2B8" w14:textId="77777777" w:rsidTr="00A83D07">
        <w:tblPrEx>
          <w:tblLook w:val="04A0" w:firstRow="1" w:lastRow="0" w:firstColumn="1" w:lastColumn="0" w:noHBand="0" w:noVBand="1"/>
        </w:tblPrEx>
        <w:trPr>
          <w:cantSplit/>
        </w:trPr>
        <w:tc>
          <w:tcPr>
            <w:tcW w:w="1785" w:type="dxa"/>
          </w:tcPr>
          <w:p w14:paraId="170BAF67" w14:textId="77777777" w:rsidR="00767EC2" w:rsidRPr="00F076D7" w:rsidRDefault="00767EC2" w:rsidP="00A83D07">
            <w:pPr>
              <w:tabs>
                <w:tab w:val="left" w:pos="600"/>
              </w:tabs>
              <w:contextualSpacing/>
              <w:rPr>
                <w:rFonts w:eastAsia="Malgun Gothic" w:cs="Times New Roman"/>
                <w:sz w:val="16"/>
                <w:szCs w:val="16"/>
                <w:lang w:eastAsia="ko-KR"/>
              </w:rPr>
            </w:pPr>
            <w:r w:rsidRPr="00F076D7">
              <w:rPr>
                <w:rFonts w:eastAsia="Malgun Gothic" w:cs="Times New Roman"/>
                <w:sz w:val="16"/>
                <w:szCs w:val="16"/>
                <w:lang w:eastAsia="ko-KR"/>
              </w:rPr>
              <w:t>Projet sur le renforcement des infrastructures des offices de propriété intellectuelle de l’ASEAN pour soutenir la coopération régionale en matière de partage du travail sur les brevets</w:t>
            </w:r>
          </w:p>
        </w:tc>
        <w:tc>
          <w:tcPr>
            <w:tcW w:w="1336" w:type="dxa"/>
            <w:gridSpan w:val="3"/>
          </w:tcPr>
          <w:p w14:paraId="3654B871"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Janvier – décembre 2016</w:t>
            </w:r>
            <w:r w:rsidRPr="00F076D7">
              <w:rPr>
                <w:rStyle w:val="FootnoteReference"/>
                <w:rFonts w:eastAsiaTheme="minorEastAsia"/>
                <w:szCs w:val="16"/>
                <w:lang w:eastAsia="ja-JP"/>
              </w:rPr>
              <w:footnoteReference w:id="111"/>
            </w:r>
          </w:p>
          <w:p w14:paraId="6B349F77" w14:textId="77777777" w:rsidR="00767EC2" w:rsidRPr="00F076D7" w:rsidRDefault="00767EC2" w:rsidP="00A83D07">
            <w:pPr>
              <w:autoSpaceDE w:val="0"/>
              <w:autoSpaceDN w:val="0"/>
              <w:adjustRightInd w:val="0"/>
              <w:rPr>
                <w:rFonts w:eastAsiaTheme="minorEastAsia"/>
                <w:sz w:val="16"/>
                <w:szCs w:val="16"/>
                <w:lang w:eastAsia="ja-JP"/>
              </w:rPr>
            </w:pPr>
          </w:p>
          <w:p w14:paraId="5CD67EF5"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(en cours)</w:t>
            </w:r>
          </w:p>
        </w:tc>
        <w:tc>
          <w:tcPr>
            <w:tcW w:w="1698" w:type="dxa"/>
            <w:gridSpan w:val="2"/>
          </w:tcPr>
          <w:p w14:paraId="2BD1580B"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Siège de l’OMPI et Bureau de l’OMPI à Singapour/États membres de l’ASEAN</w:t>
            </w:r>
          </w:p>
        </w:tc>
        <w:tc>
          <w:tcPr>
            <w:tcW w:w="4253" w:type="dxa"/>
          </w:tcPr>
          <w:p w14:paraId="192B6C13" w14:textId="77777777" w:rsidR="00767EC2" w:rsidRPr="00F076D7" w:rsidRDefault="00767EC2" w:rsidP="00A83D07">
            <w:pPr>
              <w:rPr>
                <w:rFonts w:eastAsiaTheme="minorEastAsia"/>
                <w:sz w:val="16"/>
                <w:szCs w:val="16"/>
              </w:rPr>
            </w:pPr>
            <w:r w:rsidRPr="00F076D7">
              <w:rPr>
                <w:rFonts w:eastAsiaTheme="minorEastAsia"/>
                <w:sz w:val="16"/>
                <w:szCs w:val="16"/>
              </w:rPr>
              <w:t>i) Élargir et améliorer le partage des informations sur les dossiers des offices de propriété intellectuelle de l’ASEAN, y compris des résultats de recherches et d’examens relatifs à des brevets, avec d’autres offices de propriété intellectuelle par le biais du système WIPO CASE;  ii) développer des systèmes d’information au niveau régional utilisant efficacement une plateforme logicielle;  iii) fournir l’assistance technique nécessaire aux offices de propriété intellectuelle de l’ASEAN afin d’appuyer le partage des informations sur les dossiers et d’autres informations sur la propriété intellectuelle grâce à la mise à niveau des systèmes de gestion de la propriété intellectuelle.</w:t>
            </w:r>
          </w:p>
        </w:tc>
      </w:tr>
      <w:tr w:rsidR="00767EC2" w:rsidRPr="00F076D7" w14:paraId="40E3C3E5" w14:textId="77777777" w:rsidTr="00A83D07">
        <w:tblPrEx>
          <w:tblLook w:val="04A0" w:firstRow="1" w:lastRow="0" w:firstColumn="1" w:lastColumn="0" w:noHBand="0" w:noVBand="1"/>
        </w:tblPrEx>
        <w:trPr>
          <w:cantSplit/>
        </w:trPr>
        <w:tc>
          <w:tcPr>
            <w:tcW w:w="1785" w:type="dxa"/>
          </w:tcPr>
          <w:p w14:paraId="25E9B111" w14:textId="77777777" w:rsidR="00767EC2" w:rsidRPr="00F076D7" w:rsidRDefault="00767EC2" w:rsidP="00A83D07">
            <w:pPr>
              <w:tabs>
                <w:tab w:val="left" w:pos="600"/>
              </w:tabs>
              <w:contextualSpacing/>
              <w:rPr>
                <w:rFonts w:eastAsiaTheme="minorEastAsia"/>
                <w:sz w:val="16"/>
                <w:szCs w:val="16"/>
                <w:highlight w:val="cyan"/>
                <w:lang w:eastAsia="ja-JP"/>
              </w:rPr>
            </w:pPr>
            <w:r w:rsidRPr="00F076D7">
              <w:rPr>
                <w:rFonts w:eastAsiaTheme="minorEastAsia"/>
                <w:sz w:val="16"/>
                <w:szCs w:val="16"/>
                <w:lang w:eastAsia="ja-JP"/>
              </w:rPr>
              <w:t>Numérisation, gestion des données et optimisation du flux d’opérations</w:t>
            </w:r>
          </w:p>
        </w:tc>
        <w:tc>
          <w:tcPr>
            <w:tcW w:w="1336" w:type="dxa"/>
            <w:gridSpan w:val="3"/>
          </w:tcPr>
          <w:p w14:paraId="113A92F3"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Janvier – décembre 2016</w:t>
            </w:r>
          </w:p>
        </w:tc>
        <w:tc>
          <w:tcPr>
            <w:tcW w:w="1698" w:type="dxa"/>
            <w:gridSpan w:val="2"/>
          </w:tcPr>
          <w:p w14:paraId="0F24297B" w14:textId="77777777" w:rsidR="00767EC2" w:rsidRPr="00F076D7" w:rsidRDefault="00767EC2" w:rsidP="00A83D07">
            <w:pPr>
              <w:autoSpaceDE w:val="0"/>
              <w:autoSpaceDN w:val="0"/>
              <w:adjustRightInd w:val="0"/>
              <w:rPr>
                <w:rFonts w:eastAsiaTheme="minorEastAsia"/>
                <w:sz w:val="16"/>
                <w:szCs w:val="16"/>
              </w:rPr>
            </w:pPr>
            <w:proofErr w:type="spellStart"/>
            <w:r w:rsidRPr="00F076D7">
              <w:rPr>
                <w:rFonts w:eastAsiaTheme="minorEastAsia"/>
                <w:sz w:val="16"/>
                <w:szCs w:val="16"/>
              </w:rPr>
              <w:t>Brunéi</w:t>
            </w:r>
            <w:proofErr w:type="spellEnd"/>
            <w:r w:rsidRPr="00F076D7">
              <w:rPr>
                <w:rFonts w:eastAsiaTheme="minorEastAsia"/>
                <w:sz w:val="16"/>
                <w:szCs w:val="16"/>
              </w:rPr>
              <w:t xml:space="preserve"> Darussalam, Indonésie, Mongolie, Philippines, République démocratique populaire lao, Thaïlande</w:t>
            </w:r>
          </w:p>
        </w:tc>
        <w:tc>
          <w:tcPr>
            <w:tcW w:w="4253" w:type="dxa"/>
          </w:tcPr>
          <w:p w14:paraId="795805CF" w14:textId="77777777" w:rsidR="00767EC2" w:rsidRPr="00F076D7" w:rsidRDefault="00767EC2" w:rsidP="00A83D07">
            <w:pPr>
              <w:rPr>
                <w:rFonts w:eastAsiaTheme="minorEastAsia"/>
                <w:sz w:val="16"/>
                <w:szCs w:val="16"/>
              </w:rPr>
            </w:pPr>
            <w:r w:rsidRPr="00F076D7">
              <w:rPr>
                <w:rFonts w:eastAsiaTheme="minorEastAsia"/>
                <w:sz w:val="16"/>
                <w:szCs w:val="16"/>
              </w:rPr>
              <w:t>Projets de numérisation, de nettoyage des données et d’optimisation du flux d’opérations à l’intention des pays de l’ASEAN aux fins de maximisation de l’accès aux données des offices de propriété intellectuelle et de l’utilisation de ces données.</w:t>
            </w:r>
          </w:p>
        </w:tc>
      </w:tr>
      <w:tr w:rsidR="00767EC2" w:rsidRPr="00F076D7" w14:paraId="48148878" w14:textId="77777777" w:rsidTr="00A83D07">
        <w:trPr>
          <w:cantSplit/>
        </w:trPr>
        <w:tc>
          <w:tcPr>
            <w:tcW w:w="1785" w:type="dxa"/>
          </w:tcPr>
          <w:p w14:paraId="7CDEFF08" w14:textId="77777777" w:rsidR="00767EC2" w:rsidRPr="00F076D7" w:rsidRDefault="00767EC2" w:rsidP="00A83D07">
            <w:pPr>
              <w:tabs>
                <w:tab w:val="left" w:pos="600"/>
              </w:tabs>
              <w:contextualSpacing/>
              <w:rPr>
                <w:rFonts w:eastAsiaTheme="minorEastAsia"/>
                <w:sz w:val="16"/>
                <w:szCs w:val="16"/>
                <w:highlight w:val="cyan"/>
                <w:lang w:eastAsia="ja-JP"/>
              </w:rPr>
            </w:pPr>
            <w:r w:rsidRPr="00F076D7">
              <w:rPr>
                <w:rFonts w:eastAsiaTheme="minorEastAsia"/>
                <w:sz w:val="16"/>
                <w:szCs w:val="16"/>
                <w:lang w:eastAsia="ja-JP"/>
              </w:rPr>
              <w:t>Séminaire de l’OMPI sur la répartition des tâches – Atelier sur l’amélioration des pratiques d’examen des demandes de brevet et de délivrance de brevet grâce à l’exploitation du système WIPO CASE, la Réunion du groupe de travail ASPEC et la Réunion sur la communauté de pratiques à l’intention des examinateurs de brevets</w:t>
            </w:r>
          </w:p>
        </w:tc>
        <w:tc>
          <w:tcPr>
            <w:tcW w:w="1336" w:type="dxa"/>
            <w:gridSpan w:val="3"/>
          </w:tcPr>
          <w:p w14:paraId="11EAC3C1"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29 février – 4 mars 2016</w:t>
            </w:r>
          </w:p>
        </w:tc>
        <w:tc>
          <w:tcPr>
            <w:tcW w:w="1698" w:type="dxa"/>
            <w:gridSpan w:val="2"/>
          </w:tcPr>
          <w:p w14:paraId="76648187"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 xml:space="preserve">Singapour/ États membres de l’ASEAN </w:t>
            </w:r>
          </w:p>
        </w:tc>
        <w:tc>
          <w:tcPr>
            <w:tcW w:w="4253" w:type="dxa"/>
            <w:shd w:val="clear" w:color="auto" w:fill="auto"/>
          </w:tcPr>
          <w:p w14:paraId="08C9FDA6" w14:textId="77777777" w:rsidR="00767EC2" w:rsidRPr="00F076D7" w:rsidRDefault="00767EC2" w:rsidP="00A83D07">
            <w:pPr>
              <w:autoSpaceDE w:val="0"/>
              <w:autoSpaceDN w:val="0"/>
              <w:adjustRightInd w:val="0"/>
              <w:rPr>
                <w:rFonts w:eastAsiaTheme="minorEastAsia" w:cs="Times New Roman"/>
                <w:sz w:val="16"/>
                <w:szCs w:val="16"/>
                <w:highlight w:val="cyan"/>
                <w:lang w:eastAsia="ja-JP"/>
              </w:rPr>
            </w:pPr>
            <w:r w:rsidRPr="00F076D7">
              <w:rPr>
                <w:rFonts w:eastAsiaTheme="minorEastAsia"/>
                <w:sz w:val="16"/>
                <w:szCs w:val="16"/>
              </w:rPr>
              <w:t>i) Faciliter les initiatives régionales de répartition des tâches relatives aux brevets au sein de l’ASEAN par l’exploitation du système WIPO CASE pour faciliter l’accès aux travaux afférents à l’examen des demandes déposées à l’étranger;  ii) analyser les pratiques d’examen des demandes de brevet et de délivrance de brevet de l’ASEAN afin d’améliorer la qualité des systèmes des brevets;  iii) promouvoir l’utilisation du système WIPO CASE et mettre à jour le développement de l’infrastructure technique pour permettre une participation accrue des offices qui sont membres de l’ASEAN;  iv) échanger des informations sur la qualité des brevets et les pratiques d’examen des demandes de brevet des différents offices de propriété intellectuelle afin d’identifier les moyens qui permettraient aux offices de propriété intellectuelle d’améliorer les pratiques de délivrance de brevets;  v) fournir des recommandations, y compris des points appelant une action spécifique, aux fins d’amélioration de l’efficacité des pratiques de délivrance de brevets des membres de l’ASEAN.</w:t>
            </w:r>
          </w:p>
        </w:tc>
      </w:tr>
      <w:tr w:rsidR="00767EC2" w:rsidRPr="00F076D7" w14:paraId="5A371FA4" w14:textId="77777777" w:rsidTr="00A83D07">
        <w:trPr>
          <w:cantSplit/>
        </w:trPr>
        <w:tc>
          <w:tcPr>
            <w:tcW w:w="1785" w:type="dxa"/>
            <w:shd w:val="clear" w:color="auto" w:fill="auto"/>
          </w:tcPr>
          <w:p w14:paraId="56C44227" w14:textId="77777777" w:rsidR="00767EC2" w:rsidRPr="00F076D7" w:rsidRDefault="00767EC2" w:rsidP="00A83D07">
            <w:pPr>
              <w:tabs>
                <w:tab w:val="left" w:pos="600"/>
              </w:tabs>
              <w:contextualSpacing/>
              <w:rPr>
                <w:rFonts w:eastAsia="Malgun Gothic" w:cs="Times New Roman"/>
                <w:sz w:val="16"/>
                <w:szCs w:val="16"/>
                <w:lang w:eastAsia="ko-KR"/>
              </w:rPr>
            </w:pPr>
            <w:r w:rsidRPr="00F076D7">
              <w:rPr>
                <w:rFonts w:eastAsiaTheme="minorEastAsia"/>
                <w:sz w:val="16"/>
                <w:szCs w:val="16"/>
              </w:rPr>
              <w:t>Formation approfondie sur la gestion et le soutien des solutions d’entreprise de l’OMPI</w:t>
            </w:r>
          </w:p>
        </w:tc>
        <w:tc>
          <w:tcPr>
            <w:tcW w:w="1336" w:type="dxa"/>
            <w:gridSpan w:val="3"/>
          </w:tcPr>
          <w:p w14:paraId="422AB4D9"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4 – 8 avril 2016</w:t>
            </w:r>
          </w:p>
        </w:tc>
        <w:tc>
          <w:tcPr>
            <w:tcW w:w="1698" w:type="dxa"/>
            <w:gridSpan w:val="2"/>
          </w:tcPr>
          <w:p w14:paraId="7B68CB22" w14:textId="77777777" w:rsidR="00767EC2" w:rsidRPr="00F076D7" w:rsidRDefault="00767EC2" w:rsidP="00A83D07">
            <w:pPr>
              <w:autoSpaceDE w:val="0"/>
              <w:autoSpaceDN w:val="0"/>
              <w:adjustRightInd w:val="0"/>
              <w:rPr>
                <w:rFonts w:eastAsia="Batang"/>
                <w:snapToGrid w:val="0"/>
                <w:sz w:val="16"/>
                <w:szCs w:val="16"/>
                <w:lang w:eastAsia="ko-KR"/>
              </w:rPr>
            </w:pPr>
            <w:r w:rsidRPr="00F076D7">
              <w:rPr>
                <w:rFonts w:eastAsia="Batang"/>
                <w:snapToGrid w:val="0"/>
                <w:sz w:val="16"/>
                <w:szCs w:val="16"/>
                <w:lang w:eastAsia="ko-KR"/>
              </w:rPr>
              <w:t>Siège de l’OMPI/ Philippines</w:t>
            </w:r>
          </w:p>
        </w:tc>
        <w:tc>
          <w:tcPr>
            <w:tcW w:w="4253" w:type="dxa"/>
          </w:tcPr>
          <w:p w14:paraId="7E45E38A"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Formation approfondie sur la gestion et le soutien des solutions d’entreprise de l’OMPI à l’intention de deux fonctionnaires de l’Office de propriété intellectuelle des Philippines (IPOPHL)</w:t>
            </w:r>
            <w:r w:rsidRPr="00F076D7">
              <w:rPr>
                <w:rFonts w:eastAsiaTheme="minorEastAsia" w:cs="Times New Roman"/>
                <w:sz w:val="16"/>
                <w:szCs w:val="16"/>
              </w:rPr>
              <w:t xml:space="preserve"> </w:t>
            </w:r>
          </w:p>
        </w:tc>
      </w:tr>
      <w:tr w:rsidR="00767EC2" w:rsidRPr="00F076D7" w14:paraId="208DA81B" w14:textId="77777777" w:rsidTr="00A83D07">
        <w:trPr>
          <w:cantSplit/>
        </w:trPr>
        <w:tc>
          <w:tcPr>
            <w:tcW w:w="1785" w:type="dxa"/>
          </w:tcPr>
          <w:p w14:paraId="0FC5AFD2" w14:textId="77777777" w:rsidR="00767EC2" w:rsidRPr="00F076D7" w:rsidRDefault="00767EC2" w:rsidP="00A83D07">
            <w:pPr>
              <w:tabs>
                <w:tab w:val="left" w:pos="600"/>
              </w:tabs>
              <w:contextualSpacing/>
              <w:rPr>
                <w:rFonts w:eastAsia="Malgun Gothic" w:cs="Times New Roman"/>
                <w:sz w:val="16"/>
                <w:szCs w:val="16"/>
                <w:lang w:eastAsia="ko-KR"/>
              </w:rPr>
            </w:pPr>
            <w:r w:rsidRPr="00F076D7">
              <w:rPr>
                <w:rFonts w:eastAsia="Malgun Gothic" w:cs="Times New Roman"/>
                <w:sz w:val="16"/>
                <w:szCs w:val="16"/>
                <w:lang w:eastAsia="ko-KR"/>
              </w:rPr>
              <w:t>Atelier national sur le système WIPO CASE</w:t>
            </w:r>
          </w:p>
        </w:tc>
        <w:tc>
          <w:tcPr>
            <w:tcW w:w="1336" w:type="dxa"/>
            <w:gridSpan w:val="3"/>
          </w:tcPr>
          <w:p w14:paraId="2DF6CB94"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18 et19 avril 2016</w:t>
            </w:r>
          </w:p>
        </w:tc>
        <w:tc>
          <w:tcPr>
            <w:tcW w:w="1698" w:type="dxa"/>
            <w:gridSpan w:val="2"/>
          </w:tcPr>
          <w:p w14:paraId="6FECC0C2" w14:textId="77777777" w:rsidR="00767EC2" w:rsidRPr="00F076D7" w:rsidRDefault="00767EC2" w:rsidP="00A83D07">
            <w:pPr>
              <w:autoSpaceDE w:val="0"/>
              <w:autoSpaceDN w:val="0"/>
              <w:adjustRightInd w:val="0"/>
              <w:rPr>
                <w:rFonts w:eastAsia="Batang"/>
                <w:snapToGrid w:val="0"/>
                <w:sz w:val="16"/>
                <w:szCs w:val="16"/>
                <w:lang w:eastAsia="ko-KR"/>
              </w:rPr>
            </w:pPr>
            <w:r w:rsidRPr="00F076D7">
              <w:rPr>
                <w:rFonts w:eastAsia="Batang"/>
                <w:snapToGrid w:val="0"/>
                <w:sz w:val="16"/>
                <w:szCs w:val="16"/>
                <w:lang w:eastAsia="ko-KR"/>
              </w:rPr>
              <w:t>Philippines/ 100 fonctionnaires de l’IPOPHL, dont notamment des examinateurs de brevets et des examinateurs chargés de l’examen des brevets quant à la forme</w:t>
            </w:r>
          </w:p>
        </w:tc>
        <w:tc>
          <w:tcPr>
            <w:tcW w:w="4253" w:type="dxa"/>
            <w:shd w:val="clear" w:color="auto" w:fill="auto"/>
          </w:tcPr>
          <w:p w14:paraId="68ABC411" w14:textId="77777777" w:rsidR="00767EC2" w:rsidRPr="00F076D7" w:rsidRDefault="00767EC2" w:rsidP="00A83D07">
            <w:pPr>
              <w:autoSpaceDE w:val="0"/>
              <w:autoSpaceDN w:val="0"/>
              <w:adjustRightInd w:val="0"/>
              <w:rPr>
                <w:rFonts w:eastAsiaTheme="minorEastAsia" w:cs="Times New Roman"/>
                <w:sz w:val="16"/>
                <w:szCs w:val="16"/>
                <w:highlight w:val="cyan"/>
              </w:rPr>
            </w:pPr>
            <w:r w:rsidRPr="00F076D7">
              <w:rPr>
                <w:rFonts w:eastAsiaTheme="minorEastAsia"/>
                <w:sz w:val="16"/>
                <w:szCs w:val="16"/>
              </w:rPr>
              <w:t>i) Renforcer les capacités et les compétences techniques des examinateurs de brevets et du personnel administratif de l’IPOPHL quant à l’utilisation du système WIPO CASE;  ii) faire profiter de l’expérience que les examinateurs de brevets ont tirée des utilisateurs actuels du système WIPO CASE quant à la manière de faciliter la répartition des tâches;  iii) dispenser la formation pratique au système WIPO CASE et procéder au transfert de connaissances nécessaire;  iv) créer de nouveaux modules CASE et des plans de développement futur, et chercher à savoir quelles seront les contributions de l’IPOPHL quant aux priorités à venir.</w:t>
            </w:r>
          </w:p>
        </w:tc>
      </w:tr>
      <w:tr w:rsidR="00767EC2" w:rsidRPr="00F076D7" w14:paraId="49A60702" w14:textId="77777777" w:rsidTr="00A83D07">
        <w:trPr>
          <w:cantSplit/>
        </w:trPr>
        <w:tc>
          <w:tcPr>
            <w:tcW w:w="1785" w:type="dxa"/>
          </w:tcPr>
          <w:p w14:paraId="7576C4CF" w14:textId="77777777" w:rsidR="00767EC2" w:rsidRPr="00F076D7" w:rsidRDefault="00767EC2" w:rsidP="00A83D07">
            <w:pPr>
              <w:tabs>
                <w:tab w:val="left" w:pos="600"/>
              </w:tabs>
              <w:contextualSpacing/>
              <w:rPr>
                <w:rFonts w:eastAsia="Malgun Gothic" w:cs="Times New Roman"/>
                <w:sz w:val="16"/>
                <w:szCs w:val="16"/>
                <w:lang w:eastAsia="ko-KR"/>
              </w:rPr>
            </w:pPr>
            <w:r w:rsidRPr="00F076D7">
              <w:rPr>
                <w:rFonts w:eastAsia="Malgun Gothic" w:cs="Times New Roman"/>
                <w:sz w:val="16"/>
                <w:szCs w:val="16"/>
                <w:lang w:eastAsia="ko-KR"/>
              </w:rPr>
              <w:t>Atelier national sur le système WIPO CASE</w:t>
            </w:r>
          </w:p>
        </w:tc>
        <w:tc>
          <w:tcPr>
            <w:tcW w:w="1336" w:type="dxa"/>
            <w:gridSpan w:val="3"/>
          </w:tcPr>
          <w:p w14:paraId="68693175"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21 et 22 avril 2016</w:t>
            </w:r>
          </w:p>
        </w:tc>
        <w:tc>
          <w:tcPr>
            <w:tcW w:w="1698" w:type="dxa"/>
            <w:gridSpan w:val="2"/>
          </w:tcPr>
          <w:p w14:paraId="269B43E0" w14:textId="77777777" w:rsidR="00767EC2" w:rsidRPr="00F076D7" w:rsidRDefault="00767EC2" w:rsidP="00A83D07">
            <w:pPr>
              <w:autoSpaceDE w:val="0"/>
              <w:autoSpaceDN w:val="0"/>
              <w:adjustRightInd w:val="0"/>
              <w:rPr>
                <w:rFonts w:eastAsia="Batang"/>
                <w:snapToGrid w:val="0"/>
                <w:sz w:val="16"/>
                <w:szCs w:val="16"/>
                <w:highlight w:val="cyan"/>
                <w:lang w:eastAsia="ko-KR"/>
              </w:rPr>
            </w:pPr>
            <w:r w:rsidRPr="00F076D7">
              <w:rPr>
                <w:rFonts w:eastAsia="Batang"/>
                <w:snapToGrid w:val="0"/>
                <w:sz w:val="16"/>
                <w:szCs w:val="16"/>
                <w:lang w:eastAsia="ko-KR"/>
              </w:rPr>
              <w:t>Thaïlande/ 150 fonctionnaires du Département de la propriété intellectuelle de la Thaïlande (DIP), dont notamment des examinateurs de brevets et des examinateurs chargés de l’examen des brevets quant à la forme</w:t>
            </w:r>
          </w:p>
        </w:tc>
        <w:tc>
          <w:tcPr>
            <w:tcW w:w="4253" w:type="dxa"/>
            <w:shd w:val="clear" w:color="auto" w:fill="auto"/>
          </w:tcPr>
          <w:p w14:paraId="2D87B135" w14:textId="77777777" w:rsidR="00767EC2" w:rsidRPr="00F076D7" w:rsidRDefault="00767EC2" w:rsidP="00A83D07">
            <w:pPr>
              <w:autoSpaceDE w:val="0"/>
              <w:autoSpaceDN w:val="0"/>
              <w:adjustRightInd w:val="0"/>
              <w:rPr>
                <w:rFonts w:eastAsiaTheme="minorEastAsia"/>
                <w:sz w:val="16"/>
                <w:szCs w:val="16"/>
                <w:highlight w:val="cyan"/>
              </w:rPr>
            </w:pPr>
            <w:r w:rsidRPr="00F076D7">
              <w:rPr>
                <w:rFonts w:eastAsiaTheme="minorEastAsia"/>
                <w:sz w:val="16"/>
                <w:szCs w:val="16"/>
              </w:rPr>
              <w:t>i) Renforcer les capacités et les compétences techniques des examinateurs de brevets et du personnel administratif du DIP s’agissant de l’utilisation du système WIPO CASE;  ii) partager l’expérience que les examinateurs de brevets ont tirée des utilisateurs actuels du système WIPO CASE en ce qui concerne la manière de faciliter la répartition des tâches;  iii) dispenser la formation pratique au système WIPO CASE et procéder au transfert de connaissances nécessaire;  iv) créer de nouveaux modules CASE et des plans de développement futur, et chercher à savoir quelles seront les contributions du DIP quant aux priorités à venir.</w:t>
            </w:r>
          </w:p>
        </w:tc>
      </w:tr>
      <w:tr w:rsidR="00767EC2" w:rsidRPr="00F076D7" w14:paraId="04C788B5" w14:textId="77777777" w:rsidTr="00A83D07">
        <w:trPr>
          <w:cantSplit/>
        </w:trPr>
        <w:tc>
          <w:tcPr>
            <w:tcW w:w="1785" w:type="dxa"/>
          </w:tcPr>
          <w:p w14:paraId="0167BFE2" w14:textId="77777777" w:rsidR="00767EC2" w:rsidRPr="00F076D7" w:rsidRDefault="00767EC2" w:rsidP="00A83D07">
            <w:pPr>
              <w:tabs>
                <w:tab w:val="left" w:pos="600"/>
              </w:tabs>
              <w:contextualSpacing/>
              <w:rPr>
                <w:rFonts w:eastAsia="Malgun Gothic" w:cs="Times New Roman"/>
                <w:sz w:val="16"/>
                <w:szCs w:val="16"/>
                <w:highlight w:val="cyan"/>
                <w:lang w:eastAsia="ko-KR"/>
              </w:rPr>
            </w:pPr>
            <w:r w:rsidRPr="00F076D7">
              <w:rPr>
                <w:rFonts w:eastAsiaTheme="minorEastAsia"/>
                <w:sz w:val="16"/>
                <w:szCs w:val="16"/>
              </w:rPr>
              <w:t xml:space="preserve">Atelier </w:t>
            </w:r>
            <w:proofErr w:type="spellStart"/>
            <w:r w:rsidRPr="00F076D7">
              <w:rPr>
                <w:rFonts w:eastAsiaTheme="minorEastAsia"/>
                <w:sz w:val="16"/>
                <w:szCs w:val="16"/>
              </w:rPr>
              <w:t>sous</w:t>
            </w:r>
            <w:r w:rsidRPr="00F076D7">
              <w:rPr>
                <w:rFonts w:eastAsiaTheme="minorEastAsia"/>
                <w:sz w:val="16"/>
                <w:szCs w:val="16"/>
              </w:rPr>
              <w:noBreakHyphen/>
              <w:t>régional</w:t>
            </w:r>
            <w:proofErr w:type="spellEnd"/>
            <w:r w:rsidRPr="00F076D7">
              <w:rPr>
                <w:rFonts w:eastAsiaTheme="minorEastAsia"/>
                <w:sz w:val="16"/>
                <w:szCs w:val="16"/>
              </w:rPr>
              <w:t xml:space="preserve"> de formation aux technologies de l’information (TI) consacré aux services aux entreprises axés sur les technologies de l’information</w:t>
            </w:r>
          </w:p>
        </w:tc>
        <w:tc>
          <w:tcPr>
            <w:tcW w:w="1336" w:type="dxa"/>
            <w:gridSpan w:val="3"/>
          </w:tcPr>
          <w:p w14:paraId="0438E0A6"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14 – 18 novembre 2016</w:t>
            </w:r>
          </w:p>
        </w:tc>
        <w:tc>
          <w:tcPr>
            <w:tcW w:w="1698" w:type="dxa"/>
            <w:gridSpan w:val="2"/>
          </w:tcPr>
          <w:p w14:paraId="150F05D8" w14:textId="77777777" w:rsidR="00767EC2" w:rsidRPr="00F076D7" w:rsidRDefault="00767EC2" w:rsidP="00A83D07">
            <w:pPr>
              <w:autoSpaceDE w:val="0"/>
              <w:autoSpaceDN w:val="0"/>
              <w:adjustRightInd w:val="0"/>
              <w:rPr>
                <w:rFonts w:eastAsia="Batang"/>
                <w:snapToGrid w:val="0"/>
                <w:sz w:val="16"/>
                <w:szCs w:val="16"/>
                <w:lang w:eastAsia="ko-KR"/>
              </w:rPr>
            </w:pPr>
            <w:r w:rsidRPr="00F076D7">
              <w:rPr>
                <w:rFonts w:eastAsia="Batang"/>
                <w:snapToGrid w:val="0"/>
                <w:sz w:val="16"/>
                <w:szCs w:val="16"/>
                <w:lang w:eastAsia="ko-KR"/>
              </w:rPr>
              <w:t xml:space="preserve">Philippines/ </w:t>
            </w:r>
            <w:proofErr w:type="spellStart"/>
            <w:r w:rsidRPr="00F076D7">
              <w:rPr>
                <w:rFonts w:eastAsia="Batang"/>
                <w:snapToGrid w:val="0"/>
                <w:sz w:val="16"/>
                <w:szCs w:val="16"/>
                <w:lang w:eastAsia="ko-KR"/>
              </w:rPr>
              <w:t>Brunéi</w:t>
            </w:r>
            <w:proofErr w:type="spellEnd"/>
            <w:r w:rsidRPr="00F076D7">
              <w:rPr>
                <w:rFonts w:eastAsia="Batang"/>
                <w:snapToGrid w:val="0"/>
                <w:sz w:val="16"/>
                <w:szCs w:val="16"/>
                <w:lang w:eastAsia="ko-KR"/>
              </w:rPr>
              <w:t xml:space="preserve"> Darussalam, Cambodge, Indonésie, Malaisie, Mongolie, Myanmar, Papouasie</w:t>
            </w:r>
            <w:r w:rsidRPr="00F076D7">
              <w:rPr>
                <w:rFonts w:eastAsia="Batang"/>
                <w:snapToGrid w:val="0"/>
                <w:sz w:val="16"/>
                <w:szCs w:val="16"/>
                <w:lang w:eastAsia="ko-KR"/>
              </w:rPr>
              <w:noBreakHyphen/>
              <w:t>Nouvelle</w:t>
            </w:r>
            <w:r w:rsidRPr="00F076D7">
              <w:rPr>
                <w:rFonts w:eastAsia="Batang"/>
                <w:snapToGrid w:val="0"/>
                <w:sz w:val="16"/>
                <w:szCs w:val="16"/>
                <w:lang w:eastAsia="ko-KR"/>
              </w:rPr>
              <w:noBreakHyphen/>
              <w:t>Guinée, Philippines, République démocratique populaire lao, Singapour, Sri Lanka, Thaïlande, Viet Nam</w:t>
            </w:r>
          </w:p>
        </w:tc>
        <w:tc>
          <w:tcPr>
            <w:tcW w:w="4253" w:type="dxa"/>
            <w:shd w:val="clear" w:color="auto" w:fill="auto"/>
          </w:tcPr>
          <w:p w14:paraId="7C5FDDA9" w14:textId="77777777" w:rsidR="00767EC2" w:rsidRPr="00F076D7" w:rsidRDefault="00767EC2" w:rsidP="00A83D07">
            <w:pPr>
              <w:autoSpaceDE w:val="0"/>
              <w:autoSpaceDN w:val="0"/>
              <w:adjustRightInd w:val="0"/>
              <w:rPr>
                <w:rFonts w:eastAsiaTheme="minorEastAsia"/>
                <w:sz w:val="16"/>
                <w:szCs w:val="16"/>
                <w:highlight w:val="cyan"/>
              </w:rPr>
            </w:pPr>
            <w:r w:rsidRPr="00F076D7">
              <w:rPr>
                <w:rFonts w:eastAsiaTheme="minorEastAsia"/>
                <w:sz w:val="16"/>
                <w:szCs w:val="16"/>
              </w:rPr>
              <w:t>Dispenser aux membres de l’ASEAN et à certains pays de la région Asie</w:t>
            </w:r>
            <w:r w:rsidRPr="00F076D7">
              <w:rPr>
                <w:rFonts w:eastAsiaTheme="minorEastAsia"/>
                <w:sz w:val="16"/>
                <w:szCs w:val="16"/>
              </w:rPr>
              <w:noBreakHyphen/>
              <w:t xml:space="preserve">Pacifique une formation pratique et procéder à un vaste transfert de connaissances à leur intention par le biais de l’équipe de développement de l’OMPI sur l’utilisation du système d’administration de la propriété industrielle (IPAS) et des produits connexes, notamment pour : i) fournir des mises à jour sur les dernières évolutions techniques des produits et services de l’OMPI;  ii) renforcer les capacités et les compétences techniques quant aux solutions d’entreprise et aux produits connexes que l’OMPI propose en matière de propriété intellectuelle;  iii) mieux appréhender la capacité de la solution de l’OMPI de permettre les opérations commerciales et l’amélioration du service ainsi que de fournir un appui aux opérations commerciales et à l’amélioration des services;  iv) partager les connaissances quant aux nouveaux produits de l’OMPI sur l’appui aux services en ligne, notamment </w:t>
            </w:r>
            <w:r w:rsidRPr="00F076D7">
              <w:rPr>
                <w:rFonts w:eastAsiaTheme="minorEastAsia"/>
                <w:i/>
                <w:sz w:val="16"/>
                <w:szCs w:val="16"/>
              </w:rPr>
              <w:t>WIPO </w:t>
            </w:r>
            <w:proofErr w:type="spellStart"/>
            <w:r w:rsidRPr="00F076D7">
              <w:rPr>
                <w:rFonts w:eastAsiaTheme="minorEastAsia"/>
                <w:i/>
                <w:sz w:val="16"/>
                <w:szCs w:val="16"/>
              </w:rPr>
              <w:t>Publish</w:t>
            </w:r>
            <w:proofErr w:type="spellEnd"/>
            <w:r w:rsidRPr="00F076D7">
              <w:rPr>
                <w:rFonts w:eastAsiaTheme="minorEastAsia"/>
                <w:sz w:val="16"/>
                <w:szCs w:val="16"/>
              </w:rPr>
              <w:t xml:space="preserve"> et </w:t>
            </w:r>
            <w:r w:rsidRPr="00F076D7">
              <w:rPr>
                <w:rFonts w:eastAsiaTheme="minorEastAsia"/>
                <w:i/>
                <w:sz w:val="16"/>
                <w:szCs w:val="16"/>
              </w:rPr>
              <w:t>WIPO File</w:t>
            </w:r>
            <w:r w:rsidRPr="00F076D7">
              <w:rPr>
                <w:rFonts w:eastAsiaTheme="minorEastAsia"/>
                <w:sz w:val="16"/>
                <w:szCs w:val="16"/>
              </w:rPr>
              <w:t>.</w:t>
            </w:r>
          </w:p>
        </w:tc>
      </w:tr>
      <w:tr w:rsidR="00767EC2" w:rsidRPr="00F076D7" w14:paraId="176852AD" w14:textId="77777777" w:rsidTr="00A83D07">
        <w:trPr>
          <w:cantSplit/>
        </w:trPr>
        <w:tc>
          <w:tcPr>
            <w:tcW w:w="1785" w:type="dxa"/>
          </w:tcPr>
          <w:p w14:paraId="75D43DA0" w14:textId="77777777" w:rsidR="00767EC2" w:rsidRPr="00F076D7" w:rsidRDefault="00767EC2" w:rsidP="00A83D07">
            <w:pPr>
              <w:tabs>
                <w:tab w:val="left" w:pos="600"/>
              </w:tabs>
              <w:contextualSpacing/>
              <w:rPr>
                <w:rFonts w:eastAsia="Malgun Gothic" w:cs="Times New Roman"/>
                <w:sz w:val="16"/>
                <w:szCs w:val="16"/>
                <w:highlight w:val="cyan"/>
                <w:lang w:eastAsia="ko-KR"/>
              </w:rPr>
            </w:pPr>
            <w:r w:rsidRPr="00F076D7">
              <w:rPr>
                <w:rFonts w:eastAsiaTheme="minorEastAsia"/>
                <w:sz w:val="16"/>
                <w:szCs w:val="16"/>
              </w:rPr>
              <w:t>Formation nationale sur le système WIPO CASE à l’intention des nouveaux examinateurs de brevets (examen et recherche en matière de brevets à l’échelle mondiale)</w:t>
            </w:r>
          </w:p>
        </w:tc>
        <w:tc>
          <w:tcPr>
            <w:tcW w:w="1336" w:type="dxa"/>
            <w:gridSpan w:val="3"/>
          </w:tcPr>
          <w:p w14:paraId="6A4D13F7"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21 – 25 novembre 2016</w:t>
            </w:r>
          </w:p>
        </w:tc>
        <w:tc>
          <w:tcPr>
            <w:tcW w:w="1698" w:type="dxa"/>
            <w:gridSpan w:val="2"/>
          </w:tcPr>
          <w:p w14:paraId="2A03D9B3" w14:textId="77777777" w:rsidR="00767EC2" w:rsidRPr="00F076D7" w:rsidRDefault="00767EC2" w:rsidP="00A83D07">
            <w:pPr>
              <w:autoSpaceDE w:val="0"/>
              <w:autoSpaceDN w:val="0"/>
              <w:adjustRightInd w:val="0"/>
              <w:rPr>
                <w:rFonts w:eastAsia="Batang"/>
                <w:snapToGrid w:val="0"/>
                <w:sz w:val="16"/>
                <w:szCs w:val="16"/>
                <w:lang w:eastAsia="ko-KR"/>
              </w:rPr>
            </w:pPr>
            <w:r w:rsidRPr="00F076D7">
              <w:rPr>
                <w:rFonts w:eastAsia="Batang"/>
                <w:snapToGrid w:val="0"/>
                <w:sz w:val="16"/>
                <w:szCs w:val="16"/>
                <w:lang w:eastAsia="ko-KR"/>
              </w:rPr>
              <w:t>Thaïlande/ 34 examinateurs de brevets récemment embauchés au Département de la propriété intellectuelle (DIP)</w:t>
            </w:r>
          </w:p>
        </w:tc>
        <w:tc>
          <w:tcPr>
            <w:tcW w:w="4253" w:type="dxa"/>
            <w:shd w:val="clear" w:color="auto" w:fill="auto"/>
          </w:tcPr>
          <w:p w14:paraId="70C3823D" w14:textId="77777777" w:rsidR="00767EC2" w:rsidRPr="00F076D7" w:rsidRDefault="00767EC2" w:rsidP="00A83D07">
            <w:pPr>
              <w:autoSpaceDE w:val="0"/>
              <w:autoSpaceDN w:val="0"/>
              <w:adjustRightInd w:val="0"/>
              <w:rPr>
                <w:rFonts w:eastAsiaTheme="minorEastAsia" w:cs="Times New Roman"/>
                <w:sz w:val="16"/>
                <w:szCs w:val="16"/>
              </w:rPr>
            </w:pPr>
            <w:r w:rsidRPr="00F076D7">
              <w:rPr>
                <w:rFonts w:eastAsiaTheme="minorEastAsia"/>
                <w:sz w:val="16"/>
                <w:szCs w:val="16"/>
              </w:rPr>
              <w:t>i) Renforcer les capacités et les compétences techniques des nouveaux examinateurs de brevets du Département de la propriété intellectuelle quant à l’utilisation de la plateforme technique, notamment du système WIPO CASE;  ii) partager l’expérience que les examinateurs de brevets ont tirée des utilisateurs actuels du système WIPO CASE quant à la manière d’accéder aux informations relatives aux dossiers déposés à l’étranger et d’exploiter le fruit du travail d’examen effectué en matière de brevets;  iii) dispenser une formation pratique sur le système WIPO CASE et procéder à un transfert de connaissances pertinent;  iv) améliorer la compréhension des documents de brevet et de l’information en matière de brevets ainsi que les techniques de recherche.</w:t>
            </w:r>
          </w:p>
        </w:tc>
      </w:tr>
      <w:tr w:rsidR="00767EC2" w:rsidRPr="00F076D7" w14:paraId="49EEA5D2" w14:textId="77777777" w:rsidTr="00A83D07">
        <w:trPr>
          <w:cantSplit/>
        </w:trPr>
        <w:tc>
          <w:tcPr>
            <w:tcW w:w="9072" w:type="dxa"/>
            <w:gridSpan w:val="7"/>
            <w:shd w:val="clear" w:color="auto" w:fill="C6D9F1" w:themeFill="text2" w:themeFillTint="33"/>
          </w:tcPr>
          <w:p w14:paraId="18387BB6" w14:textId="77777777" w:rsidR="00767EC2" w:rsidRPr="00F076D7" w:rsidRDefault="00767EC2" w:rsidP="00A83D07">
            <w:pPr>
              <w:keepNext/>
              <w:keepLines/>
              <w:tabs>
                <w:tab w:val="left" w:pos="1740"/>
              </w:tabs>
              <w:rPr>
                <w:rFonts w:eastAsiaTheme="minorEastAsia"/>
                <w:sz w:val="16"/>
                <w:szCs w:val="16"/>
              </w:rPr>
            </w:pPr>
            <w:r w:rsidRPr="00F076D7">
              <w:rPr>
                <w:rFonts w:eastAsiaTheme="minorEastAsia"/>
                <w:b/>
                <w:sz w:val="16"/>
                <w:szCs w:val="16"/>
              </w:rPr>
              <w:t>RÉSULTAT</w:t>
            </w:r>
            <w:r w:rsidRPr="00F076D7">
              <w:rPr>
                <w:rFonts w:eastAsiaTheme="minorEastAsia"/>
                <w:sz w:val="16"/>
                <w:szCs w:val="16"/>
              </w:rPr>
              <w:t> </w:t>
            </w:r>
            <w:r>
              <w:rPr>
                <w:rFonts w:eastAsiaTheme="minorEastAsia"/>
                <w:sz w:val="16"/>
                <w:szCs w:val="16"/>
              </w:rPr>
              <w:t xml:space="preserve">: </w:t>
            </w:r>
            <w:r w:rsidRPr="00F076D7">
              <w:rPr>
                <w:rFonts w:eastAsiaTheme="minorEastAsia"/>
                <w:sz w:val="16"/>
                <w:szCs w:val="16"/>
              </w:rPr>
              <w:t>VIII.1 Communication plus efficace avec le grand public concernant la propriété intellectuelle et le rôle de l’OMPI</w:t>
            </w:r>
          </w:p>
        </w:tc>
      </w:tr>
      <w:tr w:rsidR="00767EC2" w:rsidRPr="00F076D7" w14:paraId="4BA5FE2F" w14:textId="77777777" w:rsidTr="00A83D07">
        <w:trPr>
          <w:cantSplit/>
        </w:trPr>
        <w:tc>
          <w:tcPr>
            <w:tcW w:w="1785" w:type="dxa"/>
            <w:vAlign w:val="center"/>
          </w:tcPr>
          <w:p w14:paraId="635C45AC" w14:textId="77777777" w:rsidR="00767EC2" w:rsidRPr="00F076D7" w:rsidRDefault="00767EC2" w:rsidP="00A83D07">
            <w:pPr>
              <w:keepNext/>
              <w:keepLines/>
              <w:rPr>
                <w:rFonts w:eastAsiaTheme="minorEastAsia"/>
                <w:b/>
                <w:bCs/>
                <w:sz w:val="16"/>
                <w:szCs w:val="16"/>
              </w:rPr>
            </w:pPr>
            <w:r w:rsidRPr="00F076D7">
              <w:rPr>
                <w:rFonts w:eastAsiaTheme="minorEastAsia"/>
                <w:b/>
                <w:bCs/>
                <w:sz w:val="16"/>
                <w:szCs w:val="16"/>
              </w:rPr>
              <w:t>Activité</w:t>
            </w:r>
          </w:p>
        </w:tc>
        <w:tc>
          <w:tcPr>
            <w:tcW w:w="1350" w:type="dxa"/>
            <w:gridSpan w:val="4"/>
            <w:vAlign w:val="center"/>
          </w:tcPr>
          <w:p w14:paraId="65E9D643"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Date</w:t>
            </w:r>
          </w:p>
        </w:tc>
        <w:tc>
          <w:tcPr>
            <w:tcW w:w="1684" w:type="dxa"/>
            <w:vAlign w:val="center"/>
          </w:tcPr>
          <w:p w14:paraId="56CDAF11"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Pays hôte/ bénéficiaires</w:t>
            </w:r>
          </w:p>
        </w:tc>
        <w:tc>
          <w:tcPr>
            <w:tcW w:w="4253" w:type="dxa"/>
            <w:vAlign w:val="center"/>
          </w:tcPr>
          <w:p w14:paraId="2BC1FA24" w14:textId="77777777" w:rsidR="00767EC2" w:rsidRPr="00F076D7" w:rsidRDefault="00767EC2" w:rsidP="00A83D07">
            <w:pPr>
              <w:keepNext/>
              <w:keepLines/>
              <w:rPr>
                <w:rFonts w:eastAsiaTheme="minorEastAsia"/>
                <w:b/>
                <w:sz w:val="16"/>
                <w:szCs w:val="16"/>
              </w:rPr>
            </w:pPr>
            <w:r w:rsidRPr="00F076D7">
              <w:rPr>
                <w:rFonts w:eastAsiaTheme="minorEastAsia"/>
                <w:b/>
                <w:sz w:val="16"/>
                <w:szCs w:val="16"/>
              </w:rPr>
              <w:t>Objectif(s)/description(s)</w:t>
            </w:r>
          </w:p>
        </w:tc>
      </w:tr>
      <w:tr w:rsidR="00767EC2" w:rsidRPr="00F076D7" w14:paraId="18F936E9" w14:textId="77777777" w:rsidTr="00A83D07">
        <w:tblPrEx>
          <w:tblLook w:val="04A0" w:firstRow="1" w:lastRow="0" w:firstColumn="1" w:lastColumn="0" w:noHBand="0" w:noVBand="1"/>
        </w:tblPrEx>
        <w:trPr>
          <w:cantSplit/>
        </w:trPr>
        <w:tc>
          <w:tcPr>
            <w:tcW w:w="1785" w:type="dxa"/>
          </w:tcPr>
          <w:p w14:paraId="3A153960" w14:textId="77777777" w:rsidR="00767EC2" w:rsidRPr="00F076D7" w:rsidRDefault="00767EC2" w:rsidP="00A83D07">
            <w:pPr>
              <w:autoSpaceDE w:val="0"/>
              <w:autoSpaceDN w:val="0"/>
              <w:adjustRightInd w:val="0"/>
              <w:rPr>
                <w:rFonts w:eastAsiaTheme="minorEastAsia"/>
                <w:sz w:val="16"/>
                <w:szCs w:val="16"/>
              </w:rPr>
            </w:pPr>
            <w:r w:rsidRPr="00F076D7">
              <w:rPr>
                <w:rFonts w:eastAsiaTheme="minorEastAsia"/>
                <w:sz w:val="16"/>
                <w:szCs w:val="16"/>
              </w:rPr>
              <w:t>Traduction ou impression de publications de l’OMPI et des documents de référence</w:t>
            </w:r>
          </w:p>
        </w:tc>
        <w:tc>
          <w:tcPr>
            <w:tcW w:w="1350" w:type="dxa"/>
            <w:gridSpan w:val="4"/>
          </w:tcPr>
          <w:p w14:paraId="5B46EBB8"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2016</w:t>
            </w:r>
          </w:p>
        </w:tc>
        <w:tc>
          <w:tcPr>
            <w:tcW w:w="1684" w:type="dxa"/>
          </w:tcPr>
          <w:p w14:paraId="4ACDD57F" w14:textId="77777777" w:rsidR="00767EC2" w:rsidRPr="00F076D7" w:rsidRDefault="00767EC2" w:rsidP="00A83D07">
            <w:pPr>
              <w:autoSpaceDE w:val="0"/>
              <w:autoSpaceDN w:val="0"/>
              <w:adjustRightInd w:val="0"/>
              <w:rPr>
                <w:rFonts w:eastAsiaTheme="minorEastAsia"/>
                <w:sz w:val="16"/>
                <w:szCs w:val="16"/>
                <w:lang w:eastAsia="ja-JP"/>
              </w:rPr>
            </w:pPr>
            <w:r w:rsidRPr="00F076D7">
              <w:rPr>
                <w:rFonts w:eastAsiaTheme="minorEastAsia"/>
                <w:sz w:val="16"/>
                <w:szCs w:val="16"/>
                <w:lang w:eastAsia="ja-JP"/>
              </w:rPr>
              <w:t>Bureau de l’OMPI au Japon et siège de l’OMPI/pays de l’ASEAN et Cambodge</w:t>
            </w:r>
          </w:p>
        </w:tc>
        <w:tc>
          <w:tcPr>
            <w:tcW w:w="4253" w:type="dxa"/>
          </w:tcPr>
          <w:p w14:paraId="5584594E" w14:textId="77777777" w:rsidR="00767EC2" w:rsidRPr="00F076D7" w:rsidRDefault="00767EC2" w:rsidP="00A83D07">
            <w:pPr>
              <w:rPr>
                <w:rFonts w:eastAsiaTheme="minorEastAsia"/>
                <w:sz w:val="16"/>
                <w:szCs w:val="16"/>
              </w:rPr>
            </w:pPr>
            <w:r w:rsidRPr="00F076D7">
              <w:rPr>
                <w:rFonts w:eastAsiaTheme="minorEastAsia"/>
                <w:sz w:val="16"/>
                <w:szCs w:val="16"/>
              </w:rPr>
              <w:t xml:space="preserve">La traduction et l’impression du manga </w:t>
            </w:r>
            <w:proofErr w:type="spellStart"/>
            <w:r w:rsidRPr="00F076D7">
              <w:rPr>
                <w:rFonts w:eastAsiaTheme="minorEastAsia"/>
                <w:sz w:val="16"/>
                <w:szCs w:val="16"/>
              </w:rPr>
              <w:t>Honmono</w:t>
            </w:r>
            <w:proofErr w:type="spellEnd"/>
            <w:r w:rsidRPr="00F076D7">
              <w:rPr>
                <w:rFonts w:eastAsiaTheme="minorEastAsia"/>
                <w:sz w:val="16"/>
                <w:szCs w:val="16"/>
              </w:rPr>
              <w:t xml:space="preserve"> dans chacune des langues des pays de l’ASEAN sont terminées.</w:t>
            </w:r>
          </w:p>
          <w:p w14:paraId="5162DBF4" w14:textId="77777777" w:rsidR="00767EC2" w:rsidRPr="00F076D7" w:rsidRDefault="00767EC2" w:rsidP="00A83D07">
            <w:pPr>
              <w:rPr>
                <w:rFonts w:eastAsiaTheme="minorEastAsia" w:cs="Times New Roman"/>
                <w:sz w:val="20"/>
                <w:szCs w:val="24"/>
                <w:lang w:eastAsia="ja-JP"/>
              </w:rPr>
            </w:pPr>
          </w:p>
          <w:p w14:paraId="589CF894" w14:textId="77777777" w:rsidR="00767EC2" w:rsidRPr="00F076D7" w:rsidRDefault="00767EC2" w:rsidP="00A83D07">
            <w:pPr>
              <w:rPr>
                <w:rFonts w:eastAsia="MS Mincho"/>
                <w:sz w:val="16"/>
                <w:szCs w:val="16"/>
                <w:lang w:eastAsia="zh-CN"/>
              </w:rPr>
            </w:pPr>
            <w:r w:rsidRPr="00F076D7">
              <w:rPr>
                <w:rFonts w:eastAsiaTheme="minorEastAsia"/>
                <w:sz w:val="16"/>
                <w:szCs w:val="16"/>
              </w:rPr>
              <w:t>La traduction et l’impression en langue khmère des publications de l’OMPI suivantes sont terminées :</w:t>
            </w:r>
            <w:r w:rsidRPr="00F076D7">
              <w:rPr>
                <w:rFonts w:eastAsia="MS Mincho"/>
                <w:sz w:val="16"/>
                <w:szCs w:val="16"/>
                <w:lang w:eastAsia="zh-CN"/>
              </w:rPr>
              <w:t xml:space="preserve"> i)</w:t>
            </w:r>
            <w:r w:rsidRPr="00F076D7">
              <w:rPr>
                <w:rFonts w:eastAsiaTheme="minorEastAsia"/>
                <w:sz w:val="16"/>
                <w:szCs w:val="16"/>
              </w:rPr>
              <w:t> </w:t>
            </w:r>
            <w:r w:rsidRPr="00F076D7">
              <w:rPr>
                <w:rFonts w:eastAsia="MS Mincho"/>
                <w:i/>
                <w:sz w:val="16"/>
                <w:szCs w:val="16"/>
                <w:lang w:eastAsia="zh-CN"/>
              </w:rPr>
              <w:t>Guide pour l’enregistrement international des marques en vertu de l’Arrangement de Madrid et du Protocole de Madrid</w:t>
            </w:r>
            <w:r w:rsidRPr="00F076D7">
              <w:rPr>
                <w:rFonts w:eastAsia="MS Mincho"/>
                <w:sz w:val="16"/>
                <w:szCs w:val="16"/>
                <w:lang w:eastAsia="zh-CN"/>
              </w:rPr>
              <w:t xml:space="preserve"> (publication de l’OMPI n° 455), ii) </w:t>
            </w:r>
            <w:r w:rsidRPr="00F076D7">
              <w:rPr>
                <w:rFonts w:eastAsia="MS Mincho"/>
                <w:i/>
                <w:sz w:val="16"/>
                <w:szCs w:val="16"/>
                <w:lang w:eastAsia="zh-CN"/>
              </w:rPr>
              <w:t>Arrangement de Madrid concernant l’enregistrement international des marques</w:t>
            </w:r>
            <w:r w:rsidRPr="00F076D7">
              <w:rPr>
                <w:rFonts w:eastAsia="MS Mincho"/>
                <w:sz w:val="16"/>
                <w:szCs w:val="16"/>
                <w:lang w:eastAsia="zh-CN"/>
              </w:rPr>
              <w:t xml:space="preserve"> (publication de l’OMPI n° 204)</w:t>
            </w:r>
          </w:p>
        </w:tc>
      </w:tr>
    </w:tbl>
    <w:p w14:paraId="2BBC46C3" w14:textId="77777777" w:rsidR="00767EC2" w:rsidRPr="00F076D7" w:rsidRDefault="00767EC2" w:rsidP="00767EC2">
      <w:pPr>
        <w:keepNext/>
        <w:keepLines/>
        <w:rPr>
          <w:rFonts w:eastAsiaTheme="minorEastAsia"/>
          <w:b/>
          <w:sz w:val="20"/>
          <w:lang w:eastAsia="ja-JP"/>
        </w:rPr>
      </w:pPr>
    </w:p>
    <w:p w14:paraId="70F37091" w14:textId="77777777" w:rsidR="00767EC2" w:rsidRPr="00F076D7" w:rsidRDefault="00767EC2" w:rsidP="00767EC2">
      <w:pPr>
        <w:keepNext/>
        <w:keepLines/>
        <w:rPr>
          <w:rFonts w:eastAsiaTheme="minorEastAsia"/>
          <w:b/>
          <w:sz w:val="20"/>
          <w:lang w:eastAsia="ja-JP"/>
        </w:rPr>
      </w:pPr>
    </w:p>
    <w:p w14:paraId="463260B0" w14:textId="77777777" w:rsidR="00767EC2" w:rsidRPr="00F076D7" w:rsidRDefault="00767EC2" w:rsidP="00767EC2">
      <w:pPr>
        <w:rPr>
          <w:rFonts w:eastAsiaTheme="minorEastAsia"/>
          <w:b/>
          <w:sz w:val="20"/>
        </w:rPr>
      </w:pPr>
      <w:r w:rsidRPr="00F076D7">
        <w:rPr>
          <w:rFonts w:eastAsiaTheme="minorEastAsia"/>
          <w:b/>
          <w:sz w:val="20"/>
        </w:rPr>
        <w:t>JAPON/PROPRIÉTÉ INDUSTRIELLE – Contributions des donateurs et dépenses en 2016</w:t>
      </w:r>
    </w:p>
    <w:p w14:paraId="15B41D14" w14:textId="77777777" w:rsidR="00767EC2" w:rsidRPr="00F076D7" w:rsidRDefault="00767EC2" w:rsidP="00767EC2">
      <w:pPr>
        <w:rPr>
          <w:rFonts w:eastAsiaTheme="minorEastAsia"/>
          <w:b/>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3F4F437A" w14:textId="77777777" w:rsidTr="00A83D07">
        <w:trPr>
          <w:cantSplit/>
        </w:trPr>
        <w:tc>
          <w:tcPr>
            <w:tcW w:w="1814" w:type="dxa"/>
            <w:tcBorders>
              <w:top w:val="nil"/>
              <w:left w:val="nil"/>
              <w:bottom w:val="nil"/>
              <w:right w:val="nil"/>
            </w:tcBorders>
            <w:shd w:val="clear" w:color="000000" w:fill="C5D9F1"/>
            <w:vAlign w:val="center"/>
            <w:hideMark/>
          </w:tcPr>
          <w:p w14:paraId="39CC3346"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69D7E84F"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1AF7FD69"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36C16F66"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35DB761F"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7F018AF5" w14:textId="77777777" w:rsidTr="00A83D07">
        <w:trPr>
          <w:cantSplit/>
        </w:trPr>
        <w:tc>
          <w:tcPr>
            <w:tcW w:w="1814" w:type="dxa"/>
            <w:tcBorders>
              <w:top w:val="nil"/>
              <w:left w:val="nil"/>
              <w:bottom w:val="nil"/>
              <w:right w:val="nil"/>
            </w:tcBorders>
            <w:shd w:val="clear" w:color="auto" w:fill="auto"/>
            <w:noWrap/>
            <w:vAlign w:val="bottom"/>
            <w:hideMark/>
          </w:tcPr>
          <w:p w14:paraId="5EDC6C58" w14:textId="77777777" w:rsidR="00767EC2" w:rsidRPr="00F076D7" w:rsidRDefault="00767EC2" w:rsidP="00A83D07">
            <w:pPr>
              <w:jc w:val="center"/>
              <w:rPr>
                <w:sz w:val="16"/>
                <w:szCs w:val="16"/>
              </w:rPr>
            </w:pPr>
            <w:r w:rsidRPr="00F076D7">
              <w:rPr>
                <w:sz w:val="16"/>
                <w:szCs w:val="16"/>
              </w:rPr>
              <w:t>4 969 999</w:t>
            </w:r>
          </w:p>
        </w:tc>
        <w:tc>
          <w:tcPr>
            <w:tcW w:w="1814" w:type="dxa"/>
            <w:tcBorders>
              <w:top w:val="nil"/>
              <w:left w:val="nil"/>
              <w:bottom w:val="nil"/>
              <w:right w:val="nil"/>
            </w:tcBorders>
            <w:shd w:val="clear" w:color="auto" w:fill="auto"/>
            <w:noWrap/>
            <w:vAlign w:val="bottom"/>
            <w:hideMark/>
          </w:tcPr>
          <w:p w14:paraId="493561AE" w14:textId="77777777" w:rsidR="00767EC2" w:rsidRPr="00F076D7" w:rsidRDefault="00767EC2" w:rsidP="00A83D07">
            <w:pPr>
              <w:jc w:val="center"/>
              <w:rPr>
                <w:sz w:val="16"/>
                <w:szCs w:val="16"/>
              </w:rPr>
            </w:pPr>
            <w:r w:rsidRPr="00F076D7">
              <w:rPr>
                <w:sz w:val="16"/>
                <w:szCs w:val="16"/>
              </w:rPr>
              <w:t>3 830 310</w:t>
            </w:r>
          </w:p>
        </w:tc>
        <w:tc>
          <w:tcPr>
            <w:tcW w:w="1815" w:type="dxa"/>
            <w:tcBorders>
              <w:top w:val="nil"/>
              <w:left w:val="nil"/>
              <w:bottom w:val="nil"/>
              <w:right w:val="nil"/>
            </w:tcBorders>
            <w:shd w:val="clear" w:color="auto" w:fill="auto"/>
            <w:noWrap/>
            <w:vAlign w:val="bottom"/>
            <w:hideMark/>
          </w:tcPr>
          <w:p w14:paraId="1FF137C4" w14:textId="77777777" w:rsidR="00767EC2" w:rsidRPr="00F076D7" w:rsidRDefault="00767EC2" w:rsidP="00A83D07">
            <w:pPr>
              <w:jc w:val="center"/>
              <w:rPr>
                <w:sz w:val="16"/>
                <w:szCs w:val="16"/>
              </w:rPr>
            </w:pPr>
            <w:r w:rsidRPr="00F076D7">
              <w:rPr>
                <w:sz w:val="16"/>
                <w:szCs w:val="16"/>
              </w:rPr>
              <w:t>3 920 117</w:t>
            </w:r>
          </w:p>
        </w:tc>
        <w:tc>
          <w:tcPr>
            <w:tcW w:w="1814" w:type="dxa"/>
            <w:tcBorders>
              <w:top w:val="nil"/>
              <w:left w:val="nil"/>
              <w:bottom w:val="nil"/>
              <w:right w:val="nil"/>
            </w:tcBorders>
            <w:shd w:val="clear" w:color="auto" w:fill="auto"/>
            <w:noWrap/>
            <w:vAlign w:val="bottom"/>
            <w:hideMark/>
          </w:tcPr>
          <w:p w14:paraId="03F50EBB"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6B42DC12" w14:textId="77777777" w:rsidR="00767EC2" w:rsidRPr="00F076D7" w:rsidRDefault="00767EC2" w:rsidP="00A83D07">
            <w:pPr>
              <w:jc w:val="center"/>
              <w:rPr>
                <w:sz w:val="16"/>
                <w:szCs w:val="16"/>
              </w:rPr>
            </w:pPr>
            <w:r w:rsidRPr="00F076D7">
              <w:rPr>
                <w:sz w:val="16"/>
                <w:szCs w:val="16"/>
              </w:rPr>
              <w:t>4 880 193</w:t>
            </w:r>
          </w:p>
        </w:tc>
      </w:tr>
    </w:tbl>
    <w:p w14:paraId="793CD2E9" w14:textId="77777777" w:rsidR="00767EC2" w:rsidRPr="00F076D7" w:rsidRDefault="00767EC2" w:rsidP="00767EC2">
      <w:pPr>
        <w:spacing w:line="276" w:lineRule="auto"/>
        <w:rPr>
          <w:rFonts w:eastAsiaTheme="minorHAnsi"/>
          <w:b/>
          <w:sz w:val="20"/>
        </w:rPr>
      </w:pPr>
    </w:p>
    <w:p w14:paraId="2D7422DE" w14:textId="77777777" w:rsidR="00767EC2" w:rsidRPr="00F076D7" w:rsidRDefault="00767EC2" w:rsidP="00767EC2">
      <w:pPr>
        <w:spacing w:line="276" w:lineRule="auto"/>
        <w:rPr>
          <w:rFonts w:eastAsiaTheme="minorHAnsi"/>
          <w:b/>
          <w:sz w:val="20"/>
        </w:rPr>
      </w:pPr>
    </w:p>
    <w:p w14:paraId="5B6A599E" w14:textId="77777777" w:rsidR="00767EC2" w:rsidRPr="00F076D7" w:rsidRDefault="00767EC2" w:rsidP="00767EC2">
      <w:pPr>
        <w:keepNext/>
        <w:spacing w:line="276" w:lineRule="auto"/>
        <w:rPr>
          <w:rFonts w:eastAsiaTheme="minorHAnsi"/>
          <w:b/>
          <w:sz w:val="20"/>
        </w:rPr>
      </w:pPr>
      <w:r w:rsidRPr="00F076D7">
        <w:rPr>
          <w:rFonts w:eastAsiaTheme="minorHAnsi"/>
          <w:b/>
          <w:sz w:val="20"/>
        </w:rPr>
        <w:t>JAPON/PROPRIÉTÉ INDUSTRIELLE/AFRIQUE – PAYS LES MOINS AVANCÉS</w:t>
      </w:r>
    </w:p>
    <w:p w14:paraId="19FCDA5E" w14:textId="77777777" w:rsidR="00767EC2" w:rsidRPr="00F076D7" w:rsidRDefault="00767EC2" w:rsidP="00767EC2">
      <w:pPr>
        <w:keepNext/>
        <w:spacing w:line="276" w:lineRule="auto"/>
        <w:rPr>
          <w:rFonts w:asciiTheme="minorHAnsi" w:eastAsiaTheme="minorHAnsi" w:hAnsiTheme="minorHAnsi"/>
          <w:b/>
          <w:sz w:val="20"/>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86"/>
        <w:gridCol w:w="1191"/>
        <w:gridCol w:w="19"/>
        <w:gridCol w:w="112"/>
        <w:gridCol w:w="13"/>
        <w:gridCol w:w="1699"/>
        <w:gridCol w:w="4252"/>
      </w:tblGrid>
      <w:tr w:rsidR="00767EC2" w:rsidRPr="0065453F" w14:paraId="29992A81" w14:textId="77777777" w:rsidTr="00A83D07">
        <w:trPr>
          <w:cantSplit/>
        </w:trPr>
        <w:tc>
          <w:tcPr>
            <w:tcW w:w="9072" w:type="dxa"/>
            <w:gridSpan w:val="7"/>
            <w:tcBorders>
              <w:top w:val="nil"/>
              <w:left w:val="nil"/>
              <w:bottom w:val="nil"/>
              <w:right w:val="nil"/>
            </w:tcBorders>
            <w:shd w:val="clear" w:color="auto" w:fill="C6D9F1" w:themeFill="text2" w:themeFillTint="33"/>
          </w:tcPr>
          <w:p w14:paraId="14520511" w14:textId="77777777" w:rsidR="00767EC2" w:rsidRPr="0065453F" w:rsidRDefault="00767EC2" w:rsidP="00A83D07">
            <w:pPr>
              <w:keepNext/>
              <w:tabs>
                <w:tab w:val="left" w:pos="1740"/>
              </w:tabs>
              <w:spacing w:line="276" w:lineRule="auto"/>
              <w:rPr>
                <w:rFonts w:eastAsiaTheme="minorHAnsi"/>
                <w:sz w:val="16"/>
                <w:szCs w:val="16"/>
              </w:rPr>
            </w:pPr>
            <w:r w:rsidRPr="0065453F">
              <w:rPr>
                <w:rFonts w:eastAsiaTheme="minorHAnsi"/>
                <w:b/>
                <w:sz w:val="16"/>
                <w:szCs w:val="16"/>
              </w:rPr>
              <w:t>RÉSULTAT</w:t>
            </w:r>
            <w:r w:rsidRPr="0065453F">
              <w:rPr>
                <w:rFonts w:eastAsiaTheme="minorHAnsi"/>
                <w:sz w:val="16"/>
                <w:szCs w:val="16"/>
              </w:rPr>
              <w:t> </w:t>
            </w:r>
            <w:r>
              <w:rPr>
                <w:rFonts w:eastAsiaTheme="minorHAnsi"/>
                <w:sz w:val="16"/>
                <w:szCs w:val="16"/>
              </w:rPr>
              <w:t xml:space="preserve">: </w:t>
            </w:r>
            <w:r w:rsidRPr="0065453F">
              <w:rPr>
                <w:rFonts w:eastAsiaTheme="minorHAnsi"/>
                <w:sz w:val="16"/>
                <w:szCs w:val="16"/>
              </w:rPr>
              <w:t>III.1 Stratégies et plans nationaux en matière d’innovation et de propriété intellectuelle conformes aux objectifs de développement nationaux</w:t>
            </w:r>
          </w:p>
        </w:tc>
      </w:tr>
      <w:tr w:rsidR="00767EC2" w:rsidRPr="0065453F" w14:paraId="129D2E56" w14:textId="77777777" w:rsidTr="00A83D07">
        <w:trPr>
          <w:cantSplit/>
        </w:trPr>
        <w:tc>
          <w:tcPr>
            <w:tcW w:w="1786" w:type="dxa"/>
            <w:tcBorders>
              <w:top w:val="nil"/>
              <w:left w:val="nil"/>
              <w:bottom w:val="nil"/>
              <w:right w:val="nil"/>
            </w:tcBorders>
            <w:vAlign w:val="center"/>
          </w:tcPr>
          <w:p w14:paraId="74005BB8" w14:textId="77777777" w:rsidR="00767EC2" w:rsidRPr="0065453F" w:rsidRDefault="00767EC2" w:rsidP="00A83D07">
            <w:pPr>
              <w:keepNext/>
              <w:spacing w:line="276" w:lineRule="auto"/>
              <w:rPr>
                <w:rFonts w:eastAsiaTheme="minorHAnsi"/>
                <w:b/>
                <w:bCs/>
                <w:sz w:val="16"/>
                <w:szCs w:val="16"/>
              </w:rPr>
            </w:pPr>
            <w:r w:rsidRPr="0065453F">
              <w:rPr>
                <w:rFonts w:eastAsiaTheme="minorHAnsi"/>
                <w:b/>
                <w:bCs/>
                <w:sz w:val="16"/>
                <w:szCs w:val="16"/>
              </w:rPr>
              <w:t>Activité</w:t>
            </w:r>
          </w:p>
        </w:tc>
        <w:tc>
          <w:tcPr>
            <w:tcW w:w="1335" w:type="dxa"/>
            <w:gridSpan w:val="4"/>
            <w:tcBorders>
              <w:top w:val="nil"/>
              <w:left w:val="nil"/>
              <w:bottom w:val="nil"/>
              <w:right w:val="nil"/>
            </w:tcBorders>
            <w:vAlign w:val="center"/>
          </w:tcPr>
          <w:p w14:paraId="4CCB9F46" w14:textId="77777777" w:rsidR="00767EC2" w:rsidRPr="0065453F" w:rsidRDefault="00767EC2" w:rsidP="00A83D07">
            <w:pPr>
              <w:keepNext/>
              <w:spacing w:line="276" w:lineRule="auto"/>
              <w:rPr>
                <w:rFonts w:eastAsiaTheme="minorHAnsi"/>
                <w:b/>
                <w:sz w:val="16"/>
                <w:szCs w:val="16"/>
              </w:rPr>
            </w:pPr>
            <w:r w:rsidRPr="0065453F">
              <w:rPr>
                <w:rFonts w:eastAsiaTheme="minorHAnsi"/>
                <w:b/>
                <w:sz w:val="16"/>
                <w:szCs w:val="16"/>
              </w:rPr>
              <w:t>Date</w:t>
            </w:r>
          </w:p>
        </w:tc>
        <w:tc>
          <w:tcPr>
            <w:tcW w:w="1699" w:type="dxa"/>
            <w:tcBorders>
              <w:top w:val="nil"/>
              <w:left w:val="nil"/>
              <w:bottom w:val="nil"/>
              <w:right w:val="nil"/>
            </w:tcBorders>
            <w:vAlign w:val="center"/>
          </w:tcPr>
          <w:p w14:paraId="3AAA1CD1" w14:textId="77777777" w:rsidR="00767EC2" w:rsidRPr="0065453F" w:rsidRDefault="00767EC2" w:rsidP="00A83D07">
            <w:pPr>
              <w:keepNext/>
              <w:spacing w:line="276" w:lineRule="auto"/>
              <w:rPr>
                <w:rFonts w:eastAsiaTheme="minorHAnsi"/>
                <w:b/>
                <w:sz w:val="16"/>
                <w:szCs w:val="16"/>
              </w:rPr>
            </w:pPr>
            <w:r w:rsidRPr="0065453F">
              <w:rPr>
                <w:rFonts w:eastAsiaTheme="minorHAnsi"/>
                <w:b/>
                <w:sz w:val="16"/>
                <w:szCs w:val="16"/>
              </w:rPr>
              <w:t>Pays hôte/ bénéficiaires</w:t>
            </w:r>
          </w:p>
        </w:tc>
        <w:tc>
          <w:tcPr>
            <w:tcW w:w="4252" w:type="dxa"/>
            <w:tcBorders>
              <w:top w:val="nil"/>
              <w:left w:val="nil"/>
              <w:bottom w:val="nil"/>
              <w:right w:val="nil"/>
            </w:tcBorders>
            <w:vAlign w:val="center"/>
          </w:tcPr>
          <w:p w14:paraId="2B205658" w14:textId="77777777" w:rsidR="00767EC2" w:rsidRPr="0065453F" w:rsidRDefault="00767EC2" w:rsidP="00A83D07">
            <w:pPr>
              <w:keepNext/>
              <w:spacing w:line="276" w:lineRule="auto"/>
              <w:rPr>
                <w:rFonts w:eastAsiaTheme="minorHAnsi"/>
                <w:b/>
                <w:sz w:val="16"/>
                <w:szCs w:val="16"/>
              </w:rPr>
            </w:pPr>
            <w:r w:rsidRPr="0065453F">
              <w:rPr>
                <w:rFonts w:eastAsiaTheme="minorHAnsi"/>
                <w:b/>
                <w:sz w:val="16"/>
                <w:szCs w:val="16"/>
              </w:rPr>
              <w:t>Objectif(s)/description(s)</w:t>
            </w:r>
          </w:p>
        </w:tc>
      </w:tr>
      <w:tr w:rsidR="00767EC2" w:rsidRPr="0065453F" w14:paraId="4F949773" w14:textId="77777777" w:rsidTr="00A83D07">
        <w:trPr>
          <w:cantSplit/>
        </w:trPr>
        <w:tc>
          <w:tcPr>
            <w:tcW w:w="1786" w:type="dxa"/>
            <w:tcBorders>
              <w:top w:val="nil"/>
              <w:left w:val="nil"/>
              <w:bottom w:val="nil"/>
              <w:right w:val="nil"/>
            </w:tcBorders>
          </w:tcPr>
          <w:p w14:paraId="33074DD8"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Programme d’études sur l’innovation et le transfert de technologie</w:t>
            </w:r>
          </w:p>
        </w:tc>
        <w:tc>
          <w:tcPr>
            <w:tcW w:w="1335" w:type="dxa"/>
            <w:gridSpan w:val="4"/>
            <w:tcBorders>
              <w:top w:val="nil"/>
              <w:left w:val="nil"/>
              <w:bottom w:val="nil"/>
              <w:right w:val="nil"/>
            </w:tcBorders>
          </w:tcPr>
          <w:p w14:paraId="3A421E94"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8 – 10 mars 2016</w:t>
            </w:r>
          </w:p>
        </w:tc>
        <w:tc>
          <w:tcPr>
            <w:tcW w:w="1699" w:type="dxa"/>
            <w:tcBorders>
              <w:top w:val="nil"/>
              <w:left w:val="nil"/>
              <w:bottom w:val="nil"/>
              <w:right w:val="nil"/>
            </w:tcBorders>
          </w:tcPr>
          <w:p w14:paraId="159BD5B5"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Japon/6 participants de l’Égypte, du Kenya, du Ghana, du Nigéria, du Maroc et de l’Afrique du Sud</w:t>
            </w:r>
          </w:p>
        </w:tc>
        <w:tc>
          <w:tcPr>
            <w:tcW w:w="4252" w:type="dxa"/>
            <w:tcBorders>
              <w:top w:val="nil"/>
              <w:left w:val="nil"/>
              <w:bottom w:val="nil"/>
              <w:right w:val="nil"/>
            </w:tcBorders>
          </w:tcPr>
          <w:p w14:paraId="16622E3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 xml:space="preserve">Approfondir la compréhension de l’expérience des institutions japonaises compétentes en matière de gestion de la propriété intellectuelle et des réussites en matière de promotion du transfert et de la commercialisation de technologies </w:t>
            </w:r>
          </w:p>
        </w:tc>
      </w:tr>
      <w:tr w:rsidR="00767EC2" w:rsidRPr="0065453F" w14:paraId="560505A6" w14:textId="77777777" w:rsidTr="00A83D07">
        <w:trPr>
          <w:cantSplit/>
        </w:trPr>
        <w:tc>
          <w:tcPr>
            <w:tcW w:w="1786" w:type="dxa"/>
            <w:tcBorders>
              <w:top w:val="nil"/>
              <w:left w:val="nil"/>
              <w:bottom w:val="nil"/>
              <w:right w:val="nil"/>
            </w:tcBorders>
          </w:tcPr>
          <w:p w14:paraId="128306F3"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Visite d’étude : Coordonnateurs des questions de propriété intellectuelle des communautés économiques régionales africaines et des organes exécutifs de l’Union africaine</w:t>
            </w:r>
          </w:p>
        </w:tc>
        <w:tc>
          <w:tcPr>
            <w:tcW w:w="1335" w:type="dxa"/>
            <w:gridSpan w:val="4"/>
            <w:tcBorders>
              <w:top w:val="nil"/>
              <w:left w:val="nil"/>
              <w:bottom w:val="nil"/>
              <w:right w:val="nil"/>
            </w:tcBorders>
          </w:tcPr>
          <w:p w14:paraId="47AE4888"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17 – 19 mai 2016</w:t>
            </w:r>
          </w:p>
        </w:tc>
        <w:tc>
          <w:tcPr>
            <w:tcW w:w="1699" w:type="dxa"/>
            <w:tcBorders>
              <w:top w:val="nil"/>
              <w:left w:val="nil"/>
              <w:bottom w:val="nil"/>
              <w:right w:val="nil"/>
            </w:tcBorders>
          </w:tcPr>
          <w:p w14:paraId="0421625A" w14:textId="77777777" w:rsidR="00767EC2" w:rsidRPr="001E3776" w:rsidRDefault="00767EC2" w:rsidP="00A83D07">
            <w:pPr>
              <w:autoSpaceDE w:val="0"/>
              <w:autoSpaceDN w:val="0"/>
              <w:adjustRightInd w:val="0"/>
              <w:spacing w:line="276" w:lineRule="auto"/>
              <w:rPr>
                <w:rFonts w:eastAsiaTheme="minorHAnsi"/>
                <w:sz w:val="16"/>
                <w:szCs w:val="16"/>
                <w:lang w:val="en-US"/>
              </w:rPr>
            </w:pPr>
            <w:r w:rsidRPr="001E3776">
              <w:rPr>
                <w:rFonts w:eastAsiaTheme="minorHAnsi"/>
                <w:sz w:val="16"/>
                <w:szCs w:val="16"/>
                <w:lang w:val="en-US"/>
              </w:rPr>
              <w:t>Genève / COMESA, CEEAC, CEDEAO, SADC, UEMOA</w:t>
            </w:r>
          </w:p>
        </w:tc>
        <w:tc>
          <w:tcPr>
            <w:tcW w:w="4252" w:type="dxa"/>
            <w:tcBorders>
              <w:top w:val="nil"/>
              <w:left w:val="nil"/>
              <w:bottom w:val="nil"/>
              <w:right w:val="nil"/>
            </w:tcBorders>
          </w:tcPr>
          <w:p w14:paraId="0FC6BB1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Renforcer la coopération de l’OMPI avec l’Union africaine et les communautés économiques régionales africaines;  ii) entrer en contact avec les coordonnateurs des questions de propriété intellectuelle nommés officiellement;  iii) promouvoir la visibilité et l’activité de l’OMPI en Afrique.</w:t>
            </w:r>
          </w:p>
        </w:tc>
      </w:tr>
      <w:tr w:rsidR="00767EC2" w:rsidRPr="0065453F" w14:paraId="0E5A95B5" w14:textId="77777777" w:rsidTr="00A83D07">
        <w:trPr>
          <w:cantSplit/>
        </w:trPr>
        <w:tc>
          <w:tcPr>
            <w:tcW w:w="9072" w:type="dxa"/>
            <w:gridSpan w:val="7"/>
            <w:tcBorders>
              <w:top w:val="nil"/>
              <w:left w:val="nil"/>
              <w:bottom w:val="nil"/>
              <w:right w:val="nil"/>
            </w:tcBorders>
            <w:shd w:val="clear" w:color="auto" w:fill="C6D9F1" w:themeFill="text2" w:themeFillTint="33"/>
          </w:tcPr>
          <w:p w14:paraId="19B6A166" w14:textId="77777777" w:rsidR="00767EC2" w:rsidRPr="0065453F" w:rsidRDefault="00767EC2" w:rsidP="00A83D07">
            <w:pPr>
              <w:keepNext/>
              <w:keepLines/>
              <w:tabs>
                <w:tab w:val="left" w:pos="1740"/>
              </w:tabs>
              <w:spacing w:line="276" w:lineRule="auto"/>
              <w:rPr>
                <w:rFonts w:eastAsiaTheme="minorHAnsi"/>
                <w:sz w:val="16"/>
                <w:szCs w:val="16"/>
              </w:rPr>
            </w:pPr>
            <w:r w:rsidRPr="0065453F">
              <w:rPr>
                <w:rFonts w:eastAsiaTheme="minorHAnsi"/>
                <w:b/>
                <w:sz w:val="16"/>
                <w:szCs w:val="16"/>
              </w:rPr>
              <w:t>RÉSULTAT</w:t>
            </w:r>
            <w:r w:rsidRPr="0065453F">
              <w:rPr>
                <w:rFonts w:eastAsiaTheme="minorHAnsi"/>
                <w:sz w:val="16"/>
                <w:szCs w:val="16"/>
              </w:rPr>
              <w:t> </w:t>
            </w:r>
            <w:r>
              <w:rPr>
                <w:rFonts w:eastAsiaTheme="minorHAnsi"/>
                <w:sz w:val="16"/>
                <w:szCs w:val="16"/>
              </w:rPr>
              <w:t xml:space="preserve">: </w:t>
            </w:r>
            <w:r w:rsidRPr="0065453F">
              <w:rPr>
                <w:rFonts w:eastAsiaTheme="minorHAnsi"/>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65453F" w14:paraId="11009CBC" w14:textId="77777777" w:rsidTr="00A83D07">
        <w:trPr>
          <w:cantSplit/>
        </w:trPr>
        <w:tc>
          <w:tcPr>
            <w:tcW w:w="1786" w:type="dxa"/>
            <w:tcBorders>
              <w:top w:val="nil"/>
              <w:left w:val="nil"/>
              <w:bottom w:val="nil"/>
              <w:right w:val="nil"/>
            </w:tcBorders>
            <w:vAlign w:val="center"/>
          </w:tcPr>
          <w:p w14:paraId="442DF774" w14:textId="77777777" w:rsidR="00767EC2" w:rsidRPr="0065453F" w:rsidRDefault="00767EC2" w:rsidP="00A83D07">
            <w:pPr>
              <w:keepNext/>
              <w:keepLines/>
              <w:spacing w:line="276" w:lineRule="auto"/>
              <w:rPr>
                <w:rFonts w:eastAsiaTheme="minorHAnsi"/>
                <w:b/>
                <w:bCs/>
                <w:sz w:val="16"/>
                <w:szCs w:val="16"/>
              </w:rPr>
            </w:pPr>
            <w:r w:rsidRPr="0065453F">
              <w:rPr>
                <w:rFonts w:eastAsiaTheme="minorHAnsi"/>
                <w:b/>
                <w:bCs/>
                <w:sz w:val="16"/>
                <w:szCs w:val="16"/>
              </w:rPr>
              <w:t>Activité</w:t>
            </w:r>
          </w:p>
        </w:tc>
        <w:tc>
          <w:tcPr>
            <w:tcW w:w="1322" w:type="dxa"/>
            <w:gridSpan w:val="3"/>
            <w:tcBorders>
              <w:top w:val="nil"/>
              <w:left w:val="nil"/>
              <w:bottom w:val="nil"/>
              <w:right w:val="nil"/>
            </w:tcBorders>
            <w:vAlign w:val="center"/>
          </w:tcPr>
          <w:p w14:paraId="327AE78C"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Date</w:t>
            </w:r>
          </w:p>
        </w:tc>
        <w:tc>
          <w:tcPr>
            <w:tcW w:w="1712" w:type="dxa"/>
            <w:gridSpan w:val="2"/>
            <w:tcBorders>
              <w:top w:val="nil"/>
              <w:left w:val="nil"/>
              <w:bottom w:val="nil"/>
              <w:right w:val="nil"/>
            </w:tcBorders>
            <w:vAlign w:val="center"/>
          </w:tcPr>
          <w:p w14:paraId="3011A77F"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Pays hôte/ bénéficiaires</w:t>
            </w:r>
          </w:p>
        </w:tc>
        <w:tc>
          <w:tcPr>
            <w:tcW w:w="4252" w:type="dxa"/>
            <w:tcBorders>
              <w:top w:val="nil"/>
              <w:left w:val="nil"/>
              <w:bottom w:val="nil"/>
              <w:right w:val="nil"/>
            </w:tcBorders>
            <w:vAlign w:val="center"/>
          </w:tcPr>
          <w:p w14:paraId="30539179"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Objectif(s)/description(s)</w:t>
            </w:r>
          </w:p>
        </w:tc>
      </w:tr>
      <w:tr w:rsidR="00767EC2" w:rsidRPr="0065453F" w14:paraId="1545F5EE" w14:textId="77777777" w:rsidTr="00A83D07">
        <w:trPr>
          <w:cantSplit/>
        </w:trPr>
        <w:tc>
          <w:tcPr>
            <w:tcW w:w="1786" w:type="dxa"/>
            <w:tcBorders>
              <w:top w:val="nil"/>
              <w:left w:val="nil"/>
              <w:bottom w:val="nil"/>
              <w:right w:val="nil"/>
            </w:tcBorders>
          </w:tcPr>
          <w:p w14:paraId="5F89A09A" w14:textId="77777777" w:rsidR="00767EC2" w:rsidRPr="0065453F" w:rsidRDefault="00767EC2" w:rsidP="00A83D07">
            <w:pPr>
              <w:keepNext/>
              <w:keepLines/>
              <w:autoSpaceDE w:val="0"/>
              <w:autoSpaceDN w:val="0"/>
              <w:adjustRightInd w:val="0"/>
              <w:spacing w:line="276" w:lineRule="auto"/>
              <w:rPr>
                <w:rFonts w:eastAsiaTheme="minorHAnsi"/>
                <w:sz w:val="16"/>
                <w:szCs w:val="16"/>
              </w:rPr>
            </w:pPr>
            <w:r w:rsidRPr="0065453F">
              <w:rPr>
                <w:rFonts w:eastAsiaTheme="minorHAnsi"/>
                <w:sz w:val="16"/>
                <w:szCs w:val="16"/>
              </w:rPr>
              <w:t>Réunion de planification et premier atelier de formation pour un projet de gestion de l’image de marque (</w:t>
            </w:r>
            <w:proofErr w:type="spellStart"/>
            <w:r w:rsidRPr="0065453F">
              <w:rPr>
                <w:rFonts w:eastAsiaTheme="minorHAnsi"/>
                <w:i/>
                <w:sz w:val="16"/>
                <w:szCs w:val="16"/>
              </w:rPr>
              <w:t>branding</w:t>
            </w:r>
            <w:proofErr w:type="spellEnd"/>
            <w:r w:rsidRPr="0065453F">
              <w:rPr>
                <w:rFonts w:eastAsiaTheme="minorHAnsi"/>
                <w:sz w:val="16"/>
                <w:szCs w:val="16"/>
              </w:rPr>
              <w:t>) utilisant les actifs de propriété intellectuelle pour le “panier </w:t>
            </w:r>
            <w:proofErr w:type="spellStart"/>
            <w:r w:rsidRPr="0065453F">
              <w:rPr>
                <w:rFonts w:eastAsiaTheme="minorHAnsi"/>
                <w:sz w:val="16"/>
                <w:szCs w:val="16"/>
              </w:rPr>
              <w:t>Taita</w:t>
            </w:r>
            <w:proofErr w:type="spellEnd"/>
            <w:r w:rsidRPr="0065453F">
              <w:rPr>
                <w:rFonts w:eastAsiaTheme="minorHAnsi"/>
                <w:sz w:val="16"/>
                <w:szCs w:val="16"/>
              </w:rPr>
              <w:t>”</w:t>
            </w:r>
          </w:p>
        </w:tc>
        <w:tc>
          <w:tcPr>
            <w:tcW w:w="1322" w:type="dxa"/>
            <w:gridSpan w:val="3"/>
            <w:tcBorders>
              <w:top w:val="nil"/>
              <w:left w:val="nil"/>
              <w:bottom w:val="nil"/>
              <w:right w:val="nil"/>
            </w:tcBorders>
          </w:tcPr>
          <w:p w14:paraId="3DE318A6" w14:textId="77777777" w:rsidR="00767EC2" w:rsidRPr="0065453F" w:rsidRDefault="00767EC2" w:rsidP="00A83D07">
            <w:pPr>
              <w:keepNext/>
              <w:keepLines/>
              <w:autoSpaceDE w:val="0"/>
              <w:autoSpaceDN w:val="0"/>
              <w:adjustRightInd w:val="0"/>
              <w:spacing w:line="276" w:lineRule="auto"/>
              <w:rPr>
                <w:rFonts w:eastAsiaTheme="minorHAnsi"/>
                <w:sz w:val="16"/>
                <w:szCs w:val="16"/>
              </w:rPr>
            </w:pPr>
            <w:r w:rsidRPr="0065453F">
              <w:rPr>
                <w:rFonts w:eastAsiaTheme="minorHAnsi"/>
                <w:sz w:val="16"/>
                <w:szCs w:val="16"/>
              </w:rPr>
              <w:t>15 – 19 février 2016</w:t>
            </w:r>
          </w:p>
        </w:tc>
        <w:tc>
          <w:tcPr>
            <w:tcW w:w="1712" w:type="dxa"/>
            <w:gridSpan w:val="2"/>
            <w:tcBorders>
              <w:top w:val="nil"/>
              <w:left w:val="nil"/>
              <w:bottom w:val="nil"/>
              <w:right w:val="nil"/>
            </w:tcBorders>
          </w:tcPr>
          <w:p w14:paraId="4C3576F0" w14:textId="77777777" w:rsidR="00767EC2" w:rsidRPr="0065453F" w:rsidRDefault="00767EC2" w:rsidP="00A83D07">
            <w:pPr>
              <w:keepNext/>
              <w:keepLines/>
              <w:autoSpaceDE w:val="0"/>
              <w:autoSpaceDN w:val="0"/>
              <w:adjustRightInd w:val="0"/>
              <w:spacing w:line="276" w:lineRule="auto"/>
              <w:rPr>
                <w:rFonts w:eastAsiaTheme="minorHAnsi"/>
                <w:sz w:val="16"/>
                <w:szCs w:val="16"/>
              </w:rPr>
            </w:pPr>
            <w:r w:rsidRPr="0065453F">
              <w:rPr>
                <w:rFonts w:eastAsiaTheme="minorHAnsi"/>
                <w:sz w:val="16"/>
                <w:szCs w:val="16"/>
              </w:rPr>
              <w:t>Kenya/ 30 participants locaux</w:t>
            </w:r>
          </w:p>
        </w:tc>
        <w:tc>
          <w:tcPr>
            <w:tcW w:w="4252" w:type="dxa"/>
            <w:tcBorders>
              <w:top w:val="nil"/>
              <w:left w:val="nil"/>
              <w:bottom w:val="nil"/>
              <w:right w:val="nil"/>
            </w:tcBorders>
          </w:tcPr>
          <w:p w14:paraId="3A20BED6" w14:textId="77777777" w:rsidR="00767EC2" w:rsidRPr="0065453F" w:rsidRDefault="00767EC2" w:rsidP="00A83D07">
            <w:pPr>
              <w:keepNext/>
              <w:keepLines/>
              <w:autoSpaceDE w:val="0"/>
              <w:autoSpaceDN w:val="0"/>
              <w:adjustRightInd w:val="0"/>
              <w:spacing w:line="276" w:lineRule="auto"/>
              <w:rPr>
                <w:rFonts w:eastAsiaTheme="minorHAnsi"/>
                <w:sz w:val="16"/>
                <w:szCs w:val="16"/>
              </w:rPr>
            </w:pPr>
            <w:r w:rsidRPr="0065453F">
              <w:rPr>
                <w:rFonts w:eastAsiaTheme="minorHAnsi"/>
                <w:sz w:val="16"/>
                <w:szCs w:val="16"/>
              </w:rPr>
              <w:t>i) Échanger sur la stratégie de mise en œuvre du projet de gestion de l’image de marque (</w:t>
            </w:r>
            <w:proofErr w:type="spellStart"/>
            <w:r w:rsidRPr="0065453F">
              <w:rPr>
                <w:rFonts w:eastAsiaTheme="minorHAnsi"/>
                <w:i/>
                <w:sz w:val="16"/>
                <w:szCs w:val="16"/>
              </w:rPr>
              <w:t>branding</w:t>
            </w:r>
            <w:proofErr w:type="spellEnd"/>
            <w:r w:rsidRPr="0065453F">
              <w:rPr>
                <w:rFonts w:eastAsiaTheme="minorHAnsi"/>
                <w:sz w:val="16"/>
                <w:szCs w:val="16"/>
              </w:rPr>
              <w:t>), puis convenir d’une solution en la matière;  ii) faire en sorte que les vanniers aient des connaissances en matière de propriété intellectuelle;  iii) les sensibiliser à l’importance des normes et du contrôle de la qualité.</w:t>
            </w:r>
          </w:p>
        </w:tc>
      </w:tr>
      <w:tr w:rsidR="00767EC2" w:rsidRPr="0065453F" w14:paraId="5BF73085" w14:textId="77777777" w:rsidTr="00A83D07">
        <w:trPr>
          <w:cantSplit/>
        </w:trPr>
        <w:tc>
          <w:tcPr>
            <w:tcW w:w="1786" w:type="dxa"/>
            <w:tcBorders>
              <w:top w:val="nil"/>
              <w:left w:val="nil"/>
              <w:bottom w:val="nil"/>
              <w:right w:val="nil"/>
            </w:tcBorders>
          </w:tcPr>
          <w:p w14:paraId="37F86B4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Atelier de formation à l’intention des examinateurs de brevets sur l’information en matière de brevets, les méthodes de recherche sur l’état de la technique et l’utilisation des rapports d’examen établis ailleurs</w:t>
            </w:r>
          </w:p>
        </w:tc>
        <w:tc>
          <w:tcPr>
            <w:tcW w:w="1322" w:type="dxa"/>
            <w:gridSpan w:val="3"/>
            <w:tcBorders>
              <w:top w:val="nil"/>
              <w:left w:val="nil"/>
              <w:bottom w:val="nil"/>
              <w:right w:val="nil"/>
            </w:tcBorders>
          </w:tcPr>
          <w:p w14:paraId="50393985"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14 – 18 mars 2016</w:t>
            </w:r>
          </w:p>
        </w:tc>
        <w:tc>
          <w:tcPr>
            <w:tcW w:w="1712" w:type="dxa"/>
            <w:gridSpan w:val="2"/>
            <w:tcBorders>
              <w:top w:val="nil"/>
              <w:left w:val="nil"/>
              <w:bottom w:val="nil"/>
              <w:right w:val="nil"/>
            </w:tcBorders>
          </w:tcPr>
          <w:p w14:paraId="3E608745"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Afrique du Sud/ 17 participants de la Commission des sociétés et de la propriété intellectuelle (CIPC)</w:t>
            </w:r>
          </w:p>
        </w:tc>
        <w:tc>
          <w:tcPr>
            <w:tcW w:w="4252" w:type="dxa"/>
            <w:tcBorders>
              <w:top w:val="nil"/>
              <w:left w:val="nil"/>
              <w:bottom w:val="nil"/>
              <w:right w:val="nil"/>
            </w:tcBorders>
          </w:tcPr>
          <w:p w14:paraId="183247BF"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Dispenser un atelier d’initiation de cinq jours sur l’information en matière de brevets et l’utilisation des rapports d’examen produits ailleurs à l’intention de 17 fonctionnaires de la CIPC nouvellement recrutés.</w:t>
            </w:r>
          </w:p>
        </w:tc>
      </w:tr>
      <w:tr w:rsidR="00767EC2" w:rsidRPr="0065453F" w14:paraId="4FBDFA4E" w14:textId="77777777" w:rsidTr="00A83D07">
        <w:trPr>
          <w:cantSplit/>
        </w:trPr>
        <w:tc>
          <w:tcPr>
            <w:tcW w:w="1786" w:type="dxa"/>
            <w:tcBorders>
              <w:top w:val="nil"/>
              <w:left w:val="nil"/>
              <w:bottom w:val="nil"/>
              <w:right w:val="nil"/>
            </w:tcBorders>
          </w:tcPr>
          <w:p w14:paraId="350D38C1"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Deuxième atelier de formation et réunion des parties prenantes du projet de gestion de l’image de marque (</w:t>
            </w:r>
            <w:proofErr w:type="spellStart"/>
            <w:r w:rsidRPr="0065453F">
              <w:rPr>
                <w:rFonts w:eastAsiaTheme="minorHAnsi"/>
                <w:i/>
                <w:sz w:val="16"/>
                <w:szCs w:val="16"/>
              </w:rPr>
              <w:t>branding</w:t>
            </w:r>
            <w:proofErr w:type="spellEnd"/>
            <w:r w:rsidRPr="0065453F">
              <w:rPr>
                <w:rFonts w:eastAsiaTheme="minorHAnsi"/>
                <w:sz w:val="16"/>
                <w:szCs w:val="16"/>
              </w:rPr>
              <w:t>) utilisant les actifs de propriété intellectuelle pour le “panier </w:t>
            </w:r>
            <w:proofErr w:type="spellStart"/>
            <w:r w:rsidRPr="0065453F">
              <w:rPr>
                <w:rFonts w:eastAsiaTheme="minorHAnsi"/>
                <w:sz w:val="16"/>
                <w:szCs w:val="16"/>
              </w:rPr>
              <w:t>Taita</w:t>
            </w:r>
            <w:proofErr w:type="spellEnd"/>
            <w:r w:rsidRPr="0065453F">
              <w:rPr>
                <w:rFonts w:eastAsiaTheme="minorHAnsi"/>
                <w:sz w:val="16"/>
                <w:szCs w:val="16"/>
              </w:rPr>
              <w:t>”</w:t>
            </w:r>
          </w:p>
        </w:tc>
        <w:tc>
          <w:tcPr>
            <w:tcW w:w="1322" w:type="dxa"/>
            <w:gridSpan w:val="3"/>
            <w:tcBorders>
              <w:top w:val="nil"/>
              <w:left w:val="nil"/>
              <w:bottom w:val="nil"/>
              <w:right w:val="nil"/>
            </w:tcBorders>
          </w:tcPr>
          <w:p w14:paraId="5747272B"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20 – 24 juin 2016</w:t>
            </w:r>
          </w:p>
        </w:tc>
        <w:tc>
          <w:tcPr>
            <w:tcW w:w="1712" w:type="dxa"/>
            <w:gridSpan w:val="2"/>
            <w:tcBorders>
              <w:top w:val="nil"/>
              <w:left w:val="nil"/>
              <w:bottom w:val="nil"/>
              <w:right w:val="nil"/>
            </w:tcBorders>
          </w:tcPr>
          <w:p w14:paraId="5FB67B6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Kenya/ approximativement 450 participants locaux</w:t>
            </w:r>
          </w:p>
        </w:tc>
        <w:tc>
          <w:tcPr>
            <w:tcW w:w="4252" w:type="dxa"/>
            <w:tcBorders>
              <w:top w:val="nil"/>
              <w:left w:val="nil"/>
              <w:bottom w:val="nil"/>
              <w:right w:val="nil"/>
            </w:tcBorders>
          </w:tcPr>
          <w:p w14:paraId="76A91600"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Échanger sur le projet de constitution de l’association, le projet de création d’un logo représentant la marque collective, le projet de normes de qualité et le projet de règlement afférent à la marque, puis convenir d’une solution en la matière;  ii) faire en sorte que les vanniers aient des connaissances en matière de marques collectives;  iii) améliorer la qualité des paniers, en vue du respect des normes de qualité imposées par le règlement afférent à la marque.</w:t>
            </w:r>
          </w:p>
        </w:tc>
      </w:tr>
      <w:tr w:rsidR="00767EC2" w:rsidRPr="0065453F" w14:paraId="04249B41" w14:textId="77777777" w:rsidTr="00A83D07">
        <w:trPr>
          <w:cantSplit/>
        </w:trPr>
        <w:tc>
          <w:tcPr>
            <w:tcW w:w="1786" w:type="dxa"/>
            <w:tcBorders>
              <w:top w:val="nil"/>
              <w:left w:val="nil"/>
              <w:bottom w:val="nil"/>
              <w:right w:val="nil"/>
            </w:tcBorders>
          </w:tcPr>
          <w:p w14:paraId="4638695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 xml:space="preserve">Politiques de propriété intellectuelle dans les universités et les instituts de recherche – Conférence </w:t>
            </w:r>
            <w:proofErr w:type="spellStart"/>
            <w:r w:rsidRPr="0065453F">
              <w:rPr>
                <w:rFonts w:eastAsiaTheme="minorHAnsi"/>
                <w:sz w:val="16"/>
                <w:szCs w:val="16"/>
              </w:rPr>
              <w:t>sous</w:t>
            </w:r>
            <w:r w:rsidRPr="0065453F">
              <w:rPr>
                <w:rFonts w:eastAsiaTheme="minorHAnsi"/>
                <w:sz w:val="16"/>
                <w:szCs w:val="16"/>
              </w:rPr>
              <w:noBreakHyphen/>
              <w:t>régionale</w:t>
            </w:r>
            <w:proofErr w:type="spellEnd"/>
            <w:r w:rsidRPr="0065453F">
              <w:rPr>
                <w:rFonts w:eastAsiaTheme="minorHAnsi"/>
                <w:b/>
                <w:sz w:val="16"/>
                <w:szCs w:val="16"/>
              </w:rPr>
              <w:t xml:space="preserve"> </w:t>
            </w:r>
          </w:p>
        </w:tc>
        <w:tc>
          <w:tcPr>
            <w:tcW w:w="1322" w:type="dxa"/>
            <w:gridSpan w:val="3"/>
            <w:tcBorders>
              <w:top w:val="nil"/>
              <w:left w:val="nil"/>
              <w:bottom w:val="nil"/>
              <w:right w:val="nil"/>
            </w:tcBorders>
          </w:tcPr>
          <w:p w14:paraId="7D2EE541"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11 et 12 mai 2016</w:t>
            </w:r>
          </w:p>
        </w:tc>
        <w:tc>
          <w:tcPr>
            <w:tcW w:w="1712" w:type="dxa"/>
            <w:gridSpan w:val="2"/>
            <w:tcBorders>
              <w:top w:val="nil"/>
              <w:left w:val="nil"/>
              <w:bottom w:val="nil"/>
              <w:right w:val="nil"/>
            </w:tcBorders>
          </w:tcPr>
          <w:p w14:paraId="0B1DF1F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Maroc/ 50 participants des pays suivants : Algérie, Bénin, Botswana, Burkina Faso, Cameroun, Congo, Égypte, Éthiopie, Gabon, Ghana, Guinée, Kenya, Mali, Mozambique, Niger, Nigéria, Ouganda, Sénégal, ARIPO, OAPI</w:t>
            </w:r>
          </w:p>
        </w:tc>
        <w:tc>
          <w:tcPr>
            <w:tcW w:w="4252" w:type="dxa"/>
            <w:tcBorders>
              <w:top w:val="nil"/>
              <w:left w:val="nil"/>
              <w:bottom w:val="nil"/>
              <w:right w:val="nil"/>
            </w:tcBorders>
          </w:tcPr>
          <w:p w14:paraId="16D8543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Présenter à un certain nombre d’universités, d’instituts de recherche et de ministères de la Recherche et de l’Enseignement supérieur des pays africains un modèle de politique de propriété intellectuelle élaboré par l’OMPI à l’intention des établissements universitaires;  ii) enrichir ce modèle à partir des expériences des pays;  iii) sélectionner les universités et les instituts de recherche qui présenteront le projet pilote de politique de propriété intellectuelle;  iv) entamer la mise en œuvre du projet pilote.</w:t>
            </w:r>
          </w:p>
        </w:tc>
      </w:tr>
      <w:tr w:rsidR="00767EC2" w:rsidRPr="0065453F" w14:paraId="2D3E627A" w14:textId="77777777" w:rsidTr="00A83D07">
        <w:trPr>
          <w:cantSplit/>
        </w:trPr>
        <w:tc>
          <w:tcPr>
            <w:tcW w:w="1786" w:type="dxa"/>
            <w:tcBorders>
              <w:top w:val="nil"/>
              <w:left w:val="nil"/>
              <w:bottom w:val="nil"/>
              <w:right w:val="nil"/>
            </w:tcBorders>
          </w:tcPr>
          <w:p w14:paraId="0B64C018"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 xml:space="preserve">Atelier </w:t>
            </w:r>
            <w:proofErr w:type="spellStart"/>
            <w:r w:rsidRPr="0065453F">
              <w:rPr>
                <w:rFonts w:eastAsiaTheme="minorHAnsi"/>
                <w:sz w:val="16"/>
                <w:szCs w:val="16"/>
              </w:rPr>
              <w:t>sous</w:t>
            </w:r>
            <w:r w:rsidRPr="0065453F">
              <w:rPr>
                <w:rFonts w:eastAsiaTheme="minorHAnsi"/>
                <w:sz w:val="16"/>
                <w:szCs w:val="16"/>
              </w:rPr>
              <w:noBreakHyphen/>
              <w:t>régional</w:t>
            </w:r>
            <w:proofErr w:type="spellEnd"/>
            <w:r w:rsidRPr="0065453F">
              <w:rPr>
                <w:rFonts w:eastAsiaTheme="minorHAnsi"/>
                <w:sz w:val="16"/>
                <w:szCs w:val="16"/>
              </w:rPr>
              <w:t xml:space="preserve"> sur la propriété intellectuelle à l’intention des jeunes innovateurs : de l’idée au marché</w:t>
            </w:r>
          </w:p>
        </w:tc>
        <w:tc>
          <w:tcPr>
            <w:tcW w:w="1322" w:type="dxa"/>
            <w:gridSpan w:val="3"/>
            <w:tcBorders>
              <w:top w:val="nil"/>
              <w:left w:val="nil"/>
              <w:bottom w:val="nil"/>
              <w:right w:val="nil"/>
            </w:tcBorders>
          </w:tcPr>
          <w:p w14:paraId="332A040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22 et 23 juin 2016</w:t>
            </w:r>
          </w:p>
        </w:tc>
        <w:tc>
          <w:tcPr>
            <w:tcW w:w="1712" w:type="dxa"/>
            <w:gridSpan w:val="2"/>
            <w:tcBorders>
              <w:top w:val="nil"/>
              <w:left w:val="nil"/>
              <w:bottom w:val="nil"/>
              <w:right w:val="nil"/>
            </w:tcBorders>
          </w:tcPr>
          <w:p w14:paraId="6DE959E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Botswana/ 50 participants des pays suivants : Algérie, Botswana, Éthiopie, Ghana, Kenya, Maroc, Niger, Nigéria, Rwanda, Togo, Ouganda, Zambie, Zimbabwe</w:t>
            </w:r>
          </w:p>
        </w:tc>
        <w:tc>
          <w:tcPr>
            <w:tcW w:w="4252" w:type="dxa"/>
            <w:tcBorders>
              <w:top w:val="nil"/>
              <w:left w:val="nil"/>
              <w:bottom w:val="nil"/>
              <w:right w:val="nil"/>
            </w:tcBorders>
          </w:tcPr>
          <w:p w14:paraId="2C2BF40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Mettre à la disposition des jeunes innovateurs/inventeurs africains une plateforme leur permettant de procéder à un échange de points de vue et d’expériences;  ii) expliquer aux participants ce qu’est le système de propriété intellectuelle et comment utiliser les actifs de propriété intellectuelle pour protéger, développer et commercialiser des innovations;  iii) en savoir plus sur les avantages et les coûts liés à l’utilisation du système de propriété intellectuelle du point de vue national, régional et international;  iv) fournir un forum dédié au partage des connaissances via une session interactive avec des facilitateurs dans l’écosystème de l’innovation.</w:t>
            </w:r>
          </w:p>
        </w:tc>
      </w:tr>
      <w:tr w:rsidR="00767EC2" w:rsidRPr="0065453F" w14:paraId="019AC7E9" w14:textId="77777777" w:rsidTr="00A83D07">
        <w:trPr>
          <w:cantSplit/>
        </w:trPr>
        <w:tc>
          <w:tcPr>
            <w:tcW w:w="1786" w:type="dxa"/>
            <w:tcBorders>
              <w:top w:val="nil"/>
              <w:left w:val="nil"/>
              <w:bottom w:val="nil"/>
              <w:right w:val="nil"/>
            </w:tcBorders>
          </w:tcPr>
          <w:p w14:paraId="4D54AE4C" w14:textId="77777777" w:rsidR="00767EC2" w:rsidRPr="0065453F" w:rsidRDefault="00767EC2" w:rsidP="00A83D07">
            <w:pPr>
              <w:autoSpaceDE w:val="0"/>
              <w:autoSpaceDN w:val="0"/>
              <w:adjustRightInd w:val="0"/>
              <w:spacing w:line="276" w:lineRule="auto"/>
            </w:pPr>
            <w:r w:rsidRPr="0065453F">
              <w:rPr>
                <w:rFonts w:eastAsiaTheme="minorHAnsi"/>
                <w:sz w:val="16"/>
                <w:szCs w:val="16"/>
              </w:rPr>
              <w:t>Atelier interrégional OMPI</w:t>
            </w:r>
            <w:r w:rsidRPr="0065453F">
              <w:rPr>
                <w:rFonts w:eastAsiaTheme="minorHAnsi"/>
                <w:sz w:val="16"/>
                <w:szCs w:val="16"/>
              </w:rPr>
              <w:noBreakHyphen/>
              <w:t>JPO</w:t>
            </w:r>
            <w:r w:rsidRPr="0065453F">
              <w:rPr>
                <w:rFonts w:eastAsiaTheme="minorHAnsi"/>
                <w:sz w:val="16"/>
                <w:szCs w:val="16"/>
              </w:rPr>
              <w:noBreakHyphen/>
              <w:t>OMPIC sur la sanction des droits de propriété intellectuelle à l’intention des fonctionnaires des douanes</w:t>
            </w:r>
          </w:p>
        </w:tc>
        <w:tc>
          <w:tcPr>
            <w:tcW w:w="1322" w:type="dxa"/>
            <w:gridSpan w:val="3"/>
            <w:tcBorders>
              <w:top w:val="nil"/>
              <w:left w:val="nil"/>
              <w:bottom w:val="nil"/>
              <w:right w:val="nil"/>
            </w:tcBorders>
          </w:tcPr>
          <w:p w14:paraId="44AF7A7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17 – 19 mai 2016</w:t>
            </w:r>
          </w:p>
        </w:tc>
        <w:tc>
          <w:tcPr>
            <w:tcW w:w="1712" w:type="dxa"/>
            <w:gridSpan w:val="2"/>
            <w:tcBorders>
              <w:top w:val="nil"/>
              <w:left w:val="nil"/>
              <w:bottom w:val="nil"/>
              <w:right w:val="nil"/>
            </w:tcBorders>
          </w:tcPr>
          <w:p w14:paraId="1AFB084C"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Maroc/ 21 participants des pays suivants : Afrique du Sud, Égypte, Gabon, Ghana, Guinée, Kenya, Mauritanie, Nigéria, Sénégal, Tunisie</w:t>
            </w:r>
          </w:p>
        </w:tc>
        <w:tc>
          <w:tcPr>
            <w:tcW w:w="4252" w:type="dxa"/>
            <w:tcBorders>
              <w:top w:val="nil"/>
              <w:left w:val="nil"/>
              <w:bottom w:val="nil"/>
              <w:right w:val="nil"/>
            </w:tcBorders>
          </w:tcPr>
          <w:p w14:paraId="2B79FAE4"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Affûter la connaissance de la sanction des droits de propriété intellectuelle aux frontières et de ses enjeux;  ii) accroître l’efficacité de la mise en œuvre des mesures à la frontière conformément à la partie III de l’Accord sur les ADPIC dans l’intérêt du développement et de la protection des consommateurs;  iii) procéder à un échange d’expériences et d’informations, y compris sur la vision du Japon.</w:t>
            </w:r>
          </w:p>
        </w:tc>
      </w:tr>
      <w:tr w:rsidR="00767EC2" w:rsidRPr="0065453F" w14:paraId="707F9793" w14:textId="77777777" w:rsidTr="00A83D07">
        <w:trPr>
          <w:cantSplit/>
        </w:trPr>
        <w:tc>
          <w:tcPr>
            <w:tcW w:w="1786" w:type="dxa"/>
            <w:tcBorders>
              <w:top w:val="nil"/>
              <w:left w:val="nil"/>
              <w:bottom w:val="nil"/>
              <w:right w:val="nil"/>
            </w:tcBorders>
          </w:tcPr>
          <w:p w14:paraId="29F3E946"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Programme de master en droit de la propriété intellectuelle organisé conjointement par l’OMPI, l’OAPI et l’Université Yaoundé II</w:t>
            </w:r>
          </w:p>
        </w:tc>
        <w:tc>
          <w:tcPr>
            <w:tcW w:w="1322" w:type="dxa"/>
            <w:gridSpan w:val="3"/>
            <w:tcBorders>
              <w:top w:val="nil"/>
              <w:left w:val="nil"/>
              <w:bottom w:val="nil"/>
              <w:right w:val="nil"/>
            </w:tcBorders>
          </w:tcPr>
          <w:p w14:paraId="0D48DBA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Janvier – juin 2016</w:t>
            </w:r>
          </w:p>
          <w:p w14:paraId="3F20587F"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(en cours)</w:t>
            </w:r>
          </w:p>
        </w:tc>
        <w:tc>
          <w:tcPr>
            <w:tcW w:w="1712" w:type="dxa"/>
            <w:gridSpan w:val="2"/>
            <w:tcBorders>
              <w:top w:val="nil"/>
              <w:left w:val="nil"/>
              <w:bottom w:val="nil"/>
              <w:right w:val="nil"/>
            </w:tcBorders>
          </w:tcPr>
          <w:p w14:paraId="56EFDDC2"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Cameroun/ 10 bourses destinées à des participants des pays suivants : Bénin, Burkina Faso, Cameroun, Comores, Gabon, Guinée, Niger, Rwanda</w:t>
            </w:r>
            <w:r w:rsidRPr="0065453F">
              <w:rPr>
                <w:sz w:val="16"/>
                <w:szCs w:val="16"/>
              </w:rPr>
              <w:t xml:space="preserve">, </w:t>
            </w:r>
            <w:r w:rsidRPr="0065453F">
              <w:rPr>
                <w:rFonts w:eastAsiaTheme="minorHAnsi"/>
                <w:sz w:val="16"/>
                <w:szCs w:val="16"/>
              </w:rPr>
              <w:t>Sénégal, Togo</w:t>
            </w:r>
          </w:p>
        </w:tc>
        <w:tc>
          <w:tcPr>
            <w:tcW w:w="4252" w:type="dxa"/>
            <w:tcBorders>
              <w:top w:val="nil"/>
              <w:left w:val="nil"/>
              <w:bottom w:val="nil"/>
              <w:right w:val="nil"/>
            </w:tcBorders>
          </w:tcPr>
          <w:p w14:paraId="4B1B4700"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Proposer des formations générales et spécialisées en matière de propriété intellectuelle à des fonctionnaires gouvernementaux et des professionnels de la propriété intellectuelle;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767EC2" w:rsidRPr="0065453F" w14:paraId="4336AD24" w14:textId="77777777" w:rsidTr="00A83D07">
        <w:trPr>
          <w:cantSplit/>
        </w:trPr>
        <w:tc>
          <w:tcPr>
            <w:tcW w:w="1786" w:type="dxa"/>
            <w:tcBorders>
              <w:top w:val="nil"/>
              <w:left w:val="nil"/>
              <w:bottom w:val="nil"/>
              <w:right w:val="nil"/>
            </w:tcBorders>
          </w:tcPr>
          <w:p w14:paraId="69E6D4AA"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Programme de master en droit de la propriété intellectuelle organisé conjointement par l’OMPI, l’ARIPO et l’Université africaine</w:t>
            </w:r>
          </w:p>
        </w:tc>
        <w:tc>
          <w:tcPr>
            <w:tcW w:w="1322" w:type="dxa"/>
            <w:gridSpan w:val="3"/>
            <w:tcBorders>
              <w:top w:val="nil"/>
              <w:left w:val="nil"/>
              <w:bottom w:val="nil"/>
              <w:right w:val="nil"/>
            </w:tcBorders>
          </w:tcPr>
          <w:p w14:paraId="57797E1C"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Mai – décembre 2016</w:t>
            </w:r>
          </w:p>
          <w:p w14:paraId="6AE7D7C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(en cours)</w:t>
            </w:r>
          </w:p>
        </w:tc>
        <w:tc>
          <w:tcPr>
            <w:tcW w:w="1712" w:type="dxa"/>
            <w:gridSpan w:val="2"/>
            <w:tcBorders>
              <w:top w:val="nil"/>
              <w:left w:val="nil"/>
              <w:bottom w:val="nil"/>
              <w:right w:val="nil"/>
            </w:tcBorders>
          </w:tcPr>
          <w:p w14:paraId="5B4DE4C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Zimbabwe/ 10 bourses destinées à des participants des pays suivants : Botswana, Burundi, Ghana, Kenya, Libéria, Malawi, Mozambique, Nigéria, Ouganda, Zimbabwe</w:t>
            </w:r>
          </w:p>
        </w:tc>
        <w:tc>
          <w:tcPr>
            <w:tcW w:w="4252" w:type="dxa"/>
            <w:tcBorders>
              <w:top w:val="nil"/>
              <w:left w:val="nil"/>
              <w:bottom w:val="nil"/>
              <w:right w:val="nil"/>
            </w:tcBorders>
          </w:tcPr>
          <w:p w14:paraId="564F81E2"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Proposer des formations générales et spécialisées en matière de propriété intellectuelle à des fonctionnaires gouvernementaux et des professionnels de la propriété intellectuelle;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767EC2" w:rsidRPr="0065453F" w14:paraId="72193EE6" w14:textId="77777777" w:rsidTr="00A83D07">
        <w:trPr>
          <w:cantSplit/>
        </w:trPr>
        <w:tc>
          <w:tcPr>
            <w:tcW w:w="1786" w:type="dxa"/>
            <w:tcBorders>
              <w:top w:val="nil"/>
              <w:left w:val="nil"/>
              <w:bottom w:val="nil"/>
              <w:right w:val="nil"/>
            </w:tcBorders>
          </w:tcPr>
          <w:p w14:paraId="239D2974"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Cours d’été avancé OMPI</w:t>
            </w:r>
            <w:r w:rsidRPr="0065453F">
              <w:rPr>
                <w:rFonts w:eastAsiaTheme="minorHAnsi"/>
                <w:sz w:val="16"/>
                <w:szCs w:val="16"/>
              </w:rPr>
              <w:noBreakHyphen/>
              <w:t>Afrique du Sud sur la propriété intellectuelle et le transfert de technologie,</w:t>
            </w:r>
          </w:p>
        </w:tc>
        <w:tc>
          <w:tcPr>
            <w:tcW w:w="1322" w:type="dxa"/>
            <w:gridSpan w:val="3"/>
            <w:tcBorders>
              <w:top w:val="nil"/>
              <w:left w:val="nil"/>
              <w:bottom w:val="nil"/>
              <w:right w:val="nil"/>
            </w:tcBorders>
          </w:tcPr>
          <w:p w14:paraId="5F4C05C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5 – 15 décembre 2016</w:t>
            </w:r>
          </w:p>
        </w:tc>
        <w:tc>
          <w:tcPr>
            <w:tcW w:w="1712" w:type="dxa"/>
            <w:gridSpan w:val="2"/>
            <w:tcBorders>
              <w:top w:val="nil"/>
              <w:left w:val="nil"/>
              <w:bottom w:val="nil"/>
              <w:right w:val="nil"/>
            </w:tcBorders>
          </w:tcPr>
          <w:p w14:paraId="02869DC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Afrique du Sud/ 10 bourses destinées à des participants des pays suivants : Botswana, Cameroun, Ghana, Kenya, Malawi, Namibie, Nigéria, Swaziland, Ouganda, Zimbabwe</w:t>
            </w:r>
          </w:p>
        </w:tc>
        <w:tc>
          <w:tcPr>
            <w:tcW w:w="4252" w:type="dxa"/>
            <w:tcBorders>
              <w:top w:val="nil"/>
              <w:left w:val="nil"/>
              <w:bottom w:val="nil"/>
              <w:right w:val="nil"/>
            </w:tcBorders>
          </w:tcPr>
          <w:p w14:paraId="01609AA4"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Permettre aux étudiants titulaires d’un diplôme du deuxième ou du troisième cycle universitaire et aux jeunes cadres de : i) approfondir leurs connaissances sur l’interface entre la propriété intellectuelle et le transfert de technologie;  ii) discuter des questions de propriété intellectuelle qui touchent aux négociations de licences par le biais d’études de cas et d’exercices de simulation.</w:t>
            </w:r>
          </w:p>
        </w:tc>
      </w:tr>
      <w:tr w:rsidR="00767EC2" w:rsidRPr="0065453F" w14:paraId="7F1A3129" w14:textId="77777777" w:rsidTr="00A83D07">
        <w:trPr>
          <w:cantSplit/>
        </w:trPr>
        <w:tc>
          <w:tcPr>
            <w:tcW w:w="9072" w:type="dxa"/>
            <w:gridSpan w:val="7"/>
            <w:tcBorders>
              <w:top w:val="nil"/>
              <w:left w:val="nil"/>
              <w:bottom w:val="nil"/>
              <w:right w:val="nil"/>
            </w:tcBorders>
            <w:shd w:val="clear" w:color="auto" w:fill="C6D9F1" w:themeFill="text2" w:themeFillTint="33"/>
          </w:tcPr>
          <w:p w14:paraId="4D8EECAB" w14:textId="77777777" w:rsidR="00767EC2" w:rsidRPr="0065453F" w:rsidRDefault="00767EC2" w:rsidP="00A83D07">
            <w:pPr>
              <w:keepNext/>
              <w:keepLines/>
              <w:tabs>
                <w:tab w:val="left" w:pos="1740"/>
              </w:tabs>
              <w:spacing w:line="276" w:lineRule="auto"/>
              <w:rPr>
                <w:rFonts w:eastAsiaTheme="minorHAnsi"/>
                <w:b/>
                <w:bCs/>
                <w:sz w:val="16"/>
                <w:szCs w:val="16"/>
              </w:rPr>
            </w:pPr>
            <w:r w:rsidRPr="0065453F">
              <w:rPr>
                <w:rFonts w:eastAsiaTheme="minorHAnsi"/>
                <w:b/>
                <w:bCs/>
                <w:sz w:val="16"/>
                <w:szCs w:val="16"/>
              </w:rPr>
              <w:t>RÉSULTAT</w:t>
            </w:r>
            <w:r w:rsidRPr="0065453F">
              <w:rPr>
                <w:rFonts w:eastAsiaTheme="minorHAnsi"/>
                <w:bCs/>
                <w:sz w:val="16"/>
                <w:szCs w:val="16"/>
              </w:rPr>
              <w:t> </w:t>
            </w:r>
            <w:r>
              <w:rPr>
                <w:rFonts w:eastAsiaTheme="minorHAnsi"/>
                <w:bCs/>
                <w:sz w:val="16"/>
                <w:szCs w:val="16"/>
              </w:rPr>
              <w:t xml:space="preserve">: </w:t>
            </w:r>
            <w:r w:rsidRPr="0065453F">
              <w:rPr>
                <w:rFonts w:eastAsiaTheme="minorHAnsi"/>
                <w:bCs/>
                <w:sz w:val="16"/>
                <w:szCs w:val="16"/>
              </w:rPr>
              <w:t>IV.2 Amélioration de l’accessibilité et de l’utilisation de l’information en matière de propriété intellectuelle par les institutions compétentes et le public afin de promouvoir l’innovation et la créativité</w:t>
            </w:r>
          </w:p>
        </w:tc>
      </w:tr>
      <w:tr w:rsidR="00767EC2" w:rsidRPr="0065453F" w14:paraId="51E3D7CF" w14:textId="77777777" w:rsidTr="00A83D07">
        <w:trPr>
          <w:cantSplit/>
        </w:trPr>
        <w:tc>
          <w:tcPr>
            <w:tcW w:w="1786" w:type="dxa"/>
            <w:tcBorders>
              <w:top w:val="nil"/>
              <w:left w:val="nil"/>
              <w:bottom w:val="nil"/>
              <w:right w:val="nil"/>
            </w:tcBorders>
            <w:vAlign w:val="center"/>
          </w:tcPr>
          <w:p w14:paraId="2ADCF851" w14:textId="77777777" w:rsidR="00767EC2" w:rsidRPr="0065453F" w:rsidRDefault="00767EC2" w:rsidP="00A83D07">
            <w:pPr>
              <w:keepNext/>
              <w:keepLines/>
              <w:spacing w:line="276" w:lineRule="auto"/>
              <w:rPr>
                <w:rFonts w:eastAsiaTheme="minorHAnsi"/>
                <w:b/>
                <w:bCs/>
                <w:sz w:val="16"/>
                <w:szCs w:val="16"/>
              </w:rPr>
            </w:pPr>
            <w:r w:rsidRPr="0065453F">
              <w:rPr>
                <w:rFonts w:eastAsiaTheme="minorHAnsi"/>
                <w:b/>
                <w:bCs/>
                <w:sz w:val="16"/>
                <w:szCs w:val="16"/>
              </w:rPr>
              <w:t>Activité</w:t>
            </w:r>
          </w:p>
        </w:tc>
        <w:tc>
          <w:tcPr>
            <w:tcW w:w="1210" w:type="dxa"/>
            <w:gridSpan w:val="2"/>
            <w:tcBorders>
              <w:top w:val="nil"/>
              <w:left w:val="nil"/>
              <w:bottom w:val="nil"/>
              <w:right w:val="nil"/>
            </w:tcBorders>
            <w:vAlign w:val="center"/>
          </w:tcPr>
          <w:p w14:paraId="7A2F1004"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Date</w:t>
            </w:r>
          </w:p>
        </w:tc>
        <w:tc>
          <w:tcPr>
            <w:tcW w:w="1824" w:type="dxa"/>
            <w:gridSpan w:val="3"/>
            <w:tcBorders>
              <w:top w:val="nil"/>
              <w:left w:val="nil"/>
              <w:bottom w:val="nil"/>
              <w:right w:val="nil"/>
            </w:tcBorders>
            <w:vAlign w:val="center"/>
          </w:tcPr>
          <w:p w14:paraId="7A866C6D"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Pays hôte/bénéficiaires</w:t>
            </w:r>
          </w:p>
        </w:tc>
        <w:tc>
          <w:tcPr>
            <w:tcW w:w="4252" w:type="dxa"/>
            <w:tcBorders>
              <w:top w:val="nil"/>
              <w:left w:val="nil"/>
              <w:bottom w:val="nil"/>
              <w:right w:val="nil"/>
            </w:tcBorders>
            <w:vAlign w:val="center"/>
          </w:tcPr>
          <w:p w14:paraId="11FA7EEC"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Objectif(s)/description(s)</w:t>
            </w:r>
          </w:p>
        </w:tc>
      </w:tr>
      <w:tr w:rsidR="00767EC2" w:rsidRPr="0065453F" w14:paraId="3F3BF153" w14:textId="77777777" w:rsidTr="00A83D07">
        <w:trPr>
          <w:cantSplit/>
        </w:trPr>
        <w:tc>
          <w:tcPr>
            <w:tcW w:w="1786" w:type="dxa"/>
            <w:tcBorders>
              <w:top w:val="nil"/>
              <w:left w:val="nil"/>
              <w:bottom w:val="nil"/>
              <w:right w:val="nil"/>
            </w:tcBorders>
          </w:tcPr>
          <w:p w14:paraId="2CDB0342" w14:textId="77777777" w:rsidR="00767EC2" w:rsidRPr="0065453F" w:rsidRDefault="00767EC2" w:rsidP="00A83D07">
            <w:pPr>
              <w:keepNext/>
              <w:keepLines/>
              <w:spacing w:line="276" w:lineRule="auto"/>
              <w:rPr>
                <w:rFonts w:eastAsiaTheme="minorHAnsi"/>
                <w:sz w:val="16"/>
                <w:szCs w:val="16"/>
              </w:rPr>
            </w:pPr>
            <w:r w:rsidRPr="0065453F">
              <w:rPr>
                <w:rFonts w:eastAsiaTheme="minorHAnsi"/>
                <w:sz w:val="16"/>
                <w:szCs w:val="16"/>
              </w:rPr>
              <w:t>Atelier de formation des formateurs sur l’utilisation efficace des informations scientifiques et techniques et l’évaluation du projet national de CATI</w:t>
            </w:r>
          </w:p>
        </w:tc>
        <w:tc>
          <w:tcPr>
            <w:tcW w:w="1210" w:type="dxa"/>
            <w:gridSpan w:val="2"/>
            <w:tcBorders>
              <w:top w:val="nil"/>
              <w:left w:val="nil"/>
              <w:bottom w:val="nil"/>
              <w:right w:val="nil"/>
            </w:tcBorders>
          </w:tcPr>
          <w:p w14:paraId="6918B365" w14:textId="77777777" w:rsidR="00767EC2" w:rsidRPr="0065453F" w:rsidRDefault="00767EC2" w:rsidP="00A83D07">
            <w:pPr>
              <w:keepNext/>
              <w:keepLines/>
              <w:spacing w:line="276" w:lineRule="auto"/>
              <w:rPr>
                <w:rFonts w:eastAsiaTheme="minorHAnsi"/>
                <w:sz w:val="16"/>
                <w:szCs w:val="16"/>
              </w:rPr>
            </w:pPr>
            <w:r w:rsidRPr="0065453F">
              <w:rPr>
                <w:rFonts w:eastAsiaTheme="minorHAnsi"/>
                <w:sz w:val="16"/>
                <w:szCs w:val="16"/>
              </w:rPr>
              <w:t>5 – 7 avril 2016</w:t>
            </w:r>
          </w:p>
        </w:tc>
        <w:tc>
          <w:tcPr>
            <w:tcW w:w="1824" w:type="dxa"/>
            <w:gridSpan w:val="3"/>
            <w:tcBorders>
              <w:top w:val="nil"/>
              <w:left w:val="nil"/>
              <w:bottom w:val="nil"/>
              <w:right w:val="nil"/>
            </w:tcBorders>
          </w:tcPr>
          <w:p w14:paraId="73A72146"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Nigéria/ approximativement 50 participants locaux</w:t>
            </w:r>
          </w:p>
        </w:tc>
        <w:tc>
          <w:tcPr>
            <w:tcW w:w="4252" w:type="dxa"/>
            <w:tcBorders>
              <w:top w:val="nil"/>
              <w:left w:val="nil"/>
              <w:bottom w:val="nil"/>
              <w:right w:val="nil"/>
            </w:tcBorders>
          </w:tcPr>
          <w:p w14:paraId="6DB476BC" w14:textId="77777777" w:rsidR="00767EC2" w:rsidRPr="0065453F" w:rsidRDefault="00767EC2" w:rsidP="00A83D07">
            <w:pPr>
              <w:keepNext/>
              <w:keepLines/>
              <w:spacing w:line="276" w:lineRule="auto"/>
              <w:rPr>
                <w:rFonts w:eastAsiaTheme="minorHAnsi"/>
                <w:sz w:val="16"/>
                <w:szCs w:val="16"/>
              </w:rPr>
            </w:pPr>
            <w:r w:rsidRPr="0065453F">
              <w:rPr>
                <w:rFonts w:eastAsiaTheme="minorHAnsi"/>
                <w:sz w:val="16"/>
                <w:szCs w:val="16"/>
              </w:rPr>
              <w:t>Renforcer le réseau local de CATI par le biais d’une formation sur l’utilisation efficace de l’information en matière de brevets et des publications scientifiques</w:t>
            </w:r>
          </w:p>
        </w:tc>
      </w:tr>
      <w:tr w:rsidR="00767EC2" w:rsidRPr="0065453F" w14:paraId="2310B450" w14:textId="77777777" w:rsidTr="00A83D07">
        <w:trPr>
          <w:cantSplit/>
        </w:trPr>
        <w:tc>
          <w:tcPr>
            <w:tcW w:w="1786" w:type="dxa"/>
            <w:tcBorders>
              <w:top w:val="nil"/>
              <w:left w:val="nil"/>
              <w:bottom w:val="nil"/>
              <w:right w:val="nil"/>
            </w:tcBorders>
          </w:tcPr>
          <w:p w14:paraId="79A5CDB2"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Ateliers CATI sur l’utilisation efficace des informations scientifiques et techniques et l’évaluation du projet national de CATI</w:t>
            </w:r>
          </w:p>
        </w:tc>
        <w:tc>
          <w:tcPr>
            <w:tcW w:w="1210" w:type="dxa"/>
            <w:gridSpan w:val="2"/>
            <w:tcBorders>
              <w:top w:val="nil"/>
              <w:left w:val="nil"/>
              <w:bottom w:val="nil"/>
              <w:right w:val="nil"/>
            </w:tcBorders>
          </w:tcPr>
          <w:p w14:paraId="68D12FFB"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2 – 6 mai 2016</w:t>
            </w:r>
          </w:p>
        </w:tc>
        <w:tc>
          <w:tcPr>
            <w:tcW w:w="1824" w:type="dxa"/>
            <w:gridSpan w:val="3"/>
            <w:tcBorders>
              <w:top w:val="nil"/>
              <w:left w:val="nil"/>
              <w:bottom w:val="nil"/>
              <w:right w:val="nil"/>
            </w:tcBorders>
          </w:tcPr>
          <w:p w14:paraId="3C2A95D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Tanzanie/ approximativement 80 participants locaux</w:t>
            </w:r>
          </w:p>
        </w:tc>
        <w:tc>
          <w:tcPr>
            <w:tcW w:w="4252" w:type="dxa"/>
            <w:tcBorders>
              <w:top w:val="nil"/>
              <w:left w:val="nil"/>
              <w:bottom w:val="nil"/>
              <w:right w:val="nil"/>
            </w:tcBorders>
          </w:tcPr>
          <w:p w14:paraId="48C4056B"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Renforcer le réseau local de CATI par le biais d’une formation sur l’utilisation efficace de l’information en matière de brevets et des publications scientifiques.</w:t>
            </w:r>
          </w:p>
        </w:tc>
      </w:tr>
      <w:tr w:rsidR="00767EC2" w:rsidRPr="0065453F" w14:paraId="36B213C0" w14:textId="77777777" w:rsidTr="00A83D07">
        <w:trPr>
          <w:cantSplit/>
        </w:trPr>
        <w:tc>
          <w:tcPr>
            <w:tcW w:w="1786" w:type="dxa"/>
            <w:tcBorders>
              <w:top w:val="nil"/>
              <w:left w:val="nil"/>
              <w:bottom w:val="nil"/>
              <w:right w:val="nil"/>
            </w:tcBorders>
          </w:tcPr>
          <w:p w14:paraId="52E21DC1"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Atelier sur les stratégies et techniques de recherche en matière de brevets et la création de Centre d’appui à la technologie et à l’innovation (CATI)</w:t>
            </w:r>
          </w:p>
        </w:tc>
        <w:tc>
          <w:tcPr>
            <w:tcW w:w="1210" w:type="dxa"/>
            <w:gridSpan w:val="2"/>
            <w:tcBorders>
              <w:top w:val="nil"/>
              <w:left w:val="nil"/>
              <w:bottom w:val="nil"/>
              <w:right w:val="nil"/>
            </w:tcBorders>
          </w:tcPr>
          <w:p w14:paraId="479C53E6"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10 et 11 mars  2016</w:t>
            </w:r>
          </w:p>
        </w:tc>
        <w:tc>
          <w:tcPr>
            <w:tcW w:w="1824" w:type="dxa"/>
            <w:gridSpan w:val="3"/>
            <w:tcBorders>
              <w:top w:val="nil"/>
              <w:left w:val="nil"/>
              <w:bottom w:val="nil"/>
              <w:right w:val="nil"/>
            </w:tcBorders>
          </w:tcPr>
          <w:p w14:paraId="534B6FC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Botswana/ environ 50 participants locaux</w:t>
            </w:r>
          </w:p>
        </w:tc>
        <w:tc>
          <w:tcPr>
            <w:tcW w:w="4252" w:type="dxa"/>
            <w:tcBorders>
              <w:top w:val="nil"/>
              <w:left w:val="nil"/>
              <w:bottom w:val="nil"/>
              <w:right w:val="nil"/>
            </w:tcBorders>
          </w:tcPr>
          <w:p w14:paraId="100BFB3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former le personnel du CATI et les autres parties prenantes à l’utilisation des bases de données de brevets et de publications scientifiques ;  et ii) évaluer la conformité du CATI par rapport aux critères de durabilité de premier degré.</w:t>
            </w:r>
          </w:p>
        </w:tc>
      </w:tr>
      <w:tr w:rsidR="00767EC2" w:rsidRPr="0065453F" w14:paraId="3B417CB9" w14:textId="77777777" w:rsidTr="00A83D07">
        <w:trPr>
          <w:cantSplit/>
        </w:trPr>
        <w:tc>
          <w:tcPr>
            <w:tcW w:w="9072" w:type="dxa"/>
            <w:gridSpan w:val="7"/>
            <w:tcBorders>
              <w:top w:val="nil"/>
              <w:left w:val="nil"/>
              <w:bottom w:val="nil"/>
              <w:right w:val="nil"/>
            </w:tcBorders>
            <w:shd w:val="clear" w:color="auto" w:fill="C6D9F1" w:themeFill="text2" w:themeFillTint="33"/>
          </w:tcPr>
          <w:p w14:paraId="68AC7641" w14:textId="77777777" w:rsidR="00767EC2" w:rsidRPr="0065453F" w:rsidRDefault="00767EC2" w:rsidP="00A83D07">
            <w:pPr>
              <w:keepNext/>
              <w:keepLines/>
              <w:tabs>
                <w:tab w:val="left" w:pos="1740"/>
              </w:tabs>
              <w:spacing w:line="276" w:lineRule="auto"/>
              <w:rPr>
                <w:rFonts w:eastAsiaTheme="minorHAnsi"/>
                <w:b/>
                <w:bCs/>
                <w:sz w:val="16"/>
                <w:szCs w:val="16"/>
              </w:rPr>
            </w:pPr>
            <w:r w:rsidRPr="0065453F">
              <w:rPr>
                <w:rFonts w:eastAsiaTheme="minorHAnsi"/>
                <w:b/>
                <w:bCs/>
                <w:sz w:val="16"/>
                <w:szCs w:val="16"/>
              </w:rPr>
              <w:t>RÉSULTAT</w:t>
            </w:r>
            <w:r w:rsidRPr="0065453F">
              <w:rPr>
                <w:rFonts w:eastAsiaTheme="minorHAnsi"/>
                <w:bCs/>
                <w:sz w:val="16"/>
                <w:szCs w:val="16"/>
              </w:rPr>
              <w:t> </w:t>
            </w:r>
            <w:r>
              <w:rPr>
                <w:rFonts w:eastAsiaTheme="minorHAnsi"/>
                <w:bCs/>
                <w:sz w:val="16"/>
                <w:szCs w:val="16"/>
              </w:rPr>
              <w:t xml:space="preserve">: </w:t>
            </w:r>
            <w:r w:rsidRPr="0065453F">
              <w:rPr>
                <w:rFonts w:eastAsiaTheme="minorHAnsi"/>
                <w:bCs/>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r>
      <w:tr w:rsidR="00767EC2" w:rsidRPr="0065453F" w14:paraId="02CE3B53" w14:textId="77777777" w:rsidTr="00A83D07">
        <w:trPr>
          <w:cantSplit/>
        </w:trPr>
        <w:tc>
          <w:tcPr>
            <w:tcW w:w="1786" w:type="dxa"/>
            <w:tcBorders>
              <w:top w:val="nil"/>
              <w:left w:val="nil"/>
              <w:bottom w:val="nil"/>
              <w:right w:val="nil"/>
            </w:tcBorders>
            <w:vAlign w:val="center"/>
          </w:tcPr>
          <w:p w14:paraId="5A5A8844" w14:textId="77777777" w:rsidR="00767EC2" w:rsidRPr="0065453F" w:rsidRDefault="00767EC2" w:rsidP="00A83D07">
            <w:pPr>
              <w:keepNext/>
              <w:keepLines/>
              <w:spacing w:line="276" w:lineRule="auto"/>
              <w:rPr>
                <w:rFonts w:eastAsiaTheme="minorHAnsi"/>
                <w:b/>
                <w:bCs/>
                <w:sz w:val="16"/>
                <w:szCs w:val="16"/>
              </w:rPr>
            </w:pPr>
            <w:r w:rsidRPr="0065453F">
              <w:rPr>
                <w:rFonts w:eastAsiaTheme="minorHAnsi"/>
                <w:b/>
                <w:bCs/>
                <w:sz w:val="16"/>
                <w:szCs w:val="16"/>
              </w:rPr>
              <w:t>Activité</w:t>
            </w:r>
          </w:p>
        </w:tc>
        <w:tc>
          <w:tcPr>
            <w:tcW w:w="1191" w:type="dxa"/>
            <w:tcBorders>
              <w:top w:val="nil"/>
              <w:left w:val="nil"/>
              <w:bottom w:val="nil"/>
              <w:right w:val="nil"/>
            </w:tcBorders>
            <w:vAlign w:val="center"/>
          </w:tcPr>
          <w:p w14:paraId="5E2A8858"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Date</w:t>
            </w:r>
          </w:p>
        </w:tc>
        <w:tc>
          <w:tcPr>
            <w:tcW w:w="1843" w:type="dxa"/>
            <w:gridSpan w:val="4"/>
            <w:tcBorders>
              <w:top w:val="nil"/>
              <w:left w:val="nil"/>
              <w:bottom w:val="nil"/>
              <w:right w:val="nil"/>
            </w:tcBorders>
            <w:vAlign w:val="center"/>
          </w:tcPr>
          <w:p w14:paraId="20BD8A89"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Pays hôte/bénéficiaires</w:t>
            </w:r>
          </w:p>
        </w:tc>
        <w:tc>
          <w:tcPr>
            <w:tcW w:w="4252" w:type="dxa"/>
            <w:tcBorders>
              <w:top w:val="nil"/>
              <w:left w:val="nil"/>
              <w:bottom w:val="nil"/>
              <w:right w:val="nil"/>
            </w:tcBorders>
            <w:vAlign w:val="center"/>
          </w:tcPr>
          <w:p w14:paraId="22787932"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Objectif(s)/description(s)</w:t>
            </w:r>
          </w:p>
        </w:tc>
      </w:tr>
      <w:tr w:rsidR="00767EC2" w:rsidRPr="0065453F" w14:paraId="5B716724" w14:textId="77777777" w:rsidTr="00A83D07">
        <w:trPr>
          <w:cantSplit/>
        </w:trPr>
        <w:tc>
          <w:tcPr>
            <w:tcW w:w="1786" w:type="dxa"/>
            <w:tcBorders>
              <w:top w:val="nil"/>
              <w:left w:val="nil"/>
              <w:bottom w:val="nil"/>
              <w:right w:val="nil"/>
            </w:tcBorders>
          </w:tcPr>
          <w:p w14:paraId="3CC68F8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Projet de saisie de données dans le Registre nigérian des marques, des brevets et des dessins et modèles</w:t>
            </w:r>
          </w:p>
        </w:tc>
        <w:tc>
          <w:tcPr>
            <w:tcW w:w="1191" w:type="dxa"/>
            <w:tcBorders>
              <w:top w:val="nil"/>
              <w:left w:val="nil"/>
              <w:bottom w:val="nil"/>
              <w:right w:val="nil"/>
            </w:tcBorders>
          </w:tcPr>
          <w:p w14:paraId="287E2177"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Janvier – décembre 2016</w:t>
            </w:r>
          </w:p>
          <w:p w14:paraId="09D6ABC6"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(en cours)</w:t>
            </w:r>
          </w:p>
        </w:tc>
        <w:tc>
          <w:tcPr>
            <w:tcW w:w="1843" w:type="dxa"/>
            <w:gridSpan w:val="4"/>
            <w:tcBorders>
              <w:top w:val="nil"/>
              <w:left w:val="nil"/>
              <w:bottom w:val="nil"/>
              <w:right w:val="nil"/>
            </w:tcBorders>
          </w:tcPr>
          <w:p w14:paraId="0B8880BB"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Nigéria</w:t>
            </w:r>
          </w:p>
        </w:tc>
        <w:tc>
          <w:tcPr>
            <w:tcW w:w="4252" w:type="dxa"/>
            <w:tcBorders>
              <w:top w:val="nil"/>
              <w:left w:val="nil"/>
              <w:bottom w:val="nil"/>
              <w:right w:val="nil"/>
            </w:tcBorders>
          </w:tcPr>
          <w:p w14:paraId="0EBF4973"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Aider l’office dans la saisie des données bibliographiques correspondant aux dossiers de marques, brevets et dessins et modèles enregistrés/actifs à partir d’un format papier pour les convertir en format numérique avec l’assistance d’un prestataire spécialisé local.</w:t>
            </w:r>
          </w:p>
        </w:tc>
      </w:tr>
      <w:tr w:rsidR="00767EC2" w:rsidRPr="0065453F" w14:paraId="56F1D790" w14:textId="77777777" w:rsidTr="00A83D07">
        <w:trPr>
          <w:cantSplit/>
        </w:trPr>
        <w:tc>
          <w:tcPr>
            <w:tcW w:w="1786" w:type="dxa"/>
            <w:tcBorders>
              <w:top w:val="nil"/>
              <w:left w:val="nil"/>
              <w:bottom w:val="nil"/>
              <w:right w:val="nil"/>
            </w:tcBorders>
          </w:tcPr>
          <w:p w14:paraId="288EA9EB"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Numérisation de dossiers de propriété intellectuelle à l’OAPI</w:t>
            </w:r>
          </w:p>
        </w:tc>
        <w:tc>
          <w:tcPr>
            <w:tcW w:w="1191" w:type="dxa"/>
            <w:tcBorders>
              <w:top w:val="nil"/>
              <w:left w:val="nil"/>
              <w:bottom w:val="nil"/>
              <w:right w:val="nil"/>
            </w:tcBorders>
          </w:tcPr>
          <w:p w14:paraId="04196E0C"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Janvier – décembre 2016</w:t>
            </w:r>
          </w:p>
          <w:p w14:paraId="5E9F7562"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(en cours)</w:t>
            </w:r>
          </w:p>
        </w:tc>
        <w:tc>
          <w:tcPr>
            <w:tcW w:w="1843" w:type="dxa"/>
            <w:gridSpan w:val="4"/>
            <w:tcBorders>
              <w:top w:val="nil"/>
              <w:left w:val="nil"/>
              <w:bottom w:val="nil"/>
              <w:right w:val="nil"/>
            </w:tcBorders>
          </w:tcPr>
          <w:p w14:paraId="26672531"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OAPI</w:t>
            </w:r>
          </w:p>
        </w:tc>
        <w:tc>
          <w:tcPr>
            <w:tcW w:w="4252" w:type="dxa"/>
            <w:tcBorders>
              <w:top w:val="nil"/>
              <w:left w:val="nil"/>
              <w:bottom w:val="nil"/>
              <w:right w:val="nil"/>
            </w:tcBorders>
          </w:tcPr>
          <w:p w14:paraId="5E0A948D"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Alléger les procédures d’entrée des données relatives à la documentation sur la propriété intellectuelle, à savoir les formulaires de demande, les descriptions et les documents cités en vue d’optimiser leur mise en œuvre;  et ii) traiter efficacement le travail en souffrance qui aurait dû être numérisé</w:t>
            </w:r>
          </w:p>
        </w:tc>
      </w:tr>
      <w:tr w:rsidR="00767EC2" w:rsidRPr="0065453F" w14:paraId="4F7D2351" w14:textId="77777777" w:rsidTr="00A83D07">
        <w:trPr>
          <w:cantSplit/>
        </w:trPr>
        <w:tc>
          <w:tcPr>
            <w:tcW w:w="1786" w:type="dxa"/>
            <w:tcBorders>
              <w:top w:val="nil"/>
              <w:left w:val="nil"/>
              <w:bottom w:val="nil"/>
              <w:right w:val="nil"/>
            </w:tcBorders>
          </w:tcPr>
          <w:p w14:paraId="16E79033"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Numérisation des documents de propriété intellectuelle pour l’ARIPO</w:t>
            </w:r>
          </w:p>
        </w:tc>
        <w:tc>
          <w:tcPr>
            <w:tcW w:w="1191" w:type="dxa"/>
            <w:tcBorders>
              <w:top w:val="nil"/>
              <w:left w:val="nil"/>
              <w:bottom w:val="nil"/>
              <w:right w:val="nil"/>
            </w:tcBorders>
          </w:tcPr>
          <w:p w14:paraId="4C93A2AF"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Janvier – décembre 2016</w:t>
            </w:r>
          </w:p>
          <w:p w14:paraId="56D4E937"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(en cours)</w:t>
            </w:r>
          </w:p>
        </w:tc>
        <w:tc>
          <w:tcPr>
            <w:tcW w:w="1843" w:type="dxa"/>
            <w:gridSpan w:val="4"/>
            <w:tcBorders>
              <w:top w:val="nil"/>
              <w:left w:val="nil"/>
              <w:bottom w:val="nil"/>
              <w:right w:val="nil"/>
            </w:tcBorders>
          </w:tcPr>
          <w:p w14:paraId="4103D46C"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ARIPO</w:t>
            </w:r>
          </w:p>
        </w:tc>
        <w:tc>
          <w:tcPr>
            <w:tcW w:w="4252" w:type="dxa"/>
            <w:tcBorders>
              <w:top w:val="nil"/>
              <w:left w:val="nil"/>
              <w:bottom w:val="nil"/>
              <w:right w:val="nil"/>
            </w:tcBorders>
          </w:tcPr>
          <w:p w14:paraId="4AF90D39"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 xml:space="preserve">i) Alléger les procédures d’examen et de traitement des demandes/enregistrements;  ii) sécuriser et protéger les fichiers de propriété intellectuelle en les conservant en format papier et numérique;  iii) faciliter l’échange de données sur la propriété intellectuelle à l’échelle nationale et internationale;  iv) améliorer la gouvernance, la transparence et la fiabilité des processus en matière de propriété intellectuelle.  </w:t>
            </w:r>
          </w:p>
        </w:tc>
      </w:tr>
      <w:tr w:rsidR="00767EC2" w:rsidRPr="0065453F" w14:paraId="060676E4" w14:textId="77777777" w:rsidTr="00A83D07">
        <w:trPr>
          <w:cantSplit/>
        </w:trPr>
        <w:tc>
          <w:tcPr>
            <w:tcW w:w="1786" w:type="dxa"/>
            <w:tcBorders>
              <w:top w:val="nil"/>
              <w:left w:val="nil"/>
              <w:bottom w:val="nil"/>
              <w:right w:val="nil"/>
            </w:tcBorders>
          </w:tcPr>
          <w:p w14:paraId="0EC0AB94"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 xml:space="preserve">Numérisation des documents de propriété intellectuelle pour l’Institut </w:t>
            </w:r>
            <w:proofErr w:type="spellStart"/>
            <w:r w:rsidRPr="0065453F">
              <w:rPr>
                <w:rFonts w:eastAsiaTheme="minorHAnsi"/>
                <w:sz w:val="16"/>
                <w:szCs w:val="16"/>
              </w:rPr>
              <w:t>kényen</w:t>
            </w:r>
            <w:proofErr w:type="spellEnd"/>
            <w:r w:rsidRPr="0065453F">
              <w:rPr>
                <w:rFonts w:eastAsiaTheme="minorHAnsi"/>
                <w:sz w:val="16"/>
                <w:szCs w:val="16"/>
              </w:rPr>
              <w:t xml:space="preserve"> de la propriété industrielle (KIPI)</w:t>
            </w:r>
          </w:p>
        </w:tc>
        <w:tc>
          <w:tcPr>
            <w:tcW w:w="1191" w:type="dxa"/>
            <w:tcBorders>
              <w:top w:val="nil"/>
              <w:left w:val="nil"/>
              <w:bottom w:val="nil"/>
              <w:right w:val="nil"/>
            </w:tcBorders>
          </w:tcPr>
          <w:p w14:paraId="1082F561"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Janvier – décembre 2016</w:t>
            </w:r>
          </w:p>
          <w:p w14:paraId="0B0C4EF3"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(en cours)</w:t>
            </w:r>
          </w:p>
        </w:tc>
        <w:tc>
          <w:tcPr>
            <w:tcW w:w="1843" w:type="dxa"/>
            <w:gridSpan w:val="4"/>
            <w:tcBorders>
              <w:top w:val="nil"/>
              <w:left w:val="nil"/>
              <w:bottom w:val="nil"/>
              <w:right w:val="nil"/>
            </w:tcBorders>
          </w:tcPr>
          <w:p w14:paraId="723D8968"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Kenya</w:t>
            </w:r>
          </w:p>
        </w:tc>
        <w:tc>
          <w:tcPr>
            <w:tcW w:w="4252" w:type="dxa"/>
            <w:tcBorders>
              <w:top w:val="nil"/>
              <w:left w:val="nil"/>
              <w:bottom w:val="nil"/>
              <w:right w:val="nil"/>
            </w:tcBorders>
          </w:tcPr>
          <w:p w14:paraId="3DCD3F69"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Alléger les procédures d’examen et de traitement des demandes/enregistrements;  ii) sécuriser et protéger les fichiers de propriété intellectuelle en les conservant en format papier et numérique;  iii) faciliter l’échange de données sur la propriété intellectuelle à l’échelle nationale et internationale;  iv) améliorer la gouvernance, la transparence et la fiabilité des processus en matière de propriété intellectuelle.</w:t>
            </w:r>
          </w:p>
        </w:tc>
      </w:tr>
      <w:tr w:rsidR="00767EC2" w:rsidRPr="0065453F" w14:paraId="7E4BB4EB" w14:textId="77777777" w:rsidTr="00A83D07">
        <w:trPr>
          <w:cantSplit/>
        </w:trPr>
        <w:tc>
          <w:tcPr>
            <w:tcW w:w="1786" w:type="dxa"/>
            <w:tcBorders>
              <w:top w:val="nil"/>
              <w:left w:val="nil"/>
              <w:bottom w:val="nil"/>
              <w:right w:val="nil"/>
            </w:tcBorders>
          </w:tcPr>
          <w:p w14:paraId="410BB0D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Projet de numérisation des brevets et des marques pour l’Office de propriété intellectuelle du Zimbabwe (ZIPO)</w:t>
            </w:r>
          </w:p>
        </w:tc>
        <w:tc>
          <w:tcPr>
            <w:tcW w:w="1191" w:type="dxa"/>
            <w:tcBorders>
              <w:top w:val="nil"/>
              <w:left w:val="nil"/>
              <w:bottom w:val="nil"/>
              <w:right w:val="nil"/>
            </w:tcBorders>
          </w:tcPr>
          <w:p w14:paraId="788C01CB"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Janvier – juin 2016</w:t>
            </w:r>
          </w:p>
        </w:tc>
        <w:tc>
          <w:tcPr>
            <w:tcW w:w="1843" w:type="dxa"/>
            <w:gridSpan w:val="4"/>
            <w:tcBorders>
              <w:top w:val="nil"/>
              <w:left w:val="nil"/>
              <w:bottom w:val="nil"/>
              <w:right w:val="nil"/>
            </w:tcBorders>
          </w:tcPr>
          <w:p w14:paraId="2E2DB2D9"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Zimbabwe</w:t>
            </w:r>
          </w:p>
        </w:tc>
        <w:tc>
          <w:tcPr>
            <w:tcW w:w="4252" w:type="dxa"/>
            <w:tcBorders>
              <w:top w:val="nil"/>
              <w:left w:val="nil"/>
              <w:bottom w:val="nil"/>
              <w:right w:val="nil"/>
            </w:tcBorders>
          </w:tcPr>
          <w:p w14:paraId="2A32EA1A"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Créer des dossiers électroniques pour tous les fichiers de brevets et de marques;  ii) accélérer les processus administratifs/d’examen au sein de l’office de propriété intellectuelle;  iii) améliorer l’accessibilité à l’information en matière de propriété intellectuelle;  iv) améliorer la gouvernance, la transparence et la fiabilité des processus en matière de propriété intellectuelle en rendant tous les fichiers facilement accessibles en format numérique.</w:t>
            </w:r>
          </w:p>
        </w:tc>
      </w:tr>
      <w:tr w:rsidR="00767EC2" w:rsidRPr="0065453F" w14:paraId="2D70B23A" w14:textId="77777777" w:rsidTr="00A83D07">
        <w:trPr>
          <w:cantSplit/>
        </w:trPr>
        <w:tc>
          <w:tcPr>
            <w:tcW w:w="1786" w:type="dxa"/>
            <w:tcBorders>
              <w:top w:val="nil"/>
              <w:left w:val="nil"/>
              <w:bottom w:val="nil"/>
              <w:right w:val="nil"/>
            </w:tcBorders>
          </w:tcPr>
          <w:p w14:paraId="39689488"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Déploiement du système de gestion électronique des documents IPAS en Ouganda</w:t>
            </w:r>
          </w:p>
        </w:tc>
        <w:tc>
          <w:tcPr>
            <w:tcW w:w="1191" w:type="dxa"/>
            <w:tcBorders>
              <w:top w:val="nil"/>
              <w:left w:val="nil"/>
              <w:bottom w:val="nil"/>
              <w:right w:val="nil"/>
            </w:tcBorders>
          </w:tcPr>
          <w:p w14:paraId="7C16F44D"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24 octobre – 4 novembre 2016</w:t>
            </w:r>
          </w:p>
        </w:tc>
        <w:tc>
          <w:tcPr>
            <w:tcW w:w="1843" w:type="dxa"/>
            <w:gridSpan w:val="4"/>
            <w:tcBorders>
              <w:top w:val="nil"/>
              <w:left w:val="nil"/>
              <w:bottom w:val="nil"/>
              <w:right w:val="nil"/>
            </w:tcBorders>
          </w:tcPr>
          <w:p w14:paraId="17A73871"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Ouganda</w:t>
            </w:r>
          </w:p>
        </w:tc>
        <w:tc>
          <w:tcPr>
            <w:tcW w:w="4252" w:type="dxa"/>
            <w:tcBorders>
              <w:top w:val="nil"/>
              <w:left w:val="nil"/>
              <w:bottom w:val="nil"/>
              <w:right w:val="nil"/>
            </w:tcBorders>
          </w:tcPr>
          <w:p w14:paraId="052D144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Créer une infrastructure logique pour le stockage et la gestion des images numérisées (dossiers électroniques);  ii) transférer les compétences et renforcer les capacités pour la saisie et la numérisation des fichiers courants et iii) permettre le recours aux services en ligne pour l’office de propriété intellectuelle de l’Ouganda.</w:t>
            </w:r>
          </w:p>
        </w:tc>
      </w:tr>
      <w:tr w:rsidR="00767EC2" w:rsidRPr="0065453F" w14:paraId="58CA6490" w14:textId="77777777" w:rsidTr="00A83D07">
        <w:trPr>
          <w:cantSplit/>
        </w:trPr>
        <w:tc>
          <w:tcPr>
            <w:tcW w:w="1786" w:type="dxa"/>
            <w:tcBorders>
              <w:top w:val="nil"/>
              <w:left w:val="nil"/>
              <w:bottom w:val="nil"/>
              <w:right w:val="nil"/>
            </w:tcBorders>
          </w:tcPr>
          <w:p w14:paraId="57723642"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Atelier régional de formation de l’OMPI sur le système d’administration de la propriété industrielle (IPAS) – Gestion de la qualité des données, échange de données et services en ligne</w:t>
            </w:r>
          </w:p>
        </w:tc>
        <w:tc>
          <w:tcPr>
            <w:tcW w:w="1191" w:type="dxa"/>
            <w:tcBorders>
              <w:top w:val="nil"/>
              <w:left w:val="nil"/>
              <w:bottom w:val="nil"/>
              <w:right w:val="nil"/>
            </w:tcBorders>
          </w:tcPr>
          <w:p w14:paraId="53985DFD"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11 – 15 juillet 2016</w:t>
            </w:r>
          </w:p>
        </w:tc>
        <w:tc>
          <w:tcPr>
            <w:tcW w:w="1843" w:type="dxa"/>
            <w:gridSpan w:val="4"/>
            <w:tcBorders>
              <w:top w:val="nil"/>
              <w:left w:val="nil"/>
              <w:bottom w:val="nil"/>
              <w:right w:val="nil"/>
            </w:tcBorders>
          </w:tcPr>
          <w:p w14:paraId="175A8EDA"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Mozambique/ 33 participants des pays suivants : Botswana, Éthiopie, Gambie, Ghana, Kenya, Lesotho, Madagascar, Malawi, Maurice, Mozambique, Namibie, Ouganda, Seychelles, Swaziland, Tanzanie, Zambie, Zimbabwe, ARIPO, OAPI</w:t>
            </w:r>
          </w:p>
        </w:tc>
        <w:tc>
          <w:tcPr>
            <w:tcW w:w="4252" w:type="dxa"/>
            <w:tcBorders>
              <w:top w:val="nil"/>
              <w:left w:val="nil"/>
              <w:bottom w:val="nil"/>
              <w:right w:val="nil"/>
            </w:tcBorders>
          </w:tcPr>
          <w:p w14:paraId="0826EFCE"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Présenter aux participants les normes de l’OMPI et les meilleures pratiques de gestion de la qualité des données en matière de propriété intellectuelle;  ii) transférer les connaissances sur les outils d’automatisation de l’OMPI disponibles pour la validation et la vérification des données;  iii) renforcer les capacités en ce qui concerne les fonctions et les outils de supervision de la qualité des données en matière de propriété intellectuelle, les nouveaux modules de services en ligne et l’échange de données.</w:t>
            </w:r>
          </w:p>
        </w:tc>
      </w:tr>
      <w:tr w:rsidR="00767EC2" w:rsidRPr="0065453F" w14:paraId="517A05C7" w14:textId="77777777" w:rsidTr="00A83D07">
        <w:trPr>
          <w:cantSplit/>
        </w:trPr>
        <w:tc>
          <w:tcPr>
            <w:tcW w:w="9072" w:type="dxa"/>
            <w:gridSpan w:val="7"/>
            <w:tcBorders>
              <w:top w:val="nil"/>
              <w:left w:val="nil"/>
              <w:bottom w:val="nil"/>
              <w:right w:val="nil"/>
            </w:tcBorders>
            <w:shd w:val="clear" w:color="auto" w:fill="C6D9F1" w:themeFill="text2" w:themeFillTint="33"/>
          </w:tcPr>
          <w:p w14:paraId="6780C107" w14:textId="77777777" w:rsidR="00767EC2" w:rsidRPr="0065453F" w:rsidRDefault="00767EC2" w:rsidP="00A83D07">
            <w:pPr>
              <w:keepNext/>
              <w:keepLines/>
              <w:tabs>
                <w:tab w:val="left" w:pos="1740"/>
              </w:tabs>
              <w:spacing w:line="276" w:lineRule="auto"/>
              <w:rPr>
                <w:rFonts w:eastAsiaTheme="minorHAnsi"/>
                <w:sz w:val="16"/>
                <w:szCs w:val="16"/>
              </w:rPr>
            </w:pPr>
            <w:r w:rsidRPr="0065453F">
              <w:rPr>
                <w:rFonts w:eastAsiaTheme="minorHAnsi"/>
                <w:b/>
                <w:sz w:val="16"/>
                <w:szCs w:val="16"/>
              </w:rPr>
              <w:t>RÉSULTAT</w:t>
            </w:r>
            <w:r w:rsidRPr="0065453F">
              <w:rPr>
                <w:rFonts w:eastAsiaTheme="minorHAnsi"/>
                <w:sz w:val="16"/>
                <w:szCs w:val="16"/>
              </w:rPr>
              <w:t> </w:t>
            </w:r>
            <w:r>
              <w:rPr>
                <w:rFonts w:eastAsiaTheme="minorHAnsi"/>
                <w:sz w:val="16"/>
                <w:szCs w:val="16"/>
              </w:rPr>
              <w:t xml:space="preserve">: </w:t>
            </w:r>
            <w:r w:rsidRPr="0065453F">
              <w:rPr>
                <w:rFonts w:eastAsiaTheme="minorHAnsi"/>
                <w:sz w:val="16"/>
                <w:szCs w:val="16"/>
              </w:rPr>
              <w:t>V.1 Utilisation élargie et améliorée de l’information statistique de l’OMPI relative à la propriété intellectuelle</w:t>
            </w:r>
          </w:p>
        </w:tc>
      </w:tr>
      <w:tr w:rsidR="00767EC2" w:rsidRPr="0065453F" w14:paraId="21316BBD" w14:textId="77777777" w:rsidTr="00A83D07">
        <w:trPr>
          <w:cantSplit/>
        </w:trPr>
        <w:tc>
          <w:tcPr>
            <w:tcW w:w="1786" w:type="dxa"/>
            <w:tcBorders>
              <w:top w:val="nil"/>
              <w:left w:val="nil"/>
              <w:bottom w:val="nil"/>
              <w:right w:val="nil"/>
            </w:tcBorders>
            <w:vAlign w:val="center"/>
          </w:tcPr>
          <w:p w14:paraId="513C9422" w14:textId="77777777" w:rsidR="00767EC2" w:rsidRPr="0065453F" w:rsidRDefault="00767EC2" w:rsidP="00A83D07">
            <w:pPr>
              <w:keepNext/>
              <w:keepLines/>
              <w:spacing w:line="276" w:lineRule="auto"/>
              <w:rPr>
                <w:rFonts w:eastAsiaTheme="minorHAnsi"/>
                <w:b/>
                <w:bCs/>
                <w:sz w:val="16"/>
                <w:szCs w:val="16"/>
              </w:rPr>
            </w:pPr>
            <w:r w:rsidRPr="0065453F">
              <w:rPr>
                <w:rFonts w:eastAsiaTheme="minorHAnsi"/>
                <w:b/>
                <w:bCs/>
                <w:sz w:val="16"/>
                <w:szCs w:val="16"/>
              </w:rPr>
              <w:t>Activité</w:t>
            </w:r>
          </w:p>
        </w:tc>
        <w:tc>
          <w:tcPr>
            <w:tcW w:w="1335" w:type="dxa"/>
            <w:gridSpan w:val="4"/>
            <w:tcBorders>
              <w:top w:val="nil"/>
              <w:left w:val="nil"/>
              <w:bottom w:val="nil"/>
              <w:right w:val="nil"/>
            </w:tcBorders>
            <w:vAlign w:val="center"/>
          </w:tcPr>
          <w:p w14:paraId="1C0BCB53"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Date</w:t>
            </w:r>
          </w:p>
        </w:tc>
        <w:tc>
          <w:tcPr>
            <w:tcW w:w="1699" w:type="dxa"/>
            <w:tcBorders>
              <w:top w:val="nil"/>
              <w:left w:val="nil"/>
              <w:bottom w:val="nil"/>
              <w:right w:val="nil"/>
            </w:tcBorders>
            <w:vAlign w:val="center"/>
          </w:tcPr>
          <w:p w14:paraId="0B83E302"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Pays hôte/ bénéficiaires</w:t>
            </w:r>
          </w:p>
        </w:tc>
        <w:tc>
          <w:tcPr>
            <w:tcW w:w="4252" w:type="dxa"/>
            <w:tcBorders>
              <w:top w:val="nil"/>
              <w:left w:val="nil"/>
              <w:bottom w:val="nil"/>
              <w:right w:val="nil"/>
            </w:tcBorders>
            <w:vAlign w:val="center"/>
          </w:tcPr>
          <w:p w14:paraId="5DA86B83"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Objectif(s)/description(s)</w:t>
            </w:r>
          </w:p>
        </w:tc>
      </w:tr>
      <w:tr w:rsidR="00767EC2" w:rsidRPr="0065453F" w14:paraId="0F82B41A" w14:textId="77777777" w:rsidTr="00A83D07">
        <w:trPr>
          <w:cantSplit/>
        </w:trPr>
        <w:tc>
          <w:tcPr>
            <w:tcW w:w="1786" w:type="dxa"/>
            <w:tcBorders>
              <w:top w:val="nil"/>
              <w:left w:val="nil"/>
              <w:bottom w:val="nil"/>
              <w:right w:val="nil"/>
            </w:tcBorders>
          </w:tcPr>
          <w:p w14:paraId="7FFF01C1"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 xml:space="preserve">Atelier </w:t>
            </w:r>
            <w:proofErr w:type="spellStart"/>
            <w:r w:rsidRPr="0065453F">
              <w:rPr>
                <w:rFonts w:eastAsiaTheme="minorHAnsi"/>
                <w:sz w:val="16"/>
                <w:szCs w:val="16"/>
              </w:rPr>
              <w:t>sous</w:t>
            </w:r>
            <w:r w:rsidRPr="0065453F">
              <w:rPr>
                <w:rFonts w:eastAsiaTheme="minorHAnsi"/>
                <w:sz w:val="16"/>
                <w:szCs w:val="16"/>
              </w:rPr>
              <w:noBreakHyphen/>
              <w:t>régional</w:t>
            </w:r>
            <w:proofErr w:type="spellEnd"/>
            <w:r w:rsidRPr="0065453F">
              <w:rPr>
                <w:rFonts w:eastAsiaTheme="minorHAnsi"/>
                <w:sz w:val="16"/>
                <w:szCs w:val="16"/>
              </w:rPr>
              <w:t xml:space="preserve"> de l’OMPI sur l’élaboration et l’utilisation efficace des statistiques en matière de propriété intellectuelle à l’intention des États membres de l’ARIPO</w:t>
            </w:r>
          </w:p>
        </w:tc>
        <w:tc>
          <w:tcPr>
            <w:tcW w:w="1335" w:type="dxa"/>
            <w:gridSpan w:val="4"/>
            <w:tcBorders>
              <w:top w:val="nil"/>
              <w:left w:val="nil"/>
              <w:bottom w:val="nil"/>
              <w:right w:val="nil"/>
            </w:tcBorders>
          </w:tcPr>
          <w:p w14:paraId="74F34FFB"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14 – 16 septembre 2016</w:t>
            </w:r>
          </w:p>
        </w:tc>
        <w:tc>
          <w:tcPr>
            <w:tcW w:w="1699" w:type="dxa"/>
            <w:tcBorders>
              <w:top w:val="nil"/>
              <w:left w:val="nil"/>
              <w:bottom w:val="nil"/>
              <w:right w:val="nil"/>
            </w:tcBorders>
          </w:tcPr>
          <w:p w14:paraId="35504E97"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Zimbabwe/ 25 participants des pays suivants : Botswana, Gambie, Ghana, Kenya, Malawi, Mozambique, Namibie, Ouganda, Rwanda, Tanzanie, Ouganda, Zambie et Zimbabwe</w:t>
            </w:r>
          </w:p>
        </w:tc>
        <w:tc>
          <w:tcPr>
            <w:tcW w:w="4252" w:type="dxa"/>
            <w:tcBorders>
              <w:top w:val="nil"/>
              <w:left w:val="nil"/>
              <w:bottom w:val="nil"/>
              <w:right w:val="nil"/>
            </w:tcBorders>
          </w:tcPr>
          <w:p w14:paraId="64E3BAD0"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Sensibiliser à l’importance des statistiques en matière de propriété intellectuelle;  ii) faire en sorte que les offices de propriété intellectuelle des pays africains partagent des informations telles que les meilleures pratiques afin de cerner les problèmes communs et d’y apporter des solutions communes;  iii) aider les offices de propriété intellectuelle à développer une infrastructure statistique (en renforçant leurs capacités);  iv) sensibiliser à l’utilité de créer un site Internet destiné à servir de plateforme de diffusion d’informations, y compris d’informations statistiques, à l’intention des utilisateurs du système de la propriété intellectuelle.</w:t>
            </w:r>
          </w:p>
        </w:tc>
      </w:tr>
      <w:tr w:rsidR="00767EC2" w:rsidRPr="0065453F" w14:paraId="6155E3DE" w14:textId="77777777" w:rsidTr="00A83D07">
        <w:trPr>
          <w:cantSplit/>
        </w:trPr>
        <w:tc>
          <w:tcPr>
            <w:tcW w:w="9072" w:type="dxa"/>
            <w:gridSpan w:val="7"/>
            <w:tcBorders>
              <w:top w:val="nil"/>
              <w:left w:val="nil"/>
              <w:bottom w:val="nil"/>
              <w:right w:val="nil"/>
            </w:tcBorders>
            <w:shd w:val="clear" w:color="auto" w:fill="C6D9F1" w:themeFill="text2" w:themeFillTint="33"/>
          </w:tcPr>
          <w:p w14:paraId="24440A8F" w14:textId="77777777" w:rsidR="00767EC2" w:rsidRPr="0065453F" w:rsidRDefault="00767EC2" w:rsidP="00A83D07">
            <w:pPr>
              <w:keepNext/>
              <w:keepLines/>
              <w:tabs>
                <w:tab w:val="left" w:pos="1740"/>
              </w:tabs>
              <w:spacing w:line="276" w:lineRule="auto"/>
              <w:rPr>
                <w:rFonts w:eastAsiaTheme="minorHAnsi"/>
                <w:sz w:val="16"/>
                <w:szCs w:val="16"/>
              </w:rPr>
            </w:pPr>
            <w:r w:rsidRPr="0065453F">
              <w:rPr>
                <w:rFonts w:eastAsiaTheme="minorHAnsi"/>
                <w:b/>
                <w:sz w:val="16"/>
                <w:szCs w:val="16"/>
              </w:rPr>
              <w:t>RÉSULTAT</w:t>
            </w:r>
            <w:r w:rsidRPr="0065453F">
              <w:rPr>
                <w:rFonts w:eastAsiaTheme="minorHAnsi"/>
                <w:sz w:val="16"/>
                <w:szCs w:val="16"/>
              </w:rPr>
              <w:t> </w:t>
            </w:r>
            <w:r>
              <w:rPr>
                <w:rFonts w:eastAsiaTheme="minorHAnsi"/>
                <w:sz w:val="16"/>
                <w:szCs w:val="16"/>
              </w:rPr>
              <w:t xml:space="preserve">: </w:t>
            </w:r>
            <w:r w:rsidRPr="0065453F">
              <w:rPr>
                <w:rFonts w:eastAsiaTheme="minorHAnsi"/>
                <w:sz w:val="16"/>
                <w:szCs w:val="16"/>
              </w:rPr>
              <w:t>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767EC2" w:rsidRPr="0065453F" w14:paraId="6B531767" w14:textId="77777777" w:rsidTr="00A83D07">
        <w:trPr>
          <w:cantSplit/>
        </w:trPr>
        <w:tc>
          <w:tcPr>
            <w:tcW w:w="1786" w:type="dxa"/>
            <w:tcBorders>
              <w:top w:val="nil"/>
              <w:left w:val="nil"/>
              <w:bottom w:val="nil"/>
              <w:right w:val="nil"/>
            </w:tcBorders>
            <w:vAlign w:val="center"/>
          </w:tcPr>
          <w:p w14:paraId="3713A646" w14:textId="77777777" w:rsidR="00767EC2" w:rsidRPr="0065453F" w:rsidRDefault="00767EC2" w:rsidP="00A83D07">
            <w:pPr>
              <w:keepNext/>
              <w:keepLines/>
              <w:spacing w:line="276" w:lineRule="auto"/>
              <w:rPr>
                <w:rFonts w:eastAsiaTheme="minorHAnsi"/>
                <w:b/>
                <w:bCs/>
                <w:sz w:val="16"/>
                <w:szCs w:val="16"/>
              </w:rPr>
            </w:pPr>
            <w:r w:rsidRPr="0065453F">
              <w:rPr>
                <w:rFonts w:eastAsiaTheme="minorHAnsi"/>
                <w:b/>
                <w:bCs/>
                <w:sz w:val="16"/>
                <w:szCs w:val="16"/>
              </w:rPr>
              <w:t>Activité</w:t>
            </w:r>
          </w:p>
        </w:tc>
        <w:tc>
          <w:tcPr>
            <w:tcW w:w="1322" w:type="dxa"/>
            <w:gridSpan w:val="3"/>
            <w:tcBorders>
              <w:top w:val="nil"/>
              <w:left w:val="nil"/>
              <w:bottom w:val="nil"/>
              <w:right w:val="nil"/>
            </w:tcBorders>
            <w:vAlign w:val="center"/>
          </w:tcPr>
          <w:p w14:paraId="07DE911E"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Date</w:t>
            </w:r>
          </w:p>
        </w:tc>
        <w:tc>
          <w:tcPr>
            <w:tcW w:w="1712" w:type="dxa"/>
            <w:gridSpan w:val="2"/>
            <w:tcBorders>
              <w:top w:val="nil"/>
              <w:left w:val="nil"/>
              <w:bottom w:val="nil"/>
              <w:right w:val="nil"/>
            </w:tcBorders>
            <w:vAlign w:val="center"/>
          </w:tcPr>
          <w:p w14:paraId="0071DC88"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Pays hôte/ bénéficiaires</w:t>
            </w:r>
          </w:p>
        </w:tc>
        <w:tc>
          <w:tcPr>
            <w:tcW w:w="4252" w:type="dxa"/>
            <w:tcBorders>
              <w:top w:val="nil"/>
              <w:left w:val="nil"/>
              <w:bottom w:val="nil"/>
              <w:right w:val="nil"/>
            </w:tcBorders>
            <w:vAlign w:val="center"/>
          </w:tcPr>
          <w:p w14:paraId="2B25FC76" w14:textId="77777777" w:rsidR="00767EC2" w:rsidRPr="0065453F" w:rsidRDefault="00767EC2" w:rsidP="00A83D07">
            <w:pPr>
              <w:keepNext/>
              <w:keepLines/>
              <w:spacing w:line="276" w:lineRule="auto"/>
              <w:rPr>
                <w:rFonts w:eastAsiaTheme="minorHAnsi"/>
                <w:b/>
                <w:sz w:val="16"/>
                <w:szCs w:val="16"/>
              </w:rPr>
            </w:pPr>
            <w:r w:rsidRPr="0065453F">
              <w:rPr>
                <w:rFonts w:eastAsiaTheme="minorHAnsi"/>
                <w:b/>
                <w:sz w:val="16"/>
                <w:szCs w:val="16"/>
              </w:rPr>
              <w:t>Objectif(s)/description(s)</w:t>
            </w:r>
          </w:p>
        </w:tc>
      </w:tr>
      <w:tr w:rsidR="00767EC2" w:rsidRPr="0065453F" w14:paraId="1C430A49" w14:textId="77777777" w:rsidTr="00A83D07">
        <w:trPr>
          <w:cantSplit/>
        </w:trPr>
        <w:tc>
          <w:tcPr>
            <w:tcW w:w="1786" w:type="dxa"/>
            <w:tcBorders>
              <w:top w:val="nil"/>
              <w:left w:val="nil"/>
              <w:bottom w:val="nil"/>
              <w:right w:val="nil"/>
            </w:tcBorders>
          </w:tcPr>
          <w:p w14:paraId="6DB5BC45"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Étude de cas sur les besoins en matière de technologies relatives à l’eau et à l’agriculture et possibilités de s’en servir comme modèle dans la base de données WIPO GREEN</w:t>
            </w:r>
          </w:p>
        </w:tc>
        <w:tc>
          <w:tcPr>
            <w:tcW w:w="1322" w:type="dxa"/>
            <w:gridSpan w:val="3"/>
            <w:tcBorders>
              <w:top w:val="nil"/>
              <w:left w:val="nil"/>
              <w:bottom w:val="nil"/>
              <w:right w:val="nil"/>
            </w:tcBorders>
          </w:tcPr>
          <w:p w14:paraId="7004903C"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5 – 8 avril 2016</w:t>
            </w:r>
          </w:p>
        </w:tc>
        <w:tc>
          <w:tcPr>
            <w:tcW w:w="1712" w:type="dxa"/>
            <w:gridSpan w:val="2"/>
            <w:tcBorders>
              <w:top w:val="nil"/>
              <w:left w:val="nil"/>
              <w:bottom w:val="nil"/>
              <w:right w:val="nil"/>
            </w:tcBorders>
          </w:tcPr>
          <w:p w14:paraId="7A1E40A9"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Kenya/ approximativement 250 participants locaux</w:t>
            </w:r>
          </w:p>
        </w:tc>
        <w:tc>
          <w:tcPr>
            <w:tcW w:w="4252" w:type="dxa"/>
            <w:tcBorders>
              <w:top w:val="nil"/>
              <w:left w:val="nil"/>
              <w:bottom w:val="nil"/>
              <w:right w:val="nil"/>
            </w:tcBorders>
          </w:tcPr>
          <w:p w14:paraId="75A37EC4"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i) Déterminer les besoins spécifiques des pays sélectionnés en matière de technologies relatives à l’eau et à l’agriculture;  ii) décrire et formuler les besoins en vue de leur téléchargement dans la base de données WIPO GREEN;  et iii) recenser les opportunités de collaboration autour des besoins définis en insistant plus particulièrement sur la capacité nationale d’absorption</w:t>
            </w:r>
          </w:p>
        </w:tc>
      </w:tr>
      <w:tr w:rsidR="00767EC2" w:rsidRPr="00F076D7" w14:paraId="08DCBA79" w14:textId="77777777" w:rsidTr="00A83D07">
        <w:trPr>
          <w:cantSplit/>
        </w:trPr>
        <w:tc>
          <w:tcPr>
            <w:tcW w:w="1786" w:type="dxa"/>
            <w:tcBorders>
              <w:top w:val="nil"/>
              <w:left w:val="nil"/>
              <w:bottom w:val="nil"/>
              <w:right w:val="nil"/>
            </w:tcBorders>
          </w:tcPr>
          <w:p w14:paraId="52EE4758"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Réalisation d’un film montrant un exemple de réussite – WIPO </w:t>
            </w:r>
            <w:proofErr w:type="spellStart"/>
            <w:r w:rsidRPr="0065453F">
              <w:rPr>
                <w:rFonts w:eastAsiaTheme="minorHAnsi"/>
                <w:sz w:val="16"/>
                <w:szCs w:val="16"/>
              </w:rPr>
              <w:t>Re:Search</w:t>
            </w:r>
            <w:proofErr w:type="spellEnd"/>
          </w:p>
        </w:tc>
        <w:tc>
          <w:tcPr>
            <w:tcW w:w="1322" w:type="dxa"/>
            <w:gridSpan w:val="3"/>
            <w:tcBorders>
              <w:top w:val="nil"/>
              <w:left w:val="nil"/>
              <w:bottom w:val="nil"/>
              <w:right w:val="nil"/>
            </w:tcBorders>
          </w:tcPr>
          <w:p w14:paraId="1A33D6FC" w14:textId="77777777" w:rsidR="00767EC2" w:rsidRPr="0065453F" w:rsidRDefault="00767EC2" w:rsidP="00A83D07">
            <w:pPr>
              <w:spacing w:line="276" w:lineRule="auto"/>
              <w:rPr>
                <w:rFonts w:eastAsiaTheme="minorHAnsi"/>
                <w:sz w:val="16"/>
                <w:szCs w:val="16"/>
              </w:rPr>
            </w:pPr>
            <w:r w:rsidRPr="0065453F">
              <w:rPr>
                <w:rFonts w:eastAsiaTheme="minorHAnsi"/>
                <w:sz w:val="16"/>
                <w:szCs w:val="16"/>
              </w:rPr>
              <w:t>Août – décembre 2016</w:t>
            </w:r>
          </w:p>
          <w:p w14:paraId="51CB371F"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(en cours)</w:t>
            </w:r>
          </w:p>
        </w:tc>
        <w:tc>
          <w:tcPr>
            <w:tcW w:w="1712" w:type="dxa"/>
            <w:gridSpan w:val="2"/>
            <w:tcBorders>
              <w:top w:val="nil"/>
              <w:left w:val="nil"/>
              <w:bottom w:val="nil"/>
              <w:right w:val="nil"/>
            </w:tcBorders>
          </w:tcPr>
          <w:p w14:paraId="7C0E753A" w14:textId="77777777" w:rsidR="00767EC2" w:rsidRPr="0065453F"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Ghana</w:t>
            </w:r>
          </w:p>
        </w:tc>
        <w:tc>
          <w:tcPr>
            <w:tcW w:w="4252" w:type="dxa"/>
            <w:tcBorders>
              <w:top w:val="nil"/>
              <w:left w:val="nil"/>
              <w:bottom w:val="nil"/>
              <w:right w:val="nil"/>
            </w:tcBorders>
          </w:tcPr>
          <w:p w14:paraId="51B43186" w14:textId="77777777" w:rsidR="00767EC2" w:rsidRPr="00F076D7" w:rsidRDefault="00767EC2" w:rsidP="00A83D07">
            <w:pPr>
              <w:autoSpaceDE w:val="0"/>
              <w:autoSpaceDN w:val="0"/>
              <w:adjustRightInd w:val="0"/>
              <w:spacing w:line="276" w:lineRule="auto"/>
              <w:rPr>
                <w:rFonts w:eastAsiaTheme="minorHAnsi"/>
                <w:sz w:val="16"/>
                <w:szCs w:val="16"/>
              </w:rPr>
            </w:pPr>
            <w:r w:rsidRPr="0065453F">
              <w:rPr>
                <w:rFonts w:eastAsiaTheme="minorHAnsi"/>
                <w:sz w:val="16"/>
                <w:szCs w:val="16"/>
              </w:rPr>
              <w:t>Présenter WIPO </w:t>
            </w:r>
            <w:proofErr w:type="spellStart"/>
            <w:r w:rsidRPr="0065453F">
              <w:rPr>
                <w:rFonts w:eastAsiaTheme="minorHAnsi"/>
                <w:sz w:val="16"/>
                <w:szCs w:val="16"/>
              </w:rPr>
              <w:t>Re:Search</w:t>
            </w:r>
            <w:proofErr w:type="spellEnd"/>
            <w:r w:rsidRPr="0065453F">
              <w:rPr>
                <w:rFonts w:eastAsiaTheme="minorHAnsi"/>
                <w:sz w:val="16"/>
                <w:szCs w:val="16"/>
              </w:rPr>
              <w:t xml:space="preserve"> et les personnes qui s’engagent dans le projet.</w:t>
            </w:r>
          </w:p>
        </w:tc>
      </w:tr>
    </w:tbl>
    <w:p w14:paraId="16EA70CD" w14:textId="77777777" w:rsidR="00767EC2" w:rsidRPr="00F076D7" w:rsidRDefault="00767EC2" w:rsidP="00767EC2">
      <w:pPr>
        <w:spacing w:line="276" w:lineRule="auto"/>
        <w:rPr>
          <w:rFonts w:asciiTheme="minorBidi" w:eastAsiaTheme="minorHAnsi" w:hAnsiTheme="minorBidi" w:cstheme="minorBidi"/>
          <w:sz w:val="20"/>
        </w:rPr>
      </w:pPr>
    </w:p>
    <w:p w14:paraId="3AF62ED5" w14:textId="77777777" w:rsidR="00767EC2" w:rsidRPr="00F076D7" w:rsidRDefault="00767EC2" w:rsidP="00767EC2">
      <w:pPr>
        <w:spacing w:line="276" w:lineRule="auto"/>
        <w:rPr>
          <w:rFonts w:asciiTheme="minorBidi" w:eastAsiaTheme="minorHAnsi" w:hAnsiTheme="minorBidi" w:cstheme="minorBidi"/>
          <w:sz w:val="20"/>
        </w:rPr>
      </w:pPr>
    </w:p>
    <w:p w14:paraId="116F6A5D" w14:textId="77777777" w:rsidR="00767EC2" w:rsidRPr="00F076D7" w:rsidRDefault="00767EC2" w:rsidP="00767EC2">
      <w:pPr>
        <w:spacing w:line="276" w:lineRule="auto"/>
        <w:rPr>
          <w:rFonts w:asciiTheme="minorBidi" w:eastAsiaTheme="minorHAnsi" w:hAnsiTheme="minorBidi" w:cstheme="minorBidi"/>
          <w:b/>
          <w:bCs/>
          <w:sz w:val="20"/>
        </w:rPr>
      </w:pPr>
      <w:r w:rsidRPr="00F076D7">
        <w:rPr>
          <w:rFonts w:asciiTheme="minorBidi" w:eastAsiaTheme="minorHAnsi" w:hAnsiTheme="minorBidi" w:cstheme="minorBidi"/>
          <w:b/>
          <w:bCs/>
          <w:sz w:val="20"/>
        </w:rPr>
        <w:t>JAPON/PROPRIÉTÉ INDUSTRIELLE/AFRIQUE – PAYS LES MOINS AVANCÉS – Contributions des donateurs et dépenses en 2016</w:t>
      </w:r>
    </w:p>
    <w:p w14:paraId="7A50221C" w14:textId="77777777" w:rsidR="00767EC2" w:rsidRPr="00F076D7" w:rsidRDefault="00767EC2" w:rsidP="00767EC2">
      <w:pPr>
        <w:spacing w:line="276" w:lineRule="auto"/>
        <w:rPr>
          <w:rFonts w:asciiTheme="minorBidi" w:eastAsiaTheme="minorHAnsi" w:hAnsiTheme="minorBidi" w:cstheme="minorBidi"/>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4DA0E581" w14:textId="77777777" w:rsidTr="00A83D07">
        <w:trPr>
          <w:cantSplit/>
        </w:trPr>
        <w:tc>
          <w:tcPr>
            <w:tcW w:w="1814" w:type="dxa"/>
            <w:tcBorders>
              <w:top w:val="nil"/>
              <w:left w:val="nil"/>
              <w:bottom w:val="nil"/>
              <w:right w:val="nil"/>
            </w:tcBorders>
            <w:shd w:val="clear" w:color="000000" w:fill="C5D9F1"/>
            <w:vAlign w:val="center"/>
            <w:hideMark/>
          </w:tcPr>
          <w:p w14:paraId="6F399271"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0EB3E613"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268E2578"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364039C5"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58F517DA"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2028047A" w14:textId="77777777" w:rsidTr="00A83D07">
        <w:trPr>
          <w:cantSplit/>
        </w:trPr>
        <w:tc>
          <w:tcPr>
            <w:tcW w:w="1814" w:type="dxa"/>
            <w:tcBorders>
              <w:top w:val="nil"/>
              <w:left w:val="nil"/>
              <w:bottom w:val="nil"/>
              <w:right w:val="nil"/>
            </w:tcBorders>
            <w:shd w:val="clear" w:color="auto" w:fill="auto"/>
            <w:noWrap/>
            <w:vAlign w:val="bottom"/>
            <w:hideMark/>
          </w:tcPr>
          <w:p w14:paraId="30916180" w14:textId="77777777" w:rsidR="00767EC2" w:rsidRPr="00F076D7" w:rsidRDefault="00767EC2" w:rsidP="00A83D07">
            <w:pPr>
              <w:jc w:val="center"/>
              <w:rPr>
                <w:sz w:val="16"/>
                <w:szCs w:val="16"/>
              </w:rPr>
            </w:pPr>
            <w:r w:rsidRPr="00F076D7">
              <w:rPr>
                <w:sz w:val="16"/>
                <w:szCs w:val="16"/>
              </w:rPr>
              <w:t>1 651 640</w:t>
            </w:r>
          </w:p>
        </w:tc>
        <w:tc>
          <w:tcPr>
            <w:tcW w:w="1814" w:type="dxa"/>
            <w:tcBorders>
              <w:top w:val="nil"/>
              <w:left w:val="nil"/>
              <w:bottom w:val="nil"/>
              <w:right w:val="nil"/>
            </w:tcBorders>
            <w:shd w:val="clear" w:color="auto" w:fill="auto"/>
            <w:noWrap/>
            <w:vAlign w:val="bottom"/>
            <w:hideMark/>
          </w:tcPr>
          <w:p w14:paraId="54564AF5" w14:textId="77777777" w:rsidR="00767EC2" w:rsidRPr="00F076D7" w:rsidRDefault="00767EC2" w:rsidP="00A83D07">
            <w:pPr>
              <w:jc w:val="center"/>
              <w:rPr>
                <w:sz w:val="16"/>
                <w:szCs w:val="16"/>
              </w:rPr>
            </w:pPr>
            <w:r w:rsidRPr="00F076D7">
              <w:rPr>
                <w:sz w:val="16"/>
                <w:szCs w:val="16"/>
              </w:rPr>
              <w:t>1 599 634</w:t>
            </w:r>
          </w:p>
        </w:tc>
        <w:tc>
          <w:tcPr>
            <w:tcW w:w="1815" w:type="dxa"/>
            <w:tcBorders>
              <w:top w:val="nil"/>
              <w:left w:val="nil"/>
              <w:bottom w:val="nil"/>
              <w:right w:val="nil"/>
            </w:tcBorders>
            <w:shd w:val="clear" w:color="auto" w:fill="auto"/>
            <w:noWrap/>
            <w:vAlign w:val="bottom"/>
            <w:hideMark/>
          </w:tcPr>
          <w:p w14:paraId="0D868295" w14:textId="77777777" w:rsidR="00767EC2" w:rsidRPr="00F076D7" w:rsidRDefault="00767EC2" w:rsidP="00A83D07">
            <w:pPr>
              <w:jc w:val="center"/>
              <w:rPr>
                <w:sz w:val="16"/>
                <w:szCs w:val="16"/>
              </w:rPr>
            </w:pPr>
            <w:r w:rsidRPr="00F076D7">
              <w:rPr>
                <w:sz w:val="16"/>
                <w:szCs w:val="16"/>
              </w:rPr>
              <w:t>1 688 605</w:t>
            </w:r>
          </w:p>
        </w:tc>
        <w:tc>
          <w:tcPr>
            <w:tcW w:w="1814" w:type="dxa"/>
            <w:tcBorders>
              <w:top w:val="nil"/>
              <w:left w:val="nil"/>
              <w:bottom w:val="nil"/>
              <w:right w:val="nil"/>
            </w:tcBorders>
            <w:shd w:val="clear" w:color="auto" w:fill="auto"/>
            <w:noWrap/>
            <w:vAlign w:val="bottom"/>
            <w:hideMark/>
          </w:tcPr>
          <w:p w14:paraId="7C4C3EFB"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14190D83" w14:textId="77777777" w:rsidR="00767EC2" w:rsidRPr="00F076D7" w:rsidRDefault="00767EC2" w:rsidP="00A83D07">
            <w:pPr>
              <w:jc w:val="center"/>
              <w:rPr>
                <w:sz w:val="16"/>
                <w:szCs w:val="16"/>
              </w:rPr>
            </w:pPr>
            <w:r w:rsidRPr="00F076D7">
              <w:rPr>
                <w:sz w:val="16"/>
                <w:szCs w:val="16"/>
              </w:rPr>
              <w:t>1 562 669</w:t>
            </w:r>
          </w:p>
        </w:tc>
      </w:tr>
    </w:tbl>
    <w:p w14:paraId="3A408467" w14:textId="77777777" w:rsidR="00767EC2" w:rsidRPr="00F076D7" w:rsidRDefault="00767EC2" w:rsidP="00767EC2"/>
    <w:p w14:paraId="58243337" w14:textId="77777777" w:rsidR="00767EC2" w:rsidRPr="00F076D7" w:rsidRDefault="00767EC2" w:rsidP="00767EC2">
      <w:pPr>
        <w:rPr>
          <w:b/>
          <w:sz w:val="20"/>
          <w:szCs w:val="24"/>
        </w:rPr>
      </w:pPr>
    </w:p>
    <w:p w14:paraId="7FCDAFF9" w14:textId="77777777" w:rsidR="00767EC2" w:rsidRPr="00F076D7" w:rsidRDefault="00767EC2" w:rsidP="00767EC2">
      <w:pPr>
        <w:keepNext/>
        <w:keepLines/>
        <w:rPr>
          <w:b/>
          <w:sz w:val="20"/>
          <w:szCs w:val="24"/>
        </w:rPr>
      </w:pPr>
      <w:r w:rsidRPr="00F076D7">
        <w:rPr>
          <w:b/>
          <w:sz w:val="20"/>
          <w:szCs w:val="24"/>
        </w:rPr>
        <w:t>MEXIQUE</w:t>
      </w:r>
    </w:p>
    <w:p w14:paraId="10E4F259" w14:textId="77777777" w:rsidR="00767EC2" w:rsidRPr="00F076D7" w:rsidRDefault="00767EC2" w:rsidP="00767EC2">
      <w:pPr>
        <w:keepNext/>
        <w:keepLines/>
        <w:rPr>
          <w:b/>
          <w:sz w:val="16"/>
          <w:szCs w:val="16"/>
        </w:rPr>
      </w:pPr>
    </w:p>
    <w:tbl>
      <w:tblPr>
        <w:tblW w:w="4884" w:type="pct"/>
        <w:tblCellMar>
          <w:top w:w="57" w:type="dxa"/>
          <w:bottom w:w="57" w:type="dxa"/>
        </w:tblCellMar>
        <w:tblLook w:val="0000" w:firstRow="0" w:lastRow="0" w:firstColumn="0" w:lastColumn="0" w:noHBand="0" w:noVBand="0"/>
      </w:tblPr>
      <w:tblGrid>
        <w:gridCol w:w="1789"/>
        <w:gridCol w:w="1240"/>
        <w:gridCol w:w="1924"/>
        <w:gridCol w:w="4119"/>
      </w:tblGrid>
      <w:tr w:rsidR="00767EC2" w:rsidRPr="00F076D7" w14:paraId="2BA20402" w14:textId="77777777" w:rsidTr="00A83D07">
        <w:trPr>
          <w:cantSplit/>
        </w:trPr>
        <w:tc>
          <w:tcPr>
            <w:tcW w:w="9072" w:type="dxa"/>
            <w:gridSpan w:val="4"/>
            <w:shd w:val="clear" w:color="auto" w:fill="C6D9F1"/>
            <w:vAlign w:val="center"/>
          </w:tcPr>
          <w:p w14:paraId="3A3202CB" w14:textId="77777777" w:rsidR="00767EC2" w:rsidRPr="00F076D7" w:rsidRDefault="00767EC2" w:rsidP="00A83D07">
            <w:pPr>
              <w:keepNext/>
              <w:keepLines/>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III.1 Stratégies et plans nationaux en matière d’innovation et de propriété intellectuelle conformes aux objectifs de développement nationaux</w:t>
            </w:r>
          </w:p>
        </w:tc>
      </w:tr>
      <w:tr w:rsidR="00767EC2" w:rsidRPr="00F076D7" w14:paraId="3944F291" w14:textId="77777777" w:rsidTr="00A83D07">
        <w:trPr>
          <w:cantSplit/>
        </w:trPr>
        <w:tc>
          <w:tcPr>
            <w:tcW w:w="1789" w:type="dxa"/>
            <w:vAlign w:val="center"/>
          </w:tcPr>
          <w:p w14:paraId="0180878A" w14:textId="77777777" w:rsidR="00767EC2" w:rsidRPr="00F076D7" w:rsidRDefault="00767EC2" w:rsidP="00A83D07">
            <w:pPr>
              <w:keepNext/>
              <w:keepLines/>
              <w:rPr>
                <w:b/>
                <w:bCs/>
                <w:sz w:val="16"/>
                <w:szCs w:val="16"/>
              </w:rPr>
            </w:pPr>
            <w:r w:rsidRPr="00F076D7">
              <w:rPr>
                <w:b/>
                <w:bCs/>
                <w:sz w:val="16"/>
                <w:szCs w:val="16"/>
              </w:rPr>
              <w:t>Activité</w:t>
            </w:r>
          </w:p>
        </w:tc>
        <w:tc>
          <w:tcPr>
            <w:tcW w:w="1240" w:type="dxa"/>
            <w:tcMar>
              <w:top w:w="57" w:type="dxa"/>
            </w:tcMar>
            <w:vAlign w:val="center"/>
          </w:tcPr>
          <w:p w14:paraId="3ADC5F32" w14:textId="77777777" w:rsidR="00767EC2" w:rsidRPr="00F076D7" w:rsidRDefault="00767EC2" w:rsidP="00A83D07">
            <w:pPr>
              <w:keepNext/>
              <w:keepLines/>
              <w:rPr>
                <w:b/>
                <w:sz w:val="16"/>
                <w:szCs w:val="16"/>
              </w:rPr>
            </w:pPr>
            <w:r w:rsidRPr="00F076D7">
              <w:rPr>
                <w:b/>
                <w:sz w:val="16"/>
                <w:szCs w:val="16"/>
              </w:rPr>
              <w:t>Date</w:t>
            </w:r>
          </w:p>
        </w:tc>
        <w:tc>
          <w:tcPr>
            <w:tcW w:w="1924" w:type="dxa"/>
            <w:tcMar>
              <w:top w:w="57" w:type="dxa"/>
            </w:tcMar>
            <w:vAlign w:val="center"/>
          </w:tcPr>
          <w:p w14:paraId="333CE57F" w14:textId="77777777" w:rsidR="00767EC2" w:rsidRPr="00F076D7" w:rsidRDefault="00767EC2" w:rsidP="00A83D07">
            <w:pPr>
              <w:keepNext/>
              <w:keepLines/>
              <w:rPr>
                <w:b/>
                <w:sz w:val="16"/>
                <w:szCs w:val="16"/>
              </w:rPr>
            </w:pPr>
            <w:r w:rsidRPr="00F076D7">
              <w:rPr>
                <w:b/>
                <w:sz w:val="16"/>
                <w:szCs w:val="16"/>
              </w:rPr>
              <w:t>Pays hôte/bénéficiaires</w:t>
            </w:r>
          </w:p>
        </w:tc>
        <w:tc>
          <w:tcPr>
            <w:tcW w:w="4119" w:type="dxa"/>
            <w:shd w:val="clear" w:color="auto" w:fill="FFFFFF"/>
            <w:tcMar>
              <w:top w:w="57" w:type="dxa"/>
            </w:tcMar>
            <w:vAlign w:val="center"/>
          </w:tcPr>
          <w:p w14:paraId="423D0065"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1AFCF35C" w14:textId="77777777" w:rsidTr="00A83D07">
        <w:tblPrEx>
          <w:tblLook w:val="04A0" w:firstRow="1" w:lastRow="0" w:firstColumn="1" w:lastColumn="0" w:noHBand="0" w:noVBand="1"/>
        </w:tblPrEx>
        <w:trPr>
          <w:cantSplit/>
        </w:trPr>
        <w:tc>
          <w:tcPr>
            <w:tcW w:w="1789" w:type="dxa"/>
          </w:tcPr>
          <w:p w14:paraId="251A7048" w14:textId="77777777" w:rsidR="00767EC2" w:rsidRPr="00F076D7" w:rsidRDefault="00767EC2" w:rsidP="00A83D07">
            <w:pPr>
              <w:autoSpaceDE w:val="0"/>
              <w:autoSpaceDN w:val="0"/>
              <w:adjustRightInd w:val="0"/>
              <w:rPr>
                <w:sz w:val="16"/>
                <w:szCs w:val="16"/>
              </w:rPr>
            </w:pPr>
            <w:r w:rsidRPr="00F076D7">
              <w:rPr>
                <w:rFonts w:cs="Times New Roman"/>
                <w:sz w:val="16"/>
                <w:szCs w:val="16"/>
              </w:rPr>
              <w:t>Financement d’un conférencier pour le cours d’été de l’OMPI sur la propriété intellectuelle organisé par l’Académie de l’OMPI en coopération avec l’Institut mexicain de la propriété industrielle (IMPI) et l’</w:t>
            </w:r>
            <w:r w:rsidRPr="00F076D7">
              <w:rPr>
                <w:rFonts w:cs="Times New Roman"/>
                <w:i/>
                <w:sz w:val="16"/>
                <w:szCs w:val="16"/>
              </w:rPr>
              <w:t xml:space="preserve">Institut </w:t>
            </w:r>
            <w:proofErr w:type="spellStart"/>
            <w:r w:rsidRPr="00F076D7">
              <w:rPr>
                <w:rFonts w:cs="Times New Roman"/>
                <w:i/>
                <w:sz w:val="16"/>
                <w:szCs w:val="16"/>
              </w:rPr>
              <w:t>Tecnológico</w:t>
            </w:r>
            <w:proofErr w:type="spellEnd"/>
            <w:r w:rsidRPr="00F076D7">
              <w:rPr>
                <w:rFonts w:cs="Times New Roman"/>
                <w:i/>
                <w:sz w:val="16"/>
                <w:szCs w:val="16"/>
              </w:rPr>
              <w:t xml:space="preserve"> </w:t>
            </w:r>
            <w:proofErr w:type="spellStart"/>
            <w:r w:rsidRPr="00F076D7">
              <w:rPr>
                <w:rFonts w:cs="Times New Roman"/>
                <w:i/>
                <w:sz w:val="16"/>
                <w:szCs w:val="16"/>
              </w:rPr>
              <w:t>Autónomo</w:t>
            </w:r>
            <w:proofErr w:type="spellEnd"/>
            <w:r w:rsidRPr="00F076D7">
              <w:rPr>
                <w:rFonts w:cs="Times New Roman"/>
                <w:i/>
                <w:sz w:val="16"/>
                <w:szCs w:val="16"/>
              </w:rPr>
              <w:t xml:space="preserve"> de </w:t>
            </w:r>
            <w:proofErr w:type="spellStart"/>
            <w:r w:rsidRPr="00F076D7">
              <w:rPr>
                <w:rFonts w:cs="Times New Roman"/>
                <w:i/>
                <w:sz w:val="16"/>
                <w:szCs w:val="16"/>
              </w:rPr>
              <w:t>México</w:t>
            </w:r>
            <w:proofErr w:type="spellEnd"/>
            <w:r w:rsidRPr="00F076D7">
              <w:rPr>
                <w:rFonts w:cs="Times New Roman"/>
                <w:i/>
                <w:sz w:val="16"/>
                <w:szCs w:val="16"/>
              </w:rPr>
              <w:t xml:space="preserve"> </w:t>
            </w:r>
            <w:r w:rsidRPr="00F076D7">
              <w:rPr>
                <w:rFonts w:cs="Times New Roman"/>
                <w:sz w:val="16"/>
                <w:szCs w:val="16"/>
              </w:rPr>
              <w:t>(ITAM)</w:t>
            </w:r>
          </w:p>
        </w:tc>
        <w:tc>
          <w:tcPr>
            <w:tcW w:w="1240" w:type="dxa"/>
          </w:tcPr>
          <w:p w14:paraId="02523833" w14:textId="77777777" w:rsidR="00767EC2" w:rsidRPr="00F076D7" w:rsidRDefault="00767EC2" w:rsidP="00A83D07">
            <w:pPr>
              <w:autoSpaceDE w:val="0"/>
              <w:autoSpaceDN w:val="0"/>
              <w:adjustRightInd w:val="0"/>
              <w:rPr>
                <w:sz w:val="16"/>
                <w:szCs w:val="16"/>
              </w:rPr>
            </w:pPr>
            <w:r w:rsidRPr="00F076D7">
              <w:rPr>
                <w:sz w:val="16"/>
                <w:szCs w:val="16"/>
              </w:rPr>
              <w:t>30 mai au 10 juin 2016</w:t>
            </w:r>
          </w:p>
        </w:tc>
        <w:tc>
          <w:tcPr>
            <w:tcW w:w="1924" w:type="dxa"/>
          </w:tcPr>
          <w:p w14:paraId="2742BF4A" w14:textId="77777777" w:rsidR="00767EC2" w:rsidRPr="00F076D7" w:rsidRDefault="00767EC2" w:rsidP="00A83D07">
            <w:pPr>
              <w:autoSpaceDE w:val="0"/>
              <w:autoSpaceDN w:val="0"/>
              <w:adjustRightInd w:val="0"/>
              <w:rPr>
                <w:sz w:val="16"/>
                <w:szCs w:val="16"/>
              </w:rPr>
            </w:pPr>
            <w:r w:rsidRPr="00F076D7">
              <w:rPr>
                <w:sz w:val="16"/>
                <w:szCs w:val="16"/>
              </w:rPr>
              <w:t>Mexique</w:t>
            </w:r>
          </w:p>
        </w:tc>
        <w:tc>
          <w:tcPr>
            <w:tcW w:w="4119" w:type="dxa"/>
          </w:tcPr>
          <w:p w14:paraId="46B14DA8"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Financer la participation d’un conférencier (le chef de la cellule “atteintes aux droits de propriété intellectuelle”, Police nationale de Madrid, Espagne) qui tiendra une conférence au cours d’été de l’OMPI.</w:t>
            </w:r>
          </w:p>
        </w:tc>
      </w:tr>
      <w:tr w:rsidR="00767EC2" w:rsidRPr="00F076D7" w14:paraId="7358F513" w14:textId="77777777" w:rsidTr="00A83D07">
        <w:tblPrEx>
          <w:tblLook w:val="04A0" w:firstRow="1" w:lastRow="0" w:firstColumn="1" w:lastColumn="0" w:noHBand="0" w:noVBand="1"/>
        </w:tblPrEx>
        <w:trPr>
          <w:cantSplit/>
        </w:trPr>
        <w:tc>
          <w:tcPr>
            <w:tcW w:w="1789" w:type="dxa"/>
          </w:tcPr>
          <w:p w14:paraId="7510D547" w14:textId="77777777" w:rsidR="00767EC2" w:rsidRPr="00F076D7" w:rsidRDefault="00767EC2" w:rsidP="00A83D07">
            <w:pPr>
              <w:autoSpaceDE w:val="0"/>
              <w:autoSpaceDN w:val="0"/>
              <w:adjustRightInd w:val="0"/>
              <w:rPr>
                <w:sz w:val="16"/>
                <w:szCs w:val="16"/>
                <w:highlight w:val="cyan"/>
              </w:rPr>
            </w:pPr>
            <w:r w:rsidRPr="00F076D7">
              <w:rPr>
                <w:rFonts w:cs="Times New Roman"/>
                <w:sz w:val="16"/>
                <w:szCs w:val="16"/>
              </w:rPr>
              <w:t>Séminaire régional intitulé Encourager les PME à utiliser la propriété industrielle : former les entrepreneurs du futur/potentiels, organisé par l’Office espagnol des brevets et des marques (OEPM) et l’Institut mexicain de la propriété industrielle (IMPI), avec le soutien de l’OMPI</w:t>
            </w:r>
          </w:p>
        </w:tc>
        <w:tc>
          <w:tcPr>
            <w:tcW w:w="1240" w:type="dxa"/>
          </w:tcPr>
          <w:p w14:paraId="21D3023A" w14:textId="77777777" w:rsidR="00767EC2" w:rsidRPr="00F076D7" w:rsidRDefault="00767EC2" w:rsidP="00A83D07">
            <w:pPr>
              <w:autoSpaceDE w:val="0"/>
              <w:autoSpaceDN w:val="0"/>
              <w:adjustRightInd w:val="0"/>
              <w:rPr>
                <w:sz w:val="16"/>
                <w:szCs w:val="16"/>
              </w:rPr>
            </w:pPr>
            <w:r w:rsidRPr="00F076D7">
              <w:rPr>
                <w:sz w:val="16"/>
                <w:szCs w:val="16"/>
              </w:rPr>
              <w:t>19 et 20 octobre 2016</w:t>
            </w:r>
          </w:p>
        </w:tc>
        <w:tc>
          <w:tcPr>
            <w:tcW w:w="1924" w:type="dxa"/>
          </w:tcPr>
          <w:p w14:paraId="37092118"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Mexique/ Tous les pays d’Amérique latine</w:t>
            </w:r>
          </w:p>
        </w:tc>
        <w:tc>
          <w:tcPr>
            <w:tcW w:w="4119" w:type="dxa"/>
          </w:tcPr>
          <w:p w14:paraId="74476E22" w14:textId="77777777" w:rsidR="00767EC2" w:rsidRPr="00F076D7" w:rsidRDefault="00767EC2" w:rsidP="00A83D07">
            <w:pPr>
              <w:autoSpaceDE w:val="0"/>
              <w:autoSpaceDN w:val="0"/>
              <w:adjustRightInd w:val="0"/>
              <w:rPr>
                <w:sz w:val="16"/>
                <w:szCs w:val="16"/>
                <w:highlight w:val="cyan"/>
              </w:rPr>
            </w:pPr>
            <w:r w:rsidRPr="00F076D7">
              <w:rPr>
                <w:rFonts w:cs="Times New Roman"/>
                <w:sz w:val="16"/>
                <w:szCs w:val="16"/>
              </w:rPr>
              <w:t xml:space="preserve">Accompagner les offices de propriété intellectuelle, qui s’efforcent de créer des services et des programmes d’aide aux PME.  </w:t>
            </w:r>
          </w:p>
        </w:tc>
      </w:tr>
      <w:tr w:rsidR="00767EC2" w:rsidRPr="00F076D7" w14:paraId="621F01D9" w14:textId="77777777" w:rsidTr="00A83D07">
        <w:tblPrEx>
          <w:tblLook w:val="04A0" w:firstRow="1" w:lastRow="0" w:firstColumn="1" w:lastColumn="0" w:noHBand="0" w:noVBand="1"/>
        </w:tblPrEx>
        <w:trPr>
          <w:cantSplit/>
        </w:trPr>
        <w:tc>
          <w:tcPr>
            <w:tcW w:w="1789" w:type="dxa"/>
          </w:tcPr>
          <w:p w14:paraId="36BEDB4E" w14:textId="77777777" w:rsidR="00767EC2" w:rsidRPr="00F076D7" w:rsidRDefault="00767EC2" w:rsidP="00A83D07">
            <w:pPr>
              <w:autoSpaceDE w:val="0"/>
              <w:autoSpaceDN w:val="0"/>
              <w:adjustRightInd w:val="0"/>
              <w:rPr>
                <w:rFonts w:cs="Times New Roman"/>
                <w:sz w:val="16"/>
                <w:szCs w:val="16"/>
                <w:highlight w:val="cyan"/>
              </w:rPr>
            </w:pPr>
            <w:r w:rsidRPr="00F076D7">
              <w:rPr>
                <w:rFonts w:cs="Times New Roman"/>
                <w:sz w:val="16"/>
                <w:szCs w:val="16"/>
              </w:rPr>
              <w:t>Journée de sensibilisation organisée par la Chambre de commerce d’Espagne au Mexique, en collaboration avec l’Office espagnol des brevets et des marques (OEPM) et l’Institut mexicain de la propriété industrielle (IMPI), avec l’appui de l’OMPI</w:t>
            </w:r>
          </w:p>
        </w:tc>
        <w:tc>
          <w:tcPr>
            <w:tcW w:w="1240" w:type="dxa"/>
          </w:tcPr>
          <w:p w14:paraId="52F00D7C"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21 octobre 2016</w:t>
            </w:r>
          </w:p>
        </w:tc>
        <w:tc>
          <w:tcPr>
            <w:tcW w:w="1924" w:type="dxa"/>
          </w:tcPr>
          <w:p w14:paraId="5E423931"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Mexique/ Tous les pays d’Amérique latine</w:t>
            </w:r>
          </w:p>
        </w:tc>
        <w:tc>
          <w:tcPr>
            <w:tcW w:w="4119" w:type="dxa"/>
          </w:tcPr>
          <w:p w14:paraId="2D990344" w14:textId="77777777" w:rsidR="00767EC2" w:rsidRPr="00F076D7" w:rsidRDefault="00767EC2" w:rsidP="00A83D07">
            <w:pPr>
              <w:autoSpaceDE w:val="0"/>
              <w:autoSpaceDN w:val="0"/>
              <w:adjustRightInd w:val="0"/>
              <w:rPr>
                <w:rFonts w:cs="Times New Roman"/>
                <w:sz w:val="16"/>
                <w:szCs w:val="16"/>
                <w:highlight w:val="cyan"/>
              </w:rPr>
            </w:pPr>
            <w:r w:rsidRPr="00F076D7">
              <w:rPr>
                <w:rFonts w:cs="Times New Roman"/>
                <w:sz w:val="16"/>
                <w:szCs w:val="16"/>
              </w:rPr>
              <w:t>Traiter la question de la pertinence de la protection de la propriété intellectuelle et de la gestion de la propriété intellectuelle pour la compétitivité industrielle du secteur privé.</w:t>
            </w:r>
          </w:p>
        </w:tc>
      </w:tr>
      <w:tr w:rsidR="00767EC2" w:rsidRPr="00F076D7" w14:paraId="07518945" w14:textId="77777777" w:rsidTr="00A83D07">
        <w:tblPrEx>
          <w:tblLook w:val="04A0" w:firstRow="1" w:lastRow="0" w:firstColumn="1" w:lastColumn="0" w:noHBand="0" w:noVBand="1"/>
        </w:tblPrEx>
        <w:trPr>
          <w:cantSplit/>
        </w:trPr>
        <w:tc>
          <w:tcPr>
            <w:tcW w:w="1789" w:type="dxa"/>
          </w:tcPr>
          <w:p w14:paraId="5A96B9DF"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Manifestation organisée par l’IMPI, en marge des assemblées générales de l’OMPI</w:t>
            </w:r>
          </w:p>
        </w:tc>
        <w:tc>
          <w:tcPr>
            <w:tcW w:w="1240" w:type="dxa"/>
          </w:tcPr>
          <w:p w14:paraId="63658A42"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7 octobre 2016</w:t>
            </w:r>
          </w:p>
        </w:tc>
        <w:tc>
          <w:tcPr>
            <w:tcW w:w="1924" w:type="dxa"/>
          </w:tcPr>
          <w:p w14:paraId="4975F58B" w14:textId="77777777" w:rsidR="00767EC2" w:rsidRPr="00F076D7" w:rsidRDefault="00767EC2" w:rsidP="00A83D07">
            <w:pPr>
              <w:autoSpaceDE w:val="0"/>
              <w:autoSpaceDN w:val="0"/>
              <w:adjustRightInd w:val="0"/>
              <w:rPr>
                <w:rFonts w:cs="Times New Roman"/>
                <w:sz w:val="16"/>
                <w:szCs w:val="16"/>
              </w:rPr>
            </w:pPr>
            <w:r w:rsidRPr="00F076D7">
              <w:rPr>
                <w:rFonts w:cs="Times New Roman"/>
                <w:sz w:val="16"/>
                <w:szCs w:val="16"/>
              </w:rPr>
              <w:t>Genève/ Tous les pays d’Amérique latine</w:t>
            </w:r>
          </w:p>
        </w:tc>
        <w:tc>
          <w:tcPr>
            <w:tcW w:w="4119" w:type="dxa"/>
          </w:tcPr>
          <w:p w14:paraId="4D59C118" w14:textId="77777777" w:rsidR="00767EC2" w:rsidRPr="00F076D7" w:rsidRDefault="00767EC2" w:rsidP="00A83D07">
            <w:pPr>
              <w:autoSpaceDE w:val="0"/>
              <w:autoSpaceDN w:val="0"/>
              <w:adjustRightInd w:val="0"/>
              <w:rPr>
                <w:rFonts w:cs="Times New Roman"/>
                <w:sz w:val="16"/>
                <w:szCs w:val="16"/>
                <w:highlight w:val="cyan"/>
              </w:rPr>
            </w:pPr>
            <w:r w:rsidRPr="00F076D7">
              <w:rPr>
                <w:rFonts w:cs="Times New Roman"/>
                <w:sz w:val="16"/>
                <w:szCs w:val="16"/>
              </w:rPr>
              <w:t>Présenter l’initiative du Mexique CADOPAT</w:t>
            </w:r>
            <w:r w:rsidRPr="00F076D7">
              <w:rPr>
                <w:rStyle w:val="FootnoteReference"/>
                <w:szCs w:val="16"/>
              </w:rPr>
              <w:footnoteReference w:id="112"/>
            </w:r>
            <w:r w:rsidRPr="00F076D7">
              <w:rPr>
                <w:rFonts w:cs="Times New Roman"/>
                <w:sz w:val="16"/>
                <w:szCs w:val="16"/>
              </w:rPr>
              <w:t>, qui est une initiative de coopération horizontale en matière d’examen des demandes de brevet.</w:t>
            </w:r>
          </w:p>
        </w:tc>
      </w:tr>
    </w:tbl>
    <w:p w14:paraId="5E0BBD7C" w14:textId="77777777" w:rsidR="00767EC2" w:rsidRPr="00F076D7" w:rsidRDefault="00767EC2" w:rsidP="00767EC2">
      <w:pPr>
        <w:rPr>
          <w:sz w:val="20"/>
          <w:szCs w:val="24"/>
        </w:rPr>
      </w:pPr>
    </w:p>
    <w:p w14:paraId="03711857" w14:textId="77777777" w:rsidR="00767EC2" w:rsidRPr="00F076D7" w:rsidRDefault="00767EC2" w:rsidP="00767EC2">
      <w:pPr>
        <w:rPr>
          <w:sz w:val="20"/>
          <w:szCs w:val="24"/>
        </w:rPr>
      </w:pPr>
    </w:p>
    <w:p w14:paraId="24BF705D" w14:textId="77777777" w:rsidR="00767EC2" w:rsidRPr="00F076D7" w:rsidRDefault="00767EC2" w:rsidP="00767EC2">
      <w:pPr>
        <w:keepNext/>
        <w:keepLines/>
        <w:rPr>
          <w:sz w:val="20"/>
          <w:szCs w:val="24"/>
        </w:rPr>
      </w:pPr>
      <w:r w:rsidRPr="00F076D7">
        <w:rPr>
          <w:b/>
          <w:sz w:val="20"/>
          <w:szCs w:val="24"/>
        </w:rPr>
        <w:t>MEXIQUE – Contributions des donateurs et dépenses en 2016</w:t>
      </w:r>
    </w:p>
    <w:p w14:paraId="5F466072" w14:textId="77777777" w:rsidR="00767EC2" w:rsidRPr="00F076D7" w:rsidRDefault="00767EC2" w:rsidP="00767EC2">
      <w:pPr>
        <w:keepNext/>
        <w:keepLines/>
        <w:rPr>
          <w:sz w:val="20"/>
          <w:szCs w:val="24"/>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616AB4F9" w14:textId="77777777" w:rsidTr="00A83D07">
        <w:trPr>
          <w:cantSplit/>
        </w:trPr>
        <w:tc>
          <w:tcPr>
            <w:tcW w:w="1814" w:type="dxa"/>
            <w:tcBorders>
              <w:top w:val="nil"/>
              <w:left w:val="nil"/>
              <w:bottom w:val="nil"/>
              <w:right w:val="nil"/>
            </w:tcBorders>
            <w:shd w:val="clear" w:color="000000" w:fill="C5D9F1"/>
            <w:vAlign w:val="bottom"/>
            <w:hideMark/>
          </w:tcPr>
          <w:p w14:paraId="29EEEC41" w14:textId="77777777" w:rsidR="00767EC2" w:rsidRPr="00F076D7" w:rsidRDefault="00767EC2" w:rsidP="00A83D07">
            <w:pPr>
              <w:keepNext/>
              <w:keepLines/>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bottom"/>
            <w:hideMark/>
          </w:tcPr>
          <w:p w14:paraId="4DEA303C" w14:textId="77777777" w:rsidR="00767EC2" w:rsidRPr="00F076D7" w:rsidRDefault="00767EC2" w:rsidP="00A83D07">
            <w:pPr>
              <w:keepNext/>
              <w:keepLines/>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bottom"/>
            <w:hideMark/>
          </w:tcPr>
          <w:p w14:paraId="2C495799" w14:textId="77777777" w:rsidR="00767EC2" w:rsidRPr="00F076D7" w:rsidRDefault="00767EC2" w:rsidP="00A83D07">
            <w:pPr>
              <w:keepNext/>
              <w:keepLines/>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bottom"/>
            <w:hideMark/>
          </w:tcPr>
          <w:p w14:paraId="14B24E58" w14:textId="77777777" w:rsidR="00767EC2" w:rsidRPr="00F076D7" w:rsidRDefault="00767EC2" w:rsidP="00A83D07">
            <w:pPr>
              <w:keepNext/>
              <w:keepLines/>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bottom"/>
            <w:hideMark/>
          </w:tcPr>
          <w:p w14:paraId="17743D91" w14:textId="77777777" w:rsidR="00767EC2" w:rsidRPr="00F076D7" w:rsidRDefault="00767EC2" w:rsidP="00A83D07">
            <w:pPr>
              <w:keepNext/>
              <w:keepLines/>
              <w:jc w:val="center"/>
              <w:rPr>
                <w:b/>
                <w:bCs/>
                <w:sz w:val="16"/>
                <w:szCs w:val="16"/>
              </w:rPr>
            </w:pPr>
            <w:r w:rsidRPr="00F076D7">
              <w:rPr>
                <w:b/>
                <w:bCs/>
                <w:sz w:val="16"/>
                <w:szCs w:val="16"/>
              </w:rPr>
              <w:t>Solde au 31 décembre 2016</w:t>
            </w:r>
          </w:p>
        </w:tc>
      </w:tr>
      <w:tr w:rsidR="00767EC2" w:rsidRPr="00F076D7" w14:paraId="3F913887" w14:textId="77777777" w:rsidTr="00A83D07">
        <w:trPr>
          <w:cantSplit/>
        </w:trPr>
        <w:tc>
          <w:tcPr>
            <w:tcW w:w="1814" w:type="dxa"/>
            <w:tcBorders>
              <w:top w:val="nil"/>
              <w:left w:val="nil"/>
              <w:bottom w:val="nil"/>
              <w:right w:val="nil"/>
            </w:tcBorders>
            <w:shd w:val="clear" w:color="auto" w:fill="auto"/>
            <w:noWrap/>
            <w:vAlign w:val="bottom"/>
            <w:hideMark/>
          </w:tcPr>
          <w:p w14:paraId="55AD915E" w14:textId="77777777" w:rsidR="00767EC2" w:rsidRPr="00F076D7" w:rsidRDefault="00767EC2" w:rsidP="00A83D07">
            <w:pPr>
              <w:keepNext/>
              <w:keepLines/>
              <w:jc w:val="center"/>
              <w:rPr>
                <w:sz w:val="16"/>
                <w:szCs w:val="16"/>
              </w:rPr>
            </w:pPr>
            <w:r w:rsidRPr="00F076D7">
              <w:rPr>
                <w:sz w:val="16"/>
                <w:szCs w:val="16"/>
              </w:rPr>
              <w:t>144 426</w:t>
            </w:r>
          </w:p>
        </w:tc>
        <w:tc>
          <w:tcPr>
            <w:tcW w:w="1814" w:type="dxa"/>
            <w:tcBorders>
              <w:top w:val="nil"/>
              <w:left w:val="nil"/>
              <w:bottom w:val="nil"/>
              <w:right w:val="nil"/>
            </w:tcBorders>
            <w:shd w:val="clear" w:color="auto" w:fill="auto"/>
            <w:noWrap/>
            <w:vAlign w:val="bottom"/>
            <w:hideMark/>
          </w:tcPr>
          <w:p w14:paraId="7EAEA5FA" w14:textId="77777777" w:rsidR="00767EC2" w:rsidRPr="00F076D7" w:rsidRDefault="00767EC2" w:rsidP="00A83D07">
            <w:pPr>
              <w:keepNext/>
              <w:keepLines/>
              <w:jc w:val="center"/>
              <w:rPr>
                <w:sz w:val="16"/>
                <w:szCs w:val="16"/>
              </w:rPr>
            </w:pPr>
            <w:r w:rsidRPr="00F076D7">
              <w:rPr>
                <w:sz w:val="16"/>
                <w:szCs w:val="16"/>
              </w:rPr>
              <w:t>98 765</w:t>
            </w:r>
          </w:p>
        </w:tc>
        <w:tc>
          <w:tcPr>
            <w:tcW w:w="1815" w:type="dxa"/>
            <w:tcBorders>
              <w:top w:val="nil"/>
              <w:left w:val="nil"/>
              <w:bottom w:val="nil"/>
              <w:right w:val="nil"/>
            </w:tcBorders>
            <w:shd w:val="clear" w:color="auto" w:fill="auto"/>
            <w:noWrap/>
            <w:vAlign w:val="bottom"/>
            <w:hideMark/>
          </w:tcPr>
          <w:p w14:paraId="0D225811" w14:textId="77777777" w:rsidR="00767EC2" w:rsidRPr="00F076D7" w:rsidRDefault="00767EC2" w:rsidP="00A83D07">
            <w:pPr>
              <w:keepNext/>
              <w:keepLines/>
              <w:jc w:val="center"/>
              <w:rPr>
                <w:sz w:val="16"/>
                <w:szCs w:val="16"/>
              </w:rPr>
            </w:pPr>
            <w:r w:rsidRPr="00F076D7">
              <w:rPr>
                <w:sz w:val="16"/>
                <w:szCs w:val="16"/>
              </w:rPr>
              <w:t>27 752</w:t>
            </w:r>
          </w:p>
        </w:tc>
        <w:tc>
          <w:tcPr>
            <w:tcW w:w="1814" w:type="dxa"/>
            <w:tcBorders>
              <w:top w:val="nil"/>
              <w:left w:val="nil"/>
              <w:bottom w:val="nil"/>
              <w:right w:val="nil"/>
            </w:tcBorders>
            <w:shd w:val="clear" w:color="auto" w:fill="auto"/>
            <w:noWrap/>
            <w:vAlign w:val="bottom"/>
            <w:hideMark/>
          </w:tcPr>
          <w:p w14:paraId="79993B65" w14:textId="77777777" w:rsidR="00767EC2" w:rsidRPr="00F076D7" w:rsidRDefault="00767EC2" w:rsidP="00A83D07">
            <w:pPr>
              <w:keepNext/>
              <w:keepLines/>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06888CE1" w14:textId="77777777" w:rsidR="00767EC2" w:rsidRPr="00F076D7" w:rsidRDefault="00767EC2" w:rsidP="00A83D07">
            <w:pPr>
              <w:keepNext/>
              <w:keepLines/>
              <w:jc w:val="center"/>
              <w:rPr>
                <w:sz w:val="16"/>
                <w:szCs w:val="16"/>
              </w:rPr>
            </w:pPr>
            <w:r w:rsidRPr="00F076D7">
              <w:rPr>
                <w:sz w:val="16"/>
                <w:szCs w:val="16"/>
              </w:rPr>
              <w:t>215 439</w:t>
            </w:r>
          </w:p>
        </w:tc>
      </w:tr>
    </w:tbl>
    <w:p w14:paraId="41327400" w14:textId="77777777" w:rsidR="00767EC2" w:rsidRPr="00F076D7" w:rsidRDefault="00767EC2" w:rsidP="00767EC2"/>
    <w:p w14:paraId="4798FF7D" w14:textId="77777777" w:rsidR="00767EC2" w:rsidRPr="00F076D7" w:rsidRDefault="00767EC2" w:rsidP="00767EC2"/>
    <w:p w14:paraId="538E2FEE" w14:textId="77777777" w:rsidR="00767EC2" w:rsidRPr="00F076D7" w:rsidRDefault="00767EC2" w:rsidP="00767EC2">
      <w:pPr>
        <w:keepNext/>
        <w:keepLines/>
        <w:rPr>
          <w:b/>
          <w:sz w:val="20"/>
        </w:rPr>
      </w:pPr>
      <w:r w:rsidRPr="00F076D7">
        <w:rPr>
          <w:b/>
          <w:sz w:val="20"/>
        </w:rPr>
        <w:t>CHINE SIPO</w:t>
      </w:r>
    </w:p>
    <w:p w14:paraId="10D1AF48" w14:textId="77777777" w:rsidR="00767EC2" w:rsidRPr="00F076D7" w:rsidRDefault="00767EC2" w:rsidP="00767EC2">
      <w:pPr>
        <w:keepNext/>
        <w:keepLines/>
        <w:rPr>
          <w:sz w:val="20"/>
        </w:rPr>
      </w:pPr>
    </w:p>
    <w:tbl>
      <w:tblPr>
        <w:tblW w:w="4884" w:type="pct"/>
        <w:tblCellMar>
          <w:top w:w="57" w:type="dxa"/>
          <w:bottom w:w="57" w:type="dxa"/>
        </w:tblCellMar>
        <w:tblLook w:val="04A0" w:firstRow="1" w:lastRow="0" w:firstColumn="1" w:lastColumn="0" w:noHBand="0" w:noVBand="1"/>
      </w:tblPr>
      <w:tblGrid>
        <w:gridCol w:w="1788"/>
        <w:gridCol w:w="1241"/>
        <w:gridCol w:w="1378"/>
        <w:gridCol w:w="4665"/>
      </w:tblGrid>
      <w:tr w:rsidR="00767EC2" w:rsidRPr="00F076D7" w14:paraId="028F8E59" w14:textId="77777777" w:rsidTr="00A83D07">
        <w:trPr>
          <w:cantSplit/>
        </w:trPr>
        <w:tc>
          <w:tcPr>
            <w:tcW w:w="9072" w:type="dxa"/>
            <w:gridSpan w:val="4"/>
            <w:shd w:val="clear" w:color="auto" w:fill="C6D9F1" w:themeFill="text2" w:themeFillTint="33"/>
            <w:hideMark/>
          </w:tcPr>
          <w:p w14:paraId="573E0D42" w14:textId="77777777" w:rsidR="00767EC2" w:rsidRPr="00F076D7" w:rsidRDefault="00767EC2" w:rsidP="00A83D07">
            <w:pPr>
              <w:keepNext/>
              <w:keepLines/>
              <w:tabs>
                <w:tab w:val="left" w:pos="1740"/>
              </w:tabs>
              <w:rPr>
                <w:rFonts w:cs="Times New Roman"/>
                <w:sz w:val="18"/>
                <w:szCs w:val="18"/>
              </w:rPr>
            </w:pPr>
            <w:r w:rsidRPr="00F076D7">
              <w:rPr>
                <w:rFonts w:cs="Times New Roman"/>
                <w:b/>
                <w:sz w:val="18"/>
                <w:szCs w:val="18"/>
              </w:rPr>
              <w:t>RÉSULTAT </w:t>
            </w:r>
            <w:r>
              <w:rPr>
                <w:rFonts w:cs="Times New Roman"/>
                <w:b/>
                <w:sz w:val="18"/>
                <w:szCs w:val="18"/>
              </w:rPr>
              <w:t xml:space="preserve">: </w:t>
            </w:r>
            <w:r w:rsidRPr="00F076D7">
              <w:rPr>
                <w:rFonts w:cs="Times New Roman"/>
                <w:sz w:val="16"/>
                <w:szCs w:val="16"/>
              </w:rPr>
              <w:t>I.1 Renforcement de la coopération entre les États membres en ce qui concerne l’élaboration de cadres normatifs internationaux équilibrés dans le domaine de la propriété intellectuelle</w:t>
            </w:r>
          </w:p>
        </w:tc>
      </w:tr>
      <w:tr w:rsidR="00767EC2" w:rsidRPr="00F076D7" w14:paraId="765B7D8C" w14:textId="77777777" w:rsidTr="00A83D07">
        <w:trPr>
          <w:cantSplit/>
        </w:trPr>
        <w:tc>
          <w:tcPr>
            <w:tcW w:w="1788" w:type="dxa"/>
            <w:vAlign w:val="center"/>
            <w:hideMark/>
          </w:tcPr>
          <w:p w14:paraId="585498FD" w14:textId="77777777" w:rsidR="00767EC2" w:rsidRPr="00F076D7" w:rsidRDefault="00767EC2" w:rsidP="00A83D07">
            <w:pPr>
              <w:keepNext/>
              <w:keepLines/>
              <w:rPr>
                <w:b/>
                <w:bCs/>
                <w:sz w:val="16"/>
                <w:szCs w:val="16"/>
              </w:rPr>
            </w:pPr>
            <w:r w:rsidRPr="00F076D7">
              <w:rPr>
                <w:b/>
                <w:bCs/>
                <w:sz w:val="16"/>
                <w:szCs w:val="16"/>
              </w:rPr>
              <w:t>Activité</w:t>
            </w:r>
          </w:p>
        </w:tc>
        <w:tc>
          <w:tcPr>
            <w:tcW w:w="1241" w:type="dxa"/>
            <w:vAlign w:val="center"/>
            <w:hideMark/>
          </w:tcPr>
          <w:p w14:paraId="407E05A4" w14:textId="77777777" w:rsidR="00767EC2" w:rsidRPr="00F076D7" w:rsidRDefault="00767EC2" w:rsidP="00A83D07">
            <w:pPr>
              <w:keepNext/>
              <w:keepLines/>
              <w:rPr>
                <w:b/>
                <w:sz w:val="16"/>
                <w:szCs w:val="16"/>
              </w:rPr>
            </w:pPr>
            <w:r w:rsidRPr="00F076D7">
              <w:rPr>
                <w:b/>
                <w:sz w:val="16"/>
                <w:szCs w:val="16"/>
              </w:rPr>
              <w:t>Date</w:t>
            </w:r>
          </w:p>
        </w:tc>
        <w:tc>
          <w:tcPr>
            <w:tcW w:w="1378" w:type="dxa"/>
            <w:vAlign w:val="center"/>
            <w:hideMark/>
          </w:tcPr>
          <w:p w14:paraId="3DAB4C5B" w14:textId="77777777" w:rsidR="00767EC2" w:rsidRPr="00F076D7" w:rsidRDefault="00767EC2" w:rsidP="00A83D07">
            <w:pPr>
              <w:keepNext/>
              <w:keepLines/>
              <w:rPr>
                <w:b/>
                <w:sz w:val="16"/>
                <w:szCs w:val="16"/>
              </w:rPr>
            </w:pPr>
            <w:r w:rsidRPr="00F076D7">
              <w:rPr>
                <w:b/>
                <w:sz w:val="16"/>
                <w:szCs w:val="16"/>
              </w:rPr>
              <w:t>Pays hôte/ bénéficiaires</w:t>
            </w:r>
          </w:p>
        </w:tc>
        <w:tc>
          <w:tcPr>
            <w:tcW w:w="4665" w:type="dxa"/>
            <w:vAlign w:val="center"/>
            <w:hideMark/>
          </w:tcPr>
          <w:p w14:paraId="6F9D087C"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2D101C74" w14:textId="77777777" w:rsidTr="00A83D07">
        <w:trPr>
          <w:cantSplit/>
        </w:trPr>
        <w:tc>
          <w:tcPr>
            <w:tcW w:w="1788" w:type="dxa"/>
          </w:tcPr>
          <w:p w14:paraId="2EEC517B" w14:textId="77777777" w:rsidR="00767EC2" w:rsidRPr="00F076D7" w:rsidRDefault="00767EC2" w:rsidP="00A83D07">
            <w:pPr>
              <w:autoSpaceDE w:val="0"/>
              <w:autoSpaceDN w:val="0"/>
              <w:adjustRightInd w:val="0"/>
              <w:rPr>
                <w:sz w:val="16"/>
                <w:szCs w:val="16"/>
              </w:rPr>
            </w:pPr>
            <w:r w:rsidRPr="00F076D7">
              <w:rPr>
                <w:sz w:val="16"/>
                <w:szCs w:val="16"/>
              </w:rPr>
              <w:t>Organisation de la conférence de haut niveau sur la propriété intellectuelle à l’intention des pays situés aux abords de la zone concernée par l’initiative “une ceinture, une route”</w:t>
            </w:r>
          </w:p>
        </w:tc>
        <w:tc>
          <w:tcPr>
            <w:tcW w:w="1241" w:type="dxa"/>
          </w:tcPr>
          <w:p w14:paraId="3AFEABA2" w14:textId="77777777" w:rsidR="00767EC2" w:rsidRPr="00F076D7" w:rsidRDefault="00767EC2" w:rsidP="00A83D07">
            <w:pPr>
              <w:autoSpaceDE w:val="0"/>
              <w:autoSpaceDN w:val="0"/>
              <w:adjustRightInd w:val="0"/>
              <w:rPr>
                <w:sz w:val="16"/>
                <w:szCs w:val="16"/>
              </w:rPr>
            </w:pPr>
            <w:r w:rsidRPr="00F076D7">
              <w:rPr>
                <w:sz w:val="16"/>
                <w:szCs w:val="16"/>
              </w:rPr>
              <w:t>21 – 22 juillet 2016</w:t>
            </w:r>
          </w:p>
        </w:tc>
        <w:tc>
          <w:tcPr>
            <w:tcW w:w="1378" w:type="dxa"/>
          </w:tcPr>
          <w:p w14:paraId="570B386C" w14:textId="77777777" w:rsidR="00767EC2" w:rsidRPr="00F076D7" w:rsidRDefault="00767EC2" w:rsidP="00A83D07">
            <w:pPr>
              <w:autoSpaceDE w:val="0"/>
              <w:autoSpaceDN w:val="0"/>
              <w:adjustRightInd w:val="0"/>
              <w:rPr>
                <w:sz w:val="16"/>
                <w:szCs w:val="16"/>
              </w:rPr>
            </w:pPr>
            <w:r w:rsidRPr="00F076D7">
              <w:rPr>
                <w:sz w:val="16"/>
                <w:szCs w:val="16"/>
              </w:rPr>
              <w:t>Chine/ (plus de 50 participants internationaux)</w:t>
            </w:r>
          </w:p>
        </w:tc>
        <w:tc>
          <w:tcPr>
            <w:tcW w:w="4665" w:type="dxa"/>
          </w:tcPr>
          <w:p w14:paraId="64806784" w14:textId="77777777" w:rsidR="00767EC2" w:rsidRPr="00F076D7" w:rsidRDefault="00767EC2" w:rsidP="00A83D07">
            <w:pPr>
              <w:autoSpaceDE w:val="0"/>
              <w:autoSpaceDN w:val="0"/>
              <w:adjustRightInd w:val="0"/>
              <w:rPr>
                <w:sz w:val="16"/>
                <w:szCs w:val="16"/>
              </w:rPr>
            </w:pPr>
            <w:r w:rsidRPr="00F076D7">
              <w:rPr>
                <w:sz w:val="16"/>
                <w:szCs w:val="16"/>
              </w:rPr>
              <w:t>Créer un forum de dialogue de haut niveau à l’attention des décideurs, des représentants du secteur privé et des universitaires aux fins de recherche de nouvelles solutions permettant de promouvoir l’innovation et le développement socioéconomique grâce à la coopération régionale en matière de propriété intellectuelle.</w:t>
            </w:r>
          </w:p>
        </w:tc>
      </w:tr>
    </w:tbl>
    <w:p w14:paraId="5E205E63" w14:textId="77777777" w:rsidR="00767EC2" w:rsidRPr="00F076D7" w:rsidRDefault="00767EC2" w:rsidP="00767EC2">
      <w:pPr>
        <w:rPr>
          <w:bCs/>
          <w:sz w:val="20"/>
        </w:rPr>
      </w:pPr>
    </w:p>
    <w:p w14:paraId="1AD1EA69" w14:textId="77777777" w:rsidR="00767EC2" w:rsidRPr="00F076D7" w:rsidRDefault="00767EC2" w:rsidP="00767EC2">
      <w:pPr>
        <w:rPr>
          <w:bCs/>
          <w:sz w:val="20"/>
        </w:rPr>
      </w:pPr>
    </w:p>
    <w:p w14:paraId="021A8DF3" w14:textId="77777777" w:rsidR="00767EC2" w:rsidRPr="00F076D7" w:rsidRDefault="00767EC2" w:rsidP="00767EC2">
      <w:pPr>
        <w:keepNext/>
        <w:rPr>
          <w:b/>
          <w:sz w:val="20"/>
        </w:rPr>
      </w:pPr>
      <w:r w:rsidRPr="00F076D7">
        <w:rPr>
          <w:b/>
          <w:sz w:val="20"/>
        </w:rPr>
        <w:t>CHINE SIPO– Contributions des donateurs et dépenses en 2016</w:t>
      </w:r>
    </w:p>
    <w:p w14:paraId="4FC4418C" w14:textId="77777777" w:rsidR="00767EC2" w:rsidRPr="00F076D7" w:rsidRDefault="00767EC2" w:rsidP="00767EC2">
      <w:pPr>
        <w:keepNext/>
        <w:rPr>
          <w:bCs/>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4125A409" w14:textId="77777777" w:rsidTr="00A83D07">
        <w:trPr>
          <w:cantSplit/>
        </w:trPr>
        <w:tc>
          <w:tcPr>
            <w:tcW w:w="1814" w:type="dxa"/>
            <w:tcBorders>
              <w:top w:val="nil"/>
              <w:left w:val="nil"/>
              <w:bottom w:val="nil"/>
              <w:right w:val="nil"/>
            </w:tcBorders>
            <w:shd w:val="clear" w:color="000000" w:fill="C5D9F1"/>
            <w:vAlign w:val="center"/>
            <w:hideMark/>
          </w:tcPr>
          <w:p w14:paraId="37138063"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02312F5C"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33F28449" w14:textId="77777777" w:rsidR="00767EC2" w:rsidRPr="00F076D7" w:rsidRDefault="00767EC2" w:rsidP="00A83D07">
            <w:pPr>
              <w:jc w:val="center"/>
              <w:rPr>
                <w:b/>
                <w:bCs/>
                <w:sz w:val="16"/>
                <w:szCs w:val="16"/>
              </w:rPr>
            </w:pPr>
            <w:r w:rsidRPr="00F076D7">
              <w:rPr>
                <w:b/>
                <w:bCs/>
                <w:sz w:val="16"/>
                <w:szCs w:val="16"/>
              </w:rPr>
              <w:t>Dépenses 2016</w:t>
            </w:r>
          </w:p>
        </w:tc>
        <w:tc>
          <w:tcPr>
            <w:tcW w:w="1814" w:type="dxa"/>
            <w:tcBorders>
              <w:top w:val="nil"/>
              <w:left w:val="nil"/>
              <w:bottom w:val="nil"/>
              <w:right w:val="nil"/>
            </w:tcBorders>
            <w:shd w:val="clear" w:color="000000" w:fill="C5D9F1"/>
            <w:noWrap/>
            <w:vAlign w:val="center"/>
            <w:hideMark/>
          </w:tcPr>
          <w:p w14:paraId="79C9B045"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497C5069"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2B2D79D7" w14:textId="77777777" w:rsidTr="00A83D07">
        <w:trPr>
          <w:cantSplit/>
        </w:trPr>
        <w:tc>
          <w:tcPr>
            <w:tcW w:w="1814" w:type="dxa"/>
            <w:tcBorders>
              <w:top w:val="nil"/>
              <w:left w:val="nil"/>
              <w:bottom w:val="nil"/>
              <w:right w:val="nil"/>
            </w:tcBorders>
            <w:shd w:val="clear" w:color="auto" w:fill="auto"/>
            <w:noWrap/>
            <w:vAlign w:val="bottom"/>
            <w:hideMark/>
          </w:tcPr>
          <w:p w14:paraId="5C12C994" w14:textId="77777777" w:rsidR="00767EC2" w:rsidRPr="00F076D7" w:rsidRDefault="00767EC2" w:rsidP="00A83D07">
            <w:pPr>
              <w:jc w:val="center"/>
              <w:rPr>
                <w:sz w:val="16"/>
                <w:szCs w:val="16"/>
              </w:rPr>
            </w:pPr>
            <w:r w:rsidRPr="00F076D7">
              <w:rPr>
                <w:sz w:val="16"/>
                <w:szCs w:val="16"/>
              </w:rPr>
              <w:noBreakHyphen/>
            </w:r>
          </w:p>
        </w:tc>
        <w:tc>
          <w:tcPr>
            <w:tcW w:w="1814" w:type="dxa"/>
            <w:tcBorders>
              <w:top w:val="nil"/>
              <w:left w:val="nil"/>
              <w:bottom w:val="nil"/>
              <w:right w:val="nil"/>
            </w:tcBorders>
            <w:shd w:val="clear" w:color="auto" w:fill="auto"/>
            <w:noWrap/>
            <w:vAlign w:val="bottom"/>
            <w:hideMark/>
          </w:tcPr>
          <w:p w14:paraId="57CC2A93" w14:textId="77777777" w:rsidR="00767EC2" w:rsidRPr="00F076D7" w:rsidRDefault="00767EC2" w:rsidP="00A83D07">
            <w:pPr>
              <w:jc w:val="center"/>
              <w:rPr>
                <w:sz w:val="16"/>
                <w:szCs w:val="16"/>
              </w:rPr>
            </w:pPr>
            <w:r w:rsidRPr="00F076D7">
              <w:rPr>
                <w:sz w:val="16"/>
                <w:szCs w:val="16"/>
              </w:rPr>
              <w:t>327 817</w:t>
            </w:r>
          </w:p>
        </w:tc>
        <w:tc>
          <w:tcPr>
            <w:tcW w:w="1815" w:type="dxa"/>
            <w:tcBorders>
              <w:top w:val="nil"/>
              <w:left w:val="nil"/>
              <w:bottom w:val="nil"/>
              <w:right w:val="nil"/>
            </w:tcBorders>
            <w:shd w:val="clear" w:color="auto" w:fill="auto"/>
            <w:noWrap/>
            <w:vAlign w:val="bottom"/>
            <w:hideMark/>
          </w:tcPr>
          <w:p w14:paraId="4E8A3440" w14:textId="77777777" w:rsidR="00767EC2" w:rsidRPr="00F076D7" w:rsidRDefault="00767EC2" w:rsidP="00A83D07">
            <w:pPr>
              <w:jc w:val="center"/>
              <w:rPr>
                <w:sz w:val="16"/>
                <w:szCs w:val="16"/>
              </w:rPr>
            </w:pPr>
            <w:r w:rsidRPr="00F076D7">
              <w:rPr>
                <w:sz w:val="16"/>
                <w:szCs w:val="16"/>
              </w:rPr>
              <w:t>226 481</w:t>
            </w:r>
          </w:p>
        </w:tc>
        <w:tc>
          <w:tcPr>
            <w:tcW w:w="1814" w:type="dxa"/>
            <w:tcBorders>
              <w:top w:val="nil"/>
              <w:left w:val="nil"/>
              <w:bottom w:val="nil"/>
              <w:right w:val="nil"/>
            </w:tcBorders>
            <w:shd w:val="clear" w:color="auto" w:fill="auto"/>
            <w:noWrap/>
            <w:vAlign w:val="bottom"/>
            <w:hideMark/>
          </w:tcPr>
          <w:p w14:paraId="270355D7"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4600E3BC" w14:textId="77777777" w:rsidR="00767EC2" w:rsidRPr="00F076D7" w:rsidRDefault="00767EC2" w:rsidP="00A83D07">
            <w:pPr>
              <w:jc w:val="center"/>
              <w:rPr>
                <w:sz w:val="16"/>
                <w:szCs w:val="16"/>
              </w:rPr>
            </w:pPr>
            <w:r w:rsidRPr="00F076D7">
              <w:rPr>
                <w:sz w:val="16"/>
                <w:szCs w:val="16"/>
              </w:rPr>
              <w:t>101 336</w:t>
            </w:r>
          </w:p>
        </w:tc>
      </w:tr>
    </w:tbl>
    <w:p w14:paraId="0AA7FF15" w14:textId="77777777" w:rsidR="00767EC2" w:rsidRPr="00F076D7" w:rsidRDefault="00767EC2" w:rsidP="00767EC2">
      <w:pPr>
        <w:rPr>
          <w:bCs/>
          <w:sz w:val="20"/>
        </w:rPr>
      </w:pPr>
    </w:p>
    <w:p w14:paraId="69F1712A" w14:textId="77777777" w:rsidR="00767EC2" w:rsidRPr="00F076D7" w:rsidRDefault="00767EC2" w:rsidP="00767EC2">
      <w:pPr>
        <w:rPr>
          <w:bCs/>
          <w:sz w:val="20"/>
        </w:rPr>
      </w:pPr>
    </w:p>
    <w:p w14:paraId="6E8F3C5C" w14:textId="77777777" w:rsidR="00767EC2" w:rsidRPr="00F076D7" w:rsidRDefault="00767EC2" w:rsidP="00767EC2">
      <w:pPr>
        <w:keepNext/>
        <w:keepLines/>
        <w:rPr>
          <w:b/>
          <w:sz w:val="20"/>
          <w:u w:val="single"/>
        </w:rPr>
      </w:pPr>
      <w:r w:rsidRPr="00F076D7">
        <w:rPr>
          <w:b/>
          <w:sz w:val="20"/>
        </w:rPr>
        <w:t>PROGRAMME IBÉRO</w:t>
      </w:r>
      <w:r w:rsidRPr="00F076D7">
        <w:rPr>
          <w:b/>
          <w:sz w:val="20"/>
        </w:rPr>
        <w:noBreakHyphen/>
        <w:t>AMÉRICAIN DE LA PROPRIÉTÉ INDUSTRIELLE</w:t>
      </w:r>
    </w:p>
    <w:p w14:paraId="080B890A" w14:textId="77777777" w:rsidR="00767EC2" w:rsidRPr="00F076D7" w:rsidRDefault="00767EC2" w:rsidP="00767EC2">
      <w:pPr>
        <w:keepNext/>
        <w:keepLines/>
        <w:rPr>
          <w:b/>
          <w:sz w:val="20"/>
          <w:u w:val="single"/>
        </w:rPr>
      </w:pPr>
    </w:p>
    <w:tbl>
      <w:tblPr>
        <w:tblW w:w="4884" w:type="pct"/>
        <w:tblCellMar>
          <w:top w:w="57" w:type="dxa"/>
          <w:bottom w:w="57" w:type="dxa"/>
        </w:tblCellMar>
        <w:tblLook w:val="0000" w:firstRow="0" w:lastRow="0" w:firstColumn="0" w:lastColumn="0" w:noHBand="0" w:noVBand="0"/>
      </w:tblPr>
      <w:tblGrid>
        <w:gridCol w:w="1789"/>
        <w:gridCol w:w="1103"/>
        <w:gridCol w:w="2061"/>
        <w:gridCol w:w="4119"/>
      </w:tblGrid>
      <w:tr w:rsidR="00767EC2" w:rsidRPr="00F076D7" w14:paraId="189189BE" w14:textId="77777777" w:rsidTr="00A83D07">
        <w:trPr>
          <w:cantSplit/>
        </w:trPr>
        <w:tc>
          <w:tcPr>
            <w:tcW w:w="9072" w:type="dxa"/>
            <w:gridSpan w:val="4"/>
            <w:shd w:val="clear" w:color="auto" w:fill="C6D9F1"/>
            <w:vAlign w:val="center"/>
          </w:tcPr>
          <w:p w14:paraId="3D950299" w14:textId="77777777" w:rsidR="00767EC2" w:rsidRPr="00F076D7" w:rsidRDefault="00767EC2" w:rsidP="00A83D07">
            <w:pPr>
              <w:keepNext/>
              <w:keepLines/>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3EDB189B" w14:textId="77777777" w:rsidTr="00A83D07">
        <w:trPr>
          <w:cantSplit/>
        </w:trPr>
        <w:tc>
          <w:tcPr>
            <w:tcW w:w="1789" w:type="dxa"/>
            <w:vAlign w:val="center"/>
          </w:tcPr>
          <w:p w14:paraId="225DEF8E" w14:textId="77777777" w:rsidR="00767EC2" w:rsidRPr="00F076D7" w:rsidRDefault="00767EC2" w:rsidP="00A83D07">
            <w:pPr>
              <w:keepNext/>
              <w:keepLines/>
              <w:rPr>
                <w:b/>
                <w:bCs/>
                <w:sz w:val="16"/>
                <w:szCs w:val="16"/>
              </w:rPr>
            </w:pPr>
            <w:r w:rsidRPr="00F076D7">
              <w:rPr>
                <w:b/>
                <w:bCs/>
                <w:sz w:val="16"/>
                <w:szCs w:val="16"/>
              </w:rPr>
              <w:t>Activité</w:t>
            </w:r>
          </w:p>
        </w:tc>
        <w:tc>
          <w:tcPr>
            <w:tcW w:w="1103" w:type="dxa"/>
            <w:shd w:val="clear" w:color="auto" w:fill="auto"/>
            <w:tcMar>
              <w:top w:w="57" w:type="dxa"/>
            </w:tcMar>
            <w:vAlign w:val="center"/>
          </w:tcPr>
          <w:p w14:paraId="08BBD08A" w14:textId="77777777" w:rsidR="00767EC2" w:rsidRPr="00F076D7" w:rsidRDefault="00767EC2" w:rsidP="00A83D07">
            <w:pPr>
              <w:keepNext/>
              <w:keepLines/>
              <w:rPr>
                <w:b/>
                <w:sz w:val="16"/>
                <w:szCs w:val="16"/>
              </w:rPr>
            </w:pPr>
            <w:r w:rsidRPr="00F076D7">
              <w:rPr>
                <w:b/>
                <w:sz w:val="16"/>
                <w:szCs w:val="16"/>
              </w:rPr>
              <w:t>Date</w:t>
            </w:r>
          </w:p>
        </w:tc>
        <w:tc>
          <w:tcPr>
            <w:tcW w:w="2061" w:type="dxa"/>
            <w:shd w:val="clear" w:color="auto" w:fill="auto"/>
            <w:tcMar>
              <w:top w:w="57" w:type="dxa"/>
            </w:tcMar>
            <w:vAlign w:val="center"/>
          </w:tcPr>
          <w:p w14:paraId="283BE938" w14:textId="77777777" w:rsidR="00767EC2" w:rsidRPr="00F076D7" w:rsidRDefault="00767EC2" w:rsidP="00A83D07">
            <w:pPr>
              <w:keepNext/>
              <w:keepLines/>
              <w:rPr>
                <w:b/>
                <w:sz w:val="16"/>
                <w:szCs w:val="16"/>
              </w:rPr>
            </w:pPr>
            <w:r w:rsidRPr="00F076D7">
              <w:rPr>
                <w:b/>
                <w:sz w:val="16"/>
                <w:szCs w:val="16"/>
              </w:rPr>
              <w:t>Pays hôte/bénéficiaires</w:t>
            </w:r>
          </w:p>
        </w:tc>
        <w:tc>
          <w:tcPr>
            <w:tcW w:w="4119" w:type="dxa"/>
            <w:shd w:val="clear" w:color="auto" w:fill="FFFFFF"/>
            <w:tcMar>
              <w:top w:w="57" w:type="dxa"/>
            </w:tcMar>
            <w:vAlign w:val="center"/>
          </w:tcPr>
          <w:p w14:paraId="1D6ECDD5"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0D7D1E62" w14:textId="77777777" w:rsidTr="00A83D07">
        <w:tblPrEx>
          <w:tblLook w:val="04A0" w:firstRow="1" w:lastRow="0" w:firstColumn="1" w:lastColumn="0" w:noHBand="0" w:noVBand="1"/>
        </w:tblPrEx>
        <w:trPr>
          <w:cantSplit/>
        </w:trPr>
        <w:tc>
          <w:tcPr>
            <w:tcW w:w="1789" w:type="dxa"/>
          </w:tcPr>
          <w:p w14:paraId="764BBCEF" w14:textId="77777777" w:rsidR="00767EC2" w:rsidRPr="00F076D7" w:rsidDel="009E0498" w:rsidRDefault="00767EC2" w:rsidP="00A83D07">
            <w:pPr>
              <w:rPr>
                <w:sz w:val="16"/>
                <w:szCs w:val="16"/>
              </w:rPr>
            </w:pPr>
            <w:r w:rsidRPr="00F076D7">
              <w:rPr>
                <w:sz w:val="16"/>
                <w:szCs w:val="16"/>
              </w:rPr>
              <w:t>Plateforme sur les services et contenus de propriété industrielle à l’intention des entreprises ibéro</w:t>
            </w:r>
            <w:r w:rsidRPr="00F076D7">
              <w:rPr>
                <w:sz w:val="16"/>
                <w:szCs w:val="16"/>
              </w:rPr>
              <w:noBreakHyphen/>
              <w:t>américaines, notamment des PME (CIBEPYME)</w:t>
            </w:r>
          </w:p>
        </w:tc>
        <w:tc>
          <w:tcPr>
            <w:tcW w:w="1103" w:type="dxa"/>
          </w:tcPr>
          <w:p w14:paraId="529C19BB" w14:textId="77777777" w:rsidR="00767EC2" w:rsidRPr="00F076D7" w:rsidRDefault="00767EC2" w:rsidP="00A83D07">
            <w:pPr>
              <w:autoSpaceDE w:val="0"/>
              <w:autoSpaceDN w:val="0"/>
              <w:adjustRightInd w:val="0"/>
              <w:rPr>
                <w:sz w:val="16"/>
                <w:szCs w:val="16"/>
              </w:rPr>
            </w:pPr>
            <w:r w:rsidRPr="00F076D7">
              <w:rPr>
                <w:sz w:val="16"/>
                <w:szCs w:val="16"/>
              </w:rPr>
              <w:t>Janvier – décembre 2016</w:t>
            </w:r>
          </w:p>
          <w:p w14:paraId="4993ECFB"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2061" w:type="dxa"/>
          </w:tcPr>
          <w:p w14:paraId="4AF72F0D" w14:textId="77777777" w:rsidR="00767EC2" w:rsidRPr="00F076D7" w:rsidRDefault="00767EC2" w:rsidP="00A83D07">
            <w:pPr>
              <w:autoSpaceDE w:val="0"/>
              <w:autoSpaceDN w:val="0"/>
              <w:adjustRightInd w:val="0"/>
              <w:rPr>
                <w:sz w:val="16"/>
                <w:szCs w:val="16"/>
              </w:rPr>
            </w:pPr>
            <w:r w:rsidRPr="00F076D7">
              <w:rPr>
                <w:sz w:val="16"/>
                <w:szCs w:val="16"/>
              </w:rPr>
              <w:t>Tous les pays ibéro</w:t>
            </w:r>
            <w:r w:rsidRPr="00F076D7">
              <w:rPr>
                <w:sz w:val="16"/>
                <w:szCs w:val="16"/>
              </w:rPr>
              <w:noBreakHyphen/>
              <w:t>américains</w:t>
            </w:r>
          </w:p>
        </w:tc>
        <w:tc>
          <w:tcPr>
            <w:tcW w:w="4119" w:type="dxa"/>
          </w:tcPr>
          <w:p w14:paraId="07D4E5B6" w14:textId="77777777" w:rsidR="00767EC2" w:rsidRPr="00F076D7" w:rsidDel="00152E3E" w:rsidRDefault="00767EC2" w:rsidP="00A83D07">
            <w:pPr>
              <w:autoSpaceDE w:val="0"/>
              <w:autoSpaceDN w:val="0"/>
              <w:adjustRightInd w:val="0"/>
              <w:rPr>
                <w:sz w:val="16"/>
                <w:szCs w:val="16"/>
              </w:rPr>
            </w:pPr>
            <w:r w:rsidRPr="00F076D7">
              <w:rPr>
                <w:sz w:val="16"/>
                <w:szCs w:val="16"/>
              </w:rPr>
              <w:t>Renforcer la génération et la gestion d’actifs de propriété intellectuelle par les entreprises dans les pays ibéro</w:t>
            </w:r>
            <w:r w:rsidRPr="00F076D7">
              <w:rPr>
                <w:sz w:val="16"/>
                <w:szCs w:val="16"/>
              </w:rPr>
              <w:noBreakHyphen/>
              <w:t>américains</w:t>
            </w:r>
          </w:p>
        </w:tc>
      </w:tr>
      <w:tr w:rsidR="00767EC2" w:rsidRPr="00F076D7" w14:paraId="5E1FCA0A" w14:textId="77777777" w:rsidTr="00A83D07">
        <w:trPr>
          <w:cantSplit/>
        </w:trPr>
        <w:tc>
          <w:tcPr>
            <w:tcW w:w="9072" w:type="dxa"/>
            <w:gridSpan w:val="4"/>
            <w:shd w:val="clear" w:color="auto" w:fill="C6D9F1"/>
            <w:vAlign w:val="center"/>
          </w:tcPr>
          <w:p w14:paraId="14034FF9" w14:textId="77777777" w:rsidR="00767EC2" w:rsidRPr="00F076D7" w:rsidRDefault="00767EC2" w:rsidP="00A83D07">
            <w:pPr>
              <w:keepNext/>
              <w:keepLines/>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III.4 Mécanismes et programmes de coopération renforcés, adaptés aux besoins des pays en développement, des PMA et des pays en transition</w:t>
            </w:r>
          </w:p>
        </w:tc>
      </w:tr>
      <w:tr w:rsidR="00767EC2" w:rsidRPr="00F076D7" w14:paraId="6E5E7968" w14:textId="77777777" w:rsidTr="00A83D07">
        <w:trPr>
          <w:cantSplit/>
        </w:trPr>
        <w:tc>
          <w:tcPr>
            <w:tcW w:w="1789" w:type="dxa"/>
            <w:vAlign w:val="center"/>
          </w:tcPr>
          <w:p w14:paraId="0496BF86" w14:textId="77777777" w:rsidR="00767EC2" w:rsidRPr="00F076D7" w:rsidRDefault="00767EC2" w:rsidP="00A83D07">
            <w:pPr>
              <w:keepNext/>
              <w:keepLines/>
              <w:rPr>
                <w:b/>
                <w:bCs/>
                <w:sz w:val="16"/>
                <w:szCs w:val="16"/>
              </w:rPr>
            </w:pPr>
            <w:r w:rsidRPr="00F076D7">
              <w:rPr>
                <w:b/>
                <w:bCs/>
                <w:sz w:val="16"/>
                <w:szCs w:val="16"/>
              </w:rPr>
              <w:t>Activité</w:t>
            </w:r>
          </w:p>
        </w:tc>
        <w:tc>
          <w:tcPr>
            <w:tcW w:w="1103" w:type="dxa"/>
            <w:shd w:val="clear" w:color="auto" w:fill="auto"/>
            <w:tcMar>
              <w:top w:w="57" w:type="dxa"/>
            </w:tcMar>
            <w:vAlign w:val="center"/>
          </w:tcPr>
          <w:p w14:paraId="263E1BA6" w14:textId="77777777" w:rsidR="00767EC2" w:rsidRPr="00F076D7" w:rsidRDefault="00767EC2" w:rsidP="00A83D07">
            <w:pPr>
              <w:keepNext/>
              <w:keepLines/>
              <w:rPr>
                <w:b/>
                <w:sz w:val="16"/>
                <w:szCs w:val="16"/>
              </w:rPr>
            </w:pPr>
            <w:r w:rsidRPr="00F076D7">
              <w:rPr>
                <w:b/>
                <w:sz w:val="16"/>
                <w:szCs w:val="16"/>
              </w:rPr>
              <w:t>Date</w:t>
            </w:r>
          </w:p>
        </w:tc>
        <w:tc>
          <w:tcPr>
            <w:tcW w:w="2061" w:type="dxa"/>
            <w:shd w:val="clear" w:color="auto" w:fill="auto"/>
            <w:tcMar>
              <w:top w:w="57" w:type="dxa"/>
            </w:tcMar>
            <w:vAlign w:val="center"/>
          </w:tcPr>
          <w:p w14:paraId="37B769F9" w14:textId="77777777" w:rsidR="00767EC2" w:rsidRPr="00F076D7" w:rsidRDefault="00767EC2" w:rsidP="00A83D07">
            <w:pPr>
              <w:keepNext/>
              <w:keepLines/>
              <w:rPr>
                <w:b/>
                <w:sz w:val="16"/>
                <w:szCs w:val="16"/>
              </w:rPr>
            </w:pPr>
            <w:r w:rsidRPr="00F076D7">
              <w:rPr>
                <w:b/>
                <w:sz w:val="16"/>
                <w:szCs w:val="16"/>
              </w:rPr>
              <w:t>Pays hôte/bénéficiaires</w:t>
            </w:r>
          </w:p>
        </w:tc>
        <w:tc>
          <w:tcPr>
            <w:tcW w:w="4119" w:type="dxa"/>
            <w:shd w:val="clear" w:color="auto" w:fill="FFFFFF"/>
            <w:tcMar>
              <w:top w:w="57" w:type="dxa"/>
            </w:tcMar>
            <w:vAlign w:val="center"/>
          </w:tcPr>
          <w:p w14:paraId="126957EA"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6616D0CC" w14:textId="77777777" w:rsidTr="00A83D07">
        <w:tblPrEx>
          <w:tblLook w:val="04A0" w:firstRow="1" w:lastRow="0" w:firstColumn="1" w:lastColumn="0" w:noHBand="0" w:noVBand="1"/>
        </w:tblPrEx>
        <w:trPr>
          <w:cantSplit/>
        </w:trPr>
        <w:tc>
          <w:tcPr>
            <w:tcW w:w="1789" w:type="dxa"/>
          </w:tcPr>
          <w:p w14:paraId="39647CF9" w14:textId="77777777" w:rsidR="00767EC2" w:rsidRPr="00F076D7" w:rsidRDefault="00767EC2" w:rsidP="00A83D07">
            <w:pPr>
              <w:autoSpaceDE w:val="0"/>
              <w:autoSpaceDN w:val="0"/>
              <w:adjustRightInd w:val="0"/>
              <w:rPr>
                <w:sz w:val="16"/>
                <w:szCs w:val="16"/>
                <w:highlight w:val="cyan"/>
              </w:rPr>
            </w:pPr>
            <w:r w:rsidRPr="00F076D7">
              <w:rPr>
                <w:sz w:val="16"/>
                <w:szCs w:val="16"/>
              </w:rPr>
              <w:t>Système de coopération ibéro</w:t>
            </w:r>
            <w:r w:rsidRPr="00F076D7">
              <w:rPr>
                <w:sz w:val="16"/>
                <w:szCs w:val="16"/>
              </w:rPr>
              <w:noBreakHyphen/>
              <w:t>américain pour la fourniture de services informatiques et technologiques (programme INFOTEC)</w:t>
            </w:r>
          </w:p>
        </w:tc>
        <w:tc>
          <w:tcPr>
            <w:tcW w:w="1103" w:type="dxa"/>
          </w:tcPr>
          <w:p w14:paraId="5F1B2F67" w14:textId="77777777" w:rsidR="00767EC2" w:rsidRPr="00F076D7" w:rsidRDefault="00767EC2" w:rsidP="00A83D07">
            <w:pPr>
              <w:autoSpaceDE w:val="0"/>
              <w:autoSpaceDN w:val="0"/>
              <w:adjustRightInd w:val="0"/>
              <w:rPr>
                <w:sz w:val="16"/>
                <w:szCs w:val="16"/>
              </w:rPr>
            </w:pPr>
            <w:r w:rsidRPr="00F076D7">
              <w:rPr>
                <w:sz w:val="16"/>
                <w:szCs w:val="16"/>
              </w:rPr>
              <w:t>Janvier – décembre 2016</w:t>
            </w:r>
          </w:p>
          <w:p w14:paraId="30F65F2E"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2061" w:type="dxa"/>
          </w:tcPr>
          <w:p w14:paraId="76AE3C9A" w14:textId="77777777" w:rsidR="00767EC2" w:rsidRPr="00F076D7" w:rsidRDefault="00767EC2" w:rsidP="00A83D07">
            <w:pPr>
              <w:autoSpaceDE w:val="0"/>
              <w:autoSpaceDN w:val="0"/>
              <w:adjustRightInd w:val="0"/>
              <w:rPr>
                <w:sz w:val="16"/>
                <w:szCs w:val="16"/>
              </w:rPr>
            </w:pPr>
            <w:r w:rsidRPr="00F076D7">
              <w:rPr>
                <w:sz w:val="16"/>
                <w:szCs w:val="16"/>
              </w:rPr>
              <w:t>Tous les pays ibéro</w:t>
            </w:r>
            <w:r w:rsidRPr="00F076D7">
              <w:rPr>
                <w:sz w:val="16"/>
                <w:szCs w:val="16"/>
              </w:rPr>
              <w:noBreakHyphen/>
              <w:t>américains</w:t>
            </w:r>
          </w:p>
        </w:tc>
        <w:tc>
          <w:tcPr>
            <w:tcW w:w="4119" w:type="dxa"/>
          </w:tcPr>
          <w:p w14:paraId="1557D86F" w14:textId="77777777" w:rsidR="00767EC2" w:rsidRPr="00F076D7" w:rsidRDefault="00767EC2" w:rsidP="00A83D07">
            <w:pPr>
              <w:autoSpaceDE w:val="0"/>
              <w:autoSpaceDN w:val="0"/>
              <w:adjustRightInd w:val="0"/>
              <w:rPr>
                <w:sz w:val="16"/>
                <w:szCs w:val="16"/>
              </w:rPr>
            </w:pPr>
            <w:r w:rsidRPr="00F076D7">
              <w:rPr>
                <w:sz w:val="16"/>
                <w:szCs w:val="16"/>
              </w:rPr>
              <w:t>En 2016, le Comité d’information technologique de l’IBEPI, dont les membres sont l’Argentine, le Brésil, la Colombie, le Costa Rica, la République dominicaine, l’Équateur, le Mexique, le Paraguay, le Pérou, le Portugal, l’Espagne et l’Uruguay, a lancé le programme INFOTEC pour : i) renforcer les capacités des pays ibéro</w:t>
            </w:r>
            <w:r w:rsidRPr="00F076D7">
              <w:rPr>
                <w:sz w:val="16"/>
                <w:szCs w:val="16"/>
              </w:rPr>
              <w:noBreakHyphen/>
              <w:t>américains en matière de gestion et d’utilisation de l’information technologique;  ii) promouvoir la coopération horizontale entre les offices de propriété intellectuelle afin de réduire les déséquilibres entre les offices en ce qui concerne la qualité de la gestion des technologies de l’information et la conception des programmes de formation.</w:t>
            </w:r>
          </w:p>
        </w:tc>
      </w:tr>
      <w:tr w:rsidR="00767EC2" w:rsidRPr="00F076D7" w14:paraId="2E02B772" w14:textId="77777777" w:rsidTr="00A83D07">
        <w:tblPrEx>
          <w:tblLook w:val="04A0" w:firstRow="1" w:lastRow="0" w:firstColumn="1" w:lastColumn="0" w:noHBand="0" w:noVBand="1"/>
        </w:tblPrEx>
        <w:trPr>
          <w:cantSplit/>
        </w:trPr>
        <w:tc>
          <w:tcPr>
            <w:tcW w:w="1789" w:type="dxa"/>
          </w:tcPr>
          <w:p w14:paraId="1454FDF9" w14:textId="77777777" w:rsidR="00767EC2" w:rsidRPr="00F076D7" w:rsidRDefault="00767EC2" w:rsidP="00A83D07">
            <w:pPr>
              <w:autoSpaceDE w:val="0"/>
              <w:autoSpaceDN w:val="0"/>
              <w:adjustRightInd w:val="0"/>
              <w:rPr>
                <w:sz w:val="16"/>
                <w:szCs w:val="16"/>
                <w:highlight w:val="cyan"/>
              </w:rPr>
            </w:pPr>
            <w:r w:rsidRPr="00F076D7">
              <w:rPr>
                <w:sz w:val="16"/>
                <w:szCs w:val="16"/>
              </w:rPr>
              <w:t>Encourager la coopération par le biais d’une plateforme des offices latino</w:t>
            </w:r>
            <w:r w:rsidRPr="00F076D7">
              <w:rPr>
                <w:sz w:val="16"/>
                <w:szCs w:val="16"/>
              </w:rPr>
              <w:noBreakHyphen/>
              <w:t>américains de propriété intellectuelle visant à promouvoir l’échange d’expériences et de bonnes pratiques entre les offices</w:t>
            </w:r>
          </w:p>
        </w:tc>
        <w:tc>
          <w:tcPr>
            <w:tcW w:w="1103" w:type="dxa"/>
          </w:tcPr>
          <w:p w14:paraId="1BA00776" w14:textId="77777777" w:rsidR="00767EC2" w:rsidRPr="00F076D7" w:rsidRDefault="00767EC2" w:rsidP="00A83D07">
            <w:pPr>
              <w:autoSpaceDE w:val="0"/>
              <w:autoSpaceDN w:val="0"/>
              <w:adjustRightInd w:val="0"/>
              <w:rPr>
                <w:sz w:val="16"/>
                <w:szCs w:val="16"/>
              </w:rPr>
            </w:pPr>
            <w:r w:rsidRPr="00F076D7">
              <w:rPr>
                <w:sz w:val="16"/>
                <w:szCs w:val="16"/>
              </w:rPr>
              <w:t>Janvier – décembre 2016</w:t>
            </w:r>
          </w:p>
          <w:p w14:paraId="654AF0B6"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2061" w:type="dxa"/>
          </w:tcPr>
          <w:p w14:paraId="070174D3" w14:textId="77777777" w:rsidR="00767EC2" w:rsidRPr="00F076D7" w:rsidRDefault="00767EC2" w:rsidP="00A83D07">
            <w:pPr>
              <w:autoSpaceDE w:val="0"/>
              <w:autoSpaceDN w:val="0"/>
              <w:adjustRightInd w:val="0"/>
              <w:rPr>
                <w:sz w:val="16"/>
                <w:szCs w:val="16"/>
              </w:rPr>
            </w:pPr>
            <w:r w:rsidRPr="00F076D7">
              <w:rPr>
                <w:sz w:val="16"/>
                <w:szCs w:val="16"/>
              </w:rPr>
              <w:t>Tous les pays ibéro</w:t>
            </w:r>
            <w:r w:rsidRPr="00F076D7">
              <w:rPr>
                <w:sz w:val="16"/>
                <w:szCs w:val="16"/>
              </w:rPr>
              <w:noBreakHyphen/>
              <w:t>américains</w:t>
            </w:r>
          </w:p>
        </w:tc>
        <w:tc>
          <w:tcPr>
            <w:tcW w:w="4119" w:type="dxa"/>
          </w:tcPr>
          <w:p w14:paraId="5DEB7C0C" w14:textId="77777777" w:rsidR="00767EC2" w:rsidRPr="00F076D7" w:rsidRDefault="00767EC2" w:rsidP="00A83D07">
            <w:pPr>
              <w:autoSpaceDE w:val="0"/>
              <w:autoSpaceDN w:val="0"/>
              <w:adjustRightInd w:val="0"/>
              <w:rPr>
                <w:sz w:val="16"/>
                <w:szCs w:val="16"/>
                <w:highlight w:val="cyan"/>
              </w:rPr>
            </w:pPr>
            <w:r w:rsidRPr="00F076D7">
              <w:rPr>
                <w:sz w:val="16"/>
                <w:szCs w:val="16"/>
              </w:rPr>
              <w:t>Promouvoir l’échange virtuel des meilleures pratiques entre les offices de propriété intellectuelle de l’Amérique latine sur des questions telles que : i) la gestion de la qualité;  ii) l’organisation des informations et services d’inscription en ligne;  iii) la mise à disposition de bases de données sur la propriété intellectuelle;  iv) l’examen des brevets, des dessins et modèles et des marques;  v) l’offre de services basés sur l’utilisation d’informations technologiques et commerciales;  vi) l’organisation de programmes de renforcement des capacités;  vii) la fourniture de services de médiation ou d’arbitrage.</w:t>
            </w:r>
          </w:p>
        </w:tc>
      </w:tr>
      <w:tr w:rsidR="00767EC2" w:rsidRPr="00F076D7" w14:paraId="4E58ADAC" w14:textId="77777777" w:rsidTr="00A83D07">
        <w:tblPrEx>
          <w:tblLook w:val="04A0" w:firstRow="1" w:lastRow="0" w:firstColumn="1" w:lastColumn="0" w:noHBand="0" w:noVBand="1"/>
        </w:tblPrEx>
        <w:trPr>
          <w:cantSplit/>
        </w:trPr>
        <w:tc>
          <w:tcPr>
            <w:tcW w:w="1789" w:type="dxa"/>
          </w:tcPr>
          <w:p w14:paraId="39445726" w14:textId="77777777" w:rsidR="00767EC2" w:rsidRPr="00F076D7" w:rsidRDefault="00767EC2" w:rsidP="00A83D07">
            <w:pPr>
              <w:autoSpaceDE w:val="0"/>
              <w:autoSpaceDN w:val="0"/>
              <w:adjustRightInd w:val="0"/>
              <w:rPr>
                <w:sz w:val="16"/>
                <w:szCs w:val="16"/>
                <w:highlight w:val="cyan"/>
              </w:rPr>
            </w:pPr>
            <w:r w:rsidRPr="00F076D7">
              <w:rPr>
                <w:sz w:val="16"/>
                <w:szCs w:val="16"/>
              </w:rPr>
              <w:t>Réunion annuelle du Comité intergouvernemental du Programme ibéro</w:t>
            </w:r>
            <w:r w:rsidRPr="00F076D7">
              <w:rPr>
                <w:sz w:val="16"/>
                <w:szCs w:val="16"/>
              </w:rPr>
              <w:noBreakHyphen/>
              <w:t>américain sur la promotion de la propriété industrielle et du développement (IBEPI)</w:t>
            </w:r>
          </w:p>
        </w:tc>
        <w:tc>
          <w:tcPr>
            <w:tcW w:w="1103" w:type="dxa"/>
          </w:tcPr>
          <w:p w14:paraId="0DD01244" w14:textId="77777777" w:rsidR="00767EC2" w:rsidRPr="00F076D7" w:rsidRDefault="00767EC2" w:rsidP="00A83D07">
            <w:pPr>
              <w:autoSpaceDE w:val="0"/>
              <w:autoSpaceDN w:val="0"/>
              <w:adjustRightInd w:val="0"/>
              <w:rPr>
                <w:sz w:val="16"/>
                <w:szCs w:val="16"/>
              </w:rPr>
            </w:pPr>
            <w:r w:rsidRPr="00F076D7">
              <w:rPr>
                <w:sz w:val="16"/>
                <w:szCs w:val="16"/>
              </w:rPr>
              <w:t>19 et 20 mai 2016</w:t>
            </w:r>
          </w:p>
        </w:tc>
        <w:tc>
          <w:tcPr>
            <w:tcW w:w="2061" w:type="dxa"/>
          </w:tcPr>
          <w:p w14:paraId="02597CCB" w14:textId="77777777" w:rsidR="00767EC2" w:rsidRPr="00F076D7" w:rsidRDefault="00767EC2" w:rsidP="00A83D07">
            <w:pPr>
              <w:autoSpaceDE w:val="0"/>
              <w:autoSpaceDN w:val="0"/>
              <w:adjustRightInd w:val="0"/>
              <w:rPr>
                <w:sz w:val="16"/>
                <w:szCs w:val="16"/>
              </w:rPr>
            </w:pPr>
            <w:r w:rsidRPr="00F076D7">
              <w:rPr>
                <w:sz w:val="16"/>
                <w:szCs w:val="16"/>
              </w:rPr>
              <w:t>Portugal/ Tous les pays ibéro</w:t>
            </w:r>
            <w:r w:rsidRPr="00F076D7">
              <w:rPr>
                <w:sz w:val="16"/>
                <w:szCs w:val="16"/>
              </w:rPr>
              <w:noBreakHyphen/>
              <w:t>américains</w:t>
            </w:r>
          </w:p>
        </w:tc>
        <w:tc>
          <w:tcPr>
            <w:tcW w:w="4119" w:type="dxa"/>
          </w:tcPr>
          <w:p w14:paraId="3E15332A" w14:textId="77777777" w:rsidR="00767EC2" w:rsidRPr="00F076D7" w:rsidRDefault="00767EC2" w:rsidP="00A83D07">
            <w:pPr>
              <w:autoSpaceDE w:val="0"/>
              <w:autoSpaceDN w:val="0"/>
              <w:adjustRightInd w:val="0"/>
              <w:rPr>
                <w:sz w:val="16"/>
                <w:szCs w:val="16"/>
                <w:highlight w:val="cyan"/>
              </w:rPr>
            </w:pPr>
            <w:r w:rsidRPr="00F076D7">
              <w:rPr>
                <w:sz w:val="16"/>
                <w:szCs w:val="16"/>
              </w:rPr>
              <w:t>Examiner les activités et les projets en cours ainsi que la planification de nouvelles initiatives pour l’année suivante.</w:t>
            </w:r>
          </w:p>
        </w:tc>
      </w:tr>
    </w:tbl>
    <w:p w14:paraId="3B0B810B" w14:textId="77777777" w:rsidR="00767EC2" w:rsidRPr="00F076D7" w:rsidRDefault="00767EC2" w:rsidP="00767EC2">
      <w:pPr>
        <w:rPr>
          <w:b/>
          <w:sz w:val="20"/>
        </w:rPr>
      </w:pPr>
    </w:p>
    <w:p w14:paraId="43624981" w14:textId="77777777" w:rsidR="00767EC2" w:rsidRPr="00F076D7" w:rsidRDefault="00767EC2" w:rsidP="00767EC2">
      <w:pPr>
        <w:rPr>
          <w:b/>
          <w:sz w:val="20"/>
        </w:rPr>
      </w:pPr>
    </w:p>
    <w:p w14:paraId="2CAAB0C8" w14:textId="77777777" w:rsidR="00767EC2" w:rsidRPr="00F076D7" w:rsidRDefault="00767EC2" w:rsidP="004E4A91">
      <w:pPr>
        <w:rPr>
          <w:rFonts w:cs="Times New Roman"/>
          <w:sz w:val="20"/>
          <w:szCs w:val="24"/>
        </w:rPr>
      </w:pPr>
      <w:r w:rsidRPr="00F076D7">
        <w:rPr>
          <w:rFonts w:cs="Times New Roman"/>
          <w:b/>
          <w:sz w:val="20"/>
          <w:szCs w:val="24"/>
        </w:rPr>
        <w:t>PROGRAMME IBÉRO</w:t>
      </w:r>
      <w:r w:rsidRPr="00F076D7">
        <w:rPr>
          <w:rFonts w:cs="Times New Roman"/>
          <w:b/>
          <w:sz w:val="20"/>
          <w:szCs w:val="24"/>
        </w:rPr>
        <w:noBreakHyphen/>
        <w:t>AMÉRICAIN SUR LA PROPRIÉTÉ INDUSTRIELLE – Contributions des donateurs et dépenses en 2016</w:t>
      </w:r>
    </w:p>
    <w:p w14:paraId="2B4CB71C" w14:textId="77777777" w:rsidR="00767EC2" w:rsidRPr="00F076D7" w:rsidRDefault="00767EC2" w:rsidP="004E4A91">
      <w:pPr>
        <w:rPr>
          <w:rFonts w:cs="Times New Roman"/>
          <w:sz w:val="20"/>
          <w:szCs w:val="24"/>
        </w:rPr>
      </w:pPr>
    </w:p>
    <w:tbl>
      <w:tblPr>
        <w:tblW w:w="4942" w:type="pct"/>
        <w:tblCellMar>
          <w:top w:w="57" w:type="dxa"/>
          <w:bottom w:w="57" w:type="dxa"/>
        </w:tblCellMar>
        <w:tblLook w:val="04A0" w:firstRow="1" w:lastRow="0" w:firstColumn="1" w:lastColumn="0" w:noHBand="0" w:noVBand="1"/>
      </w:tblPr>
      <w:tblGrid>
        <w:gridCol w:w="1835"/>
        <w:gridCol w:w="1836"/>
        <w:gridCol w:w="1836"/>
        <w:gridCol w:w="1836"/>
        <w:gridCol w:w="1836"/>
      </w:tblGrid>
      <w:tr w:rsidR="00767EC2" w:rsidRPr="00F076D7" w14:paraId="7004FF0A" w14:textId="77777777" w:rsidTr="00A83D07">
        <w:trPr>
          <w:cantSplit/>
        </w:trPr>
        <w:tc>
          <w:tcPr>
            <w:tcW w:w="1835" w:type="dxa"/>
            <w:tcBorders>
              <w:top w:val="nil"/>
              <w:left w:val="nil"/>
              <w:bottom w:val="nil"/>
              <w:right w:val="nil"/>
            </w:tcBorders>
            <w:shd w:val="clear" w:color="000000" w:fill="C5D9F1"/>
            <w:vAlign w:val="center"/>
            <w:hideMark/>
          </w:tcPr>
          <w:p w14:paraId="39196778" w14:textId="77777777" w:rsidR="00767EC2" w:rsidRPr="00F076D7" w:rsidRDefault="00767EC2" w:rsidP="004E4A91">
            <w:pPr>
              <w:jc w:val="center"/>
              <w:rPr>
                <w:b/>
                <w:bCs/>
                <w:sz w:val="16"/>
                <w:szCs w:val="16"/>
              </w:rPr>
            </w:pPr>
            <w:r w:rsidRPr="00F076D7">
              <w:rPr>
                <w:b/>
                <w:bCs/>
                <w:sz w:val="16"/>
                <w:szCs w:val="16"/>
              </w:rPr>
              <w:t>Solde au 31 décembre 2015</w:t>
            </w:r>
          </w:p>
        </w:tc>
        <w:tc>
          <w:tcPr>
            <w:tcW w:w="1836" w:type="dxa"/>
            <w:tcBorders>
              <w:top w:val="nil"/>
              <w:left w:val="nil"/>
              <w:bottom w:val="nil"/>
              <w:right w:val="nil"/>
            </w:tcBorders>
            <w:shd w:val="clear" w:color="000000" w:fill="C5D9F1"/>
            <w:noWrap/>
            <w:vAlign w:val="center"/>
            <w:hideMark/>
          </w:tcPr>
          <w:p w14:paraId="1EA32636" w14:textId="77777777" w:rsidR="00767EC2" w:rsidRPr="00F076D7" w:rsidRDefault="00767EC2" w:rsidP="004E4A91">
            <w:pPr>
              <w:jc w:val="center"/>
              <w:rPr>
                <w:b/>
                <w:bCs/>
                <w:sz w:val="16"/>
                <w:szCs w:val="16"/>
              </w:rPr>
            </w:pPr>
            <w:r w:rsidRPr="00F076D7">
              <w:rPr>
                <w:b/>
                <w:bCs/>
                <w:sz w:val="16"/>
                <w:szCs w:val="16"/>
              </w:rPr>
              <w:t>Recettes 2016</w:t>
            </w:r>
          </w:p>
        </w:tc>
        <w:tc>
          <w:tcPr>
            <w:tcW w:w="1836" w:type="dxa"/>
            <w:tcBorders>
              <w:top w:val="nil"/>
              <w:left w:val="nil"/>
              <w:bottom w:val="nil"/>
              <w:right w:val="nil"/>
            </w:tcBorders>
            <w:shd w:val="clear" w:color="000000" w:fill="C5D9F1"/>
            <w:noWrap/>
            <w:vAlign w:val="center"/>
            <w:hideMark/>
          </w:tcPr>
          <w:p w14:paraId="73FDA142" w14:textId="77777777" w:rsidR="00767EC2" w:rsidRPr="00F076D7" w:rsidRDefault="00767EC2" w:rsidP="004E4A91">
            <w:pPr>
              <w:jc w:val="center"/>
              <w:rPr>
                <w:b/>
                <w:bCs/>
                <w:sz w:val="16"/>
                <w:szCs w:val="16"/>
              </w:rPr>
            </w:pPr>
            <w:r w:rsidRPr="00F076D7">
              <w:rPr>
                <w:b/>
                <w:bCs/>
                <w:sz w:val="16"/>
                <w:szCs w:val="16"/>
              </w:rPr>
              <w:t>Dépenses en 2016</w:t>
            </w:r>
          </w:p>
        </w:tc>
        <w:tc>
          <w:tcPr>
            <w:tcW w:w="1836" w:type="dxa"/>
            <w:tcBorders>
              <w:top w:val="nil"/>
              <w:left w:val="nil"/>
              <w:bottom w:val="nil"/>
              <w:right w:val="nil"/>
            </w:tcBorders>
            <w:shd w:val="clear" w:color="000000" w:fill="C5D9F1"/>
            <w:noWrap/>
            <w:vAlign w:val="center"/>
            <w:hideMark/>
          </w:tcPr>
          <w:p w14:paraId="6420514B" w14:textId="77777777" w:rsidR="00767EC2" w:rsidRPr="00F076D7" w:rsidRDefault="00767EC2" w:rsidP="004E4A91">
            <w:pPr>
              <w:jc w:val="center"/>
              <w:rPr>
                <w:b/>
                <w:bCs/>
                <w:sz w:val="16"/>
                <w:szCs w:val="16"/>
              </w:rPr>
            </w:pPr>
            <w:r w:rsidRPr="00F076D7">
              <w:rPr>
                <w:b/>
                <w:bCs/>
                <w:sz w:val="16"/>
                <w:szCs w:val="16"/>
              </w:rPr>
              <w:t>Remboursements</w:t>
            </w:r>
          </w:p>
        </w:tc>
        <w:tc>
          <w:tcPr>
            <w:tcW w:w="1836" w:type="dxa"/>
            <w:tcBorders>
              <w:top w:val="nil"/>
              <w:left w:val="nil"/>
              <w:bottom w:val="nil"/>
              <w:right w:val="nil"/>
            </w:tcBorders>
            <w:shd w:val="clear" w:color="000000" w:fill="C5D9F1"/>
            <w:vAlign w:val="center"/>
            <w:hideMark/>
          </w:tcPr>
          <w:p w14:paraId="46DB8EE0" w14:textId="77777777" w:rsidR="00767EC2" w:rsidRPr="00F076D7" w:rsidRDefault="00767EC2" w:rsidP="004E4A91">
            <w:pPr>
              <w:jc w:val="center"/>
              <w:rPr>
                <w:b/>
                <w:bCs/>
                <w:sz w:val="16"/>
                <w:szCs w:val="16"/>
              </w:rPr>
            </w:pPr>
            <w:r w:rsidRPr="00F076D7">
              <w:rPr>
                <w:b/>
                <w:bCs/>
                <w:sz w:val="16"/>
                <w:szCs w:val="16"/>
              </w:rPr>
              <w:t>Solde au 31 décembre 2016</w:t>
            </w:r>
          </w:p>
        </w:tc>
      </w:tr>
      <w:tr w:rsidR="00767EC2" w:rsidRPr="00F076D7" w14:paraId="3826E982" w14:textId="77777777" w:rsidTr="00A83D07">
        <w:trPr>
          <w:cantSplit/>
        </w:trPr>
        <w:tc>
          <w:tcPr>
            <w:tcW w:w="1835" w:type="dxa"/>
            <w:tcBorders>
              <w:top w:val="nil"/>
              <w:left w:val="nil"/>
              <w:bottom w:val="nil"/>
              <w:right w:val="nil"/>
            </w:tcBorders>
            <w:shd w:val="clear" w:color="auto" w:fill="auto"/>
            <w:noWrap/>
            <w:vAlign w:val="bottom"/>
            <w:hideMark/>
          </w:tcPr>
          <w:p w14:paraId="0AB91068" w14:textId="77777777" w:rsidR="00767EC2" w:rsidRPr="00F076D7" w:rsidRDefault="00767EC2" w:rsidP="004E4A91">
            <w:pPr>
              <w:jc w:val="center"/>
              <w:rPr>
                <w:sz w:val="16"/>
                <w:szCs w:val="16"/>
              </w:rPr>
            </w:pPr>
            <w:r w:rsidRPr="00F076D7">
              <w:rPr>
                <w:sz w:val="16"/>
                <w:szCs w:val="16"/>
              </w:rPr>
              <w:t>239 955</w:t>
            </w:r>
          </w:p>
        </w:tc>
        <w:tc>
          <w:tcPr>
            <w:tcW w:w="1836" w:type="dxa"/>
            <w:tcBorders>
              <w:top w:val="nil"/>
              <w:left w:val="nil"/>
              <w:bottom w:val="nil"/>
              <w:right w:val="nil"/>
            </w:tcBorders>
            <w:shd w:val="clear" w:color="auto" w:fill="auto"/>
            <w:noWrap/>
            <w:vAlign w:val="bottom"/>
            <w:hideMark/>
          </w:tcPr>
          <w:p w14:paraId="78B71D4D" w14:textId="77777777" w:rsidR="00767EC2" w:rsidRPr="00F076D7" w:rsidRDefault="00767EC2" w:rsidP="004E4A91">
            <w:pPr>
              <w:jc w:val="center"/>
              <w:rPr>
                <w:sz w:val="16"/>
                <w:szCs w:val="16"/>
              </w:rPr>
            </w:pPr>
            <w:r w:rsidRPr="00F076D7">
              <w:rPr>
                <w:sz w:val="16"/>
                <w:szCs w:val="16"/>
              </w:rPr>
              <w:t>56 510</w:t>
            </w:r>
          </w:p>
        </w:tc>
        <w:tc>
          <w:tcPr>
            <w:tcW w:w="1836" w:type="dxa"/>
            <w:tcBorders>
              <w:top w:val="nil"/>
              <w:left w:val="nil"/>
              <w:bottom w:val="nil"/>
              <w:right w:val="nil"/>
            </w:tcBorders>
            <w:shd w:val="clear" w:color="auto" w:fill="auto"/>
            <w:noWrap/>
            <w:vAlign w:val="bottom"/>
            <w:hideMark/>
          </w:tcPr>
          <w:p w14:paraId="23EC03AB" w14:textId="77777777" w:rsidR="00767EC2" w:rsidRPr="00F076D7" w:rsidRDefault="00767EC2" w:rsidP="004E4A91">
            <w:pPr>
              <w:jc w:val="center"/>
              <w:rPr>
                <w:sz w:val="16"/>
                <w:szCs w:val="16"/>
              </w:rPr>
            </w:pPr>
            <w:r w:rsidRPr="00F076D7">
              <w:rPr>
                <w:sz w:val="16"/>
                <w:szCs w:val="16"/>
              </w:rPr>
              <w:t>59 219</w:t>
            </w:r>
          </w:p>
        </w:tc>
        <w:tc>
          <w:tcPr>
            <w:tcW w:w="1836" w:type="dxa"/>
            <w:tcBorders>
              <w:top w:val="nil"/>
              <w:left w:val="nil"/>
              <w:bottom w:val="nil"/>
              <w:right w:val="nil"/>
            </w:tcBorders>
            <w:shd w:val="clear" w:color="auto" w:fill="auto"/>
            <w:noWrap/>
            <w:vAlign w:val="bottom"/>
            <w:hideMark/>
          </w:tcPr>
          <w:p w14:paraId="305571CB" w14:textId="77777777" w:rsidR="00767EC2" w:rsidRPr="00F076D7" w:rsidRDefault="00767EC2" w:rsidP="004E4A91">
            <w:pPr>
              <w:jc w:val="center"/>
              <w:rPr>
                <w:sz w:val="16"/>
                <w:szCs w:val="16"/>
              </w:rPr>
            </w:pPr>
            <w:r w:rsidRPr="00F076D7">
              <w:rPr>
                <w:sz w:val="16"/>
                <w:szCs w:val="16"/>
              </w:rPr>
              <w:noBreakHyphen/>
            </w:r>
          </w:p>
        </w:tc>
        <w:tc>
          <w:tcPr>
            <w:tcW w:w="1836" w:type="dxa"/>
            <w:tcBorders>
              <w:top w:val="nil"/>
              <w:left w:val="nil"/>
              <w:bottom w:val="nil"/>
              <w:right w:val="nil"/>
            </w:tcBorders>
            <w:shd w:val="clear" w:color="auto" w:fill="auto"/>
            <w:noWrap/>
            <w:vAlign w:val="bottom"/>
            <w:hideMark/>
          </w:tcPr>
          <w:p w14:paraId="58FB34D6" w14:textId="77777777" w:rsidR="00767EC2" w:rsidRPr="00F076D7" w:rsidRDefault="00767EC2" w:rsidP="004E4A91">
            <w:pPr>
              <w:jc w:val="center"/>
              <w:rPr>
                <w:sz w:val="16"/>
                <w:szCs w:val="16"/>
              </w:rPr>
            </w:pPr>
            <w:r w:rsidRPr="00F076D7">
              <w:rPr>
                <w:sz w:val="16"/>
                <w:szCs w:val="16"/>
              </w:rPr>
              <w:t>237 245</w:t>
            </w:r>
          </w:p>
        </w:tc>
      </w:tr>
    </w:tbl>
    <w:p w14:paraId="47D8EC0E" w14:textId="77777777" w:rsidR="00767EC2" w:rsidRPr="00F076D7" w:rsidRDefault="00767EC2" w:rsidP="004E4A91">
      <w:pPr>
        <w:rPr>
          <w:b/>
          <w:sz w:val="20"/>
        </w:rPr>
      </w:pPr>
    </w:p>
    <w:p w14:paraId="67E4A808" w14:textId="77777777" w:rsidR="00767EC2" w:rsidRPr="00F076D7" w:rsidRDefault="00767EC2" w:rsidP="004E4A91">
      <w:pPr>
        <w:rPr>
          <w:b/>
          <w:sz w:val="20"/>
        </w:rPr>
      </w:pPr>
    </w:p>
    <w:p w14:paraId="4A0F17AB" w14:textId="77777777" w:rsidR="00767EC2" w:rsidRPr="00F076D7" w:rsidRDefault="00767EC2" w:rsidP="00767EC2">
      <w:pPr>
        <w:keepNext/>
        <w:keepLines/>
        <w:rPr>
          <w:b/>
          <w:sz w:val="20"/>
        </w:rPr>
      </w:pPr>
      <w:r w:rsidRPr="00F076D7">
        <w:rPr>
          <w:b/>
          <w:sz w:val="20"/>
        </w:rPr>
        <w:t>RÉPUBLIQUE DE CORÉE/DROIT D’AUTEUR</w:t>
      </w:r>
    </w:p>
    <w:p w14:paraId="400BD004" w14:textId="77777777" w:rsidR="00767EC2" w:rsidRPr="00F076D7" w:rsidRDefault="00767EC2" w:rsidP="00767EC2">
      <w:pPr>
        <w:keepNext/>
        <w:keepLines/>
        <w:rPr>
          <w:b/>
          <w:sz w:val="20"/>
        </w:rPr>
      </w:pPr>
    </w:p>
    <w:tbl>
      <w:tblPr>
        <w:tblW w:w="4884" w:type="pct"/>
        <w:tblCellMar>
          <w:top w:w="57" w:type="dxa"/>
          <w:bottom w:w="57" w:type="dxa"/>
        </w:tblCellMar>
        <w:tblLook w:val="0000" w:firstRow="0" w:lastRow="0" w:firstColumn="0" w:lastColumn="0" w:noHBand="0" w:noVBand="0"/>
      </w:tblPr>
      <w:tblGrid>
        <w:gridCol w:w="1812"/>
        <w:gridCol w:w="1101"/>
        <w:gridCol w:w="94"/>
        <w:gridCol w:w="1826"/>
        <w:gridCol w:w="4239"/>
      </w:tblGrid>
      <w:tr w:rsidR="00767EC2" w:rsidRPr="00F076D7" w14:paraId="1EBB133E" w14:textId="77777777" w:rsidTr="00A83D07">
        <w:trPr>
          <w:cantSplit/>
        </w:trPr>
        <w:tc>
          <w:tcPr>
            <w:tcW w:w="9072" w:type="dxa"/>
            <w:gridSpan w:val="5"/>
            <w:shd w:val="clear" w:color="auto" w:fill="C6D9F1" w:themeFill="text2" w:themeFillTint="33"/>
            <w:vAlign w:val="center"/>
          </w:tcPr>
          <w:p w14:paraId="2037FB94" w14:textId="77777777" w:rsidR="00767EC2" w:rsidRPr="00F076D7" w:rsidRDefault="00767EC2" w:rsidP="00A83D07">
            <w:pPr>
              <w:keepNext/>
              <w:keepLines/>
              <w:rPr>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4895FAA9" w14:textId="77777777" w:rsidTr="00A83D07">
        <w:trPr>
          <w:cantSplit/>
        </w:trPr>
        <w:tc>
          <w:tcPr>
            <w:tcW w:w="1812" w:type="dxa"/>
            <w:vAlign w:val="center"/>
          </w:tcPr>
          <w:p w14:paraId="09DDE707" w14:textId="77777777" w:rsidR="00767EC2" w:rsidRPr="00F076D7" w:rsidRDefault="00767EC2" w:rsidP="00A83D07">
            <w:pPr>
              <w:keepNext/>
              <w:keepLines/>
              <w:rPr>
                <w:b/>
                <w:bCs/>
                <w:sz w:val="16"/>
                <w:szCs w:val="16"/>
              </w:rPr>
            </w:pPr>
            <w:r w:rsidRPr="00F076D7">
              <w:rPr>
                <w:b/>
                <w:bCs/>
                <w:sz w:val="16"/>
                <w:szCs w:val="16"/>
              </w:rPr>
              <w:t>Activité</w:t>
            </w:r>
          </w:p>
        </w:tc>
        <w:tc>
          <w:tcPr>
            <w:tcW w:w="1195" w:type="dxa"/>
            <w:gridSpan w:val="2"/>
            <w:shd w:val="clear" w:color="auto" w:fill="auto"/>
            <w:tcMar>
              <w:top w:w="57" w:type="dxa"/>
            </w:tcMar>
            <w:vAlign w:val="center"/>
          </w:tcPr>
          <w:p w14:paraId="20F49F2F" w14:textId="77777777" w:rsidR="00767EC2" w:rsidRPr="00F076D7" w:rsidRDefault="00767EC2" w:rsidP="00A83D07">
            <w:pPr>
              <w:keepNext/>
              <w:keepLines/>
              <w:rPr>
                <w:b/>
                <w:bCs/>
                <w:sz w:val="16"/>
                <w:szCs w:val="16"/>
              </w:rPr>
            </w:pPr>
            <w:r w:rsidRPr="00F076D7">
              <w:rPr>
                <w:b/>
                <w:bCs/>
                <w:sz w:val="16"/>
                <w:szCs w:val="16"/>
              </w:rPr>
              <w:t>Date</w:t>
            </w:r>
          </w:p>
        </w:tc>
        <w:tc>
          <w:tcPr>
            <w:tcW w:w="1826" w:type="dxa"/>
            <w:shd w:val="clear" w:color="auto" w:fill="auto"/>
            <w:tcMar>
              <w:top w:w="57" w:type="dxa"/>
            </w:tcMar>
            <w:vAlign w:val="center"/>
          </w:tcPr>
          <w:p w14:paraId="638B84EB" w14:textId="77777777" w:rsidR="00767EC2" w:rsidRPr="00F076D7" w:rsidRDefault="00767EC2" w:rsidP="00A83D07">
            <w:pPr>
              <w:keepNext/>
              <w:keepLines/>
              <w:rPr>
                <w:sz w:val="16"/>
                <w:szCs w:val="16"/>
              </w:rPr>
            </w:pPr>
            <w:r w:rsidRPr="00F076D7">
              <w:rPr>
                <w:b/>
                <w:sz w:val="16"/>
                <w:szCs w:val="16"/>
              </w:rPr>
              <w:t>Pays hôte/</w:t>
            </w:r>
            <w:r w:rsidRPr="00F076D7">
              <w:rPr>
                <w:sz w:val="16"/>
                <w:szCs w:val="16"/>
              </w:rPr>
              <w:t xml:space="preserve"> </w:t>
            </w:r>
            <w:r w:rsidRPr="00F076D7">
              <w:rPr>
                <w:b/>
                <w:sz w:val="16"/>
                <w:szCs w:val="16"/>
              </w:rPr>
              <w:t>bénéficiaires</w:t>
            </w:r>
          </w:p>
        </w:tc>
        <w:tc>
          <w:tcPr>
            <w:tcW w:w="4239" w:type="dxa"/>
            <w:shd w:val="clear" w:color="auto" w:fill="FFFFFF"/>
            <w:tcMar>
              <w:top w:w="57" w:type="dxa"/>
            </w:tcMar>
            <w:vAlign w:val="center"/>
          </w:tcPr>
          <w:p w14:paraId="7A772A12" w14:textId="77777777" w:rsidR="00767EC2" w:rsidRPr="00F076D7" w:rsidRDefault="00767EC2" w:rsidP="00A83D07">
            <w:pPr>
              <w:keepNext/>
              <w:keepLines/>
              <w:rPr>
                <w:sz w:val="16"/>
                <w:szCs w:val="16"/>
              </w:rPr>
            </w:pPr>
            <w:r w:rsidRPr="00F076D7">
              <w:rPr>
                <w:b/>
                <w:sz w:val="16"/>
                <w:szCs w:val="16"/>
              </w:rPr>
              <w:t>Objectif(s)/description(s)</w:t>
            </w:r>
          </w:p>
        </w:tc>
      </w:tr>
      <w:tr w:rsidR="00767EC2" w:rsidRPr="00F076D7" w14:paraId="1E9DB684" w14:textId="77777777" w:rsidTr="00A83D07">
        <w:trPr>
          <w:cantSplit/>
        </w:trPr>
        <w:tc>
          <w:tcPr>
            <w:tcW w:w="1812" w:type="dxa"/>
          </w:tcPr>
          <w:p w14:paraId="3CBE047B" w14:textId="77777777" w:rsidR="00767EC2" w:rsidRPr="00F076D7" w:rsidDel="009E0498" w:rsidRDefault="00767EC2" w:rsidP="00A83D07">
            <w:pPr>
              <w:autoSpaceDE w:val="0"/>
              <w:autoSpaceDN w:val="0"/>
              <w:adjustRightInd w:val="0"/>
              <w:rPr>
                <w:sz w:val="16"/>
                <w:szCs w:val="16"/>
              </w:rPr>
            </w:pPr>
            <w:r w:rsidRPr="00F076D7">
              <w:rPr>
                <w:sz w:val="16"/>
                <w:szCs w:val="16"/>
              </w:rPr>
              <w:t>Atelier national sur le droit d’auteur et les droits connexes</w:t>
            </w:r>
          </w:p>
        </w:tc>
        <w:tc>
          <w:tcPr>
            <w:tcW w:w="1195" w:type="dxa"/>
            <w:gridSpan w:val="2"/>
            <w:shd w:val="clear" w:color="auto" w:fill="auto"/>
            <w:tcMar>
              <w:top w:w="57" w:type="dxa"/>
            </w:tcMar>
          </w:tcPr>
          <w:p w14:paraId="60BEA96A" w14:textId="77777777" w:rsidR="00767EC2" w:rsidRPr="00F076D7" w:rsidRDefault="00767EC2" w:rsidP="00A83D07">
            <w:pPr>
              <w:autoSpaceDE w:val="0"/>
              <w:autoSpaceDN w:val="0"/>
              <w:adjustRightInd w:val="0"/>
              <w:rPr>
                <w:sz w:val="16"/>
                <w:szCs w:val="16"/>
              </w:rPr>
            </w:pPr>
            <w:r w:rsidRPr="00F076D7">
              <w:rPr>
                <w:sz w:val="16"/>
                <w:szCs w:val="16"/>
              </w:rPr>
              <w:t>13 et 15 décembre 2016</w:t>
            </w:r>
          </w:p>
        </w:tc>
        <w:tc>
          <w:tcPr>
            <w:tcW w:w="1826" w:type="dxa"/>
            <w:shd w:val="clear" w:color="auto" w:fill="auto"/>
            <w:tcMar>
              <w:top w:w="57" w:type="dxa"/>
            </w:tcMar>
          </w:tcPr>
          <w:p w14:paraId="0D763355" w14:textId="77777777" w:rsidR="00767EC2" w:rsidRPr="00F076D7" w:rsidRDefault="00767EC2" w:rsidP="00A83D07">
            <w:pPr>
              <w:autoSpaceDE w:val="0"/>
              <w:autoSpaceDN w:val="0"/>
              <w:adjustRightInd w:val="0"/>
              <w:rPr>
                <w:sz w:val="16"/>
                <w:szCs w:val="16"/>
              </w:rPr>
            </w:pPr>
            <w:r w:rsidRPr="00F076D7">
              <w:rPr>
                <w:sz w:val="16"/>
                <w:szCs w:val="16"/>
              </w:rPr>
              <w:t xml:space="preserve">Viet Nam / 200 (approximativement 100 participants locaux par atelier) </w:t>
            </w:r>
          </w:p>
        </w:tc>
        <w:tc>
          <w:tcPr>
            <w:tcW w:w="4239" w:type="dxa"/>
            <w:shd w:val="clear" w:color="auto" w:fill="FFFFFF"/>
            <w:tcMar>
              <w:top w:w="57" w:type="dxa"/>
            </w:tcMar>
          </w:tcPr>
          <w:p w14:paraId="0A9C05F8" w14:textId="77777777" w:rsidR="00767EC2" w:rsidRPr="00F076D7" w:rsidDel="00152E3E" w:rsidRDefault="00767EC2" w:rsidP="00A83D07">
            <w:pPr>
              <w:autoSpaceDE w:val="0"/>
              <w:autoSpaceDN w:val="0"/>
              <w:adjustRightInd w:val="0"/>
              <w:rPr>
                <w:sz w:val="16"/>
                <w:szCs w:val="16"/>
              </w:rPr>
            </w:pPr>
            <w:r w:rsidRPr="00F076D7">
              <w:rPr>
                <w:sz w:val="16"/>
                <w:szCs w:val="16"/>
              </w:rPr>
              <w:t>Sensibiliser les décideurs et les principales parties prenantes à l’importance du droit d’auteur et des droits connexes</w:t>
            </w:r>
          </w:p>
        </w:tc>
      </w:tr>
      <w:tr w:rsidR="00767EC2" w:rsidRPr="00F076D7" w14:paraId="478144E0" w14:textId="77777777" w:rsidTr="00A83D07">
        <w:trPr>
          <w:cantSplit/>
        </w:trPr>
        <w:tc>
          <w:tcPr>
            <w:tcW w:w="1812" w:type="dxa"/>
          </w:tcPr>
          <w:p w14:paraId="236F9B01" w14:textId="77777777" w:rsidR="00767EC2" w:rsidRPr="00F076D7" w:rsidRDefault="00767EC2" w:rsidP="00A83D07">
            <w:pPr>
              <w:rPr>
                <w:b/>
                <w:bCs/>
                <w:sz w:val="16"/>
                <w:szCs w:val="16"/>
              </w:rPr>
            </w:pPr>
            <w:r w:rsidRPr="00F076D7">
              <w:rPr>
                <w:sz w:val="16"/>
                <w:szCs w:val="16"/>
              </w:rPr>
              <w:t xml:space="preserve">Projet national de sensibilisation approfondie au droit d’auteur et aux droits connexes </w:t>
            </w:r>
          </w:p>
        </w:tc>
        <w:tc>
          <w:tcPr>
            <w:tcW w:w="1195" w:type="dxa"/>
            <w:gridSpan w:val="2"/>
            <w:shd w:val="clear" w:color="auto" w:fill="auto"/>
            <w:tcMar>
              <w:top w:w="57" w:type="dxa"/>
            </w:tcMar>
          </w:tcPr>
          <w:p w14:paraId="0B9A3FEC" w14:textId="77777777" w:rsidR="00767EC2" w:rsidRPr="00F076D7" w:rsidRDefault="00767EC2" w:rsidP="00A83D07">
            <w:pPr>
              <w:rPr>
                <w:sz w:val="16"/>
                <w:szCs w:val="16"/>
              </w:rPr>
            </w:pPr>
            <w:r w:rsidRPr="00F076D7">
              <w:rPr>
                <w:sz w:val="16"/>
                <w:szCs w:val="16"/>
              </w:rPr>
              <w:t>Mai – décembre 2016</w:t>
            </w:r>
          </w:p>
          <w:p w14:paraId="3792E9F2" w14:textId="77777777" w:rsidR="00767EC2" w:rsidRPr="00F076D7" w:rsidRDefault="00767EC2" w:rsidP="00A83D07">
            <w:pPr>
              <w:rPr>
                <w:sz w:val="16"/>
                <w:szCs w:val="16"/>
              </w:rPr>
            </w:pPr>
            <w:r w:rsidRPr="00F076D7">
              <w:rPr>
                <w:sz w:val="16"/>
                <w:szCs w:val="16"/>
              </w:rPr>
              <w:t>(en cours)</w:t>
            </w:r>
          </w:p>
        </w:tc>
        <w:tc>
          <w:tcPr>
            <w:tcW w:w="1826" w:type="dxa"/>
            <w:shd w:val="clear" w:color="auto" w:fill="auto"/>
            <w:tcMar>
              <w:top w:w="57" w:type="dxa"/>
            </w:tcMar>
          </w:tcPr>
          <w:p w14:paraId="1A25BF02" w14:textId="77777777" w:rsidR="00767EC2" w:rsidRPr="00F076D7" w:rsidRDefault="00767EC2" w:rsidP="00A83D07">
            <w:pPr>
              <w:rPr>
                <w:sz w:val="16"/>
                <w:szCs w:val="16"/>
              </w:rPr>
            </w:pPr>
            <w:r w:rsidRPr="00F076D7">
              <w:rPr>
                <w:sz w:val="16"/>
                <w:szCs w:val="16"/>
              </w:rPr>
              <w:t>Malawi</w:t>
            </w:r>
          </w:p>
        </w:tc>
        <w:tc>
          <w:tcPr>
            <w:tcW w:w="4239" w:type="dxa"/>
            <w:shd w:val="clear" w:color="auto" w:fill="FFFFFF"/>
            <w:tcMar>
              <w:top w:w="57" w:type="dxa"/>
            </w:tcMar>
          </w:tcPr>
          <w:p w14:paraId="351D7E41" w14:textId="77777777" w:rsidR="00767EC2" w:rsidRPr="00F076D7" w:rsidRDefault="00767EC2" w:rsidP="00A83D07">
            <w:pPr>
              <w:rPr>
                <w:sz w:val="16"/>
                <w:szCs w:val="16"/>
                <w:lang w:eastAsia="ja-JP"/>
              </w:rPr>
            </w:pPr>
            <w:r w:rsidRPr="00F076D7">
              <w:rPr>
                <w:sz w:val="16"/>
                <w:szCs w:val="16"/>
                <w:lang w:eastAsia="ja-JP"/>
              </w:rPr>
              <w:t>Accompagner le Malawi, qui s’efforce d’établir une infrastructure de droit d’auteur viable et de renforcer les capacités nationales d’élaboration de programmes de sensibilisation du public dans le domaine du droit d’auteur et des droits connexes.</w:t>
            </w:r>
          </w:p>
        </w:tc>
      </w:tr>
      <w:tr w:rsidR="00767EC2" w:rsidRPr="00F076D7" w14:paraId="0E1135EA" w14:textId="77777777" w:rsidTr="00A83D07">
        <w:trPr>
          <w:cantSplit/>
        </w:trPr>
        <w:tc>
          <w:tcPr>
            <w:tcW w:w="1812" w:type="dxa"/>
          </w:tcPr>
          <w:p w14:paraId="453C273B" w14:textId="77777777" w:rsidR="00767EC2" w:rsidRPr="00F076D7" w:rsidRDefault="00767EC2" w:rsidP="00A83D07">
            <w:pPr>
              <w:rPr>
                <w:sz w:val="16"/>
                <w:szCs w:val="16"/>
              </w:rPr>
            </w:pPr>
            <w:r w:rsidRPr="00F076D7">
              <w:rPr>
                <w:sz w:val="16"/>
                <w:szCs w:val="16"/>
              </w:rPr>
              <w:t>Projet national de sensibilisation approfondie au droit d’auteur et aux droits connexes</w:t>
            </w:r>
          </w:p>
        </w:tc>
        <w:tc>
          <w:tcPr>
            <w:tcW w:w="1195" w:type="dxa"/>
            <w:gridSpan w:val="2"/>
            <w:shd w:val="clear" w:color="auto" w:fill="auto"/>
            <w:tcMar>
              <w:top w:w="57" w:type="dxa"/>
            </w:tcMar>
          </w:tcPr>
          <w:p w14:paraId="2FB9E4D1" w14:textId="77777777" w:rsidR="00767EC2" w:rsidRPr="00F076D7" w:rsidRDefault="00767EC2" w:rsidP="00A83D07">
            <w:pPr>
              <w:rPr>
                <w:sz w:val="16"/>
                <w:szCs w:val="16"/>
              </w:rPr>
            </w:pPr>
            <w:r w:rsidRPr="00F076D7">
              <w:rPr>
                <w:sz w:val="16"/>
                <w:szCs w:val="16"/>
              </w:rPr>
              <w:t>Mars – décembre 2016</w:t>
            </w:r>
          </w:p>
          <w:p w14:paraId="098BEC5D" w14:textId="77777777" w:rsidR="00767EC2" w:rsidRPr="00F076D7" w:rsidRDefault="00767EC2" w:rsidP="00A83D07">
            <w:pPr>
              <w:rPr>
                <w:sz w:val="16"/>
                <w:szCs w:val="16"/>
              </w:rPr>
            </w:pPr>
            <w:r w:rsidRPr="00F076D7">
              <w:rPr>
                <w:sz w:val="16"/>
                <w:szCs w:val="16"/>
              </w:rPr>
              <w:t>(en cours)</w:t>
            </w:r>
          </w:p>
        </w:tc>
        <w:tc>
          <w:tcPr>
            <w:tcW w:w="1826" w:type="dxa"/>
            <w:shd w:val="clear" w:color="auto" w:fill="auto"/>
            <w:tcMar>
              <w:top w:w="57" w:type="dxa"/>
            </w:tcMar>
          </w:tcPr>
          <w:p w14:paraId="57F7555F" w14:textId="77777777" w:rsidR="00767EC2" w:rsidRPr="00F076D7" w:rsidRDefault="00767EC2" w:rsidP="00A83D07">
            <w:pPr>
              <w:rPr>
                <w:sz w:val="16"/>
                <w:szCs w:val="16"/>
              </w:rPr>
            </w:pPr>
            <w:r w:rsidRPr="00F076D7">
              <w:rPr>
                <w:sz w:val="16"/>
                <w:szCs w:val="16"/>
              </w:rPr>
              <w:t>Botswana / 5 établissements d’enseignement (4 établissements d’enseignement secondaire et 1 institution pour la jeunesse)</w:t>
            </w:r>
          </w:p>
        </w:tc>
        <w:tc>
          <w:tcPr>
            <w:tcW w:w="4239" w:type="dxa"/>
            <w:shd w:val="clear" w:color="auto" w:fill="FFFFFF"/>
            <w:tcMar>
              <w:top w:w="57" w:type="dxa"/>
            </w:tcMar>
          </w:tcPr>
          <w:p w14:paraId="4692F015" w14:textId="77777777" w:rsidR="00767EC2" w:rsidRPr="00F076D7" w:rsidRDefault="00767EC2" w:rsidP="00A83D07">
            <w:pPr>
              <w:rPr>
                <w:sz w:val="16"/>
                <w:szCs w:val="16"/>
                <w:lang w:eastAsia="ja-JP"/>
              </w:rPr>
            </w:pPr>
            <w:r w:rsidRPr="00F076D7">
              <w:rPr>
                <w:sz w:val="16"/>
                <w:szCs w:val="16"/>
                <w:lang w:eastAsia="ja-JP"/>
              </w:rPr>
              <w:t>Aider le Botswana à mettre en place un projet d’éducation au droit d’auteur conçu pour les jeunes, l’objectif étant de les sensibiliser au droit d’auteur et d’établir un environnement propice à l’utilisation et à la protection efficaces du droit d’auteur et des droits connexes.</w:t>
            </w:r>
          </w:p>
        </w:tc>
      </w:tr>
      <w:tr w:rsidR="00767EC2" w:rsidRPr="00F076D7" w14:paraId="2462B840" w14:textId="77777777" w:rsidTr="00A83D07">
        <w:trPr>
          <w:cantSplit/>
        </w:trPr>
        <w:tc>
          <w:tcPr>
            <w:tcW w:w="1812" w:type="dxa"/>
          </w:tcPr>
          <w:p w14:paraId="454E1525" w14:textId="77777777" w:rsidR="00767EC2" w:rsidRPr="00F076D7" w:rsidRDefault="00767EC2" w:rsidP="00A83D07">
            <w:pPr>
              <w:rPr>
                <w:sz w:val="16"/>
                <w:szCs w:val="16"/>
              </w:rPr>
            </w:pPr>
            <w:r w:rsidRPr="00F076D7">
              <w:rPr>
                <w:sz w:val="16"/>
                <w:szCs w:val="16"/>
              </w:rPr>
              <w:t>Projet national de sensibilisation approfondie au droit d’auteur et aux droits connexes</w:t>
            </w:r>
          </w:p>
        </w:tc>
        <w:tc>
          <w:tcPr>
            <w:tcW w:w="1195" w:type="dxa"/>
            <w:gridSpan w:val="2"/>
            <w:shd w:val="clear" w:color="auto" w:fill="auto"/>
            <w:tcMar>
              <w:top w:w="57" w:type="dxa"/>
            </w:tcMar>
          </w:tcPr>
          <w:p w14:paraId="5F8DFCB0" w14:textId="77777777" w:rsidR="00767EC2" w:rsidRPr="00F076D7" w:rsidRDefault="00767EC2" w:rsidP="00A83D07">
            <w:pPr>
              <w:rPr>
                <w:sz w:val="16"/>
                <w:szCs w:val="16"/>
              </w:rPr>
            </w:pPr>
            <w:r w:rsidRPr="00F076D7">
              <w:rPr>
                <w:sz w:val="16"/>
                <w:szCs w:val="16"/>
              </w:rPr>
              <w:t>Décembre 2016</w:t>
            </w:r>
          </w:p>
          <w:p w14:paraId="6523DA61" w14:textId="77777777" w:rsidR="00767EC2" w:rsidRPr="00F076D7" w:rsidRDefault="00767EC2" w:rsidP="00A83D07">
            <w:pPr>
              <w:rPr>
                <w:sz w:val="16"/>
                <w:szCs w:val="16"/>
              </w:rPr>
            </w:pPr>
            <w:r w:rsidRPr="00F076D7">
              <w:rPr>
                <w:sz w:val="16"/>
                <w:szCs w:val="16"/>
              </w:rPr>
              <w:t>(en cours)</w:t>
            </w:r>
          </w:p>
        </w:tc>
        <w:tc>
          <w:tcPr>
            <w:tcW w:w="1826" w:type="dxa"/>
            <w:shd w:val="clear" w:color="auto" w:fill="auto"/>
            <w:tcMar>
              <w:top w:w="57" w:type="dxa"/>
            </w:tcMar>
          </w:tcPr>
          <w:p w14:paraId="2B7DB167" w14:textId="77777777" w:rsidR="00767EC2" w:rsidRPr="00F076D7" w:rsidRDefault="00767EC2" w:rsidP="00A83D07">
            <w:pPr>
              <w:rPr>
                <w:sz w:val="16"/>
                <w:szCs w:val="16"/>
              </w:rPr>
            </w:pPr>
            <w:r w:rsidRPr="00F076D7">
              <w:rPr>
                <w:sz w:val="16"/>
                <w:szCs w:val="16"/>
              </w:rPr>
              <w:t xml:space="preserve">Kenya / 77 participants pour une formation à Mombasa;  92 participants pour une formation à </w:t>
            </w:r>
            <w:proofErr w:type="spellStart"/>
            <w:r w:rsidRPr="00F076D7">
              <w:rPr>
                <w:sz w:val="16"/>
                <w:szCs w:val="16"/>
              </w:rPr>
              <w:t>Bomet</w:t>
            </w:r>
            <w:proofErr w:type="spellEnd"/>
          </w:p>
        </w:tc>
        <w:tc>
          <w:tcPr>
            <w:tcW w:w="4239" w:type="dxa"/>
            <w:shd w:val="clear" w:color="auto" w:fill="FFFFFF"/>
            <w:tcMar>
              <w:top w:w="57" w:type="dxa"/>
            </w:tcMar>
          </w:tcPr>
          <w:p w14:paraId="100B810E" w14:textId="77777777" w:rsidR="00767EC2" w:rsidRPr="00F076D7" w:rsidRDefault="00767EC2" w:rsidP="00A83D07">
            <w:pPr>
              <w:rPr>
                <w:sz w:val="16"/>
                <w:szCs w:val="16"/>
              </w:rPr>
            </w:pPr>
            <w:r w:rsidRPr="00F076D7">
              <w:rPr>
                <w:rFonts w:cs="Times New Roman"/>
                <w:kern w:val="2"/>
                <w:sz w:val="16"/>
                <w:szCs w:val="16"/>
                <w:lang w:eastAsia="ko-KR"/>
              </w:rPr>
              <w:t xml:space="preserve">Renforcer les capacités du Kenya à mettre en œuvre des programmes réguliers de sensibilisation du public, en vue de créer un environnement qui soit propice à l’utilisation et à la protection efficaces du droit d’auteur et des droits connexes.  </w:t>
            </w:r>
          </w:p>
        </w:tc>
      </w:tr>
      <w:tr w:rsidR="00767EC2" w:rsidRPr="00F076D7" w14:paraId="68806FAC" w14:textId="77777777" w:rsidTr="00A83D07">
        <w:trPr>
          <w:cantSplit/>
        </w:trPr>
        <w:tc>
          <w:tcPr>
            <w:tcW w:w="1812" w:type="dxa"/>
          </w:tcPr>
          <w:p w14:paraId="7A4331A2" w14:textId="77777777" w:rsidR="00767EC2" w:rsidRPr="00F076D7" w:rsidRDefault="00767EC2" w:rsidP="00A83D07">
            <w:pPr>
              <w:autoSpaceDE w:val="0"/>
              <w:autoSpaceDN w:val="0"/>
              <w:adjustRightInd w:val="0"/>
              <w:rPr>
                <w:sz w:val="16"/>
                <w:szCs w:val="16"/>
              </w:rPr>
            </w:pPr>
            <w:r w:rsidRPr="00F076D7">
              <w:rPr>
                <w:sz w:val="16"/>
                <w:szCs w:val="16"/>
              </w:rPr>
              <w:t xml:space="preserve">Projet du Consortium pour des livres accessibles (ABC) </w:t>
            </w:r>
          </w:p>
        </w:tc>
        <w:tc>
          <w:tcPr>
            <w:tcW w:w="1195" w:type="dxa"/>
            <w:gridSpan w:val="2"/>
            <w:shd w:val="clear" w:color="auto" w:fill="auto"/>
            <w:tcMar>
              <w:top w:w="57" w:type="dxa"/>
            </w:tcMar>
          </w:tcPr>
          <w:p w14:paraId="7ED41181" w14:textId="77777777" w:rsidR="00767EC2" w:rsidRPr="00F076D7" w:rsidRDefault="00767EC2" w:rsidP="00A83D07">
            <w:pPr>
              <w:autoSpaceDE w:val="0"/>
              <w:autoSpaceDN w:val="0"/>
              <w:adjustRightInd w:val="0"/>
              <w:rPr>
                <w:sz w:val="16"/>
                <w:szCs w:val="16"/>
              </w:rPr>
            </w:pPr>
            <w:r w:rsidRPr="00F076D7">
              <w:rPr>
                <w:sz w:val="16"/>
                <w:szCs w:val="16"/>
              </w:rPr>
              <w:t>Juin – décembre 2016</w:t>
            </w:r>
          </w:p>
          <w:p w14:paraId="28B0733B"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1826" w:type="dxa"/>
            <w:shd w:val="clear" w:color="auto" w:fill="auto"/>
            <w:tcMar>
              <w:top w:w="57" w:type="dxa"/>
            </w:tcMar>
          </w:tcPr>
          <w:p w14:paraId="14417188" w14:textId="77777777" w:rsidR="00767EC2" w:rsidRPr="00F076D7" w:rsidRDefault="00767EC2" w:rsidP="00A83D07">
            <w:pPr>
              <w:autoSpaceDE w:val="0"/>
              <w:autoSpaceDN w:val="0"/>
              <w:adjustRightInd w:val="0"/>
              <w:rPr>
                <w:sz w:val="16"/>
                <w:szCs w:val="16"/>
              </w:rPr>
            </w:pPr>
            <w:r w:rsidRPr="00F076D7">
              <w:rPr>
                <w:sz w:val="16"/>
                <w:szCs w:val="16"/>
              </w:rPr>
              <w:t xml:space="preserve">Inde </w:t>
            </w:r>
          </w:p>
        </w:tc>
        <w:tc>
          <w:tcPr>
            <w:tcW w:w="4239" w:type="dxa"/>
            <w:shd w:val="clear" w:color="auto" w:fill="FFFFFF"/>
            <w:tcMar>
              <w:top w:w="57" w:type="dxa"/>
            </w:tcMar>
          </w:tcPr>
          <w:p w14:paraId="2DAD32BE" w14:textId="77777777" w:rsidR="00767EC2" w:rsidRPr="00F076D7" w:rsidRDefault="00767EC2" w:rsidP="00A83D07">
            <w:pPr>
              <w:autoSpaceDE w:val="0"/>
              <w:autoSpaceDN w:val="0"/>
              <w:adjustRightInd w:val="0"/>
              <w:rPr>
                <w:sz w:val="16"/>
                <w:szCs w:val="16"/>
              </w:rPr>
            </w:pPr>
            <w:r w:rsidRPr="00F076D7">
              <w:rPr>
                <w:sz w:val="16"/>
                <w:szCs w:val="16"/>
                <w:lang w:eastAsia="ja-JP"/>
              </w:rPr>
              <w:t>i)</w:t>
            </w:r>
            <w:r w:rsidRPr="00F076D7">
              <w:rPr>
                <w:sz w:val="16"/>
                <w:szCs w:val="16"/>
              </w:rPr>
              <w:t xml:space="preserve"> </w:t>
            </w:r>
            <w:r w:rsidRPr="00F076D7">
              <w:rPr>
                <w:sz w:val="16"/>
                <w:szCs w:val="16"/>
                <w:lang w:eastAsia="ja-JP"/>
              </w:rPr>
              <w:t>Mettre fin à la pénurie d’ouvrages destinés aux élèves du secondaire ayant des difficultés de lecture des textes imprimés dans l’</w:t>
            </w:r>
            <w:proofErr w:type="spellStart"/>
            <w:r w:rsidRPr="00F076D7">
              <w:rPr>
                <w:sz w:val="16"/>
                <w:szCs w:val="16"/>
                <w:lang w:eastAsia="ja-JP"/>
              </w:rPr>
              <w:t>Uttar</w:t>
            </w:r>
            <w:proofErr w:type="spellEnd"/>
            <w:r w:rsidRPr="00F076D7">
              <w:rPr>
                <w:sz w:val="16"/>
                <w:szCs w:val="16"/>
                <w:lang w:eastAsia="ja-JP"/>
              </w:rPr>
              <w:t xml:space="preserve"> </w:t>
            </w:r>
            <w:proofErr w:type="spellStart"/>
            <w:r w:rsidRPr="00F076D7">
              <w:rPr>
                <w:sz w:val="16"/>
                <w:szCs w:val="16"/>
                <w:lang w:eastAsia="ja-JP"/>
              </w:rPr>
              <w:t>Pradesh</w:t>
            </w:r>
            <w:proofErr w:type="spellEnd"/>
            <w:r w:rsidRPr="00F076D7">
              <w:rPr>
                <w:sz w:val="16"/>
                <w:szCs w:val="16"/>
                <w:lang w:eastAsia="ja-JP"/>
              </w:rPr>
              <w:t>, le Pendjab et le Rajasthan (Inde) en participant à la production de livres dans des formats accessibles;  ii) aider les élèves à accéder aux livres en format numérique en leur fournissant des liseuses et en les formant à leur utilisation;  iii) renforcer les capacités des éditeurs officiels de manuels scolaires afin que les futurs manuels soient conçus pour être accessibles.</w:t>
            </w:r>
          </w:p>
        </w:tc>
      </w:tr>
      <w:tr w:rsidR="00767EC2" w:rsidRPr="00F076D7" w14:paraId="685FF2A2" w14:textId="77777777" w:rsidTr="00A83D07">
        <w:trPr>
          <w:cantSplit/>
        </w:trPr>
        <w:tc>
          <w:tcPr>
            <w:tcW w:w="9072" w:type="dxa"/>
            <w:gridSpan w:val="5"/>
            <w:shd w:val="clear" w:color="auto" w:fill="C6D9F1" w:themeFill="text2" w:themeFillTint="33"/>
            <w:vAlign w:val="center"/>
          </w:tcPr>
          <w:p w14:paraId="224912B8" w14:textId="77777777" w:rsidR="00767EC2" w:rsidRPr="00F076D7" w:rsidRDefault="00767EC2" w:rsidP="00A83D07">
            <w:pPr>
              <w:keepNext/>
              <w:keepLines/>
              <w:tabs>
                <w:tab w:val="left" w:pos="2082"/>
              </w:tabs>
              <w:rPr>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 xml:space="preserve">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 </w:t>
            </w:r>
          </w:p>
        </w:tc>
      </w:tr>
      <w:tr w:rsidR="00767EC2" w:rsidRPr="00F076D7" w14:paraId="4BBBBC11" w14:textId="77777777" w:rsidTr="00A83D07">
        <w:trPr>
          <w:cantSplit/>
        </w:trPr>
        <w:tc>
          <w:tcPr>
            <w:tcW w:w="1812" w:type="dxa"/>
            <w:vAlign w:val="center"/>
          </w:tcPr>
          <w:p w14:paraId="43EC303B" w14:textId="77777777" w:rsidR="00767EC2" w:rsidRPr="00F076D7" w:rsidRDefault="00767EC2" w:rsidP="00A83D07">
            <w:pPr>
              <w:keepNext/>
              <w:keepLines/>
              <w:rPr>
                <w:b/>
                <w:bCs/>
                <w:sz w:val="16"/>
                <w:szCs w:val="16"/>
              </w:rPr>
            </w:pPr>
            <w:r w:rsidRPr="00F076D7">
              <w:rPr>
                <w:b/>
                <w:bCs/>
                <w:sz w:val="16"/>
                <w:szCs w:val="16"/>
              </w:rPr>
              <w:t>Activité</w:t>
            </w:r>
          </w:p>
        </w:tc>
        <w:tc>
          <w:tcPr>
            <w:tcW w:w="1101" w:type="dxa"/>
            <w:shd w:val="clear" w:color="auto" w:fill="auto"/>
            <w:tcMar>
              <w:top w:w="57" w:type="dxa"/>
            </w:tcMar>
            <w:vAlign w:val="center"/>
          </w:tcPr>
          <w:p w14:paraId="5703192E" w14:textId="77777777" w:rsidR="00767EC2" w:rsidRPr="00F076D7" w:rsidRDefault="00767EC2" w:rsidP="00A83D07">
            <w:pPr>
              <w:keepNext/>
              <w:keepLines/>
              <w:rPr>
                <w:b/>
                <w:sz w:val="16"/>
                <w:szCs w:val="16"/>
              </w:rPr>
            </w:pPr>
            <w:r w:rsidRPr="00F076D7">
              <w:rPr>
                <w:b/>
                <w:sz w:val="16"/>
                <w:szCs w:val="16"/>
              </w:rPr>
              <w:t>Date</w:t>
            </w:r>
          </w:p>
        </w:tc>
        <w:tc>
          <w:tcPr>
            <w:tcW w:w="1920" w:type="dxa"/>
            <w:gridSpan w:val="2"/>
            <w:shd w:val="clear" w:color="auto" w:fill="auto"/>
            <w:tcMar>
              <w:top w:w="57" w:type="dxa"/>
            </w:tcMar>
            <w:vAlign w:val="center"/>
          </w:tcPr>
          <w:p w14:paraId="2CE9DA12" w14:textId="77777777" w:rsidR="00767EC2" w:rsidRPr="00F076D7" w:rsidRDefault="00767EC2" w:rsidP="00A83D07">
            <w:pPr>
              <w:keepNext/>
              <w:keepLines/>
              <w:rPr>
                <w:b/>
                <w:sz w:val="16"/>
                <w:szCs w:val="16"/>
              </w:rPr>
            </w:pPr>
            <w:r w:rsidRPr="00F076D7">
              <w:rPr>
                <w:b/>
                <w:sz w:val="16"/>
                <w:szCs w:val="16"/>
              </w:rPr>
              <w:t>Pays hôte/bénéficiaires</w:t>
            </w:r>
          </w:p>
        </w:tc>
        <w:tc>
          <w:tcPr>
            <w:tcW w:w="4239" w:type="dxa"/>
            <w:shd w:val="clear" w:color="auto" w:fill="FFFFFF"/>
            <w:tcMar>
              <w:top w:w="57" w:type="dxa"/>
            </w:tcMar>
            <w:vAlign w:val="center"/>
          </w:tcPr>
          <w:p w14:paraId="225FAEA5" w14:textId="77777777" w:rsidR="00767EC2" w:rsidRPr="00F076D7" w:rsidRDefault="00767EC2" w:rsidP="00A83D07">
            <w:pPr>
              <w:keepNext/>
              <w:keepLines/>
              <w:rPr>
                <w:b/>
                <w:sz w:val="16"/>
                <w:szCs w:val="16"/>
              </w:rPr>
            </w:pPr>
            <w:r w:rsidRPr="00F076D7">
              <w:rPr>
                <w:b/>
                <w:sz w:val="16"/>
                <w:szCs w:val="16"/>
              </w:rPr>
              <w:t>Objectif(s)/description(s)</w:t>
            </w:r>
          </w:p>
        </w:tc>
      </w:tr>
      <w:tr w:rsidR="00767EC2" w:rsidRPr="00F076D7" w14:paraId="0F3ACF49" w14:textId="77777777" w:rsidTr="00A83D07">
        <w:trPr>
          <w:cantSplit/>
        </w:trPr>
        <w:tc>
          <w:tcPr>
            <w:tcW w:w="1812" w:type="dxa"/>
          </w:tcPr>
          <w:p w14:paraId="7C2AC6FE" w14:textId="77777777" w:rsidR="00767EC2" w:rsidRPr="00F076D7" w:rsidRDefault="00767EC2" w:rsidP="00A83D07">
            <w:pPr>
              <w:autoSpaceDE w:val="0"/>
              <w:autoSpaceDN w:val="0"/>
              <w:adjustRightInd w:val="0"/>
              <w:rPr>
                <w:rFonts w:eastAsiaTheme="minorEastAsia"/>
                <w:sz w:val="16"/>
                <w:szCs w:val="16"/>
                <w:highlight w:val="cyan"/>
                <w:lang w:eastAsia="ko-KR"/>
              </w:rPr>
            </w:pPr>
            <w:r w:rsidRPr="00F076D7">
              <w:rPr>
                <w:rFonts w:eastAsiaTheme="minorEastAsia"/>
                <w:sz w:val="16"/>
                <w:szCs w:val="16"/>
                <w:lang w:eastAsia="ko-KR"/>
              </w:rPr>
              <w:t>Atelier interrégional sur le renforcement des capacités dans le domaine du droit d’auteur</w:t>
            </w:r>
          </w:p>
        </w:tc>
        <w:tc>
          <w:tcPr>
            <w:tcW w:w="1101" w:type="dxa"/>
            <w:shd w:val="clear" w:color="auto" w:fill="auto"/>
            <w:tcMar>
              <w:top w:w="57" w:type="dxa"/>
            </w:tcMar>
          </w:tcPr>
          <w:p w14:paraId="1020F0EB" w14:textId="77777777" w:rsidR="00767EC2" w:rsidRPr="00F076D7" w:rsidRDefault="00767EC2" w:rsidP="00A83D07">
            <w:pPr>
              <w:autoSpaceDE w:val="0"/>
              <w:autoSpaceDN w:val="0"/>
              <w:adjustRightInd w:val="0"/>
              <w:rPr>
                <w:sz w:val="16"/>
                <w:szCs w:val="16"/>
              </w:rPr>
            </w:pPr>
            <w:r w:rsidRPr="00F076D7">
              <w:rPr>
                <w:sz w:val="16"/>
                <w:szCs w:val="16"/>
              </w:rPr>
              <w:t>21 – 24 mars 2016</w:t>
            </w:r>
          </w:p>
        </w:tc>
        <w:tc>
          <w:tcPr>
            <w:tcW w:w="1920" w:type="dxa"/>
            <w:gridSpan w:val="2"/>
            <w:shd w:val="clear" w:color="auto" w:fill="auto"/>
            <w:tcMar>
              <w:top w:w="57" w:type="dxa"/>
            </w:tcMar>
          </w:tcPr>
          <w:p w14:paraId="5AC71766" w14:textId="77777777" w:rsidR="00767EC2" w:rsidRPr="00F076D7" w:rsidRDefault="00767EC2" w:rsidP="00A83D07">
            <w:pPr>
              <w:autoSpaceDE w:val="0"/>
              <w:autoSpaceDN w:val="0"/>
              <w:adjustRightInd w:val="0"/>
              <w:rPr>
                <w:sz w:val="16"/>
                <w:szCs w:val="16"/>
              </w:rPr>
            </w:pPr>
            <w:r w:rsidRPr="00F076D7">
              <w:rPr>
                <w:sz w:val="16"/>
                <w:szCs w:val="16"/>
              </w:rPr>
              <w:t>République de Corée/ 15 participants des pays suivants : Angola, Argentine, Chine, Dominique, Équateur, Égypte, Fédération de Russie, Guatemala, Indonésie, Inde, Myanmar, Népal, Nigéria, Ouganda, Sri Lanka</w:t>
            </w:r>
          </w:p>
        </w:tc>
        <w:tc>
          <w:tcPr>
            <w:tcW w:w="4239" w:type="dxa"/>
            <w:shd w:val="clear" w:color="auto" w:fill="FFFFFF"/>
            <w:tcMar>
              <w:top w:w="57" w:type="dxa"/>
            </w:tcMar>
          </w:tcPr>
          <w:p w14:paraId="22D98E74" w14:textId="77777777" w:rsidR="00767EC2" w:rsidRPr="00F076D7" w:rsidRDefault="00767EC2" w:rsidP="00A83D07">
            <w:pPr>
              <w:tabs>
                <w:tab w:val="center" w:pos="4536"/>
                <w:tab w:val="right" w:pos="9072"/>
              </w:tabs>
              <w:rPr>
                <w:rFonts w:eastAsiaTheme="minorEastAsia"/>
                <w:kern w:val="2"/>
                <w:sz w:val="16"/>
                <w:szCs w:val="16"/>
                <w:highlight w:val="cyan"/>
                <w:lang w:eastAsia="ko-KR"/>
              </w:rPr>
            </w:pPr>
            <w:r w:rsidRPr="00F076D7">
              <w:rPr>
                <w:rFonts w:eastAsiaTheme="minorEastAsia"/>
                <w:sz w:val="16"/>
                <w:szCs w:val="16"/>
                <w:lang w:eastAsia="ko-KR"/>
              </w:rPr>
              <w:t xml:space="preserve">Mettre à jour les connaissances, procéder à un partage d’expérience quant au renforcement des capacités dans le domaine du droit d’auteur, procéder à un échange de points de vue et de méthodologies quant aux divers programmes de renforcement des capacités dans le domaine du droit d’auteur, et débattre des moyens qui permettraient d’améliorer ces programmes aux niveaux national, régional et international.  </w:t>
            </w:r>
          </w:p>
        </w:tc>
      </w:tr>
      <w:tr w:rsidR="00767EC2" w:rsidRPr="00F076D7" w14:paraId="6E3D45D1" w14:textId="77777777" w:rsidTr="00A83D07">
        <w:trPr>
          <w:cantSplit/>
        </w:trPr>
        <w:tc>
          <w:tcPr>
            <w:tcW w:w="1812" w:type="dxa"/>
          </w:tcPr>
          <w:p w14:paraId="5E2EE082" w14:textId="77777777" w:rsidR="00767EC2" w:rsidRPr="00F076D7" w:rsidRDefault="00767EC2" w:rsidP="00A83D07">
            <w:pPr>
              <w:autoSpaceDE w:val="0"/>
              <w:autoSpaceDN w:val="0"/>
              <w:adjustRightInd w:val="0"/>
              <w:rPr>
                <w:rFonts w:eastAsiaTheme="minorEastAsia"/>
                <w:sz w:val="16"/>
                <w:szCs w:val="16"/>
                <w:highlight w:val="cyan"/>
                <w:lang w:eastAsia="ko-KR"/>
              </w:rPr>
            </w:pPr>
            <w:r w:rsidRPr="00F076D7">
              <w:rPr>
                <w:rFonts w:eastAsiaTheme="minorEastAsia"/>
                <w:sz w:val="16"/>
                <w:szCs w:val="16"/>
                <w:lang w:eastAsia="ko-KR"/>
              </w:rPr>
              <w:t>Atelier régional sur les enjeux émergents du droit d’auteur et des droits connexes</w:t>
            </w:r>
          </w:p>
        </w:tc>
        <w:tc>
          <w:tcPr>
            <w:tcW w:w="1101" w:type="dxa"/>
            <w:shd w:val="clear" w:color="auto" w:fill="auto"/>
            <w:tcMar>
              <w:top w:w="57" w:type="dxa"/>
            </w:tcMar>
          </w:tcPr>
          <w:p w14:paraId="4767D5E2" w14:textId="77777777" w:rsidR="00767EC2" w:rsidRPr="00F076D7" w:rsidRDefault="00767EC2" w:rsidP="00A83D07">
            <w:pPr>
              <w:autoSpaceDE w:val="0"/>
              <w:autoSpaceDN w:val="0"/>
              <w:adjustRightInd w:val="0"/>
              <w:rPr>
                <w:sz w:val="16"/>
                <w:szCs w:val="16"/>
              </w:rPr>
            </w:pPr>
            <w:r w:rsidRPr="00F076D7">
              <w:rPr>
                <w:sz w:val="16"/>
                <w:szCs w:val="16"/>
              </w:rPr>
              <w:t>23 – 25 mai 2016</w:t>
            </w:r>
          </w:p>
        </w:tc>
        <w:tc>
          <w:tcPr>
            <w:tcW w:w="1920" w:type="dxa"/>
            <w:gridSpan w:val="2"/>
            <w:shd w:val="clear" w:color="auto" w:fill="auto"/>
            <w:tcMar>
              <w:top w:w="57" w:type="dxa"/>
            </w:tcMar>
          </w:tcPr>
          <w:p w14:paraId="75852633" w14:textId="77777777" w:rsidR="00767EC2" w:rsidRPr="00F076D7" w:rsidRDefault="00767EC2" w:rsidP="00A83D07">
            <w:pPr>
              <w:autoSpaceDE w:val="0"/>
              <w:autoSpaceDN w:val="0"/>
              <w:adjustRightInd w:val="0"/>
              <w:rPr>
                <w:sz w:val="16"/>
                <w:szCs w:val="16"/>
              </w:rPr>
            </w:pPr>
            <w:r w:rsidRPr="00F076D7">
              <w:rPr>
                <w:sz w:val="16"/>
                <w:szCs w:val="16"/>
              </w:rPr>
              <w:t>Chine/ 14 participants des pays suivants : Bangladesh, Bhoutan, Cambodge, Chine, Indonésie, Malaisie, Mongolie, Népal, Pakistan, Philippines, Sri Lanka, Viet Nam et 70 participants locaux</w:t>
            </w:r>
          </w:p>
        </w:tc>
        <w:tc>
          <w:tcPr>
            <w:tcW w:w="4239" w:type="dxa"/>
            <w:shd w:val="clear" w:color="auto" w:fill="FFFFFF"/>
            <w:tcMar>
              <w:top w:w="57" w:type="dxa"/>
            </w:tcMar>
          </w:tcPr>
          <w:p w14:paraId="10177056" w14:textId="77777777" w:rsidR="00767EC2" w:rsidRPr="00F076D7" w:rsidRDefault="00767EC2" w:rsidP="00A83D07">
            <w:pPr>
              <w:rPr>
                <w:sz w:val="16"/>
                <w:szCs w:val="16"/>
                <w:lang w:eastAsia="ko-KR"/>
              </w:rPr>
            </w:pPr>
            <w:r w:rsidRPr="00F076D7">
              <w:rPr>
                <w:rFonts w:eastAsiaTheme="minorEastAsia"/>
                <w:sz w:val="16"/>
                <w:szCs w:val="16"/>
                <w:lang w:eastAsia="ko-KR"/>
              </w:rPr>
              <w:t>i) Permettre aux fonctionnaires chargés du droit d’auteur en Asie et dans le Pacifique de partager des informations sur les difficultés, les enjeux et les évolutions récentes dans le domaine du droit d’auteur et des droits connexes aux niveaux national et international, mettre à jour leurs connaissances;  ii) procéder à un échange de points de vue sur les difficultés et les enjeux;  iii) débattre des moyens qui permettraient d’améliorer encore le système du droit d’auteur au niveau des pays.</w:t>
            </w:r>
          </w:p>
        </w:tc>
      </w:tr>
      <w:tr w:rsidR="00767EC2" w:rsidRPr="00F076D7" w14:paraId="504A6A78" w14:textId="77777777" w:rsidTr="00A83D07">
        <w:trPr>
          <w:cantSplit/>
        </w:trPr>
        <w:tc>
          <w:tcPr>
            <w:tcW w:w="1812" w:type="dxa"/>
          </w:tcPr>
          <w:p w14:paraId="3FAC5411" w14:textId="77777777" w:rsidR="00767EC2" w:rsidRPr="00F076D7" w:rsidRDefault="00767EC2" w:rsidP="00A83D07">
            <w:pPr>
              <w:autoSpaceDE w:val="0"/>
              <w:autoSpaceDN w:val="0"/>
              <w:adjustRightInd w:val="0"/>
              <w:rPr>
                <w:sz w:val="16"/>
                <w:szCs w:val="16"/>
              </w:rPr>
            </w:pPr>
            <w:r w:rsidRPr="00F076D7">
              <w:rPr>
                <w:sz w:val="16"/>
                <w:szCs w:val="16"/>
              </w:rPr>
              <w:t xml:space="preserve">Atelier </w:t>
            </w:r>
            <w:proofErr w:type="spellStart"/>
            <w:r w:rsidRPr="00F076D7">
              <w:rPr>
                <w:sz w:val="16"/>
                <w:szCs w:val="16"/>
              </w:rPr>
              <w:t>sous</w:t>
            </w:r>
            <w:r w:rsidRPr="00F076D7">
              <w:rPr>
                <w:sz w:val="16"/>
                <w:szCs w:val="16"/>
              </w:rPr>
              <w:noBreakHyphen/>
              <w:t>régional</w:t>
            </w:r>
            <w:proofErr w:type="spellEnd"/>
            <w:r w:rsidRPr="00F076D7">
              <w:rPr>
                <w:sz w:val="16"/>
                <w:szCs w:val="16"/>
              </w:rPr>
              <w:t xml:space="preserve"> sur la coopération en matière de droit d’auteur et de droits connexes</w:t>
            </w:r>
          </w:p>
        </w:tc>
        <w:tc>
          <w:tcPr>
            <w:tcW w:w="1101" w:type="dxa"/>
            <w:shd w:val="clear" w:color="auto" w:fill="auto"/>
            <w:tcMar>
              <w:top w:w="57" w:type="dxa"/>
            </w:tcMar>
          </w:tcPr>
          <w:p w14:paraId="5121F4A7" w14:textId="77777777" w:rsidR="00767EC2" w:rsidRPr="00F076D7" w:rsidRDefault="00767EC2" w:rsidP="00A83D07">
            <w:pPr>
              <w:autoSpaceDE w:val="0"/>
              <w:autoSpaceDN w:val="0"/>
              <w:adjustRightInd w:val="0"/>
              <w:rPr>
                <w:sz w:val="16"/>
                <w:szCs w:val="16"/>
              </w:rPr>
            </w:pPr>
            <w:r w:rsidRPr="00F076D7">
              <w:rPr>
                <w:sz w:val="16"/>
                <w:szCs w:val="16"/>
              </w:rPr>
              <w:t>28 – 30 juin 2016</w:t>
            </w:r>
          </w:p>
        </w:tc>
        <w:tc>
          <w:tcPr>
            <w:tcW w:w="1920" w:type="dxa"/>
            <w:gridSpan w:val="2"/>
            <w:shd w:val="clear" w:color="auto" w:fill="auto"/>
            <w:tcMar>
              <w:top w:w="57" w:type="dxa"/>
            </w:tcMar>
          </w:tcPr>
          <w:p w14:paraId="1EB39AC3" w14:textId="77777777" w:rsidR="00767EC2" w:rsidRPr="00F076D7" w:rsidRDefault="00767EC2" w:rsidP="00A83D07">
            <w:pPr>
              <w:autoSpaceDE w:val="0"/>
              <w:autoSpaceDN w:val="0"/>
              <w:adjustRightInd w:val="0"/>
              <w:rPr>
                <w:sz w:val="16"/>
                <w:szCs w:val="16"/>
              </w:rPr>
            </w:pPr>
            <w:r w:rsidRPr="00F076D7">
              <w:rPr>
                <w:sz w:val="16"/>
                <w:szCs w:val="16"/>
              </w:rPr>
              <w:t>Fédération de Russie/ 11 participants des pays suivants : Chine, Mongolie, République de Corée, et plusieurs participants locaux</w:t>
            </w:r>
          </w:p>
        </w:tc>
        <w:tc>
          <w:tcPr>
            <w:tcW w:w="4239" w:type="dxa"/>
            <w:shd w:val="clear" w:color="auto" w:fill="FFFFFF"/>
            <w:tcMar>
              <w:top w:w="57" w:type="dxa"/>
            </w:tcMar>
          </w:tcPr>
          <w:p w14:paraId="6B44FA7C" w14:textId="77777777" w:rsidR="00767EC2" w:rsidRPr="00F076D7" w:rsidRDefault="00767EC2" w:rsidP="00A83D07">
            <w:pPr>
              <w:rPr>
                <w:sz w:val="16"/>
                <w:szCs w:val="16"/>
                <w:lang w:eastAsia="ko-KR"/>
              </w:rPr>
            </w:pPr>
            <w:r w:rsidRPr="00F076D7">
              <w:rPr>
                <w:sz w:val="16"/>
                <w:szCs w:val="16"/>
                <w:lang w:eastAsia="ko-KR"/>
              </w:rPr>
              <w:t xml:space="preserve">i) Partager des informations et des données d’expérience entre pays participants en ce qui concerne la mise en place du système de droit d’auteur;  et ii) chercher d’autres possibilités de renforcement de la coopération entre ces pays dans le domaine du droit d’auteur et des droits connexes.  </w:t>
            </w:r>
          </w:p>
        </w:tc>
      </w:tr>
      <w:tr w:rsidR="00767EC2" w:rsidRPr="00F076D7" w14:paraId="6CBDC83B" w14:textId="77777777" w:rsidTr="00A83D07">
        <w:trPr>
          <w:cantSplit/>
        </w:trPr>
        <w:tc>
          <w:tcPr>
            <w:tcW w:w="1812" w:type="dxa"/>
          </w:tcPr>
          <w:p w14:paraId="51E36E5C" w14:textId="77777777" w:rsidR="00767EC2" w:rsidRPr="00F076D7" w:rsidRDefault="00767EC2" w:rsidP="00A83D07">
            <w:pPr>
              <w:autoSpaceDE w:val="0"/>
              <w:autoSpaceDN w:val="0"/>
              <w:adjustRightInd w:val="0"/>
              <w:rPr>
                <w:sz w:val="16"/>
                <w:szCs w:val="16"/>
              </w:rPr>
            </w:pPr>
            <w:r w:rsidRPr="00F076D7">
              <w:rPr>
                <w:sz w:val="16"/>
                <w:szCs w:val="16"/>
              </w:rPr>
              <w:t>Visite d’étude à la Commission du droit d’auteur de Corée</w:t>
            </w:r>
          </w:p>
        </w:tc>
        <w:tc>
          <w:tcPr>
            <w:tcW w:w="1101" w:type="dxa"/>
            <w:shd w:val="clear" w:color="auto" w:fill="auto"/>
            <w:tcMar>
              <w:top w:w="57" w:type="dxa"/>
            </w:tcMar>
          </w:tcPr>
          <w:p w14:paraId="1D0DA76D" w14:textId="77777777" w:rsidR="00767EC2" w:rsidRPr="00F076D7" w:rsidRDefault="00767EC2" w:rsidP="00A83D07">
            <w:pPr>
              <w:autoSpaceDE w:val="0"/>
              <w:autoSpaceDN w:val="0"/>
              <w:adjustRightInd w:val="0"/>
              <w:rPr>
                <w:sz w:val="16"/>
                <w:szCs w:val="16"/>
              </w:rPr>
            </w:pPr>
            <w:r w:rsidRPr="00F076D7">
              <w:rPr>
                <w:sz w:val="16"/>
                <w:szCs w:val="16"/>
              </w:rPr>
              <w:t>17 – 20 octobre 2016</w:t>
            </w:r>
          </w:p>
        </w:tc>
        <w:tc>
          <w:tcPr>
            <w:tcW w:w="1920" w:type="dxa"/>
            <w:gridSpan w:val="2"/>
            <w:shd w:val="clear" w:color="auto" w:fill="auto"/>
            <w:tcMar>
              <w:top w:w="57" w:type="dxa"/>
            </w:tcMar>
          </w:tcPr>
          <w:p w14:paraId="2FDCB892" w14:textId="77777777" w:rsidR="00767EC2" w:rsidRPr="00F076D7" w:rsidRDefault="00767EC2" w:rsidP="00A83D07">
            <w:pPr>
              <w:autoSpaceDE w:val="0"/>
              <w:autoSpaceDN w:val="0"/>
              <w:adjustRightInd w:val="0"/>
              <w:rPr>
                <w:sz w:val="16"/>
                <w:szCs w:val="16"/>
              </w:rPr>
            </w:pPr>
            <w:r w:rsidRPr="00F076D7">
              <w:rPr>
                <w:sz w:val="16"/>
                <w:szCs w:val="16"/>
              </w:rPr>
              <w:t>République de Corée / 10 participants des pays suivants : Bhoutan, Colombie, Palestine, Indonésie, Iran (République islamique d’), Maldives, Nicaragua, République</w:t>
            </w:r>
            <w:r w:rsidRPr="00F076D7">
              <w:rPr>
                <w:sz w:val="16"/>
                <w:szCs w:val="16"/>
              </w:rPr>
              <w:noBreakHyphen/>
              <w:t>Unie de Tanzanie</w:t>
            </w:r>
            <w:r w:rsidRPr="00F076D7">
              <w:rPr>
                <w:rFonts w:eastAsiaTheme="minorHAnsi"/>
                <w:sz w:val="16"/>
                <w:szCs w:val="16"/>
              </w:rPr>
              <w:t xml:space="preserve">, </w:t>
            </w:r>
            <w:r w:rsidRPr="00F076D7">
              <w:rPr>
                <w:sz w:val="16"/>
                <w:szCs w:val="16"/>
              </w:rPr>
              <w:t>Sainte</w:t>
            </w:r>
            <w:r w:rsidRPr="00F076D7">
              <w:rPr>
                <w:sz w:val="16"/>
                <w:szCs w:val="16"/>
              </w:rPr>
              <w:noBreakHyphen/>
              <w:t>Lucie, Thaïlande</w:t>
            </w:r>
          </w:p>
        </w:tc>
        <w:tc>
          <w:tcPr>
            <w:tcW w:w="4239" w:type="dxa"/>
            <w:shd w:val="clear" w:color="auto" w:fill="FFFFFF"/>
            <w:tcMar>
              <w:top w:w="57" w:type="dxa"/>
            </w:tcMar>
          </w:tcPr>
          <w:p w14:paraId="41A186D1" w14:textId="77777777" w:rsidR="00767EC2" w:rsidRPr="00F076D7" w:rsidRDefault="00767EC2" w:rsidP="00A83D07">
            <w:pPr>
              <w:rPr>
                <w:sz w:val="16"/>
                <w:szCs w:val="16"/>
              </w:rPr>
            </w:pPr>
            <w:r w:rsidRPr="00F076D7">
              <w:rPr>
                <w:sz w:val="16"/>
                <w:szCs w:val="16"/>
                <w:lang w:eastAsia="ko-KR"/>
              </w:rPr>
              <w:t xml:space="preserve">i) Échanger sur les pratiques et l’expérience de la République de Corée dans l’administration du droit d’auteur et des droits connexes;  ii) renforcer leur capacité à formuler des politiques sur le droit d’auteur;  iii) moderniser les cadres législatifs et administratifs;  et améliorer le fonctionnement des organismes de gestion du droit d’auteur de leurs pays respectifs. </w:t>
            </w:r>
          </w:p>
        </w:tc>
      </w:tr>
    </w:tbl>
    <w:p w14:paraId="47B76423" w14:textId="77777777" w:rsidR="00767EC2" w:rsidRPr="00F076D7" w:rsidRDefault="00767EC2" w:rsidP="00767EC2">
      <w:pPr>
        <w:keepNext/>
        <w:keepLines/>
        <w:rPr>
          <w:b/>
          <w:sz w:val="20"/>
        </w:rPr>
      </w:pPr>
    </w:p>
    <w:p w14:paraId="61897159" w14:textId="77777777" w:rsidR="00767EC2" w:rsidRPr="00F076D7" w:rsidRDefault="00767EC2" w:rsidP="00767EC2">
      <w:pPr>
        <w:keepNext/>
        <w:keepLines/>
        <w:rPr>
          <w:b/>
          <w:sz w:val="20"/>
        </w:rPr>
      </w:pPr>
    </w:p>
    <w:p w14:paraId="70CE4CFA" w14:textId="77777777" w:rsidR="00767EC2" w:rsidRPr="00F076D7" w:rsidRDefault="00767EC2" w:rsidP="00767EC2">
      <w:pPr>
        <w:rPr>
          <w:b/>
          <w:bCs/>
          <w:sz w:val="20"/>
        </w:rPr>
      </w:pPr>
      <w:r w:rsidRPr="00F076D7">
        <w:rPr>
          <w:b/>
          <w:bCs/>
          <w:sz w:val="20"/>
        </w:rPr>
        <w:t>RÉPUBLIQUE DE CORÉE/DROIT D’AUTEUR – Contributions des donateurs et dépenses en 2016</w:t>
      </w:r>
    </w:p>
    <w:p w14:paraId="356C175F" w14:textId="77777777" w:rsidR="00767EC2" w:rsidRPr="00F076D7" w:rsidRDefault="00767EC2" w:rsidP="00767EC2">
      <w:pPr>
        <w:rPr>
          <w:b/>
          <w:bCs/>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080D8FB3" w14:textId="77777777" w:rsidTr="00A83D07">
        <w:trPr>
          <w:cantSplit/>
        </w:trPr>
        <w:tc>
          <w:tcPr>
            <w:tcW w:w="1814" w:type="dxa"/>
            <w:tcBorders>
              <w:top w:val="nil"/>
              <w:left w:val="nil"/>
              <w:bottom w:val="nil"/>
              <w:right w:val="nil"/>
            </w:tcBorders>
            <w:shd w:val="clear" w:color="000000" w:fill="C5D9F1"/>
            <w:vAlign w:val="center"/>
            <w:hideMark/>
          </w:tcPr>
          <w:p w14:paraId="0EC9576E"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5D2BC81D"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73A8E05E"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30B45C34"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1241F981"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2809DBA9" w14:textId="77777777" w:rsidTr="00A83D07">
        <w:trPr>
          <w:cantSplit/>
        </w:trPr>
        <w:tc>
          <w:tcPr>
            <w:tcW w:w="1814" w:type="dxa"/>
            <w:tcBorders>
              <w:top w:val="nil"/>
              <w:left w:val="nil"/>
              <w:bottom w:val="nil"/>
              <w:right w:val="nil"/>
            </w:tcBorders>
            <w:shd w:val="clear" w:color="auto" w:fill="auto"/>
            <w:noWrap/>
            <w:vAlign w:val="bottom"/>
            <w:hideMark/>
          </w:tcPr>
          <w:p w14:paraId="0B4E8499" w14:textId="77777777" w:rsidR="00767EC2" w:rsidRPr="00F076D7" w:rsidRDefault="00767EC2" w:rsidP="00A83D07">
            <w:pPr>
              <w:jc w:val="center"/>
              <w:rPr>
                <w:sz w:val="16"/>
                <w:szCs w:val="16"/>
              </w:rPr>
            </w:pPr>
            <w:r w:rsidRPr="00F076D7">
              <w:rPr>
                <w:sz w:val="16"/>
                <w:szCs w:val="16"/>
              </w:rPr>
              <w:t xml:space="preserve">529 652 </w:t>
            </w:r>
          </w:p>
        </w:tc>
        <w:tc>
          <w:tcPr>
            <w:tcW w:w="1814" w:type="dxa"/>
            <w:tcBorders>
              <w:top w:val="nil"/>
              <w:left w:val="nil"/>
              <w:bottom w:val="nil"/>
              <w:right w:val="nil"/>
            </w:tcBorders>
            <w:shd w:val="clear" w:color="auto" w:fill="auto"/>
            <w:noWrap/>
            <w:vAlign w:val="bottom"/>
            <w:hideMark/>
          </w:tcPr>
          <w:p w14:paraId="5E418865" w14:textId="77777777" w:rsidR="00767EC2" w:rsidRPr="00F076D7" w:rsidRDefault="00767EC2" w:rsidP="00A83D07">
            <w:pPr>
              <w:jc w:val="center"/>
              <w:rPr>
                <w:sz w:val="16"/>
                <w:szCs w:val="16"/>
              </w:rPr>
            </w:pPr>
            <w:r w:rsidRPr="00F076D7">
              <w:rPr>
                <w:sz w:val="16"/>
                <w:szCs w:val="16"/>
              </w:rPr>
              <w:t xml:space="preserve">336 852 </w:t>
            </w:r>
          </w:p>
        </w:tc>
        <w:tc>
          <w:tcPr>
            <w:tcW w:w="1815" w:type="dxa"/>
            <w:tcBorders>
              <w:top w:val="nil"/>
              <w:left w:val="nil"/>
              <w:bottom w:val="nil"/>
              <w:right w:val="nil"/>
            </w:tcBorders>
            <w:shd w:val="clear" w:color="auto" w:fill="auto"/>
            <w:noWrap/>
            <w:vAlign w:val="bottom"/>
            <w:hideMark/>
          </w:tcPr>
          <w:p w14:paraId="131A67FB" w14:textId="77777777" w:rsidR="00767EC2" w:rsidRPr="00F076D7" w:rsidRDefault="00767EC2" w:rsidP="00A83D07">
            <w:pPr>
              <w:jc w:val="center"/>
              <w:rPr>
                <w:sz w:val="16"/>
                <w:szCs w:val="16"/>
              </w:rPr>
            </w:pPr>
            <w:r w:rsidRPr="00F076D7">
              <w:rPr>
                <w:sz w:val="16"/>
                <w:szCs w:val="16"/>
              </w:rPr>
              <w:t xml:space="preserve">362 837 </w:t>
            </w:r>
          </w:p>
        </w:tc>
        <w:tc>
          <w:tcPr>
            <w:tcW w:w="1814" w:type="dxa"/>
            <w:tcBorders>
              <w:top w:val="nil"/>
              <w:left w:val="nil"/>
              <w:bottom w:val="nil"/>
              <w:right w:val="nil"/>
            </w:tcBorders>
            <w:shd w:val="clear" w:color="auto" w:fill="auto"/>
            <w:noWrap/>
            <w:vAlign w:val="bottom"/>
            <w:hideMark/>
          </w:tcPr>
          <w:p w14:paraId="7713C120"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4BE4EAA0" w14:textId="77777777" w:rsidR="00767EC2" w:rsidRPr="00F076D7" w:rsidRDefault="00767EC2" w:rsidP="00A83D07">
            <w:pPr>
              <w:jc w:val="center"/>
              <w:rPr>
                <w:sz w:val="16"/>
                <w:szCs w:val="16"/>
              </w:rPr>
            </w:pPr>
            <w:r w:rsidRPr="00F076D7">
              <w:rPr>
                <w:sz w:val="16"/>
                <w:szCs w:val="16"/>
              </w:rPr>
              <w:t xml:space="preserve">503 667 </w:t>
            </w:r>
          </w:p>
        </w:tc>
      </w:tr>
    </w:tbl>
    <w:p w14:paraId="1D3CAC93" w14:textId="77777777" w:rsidR="00767EC2" w:rsidRPr="00F076D7" w:rsidRDefault="00767EC2" w:rsidP="00767EC2">
      <w:pPr>
        <w:rPr>
          <w:rFonts w:asciiTheme="minorBidi" w:eastAsiaTheme="minorHAnsi" w:hAnsiTheme="minorBidi" w:cstheme="minorBidi"/>
          <w:b/>
          <w:sz w:val="20"/>
        </w:rPr>
      </w:pPr>
    </w:p>
    <w:p w14:paraId="3BB55680" w14:textId="77777777" w:rsidR="00767EC2" w:rsidRPr="00F076D7" w:rsidRDefault="00767EC2" w:rsidP="00767EC2">
      <w:pPr>
        <w:rPr>
          <w:rFonts w:asciiTheme="minorBidi" w:eastAsiaTheme="minorHAnsi" w:hAnsiTheme="minorBidi" w:cstheme="minorBidi"/>
          <w:b/>
          <w:sz w:val="20"/>
        </w:rPr>
      </w:pPr>
    </w:p>
    <w:p w14:paraId="36C430D6" w14:textId="77777777" w:rsidR="00767EC2" w:rsidRPr="00F076D7" w:rsidRDefault="00767EC2" w:rsidP="00767EC2">
      <w:pPr>
        <w:keepNext/>
        <w:keepLines/>
        <w:rPr>
          <w:rFonts w:asciiTheme="minorBidi" w:eastAsiaTheme="minorHAnsi" w:hAnsiTheme="minorBidi" w:cstheme="minorBidi"/>
          <w:b/>
          <w:sz w:val="20"/>
        </w:rPr>
      </w:pPr>
      <w:r w:rsidRPr="00F076D7">
        <w:rPr>
          <w:rFonts w:asciiTheme="minorBidi" w:eastAsiaTheme="minorHAnsi" w:hAnsiTheme="minorBidi" w:cstheme="minorBidi"/>
          <w:b/>
          <w:sz w:val="20"/>
        </w:rPr>
        <w:t>RÉPUBLIQUE DE CORÉE (FORMATION) – Bourses sur la propriété intellectuelle (académie)</w:t>
      </w:r>
    </w:p>
    <w:p w14:paraId="1F924E65" w14:textId="77777777" w:rsidR="00767EC2" w:rsidRPr="00F076D7" w:rsidRDefault="00767EC2" w:rsidP="00767EC2">
      <w:pPr>
        <w:keepNext/>
        <w:keepLines/>
        <w:rPr>
          <w:rFonts w:asciiTheme="minorBidi" w:eastAsiaTheme="minorHAnsi" w:hAnsiTheme="minorBidi" w:cstheme="minorBidi"/>
          <w:b/>
          <w:sz w:val="20"/>
        </w:rPr>
      </w:pPr>
    </w:p>
    <w:tbl>
      <w:tblPr>
        <w:tblW w:w="4884" w:type="pct"/>
        <w:tblCellMar>
          <w:top w:w="57" w:type="dxa"/>
          <w:bottom w:w="57" w:type="dxa"/>
        </w:tblCellMar>
        <w:tblLook w:val="0000" w:firstRow="0" w:lastRow="0" w:firstColumn="0" w:lastColumn="0" w:noHBand="0" w:noVBand="0"/>
      </w:tblPr>
      <w:tblGrid>
        <w:gridCol w:w="1789"/>
        <w:gridCol w:w="1188"/>
        <w:gridCol w:w="2176"/>
        <w:gridCol w:w="3919"/>
      </w:tblGrid>
      <w:tr w:rsidR="00767EC2" w:rsidRPr="00F076D7" w14:paraId="1A1DA91C" w14:textId="77777777" w:rsidTr="00A83D07">
        <w:trPr>
          <w:cantSplit/>
        </w:trPr>
        <w:tc>
          <w:tcPr>
            <w:tcW w:w="9072" w:type="dxa"/>
            <w:gridSpan w:val="4"/>
            <w:shd w:val="clear" w:color="auto" w:fill="C6D9F1" w:themeFill="text2" w:themeFillTint="33"/>
            <w:vAlign w:val="center"/>
          </w:tcPr>
          <w:p w14:paraId="4AD64B90" w14:textId="77777777" w:rsidR="00767EC2" w:rsidRPr="00F076D7" w:rsidRDefault="00767EC2" w:rsidP="00A83D07">
            <w:pPr>
              <w:keepNext/>
              <w:keepLines/>
              <w:tabs>
                <w:tab w:val="left" w:pos="1740"/>
              </w:tabs>
              <w:spacing w:line="276" w:lineRule="auto"/>
              <w:rPr>
                <w:rFonts w:eastAsiaTheme="minorHAnsi"/>
                <w:b/>
                <w:bCs/>
                <w:sz w:val="16"/>
                <w:szCs w:val="16"/>
              </w:rPr>
            </w:pPr>
            <w:r w:rsidRPr="00F076D7">
              <w:rPr>
                <w:rFonts w:eastAsiaTheme="minorHAnsi"/>
                <w:b/>
                <w:bCs/>
                <w:sz w:val="16"/>
                <w:szCs w:val="16"/>
              </w:rPr>
              <w:t>RÉSULTAT</w:t>
            </w:r>
            <w:r w:rsidRPr="00F076D7">
              <w:rPr>
                <w:rFonts w:eastAsiaTheme="minorHAnsi"/>
                <w:bCs/>
                <w:sz w:val="16"/>
                <w:szCs w:val="16"/>
              </w:rPr>
              <w:t> </w:t>
            </w:r>
            <w:r>
              <w:rPr>
                <w:rFonts w:eastAsiaTheme="minorHAnsi"/>
                <w:bCs/>
                <w:sz w:val="16"/>
                <w:szCs w:val="16"/>
              </w:rPr>
              <w:t xml:space="preserve">: </w:t>
            </w:r>
            <w:r w:rsidRPr="00F076D7">
              <w:rPr>
                <w:rFonts w:eastAsiaTheme="minorHAnsi"/>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163712ED" w14:textId="77777777" w:rsidTr="00A83D07">
        <w:trPr>
          <w:cantSplit/>
        </w:trPr>
        <w:tc>
          <w:tcPr>
            <w:tcW w:w="1789" w:type="dxa"/>
            <w:vAlign w:val="center"/>
          </w:tcPr>
          <w:p w14:paraId="7EED49D2" w14:textId="77777777" w:rsidR="00767EC2" w:rsidRPr="00F076D7" w:rsidRDefault="00767EC2" w:rsidP="00A83D07">
            <w:pPr>
              <w:spacing w:line="276" w:lineRule="auto"/>
              <w:rPr>
                <w:rFonts w:eastAsiaTheme="minorHAnsi"/>
                <w:b/>
                <w:bCs/>
                <w:sz w:val="16"/>
                <w:szCs w:val="16"/>
              </w:rPr>
            </w:pPr>
            <w:r w:rsidRPr="00F076D7">
              <w:rPr>
                <w:rFonts w:eastAsiaTheme="minorHAnsi"/>
                <w:b/>
                <w:bCs/>
                <w:sz w:val="16"/>
                <w:szCs w:val="16"/>
              </w:rPr>
              <w:t>Activité</w:t>
            </w:r>
          </w:p>
        </w:tc>
        <w:tc>
          <w:tcPr>
            <w:tcW w:w="1188" w:type="dxa"/>
            <w:shd w:val="clear" w:color="auto" w:fill="auto"/>
            <w:tcMar>
              <w:top w:w="57" w:type="dxa"/>
            </w:tcMar>
            <w:vAlign w:val="center"/>
          </w:tcPr>
          <w:p w14:paraId="7035F566" w14:textId="77777777" w:rsidR="00767EC2" w:rsidRPr="00F076D7" w:rsidRDefault="00767EC2" w:rsidP="00A83D07">
            <w:pPr>
              <w:keepNext/>
              <w:keepLines/>
              <w:spacing w:line="276" w:lineRule="auto"/>
              <w:rPr>
                <w:rFonts w:eastAsiaTheme="minorHAnsi"/>
                <w:b/>
                <w:sz w:val="16"/>
                <w:szCs w:val="16"/>
              </w:rPr>
            </w:pPr>
            <w:r w:rsidRPr="00F076D7">
              <w:rPr>
                <w:rFonts w:eastAsiaTheme="minorHAnsi"/>
                <w:b/>
                <w:sz w:val="16"/>
                <w:szCs w:val="16"/>
              </w:rPr>
              <w:t>Date</w:t>
            </w:r>
          </w:p>
        </w:tc>
        <w:tc>
          <w:tcPr>
            <w:tcW w:w="2176" w:type="dxa"/>
            <w:shd w:val="clear" w:color="auto" w:fill="auto"/>
            <w:tcMar>
              <w:top w:w="57" w:type="dxa"/>
            </w:tcMar>
            <w:vAlign w:val="center"/>
          </w:tcPr>
          <w:p w14:paraId="61142A7C" w14:textId="77777777" w:rsidR="00767EC2" w:rsidRPr="00F076D7" w:rsidRDefault="00767EC2" w:rsidP="00A83D07">
            <w:pPr>
              <w:keepNext/>
              <w:keepLines/>
              <w:spacing w:line="276" w:lineRule="auto"/>
              <w:rPr>
                <w:rFonts w:eastAsiaTheme="minorHAnsi"/>
                <w:b/>
                <w:sz w:val="16"/>
                <w:szCs w:val="16"/>
              </w:rPr>
            </w:pPr>
            <w:r w:rsidRPr="00F076D7">
              <w:rPr>
                <w:rFonts w:eastAsiaTheme="minorHAnsi"/>
                <w:b/>
                <w:sz w:val="16"/>
                <w:szCs w:val="16"/>
              </w:rPr>
              <w:t>Pays hôte/ bénéficiaires</w:t>
            </w:r>
          </w:p>
        </w:tc>
        <w:tc>
          <w:tcPr>
            <w:tcW w:w="3919" w:type="dxa"/>
            <w:shd w:val="clear" w:color="auto" w:fill="FFFFFF"/>
            <w:tcMar>
              <w:top w:w="57" w:type="dxa"/>
            </w:tcMar>
            <w:vAlign w:val="center"/>
          </w:tcPr>
          <w:p w14:paraId="5DAECE8E" w14:textId="77777777" w:rsidR="00767EC2" w:rsidRPr="00F076D7" w:rsidRDefault="00767EC2" w:rsidP="00A83D07">
            <w:pPr>
              <w:keepNext/>
              <w:keepLines/>
              <w:spacing w:line="276" w:lineRule="auto"/>
              <w:rPr>
                <w:rFonts w:eastAsiaTheme="minorHAnsi"/>
                <w:b/>
                <w:sz w:val="16"/>
                <w:szCs w:val="16"/>
              </w:rPr>
            </w:pPr>
            <w:r w:rsidRPr="00F076D7">
              <w:rPr>
                <w:rFonts w:eastAsiaTheme="minorHAnsi"/>
                <w:b/>
                <w:sz w:val="16"/>
                <w:szCs w:val="16"/>
              </w:rPr>
              <w:t>Objectif(s)/description(s)</w:t>
            </w:r>
          </w:p>
        </w:tc>
      </w:tr>
      <w:tr w:rsidR="00767EC2" w:rsidRPr="00F076D7" w14:paraId="6FA2FB93" w14:textId="77777777" w:rsidTr="00A83D07">
        <w:trPr>
          <w:cantSplit/>
        </w:trPr>
        <w:tc>
          <w:tcPr>
            <w:tcW w:w="1789" w:type="dxa"/>
            <w:vAlign w:val="center"/>
          </w:tcPr>
          <w:p w14:paraId="59DDD2CE" w14:textId="77777777" w:rsidR="00767EC2" w:rsidRPr="00F076D7" w:rsidRDefault="00767EC2" w:rsidP="00A83D07">
            <w:pPr>
              <w:spacing w:line="276" w:lineRule="auto"/>
              <w:rPr>
                <w:rFonts w:eastAsiaTheme="minorHAnsi"/>
                <w:bCs/>
                <w:sz w:val="16"/>
                <w:szCs w:val="16"/>
              </w:rPr>
            </w:pPr>
            <w:r w:rsidRPr="00F076D7">
              <w:rPr>
                <w:rFonts w:eastAsiaTheme="minorHAnsi"/>
                <w:bCs/>
                <w:sz w:val="16"/>
                <w:szCs w:val="16"/>
              </w:rPr>
              <w:t>Participation au programme de maîtrise en droit de l’OMPI</w:t>
            </w:r>
            <w:r w:rsidRPr="00F076D7">
              <w:rPr>
                <w:rFonts w:eastAsiaTheme="minorHAnsi"/>
                <w:bCs/>
                <w:sz w:val="16"/>
                <w:szCs w:val="16"/>
              </w:rPr>
              <w:noBreakHyphen/>
              <w:t xml:space="preserve">Queensland </w:t>
            </w:r>
            <w:proofErr w:type="spellStart"/>
            <w:r w:rsidRPr="00F076D7">
              <w:rPr>
                <w:rFonts w:eastAsiaTheme="minorHAnsi"/>
                <w:bCs/>
                <w:sz w:val="16"/>
                <w:szCs w:val="16"/>
              </w:rPr>
              <w:t>University</w:t>
            </w:r>
            <w:proofErr w:type="spellEnd"/>
            <w:r w:rsidRPr="00F076D7">
              <w:rPr>
                <w:rFonts w:eastAsiaTheme="minorHAnsi"/>
                <w:bCs/>
                <w:sz w:val="16"/>
                <w:szCs w:val="16"/>
              </w:rPr>
              <w:t xml:space="preserve"> of </w:t>
            </w:r>
            <w:proofErr w:type="spellStart"/>
            <w:r w:rsidRPr="00F076D7">
              <w:rPr>
                <w:rFonts w:eastAsiaTheme="minorHAnsi"/>
                <w:bCs/>
                <w:sz w:val="16"/>
                <w:szCs w:val="16"/>
              </w:rPr>
              <w:t>Technology</w:t>
            </w:r>
            <w:proofErr w:type="spellEnd"/>
            <w:r w:rsidRPr="00F076D7">
              <w:rPr>
                <w:rFonts w:eastAsiaTheme="minorHAnsi"/>
                <w:bCs/>
                <w:sz w:val="16"/>
                <w:szCs w:val="16"/>
              </w:rPr>
              <w:t xml:space="preserve"> (QUT) </w:t>
            </w:r>
          </w:p>
        </w:tc>
        <w:tc>
          <w:tcPr>
            <w:tcW w:w="1188" w:type="dxa"/>
            <w:shd w:val="clear" w:color="auto" w:fill="auto"/>
            <w:tcMar>
              <w:top w:w="57" w:type="dxa"/>
            </w:tcMar>
            <w:vAlign w:val="center"/>
          </w:tcPr>
          <w:p w14:paraId="2DED1855" w14:textId="77777777" w:rsidR="00767EC2" w:rsidRPr="00F076D7" w:rsidRDefault="00767EC2" w:rsidP="00A83D07">
            <w:pPr>
              <w:keepNext/>
              <w:keepLines/>
              <w:spacing w:line="276" w:lineRule="auto"/>
              <w:rPr>
                <w:rFonts w:eastAsiaTheme="minorHAnsi"/>
                <w:bCs/>
                <w:sz w:val="16"/>
                <w:szCs w:val="16"/>
                <w:lang w:eastAsia="ko-KR"/>
              </w:rPr>
            </w:pPr>
            <w:r w:rsidRPr="00F076D7">
              <w:rPr>
                <w:rFonts w:eastAsiaTheme="minorHAnsi"/>
                <w:bCs/>
                <w:sz w:val="16"/>
                <w:szCs w:val="16"/>
                <w:lang w:eastAsia="ko-KR"/>
              </w:rPr>
              <w:t>29 février – 28 octobre 2016</w:t>
            </w:r>
          </w:p>
        </w:tc>
        <w:tc>
          <w:tcPr>
            <w:tcW w:w="2176" w:type="dxa"/>
            <w:shd w:val="clear" w:color="auto" w:fill="auto"/>
            <w:tcMar>
              <w:top w:w="57" w:type="dxa"/>
            </w:tcMar>
            <w:vAlign w:val="center"/>
          </w:tcPr>
          <w:p w14:paraId="7BCB3324" w14:textId="77777777" w:rsidR="00767EC2" w:rsidRPr="00F076D7" w:rsidRDefault="00767EC2" w:rsidP="00A83D07">
            <w:pPr>
              <w:keepNext/>
              <w:keepLines/>
              <w:spacing w:line="276" w:lineRule="auto"/>
              <w:rPr>
                <w:rFonts w:eastAsiaTheme="minorHAnsi"/>
                <w:bCs/>
                <w:sz w:val="16"/>
                <w:szCs w:val="16"/>
                <w:lang w:eastAsia="ko-KR"/>
              </w:rPr>
            </w:pPr>
            <w:r w:rsidRPr="00F076D7">
              <w:rPr>
                <w:rFonts w:eastAsiaTheme="minorHAnsi"/>
                <w:bCs/>
                <w:sz w:val="16"/>
                <w:szCs w:val="16"/>
                <w:lang w:eastAsia="ko-KR"/>
              </w:rPr>
              <w:t xml:space="preserve">Australie/ Bhoutan, Cambodge, Fidji, </w:t>
            </w:r>
            <w:r w:rsidRPr="00F076D7">
              <w:rPr>
                <w:sz w:val="16"/>
                <w:szCs w:val="16"/>
              </w:rPr>
              <w:t>République de Corée</w:t>
            </w:r>
          </w:p>
        </w:tc>
        <w:tc>
          <w:tcPr>
            <w:tcW w:w="3919" w:type="dxa"/>
            <w:shd w:val="clear" w:color="auto" w:fill="FFFFFF"/>
            <w:tcMar>
              <w:top w:w="57" w:type="dxa"/>
            </w:tcMar>
            <w:vAlign w:val="center"/>
          </w:tcPr>
          <w:p w14:paraId="3D75EA1C" w14:textId="77777777" w:rsidR="00767EC2" w:rsidRPr="00F076D7" w:rsidRDefault="00767EC2" w:rsidP="00A83D07">
            <w:pPr>
              <w:keepNext/>
              <w:keepLines/>
              <w:spacing w:line="276" w:lineRule="auto"/>
              <w:rPr>
                <w:sz w:val="16"/>
                <w:szCs w:val="16"/>
              </w:rPr>
            </w:pPr>
            <w:r w:rsidRPr="00F076D7">
              <w:rPr>
                <w:sz w:val="16"/>
                <w:szCs w:val="16"/>
              </w:rPr>
              <w:t>Dispenser un enseignement supérieur aux experts de la propriété intellectuelle, y compris aux agents de l’État, pour renforcer leurs capacités d’administration des droits de propriété intellectuelle, ainsi que pour accroître leur utilisation de la propriété intellectuelle aux fins de promotion de l’innovation, par le biais de la maîtrise en droit de la propriété intellectuelle de l’OMPI</w:t>
            </w:r>
            <w:r w:rsidRPr="00F076D7">
              <w:rPr>
                <w:sz w:val="16"/>
                <w:szCs w:val="16"/>
              </w:rPr>
              <w:noBreakHyphen/>
              <w:t>QUT.</w:t>
            </w:r>
          </w:p>
        </w:tc>
      </w:tr>
      <w:tr w:rsidR="00767EC2" w:rsidRPr="00F076D7" w14:paraId="73C31069" w14:textId="77777777" w:rsidTr="00A83D07">
        <w:trPr>
          <w:cantSplit/>
        </w:trPr>
        <w:tc>
          <w:tcPr>
            <w:tcW w:w="1789" w:type="dxa"/>
            <w:vAlign w:val="center"/>
          </w:tcPr>
          <w:p w14:paraId="5A9A3A93" w14:textId="77777777" w:rsidR="00767EC2" w:rsidRPr="00F076D7" w:rsidRDefault="00767EC2" w:rsidP="00A83D07">
            <w:pPr>
              <w:spacing w:line="276" w:lineRule="auto"/>
              <w:rPr>
                <w:rFonts w:eastAsiaTheme="minorHAnsi"/>
                <w:bCs/>
                <w:sz w:val="16"/>
                <w:szCs w:val="16"/>
                <w:lang w:eastAsia="ko-KR"/>
              </w:rPr>
            </w:pPr>
            <w:r w:rsidRPr="00F076D7">
              <w:rPr>
                <w:rFonts w:eastAsiaTheme="minorHAnsi"/>
                <w:bCs/>
                <w:sz w:val="16"/>
                <w:szCs w:val="16"/>
                <w:lang w:eastAsia="ko-KR"/>
              </w:rPr>
              <w:t>Participation au programme de DPI de l’OMPI</w:t>
            </w:r>
            <w:r w:rsidRPr="00F076D7">
              <w:rPr>
                <w:rFonts w:eastAsiaTheme="minorHAnsi"/>
                <w:bCs/>
                <w:sz w:val="16"/>
                <w:szCs w:val="16"/>
                <w:lang w:eastAsia="ko-KR"/>
              </w:rPr>
              <w:noBreakHyphen/>
              <w:t xml:space="preserve">Seoul National </w:t>
            </w:r>
            <w:proofErr w:type="spellStart"/>
            <w:r w:rsidRPr="00F076D7">
              <w:rPr>
                <w:rFonts w:eastAsiaTheme="minorHAnsi"/>
                <w:bCs/>
                <w:sz w:val="16"/>
                <w:szCs w:val="16"/>
                <w:lang w:eastAsia="ko-KR"/>
              </w:rPr>
              <w:t>University</w:t>
            </w:r>
            <w:proofErr w:type="spellEnd"/>
            <w:r w:rsidRPr="00F076D7">
              <w:rPr>
                <w:rFonts w:eastAsiaTheme="minorHAnsi"/>
                <w:bCs/>
                <w:sz w:val="16"/>
                <w:szCs w:val="16"/>
                <w:lang w:eastAsia="ko-KR"/>
              </w:rPr>
              <w:t xml:space="preserve"> (SNU)</w:t>
            </w:r>
          </w:p>
        </w:tc>
        <w:tc>
          <w:tcPr>
            <w:tcW w:w="1188" w:type="dxa"/>
            <w:shd w:val="clear" w:color="auto" w:fill="auto"/>
            <w:tcMar>
              <w:top w:w="57" w:type="dxa"/>
            </w:tcMar>
            <w:vAlign w:val="center"/>
          </w:tcPr>
          <w:p w14:paraId="69C60320" w14:textId="77777777" w:rsidR="00767EC2" w:rsidRPr="00F076D7" w:rsidRDefault="00767EC2" w:rsidP="00A83D07">
            <w:pPr>
              <w:keepNext/>
              <w:keepLines/>
              <w:spacing w:line="276" w:lineRule="auto"/>
              <w:rPr>
                <w:rFonts w:eastAsiaTheme="minorHAnsi"/>
                <w:bCs/>
                <w:sz w:val="16"/>
                <w:szCs w:val="16"/>
                <w:lang w:eastAsia="ko-KR"/>
              </w:rPr>
            </w:pPr>
            <w:r w:rsidRPr="00F076D7">
              <w:rPr>
                <w:rFonts w:eastAsiaTheme="minorHAnsi"/>
                <w:bCs/>
                <w:sz w:val="16"/>
                <w:szCs w:val="16"/>
                <w:lang w:eastAsia="ko-KR"/>
              </w:rPr>
              <w:t>2 mars – 16 décembre 2016</w:t>
            </w:r>
          </w:p>
        </w:tc>
        <w:tc>
          <w:tcPr>
            <w:tcW w:w="2176" w:type="dxa"/>
            <w:shd w:val="clear" w:color="auto" w:fill="auto"/>
            <w:tcMar>
              <w:top w:w="57" w:type="dxa"/>
            </w:tcMar>
            <w:vAlign w:val="center"/>
          </w:tcPr>
          <w:p w14:paraId="6C72C7C7" w14:textId="77777777" w:rsidR="00767EC2" w:rsidRPr="00F076D7" w:rsidRDefault="00767EC2" w:rsidP="00A83D07">
            <w:pPr>
              <w:keepNext/>
              <w:keepLines/>
              <w:spacing w:line="276" w:lineRule="auto"/>
              <w:rPr>
                <w:rFonts w:eastAsiaTheme="minorHAnsi"/>
                <w:bCs/>
                <w:sz w:val="16"/>
                <w:szCs w:val="16"/>
                <w:lang w:eastAsia="ko-KR"/>
              </w:rPr>
            </w:pPr>
            <w:r w:rsidRPr="00F076D7">
              <w:rPr>
                <w:rFonts w:eastAsiaTheme="minorHAnsi"/>
                <w:bCs/>
                <w:sz w:val="16"/>
                <w:szCs w:val="16"/>
                <w:lang w:eastAsia="ko-KR"/>
              </w:rPr>
              <w:t>République de Corée</w:t>
            </w:r>
          </w:p>
          <w:p w14:paraId="0A66FF61" w14:textId="77777777" w:rsidR="00767EC2" w:rsidRPr="00F076D7" w:rsidRDefault="00767EC2" w:rsidP="00A83D07">
            <w:pPr>
              <w:keepNext/>
              <w:keepLines/>
              <w:spacing w:line="276" w:lineRule="auto"/>
              <w:rPr>
                <w:rFonts w:eastAsiaTheme="minorHAnsi"/>
                <w:bCs/>
                <w:sz w:val="16"/>
                <w:szCs w:val="16"/>
                <w:lang w:eastAsia="ko-KR"/>
              </w:rPr>
            </w:pPr>
            <w:r w:rsidRPr="00F076D7">
              <w:rPr>
                <w:rFonts w:eastAsiaTheme="minorHAnsi"/>
                <w:bCs/>
                <w:sz w:val="16"/>
                <w:szCs w:val="16"/>
                <w:lang w:eastAsia="ko-KR"/>
              </w:rPr>
              <w:t>Inde, Pakistan</w:t>
            </w:r>
          </w:p>
        </w:tc>
        <w:tc>
          <w:tcPr>
            <w:tcW w:w="3919" w:type="dxa"/>
            <w:shd w:val="clear" w:color="auto" w:fill="FFFFFF"/>
            <w:tcMar>
              <w:top w:w="57" w:type="dxa"/>
            </w:tcMar>
            <w:vAlign w:val="center"/>
          </w:tcPr>
          <w:p w14:paraId="2C5FD6E0" w14:textId="77777777" w:rsidR="00767EC2" w:rsidRPr="00F076D7" w:rsidRDefault="00767EC2" w:rsidP="00A83D07">
            <w:pPr>
              <w:keepNext/>
              <w:keepLines/>
              <w:spacing w:line="276" w:lineRule="auto"/>
              <w:rPr>
                <w:sz w:val="16"/>
                <w:szCs w:val="16"/>
              </w:rPr>
            </w:pPr>
            <w:r w:rsidRPr="00F076D7">
              <w:rPr>
                <w:sz w:val="16"/>
                <w:szCs w:val="16"/>
              </w:rPr>
              <w:t>Dispenser un enseignement supérieur aux experts de la propriété intellectuelle, y compris aux agents de l’État, pour renforcer leurs capacités d’administration des droits de propriété intellectuelle, ainsi que pour accroître leur utilisation de la propriété intellectuelle aux fins de promotion de l’innovation, par le biais du programme de DPI de l’OMPI</w:t>
            </w:r>
            <w:r w:rsidRPr="00F076D7">
              <w:rPr>
                <w:sz w:val="16"/>
                <w:szCs w:val="16"/>
              </w:rPr>
              <w:noBreakHyphen/>
              <w:t>SNU.</w:t>
            </w:r>
          </w:p>
        </w:tc>
      </w:tr>
      <w:tr w:rsidR="00767EC2" w:rsidRPr="00F076D7" w14:paraId="3CC34F18" w14:textId="77777777" w:rsidTr="00A83D07">
        <w:trPr>
          <w:cantSplit/>
        </w:trPr>
        <w:tc>
          <w:tcPr>
            <w:tcW w:w="1789" w:type="dxa"/>
            <w:vAlign w:val="center"/>
          </w:tcPr>
          <w:p w14:paraId="1D597F76" w14:textId="77777777" w:rsidR="00767EC2" w:rsidRPr="00F076D7" w:rsidRDefault="00767EC2" w:rsidP="00A83D07">
            <w:pPr>
              <w:spacing w:line="276" w:lineRule="auto"/>
              <w:rPr>
                <w:rFonts w:eastAsiaTheme="minorHAnsi"/>
                <w:bCs/>
                <w:sz w:val="16"/>
                <w:szCs w:val="16"/>
              </w:rPr>
            </w:pPr>
            <w:r w:rsidRPr="00F076D7">
              <w:rPr>
                <w:rFonts w:eastAsiaTheme="minorHAnsi"/>
                <w:bCs/>
                <w:sz w:val="16"/>
                <w:szCs w:val="16"/>
              </w:rPr>
              <w:t>Participation au programme de Cours d’été OMPI</w:t>
            </w:r>
            <w:r w:rsidRPr="00F076D7">
              <w:rPr>
                <w:rFonts w:eastAsiaTheme="minorHAnsi"/>
                <w:bCs/>
                <w:sz w:val="16"/>
                <w:szCs w:val="16"/>
              </w:rPr>
              <w:noBreakHyphen/>
              <w:t>République de Corée</w:t>
            </w:r>
          </w:p>
        </w:tc>
        <w:tc>
          <w:tcPr>
            <w:tcW w:w="1188" w:type="dxa"/>
            <w:shd w:val="clear" w:color="auto" w:fill="auto"/>
            <w:tcMar>
              <w:top w:w="57" w:type="dxa"/>
            </w:tcMar>
            <w:vAlign w:val="center"/>
          </w:tcPr>
          <w:p w14:paraId="0D7B9A54" w14:textId="77777777" w:rsidR="00767EC2" w:rsidRPr="00F076D7" w:rsidRDefault="00767EC2" w:rsidP="00A83D07">
            <w:pPr>
              <w:keepNext/>
              <w:keepLines/>
              <w:spacing w:line="276" w:lineRule="auto"/>
              <w:rPr>
                <w:rFonts w:eastAsiaTheme="minorHAnsi"/>
                <w:bCs/>
                <w:sz w:val="16"/>
                <w:szCs w:val="16"/>
                <w:lang w:eastAsia="ko-KR"/>
              </w:rPr>
            </w:pPr>
            <w:r w:rsidRPr="00F076D7">
              <w:rPr>
                <w:rFonts w:eastAsiaTheme="minorHAnsi"/>
                <w:bCs/>
                <w:sz w:val="16"/>
                <w:szCs w:val="16"/>
                <w:lang w:eastAsia="ko-KR"/>
              </w:rPr>
              <w:t>11 – 22 juillet 2016</w:t>
            </w:r>
          </w:p>
        </w:tc>
        <w:tc>
          <w:tcPr>
            <w:tcW w:w="2176" w:type="dxa"/>
            <w:shd w:val="clear" w:color="auto" w:fill="auto"/>
            <w:tcMar>
              <w:top w:w="57" w:type="dxa"/>
            </w:tcMar>
            <w:vAlign w:val="center"/>
          </w:tcPr>
          <w:p w14:paraId="59DC2E6E" w14:textId="77777777" w:rsidR="00767EC2" w:rsidRPr="00F076D7" w:rsidRDefault="00767EC2" w:rsidP="00A83D07">
            <w:pPr>
              <w:keepNext/>
              <w:keepLines/>
              <w:spacing w:line="276" w:lineRule="auto"/>
              <w:rPr>
                <w:rFonts w:eastAsiaTheme="minorHAnsi"/>
                <w:bCs/>
                <w:sz w:val="16"/>
                <w:szCs w:val="16"/>
                <w:lang w:eastAsia="ko-KR"/>
              </w:rPr>
            </w:pPr>
            <w:r w:rsidRPr="00F076D7">
              <w:rPr>
                <w:sz w:val="16"/>
                <w:szCs w:val="16"/>
              </w:rPr>
              <w:t>République de Corée</w:t>
            </w:r>
            <w:r w:rsidRPr="00F076D7">
              <w:rPr>
                <w:rFonts w:eastAsiaTheme="minorHAnsi"/>
                <w:bCs/>
                <w:sz w:val="16"/>
                <w:szCs w:val="16"/>
                <w:lang w:eastAsia="ko-KR"/>
              </w:rPr>
              <w:t>/ Brésil, Cameroun, Inde, Indonésie, Lesotho, Malawi, Pologne</w:t>
            </w:r>
          </w:p>
        </w:tc>
        <w:tc>
          <w:tcPr>
            <w:tcW w:w="3919" w:type="dxa"/>
            <w:shd w:val="clear" w:color="auto" w:fill="FFFFFF"/>
            <w:tcMar>
              <w:top w:w="57" w:type="dxa"/>
            </w:tcMar>
            <w:vAlign w:val="center"/>
          </w:tcPr>
          <w:p w14:paraId="6EEE085A" w14:textId="77777777" w:rsidR="00767EC2" w:rsidRPr="00F076D7" w:rsidRDefault="00767EC2" w:rsidP="00A83D07">
            <w:pPr>
              <w:keepNext/>
              <w:keepLines/>
              <w:spacing w:line="276" w:lineRule="auto"/>
              <w:rPr>
                <w:rFonts w:eastAsiaTheme="minorEastAsia"/>
                <w:bCs/>
                <w:sz w:val="16"/>
                <w:szCs w:val="16"/>
                <w:lang w:eastAsia="ko-KR"/>
              </w:rPr>
            </w:pPr>
            <w:r w:rsidRPr="00F076D7">
              <w:rPr>
                <w:sz w:val="16"/>
                <w:szCs w:val="16"/>
              </w:rPr>
              <w:t xml:space="preserve">Permettre aux </w:t>
            </w:r>
            <w:r w:rsidRPr="00F076D7">
              <w:rPr>
                <w:rFonts w:eastAsiaTheme="minorHAnsi"/>
                <w:sz w:val="16"/>
                <w:szCs w:val="16"/>
              </w:rPr>
              <w:t xml:space="preserve">étudiants titulaires d’un diplôme du deuxième ou du troisième cycle universitaire </w:t>
            </w:r>
            <w:r w:rsidRPr="00F076D7">
              <w:rPr>
                <w:sz w:val="16"/>
                <w:szCs w:val="16"/>
              </w:rPr>
              <w:t>et aux jeunes cadres d’approfondir leurs connaissances sur chaque domaine de la propriété intellectuelle et sur le rôle du système de la propriété intellectuelle par le biais de conférences, d’études de cas, d’exercices et de discussions de groupe.</w:t>
            </w:r>
          </w:p>
        </w:tc>
      </w:tr>
    </w:tbl>
    <w:p w14:paraId="2BBE22DD" w14:textId="77777777" w:rsidR="00767EC2" w:rsidRPr="00F076D7" w:rsidRDefault="00767EC2" w:rsidP="00767EC2">
      <w:pPr>
        <w:rPr>
          <w:rFonts w:eastAsiaTheme="minorHAnsi"/>
          <w:sz w:val="20"/>
        </w:rPr>
      </w:pPr>
    </w:p>
    <w:p w14:paraId="384C3547" w14:textId="77777777" w:rsidR="00767EC2" w:rsidRPr="00F076D7" w:rsidRDefault="00767EC2" w:rsidP="00767EC2">
      <w:pPr>
        <w:rPr>
          <w:rFonts w:eastAsiaTheme="minorHAnsi"/>
          <w:sz w:val="20"/>
        </w:rPr>
      </w:pPr>
    </w:p>
    <w:p w14:paraId="2E206541" w14:textId="77777777" w:rsidR="004E4A91" w:rsidRDefault="004E4A91">
      <w:pPr>
        <w:rPr>
          <w:rFonts w:eastAsiaTheme="minorHAnsi"/>
          <w:b/>
          <w:sz w:val="20"/>
        </w:rPr>
      </w:pPr>
      <w:r>
        <w:rPr>
          <w:rFonts w:eastAsiaTheme="minorHAnsi"/>
          <w:b/>
          <w:sz w:val="20"/>
        </w:rPr>
        <w:br w:type="page"/>
      </w:r>
    </w:p>
    <w:p w14:paraId="5EA4B916" w14:textId="12B468AD" w:rsidR="00767EC2" w:rsidRPr="00F076D7" w:rsidRDefault="00767EC2" w:rsidP="00767EC2">
      <w:pPr>
        <w:rPr>
          <w:rFonts w:eastAsiaTheme="minorHAnsi"/>
          <w:sz w:val="20"/>
        </w:rPr>
      </w:pPr>
      <w:r w:rsidRPr="00F076D7">
        <w:rPr>
          <w:rFonts w:eastAsiaTheme="minorHAnsi"/>
          <w:b/>
          <w:sz w:val="20"/>
        </w:rPr>
        <w:t>RÉPUBLIQUE DE CORÉE (FORMATION) – Bourses sur la propriété intellectuelle (académie) – Contributions des donateurs et dépenses en 2016</w:t>
      </w:r>
    </w:p>
    <w:p w14:paraId="705D6817" w14:textId="77777777" w:rsidR="00767EC2" w:rsidRPr="00F076D7" w:rsidRDefault="00767EC2" w:rsidP="00767EC2">
      <w:pPr>
        <w:rPr>
          <w:rFonts w:eastAsiaTheme="minorHAnsi"/>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0B60A9C2" w14:textId="77777777" w:rsidTr="00A83D07">
        <w:trPr>
          <w:cantSplit/>
        </w:trPr>
        <w:tc>
          <w:tcPr>
            <w:tcW w:w="1814" w:type="dxa"/>
            <w:tcBorders>
              <w:top w:val="nil"/>
              <w:left w:val="nil"/>
              <w:bottom w:val="nil"/>
              <w:right w:val="nil"/>
            </w:tcBorders>
            <w:shd w:val="clear" w:color="000000" w:fill="C5D9F1"/>
            <w:vAlign w:val="center"/>
            <w:hideMark/>
          </w:tcPr>
          <w:p w14:paraId="4A6F3829"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27CA55D6"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184BBD86"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2CB27BCC"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56440AD6"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4C2D25DF" w14:textId="77777777" w:rsidTr="00A83D07">
        <w:trPr>
          <w:cantSplit/>
        </w:trPr>
        <w:tc>
          <w:tcPr>
            <w:tcW w:w="1814" w:type="dxa"/>
            <w:tcBorders>
              <w:top w:val="nil"/>
              <w:left w:val="nil"/>
              <w:bottom w:val="nil"/>
              <w:right w:val="nil"/>
            </w:tcBorders>
            <w:shd w:val="clear" w:color="auto" w:fill="auto"/>
            <w:noWrap/>
            <w:vAlign w:val="bottom"/>
            <w:hideMark/>
          </w:tcPr>
          <w:p w14:paraId="165D2E2D" w14:textId="77777777" w:rsidR="00767EC2" w:rsidRPr="00F076D7" w:rsidRDefault="00767EC2" w:rsidP="00A83D07">
            <w:pPr>
              <w:jc w:val="center"/>
              <w:rPr>
                <w:sz w:val="16"/>
                <w:szCs w:val="16"/>
              </w:rPr>
            </w:pPr>
            <w:r w:rsidRPr="00F076D7">
              <w:rPr>
                <w:sz w:val="16"/>
                <w:szCs w:val="16"/>
              </w:rPr>
              <w:t>317 318</w:t>
            </w:r>
          </w:p>
        </w:tc>
        <w:tc>
          <w:tcPr>
            <w:tcW w:w="1814" w:type="dxa"/>
            <w:tcBorders>
              <w:top w:val="nil"/>
              <w:left w:val="nil"/>
              <w:bottom w:val="nil"/>
              <w:right w:val="nil"/>
            </w:tcBorders>
            <w:shd w:val="clear" w:color="auto" w:fill="auto"/>
            <w:noWrap/>
            <w:vAlign w:val="bottom"/>
            <w:hideMark/>
          </w:tcPr>
          <w:p w14:paraId="0FC13EC1" w14:textId="77777777" w:rsidR="00767EC2" w:rsidRPr="00F076D7" w:rsidRDefault="00767EC2" w:rsidP="00A83D07">
            <w:pPr>
              <w:jc w:val="center"/>
              <w:rPr>
                <w:sz w:val="16"/>
                <w:szCs w:val="16"/>
              </w:rPr>
            </w:pPr>
            <w:r w:rsidRPr="00F076D7">
              <w:rPr>
                <w:sz w:val="16"/>
                <w:szCs w:val="16"/>
              </w:rPr>
              <w:t>334 567</w:t>
            </w:r>
          </w:p>
        </w:tc>
        <w:tc>
          <w:tcPr>
            <w:tcW w:w="1815" w:type="dxa"/>
            <w:tcBorders>
              <w:top w:val="nil"/>
              <w:left w:val="nil"/>
              <w:bottom w:val="nil"/>
              <w:right w:val="nil"/>
            </w:tcBorders>
            <w:shd w:val="clear" w:color="auto" w:fill="auto"/>
            <w:noWrap/>
            <w:vAlign w:val="bottom"/>
            <w:hideMark/>
          </w:tcPr>
          <w:p w14:paraId="039133C1" w14:textId="77777777" w:rsidR="00767EC2" w:rsidRPr="00F076D7" w:rsidRDefault="00767EC2" w:rsidP="00A83D07">
            <w:pPr>
              <w:jc w:val="center"/>
              <w:rPr>
                <w:sz w:val="16"/>
                <w:szCs w:val="16"/>
              </w:rPr>
            </w:pPr>
            <w:r w:rsidRPr="00F076D7">
              <w:rPr>
                <w:sz w:val="16"/>
                <w:szCs w:val="16"/>
              </w:rPr>
              <w:t>148 105</w:t>
            </w:r>
          </w:p>
        </w:tc>
        <w:tc>
          <w:tcPr>
            <w:tcW w:w="1814" w:type="dxa"/>
            <w:tcBorders>
              <w:top w:val="nil"/>
              <w:left w:val="nil"/>
              <w:bottom w:val="nil"/>
              <w:right w:val="nil"/>
            </w:tcBorders>
            <w:shd w:val="clear" w:color="auto" w:fill="auto"/>
            <w:noWrap/>
            <w:vAlign w:val="bottom"/>
            <w:hideMark/>
          </w:tcPr>
          <w:p w14:paraId="747B2B15"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3430B8C5" w14:textId="77777777" w:rsidR="00767EC2" w:rsidRPr="00F076D7" w:rsidRDefault="00767EC2" w:rsidP="00A83D07">
            <w:pPr>
              <w:jc w:val="center"/>
              <w:rPr>
                <w:sz w:val="16"/>
                <w:szCs w:val="16"/>
              </w:rPr>
            </w:pPr>
            <w:r w:rsidRPr="00F076D7">
              <w:rPr>
                <w:sz w:val="16"/>
                <w:szCs w:val="16"/>
              </w:rPr>
              <w:t>503 781</w:t>
            </w:r>
          </w:p>
        </w:tc>
      </w:tr>
    </w:tbl>
    <w:p w14:paraId="7B12C0B6" w14:textId="77777777" w:rsidR="00767EC2" w:rsidRPr="00F076D7" w:rsidRDefault="00767EC2" w:rsidP="00767EC2">
      <w:pPr>
        <w:rPr>
          <w:b/>
          <w:sz w:val="20"/>
        </w:rPr>
      </w:pPr>
    </w:p>
    <w:p w14:paraId="19780B1E" w14:textId="77777777" w:rsidR="00767EC2" w:rsidRPr="00F076D7" w:rsidRDefault="00767EC2" w:rsidP="00767EC2">
      <w:pPr>
        <w:rPr>
          <w:b/>
          <w:sz w:val="20"/>
        </w:rPr>
      </w:pPr>
    </w:p>
    <w:p w14:paraId="2D4F4143" w14:textId="77777777" w:rsidR="00767EC2" w:rsidRPr="00F076D7" w:rsidRDefault="00767EC2" w:rsidP="00767EC2">
      <w:pPr>
        <w:keepNext/>
        <w:keepLines/>
        <w:rPr>
          <w:b/>
          <w:sz w:val="20"/>
        </w:rPr>
      </w:pPr>
      <w:r w:rsidRPr="00F076D7">
        <w:rPr>
          <w:b/>
          <w:sz w:val="20"/>
        </w:rPr>
        <w:t>RÉPUBLIQUE DE CORÉE/PROMOTION DU RESPECT DE LA PROPRIÉTÉ INTELLECTUELLE</w:t>
      </w:r>
    </w:p>
    <w:p w14:paraId="54876621" w14:textId="77777777" w:rsidR="00767EC2" w:rsidRPr="00F076D7" w:rsidRDefault="00767EC2" w:rsidP="00767EC2">
      <w:pPr>
        <w:keepNext/>
        <w:keepLines/>
        <w:rPr>
          <w:b/>
          <w:sz w:val="20"/>
        </w:rPr>
      </w:pPr>
    </w:p>
    <w:tbl>
      <w:tblPr>
        <w:tblW w:w="4884" w:type="pct"/>
        <w:tblCellMar>
          <w:top w:w="57" w:type="dxa"/>
          <w:bottom w:w="57" w:type="dxa"/>
        </w:tblCellMar>
        <w:tblLook w:val="0000" w:firstRow="0" w:lastRow="0" w:firstColumn="0" w:lastColumn="0" w:noHBand="0" w:noVBand="0"/>
      </w:tblPr>
      <w:tblGrid>
        <w:gridCol w:w="1788"/>
        <w:gridCol w:w="1189"/>
        <w:gridCol w:w="1702"/>
        <w:gridCol w:w="4393"/>
      </w:tblGrid>
      <w:tr w:rsidR="00767EC2" w:rsidRPr="00F076D7" w14:paraId="049E9D77" w14:textId="77777777" w:rsidTr="00A83D07">
        <w:trPr>
          <w:cantSplit/>
        </w:trPr>
        <w:tc>
          <w:tcPr>
            <w:tcW w:w="9072" w:type="dxa"/>
            <w:gridSpan w:val="4"/>
            <w:shd w:val="clear" w:color="auto" w:fill="C6D9F1" w:themeFill="text2" w:themeFillTint="33"/>
            <w:vAlign w:val="center"/>
          </w:tcPr>
          <w:p w14:paraId="6965E211" w14:textId="77777777" w:rsidR="00767EC2" w:rsidRPr="00F076D7" w:rsidRDefault="00767EC2" w:rsidP="00A83D07">
            <w:pPr>
              <w:keepNext/>
              <w:keepLines/>
              <w:rPr>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35D01EF1" w14:textId="77777777" w:rsidTr="00A83D07">
        <w:trPr>
          <w:cantSplit/>
        </w:trPr>
        <w:tc>
          <w:tcPr>
            <w:tcW w:w="1788" w:type="dxa"/>
            <w:vAlign w:val="center"/>
          </w:tcPr>
          <w:p w14:paraId="540B984D" w14:textId="77777777" w:rsidR="00767EC2" w:rsidRPr="00F076D7" w:rsidRDefault="00767EC2" w:rsidP="00A83D07">
            <w:pPr>
              <w:keepNext/>
              <w:keepLines/>
              <w:rPr>
                <w:b/>
                <w:bCs/>
                <w:sz w:val="16"/>
                <w:szCs w:val="16"/>
              </w:rPr>
            </w:pPr>
            <w:r w:rsidRPr="00F076D7">
              <w:rPr>
                <w:b/>
                <w:bCs/>
                <w:sz w:val="16"/>
                <w:szCs w:val="16"/>
              </w:rPr>
              <w:t>Activité</w:t>
            </w:r>
          </w:p>
        </w:tc>
        <w:tc>
          <w:tcPr>
            <w:tcW w:w="1189" w:type="dxa"/>
            <w:shd w:val="clear" w:color="auto" w:fill="auto"/>
            <w:tcMar>
              <w:top w:w="57" w:type="dxa"/>
            </w:tcMar>
            <w:vAlign w:val="center"/>
          </w:tcPr>
          <w:p w14:paraId="5BDE930B" w14:textId="77777777" w:rsidR="00767EC2" w:rsidRPr="00F076D7" w:rsidRDefault="00767EC2" w:rsidP="00A83D07">
            <w:pPr>
              <w:keepNext/>
              <w:keepLines/>
              <w:rPr>
                <w:b/>
                <w:bCs/>
                <w:sz w:val="16"/>
                <w:szCs w:val="16"/>
              </w:rPr>
            </w:pPr>
            <w:r w:rsidRPr="00F076D7">
              <w:rPr>
                <w:b/>
                <w:bCs/>
                <w:sz w:val="16"/>
                <w:szCs w:val="16"/>
              </w:rPr>
              <w:t>Date</w:t>
            </w:r>
          </w:p>
        </w:tc>
        <w:tc>
          <w:tcPr>
            <w:tcW w:w="1702" w:type="dxa"/>
            <w:shd w:val="clear" w:color="auto" w:fill="auto"/>
            <w:tcMar>
              <w:top w:w="57" w:type="dxa"/>
            </w:tcMar>
            <w:vAlign w:val="center"/>
          </w:tcPr>
          <w:p w14:paraId="04BBFB5F" w14:textId="77777777" w:rsidR="00767EC2" w:rsidRPr="00F076D7" w:rsidRDefault="00767EC2" w:rsidP="00A83D07">
            <w:pPr>
              <w:keepNext/>
              <w:keepLines/>
              <w:rPr>
                <w:sz w:val="16"/>
                <w:szCs w:val="16"/>
              </w:rPr>
            </w:pPr>
            <w:r w:rsidRPr="00F076D7">
              <w:rPr>
                <w:b/>
                <w:sz w:val="16"/>
                <w:szCs w:val="16"/>
              </w:rPr>
              <w:t>Pays hôte/</w:t>
            </w:r>
            <w:r w:rsidRPr="00F076D7">
              <w:rPr>
                <w:sz w:val="16"/>
                <w:szCs w:val="16"/>
              </w:rPr>
              <w:t xml:space="preserve"> </w:t>
            </w:r>
            <w:r w:rsidRPr="00F076D7">
              <w:rPr>
                <w:b/>
                <w:sz w:val="16"/>
                <w:szCs w:val="16"/>
              </w:rPr>
              <w:t>bénéficiaires</w:t>
            </w:r>
          </w:p>
        </w:tc>
        <w:tc>
          <w:tcPr>
            <w:tcW w:w="4393" w:type="dxa"/>
            <w:shd w:val="clear" w:color="auto" w:fill="FFFFFF"/>
            <w:tcMar>
              <w:top w:w="57" w:type="dxa"/>
            </w:tcMar>
            <w:vAlign w:val="center"/>
          </w:tcPr>
          <w:p w14:paraId="3AA70DFB" w14:textId="77777777" w:rsidR="00767EC2" w:rsidRPr="00F076D7" w:rsidRDefault="00767EC2" w:rsidP="00A83D07">
            <w:pPr>
              <w:keepNext/>
              <w:keepLines/>
              <w:rPr>
                <w:sz w:val="16"/>
                <w:szCs w:val="16"/>
              </w:rPr>
            </w:pPr>
            <w:r w:rsidRPr="00F076D7">
              <w:rPr>
                <w:b/>
                <w:sz w:val="16"/>
                <w:szCs w:val="16"/>
              </w:rPr>
              <w:t>Objectif(s)/description(s)</w:t>
            </w:r>
          </w:p>
        </w:tc>
      </w:tr>
      <w:tr w:rsidR="00767EC2" w:rsidRPr="00F076D7" w14:paraId="415D3BF7" w14:textId="77777777" w:rsidTr="00A83D07">
        <w:tblPrEx>
          <w:tblLook w:val="04A0" w:firstRow="1" w:lastRow="0" w:firstColumn="1" w:lastColumn="0" w:noHBand="0" w:noVBand="1"/>
        </w:tblPrEx>
        <w:trPr>
          <w:cantSplit/>
        </w:trPr>
        <w:tc>
          <w:tcPr>
            <w:tcW w:w="1788" w:type="dxa"/>
          </w:tcPr>
          <w:p w14:paraId="0C3FC557" w14:textId="77777777" w:rsidR="00767EC2" w:rsidRPr="00F076D7" w:rsidRDefault="00767EC2" w:rsidP="00A83D07">
            <w:pPr>
              <w:autoSpaceDE w:val="0"/>
              <w:autoSpaceDN w:val="0"/>
              <w:adjustRightInd w:val="0"/>
              <w:rPr>
                <w:sz w:val="16"/>
                <w:szCs w:val="16"/>
              </w:rPr>
            </w:pPr>
            <w:r w:rsidRPr="00F076D7">
              <w:rPr>
                <w:sz w:val="16"/>
                <w:szCs w:val="16"/>
              </w:rPr>
              <w:t>Atelier interrégional sur l’application du droit d’auteur organisé conjointement par l’OMPI, le Ministère de la culture, des sports et du tourisme (MCST) et la Commission coréenne du droit d’auteur (KCC)</w:t>
            </w:r>
          </w:p>
        </w:tc>
        <w:tc>
          <w:tcPr>
            <w:tcW w:w="1189" w:type="dxa"/>
          </w:tcPr>
          <w:p w14:paraId="05826084" w14:textId="77777777" w:rsidR="00767EC2" w:rsidRPr="00F076D7" w:rsidRDefault="00767EC2" w:rsidP="00A83D07">
            <w:pPr>
              <w:autoSpaceDE w:val="0"/>
              <w:autoSpaceDN w:val="0"/>
              <w:adjustRightInd w:val="0"/>
              <w:rPr>
                <w:sz w:val="16"/>
                <w:szCs w:val="16"/>
              </w:rPr>
            </w:pPr>
            <w:r w:rsidRPr="00F076D7">
              <w:rPr>
                <w:sz w:val="16"/>
                <w:szCs w:val="16"/>
              </w:rPr>
              <w:t>5 – 9 décembre 2016</w:t>
            </w:r>
          </w:p>
        </w:tc>
        <w:tc>
          <w:tcPr>
            <w:tcW w:w="1702" w:type="dxa"/>
          </w:tcPr>
          <w:p w14:paraId="75BD6D7C" w14:textId="77777777" w:rsidR="00767EC2" w:rsidRPr="00F076D7" w:rsidRDefault="00767EC2" w:rsidP="00A83D07">
            <w:pPr>
              <w:autoSpaceDE w:val="0"/>
              <w:autoSpaceDN w:val="0"/>
              <w:adjustRightInd w:val="0"/>
              <w:rPr>
                <w:bCs/>
                <w:kern w:val="36"/>
                <w:sz w:val="16"/>
                <w:szCs w:val="16"/>
                <w:lang w:eastAsia="ko-KR"/>
              </w:rPr>
            </w:pPr>
            <w:r w:rsidRPr="00F076D7">
              <w:rPr>
                <w:bCs/>
                <w:kern w:val="36"/>
                <w:sz w:val="16"/>
                <w:szCs w:val="16"/>
                <w:lang w:eastAsia="ko-KR"/>
              </w:rPr>
              <w:t>République de Corée/ 20 participants étrangers de 10 pays</w:t>
            </w:r>
          </w:p>
        </w:tc>
        <w:tc>
          <w:tcPr>
            <w:tcW w:w="4393" w:type="dxa"/>
          </w:tcPr>
          <w:p w14:paraId="7F1E1D76" w14:textId="77777777" w:rsidR="00767EC2" w:rsidRPr="00F076D7" w:rsidRDefault="00767EC2" w:rsidP="00A83D07">
            <w:pPr>
              <w:tabs>
                <w:tab w:val="left" w:pos="664"/>
              </w:tabs>
              <w:rPr>
                <w:sz w:val="16"/>
                <w:szCs w:val="16"/>
              </w:rPr>
            </w:pPr>
            <w:r w:rsidRPr="00F076D7">
              <w:rPr>
                <w:sz w:val="16"/>
                <w:szCs w:val="16"/>
              </w:rPr>
              <w:t>i) Prendre la mesure de la valeur de la protection et de l’application du droit d’auteur et des droits connexes en ce qui concerne le développement social, économique et culturel des pays participants;  ii) dispenser une formation élémentaire sur les mesures de réparation et les mesures d’application du droit d’auteur et des droits connexes, en mettant l’accent sur l’environnement numérique;  iii) débattre des questions d’actualité dans le domaine de la promotion de l’application du droit d’auteur et des droits connexes;  iv) envisager des stratégies nationales et transnationales de coopération efficace pour la promotion de l’application du droit d’auteur et des droits connexes.</w:t>
            </w:r>
          </w:p>
        </w:tc>
      </w:tr>
      <w:tr w:rsidR="00767EC2" w:rsidRPr="00F076D7" w14:paraId="0D736CF2" w14:textId="77777777" w:rsidTr="00A83D07">
        <w:tblPrEx>
          <w:tblLook w:val="04A0" w:firstRow="1" w:lastRow="0" w:firstColumn="1" w:lastColumn="0" w:noHBand="0" w:noVBand="1"/>
        </w:tblPrEx>
        <w:trPr>
          <w:cantSplit/>
        </w:trPr>
        <w:tc>
          <w:tcPr>
            <w:tcW w:w="1788" w:type="dxa"/>
          </w:tcPr>
          <w:p w14:paraId="30D25590" w14:textId="77777777" w:rsidR="00767EC2" w:rsidRPr="00F076D7" w:rsidRDefault="00767EC2" w:rsidP="00A83D07">
            <w:pPr>
              <w:autoSpaceDE w:val="0"/>
              <w:autoSpaceDN w:val="0"/>
              <w:adjustRightInd w:val="0"/>
              <w:rPr>
                <w:sz w:val="16"/>
                <w:szCs w:val="16"/>
                <w:highlight w:val="cyan"/>
              </w:rPr>
            </w:pPr>
            <w:r w:rsidRPr="00F076D7">
              <w:rPr>
                <w:sz w:val="16"/>
                <w:szCs w:val="16"/>
              </w:rPr>
              <w:t>Adaptation et traduction des matériels didactiques élaborés conjointement par l’OMPI et le Ministère de la Culture, des Sports et du Tourisme (MCST) sur le respect du droit d’auteur</w:t>
            </w:r>
          </w:p>
        </w:tc>
        <w:tc>
          <w:tcPr>
            <w:tcW w:w="1189" w:type="dxa"/>
          </w:tcPr>
          <w:p w14:paraId="10293F32" w14:textId="77777777" w:rsidR="00767EC2" w:rsidRPr="00F076D7" w:rsidRDefault="00767EC2" w:rsidP="00A83D07">
            <w:pPr>
              <w:autoSpaceDE w:val="0"/>
              <w:autoSpaceDN w:val="0"/>
              <w:adjustRightInd w:val="0"/>
              <w:rPr>
                <w:sz w:val="16"/>
                <w:szCs w:val="16"/>
              </w:rPr>
            </w:pPr>
            <w:r w:rsidRPr="00F076D7">
              <w:rPr>
                <w:sz w:val="16"/>
                <w:szCs w:val="16"/>
              </w:rPr>
              <w:t>23 juin – 31 décembre 2016</w:t>
            </w:r>
          </w:p>
          <w:p w14:paraId="196A1864"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1702" w:type="dxa"/>
          </w:tcPr>
          <w:p w14:paraId="163662C9" w14:textId="77777777" w:rsidR="00767EC2" w:rsidRPr="00F076D7" w:rsidRDefault="00767EC2" w:rsidP="00A83D07">
            <w:pPr>
              <w:autoSpaceDE w:val="0"/>
              <w:autoSpaceDN w:val="0"/>
              <w:adjustRightInd w:val="0"/>
              <w:rPr>
                <w:bCs/>
                <w:sz w:val="16"/>
                <w:szCs w:val="16"/>
              </w:rPr>
            </w:pPr>
            <w:r w:rsidRPr="00F076D7">
              <w:rPr>
                <w:bCs/>
                <w:sz w:val="16"/>
                <w:szCs w:val="16"/>
              </w:rPr>
              <w:t>Tous les États membres de l’OMPI</w:t>
            </w:r>
          </w:p>
        </w:tc>
        <w:tc>
          <w:tcPr>
            <w:tcW w:w="4393" w:type="dxa"/>
          </w:tcPr>
          <w:p w14:paraId="3F78842C" w14:textId="77777777" w:rsidR="00767EC2" w:rsidRPr="00F076D7" w:rsidDel="003610BF" w:rsidRDefault="00767EC2" w:rsidP="00A83D07">
            <w:pPr>
              <w:tabs>
                <w:tab w:val="left" w:pos="664"/>
              </w:tabs>
              <w:rPr>
                <w:bCs/>
                <w:sz w:val="16"/>
                <w:szCs w:val="16"/>
              </w:rPr>
            </w:pPr>
            <w:r w:rsidRPr="00F076D7">
              <w:rPr>
                <w:sz w:val="16"/>
                <w:szCs w:val="16"/>
              </w:rPr>
              <w:t>Adaptation en français, en espagnol et en arabe des matériels pédagogiques sur le droit d’auteur et les droits connexes qui existent en anglais (EN) en vue de favoriser l’application du droit d’auteur et des droits connexes dans les pays francophones, hispanophones et arabophones par la promotion d’une meilleure appréciation par le grand public, notamment les jeunes, du système du droit d’auteur et des droits connexes et de son application.</w:t>
            </w:r>
          </w:p>
        </w:tc>
      </w:tr>
      <w:tr w:rsidR="00767EC2" w:rsidRPr="00F076D7" w14:paraId="36550175" w14:textId="77777777" w:rsidTr="00A83D07">
        <w:tblPrEx>
          <w:tblLook w:val="04A0" w:firstRow="1" w:lastRow="0" w:firstColumn="1" w:lastColumn="0" w:noHBand="0" w:noVBand="1"/>
        </w:tblPrEx>
        <w:trPr>
          <w:cantSplit/>
        </w:trPr>
        <w:tc>
          <w:tcPr>
            <w:tcW w:w="1788" w:type="dxa"/>
          </w:tcPr>
          <w:p w14:paraId="2027350A" w14:textId="77777777" w:rsidR="00767EC2" w:rsidRPr="00F076D7" w:rsidRDefault="00767EC2" w:rsidP="00A83D07">
            <w:pPr>
              <w:autoSpaceDE w:val="0"/>
              <w:autoSpaceDN w:val="0"/>
              <w:adjustRightInd w:val="0"/>
              <w:rPr>
                <w:sz w:val="16"/>
                <w:szCs w:val="16"/>
                <w:highlight w:val="cyan"/>
              </w:rPr>
            </w:pPr>
            <w:r w:rsidRPr="00F076D7">
              <w:rPr>
                <w:sz w:val="16"/>
                <w:szCs w:val="16"/>
              </w:rPr>
              <w:t>Élaboration d’un ensemble d’outils d’enquête pour l’évaluation des comportements des consommateurs</w:t>
            </w:r>
          </w:p>
        </w:tc>
        <w:tc>
          <w:tcPr>
            <w:tcW w:w="1189" w:type="dxa"/>
          </w:tcPr>
          <w:p w14:paraId="1B2A9228" w14:textId="77777777" w:rsidR="00767EC2" w:rsidRPr="00F076D7" w:rsidRDefault="00767EC2" w:rsidP="00A83D07">
            <w:pPr>
              <w:autoSpaceDE w:val="0"/>
              <w:autoSpaceDN w:val="0"/>
              <w:adjustRightInd w:val="0"/>
              <w:rPr>
                <w:sz w:val="16"/>
                <w:szCs w:val="16"/>
              </w:rPr>
            </w:pPr>
            <w:r w:rsidRPr="00F076D7">
              <w:rPr>
                <w:sz w:val="16"/>
                <w:szCs w:val="16"/>
              </w:rPr>
              <w:t>7 septembre – 22 décembre 2016</w:t>
            </w:r>
          </w:p>
        </w:tc>
        <w:tc>
          <w:tcPr>
            <w:tcW w:w="1702" w:type="dxa"/>
            <w:shd w:val="clear" w:color="auto" w:fill="auto"/>
          </w:tcPr>
          <w:p w14:paraId="4B35D3FC" w14:textId="77777777" w:rsidR="00767EC2" w:rsidRPr="00F076D7" w:rsidRDefault="00767EC2" w:rsidP="00A83D07">
            <w:pPr>
              <w:tabs>
                <w:tab w:val="left" w:pos="664"/>
              </w:tabs>
              <w:rPr>
                <w:sz w:val="16"/>
                <w:szCs w:val="16"/>
              </w:rPr>
            </w:pPr>
            <w:r w:rsidRPr="00F076D7">
              <w:rPr>
                <w:sz w:val="16"/>
                <w:szCs w:val="16"/>
              </w:rPr>
              <w:t>Tous les États membres de l’OMPI</w:t>
            </w:r>
          </w:p>
        </w:tc>
        <w:tc>
          <w:tcPr>
            <w:tcW w:w="4393" w:type="dxa"/>
          </w:tcPr>
          <w:p w14:paraId="6B124103" w14:textId="77777777" w:rsidR="00767EC2" w:rsidRPr="00F076D7" w:rsidRDefault="00767EC2" w:rsidP="00A83D07">
            <w:pPr>
              <w:tabs>
                <w:tab w:val="left" w:pos="664"/>
              </w:tabs>
              <w:rPr>
                <w:sz w:val="16"/>
                <w:szCs w:val="16"/>
                <w:highlight w:val="cyan"/>
              </w:rPr>
            </w:pPr>
            <w:r w:rsidRPr="00F076D7">
              <w:rPr>
                <w:sz w:val="16"/>
                <w:szCs w:val="16"/>
              </w:rPr>
              <w:t>Aider les offices de propriété intellectuelle et autres entités menant des activités de sensibilisation au respect de la propriété intellectuelle à obtenir des critères objectifs de planification et d’évaluation des stratégies de communication aux fins de promotion du respect de la propriété intellectuelle</w:t>
            </w:r>
          </w:p>
        </w:tc>
      </w:tr>
    </w:tbl>
    <w:p w14:paraId="7625B899" w14:textId="77777777" w:rsidR="00767EC2" w:rsidRPr="00F076D7" w:rsidRDefault="00767EC2" w:rsidP="00767EC2">
      <w:pPr>
        <w:rPr>
          <w:sz w:val="20"/>
        </w:rPr>
      </w:pPr>
    </w:p>
    <w:p w14:paraId="2027B048" w14:textId="77777777" w:rsidR="00767EC2" w:rsidRPr="00F076D7" w:rsidRDefault="00767EC2" w:rsidP="00767EC2">
      <w:pPr>
        <w:rPr>
          <w:sz w:val="20"/>
        </w:rPr>
      </w:pPr>
    </w:p>
    <w:p w14:paraId="2DA286CF" w14:textId="77777777" w:rsidR="00767EC2" w:rsidRPr="00F076D7" w:rsidRDefault="00767EC2" w:rsidP="00767EC2">
      <w:pPr>
        <w:rPr>
          <w:b/>
          <w:bCs/>
          <w:sz w:val="20"/>
        </w:rPr>
      </w:pPr>
      <w:r w:rsidRPr="00F076D7">
        <w:rPr>
          <w:b/>
          <w:bCs/>
          <w:sz w:val="20"/>
        </w:rPr>
        <w:t>RÉPUBLIQUE DE CORÉE/PROMOTION DU RESPECT DE LA PROPRIÉTÉ INTELLECTUELLE – Contributions des donateurs et dépenses en 2016</w:t>
      </w:r>
    </w:p>
    <w:p w14:paraId="4F1A8612" w14:textId="77777777" w:rsidR="00767EC2" w:rsidRPr="00F076D7" w:rsidRDefault="00767EC2" w:rsidP="00767EC2">
      <w:pPr>
        <w:rPr>
          <w:b/>
          <w:bCs/>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7FAB1FDB" w14:textId="77777777" w:rsidTr="00A83D07">
        <w:trPr>
          <w:cantSplit/>
        </w:trPr>
        <w:tc>
          <w:tcPr>
            <w:tcW w:w="1814" w:type="dxa"/>
            <w:tcBorders>
              <w:top w:val="nil"/>
              <w:left w:val="nil"/>
              <w:bottom w:val="nil"/>
              <w:right w:val="nil"/>
            </w:tcBorders>
            <w:shd w:val="clear" w:color="000000" w:fill="C5D9F1"/>
            <w:vAlign w:val="center"/>
            <w:hideMark/>
          </w:tcPr>
          <w:p w14:paraId="47963655"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68AF33E4"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2466A9F1"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11923C8C"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322990F7"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4836969B" w14:textId="77777777" w:rsidTr="00A83D07">
        <w:trPr>
          <w:cantSplit/>
        </w:trPr>
        <w:tc>
          <w:tcPr>
            <w:tcW w:w="1814" w:type="dxa"/>
            <w:tcBorders>
              <w:top w:val="nil"/>
              <w:left w:val="nil"/>
              <w:bottom w:val="nil"/>
              <w:right w:val="nil"/>
            </w:tcBorders>
            <w:shd w:val="clear" w:color="auto" w:fill="auto"/>
            <w:noWrap/>
            <w:vAlign w:val="bottom"/>
            <w:hideMark/>
          </w:tcPr>
          <w:p w14:paraId="62F20360" w14:textId="77777777" w:rsidR="00767EC2" w:rsidRPr="00F076D7" w:rsidRDefault="00767EC2" w:rsidP="00A83D07">
            <w:pPr>
              <w:jc w:val="center"/>
              <w:rPr>
                <w:sz w:val="16"/>
                <w:szCs w:val="16"/>
              </w:rPr>
            </w:pPr>
            <w:r w:rsidRPr="00F076D7">
              <w:rPr>
                <w:sz w:val="16"/>
                <w:szCs w:val="16"/>
              </w:rPr>
              <w:t>50 475</w:t>
            </w:r>
          </w:p>
        </w:tc>
        <w:tc>
          <w:tcPr>
            <w:tcW w:w="1814" w:type="dxa"/>
            <w:tcBorders>
              <w:top w:val="nil"/>
              <w:left w:val="nil"/>
              <w:bottom w:val="nil"/>
              <w:right w:val="nil"/>
            </w:tcBorders>
            <w:shd w:val="clear" w:color="auto" w:fill="auto"/>
            <w:noWrap/>
            <w:vAlign w:val="bottom"/>
            <w:hideMark/>
          </w:tcPr>
          <w:p w14:paraId="79786C96" w14:textId="77777777" w:rsidR="00767EC2" w:rsidRPr="00F076D7" w:rsidRDefault="00767EC2" w:rsidP="00A83D07">
            <w:pPr>
              <w:jc w:val="center"/>
              <w:rPr>
                <w:sz w:val="16"/>
                <w:szCs w:val="16"/>
              </w:rPr>
            </w:pPr>
            <w:r w:rsidRPr="00F076D7">
              <w:rPr>
                <w:sz w:val="16"/>
                <w:szCs w:val="16"/>
              </w:rPr>
              <w:t>126 336</w:t>
            </w:r>
          </w:p>
        </w:tc>
        <w:tc>
          <w:tcPr>
            <w:tcW w:w="1815" w:type="dxa"/>
            <w:tcBorders>
              <w:top w:val="nil"/>
              <w:left w:val="nil"/>
              <w:bottom w:val="nil"/>
              <w:right w:val="nil"/>
            </w:tcBorders>
            <w:shd w:val="clear" w:color="auto" w:fill="auto"/>
            <w:noWrap/>
            <w:vAlign w:val="bottom"/>
            <w:hideMark/>
          </w:tcPr>
          <w:p w14:paraId="1BEABA38" w14:textId="77777777" w:rsidR="00767EC2" w:rsidRPr="00F076D7" w:rsidRDefault="00767EC2" w:rsidP="00A83D07">
            <w:pPr>
              <w:jc w:val="center"/>
              <w:rPr>
                <w:sz w:val="16"/>
                <w:szCs w:val="16"/>
              </w:rPr>
            </w:pPr>
            <w:r w:rsidRPr="00F076D7">
              <w:rPr>
                <w:sz w:val="16"/>
                <w:szCs w:val="16"/>
              </w:rPr>
              <w:t>118 462</w:t>
            </w:r>
          </w:p>
        </w:tc>
        <w:tc>
          <w:tcPr>
            <w:tcW w:w="1814" w:type="dxa"/>
            <w:tcBorders>
              <w:top w:val="nil"/>
              <w:left w:val="nil"/>
              <w:bottom w:val="nil"/>
              <w:right w:val="nil"/>
            </w:tcBorders>
            <w:shd w:val="clear" w:color="auto" w:fill="auto"/>
            <w:noWrap/>
            <w:vAlign w:val="bottom"/>
            <w:hideMark/>
          </w:tcPr>
          <w:p w14:paraId="16F6B643"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11BAD97F" w14:textId="77777777" w:rsidR="00767EC2" w:rsidRPr="00F076D7" w:rsidRDefault="00767EC2" w:rsidP="00A83D07">
            <w:pPr>
              <w:jc w:val="center"/>
              <w:rPr>
                <w:sz w:val="16"/>
                <w:szCs w:val="16"/>
              </w:rPr>
            </w:pPr>
            <w:r w:rsidRPr="00F076D7">
              <w:rPr>
                <w:sz w:val="16"/>
                <w:szCs w:val="16"/>
              </w:rPr>
              <w:t>58 349</w:t>
            </w:r>
          </w:p>
        </w:tc>
      </w:tr>
    </w:tbl>
    <w:p w14:paraId="713C9E5C" w14:textId="77777777" w:rsidR="00767EC2" w:rsidRPr="00F076D7" w:rsidRDefault="00767EC2" w:rsidP="00767EC2"/>
    <w:p w14:paraId="3D941866" w14:textId="77777777" w:rsidR="00767EC2" w:rsidRPr="00F076D7" w:rsidRDefault="00767EC2" w:rsidP="00767EC2"/>
    <w:p w14:paraId="7578C6F6" w14:textId="77777777" w:rsidR="00767EC2" w:rsidRPr="00F076D7" w:rsidRDefault="00767EC2" w:rsidP="00767EC2">
      <w:pPr>
        <w:keepNext/>
        <w:keepLines/>
        <w:rPr>
          <w:sz w:val="20"/>
        </w:rPr>
      </w:pPr>
      <w:r w:rsidRPr="00F076D7">
        <w:rPr>
          <w:b/>
          <w:sz w:val="20"/>
        </w:rPr>
        <w:t>RÉPUBLIQUE DE CORÉE/PROPRIÉTÉ INDUSTRIELLE</w:t>
      </w:r>
    </w:p>
    <w:p w14:paraId="3575B744" w14:textId="77777777" w:rsidR="00767EC2" w:rsidRPr="00F076D7" w:rsidRDefault="00767EC2" w:rsidP="00767EC2">
      <w:pPr>
        <w:keepNext/>
        <w:keepLines/>
        <w:rPr>
          <w:sz w:val="20"/>
        </w:rPr>
      </w:pPr>
    </w:p>
    <w:tbl>
      <w:tblPr>
        <w:tblW w:w="4884" w:type="pct"/>
        <w:tblCellMar>
          <w:top w:w="57" w:type="dxa"/>
          <w:bottom w:w="57" w:type="dxa"/>
        </w:tblCellMar>
        <w:tblLook w:val="04A0" w:firstRow="1" w:lastRow="0" w:firstColumn="1" w:lastColumn="0" w:noHBand="0" w:noVBand="1"/>
      </w:tblPr>
      <w:tblGrid>
        <w:gridCol w:w="1705"/>
        <w:gridCol w:w="1170"/>
        <w:gridCol w:w="2262"/>
        <w:gridCol w:w="3935"/>
      </w:tblGrid>
      <w:tr w:rsidR="00767EC2" w:rsidRPr="00F076D7" w14:paraId="46001423" w14:textId="77777777" w:rsidTr="00A83D07">
        <w:trPr>
          <w:cantSplit/>
        </w:trPr>
        <w:tc>
          <w:tcPr>
            <w:tcW w:w="9072" w:type="dxa"/>
            <w:gridSpan w:val="4"/>
            <w:shd w:val="clear" w:color="auto" w:fill="C6D9F1" w:themeFill="text2" w:themeFillTint="33"/>
            <w:vAlign w:val="center"/>
            <w:hideMark/>
          </w:tcPr>
          <w:p w14:paraId="000474C3" w14:textId="77777777" w:rsidR="00767EC2" w:rsidRPr="00F076D7" w:rsidRDefault="00767EC2" w:rsidP="00A83D07">
            <w:pPr>
              <w:keepNext/>
              <w:keepLines/>
              <w:rPr>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III.1 Stratégies et plans nationaux en matière d’innovation et de propriété intellectuelle conformes aux objectifs de développement nationaux</w:t>
            </w:r>
          </w:p>
        </w:tc>
      </w:tr>
      <w:tr w:rsidR="00767EC2" w:rsidRPr="00F076D7" w14:paraId="2DF9D5BC" w14:textId="77777777" w:rsidTr="00A83D07">
        <w:trPr>
          <w:cantSplit/>
        </w:trPr>
        <w:tc>
          <w:tcPr>
            <w:tcW w:w="1773" w:type="dxa"/>
            <w:vAlign w:val="center"/>
            <w:hideMark/>
          </w:tcPr>
          <w:p w14:paraId="0C115E82" w14:textId="77777777" w:rsidR="00767EC2" w:rsidRPr="00F076D7" w:rsidRDefault="00767EC2" w:rsidP="00A83D07">
            <w:pPr>
              <w:keepNext/>
              <w:keepLines/>
              <w:rPr>
                <w:b/>
                <w:bCs/>
                <w:sz w:val="16"/>
                <w:szCs w:val="16"/>
              </w:rPr>
            </w:pPr>
            <w:r w:rsidRPr="00F076D7">
              <w:rPr>
                <w:b/>
                <w:bCs/>
                <w:sz w:val="16"/>
                <w:szCs w:val="16"/>
              </w:rPr>
              <w:t>Activité</w:t>
            </w:r>
          </w:p>
        </w:tc>
        <w:tc>
          <w:tcPr>
            <w:tcW w:w="1174" w:type="dxa"/>
            <w:tcMar>
              <w:top w:w="57" w:type="dxa"/>
              <w:left w:w="108" w:type="dxa"/>
              <w:bottom w:w="57" w:type="dxa"/>
              <w:right w:w="108" w:type="dxa"/>
            </w:tcMar>
            <w:vAlign w:val="center"/>
            <w:hideMark/>
          </w:tcPr>
          <w:p w14:paraId="11634FC3" w14:textId="77777777" w:rsidR="00767EC2" w:rsidRPr="00F076D7" w:rsidRDefault="00767EC2" w:rsidP="00A83D07">
            <w:pPr>
              <w:keepNext/>
              <w:keepLines/>
              <w:rPr>
                <w:b/>
                <w:bCs/>
                <w:sz w:val="16"/>
                <w:szCs w:val="16"/>
              </w:rPr>
            </w:pPr>
            <w:r w:rsidRPr="00F076D7">
              <w:rPr>
                <w:b/>
                <w:bCs/>
                <w:sz w:val="16"/>
                <w:szCs w:val="16"/>
              </w:rPr>
              <w:t>Date</w:t>
            </w:r>
          </w:p>
        </w:tc>
        <w:tc>
          <w:tcPr>
            <w:tcW w:w="1773" w:type="dxa"/>
            <w:tcMar>
              <w:top w:w="57" w:type="dxa"/>
              <w:left w:w="108" w:type="dxa"/>
              <w:bottom w:w="57" w:type="dxa"/>
              <w:right w:w="108" w:type="dxa"/>
            </w:tcMar>
            <w:vAlign w:val="center"/>
            <w:hideMark/>
          </w:tcPr>
          <w:p w14:paraId="29F7979A" w14:textId="77777777" w:rsidR="00767EC2" w:rsidRPr="00F076D7" w:rsidRDefault="00767EC2" w:rsidP="00A83D07">
            <w:pPr>
              <w:keepNext/>
              <w:keepLines/>
              <w:rPr>
                <w:sz w:val="16"/>
                <w:szCs w:val="16"/>
              </w:rPr>
            </w:pPr>
            <w:r w:rsidRPr="00F076D7">
              <w:rPr>
                <w:b/>
                <w:sz w:val="16"/>
                <w:szCs w:val="16"/>
              </w:rPr>
              <w:t>Pays hôte/ bénéficiaires</w:t>
            </w:r>
          </w:p>
        </w:tc>
        <w:tc>
          <w:tcPr>
            <w:tcW w:w="4352" w:type="dxa"/>
            <w:shd w:val="clear" w:color="auto" w:fill="FFFFFF"/>
            <w:tcMar>
              <w:top w:w="57" w:type="dxa"/>
              <w:left w:w="108" w:type="dxa"/>
              <w:bottom w:w="57" w:type="dxa"/>
              <w:right w:w="108" w:type="dxa"/>
            </w:tcMar>
            <w:vAlign w:val="center"/>
            <w:hideMark/>
          </w:tcPr>
          <w:p w14:paraId="1A7FA56C" w14:textId="77777777" w:rsidR="00767EC2" w:rsidRPr="00F076D7" w:rsidRDefault="00767EC2" w:rsidP="00A83D07">
            <w:pPr>
              <w:keepNext/>
              <w:keepLines/>
              <w:rPr>
                <w:sz w:val="16"/>
                <w:szCs w:val="16"/>
              </w:rPr>
            </w:pPr>
            <w:r w:rsidRPr="00F076D7">
              <w:rPr>
                <w:b/>
                <w:sz w:val="16"/>
                <w:szCs w:val="16"/>
              </w:rPr>
              <w:t>Objectif(s)/description(s)</w:t>
            </w:r>
          </w:p>
        </w:tc>
      </w:tr>
      <w:tr w:rsidR="00767EC2" w:rsidRPr="00F076D7" w14:paraId="239BAAF9" w14:textId="77777777" w:rsidTr="00A83D07">
        <w:trPr>
          <w:cantSplit/>
        </w:trPr>
        <w:tc>
          <w:tcPr>
            <w:tcW w:w="1773" w:type="dxa"/>
          </w:tcPr>
          <w:p w14:paraId="64895B4C" w14:textId="77777777" w:rsidR="00767EC2" w:rsidRPr="00F076D7" w:rsidRDefault="00767EC2" w:rsidP="00A83D07">
            <w:pPr>
              <w:keepNext/>
              <w:keepLines/>
              <w:autoSpaceDE w:val="0"/>
              <w:autoSpaceDN w:val="0"/>
              <w:adjustRightInd w:val="0"/>
              <w:rPr>
                <w:sz w:val="16"/>
                <w:szCs w:val="16"/>
              </w:rPr>
            </w:pPr>
            <w:r w:rsidRPr="00F076D7">
              <w:rPr>
                <w:rFonts w:eastAsia="SimSun" w:cs="Times New Roman"/>
                <w:sz w:val="16"/>
                <w:szCs w:val="16"/>
                <w:lang w:eastAsia="ko-KR"/>
              </w:rPr>
              <w:t xml:space="preserve">Visite d’étude d’une délégation de la République dominicaine à Séoul et à </w:t>
            </w:r>
            <w:proofErr w:type="spellStart"/>
            <w:r w:rsidRPr="00F076D7">
              <w:rPr>
                <w:rFonts w:eastAsia="SimSun" w:cs="Times New Roman"/>
                <w:sz w:val="16"/>
                <w:szCs w:val="16"/>
                <w:lang w:eastAsia="ko-KR"/>
              </w:rPr>
              <w:t>Daejeon</w:t>
            </w:r>
            <w:proofErr w:type="spellEnd"/>
            <w:r w:rsidRPr="00F076D7">
              <w:rPr>
                <w:rFonts w:eastAsia="SimSun" w:cs="Times New Roman"/>
                <w:sz w:val="16"/>
                <w:szCs w:val="16"/>
                <w:lang w:eastAsia="ko-KR"/>
              </w:rPr>
              <w:t xml:space="preserve"> (République de Corée)</w:t>
            </w:r>
          </w:p>
        </w:tc>
        <w:tc>
          <w:tcPr>
            <w:tcW w:w="1174" w:type="dxa"/>
          </w:tcPr>
          <w:p w14:paraId="04804FD3" w14:textId="77777777" w:rsidR="00767EC2" w:rsidRPr="00F076D7" w:rsidRDefault="00767EC2" w:rsidP="00A83D07">
            <w:pPr>
              <w:keepNext/>
              <w:keepLines/>
              <w:autoSpaceDE w:val="0"/>
              <w:autoSpaceDN w:val="0"/>
              <w:adjustRightInd w:val="0"/>
              <w:rPr>
                <w:sz w:val="16"/>
                <w:szCs w:val="16"/>
              </w:rPr>
            </w:pPr>
            <w:r w:rsidRPr="00F076D7">
              <w:rPr>
                <w:sz w:val="16"/>
                <w:szCs w:val="16"/>
              </w:rPr>
              <w:t>1</w:t>
            </w:r>
            <w:r w:rsidRPr="00F076D7">
              <w:rPr>
                <w:sz w:val="16"/>
                <w:szCs w:val="16"/>
                <w:vertAlign w:val="superscript"/>
              </w:rPr>
              <w:t>er</w:t>
            </w:r>
            <w:r w:rsidRPr="00F076D7">
              <w:rPr>
                <w:sz w:val="16"/>
                <w:szCs w:val="16"/>
              </w:rPr>
              <w:t xml:space="preserve"> – 4 novembre 2016</w:t>
            </w:r>
          </w:p>
        </w:tc>
        <w:tc>
          <w:tcPr>
            <w:tcW w:w="1773" w:type="dxa"/>
          </w:tcPr>
          <w:p w14:paraId="498303A1" w14:textId="77777777" w:rsidR="00767EC2" w:rsidRPr="00F076D7" w:rsidRDefault="00767EC2" w:rsidP="00A83D07">
            <w:pPr>
              <w:keepNext/>
              <w:keepLines/>
              <w:autoSpaceDE w:val="0"/>
              <w:autoSpaceDN w:val="0"/>
              <w:adjustRightInd w:val="0"/>
              <w:rPr>
                <w:sz w:val="16"/>
                <w:szCs w:val="16"/>
              </w:rPr>
            </w:pPr>
            <w:r w:rsidRPr="00F076D7">
              <w:rPr>
                <w:sz w:val="16"/>
                <w:szCs w:val="16"/>
              </w:rPr>
              <w:t>République de Corée/ 8 participants de la République dominicaine</w:t>
            </w:r>
          </w:p>
        </w:tc>
        <w:tc>
          <w:tcPr>
            <w:tcW w:w="4352" w:type="dxa"/>
          </w:tcPr>
          <w:p w14:paraId="422F173F" w14:textId="77777777" w:rsidR="00767EC2" w:rsidRPr="00F076D7" w:rsidRDefault="00767EC2" w:rsidP="00A83D07">
            <w:pPr>
              <w:keepNext/>
              <w:keepLines/>
              <w:autoSpaceDE w:val="0"/>
              <w:autoSpaceDN w:val="0"/>
              <w:adjustRightInd w:val="0"/>
              <w:rPr>
                <w:sz w:val="16"/>
                <w:szCs w:val="16"/>
              </w:rPr>
            </w:pPr>
            <w:r w:rsidRPr="00F076D7">
              <w:rPr>
                <w:rFonts w:eastAsia="SimSun" w:cs="Times New Roman"/>
                <w:sz w:val="16"/>
                <w:szCs w:val="16"/>
                <w:lang w:eastAsia="ko-KR"/>
              </w:rPr>
              <w:t>i) Permettre aux décideurs des secteurs public et privé qui participent à l’élaboration d’une stratégie nationale en matière de propriété intellectuelle de mieux appréhender la propriété intellectuelle afin qu’ils puissent planifier et mettre en œuvre plus efficacement leur stratégie de propriété intellectuelle;  ii) améliorer leurs connaissances aux fins de promotion de l’innovation à l’échelle nationale grâce à un meilleur accès à la littérature sur les brevets;  iii) fournir des connaissances de première main et observer comment l’économie coréenne, grâce à ses grandes industries, est devenue une économie à forte composante de propriété intellectuelle.</w:t>
            </w:r>
          </w:p>
        </w:tc>
      </w:tr>
      <w:tr w:rsidR="00767EC2" w:rsidRPr="00F076D7" w14:paraId="236AF243" w14:textId="77777777" w:rsidTr="00A83D07">
        <w:trPr>
          <w:cantSplit/>
        </w:trPr>
        <w:tc>
          <w:tcPr>
            <w:tcW w:w="9072" w:type="dxa"/>
            <w:gridSpan w:val="4"/>
            <w:shd w:val="clear" w:color="auto" w:fill="C6D9F1" w:themeFill="text2" w:themeFillTint="33"/>
            <w:vAlign w:val="center"/>
            <w:hideMark/>
          </w:tcPr>
          <w:p w14:paraId="25FAD931" w14:textId="77777777" w:rsidR="00767EC2" w:rsidRPr="00F076D7" w:rsidRDefault="00767EC2" w:rsidP="00A83D07">
            <w:pPr>
              <w:keepNext/>
              <w:keepLines/>
              <w:rPr>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767EC2" w:rsidRPr="00F076D7" w14:paraId="7B227447" w14:textId="77777777" w:rsidTr="00A83D07">
        <w:trPr>
          <w:cantSplit/>
        </w:trPr>
        <w:tc>
          <w:tcPr>
            <w:tcW w:w="1773" w:type="dxa"/>
            <w:vAlign w:val="center"/>
            <w:hideMark/>
          </w:tcPr>
          <w:p w14:paraId="58DCB66D" w14:textId="77777777" w:rsidR="00767EC2" w:rsidRPr="00F076D7" w:rsidRDefault="00767EC2" w:rsidP="00A83D07">
            <w:pPr>
              <w:keepNext/>
              <w:keepLines/>
              <w:rPr>
                <w:b/>
                <w:bCs/>
                <w:sz w:val="16"/>
                <w:szCs w:val="16"/>
              </w:rPr>
            </w:pPr>
            <w:r w:rsidRPr="00F076D7">
              <w:rPr>
                <w:b/>
                <w:bCs/>
                <w:sz w:val="16"/>
                <w:szCs w:val="16"/>
              </w:rPr>
              <w:t>Activité</w:t>
            </w:r>
          </w:p>
        </w:tc>
        <w:tc>
          <w:tcPr>
            <w:tcW w:w="1174" w:type="dxa"/>
            <w:tcMar>
              <w:top w:w="57" w:type="dxa"/>
              <w:left w:w="108" w:type="dxa"/>
              <w:bottom w:w="57" w:type="dxa"/>
              <w:right w:w="108" w:type="dxa"/>
            </w:tcMar>
            <w:vAlign w:val="center"/>
            <w:hideMark/>
          </w:tcPr>
          <w:p w14:paraId="264F5562" w14:textId="77777777" w:rsidR="00767EC2" w:rsidRPr="00F076D7" w:rsidRDefault="00767EC2" w:rsidP="00A83D07">
            <w:pPr>
              <w:keepNext/>
              <w:keepLines/>
              <w:rPr>
                <w:b/>
                <w:bCs/>
                <w:sz w:val="16"/>
                <w:szCs w:val="16"/>
              </w:rPr>
            </w:pPr>
            <w:r w:rsidRPr="00F076D7">
              <w:rPr>
                <w:b/>
                <w:bCs/>
                <w:sz w:val="16"/>
                <w:szCs w:val="16"/>
              </w:rPr>
              <w:t>Date</w:t>
            </w:r>
          </w:p>
        </w:tc>
        <w:tc>
          <w:tcPr>
            <w:tcW w:w="1773" w:type="dxa"/>
            <w:tcMar>
              <w:top w:w="57" w:type="dxa"/>
              <w:left w:w="108" w:type="dxa"/>
              <w:bottom w:w="57" w:type="dxa"/>
              <w:right w:w="108" w:type="dxa"/>
            </w:tcMar>
            <w:vAlign w:val="center"/>
            <w:hideMark/>
          </w:tcPr>
          <w:p w14:paraId="4C8B45A6" w14:textId="77777777" w:rsidR="00767EC2" w:rsidRPr="00F076D7" w:rsidRDefault="00767EC2" w:rsidP="00A83D07">
            <w:pPr>
              <w:keepNext/>
              <w:keepLines/>
              <w:rPr>
                <w:sz w:val="16"/>
                <w:szCs w:val="16"/>
              </w:rPr>
            </w:pPr>
            <w:r w:rsidRPr="00F076D7">
              <w:rPr>
                <w:b/>
                <w:sz w:val="16"/>
                <w:szCs w:val="16"/>
              </w:rPr>
              <w:t>Pays hôte/</w:t>
            </w:r>
            <w:r w:rsidRPr="00F076D7">
              <w:rPr>
                <w:sz w:val="16"/>
                <w:szCs w:val="16"/>
              </w:rPr>
              <w:t xml:space="preserve"> </w:t>
            </w:r>
            <w:r w:rsidRPr="00F076D7">
              <w:rPr>
                <w:b/>
                <w:sz w:val="16"/>
                <w:szCs w:val="16"/>
              </w:rPr>
              <w:t>bénéficiaires</w:t>
            </w:r>
          </w:p>
        </w:tc>
        <w:tc>
          <w:tcPr>
            <w:tcW w:w="4352" w:type="dxa"/>
            <w:shd w:val="clear" w:color="auto" w:fill="FFFFFF"/>
            <w:tcMar>
              <w:top w:w="57" w:type="dxa"/>
              <w:left w:w="108" w:type="dxa"/>
              <w:bottom w:w="57" w:type="dxa"/>
              <w:right w:w="108" w:type="dxa"/>
            </w:tcMar>
            <w:vAlign w:val="center"/>
            <w:hideMark/>
          </w:tcPr>
          <w:p w14:paraId="15FBE239" w14:textId="77777777" w:rsidR="00767EC2" w:rsidRPr="00F076D7" w:rsidRDefault="00767EC2" w:rsidP="00A83D07">
            <w:pPr>
              <w:keepNext/>
              <w:keepLines/>
              <w:rPr>
                <w:sz w:val="16"/>
                <w:szCs w:val="16"/>
              </w:rPr>
            </w:pPr>
            <w:r w:rsidRPr="00F076D7">
              <w:rPr>
                <w:b/>
                <w:sz w:val="16"/>
                <w:szCs w:val="16"/>
              </w:rPr>
              <w:t>Objectif(s)/description(s)</w:t>
            </w:r>
          </w:p>
        </w:tc>
      </w:tr>
      <w:tr w:rsidR="00767EC2" w:rsidRPr="00F076D7" w14:paraId="33917654" w14:textId="77777777" w:rsidTr="00A83D07">
        <w:trPr>
          <w:cantSplit/>
        </w:trPr>
        <w:tc>
          <w:tcPr>
            <w:tcW w:w="1773" w:type="dxa"/>
          </w:tcPr>
          <w:p w14:paraId="73D3C43F" w14:textId="77777777" w:rsidR="00767EC2" w:rsidRPr="00F076D7" w:rsidRDefault="00767EC2" w:rsidP="00A83D07">
            <w:pPr>
              <w:autoSpaceDE w:val="0"/>
              <w:autoSpaceDN w:val="0"/>
              <w:adjustRightInd w:val="0"/>
              <w:rPr>
                <w:rFonts w:eastAsia="Malgun Gothic" w:cs="Times New Roman"/>
                <w:sz w:val="16"/>
                <w:szCs w:val="16"/>
                <w:lang w:eastAsia="ko-KR"/>
              </w:rPr>
            </w:pPr>
            <w:r w:rsidRPr="00F076D7">
              <w:rPr>
                <w:rFonts w:eastAsia="Malgun Gothic" w:cs="Times New Roman"/>
                <w:sz w:val="16"/>
                <w:szCs w:val="16"/>
                <w:lang w:eastAsia="ko-KR"/>
              </w:rPr>
              <w:t>Ateliers sur le droit des brevets et programme pilote d’examen des demandes d’enregistrement de marques et de formation en entreprise</w:t>
            </w:r>
          </w:p>
        </w:tc>
        <w:tc>
          <w:tcPr>
            <w:tcW w:w="1174" w:type="dxa"/>
          </w:tcPr>
          <w:p w14:paraId="1E1C99DA" w14:textId="77777777" w:rsidR="00767EC2" w:rsidRPr="00F076D7" w:rsidRDefault="00767EC2" w:rsidP="00A83D07">
            <w:pPr>
              <w:autoSpaceDE w:val="0"/>
              <w:autoSpaceDN w:val="0"/>
              <w:adjustRightInd w:val="0"/>
              <w:rPr>
                <w:sz w:val="16"/>
                <w:szCs w:val="16"/>
              </w:rPr>
            </w:pPr>
            <w:r w:rsidRPr="00F076D7">
              <w:rPr>
                <w:sz w:val="16"/>
                <w:szCs w:val="16"/>
              </w:rPr>
              <w:t>23 mars – 1</w:t>
            </w:r>
            <w:r w:rsidRPr="00F076D7">
              <w:rPr>
                <w:sz w:val="16"/>
                <w:szCs w:val="16"/>
                <w:vertAlign w:val="superscript"/>
              </w:rPr>
              <w:t>er</w:t>
            </w:r>
            <w:r w:rsidRPr="00F076D7">
              <w:rPr>
                <w:sz w:val="16"/>
                <w:szCs w:val="16"/>
              </w:rPr>
              <w:t> avril 2016</w:t>
            </w:r>
          </w:p>
          <w:p w14:paraId="4A470880" w14:textId="77777777" w:rsidR="00767EC2" w:rsidRPr="00F076D7" w:rsidRDefault="00767EC2" w:rsidP="00A83D07">
            <w:pPr>
              <w:autoSpaceDE w:val="0"/>
              <w:autoSpaceDN w:val="0"/>
              <w:adjustRightInd w:val="0"/>
              <w:rPr>
                <w:sz w:val="16"/>
                <w:szCs w:val="16"/>
              </w:rPr>
            </w:pPr>
            <w:r w:rsidRPr="00F076D7">
              <w:rPr>
                <w:sz w:val="16"/>
                <w:szCs w:val="16"/>
              </w:rPr>
              <w:t>4 – 8 avril 2016</w:t>
            </w:r>
          </w:p>
        </w:tc>
        <w:tc>
          <w:tcPr>
            <w:tcW w:w="1773" w:type="dxa"/>
          </w:tcPr>
          <w:p w14:paraId="221DFB35" w14:textId="77777777" w:rsidR="00767EC2" w:rsidRPr="00F076D7" w:rsidRDefault="00767EC2" w:rsidP="00A83D07">
            <w:pPr>
              <w:autoSpaceDE w:val="0"/>
              <w:autoSpaceDN w:val="0"/>
              <w:adjustRightInd w:val="0"/>
              <w:rPr>
                <w:sz w:val="16"/>
                <w:szCs w:val="16"/>
              </w:rPr>
            </w:pPr>
            <w:r w:rsidRPr="00F076D7">
              <w:rPr>
                <w:sz w:val="16"/>
                <w:szCs w:val="16"/>
              </w:rPr>
              <w:t xml:space="preserve">République de Corée/ 19 participants des pays suivants : Bangladesh, Colombie, Égypte, Kazakhstan, Kenya, Mongolie </w:t>
            </w:r>
            <w:r w:rsidRPr="00F076D7">
              <w:rPr>
                <w:i/>
                <w:sz w:val="16"/>
                <w:szCs w:val="16"/>
              </w:rPr>
              <w:t>(les deux programmes)</w:t>
            </w:r>
            <w:r w:rsidRPr="00F076D7">
              <w:rPr>
                <w:sz w:val="16"/>
                <w:szCs w:val="16"/>
              </w:rPr>
              <w:t>, Myanmar, Ouzbékistan, Pakistan, Pérou, Viet Nam, ARIPO</w:t>
            </w:r>
          </w:p>
        </w:tc>
        <w:tc>
          <w:tcPr>
            <w:tcW w:w="4352" w:type="dxa"/>
          </w:tcPr>
          <w:p w14:paraId="733AD886" w14:textId="77777777" w:rsidR="00767EC2" w:rsidRPr="00F076D7" w:rsidRDefault="00767EC2" w:rsidP="00A83D07">
            <w:pPr>
              <w:autoSpaceDE w:val="0"/>
              <w:autoSpaceDN w:val="0"/>
              <w:adjustRightInd w:val="0"/>
              <w:rPr>
                <w:sz w:val="16"/>
                <w:szCs w:val="16"/>
              </w:rPr>
            </w:pPr>
            <w:r w:rsidRPr="00F076D7">
              <w:rPr>
                <w:rFonts w:eastAsia="SimSun" w:cs="Times New Roman"/>
                <w:sz w:val="16"/>
                <w:szCs w:val="16"/>
                <w:lang w:eastAsia="ko-KR"/>
              </w:rPr>
              <w:t>Ces ateliers i) étaient axés sur l’amélioration des connaissances et des compétences des examinateurs de brevets en ce qui concerne les procédures d’examen;  ii) comprenaient des séances pratiques sur l’accès aux résultats de l’examen des demandes déposées à l’étranger et sur l’exploitation de ces résultats, ainsi que sur la compréhension des notifications communiquées;  iii) comprenaient une session spéciale visant à ce que les participants confrontent leurs points de vue et découvrent les divergences et les convergences de pratique qui existent entre les offices nationaux de brevets en matière d’examen quant au fond des demandes de brevet;  iv) comprenaient des séances sur le contrôle de la qualité des brevets visant à améliorer la crédibilité de l’examen des demandes de brevet.</w:t>
            </w:r>
          </w:p>
        </w:tc>
      </w:tr>
      <w:tr w:rsidR="00767EC2" w:rsidRPr="00F076D7" w14:paraId="09857BD4" w14:textId="77777777" w:rsidTr="00A83D07">
        <w:trPr>
          <w:cantSplit/>
        </w:trPr>
        <w:tc>
          <w:tcPr>
            <w:tcW w:w="1773" w:type="dxa"/>
          </w:tcPr>
          <w:p w14:paraId="6E7552B3" w14:textId="77777777" w:rsidR="00767EC2" w:rsidRPr="00F076D7" w:rsidRDefault="00767EC2" w:rsidP="00A83D07">
            <w:pPr>
              <w:autoSpaceDE w:val="0"/>
              <w:autoSpaceDN w:val="0"/>
              <w:adjustRightInd w:val="0"/>
              <w:rPr>
                <w:rFonts w:eastAsia="Malgun Gothic" w:cs="Times New Roman"/>
                <w:sz w:val="16"/>
                <w:szCs w:val="16"/>
                <w:lang w:eastAsia="ko-KR"/>
              </w:rPr>
            </w:pPr>
            <w:r w:rsidRPr="00F076D7">
              <w:rPr>
                <w:rFonts w:eastAsia="Malgun Gothic" w:cs="Times New Roman"/>
                <w:sz w:val="16"/>
                <w:szCs w:val="16"/>
                <w:lang w:eastAsia="ko-KR"/>
              </w:rPr>
              <w:t>Ateliers sur le droit des marques et programme pilote d’examen des demandes d’enregistrement de marques et de formation en entreprise</w:t>
            </w:r>
          </w:p>
        </w:tc>
        <w:tc>
          <w:tcPr>
            <w:tcW w:w="1174" w:type="dxa"/>
          </w:tcPr>
          <w:p w14:paraId="25F2833B" w14:textId="77777777" w:rsidR="00767EC2" w:rsidRPr="00F076D7" w:rsidRDefault="00767EC2" w:rsidP="00A83D07">
            <w:pPr>
              <w:autoSpaceDE w:val="0"/>
              <w:autoSpaceDN w:val="0"/>
              <w:adjustRightInd w:val="0"/>
              <w:rPr>
                <w:sz w:val="16"/>
                <w:szCs w:val="16"/>
              </w:rPr>
            </w:pPr>
            <w:r w:rsidRPr="00F076D7">
              <w:rPr>
                <w:sz w:val="16"/>
                <w:szCs w:val="16"/>
              </w:rPr>
              <w:t>10 – 17 mai 2016</w:t>
            </w:r>
          </w:p>
          <w:p w14:paraId="63A13EFB" w14:textId="77777777" w:rsidR="00767EC2" w:rsidRPr="00F076D7" w:rsidRDefault="00767EC2" w:rsidP="00A83D07">
            <w:pPr>
              <w:autoSpaceDE w:val="0"/>
              <w:autoSpaceDN w:val="0"/>
              <w:adjustRightInd w:val="0"/>
              <w:rPr>
                <w:sz w:val="16"/>
                <w:szCs w:val="16"/>
              </w:rPr>
            </w:pPr>
            <w:r w:rsidRPr="00F076D7">
              <w:rPr>
                <w:sz w:val="16"/>
                <w:szCs w:val="16"/>
              </w:rPr>
              <w:t>18 – 20 mai 2016</w:t>
            </w:r>
          </w:p>
        </w:tc>
        <w:tc>
          <w:tcPr>
            <w:tcW w:w="1773" w:type="dxa"/>
          </w:tcPr>
          <w:p w14:paraId="3BFA0723" w14:textId="77777777" w:rsidR="00767EC2" w:rsidRPr="00F076D7" w:rsidRDefault="00767EC2" w:rsidP="00A83D07">
            <w:pPr>
              <w:autoSpaceDE w:val="0"/>
              <w:autoSpaceDN w:val="0"/>
              <w:adjustRightInd w:val="0"/>
              <w:rPr>
                <w:sz w:val="16"/>
                <w:szCs w:val="16"/>
              </w:rPr>
            </w:pPr>
            <w:r w:rsidRPr="00F076D7">
              <w:rPr>
                <w:sz w:val="16"/>
                <w:szCs w:val="16"/>
              </w:rPr>
              <w:t xml:space="preserve">République de Corée/ 20 participants des pays suivants : Kazakhstan, Kirghizistan, Mozambique, Ouzbékistan </w:t>
            </w:r>
            <w:r w:rsidRPr="00F076D7">
              <w:rPr>
                <w:i/>
                <w:sz w:val="16"/>
                <w:szCs w:val="16"/>
              </w:rPr>
              <w:t>(les deux programmes)</w:t>
            </w:r>
            <w:r w:rsidRPr="00F076D7">
              <w:rPr>
                <w:sz w:val="16"/>
                <w:szCs w:val="16"/>
              </w:rPr>
              <w:t>, Papouasie</w:t>
            </w:r>
            <w:r w:rsidRPr="00F076D7">
              <w:rPr>
                <w:sz w:val="16"/>
                <w:szCs w:val="16"/>
              </w:rPr>
              <w:noBreakHyphen/>
              <w:t>Nouvelle</w:t>
            </w:r>
            <w:r w:rsidRPr="00F076D7">
              <w:rPr>
                <w:sz w:val="16"/>
                <w:szCs w:val="16"/>
              </w:rPr>
              <w:noBreakHyphen/>
              <w:t>Guinée, Paraguay, Sri Lanka, Thaïlande, Viet Nam</w:t>
            </w:r>
          </w:p>
        </w:tc>
        <w:tc>
          <w:tcPr>
            <w:tcW w:w="4352" w:type="dxa"/>
          </w:tcPr>
          <w:p w14:paraId="01F0AF66" w14:textId="77777777" w:rsidR="00767EC2" w:rsidRPr="00F076D7" w:rsidRDefault="00767EC2" w:rsidP="00A83D07">
            <w:pPr>
              <w:autoSpaceDE w:val="0"/>
              <w:autoSpaceDN w:val="0"/>
              <w:adjustRightInd w:val="0"/>
              <w:rPr>
                <w:sz w:val="16"/>
                <w:szCs w:val="16"/>
                <w:lang w:eastAsia="ko-KR"/>
              </w:rPr>
            </w:pPr>
            <w:r w:rsidRPr="00F076D7">
              <w:rPr>
                <w:rFonts w:eastAsia="SimSun" w:cs="Times New Roman"/>
                <w:sz w:val="16"/>
                <w:szCs w:val="16"/>
                <w:lang w:eastAsia="ko-KR"/>
              </w:rPr>
              <w:t>i) Permettre aux examinateurs de demandes d’enregistrement de marques de mieux appréhender les principes du droit en matière de marques et les procédures d’examen des demandes d’enregistrement de marques;  ii) accroître leurs compétences en matière d’examen des demandes d’enregistrement de marques;  iii) donner l’occasion d’échanger sur les systèmes nationaux d’enregistrement et de gestion des marques et sur les enjeux en matière d’examen des demandes de marques;  iv) Permettre de mieux comprendre et de mieux utiliser le système de Madrid.</w:t>
            </w:r>
          </w:p>
        </w:tc>
      </w:tr>
      <w:tr w:rsidR="00767EC2" w:rsidRPr="00F076D7" w14:paraId="738B3607" w14:textId="77777777" w:rsidTr="00A83D07">
        <w:trPr>
          <w:cantSplit/>
        </w:trPr>
        <w:tc>
          <w:tcPr>
            <w:tcW w:w="1773" w:type="dxa"/>
          </w:tcPr>
          <w:p w14:paraId="60EC2817" w14:textId="77777777" w:rsidR="00767EC2" w:rsidRPr="00F076D7" w:rsidRDefault="00767EC2" w:rsidP="00A83D07">
            <w:pPr>
              <w:autoSpaceDE w:val="0"/>
              <w:autoSpaceDN w:val="0"/>
              <w:adjustRightInd w:val="0"/>
              <w:rPr>
                <w:sz w:val="16"/>
                <w:szCs w:val="16"/>
              </w:rPr>
            </w:pPr>
            <w:r w:rsidRPr="00F076D7">
              <w:rPr>
                <w:rFonts w:eastAsia="Malgun Gothic" w:cs="Times New Roman"/>
                <w:sz w:val="16"/>
                <w:szCs w:val="16"/>
                <w:lang w:eastAsia="ko-KR"/>
              </w:rPr>
              <w:t>Séminaire sur le règlement des différends dans les litiges liés à la propriété intellectuelle et à la technologie</w:t>
            </w:r>
          </w:p>
        </w:tc>
        <w:tc>
          <w:tcPr>
            <w:tcW w:w="1174" w:type="dxa"/>
          </w:tcPr>
          <w:p w14:paraId="5ECAF467" w14:textId="77777777" w:rsidR="00767EC2" w:rsidRPr="00F076D7" w:rsidRDefault="00767EC2" w:rsidP="00A83D07">
            <w:pPr>
              <w:autoSpaceDE w:val="0"/>
              <w:autoSpaceDN w:val="0"/>
              <w:adjustRightInd w:val="0"/>
              <w:rPr>
                <w:sz w:val="16"/>
                <w:szCs w:val="16"/>
              </w:rPr>
            </w:pPr>
            <w:r w:rsidRPr="00F076D7">
              <w:rPr>
                <w:sz w:val="16"/>
                <w:szCs w:val="16"/>
              </w:rPr>
              <w:t>11 mars 2016</w:t>
            </w:r>
          </w:p>
        </w:tc>
        <w:tc>
          <w:tcPr>
            <w:tcW w:w="1773" w:type="dxa"/>
          </w:tcPr>
          <w:p w14:paraId="2B0F0037" w14:textId="77777777" w:rsidR="00767EC2" w:rsidRPr="00F076D7" w:rsidRDefault="00767EC2" w:rsidP="00A83D07">
            <w:pPr>
              <w:autoSpaceDE w:val="0"/>
              <w:autoSpaceDN w:val="0"/>
              <w:adjustRightInd w:val="0"/>
              <w:rPr>
                <w:sz w:val="16"/>
                <w:szCs w:val="16"/>
                <w:lang w:eastAsia="ko-KR"/>
              </w:rPr>
            </w:pPr>
            <w:r w:rsidRPr="00F076D7">
              <w:rPr>
                <w:sz w:val="16"/>
                <w:szCs w:val="16"/>
                <w:lang w:eastAsia="ko-KR"/>
              </w:rPr>
              <w:t>République de Corée/ approximativement 170 participants de la République de Corée</w:t>
            </w:r>
          </w:p>
        </w:tc>
        <w:tc>
          <w:tcPr>
            <w:tcW w:w="4352" w:type="dxa"/>
          </w:tcPr>
          <w:p w14:paraId="79880DED" w14:textId="77777777" w:rsidR="00767EC2" w:rsidRPr="00F076D7" w:rsidRDefault="00767EC2" w:rsidP="00A83D07">
            <w:pPr>
              <w:autoSpaceDE w:val="0"/>
              <w:autoSpaceDN w:val="0"/>
              <w:adjustRightInd w:val="0"/>
              <w:rPr>
                <w:sz w:val="16"/>
                <w:szCs w:val="16"/>
              </w:rPr>
            </w:pPr>
            <w:r w:rsidRPr="00F076D7">
              <w:rPr>
                <w:sz w:val="16"/>
                <w:szCs w:val="16"/>
              </w:rPr>
              <w:t>i) Offrir une meilleure compréhension des procédures de règlement des différends dans les litiges liés à la propriété intellectuelle;  ii) partager l’expérience du Centre de l’OMPI en matière de règlement des différends avec les administrations nationales en charge du règlement des différends;  iii) et encourager les pays en développement à élaborer et mettre en œuvre des procédures de règlement des différends appropriées.</w:t>
            </w:r>
          </w:p>
        </w:tc>
      </w:tr>
      <w:tr w:rsidR="00767EC2" w:rsidRPr="00F076D7" w14:paraId="622B3791" w14:textId="77777777" w:rsidTr="00A83D07">
        <w:trPr>
          <w:cantSplit/>
        </w:trPr>
        <w:tc>
          <w:tcPr>
            <w:tcW w:w="1773" w:type="dxa"/>
          </w:tcPr>
          <w:p w14:paraId="3EA4B131" w14:textId="77777777" w:rsidR="00767EC2" w:rsidRPr="00F076D7" w:rsidRDefault="00767EC2" w:rsidP="00A83D07">
            <w:pPr>
              <w:keepNext/>
              <w:keepLines/>
              <w:autoSpaceDE w:val="0"/>
              <w:autoSpaceDN w:val="0"/>
              <w:adjustRightInd w:val="0"/>
              <w:rPr>
                <w:sz w:val="16"/>
                <w:szCs w:val="16"/>
                <w:highlight w:val="cyan"/>
              </w:rPr>
            </w:pPr>
            <w:r w:rsidRPr="00F076D7">
              <w:rPr>
                <w:sz w:val="16"/>
                <w:szCs w:val="16"/>
              </w:rPr>
              <w:t>Séminaire de propriété industrielle sur la médiation et l’arbitrage des litiges en matière de propriété intellectuelle</w:t>
            </w:r>
          </w:p>
        </w:tc>
        <w:tc>
          <w:tcPr>
            <w:tcW w:w="1174" w:type="dxa"/>
          </w:tcPr>
          <w:p w14:paraId="4F2E6803" w14:textId="77777777" w:rsidR="00767EC2" w:rsidRPr="00F076D7" w:rsidRDefault="00767EC2" w:rsidP="00A83D07">
            <w:pPr>
              <w:keepNext/>
              <w:keepLines/>
              <w:autoSpaceDE w:val="0"/>
              <w:autoSpaceDN w:val="0"/>
              <w:adjustRightInd w:val="0"/>
              <w:rPr>
                <w:sz w:val="16"/>
                <w:szCs w:val="16"/>
              </w:rPr>
            </w:pPr>
            <w:r w:rsidRPr="00F076D7">
              <w:rPr>
                <w:sz w:val="16"/>
                <w:szCs w:val="16"/>
              </w:rPr>
              <w:t>17 – 22 novembre 2016</w:t>
            </w:r>
          </w:p>
        </w:tc>
        <w:tc>
          <w:tcPr>
            <w:tcW w:w="1773" w:type="dxa"/>
          </w:tcPr>
          <w:p w14:paraId="4259124E" w14:textId="77777777" w:rsidR="00767EC2" w:rsidRPr="00F076D7" w:rsidRDefault="00767EC2" w:rsidP="00A83D07">
            <w:pPr>
              <w:keepNext/>
              <w:keepLines/>
              <w:autoSpaceDE w:val="0"/>
              <w:autoSpaceDN w:val="0"/>
              <w:adjustRightInd w:val="0"/>
              <w:rPr>
                <w:sz w:val="16"/>
                <w:szCs w:val="16"/>
                <w:lang w:eastAsia="ko-KR"/>
              </w:rPr>
            </w:pPr>
            <w:r w:rsidRPr="00F076D7">
              <w:rPr>
                <w:sz w:val="16"/>
                <w:szCs w:val="16"/>
                <w:lang w:eastAsia="ko-KR"/>
              </w:rPr>
              <w:t>Cuba, El Salvador et Mexique/ approximativement 50 participants de Cuba, 136 participants d’El Salvador, 100 participants du Mexique</w:t>
            </w:r>
          </w:p>
        </w:tc>
        <w:tc>
          <w:tcPr>
            <w:tcW w:w="4352" w:type="dxa"/>
          </w:tcPr>
          <w:p w14:paraId="6E2024A8" w14:textId="77777777" w:rsidR="00767EC2" w:rsidRPr="00F076D7" w:rsidRDefault="00767EC2" w:rsidP="00A83D07">
            <w:pPr>
              <w:keepNext/>
              <w:keepLines/>
              <w:autoSpaceDE w:val="0"/>
              <w:autoSpaceDN w:val="0"/>
              <w:adjustRightInd w:val="0"/>
              <w:rPr>
                <w:sz w:val="16"/>
                <w:szCs w:val="16"/>
              </w:rPr>
            </w:pPr>
            <w:r w:rsidRPr="00F076D7">
              <w:rPr>
                <w:sz w:val="16"/>
                <w:szCs w:val="16"/>
              </w:rPr>
              <w:t>i) Offrir une meilleure compréhension des procédures de règlement des différends dans les litiges liés à la propriété intellectuelle;  ii) partager l’expérience du Centre de l’OMPI en matière de règlement des différends avec les administrations nationales en charge du règlement des différends;  iii) et encourager les pays en développement à élaborer et mettre en œuvre des procédures de règlement des différends appropriées.</w:t>
            </w:r>
          </w:p>
        </w:tc>
      </w:tr>
      <w:tr w:rsidR="00767EC2" w:rsidRPr="00F076D7" w14:paraId="1A8FB2A0" w14:textId="77777777" w:rsidTr="00A83D07">
        <w:trPr>
          <w:cantSplit/>
        </w:trPr>
        <w:tc>
          <w:tcPr>
            <w:tcW w:w="1773" w:type="dxa"/>
          </w:tcPr>
          <w:p w14:paraId="2EFF9D27" w14:textId="77777777" w:rsidR="00767EC2" w:rsidRPr="00F076D7" w:rsidRDefault="00767EC2" w:rsidP="00A83D07">
            <w:pPr>
              <w:autoSpaceDE w:val="0"/>
              <w:autoSpaceDN w:val="0"/>
              <w:adjustRightInd w:val="0"/>
              <w:rPr>
                <w:sz w:val="16"/>
                <w:szCs w:val="16"/>
              </w:rPr>
            </w:pPr>
            <w:r w:rsidRPr="00F076D7">
              <w:rPr>
                <w:sz w:val="16"/>
                <w:szCs w:val="16"/>
              </w:rPr>
              <w:t>Projet sur les semences : programme international d’éducation sur les idées, l’invention, l’innovation et la propriété intellectuelle</w:t>
            </w:r>
          </w:p>
        </w:tc>
        <w:tc>
          <w:tcPr>
            <w:tcW w:w="1174" w:type="dxa"/>
          </w:tcPr>
          <w:p w14:paraId="1F3CB517" w14:textId="77777777" w:rsidR="00767EC2" w:rsidRPr="00F076D7" w:rsidRDefault="00767EC2" w:rsidP="00A83D07">
            <w:pPr>
              <w:autoSpaceDE w:val="0"/>
              <w:autoSpaceDN w:val="0"/>
              <w:adjustRightInd w:val="0"/>
              <w:rPr>
                <w:sz w:val="16"/>
                <w:szCs w:val="16"/>
              </w:rPr>
            </w:pPr>
            <w:r w:rsidRPr="00F076D7">
              <w:rPr>
                <w:sz w:val="16"/>
                <w:szCs w:val="16"/>
              </w:rPr>
              <w:t>16 – 20 mai 2016</w:t>
            </w:r>
          </w:p>
        </w:tc>
        <w:tc>
          <w:tcPr>
            <w:tcW w:w="1773" w:type="dxa"/>
          </w:tcPr>
          <w:p w14:paraId="76FBF79D" w14:textId="77777777" w:rsidR="00767EC2" w:rsidRPr="00F076D7" w:rsidRDefault="00767EC2" w:rsidP="00A83D07">
            <w:pPr>
              <w:autoSpaceDE w:val="0"/>
              <w:autoSpaceDN w:val="0"/>
              <w:adjustRightInd w:val="0"/>
              <w:rPr>
                <w:sz w:val="16"/>
                <w:szCs w:val="16"/>
              </w:rPr>
            </w:pPr>
            <w:r w:rsidRPr="00F076D7">
              <w:rPr>
                <w:sz w:val="16"/>
                <w:szCs w:val="16"/>
                <w:lang w:eastAsia="ko-KR"/>
              </w:rPr>
              <w:t>République de Corée</w:t>
            </w:r>
            <w:r w:rsidRPr="00F076D7">
              <w:rPr>
                <w:sz w:val="16"/>
                <w:szCs w:val="16"/>
              </w:rPr>
              <w:t>/ 15 participants des pays suivants : Malaisie, Mongolie, Philippines, Turquie, Viet Nam</w:t>
            </w:r>
          </w:p>
        </w:tc>
        <w:tc>
          <w:tcPr>
            <w:tcW w:w="4352" w:type="dxa"/>
          </w:tcPr>
          <w:p w14:paraId="3B572E15" w14:textId="77777777" w:rsidR="00767EC2" w:rsidRPr="00F076D7" w:rsidRDefault="00767EC2" w:rsidP="00A83D07">
            <w:pPr>
              <w:autoSpaceDE w:val="0"/>
              <w:autoSpaceDN w:val="0"/>
              <w:adjustRightInd w:val="0"/>
              <w:rPr>
                <w:sz w:val="16"/>
                <w:szCs w:val="16"/>
              </w:rPr>
            </w:pPr>
            <w:r w:rsidRPr="00F076D7">
              <w:rPr>
                <w:sz w:val="16"/>
                <w:szCs w:val="16"/>
              </w:rPr>
              <w:t>Les objectifs du projet sont les suivants : i) permettre aux participants de mieux appréhender le processus d’invention, la protection des inventions et la gestion des droits de propriété intellectuelle;  ii) transmettre le savoir</w:t>
            </w:r>
            <w:r w:rsidRPr="00F076D7">
              <w:rPr>
                <w:sz w:val="16"/>
                <w:szCs w:val="16"/>
              </w:rPr>
              <w:noBreakHyphen/>
              <w:t>faire que la République de Corée a acquis quant à une méthode d’enseignement grâce à divers programmes éducatifs et projets afin de permettre aux participants de diffuser plus largement les connaissances et les compétences au niveau national.</w:t>
            </w:r>
          </w:p>
        </w:tc>
      </w:tr>
      <w:tr w:rsidR="00767EC2" w:rsidRPr="00F076D7" w14:paraId="0E0D26A8" w14:textId="77777777" w:rsidTr="00A83D07">
        <w:trPr>
          <w:cantSplit/>
        </w:trPr>
        <w:tc>
          <w:tcPr>
            <w:tcW w:w="1773" w:type="dxa"/>
          </w:tcPr>
          <w:p w14:paraId="15C4532F" w14:textId="77777777" w:rsidR="00767EC2" w:rsidRPr="00F076D7" w:rsidRDefault="00767EC2" w:rsidP="00A83D07">
            <w:pPr>
              <w:autoSpaceDE w:val="0"/>
              <w:autoSpaceDN w:val="0"/>
              <w:adjustRightInd w:val="0"/>
              <w:rPr>
                <w:sz w:val="16"/>
                <w:szCs w:val="16"/>
              </w:rPr>
            </w:pPr>
            <w:r w:rsidRPr="00F076D7">
              <w:rPr>
                <w:sz w:val="16"/>
                <w:szCs w:val="16"/>
              </w:rPr>
              <w:t xml:space="preserve">Production de films d’animation </w:t>
            </w:r>
            <w:proofErr w:type="spellStart"/>
            <w:r w:rsidRPr="00F076D7">
              <w:rPr>
                <w:sz w:val="16"/>
                <w:szCs w:val="16"/>
              </w:rPr>
              <w:t>Pororo</w:t>
            </w:r>
            <w:proofErr w:type="spellEnd"/>
            <w:r w:rsidRPr="00F076D7">
              <w:rPr>
                <w:sz w:val="16"/>
                <w:szCs w:val="16"/>
              </w:rPr>
              <w:t xml:space="preserve"> sur DVD et Guide (en anglais, espagnol et français)</w:t>
            </w:r>
          </w:p>
        </w:tc>
        <w:tc>
          <w:tcPr>
            <w:tcW w:w="1174" w:type="dxa"/>
          </w:tcPr>
          <w:p w14:paraId="27B7E840" w14:textId="77777777" w:rsidR="00767EC2" w:rsidRPr="00F076D7" w:rsidRDefault="00767EC2" w:rsidP="00A83D07">
            <w:pPr>
              <w:autoSpaceDE w:val="0"/>
              <w:autoSpaceDN w:val="0"/>
              <w:adjustRightInd w:val="0"/>
              <w:rPr>
                <w:sz w:val="16"/>
                <w:szCs w:val="16"/>
              </w:rPr>
            </w:pPr>
            <w:r w:rsidRPr="00F076D7">
              <w:rPr>
                <w:sz w:val="16"/>
                <w:szCs w:val="16"/>
              </w:rPr>
              <w:t>Janvier – décembre 2016</w:t>
            </w:r>
          </w:p>
        </w:tc>
        <w:tc>
          <w:tcPr>
            <w:tcW w:w="1773" w:type="dxa"/>
          </w:tcPr>
          <w:p w14:paraId="55559F3D" w14:textId="77777777" w:rsidR="00767EC2" w:rsidRPr="00F076D7" w:rsidRDefault="00767EC2" w:rsidP="00A83D07">
            <w:pPr>
              <w:autoSpaceDE w:val="0"/>
              <w:autoSpaceDN w:val="0"/>
              <w:adjustRightInd w:val="0"/>
              <w:rPr>
                <w:sz w:val="16"/>
                <w:szCs w:val="16"/>
              </w:rPr>
            </w:pPr>
            <w:r w:rsidRPr="00F076D7">
              <w:rPr>
                <w:sz w:val="16"/>
                <w:szCs w:val="16"/>
              </w:rPr>
              <w:t>République de Corée</w:t>
            </w:r>
          </w:p>
        </w:tc>
        <w:tc>
          <w:tcPr>
            <w:tcW w:w="4352" w:type="dxa"/>
          </w:tcPr>
          <w:p w14:paraId="50CAC5A5" w14:textId="77777777" w:rsidR="00767EC2" w:rsidRPr="00F076D7" w:rsidRDefault="00767EC2" w:rsidP="00A83D07">
            <w:pPr>
              <w:autoSpaceDE w:val="0"/>
              <w:autoSpaceDN w:val="0"/>
              <w:adjustRightInd w:val="0"/>
              <w:rPr>
                <w:sz w:val="16"/>
                <w:szCs w:val="16"/>
              </w:rPr>
            </w:pPr>
            <w:r w:rsidRPr="00F076D7">
              <w:rPr>
                <w:sz w:val="16"/>
                <w:szCs w:val="16"/>
              </w:rPr>
              <w:t>i) Fournir du matériel convivial sur la propriété intellectuelle à des non</w:t>
            </w:r>
            <w:r w:rsidRPr="00F076D7">
              <w:rPr>
                <w:sz w:val="16"/>
                <w:szCs w:val="16"/>
              </w:rPr>
              <w:noBreakHyphen/>
              <w:t>spécialistes de la propriété intellectuelle;  ii) augmenter l’intérêt du public sur des sujets de propriété intellectuelle;  iii) aider les écoles et autres établissements éducatifs à élaborer des cours favorisant la créativité;  et iv) fournir aux utilisateurs de la propriété intellectuelle une meilleure accessibilité au matériel relatif à la propriété intellectuelle dans les langues locales</w:t>
            </w:r>
          </w:p>
        </w:tc>
      </w:tr>
      <w:tr w:rsidR="00767EC2" w:rsidRPr="00F076D7" w14:paraId="60766AD2" w14:textId="77777777" w:rsidTr="00A83D07">
        <w:trPr>
          <w:cantSplit/>
        </w:trPr>
        <w:tc>
          <w:tcPr>
            <w:tcW w:w="1773" w:type="dxa"/>
          </w:tcPr>
          <w:p w14:paraId="2990BB19" w14:textId="77777777" w:rsidR="00767EC2" w:rsidRPr="00F076D7" w:rsidRDefault="00767EC2" w:rsidP="00A83D07">
            <w:pPr>
              <w:autoSpaceDE w:val="0"/>
              <w:autoSpaceDN w:val="0"/>
              <w:adjustRightInd w:val="0"/>
              <w:rPr>
                <w:sz w:val="16"/>
                <w:szCs w:val="16"/>
                <w:lang w:eastAsia="ko-KR"/>
              </w:rPr>
            </w:pPr>
            <w:r w:rsidRPr="00F076D7">
              <w:rPr>
                <w:sz w:val="16"/>
                <w:szCs w:val="16"/>
                <w:lang w:eastAsia="ko-KR"/>
              </w:rPr>
              <w:t xml:space="preserve">Production de versions doublées de films d’animation </w:t>
            </w:r>
            <w:proofErr w:type="spellStart"/>
            <w:r w:rsidRPr="00F076D7">
              <w:rPr>
                <w:sz w:val="16"/>
                <w:szCs w:val="16"/>
                <w:lang w:eastAsia="ko-KR"/>
              </w:rPr>
              <w:t>Pororo</w:t>
            </w:r>
            <w:proofErr w:type="spellEnd"/>
            <w:r w:rsidRPr="00F076D7">
              <w:rPr>
                <w:sz w:val="16"/>
                <w:szCs w:val="16"/>
                <w:lang w:eastAsia="ko-KR"/>
              </w:rPr>
              <w:t xml:space="preserve"> sur DVD (CD) et Guide (manuel) en arabe</w:t>
            </w:r>
          </w:p>
        </w:tc>
        <w:tc>
          <w:tcPr>
            <w:tcW w:w="1174" w:type="dxa"/>
          </w:tcPr>
          <w:p w14:paraId="30666D2C" w14:textId="77777777" w:rsidR="00767EC2" w:rsidRPr="00F076D7" w:rsidRDefault="00767EC2" w:rsidP="00A83D07">
            <w:pPr>
              <w:autoSpaceDE w:val="0"/>
              <w:autoSpaceDN w:val="0"/>
              <w:adjustRightInd w:val="0"/>
              <w:rPr>
                <w:sz w:val="16"/>
                <w:szCs w:val="16"/>
                <w:lang w:eastAsia="ko-KR"/>
              </w:rPr>
            </w:pPr>
            <w:r w:rsidRPr="00F076D7">
              <w:rPr>
                <w:sz w:val="16"/>
                <w:szCs w:val="16"/>
                <w:lang w:eastAsia="ko-KR"/>
              </w:rPr>
              <w:t>Janvier – décembre 2016</w:t>
            </w:r>
          </w:p>
        </w:tc>
        <w:tc>
          <w:tcPr>
            <w:tcW w:w="1773" w:type="dxa"/>
          </w:tcPr>
          <w:p w14:paraId="64770893" w14:textId="77777777" w:rsidR="00767EC2" w:rsidRPr="00F076D7" w:rsidRDefault="00767EC2" w:rsidP="00A83D07">
            <w:pPr>
              <w:autoSpaceDE w:val="0"/>
              <w:autoSpaceDN w:val="0"/>
              <w:adjustRightInd w:val="0"/>
              <w:rPr>
                <w:sz w:val="16"/>
                <w:szCs w:val="16"/>
              </w:rPr>
            </w:pPr>
            <w:r w:rsidRPr="00F076D7">
              <w:rPr>
                <w:sz w:val="16"/>
                <w:szCs w:val="16"/>
              </w:rPr>
              <w:t>République de Corée</w:t>
            </w:r>
          </w:p>
        </w:tc>
        <w:tc>
          <w:tcPr>
            <w:tcW w:w="4352" w:type="dxa"/>
          </w:tcPr>
          <w:p w14:paraId="4590D634" w14:textId="77777777" w:rsidR="00767EC2" w:rsidRPr="00F076D7" w:rsidRDefault="00767EC2" w:rsidP="00A83D07">
            <w:pPr>
              <w:autoSpaceDE w:val="0"/>
              <w:autoSpaceDN w:val="0"/>
              <w:adjustRightInd w:val="0"/>
              <w:rPr>
                <w:rFonts w:eastAsia="SimSun"/>
                <w:sz w:val="16"/>
                <w:szCs w:val="16"/>
                <w:lang w:eastAsia="ko-KR"/>
              </w:rPr>
            </w:pPr>
            <w:r w:rsidRPr="00F076D7">
              <w:rPr>
                <w:rFonts w:eastAsia="SimSun"/>
                <w:sz w:val="16"/>
                <w:szCs w:val="16"/>
                <w:lang w:eastAsia="ko-KR"/>
              </w:rPr>
              <w:t>i) Fournir du matériel convivial sur la propriété intellectuelle à des non</w:t>
            </w:r>
            <w:r w:rsidRPr="00F076D7">
              <w:rPr>
                <w:rFonts w:eastAsia="SimSun"/>
                <w:sz w:val="16"/>
                <w:szCs w:val="16"/>
                <w:lang w:eastAsia="ko-KR"/>
              </w:rPr>
              <w:noBreakHyphen/>
              <w:t>spécialistes de la propriété intellectuelle;  ii) augmenter l’intérêt du public sur des sujets de propriété intellectuelle;  iii) aider les écoles et autres établissements éducatifs à élaborer des cours favorisant la créativité;  et iv) fournir aux utilisateurs de la propriété intellectuelle une meilleure accessibilité au matériel relatif à la propriété intellectuelle dans les langues locales</w:t>
            </w:r>
          </w:p>
        </w:tc>
      </w:tr>
      <w:tr w:rsidR="00767EC2" w:rsidRPr="00F076D7" w14:paraId="3CB4EA06" w14:textId="77777777" w:rsidTr="00A83D07">
        <w:trPr>
          <w:cantSplit/>
        </w:trPr>
        <w:tc>
          <w:tcPr>
            <w:tcW w:w="1773" w:type="dxa"/>
          </w:tcPr>
          <w:p w14:paraId="39ECE3A4" w14:textId="77777777" w:rsidR="00767EC2" w:rsidRPr="00F076D7" w:rsidRDefault="00767EC2" w:rsidP="00A83D07">
            <w:pPr>
              <w:autoSpaceDE w:val="0"/>
              <w:autoSpaceDN w:val="0"/>
              <w:adjustRightInd w:val="0"/>
              <w:rPr>
                <w:sz w:val="16"/>
                <w:szCs w:val="16"/>
                <w:highlight w:val="cyan"/>
              </w:rPr>
            </w:pPr>
            <w:r w:rsidRPr="00F076D7">
              <w:rPr>
                <w:sz w:val="16"/>
                <w:szCs w:val="16"/>
              </w:rPr>
              <w:t xml:space="preserve">Production d’un nouveau sujet (“dessins et modèles industriels”) dans les films d’animation </w:t>
            </w:r>
            <w:proofErr w:type="spellStart"/>
            <w:r w:rsidRPr="00F076D7">
              <w:rPr>
                <w:sz w:val="16"/>
                <w:szCs w:val="16"/>
              </w:rPr>
              <w:t>Pororo</w:t>
            </w:r>
            <w:proofErr w:type="spellEnd"/>
          </w:p>
        </w:tc>
        <w:tc>
          <w:tcPr>
            <w:tcW w:w="1174" w:type="dxa"/>
          </w:tcPr>
          <w:p w14:paraId="4FE5CCE4" w14:textId="77777777" w:rsidR="00767EC2" w:rsidRPr="00F076D7" w:rsidRDefault="00767EC2" w:rsidP="00A83D07">
            <w:pPr>
              <w:autoSpaceDE w:val="0"/>
              <w:autoSpaceDN w:val="0"/>
              <w:adjustRightInd w:val="0"/>
              <w:rPr>
                <w:sz w:val="16"/>
                <w:szCs w:val="16"/>
                <w:lang w:eastAsia="ko-KR"/>
              </w:rPr>
            </w:pPr>
            <w:r w:rsidRPr="00F076D7">
              <w:rPr>
                <w:sz w:val="16"/>
                <w:szCs w:val="16"/>
                <w:lang w:eastAsia="ko-KR"/>
              </w:rPr>
              <w:t>Décembre 2016</w:t>
            </w:r>
          </w:p>
        </w:tc>
        <w:tc>
          <w:tcPr>
            <w:tcW w:w="1773" w:type="dxa"/>
          </w:tcPr>
          <w:p w14:paraId="3DF21727" w14:textId="77777777" w:rsidR="00767EC2" w:rsidRPr="00F076D7" w:rsidRDefault="00767EC2" w:rsidP="00A83D07">
            <w:pPr>
              <w:autoSpaceDE w:val="0"/>
              <w:autoSpaceDN w:val="0"/>
              <w:adjustRightInd w:val="0"/>
              <w:rPr>
                <w:sz w:val="16"/>
                <w:szCs w:val="16"/>
              </w:rPr>
            </w:pPr>
            <w:r w:rsidRPr="00F076D7">
              <w:rPr>
                <w:sz w:val="16"/>
                <w:szCs w:val="16"/>
              </w:rPr>
              <w:t>République de Corée</w:t>
            </w:r>
          </w:p>
        </w:tc>
        <w:tc>
          <w:tcPr>
            <w:tcW w:w="4352" w:type="dxa"/>
          </w:tcPr>
          <w:p w14:paraId="0B6F0239" w14:textId="77777777" w:rsidR="00767EC2" w:rsidRPr="00F076D7" w:rsidRDefault="00767EC2" w:rsidP="00A83D07">
            <w:pPr>
              <w:autoSpaceDE w:val="0"/>
              <w:autoSpaceDN w:val="0"/>
              <w:adjustRightInd w:val="0"/>
              <w:rPr>
                <w:rFonts w:eastAsia="SimSun"/>
                <w:sz w:val="16"/>
                <w:szCs w:val="16"/>
                <w:lang w:eastAsia="ko-KR"/>
              </w:rPr>
            </w:pPr>
            <w:r w:rsidRPr="00F076D7">
              <w:rPr>
                <w:rFonts w:eastAsia="SimSun"/>
                <w:sz w:val="16"/>
                <w:szCs w:val="16"/>
                <w:lang w:eastAsia="ko-KR"/>
              </w:rPr>
              <w:t>i) Fournir du matériel convivial sur la propriété intellectuelle à des non</w:t>
            </w:r>
            <w:r w:rsidRPr="00F076D7">
              <w:rPr>
                <w:rFonts w:eastAsia="SimSun"/>
                <w:sz w:val="16"/>
                <w:szCs w:val="16"/>
                <w:lang w:eastAsia="ko-KR"/>
              </w:rPr>
              <w:noBreakHyphen/>
              <w:t>spécialistes de la propriété intellectuelle;  ii) augmenter l’intérêt du public sur des sujets de propriété intellectuelle;  iii) aider les écoles et autres établissements éducatifs à élaborer des cours favorisant la créativité;  et iv) fournir aux utilisateurs de la propriété intellectuelle une meilleure accessibilité au matériel relatif à la propriété intellectuelle dans les langues locales</w:t>
            </w:r>
          </w:p>
        </w:tc>
      </w:tr>
      <w:tr w:rsidR="00767EC2" w:rsidRPr="00F076D7" w14:paraId="229AD734" w14:textId="77777777" w:rsidTr="00A83D07">
        <w:trPr>
          <w:cantSplit/>
        </w:trPr>
        <w:tc>
          <w:tcPr>
            <w:tcW w:w="1773" w:type="dxa"/>
          </w:tcPr>
          <w:p w14:paraId="0382AD31" w14:textId="77777777" w:rsidR="00767EC2" w:rsidRPr="00F076D7" w:rsidRDefault="00767EC2" w:rsidP="00A83D07">
            <w:pPr>
              <w:autoSpaceDE w:val="0"/>
              <w:autoSpaceDN w:val="0"/>
              <w:adjustRightInd w:val="0"/>
              <w:rPr>
                <w:sz w:val="16"/>
                <w:szCs w:val="16"/>
              </w:rPr>
            </w:pPr>
            <w:r w:rsidRPr="00F076D7">
              <w:rPr>
                <w:sz w:val="16"/>
                <w:szCs w:val="16"/>
              </w:rPr>
              <w:t>Production d’un outil informatique ludo</w:t>
            </w:r>
            <w:r w:rsidRPr="00F076D7">
              <w:rPr>
                <w:sz w:val="16"/>
                <w:szCs w:val="16"/>
              </w:rPr>
              <w:noBreakHyphen/>
              <w:t>éducatif (CD et cahier d’exercices)</w:t>
            </w:r>
          </w:p>
        </w:tc>
        <w:tc>
          <w:tcPr>
            <w:tcW w:w="1174" w:type="dxa"/>
          </w:tcPr>
          <w:p w14:paraId="473AEF71" w14:textId="77777777" w:rsidR="00767EC2" w:rsidRPr="00F076D7" w:rsidRDefault="00767EC2" w:rsidP="00A83D07">
            <w:pPr>
              <w:autoSpaceDE w:val="0"/>
              <w:autoSpaceDN w:val="0"/>
              <w:adjustRightInd w:val="0"/>
              <w:rPr>
                <w:sz w:val="16"/>
                <w:szCs w:val="16"/>
                <w:lang w:eastAsia="ko-KR"/>
              </w:rPr>
            </w:pPr>
            <w:r w:rsidRPr="00F076D7">
              <w:rPr>
                <w:sz w:val="16"/>
                <w:szCs w:val="16"/>
                <w:lang w:eastAsia="ko-KR"/>
              </w:rPr>
              <w:t>Juillet 2016</w:t>
            </w:r>
          </w:p>
        </w:tc>
        <w:tc>
          <w:tcPr>
            <w:tcW w:w="1773" w:type="dxa"/>
          </w:tcPr>
          <w:p w14:paraId="3B009632" w14:textId="77777777" w:rsidR="00767EC2" w:rsidRPr="00F076D7" w:rsidRDefault="00767EC2" w:rsidP="00A83D07">
            <w:pPr>
              <w:autoSpaceDE w:val="0"/>
              <w:autoSpaceDN w:val="0"/>
              <w:adjustRightInd w:val="0"/>
              <w:rPr>
                <w:sz w:val="16"/>
                <w:szCs w:val="16"/>
              </w:rPr>
            </w:pPr>
            <w:r w:rsidRPr="00F076D7">
              <w:rPr>
                <w:sz w:val="16"/>
                <w:szCs w:val="16"/>
              </w:rPr>
              <w:t>République de Corée</w:t>
            </w:r>
          </w:p>
        </w:tc>
        <w:tc>
          <w:tcPr>
            <w:tcW w:w="4352" w:type="dxa"/>
          </w:tcPr>
          <w:p w14:paraId="208ED555" w14:textId="77777777" w:rsidR="00767EC2" w:rsidRPr="00F076D7" w:rsidRDefault="00767EC2" w:rsidP="00A83D07">
            <w:pPr>
              <w:autoSpaceDE w:val="0"/>
              <w:autoSpaceDN w:val="0"/>
              <w:adjustRightInd w:val="0"/>
              <w:rPr>
                <w:sz w:val="16"/>
                <w:szCs w:val="16"/>
              </w:rPr>
            </w:pPr>
            <w:r w:rsidRPr="00F076D7">
              <w:rPr>
                <w:sz w:val="16"/>
                <w:szCs w:val="16"/>
              </w:rPr>
              <w:t>i) Mettre à la disposition du public, notamment des jeunes, un outil simple et ludique afin qu’ils s’intéressent aux questions de propriété intellectuelle;  ii) sensibiliser de manière efficace et durable les États membres de l’OMPI aux questions de propriété intellectuelle;  iii) proposer aux personnes rompues aux appareils numériques (la génération numérique) une méthode appropriée d’apprentissage dans le domaine de la propriété intellectuelle.</w:t>
            </w:r>
          </w:p>
        </w:tc>
      </w:tr>
      <w:tr w:rsidR="00767EC2" w:rsidRPr="00F076D7" w14:paraId="614C5FCB" w14:textId="77777777" w:rsidTr="00A83D07">
        <w:trPr>
          <w:cantSplit/>
        </w:trPr>
        <w:tc>
          <w:tcPr>
            <w:tcW w:w="9072" w:type="dxa"/>
            <w:gridSpan w:val="4"/>
            <w:shd w:val="clear" w:color="auto" w:fill="C6D9F1" w:themeFill="text2" w:themeFillTint="33"/>
            <w:vAlign w:val="center"/>
            <w:hideMark/>
          </w:tcPr>
          <w:p w14:paraId="293E97A5" w14:textId="77777777" w:rsidR="00767EC2" w:rsidRPr="00F076D7" w:rsidRDefault="00767EC2" w:rsidP="00A83D07">
            <w:pPr>
              <w:keepNext/>
              <w:keepLines/>
              <w:rPr>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767EC2" w:rsidRPr="00F076D7" w14:paraId="16851EE0" w14:textId="77777777" w:rsidTr="00A83D07">
        <w:trPr>
          <w:cantSplit/>
        </w:trPr>
        <w:tc>
          <w:tcPr>
            <w:tcW w:w="1773" w:type="dxa"/>
            <w:vAlign w:val="center"/>
            <w:hideMark/>
          </w:tcPr>
          <w:p w14:paraId="4A03DA31" w14:textId="77777777" w:rsidR="00767EC2" w:rsidRPr="00F076D7" w:rsidRDefault="00767EC2" w:rsidP="00A83D07">
            <w:pPr>
              <w:keepNext/>
              <w:keepLines/>
              <w:rPr>
                <w:b/>
                <w:bCs/>
                <w:sz w:val="16"/>
                <w:szCs w:val="16"/>
              </w:rPr>
            </w:pPr>
            <w:r w:rsidRPr="00F076D7">
              <w:rPr>
                <w:b/>
                <w:bCs/>
                <w:sz w:val="16"/>
                <w:szCs w:val="16"/>
              </w:rPr>
              <w:t>Activité</w:t>
            </w:r>
          </w:p>
        </w:tc>
        <w:tc>
          <w:tcPr>
            <w:tcW w:w="1174" w:type="dxa"/>
            <w:tcMar>
              <w:top w:w="57" w:type="dxa"/>
              <w:left w:w="108" w:type="dxa"/>
              <w:bottom w:w="57" w:type="dxa"/>
              <w:right w:w="108" w:type="dxa"/>
            </w:tcMar>
            <w:vAlign w:val="center"/>
            <w:hideMark/>
          </w:tcPr>
          <w:p w14:paraId="10D675C7" w14:textId="77777777" w:rsidR="00767EC2" w:rsidRPr="00F076D7" w:rsidRDefault="00767EC2" w:rsidP="00A83D07">
            <w:pPr>
              <w:keepNext/>
              <w:keepLines/>
              <w:rPr>
                <w:b/>
                <w:bCs/>
                <w:sz w:val="16"/>
                <w:szCs w:val="16"/>
              </w:rPr>
            </w:pPr>
            <w:r w:rsidRPr="00F076D7">
              <w:rPr>
                <w:b/>
                <w:bCs/>
                <w:sz w:val="16"/>
                <w:szCs w:val="16"/>
              </w:rPr>
              <w:t>Date</w:t>
            </w:r>
          </w:p>
        </w:tc>
        <w:tc>
          <w:tcPr>
            <w:tcW w:w="1773" w:type="dxa"/>
            <w:tcMar>
              <w:top w:w="57" w:type="dxa"/>
              <w:left w:w="108" w:type="dxa"/>
              <w:bottom w:w="57" w:type="dxa"/>
              <w:right w:w="108" w:type="dxa"/>
            </w:tcMar>
            <w:vAlign w:val="center"/>
            <w:hideMark/>
          </w:tcPr>
          <w:p w14:paraId="0E70FCF5" w14:textId="77777777" w:rsidR="00767EC2" w:rsidRPr="00F076D7" w:rsidRDefault="00767EC2" w:rsidP="00A83D07">
            <w:pPr>
              <w:keepNext/>
              <w:keepLines/>
              <w:rPr>
                <w:sz w:val="16"/>
                <w:szCs w:val="16"/>
              </w:rPr>
            </w:pPr>
            <w:r w:rsidRPr="00F076D7">
              <w:rPr>
                <w:b/>
                <w:sz w:val="16"/>
                <w:szCs w:val="16"/>
              </w:rPr>
              <w:t>Pays hôte/ bénéficiaires</w:t>
            </w:r>
          </w:p>
        </w:tc>
        <w:tc>
          <w:tcPr>
            <w:tcW w:w="4352" w:type="dxa"/>
            <w:shd w:val="clear" w:color="auto" w:fill="FFFFFF"/>
            <w:tcMar>
              <w:top w:w="57" w:type="dxa"/>
              <w:left w:w="108" w:type="dxa"/>
              <w:bottom w:w="57" w:type="dxa"/>
              <w:right w:w="108" w:type="dxa"/>
            </w:tcMar>
            <w:vAlign w:val="center"/>
            <w:hideMark/>
          </w:tcPr>
          <w:p w14:paraId="1FA4F62F" w14:textId="77777777" w:rsidR="00767EC2" w:rsidRPr="00F076D7" w:rsidRDefault="00767EC2" w:rsidP="00A83D07">
            <w:pPr>
              <w:keepNext/>
              <w:keepLines/>
              <w:rPr>
                <w:sz w:val="16"/>
                <w:szCs w:val="16"/>
              </w:rPr>
            </w:pPr>
            <w:r w:rsidRPr="00F076D7">
              <w:rPr>
                <w:b/>
                <w:sz w:val="16"/>
                <w:szCs w:val="16"/>
              </w:rPr>
              <w:t>Objectif(s)/description(s)</w:t>
            </w:r>
          </w:p>
        </w:tc>
      </w:tr>
      <w:tr w:rsidR="00767EC2" w:rsidRPr="00F076D7" w14:paraId="70C709A3" w14:textId="77777777" w:rsidTr="00A83D07">
        <w:trPr>
          <w:cantSplit/>
        </w:trPr>
        <w:tc>
          <w:tcPr>
            <w:tcW w:w="1773" w:type="dxa"/>
          </w:tcPr>
          <w:p w14:paraId="0BFE3AE4" w14:textId="77777777" w:rsidR="00767EC2" w:rsidRPr="00F076D7" w:rsidRDefault="00767EC2" w:rsidP="00A83D07">
            <w:pPr>
              <w:keepNext/>
              <w:keepLines/>
              <w:autoSpaceDE w:val="0"/>
              <w:autoSpaceDN w:val="0"/>
              <w:adjustRightInd w:val="0"/>
              <w:rPr>
                <w:rFonts w:eastAsia="SimSun" w:cs="Times New Roman"/>
                <w:sz w:val="16"/>
                <w:szCs w:val="16"/>
                <w:lang w:eastAsia="zh-CN"/>
              </w:rPr>
            </w:pPr>
            <w:r w:rsidRPr="00F076D7">
              <w:rPr>
                <w:rFonts w:eastAsia="SimSun" w:cs="Times New Roman"/>
                <w:sz w:val="16"/>
                <w:szCs w:val="16"/>
                <w:lang w:eastAsia="zh-CN"/>
              </w:rPr>
              <w:t>Projet sur l’utilisation de la propriété intellectuelle aux fins de développement et d’utilisation de technologies appropriées : Concours final et cérémonie de remise des prix et atelier final</w:t>
            </w:r>
          </w:p>
        </w:tc>
        <w:tc>
          <w:tcPr>
            <w:tcW w:w="1174" w:type="dxa"/>
          </w:tcPr>
          <w:p w14:paraId="3325E331" w14:textId="77777777" w:rsidR="00767EC2" w:rsidRPr="00F076D7" w:rsidRDefault="00767EC2" w:rsidP="00A83D07">
            <w:pPr>
              <w:keepNext/>
              <w:keepLines/>
              <w:autoSpaceDE w:val="0"/>
              <w:autoSpaceDN w:val="0"/>
              <w:adjustRightInd w:val="0"/>
              <w:rPr>
                <w:sz w:val="16"/>
                <w:szCs w:val="16"/>
              </w:rPr>
            </w:pPr>
            <w:r w:rsidRPr="00F076D7">
              <w:rPr>
                <w:sz w:val="16"/>
                <w:szCs w:val="16"/>
              </w:rPr>
              <w:t>20 – 22 avril 2016</w:t>
            </w:r>
          </w:p>
        </w:tc>
        <w:tc>
          <w:tcPr>
            <w:tcW w:w="1773" w:type="dxa"/>
          </w:tcPr>
          <w:p w14:paraId="4F89A8A4" w14:textId="77777777" w:rsidR="00767EC2" w:rsidRPr="00F076D7" w:rsidRDefault="00767EC2" w:rsidP="00A83D07">
            <w:pPr>
              <w:keepNext/>
              <w:keepLines/>
              <w:autoSpaceDE w:val="0"/>
              <w:autoSpaceDN w:val="0"/>
              <w:adjustRightInd w:val="0"/>
              <w:rPr>
                <w:sz w:val="16"/>
                <w:szCs w:val="16"/>
              </w:rPr>
            </w:pPr>
            <w:r w:rsidRPr="00F076D7">
              <w:rPr>
                <w:sz w:val="16"/>
                <w:szCs w:val="16"/>
              </w:rPr>
              <w:t>République dominicaine/ approximativement 200 participants de la République dominicaine</w:t>
            </w:r>
          </w:p>
        </w:tc>
        <w:tc>
          <w:tcPr>
            <w:tcW w:w="4352" w:type="dxa"/>
          </w:tcPr>
          <w:p w14:paraId="6F176D3F" w14:textId="77777777" w:rsidR="00767EC2" w:rsidRPr="00F076D7" w:rsidRDefault="00767EC2" w:rsidP="00A83D07">
            <w:pPr>
              <w:keepNext/>
              <w:keepLines/>
              <w:autoSpaceDE w:val="0"/>
              <w:autoSpaceDN w:val="0"/>
              <w:adjustRightInd w:val="0"/>
              <w:rPr>
                <w:sz w:val="16"/>
                <w:szCs w:val="16"/>
                <w:lang w:eastAsia="ko-KR"/>
              </w:rPr>
            </w:pPr>
            <w:r w:rsidRPr="00F076D7">
              <w:rPr>
                <w:rFonts w:eastAsia="SimSun" w:cs="Times New Roman"/>
                <w:sz w:val="16"/>
                <w:szCs w:val="16"/>
                <w:lang w:eastAsia="zh-CN"/>
              </w:rPr>
              <w:t>Le concours visait à encourager et à récompenser les meilleures inventions de technologies agricoles, que les communautés locales pourraient exploiter de manière simple et économique pour satisfaire leurs besoins, et qui contribueraient ainsi au développement durable des communautés locales.  L’utilisation efficace d’informations relatives aux brevets lors de la conception des solutions élaborées a été un élément clé du concours.</w:t>
            </w:r>
          </w:p>
        </w:tc>
      </w:tr>
      <w:tr w:rsidR="00767EC2" w:rsidRPr="00F076D7" w14:paraId="3E32562F" w14:textId="77777777" w:rsidTr="00A83D07">
        <w:trPr>
          <w:cantSplit/>
        </w:trPr>
        <w:tc>
          <w:tcPr>
            <w:tcW w:w="1773" w:type="dxa"/>
          </w:tcPr>
          <w:p w14:paraId="1EC9A6E1" w14:textId="77777777" w:rsidR="00767EC2" w:rsidRPr="00F076D7" w:rsidRDefault="00767EC2" w:rsidP="00A83D07">
            <w:pPr>
              <w:autoSpaceDE w:val="0"/>
              <w:autoSpaceDN w:val="0"/>
              <w:adjustRightInd w:val="0"/>
              <w:rPr>
                <w:rFonts w:eastAsia="SimSun" w:cs="Times New Roman"/>
                <w:sz w:val="16"/>
                <w:szCs w:val="16"/>
                <w:lang w:eastAsia="zh-CN"/>
              </w:rPr>
            </w:pPr>
            <w:r w:rsidRPr="00F076D7">
              <w:rPr>
                <w:rFonts w:eastAsia="SimSun" w:cs="Times New Roman"/>
                <w:sz w:val="16"/>
                <w:szCs w:val="16"/>
                <w:lang w:eastAsia="zh-CN"/>
              </w:rPr>
              <w:t>Projet sur l’utilisation de la propriété intellectuelle aux fins de développement et d’utilisation de technologies appropriées :</w:t>
            </w:r>
            <w:r w:rsidRPr="00F076D7">
              <w:rPr>
                <w:rFonts w:eastAsia="SimSun" w:cs="Times New Roman"/>
                <w:sz w:val="16"/>
                <w:szCs w:val="16"/>
                <w:lang w:eastAsia="zh-CN"/>
              </w:rPr>
              <w:br/>
              <w:t>1) Réunions consultatives</w:t>
            </w:r>
            <w:r w:rsidRPr="00F076D7">
              <w:rPr>
                <w:rFonts w:eastAsia="SimSun" w:cs="Times New Roman"/>
                <w:sz w:val="16"/>
                <w:szCs w:val="16"/>
                <w:lang w:eastAsia="zh-CN"/>
              </w:rPr>
              <w:br/>
              <w:t>2) Atelier d’orientation – Atelier sur la recherche détaillée en matière de brevets</w:t>
            </w:r>
            <w:r w:rsidRPr="00F076D7">
              <w:rPr>
                <w:rFonts w:eastAsia="SimSun" w:cs="Times New Roman"/>
                <w:sz w:val="16"/>
                <w:szCs w:val="16"/>
                <w:lang w:eastAsia="zh-CN"/>
              </w:rPr>
              <w:br/>
              <w:t>3) Concours final et cérémonie de remise des prix et atelier final</w:t>
            </w:r>
          </w:p>
          <w:p w14:paraId="3913D889" w14:textId="77777777" w:rsidR="00767EC2" w:rsidRPr="00F076D7" w:rsidRDefault="00767EC2" w:rsidP="00A83D07">
            <w:pPr>
              <w:autoSpaceDE w:val="0"/>
              <w:autoSpaceDN w:val="0"/>
              <w:adjustRightInd w:val="0"/>
              <w:rPr>
                <w:rFonts w:eastAsia="SimSun" w:cs="Times New Roman"/>
                <w:sz w:val="16"/>
                <w:szCs w:val="16"/>
                <w:lang w:eastAsia="zh-CN"/>
              </w:rPr>
            </w:pPr>
          </w:p>
        </w:tc>
        <w:tc>
          <w:tcPr>
            <w:tcW w:w="1174" w:type="dxa"/>
          </w:tcPr>
          <w:p w14:paraId="4966CE98" w14:textId="77777777" w:rsidR="00767EC2" w:rsidRPr="00F076D7" w:rsidRDefault="00767EC2" w:rsidP="00A83D07">
            <w:pPr>
              <w:autoSpaceDE w:val="0"/>
              <w:autoSpaceDN w:val="0"/>
              <w:adjustRightInd w:val="0"/>
              <w:rPr>
                <w:sz w:val="16"/>
                <w:szCs w:val="16"/>
              </w:rPr>
            </w:pPr>
            <w:r w:rsidRPr="00F076D7">
              <w:rPr>
                <w:sz w:val="16"/>
                <w:szCs w:val="16"/>
              </w:rPr>
              <w:t>1) 8 – 10 février 2016</w:t>
            </w:r>
          </w:p>
          <w:p w14:paraId="08107A5C" w14:textId="77777777" w:rsidR="00767EC2" w:rsidRPr="00F076D7" w:rsidRDefault="00767EC2" w:rsidP="00A83D07">
            <w:pPr>
              <w:autoSpaceDE w:val="0"/>
              <w:autoSpaceDN w:val="0"/>
              <w:adjustRightInd w:val="0"/>
              <w:rPr>
                <w:sz w:val="16"/>
                <w:szCs w:val="16"/>
              </w:rPr>
            </w:pPr>
          </w:p>
          <w:p w14:paraId="7B32C66D" w14:textId="77777777" w:rsidR="00767EC2" w:rsidRPr="00F076D7" w:rsidRDefault="00767EC2" w:rsidP="00A83D07">
            <w:pPr>
              <w:autoSpaceDE w:val="0"/>
              <w:autoSpaceDN w:val="0"/>
              <w:adjustRightInd w:val="0"/>
              <w:rPr>
                <w:sz w:val="16"/>
                <w:szCs w:val="16"/>
              </w:rPr>
            </w:pPr>
            <w:r w:rsidRPr="00F076D7">
              <w:rPr>
                <w:sz w:val="16"/>
                <w:szCs w:val="16"/>
              </w:rPr>
              <w:t>2) 7 et 8 septembre 2016</w:t>
            </w:r>
          </w:p>
          <w:p w14:paraId="65F34DD7" w14:textId="77777777" w:rsidR="00767EC2" w:rsidRPr="00F076D7" w:rsidRDefault="00767EC2" w:rsidP="00A83D07">
            <w:pPr>
              <w:autoSpaceDE w:val="0"/>
              <w:autoSpaceDN w:val="0"/>
              <w:adjustRightInd w:val="0"/>
              <w:rPr>
                <w:sz w:val="16"/>
                <w:szCs w:val="16"/>
              </w:rPr>
            </w:pPr>
          </w:p>
          <w:p w14:paraId="41FE0FE4" w14:textId="77777777" w:rsidR="00767EC2" w:rsidRPr="00F076D7" w:rsidRDefault="00767EC2" w:rsidP="00A83D07">
            <w:pPr>
              <w:autoSpaceDE w:val="0"/>
              <w:autoSpaceDN w:val="0"/>
              <w:adjustRightInd w:val="0"/>
              <w:rPr>
                <w:sz w:val="16"/>
                <w:szCs w:val="16"/>
              </w:rPr>
            </w:pPr>
            <w:r w:rsidRPr="00F076D7">
              <w:rPr>
                <w:sz w:val="16"/>
                <w:szCs w:val="16"/>
              </w:rPr>
              <w:t>3) 9 et 10 novembre 2016</w:t>
            </w:r>
          </w:p>
        </w:tc>
        <w:tc>
          <w:tcPr>
            <w:tcW w:w="1773" w:type="dxa"/>
          </w:tcPr>
          <w:p w14:paraId="4AB46F0D" w14:textId="77777777" w:rsidR="00767EC2" w:rsidRPr="00F076D7" w:rsidRDefault="00767EC2" w:rsidP="00A83D07">
            <w:pPr>
              <w:autoSpaceDE w:val="0"/>
              <w:autoSpaceDN w:val="0"/>
              <w:adjustRightInd w:val="0"/>
              <w:rPr>
                <w:sz w:val="16"/>
                <w:szCs w:val="16"/>
              </w:rPr>
            </w:pPr>
            <w:r w:rsidRPr="00F076D7">
              <w:rPr>
                <w:sz w:val="16"/>
                <w:szCs w:val="16"/>
              </w:rPr>
              <w:t>Thaïlande</w:t>
            </w:r>
          </w:p>
          <w:p w14:paraId="07151BAB" w14:textId="77777777" w:rsidR="00767EC2" w:rsidRPr="00F076D7" w:rsidRDefault="00767EC2" w:rsidP="00A83D07">
            <w:pPr>
              <w:autoSpaceDE w:val="0"/>
              <w:autoSpaceDN w:val="0"/>
              <w:adjustRightInd w:val="0"/>
              <w:rPr>
                <w:sz w:val="16"/>
                <w:szCs w:val="16"/>
              </w:rPr>
            </w:pPr>
          </w:p>
          <w:p w14:paraId="4FD32FB5" w14:textId="77777777" w:rsidR="00767EC2" w:rsidRPr="00F076D7" w:rsidRDefault="00767EC2" w:rsidP="00A83D07">
            <w:pPr>
              <w:autoSpaceDE w:val="0"/>
              <w:autoSpaceDN w:val="0"/>
              <w:adjustRightInd w:val="0"/>
              <w:rPr>
                <w:sz w:val="16"/>
                <w:szCs w:val="16"/>
              </w:rPr>
            </w:pPr>
          </w:p>
          <w:p w14:paraId="73DA229E" w14:textId="77777777" w:rsidR="00767EC2" w:rsidRPr="00F076D7" w:rsidRDefault="00767EC2" w:rsidP="00A83D07">
            <w:pPr>
              <w:autoSpaceDE w:val="0"/>
              <w:autoSpaceDN w:val="0"/>
              <w:adjustRightInd w:val="0"/>
              <w:rPr>
                <w:sz w:val="16"/>
                <w:szCs w:val="16"/>
              </w:rPr>
            </w:pPr>
            <w:r w:rsidRPr="00F076D7">
              <w:rPr>
                <w:sz w:val="16"/>
                <w:szCs w:val="16"/>
              </w:rPr>
              <w:t>Thaïlande/ approximativement 80 participants de la Thaïlande</w:t>
            </w:r>
          </w:p>
          <w:p w14:paraId="126F0EDF" w14:textId="77777777" w:rsidR="00767EC2" w:rsidRPr="00F076D7" w:rsidRDefault="00767EC2" w:rsidP="00A83D07">
            <w:pPr>
              <w:autoSpaceDE w:val="0"/>
              <w:autoSpaceDN w:val="0"/>
              <w:adjustRightInd w:val="0"/>
              <w:rPr>
                <w:sz w:val="16"/>
                <w:szCs w:val="16"/>
              </w:rPr>
            </w:pPr>
            <w:r w:rsidRPr="00F076D7">
              <w:rPr>
                <w:sz w:val="16"/>
                <w:szCs w:val="16"/>
              </w:rPr>
              <w:t>Thaïlande/ approximativement 250 participants de la Thaïlande</w:t>
            </w:r>
          </w:p>
        </w:tc>
        <w:tc>
          <w:tcPr>
            <w:tcW w:w="4352" w:type="dxa"/>
          </w:tcPr>
          <w:p w14:paraId="499A4413" w14:textId="77777777" w:rsidR="00767EC2" w:rsidRPr="00F076D7" w:rsidRDefault="00767EC2" w:rsidP="00A83D07">
            <w:pPr>
              <w:autoSpaceDE w:val="0"/>
              <w:autoSpaceDN w:val="0"/>
              <w:adjustRightInd w:val="0"/>
              <w:rPr>
                <w:sz w:val="16"/>
                <w:szCs w:val="16"/>
              </w:rPr>
            </w:pPr>
            <w:r w:rsidRPr="00F076D7">
              <w:rPr>
                <w:rFonts w:eastAsia="SimSun" w:cs="Times New Roman"/>
                <w:sz w:val="16"/>
                <w:szCs w:val="16"/>
                <w:lang w:eastAsia="zh-CN"/>
              </w:rPr>
              <w:t>Le concours visait à encourager et à récompenser les meilleures inventions de technologies agricoles, que les communautés locales pourraient exploiter de manière simple et économique pour satisfaire leurs besoins, et qui contribueraient ainsi au développement durable des communautés locales.  L’utilisation efficace d’informations relatives aux brevets lors de la conception des solutions élaborées a été un élément clé du concours.</w:t>
            </w:r>
          </w:p>
        </w:tc>
      </w:tr>
      <w:tr w:rsidR="00767EC2" w:rsidRPr="00F076D7" w14:paraId="58A62EE6" w14:textId="77777777" w:rsidTr="00A83D07">
        <w:trPr>
          <w:cantSplit/>
        </w:trPr>
        <w:tc>
          <w:tcPr>
            <w:tcW w:w="1773" w:type="dxa"/>
          </w:tcPr>
          <w:p w14:paraId="2C211547" w14:textId="77777777" w:rsidR="00767EC2" w:rsidRPr="00F076D7" w:rsidRDefault="00767EC2" w:rsidP="00A83D07">
            <w:pPr>
              <w:autoSpaceDE w:val="0"/>
              <w:autoSpaceDN w:val="0"/>
              <w:adjustRightInd w:val="0"/>
              <w:rPr>
                <w:rFonts w:eastAsia="SimSun" w:cs="Times New Roman"/>
                <w:sz w:val="16"/>
                <w:szCs w:val="16"/>
                <w:highlight w:val="cyan"/>
                <w:lang w:eastAsia="zh-CN"/>
              </w:rPr>
            </w:pPr>
            <w:r w:rsidRPr="00F076D7">
              <w:rPr>
                <w:rFonts w:eastAsia="SimSun" w:cs="Times New Roman"/>
                <w:sz w:val="16"/>
                <w:szCs w:val="16"/>
                <w:lang w:eastAsia="zh-CN"/>
              </w:rPr>
              <w:t>Projet sur l’utilisation de la propriété intellectuelle aux fins de développement et d’utilisation de technologies appropriées :</w:t>
            </w:r>
            <w:r w:rsidRPr="00F076D7">
              <w:rPr>
                <w:rFonts w:eastAsia="SimSun" w:cs="Times New Roman"/>
                <w:sz w:val="16"/>
                <w:szCs w:val="16"/>
                <w:lang w:eastAsia="zh-CN"/>
              </w:rPr>
              <w:br/>
              <w:t>1) Réunions consultatives</w:t>
            </w:r>
            <w:r w:rsidRPr="00F076D7">
              <w:rPr>
                <w:rFonts w:eastAsia="SimSun" w:cs="Times New Roman"/>
                <w:sz w:val="16"/>
                <w:szCs w:val="16"/>
                <w:lang w:eastAsia="zh-CN"/>
              </w:rPr>
              <w:br/>
              <w:t>2) Atelier d’orientation</w:t>
            </w:r>
          </w:p>
        </w:tc>
        <w:tc>
          <w:tcPr>
            <w:tcW w:w="1174" w:type="dxa"/>
          </w:tcPr>
          <w:p w14:paraId="0C3A1438" w14:textId="77777777" w:rsidR="00767EC2" w:rsidRPr="00F076D7" w:rsidRDefault="00767EC2" w:rsidP="00A83D07">
            <w:pPr>
              <w:autoSpaceDE w:val="0"/>
              <w:autoSpaceDN w:val="0"/>
              <w:adjustRightInd w:val="0"/>
              <w:rPr>
                <w:sz w:val="16"/>
                <w:szCs w:val="16"/>
              </w:rPr>
            </w:pPr>
            <w:r w:rsidRPr="00F076D7">
              <w:rPr>
                <w:sz w:val="16"/>
                <w:szCs w:val="16"/>
              </w:rPr>
              <w:t>1) 30 et 31 mars 2016</w:t>
            </w:r>
          </w:p>
          <w:p w14:paraId="2B267080" w14:textId="77777777" w:rsidR="00767EC2" w:rsidRPr="00F076D7" w:rsidRDefault="00767EC2" w:rsidP="00A83D07">
            <w:pPr>
              <w:tabs>
                <w:tab w:val="left" w:pos="650"/>
              </w:tabs>
              <w:autoSpaceDE w:val="0"/>
              <w:autoSpaceDN w:val="0"/>
              <w:adjustRightInd w:val="0"/>
              <w:rPr>
                <w:sz w:val="16"/>
                <w:szCs w:val="16"/>
              </w:rPr>
            </w:pPr>
          </w:p>
          <w:p w14:paraId="7CB6B543" w14:textId="77777777" w:rsidR="00767EC2" w:rsidRPr="00F076D7" w:rsidRDefault="00767EC2" w:rsidP="00A83D07">
            <w:pPr>
              <w:autoSpaceDE w:val="0"/>
              <w:autoSpaceDN w:val="0"/>
              <w:adjustRightInd w:val="0"/>
              <w:rPr>
                <w:sz w:val="16"/>
                <w:szCs w:val="16"/>
              </w:rPr>
            </w:pPr>
            <w:r w:rsidRPr="00F076D7">
              <w:rPr>
                <w:sz w:val="16"/>
                <w:szCs w:val="16"/>
              </w:rPr>
              <w:t>2) 29 et 30 novembre 2016</w:t>
            </w:r>
          </w:p>
        </w:tc>
        <w:tc>
          <w:tcPr>
            <w:tcW w:w="1773" w:type="dxa"/>
          </w:tcPr>
          <w:p w14:paraId="0854D895" w14:textId="77777777" w:rsidR="00767EC2" w:rsidRPr="00F076D7" w:rsidRDefault="00767EC2" w:rsidP="00A83D07">
            <w:pPr>
              <w:autoSpaceDE w:val="0"/>
              <w:autoSpaceDN w:val="0"/>
              <w:adjustRightInd w:val="0"/>
              <w:rPr>
                <w:sz w:val="16"/>
                <w:szCs w:val="16"/>
              </w:rPr>
            </w:pPr>
            <w:r w:rsidRPr="00F076D7">
              <w:rPr>
                <w:sz w:val="16"/>
                <w:szCs w:val="16"/>
              </w:rPr>
              <w:t>Mongolie</w:t>
            </w:r>
          </w:p>
          <w:p w14:paraId="3A058EBE" w14:textId="77777777" w:rsidR="00767EC2" w:rsidRPr="00F076D7" w:rsidRDefault="00767EC2" w:rsidP="00A83D07">
            <w:pPr>
              <w:autoSpaceDE w:val="0"/>
              <w:autoSpaceDN w:val="0"/>
              <w:adjustRightInd w:val="0"/>
              <w:rPr>
                <w:sz w:val="16"/>
                <w:szCs w:val="16"/>
              </w:rPr>
            </w:pPr>
          </w:p>
          <w:p w14:paraId="0241D4DC" w14:textId="77777777" w:rsidR="00767EC2" w:rsidRPr="00F076D7" w:rsidRDefault="00767EC2" w:rsidP="00A83D07">
            <w:pPr>
              <w:autoSpaceDE w:val="0"/>
              <w:autoSpaceDN w:val="0"/>
              <w:adjustRightInd w:val="0"/>
              <w:rPr>
                <w:sz w:val="16"/>
                <w:szCs w:val="16"/>
              </w:rPr>
            </w:pPr>
          </w:p>
          <w:p w14:paraId="328FBA7D" w14:textId="77777777" w:rsidR="00767EC2" w:rsidRPr="00F076D7" w:rsidRDefault="00767EC2" w:rsidP="00A83D07">
            <w:pPr>
              <w:autoSpaceDE w:val="0"/>
              <w:autoSpaceDN w:val="0"/>
              <w:adjustRightInd w:val="0"/>
              <w:rPr>
                <w:sz w:val="16"/>
                <w:szCs w:val="16"/>
              </w:rPr>
            </w:pPr>
          </w:p>
          <w:p w14:paraId="4EF21A97" w14:textId="77777777" w:rsidR="00767EC2" w:rsidRPr="00F076D7" w:rsidRDefault="00767EC2" w:rsidP="00A83D07">
            <w:pPr>
              <w:autoSpaceDE w:val="0"/>
              <w:autoSpaceDN w:val="0"/>
              <w:adjustRightInd w:val="0"/>
              <w:rPr>
                <w:sz w:val="16"/>
                <w:szCs w:val="16"/>
              </w:rPr>
            </w:pPr>
            <w:r w:rsidRPr="00F076D7">
              <w:rPr>
                <w:sz w:val="16"/>
                <w:szCs w:val="16"/>
              </w:rPr>
              <w:t>Mongolie/ approximativement 75 participants de la Mongolie</w:t>
            </w:r>
          </w:p>
        </w:tc>
        <w:tc>
          <w:tcPr>
            <w:tcW w:w="4352" w:type="dxa"/>
          </w:tcPr>
          <w:p w14:paraId="38F2E0C8" w14:textId="77777777" w:rsidR="00767EC2" w:rsidRPr="00F076D7" w:rsidRDefault="00767EC2" w:rsidP="00A83D07">
            <w:pPr>
              <w:autoSpaceDE w:val="0"/>
              <w:autoSpaceDN w:val="0"/>
              <w:adjustRightInd w:val="0"/>
              <w:rPr>
                <w:sz w:val="16"/>
                <w:szCs w:val="16"/>
              </w:rPr>
            </w:pPr>
            <w:r w:rsidRPr="00F076D7">
              <w:rPr>
                <w:rFonts w:eastAsia="SimSun" w:cs="Times New Roman"/>
                <w:sz w:val="16"/>
                <w:szCs w:val="16"/>
                <w:lang w:eastAsia="zh-CN"/>
              </w:rPr>
              <w:t>Le concours visait à encourager et à récompenser les meilleures inventions de technologies agricoles, que les communautés locales pourraient exploiter de manière simple et économique pour satisfaire leurs besoins, et qui contribueraient ainsi au développement durable des communautés locales.  L’utilisation efficace d’informations relatives aux brevets lors de la conception des solutions élaborées a été un élément clé du concours.</w:t>
            </w:r>
          </w:p>
        </w:tc>
      </w:tr>
      <w:tr w:rsidR="00767EC2" w:rsidRPr="00F076D7" w14:paraId="68B9D6F5" w14:textId="77777777" w:rsidTr="00A83D07">
        <w:trPr>
          <w:cantSplit/>
        </w:trPr>
        <w:tc>
          <w:tcPr>
            <w:tcW w:w="1773" w:type="dxa"/>
          </w:tcPr>
          <w:p w14:paraId="7A620A03" w14:textId="77777777" w:rsidR="00767EC2" w:rsidRPr="00F076D7" w:rsidRDefault="00767EC2" w:rsidP="00A83D07">
            <w:pPr>
              <w:autoSpaceDE w:val="0"/>
              <w:autoSpaceDN w:val="0"/>
              <w:adjustRightInd w:val="0"/>
              <w:rPr>
                <w:rFonts w:eastAsia="SimSun" w:cs="Times New Roman"/>
                <w:sz w:val="16"/>
                <w:szCs w:val="16"/>
                <w:highlight w:val="cyan"/>
                <w:lang w:eastAsia="zh-CN"/>
              </w:rPr>
            </w:pPr>
            <w:r w:rsidRPr="00F076D7">
              <w:rPr>
                <w:rFonts w:eastAsia="SimSun" w:cs="Times New Roman"/>
                <w:sz w:val="16"/>
                <w:szCs w:val="16"/>
                <w:lang w:eastAsia="zh-CN"/>
              </w:rPr>
              <w:t>Étude et évaluation des concours de technologies appropriées</w:t>
            </w:r>
          </w:p>
        </w:tc>
        <w:tc>
          <w:tcPr>
            <w:tcW w:w="1174" w:type="dxa"/>
          </w:tcPr>
          <w:p w14:paraId="1E271AD7" w14:textId="77777777" w:rsidR="00767EC2" w:rsidRPr="00F076D7" w:rsidRDefault="00767EC2" w:rsidP="00A83D07">
            <w:pPr>
              <w:autoSpaceDE w:val="0"/>
              <w:autoSpaceDN w:val="0"/>
              <w:adjustRightInd w:val="0"/>
              <w:rPr>
                <w:sz w:val="16"/>
                <w:szCs w:val="16"/>
                <w:lang w:eastAsia="ko-KR"/>
              </w:rPr>
            </w:pPr>
            <w:r w:rsidRPr="00F076D7">
              <w:rPr>
                <w:sz w:val="16"/>
                <w:szCs w:val="16"/>
                <w:lang w:eastAsia="ko-KR"/>
              </w:rPr>
              <w:t>Mars – décembre 2016</w:t>
            </w:r>
          </w:p>
        </w:tc>
        <w:tc>
          <w:tcPr>
            <w:tcW w:w="1773" w:type="dxa"/>
          </w:tcPr>
          <w:p w14:paraId="5D3D666C" w14:textId="77777777" w:rsidR="00767EC2" w:rsidRPr="00F076D7" w:rsidRDefault="00767EC2" w:rsidP="00A83D07">
            <w:pPr>
              <w:autoSpaceDE w:val="0"/>
              <w:autoSpaceDN w:val="0"/>
              <w:adjustRightInd w:val="0"/>
              <w:rPr>
                <w:sz w:val="16"/>
                <w:szCs w:val="16"/>
              </w:rPr>
            </w:pPr>
            <w:r w:rsidRPr="00F076D7">
              <w:rPr>
                <w:sz w:val="16"/>
                <w:szCs w:val="16"/>
              </w:rPr>
              <w:t>République de Corée</w:t>
            </w:r>
          </w:p>
        </w:tc>
        <w:tc>
          <w:tcPr>
            <w:tcW w:w="4352" w:type="dxa"/>
          </w:tcPr>
          <w:p w14:paraId="178F1F8B" w14:textId="77777777" w:rsidR="00767EC2" w:rsidRPr="00F076D7" w:rsidRDefault="00767EC2" w:rsidP="00A83D07">
            <w:pPr>
              <w:autoSpaceDE w:val="0"/>
              <w:autoSpaceDN w:val="0"/>
              <w:adjustRightInd w:val="0"/>
              <w:rPr>
                <w:sz w:val="16"/>
                <w:szCs w:val="16"/>
              </w:rPr>
            </w:pPr>
            <w:r w:rsidRPr="00F076D7">
              <w:rPr>
                <w:rFonts w:eastAsia="SimSun" w:cs="Times New Roman"/>
                <w:sz w:val="16"/>
                <w:szCs w:val="16"/>
                <w:lang w:eastAsia="zh-CN"/>
              </w:rPr>
              <w:t>i) Créer des structures et des mécanismes d’habilitation pour le concours de technologies appropriées;  ii) faire du concours de technologies appropriées une initiative durable à long terme;  iii) rechercher de nouvelles méthodologies qui permettraient de tirer un avantage maximal et de réduire le risque de ne pas atteindre le résultat souhaité.</w:t>
            </w:r>
          </w:p>
        </w:tc>
      </w:tr>
    </w:tbl>
    <w:p w14:paraId="3C786F70" w14:textId="77777777" w:rsidR="00767EC2" w:rsidRPr="00F076D7" w:rsidRDefault="00767EC2" w:rsidP="00767EC2">
      <w:pPr>
        <w:rPr>
          <w:b/>
          <w:sz w:val="20"/>
        </w:rPr>
      </w:pPr>
    </w:p>
    <w:p w14:paraId="7357EDE2" w14:textId="77777777" w:rsidR="00767EC2" w:rsidRPr="00F076D7" w:rsidRDefault="00767EC2" w:rsidP="00767EC2">
      <w:pPr>
        <w:rPr>
          <w:b/>
          <w:sz w:val="20"/>
        </w:rPr>
      </w:pPr>
    </w:p>
    <w:p w14:paraId="0F4DDAE9" w14:textId="77777777" w:rsidR="00767EC2" w:rsidRPr="00F076D7" w:rsidRDefault="00767EC2" w:rsidP="00767EC2">
      <w:pPr>
        <w:keepNext/>
        <w:keepLines/>
        <w:rPr>
          <w:b/>
          <w:bCs/>
          <w:sz w:val="20"/>
        </w:rPr>
      </w:pPr>
      <w:r w:rsidRPr="00F076D7">
        <w:rPr>
          <w:b/>
          <w:bCs/>
          <w:sz w:val="20"/>
        </w:rPr>
        <w:t>RÉPUBLIQUE DE CORÉE/PROPRIÉTÉ INDUSTRIELLE – Contributions des donateurs et dépenses en 2016</w:t>
      </w:r>
    </w:p>
    <w:p w14:paraId="38D3CE06" w14:textId="77777777" w:rsidR="00767EC2" w:rsidRPr="00F076D7" w:rsidRDefault="00767EC2" w:rsidP="00767EC2">
      <w:pPr>
        <w:keepNext/>
        <w:keepLines/>
        <w:rPr>
          <w:rFonts w:cs="Times New Roman"/>
          <w:sz w:val="20"/>
          <w:szCs w:val="24"/>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2F7186F3" w14:textId="77777777" w:rsidTr="00A83D07">
        <w:trPr>
          <w:cantSplit/>
        </w:trPr>
        <w:tc>
          <w:tcPr>
            <w:tcW w:w="1814" w:type="dxa"/>
            <w:tcBorders>
              <w:top w:val="nil"/>
              <w:left w:val="nil"/>
              <w:bottom w:val="nil"/>
              <w:right w:val="nil"/>
            </w:tcBorders>
            <w:shd w:val="clear" w:color="000000" w:fill="C5D9F1"/>
            <w:vAlign w:val="center"/>
            <w:hideMark/>
          </w:tcPr>
          <w:p w14:paraId="30938A8E" w14:textId="77777777" w:rsidR="00767EC2" w:rsidRPr="00F076D7" w:rsidRDefault="00767EC2" w:rsidP="00A83D07">
            <w:pPr>
              <w:keepNext/>
              <w:keepLines/>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27374347" w14:textId="77777777" w:rsidR="00767EC2" w:rsidRPr="00F076D7" w:rsidRDefault="00767EC2" w:rsidP="00A83D07">
            <w:pPr>
              <w:keepNext/>
              <w:keepLines/>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0E1CBE88" w14:textId="77777777" w:rsidR="00767EC2" w:rsidRPr="00F076D7" w:rsidRDefault="00767EC2" w:rsidP="00A83D07">
            <w:pPr>
              <w:keepNext/>
              <w:keepLines/>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7FC622AC" w14:textId="77777777" w:rsidR="00767EC2" w:rsidRPr="00F076D7" w:rsidRDefault="00767EC2" w:rsidP="00A83D07">
            <w:pPr>
              <w:keepNext/>
              <w:keepLines/>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6F2D1452" w14:textId="77777777" w:rsidR="00767EC2" w:rsidRPr="00F076D7" w:rsidRDefault="00767EC2" w:rsidP="00A83D07">
            <w:pPr>
              <w:keepNext/>
              <w:keepLines/>
              <w:jc w:val="center"/>
              <w:rPr>
                <w:b/>
                <w:bCs/>
                <w:sz w:val="16"/>
                <w:szCs w:val="16"/>
              </w:rPr>
            </w:pPr>
            <w:r w:rsidRPr="00F076D7">
              <w:rPr>
                <w:b/>
                <w:bCs/>
                <w:sz w:val="16"/>
                <w:szCs w:val="16"/>
              </w:rPr>
              <w:t>Solde au 31 décembre 2016</w:t>
            </w:r>
          </w:p>
        </w:tc>
      </w:tr>
      <w:tr w:rsidR="00767EC2" w:rsidRPr="00F076D7" w14:paraId="5505FA70" w14:textId="77777777" w:rsidTr="00A83D07">
        <w:trPr>
          <w:cantSplit/>
        </w:trPr>
        <w:tc>
          <w:tcPr>
            <w:tcW w:w="1814" w:type="dxa"/>
            <w:tcBorders>
              <w:top w:val="nil"/>
              <w:left w:val="nil"/>
              <w:bottom w:val="nil"/>
              <w:right w:val="nil"/>
            </w:tcBorders>
            <w:shd w:val="clear" w:color="auto" w:fill="auto"/>
            <w:noWrap/>
            <w:vAlign w:val="bottom"/>
            <w:hideMark/>
          </w:tcPr>
          <w:p w14:paraId="3152E72E" w14:textId="77777777" w:rsidR="00767EC2" w:rsidRPr="00F076D7" w:rsidRDefault="00767EC2" w:rsidP="00A83D07">
            <w:pPr>
              <w:jc w:val="center"/>
              <w:rPr>
                <w:sz w:val="16"/>
                <w:szCs w:val="16"/>
              </w:rPr>
            </w:pPr>
            <w:r w:rsidRPr="00F076D7">
              <w:rPr>
                <w:sz w:val="16"/>
                <w:szCs w:val="16"/>
              </w:rPr>
              <w:t>1 053 391</w:t>
            </w:r>
          </w:p>
        </w:tc>
        <w:tc>
          <w:tcPr>
            <w:tcW w:w="1814" w:type="dxa"/>
            <w:tcBorders>
              <w:top w:val="nil"/>
              <w:left w:val="nil"/>
              <w:bottom w:val="nil"/>
              <w:right w:val="nil"/>
            </w:tcBorders>
            <w:shd w:val="clear" w:color="auto" w:fill="auto"/>
            <w:noWrap/>
            <w:vAlign w:val="bottom"/>
            <w:hideMark/>
          </w:tcPr>
          <w:p w14:paraId="547B8D73" w14:textId="77777777" w:rsidR="00767EC2" w:rsidRPr="00F076D7" w:rsidRDefault="00767EC2" w:rsidP="00A83D07">
            <w:pPr>
              <w:jc w:val="center"/>
              <w:rPr>
                <w:sz w:val="16"/>
                <w:szCs w:val="16"/>
              </w:rPr>
            </w:pPr>
            <w:r w:rsidRPr="00F076D7">
              <w:rPr>
                <w:sz w:val="16"/>
                <w:szCs w:val="16"/>
              </w:rPr>
              <w:t>710 526</w:t>
            </w:r>
          </w:p>
        </w:tc>
        <w:tc>
          <w:tcPr>
            <w:tcW w:w="1815" w:type="dxa"/>
            <w:tcBorders>
              <w:top w:val="nil"/>
              <w:left w:val="nil"/>
              <w:bottom w:val="nil"/>
              <w:right w:val="nil"/>
            </w:tcBorders>
            <w:shd w:val="clear" w:color="auto" w:fill="auto"/>
            <w:noWrap/>
            <w:vAlign w:val="bottom"/>
            <w:hideMark/>
          </w:tcPr>
          <w:p w14:paraId="22EE6865" w14:textId="77777777" w:rsidR="00767EC2" w:rsidRPr="00F076D7" w:rsidRDefault="00767EC2" w:rsidP="00A83D07">
            <w:pPr>
              <w:jc w:val="center"/>
              <w:rPr>
                <w:sz w:val="16"/>
                <w:szCs w:val="16"/>
              </w:rPr>
            </w:pPr>
            <w:r w:rsidRPr="00F076D7">
              <w:rPr>
                <w:sz w:val="16"/>
                <w:szCs w:val="16"/>
              </w:rPr>
              <w:t>563 464</w:t>
            </w:r>
          </w:p>
        </w:tc>
        <w:tc>
          <w:tcPr>
            <w:tcW w:w="1814" w:type="dxa"/>
            <w:tcBorders>
              <w:top w:val="nil"/>
              <w:left w:val="nil"/>
              <w:bottom w:val="nil"/>
              <w:right w:val="nil"/>
            </w:tcBorders>
            <w:shd w:val="clear" w:color="auto" w:fill="auto"/>
            <w:noWrap/>
            <w:vAlign w:val="bottom"/>
            <w:hideMark/>
          </w:tcPr>
          <w:p w14:paraId="2F27A895"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1F7B3752" w14:textId="77777777" w:rsidR="00767EC2" w:rsidRPr="00F076D7" w:rsidRDefault="00767EC2" w:rsidP="00A83D07">
            <w:pPr>
              <w:jc w:val="center"/>
              <w:rPr>
                <w:sz w:val="16"/>
                <w:szCs w:val="16"/>
              </w:rPr>
            </w:pPr>
            <w:r w:rsidRPr="00F076D7">
              <w:rPr>
                <w:sz w:val="16"/>
                <w:szCs w:val="16"/>
              </w:rPr>
              <w:t>1 200 454</w:t>
            </w:r>
          </w:p>
        </w:tc>
      </w:tr>
    </w:tbl>
    <w:p w14:paraId="6165769F" w14:textId="77777777" w:rsidR="00767EC2" w:rsidRPr="00F076D7" w:rsidRDefault="00767EC2" w:rsidP="00767EC2">
      <w:pPr>
        <w:rPr>
          <w:b/>
          <w:sz w:val="20"/>
        </w:rPr>
      </w:pPr>
    </w:p>
    <w:p w14:paraId="0C84AD19" w14:textId="77777777" w:rsidR="00767EC2" w:rsidRPr="00F076D7" w:rsidRDefault="00767EC2" w:rsidP="00767EC2">
      <w:pPr>
        <w:rPr>
          <w:b/>
          <w:sz w:val="20"/>
        </w:rPr>
      </w:pPr>
    </w:p>
    <w:p w14:paraId="58F14ACF" w14:textId="77777777" w:rsidR="00767EC2" w:rsidRPr="00F076D7" w:rsidRDefault="00767EC2" w:rsidP="00767EC2">
      <w:pPr>
        <w:rPr>
          <w:b/>
          <w:sz w:val="20"/>
        </w:rPr>
      </w:pPr>
      <w:r w:rsidRPr="00F076D7">
        <w:rPr>
          <w:b/>
          <w:sz w:val="20"/>
        </w:rPr>
        <w:br w:type="page"/>
      </w:r>
    </w:p>
    <w:p w14:paraId="3BCFBFEA" w14:textId="77777777" w:rsidR="00767EC2" w:rsidRPr="00F076D7" w:rsidRDefault="00767EC2" w:rsidP="00767EC2">
      <w:pPr>
        <w:keepNext/>
        <w:keepLines/>
        <w:rPr>
          <w:b/>
          <w:sz w:val="20"/>
        </w:rPr>
      </w:pPr>
      <w:r w:rsidRPr="00F076D7">
        <w:rPr>
          <w:b/>
          <w:sz w:val="20"/>
        </w:rPr>
        <w:t>URUGUAY</w:t>
      </w:r>
    </w:p>
    <w:p w14:paraId="2C02503F" w14:textId="77777777" w:rsidR="00767EC2" w:rsidRPr="00F076D7" w:rsidRDefault="00767EC2" w:rsidP="00767EC2">
      <w:pPr>
        <w:rPr>
          <w:b/>
          <w:sz w:val="20"/>
        </w:rPr>
      </w:pPr>
    </w:p>
    <w:tbl>
      <w:tblPr>
        <w:tblW w:w="4300" w:type="pct"/>
        <w:tblCellMar>
          <w:top w:w="57" w:type="dxa"/>
          <w:bottom w:w="57" w:type="dxa"/>
        </w:tblCellMar>
        <w:tblLook w:val="0000" w:firstRow="0" w:lastRow="0" w:firstColumn="0" w:lastColumn="0" w:noHBand="0" w:noVBand="0"/>
      </w:tblPr>
      <w:tblGrid>
        <w:gridCol w:w="1755"/>
        <w:gridCol w:w="1206"/>
        <w:gridCol w:w="1704"/>
        <w:gridCol w:w="3322"/>
      </w:tblGrid>
      <w:tr w:rsidR="00767EC2" w:rsidRPr="00F076D7" w14:paraId="31D11DC1" w14:textId="77777777" w:rsidTr="00A83D07">
        <w:trPr>
          <w:cantSplit/>
        </w:trPr>
        <w:tc>
          <w:tcPr>
            <w:tcW w:w="9072" w:type="dxa"/>
            <w:gridSpan w:val="4"/>
            <w:shd w:val="clear" w:color="auto" w:fill="C6D9F1"/>
            <w:vAlign w:val="center"/>
          </w:tcPr>
          <w:p w14:paraId="6FCD4B5D" w14:textId="77777777" w:rsidR="00767EC2" w:rsidRPr="00F076D7" w:rsidRDefault="00767EC2" w:rsidP="00A83D07">
            <w:pPr>
              <w:tabs>
                <w:tab w:val="left" w:pos="1740"/>
              </w:tabs>
              <w:rPr>
                <w:b/>
                <w:bCs/>
                <w:sz w:val="16"/>
                <w:szCs w:val="16"/>
              </w:rPr>
            </w:pPr>
            <w:r w:rsidRPr="00F076D7">
              <w:rPr>
                <w:b/>
                <w:bCs/>
                <w:sz w:val="16"/>
                <w:szCs w:val="16"/>
              </w:rPr>
              <w:t>RÉSULTAT</w:t>
            </w:r>
            <w:r w:rsidRPr="00F076D7">
              <w:rPr>
                <w:bCs/>
                <w:sz w:val="16"/>
                <w:szCs w:val="16"/>
              </w:rPr>
              <w:t> </w:t>
            </w:r>
            <w:r>
              <w:rPr>
                <w:bCs/>
                <w:sz w:val="16"/>
                <w:szCs w:val="16"/>
              </w:rPr>
              <w:t xml:space="preserve">: </w:t>
            </w:r>
            <w:r w:rsidRPr="00F076D7">
              <w:rPr>
                <w:bCs/>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r>
      <w:tr w:rsidR="00767EC2" w:rsidRPr="00F076D7" w14:paraId="423CFC1D" w14:textId="77777777" w:rsidTr="00A83D07">
        <w:trPr>
          <w:cantSplit/>
        </w:trPr>
        <w:tc>
          <w:tcPr>
            <w:tcW w:w="1924" w:type="dxa"/>
          </w:tcPr>
          <w:p w14:paraId="3E6F4F67" w14:textId="77777777" w:rsidR="00767EC2" w:rsidRPr="00F076D7" w:rsidRDefault="00767EC2" w:rsidP="00A83D07">
            <w:pPr>
              <w:autoSpaceDE w:val="0"/>
              <w:autoSpaceDN w:val="0"/>
              <w:adjustRightInd w:val="0"/>
              <w:rPr>
                <w:b/>
                <w:sz w:val="16"/>
                <w:szCs w:val="16"/>
              </w:rPr>
            </w:pPr>
            <w:r w:rsidRPr="00F076D7">
              <w:rPr>
                <w:b/>
                <w:sz w:val="16"/>
                <w:szCs w:val="16"/>
              </w:rPr>
              <w:t>Activité</w:t>
            </w:r>
          </w:p>
        </w:tc>
        <w:tc>
          <w:tcPr>
            <w:tcW w:w="1242" w:type="dxa"/>
            <w:shd w:val="clear" w:color="auto" w:fill="auto"/>
            <w:tcMar>
              <w:top w:w="57" w:type="dxa"/>
            </w:tcMar>
          </w:tcPr>
          <w:p w14:paraId="4F45F789" w14:textId="77777777" w:rsidR="00767EC2" w:rsidRPr="00F076D7" w:rsidRDefault="00767EC2" w:rsidP="00A83D07">
            <w:pPr>
              <w:autoSpaceDE w:val="0"/>
              <w:autoSpaceDN w:val="0"/>
              <w:adjustRightInd w:val="0"/>
              <w:rPr>
                <w:b/>
                <w:sz w:val="16"/>
                <w:szCs w:val="16"/>
              </w:rPr>
            </w:pPr>
            <w:r w:rsidRPr="00F076D7">
              <w:rPr>
                <w:b/>
                <w:sz w:val="16"/>
                <w:szCs w:val="16"/>
              </w:rPr>
              <w:t>Date</w:t>
            </w:r>
          </w:p>
        </w:tc>
        <w:tc>
          <w:tcPr>
            <w:tcW w:w="1788" w:type="dxa"/>
            <w:shd w:val="clear" w:color="auto" w:fill="auto"/>
            <w:tcMar>
              <w:top w:w="57" w:type="dxa"/>
            </w:tcMar>
          </w:tcPr>
          <w:p w14:paraId="4A3629CC" w14:textId="77777777" w:rsidR="00767EC2" w:rsidRPr="00F076D7" w:rsidRDefault="00767EC2" w:rsidP="00A83D07">
            <w:pPr>
              <w:autoSpaceDE w:val="0"/>
              <w:autoSpaceDN w:val="0"/>
              <w:adjustRightInd w:val="0"/>
              <w:rPr>
                <w:b/>
                <w:sz w:val="16"/>
                <w:szCs w:val="16"/>
              </w:rPr>
            </w:pPr>
            <w:r w:rsidRPr="00F076D7">
              <w:rPr>
                <w:b/>
                <w:sz w:val="16"/>
                <w:szCs w:val="16"/>
              </w:rPr>
              <w:t>Pays hôte/bénéficiaires</w:t>
            </w:r>
          </w:p>
        </w:tc>
        <w:tc>
          <w:tcPr>
            <w:tcW w:w="4118" w:type="dxa"/>
            <w:shd w:val="clear" w:color="auto" w:fill="FFFFFF"/>
            <w:tcMar>
              <w:top w:w="57" w:type="dxa"/>
            </w:tcMar>
          </w:tcPr>
          <w:p w14:paraId="1AEE4796" w14:textId="77777777" w:rsidR="00767EC2" w:rsidRPr="00F076D7" w:rsidRDefault="00767EC2" w:rsidP="00A83D07">
            <w:pPr>
              <w:autoSpaceDE w:val="0"/>
              <w:autoSpaceDN w:val="0"/>
              <w:adjustRightInd w:val="0"/>
              <w:rPr>
                <w:b/>
                <w:sz w:val="16"/>
                <w:szCs w:val="16"/>
              </w:rPr>
            </w:pPr>
            <w:r w:rsidRPr="00F076D7">
              <w:rPr>
                <w:b/>
                <w:sz w:val="16"/>
                <w:szCs w:val="16"/>
              </w:rPr>
              <w:t>Objectif(s)/description(s)</w:t>
            </w:r>
          </w:p>
        </w:tc>
      </w:tr>
      <w:tr w:rsidR="00767EC2" w:rsidRPr="00F076D7" w14:paraId="07FB8CAC" w14:textId="77777777" w:rsidTr="00A83D07">
        <w:tblPrEx>
          <w:tblLook w:val="04A0" w:firstRow="1" w:lastRow="0" w:firstColumn="1" w:lastColumn="0" w:noHBand="0" w:noVBand="1"/>
        </w:tblPrEx>
        <w:trPr>
          <w:cantSplit/>
        </w:trPr>
        <w:tc>
          <w:tcPr>
            <w:tcW w:w="1924" w:type="dxa"/>
          </w:tcPr>
          <w:p w14:paraId="38A0CE56" w14:textId="77777777" w:rsidR="00767EC2" w:rsidRPr="00F076D7" w:rsidRDefault="00767EC2" w:rsidP="00A83D07">
            <w:pPr>
              <w:autoSpaceDE w:val="0"/>
              <w:autoSpaceDN w:val="0"/>
              <w:adjustRightInd w:val="0"/>
              <w:rPr>
                <w:sz w:val="16"/>
                <w:szCs w:val="16"/>
              </w:rPr>
            </w:pPr>
            <w:r w:rsidRPr="00F076D7">
              <w:rPr>
                <w:sz w:val="16"/>
                <w:szCs w:val="16"/>
              </w:rPr>
              <w:t>Renouvellement de la base de données Thomson</w:t>
            </w:r>
            <w:r w:rsidRPr="00F076D7">
              <w:rPr>
                <w:sz w:val="16"/>
                <w:szCs w:val="16"/>
              </w:rPr>
              <w:noBreakHyphen/>
              <w:t xml:space="preserve">Reuters </w:t>
            </w:r>
          </w:p>
        </w:tc>
        <w:tc>
          <w:tcPr>
            <w:tcW w:w="1242" w:type="dxa"/>
          </w:tcPr>
          <w:p w14:paraId="0C187F01" w14:textId="77777777" w:rsidR="00767EC2" w:rsidRPr="00F076D7" w:rsidRDefault="00767EC2" w:rsidP="00A83D07">
            <w:pPr>
              <w:autoSpaceDE w:val="0"/>
              <w:autoSpaceDN w:val="0"/>
              <w:adjustRightInd w:val="0"/>
              <w:rPr>
                <w:sz w:val="16"/>
                <w:szCs w:val="16"/>
              </w:rPr>
            </w:pPr>
            <w:r w:rsidRPr="00F076D7">
              <w:rPr>
                <w:sz w:val="16"/>
                <w:szCs w:val="16"/>
              </w:rPr>
              <w:t>Janvier – décembre 2016 (en cours depuis 2013)</w:t>
            </w:r>
          </w:p>
        </w:tc>
        <w:tc>
          <w:tcPr>
            <w:tcW w:w="1788" w:type="dxa"/>
          </w:tcPr>
          <w:p w14:paraId="22CD00F6" w14:textId="77777777" w:rsidR="00767EC2" w:rsidRPr="00F076D7" w:rsidDel="00E54910" w:rsidRDefault="00767EC2" w:rsidP="00A83D07">
            <w:pPr>
              <w:autoSpaceDE w:val="0"/>
              <w:autoSpaceDN w:val="0"/>
              <w:adjustRightInd w:val="0"/>
              <w:rPr>
                <w:sz w:val="16"/>
                <w:szCs w:val="16"/>
              </w:rPr>
            </w:pPr>
            <w:r w:rsidRPr="00F076D7">
              <w:rPr>
                <w:sz w:val="16"/>
                <w:szCs w:val="16"/>
              </w:rPr>
              <w:t>Tous les pays d’Amérique latine</w:t>
            </w:r>
          </w:p>
        </w:tc>
        <w:tc>
          <w:tcPr>
            <w:tcW w:w="4118" w:type="dxa"/>
          </w:tcPr>
          <w:p w14:paraId="2DAAAEAA" w14:textId="77777777" w:rsidR="00767EC2" w:rsidRPr="00F076D7" w:rsidRDefault="00767EC2" w:rsidP="00A83D07">
            <w:pPr>
              <w:autoSpaceDE w:val="0"/>
              <w:autoSpaceDN w:val="0"/>
              <w:adjustRightInd w:val="0"/>
              <w:rPr>
                <w:sz w:val="16"/>
                <w:szCs w:val="16"/>
                <w:highlight w:val="cyan"/>
              </w:rPr>
            </w:pPr>
            <w:r w:rsidRPr="00F076D7">
              <w:rPr>
                <w:sz w:val="16"/>
                <w:szCs w:val="16"/>
              </w:rPr>
              <w:t>Améliorer la composition et la qualité des données stockées dans les bases de données de la Direction nationale de la propriété industrielle (DNPI) afin d’apporter un appui renforcé aux processus d’examen des demandes de brevet.</w:t>
            </w:r>
          </w:p>
        </w:tc>
      </w:tr>
      <w:tr w:rsidR="00767EC2" w:rsidRPr="00F076D7" w14:paraId="71FF8E84" w14:textId="77777777" w:rsidTr="00A83D07">
        <w:tblPrEx>
          <w:tblLook w:val="04A0" w:firstRow="1" w:lastRow="0" w:firstColumn="1" w:lastColumn="0" w:noHBand="0" w:noVBand="1"/>
        </w:tblPrEx>
        <w:trPr>
          <w:cantSplit/>
        </w:trPr>
        <w:tc>
          <w:tcPr>
            <w:tcW w:w="1924" w:type="dxa"/>
          </w:tcPr>
          <w:p w14:paraId="58505EF3" w14:textId="77777777" w:rsidR="00767EC2" w:rsidRPr="00F076D7" w:rsidRDefault="00767EC2" w:rsidP="00A83D07">
            <w:pPr>
              <w:autoSpaceDE w:val="0"/>
              <w:autoSpaceDN w:val="0"/>
              <w:adjustRightInd w:val="0"/>
              <w:rPr>
                <w:sz w:val="16"/>
                <w:szCs w:val="16"/>
              </w:rPr>
            </w:pPr>
            <w:r w:rsidRPr="00F076D7">
              <w:rPr>
                <w:sz w:val="16"/>
                <w:szCs w:val="16"/>
              </w:rPr>
              <w:t>Embauche d’un prestataire (à savoir, un consultant) chargé d’aider à la modernisation des systèmes informatiques de l’office de propriété intellectuelle</w:t>
            </w:r>
          </w:p>
        </w:tc>
        <w:tc>
          <w:tcPr>
            <w:tcW w:w="1242" w:type="dxa"/>
          </w:tcPr>
          <w:p w14:paraId="1E578086" w14:textId="77777777" w:rsidR="00767EC2" w:rsidRPr="00F076D7" w:rsidRDefault="00767EC2" w:rsidP="00A83D07">
            <w:pPr>
              <w:autoSpaceDE w:val="0"/>
              <w:autoSpaceDN w:val="0"/>
              <w:adjustRightInd w:val="0"/>
              <w:rPr>
                <w:sz w:val="16"/>
                <w:szCs w:val="16"/>
              </w:rPr>
            </w:pPr>
            <w:r w:rsidRPr="00F076D7">
              <w:rPr>
                <w:sz w:val="16"/>
                <w:szCs w:val="16"/>
              </w:rPr>
              <w:t>Mai 2016 – 31 décembre 2016</w:t>
            </w:r>
          </w:p>
          <w:p w14:paraId="1DEA4BE7" w14:textId="77777777" w:rsidR="00767EC2" w:rsidRPr="00F076D7" w:rsidRDefault="00767EC2" w:rsidP="00A83D07">
            <w:pPr>
              <w:autoSpaceDE w:val="0"/>
              <w:autoSpaceDN w:val="0"/>
              <w:adjustRightInd w:val="0"/>
              <w:rPr>
                <w:sz w:val="16"/>
                <w:szCs w:val="16"/>
              </w:rPr>
            </w:pPr>
            <w:r w:rsidRPr="00F076D7">
              <w:rPr>
                <w:sz w:val="16"/>
                <w:szCs w:val="16"/>
              </w:rPr>
              <w:t>(en cours)</w:t>
            </w:r>
          </w:p>
        </w:tc>
        <w:tc>
          <w:tcPr>
            <w:tcW w:w="1788" w:type="dxa"/>
          </w:tcPr>
          <w:p w14:paraId="406EB1BD" w14:textId="77777777" w:rsidR="00767EC2" w:rsidRPr="00F076D7" w:rsidRDefault="00767EC2" w:rsidP="00A83D07">
            <w:pPr>
              <w:autoSpaceDE w:val="0"/>
              <w:autoSpaceDN w:val="0"/>
              <w:adjustRightInd w:val="0"/>
              <w:rPr>
                <w:sz w:val="16"/>
                <w:szCs w:val="16"/>
              </w:rPr>
            </w:pPr>
            <w:r w:rsidRPr="00F076D7">
              <w:rPr>
                <w:sz w:val="16"/>
                <w:szCs w:val="16"/>
              </w:rPr>
              <w:t>Fonctionnaire de la DNPI</w:t>
            </w:r>
          </w:p>
        </w:tc>
        <w:tc>
          <w:tcPr>
            <w:tcW w:w="4118" w:type="dxa"/>
          </w:tcPr>
          <w:p w14:paraId="71A56ACF" w14:textId="77777777" w:rsidR="00767EC2" w:rsidRPr="00F076D7" w:rsidRDefault="00767EC2" w:rsidP="00A83D07">
            <w:pPr>
              <w:autoSpaceDE w:val="0"/>
              <w:autoSpaceDN w:val="0"/>
              <w:adjustRightInd w:val="0"/>
              <w:rPr>
                <w:sz w:val="16"/>
                <w:szCs w:val="16"/>
                <w:highlight w:val="cyan"/>
              </w:rPr>
            </w:pPr>
            <w:r w:rsidRPr="00F076D7">
              <w:rPr>
                <w:sz w:val="16"/>
                <w:szCs w:val="16"/>
              </w:rPr>
              <w:t>Améliorer les systèmes informatiques de la DNPI, avec notamment : i) un site Internet permettant au public d’accéder aux bases de données sur les brevets et les marques;  ii) la conception et l’installation de systèmes informatiques;  iii) le développement d’interfaces pour la publication d’informations;  iv) le développement et la mise en place de plateformes en ligne dédiées au dépôt électronique de brevets et de marques.</w:t>
            </w:r>
          </w:p>
        </w:tc>
      </w:tr>
    </w:tbl>
    <w:p w14:paraId="740B5FCD" w14:textId="77777777" w:rsidR="00767EC2" w:rsidRPr="00F076D7" w:rsidRDefault="00767EC2" w:rsidP="00767EC2">
      <w:pPr>
        <w:rPr>
          <w:b/>
          <w:sz w:val="20"/>
        </w:rPr>
      </w:pPr>
    </w:p>
    <w:p w14:paraId="7367336E" w14:textId="77777777" w:rsidR="00767EC2" w:rsidRPr="00F076D7" w:rsidRDefault="00767EC2" w:rsidP="00767EC2">
      <w:pPr>
        <w:rPr>
          <w:b/>
          <w:sz w:val="20"/>
        </w:rPr>
      </w:pPr>
    </w:p>
    <w:p w14:paraId="592CFBD2" w14:textId="77777777" w:rsidR="00767EC2" w:rsidRPr="00F076D7" w:rsidRDefault="00767EC2" w:rsidP="00767EC2">
      <w:pPr>
        <w:rPr>
          <w:b/>
          <w:bCs/>
          <w:sz w:val="20"/>
        </w:rPr>
      </w:pPr>
      <w:r w:rsidRPr="00F076D7">
        <w:rPr>
          <w:b/>
          <w:bCs/>
          <w:sz w:val="20"/>
        </w:rPr>
        <w:t>URUGUAY</w:t>
      </w:r>
      <w:r w:rsidRPr="00F076D7">
        <w:rPr>
          <w:bCs/>
          <w:sz w:val="20"/>
        </w:rPr>
        <w:noBreakHyphen/>
        <w:t xml:space="preserve"> </w:t>
      </w:r>
      <w:r w:rsidRPr="00F076D7">
        <w:rPr>
          <w:b/>
          <w:bCs/>
          <w:sz w:val="20"/>
        </w:rPr>
        <w:t>Contributions des donateurs et dépenses en 2016</w:t>
      </w:r>
    </w:p>
    <w:p w14:paraId="2DC580AE" w14:textId="77777777" w:rsidR="00767EC2" w:rsidRPr="00F076D7" w:rsidRDefault="00767EC2" w:rsidP="00767EC2">
      <w:pPr>
        <w:rPr>
          <w:b/>
          <w:bCs/>
          <w:sz w:val="20"/>
        </w:rPr>
      </w:pPr>
    </w:p>
    <w:tbl>
      <w:tblPr>
        <w:tblW w:w="4884" w:type="pct"/>
        <w:tblCellMar>
          <w:top w:w="57" w:type="dxa"/>
          <w:bottom w:w="57" w:type="dxa"/>
        </w:tblCellMar>
        <w:tblLook w:val="04A0" w:firstRow="1" w:lastRow="0" w:firstColumn="1" w:lastColumn="0" w:noHBand="0" w:noVBand="1"/>
      </w:tblPr>
      <w:tblGrid>
        <w:gridCol w:w="1814"/>
        <w:gridCol w:w="1814"/>
        <w:gridCol w:w="1815"/>
        <w:gridCol w:w="1814"/>
        <w:gridCol w:w="1815"/>
      </w:tblGrid>
      <w:tr w:rsidR="00767EC2" w:rsidRPr="00F076D7" w14:paraId="1CB2D36A" w14:textId="77777777" w:rsidTr="00A83D07">
        <w:trPr>
          <w:cantSplit/>
        </w:trPr>
        <w:tc>
          <w:tcPr>
            <w:tcW w:w="1814" w:type="dxa"/>
            <w:tcBorders>
              <w:top w:val="nil"/>
              <w:left w:val="nil"/>
              <w:bottom w:val="nil"/>
              <w:right w:val="nil"/>
            </w:tcBorders>
            <w:shd w:val="clear" w:color="000000" w:fill="C5D9F1"/>
            <w:vAlign w:val="center"/>
            <w:hideMark/>
          </w:tcPr>
          <w:p w14:paraId="0CE66171" w14:textId="77777777" w:rsidR="00767EC2" w:rsidRPr="00F076D7" w:rsidRDefault="00767EC2" w:rsidP="00A83D07">
            <w:pPr>
              <w:jc w:val="center"/>
              <w:rPr>
                <w:b/>
                <w:bCs/>
                <w:sz w:val="16"/>
                <w:szCs w:val="16"/>
              </w:rPr>
            </w:pPr>
            <w:r w:rsidRPr="00F076D7">
              <w:rPr>
                <w:b/>
                <w:bCs/>
                <w:sz w:val="16"/>
                <w:szCs w:val="16"/>
              </w:rPr>
              <w:t>Solde au 31 décembre 2015</w:t>
            </w:r>
          </w:p>
        </w:tc>
        <w:tc>
          <w:tcPr>
            <w:tcW w:w="1814" w:type="dxa"/>
            <w:tcBorders>
              <w:top w:val="nil"/>
              <w:left w:val="nil"/>
              <w:bottom w:val="nil"/>
              <w:right w:val="nil"/>
            </w:tcBorders>
            <w:shd w:val="clear" w:color="000000" w:fill="C5D9F1"/>
            <w:noWrap/>
            <w:vAlign w:val="center"/>
            <w:hideMark/>
          </w:tcPr>
          <w:p w14:paraId="7D34D170" w14:textId="77777777" w:rsidR="00767EC2" w:rsidRPr="00F076D7" w:rsidRDefault="00767EC2" w:rsidP="00A83D07">
            <w:pPr>
              <w:jc w:val="center"/>
              <w:rPr>
                <w:b/>
                <w:bCs/>
                <w:sz w:val="16"/>
                <w:szCs w:val="16"/>
              </w:rPr>
            </w:pPr>
            <w:r w:rsidRPr="00F076D7">
              <w:rPr>
                <w:b/>
                <w:bCs/>
                <w:sz w:val="16"/>
                <w:szCs w:val="16"/>
              </w:rPr>
              <w:t>Recettes 2016</w:t>
            </w:r>
          </w:p>
        </w:tc>
        <w:tc>
          <w:tcPr>
            <w:tcW w:w="1815" w:type="dxa"/>
            <w:tcBorders>
              <w:top w:val="nil"/>
              <w:left w:val="nil"/>
              <w:bottom w:val="nil"/>
              <w:right w:val="nil"/>
            </w:tcBorders>
            <w:shd w:val="clear" w:color="000000" w:fill="C5D9F1"/>
            <w:noWrap/>
            <w:vAlign w:val="center"/>
            <w:hideMark/>
          </w:tcPr>
          <w:p w14:paraId="6E53A807" w14:textId="77777777" w:rsidR="00767EC2" w:rsidRPr="00F076D7" w:rsidRDefault="00767EC2" w:rsidP="00A83D07">
            <w:pPr>
              <w:jc w:val="center"/>
              <w:rPr>
                <w:b/>
                <w:bCs/>
                <w:sz w:val="16"/>
                <w:szCs w:val="16"/>
              </w:rPr>
            </w:pPr>
            <w:r w:rsidRPr="00F076D7">
              <w:rPr>
                <w:b/>
                <w:bCs/>
                <w:sz w:val="16"/>
                <w:szCs w:val="16"/>
              </w:rPr>
              <w:t>Dépenses en 2016</w:t>
            </w:r>
          </w:p>
        </w:tc>
        <w:tc>
          <w:tcPr>
            <w:tcW w:w="1814" w:type="dxa"/>
            <w:tcBorders>
              <w:top w:val="nil"/>
              <w:left w:val="nil"/>
              <w:bottom w:val="nil"/>
              <w:right w:val="nil"/>
            </w:tcBorders>
            <w:shd w:val="clear" w:color="000000" w:fill="C5D9F1"/>
            <w:noWrap/>
            <w:vAlign w:val="center"/>
            <w:hideMark/>
          </w:tcPr>
          <w:p w14:paraId="1A61F56E" w14:textId="77777777" w:rsidR="00767EC2" w:rsidRPr="00F076D7" w:rsidRDefault="00767EC2" w:rsidP="00A83D07">
            <w:pPr>
              <w:jc w:val="center"/>
              <w:rPr>
                <w:b/>
                <w:bCs/>
                <w:sz w:val="16"/>
                <w:szCs w:val="16"/>
              </w:rPr>
            </w:pPr>
            <w:r w:rsidRPr="00F076D7">
              <w:rPr>
                <w:b/>
                <w:bCs/>
                <w:sz w:val="16"/>
                <w:szCs w:val="16"/>
              </w:rPr>
              <w:t>Remboursements</w:t>
            </w:r>
          </w:p>
        </w:tc>
        <w:tc>
          <w:tcPr>
            <w:tcW w:w="1815" w:type="dxa"/>
            <w:tcBorders>
              <w:top w:val="nil"/>
              <w:left w:val="nil"/>
              <w:bottom w:val="nil"/>
              <w:right w:val="nil"/>
            </w:tcBorders>
            <w:shd w:val="clear" w:color="000000" w:fill="C5D9F1"/>
            <w:vAlign w:val="center"/>
            <w:hideMark/>
          </w:tcPr>
          <w:p w14:paraId="3B112B31" w14:textId="77777777" w:rsidR="00767EC2" w:rsidRPr="00F076D7" w:rsidRDefault="00767EC2" w:rsidP="00A83D07">
            <w:pPr>
              <w:jc w:val="center"/>
              <w:rPr>
                <w:b/>
                <w:bCs/>
                <w:sz w:val="16"/>
                <w:szCs w:val="16"/>
              </w:rPr>
            </w:pPr>
            <w:r w:rsidRPr="00F076D7">
              <w:rPr>
                <w:b/>
                <w:bCs/>
                <w:sz w:val="16"/>
                <w:szCs w:val="16"/>
              </w:rPr>
              <w:t>Solde au 31 décembre 2016</w:t>
            </w:r>
          </w:p>
        </w:tc>
      </w:tr>
      <w:tr w:rsidR="00767EC2" w:rsidRPr="00F076D7" w14:paraId="22026DFA" w14:textId="77777777" w:rsidTr="00A83D07">
        <w:trPr>
          <w:cantSplit/>
        </w:trPr>
        <w:tc>
          <w:tcPr>
            <w:tcW w:w="1814" w:type="dxa"/>
            <w:tcBorders>
              <w:top w:val="nil"/>
              <w:left w:val="nil"/>
              <w:bottom w:val="nil"/>
              <w:right w:val="nil"/>
            </w:tcBorders>
            <w:shd w:val="clear" w:color="auto" w:fill="auto"/>
            <w:noWrap/>
            <w:vAlign w:val="bottom"/>
            <w:hideMark/>
          </w:tcPr>
          <w:p w14:paraId="13655078" w14:textId="77777777" w:rsidR="00767EC2" w:rsidRPr="00F076D7" w:rsidRDefault="00767EC2" w:rsidP="00A83D07">
            <w:pPr>
              <w:jc w:val="center"/>
              <w:rPr>
                <w:sz w:val="16"/>
                <w:szCs w:val="16"/>
              </w:rPr>
            </w:pPr>
            <w:r w:rsidRPr="00F076D7">
              <w:rPr>
                <w:sz w:val="16"/>
                <w:szCs w:val="16"/>
              </w:rPr>
              <w:t>148 624</w:t>
            </w:r>
          </w:p>
        </w:tc>
        <w:tc>
          <w:tcPr>
            <w:tcW w:w="1814" w:type="dxa"/>
            <w:tcBorders>
              <w:top w:val="nil"/>
              <w:left w:val="nil"/>
              <w:bottom w:val="nil"/>
              <w:right w:val="nil"/>
            </w:tcBorders>
            <w:shd w:val="clear" w:color="auto" w:fill="auto"/>
            <w:noWrap/>
            <w:vAlign w:val="bottom"/>
            <w:hideMark/>
          </w:tcPr>
          <w:p w14:paraId="30CCBF98" w14:textId="77777777" w:rsidR="00767EC2" w:rsidRPr="00F076D7" w:rsidRDefault="00767EC2" w:rsidP="00A83D07">
            <w:pPr>
              <w:jc w:val="center"/>
              <w:rPr>
                <w:sz w:val="16"/>
                <w:szCs w:val="16"/>
              </w:rPr>
            </w:pPr>
            <w:r w:rsidRPr="00F076D7">
              <w:rPr>
                <w:sz w:val="16"/>
                <w:szCs w:val="16"/>
              </w:rPr>
              <w:t>(119)</w:t>
            </w:r>
          </w:p>
        </w:tc>
        <w:tc>
          <w:tcPr>
            <w:tcW w:w="1815" w:type="dxa"/>
            <w:tcBorders>
              <w:top w:val="nil"/>
              <w:left w:val="nil"/>
              <w:bottom w:val="nil"/>
              <w:right w:val="nil"/>
            </w:tcBorders>
            <w:shd w:val="clear" w:color="auto" w:fill="auto"/>
            <w:noWrap/>
            <w:vAlign w:val="bottom"/>
            <w:hideMark/>
          </w:tcPr>
          <w:p w14:paraId="39DF064E" w14:textId="77777777" w:rsidR="00767EC2" w:rsidRPr="00F076D7" w:rsidRDefault="00767EC2" w:rsidP="00A83D07">
            <w:pPr>
              <w:jc w:val="center"/>
              <w:rPr>
                <w:sz w:val="16"/>
                <w:szCs w:val="16"/>
              </w:rPr>
            </w:pPr>
            <w:r w:rsidRPr="00F076D7">
              <w:rPr>
                <w:sz w:val="16"/>
                <w:szCs w:val="16"/>
              </w:rPr>
              <w:t>20 555</w:t>
            </w:r>
          </w:p>
        </w:tc>
        <w:tc>
          <w:tcPr>
            <w:tcW w:w="1814" w:type="dxa"/>
            <w:tcBorders>
              <w:top w:val="nil"/>
              <w:left w:val="nil"/>
              <w:bottom w:val="nil"/>
              <w:right w:val="nil"/>
            </w:tcBorders>
            <w:shd w:val="clear" w:color="auto" w:fill="auto"/>
            <w:noWrap/>
            <w:vAlign w:val="bottom"/>
            <w:hideMark/>
          </w:tcPr>
          <w:p w14:paraId="3C01C13E" w14:textId="77777777" w:rsidR="00767EC2" w:rsidRPr="00F076D7" w:rsidRDefault="00767EC2" w:rsidP="00A83D07">
            <w:pPr>
              <w:jc w:val="center"/>
              <w:rPr>
                <w:sz w:val="16"/>
                <w:szCs w:val="16"/>
              </w:rPr>
            </w:pPr>
            <w:r w:rsidRPr="00F076D7">
              <w:rPr>
                <w:sz w:val="16"/>
                <w:szCs w:val="16"/>
              </w:rPr>
              <w:noBreakHyphen/>
            </w:r>
          </w:p>
        </w:tc>
        <w:tc>
          <w:tcPr>
            <w:tcW w:w="1815" w:type="dxa"/>
            <w:tcBorders>
              <w:top w:val="nil"/>
              <w:left w:val="nil"/>
              <w:bottom w:val="nil"/>
              <w:right w:val="nil"/>
            </w:tcBorders>
            <w:shd w:val="clear" w:color="auto" w:fill="auto"/>
            <w:noWrap/>
            <w:vAlign w:val="bottom"/>
            <w:hideMark/>
          </w:tcPr>
          <w:p w14:paraId="2A5F385F" w14:textId="77777777" w:rsidR="00767EC2" w:rsidRPr="00F076D7" w:rsidRDefault="00767EC2" w:rsidP="00A83D07">
            <w:pPr>
              <w:jc w:val="center"/>
              <w:rPr>
                <w:sz w:val="16"/>
                <w:szCs w:val="16"/>
              </w:rPr>
            </w:pPr>
            <w:r w:rsidRPr="00F076D7">
              <w:rPr>
                <w:sz w:val="16"/>
                <w:szCs w:val="16"/>
              </w:rPr>
              <w:t>127 950</w:t>
            </w:r>
          </w:p>
        </w:tc>
      </w:tr>
    </w:tbl>
    <w:p w14:paraId="5241E503" w14:textId="77777777" w:rsidR="00767EC2" w:rsidRPr="00F076D7" w:rsidRDefault="00767EC2" w:rsidP="00767EC2">
      <w:pPr>
        <w:rPr>
          <w:b/>
          <w:sz w:val="20"/>
        </w:rPr>
      </w:pPr>
    </w:p>
    <w:p w14:paraId="44FB9216" w14:textId="77777777" w:rsidR="00767EC2" w:rsidRPr="00F076D7" w:rsidRDefault="00767EC2" w:rsidP="00767EC2">
      <w:pPr>
        <w:rPr>
          <w:b/>
          <w:sz w:val="20"/>
        </w:rPr>
      </w:pPr>
    </w:p>
    <w:p w14:paraId="47EE3138" w14:textId="61AB3A49" w:rsidR="00FD57F2" w:rsidRDefault="00FD57F2">
      <w:pPr>
        <w:rPr>
          <w:bCs/>
          <w:iCs/>
          <w:sz w:val="20"/>
        </w:rPr>
      </w:pPr>
      <w:r>
        <w:rPr>
          <w:bCs/>
          <w:iCs/>
          <w:sz w:val="20"/>
        </w:rPr>
        <w:br w:type="page"/>
      </w:r>
    </w:p>
    <w:p w14:paraId="5C142F0A" w14:textId="28E8ECBB" w:rsidR="00FD57F2" w:rsidRDefault="00FD57F2" w:rsidP="00FD57F2">
      <w:pPr>
        <w:pStyle w:val="Heading3"/>
        <w:tabs>
          <w:tab w:val="left" w:pos="6"/>
        </w:tabs>
        <w:ind w:left="0" w:firstLine="0"/>
      </w:pPr>
      <w:bookmarkStart w:id="93" w:name="_Toc455394220"/>
      <w:bookmarkStart w:id="94" w:name="_Toc482774631"/>
      <w:r w:rsidRPr="00834415">
        <w:t>A</w:t>
      </w:r>
      <w:r>
        <w:t>ppendice</w:t>
      </w:r>
      <w:r w:rsidRPr="00834415">
        <w:t xml:space="preserve"> I</w:t>
      </w:r>
      <w:r>
        <w:t>II</w:t>
      </w:r>
      <w:r w:rsidR="00945B76">
        <w:tab/>
      </w:r>
      <w:r w:rsidRPr="00834415">
        <w:br/>
      </w:r>
      <w:r>
        <w:t xml:space="preserve">Rapport sur l’état d’avancement du plan-cadre d’équipement </w:t>
      </w:r>
      <w:bookmarkEnd w:id="93"/>
      <w:r>
        <w:t>en 2016</w:t>
      </w:r>
      <w:bookmarkEnd w:id="94"/>
    </w:p>
    <w:p w14:paraId="0D5D6CC7" w14:textId="77777777" w:rsidR="00FD57F2" w:rsidRPr="00E35249" w:rsidRDefault="00FD57F2" w:rsidP="00FD57F2">
      <w:pPr>
        <w:autoSpaceDE w:val="0"/>
        <w:autoSpaceDN w:val="0"/>
        <w:jc w:val="both"/>
        <w:rPr>
          <w:bCs/>
          <w:sz w:val="20"/>
        </w:rPr>
      </w:pPr>
    </w:p>
    <w:p w14:paraId="5422BA93" w14:textId="77777777" w:rsidR="00FD57F2" w:rsidRPr="00E35249" w:rsidRDefault="00FD57F2" w:rsidP="00FD57F2">
      <w:pPr>
        <w:autoSpaceDE w:val="0"/>
        <w:autoSpaceDN w:val="0"/>
        <w:jc w:val="both"/>
        <w:rPr>
          <w:bCs/>
          <w:sz w:val="20"/>
        </w:rPr>
      </w:pPr>
    </w:p>
    <w:p w14:paraId="535C80A7" w14:textId="77777777" w:rsidR="00FD57F2" w:rsidRPr="00E35249" w:rsidRDefault="00FD57F2" w:rsidP="00FD57F2">
      <w:pPr>
        <w:rPr>
          <w:b/>
          <w:bCs/>
          <w:sz w:val="20"/>
        </w:rPr>
      </w:pPr>
      <w:r w:rsidRPr="00E35249">
        <w:rPr>
          <w:b/>
          <w:sz w:val="20"/>
        </w:rPr>
        <w:t>I.</w:t>
      </w:r>
      <w:r w:rsidRPr="00E35249">
        <w:rPr>
          <w:sz w:val="20"/>
        </w:rPr>
        <w:tab/>
      </w:r>
      <w:r w:rsidRPr="00E35249">
        <w:rPr>
          <w:b/>
          <w:sz w:val="20"/>
        </w:rPr>
        <w:t>INTRODUCTION</w:t>
      </w:r>
    </w:p>
    <w:p w14:paraId="1EC06C0C" w14:textId="77777777" w:rsidR="00FD57F2" w:rsidRPr="00E35249" w:rsidRDefault="00FD57F2" w:rsidP="00FD57F2">
      <w:pPr>
        <w:rPr>
          <w:sz w:val="20"/>
        </w:rPr>
      </w:pPr>
    </w:p>
    <w:p w14:paraId="56FDD8FB" w14:textId="77777777" w:rsidR="00FD57F2" w:rsidRPr="00E35249" w:rsidRDefault="00FD57F2" w:rsidP="00FD57F2">
      <w:pPr>
        <w:pStyle w:val="ONUME"/>
        <w:numPr>
          <w:ilvl w:val="0"/>
          <w:numId w:val="0"/>
        </w:numPr>
        <w:tabs>
          <w:tab w:val="left" w:pos="567"/>
        </w:tabs>
        <w:jc w:val="both"/>
        <w:rPr>
          <w:sz w:val="20"/>
        </w:rPr>
      </w:pPr>
      <w:r w:rsidRPr="00E35249">
        <w:rPr>
          <w:sz w:val="20"/>
        </w:rPr>
        <w:t>La cinquante et unième session des assemblées des États membres de l’OMPI en septembre 2013 a entériné les principes en vertu desquels les projets sont inclus dans le Plan-cadre d’équipement de l’Organisation et a approuvé un financement pour un montant total estimé à 11,2 millions de francs suisses à prélever sur les réserves pour sept projets (document A/51/16</w:t>
      </w:r>
      <w:r w:rsidRPr="00E35249">
        <w:rPr>
          <w:rStyle w:val="FootnoteReference"/>
          <w:rFonts w:eastAsia="SimSun"/>
          <w:sz w:val="20"/>
        </w:rPr>
        <w:footnoteReference w:id="113"/>
      </w:r>
      <w:r w:rsidRPr="00E35249">
        <w:rPr>
          <w:sz w:val="20"/>
        </w:rPr>
        <w:t>).</w:t>
      </w:r>
    </w:p>
    <w:p w14:paraId="637A001B" w14:textId="77777777" w:rsidR="00FD57F2" w:rsidRPr="00E35249" w:rsidRDefault="00FD57F2" w:rsidP="00FD57F2">
      <w:pPr>
        <w:pStyle w:val="ONUME"/>
        <w:numPr>
          <w:ilvl w:val="0"/>
          <w:numId w:val="0"/>
        </w:numPr>
        <w:tabs>
          <w:tab w:val="left" w:pos="567"/>
        </w:tabs>
        <w:jc w:val="both"/>
        <w:rPr>
          <w:sz w:val="20"/>
        </w:rPr>
      </w:pPr>
      <w:r w:rsidRPr="00E35249">
        <w:rPr>
          <w:sz w:val="20"/>
        </w:rPr>
        <w:t>Dans le cadre des efforts déployés pour rationaliser la reddition de comptes au sein de l’Organisation, le Rapport sur l’état d’avancement du Plan-cadre d’équipement en 2016 est inclus en annexe du rapport sur l’exécution du programme en 2016.  Ce rapport est le quatrième rapport sur l’état d’avancement soumis au PBC, et il présente aux États membres un aperçu des progrès accomplis, des étapes franchies et de l’utilisation des ressources durant la période allant de janvier à décembre 2016 au titre des projets suivants :</w:t>
      </w:r>
    </w:p>
    <w:p w14:paraId="5A62ED5D" w14:textId="77777777" w:rsidR="00FD57F2" w:rsidRPr="00E35249" w:rsidRDefault="00FD57F2" w:rsidP="00FD57F2">
      <w:pPr>
        <w:pStyle w:val="ONUME"/>
        <w:numPr>
          <w:ilvl w:val="1"/>
          <w:numId w:val="1"/>
        </w:numPr>
        <w:rPr>
          <w:sz w:val="20"/>
          <w:u w:val="single"/>
        </w:rPr>
      </w:pPr>
      <w:r w:rsidRPr="00E35249">
        <w:rPr>
          <w:sz w:val="20"/>
          <w:u w:val="single"/>
        </w:rPr>
        <w:t>Projets dans le domaine des TIC</w:t>
      </w:r>
    </w:p>
    <w:p w14:paraId="2038F5A9" w14:textId="77777777" w:rsidR="00FD57F2" w:rsidRPr="00E35249" w:rsidRDefault="00FD57F2" w:rsidP="00FD57F2">
      <w:pPr>
        <w:pStyle w:val="ONUME"/>
        <w:numPr>
          <w:ilvl w:val="2"/>
          <w:numId w:val="1"/>
        </w:numPr>
        <w:rPr>
          <w:sz w:val="20"/>
        </w:rPr>
      </w:pPr>
      <w:r w:rsidRPr="00E35249">
        <w:rPr>
          <w:sz w:val="20"/>
        </w:rPr>
        <w:t>Renforcement de la sécurité : cryptage des données et gestion des utilisateurs</w:t>
      </w:r>
    </w:p>
    <w:p w14:paraId="443504F3" w14:textId="77777777" w:rsidR="00FD57F2" w:rsidRPr="00E35249" w:rsidRDefault="00FD57F2" w:rsidP="00FD57F2">
      <w:pPr>
        <w:pStyle w:val="ONUME"/>
        <w:numPr>
          <w:ilvl w:val="2"/>
          <w:numId w:val="1"/>
        </w:numPr>
        <w:rPr>
          <w:sz w:val="20"/>
        </w:rPr>
      </w:pPr>
      <w:r w:rsidRPr="00E35249">
        <w:rPr>
          <w:sz w:val="20"/>
        </w:rPr>
        <w:t>mise en œuvre du système de gestion des contenus de l’Organisation</w:t>
      </w:r>
    </w:p>
    <w:p w14:paraId="410BACBA" w14:textId="77777777" w:rsidR="00FD57F2" w:rsidRPr="00E35249" w:rsidRDefault="00FD57F2" w:rsidP="00FD57F2">
      <w:pPr>
        <w:pStyle w:val="ONUME"/>
        <w:numPr>
          <w:ilvl w:val="1"/>
          <w:numId w:val="1"/>
        </w:numPr>
        <w:rPr>
          <w:sz w:val="20"/>
          <w:u w:val="single"/>
        </w:rPr>
      </w:pPr>
      <w:r w:rsidRPr="00E35249">
        <w:rPr>
          <w:sz w:val="20"/>
          <w:u w:val="single"/>
        </w:rPr>
        <w:t>Projets liés aux bâtiments</w:t>
      </w:r>
    </w:p>
    <w:p w14:paraId="77EE3C3A" w14:textId="77777777" w:rsidR="00FD57F2" w:rsidRPr="00E35249" w:rsidRDefault="00FD57F2" w:rsidP="002C58CD">
      <w:pPr>
        <w:pStyle w:val="ONUME"/>
        <w:numPr>
          <w:ilvl w:val="2"/>
          <w:numId w:val="62"/>
        </w:numPr>
        <w:ind w:left="1710" w:hanging="576"/>
        <w:rPr>
          <w:sz w:val="20"/>
        </w:rPr>
      </w:pPr>
      <w:r w:rsidRPr="00E35249">
        <w:rPr>
          <w:sz w:val="20"/>
        </w:rPr>
        <w:t>Rénovation des façades et de la climatisation du bâtiment PCT</w:t>
      </w:r>
    </w:p>
    <w:p w14:paraId="0989630D" w14:textId="77777777" w:rsidR="00FD57F2" w:rsidRPr="00E35249" w:rsidRDefault="00FD57F2" w:rsidP="00FD57F2">
      <w:pPr>
        <w:pStyle w:val="ONUME"/>
        <w:numPr>
          <w:ilvl w:val="2"/>
          <w:numId w:val="1"/>
        </w:numPr>
        <w:ind w:left="1710" w:hanging="576"/>
        <w:rPr>
          <w:sz w:val="20"/>
        </w:rPr>
      </w:pPr>
      <w:r w:rsidRPr="00E35249">
        <w:rPr>
          <w:sz w:val="20"/>
        </w:rPr>
        <w:t>Installation du système de refroidissement au moyen de l’eau du lac Léman (projet réseau du lac) pour les bâtiments AB et PCT</w:t>
      </w:r>
    </w:p>
    <w:p w14:paraId="76A9A570" w14:textId="77777777" w:rsidR="00FD57F2" w:rsidRPr="00E35249" w:rsidRDefault="00FD57F2" w:rsidP="00FD57F2">
      <w:pPr>
        <w:pStyle w:val="ONUME"/>
        <w:numPr>
          <w:ilvl w:val="2"/>
          <w:numId w:val="1"/>
        </w:numPr>
        <w:rPr>
          <w:sz w:val="20"/>
        </w:rPr>
      </w:pPr>
      <w:r w:rsidRPr="00E35249">
        <w:rPr>
          <w:sz w:val="20"/>
        </w:rPr>
        <w:t xml:space="preserve">Bâtiment Arpad </w:t>
      </w:r>
      <w:proofErr w:type="spellStart"/>
      <w:r w:rsidRPr="00E35249">
        <w:rPr>
          <w:sz w:val="20"/>
        </w:rPr>
        <w:t>Bogsch</w:t>
      </w:r>
      <w:proofErr w:type="spellEnd"/>
      <w:r w:rsidRPr="00E35249">
        <w:rPr>
          <w:sz w:val="20"/>
        </w:rPr>
        <w:t xml:space="preserve"> – phase 1 de la rénovation du sous-sol (redimensionnement du centre informatique et rénovation de l’imprimerie)</w:t>
      </w:r>
    </w:p>
    <w:p w14:paraId="653CB0F9" w14:textId="77777777" w:rsidR="00FD57F2" w:rsidRPr="00E35249" w:rsidRDefault="00FD57F2" w:rsidP="00FD57F2">
      <w:pPr>
        <w:pStyle w:val="ONUME"/>
        <w:numPr>
          <w:ilvl w:val="2"/>
          <w:numId w:val="1"/>
        </w:numPr>
        <w:rPr>
          <w:sz w:val="20"/>
        </w:rPr>
      </w:pPr>
      <w:r w:rsidRPr="00E35249">
        <w:rPr>
          <w:sz w:val="20"/>
        </w:rPr>
        <w:t xml:space="preserve">Bâtiment Arpad </w:t>
      </w:r>
      <w:proofErr w:type="spellStart"/>
      <w:r w:rsidRPr="00E35249">
        <w:rPr>
          <w:sz w:val="20"/>
        </w:rPr>
        <w:t>Bogsch</w:t>
      </w:r>
      <w:proofErr w:type="spellEnd"/>
      <w:r w:rsidRPr="00E35249">
        <w:rPr>
          <w:sz w:val="20"/>
        </w:rPr>
        <w:t xml:space="preserve"> – remplacement de certaines fenêtres</w:t>
      </w:r>
    </w:p>
    <w:p w14:paraId="645E20E3" w14:textId="77777777" w:rsidR="00FD57F2" w:rsidRPr="00E35249" w:rsidRDefault="00FD57F2" w:rsidP="00FD57F2">
      <w:pPr>
        <w:pStyle w:val="ONUME"/>
        <w:numPr>
          <w:ilvl w:val="1"/>
          <w:numId w:val="1"/>
        </w:numPr>
        <w:rPr>
          <w:sz w:val="20"/>
          <w:u w:val="single"/>
        </w:rPr>
      </w:pPr>
      <w:r w:rsidRPr="00E35249">
        <w:rPr>
          <w:sz w:val="20"/>
          <w:u w:val="single"/>
        </w:rPr>
        <w:t>Projets liés à la sécurité</w:t>
      </w:r>
    </w:p>
    <w:p w14:paraId="0A209BE7" w14:textId="77777777" w:rsidR="00FD57F2" w:rsidRPr="00E35249" w:rsidRDefault="00FD57F2" w:rsidP="002C58CD">
      <w:pPr>
        <w:pStyle w:val="ONUME"/>
        <w:numPr>
          <w:ilvl w:val="2"/>
          <w:numId w:val="63"/>
        </w:numPr>
        <w:rPr>
          <w:sz w:val="20"/>
        </w:rPr>
      </w:pPr>
      <w:r w:rsidRPr="00E35249">
        <w:rPr>
          <w:sz w:val="20"/>
        </w:rPr>
        <w:t>Mesures de sécurité et de protection anti-incendie</w:t>
      </w:r>
    </w:p>
    <w:p w14:paraId="2009B4ED" w14:textId="77777777" w:rsidR="00FD57F2" w:rsidRPr="00E35249" w:rsidRDefault="00FD57F2" w:rsidP="00FD57F2">
      <w:pPr>
        <w:rPr>
          <w:b/>
          <w:bCs/>
          <w:sz w:val="20"/>
        </w:rPr>
      </w:pPr>
    </w:p>
    <w:p w14:paraId="2F6EB0EE" w14:textId="77777777" w:rsidR="00FD57F2" w:rsidRPr="00E35249" w:rsidRDefault="00FD57F2" w:rsidP="00FD57F2">
      <w:pPr>
        <w:rPr>
          <w:b/>
          <w:bCs/>
          <w:sz w:val="20"/>
        </w:rPr>
      </w:pPr>
      <w:r w:rsidRPr="00E35249">
        <w:rPr>
          <w:b/>
          <w:sz w:val="20"/>
        </w:rPr>
        <w:t>II.</w:t>
      </w:r>
      <w:r w:rsidRPr="00E35249">
        <w:rPr>
          <w:b/>
          <w:sz w:val="20"/>
        </w:rPr>
        <w:tab/>
        <w:t>STRUCTURE DE GOUVERNANCE APPROUVÉE</w:t>
      </w:r>
    </w:p>
    <w:p w14:paraId="44866337" w14:textId="77777777" w:rsidR="00FD57F2" w:rsidRPr="00E35249" w:rsidRDefault="00FD57F2" w:rsidP="00FD57F2">
      <w:pPr>
        <w:rPr>
          <w:sz w:val="20"/>
        </w:rPr>
      </w:pPr>
    </w:p>
    <w:p w14:paraId="72991D21" w14:textId="77777777" w:rsidR="00FD57F2" w:rsidRPr="00E35249" w:rsidRDefault="00FD57F2" w:rsidP="00FD57F2">
      <w:pPr>
        <w:pStyle w:val="ONUME"/>
        <w:numPr>
          <w:ilvl w:val="0"/>
          <w:numId w:val="0"/>
        </w:numPr>
        <w:tabs>
          <w:tab w:val="left" w:pos="567"/>
        </w:tabs>
        <w:jc w:val="both"/>
        <w:rPr>
          <w:sz w:val="20"/>
        </w:rPr>
      </w:pPr>
      <w:r w:rsidRPr="00E35249">
        <w:rPr>
          <w:sz w:val="20"/>
        </w:rPr>
        <w:t>Conformément aux pratiques recommandées dans le secteur en matière de gestion de projets, un cadre de gouvernance a été mis en œuvre pour le Plan-cadre d’équipement en 2014 afin de : i) définir les structures et processus de gestion et de supervision des activités des projets en vue de la réalisation de leurs objectifs;  et ii) veiller à ce que les responsabilités et obligations en matière de reddition de comptes soient toutes clairement communiquées.</w:t>
      </w:r>
    </w:p>
    <w:p w14:paraId="76FF6742" w14:textId="77777777" w:rsidR="00FD57F2" w:rsidRPr="00E35249" w:rsidRDefault="00FD57F2" w:rsidP="00FD57F2">
      <w:pPr>
        <w:pStyle w:val="ONUME"/>
        <w:numPr>
          <w:ilvl w:val="0"/>
          <w:numId w:val="0"/>
        </w:numPr>
        <w:tabs>
          <w:tab w:val="left" w:pos="567"/>
        </w:tabs>
        <w:jc w:val="both"/>
        <w:rPr>
          <w:sz w:val="20"/>
        </w:rPr>
      </w:pPr>
      <w:r w:rsidRPr="00E35249">
        <w:rPr>
          <w:sz w:val="20"/>
        </w:rPr>
        <w:t>Le PBC, à sa vingt-deuxième session en septembre 2014, a pris note de la structure de gouvernance mise en place pour gérer, superviser et rendre compte de la mise en œuvre du portefeuille de projets du Plan-cadre d’équipement, comme cela est indiqué dans le document WO/PBC/22/21</w:t>
      </w:r>
      <w:r w:rsidRPr="00E35249">
        <w:rPr>
          <w:rStyle w:val="FootnoteReference"/>
          <w:rFonts w:eastAsia="SimSun"/>
          <w:sz w:val="20"/>
        </w:rPr>
        <w:footnoteReference w:id="114"/>
      </w:r>
      <w:r w:rsidRPr="00E35249">
        <w:rPr>
          <w:sz w:val="20"/>
        </w:rPr>
        <w:t>.</w:t>
      </w:r>
    </w:p>
    <w:p w14:paraId="3F293AF3" w14:textId="77777777" w:rsidR="00FD57F2" w:rsidRPr="00D46647" w:rsidRDefault="00FD57F2" w:rsidP="00FD57F2">
      <w:pPr>
        <w:rPr>
          <w:b/>
        </w:rPr>
      </w:pPr>
      <w:r w:rsidRPr="00D50F16">
        <w:br w:type="page"/>
      </w:r>
      <w:r w:rsidRPr="00D46647">
        <w:rPr>
          <w:b/>
        </w:rPr>
        <w:t>PROJETS DANS LE DOMAINE DES TIC</w:t>
      </w:r>
    </w:p>
    <w:p w14:paraId="2BC74C61" w14:textId="77777777" w:rsidR="00FD57F2" w:rsidRPr="00D46647" w:rsidRDefault="00FD57F2" w:rsidP="00FD57F2">
      <w:pPr>
        <w:rPr>
          <w:b/>
          <w:i/>
          <w:caps/>
          <w:sz w:val="20"/>
        </w:rPr>
      </w:pPr>
    </w:p>
    <w:p w14:paraId="17C9DF63" w14:textId="6658E717" w:rsidR="00FD57F2" w:rsidRPr="00D46647" w:rsidRDefault="00E35249" w:rsidP="00D46647">
      <w:pPr>
        <w:pStyle w:val="Heading5"/>
      </w:pPr>
      <w:bookmarkStart w:id="95" w:name="_Toc423352908"/>
      <w:bookmarkStart w:id="96" w:name="_Toc455394221"/>
      <w:bookmarkStart w:id="97" w:name="_Toc482774632"/>
      <w:r w:rsidRPr="00D46647">
        <w:t xml:space="preserve">Projet 1 </w:t>
      </w:r>
      <w:r w:rsidRPr="00D46647">
        <w:tab/>
        <w:t>Renforcement de la sécurité : cryptage des données et gestion des utilisateurs</w:t>
      </w:r>
      <w:bookmarkEnd w:id="95"/>
      <w:bookmarkEnd w:id="96"/>
      <w:bookmarkEnd w:id="97"/>
    </w:p>
    <w:p w14:paraId="368B8AA5" w14:textId="77777777" w:rsidR="00FD57F2" w:rsidRPr="00D46647" w:rsidRDefault="00FD57F2" w:rsidP="00FD57F2">
      <w:pPr>
        <w:rPr>
          <w:b/>
          <w:i/>
          <w:sz w:val="20"/>
        </w:rPr>
      </w:pPr>
    </w:p>
    <w:p w14:paraId="22529FD4" w14:textId="77777777" w:rsidR="00FD57F2" w:rsidRPr="00D46647" w:rsidRDefault="00FD57F2" w:rsidP="00FD57F2">
      <w:pPr>
        <w:rPr>
          <w:b/>
          <w:sz w:val="20"/>
        </w:rPr>
      </w:pPr>
      <w:r w:rsidRPr="00D46647">
        <w:rPr>
          <w:b/>
          <w:sz w:val="20"/>
        </w:rPr>
        <w:t>Chef de projet</w:t>
      </w:r>
      <w:r w:rsidRPr="00D46647">
        <w:rPr>
          <w:b/>
          <w:sz w:val="20"/>
        </w:rPr>
        <w:tab/>
        <w:t>M. R. LANE</w:t>
      </w:r>
    </w:p>
    <w:p w14:paraId="56CA5138" w14:textId="77777777" w:rsidR="00FD57F2" w:rsidRPr="00D46647" w:rsidRDefault="00FD57F2" w:rsidP="00FD57F2">
      <w:pPr>
        <w:rPr>
          <w:sz w:val="20"/>
        </w:rPr>
      </w:pPr>
    </w:p>
    <w:p w14:paraId="2A9ABCF1" w14:textId="77777777" w:rsidR="00FD57F2" w:rsidRPr="00D46647" w:rsidRDefault="00FD57F2" w:rsidP="00FD57F2">
      <w:pPr>
        <w:rPr>
          <w:bCs/>
          <w:sz w:val="20"/>
        </w:rPr>
      </w:pPr>
    </w:p>
    <w:p w14:paraId="0D4F3D19" w14:textId="77777777" w:rsidR="00FD57F2" w:rsidRPr="00D46647" w:rsidRDefault="00FD57F2" w:rsidP="00FD57F2">
      <w:pPr>
        <w:rPr>
          <w:bCs/>
          <w:sz w:val="20"/>
        </w:rPr>
      </w:pPr>
      <w:r w:rsidRPr="00D46647">
        <w:rPr>
          <w:sz w:val="20"/>
        </w:rPr>
        <w:t>RÉSULTATS ESCOMPTÉS</w:t>
      </w:r>
    </w:p>
    <w:p w14:paraId="33E7AFDD" w14:textId="77777777" w:rsidR="00FD57F2" w:rsidRPr="00D46647" w:rsidRDefault="00FD57F2" w:rsidP="00FD57F2">
      <w:pPr>
        <w:rPr>
          <w:bCs/>
          <w:sz w:val="20"/>
        </w:rPr>
      </w:pPr>
    </w:p>
    <w:p w14:paraId="5A528B93" w14:textId="77777777" w:rsidR="00FD57F2" w:rsidRPr="00D46647" w:rsidRDefault="00FD57F2" w:rsidP="00FD57F2">
      <w:pPr>
        <w:jc w:val="both"/>
        <w:rPr>
          <w:i/>
          <w:iCs/>
          <w:sz w:val="20"/>
        </w:rPr>
      </w:pPr>
      <w:r w:rsidRPr="00D46647">
        <w:rPr>
          <w:i/>
          <w:sz w:val="20"/>
        </w:rPr>
        <w:t>IX.1</w:t>
      </w:r>
      <w:r w:rsidRPr="00D46647">
        <w:rPr>
          <w:sz w:val="20"/>
        </w:rPr>
        <w:t xml:space="preserve"> </w:t>
      </w:r>
      <w:r w:rsidRPr="00D46647">
        <w:rPr>
          <w:i/>
          <w:sz w:val="20"/>
        </w:rPr>
        <w:t>Services d’appui efficaces, efficients, de qualité et tournés vers la clientèle, à l’intention à la fois des clients internes et des parties prenantes externes</w:t>
      </w:r>
    </w:p>
    <w:p w14:paraId="2BC15B86" w14:textId="77777777" w:rsidR="00FD57F2" w:rsidRPr="00D46647" w:rsidRDefault="00FD57F2" w:rsidP="00FD57F2">
      <w:pPr>
        <w:jc w:val="both"/>
        <w:rPr>
          <w:i/>
          <w:iCs/>
          <w:sz w:val="20"/>
        </w:rPr>
      </w:pPr>
    </w:p>
    <w:p w14:paraId="33E0E458" w14:textId="77777777" w:rsidR="00FD57F2" w:rsidRPr="00D46647" w:rsidRDefault="00FD57F2" w:rsidP="00FD57F2">
      <w:pPr>
        <w:rPr>
          <w:bCs/>
          <w:sz w:val="20"/>
        </w:rPr>
      </w:pPr>
    </w:p>
    <w:p w14:paraId="55A4D471" w14:textId="77777777" w:rsidR="00FD57F2" w:rsidRPr="00D46647" w:rsidRDefault="00FD57F2" w:rsidP="00FD57F2">
      <w:pPr>
        <w:rPr>
          <w:bCs/>
          <w:sz w:val="20"/>
        </w:rPr>
      </w:pPr>
      <w:r w:rsidRPr="00D46647">
        <w:rPr>
          <w:sz w:val="20"/>
        </w:rPr>
        <w:t>OBJECTIFS, PORTÉE ET APPROCHE – GÉNÉRALITÉS</w:t>
      </w:r>
    </w:p>
    <w:p w14:paraId="2F76D00A" w14:textId="77777777" w:rsidR="00FD57F2" w:rsidRPr="00D46647" w:rsidRDefault="00FD57F2" w:rsidP="00FD57F2">
      <w:pPr>
        <w:rPr>
          <w:bCs/>
          <w:sz w:val="20"/>
        </w:rPr>
      </w:pPr>
    </w:p>
    <w:p w14:paraId="7C17D311" w14:textId="77777777" w:rsidR="00FD57F2" w:rsidRPr="00D46647" w:rsidRDefault="00FD57F2" w:rsidP="002C58CD">
      <w:pPr>
        <w:pStyle w:val="ONUME"/>
        <w:numPr>
          <w:ilvl w:val="0"/>
          <w:numId w:val="66"/>
        </w:numPr>
        <w:tabs>
          <w:tab w:val="left" w:pos="567"/>
        </w:tabs>
        <w:ind w:left="0" w:firstLine="0"/>
        <w:jc w:val="both"/>
        <w:rPr>
          <w:sz w:val="20"/>
        </w:rPr>
      </w:pPr>
      <w:r w:rsidRPr="00D46647">
        <w:rPr>
          <w:sz w:val="20"/>
        </w:rPr>
        <w:t>Ce projet vise trois objectifs principaux : protection des données essentielles, possibilité de recourir à des options de sous-traitance plus économiques et gestion centralisée des droits d’accès.</w:t>
      </w:r>
    </w:p>
    <w:p w14:paraId="39091F4C" w14:textId="77777777" w:rsidR="00FD57F2" w:rsidRPr="00D46647" w:rsidRDefault="00FD57F2" w:rsidP="002C58CD">
      <w:pPr>
        <w:pStyle w:val="ONUME"/>
        <w:numPr>
          <w:ilvl w:val="0"/>
          <w:numId w:val="66"/>
        </w:numPr>
        <w:tabs>
          <w:tab w:val="left" w:pos="567"/>
        </w:tabs>
        <w:ind w:left="0" w:firstLine="0"/>
        <w:jc w:val="both"/>
        <w:rPr>
          <w:sz w:val="20"/>
        </w:rPr>
      </w:pPr>
      <w:r w:rsidRPr="00D46647">
        <w:rPr>
          <w:sz w:val="20"/>
        </w:rPr>
        <w:t>L’OMPI a déjà pris des mesures variées pour protéger ses informations confidentielles.  Ces mesures comprennent les mécanismes traditionnels de défense périphérique, la sécurité informatique et la gestion des événements, la détection et la prévention des intrusions, entre autres.  Toutefois, compte tenu de la sophistication croissante des menaces, les pratiques recommandées en matière de sécurité informatique mettent désormais aussi l’accent sur la protection directe des sources.</w:t>
      </w:r>
    </w:p>
    <w:p w14:paraId="2E0284A5" w14:textId="77777777" w:rsidR="00FD57F2" w:rsidRPr="00D46647" w:rsidRDefault="00FD57F2" w:rsidP="002C58CD">
      <w:pPr>
        <w:pStyle w:val="ONUME"/>
        <w:numPr>
          <w:ilvl w:val="0"/>
          <w:numId w:val="66"/>
        </w:numPr>
        <w:tabs>
          <w:tab w:val="left" w:pos="567"/>
        </w:tabs>
        <w:ind w:left="0" w:firstLine="0"/>
        <w:jc w:val="both"/>
        <w:rPr>
          <w:sz w:val="20"/>
        </w:rPr>
      </w:pPr>
      <w:r w:rsidRPr="00D46647">
        <w:rPr>
          <w:sz w:val="20"/>
        </w:rPr>
        <w:t>Par ailleurs, l’accès à des ressources externes plus économiques est une nécessité dans le monde actuel de la gestion informatique, qui suppose, d’une part, des compétences diversifiées et susceptibles d’évoluer rapidement et, d’autre part, la capacité de mobiliser rapidement des ressources humaines en fonction de l’évolution des priorités opérationnelles.  Cela étant, la diversification des options en matière de sous-traitance accroît la vulnérabilité de l’information.</w:t>
      </w:r>
    </w:p>
    <w:p w14:paraId="31A78635" w14:textId="77777777" w:rsidR="00FD57F2" w:rsidRPr="00D46647" w:rsidRDefault="00FD57F2" w:rsidP="002C58CD">
      <w:pPr>
        <w:pStyle w:val="ONUME"/>
        <w:numPr>
          <w:ilvl w:val="0"/>
          <w:numId w:val="66"/>
        </w:numPr>
        <w:tabs>
          <w:tab w:val="left" w:pos="567"/>
        </w:tabs>
        <w:ind w:left="0" w:firstLine="0"/>
        <w:jc w:val="both"/>
        <w:rPr>
          <w:bCs/>
          <w:sz w:val="20"/>
        </w:rPr>
      </w:pPr>
      <w:r w:rsidRPr="00D46647">
        <w:rPr>
          <w:sz w:val="20"/>
        </w:rPr>
        <w:t>Les technologies de cryptage des données sont un moyen de relever ces deux défis.  Elles complètent les autres mesures de sécurité informatique en assurant le cryptage des données à la source.  Elles offrent également davantage de souplesse pour le choix de prestataires plus économiques en préservant le contrôle du cryptage tout en permettant aux prestataires extérieurs de remplir leurs fonctions d’appui.</w:t>
      </w:r>
    </w:p>
    <w:p w14:paraId="02D4780C" w14:textId="77777777" w:rsidR="00FD57F2" w:rsidRPr="00D46647" w:rsidRDefault="00FD57F2" w:rsidP="002C58CD">
      <w:pPr>
        <w:pStyle w:val="ONUME"/>
        <w:numPr>
          <w:ilvl w:val="0"/>
          <w:numId w:val="66"/>
        </w:numPr>
        <w:tabs>
          <w:tab w:val="left" w:pos="567"/>
        </w:tabs>
        <w:ind w:left="0" w:firstLine="0"/>
        <w:jc w:val="both"/>
        <w:rPr>
          <w:sz w:val="20"/>
        </w:rPr>
      </w:pPr>
      <w:r w:rsidRPr="00D46647">
        <w:rPr>
          <w:sz w:val="20"/>
        </w:rPr>
        <w:t>La gestion des droits d’accès s’inscrit en complément des investissements consentis par l’Organisation dans les solutions de cryptage des données.  Traditionnellement, la gestion des droits d’accès se concentre sur les systèmes.  En d’autres termes, à l’intérieur d’un système donné, on doit savoir qui a accès à quoi.  Ce mécanisme peut être efficace lorsque le nombre d’utilisateurs et d’applications logicielles est relativement restreint.</w:t>
      </w:r>
    </w:p>
    <w:p w14:paraId="2C0E2134" w14:textId="77777777" w:rsidR="00FD57F2" w:rsidRPr="00D46647" w:rsidRDefault="00FD57F2" w:rsidP="002C58CD">
      <w:pPr>
        <w:pStyle w:val="ONUME"/>
        <w:numPr>
          <w:ilvl w:val="0"/>
          <w:numId w:val="66"/>
        </w:numPr>
        <w:tabs>
          <w:tab w:val="left" w:pos="567"/>
        </w:tabs>
        <w:ind w:left="0" w:firstLine="0"/>
        <w:jc w:val="both"/>
        <w:rPr>
          <w:iCs/>
          <w:sz w:val="20"/>
        </w:rPr>
      </w:pPr>
      <w:r w:rsidRPr="00D46647">
        <w:rPr>
          <w:sz w:val="20"/>
        </w:rPr>
        <w:t>Toutefois, alors que l’OMPI continue de renforcer ses services en ligne, le nombre d’utilisateurs devrait augmenter régulièrement dans les années à venir.  Il convient d’investir dans des solutions axant la gestion des droits d’accès sur les utilisateurs.  En d’autres termes, on doit savoir exactement de quels droits d’accès jouit un utilisateur donné dans tout l’éventail des systèmes.</w:t>
      </w:r>
    </w:p>
    <w:p w14:paraId="351C8E40" w14:textId="77777777" w:rsidR="00FD57F2" w:rsidRPr="00D46647" w:rsidRDefault="00FD57F2" w:rsidP="002C58CD">
      <w:pPr>
        <w:pStyle w:val="ONUME"/>
        <w:numPr>
          <w:ilvl w:val="0"/>
          <w:numId w:val="66"/>
        </w:numPr>
        <w:tabs>
          <w:tab w:val="left" w:pos="567"/>
        </w:tabs>
        <w:ind w:left="0" w:firstLine="0"/>
        <w:jc w:val="both"/>
        <w:rPr>
          <w:iCs/>
          <w:sz w:val="20"/>
        </w:rPr>
      </w:pPr>
      <w:r w:rsidRPr="00D46647">
        <w:rPr>
          <w:sz w:val="20"/>
        </w:rPr>
        <w:t>À terme, la technologie pourrait permettre de gérer les droits d’accès en fonction du rôle des utilisateurs dans un système ou une série de systèmes complexes, tels que l’ERP.  Pour l’heure, il est difficile de prévoir quand et comment ces technologies évolueront.  En conséquence, cet aspect n’a pas été pris en considération dans le présent projet.</w:t>
      </w:r>
    </w:p>
    <w:p w14:paraId="238A0D3C" w14:textId="77777777" w:rsidR="00FD57F2" w:rsidRPr="00D46647" w:rsidRDefault="00FD57F2" w:rsidP="00FD57F2">
      <w:pPr>
        <w:rPr>
          <w:bCs/>
          <w:sz w:val="20"/>
        </w:rPr>
      </w:pPr>
    </w:p>
    <w:p w14:paraId="022A846D" w14:textId="77777777" w:rsidR="00FD57F2" w:rsidRPr="00D46647" w:rsidRDefault="00FD57F2" w:rsidP="00FD57F2">
      <w:pPr>
        <w:keepNext/>
        <w:rPr>
          <w:bCs/>
          <w:sz w:val="20"/>
        </w:rPr>
      </w:pPr>
      <w:r w:rsidRPr="00D46647">
        <w:rPr>
          <w:sz w:val="20"/>
        </w:rPr>
        <w:t>APERÇU DES PROGRÈS RÉALISÉS EN 2016 (PRINCIPALES ÉTAPES)</w:t>
      </w:r>
    </w:p>
    <w:p w14:paraId="342703F8" w14:textId="77777777" w:rsidR="00FD57F2" w:rsidRPr="00D46647" w:rsidRDefault="00FD57F2" w:rsidP="00FD57F2">
      <w:pPr>
        <w:keepNext/>
        <w:rPr>
          <w:bCs/>
          <w:sz w:val="20"/>
        </w:rPr>
      </w:pPr>
    </w:p>
    <w:p w14:paraId="57D007AD" w14:textId="77777777" w:rsidR="00FD57F2" w:rsidRPr="00D46647" w:rsidRDefault="00FD57F2" w:rsidP="002C58CD">
      <w:pPr>
        <w:pStyle w:val="ListParagraph"/>
        <w:numPr>
          <w:ilvl w:val="0"/>
          <w:numId w:val="66"/>
        </w:numPr>
        <w:ind w:left="360"/>
        <w:rPr>
          <w:rFonts w:ascii="Arial" w:hAnsi="Arial" w:cs="Arial"/>
          <w:bCs/>
          <w:sz w:val="20"/>
          <w:szCs w:val="20"/>
        </w:rPr>
      </w:pPr>
      <w:r w:rsidRPr="00D46647">
        <w:rPr>
          <w:rFonts w:ascii="Arial" w:hAnsi="Arial" w:cs="Arial"/>
          <w:bCs/>
          <w:sz w:val="20"/>
          <w:szCs w:val="20"/>
        </w:rPr>
        <w:t>En 2016, les progrès suivants ont été accomplis :</w:t>
      </w:r>
    </w:p>
    <w:p w14:paraId="62C36CBC" w14:textId="77777777" w:rsidR="00FD57F2" w:rsidRPr="00D46647" w:rsidRDefault="00FD57F2" w:rsidP="00FD57F2">
      <w:pPr>
        <w:tabs>
          <w:tab w:val="left" w:pos="567"/>
        </w:tabs>
        <w:ind w:left="360"/>
        <w:jc w:val="both"/>
        <w:rPr>
          <w:bCs/>
          <w:sz w:val="20"/>
        </w:rPr>
      </w:pPr>
    </w:p>
    <w:p w14:paraId="7E2F4FEB" w14:textId="77777777" w:rsidR="00FD57F2" w:rsidRPr="00D46647" w:rsidRDefault="00FD57F2" w:rsidP="002C58CD">
      <w:pPr>
        <w:pStyle w:val="ListParagraph"/>
        <w:numPr>
          <w:ilvl w:val="0"/>
          <w:numId w:val="76"/>
        </w:numPr>
        <w:spacing w:after="220"/>
        <w:contextualSpacing w:val="0"/>
        <w:jc w:val="both"/>
        <w:rPr>
          <w:rFonts w:ascii="Arial" w:hAnsi="Arial" w:cs="Arial"/>
          <w:bCs/>
          <w:sz w:val="20"/>
          <w:szCs w:val="20"/>
        </w:rPr>
      </w:pPr>
      <w:r w:rsidRPr="00D46647">
        <w:rPr>
          <w:rFonts w:ascii="Arial" w:hAnsi="Arial" w:cs="Arial"/>
          <w:bCs/>
          <w:sz w:val="20"/>
          <w:szCs w:val="20"/>
        </w:rPr>
        <w:t>À la suite d’un processus d’appel à propositions (RFP), un prestataire a été chargé, au quatrième trimestre 2015, d’évaluer l’état du système de cryptage et de gestion de l’authentification et des accès (IAME) de l’OMPI et de définir : i) l’architecture/les grandes lignes d’IAME;  ii) la stratégie IAME;  iii) une feuille de route décrivant chaque étape de sa mise en œuvre.  Les rapports ont été livrés en 2016, et la stratégie et la feuille de route IAME ont été approuvées par le Comité directeur de la sécurité et de l’assurance informatique en juillet 2016.</w:t>
      </w:r>
    </w:p>
    <w:p w14:paraId="7819F296" w14:textId="77777777" w:rsidR="00FD57F2" w:rsidRPr="00D46647" w:rsidRDefault="00FD57F2" w:rsidP="002C58CD">
      <w:pPr>
        <w:pStyle w:val="ListParagraph"/>
        <w:numPr>
          <w:ilvl w:val="0"/>
          <w:numId w:val="76"/>
        </w:numPr>
        <w:spacing w:after="220"/>
        <w:contextualSpacing w:val="0"/>
        <w:jc w:val="both"/>
        <w:rPr>
          <w:rFonts w:ascii="Arial" w:hAnsi="Arial" w:cs="Arial"/>
          <w:bCs/>
          <w:sz w:val="20"/>
          <w:szCs w:val="20"/>
        </w:rPr>
      </w:pPr>
      <w:r w:rsidRPr="00D46647">
        <w:rPr>
          <w:rFonts w:ascii="Arial" w:hAnsi="Arial" w:cs="Arial"/>
          <w:bCs/>
          <w:sz w:val="20"/>
          <w:szCs w:val="20"/>
        </w:rPr>
        <w:t>Conformément à la feuille de route relative à la mise en œuvre, plusieurs projets à effet rapide ont été menés à bien, dont une évaluation indépendante de la nouvelle plateforme externe de gestion de l’authentification et des accès (</w:t>
      </w:r>
      <w:proofErr w:type="spellStart"/>
      <w:r w:rsidRPr="00D46647">
        <w:rPr>
          <w:rFonts w:ascii="Arial" w:hAnsi="Arial" w:cs="Arial"/>
          <w:bCs/>
          <w:sz w:val="20"/>
          <w:szCs w:val="20"/>
        </w:rPr>
        <w:t>OpenAM</w:t>
      </w:r>
      <w:proofErr w:type="spellEnd"/>
      <w:r w:rsidRPr="00D46647">
        <w:rPr>
          <w:rFonts w:ascii="Arial" w:hAnsi="Arial" w:cs="Arial"/>
          <w:bCs/>
          <w:sz w:val="20"/>
          <w:szCs w:val="20"/>
        </w:rPr>
        <w:t>) de l’OMPI et la mise en place de politiques de mots de passe dits “forts” en ce qui concerne les comptes de messagerie de l’OMPI.  En outre, des travaux visant à cartographier les modèles d’autorisation de deux importantes applications métier suivant l’architecture d’IAME ont été lancés fin 2016.  Cette cartographie servira de modèle pour d’autres secteurs, et permettra l’adoption d’une démarche de “formation des formateurs” visant à renforcer les capacités internes.</w:t>
      </w:r>
    </w:p>
    <w:p w14:paraId="167C6D3D" w14:textId="77777777" w:rsidR="00FD57F2" w:rsidRPr="00D46647" w:rsidRDefault="00FD57F2" w:rsidP="00FD57F2">
      <w:pPr>
        <w:jc w:val="both"/>
        <w:rPr>
          <w:bCs/>
          <w:sz w:val="20"/>
        </w:rPr>
      </w:pPr>
    </w:p>
    <w:p w14:paraId="3E7783AB" w14:textId="77777777" w:rsidR="00FD57F2" w:rsidRPr="00D46647" w:rsidRDefault="00FD57F2" w:rsidP="00FD57F2">
      <w:pPr>
        <w:rPr>
          <w:sz w:val="20"/>
        </w:rPr>
      </w:pPr>
      <w:r w:rsidRPr="00D46647">
        <w:rPr>
          <w:sz w:val="20"/>
        </w:rPr>
        <w:t>CONCRÉTISATION DES AVANTAGES</w:t>
      </w:r>
    </w:p>
    <w:p w14:paraId="0A030E0B" w14:textId="77777777" w:rsidR="00FD57F2" w:rsidRPr="00D46647" w:rsidRDefault="00FD57F2" w:rsidP="00FD57F2">
      <w:pPr>
        <w:jc w:val="both"/>
        <w:rPr>
          <w:bCs/>
          <w:sz w:val="20"/>
        </w:rPr>
      </w:pPr>
    </w:p>
    <w:tbl>
      <w:tblPr>
        <w:tblW w:w="2853" w:type="pct"/>
        <w:jc w:val="center"/>
        <w:tblInd w:w="7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5299"/>
      </w:tblGrid>
      <w:tr w:rsidR="00FD57F2" w:rsidRPr="00D46647" w14:paraId="1E925A4A" w14:textId="77777777" w:rsidTr="007E3422">
        <w:trPr>
          <w:tblHeader/>
          <w:jc w:val="center"/>
        </w:trPr>
        <w:tc>
          <w:tcPr>
            <w:tcW w:w="5000" w:type="pct"/>
            <w:shd w:val="clear" w:color="auto" w:fill="C6D9F1" w:themeFill="text2" w:themeFillTint="33"/>
            <w:vAlign w:val="center"/>
          </w:tcPr>
          <w:p w14:paraId="323E6415" w14:textId="77777777" w:rsidR="00FD57F2" w:rsidRPr="00D46647" w:rsidRDefault="00FD57F2" w:rsidP="00FD57F2">
            <w:pPr>
              <w:jc w:val="center"/>
              <w:rPr>
                <w:b/>
                <w:bCs/>
                <w:sz w:val="16"/>
                <w:szCs w:val="16"/>
              </w:rPr>
            </w:pPr>
            <w:r w:rsidRPr="00D46647">
              <w:rPr>
                <w:b/>
                <w:bCs/>
                <w:sz w:val="16"/>
                <w:szCs w:val="16"/>
              </w:rPr>
              <w:t>Avantages escomptés en 2017</w:t>
            </w:r>
          </w:p>
        </w:tc>
      </w:tr>
      <w:tr w:rsidR="00FD57F2" w:rsidRPr="00D46647" w14:paraId="49A6FD05" w14:textId="77777777" w:rsidTr="007E3422">
        <w:trPr>
          <w:jc w:val="center"/>
        </w:trPr>
        <w:tc>
          <w:tcPr>
            <w:tcW w:w="5000" w:type="pct"/>
            <w:shd w:val="clear" w:color="auto" w:fill="auto"/>
          </w:tcPr>
          <w:p w14:paraId="6F9E887F" w14:textId="77777777" w:rsidR="00FD57F2" w:rsidRPr="00D46647" w:rsidRDefault="00FD57F2" w:rsidP="00FD57F2">
            <w:pPr>
              <w:rPr>
                <w:bCs/>
                <w:iCs/>
                <w:sz w:val="16"/>
                <w:szCs w:val="16"/>
              </w:rPr>
            </w:pPr>
          </w:p>
          <w:p w14:paraId="2FE75225" w14:textId="77777777" w:rsidR="00FD57F2" w:rsidRPr="00D46647" w:rsidRDefault="00FD57F2" w:rsidP="00FD57F2">
            <w:pPr>
              <w:rPr>
                <w:bCs/>
                <w:iCs/>
                <w:sz w:val="16"/>
                <w:szCs w:val="16"/>
              </w:rPr>
            </w:pPr>
            <w:r w:rsidRPr="00D46647">
              <w:rPr>
                <w:bCs/>
                <w:iCs/>
                <w:sz w:val="16"/>
                <w:szCs w:val="16"/>
              </w:rPr>
              <w:t>La</w:t>
            </w:r>
            <w:r w:rsidRPr="00D46647">
              <w:rPr>
                <w:sz w:val="16"/>
              </w:rPr>
              <w:t xml:space="preserve"> </w:t>
            </w:r>
            <w:r w:rsidRPr="00D46647">
              <w:rPr>
                <w:bCs/>
                <w:iCs/>
                <w:sz w:val="16"/>
                <w:szCs w:val="16"/>
              </w:rPr>
              <w:t>mise en œuvre des solutions en termes d’architecture, de processus et de techniques visant à améliorer la gestion de l’identité et des accès ainsi que le cryptage donnera lieu à :</w:t>
            </w:r>
          </w:p>
          <w:p w14:paraId="58471F65" w14:textId="77777777" w:rsidR="00FD57F2" w:rsidRPr="00D46647" w:rsidRDefault="00FD57F2" w:rsidP="00FD57F2">
            <w:pPr>
              <w:rPr>
                <w:bCs/>
                <w:iCs/>
                <w:sz w:val="16"/>
                <w:szCs w:val="16"/>
              </w:rPr>
            </w:pPr>
          </w:p>
          <w:p w14:paraId="3B8C4A3F" w14:textId="5E03365B" w:rsidR="00FD57F2" w:rsidRPr="00D46647" w:rsidRDefault="00FD57F2" w:rsidP="003F79BF">
            <w:pPr>
              <w:pStyle w:val="ListParagraph"/>
              <w:numPr>
                <w:ilvl w:val="0"/>
                <w:numId w:val="73"/>
              </w:numPr>
              <w:ind w:left="484" w:hanging="484"/>
              <w:contextualSpacing w:val="0"/>
              <w:rPr>
                <w:rFonts w:ascii="Arial" w:hAnsi="Arial" w:cs="Arial"/>
                <w:bCs/>
                <w:iCs/>
                <w:sz w:val="16"/>
                <w:szCs w:val="16"/>
              </w:rPr>
            </w:pPr>
            <w:r w:rsidRPr="00D46647">
              <w:rPr>
                <w:rFonts w:ascii="Arial" w:hAnsi="Arial" w:cs="Arial"/>
                <w:bCs/>
                <w:iCs/>
                <w:sz w:val="16"/>
                <w:szCs w:val="16"/>
              </w:rPr>
              <w:t>la normalisation et la réutilisation du cryptage et des architectures de référence en matière de sécurité pour la gestion de l’identité et des accès dans les systèmes et applications essentiels de l’OMPI</w:t>
            </w:r>
            <w:r w:rsidRPr="00D46647">
              <w:rPr>
                <w:rFonts w:ascii="Arial" w:hAnsi="Arial" w:cs="Arial"/>
                <w:sz w:val="16"/>
              </w:rPr>
              <w:t xml:space="preserve">;  </w:t>
            </w:r>
            <w:r w:rsidRPr="00D46647">
              <w:rPr>
                <w:rFonts w:ascii="Arial" w:hAnsi="Arial" w:cs="Arial"/>
                <w:bCs/>
                <w:iCs/>
                <w:sz w:val="16"/>
                <w:szCs w:val="16"/>
              </w:rPr>
              <w:t>et</w:t>
            </w:r>
          </w:p>
          <w:p w14:paraId="10092396" w14:textId="4A08A270" w:rsidR="00FD57F2" w:rsidRPr="00D46647" w:rsidRDefault="00FD57F2" w:rsidP="003F79BF">
            <w:pPr>
              <w:pStyle w:val="ListParagraph"/>
              <w:numPr>
                <w:ilvl w:val="0"/>
                <w:numId w:val="73"/>
              </w:numPr>
              <w:ind w:left="484" w:hanging="484"/>
              <w:contextualSpacing w:val="0"/>
              <w:rPr>
                <w:rFonts w:ascii="Arial" w:hAnsi="Arial" w:cs="Arial"/>
                <w:bCs/>
                <w:iCs/>
                <w:sz w:val="16"/>
                <w:szCs w:val="16"/>
              </w:rPr>
            </w:pPr>
            <w:r w:rsidRPr="00D46647">
              <w:rPr>
                <w:rFonts w:ascii="Arial" w:hAnsi="Arial" w:cs="Arial"/>
                <w:bCs/>
                <w:iCs/>
                <w:sz w:val="16"/>
                <w:szCs w:val="16"/>
              </w:rPr>
              <w:t>l’amélioration de la protection des informations sensibles contre l’accès ou la diffusion non autorisés</w:t>
            </w:r>
            <w:r w:rsidRPr="00D46647">
              <w:rPr>
                <w:rFonts w:ascii="Arial" w:hAnsi="Arial" w:cs="Arial"/>
                <w:sz w:val="16"/>
              </w:rPr>
              <w:t xml:space="preserve">. </w:t>
            </w:r>
            <w:r w:rsidRPr="00D46647">
              <w:rPr>
                <w:rFonts w:ascii="Arial" w:hAnsi="Arial" w:cs="Arial"/>
                <w:bCs/>
                <w:iCs/>
                <w:sz w:val="16"/>
                <w:szCs w:val="16"/>
              </w:rPr>
              <w:t xml:space="preserve"> </w:t>
            </w:r>
          </w:p>
        </w:tc>
      </w:tr>
    </w:tbl>
    <w:p w14:paraId="26458641" w14:textId="77777777" w:rsidR="00FD57F2" w:rsidRPr="00D46647" w:rsidRDefault="00FD57F2" w:rsidP="00FD57F2">
      <w:pPr>
        <w:jc w:val="both"/>
        <w:rPr>
          <w:bCs/>
          <w:sz w:val="20"/>
        </w:rPr>
      </w:pPr>
    </w:p>
    <w:p w14:paraId="543C327F" w14:textId="77777777" w:rsidR="00FD57F2" w:rsidRPr="00D46647" w:rsidRDefault="00FD57F2" w:rsidP="00FD57F2">
      <w:pPr>
        <w:jc w:val="both"/>
        <w:rPr>
          <w:bCs/>
          <w:sz w:val="20"/>
        </w:rPr>
      </w:pPr>
    </w:p>
    <w:p w14:paraId="246A0589" w14:textId="77777777" w:rsidR="00FD57F2" w:rsidRPr="00D46647" w:rsidRDefault="00FD57F2" w:rsidP="00FD57F2">
      <w:pPr>
        <w:rPr>
          <w:sz w:val="20"/>
        </w:rPr>
      </w:pPr>
      <w:r w:rsidRPr="00D46647">
        <w:rPr>
          <w:sz w:val="20"/>
        </w:rPr>
        <w:t>UTILISATION DES RESSOURCES</w:t>
      </w:r>
      <w:r w:rsidRPr="00D46647">
        <w:rPr>
          <w:rStyle w:val="FootnoteReference"/>
          <w:rFonts w:cs="Arial"/>
          <w:sz w:val="20"/>
        </w:rPr>
        <w:footnoteReference w:id="115"/>
      </w:r>
    </w:p>
    <w:p w14:paraId="1263129E" w14:textId="77777777" w:rsidR="00FD57F2" w:rsidRPr="00D46647" w:rsidRDefault="00FD57F2" w:rsidP="00FD57F2">
      <w:pPr>
        <w:rPr>
          <w:sz w:val="20"/>
        </w:rPr>
      </w:pPr>
    </w:p>
    <w:p w14:paraId="7DCDF390" w14:textId="77777777" w:rsidR="00FD57F2" w:rsidRPr="00D46647" w:rsidRDefault="00FD57F2" w:rsidP="00FD57F2">
      <w:pPr>
        <w:keepNext/>
        <w:keepLines/>
        <w:tabs>
          <w:tab w:val="left" w:pos="3261"/>
        </w:tabs>
        <w:autoSpaceDE w:val="0"/>
        <w:autoSpaceDN w:val="0"/>
        <w:adjustRightInd w:val="0"/>
        <w:jc w:val="center"/>
        <w:rPr>
          <w:b/>
        </w:rPr>
      </w:pPr>
      <w:r w:rsidRPr="00D46647">
        <w:rPr>
          <w:b/>
        </w:rPr>
        <w:t>Utilisation du budget du projet</w:t>
      </w:r>
    </w:p>
    <w:p w14:paraId="6105D60B"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37F15211" w14:textId="77777777" w:rsidR="00FD57F2" w:rsidRPr="00D46647" w:rsidRDefault="00FD57F2" w:rsidP="00FD57F2">
      <w:pPr>
        <w:rPr>
          <w:szCs w:val="22"/>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67"/>
        <w:gridCol w:w="1579"/>
        <w:gridCol w:w="1581"/>
        <w:gridCol w:w="1581"/>
        <w:gridCol w:w="1579"/>
      </w:tblGrid>
      <w:tr w:rsidR="00FD57F2" w:rsidRPr="00D46647" w14:paraId="1CB09BDA" w14:textId="77777777" w:rsidTr="007E3422">
        <w:tc>
          <w:tcPr>
            <w:tcW w:w="1598" w:type="pct"/>
            <w:shd w:val="clear" w:color="auto" w:fill="C6D9F1"/>
            <w:vAlign w:val="center"/>
          </w:tcPr>
          <w:p w14:paraId="3FE6297F" w14:textId="77777777" w:rsidR="00FD57F2" w:rsidRPr="00D46647" w:rsidRDefault="00FD57F2" w:rsidP="00FD57F2">
            <w:pPr>
              <w:autoSpaceDE w:val="0"/>
              <w:autoSpaceDN w:val="0"/>
              <w:adjustRightInd w:val="0"/>
              <w:jc w:val="center"/>
              <w:rPr>
                <w:b/>
                <w:bCs/>
                <w:sz w:val="16"/>
                <w:szCs w:val="16"/>
              </w:rPr>
            </w:pPr>
            <w:r w:rsidRPr="00D46647">
              <w:rPr>
                <w:b/>
                <w:sz w:val="16"/>
              </w:rPr>
              <w:t>Nom du projet</w:t>
            </w:r>
          </w:p>
        </w:tc>
        <w:tc>
          <w:tcPr>
            <w:tcW w:w="850" w:type="pct"/>
            <w:shd w:val="clear" w:color="auto" w:fill="C6D9F1"/>
            <w:vAlign w:val="center"/>
          </w:tcPr>
          <w:p w14:paraId="7BD2C65F" w14:textId="77777777" w:rsidR="00FD57F2" w:rsidRPr="00D46647" w:rsidRDefault="00FD57F2" w:rsidP="00FD57F2">
            <w:pPr>
              <w:autoSpaceDE w:val="0"/>
              <w:autoSpaceDN w:val="0"/>
              <w:adjustRightInd w:val="0"/>
              <w:jc w:val="center"/>
              <w:rPr>
                <w:b/>
                <w:bCs/>
                <w:sz w:val="16"/>
                <w:szCs w:val="16"/>
              </w:rPr>
            </w:pPr>
            <w:r w:rsidRPr="00D46647">
              <w:rPr>
                <w:b/>
                <w:sz w:val="16"/>
              </w:rPr>
              <w:t>Budget du projet</w:t>
            </w:r>
          </w:p>
        </w:tc>
        <w:tc>
          <w:tcPr>
            <w:tcW w:w="851" w:type="pct"/>
            <w:shd w:val="clear" w:color="auto" w:fill="C6D9F1"/>
            <w:vAlign w:val="center"/>
          </w:tcPr>
          <w:p w14:paraId="60113786" w14:textId="77777777" w:rsidR="00FD57F2" w:rsidRPr="00D46647" w:rsidRDefault="00FD57F2" w:rsidP="00FD57F2">
            <w:pPr>
              <w:autoSpaceDE w:val="0"/>
              <w:autoSpaceDN w:val="0"/>
              <w:adjustRightInd w:val="0"/>
              <w:jc w:val="center"/>
              <w:rPr>
                <w:b/>
                <w:bCs/>
                <w:sz w:val="16"/>
                <w:szCs w:val="16"/>
              </w:rPr>
            </w:pPr>
            <w:r w:rsidRPr="00D46647">
              <w:rPr>
                <w:b/>
                <w:sz w:val="16"/>
              </w:rPr>
              <w:t>Dépenses effectives à ce jour</w:t>
            </w:r>
          </w:p>
        </w:tc>
        <w:tc>
          <w:tcPr>
            <w:tcW w:w="851" w:type="pct"/>
            <w:shd w:val="clear" w:color="auto" w:fill="C6D9F1"/>
            <w:vAlign w:val="center"/>
          </w:tcPr>
          <w:p w14:paraId="0F8C0A0A" w14:textId="77777777" w:rsidR="00FD57F2" w:rsidRPr="00D46647" w:rsidRDefault="00FD57F2" w:rsidP="00FD57F2">
            <w:pPr>
              <w:autoSpaceDE w:val="0"/>
              <w:autoSpaceDN w:val="0"/>
              <w:adjustRightInd w:val="0"/>
              <w:jc w:val="center"/>
              <w:rPr>
                <w:b/>
                <w:bCs/>
                <w:sz w:val="16"/>
                <w:szCs w:val="16"/>
              </w:rPr>
            </w:pPr>
            <w:r w:rsidRPr="00D46647">
              <w:rPr>
                <w:b/>
                <w:sz w:val="16"/>
              </w:rPr>
              <w:t>Utilisation effective du budget</w:t>
            </w:r>
          </w:p>
        </w:tc>
        <w:tc>
          <w:tcPr>
            <w:tcW w:w="850" w:type="pct"/>
            <w:shd w:val="clear" w:color="auto" w:fill="C6D9F1"/>
            <w:vAlign w:val="center"/>
          </w:tcPr>
          <w:p w14:paraId="0A69ECDD" w14:textId="77777777" w:rsidR="00FD57F2" w:rsidRPr="00D46647" w:rsidRDefault="00FD57F2" w:rsidP="00FD57F2">
            <w:pPr>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59CB6D53" w14:textId="77777777" w:rsidTr="007E3422">
        <w:tc>
          <w:tcPr>
            <w:tcW w:w="1598" w:type="pct"/>
            <w:vAlign w:val="center"/>
          </w:tcPr>
          <w:p w14:paraId="3E57AB33" w14:textId="77777777" w:rsidR="00FD57F2" w:rsidRPr="00D46647" w:rsidRDefault="00FD57F2" w:rsidP="00FD57F2">
            <w:pPr>
              <w:autoSpaceDE w:val="0"/>
              <w:autoSpaceDN w:val="0"/>
              <w:adjustRightInd w:val="0"/>
              <w:rPr>
                <w:sz w:val="16"/>
                <w:szCs w:val="16"/>
              </w:rPr>
            </w:pPr>
            <w:r w:rsidRPr="00D46647">
              <w:rPr>
                <w:sz w:val="16"/>
              </w:rPr>
              <w:t>Renforcement de la sécurité : cryptage des données et gestion des utilisateurs</w:t>
            </w:r>
          </w:p>
        </w:tc>
        <w:tc>
          <w:tcPr>
            <w:tcW w:w="850" w:type="pct"/>
            <w:vAlign w:val="center"/>
          </w:tcPr>
          <w:p w14:paraId="444F956D" w14:textId="77777777" w:rsidR="00FD57F2" w:rsidRPr="00D46647" w:rsidRDefault="00FD57F2" w:rsidP="00FD57F2">
            <w:pPr>
              <w:autoSpaceDE w:val="0"/>
              <w:autoSpaceDN w:val="0"/>
              <w:adjustRightInd w:val="0"/>
              <w:jc w:val="center"/>
              <w:rPr>
                <w:sz w:val="16"/>
                <w:szCs w:val="16"/>
              </w:rPr>
            </w:pPr>
            <w:r w:rsidRPr="00D46647">
              <w:rPr>
                <w:sz w:val="16"/>
              </w:rPr>
              <w:t>700 000</w:t>
            </w:r>
          </w:p>
        </w:tc>
        <w:tc>
          <w:tcPr>
            <w:tcW w:w="851" w:type="pct"/>
            <w:vAlign w:val="center"/>
          </w:tcPr>
          <w:p w14:paraId="3C243E88" w14:textId="77777777" w:rsidR="00FD57F2" w:rsidRPr="00D46647" w:rsidRDefault="00FD57F2" w:rsidP="00FD57F2">
            <w:pPr>
              <w:autoSpaceDE w:val="0"/>
              <w:autoSpaceDN w:val="0"/>
              <w:adjustRightInd w:val="0"/>
              <w:jc w:val="center"/>
              <w:rPr>
                <w:sz w:val="16"/>
                <w:szCs w:val="16"/>
              </w:rPr>
            </w:pPr>
            <w:r w:rsidRPr="00D46647">
              <w:rPr>
                <w:sz w:val="16"/>
              </w:rPr>
              <w:t>129 400</w:t>
            </w:r>
          </w:p>
        </w:tc>
        <w:tc>
          <w:tcPr>
            <w:tcW w:w="851" w:type="pct"/>
            <w:vAlign w:val="center"/>
          </w:tcPr>
          <w:p w14:paraId="557FA944" w14:textId="77777777" w:rsidR="00FD57F2" w:rsidRPr="00D46647" w:rsidRDefault="00FD57F2" w:rsidP="00FD57F2">
            <w:pPr>
              <w:autoSpaceDE w:val="0"/>
              <w:autoSpaceDN w:val="0"/>
              <w:adjustRightInd w:val="0"/>
              <w:jc w:val="center"/>
              <w:rPr>
                <w:sz w:val="16"/>
                <w:szCs w:val="16"/>
              </w:rPr>
            </w:pPr>
            <w:r w:rsidRPr="00D46647">
              <w:rPr>
                <w:sz w:val="16"/>
              </w:rPr>
              <w:t>18,5%</w:t>
            </w:r>
          </w:p>
        </w:tc>
        <w:tc>
          <w:tcPr>
            <w:tcW w:w="850" w:type="pct"/>
            <w:vAlign w:val="center"/>
          </w:tcPr>
          <w:p w14:paraId="1D8D88F2" w14:textId="77777777" w:rsidR="00FD57F2" w:rsidRPr="00D46647" w:rsidRDefault="00FD57F2" w:rsidP="00FD57F2">
            <w:pPr>
              <w:autoSpaceDE w:val="0"/>
              <w:autoSpaceDN w:val="0"/>
              <w:adjustRightInd w:val="0"/>
              <w:jc w:val="center"/>
              <w:rPr>
                <w:sz w:val="16"/>
                <w:szCs w:val="16"/>
              </w:rPr>
            </w:pPr>
            <w:r w:rsidRPr="00D46647">
              <w:rPr>
                <w:sz w:val="16"/>
              </w:rPr>
              <w:t>20%</w:t>
            </w:r>
          </w:p>
        </w:tc>
      </w:tr>
    </w:tbl>
    <w:p w14:paraId="6C2DF8F1" w14:textId="77777777" w:rsidR="00FD57F2" w:rsidRPr="00D46647" w:rsidRDefault="00FD57F2" w:rsidP="00FD57F2">
      <w:pPr>
        <w:keepNext/>
        <w:keepLines/>
        <w:tabs>
          <w:tab w:val="left" w:pos="3261"/>
        </w:tabs>
        <w:autoSpaceDE w:val="0"/>
        <w:autoSpaceDN w:val="0"/>
        <w:adjustRightInd w:val="0"/>
        <w:jc w:val="center"/>
        <w:rPr>
          <w:b/>
          <w:sz w:val="20"/>
        </w:rPr>
      </w:pPr>
    </w:p>
    <w:p w14:paraId="3AB4360E" w14:textId="77777777" w:rsidR="00FD57F2" w:rsidRPr="00D46647" w:rsidRDefault="00FD57F2" w:rsidP="00FD57F2">
      <w:pPr>
        <w:keepNext/>
        <w:keepLines/>
        <w:tabs>
          <w:tab w:val="left" w:pos="3261"/>
        </w:tabs>
        <w:autoSpaceDE w:val="0"/>
        <w:autoSpaceDN w:val="0"/>
        <w:adjustRightInd w:val="0"/>
        <w:jc w:val="center"/>
        <w:rPr>
          <w:b/>
          <w:sz w:val="20"/>
        </w:rPr>
      </w:pPr>
    </w:p>
    <w:p w14:paraId="75190AB2" w14:textId="77777777" w:rsidR="003F79BF" w:rsidRDefault="003F79BF">
      <w:pPr>
        <w:rPr>
          <w:b/>
          <w:sz w:val="20"/>
        </w:rPr>
      </w:pPr>
      <w:r>
        <w:rPr>
          <w:b/>
          <w:sz w:val="20"/>
        </w:rPr>
        <w:br w:type="page"/>
      </w:r>
    </w:p>
    <w:p w14:paraId="2E8A7E58" w14:textId="1DE85531"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 (par étape)</w:t>
      </w:r>
    </w:p>
    <w:p w14:paraId="121DC5D8" w14:textId="77777777" w:rsidR="00FD57F2" w:rsidRPr="00D46647" w:rsidRDefault="00FD57F2" w:rsidP="00FD57F2">
      <w:pPr>
        <w:keepNext/>
        <w:keepLines/>
        <w:tabs>
          <w:tab w:val="left" w:pos="3261"/>
        </w:tabs>
        <w:autoSpaceDE w:val="0"/>
        <w:autoSpaceDN w:val="0"/>
        <w:adjustRightInd w:val="0"/>
        <w:jc w:val="center"/>
        <w:rPr>
          <w:i/>
          <w:sz w:val="18"/>
        </w:rPr>
      </w:pPr>
      <w:r w:rsidRPr="00D46647">
        <w:rPr>
          <w:i/>
          <w:sz w:val="18"/>
        </w:rPr>
        <w:t>(en francs suisses, au 31 décembre 2016)</w:t>
      </w:r>
    </w:p>
    <w:p w14:paraId="1B3BBB13" w14:textId="77777777" w:rsidR="00FD57F2" w:rsidRPr="00D46647" w:rsidRDefault="00FD57F2" w:rsidP="00FD57F2">
      <w:pPr>
        <w:keepNext/>
        <w:keepLines/>
        <w:tabs>
          <w:tab w:val="left" w:pos="3261"/>
        </w:tabs>
        <w:autoSpaceDE w:val="0"/>
        <w:autoSpaceDN w:val="0"/>
        <w:adjustRightInd w:val="0"/>
        <w:jc w:val="center"/>
        <w:rPr>
          <w:i/>
          <w:iCs/>
          <w:sz w:val="18"/>
          <w:szCs w:val="18"/>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114"/>
        <w:gridCol w:w="1403"/>
        <w:gridCol w:w="1590"/>
        <w:gridCol w:w="1590"/>
        <w:gridCol w:w="1590"/>
      </w:tblGrid>
      <w:tr w:rsidR="00FD57F2" w:rsidRPr="00D46647" w14:paraId="18DE439E" w14:textId="77777777" w:rsidTr="007E3422">
        <w:tc>
          <w:tcPr>
            <w:tcW w:w="1676" w:type="pct"/>
            <w:shd w:val="clear" w:color="auto" w:fill="C6D9F1" w:themeFill="text2" w:themeFillTint="33"/>
            <w:vAlign w:val="center"/>
          </w:tcPr>
          <w:p w14:paraId="5D8485F1"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Nom du projet</w:t>
            </w:r>
          </w:p>
        </w:tc>
        <w:tc>
          <w:tcPr>
            <w:tcW w:w="755" w:type="pct"/>
            <w:shd w:val="clear" w:color="auto" w:fill="C6D9F1" w:themeFill="text2" w:themeFillTint="33"/>
            <w:vAlign w:val="center"/>
          </w:tcPr>
          <w:p w14:paraId="401357AD"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6" w:type="pct"/>
            <w:shd w:val="clear" w:color="auto" w:fill="C6D9F1" w:themeFill="text2" w:themeFillTint="33"/>
            <w:vAlign w:val="center"/>
          </w:tcPr>
          <w:p w14:paraId="41175B9E"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6" w:type="pct"/>
            <w:shd w:val="clear" w:color="auto" w:fill="C6D9F1" w:themeFill="text2" w:themeFillTint="33"/>
            <w:vAlign w:val="center"/>
          </w:tcPr>
          <w:p w14:paraId="38229916"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6" w:type="pct"/>
            <w:shd w:val="clear" w:color="auto" w:fill="C6D9F1" w:themeFill="text2" w:themeFillTint="33"/>
            <w:vAlign w:val="center"/>
          </w:tcPr>
          <w:p w14:paraId="2257AEEB"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268DD51B" w14:textId="77777777" w:rsidTr="007E3422">
        <w:tc>
          <w:tcPr>
            <w:tcW w:w="1676" w:type="pct"/>
          </w:tcPr>
          <w:p w14:paraId="21D4BA80" w14:textId="77777777" w:rsidR="00FD57F2" w:rsidRPr="00D46647" w:rsidRDefault="00FD57F2" w:rsidP="00FD57F2">
            <w:pPr>
              <w:rPr>
                <w:sz w:val="16"/>
              </w:rPr>
            </w:pPr>
            <w:r w:rsidRPr="00D46647">
              <w:rPr>
                <w:sz w:val="16"/>
              </w:rPr>
              <w:t>Évaluation de l’état du système IAME et définition de l’architecture d’IAME, de la stratégie IAME et de la feuille de route relative à la mise en œuvre d’IAME</w:t>
            </w:r>
          </w:p>
        </w:tc>
        <w:tc>
          <w:tcPr>
            <w:tcW w:w="755" w:type="pct"/>
            <w:vAlign w:val="center"/>
          </w:tcPr>
          <w:p w14:paraId="79037984"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130 000</w:t>
            </w:r>
          </w:p>
        </w:tc>
        <w:tc>
          <w:tcPr>
            <w:tcW w:w="856" w:type="pct"/>
            <w:vAlign w:val="center"/>
          </w:tcPr>
          <w:p w14:paraId="1559C5ED"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129,400</w:t>
            </w:r>
          </w:p>
        </w:tc>
        <w:tc>
          <w:tcPr>
            <w:tcW w:w="856" w:type="pct"/>
            <w:vAlign w:val="center"/>
          </w:tcPr>
          <w:p w14:paraId="300ACA13"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99.5%</w:t>
            </w:r>
          </w:p>
        </w:tc>
        <w:tc>
          <w:tcPr>
            <w:tcW w:w="856" w:type="pct"/>
            <w:vAlign w:val="center"/>
          </w:tcPr>
          <w:p w14:paraId="28F6FE7D"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100%</w:t>
            </w:r>
          </w:p>
        </w:tc>
      </w:tr>
      <w:tr w:rsidR="00FD57F2" w:rsidRPr="00D46647" w14:paraId="2D6BE4D5" w14:textId="77777777" w:rsidTr="007E3422">
        <w:tc>
          <w:tcPr>
            <w:tcW w:w="1676" w:type="pct"/>
          </w:tcPr>
          <w:p w14:paraId="2A354287" w14:textId="77777777" w:rsidR="00FD57F2" w:rsidRPr="00D46647" w:rsidRDefault="00FD57F2" w:rsidP="00FD57F2">
            <w:pPr>
              <w:rPr>
                <w:sz w:val="16"/>
              </w:rPr>
            </w:pPr>
            <w:r w:rsidRPr="00D46647">
              <w:rPr>
                <w:sz w:val="16"/>
              </w:rPr>
              <w:t>Cartographie des modèles d’autorisation de deux importantes applications métier suivant l’architecture d’IAME</w:t>
            </w:r>
          </w:p>
        </w:tc>
        <w:tc>
          <w:tcPr>
            <w:tcW w:w="755" w:type="pct"/>
            <w:vAlign w:val="center"/>
          </w:tcPr>
          <w:p w14:paraId="58460717"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95 000</w:t>
            </w:r>
          </w:p>
        </w:tc>
        <w:tc>
          <w:tcPr>
            <w:tcW w:w="856" w:type="pct"/>
            <w:vAlign w:val="center"/>
          </w:tcPr>
          <w:p w14:paraId="118AD33A" w14:textId="77777777" w:rsidR="00FD57F2" w:rsidRPr="00D46647" w:rsidRDefault="00FD57F2" w:rsidP="00FD57F2">
            <w:pPr>
              <w:keepNext/>
              <w:keepLines/>
              <w:autoSpaceDE w:val="0"/>
              <w:autoSpaceDN w:val="0"/>
              <w:adjustRightInd w:val="0"/>
              <w:jc w:val="center"/>
              <w:rPr>
                <w:sz w:val="16"/>
                <w:szCs w:val="16"/>
              </w:rPr>
            </w:pPr>
          </w:p>
        </w:tc>
        <w:tc>
          <w:tcPr>
            <w:tcW w:w="856" w:type="pct"/>
            <w:vAlign w:val="center"/>
          </w:tcPr>
          <w:p w14:paraId="15D611B1" w14:textId="77777777" w:rsidR="00FD57F2" w:rsidRPr="00D46647" w:rsidRDefault="00FD57F2" w:rsidP="00FD57F2">
            <w:pPr>
              <w:keepNext/>
              <w:keepLines/>
              <w:autoSpaceDE w:val="0"/>
              <w:autoSpaceDN w:val="0"/>
              <w:adjustRightInd w:val="0"/>
              <w:jc w:val="center"/>
              <w:rPr>
                <w:sz w:val="16"/>
                <w:szCs w:val="16"/>
              </w:rPr>
            </w:pPr>
          </w:p>
        </w:tc>
        <w:tc>
          <w:tcPr>
            <w:tcW w:w="856" w:type="pct"/>
            <w:vAlign w:val="center"/>
          </w:tcPr>
          <w:p w14:paraId="507180ED" w14:textId="77777777" w:rsidR="00FD57F2" w:rsidRPr="00D46647" w:rsidRDefault="00FD57F2" w:rsidP="00FD57F2">
            <w:pPr>
              <w:keepNext/>
              <w:keepLines/>
              <w:autoSpaceDE w:val="0"/>
              <w:autoSpaceDN w:val="0"/>
              <w:adjustRightInd w:val="0"/>
              <w:jc w:val="center"/>
              <w:rPr>
                <w:sz w:val="16"/>
                <w:szCs w:val="16"/>
              </w:rPr>
            </w:pPr>
          </w:p>
        </w:tc>
      </w:tr>
      <w:tr w:rsidR="00FD57F2" w:rsidRPr="00D46647" w14:paraId="08D3C2E6" w14:textId="77777777" w:rsidTr="007E3422">
        <w:tc>
          <w:tcPr>
            <w:tcW w:w="1676" w:type="pct"/>
          </w:tcPr>
          <w:p w14:paraId="1F3685F7" w14:textId="77777777" w:rsidR="00FD57F2" w:rsidRPr="00D46647" w:rsidRDefault="00FD57F2" w:rsidP="00FD57F2">
            <w:pPr>
              <w:rPr>
                <w:sz w:val="16"/>
              </w:rPr>
            </w:pPr>
            <w:r w:rsidRPr="00D46647">
              <w:rPr>
                <w:sz w:val="16"/>
              </w:rPr>
              <w:t>Achat et intégration de la solution de gestion des accès</w:t>
            </w:r>
          </w:p>
        </w:tc>
        <w:tc>
          <w:tcPr>
            <w:tcW w:w="755" w:type="pct"/>
            <w:vAlign w:val="center"/>
          </w:tcPr>
          <w:p w14:paraId="09BE0C42"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375 000</w:t>
            </w:r>
          </w:p>
        </w:tc>
        <w:tc>
          <w:tcPr>
            <w:tcW w:w="856" w:type="pct"/>
            <w:vAlign w:val="center"/>
          </w:tcPr>
          <w:p w14:paraId="5AE8E3F1"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0</w:t>
            </w:r>
          </w:p>
        </w:tc>
        <w:tc>
          <w:tcPr>
            <w:tcW w:w="856" w:type="pct"/>
            <w:vAlign w:val="center"/>
          </w:tcPr>
          <w:p w14:paraId="337D7596"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0%</w:t>
            </w:r>
          </w:p>
        </w:tc>
        <w:tc>
          <w:tcPr>
            <w:tcW w:w="856" w:type="pct"/>
            <w:vAlign w:val="center"/>
          </w:tcPr>
          <w:p w14:paraId="6F14B795"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w:t>
            </w:r>
          </w:p>
        </w:tc>
      </w:tr>
      <w:tr w:rsidR="00FD57F2" w:rsidRPr="00D46647" w14:paraId="7B586AB3" w14:textId="77777777" w:rsidTr="007E3422">
        <w:tc>
          <w:tcPr>
            <w:tcW w:w="1676" w:type="pct"/>
          </w:tcPr>
          <w:p w14:paraId="3EE89718" w14:textId="77777777" w:rsidR="00FD57F2" w:rsidRPr="00D46647" w:rsidRDefault="00FD57F2" w:rsidP="00FD57F2">
            <w:pPr>
              <w:rPr>
                <w:sz w:val="16"/>
              </w:rPr>
            </w:pPr>
            <w:r w:rsidRPr="00D46647">
              <w:rPr>
                <w:sz w:val="16"/>
              </w:rPr>
              <w:t xml:space="preserve">Solution interne d’infrastructure à clé publique (ICP) </w:t>
            </w:r>
          </w:p>
        </w:tc>
        <w:tc>
          <w:tcPr>
            <w:tcW w:w="755" w:type="pct"/>
            <w:vAlign w:val="center"/>
          </w:tcPr>
          <w:p w14:paraId="7BF94DA1"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100 000</w:t>
            </w:r>
          </w:p>
        </w:tc>
        <w:tc>
          <w:tcPr>
            <w:tcW w:w="856" w:type="pct"/>
            <w:vAlign w:val="center"/>
          </w:tcPr>
          <w:p w14:paraId="2624187E" w14:textId="77777777" w:rsidR="00FD57F2" w:rsidRPr="00D46647" w:rsidRDefault="00FD57F2" w:rsidP="00FD57F2">
            <w:pPr>
              <w:keepNext/>
              <w:keepLines/>
              <w:autoSpaceDE w:val="0"/>
              <w:autoSpaceDN w:val="0"/>
              <w:adjustRightInd w:val="0"/>
              <w:jc w:val="center"/>
              <w:rPr>
                <w:sz w:val="16"/>
                <w:szCs w:val="16"/>
              </w:rPr>
            </w:pPr>
          </w:p>
        </w:tc>
        <w:tc>
          <w:tcPr>
            <w:tcW w:w="856" w:type="pct"/>
            <w:vAlign w:val="center"/>
          </w:tcPr>
          <w:p w14:paraId="51CC6F1E" w14:textId="77777777" w:rsidR="00FD57F2" w:rsidRPr="00D46647" w:rsidRDefault="00FD57F2" w:rsidP="00FD57F2">
            <w:pPr>
              <w:keepNext/>
              <w:keepLines/>
              <w:autoSpaceDE w:val="0"/>
              <w:autoSpaceDN w:val="0"/>
              <w:adjustRightInd w:val="0"/>
              <w:jc w:val="center"/>
              <w:rPr>
                <w:sz w:val="16"/>
                <w:szCs w:val="16"/>
              </w:rPr>
            </w:pPr>
          </w:p>
        </w:tc>
        <w:tc>
          <w:tcPr>
            <w:tcW w:w="856" w:type="pct"/>
            <w:vAlign w:val="center"/>
          </w:tcPr>
          <w:p w14:paraId="2ACFA778" w14:textId="77777777" w:rsidR="00FD57F2" w:rsidRPr="00D46647" w:rsidRDefault="00FD57F2" w:rsidP="00FD57F2">
            <w:pPr>
              <w:keepNext/>
              <w:keepLines/>
              <w:autoSpaceDE w:val="0"/>
              <w:autoSpaceDN w:val="0"/>
              <w:adjustRightInd w:val="0"/>
              <w:jc w:val="center"/>
              <w:rPr>
                <w:sz w:val="16"/>
                <w:szCs w:val="16"/>
              </w:rPr>
            </w:pPr>
          </w:p>
        </w:tc>
      </w:tr>
      <w:tr w:rsidR="00FD57F2" w:rsidRPr="00D46647" w14:paraId="5FFB164B" w14:textId="77777777" w:rsidTr="007E3422">
        <w:tc>
          <w:tcPr>
            <w:tcW w:w="1676" w:type="pct"/>
            <w:shd w:val="clear" w:color="auto" w:fill="C6D9F1" w:themeFill="text2" w:themeFillTint="33"/>
            <w:vAlign w:val="center"/>
          </w:tcPr>
          <w:p w14:paraId="0A025981" w14:textId="77777777" w:rsidR="00FD57F2" w:rsidRPr="00D46647" w:rsidRDefault="00FD57F2" w:rsidP="00FD57F2">
            <w:pPr>
              <w:keepNext/>
              <w:keepLines/>
              <w:autoSpaceDE w:val="0"/>
              <w:autoSpaceDN w:val="0"/>
              <w:adjustRightInd w:val="0"/>
              <w:rPr>
                <w:b/>
                <w:sz w:val="16"/>
                <w:szCs w:val="16"/>
              </w:rPr>
            </w:pPr>
            <w:r w:rsidRPr="00D46647">
              <w:rPr>
                <w:b/>
                <w:sz w:val="16"/>
                <w:szCs w:val="16"/>
              </w:rPr>
              <w:t>Total</w:t>
            </w:r>
          </w:p>
        </w:tc>
        <w:tc>
          <w:tcPr>
            <w:tcW w:w="755" w:type="pct"/>
            <w:shd w:val="clear" w:color="auto" w:fill="C6D9F1" w:themeFill="text2" w:themeFillTint="33"/>
            <w:vAlign w:val="center"/>
          </w:tcPr>
          <w:p w14:paraId="173062BD" w14:textId="77777777" w:rsidR="00FD57F2" w:rsidRPr="00D46647" w:rsidRDefault="00FD57F2" w:rsidP="00FD57F2">
            <w:pPr>
              <w:keepNext/>
              <w:keepLines/>
              <w:autoSpaceDE w:val="0"/>
              <w:autoSpaceDN w:val="0"/>
              <w:adjustRightInd w:val="0"/>
              <w:jc w:val="center"/>
              <w:rPr>
                <w:b/>
                <w:sz w:val="16"/>
                <w:szCs w:val="16"/>
              </w:rPr>
            </w:pPr>
            <w:r w:rsidRPr="00D46647">
              <w:rPr>
                <w:b/>
                <w:sz w:val="16"/>
                <w:szCs w:val="16"/>
              </w:rPr>
              <w:t>700 000</w:t>
            </w:r>
          </w:p>
        </w:tc>
        <w:tc>
          <w:tcPr>
            <w:tcW w:w="856" w:type="pct"/>
            <w:shd w:val="clear" w:color="auto" w:fill="C6D9F1" w:themeFill="text2" w:themeFillTint="33"/>
            <w:vAlign w:val="center"/>
          </w:tcPr>
          <w:p w14:paraId="36489AF7" w14:textId="77777777" w:rsidR="00FD57F2" w:rsidRPr="00D46647" w:rsidRDefault="00FD57F2" w:rsidP="00FD57F2">
            <w:pPr>
              <w:keepNext/>
              <w:keepLines/>
              <w:autoSpaceDE w:val="0"/>
              <w:autoSpaceDN w:val="0"/>
              <w:adjustRightInd w:val="0"/>
              <w:jc w:val="center"/>
              <w:rPr>
                <w:b/>
                <w:sz w:val="16"/>
                <w:szCs w:val="16"/>
              </w:rPr>
            </w:pPr>
            <w:r w:rsidRPr="00D46647">
              <w:rPr>
                <w:b/>
                <w:sz w:val="16"/>
                <w:szCs w:val="16"/>
              </w:rPr>
              <w:t>129 400</w:t>
            </w:r>
          </w:p>
        </w:tc>
        <w:tc>
          <w:tcPr>
            <w:tcW w:w="856" w:type="pct"/>
            <w:shd w:val="clear" w:color="auto" w:fill="C6D9F1" w:themeFill="text2" w:themeFillTint="33"/>
            <w:vAlign w:val="center"/>
          </w:tcPr>
          <w:p w14:paraId="1A6DD950" w14:textId="77777777" w:rsidR="00FD57F2" w:rsidRPr="00D46647" w:rsidRDefault="00FD57F2" w:rsidP="00FD57F2">
            <w:pPr>
              <w:keepNext/>
              <w:keepLines/>
              <w:autoSpaceDE w:val="0"/>
              <w:autoSpaceDN w:val="0"/>
              <w:adjustRightInd w:val="0"/>
              <w:jc w:val="center"/>
              <w:rPr>
                <w:b/>
                <w:sz w:val="16"/>
                <w:szCs w:val="16"/>
              </w:rPr>
            </w:pPr>
            <w:r w:rsidRPr="00D46647">
              <w:rPr>
                <w:b/>
                <w:sz w:val="16"/>
                <w:szCs w:val="16"/>
              </w:rPr>
              <w:t>18,5%</w:t>
            </w:r>
          </w:p>
        </w:tc>
        <w:tc>
          <w:tcPr>
            <w:tcW w:w="856" w:type="pct"/>
            <w:shd w:val="clear" w:color="auto" w:fill="C6D9F1" w:themeFill="text2" w:themeFillTint="33"/>
          </w:tcPr>
          <w:p w14:paraId="033694E7" w14:textId="77777777" w:rsidR="00FD57F2" w:rsidRPr="00D46647" w:rsidRDefault="00FD57F2" w:rsidP="00FD57F2">
            <w:pPr>
              <w:keepNext/>
              <w:keepLines/>
              <w:autoSpaceDE w:val="0"/>
              <w:autoSpaceDN w:val="0"/>
              <w:adjustRightInd w:val="0"/>
              <w:jc w:val="center"/>
              <w:rPr>
                <w:b/>
                <w:sz w:val="16"/>
                <w:szCs w:val="16"/>
              </w:rPr>
            </w:pPr>
          </w:p>
        </w:tc>
      </w:tr>
    </w:tbl>
    <w:p w14:paraId="2B6BF7DE" w14:textId="77777777" w:rsidR="00FD57F2" w:rsidRDefault="00FD57F2" w:rsidP="00FD57F2">
      <w:pPr>
        <w:tabs>
          <w:tab w:val="left" w:pos="3261"/>
        </w:tabs>
        <w:autoSpaceDE w:val="0"/>
        <w:autoSpaceDN w:val="0"/>
        <w:adjustRightInd w:val="0"/>
        <w:jc w:val="center"/>
        <w:rPr>
          <w:b/>
          <w:color w:val="000000"/>
          <w:sz w:val="20"/>
        </w:rPr>
      </w:pPr>
    </w:p>
    <w:p w14:paraId="5CBC3CF5" w14:textId="77777777" w:rsidR="003F79BF" w:rsidRPr="00D46647" w:rsidRDefault="003F79BF" w:rsidP="00FD57F2">
      <w:pPr>
        <w:tabs>
          <w:tab w:val="left" w:pos="3261"/>
        </w:tabs>
        <w:autoSpaceDE w:val="0"/>
        <w:autoSpaceDN w:val="0"/>
        <w:adjustRightInd w:val="0"/>
        <w:jc w:val="center"/>
        <w:rPr>
          <w:b/>
          <w:color w:val="000000"/>
          <w:sz w:val="20"/>
        </w:rPr>
      </w:pPr>
    </w:p>
    <w:p w14:paraId="6810C94D"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 (par catégorie de dépenses)</w:t>
      </w:r>
    </w:p>
    <w:p w14:paraId="67077E04"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257A40A3" w14:textId="77777777" w:rsidR="00FD57F2" w:rsidRPr="00D46647" w:rsidRDefault="00FD57F2" w:rsidP="00FD57F2">
      <w:pPr>
        <w:keepNext/>
        <w:keepLines/>
        <w:tabs>
          <w:tab w:val="left" w:pos="3261"/>
        </w:tabs>
        <w:autoSpaceDE w:val="0"/>
        <w:autoSpaceDN w:val="0"/>
        <w:adjustRightInd w:val="0"/>
        <w:jc w:val="center"/>
        <w:rPr>
          <w:i/>
          <w:iCs/>
          <w:sz w:val="18"/>
          <w:szCs w:val="18"/>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541"/>
        <w:gridCol w:w="1843"/>
        <w:gridCol w:w="1843"/>
        <w:gridCol w:w="2060"/>
      </w:tblGrid>
      <w:tr w:rsidR="00FD57F2" w:rsidRPr="00D46647" w14:paraId="04B5B046" w14:textId="77777777" w:rsidTr="007E3422">
        <w:tc>
          <w:tcPr>
            <w:tcW w:w="1907" w:type="pct"/>
            <w:shd w:val="clear" w:color="auto" w:fill="C6D9F1" w:themeFill="text2" w:themeFillTint="33"/>
            <w:vAlign w:val="center"/>
          </w:tcPr>
          <w:p w14:paraId="5E0E773E" w14:textId="77777777" w:rsidR="00FD57F2" w:rsidRPr="00D46647" w:rsidRDefault="00FD57F2" w:rsidP="00FD57F2">
            <w:pPr>
              <w:keepNext/>
              <w:keepLines/>
              <w:autoSpaceDE w:val="0"/>
              <w:autoSpaceDN w:val="0"/>
              <w:adjustRightInd w:val="0"/>
              <w:jc w:val="center"/>
              <w:rPr>
                <w:b/>
                <w:bCs/>
                <w:sz w:val="16"/>
                <w:szCs w:val="16"/>
              </w:rPr>
            </w:pPr>
            <w:r w:rsidRPr="00D46647">
              <w:rPr>
                <w:b/>
                <w:bCs/>
                <w:sz w:val="16"/>
                <w:szCs w:val="16"/>
              </w:rPr>
              <w:t>Catégorie de dépenses</w:t>
            </w:r>
          </w:p>
        </w:tc>
        <w:tc>
          <w:tcPr>
            <w:tcW w:w="992" w:type="pct"/>
            <w:shd w:val="clear" w:color="auto" w:fill="C6D9F1" w:themeFill="text2" w:themeFillTint="33"/>
            <w:vAlign w:val="center"/>
          </w:tcPr>
          <w:p w14:paraId="6C01710B" w14:textId="77777777" w:rsidR="00FD57F2" w:rsidRPr="00D46647" w:rsidRDefault="00FD57F2" w:rsidP="00FD57F2">
            <w:pPr>
              <w:keepNext/>
              <w:keepLines/>
              <w:autoSpaceDE w:val="0"/>
              <w:autoSpaceDN w:val="0"/>
              <w:adjustRightInd w:val="0"/>
              <w:jc w:val="center"/>
              <w:rPr>
                <w:b/>
                <w:bCs/>
                <w:sz w:val="16"/>
                <w:szCs w:val="16"/>
              </w:rPr>
            </w:pPr>
            <w:r w:rsidRPr="00D46647">
              <w:rPr>
                <w:b/>
                <w:bCs/>
                <w:sz w:val="16"/>
                <w:szCs w:val="16"/>
              </w:rPr>
              <w:t>Budget du projet</w:t>
            </w:r>
          </w:p>
        </w:tc>
        <w:tc>
          <w:tcPr>
            <w:tcW w:w="992" w:type="pct"/>
            <w:shd w:val="clear" w:color="auto" w:fill="C6D9F1" w:themeFill="text2" w:themeFillTint="33"/>
            <w:vAlign w:val="center"/>
          </w:tcPr>
          <w:p w14:paraId="0E5AA5F0" w14:textId="77777777" w:rsidR="00FD57F2" w:rsidRPr="00D46647" w:rsidRDefault="00FD57F2" w:rsidP="00FD57F2">
            <w:pPr>
              <w:keepNext/>
              <w:keepLines/>
              <w:autoSpaceDE w:val="0"/>
              <w:autoSpaceDN w:val="0"/>
              <w:adjustRightInd w:val="0"/>
              <w:jc w:val="center"/>
              <w:rPr>
                <w:b/>
                <w:bCs/>
                <w:sz w:val="16"/>
                <w:szCs w:val="16"/>
              </w:rPr>
            </w:pPr>
            <w:r w:rsidRPr="00D46647">
              <w:rPr>
                <w:b/>
                <w:bCs/>
                <w:sz w:val="16"/>
                <w:szCs w:val="16"/>
              </w:rPr>
              <w:t xml:space="preserve">Dépenses effectives à ce jour </w:t>
            </w:r>
          </w:p>
        </w:tc>
        <w:tc>
          <w:tcPr>
            <w:tcW w:w="1109" w:type="pct"/>
            <w:shd w:val="clear" w:color="auto" w:fill="C6D9F1" w:themeFill="text2" w:themeFillTint="33"/>
            <w:vAlign w:val="center"/>
          </w:tcPr>
          <w:p w14:paraId="469CB417" w14:textId="77777777" w:rsidR="00FD57F2" w:rsidRPr="00D46647" w:rsidRDefault="00FD57F2" w:rsidP="00FD57F2">
            <w:pPr>
              <w:keepNext/>
              <w:keepLines/>
              <w:autoSpaceDE w:val="0"/>
              <w:autoSpaceDN w:val="0"/>
              <w:adjustRightInd w:val="0"/>
              <w:jc w:val="center"/>
              <w:rPr>
                <w:b/>
                <w:bCs/>
                <w:sz w:val="16"/>
                <w:szCs w:val="16"/>
              </w:rPr>
            </w:pPr>
            <w:r w:rsidRPr="00D46647">
              <w:rPr>
                <w:b/>
                <w:bCs/>
                <w:sz w:val="16"/>
                <w:szCs w:val="16"/>
              </w:rPr>
              <w:t>Utilisation effective du budget</w:t>
            </w:r>
          </w:p>
        </w:tc>
      </w:tr>
      <w:tr w:rsidR="00FD57F2" w:rsidRPr="00D46647" w14:paraId="63570E33" w14:textId="77777777" w:rsidTr="007E3422">
        <w:tc>
          <w:tcPr>
            <w:tcW w:w="1907" w:type="pct"/>
            <w:vAlign w:val="center"/>
          </w:tcPr>
          <w:p w14:paraId="49381FB5" w14:textId="77777777" w:rsidR="00FD57F2" w:rsidRPr="00D46647" w:rsidRDefault="00FD57F2" w:rsidP="00FD57F2">
            <w:pPr>
              <w:keepNext/>
              <w:keepLines/>
              <w:autoSpaceDE w:val="0"/>
              <w:autoSpaceDN w:val="0"/>
              <w:adjustRightInd w:val="0"/>
              <w:rPr>
                <w:sz w:val="16"/>
                <w:szCs w:val="16"/>
                <w:highlight w:val="yellow"/>
              </w:rPr>
            </w:pPr>
            <w:r w:rsidRPr="00D46647">
              <w:rPr>
                <w:sz w:val="16"/>
                <w:szCs w:val="16"/>
              </w:rPr>
              <w:t>Services contractuels de personnes</w:t>
            </w:r>
          </w:p>
        </w:tc>
        <w:tc>
          <w:tcPr>
            <w:tcW w:w="992" w:type="pct"/>
            <w:vAlign w:val="center"/>
          </w:tcPr>
          <w:p w14:paraId="09253807"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225 000</w:t>
            </w:r>
          </w:p>
        </w:tc>
        <w:tc>
          <w:tcPr>
            <w:tcW w:w="992" w:type="pct"/>
            <w:vAlign w:val="center"/>
          </w:tcPr>
          <w:p w14:paraId="73E30CC7"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129 400</w:t>
            </w:r>
          </w:p>
        </w:tc>
        <w:tc>
          <w:tcPr>
            <w:tcW w:w="1109" w:type="pct"/>
            <w:vAlign w:val="center"/>
          </w:tcPr>
          <w:p w14:paraId="686E1CE3"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57,51%</w:t>
            </w:r>
          </w:p>
        </w:tc>
      </w:tr>
      <w:tr w:rsidR="00FD57F2" w:rsidRPr="00D46647" w14:paraId="444B5E5A" w14:textId="77777777" w:rsidTr="007E3422">
        <w:tc>
          <w:tcPr>
            <w:tcW w:w="1907" w:type="pct"/>
            <w:vAlign w:val="center"/>
          </w:tcPr>
          <w:p w14:paraId="1DC89D49" w14:textId="77777777" w:rsidR="00FD57F2" w:rsidRPr="00D46647" w:rsidRDefault="00FD57F2" w:rsidP="00FD57F2">
            <w:pPr>
              <w:keepNext/>
              <w:keepLines/>
              <w:autoSpaceDE w:val="0"/>
              <w:autoSpaceDN w:val="0"/>
              <w:adjustRightInd w:val="0"/>
              <w:rPr>
                <w:sz w:val="16"/>
                <w:szCs w:val="16"/>
                <w:highlight w:val="yellow"/>
              </w:rPr>
            </w:pPr>
            <w:r w:rsidRPr="00D46647">
              <w:rPr>
                <w:sz w:val="16"/>
                <w:szCs w:val="16"/>
              </w:rPr>
              <w:t>Solution de gestion des accès et de cryptage, matériel et support</w:t>
            </w:r>
          </w:p>
        </w:tc>
        <w:tc>
          <w:tcPr>
            <w:tcW w:w="992" w:type="pct"/>
            <w:vAlign w:val="center"/>
          </w:tcPr>
          <w:p w14:paraId="3446BC6E"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325 000</w:t>
            </w:r>
          </w:p>
        </w:tc>
        <w:tc>
          <w:tcPr>
            <w:tcW w:w="992" w:type="pct"/>
            <w:vAlign w:val="center"/>
          </w:tcPr>
          <w:p w14:paraId="18B7A9AC"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w:t>
            </w:r>
          </w:p>
        </w:tc>
        <w:tc>
          <w:tcPr>
            <w:tcW w:w="1109" w:type="pct"/>
            <w:vAlign w:val="center"/>
          </w:tcPr>
          <w:p w14:paraId="58F4D990"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w:t>
            </w:r>
          </w:p>
        </w:tc>
      </w:tr>
      <w:tr w:rsidR="00FD57F2" w:rsidRPr="00D46647" w14:paraId="10DCA327" w14:textId="77777777" w:rsidTr="007E3422">
        <w:tc>
          <w:tcPr>
            <w:tcW w:w="1907" w:type="pct"/>
            <w:vAlign w:val="center"/>
          </w:tcPr>
          <w:p w14:paraId="1A6F71E6" w14:textId="77777777" w:rsidR="00FD57F2" w:rsidRPr="00D46647" w:rsidRDefault="00FD57F2" w:rsidP="00FD57F2">
            <w:pPr>
              <w:keepNext/>
              <w:keepLines/>
              <w:autoSpaceDE w:val="0"/>
              <w:autoSpaceDN w:val="0"/>
              <w:adjustRightInd w:val="0"/>
              <w:rPr>
                <w:sz w:val="16"/>
                <w:szCs w:val="16"/>
                <w:highlight w:val="yellow"/>
              </w:rPr>
            </w:pPr>
            <w:r w:rsidRPr="00D46647">
              <w:rPr>
                <w:sz w:val="16"/>
                <w:szCs w:val="16"/>
              </w:rPr>
              <w:t>Services contractuels</w:t>
            </w:r>
          </w:p>
        </w:tc>
        <w:tc>
          <w:tcPr>
            <w:tcW w:w="992" w:type="pct"/>
            <w:vAlign w:val="center"/>
          </w:tcPr>
          <w:p w14:paraId="407137CE"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150 000</w:t>
            </w:r>
          </w:p>
        </w:tc>
        <w:tc>
          <w:tcPr>
            <w:tcW w:w="992" w:type="pct"/>
            <w:vAlign w:val="center"/>
          </w:tcPr>
          <w:p w14:paraId="5276BCF7"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w:t>
            </w:r>
          </w:p>
        </w:tc>
        <w:tc>
          <w:tcPr>
            <w:tcW w:w="1109" w:type="pct"/>
            <w:vAlign w:val="center"/>
          </w:tcPr>
          <w:p w14:paraId="303C357C"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w:t>
            </w:r>
          </w:p>
        </w:tc>
      </w:tr>
      <w:tr w:rsidR="00FD57F2" w:rsidRPr="00D46647" w14:paraId="148059E7" w14:textId="77777777" w:rsidTr="007E3422">
        <w:tc>
          <w:tcPr>
            <w:tcW w:w="1907" w:type="pct"/>
            <w:shd w:val="clear" w:color="auto" w:fill="C6D9F1" w:themeFill="text2" w:themeFillTint="33"/>
            <w:vAlign w:val="center"/>
          </w:tcPr>
          <w:p w14:paraId="7B6BBF1E" w14:textId="77777777" w:rsidR="00FD57F2" w:rsidRPr="00D46647" w:rsidRDefault="00FD57F2" w:rsidP="00FD57F2">
            <w:pPr>
              <w:autoSpaceDE w:val="0"/>
              <w:autoSpaceDN w:val="0"/>
              <w:adjustRightInd w:val="0"/>
              <w:rPr>
                <w:b/>
                <w:sz w:val="16"/>
                <w:szCs w:val="16"/>
              </w:rPr>
            </w:pPr>
            <w:r w:rsidRPr="00D46647">
              <w:rPr>
                <w:b/>
                <w:sz w:val="16"/>
                <w:szCs w:val="16"/>
              </w:rPr>
              <w:t>Total</w:t>
            </w:r>
          </w:p>
        </w:tc>
        <w:tc>
          <w:tcPr>
            <w:tcW w:w="992" w:type="pct"/>
            <w:shd w:val="clear" w:color="auto" w:fill="C6D9F1" w:themeFill="text2" w:themeFillTint="33"/>
            <w:vAlign w:val="center"/>
          </w:tcPr>
          <w:p w14:paraId="6F8FEBB0" w14:textId="77777777" w:rsidR="00FD57F2" w:rsidRPr="00D46647" w:rsidRDefault="00FD57F2" w:rsidP="00FD57F2">
            <w:pPr>
              <w:autoSpaceDE w:val="0"/>
              <w:autoSpaceDN w:val="0"/>
              <w:adjustRightInd w:val="0"/>
              <w:jc w:val="center"/>
              <w:rPr>
                <w:b/>
                <w:sz w:val="16"/>
                <w:szCs w:val="16"/>
              </w:rPr>
            </w:pPr>
            <w:r w:rsidRPr="00D46647">
              <w:rPr>
                <w:b/>
                <w:sz w:val="16"/>
                <w:szCs w:val="16"/>
              </w:rPr>
              <w:t>700 000</w:t>
            </w:r>
          </w:p>
        </w:tc>
        <w:tc>
          <w:tcPr>
            <w:tcW w:w="992" w:type="pct"/>
            <w:shd w:val="clear" w:color="auto" w:fill="C6D9F1" w:themeFill="text2" w:themeFillTint="33"/>
          </w:tcPr>
          <w:p w14:paraId="7F51C0A3" w14:textId="77777777" w:rsidR="00FD57F2" w:rsidRPr="00D46647" w:rsidRDefault="00FD57F2" w:rsidP="00FD57F2">
            <w:pPr>
              <w:autoSpaceDE w:val="0"/>
              <w:autoSpaceDN w:val="0"/>
              <w:adjustRightInd w:val="0"/>
              <w:jc w:val="center"/>
              <w:rPr>
                <w:b/>
                <w:sz w:val="16"/>
                <w:szCs w:val="16"/>
              </w:rPr>
            </w:pPr>
            <w:r w:rsidRPr="00D46647">
              <w:rPr>
                <w:b/>
                <w:sz w:val="16"/>
                <w:szCs w:val="16"/>
              </w:rPr>
              <w:t>129 400</w:t>
            </w:r>
          </w:p>
        </w:tc>
        <w:tc>
          <w:tcPr>
            <w:tcW w:w="1109" w:type="pct"/>
            <w:shd w:val="clear" w:color="auto" w:fill="C6D9F1" w:themeFill="text2" w:themeFillTint="33"/>
          </w:tcPr>
          <w:p w14:paraId="7E58173C" w14:textId="77777777" w:rsidR="00FD57F2" w:rsidRPr="00D46647" w:rsidRDefault="00FD57F2" w:rsidP="00FD57F2">
            <w:pPr>
              <w:autoSpaceDE w:val="0"/>
              <w:autoSpaceDN w:val="0"/>
              <w:adjustRightInd w:val="0"/>
              <w:jc w:val="center"/>
              <w:rPr>
                <w:b/>
                <w:sz w:val="16"/>
                <w:szCs w:val="16"/>
              </w:rPr>
            </w:pPr>
            <w:r w:rsidRPr="00D46647">
              <w:rPr>
                <w:b/>
                <w:sz w:val="16"/>
                <w:szCs w:val="16"/>
              </w:rPr>
              <w:t>18,5%</w:t>
            </w:r>
          </w:p>
        </w:tc>
      </w:tr>
    </w:tbl>
    <w:p w14:paraId="1B05A533" w14:textId="77777777" w:rsidR="00FD57F2" w:rsidRPr="00D46647" w:rsidRDefault="00FD57F2" w:rsidP="00FD57F2">
      <w:pPr>
        <w:rPr>
          <w:color w:val="000000"/>
          <w:sz w:val="20"/>
        </w:rPr>
      </w:pPr>
    </w:p>
    <w:p w14:paraId="429F446F" w14:textId="77777777" w:rsidR="00FD57F2" w:rsidRPr="00D46647" w:rsidRDefault="00FD57F2" w:rsidP="00FD57F2">
      <w:pPr>
        <w:rPr>
          <w:color w:val="000000"/>
          <w:sz w:val="20"/>
        </w:rPr>
      </w:pPr>
    </w:p>
    <w:p w14:paraId="731124EC" w14:textId="77777777" w:rsidR="00FD57F2" w:rsidRPr="00D46647" w:rsidRDefault="00FD57F2" w:rsidP="00FD57F2">
      <w:pPr>
        <w:rPr>
          <w:sz w:val="20"/>
        </w:rPr>
      </w:pPr>
      <w:r w:rsidRPr="00D46647">
        <w:rPr>
          <w:sz w:val="20"/>
        </w:rPr>
        <w:t>RISQUES ET STRATÉGIES D’ATTÉNUATION</w:t>
      </w:r>
    </w:p>
    <w:p w14:paraId="73C26053" w14:textId="77777777" w:rsidR="00FD57F2" w:rsidRPr="00D46647" w:rsidRDefault="00FD57F2" w:rsidP="00FD57F2">
      <w:pPr>
        <w:rPr>
          <w:color w:val="000000"/>
          <w:sz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5"/>
        <w:gridCol w:w="3096"/>
        <w:gridCol w:w="3096"/>
      </w:tblGrid>
      <w:tr w:rsidR="00FD57F2" w:rsidRPr="00D46647" w14:paraId="6C8BB0D0" w14:textId="77777777" w:rsidTr="007E3422">
        <w:trPr>
          <w:tblHeader/>
        </w:trPr>
        <w:tc>
          <w:tcPr>
            <w:tcW w:w="1666" w:type="pct"/>
            <w:shd w:val="clear" w:color="auto" w:fill="C6D9F1" w:themeFill="text2" w:themeFillTint="33"/>
            <w:vAlign w:val="center"/>
          </w:tcPr>
          <w:p w14:paraId="02F65441" w14:textId="77777777" w:rsidR="00FD57F2" w:rsidRPr="00D46647" w:rsidRDefault="00FD57F2" w:rsidP="00FD57F2">
            <w:pPr>
              <w:autoSpaceDE w:val="0"/>
              <w:autoSpaceDN w:val="0"/>
              <w:adjustRightInd w:val="0"/>
              <w:jc w:val="center"/>
              <w:rPr>
                <w:b/>
                <w:bCs/>
                <w:sz w:val="16"/>
                <w:szCs w:val="16"/>
              </w:rPr>
            </w:pPr>
            <w:r w:rsidRPr="00D46647">
              <w:rPr>
                <w:b/>
                <w:bCs/>
                <w:iCs/>
                <w:sz w:val="16"/>
                <w:szCs w:val="16"/>
              </w:rPr>
              <w:t>Description</w:t>
            </w:r>
            <w:r w:rsidRPr="00D46647">
              <w:rPr>
                <w:b/>
                <w:sz w:val="16"/>
                <w:szCs w:val="16"/>
              </w:rPr>
              <w:t xml:space="preserve"> du risque</w:t>
            </w:r>
          </w:p>
        </w:tc>
        <w:tc>
          <w:tcPr>
            <w:tcW w:w="1667" w:type="pct"/>
            <w:shd w:val="clear" w:color="auto" w:fill="C6D9F1" w:themeFill="text2" w:themeFillTint="33"/>
            <w:vAlign w:val="center"/>
          </w:tcPr>
          <w:p w14:paraId="3F0AFE15" w14:textId="77777777" w:rsidR="00FD57F2" w:rsidRPr="00D46647" w:rsidRDefault="00FD57F2" w:rsidP="00FD57F2">
            <w:pPr>
              <w:autoSpaceDE w:val="0"/>
              <w:autoSpaceDN w:val="0"/>
              <w:adjustRightInd w:val="0"/>
              <w:jc w:val="center"/>
              <w:rPr>
                <w:b/>
                <w:bCs/>
                <w:sz w:val="16"/>
                <w:szCs w:val="16"/>
              </w:rPr>
            </w:pPr>
            <w:r w:rsidRPr="00D46647">
              <w:rPr>
                <w:b/>
                <w:sz w:val="16"/>
                <w:szCs w:val="16"/>
              </w:rPr>
              <w:t>Atténuation du risque</w:t>
            </w:r>
          </w:p>
        </w:tc>
        <w:tc>
          <w:tcPr>
            <w:tcW w:w="1667" w:type="pct"/>
            <w:shd w:val="clear" w:color="auto" w:fill="C6D9F1" w:themeFill="text2" w:themeFillTint="33"/>
            <w:vAlign w:val="center"/>
          </w:tcPr>
          <w:p w14:paraId="23C23583" w14:textId="77777777" w:rsidR="00FD57F2" w:rsidRPr="00D46647" w:rsidRDefault="00FD57F2" w:rsidP="00FD57F2">
            <w:pPr>
              <w:autoSpaceDE w:val="0"/>
              <w:autoSpaceDN w:val="0"/>
              <w:adjustRightInd w:val="0"/>
              <w:jc w:val="center"/>
              <w:rPr>
                <w:b/>
                <w:bCs/>
                <w:sz w:val="16"/>
                <w:szCs w:val="16"/>
              </w:rPr>
            </w:pPr>
            <w:r w:rsidRPr="00D46647">
              <w:rPr>
                <w:b/>
                <w:bCs/>
                <w:sz w:val="16"/>
                <w:szCs w:val="16"/>
              </w:rPr>
              <w:t>Observation</w:t>
            </w:r>
          </w:p>
        </w:tc>
      </w:tr>
      <w:tr w:rsidR="00FD57F2" w:rsidRPr="00D46647" w14:paraId="76DD6A32" w14:textId="77777777" w:rsidTr="007E3422">
        <w:tc>
          <w:tcPr>
            <w:tcW w:w="1666" w:type="pct"/>
            <w:shd w:val="clear" w:color="auto" w:fill="auto"/>
          </w:tcPr>
          <w:p w14:paraId="460B0DAE" w14:textId="77777777" w:rsidR="00FD57F2" w:rsidRPr="00D46647" w:rsidRDefault="00FD57F2" w:rsidP="00FD57F2">
            <w:pPr>
              <w:autoSpaceDE w:val="0"/>
              <w:autoSpaceDN w:val="0"/>
              <w:adjustRightInd w:val="0"/>
              <w:rPr>
                <w:sz w:val="16"/>
                <w:szCs w:val="16"/>
              </w:rPr>
            </w:pPr>
            <w:r w:rsidRPr="00D46647">
              <w:rPr>
                <w:sz w:val="16"/>
                <w:szCs w:val="16"/>
              </w:rPr>
              <w:t>Absence du budget nécessaire pour mettre en œuvre la feuille de route pour la gestion de l’identité et des accès ainsi que pour le cryptage.</w:t>
            </w:r>
          </w:p>
        </w:tc>
        <w:tc>
          <w:tcPr>
            <w:tcW w:w="1667" w:type="pct"/>
            <w:shd w:val="clear" w:color="auto" w:fill="auto"/>
          </w:tcPr>
          <w:p w14:paraId="31189844" w14:textId="77777777" w:rsidR="00FD57F2" w:rsidRPr="00D46647" w:rsidRDefault="00FD57F2" w:rsidP="00FD57F2">
            <w:pPr>
              <w:autoSpaceDE w:val="0"/>
              <w:autoSpaceDN w:val="0"/>
              <w:adjustRightInd w:val="0"/>
              <w:rPr>
                <w:sz w:val="16"/>
                <w:szCs w:val="16"/>
              </w:rPr>
            </w:pPr>
            <w:r w:rsidRPr="00D46647">
              <w:rPr>
                <w:sz w:val="16"/>
                <w:szCs w:val="16"/>
              </w:rPr>
              <w:t>Définition des priorités pour la feuille de route, en mettant l’accent sur les secteurs à haut risque en premier lieu.</w:t>
            </w:r>
          </w:p>
        </w:tc>
        <w:tc>
          <w:tcPr>
            <w:tcW w:w="1667" w:type="pct"/>
          </w:tcPr>
          <w:p w14:paraId="17962A31" w14:textId="77777777" w:rsidR="00FD57F2" w:rsidRPr="00D46647" w:rsidRDefault="00FD57F2" w:rsidP="00FD57F2">
            <w:pPr>
              <w:autoSpaceDE w:val="0"/>
              <w:autoSpaceDN w:val="0"/>
              <w:adjustRightInd w:val="0"/>
              <w:rPr>
                <w:sz w:val="16"/>
                <w:szCs w:val="16"/>
              </w:rPr>
            </w:pPr>
            <w:r w:rsidRPr="00D46647">
              <w:rPr>
                <w:sz w:val="16"/>
                <w:szCs w:val="16"/>
              </w:rPr>
              <w:t>La feuille de route IAME définit un plan de mise en œuvre par priorités en trois étapes, sur trois ans (2017-2020) afin que les points essentiels du projet soient traités.</w:t>
            </w:r>
          </w:p>
        </w:tc>
      </w:tr>
    </w:tbl>
    <w:p w14:paraId="273FFC8C" w14:textId="77777777" w:rsidR="00FD57F2" w:rsidRPr="00D46647" w:rsidRDefault="00FD57F2" w:rsidP="00FD57F2">
      <w:pPr>
        <w:rPr>
          <w:sz w:val="20"/>
        </w:rPr>
      </w:pPr>
    </w:p>
    <w:p w14:paraId="5CC84E6A" w14:textId="77777777" w:rsidR="00FD57F2" w:rsidRPr="00D46647" w:rsidRDefault="00FD57F2" w:rsidP="00FD57F2">
      <w:pPr>
        <w:rPr>
          <w:sz w:val="20"/>
        </w:rPr>
      </w:pPr>
    </w:p>
    <w:p w14:paraId="0B752442" w14:textId="77777777" w:rsidR="00FD57F2" w:rsidRPr="00D46647" w:rsidRDefault="00FD57F2" w:rsidP="00FD57F2">
      <w:pPr>
        <w:rPr>
          <w:sz w:val="20"/>
        </w:rPr>
      </w:pPr>
      <w:r w:rsidRPr="00D46647">
        <w:rPr>
          <w:sz w:val="20"/>
        </w:rPr>
        <w:t>CALENDRIER DU PROJET PAR ÉTAPE</w:t>
      </w:r>
    </w:p>
    <w:p w14:paraId="27FCB319" w14:textId="77777777" w:rsidR="00FD57F2" w:rsidRPr="00D46647" w:rsidRDefault="00FD57F2" w:rsidP="00FD57F2">
      <w:pPr>
        <w:rPr>
          <w:sz w:val="20"/>
        </w:rPr>
      </w:pPr>
    </w:p>
    <w:tbl>
      <w:tblPr>
        <w:tblW w:w="509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bottom w:w="57" w:type="dxa"/>
        </w:tblCellMar>
        <w:tblLook w:val="04A0" w:firstRow="1" w:lastRow="0" w:firstColumn="1" w:lastColumn="0" w:noHBand="0" w:noVBand="1"/>
      </w:tblPr>
      <w:tblGrid>
        <w:gridCol w:w="2131"/>
        <w:gridCol w:w="464"/>
        <w:gridCol w:w="464"/>
        <w:gridCol w:w="463"/>
        <w:gridCol w:w="464"/>
        <w:gridCol w:w="463"/>
        <w:gridCol w:w="464"/>
        <w:gridCol w:w="463"/>
        <w:gridCol w:w="464"/>
        <w:gridCol w:w="464"/>
        <w:gridCol w:w="463"/>
        <w:gridCol w:w="464"/>
        <w:gridCol w:w="463"/>
        <w:gridCol w:w="493"/>
        <w:gridCol w:w="425"/>
        <w:gridCol w:w="426"/>
        <w:gridCol w:w="425"/>
      </w:tblGrid>
      <w:tr w:rsidR="00FD57F2" w:rsidRPr="00D46647" w14:paraId="6C569653" w14:textId="77777777" w:rsidTr="007E3422">
        <w:trPr>
          <w:tblHeader/>
        </w:trPr>
        <w:tc>
          <w:tcPr>
            <w:tcW w:w="2132" w:type="dxa"/>
            <w:tcBorders>
              <w:top w:val="nil"/>
              <w:left w:val="nil"/>
            </w:tcBorders>
            <w:shd w:val="clear" w:color="auto" w:fill="auto"/>
            <w:noWrap/>
            <w:vAlign w:val="bottom"/>
            <w:hideMark/>
          </w:tcPr>
          <w:p w14:paraId="246F85A0" w14:textId="77777777" w:rsidR="00FD57F2" w:rsidRPr="00D46647" w:rsidRDefault="00FD57F2" w:rsidP="00FD57F2">
            <w:pPr>
              <w:rPr>
                <w:color w:val="000000"/>
                <w:spacing w:val="-2"/>
                <w:sz w:val="16"/>
                <w:szCs w:val="16"/>
              </w:rPr>
            </w:pPr>
          </w:p>
        </w:tc>
        <w:tc>
          <w:tcPr>
            <w:tcW w:w="1855" w:type="dxa"/>
            <w:gridSpan w:val="4"/>
            <w:shd w:val="clear" w:color="auto" w:fill="C6D9F1" w:themeFill="text2" w:themeFillTint="33"/>
            <w:noWrap/>
            <w:vAlign w:val="center"/>
            <w:hideMark/>
          </w:tcPr>
          <w:p w14:paraId="6565FFCC"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2015</w:t>
            </w:r>
          </w:p>
        </w:tc>
        <w:tc>
          <w:tcPr>
            <w:tcW w:w="1854" w:type="dxa"/>
            <w:gridSpan w:val="4"/>
            <w:shd w:val="clear" w:color="auto" w:fill="C6D9F1" w:themeFill="text2" w:themeFillTint="33"/>
            <w:noWrap/>
            <w:vAlign w:val="center"/>
            <w:hideMark/>
          </w:tcPr>
          <w:p w14:paraId="1513298D"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2016</w:t>
            </w:r>
          </w:p>
        </w:tc>
        <w:tc>
          <w:tcPr>
            <w:tcW w:w="1854" w:type="dxa"/>
            <w:gridSpan w:val="4"/>
            <w:shd w:val="clear" w:color="auto" w:fill="C6D9F1" w:themeFill="text2" w:themeFillTint="33"/>
            <w:noWrap/>
            <w:vAlign w:val="center"/>
            <w:hideMark/>
          </w:tcPr>
          <w:p w14:paraId="1B2DC40B"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2017</w:t>
            </w:r>
          </w:p>
        </w:tc>
        <w:tc>
          <w:tcPr>
            <w:tcW w:w="1769" w:type="dxa"/>
            <w:gridSpan w:val="4"/>
            <w:shd w:val="clear" w:color="auto" w:fill="C6D9F1" w:themeFill="text2" w:themeFillTint="33"/>
            <w:vAlign w:val="center"/>
          </w:tcPr>
          <w:p w14:paraId="45C687DA"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2018</w:t>
            </w:r>
          </w:p>
        </w:tc>
      </w:tr>
      <w:tr w:rsidR="00FD57F2" w:rsidRPr="00D46647" w14:paraId="58634A6F" w14:textId="77777777" w:rsidTr="007E3422">
        <w:trPr>
          <w:tblHeader/>
        </w:trPr>
        <w:tc>
          <w:tcPr>
            <w:tcW w:w="2132" w:type="dxa"/>
            <w:shd w:val="clear" w:color="auto" w:fill="C6D9F1" w:themeFill="text2" w:themeFillTint="33"/>
            <w:noWrap/>
            <w:vAlign w:val="bottom"/>
            <w:hideMark/>
          </w:tcPr>
          <w:p w14:paraId="50D1F014" w14:textId="77777777" w:rsidR="00FD57F2" w:rsidRPr="00D46647" w:rsidRDefault="00FD57F2" w:rsidP="00FD57F2">
            <w:pPr>
              <w:rPr>
                <w:b/>
                <w:bCs/>
                <w:spacing w:val="-2"/>
                <w:sz w:val="16"/>
                <w:szCs w:val="16"/>
              </w:rPr>
            </w:pPr>
            <w:r w:rsidRPr="00D46647">
              <w:rPr>
                <w:b/>
                <w:bCs/>
                <w:spacing w:val="-2"/>
                <w:sz w:val="16"/>
                <w:szCs w:val="16"/>
              </w:rPr>
              <w:t>Étape principale</w:t>
            </w:r>
          </w:p>
        </w:tc>
        <w:tc>
          <w:tcPr>
            <w:tcW w:w="464" w:type="dxa"/>
            <w:shd w:val="clear" w:color="auto" w:fill="C6D9F1" w:themeFill="text2" w:themeFillTint="33"/>
            <w:noWrap/>
            <w:vAlign w:val="center"/>
            <w:hideMark/>
          </w:tcPr>
          <w:p w14:paraId="20F407C2"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64" w:type="dxa"/>
            <w:shd w:val="clear" w:color="auto" w:fill="C6D9F1" w:themeFill="text2" w:themeFillTint="33"/>
            <w:noWrap/>
            <w:vAlign w:val="center"/>
            <w:hideMark/>
          </w:tcPr>
          <w:p w14:paraId="4CDA64CF"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63" w:type="dxa"/>
            <w:shd w:val="clear" w:color="auto" w:fill="C6D9F1" w:themeFill="text2" w:themeFillTint="33"/>
            <w:noWrap/>
            <w:vAlign w:val="center"/>
            <w:hideMark/>
          </w:tcPr>
          <w:p w14:paraId="715A300A"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64" w:type="dxa"/>
            <w:shd w:val="clear" w:color="auto" w:fill="C6D9F1" w:themeFill="text2" w:themeFillTint="33"/>
            <w:noWrap/>
            <w:vAlign w:val="center"/>
            <w:hideMark/>
          </w:tcPr>
          <w:p w14:paraId="2BF1DD7B"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463" w:type="dxa"/>
            <w:shd w:val="clear" w:color="auto" w:fill="C6D9F1" w:themeFill="text2" w:themeFillTint="33"/>
            <w:noWrap/>
            <w:vAlign w:val="center"/>
            <w:hideMark/>
          </w:tcPr>
          <w:p w14:paraId="78CA7619"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64" w:type="dxa"/>
            <w:shd w:val="clear" w:color="auto" w:fill="C6D9F1" w:themeFill="text2" w:themeFillTint="33"/>
            <w:noWrap/>
            <w:vAlign w:val="center"/>
            <w:hideMark/>
          </w:tcPr>
          <w:p w14:paraId="0A2182B0"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63" w:type="dxa"/>
            <w:shd w:val="clear" w:color="auto" w:fill="C6D9F1" w:themeFill="text2" w:themeFillTint="33"/>
            <w:noWrap/>
            <w:vAlign w:val="center"/>
            <w:hideMark/>
          </w:tcPr>
          <w:p w14:paraId="429F591A"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64" w:type="dxa"/>
            <w:shd w:val="clear" w:color="auto" w:fill="C6D9F1" w:themeFill="text2" w:themeFillTint="33"/>
            <w:noWrap/>
            <w:vAlign w:val="center"/>
            <w:hideMark/>
          </w:tcPr>
          <w:p w14:paraId="762A1900"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464" w:type="dxa"/>
            <w:shd w:val="clear" w:color="auto" w:fill="C6D9F1" w:themeFill="text2" w:themeFillTint="33"/>
            <w:noWrap/>
            <w:vAlign w:val="center"/>
            <w:hideMark/>
          </w:tcPr>
          <w:p w14:paraId="480E1E0B"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63" w:type="dxa"/>
            <w:shd w:val="clear" w:color="auto" w:fill="C6D9F1" w:themeFill="text2" w:themeFillTint="33"/>
            <w:noWrap/>
            <w:vAlign w:val="center"/>
            <w:hideMark/>
          </w:tcPr>
          <w:p w14:paraId="60A36E60"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64" w:type="dxa"/>
            <w:shd w:val="clear" w:color="auto" w:fill="C6D9F1" w:themeFill="text2" w:themeFillTint="33"/>
            <w:noWrap/>
            <w:vAlign w:val="center"/>
            <w:hideMark/>
          </w:tcPr>
          <w:p w14:paraId="78CE45AB"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63" w:type="dxa"/>
            <w:shd w:val="clear" w:color="auto" w:fill="C6D9F1" w:themeFill="text2" w:themeFillTint="33"/>
            <w:noWrap/>
            <w:vAlign w:val="center"/>
            <w:hideMark/>
          </w:tcPr>
          <w:p w14:paraId="1C53A76F"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493" w:type="dxa"/>
            <w:shd w:val="clear" w:color="auto" w:fill="C6D9F1" w:themeFill="text2" w:themeFillTint="33"/>
            <w:vAlign w:val="center"/>
          </w:tcPr>
          <w:p w14:paraId="504B1FF8"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25" w:type="dxa"/>
            <w:shd w:val="clear" w:color="auto" w:fill="C6D9F1" w:themeFill="text2" w:themeFillTint="33"/>
            <w:vAlign w:val="center"/>
          </w:tcPr>
          <w:p w14:paraId="6D165458"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26" w:type="dxa"/>
            <w:shd w:val="clear" w:color="auto" w:fill="C6D9F1" w:themeFill="text2" w:themeFillTint="33"/>
            <w:vAlign w:val="center"/>
          </w:tcPr>
          <w:p w14:paraId="0CAE995A"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25" w:type="dxa"/>
            <w:shd w:val="clear" w:color="auto" w:fill="C6D9F1" w:themeFill="text2" w:themeFillTint="33"/>
            <w:vAlign w:val="center"/>
          </w:tcPr>
          <w:p w14:paraId="213DBC08" w14:textId="77777777" w:rsidR="00FD57F2" w:rsidRPr="00D46647" w:rsidRDefault="00FD57F2" w:rsidP="00FD57F2">
            <w:pPr>
              <w:jc w:val="center"/>
              <w:rPr>
                <w:b/>
                <w:bCs/>
                <w:spacing w:val="-2"/>
                <w:sz w:val="16"/>
                <w:szCs w:val="16"/>
              </w:rPr>
            </w:pPr>
            <w:r w:rsidRPr="00D46647">
              <w:rPr>
                <w:b/>
                <w:bCs/>
                <w:spacing w:val="-2"/>
                <w:sz w:val="16"/>
                <w:szCs w:val="16"/>
              </w:rPr>
              <w:t>T4</w:t>
            </w:r>
          </w:p>
        </w:tc>
      </w:tr>
      <w:tr w:rsidR="00FD57F2" w:rsidRPr="00D46647" w14:paraId="5510A8D7" w14:textId="77777777" w:rsidTr="007E3422">
        <w:tc>
          <w:tcPr>
            <w:tcW w:w="2132" w:type="dxa"/>
            <w:shd w:val="clear" w:color="auto" w:fill="auto"/>
            <w:noWrap/>
            <w:vAlign w:val="bottom"/>
          </w:tcPr>
          <w:p w14:paraId="742B61C2" w14:textId="77777777" w:rsidR="00FD57F2" w:rsidRPr="00D46647" w:rsidRDefault="00FD57F2" w:rsidP="00FD57F2">
            <w:pPr>
              <w:rPr>
                <w:color w:val="000000"/>
                <w:spacing w:val="-2"/>
                <w:sz w:val="16"/>
                <w:szCs w:val="16"/>
              </w:rPr>
            </w:pPr>
            <w:r w:rsidRPr="00D46647">
              <w:rPr>
                <w:spacing w:val="-2"/>
                <w:sz w:val="16"/>
                <w:szCs w:val="16"/>
              </w:rPr>
              <w:t xml:space="preserve">Évaluation de l’état actuel </w:t>
            </w:r>
            <w:r w:rsidRPr="00D46647">
              <w:rPr>
                <w:color w:val="000000"/>
                <w:spacing w:val="-2"/>
                <w:sz w:val="16"/>
                <w:szCs w:val="16"/>
              </w:rPr>
              <w:t>et feuille de route relative à l’architecture de référence et à la mise en œuvre</w:t>
            </w:r>
          </w:p>
        </w:tc>
        <w:tc>
          <w:tcPr>
            <w:tcW w:w="464" w:type="dxa"/>
            <w:shd w:val="clear" w:color="auto" w:fill="auto"/>
            <w:noWrap/>
            <w:vAlign w:val="center"/>
          </w:tcPr>
          <w:p w14:paraId="3F523CB9" w14:textId="77777777" w:rsidR="00FD57F2" w:rsidRPr="00D46647" w:rsidRDefault="00FD57F2" w:rsidP="00FD57F2">
            <w:pPr>
              <w:jc w:val="center"/>
              <w:rPr>
                <w:color w:val="000000"/>
                <w:spacing w:val="-2"/>
                <w:sz w:val="16"/>
                <w:szCs w:val="16"/>
              </w:rPr>
            </w:pPr>
          </w:p>
        </w:tc>
        <w:tc>
          <w:tcPr>
            <w:tcW w:w="464" w:type="dxa"/>
            <w:shd w:val="clear" w:color="auto" w:fill="auto"/>
            <w:noWrap/>
            <w:vAlign w:val="center"/>
          </w:tcPr>
          <w:p w14:paraId="50F0589A" w14:textId="77777777" w:rsidR="00FD57F2" w:rsidRPr="00D46647" w:rsidRDefault="00FD57F2" w:rsidP="00FD57F2">
            <w:pPr>
              <w:jc w:val="center"/>
              <w:rPr>
                <w:color w:val="000000"/>
                <w:spacing w:val="-2"/>
                <w:sz w:val="16"/>
                <w:szCs w:val="16"/>
              </w:rPr>
            </w:pPr>
          </w:p>
        </w:tc>
        <w:tc>
          <w:tcPr>
            <w:tcW w:w="463" w:type="dxa"/>
            <w:shd w:val="clear" w:color="auto" w:fill="auto"/>
            <w:noWrap/>
            <w:vAlign w:val="center"/>
          </w:tcPr>
          <w:p w14:paraId="2F83EC28" w14:textId="77777777" w:rsidR="00FD57F2" w:rsidRPr="00D46647" w:rsidRDefault="00FD57F2" w:rsidP="00FD57F2">
            <w:pPr>
              <w:jc w:val="center"/>
              <w:rPr>
                <w:color w:val="000000"/>
                <w:spacing w:val="-2"/>
                <w:sz w:val="16"/>
                <w:szCs w:val="16"/>
              </w:rPr>
            </w:pPr>
          </w:p>
        </w:tc>
        <w:tc>
          <w:tcPr>
            <w:tcW w:w="464" w:type="dxa"/>
            <w:shd w:val="clear" w:color="auto" w:fill="auto"/>
            <w:noWrap/>
            <w:vAlign w:val="center"/>
          </w:tcPr>
          <w:p w14:paraId="730776B2" w14:textId="77777777" w:rsidR="00FD57F2" w:rsidRPr="00D46647" w:rsidRDefault="00FD57F2" w:rsidP="00FD57F2">
            <w:pPr>
              <w:jc w:val="center"/>
              <w:rPr>
                <w:color w:val="000000"/>
                <w:spacing w:val="-2"/>
                <w:sz w:val="16"/>
                <w:szCs w:val="16"/>
              </w:rPr>
            </w:pPr>
            <w:r w:rsidRPr="00D46647">
              <w:rPr>
                <w:color w:val="000000"/>
                <w:spacing w:val="-2"/>
                <w:sz w:val="16"/>
                <w:szCs w:val="16"/>
              </w:rPr>
              <w:t>X</w:t>
            </w:r>
          </w:p>
        </w:tc>
        <w:tc>
          <w:tcPr>
            <w:tcW w:w="463" w:type="dxa"/>
            <w:shd w:val="clear" w:color="auto" w:fill="auto"/>
            <w:noWrap/>
            <w:vAlign w:val="center"/>
          </w:tcPr>
          <w:p w14:paraId="00618567" w14:textId="77777777" w:rsidR="00FD57F2" w:rsidRPr="00D46647" w:rsidRDefault="00FD57F2" w:rsidP="00FD57F2">
            <w:pPr>
              <w:jc w:val="center"/>
              <w:rPr>
                <w:color w:val="000000"/>
                <w:spacing w:val="-2"/>
                <w:sz w:val="16"/>
                <w:szCs w:val="16"/>
              </w:rPr>
            </w:pPr>
            <w:r w:rsidRPr="00D46647">
              <w:rPr>
                <w:color w:val="000000"/>
                <w:spacing w:val="-2"/>
                <w:sz w:val="16"/>
                <w:szCs w:val="16"/>
              </w:rPr>
              <w:t>X</w:t>
            </w:r>
          </w:p>
        </w:tc>
        <w:tc>
          <w:tcPr>
            <w:tcW w:w="464" w:type="dxa"/>
            <w:shd w:val="clear" w:color="auto" w:fill="auto"/>
            <w:noWrap/>
            <w:vAlign w:val="center"/>
          </w:tcPr>
          <w:p w14:paraId="384761C3" w14:textId="77777777" w:rsidR="00FD57F2" w:rsidRPr="00D46647" w:rsidRDefault="00FD57F2" w:rsidP="00FD57F2">
            <w:pPr>
              <w:jc w:val="center"/>
              <w:rPr>
                <w:color w:val="000000"/>
                <w:spacing w:val="-2"/>
                <w:sz w:val="16"/>
                <w:szCs w:val="16"/>
              </w:rPr>
            </w:pPr>
            <w:r w:rsidRPr="00D46647">
              <w:rPr>
                <w:color w:val="000000"/>
                <w:spacing w:val="-2"/>
                <w:sz w:val="16"/>
                <w:szCs w:val="16"/>
              </w:rPr>
              <w:t>X</w:t>
            </w:r>
          </w:p>
        </w:tc>
        <w:tc>
          <w:tcPr>
            <w:tcW w:w="463" w:type="dxa"/>
            <w:shd w:val="clear" w:color="auto" w:fill="auto"/>
            <w:noWrap/>
            <w:vAlign w:val="center"/>
          </w:tcPr>
          <w:p w14:paraId="257E492A" w14:textId="77777777" w:rsidR="00FD57F2" w:rsidRPr="00D46647" w:rsidRDefault="00FD57F2" w:rsidP="00FD57F2">
            <w:pPr>
              <w:jc w:val="center"/>
              <w:rPr>
                <w:color w:val="000000"/>
                <w:spacing w:val="-2"/>
                <w:sz w:val="16"/>
                <w:szCs w:val="16"/>
              </w:rPr>
            </w:pPr>
            <w:r w:rsidRPr="00D46647">
              <w:rPr>
                <w:color w:val="000000"/>
                <w:spacing w:val="-2"/>
                <w:sz w:val="16"/>
                <w:szCs w:val="16"/>
              </w:rPr>
              <w:t>X</w:t>
            </w:r>
          </w:p>
        </w:tc>
        <w:tc>
          <w:tcPr>
            <w:tcW w:w="464" w:type="dxa"/>
            <w:shd w:val="clear" w:color="auto" w:fill="auto"/>
            <w:noWrap/>
            <w:vAlign w:val="center"/>
          </w:tcPr>
          <w:p w14:paraId="78C99184" w14:textId="77777777" w:rsidR="00FD57F2" w:rsidRPr="00D46647" w:rsidRDefault="00FD57F2" w:rsidP="00FD57F2">
            <w:pPr>
              <w:jc w:val="center"/>
              <w:rPr>
                <w:color w:val="000000"/>
                <w:spacing w:val="-2"/>
                <w:sz w:val="16"/>
                <w:szCs w:val="16"/>
              </w:rPr>
            </w:pPr>
          </w:p>
        </w:tc>
        <w:tc>
          <w:tcPr>
            <w:tcW w:w="464" w:type="dxa"/>
            <w:shd w:val="clear" w:color="auto" w:fill="auto"/>
            <w:noWrap/>
            <w:vAlign w:val="center"/>
          </w:tcPr>
          <w:p w14:paraId="67E07D2C" w14:textId="77777777" w:rsidR="00FD57F2" w:rsidRPr="00D46647" w:rsidRDefault="00FD57F2" w:rsidP="00FD57F2">
            <w:pPr>
              <w:jc w:val="center"/>
              <w:rPr>
                <w:color w:val="000000"/>
                <w:spacing w:val="-2"/>
                <w:sz w:val="16"/>
                <w:szCs w:val="16"/>
              </w:rPr>
            </w:pPr>
          </w:p>
        </w:tc>
        <w:tc>
          <w:tcPr>
            <w:tcW w:w="463" w:type="dxa"/>
            <w:shd w:val="clear" w:color="auto" w:fill="auto"/>
            <w:noWrap/>
            <w:vAlign w:val="center"/>
          </w:tcPr>
          <w:p w14:paraId="2A2EE35E" w14:textId="77777777" w:rsidR="00FD57F2" w:rsidRPr="00D46647" w:rsidRDefault="00FD57F2" w:rsidP="00FD57F2">
            <w:pPr>
              <w:jc w:val="center"/>
              <w:rPr>
                <w:color w:val="000000"/>
                <w:spacing w:val="-2"/>
                <w:sz w:val="16"/>
                <w:szCs w:val="16"/>
              </w:rPr>
            </w:pPr>
          </w:p>
        </w:tc>
        <w:tc>
          <w:tcPr>
            <w:tcW w:w="464" w:type="dxa"/>
            <w:shd w:val="clear" w:color="auto" w:fill="auto"/>
            <w:noWrap/>
            <w:vAlign w:val="center"/>
          </w:tcPr>
          <w:p w14:paraId="63D55394" w14:textId="77777777" w:rsidR="00FD57F2" w:rsidRPr="00D46647" w:rsidRDefault="00FD57F2" w:rsidP="00FD57F2">
            <w:pPr>
              <w:jc w:val="center"/>
              <w:rPr>
                <w:color w:val="000000"/>
                <w:spacing w:val="-2"/>
                <w:sz w:val="16"/>
                <w:szCs w:val="16"/>
              </w:rPr>
            </w:pPr>
          </w:p>
        </w:tc>
        <w:tc>
          <w:tcPr>
            <w:tcW w:w="463" w:type="dxa"/>
            <w:shd w:val="clear" w:color="auto" w:fill="auto"/>
            <w:noWrap/>
            <w:vAlign w:val="center"/>
          </w:tcPr>
          <w:p w14:paraId="09F44B15" w14:textId="77777777" w:rsidR="00FD57F2" w:rsidRPr="00D46647" w:rsidRDefault="00FD57F2" w:rsidP="00FD57F2">
            <w:pPr>
              <w:jc w:val="center"/>
              <w:rPr>
                <w:color w:val="000000"/>
                <w:spacing w:val="-2"/>
                <w:sz w:val="16"/>
                <w:szCs w:val="16"/>
              </w:rPr>
            </w:pPr>
          </w:p>
        </w:tc>
        <w:tc>
          <w:tcPr>
            <w:tcW w:w="493" w:type="dxa"/>
            <w:shd w:val="clear" w:color="auto" w:fill="auto"/>
            <w:vAlign w:val="center"/>
          </w:tcPr>
          <w:p w14:paraId="7BF110D5" w14:textId="77777777" w:rsidR="00FD57F2" w:rsidRPr="00D46647" w:rsidRDefault="00FD57F2" w:rsidP="00FD57F2">
            <w:pPr>
              <w:jc w:val="center"/>
              <w:rPr>
                <w:color w:val="000000"/>
                <w:spacing w:val="-2"/>
                <w:sz w:val="16"/>
                <w:szCs w:val="16"/>
              </w:rPr>
            </w:pPr>
          </w:p>
        </w:tc>
        <w:tc>
          <w:tcPr>
            <w:tcW w:w="425" w:type="dxa"/>
            <w:shd w:val="clear" w:color="auto" w:fill="auto"/>
            <w:vAlign w:val="center"/>
          </w:tcPr>
          <w:p w14:paraId="6A1FC206" w14:textId="77777777" w:rsidR="00FD57F2" w:rsidRPr="00D46647" w:rsidRDefault="00FD57F2" w:rsidP="00FD57F2">
            <w:pPr>
              <w:jc w:val="center"/>
              <w:rPr>
                <w:color w:val="000000"/>
                <w:spacing w:val="-2"/>
                <w:sz w:val="16"/>
                <w:szCs w:val="16"/>
              </w:rPr>
            </w:pPr>
          </w:p>
        </w:tc>
        <w:tc>
          <w:tcPr>
            <w:tcW w:w="426" w:type="dxa"/>
            <w:shd w:val="clear" w:color="auto" w:fill="auto"/>
            <w:vAlign w:val="center"/>
          </w:tcPr>
          <w:p w14:paraId="5F6349C1" w14:textId="77777777" w:rsidR="00FD57F2" w:rsidRPr="00D46647" w:rsidRDefault="00FD57F2" w:rsidP="00FD57F2">
            <w:pPr>
              <w:jc w:val="center"/>
              <w:rPr>
                <w:color w:val="000000"/>
                <w:spacing w:val="-2"/>
                <w:sz w:val="16"/>
                <w:szCs w:val="16"/>
              </w:rPr>
            </w:pPr>
          </w:p>
        </w:tc>
        <w:tc>
          <w:tcPr>
            <w:tcW w:w="425" w:type="dxa"/>
            <w:shd w:val="clear" w:color="auto" w:fill="auto"/>
            <w:vAlign w:val="center"/>
          </w:tcPr>
          <w:p w14:paraId="7F114854" w14:textId="77777777" w:rsidR="00FD57F2" w:rsidRPr="00D46647" w:rsidRDefault="00FD57F2" w:rsidP="00FD57F2">
            <w:pPr>
              <w:jc w:val="center"/>
              <w:rPr>
                <w:color w:val="000000"/>
                <w:spacing w:val="-2"/>
                <w:sz w:val="16"/>
                <w:szCs w:val="16"/>
              </w:rPr>
            </w:pPr>
          </w:p>
        </w:tc>
      </w:tr>
      <w:tr w:rsidR="00FD57F2" w:rsidRPr="00D46647" w14:paraId="34D711EC" w14:textId="77777777" w:rsidTr="007E3422">
        <w:tc>
          <w:tcPr>
            <w:tcW w:w="2132" w:type="dxa"/>
            <w:shd w:val="clear" w:color="auto" w:fill="auto"/>
            <w:noWrap/>
            <w:vAlign w:val="center"/>
          </w:tcPr>
          <w:p w14:paraId="7B2A105A" w14:textId="77777777" w:rsidR="00FD57F2" w:rsidRPr="00D46647" w:rsidRDefault="00FD57F2" w:rsidP="00FD57F2">
            <w:pPr>
              <w:rPr>
                <w:color w:val="000000"/>
                <w:sz w:val="16"/>
                <w:szCs w:val="16"/>
              </w:rPr>
            </w:pPr>
            <w:r w:rsidRPr="00D46647">
              <w:rPr>
                <w:sz w:val="16"/>
              </w:rPr>
              <w:t>Cartographie des modèles d’autorisation de deux importantes applications métier suivant l’architecture d’IAME</w:t>
            </w:r>
          </w:p>
        </w:tc>
        <w:tc>
          <w:tcPr>
            <w:tcW w:w="464" w:type="dxa"/>
            <w:shd w:val="clear" w:color="auto" w:fill="auto"/>
            <w:noWrap/>
            <w:vAlign w:val="bottom"/>
          </w:tcPr>
          <w:p w14:paraId="17C23B24" w14:textId="77777777" w:rsidR="00FD57F2" w:rsidRPr="00D46647" w:rsidRDefault="00FD57F2" w:rsidP="00FD57F2">
            <w:pPr>
              <w:rPr>
                <w:color w:val="000000"/>
                <w:sz w:val="16"/>
                <w:szCs w:val="16"/>
              </w:rPr>
            </w:pPr>
          </w:p>
        </w:tc>
        <w:tc>
          <w:tcPr>
            <w:tcW w:w="464" w:type="dxa"/>
            <w:shd w:val="clear" w:color="auto" w:fill="auto"/>
            <w:noWrap/>
            <w:vAlign w:val="bottom"/>
          </w:tcPr>
          <w:p w14:paraId="1163A3E1" w14:textId="77777777" w:rsidR="00FD57F2" w:rsidRPr="00D46647" w:rsidRDefault="00FD57F2" w:rsidP="00FD57F2">
            <w:pPr>
              <w:rPr>
                <w:color w:val="000000"/>
                <w:sz w:val="16"/>
                <w:szCs w:val="16"/>
              </w:rPr>
            </w:pPr>
          </w:p>
        </w:tc>
        <w:tc>
          <w:tcPr>
            <w:tcW w:w="463" w:type="dxa"/>
            <w:shd w:val="clear" w:color="auto" w:fill="auto"/>
            <w:noWrap/>
            <w:vAlign w:val="bottom"/>
          </w:tcPr>
          <w:p w14:paraId="3692B360" w14:textId="77777777" w:rsidR="00FD57F2" w:rsidRPr="00D46647" w:rsidRDefault="00FD57F2" w:rsidP="00FD57F2">
            <w:pPr>
              <w:rPr>
                <w:color w:val="000000"/>
                <w:sz w:val="16"/>
                <w:szCs w:val="16"/>
              </w:rPr>
            </w:pPr>
          </w:p>
        </w:tc>
        <w:tc>
          <w:tcPr>
            <w:tcW w:w="464" w:type="dxa"/>
            <w:shd w:val="clear" w:color="auto" w:fill="auto"/>
            <w:noWrap/>
            <w:vAlign w:val="center"/>
          </w:tcPr>
          <w:p w14:paraId="34F82C0A"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2FBE3E05"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305E1D1C"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258F861A"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0E185F80" w14:textId="77777777" w:rsidR="00FD57F2" w:rsidRPr="00D46647" w:rsidRDefault="00FD57F2" w:rsidP="00FD57F2">
            <w:pPr>
              <w:jc w:val="center"/>
              <w:rPr>
                <w:color w:val="000000"/>
                <w:sz w:val="16"/>
                <w:szCs w:val="16"/>
              </w:rPr>
            </w:pPr>
            <w:r w:rsidRPr="00D46647">
              <w:rPr>
                <w:color w:val="000000"/>
                <w:sz w:val="16"/>
                <w:szCs w:val="16"/>
              </w:rPr>
              <w:t>X</w:t>
            </w:r>
          </w:p>
        </w:tc>
        <w:tc>
          <w:tcPr>
            <w:tcW w:w="464" w:type="dxa"/>
            <w:shd w:val="clear" w:color="auto" w:fill="auto"/>
            <w:noWrap/>
            <w:vAlign w:val="center"/>
          </w:tcPr>
          <w:p w14:paraId="581472FC" w14:textId="77777777" w:rsidR="00FD57F2" w:rsidRPr="00D46647" w:rsidRDefault="00FD57F2" w:rsidP="00FD57F2">
            <w:pPr>
              <w:jc w:val="center"/>
              <w:rPr>
                <w:color w:val="000000"/>
                <w:sz w:val="16"/>
                <w:szCs w:val="16"/>
              </w:rPr>
            </w:pPr>
            <w:r w:rsidRPr="00D46647">
              <w:rPr>
                <w:color w:val="000000"/>
                <w:sz w:val="16"/>
                <w:szCs w:val="16"/>
              </w:rPr>
              <w:t>X</w:t>
            </w:r>
          </w:p>
        </w:tc>
        <w:tc>
          <w:tcPr>
            <w:tcW w:w="463" w:type="dxa"/>
            <w:shd w:val="clear" w:color="auto" w:fill="auto"/>
            <w:noWrap/>
            <w:vAlign w:val="center"/>
          </w:tcPr>
          <w:p w14:paraId="238C244F"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5259C0B7"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58431A66" w14:textId="77777777" w:rsidR="00FD57F2" w:rsidRPr="00D46647" w:rsidRDefault="00FD57F2" w:rsidP="00FD57F2">
            <w:pPr>
              <w:jc w:val="center"/>
              <w:rPr>
                <w:color w:val="000000"/>
                <w:sz w:val="16"/>
                <w:szCs w:val="16"/>
              </w:rPr>
            </w:pPr>
          </w:p>
        </w:tc>
        <w:tc>
          <w:tcPr>
            <w:tcW w:w="493" w:type="dxa"/>
            <w:shd w:val="clear" w:color="auto" w:fill="auto"/>
            <w:vAlign w:val="center"/>
          </w:tcPr>
          <w:p w14:paraId="2158A6CE" w14:textId="77777777" w:rsidR="00FD57F2" w:rsidRPr="00D46647" w:rsidRDefault="00FD57F2" w:rsidP="00FD57F2">
            <w:pPr>
              <w:jc w:val="center"/>
              <w:rPr>
                <w:color w:val="000000"/>
                <w:sz w:val="16"/>
                <w:szCs w:val="16"/>
              </w:rPr>
            </w:pPr>
          </w:p>
        </w:tc>
        <w:tc>
          <w:tcPr>
            <w:tcW w:w="425" w:type="dxa"/>
            <w:shd w:val="clear" w:color="auto" w:fill="auto"/>
            <w:vAlign w:val="center"/>
          </w:tcPr>
          <w:p w14:paraId="6103E7F4" w14:textId="77777777" w:rsidR="00FD57F2" w:rsidRPr="00D46647" w:rsidRDefault="00FD57F2" w:rsidP="00FD57F2">
            <w:pPr>
              <w:jc w:val="center"/>
              <w:rPr>
                <w:color w:val="000000"/>
                <w:sz w:val="16"/>
                <w:szCs w:val="16"/>
              </w:rPr>
            </w:pPr>
          </w:p>
        </w:tc>
        <w:tc>
          <w:tcPr>
            <w:tcW w:w="426" w:type="dxa"/>
            <w:shd w:val="clear" w:color="auto" w:fill="auto"/>
          </w:tcPr>
          <w:p w14:paraId="6DE6618A" w14:textId="77777777" w:rsidR="00FD57F2" w:rsidRPr="00D46647" w:rsidRDefault="00FD57F2" w:rsidP="00FD57F2">
            <w:pPr>
              <w:jc w:val="center"/>
              <w:rPr>
                <w:color w:val="000000"/>
                <w:sz w:val="16"/>
                <w:szCs w:val="16"/>
              </w:rPr>
            </w:pPr>
          </w:p>
        </w:tc>
        <w:tc>
          <w:tcPr>
            <w:tcW w:w="425" w:type="dxa"/>
            <w:shd w:val="clear" w:color="auto" w:fill="auto"/>
          </w:tcPr>
          <w:p w14:paraId="3A38EC89" w14:textId="77777777" w:rsidR="00FD57F2" w:rsidRPr="00D46647" w:rsidRDefault="00FD57F2" w:rsidP="00FD57F2">
            <w:pPr>
              <w:jc w:val="center"/>
              <w:rPr>
                <w:color w:val="000000"/>
                <w:sz w:val="16"/>
                <w:szCs w:val="16"/>
              </w:rPr>
            </w:pPr>
          </w:p>
        </w:tc>
      </w:tr>
      <w:tr w:rsidR="00FD57F2" w:rsidRPr="00D46647" w14:paraId="34C76FA6" w14:textId="77777777" w:rsidTr="007E3422">
        <w:tc>
          <w:tcPr>
            <w:tcW w:w="2132" w:type="dxa"/>
            <w:shd w:val="clear" w:color="auto" w:fill="auto"/>
            <w:noWrap/>
            <w:vAlign w:val="center"/>
          </w:tcPr>
          <w:p w14:paraId="39D74F85" w14:textId="77777777" w:rsidR="00FD57F2" w:rsidRPr="00D46647" w:rsidRDefault="00FD57F2" w:rsidP="00FD57F2">
            <w:pPr>
              <w:rPr>
                <w:color w:val="000000"/>
                <w:sz w:val="16"/>
                <w:szCs w:val="16"/>
              </w:rPr>
            </w:pPr>
            <w:r w:rsidRPr="00D46647">
              <w:rPr>
                <w:sz w:val="16"/>
              </w:rPr>
              <w:t>Achat et intégration de la solution de gestion des accès</w:t>
            </w:r>
          </w:p>
        </w:tc>
        <w:tc>
          <w:tcPr>
            <w:tcW w:w="464" w:type="dxa"/>
            <w:shd w:val="clear" w:color="auto" w:fill="auto"/>
            <w:noWrap/>
            <w:vAlign w:val="bottom"/>
          </w:tcPr>
          <w:p w14:paraId="1412716B" w14:textId="77777777" w:rsidR="00FD57F2" w:rsidRPr="00D46647" w:rsidRDefault="00FD57F2" w:rsidP="00FD57F2">
            <w:pPr>
              <w:rPr>
                <w:color w:val="000000"/>
                <w:sz w:val="16"/>
                <w:szCs w:val="16"/>
              </w:rPr>
            </w:pPr>
          </w:p>
        </w:tc>
        <w:tc>
          <w:tcPr>
            <w:tcW w:w="464" w:type="dxa"/>
            <w:shd w:val="clear" w:color="auto" w:fill="auto"/>
            <w:noWrap/>
            <w:vAlign w:val="bottom"/>
          </w:tcPr>
          <w:p w14:paraId="2295D004" w14:textId="77777777" w:rsidR="00FD57F2" w:rsidRPr="00D46647" w:rsidRDefault="00FD57F2" w:rsidP="00FD57F2">
            <w:pPr>
              <w:rPr>
                <w:color w:val="000000"/>
                <w:sz w:val="16"/>
                <w:szCs w:val="16"/>
              </w:rPr>
            </w:pPr>
          </w:p>
        </w:tc>
        <w:tc>
          <w:tcPr>
            <w:tcW w:w="463" w:type="dxa"/>
            <w:shd w:val="clear" w:color="auto" w:fill="auto"/>
            <w:noWrap/>
            <w:vAlign w:val="bottom"/>
          </w:tcPr>
          <w:p w14:paraId="685A017E" w14:textId="77777777" w:rsidR="00FD57F2" w:rsidRPr="00D46647" w:rsidRDefault="00FD57F2" w:rsidP="00FD57F2">
            <w:pPr>
              <w:rPr>
                <w:color w:val="000000"/>
                <w:sz w:val="16"/>
                <w:szCs w:val="16"/>
              </w:rPr>
            </w:pPr>
          </w:p>
        </w:tc>
        <w:tc>
          <w:tcPr>
            <w:tcW w:w="464" w:type="dxa"/>
            <w:shd w:val="clear" w:color="auto" w:fill="auto"/>
            <w:noWrap/>
            <w:vAlign w:val="center"/>
          </w:tcPr>
          <w:p w14:paraId="5FF82905"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4E4A9462"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1E2B5F33"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00EFFB14"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117FCFB0"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6F4F46DD"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4F5E6CE8" w14:textId="77777777" w:rsidR="00FD57F2" w:rsidRPr="00D46647" w:rsidRDefault="00FD57F2" w:rsidP="00FD57F2">
            <w:pPr>
              <w:jc w:val="center"/>
              <w:rPr>
                <w:color w:val="000000"/>
                <w:sz w:val="16"/>
                <w:szCs w:val="16"/>
              </w:rPr>
            </w:pPr>
            <w:r w:rsidRPr="00D46647">
              <w:rPr>
                <w:color w:val="000000"/>
                <w:sz w:val="16"/>
                <w:szCs w:val="16"/>
              </w:rPr>
              <w:t>X</w:t>
            </w:r>
          </w:p>
        </w:tc>
        <w:tc>
          <w:tcPr>
            <w:tcW w:w="464" w:type="dxa"/>
            <w:shd w:val="clear" w:color="auto" w:fill="auto"/>
            <w:noWrap/>
            <w:vAlign w:val="center"/>
          </w:tcPr>
          <w:p w14:paraId="7484CFA1" w14:textId="77777777" w:rsidR="00FD57F2" w:rsidRPr="00D46647" w:rsidRDefault="00FD57F2" w:rsidP="00FD57F2">
            <w:pPr>
              <w:jc w:val="center"/>
              <w:rPr>
                <w:color w:val="000000"/>
                <w:sz w:val="16"/>
                <w:szCs w:val="16"/>
              </w:rPr>
            </w:pPr>
            <w:r w:rsidRPr="00D46647">
              <w:rPr>
                <w:color w:val="000000"/>
                <w:sz w:val="16"/>
                <w:szCs w:val="16"/>
              </w:rPr>
              <w:t>X</w:t>
            </w:r>
          </w:p>
        </w:tc>
        <w:tc>
          <w:tcPr>
            <w:tcW w:w="463" w:type="dxa"/>
            <w:shd w:val="clear" w:color="auto" w:fill="auto"/>
            <w:noWrap/>
            <w:vAlign w:val="center"/>
          </w:tcPr>
          <w:p w14:paraId="261E3B0B" w14:textId="77777777" w:rsidR="00FD57F2" w:rsidRPr="00D46647" w:rsidRDefault="00FD57F2" w:rsidP="00FD57F2">
            <w:pPr>
              <w:jc w:val="center"/>
              <w:rPr>
                <w:color w:val="000000"/>
                <w:sz w:val="16"/>
                <w:szCs w:val="16"/>
              </w:rPr>
            </w:pPr>
            <w:r w:rsidRPr="00D46647">
              <w:rPr>
                <w:color w:val="000000"/>
                <w:sz w:val="16"/>
                <w:szCs w:val="16"/>
              </w:rPr>
              <w:t>X</w:t>
            </w:r>
          </w:p>
        </w:tc>
        <w:tc>
          <w:tcPr>
            <w:tcW w:w="493" w:type="dxa"/>
            <w:shd w:val="clear" w:color="auto" w:fill="auto"/>
            <w:vAlign w:val="center"/>
          </w:tcPr>
          <w:p w14:paraId="70CBC985" w14:textId="77777777" w:rsidR="00FD57F2" w:rsidRPr="00D46647" w:rsidRDefault="00FD57F2" w:rsidP="00FD57F2">
            <w:pPr>
              <w:jc w:val="center"/>
              <w:rPr>
                <w:color w:val="000000"/>
                <w:sz w:val="16"/>
                <w:szCs w:val="16"/>
              </w:rPr>
            </w:pPr>
            <w:r w:rsidRPr="00D46647">
              <w:rPr>
                <w:color w:val="000000"/>
                <w:sz w:val="16"/>
                <w:szCs w:val="16"/>
              </w:rPr>
              <w:t>X</w:t>
            </w:r>
          </w:p>
        </w:tc>
        <w:tc>
          <w:tcPr>
            <w:tcW w:w="425" w:type="dxa"/>
            <w:shd w:val="clear" w:color="auto" w:fill="auto"/>
            <w:vAlign w:val="center"/>
          </w:tcPr>
          <w:p w14:paraId="54FED9D1" w14:textId="77777777" w:rsidR="00FD57F2" w:rsidRPr="00D46647" w:rsidRDefault="00FD57F2" w:rsidP="00FD57F2">
            <w:pPr>
              <w:jc w:val="center"/>
              <w:rPr>
                <w:color w:val="000000"/>
                <w:sz w:val="16"/>
                <w:szCs w:val="16"/>
              </w:rPr>
            </w:pPr>
          </w:p>
        </w:tc>
        <w:tc>
          <w:tcPr>
            <w:tcW w:w="426" w:type="dxa"/>
            <w:shd w:val="clear" w:color="auto" w:fill="auto"/>
          </w:tcPr>
          <w:p w14:paraId="4FF71359" w14:textId="77777777" w:rsidR="00FD57F2" w:rsidRPr="00D46647" w:rsidRDefault="00FD57F2" w:rsidP="00FD57F2">
            <w:pPr>
              <w:jc w:val="center"/>
              <w:rPr>
                <w:color w:val="000000"/>
                <w:sz w:val="16"/>
                <w:szCs w:val="16"/>
              </w:rPr>
            </w:pPr>
          </w:p>
        </w:tc>
        <w:tc>
          <w:tcPr>
            <w:tcW w:w="425" w:type="dxa"/>
            <w:shd w:val="clear" w:color="auto" w:fill="auto"/>
          </w:tcPr>
          <w:p w14:paraId="54AE10CD" w14:textId="77777777" w:rsidR="00FD57F2" w:rsidRPr="00D46647" w:rsidRDefault="00FD57F2" w:rsidP="00FD57F2">
            <w:pPr>
              <w:jc w:val="center"/>
              <w:rPr>
                <w:color w:val="000000"/>
                <w:sz w:val="16"/>
                <w:szCs w:val="16"/>
              </w:rPr>
            </w:pPr>
          </w:p>
        </w:tc>
      </w:tr>
      <w:tr w:rsidR="00FD57F2" w:rsidRPr="00D46647" w14:paraId="508A56FF" w14:textId="77777777" w:rsidTr="007E3422">
        <w:tc>
          <w:tcPr>
            <w:tcW w:w="2132" w:type="dxa"/>
            <w:shd w:val="clear" w:color="auto" w:fill="auto"/>
            <w:noWrap/>
            <w:vAlign w:val="center"/>
          </w:tcPr>
          <w:p w14:paraId="621311B6" w14:textId="77777777" w:rsidR="00FD57F2" w:rsidRPr="00D46647" w:rsidRDefault="00FD57F2" w:rsidP="00FD57F2">
            <w:pPr>
              <w:rPr>
                <w:color w:val="000000"/>
                <w:sz w:val="16"/>
                <w:szCs w:val="16"/>
              </w:rPr>
            </w:pPr>
            <w:r w:rsidRPr="00D46647">
              <w:rPr>
                <w:sz w:val="16"/>
              </w:rPr>
              <w:t>Solution interne ICP</w:t>
            </w:r>
          </w:p>
        </w:tc>
        <w:tc>
          <w:tcPr>
            <w:tcW w:w="464" w:type="dxa"/>
            <w:shd w:val="clear" w:color="auto" w:fill="auto"/>
            <w:noWrap/>
            <w:vAlign w:val="bottom"/>
          </w:tcPr>
          <w:p w14:paraId="109B6E3A" w14:textId="77777777" w:rsidR="00FD57F2" w:rsidRPr="00D46647" w:rsidRDefault="00FD57F2" w:rsidP="00FD57F2">
            <w:pPr>
              <w:rPr>
                <w:color w:val="000000"/>
                <w:sz w:val="16"/>
                <w:szCs w:val="16"/>
              </w:rPr>
            </w:pPr>
          </w:p>
        </w:tc>
        <w:tc>
          <w:tcPr>
            <w:tcW w:w="464" w:type="dxa"/>
            <w:shd w:val="clear" w:color="auto" w:fill="auto"/>
            <w:noWrap/>
            <w:vAlign w:val="bottom"/>
          </w:tcPr>
          <w:p w14:paraId="35E06B42" w14:textId="77777777" w:rsidR="00FD57F2" w:rsidRPr="00D46647" w:rsidRDefault="00FD57F2" w:rsidP="00FD57F2">
            <w:pPr>
              <w:rPr>
                <w:color w:val="000000"/>
                <w:sz w:val="16"/>
                <w:szCs w:val="16"/>
              </w:rPr>
            </w:pPr>
          </w:p>
        </w:tc>
        <w:tc>
          <w:tcPr>
            <w:tcW w:w="463" w:type="dxa"/>
            <w:shd w:val="clear" w:color="auto" w:fill="auto"/>
            <w:noWrap/>
            <w:vAlign w:val="bottom"/>
          </w:tcPr>
          <w:p w14:paraId="7D7F81B0" w14:textId="77777777" w:rsidR="00FD57F2" w:rsidRPr="00D46647" w:rsidRDefault="00FD57F2" w:rsidP="00FD57F2">
            <w:pPr>
              <w:rPr>
                <w:color w:val="000000"/>
                <w:sz w:val="16"/>
                <w:szCs w:val="16"/>
              </w:rPr>
            </w:pPr>
          </w:p>
        </w:tc>
        <w:tc>
          <w:tcPr>
            <w:tcW w:w="464" w:type="dxa"/>
            <w:shd w:val="clear" w:color="auto" w:fill="auto"/>
            <w:noWrap/>
            <w:vAlign w:val="center"/>
          </w:tcPr>
          <w:p w14:paraId="1F9F3E6A"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3B2A3D8D"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5E882A47"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28CAE0C1"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0A1D025D"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15F070BF"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44220363"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67E8C90D" w14:textId="77777777" w:rsidR="00FD57F2" w:rsidRPr="00D46647" w:rsidRDefault="00FD57F2" w:rsidP="00FD57F2">
            <w:pPr>
              <w:jc w:val="center"/>
              <w:rPr>
                <w:color w:val="000000"/>
                <w:sz w:val="16"/>
                <w:szCs w:val="16"/>
              </w:rPr>
            </w:pPr>
            <w:r w:rsidRPr="00D46647">
              <w:rPr>
                <w:color w:val="000000"/>
                <w:sz w:val="16"/>
                <w:szCs w:val="16"/>
              </w:rPr>
              <w:t>X</w:t>
            </w:r>
          </w:p>
        </w:tc>
        <w:tc>
          <w:tcPr>
            <w:tcW w:w="463" w:type="dxa"/>
            <w:shd w:val="clear" w:color="auto" w:fill="auto"/>
            <w:noWrap/>
            <w:vAlign w:val="center"/>
          </w:tcPr>
          <w:p w14:paraId="6875DAA0" w14:textId="77777777" w:rsidR="00FD57F2" w:rsidRPr="00D46647" w:rsidRDefault="00FD57F2" w:rsidP="00FD57F2">
            <w:pPr>
              <w:jc w:val="center"/>
              <w:rPr>
                <w:color w:val="000000"/>
                <w:sz w:val="16"/>
                <w:szCs w:val="16"/>
              </w:rPr>
            </w:pPr>
            <w:r w:rsidRPr="00D46647">
              <w:rPr>
                <w:color w:val="000000"/>
                <w:sz w:val="16"/>
                <w:szCs w:val="16"/>
              </w:rPr>
              <w:t>X</w:t>
            </w:r>
          </w:p>
        </w:tc>
        <w:tc>
          <w:tcPr>
            <w:tcW w:w="493" w:type="dxa"/>
            <w:shd w:val="clear" w:color="auto" w:fill="auto"/>
            <w:vAlign w:val="center"/>
          </w:tcPr>
          <w:p w14:paraId="0C512357" w14:textId="77777777" w:rsidR="00FD57F2" w:rsidRPr="00D46647" w:rsidRDefault="00FD57F2" w:rsidP="00FD57F2">
            <w:pPr>
              <w:jc w:val="center"/>
              <w:rPr>
                <w:color w:val="000000"/>
                <w:sz w:val="16"/>
                <w:szCs w:val="16"/>
              </w:rPr>
            </w:pPr>
            <w:r w:rsidRPr="00D46647">
              <w:rPr>
                <w:color w:val="000000"/>
                <w:sz w:val="16"/>
                <w:szCs w:val="16"/>
              </w:rPr>
              <w:t>X</w:t>
            </w:r>
          </w:p>
        </w:tc>
        <w:tc>
          <w:tcPr>
            <w:tcW w:w="425" w:type="dxa"/>
            <w:shd w:val="clear" w:color="auto" w:fill="auto"/>
            <w:vAlign w:val="center"/>
          </w:tcPr>
          <w:p w14:paraId="1FC573B5" w14:textId="77777777" w:rsidR="00FD57F2" w:rsidRPr="00D46647" w:rsidRDefault="00FD57F2" w:rsidP="00FD57F2">
            <w:pPr>
              <w:jc w:val="center"/>
              <w:rPr>
                <w:color w:val="000000"/>
                <w:sz w:val="16"/>
                <w:szCs w:val="16"/>
              </w:rPr>
            </w:pPr>
            <w:r w:rsidRPr="00D46647">
              <w:rPr>
                <w:color w:val="000000"/>
                <w:sz w:val="16"/>
                <w:szCs w:val="16"/>
              </w:rPr>
              <w:t>X</w:t>
            </w:r>
          </w:p>
        </w:tc>
        <w:tc>
          <w:tcPr>
            <w:tcW w:w="426" w:type="dxa"/>
            <w:shd w:val="clear" w:color="auto" w:fill="auto"/>
            <w:vAlign w:val="center"/>
          </w:tcPr>
          <w:p w14:paraId="74F4BBF2" w14:textId="77777777" w:rsidR="00FD57F2" w:rsidRPr="00D46647" w:rsidRDefault="00FD57F2" w:rsidP="00FD57F2">
            <w:pPr>
              <w:jc w:val="center"/>
              <w:rPr>
                <w:color w:val="000000"/>
                <w:sz w:val="16"/>
                <w:szCs w:val="16"/>
              </w:rPr>
            </w:pPr>
            <w:r w:rsidRPr="00D46647">
              <w:rPr>
                <w:color w:val="000000"/>
                <w:sz w:val="16"/>
                <w:szCs w:val="16"/>
              </w:rPr>
              <w:t>X</w:t>
            </w:r>
          </w:p>
        </w:tc>
        <w:tc>
          <w:tcPr>
            <w:tcW w:w="425" w:type="dxa"/>
            <w:shd w:val="clear" w:color="auto" w:fill="auto"/>
            <w:vAlign w:val="center"/>
          </w:tcPr>
          <w:p w14:paraId="6BDB20E8" w14:textId="77777777" w:rsidR="00FD57F2" w:rsidRPr="00D46647" w:rsidRDefault="00FD57F2" w:rsidP="00FD57F2">
            <w:pPr>
              <w:rPr>
                <w:color w:val="000000"/>
                <w:sz w:val="16"/>
                <w:szCs w:val="16"/>
              </w:rPr>
            </w:pPr>
          </w:p>
        </w:tc>
      </w:tr>
    </w:tbl>
    <w:p w14:paraId="19B169CA" w14:textId="77777777" w:rsidR="00FD57F2" w:rsidRDefault="00FD57F2" w:rsidP="00FD57F2">
      <w:pPr>
        <w:rPr>
          <w:b/>
        </w:rPr>
      </w:pPr>
      <w:r w:rsidRPr="00D46647">
        <w:br w:type="page"/>
      </w:r>
      <w:r w:rsidRPr="003F79BF">
        <w:rPr>
          <w:b/>
        </w:rPr>
        <w:t>PROJETS DANS LE DOMAINE DES TIC</w:t>
      </w:r>
    </w:p>
    <w:p w14:paraId="4BAA5D62" w14:textId="77777777" w:rsidR="003F79BF" w:rsidRPr="003F79BF" w:rsidRDefault="003F79BF" w:rsidP="00FD57F2">
      <w:pPr>
        <w:rPr>
          <w:b/>
        </w:rPr>
      </w:pPr>
    </w:p>
    <w:p w14:paraId="57731DB7" w14:textId="11D24B95" w:rsidR="00FD57F2" w:rsidRPr="00D46647" w:rsidRDefault="003F79BF" w:rsidP="003F79BF">
      <w:pPr>
        <w:pStyle w:val="Heading5"/>
      </w:pPr>
      <w:bookmarkStart w:id="98" w:name="_Toc422210524"/>
      <w:bookmarkStart w:id="99" w:name="_Toc423352909"/>
      <w:bookmarkStart w:id="100" w:name="_Toc455394222"/>
      <w:bookmarkStart w:id="101" w:name="_Toc482774633"/>
      <w:r>
        <w:t>P</w:t>
      </w:r>
      <w:r w:rsidRPr="00D46647">
        <w:t>rojet 2</w:t>
      </w:r>
      <w:r w:rsidRPr="00D46647">
        <w:tab/>
      </w:r>
      <w:r>
        <w:t>M</w:t>
      </w:r>
      <w:r w:rsidRPr="00D46647">
        <w:t>ise en œuvre du systèm</w:t>
      </w:r>
      <w:r>
        <w:t>e de gestion des contenus de l’O</w:t>
      </w:r>
      <w:r w:rsidRPr="00D46647">
        <w:t>rganisation</w:t>
      </w:r>
      <w:bookmarkEnd w:id="98"/>
      <w:bookmarkEnd w:id="99"/>
      <w:bookmarkEnd w:id="100"/>
      <w:bookmarkEnd w:id="101"/>
    </w:p>
    <w:p w14:paraId="7647D802" w14:textId="77777777" w:rsidR="00FD57F2" w:rsidRPr="00D46647" w:rsidRDefault="00FD57F2" w:rsidP="00FD57F2">
      <w:pPr>
        <w:rPr>
          <w:b/>
          <w:sz w:val="20"/>
        </w:rPr>
      </w:pPr>
    </w:p>
    <w:p w14:paraId="3D36BF76" w14:textId="77777777" w:rsidR="00FD57F2" w:rsidRPr="00D46647" w:rsidRDefault="00FD57F2" w:rsidP="00FD57F2">
      <w:pPr>
        <w:rPr>
          <w:b/>
          <w:sz w:val="20"/>
        </w:rPr>
      </w:pPr>
      <w:r w:rsidRPr="00D46647">
        <w:rPr>
          <w:b/>
          <w:sz w:val="20"/>
        </w:rPr>
        <w:t>Chef de projet</w:t>
      </w:r>
      <w:r w:rsidRPr="00D46647">
        <w:rPr>
          <w:b/>
          <w:sz w:val="20"/>
        </w:rPr>
        <w:tab/>
        <w:t>M. G. Beaver</w:t>
      </w:r>
    </w:p>
    <w:p w14:paraId="785BD992" w14:textId="77777777" w:rsidR="00FD57F2" w:rsidRPr="00D46647" w:rsidRDefault="00FD57F2" w:rsidP="00FD57F2">
      <w:pPr>
        <w:rPr>
          <w:b/>
          <w:sz w:val="20"/>
        </w:rPr>
      </w:pPr>
    </w:p>
    <w:p w14:paraId="76B6AFB8" w14:textId="77777777" w:rsidR="00FD57F2" w:rsidRPr="00D46647" w:rsidRDefault="00FD57F2" w:rsidP="00FD57F2">
      <w:pPr>
        <w:rPr>
          <w:bCs/>
          <w:sz w:val="20"/>
        </w:rPr>
      </w:pPr>
      <w:r w:rsidRPr="00D46647">
        <w:rPr>
          <w:sz w:val="20"/>
        </w:rPr>
        <w:t>RÉSULTATS ESCOMPTÉS</w:t>
      </w:r>
    </w:p>
    <w:p w14:paraId="59802572" w14:textId="77777777" w:rsidR="00FD57F2" w:rsidRPr="00D46647" w:rsidRDefault="00FD57F2" w:rsidP="00FD57F2">
      <w:pPr>
        <w:rPr>
          <w:bCs/>
          <w:sz w:val="20"/>
        </w:rPr>
      </w:pPr>
    </w:p>
    <w:p w14:paraId="24296D25" w14:textId="77777777" w:rsidR="00FD57F2" w:rsidRPr="00D46647" w:rsidRDefault="00FD57F2" w:rsidP="00FD57F2">
      <w:pPr>
        <w:rPr>
          <w:bCs/>
          <w:i/>
          <w:sz w:val="20"/>
        </w:rPr>
      </w:pPr>
      <w:r w:rsidRPr="00D46647">
        <w:rPr>
          <w:i/>
          <w:sz w:val="20"/>
        </w:rPr>
        <w:t>IX.2 Un Secrétariat réactif, fonctionnant harmonieusement et doté de ressources humaines bien gérées et compétentes, à même d’obtenir des résultats concrets</w:t>
      </w:r>
    </w:p>
    <w:p w14:paraId="644CD90A" w14:textId="77777777" w:rsidR="00FD57F2" w:rsidRPr="00D46647" w:rsidRDefault="00FD57F2" w:rsidP="00FD57F2">
      <w:pPr>
        <w:rPr>
          <w:bCs/>
          <w:sz w:val="20"/>
        </w:rPr>
      </w:pPr>
    </w:p>
    <w:p w14:paraId="732F421A" w14:textId="77777777" w:rsidR="00FD57F2" w:rsidRPr="00D46647" w:rsidRDefault="00FD57F2" w:rsidP="00FD57F2">
      <w:pPr>
        <w:rPr>
          <w:bCs/>
          <w:sz w:val="20"/>
        </w:rPr>
      </w:pPr>
    </w:p>
    <w:p w14:paraId="7707C7BE" w14:textId="77777777" w:rsidR="00FD57F2" w:rsidRPr="00D46647" w:rsidRDefault="00FD57F2" w:rsidP="00FD57F2">
      <w:pPr>
        <w:rPr>
          <w:bCs/>
          <w:sz w:val="20"/>
        </w:rPr>
      </w:pPr>
      <w:r w:rsidRPr="00D46647">
        <w:rPr>
          <w:sz w:val="20"/>
        </w:rPr>
        <w:t>OBJECTIFS, PORTÉE ET APPROCHE – GÉNÉRALITÉS</w:t>
      </w:r>
    </w:p>
    <w:p w14:paraId="0086BE3C" w14:textId="77777777" w:rsidR="00FD57F2" w:rsidRPr="00D46647" w:rsidRDefault="00FD57F2" w:rsidP="00FD57F2">
      <w:pPr>
        <w:rPr>
          <w:bCs/>
          <w:sz w:val="20"/>
        </w:rPr>
      </w:pPr>
    </w:p>
    <w:p w14:paraId="4C3CC12A" w14:textId="77777777" w:rsidR="00FD57F2" w:rsidRPr="00D46647" w:rsidRDefault="00FD57F2" w:rsidP="002C58CD">
      <w:pPr>
        <w:pStyle w:val="ONUME"/>
        <w:numPr>
          <w:ilvl w:val="0"/>
          <w:numId w:val="67"/>
        </w:numPr>
        <w:tabs>
          <w:tab w:val="left" w:pos="567"/>
        </w:tabs>
        <w:ind w:left="0" w:firstLine="0"/>
        <w:jc w:val="both"/>
        <w:rPr>
          <w:sz w:val="20"/>
        </w:rPr>
      </w:pPr>
      <w:r w:rsidRPr="00D46647">
        <w:rPr>
          <w:sz w:val="20"/>
        </w:rPr>
        <w:t>Ce projet vise à établir un répertoire central pour stocker les documents de l’Organisation.  Cela nous permettra de travailler ensemble (collaborer) à la création des documents et de rechercher et trouver plus facilement l’information, ainsi que de faire le lien entre les documents et les transactions consignées dans le système ERP si nécessaire.</w:t>
      </w:r>
    </w:p>
    <w:p w14:paraId="51CB3908" w14:textId="77777777" w:rsidR="00FD57F2" w:rsidRPr="00D46647" w:rsidRDefault="00FD57F2" w:rsidP="002C58CD">
      <w:pPr>
        <w:pStyle w:val="ONUME"/>
        <w:numPr>
          <w:ilvl w:val="0"/>
          <w:numId w:val="67"/>
        </w:numPr>
        <w:tabs>
          <w:tab w:val="left" w:pos="567"/>
        </w:tabs>
        <w:ind w:left="0" w:firstLine="0"/>
        <w:jc w:val="both"/>
        <w:rPr>
          <w:iCs/>
          <w:sz w:val="20"/>
        </w:rPr>
      </w:pPr>
      <w:r w:rsidRPr="00D46647">
        <w:rPr>
          <w:sz w:val="20"/>
        </w:rPr>
        <w:t>Lors de la phase de planification du projet relatif au système de gestion des contenus de l’Organisation, des modifications ont été proposées quant à l’approche et la portée tout en maintenant les objectifs initiaux.  Ces modifications de l’approche et de la portée permettent de continuer à accroître les chances de réussite des changements organisationnels et des éléments de mise en œuvre technique du système de gestion des contenus de l’Organisation.  L’approche révisée se fonde sur une mise en œuvre progressive avec un certain nombre de “gains prometteurs” (détaillées par la suite), où les avantages pour l’Organisation seront réalisés par des secteurs organisationnels spécifiques, grâce à l’automatisation d’un certain nombre de leurs processus axés sur les documents, avant le déploiement du système de gestion des contenus au niveau de l’Organisation.</w:t>
      </w:r>
    </w:p>
    <w:p w14:paraId="7C57C5DD" w14:textId="77777777" w:rsidR="00FD57F2" w:rsidRPr="00D46647" w:rsidRDefault="00FD57F2" w:rsidP="002C58CD">
      <w:pPr>
        <w:pStyle w:val="ONUME"/>
        <w:numPr>
          <w:ilvl w:val="0"/>
          <w:numId w:val="67"/>
        </w:numPr>
        <w:tabs>
          <w:tab w:val="left" w:pos="567"/>
        </w:tabs>
        <w:ind w:left="0" w:firstLine="0"/>
        <w:jc w:val="both"/>
        <w:rPr>
          <w:iCs/>
          <w:sz w:val="20"/>
        </w:rPr>
      </w:pPr>
      <w:r w:rsidRPr="00D46647">
        <w:rPr>
          <w:sz w:val="20"/>
        </w:rPr>
        <w:t>Les objectifs du système de gestion des contenus sont les suivants :</w:t>
      </w:r>
    </w:p>
    <w:p w14:paraId="4E4EA6F2"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la mise en œuvre d’un système à l’échelle de l’Organisation pour le stockage, la récupération et la gestion des documents, dossiers et archives de l’OMPI (l’application du système de gestion des contenus);</w:t>
      </w:r>
    </w:p>
    <w:p w14:paraId="3A676EE7"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la mise en œuvre de configurations spécifiques aux processus du système de gestion des contenus à l’intérieur même de l’application du système de gestion des contenus en vue de soutenir les processus de l’Organisation riches en contenus.  Ces processus peuvent être spécifiques à un secteur ou concerner l’ensemble de l’Organisation;</w:t>
      </w:r>
    </w:p>
    <w:p w14:paraId="2D16575B"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l’intégration, le cas échéant, avec les sous-composantes du système de planification des ressources, afin de permettre l’association du contenu d’appui (figurant dans le système de gestion des contenus) avec les dossiers relatifs aux transactions (figurant dans le système de planification des ressources) lorsque les processus organisationnels mis en œuvre dans le système de planification des ressources l’exigent;</w:t>
      </w:r>
    </w:p>
    <w:p w14:paraId="4D2203D1"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l’application du système de gestion des contenus et l’infrastructure d’appui seront hébergées et gérées de manière à répondre aux objectifs de disponibilité et de sécurité des services d’un tel système en fonction de leur importance pour l’Organisation;</w:t>
      </w:r>
    </w:p>
    <w:p w14:paraId="2CF946E3"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la mise en œuvre des éléments relatifs aux dossiers et archives de l’application du système de gestion des contenus et des processus d’appui seront conformes à la politique de gestion des documents et d’archivage des dossiers de l’OMPI (ordre de service 15/2013);</w:t>
      </w:r>
    </w:p>
    <w:p w14:paraId="722143C2"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les utilisateurs finaux seront formés à l’utilisation du système, ainsi qu’aux processus et procédures afin d’assurer une conformité opérationnelle permanente à l’ordre de service 15/2013 de l’OMPI (processus du système de gestion des contenus);</w:t>
      </w:r>
    </w:p>
    <w:p w14:paraId="01316CC1"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le système mettra en œuvre des contrôles de sécurité suffisants pour respecter la conformité aux politiques de sécurité de l’OMPI;  et</w:t>
      </w:r>
    </w:p>
    <w:p w14:paraId="6025E494" w14:textId="77777777" w:rsidR="00FD57F2" w:rsidRPr="00D46647" w:rsidRDefault="00FD57F2" w:rsidP="002C58CD">
      <w:pPr>
        <w:pStyle w:val="ListParagraph"/>
        <w:numPr>
          <w:ilvl w:val="0"/>
          <w:numId w:val="64"/>
        </w:numPr>
        <w:ind w:left="1134" w:hanging="567"/>
        <w:jc w:val="both"/>
        <w:rPr>
          <w:rFonts w:ascii="Arial" w:hAnsi="Arial" w:cs="Arial"/>
          <w:sz w:val="20"/>
          <w:szCs w:val="20"/>
        </w:rPr>
      </w:pPr>
      <w:r w:rsidRPr="00D46647">
        <w:rPr>
          <w:rFonts w:ascii="Arial" w:hAnsi="Arial" w:cs="Arial"/>
          <w:sz w:val="20"/>
          <w:szCs w:val="20"/>
        </w:rPr>
        <w:t>la conception, l’acquisition de licence, la mise en œuvre, la configuration de base, les configurations spécifiques aux différents “gains prometteurs” du projet, les capacités du système de gestion des contenus à l’échelle de l’Organisation tout entière, la formation des utilisateurs et le fonctionnement optimal de la transition de l’application du système de gestion des contenus seront délivrés dans les limites du budget affecté au projet au titre du Plan-cadre d’équipement (voir le document WO/PBC/21/18 du 31 juillet 2013).</w:t>
      </w:r>
    </w:p>
    <w:p w14:paraId="28BEF203" w14:textId="77777777" w:rsidR="00FD57F2" w:rsidRPr="00D46647" w:rsidRDefault="00FD57F2" w:rsidP="00FD57F2">
      <w:pPr>
        <w:contextualSpacing/>
        <w:jc w:val="both"/>
        <w:rPr>
          <w:sz w:val="20"/>
        </w:rPr>
      </w:pPr>
    </w:p>
    <w:p w14:paraId="40571FC7" w14:textId="77777777" w:rsidR="00FD57F2" w:rsidRPr="00D46647" w:rsidRDefault="00FD57F2" w:rsidP="002C58CD">
      <w:pPr>
        <w:pStyle w:val="ONUME"/>
        <w:numPr>
          <w:ilvl w:val="0"/>
          <w:numId w:val="67"/>
        </w:numPr>
        <w:tabs>
          <w:tab w:val="left" w:pos="567"/>
        </w:tabs>
        <w:ind w:left="0" w:firstLine="0"/>
        <w:jc w:val="both"/>
        <w:rPr>
          <w:sz w:val="20"/>
        </w:rPr>
      </w:pPr>
      <w:r w:rsidRPr="00D46647">
        <w:rPr>
          <w:sz w:val="20"/>
        </w:rPr>
        <w:t>Le projet sera divisé en un certain nombre de phases ou de sous-projets, chacun(e) apportant un ensemble d’avantages opérationnels dans un ou plusieurs domaines.  Chaque sous-projet inclura :</w:t>
      </w:r>
    </w:p>
    <w:p w14:paraId="696AE218"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l’analyse de l’Organisation requise afin de spécifier le processus opérationnel que la solution du système de gestion des contenus viendra appuyer;</w:t>
      </w:r>
    </w:p>
    <w:p w14:paraId="44709387"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l’identification et la documentation des interfaces vers les systèmes existants, y compris le système de planification des ressources, le cas échéant;</w:t>
      </w:r>
    </w:p>
    <w:p w14:paraId="2DD86F98"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la conception de la configuration du système de gestion des contenus reposant sur les processus de l’Organisation;</w:t>
      </w:r>
    </w:p>
    <w:p w14:paraId="633DF3FB"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la mise en œuvre de la configuration du système de gestion des contenus pour appuyer les processus de l’Organisation;</w:t>
      </w:r>
    </w:p>
    <w:p w14:paraId="5AC5D540" w14:textId="77777777" w:rsidR="00FD57F2" w:rsidRPr="00D46647" w:rsidRDefault="00FD57F2" w:rsidP="002C58CD">
      <w:pPr>
        <w:pStyle w:val="ListParagraph"/>
        <w:numPr>
          <w:ilvl w:val="0"/>
          <w:numId w:val="64"/>
        </w:numPr>
        <w:spacing w:after="120"/>
        <w:ind w:left="1134" w:hanging="567"/>
        <w:contextualSpacing w:val="0"/>
        <w:jc w:val="both"/>
        <w:rPr>
          <w:rFonts w:ascii="Arial" w:hAnsi="Arial" w:cs="Arial"/>
          <w:sz w:val="20"/>
          <w:szCs w:val="20"/>
        </w:rPr>
      </w:pPr>
      <w:r w:rsidRPr="00D46647">
        <w:rPr>
          <w:rFonts w:ascii="Arial" w:hAnsi="Arial" w:cs="Arial"/>
          <w:sz w:val="20"/>
          <w:szCs w:val="20"/>
        </w:rPr>
        <w:t>l’essai du système et les tests d’acceptation par les utilisateurs de la configuration du système de gestion des contenus pour appuyer les processus de l’Organisation;  et</w:t>
      </w:r>
    </w:p>
    <w:p w14:paraId="7292D5C2" w14:textId="77777777" w:rsidR="00FD57F2" w:rsidRPr="00D46647" w:rsidRDefault="00FD57F2" w:rsidP="002C58CD">
      <w:pPr>
        <w:pStyle w:val="ListParagraph"/>
        <w:numPr>
          <w:ilvl w:val="0"/>
          <w:numId w:val="64"/>
        </w:numPr>
        <w:ind w:left="1134" w:hanging="567"/>
        <w:jc w:val="both"/>
        <w:rPr>
          <w:rFonts w:ascii="Arial" w:hAnsi="Arial" w:cs="Arial"/>
          <w:sz w:val="20"/>
          <w:szCs w:val="20"/>
        </w:rPr>
      </w:pPr>
      <w:r w:rsidRPr="00D46647">
        <w:rPr>
          <w:rFonts w:ascii="Arial" w:hAnsi="Arial" w:cs="Arial"/>
          <w:sz w:val="20"/>
          <w:szCs w:val="20"/>
        </w:rPr>
        <w:t>la formation des utilisateurs finaux sur la configuration du système de gestion des processus spécifiques aux processus de l’Organisation.</w:t>
      </w:r>
    </w:p>
    <w:p w14:paraId="061F67B2" w14:textId="77777777" w:rsidR="00FD57F2" w:rsidRPr="00D46647" w:rsidRDefault="00FD57F2" w:rsidP="00FD57F2">
      <w:pPr>
        <w:contextualSpacing/>
        <w:jc w:val="both"/>
        <w:rPr>
          <w:sz w:val="20"/>
        </w:rPr>
      </w:pPr>
    </w:p>
    <w:p w14:paraId="7DD9C0A5" w14:textId="77777777" w:rsidR="00FD57F2" w:rsidRPr="00D46647" w:rsidRDefault="00FD57F2" w:rsidP="002C58CD">
      <w:pPr>
        <w:pStyle w:val="ONUME"/>
        <w:numPr>
          <w:ilvl w:val="0"/>
          <w:numId w:val="67"/>
        </w:numPr>
        <w:tabs>
          <w:tab w:val="left" w:pos="567"/>
        </w:tabs>
        <w:ind w:left="0" w:firstLine="0"/>
        <w:jc w:val="both"/>
        <w:rPr>
          <w:sz w:val="20"/>
        </w:rPr>
      </w:pPr>
      <w:r w:rsidRPr="00D46647">
        <w:rPr>
          <w:sz w:val="20"/>
        </w:rPr>
        <w:t>Les sous-projets recensés actuellement sont, par ordre de mise en œuvre</w:t>
      </w:r>
      <w:r w:rsidRPr="00D46647">
        <w:rPr>
          <w:rStyle w:val="FootnoteReference"/>
          <w:rFonts w:eastAsia="SimSun" w:cs="Arial"/>
          <w:sz w:val="20"/>
          <w:lang w:eastAsia="zh-CN"/>
        </w:rPr>
        <w:footnoteReference w:id="116"/>
      </w:r>
      <w:r w:rsidRPr="00D46647">
        <w:rPr>
          <w:sz w:val="20"/>
        </w:rPr>
        <w:t> :</w:t>
      </w:r>
    </w:p>
    <w:p w14:paraId="25C087DC" w14:textId="77777777" w:rsidR="00FD57F2" w:rsidRPr="00D46647" w:rsidRDefault="00FD57F2" w:rsidP="00FD57F2">
      <w:pPr>
        <w:ind w:left="567"/>
        <w:contextualSpacing/>
        <w:jc w:val="both"/>
        <w:rPr>
          <w:sz w:val="20"/>
        </w:rPr>
      </w:pPr>
      <w:r w:rsidRPr="00D46647">
        <w:rPr>
          <w:b/>
          <w:sz w:val="20"/>
        </w:rPr>
        <w:t>Dossiers et archives de l’Organisation :</w:t>
      </w:r>
      <w:r w:rsidRPr="00D46647">
        <w:rPr>
          <w:sz w:val="20"/>
        </w:rPr>
        <w:t xml:space="preserve"> un sous-projet visant à améliorer la fonctionnalité du service dédié aux dossiers et aux archives, y compris l’amélioration ou le remplacement de leurs processus de numérisation des documents, ainsi que la mise en œuvre d’un processus d’analyse et de suivi du courrier entrant et sortant (numérisation et flux de travail), et la mise en œuvre de l’archivage par section sur la base de la politique de gestion des dossiers de l’OMPI (gestion des dossiers et des archives).</w:t>
      </w:r>
    </w:p>
    <w:p w14:paraId="6628B772" w14:textId="77777777" w:rsidR="00FD57F2" w:rsidRPr="00D46647" w:rsidRDefault="00FD57F2" w:rsidP="00FD57F2">
      <w:pPr>
        <w:ind w:left="567"/>
        <w:contextualSpacing/>
        <w:jc w:val="both"/>
        <w:rPr>
          <w:sz w:val="20"/>
        </w:rPr>
      </w:pPr>
    </w:p>
    <w:p w14:paraId="431276EB" w14:textId="77777777" w:rsidR="00FD57F2" w:rsidRPr="00D46647" w:rsidRDefault="00FD57F2" w:rsidP="00FD57F2">
      <w:pPr>
        <w:ind w:left="567"/>
        <w:contextualSpacing/>
        <w:jc w:val="both"/>
        <w:rPr>
          <w:sz w:val="20"/>
        </w:rPr>
      </w:pPr>
      <w:r w:rsidRPr="00D46647">
        <w:rPr>
          <w:b/>
          <w:sz w:val="20"/>
        </w:rPr>
        <w:t>Demande de traduction :</w:t>
      </w:r>
      <w:r w:rsidRPr="00D46647">
        <w:rPr>
          <w:sz w:val="20"/>
        </w:rPr>
        <w:t xml:space="preserve"> l’automatisation d’un flux de travail basé sur un document avec suivi et reddition de comptes, pour l’affectation de documents à traduire par la Division linguistique.</w:t>
      </w:r>
    </w:p>
    <w:p w14:paraId="3668DB6E" w14:textId="77777777" w:rsidR="00FD57F2" w:rsidRPr="00D46647" w:rsidRDefault="00FD57F2" w:rsidP="00FD57F2">
      <w:pPr>
        <w:ind w:left="567"/>
        <w:contextualSpacing/>
        <w:jc w:val="both"/>
        <w:rPr>
          <w:sz w:val="20"/>
        </w:rPr>
      </w:pPr>
    </w:p>
    <w:p w14:paraId="6FB6DE6E" w14:textId="77777777" w:rsidR="00FD57F2" w:rsidRPr="00D46647" w:rsidRDefault="00FD57F2" w:rsidP="00FD57F2">
      <w:pPr>
        <w:ind w:left="567"/>
        <w:contextualSpacing/>
        <w:jc w:val="both"/>
        <w:rPr>
          <w:sz w:val="20"/>
        </w:rPr>
      </w:pPr>
      <w:r w:rsidRPr="00D46647">
        <w:rPr>
          <w:b/>
          <w:sz w:val="20"/>
        </w:rPr>
        <w:t>Rapports de mission :</w:t>
      </w:r>
      <w:r w:rsidRPr="00D46647">
        <w:rPr>
          <w:sz w:val="20"/>
        </w:rPr>
        <w:t xml:space="preserve"> la gestion de la création des rapports de mission (gestion de documents), les processus de révision et de publication du rapport de mission (flux de travail) et la recherche des rapports de mission antérieurs (recherche) sur la base de la catégorisation (sites, personnel, thèmes et organisations visitées).</w:t>
      </w:r>
    </w:p>
    <w:p w14:paraId="55800923" w14:textId="77777777" w:rsidR="00FD57F2" w:rsidRPr="00D46647" w:rsidRDefault="00FD57F2" w:rsidP="00FD57F2">
      <w:pPr>
        <w:ind w:left="567"/>
        <w:contextualSpacing/>
        <w:jc w:val="both"/>
        <w:rPr>
          <w:sz w:val="20"/>
        </w:rPr>
      </w:pPr>
    </w:p>
    <w:p w14:paraId="2BEB6233" w14:textId="77777777" w:rsidR="00FD57F2" w:rsidRPr="00D46647" w:rsidRDefault="00FD57F2" w:rsidP="00FD57F2">
      <w:pPr>
        <w:ind w:left="567"/>
        <w:contextualSpacing/>
        <w:jc w:val="both"/>
        <w:rPr>
          <w:sz w:val="20"/>
        </w:rPr>
      </w:pPr>
      <w:r w:rsidRPr="00D46647">
        <w:rPr>
          <w:b/>
          <w:sz w:val="20"/>
        </w:rPr>
        <w:t>Système de gestion des fournisseurs et des contrats :</w:t>
      </w:r>
      <w:r w:rsidRPr="00D46647">
        <w:rPr>
          <w:sz w:val="20"/>
        </w:rPr>
        <w:t xml:space="preserve"> un “projet aux gains prometteurs” visant à mettre en œuvre une solution ou des processus destinés à gérer les informations relatives aux contrats, permettant la création de documents contractuels (gestion des documents), le stockage des documents relatifs à un contrat (gestion des dossiers), la reddition de comptes et la notification des manifestations pendant le cycle de vie du contrat (flux de travail et gestion des dossiers) ainsi que la recherche par contrat (recherche).</w:t>
      </w:r>
    </w:p>
    <w:p w14:paraId="00231A3E" w14:textId="77777777" w:rsidR="00FD57F2" w:rsidRPr="00D46647" w:rsidRDefault="00FD57F2" w:rsidP="00FD57F2">
      <w:pPr>
        <w:ind w:left="567"/>
        <w:contextualSpacing/>
        <w:jc w:val="both"/>
        <w:rPr>
          <w:sz w:val="20"/>
        </w:rPr>
      </w:pPr>
    </w:p>
    <w:p w14:paraId="5DB27C96" w14:textId="77777777" w:rsidR="00FD57F2" w:rsidRPr="00D46647" w:rsidRDefault="00FD57F2" w:rsidP="00FD57F2">
      <w:pPr>
        <w:ind w:left="567"/>
        <w:contextualSpacing/>
        <w:jc w:val="both"/>
        <w:rPr>
          <w:sz w:val="20"/>
        </w:rPr>
      </w:pPr>
      <w:r w:rsidRPr="00D46647">
        <w:rPr>
          <w:b/>
          <w:sz w:val="20"/>
        </w:rPr>
        <w:t>Courrier reçu par le cabinet du Directeur général :</w:t>
      </w:r>
      <w:r w:rsidRPr="00D46647">
        <w:rPr>
          <w:sz w:val="20"/>
        </w:rPr>
        <w:t xml:space="preserve"> la numérisation et le flux d’analyses du courrier reçu par le cabinet du Directeur général, avec les liens vers la réponse qui en découle, le suivi des progrès accomplis afin de s’assurer que la réponse est achevée et envoyée dans les délais appropriés.</w:t>
      </w:r>
    </w:p>
    <w:p w14:paraId="23626BF3" w14:textId="77777777" w:rsidR="00FD57F2" w:rsidRPr="00D46647" w:rsidRDefault="00FD57F2" w:rsidP="00FD57F2">
      <w:pPr>
        <w:ind w:left="567"/>
        <w:contextualSpacing/>
        <w:jc w:val="both"/>
        <w:rPr>
          <w:sz w:val="20"/>
        </w:rPr>
      </w:pPr>
    </w:p>
    <w:p w14:paraId="11D408E5" w14:textId="77777777" w:rsidR="00FD57F2" w:rsidRPr="00D46647" w:rsidRDefault="00FD57F2" w:rsidP="00FD57F2">
      <w:pPr>
        <w:ind w:left="567"/>
        <w:contextualSpacing/>
        <w:jc w:val="both"/>
        <w:rPr>
          <w:sz w:val="20"/>
        </w:rPr>
      </w:pPr>
      <w:r w:rsidRPr="00D46647">
        <w:rPr>
          <w:b/>
          <w:sz w:val="20"/>
        </w:rPr>
        <w:t>Ressources humaines (Dossier électronique du personnel) :</w:t>
      </w:r>
      <w:r w:rsidRPr="00D46647">
        <w:rPr>
          <w:sz w:val="20"/>
        </w:rPr>
        <w:t xml:space="preserve"> la création de dossiers des ressources humaines sécurisés pour chaque employé devant contenir les documents et dossiers électroniques de l’employé concerné, ainsi que la version numérisée des dossiers existants sur support papier (imagerie et numérisation).  Le personnel du DGRH aura la faculté d’effectuer des recherches dans les dossiers électroniques afin de recenser et de récupérer tous les fichiers nécessaires (recherche).</w:t>
      </w:r>
    </w:p>
    <w:p w14:paraId="0E65F4D6" w14:textId="77777777" w:rsidR="00FD57F2" w:rsidRPr="00D46647" w:rsidRDefault="00FD57F2" w:rsidP="00FD57F2">
      <w:pPr>
        <w:ind w:left="567"/>
        <w:contextualSpacing/>
        <w:jc w:val="both"/>
        <w:rPr>
          <w:sz w:val="20"/>
        </w:rPr>
      </w:pPr>
    </w:p>
    <w:p w14:paraId="786E7FB1" w14:textId="77777777" w:rsidR="00FD57F2" w:rsidRPr="00D46647" w:rsidRDefault="00FD57F2" w:rsidP="00FD57F2">
      <w:pPr>
        <w:ind w:left="567"/>
        <w:contextualSpacing/>
        <w:jc w:val="both"/>
        <w:rPr>
          <w:sz w:val="20"/>
        </w:rPr>
      </w:pPr>
      <w:r w:rsidRPr="00D46647">
        <w:rPr>
          <w:b/>
          <w:sz w:val="20"/>
        </w:rPr>
        <w:t>Accès au système de gestion des contenus dans toute l’Organisation :</w:t>
      </w:r>
      <w:r w:rsidRPr="00D46647">
        <w:rPr>
          <w:sz w:val="20"/>
        </w:rPr>
        <w:t xml:space="preserve"> l’intégration du système de gestion des contenus sur les ordinateurs standard utilisés au sein de l’OMPI permettant ainsi à tous les utilisateurs de l’OMPI de s’impliquer dans la gestion des documents (stockage, catégorisation, recherche et récupération, vérification de la version) portant sur un contenu créé par des utilisateurs, des services et l’Organisation.  Le contenu comprendra le contenu créé sur les ordinateurs des utilisateurs ainsi que les fichiers de traitement de texte (par exemple, les documents Microsoft Word et PDF), les feuilles de calcul (par exemple Microsoft Excel), les présentations (par exemple Microsoft PowerPoint), les diagrammes (par exemple Microsoft Visio), les plans de projets (par exemple Microsoft Project), les courriers électroniques.</w:t>
      </w:r>
    </w:p>
    <w:p w14:paraId="4225B438" w14:textId="77777777" w:rsidR="00FD57F2" w:rsidRPr="00D46647" w:rsidRDefault="00FD57F2" w:rsidP="00FD57F2">
      <w:pPr>
        <w:rPr>
          <w:bCs/>
          <w:sz w:val="20"/>
        </w:rPr>
      </w:pPr>
    </w:p>
    <w:p w14:paraId="3B7F990B" w14:textId="77777777" w:rsidR="00FD57F2" w:rsidRPr="00D46647" w:rsidRDefault="00FD57F2" w:rsidP="00FD57F2">
      <w:pPr>
        <w:rPr>
          <w:bCs/>
          <w:sz w:val="20"/>
        </w:rPr>
      </w:pPr>
    </w:p>
    <w:p w14:paraId="291F0687" w14:textId="77777777" w:rsidR="00FD57F2" w:rsidRPr="00D46647" w:rsidRDefault="00FD57F2" w:rsidP="00FD57F2">
      <w:pPr>
        <w:rPr>
          <w:bCs/>
          <w:sz w:val="20"/>
        </w:rPr>
      </w:pPr>
      <w:r w:rsidRPr="00D46647">
        <w:rPr>
          <w:sz w:val="20"/>
        </w:rPr>
        <w:t>APERÇU DES PROGRÈS RÉALISÉS EN 2016 (PRINCIPALES ÉTAPES)</w:t>
      </w:r>
    </w:p>
    <w:p w14:paraId="264A201E" w14:textId="77777777" w:rsidR="00FD57F2" w:rsidRPr="00D46647" w:rsidRDefault="00FD57F2" w:rsidP="00FD57F2">
      <w:pPr>
        <w:rPr>
          <w:bCs/>
          <w:sz w:val="20"/>
        </w:rPr>
      </w:pPr>
    </w:p>
    <w:p w14:paraId="04BEE5C9" w14:textId="77777777" w:rsidR="00FD57F2" w:rsidRPr="00D46647" w:rsidRDefault="00FD57F2" w:rsidP="002C58CD">
      <w:pPr>
        <w:pStyle w:val="ONUME"/>
        <w:numPr>
          <w:ilvl w:val="0"/>
          <w:numId w:val="67"/>
        </w:numPr>
        <w:tabs>
          <w:tab w:val="left" w:pos="567"/>
        </w:tabs>
        <w:spacing w:after="0"/>
        <w:ind w:left="0" w:firstLine="0"/>
        <w:jc w:val="both"/>
        <w:rPr>
          <w:bCs/>
          <w:sz w:val="20"/>
        </w:rPr>
      </w:pPr>
      <w:r w:rsidRPr="00D46647">
        <w:rPr>
          <w:bCs/>
          <w:sz w:val="20"/>
        </w:rPr>
        <w:t>En 2016, les progrès suivants ont été accomplis :</w:t>
      </w:r>
    </w:p>
    <w:p w14:paraId="2A81FD0E" w14:textId="77777777" w:rsidR="00FD57F2" w:rsidRPr="00D46647" w:rsidRDefault="00FD57F2" w:rsidP="00FD57F2">
      <w:pPr>
        <w:tabs>
          <w:tab w:val="left" w:pos="993"/>
        </w:tabs>
        <w:ind w:left="993" w:hanging="426"/>
        <w:rPr>
          <w:bCs/>
          <w:sz w:val="20"/>
        </w:rPr>
      </w:pPr>
    </w:p>
    <w:p w14:paraId="57D5BBEE" w14:textId="77777777" w:rsidR="00FD57F2" w:rsidRPr="00D46647" w:rsidRDefault="00FD57F2" w:rsidP="002C58CD">
      <w:pPr>
        <w:pStyle w:val="ListParagraph"/>
        <w:numPr>
          <w:ilvl w:val="0"/>
          <w:numId w:val="77"/>
        </w:numPr>
        <w:spacing w:after="220"/>
        <w:contextualSpacing w:val="0"/>
        <w:jc w:val="both"/>
        <w:rPr>
          <w:rFonts w:ascii="Arial" w:hAnsi="Arial" w:cs="Arial"/>
          <w:bCs/>
          <w:sz w:val="20"/>
          <w:szCs w:val="20"/>
        </w:rPr>
      </w:pPr>
      <w:r w:rsidRPr="00D46647">
        <w:rPr>
          <w:rFonts w:ascii="Arial" w:hAnsi="Arial" w:cs="Arial"/>
          <w:color w:val="222222"/>
          <w:sz w:val="20"/>
          <w:szCs w:val="20"/>
        </w:rPr>
        <w:t>Achèvement des activités menées par les Achats en ce qui concerne l’appel à propositions (RFP) visant la désignation d’un fournisseur qui sera chargé de la fourniture de services de conception, de configuration, de mise en œuvre et de support.  Le RFP a été lancé au premier trimestre</w:t>
      </w:r>
      <w:r w:rsidRPr="00D46647">
        <w:rPr>
          <w:rFonts w:ascii="Arial" w:hAnsi="Arial" w:cs="Arial"/>
          <w:sz w:val="20"/>
          <w:szCs w:val="20"/>
        </w:rPr>
        <w:t> 2016,</w:t>
      </w:r>
      <w:r w:rsidRPr="00D46647">
        <w:rPr>
          <w:rFonts w:ascii="Arial" w:hAnsi="Arial" w:cs="Arial"/>
          <w:color w:val="222222"/>
          <w:sz w:val="20"/>
          <w:szCs w:val="20"/>
        </w:rPr>
        <w:t xml:space="preserve"> et le fournisseur sélectionné à l’issue du RFP s’est vu attribuer le contrat en juillet 2016</w:t>
      </w:r>
      <w:r w:rsidRPr="00D46647">
        <w:rPr>
          <w:rFonts w:ascii="Arial" w:hAnsi="Arial" w:cs="Arial"/>
          <w:bCs/>
          <w:sz w:val="20"/>
          <w:szCs w:val="20"/>
        </w:rPr>
        <w:t>;</w:t>
      </w:r>
    </w:p>
    <w:p w14:paraId="3D977BFE" w14:textId="77777777" w:rsidR="00FD57F2" w:rsidRPr="00D46647" w:rsidRDefault="00FD57F2" w:rsidP="002C58CD">
      <w:pPr>
        <w:pStyle w:val="ListParagraph"/>
        <w:numPr>
          <w:ilvl w:val="0"/>
          <w:numId w:val="77"/>
        </w:numPr>
        <w:spacing w:after="220"/>
        <w:contextualSpacing w:val="0"/>
        <w:jc w:val="both"/>
        <w:rPr>
          <w:rFonts w:ascii="Arial" w:hAnsi="Arial" w:cs="Arial"/>
          <w:bCs/>
          <w:sz w:val="20"/>
          <w:szCs w:val="20"/>
        </w:rPr>
      </w:pPr>
      <w:r w:rsidRPr="00D46647">
        <w:rPr>
          <w:rFonts w:ascii="Arial" w:hAnsi="Arial" w:cs="Arial"/>
          <w:color w:val="222222"/>
          <w:sz w:val="20"/>
          <w:szCs w:val="20"/>
        </w:rPr>
        <w:t>Sélection et nomination du chef de projet “système de gestion des contenus de l’Organisation” en mars 2016</w:t>
      </w:r>
      <w:r w:rsidRPr="00D46647">
        <w:rPr>
          <w:rFonts w:ascii="Arial" w:hAnsi="Arial" w:cs="Arial"/>
          <w:bCs/>
          <w:sz w:val="20"/>
          <w:szCs w:val="20"/>
        </w:rPr>
        <w:t>;</w:t>
      </w:r>
    </w:p>
    <w:p w14:paraId="777C93A4" w14:textId="77777777" w:rsidR="00FD57F2" w:rsidRPr="00D46647" w:rsidRDefault="00FD57F2" w:rsidP="002C58CD">
      <w:pPr>
        <w:pStyle w:val="ListParagraph"/>
        <w:numPr>
          <w:ilvl w:val="0"/>
          <w:numId w:val="77"/>
        </w:numPr>
        <w:spacing w:after="220"/>
        <w:contextualSpacing w:val="0"/>
        <w:jc w:val="both"/>
        <w:rPr>
          <w:rFonts w:ascii="Arial" w:hAnsi="Arial" w:cs="Arial"/>
          <w:bCs/>
          <w:sz w:val="20"/>
          <w:szCs w:val="20"/>
        </w:rPr>
      </w:pPr>
      <w:r w:rsidRPr="00D46647">
        <w:rPr>
          <w:rFonts w:ascii="Arial" w:hAnsi="Arial" w:cs="Arial"/>
          <w:color w:val="222222"/>
          <w:sz w:val="20"/>
          <w:szCs w:val="20"/>
        </w:rPr>
        <w:t>Achèvement de la planification détaillée du cahier des charges, de la conception et de la mise en œuvre du système de gestion des contenus de l’Organisation avec le fournisseur désigné, ce qui a entraîné une légère redéfinition des priorités en ce qui concerne les “projets aux gains prometteurs”</w:t>
      </w:r>
      <w:r w:rsidRPr="00D46647">
        <w:rPr>
          <w:rFonts w:ascii="Arial" w:hAnsi="Arial" w:cs="Arial"/>
          <w:bCs/>
          <w:sz w:val="20"/>
          <w:szCs w:val="20"/>
        </w:rPr>
        <w:t>;</w:t>
      </w:r>
    </w:p>
    <w:p w14:paraId="0138E8A7" w14:textId="77777777" w:rsidR="00FD57F2" w:rsidRPr="00D46647" w:rsidRDefault="00FD57F2" w:rsidP="002C58CD">
      <w:pPr>
        <w:pStyle w:val="ListParagraph"/>
        <w:numPr>
          <w:ilvl w:val="0"/>
          <w:numId w:val="77"/>
        </w:numPr>
        <w:spacing w:after="220"/>
        <w:contextualSpacing w:val="0"/>
        <w:jc w:val="both"/>
        <w:rPr>
          <w:rFonts w:ascii="Arial" w:hAnsi="Arial" w:cs="Arial"/>
          <w:sz w:val="20"/>
          <w:szCs w:val="20"/>
        </w:rPr>
      </w:pPr>
      <w:r w:rsidRPr="00D46647">
        <w:rPr>
          <w:rFonts w:ascii="Arial" w:hAnsi="Arial" w:cs="Arial"/>
          <w:color w:val="222222"/>
          <w:sz w:val="20"/>
          <w:szCs w:val="20"/>
        </w:rPr>
        <w:t>Livraison du cahier des charges et de la conception des environnements de recette et de production en octobre 2016, et déploiement de l’infrastructure TIC du système de gestion des contenus de l’Organisation créée en novembre 2016</w:t>
      </w:r>
      <w:r w:rsidRPr="00D46647">
        <w:rPr>
          <w:rFonts w:ascii="Arial" w:hAnsi="Arial" w:cs="Arial"/>
          <w:bCs/>
          <w:sz w:val="20"/>
          <w:szCs w:val="20"/>
        </w:rPr>
        <w:t>.</w:t>
      </w:r>
    </w:p>
    <w:p w14:paraId="7F41FBB2" w14:textId="77777777" w:rsidR="00FD57F2" w:rsidRPr="00D46647" w:rsidRDefault="00FD57F2" w:rsidP="00FD57F2">
      <w:pPr>
        <w:jc w:val="both"/>
        <w:rPr>
          <w:bCs/>
          <w:sz w:val="20"/>
        </w:rPr>
      </w:pPr>
      <w:r w:rsidRPr="00D46647">
        <w:rPr>
          <w:color w:val="222222"/>
          <w:sz w:val="20"/>
        </w:rPr>
        <w:t>Le processus de sélection et de désignation du fournisseur a pris davantage de temps que prévu, ce qui a entraîné un retard dans l’échéancier du projet.  L’échéancier de concrétisation des avantages et le calendrier du projet ont été mis à jour en conséquence</w:t>
      </w:r>
      <w:r w:rsidRPr="00D46647">
        <w:rPr>
          <w:sz w:val="20"/>
        </w:rPr>
        <w:t>.</w:t>
      </w:r>
    </w:p>
    <w:p w14:paraId="2161E23D" w14:textId="77777777" w:rsidR="00FD57F2" w:rsidRPr="00D46647" w:rsidRDefault="00FD57F2" w:rsidP="00FD57F2">
      <w:pPr>
        <w:jc w:val="both"/>
        <w:rPr>
          <w:sz w:val="20"/>
        </w:rPr>
      </w:pPr>
    </w:p>
    <w:p w14:paraId="433105DE" w14:textId="77777777" w:rsidR="00FD57F2" w:rsidRPr="00D46647" w:rsidRDefault="00FD57F2" w:rsidP="00FD57F2">
      <w:pPr>
        <w:jc w:val="both"/>
        <w:rPr>
          <w:sz w:val="20"/>
        </w:rPr>
      </w:pPr>
    </w:p>
    <w:p w14:paraId="4ABAE8F8" w14:textId="77777777" w:rsidR="00FD57F2" w:rsidRPr="00D46647" w:rsidRDefault="00FD57F2" w:rsidP="00FD57F2">
      <w:pPr>
        <w:rPr>
          <w:sz w:val="20"/>
        </w:rPr>
      </w:pPr>
      <w:r w:rsidRPr="00D46647">
        <w:rPr>
          <w:sz w:val="20"/>
        </w:rPr>
        <w:t>CONCRÉTISATION DES AVANTAGES</w:t>
      </w:r>
    </w:p>
    <w:p w14:paraId="7F884B54" w14:textId="77777777" w:rsidR="00FD57F2" w:rsidRPr="00D46647" w:rsidRDefault="00FD57F2" w:rsidP="00FD57F2">
      <w:pPr>
        <w:rPr>
          <w:sz w:val="20"/>
        </w:rPr>
      </w:pPr>
    </w:p>
    <w:tbl>
      <w:tblPr>
        <w:tblW w:w="43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993"/>
        <w:gridCol w:w="3994"/>
      </w:tblGrid>
      <w:tr w:rsidR="00FD57F2" w:rsidRPr="00D46647" w14:paraId="7EC3EDA4" w14:textId="77777777" w:rsidTr="007E3422">
        <w:trPr>
          <w:tblHeader/>
          <w:jc w:val="center"/>
        </w:trPr>
        <w:tc>
          <w:tcPr>
            <w:tcW w:w="2500" w:type="pct"/>
            <w:shd w:val="clear" w:color="auto" w:fill="C6D9F1" w:themeFill="text2" w:themeFillTint="33"/>
            <w:vAlign w:val="center"/>
          </w:tcPr>
          <w:p w14:paraId="2ABEE288" w14:textId="77777777" w:rsidR="00FD57F2" w:rsidRPr="00D46647" w:rsidRDefault="00FD57F2" w:rsidP="00FD57F2">
            <w:pPr>
              <w:jc w:val="center"/>
              <w:rPr>
                <w:b/>
                <w:bCs/>
                <w:sz w:val="16"/>
                <w:szCs w:val="16"/>
              </w:rPr>
            </w:pPr>
            <w:r w:rsidRPr="00D46647">
              <w:rPr>
                <w:b/>
                <w:bCs/>
                <w:sz w:val="16"/>
                <w:szCs w:val="16"/>
              </w:rPr>
              <w:t>Avantages escomptés en 2017</w:t>
            </w:r>
          </w:p>
        </w:tc>
        <w:tc>
          <w:tcPr>
            <w:tcW w:w="2500" w:type="pct"/>
            <w:shd w:val="clear" w:color="auto" w:fill="C6D9F1" w:themeFill="text2" w:themeFillTint="33"/>
          </w:tcPr>
          <w:p w14:paraId="78054F66" w14:textId="77777777" w:rsidR="00FD57F2" w:rsidRPr="00D46647" w:rsidRDefault="00FD57F2" w:rsidP="00FD57F2">
            <w:pPr>
              <w:jc w:val="center"/>
              <w:rPr>
                <w:b/>
                <w:bCs/>
                <w:sz w:val="16"/>
                <w:szCs w:val="16"/>
              </w:rPr>
            </w:pPr>
            <w:r w:rsidRPr="00D46647">
              <w:rPr>
                <w:b/>
                <w:bCs/>
                <w:sz w:val="16"/>
                <w:szCs w:val="16"/>
              </w:rPr>
              <w:t>Avantages escomptés en 2018</w:t>
            </w:r>
          </w:p>
        </w:tc>
      </w:tr>
      <w:tr w:rsidR="00FD57F2" w:rsidRPr="00D46647" w14:paraId="2D31747E" w14:textId="77777777" w:rsidTr="007E3422">
        <w:trPr>
          <w:jc w:val="center"/>
        </w:trPr>
        <w:tc>
          <w:tcPr>
            <w:tcW w:w="2500" w:type="pct"/>
            <w:shd w:val="clear" w:color="auto" w:fill="auto"/>
            <w:tcMar>
              <w:top w:w="57" w:type="dxa"/>
            </w:tcMar>
          </w:tcPr>
          <w:p w14:paraId="3D80BADE" w14:textId="77777777" w:rsidR="00FD57F2" w:rsidRPr="001303B4" w:rsidRDefault="00FD57F2" w:rsidP="00FD57F2">
            <w:pPr>
              <w:rPr>
                <w:b/>
                <w:bCs/>
                <w:i/>
                <w:iCs/>
                <w:sz w:val="16"/>
                <w:szCs w:val="16"/>
              </w:rPr>
            </w:pPr>
            <w:r w:rsidRPr="00D46647">
              <w:rPr>
                <w:b/>
                <w:bCs/>
                <w:i/>
                <w:iCs/>
                <w:sz w:val="16"/>
                <w:szCs w:val="16"/>
              </w:rPr>
              <w:t>Consécutivement à l’amélioration des processus concernant les dossiers et archives de l’Organisation :</w:t>
            </w:r>
          </w:p>
          <w:p w14:paraId="0E8DAE18" w14:textId="77777777" w:rsidR="00FD57F2" w:rsidRPr="001303B4" w:rsidRDefault="00FD57F2" w:rsidP="00FD57F2">
            <w:pPr>
              <w:rPr>
                <w:sz w:val="16"/>
              </w:rPr>
            </w:pPr>
            <w:r w:rsidRPr="00D46647">
              <w:rPr>
                <w:sz w:val="16"/>
              </w:rPr>
              <w:t>Un “gain prometteur” consisterait à mettre en place des procédures plus efficaces de numérisation des documents, y compris en ce qui concerne la numérisation du courrier entrant, ce qui permettra de réduire le temps devant être consacré par le personnel à ces tâches.</w:t>
            </w:r>
          </w:p>
          <w:p w14:paraId="6C5C8138" w14:textId="77777777" w:rsidR="00FD57F2" w:rsidRPr="001303B4" w:rsidRDefault="00FD57F2" w:rsidP="00FD57F2">
            <w:pPr>
              <w:rPr>
                <w:sz w:val="16"/>
              </w:rPr>
            </w:pPr>
          </w:p>
          <w:p w14:paraId="33D62B85" w14:textId="77777777" w:rsidR="00FD57F2" w:rsidRPr="00D46647" w:rsidRDefault="00FD57F2" w:rsidP="00FD57F2">
            <w:pPr>
              <w:rPr>
                <w:b/>
                <w:bCs/>
                <w:i/>
                <w:iCs/>
                <w:sz w:val="16"/>
                <w:szCs w:val="16"/>
                <w:highlight w:val="yellow"/>
              </w:rPr>
            </w:pPr>
            <w:r w:rsidRPr="00D46647">
              <w:rPr>
                <w:sz w:val="16"/>
              </w:rPr>
              <w:t>Les avantages à plus long terme se concrétiseront à la suite de la mise en œuvre de la configuration du système de gestion des contenus à l’échelle de l’Organisation en 2018.</w:t>
            </w:r>
          </w:p>
        </w:tc>
        <w:tc>
          <w:tcPr>
            <w:tcW w:w="2500" w:type="pct"/>
            <w:tcMar>
              <w:top w:w="57" w:type="dxa"/>
            </w:tcMar>
          </w:tcPr>
          <w:p w14:paraId="3A504FA1" w14:textId="77777777" w:rsidR="00FD57F2" w:rsidRPr="00D46647" w:rsidRDefault="00FD57F2" w:rsidP="00FD57F2">
            <w:pPr>
              <w:rPr>
                <w:b/>
                <w:bCs/>
                <w:i/>
                <w:iCs/>
                <w:sz w:val="16"/>
                <w:szCs w:val="16"/>
              </w:rPr>
            </w:pPr>
            <w:r w:rsidRPr="00D46647">
              <w:rPr>
                <w:b/>
                <w:bCs/>
                <w:i/>
                <w:iCs/>
                <w:sz w:val="16"/>
                <w:szCs w:val="16"/>
              </w:rPr>
              <w:t>Consécutivement au déploiement opérationnel de la configuration du système de gestion des contenus des dossiers électroniques des ressources humaines sur le personnel :</w:t>
            </w:r>
          </w:p>
          <w:p w14:paraId="360BA3D0" w14:textId="77777777" w:rsidR="00FD57F2" w:rsidRPr="00D46647" w:rsidRDefault="00FD57F2" w:rsidP="00FD57F2">
            <w:pPr>
              <w:contextualSpacing/>
              <w:rPr>
                <w:sz w:val="16"/>
              </w:rPr>
            </w:pPr>
            <w:r w:rsidRPr="00D46647">
              <w:rPr>
                <w:sz w:val="16"/>
              </w:rPr>
              <w:t>Le Département de la gestion des ressources humaines disposera d’un répertoire unique pour le stockage des documents relatifs au personnel, englobant les anciens documents, qui seront numérisés, ainsi que la saisie des documents nouvellement créés.  Cela entraînera :</w:t>
            </w:r>
          </w:p>
          <w:p w14:paraId="7798319C" w14:textId="77777777" w:rsidR="00FD57F2" w:rsidRDefault="00FD57F2" w:rsidP="00A067C5">
            <w:pPr>
              <w:numPr>
                <w:ilvl w:val="0"/>
                <w:numId w:val="82"/>
              </w:numPr>
              <w:contextualSpacing/>
              <w:rPr>
                <w:sz w:val="16"/>
              </w:rPr>
            </w:pPr>
            <w:r w:rsidRPr="00D46647">
              <w:rPr>
                <w:sz w:val="16"/>
              </w:rPr>
              <w:t>la saisie, la gestion et la préservation permanente des principaux fichiers des ressources humaines et des documents connexes.  Le répertoire d’informations unique réduira le temps consacré et les efforts des ressources humaines requis pour recenser et extraire les documents pertinents afin d’appuyer les processus organisationnels essentiels;</w:t>
            </w:r>
          </w:p>
          <w:p w14:paraId="5DCF25BE" w14:textId="77777777" w:rsidR="003F79BF" w:rsidRPr="00D46647" w:rsidRDefault="003F79BF" w:rsidP="003F79BF">
            <w:pPr>
              <w:ind w:left="567"/>
              <w:contextualSpacing/>
              <w:rPr>
                <w:sz w:val="16"/>
              </w:rPr>
            </w:pPr>
          </w:p>
          <w:p w14:paraId="24B41FB7" w14:textId="77777777" w:rsidR="00FD57F2" w:rsidRPr="00D46647" w:rsidRDefault="00FD57F2" w:rsidP="00A067C5">
            <w:pPr>
              <w:numPr>
                <w:ilvl w:val="0"/>
                <w:numId w:val="82"/>
              </w:numPr>
              <w:contextualSpacing/>
              <w:rPr>
                <w:bCs/>
                <w:iCs/>
                <w:sz w:val="16"/>
                <w:szCs w:val="16"/>
              </w:rPr>
            </w:pPr>
            <w:r w:rsidRPr="00D46647">
              <w:rPr>
                <w:bCs/>
                <w:iCs/>
                <w:sz w:val="16"/>
                <w:szCs w:val="16"/>
              </w:rPr>
              <w:t>la dernière version de chaque document des ressources humaines relatif au personnel de l’OMPI sera clairement identifiable, réduisant ainsi le temps et les efforts nécessaires pour identifier la dernière version des documents ainsi que le niveau de remaniement.</w:t>
            </w:r>
          </w:p>
        </w:tc>
      </w:tr>
      <w:tr w:rsidR="00FD57F2" w:rsidRPr="00D46647" w14:paraId="6AA7D400" w14:textId="77777777" w:rsidTr="007E3422">
        <w:trPr>
          <w:jc w:val="center"/>
        </w:trPr>
        <w:tc>
          <w:tcPr>
            <w:tcW w:w="2500" w:type="pct"/>
            <w:shd w:val="clear" w:color="auto" w:fill="auto"/>
            <w:tcMar>
              <w:top w:w="57" w:type="dxa"/>
            </w:tcMar>
          </w:tcPr>
          <w:p w14:paraId="5D4EC469" w14:textId="77777777" w:rsidR="00FD57F2" w:rsidRPr="00D46647" w:rsidRDefault="00FD57F2" w:rsidP="00FD57F2">
            <w:pPr>
              <w:rPr>
                <w:b/>
                <w:bCs/>
                <w:i/>
                <w:iCs/>
                <w:sz w:val="16"/>
                <w:szCs w:val="16"/>
              </w:rPr>
            </w:pPr>
            <w:r w:rsidRPr="00D46647">
              <w:rPr>
                <w:b/>
                <w:bCs/>
                <w:i/>
                <w:iCs/>
                <w:sz w:val="16"/>
                <w:szCs w:val="16"/>
              </w:rPr>
              <w:t>Consécutivement au déploiement opérationnel de la configuration du système de gestion des contenus des statuts et des flux de traduction :</w:t>
            </w:r>
          </w:p>
          <w:p w14:paraId="31D1EAA7" w14:textId="77777777" w:rsidR="00FD57F2" w:rsidRPr="00D46647" w:rsidRDefault="00FD57F2" w:rsidP="00FD57F2">
            <w:pPr>
              <w:rPr>
                <w:sz w:val="16"/>
              </w:rPr>
            </w:pPr>
            <w:r w:rsidRPr="00D46647">
              <w:rPr>
                <w:sz w:val="16"/>
              </w:rPr>
              <w:t>La création d’un système de suivi des flux et du statut des traductions de documents pour la Division linguistique entraînera :</w:t>
            </w:r>
          </w:p>
          <w:p w14:paraId="5D23E1D5" w14:textId="77777777" w:rsidR="00FD57F2" w:rsidRPr="00D46647" w:rsidRDefault="00FD57F2" w:rsidP="00A067C5">
            <w:pPr>
              <w:numPr>
                <w:ilvl w:val="0"/>
                <w:numId w:val="82"/>
              </w:numPr>
              <w:contextualSpacing/>
              <w:rPr>
                <w:sz w:val="16"/>
              </w:rPr>
            </w:pPr>
            <w:r w:rsidRPr="00D46647">
              <w:rPr>
                <w:sz w:val="16"/>
              </w:rPr>
              <w:t>une réduction des efforts déployés par le personnel pour rendre compte du statut des demandes de traduction, puisque le système générera des comptes rendus automatiques;</w:t>
            </w:r>
          </w:p>
          <w:p w14:paraId="449B8810" w14:textId="77777777" w:rsidR="00FD57F2" w:rsidRPr="00D46647" w:rsidRDefault="00FD57F2" w:rsidP="00A067C5">
            <w:pPr>
              <w:numPr>
                <w:ilvl w:val="0"/>
                <w:numId w:val="82"/>
              </w:numPr>
              <w:contextualSpacing/>
              <w:rPr>
                <w:bCs/>
                <w:iCs/>
                <w:sz w:val="16"/>
                <w:szCs w:val="16"/>
              </w:rPr>
            </w:pPr>
            <w:r w:rsidRPr="00D46647">
              <w:rPr>
                <w:bCs/>
                <w:iCs/>
                <w:sz w:val="16"/>
                <w:szCs w:val="16"/>
              </w:rPr>
              <w:t>la possibilité de veiller à ce que les niveaux de service de traduction soient atteints par le biais d’un suivi actif et de comptes rendus du statut de chaque demande de traduction.</w:t>
            </w:r>
          </w:p>
        </w:tc>
        <w:tc>
          <w:tcPr>
            <w:tcW w:w="2500" w:type="pct"/>
            <w:tcMar>
              <w:top w:w="57" w:type="dxa"/>
            </w:tcMar>
          </w:tcPr>
          <w:p w14:paraId="1DBFA5EE" w14:textId="77777777" w:rsidR="00FD57F2" w:rsidRPr="00D46647" w:rsidRDefault="00FD57F2" w:rsidP="00FD57F2">
            <w:pPr>
              <w:rPr>
                <w:b/>
                <w:bCs/>
                <w:i/>
                <w:iCs/>
                <w:sz w:val="16"/>
                <w:szCs w:val="16"/>
              </w:rPr>
            </w:pPr>
            <w:r w:rsidRPr="00D46647">
              <w:rPr>
                <w:b/>
                <w:bCs/>
                <w:i/>
                <w:iCs/>
                <w:sz w:val="16"/>
                <w:szCs w:val="16"/>
              </w:rPr>
              <w:t>Consécutivement au déploiement opérationnel de la configuration du système de gestion des contenus à l’échelle de l’Organisation</w:t>
            </w:r>
          </w:p>
          <w:p w14:paraId="5C4D6650" w14:textId="77777777" w:rsidR="00FD57F2" w:rsidRPr="00D46647" w:rsidRDefault="00FD57F2" w:rsidP="00FD57F2">
            <w:pPr>
              <w:contextualSpacing/>
              <w:rPr>
                <w:sz w:val="16"/>
                <w:szCs w:val="16"/>
              </w:rPr>
            </w:pPr>
            <w:r w:rsidRPr="00D46647">
              <w:rPr>
                <w:sz w:val="16"/>
                <w:szCs w:val="16"/>
              </w:rPr>
              <w:t>La mise en œuvre du système de gestion des contenus à l’échelle de l’Organisation pour favoriser les changements culturels en matière de partage des connaissances et de gestion des informations au sein de l’OMPI, en sus du “gain prometteur” du sous-projet, entraînera :</w:t>
            </w:r>
          </w:p>
          <w:p w14:paraId="205AF683" w14:textId="77777777" w:rsidR="00FD57F2" w:rsidRPr="00D46647" w:rsidRDefault="00FD57F2" w:rsidP="00A067C5">
            <w:pPr>
              <w:pStyle w:val="ListParagraph"/>
              <w:numPr>
                <w:ilvl w:val="0"/>
                <w:numId w:val="82"/>
              </w:numPr>
              <w:rPr>
                <w:rFonts w:ascii="Arial" w:hAnsi="Arial" w:cs="Arial"/>
                <w:sz w:val="16"/>
                <w:szCs w:val="16"/>
              </w:rPr>
            </w:pPr>
            <w:r w:rsidRPr="00D46647">
              <w:rPr>
                <w:rFonts w:ascii="Arial" w:hAnsi="Arial" w:cs="Arial"/>
                <w:sz w:val="16"/>
                <w:szCs w:val="16"/>
              </w:rPr>
              <w:t>la possibilité d’effectuer des recherches dans l’intégralité de la base de connaissances de l’OMPI, réduisant ainsi le nombre de doublons de créations et d’enregistrements de connaissances grâce au partage des informations;</w:t>
            </w:r>
          </w:p>
          <w:p w14:paraId="5CAFC532" w14:textId="77777777" w:rsidR="00FD57F2" w:rsidRPr="00D46647" w:rsidRDefault="00FD57F2" w:rsidP="00A067C5">
            <w:pPr>
              <w:pStyle w:val="ListParagraph"/>
              <w:numPr>
                <w:ilvl w:val="0"/>
                <w:numId w:val="82"/>
              </w:numPr>
              <w:rPr>
                <w:rFonts w:ascii="Arial" w:hAnsi="Arial" w:cs="Arial"/>
                <w:sz w:val="16"/>
                <w:szCs w:val="16"/>
              </w:rPr>
            </w:pPr>
            <w:r w:rsidRPr="00D46647">
              <w:rPr>
                <w:rFonts w:ascii="Arial" w:hAnsi="Arial" w:cs="Arial"/>
                <w:sz w:val="16"/>
                <w:szCs w:val="16"/>
              </w:rPr>
              <w:t>la possibilité d’étendre la conformité à la politique de gestion des dossiers et des archives de l’OMPI (ordre de service n° 15/2013) à un plus grand nombre d’unités fonctionnelles;</w:t>
            </w:r>
          </w:p>
          <w:p w14:paraId="5E2D058D" w14:textId="77777777" w:rsidR="00FD57F2" w:rsidRPr="00D46647" w:rsidRDefault="00FD57F2" w:rsidP="00A067C5">
            <w:pPr>
              <w:pStyle w:val="ListParagraph"/>
              <w:numPr>
                <w:ilvl w:val="0"/>
                <w:numId w:val="82"/>
              </w:numPr>
              <w:rPr>
                <w:rFonts w:ascii="Arial" w:hAnsi="Arial" w:cs="Arial"/>
                <w:sz w:val="16"/>
                <w:szCs w:val="16"/>
              </w:rPr>
            </w:pPr>
            <w:r w:rsidRPr="00D46647">
              <w:rPr>
                <w:rFonts w:ascii="Arial" w:hAnsi="Arial" w:cs="Arial"/>
                <w:sz w:val="16"/>
                <w:szCs w:val="16"/>
              </w:rPr>
              <w:t>la possibilité de réduire les coûts permanents d’archivage physique des documents puisque ces documents deviennent électroniques;</w:t>
            </w:r>
          </w:p>
          <w:p w14:paraId="003ACBC4" w14:textId="77777777" w:rsidR="00FD57F2" w:rsidRPr="00D46647" w:rsidRDefault="00FD57F2" w:rsidP="00A067C5">
            <w:pPr>
              <w:pStyle w:val="ListParagraph"/>
              <w:numPr>
                <w:ilvl w:val="0"/>
                <w:numId w:val="82"/>
              </w:numPr>
              <w:rPr>
                <w:rFonts w:ascii="Arial" w:hAnsi="Arial" w:cs="Arial"/>
                <w:bCs/>
                <w:iCs/>
                <w:sz w:val="16"/>
                <w:szCs w:val="16"/>
              </w:rPr>
            </w:pPr>
            <w:r w:rsidRPr="00D46647">
              <w:rPr>
                <w:rFonts w:ascii="Arial" w:hAnsi="Arial" w:cs="Arial"/>
                <w:bCs/>
                <w:iCs/>
                <w:sz w:val="16"/>
                <w:szCs w:val="16"/>
              </w:rPr>
              <w:t>la possibilité de réduire les coûts de stockage électronique des documents, puisque la recherche dans l’intégralité de la base de connaissances de l’Organisation devrait réduire le niveau de remaniement et la duplication de l’enregistrement des connaissances.</w:t>
            </w:r>
          </w:p>
        </w:tc>
      </w:tr>
      <w:tr w:rsidR="00FD57F2" w:rsidRPr="00D46647" w14:paraId="54CE643E" w14:textId="77777777" w:rsidTr="007E3422">
        <w:trPr>
          <w:jc w:val="center"/>
        </w:trPr>
        <w:tc>
          <w:tcPr>
            <w:tcW w:w="2500" w:type="pct"/>
            <w:shd w:val="clear" w:color="auto" w:fill="auto"/>
            <w:tcMar>
              <w:top w:w="57" w:type="dxa"/>
            </w:tcMar>
          </w:tcPr>
          <w:p w14:paraId="437CEDE0" w14:textId="77777777" w:rsidR="00FD57F2" w:rsidRPr="00D46647" w:rsidRDefault="00FD57F2" w:rsidP="00FD57F2">
            <w:pPr>
              <w:rPr>
                <w:b/>
                <w:bCs/>
                <w:i/>
                <w:iCs/>
                <w:sz w:val="16"/>
                <w:szCs w:val="16"/>
              </w:rPr>
            </w:pPr>
            <w:r w:rsidRPr="00D46647">
              <w:rPr>
                <w:b/>
                <w:bCs/>
                <w:i/>
                <w:iCs/>
                <w:sz w:val="16"/>
                <w:szCs w:val="16"/>
              </w:rPr>
              <w:t>Consécutivement au déploiement opérationnel de la configuration du système de gestion des contenus dans le cadre de la gestion des fournisseurs et des contrats</w:t>
            </w:r>
          </w:p>
          <w:p w14:paraId="2ABE857D" w14:textId="77777777" w:rsidR="00FD57F2" w:rsidRPr="00D46647" w:rsidRDefault="00FD57F2" w:rsidP="00FD57F2">
            <w:pPr>
              <w:rPr>
                <w:sz w:val="16"/>
              </w:rPr>
            </w:pPr>
            <w:r w:rsidRPr="00D46647">
              <w:rPr>
                <w:sz w:val="16"/>
              </w:rPr>
              <w:t>Les Achats disposeront d’une source d’informations consultable unique dédiée aux appels d’offres en cours et conclus, qui entraînera :</w:t>
            </w:r>
          </w:p>
          <w:p w14:paraId="6A13E174" w14:textId="77777777" w:rsidR="00FD57F2" w:rsidRPr="00D46647" w:rsidRDefault="00FD57F2" w:rsidP="00A067C5">
            <w:pPr>
              <w:pStyle w:val="ListParagraph"/>
              <w:numPr>
                <w:ilvl w:val="0"/>
                <w:numId w:val="82"/>
              </w:numPr>
              <w:rPr>
                <w:rFonts w:ascii="Arial" w:hAnsi="Arial" w:cs="Arial"/>
                <w:sz w:val="16"/>
              </w:rPr>
            </w:pPr>
            <w:r w:rsidRPr="00D46647">
              <w:rPr>
                <w:rFonts w:ascii="Arial" w:hAnsi="Arial" w:cs="Arial"/>
                <w:sz w:val="16"/>
              </w:rPr>
              <w:t>la réduction du temps consacré à recenser et à récupérer les informations courantes;</w:t>
            </w:r>
          </w:p>
          <w:p w14:paraId="17BCFF34" w14:textId="77777777" w:rsidR="00FD57F2" w:rsidRPr="00D46647" w:rsidRDefault="00FD57F2" w:rsidP="00A067C5">
            <w:pPr>
              <w:pStyle w:val="ListParagraph"/>
              <w:numPr>
                <w:ilvl w:val="0"/>
                <w:numId w:val="82"/>
              </w:numPr>
              <w:rPr>
                <w:rFonts w:ascii="Arial" w:hAnsi="Arial" w:cs="Arial"/>
                <w:sz w:val="16"/>
              </w:rPr>
            </w:pPr>
            <w:r w:rsidRPr="00D46647">
              <w:rPr>
                <w:rFonts w:ascii="Arial" w:hAnsi="Arial" w:cs="Arial"/>
                <w:sz w:val="16"/>
              </w:rPr>
              <w:t>la réduction du nombre d’erreurs et de remaniements en veillant à ce que la dernière version de chaque document puisse être clairement identifiée.</w:t>
            </w:r>
          </w:p>
          <w:p w14:paraId="48971C1F" w14:textId="77777777" w:rsidR="00FD57F2" w:rsidRPr="00D46647" w:rsidRDefault="00FD57F2" w:rsidP="00FD57F2">
            <w:pPr>
              <w:rPr>
                <w:sz w:val="16"/>
              </w:rPr>
            </w:pPr>
            <w:r w:rsidRPr="00D46647">
              <w:rPr>
                <w:sz w:val="16"/>
              </w:rPr>
              <w:t>Les Achats disposeront d’un tableau de bord unique indiquant l’état d’avancement des appels d’offres actifs ainsi que des informations relatives à la date à laquelle les contrats existants devront faire l’objet d’un nouvel appel d’offres, ce qui entraînera :</w:t>
            </w:r>
          </w:p>
          <w:p w14:paraId="681EADDF" w14:textId="77777777" w:rsidR="00FD57F2" w:rsidRPr="00D46647" w:rsidRDefault="00FD57F2" w:rsidP="00A067C5">
            <w:pPr>
              <w:pStyle w:val="ListParagraph"/>
              <w:numPr>
                <w:ilvl w:val="0"/>
                <w:numId w:val="82"/>
              </w:numPr>
              <w:rPr>
                <w:rFonts w:ascii="Arial" w:hAnsi="Arial" w:cs="Arial"/>
                <w:bCs/>
                <w:iCs/>
                <w:sz w:val="16"/>
                <w:szCs w:val="16"/>
              </w:rPr>
            </w:pPr>
            <w:r w:rsidRPr="00D46647">
              <w:rPr>
                <w:rFonts w:ascii="Arial" w:hAnsi="Arial" w:cs="Arial"/>
                <w:bCs/>
                <w:iCs/>
                <w:sz w:val="16"/>
                <w:szCs w:val="16"/>
              </w:rPr>
              <w:t>une meilleure utilisation des tâches de production grâce à une meilleure planification des activités d’achat.</w:t>
            </w:r>
          </w:p>
        </w:tc>
        <w:tc>
          <w:tcPr>
            <w:tcW w:w="2500" w:type="pct"/>
            <w:tcMar>
              <w:top w:w="57" w:type="dxa"/>
            </w:tcMar>
          </w:tcPr>
          <w:p w14:paraId="7C013154" w14:textId="77777777" w:rsidR="00FD57F2" w:rsidRPr="00D46647" w:rsidRDefault="00FD57F2" w:rsidP="00FD57F2">
            <w:pPr>
              <w:rPr>
                <w:b/>
                <w:bCs/>
                <w:i/>
                <w:iCs/>
                <w:sz w:val="16"/>
                <w:szCs w:val="16"/>
              </w:rPr>
            </w:pPr>
          </w:p>
        </w:tc>
      </w:tr>
      <w:tr w:rsidR="00FD57F2" w:rsidRPr="00D46647" w14:paraId="7129864B" w14:textId="77777777" w:rsidTr="007E3422">
        <w:trPr>
          <w:jc w:val="center"/>
        </w:trPr>
        <w:tc>
          <w:tcPr>
            <w:tcW w:w="2500" w:type="pct"/>
            <w:shd w:val="clear" w:color="auto" w:fill="auto"/>
            <w:tcMar>
              <w:top w:w="57" w:type="dxa"/>
            </w:tcMar>
          </w:tcPr>
          <w:p w14:paraId="0CE87A9D" w14:textId="77777777" w:rsidR="00FD57F2" w:rsidRPr="00D46647" w:rsidRDefault="00FD57F2" w:rsidP="00FD57F2">
            <w:pPr>
              <w:rPr>
                <w:b/>
                <w:bCs/>
                <w:i/>
                <w:iCs/>
                <w:sz w:val="16"/>
                <w:szCs w:val="16"/>
              </w:rPr>
            </w:pPr>
            <w:r w:rsidRPr="00D46647">
              <w:rPr>
                <w:b/>
                <w:bCs/>
                <w:i/>
                <w:iCs/>
                <w:sz w:val="16"/>
                <w:szCs w:val="16"/>
              </w:rPr>
              <w:t>Consécutivement au déploiement opérationnel de la configuration du système de gestion des contenus des rapports de mission</w:t>
            </w:r>
          </w:p>
          <w:p w14:paraId="4DB49594" w14:textId="77777777" w:rsidR="00FD57F2" w:rsidRPr="00D46647" w:rsidRDefault="00FD57F2" w:rsidP="00FD57F2">
            <w:pPr>
              <w:rPr>
                <w:sz w:val="16"/>
              </w:rPr>
            </w:pPr>
            <w:r w:rsidRPr="00D46647">
              <w:rPr>
                <w:sz w:val="16"/>
              </w:rPr>
              <w:t>Les contenus des rapports de mission, ainsi que les informations relatives aux missions planifiées seront consultables dans toute l’Organisation.  Cela entraînera :</w:t>
            </w:r>
          </w:p>
          <w:p w14:paraId="23DB1F9E" w14:textId="77777777" w:rsidR="00FD57F2" w:rsidRPr="00D46647" w:rsidRDefault="00FD57F2" w:rsidP="00A067C5">
            <w:pPr>
              <w:pStyle w:val="ListParagraph"/>
              <w:numPr>
                <w:ilvl w:val="0"/>
                <w:numId w:val="82"/>
              </w:numPr>
              <w:rPr>
                <w:rFonts w:ascii="Arial" w:hAnsi="Arial" w:cs="Arial"/>
                <w:sz w:val="16"/>
              </w:rPr>
            </w:pPr>
            <w:r w:rsidRPr="00D46647">
              <w:rPr>
                <w:rFonts w:ascii="Arial" w:hAnsi="Arial" w:cs="Arial"/>
                <w:sz w:val="16"/>
              </w:rPr>
              <w:t>une réduction du nombre de missions grâce au recensement des voyages et points à l’ordre du jour se chevauchant, réduisant ainsi les coûts;</w:t>
            </w:r>
          </w:p>
          <w:p w14:paraId="2858A380" w14:textId="77777777" w:rsidR="00FD57F2" w:rsidRPr="00D46647" w:rsidRDefault="00FD57F2" w:rsidP="00A067C5">
            <w:pPr>
              <w:pStyle w:val="ListParagraph"/>
              <w:numPr>
                <w:ilvl w:val="0"/>
                <w:numId w:val="82"/>
              </w:numPr>
              <w:rPr>
                <w:rFonts w:ascii="Arial" w:hAnsi="Arial" w:cs="Arial"/>
                <w:b/>
                <w:bCs/>
                <w:i/>
                <w:iCs/>
                <w:sz w:val="16"/>
                <w:szCs w:val="16"/>
              </w:rPr>
            </w:pPr>
            <w:r w:rsidRPr="00D46647">
              <w:rPr>
                <w:rFonts w:ascii="Arial" w:hAnsi="Arial" w:cs="Arial"/>
                <w:sz w:val="16"/>
              </w:rPr>
              <w:t xml:space="preserve">un renforcement du caractère productif des missions étant donné que le personnel de l’OMPI aura accès à des quantités d’informations plus conséquentes concernant les missions antérieures relatives à un pays ou une institution spécifique et qu’il pourra ainsi être en mesure de répondre aux questions en suspens ayant éventuellement été posées lors d’une précédente mission.  </w:t>
            </w:r>
          </w:p>
        </w:tc>
        <w:tc>
          <w:tcPr>
            <w:tcW w:w="2500" w:type="pct"/>
            <w:tcMar>
              <w:top w:w="57" w:type="dxa"/>
            </w:tcMar>
          </w:tcPr>
          <w:p w14:paraId="6B853AB1" w14:textId="77777777" w:rsidR="00FD57F2" w:rsidRPr="00D46647" w:rsidRDefault="00FD57F2" w:rsidP="00FD57F2">
            <w:pPr>
              <w:rPr>
                <w:b/>
                <w:bCs/>
                <w:i/>
                <w:iCs/>
                <w:sz w:val="16"/>
                <w:szCs w:val="16"/>
              </w:rPr>
            </w:pPr>
          </w:p>
        </w:tc>
      </w:tr>
      <w:tr w:rsidR="00FD57F2" w:rsidRPr="001303B4" w14:paraId="3DBF2EAE" w14:textId="77777777" w:rsidTr="007E3422">
        <w:trPr>
          <w:jc w:val="center"/>
        </w:trPr>
        <w:tc>
          <w:tcPr>
            <w:tcW w:w="2500" w:type="pct"/>
            <w:shd w:val="clear" w:color="auto" w:fill="auto"/>
            <w:tcMar>
              <w:top w:w="57" w:type="dxa"/>
            </w:tcMar>
          </w:tcPr>
          <w:p w14:paraId="6111DDF6" w14:textId="77777777" w:rsidR="00FD57F2" w:rsidRPr="001303B4" w:rsidRDefault="00FD57F2" w:rsidP="00FD57F2">
            <w:pPr>
              <w:rPr>
                <w:b/>
                <w:bCs/>
                <w:i/>
                <w:iCs/>
                <w:sz w:val="16"/>
                <w:szCs w:val="16"/>
              </w:rPr>
            </w:pPr>
            <w:r w:rsidRPr="001303B4">
              <w:rPr>
                <w:b/>
                <w:bCs/>
                <w:i/>
                <w:iCs/>
                <w:sz w:val="16"/>
                <w:szCs w:val="16"/>
              </w:rPr>
              <w:t>Consécutivement au déploiement opérationnel de la configuration du système de gestion des contenus des courriers électroniques :</w:t>
            </w:r>
          </w:p>
          <w:p w14:paraId="057D03CF" w14:textId="77777777" w:rsidR="00FD57F2" w:rsidRPr="001303B4" w:rsidRDefault="00FD57F2" w:rsidP="00FD57F2">
            <w:pPr>
              <w:rPr>
                <w:sz w:val="16"/>
              </w:rPr>
            </w:pPr>
            <w:r w:rsidRPr="001303B4">
              <w:rPr>
                <w:sz w:val="16"/>
              </w:rPr>
              <w:t>Le cabinet du Directeur général et l’Équipe de haute direction disposeront d’un système unique pour la distribution et le suivi de la création des réponses à la correspondance extérieure, ce qui entraînera :</w:t>
            </w:r>
          </w:p>
          <w:p w14:paraId="2807BCB8" w14:textId="77777777" w:rsidR="00FD57F2" w:rsidRPr="001303B4" w:rsidRDefault="00FD57F2" w:rsidP="00A067C5">
            <w:pPr>
              <w:numPr>
                <w:ilvl w:val="0"/>
                <w:numId w:val="82"/>
              </w:numPr>
              <w:contextualSpacing/>
              <w:rPr>
                <w:sz w:val="16"/>
              </w:rPr>
            </w:pPr>
            <w:r w:rsidRPr="001303B4">
              <w:rPr>
                <w:sz w:val="16"/>
              </w:rPr>
              <w:t>une réduction du temps passé à répondre à la correspondance extérieure dans la mesure où la correspondance et les réponses n’auront pas à être distribuées physiquement sur le campus de l’OMPI, contribuant ainsi à la réalisation des objectifs en termes de délais de réponse;</w:t>
            </w:r>
          </w:p>
          <w:p w14:paraId="4BDFB23D" w14:textId="77777777" w:rsidR="00FD57F2" w:rsidRPr="001303B4" w:rsidRDefault="00FD57F2" w:rsidP="00A067C5">
            <w:pPr>
              <w:pStyle w:val="ListParagraph"/>
              <w:keepNext/>
              <w:numPr>
                <w:ilvl w:val="0"/>
                <w:numId w:val="82"/>
              </w:numPr>
              <w:rPr>
                <w:rFonts w:ascii="Arial" w:hAnsi="Arial" w:cs="Arial"/>
                <w:bCs/>
                <w:iCs/>
                <w:sz w:val="16"/>
                <w:szCs w:val="16"/>
              </w:rPr>
            </w:pPr>
            <w:r w:rsidRPr="001303B4">
              <w:rPr>
                <w:rFonts w:ascii="Arial" w:hAnsi="Arial" w:cs="Arial"/>
                <w:sz w:val="16"/>
                <w:szCs w:val="24"/>
              </w:rPr>
              <w:t>le statut et l’état d’avancement de chaque réponse à une correspondance extérieure seront connus par l’intermédiaire d’un tableau de bord de gestion, réduisant ainsi les efforts du personnel consacrés au suivi du statut des réponses pour assurer la réalisation des objectifs, ce qui libérera du personnel administratif afin qu’il se concentre sur d’autres activités.</w:t>
            </w:r>
          </w:p>
        </w:tc>
        <w:tc>
          <w:tcPr>
            <w:tcW w:w="2500" w:type="pct"/>
            <w:tcMar>
              <w:top w:w="57" w:type="dxa"/>
            </w:tcMar>
          </w:tcPr>
          <w:p w14:paraId="5FC5AE5E" w14:textId="77777777" w:rsidR="00FD57F2" w:rsidRPr="001303B4" w:rsidRDefault="00FD57F2" w:rsidP="00FD57F2">
            <w:pPr>
              <w:keepNext/>
              <w:rPr>
                <w:b/>
                <w:bCs/>
                <w:i/>
                <w:iCs/>
                <w:sz w:val="16"/>
                <w:szCs w:val="16"/>
              </w:rPr>
            </w:pPr>
          </w:p>
        </w:tc>
      </w:tr>
    </w:tbl>
    <w:p w14:paraId="6A6E9D94" w14:textId="77777777" w:rsidR="00FD57F2" w:rsidRPr="00D46647" w:rsidRDefault="00FD57F2" w:rsidP="00FD57F2">
      <w:pPr>
        <w:rPr>
          <w:sz w:val="20"/>
        </w:rPr>
      </w:pPr>
    </w:p>
    <w:p w14:paraId="30A024D6" w14:textId="77777777" w:rsidR="00FD57F2" w:rsidRPr="00D46647" w:rsidRDefault="00FD57F2" w:rsidP="00FD57F2">
      <w:pPr>
        <w:rPr>
          <w:sz w:val="20"/>
        </w:rPr>
      </w:pPr>
    </w:p>
    <w:p w14:paraId="0AB1F911" w14:textId="77777777" w:rsidR="00FD57F2" w:rsidRPr="00D46647" w:rsidRDefault="00FD57F2" w:rsidP="00FD57F2">
      <w:pPr>
        <w:rPr>
          <w:sz w:val="20"/>
        </w:rPr>
      </w:pPr>
      <w:r w:rsidRPr="00D46647">
        <w:rPr>
          <w:sz w:val="20"/>
        </w:rPr>
        <w:t>UTILISATION DES RESSOURCES</w:t>
      </w:r>
      <w:r w:rsidRPr="00D46647">
        <w:rPr>
          <w:rStyle w:val="FootnoteReference"/>
          <w:rFonts w:cs="Arial"/>
          <w:sz w:val="20"/>
        </w:rPr>
        <w:footnoteReference w:id="117"/>
      </w:r>
    </w:p>
    <w:p w14:paraId="68ACB40D" w14:textId="77777777" w:rsidR="00FD57F2" w:rsidRPr="00D46647" w:rsidRDefault="00FD57F2" w:rsidP="00FD57F2">
      <w:pPr>
        <w:keepNext/>
        <w:keepLines/>
        <w:rPr>
          <w:sz w:val="20"/>
        </w:rPr>
      </w:pPr>
    </w:p>
    <w:p w14:paraId="44843D60"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w:t>
      </w:r>
    </w:p>
    <w:p w14:paraId="20335FDF"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6DF1B93D" w14:textId="77777777" w:rsidR="00FD57F2" w:rsidRPr="00D46647" w:rsidRDefault="00FD57F2" w:rsidP="00FD57F2">
      <w:pPr>
        <w:keepNext/>
        <w:keepLines/>
        <w:rPr>
          <w:sz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67"/>
        <w:gridCol w:w="1579"/>
        <w:gridCol w:w="1581"/>
        <w:gridCol w:w="1581"/>
        <w:gridCol w:w="1579"/>
      </w:tblGrid>
      <w:tr w:rsidR="00FD57F2" w:rsidRPr="00D46647" w14:paraId="303175FD" w14:textId="77777777" w:rsidTr="007E3422">
        <w:tc>
          <w:tcPr>
            <w:tcW w:w="1598" w:type="pct"/>
            <w:shd w:val="clear" w:color="auto" w:fill="C6D9F1"/>
            <w:vAlign w:val="center"/>
          </w:tcPr>
          <w:p w14:paraId="6D5C4115"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Nom du projet</w:t>
            </w:r>
          </w:p>
        </w:tc>
        <w:tc>
          <w:tcPr>
            <w:tcW w:w="850" w:type="pct"/>
            <w:shd w:val="clear" w:color="auto" w:fill="C6D9F1"/>
            <w:vAlign w:val="center"/>
          </w:tcPr>
          <w:p w14:paraId="0739C070"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1" w:type="pct"/>
            <w:shd w:val="clear" w:color="auto" w:fill="C6D9F1"/>
            <w:vAlign w:val="center"/>
          </w:tcPr>
          <w:p w14:paraId="4D983B43"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1" w:type="pct"/>
            <w:shd w:val="clear" w:color="auto" w:fill="C6D9F1"/>
            <w:vAlign w:val="center"/>
          </w:tcPr>
          <w:p w14:paraId="64266A7B"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0" w:type="pct"/>
            <w:shd w:val="clear" w:color="auto" w:fill="C6D9F1"/>
            <w:vAlign w:val="center"/>
          </w:tcPr>
          <w:p w14:paraId="30CFD52A"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562D0F8D" w14:textId="77777777" w:rsidTr="007E3422">
        <w:tc>
          <w:tcPr>
            <w:tcW w:w="1598" w:type="pct"/>
            <w:vAlign w:val="center"/>
          </w:tcPr>
          <w:p w14:paraId="74883A8E" w14:textId="77777777" w:rsidR="00FD57F2" w:rsidRPr="00D46647" w:rsidRDefault="00FD57F2" w:rsidP="00FD57F2">
            <w:pPr>
              <w:keepNext/>
              <w:keepLines/>
              <w:autoSpaceDE w:val="0"/>
              <w:autoSpaceDN w:val="0"/>
              <w:adjustRightInd w:val="0"/>
              <w:rPr>
                <w:sz w:val="16"/>
                <w:szCs w:val="16"/>
              </w:rPr>
            </w:pPr>
            <w:r w:rsidRPr="00D46647">
              <w:rPr>
                <w:sz w:val="16"/>
              </w:rPr>
              <w:t>Projet de mise en œuvre du système de gestion des contenus</w:t>
            </w:r>
          </w:p>
        </w:tc>
        <w:tc>
          <w:tcPr>
            <w:tcW w:w="850" w:type="pct"/>
            <w:vAlign w:val="center"/>
          </w:tcPr>
          <w:p w14:paraId="293B5D03" w14:textId="77777777" w:rsidR="00FD57F2" w:rsidRPr="00D46647" w:rsidRDefault="00FD57F2" w:rsidP="00FD57F2">
            <w:pPr>
              <w:keepNext/>
              <w:keepLines/>
              <w:autoSpaceDE w:val="0"/>
              <w:autoSpaceDN w:val="0"/>
              <w:adjustRightInd w:val="0"/>
              <w:jc w:val="center"/>
              <w:rPr>
                <w:sz w:val="16"/>
                <w:szCs w:val="16"/>
              </w:rPr>
            </w:pPr>
            <w:r w:rsidRPr="00D46647">
              <w:rPr>
                <w:sz w:val="16"/>
              </w:rPr>
              <w:t>2 068 000</w:t>
            </w:r>
          </w:p>
        </w:tc>
        <w:tc>
          <w:tcPr>
            <w:tcW w:w="851" w:type="pct"/>
            <w:vAlign w:val="center"/>
          </w:tcPr>
          <w:p w14:paraId="656C067E"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524 491</w:t>
            </w:r>
          </w:p>
        </w:tc>
        <w:tc>
          <w:tcPr>
            <w:tcW w:w="851" w:type="pct"/>
            <w:vAlign w:val="center"/>
          </w:tcPr>
          <w:p w14:paraId="7C41F7C5"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25,4%</w:t>
            </w:r>
          </w:p>
        </w:tc>
        <w:tc>
          <w:tcPr>
            <w:tcW w:w="850" w:type="pct"/>
            <w:vAlign w:val="center"/>
          </w:tcPr>
          <w:p w14:paraId="09CB4545"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25%</w:t>
            </w:r>
          </w:p>
        </w:tc>
      </w:tr>
    </w:tbl>
    <w:p w14:paraId="19BA89DD" w14:textId="77777777" w:rsidR="00FD57F2" w:rsidRPr="00D46647" w:rsidRDefault="00FD57F2" w:rsidP="00FD57F2">
      <w:pPr>
        <w:keepNext/>
        <w:keepLines/>
        <w:tabs>
          <w:tab w:val="left" w:pos="3261"/>
        </w:tabs>
        <w:autoSpaceDE w:val="0"/>
        <w:autoSpaceDN w:val="0"/>
        <w:adjustRightInd w:val="0"/>
        <w:rPr>
          <w:b/>
          <w:sz w:val="20"/>
        </w:rPr>
      </w:pPr>
    </w:p>
    <w:p w14:paraId="24479D82" w14:textId="77777777" w:rsidR="00FD57F2" w:rsidRPr="00D46647" w:rsidRDefault="00FD57F2" w:rsidP="00FD57F2">
      <w:pPr>
        <w:rPr>
          <w:sz w:val="20"/>
        </w:rPr>
      </w:pPr>
    </w:p>
    <w:p w14:paraId="6A723CDF"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 (par étape)</w:t>
      </w:r>
    </w:p>
    <w:p w14:paraId="3B961D24"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08E8B7A9" w14:textId="77777777" w:rsidR="00FD57F2" w:rsidRPr="00D46647" w:rsidRDefault="00FD57F2" w:rsidP="00FD57F2">
      <w:pPr>
        <w:keepNext/>
        <w:keepLines/>
        <w:autoSpaceDE w:val="0"/>
        <w:autoSpaceDN w:val="0"/>
        <w:adjustRightInd w:val="0"/>
        <w:spacing w:after="120"/>
        <w:jc w:val="center"/>
        <w:rPr>
          <w:i/>
          <w:iCs/>
          <w:sz w:val="18"/>
          <w:szCs w:val="18"/>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32"/>
        <w:gridCol w:w="1594"/>
        <w:gridCol w:w="1594"/>
        <w:gridCol w:w="1594"/>
        <w:gridCol w:w="1573"/>
      </w:tblGrid>
      <w:tr w:rsidR="00FD57F2" w:rsidRPr="00D46647" w14:paraId="67C40691" w14:textId="77777777" w:rsidTr="007E3422">
        <w:tc>
          <w:tcPr>
            <w:tcW w:w="1579" w:type="pct"/>
            <w:shd w:val="clear" w:color="auto" w:fill="C6D9F1" w:themeFill="text2" w:themeFillTint="33"/>
            <w:vAlign w:val="center"/>
          </w:tcPr>
          <w:p w14:paraId="62DA901B" w14:textId="77777777" w:rsidR="00FD57F2" w:rsidRPr="00D46647" w:rsidRDefault="00FD57F2" w:rsidP="00FD57F2">
            <w:pPr>
              <w:autoSpaceDE w:val="0"/>
              <w:autoSpaceDN w:val="0"/>
              <w:adjustRightInd w:val="0"/>
              <w:jc w:val="center"/>
              <w:rPr>
                <w:b/>
                <w:bCs/>
                <w:sz w:val="16"/>
                <w:szCs w:val="16"/>
              </w:rPr>
            </w:pPr>
            <w:r w:rsidRPr="00D46647">
              <w:rPr>
                <w:b/>
                <w:bCs/>
                <w:sz w:val="16"/>
                <w:szCs w:val="16"/>
              </w:rPr>
              <w:t>Étape principale</w:t>
            </w:r>
          </w:p>
        </w:tc>
        <w:tc>
          <w:tcPr>
            <w:tcW w:w="858" w:type="pct"/>
            <w:shd w:val="clear" w:color="auto" w:fill="C6D9F1" w:themeFill="text2" w:themeFillTint="33"/>
            <w:vAlign w:val="center"/>
          </w:tcPr>
          <w:p w14:paraId="75D7411C" w14:textId="77777777" w:rsidR="00FD57F2" w:rsidRPr="00D46647" w:rsidRDefault="00FD57F2" w:rsidP="00FD57F2">
            <w:pPr>
              <w:autoSpaceDE w:val="0"/>
              <w:autoSpaceDN w:val="0"/>
              <w:adjustRightInd w:val="0"/>
              <w:jc w:val="center"/>
              <w:rPr>
                <w:b/>
                <w:bCs/>
                <w:sz w:val="16"/>
                <w:szCs w:val="16"/>
              </w:rPr>
            </w:pPr>
            <w:r w:rsidRPr="00D46647">
              <w:rPr>
                <w:b/>
                <w:bCs/>
                <w:sz w:val="16"/>
                <w:szCs w:val="16"/>
              </w:rPr>
              <w:t>Budget du projet</w:t>
            </w:r>
          </w:p>
        </w:tc>
        <w:tc>
          <w:tcPr>
            <w:tcW w:w="858" w:type="pct"/>
            <w:shd w:val="clear" w:color="auto" w:fill="C6D9F1" w:themeFill="text2" w:themeFillTint="33"/>
            <w:vAlign w:val="center"/>
          </w:tcPr>
          <w:p w14:paraId="5DE9BF30" w14:textId="77777777" w:rsidR="00FD57F2" w:rsidRPr="00D46647" w:rsidRDefault="00FD57F2" w:rsidP="00FD57F2">
            <w:pPr>
              <w:autoSpaceDE w:val="0"/>
              <w:autoSpaceDN w:val="0"/>
              <w:adjustRightInd w:val="0"/>
              <w:jc w:val="center"/>
              <w:rPr>
                <w:b/>
                <w:bCs/>
                <w:sz w:val="16"/>
                <w:szCs w:val="16"/>
              </w:rPr>
            </w:pPr>
            <w:r w:rsidRPr="00D46647">
              <w:rPr>
                <w:b/>
                <w:bCs/>
                <w:sz w:val="16"/>
                <w:szCs w:val="16"/>
              </w:rPr>
              <w:t>Dépenses effectives à ce jour</w:t>
            </w:r>
          </w:p>
        </w:tc>
        <w:tc>
          <w:tcPr>
            <w:tcW w:w="858" w:type="pct"/>
            <w:shd w:val="clear" w:color="auto" w:fill="C6D9F1" w:themeFill="text2" w:themeFillTint="33"/>
            <w:vAlign w:val="center"/>
          </w:tcPr>
          <w:p w14:paraId="6B58838E" w14:textId="77777777" w:rsidR="00FD57F2" w:rsidRPr="00D46647" w:rsidRDefault="00FD57F2" w:rsidP="00FD57F2">
            <w:pPr>
              <w:autoSpaceDE w:val="0"/>
              <w:autoSpaceDN w:val="0"/>
              <w:adjustRightInd w:val="0"/>
              <w:jc w:val="center"/>
              <w:rPr>
                <w:b/>
                <w:bCs/>
                <w:sz w:val="16"/>
                <w:szCs w:val="16"/>
              </w:rPr>
            </w:pPr>
            <w:r w:rsidRPr="00D46647">
              <w:rPr>
                <w:b/>
                <w:bCs/>
                <w:sz w:val="16"/>
                <w:szCs w:val="16"/>
              </w:rPr>
              <w:t>Utilisation effective du budget</w:t>
            </w:r>
          </w:p>
        </w:tc>
        <w:tc>
          <w:tcPr>
            <w:tcW w:w="847" w:type="pct"/>
            <w:shd w:val="clear" w:color="auto" w:fill="C6D9F1" w:themeFill="text2" w:themeFillTint="33"/>
            <w:vAlign w:val="center"/>
          </w:tcPr>
          <w:p w14:paraId="3DBBC6BD" w14:textId="77777777" w:rsidR="00FD57F2" w:rsidRPr="00D46647" w:rsidRDefault="00FD57F2" w:rsidP="00FD57F2">
            <w:pPr>
              <w:autoSpaceDE w:val="0"/>
              <w:autoSpaceDN w:val="0"/>
              <w:adjustRightInd w:val="0"/>
              <w:ind w:firstLine="1"/>
              <w:jc w:val="center"/>
              <w:rPr>
                <w:b/>
                <w:bCs/>
                <w:sz w:val="16"/>
                <w:szCs w:val="16"/>
              </w:rPr>
            </w:pPr>
            <w:r w:rsidRPr="00D46647">
              <w:rPr>
                <w:b/>
                <w:bCs/>
                <w:sz w:val="16"/>
                <w:szCs w:val="16"/>
              </w:rPr>
              <w:t>Taux d’avancement de mise en œuvre par étape</w:t>
            </w:r>
          </w:p>
        </w:tc>
      </w:tr>
      <w:tr w:rsidR="00FD57F2" w:rsidRPr="00D46647" w14:paraId="0474D59C" w14:textId="77777777" w:rsidTr="007E3422">
        <w:tc>
          <w:tcPr>
            <w:tcW w:w="1579" w:type="pct"/>
            <w:vAlign w:val="center"/>
          </w:tcPr>
          <w:p w14:paraId="663CD492" w14:textId="77777777" w:rsidR="00FD57F2" w:rsidRPr="00D46647" w:rsidRDefault="00FD57F2" w:rsidP="00FD57F2">
            <w:pPr>
              <w:autoSpaceDE w:val="0"/>
              <w:autoSpaceDN w:val="0"/>
              <w:adjustRightInd w:val="0"/>
              <w:rPr>
                <w:sz w:val="16"/>
                <w:szCs w:val="16"/>
                <w:highlight w:val="yellow"/>
              </w:rPr>
            </w:pPr>
            <w:r w:rsidRPr="00D46647">
              <w:rPr>
                <w:sz w:val="16"/>
                <w:szCs w:val="16"/>
              </w:rPr>
              <w:t>Étude et élaboration de la stratégie, y compris la sélection de la technologie relative au système de gestion des contenus</w:t>
            </w:r>
          </w:p>
        </w:tc>
        <w:tc>
          <w:tcPr>
            <w:tcW w:w="858" w:type="pct"/>
            <w:vAlign w:val="center"/>
          </w:tcPr>
          <w:p w14:paraId="46B3D475" w14:textId="77777777" w:rsidR="00FD57F2" w:rsidRPr="00D46647" w:rsidRDefault="00FD57F2" w:rsidP="00FD57F2">
            <w:pPr>
              <w:autoSpaceDE w:val="0"/>
              <w:autoSpaceDN w:val="0"/>
              <w:adjustRightInd w:val="0"/>
              <w:jc w:val="center"/>
              <w:rPr>
                <w:sz w:val="16"/>
                <w:szCs w:val="16"/>
              </w:rPr>
            </w:pPr>
            <w:r w:rsidRPr="00D46647">
              <w:rPr>
                <w:sz w:val="16"/>
                <w:szCs w:val="16"/>
              </w:rPr>
              <w:t>36 000</w:t>
            </w:r>
          </w:p>
        </w:tc>
        <w:tc>
          <w:tcPr>
            <w:tcW w:w="858" w:type="pct"/>
            <w:vAlign w:val="center"/>
          </w:tcPr>
          <w:p w14:paraId="7BEA6A29" w14:textId="77777777" w:rsidR="00FD57F2" w:rsidRPr="00D46647" w:rsidRDefault="00FD57F2" w:rsidP="00FD57F2">
            <w:pPr>
              <w:autoSpaceDE w:val="0"/>
              <w:autoSpaceDN w:val="0"/>
              <w:adjustRightInd w:val="0"/>
              <w:jc w:val="center"/>
              <w:rPr>
                <w:sz w:val="16"/>
                <w:szCs w:val="16"/>
              </w:rPr>
            </w:pPr>
            <w:r w:rsidRPr="00D46647">
              <w:rPr>
                <w:sz w:val="16"/>
                <w:szCs w:val="16"/>
              </w:rPr>
              <w:t>36 000</w:t>
            </w:r>
          </w:p>
        </w:tc>
        <w:tc>
          <w:tcPr>
            <w:tcW w:w="858" w:type="pct"/>
            <w:vAlign w:val="center"/>
          </w:tcPr>
          <w:p w14:paraId="6AF7A90B"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c>
          <w:tcPr>
            <w:tcW w:w="847" w:type="pct"/>
            <w:vAlign w:val="center"/>
          </w:tcPr>
          <w:p w14:paraId="3A1CF878"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r>
      <w:tr w:rsidR="00FD57F2" w:rsidRPr="00D46647" w14:paraId="070CB6F9" w14:textId="77777777" w:rsidTr="007E3422">
        <w:tc>
          <w:tcPr>
            <w:tcW w:w="1579" w:type="pct"/>
            <w:vAlign w:val="center"/>
          </w:tcPr>
          <w:p w14:paraId="11337620" w14:textId="77777777" w:rsidR="00FD57F2" w:rsidRPr="00D46647" w:rsidRDefault="00FD57F2" w:rsidP="00FD57F2">
            <w:pPr>
              <w:autoSpaceDE w:val="0"/>
              <w:autoSpaceDN w:val="0"/>
              <w:adjustRightInd w:val="0"/>
              <w:rPr>
                <w:sz w:val="16"/>
                <w:szCs w:val="16"/>
                <w:highlight w:val="yellow"/>
              </w:rPr>
            </w:pPr>
            <w:r w:rsidRPr="00D46647">
              <w:rPr>
                <w:color w:val="000000"/>
                <w:sz w:val="16"/>
                <w:szCs w:val="16"/>
              </w:rPr>
              <w:t xml:space="preserve">Transformation de la plateforme et mise à niveau de la version existante des dossiers et archives de l’Organisation </w:t>
            </w:r>
          </w:p>
        </w:tc>
        <w:tc>
          <w:tcPr>
            <w:tcW w:w="858" w:type="pct"/>
            <w:vAlign w:val="center"/>
          </w:tcPr>
          <w:p w14:paraId="7E4762CB" w14:textId="77777777" w:rsidR="00FD57F2" w:rsidRPr="00D46647" w:rsidRDefault="00FD57F2" w:rsidP="00FD57F2">
            <w:pPr>
              <w:autoSpaceDE w:val="0"/>
              <w:autoSpaceDN w:val="0"/>
              <w:adjustRightInd w:val="0"/>
              <w:jc w:val="center"/>
              <w:rPr>
                <w:sz w:val="16"/>
                <w:szCs w:val="16"/>
              </w:rPr>
            </w:pPr>
            <w:r w:rsidRPr="00D46647">
              <w:rPr>
                <w:sz w:val="16"/>
                <w:szCs w:val="16"/>
              </w:rPr>
              <w:t>42 000</w:t>
            </w:r>
          </w:p>
        </w:tc>
        <w:tc>
          <w:tcPr>
            <w:tcW w:w="858" w:type="pct"/>
            <w:vAlign w:val="center"/>
          </w:tcPr>
          <w:p w14:paraId="13A5F64B" w14:textId="77777777" w:rsidR="00FD57F2" w:rsidRPr="00D46647" w:rsidRDefault="00FD57F2" w:rsidP="00FD57F2">
            <w:pPr>
              <w:autoSpaceDE w:val="0"/>
              <w:autoSpaceDN w:val="0"/>
              <w:adjustRightInd w:val="0"/>
              <w:jc w:val="center"/>
              <w:rPr>
                <w:sz w:val="16"/>
                <w:szCs w:val="16"/>
              </w:rPr>
            </w:pPr>
            <w:r w:rsidRPr="00D46647">
              <w:rPr>
                <w:sz w:val="16"/>
                <w:szCs w:val="16"/>
              </w:rPr>
              <w:t>42 000</w:t>
            </w:r>
          </w:p>
        </w:tc>
        <w:tc>
          <w:tcPr>
            <w:tcW w:w="858" w:type="pct"/>
            <w:vAlign w:val="center"/>
          </w:tcPr>
          <w:p w14:paraId="60E647FA"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c>
          <w:tcPr>
            <w:tcW w:w="847" w:type="pct"/>
            <w:vAlign w:val="center"/>
          </w:tcPr>
          <w:p w14:paraId="7D642C84"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r>
      <w:tr w:rsidR="00FD57F2" w:rsidRPr="00D46647" w14:paraId="2E5CD7E0" w14:textId="77777777" w:rsidTr="007E3422">
        <w:tc>
          <w:tcPr>
            <w:tcW w:w="1579" w:type="pct"/>
            <w:vAlign w:val="center"/>
          </w:tcPr>
          <w:p w14:paraId="0DD41B0B" w14:textId="77777777" w:rsidR="00FD57F2" w:rsidRPr="00D46647" w:rsidRDefault="00FD57F2" w:rsidP="00FD57F2">
            <w:pPr>
              <w:autoSpaceDE w:val="0"/>
              <w:autoSpaceDN w:val="0"/>
              <w:adjustRightInd w:val="0"/>
              <w:rPr>
                <w:sz w:val="16"/>
                <w:szCs w:val="16"/>
                <w:highlight w:val="yellow"/>
              </w:rPr>
            </w:pPr>
            <w:r w:rsidRPr="00D46647">
              <w:rPr>
                <w:sz w:val="16"/>
                <w:szCs w:val="16"/>
              </w:rPr>
              <w:t xml:space="preserve">Attribution du contrat au gestionnaire du projet pour le client et au spécialiste du système de gestion des contenus </w:t>
            </w:r>
          </w:p>
        </w:tc>
        <w:tc>
          <w:tcPr>
            <w:tcW w:w="858" w:type="pct"/>
            <w:vAlign w:val="center"/>
          </w:tcPr>
          <w:p w14:paraId="1D1E2B66" w14:textId="77777777" w:rsidR="00FD57F2" w:rsidRPr="00D46647" w:rsidRDefault="00FD57F2" w:rsidP="00FD57F2">
            <w:pPr>
              <w:autoSpaceDE w:val="0"/>
              <w:autoSpaceDN w:val="0"/>
              <w:adjustRightInd w:val="0"/>
              <w:jc w:val="center"/>
              <w:rPr>
                <w:sz w:val="16"/>
                <w:szCs w:val="16"/>
              </w:rPr>
            </w:pPr>
            <w:r w:rsidRPr="00D46647">
              <w:rPr>
                <w:sz w:val="16"/>
                <w:szCs w:val="16"/>
              </w:rPr>
              <w:t>400 000</w:t>
            </w:r>
          </w:p>
        </w:tc>
        <w:tc>
          <w:tcPr>
            <w:tcW w:w="858" w:type="pct"/>
            <w:vAlign w:val="center"/>
          </w:tcPr>
          <w:p w14:paraId="29739696" w14:textId="77777777" w:rsidR="00FD57F2" w:rsidRPr="00D46647" w:rsidRDefault="00FD57F2" w:rsidP="00FD57F2">
            <w:pPr>
              <w:autoSpaceDE w:val="0"/>
              <w:autoSpaceDN w:val="0"/>
              <w:adjustRightInd w:val="0"/>
              <w:jc w:val="center"/>
              <w:rPr>
                <w:sz w:val="16"/>
                <w:szCs w:val="16"/>
              </w:rPr>
            </w:pPr>
            <w:r w:rsidRPr="00D46647">
              <w:rPr>
                <w:sz w:val="16"/>
                <w:szCs w:val="16"/>
              </w:rPr>
              <w:t>100 336</w:t>
            </w:r>
          </w:p>
        </w:tc>
        <w:tc>
          <w:tcPr>
            <w:tcW w:w="858" w:type="pct"/>
            <w:vAlign w:val="center"/>
          </w:tcPr>
          <w:p w14:paraId="5264CA9D" w14:textId="77777777" w:rsidR="00FD57F2" w:rsidRPr="00D46647" w:rsidRDefault="00FD57F2" w:rsidP="00FD57F2">
            <w:pPr>
              <w:autoSpaceDE w:val="0"/>
              <w:autoSpaceDN w:val="0"/>
              <w:adjustRightInd w:val="0"/>
              <w:jc w:val="center"/>
              <w:rPr>
                <w:sz w:val="16"/>
                <w:szCs w:val="16"/>
              </w:rPr>
            </w:pPr>
            <w:r w:rsidRPr="00D46647">
              <w:rPr>
                <w:sz w:val="16"/>
                <w:szCs w:val="16"/>
              </w:rPr>
              <w:t>25,1%</w:t>
            </w:r>
          </w:p>
        </w:tc>
        <w:tc>
          <w:tcPr>
            <w:tcW w:w="847" w:type="pct"/>
            <w:vAlign w:val="center"/>
          </w:tcPr>
          <w:p w14:paraId="7FBDC5DE" w14:textId="77777777" w:rsidR="00FD57F2" w:rsidRPr="00D46647" w:rsidRDefault="00FD57F2" w:rsidP="00FD57F2">
            <w:pPr>
              <w:autoSpaceDE w:val="0"/>
              <w:autoSpaceDN w:val="0"/>
              <w:adjustRightInd w:val="0"/>
              <w:jc w:val="center"/>
              <w:rPr>
                <w:sz w:val="16"/>
                <w:szCs w:val="16"/>
              </w:rPr>
            </w:pPr>
            <w:r w:rsidRPr="00D46647">
              <w:rPr>
                <w:sz w:val="16"/>
                <w:szCs w:val="16"/>
              </w:rPr>
              <w:t>25%</w:t>
            </w:r>
          </w:p>
        </w:tc>
      </w:tr>
      <w:tr w:rsidR="00FD57F2" w:rsidRPr="00D46647" w14:paraId="6E174EB4" w14:textId="77777777" w:rsidTr="007E3422">
        <w:tc>
          <w:tcPr>
            <w:tcW w:w="1579" w:type="pct"/>
            <w:vAlign w:val="center"/>
          </w:tcPr>
          <w:p w14:paraId="3AD27A60" w14:textId="77777777" w:rsidR="00FD57F2" w:rsidRPr="00D46647" w:rsidRDefault="00FD57F2" w:rsidP="00FD57F2">
            <w:pPr>
              <w:autoSpaceDE w:val="0"/>
              <w:autoSpaceDN w:val="0"/>
              <w:adjustRightInd w:val="0"/>
              <w:rPr>
                <w:sz w:val="16"/>
                <w:szCs w:val="16"/>
                <w:highlight w:val="yellow"/>
              </w:rPr>
            </w:pPr>
            <w:r w:rsidRPr="00D46647">
              <w:rPr>
                <w:sz w:val="16"/>
                <w:szCs w:val="16"/>
              </w:rPr>
              <w:t>Frais d’hébergement et de maintenance du système de gestion des contenus</w:t>
            </w:r>
          </w:p>
        </w:tc>
        <w:tc>
          <w:tcPr>
            <w:tcW w:w="858" w:type="pct"/>
            <w:vAlign w:val="center"/>
          </w:tcPr>
          <w:p w14:paraId="37AD9216" w14:textId="77777777" w:rsidR="00FD57F2" w:rsidRPr="00D46647" w:rsidRDefault="00FD57F2" w:rsidP="00FD57F2">
            <w:pPr>
              <w:autoSpaceDE w:val="0"/>
              <w:autoSpaceDN w:val="0"/>
              <w:adjustRightInd w:val="0"/>
              <w:jc w:val="center"/>
              <w:rPr>
                <w:sz w:val="16"/>
                <w:szCs w:val="16"/>
              </w:rPr>
            </w:pPr>
            <w:r w:rsidRPr="00D46647">
              <w:rPr>
                <w:sz w:val="16"/>
                <w:szCs w:val="16"/>
              </w:rPr>
              <w:t>978 000</w:t>
            </w:r>
          </w:p>
        </w:tc>
        <w:tc>
          <w:tcPr>
            <w:tcW w:w="858" w:type="pct"/>
            <w:vAlign w:val="center"/>
          </w:tcPr>
          <w:p w14:paraId="18CA2E56" w14:textId="77777777" w:rsidR="00FD57F2" w:rsidRPr="00D46647" w:rsidRDefault="00FD57F2" w:rsidP="00FD57F2">
            <w:pPr>
              <w:autoSpaceDE w:val="0"/>
              <w:autoSpaceDN w:val="0"/>
              <w:adjustRightInd w:val="0"/>
              <w:jc w:val="center"/>
              <w:rPr>
                <w:sz w:val="16"/>
                <w:szCs w:val="16"/>
              </w:rPr>
            </w:pPr>
            <w:r w:rsidRPr="00D46647">
              <w:rPr>
                <w:sz w:val="16"/>
                <w:szCs w:val="16"/>
              </w:rPr>
              <w:t>294 766</w:t>
            </w:r>
          </w:p>
        </w:tc>
        <w:tc>
          <w:tcPr>
            <w:tcW w:w="858" w:type="pct"/>
            <w:vAlign w:val="center"/>
          </w:tcPr>
          <w:p w14:paraId="1F6052A4" w14:textId="77777777" w:rsidR="00FD57F2" w:rsidRPr="00D46647" w:rsidRDefault="00FD57F2" w:rsidP="00FD57F2">
            <w:pPr>
              <w:autoSpaceDE w:val="0"/>
              <w:autoSpaceDN w:val="0"/>
              <w:adjustRightInd w:val="0"/>
              <w:jc w:val="center"/>
              <w:rPr>
                <w:sz w:val="16"/>
                <w:szCs w:val="16"/>
              </w:rPr>
            </w:pPr>
            <w:r w:rsidRPr="00D46647">
              <w:rPr>
                <w:sz w:val="16"/>
                <w:szCs w:val="16"/>
              </w:rPr>
              <w:t>30,1%</w:t>
            </w:r>
          </w:p>
        </w:tc>
        <w:tc>
          <w:tcPr>
            <w:tcW w:w="847" w:type="pct"/>
            <w:vAlign w:val="center"/>
          </w:tcPr>
          <w:p w14:paraId="4D4F164C" w14:textId="77777777" w:rsidR="00FD57F2" w:rsidRPr="00D46647" w:rsidRDefault="00FD57F2" w:rsidP="00FD57F2">
            <w:pPr>
              <w:autoSpaceDE w:val="0"/>
              <w:autoSpaceDN w:val="0"/>
              <w:adjustRightInd w:val="0"/>
              <w:jc w:val="center"/>
              <w:rPr>
                <w:sz w:val="16"/>
                <w:szCs w:val="16"/>
              </w:rPr>
            </w:pPr>
            <w:r w:rsidRPr="00D46647">
              <w:rPr>
                <w:sz w:val="16"/>
                <w:szCs w:val="16"/>
              </w:rPr>
              <w:t>30%</w:t>
            </w:r>
          </w:p>
        </w:tc>
      </w:tr>
      <w:tr w:rsidR="00FD57F2" w:rsidRPr="00D46647" w14:paraId="699A058A" w14:textId="77777777" w:rsidTr="007E3422">
        <w:tc>
          <w:tcPr>
            <w:tcW w:w="1579" w:type="pct"/>
            <w:vAlign w:val="center"/>
          </w:tcPr>
          <w:p w14:paraId="0F333B37" w14:textId="77777777" w:rsidR="00FD57F2" w:rsidRPr="00D46647" w:rsidRDefault="00FD57F2" w:rsidP="00FD57F2">
            <w:pPr>
              <w:autoSpaceDE w:val="0"/>
              <w:autoSpaceDN w:val="0"/>
              <w:adjustRightInd w:val="0"/>
              <w:rPr>
                <w:sz w:val="16"/>
                <w:szCs w:val="16"/>
                <w:highlight w:val="yellow"/>
              </w:rPr>
            </w:pPr>
            <w:r w:rsidRPr="00D46647">
              <w:rPr>
                <w:sz w:val="16"/>
                <w:szCs w:val="16"/>
              </w:rPr>
              <w:t>Installation et configuration de base</w:t>
            </w:r>
          </w:p>
        </w:tc>
        <w:tc>
          <w:tcPr>
            <w:tcW w:w="858" w:type="pct"/>
            <w:vAlign w:val="center"/>
          </w:tcPr>
          <w:p w14:paraId="3B736F25" w14:textId="77777777" w:rsidR="00FD57F2" w:rsidRPr="00D46647" w:rsidRDefault="00FD57F2" w:rsidP="00FD57F2">
            <w:pPr>
              <w:autoSpaceDE w:val="0"/>
              <w:autoSpaceDN w:val="0"/>
              <w:adjustRightInd w:val="0"/>
              <w:jc w:val="center"/>
              <w:rPr>
                <w:sz w:val="16"/>
                <w:szCs w:val="16"/>
              </w:rPr>
            </w:pPr>
            <w:r w:rsidRPr="00D46647">
              <w:rPr>
                <w:sz w:val="16"/>
                <w:szCs w:val="16"/>
              </w:rPr>
              <w:t>205 000</w:t>
            </w:r>
          </w:p>
        </w:tc>
        <w:tc>
          <w:tcPr>
            <w:tcW w:w="858" w:type="pct"/>
            <w:vAlign w:val="center"/>
          </w:tcPr>
          <w:p w14:paraId="567BA0D4" w14:textId="77777777" w:rsidR="00FD57F2" w:rsidRPr="00D46647" w:rsidRDefault="00FD57F2" w:rsidP="00FD57F2">
            <w:pPr>
              <w:autoSpaceDE w:val="0"/>
              <w:autoSpaceDN w:val="0"/>
              <w:adjustRightInd w:val="0"/>
              <w:jc w:val="center"/>
              <w:rPr>
                <w:sz w:val="16"/>
                <w:szCs w:val="16"/>
              </w:rPr>
            </w:pPr>
            <w:r w:rsidRPr="00D46647">
              <w:rPr>
                <w:sz w:val="16"/>
                <w:szCs w:val="16"/>
              </w:rPr>
              <w:t>51 388</w:t>
            </w:r>
          </w:p>
        </w:tc>
        <w:tc>
          <w:tcPr>
            <w:tcW w:w="858" w:type="pct"/>
            <w:vAlign w:val="center"/>
          </w:tcPr>
          <w:p w14:paraId="5FD5BC4E" w14:textId="77777777" w:rsidR="00FD57F2" w:rsidRPr="00D46647" w:rsidRDefault="00FD57F2" w:rsidP="00FD57F2">
            <w:pPr>
              <w:autoSpaceDE w:val="0"/>
              <w:autoSpaceDN w:val="0"/>
              <w:adjustRightInd w:val="0"/>
              <w:jc w:val="center"/>
              <w:rPr>
                <w:sz w:val="16"/>
                <w:szCs w:val="16"/>
              </w:rPr>
            </w:pPr>
            <w:r w:rsidRPr="00D46647">
              <w:rPr>
                <w:sz w:val="16"/>
                <w:szCs w:val="16"/>
              </w:rPr>
              <w:t>25,1%</w:t>
            </w:r>
          </w:p>
        </w:tc>
        <w:tc>
          <w:tcPr>
            <w:tcW w:w="847" w:type="pct"/>
            <w:vAlign w:val="center"/>
          </w:tcPr>
          <w:p w14:paraId="25A5EDA1" w14:textId="77777777" w:rsidR="00FD57F2" w:rsidRPr="00D46647" w:rsidRDefault="00FD57F2" w:rsidP="00FD57F2">
            <w:pPr>
              <w:autoSpaceDE w:val="0"/>
              <w:autoSpaceDN w:val="0"/>
              <w:adjustRightInd w:val="0"/>
              <w:jc w:val="center"/>
              <w:rPr>
                <w:sz w:val="16"/>
                <w:szCs w:val="16"/>
              </w:rPr>
            </w:pPr>
            <w:r w:rsidRPr="00D46647">
              <w:rPr>
                <w:sz w:val="16"/>
                <w:szCs w:val="16"/>
              </w:rPr>
              <w:t>25%</w:t>
            </w:r>
          </w:p>
        </w:tc>
      </w:tr>
      <w:tr w:rsidR="00FD57F2" w:rsidRPr="00D46647" w14:paraId="2F4D0F08" w14:textId="77777777" w:rsidTr="007E3422">
        <w:tc>
          <w:tcPr>
            <w:tcW w:w="1579" w:type="pct"/>
            <w:vAlign w:val="center"/>
          </w:tcPr>
          <w:p w14:paraId="54D366FC" w14:textId="77777777" w:rsidR="00FD57F2" w:rsidRPr="00D46647" w:rsidRDefault="00FD57F2" w:rsidP="00FD57F2">
            <w:pPr>
              <w:autoSpaceDE w:val="0"/>
              <w:autoSpaceDN w:val="0"/>
              <w:adjustRightInd w:val="0"/>
              <w:rPr>
                <w:sz w:val="16"/>
                <w:szCs w:val="16"/>
                <w:highlight w:val="yellow"/>
              </w:rPr>
            </w:pPr>
            <w:r w:rsidRPr="00D46647">
              <w:rPr>
                <w:sz w:val="16"/>
                <w:szCs w:val="16"/>
              </w:rPr>
              <w:t>Projet n° 1 : gestion des demandes de traduction</w:t>
            </w:r>
          </w:p>
        </w:tc>
        <w:tc>
          <w:tcPr>
            <w:tcW w:w="858" w:type="pct"/>
            <w:vAlign w:val="center"/>
          </w:tcPr>
          <w:p w14:paraId="4D22A1F2" w14:textId="77777777" w:rsidR="00FD57F2" w:rsidRPr="00D46647" w:rsidRDefault="00FD57F2" w:rsidP="00FD57F2">
            <w:pPr>
              <w:autoSpaceDE w:val="0"/>
              <w:autoSpaceDN w:val="0"/>
              <w:adjustRightInd w:val="0"/>
              <w:jc w:val="center"/>
              <w:rPr>
                <w:sz w:val="16"/>
                <w:szCs w:val="16"/>
              </w:rPr>
            </w:pPr>
            <w:r w:rsidRPr="00D46647">
              <w:rPr>
                <w:sz w:val="16"/>
                <w:szCs w:val="16"/>
              </w:rPr>
              <w:t>58 000</w:t>
            </w:r>
          </w:p>
        </w:tc>
        <w:tc>
          <w:tcPr>
            <w:tcW w:w="858" w:type="pct"/>
            <w:vAlign w:val="center"/>
          </w:tcPr>
          <w:p w14:paraId="44AB96EF"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58" w:type="pct"/>
            <w:vAlign w:val="center"/>
          </w:tcPr>
          <w:p w14:paraId="05CA1662"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47" w:type="pct"/>
            <w:vAlign w:val="center"/>
          </w:tcPr>
          <w:p w14:paraId="34C972FC"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250FA08A" w14:textId="77777777" w:rsidTr="007E3422">
        <w:tc>
          <w:tcPr>
            <w:tcW w:w="1579" w:type="pct"/>
            <w:vAlign w:val="center"/>
          </w:tcPr>
          <w:p w14:paraId="3A466572" w14:textId="77777777" w:rsidR="00FD57F2" w:rsidRPr="00D46647" w:rsidRDefault="00FD57F2" w:rsidP="00FD57F2">
            <w:pPr>
              <w:autoSpaceDE w:val="0"/>
              <w:autoSpaceDN w:val="0"/>
              <w:adjustRightInd w:val="0"/>
              <w:rPr>
                <w:sz w:val="16"/>
                <w:szCs w:val="16"/>
                <w:highlight w:val="yellow"/>
              </w:rPr>
            </w:pPr>
            <w:r w:rsidRPr="00D46647">
              <w:rPr>
                <w:sz w:val="16"/>
                <w:szCs w:val="16"/>
              </w:rPr>
              <w:t>Projet n° 2 : courrier reçu par le Cabinet du Directeur général</w:t>
            </w:r>
          </w:p>
        </w:tc>
        <w:tc>
          <w:tcPr>
            <w:tcW w:w="858" w:type="pct"/>
            <w:vAlign w:val="center"/>
          </w:tcPr>
          <w:p w14:paraId="39AEA174" w14:textId="77777777" w:rsidR="00FD57F2" w:rsidRPr="00D46647" w:rsidRDefault="00FD57F2" w:rsidP="00FD57F2">
            <w:pPr>
              <w:autoSpaceDE w:val="0"/>
              <w:autoSpaceDN w:val="0"/>
              <w:adjustRightInd w:val="0"/>
              <w:jc w:val="center"/>
              <w:rPr>
                <w:sz w:val="16"/>
                <w:szCs w:val="16"/>
              </w:rPr>
            </w:pPr>
            <w:r w:rsidRPr="00D46647">
              <w:rPr>
                <w:sz w:val="16"/>
                <w:szCs w:val="16"/>
              </w:rPr>
              <w:t>80 000</w:t>
            </w:r>
          </w:p>
        </w:tc>
        <w:tc>
          <w:tcPr>
            <w:tcW w:w="858" w:type="pct"/>
            <w:vAlign w:val="center"/>
          </w:tcPr>
          <w:p w14:paraId="7B74AD36"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58" w:type="pct"/>
            <w:vAlign w:val="center"/>
          </w:tcPr>
          <w:p w14:paraId="4625FB29"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47" w:type="pct"/>
            <w:vAlign w:val="center"/>
          </w:tcPr>
          <w:p w14:paraId="3A212831"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11845F69" w14:textId="77777777" w:rsidTr="007E3422">
        <w:tc>
          <w:tcPr>
            <w:tcW w:w="1579" w:type="pct"/>
            <w:vAlign w:val="center"/>
          </w:tcPr>
          <w:p w14:paraId="638EA593" w14:textId="77777777" w:rsidR="00FD57F2" w:rsidRPr="00D46647" w:rsidRDefault="00FD57F2" w:rsidP="00FD57F2">
            <w:pPr>
              <w:autoSpaceDE w:val="0"/>
              <w:autoSpaceDN w:val="0"/>
              <w:adjustRightInd w:val="0"/>
              <w:rPr>
                <w:sz w:val="16"/>
                <w:szCs w:val="16"/>
                <w:highlight w:val="yellow"/>
              </w:rPr>
            </w:pPr>
            <w:r w:rsidRPr="00D46647">
              <w:rPr>
                <w:sz w:val="16"/>
                <w:szCs w:val="16"/>
              </w:rPr>
              <w:t xml:space="preserve">Projet n° 3 : système de gestion des fournisseurs et des contrats </w:t>
            </w:r>
          </w:p>
        </w:tc>
        <w:tc>
          <w:tcPr>
            <w:tcW w:w="858" w:type="pct"/>
            <w:vAlign w:val="center"/>
          </w:tcPr>
          <w:p w14:paraId="7272D144" w14:textId="77777777" w:rsidR="00FD57F2" w:rsidRPr="00D46647" w:rsidRDefault="00FD57F2" w:rsidP="00FD57F2">
            <w:pPr>
              <w:autoSpaceDE w:val="0"/>
              <w:autoSpaceDN w:val="0"/>
              <w:adjustRightInd w:val="0"/>
              <w:jc w:val="center"/>
              <w:rPr>
                <w:sz w:val="16"/>
                <w:szCs w:val="16"/>
              </w:rPr>
            </w:pPr>
            <w:r w:rsidRPr="00D46647">
              <w:rPr>
                <w:sz w:val="16"/>
                <w:szCs w:val="16"/>
              </w:rPr>
              <w:t>46 000</w:t>
            </w:r>
          </w:p>
        </w:tc>
        <w:tc>
          <w:tcPr>
            <w:tcW w:w="858" w:type="pct"/>
            <w:vAlign w:val="center"/>
          </w:tcPr>
          <w:p w14:paraId="39D307E1"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58" w:type="pct"/>
            <w:vAlign w:val="center"/>
          </w:tcPr>
          <w:p w14:paraId="6FE2050C"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47" w:type="pct"/>
            <w:vAlign w:val="center"/>
          </w:tcPr>
          <w:p w14:paraId="4CE8940C"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0CDDC0FD" w14:textId="77777777" w:rsidTr="007E3422">
        <w:tc>
          <w:tcPr>
            <w:tcW w:w="1579" w:type="pct"/>
            <w:vAlign w:val="center"/>
          </w:tcPr>
          <w:p w14:paraId="1E4D0AD3" w14:textId="77777777" w:rsidR="00FD57F2" w:rsidRPr="00D46647" w:rsidRDefault="00FD57F2" w:rsidP="00FD57F2">
            <w:pPr>
              <w:autoSpaceDE w:val="0"/>
              <w:autoSpaceDN w:val="0"/>
              <w:adjustRightInd w:val="0"/>
              <w:rPr>
                <w:sz w:val="16"/>
                <w:szCs w:val="16"/>
                <w:highlight w:val="yellow"/>
              </w:rPr>
            </w:pPr>
            <w:r w:rsidRPr="00D46647">
              <w:rPr>
                <w:sz w:val="16"/>
                <w:szCs w:val="16"/>
              </w:rPr>
              <w:t xml:space="preserve">Projet n° 4 : rapports de mission </w:t>
            </w:r>
          </w:p>
        </w:tc>
        <w:tc>
          <w:tcPr>
            <w:tcW w:w="858" w:type="pct"/>
            <w:vAlign w:val="center"/>
          </w:tcPr>
          <w:p w14:paraId="0CA505AA" w14:textId="77777777" w:rsidR="00FD57F2" w:rsidRPr="00D46647" w:rsidRDefault="00FD57F2" w:rsidP="00FD57F2">
            <w:pPr>
              <w:autoSpaceDE w:val="0"/>
              <w:autoSpaceDN w:val="0"/>
              <w:adjustRightInd w:val="0"/>
              <w:jc w:val="center"/>
              <w:rPr>
                <w:sz w:val="16"/>
                <w:szCs w:val="16"/>
              </w:rPr>
            </w:pPr>
            <w:r w:rsidRPr="00D46647">
              <w:rPr>
                <w:sz w:val="16"/>
                <w:szCs w:val="16"/>
              </w:rPr>
              <w:t>37 000</w:t>
            </w:r>
          </w:p>
        </w:tc>
        <w:tc>
          <w:tcPr>
            <w:tcW w:w="858" w:type="pct"/>
            <w:vAlign w:val="center"/>
          </w:tcPr>
          <w:p w14:paraId="31D70966"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58" w:type="pct"/>
            <w:vAlign w:val="center"/>
          </w:tcPr>
          <w:p w14:paraId="21906234"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47" w:type="pct"/>
            <w:vAlign w:val="center"/>
          </w:tcPr>
          <w:p w14:paraId="3B1417B1"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7F8E1ACE" w14:textId="77777777" w:rsidTr="007E3422">
        <w:tc>
          <w:tcPr>
            <w:tcW w:w="1579" w:type="pct"/>
            <w:vAlign w:val="center"/>
          </w:tcPr>
          <w:p w14:paraId="32415BAA" w14:textId="77777777" w:rsidR="00FD57F2" w:rsidRPr="00D46647" w:rsidRDefault="00FD57F2" w:rsidP="00FD57F2">
            <w:pPr>
              <w:autoSpaceDE w:val="0"/>
              <w:autoSpaceDN w:val="0"/>
              <w:adjustRightInd w:val="0"/>
              <w:rPr>
                <w:sz w:val="16"/>
                <w:szCs w:val="16"/>
                <w:highlight w:val="yellow"/>
              </w:rPr>
            </w:pPr>
            <w:r w:rsidRPr="00D46647">
              <w:rPr>
                <w:sz w:val="16"/>
                <w:szCs w:val="16"/>
              </w:rPr>
              <w:t>Projet n° 5 : dossiers électroniques du personnel</w:t>
            </w:r>
          </w:p>
        </w:tc>
        <w:tc>
          <w:tcPr>
            <w:tcW w:w="858" w:type="pct"/>
            <w:vAlign w:val="center"/>
          </w:tcPr>
          <w:p w14:paraId="1066539D" w14:textId="77777777" w:rsidR="00FD57F2" w:rsidRPr="00D46647" w:rsidRDefault="00FD57F2" w:rsidP="00FD57F2">
            <w:pPr>
              <w:autoSpaceDE w:val="0"/>
              <w:autoSpaceDN w:val="0"/>
              <w:adjustRightInd w:val="0"/>
              <w:jc w:val="center"/>
              <w:rPr>
                <w:sz w:val="16"/>
                <w:szCs w:val="16"/>
              </w:rPr>
            </w:pPr>
            <w:r w:rsidRPr="00D46647">
              <w:rPr>
                <w:sz w:val="16"/>
                <w:szCs w:val="16"/>
              </w:rPr>
              <w:t>140 000</w:t>
            </w:r>
          </w:p>
        </w:tc>
        <w:tc>
          <w:tcPr>
            <w:tcW w:w="858" w:type="pct"/>
            <w:vAlign w:val="center"/>
          </w:tcPr>
          <w:p w14:paraId="40A2731F"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58" w:type="pct"/>
            <w:vAlign w:val="center"/>
          </w:tcPr>
          <w:p w14:paraId="332731DF"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47" w:type="pct"/>
            <w:vAlign w:val="center"/>
          </w:tcPr>
          <w:p w14:paraId="01B1080A"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7C37BC24" w14:textId="77777777" w:rsidTr="007E3422">
        <w:tc>
          <w:tcPr>
            <w:tcW w:w="1579" w:type="pct"/>
            <w:vAlign w:val="center"/>
          </w:tcPr>
          <w:p w14:paraId="09A7535E" w14:textId="77777777" w:rsidR="00FD57F2" w:rsidRPr="00D46647" w:rsidRDefault="00FD57F2" w:rsidP="00FD57F2">
            <w:pPr>
              <w:autoSpaceDE w:val="0"/>
              <w:autoSpaceDN w:val="0"/>
              <w:adjustRightInd w:val="0"/>
              <w:rPr>
                <w:sz w:val="16"/>
                <w:szCs w:val="16"/>
                <w:highlight w:val="yellow"/>
              </w:rPr>
            </w:pPr>
            <w:r w:rsidRPr="00D46647">
              <w:rPr>
                <w:sz w:val="16"/>
                <w:szCs w:val="16"/>
              </w:rPr>
              <w:t>Projet n° 6 : accès au système de gestion des contenus dans toute l’Organisation</w:t>
            </w:r>
          </w:p>
        </w:tc>
        <w:tc>
          <w:tcPr>
            <w:tcW w:w="858" w:type="pct"/>
            <w:vAlign w:val="center"/>
          </w:tcPr>
          <w:p w14:paraId="7335F139" w14:textId="77777777" w:rsidR="00FD57F2" w:rsidRPr="00D46647" w:rsidRDefault="00FD57F2" w:rsidP="00FD57F2">
            <w:pPr>
              <w:autoSpaceDE w:val="0"/>
              <w:autoSpaceDN w:val="0"/>
              <w:adjustRightInd w:val="0"/>
              <w:jc w:val="center"/>
              <w:rPr>
                <w:sz w:val="16"/>
                <w:szCs w:val="16"/>
              </w:rPr>
            </w:pPr>
            <w:r w:rsidRPr="00D46647">
              <w:rPr>
                <w:sz w:val="16"/>
                <w:szCs w:val="16"/>
              </w:rPr>
              <w:t>46 000</w:t>
            </w:r>
          </w:p>
        </w:tc>
        <w:tc>
          <w:tcPr>
            <w:tcW w:w="858" w:type="pct"/>
            <w:vAlign w:val="center"/>
          </w:tcPr>
          <w:p w14:paraId="7773FAC2"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58" w:type="pct"/>
            <w:vAlign w:val="center"/>
          </w:tcPr>
          <w:p w14:paraId="3767E9A0"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47" w:type="pct"/>
            <w:vAlign w:val="center"/>
          </w:tcPr>
          <w:p w14:paraId="287A706D"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3AB016F5" w14:textId="77777777" w:rsidTr="007E3422">
        <w:tc>
          <w:tcPr>
            <w:tcW w:w="1579" w:type="pct"/>
            <w:shd w:val="clear" w:color="auto" w:fill="C6D9F1" w:themeFill="text2" w:themeFillTint="33"/>
            <w:vAlign w:val="center"/>
          </w:tcPr>
          <w:p w14:paraId="0139BA47" w14:textId="77777777" w:rsidR="00FD57F2" w:rsidRPr="00D46647" w:rsidRDefault="00FD57F2" w:rsidP="00FD57F2">
            <w:pPr>
              <w:autoSpaceDE w:val="0"/>
              <w:autoSpaceDN w:val="0"/>
              <w:adjustRightInd w:val="0"/>
              <w:rPr>
                <w:b/>
                <w:sz w:val="16"/>
                <w:szCs w:val="16"/>
              </w:rPr>
            </w:pPr>
            <w:r w:rsidRPr="00D46647">
              <w:rPr>
                <w:b/>
                <w:sz w:val="16"/>
                <w:szCs w:val="16"/>
              </w:rPr>
              <w:t>Total</w:t>
            </w:r>
          </w:p>
        </w:tc>
        <w:tc>
          <w:tcPr>
            <w:tcW w:w="858" w:type="pct"/>
            <w:shd w:val="clear" w:color="auto" w:fill="C6D9F1" w:themeFill="text2" w:themeFillTint="33"/>
            <w:vAlign w:val="center"/>
          </w:tcPr>
          <w:p w14:paraId="1EABD963" w14:textId="77777777" w:rsidR="00FD57F2" w:rsidRPr="00D46647" w:rsidRDefault="00FD57F2" w:rsidP="00FD57F2">
            <w:pPr>
              <w:autoSpaceDE w:val="0"/>
              <w:autoSpaceDN w:val="0"/>
              <w:adjustRightInd w:val="0"/>
              <w:jc w:val="center"/>
              <w:rPr>
                <w:b/>
                <w:sz w:val="16"/>
                <w:szCs w:val="16"/>
              </w:rPr>
            </w:pPr>
            <w:r w:rsidRPr="00D46647">
              <w:rPr>
                <w:b/>
                <w:sz w:val="16"/>
                <w:szCs w:val="16"/>
              </w:rPr>
              <w:t>2 068 000</w:t>
            </w:r>
          </w:p>
        </w:tc>
        <w:tc>
          <w:tcPr>
            <w:tcW w:w="858" w:type="pct"/>
            <w:shd w:val="clear" w:color="auto" w:fill="C6D9F1" w:themeFill="text2" w:themeFillTint="33"/>
            <w:vAlign w:val="center"/>
          </w:tcPr>
          <w:p w14:paraId="41BF6928" w14:textId="77777777" w:rsidR="00FD57F2" w:rsidRPr="00D46647" w:rsidRDefault="00FD57F2" w:rsidP="00FD57F2">
            <w:pPr>
              <w:autoSpaceDE w:val="0"/>
              <w:autoSpaceDN w:val="0"/>
              <w:adjustRightInd w:val="0"/>
              <w:jc w:val="center"/>
              <w:rPr>
                <w:b/>
                <w:sz w:val="16"/>
                <w:szCs w:val="16"/>
              </w:rPr>
            </w:pPr>
            <w:r w:rsidRPr="00D46647">
              <w:rPr>
                <w:b/>
                <w:sz w:val="16"/>
                <w:szCs w:val="16"/>
              </w:rPr>
              <w:t>524 491</w:t>
            </w:r>
          </w:p>
        </w:tc>
        <w:tc>
          <w:tcPr>
            <w:tcW w:w="858" w:type="pct"/>
            <w:shd w:val="clear" w:color="auto" w:fill="C6D9F1" w:themeFill="text2" w:themeFillTint="33"/>
            <w:vAlign w:val="center"/>
          </w:tcPr>
          <w:p w14:paraId="6731FFBA" w14:textId="77777777" w:rsidR="00FD57F2" w:rsidRPr="00D46647" w:rsidRDefault="00FD57F2" w:rsidP="00FD57F2">
            <w:pPr>
              <w:autoSpaceDE w:val="0"/>
              <w:autoSpaceDN w:val="0"/>
              <w:adjustRightInd w:val="0"/>
              <w:jc w:val="center"/>
              <w:rPr>
                <w:b/>
                <w:sz w:val="16"/>
                <w:szCs w:val="16"/>
              </w:rPr>
            </w:pPr>
            <w:r w:rsidRPr="00D46647">
              <w:rPr>
                <w:b/>
                <w:sz w:val="16"/>
                <w:szCs w:val="16"/>
              </w:rPr>
              <w:t>25,4%</w:t>
            </w:r>
          </w:p>
        </w:tc>
        <w:tc>
          <w:tcPr>
            <w:tcW w:w="847" w:type="pct"/>
            <w:shd w:val="clear" w:color="auto" w:fill="C6D9F1" w:themeFill="text2" w:themeFillTint="33"/>
          </w:tcPr>
          <w:p w14:paraId="042C8327" w14:textId="77777777" w:rsidR="00FD57F2" w:rsidRPr="00D46647" w:rsidRDefault="00FD57F2" w:rsidP="00FD57F2">
            <w:pPr>
              <w:autoSpaceDE w:val="0"/>
              <w:autoSpaceDN w:val="0"/>
              <w:adjustRightInd w:val="0"/>
              <w:jc w:val="center"/>
              <w:rPr>
                <w:b/>
                <w:sz w:val="16"/>
                <w:szCs w:val="16"/>
              </w:rPr>
            </w:pPr>
          </w:p>
        </w:tc>
      </w:tr>
    </w:tbl>
    <w:p w14:paraId="106D79CB" w14:textId="77777777" w:rsidR="00FD57F2" w:rsidRPr="00D46647" w:rsidRDefault="00FD57F2" w:rsidP="00FD57F2">
      <w:pPr>
        <w:rPr>
          <w:color w:val="000000"/>
          <w:sz w:val="20"/>
        </w:rPr>
      </w:pPr>
    </w:p>
    <w:p w14:paraId="52E60A7B" w14:textId="77777777" w:rsidR="00FD57F2" w:rsidRPr="00D46647" w:rsidRDefault="00FD57F2" w:rsidP="00FD57F2">
      <w:pPr>
        <w:keepNext/>
        <w:keepLines/>
        <w:tabs>
          <w:tab w:val="left" w:pos="3261"/>
        </w:tabs>
        <w:autoSpaceDE w:val="0"/>
        <w:autoSpaceDN w:val="0"/>
        <w:adjustRightInd w:val="0"/>
        <w:jc w:val="center"/>
        <w:rPr>
          <w:b/>
          <w:color w:val="000000"/>
          <w:sz w:val="20"/>
        </w:rPr>
      </w:pPr>
    </w:p>
    <w:p w14:paraId="5E2CF131"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 (par catégorie de dépenses)</w:t>
      </w:r>
    </w:p>
    <w:p w14:paraId="7D2DBCD7"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5EB26E5A" w14:textId="77777777" w:rsidR="00FD57F2" w:rsidRPr="00D46647" w:rsidRDefault="00FD57F2" w:rsidP="00FD57F2">
      <w:pPr>
        <w:keepNext/>
        <w:keepLines/>
        <w:tabs>
          <w:tab w:val="left" w:pos="3261"/>
        </w:tabs>
        <w:autoSpaceDE w:val="0"/>
        <w:autoSpaceDN w:val="0"/>
        <w:adjustRightInd w:val="0"/>
        <w:spacing w:after="120"/>
        <w:jc w:val="center"/>
        <w:rPr>
          <w:i/>
          <w:iCs/>
          <w:sz w:val="18"/>
          <w:szCs w:val="18"/>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724"/>
        <w:gridCol w:w="2127"/>
        <w:gridCol w:w="2127"/>
        <w:gridCol w:w="2309"/>
      </w:tblGrid>
      <w:tr w:rsidR="00FD57F2" w:rsidRPr="00D46647" w14:paraId="4171E28E" w14:textId="77777777" w:rsidTr="007E3422">
        <w:tc>
          <w:tcPr>
            <w:tcW w:w="1467" w:type="pct"/>
            <w:shd w:val="clear" w:color="auto" w:fill="C6D9F1" w:themeFill="text2" w:themeFillTint="33"/>
            <w:vAlign w:val="center"/>
          </w:tcPr>
          <w:p w14:paraId="7E406243"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Catégorie de dépenses</w:t>
            </w:r>
          </w:p>
        </w:tc>
        <w:tc>
          <w:tcPr>
            <w:tcW w:w="1145" w:type="pct"/>
            <w:shd w:val="clear" w:color="auto" w:fill="C6D9F1" w:themeFill="text2" w:themeFillTint="33"/>
            <w:vAlign w:val="center"/>
          </w:tcPr>
          <w:p w14:paraId="07068FF1"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Budget du projet</w:t>
            </w:r>
          </w:p>
        </w:tc>
        <w:tc>
          <w:tcPr>
            <w:tcW w:w="1145" w:type="pct"/>
            <w:shd w:val="clear" w:color="auto" w:fill="C6D9F1" w:themeFill="text2" w:themeFillTint="33"/>
            <w:vAlign w:val="center"/>
          </w:tcPr>
          <w:p w14:paraId="21CCBDBC"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 xml:space="preserve">Dépenses effectives à ce jour </w:t>
            </w:r>
          </w:p>
        </w:tc>
        <w:tc>
          <w:tcPr>
            <w:tcW w:w="1243" w:type="pct"/>
            <w:shd w:val="clear" w:color="auto" w:fill="C6D9F1" w:themeFill="text2" w:themeFillTint="33"/>
            <w:vAlign w:val="center"/>
          </w:tcPr>
          <w:p w14:paraId="46979D14"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Utilisation effective du budget</w:t>
            </w:r>
          </w:p>
        </w:tc>
      </w:tr>
      <w:tr w:rsidR="00FD57F2" w:rsidRPr="00D46647" w14:paraId="5195AD70" w14:textId="77777777" w:rsidTr="007E3422">
        <w:tc>
          <w:tcPr>
            <w:tcW w:w="1467" w:type="pct"/>
            <w:vAlign w:val="center"/>
          </w:tcPr>
          <w:p w14:paraId="490D36B4" w14:textId="77777777" w:rsidR="00FD57F2" w:rsidRPr="00D46647" w:rsidRDefault="00FD57F2" w:rsidP="00FD57F2">
            <w:pPr>
              <w:autoSpaceDE w:val="0"/>
              <w:autoSpaceDN w:val="0"/>
              <w:adjustRightInd w:val="0"/>
              <w:rPr>
                <w:sz w:val="16"/>
                <w:szCs w:val="16"/>
              </w:rPr>
            </w:pPr>
            <w:r w:rsidRPr="00D46647">
              <w:rPr>
                <w:sz w:val="16"/>
                <w:szCs w:val="16"/>
              </w:rPr>
              <w:t>Services contractuels de personnes</w:t>
            </w:r>
          </w:p>
        </w:tc>
        <w:tc>
          <w:tcPr>
            <w:tcW w:w="1145" w:type="pct"/>
            <w:vAlign w:val="center"/>
          </w:tcPr>
          <w:p w14:paraId="1AF87E6B"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400 000</w:t>
            </w:r>
          </w:p>
        </w:tc>
        <w:tc>
          <w:tcPr>
            <w:tcW w:w="1145" w:type="pct"/>
            <w:vAlign w:val="center"/>
          </w:tcPr>
          <w:p w14:paraId="4A169F58"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100 336</w:t>
            </w:r>
          </w:p>
        </w:tc>
        <w:tc>
          <w:tcPr>
            <w:tcW w:w="1243" w:type="pct"/>
            <w:vAlign w:val="center"/>
          </w:tcPr>
          <w:p w14:paraId="60EBCFF4"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25,1%</w:t>
            </w:r>
          </w:p>
        </w:tc>
      </w:tr>
      <w:tr w:rsidR="00FD57F2" w:rsidRPr="00D46647" w14:paraId="46379ED1" w14:textId="77777777" w:rsidTr="007E3422">
        <w:tc>
          <w:tcPr>
            <w:tcW w:w="1467" w:type="pct"/>
            <w:vAlign w:val="center"/>
          </w:tcPr>
          <w:p w14:paraId="762B8DCE" w14:textId="77777777" w:rsidR="00FD57F2" w:rsidRPr="00D46647" w:rsidRDefault="00FD57F2" w:rsidP="00FD57F2">
            <w:pPr>
              <w:autoSpaceDE w:val="0"/>
              <w:autoSpaceDN w:val="0"/>
              <w:adjustRightInd w:val="0"/>
              <w:rPr>
                <w:sz w:val="16"/>
                <w:szCs w:val="16"/>
              </w:rPr>
            </w:pPr>
            <w:r w:rsidRPr="00D46647">
              <w:rPr>
                <w:sz w:val="16"/>
                <w:szCs w:val="16"/>
              </w:rPr>
              <w:t>Services contractuels</w:t>
            </w:r>
          </w:p>
        </w:tc>
        <w:tc>
          <w:tcPr>
            <w:tcW w:w="1145" w:type="pct"/>
            <w:vAlign w:val="center"/>
          </w:tcPr>
          <w:p w14:paraId="7FEC1C28"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690 000</w:t>
            </w:r>
          </w:p>
        </w:tc>
        <w:tc>
          <w:tcPr>
            <w:tcW w:w="1145" w:type="pct"/>
            <w:vAlign w:val="center"/>
          </w:tcPr>
          <w:p w14:paraId="20012232" w14:textId="77777777" w:rsidR="00FD57F2" w:rsidRPr="00D46647" w:rsidRDefault="00FD57F2" w:rsidP="00FD57F2">
            <w:pPr>
              <w:jc w:val="center"/>
              <w:rPr>
                <w:sz w:val="16"/>
                <w:szCs w:val="16"/>
              </w:rPr>
            </w:pPr>
            <w:r w:rsidRPr="00D46647">
              <w:rPr>
                <w:sz w:val="16"/>
                <w:szCs w:val="16"/>
              </w:rPr>
              <w:t>123 649</w:t>
            </w:r>
          </w:p>
        </w:tc>
        <w:tc>
          <w:tcPr>
            <w:tcW w:w="1243" w:type="pct"/>
            <w:vAlign w:val="center"/>
          </w:tcPr>
          <w:p w14:paraId="66898EC9" w14:textId="77777777" w:rsidR="00FD57F2" w:rsidRPr="00D46647" w:rsidRDefault="00FD57F2" w:rsidP="00FD57F2">
            <w:pPr>
              <w:jc w:val="center"/>
              <w:rPr>
                <w:sz w:val="16"/>
                <w:szCs w:val="16"/>
              </w:rPr>
            </w:pPr>
            <w:r w:rsidRPr="00D46647">
              <w:rPr>
                <w:sz w:val="16"/>
                <w:szCs w:val="16"/>
              </w:rPr>
              <w:t>17,9%</w:t>
            </w:r>
          </w:p>
        </w:tc>
      </w:tr>
      <w:tr w:rsidR="00FD57F2" w:rsidRPr="00D46647" w14:paraId="5E5271BF" w14:textId="77777777" w:rsidTr="007E3422">
        <w:tc>
          <w:tcPr>
            <w:tcW w:w="1467" w:type="pct"/>
            <w:vAlign w:val="center"/>
          </w:tcPr>
          <w:p w14:paraId="5ED4A40C" w14:textId="77777777" w:rsidR="00FD57F2" w:rsidRPr="00D46647" w:rsidRDefault="00FD57F2" w:rsidP="00FD57F2">
            <w:pPr>
              <w:autoSpaceDE w:val="0"/>
              <w:autoSpaceDN w:val="0"/>
              <w:adjustRightInd w:val="0"/>
              <w:rPr>
                <w:sz w:val="16"/>
                <w:szCs w:val="16"/>
                <w:highlight w:val="yellow"/>
              </w:rPr>
            </w:pPr>
            <w:r w:rsidRPr="00D46647">
              <w:rPr>
                <w:sz w:val="16"/>
                <w:szCs w:val="16"/>
              </w:rPr>
              <w:t xml:space="preserve">Appui logiciel </w:t>
            </w:r>
            <w:proofErr w:type="spellStart"/>
            <w:r w:rsidRPr="00D46647">
              <w:rPr>
                <w:sz w:val="16"/>
                <w:szCs w:val="16"/>
              </w:rPr>
              <w:t>OpenText</w:t>
            </w:r>
            <w:proofErr w:type="spellEnd"/>
            <w:r w:rsidRPr="00D46647">
              <w:rPr>
                <w:sz w:val="16"/>
                <w:szCs w:val="16"/>
              </w:rPr>
              <w:t xml:space="preserve"> (frais de maintenance)</w:t>
            </w:r>
            <w:r w:rsidRPr="001303B4">
              <w:rPr>
                <w:sz w:val="16"/>
                <w:szCs w:val="16"/>
              </w:rPr>
              <w:t xml:space="preserve"> </w:t>
            </w:r>
          </w:p>
        </w:tc>
        <w:tc>
          <w:tcPr>
            <w:tcW w:w="1145" w:type="pct"/>
            <w:vAlign w:val="center"/>
          </w:tcPr>
          <w:p w14:paraId="1EA63E52"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514 000</w:t>
            </w:r>
          </w:p>
        </w:tc>
        <w:tc>
          <w:tcPr>
            <w:tcW w:w="1145" w:type="pct"/>
            <w:vAlign w:val="center"/>
          </w:tcPr>
          <w:p w14:paraId="6AB1A115" w14:textId="77777777" w:rsidR="00FD57F2" w:rsidRPr="00D46647" w:rsidRDefault="00FD57F2" w:rsidP="00FD57F2">
            <w:pPr>
              <w:jc w:val="center"/>
              <w:rPr>
                <w:sz w:val="16"/>
                <w:szCs w:val="16"/>
              </w:rPr>
            </w:pPr>
            <w:r w:rsidRPr="00D46647">
              <w:rPr>
                <w:sz w:val="16"/>
                <w:szCs w:val="16"/>
              </w:rPr>
              <w:t>280 077</w:t>
            </w:r>
          </w:p>
        </w:tc>
        <w:tc>
          <w:tcPr>
            <w:tcW w:w="1243" w:type="pct"/>
            <w:vAlign w:val="center"/>
          </w:tcPr>
          <w:p w14:paraId="3B7DA5E7" w14:textId="77777777" w:rsidR="00FD57F2" w:rsidRPr="00D46647" w:rsidRDefault="00FD57F2" w:rsidP="00FD57F2">
            <w:pPr>
              <w:jc w:val="center"/>
              <w:rPr>
                <w:sz w:val="16"/>
                <w:szCs w:val="16"/>
              </w:rPr>
            </w:pPr>
            <w:r w:rsidRPr="00D46647">
              <w:rPr>
                <w:sz w:val="16"/>
                <w:szCs w:val="16"/>
              </w:rPr>
              <w:t>54,5%</w:t>
            </w:r>
          </w:p>
        </w:tc>
      </w:tr>
      <w:tr w:rsidR="00FD57F2" w:rsidRPr="00D46647" w14:paraId="1A60C562" w14:textId="77777777" w:rsidTr="007E3422">
        <w:tc>
          <w:tcPr>
            <w:tcW w:w="1467" w:type="pct"/>
            <w:vAlign w:val="center"/>
          </w:tcPr>
          <w:p w14:paraId="1BE29CA2" w14:textId="77777777" w:rsidR="00FD57F2" w:rsidRPr="00D46647" w:rsidRDefault="00FD57F2" w:rsidP="00FD57F2">
            <w:pPr>
              <w:autoSpaceDE w:val="0"/>
              <w:autoSpaceDN w:val="0"/>
              <w:adjustRightInd w:val="0"/>
              <w:rPr>
                <w:sz w:val="16"/>
                <w:szCs w:val="16"/>
                <w:highlight w:val="yellow"/>
              </w:rPr>
            </w:pPr>
            <w:r w:rsidRPr="00D46647">
              <w:rPr>
                <w:sz w:val="16"/>
                <w:szCs w:val="16"/>
              </w:rPr>
              <w:t>Hébergement (CIC)</w:t>
            </w:r>
          </w:p>
        </w:tc>
        <w:tc>
          <w:tcPr>
            <w:tcW w:w="1145" w:type="pct"/>
            <w:vAlign w:val="center"/>
          </w:tcPr>
          <w:p w14:paraId="5F9FAA12"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144 000</w:t>
            </w:r>
          </w:p>
        </w:tc>
        <w:tc>
          <w:tcPr>
            <w:tcW w:w="1145" w:type="pct"/>
            <w:vAlign w:val="center"/>
          </w:tcPr>
          <w:p w14:paraId="0B4C6FBA" w14:textId="77777777" w:rsidR="00FD57F2" w:rsidRPr="00D46647" w:rsidRDefault="00FD57F2" w:rsidP="00FD57F2">
            <w:pPr>
              <w:jc w:val="center"/>
              <w:rPr>
                <w:sz w:val="16"/>
                <w:szCs w:val="16"/>
              </w:rPr>
            </w:pPr>
            <w:r w:rsidRPr="00D46647">
              <w:rPr>
                <w:sz w:val="16"/>
                <w:szCs w:val="16"/>
              </w:rPr>
              <w:t>14 689</w:t>
            </w:r>
          </w:p>
        </w:tc>
        <w:tc>
          <w:tcPr>
            <w:tcW w:w="1243" w:type="pct"/>
            <w:vAlign w:val="center"/>
          </w:tcPr>
          <w:p w14:paraId="0E66D75D" w14:textId="77777777" w:rsidR="00FD57F2" w:rsidRPr="00D46647" w:rsidRDefault="00FD57F2" w:rsidP="00FD57F2">
            <w:pPr>
              <w:jc w:val="center"/>
              <w:rPr>
                <w:sz w:val="16"/>
                <w:szCs w:val="16"/>
              </w:rPr>
            </w:pPr>
            <w:r w:rsidRPr="00D46647">
              <w:rPr>
                <w:sz w:val="16"/>
                <w:szCs w:val="16"/>
              </w:rPr>
              <w:t>10,2%</w:t>
            </w:r>
          </w:p>
        </w:tc>
      </w:tr>
      <w:tr w:rsidR="00FD57F2" w:rsidRPr="00D46647" w14:paraId="07222126" w14:textId="77777777" w:rsidTr="007E3422">
        <w:tc>
          <w:tcPr>
            <w:tcW w:w="1467" w:type="pct"/>
            <w:vAlign w:val="center"/>
          </w:tcPr>
          <w:p w14:paraId="0D80F5BB" w14:textId="77777777" w:rsidR="00FD57F2" w:rsidRPr="00D46647" w:rsidRDefault="00FD57F2" w:rsidP="00FD57F2">
            <w:pPr>
              <w:autoSpaceDE w:val="0"/>
              <w:autoSpaceDN w:val="0"/>
              <w:adjustRightInd w:val="0"/>
              <w:rPr>
                <w:sz w:val="16"/>
                <w:szCs w:val="16"/>
                <w:highlight w:val="yellow"/>
              </w:rPr>
            </w:pPr>
            <w:r w:rsidRPr="00D46647">
              <w:rPr>
                <w:sz w:val="16"/>
                <w:szCs w:val="16"/>
              </w:rPr>
              <w:t>Divers et imprévus</w:t>
            </w:r>
          </w:p>
        </w:tc>
        <w:tc>
          <w:tcPr>
            <w:tcW w:w="1145" w:type="pct"/>
            <w:vAlign w:val="center"/>
          </w:tcPr>
          <w:p w14:paraId="275FB218"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320 000</w:t>
            </w:r>
          </w:p>
        </w:tc>
        <w:tc>
          <w:tcPr>
            <w:tcW w:w="1145" w:type="pct"/>
            <w:vAlign w:val="center"/>
          </w:tcPr>
          <w:p w14:paraId="1D400E2D" w14:textId="77777777" w:rsidR="00FD57F2" w:rsidRPr="00D46647" w:rsidRDefault="00FD57F2" w:rsidP="00FD57F2">
            <w:pPr>
              <w:jc w:val="center"/>
              <w:rPr>
                <w:sz w:val="16"/>
                <w:szCs w:val="16"/>
              </w:rPr>
            </w:pPr>
            <w:r w:rsidRPr="00D46647">
              <w:rPr>
                <w:sz w:val="16"/>
                <w:szCs w:val="16"/>
              </w:rPr>
              <w:t>5 739</w:t>
            </w:r>
          </w:p>
        </w:tc>
        <w:tc>
          <w:tcPr>
            <w:tcW w:w="1243" w:type="pct"/>
            <w:vAlign w:val="center"/>
          </w:tcPr>
          <w:p w14:paraId="3D6C8474" w14:textId="77777777" w:rsidR="00FD57F2" w:rsidRPr="00D46647" w:rsidRDefault="00FD57F2" w:rsidP="00FD57F2">
            <w:pPr>
              <w:jc w:val="center"/>
              <w:rPr>
                <w:sz w:val="16"/>
                <w:szCs w:val="16"/>
              </w:rPr>
            </w:pPr>
            <w:r w:rsidRPr="00D46647">
              <w:rPr>
                <w:sz w:val="16"/>
                <w:szCs w:val="16"/>
              </w:rPr>
              <w:t>1,8%</w:t>
            </w:r>
          </w:p>
        </w:tc>
      </w:tr>
      <w:tr w:rsidR="00FD57F2" w:rsidRPr="00D46647" w14:paraId="6BC0F4F9" w14:textId="77777777" w:rsidTr="007E3422">
        <w:tc>
          <w:tcPr>
            <w:tcW w:w="1467" w:type="pct"/>
            <w:shd w:val="clear" w:color="auto" w:fill="C6D9F1" w:themeFill="text2" w:themeFillTint="33"/>
            <w:vAlign w:val="center"/>
          </w:tcPr>
          <w:p w14:paraId="435E5B76" w14:textId="38461D18" w:rsidR="00FD57F2" w:rsidRPr="00D46647" w:rsidRDefault="00FD57F2" w:rsidP="00FD57F2">
            <w:pPr>
              <w:autoSpaceDE w:val="0"/>
              <w:autoSpaceDN w:val="0"/>
              <w:adjustRightInd w:val="0"/>
              <w:spacing w:line="260" w:lineRule="exact"/>
              <w:rPr>
                <w:b/>
                <w:sz w:val="16"/>
                <w:szCs w:val="16"/>
              </w:rPr>
            </w:pPr>
            <w:r w:rsidRPr="00D46647">
              <w:rPr>
                <w:b/>
                <w:sz w:val="16"/>
                <w:szCs w:val="16"/>
              </w:rPr>
              <w:t>Total</w:t>
            </w:r>
          </w:p>
        </w:tc>
        <w:tc>
          <w:tcPr>
            <w:tcW w:w="1145" w:type="pct"/>
            <w:shd w:val="clear" w:color="auto" w:fill="C6D9F1" w:themeFill="text2" w:themeFillTint="33"/>
            <w:vAlign w:val="center"/>
          </w:tcPr>
          <w:p w14:paraId="15E7A19A" w14:textId="77777777" w:rsidR="00FD57F2" w:rsidRPr="00D46647" w:rsidRDefault="00FD57F2" w:rsidP="00FD57F2">
            <w:pPr>
              <w:autoSpaceDE w:val="0"/>
              <w:autoSpaceDN w:val="0"/>
              <w:adjustRightInd w:val="0"/>
              <w:spacing w:line="260" w:lineRule="exact"/>
              <w:jc w:val="center"/>
              <w:rPr>
                <w:b/>
                <w:sz w:val="16"/>
                <w:szCs w:val="16"/>
              </w:rPr>
            </w:pPr>
            <w:r w:rsidRPr="00D46647">
              <w:rPr>
                <w:b/>
                <w:sz w:val="16"/>
                <w:szCs w:val="16"/>
              </w:rPr>
              <w:t>2 068 000</w:t>
            </w:r>
          </w:p>
        </w:tc>
        <w:tc>
          <w:tcPr>
            <w:tcW w:w="1145" w:type="pct"/>
            <w:shd w:val="clear" w:color="auto" w:fill="C6D9F1" w:themeFill="text2" w:themeFillTint="33"/>
            <w:vAlign w:val="center"/>
          </w:tcPr>
          <w:p w14:paraId="722F3B5A" w14:textId="77777777" w:rsidR="00FD57F2" w:rsidRPr="00D46647" w:rsidRDefault="00FD57F2" w:rsidP="00FD57F2">
            <w:pPr>
              <w:autoSpaceDE w:val="0"/>
              <w:autoSpaceDN w:val="0"/>
              <w:adjustRightInd w:val="0"/>
              <w:spacing w:line="260" w:lineRule="exact"/>
              <w:jc w:val="center"/>
              <w:rPr>
                <w:b/>
                <w:sz w:val="16"/>
                <w:szCs w:val="16"/>
              </w:rPr>
            </w:pPr>
            <w:r w:rsidRPr="00D46647">
              <w:rPr>
                <w:b/>
                <w:sz w:val="16"/>
                <w:szCs w:val="16"/>
              </w:rPr>
              <w:t>524 491</w:t>
            </w:r>
          </w:p>
        </w:tc>
        <w:tc>
          <w:tcPr>
            <w:tcW w:w="1243" w:type="pct"/>
            <w:shd w:val="clear" w:color="auto" w:fill="C6D9F1" w:themeFill="text2" w:themeFillTint="33"/>
          </w:tcPr>
          <w:p w14:paraId="1904E48F" w14:textId="77777777" w:rsidR="00FD57F2" w:rsidRPr="00D46647" w:rsidRDefault="00FD57F2" w:rsidP="00FD57F2">
            <w:pPr>
              <w:autoSpaceDE w:val="0"/>
              <w:autoSpaceDN w:val="0"/>
              <w:adjustRightInd w:val="0"/>
              <w:spacing w:line="260" w:lineRule="exact"/>
              <w:jc w:val="center"/>
              <w:rPr>
                <w:b/>
                <w:sz w:val="16"/>
                <w:szCs w:val="16"/>
              </w:rPr>
            </w:pPr>
            <w:r w:rsidRPr="00D46647">
              <w:rPr>
                <w:b/>
                <w:sz w:val="16"/>
                <w:szCs w:val="16"/>
              </w:rPr>
              <w:t>25,4%</w:t>
            </w:r>
          </w:p>
        </w:tc>
      </w:tr>
    </w:tbl>
    <w:p w14:paraId="6482E90B" w14:textId="77777777" w:rsidR="00FD57F2" w:rsidRPr="00D46647" w:rsidRDefault="00FD57F2" w:rsidP="00FD57F2">
      <w:pPr>
        <w:rPr>
          <w:sz w:val="20"/>
        </w:rPr>
      </w:pPr>
    </w:p>
    <w:p w14:paraId="0D333D1E" w14:textId="77777777" w:rsidR="00FD57F2" w:rsidRPr="00D46647" w:rsidRDefault="00FD57F2" w:rsidP="00FD57F2">
      <w:pPr>
        <w:rPr>
          <w:sz w:val="20"/>
        </w:rPr>
      </w:pPr>
    </w:p>
    <w:p w14:paraId="01BC4D84" w14:textId="7B1DB1D4" w:rsidR="00FD57F2" w:rsidRPr="00D46647" w:rsidRDefault="00FD57F2" w:rsidP="00FD57F2">
      <w:pPr>
        <w:rPr>
          <w:sz w:val="20"/>
        </w:rPr>
      </w:pPr>
      <w:r w:rsidRPr="00D46647">
        <w:rPr>
          <w:sz w:val="20"/>
        </w:rPr>
        <w:t>RISQUES ET STRATÉGIES D’ATTÉNUATION</w:t>
      </w:r>
    </w:p>
    <w:p w14:paraId="2FF67B79" w14:textId="3EF6B10A" w:rsidR="00FD57F2" w:rsidRPr="00D46647" w:rsidRDefault="00FD57F2" w:rsidP="00FD57F2">
      <w:pPr>
        <w:rPr>
          <w:color w:val="000000"/>
          <w:sz w:val="20"/>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5"/>
        <w:gridCol w:w="3096"/>
        <w:gridCol w:w="3096"/>
      </w:tblGrid>
      <w:tr w:rsidR="00FD57F2" w:rsidRPr="00D46647" w14:paraId="33A1AFB3" w14:textId="77777777" w:rsidTr="007E3422">
        <w:trPr>
          <w:tblHeader/>
          <w:jc w:val="center"/>
        </w:trPr>
        <w:tc>
          <w:tcPr>
            <w:tcW w:w="1666" w:type="pct"/>
            <w:shd w:val="clear" w:color="auto" w:fill="C6D9F1" w:themeFill="text2" w:themeFillTint="33"/>
            <w:vAlign w:val="center"/>
          </w:tcPr>
          <w:p w14:paraId="1DEBA57B" w14:textId="228E0663" w:rsidR="00FD57F2" w:rsidRPr="00D46647" w:rsidRDefault="00FD57F2" w:rsidP="00FD57F2">
            <w:pPr>
              <w:autoSpaceDE w:val="0"/>
              <w:autoSpaceDN w:val="0"/>
              <w:adjustRightInd w:val="0"/>
              <w:jc w:val="center"/>
              <w:rPr>
                <w:b/>
                <w:bCs/>
                <w:sz w:val="16"/>
                <w:szCs w:val="16"/>
              </w:rPr>
            </w:pPr>
            <w:r w:rsidRPr="00D46647">
              <w:rPr>
                <w:b/>
                <w:bCs/>
                <w:iCs/>
                <w:sz w:val="16"/>
                <w:szCs w:val="16"/>
              </w:rPr>
              <w:t>Description</w:t>
            </w:r>
            <w:r w:rsidRPr="00D46647">
              <w:rPr>
                <w:b/>
                <w:sz w:val="16"/>
                <w:szCs w:val="16"/>
              </w:rPr>
              <w:t xml:space="preserve"> du risque</w:t>
            </w:r>
          </w:p>
        </w:tc>
        <w:tc>
          <w:tcPr>
            <w:tcW w:w="1667" w:type="pct"/>
            <w:shd w:val="clear" w:color="auto" w:fill="C6D9F1" w:themeFill="text2" w:themeFillTint="33"/>
            <w:vAlign w:val="center"/>
          </w:tcPr>
          <w:p w14:paraId="743825F7" w14:textId="77777777" w:rsidR="00FD57F2" w:rsidRPr="00D46647" w:rsidRDefault="00FD57F2" w:rsidP="00FD57F2">
            <w:pPr>
              <w:autoSpaceDE w:val="0"/>
              <w:autoSpaceDN w:val="0"/>
              <w:adjustRightInd w:val="0"/>
              <w:jc w:val="center"/>
              <w:rPr>
                <w:b/>
                <w:bCs/>
                <w:sz w:val="16"/>
                <w:szCs w:val="16"/>
              </w:rPr>
            </w:pPr>
            <w:r w:rsidRPr="00D46647">
              <w:rPr>
                <w:b/>
                <w:sz w:val="16"/>
                <w:szCs w:val="16"/>
              </w:rPr>
              <w:t>Atténuation du risque</w:t>
            </w:r>
          </w:p>
        </w:tc>
        <w:tc>
          <w:tcPr>
            <w:tcW w:w="1667" w:type="pct"/>
            <w:shd w:val="clear" w:color="auto" w:fill="C6D9F1" w:themeFill="text2" w:themeFillTint="33"/>
            <w:vAlign w:val="center"/>
          </w:tcPr>
          <w:p w14:paraId="29155D1B" w14:textId="77777777" w:rsidR="00FD57F2" w:rsidRPr="00D46647" w:rsidRDefault="00FD57F2" w:rsidP="00FD57F2">
            <w:pPr>
              <w:autoSpaceDE w:val="0"/>
              <w:autoSpaceDN w:val="0"/>
              <w:adjustRightInd w:val="0"/>
              <w:jc w:val="center"/>
              <w:rPr>
                <w:b/>
                <w:bCs/>
                <w:sz w:val="16"/>
                <w:szCs w:val="16"/>
              </w:rPr>
            </w:pPr>
            <w:r w:rsidRPr="00D46647">
              <w:rPr>
                <w:b/>
                <w:bCs/>
                <w:sz w:val="16"/>
                <w:szCs w:val="16"/>
              </w:rPr>
              <w:t>Observation</w:t>
            </w:r>
          </w:p>
        </w:tc>
      </w:tr>
      <w:tr w:rsidR="00FD57F2" w:rsidRPr="00D46647" w14:paraId="69247563" w14:textId="77777777" w:rsidTr="007E3422">
        <w:trPr>
          <w:jc w:val="center"/>
        </w:trPr>
        <w:tc>
          <w:tcPr>
            <w:tcW w:w="1666" w:type="pct"/>
            <w:shd w:val="clear" w:color="auto" w:fill="auto"/>
          </w:tcPr>
          <w:p w14:paraId="5CDE262A" w14:textId="74D6FA82" w:rsidR="00FD57F2" w:rsidRPr="00D46647" w:rsidRDefault="00164A7F" w:rsidP="00FD57F2">
            <w:pPr>
              <w:autoSpaceDE w:val="0"/>
              <w:autoSpaceDN w:val="0"/>
              <w:adjustRightInd w:val="0"/>
              <w:rPr>
                <w:sz w:val="16"/>
                <w:szCs w:val="16"/>
                <w:highlight w:val="yellow"/>
              </w:rPr>
            </w:pPr>
            <w:r>
              <w:rPr>
                <w:noProof/>
                <w:lang w:val="en-US"/>
              </w:rPr>
              <w:drawing>
                <wp:anchor distT="0" distB="0" distL="114300" distR="114300" simplePos="0" relativeHeight="251681792" behindDoc="0" locked="0" layoutInCell="1" allowOverlap="1" wp14:anchorId="4C705C52" wp14:editId="7655306E">
                  <wp:simplePos x="0" y="0"/>
                  <wp:positionH relativeFrom="column">
                    <wp:posOffset>-448310</wp:posOffset>
                  </wp:positionH>
                  <wp:positionV relativeFrom="paragraph">
                    <wp:posOffset>-27940</wp:posOffset>
                  </wp:positionV>
                  <wp:extent cx="291465" cy="285115"/>
                  <wp:effectExtent l="0" t="0" r="0" b="635"/>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1465" cy="285115"/>
                          </a:xfrm>
                          <a:prstGeom prst="rect">
                            <a:avLst/>
                          </a:prstGeom>
                        </pic:spPr>
                      </pic:pic>
                    </a:graphicData>
                  </a:graphic>
                  <wp14:sizeRelH relativeFrom="page">
                    <wp14:pctWidth>0</wp14:pctWidth>
                  </wp14:sizeRelH>
                  <wp14:sizeRelV relativeFrom="page">
                    <wp14:pctHeight>0</wp14:pctHeight>
                  </wp14:sizeRelV>
                </wp:anchor>
              </w:drawing>
            </w:r>
            <w:r w:rsidR="00FD57F2" w:rsidRPr="00D46647">
              <w:rPr>
                <w:sz w:val="16"/>
                <w:szCs w:val="16"/>
              </w:rPr>
              <w:t>La mise en œuvre des sous-projets au titre du système de gestion des contenus peut ne pas tenir suffisamment compte des besoins et des stratégies en la matière à l’échelle de l’Organisation</w:t>
            </w:r>
            <w:r w:rsidR="00FD57F2" w:rsidRPr="00D46647">
              <w:rPr>
                <w:noProof/>
                <w:sz w:val="16"/>
                <w:szCs w:val="16"/>
              </w:rPr>
              <w:t>,</w:t>
            </w:r>
            <w:r w:rsidR="00FD57F2" w:rsidRPr="00D46647">
              <w:rPr>
                <w:sz w:val="16"/>
                <w:szCs w:val="16"/>
              </w:rPr>
              <w:t xml:space="preserve"> ce qui engendre des doublons et un manque d’efficacité des dépenses.</w:t>
            </w:r>
          </w:p>
        </w:tc>
        <w:tc>
          <w:tcPr>
            <w:tcW w:w="1667" w:type="pct"/>
            <w:shd w:val="clear" w:color="auto" w:fill="auto"/>
          </w:tcPr>
          <w:p w14:paraId="516B05AE" w14:textId="77777777" w:rsidR="00FD57F2" w:rsidRPr="00D46647" w:rsidRDefault="00FD57F2" w:rsidP="00FD57F2">
            <w:pPr>
              <w:autoSpaceDE w:val="0"/>
              <w:autoSpaceDN w:val="0"/>
              <w:adjustRightInd w:val="0"/>
              <w:rPr>
                <w:sz w:val="16"/>
                <w:szCs w:val="16"/>
              </w:rPr>
            </w:pPr>
            <w:r w:rsidRPr="00D46647">
              <w:rPr>
                <w:sz w:val="16"/>
                <w:szCs w:val="16"/>
              </w:rPr>
              <w:t>Faire en sorte que la mise en œuvre de tous les sous-projets au titre du système de gestion des contenus soit conforme aux stratégies en la matière à l’échelle de l’Organisation.</w:t>
            </w:r>
          </w:p>
        </w:tc>
        <w:tc>
          <w:tcPr>
            <w:tcW w:w="1667" w:type="pct"/>
          </w:tcPr>
          <w:p w14:paraId="11C5B7AF" w14:textId="77777777" w:rsidR="00FD57F2" w:rsidRPr="00D46647" w:rsidRDefault="00FD57F2" w:rsidP="00FD57F2">
            <w:pPr>
              <w:autoSpaceDE w:val="0"/>
              <w:autoSpaceDN w:val="0"/>
              <w:adjustRightInd w:val="0"/>
              <w:rPr>
                <w:sz w:val="16"/>
                <w:szCs w:val="16"/>
              </w:rPr>
            </w:pPr>
            <w:r w:rsidRPr="00D46647">
              <w:rPr>
                <w:sz w:val="16"/>
                <w:szCs w:val="16"/>
              </w:rPr>
              <w:t>Dans le cadre des mesures d’atténuation, la stratégie relative à la gestion des dossiers et des archives et la stratégie en matière d’assurance informatique sont en cours d’élaboration.  D’autres stratégies pertinentes continueront d’être élaborées.</w:t>
            </w:r>
          </w:p>
        </w:tc>
      </w:tr>
    </w:tbl>
    <w:p w14:paraId="36B83560" w14:textId="77777777" w:rsidR="00FD57F2" w:rsidRPr="00D46647" w:rsidRDefault="00FD57F2" w:rsidP="00FD57F2">
      <w:pPr>
        <w:rPr>
          <w:sz w:val="20"/>
        </w:rPr>
      </w:pPr>
    </w:p>
    <w:p w14:paraId="53E4789E" w14:textId="77777777" w:rsidR="00FD57F2" w:rsidRPr="00D46647" w:rsidRDefault="00FD57F2" w:rsidP="00FD57F2">
      <w:pPr>
        <w:rPr>
          <w:color w:val="000000"/>
          <w:sz w:val="20"/>
        </w:rPr>
      </w:pPr>
    </w:p>
    <w:p w14:paraId="7EF42FF1" w14:textId="77777777" w:rsidR="00FD57F2" w:rsidRPr="00D46647" w:rsidRDefault="00FD57F2" w:rsidP="00FD57F2">
      <w:pPr>
        <w:rPr>
          <w:sz w:val="20"/>
        </w:rPr>
      </w:pPr>
      <w:r w:rsidRPr="00D46647">
        <w:rPr>
          <w:sz w:val="20"/>
        </w:rPr>
        <w:t>CALENDRIER DU PROJET PAR ÉTAPE</w:t>
      </w:r>
    </w:p>
    <w:p w14:paraId="78E03BFD" w14:textId="77777777" w:rsidR="00FD57F2" w:rsidRPr="00D46647" w:rsidRDefault="00FD57F2" w:rsidP="00FD57F2">
      <w:pPr>
        <w:rPr>
          <w:sz w:val="20"/>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902"/>
        <w:gridCol w:w="412"/>
        <w:gridCol w:w="415"/>
        <w:gridCol w:w="415"/>
        <w:gridCol w:w="417"/>
        <w:gridCol w:w="416"/>
        <w:gridCol w:w="417"/>
        <w:gridCol w:w="416"/>
        <w:gridCol w:w="417"/>
        <w:gridCol w:w="417"/>
        <w:gridCol w:w="416"/>
        <w:gridCol w:w="417"/>
        <w:gridCol w:w="416"/>
        <w:gridCol w:w="399"/>
        <w:gridCol w:w="399"/>
        <w:gridCol w:w="399"/>
        <w:gridCol w:w="399"/>
        <w:gridCol w:w="399"/>
        <w:gridCol w:w="399"/>
      </w:tblGrid>
      <w:tr w:rsidR="00FD57F2" w:rsidRPr="00D46647" w14:paraId="69D07BA8" w14:textId="77777777" w:rsidTr="007E3422">
        <w:trPr>
          <w:tblHeader/>
          <w:jc w:val="center"/>
        </w:trPr>
        <w:tc>
          <w:tcPr>
            <w:tcW w:w="1905" w:type="dxa"/>
            <w:tcBorders>
              <w:top w:val="nil"/>
              <w:left w:val="nil"/>
            </w:tcBorders>
            <w:shd w:val="clear" w:color="auto" w:fill="auto"/>
            <w:noWrap/>
            <w:vAlign w:val="bottom"/>
            <w:hideMark/>
          </w:tcPr>
          <w:p w14:paraId="4D6A5A76" w14:textId="77777777" w:rsidR="00FD57F2" w:rsidRPr="00D46647" w:rsidRDefault="00FD57F2" w:rsidP="00FD57F2">
            <w:pPr>
              <w:rPr>
                <w:color w:val="000000"/>
                <w:spacing w:val="-2"/>
                <w:sz w:val="16"/>
                <w:szCs w:val="16"/>
              </w:rPr>
            </w:pPr>
          </w:p>
        </w:tc>
        <w:tc>
          <w:tcPr>
            <w:tcW w:w="1662" w:type="dxa"/>
            <w:gridSpan w:val="4"/>
            <w:shd w:val="clear" w:color="auto" w:fill="C6D9F1" w:themeFill="text2" w:themeFillTint="33"/>
            <w:noWrap/>
            <w:vAlign w:val="center"/>
            <w:hideMark/>
          </w:tcPr>
          <w:p w14:paraId="041D3CF5"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2014</w:t>
            </w:r>
          </w:p>
        </w:tc>
        <w:tc>
          <w:tcPr>
            <w:tcW w:w="1666" w:type="dxa"/>
            <w:gridSpan w:val="4"/>
            <w:shd w:val="clear" w:color="auto" w:fill="C6D9F1" w:themeFill="text2" w:themeFillTint="33"/>
            <w:noWrap/>
            <w:vAlign w:val="center"/>
            <w:hideMark/>
          </w:tcPr>
          <w:p w14:paraId="70B83F8B"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2015</w:t>
            </w:r>
          </w:p>
        </w:tc>
        <w:tc>
          <w:tcPr>
            <w:tcW w:w="1666" w:type="dxa"/>
            <w:gridSpan w:val="4"/>
            <w:shd w:val="clear" w:color="auto" w:fill="C6D9F1" w:themeFill="text2" w:themeFillTint="33"/>
            <w:noWrap/>
            <w:vAlign w:val="center"/>
            <w:hideMark/>
          </w:tcPr>
          <w:p w14:paraId="676AAEB4"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2016</w:t>
            </w:r>
          </w:p>
        </w:tc>
        <w:tc>
          <w:tcPr>
            <w:tcW w:w="1592" w:type="dxa"/>
            <w:gridSpan w:val="4"/>
            <w:shd w:val="clear" w:color="auto" w:fill="C6D9F1" w:themeFill="text2" w:themeFillTint="33"/>
            <w:vAlign w:val="center"/>
          </w:tcPr>
          <w:p w14:paraId="02BD2F4C"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2017</w:t>
            </w:r>
          </w:p>
        </w:tc>
        <w:tc>
          <w:tcPr>
            <w:tcW w:w="796" w:type="dxa"/>
            <w:gridSpan w:val="2"/>
            <w:shd w:val="clear" w:color="auto" w:fill="C6D9F1" w:themeFill="text2" w:themeFillTint="33"/>
          </w:tcPr>
          <w:p w14:paraId="2ECC2C69"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2018</w:t>
            </w:r>
          </w:p>
        </w:tc>
      </w:tr>
      <w:tr w:rsidR="00FD57F2" w:rsidRPr="00D46647" w14:paraId="20C21006" w14:textId="77777777" w:rsidTr="007E3422">
        <w:trPr>
          <w:tblHeader/>
          <w:jc w:val="center"/>
        </w:trPr>
        <w:tc>
          <w:tcPr>
            <w:tcW w:w="1905" w:type="dxa"/>
            <w:shd w:val="clear" w:color="auto" w:fill="C6D9F1" w:themeFill="text2" w:themeFillTint="33"/>
            <w:noWrap/>
            <w:vAlign w:val="bottom"/>
            <w:hideMark/>
          </w:tcPr>
          <w:p w14:paraId="7E24BFC2" w14:textId="77777777" w:rsidR="00FD57F2" w:rsidRPr="00D46647" w:rsidRDefault="00FD57F2" w:rsidP="00FD57F2">
            <w:pPr>
              <w:rPr>
                <w:b/>
                <w:bCs/>
                <w:spacing w:val="-2"/>
                <w:sz w:val="16"/>
                <w:szCs w:val="16"/>
              </w:rPr>
            </w:pPr>
            <w:r w:rsidRPr="00D46647">
              <w:rPr>
                <w:b/>
                <w:bCs/>
                <w:spacing w:val="-2"/>
                <w:sz w:val="16"/>
                <w:szCs w:val="16"/>
              </w:rPr>
              <w:t>Étape principale</w:t>
            </w:r>
          </w:p>
        </w:tc>
        <w:tc>
          <w:tcPr>
            <w:tcW w:w="413" w:type="dxa"/>
            <w:shd w:val="clear" w:color="auto" w:fill="C6D9F1" w:themeFill="text2" w:themeFillTint="33"/>
            <w:noWrap/>
            <w:vAlign w:val="center"/>
            <w:hideMark/>
          </w:tcPr>
          <w:p w14:paraId="62DD6C9C"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16" w:type="dxa"/>
            <w:shd w:val="clear" w:color="auto" w:fill="C6D9F1" w:themeFill="text2" w:themeFillTint="33"/>
            <w:noWrap/>
            <w:vAlign w:val="center"/>
            <w:hideMark/>
          </w:tcPr>
          <w:p w14:paraId="639C9588"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16" w:type="dxa"/>
            <w:shd w:val="clear" w:color="auto" w:fill="C6D9F1" w:themeFill="text2" w:themeFillTint="33"/>
            <w:noWrap/>
            <w:vAlign w:val="center"/>
            <w:hideMark/>
          </w:tcPr>
          <w:p w14:paraId="09215BB9"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17" w:type="dxa"/>
            <w:shd w:val="clear" w:color="auto" w:fill="C6D9F1" w:themeFill="text2" w:themeFillTint="33"/>
            <w:noWrap/>
            <w:vAlign w:val="center"/>
            <w:hideMark/>
          </w:tcPr>
          <w:p w14:paraId="5FC88F76"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416" w:type="dxa"/>
            <w:shd w:val="clear" w:color="auto" w:fill="C6D9F1" w:themeFill="text2" w:themeFillTint="33"/>
            <w:noWrap/>
            <w:vAlign w:val="center"/>
            <w:hideMark/>
          </w:tcPr>
          <w:p w14:paraId="2C34981B"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17" w:type="dxa"/>
            <w:shd w:val="clear" w:color="auto" w:fill="C6D9F1" w:themeFill="text2" w:themeFillTint="33"/>
            <w:noWrap/>
            <w:vAlign w:val="center"/>
            <w:hideMark/>
          </w:tcPr>
          <w:p w14:paraId="78BC0F68"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16" w:type="dxa"/>
            <w:shd w:val="clear" w:color="auto" w:fill="C6D9F1" w:themeFill="text2" w:themeFillTint="33"/>
            <w:noWrap/>
            <w:vAlign w:val="center"/>
            <w:hideMark/>
          </w:tcPr>
          <w:p w14:paraId="61A8138C"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17" w:type="dxa"/>
            <w:shd w:val="clear" w:color="auto" w:fill="C6D9F1" w:themeFill="text2" w:themeFillTint="33"/>
            <w:noWrap/>
            <w:vAlign w:val="center"/>
            <w:hideMark/>
          </w:tcPr>
          <w:p w14:paraId="0802CAFD"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417" w:type="dxa"/>
            <w:shd w:val="clear" w:color="auto" w:fill="C6D9F1" w:themeFill="text2" w:themeFillTint="33"/>
            <w:noWrap/>
            <w:vAlign w:val="center"/>
            <w:hideMark/>
          </w:tcPr>
          <w:p w14:paraId="6E31F950"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16" w:type="dxa"/>
            <w:shd w:val="clear" w:color="auto" w:fill="C6D9F1" w:themeFill="text2" w:themeFillTint="33"/>
            <w:noWrap/>
            <w:vAlign w:val="center"/>
            <w:hideMark/>
          </w:tcPr>
          <w:p w14:paraId="0E36751E"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17" w:type="dxa"/>
            <w:shd w:val="clear" w:color="auto" w:fill="C6D9F1" w:themeFill="text2" w:themeFillTint="33"/>
            <w:noWrap/>
            <w:vAlign w:val="center"/>
            <w:hideMark/>
          </w:tcPr>
          <w:p w14:paraId="5A37A789"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16" w:type="dxa"/>
            <w:shd w:val="clear" w:color="auto" w:fill="C6D9F1" w:themeFill="text2" w:themeFillTint="33"/>
            <w:noWrap/>
            <w:vAlign w:val="center"/>
            <w:hideMark/>
          </w:tcPr>
          <w:p w14:paraId="24230FFB"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398" w:type="dxa"/>
            <w:shd w:val="clear" w:color="auto" w:fill="C6D9F1" w:themeFill="text2" w:themeFillTint="33"/>
            <w:vAlign w:val="center"/>
          </w:tcPr>
          <w:p w14:paraId="7028E885"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398" w:type="dxa"/>
            <w:shd w:val="clear" w:color="auto" w:fill="C6D9F1" w:themeFill="text2" w:themeFillTint="33"/>
            <w:vAlign w:val="center"/>
          </w:tcPr>
          <w:p w14:paraId="6C6D3C70"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398" w:type="dxa"/>
            <w:shd w:val="clear" w:color="auto" w:fill="C6D9F1" w:themeFill="text2" w:themeFillTint="33"/>
            <w:vAlign w:val="center"/>
          </w:tcPr>
          <w:p w14:paraId="35B473C6"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398" w:type="dxa"/>
            <w:shd w:val="clear" w:color="auto" w:fill="C6D9F1" w:themeFill="text2" w:themeFillTint="33"/>
            <w:vAlign w:val="center"/>
          </w:tcPr>
          <w:p w14:paraId="66CA39BC"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398" w:type="dxa"/>
            <w:shd w:val="clear" w:color="auto" w:fill="C6D9F1" w:themeFill="text2" w:themeFillTint="33"/>
            <w:vAlign w:val="center"/>
          </w:tcPr>
          <w:p w14:paraId="7715D415"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398" w:type="dxa"/>
            <w:shd w:val="clear" w:color="auto" w:fill="C6D9F1" w:themeFill="text2" w:themeFillTint="33"/>
            <w:vAlign w:val="center"/>
          </w:tcPr>
          <w:p w14:paraId="1B763453" w14:textId="77777777" w:rsidR="00FD57F2" w:rsidRPr="00D46647" w:rsidRDefault="00FD57F2" w:rsidP="00FD57F2">
            <w:pPr>
              <w:jc w:val="center"/>
              <w:rPr>
                <w:b/>
                <w:bCs/>
                <w:spacing w:val="-2"/>
                <w:sz w:val="16"/>
                <w:szCs w:val="16"/>
              </w:rPr>
            </w:pPr>
            <w:r w:rsidRPr="00D46647">
              <w:rPr>
                <w:b/>
                <w:bCs/>
                <w:spacing w:val="-2"/>
                <w:sz w:val="16"/>
                <w:szCs w:val="16"/>
              </w:rPr>
              <w:t>T2</w:t>
            </w:r>
          </w:p>
        </w:tc>
      </w:tr>
      <w:tr w:rsidR="00FD57F2" w:rsidRPr="00D46647" w14:paraId="1876718F" w14:textId="77777777" w:rsidTr="007E3422">
        <w:trPr>
          <w:jc w:val="center"/>
        </w:trPr>
        <w:tc>
          <w:tcPr>
            <w:tcW w:w="1905" w:type="dxa"/>
            <w:shd w:val="clear" w:color="auto" w:fill="auto"/>
            <w:noWrap/>
            <w:vAlign w:val="bottom"/>
          </w:tcPr>
          <w:p w14:paraId="4FED6EAD" w14:textId="77777777" w:rsidR="00FD57F2" w:rsidRPr="00D46647" w:rsidRDefault="00FD57F2" w:rsidP="00FD57F2">
            <w:pPr>
              <w:rPr>
                <w:sz w:val="16"/>
                <w:szCs w:val="16"/>
              </w:rPr>
            </w:pPr>
            <w:r w:rsidRPr="00D46647">
              <w:rPr>
                <w:sz w:val="16"/>
                <w:szCs w:val="16"/>
              </w:rPr>
              <w:t>Étude et élaboration de la stratégie</w:t>
            </w:r>
          </w:p>
        </w:tc>
        <w:tc>
          <w:tcPr>
            <w:tcW w:w="413" w:type="dxa"/>
            <w:shd w:val="clear" w:color="auto" w:fill="auto"/>
            <w:noWrap/>
            <w:vAlign w:val="center"/>
          </w:tcPr>
          <w:p w14:paraId="62BBBB09"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57034074"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32CC8978"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6BC28693" w14:textId="77777777" w:rsidR="00FD57F2" w:rsidRPr="00D46647" w:rsidRDefault="00FD57F2" w:rsidP="00FD57F2">
            <w:pPr>
              <w:jc w:val="center"/>
              <w:rPr>
                <w:color w:val="000000"/>
                <w:sz w:val="16"/>
                <w:szCs w:val="16"/>
              </w:rPr>
            </w:pPr>
            <w:r w:rsidRPr="00D46647">
              <w:rPr>
                <w:color w:val="000000"/>
                <w:sz w:val="16"/>
                <w:szCs w:val="16"/>
              </w:rPr>
              <w:t>X</w:t>
            </w:r>
          </w:p>
        </w:tc>
        <w:tc>
          <w:tcPr>
            <w:tcW w:w="416" w:type="dxa"/>
            <w:shd w:val="clear" w:color="auto" w:fill="auto"/>
            <w:noWrap/>
            <w:vAlign w:val="center"/>
          </w:tcPr>
          <w:p w14:paraId="20B1A845"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A912413"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0D21D1E9"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657E856C"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41D17FC3"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1D1F3B87"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23B5BCB"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4A3D6BF6" w14:textId="77777777" w:rsidR="00FD57F2" w:rsidRPr="00D46647" w:rsidRDefault="00FD57F2" w:rsidP="00FD57F2">
            <w:pPr>
              <w:jc w:val="center"/>
              <w:rPr>
                <w:color w:val="000000"/>
                <w:sz w:val="16"/>
                <w:szCs w:val="16"/>
              </w:rPr>
            </w:pPr>
          </w:p>
        </w:tc>
        <w:tc>
          <w:tcPr>
            <w:tcW w:w="398" w:type="dxa"/>
            <w:shd w:val="clear" w:color="auto" w:fill="auto"/>
            <w:vAlign w:val="center"/>
          </w:tcPr>
          <w:p w14:paraId="3163A7D1" w14:textId="77777777" w:rsidR="00FD57F2" w:rsidRPr="00D46647" w:rsidRDefault="00FD57F2" w:rsidP="00FD57F2">
            <w:pPr>
              <w:jc w:val="center"/>
              <w:rPr>
                <w:color w:val="000000"/>
                <w:sz w:val="16"/>
                <w:szCs w:val="16"/>
              </w:rPr>
            </w:pPr>
          </w:p>
        </w:tc>
        <w:tc>
          <w:tcPr>
            <w:tcW w:w="398" w:type="dxa"/>
            <w:shd w:val="clear" w:color="auto" w:fill="auto"/>
            <w:vAlign w:val="center"/>
          </w:tcPr>
          <w:p w14:paraId="5729C288" w14:textId="77777777" w:rsidR="00FD57F2" w:rsidRPr="00D46647" w:rsidRDefault="00FD57F2" w:rsidP="00FD57F2">
            <w:pPr>
              <w:jc w:val="center"/>
              <w:rPr>
                <w:color w:val="000000"/>
                <w:sz w:val="16"/>
                <w:szCs w:val="16"/>
              </w:rPr>
            </w:pPr>
          </w:p>
        </w:tc>
        <w:tc>
          <w:tcPr>
            <w:tcW w:w="398" w:type="dxa"/>
            <w:shd w:val="clear" w:color="auto" w:fill="auto"/>
            <w:vAlign w:val="center"/>
          </w:tcPr>
          <w:p w14:paraId="7818D1CA" w14:textId="77777777" w:rsidR="00FD57F2" w:rsidRPr="00D46647" w:rsidRDefault="00FD57F2" w:rsidP="00FD57F2">
            <w:pPr>
              <w:jc w:val="center"/>
              <w:rPr>
                <w:color w:val="000000"/>
                <w:sz w:val="16"/>
                <w:szCs w:val="16"/>
              </w:rPr>
            </w:pPr>
          </w:p>
        </w:tc>
        <w:tc>
          <w:tcPr>
            <w:tcW w:w="398" w:type="dxa"/>
            <w:shd w:val="clear" w:color="auto" w:fill="auto"/>
            <w:vAlign w:val="center"/>
          </w:tcPr>
          <w:p w14:paraId="6B353248" w14:textId="77777777" w:rsidR="00FD57F2" w:rsidRPr="00D46647" w:rsidRDefault="00FD57F2" w:rsidP="00FD57F2">
            <w:pPr>
              <w:jc w:val="center"/>
              <w:rPr>
                <w:color w:val="000000"/>
                <w:sz w:val="16"/>
                <w:szCs w:val="16"/>
              </w:rPr>
            </w:pPr>
          </w:p>
        </w:tc>
        <w:tc>
          <w:tcPr>
            <w:tcW w:w="398" w:type="dxa"/>
            <w:shd w:val="clear" w:color="auto" w:fill="auto"/>
            <w:vAlign w:val="center"/>
          </w:tcPr>
          <w:p w14:paraId="72D6F6C1" w14:textId="77777777" w:rsidR="00FD57F2" w:rsidRPr="00D46647" w:rsidRDefault="00FD57F2" w:rsidP="00FD57F2">
            <w:pPr>
              <w:jc w:val="center"/>
              <w:rPr>
                <w:color w:val="000000"/>
                <w:sz w:val="16"/>
                <w:szCs w:val="16"/>
              </w:rPr>
            </w:pPr>
          </w:p>
        </w:tc>
        <w:tc>
          <w:tcPr>
            <w:tcW w:w="398" w:type="dxa"/>
            <w:shd w:val="clear" w:color="auto" w:fill="auto"/>
            <w:vAlign w:val="center"/>
          </w:tcPr>
          <w:p w14:paraId="3BC53B08" w14:textId="77777777" w:rsidR="00FD57F2" w:rsidRPr="00D46647" w:rsidRDefault="00FD57F2" w:rsidP="00FD57F2">
            <w:pPr>
              <w:jc w:val="center"/>
              <w:rPr>
                <w:color w:val="000000"/>
                <w:sz w:val="16"/>
                <w:szCs w:val="16"/>
              </w:rPr>
            </w:pPr>
          </w:p>
        </w:tc>
      </w:tr>
      <w:tr w:rsidR="00FD57F2" w:rsidRPr="00D46647" w14:paraId="78671491" w14:textId="77777777" w:rsidTr="007E3422">
        <w:trPr>
          <w:jc w:val="center"/>
        </w:trPr>
        <w:tc>
          <w:tcPr>
            <w:tcW w:w="1905" w:type="dxa"/>
            <w:shd w:val="clear" w:color="auto" w:fill="auto"/>
            <w:noWrap/>
            <w:vAlign w:val="bottom"/>
          </w:tcPr>
          <w:p w14:paraId="12EF31A6" w14:textId="77777777" w:rsidR="00FD57F2" w:rsidRPr="00D46647" w:rsidRDefault="00FD57F2" w:rsidP="00FD57F2">
            <w:pPr>
              <w:rPr>
                <w:sz w:val="16"/>
                <w:szCs w:val="16"/>
              </w:rPr>
            </w:pPr>
            <w:r w:rsidRPr="00D46647">
              <w:rPr>
                <w:sz w:val="16"/>
                <w:szCs w:val="16"/>
              </w:rPr>
              <w:t>Technologie du système de gestion des contenus sélectionnée</w:t>
            </w:r>
          </w:p>
        </w:tc>
        <w:tc>
          <w:tcPr>
            <w:tcW w:w="413" w:type="dxa"/>
            <w:shd w:val="clear" w:color="auto" w:fill="auto"/>
            <w:noWrap/>
            <w:vAlign w:val="center"/>
          </w:tcPr>
          <w:p w14:paraId="7D5077B4" w14:textId="77777777" w:rsidR="00FD57F2" w:rsidRPr="00D46647" w:rsidRDefault="00FD57F2" w:rsidP="00FD57F2">
            <w:pPr>
              <w:rPr>
                <w:sz w:val="16"/>
                <w:szCs w:val="16"/>
              </w:rPr>
            </w:pPr>
          </w:p>
        </w:tc>
        <w:tc>
          <w:tcPr>
            <w:tcW w:w="416" w:type="dxa"/>
            <w:shd w:val="clear" w:color="auto" w:fill="auto"/>
            <w:noWrap/>
            <w:vAlign w:val="center"/>
          </w:tcPr>
          <w:p w14:paraId="130D42C2" w14:textId="77777777" w:rsidR="00FD57F2" w:rsidRPr="00D46647" w:rsidRDefault="00FD57F2" w:rsidP="00FD57F2">
            <w:pPr>
              <w:rPr>
                <w:sz w:val="16"/>
                <w:szCs w:val="16"/>
              </w:rPr>
            </w:pPr>
          </w:p>
        </w:tc>
        <w:tc>
          <w:tcPr>
            <w:tcW w:w="416" w:type="dxa"/>
            <w:shd w:val="clear" w:color="auto" w:fill="auto"/>
            <w:noWrap/>
            <w:vAlign w:val="center"/>
          </w:tcPr>
          <w:p w14:paraId="7EC6C472" w14:textId="77777777" w:rsidR="00FD57F2" w:rsidRPr="00D46647" w:rsidRDefault="00FD57F2" w:rsidP="00FD57F2">
            <w:pPr>
              <w:rPr>
                <w:sz w:val="16"/>
                <w:szCs w:val="16"/>
              </w:rPr>
            </w:pPr>
          </w:p>
        </w:tc>
        <w:tc>
          <w:tcPr>
            <w:tcW w:w="417" w:type="dxa"/>
            <w:shd w:val="clear" w:color="auto" w:fill="auto"/>
            <w:noWrap/>
            <w:vAlign w:val="center"/>
          </w:tcPr>
          <w:p w14:paraId="2A6B3D8E" w14:textId="77777777" w:rsidR="00FD57F2" w:rsidRPr="00D46647" w:rsidRDefault="00FD57F2" w:rsidP="00FD57F2">
            <w:pPr>
              <w:rPr>
                <w:sz w:val="16"/>
                <w:szCs w:val="16"/>
              </w:rPr>
            </w:pPr>
          </w:p>
        </w:tc>
        <w:tc>
          <w:tcPr>
            <w:tcW w:w="416" w:type="dxa"/>
            <w:shd w:val="clear" w:color="auto" w:fill="auto"/>
            <w:noWrap/>
            <w:vAlign w:val="center"/>
          </w:tcPr>
          <w:p w14:paraId="6F2538E4" w14:textId="77777777" w:rsidR="00FD57F2" w:rsidRPr="00D46647" w:rsidRDefault="00FD57F2" w:rsidP="00FD57F2">
            <w:pPr>
              <w:rPr>
                <w:sz w:val="16"/>
                <w:szCs w:val="16"/>
              </w:rPr>
            </w:pPr>
          </w:p>
        </w:tc>
        <w:tc>
          <w:tcPr>
            <w:tcW w:w="417" w:type="dxa"/>
            <w:shd w:val="clear" w:color="auto" w:fill="auto"/>
            <w:noWrap/>
            <w:vAlign w:val="center"/>
          </w:tcPr>
          <w:p w14:paraId="02046789" w14:textId="77777777" w:rsidR="00FD57F2" w:rsidRPr="00D46647" w:rsidRDefault="00FD57F2" w:rsidP="00FD57F2">
            <w:pPr>
              <w:rPr>
                <w:sz w:val="16"/>
                <w:szCs w:val="16"/>
              </w:rPr>
            </w:pPr>
          </w:p>
        </w:tc>
        <w:tc>
          <w:tcPr>
            <w:tcW w:w="416" w:type="dxa"/>
            <w:shd w:val="clear" w:color="auto" w:fill="auto"/>
            <w:noWrap/>
            <w:vAlign w:val="center"/>
          </w:tcPr>
          <w:p w14:paraId="7E04AB0A" w14:textId="77777777" w:rsidR="00FD57F2" w:rsidRPr="00D46647" w:rsidRDefault="00FD57F2" w:rsidP="00FD57F2">
            <w:pPr>
              <w:jc w:val="center"/>
              <w:rPr>
                <w:color w:val="000000"/>
                <w:sz w:val="16"/>
                <w:szCs w:val="16"/>
              </w:rPr>
            </w:pPr>
            <w:r w:rsidRPr="00D46647">
              <w:rPr>
                <w:color w:val="000000"/>
                <w:sz w:val="16"/>
                <w:szCs w:val="16"/>
              </w:rPr>
              <w:t>X</w:t>
            </w:r>
          </w:p>
        </w:tc>
        <w:tc>
          <w:tcPr>
            <w:tcW w:w="417" w:type="dxa"/>
            <w:shd w:val="clear" w:color="auto" w:fill="auto"/>
            <w:noWrap/>
            <w:vAlign w:val="center"/>
          </w:tcPr>
          <w:p w14:paraId="14228849" w14:textId="77777777" w:rsidR="00FD57F2" w:rsidRPr="00D46647" w:rsidRDefault="00FD57F2" w:rsidP="00FD57F2">
            <w:pPr>
              <w:rPr>
                <w:sz w:val="16"/>
                <w:szCs w:val="16"/>
              </w:rPr>
            </w:pPr>
          </w:p>
        </w:tc>
        <w:tc>
          <w:tcPr>
            <w:tcW w:w="417" w:type="dxa"/>
            <w:shd w:val="clear" w:color="auto" w:fill="auto"/>
            <w:noWrap/>
            <w:vAlign w:val="center"/>
          </w:tcPr>
          <w:p w14:paraId="0BD32746" w14:textId="77777777" w:rsidR="00FD57F2" w:rsidRPr="00D46647" w:rsidRDefault="00FD57F2" w:rsidP="00FD57F2">
            <w:pPr>
              <w:rPr>
                <w:sz w:val="16"/>
                <w:szCs w:val="16"/>
              </w:rPr>
            </w:pPr>
          </w:p>
        </w:tc>
        <w:tc>
          <w:tcPr>
            <w:tcW w:w="416" w:type="dxa"/>
            <w:shd w:val="clear" w:color="auto" w:fill="auto"/>
            <w:noWrap/>
            <w:vAlign w:val="center"/>
          </w:tcPr>
          <w:p w14:paraId="3E96583C" w14:textId="77777777" w:rsidR="00FD57F2" w:rsidRPr="00D46647" w:rsidRDefault="00FD57F2" w:rsidP="00FD57F2">
            <w:pPr>
              <w:rPr>
                <w:sz w:val="16"/>
                <w:szCs w:val="16"/>
              </w:rPr>
            </w:pPr>
          </w:p>
        </w:tc>
        <w:tc>
          <w:tcPr>
            <w:tcW w:w="417" w:type="dxa"/>
            <w:shd w:val="clear" w:color="auto" w:fill="auto"/>
            <w:noWrap/>
            <w:vAlign w:val="center"/>
          </w:tcPr>
          <w:p w14:paraId="28C3CB4B" w14:textId="77777777" w:rsidR="00FD57F2" w:rsidRPr="00D46647" w:rsidRDefault="00FD57F2" w:rsidP="00FD57F2">
            <w:pPr>
              <w:rPr>
                <w:sz w:val="16"/>
                <w:szCs w:val="16"/>
              </w:rPr>
            </w:pPr>
          </w:p>
        </w:tc>
        <w:tc>
          <w:tcPr>
            <w:tcW w:w="416" w:type="dxa"/>
            <w:shd w:val="clear" w:color="auto" w:fill="auto"/>
            <w:noWrap/>
            <w:vAlign w:val="center"/>
          </w:tcPr>
          <w:p w14:paraId="7A5AB962" w14:textId="77777777" w:rsidR="00FD57F2" w:rsidRPr="00D46647" w:rsidRDefault="00FD57F2" w:rsidP="00FD57F2">
            <w:pPr>
              <w:rPr>
                <w:sz w:val="16"/>
                <w:szCs w:val="16"/>
              </w:rPr>
            </w:pPr>
          </w:p>
        </w:tc>
        <w:tc>
          <w:tcPr>
            <w:tcW w:w="398" w:type="dxa"/>
            <w:shd w:val="clear" w:color="auto" w:fill="auto"/>
            <w:vAlign w:val="center"/>
          </w:tcPr>
          <w:p w14:paraId="0586ED33" w14:textId="77777777" w:rsidR="00FD57F2" w:rsidRPr="00D46647" w:rsidRDefault="00FD57F2" w:rsidP="00FD57F2">
            <w:pPr>
              <w:rPr>
                <w:sz w:val="16"/>
                <w:szCs w:val="16"/>
              </w:rPr>
            </w:pPr>
          </w:p>
        </w:tc>
        <w:tc>
          <w:tcPr>
            <w:tcW w:w="398" w:type="dxa"/>
            <w:shd w:val="clear" w:color="auto" w:fill="auto"/>
            <w:vAlign w:val="center"/>
          </w:tcPr>
          <w:p w14:paraId="2446761A" w14:textId="77777777" w:rsidR="00FD57F2" w:rsidRPr="00D46647" w:rsidRDefault="00FD57F2" w:rsidP="00FD57F2">
            <w:pPr>
              <w:rPr>
                <w:sz w:val="16"/>
                <w:szCs w:val="16"/>
              </w:rPr>
            </w:pPr>
          </w:p>
        </w:tc>
        <w:tc>
          <w:tcPr>
            <w:tcW w:w="398" w:type="dxa"/>
            <w:shd w:val="clear" w:color="auto" w:fill="auto"/>
            <w:vAlign w:val="center"/>
          </w:tcPr>
          <w:p w14:paraId="3E2D7C3E" w14:textId="77777777" w:rsidR="00FD57F2" w:rsidRPr="00D46647" w:rsidRDefault="00FD57F2" w:rsidP="00FD57F2">
            <w:pPr>
              <w:rPr>
                <w:sz w:val="16"/>
                <w:szCs w:val="16"/>
              </w:rPr>
            </w:pPr>
          </w:p>
        </w:tc>
        <w:tc>
          <w:tcPr>
            <w:tcW w:w="398" w:type="dxa"/>
            <w:shd w:val="clear" w:color="auto" w:fill="auto"/>
            <w:vAlign w:val="center"/>
          </w:tcPr>
          <w:p w14:paraId="72042439" w14:textId="77777777" w:rsidR="00FD57F2" w:rsidRPr="00D46647" w:rsidRDefault="00FD57F2" w:rsidP="00FD57F2">
            <w:pPr>
              <w:rPr>
                <w:sz w:val="16"/>
                <w:szCs w:val="16"/>
              </w:rPr>
            </w:pPr>
          </w:p>
        </w:tc>
        <w:tc>
          <w:tcPr>
            <w:tcW w:w="398" w:type="dxa"/>
            <w:shd w:val="clear" w:color="auto" w:fill="auto"/>
            <w:vAlign w:val="center"/>
          </w:tcPr>
          <w:p w14:paraId="23EE8669" w14:textId="77777777" w:rsidR="00FD57F2" w:rsidRPr="00D46647" w:rsidRDefault="00FD57F2" w:rsidP="00FD57F2">
            <w:pPr>
              <w:jc w:val="center"/>
              <w:rPr>
                <w:color w:val="000000"/>
                <w:sz w:val="16"/>
                <w:szCs w:val="16"/>
              </w:rPr>
            </w:pPr>
          </w:p>
        </w:tc>
        <w:tc>
          <w:tcPr>
            <w:tcW w:w="398" w:type="dxa"/>
            <w:shd w:val="clear" w:color="auto" w:fill="auto"/>
            <w:vAlign w:val="center"/>
          </w:tcPr>
          <w:p w14:paraId="10A72C9C" w14:textId="77777777" w:rsidR="00FD57F2" w:rsidRPr="00D46647" w:rsidRDefault="00FD57F2" w:rsidP="00FD57F2">
            <w:pPr>
              <w:jc w:val="center"/>
              <w:rPr>
                <w:color w:val="000000"/>
                <w:sz w:val="16"/>
                <w:szCs w:val="16"/>
              </w:rPr>
            </w:pPr>
          </w:p>
        </w:tc>
      </w:tr>
      <w:tr w:rsidR="00FD57F2" w:rsidRPr="00D46647" w14:paraId="225588D0" w14:textId="77777777" w:rsidTr="007E3422">
        <w:trPr>
          <w:jc w:val="center"/>
        </w:trPr>
        <w:tc>
          <w:tcPr>
            <w:tcW w:w="1905" w:type="dxa"/>
            <w:shd w:val="clear" w:color="auto" w:fill="auto"/>
            <w:noWrap/>
            <w:vAlign w:val="bottom"/>
          </w:tcPr>
          <w:p w14:paraId="258CEBD9" w14:textId="77777777" w:rsidR="00FD57F2" w:rsidRPr="00D46647" w:rsidRDefault="00FD57F2" w:rsidP="00FD57F2">
            <w:pPr>
              <w:rPr>
                <w:sz w:val="16"/>
                <w:szCs w:val="16"/>
              </w:rPr>
            </w:pPr>
            <w:r w:rsidRPr="00D46647">
              <w:rPr>
                <w:sz w:val="16"/>
                <w:szCs w:val="16"/>
              </w:rPr>
              <w:t>Transformation de la plateforme et mise à niveau de la version existante des dossiers et archives de l’Organisation</w:t>
            </w:r>
          </w:p>
        </w:tc>
        <w:tc>
          <w:tcPr>
            <w:tcW w:w="413" w:type="dxa"/>
            <w:shd w:val="clear" w:color="auto" w:fill="auto"/>
            <w:noWrap/>
            <w:vAlign w:val="center"/>
          </w:tcPr>
          <w:p w14:paraId="2A40B056"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0EB9982E"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010FD463"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7538BDE"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3B299C71"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4663635B"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6DE77EC2"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64F6DD79" w14:textId="77777777" w:rsidR="00FD57F2" w:rsidRPr="00D46647" w:rsidRDefault="00FD57F2" w:rsidP="00FD57F2">
            <w:pPr>
              <w:jc w:val="center"/>
              <w:rPr>
                <w:color w:val="000000"/>
                <w:sz w:val="16"/>
                <w:szCs w:val="16"/>
              </w:rPr>
            </w:pPr>
            <w:r w:rsidRPr="00D46647">
              <w:rPr>
                <w:color w:val="000000"/>
                <w:sz w:val="16"/>
                <w:szCs w:val="16"/>
              </w:rPr>
              <w:t>X</w:t>
            </w:r>
          </w:p>
        </w:tc>
        <w:tc>
          <w:tcPr>
            <w:tcW w:w="417" w:type="dxa"/>
            <w:shd w:val="clear" w:color="auto" w:fill="auto"/>
            <w:noWrap/>
            <w:vAlign w:val="center"/>
          </w:tcPr>
          <w:p w14:paraId="6D9B54AE"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7B0C7C5C"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290BDDDE"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474B5EA5" w14:textId="77777777" w:rsidR="00FD57F2" w:rsidRPr="00D46647" w:rsidRDefault="00FD57F2" w:rsidP="00FD57F2">
            <w:pPr>
              <w:jc w:val="center"/>
              <w:rPr>
                <w:color w:val="000000"/>
                <w:sz w:val="16"/>
                <w:szCs w:val="16"/>
              </w:rPr>
            </w:pPr>
          </w:p>
        </w:tc>
        <w:tc>
          <w:tcPr>
            <w:tcW w:w="398" w:type="dxa"/>
            <w:shd w:val="clear" w:color="auto" w:fill="auto"/>
            <w:vAlign w:val="center"/>
          </w:tcPr>
          <w:p w14:paraId="317AC758" w14:textId="77777777" w:rsidR="00FD57F2" w:rsidRPr="00D46647" w:rsidRDefault="00FD57F2" w:rsidP="00FD57F2">
            <w:pPr>
              <w:jc w:val="center"/>
              <w:rPr>
                <w:color w:val="000000"/>
                <w:sz w:val="16"/>
                <w:szCs w:val="16"/>
              </w:rPr>
            </w:pPr>
          </w:p>
        </w:tc>
        <w:tc>
          <w:tcPr>
            <w:tcW w:w="398" w:type="dxa"/>
            <w:shd w:val="clear" w:color="auto" w:fill="auto"/>
            <w:vAlign w:val="center"/>
          </w:tcPr>
          <w:p w14:paraId="4E3E47EB" w14:textId="77777777" w:rsidR="00FD57F2" w:rsidRPr="00D46647" w:rsidRDefault="00FD57F2" w:rsidP="00FD57F2">
            <w:pPr>
              <w:jc w:val="center"/>
              <w:rPr>
                <w:color w:val="000000"/>
                <w:sz w:val="16"/>
                <w:szCs w:val="16"/>
              </w:rPr>
            </w:pPr>
          </w:p>
        </w:tc>
        <w:tc>
          <w:tcPr>
            <w:tcW w:w="398" w:type="dxa"/>
            <w:shd w:val="clear" w:color="auto" w:fill="auto"/>
            <w:vAlign w:val="center"/>
          </w:tcPr>
          <w:p w14:paraId="4659F11D" w14:textId="77777777" w:rsidR="00FD57F2" w:rsidRPr="00D46647" w:rsidRDefault="00FD57F2" w:rsidP="00FD57F2">
            <w:pPr>
              <w:jc w:val="center"/>
              <w:rPr>
                <w:color w:val="000000"/>
                <w:sz w:val="16"/>
                <w:szCs w:val="16"/>
              </w:rPr>
            </w:pPr>
          </w:p>
        </w:tc>
        <w:tc>
          <w:tcPr>
            <w:tcW w:w="398" w:type="dxa"/>
            <w:shd w:val="clear" w:color="auto" w:fill="auto"/>
            <w:vAlign w:val="center"/>
          </w:tcPr>
          <w:p w14:paraId="0383D136" w14:textId="77777777" w:rsidR="00FD57F2" w:rsidRPr="00D46647" w:rsidRDefault="00FD57F2" w:rsidP="00FD57F2">
            <w:pPr>
              <w:jc w:val="center"/>
              <w:rPr>
                <w:color w:val="000000"/>
                <w:sz w:val="16"/>
                <w:szCs w:val="16"/>
              </w:rPr>
            </w:pPr>
          </w:p>
        </w:tc>
        <w:tc>
          <w:tcPr>
            <w:tcW w:w="398" w:type="dxa"/>
            <w:shd w:val="clear" w:color="auto" w:fill="auto"/>
            <w:vAlign w:val="center"/>
          </w:tcPr>
          <w:p w14:paraId="72FDB8C4" w14:textId="77777777" w:rsidR="00FD57F2" w:rsidRPr="00D46647" w:rsidRDefault="00FD57F2" w:rsidP="00FD57F2">
            <w:pPr>
              <w:jc w:val="center"/>
              <w:rPr>
                <w:color w:val="000000"/>
                <w:sz w:val="16"/>
                <w:szCs w:val="16"/>
              </w:rPr>
            </w:pPr>
          </w:p>
        </w:tc>
        <w:tc>
          <w:tcPr>
            <w:tcW w:w="398" w:type="dxa"/>
            <w:shd w:val="clear" w:color="auto" w:fill="auto"/>
            <w:vAlign w:val="center"/>
          </w:tcPr>
          <w:p w14:paraId="0AA6213B" w14:textId="77777777" w:rsidR="00FD57F2" w:rsidRPr="00D46647" w:rsidRDefault="00FD57F2" w:rsidP="00FD57F2">
            <w:pPr>
              <w:jc w:val="center"/>
              <w:rPr>
                <w:color w:val="000000"/>
                <w:sz w:val="16"/>
                <w:szCs w:val="16"/>
              </w:rPr>
            </w:pPr>
          </w:p>
        </w:tc>
      </w:tr>
      <w:tr w:rsidR="00FD57F2" w:rsidRPr="00D46647" w14:paraId="7BEC3B9C" w14:textId="77777777" w:rsidTr="007E3422">
        <w:trPr>
          <w:jc w:val="center"/>
        </w:trPr>
        <w:tc>
          <w:tcPr>
            <w:tcW w:w="1905" w:type="dxa"/>
            <w:shd w:val="clear" w:color="auto" w:fill="auto"/>
            <w:noWrap/>
            <w:vAlign w:val="bottom"/>
          </w:tcPr>
          <w:p w14:paraId="466E45C4" w14:textId="77777777" w:rsidR="00FD57F2" w:rsidRPr="00D46647" w:rsidRDefault="00FD57F2" w:rsidP="00FD57F2">
            <w:pPr>
              <w:rPr>
                <w:sz w:val="16"/>
                <w:szCs w:val="16"/>
              </w:rPr>
            </w:pPr>
            <w:r w:rsidRPr="00D46647">
              <w:rPr>
                <w:sz w:val="16"/>
                <w:szCs w:val="16"/>
              </w:rPr>
              <w:t>Appel d’offres de partenaires de mise en œuvre terminé</w:t>
            </w:r>
          </w:p>
        </w:tc>
        <w:tc>
          <w:tcPr>
            <w:tcW w:w="413" w:type="dxa"/>
            <w:shd w:val="clear" w:color="auto" w:fill="auto"/>
            <w:noWrap/>
            <w:vAlign w:val="center"/>
          </w:tcPr>
          <w:p w14:paraId="0F773E82" w14:textId="77777777" w:rsidR="00FD57F2" w:rsidRPr="00D46647" w:rsidRDefault="00FD57F2" w:rsidP="00FD57F2">
            <w:pPr>
              <w:rPr>
                <w:sz w:val="16"/>
                <w:szCs w:val="16"/>
              </w:rPr>
            </w:pPr>
          </w:p>
        </w:tc>
        <w:tc>
          <w:tcPr>
            <w:tcW w:w="416" w:type="dxa"/>
            <w:shd w:val="clear" w:color="auto" w:fill="auto"/>
            <w:noWrap/>
            <w:vAlign w:val="center"/>
          </w:tcPr>
          <w:p w14:paraId="6CA5AD95" w14:textId="77777777" w:rsidR="00FD57F2" w:rsidRPr="00D46647" w:rsidRDefault="00FD57F2" w:rsidP="00FD57F2">
            <w:pPr>
              <w:rPr>
                <w:sz w:val="16"/>
                <w:szCs w:val="16"/>
              </w:rPr>
            </w:pPr>
          </w:p>
        </w:tc>
        <w:tc>
          <w:tcPr>
            <w:tcW w:w="416" w:type="dxa"/>
            <w:shd w:val="clear" w:color="auto" w:fill="auto"/>
            <w:noWrap/>
            <w:vAlign w:val="center"/>
          </w:tcPr>
          <w:p w14:paraId="2B011B5A" w14:textId="77777777" w:rsidR="00FD57F2" w:rsidRPr="00D46647" w:rsidRDefault="00FD57F2" w:rsidP="00FD57F2">
            <w:pPr>
              <w:rPr>
                <w:sz w:val="16"/>
                <w:szCs w:val="16"/>
              </w:rPr>
            </w:pPr>
          </w:p>
        </w:tc>
        <w:tc>
          <w:tcPr>
            <w:tcW w:w="417" w:type="dxa"/>
            <w:shd w:val="clear" w:color="auto" w:fill="auto"/>
            <w:noWrap/>
            <w:vAlign w:val="center"/>
          </w:tcPr>
          <w:p w14:paraId="648306A9" w14:textId="77777777" w:rsidR="00FD57F2" w:rsidRPr="00D46647" w:rsidRDefault="00FD57F2" w:rsidP="00FD57F2">
            <w:pPr>
              <w:rPr>
                <w:sz w:val="16"/>
                <w:szCs w:val="16"/>
              </w:rPr>
            </w:pPr>
          </w:p>
        </w:tc>
        <w:tc>
          <w:tcPr>
            <w:tcW w:w="416" w:type="dxa"/>
            <w:shd w:val="clear" w:color="auto" w:fill="auto"/>
            <w:noWrap/>
            <w:vAlign w:val="center"/>
          </w:tcPr>
          <w:p w14:paraId="11A37FBA" w14:textId="77777777" w:rsidR="00FD57F2" w:rsidRPr="00D46647" w:rsidRDefault="00FD57F2" w:rsidP="00FD57F2">
            <w:pPr>
              <w:rPr>
                <w:sz w:val="16"/>
                <w:szCs w:val="16"/>
              </w:rPr>
            </w:pPr>
          </w:p>
        </w:tc>
        <w:tc>
          <w:tcPr>
            <w:tcW w:w="417" w:type="dxa"/>
            <w:shd w:val="clear" w:color="auto" w:fill="auto"/>
            <w:noWrap/>
            <w:vAlign w:val="center"/>
          </w:tcPr>
          <w:p w14:paraId="4867BF7D" w14:textId="77777777" w:rsidR="00FD57F2" w:rsidRPr="00D46647" w:rsidRDefault="00FD57F2" w:rsidP="00FD57F2">
            <w:pPr>
              <w:rPr>
                <w:sz w:val="16"/>
                <w:szCs w:val="16"/>
              </w:rPr>
            </w:pPr>
          </w:p>
        </w:tc>
        <w:tc>
          <w:tcPr>
            <w:tcW w:w="416" w:type="dxa"/>
            <w:shd w:val="clear" w:color="auto" w:fill="auto"/>
            <w:noWrap/>
            <w:vAlign w:val="center"/>
          </w:tcPr>
          <w:p w14:paraId="4F29EBBC" w14:textId="77777777" w:rsidR="00FD57F2" w:rsidRPr="00D46647" w:rsidRDefault="00FD57F2" w:rsidP="00FD57F2">
            <w:pPr>
              <w:rPr>
                <w:sz w:val="16"/>
                <w:szCs w:val="16"/>
              </w:rPr>
            </w:pPr>
          </w:p>
        </w:tc>
        <w:tc>
          <w:tcPr>
            <w:tcW w:w="417" w:type="dxa"/>
            <w:shd w:val="clear" w:color="auto" w:fill="auto"/>
            <w:noWrap/>
            <w:vAlign w:val="center"/>
          </w:tcPr>
          <w:p w14:paraId="16457686" w14:textId="77777777" w:rsidR="00FD57F2" w:rsidRPr="00D46647" w:rsidRDefault="00FD57F2" w:rsidP="00FD57F2">
            <w:pPr>
              <w:rPr>
                <w:sz w:val="16"/>
                <w:szCs w:val="16"/>
              </w:rPr>
            </w:pPr>
          </w:p>
        </w:tc>
        <w:tc>
          <w:tcPr>
            <w:tcW w:w="417" w:type="dxa"/>
            <w:shd w:val="clear" w:color="auto" w:fill="auto"/>
            <w:noWrap/>
            <w:vAlign w:val="center"/>
          </w:tcPr>
          <w:p w14:paraId="01E0A363" w14:textId="77777777" w:rsidR="00FD57F2" w:rsidRPr="00D46647" w:rsidRDefault="00FD57F2" w:rsidP="00FD57F2">
            <w:pPr>
              <w:rPr>
                <w:sz w:val="16"/>
                <w:szCs w:val="16"/>
              </w:rPr>
            </w:pPr>
          </w:p>
        </w:tc>
        <w:tc>
          <w:tcPr>
            <w:tcW w:w="416" w:type="dxa"/>
            <w:shd w:val="clear" w:color="auto" w:fill="auto"/>
            <w:noWrap/>
            <w:vAlign w:val="center"/>
          </w:tcPr>
          <w:p w14:paraId="21E8C2FE" w14:textId="77777777" w:rsidR="00FD57F2" w:rsidRPr="00D46647" w:rsidRDefault="00FD57F2" w:rsidP="00FD57F2">
            <w:pPr>
              <w:rPr>
                <w:sz w:val="16"/>
                <w:szCs w:val="16"/>
              </w:rPr>
            </w:pPr>
          </w:p>
        </w:tc>
        <w:tc>
          <w:tcPr>
            <w:tcW w:w="417" w:type="dxa"/>
            <w:shd w:val="clear" w:color="auto" w:fill="auto"/>
            <w:noWrap/>
            <w:vAlign w:val="center"/>
          </w:tcPr>
          <w:p w14:paraId="798D3C53" w14:textId="77777777" w:rsidR="00FD57F2" w:rsidRPr="00D46647" w:rsidRDefault="00FD57F2" w:rsidP="00FD57F2">
            <w:pPr>
              <w:jc w:val="center"/>
              <w:rPr>
                <w:color w:val="000000"/>
                <w:sz w:val="16"/>
                <w:szCs w:val="16"/>
              </w:rPr>
            </w:pPr>
            <w:r w:rsidRPr="00D46647">
              <w:rPr>
                <w:color w:val="000000"/>
                <w:sz w:val="16"/>
                <w:szCs w:val="16"/>
              </w:rPr>
              <w:t>X</w:t>
            </w:r>
          </w:p>
        </w:tc>
        <w:tc>
          <w:tcPr>
            <w:tcW w:w="416" w:type="dxa"/>
            <w:shd w:val="clear" w:color="auto" w:fill="auto"/>
            <w:noWrap/>
            <w:vAlign w:val="center"/>
          </w:tcPr>
          <w:p w14:paraId="3A5039E2" w14:textId="77777777" w:rsidR="00FD57F2" w:rsidRPr="00D46647" w:rsidRDefault="00FD57F2" w:rsidP="00FD57F2">
            <w:pPr>
              <w:rPr>
                <w:sz w:val="16"/>
                <w:szCs w:val="16"/>
              </w:rPr>
            </w:pPr>
          </w:p>
        </w:tc>
        <w:tc>
          <w:tcPr>
            <w:tcW w:w="398" w:type="dxa"/>
            <w:shd w:val="clear" w:color="auto" w:fill="auto"/>
            <w:vAlign w:val="center"/>
          </w:tcPr>
          <w:p w14:paraId="32C96500" w14:textId="77777777" w:rsidR="00FD57F2" w:rsidRPr="00D46647" w:rsidRDefault="00FD57F2" w:rsidP="00FD57F2">
            <w:pPr>
              <w:rPr>
                <w:sz w:val="16"/>
                <w:szCs w:val="16"/>
              </w:rPr>
            </w:pPr>
          </w:p>
        </w:tc>
        <w:tc>
          <w:tcPr>
            <w:tcW w:w="398" w:type="dxa"/>
            <w:shd w:val="clear" w:color="auto" w:fill="auto"/>
            <w:vAlign w:val="center"/>
          </w:tcPr>
          <w:p w14:paraId="733478EE" w14:textId="77777777" w:rsidR="00FD57F2" w:rsidRPr="00D46647" w:rsidRDefault="00FD57F2" w:rsidP="00FD57F2">
            <w:pPr>
              <w:rPr>
                <w:sz w:val="16"/>
                <w:szCs w:val="16"/>
              </w:rPr>
            </w:pPr>
          </w:p>
        </w:tc>
        <w:tc>
          <w:tcPr>
            <w:tcW w:w="398" w:type="dxa"/>
            <w:shd w:val="clear" w:color="auto" w:fill="auto"/>
            <w:vAlign w:val="center"/>
          </w:tcPr>
          <w:p w14:paraId="3F102AB0" w14:textId="77777777" w:rsidR="00FD57F2" w:rsidRPr="00D46647" w:rsidRDefault="00FD57F2" w:rsidP="00FD57F2">
            <w:pPr>
              <w:rPr>
                <w:sz w:val="16"/>
                <w:szCs w:val="16"/>
              </w:rPr>
            </w:pPr>
          </w:p>
        </w:tc>
        <w:tc>
          <w:tcPr>
            <w:tcW w:w="398" w:type="dxa"/>
            <w:shd w:val="clear" w:color="auto" w:fill="auto"/>
            <w:vAlign w:val="center"/>
          </w:tcPr>
          <w:p w14:paraId="6A426EE3" w14:textId="77777777" w:rsidR="00FD57F2" w:rsidRPr="00D46647" w:rsidRDefault="00FD57F2" w:rsidP="00FD57F2">
            <w:pPr>
              <w:rPr>
                <w:sz w:val="16"/>
                <w:szCs w:val="16"/>
              </w:rPr>
            </w:pPr>
          </w:p>
        </w:tc>
        <w:tc>
          <w:tcPr>
            <w:tcW w:w="398" w:type="dxa"/>
            <w:shd w:val="clear" w:color="auto" w:fill="auto"/>
            <w:vAlign w:val="center"/>
          </w:tcPr>
          <w:p w14:paraId="11A4E936" w14:textId="77777777" w:rsidR="00FD57F2" w:rsidRPr="00D46647" w:rsidRDefault="00FD57F2" w:rsidP="00FD57F2">
            <w:pPr>
              <w:jc w:val="center"/>
              <w:rPr>
                <w:color w:val="000000"/>
                <w:sz w:val="16"/>
                <w:szCs w:val="16"/>
              </w:rPr>
            </w:pPr>
          </w:p>
        </w:tc>
        <w:tc>
          <w:tcPr>
            <w:tcW w:w="398" w:type="dxa"/>
            <w:shd w:val="clear" w:color="auto" w:fill="auto"/>
            <w:vAlign w:val="center"/>
          </w:tcPr>
          <w:p w14:paraId="7E9381EC" w14:textId="77777777" w:rsidR="00FD57F2" w:rsidRPr="00D46647" w:rsidRDefault="00FD57F2" w:rsidP="00FD57F2">
            <w:pPr>
              <w:jc w:val="center"/>
              <w:rPr>
                <w:color w:val="000000"/>
                <w:sz w:val="16"/>
                <w:szCs w:val="16"/>
              </w:rPr>
            </w:pPr>
          </w:p>
        </w:tc>
      </w:tr>
      <w:tr w:rsidR="00FD57F2" w:rsidRPr="00D46647" w14:paraId="5A37E167" w14:textId="77777777" w:rsidTr="007E3422">
        <w:trPr>
          <w:jc w:val="center"/>
        </w:trPr>
        <w:tc>
          <w:tcPr>
            <w:tcW w:w="1905" w:type="dxa"/>
            <w:shd w:val="clear" w:color="auto" w:fill="auto"/>
            <w:noWrap/>
            <w:vAlign w:val="bottom"/>
          </w:tcPr>
          <w:p w14:paraId="30B7B9B2" w14:textId="77777777" w:rsidR="00FD57F2" w:rsidRPr="00D46647" w:rsidRDefault="00FD57F2" w:rsidP="00FD57F2">
            <w:pPr>
              <w:rPr>
                <w:sz w:val="16"/>
                <w:szCs w:val="16"/>
              </w:rPr>
            </w:pPr>
            <w:r w:rsidRPr="00D46647">
              <w:rPr>
                <w:sz w:val="16"/>
                <w:szCs w:val="16"/>
              </w:rPr>
              <w:t>Configuration de base du système de gestion des contenus acceptée</w:t>
            </w:r>
          </w:p>
        </w:tc>
        <w:tc>
          <w:tcPr>
            <w:tcW w:w="413" w:type="dxa"/>
            <w:shd w:val="clear" w:color="auto" w:fill="auto"/>
            <w:noWrap/>
            <w:vAlign w:val="center"/>
          </w:tcPr>
          <w:p w14:paraId="135BBC68" w14:textId="77777777" w:rsidR="00FD57F2" w:rsidRPr="00D46647" w:rsidRDefault="00FD57F2" w:rsidP="00FD57F2">
            <w:pPr>
              <w:rPr>
                <w:sz w:val="16"/>
                <w:szCs w:val="16"/>
              </w:rPr>
            </w:pPr>
          </w:p>
        </w:tc>
        <w:tc>
          <w:tcPr>
            <w:tcW w:w="416" w:type="dxa"/>
            <w:shd w:val="clear" w:color="auto" w:fill="auto"/>
            <w:noWrap/>
            <w:vAlign w:val="center"/>
          </w:tcPr>
          <w:p w14:paraId="415793FC" w14:textId="77777777" w:rsidR="00FD57F2" w:rsidRPr="00D46647" w:rsidRDefault="00FD57F2" w:rsidP="00FD57F2">
            <w:pPr>
              <w:rPr>
                <w:sz w:val="16"/>
                <w:szCs w:val="16"/>
              </w:rPr>
            </w:pPr>
          </w:p>
        </w:tc>
        <w:tc>
          <w:tcPr>
            <w:tcW w:w="416" w:type="dxa"/>
            <w:shd w:val="clear" w:color="auto" w:fill="auto"/>
            <w:noWrap/>
            <w:vAlign w:val="center"/>
          </w:tcPr>
          <w:p w14:paraId="57D4F8D9" w14:textId="77777777" w:rsidR="00FD57F2" w:rsidRPr="00D46647" w:rsidRDefault="00FD57F2" w:rsidP="00FD57F2">
            <w:pPr>
              <w:rPr>
                <w:sz w:val="16"/>
                <w:szCs w:val="16"/>
              </w:rPr>
            </w:pPr>
          </w:p>
        </w:tc>
        <w:tc>
          <w:tcPr>
            <w:tcW w:w="417" w:type="dxa"/>
            <w:shd w:val="clear" w:color="auto" w:fill="auto"/>
            <w:noWrap/>
            <w:vAlign w:val="center"/>
          </w:tcPr>
          <w:p w14:paraId="205B6F8E" w14:textId="77777777" w:rsidR="00FD57F2" w:rsidRPr="00D46647" w:rsidRDefault="00FD57F2" w:rsidP="00FD57F2">
            <w:pPr>
              <w:rPr>
                <w:sz w:val="16"/>
                <w:szCs w:val="16"/>
              </w:rPr>
            </w:pPr>
          </w:p>
        </w:tc>
        <w:tc>
          <w:tcPr>
            <w:tcW w:w="416" w:type="dxa"/>
            <w:shd w:val="clear" w:color="auto" w:fill="auto"/>
            <w:noWrap/>
            <w:vAlign w:val="center"/>
          </w:tcPr>
          <w:p w14:paraId="6ED36271" w14:textId="77777777" w:rsidR="00FD57F2" w:rsidRPr="00D46647" w:rsidRDefault="00FD57F2" w:rsidP="00FD57F2">
            <w:pPr>
              <w:rPr>
                <w:sz w:val="16"/>
                <w:szCs w:val="16"/>
              </w:rPr>
            </w:pPr>
          </w:p>
        </w:tc>
        <w:tc>
          <w:tcPr>
            <w:tcW w:w="417" w:type="dxa"/>
            <w:shd w:val="clear" w:color="auto" w:fill="auto"/>
            <w:noWrap/>
            <w:vAlign w:val="center"/>
          </w:tcPr>
          <w:p w14:paraId="3E746A4F" w14:textId="77777777" w:rsidR="00FD57F2" w:rsidRPr="00D46647" w:rsidRDefault="00FD57F2" w:rsidP="00FD57F2">
            <w:pPr>
              <w:rPr>
                <w:sz w:val="16"/>
                <w:szCs w:val="16"/>
              </w:rPr>
            </w:pPr>
          </w:p>
        </w:tc>
        <w:tc>
          <w:tcPr>
            <w:tcW w:w="416" w:type="dxa"/>
            <w:shd w:val="clear" w:color="auto" w:fill="auto"/>
            <w:noWrap/>
            <w:vAlign w:val="center"/>
          </w:tcPr>
          <w:p w14:paraId="131F29B3" w14:textId="77777777" w:rsidR="00FD57F2" w:rsidRPr="00D46647" w:rsidRDefault="00FD57F2" w:rsidP="00FD57F2">
            <w:pPr>
              <w:rPr>
                <w:sz w:val="16"/>
                <w:szCs w:val="16"/>
              </w:rPr>
            </w:pPr>
          </w:p>
        </w:tc>
        <w:tc>
          <w:tcPr>
            <w:tcW w:w="417" w:type="dxa"/>
            <w:shd w:val="clear" w:color="auto" w:fill="auto"/>
            <w:noWrap/>
            <w:vAlign w:val="center"/>
          </w:tcPr>
          <w:p w14:paraId="2D8F7911" w14:textId="77777777" w:rsidR="00FD57F2" w:rsidRPr="00D46647" w:rsidRDefault="00FD57F2" w:rsidP="00FD57F2">
            <w:pPr>
              <w:rPr>
                <w:sz w:val="16"/>
                <w:szCs w:val="16"/>
              </w:rPr>
            </w:pPr>
          </w:p>
        </w:tc>
        <w:tc>
          <w:tcPr>
            <w:tcW w:w="417" w:type="dxa"/>
            <w:shd w:val="clear" w:color="auto" w:fill="auto"/>
            <w:noWrap/>
            <w:vAlign w:val="center"/>
          </w:tcPr>
          <w:p w14:paraId="74244E20"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2FD6105F"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423ED1D2" w14:textId="77777777" w:rsidR="00FD57F2" w:rsidRPr="00D46647" w:rsidRDefault="00FD57F2" w:rsidP="00FD57F2">
            <w:pPr>
              <w:rPr>
                <w:sz w:val="16"/>
                <w:szCs w:val="16"/>
              </w:rPr>
            </w:pPr>
          </w:p>
        </w:tc>
        <w:tc>
          <w:tcPr>
            <w:tcW w:w="416" w:type="dxa"/>
            <w:shd w:val="clear" w:color="auto" w:fill="auto"/>
            <w:noWrap/>
            <w:vAlign w:val="center"/>
          </w:tcPr>
          <w:p w14:paraId="7F043FCD" w14:textId="77777777" w:rsidR="00FD57F2" w:rsidRPr="00D46647" w:rsidRDefault="00FD57F2" w:rsidP="00FD57F2">
            <w:pPr>
              <w:rPr>
                <w:sz w:val="16"/>
                <w:szCs w:val="16"/>
              </w:rPr>
            </w:pPr>
          </w:p>
        </w:tc>
        <w:tc>
          <w:tcPr>
            <w:tcW w:w="398" w:type="dxa"/>
            <w:shd w:val="clear" w:color="auto" w:fill="auto"/>
            <w:vAlign w:val="center"/>
          </w:tcPr>
          <w:p w14:paraId="6110857F" w14:textId="77777777" w:rsidR="00FD57F2" w:rsidRPr="00D46647" w:rsidRDefault="00FD57F2" w:rsidP="00FD57F2">
            <w:pPr>
              <w:jc w:val="center"/>
              <w:rPr>
                <w:color w:val="000000"/>
                <w:sz w:val="16"/>
                <w:szCs w:val="16"/>
              </w:rPr>
            </w:pPr>
            <w:r w:rsidRPr="00D46647">
              <w:rPr>
                <w:color w:val="000000"/>
                <w:sz w:val="16"/>
                <w:szCs w:val="16"/>
              </w:rPr>
              <w:t>X</w:t>
            </w:r>
          </w:p>
        </w:tc>
        <w:tc>
          <w:tcPr>
            <w:tcW w:w="398" w:type="dxa"/>
            <w:shd w:val="clear" w:color="auto" w:fill="auto"/>
            <w:vAlign w:val="center"/>
          </w:tcPr>
          <w:p w14:paraId="51DE33E0" w14:textId="77777777" w:rsidR="00FD57F2" w:rsidRPr="00D46647" w:rsidRDefault="00FD57F2" w:rsidP="00FD57F2">
            <w:pPr>
              <w:rPr>
                <w:sz w:val="16"/>
                <w:szCs w:val="16"/>
              </w:rPr>
            </w:pPr>
          </w:p>
        </w:tc>
        <w:tc>
          <w:tcPr>
            <w:tcW w:w="398" w:type="dxa"/>
            <w:shd w:val="clear" w:color="auto" w:fill="auto"/>
            <w:vAlign w:val="center"/>
          </w:tcPr>
          <w:p w14:paraId="5478F0F0" w14:textId="77777777" w:rsidR="00FD57F2" w:rsidRPr="00D46647" w:rsidRDefault="00FD57F2" w:rsidP="00FD57F2">
            <w:pPr>
              <w:rPr>
                <w:sz w:val="16"/>
                <w:szCs w:val="16"/>
              </w:rPr>
            </w:pPr>
          </w:p>
        </w:tc>
        <w:tc>
          <w:tcPr>
            <w:tcW w:w="398" w:type="dxa"/>
            <w:shd w:val="clear" w:color="auto" w:fill="auto"/>
            <w:vAlign w:val="center"/>
          </w:tcPr>
          <w:p w14:paraId="3EC01BDA" w14:textId="77777777" w:rsidR="00FD57F2" w:rsidRPr="00D46647" w:rsidRDefault="00FD57F2" w:rsidP="00FD57F2">
            <w:pPr>
              <w:rPr>
                <w:sz w:val="16"/>
                <w:szCs w:val="16"/>
              </w:rPr>
            </w:pPr>
          </w:p>
        </w:tc>
        <w:tc>
          <w:tcPr>
            <w:tcW w:w="398" w:type="dxa"/>
            <w:shd w:val="clear" w:color="auto" w:fill="auto"/>
            <w:vAlign w:val="center"/>
          </w:tcPr>
          <w:p w14:paraId="6AF94CEA" w14:textId="77777777" w:rsidR="00FD57F2" w:rsidRPr="00D46647" w:rsidRDefault="00FD57F2" w:rsidP="00FD57F2">
            <w:pPr>
              <w:jc w:val="center"/>
              <w:rPr>
                <w:color w:val="000000"/>
                <w:sz w:val="16"/>
                <w:szCs w:val="16"/>
              </w:rPr>
            </w:pPr>
          </w:p>
        </w:tc>
        <w:tc>
          <w:tcPr>
            <w:tcW w:w="398" w:type="dxa"/>
            <w:shd w:val="clear" w:color="auto" w:fill="auto"/>
            <w:vAlign w:val="center"/>
          </w:tcPr>
          <w:p w14:paraId="79089B39" w14:textId="77777777" w:rsidR="00FD57F2" w:rsidRPr="00D46647" w:rsidRDefault="00FD57F2" w:rsidP="00FD57F2">
            <w:pPr>
              <w:jc w:val="center"/>
              <w:rPr>
                <w:color w:val="000000"/>
                <w:sz w:val="16"/>
                <w:szCs w:val="16"/>
              </w:rPr>
            </w:pPr>
          </w:p>
        </w:tc>
      </w:tr>
      <w:tr w:rsidR="00FD57F2" w:rsidRPr="00D46647" w14:paraId="7695F34D" w14:textId="77777777" w:rsidTr="007E3422">
        <w:trPr>
          <w:jc w:val="center"/>
        </w:trPr>
        <w:tc>
          <w:tcPr>
            <w:tcW w:w="1905" w:type="dxa"/>
            <w:shd w:val="clear" w:color="auto" w:fill="auto"/>
            <w:noWrap/>
            <w:vAlign w:val="bottom"/>
          </w:tcPr>
          <w:p w14:paraId="2CCF0476" w14:textId="77777777" w:rsidR="00FD57F2" w:rsidRPr="00D46647" w:rsidRDefault="00FD57F2" w:rsidP="00FD57F2">
            <w:pPr>
              <w:rPr>
                <w:sz w:val="16"/>
                <w:szCs w:val="16"/>
              </w:rPr>
            </w:pPr>
            <w:r w:rsidRPr="00D46647">
              <w:rPr>
                <w:sz w:val="16"/>
                <w:szCs w:val="16"/>
              </w:rPr>
              <w:t>Configuration améliorée des dossiers et archives acceptée</w:t>
            </w:r>
          </w:p>
        </w:tc>
        <w:tc>
          <w:tcPr>
            <w:tcW w:w="413" w:type="dxa"/>
            <w:shd w:val="clear" w:color="auto" w:fill="auto"/>
            <w:noWrap/>
            <w:vAlign w:val="center"/>
          </w:tcPr>
          <w:p w14:paraId="1CEAE6C1" w14:textId="77777777" w:rsidR="00FD57F2" w:rsidRPr="00D46647" w:rsidRDefault="00FD57F2" w:rsidP="00FD57F2">
            <w:pPr>
              <w:rPr>
                <w:sz w:val="16"/>
                <w:szCs w:val="16"/>
              </w:rPr>
            </w:pPr>
          </w:p>
        </w:tc>
        <w:tc>
          <w:tcPr>
            <w:tcW w:w="416" w:type="dxa"/>
            <w:shd w:val="clear" w:color="auto" w:fill="auto"/>
            <w:noWrap/>
            <w:vAlign w:val="center"/>
          </w:tcPr>
          <w:p w14:paraId="7AA34351" w14:textId="77777777" w:rsidR="00FD57F2" w:rsidRPr="00D46647" w:rsidRDefault="00FD57F2" w:rsidP="00FD57F2">
            <w:pPr>
              <w:rPr>
                <w:sz w:val="16"/>
                <w:szCs w:val="16"/>
              </w:rPr>
            </w:pPr>
          </w:p>
        </w:tc>
        <w:tc>
          <w:tcPr>
            <w:tcW w:w="416" w:type="dxa"/>
            <w:shd w:val="clear" w:color="auto" w:fill="auto"/>
            <w:noWrap/>
            <w:vAlign w:val="center"/>
          </w:tcPr>
          <w:p w14:paraId="645A6605" w14:textId="77777777" w:rsidR="00FD57F2" w:rsidRPr="00D46647" w:rsidRDefault="00FD57F2" w:rsidP="00FD57F2">
            <w:pPr>
              <w:rPr>
                <w:sz w:val="16"/>
                <w:szCs w:val="16"/>
              </w:rPr>
            </w:pPr>
          </w:p>
        </w:tc>
        <w:tc>
          <w:tcPr>
            <w:tcW w:w="417" w:type="dxa"/>
            <w:shd w:val="clear" w:color="auto" w:fill="auto"/>
            <w:noWrap/>
            <w:vAlign w:val="center"/>
          </w:tcPr>
          <w:p w14:paraId="7B08C7B9" w14:textId="77777777" w:rsidR="00FD57F2" w:rsidRPr="00D46647" w:rsidRDefault="00FD57F2" w:rsidP="00FD57F2">
            <w:pPr>
              <w:rPr>
                <w:sz w:val="16"/>
                <w:szCs w:val="16"/>
              </w:rPr>
            </w:pPr>
          </w:p>
        </w:tc>
        <w:tc>
          <w:tcPr>
            <w:tcW w:w="416" w:type="dxa"/>
            <w:shd w:val="clear" w:color="auto" w:fill="auto"/>
            <w:noWrap/>
            <w:vAlign w:val="center"/>
          </w:tcPr>
          <w:p w14:paraId="1AE2F25B" w14:textId="77777777" w:rsidR="00FD57F2" w:rsidRPr="00D46647" w:rsidRDefault="00FD57F2" w:rsidP="00FD57F2">
            <w:pPr>
              <w:rPr>
                <w:sz w:val="16"/>
                <w:szCs w:val="16"/>
              </w:rPr>
            </w:pPr>
          </w:p>
        </w:tc>
        <w:tc>
          <w:tcPr>
            <w:tcW w:w="417" w:type="dxa"/>
            <w:shd w:val="clear" w:color="auto" w:fill="auto"/>
            <w:noWrap/>
            <w:vAlign w:val="center"/>
          </w:tcPr>
          <w:p w14:paraId="0F7840FD" w14:textId="77777777" w:rsidR="00FD57F2" w:rsidRPr="00D46647" w:rsidRDefault="00FD57F2" w:rsidP="00FD57F2">
            <w:pPr>
              <w:rPr>
                <w:sz w:val="16"/>
                <w:szCs w:val="16"/>
              </w:rPr>
            </w:pPr>
          </w:p>
        </w:tc>
        <w:tc>
          <w:tcPr>
            <w:tcW w:w="416" w:type="dxa"/>
            <w:shd w:val="clear" w:color="auto" w:fill="auto"/>
            <w:noWrap/>
            <w:vAlign w:val="center"/>
          </w:tcPr>
          <w:p w14:paraId="1361D8AB" w14:textId="77777777" w:rsidR="00FD57F2" w:rsidRPr="00D46647" w:rsidRDefault="00FD57F2" w:rsidP="00FD57F2">
            <w:pPr>
              <w:rPr>
                <w:sz w:val="16"/>
                <w:szCs w:val="16"/>
              </w:rPr>
            </w:pPr>
          </w:p>
        </w:tc>
        <w:tc>
          <w:tcPr>
            <w:tcW w:w="417" w:type="dxa"/>
            <w:shd w:val="clear" w:color="auto" w:fill="auto"/>
            <w:noWrap/>
            <w:vAlign w:val="center"/>
          </w:tcPr>
          <w:p w14:paraId="2BC1D8C9" w14:textId="77777777" w:rsidR="00FD57F2" w:rsidRPr="00D46647" w:rsidRDefault="00FD57F2" w:rsidP="00FD57F2">
            <w:pPr>
              <w:rPr>
                <w:sz w:val="16"/>
                <w:szCs w:val="16"/>
              </w:rPr>
            </w:pPr>
          </w:p>
        </w:tc>
        <w:tc>
          <w:tcPr>
            <w:tcW w:w="417" w:type="dxa"/>
            <w:shd w:val="clear" w:color="auto" w:fill="auto"/>
            <w:noWrap/>
            <w:vAlign w:val="center"/>
          </w:tcPr>
          <w:p w14:paraId="46A6677E" w14:textId="77777777" w:rsidR="00FD57F2" w:rsidRPr="00D46647" w:rsidRDefault="00FD57F2" w:rsidP="00FD57F2">
            <w:pPr>
              <w:rPr>
                <w:sz w:val="16"/>
                <w:szCs w:val="16"/>
              </w:rPr>
            </w:pPr>
          </w:p>
        </w:tc>
        <w:tc>
          <w:tcPr>
            <w:tcW w:w="416" w:type="dxa"/>
            <w:shd w:val="clear" w:color="auto" w:fill="auto"/>
            <w:noWrap/>
            <w:vAlign w:val="center"/>
          </w:tcPr>
          <w:p w14:paraId="78DD29C2" w14:textId="77777777" w:rsidR="00FD57F2" w:rsidRPr="00D46647" w:rsidRDefault="00FD57F2" w:rsidP="00FD57F2">
            <w:pPr>
              <w:rPr>
                <w:sz w:val="16"/>
                <w:szCs w:val="16"/>
              </w:rPr>
            </w:pPr>
          </w:p>
        </w:tc>
        <w:tc>
          <w:tcPr>
            <w:tcW w:w="417" w:type="dxa"/>
            <w:shd w:val="clear" w:color="auto" w:fill="auto"/>
            <w:noWrap/>
            <w:vAlign w:val="center"/>
          </w:tcPr>
          <w:p w14:paraId="5797E146" w14:textId="77777777" w:rsidR="00FD57F2" w:rsidRPr="00D46647" w:rsidRDefault="00FD57F2" w:rsidP="00FD57F2">
            <w:pPr>
              <w:rPr>
                <w:sz w:val="16"/>
                <w:szCs w:val="16"/>
              </w:rPr>
            </w:pPr>
          </w:p>
        </w:tc>
        <w:tc>
          <w:tcPr>
            <w:tcW w:w="416" w:type="dxa"/>
            <w:shd w:val="clear" w:color="auto" w:fill="auto"/>
            <w:noWrap/>
            <w:vAlign w:val="center"/>
          </w:tcPr>
          <w:p w14:paraId="78AA268C" w14:textId="77777777" w:rsidR="00FD57F2" w:rsidRPr="00D46647" w:rsidRDefault="00FD57F2" w:rsidP="00FD57F2">
            <w:pPr>
              <w:rPr>
                <w:sz w:val="16"/>
                <w:szCs w:val="16"/>
              </w:rPr>
            </w:pPr>
          </w:p>
        </w:tc>
        <w:tc>
          <w:tcPr>
            <w:tcW w:w="398" w:type="dxa"/>
            <w:shd w:val="clear" w:color="auto" w:fill="auto"/>
            <w:vAlign w:val="center"/>
          </w:tcPr>
          <w:p w14:paraId="3295CD2F" w14:textId="77777777" w:rsidR="00FD57F2" w:rsidRPr="00D46647" w:rsidRDefault="00FD57F2" w:rsidP="00FD57F2">
            <w:pPr>
              <w:jc w:val="center"/>
              <w:rPr>
                <w:color w:val="000000"/>
                <w:sz w:val="16"/>
                <w:szCs w:val="16"/>
              </w:rPr>
            </w:pPr>
            <w:r w:rsidRPr="00D46647">
              <w:rPr>
                <w:color w:val="000000"/>
                <w:sz w:val="16"/>
                <w:szCs w:val="16"/>
              </w:rPr>
              <w:t>X</w:t>
            </w:r>
          </w:p>
        </w:tc>
        <w:tc>
          <w:tcPr>
            <w:tcW w:w="398" w:type="dxa"/>
            <w:shd w:val="clear" w:color="auto" w:fill="auto"/>
            <w:vAlign w:val="center"/>
          </w:tcPr>
          <w:p w14:paraId="37ED555F" w14:textId="77777777" w:rsidR="00FD57F2" w:rsidRPr="00D46647" w:rsidRDefault="00FD57F2" w:rsidP="00FD57F2">
            <w:pPr>
              <w:rPr>
                <w:sz w:val="16"/>
                <w:szCs w:val="16"/>
              </w:rPr>
            </w:pPr>
          </w:p>
        </w:tc>
        <w:tc>
          <w:tcPr>
            <w:tcW w:w="398" w:type="dxa"/>
            <w:shd w:val="clear" w:color="auto" w:fill="auto"/>
            <w:vAlign w:val="center"/>
          </w:tcPr>
          <w:p w14:paraId="26F0FA6D" w14:textId="77777777" w:rsidR="00FD57F2" w:rsidRPr="00D46647" w:rsidRDefault="00FD57F2" w:rsidP="00FD57F2">
            <w:pPr>
              <w:rPr>
                <w:sz w:val="16"/>
                <w:szCs w:val="16"/>
              </w:rPr>
            </w:pPr>
          </w:p>
        </w:tc>
        <w:tc>
          <w:tcPr>
            <w:tcW w:w="398" w:type="dxa"/>
            <w:shd w:val="clear" w:color="auto" w:fill="auto"/>
            <w:vAlign w:val="center"/>
          </w:tcPr>
          <w:p w14:paraId="05C3E412" w14:textId="77777777" w:rsidR="00FD57F2" w:rsidRPr="00D46647" w:rsidRDefault="00FD57F2" w:rsidP="00FD57F2">
            <w:pPr>
              <w:rPr>
                <w:sz w:val="16"/>
                <w:szCs w:val="16"/>
              </w:rPr>
            </w:pPr>
          </w:p>
        </w:tc>
        <w:tc>
          <w:tcPr>
            <w:tcW w:w="398" w:type="dxa"/>
            <w:shd w:val="clear" w:color="auto" w:fill="auto"/>
            <w:vAlign w:val="center"/>
          </w:tcPr>
          <w:p w14:paraId="47112A0E" w14:textId="77777777" w:rsidR="00FD57F2" w:rsidRPr="00D46647" w:rsidRDefault="00FD57F2" w:rsidP="00FD57F2">
            <w:pPr>
              <w:jc w:val="center"/>
              <w:rPr>
                <w:color w:val="000000"/>
                <w:sz w:val="16"/>
                <w:szCs w:val="16"/>
              </w:rPr>
            </w:pPr>
          </w:p>
        </w:tc>
        <w:tc>
          <w:tcPr>
            <w:tcW w:w="398" w:type="dxa"/>
            <w:shd w:val="clear" w:color="auto" w:fill="auto"/>
            <w:vAlign w:val="center"/>
          </w:tcPr>
          <w:p w14:paraId="788738AB" w14:textId="77777777" w:rsidR="00FD57F2" w:rsidRPr="00D46647" w:rsidRDefault="00FD57F2" w:rsidP="00FD57F2">
            <w:pPr>
              <w:jc w:val="center"/>
              <w:rPr>
                <w:color w:val="000000"/>
                <w:sz w:val="16"/>
                <w:szCs w:val="16"/>
              </w:rPr>
            </w:pPr>
          </w:p>
        </w:tc>
      </w:tr>
      <w:tr w:rsidR="00FD57F2" w:rsidRPr="00D46647" w14:paraId="0C7029A3" w14:textId="77777777" w:rsidTr="007E3422">
        <w:trPr>
          <w:jc w:val="center"/>
        </w:trPr>
        <w:tc>
          <w:tcPr>
            <w:tcW w:w="1905" w:type="dxa"/>
            <w:shd w:val="clear" w:color="auto" w:fill="auto"/>
            <w:noWrap/>
            <w:vAlign w:val="bottom"/>
          </w:tcPr>
          <w:p w14:paraId="71A3C27C" w14:textId="77777777" w:rsidR="00FD57F2" w:rsidRPr="00D46647" w:rsidRDefault="00FD57F2" w:rsidP="00FD57F2">
            <w:pPr>
              <w:rPr>
                <w:sz w:val="16"/>
                <w:szCs w:val="16"/>
              </w:rPr>
            </w:pPr>
            <w:r w:rsidRPr="00D46647">
              <w:rPr>
                <w:sz w:val="16"/>
                <w:szCs w:val="16"/>
              </w:rPr>
              <w:t>Configuration du système de gestion des contenus des flux et du statut des traductions opérationnelle</w:t>
            </w:r>
          </w:p>
        </w:tc>
        <w:tc>
          <w:tcPr>
            <w:tcW w:w="413" w:type="dxa"/>
            <w:shd w:val="clear" w:color="auto" w:fill="auto"/>
            <w:noWrap/>
            <w:vAlign w:val="center"/>
          </w:tcPr>
          <w:p w14:paraId="32691672"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048ECF96"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75BE5B7F"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22C90535"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14D995A7"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7A4EE182"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3F2E411F"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6C8516B4"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48C4EC6E"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45AF0729"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66B28982"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6A52235B" w14:textId="77777777" w:rsidR="00FD57F2" w:rsidRPr="00D46647" w:rsidRDefault="00FD57F2" w:rsidP="00FD57F2">
            <w:pPr>
              <w:jc w:val="center"/>
              <w:rPr>
                <w:color w:val="000000"/>
                <w:sz w:val="16"/>
                <w:szCs w:val="16"/>
              </w:rPr>
            </w:pPr>
          </w:p>
        </w:tc>
        <w:tc>
          <w:tcPr>
            <w:tcW w:w="398" w:type="dxa"/>
            <w:shd w:val="clear" w:color="auto" w:fill="auto"/>
            <w:vAlign w:val="center"/>
          </w:tcPr>
          <w:p w14:paraId="6C233FCF" w14:textId="77777777" w:rsidR="00FD57F2" w:rsidRPr="00D46647" w:rsidRDefault="00FD57F2" w:rsidP="00FD57F2">
            <w:pPr>
              <w:jc w:val="center"/>
              <w:rPr>
                <w:color w:val="000000"/>
                <w:sz w:val="16"/>
                <w:szCs w:val="16"/>
              </w:rPr>
            </w:pPr>
          </w:p>
        </w:tc>
        <w:tc>
          <w:tcPr>
            <w:tcW w:w="398" w:type="dxa"/>
            <w:shd w:val="clear" w:color="auto" w:fill="auto"/>
            <w:vAlign w:val="center"/>
          </w:tcPr>
          <w:p w14:paraId="1F53DBAB" w14:textId="77777777" w:rsidR="00FD57F2" w:rsidRPr="00D46647" w:rsidRDefault="00FD57F2" w:rsidP="00FD57F2">
            <w:pPr>
              <w:jc w:val="center"/>
              <w:rPr>
                <w:color w:val="000000"/>
                <w:sz w:val="16"/>
                <w:szCs w:val="16"/>
              </w:rPr>
            </w:pPr>
            <w:r w:rsidRPr="00D46647">
              <w:rPr>
                <w:color w:val="000000"/>
                <w:sz w:val="16"/>
                <w:szCs w:val="16"/>
              </w:rPr>
              <w:t>X</w:t>
            </w:r>
          </w:p>
        </w:tc>
        <w:tc>
          <w:tcPr>
            <w:tcW w:w="398" w:type="dxa"/>
            <w:shd w:val="clear" w:color="auto" w:fill="auto"/>
            <w:vAlign w:val="center"/>
          </w:tcPr>
          <w:p w14:paraId="6F1EDF26" w14:textId="77777777" w:rsidR="00FD57F2" w:rsidRPr="00D46647" w:rsidRDefault="00FD57F2" w:rsidP="00FD57F2">
            <w:pPr>
              <w:jc w:val="center"/>
              <w:rPr>
                <w:color w:val="000000"/>
                <w:sz w:val="16"/>
                <w:szCs w:val="16"/>
              </w:rPr>
            </w:pPr>
          </w:p>
        </w:tc>
        <w:tc>
          <w:tcPr>
            <w:tcW w:w="398" w:type="dxa"/>
            <w:shd w:val="clear" w:color="auto" w:fill="auto"/>
            <w:vAlign w:val="center"/>
          </w:tcPr>
          <w:p w14:paraId="0E639F35" w14:textId="77777777" w:rsidR="00FD57F2" w:rsidRPr="00D46647" w:rsidRDefault="00FD57F2" w:rsidP="00FD57F2">
            <w:pPr>
              <w:jc w:val="center"/>
              <w:rPr>
                <w:color w:val="000000"/>
                <w:sz w:val="16"/>
                <w:szCs w:val="16"/>
              </w:rPr>
            </w:pPr>
          </w:p>
        </w:tc>
        <w:tc>
          <w:tcPr>
            <w:tcW w:w="398" w:type="dxa"/>
            <w:shd w:val="clear" w:color="auto" w:fill="auto"/>
            <w:vAlign w:val="center"/>
          </w:tcPr>
          <w:p w14:paraId="1EDF6509" w14:textId="77777777" w:rsidR="00FD57F2" w:rsidRPr="00D46647" w:rsidRDefault="00FD57F2" w:rsidP="00FD57F2">
            <w:pPr>
              <w:jc w:val="center"/>
              <w:rPr>
                <w:color w:val="000000"/>
                <w:sz w:val="16"/>
                <w:szCs w:val="16"/>
              </w:rPr>
            </w:pPr>
          </w:p>
        </w:tc>
        <w:tc>
          <w:tcPr>
            <w:tcW w:w="398" w:type="dxa"/>
            <w:shd w:val="clear" w:color="auto" w:fill="auto"/>
            <w:vAlign w:val="center"/>
          </w:tcPr>
          <w:p w14:paraId="7B33C742" w14:textId="77777777" w:rsidR="00FD57F2" w:rsidRPr="00D46647" w:rsidRDefault="00FD57F2" w:rsidP="00FD57F2">
            <w:pPr>
              <w:jc w:val="center"/>
              <w:rPr>
                <w:color w:val="000000"/>
                <w:sz w:val="16"/>
                <w:szCs w:val="16"/>
              </w:rPr>
            </w:pPr>
          </w:p>
        </w:tc>
      </w:tr>
      <w:tr w:rsidR="00FD57F2" w:rsidRPr="00D46647" w14:paraId="7D3F4D24" w14:textId="77777777" w:rsidTr="007E3422">
        <w:trPr>
          <w:jc w:val="center"/>
        </w:trPr>
        <w:tc>
          <w:tcPr>
            <w:tcW w:w="1905" w:type="dxa"/>
            <w:shd w:val="clear" w:color="auto" w:fill="auto"/>
            <w:noWrap/>
          </w:tcPr>
          <w:p w14:paraId="45FA1307" w14:textId="77777777" w:rsidR="00FD57F2" w:rsidRPr="00D46647" w:rsidRDefault="00FD57F2" w:rsidP="00FD57F2">
            <w:pPr>
              <w:autoSpaceDE w:val="0"/>
              <w:autoSpaceDN w:val="0"/>
              <w:adjustRightInd w:val="0"/>
              <w:rPr>
                <w:sz w:val="16"/>
                <w:szCs w:val="16"/>
              </w:rPr>
            </w:pPr>
            <w:r w:rsidRPr="00D46647">
              <w:rPr>
                <w:sz w:val="16"/>
                <w:szCs w:val="16"/>
              </w:rPr>
              <w:t>Configuration opérationnelle du système de gestion des contenus en matière de gestion des fournisseurs et des contrats</w:t>
            </w:r>
          </w:p>
        </w:tc>
        <w:tc>
          <w:tcPr>
            <w:tcW w:w="413" w:type="dxa"/>
            <w:shd w:val="clear" w:color="auto" w:fill="auto"/>
            <w:noWrap/>
            <w:vAlign w:val="center"/>
          </w:tcPr>
          <w:p w14:paraId="25B8D1F4"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3E5B5263"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50746426"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1C32EAE3"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6869BB36"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3B400206"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219A803D"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3F3678C1"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27C360BA"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0D628688"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17CFC369"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188848DF" w14:textId="77777777" w:rsidR="00FD57F2" w:rsidRPr="00D46647" w:rsidRDefault="00FD57F2" w:rsidP="00FD57F2">
            <w:pPr>
              <w:jc w:val="center"/>
              <w:rPr>
                <w:color w:val="000000"/>
                <w:sz w:val="16"/>
                <w:szCs w:val="16"/>
              </w:rPr>
            </w:pPr>
          </w:p>
        </w:tc>
        <w:tc>
          <w:tcPr>
            <w:tcW w:w="398" w:type="dxa"/>
            <w:shd w:val="clear" w:color="auto" w:fill="auto"/>
            <w:vAlign w:val="center"/>
          </w:tcPr>
          <w:p w14:paraId="3F604F8E" w14:textId="77777777" w:rsidR="00FD57F2" w:rsidRPr="00D46647" w:rsidRDefault="00FD57F2" w:rsidP="00FD57F2">
            <w:pPr>
              <w:jc w:val="center"/>
              <w:rPr>
                <w:color w:val="000000"/>
                <w:sz w:val="16"/>
                <w:szCs w:val="16"/>
              </w:rPr>
            </w:pPr>
          </w:p>
        </w:tc>
        <w:tc>
          <w:tcPr>
            <w:tcW w:w="398" w:type="dxa"/>
            <w:shd w:val="clear" w:color="auto" w:fill="auto"/>
            <w:vAlign w:val="center"/>
          </w:tcPr>
          <w:p w14:paraId="6CD8CB6E" w14:textId="77777777" w:rsidR="00FD57F2" w:rsidRPr="00D46647" w:rsidRDefault="00FD57F2" w:rsidP="00FD57F2">
            <w:pPr>
              <w:jc w:val="center"/>
              <w:rPr>
                <w:color w:val="000000"/>
                <w:sz w:val="16"/>
                <w:szCs w:val="16"/>
              </w:rPr>
            </w:pPr>
            <w:r w:rsidRPr="00D46647">
              <w:rPr>
                <w:color w:val="000000"/>
                <w:sz w:val="16"/>
                <w:szCs w:val="16"/>
              </w:rPr>
              <w:t>X</w:t>
            </w:r>
          </w:p>
        </w:tc>
        <w:tc>
          <w:tcPr>
            <w:tcW w:w="398" w:type="dxa"/>
            <w:shd w:val="clear" w:color="auto" w:fill="auto"/>
            <w:vAlign w:val="center"/>
          </w:tcPr>
          <w:p w14:paraId="54013ACA" w14:textId="77777777" w:rsidR="00FD57F2" w:rsidRPr="00D46647" w:rsidRDefault="00FD57F2" w:rsidP="00FD57F2">
            <w:pPr>
              <w:jc w:val="center"/>
              <w:rPr>
                <w:color w:val="000000"/>
                <w:sz w:val="16"/>
                <w:szCs w:val="16"/>
              </w:rPr>
            </w:pPr>
          </w:p>
        </w:tc>
        <w:tc>
          <w:tcPr>
            <w:tcW w:w="398" w:type="dxa"/>
            <w:shd w:val="clear" w:color="auto" w:fill="auto"/>
            <w:vAlign w:val="center"/>
          </w:tcPr>
          <w:p w14:paraId="4E392C93" w14:textId="77777777" w:rsidR="00FD57F2" w:rsidRPr="00D46647" w:rsidRDefault="00FD57F2" w:rsidP="00FD57F2">
            <w:pPr>
              <w:jc w:val="center"/>
              <w:rPr>
                <w:color w:val="000000"/>
                <w:sz w:val="16"/>
                <w:szCs w:val="16"/>
              </w:rPr>
            </w:pPr>
          </w:p>
        </w:tc>
        <w:tc>
          <w:tcPr>
            <w:tcW w:w="398" w:type="dxa"/>
            <w:shd w:val="clear" w:color="auto" w:fill="auto"/>
          </w:tcPr>
          <w:p w14:paraId="026FF167" w14:textId="77777777" w:rsidR="00FD57F2" w:rsidRPr="00D46647" w:rsidRDefault="00FD57F2" w:rsidP="00FD57F2">
            <w:pPr>
              <w:jc w:val="center"/>
              <w:rPr>
                <w:color w:val="000000"/>
                <w:spacing w:val="-2"/>
                <w:sz w:val="16"/>
                <w:szCs w:val="16"/>
              </w:rPr>
            </w:pPr>
          </w:p>
        </w:tc>
        <w:tc>
          <w:tcPr>
            <w:tcW w:w="398" w:type="dxa"/>
            <w:shd w:val="clear" w:color="auto" w:fill="auto"/>
          </w:tcPr>
          <w:p w14:paraId="1B8CA269" w14:textId="77777777" w:rsidR="00FD57F2" w:rsidRPr="00D46647" w:rsidRDefault="00FD57F2" w:rsidP="00FD57F2">
            <w:pPr>
              <w:jc w:val="center"/>
              <w:rPr>
                <w:color w:val="000000"/>
                <w:spacing w:val="-2"/>
                <w:sz w:val="16"/>
                <w:szCs w:val="16"/>
              </w:rPr>
            </w:pPr>
          </w:p>
        </w:tc>
      </w:tr>
      <w:tr w:rsidR="00FD57F2" w:rsidRPr="00D46647" w14:paraId="7C9D56D1" w14:textId="77777777" w:rsidTr="007E3422">
        <w:trPr>
          <w:jc w:val="center"/>
        </w:trPr>
        <w:tc>
          <w:tcPr>
            <w:tcW w:w="1905" w:type="dxa"/>
            <w:shd w:val="clear" w:color="auto" w:fill="auto"/>
            <w:noWrap/>
          </w:tcPr>
          <w:p w14:paraId="007F5B5D" w14:textId="77777777" w:rsidR="00FD57F2" w:rsidRPr="00D46647" w:rsidRDefault="00FD57F2" w:rsidP="00FD57F2">
            <w:pPr>
              <w:autoSpaceDE w:val="0"/>
              <w:autoSpaceDN w:val="0"/>
              <w:adjustRightInd w:val="0"/>
              <w:rPr>
                <w:sz w:val="16"/>
                <w:szCs w:val="16"/>
              </w:rPr>
            </w:pPr>
            <w:r w:rsidRPr="00D46647">
              <w:rPr>
                <w:sz w:val="16"/>
                <w:szCs w:val="16"/>
              </w:rPr>
              <w:t>Configuration opérationnelle du système de gestion des contenus des rapports de mission</w:t>
            </w:r>
          </w:p>
        </w:tc>
        <w:tc>
          <w:tcPr>
            <w:tcW w:w="413" w:type="dxa"/>
            <w:shd w:val="clear" w:color="auto" w:fill="auto"/>
            <w:noWrap/>
            <w:vAlign w:val="center"/>
          </w:tcPr>
          <w:p w14:paraId="30E0A6DF"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356E99AC"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6F0A2699"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7377AC45"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5118DA76"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4181C366"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2A31F46D"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97AC14E"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556A0A8"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775E2645"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71EF0BB7"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7AA165D6" w14:textId="77777777" w:rsidR="00FD57F2" w:rsidRPr="00D46647" w:rsidRDefault="00FD57F2" w:rsidP="00FD57F2">
            <w:pPr>
              <w:jc w:val="center"/>
              <w:rPr>
                <w:color w:val="000000"/>
                <w:sz w:val="16"/>
                <w:szCs w:val="16"/>
              </w:rPr>
            </w:pPr>
          </w:p>
        </w:tc>
        <w:tc>
          <w:tcPr>
            <w:tcW w:w="398" w:type="dxa"/>
            <w:shd w:val="clear" w:color="auto" w:fill="auto"/>
            <w:vAlign w:val="center"/>
          </w:tcPr>
          <w:p w14:paraId="1CCCB469" w14:textId="77777777" w:rsidR="00FD57F2" w:rsidRPr="00D46647" w:rsidRDefault="00FD57F2" w:rsidP="00FD57F2">
            <w:pPr>
              <w:jc w:val="center"/>
              <w:rPr>
                <w:color w:val="000000"/>
                <w:sz w:val="16"/>
                <w:szCs w:val="16"/>
              </w:rPr>
            </w:pPr>
          </w:p>
        </w:tc>
        <w:tc>
          <w:tcPr>
            <w:tcW w:w="398" w:type="dxa"/>
            <w:shd w:val="clear" w:color="auto" w:fill="auto"/>
            <w:vAlign w:val="center"/>
          </w:tcPr>
          <w:p w14:paraId="7431E8BF" w14:textId="77777777" w:rsidR="00FD57F2" w:rsidRPr="00D46647" w:rsidRDefault="00FD57F2" w:rsidP="00FD57F2">
            <w:pPr>
              <w:jc w:val="center"/>
              <w:rPr>
                <w:color w:val="000000"/>
                <w:sz w:val="16"/>
                <w:szCs w:val="16"/>
              </w:rPr>
            </w:pPr>
          </w:p>
        </w:tc>
        <w:tc>
          <w:tcPr>
            <w:tcW w:w="398" w:type="dxa"/>
            <w:shd w:val="clear" w:color="auto" w:fill="auto"/>
            <w:vAlign w:val="center"/>
          </w:tcPr>
          <w:p w14:paraId="39BAE7F7" w14:textId="77777777" w:rsidR="00FD57F2" w:rsidRPr="00D46647" w:rsidRDefault="00FD57F2" w:rsidP="00FD57F2">
            <w:pPr>
              <w:jc w:val="center"/>
              <w:rPr>
                <w:color w:val="000000"/>
                <w:sz w:val="16"/>
                <w:szCs w:val="16"/>
              </w:rPr>
            </w:pPr>
            <w:r w:rsidRPr="00D46647">
              <w:rPr>
                <w:color w:val="000000"/>
                <w:sz w:val="16"/>
                <w:szCs w:val="16"/>
              </w:rPr>
              <w:t>X</w:t>
            </w:r>
          </w:p>
        </w:tc>
        <w:tc>
          <w:tcPr>
            <w:tcW w:w="398" w:type="dxa"/>
            <w:shd w:val="clear" w:color="auto" w:fill="auto"/>
            <w:vAlign w:val="center"/>
          </w:tcPr>
          <w:p w14:paraId="5261BCE1" w14:textId="77777777" w:rsidR="00FD57F2" w:rsidRPr="00D46647" w:rsidRDefault="00FD57F2" w:rsidP="00FD57F2">
            <w:pPr>
              <w:jc w:val="center"/>
              <w:rPr>
                <w:color w:val="000000"/>
                <w:sz w:val="16"/>
                <w:szCs w:val="16"/>
              </w:rPr>
            </w:pPr>
          </w:p>
        </w:tc>
        <w:tc>
          <w:tcPr>
            <w:tcW w:w="398" w:type="dxa"/>
            <w:shd w:val="clear" w:color="auto" w:fill="auto"/>
          </w:tcPr>
          <w:p w14:paraId="0A97EEE4" w14:textId="77777777" w:rsidR="00FD57F2" w:rsidRPr="00D46647" w:rsidRDefault="00FD57F2" w:rsidP="00FD57F2">
            <w:pPr>
              <w:jc w:val="center"/>
              <w:rPr>
                <w:color w:val="000000"/>
                <w:spacing w:val="-2"/>
                <w:sz w:val="16"/>
                <w:szCs w:val="16"/>
              </w:rPr>
            </w:pPr>
          </w:p>
        </w:tc>
        <w:tc>
          <w:tcPr>
            <w:tcW w:w="398" w:type="dxa"/>
            <w:shd w:val="clear" w:color="auto" w:fill="auto"/>
          </w:tcPr>
          <w:p w14:paraId="01B44A91" w14:textId="77777777" w:rsidR="00FD57F2" w:rsidRPr="00D46647" w:rsidRDefault="00FD57F2" w:rsidP="00FD57F2">
            <w:pPr>
              <w:jc w:val="center"/>
              <w:rPr>
                <w:color w:val="000000"/>
                <w:spacing w:val="-2"/>
                <w:sz w:val="16"/>
                <w:szCs w:val="16"/>
              </w:rPr>
            </w:pPr>
          </w:p>
        </w:tc>
      </w:tr>
      <w:tr w:rsidR="00FD57F2" w:rsidRPr="00D46647" w14:paraId="4C36480D" w14:textId="77777777" w:rsidTr="007E3422">
        <w:trPr>
          <w:jc w:val="center"/>
        </w:trPr>
        <w:tc>
          <w:tcPr>
            <w:tcW w:w="1905" w:type="dxa"/>
            <w:shd w:val="clear" w:color="auto" w:fill="auto"/>
            <w:noWrap/>
          </w:tcPr>
          <w:p w14:paraId="3B188E55" w14:textId="77777777" w:rsidR="00FD57F2" w:rsidRPr="00D46647" w:rsidRDefault="00FD57F2" w:rsidP="00FD57F2">
            <w:pPr>
              <w:autoSpaceDE w:val="0"/>
              <w:autoSpaceDN w:val="0"/>
              <w:adjustRightInd w:val="0"/>
              <w:rPr>
                <w:sz w:val="16"/>
                <w:szCs w:val="16"/>
              </w:rPr>
            </w:pPr>
            <w:r w:rsidRPr="00D46647">
              <w:rPr>
                <w:sz w:val="16"/>
                <w:szCs w:val="16"/>
              </w:rPr>
              <w:t>Configuration opérationnelle du système de gestion des contenus du courrier reçu par le cabinet du Directeur général</w:t>
            </w:r>
          </w:p>
        </w:tc>
        <w:tc>
          <w:tcPr>
            <w:tcW w:w="413" w:type="dxa"/>
            <w:shd w:val="clear" w:color="auto" w:fill="auto"/>
            <w:noWrap/>
            <w:vAlign w:val="center"/>
          </w:tcPr>
          <w:p w14:paraId="38192DC5"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38FD9EB5"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74BE4BCF"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436F3E08"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1DABA016"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C29240A"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31586861"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27A9156D"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1CA7B551"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68E3992C"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7E782863"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62B26462" w14:textId="77777777" w:rsidR="00FD57F2" w:rsidRPr="00D46647" w:rsidRDefault="00FD57F2" w:rsidP="00FD57F2">
            <w:pPr>
              <w:jc w:val="center"/>
              <w:rPr>
                <w:color w:val="000000"/>
                <w:sz w:val="16"/>
                <w:szCs w:val="16"/>
              </w:rPr>
            </w:pPr>
          </w:p>
        </w:tc>
        <w:tc>
          <w:tcPr>
            <w:tcW w:w="398" w:type="dxa"/>
            <w:shd w:val="clear" w:color="auto" w:fill="auto"/>
            <w:vAlign w:val="center"/>
          </w:tcPr>
          <w:p w14:paraId="70C1FE8E" w14:textId="77777777" w:rsidR="00FD57F2" w:rsidRPr="00D46647" w:rsidRDefault="00FD57F2" w:rsidP="00FD57F2">
            <w:pPr>
              <w:jc w:val="center"/>
              <w:rPr>
                <w:color w:val="000000"/>
                <w:sz w:val="16"/>
                <w:szCs w:val="16"/>
              </w:rPr>
            </w:pPr>
          </w:p>
        </w:tc>
        <w:tc>
          <w:tcPr>
            <w:tcW w:w="398" w:type="dxa"/>
            <w:shd w:val="clear" w:color="auto" w:fill="auto"/>
            <w:vAlign w:val="center"/>
          </w:tcPr>
          <w:p w14:paraId="5D4F908F" w14:textId="77777777" w:rsidR="00FD57F2" w:rsidRPr="00D46647" w:rsidRDefault="00FD57F2" w:rsidP="00FD57F2">
            <w:pPr>
              <w:jc w:val="center"/>
              <w:rPr>
                <w:color w:val="000000"/>
                <w:sz w:val="16"/>
                <w:szCs w:val="16"/>
              </w:rPr>
            </w:pPr>
          </w:p>
        </w:tc>
        <w:tc>
          <w:tcPr>
            <w:tcW w:w="398" w:type="dxa"/>
            <w:shd w:val="clear" w:color="auto" w:fill="auto"/>
            <w:vAlign w:val="center"/>
          </w:tcPr>
          <w:p w14:paraId="5069AB45" w14:textId="77777777" w:rsidR="00FD57F2" w:rsidRPr="00D46647" w:rsidRDefault="00FD57F2" w:rsidP="00FD57F2">
            <w:pPr>
              <w:jc w:val="center"/>
              <w:rPr>
                <w:color w:val="000000"/>
                <w:sz w:val="16"/>
                <w:szCs w:val="16"/>
              </w:rPr>
            </w:pPr>
          </w:p>
        </w:tc>
        <w:tc>
          <w:tcPr>
            <w:tcW w:w="398" w:type="dxa"/>
            <w:shd w:val="clear" w:color="auto" w:fill="auto"/>
            <w:vAlign w:val="center"/>
          </w:tcPr>
          <w:p w14:paraId="00DC506F" w14:textId="77777777" w:rsidR="00FD57F2" w:rsidRPr="00D46647" w:rsidRDefault="00FD57F2" w:rsidP="00FD57F2">
            <w:pPr>
              <w:jc w:val="center"/>
              <w:rPr>
                <w:color w:val="000000"/>
                <w:sz w:val="16"/>
                <w:szCs w:val="16"/>
              </w:rPr>
            </w:pPr>
            <w:r w:rsidRPr="00D46647">
              <w:rPr>
                <w:color w:val="000000"/>
                <w:sz w:val="16"/>
                <w:szCs w:val="16"/>
              </w:rPr>
              <w:t>X</w:t>
            </w:r>
          </w:p>
        </w:tc>
        <w:tc>
          <w:tcPr>
            <w:tcW w:w="398" w:type="dxa"/>
            <w:shd w:val="clear" w:color="auto" w:fill="auto"/>
          </w:tcPr>
          <w:p w14:paraId="1F06680D" w14:textId="77777777" w:rsidR="00FD57F2" w:rsidRPr="00D46647" w:rsidRDefault="00FD57F2" w:rsidP="00FD57F2">
            <w:pPr>
              <w:jc w:val="center"/>
              <w:rPr>
                <w:color w:val="000000"/>
                <w:spacing w:val="-2"/>
                <w:sz w:val="16"/>
                <w:szCs w:val="16"/>
              </w:rPr>
            </w:pPr>
          </w:p>
        </w:tc>
        <w:tc>
          <w:tcPr>
            <w:tcW w:w="398" w:type="dxa"/>
            <w:shd w:val="clear" w:color="auto" w:fill="auto"/>
          </w:tcPr>
          <w:p w14:paraId="53D27744" w14:textId="77777777" w:rsidR="00FD57F2" w:rsidRPr="00D46647" w:rsidRDefault="00FD57F2" w:rsidP="00FD57F2">
            <w:pPr>
              <w:jc w:val="center"/>
              <w:rPr>
                <w:color w:val="000000"/>
                <w:spacing w:val="-2"/>
                <w:sz w:val="16"/>
                <w:szCs w:val="16"/>
              </w:rPr>
            </w:pPr>
          </w:p>
        </w:tc>
      </w:tr>
      <w:tr w:rsidR="00FD57F2" w:rsidRPr="00D46647" w14:paraId="483BB191" w14:textId="77777777" w:rsidTr="007E3422">
        <w:trPr>
          <w:jc w:val="center"/>
        </w:trPr>
        <w:tc>
          <w:tcPr>
            <w:tcW w:w="1905" w:type="dxa"/>
            <w:shd w:val="clear" w:color="auto" w:fill="auto"/>
            <w:noWrap/>
            <w:vAlign w:val="bottom"/>
          </w:tcPr>
          <w:p w14:paraId="597702DF" w14:textId="77777777" w:rsidR="00FD57F2" w:rsidRPr="00D46647" w:rsidRDefault="00FD57F2" w:rsidP="00FD57F2">
            <w:pPr>
              <w:rPr>
                <w:sz w:val="16"/>
                <w:szCs w:val="16"/>
              </w:rPr>
            </w:pPr>
            <w:r w:rsidRPr="00D46647">
              <w:rPr>
                <w:sz w:val="16"/>
              </w:rPr>
              <w:t>Configuration du système de gestion des contenus des dossiers électroniques des ressources humaines opérationnelle</w:t>
            </w:r>
          </w:p>
        </w:tc>
        <w:tc>
          <w:tcPr>
            <w:tcW w:w="413" w:type="dxa"/>
            <w:shd w:val="clear" w:color="auto" w:fill="auto"/>
            <w:noWrap/>
            <w:vAlign w:val="center"/>
          </w:tcPr>
          <w:p w14:paraId="45B61148"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74C1E30D"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4D305924"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2D897D0"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5A44E951"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20B7B1B4"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422901BC"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3A345DBE"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05FD10B4"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5876723A"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308F4AF"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199FC0B5" w14:textId="77777777" w:rsidR="00FD57F2" w:rsidRPr="00D46647" w:rsidRDefault="00FD57F2" w:rsidP="00FD57F2">
            <w:pPr>
              <w:jc w:val="center"/>
              <w:rPr>
                <w:color w:val="000000"/>
                <w:sz w:val="16"/>
                <w:szCs w:val="16"/>
              </w:rPr>
            </w:pPr>
          </w:p>
        </w:tc>
        <w:tc>
          <w:tcPr>
            <w:tcW w:w="398" w:type="dxa"/>
            <w:shd w:val="clear" w:color="auto" w:fill="auto"/>
            <w:vAlign w:val="center"/>
          </w:tcPr>
          <w:p w14:paraId="20B09F25" w14:textId="77777777" w:rsidR="00FD57F2" w:rsidRPr="00D46647" w:rsidRDefault="00FD57F2" w:rsidP="00FD57F2">
            <w:pPr>
              <w:jc w:val="center"/>
              <w:rPr>
                <w:color w:val="000000"/>
                <w:sz w:val="16"/>
                <w:szCs w:val="16"/>
              </w:rPr>
            </w:pPr>
          </w:p>
        </w:tc>
        <w:tc>
          <w:tcPr>
            <w:tcW w:w="398" w:type="dxa"/>
            <w:shd w:val="clear" w:color="auto" w:fill="auto"/>
            <w:vAlign w:val="center"/>
          </w:tcPr>
          <w:p w14:paraId="32D61B8B" w14:textId="77777777" w:rsidR="00FD57F2" w:rsidRPr="00D46647" w:rsidRDefault="00FD57F2" w:rsidP="00FD57F2">
            <w:pPr>
              <w:jc w:val="center"/>
              <w:rPr>
                <w:color w:val="000000"/>
                <w:sz w:val="16"/>
                <w:szCs w:val="16"/>
              </w:rPr>
            </w:pPr>
          </w:p>
        </w:tc>
        <w:tc>
          <w:tcPr>
            <w:tcW w:w="398" w:type="dxa"/>
            <w:shd w:val="clear" w:color="auto" w:fill="auto"/>
            <w:vAlign w:val="center"/>
          </w:tcPr>
          <w:p w14:paraId="5AEB79D0" w14:textId="77777777" w:rsidR="00FD57F2" w:rsidRPr="00D46647" w:rsidRDefault="00FD57F2" w:rsidP="00FD57F2">
            <w:pPr>
              <w:jc w:val="center"/>
              <w:rPr>
                <w:color w:val="000000"/>
                <w:sz w:val="16"/>
                <w:szCs w:val="16"/>
              </w:rPr>
            </w:pPr>
          </w:p>
        </w:tc>
        <w:tc>
          <w:tcPr>
            <w:tcW w:w="398" w:type="dxa"/>
            <w:shd w:val="clear" w:color="auto" w:fill="auto"/>
            <w:vAlign w:val="center"/>
          </w:tcPr>
          <w:p w14:paraId="16AD03FF" w14:textId="77777777" w:rsidR="00FD57F2" w:rsidRPr="00D46647" w:rsidRDefault="00FD57F2" w:rsidP="00FD57F2">
            <w:pPr>
              <w:jc w:val="center"/>
              <w:rPr>
                <w:color w:val="000000"/>
                <w:sz w:val="16"/>
                <w:szCs w:val="16"/>
              </w:rPr>
            </w:pPr>
          </w:p>
        </w:tc>
        <w:tc>
          <w:tcPr>
            <w:tcW w:w="398" w:type="dxa"/>
            <w:shd w:val="clear" w:color="auto" w:fill="auto"/>
            <w:vAlign w:val="center"/>
          </w:tcPr>
          <w:p w14:paraId="067F028A" w14:textId="77777777" w:rsidR="00FD57F2" w:rsidRPr="00D46647" w:rsidRDefault="00FD57F2" w:rsidP="00FD57F2">
            <w:pPr>
              <w:jc w:val="center"/>
              <w:rPr>
                <w:color w:val="000000"/>
                <w:sz w:val="16"/>
                <w:szCs w:val="16"/>
              </w:rPr>
            </w:pPr>
            <w:r w:rsidRPr="00D46647">
              <w:rPr>
                <w:color w:val="000000"/>
                <w:sz w:val="16"/>
                <w:szCs w:val="16"/>
              </w:rPr>
              <w:t>X</w:t>
            </w:r>
          </w:p>
        </w:tc>
        <w:tc>
          <w:tcPr>
            <w:tcW w:w="398" w:type="dxa"/>
            <w:shd w:val="clear" w:color="auto" w:fill="auto"/>
            <w:vAlign w:val="center"/>
          </w:tcPr>
          <w:p w14:paraId="519124C0" w14:textId="77777777" w:rsidR="00FD57F2" w:rsidRPr="00D46647" w:rsidRDefault="00FD57F2" w:rsidP="00FD57F2">
            <w:pPr>
              <w:jc w:val="center"/>
              <w:rPr>
                <w:color w:val="000000"/>
                <w:sz w:val="16"/>
                <w:szCs w:val="16"/>
              </w:rPr>
            </w:pPr>
          </w:p>
        </w:tc>
      </w:tr>
      <w:tr w:rsidR="00FD57F2" w:rsidRPr="00D46647" w14:paraId="7F75882D" w14:textId="77777777" w:rsidTr="007E3422">
        <w:trPr>
          <w:jc w:val="center"/>
        </w:trPr>
        <w:tc>
          <w:tcPr>
            <w:tcW w:w="1905" w:type="dxa"/>
            <w:shd w:val="clear" w:color="auto" w:fill="auto"/>
            <w:noWrap/>
            <w:vAlign w:val="bottom"/>
          </w:tcPr>
          <w:p w14:paraId="3517DD05" w14:textId="77777777" w:rsidR="00FD57F2" w:rsidRPr="00D46647" w:rsidRDefault="00FD57F2" w:rsidP="00FD57F2">
            <w:pPr>
              <w:rPr>
                <w:sz w:val="16"/>
                <w:szCs w:val="16"/>
              </w:rPr>
            </w:pPr>
            <w:r w:rsidRPr="00D46647">
              <w:rPr>
                <w:sz w:val="16"/>
              </w:rPr>
              <w:t>Configuration du système de gestion des contenus dans toute l’Organisation opérationnelle</w:t>
            </w:r>
          </w:p>
        </w:tc>
        <w:tc>
          <w:tcPr>
            <w:tcW w:w="413" w:type="dxa"/>
            <w:shd w:val="clear" w:color="auto" w:fill="auto"/>
            <w:noWrap/>
            <w:vAlign w:val="center"/>
          </w:tcPr>
          <w:p w14:paraId="6F86DE62"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240E4014"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51BCF716"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595FED31"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501B67B6"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46669512"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6871B937"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6DDB5F79"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13EAA5C3"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2BE5E69C" w14:textId="77777777" w:rsidR="00FD57F2" w:rsidRPr="00D46647" w:rsidRDefault="00FD57F2" w:rsidP="00FD57F2">
            <w:pPr>
              <w:jc w:val="center"/>
              <w:rPr>
                <w:color w:val="000000"/>
                <w:sz w:val="16"/>
                <w:szCs w:val="16"/>
              </w:rPr>
            </w:pPr>
          </w:p>
        </w:tc>
        <w:tc>
          <w:tcPr>
            <w:tcW w:w="417" w:type="dxa"/>
            <w:shd w:val="clear" w:color="auto" w:fill="auto"/>
            <w:noWrap/>
            <w:vAlign w:val="center"/>
          </w:tcPr>
          <w:p w14:paraId="2DCCAE10" w14:textId="77777777" w:rsidR="00FD57F2" w:rsidRPr="00D46647" w:rsidRDefault="00FD57F2" w:rsidP="00FD57F2">
            <w:pPr>
              <w:jc w:val="center"/>
              <w:rPr>
                <w:color w:val="000000"/>
                <w:sz w:val="16"/>
                <w:szCs w:val="16"/>
              </w:rPr>
            </w:pPr>
          </w:p>
        </w:tc>
        <w:tc>
          <w:tcPr>
            <w:tcW w:w="416" w:type="dxa"/>
            <w:shd w:val="clear" w:color="auto" w:fill="auto"/>
            <w:noWrap/>
            <w:vAlign w:val="center"/>
          </w:tcPr>
          <w:p w14:paraId="203E68EA" w14:textId="77777777" w:rsidR="00FD57F2" w:rsidRPr="00D46647" w:rsidRDefault="00FD57F2" w:rsidP="00FD57F2">
            <w:pPr>
              <w:jc w:val="center"/>
              <w:rPr>
                <w:color w:val="000000"/>
                <w:sz w:val="16"/>
                <w:szCs w:val="16"/>
              </w:rPr>
            </w:pPr>
          </w:p>
        </w:tc>
        <w:tc>
          <w:tcPr>
            <w:tcW w:w="398" w:type="dxa"/>
            <w:shd w:val="clear" w:color="auto" w:fill="auto"/>
            <w:vAlign w:val="center"/>
          </w:tcPr>
          <w:p w14:paraId="154BAF54" w14:textId="77777777" w:rsidR="00FD57F2" w:rsidRPr="00D46647" w:rsidRDefault="00FD57F2" w:rsidP="00FD57F2">
            <w:pPr>
              <w:jc w:val="center"/>
              <w:rPr>
                <w:color w:val="000000"/>
                <w:sz w:val="16"/>
                <w:szCs w:val="16"/>
              </w:rPr>
            </w:pPr>
          </w:p>
        </w:tc>
        <w:tc>
          <w:tcPr>
            <w:tcW w:w="398" w:type="dxa"/>
            <w:shd w:val="clear" w:color="auto" w:fill="auto"/>
            <w:vAlign w:val="center"/>
          </w:tcPr>
          <w:p w14:paraId="1391E696" w14:textId="77777777" w:rsidR="00FD57F2" w:rsidRPr="00D46647" w:rsidRDefault="00FD57F2" w:rsidP="00FD57F2">
            <w:pPr>
              <w:jc w:val="center"/>
              <w:rPr>
                <w:color w:val="000000"/>
                <w:sz w:val="16"/>
                <w:szCs w:val="16"/>
              </w:rPr>
            </w:pPr>
          </w:p>
        </w:tc>
        <w:tc>
          <w:tcPr>
            <w:tcW w:w="398" w:type="dxa"/>
            <w:shd w:val="clear" w:color="auto" w:fill="auto"/>
            <w:vAlign w:val="center"/>
          </w:tcPr>
          <w:p w14:paraId="5F47BD64" w14:textId="77777777" w:rsidR="00FD57F2" w:rsidRPr="00D46647" w:rsidRDefault="00FD57F2" w:rsidP="00FD57F2">
            <w:pPr>
              <w:jc w:val="center"/>
              <w:rPr>
                <w:color w:val="000000"/>
                <w:sz w:val="16"/>
                <w:szCs w:val="16"/>
              </w:rPr>
            </w:pPr>
          </w:p>
        </w:tc>
        <w:tc>
          <w:tcPr>
            <w:tcW w:w="398" w:type="dxa"/>
            <w:shd w:val="clear" w:color="auto" w:fill="auto"/>
            <w:vAlign w:val="center"/>
          </w:tcPr>
          <w:p w14:paraId="5E39884F" w14:textId="77777777" w:rsidR="00FD57F2" w:rsidRPr="00D46647" w:rsidRDefault="00FD57F2" w:rsidP="00FD57F2">
            <w:pPr>
              <w:jc w:val="center"/>
              <w:rPr>
                <w:color w:val="000000"/>
                <w:sz w:val="16"/>
                <w:szCs w:val="16"/>
              </w:rPr>
            </w:pPr>
          </w:p>
        </w:tc>
        <w:tc>
          <w:tcPr>
            <w:tcW w:w="398" w:type="dxa"/>
            <w:shd w:val="clear" w:color="auto" w:fill="auto"/>
            <w:vAlign w:val="center"/>
          </w:tcPr>
          <w:p w14:paraId="602F1683" w14:textId="77777777" w:rsidR="00FD57F2" w:rsidRPr="00D46647" w:rsidRDefault="00FD57F2" w:rsidP="00FD57F2">
            <w:pPr>
              <w:jc w:val="center"/>
              <w:rPr>
                <w:color w:val="000000"/>
                <w:sz w:val="16"/>
                <w:szCs w:val="16"/>
              </w:rPr>
            </w:pPr>
          </w:p>
        </w:tc>
        <w:tc>
          <w:tcPr>
            <w:tcW w:w="398" w:type="dxa"/>
            <w:shd w:val="clear" w:color="auto" w:fill="auto"/>
            <w:vAlign w:val="center"/>
          </w:tcPr>
          <w:p w14:paraId="097F9B4D" w14:textId="77777777" w:rsidR="00FD57F2" w:rsidRPr="00D46647" w:rsidRDefault="00FD57F2" w:rsidP="00FD57F2">
            <w:pPr>
              <w:jc w:val="center"/>
              <w:rPr>
                <w:color w:val="000000"/>
                <w:sz w:val="16"/>
                <w:szCs w:val="16"/>
              </w:rPr>
            </w:pPr>
            <w:r w:rsidRPr="00D46647">
              <w:rPr>
                <w:color w:val="000000"/>
                <w:sz w:val="16"/>
                <w:szCs w:val="16"/>
              </w:rPr>
              <w:t>X</w:t>
            </w:r>
          </w:p>
        </w:tc>
      </w:tr>
    </w:tbl>
    <w:p w14:paraId="5AF610D2" w14:textId="77777777" w:rsidR="00FD57F2" w:rsidRPr="00D46647" w:rsidRDefault="00FD57F2" w:rsidP="00FD57F2">
      <w:pPr>
        <w:rPr>
          <w:sz w:val="20"/>
        </w:rPr>
      </w:pPr>
    </w:p>
    <w:p w14:paraId="2CF0267A" w14:textId="77777777" w:rsidR="00FD57F2" w:rsidRPr="00D46647" w:rsidRDefault="00FD57F2" w:rsidP="00FD57F2">
      <w:pPr>
        <w:rPr>
          <w:sz w:val="20"/>
        </w:rPr>
      </w:pPr>
    </w:p>
    <w:p w14:paraId="1400D62A" w14:textId="77777777" w:rsidR="00FD57F2" w:rsidRPr="00D46647" w:rsidRDefault="00FD57F2" w:rsidP="00FD57F2">
      <w:pPr>
        <w:spacing w:after="200" w:line="276" w:lineRule="auto"/>
        <w:rPr>
          <w:b/>
        </w:rPr>
      </w:pPr>
      <w:r w:rsidRPr="00D46647">
        <w:rPr>
          <w:b/>
        </w:rPr>
        <w:br w:type="page"/>
      </w:r>
    </w:p>
    <w:p w14:paraId="7F24B370" w14:textId="77777777" w:rsidR="00FD57F2" w:rsidRDefault="00FD57F2" w:rsidP="00FD57F2">
      <w:pPr>
        <w:rPr>
          <w:b/>
        </w:rPr>
      </w:pPr>
      <w:r w:rsidRPr="003F79BF">
        <w:rPr>
          <w:b/>
        </w:rPr>
        <w:t>PROJETS LIÉS AUX BÂTIMENTS</w:t>
      </w:r>
    </w:p>
    <w:p w14:paraId="6EE7D671" w14:textId="77777777" w:rsidR="003F79BF" w:rsidRPr="003F79BF" w:rsidRDefault="003F79BF" w:rsidP="00FD57F2">
      <w:pPr>
        <w:rPr>
          <w:b/>
        </w:rPr>
      </w:pPr>
    </w:p>
    <w:p w14:paraId="5B2C3E0A" w14:textId="7606F845" w:rsidR="00FD57F2" w:rsidRPr="00D46647" w:rsidRDefault="003F79BF" w:rsidP="003F79BF">
      <w:pPr>
        <w:pStyle w:val="Heading5"/>
      </w:pPr>
      <w:bookmarkStart w:id="102" w:name="_Toc422210525"/>
      <w:bookmarkStart w:id="103" w:name="_Toc423352910"/>
      <w:bookmarkStart w:id="104" w:name="_Toc455394223"/>
      <w:bookmarkStart w:id="105" w:name="_Toc482774634"/>
      <w:r>
        <w:t>P</w:t>
      </w:r>
      <w:r w:rsidRPr="00D46647">
        <w:t>rojet</w:t>
      </w:r>
      <w:r>
        <w:t> </w:t>
      </w:r>
      <w:r w:rsidRPr="00D46647">
        <w:t>3</w:t>
      </w:r>
      <w:r w:rsidRPr="00D46647">
        <w:tab/>
      </w:r>
      <w:r>
        <w:t>R</w:t>
      </w:r>
      <w:r w:rsidRPr="00D46647">
        <w:t>énovation des façades et de la climatisation du bâtiment du </w:t>
      </w:r>
      <w:r>
        <w:t>PCT</w:t>
      </w:r>
      <w:bookmarkEnd w:id="102"/>
      <w:bookmarkEnd w:id="103"/>
      <w:bookmarkEnd w:id="104"/>
      <w:bookmarkEnd w:id="105"/>
    </w:p>
    <w:p w14:paraId="4B54F221" w14:textId="77777777" w:rsidR="00FD57F2" w:rsidRPr="00D46647" w:rsidRDefault="00FD57F2" w:rsidP="00FD57F2">
      <w:pPr>
        <w:rPr>
          <w:b/>
          <w:sz w:val="20"/>
        </w:rPr>
      </w:pPr>
    </w:p>
    <w:p w14:paraId="14D9B66E" w14:textId="77777777" w:rsidR="00FD57F2" w:rsidRPr="00D46647" w:rsidRDefault="00FD57F2" w:rsidP="00FD57F2">
      <w:pPr>
        <w:rPr>
          <w:b/>
          <w:sz w:val="20"/>
        </w:rPr>
      </w:pPr>
      <w:r w:rsidRPr="00D46647">
        <w:rPr>
          <w:b/>
          <w:sz w:val="20"/>
        </w:rPr>
        <w:t>Chef de projet</w:t>
      </w:r>
      <w:r w:rsidRPr="00D46647">
        <w:rPr>
          <w:b/>
          <w:sz w:val="20"/>
        </w:rPr>
        <w:tab/>
        <w:t>M. A. FAVERO</w:t>
      </w:r>
    </w:p>
    <w:p w14:paraId="7F3856A6" w14:textId="77777777" w:rsidR="00FD57F2" w:rsidRPr="00D46647" w:rsidRDefault="00FD57F2" w:rsidP="00FD57F2">
      <w:pPr>
        <w:rPr>
          <w:b/>
          <w:sz w:val="20"/>
        </w:rPr>
      </w:pPr>
    </w:p>
    <w:p w14:paraId="2F612374" w14:textId="77777777" w:rsidR="00FD57F2" w:rsidRPr="00D46647" w:rsidRDefault="00FD57F2" w:rsidP="00FD57F2">
      <w:pPr>
        <w:rPr>
          <w:bCs/>
          <w:sz w:val="20"/>
        </w:rPr>
      </w:pPr>
    </w:p>
    <w:p w14:paraId="3C99EA70" w14:textId="77777777" w:rsidR="00FD57F2" w:rsidRPr="00D46647" w:rsidRDefault="00FD57F2" w:rsidP="00FD57F2">
      <w:pPr>
        <w:rPr>
          <w:bCs/>
          <w:sz w:val="20"/>
        </w:rPr>
      </w:pPr>
      <w:r w:rsidRPr="00D46647">
        <w:rPr>
          <w:sz w:val="20"/>
        </w:rPr>
        <w:t>RÉSULTATS ESCOMPTÉS</w:t>
      </w:r>
    </w:p>
    <w:p w14:paraId="77C3A798" w14:textId="77777777" w:rsidR="00FD57F2" w:rsidRPr="00D46647" w:rsidRDefault="00FD57F2" w:rsidP="00FD57F2">
      <w:pPr>
        <w:rPr>
          <w:bCs/>
          <w:sz w:val="20"/>
        </w:rPr>
      </w:pPr>
    </w:p>
    <w:p w14:paraId="28017B6A" w14:textId="77777777" w:rsidR="00FD57F2" w:rsidRPr="00D46647" w:rsidRDefault="00FD57F2" w:rsidP="00FD57F2">
      <w:pPr>
        <w:rPr>
          <w:i/>
          <w:iCs/>
          <w:sz w:val="20"/>
        </w:rPr>
      </w:pPr>
      <w:r w:rsidRPr="00D46647">
        <w:rPr>
          <w:i/>
          <w:sz w:val="20"/>
        </w:rPr>
        <w:t>IX.1 Services d’appui efficaces, efficients, de qualité et tournés vers la clientèle, à l’intention à la fois des clients internes et des parties prenantes externes</w:t>
      </w:r>
    </w:p>
    <w:p w14:paraId="5BE85B76" w14:textId="77777777" w:rsidR="00FD57F2" w:rsidRPr="00D46647" w:rsidRDefault="00FD57F2" w:rsidP="00FD57F2">
      <w:pPr>
        <w:rPr>
          <w:bCs/>
          <w:sz w:val="20"/>
        </w:rPr>
      </w:pPr>
    </w:p>
    <w:p w14:paraId="7C09A26B" w14:textId="77777777" w:rsidR="00FD57F2" w:rsidRPr="00D46647" w:rsidRDefault="00FD57F2" w:rsidP="00FD57F2">
      <w:pPr>
        <w:rPr>
          <w:bCs/>
          <w:sz w:val="20"/>
        </w:rPr>
      </w:pPr>
    </w:p>
    <w:p w14:paraId="18A8D9EF" w14:textId="77777777" w:rsidR="00FD57F2" w:rsidRPr="00D46647" w:rsidRDefault="00FD57F2" w:rsidP="00FD57F2">
      <w:pPr>
        <w:rPr>
          <w:bCs/>
          <w:sz w:val="20"/>
        </w:rPr>
      </w:pPr>
      <w:r w:rsidRPr="00D46647">
        <w:rPr>
          <w:sz w:val="20"/>
        </w:rPr>
        <w:t>OBJECTIFS, PORTÉE ET APPROCHE – GÉNÉRALITÉS</w:t>
      </w:r>
    </w:p>
    <w:p w14:paraId="20BD716E" w14:textId="77777777" w:rsidR="00FD57F2" w:rsidRPr="00D46647" w:rsidRDefault="00FD57F2" w:rsidP="00FD57F2">
      <w:pPr>
        <w:rPr>
          <w:bCs/>
          <w:sz w:val="20"/>
        </w:rPr>
      </w:pPr>
    </w:p>
    <w:p w14:paraId="1EB54701" w14:textId="77777777" w:rsidR="00FD57F2" w:rsidRPr="00D46647" w:rsidRDefault="00FD57F2" w:rsidP="002C58CD">
      <w:pPr>
        <w:pStyle w:val="ONUME"/>
        <w:numPr>
          <w:ilvl w:val="0"/>
          <w:numId w:val="68"/>
        </w:numPr>
        <w:tabs>
          <w:tab w:val="left" w:pos="567"/>
        </w:tabs>
        <w:ind w:left="0" w:firstLine="0"/>
        <w:jc w:val="both"/>
        <w:rPr>
          <w:sz w:val="20"/>
        </w:rPr>
      </w:pPr>
      <w:r w:rsidRPr="00D46647">
        <w:rPr>
          <w:sz w:val="20"/>
        </w:rPr>
        <w:t>L’objectif du projet est double : i) remplacement complet des faux plafonds pour le système de climatisation des étages supérieurs du bâtiment PCT et ii) rénovation majeure des éléments structurels de toutes les façades de ce bâtiment (en d’autres termes, les fenêtres proprement dites ne sont normalement pas visées).  Ces dernières années, il est apparu que les réparations mineures rendues nécessaires en cas de panne et d’élévation ou d’abaissement excessif de la température dans les bureaux qui sont opérées depuis une dizaine d’années n’étaient plus tenables.  Par ailleurs, un certain nombre d’éléments de l’installation de climatisation actuelle ne sont plus commercialisés et les pièces détachées sont introuvables, ce qui compromet à court terme la viabilité de l’ensemble de l’installation de climatisation du bâtiment.  La surconsommation d’énergie causée par le caractère défectueux des systèmes et installations ainsi que des éléments structurels des façades est considérable et ne fera qu’augmenter au fil des ans.  Un audit technique de l’installation de climatisation a été effectué en 2011 et un audit technique des façades a eu lieu au premier semestre de 2013.</w:t>
      </w:r>
    </w:p>
    <w:p w14:paraId="2B71B420" w14:textId="77777777" w:rsidR="00FD57F2" w:rsidRPr="00D46647" w:rsidRDefault="00FD57F2" w:rsidP="002C58CD">
      <w:pPr>
        <w:pStyle w:val="ONUME"/>
        <w:numPr>
          <w:ilvl w:val="0"/>
          <w:numId w:val="68"/>
        </w:numPr>
        <w:tabs>
          <w:tab w:val="left" w:pos="567"/>
        </w:tabs>
        <w:ind w:left="0" w:firstLine="0"/>
        <w:jc w:val="both"/>
        <w:rPr>
          <w:sz w:val="20"/>
        </w:rPr>
      </w:pPr>
      <w:r w:rsidRPr="00D46647">
        <w:rPr>
          <w:sz w:val="20"/>
        </w:rPr>
        <w:t>Les résultats escomptés de ces travaux de rénovation sont une installation de climatisation et des façades opérationnelles et fiables, ainsi qu’une réduction significative de la consommation d’énergie grâce à la suppression du gaspillage actuel.</w:t>
      </w:r>
    </w:p>
    <w:p w14:paraId="44180365" w14:textId="77777777" w:rsidR="00FD57F2" w:rsidRPr="00D46647" w:rsidRDefault="00FD57F2" w:rsidP="002C58CD">
      <w:pPr>
        <w:pStyle w:val="ONUME"/>
        <w:numPr>
          <w:ilvl w:val="0"/>
          <w:numId w:val="68"/>
        </w:numPr>
        <w:tabs>
          <w:tab w:val="left" w:pos="567"/>
        </w:tabs>
        <w:ind w:left="0" w:firstLine="0"/>
        <w:jc w:val="both"/>
        <w:rPr>
          <w:sz w:val="20"/>
        </w:rPr>
      </w:pPr>
      <w:r w:rsidRPr="00D46647">
        <w:rPr>
          <w:sz w:val="20"/>
        </w:rPr>
        <w:t>Les objectifs du projet consistent à : i) réduire les déperditions d’énergie (façades);  ii) réduire la consommation énergétique (faux plafonds thermiques et façades);  iii) améliorer les installations techniques afin de réduire le besoin de maintenance (faux plafonds thermiques et façades);  iv) améliorer le confort des occupants;  v) utiliser une nouvelle technologie, plus respectueuse de l’environnement;  et vi) moderniser en vue de cycles de vie plus longs (faux plafonds thermiques).</w:t>
      </w:r>
    </w:p>
    <w:p w14:paraId="68471660" w14:textId="77777777" w:rsidR="00FD57F2" w:rsidRPr="00D46647" w:rsidRDefault="00FD57F2" w:rsidP="00FD57F2">
      <w:pPr>
        <w:rPr>
          <w:bCs/>
          <w:sz w:val="20"/>
        </w:rPr>
      </w:pPr>
      <w:r w:rsidRPr="00D46647">
        <w:rPr>
          <w:sz w:val="20"/>
        </w:rPr>
        <w:t>APERÇU DES PROGRÈS RÉALISÉS EN 2016 (PRINCIPALES ÉTAPES)</w:t>
      </w:r>
    </w:p>
    <w:p w14:paraId="0A32552B" w14:textId="77777777" w:rsidR="00FD57F2" w:rsidRPr="00D46647" w:rsidRDefault="00FD57F2" w:rsidP="00FD57F2">
      <w:pPr>
        <w:rPr>
          <w:bCs/>
          <w:sz w:val="20"/>
        </w:rPr>
      </w:pPr>
    </w:p>
    <w:p w14:paraId="47FA0280" w14:textId="77777777" w:rsidR="00FD57F2" w:rsidRPr="00D46647" w:rsidRDefault="00FD57F2" w:rsidP="002C58CD">
      <w:pPr>
        <w:pStyle w:val="ONUME"/>
        <w:numPr>
          <w:ilvl w:val="0"/>
          <w:numId w:val="68"/>
        </w:numPr>
        <w:tabs>
          <w:tab w:val="left" w:pos="567"/>
        </w:tabs>
        <w:ind w:left="0" w:firstLine="0"/>
        <w:jc w:val="both"/>
        <w:rPr>
          <w:bCs/>
          <w:sz w:val="20"/>
        </w:rPr>
      </w:pPr>
      <w:r w:rsidRPr="00D46647">
        <w:rPr>
          <w:sz w:val="20"/>
        </w:rPr>
        <w:t>En 2016, les progrès suivants ont été accomplis :</w:t>
      </w:r>
    </w:p>
    <w:p w14:paraId="5D3EC4F6" w14:textId="77777777" w:rsidR="00FD57F2" w:rsidRPr="00D46647" w:rsidRDefault="00FD57F2" w:rsidP="002C58CD">
      <w:pPr>
        <w:pStyle w:val="ListParagraph"/>
        <w:numPr>
          <w:ilvl w:val="0"/>
          <w:numId w:val="78"/>
        </w:numPr>
        <w:tabs>
          <w:tab w:val="left" w:pos="567"/>
        </w:tabs>
        <w:spacing w:after="220"/>
        <w:ind w:left="1134" w:hanging="567"/>
        <w:contextualSpacing w:val="0"/>
        <w:jc w:val="both"/>
        <w:rPr>
          <w:rFonts w:ascii="Arial" w:eastAsia="SimSun" w:hAnsi="Arial" w:cs="Arial"/>
          <w:sz w:val="20"/>
          <w:szCs w:val="20"/>
          <w:lang w:eastAsia="zh-CN"/>
        </w:rPr>
      </w:pPr>
      <w:r w:rsidRPr="00D46647">
        <w:rPr>
          <w:rFonts w:ascii="Arial" w:eastAsia="SimSun" w:hAnsi="Arial" w:cs="Arial"/>
          <w:sz w:val="20"/>
          <w:szCs w:val="20"/>
          <w:lang w:eastAsia="zh-CN"/>
        </w:rPr>
        <w:t>Achèvement de la rédaction des cahiers des charges et lancement des appels d’offres visant le recrutement des ingénieurs CVC, des ingénieurs spécialisés en façades et des ingénieurs électriciens/de sécurité incendie placés sous la responsabilité du pilote/de l’architecte.  Bien qu’il ait été initialement prévu de lancer les appels d’offres indépendamment du recrutement du pilote/de l’architecte, une autre démarche visant à mettre davantage en évidence le rôle et les responsabilités qui incombent au pilote/à l’architecte a finalement été adoptée.  Le calendrier du projet a été modifié en conséquence;</w:t>
      </w:r>
    </w:p>
    <w:p w14:paraId="4C16F0C0" w14:textId="77777777" w:rsidR="00FD57F2" w:rsidRPr="00D46647" w:rsidRDefault="00FD57F2" w:rsidP="002C58CD">
      <w:pPr>
        <w:pStyle w:val="ListParagraph"/>
        <w:numPr>
          <w:ilvl w:val="0"/>
          <w:numId w:val="78"/>
        </w:numPr>
        <w:tabs>
          <w:tab w:val="left" w:pos="567"/>
        </w:tabs>
        <w:spacing w:after="220"/>
        <w:ind w:left="1134" w:hanging="567"/>
        <w:contextualSpacing w:val="0"/>
        <w:jc w:val="both"/>
        <w:rPr>
          <w:rFonts w:ascii="Arial" w:eastAsia="SimSun" w:hAnsi="Arial" w:cs="Arial"/>
          <w:sz w:val="20"/>
          <w:szCs w:val="20"/>
          <w:lang w:eastAsia="zh-CN"/>
        </w:rPr>
      </w:pPr>
      <w:r w:rsidRPr="00D46647">
        <w:rPr>
          <w:rFonts w:ascii="Arial" w:eastAsia="SimSun" w:hAnsi="Arial" w:cs="Arial"/>
          <w:sz w:val="20"/>
          <w:szCs w:val="20"/>
          <w:lang w:eastAsia="zh-CN"/>
        </w:rPr>
        <w:t>Attribution de contrats aux ingénieurs CVC, aux ingénieurs spécialisés en façades et aux ingénieurs électriciens/de sécurité incendie;</w:t>
      </w:r>
    </w:p>
    <w:p w14:paraId="271ED85C" w14:textId="77777777" w:rsidR="00FD57F2" w:rsidRPr="00D46647" w:rsidRDefault="00FD57F2" w:rsidP="002C58CD">
      <w:pPr>
        <w:pStyle w:val="ListParagraph"/>
        <w:numPr>
          <w:ilvl w:val="0"/>
          <w:numId w:val="78"/>
        </w:numPr>
        <w:tabs>
          <w:tab w:val="left" w:pos="567"/>
        </w:tabs>
        <w:spacing w:after="220"/>
        <w:ind w:left="1134" w:hanging="567"/>
        <w:contextualSpacing w:val="0"/>
        <w:jc w:val="both"/>
        <w:rPr>
          <w:rFonts w:ascii="Arial" w:eastAsia="SimSun" w:hAnsi="Arial" w:cs="Arial"/>
          <w:sz w:val="20"/>
          <w:szCs w:val="20"/>
          <w:lang w:eastAsia="zh-CN"/>
        </w:rPr>
      </w:pPr>
      <w:r w:rsidRPr="00D46647">
        <w:rPr>
          <w:rFonts w:ascii="Arial" w:eastAsia="SimSun" w:hAnsi="Arial" w:cs="Arial"/>
          <w:sz w:val="20"/>
          <w:szCs w:val="20"/>
          <w:lang w:eastAsia="zh-CN"/>
        </w:rPr>
        <w:t>Tous les ingénieurs ont réalisé conjointement une étude approfondie des diverses options techniques (en tenant compte de leurs engagements préexistants respectifs) sous la responsabilité de l’entreprise pilote/architecte et des membres du personnel de l’OMPI affectés aux bâtiments et à la sûreté et à la sécurité;</w:t>
      </w:r>
    </w:p>
    <w:p w14:paraId="655EF665" w14:textId="77777777" w:rsidR="00FD57F2" w:rsidRPr="00D46647" w:rsidRDefault="00FD57F2" w:rsidP="002C58CD">
      <w:pPr>
        <w:pStyle w:val="ListParagraph"/>
        <w:numPr>
          <w:ilvl w:val="0"/>
          <w:numId w:val="78"/>
        </w:numPr>
        <w:tabs>
          <w:tab w:val="left" w:pos="567"/>
        </w:tabs>
        <w:spacing w:after="220"/>
        <w:ind w:left="1134" w:hanging="567"/>
        <w:contextualSpacing w:val="0"/>
        <w:jc w:val="both"/>
        <w:rPr>
          <w:rFonts w:ascii="Arial" w:eastAsia="SimSun" w:hAnsi="Arial" w:cs="Arial"/>
          <w:sz w:val="20"/>
          <w:szCs w:val="20"/>
          <w:lang w:eastAsia="zh-CN"/>
        </w:rPr>
      </w:pPr>
      <w:r w:rsidRPr="00D46647">
        <w:rPr>
          <w:rFonts w:ascii="Arial" w:eastAsia="SimSun" w:hAnsi="Arial" w:cs="Arial"/>
          <w:sz w:val="20"/>
          <w:szCs w:val="20"/>
          <w:lang w:eastAsia="zh-CN"/>
        </w:rPr>
        <w:t>Les solutions techniques privilégiées pour les aspects CVC et façades ont été choisies par le Secrétariat avant fin 2016.</w:t>
      </w:r>
    </w:p>
    <w:p w14:paraId="071F6AA5" w14:textId="77777777" w:rsidR="00FD57F2" w:rsidRPr="00D46647" w:rsidRDefault="00FD57F2" w:rsidP="00FD57F2">
      <w:pPr>
        <w:keepNext/>
        <w:keepLines/>
        <w:rPr>
          <w:bCs/>
          <w:sz w:val="20"/>
        </w:rPr>
      </w:pPr>
      <w:r w:rsidRPr="00D46647">
        <w:rPr>
          <w:sz w:val="20"/>
        </w:rPr>
        <w:t>CONCRÉTISATION DES AVANTAGES</w:t>
      </w:r>
    </w:p>
    <w:p w14:paraId="5B4AE946" w14:textId="77777777" w:rsidR="00FD57F2" w:rsidRPr="00D46647" w:rsidRDefault="00FD57F2" w:rsidP="00FD57F2">
      <w:pPr>
        <w:keepNext/>
        <w:keepLines/>
        <w:rPr>
          <w:sz w:val="20"/>
        </w:rPr>
      </w:pPr>
    </w:p>
    <w:tbl>
      <w:tblPr>
        <w:tblW w:w="43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479"/>
        <w:gridCol w:w="2754"/>
        <w:gridCol w:w="2754"/>
      </w:tblGrid>
      <w:tr w:rsidR="00FD57F2" w:rsidRPr="00D46647" w14:paraId="5A30D5CB" w14:textId="77777777" w:rsidTr="007E3422">
        <w:trPr>
          <w:tblHeader/>
          <w:jc w:val="center"/>
        </w:trPr>
        <w:tc>
          <w:tcPr>
            <w:tcW w:w="1552" w:type="pct"/>
            <w:shd w:val="clear" w:color="auto" w:fill="C6D9F1"/>
            <w:vAlign w:val="center"/>
          </w:tcPr>
          <w:p w14:paraId="63E3F825" w14:textId="77777777" w:rsidR="00FD57F2" w:rsidRPr="00D46647" w:rsidRDefault="00FD57F2" w:rsidP="00FD57F2">
            <w:pPr>
              <w:keepNext/>
              <w:keepLines/>
              <w:jc w:val="center"/>
              <w:rPr>
                <w:b/>
                <w:bCs/>
                <w:sz w:val="16"/>
                <w:szCs w:val="16"/>
              </w:rPr>
            </w:pPr>
            <w:r w:rsidRPr="00D46647">
              <w:rPr>
                <w:b/>
                <w:sz w:val="16"/>
              </w:rPr>
              <w:t>Avantages escomptés en 2017</w:t>
            </w:r>
          </w:p>
        </w:tc>
        <w:tc>
          <w:tcPr>
            <w:tcW w:w="1724" w:type="pct"/>
            <w:shd w:val="clear" w:color="auto" w:fill="C6D9F1"/>
          </w:tcPr>
          <w:p w14:paraId="3BB39BDA" w14:textId="77777777" w:rsidR="00FD57F2" w:rsidRPr="00D46647" w:rsidRDefault="00FD57F2" w:rsidP="00FD57F2">
            <w:pPr>
              <w:keepNext/>
              <w:keepLines/>
              <w:jc w:val="center"/>
              <w:rPr>
                <w:b/>
                <w:bCs/>
                <w:sz w:val="16"/>
                <w:szCs w:val="16"/>
              </w:rPr>
            </w:pPr>
            <w:r w:rsidRPr="00D46647">
              <w:rPr>
                <w:b/>
                <w:sz w:val="16"/>
              </w:rPr>
              <w:t>Avantages escomptés en 2018</w:t>
            </w:r>
          </w:p>
        </w:tc>
        <w:tc>
          <w:tcPr>
            <w:tcW w:w="1724" w:type="pct"/>
            <w:shd w:val="clear" w:color="auto" w:fill="C6D9F1"/>
          </w:tcPr>
          <w:p w14:paraId="746ED00F" w14:textId="77777777" w:rsidR="00FD57F2" w:rsidRPr="00D46647" w:rsidRDefault="00FD57F2" w:rsidP="00FD57F2">
            <w:pPr>
              <w:keepNext/>
              <w:keepLines/>
              <w:jc w:val="center"/>
              <w:rPr>
                <w:b/>
                <w:sz w:val="16"/>
              </w:rPr>
            </w:pPr>
            <w:r w:rsidRPr="00D46647">
              <w:rPr>
                <w:b/>
                <w:sz w:val="16"/>
              </w:rPr>
              <w:t>Avantages escomptés en 2019</w:t>
            </w:r>
          </w:p>
        </w:tc>
      </w:tr>
      <w:tr w:rsidR="00FD57F2" w:rsidRPr="00D46647" w14:paraId="78EB537F" w14:textId="77777777" w:rsidTr="007E3422">
        <w:trPr>
          <w:jc w:val="center"/>
        </w:trPr>
        <w:tc>
          <w:tcPr>
            <w:tcW w:w="1552" w:type="pct"/>
            <w:shd w:val="clear" w:color="auto" w:fill="auto"/>
          </w:tcPr>
          <w:p w14:paraId="1E86C0D0" w14:textId="77777777" w:rsidR="00FD57F2" w:rsidRPr="00D46647" w:rsidRDefault="00FD57F2" w:rsidP="00FD57F2">
            <w:pPr>
              <w:keepNext/>
              <w:keepLines/>
              <w:rPr>
                <w:bCs/>
                <w:iCs/>
                <w:sz w:val="16"/>
                <w:szCs w:val="16"/>
                <w:highlight w:val="red"/>
              </w:rPr>
            </w:pPr>
            <w:r w:rsidRPr="00D46647">
              <w:rPr>
                <w:sz w:val="16"/>
              </w:rPr>
              <w:t>Amélioration partielle des installations techniques CVC</w:t>
            </w:r>
          </w:p>
        </w:tc>
        <w:tc>
          <w:tcPr>
            <w:tcW w:w="1724" w:type="pct"/>
            <w:shd w:val="clear" w:color="auto" w:fill="auto"/>
          </w:tcPr>
          <w:p w14:paraId="329FACE7" w14:textId="77777777" w:rsidR="00FD57F2" w:rsidRPr="00D46647" w:rsidRDefault="00FD57F2" w:rsidP="00FD57F2">
            <w:pPr>
              <w:keepNext/>
              <w:keepLines/>
              <w:rPr>
                <w:bCs/>
                <w:iCs/>
                <w:sz w:val="16"/>
                <w:szCs w:val="16"/>
                <w:highlight w:val="red"/>
              </w:rPr>
            </w:pPr>
            <w:r w:rsidRPr="00D46647">
              <w:rPr>
                <w:sz w:val="16"/>
              </w:rPr>
              <w:t>Amélioration continue des installations techniques de CVC</w:t>
            </w:r>
          </w:p>
        </w:tc>
        <w:tc>
          <w:tcPr>
            <w:tcW w:w="1724" w:type="pct"/>
          </w:tcPr>
          <w:p w14:paraId="32B8DC61" w14:textId="77777777" w:rsidR="00FD57F2" w:rsidRPr="00D46647" w:rsidRDefault="00FD57F2" w:rsidP="00FD57F2">
            <w:pPr>
              <w:keepNext/>
              <w:keepLines/>
              <w:rPr>
                <w:bCs/>
                <w:iCs/>
                <w:sz w:val="16"/>
                <w:szCs w:val="16"/>
              </w:rPr>
            </w:pPr>
            <w:r w:rsidRPr="00D46647">
              <w:rPr>
                <w:sz w:val="16"/>
              </w:rPr>
              <w:t>Amélioration complète des installations techniques</w:t>
            </w:r>
          </w:p>
        </w:tc>
      </w:tr>
      <w:tr w:rsidR="00FD57F2" w:rsidRPr="00D46647" w14:paraId="471BD68F" w14:textId="77777777" w:rsidTr="007E3422">
        <w:trPr>
          <w:jc w:val="center"/>
        </w:trPr>
        <w:tc>
          <w:tcPr>
            <w:tcW w:w="1552" w:type="pct"/>
            <w:shd w:val="clear" w:color="auto" w:fill="auto"/>
          </w:tcPr>
          <w:p w14:paraId="76EF1C4E" w14:textId="77777777" w:rsidR="00FD57F2" w:rsidRPr="00D46647" w:rsidRDefault="00FD57F2" w:rsidP="00FD57F2">
            <w:pPr>
              <w:keepNext/>
              <w:keepLines/>
              <w:rPr>
                <w:bCs/>
                <w:iCs/>
                <w:sz w:val="16"/>
                <w:szCs w:val="16"/>
              </w:rPr>
            </w:pPr>
          </w:p>
        </w:tc>
        <w:tc>
          <w:tcPr>
            <w:tcW w:w="1724" w:type="pct"/>
            <w:shd w:val="clear" w:color="auto" w:fill="auto"/>
          </w:tcPr>
          <w:p w14:paraId="4E1DCF33" w14:textId="77777777" w:rsidR="00FD57F2" w:rsidRPr="00D46647" w:rsidRDefault="00FD57F2" w:rsidP="00FD57F2">
            <w:pPr>
              <w:keepNext/>
              <w:keepLines/>
              <w:rPr>
                <w:bCs/>
                <w:iCs/>
                <w:sz w:val="16"/>
                <w:szCs w:val="16"/>
              </w:rPr>
            </w:pPr>
            <w:r w:rsidRPr="00D46647">
              <w:rPr>
                <w:sz w:val="16"/>
              </w:rPr>
              <w:t>Amélioration partielle du confort des occupants</w:t>
            </w:r>
          </w:p>
        </w:tc>
        <w:tc>
          <w:tcPr>
            <w:tcW w:w="1724" w:type="pct"/>
          </w:tcPr>
          <w:p w14:paraId="68A2C2E6" w14:textId="77777777" w:rsidR="00FD57F2" w:rsidRPr="00D46647" w:rsidRDefault="00FD57F2" w:rsidP="00FD57F2">
            <w:pPr>
              <w:keepNext/>
              <w:keepLines/>
              <w:rPr>
                <w:bCs/>
                <w:iCs/>
                <w:sz w:val="16"/>
                <w:szCs w:val="16"/>
              </w:rPr>
            </w:pPr>
            <w:r w:rsidRPr="00D46647">
              <w:rPr>
                <w:sz w:val="16"/>
              </w:rPr>
              <w:t>Amélioration complète du confort des occupants</w:t>
            </w:r>
          </w:p>
        </w:tc>
      </w:tr>
      <w:tr w:rsidR="00FD57F2" w:rsidRPr="00D46647" w14:paraId="4F985922" w14:textId="77777777" w:rsidTr="007E3422">
        <w:trPr>
          <w:jc w:val="center"/>
        </w:trPr>
        <w:tc>
          <w:tcPr>
            <w:tcW w:w="1552" w:type="pct"/>
            <w:shd w:val="clear" w:color="auto" w:fill="auto"/>
          </w:tcPr>
          <w:p w14:paraId="12030019" w14:textId="77777777" w:rsidR="00FD57F2" w:rsidRPr="00D46647" w:rsidRDefault="00FD57F2" w:rsidP="00FD57F2">
            <w:pPr>
              <w:rPr>
                <w:bCs/>
                <w:iCs/>
                <w:sz w:val="16"/>
                <w:szCs w:val="16"/>
              </w:rPr>
            </w:pPr>
          </w:p>
        </w:tc>
        <w:tc>
          <w:tcPr>
            <w:tcW w:w="1724" w:type="pct"/>
            <w:shd w:val="clear" w:color="auto" w:fill="auto"/>
          </w:tcPr>
          <w:p w14:paraId="182771E3" w14:textId="77777777" w:rsidR="00FD57F2" w:rsidRPr="00D46647" w:rsidRDefault="00FD57F2" w:rsidP="00FD57F2">
            <w:pPr>
              <w:rPr>
                <w:bCs/>
                <w:iCs/>
                <w:sz w:val="16"/>
                <w:szCs w:val="16"/>
              </w:rPr>
            </w:pPr>
          </w:p>
        </w:tc>
        <w:tc>
          <w:tcPr>
            <w:tcW w:w="1724" w:type="pct"/>
          </w:tcPr>
          <w:p w14:paraId="3C48CAC9" w14:textId="77777777" w:rsidR="00FD57F2" w:rsidRPr="00D46647" w:rsidRDefault="00FD57F2" w:rsidP="00FD57F2">
            <w:pPr>
              <w:rPr>
                <w:bCs/>
                <w:iCs/>
                <w:sz w:val="16"/>
                <w:szCs w:val="16"/>
              </w:rPr>
            </w:pPr>
            <w:r w:rsidRPr="00D46647">
              <w:rPr>
                <w:sz w:val="16"/>
              </w:rPr>
              <w:t>Réduction d’une partie des pertes d’énergie due à l’amélioration des façades</w:t>
            </w:r>
          </w:p>
        </w:tc>
      </w:tr>
      <w:tr w:rsidR="00FD57F2" w:rsidRPr="00D46647" w14:paraId="3951A6E5" w14:textId="77777777" w:rsidTr="007E3422">
        <w:trPr>
          <w:jc w:val="center"/>
        </w:trPr>
        <w:tc>
          <w:tcPr>
            <w:tcW w:w="1552" w:type="pct"/>
            <w:shd w:val="clear" w:color="auto" w:fill="auto"/>
          </w:tcPr>
          <w:p w14:paraId="22A05E92" w14:textId="77777777" w:rsidR="00FD57F2" w:rsidRPr="00D46647" w:rsidRDefault="00FD57F2" w:rsidP="00FD57F2">
            <w:pPr>
              <w:rPr>
                <w:bCs/>
                <w:iCs/>
                <w:sz w:val="16"/>
                <w:szCs w:val="16"/>
              </w:rPr>
            </w:pPr>
          </w:p>
        </w:tc>
        <w:tc>
          <w:tcPr>
            <w:tcW w:w="1724" w:type="pct"/>
            <w:shd w:val="clear" w:color="auto" w:fill="auto"/>
          </w:tcPr>
          <w:p w14:paraId="7D58CC1F" w14:textId="77777777" w:rsidR="00FD57F2" w:rsidRPr="00D46647" w:rsidRDefault="00FD57F2" w:rsidP="00FD57F2">
            <w:pPr>
              <w:rPr>
                <w:bCs/>
                <w:iCs/>
                <w:sz w:val="16"/>
                <w:szCs w:val="16"/>
              </w:rPr>
            </w:pPr>
          </w:p>
        </w:tc>
        <w:tc>
          <w:tcPr>
            <w:tcW w:w="1724" w:type="pct"/>
          </w:tcPr>
          <w:p w14:paraId="529BAD3C" w14:textId="77777777" w:rsidR="00FD57F2" w:rsidRPr="00D46647" w:rsidRDefault="00FD57F2" w:rsidP="00FD57F2">
            <w:pPr>
              <w:rPr>
                <w:bCs/>
                <w:iCs/>
                <w:sz w:val="16"/>
                <w:szCs w:val="16"/>
              </w:rPr>
            </w:pPr>
            <w:r w:rsidRPr="00D46647">
              <w:rPr>
                <w:sz w:val="16"/>
              </w:rPr>
              <w:t xml:space="preserve">Réduction partielle de la consommation énergétique grâce aux nouveaux faux plafonds thermiques </w:t>
            </w:r>
          </w:p>
        </w:tc>
      </w:tr>
      <w:tr w:rsidR="00FD57F2" w:rsidRPr="00D46647" w14:paraId="1A49BACE" w14:textId="77777777" w:rsidTr="007E3422">
        <w:trPr>
          <w:jc w:val="center"/>
        </w:trPr>
        <w:tc>
          <w:tcPr>
            <w:tcW w:w="1552" w:type="pct"/>
            <w:shd w:val="clear" w:color="auto" w:fill="auto"/>
          </w:tcPr>
          <w:p w14:paraId="0C7C7FB4" w14:textId="77777777" w:rsidR="00FD57F2" w:rsidRPr="00D46647" w:rsidRDefault="00FD57F2" w:rsidP="00FD57F2">
            <w:pPr>
              <w:rPr>
                <w:b/>
                <w:bCs/>
                <w:i/>
                <w:iCs/>
                <w:sz w:val="16"/>
                <w:szCs w:val="16"/>
              </w:rPr>
            </w:pPr>
          </w:p>
        </w:tc>
        <w:tc>
          <w:tcPr>
            <w:tcW w:w="1724" w:type="pct"/>
            <w:shd w:val="clear" w:color="auto" w:fill="auto"/>
          </w:tcPr>
          <w:p w14:paraId="1F3BCE12" w14:textId="77777777" w:rsidR="00FD57F2" w:rsidRPr="00D46647" w:rsidRDefault="00FD57F2" w:rsidP="00FD57F2">
            <w:pPr>
              <w:rPr>
                <w:bCs/>
                <w:iCs/>
                <w:sz w:val="16"/>
                <w:szCs w:val="16"/>
              </w:rPr>
            </w:pPr>
          </w:p>
        </w:tc>
        <w:tc>
          <w:tcPr>
            <w:tcW w:w="1724" w:type="pct"/>
          </w:tcPr>
          <w:p w14:paraId="545D4C6C" w14:textId="77777777" w:rsidR="00FD57F2" w:rsidRPr="00D46647" w:rsidRDefault="00FD57F2" w:rsidP="00FD57F2">
            <w:pPr>
              <w:rPr>
                <w:bCs/>
                <w:iCs/>
                <w:sz w:val="16"/>
                <w:szCs w:val="16"/>
              </w:rPr>
            </w:pPr>
            <w:r w:rsidRPr="00D46647">
              <w:rPr>
                <w:sz w:val="16"/>
              </w:rPr>
              <w:t>Cycle de vie allongé des nouveaux faux plafonds thermiques</w:t>
            </w:r>
          </w:p>
        </w:tc>
      </w:tr>
      <w:tr w:rsidR="00FD57F2" w:rsidRPr="00D46647" w14:paraId="2DF2B138" w14:textId="77777777" w:rsidTr="007E3422">
        <w:trPr>
          <w:jc w:val="center"/>
        </w:trPr>
        <w:tc>
          <w:tcPr>
            <w:tcW w:w="1552" w:type="pct"/>
            <w:shd w:val="clear" w:color="auto" w:fill="auto"/>
          </w:tcPr>
          <w:p w14:paraId="19903613" w14:textId="77777777" w:rsidR="00FD57F2" w:rsidRPr="00D46647" w:rsidRDefault="00FD57F2" w:rsidP="00FD57F2">
            <w:pPr>
              <w:rPr>
                <w:b/>
                <w:bCs/>
                <w:i/>
                <w:iCs/>
                <w:sz w:val="16"/>
                <w:szCs w:val="16"/>
              </w:rPr>
            </w:pPr>
          </w:p>
        </w:tc>
        <w:tc>
          <w:tcPr>
            <w:tcW w:w="1724" w:type="pct"/>
            <w:shd w:val="clear" w:color="auto" w:fill="auto"/>
          </w:tcPr>
          <w:p w14:paraId="4C772415" w14:textId="77777777" w:rsidR="00FD57F2" w:rsidRPr="00D46647" w:rsidRDefault="00FD57F2" w:rsidP="00FD57F2">
            <w:pPr>
              <w:rPr>
                <w:bCs/>
                <w:iCs/>
                <w:sz w:val="16"/>
                <w:szCs w:val="16"/>
              </w:rPr>
            </w:pPr>
          </w:p>
        </w:tc>
        <w:tc>
          <w:tcPr>
            <w:tcW w:w="1724" w:type="pct"/>
          </w:tcPr>
          <w:p w14:paraId="11B027C7" w14:textId="77777777" w:rsidR="00FD57F2" w:rsidRPr="00D46647" w:rsidRDefault="00FD57F2" w:rsidP="00FD57F2">
            <w:pPr>
              <w:rPr>
                <w:bCs/>
                <w:iCs/>
                <w:sz w:val="16"/>
                <w:szCs w:val="16"/>
              </w:rPr>
            </w:pPr>
            <w:r w:rsidRPr="00D46647">
              <w:rPr>
                <w:sz w:val="16"/>
              </w:rPr>
              <w:t>Coûts de maintenance corrective réduits grâce aux nouveaux faux plafonds thermiques</w:t>
            </w:r>
          </w:p>
        </w:tc>
      </w:tr>
    </w:tbl>
    <w:p w14:paraId="52858676" w14:textId="77777777" w:rsidR="00FD57F2" w:rsidRPr="00D46647" w:rsidRDefault="00FD57F2" w:rsidP="00FD57F2">
      <w:pPr>
        <w:rPr>
          <w:b/>
          <w:sz w:val="20"/>
        </w:rPr>
      </w:pPr>
    </w:p>
    <w:p w14:paraId="678443E4" w14:textId="77777777" w:rsidR="00FD57F2" w:rsidRPr="00D46647" w:rsidRDefault="00FD57F2" w:rsidP="00FD57F2">
      <w:pPr>
        <w:rPr>
          <w:sz w:val="20"/>
        </w:rPr>
      </w:pPr>
    </w:p>
    <w:p w14:paraId="582D78AA" w14:textId="77777777" w:rsidR="00FD57F2" w:rsidRPr="00D46647" w:rsidRDefault="00FD57F2" w:rsidP="00FD57F2">
      <w:pPr>
        <w:rPr>
          <w:sz w:val="20"/>
        </w:rPr>
      </w:pPr>
      <w:r w:rsidRPr="00D46647">
        <w:rPr>
          <w:sz w:val="20"/>
        </w:rPr>
        <w:t>UTILISATION DES RESSOURCES</w:t>
      </w:r>
      <w:r w:rsidRPr="00D46647">
        <w:rPr>
          <w:rStyle w:val="FootnoteReference"/>
          <w:rFonts w:cs="Arial"/>
          <w:sz w:val="20"/>
        </w:rPr>
        <w:footnoteReference w:id="118"/>
      </w:r>
    </w:p>
    <w:p w14:paraId="637AEEBE" w14:textId="77777777" w:rsidR="00FD57F2" w:rsidRPr="00D46647" w:rsidRDefault="00FD57F2" w:rsidP="00FD57F2">
      <w:pPr>
        <w:rPr>
          <w:sz w:val="20"/>
        </w:rPr>
      </w:pPr>
    </w:p>
    <w:p w14:paraId="7E25D8D2"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w:t>
      </w:r>
    </w:p>
    <w:p w14:paraId="0CFBDC6A"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3543862E" w14:textId="77777777" w:rsidR="00FD57F2" w:rsidRPr="00D46647" w:rsidRDefault="00FD57F2" w:rsidP="00FD57F2">
      <w:pPr>
        <w:rPr>
          <w:sz w:val="18"/>
          <w:szCs w:val="22"/>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67"/>
        <w:gridCol w:w="1579"/>
        <w:gridCol w:w="1581"/>
        <w:gridCol w:w="1581"/>
        <w:gridCol w:w="1579"/>
      </w:tblGrid>
      <w:tr w:rsidR="00FD57F2" w:rsidRPr="00D46647" w14:paraId="00C9D2B6" w14:textId="77777777" w:rsidTr="007E3422">
        <w:tc>
          <w:tcPr>
            <w:tcW w:w="1598" w:type="pct"/>
            <w:shd w:val="clear" w:color="auto" w:fill="C6D9F1"/>
            <w:vAlign w:val="center"/>
          </w:tcPr>
          <w:p w14:paraId="7A7F6AF9"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Nom du projet</w:t>
            </w:r>
          </w:p>
        </w:tc>
        <w:tc>
          <w:tcPr>
            <w:tcW w:w="850" w:type="pct"/>
            <w:shd w:val="clear" w:color="auto" w:fill="C6D9F1"/>
            <w:vAlign w:val="center"/>
          </w:tcPr>
          <w:p w14:paraId="0537D19D"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1" w:type="pct"/>
            <w:shd w:val="clear" w:color="auto" w:fill="C6D9F1"/>
            <w:vAlign w:val="center"/>
          </w:tcPr>
          <w:p w14:paraId="497130F4"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1" w:type="pct"/>
            <w:shd w:val="clear" w:color="auto" w:fill="C6D9F1"/>
            <w:vAlign w:val="center"/>
          </w:tcPr>
          <w:p w14:paraId="166FCDF8"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0" w:type="pct"/>
            <w:shd w:val="clear" w:color="auto" w:fill="C6D9F1"/>
            <w:vAlign w:val="center"/>
          </w:tcPr>
          <w:p w14:paraId="5A3D67F4"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587FFA91" w14:textId="77777777" w:rsidTr="007E3422">
        <w:tc>
          <w:tcPr>
            <w:tcW w:w="1598" w:type="pct"/>
            <w:vAlign w:val="center"/>
          </w:tcPr>
          <w:p w14:paraId="59A54624" w14:textId="77777777" w:rsidR="00FD57F2" w:rsidRPr="00D46647" w:rsidRDefault="00FD57F2" w:rsidP="00FD57F2">
            <w:pPr>
              <w:keepNext/>
              <w:keepLines/>
              <w:autoSpaceDE w:val="0"/>
              <w:autoSpaceDN w:val="0"/>
              <w:adjustRightInd w:val="0"/>
              <w:rPr>
                <w:sz w:val="16"/>
                <w:szCs w:val="16"/>
              </w:rPr>
            </w:pPr>
            <w:r w:rsidRPr="00D46647">
              <w:rPr>
                <w:sz w:val="16"/>
              </w:rPr>
              <w:t>Rénovation des façades et de la climatisation du bâtiment du PCT (Plan-cadre d’équipement 3)</w:t>
            </w:r>
          </w:p>
        </w:tc>
        <w:tc>
          <w:tcPr>
            <w:tcW w:w="850" w:type="pct"/>
            <w:vAlign w:val="center"/>
          </w:tcPr>
          <w:p w14:paraId="3480AB7F" w14:textId="77777777" w:rsidR="00FD57F2" w:rsidRPr="00D46647" w:rsidRDefault="00FD57F2" w:rsidP="00FD57F2">
            <w:pPr>
              <w:keepNext/>
              <w:keepLines/>
              <w:autoSpaceDE w:val="0"/>
              <w:autoSpaceDN w:val="0"/>
              <w:adjustRightInd w:val="0"/>
              <w:jc w:val="center"/>
              <w:rPr>
                <w:sz w:val="16"/>
                <w:szCs w:val="16"/>
              </w:rPr>
            </w:pPr>
            <w:r w:rsidRPr="00D46647">
              <w:rPr>
                <w:sz w:val="16"/>
              </w:rPr>
              <w:t>6 000 000</w:t>
            </w:r>
          </w:p>
        </w:tc>
        <w:tc>
          <w:tcPr>
            <w:tcW w:w="851" w:type="pct"/>
            <w:vAlign w:val="center"/>
          </w:tcPr>
          <w:p w14:paraId="473FF2F7"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436 922</w:t>
            </w:r>
          </w:p>
        </w:tc>
        <w:tc>
          <w:tcPr>
            <w:tcW w:w="851" w:type="pct"/>
            <w:vAlign w:val="center"/>
          </w:tcPr>
          <w:p w14:paraId="7B58C0AC"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7,3%</w:t>
            </w:r>
          </w:p>
        </w:tc>
        <w:tc>
          <w:tcPr>
            <w:tcW w:w="850" w:type="pct"/>
            <w:vAlign w:val="center"/>
          </w:tcPr>
          <w:p w14:paraId="16E4899D"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20%</w:t>
            </w:r>
          </w:p>
        </w:tc>
      </w:tr>
    </w:tbl>
    <w:p w14:paraId="40BC5ECC" w14:textId="77777777" w:rsidR="00FD57F2" w:rsidRPr="00D46647" w:rsidRDefault="00FD57F2" w:rsidP="00FD57F2">
      <w:pPr>
        <w:rPr>
          <w:sz w:val="20"/>
        </w:rPr>
      </w:pPr>
    </w:p>
    <w:p w14:paraId="158D94F3" w14:textId="77777777" w:rsidR="00FD57F2" w:rsidRPr="00D46647" w:rsidRDefault="00FD57F2" w:rsidP="00FD57F2">
      <w:pPr>
        <w:rPr>
          <w:sz w:val="20"/>
        </w:rPr>
      </w:pPr>
    </w:p>
    <w:p w14:paraId="7397E3C6" w14:textId="77777777" w:rsidR="00FD57F2" w:rsidRPr="00D46647" w:rsidRDefault="00FD57F2" w:rsidP="00FD57F2">
      <w:pPr>
        <w:keepNext/>
        <w:keepLines/>
        <w:tabs>
          <w:tab w:val="left" w:pos="3261"/>
        </w:tabs>
        <w:autoSpaceDE w:val="0"/>
        <w:autoSpaceDN w:val="0"/>
        <w:adjustRightInd w:val="0"/>
        <w:jc w:val="center"/>
        <w:rPr>
          <w:b/>
          <w:szCs w:val="22"/>
        </w:rPr>
      </w:pPr>
      <w:r w:rsidRPr="00D46647">
        <w:rPr>
          <w:b/>
        </w:rPr>
        <w:t>Utilisation du budget du projet (par étape)</w:t>
      </w:r>
    </w:p>
    <w:p w14:paraId="250A174C"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0F2C7589" w14:textId="77777777" w:rsidR="00FD57F2" w:rsidRPr="00D46647" w:rsidRDefault="00FD57F2" w:rsidP="00FD57F2">
      <w:pPr>
        <w:keepNext/>
        <w:autoSpaceDE w:val="0"/>
        <w:autoSpaceDN w:val="0"/>
        <w:rPr>
          <w:sz w:val="16"/>
          <w:szCs w:val="16"/>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26"/>
        <w:gridCol w:w="1591"/>
        <w:gridCol w:w="1590"/>
        <w:gridCol w:w="1590"/>
        <w:gridCol w:w="1590"/>
      </w:tblGrid>
      <w:tr w:rsidR="00FD57F2" w:rsidRPr="00D46647" w14:paraId="2F04AA6E" w14:textId="77777777" w:rsidTr="007E3422">
        <w:tc>
          <w:tcPr>
            <w:tcW w:w="1575" w:type="pct"/>
            <w:shd w:val="clear" w:color="auto" w:fill="C6D9F1"/>
            <w:vAlign w:val="center"/>
          </w:tcPr>
          <w:p w14:paraId="37A5C1B7"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Étape principale</w:t>
            </w:r>
          </w:p>
        </w:tc>
        <w:tc>
          <w:tcPr>
            <w:tcW w:w="856" w:type="pct"/>
            <w:shd w:val="clear" w:color="auto" w:fill="C6D9F1"/>
            <w:vAlign w:val="center"/>
          </w:tcPr>
          <w:p w14:paraId="6D05651E"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6" w:type="pct"/>
            <w:shd w:val="clear" w:color="auto" w:fill="C6D9F1"/>
            <w:vAlign w:val="center"/>
          </w:tcPr>
          <w:p w14:paraId="03050F5C"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6" w:type="pct"/>
            <w:shd w:val="clear" w:color="auto" w:fill="C6D9F1"/>
            <w:vAlign w:val="center"/>
          </w:tcPr>
          <w:p w14:paraId="742AFFA1"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6" w:type="pct"/>
            <w:shd w:val="clear" w:color="auto" w:fill="C6D9F1"/>
            <w:vAlign w:val="center"/>
          </w:tcPr>
          <w:p w14:paraId="309DC112"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mise en œuvre par étape</w:t>
            </w:r>
          </w:p>
        </w:tc>
      </w:tr>
      <w:tr w:rsidR="00FD57F2" w:rsidRPr="00D46647" w14:paraId="136DE4E2" w14:textId="77777777" w:rsidTr="007E3422">
        <w:tc>
          <w:tcPr>
            <w:tcW w:w="1575" w:type="pct"/>
            <w:vAlign w:val="center"/>
          </w:tcPr>
          <w:p w14:paraId="610AFE19" w14:textId="77777777" w:rsidR="00FD57F2" w:rsidRPr="00D46647" w:rsidRDefault="00FD57F2" w:rsidP="00FD57F2">
            <w:pPr>
              <w:keepNext/>
              <w:keepLines/>
              <w:autoSpaceDE w:val="0"/>
              <w:autoSpaceDN w:val="0"/>
              <w:adjustRightInd w:val="0"/>
              <w:rPr>
                <w:sz w:val="16"/>
                <w:szCs w:val="16"/>
              </w:rPr>
            </w:pPr>
            <w:r w:rsidRPr="00D46647">
              <w:rPr>
                <w:sz w:val="16"/>
              </w:rPr>
              <w:t>Attribution du contrat pour le pilote/architecte</w:t>
            </w:r>
          </w:p>
        </w:tc>
        <w:tc>
          <w:tcPr>
            <w:tcW w:w="856" w:type="pct"/>
            <w:vAlign w:val="center"/>
          </w:tcPr>
          <w:p w14:paraId="7DC2F180"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124 000</w:t>
            </w:r>
          </w:p>
        </w:tc>
        <w:tc>
          <w:tcPr>
            <w:tcW w:w="856" w:type="pct"/>
            <w:vAlign w:val="center"/>
          </w:tcPr>
          <w:p w14:paraId="3AB7B556"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124 000</w:t>
            </w:r>
          </w:p>
        </w:tc>
        <w:tc>
          <w:tcPr>
            <w:tcW w:w="856" w:type="pct"/>
            <w:vAlign w:val="center"/>
          </w:tcPr>
          <w:p w14:paraId="34B4650E"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100%</w:t>
            </w:r>
          </w:p>
        </w:tc>
        <w:tc>
          <w:tcPr>
            <w:tcW w:w="856" w:type="pct"/>
            <w:vAlign w:val="center"/>
          </w:tcPr>
          <w:p w14:paraId="0795A880"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 xml:space="preserve">100% </w:t>
            </w:r>
          </w:p>
        </w:tc>
      </w:tr>
      <w:tr w:rsidR="00FD57F2" w:rsidRPr="00D46647" w14:paraId="7855475B" w14:textId="77777777" w:rsidTr="007E3422">
        <w:tc>
          <w:tcPr>
            <w:tcW w:w="1575" w:type="pct"/>
            <w:vAlign w:val="center"/>
          </w:tcPr>
          <w:p w14:paraId="79F27648" w14:textId="77777777" w:rsidR="00FD57F2" w:rsidRPr="00D46647" w:rsidRDefault="00FD57F2" w:rsidP="00FD57F2">
            <w:pPr>
              <w:keepNext/>
              <w:keepLines/>
              <w:autoSpaceDE w:val="0"/>
              <w:autoSpaceDN w:val="0"/>
              <w:adjustRightInd w:val="0"/>
              <w:rPr>
                <w:sz w:val="16"/>
                <w:szCs w:val="16"/>
              </w:rPr>
            </w:pPr>
            <w:r w:rsidRPr="00D46647">
              <w:rPr>
                <w:sz w:val="16"/>
              </w:rPr>
              <w:t>Attribution des contrats aux agents</w:t>
            </w:r>
          </w:p>
        </w:tc>
        <w:tc>
          <w:tcPr>
            <w:tcW w:w="856" w:type="pct"/>
            <w:vAlign w:val="center"/>
          </w:tcPr>
          <w:p w14:paraId="65B0B399"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900 000</w:t>
            </w:r>
          </w:p>
        </w:tc>
        <w:tc>
          <w:tcPr>
            <w:tcW w:w="856" w:type="pct"/>
            <w:vAlign w:val="center"/>
          </w:tcPr>
          <w:p w14:paraId="46E6CFC5"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97 490</w:t>
            </w:r>
          </w:p>
        </w:tc>
        <w:tc>
          <w:tcPr>
            <w:tcW w:w="856" w:type="pct"/>
            <w:vAlign w:val="center"/>
          </w:tcPr>
          <w:p w14:paraId="1FBD9495"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10,8%</w:t>
            </w:r>
          </w:p>
        </w:tc>
        <w:tc>
          <w:tcPr>
            <w:tcW w:w="856" w:type="pct"/>
            <w:vAlign w:val="center"/>
          </w:tcPr>
          <w:p w14:paraId="46F9CDB4"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100%</w:t>
            </w:r>
          </w:p>
        </w:tc>
      </w:tr>
      <w:tr w:rsidR="00FD57F2" w:rsidRPr="00D46647" w14:paraId="2266C78B" w14:textId="77777777" w:rsidTr="007E3422">
        <w:tc>
          <w:tcPr>
            <w:tcW w:w="1575" w:type="pct"/>
            <w:vAlign w:val="center"/>
          </w:tcPr>
          <w:p w14:paraId="7A9F6D82" w14:textId="77777777" w:rsidR="00FD57F2" w:rsidRPr="00D46647" w:rsidRDefault="00FD57F2" w:rsidP="00FD57F2">
            <w:pPr>
              <w:keepNext/>
              <w:keepLines/>
              <w:autoSpaceDE w:val="0"/>
              <w:autoSpaceDN w:val="0"/>
              <w:adjustRightInd w:val="0"/>
              <w:rPr>
                <w:sz w:val="16"/>
                <w:szCs w:val="16"/>
              </w:rPr>
            </w:pPr>
            <w:r w:rsidRPr="00D46647">
              <w:rPr>
                <w:sz w:val="16"/>
              </w:rPr>
              <w:t>Engagement ressources internes et externes</w:t>
            </w:r>
          </w:p>
        </w:tc>
        <w:tc>
          <w:tcPr>
            <w:tcW w:w="856" w:type="pct"/>
            <w:vAlign w:val="center"/>
          </w:tcPr>
          <w:p w14:paraId="51391361"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867 000</w:t>
            </w:r>
          </w:p>
        </w:tc>
        <w:tc>
          <w:tcPr>
            <w:tcW w:w="856" w:type="pct"/>
            <w:vAlign w:val="center"/>
          </w:tcPr>
          <w:p w14:paraId="15A95385"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211 634</w:t>
            </w:r>
          </w:p>
        </w:tc>
        <w:tc>
          <w:tcPr>
            <w:tcW w:w="856" w:type="pct"/>
            <w:vAlign w:val="center"/>
          </w:tcPr>
          <w:p w14:paraId="1BF5E2A5"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24,4%</w:t>
            </w:r>
          </w:p>
        </w:tc>
        <w:tc>
          <w:tcPr>
            <w:tcW w:w="856" w:type="pct"/>
            <w:vAlign w:val="center"/>
          </w:tcPr>
          <w:p w14:paraId="430498CD"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40%</w:t>
            </w:r>
          </w:p>
        </w:tc>
      </w:tr>
      <w:tr w:rsidR="00FD57F2" w:rsidRPr="00D46647" w14:paraId="1DCE0458" w14:textId="77777777" w:rsidTr="007E3422">
        <w:tc>
          <w:tcPr>
            <w:tcW w:w="1575" w:type="pct"/>
            <w:vAlign w:val="center"/>
          </w:tcPr>
          <w:p w14:paraId="5C01D585" w14:textId="77777777" w:rsidR="00FD57F2" w:rsidRPr="00D46647" w:rsidRDefault="00FD57F2" w:rsidP="00FD57F2">
            <w:pPr>
              <w:keepNext/>
              <w:keepLines/>
              <w:autoSpaceDE w:val="0"/>
              <w:autoSpaceDN w:val="0"/>
              <w:adjustRightInd w:val="0"/>
              <w:rPr>
                <w:sz w:val="16"/>
                <w:szCs w:val="16"/>
              </w:rPr>
            </w:pPr>
            <w:r w:rsidRPr="00D46647">
              <w:rPr>
                <w:sz w:val="16"/>
              </w:rPr>
              <w:t>Travaux et mise en service</w:t>
            </w:r>
          </w:p>
        </w:tc>
        <w:tc>
          <w:tcPr>
            <w:tcW w:w="856" w:type="pct"/>
            <w:vAlign w:val="center"/>
          </w:tcPr>
          <w:p w14:paraId="4D6927BB"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4 109 000</w:t>
            </w:r>
          </w:p>
        </w:tc>
        <w:tc>
          <w:tcPr>
            <w:tcW w:w="856" w:type="pct"/>
            <w:vAlign w:val="center"/>
          </w:tcPr>
          <w:p w14:paraId="562617A9"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3 798</w:t>
            </w:r>
          </w:p>
        </w:tc>
        <w:tc>
          <w:tcPr>
            <w:tcW w:w="856" w:type="pct"/>
            <w:vAlign w:val="center"/>
          </w:tcPr>
          <w:p w14:paraId="0E66895C"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0,1%</w:t>
            </w:r>
          </w:p>
        </w:tc>
        <w:tc>
          <w:tcPr>
            <w:tcW w:w="856" w:type="pct"/>
            <w:vAlign w:val="center"/>
          </w:tcPr>
          <w:p w14:paraId="0EB05588"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w:t>
            </w:r>
          </w:p>
        </w:tc>
      </w:tr>
      <w:tr w:rsidR="00FD57F2" w:rsidRPr="00D46647" w14:paraId="0DC68921" w14:textId="77777777" w:rsidTr="007E3422">
        <w:tc>
          <w:tcPr>
            <w:tcW w:w="1575" w:type="pct"/>
            <w:shd w:val="clear" w:color="auto" w:fill="C6D9F1"/>
            <w:vAlign w:val="center"/>
          </w:tcPr>
          <w:p w14:paraId="038977D1" w14:textId="77777777" w:rsidR="00FD57F2" w:rsidRPr="00D46647" w:rsidRDefault="00FD57F2" w:rsidP="00FD57F2">
            <w:pPr>
              <w:keepNext/>
              <w:keepLines/>
              <w:autoSpaceDE w:val="0"/>
              <w:autoSpaceDN w:val="0"/>
              <w:adjustRightInd w:val="0"/>
              <w:rPr>
                <w:b/>
                <w:sz w:val="16"/>
                <w:szCs w:val="16"/>
              </w:rPr>
            </w:pPr>
            <w:r w:rsidRPr="00D46647">
              <w:rPr>
                <w:b/>
                <w:sz w:val="16"/>
              </w:rPr>
              <w:t>Total</w:t>
            </w:r>
          </w:p>
        </w:tc>
        <w:tc>
          <w:tcPr>
            <w:tcW w:w="856" w:type="pct"/>
            <w:shd w:val="clear" w:color="auto" w:fill="C6D9F1"/>
            <w:vAlign w:val="center"/>
          </w:tcPr>
          <w:p w14:paraId="4BC64A37" w14:textId="77777777" w:rsidR="00FD57F2" w:rsidRPr="00D46647" w:rsidRDefault="00FD57F2" w:rsidP="00FD57F2">
            <w:pPr>
              <w:keepNext/>
              <w:keepLines/>
              <w:autoSpaceDE w:val="0"/>
              <w:autoSpaceDN w:val="0"/>
              <w:adjustRightInd w:val="0"/>
              <w:jc w:val="center"/>
              <w:rPr>
                <w:b/>
                <w:sz w:val="16"/>
                <w:szCs w:val="16"/>
              </w:rPr>
            </w:pPr>
            <w:r w:rsidRPr="00D46647">
              <w:rPr>
                <w:b/>
                <w:sz w:val="16"/>
                <w:szCs w:val="16"/>
              </w:rPr>
              <w:t>6 000 000</w:t>
            </w:r>
          </w:p>
        </w:tc>
        <w:tc>
          <w:tcPr>
            <w:tcW w:w="856" w:type="pct"/>
            <w:shd w:val="clear" w:color="auto" w:fill="C6D9F1"/>
            <w:vAlign w:val="center"/>
          </w:tcPr>
          <w:p w14:paraId="111A1027" w14:textId="77777777" w:rsidR="00FD57F2" w:rsidRPr="00D46647" w:rsidRDefault="00FD57F2" w:rsidP="00FD57F2">
            <w:pPr>
              <w:keepNext/>
              <w:keepLines/>
              <w:autoSpaceDE w:val="0"/>
              <w:autoSpaceDN w:val="0"/>
              <w:adjustRightInd w:val="0"/>
              <w:jc w:val="center"/>
              <w:rPr>
                <w:b/>
                <w:sz w:val="16"/>
                <w:szCs w:val="16"/>
              </w:rPr>
            </w:pPr>
            <w:r w:rsidRPr="00D46647">
              <w:rPr>
                <w:b/>
                <w:sz w:val="16"/>
                <w:szCs w:val="16"/>
              </w:rPr>
              <w:t>436 922</w:t>
            </w:r>
          </w:p>
        </w:tc>
        <w:tc>
          <w:tcPr>
            <w:tcW w:w="856" w:type="pct"/>
            <w:shd w:val="clear" w:color="auto" w:fill="C6D9F1"/>
            <w:vAlign w:val="center"/>
          </w:tcPr>
          <w:p w14:paraId="2FEA586C" w14:textId="77777777" w:rsidR="00FD57F2" w:rsidRPr="00D46647" w:rsidRDefault="00FD57F2" w:rsidP="00FD57F2">
            <w:pPr>
              <w:keepNext/>
              <w:keepLines/>
              <w:autoSpaceDE w:val="0"/>
              <w:autoSpaceDN w:val="0"/>
              <w:adjustRightInd w:val="0"/>
              <w:jc w:val="center"/>
              <w:rPr>
                <w:b/>
                <w:sz w:val="16"/>
                <w:szCs w:val="16"/>
              </w:rPr>
            </w:pPr>
            <w:r w:rsidRPr="00D46647">
              <w:rPr>
                <w:b/>
                <w:sz w:val="16"/>
                <w:szCs w:val="16"/>
              </w:rPr>
              <w:t>7,3%</w:t>
            </w:r>
          </w:p>
        </w:tc>
        <w:tc>
          <w:tcPr>
            <w:tcW w:w="856" w:type="pct"/>
            <w:shd w:val="clear" w:color="auto" w:fill="C6D9F1"/>
            <w:vAlign w:val="center"/>
          </w:tcPr>
          <w:p w14:paraId="4C4F002D" w14:textId="77777777" w:rsidR="00FD57F2" w:rsidRPr="00D46647" w:rsidRDefault="00FD57F2" w:rsidP="00FD57F2">
            <w:pPr>
              <w:keepNext/>
              <w:keepLines/>
              <w:autoSpaceDE w:val="0"/>
              <w:autoSpaceDN w:val="0"/>
              <w:adjustRightInd w:val="0"/>
              <w:jc w:val="center"/>
              <w:rPr>
                <w:b/>
                <w:sz w:val="16"/>
                <w:szCs w:val="16"/>
              </w:rPr>
            </w:pPr>
          </w:p>
        </w:tc>
      </w:tr>
    </w:tbl>
    <w:p w14:paraId="1487751B" w14:textId="77777777" w:rsidR="00FD57F2" w:rsidRPr="00D46647" w:rsidRDefault="00FD57F2" w:rsidP="00FD57F2">
      <w:pPr>
        <w:rPr>
          <w:sz w:val="20"/>
        </w:rPr>
      </w:pPr>
    </w:p>
    <w:p w14:paraId="2BA4568A" w14:textId="77777777" w:rsidR="00FD57F2" w:rsidRPr="00D46647" w:rsidRDefault="00FD57F2" w:rsidP="00FD57F2">
      <w:pPr>
        <w:rPr>
          <w:sz w:val="20"/>
        </w:rPr>
      </w:pPr>
    </w:p>
    <w:p w14:paraId="5A98BBC8" w14:textId="77777777" w:rsidR="00FD57F2" w:rsidRPr="00D46647" w:rsidRDefault="00FD57F2" w:rsidP="00FD57F2">
      <w:pPr>
        <w:spacing w:after="200" w:line="276" w:lineRule="auto"/>
        <w:rPr>
          <w:b/>
        </w:rPr>
      </w:pPr>
      <w:r w:rsidRPr="00D46647">
        <w:rPr>
          <w:b/>
        </w:rPr>
        <w:br w:type="page"/>
      </w:r>
    </w:p>
    <w:p w14:paraId="3068C4B8"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 (par catégorie de dépenses)</w:t>
      </w:r>
    </w:p>
    <w:p w14:paraId="3E4F913F"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0D8405E4" w14:textId="77777777" w:rsidR="00FD57F2" w:rsidRPr="00D46647" w:rsidRDefault="00FD57F2" w:rsidP="00FD57F2">
      <w:pPr>
        <w:keepNext/>
        <w:keepLines/>
        <w:autoSpaceDE w:val="0"/>
        <w:autoSpaceDN w:val="0"/>
        <w:adjustRightInd w:val="0"/>
        <w:jc w:val="cente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444"/>
        <w:gridCol w:w="1948"/>
        <w:gridCol w:w="1948"/>
        <w:gridCol w:w="1947"/>
      </w:tblGrid>
      <w:tr w:rsidR="00FD57F2" w:rsidRPr="00D46647" w14:paraId="58604984" w14:textId="77777777" w:rsidTr="007E3422">
        <w:tc>
          <w:tcPr>
            <w:tcW w:w="1854" w:type="pct"/>
            <w:shd w:val="clear" w:color="auto" w:fill="C6D9F1"/>
            <w:vAlign w:val="center"/>
          </w:tcPr>
          <w:p w14:paraId="1CE2B3CD"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Catégorie de dépenses</w:t>
            </w:r>
          </w:p>
        </w:tc>
        <w:tc>
          <w:tcPr>
            <w:tcW w:w="1049" w:type="pct"/>
            <w:shd w:val="clear" w:color="auto" w:fill="C6D9F1"/>
            <w:vAlign w:val="center"/>
          </w:tcPr>
          <w:p w14:paraId="40188D40"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Budget du projet</w:t>
            </w:r>
          </w:p>
        </w:tc>
        <w:tc>
          <w:tcPr>
            <w:tcW w:w="1049" w:type="pct"/>
            <w:shd w:val="clear" w:color="auto" w:fill="C6D9F1"/>
            <w:vAlign w:val="center"/>
          </w:tcPr>
          <w:p w14:paraId="08EF988F"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 xml:space="preserve">Dépenses effectives à ce jour </w:t>
            </w:r>
          </w:p>
        </w:tc>
        <w:tc>
          <w:tcPr>
            <w:tcW w:w="1048" w:type="pct"/>
            <w:shd w:val="clear" w:color="auto" w:fill="C6D9F1"/>
            <w:vAlign w:val="center"/>
          </w:tcPr>
          <w:p w14:paraId="6ABC644A" w14:textId="77777777" w:rsidR="00FD57F2" w:rsidRPr="00D46647" w:rsidRDefault="00FD57F2" w:rsidP="00FD57F2">
            <w:pPr>
              <w:keepNext/>
              <w:keepLines/>
              <w:autoSpaceDE w:val="0"/>
              <w:autoSpaceDN w:val="0"/>
              <w:adjustRightInd w:val="0"/>
              <w:jc w:val="center"/>
              <w:rPr>
                <w:b/>
                <w:bCs/>
                <w:sz w:val="16"/>
                <w:szCs w:val="16"/>
              </w:rPr>
            </w:pPr>
            <w:r w:rsidRPr="00D46647">
              <w:rPr>
                <w:b/>
                <w:sz w:val="16"/>
                <w:szCs w:val="16"/>
              </w:rPr>
              <w:t>Utilisation effective du budget</w:t>
            </w:r>
          </w:p>
        </w:tc>
      </w:tr>
      <w:tr w:rsidR="00FD57F2" w:rsidRPr="00D46647" w14:paraId="2AF9F680" w14:textId="77777777" w:rsidTr="007E3422">
        <w:tc>
          <w:tcPr>
            <w:tcW w:w="1854" w:type="pct"/>
            <w:vAlign w:val="center"/>
          </w:tcPr>
          <w:p w14:paraId="00F1369B" w14:textId="77777777" w:rsidR="00FD57F2" w:rsidRPr="00D46647" w:rsidRDefault="00FD57F2" w:rsidP="00FD57F2">
            <w:pPr>
              <w:autoSpaceDE w:val="0"/>
              <w:autoSpaceDN w:val="0"/>
              <w:adjustRightInd w:val="0"/>
              <w:rPr>
                <w:sz w:val="16"/>
                <w:szCs w:val="16"/>
              </w:rPr>
            </w:pPr>
            <w:r w:rsidRPr="00D46647">
              <w:rPr>
                <w:sz w:val="16"/>
                <w:szCs w:val="16"/>
              </w:rPr>
              <w:t>Dépenses relatives à la construction</w:t>
            </w:r>
          </w:p>
        </w:tc>
        <w:tc>
          <w:tcPr>
            <w:tcW w:w="1049" w:type="pct"/>
            <w:vAlign w:val="center"/>
          </w:tcPr>
          <w:p w14:paraId="40C89021"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3 569 000</w:t>
            </w:r>
          </w:p>
        </w:tc>
        <w:tc>
          <w:tcPr>
            <w:tcW w:w="1049" w:type="pct"/>
            <w:vAlign w:val="center"/>
          </w:tcPr>
          <w:p w14:paraId="694E2830"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w:t>
            </w:r>
          </w:p>
        </w:tc>
        <w:tc>
          <w:tcPr>
            <w:tcW w:w="1048" w:type="pct"/>
            <w:vAlign w:val="center"/>
          </w:tcPr>
          <w:p w14:paraId="7668BBCF"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w:t>
            </w:r>
          </w:p>
        </w:tc>
      </w:tr>
      <w:tr w:rsidR="00FD57F2" w:rsidRPr="00D46647" w14:paraId="6D11051B" w14:textId="77777777" w:rsidTr="007E3422">
        <w:tc>
          <w:tcPr>
            <w:tcW w:w="1854" w:type="pct"/>
            <w:vAlign w:val="center"/>
          </w:tcPr>
          <w:p w14:paraId="5272618B" w14:textId="77777777" w:rsidR="00FD57F2" w:rsidRPr="00D46647" w:rsidRDefault="00FD57F2" w:rsidP="00FD57F2">
            <w:pPr>
              <w:autoSpaceDE w:val="0"/>
              <w:autoSpaceDN w:val="0"/>
              <w:adjustRightInd w:val="0"/>
              <w:rPr>
                <w:sz w:val="16"/>
                <w:szCs w:val="16"/>
              </w:rPr>
            </w:pPr>
            <w:r w:rsidRPr="00D46647">
              <w:rPr>
                <w:sz w:val="16"/>
                <w:szCs w:val="16"/>
              </w:rPr>
              <w:t>Honoraires</w:t>
            </w:r>
          </w:p>
        </w:tc>
        <w:tc>
          <w:tcPr>
            <w:tcW w:w="1049" w:type="pct"/>
            <w:vAlign w:val="center"/>
          </w:tcPr>
          <w:p w14:paraId="0914F18F"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1 024 000</w:t>
            </w:r>
          </w:p>
        </w:tc>
        <w:tc>
          <w:tcPr>
            <w:tcW w:w="1049" w:type="pct"/>
            <w:vAlign w:val="center"/>
          </w:tcPr>
          <w:p w14:paraId="0383A92F" w14:textId="77777777" w:rsidR="00FD57F2" w:rsidRPr="00D46647" w:rsidRDefault="00FD57F2" w:rsidP="00FD57F2">
            <w:pPr>
              <w:jc w:val="center"/>
              <w:rPr>
                <w:sz w:val="16"/>
                <w:szCs w:val="16"/>
              </w:rPr>
            </w:pPr>
            <w:r w:rsidRPr="00D46647">
              <w:rPr>
                <w:sz w:val="16"/>
                <w:szCs w:val="16"/>
              </w:rPr>
              <w:t>221 490</w:t>
            </w:r>
          </w:p>
        </w:tc>
        <w:tc>
          <w:tcPr>
            <w:tcW w:w="1048" w:type="pct"/>
            <w:vAlign w:val="center"/>
          </w:tcPr>
          <w:p w14:paraId="6CFE2652" w14:textId="77777777" w:rsidR="00FD57F2" w:rsidRPr="00D46647" w:rsidRDefault="00FD57F2" w:rsidP="00FD57F2">
            <w:pPr>
              <w:jc w:val="center"/>
              <w:rPr>
                <w:sz w:val="16"/>
                <w:szCs w:val="16"/>
              </w:rPr>
            </w:pPr>
            <w:r w:rsidRPr="00D46647">
              <w:rPr>
                <w:sz w:val="16"/>
                <w:szCs w:val="16"/>
              </w:rPr>
              <w:t>21,6%</w:t>
            </w:r>
          </w:p>
        </w:tc>
      </w:tr>
      <w:tr w:rsidR="00FD57F2" w:rsidRPr="00D46647" w14:paraId="75B4FE4C" w14:textId="77777777" w:rsidTr="007E3422">
        <w:tc>
          <w:tcPr>
            <w:tcW w:w="1854" w:type="pct"/>
            <w:vAlign w:val="center"/>
          </w:tcPr>
          <w:p w14:paraId="40FDDD9C" w14:textId="77777777" w:rsidR="00FD57F2" w:rsidRPr="00D46647" w:rsidRDefault="00FD57F2" w:rsidP="00FD57F2">
            <w:pPr>
              <w:autoSpaceDE w:val="0"/>
              <w:autoSpaceDN w:val="0"/>
              <w:adjustRightInd w:val="0"/>
              <w:rPr>
                <w:sz w:val="16"/>
                <w:szCs w:val="16"/>
              </w:rPr>
            </w:pPr>
            <w:r w:rsidRPr="00D46647">
              <w:rPr>
                <w:sz w:val="16"/>
                <w:szCs w:val="16"/>
              </w:rPr>
              <w:t>Ressources internes et externes</w:t>
            </w:r>
          </w:p>
        </w:tc>
        <w:tc>
          <w:tcPr>
            <w:tcW w:w="1049" w:type="pct"/>
            <w:vAlign w:val="center"/>
          </w:tcPr>
          <w:p w14:paraId="662B8CCD"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867 000</w:t>
            </w:r>
          </w:p>
        </w:tc>
        <w:tc>
          <w:tcPr>
            <w:tcW w:w="1049" w:type="pct"/>
            <w:vAlign w:val="center"/>
          </w:tcPr>
          <w:p w14:paraId="2FC57A3A" w14:textId="77777777" w:rsidR="00FD57F2" w:rsidRPr="00D46647" w:rsidRDefault="00FD57F2" w:rsidP="00FD57F2">
            <w:pPr>
              <w:jc w:val="center"/>
              <w:rPr>
                <w:sz w:val="16"/>
                <w:szCs w:val="16"/>
              </w:rPr>
            </w:pPr>
            <w:r w:rsidRPr="00D46647">
              <w:rPr>
                <w:sz w:val="16"/>
                <w:szCs w:val="16"/>
              </w:rPr>
              <w:t>211 634</w:t>
            </w:r>
          </w:p>
        </w:tc>
        <w:tc>
          <w:tcPr>
            <w:tcW w:w="1048" w:type="pct"/>
            <w:vAlign w:val="center"/>
          </w:tcPr>
          <w:p w14:paraId="45EED02C" w14:textId="77777777" w:rsidR="00FD57F2" w:rsidRPr="00D46647" w:rsidRDefault="00FD57F2" w:rsidP="00FD57F2">
            <w:pPr>
              <w:jc w:val="center"/>
              <w:rPr>
                <w:sz w:val="16"/>
                <w:szCs w:val="16"/>
              </w:rPr>
            </w:pPr>
            <w:r w:rsidRPr="00D46647">
              <w:rPr>
                <w:sz w:val="16"/>
                <w:szCs w:val="16"/>
              </w:rPr>
              <w:t>24,4%</w:t>
            </w:r>
          </w:p>
        </w:tc>
      </w:tr>
      <w:tr w:rsidR="00FD57F2" w:rsidRPr="00D46647" w14:paraId="4C35A0F2" w14:textId="77777777" w:rsidTr="007E3422">
        <w:tc>
          <w:tcPr>
            <w:tcW w:w="1854" w:type="pct"/>
            <w:vAlign w:val="center"/>
          </w:tcPr>
          <w:p w14:paraId="3B8CB367" w14:textId="77777777" w:rsidR="00FD57F2" w:rsidRPr="00D46647" w:rsidRDefault="00FD57F2" w:rsidP="00FD57F2">
            <w:pPr>
              <w:autoSpaceDE w:val="0"/>
              <w:autoSpaceDN w:val="0"/>
              <w:adjustRightInd w:val="0"/>
              <w:rPr>
                <w:sz w:val="16"/>
                <w:szCs w:val="16"/>
              </w:rPr>
            </w:pPr>
            <w:r w:rsidRPr="00D46647">
              <w:rPr>
                <w:sz w:val="16"/>
                <w:szCs w:val="16"/>
              </w:rPr>
              <w:t>Taxes</w:t>
            </w:r>
          </w:p>
        </w:tc>
        <w:tc>
          <w:tcPr>
            <w:tcW w:w="1049" w:type="pct"/>
            <w:vAlign w:val="center"/>
          </w:tcPr>
          <w:p w14:paraId="1FCB51C2"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120 000</w:t>
            </w:r>
          </w:p>
        </w:tc>
        <w:tc>
          <w:tcPr>
            <w:tcW w:w="1049" w:type="pct"/>
            <w:vAlign w:val="center"/>
          </w:tcPr>
          <w:p w14:paraId="560C4310" w14:textId="77777777" w:rsidR="00FD57F2" w:rsidRPr="00D46647" w:rsidRDefault="00FD57F2" w:rsidP="00FD57F2">
            <w:pPr>
              <w:jc w:val="center"/>
              <w:rPr>
                <w:sz w:val="16"/>
                <w:szCs w:val="16"/>
              </w:rPr>
            </w:pPr>
            <w:r w:rsidRPr="00D46647">
              <w:rPr>
                <w:sz w:val="16"/>
                <w:szCs w:val="16"/>
              </w:rPr>
              <w:t>3 798</w:t>
            </w:r>
          </w:p>
        </w:tc>
        <w:tc>
          <w:tcPr>
            <w:tcW w:w="1048" w:type="pct"/>
            <w:vAlign w:val="center"/>
          </w:tcPr>
          <w:p w14:paraId="2F759082" w14:textId="77777777" w:rsidR="00FD57F2" w:rsidRPr="00D46647" w:rsidRDefault="00FD57F2" w:rsidP="00FD57F2">
            <w:pPr>
              <w:jc w:val="center"/>
              <w:rPr>
                <w:sz w:val="16"/>
                <w:szCs w:val="16"/>
              </w:rPr>
            </w:pPr>
            <w:r w:rsidRPr="00D46647">
              <w:rPr>
                <w:sz w:val="16"/>
                <w:szCs w:val="16"/>
              </w:rPr>
              <w:t>3,2%</w:t>
            </w:r>
          </w:p>
        </w:tc>
      </w:tr>
      <w:tr w:rsidR="00FD57F2" w:rsidRPr="00D46647" w14:paraId="44D3E1E4" w14:textId="77777777" w:rsidTr="007E3422">
        <w:tc>
          <w:tcPr>
            <w:tcW w:w="1854" w:type="pct"/>
            <w:vAlign w:val="center"/>
          </w:tcPr>
          <w:p w14:paraId="406C35F6" w14:textId="77777777" w:rsidR="00FD57F2" w:rsidRPr="00D46647" w:rsidRDefault="00FD57F2" w:rsidP="00FD57F2">
            <w:pPr>
              <w:autoSpaceDE w:val="0"/>
              <w:autoSpaceDN w:val="0"/>
              <w:adjustRightInd w:val="0"/>
              <w:rPr>
                <w:sz w:val="16"/>
                <w:szCs w:val="16"/>
              </w:rPr>
            </w:pPr>
            <w:r w:rsidRPr="00D46647">
              <w:rPr>
                <w:sz w:val="16"/>
                <w:szCs w:val="16"/>
              </w:rPr>
              <w:t>Divers et imprévus</w:t>
            </w:r>
          </w:p>
        </w:tc>
        <w:tc>
          <w:tcPr>
            <w:tcW w:w="1049" w:type="pct"/>
            <w:vAlign w:val="center"/>
          </w:tcPr>
          <w:p w14:paraId="125EF43D"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420 000</w:t>
            </w:r>
          </w:p>
        </w:tc>
        <w:tc>
          <w:tcPr>
            <w:tcW w:w="1049" w:type="pct"/>
            <w:vAlign w:val="center"/>
          </w:tcPr>
          <w:p w14:paraId="5FCC81C7" w14:textId="77777777" w:rsidR="00FD57F2" w:rsidRPr="00D46647" w:rsidRDefault="00FD57F2" w:rsidP="00FD57F2">
            <w:pPr>
              <w:jc w:val="center"/>
              <w:rPr>
                <w:sz w:val="16"/>
                <w:szCs w:val="16"/>
              </w:rPr>
            </w:pPr>
            <w:r w:rsidRPr="00D46647">
              <w:rPr>
                <w:sz w:val="16"/>
                <w:szCs w:val="16"/>
              </w:rPr>
              <w:t>–</w:t>
            </w:r>
          </w:p>
        </w:tc>
        <w:tc>
          <w:tcPr>
            <w:tcW w:w="1048" w:type="pct"/>
            <w:vAlign w:val="center"/>
          </w:tcPr>
          <w:p w14:paraId="439BA348" w14:textId="77777777" w:rsidR="00FD57F2" w:rsidRPr="00D46647" w:rsidRDefault="00FD57F2" w:rsidP="00FD57F2">
            <w:pPr>
              <w:jc w:val="center"/>
              <w:rPr>
                <w:sz w:val="16"/>
                <w:szCs w:val="16"/>
              </w:rPr>
            </w:pPr>
            <w:r w:rsidRPr="00D46647">
              <w:rPr>
                <w:sz w:val="16"/>
                <w:szCs w:val="16"/>
              </w:rPr>
              <w:t>–</w:t>
            </w:r>
          </w:p>
        </w:tc>
      </w:tr>
      <w:tr w:rsidR="00FD57F2" w:rsidRPr="00D46647" w14:paraId="47630279" w14:textId="77777777" w:rsidTr="007E3422">
        <w:tc>
          <w:tcPr>
            <w:tcW w:w="1854" w:type="pct"/>
            <w:shd w:val="clear" w:color="auto" w:fill="C6D9F1"/>
            <w:vAlign w:val="center"/>
          </w:tcPr>
          <w:p w14:paraId="0F8DAE6A" w14:textId="77777777" w:rsidR="00FD57F2" w:rsidRPr="00D46647" w:rsidRDefault="00FD57F2" w:rsidP="00FD57F2">
            <w:pPr>
              <w:autoSpaceDE w:val="0"/>
              <w:autoSpaceDN w:val="0"/>
              <w:adjustRightInd w:val="0"/>
              <w:rPr>
                <w:b/>
                <w:sz w:val="16"/>
                <w:szCs w:val="16"/>
              </w:rPr>
            </w:pPr>
            <w:r w:rsidRPr="00D46647">
              <w:rPr>
                <w:b/>
                <w:sz w:val="16"/>
                <w:szCs w:val="16"/>
              </w:rPr>
              <w:t>Total</w:t>
            </w:r>
          </w:p>
        </w:tc>
        <w:tc>
          <w:tcPr>
            <w:tcW w:w="1049" w:type="pct"/>
            <w:shd w:val="clear" w:color="auto" w:fill="C6D9F1"/>
            <w:vAlign w:val="center"/>
          </w:tcPr>
          <w:p w14:paraId="4968D008" w14:textId="77777777" w:rsidR="00FD57F2" w:rsidRPr="00D46647" w:rsidRDefault="00FD57F2" w:rsidP="00FD57F2">
            <w:pPr>
              <w:autoSpaceDE w:val="0"/>
              <w:autoSpaceDN w:val="0"/>
              <w:adjustRightInd w:val="0"/>
              <w:spacing w:line="260" w:lineRule="exact"/>
              <w:jc w:val="center"/>
              <w:rPr>
                <w:b/>
                <w:sz w:val="16"/>
                <w:szCs w:val="16"/>
              </w:rPr>
            </w:pPr>
            <w:r w:rsidRPr="00D46647">
              <w:rPr>
                <w:b/>
                <w:sz w:val="16"/>
                <w:szCs w:val="16"/>
              </w:rPr>
              <w:t>6 000 000</w:t>
            </w:r>
          </w:p>
        </w:tc>
        <w:tc>
          <w:tcPr>
            <w:tcW w:w="1049" w:type="pct"/>
            <w:shd w:val="clear" w:color="auto" w:fill="C6D9F1"/>
            <w:vAlign w:val="center"/>
          </w:tcPr>
          <w:p w14:paraId="55018D3C" w14:textId="77777777" w:rsidR="00FD57F2" w:rsidRPr="00D46647" w:rsidRDefault="00FD57F2" w:rsidP="00FD57F2">
            <w:pPr>
              <w:autoSpaceDE w:val="0"/>
              <w:autoSpaceDN w:val="0"/>
              <w:adjustRightInd w:val="0"/>
              <w:spacing w:line="260" w:lineRule="exact"/>
              <w:jc w:val="center"/>
              <w:rPr>
                <w:b/>
                <w:sz w:val="16"/>
                <w:szCs w:val="16"/>
              </w:rPr>
            </w:pPr>
            <w:r w:rsidRPr="00D46647">
              <w:rPr>
                <w:b/>
                <w:sz w:val="16"/>
                <w:szCs w:val="16"/>
              </w:rPr>
              <w:t>436 922</w:t>
            </w:r>
          </w:p>
        </w:tc>
        <w:tc>
          <w:tcPr>
            <w:tcW w:w="1048" w:type="pct"/>
            <w:shd w:val="clear" w:color="auto" w:fill="C6D9F1"/>
          </w:tcPr>
          <w:p w14:paraId="379417D4" w14:textId="77777777" w:rsidR="00FD57F2" w:rsidRPr="00D46647" w:rsidRDefault="00FD57F2" w:rsidP="00FD57F2">
            <w:pPr>
              <w:autoSpaceDE w:val="0"/>
              <w:autoSpaceDN w:val="0"/>
              <w:adjustRightInd w:val="0"/>
              <w:spacing w:line="260" w:lineRule="exact"/>
              <w:jc w:val="center"/>
              <w:rPr>
                <w:b/>
                <w:sz w:val="16"/>
                <w:szCs w:val="16"/>
              </w:rPr>
            </w:pPr>
            <w:r w:rsidRPr="00D46647">
              <w:rPr>
                <w:b/>
                <w:sz w:val="16"/>
                <w:szCs w:val="16"/>
              </w:rPr>
              <w:t>7,3%</w:t>
            </w:r>
          </w:p>
        </w:tc>
      </w:tr>
    </w:tbl>
    <w:p w14:paraId="3C62A95C" w14:textId="77777777" w:rsidR="00FD57F2" w:rsidRPr="00D46647" w:rsidRDefault="00FD57F2" w:rsidP="00FD57F2">
      <w:pPr>
        <w:rPr>
          <w:sz w:val="20"/>
        </w:rPr>
      </w:pPr>
    </w:p>
    <w:p w14:paraId="3007FA40" w14:textId="77777777" w:rsidR="00FD57F2" w:rsidRPr="00D46647" w:rsidRDefault="00FD57F2" w:rsidP="00FD57F2">
      <w:pPr>
        <w:rPr>
          <w:sz w:val="20"/>
        </w:rPr>
      </w:pPr>
    </w:p>
    <w:p w14:paraId="3D183C32" w14:textId="77777777" w:rsidR="00FD57F2" w:rsidRPr="00D46647" w:rsidRDefault="00FD57F2" w:rsidP="00FD57F2">
      <w:pPr>
        <w:rPr>
          <w:sz w:val="20"/>
        </w:rPr>
      </w:pPr>
      <w:r w:rsidRPr="00D46647">
        <w:rPr>
          <w:sz w:val="20"/>
        </w:rPr>
        <w:t>RISQUES ET STRATÉGIES D’ATTÉNUATION</w:t>
      </w:r>
    </w:p>
    <w:p w14:paraId="65CA26EC" w14:textId="4F196410" w:rsidR="00FD57F2" w:rsidRPr="00D46647" w:rsidRDefault="00FD57F2" w:rsidP="00FD57F2">
      <w:pPr>
        <w:rPr>
          <w:sz w:val="20"/>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7"/>
        <w:gridCol w:w="3096"/>
        <w:gridCol w:w="3094"/>
      </w:tblGrid>
      <w:tr w:rsidR="00FD57F2" w:rsidRPr="00D46647" w14:paraId="29F8E9E8" w14:textId="77777777" w:rsidTr="007E3422">
        <w:trPr>
          <w:tblHeader/>
          <w:jc w:val="center"/>
        </w:trPr>
        <w:tc>
          <w:tcPr>
            <w:tcW w:w="1667" w:type="pct"/>
            <w:shd w:val="clear" w:color="auto" w:fill="C6D9F1"/>
            <w:vAlign w:val="center"/>
          </w:tcPr>
          <w:p w14:paraId="174426FF" w14:textId="77777777" w:rsidR="00FD57F2" w:rsidRPr="00D46647" w:rsidRDefault="00FD57F2" w:rsidP="00FD57F2">
            <w:pPr>
              <w:autoSpaceDE w:val="0"/>
              <w:autoSpaceDN w:val="0"/>
              <w:adjustRightInd w:val="0"/>
              <w:jc w:val="center"/>
              <w:rPr>
                <w:b/>
                <w:bCs/>
                <w:sz w:val="16"/>
                <w:szCs w:val="16"/>
              </w:rPr>
            </w:pPr>
            <w:r w:rsidRPr="00D46647">
              <w:rPr>
                <w:b/>
                <w:sz w:val="16"/>
                <w:szCs w:val="16"/>
              </w:rPr>
              <w:t>Risques/</w:t>
            </w:r>
            <w:r w:rsidRPr="00D46647">
              <w:rPr>
                <w:b/>
                <w:bCs/>
                <w:iCs/>
                <w:sz w:val="16"/>
                <w:szCs w:val="16"/>
              </w:rPr>
              <w:t>Description des risques</w:t>
            </w:r>
          </w:p>
        </w:tc>
        <w:tc>
          <w:tcPr>
            <w:tcW w:w="1667" w:type="pct"/>
            <w:shd w:val="clear" w:color="auto" w:fill="C6D9F1"/>
            <w:vAlign w:val="center"/>
          </w:tcPr>
          <w:p w14:paraId="2C98B065" w14:textId="77777777" w:rsidR="00FD57F2" w:rsidRPr="00D46647" w:rsidRDefault="00FD57F2" w:rsidP="00FD57F2">
            <w:pPr>
              <w:autoSpaceDE w:val="0"/>
              <w:autoSpaceDN w:val="0"/>
              <w:adjustRightInd w:val="0"/>
              <w:jc w:val="center"/>
              <w:rPr>
                <w:b/>
                <w:bCs/>
                <w:sz w:val="16"/>
                <w:szCs w:val="16"/>
              </w:rPr>
            </w:pPr>
            <w:r w:rsidRPr="00D46647">
              <w:rPr>
                <w:b/>
                <w:sz w:val="16"/>
                <w:szCs w:val="16"/>
              </w:rPr>
              <w:t>Atténuation des risques</w:t>
            </w:r>
          </w:p>
        </w:tc>
        <w:tc>
          <w:tcPr>
            <w:tcW w:w="1666" w:type="pct"/>
            <w:shd w:val="clear" w:color="auto" w:fill="C6D9F1"/>
            <w:vAlign w:val="center"/>
          </w:tcPr>
          <w:p w14:paraId="78B3EF86" w14:textId="77777777" w:rsidR="00FD57F2" w:rsidRPr="00D46647" w:rsidRDefault="00FD57F2" w:rsidP="00FD57F2">
            <w:pPr>
              <w:autoSpaceDE w:val="0"/>
              <w:autoSpaceDN w:val="0"/>
              <w:adjustRightInd w:val="0"/>
              <w:jc w:val="center"/>
              <w:rPr>
                <w:b/>
                <w:bCs/>
                <w:sz w:val="16"/>
                <w:szCs w:val="16"/>
              </w:rPr>
            </w:pPr>
            <w:r w:rsidRPr="00D46647">
              <w:rPr>
                <w:b/>
                <w:bCs/>
                <w:sz w:val="16"/>
                <w:szCs w:val="16"/>
              </w:rPr>
              <w:t>Observation</w:t>
            </w:r>
          </w:p>
        </w:tc>
      </w:tr>
      <w:tr w:rsidR="00FD57F2" w:rsidRPr="00D46647" w14:paraId="0D23917D" w14:textId="77777777" w:rsidTr="007E3422">
        <w:trPr>
          <w:jc w:val="center"/>
        </w:trPr>
        <w:tc>
          <w:tcPr>
            <w:tcW w:w="1667" w:type="pct"/>
            <w:shd w:val="clear" w:color="auto" w:fill="auto"/>
          </w:tcPr>
          <w:p w14:paraId="4D323748" w14:textId="77777777" w:rsidR="00FD57F2" w:rsidRPr="00D46647" w:rsidRDefault="00FD57F2" w:rsidP="00FD57F2">
            <w:pPr>
              <w:autoSpaceDE w:val="0"/>
              <w:autoSpaceDN w:val="0"/>
              <w:adjustRightInd w:val="0"/>
              <w:rPr>
                <w:sz w:val="16"/>
                <w:szCs w:val="16"/>
                <w:highlight w:val="yellow"/>
              </w:rPr>
            </w:pPr>
            <w:r w:rsidRPr="00D46647">
              <w:rPr>
                <w:sz w:val="16"/>
                <w:szCs w:val="16"/>
              </w:rPr>
              <w:t>Retard dans le démarrage des travaux, étant donné que cela dépendra du temps nécessaire pour choisir la solution technique.</w:t>
            </w:r>
          </w:p>
        </w:tc>
        <w:tc>
          <w:tcPr>
            <w:tcW w:w="1667" w:type="pct"/>
            <w:shd w:val="clear" w:color="auto" w:fill="auto"/>
          </w:tcPr>
          <w:p w14:paraId="1A7FA25F" w14:textId="77777777" w:rsidR="00FD57F2" w:rsidRPr="00D46647" w:rsidRDefault="00FD57F2" w:rsidP="00FD57F2">
            <w:pPr>
              <w:autoSpaceDE w:val="0"/>
              <w:autoSpaceDN w:val="0"/>
              <w:adjustRightInd w:val="0"/>
              <w:rPr>
                <w:sz w:val="16"/>
                <w:szCs w:val="16"/>
                <w:highlight w:val="yellow"/>
              </w:rPr>
            </w:pPr>
            <w:r w:rsidRPr="00D46647">
              <w:rPr>
                <w:sz w:val="16"/>
                <w:szCs w:val="16"/>
              </w:rPr>
              <w:t>Modification du calendrier des travaux.</w:t>
            </w:r>
            <w:r w:rsidRPr="00D46647">
              <w:rPr>
                <w:sz w:val="16"/>
              </w:rPr>
              <w:t xml:space="preserve"> </w:t>
            </w:r>
            <w:r w:rsidRPr="00D46647">
              <w:rPr>
                <w:sz w:val="16"/>
                <w:szCs w:val="16"/>
              </w:rPr>
              <w:t xml:space="preserve"> </w:t>
            </w:r>
          </w:p>
        </w:tc>
        <w:tc>
          <w:tcPr>
            <w:tcW w:w="1666" w:type="pct"/>
            <w:shd w:val="clear" w:color="auto" w:fill="auto"/>
          </w:tcPr>
          <w:p w14:paraId="2D84C87E" w14:textId="77777777" w:rsidR="00FD57F2" w:rsidRPr="00D46647" w:rsidRDefault="00FD57F2" w:rsidP="00FD57F2">
            <w:pPr>
              <w:autoSpaceDE w:val="0"/>
              <w:autoSpaceDN w:val="0"/>
              <w:adjustRightInd w:val="0"/>
              <w:rPr>
                <w:sz w:val="16"/>
                <w:szCs w:val="16"/>
              </w:rPr>
            </w:pPr>
            <w:r w:rsidRPr="00D46647">
              <w:rPr>
                <w:sz w:val="16"/>
                <w:szCs w:val="16"/>
              </w:rPr>
              <w:t>La résiliation à l’amiable et d’un commun accord du contrat relatif au projet de nouvelle salle de conférence ayant pris plus de temps que prévu, le calendrier d’exécution du projet a été retardé, le démarrage des travaux initialement prévu pour le premier trimestre de 2017, comme précédemment indiqué, ayant été reporté au troisième trimestre de 2017.  Il n’y a eu aucune incidence concrète sur les résultats attendus du projet.</w:t>
            </w:r>
          </w:p>
          <w:p w14:paraId="5A0C432B" w14:textId="77777777" w:rsidR="00FD57F2" w:rsidRPr="00D46647" w:rsidRDefault="00FD57F2" w:rsidP="00FD57F2">
            <w:pPr>
              <w:autoSpaceDE w:val="0"/>
              <w:autoSpaceDN w:val="0"/>
              <w:adjustRightInd w:val="0"/>
              <w:rPr>
                <w:sz w:val="16"/>
                <w:szCs w:val="16"/>
              </w:rPr>
            </w:pPr>
          </w:p>
          <w:p w14:paraId="2379A7B5" w14:textId="77777777" w:rsidR="00FD57F2" w:rsidRPr="00D46647" w:rsidRDefault="00FD57F2" w:rsidP="00FD57F2">
            <w:pPr>
              <w:autoSpaceDE w:val="0"/>
              <w:autoSpaceDN w:val="0"/>
              <w:adjustRightInd w:val="0"/>
              <w:rPr>
                <w:i/>
                <w:sz w:val="16"/>
                <w:szCs w:val="16"/>
              </w:rPr>
            </w:pPr>
            <w:r w:rsidRPr="00D46647">
              <w:rPr>
                <w:i/>
                <w:sz w:val="16"/>
                <w:szCs w:val="16"/>
              </w:rPr>
              <w:t xml:space="preserve">Ce risque n’existe plus.  </w:t>
            </w:r>
          </w:p>
        </w:tc>
      </w:tr>
      <w:tr w:rsidR="00FD57F2" w:rsidRPr="00D46647" w14:paraId="20A4A1A6" w14:textId="77777777" w:rsidTr="007E3422">
        <w:trPr>
          <w:jc w:val="center"/>
        </w:trPr>
        <w:tc>
          <w:tcPr>
            <w:tcW w:w="1667" w:type="pct"/>
            <w:shd w:val="clear" w:color="auto" w:fill="auto"/>
          </w:tcPr>
          <w:p w14:paraId="28912DDF" w14:textId="7C479C60" w:rsidR="00FD57F2" w:rsidRPr="00D46647" w:rsidRDefault="00FD57F2" w:rsidP="00FD57F2">
            <w:pPr>
              <w:autoSpaceDE w:val="0"/>
              <w:autoSpaceDN w:val="0"/>
              <w:adjustRightInd w:val="0"/>
              <w:rPr>
                <w:b/>
                <w:bCs/>
                <w:sz w:val="16"/>
                <w:szCs w:val="16"/>
                <w:highlight w:val="yellow"/>
              </w:rPr>
            </w:pPr>
            <w:r w:rsidRPr="00D46647">
              <w:rPr>
                <w:sz w:val="16"/>
                <w:szCs w:val="16"/>
              </w:rPr>
              <w:t>Retard dans la mise en route des travaux de rénovation en fonction de la solution technique retenue ou de la logistique interne pour le déménagement des bureaux.</w:t>
            </w:r>
          </w:p>
        </w:tc>
        <w:tc>
          <w:tcPr>
            <w:tcW w:w="1667" w:type="pct"/>
            <w:shd w:val="clear" w:color="auto" w:fill="auto"/>
          </w:tcPr>
          <w:p w14:paraId="64998619" w14:textId="77777777" w:rsidR="00FD57F2" w:rsidRPr="00D46647" w:rsidRDefault="00FD57F2" w:rsidP="003F79BF">
            <w:pPr>
              <w:numPr>
                <w:ilvl w:val="0"/>
                <w:numId w:val="75"/>
              </w:numPr>
              <w:tabs>
                <w:tab w:val="left" w:pos="303"/>
              </w:tabs>
              <w:autoSpaceDE w:val="0"/>
              <w:autoSpaceDN w:val="0"/>
              <w:adjustRightInd w:val="0"/>
              <w:ind w:left="0" w:firstLine="0"/>
              <w:rPr>
                <w:sz w:val="16"/>
                <w:szCs w:val="16"/>
              </w:rPr>
            </w:pPr>
            <w:r w:rsidRPr="00D46647">
              <w:rPr>
                <w:sz w:val="16"/>
                <w:szCs w:val="16"/>
              </w:rPr>
              <w:t>Réexamen du choix de la solution technique à retenir.</w:t>
            </w:r>
          </w:p>
          <w:p w14:paraId="70BA4EDC" w14:textId="77777777" w:rsidR="00FD57F2" w:rsidRPr="00D46647" w:rsidRDefault="00FD57F2" w:rsidP="003F79BF">
            <w:pPr>
              <w:tabs>
                <w:tab w:val="left" w:pos="303"/>
              </w:tabs>
              <w:autoSpaceDE w:val="0"/>
              <w:autoSpaceDN w:val="0"/>
              <w:adjustRightInd w:val="0"/>
              <w:rPr>
                <w:sz w:val="16"/>
                <w:szCs w:val="16"/>
              </w:rPr>
            </w:pPr>
          </w:p>
          <w:p w14:paraId="36704FB3" w14:textId="77777777" w:rsidR="00FD57F2" w:rsidRPr="00D46647" w:rsidRDefault="00FD57F2" w:rsidP="003F79BF">
            <w:pPr>
              <w:numPr>
                <w:ilvl w:val="0"/>
                <w:numId w:val="75"/>
              </w:numPr>
              <w:tabs>
                <w:tab w:val="left" w:pos="303"/>
              </w:tabs>
              <w:autoSpaceDE w:val="0"/>
              <w:autoSpaceDN w:val="0"/>
              <w:adjustRightInd w:val="0"/>
              <w:ind w:left="0" w:firstLine="0"/>
              <w:rPr>
                <w:sz w:val="16"/>
                <w:szCs w:val="16"/>
              </w:rPr>
            </w:pPr>
            <w:r w:rsidRPr="00D46647">
              <w:rPr>
                <w:sz w:val="16"/>
                <w:szCs w:val="16"/>
              </w:rPr>
              <w:t>Réexamen pour compresser le calendrier.</w:t>
            </w:r>
          </w:p>
          <w:p w14:paraId="0DAE5096" w14:textId="77777777" w:rsidR="00FD57F2" w:rsidRPr="00D46647" w:rsidRDefault="00FD57F2" w:rsidP="003F79BF">
            <w:pPr>
              <w:tabs>
                <w:tab w:val="left" w:pos="303"/>
              </w:tabs>
              <w:autoSpaceDE w:val="0"/>
              <w:autoSpaceDN w:val="0"/>
              <w:adjustRightInd w:val="0"/>
              <w:rPr>
                <w:sz w:val="16"/>
                <w:szCs w:val="16"/>
              </w:rPr>
            </w:pPr>
          </w:p>
          <w:p w14:paraId="735633B3" w14:textId="77777777" w:rsidR="00FD57F2" w:rsidRPr="00D46647" w:rsidRDefault="00FD57F2" w:rsidP="003F79BF">
            <w:pPr>
              <w:numPr>
                <w:ilvl w:val="0"/>
                <w:numId w:val="75"/>
              </w:numPr>
              <w:tabs>
                <w:tab w:val="left" w:pos="303"/>
              </w:tabs>
              <w:autoSpaceDE w:val="0"/>
              <w:autoSpaceDN w:val="0"/>
              <w:adjustRightInd w:val="0"/>
              <w:ind w:left="0" w:firstLine="0"/>
              <w:rPr>
                <w:sz w:val="16"/>
                <w:szCs w:val="16"/>
              </w:rPr>
            </w:pPr>
            <w:r w:rsidRPr="00D46647">
              <w:rPr>
                <w:sz w:val="16"/>
                <w:szCs w:val="16"/>
              </w:rPr>
              <w:t>Anticipation avec PCT, IT, SSCS.</w:t>
            </w:r>
          </w:p>
        </w:tc>
        <w:tc>
          <w:tcPr>
            <w:tcW w:w="1666" w:type="pct"/>
            <w:shd w:val="clear" w:color="auto" w:fill="auto"/>
          </w:tcPr>
          <w:p w14:paraId="4D0A567C" w14:textId="77777777" w:rsidR="00FD57F2" w:rsidRPr="00D46647" w:rsidRDefault="00FD57F2" w:rsidP="00FD57F2">
            <w:pPr>
              <w:autoSpaceDE w:val="0"/>
              <w:autoSpaceDN w:val="0"/>
              <w:adjustRightInd w:val="0"/>
              <w:rPr>
                <w:sz w:val="16"/>
                <w:szCs w:val="16"/>
              </w:rPr>
            </w:pPr>
            <w:r w:rsidRPr="00D46647">
              <w:rPr>
                <w:sz w:val="16"/>
                <w:szCs w:val="16"/>
              </w:rPr>
              <w:t>Le calendrier détaillé de mise en œuvre comprend actuellement une quinzaine de séries répétitives déclinées comme suit : (i) faire déménager les membres du personnel des locaux qu’ils occupent et les installer dans des locaux transitoires aménagés spécialement;  (ii) procéder au remplacement des faux-plafonds;  (iii) réintégrer les membres du personnel dans leurs locaux d’origine après rénovation.  Un examen complexe et ardu de l’équilibre à trouver entre, d’une part, un déploiement de chantier optimal, en accord avec les solutions techniques sélectionnées, et, d’autre part, les priorités des pôles situés dans le bâtiment a permis d’aboutir à cette démarche.  Les travaux de façade n’entraveront pas l’occupation interne du bâtiment, même si l’accès autour du bâtiment sera parfois modifié voire réduit.</w:t>
            </w:r>
          </w:p>
        </w:tc>
      </w:tr>
      <w:tr w:rsidR="00FD57F2" w:rsidRPr="00D46647" w14:paraId="7BF697AB" w14:textId="77777777" w:rsidTr="007E3422">
        <w:trPr>
          <w:jc w:val="center"/>
        </w:trPr>
        <w:tc>
          <w:tcPr>
            <w:tcW w:w="1667" w:type="pct"/>
            <w:shd w:val="clear" w:color="auto" w:fill="auto"/>
          </w:tcPr>
          <w:p w14:paraId="66DA2589" w14:textId="77777777" w:rsidR="00FD57F2" w:rsidRPr="00D46647" w:rsidRDefault="00FD57F2" w:rsidP="00FD57F2">
            <w:pPr>
              <w:rPr>
                <w:sz w:val="16"/>
                <w:highlight w:val="yellow"/>
              </w:rPr>
            </w:pPr>
            <w:r w:rsidRPr="00D46647">
              <w:rPr>
                <w:sz w:val="16"/>
              </w:rPr>
              <w:t>Risque financier dû au coût inconnu de la solution technique à sélectionner.  Le coût du projet pourrait aussi être supérieur au budget approuvé en raison de la situation sur le marché de la construction pendant les appels d’offres concernant les entreprises en 2016.</w:t>
            </w:r>
          </w:p>
        </w:tc>
        <w:tc>
          <w:tcPr>
            <w:tcW w:w="1667" w:type="pct"/>
            <w:shd w:val="clear" w:color="auto" w:fill="auto"/>
          </w:tcPr>
          <w:p w14:paraId="59DED681" w14:textId="77777777" w:rsidR="00FD57F2" w:rsidRPr="00D46647" w:rsidRDefault="00FD57F2" w:rsidP="00FD57F2">
            <w:pPr>
              <w:autoSpaceDE w:val="0"/>
              <w:autoSpaceDN w:val="0"/>
              <w:adjustRightInd w:val="0"/>
              <w:rPr>
                <w:sz w:val="16"/>
                <w:szCs w:val="16"/>
                <w:highlight w:val="yellow"/>
              </w:rPr>
            </w:pPr>
            <w:r w:rsidRPr="00D46647">
              <w:rPr>
                <w:sz w:val="16"/>
                <w:szCs w:val="16"/>
              </w:rPr>
              <w:t>Examen du choix de la solution technique et suivi de la situation sur le marché de la construction – prévoir, le cas échéant, des clauses relatives à une atténuation des risques dans les contrats.</w:t>
            </w:r>
          </w:p>
        </w:tc>
        <w:tc>
          <w:tcPr>
            <w:tcW w:w="1666" w:type="pct"/>
            <w:shd w:val="clear" w:color="auto" w:fill="auto"/>
          </w:tcPr>
          <w:p w14:paraId="54D7F59E" w14:textId="77777777" w:rsidR="00FD57F2" w:rsidRPr="00D46647" w:rsidRDefault="00FD57F2" w:rsidP="00FD57F2">
            <w:pPr>
              <w:autoSpaceDE w:val="0"/>
              <w:autoSpaceDN w:val="0"/>
              <w:adjustRightInd w:val="0"/>
              <w:rPr>
                <w:sz w:val="16"/>
                <w:szCs w:val="16"/>
              </w:rPr>
            </w:pPr>
            <w:r w:rsidRPr="00D46647">
              <w:rPr>
                <w:sz w:val="16"/>
                <w:szCs w:val="16"/>
              </w:rPr>
              <w:t xml:space="preserve">Le RFP n’a pas encore été lancé.  Ce risque existe toujours.  </w:t>
            </w:r>
          </w:p>
        </w:tc>
      </w:tr>
      <w:tr w:rsidR="00FD57F2" w:rsidRPr="00D46647" w14:paraId="0564B835" w14:textId="77777777" w:rsidTr="007E3422">
        <w:trPr>
          <w:jc w:val="center"/>
        </w:trPr>
        <w:tc>
          <w:tcPr>
            <w:tcW w:w="1667" w:type="pct"/>
            <w:shd w:val="clear" w:color="auto" w:fill="auto"/>
          </w:tcPr>
          <w:p w14:paraId="3E258331" w14:textId="62471A64" w:rsidR="00FD57F2" w:rsidRPr="00D46647" w:rsidRDefault="00164A7F" w:rsidP="00FD57F2">
            <w:pPr>
              <w:autoSpaceDE w:val="0"/>
              <w:autoSpaceDN w:val="0"/>
              <w:adjustRightInd w:val="0"/>
              <w:rPr>
                <w:sz w:val="16"/>
                <w:szCs w:val="16"/>
              </w:rPr>
            </w:pPr>
            <w:r>
              <w:rPr>
                <w:noProof/>
                <w:lang w:val="en-US"/>
              </w:rPr>
              <w:drawing>
                <wp:anchor distT="0" distB="0" distL="114300" distR="114300" simplePos="0" relativeHeight="251679744" behindDoc="0" locked="0" layoutInCell="1" allowOverlap="1" wp14:anchorId="0F43BE43" wp14:editId="0D9BEFCA">
                  <wp:simplePos x="0" y="0"/>
                  <wp:positionH relativeFrom="column">
                    <wp:posOffset>-407759</wp:posOffset>
                  </wp:positionH>
                  <wp:positionV relativeFrom="paragraph">
                    <wp:posOffset>-45720</wp:posOffset>
                  </wp:positionV>
                  <wp:extent cx="291465" cy="285115"/>
                  <wp:effectExtent l="0" t="0" r="0" b="635"/>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1465" cy="285115"/>
                          </a:xfrm>
                          <a:prstGeom prst="rect">
                            <a:avLst/>
                          </a:prstGeom>
                        </pic:spPr>
                      </pic:pic>
                    </a:graphicData>
                  </a:graphic>
                  <wp14:sizeRelH relativeFrom="page">
                    <wp14:pctWidth>0</wp14:pctWidth>
                  </wp14:sizeRelH>
                  <wp14:sizeRelV relativeFrom="page">
                    <wp14:pctHeight>0</wp14:pctHeight>
                  </wp14:sizeRelV>
                </wp:anchor>
              </w:drawing>
            </w:r>
            <w:r w:rsidR="00FD57F2" w:rsidRPr="00D46647">
              <w:rPr>
                <w:sz w:val="16"/>
                <w:szCs w:val="16"/>
              </w:rPr>
              <w:t>Impossibilité de commencer les travaux avant fin 2017 en raison de l’indisponibilité des entreprises aux dates indiquées dans le calendrier du projet.</w:t>
            </w:r>
            <w:r w:rsidR="006F33D5">
              <w:rPr>
                <w:noProof/>
                <w:lang w:eastAsia="fr-FR"/>
              </w:rPr>
              <w:t xml:space="preserve"> </w:t>
            </w:r>
          </w:p>
        </w:tc>
        <w:tc>
          <w:tcPr>
            <w:tcW w:w="1667" w:type="pct"/>
            <w:shd w:val="clear" w:color="auto" w:fill="auto"/>
          </w:tcPr>
          <w:p w14:paraId="4026C33F" w14:textId="5AC8291A" w:rsidR="00FD57F2" w:rsidRPr="00D46647" w:rsidRDefault="00FD57F2" w:rsidP="003F79BF">
            <w:pPr>
              <w:numPr>
                <w:ilvl w:val="0"/>
                <w:numId w:val="75"/>
              </w:numPr>
              <w:tabs>
                <w:tab w:val="left" w:pos="303"/>
              </w:tabs>
              <w:autoSpaceDE w:val="0"/>
              <w:autoSpaceDN w:val="0"/>
              <w:adjustRightInd w:val="0"/>
              <w:ind w:left="0" w:firstLine="0"/>
              <w:rPr>
                <w:sz w:val="16"/>
                <w:szCs w:val="16"/>
              </w:rPr>
            </w:pPr>
            <w:r w:rsidRPr="00D46647">
              <w:rPr>
                <w:sz w:val="16"/>
                <w:szCs w:val="16"/>
              </w:rPr>
              <w:t>Révision du calendrier, des dispositions contractuelles;</w:t>
            </w:r>
          </w:p>
          <w:p w14:paraId="2A1D1690" w14:textId="596422CB" w:rsidR="00FD57F2" w:rsidRPr="00D46647" w:rsidRDefault="00FD57F2" w:rsidP="003F79BF">
            <w:pPr>
              <w:numPr>
                <w:ilvl w:val="0"/>
                <w:numId w:val="75"/>
              </w:numPr>
              <w:tabs>
                <w:tab w:val="left" w:pos="303"/>
              </w:tabs>
              <w:autoSpaceDE w:val="0"/>
              <w:autoSpaceDN w:val="0"/>
              <w:adjustRightInd w:val="0"/>
              <w:ind w:left="0" w:firstLine="0"/>
              <w:rPr>
                <w:sz w:val="16"/>
                <w:szCs w:val="16"/>
              </w:rPr>
            </w:pPr>
            <w:r w:rsidRPr="00D46647">
              <w:rPr>
                <w:sz w:val="16"/>
                <w:szCs w:val="16"/>
              </w:rPr>
              <w:t>Évaluation du retard que prendront les étapes de mise en œuvre ainsi que des coûts supplémentaires potentiels.</w:t>
            </w:r>
          </w:p>
        </w:tc>
        <w:tc>
          <w:tcPr>
            <w:tcW w:w="1666" w:type="pct"/>
            <w:shd w:val="clear" w:color="auto" w:fill="auto"/>
          </w:tcPr>
          <w:p w14:paraId="38F76183" w14:textId="77777777" w:rsidR="00FD57F2" w:rsidRPr="00D46647" w:rsidRDefault="00FD57F2" w:rsidP="00FD57F2">
            <w:pPr>
              <w:autoSpaceDE w:val="0"/>
              <w:autoSpaceDN w:val="0"/>
              <w:adjustRightInd w:val="0"/>
              <w:rPr>
                <w:sz w:val="16"/>
                <w:szCs w:val="16"/>
              </w:rPr>
            </w:pPr>
            <w:r w:rsidRPr="00D46647">
              <w:rPr>
                <w:sz w:val="16"/>
                <w:szCs w:val="16"/>
              </w:rPr>
              <w:t>Le canton de Genève est actuellement saturé de constructions, les principaux chantiers de construction concernant d’autres agences des Nations Unies ou d’autres grandes OIG;  les autres grands chantiers sont des chantiers de construction de bâtiments publics et privés et de logements.</w:t>
            </w:r>
          </w:p>
        </w:tc>
      </w:tr>
      <w:tr w:rsidR="00FD57F2" w:rsidRPr="001303B4" w14:paraId="53EE39A9" w14:textId="77777777" w:rsidTr="007E3422">
        <w:trPr>
          <w:jc w:val="center"/>
        </w:trPr>
        <w:tc>
          <w:tcPr>
            <w:tcW w:w="1667" w:type="pct"/>
            <w:shd w:val="clear" w:color="auto" w:fill="auto"/>
          </w:tcPr>
          <w:p w14:paraId="03FB8606" w14:textId="0656FE9B" w:rsidR="00FD57F2" w:rsidRPr="001303B4" w:rsidRDefault="00164A7F" w:rsidP="00FD57F2">
            <w:pPr>
              <w:autoSpaceDE w:val="0"/>
              <w:autoSpaceDN w:val="0"/>
              <w:adjustRightInd w:val="0"/>
              <w:rPr>
                <w:sz w:val="16"/>
                <w:szCs w:val="16"/>
              </w:rPr>
            </w:pPr>
            <w:r>
              <w:rPr>
                <w:noProof/>
                <w:lang w:val="en-US"/>
              </w:rPr>
              <w:drawing>
                <wp:anchor distT="0" distB="0" distL="114300" distR="114300" simplePos="0" relativeHeight="251677696" behindDoc="0" locked="0" layoutInCell="1" allowOverlap="1" wp14:anchorId="527239DA" wp14:editId="50ADA6F4">
                  <wp:simplePos x="0" y="0"/>
                  <wp:positionH relativeFrom="column">
                    <wp:posOffset>-451994</wp:posOffset>
                  </wp:positionH>
                  <wp:positionV relativeFrom="paragraph">
                    <wp:posOffset>-8595</wp:posOffset>
                  </wp:positionV>
                  <wp:extent cx="291465" cy="285115"/>
                  <wp:effectExtent l="0" t="0" r="0" b="635"/>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1465" cy="285115"/>
                          </a:xfrm>
                          <a:prstGeom prst="rect">
                            <a:avLst/>
                          </a:prstGeom>
                        </pic:spPr>
                      </pic:pic>
                    </a:graphicData>
                  </a:graphic>
                  <wp14:sizeRelH relativeFrom="page">
                    <wp14:pctWidth>0</wp14:pctWidth>
                  </wp14:sizeRelH>
                  <wp14:sizeRelV relativeFrom="page">
                    <wp14:pctHeight>0</wp14:pctHeight>
                  </wp14:sizeRelV>
                </wp:anchor>
              </w:drawing>
            </w:r>
            <w:r w:rsidR="00FD57F2" w:rsidRPr="001303B4">
              <w:rPr>
                <w:sz w:val="16"/>
                <w:szCs w:val="16"/>
              </w:rPr>
              <w:t>Difficultés imprévues découvertes au moment de l’ouverture du chantier ou du démontage d’équipements, d’installations ou de conduits existants.</w:t>
            </w:r>
          </w:p>
        </w:tc>
        <w:tc>
          <w:tcPr>
            <w:tcW w:w="1667" w:type="pct"/>
            <w:shd w:val="clear" w:color="auto" w:fill="auto"/>
          </w:tcPr>
          <w:p w14:paraId="63515391" w14:textId="1AAE41B7" w:rsidR="00FD57F2" w:rsidRPr="001303B4" w:rsidRDefault="00FD57F2" w:rsidP="003F79BF">
            <w:pPr>
              <w:numPr>
                <w:ilvl w:val="0"/>
                <w:numId w:val="75"/>
              </w:numPr>
              <w:tabs>
                <w:tab w:val="left" w:pos="303"/>
              </w:tabs>
              <w:autoSpaceDE w:val="0"/>
              <w:autoSpaceDN w:val="0"/>
              <w:adjustRightInd w:val="0"/>
              <w:ind w:left="0" w:firstLine="0"/>
              <w:rPr>
                <w:sz w:val="16"/>
                <w:szCs w:val="16"/>
              </w:rPr>
            </w:pPr>
            <w:r w:rsidRPr="001303B4">
              <w:rPr>
                <w:sz w:val="16"/>
                <w:szCs w:val="16"/>
              </w:rPr>
              <w:t>Évaluation de la nécessité d’interrompre les travaux et de l’ampleur de l’interruption des travaux;</w:t>
            </w:r>
          </w:p>
          <w:p w14:paraId="41FFD524" w14:textId="098DE23E" w:rsidR="00FD57F2" w:rsidRPr="001303B4" w:rsidRDefault="00FD57F2" w:rsidP="003F79BF">
            <w:pPr>
              <w:numPr>
                <w:ilvl w:val="0"/>
                <w:numId w:val="75"/>
              </w:numPr>
              <w:tabs>
                <w:tab w:val="left" w:pos="303"/>
              </w:tabs>
              <w:autoSpaceDE w:val="0"/>
              <w:autoSpaceDN w:val="0"/>
              <w:adjustRightInd w:val="0"/>
              <w:ind w:left="0" w:firstLine="0"/>
              <w:rPr>
                <w:sz w:val="16"/>
                <w:szCs w:val="16"/>
              </w:rPr>
            </w:pPr>
            <w:r w:rsidRPr="001303B4">
              <w:rPr>
                <w:sz w:val="16"/>
                <w:szCs w:val="16"/>
              </w:rPr>
              <w:t>Évaluation des réparations/remplacements qui pourraient se révéler nécessaires;</w:t>
            </w:r>
          </w:p>
          <w:p w14:paraId="0EA09C66" w14:textId="14888378" w:rsidR="00FD57F2" w:rsidRPr="001303B4" w:rsidRDefault="00FD57F2" w:rsidP="003F79BF">
            <w:pPr>
              <w:numPr>
                <w:ilvl w:val="0"/>
                <w:numId w:val="75"/>
              </w:numPr>
              <w:tabs>
                <w:tab w:val="left" w:pos="303"/>
              </w:tabs>
              <w:autoSpaceDE w:val="0"/>
              <w:autoSpaceDN w:val="0"/>
              <w:adjustRightInd w:val="0"/>
              <w:ind w:left="0" w:firstLine="0"/>
              <w:rPr>
                <w:sz w:val="16"/>
                <w:szCs w:val="16"/>
              </w:rPr>
            </w:pPr>
            <w:r w:rsidRPr="001303B4">
              <w:rPr>
                <w:sz w:val="16"/>
                <w:szCs w:val="16"/>
              </w:rPr>
              <w:t>Exécution de l’ensemble des réparations/remplacements requis;</w:t>
            </w:r>
          </w:p>
          <w:p w14:paraId="429CB21F" w14:textId="271DBD56" w:rsidR="00FD57F2" w:rsidRPr="001303B4" w:rsidRDefault="00FD57F2" w:rsidP="003F79BF">
            <w:pPr>
              <w:numPr>
                <w:ilvl w:val="0"/>
                <w:numId w:val="75"/>
              </w:numPr>
              <w:tabs>
                <w:tab w:val="left" w:pos="303"/>
              </w:tabs>
              <w:autoSpaceDE w:val="0"/>
              <w:autoSpaceDN w:val="0"/>
              <w:adjustRightInd w:val="0"/>
              <w:ind w:left="0" w:firstLine="0"/>
              <w:rPr>
                <w:sz w:val="16"/>
                <w:szCs w:val="16"/>
              </w:rPr>
            </w:pPr>
            <w:r w:rsidRPr="001303B4">
              <w:rPr>
                <w:sz w:val="16"/>
                <w:szCs w:val="16"/>
              </w:rPr>
              <w:t>Mise à jour du calendrier si nécessaire.</w:t>
            </w:r>
          </w:p>
        </w:tc>
        <w:tc>
          <w:tcPr>
            <w:tcW w:w="1666" w:type="pct"/>
            <w:shd w:val="clear" w:color="auto" w:fill="auto"/>
          </w:tcPr>
          <w:p w14:paraId="106A2A87" w14:textId="77777777" w:rsidR="00FD57F2" w:rsidRPr="001303B4" w:rsidRDefault="00FD57F2" w:rsidP="00FD57F2">
            <w:pPr>
              <w:autoSpaceDE w:val="0"/>
              <w:autoSpaceDN w:val="0"/>
              <w:adjustRightInd w:val="0"/>
              <w:rPr>
                <w:sz w:val="16"/>
                <w:szCs w:val="16"/>
              </w:rPr>
            </w:pPr>
          </w:p>
        </w:tc>
      </w:tr>
    </w:tbl>
    <w:p w14:paraId="7526E035" w14:textId="77777777" w:rsidR="00FD57F2" w:rsidRPr="00D46647" w:rsidRDefault="00FD57F2" w:rsidP="00FD57F2">
      <w:pPr>
        <w:rPr>
          <w:sz w:val="20"/>
        </w:rPr>
      </w:pPr>
    </w:p>
    <w:p w14:paraId="6F744CF5" w14:textId="77777777" w:rsidR="00FD57F2" w:rsidRPr="00D46647" w:rsidRDefault="00FD57F2" w:rsidP="00FD57F2">
      <w:pPr>
        <w:rPr>
          <w:sz w:val="20"/>
        </w:rPr>
      </w:pPr>
      <w:r w:rsidRPr="00D46647">
        <w:rPr>
          <w:sz w:val="20"/>
        </w:rPr>
        <w:t>CALENDRIER DU PROJET PAR ÉTAPE</w:t>
      </w:r>
    </w:p>
    <w:p w14:paraId="5BB94F02" w14:textId="77777777" w:rsidR="00FD57F2" w:rsidRPr="00D46647" w:rsidRDefault="00FD57F2" w:rsidP="00FD57F2">
      <w:pPr>
        <w:autoSpaceDE w:val="0"/>
        <w:autoSpaceDN w:val="0"/>
        <w:jc w:val="both"/>
        <w:rPr>
          <w:sz w:val="20"/>
        </w:rPr>
      </w:pPr>
    </w:p>
    <w:p w14:paraId="6F18F13E" w14:textId="77777777" w:rsidR="00FD57F2" w:rsidRPr="00D46647" w:rsidRDefault="00FD57F2" w:rsidP="00FD57F2">
      <w:pPr>
        <w:autoSpaceDE w:val="0"/>
        <w:autoSpaceDN w:val="0"/>
        <w:jc w:val="both"/>
        <w:rPr>
          <w:sz w:val="20"/>
        </w:rPr>
      </w:pPr>
    </w:p>
    <w:tbl>
      <w:tblPr>
        <w:tblW w:w="5061"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bottom w:w="57" w:type="dxa"/>
        </w:tblCellMar>
        <w:tblLook w:val="04A0" w:firstRow="1" w:lastRow="0" w:firstColumn="1" w:lastColumn="0" w:noHBand="0" w:noVBand="1"/>
      </w:tblPr>
      <w:tblGrid>
        <w:gridCol w:w="1779"/>
        <w:gridCol w:w="341"/>
        <w:gridCol w:w="342"/>
        <w:gridCol w:w="342"/>
        <w:gridCol w:w="342"/>
        <w:gridCol w:w="342"/>
        <w:gridCol w:w="341"/>
        <w:gridCol w:w="390"/>
        <w:gridCol w:w="292"/>
        <w:gridCol w:w="417"/>
        <w:gridCol w:w="378"/>
        <w:gridCol w:w="341"/>
        <w:gridCol w:w="341"/>
        <w:gridCol w:w="341"/>
        <w:gridCol w:w="341"/>
        <w:gridCol w:w="341"/>
        <w:gridCol w:w="341"/>
        <w:gridCol w:w="341"/>
        <w:gridCol w:w="341"/>
        <w:gridCol w:w="341"/>
        <w:gridCol w:w="341"/>
        <w:gridCol w:w="341"/>
        <w:gridCol w:w="343"/>
      </w:tblGrid>
      <w:tr w:rsidR="00FD57F2" w:rsidRPr="00D46647" w14:paraId="095298BC" w14:textId="77777777" w:rsidTr="007E3422">
        <w:trPr>
          <w:jc w:val="center"/>
        </w:trPr>
        <w:tc>
          <w:tcPr>
            <w:tcW w:w="1779" w:type="dxa"/>
            <w:tcBorders>
              <w:top w:val="nil"/>
              <w:left w:val="nil"/>
            </w:tcBorders>
            <w:shd w:val="clear" w:color="auto" w:fill="auto"/>
            <w:noWrap/>
            <w:vAlign w:val="bottom"/>
            <w:hideMark/>
          </w:tcPr>
          <w:p w14:paraId="2AEBB87B" w14:textId="77777777" w:rsidR="00FD57F2" w:rsidRPr="00D46647" w:rsidRDefault="00FD57F2" w:rsidP="00FD57F2">
            <w:pPr>
              <w:rPr>
                <w:sz w:val="16"/>
                <w:szCs w:val="16"/>
              </w:rPr>
            </w:pPr>
          </w:p>
        </w:tc>
        <w:tc>
          <w:tcPr>
            <w:tcW w:w="1367" w:type="dxa"/>
            <w:gridSpan w:val="4"/>
            <w:shd w:val="clear" w:color="auto" w:fill="C6D9F1"/>
            <w:noWrap/>
            <w:tcMar>
              <w:left w:w="108" w:type="dxa"/>
              <w:right w:w="108" w:type="dxa"/>
            </w:tcMar>
            <w:vAlign w:val="bottom"/>
            <w:hideMark/>
          </w:tcPr>
          <w:p w14:paraId="3011222C" w14:textId="77777777" w:rsidR="00FD57F2" w:rsidRPr="00D46647" w:rsidRDefault="00FD57F2" w:rsidP="00FD57F2">
            <w:pPr>
              <w:jc w:val="center"/>
              <w:rPr>
                <w:b/>
                <w:bCs/>
                <w:sz w:val="16"/>
                <w:szCs w:val="16"/>
              </w:rPr>
            </w:pPr>
            <w:r w:rsidRPr="00D46647">
              <w:rPr>
                <w:b/>
                <w:sz w:val="16"/>
              </w:rPr>
              <w:t>2014</w:t>
            </w:r>
          </w:p>
        </w:tc>
        <w:tc>
          <w:tcPr>
            <w:tcW w:w="1365" w:type="dxa"/>
            <w:gridSpan w:val="4"/>
            <w:shd w:val="clear" w:color="auto" w:fill="C6D9F1"/>
            <w:vAlign w:val="bottom"/>
          </w:tcPr>
          <w:p w14:paraId="1C58C382" w14:textId="77777777" w:rsidR="00FD57F2" w:rsidRPr="00D46647" w:rsidRDefault="00FD57F2" w:rsidP="00FD57F2">
            <w:pPr>
              <w:jc w:val="center"/>
              <w:rPr>
                <w:b/>
                <w:bCs/>
                <w:sz w:val="16"/>
                <w:szCs w:val="16"/>
              </w:rPr>
            </w:pPr>
            <w:r w:rsidRPr="00D46647">
              <w:rPr>
                <w:b/>
                <w:sz w:val="16"/>
              </w:rPr>
              <w:t>2015</w:t>
            </w:r>
          </w:p>
        </w:tc>
        <w:tc>
          <w:tcPr>
            <w:tcW w:w="1477" w:type="dxa"/>
            <w:gridSpan w:val="4"/>
            <w:shd w:val="clear" w:color="auto" w:fill="C6D9F1"/>
            <w:vAlign w:val="bottom"/>
          </w:tcPr>
          <w:p w14:paraId="14511DAF" w14:textId="77777777" w:rsidR="00FD57F2" w:rsidRPr="00D46647" w:rsidRDefault="00FD57F2" w:rsidP="00FD57F2">
            <w:pPr>
              <w:jc w:val="center"/>
              <w:rPr>
                <w:b/>
                <w:bCs/>
                <w:sz w:val="16"/>
                <w:szCs w:val="16"/>
              </w:rPr>
            </w:pPr>
            <w:r w:rsidRPr="00D46647">
              <w:rPr>
                <w:b/>
                <w:sz w:val="16"/>
              </w:rPr>
              <w:t>2016</w:t>
            </w:r>
          </w:p>
        </w:tc>
        <w:tc>
          <w:tcPr>
            <w:tcW w:w="1364" w:type="dxa"/>
            <w:gridSpan w:val="4"/>
            <w:shd w:val="clear" w:color="auto" w:fill="C6D9F1"/>
            <w:vAlign w:val="bottom"/>
          </w:tcPr>
          <w:p w14:paraId="06EC72AF" w14:textId="77777777" w:rsidR="00FD57F2" w:rsidRPr="00D46647" w:rsidRDefault="00FD57F2" w:rsidP="00FD57F2">
            <w:pPr>
              <w:jc w:val="center"/>
              <w:rPr>
                <w:b/>
                <w:bCs/>
                <w:sz w:val="16"/>
                <w:szCs w:val="16"/>
              </w:rPr>
            </w:pPr>
            <w:r w:rsidRPr="00D46647">
              <w:rPr>
                <w:b/>
                <w:sz w:val="16"/>
              </w:rPr>
              <w:t>2017</w:t>
            </w:r>
          </w:p>
        </w:tc>
        <w:tc>
          <w:tcPr>
            <w:tcW w:w="1364" w:type="dxa"/>
            <w:gridSpan w:val="4"/>
            <w:shd w:val="clear" w:color="auto" w:fill="C6D9F1"/>
            <w:vAlign w:val="bottom"/>
          </w:tcPr>
          <w:p w14:paraId="37F84837" w14:textId="77777777" w:rsidR="00FD57F2" w:rsidRPr="00D46647" w:rsidRDefault="00FD57F2" w:rsidP="00FD57F2">
            <w:pPr>
              <w:jc w:val="center"/>
              <w:rPr>
                <w:b/>
                <w:bCs/>
                <w:sz w:val="16"/>
                <w:szCs w:val="16"/>
              </w:rPr>
            </w:pPr>
            <w:r w:rsidRPr="00D46647">
              <w:rPr>
                <w:b/>
                <w:sz w:val="16"/>
              </w:rPr>
              <w:t>2018</w:t>
            </w:r>
          </w:p>
        </w:tc>
        <w:tc>
          <w:tcPr>
            <w:tcW w:w="684" w:type="dxa"/>
            <w:gridSpan w:val="2"/>
            <w:shd w:val="clear" w:color="auto" w:fill="C6D9F1"/>
          </w:tcPr>
          <w:p w14:paraId="4AF73900" w14:textId="77777777" w:rsidR="00FD57F2" w:rsidRPr="00D46647" w:rsidRDefault="00FD57F2" w:rsidP="00FD57F2">
            <w:pPr>
              <w:jc w:val="center"/>
              <w:rPr>
                <w:b/>
                <w:sz w:val="16"/>
              </w:rPr>
            </w:pPr>
            <w:r w:rsidRPr="00D46647">
              <w:rPr>
                <w:b/>
                <w:sz w:val="16"/>
              </w:rPr>
              <w:t>2019</w:t>
            </w:r>
          </w:p>
        </w:tc>
      </w:tr>
      <w:tr w:rsidR="00FD57F2" w:rsidRPr="00D46647" w14:paraId="428AB0DC" w14:textId="77777777" w:rsidTr="007E3422">
        <w:trPr>
          <w:jc w:val="center"/>
        </w:trPr>
        <w:tc>
          <w:tcPr>
            <w:tcW w:w="1779" w:type="dxa"/>
            <w:shd w:val="clear" w:color="auto" w:fill="C6D9F1"/>
            <w:noWrap/>
            <w:vAlign w:val="bottom"/>
            <w:hideMark/>
          </w:tcPr>
          <w:p w14:paraId="40BA0EB5" w14:textId="77777777" w:rsidR="00FD57F2" w:rsidRPr="00D46647" w:rsidRDefault="00FD57F2" w:rsidP="00FD57F2">
            <w:pPr>
              <w:rPr>
                <w:b/>
                <w:bCs/>
                <w:sz w:val="16"/>
                <w:szCs w:val="16"/>
              </w:rPr>
            </w:pPr>
            <w:r w:rsidRPr="00D46647">
              <w:rPr>
                <w:b/>
                <w:sz w:val="16"/>
              </w:rPr>
              <w:t>Étape principale</w:t>
            </w:r>
          </w:p>
        </w:tc>
        <w:tc>
          <w:tcPr>
            <w:tcW w:w="341" w:type="dxa"/>
            <w:shd w:val="clear" w:color="auto" w:fill="C6D9F1"/>
            <w:noWrap/>
            <w:tcMar>
              <w:left w:w="108" w:type="dxa"/>
              <w:right w:w="108" w:type="dxa"/>
            </w:tcMar>
            <w:vAlign w:val="bottom"/>
            <w:hideMark/>
          </w:tcPr>
          <w:p w14:paraId="3CD30840" w14:textId="77777777" w:rsidR="00FD57F2" w:rsidRPr="00D46647" w:rsidRDefault="00FD57F2" w:rsidP="00FD57F2">
            <w:pPr>
              <w:ind w:left="-57" w:right="-57"/>
              <w:jc w:val="center"/>
              <w:rPr>
                <w:b/>
                <w:bCs/>
                <w:sz w:val="16"/>
                <w:szCs w:val="16"/>
              </w:rPr>
            </w:pPr>
            <w:r w:rsidRPr="00D46647">
              <w:rPr>
                <w:b/>
                <w:bCs/>
                <w:sz w:val="16"/>
                <w:szCs w:val="16"/>
              </w:rPr>
              <w:t>T1</w:t>
            </w:r>
          </w:p>
        </w:tc>
        <w:tc>
          <w:tcPr>
            <w:tcW w:w="342" w:type="dxa"/>
            <w:shd w:val="clear" w:color="auto" w:fill="C6D9F1"/>
            <w:noWrap/>
            <w:tcMar>
              <w:left w:w="108" w:type="dxa"/>
              <w:right w:w="108" w:type="dxa"/>
            </w:tcMar>
            <w:vAlign w:val="bottom"/>
            <w:hideMark/>
          </w:tcPr>
          <w:p w14:paraId="06F05891" w14:textId="77777777" w:rsidR="00FD57F2" w:rsidRPr="00D46647" w:rsidRDefault="00FD57F2" w:rsidP="00FD57F2">
            <w:pPr>
              <w:ind w:left="-57" w:right="-57"/>
              <w:jc w:val="center"/>
              <w:rPr>
                <w:b/>
                <w:bCs/>
                <w:sz w:val="16"/>
                <w:szCs w:val="16"/>
              </w:rPr>
            </w:pPr>
            <w:r w:rsidRPr="00D46647">
              <w:rPr>
                <w:b/>
                <w:bCs/>
                <w:sz w:val="16"/>
                <w:szCs w:val="16"/>
              </w:rPr>
              <w:t>T2</w:t>
            </w:r>
          </w:p>
        </w:tc>
        <w:tc>
          <w:tcPr>
            <w:tcW w:w="342" w:type="dxa"/>
            <w:shd w:val="clear" w:color="auto" w:fill="C6D9F1"/>
            <w:noWrap/>
            <w:tcMar>
              <w:left w:w="108" w:type="dxa"/>
              <w:right w:w="108" w:type="dxa"/>
            </w:tcMar>
            <w:vAlign w:val="bottom"/>
            <w:hideMark/>
          </w:tcPr>
          <w:p w14:paraId="4D8279EF" w14:textId="77777777" w:rsidR="00FD57F2" w:rsidRPr="00D46647" w:rsidRDefault="00FD57F2" w:rsidP="00FD57F2">
            <w:pPr>
              <w:ind w:left="-57" w:right="-57"/>
              <w:jc w:val="center"/>
              <w:rPr>
                <w:b/>
                <w:bCs/>
                <w:sz w:val="16"/>
                <w:szCs w:val="16"/>
              </w:rPr>
            </w:pPr>
            <w:r w:rsidRPr="00D46647">
              <w:rPr>
                <w:b/>
                <w:bCs/>
                <w:sz w:val="16"/>
                <w:szCs w:val="16"/>
              </w:rPr>
              <w:t>T3</w:t>
            </w:r>
          </w:p>
        </w:tc>
        <w:tc>
          <w:tcPr>
            <w:tcW w:w="342" w:type="dxa"/>
            <w:shd w:val="clear" w:color="auto" w:fill="C6D9F1"/>
            <w:noWrap/>
            <w:tcMar>
              <w:left w:w="108" w:type="dxa"/>
              <w:right w:w="108" w:type="dxa"/>
            </w:tcMar>
            <w:vAlign w:val="bottom"/>
            <w:hideMark/>
          </w:tcPr>
          <w:p w14:paraId="218C95B3" w14:textId="77777777" w:rsidR="00FD57F2" w:rsidRPr="00D46647" w:rsidRDefault="00FD57F2" w:rsidP="00FD57F2">
            <w:pPr>
              <w:ind w:left="-57" w:right="-57"/>
              <w:jc w:val="center"/>
              <w:rPr>
                <w:b/>
                <w:bCs/>
                <w:sz w:val="16"/>
                <w:szCs w:val="16"/>
              </w:rPr>
            </w:pPr>
            <w:r w:rsidRPr="00D46647">
              <w:rPr>
                <w:b/>
                <w:bCs/>
                <w:sz w:val="16"/>
                <w:szCs w:val="16"/>
              </w:rPr>
              <w:t>T4</w:t>
            </w:r>
          </w:p>
        </w:tc>
        <w:tc>
          <w:tcPr>
            <w:tcW w:w="342" w:type="dxa"/>
            <w:shd w:val="clear" w:color="auto" w:fill="C6D9F1"/>
            <w:noWrap/>
            <w:tcMar>
              <w:left w:w="108" w:type="dxa"/>
              <w:right w:w="108" w:type="dxa"/>
            </w:tcMar>
            <w:vAlign w:val="bottom"/>
            <w:hideMark/>
          </w:tcPr>
          <w:p w14:paraId="2957BFA2" w14:textId="77777777" w:rsidR="00FD57F2" w:rsidRPr="00D46647" w:rsidRDefault="00FD57F2" w:rsidP="00FD57F2">
            <w:pPr>
              <w:ind w:left="-57" w:right="-57"/>
              <w:jc w:val="center"/>
              <w:rPr>
                <w:b/>
                <w:bCs/>
                <w:sz w:val="16"/>
                <w:szCs w:val="16"/>
              </w:rPr>
            </w:pPr>
            <w:r w:rsidRPr="00D46647">
              <w:rPr>
                <w:b/>
                <w:bCs/>
                <w:sz w:val="16"/>
                <w:szCs w:val="16"/>
              </w:rPr>
              <w:t>T1</w:t>
            </w:r>
          </w:p>
        </w:tc>
        <w:tc>
          <w:tcPr>
            <w:tcW w:w="341" w:type="dxa"/>
            <w:shd w:val="clear" w:color="auto" w:fill="C6D9F1"/>
            <w:noWrap/>
            <w:tcMar>
              <w:left w:w="108" w:type="dxa"/>
              <w:right w:w="108" w:type="dxa"/>
            </w:tcMar>
            <w:vAlign w:val="bottom"/>
            <w:hideMark/>
          </w:tcPr>
          <w:p w14:paraId="265F67E5" w14:textId="77777777" w:rsidR="00FD57F2" w:rsidRPr="00D46647" w:rsidRDefault="00FD57F2" w:rsidP="00FD57F2">
            <w:pPr>
              <w:ind w:left="-57" w:right="-57"/>
              <w:jc w:val="center"/>
              <w:rPr>
                <w:b/>
                <w:bCs/>
                <w:sz w:val="16"/>
                <w:szCs w:val="16"/>
              </w:rPr>
            </w:pPr>
            <w:r w:rsidRPr="00D46647">
              <w:rPr>
                <w:b/>
                <w:bCs/>
                <w:sz w:val="16"/>
                <w:szCs w:val="16"/>
              </w:rPr>
              <w:t>T2</w:t>
            </w:r>
          </w:p>
        </w:tc>
        <w:tc>
          <w:tcPr>
            <w:tcW w:w="390" w:type="dxa"/>
            <w:shd w:val="clear" w:color="auto" w:fill="C6D9F1"/>
            <w:noWrap/>
            <w:tcMar>
              <w:left w:w="108" w:type="dxa"/>
              <w:right w:w="108" w:type="dxa"/>
            </w:tcMar>
            <w:vAlign w:val="bottom"/>
            <w:hideMark/>
          </w:tcPr>
          <w:p w14:paraId="35217EF4" w14:textId="77777777" w:rsidR="00FD57F2" w:rsidRPr="00D46647" w:rsidRDefault="00FD57F2" w:rsidP="00FD57F2">
            <w:pPr>
              <w:ind w:left="-57" w:right="-57"/>
              <w:jc w:val="center"/>
              <w:rPr>
                <w:b/>
                <w:bCs/>
                <w:sz w:val="16"/>
                <w:szCs w:val="16"/>
              </w:rPr>
            </w:pPr>
            <w:r w:rsidRPr="00D46647">
              <w:rPr>
                <w:b/>
                <w:bCs/>
                <w:sz w:val="16"/>
                <w:szCs w:val="16"/>
              </w:rPr>
              <w:t>T3</w:t>
            </w:r>
          </w:p>
        </w:tc>
        <w:tc>
          <w:tcPr>
            <w:tcW w:w="292" w:type="dxa"/>
            <w:shd w:val="clear" w:color="auto" w:fill="C6D9F1"/>
            <w:noWrap/>
            <w:tcMar>
              <w:left w:w="108" w:type="dxa"/>
              <w:right w:w="108" w:type="dxa"/>
            </w:tcMar>
            <w:vAlign w:val="bottom"/>
            <w:hideMark/>
          </w:tcPr>
          <w:p w14:paraId="61102A69" w14:textId="77777777" w:rsidR="00FD57F2" w:rsidRPr="00D46647" w:rsidRDefault="00FD57F2" w:rsidP="00FD57F2">
            <w:pPr>
              <w:ind w:left="-57" w:right="-57"/>
              <w:jc w:val="center"/>
              <w:rPr>
                <w:b/>
                <w:bCs/>
                <w:sz w:val="16"/>
                <w:szCs w:val="16"/>
              </w:rPr>
            </w:pPr>
            <w:r w:rsidRPr="00D46647">
              <w:rPr>
                <w:b/>
                <w:bCs/>
                <w:sz w:val="16"/>
                <w:szCs w:val="16"/>
              </w:rPr>
              <w:t>T4</w:t>
            </w:r>
          </w:p>
        </w:tc>
        <w:tc>
          <w:tcPr>
            <w:tcW w:w="417" w:type="dxa"/>
            <w:shd w:val="clear" w:color="auto" w:fill="C6D9F1"/>
            <w:noWrap/>
            <w:tcMar>
              <w:left w:w="108" w:type="dxa"/>
              <w:right w:w="108" w:type="dxa"/>
            </w:tcMar>
            <w:vAlign w:val="bottom"/>
            <w:hideMark/>
          </w:tcPr>
          <w:p w14:paraId="4437DAD5" w14:textId="77777777" w:rsidR="00FD57F2" w:rsidRPr="00D46647" w:rsidRDefault="00FD57F2" w:rsidP="00FD57F2">
            <w:pPr>
              <w:ind w:left="-57" w:right="-57"/>
              <w:jc w:val="center"/>
              <w:rPr>
                <w:b/>
                <w:bCs/>
                <w:sz w:val="16"/>
                <w:szCs w:val="16"/>
              </w:rPr>
            </w:pPr>
            <w:r w:rsidRPr="00D46647">
              <w:rPr>
                <w:b/>
                <w:bCs/>
                <w:sz w:val="16"/>
                <w:szCs w:val="16"/>
              </w:rPr>
              <w:t>T1</w:t>
            </w:r>
          </w:p>
        </w:tc>
        <w:tc>
          <w:tcPr>
            <w:tcW w:w="378" w:type="dxa"/>
            <w:shd w:val="clear" w:color="auto" w:fill="C6D9F1"/>
            <w:noWrap/>
            <w:tcMar>
              <w:left w:w="108" w:type="dxa"/>
              <w:right w:w="108" w:type="dxa"/>
            </w:tcMar>
            <w:vAlign w:val="bottom"/>
            <w:hideMark/>
          </w:tcPr>
          <w:p w14:paraId="2DD2EB4E" w14:textId="77777777" w:rsidR="00FD57F2" w:rsidRPr="00D46647" w:rsidRDefault="00FD57F2" w:rsidP="00FD57F2">
            <w:pPr>
              <w:ind w:left="-57" w:right="-57"/>
              <w:jc w:val="center"/>
              <w:rPr>
                <w:b/>
                <w:bCs/>
                <w:sz w:val="16"/>
                <w:szCs w:val="16"/>
              </w:rPr>
            </w:pPr>
            <w:r w:rsidRPr="00D46647">
              <w:rPr>
                <w:b/>
                <w:bCs/>
                <w:sz w:val="16"/>
                <w:szCs w:val="16"/>
              </w:rPr>
              <w:t>T2</w:t>
            </w:r>
          </w:p>
        </w:tc>
        <w:tc>
          <w:tcPr>
            <w:tcW w:w="341" w:type="dxa"/>
            <w:shd w:val="clear" w:color="auto" w:fill="C6D9F1"/>
            <w:noWrap/>
            <w:tcMar>
              <w:left w:w="108" w:type="dxa"/>
              <w:right w:w="108" w:type="dxa"/>
            </w:tcMar>
            <w:vAlign w:val="bottom"/>
            <w:hideMark/>
          </w:tcPr>
          <w:p w14:paraId="0F99E595" w14:textId="77777777" w:rsidR="00FD57F2" w:rsidRPr="00D46647" w:rsidRDefault="00FD57F2" w:rsidP="00FD57F2">
            <w:pPr>
              <w:ind w:left="-57" w:right="-57"/>
              <w:jc w:val="center"/>
              <w:rPr>
                <w:b/>
                <w:bCs/>
                <w:sz w:val="16"/>
                <w:szCs w:val="16"/>
              </w:rPr>
            </w:pPr>
            <w:r w:rsidRPr="00D46647">
              <w:rPr>
                <w:b/>
                <w:bCs/>
                <w:sz w:val="16"/>
                <w:szCs w:val="16"/>
              </w:rPr>
              <w:t>T3</w:t>
            </w:r>
          </w:p>
        </w:tc>
        <w:tc>
          <w:tcPr>
            <w:tcW w:w="341" w:type="dxa"/>
            <w:shd w:val="clear" w:color="auto" w:fill="C6D9F1"/>
            <w:noWrap/>
            <w:tcMar>
              <w:left w:w="108" w:type="dxa"/>
              <w:right w:w="108" w:type="dxa"/>
            </w:tcMar>
            <w:vAlign w:val="bottom"/>
            <w:hideMark/>
          </w:tcPr>
          <w:p w14:paraId="1E093B3B" w14:textId="77777777" w:rsidR="00FD57F2" w:rsidRPr="00D46647" w:rsidRDefault="00FD57F2" w:rsidP="00FD57F2">
            <w:pPr>
              <w:ind w:left="-57" w:right="-57"/>
              <w:jc w:val="center"/>
              <w:rPr>
                <w:b/>
                <w:bCs/>
                <w:sz w:val="16"/>
                <w:szCs w:val="16"/>
              </w:rPr>
            </w:pPr>
            <w:r w:rsidRPr="00D46647">
              <w:rPr>
                <w:b/>
                <w:bCs/>
                <w:sz w:val="16"/>
                <w:szCs w:val="16"/>
              </w:rPr>
              <w:t>T4</w:t>
            </w:r>
          </w:p>
        </w:tc>
        <w:tc>
          <w:tcPr>
            <w:tcW w:w="341" w:type="dxa"/>
            <w:shd w:val="clear" w:color="auto" w:fill="C6D9F1"/>
            <w:noWrap/>
            <w:tcMar>
              <w:left w:w="108" w:type="dxa"/>
              <w:right w:w="108" w:type="dxa"/>
            </w:tcMar>
            <w:vAlign w:val="bottom"/>
            <w:hideMark/>
          </w:tcPr>
          <w:p w14:paraId="6331FF74" w14:textId="77777777" w:rsidR="00FD57F2" w:rsidRPr="00D46647" w:rsidRDefault="00FD57F2" w:rsidP="00FD57F2">
            <w:pPr>
              <w:ind w:left="-57" w:right="-57"/>
              <w:jc w:val="center"/>
              <w:rPr>
                <w:b/>
                <w:bCs/>
                <w:sz w:val="16"/>
                <w:szCs w:val="16"/>
              </w:rPr>
            </w:pPr>
            <w:r w:rsidRPr="00D46647">
              <w:rPr>
                <w:b/>
                <w:bCs/>
                <w:sz w:val="16"/>
                <w:szCs w:val="16"/>
              </w:rPr>
              <w:t>T1</w:t>
            </w:r>
          </w:p>
        </w:tc>
        <w:tc>
          <w:tcPr>
            <w:tcW w:w="341" w:type="dxa"/>
            <w:shd w:val="clear" w:color="auto" w:fill="C6D9F1"/>
            <w:noWrap/>
            <w:tcMar>
              <w:left w:w="108" w:type="dxa"/>
              <w:right w:w="108" w:type="dxa"/>
            </w:tcMar>
            <w:vAlign w:val="bottom"/>
            <w:hideMark/>
          </w:tcPr>
          <w:p w14:paraId="1021E7C0" w14:textId="77777777" w:rsidR="00FD57F2" w:rsidRPr="00D46647" w:rsidRDefault="00FD57F2" w:rsidP="00FD57F2">
            <w:pPr>
              <w:ind w:left="-57" w:right="-57"/>
              <w:jc w:val="center"/>
              <w:rPr>
                <w:b/>
                <w:bCs/>
                <w:sz w:val="16"/>
                <w:szCs w:val="16"/>
              </w:rPr>
            </w:pPr>
            <w:r w:rsidRPr="00D46647">
              <w:rPr>
                <w:b/>
                <w:bCs/>
                <w:sz w:val="16"/>
                <w:szCs w:val="16"/>
              </w:rPr>
              <w:t>T2</w:t>
            </w:r>
          </w:p>
        </w:tc>
        <w:tc>
          <w:tcPr>
            <w:tcW w:w="341" w:type="dxa"/>
            <w:shd w:val="clear" w:color="auto" w:fill="C6D9F1"/>
            <w:noWrap/>
            <w:tcMar>
              <w:left w:w="108" w:type="dxa"/>
              <w:right w:w="108" w:type="dxa"/>
            </w:tcMar>
            <w:vAlign w:val="bottom"/>
            <w:hideMark/>
          </w:tcPr>
          <w:p w14:paraId="7FC465B9" w14:textId="77777777" w:rsidR="00FD57F2" w:rsidRPr="00D46647" w:rsidRDefault="00FD57F2" w:rsidP="00FD57F2">
            <w:pPr>
              <w:ind w:left="-57" w:right="-57"/>
              <w:jc w:val="center"/>
              <w:rPr>
                <w:b/>
                <w:bCs/>
                <w:sz w:val="16"/>
                <w:szCs w:val="16"/>
              </w:rPr>
            </w:pPr>
            <w:r w:rsidRPr="00D46647">
              <w:rPr>
                <w:b/>
                <w:bCs/>
                <w:sz w:val="16"/>
                <w:szCs w:val="16"/>
              </w:rPr>
              <w:t>T3</w:t>
            </w:r>
          </w:p>
        </w:tc>
        <w:tc>
          <w:tcPr>
            <w:tcW w:w="341" w:type="dxa"/>
            <w:shd w:val="clear" w:color="auto" w:fill="C6D9F1"/>
            <w:noWrap/>
            <w:tcMar>
              <w:left w:w="108" w:type="dxa"/>
              <w:right w:w="108" w:type="dxa"/>
            </w:tcMar>
            <w:vAlign w:val="bottom"/>
            <w:hideMark/>
          </w:tcPr>
          <w:p w14:paraId="2C7F5428" w14:textId="77777777" w:rsidR="00FD57F2" w:rsidRPr="00D46647" w:rsidRDefault="00FD57F2" w:rsidP="00FD57F2">
            <w:pPr>
              <w:ind w:left="-57" w:right="-57"/>
              <w:jc w:val="center"/>
              <w:rPr>
                <w:b/>
                <w:bCs/>
                <w:sz w:val="16"/>
                <w:szCs w:val="16"/>
              </w:rPr>
            </w:pPr>
            <w:r w:rsidRPr="00D46647">
              <w:rPr>
                <w:b/>
                <w:bCs/>
                <w:sz w:val="16"/>
                <w:szCs w:val="16"/>
              </w:rPr>
              <w:t>T4</w:t>
            </w:r>
          </w:p>
        </w:tc>
        <w:tc>
          <w:tcPr>
            <w:tcW w:w="341" w:type="dxa"/>
            <w:shd w:val="clear" w:color="auto" w:fill="C6D9F1"/>
            <w:tcMar>
              <w:left w:w="108" w:type="dxa"/>
              <w:right w:w="108" w:type="dxa"/>
            </w:tcMar>
            <w:vAlign w:val="bottom"/>
          </w:tcPr>
          <w:p w14:paraId="2BCC563A" w14:textId="77777777" w:rsidR="00FD57F2" w:rsidRPr="00D46647" w:rsidRDefault="00FD57F2" w:rsidP="00FD57F2">
            <w:pPr>
              <w:ind w:left="-57" w:right="-57"/>
              <w:jc w:val="center"/>
              <w:rPr>
                <w:b/>
                <w:bCs/>
                <w:sz w:val="16"/>
                <w:szCs w:val="16"/>
              </w:rPr>
            </w:pPr>
            <w:r w:rsidRPr="00D46647">
              <w:rPr>
                <w:b/>
                <w:bCs/>
                <w:sz w:val="16"/>
                <w:szCs w:val="16"/>
              </w:rPr>
              <w:t>T1</w:t>
            </w:r>
          </w:p>
        </w:tc>
        <w:tc>
          <w:tcPr>
            <w:tcW w:w="341" w:type="dxa"/>
            <w:shd w:val="clear" w:color="auto" w:fill="C6D9F1"/>
            <w:tcMar>
              <w:left w:w="108" w:type="dxa"/>
              <w:right w:w="108" w:type="dxa"/>
            </w:tcMar>
            <w:vAlign w:val="bottom"/>
          </w:tcPr>
          <w:p w14:paraId="5914C4C9" w14:textId="77777777" w:rsidR="00FD57F2" w:rsidRPr="00D46647" w:rsidRDefault="00FD57F2" w:rsidP="00FD57F2">
            <w:pPr>
              <w:ind w:left="-57" w:right="-57"/>
              <w:jc w:val="center"/>
              <w:rPr>
                <w:b/>
                <w:bCs/>
                <w:sz w:val="16"/>
                <w:szCs w:val="16"/>
              </w:rPr>
            </w:pPr>
            <w:r w:rsidRPr="00D46647">
              <w:rPr>
                <w:b/>
                <w:bCs/>
                <w:sz w:val="16"/>
                <w:szCs w:val="16"/>
              </w:rPr>
              <w:t>T2</w:t>
            </w:r>
          </w:p>
        </w:tc>
        <w:tc>
          <w:tcPr>
            <w:tcW w:w="341" w:type="dxa"/>
            <w:shd w:val="clear" w:color="auto" w:fill="C6D9F1"/>
            <w:vAlign w:val="bottom"/>
          </w:tcPr>
          <w:p w14:paraId="0CCE4B6F" w14:textId="77777777" w:rsidR="00FD57F2" w:rsidRPr="00D46647" w:rsidRDefault="00FD57F2" w:rsidP="00FD57F2">
            <w:pPr>
              <w:ind w:left="-57" w:right="-57"/>
              <w:jc w:val="center"/>
              <w:rPr>
                <w:b/>
                <w:bCs/>
                <w:sz w:val="16"/>
                <w:szCs w:val="16"/>
              </w:rPr>
            </w:pPr>
            <w:r w:rsidRPr="00D46647">
              <w:rPr>
                <w:b/>
                <w:bCs/>
                <w:sz w:val="16"/>
                <w:szCs w:val="16"/>
              </w:rPr>
              <w:t>T3</w:t>
            </w:r>
          </w:p>
        </w:tc>
        <w:tc>
          <w:tcPr>
            <w:tcW w:w="341" w:type="dxa"/>
            <w:shd w:val="clear" w:color="auto" w:fill="C6D9F1"/>
            <w:vAlign w:val="bottom"/>
          </w:tcPr>
          <w:p w14:paraId="613090D4" w14:textId="77777777" w:rsidR="00FD57F2" w:rsidRPr="00D46647" w:rsidRDefault="00FD57F2" w:rsidP="00FD57F2">
            <w:pPr>
              <w:ind w:left="-57" w:right="-57"/>
              <w:jc w:val="center"/>
              <w:rPr>
                <w:b/>
                <w:bCs/>
                <w:sz w:val="16"/>
                <w:szCs w:val="16"/>
              </w:rPr>
            </w:pPr>
            <w:r w:rsidRPr="00D46647">
              <w:rPr>
                <w:b/>
                <w:bCs/>
                <w:sz w:val="16"/>
                <w:szCs w:val="16"/>
              </w:rPr>
              <w:t>T4</w:t>
            </w:r>
          </w:p>
        </w:tc>
        <w:tc>
          <w:tcPr>
            <w:tcW w:w="341" w:type="dxa"/>
            <w:shd w:val="clear" w:color="auto" w:fill="C6D9F1"/>
          </w:tcPr>
          <w:p w14:paraId="1F30F500" w14:textId="3AF54869" w:rsidR="00FD57F2" w:rsidRPr="00D46647" w:rsidRDefault="003F79BF" w:rsidP="00FD57F2">
            <w:pPr>
              <w:ind w:left="-57" w:right="-57"/>
              <w:jc w:val="center"/>
              <w:rPr>
                <w:b/>
                <w:bCs/>
                <w:sz w:val="16"/>
                <w:szCs w:val="16"/>
              </w:rPr>
            </w:pPr>
            <w:r>
              <w:rPr>
                <w:b/>
                <w:bCs/>
                <w:sz w:val="16"/>
                <w:szCs w:val="16"/>
              </w:rPr>
              <w:t>T1</w:t>
            </w:r>
          </w:p>
        </w:tc>
        <w:tc>
          <w:tcPr>
            <w:tcW w:w="343" w:type="dxa"/>
            <w:shd w:val="clear" w:color="auto" w:fill="C6D9F1"/>
          </w:tcPr>
          <w:p w14:paraId="3433CEA0" w14:textId="6EE7B883" w:rsidR="00FD57F2" w:rsidRPr="00D46647" w:rsidRDefault="003F79BF" w:rsidP="00FD57F2">
            <w:pPr>
              <w:ind w:left="-57" w:right="-57"/>
              <w:jc w:val="center"/>
              <w:rPr>
                <w:b/>
                <w:bCs/>
                <w:sz w:val="16"/>
                <w:szCs w:val="16"/>
              </w:rPr>
            </w:pPr>
            <w:r>
              <w:rPr>
                <w:b/>
                <w:bCs/>
                <w:sz w:val="16"/>
                <w:szCs w:val="16"/>
              </w:rPr>
              <w:t>T2</w:t>
            </w:r>
          </w:p>
        </w:tc>
      </w:tr>
      <w:tr w:rsidR="00FD57F2" w:rsidRPr="00D46647" w14:paraId="771A6C01" w14:textId="77777777" w:rsidTr="007E3422">
        <w:trPr>
          <w:jc w:val="center"/>
        </w:trPr>
        <w:tc>
          <w:tcPr>
            <w:tcW w:w="1779" w:type="dxa"/>
            <w:shd w:val="clear" w:color="auto" w:fill="auto"/>
            <w:noWrap/>
            <w:vAlign w:val="center"/>
            <w:hideMark/>
          </w:tcPr>
          <w:p w14:paraId="5DAFAE81" w14:textId="77777777" w:rsidR="00FD57F2" w:rsidRPr="00D46647" w:rsidRDefault="00FD57F2" w:rsidP="00FD57F2">
            <w:pPr>
              <w:rPr>
                <w:sz w:val="16"/>
                <w:szCs w:val="16"/>
              </w:rPr>
            </w:pPr>
            <w:r w:rsidRPr="00D46647">
              <w:rPr>
                <w:sz w:val="16"/>
              </w:rPr>
              <w:t>Appel à manifestation d’intérêt pilote/architecte</w:t>
            </w:r>
          </w:p>
        </w:tc>
        <w:tc>
          <w:tcPr>
            <w:tcW w:w="341" w:type="dxa"/>
            <w:shd w:val="clear" w:color="auto" w:fill="auto"/>
            <w:noWrap/>
            <w:tcMar>
              <w:left w:w="108" w:type="dxa"/>
              <w:right w:w="108" w:type="dxa"/>
            </w:tcMar>
            <w:vAlign w:val="center"/>
            <w:hideMark/>
          </w:tcPr>
          <w:p w14:paraId="37C668C0"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51AD5814"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0218D84D"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0E2EBE12" w14:textId="77777777" w:rsidR="00FD57F2" w:rsidRPr="00D46647" w:rsidRDefault="00FD57F2" w:rsidP="00FD57F2">
            <w:pPr>
              <w:ind w:left="-57" w:right="-57"/>
              <w:jc w:val="center"/>
              <w:rPr>
                <w:sz w:val="18"/>
                <w:szCs w:val="18"/>
              </w:rPr>
            </w:pPr>
            <w:r w:rsidRPr="00D46647">
              <w:rPr>
                <w:sz w:val="18"/>
                <w:szCs w:val="18"/>
              </w:rPr>
              <w:t>X</w:t>
            </w:r>
          </w:p>
        </w:tc>
        <w:tc>
          <w:tcPr>
            <w:tcW w:w="342" w:type="dxa"/>
            <w:shd w:val="clear" w:color="auto" w:fill="auto"/>
            <w:noWrap/>
            <w:tcMar>
              <w:left w:w="108" w:type="dxa"/>
              <w:right w:w="108" w:type="dxa"/>
            </w:tcMar>
            <w:vAlign w:val="center"/>
            <w:hideMark/>
          </w:tcPr>
          <w:p w14:paraId="323E5F95"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1DE59399" w14:textId="77777777" w:rsidR="00FD57F2" w:rsidRPr="00D46647" w:rsidRDefault="00FD57F2" w:rsidP="00FD57F2">
            <w:pPr>
              <w:ind w:left="-57" w:right="-57"/>
              <w:rPr>
                <w:sz w:val="18"/>
                <w:szCs w:val="18"/>
              </w:rPr>
            </w:pPr>
          </w:p>
        </w:tc>
        <w:tc>
          <w:tcPr>
            <w:tcW w:w="390" w:type="dxa"/>
            <w:shd w:val="clear" w:color="auto" w:fill="auto"/>
            <w:noWrap/>
            <w:tcMar>
              <w:left w:w="108" w:type="dxa"/>
              <w:right w:w="108" w:type="dxa"/>
            </w:tcMar>
            <w:vAlign w:val="center"/>
            <w:hideMark/>
          </w:tcPr>
          <w:p w14:paraId="0B5C1E77" w14:textId="77777777" w:rsidR="00FD57F2" w:rsidRPr="00D46647" w:rsidRDefault="00FD57F2" w:rsidP="00FD57F2">
            <w:pPr>
              <w:ind w:left="-57" w:right="-57"/>
              <w:rPr>
                <w:sz w:val="18"/>
                <w:szCs w:val="18"/>
              </w:rPr>
            </w:pPr>
          </w:p>
        </w:tc>
        <w:tc>
          <w:tcPr>
            <w:tcW w:w="292" w:type="dxa"/>
            <w:shd w:val="clear" w:color="auto" w:fill="auto"/>
            <w:noWrap/>
            <w:tcMar>
              <w:left w:w="108" w:type="dxa"/>
              <w:right w:w="108" w:type="dxa"/>
            </w:tcMar>
            <w:vAlign w:val="center"/>
            <w:hideMark/>
          </w:tcPr>
          <w:p w14:paraId="68097273" w14:textId="77777777" w:rsidR="00FD57F2" w:rsidRPr="00D46647" w:rsidRDefault="00FD57F2" w:rsidP="00FD57F2">
            <w:pPr>
              <w:ind w:left="-57" w:right="-57"/>
              <w:rPr>
                <w:sz w:val="18"/>
                <w:szCs w:val="18"/>
              </w:rPr>
            </w:pPr>
          </w:p>
        </w:tc>
        <w:tc>
          <w:tcPr>
            <w:tcW w:w="417" w:type="dxa"/>
            <w:shd w:val="clear" w:color="auto" w:fill="auto"/>
            <w:noWrap/>
            <w:tcMar>
              <w:left w:w="108" w:type="dxa"/>
              <w:right w:w="108" w:type="dxa"/>
            </w:tcMar>
            <w:vAlign w:val="center"/>
            <w:hideMark/>
          </w:tcPr>
          <w:p w14:paraId="4D78A0F5" w14:textId="77777777" w:rsidR="00FD57F2" w:rsidRPr="00D46647" w:rsidRDefault="00FD57F2" w:rsidP="00FD57F2">
            <w:pPr>
              <w:ind w:left="-57" w:right="-57"/>
              <w:rPr>
                <w:sz w:val="18"/>
                <w:szCs w:val="18"/>
              </w:rPr>
            </w:pPr>
          </w:p>
        </w:tc>
        <w:tc>
          <w:tcPr>
            <w:tcW w:w="378" w:type="dxa"/>
            <w:shd w:val="clear" w:color="auto" w:fill="auto"/>
            <w:noWrap/>
            <w:tcMar>
              <w:left w:w="108" w:type="dxa"/>
              <w:right w:w="108" w:type="dxa"/>
            </w:tcMar>
            <w:vAlign w:val="center"/>
            <w:hideMark/>
          </w:tcPr>
          <w:p w14:paraId="27C3C886"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1CF07747"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501C93EB"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73636FE4"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48C86FA5"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4C6FE37C"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7B76DE04" w14:textId="77777777" w:rsidR="00FD57F2" w:rsidRPr="00D46647" w:rsidRDefault="00FD57F2" w:rsidP="00FD57F2">
            <w:pPr>
              <w:ind w:left="-57" w:right="-57"/>
              <w:rPr>
                <w:sz w:val="18"/>
                <w:szCs w:val="18"/>
              </w:rPr>
            </w:pPr>
          </w:p>
        </w:tc>
        <w:tc>
          <w:tcPr>
            <w:tcW w:w="341" w:type="dxa"/>
            <w:tcMar>
              <w:left w:w="108" w:type="dxa"/>
              <w:right w:w="108" w:type="dxa"/>
            </w:tcMar>
            <w:vAlign w:val="center"/>
          </w:tcPr>
          <w:p w14:paraId="1A3034B8" w14:textId="77777777" w:rsidR="00FD57F2" w:rsidRPr="00D46647" w:rsidRDefault="00FD57F2" w:rsidP="00FD57F2">
            <w:pPr>
              <w:ind w:left="-57" w:right="-57"/>
              <w:jc w:val="center"/>
              <w:rPr>
                <w:sz w:val="18"/>
                <w:szCs w:val="18"/>
              </w:rPr>
            </w:pPr>
          </w:p>
        </w:tc>
        <w:tc>
          <w:tcPr>
            <w:tcW w:w="341" w:type="dxa"/>
            <w:tcMar>
              <w:left w:w="108" w:type="dxa"/>
              <w:right w:w="108" w:type="dxa"/>
            </w:tcMar>
            <w:vAlign w:val="center"/>
          </w:tcPr>
          <w:p w14:paraId="466334A9" w14:textId="77777777" w:rsidR="00FD57F2" w:rsidRPr="00D46647" w:rsidRDefault="00FD57F2" w:rsidP="00FD57F2">
            <w:pPr>
              <w:ind w:left="-57" w:right="-57"/>
              <w:jc w:val="center"/>
              <w:rPr>
                <w:sz w:val="18"/>
                <w:szCs w:val="18"/>
              </w:rPr>
            </w:pPr>
          </w:p>
        </w:tc>
        <w:tc>
          <w:tcPr>
            <w:tcW w:w="341" w:type="dxa"/>
            <w:vAlign w:val="center"/>
          </w:tcPr>
          <w:p w14:paraId="66E80B9D" w14:textId="77777777" w:rsidR="00FD57F2" w:rsidRPr="00D46647" w:rsidRDefault="00FD57F2" w:rsidP="00FD57F2">
            <w:pPr>
              <w:ind w:left="-57" w:right="-57"/>
              <w:jc w:val="center"/>
              <w:rPr>
                <w:sz w:val="18"/>
                <w:szCs w:val="18"/>
              </w:rPr>
            </w:pPr>
          </w:p>
        </w:tc>
        <w:tc>
          <w:tcPr>
            <w:tcW w:w="341" w:type="dxa"/>
            <w:vAlign w:val="center"/>
          </w:tcPr>
          <w:p w14:paraId="6F12662A" w14:textId="77777777" w:rsidR="00FD57F2" w:rsidRPr="00D46647" w:rsidRDefault="00FD57F2" w:rsidP="00FD57F2">
            <w:pPr>
              <w:ind w:left="-57" w:right="-57"/>
              <w:jc w:val="center"/>
              <w:rPr>
                <w:sz w:val="18"/>
                <w:szCs w:val="18"/>
              </w:rPr>
            </w:pPr>
          </w:p>
        </w:tc>
        <w:tc>
          <w:tcPr>
            <w:tcW w:w="341" w:type="dxa"/>
            <w:shd w:val="clear" w:color="auto" w:fill="auto"/>
            <w:vAlign w:val="center"/>
          </w:tcPr>
          <w:p w14:paraId="2FE65B2F" w14:textId="77777777" w:rsidR="00FD57F2" w:rsidRPr="00D46647" w:rsidRDefault="00FD57F2" w:rsidP="00FD57F2">
            <w:pPr>
              <w:ind w:left="-57" w:right="-57"/>
              <w:jc w:val="center"/>
              <w:rPr>
                <w:sz w:val="18"/>
                <w:szCs w:val="18"/>
              </w:rPr>
            </w:pPr>
          </w:p>
        </w:tc>
        <w:tc>
          <w:tcPr>
            <w:tcW w:w="343" w:type="dxa"/>
            <w:shd w:val="clear" w:color="auto" w:fill="auto"/>
            <w:vAlign w:val="center"/>
          </w:tcPr>
          <w:p w14:paraId="3344F291" w14:textId="77777777" w:rsidR="00FD57F2" w:rsidRPr="00D46647" w:rsidRDefault="00FD57F2" w:rsidP="00FD57F2">
            <w:pPr>
              <w:ind w:left="-57" w:right="-57"/>
              <w:jc w:val="center"/>
              <w:rPr>
                <w:sz w:val="18"/>
                <w:szCs w:val="18"/>
              </w:rPr>
            </w:pPr>
          </w:p>
        </w:tc>
      </w:tr>
      <w:tr w:rsidR="00FD57F2" w:rsidRPr="00D46647" w14:paraId="15E56FF4" w14:textId="77777777" w:rsidTr="007E3422">
        <w:trPr>
          <w:jc w:val="center"/>
        </w:trPr>
        <w:tc>
          <w:tcPr>
            <w:tcW w:w="1779" w:type="dxa"/>
            <w:shd w:val="clear" w:color="auto" w:fill="auto"/>
            <w:noWrap/>
            <w:vAlign w:val="center"/>
            <w:hideMark/>
          </w:tcPr>
          <w:p w14:paraId="4BAE5F91" w14:textId="77777777" w:rsidR="00FD57F2" w:rsidRPr="00D46647" w:rsidRDefault="00FD57F2" w:rsidP="00FD57F2">
            <w:pPr>
              <w:rPr>
                <w:sz w:val="16"/>
                <w:szCs w:val="16"/>
              </w:rPr>
            </w:pPr>
            <w:r w:rsidRPr="00D46647">
              <w:rPr>
                <w:sz w:val="16"/>
              </w:rPr>
              <w:t>Appel d’offres et sélection pour pilote/architecte et ingénieurs</w:t>
            </w:r>
          </w:p>
        </w:tc>
        <w:tc>
          <w:tcPr>
            <w:tcW w:w="341" w:type="dxa"/>
            <w:shd w:val="clear" w:color="auto" w:fill="auto"/>
            <w:noWrap/>
            <w:tcMar>
              <w:left w:w="108" w:type="dxa"/>
              <w:right w:w="108" w:type="dxa"/>
            </w:tcMar>
            <w:vAlign w:val="center"/>
            <w:hideMark/>
          </w:tcPr>
          <w:p w14:paraId="7B952B98"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24B651F8"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01735237"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4025C785" w14:textId="77777777" w:rsidR="00FD57F2" w:rsidRPr="00D46647" w:rsidRDefault="00FD57F2" w:rsidP="00FD57F2">
            <w:pPr>
              <w:ind w:left="-57" w:right="-57"/>
              <w:rPr>
                <w:sz w:val="18"/>
                <w:szCs w:val="18"/>
              </w:rPr>
            </w:pPr>
          </w:p>
        </w:tc>
        <w:tc>
          <w:tcPr>
            <w:tcW w:w="342" w:type="dxa"/>
            <w:shd w:val="clear" w:color="auto" w:fill="auto"/>
            <w:noWrap/>
            <w:tcMar>
              <w:left w:w="108" w:type="dxa"/>
              <w:right w:w="108" w:type="dxa"/>
            </w:tcMar>
            <w:vAlign w:val="center"/>
            <w:hideMark/>
          </w:tcPr>
          <w:p w14:paraId="0464145C"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0E6DC09A" w14:textId="77777777" w:rsidR="00FD57F2" w:rsidRPr="00D46647" w:rsidRDefault="00FD57F2" w:rsidP="00FD57F2">
            <w:pPr>
              <w:ind w:left="-57" w:right="-57"/>
              <w:rPr>
                <w:sz w:val="18"/>
                <w:szCs w:val="18"/>
              </w:rPr>
            </w:pPr>
          </w:p>
        </w:tc>
        <w:tc>
          <w:tcPr>
            <w:tcW w:w="390" w:type="dxa"/>
            <w:shd w:val="clear" w:color="auto" w:fill="auto"/>
            <w:noWrap/>
            <w:tcMar>
              <w:left w:w="108" w:type="dxa"/>
              <w:right w:w="108" w:type="dxa"/>
            </w:tcMar>
            <w:vAlign w:val="center"/>
          </w:tcPr>
          <w:p w14:paraId="238289BF" w14:textId="77777777" w:rsidR="00FD57F2" w:rsidRPr="00D46647" w:rsidRDefault="00FD57F2" w:rsidP="00FD57F2">
            <w:pPr>
              <w:ind w:left="-57" w:right="-57"/>
              <w:jc w:val="center"/>
              <w:rPr>
                <w:sz w:val="18"/>
                <w:szCs w:val="18"/>
              </w:rPr>
            </w:pPr>
            <w:r w:rsidRPr="00D46647">
              <w:rPr>
                <w:sz w:val="18"/>
                <w:szCs w:val="18"/>
              </w:rPr>
              <w:t>X</w:t>
            </w:r>
            <w:r w:rsidRPr="003F79BF">
              <w:rPr>
                <w:rStyle w:val="FootnoteReference"/>
                <w:rFonts w:cs="Arial"/>
                <w:sz w:val="14"/>
                <w:szCs w:val="18"/>
              </w:rPr>
              <w:footnoteReference w:id="119"/>
            </w:r>
          </w:p>
        </w:tc>
        <w:tc>
          <w:tcPr>
            <w:tcW w:w="292" w:type="dxa"/>
            <w:shd w:val="clear" w:color="auto" w:fill="auto"/>
            <w:noWrap/>
            <w:tcMar>
              <w:left w:w="108" w:type="dxa"/>
              <w:right w:w="108" w:type="dxa"/>
            </w:tcMar>
            <w:vAlign w:val="center"/>
          </w:tcPr>
          <w:p w14:paraId="61EB27E5" w14:textId="77777777" w:rsidR="00FD57F2" w:rsidRPr="00D46647" w:rsidRDefault="00FD57F2" w:rsidP="00FD57F2">
            <w:pPr>
              <w:ind w:left="-57" w:right="-57"/>
              <w:jc w:val="center"/>
              <w:rPr>
                <w:sz w:val="18"/>
                <w:szCs w:val="18"/>
              </w:rPr>
            </w:pPr>
            <w:r w:rsidRPr="00D46647">
              <w:rPr>
                <w:sz w:val="18"/>
                <w:szCs w:val="18"/>
              </w:rPr>
              <w:t>X</w:t>
            </w:r>
          </w:p>
        </w:tc>
        <w:tc>
          <w:tcPr>
            <w:tcW w:w="417" w:type="dxa"/>
            <w:shd w:val="clear" w:color="auto" w:fill="auto"/>
            <w:noWrap/>
            <w:tcMar>
              <w:left w:w="108" w:type="dxa"/>
              <w:right w:w="108" w:type="dxa"/>
            </w:tcMar>
            <w:vAlign w:val="center"/>
            <w:hideMark/>
          </w:tcPr>
          <w:p w14:paraId="15666F49" w14:textId="77777777" w:rsidR="00FD57F2" w:rsidRPr="00D46647" w:rsidRDefault="00FD57F2" w:rsidP="00FD57F2">
            <w:pPr>
              <w:ind w:left="-57" w:right="-57"/>
              <w:jc w:val="center"/>
              <w:rPr>
                <w:sz w:val="18"/>
                <w:szCs w:val="18"/>
              </w:rPr>
            </w:pPr>
            <w:r w:rsidRPr="00D46647">
              <w:rPr>
                <w:sz w:val="18"/>
                <w:szCs w:val="18"/>
              </w:rPr>
              <w:t>X</w:t>
            </w:r>
            <w:r w:rsidRPr="003F79BF">
              <w:rPr>
                <w:rStyle w:val="FootnoteReference"/>
                <w:rFonts w:cs="Arial"/>
                <w:sz w:val="14"/>
                <w:szCs w:val="18"/>
              </w:rPr>
              <w:footnoteReference w:id="120"/>
            </w:r>
          </w:p>
        </w:tc>
        <w:tc>
          <w:tcPr>
            <w:tcW w:w="378" w:type="dxa"/>
            <w:shd w:val="clear" w:color="auto" w:fill="auto"/>
            <w:noWrap/>
            <w:tcMar>
              <w:left w:w="108" w:type="dxa"/>
              <w:right w:w="108" w:type="dxa"/>
            </w:tcMar>
            <w:vAlign w:val="center"/>
            <w:hideMark/>
          </w:tcPr>
          <w:p w14:paraId="15C7F700"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335B664F"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5470BE16"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04394696"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24558DE2"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0130E315"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4B845726" w14:textId="77777777" w:rsidR="00FD57F2" w:rsidRPr="00D46647" w:rsidRDefault="00FD57F2" w:rsidP="00FD57F2">
            <w:pPr>
              <w:ind w:left="-57" w:right="-57"/>
              <w:rPr>
                <w:sz w:val="18"/>
                <w:szCs w:val="18"/>
              </w:rPr>
            </w:pPr>
          </w:p>
        </w:tc>
        <w:tc>
          <w:tcPr>
            <w:tcW w:w="341" w:type="dxa"/>
            <w:tcMar>
              <w:left w:w="108" w:type="dxa"/>
              <w:right w:w="108" w:type="dxa"/>
            </w:tcMar>
            <w:vAlign w:val="center"/>
          </w:tcPr>
          <w:p w14:paraId="2F102154" w14:textId="77777777" w:rsidR="00FD57F2" w:rsidRPr="00D46647" w:rsidRDefault="00FD57F2" w:rsidP="00FD57F2">
            <w:pPr>
              <w:ind w:left="-57" w:right="-57"/>
              <w:jc w:val="center"/>
              <w:rPr>
                <w:sz w:val="18"/>
                <w:szCs w:val="18"/>
              </w:rPr>
            </w:pPr>
          </w:p>
        </w:tc>
        <w:tc>
          <w:tcPr>
            <w:tcW w:w="341" w:type="dxa"/>
            <w:tcMar>
              <w:left w:w="108" w:type="dxa"/>
              <w:right w:w="108" w:type="dxa"/>
            </w:tcMar>
            <w:vAlign w:val="center"/>
          </w:tcPr>
          <w:p w14:paraId="18DB4E43" w14:textId="77777777" w:rsidR="00FD57F2" w:rsidRPr="00D46647" w:rsidRDefault="00FD57F2" w:rsidP="00FD57F2">
            <w:pPr>
              <w:ind w:left="-57" w:right="-57"/>
              <w:jc w:val="center"/>
              <w:rPr>
                <w:sz w:val="18"/>
                <w:szCs w:val="18"/>
              </w:rPr>
            </w:pPr>
          </w:p>
        </w:tc>
        <w:tc>
          <w:tcPr>
            <w:tcW w:w="341" w:type="dxa"/>
            <w:vAlign w:val="center"/>
          </w:tcPr>
          <w:p w14:paraId="30562367" w14:textId="77777777" w:rsidR="00FD57F2" w:rsidRPr="00D46647" w:rsidRDefault="00FD57F2" w:rsidP="00FD57F2">
            <w:pPr>
              <w:ind w:left="-57" w:right="-57"/>
              <w:jc w:val="center"/>
              <w:rPr>
                <w:sz w:val="18"/>
                <w:szCs w:val="18"/>
              </w:rPr>
            </w:pPr>
          </w:p>
        </w:tc>
        <w:tc>
          <w:tcPr>
            <w:tcW w:w="341" w:type="dxa"/>
            <w:vAlign w:val="center"/>
          </w:tcPr>
          <w:p w14:paraId="7398EFB2" w14:textId="77777777" w:rsidR="00FD57F2" w:rsidRPr="00D46647" w:rsidRDefault="00FD57F2" w:rsidP="00FD57F2">
            <w:pPr>
              <w:ind w:left="-57" w:right="-57"/>
              <w:jc w:val="center"/>
              <w:rPr>
                <w:sz w:val="18"/>
                <w:szCs w:val="18"/>
              </w:rPr>
            </w:pPr>
          </w:p>
        </w:tc>
        <w:tc>
          <w:tcPr>
            <w:tcW w:w="341" w:type="dxa"/>
            <w:shd w:val="clear" w:color="auto" w:fill="auto"/>
            <w:vAlign w:val="center"/>
          </w:tcPr>
          <w:p w14:paraId="4D30723B" w14:textId="77777777" w:rsidR="00FD57F2" w:rsidRPr="00D46647" w:rsidRDefault="00FD57F2" w:rsidP="00FD57F2">
            <w:pPr>
              <w:ind w:left="-57" w:right="-57"/>
              <w:jc w:val="center"/>
              <w:rPr>
                <w:sz w:val="18"/>
                <w:szCs w:val="18"/>
              </w:rPr>
            </w:pPr>
          </w:p>
        </w:tc>
        <w:tc>
          <w:tcPr>
            <w:tcW w:w="343" w:type="dxa"/>
            <w:shd w:val="clear" w:color="auto" w:fill="auto"/>
            <w:vAlign w:val="center"/>
          </w:tcPr>
          <w:p w14:paraId="569B10EE" w14:textId="77777777" w:rsidR="00FD57F2" w:rsidRPr="00D46647" w:rsidRDefault="00FD57F2" w:rsidP="00FD57F2">
            <w:pPr>
              <w:ind w:left="-57" w:right="-57"/>
              <w:jc w:val="center"/>
              <w:rPr>
                <w:sz w:val="18"/>
                <w:szCs w:val="18"/>
              </w:rPr>
            </w:pPr>
          </w:p>
        </w:tc>
      </w:tr>
      <w:tr w:rsidR="00FD57F2" w:rsidRPr="00D46647" w14:paraId="0177F706" w14:textId="77777777" w:rsidTr="007E3422">
        <w:trPr>
          <w:jc w:val="center"/>
        </w:trPr>
        <w:tc>
          <w:tcPr>
            <w:tcW w:w="1779" w:type="dxa"/>
            <w:shd w:val="clear" w:color="auto" w:fill="auto"/>
            <w:noWrap/>
            <w:vAlign w:val="center"/>
            <w:hideMark/>
          </w:tcPr>
          <w:p w14:paraId="1E048FED" w14:textId="77777777" w:rsidR="00FD57F2" w:rsidRPr="00D46647" w:rsidRDefault="00FD57F2" w:rsidP="00FD57F2">
            <w:pPr>
              <w:rPr>
                <w:sz w:val="16"/>
                <w:szCs w:val="16"/>
              </w:rPr>
            </w:pPr>
            <w:r w:rsidRPr="00D46647">
              <w:rPr>
                <w:sz w:val="16"/>
              </w:rPr>
              <w:t>Études détaillées pour exécution</w:t>
            </w:r>
          </w:p>
        </w:tc>
        <w:tc>
          <w:tcPr>
            <w:tcW w:w="341" w:type="dxa"/>
            <w:shd w:val="clear" w:color="auto" w:fill="auto"/>
            <w:noWrap/>
            <w:tcMar>
              <w:left w:w="108" w:type="dxa"/>
              <w:right w:w="108" w:type="dxa"/>
            </w:tcMar>
            <w:vAlign w:val="center"/>
            <w:hideMark/>
          </w:tcPr>
          <w:p w14:paraId="301237FD"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45FAA3ED"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3B6F8BB9"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414FFCC4" w14:textId="77777777" w:rsidR="00FD57F2" w:rsidRPr="00D46647" w:rsidRDefault="00FD57F2" w:rsidP="00FD57F2">
            <w:pPr>
              <w:ind w:left="-57" w:right="-57"/>
              <w:rPr>
                <w:sz w:val="18"/>
                <w:szCs w:val="18"/>
              </w:rPr>
            </w:pPr>
          </w:p>
        </w:tc>
        <w:tc>
          <w:tcPr>
            <w:tcW w:w="342" w:type="dxa"/>
            <w:shd w:val="clear" w:color="auto" w:fill="auto"/>
            <w:noWrap/>
            <w:tcMar>
              <w:left w:w="108" w:type="dxa"/>
              <w:right w:w="108" w:type="dxa"/>
            </w:tcMar>
            <w:vAlign w:val="center"/>
            <w:hideMark/>
          </w:tcPr>
          <w:p w14:paraId="34A0CCC3"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17DC1B5A" w14:textId="77777777" w:rsidR="00FD57F2" w:rsidRPr="00D46647" w:rsidRDefault="00FD57F2" w:rsidP="00FD57F2">
            <w:pPr>
              <w:ind w:left="-57" w:right="-57"/>
              <w:rPr>
                <w:sz w:val="18"/>
                <w:szCs w:val="18"/>
              </w:rPr>
            </w:pPr>
          </w:p>
        </w:tc>
        <w:tc>
          <w:tcPr>
            <w:tcW w:w="390" w:type="dxa"/>
            <w:shd w:val="clear" w:color="auto" w:fill="auto"/>
            <w:noWrap/>
            <w:tcMar>
              <w:left w:w="108" w:type="dxa"/>
              <w:right w:w="108" w:type="dxa"/>
            </w:tcMar>
            <w:vAlign w:val="center"/>
            <w:hideMark/>
          </w:tcPr>
          <w:p w14:paraId="7211FC3F" w14:textId="77777777" w:rsidR="00FD57F2" w:rsidRPr="00D46647" w:rsidRDefault="00FD57F2" w:rsidP="00FD57F2">
            <w:pPr>
              <w:ind w:left="-57" w:right="-57"/>
              <w:jc w:val="center"/>
              <w:rPr>
                <w:sz w:val="18"/>
                <w:szCs w:val="18"/>
              </w:rPr>
            </w:pPr>
          </w:p>
        </w:tc>
        <w:tc>
          <w:tcPr>
            <w:tcW w:w="292" w:type="dxa"/>
            <w:shd w:val="clear" w:color="auto" w:fill="auto"/>
            <w:noWrap/>
            <w:tcMar>
              <w:left w:w="108" w:type="dxa"/>
              <w:right w:w="108" w:type="dxa"/>
            </w:tcMar>
            <w:vAlign w:val="center"/>
            <w:hideMark/>
          </w:tcPr>
          <w:p w14:paraId="3706F1B3" w14:textId="77777777" w:rsidR="00FD57F2" w:rsidRPr="00D46647" w:rsidRDefault="00FD57F2" w:rsidP="00FD57F2">
            <w:pPr>
              <w:ind w:left="-57" w:right="-57"/>
              <w:jc w:val="center"/>
              <w:rPr>
                <w:sz w:val="18"/>
                <w:szCs w:val="18"/>
              </w:rPr>
            </w:pPr>
          </w:p>
        </w:tc>
        <w:tc>
          <w:tcPr>
            <w:tcW w:w="417" w:type="dxa"/>
            <w:shd w:val="clear" w:color="auto" w:fill="auto"/>
            <w:noWrap/>
            <w:tcMar>
              <w:left w:w="108" w:type="dxa"/>
              <w:right w:w="108" w:type="dxa"/>
            </w:tcMar>
            <w:vAlign w:val="center"/>
            <w:hideMark/>
          </w:tcPr>
          <w:p w14:paraId="207340C3" w14:textId="77777777" w:rsidR="00FD57F2" w:rsidRPr="00D46647" w:rsidRDefault="00FD57F2" w:rsidP="00FD57F2">
            <w:pPr>
              <w:ind w:left="-57" w:right="-57"/>
              <w:rPr>
                <w:sz w:val="18"/>
                <w:szCs w:val="18"/>
              </w:rPr>
            </w:pPr>
          </w:p>
        </w:tc>
        <w:tc>
          <w:tcPr>
            <w:tcW w:w="378" w:type="dxa"/>
            <w:shd w:val="clear" w:color="auto" w:fill="auto"/>
            <w:noWrap/>
            <w:tcMar>
              <w:left w:w="108" w:type="dxa"/>
              <w:right w:w="108" w:type="dxa"/>
            </w:tcMar>
            <w:vAlign w:val="center"/>
            <w:hideMark/>
          </w:tcPr>
          <w:p w14:paraId="00883F6D"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05F5F020"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47099F97"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573C5063"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3FE4D71B"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491D0B4A"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7A46DF9C" w14:textId="77777777" w:rsidR="00FD57F2" w:rsidRPr="00D46647" w:rsidRDefault="00FD57F2" w:rsidP="00FD57F2">
            <w:pPr>
              <w:ind w:left="-57" w:right="-57"/>
              <w:rPr>
                <w:sz w:val="18"/>
                <w:szCs w:val="18"/>
              </w:rPr>
            </w:pPr>
          </w:p>
        </w:tc>
        <w:tc>
          <w:tcPr>
            <w:tcW w:w="341" w:type="dxa"/>
            <w:tcMar>
              <w:left w:w="108" w:type="dxa"/>
              <w:right w:w="108" w:type="dxa"/>
            </w:tcMar>
            <w:vAlign w:val="center"/>
          </w:tcPr>
          <w:p w14:paraId="0BFD59B0" w14:textId="77777777" w:rsidR="00FD57F2" w:rsidRPr="00D46647" w:rsidRDefault="00FD57F2" w:rsidP="00FD57F2">
            <w:pPr>
              <w:ind w:left="-57" w:right="-57"/>
              <w:jc w:val="center"/>
              <w:rPr>
                <w:sz w:val="18"/>
                <w:szCs w:val="18"/>
              </w:rPr>
            </w:pPr>
          </w:p>
        </w:tc>
        <w:tc>
          <w:tcPr>
            <w:tcW w:w="341" w:type="dxa"/>
            <w:tcMar>
              <w:left w:w="108" w:type="dxa"/>
              <w:right w:w="108" w:type="dxa"/>
            </w:tcMar>
            <w:vAlign w:val="center"/>
          </w:tcPr>
          <w:p w14:paraId="11666BB7" w14:textId="77777777" w:rsidR="00FD57F2" w:rsidRPr="00D46647" w:rsidRDefault="00FD57F2" w:rsidP="00FD57F2">
            <w:pPr>
              <w:ind w:left="-57" w:right="-57"/>
              <w:jc w:val="center"/>
              <w:rPr>
                <w:sz w:val="18"/>
                <w:szCs w:val="18"/>
              </w:rPr>
            </w:pPr>
          </w:p>
        </w:tc>
        <w:tc>
          <w:tcPr>
            <w:tcW w:w="341" w:type="dxa"/>
            <w:vAlign w:val="center"/>
          </w:tcPr>
          <w:p w14:paraId="213EF67E" w14:textId="77777777" w:rsidR="00FD57F2" w:rsidRPr="00D46647" w:rsidRDefault="00FD57F2" w:rsidP="00FD57F2">
            <w:pPr>
              <w:ind w:left="-57" w:right="-57"/>
              <w:jc w:val="center"/>
              <w:rPr>
                <w:sz w:val="18"/>
                <w:szCs w:val="18"/>
              </w:rPr>
            </w:pPr>
          </w:p>
        </w:tc>
        <w:tc>
          <w:tcPr>
            <w:tcW w:w="341" w:type="dxa"/>
            <w:vAlign w:val="center"/>
          </w:tcPr>
          <w:p w14:paraId="0782FD4B" w14:textId="77777777" w:rsidR="00FD57F2" w:rsidRPr="00D46647" w:rsidRDefault="00FD57F2" w:rsidP="00FD57F2">
            <w:pPr>
              <w:ind w:left="-57" w:right="-57"/>
              <w:jc w:val="center"/>
              <w:rPr>
                <w:sz w:val="18"/>
                <w:szCs w:val="18"/>
              </w:rPr>
            </w:pPr>
          </w:p>
        </w:tc>
        <w:tc>
          <w:tcPr>
            <w:tcW w:w="341" w:type="dxa"/>
            <w:shd w:val="clear" w:color="auto" w:fill="auto"/>
            <w:vAlign w:val="center"/>
          </w:tcPr>
          <w:p w14:paraId="473BDE98" w14:textId="77777777" w:rsidR="00FD57F2" w:rsidRPr="00D46647" w:rsidRDefault="00FD57F2" w:rsidP="00FD57F2">
            <w:pPr>
              <w:ind w:left="-57" w:right="-57"/>
              <w:jc w:val="center"/>
              <w:rPr>
                <w:sz w:val="18"/>
                <w:szCs w:val="18"/>
              </w:rPr>
            </w:pPr>
          </w:p>
        </w:tc>
        <w:tc>
          <w:tcPr>
            <w:tcW w:w="343" w:type="dxa"/>
            <w:shd w:val="clear" w:color="auto" w:fill="auto"/>
            <w:vAlign w:val="center"/>
          </w:tcPr>
          <w:p w14:paraId="5ED73779" w14:textId="77777777" w:rsidR="00FD57F2" w:rsidRPr="00D46647" w:rsidRDefault="00FD57F2" w:rsidP="00FD57F2">
            <w:pPr>
              <w:ind w:left="-57" w:right="-57"/>
              <w:jc w:val="center"/>
              <w:rPr>
                <w:sz w:val="18"/>
                <w:szCs w:val="18"/>
              </w:rPr>
            </w:pPr>
          </w:p>
        </w:tc>
      </w:tr>
      <w:tr w:rsidR="00FD57F2" w:rsidRPr="00D46647" w14:paraId="52E3BC45" w14:textId="77777777" w:rsidTr="007E3422">
        <w:trPr>
          <w:jc w:val="center"/>
        </w:trPr>
        <w:tc>
          <w:tcPr>
            <w:tcW w:w="1779" w:type="dxa"/>
            <w:shd w:val="clear" w:color="auto" w:fill="auto"/>
            <w:noWrap/>
            <w:vAlign w:val="center"/>
            <w:hideMark/>
          </w:tcPr>
          <w:p w14:paraId="724C6164" w14:textId="77777777" w:rsidR="00FD57F2" w:rsidRPr="00D46647" w:rsidRDefault="00FD57F2" w:rsidP="00FD57F2">
            <w:pPr>
              <w:rPr>
                <w:sz w:val="16"/>
                <w:szCs w:val="16"/>
              </w:rPr>
            </w:pPr>
            <w:r w:rsidRPr="00D46647">
              <w:rPr>
                <w:sz w:val="16"/>
              </w:rPr>
              <w:t>Choix de la solution technique</w:t>
            </w:r>
          </w:p>
        </w:tc>
        <w:tc>
          <w:tcPr>
            <w:tcW w:w="341" w:type="dxa"/>
            <w:shd w:val="clear" w:color="auto" w:fill="auto"/>
            <w:noWrap/>
            <w:tcMar>
              <w:left w:w="108" w:type="dxa"/>
              <w:right w:w="108" w:type="dxa"/>
            </w:tcMar>
            <w:vAlign w:val="center"/>
            <w:hideMark/>
          </w:tcPr>
          <w:p w14:paraId="77412CB7"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1A5D69BC"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0CAE1184"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0CE29B9F" w14:textId="77777777" w:rsidR="00FD57F2" w:rsidRPr="00D46647" w:rsidRDefault="00FD57F2" w:rsidP="00FD57F2">
            <w:pPr>
              <w:ind w:left="-57" w:right="-57"/>
              <w:rPr>
                <w:sz w:val="18"/>
                <w:szCs w:val="18"/>
              </w:rPr>
            </w:pPr>
          </w:p>
        </w:tc>
        <w:tc>
          <w:tcPr>
            <w:tcW w:w="342" w:type="dxa"/>
            <w:shd w:val="clear" w:color="auto" w:fill="auto"/>
            <w:noWrap/>
            <w:tcMar>
              <w:left w:w="108" w:type="dxa"/>
              <w:right w:w="108" w:type="dxa"/>
            </w:tcMar>
            <w:vAlign w:val="center"/>
            <w:hideMark/>
          </w:tcPr>
          <w:p w14:paraId="6C78CBBF"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712D45EF" w14:textId="77777777" w:rsidR="00FD57F2" w:rsidRPr="00D46647" w:rsidRDefault="00FD57F2" w:rsidP="00FD57F2">
            <w:pPr>
              <w:ind w:left="-57" w:right="-57"/>
              <w:rPr>
                <w:sz w:val="18"/>
                <w:szCs w:val="18"/>
              </w:rPr>
            </w:pPr>
          </w:p>
        </w:tc>
        <w:tc>
          <w:tcPr>
            <w:tcW w:w="390" w:type="dxa"/>
            <w:shd w:val="clear" w:color="auto" w:fill="auto"/>
            <w:noWrap/>
            <w:tcMar>
              <w:left w:w="108" w:type="dxa"/>
              <w:right w:w="108" w:type="dxa"/>
            </w:tcMar>
            <w:vAlign w:val="center"/>
            <w:hideMark/>
          </w:tcPr>
          <w:p w14:paraId="70E0E313" w14:textId="77777777" w:rsidR="00FD57F2" w:rsidRPr="00D46647" w:rsidRDefault="00FD57F2" w:rsidP="00FD57F2">
            <w:pPr>
              <w:ind w:left="-57" w:right="-57"/>
              <w:rPr>
                <w:sz w:val="18"/>
                <w:szCs w:val="18"/>
              </w:rPr>
            </w:pPr>
          </w:p>
        </w:tc>
        <w:tc>
          <w:tcPr>
            <w:tcW w:w="292" w:type="dxa"/>
            <w:shd w:val="clear" w:color="auto" w:fill="auto"/>
            <w:noWrap/>
            <w:tcMar>
              <w:left w:w="108" w:type="dxa"/>
              <w:right w:w="108" w:type="dxa"/>
            </w:tcMar>
            <w:vAlign w:val="center"/>
            <w:hideMark/>
          </w:tcPr>
          <w:p w14:paraId="7E74367A" w14:textId="77777777" w:rsidR="00FD57F2" w:rsidRPr="00D46647" w:rsidRDefault="00FD57F2" w:rsidP="00FD57F2">
            <w:pPr>
              <w:ind w:left="-57" w:right="-57"/>
              <w:rPr>
                <w:sz w:val="18"/>
                <w:szCs w:val="18"/>
              </w:rPr>
            </w:pPr>
          </w:p>
        </w:tc>
        <w:tc>
          <w:tcPr>
            <w:tcW w:w="417" w:type="dxa"/>
            <w:shd w:val="clear" w:color="auto" w:fill="auto"/>
            <w:noWrap/>
            <w:tcMar>
              <w:left w:w="108" w:type="dxa"/>
              <w:right w:w="108" w:type="dxa"/>
            </w:tcMar>
            <w:vAlign w:val="center"/>
            <w:hideMark/>
          </w:tcPr>
          <w:p w14:paraId="4B5AD9C9" w14:textId="77777777" w:rsidR="00FD57F2" w:rsidRPr="00D46647" w:rsidRDefault="00FD57F2" w:rsidP="00FD57F2">
            <w:pPr>
              <w:ind w:left="-57" w:right="-57"/>
              <w:rPr>
                <w:sz w:val="18"/>
                <w:szCs w:val="18"/>
              </w:rPr>
            </w:pPr>
          </w:p>
        </w:tc>
        <w:tc>
          <w:tcPr>
            <w:tcW w:w="378" w:type="dxa"/>
            <w:shd w:val="clear" w:color="auto" w:fill="auto"/>
            <w:noWrap/>
            <w:tcMar>
              <w:left w:w="108" w:type="dxa"/>
              <w:right w:w="108" w:type="dxa"/>
            </w:tcMar>
            <w:vAlign w:val="center"/>
            <w:hideMark/>
          </w:tcPr>
          <w:p w14:paraId="7761CA69"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7D9F088A"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591793A3"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7887B7A4"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099D1035"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69837DDE"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7480ABD3" w14:textId="77777777" w:rsidR="00FD57F2" w:rsidRPr="00D46647" w:rsidRDefault="00FD57F2" w:rsidP="00FD57F2">
            <w:pPr>
              <w:ind w:left="-57" w:right="-57"/>
              <w:rPr>
                <w:sz w:val="18"/>
                <w:szCs w:val="18"/>
              </w:rPr>
            </w:pPr>
          </w:p>
        </w:tc>
        <w:tc>
          <w:tcPr>
            <w:tcW w:w="341" w:type="dxa"/>
            <w:tcMar>
              <w:left w:w="108" w:type="dxa"/>
              <w:right w:w="108" w:type="dxa"/>
            </w:tcMar>
            <w:vAlign w:val="center"/>
          </w:tcPr>
          <w:p w14:paraId="074CB95D" w14:textId="77777777" w:rsidR="00FD57F2" w:rsidRPr="00D46647" w:rsidRDefault="00FD57F2" w:rsidP="00FD57F2">
            <w:pPr>
              <w:ind w:left="-57" w:right="-57"/>
              <w:jc w:val="center"/>
              <w:rPr>
                <w:sz w:val="18"/>
                <w:szCs w:val="18"/>
              </w:rPr>
            </w:pPr>
          </w:p>
        </w:tc>
        <w:tc>
          <w:tcPr>
            <w:tcW w:w="341" w:type="dxa"/>
            <w:tcMar>
              <w:left w:w="108" w:type="dxa"/>
              <w:right w:w="108" w:type="dxa"/>
            </w:tcMar>
            <w:vAlign w:val="center"/>
          </w:tcPr>
          <w:p w14:paraId="256FD411" w14:textId="77777777" w:rsidR="00FD57F2" w:rsidRPr="00D46647" w:rsidRDefault="00FD57F2" w:rsidP="00FD57F2">
            <w:pPr>
              <w:ind w:left="-57" w:right="-57"/>
              <w:jc w:val="center"/>
              <w:rPr>
                <w:sz w:val="18"/>
                <w:szCs w:val="18"/>
              </w:rPr>
            </w:pPr>
          </w:p>
        </w:tc>
        <w:tc>
          <w:tcPr>
            <w:tcW w:w="341" w:type="dxa"/>
            <w:vAlign w:val="center"/>
          </w:tcPr>
          <w:p w14:paraId="4E275B41" w14:textId="77777777" w:rsidR="00FD57F2" w:rsidRPr="00D46647" w:rsidRDefault="00FD57F2" w:rsidP="00FD57F2">
            <w:pPr>
              <w:ind w:left="-57" w:right="-57"/>
              <w:jc w:val="center"/>
              <w:rPr>
                <w:sz w:val="18"/>
                <w:szCs w:val="18"/>
              </w:rPr>
            </w:pPr>
          </w:p>
        </w:tc>
        <w:tc>
          <w:tcPr>
            <w:tcW w:w="341" w:type="dxa"/>
            <w:vAlign w:val="center"/>
          </w:tcPr>
          <w:p w14:paraId="56E4A69A" w14:textId="77777777" w:rsidR="00FD57F2" w:rsidRPr="00D46647" w:rsidRDefault="00FD57F2" w:rsidP="00FD57F2">
            <w:pPr>
              <w:ind w:left="-57" w:right="-57"/>
              <w:jc w:val="center"/>
              <w:rPr>
                <w:sz w:val="18"/>
                <w:szCs w:val="18"/>
              </w:rPr>
            </w:pPr>
          </w:p>
        </w:tc>
        <w:tc>
          <w:tcPr>
            <w:tcW w:w="341" w:type="dxa"/>
            <w:shd w:val="clear" w:color="auto" w:fill="auto"/>
            <w:vAlign w:val="center"/>
          </w:tcPr>
          <w:p w14:paraId="1CD8418E" w14:textId="77777777" w:rsidR="00FD57F2" w:rsidRPr="00D46647" w:rsidRDefault="00FD57F2" w:rsidP="00FD57F2">
            <w:pPr>
              <w:ind w:left="-57" w:right="-57"/>
              <w:jc w:val="center"/>
              <w:rPr>
                <w:sz w:val="18"/>
                <w:szCs w:val="18"/>
              </w:rPr>
            </w:pPr>
          </w:p>
        </w:tc>
        <w:tc>
          <w:tcPr>
            <w:tcW w:w="343" w:type="dxa"/>
            <w:shd w:val="clear" w:color="auto" w:fill="auto"/>
            <w:vAlign w:val="center"/>
          </w:tcPr>
          <w:p w14:paraId="2F57B5BC" w14:textId="77777777" w:rsidR="00FD57F2" w:rsidRPr="00D46647" w:rsidRDefault="00FD57F2" w:rsidP="00FD57F2">
            <w:pPr>
              <w:ind w:left="-57" w:right="-57"/>
              <w:jc w:val="center"/>
              <w:rPr>
                <w:sz w:val="18"/>
                <w:szCs w:val="18"/>
              </w:rPr>
            </w:pPr>
          </w:p>
        </w:tc>
      </w:tr>
      <w:tr w:rsidR="00FD57F2" w:rsidRPr="00D46647" w14:paraId="6C68519A" w14:textId="77777777" w:rsidTr="007E3422">
        <w:trPr>
          <w:jc w:val="center"/>
        </w:trPr>
        <w:tc>
          <w:tcPr>
            <w:tcW w:w="1779" w:type="dxa"/>
            <w:shd w:val="clear" w:color="auto" w:fill="auto"/>
            <w:noWrap/>
            <w:vAlign w:val="center"/>
            <w:hideMark/>
          </w:tcPr>
          <w:p w14:paraId="05BA8E25" w14:textId="77777777" w:rsidR="00FD57F2" w:rsidRPr="00D46647" w:rsidRDefault="00FD57F2" w:rsidP="00FD57F2">
            <w:pPr>
              <w:rPr>
                <w:sz w:val="16"/>
                <w:szCs w:val="16"/>
              </w:rPr>
            </w:pPr>
            <w:r w:rsidRPr="00D46647">
              <w:rPr>
                <w:sz w:val="16"/>
              </w:rPr>
              <w:t>Appels d’offres entreprises</w:t>
            </w:r>
          </w:p>
        </w:tc>
        <w:tc>
          <w:tcPr>
            <w:tcW w:w="341" w:type="dxa"/>
            <w:shd w:val="clear" w:color="auto" w:fill="auto"/>
            <w:noWrap/>
            <w:tcMar>
              <w:left w:w="108" w:type="dxa"/>
              <w:right w:w="108" w:type="dxa"/>
            </w:tcMar>
            <w:vAlign w:val="center"/>
            <w:hideMark/>
          </w:tcPr>
          <w:p w14:paraId="60EBC435"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4FD309E2"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6E2EFAC4"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hideMark/>
          </w:tcPr>
          <w:p w14:paraId="1B571EFA" w14:textId="77777777" w:rsidR="00FD57F2" w:rsidRPr="00D46647" w:rsidRDefault="00FD57F2" w:rsidP="00FD57F2">
            <w:pPr>
              <w:ind w:left="-57" w:right="-57"/>
              <w:rPr>
                <w:sz w:val="18"/>
                <w:szCs w:val="18"/>
              </w:rPr>
            </w:pPr>
          </w:p>
        </w:tc>
        <w:tc>
          <w:tcPr>
            <w:tcW w:w="342" w:type="dxa"/>
            <w:shd w:val="clear" w:color="auto" w:fill="auto"/>
            <w:noWrap/>
            <w:tcMar>
              <w:left w:w="108" w:type="dxa"/>
              <w:right w:w="108" w:type="dxa"/>
            </w:tcMar>
            <w:vAlign w:val="center"/>
            <w:hideMark/>
          </w:tcPr>
          <w:p w14:paraId="784C1457" w14:textId="77777777" w:rsidR="00FD57F2" w:rsidRPr="00D46647" w:rsidRDefault="00FD57F2" w:rsidP="00FD57F2">
            <w:pPr>
              <w:ind w:left="-57" w:right="-57"/>
              <w:rPr>
                <w:sz w:val="18"/>
                <w:szCs w:val="18"/>
              </w:rPr>
            </w:pPr>
          </w:p>
        </w:tc>
        <w:tc>
          <w:tcPr>
            <w:tcW w:w="341" w:type="dxa"/>
            <w:shd w:val="clear" w:color="auto" w:fill="auto"/>
            <w:noWrap/>
            <w:tcMar>
              <w:left w:w="108" w:type="dxa"/>
              <w:right w:w="108" w:type="dxa"/>
            </w:tcMar>
            <w:vAlign w:val="center"/>
            <w:hideMark/>
          </w:tcPr>
          <w:p w14:paraId="19B53E4D" w14:textId="77777777" w:rsidR="00FD57F2" w:rsidRPr="00D46647" w:rsidRDefault="00FD57F2" w:rsidP="00FD57F2">
            <w:pPr>
              <w:ind w:left="-57" w:right="-57"/>
              <w:rPr>
                <w:sz w:val="18"/>
                <w:szCs w:val="18"/>
              </w:rPr>
            </w:pPr>
          </w:p>
        </w:tc>
        <w:tc>
          <w:tcPr>
            <w:tcW w:w="390" w:type="dxa"/>
            <w:shd w:val="clear" w:color="auto" w:fill="auto"/>
            <w:noWrap/>
            <w:tcMar>
              <w:left w:w="108" w:type="dxa"/>
              <w:right w:w="108" w:type="dxa"/>
            </w:tcMar>
            <w:vAlign w:val="center"/>
            <w:hideMark/>
          </w:tcPr>
          <w:p w14:paraId="5923CAA4" w14:textId="77777777" w:rsidR="00FD57F2" w:rsidRPr="00D46647" w:rsidRDefault="00FD57F2" w:rsidP="00FD57F2">
            <w:pPr>
              <w:ind w:left="-57" w:right="-57"/>
              <w:rPr>
                <w:sz w:val="18"/>
                <w:szCs w:val="18"/>
              </w:rPr>
            </w:pPr>
          </w:p>
        </w:tc>
        <w:tc>
          <w:tcPr>
            <w:tcW w:w="292" w:type="dxa"/>
            <w:shd w:val="clear" w:color="auto" w:fill="auto"/>
            <w:noWrap/>
            <w:tcMar>
              <w:left w:w="108" w:type="dxa"/>
              <w:right w:w="108" w:type="dxa"/>
            </w:tcMar>
            <w:vAlign w:val="center"/>
            <w:hideMark/>
          </w:tcPr>
          <w:p w14:paraId="4D21D809" w14:textId="77777777" w:rsidR="00FD57F2" w:rsidRPr="00D46647" w:rsidRDefault="00FD57F2" w:rsidP="00FD57F2">
            <w:pPr>
              <w:ind w:left="-57" w:right="-57"/>
              <w:rPr>
                <w:sz w:val="18"/>
                <w:szCs w:val="18"/>
              </w:rPr>
            </w:pPr>
          </w:p>
        </w:tc>
        <w:tc>
          <w:tcPr>
            <w:tcW w:w="417" w:type="dxa"/>
            <w:shd w:val="clear" w:color="auto" w:fill="auto"/>
            <w:noWrap/>
            <w:tcMar>
              <w:left w:w="108" w:type="dxa"/>
              <w:right w:w="108" w:type="dxa"/>
            </w:tcMar>
            <w:vAlign w:val="center"/>
            <w:hideMark/>
          </w:tcPr>
          <w:p w14:paraId="26699EAC" w14:textId="77777777" w:rsidR="00FD57F2" w:rsidRPr="00D46647" w:rsidRDefault="00FD57F2" w:rsidP="00FD57F2">
            <w:pPr>
              <w:ind w:left="-57" w:right="-57"/>
              <w:rPr>
                <w:sz w:val="18"/>
                <w:szCs w:val="18"/>
              </w:rPr>
            </w:pPr>
          </w:p>
        </w:tc>
        <w:tc>
          <w:tcPr>
            <w:tcW w:w="378" w:type="dxa"/>
            <w:shd w:val="clear" w:color="auto" w:fill="auto"/>
            <w:noWrap/>
            <w:tcMar>
              <w:left w:w="108" w:type="dxa"/>
              <w:right w:w="108" w:type="dxa"/>
            </w:tcMar>
            <w:vAlign w:val="center"/>
            <w:hideMark/>
          </w:tcPr>
          <w:p w14:paraId="3CF8F850"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hideMark/>
          </w:tcPr>
          <w:p w14:paraId="365AE802"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hideMark/>
          </w:tcPr>
          <w:p w14:paraId="5883717D"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hideMark/>
          </w:tcPr>
          <w:p w14:paraId="45A59D4E"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7D908B74"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2D42E457"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noWrap/>
            <w:tcMar>
              <w:left w:w="108" w:type="dxa"/>
              <w:right w:w="108" w:type="dxa"/>
            </w:tcMar>
            <w:vAlign w:val="center"/>
            <w:hideMark/>
          </w:tcPr>
          <w:p w14:paraId="7A3EB98A" w14:textId="77777777" w:rsidR="00FD57F2" w:rsidRPr="00D46647" w:rsidRDefault="00FD57F2" w:rsidP="00FD57F2">
            <w:pPr>
              <w:ind w:left="-57" w:right="-57"/>
              <w:rPr>
                <w:sz w:val="18"/>
                <w:szCs w:val="18"/>
              </w:rPr>
            </w:pPr>
          </w:p>
        </w:tc>
        <w:tc>
          <w:tcPr>
            <w:tcW w:w="341" w:type="dxa"/>
            <w:tcMar>
              <w:left w:w="108" w:type="dxa"/>
              <w:right w:w="108" w:type="dxa"/>
            </w:tcMar>
            <w:vAlign w:val="center"/>
          </w:tcPr>
          <w:p w14:paraId="5360DE77" w14:textId="77777777" w:rsidR="00FD57F2" w:rsidRPr="00D46647" w:rsidRDefault="00FD57F2" w:rsidP="00FD57F2">
            <w:pPr>
              <w:ind w:left="-57" w:right="-57"/>
              <w:jc w:val="center"/>
              <w:rPr>
                <w:sz w:val="18"/>
                <w:szCs w:val="18"/>
              </w:rPr>
            </w:pPr>
          </w:p>
        </w:tc>
        <w:tc>
          <w:tcPr>
            <w:tcW w:w="341" w:type="dxa"/>
            <w:tcMar>
              <w:left w:w="108" w:type="dxa"/>
              <w:right w:w="108" w:type="dxa"/>
            </w:tcMar>
            <w:vAlign w:val="center"/>
          </w:tcPr>
          <w:p w14:paraId="46435452" w14:textId="77777777" w:rsidR="00FD57F2" w:rsidRPr="00D46647" w:rsidRDefault="00FD57F2" w:rsidP="00FD57F2">
            <w:pPr>
              <w:ind w:left="-57" w:right="-57"/>
              <w:jc w:val="center"/>
              <w:rPr>
                <w:sz w:val="18"/>
                <w:szCs w:val="18"/>
              </w:rPr>
            </w:pPr>
          </w:p>
        </w:tc>
        <w:tc>
          <w:tcPr>
            <w:tcW w:w="341" w:type="dxa"/>
            <w:vAlign w:val="center"/>
          </w:tcPr>
          <w:p w14:paraId="2006A682" w14:textId="77777777" w:rsidR="00FD57F2" w:rsidRPr="00D46647" w:rsidRDefault="00FD57F2" w:rsidP="00FD57F2">
            <w:pPr>
              <w:ind w:left="-57" w:right="-57"/>
              <w:jc w:val="center"/>
              <w:rPr>
                <w:sz w:val="18"/>
                <w:szCs w:val="18"/>
              </w:rPr>
            </w:pPr>
          </w:p>
        </w:tc>
        <w:tc>
          <w:tcPr>
            <w:tcW w:w="341" w:type="dxa"/>
            <w:vAlign w:val="center"/>
          </w:tcPr>
          <w:p w14:paraId="3A2E7F1A" w14:textId="77777777" w:rsidR="00FD57F2" w:rsidRPr="00D46647" w:rsidRDefault="00FD57F2" w:rsidP="00FD57F2">
            <w:pPr>
              <w:ind w:left="-57" w:right="-57"/>
              <w:jc w:val="center"/>
              <w:rPr>
                <w:sz w:val="18"/>
                <w:szCs w:val="18"/>
              </w:rPr>
            </w:pPr>
          </w:p>
        </w:tc>
        <w:tc>
          <w:tcPr>
            <w:tcW w:w="341" w:type="dxa"/>
            <w:shd w:val="clear" w:color="auto" w:fill="auto"/>
            <w:vAlign w:val="center"/>
          </w:tcPr>
          <w:p w14:paraId="24CED2ED" w14:textId="77777777" w:rsidR="00FD57F2" w:rsidRPr="00D46647" w:rsidRDefault="00FD57F2" w:rsidP="00FD57F2">
            <w:pPr>
              <w:ind w:left="-57" w:right="-57"/>
              <w:jc w:val="center"/>
              <w:rPr>
                <w:sz w:val="18"/>
                <w:szCs w:val="18"/>
              </w:rPr>
            </w:pPr>
          </w:p>
        </w:tc>
        <w:tc>
          <w:tcPr>
            <w:tcW w:w="343" w:type="dxa"/>
            <w:shd w:val="clear" w:color="auto" w:fill="auto"/>
            <w:vAlign w:val="center"/>
          </w:tcPr>
          <w:p w14:paraId="2D7E96B4" w14:textId="77777777" w:rsidR="00FD57F2" w:rsidRPr="00D46647" w:rsidRDefault="00FD57F2" w:rsidP="00FD57F2">
            <w:pPr>
              <w:ind w:left="-57" w:right="-57"/>
              <w:jc w:val="center"/>
              <w:rPr>
                <w:sz w:val="18"/>
                <w:szCs w:val="18"/>
              </w:rPr>
            </w:pPr>
          </w:p>
        </w:tc>
      </w:tr>
      <w:tr w:rsidR="00FD57F2" w:rsidRPr="00D46647" w14:paraId="6F370FDC" w14:textId="77777777" w:rsidTr="007E3422">
        <w:trPr>
          <w:jc w:val="center"/>
        </w:trPr>
        <w:tc>
          <w:tcPr>
            <w:tcW w:w="1779" w:type="dxa"/>
            <w:shd w:val="clear" w:color="auto" w:fill="auto"/>
            <w:noWrap/>
            <w:vAlign w:val="center"/>
          </w:tcPr>
          <w:p w14:paraId="790F7575" w14:textId="77777777" w:rsidR="00FD57F2" w:rsidRPr="00D46647" w:rsidRDefault="00FD57F2" w:rsidP="00FD57F2">
            <w:pPr>
              <w:rPr>
                <w:sz w:val="16"/>
                <w:szCs w:val="16"/>
              </w:rPr>
            </w:pPr>
            <w:r w:rsidRPr="00D46647">
              <w:rPr>
                <w:sz w:val="16"/>
              </w:rPr>
              <w:t>Travaux</w:t>
            </w:r>
          </w:p>
        </w:tc>
        <w:tc>
          <w:tcPr>
            <w:tcW w:w="341" w:type="dxa"/>
            <w:shd w:val="clear" w:color="auto" w:fill="auto"/>
            <w:noWrap/>
            <w:tcMar>
              <w:left w:w="108" w:type="dxa"/>
              <w:right w:w="108" w:type="dxa"/>
            </w:tcMar>
            <w:vAlign w:val="center"/>
          </w:tcPr>
          <w:p w14:paraId="6119F4B9"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3BCE5AB6"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767ADB78"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62428540"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2CFECF6E"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46686702" w14:textId="77777777" w:rsidR="00FD57F2" w:rsidRPr="00D46647" w:rsidRDefault="00FD57F2" w:rsidP="00FD57F2">
            <w:pPr>
              <w:ind w:left="-57" w:right="-57"/>
              <w:jc w:val="center"/>
              <w:rPr>
                <w:sz w:val="18"/>
                <w:szCs w:val="18"/>
              </w:rPr>
            </w:pPr>
          </w:p>
        </w:tc>
        <w:tc>
          <w:tcPr>
            <w:tcW w:w="390" w:type="dxa"/>
            <w:shd w:val="clear" w:color="auto" w:fill="auto"/>
            <w:noWrap/>
            <w:tcMar>
              <w:left w:w="108" w:type="dxa"/>
              <w:right w:w="108" w:type="dxa"/>
            </w:tcMar>
            <w:vAlign w:val="center"/>
          </w:tcPr>
          <w:p w14:paraId="2E448C79" w14:textId="77777777" w:rsidR="00FD57F2" w:rsidRPr="00D46647" w:rsidRDefault="00FD57F2" w:rsidP="00FD57F2">
            <w:pPr>
              <w:ind w:left="-57" w:right="-57"/>
              <w:jc w:val="center"/>
              <w:rPr>
                <w:sz w:val="18"/>
                <w:szCs w:val="18"/>
              </w:rPr>
            </w:pPr>
          </w:p>
        </w:tc>
        <w:tc>
          <w:tcPr>
            <w:tcW w:w="292" w:type="dxa"/>
            <w:shd w:val="clear" w:color="auto" w:fill="auto"/>
            <w:noWrap/>
            <w:tcMar>
              <w:left w:w="108" w:type="dxa"/>
              <w:right w:w="108" w:type="dxa"/>
            </w:tcMar>
            <w:vAlign w:val="center"/>
          </w:tcPr>
          <w:p w14:paraId="16CDC225" w14:textId="77777777" w:rsidR="00FD57F2" w:rsidRPr="00D46647" w:rsidRDefault="00FD57F2" w:rsidP="00FD57F2">
            <w:pPr>
              <w:ind w:left="-57" w:right="-57"/>
              <w:jc w:val="center"/>
              <w:rPr>
                <w:sz w:val="18"/>
                <w:szCs w:val="18"/>
              </w:rPr>
            </w:pPr>
          </w:p>
        </w:tc>
        <w:tc>
          <w:tcPr>
            <w:tcW w:w="417" w:type="dxa"/>
            <w:shd w:val="clear" w:color="auto" w:fill="auto"/>
            <w:noWrap/>
            <w:tcMar>
              <w:left w:w="108" w:type="dxa"/>
              <w:right w:w="108" w:type="dxa"/>
            </w:tcMar>
            <w:vAlign w:val="center"/>
          </w:tcPr>
          <w:p w14:paraId="6E9DC427" w14:textId="77777777" w:rsidR="00FD57F2" w:rsidRPr="00D46647" w:rsidRDefault="00FD57F2" w:rsidP="00FD57F2">
            <w:pPr>
              <w:ind w:left="-57" w:right="-57"/>
              <w:jc w:val="center"/>
              <w:rPr>
                <w:sz w:val="18"/>
                <w:szCs w:val="18"/>
              </w:rPr>
            </w:pPr>
          </w:p>
        </w:tc>
        <w:tc>
          <w:tcPr>
            <w:tcW w:w="378" w:type="dxa"/>
            <w:shd w:val="clear" w:color="auto" w:fill="auto"/>
            <w:noWrap/>
            <w:tcMar>
              <w:left w:w="108" w:type="dxa"/>
              <w:right w:w="108" w:type="dxa"/>
            </w:tcMar>
            <w:vAlign w:val="center"/>
          </w:tcPr>
          <w:p w14:paraId="357B0DA5"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4CC747FC"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14216E9C"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619D04E7"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5FD1EE87"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13B89E5E"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2CA03026" w14:textId="77777777" w:rsidR="00FD57F2" w:rsidRPr="00D46647" w:rsidRDefault="00FD57F2" w:rsidP="00FD57F2">
            <w:pPr>
              <w:ind w:left="-57" w:right="-57"/>
              <w:jc w:val="center"/>
              <w:rPr>
                <w:sz w:val="18"/>
                <w:szCs w:val="18"/>
              </w:rPr>
            </w:pPr>
            <w:r w:rsidRPr="00D46647">
              <w:rPr>
                <w:sz w:val="18"/>
                <w:szCs w:val="18"/>
              </w:rPr>
              <w:t>X</w:t>
            </w:r>
          </w:p>
        </w:tc>
        <w:tc>
          <w:tcPr>
            <w:tcW w:w="341" w:type="dxa"/>
            <w:tcMar>
              <w:left w:w="108" w:type="dxa"/>
              <w:right w:w="108" w:type="dxa"/>
            </w:tcMar>
            <w:vAlign w:val="center"/>
          </w:tcPr>
          <w:p w14:paraId="1863FDE5" w14:textId="77777777" w:rsidR="00FD57F2" w:rsidRPr="00D46647" w:rsidRDefault="00FD57F2" w:rsidP="00FD57F2">
            <w:pPr>
              <w:ind w:left="-57" w:right="-57"/>
              <w:jc w:val="center"/>
              <w:rPr>
                <w:sz w:val="18"/>
                <w:szCs w:val="18"/>
              </w:rPr>
            </w:pPr>
            <w:r w:rsidRPr="00D46647">
              <w:rPr>
                <w:sz w:val="18"/>
                <w:szCs w:val="18"/>
              </w:rPr>
              <w:t>X</w:t>
            </w:r>
          </w:p>
        </w:tc>
        <w:tc>
          <w:tcPr>
            <w:tcW w:w="341" w:type="dxa"/>
            <w:tcMar>
              <w:left w:w="108" w:type="dxa"/>
              <w:right w:w="108" w:type="dxa"/>
            </w:tcMar>
            <w:vAlign w:val="center"/>
          </w:tcPr>
          <w:p w14:paraId="4F0FF6BC" w14:textId="77777777" w:rsidR="00FD57F2" w:rsidRPr="00D46647" w:rsidRDefault="00FD57F2" w:rsidP="00FD57F2">
            <w:pPr>
              <w:ind w:left="-57" w:right="-57"/>
              <w:jc w:val="center"/>
              <w:rPr>
                <w:sz w:val="18"/>
                <w:szCs w:val="18"/>
              </w:rPr>
            </w:pPr>
            <w:r w:rsidRPr="00D46647">
              <w:rPr>
                <w:sz w:val="18"/>
                <w:szCs w:val="18"/>
              </w:rPr>
              <w:t>X</w:t>
            </w:r>
          </w:p>
        </w:tc>
        <w:tc>
          <w:tcPr>
            <w:tcW w:w="341" w:type="dxa"/>
            <w:vAlign w:val="center"/>
          </w:tcPr>
          <w:p w14:paraId="32795B25" w14:textId="77777777" w:rsidR="00FD57F2" w:rsidRPr="00D46647" w:rsidRDefault="00FD57F2" w:rsidP="00FD57F2">
            <w:pPr>
              <w:ind w:left="-57" w:right="-57"/>
              <w:jc w:val="center"/>
              <w:rPr>
                <w:sz w:val="18"/>
                <w:szCs w:val="18"/>
              </w:rPr>
            </w:pPr>
            <w:r w:rsidRPr="00D46647">
              <w:rPr>
                <w:sz w:val="18"/>
                <w:szCs w:val="18"/>
              </w:rPr>
              <w:t>X</w:t>
            </w:r>
          </w:p>
        </w:tc>
        <w:tc>
          <w:tcPr>
            <w:tcW w:w="341" w:type="dxa"/>
            <w:vAlign w:val="center"/>
          </w:tcPr>
          <w:p w14:paraId="74AA73E7" w14:textId="77777777" w:rsidR="00FD57F2" w:rsidRPr="00D46647" w:rsidRDefault="00FD57F2" w:rsidP="00FD57F2">
            <w:pPr>
              <w:ind w:left="-57" w:right="-57"/>
              <w:jc w:val="center"/>
              <w:rPr>
                <w:sz w:val="18"/>
                <w:szCs w:val="18"/>
              </w:rPr>
            </w:pPr>
            <w:r w:rsidRPr="00D46647">
              <w:rPr>
                <w:sz w:val="18"/>
                <w:szCs w:val="18"/>
              </w:rPr>
              <w:t>X</w:t>
            </w:r>
          </w:p>
        </w:tc>
        <w:tc>
          <w:tcPr>
            <w:tcW w:w="341" w:type="dxa"/>
            <w:shd w:val="clear" w:color="auto" w:fill="auto"/>
            <w:vAlign w:val="center"/>
          </w:tcPr>
          <w:p w14:paraId="4A2D6079" w14:textId="77777777" w:rsidR="00FD57F2" w:rsidRPr="00D46647" w:rsidRDefault="00FD57F2" w:rsidP="00FD57F2">
            <w:pPr>
              <w:ind w:left="-57" w:right="-57"/>
              <w:jc w:val="center"/>
              <w:rPr>
                <w:sz w:val="18"/>
                <w:szCs w:val="18"/>
              </w:rPr>
            </w:pPr>
            <w:r w:rsidRPr="00D46647">
              <w:rPr>
                <w:sz w:val="18"/>
                <w:szCs w:val="18"/>
              </w:rPr>
              <w:t>X</w:t>
            </w:r>
          </w:p>
        </w:tc>
        <w:tc>
          <w:tcPr>
            <w:tcW w:w="343" w:type="dxa"/>
            <w:shd w:val="clear" w:color="auto" w:fill="auto"/>
            <w:vAlign w:val="center"/>
          </w:tcPr>
          <w:p w14:paraId="49DAF007" w14:textId="77777777" w:rsidR="00FD57F2" w:rsidRPr="00D46647" w:rsidRDefault="00FD57F2" w:rsidP="00FD57F2">
            <w:pPr>
              <w:ind w:left="-57" w:right="-57"/>
              <w:jc w:val="center"/>
              <w:rPr>
                <w:sz w:val="18"/>
                <w:szCs w:val="18"/>
              </w:rPr>
            </w:pPr>
            <w:r w:rsidRPr="00D46647">
              <w:rPr>
                <w:sz w:val="18"/>
                <w:szCs w:val="18"/>
              </w:rPr>
              <w:t>X</w:t>
            </w:r>
          </w:p>
        </w:tc>
      </w:tr>
      <w:tr w:rsidR="00FD57F2" w:rsidRPr="00D46647" w14:paraId="68FA5E3B" w14:textId="77777777" w:rsidTr="007E3422">
        <w:trPr>
          <w:jc w:val="center"/>
        </w:trPr>
        <w:tc>
          <w:tcPr>
            <w:tcW w:w="1779" w:type="dxa"/>
            <w:shd w:val="clear" w:color="auto" w:fill="auto"/>
            <w:noWrap/>
            <w:vAlign w:val="center"/>
          </w:tcPr>
          <w:p w14:paraId="2E686A87" w14:textId="77777777" w:rsidR="00FD57F2" w:rsidRPr="00D46647" w:rsidRDefault="00FD57F2" w:rsidP="00FD57F2">
            <w:pPr>
              <w:rPr>
                <w:sz w:val="16"/>
                <w:szCs w:val="16"/>
              </w:rPr>
            </w:pPr>
            <w:r w:rsidRPr="00D46647">
              <w:rPr>
                <w:sz w:val="16"/>
              </w:rPr>
              <w:t>Mise en service</w:t>
            </w:r>
          </w:p>
        </w:tc>
        <w:tc>
          <w:tcPr>
            <w:tcW w:w="341" w:type="dxa"/>
            <w:shd w:val="clear" w:color="auto" w:fill="auto"/>
            <w:noWrap/>
            <w:tcMar>
              <w:left w:w="108" w:type="dxa"/>
              <w:right w:w="108" w:type="dxa"/>
            </w:tcMar>
            <w:vAlign w:val="center"/>
          </w:tcPr>
          <w:p w14:paraId="76CB7D67"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7796D9BE"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712C3B7E"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48F33926" w14:textId="77777777" w:rsidR="00FD57F2" w:rsidRPr="00D46647" w:rsidRDefault="00FD57F2" w:rsidP="00FD57F2">
            <w:pPr>
              <w:ind w:left="-57" w:right="-57"/>
              <w:jc w:val="center"/>
              <w:rPr>
                <w:sz w:val="18"/>
                <w:szCs w:val="18"/>
              </w:rPr>
            </w:pPr>
          </w:p>
        </w:tc>
        <w:tc>
          <w:tcPr>
            <w:tcW w:w="342" w:type="dxa"/>
            <w:shd w:val="clear" w:color="auto" w:fill="auto"/>
            <w:noWrap/>
            <w:tcMar>
              <w:left w:w="108" w:type="dxa"/>
              <w:right w:w="108" w:type="dxa"/>
            </w:tcMar>
            <w:vAlign w:val="center"/>
          </w:tcPr>
          <w:p w14:paraId="35E441B2"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10B909CE" w14:textId="77777777" w:rsidR="00FD57F2" w:rsidRPr="00D46647" w:rsidRDefault="00FD57F2" w:rsidP="00FD57F2">
            <w:pPr>
              <w:ind w:left="-57" w:right="-57"/>
              <w:jc w:val="center"/>
              <w:rPr>
                <w:sz w:val="18"/>
                <w:szCs w:val="18"/>
              </w:rPr>
            </w:pPr>
          </w:p>
        </w:tc>
        <w:tc>
          <w:tcPr>
            <w:tcW w:w="390" w:type="dxa"/>
            <w:shd w:val="clear" w:color="auto" w:fill="auto"/>
            <w:noWrap/>
            <w:tcMar>
              <w:left w:w="108" w:type="dxa"/>
              <w:right w:w="108" w:type="dxa"/>
            </w:tcMar>
            <w:vAlign w:val="center"/>
          </w:tcPr>
          <w:p w14:paraId="25B9E9E5" w14:textId="77777777" w:rsidR="00FD57F2" w:rsidRPr="00D46647" w:rsidRDefault="00FD57F2" w:rsidP="00FD57F2">
            <w:pPr>
              <w:ind w:left="-57" w:right="-57"/>
              <w:jc w:val="center"/>
              <w:rPr>
                <w:sz w:val="18"/>
                <w:szCs w:val="18"/>
              </w:rPr>
            </w:pPr>
          </w:p>
        </w:tc>
        <w:tc>
          <w:tcPr>
            <w:tcW w:w="292" w:type="dxa"/>
            <w:shd w:val="clear" w:color="auto" w:fill="auto"/>
            <w:noWrap/>
            <w:tcMar>
              <w:left w:w="108" w:type="dxa"/>
              <w:right w:w="108" w:type="dxa"/>
            </w:tcMar>
            <w:vAlign w:val="center"/>
          </w:tcPr>
          <w:p w14:paraId="684EC9A9" w14:textId="77777777" w:rsidR="00FD57F2" w:rsidRPr="00D46647" w:rsidRDefault="00FD57F2" w:rsidP="00FD57F2">
            <w:pPr>
              <w:ind w:left="-57" w:right="-57"/>
              <w:jc w:val="center"/>
              <w:rPr>
                <w:sz w:val="18"/>
                <w:szCs w:val="18"/>
              </w:rPr>
            </w:pPr>
          </w:p>
        </w:tc>
        <w:tc>
          <w:tcPr>
            <w:tcW w:w="417" w:type="dxa"/>
            <w:shd w:val="clear" w:color="auto" w:fill="auto"/>
            <w:noWrap/>
            <w:tcMar>
              <w:left w:w="108" w:type="dxa"/>
              <w:right w:w="108" w:type="dxa"/>
            </w:tcMar>
            <w:vAlign w:val="center"/>
          </w:tcPr>
          <w:p w14:paraId="319B3F92" w14:textId="77777777" w:rsidR="00FD57F2" w:rsidRPr="00D46647" w:rsidRDefault="00FD57F2" w:rsidP="00FD57F2">
            <w:pPr>
              <w:ind w:left="-57" w:right="-57"/>
              <w:jc w:val="center"/>
              <w:rPr>
                <w:sz w:val="18"/>
                <w:szCs w:val="18"/>
              </w:rPr>
            </w:pPr>
          </w:p>
        </w:tc>
        <w:tc>
          <w:tcPr>
            <w:tcW w:w="378" w:type="dxa"/>
            <w:shd w:val="clear" w:color="auto" w:fill="auto"/>
            <w:noWrap/>
            <w:tcMar>
              <w:left w:w="108" w:type="dxa"/>
              <w:right w:w="108" w:type="dxa"/>
            </w:tcMar>
            <w:vAlign w:val="center"/>
          </w:tcPr>
          <w:p w14:paraId="2BE2A273"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307EEA86"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0FF7DADE"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3294355D"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7AD00BE5"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1A654B9A" w14:textId="77777777" w:rsidR="00FD57F2" w:rsidRPr="00D46647" w:rsidRDefault="00FD57F2" w:rsidP="00FD57F2">
            <w:pPr>
              <w:ind w:left="-57" w:right="-57"/>
              <w:jc w:val="center"/>
              <w:rPr>
                <w:sz w:val="18"/>
                <w:szCs w:val="18"/>
              </w:rPr>
            </w:pPr>
          </w:p>
        </w:tc>
        <w:tc>
          <w:tcPr>
            <w:tcW w:w="341" w:type="dxa"/>
            <w:shd w:val="clear" w:color="auto" w:fill="auto"/>
            <w:noWrap/>
            <w:tcMar>
              <w:left w:w="108" w:type="dxa"/>
              <w:right w:w="108" w:type="dxa"/>
            </w:tcMar>
            <w:vAlign w:val="center"/>
          </w:tcPr>
          <w:p w14:paraId="3B120CB7" w14:textId="77777777" w:rsidR="00FD57F2" w:rsidRPr="00D46647" w:rsidRDefault="00FD57F2" w:rsidP="00FD57F2">
            <w:pPr>
              <w:ind w:left="-57" w:right="-57"/>
              <w:jc w:val="center"/>
              <w:rPr>
                <w:sz w:val="18"/>
                <w:szCs w:val="18"/>
              </w:rPr>
            </w:pPr>
          </w:p>
        </w:tc>
        <w:tc>
          <w:tcPr>
            <w:tcW w:w="341" w:type="dxa"/>
            <w:shd w:val="clear" w:color="auto" w:fill="auto"/>
            <w:tcMar>
              <w:left w:w="108" w:type="dxa"/>
              <w:right w:w="108" w:type="dxa"/>
            </w:tcMar>
            <w:vAlign w:val="center"/>
          </w:tcPr>
          <w:p w14:paraId="3E7EA40B" w14:textId="77777777" w:rsidR="00FD57F2" w:rsidRPr="00D46647" w:rsidRDefault="00FD57F2" w:rsidP="00FD57F2">
            <w:pPr>
              <w:ind w:left="-57" w:right="-57"/>
              <w:jc w:val="center"/>
              <w:rPr>
                <w:sz w:val="18"/>
                <w:szCs w:val="18"/>
              </w:rPr>
            </w:pPr>
          </w:p>
        </w:tc>
        <w:tc>
          <w:tcPr>
            <w:tcW w:w="341" w:type="dxa"/>
            <w:shd w:val="clear" w:color="auto" w:fill="auto"/>
            <w:tcMar>
              <w:left w:w="108" w:type="dxa"/>
              <w:right w:w="108" w:type="dxa"/>
            </w:tcMar>
            <w:vAlign w:val="center"/>
          </w:tcPr>
          <w:p w14:paraId="1B68127D" w14:textId="77777777" w:rsidR="00FD57F2" w:rsidRPr="00D46647" w:rsidRDefault="00FD57F2" w:rsidP="00FD57F2">
            <w:pPr>
              <w:ind w:left="-57" w:right="-57"/>
              <w:jc w:val="center"/>
              <w:rPr>
                <w:sz w:val="18"/>
                <w:szCs w:val="18"/>
              </w:rPr>
            </w:pPr>
          </w:p>
        </w:tc>
        <w:tc>
          <w:tcPr>
            <w:tcW w:w="341" w:type="dxa"/>
            <w:vAlign w:val="center"/>
          </w:tcPr>
          <w:p w14:paraId="029A0CBF" w14:textId="77777777" w:rsidR="00FD57F2" w:rsidRPr="00D46647" w:rsidRDefault="00FD57F2" w:rsidP="00FD57F2">
            <w:pPr>
              <w:ind w:left="-57" w:right="-57"/>
              <w:jc w:val="center"/>
              <w:rPr>
                <w:sz w:val="18"/>
                <w:szCs w:val="18"/>
              </w:rPr>
            </w:pPr>
          </w:p>
        </w:tc>
        <w:tc>
          <w:tcPr>
            <w:tcW w:w="341" w:type="dxa"/>
            <w:vAlign w:val="center"/>
          </w:tcPr>
          <w:p w14:paraId="6AE7ABDD" w14:textId="77777777" w:rsidR="00FD57F2" w:rsidRPr="00D46647" w:rsidRDefault="00FD57F2" w:rsidP="00FD57F2">
            <w:pPr>
              <w:ind w:left="-57" w:right="-57"/>
              <w:jc w:val="center"/>
              <w:rPr>
                <w:sz w:val="18"/>
                <w:szCs w:val="18"/>
              </w:rPr>
            </w:pPr>
          </w:p>
        </w:tc>
        <w:tc>
          <w:tcPr>
            <w:tcW w:w="341" w:type="dxa"/>
            <w:shd w:val="clear" w:color="auto" w:fill="auto"/>
            <w:vAlign w:val="center"/>
          </w:tcPr>
          <w:p w14:paraId="54B92B22" w14:textId="77777777" w:rsidR="00FD57F2" w:rsidRPr="00D46647" w:rsidRDefault="00FD57F2" w:rsidP="00FD57F2">
            <w:pPr>
              <w:ind w:left="-57" w:right="-57"/>
              <w:jc w:val="center"/>
              <w:rPr>
                <w:sz w:val="18"/>
                <w:szCs w:val="18"/>
              </w:rPr>
            </w:pPr>
          </w:p>
        </w:tc>
        <w:tc>
          <w:tcPr>
            <w:tcW w:w="343" w:type="dxa"/>
            <w:shd w:val="clear" w:color="auto" w:fill="auto"/>
            <w:vAlign w:val="center"/>
          </w:tcPr>
          <w:p w14:paraId="5EB88CB1" w14:textId="77777777" w:rsidR="00FD57F2" w:rsidRPr="00D46647" w:rsidRDefault="00FD57F2" w:rsidP="00FD57F2">
            <w:pPr>
              <w:ind w:left="-57" w:right="-57"/>
              <w:jc w:val="center"/>
              <w:rPr>
                <w:sz w:val="18"/>
                <w:szCs w:val="18"/>
              </w:rPr>
            </w:pPr>
            <w:r w:rsidRPr="00D46647">
              <w:rPr>
                <w:sz w:val="18"/>
                <w:szCs w:val="18"/>
              </w:rPr>
              <w:t>X</w:t>
            </w:r>
          </w:p>
        </w:tc>
      </w:tr>
    </w:tbl>
    <w:p w14:paraId="67FDE7E8" w14:textId="77777777" w:rsidR="00FD57F2" w:rsidRPr="00D46647" w:rsidRDefault="00FD57F2" w:rsidP="00FD57F2"/>
    <w:p w14:paraId="12B68D65" w14:textId="77777777" w:rsidR="00FD57F2" w:rsidRPr="00D46647" w:rsidRDefault="00FD57F2" w:rsidP="00FD57F2">
      <w:pPr>
        <w:spacing w:after="200" w:line="276" w:lineRule="auto"/>
        <w:rPr>
          <w:b/>
        </w:rPr>
      </w:pPr>
      <w:r w:rsidRPr="00D46647">
        <w:rPr>
          <w:b/>
        </w:rPr>
        <w:br w:type="page"/>
      </w:r>
    </w:p>
    <w:p w14:paraId="4130ACFB" w14:textId="0B287E5B" w:rsidR="00FD57F2" w:rsidRDefault="00FD57F2" w:rsidP="00FD57F2">
      <w:pPr>
        <w:rPr>
          <w:b/>
        </w:rPr>
      </w:pPr>
      <w:r w:rsidRPr="003F79BF">
        <w:rPr>
          <w:b/>
        </w:rPr>
        <w:t>PROJETS LIÉS AUX BÂTIMENTS</w:t>
      </w:r>
    </w:p>
    <w:p w14:paraId="75FFBBB6" w14:textId="77777777" w:rsidR="003F79BF" w:rsidRPr="00D46647" w:rsidRDefault="003F79BF" w:rsidP="00FD57F2">
      <w:pPr>
        <w:rPr>
          <w:b/>
          <w:i/>
          <w:sz w:val="20"/>
        </w:rPr>
      </w:pPr>
    </w:p>
    <w:p w14:paraId="0368FCC5" w14:textId="458AB99E" w:rsidR="00FD57F2" w:rsidRPr="00D46647" w:rsidRDefault="003F79BF" w:rsidP="003F79BF">
      <w:pPr>
        <w:pStyle w:val="Heading5"/>
      </w:pPr>
      <w:bookmarkStart w:id="106" w:name="_Toc423352911"/>
      <w:bookmarkStart w:id="107" w:name="_Toc455394224"/>
      <w:bookmarkStart w:id="108" w:name="_Toc482774635"/>
      <w:r>
        <w:t>P</w:t>
      </w:r>
      <w:r w:rsidRPr="00D46647">
        <w:t>rojet 4</w:t>
      </w:r>
      <w:r w:rsidRPr="00D46647">
        <w:tab/>
      </w:r>
      <w:r>
        <w:t>I</w:t>
      </w:r>
      <w:r w:rsidRPr="00D46647">
        <w:t xml:space="preserve">nstallation du système de refroidissement au moyen de l’eau du lac </w:t>
      </w:r>
      <w:r>
        <w:t>L</w:t>
      </w:r>
      <w:r w:rsidRPr="00D46647">
        <w:t xml:space="preserve">éman (projet réseau du lac) pour les bâtiments </w:t>
      </w:r>
      <w:r>
        <w:t>AB</w:t>
      </w:r>
      <w:r w:rsidRPr="00D46647">
        <w:t xml:space="preserve"> et </w:t>
      </w:r>
      <w:r>
        <w:t>PCT</w:t>
      </w:r>
      <w:bookmarkEnd w:id="106"/>
      <w:bookmarkEnd w:id="107"/>
      <w:bookmarkEnd w:id="108"/>
    </w:p>
    <w:p w14:paraId="6DB5BC6C" w14:textId="77777777" w:rsidR="00FD57F2" w:rsidRPr="00D46647" w:rsidRDefault="00FD57F2" w:rsidP="00FD57F2">
      <w:pPr>
        <w:rPr>
          <w:sz w:val="20"/>
        </w:rPr>
      </w:pPr>
    </w:p>
    <w:p w14:paraId="700A778A" w14:textId="77777777" w:rsidR="00FD57F2" w:rsidRPr="00D46647" w:rsidRDefault="00FD57F2" w:rsidP="00FD57F2">
      <w:pPr>
        <w:rPr>
          <w:b/>
          <w:sz w:val="20"/>
        </w:rPr>
      </w:pPr>
      <w:r w:rsidRPr="00D46647">
        <w:rPr>
          <w:b/>
          <w:sz w:val="20"/>
        </w:rPr>
        <w:t>Chef de projet</w:t>
      </w:r>
      <w:r w:rsidRPr="00D46647">
        <w:rPr>
          <w:b/>
          <w:sz w:val="20"/>
        </w:rPr>
        <w:tab/>
        <w:t>M. A. FAVERO</w:t>
      </w:r>
    </w:p>
    <w:p w14:paraId="5C98D028" w14:textId="77777777" w:rsidR="00FD57F2" w:rsidRPr="00D46647" w:rsidRDefault="00FD57F2" w:rsidP="00FD57F2">
      <w:pPr>
        <w:rPr>
          <w:sz w:val="20"/>
        </w:rPr>
      </w:pPr>
    </w:p>
    <w:p w14:paraId="6D768571" w14:textId="77777777" w:rsidR="00FD57F2" w:rsidRPr="00D46647" w:rsidRDefault="00FD57F2" w:rsidP="00FD57F2">
      <w:pPr>
        <w:rPr>
          <w:sz w:val="20"/>
        </w:rPr>
      </w:pPr>
    </w:p>
    <w:p w14:paraId="76EA2401" w14:textId="77777777" w:rsidR="00FD57F2" w:rsidRPr="00D46647" w:rsidRDefault="00FD57F2" w:rsidP="00FD57F2">
      <w:pPr>
        <w:rPr>
          <w:bCs/>
          <w:sz w:val="20"/>
        </w:rPr>
      </w:pPr>
      <w:r w:rsidRPr="00D46647">
        <w:rPr>
          <w:sz w:val="20"/>
        </w:rPr>
        <w:t>RÉSULTATS ESCOMPTÉS</w:t>
      </w:r>
    </w:p>
    <w:p w14:paraId="0F74200B" w14:textId="77777777" w:rsidR="00FD57F2" w:rsidRPr="00D46647" w:rsidRDefault="00FD57F2" w:rsidP="00FD57F2">
      <w:pPr>
        <w:rPr>
          <w:bCs/>
          <w:sz w:val="20"/>
        </w:rPr>
      </w:pPr>
    </w:p>
    <w:p w14:paraId="74FE0C33" w14:textId="77777777" w:rsidR="00FD57F2" w:rsidRPr="00D46647" w:rsidRDefault="00FD57F2" w:rsidP="00FD57F2">
      <w:pPr>
        <w:rPr>
          <w:i/>
          <w:iCs/>
          <w:sz w:val="20"/>
        </w:rPr>
      </w:pPr>
      <w:r w:rsidRPr="00D46647">
        <w:rPr>
          <w:i/>
          <w:sz w:val="20"/>
        </w:rPr>
        <w:t>IX.1 Services d’appui efficaces, efficients, de qualité et tournés vers la clientèle, à l’intention à la fois des clients internes et des parties prenantes externes</w:t>
      </w:r>
    </w:p>
    <w:p w14:paraId="5127084C" w14:textId="77777777" w:rsidR="00FD57F2" w:rsidRPr="00D46647" w:rsidRDefault="00FD57F2" w:rsidP="00FD57F2">
      <w:pPr>
        <w:rPr>
          <w:bCs/>
          <w:sz w:val="20"/>
        </w:rPr>
      </w:pPr>
    </w:p>
    <w:p w14:paraId="61762A8B" w14:textId="77777777" w:rsidR="00FD57F2" w:rsidRPr="00D46647" w:rsidRDefault="00FD57F2" w:rsidP="00FD57F2">
      <w:pPr>
        <w:rPr>
          <w:bCs/>
          <w:sz w:val="20"/>
        </w:rPr>
      </w:pPr>
    </w:p>
    <w:p w14:paraId="0D4AF5A9" w14:textId="77777777" w:rsidR="00FD57F2" w:rsidRPr="00D46647" w:rsidRDefault="00FD57F2" w:rsidP="00FD57F2">
      <w:pPr>
        <w:rPr>
          <w:bCs/>
          <w:sz w:val="20"/>
        </w:rPr>
      </w:pPr>
      <w:r w:rsidRPr="00D46647">
        <w:rPr>
          <w:sz w:val="20"/>
        </w:rPr>
        <w:t>OBJECTIFS, PORTÉE ET APPROCHE – GÉNÉRALITÉS</w:t>
      </w:r>
    </w:p>
    <w:p w14:paraId="0FBEFBBC" w14:textId="77777777" w:rsidR="00FD57F2" w:rsidRPr="00D46647" w:rsidRDefault="00FD57F2" w:rsidP="00FD57F2">
      <w:pPr>
        <w:rPr>
          <w:bCs/>
          <w:sz w:val="20"/>
        </w:rPr>
      </w:pPr>
    </w:p>
    <w:p w14:paraId="2CCC1CA3" w14:textId="77777777" w:rsidR="00FD57F2" w:rsidRPr="00D46647" w:rsidRDefault="00FD57F2" w:rsidP="002C58CD">
      <w:pPr>
        <w:pStyle w:val="ListParagraph"/>
        <w:numPr>
          <w:ilvl w:val="0"/>
          <w:numId w:val="69"/>
        </w:numPr>
        <w:tabs>
          <w:tab w:val="left" w:pos="567"/>
        </w:tabs>
        <w:ind w:left="0" w:firstLine="0"/>
        <w:contextualSpacing w:val="0"/>
        <w:jc w:val="both"/>
        <w:rPr>
          <w:rFonts w:ascii="Arial" w:hAnsi="Arial" w:cs="Arial"/>
          <w:sz w:val="20"/>
          <w:szCs w:val="20"/>
        </w:rPr>
      </w:pPr>
      <w:r w:rsidRPr="00D46647">
        <w:rPr>
          <w:rFonts w:ascii="Arial" w:hAnsi="Arial" w:cs="Arial"/>
          <w:sz w:val="20"/>
          <w:szCs w:val="20"/>
        </w:rPr>
        <w:t>Le système de refroidissement au moyen de l’eau du lac Léman (projet réseau du lac), qui a été conçu, administré et mis en œuvre il y a quelques années par le prestataire d’énergie (les Services industriels de Genève – SIG), consiste à prélever de l’eau froide dans les profondeurs du lac Léman et à l’acheminer sur la rive droite de Genève pour assurer le refroidissement de différents bâtiments administratifs du secteur de la Place des Nations.  Il y a quelques années, l’OMPI a été l’une des premières institutions de l’ONU à conclure avec les SIG un accord pour réserver la capacité requise pour tous ses bâtiments (y compris ceux qui étaient en construction à l’époque).  À la fin de 2013, les bâtiments suivants du site de l’OMPI ont été entièrement raccordés au système de refroidissement à l’eau du lac : le nouveau bâtiment (système opérationnel depuis 2011), les bâtiments GBI et GBII (système opérationnel depuis la mi-2013), la nouvelle salle de conférence de l’OMPI (système intégré durant la phase de construction et opérationnel d’ici la fin 2013).  Les deux seuls bâtiments qui restent à raccorder au système de refroidissement par l’eau du lac sont le bâtiment AB et le bâtiment PCT, qui font l’objet de cet élément particulier du Plan-cadre d’équipement.  Il convient également de noter que la durée de vie écoulée des autres unités de production de froid pour le bâtiment AB et le bâtiment PCT s’échelonne entre 10 et 33 ans, pour une durée de vie prévue de 30 ans.</w:t>
      </w:r>
    </w:p>
    <w:p w14:paraId="2D735BAD" w14:textId="77777777" w:rsidR="00FD57F2" w:rsidRPr="00D46647" w:rsidRDefault="00FD57F2" w:rsidP="00FD57F2">
      <w:pPr>
        <w:tabs>
          <w:tab w:val="left" w:pos="567"/>
        </w:tabs>
        <w:jc w:val="both"/>
        <w:rPr>
          <w:bCs/>
          <w:sz w:val="20"/>
        </w:rPr>
      </w:pPr>
    </w:p>
    <w:p w14:paraId="3D90DA1C" w14:textId="77777777" w:rsidR="00FD57F2" w:rsidRPr="00D46647" w:rsidRDefault="00FD57F2" w:rsidP="002C58CD">
      <w:pPr>
        <w:pStyle w:val="ListParagraph"/>
        <w:numPr>
          <w:ilvl w:val="0"/>
          <w:numId w:val="69"/>
        </w:numPr>
        <w:tabs>
          <w:tab w:val="left" w:pos="567"/>
        </w:tabs>
        <w:ind w:left="0" w:firstLine="0"/>
        <w:contextualSpacing w:val="0"/>
        <w:jc w:val="both"/>
        <w:rPr>
          <w:rFonts w:ascii="Arial" w:hAnsi="Arial" w:cs="Arial"/>
          <w:sz w:val="20"/>
          <w:szCs w:val="20"/>
        </w:rPr>
      </w:pPr>
      <w:r w:rsidRPr="00D46647">
        <w:rPr>
          <w:rFonts w:ascii="Arial" w:hAnsi="Arial" w:cs="Arial"/>
          <w:sz w:val="20"/>
          <w:szCs w:val="20"/>
        </w:rPr>
        <w:t>Les objectifs sont les suivants : i) achever le déploiement d’une solution technologique moderne déjà mise en œuvre dans plus de la moitié du volume total des bâtiments concerné sur le site de l’OMPI;  ii) anticiper la nécessité de remplacer les unités de climatisation conventionnelles dans les deux bâtiments restants avant leur rupture (ce qui s’est produit dans le bâtiment GBII en 2011);  iii) réduire le coût de maintenance par rapport aux installations de climatisation conventionnelles;  et iv) moderniser les installations et le matériel en appliquant des solutions plus respectueuses de l’environnement.</w:t>
      </w:r>
    </w:p>
    <w:p w14:paraId="790C2AFA" w14:textId="77777777" w:rsidR="00FD57F2" w:rsidRPr="00D46647" w:rsidRDefault="00FD57F2" w:rsidP="00FD57F2">
      <w:pPr>
        <w:rPr>
          <w:bCs/>
          <w:sz w:val="20"/>
        </w:rPr>
      </w:pPr>
    </w:p>
    <w:p w14:paraId="62D9AB9C" w14:textId="77777777" w:rsidR="00FD57F2" w:rsidRPr="00D46647" w:rsidRDefault="00FD57F2" w:rsidP="00FD57F2">
      <w:pPr>
        <w:rPr>
          <w:bCs/>
          <w:sz w:val="20"/>
        </w:rPr>
      </w:pPr>
    </w:p>
    <w:p w14:paraId="53996400" w14:textId="77777777" w:rsidR="00FD57F2" w:rsidRPr="00D46647" w:rsidRDefault="00FD57F2" w:rsidP="00FD57F2">
      <w:pPr>
        <w:rPr>
          <w:bCs/>
          <w:sz w:val="20"/>
        </w:rPr>
      </w:pPr>
      <w:r w:rsidRPr="00D46647">
        <w:rPr>
          <w:sz w:val="20"/>
        </w:rPr>
        <w:t>APERÇU DES PROGRÈS RÉALISÉS EN 2016 (PRINCIPALES ÉTAPES)</w:t>
      </w:r>
    </w:p>
    <w:p w14:paraId="3E9E3628" w14:textId="77777777" w:rsidR="00FD57F2" w:rsidRPr="00D46647" w:rsidRDefault="00FD57F2" w:rsidP="00FD57F2">
      <w:pPr>
        <w:rPr>
          <w:bCs/>
          <w:sz w:val="20"/>
          <w:u w:val="single"/>
        </w:rPr>
      </w:pPr>
    </w:p>
    <w:p w14:paraId="5690746C" w14:textId="77777777" w:rsidR="00FD57F2" w:rsidRPr="00D46647" w:rsidRDefault="00FD57F2" w:rsidP="002C58CD">
      <w:pPr>
        <w:pStyle w:val="ListParagraph"/>
        <w:numPr>
          <w:ilvl w:val="0"/>
          <w:numId w:val="69"/>
        </w:numPr>
        <w:tabs>
          <w:tab w:val="left" w:pos="567"/>
        </w:tabs>
        <w:ind w:left="0" w:firstLine="0"/>
        <w:contextualSpacing w:val="0"/>
        <w:jc w:val="both"/>
        <w:rPr>
          <w:rFonts w:ascii="Arial" w:eastAsiaTheme="minorHAnsi" w:hAnsi="Arial" w:cs="Arial"/>
          <w:sz w:val="20"/>
          <w:szCs w:val="20"/>
        </w:rPr>
      </w:pPr>
      <w:r w:rsidRPr="00D46647">
        <w:rPr>
          <w:rFonts w:ascii="Arial" w:eastAsiaTheme="minorHAnsi" w:hAnsi="Arial" w:cs="Arial"/>
          <w:sz w:val="20"/>
          <w:szCs w:val="20"/>
        </w:rPr>
        <w:t>En 2016, les progrès suivants ont été accomplis :</w:t>
      </w:r>
    </w:p>
    <w:p w14:paraId="7ECF2F8B" w14:textId="77777777" w:rsidR="00FD57F2" w:rsidRPr="00D46647" w:rsidRDefault="00FD57F2" w:rsidP="00FD57F2">
      <w:pPr>
        <w:rPr>
          <w:bCs/>
          <w:sz w:val="20"/>
          <w:u w:val="single"/>
        </w:rPr>
      </w:pPr>
    </w:p>
    <w:p w14:paraId="6D5FDF4E" w14:textId="77777777" w:rsidR="00FD57F2" w:rsidRPr="00D46647" w:rsidRDefault="00FD57F2" w:rsidP="00A067C5">
      <w:pPr>
        <w:pStyle w:val="ListParagraph"/>
        <w:numPr>
          <w:ilvl w:val="0"/>
          <w:numId w:val="79"/>
        </w:numPr>
        <w:tabs>
          <w:tab w:val="left" w:pos="1985"/>
        </w:tabs>
        <w:spacing w:after="220"/>
        <w:ind w:left="1134" w:hanging="567"/>
        <w:contextualSpacing w:val="0"/>
        <w:jc w:val="both"/>
        <w:rPr>
          <w:rFonts w:ascii="Arial" w:hAnsi="Arial" w:cs="Arial"/>
          <w:sz w:val="20"/>
          <w:szCs w:val="20"/>
        </w:rPr>
      </w:pPr>
      <w:r w:rsidRPr="00D46647">
        <w:rPr>
          <w:rFonts w:ascii="Arial" w:hAnsi="Arial" w:cs="Arial"/>
          <w:sz w:val="20"/>
          <w:szCs w:val="20"/>
        </w:rPr>
        <w:t>Bâtiment AB : la garantie de construction a expiré en octobre 2016, sans que des défauts aient été détectés au niveau des installations et des équipements;  par conséquent, aucuns travaux de réfection n’ont été nécessaires en 2016;  le fonctionnement de l’installation donne entière satisfaction.</w:t>
      </w:r>
    </w:p>
    <w:p w14:paraId="12069E43" w14:textId="77777777" w:rsidR="00FD57F2" w:rsidRPr="00D46647" w:rsidRDefault="00FD57F2" w:rsidP="00A067C5">
      <w:pPr>
        <w:pStyle w:val="ListParagraph"/>
        <w:numPr>
          <w:ilvl w:val="0"/>
          <w:numId w:val="79"/>
        </w:numPr>
        <w:spacing w:after="220"/>
        <w:ind w:left="1134" w:hanging="567"/>
        <w:contextualSpacing w:val="0"/>
        <w:jc w:val="both"/>
        <w:rPr>
          <w:rFonts w:ascii="Arial" w:hAnsi="Arial" w:cs="Arial"/>
          <w:sz w:val="20"/>
          <w:szCs w:val="20"/>
        </w:rPr>
      </w:pPr>
      <w:r w:rsidRPr="00D46647">
        <w:rPr>
          <w:rFonts w:ascii="Arial" w:hAnsi="Arial" w:cs="Arial"/>
          <w:sz w:val="20"/>
          <w:szCs w:val="20"/>
        </w:rPr>
        <w:t>Bâtiment PCT : la garantie de construction expirera en décembre 2017;  aucun défaut n’a été détecté au niveau des installations et des équipements en 2016;  par conséquent, aucuns travaux de réfection n’ont été nécessaires en 2016;  la</w:t>
      </w:r>
      <w:r w:rsidRPr="00D46647">
        <w:rPr>
          <w:rFonts w:ascii="Arial" w:hAnsi="Arial" w:cs="Arial"/>
        </w:rPr>
        <w:t xml:space="preserve"> </w:t>
      </w:r>
      <w:r w:rsidRPr="00D46647">
        <w:rPr>
          <w:rFonts w:ascii="Arial" w:hAnsi="Arial" w:cs="Arial"/>
          <w:sz w:val="20"/>
          <w:szCs w:val="20"/>
        </w:rPr>
        <w:t>surveillance se poursuivra jusqu’à expiration de la garantie de construction en décembre 2017.</w:t>
      </w:r>
    </w:p>
    <w:p w14:paraId="78DCEDAC" w14:textId="71CAB320" w:rsidR="003F79BF" w:rsidRPr="003F79BF" w:rsidRDefault="00FD57F2" w:rsidP="00A067C5">
      <w:pPr>
        <w:pStyle w:val="ListParagraph"/>
        <w:numPr>
          <w:ilvl w:val="0"/>
          <w:numId w:val="79"/>
        </w:numPr>
        <w:spacing w:after="220"/>
        <w:ind w:left="1134" w:hanging="567"/>
        <w:contextualSpacing w:val="0"/>
        <w:jc w:val="both"/>
        <w:rPr>
          <w:sz w:val="20"/>
        </w:rPr>
      </w:pPr>
      <w:r w:rsidRPr="003F79BF">
        <w:rPr>
          <w:rFonts w:ascii="Arial" w:hAnsi="Arial" w:cs="Arial"/>
          <w:sz w:val="20"/>
          <w:szCs w:val="20"/>
        </w:rPr>
        <w:t>Le projet est arrivé à son terme et sera clôturé officiellement au cours de l’année 2017.  Le solde budgétaire estimatif de +487 273</w:t>
      </w:r>
      <w:r w:rsidRPr="00D46647">
        <w:rPr>
          <w:rStyle w:val="FootnoteReference"/>
          <w:rFonts w:eastAsiaTheme="minorEastAsia" w:cs="Arial"/>
          <w:sz w:val="20"/>
        </w:rPr>
        <w:footnoteReference w:id="121"/>
      </w:r>
      <w:r w:rsidRPr="003F79BF">
        <w:rPr>
          <w:rFonts w:ascii="Arial" w:hAnsi="Arial" w:cs="Arial"/>
          <w:sz w:val="20"/>
          <w:szCs w:val="20"/>
        </w:rPr>
        <w:t> francs suisses sera réinjecté dans les réserves d’ici à fin 2017.</w:t>
      </w:r>
      <w:r w:rsidR="003F79BF" w:rsidRPr="003F79BF">
        <w:rPr>
          <w:rFonts w:ascii="Arial" w:hAnsi="Arial" w:cs="Arial"/>
          <w:sz w:val="20"/>
          <w:szCs w:val="20"/>
        </w:rPr>
        <w:br w:type="page"/>
      </w:r>
    </w:p>
    <w:p w14:paraId="5926CBC5" w14:textId="77777777" w:rsidR="00FD57F2" w:rsidRPr="00D46647" w:rsidRDefault="00FD57F2" w:rsidP="00FD57F2">
      <w:pPr>
        <w:rPr>
          <w:bCs/>
          <w:sz w:val="20"/>
        </w:rPr>
      </w:pPr>
      <w:r w:rsidRPr="00D46647">
        <w:rPr>
          <w:sz w:val="20"/>
        </w:rPr>
        <w:t>CONCRÉTISATION DES AVANTAGES</w:t>
      </w:r>
    </w:p>
    <w:p w14:paraId="406421B4" w14:textId="77777777" w:rsidR="00FD57F2" w:rsidRPr="00D46647" w:rsidRDefault="00FD57F2" w:rsidP="00FD57F2">
      <w:pPr>
        <w:rPr>
          <w:sz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7"/>
        <w:gridCol w:w="3096"/>
        <w:gridCol w:w="3094"/>
      </w:tblGrid>
      <w:tr w:rsidR="00FD57F2" w:rsidRPr="00D46647" w14:paraId="5EF1FDD7" w14:textId="77777777" w:rsidTr="007E3422">
        <w:trPr>
          <w:tblHeader/>
        </w:trPr>
        <w:tc>
          <w:tcPr>
            <w:tcW w:w="1667" w:type="pct"/>
            <w:shd w:val="clear" w:color="auto" w:fill="C6D9F1"/>
            <w:tcMar>
              <w:top w:w="57" w:type="dxa"/>
              <w:bottom w:w="57" w:type="dxa"/>
            </w:tcMar>
            <w:vAlign w:val="center"/>
          </w:tcPr>
          <w:p w14:paraId="5C6DC7C3" w14:textId="77777777" w:rsidR="00FD57F2" w:rsidRPr="00D46647" w:rsidRDefault="00FD57F2" w:rsidP="00FD57F2">
            <w:pPr>
              <w:jc w:val="center"/>
              <w:rPr>
                <w:b/>
                <w:bCs/>
                <w:sz w:val="16"/>
                <w:szCs w:val="16"/>
              </w:rPr>
            </w:pPr>
            <w:r w:rsidRPr="00D46647">
              <w:rPr>
                <w:b/>
                <w:sz w:val="16"/>
              </w:rPr>
              <w:t>Avantages obtenus en 2014</w:t>
            </w:r>
          </w:p>
        </w:tc>
        <w:tc>
          <w:tcPr>
            <w:tcW w:w="1667" w:type="pct"/>
            <w:shd w:val="clear" w:color="auto" w:fill="C6D9F1"/>
            <w:vAlign w:val="center"/>
          </w:tcPr>
          <w:p w14:paraId="7A9567B7" w14:textId="77777777" w:rsidR="00FD57F2" w:rsidRPr="00D46647" w:rsidRDefault="00FD57F2" w:rsidP="00FD57F2">
            <w:pPr>
              <w:jc w:val="center"/>
              <w:rPr>
                <w:b/>
                <w:bCs/>
                <w:sz w:val="16"/>
                <w:szCs w:val="16"/>
              </w:rPr>
            </w:pPr>
            <w:r w:rsidRPr="00D46647">
              <w:rPr>
                <w:b/>
                <w:sz w:val="16"/>
              </w:rPr>
              <w:t>Avantages obtenus en 2015</w:t>
            </w:r>
          </w:p>
        </w:tc>
        <w:tc>
          <w:tcPr>
            <w:tcW w:w="1666" w:type="pct"/>
            <w:shd w:val="clear" w:color="auto" w:fill="C6D9F1"/>
            <w:vAlign w:val="center"/>
          </w:tcPr>
          <w:p w14:paraId="50B8DC8D" w14:textId="77777777" w:rsidR="00FD57F2" w:rsidRPr="00D46647" w:rsidRDefault="00FD57F2" w:rsidP="00FD57F2">
            <w:pPr>
              <w:jc w:val="center"/>
              <w:rPr>
                <w:b/>
                <w:bCs/>
                <w:sz w:val="16"/>
                <w:szCs w:val="16"/>
              </w:rPr>
            </w:pPr>
            <w:r w:rsidRPr="00D46647">
              <w:rPr>
                <w:b/>
                <w:sz w:val="16"/>
              </w:rPr>
              <w:t>Avantages obtenus en 2016</w:t>
            </w:r>
          </w:p>
        </w:tc>
      </w:tr>
      <w:tr w:rsidR="00FD57F2" w:rsidRPr="00D46647" w14:paraId="40C922EF" w14:textId="77777777" w:rsidTr="007E3422">
        <w:tc>
          <w:tcPr>
            <w:tcW w:w="1667" w:type="pct"/>
            <w:shd w:val="clear" w:color="auto" w:fill="auto"/>
            <w:tcMar>
              <w:top w:w="57" w:type="dxa"/>
              <w:bottom w:w="57" w:type="dxa"/>
            </w:tcMar>
          </w:tcPr>
          <w:p w14:paraId="04A3FB2C" w14:textId="77777777" w:rsidR="00FD57F2" w:rsidRPr="00D46647" w:rsidRDefault="00FD57F2" w:rsidP="00FD57F2">
            <w:pPr>
              <w:rPr>
                <w:bCs/>
                <w:sz w:val="16"/>
                <w:szCs w:val="16"/>
              </w:rPr>
            </w:pPr>
            <w:r w:rsidRPr="00D46647">
              <w:rPr>
                <w:sz w:val="16"/>
              </w:rPr>
              <w:t>Système de refroidissement du bâtiment AB mis en service le 13 août 2014, et réduction partielle de la consommation électrique.</w:t>
            </w:r>
          </w:p>
        </w:tc>
        <w:tc>
          <w:tcPr>
            <w:tcW w:w="1667" w:type="pct"/>
          </w:tcPr>
          <w:p w14:paraId="21E78733" w14:textId="77777777" w:rsidR="00FD57F2" w:rsidRPr="00D46647" w:rsidRDefault="00FD57F2" w:rsidP="00FD57F2">
            <w:pPr>
              <w:rPr>
                <w:bCs/>
                <w:sz w:val="16"/>
                <w:szCs w:val="16"/>
              </w:rPr>
            </w:pPr>
            <w:r w:rsidRPr="00D46647">
              <w:rPr>
                <w:sz w:val="16"/>
              </w:rPr>
              <w:t>Réduction de la consommation électrique et de l’impact sur l’environnement généré par la consommation électrique pour le refroidissement du bâtiment AB.</w:t>
            </w:r>
          </w:p>
        </w:tc>
        <w:tc>
          <w:tcPr>
            <w:tcW w:w="1666" w:type="pct"/>
            <w:shd w:val="clear" w:color="auto" w:fill="auto"/>
          </w:tcPr>
          <w:p w14:paraId="4A3A7C8E" w14:textId="77777777" w:rsidR="00FD57F2" w:rsidRPr="00D46647" w:rsidRDefault="00FD57F2" w:rsidP="00FD57F2">
            <w:pPr>
              <w:rPr>
                <w:bCs/>
                <w:iCs/>
                <w:sz w:val="16"/>
                <w:szCs w:val="16"/>
              </w:rPr>
            </w:pPr>
            <w:r w:rsidRPr="00D46647">
              <w:rPr>
                <w:bCs/>
                <w:iCs/>
                <w:sz w:val="16"/>
                <w:szCs w:val="16"/>
              </w:rPr>
              <w:t>Réduction de la consommation électrique et de l’impact sur l’environnement généré par la consommation électrique pour le refroidissement du bâtiment PCT.</w:t>
            </w:r>
          </w:p>
        </w:tc>
      </w:tr>
      <w:tr w:rsidR="00FD57F2" w:rsidRPr="00D46647" w14:paraId="720657F8" w14:textId="77777777" w:rsidTr="007E3422">
        <w:tc>
          <w:tcPr>
            <w:tcW w:w="1667" w:type="pct"/>
            <w:shd w:val="clear" w:color="auto" w:fill="auto"/>
            <w:tcMar>
              <w:top w:w="57" w:type="dxa"/>
              <w:bottom w:w="57" w:type="dxa"/>
            </w:tcMar>
          </w:tcPr>
          <w:p w14:paraId="7F4E125F" w14:textId="77777777" w:rsidR="00FD57F2" w:rsidRPr="00D46647" w:rsidRDefault="00FD57F2" w:rsidP="00FD57F2">
            <w:pPr>
              <w:rPr>
                <w:bCs/>
                <w:sz w:val="16"/>
                <w:szCs w:val="16"/>
              </w:rPr>
            </w:pPr>
          </w:p>
        </w:tc>
        <w:tc>
          <w:tcPr>
            <w:tcW w:w="1667" w:type="pct"/>
          </w:tcPr>
          <w:p w14:paraId="7123C7C3" w14:textId="77777777" w:rsidR="00FD57F2" w:rsidRPr="00D46647" w:rsidRDefault="00FD57F2" w:rsidP="00FD57F2">
            <w:pPr>
              <w:rPr>
                <w:bCs/>
                <w:sz w:val="16"/>
                <w:szCs w:val="16"/>
              </w:rPr>
            </w:pPr>
            <w:r w:rsidRPr="00D46647">
              <w:rPr>
                <w:sz w:val="16"/>
              </w:rPr>
              <w:t>Réduction du coût de la maintenance curative pour le système de refroidissement du bâtiment AB.</w:t>
            </w:r>
          </w:p>
        </w:tc>
        <w:tc>
          <w:tcPr>
            <w:tcW w:w="1666" w:type="pct"/>
            <w:shd w:val="clear" w:color="auto" w:fill="auto"/>
          </w:tcPr>
          <w:p w14:paraId="04B36A6C" w14:textId="77777777" w:rsidR="00FD57F2" w:rsidRPr="00D46647" w:rsidRDefault="00FD57F2" w:rsidP="00FD57F2">
            <w:pPr>
              <w:rPr>
                <w:bCs/>
                <w:sz w:val="16"/>
                <w:szCs w:val="16"/>
              </w:rPr>
            </w:pPr>
            <w:r w:rsidRPr="00D46647">
              <w:rPr>
                <w:sz w:val="16"/>
              </w:rPr>
              <w:t>Réduction du coût de la maintenance curative pour le système de refroidissement du bâtiment PCT.</w:t>
            </w:r>
          </w:p>
        </w:tc>
      </w:tr>
      <w:tr w:rsidR="00FD57F2" w:rsidRPr="00D46647" w14:paraId="65059C6C" w14:textId="77777777" w:rsidTr="007E3422">
        <w:tc>
          <w:tcPr>
            <w:tcW w:w="1667" w:type="pct"/>
            <w:shd w:val="clear" w:color="auto" w:fill="auto"/>
            <w:tcMar>
              <w:top w:w="57" w:type="dxa"/>
              <w:bottom w:w="57" w:type="dxa"/>
            </w:tcMar>
          </w:tcPr>
          <w:p w14:paraId="7869C1C5" w14:textId="77777777" w:rsidR="00FD57F2" w:rsidRPr="00D46647" w:rsidRDefault="00FD57F2" w:rsidP="00FD57F2">
            <w:pPr>
              <w:rPr>
                <w:b/>
                <w:bCs/>
                <w:sz w:val="16"/>
                <w:szCs w:val="16"/>
                <w:u w:val="single"/>
              </w:rPr>
            </w:pPr>
          </w:p>
        </w:tc>
        <w:tc>
          <w:tcPr>
            <w:tcW w:w="1667" w:type="pct"/>
          </w:tcPr>
          <w:p w14:paraId="0C3BAC5D" w14:textId="77777777" w:rsidR="00FD57F2" w:rsidRPr="00D46647" w:rsidRDefault="00FD57F2" w:rsidP="00FD57F2">
            <w:pPr>
              <w:rPr>
                <w:bCs/>
                <w:sz w:val="16"/>
                <w:szCs w:val="16"/>
              </w:rPr>
            </w:pPr>
            <w:r w:rsidRPr="00D46647">
              <w:rPr>
                <w:sz w:val="16"/>
              </w:rPr>
              <w:t>Augmentation de la durée de vie du système de refroidissement du bâtiment AB.</w:t>
            </w:r>
          </w:p>
        </w:tc>
        <w:tc>
          <w:tcPr>
            <w:tcW w:w="1666" w:type="pct"/>
            <w:shd w:val="clear" w:color="auto" w:fill="auto"/>
          </w:tcPr>
          <w:p w14:paraId="685020C2" w14:textId="77777777" w:rsidR="00FD57F2" w:rsidRPr="00D46647" w:rsidRDefault="00FD57F2" w:rsidP="00FD57F2">
            <w:pPr>
              <w:rPr>
                <w:bCs/>
                <w:sz w:val="16"/>
                <w:szCs w:val="16"/>
              </w:rPr>
            </w:pPr>
            <w:r w:rsidRPr="00D46647">
              <w:rPr>
                <w:sz w:val="16"/>
              </w:rPr>
              <w:t>Augmentation de la durée de vie du système de refroidissement du bâtiment PCT.</w:t>
            </w:r>
          </w:p>
        </w:tc>
      </w:tr>
      <w:tr w:rsidR="00FD57F2" w:rsidRPr="00D46647" w14:paraId="31055429" w14:textId="77777777" w:rsidTr="007E3422">
        <w:tc>
          <w:tcPr>
            <w:tcW w:w="1667" w:type="pct"/>
            <w:shd w:val="clear" w:color="auto" w:fill="auto"/>
            <w:tcMar>
              <w:top w:w="57" w:type="dxa"/>
              <w:bottom w:w="57" w:type="dxa"/>
            </w:tcMar>
          </w:tcPr>
          <w:p w14:paraId="234ED54B" w14:textId="77777777" w:rsidR="00FD57F2" w:rsidRPr="00D46647" w:rsidRDefault="00FD57F2" w:rsidP="00FD57F2">
            <w:pPr>
              <w:rPr>
                <w:b/>
                <w:bCs/>
                <w:sz w:val="16"/>
                <w:szCs w:val="16"/>
                <w:u w:val="single"/>
              </w:rPr>
            </w:pPr>
          </w:p>
        </w:tc>
        <w:tc>
          <w:tcPr>
            <w:tcW w:w="1667" w:type="pct"/>
          </w:tcPr>
          <w:p w14:paraId="225973F7" w14:textId="77777777" w:rsidR="00FD57F2" w:rsidRPr="00D46647" w:rsidRDefault="00FD57F2" w:rsidP="00FD57F2">
            <w:pPr>
              <w:rPr>
                <w:bCs/>
                <w:sz w:val="16"/>
                <w:szCs w:val="16"/>
              </w:rPr>
            </w:pPr>
            <w:r w:rsidRPr="00D46647">
              <w:rPr>
                <w:sz w:val="16"/>
              </w:rPr>
              <w:t>Installation et maintenance du système de refroidissement du bâtiment AB plus respectueuses de l’environnement.</w:t>
            </w:r>
          </w:p>
        </w:tc>
        <w:tc>
          <w:tcPr>
            <w:tcW w:w="1666" w:type="pct"/>
            <w:shd w:val="clear" w:color="auto" w:fill="auto"/>
          </w:tcPr>
          <w:p w14:paraId="5CC29CC7" w14:textId="77777777" w:rsidR="00FD57F2" w:rsidRPr="00D46647" w:rsidRDefault="00FD57F2" w:rsidP="00FD57F2">
            <w:pPr>
              <w:rPr>
                <w:bCs/>
                <w:sz w:val="16"/>
                <w:szCs w:val="16"/>
              </w:rPr>
            </w:pPr>
            <w:r w:rsidRPr="00D46647">
              <w:rPr>
                <w:sz w:val="16"/>
              </w:rPr>
              <w:t>Installation et maintenance du système de refroidissement du bâtiment PCT plus respectueuses de l’environnement.</w:t>
            </w:r>
          </w:p>
        </w:tc>
      </w:tr>
      <w:tr w:rsidR="00FD57F2" w:rsidRPr="00D46647" w14:paraId="321A59E6" w14:textId="77777777" w:rsidTr="007E3422">
        <w:tc>
          <w:tcPr>
            <w:tcW w:w="1667" w:type="pct"/>
            <w:shd w:val="clear" w:color="auto" w:fill="auto"/>
            <w:tcMar>
              <w:top w:w="57" w:type="dxa"/>
              <w:bottom w:w="57" w:type="dxa"/>
            </w:tcMar>
          </w:tcPr>
          <w:p w14:paraId="347A88E1" w14:textId="77777777" w:rsidR="00FD57F2" w:rsidRPr="00D46647" w:rsidRDefault="00FD57F2" w:rsidP="00FD57F2">
            <w:pPr>
              <w:rPr>
                <w:b/>
                <w:bCs/>
                <w:sz w:val="16"/>
                <w:szCs w:val="16"/>
                <w:u w:val="single"/>
              </w:rPr>
            </w:pPr>
          </w:p>
        </w:tc>
        <w:tc>
          <w:tcPr>
            <w:tcW w:w="1667" w:type="pct"/>
          </w:tcPr>
          <w:p w14:paraId="5BE1ED5D" w14:textId="77777777" w:rsidR="00FD57F2" w:rsidRPr="00D46647" w:rsidRDefault="00FD57F2" w:rsidP="00FD57F2">
            <w:pPr>
              <w:rPr>
                <w:bCs/>
                <w:sz w:val="16"/>
                <w:szCs w:val="16"/>
              </w:rPr>
            </w:pPr>
            <w:r w:rsidRPr="00D46647">
              <w:rPr>
                <w:sz w:val="16"/>
              </w:rPr>
              <w:t xml:space="preserve">Mise en service du système de refroidissement du bâtiment PCT en octobre 2015, et réduction partielle de la consommation électrique </w:t>
            </w:r>
          </w:p>
        </w:tc>
        <w:tc>
          <w:tcPr>
            <w:tcW w:w="1666" w:type="pct"/>
            <w:shd w:val="clear" w:color="auto" w:fill="auto"/>
          </w:tcPr>
          <w:p w14:paraId="055BE986" w14:textId="77777777" w:rsidR="00FD57F2" w:rsidRPr="00D46647" w:rsidRDefault="00FD57F2" w:rsidP="00FD57F2">
            <w:pPr>
              <w:rPr>
                <w:bCs/>
                <w:iCs/>
                <w:sz w:val="16"/>
                <w:szCs w:val="16"/>
              </w:rPr>
            </w:pPr>
          </w:p>
        </w:tc>
      </w:tr>
    </w:tbl>
    <w:p w14:paraId="37F7AA71" w14:textId="77777777" w:rsidR="00FD57F2" w:rsidRPr="00D46647" w:rsidRDefault="00FD57F2" w:rsidP="00FD57F2">
      <w:pPr>
        <w:jc w:val="both"/>
        <w:rPr>
          <w:sz w:val="20"/>
        </w:rPr>
      </w:pPr>
    </w:p>
    <w:p w14:paraId="33527B61" w14:textId="77777777" w:rsidR="00FD57F2" w:rsidRPr="00D46647" w:rsidRDefault="00FD57F2" w:rsidP="00FD57F2">
      <w:pPr>
        <w:rPr>
          <w:sz w:val="20"/>
        </w:rPr>
      </w:pPr>
    </w:p>
    <w:p w14:paraId="7E541944" w14:textId="77777777" w:rsidR="00FD57F2" w:rsidRPr="00D46647" w:rsidRDefault="00FD57F2" w:rsidP="00FD57F2">
      <w:pPr>
        <w:rPr>
          <w:sz w:val="20"/>
        </w:rPr>
      </w:pPr>
      <w:r w:rsidRPr="00D46647">
        <w:rPr>
          <w:sz w:val="20"/>
        </w:rPr>
        <w:t>UTILISATION DES RESSOURCES</w:t>
      </w:r>
      <w:r w:rsidRPr="00D46647">
        <w:rPr>
          <w:rStyle w:val="FootnoteReference"/>
          <w:rFonts w:cs="Arial"/>
          <w:sz w:val="20"/>
        </w:rPr>
        <w:footnoteReference w:id="122"/>
      </w:r>
    </w:p>
    <w:p w14:paraId="7B5A4E85" w14:textId="77777777" w:rsidR="00FD57F2" w:rsidRPr="00D46647" w:rsidRDefault="00FD57F2" w:rsidP="00FD57F2">
      <w:pPr>
        <w:rPr>
          <w:sz w:val="20"/>
        </w:rPr>
      </w:pPr>
    </w:p>
    <w:p w14:paraId="52833814"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w:t>
      </w:r>
    </w:p>
    <w:p w14:paraId="0F0B4989"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3F10C052" w14:textId="77777777" w:rsidR="00FD57F2" w:rsidRPr="00D46647" w:rsidRDefault="00FD57F2" w:rsidP="00FD57F2">
      <w:pPr>
        <w:keepNext/>
        <w:keepLines/>
        <w:tabs>
          <w:tab w:val="left" w:pos="3261"/>
        </w:tabs>
        <w:autoSpaceDE w:val="0"/>
        <w:autoSpaceDN w:val="0"/>
        <w:adjustRightInd w:val="0"/>
        <w:jc w:val="center"/>
        <w:rPr>
          <w:i/>
          <w:iCs/>
          <w:sz w:val="18"/>
          <w:szCs w:val="18"/>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67"/>
        <w:gridCol w:w="1579"/>
        <w:gridCol w:w="1581"/>
        <w:gridCol w:w="1581"/>
        <w:gridCol w:w="1579"/>
      </w:tblGrid>
      <w:tr w:rsidR="00FD57F2" w:rsidRPr="00D46647" w14:paraId="688E07D2" w14:textId="77777777" w:rsidTr="007E3422">
        <w:tc>
          <w:tcPr>
            <w:tcW w:w="1598" w:type="pct"/>
            <w:shd w:val="clear" w:color="auto" w:fill="C6D9F1"/>
            <w:vAlign w:val="center"/>
          </w:tcPr>
          <w:p w14:paraId="00AEE26F"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Nom du projet</w:t>
            </w:r>
          </w:p>
        </w:tc>
        <w:tc>
          <w:tcPr>
            <w:tcW w:w="850" w:type="pct"/>
            <w:shd w:val="clear" w:color="auto" w:fill="C6D9F1"/>
            <w:vAlign w:val="center"/>
          </w:tcPr>
          <w:p w14:paraId="50316B3B"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1" w:type="pct"/>
            <w:shd w:val="clear" w:color="auto" w:fill="C6D9F1"/>
            <w:vAlign w:val="center"/>
          </w:tcPr>
          <w:p w14:paraId="12EB850A"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1" w:type="pct"/>
            <w:shd w:val="clear" w:color="auto" w:fill="C6D9F1"/>
            <w:vAlign w:val="center"/>
          </w:tcPr>
          <w:p w14:paraId="705B7DF6"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0" w:type="pct"/>
            <w:shd w:val="clear" w:color="auto" w:fill="C6D9F1"/>
            <w:vAlign w:val="center"/>
          </w:tcPr>
          <w:p w14:paraId="00FC4274"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282BD3EC" w14:textId="77777777" w:rsidTr="007E3422">
        <w:tc>
          <w:tcPr>
            <w:tcW w:w="1598" w:type="pct"/>
            <w:vAlign w:val="center"/>
          </w:tcPr>
          <w:p w14:paraId="2BCEFF86" w14:textId="77777777" w:rsidR="00FD57F2" w:rsidRPr="00D46647" w:rsidRDefault="00FD57F2" w:rsidP="00FD57F2">
            <w:pPr>
              <w:keepNext/>
              <w:keepLines/>
              <w:autoSpaceDE w:val="0"/>
              <w:autoSpaceDN w:val="0"/>
              <w:adjustRightInd w:val="0"/>
              <w:rPr>
                <w:sz w:val="16"/>
                <w:szCs w:val="16"/>
              </w:rPr>
            </w:pPr>
            <w:r w:rsidRPr="00D46647">
              <w:rPr>
                <w:sz w:val="16"/>
              </w:rPr>
              <w:t>Déploiement du système de refroidissement au moyen de l’eau du lac Léman à destination des bâtiments AB et du PCT</w:t>
            </w:r>
          </w:p>
        </w:tc>
        <w:tc>
          <w:tcPr>
            <w:tcW w:w="850" w:type="pct"/>
            <w:vAlign w:val="center"/>
          </w:tcPr>
          <w:p w14:paraId="3F2D7CC4" w14:textId="77777777" w:rsidR="00FD57F2" w:rsidRPr="00D46647" w:rsidRDefault="00FD57F2" w:rsidP="00FD57F2">
            <w:pPr>
              <w:keepNext/>
              <w:keepLines/>
              <w:autoSpaceDE w:val="0"/>
              <w:autoSpaceDN w:val="0"/>
              <w:adjustRightInd w:val="0"/>
              <w:jc w:val="center"/>
              <w:rPr>
                <w:sz w:val="16"/>
                <w:szCs w:val="16"/>
              </w:rPr>
            </w:pPr>
            <w:r w:rsidRPr="00D46647">
              <w:rPr>
                <w:sz w:val="16"/>
              </w:rPr>
              <w:t>750 000</w:t>
            </w:r>
          </w:p>
        </w:tc>
        <w:tc>
          <w:tcPr>
            <w:tcW w:w="851" w:type="pct"/>
            <w:vAlign w:val="center"/>
          </w:tcPr>
          <w:p w14:paraId="4F1830D0" w14:textId="77777777" w:rsidR="00FD57F2" w:rsidRPr="00D46647" w:rsidRDefault="00FD57F2" w:rsidP="00FD57F2">
            <w:pPr>
              <w:keepNext/>
              <w:keepLines/>
              <w:autoSpaceDE w:val="0"/>
              <w:autoSpaceDN w:val="0"/>
              <w:adjustRightInd w:val="0"/>
              <w:jc w:val="center"/>
              <w:rPr>
                <w:sz w:val="16"/>
                <w:szCs w:val="16"/>
              </w:rPr>
            </w:pPr>
            <w:r w:rsidRPr="00D46647">
              <w:rPr>
                <w:sz w:val="16"/>
              </w:rPr>
              <w:t>262 727</w:t>
            </w:r>
          </w:p>
        </w:tc>
        <w:tc>
          <w:tcPr>
            <w:tcW w:w="851" w:type="pct"/>
            <w:vAlign w:val="center"/>
          </w:tcPr>
          <w:p w14:paraId="6E156B95" w14:textId="77777777" w:rsidR="00FD57F2" w:rsidRPr="00D46647" w:rsidRDefault="00FD57F2" w:rsidP="00FD57F2">
            <w:pPr>
              <w:keepNext/>
              <w:keepLines/>
              <w:autoSpaceDE w:val="0"/>
              <w:autoSpaceDN w:val="0"/>
              <w:adjustRightInd w:val="0"/>
              <w:jc w:val="center"/>
              <w:rPr>
                <w:sz w:val="16"/>
                <w:szCs w:val="16"/>
              </w:rPr>
            </w:pPr>
            <w:r w:rsidRPr="00D46647">
              <w:rPr>
                <w:sz w:val="16"/>
              </w:rPr>
              <w:t>35%</w:t>
            </w:r>
          </w:p>
        </w:tc>
        <w:tc>
          <w:tcPr>
            <w:tcW w:w="850" w:type="pct"/>
            <w:vAlign w:val="center"/>
          </w:tcPr>
          <w:p w14:paraId="46CD3308" w14:textId="77777777" w:rsidR="00FD57F2" w:rsidRPr="00D46647" w:rsidRDefault="00FD57F2" w:rsidP="00FD57F2">
            <w:pPr>
              <w:keepNext/>
              <w:keepLines/>
              <w:autoSpaceDE w:val="0"/>
              <w:autoSpaceDN w:val="0"/>
              <w:adjustRightInd w:val="0"/>
              <w:jc w:val="center"/>
              <w:rPr>
                <w:sz w:val="16"/>
                <w:szCs w:val="16"/>
              </w:rPr>
            </w:pPr>
            <w:r w:rsidRPr="00D46647">
              <w:rPr>
                <w:sz w:val="16"/>
              </w:rPr>
              <w:t>AB 100%</w:t>
            </w:r>
          </w:p>
          <w:p w14:paraId="492B9625" w14:textId="77777777" w:rsidR="00FD57F2" w:rsidRPr="00D46647" w:rsidRDefault="00FD57F2" w:rsidP="00FD57F2">
            <w:pPr>
              <w:keepNext/>
              <w:keepLines/>
              <w:autoSpaceDE w:val="0"/>
              <w:autoSpaceDN w:val="0"/>
              <w:adjustRightInd w:val="0"/>
              <w:jc w:val="center"/>
              <w:rPr>
                <w:sz w:val="16"/>
                <w:szCs w:val="16"/>
              </w:rPr>
            </w:pPr>
            <w:r w:rsidRPr="00D46647">
              <w:rPr>
                <w:sz w:val="16"/>
              </w:rPr>
              <w:t>PCT 95%</w:t>
            </w:r>
          </w:p>
        </w:tc>
      </w:tr>
    </w:tbl>
    <w:p w14:paraId="346DCD57" w14:textId="77777777" w:rsidR="00FD57F2" w:rsidRPr="00D46647" w:rsidRDefault="00FD57F2" w:rsidP="00FD57F2">
      <w:pPr>
        <w:rPr>
          <w:b/>
        </w:rPr>
      </w:pPr>
    </w:p>
    <w:p w14:paraId="736B5CD1" w14:textId="77777777" w:rsidR="00FD57F2" w:rsidRPr="00D46647" w:rsidRDefault="00FD57F2" w:rsidP="00FD57F2">
      <w:pPr>
        <w:rPr>
          <w:b/>
        </w:rPr>
      </w:pPr>
    </w:p>
    <w:p w14:paraId="78D4B270"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 (par étape)</w:t>
      </w:r>
    </w:p>
    <w:p w14:paraId="12CE5DEA"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11F58ACA" w14:textId="77777777" w:rsidR="00FD57F2" w:rsidRPr="00D46647" w:rsidRDefault="00FD57F2" w:rsidP="00FD57F2">
      <w:pPr>
        <w:keepNext/>
        <w:autoSpaceDE w:val="0"/>
        <w:autoSpaceDN w:val="0"/>
        <w:rPr>
          <w:sz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26"/>
        <w:gridCol w:w="1591"/>
        <w:gridCol w:w="1590"/>
        <w:gridCol w:w="1590"/>
        <w:gridCol w:w="1590"/>
      </w:tblGrid>
      <w:tr w:rsidR="00FD57F2" w:rsidRPr="00D46647" w14:paraId="724673AA" w14:textId="77777777" w:rsidTr="007E3422">
        <w:tc>
          <w:tcPr>
            <w:tcW w:w="1575" w:type="pct"/>
            <w:shd w:val="clear" w:color="auto" w:fill="C6D9F1"/>
            <w:vAlign w:val="center"/>
          </w:tcPr>
          <w:p w14:paraId="13DA2461"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Étape principale</w:t>
            </w:r>
          </w:p>
        </w:tc>
        <w:tc>
          <w:tcPr>
            <w:tcW w:w="856" w:type="pct"/>
            <w:shd w:val="clear" w:color="auto" w:fill="C6D9F1"/>
            <w:vAlign w:val="center"/>
          </w:tcPr>
          <w:p w14:paraId="32B24B2C"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6" w:type="pct"/>
            <w:shd w:val="clear" w:color="auto" w:fill="C6D9F1"/>
            <w:vAlign w:val="center"/>
          </w:tcPr>
          <w:p w14:paraId="7CFA97B8"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6" w:type="pct"/>
            <w:shd w:val="clear" w:color="auto" w:fill="C6D9F1"/>
            <w:vAlign w:val="center"/>
          </w:tcPr>
          <w:p w14:paraId="349B6BA6"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6" w:type="pct"/>
            <w:shd w:val="clear" w:color="auto" w:fill="C6D9F1"/>
            <w:vAlign w:val="center"/>
          </w:tcPr>
          <w:p w14:paraId="497D983F"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mise en œuvre par étape</w:t>
            </w:r>
          </w:p>
        </w:tc>
      </w:tr>
      <w:tr w:rsidR="00FD57F2" w:rsidRPr="00D46647" w14:paraId="24E4E4BC" w14:textId="77777777" w:rsidTr="007E3422">
        <w:tc>
          <w:tcPr>
            <w:tcW w:w="1575" w:type="pct"/>
            <w:vAlign w:val="center"/>
          </w:tcPr>
          <w:p w14:paraId="13D0253D" w14:textId="77777777" w:rsidR="00FD57F2" w:rsidRPr="00D46647" w:rsidRDefault="00FD57F2" w:rsidP="00FD57F2">
            <w:pPr>
              <w:keepNext/>
              <w:keepLines/>
              <w:autoSpaceDE w:val="0"/>
              <w:autoSpaceDN w:val="0"/>
              <w:adjustRightInd w:val="0"/>
              <w:rPr>
                <w:sz w:val="16"/>
                <w:szCs w:val="16"/>
              </w:rPr>
            </w:pPr>
            <w:r w:rsidRPr="00D46647">
              <w:rPr>
                <w:sz w:val="16"/>
              </w:rPr>
              <w:t>Attribution du contrat à l’ingénieur CVC pour le bâtiment AB</w:t>
            </w:r>
          </w:p>
        </w:tc>
        <w:tc>
          <w:tcPr>
            <w:tcW w:w="856" w:type="pct"/>
            <w:vAlign w:val="center"/>
          </w:tcPr>
          <w:p w14:paraId="33315EF7" w14:textId="77777777" w:rsidR="00FD57F2" w:rsidRPr="00D46647" w:rsidRDefault="00FD57F2" w:rsidP="00FD57F2">
            <w:pPr>
              <w:keepNext/>
              <w:keepLines/>
              <w:autoSpaceDE w:val="0"/>
              <w:autoSpaceDN w:val="0"/>
              <w:adjustRightInd w:val="0"/>
              <w:jc w:val="center"/>
              <w:rPr>
                <w:sz w:val="16"/>
                <w:szCs w:val="16"/>
              </w:rPr>
            </w:pPr>
            <w:r w:rsidRPr="00D46647">
              <w:rPr>
                <w:sz w:val="16"/>
              </w:rPr>
              <w:t>30 000</w:t>
            </w:r>
          </w:p>
        </w:tc>
        <w:tc>
          <w:tcPr>
            <w:tcW w:w="856" w:type="pct"/>
            <w:vAlign w:val="center"/>
          </w:tcPr>
          <w:p w14:paraId="0815005A" w14:textId="77777777" w:rsidR="00FD57F2" w:rsidRPr="00D46647" w:rsidRDefault="00FD57F2" w:rsidP="00FD57F2">
            <w:pPr>
              <w:keepNext/>
              <w:keepLines/>
              <w:autoSpaceDE w:val="0"/>
              <w:autoSpaceDN w:val="0"/>
              <w:adjustRightInd w:val="0"/>
              <w:jc w:val="center"/>
              <w:rPr>
                <w:sz w:val="16"/>
                <w:szCs w:val="16"/>
              </w:rPr>
            </w:pPr>
            <w:r w:rsidRPr="00D46647">
              <w:rPr>
                <w:sz w:val="16"/>
              </w:rPr>
              <w:t>16 200</w:t>
            </w:r>
          </w:p>
        </w:tc>
        <w:tc>
          <w:tcPr>
            <w:tcW w:w="856" w:type="pct"/>
            <w:vAlign w:val="center"/>
          </w:tcPr>
          <w:p w14:paraId="28BB2F46" w14:textId="77777777" w:rsidR="00FD57F2" w:rsidRPr="00D46647" w:rsidRDefault="00FD57F2" w:rsidP="00FD57F2">
            <w:pPr>
              <w:keepNext/>
              <w:keepLines/>
              <w:autoSpaceDE w:val="0"/>
              <w:autoSpaceDN w:val="0"/>
              <w:adjustRightInd w:val="0"/>
              <w:jc w:val="center"/>
              <w:rPr>
                <w:sz w:val="16"/>
                <w:szCs w:val="16"/>
              </w:rPr>
            </w:pPr>
            <w:r w:rsidRPr="00D46647">
              <w:rPr>
                <w:sz w:val="16"/>
              </w:rPr>
              <w:t>54%</w:t>
            </w:r>
          </w:p>
        </w:tc>
        <w:tc>
          <w:tcPr>
            <w:tcW w:w="856" w:type="pct"/>
            <w:vAlign w:val="center"/>
          </w:tcPr>
          <w:p w14:paraId="30115B36" w14:textId="77777777" w:rsidR="00FD57F2" w:rsidRPr="00D46647" w:rsidRDefault="00FD57F2" w:rsidP="00FD57F2">
            <w:pPr>
              <w:keepNext/>
              <w:keepLines/>
              <w:autoSpaceDE w:val="0"/>
              <w:autoSpaceDN w:val="0"/>
              <w:adjustRightInd w:val="0"/>
              <w:jc w:val="center"/>
              <w:rPr>
                <w:sz w:val="16"/>
                <w:szCs w:val="16"/>
              </w:rPr>
            </w:pPr>
            <w:r w:rsidRPr="00D46647">
              <w:rPr>
                <w:sz w:val="16"/>
              </w:rPr>
              <w:t>100%</w:t>
            </w:r>
          </w:p>
        </w:tc>
      </w:tr>
      <w:tr w:rsidR="00FD57F2" w:rsidRPr="00D46647" w14:paraId="6EA6BAB9" w14:textId="77777777" w:rsidTr="007E3422">
        <w:tc>
          <w:tcPr>
            <w:tcW w:w="1575" w:type="pct"/>
            <w:vAlign w:val="center"/>
          </w:tcPr>
          <w:p w14:paraId="7C27CA06" w14:textId="77777777" w:rsidR="00FD57F2" w:rsidRPr="00D46647" w:rsidRDefault="00FD57F2" w:rsidP="00FD57F2">
            <w:pPr>
              <w:keepNext/>
              <w:keepLines/>
              <w:autoSpaceDE w:val="0"/>
              <w:autoSpaceDN w:val="0"/>
              <w:adjustRightInd w:val="0"/>
              <w:rPr>
                <w:sz w:val="16"/>
                <w:szCs w:val="16"/>
              </w:rPr>
            </w:pPr>
            <w:r w:rsidRPr="00D46647">
              <w:rPr>
                <w:sz w:val="16"/>
              </w:rPr>
              <w:t>Attribution du contrat à l’ingénieur pour le bâtiment du PCT</w:t>
            </w:r>
          </w:p>
        </w:tc>
        <w:tc>
          <w:tcPr>
            <w:tcW w:w="856" w:type="pct"/>
            <w:vAlign w:val="center"/>
          </w:tcPr>
          <w:p w14:paraId="1D7E3E32" w14:textId="77777777" w:rsidR="00FD57F2" w:rsidRPr="00D46647" w:rsidRDefault="00FD57F2" w:rsidP="00FD57F2">
            <w:pPr>
              <w:keepNext/>
              <w:keepLines/>
              <w:autoSpaceDE w:val="0"/>
              <w:autoSpaceDN w:val="0"/>
              <w:adjustRightInd w:val="0"/>
              <w:jc w:val="center"/>
              <w:rPr>
                <w:sz w:val="16"/>
                <w:szCs w:val="16"/>
              </w:rPr>
            </w:pPr>
            <w:r w:rsidRPr="00D46647">
              <w:rPr>
                <w:sz w:val="16"/>
              </w:rPr>
              <w:t>83 000</w:t>
            </w:r>
          </w:p>
        </w:tc>
        <w:tc>
          <w:tcPr>
            <w:tcW w:w="856" w:type="pct"/>
            <w:vAlign w:val="center"/>
          </w:tcPr>
          <w:p w14:paraId="0F24BAF1" w14:textId="77777777" w:rsidR="00FD57F2" w:rsidRPr="00D46647" w:rsidRDefault="00FD57F2" w:rsidP="00FD57F2">
            <w:pPr>
              <w:autoSpaceDE w:val="0"/>
              <w:autoSpaceDN w:val="0"/>
              <w:adjustRightInd w:val="0"/>
              <w:jc w:val="center"/>
              <w:rPr>
                <w:sz w:val="16"/>
                <w:szCs w:val="16"/>
              </w:rPr>
            </w:pPr>
            <w:r w:rsidRPr="00D46647">
              <w:rPr>
                <w:sz w:val="16"/>
                <w:szCs w:val="16"/>
              </w:rPr>
              <w:t>43 440</w:t>
            </w:r>
          </w:p>
        </w:tc>
        <w:tc>
          <w:tcPr>
            <w:tcW w:w="856" w:type="pct"/>
            <w:vAlign w:val="center"/>
          </w:tcPr>
          <w:p w14:paraId="0F245A90" w14:textId="77777777" w:rsidR="00FD57F2" w:rsidRPr="00D46647" w:rsidRDefault="00FD57F2" w:rsidP="00FD57F2">
            <w:pPr>
              <w:autoSpaceDE w:val="0"/>
              <w:autoSpaceDN w:val="0"/>
              <w:adjustRightInd w:val="0"/>
              <w:jc w:val="center"/>
              <w:rPr>
                <w:sz w:val="16"/>
                <w:szCs w:val="16"/>
              </w:rPr>
            </w:pPr>
            <w:r w:rsidRPr="00D46647">
              <w:rPr>
                <w:sz w:val="16"/>
                <w:szCs w:val="16"/>
              </w:rPr>
              <w:t>52,3%</w:t>
            </w:r>
          </w:p>
        </w:tc>
        <w:tc>
          <w:tcPr>
            <w:tcW w:w="856" w:type="pct"/>
            <w:vAlign w:val="center"/>
          </w:tcPr>
          <w:p w14:paraId="00B303D5"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r>
      <w:tr w:rsidR="00FD57F2" w:rsidRPr="00D46647" w14:paraId="23093C21" w14:textId="77777777" w:rsidTr="007E3422">
        <w:tc>
          <w:tcPr>
            <w:tcW w:w="1575" w:type="pct"/>
            <w:vAlign w:val="center"/>
          </w:tcPr>
          <w:p w14:paraId="0D563BD4" w14:textId="77777777" w:rsidR="00FD57F2" w:rsidRPr="00D46647" w:rsidRDefault="00FD57F2" w:rsidP="00FD57F2">
            <w:pPr>
              <w:keepNext/>
              <w:keepLines/>
              <w:autoSpaceDE w:val="0"/>
              <w:autoSpaceDN w:val="0"/>
              <w:adjustRightInd w:val="0"/>
              <w:rPr>
                <w:sz w:val="16"/>
                <w:szCs w:val="16"/>
              </w:rPr>
            </w:pPr>
            <w:r w:rsidRPr="00D46647">
              <w:rPr>
                <w:sz w:val="16"/>
              </w:rPr>
              <w:t>Mise en service des installations GLN dans le bâtiment AB</w:t>
            </w:r>
          </w:p>
        </w:tc>
        <w:tc>
          <w:tcPr>
            <w:tcW w:w="856" w:type="pct"/>
            <w:vAlign w:val="center"/>
          </w:tcPr>
          <w:p w14:paraId="4041F32E" w14:textId="77777777" w:rsidR="00FD57F2" w:rsidRPr="00D46647" w:rsidRDefault="00FD57F2" w:rsidP="00FD57F2">
            <w:pPr>
              <w:keepNext/>
              <w:keepLines/>
              <w:autoSpaceDE w:val="0"/>
              <w:autoSpaceDN w:val="0"/>
              <w:adjustRightInd w:val="0"/>
              <w:jc w:val="center"/>
              <w:rPr>
                <w:sz w:val="16"/>
                <w:szCs w:val="16"/>
              </w:rPr>
            </w:pPr>
            <w:r w:rsidRPr="00D46647">
              <w:rPr>
                <w:sz w:val="16"/>
              </w:rPr>
              <w:t>170 000</w:t>
            </w:r>
          </w:p>
        </w:tc>
        <w:tc>
          <w:tcPr>
            <w:tcW w:w="856" w:type="pct"/>
            <w:vAlign w:val="center"/>
          </w:tcPr>
          <w:p w14:paraId="3D1B0A45" w14:textId="77777777" w:rsidR="00FD57F2" w:rsidRPr="00D46647" w:rsidRDefault="00FD57F2" w:rsidP="00FD57F2">
            <w:pPr>
              <w:autoSpaceDE w:val="0"/>
              <w:autoSpaceDN w:val="0"/>
              <w:adjustRightInd w:val="0"/>
              <w:jc w:val="center"/>
              <w:rPr>
                <w:sz w:val="16"/>
                <w:szCs w:val="16"/>
              </w:rPr>
            </w:pPr>
            <w:r w:rsidRPr="00D46647">
              <w:rPr>
                <w:sz w:val="16"/>
                <w:szCs w:val="16"/>
              </w:rPr>
              <w:t>61 791</w:t>
            </w:r>
          </w:p>
        </w:tc>
        <w:tc>
          <w:tcPr>
            <w:tcW w:w="856" w:type="pct"/>
            <w:vAlign w:val="center"/>
          </w:tcPr>
          <w:p w14:paraId="5165DBBF" w14:textId="77777777" w:rsidR="00FD57F2" w:rsidRPr="00D46647" w:rsidRDefault="00FD57F2" w:rsidP="00FD57F2">
            <w:pPr>
              <w:autoSpaceDE w:val="0"/>
              <w:autoSpaceDN w:val="0"/>
              <w:adjustRightInd w:val="0"/>
              <w:jc w:val="center"/>
              <w:rPr>
                <w:sz w:val="16"/>
                <w:szCs w:val="16"/>
              </w:rPr>
            </w:pPr>
            <w:r w:rsidRPr="00D46647">
              <w:rPr>
                <w:sz w:val="16"/>
                <w:szCs w:val="16"/>
              </w:rPr>
              <w:t>36,3%</w:t>
            </w:r>
          </w:p>
        </w:tc>
        <w:tc>
          <w:tcPr>
            <w:tcW w:w="856" w:type="pct"/>
            <w:vAlign w:val="center"/>
          </w:tcPr>
          <w:p w14:paraId="4BAC10B1"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r>
      <w:tr w:rsidR="00FD57F2" w:rsidRPr="00D46647" w14:paraId="2E82147A" w14:textId="77777777" w:rsidTr="007E3422">
        <w:tc>
          <w:tcPr>
            <w:tcW w:w="1575" w:type="pct"/>
            <w:vAlign w:val="center"/>
          </w:tcPr>
          <w:p w14:paraId="3454920F" w14:textId="77777777" w:rsidR="00FD57F2" w:rsidRPr="00D46647" w:rsidRDefault="00FD57F2" w:rsidP="00FD57F2">
            <w:pPr>
              <w:keepNext/>
              <w:keepLines/>
              <w:autoSpaceDE w:val="0"/>
              <w:autoSpaceDN w:val="0"/>
              <w:adjustRightInd w:val="0"/>
              <w:rPr>
                <w:sz w:val="16"/>
                <w:szCs w:val="16"/>
              </w:rPr>
            </w:pPr>
            <w:r w:rsidRPr="00D46647">
              <w:rPr>
                <w:sz w:val="16"/>
              </w:rPr>
              <w:t>Mise en service des installations GLN dans le bâtiment PCT</w:t>
            </w:r>
          </w:p>
        </w:tc>
        <w:tc>
          <w:tcPr>
            <w:tcW w:w="856" w:type="pct"/>
            <w:vAlign w:val="center"/>
          </w:tcPr>
          <w:p w14:paraId="2B741BA6" w14:textId="77777777" w:rsidR="00FD57F2" w:rsidRPr="00D46647" w:rsidRDefault="00FD57F2" w:rsidP="00FD57F2">
            <w:pPr>
              <w:keepNext/>
              <w:keepLines/>
              <w:autoSpaceDE w:val="0"/>
              <w:autoSpaceDN w:val="0"/>
              <w:adjustRightInd w:val="0"/>
              <w:jc w:val="center"/>
              <w:rPr>
                <w:sz w:val="16"/>
                <w:szCs w:val="16"/>
              </w:rPr>
            </w:pPr>
            <w:r w:rsidRPr="00D46647">
              <w:rPr>
                <w:sz w:val="16"/>
              </w:rPr>
              <w:t>467 000</w:t>
            </w:r>
          </w:p>
        </w:tc>
        <w:tc>
          <w:tcPr>
            <w:tcW w:w="856" w:type="pct"/>
            <w:vAlign w:val="center"/>
          </w:tcPr>
          <w:p w14:paraId="20556CC0" w14:textId="77777777" w:rsidR="00FD57F2" w:rsidRPr="00D46647" w:rsidRDefault="00FD57F2" w:rsidP="00FD57F2">
            <w:pPr>
              <w:autoSpaceDE w:val="0"/>
              <w:autoSpaceDN w:val="0"/>
              <w:adjustRightInd w:val="0"/>
              <w:jc w:val="center"/>
              <w:rPr>
                <w:sz w:val="16"/>
                <w:szCs w:val="16"/>
              </w:rPr>
            </w:pPr>
            <w:r w:rsidRPr="00D46647">
              <w:rPr>
                <w:sz w:val="16"/>
                <w:szCs w:val="16"/>
              </w:rPr>
              <w:t>141 296</w:t>
            </w:r>
          </w:p>
        </w:tc>
        <w:tc>
          <w:tcPr>
            <w:tcW w:w="856" w:type="pct"/>
            <w:vAlign w:val="center"/>
          </w:tcPr>
          <w:p w14:paraId="0839B322" w14:textId="77777777" w:rsidR="00FD57F2" w:rsidRPr="00D46647" w:rsidRDefault="00FD57F2" w:rsidP="00FD57F2">
            <w:pPr>
              <w:autoSpaceDE w:val="0"/>
              <w:autoSpaceDN w:val="0"/>
              <w:adjustRightInd w:val="0"/>
              <w:jc w:val="center"/>
              <w:rPr>
                <w:sz w:val="16"/>
                <w:szCs w:val="16"/>
              </w:rPr>
            </w:pPr>
            <w:r w:rsidRPr="00D46647">
              <w:rPr>
                <w:sz w:val="16"/>
                <w:szCs w:val="16"/>
              </w:rPr>
              <w:t>30,3%</w:t>
            </w:r>
          </w:p>
        </w:tc>
        <w:tc>
          <w:tcPr>
            <w:tcW w:w="856" w:type="pct"/>
            <w:vAlign w:val="center"/>
          </w:tcPr>
          <w:p w14:paraId="2899C75D" w14:textId="77777777" w:rsidR="00FD57F2" w:rsidRPr="00D46647" w:rsidRDefault="00FD57F2" w:rsidP="00FD57F2">
            <w:pPr>
              <w:autoSpaceDE w:val="0"/>
              <w:autoSpaceDN w:val="0"/>
              <w:adjustRightInd w:val="0"/>
              <w:jc w:val="center"/>
              <w:rPr>
                <w:sz w:val="16"/>
                <w:szCs w:val="16"/>
              </w:rPr>
            </w:pPr>
            <w:r w:rsidRPr="00D46647">
              <w:rPr>
                <w:sz w:val="16"/>
                <w:szCs w:val="16"/>
              </w:rPr>
              <w:t>95%</w:t>
            </w:r>
          </w:p>
        </w:tc>
      </w:tr>
      <w:tr w:rsidR="00FD57F2" w:rsidRPr="00D46647" w14:paraId="283F8B90" w14:textId="77777777" w:rsidTr="007E3422">
        <w:tc>
          <w:tcPr>
            <w:tcW w:w="1575" w:type="pct"/>
            <w:shd w:val="clear" w:color="auto" w:fill="C6D9F1"/>
            <w:vAlign w:val="center"/>
          </w:tcPr>
          <w:p w14:paraId="4F58500E" w14:textId="77777777" w:rsidR="00FD57F2" w:rsidRPr="00D46647" w:rsidRDefault="00FD57F2" w:rsidP="00FD57F2">
            <w:pPr>
              <w:keepNext/>
              <w:keepLines/>
              <w:autoSpaceDE w:val="0"/>
              <w:autoSpaceDN w:val="0"/>
              <w:adjustRightInd w:val="0"/>
              <w:rPr>
                <w:b/>
                <w:sz w:val="16"/>
                <w:szCs w:val="16"/>
              </w:rPr>
            </w:pPr>
            <w:r w:rsidRPr="00D46647">
              <w:rPr>
                <w:b/>
                <w:sz w:val="16"/>
              </w:rPr>
              <w:t>Total</w:t>
            </w:r>
          </w:p>
        </w:tc>
        <w:tc>
          <w:tcPr>
            <w:tcW w:w="856" w:type="pct"/>
            <w:shd w:val="clear" w:color="auto" w:fill="C6D9F1"/>
            <w:vAlign w:val="center"/>
          </w:tcPr>
          <w:p w14:paraId="0A040AB9" w14:textId="77777777" w:rsidR="00FD57F2" w:rsidRPr="00D46647" w:rsidRDefault="00FD57F2" w:rsidP="00FD57F2">
            <w:pPr>
              <w:keepNext/>
              <w:keepLines/>
              <w:autoSpaceDE w:val="0"/>
              <w:autoSpaceDN w:val="0"/>
              <w:adjustRightInd w:val="0"/>
              <w:jc w:val="center"/>
              <w:rPr>
                <w:b/>
                <w:sz w:val="16"/>
                <w:szCs w:val="16"/>
              </w:rPr>
            </w:pPr>
            <w:r w:rsidRPr="00D46647">
              <w:rPr>
                <w:b/>
                <w:sz w:val="16"/>
              </w:rPr>
              <w:t>750 000</w:t>
            </w:r>
          </w:p>
        </w:tc>
        <w:tc>
          <w:tcPr>
            <w:tcW w:w="856" w:type="pct"/>
            <w:shd w:val="clear" w:color="auto" w:fill="C6D9F1"/>
            <w:vAlign w:val="center"/>
          </w:tcPr>
          <w:p w14:paraId="581C0252" w14:textId="77777777" w:rsidR="00FD57F2" w:rsidRPr="00D46647" w:rsidRDefault="00FD57F2" w:rsidP="00FD57F2">
            <w:pPr>
              <w:autoSpaceDE w:val="0"/>
              <w:autoSpaceDN w:val="0"/>
              <w:adjustRightInd w:val="0"/>
              <w:jc w:val="center"/>
              <w:rPr>
                <w:b/>
                <w:sz w:val="16"/>
                <w:szCs w:val="16"/>
              </w:rPr>
            </w:pPr>
            <w:r w:rsidRPr="00D46647">
              <w:rPr>
                <w:b/>
                <w:sz w:val="16"/>
                <w:szCs w:val="16"/>
              </w:rPr>
              <w:t>262 727</w:t>
            </w:r>
          </w:p>
        </w:tc>
        <w:tc>
          <w:tcPr>
            <w:tcW w:w="856" w:type="pct"/>
            <w:shd w:val="clear" w:color="auto" w:fill="C6D9F1"/>
            <w:vAlign w:val="center"/>
          </w:tcPr>
          <w:p w14:paraId="4591D696" w14:textId="77777777" w:rsidR="00FD57F2" w:rsidRPr="00D46647" w:rsidRDefault="00FD57F2" w:rsidP="00FD57F2">
            <w:pPr>
              <w:autoSpaceDE w:val="0"/>
              <w:autoSpaceDN w:val="0"/>
              <w:adjustRightInd w:val="0"/>
              <w:jc w:val="center"/>
              <w:rPr>
                <w:b/>
                <w:sz w:val="16"/>
                <w:szCs w:val="16"/>
              </w:rPr>
            </w:pPr>
            <w:r w:rsidRPr="00D46647">
              <w:rPr>
                <w:b/>
                <w:sz w:val="16"/>
                <w:szCs w:val="16"/>
              </w:rPr>
              <w:t>35%</w:t>
            </w:r>
          </w:p>
        </w:tc>
        <w:tc>
          <w:tcPr>
            <w:tcW w:w="856" w:type="pct"/>
            <w:shd w:val="clear" w:color="auto" w:fill="C6D9F1"/>
          </w:tcPr>
          <w:p w14:paraId="06E20752" w14:textId="77777777" w:rsidR="00FD57F2" w:rsidRPr="00D46647" w:rsidRDefault="00FD57F2" w:rsidP="00FD57F2">
            <w:pPr>
              <w:autoSpaceDE w:val="0"/>
              <w:autoSpaceDN w:val="0"/>
              <w:adjustRightInd w:val="0"/>
              <w:jc w:val="center"/>
              <w:rPr>
                <w:b/>
                <w:sz w:val="16"/>
                <w:szCs w:val="16"/>
              </w:rPr>
            </w:pPr>
          </w:p>
        </w:tc>
      </w:tr>
    </w:tbl>
    <w:p w14:paraId="28D9E4B0" w14:textId="77777777" w:rsidR="00FD57F2" w:rsidRPr="00D46647" w:rsidRDefault="00FD57F2" w:rsidP="00FD57F2">
      <w:pPr>
        <w:tabs>
          <w:tab w:val="left" w:pos="3261"/>
        </w:tabs>
        <w:autoSpaceDE w:val="0"/>
        <w:autoSpaceDN w:val="0"/>
        <w:adjustRightInd w:val="0"/>
        <w:rPr>
          <w:b/>
          <w:sz w:val="20"/>
        </w:rPr>
      </w:pPr>
    </w:p>
    <w:p w14:paraId="4A26F174" w14:textId="77777777" w:rsidR="00FD57F2" w:rsidRPr="00D46647" w:rsidRDefault="00FD57F2" w:rsidP="00FD57F2">
      <w:pPr>
        <w:tabs>
          <w:tab w:val="left" w:pos="3261"/>
        </w:tabs>
        <w:autoSpaceDE w:val="0"/>
        <w:autoSpaceDN w:val="0"/>
        <w:adjustRightInd w:val="0"/>
        <w:jc w:val="center"/>
        <w:rPr>
          <w:b/>
          <w:sz w:val="20"/>
        </w:rPr>
      </w:pPr>
    </w:p>
    <w:p w14:paraId="5309CDD9" w14:textId="77777777" w:rsidR="00FD57F2" w:rsidRPr="00D46647" w:rsidRDefault="00FD57F2" w:rsidP="00FD57F2">
      <w:pPr>
        <w:spacing w:after="200" w:line="276" w:lineRule="auto"/>
        <w:rPr>
          <w:b/>
          <w:sz w:val="20"/>
        </w:rPr>
      </w:pPr>
      <w:r w:rsidRPr="00D46647">
        <w:rPr>
          <w:b/>
          <w:sz w:val="20"/>
        </w:rPr>
        <w:br w:type="page"/>
      </w:r>
    </w:p>
    <w:p w14:paraId="3A2AEE73" w14:textId="77777777" w:rsidR="00FD57F2" w:rsidRPr="00D46647" w:rsidRDefault="00FD57F2" w:rsidP="00FD57F2">
      <w:pPr>
        <w:tabs>
          <w:tab w:val="left" w:pos="3261"/>
        </w:tabs>
        <w:autoSpaceDE w:val="0"/>
        <w:autoSpaceDN w:val="0"/>
        <w:adjustRightInd w:val="0"/>
        <w:jc w:val="center"/>
        <w:rPr>
          <w:b/>
          <w:sz w:val="20"/>
        </w:rPr>
      </w:pPr>
      <w:r w:rsidRPr="00D46647">
        <w:rPr>
          <w:b/>
          <w:sz w:val="20"/>
        </w:rPr>
        <w:t>Utilisation du budget du projet (par catégorie de dépenses)</w:t>
      </w:r>
    </w:p>
    <w:p w14:paraId="1C0A8BD8" w14:textId="77777777" w:rsidR="00FD57F2" w:rsidRPr="00D46647" w:rsidRDefault="00FD57F2" w:rsidP="00FD57F2">
      <w:pPr>
        <w:tabs>
          <w:tab w:val="left" w:pos="3261"/>
        </w:tabs>
        <w:autoSpaceDE w:val="0"/>
        <w:autoSpaceDN w:val="0"/>
        <w:adjustRightInd w:val="0"/>
        <w:jc w:val="center"/>
        <w:rPr>
          <w:i/>
          <w:iCs/>
          <w:sz w:val="18"/>
          <w:szCs w:val="18"/>
        </w:rPr>
      </w:pPr>
      <w:r w:rsidRPr="00D46647">
        <w:rPr>
          <w:i/>
          <w:sz w:val="18"/>
        </w:rPr>
        <w:t>(en francs suisses, au 31 décembre 2016)</w:t>
      </w:r>
    </w:p>
    <w:p w14:paraId="5BA39DAE" w14:textId="77777777" w:rsidR="00FD57F2" w:rsidRPr="00D46647" w:rsidRDefault="00FD57F2" w:rsidP="00FD57F2">
      <w:pPr>
        <w:keepNext/>
        <w:keepLines/>
        <w:autoSpaceDE w:val="0"/>
        <w:autoSpaceDN w:val="0"/>
        <w:adjustRightInd w:val="0"/>
        <w:jc w:val="cente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444"/>
        <w:gridCol w:w="1948"/>
        <w:gridCol w:w="1948"/>
        <w:gridCol w:w="1947"/>
      </w:tblGrid>
      <w:tr w:rsidR="00FD57F2" w:rsidRPr="00D46647" w14:paraId="5C9F4B23" w14:textId="77777777" w:rsidTr="007E3422">
        <w:tc>
          <w:tcPr>
            <w:tcW w:w="1854" w:type="pct"/>
            <w:shd w:val="clear" w:color="auto" w:fill="C6D9F1"/>
            <w:vAlign w:val="center"/>
          </w:tcPr>
          <w:p w14:paraId="2EE50F9A"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Catégorie de dépenses</w:t>
            </w:r>
          </w:p>
        </w:tc>
        <w:tc>
          <w:tcPr>
            <w:tcW w:w="1049" w:type="pct"/>
            <w:shd w:val="clear" w:color="auto" w:fill="C6D9F1"/>
            <w:vAlign w:val="center"/>
          </w:tcPr>
          <w:p w14:paraId="2494564C"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1049" w:type="pct"/>
            <w:shd w:val="clear" w:color="auto" w:fill="C6D9F1"/>
            <w:vAlign w:val="center"/>
          </w:tcPr>
          <w:p w14:paraId="69BF62CB"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 xml:space="preserve">Dépenses effectives à ce jour </w:t>
            </w:r>
          </w:p>
        </w:tc>
        <w:tc>
          <w:tcPr>
            <w:tcW w:w="1048" w:type="pct"/>
            <w:shd w:val="clear" w:color="auto" w:fill="C6D9F1"/>
            <w:vAlign w:val="center"/>
          </w:tcPr>
          <w:p w14:paraId="6E3E06FF"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r>
      <w:tr w:rsidR="00FD57F2" w:rsidRPr="00D46647" w14:paraId="4B1B6F15" w14:textId="77777777" w:rsidTr="007E3422">
        <w:tc>
          <w:tcPr>
            <w:tcW w:w="1854" w:type="pct"/>
            <w:vAlign w:val="center"/>
          </w:tcPr>
          <w:p w14:paraId="66126A22" w14:textId="77777777" w:rsidR="00FD57F2" w:rsidRPr="00D46647" w:rsidRDefault="00FD57F2" w:rsidP="00FD57F2">
            <w:pPr>
              <w:autoSpaceDE w:val="0"/>
              <w:autoSpaceDN w:val="0"/>
              <w:adjustRightInd w:val="0"/>
              <w:rPr>
                <w:sz w:val="16"/>
                <w:szCs w:val="16"/>
              </w:rPr>
            </w:pPr>
            <w:r w:rsidRPr="00D46647">
              <w:rPr>
                <w:sz w:val="16"/>
              </w:rPr>
              <w:t>Dépenses relatives à la construction</w:t>
            </w:r>
            <w:r w:rsidRPr="00D46647">
              <w:rPr>
                <w:sz w:val="12"/>
              </w:rPr>
              <w:t xml:space="preserve"> </w:t>
            </w:r>
          </w:p>
        </w:tc>
        <w:tc>
          <w:tcPr>
            <w:tcW w:w="1049" w:type="pct"/>
            <w:vAlign w:val="center"/>
          </w:tcPr>
          <w:p w14:paraId="6B7E942F" w14:textId="77777777" w:rsidR="00FD57F2" w:rsidRPr="00D46647" w:rsidRDefault="00FD57F2" w:rsidP="00FD57F2">
            <w:pPr>
              <w:autoSpaceDE w:val="0"/>
              <w:autoSpaceDN w:val="0"/>
              <w:adjustRightInd w:val="0"/>
              <w:jc w:val="center"/>
              <w:rPr>
                <w:sz w:val="16"/>
                <w:szCs w:val="16"/>
              </w:rPr>
            </w:pPr>
            <w:r w:rsidRPr="00D46647">
              <w:rPr>
                <w:sz w:val="16"/>
              </w:rPr>
              <w:t>585 000</w:t>
            </w:r>
          </w:p>
        </w:tc>
        <w:tc>
          <w:tcPr>
            <w:tcW w:w="1049" w:type="pct"/>
            <w:vAlign w:val="center"/>
          </w:tcPr>
          <w:p w14:paraId="7207B63F" w14:textId="77777777" w:rsidR="00FD57F2" w:rsidRPr="00D46647" w:rsidRDefault="00FD57F2" w:rsidP="00FD57F2">
            <w:pPr>
              <w:autoSpaceDE w:val="0"/>
              <w:autoSpaceDN w:val="0"/>
              <w:adjustRightInd w:val="0"/>
              <w:jc w:val="center"/>
              <w:rPr>
                <w:sz w:val="16"/>
                <w:szCs w:val="16"/>
              </w:rPr>
            </w:pPr>
            <w:r w:rsidRPr="00D46647">
              <w:rPr>
                <w:sz w:val="16"/>
                <w:szCs w:val="16"/>
              </w:rPr>
              <w:t>203 087</w:t>
            </w:r>
          </w:p>
        </w:tc>
        <w:tc>
          <w:tcPr>
            <w:tcW w:w="1048" w:type="pct"/>
            <w:vAlign w:val="center"/>
          </w:tcPr>
          <w:p w14:paraId="2CE793BC" w14:textId="77777777" w:rsidR="00FD57F2" w:rsidRPr="00D46647" w:rsidRDefault="00FD57F2" w:rsidP="00FD57F2">
            <w:pPr>
              <w:autoSpaceDE w:val="0"/>
              <w:autoSpaceDN w:val="0"/>
              <w:adjustRightInd w:val="0"/>
              <w:jc w:val="center"/>
              <w:rPr>
                <w:sz w:val="16"/>
                <w:szCs w:val="16"/>
              </w:rPr>
            </w:pPr>
            <w:r w:rsidRPr="00D46647">
              <w:rPr>
                <w:sz w:val="16"/>
                <w:szCs w:val="16"/>
              </w:rPr>
              <w:t>34,7%</w:t>
            </w:r>
          </w:p>
        </w:tc>
      </w:tr>
      <w:tr w:rsidR="00FD57F2" w:rsidRPr="00D46647" w14:paraId="6358E7DD" w14:textId="77777777" w:rsidTr="007E3422">
        <w:tc>
          <w:tcPr>
            <w:tcW w:w="1854" w:type="pct"/>
            <w:vAlign w:val="center"/>
          </w:tcPr>
          <w:p w14:paraId="76816605" w14:textId="77777777" w:rsidR="00FD57F2" w:rsidRPr="00D46647" w:rsidRDefault="00FD57F2" w:rsidP="00FD57F2">
            <w:pPr>
              <w:autoSpaceDE w:val="0"/>
              <w:autoSpaceDN w:val="0"/>
              <w:adjustRightInd w:val="0"/>
              <w:rPr>
                <w:sz w:val="16"/>
                <w:szCs w:val="16"/>
              </w:rPr>
            </w:pPr>
            <w:r w:rsidRPr="00D46647">
              <w:rPr>
                <w:sz w:val="16"/>
              </w:rPr>
              <w:t>Honoraires</w:t>
            </w:r>
          </w:p>
        </w:tc>
        <w:tc>
          <w:tcPr>
            <w:tcW w:w="1049" w:type="pct"/>
            <w:vAlign w:val="center"/>
          </w:tcPr>
          <w:p w14:paraId="5D33D583" w14:textId="77777777" w:rsidR="00FD57F2" w:rsidRPr="00D46647" w:rsidRDefault="00FD57F2" w:rsidP="00FD57F2">
            <w:pPr>
              <w:autoSpaceDE w:val="0"/>
              <w:autoSpaceDN w:val="0"/>
              <w:adjustRightInd w:val="0"/>
              <w:jc w:val="center"/>
              <w:rPr>
                <w:sz w:val="16"/>
                <w:szCs w:val="16"/>
              </w:rPr>
            </w:pPr>
            <w:r w:rsidRPr="00D46647">
              <w:rPr>
                <w:sz w:val="16"/>
              </w:rPr>
              <w:t>113 000</w:t>
            </w:r>
          </w:p>
        </w:tc>
        <w:tc>
          <w:tcPr>
            <w:tcW w:w="1049" w:type="pct"/>
          </w:tcPr>
          <w:p w14:paraId="2892DAA2" w14:textId="77777777" w:rsidR="00FD57F2" w:rsidRPr="00D46647" w:rsidRDefault="00FD57F2" w:rsidP="00FD57F2">
            <w:pPr>
              <w:autoSpaceDE w:val="0"/>
              <w:autoSpaceDN w:val="0"/>
              <w:adjustRightInd w:val="0"/>
              <w:jc w:val="center"/>
              <w:rPr>
                <w:sz w:val="16"/>
                <w:szCs w:val="16"/>
              </w:rPr>
            </w:pPr>
            <w:r w:rsidRPr="00D46647">
              <w:rPr>
                <w:sz w:val="16"/>
                <w:szCs w:val="16"/>
              </w:rPr>
              <w:t>59 640</w:t>
            </w:r>
          </w:p>
        </w:tc>
        <w:tc>
          <w:tcPr>
            <w:tcW w:w="1048" w:type="pct"/>
          </w:tcPr>
          <w:p w14:paraId="24DA3CBD" w14:textId="77777777" w:rsidR="00FD57F2" w:rsidRPr="00D46647" w:rsidRDefault="00FD57F2" w:rsidP="00FD57F2">
            <w:pPr>
              <w:autoSpaceDE w:val="0"/>
              <w:autoSpaceDN w:val="0"/>
              <w:adjustRightInd w:val="0"/>
              <w:jc w:val="center"/>
              <w:rPr>
                <w:sz w:val="16"/>
                <w:szCs w:val="16"/>
              </w:rPr>
            </w:pPr>
            <w:r w:rsidRPr="00D46647">
              <w:rPr>
                <w:sz w:val="16"/>
                <w:szCs w:val="16"/>
              </w:rPr>
              <w:t>52,8%</w:t>
            </w:r>
          </w:p>
        </w:tc>
      </w:tr>
      <w:tr w:rsidR="00FD57F2" w:rsidRPr="00D46647" w14:paraId="4B89FE46" w14:textId="77777777" w:rsidTr="007E3422">
        <w:tc>
          <w:tcPr>
            <w:tcW w:w="1854" w:type="pct"/>
            <w:vAlign w:val="center"/>
          </w:tcPr>
          <w:p w14:paraId="64C3F4E1" w14:textId="77777777" w:rsidR="00FD57F2" w:rsidRPr="00D46647" w:rsidRDefault="00FD57F2" w:rsidP="00FD57F2">
            <w:pPr>
              <w:autoSpaceDE w:val="0"/>
              <w:autoSpaceDN w:val="0"/>
              <w:adjustRightInd w:val="0"/>
              <w:rPr>
                <w:sz w:val="16"/>
                <w:szCs w:val="16"/>
              </w:rPr>
            </w:pPr>
            <w:r w:rsidRPr="00D46647">
              <w:rPr>
                <w:sz w:val="16"/>
              </w:rPr>
              <w:t xml:space="preserve">Divers et imprévus </w:t>
            </w:r>
          </w:p>
        </w:tc>
        <w:tc>
          <w:tcPr>
            <w:tcW w:w="1049" w:type="pct"/>
            <w:vAlign w:val="center"/>
          </w:tcPr>
          <w:p w14:paraId="4C9655A5" w14:textId="77777777" w:rsidR="00FD57F2" w:rsidRPr="00D46647" w:rsidRDefault="00FD57F2" w:rsidP="00FD57F2">
            <w:pPr>
              <w:autoSpaceDE w:val="0"/>
              <w:autoSpaceDN w:val="0"/>
              <w:adjustRightInd w:val="0"/>
              <w:jc w:val="center"/>
              <w:rPr>
                <w:sz w:val="16"/>
                <w:szCs w:val="16"/>
              </w:rPr>
            </w:pPr>
            <w:r w:rsidRPr="00D46647">
              <w:rPr>
                <w:sz w:val="16"/>
              </w:rPr>
              <w:t>52 000</w:t>
            </w:r>
          </w:p>
        </w:tc>
        <w:tc>
          <w:tcPr>
            <w:tcW w:w="1049" w:type="pct"/>
            <w:vAlign w:val="center"/>
          </w:tcPr>
          <w:p w14:paraId="3E608916"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1048" w:type="pct"/>
            <w:vAlign w:val="center"/>
          </w:tcPr>
          <w:p w14:paraId="1877EB49"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1D7B87FA" w14:textId="77777777" w:rsidTr="007E3422">
        <w:tc>
          <w:tcPr>
            <w:tcW w:w="1854" w:type="pct"/>
            <w:shd w:val="clear" w:color="auto" w:fill="C6D9F1"/>
            <w:vAlign w:val="center"/>
          </w:tcPr>
          <w:p w14:paraId="07ECAA76" w14:textId="77777777" w:rsidR="00FD57F2" w:rsidRPr="00D46647" w:rsidRDefault="00FD57F2" w:rsidP="00FD57F2">
            <w:pPr>
              <w:autoSpaceDE w:val="0"/>
              <w:autoSpaceDN w:val="0"/>
              <w:adjustRightInd w:val="0"/>
              <w:rPr>
                <w:b/>
                <w:sz w:val="16"/>
                <w:szCs w:val="16"/>
              </w:rPr>
            </w:pPr>
            <w:r w:rsidRPr="00D46647">
              <w:rPr>
                <w:b/>
                <w:sz w:val="16"/>
              </w:rPr>
              <w:t>Total</w:t>
            </w:r>
          </w:p>
        </w:tc>
        <w:tc>
          <w:tcPr>
            <w:tcW w:w="1049" w:type="pct"/>
            <w:shd w:val="clear" w:color="auto" w:fill="C6D9F1"/>
            <w:vAlign w:val="center"/>
          </w:tcPr>
          <w:p w14:paraId="1D541AFB" w14:textId="77777777" w:rsidR="00FD57F2" w:rsidRPr="00D46647" w:rsidRDefault="00FD57F2" w:rsidP="00FD57F2">
            <w:pPr>
              <w:autoSpaceDE w:val="0"/>
              <w:autoSpaceDN w:val="0"/>
              <w:adjustRightInd w:val="0"/>
              <w:jc w:val="center"/>
              <w:rPr>
                <w:b/>
                <w:sz w:val="16"/>
                <w:szCs w:val="16"/>
              </w:rPr>
            </w:pPr>
            <w:r w:rsidRPr="00D46647">
              <w:rPr>
                <w:b/>
                <w:sz w:val="16"/>
              </w:rPr>
              <w:t>750 000</w:t>
            </w:r>
          </w:p>
        </w:tc>
        <w:tc>
          <w:tcPr>
            <w:tcW w:w="1049" w:type="pct"/>
            <w:shd w:val="clear" w:color="auto" w:fill="C6D9F1"/>
          </w:tcPr>
          <w:p w14:paraId="3E9BC5CF" w14:textId="77777777" w:rsidR="00FD57F2" w:rsidRPr="00D46647" w:rsidRDefault="00FD57F2" w:rsidP="00FD57F2">
            <w:pPr>
              <w:autoSpaceDE w:val="0"/>
              <w:autoSpaceDN w:val="0"/>
              <w:adjustRightInd w:val="0"/>
              <w:jc w:val="center"/>
              <w:rPr>
                <w:b/>
                <w:sz w:val="16"/>
                <w:szCs w:val="16"/>
              </w:rPr>
            </w:pPr>
            <w:r w:rsidRPr="00D46647">
              <w:rPr>
                <w:b/>
                <w:sz w:val="16"/>
                <w:szCs w:val="16"/>
              </w:rPr>
              <w:t>262 727</w:t>
            </w:r>
          </w:p>
        </w:tc>
        <w:tc>
          <w:tcPr>
            <w:tcW w:w="1048" w:type="pct"/>
            <w:shd w:val="clear" w:color="auto" w:fill="C6D9F1"/>
          </w:tcPr>
          <w:p w14:paraId="790059A2" w14:textId="77777777" w:rsidR="00FD57F2" w:rsidRPr="00D46647" w:rsidRDefault="00FD57F2" w:rsidP="00FD57F2">
            <w:pPr>
              <w:autoSpaceDE w:val="0"/>
              <w:autoSpaceDN w:val="0"/>
              <w:adjustRightInd w:val="0"/>
              <w:jc w:val="center"/>
              <w:rPr>
                <w:b/>
                <w:sz w:val="16"/>
                <w:szCs w:val="16"/>
              </w:rPr>
            </w:pPr>
            <w:r w:rsidRPr="00D46647">
              <w:rPr>
                <w:b/>
                <w:sz w:val="16"/>
                <w:szCs w:val="16"/>
              </w:rPr>
              <w:t>35%</w:t>
            </w:r>
          </w:p>
        </w:tc>
      </w:tr>
    </w:tbl>
    <w:p w14:paraId="271C397E" w14:textId="77777777" w:rsidR="00FD57F2" w:rsidRPr="00D46647" w:rsidRDefault="00FD57F2" w:rsidP="00FD57F2">
      <w:pPr>
        <w:rPr>
          <w:sz w:val="20"/>
        </w:rPr>
      </w:pPr>
    </w:p>
    <w:p w14:paraId="00D66F0B" w14:textId="77777777" w:rsidR="00FD57F2" w:rsidRPr="00D46647" w:rsidRDefault="00FD57F2" w:rsidP="00FD57F2">
      <w:pPr>
        <w:rPr>
          <w:sz w:val="20"/>
        </w:rPr>
      </w:pPr>
    </w:p>
    <w:p w14:paraId="3D6EAB6C" w14:textId="77777777" w:rsidR="00FD57F2" w:rsidRPr="00D46647" w:rsidRDefault="00FD57F2" w:rsidP="00FD57F2">
      <w:pPr>
        <w:rPr>
          <w:sz w:val="20"/>
        </w:rPr>
      </w:pPr>
      <w:r w:rsidRPr="00D46647">
        <w:rPr>
          <w:sz w:val="20"/>
        </w:rPr>
        <w:t>RISQUES ET STRATÉGIES D’ATTÉNUATION</w:t>
      </w:r>
    </w:p>
    <w:p w14:paraId="59B33170" w14:textId="77777777" w:rsidR="00FD57F2" w:rsidRPr="00D46647" w:rsidRDefault="00FD57F2" w:rsidP="00FD57F2">
      <w:pPr>
        <w:rPr>
          <w:sz w:val="20"/>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7"/>
        <w:gridCol w:w="3096"/>
        <w:gridCol w:w="3094"/>
      </w:tblGrid>
      <w:tr w:rsidR="00FD57F2" w:rsidRPr="00D46647" w14:paraId="79BCC35B" w14:textId="77777777" w:rsidTr="007E3422">
        <w:trPr>
          <w:tblHeader/>
          <w:jc w:val="center"/>
        </w:trPr>
        <w:tc>
          <w:tcPr>
            <w:tcW w:w="1667" w:type="pct"/>
            <w:shd w:val="clear" w:color="auto" w:fill="C6D9F1"/>
            <w:vAlign w:val="center"/>
          </w:tcPr>
          <w:p w14:paraId="4A7C8DDF" w14:textId="77777777" w:rsidR="00FD57F2" w:rsidRPr="00D46647" w:rsidRDefault="00FD57F2" w:rsidP="00FD57F2">
            <w:pPr>
              <w:autoSpaceDE w:val="0"/>
              <w:autoSpaceDN w:val="0"/>
              <w:adjustRightInd w:val="0"/>
              <w:jc w:val="center"/>
              <w:rPr>
                <w:b/>
                <w:bCs/>
                <w:sz w:val="16"/>
                <w:szCs w:val="16"/>
              </w:rPr>
            </w:pPr>
            <w:r w:rsidRPr="00D46647">
              <w:rPr>
                <w:b/>
                <w:sz w:val="16"/>
              </w:rPr>
              <w:t>Risque/Description du risque</w:t>
            </w:r>
          </w:p>
        </w:tc>
        <w:tc>
          <w:tcPr>
            <w:tcW w:w="1667" w:type="pct"/>
            <w:shd w:val="clear" w:color="auto" w:fill="C6D9F1"/>
            <w:vAlign w:val="center"/>
          </w:tcPr>
          <w:p w14:paraId="275B8B57" w14:textId="77777777" w:rsidR="00FD57F2" w:rsidRPr="00D46647" w:rsidRDefault="00FD57F2" w:rsidP="00FD57F2">
            <w:pPr>
              <w:autoSpaceDE w:val="0"/>
              <w:autoSpaceDN w:val="0"/>
              <w:adjustRightInd w:val="0"/>
              <w:jc w:val="center"/>
              <w:rPr>
                <w:b/>
                <w:bCs/>
                <w:sz w:val="16"/>
                <w:szCs w:val="16"/>
              </w:rPr>
            </w:pPr>
            <w:r w:rsidRPr="00D46647">
              <w:rPr>
                <w:b/>
                <w:sz w:val="16"/>
              </w:rPr>
              <w:t>Atténuation des risques</w:t>
            </w:r>
          </w:p>
        </w:tc>
        <w:tc>
          <w:tcPr>
            <w:tcW w:w="1666" w:type="pct"/>
            <w:shd w:val="clear" w:color="auto" w:fill="C6D9F1"/>
            <w:vAlign w:val="center"/>
          </w:tcPr>
          <w:p w14:paraId="7DFD4E96" w14:textId="77777777" w:rsidR="00FD57F2" w:rsidRPr="00D46647" w:rsidRDefault="00FD57F2" w:rsidP="00FD57F2">
            <w:pPr>
              <w:autoSpaceDE w:val="0"/>
              <w:autoSpaceDN w:val="0"/>
              <w:adjustRightInd w:val="0"/>
              <w:jc w:val="center"/>
              <w:rPr>
                <w:b/>
                <w:bCs/>
                <w:sz w:val="16"/>
                <w:szCs w:val="16"/>
              </w:rPr>
            </w:pPr>
            <w:r w:rsidRPr="00D46647">
              <w:rPr>
                <w:b/>
                <w:bCs/>
                <w:sz w:val="16"/>
                <w:szCs w:val="16"/>
              </w:rPr>
              <w:t>Observation</w:t>
            </w:r>
          </w:p>
        </w:tc>
      </w:tr>
      <w:tr w:rsidR="00FD57F2" w:rsidRPr="00D46647" w14:paraId="3F51B961" w14:textId="77777777" w:rsidTr="007E3422">
        <w:trPr>
          <w:jc w:val="center"/>
        </w:trPr>
        <w:tc>
          <w:tcPr>
            <w:tcW w:w="1667" w:type="pct"/>
            <w:shd w:val="clear" w:color="auto" w:fill="auto"/>
          </w:tcPr>
          <w:p w14:paraId="599F656E" w14:textId="77777777" w:rsidR="00FD57F2" w:rsidRPr="00D46647" w:rsidRDefault="00FD57F2" w:rsidP="00FD57F2">
            <w:pPr>
              <w:autoSpaceDE w:val="0"/>
              <w:autoSpaceDN w:val="0"/>
              <w:adjustRightInd w:val="0"/>
              <w:rPr>
                <w:rFonts w:eastAsia="Batang"/>
                <w:color w:val="000000"/>
                <w:sz w:val="16"/>
                <w:szCs w:val="16"/>
                <w:lang w:eastAsia="ja-JP"/>
              </w:rPr>
            </w:pPr>
            <w:r w:rsidRPr="00D46647">
              <w:rPr>
                <w:rFonts w:eastAsia="Batang"/>
                <w:sz w:val="16"/>
                <w:szCs w:val="16"/>
                <w:lang w:eastAsia="ja-JP"/>
              </w:rPr>
              <w:t>Découverte d’un imprévu pendant le chantier PCT.  Retard des SIG pour leurs travaux d’installation des équipements à l’intérieur du bâtiment PCT et/ou problème technique découvert lors de ou causé par le démontage des conduites existantes</w:t>
            </w:r>
            <w:r w:rsidRPr="00D46647">
              <w:rPr>
                <w:rFonts w:eastAsia="Batang"/>
                <w:color w:val="000000"/>
                <w:sz w:val="16"/>
                <w:szCs w:val="16"/>
                <w:lang w:eastAsia="ja-JP"/>
              </w:rPr>
              <w:t>.</w:t>
            </w:r>
          </w:p>
        </w:tc>
        <w:tc>
          <w:tcPr>
            <w:tcW w:w="1667" w:type="pct"/>
            <w:shd w:val="clear" w:color="auto" w:fill="auto"/>
          </w:tcPr>
          <w:p w14:paraId="5303120A" w14:textId="77777777" w:rsidR="00FD57F2" w:rsidRPr="00D46647" w:rsidRDefault="00FD57F2" w:rsidP="00FD57F2">
            <w:pPr>
              <w:autoSpaceDE w:val="0"/>
              <w:autoSpaceDN w:val="0"/>
              <w:adjustRightInd w:val="0"/>
              <w:rPr>
                <w:sz w:val="16"/>
                <w:szCs w:val="16"/>
              </w:rPr>
            </w:pPr>
            <w:r w:rsidRPr="00D46647">
              <w:rPr>
                <w:rFonts w:eastAsia="Batang"/>
                <w:sz w:val="16"/>
                <w:szCs w:val="16"/>
                <w:lang w:eastAsia="ja-JP"/>
              </w:rPr>
              <w:t>Réalisation des réparations éventuelles et réactualisation du planning des travaux si nécessaire, y compris pour 2016.</w:t>
            </w:r>
          </w:p>
        </w:tc>
        <w:tc>
          <w:tcPr>
            <w:tcW w:w="1666" w:type="pct"/>
            <w:shd w:val="clear" w:color="auto" w:fill="auto"/>
          </w:tcPr>
          <w:p w14:paraId="37D7E4BF" w14:textId="77777777" w:rsidR="00FD57F2" w:rsidRPr="00D46647" w:rsidRDefault="00FD57F2" w:rsidP="00FD57F2">
            <w:pPr>
              <w:autoSpaceDE w:val="0"/>
              <w:autoSpaceDN w:val="0"/>
              <w:adjustRightInd w:val="0"/>
              <w:rPr>
                <w:i/>
                <w:sz w:val="16"/>
                <w:szCs w:val="16"/>
              </w:rPr>
            </w:pPr>
          </w:p>
          <w:p w14:paraId="706F486D" w14:textId="77777777" w:rsidR="00FD57F2" w:rsidRPr="00D46647" w:rsidRDefault="00FD57F2" w:rsidP="00FD57F2">
            <w:pPr>
              <w:autoSpaceDE w:val="0"/>
              <w:autoSpaceDN w:val="0"/>
              <w:adjustRightInd w:val="0"/>
              <w:rPr>
                <w:i/>
                <w:sz w:val="16"/>
                <w:szCs w:val="16"/>
              </w:rPr>
            </w:pPr>
          </w:p>
          <w:p w14:paraId="783A8404" w14:textId="77777777" w:rsidR="00FD57F2" w:rsidRPr="00D46647" w:rsidRDefault="00FD57F2" w:rsidP="00FD57F2">
            <w:pPr>
              <w:autoSpaceDE w:val="0"/>
              <w:autoSpaceDN w:val="0"/>
              <w:adjustRightInd w:val="0"/>
              <w:rPr>
                <w:i/>
                <w:sz w:val="16"/>
                <w:szCs w:val="16"/>
              </w:rPr>
            </w:pPr>
          </w:p>
          <w:p w14:paraId="77E78868" w14:textId="77777777" w:rsidR="00FD57F2" w:rsidRPr="00D46647" w:rsidRDefault="00FD57F2" w:rsidP="00FD57F2">
            <w:pPr>
              <w:autoSpaceDE w:val="0"/>
              <w:autoSpaceDN w:val="0"/>
              <w:adjustRightInd w:val="0"/>
              <w:rPr>
                <w:i/>
                <w:sz w:val="16"/>
                <w:szCs w:val="16"/>
              </w:rPr>
            </w:pPr>
          </w:p>
          <w:p w14:paraId="086900D6" w14:textId="77777777" w:rsidR="00FD57F2" w:rsidRPr="00D46647" w:rsidRDefault="00FD57F2" w:rsidP="00FD57F2">
            <w:pPr>
              <w:autoSpaceDE w:val="0"/>
              <w:autoSpaceDN w:val="0"/>
              <w:adjustRightInd w:val="0"/>
              <w:rPr>
                <w:i/>
                <w:sz w:val="16"/>
                <w:szCs w:val="16"/>
              </w:rPr>
            </w:pPr>
            <w:r w:rsidRPr="00D46647">
              <w:rPr>
                <w:i/>
                <w:sz w:val="16"/>
                <w:szCs w:val="16"/>
              </w:rPr>
              <w:t>Ce risque n’existe plus.</w:t>
            </w:r>
          </w:p>
        </w:tc>
      </w:tr>
      <w:tr w:rsidR="00FD57F2" w:rsidRPr="00D46647" w14:paraId="242AED1E" w14:textId="77777777" w:rsidTr="007E3422">
        <w:trPr>
          <w:jc w:val="center"/>
        </w:trPr>
        <w:tc>
          <w:tcPr>
            <w:tcW w:w="1667" w:type="pct"/>
            <w:shd w:val="clear" w:color="auto" w:fill="auto"/>
          </w:tcPr>
          <w:p w14:paraId="3D419B73" w14:textId="77777777" w:rsidR="00FD57F2" w:rsidRPr="00D46647" w:rsidRDefault="00FD57F2" w:rsidP="00FD57F2">
            <w:pPr>
              <w:autoSpaceDE w:val="0"/>
              <w:autoSpaceDN w:val="0"/>
              <w:adjustRightInd w:val="0"/>
              <w:rPr>
                <w:sz w:val="16"/>
                <w:szCs w:val="16"/>
              </w:rPr>
            </w:pPr>
            <w:r w:rsidRPr="00D46647">
              <w:rPr>
                <w:sz w:val="16"/>
                <w:szCs w:val="16"/>
              </w:rPr>
              <w:t>Découverte d’un imprévu au cours de la période de garantie des installations, tel qu’une panne due à un équipement défectueux ou à une mauvaise installation.</w:t>
            </w:r>
          </w:p>
        </w:tc>
        <w:tc>
          <w:tcPr>
            <w:tcW w:w="1667" w:type="pct"/>
            <w:shd w:val="clear" w:color="auto" w:fill="auto"/>
          </w:tcPr>
          <w:p w14:paraId="18F5631F" w14:textId="77777777" w:rsidR="00FD57F2" w:rsidRPr="00D46647" w:rsidRDefault="00FD57F2" w:rsidP="00FD57F2">
            <w:pPr>
              <w:autoSpaceDE w:val="0"/>
              <w:autoSpaceDN w:val="0"/>
              <w:adjustRightInd w:val="0"/>
              <w:rPr>
                <w:sz w:val="16"/>
                <w:szCs w:val="16"/>
              </w:rPr>
            </w:pPr>
            <w:r w:rsidRPr="00D46647">
              <w:rPr>
                <w:sz w:val="16"/>
                <w:szCs w:val="16"/>
              </w:rPr>
              <w:t>Réalisation des réparations possibles durant la période de garantie.</w:t>
            </w:r>
          </w:p>
        </w:tc>
        <w:tc>
          <w:tcPr>
            <w:tcW w:w="1666" w:type="pct"/>
            <w:shd w:val="clear" w:color="auto" w:fill="auto"/>
          </w:tcPr>
          <w:p w14:paraId="18E855A9" w14:textId="77777777" w:rsidR="00FD57F2" w:rsidRPr="00D46647" w:rsidRDefault="00FD57F2" w:rsidP="00FD57F2">
            <w:pPr>
              <w:autoSpaceDE w:val="0"/>
              <w:autoSpaceDN w:val="0"/>
              <w:adjustRightInd w:val="0"/>
              <w:rPr>
                <w:sz w:val="16"/>
                <w:szCs w:val="16"/>
              </w:rPr>
            </w:pPr>
            <w:r w:rsidRPr="00D46647">
              <w:rPr>
                <w:sz w:val="16"/>
                <w:szCs w:val="16"/>
              </w:rPr>
              <w:t>Ce risque reste d’actualité jusqu’en décembre 2017 en ce qui concerne le bâtiment PCT et continuera donc de faire l’objet d’une surveillance.</w:t>
            </w:r>
          </w:p>
        </w:tc>
      </w:tr>
    </w:tbl>
    <w:p w14:paraId="1DD75EA2" w14:textId="77777777" w:rsidR="00FD57F2" w:rsidRPr="00D46647" w:rsidRDefault="00FD57F2" w:rsidP="00FD57F2">
      <w:pPr>
        <w:autoSpaceDE w:val="0"/>
        <w:autoSpaceDN w:val="0"/>
        <w:jc w:val="both"/>
        <w:rPr>
          <w:sz w:val="20"/>
        </w:rPr>
      </w:pPr>
    </w:p>
    <w:p w14:paraId="6A56324F" w14:textId="77777777" w:rsidR="00FD57F2" w:rsidRPr="00D46647" w:rsidRDefault="00FD57F2" w:rsidP="00FD57F2">
      <w:pPr>
        <w:rPr>
          <w:sz w:val="20"/>
        </w:rPr>
      </w:pPr>
    </w:p>
    <w:p w14:paraId="0E013897" w14:textId="77777777" w:rsidR="00FD57F2" w:rsidRPr="00D46647" w:rsidRDefault="00FD57F2" w:rsidP="00FD57F2">
      <w:pPr>
        <w:rPr>
          <w:sz w:val="20"/>
        </w:rPr>
      </w:pPr>
      <w:r w:rsidRPr="00D46647">
        <w:rPr>
          <w:sz w:val="20"/>
        </w:rPr>
        <w:t>CALENDRIER DU PROJET PAR ÉTAPE</w:t>
      </w:r>
    </w:p>
    <w:p w14:paraId="5FE4ADE7" w14:textId="77777777" w:rsidR="00FD57F2" w:rsidRPr="00D46647" w:rsidRDefault="00FD57F2" w:rsidP="00FD57F2">
      <w:pPr>
        <w:autoSpaceDE w:val="0"/>
        <w:autoSpaceDN w:val="0"/>
        <w:jc w:val="both"/>
        <w:rPr>
          <w:sz w:val="20"/>
        </w:rPr>
      </w:pPr>
    </w:p>
    <w:tbl>
      <w:tblPr>
        <w:tblW w:w="50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2132"/>
        <w:gridCol w:w="464"/>
        <w:gridCol w:w="464"/>
        <w:gridCol w:w="463"/>
        <w:gridCol w:w="464"/>
        <w:gridCol w:w="463"/>
        <w:gridCol w:w="464"/>
        <w:gridCol w:w="463"/>
        <w:gridCol w:w="464"/>
        <w:gridCol w:w="488"/>
        <w:gridCol w:w="463"/>
        <w:gridCol w:w="464"/>
        <w:gridCol w:w="463"/>
        <w:gridCol w:w="399"/>
        <w:gridCol w:w="399"/>
        <w:gridCol w:w="399"/>
        <w:gridCol w:w="399"/>
      </w:tblGrid>
      <w:tr w:rsidR="00FD57F2" w:rsidRPr="00D46647" w14:paraId="3209AFCB" w14:textId="77777777" w:rsidTr="007E3422">
        <w:trPr>
          <w:tblHeader/>
          <w:jc w:val="center"/>
        </w:trPr>
        <w:tc>
          <w:tcPr>
            <w:tcW w:w="2132" w:type="dxa"/>
            <w:tcBorders>
              <w:top w:val="nil"/>
              <w:left w:val="nil"/>
            </w:tcBorders>
            <w:shd w:val="clear" w:color="auto" w:fill="auto"/>
            <w:noWrap/>
            <w:vAlign w:val="bottom"/>
            <w:hideMark/>
          </w:tcPr>
          <w:p w14:paraId="62F067D5" w14:textId="77777777" w:rsidR="00FD57F2" w:rsidRPr="00D46647" w:rsidRDefault="00FD57F2" w:rsidP="00FD57F2">
            <w:pPr>
              <w:rPr>
                <w:color w:val="000000"/>
                <w:spacing w:val="-2"/>
                <w:sz w:val="16"/>
                <w:szCs w:val="16"/>
              </w:rPr>
            </w:pPr>
          </w:p>
        </w:tc>
        <w:tc>
          <w:tcPr>
            <w:tcW w:w="1855" w:type="dxa"/>
            <w:gridSpan w:val="4"/>
            <w:shd w:val="clear" w:color="auto" w:fill="C6D9F1" w:themeFill="text2" w:themeFillTint="33"/>
            <w:noWrap/>
            <w:vAlign w:val="center"/>
            <w:hideMark/>
          </w:tcPr>
          <w:p w14:paraId="3BCC4C51"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2014</w:t>
            </w:r>
          </w:p>
        </w:tc>
        <w:tc>
          <w:tcPr>
            <w:tcW w:w="1854" w:type="dxa"/>
            <w:gridSpan w:val="4"/>
            <w:shd w:val="clear" w:color="auto" w:fill="C6D9F1" w:themeFill="text2" w:themeFillTint="33"/>
            <w:noWrap/>
            <w:vAlign w:val="center"/>
            <w:hideMark/>
          </w:tcPr>
          <w:p w14:paraId="27989585"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2015</w:t>
            </w:r>
          </w:p>
        </w:tc>
        <w:tc>
          <w:tcPr>
            <w:tcW w:w="1878" w:type="dxa"/>
            <w:gridSpan w:val="4"/>
            <w:shd w:val="clear" w:color="auto" w:fill="C6D9F1" w:themeFill="text2" w:themeFillTint="33"/>
            <w:noWrap/>
            <w:vAlign w:val="center"/>
            <w:hideMark/>
          </w:tcPr>
          <w:p w14:paraId="23ACDDD8"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2016</w:t>
            </w:r>
          </w:p>
        </w:tc>
        <w:tc>
          <w:tcPr>
            <w:tcW w:w="1592" w:type="dxa"/>
            <w:gridSpan w:val="4"/>
            <w:shd w:val="clear" w:color="auto" w:fill="C6D9F1" w:themeFill="text2" w:themeFillTint="33"/>
            <w:vAlign w:val="center"/>
          </w:tcPr>
          <w:p w14:paraId="39C768BB" w14:textId="77777777" w:rsidR="00FD57F2" w:rsidRPr="00D46647" w:rsidRDefault="00FD57F2" w:rsidP="00FD57F2">
            <w:pPr>
              <w:jc w:val="center"/>
              <w:rPr>
                <w:b/>
                <w:bCs/>
                <w:color w:val="000000"/>
                <w:spacing w:val="-2"/>
                <w:sz w:val="16"/>
                <w:szCs w:val="16"/>
              </w:rPr>
            </w:pPr>
            <w:r w:rsidRPr="00D46647">
              <w:rPr>
                <w:b/>
                <w:bCs/>
                <w:color w:val="000000"/>
                <w:spacing w:val="-2"/>
                <w:sz w:val="16"/>
                <w:szCs w:val="16"/>
              </w:rPr>
              <w:t>2017</w:t>
            </w:r>
          </w:p>
        </w:tc>
      </w:tr>
      <w:tr w:rsidR="00FD57F2" w:rsidRPr="00D46647" w14:paraId="3FEC5B40" w14:textId="77777777" w:rsidTr="007E3422">
        <w:trPr>
          <w:tblHeader/>
          <w:jc w:val="center"/>
        </w:trPr>
        <w:tc>
          <w:tcPr>
            <w:tcW w:w="2132" w:type="dxa"/>
            <w:shd w:val="clear" w:color="auto" w:fill="C6D9F1" w:themeFill="text2" w:themeFillTint="33"/>
            <w:noWrap/>
            <w:vAlign w:val="bottom"/>
            <w:hideMark/>
          </w:tcPr>
          <w:p w14:paraId="38A9BAC4" w14:textId="77777777" w:rsidR="00FD57F2" w:rsidRPr="00D46647" w:rsidRDefault="00FD57F2" w:rsidP="00FD57F2">
            <w:pPr>
              <w:rPr>
                <w:b/>
                <w:bCs/>
                <w:spacing w:val="-2"/>
                <w:sz w:val="16"/>
                <w:szCs w:val="16"/>
              </w:rPr>
            </w:pPr>
            <w:r w:rsidRPr="00D46647">
              <w:rPr>
                <w:b/>
                <w:bCs/>
                <w:spacing w:val="-2"/>
                <w:sz w:val="16"/>
                <w:szCs w:val="16"/>
              </w:rPr>
              <w:t>Étape principale</w:t>
            </w:r>
          </w:p>
        </w:tc>
        <w:tc>
          <w:tcPr>
            <w:tcW w:w="464" w:type="dxa"/>
            <w:shd w:val="clear" w:color="auto" w:fill="C6D9F1" w:themeFill="text2" w:themeFillTint="33"/>
            <w:noWrap/>
            <w:vAlign w:val="center"/>
            <w:hideMark/>
          </w:tcPr>
          <w:p w14:paraId="626EB7A2"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64" w:type="dxa"/>
            <w:shd w:val="clear" w:color="auto" w:fill="C6D9F1" w:themeFill="text2" w:themeFillTint="33"/>
            <w:noWrap/>
            <w:vAlign w:val="center"/>
            <w:hideMark/>
          </w:tcPr>
          <w:p w14:paraId="4C87B82A"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63" w:type="dxa"/>
            <w:shd w:val="clear" w:color="auto" w:fill="C6D9F1" w:themeFill="text2" w:themeFillTint="33"/>
            <w:noWrap/>
            <w:vAlign w:val="center"/>
            <w:hideMark/>
          </w:tcPr>
          <w:p w14:paraId="0DB0F5D5"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64" w:type="dxa"/>
            <w:shd w:val="clear" w:color="auto" w:fill="C6D9F1" w:themeFill="text2" w:themeFillTint="33"/>
            <w:noWrap/>
            <w:vAlign w:val="center"/>
            <w:hideMark/>
          </w:tcPr>
          <w:p w14:paraId="58D3A64C"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463" w:type="dxa"/>
            <w:shd w:val="clear" w:color="auto" w:fill="C6D9F1" w:themeFill="text2" w:themeFillTint="33"/>
            <w:noWrap/>
            <w:vAlign w:val="center"/>
            <w:hideMark/>
          </w:tcPr>
          <w:p w14:paraId="4A9F9B1C"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64" w:type="dxa"/>
            <w:shd w:val="clear" w:color="auto" w:fill="C6D9F1" w:themeFill="text2" w:themeFillTint="33"/>
            <w:noWrap/>
            <w:vAlign w:val="center"/>
            <w:hideMark/>
          </w:tcPr>
          <w:p w14:paraId="680E516B"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63" w:type="dxa"/>
            <w:shd w:val="clear" w:color="auto" w:fill="C6D9F1" w:themeFill="text2" w:themeFillTint="33"/>
            <w:noWrap/>
            <w:vAlign w:val="center"/>
            <w:hideMark/>
          </w:tcPr>
          <w:p w14:paraId="08566452"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64" w:type="dxa"/>
            <w:shd w:val="clear" w:color="auto" w:fill="C6D9F1" w:themeFill="text2" w:themeFillTint="33"/>
            <w:noWrap/>
            <w:vAlign w:val="center"/>
            <w:hideMark/>
          </w:tcPr>
          <w:p w14:paraId="75534739"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488" w:type="dxa"/>
            <w:shd w:val="clear" w:color="auto" w:fill="C6D9F1" w:themeFill="text2" w:themeFillTint="33"/>
            <w:noWrap/>
            <w:vAlign w:val="center"/>
            <w:hideMark/>
          </w:tcPr>
          <w:p w14:paraId="16E040B5"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463" w:type="dxa"/>
            <w:shd w:val="clear" w:color="auto" w:fill="C6D9F1" w:themeFill="text2" w:themeFillTint="33"/>
            <w:noWrap/>
            <w:vAlign w:val="center"/>
            <w:hideMark/>
          </w:tcPr>
          <w:p w14:paraId="341F21EB"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464" w:type="dxa"/>
            <w:shd w:val="clear" w:color="auto" w:fill="C6D9F1" w:themeFill="text2" w:themeFillTint="33"/>
            <w:noWrap/>
            <w:vAlign w:val="center"/>
            <w:hideMark/>
          </w:tcPr>
          <w:p w14:paraId="2964F6C2"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463" w:type="dxa"/>
            <w:shd w:val="clear" w:color="auto" w:fill="C6D9F1" w:themeFill="text2" w:themeFillTint="33"/>
            <w:noWrap/>
            <w:vAlign w:val="center"/>
            <w:hideMark/>
          </w:tcPr>
          <w:p w14:paraId="215B47C5" w14:textId="77777777" w:rsidR="00FD57F2" w:rsidRPr="00D46647" w:rsidRDefault="00FD57F2" w:rsidP="00FD57F2">
            <w:pPr>
              <w:jc w:val="center"/>
              <w:rPr>
                <w:b/>
                <w:bCs/>
                <w:spacing w:val="-2"/>
                <w:sz w:val="16"/>
                <w:szCs w:val="16"/>
              </w:rPr>
            </w:pPr>
            <w:r w:rsidRPr="00D46647">
              <w:rPr>
                <w:b/>
                <w:bCs/>
                <w:spacing w:val="-2"/>
                <w:sz w:val="16"/>
                <w:szCs w:val="16"/>
              </w:rPr>
              <w:t>T4</w:t>
            </w:r>
          </w:p>
        </w:tc>
        <w:tc>
          <w:tcPr>
            <w:tcW w:w="398" w:type="dxa"/>
            <w:shd w:val="clear" w:color="auto" w:fill="C6D9F1" w:themeFill="text2" w:themeFillTint="33"/>
            <w:vAlign w:val="center"/>
          </w:tcPr>
          <w:p w14:paraId="45DD1B7F" w14:textId="77777777" w:rsidR="00FD57F2" w:rsidRPr="00D46647" w:rsidRDefault="00FD57F2" w:rsidP="00FD57F2">
            <w:pPr>
              <w:jc w:val="center"/>
              <w:rPr>
                <w:b/>
                <w:bCs/>
                <w:spacing w:val="-2"/>
                <w:sz w:val="16"/>
                <w:szCs w:val="16"/>
              </w:rPr>
            </w:pPr>
            <w:r w:rsidRPr="00D46647">
              <w:rPr>
                <w:b/>
                <w:bCs/>
                <w:spacing w:val="-2"/>
                <w:sz w:val="16"/>
                <w:szCs w:val="16"/>
              </w:rPr>
              <w:t>T1</w:t>
            </w:r>
          </w:p>
        </w:tc>
        <w:tc>
          <w:tcPr>
            <w:tcW w:w="398" w:type="dxa"/>
            <w:shd w:val="clear" w:color="auto" w:fill="C6D9F1" w:themeFill="text2" w:themeFillTint="33"/>
            <w:vAlign w:val="center"/>
          </w:tcPr>
          <w:p w14:paraId="4E74A330" w14:textId="77777777" w:rsidR="00FD57F2" w:rsidRPr="00D46647" w:rsidRDefault="00FD57F2" w:rsidP="00FD57F2">
            <w:pPr>
              <w:jc w:val="center"/>
              <w:rPr>
                <w:b/>
                <w:bCs/>
                <w:spacing w:val="-2"/>
                <w:sz w:val="16"/>
                <w:szCs w:val="16"/>
              </w:rPr>
            </w:pPr>
            <w:r w:rsidRPr="00D46647">
              <w:rPr>
                <w:b/>
                <w:bCs/>
                <w:spacing w:val="-2"/>
                <w:sz w:val="16"/>
                <w:szCs w:val="16"/>
              </w:rPr>
              <w:t>T2</w:t>
            </w:r>
          </w:p>
        </w:tc>
        <w:tc>
          <w:tcPr>
            <w:tcW w:w="398" w:type="dxa"/>
            <w:shd w:val="clear" w:color="auto" w:fill="C6D9F1" w:themeFill="text2" w:themeFillTint="33"/>
            <w:vAlign w:val="center"/>
          </w:tcPr>
          <w:p w14:paraId="6BA55049" w14:textId="77777777" w:rsidR="00FD57F2" w:rsidRPr="00D46647" w:rsidRDefault="00FD57F2" w:rsidP="00FD57F2">
            <w:pPr>
              <w:jc w:val="center"/>
              <w:rPr>
                <w:b/>
                <w:bCs/>
                <w:spacing w:val="-2"/>
                <w:sz w:val="16"/>
                <w:szCs w:val="16"/>
              </w:rPr>
            </w:pPr>
            <w:r w:rsidRPr="00D46647">
              <w:rPr>
                <w:b/>
                <w:bCs/>
                <w:spacing w:val="-2"/>
                <w:sz w:val="16"/>
                <w:szCs w:val="16"/>
              </w:rPr>
              <w:t>T3</w:t>
            </w:r>
          </w:p>
        </w:tc>
        <w:tc>
          <w:tcPr>
            <w:tcW w:w="398" w:type="dxa"/>
            <w:shd w:val="clear" w:color="auto" w:fill="C6D9F1" w:themeFill="text2" w:themeFillTint="33"/>
            <w:vAlign w:val="center"/>
          </w:tcPr>
          <w:p w14:paraId="4005F748" w14:textId="77777777" w:rsidR="00FD57F2" w:rsidRPr="00D46647" w:rsidRDefault="00FD57F2" w:rsidP="00FD57F2">
            <w:pPr>
              <w:jc w:val="center"/>
              <w:rPr>
                <w:b/>
                <w:bCs/>
                <w:spacing w:val="-2"/>
                <w:sz w:val="16"/>
                <w:szCs w:val="16"/>
              </w:rPr>
            </w:pPr>
            <w:r w:rsidRPr="00D46647">
              <w:rPr>
                <w:b/>
                <w:bCs/>
                <w:spacing w:val="-2"/>
                <w:sz w:val="16"/>
                <w:szCs w:val="16"/>
              </w:rPr>
              <w:t>T4</w:t>
            </w:r>
          </w:p>
        </w:tc>
      </w:tr>
      <w:tr w:rsidR="00FD57F2" w:rsidRPr="00D46647" w14:paraId="297845F8" w14:textId="77777777" w:rsidTr="007E3422">
        <w:trPr>
          <w:jc w:val="center"/>
        </w:trPr>
        <w:tc>
          <w:tcPr>
            <w:tcW w:w="2132" w:type="dxa"/>
            <w:shd w:val="clear" w:color="auto" w:fill="auto"/>
            <w:noWrap/>
            <w:vAlign w:val="center"/>
          </w:tcPr>
          <w:p w14:paraId="697574C6" w14:textId="77777777" w:rsidR="00FD57F2" w:rsidRPr="00D46647" w:rsidRDefault="00FD57F2" w:rsidP="00FD57F2">
            <w:pPr>
              <w:rPr>
                <w:sz w:val="16"/>
                <w:szCs w:val="16"/>
              </w:rPr>
            </w:pPr>
            <w:r w:rsidRPr="00D46647">
              <w:rPr>
                <w:sz w:val="16"/>
              </w:rPr>
              <w:t>Attribution du contrat à l’ingénieur CVC (bâtiments AB et du PCT)</w:t>
            </w:r>
          </w:p>
        </w:tc>
        <w:tc>
          <w:tcPr>
            <w:tcW w:w="464" w:type="dxa"/>
            <w:shd w:val="clear" w:color="auto" w:fill="auto"/>
            <w:noWrap/>
            <w:vAlign w:val="center"/>
          </w:tcPr>
          <w:p w14:paraId="5A0DB78E"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5B47A471" w14:textId="77777777" w:rsidR="00FD57F2" w:rsidRPr="00D46647" w:rsidRDefault="00FD57F2" w:rsidP="00FD57F2">
            <w:pPr>
              <w:jc w:val="center"/>
              <w:rPr>
                <w:color w:val="000000"/>
                <w:sz w:val="16"/>
                <w:szCs w:val="16"/>
              </w:rPr>
            </w:pPr>
            <w:r w:rsidRPr="00D46647">
              <w:rPr>
                <w:color w:val="000000"/>
                <w:sz w:val="16"/>
                <w:szCs w:val="16"/>
              </w:rPr>
              <w:t>X</w:t>
            </w:r>
          </w:p>
        </w:tc>
        <w:tc>
          <w:tcPr>
            <w:tcW w:w="463" w:type="dxa"/>
            <w:shd w:val="clear" w:color="auto" w:fill="auto"/>
            <w:noWrap/>
            <w:vAlign w:val="center"/>
          </w:tcPr>
          <w:p w14:paraId="667C656E"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4D4C19C2"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7B84F76C"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3714E32B"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375BC8E8"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57372F6A" w14:textId="77777777" w:rsidR="00FD57F2" w:rsidRPr="00D46647" w:rsidRDefault="00FD57F2" w:rsidP="00FD57F2">
            <w:pPr>
              <w:jc w:val="center"/>
              <w:rPr>
                <w:color w:val="000000"/>
                <w:sz w:val="16"/>
                <w:szCs w:val="16"/>
              </w:rPr>
            </w:pPr>
          </w:p>
        </w:tc>
        <w:tc>
          <w:tcPr>
            <w:tcW w:w="488" w:type="dxa"/>
            <w:shd w:val="clear" w:color="auto" w:fill="auto"/>
            <w:noWrap/>
            <w:vAlign w:val="center"/>
          </w:tcPr>
          <w:p w14:paraId="7B22EC1E" w14:textId="77777777" w:rsidR="00FD57F2" w:rsidRPr="00D46647" w:rsidRDefault="00FD57F2" w:rsidP="00FD57F2">
            <w:pPr>
              <w:jc w:val="center"/>
              <w:rPr>
                <w:color w:val="000000"/>
                <w:sz w:val="16"/>
              </w:rPr>
            </w:pPr>
          </w:p>
        </w:tc>
        <w:tc>
          <w:tcPr>
            <w:tcW w:w="463" w:type="dxa"/>
            <w:shd w:val="clear" w:color="auto" w:fill="auto"/>
            <w:noWrap/>
            <w:vAlign w:val="center"/>
          </w:tcPr>
          <w:p w14:paraId="05C92959" w14:textId="77777777" w:rsidR="00FD57F2" w:rsidRPr="00D46647" w:rsidRDefault="00FD57F2" w:rsidP="00FD57F2">
            <w:pPr>
              <w:jc w:val="center"/>
              <w:rPr>
                <w:color w:val="000000"/>
                <w:sz w:val="16"/>
              </w:rPr>
            </w:pPr>
          </w:p>
        </w:tc>
        <w:tc>
          <w:tcPr>
            <w:tcW w:w="464" w:type="dxa"/>
            <w:shd w:val="clear" w:color="auto" w:fill="auto"/>
            <w:noWrap/>
            <w:vAlign w:val="center"/>
          </w:tcPr>
          <w:p w14:paraId="1143E4C5" w14:textId="77777777" w:rsidR="00FD57F2" w:rsidRPr="00D46647" w:rsidRDefault="00FD57F2" w:rsidP="00FD57F2">
            <w:pPr>
              <w:jc w:val="center"/>
            </w:pPr>
          </w:p>
        </w:tc>
        <w:tc>
          <w:tcPr>
            <w:tcW w:w="463" w:type="dxa"/>
            <w:shd w:val="clear" w:color="auto" w:fill="auto"/>
            <w:noWrap/>
            <w:vAlign w:val="center"/>
          </w:tcPr>
          <w:p w14:paraId="74AC1E33" w14:textId="77777777" w:rsidR="00FD57F2" w:rsidRPr="00D46647" w:rsidRDefault="00FD57F2" w:rsidP="00FD57F2">
            <w:pPr>
              <w:jc w:val="center"/>
            </w:pPr>
          </w:p>
        </w:tc>
        <w:tc>
          <w:tcPr>
            <w:tcW w:w="398" w:type="dxa"/>
            <w:shd w:val="clear" w:color="auto" w:fill="auto"/>
            <w:vAlign w:val="center"/>
          </w:tcPr>
          <w:p w14:paraId="0A0F730E" w14:textId="77777777" w:rsidR="00FD57F2" w:rsidRPr="00D46647" w:rsidRDefault="00FD57F2" w:rsidP="00FD57F2">
            <w:pPr>
              <w:jc w:val="center"/>
            </w:pPr>
          </w:p>
        </w:tc>
        <w:tc>
          <w:tcPr>
            <w:tcW w:w="398" w:type="dxa"/>
            <w:shd w:val="clear" w:color="auto" w:fill="auto"/>
            <w:vAlign w:val="center"/>
          </w:tcPr>
          <w:p w14:paraId="0DBDA28D" w14:textId="77777777" w:rsidR="00FD57F2" w:rsidRPr="00D46647" w:rsidRDefault="00FD57F2" w:rsidP="00FD57F2">
            <w:pPr>
              <w:jc w:val="center"/>
            </w:pPr>
          </w:p>
        </w:tc>
        <w:tc>
          <w:tcPr>
            <w:tcW w:w="398" w:type="dxa"/>
            <w:shd w:val="clear" w:color="auto" w:fill="auto"/>
            <w:vAlign w:val="center"/>
          </w:tcPr>
          <w:p w14:paraId="3F11B31F" w14:textId="77777777" w:rsidR="00FD57F2" w:rsidRPr="00D46647" w:rsidRDefault="00FD57F2" w:rsidP="00FD57F2">
            <w:pPr>
              <w:jc w:val="center"/>
            </w:pPr>
          </w:p>
        </w:tc>
        <w:tc>
          <w:tcPr>
            <w:tcW w:w="398" w:type="dxa"/>
            <w:shd w:val="clear" w:color="auto" w:fill="auto"/>
            <w:vAlign w:val="center"/>
          </w:tcPr>
          <w:p w14:paraId="25117312" w14:textId="77777777" w:rsidR="00FD57F2" w:rsidRPr="00D46647" w:rsidRDefault="00FD57F2" w:rsidP="00FD57F2">
            <w:pPr>
              <w:jc w:val="center"/>
            </w:pPr>
          </w:p>
        </w:tc>
      </w:tr>
      <w:tr w:rsidR="00FD57F2" w:rsidRPr="00D46647" w14:paraId="4AA5D76F" w14:textId="77777777" w:rsidTr="007E3422">
        <w:trPr>
          <w:jc w:val="center"/>
        </w:trPr>
        <w:tc>
          <w:tcPr>
            <w:tcW w:w="2132" w:type="dxa"/>
            <w:shd w:val="clear" w:color="auto" w:fill="auto"/>
            <w:noWrap/>
            <w:vAlign w:val="center"/>
          </w:tcPr>
          <w:p w14:paraId="0620F910" w14:textId="77777777" w:rsidR="00FD57F2" w:rsidRPr="00D46647" w:rsidRDefault="00FD57F2" w:rsidP="00FD57F2">
            <w:pPr>
              <w:rPr>
                <w:sz w:val="16"/>
                <w:szCs w:val="16"/>
              </w:rPr>
            </w:pPr>
            <w:r w:rsidRPr="00D46647">
              <w:rPr>
                <w:sz w:val="16"/>
              </w:rPr>
              <w:t>Demandes d’offres entreprises (bâtiment AB)</w:t>
            </w:r>
          </w:p>
        </w:tc>
        <w:tc>
          <w:tcPr>
            <w:tcW w:w="464" w:type="dxa"/>
            <w:shd w:val="clear" w:color="auto" w:fill="auto"/>
            <w:noWrap/>
            <w:vAlign w:val="center"/>
          </w:tcPr>
          <w:p w14:paraId="39FF969B"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1D419034" w14:textId="77777777" w:rsidR="00FD57F2" w:rsidRPr="00D46647" w:rsidRDefault="00FD57F2" w:rsidP="00FD57F2">
            <w:pPr>
              <w:jc w:val="center"/>
              <w:rPr>
                <w:color w:val="000000"/>
                <w:sz w:val="16"/>
                <w:szCs w:val="16"/>
              </w:rPr>
            </w:pPr>
            <w:r w:rsidRPr="00D46647">
              <w:rPr>
                <w:color w:val="000000"/>
                <w:sz w:val="16"/>
                <w:szCs w:val="16"/>
              </w:rPr>
              <w:t>X</w:t>
            </w:r>
          </w:p>
        </w:tc>
        <w:tc>
          <w:tcPr>
            <w:tcW w:w="463" w:type="dxa"/>
            <w:shd w:val="clear" w:color="auto" w:fill="auto"/>
            <w:noWrap/>
            <w:vAlign w:val="center"/>
          </w:tcPr>
          <w:p w14:paraId="7745D0D6"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4C69998D"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0A34A126"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2016EA00"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2A1BC882"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06E7FA26" w14:textId="77777777" w:rsidR="00FD57F2" w:rsidRPr="00D46647" w:rsidRDefault="00FD57F2" w:rsidP="00FD57F2">
            <w:pPr>
              <w:jc w:val="center"/>
              <w:rPr>
                <w:color w:val="000000"/>
                <w:sz w:val="16"/>
                <w:szCs w:val="16"/>
              </w:rPr>
            </w:pPr>
          </w:p>
        </w:tc>
        <w:tc>
          <w:tcPr>
            <w:tcW w:w="488" w:type="dxa"/>
            <w:shd w:val="clear" w:color="auto" w:fill="auto"/>
            <w:noWrap/>
            <w:vAlign w:val="center"/>
          </w:tcPr>
          <w:p w14:paraId="0C742BE5" w14:textId="77777777" w:rsidR="00FD57F2" w:rsidRPr="00D46647" w:rsidRDefault="00FD57F2" w:rsidP="00FD57F2">
            <w:pPr>
              <w:jc w:val="center"/>
              <w:rPr>
                <w:color w:val="000000"/>
                <w:sz w:val="16"/>
              </w:rPr>
            </w:pPr>
          </w:p>
        </w:tc>
        <w:tc>
          <w:tcPr>
            <w:tcW w:w="463" w:type="dxa"/>
            <w:shd w:val="clear" w:color="auto" w:fill="auto"/>
            <w:noWrap/>
            <w:vAlign w:val="center"/>
          </w:tcPr>
          <w:p w14:paraId="5FC4AA7C" w14:textId="77777777" w:rsidR="00FD57F2" w:rsidRPr="00D46647" w:rsidRDefault="00FD57F2" w:rsidP="00FD57F2">
            <w:pPr>
              <w:jc w:val="center"/>
              <w:rPr>
                <w:color w:val="000000"/>
                <w:sz w:val="16"/>
              </w:rPr>
            </w:pPr>
          </w:p>
        </w:tc>
        <w:tc>
          <w:tcPr>
            <w:tcW w:w="464" w:type="dxa"/>
            <w:shd w:val="clear" w:color="auto" w:fill="auto"/>
            <w:noWrap/>
            <w:vAlign w:val="center"/>
          </w:tcPr>
          <w:p w14:paraId="16CD3D07" w14:textId="77777777" w:rsidR="00FD57F2" w:rsidRPr="00D46647" w:rsidRDefault="00FD57F2" w:rsidP="00FD57F2">
            <w:pPr>
              <w:jc w:val="center"/>
            </w:pPr>
          </w:p>
        </w:tc>
        <w:tc>
          <w:tcPr>
            <w:tcW w:w="463" w:type="dxa"/>
            <w:shd w:val="clear" w:color="auto" w:fill="auto"/>
            <w:noWrap/>
            <w:vAlign w:val="center"/>
          </w:tcPr>
          <w:p w14:paraId="5AAAF12F" w14:textId="77777777" w:rsidR="00FD57F2" w:rsidRPr="00D46647" w:rsidRDefault="00FD57F2" w:rsidP="00FD57F2">
            <w:pPr>
              <w:jc w:val="center"/>
            </w:pPr>
          </w:p>
        </w:tc>
        <w:tc>
          <w:tcPr>
            <w:tcW w:w="398" w:type="dxa"/>
            <w:shd w:val="clear" w:color="auto" w:fill="auto"/>
            <w:vAlign w:val="center"/>
          </w:tcPr>
          <w:p w14:paraId="6AF38864" w14:textId="77777777" w:rsidR="00FD57F2" w:rsidRPr="00D46647" w:rsidRDefault="00FD57F2" w:rsidP="00FD57F2">
            <w:pPr>
              <w:jc w:val="center"/>
            </w:pPr>
          </w:p>
        </w:tc>
        <w:tc>
          <w:tcPr>
            <w:tcW w:w="398" w:type="dxa"/>
            <w:shd w:val="clear" w:color="auto" w:fill="auto"/>
            <w:vAlign w:val="center"/>
          </w:tcPr>
          <w:p w14:paraId="1BC448E2" w14:textId="77777777" w:rsidR="00FD57F2" w:rsidRPr="00D46647" w:rsidRDefault="00FD57F2" w:rsidP="00FD57F2">
            <w:pPr>
              <w:jc w:val="center"/>
            </w:pPr>
          </w:p>
        </w:tc>
        <w:tc>
          <w:tcPr>
            <w:tcW w:w="398" w:type="dxa"/>
            <w:shd w:val="clear" w:color="auto" w:fill="auto"/>
            <w:vAlign w:val="center"/>
          </w:tcPr>
          <w:p w14:paraId="542CD6CC" w14:textId="77777777" w:rsidR="00FD57F2" w:rsidRPr="00D46647" w:rsidRDefault="00FD57F2" w:rsidP="00FD57F2">
            <w:pPr>
              <w:jc w:val="center"/>
            </w:pPr>
          </w:p>
        </w:tc>
        <w:tc>
          <w:tcPr>
            <w:tcW w:w="398" w:type="dxa"/>
            <w:shd w:val="clear" w:color="auto" w:fill="auto"/>
            <w:vAlign w:val="center"/>
          </w:tcPr>
          <w:p w14:paraId="57394200" w14:textId="77777777" w:rsidR="00FD57F2" w:rsidRPr="00D46647" w:rsidRDefault="00FD57F2" w:rsidP="00FD57F2">
            <w:pPr>
              <w:jc w:val="center"/>
            </w:pPr>
          </w:p>
        </w:tc>
      </w:tr>
      <w:tr w:rsidR="00FD57F2" w:rsidRPr="00D46647" w14:paraId="22590AFC" w14:textId="77777777" w:rsidTr="007E3422">
        <w:trPr>
          <w:jc w:val="center"/>
        </w:trPr>
        <w:tc>
          <w:tcPr>
            <w:tcW w:w="2132" w:type="dxa"/>
            <w:shd w:val="clear" w:color="auto" w:fill="auto"/>
            <w:noWrap/>
            <w:vAlign w:val="center"/>
          </w:tcPr>
          <w:p w14:paraId="5746AA92" w14:textId="77777777" w:rsidR="00FD57F2" w:rsidRPr="00D46647" w:rsidRDefault="00FD57F2" w:rsidP="00FD57F2">
            <w:pPr>
              <w:rPr>
                <w:sz w:val="16"/>
                <w:szCs w:val="16"/>
              </w:rPr>
            </w:pPr>
            <w:r w:rsidRPr="00D46647">
              <w:rPr>
                <w:sz w:val="16"/>
              </w:rPr>
              <w:t>Exécution et mise en route des travaux (bâtiment AB)</w:t>
            </w:r>
          </w:p>
        </w:tc>
        <w:tc>
          <w:tcPr>
            <w:tcW w:w="464" w:type="dxa"/>
            <w:shd w:val="clear" w:color="auto" w:fill="auto"/>
            <w:noWrap/>
            <w:vAlign w:val="center"/>
          </w:tcPr>
          <w:p w14:paraId="4D0A766F"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256E6089"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167A23F1" w14:textId="77777777" w:rsidR="00FD57F2" w:rsidRPr="00D46647" w:rsidRDefault="00FD57F2" w:rsidP="00FD57F2">
            <w:pPr>
              <w:jc w:val="center"/>
              <w:rPr>
                <w:color w:val="000000"/>
                <w:sz w:val="16"/>
                <w:szCs w:val="16"/>
              </w:rPr>
            </w:pPr>
            <w:r w:rsidRPr="00D46647">
              <w:rPr>
                <w:color w:val="000000"/>
                <w:sz w:val="16"/>
                <w:szCs w:val="16"/>
              </w:rPr>
              <w:t>X</w:t>
            </w:r>
          </w:p>
        </w:tc>
        <w:tc>
          <w:tcPr>
            <w:tcW w:w="464" w:type="dxa"/>
            <w:shd w:val="clear" w:color="auto" w:fill="auto"/>
            <w:noWrap/>
            <w:vAlign w:val="center"/>
          </w:tcPr>
          <w:p w14:paraId="66C1828E"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28BA6FA8"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135A535B"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0B3C7CF0"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2A91C37A" w14:textId="77777777" w:rsidR="00FD57F2" w:rsidRPr="00D46647" w:rsidRDefault="00FD57F2" w:rsidP="00FD57F2">
            <w:pPr>
              <w:jc w:val="center"/>
              <w:rPr>
                <w:color w:val="000000"/>
                <w:sz w:val="16"/>
                <w:szCs w:val="16"/>
              </w:rPr>
            </w:pPr>
          </w:p>
        </w:tc>
        <w:tc>
          <w:tcPr>
            <w:tcW w:w="488" w:type="dxa"/>
            <w:shd w:val="clear" w:color="auto" w:fill="auto"/>
            <w:noWrap/>
            <w:vAlign w:val="center"/>
          </w:tcPr>
          <w:p w14:paraId="3504F351" w14:textId="77777777" w:rsidR="00FD57F2" w:rsidRPr="00D46647" w:rsidRDefault="00FD57F2" w:rsidP="00FD57F2">
            <w:pPr>
              <w:jc w:val="center"/>
              <w:rPr>
                <w:color w:val="000000"/>
                <w:sz w:val="16"/>
              </w:rPr>
            </w:pPr>
          </w:p>
        </w:tc>
        <w:tc>
          <w:tcPr>
            <w:tcW w:w="463" w:type="dxa"/>
            <w:shd w:val="clear" w:color="auto" w:fill="auto"/>
            <w:noWrap/>
            <w:vAlign w:val="center"/>
          </w:tcPr>
          <w:p w14:paraId="19F735A8" w14:textId="77777777" w:rsidR="00FD57F2" w:rsidRPr="00D46647" w:rsidRDefault="00FD57F2" w:rsidP="00FD57F2">
            <w:pPr>
              <w:jc w:val="center"/>
              <w:rPr>
                <w:color w:val="000000"/>
                <w:sz w:val="16"/>
              </w:rPr>
            </w:pPr>
          </w:p>
        </w:tc>
        <w:tc>
          <w:tcPr>
            <w:tcW w:w="464" w:type="dxa"/>
            <w:shd w:val="clear" w:color="auto" w:fill="auto"/>
            <w:noWrap/>
            <w:vAlign w:val="center"/>
          </w:tcPr>
          <w:p w14:paraId="3BD22F98" w14:textId="77777777" w:rsidR="00FD57F2" w:rsidRPr="00D46647" w:rsidRDefault="00FD57F2" w:rsidP="00FD57F2">
            <w:pPr>
              <w:jc w:val="center"/>
            </w:pPr>
          </w:p>
        </w:tc>
        <w:tc>
          <w:tcPr>
            <w:tcW w:w="463" w:type="dxa"/>
            <w:shd w:val="clear" w:color="auto" w:fill="auto"/>
            <w:noWrap/>
            <w:vAlign w:val="center"/>
          </w:tcPr>
          <w:p w14:paraId="0978B197" w14:textId="77777777" w:rsidR="00FD57F2" w:rsidRPr="00D46647" w:rsidRDefault="00FD57F2" w:rsidP="00FD57F2">
            <w:pPr>
              <w:jc w:val="center"/>
            </w:pPr>
          </w:p>
        </w:tc>
        <w:tc>
          <w:tcPr>
            <w:tcW w:w="398" w:type="dxa"/>
            <w:shd w:val="clear" w:color="auto" w:fill="auto"/>
            <w:vAlign w:val="center"/>
          </w:tcPr>
          <w:p w14:paraId="76419963" w14:textId="77777777" w:rsidR="00FD57F2" w:rsidRPr="00D46647" w:rsidRDefault="00FD57F2" w:rsidP="00FD57F2">
            <w:pPr>
              <w:jc w:val="center"/>
            </w:pPr>
          </w:p>
        </w:tc>
        <w:tc>
          <w:tcPr>
            <w:tcW w:w="398" w:type="dxa"/>
            <w:shd w:val="clear" w:color="auto" w:fill="auto"/>
            <w:vAlign w:val="center"/>
          </w:tcPr>
          <w:p w14:paraId="4DA65942" w14:textId="77777777" w:rsidR="00FD57F2" w:rsidRPr="00D46647" w:rsidRDefault="00FD57F2" w:rsidP="00FD57F2">
            <w:pPr>
              <w:jc w:val="center"/>
            </w:pPr>
          </w:p>
        </w:tc>
        <w:tc>
          <w:tcPr>
            <w:tcW w:w="398" w:type="dxa"/>
            <w:shd w:val="clear" w:color="auto" w:fill="auto"/>
            <w:vAlign w:val="center"/>
          </w:tcPr>
          <w:p w14:paraId="01BB2135" w14:textId="77777777" w:rsidR="00FD57F2" w:rsidRPr="00D46647" w:rsidRDefault="00FD57F2" w:rsidP="00FD57F2">
            <w:pPr>
              <w:jc w:val="center"/>
            </w:pPr>
          </w:p>
        </w:tc>
        <w:tc>
          <w:tcPr>
            <w:tcW w:w="398" w:type="dxa"/>
            <w:shd w:val="clear" w:color="auto" w:fill="auto"/>
            <w:vAlign w:val="center"/>
          </w:tcPr>
          <w:p w14:paraId="02F594C5" w14:textId="77777777" w:rsidR="00FD57F2" w:rsidRPr="00D46647" w:rsidRDefault="00FD57F2" w:rsidP="00FD57F2">
            <w:pPr>
              <w:jc w:val="center"/>
            </w:pPr>
          </w:p>
        </w:tc>
      </w:tr>
      <w:tr w:rsidR="00FD57F2" w:rsidRPr="00D46647" w14:paraId="278C87DC" w14:textId="77777777" w:rsidTr="007E3422">
        <w:trPr>
          <w:jc w:val="center"/>
        </w:trPr>
        <w:tc>
          <w:tcPr>
            <w:tcW w:w="2132" w:type="dxa"/>
            <w:shd w:val="clear" w:color="auto" w:fill="auto"/>
            <w:noWrap/>
            <w:vAlign w:val="center"/>
          </w:tcPr>
          <w:p w14:paraId="4D071F9C" w14:textId="77777777" w:rsidR="00FD57F2" w:rsidRPr="00D46647" w:rsidRDefault="00FD57F2" w:rsidP="00FD57F2">
            <w:pPr>
              <w:rPr>
                <w:sz w:val="16"/>
                <w:szCs w:val="16"/>
              </w:rPr>
            </w:pPr>
            <w:r w:rsidRPr="00D46647">
              <w:rPr>
                <w:sz w:val="16"/>
              </w:rPr>
              <w:t>Validation du projet avec l’ingénieur CVC (bâtiment du PCT)</w:t>
            </w:r>
          </w:p>
        </w:tc>
        <w:tc>
          <w:tcPr>
            <w:tcW w:w="464" w:type="dxa"/>
            <w:shd w:val="clear" w:color="auto" w:fill="auto"/>
            <w:noWrap/>
            <w:vAlign w:val="center"/>
          </w:tcPr>
          <w:p w14:paraId="25549378"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38AA165F"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702901B1"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7032D291" w14:textId="77777777" w:rsidR="00FD57F2" w:rsidRPr="00D46647" w:rsidRDefault="00FD57F2" w:rsidP="00FD57F2">
            <w:pPr>
              <w:jc w:val="center"/>
              <w:rPr>
                <w:color w:val="000000"/>
                <w:sz w:val="16"/>
                <w:szCs w:val="16"/>
              </w:rPr>
            </w:pPr>
            <w:r w:rsidRPr="00D46647">
              <w:rPr>
                <w:color w:val="000000"/>
                <w:sz w:val="16"/>
                <w:szCs w:val="16"/>
              </w:rPr>
              <w:t>X</w:t>
            </w:r>
          </w:p>
        </w:tc>
        <w:tc>
          <w:tcPr>
            <w:tcW w:w="463" w:type="dxa"/>
            <w:shd w:val="clear" w:color="auto" w:fill="auto"/>
            <w:noWrap/>
            <w:vAlign w:val="center"/>
          </w:tcPr>
          <w:p w14:paraId="68C4FAD6" w14:textId="77777777" w:rsidR="00FD57F2" w:rsidRPr="00D46647" w:rsidRDefault="00FD57F2" w:rsidP="00FD57F2">
            <w:pPr>
              <w:jc w:val="center"/>
              <w:rPr>
                <w:color w:val="000000"/>
                <w:sz w:val="16"/>
                <w:szCs w:val="16"/>
              </w:rPr>
            </w:pPr>
            <w:r w:rsidRPr="00D46647">
              <w:rPr>
                <w:color w:val="000000"/>
                <w:sz w:val="16"/>
                <w:szCs w:val="16"/>
              </w:rPr>
              <w:t>X</w:t>
            </w:r>
          </w:p>
        </w:tc>
        <w:tc>
          <w:tcPr>
            <w:tcW w:w="464" w:type="dxa"/>
            <w:shd w:val="clear" w:color="auto" w:fill="auto"/>
            <w:noWrap/>
            <w:vAlign w:val="center"/>
          </w:tcPr>
          <w:p w14:paraId="67D7CED0"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5D25F10E"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139D8AB8" w14:textId="77777777" w:rsidR="00FD57F2" w:rsidRPr="00D46647" w:rsidRDefault="00FD57F2" w:rsidP="00FD57F2">
            <w:pPr>
              <w:jc w:val="center"/>
              <w:rPr>
                <w:color w:val="000000"/>
                <w:sz w:val="16"/>
                <w:szCs w:val="16"/>
              </w:rPr>
            </w:pPr>
          </w:p>
        </w:tc>
        <w:tc>
          <w:tcPr>
            <w:tcW w:w="488" w:type="dxa"/>
            <w:shd w:val="clear" w:color="auto" w:fill="auto"/>
            <w:noWrap/>
            <w:vAlign w:val="center"/>
          </w:tcPr>
          <w:p w14:paraId="1DDF6626" w14:textId="77777777" w:rsidR="00FD57F2" w:rsidRPr="00D46647" w:rsidRDefault="00FD57F2" w:rsidP="00FD57F2">
            <w:pPr>
              <w:jc w:val="center"/>
              <w:rPr>
                <w:color w:val="000000"/>
                <w:sz w:val="16"/>
              </w:rPr>
            </w:pPr>
          </w:p>
        </w:tc>
        <w:tc>
          <w:tcPr>
            <w:tcW w:w="463" w:type="dxa"/>
            <w:shd w:val="clear" w:color="auto" w:fill="auto"/>
            <w:noWrap/>
            <w:vAlign w:val="center"/>
          </w:tcPr>
          <w:p w14:paraId="1E5E8737" w14:textId="77777777" w:rsidR="00FD57F2" w:rsidRPr="00D46647" w:rsidRDefault="00FD57F2" w:rsidP="00FD57F2">
            <w:pPr>
              <w:jc w:val="center"/>
              <w:rPr>
                <w:color w:val="000000"/>
                <w:sz w:val="16"/>
              </w:rPr>
            </w:pPr>
          </w:p>
        </w:tc>
        <w:tc>
          <w:tcPr>
            <w:tcW w:w="464" w:type="dxa"/>
            <w:shd w:val="clear" w:color="auto" w:fill="auto"/>
            <w:noWrap/>
            <w:vAlign w:val="center"/>
          </w:tcPr>
          <w:p w14:paraId="2B76006E" w14:textId="77777777" w:rsidR="00FD57F2" w:rsidRPr="00D46647" w:rsidRDefault="00FD57F2" w:rsidP="00FD57F2">
            <w:pPr>
              <w:jc w:val="center"/>
            </w:pPr>
          </w:p>
        </w:tc>
        <w:tc>
          <w:tcPr>
            <w:tcW w:w="463" w:type="dxa"/>
            <w:shd w:val="clear" w:color="auto" w:fill="auto"/>
            <w:noWrap/>
            <w:vAlign w:val="center"/>
          </w:tcPr>
          <w:p w14:paraId="68FB3F52" w14:textId="77777777" w:rsidR="00FD57F2" w:rsidRPr="00D46647" w:rsidRDefault="00FD57F2" w:rsidP="00FD57F2">
            <w:pPr>
              <w:jc w:val="center"/>
            </w:pPr>
          </w:p>
        </w:tc>
        <w:tc>
          <w:tcPr>
            <w:tcW w:w="398" w:type="dxa"/>
            <w:shd w:val="clear" w:color="auto" w:fill="auto"/>
            <w:vAlign w:val="center"/>
          </w:tcPr>
          <w:p w14:paraId="09B911F2" w14:textId="77777777" w:rsidR="00FD57F2" w:rsidRPr="00D46647" w:rsidRDefault="00FD57F2" w:rsidP="00FD57F2">
            <w:pPr>
              <w:jc w:val="center"/>
            </w:pPr>
          </w:p>
        </w:tc>
        <w:tc>
          <w:tcPr>
            <w:tcW w:w="398" w:type="dxa"/>
            <w:shd w:val="clear" w:color="auto" w:fill="auto"/>
            <w:vAlign w:val="center"/>
          </w:tcPr>
          <w:p w14:paraId="1BF22CA2" w14:textId="77777777" w:rsidR="00FD57F2" w:rsidRPr="00D46647" w:rsidRDefault="00FD57F2" w:rsidP="00FD57F2">
            <w:pPr>
              <w:jc w:val="center"/>
            </w:pPr>
          </w:p>
        </w:tc>
        <w:tc>
          <w:tcPr>
            <w:tcW w:w="398" w:type="dxa"/>
            <w:shd w:val="clear" w:color="auto" w:fill="auto"/>
            <w:vAlign w:val="center"/>
          </w:tcPr>
          <w:p w14:paraId="34A713C6" w14:textId="77777777" w:rsidR="00FD57F2" w:rsidRPr="00D46647" w:rsidRDefault="00FD57F2" w:rsidP="00FD57F2">
            <w:pPr>
              <w:jc w:val="center"/>
            </w:pPr>
          </w:p>
        </w:tc>
        <w:tc>
          <w:tcPr>
            <w:tcW w:w="398" w:type="dxa"/>
            <w:shd w:val="clear" w:color="auto" w:fill="auto"/>
            <w:vAlign w:val="center"/>
          </w:tcPr>
          <w:p w14:paraId="08AE735E" w14:textId="77777777" w:rsidR="00FD57F2" w:rsidRPr="00D46647" w:rsidRDefault="00FD57F2" w:rsidP="00FD57F2">
            <w:pPr>
              <w:jc w:val="center"/>
            </w:pPr>
          </w:p>
        </w:tc>
      </w:tr>
      <w:tr w:rsidR="00FD57F2" w:rsidRPr="00D46647" w14:paraId="168E2CA5" w14:textId="77777777" w:rsidTr="007E3422">
        <w:trPr>
          <w:jc w:val="center"/>
        </w:trPr>
        <w:tc>
          <w:tcPr>
            <w:tcW w:w="2132" w:type="dxa"/>
            <w:shd w:val="clear" w:color="auto" w:fill="auto"/>
            <w:noWrap/>
            <w:vAlign w:val="center"/>
          </w:tcPr>
          <w:p w14:paraId="5544CAED" w14:textId="77777777" w:rsidR="00FD57F2" w:rsidRPr="00D46647" w:rsidRDefault="00FD57F2" w:rsidP="00FD57F2">
            <w:pPr>
              <w:rPr>
                <w:sz w:val="16"/>
                <w:szCs w:val="16"/>
              </w:rPr>
            </w:pPr>
            <w:r w:rsidRPr="00D46647">
              <w:rPr>
                <w:sz w:val="16"/>
              </w:rPr>
              <w:t>Appels d’offres entreprises (bâtiment du PCT)</w:t>
            </w:r>
          </w:p>
        </w:tc>
        <w:tc>
          <w:tcPr>
            <w:tcW w:w="464" w:type="dxa"/>
            <w:shd w:val="clear" w:color="auto" w:fill="auto"/>
            <w:noWrap/>
            <w:vAlign w:val="center"/>
          </w:tcPr>
          <w:p w14:paraId="4B29D54A"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1EE86701"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54C45326"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0AB6C514" w14:textId="77777777" w:rsidR="00FD57F2" w:rsidRPr="00D46647" w:rsidRDefault="00FD57F2" w:rsidP="00FD57F2">
            <w:pPr>
              <w:jc w:val="center"/>
              <w:rPr>
                <w:color w:val="000000"/>
                <w:sz w:val="16"/>
                <w:szCs w:val="16"/>
              </w:rPr>
            </w:pPr>
          </w:p>
        </w:tc>
        <w:tc>
          <w:tcPr>
            <w:tcW w:w="463" w:type="dxa"/>
            <w:shd w:val="clear" w:color="auto" w:fill="auto"/>
            <w:noWrap/>
            <w:vAlign w:val="center"/>
          </w:tcPr>
          <w:p w14:paraId="20B355CD" w14:textId="77777777" w:rsidR="00FD57F2" w:rsidRPr="00D46647" w:rsidRDefault="00FD57F2" w:rsidP="00FD57F2">
            <w:pPr>
              <w:jc w:val="center"/>
              <w:rPr>
                <w:color w:val="000000"/>
                <w:sz w:val="16"/>
                <w:szCs w:val="16"/>
              </w:rPr>
            </w:pPr>
            <w:r w:rsidRPr="00D46647">
              <w:rPr>
                <w:color w:val="000000"/>
                <w:sz w:val="16"/>
                <w:szCs w:val="16"/>
              </w:rPr>
              <w:t>X</w:t>
            </w:r>
          </w:p>
        </w:tc>
        <w:tc>
          <w:tcPr>
            <w:tcW w:w="464" w:type="dxa"/>
            <w:shd w:val="clear" w:color="auto" w:fill="auto"/>
            <w:noWrap/>
            <w:vAlign w:val="center"/>
          </w:tcPr>
          <w:p w14:paraId="1AEF6288" w14:textId="77777777" w:rsidR="00FD57F2" w:rsidRPr="00D46647" w:rsidRDefault="00FD57F2" w:rsidP="00FD57F2">
            <w:pPr>
              <w:jc w:val="center"/>
              <w:rPr>
                <w:color w:val="000000"/>
                <w:sz w:val="16"/>
                <w:szCs w:val="16"/>
              </w:rPr>
            </w:pPr>
            <w:r w:rsidRPr="00D46647">
              <w:rPr>
                <w:color w:val="000000"/>
                <w:sz w:val="16"/>
                <w:szCs w:val="16"/>
              </w:rPr>
              <w:t>X</w:t>
            </w:r>
          </w:p>
        </w:tc>
        <w:tc>
          <w:tcPr>
            <w:tcW w:w="463" w:type="dxa"/>
            <w:shd w:val="clear" w:color="auto" w:fill="auto"/>
            <w:noWrap/>
            <w:vAlign w:val="center"/>
          </w:tcPr>
          <w:p w14:paraId="6CA3B2B3" w14:textId="77777777" w:rsidR="00FD57F2" w:rsidRPr="00D46647" w:rsidRDefault="00FD57F2" w:rsidP="00FD57F2">
            <w:pPr>
              <w:jc w:val="center"/>
              <w:rPr>
                <w:color w:val="000000"/>
                <w:sz w:val="16"/>
                <w:szCs w:val="16"/>
              </w:rPr>
            </w:pPr>
          </w:p>
        </w:tc>
        <w:tc>
          <w:tcPr>
            <w:tcW w:w="464" w:type="dxa"/>
            <w:shd w:val="clear" w:color="auto" w:fill="auto"/>
            <w:noWrap/>
            <w:vAlign w:val="center"/>
          </w:tcPr>
          <w:p w14:paraId="5F0B7F2D" w14:textId="77777777" w:rsidR="00FD57F2" w:rsidRPr="00D46647" w:rsidRDefault="00FD57F2" w:rsidP="00FD57F2">
            <w:pPr>
              <w:jc w:val="center"/>
              <w:rPr>
                <w:color w:val="000000"/>
                <w:sz w:val="16"/>
                <w:szCs w:val="16"/>
              </w:rPr>
            </w:pPr>
          </w:p>
        </w:tc>
        <w:tc>
          <w:tcPr>
            <w:tcW w:w="488" w:type="dxa"/>
            <w:shd w:val="clear" w:color="auto" w:fill="auto"/>
            <w:noWrap/>
            <w:vAlign w:val="center"/>
          </w:tcPr>
          <w:p w14:paraId="571ACED1" w14:textId="77777777" w:rsidR="00FD57F2" w:rsidRPr="00D46647" w:rsidRDefault="00FD57F2" w:rsidP="00FD57F2">
            <w:pPr>
              <w:jc w:val="center"/>
              <w:rPr>
                <w:color w:val="000000"/>
                <w:sz w:val="16"/>
              </w:rPr>
            </w:pPr>
          </w:p>
        </w:tc>
        <w:tc>
          <w:tcPr>
            <w:tcW w:w="463" w:type="dxa"/>
            <w:shd w:val="clear" w:color="auto" w:fill="auto"/>
            <w:noWrap/>
            <w:vAlign w:val="center"/>
          </w:tcPr>
          <w:p w14:paraId="3A7D103A" w14:textId="77777777" w:rsidR="00FD57F2" w:rsidRPr="00D46647" w:rsidRDefault="00FD57F2" w:rsidP="00FD57F2">
            <w:pPr>
              <w:jc w:val="center"/>
              <w:rPr>
                <w:color w:val="000000"/>
                <w:sz w:val="16"/>
              </w:rPr>
            </w:pPr>
          </w:p>
        </w:tc>
        <w:tc>
          <w:tcPr>
            <w:tcW w:w="464" w:type="dxa"/>
            <w:shd w:val="clear" w:color="auto" w:fill="auto"/>
            <w:noWrap/>
            <w:vAlign w:val="center"/>
          </w:tcPr>
          <w:p w14:paraId="6AE454EA" w14:textId="77777777" w:rsidR="00FD57F2" w:rsidRPr="00D46647" w:rsidRDefault="00FD57F2" w:rsidP="00FD57F2">
            <w:pPr>
              <w:jc w:val="center"/>
            </w:pPr>
          </w:p>
        </w:tc>
        <w:tc>
          <w:tcPr>
            <w:tcW w:w="463" w:type="dxa"/>
            <w:shd w:val="clear" w:color="auto" w:fill="auto"/>
            <w:noWrap/>
            <w:vAlign w:val="center"/>
          </w:tcPr>
          <w:p w14:paraId="549A78A9" w14:textId="77777777" w:rsidR="00FD57F2" w:rsidRPr="00D46647" w:rsidRDefault="00FD57F2" w:rsidP="00FD57F2">
            <w:pPr>
              <w:jc w:val="center"/>
            </w:pPr>
          </w:p>
        </w:tc>
        <w:tc>
          <w:tcPr>
            <w:tcW w:w="398" w:type="dxa"/>
            <w:shd w:val="clear" w:color="auto" w:fill="auto"/>
            <w:vAlign w:val="center"/>
          </w:tcPr>
          <w:p w14:paraId="4513DB90" w14:textId="77777777" w:rsidR="00FD57F2" w:rsidRPr="00D46647" w:rsidRDefault="00FD57F2" w:rsidP="00FD57F2">
            <w:pPr>
              <w:jc w:val="center"/>
            </w:pPr>
          </w:p>
        </w:tc>
        <w:tc>
          <w:tcPr>
            <w:tcW w:w="398" w:type="dxa"/>
            <w:shd w:val="clear" w:color="auto" w:fill="auto"/>
            <w:vAlign w:val="center"/>
          </w:tcPr>
          <w:p w14:paraId="25DAF9EE" w14:textId="77777777" w:rsidR="00FD57F2" w:rsidRPr="00D46647" w:rsidRDefault="00FD57F2" w:rsidP="00FD57F2">
            <w:pPr>
              <w:jc w:val="center"/>
            </w:pPr>
          </w:p>
        </w:tc>
        <w:tc>
          <w:tcPr>
            <w:tcW w:w="398" w:type="dxa"/>
            <w:shd w:val="clear" w:color="auto" w:fill="auto"/>
            <w:vAlign w:val="center"/>
          </w:tcPr>
          <w:p w14:paraId="5CB2F866" w14:textId="77777777" w:rsidR="00FD57F2" w:rsidRPr="00D46647" w:rsidRDefault="00FD57F2" w:rsidP="00FD57F2">
            <w:pPr>
              <w:jc w:val="center"/>
            </w:pPr>
          </w:p>
        </w:tc>
        <w:tc>
          <w:tcPr>
            <w:tcW w:w="398" w:type="dxa"/>
            <w:shd w:val="clear" w:color="auto" w:fill="auto"/>
            <w:vAlign w:val="center"/>
          </w:tcPr>
          <w:p w14:paraId="58F05232" w14:textId="77777777" w:rsidR="00FD57F2" w:rsidRPr="00D46647" w:rsidRDefault="00FD57F2" w:rsidP="00FD57F2">
            <w:pPr>
              <w:jc w:val="center"/>
            </w:pPr>
          </w:p>
        </w:tc>
      </w:tr>
      <w:tr w:rsidR="00FD57F2" w:rsidRPr="00D46647" w14:paraId="797B8096" w14:textId="77777777" w:rsidTr="007E3422">
        <w:trPr>
          <w:jc w:val="center"/>
        </w:trPr>
        <w:tc>
          <w:tcPr>
            <w:tcW w:w="2132" w:type="dxa"/>
            <w:shd w:val="clear" w:color="auto" w:fill="auto"/>
            <w:noWrap/>
            <w:vAlign w:val="center"/>
          </w:tcPr>
          <w:p w14:paraId="67537FAB" w14:textId="77777777" w:rsidR="00FD57F2" w:rsidRPr="00D46647" w:rsidRDefault="00FD57F2" w:rsidP="00FD57F2">
            <w:pPr>
              <w:rPr>
                <w:sz w:val="16"/>
                <w:szCs w:val="16"/>
              </w:rPr>
            </w:pPr>
            <w:r w:rsidRPr="00D46647">
              <w:rPr>
                <w:sz w:val="16"/>
              </w:rPr>
              <w:t>Exécution et mise en route des travaux (bâtiment du PCT)</w:t>
            </w:r>
          </w:p>
        </w:tc>
        <w:tc>
          <w:tcPr>
            <w:tcW w:w="464" w:type="dxa"/>
            <w:shd w:val="clear" w:color="auto" w:fill="auto"/>
            <w:noWrap/>
            <w:vAlign w:val="center"/>
          </w:tcPr>
          <w:p w14:paraId="0955B923" w14:textId="77777777" w:rsidR="00FD57F2" w:rsidRPr="00D46647" w:rsidRDefault="00FD57F2" w:rsidP="00FD57F2">
            <w:pPr>
              <w:jc w:val="center"/>
              <w:rPr>
                <w:sz w:val="16"/>
              </w:rPr>
            </w:pPr>
          </w:p>
        </w:tc>
        <w:tc>
          <w:tcPr>
            <w:tcW w:w="464" w:type="dxa"/>
            <w:shd w:val="clear" w:color="auto" w:fill="auto"/>
            <w:noWrap/>
            <w:vAlign w:val="center"/>
          </w:tcPr>
          <w:p w14:paraId="38AC2A6A" w14:textId="77777777" w:rsidR="00FD57F2" w:rsidRPr="00D46647" w:rsidRDefault="00FD57F2" w:rsidP="00FD57F2">
            <w:pPr>
              <w:jc w:val="center"/>
              <w:rPr>
                <w:sz w:val="16"/>
              </w:rPr>
            </w:pPr>
          </w:p>
        </w:tc>
        <w:tc>
          <w:tcPr>
            <w:tcW w:w="463" w:type="dxa"/>
            <w:shd w:val="clear" w:color="auto" w:fill="auto"/>
            <w:noWrap/>
            <w:vAlign w:val="center"/>
          </w:tcPr>
          <w:p w14:paraId="3FE3EEE9" w14:textId="77777777" w:rsidR="00FD57F2" w:rsidRPr="00D46647" w:rsidRDefault="00FD57F2" w:rsidP="00FD57F2">
            <w:pPr>
              <w:jc w:val="center"/>
              <w:rPr>
                <w:sz w:val="16"/>
              </w:rPr>
            </w:pPr>
          </w:p>
        </w:tc>
        <w:tc>
          <w:tcPr>
            <w:tcW w:w="464" w:type="dxa"/>
            <w:shd w:val="clear" w:color="auto" w:fill="auto"/>
            <w:noWrap/>
            <w:vAlign w:val="center"/>
          </w:tcPr>
          <w:p w14:paraId="265148A6" w14:textId="77777777" w:rsidR="00FD57F2" w:rsidRPr="00D46647" w:rsidRDefault="00FD57F2" w:rsidP="00FD57F2">
            <w:pPr>
              <w:jc w:val="center"/>
              <w:rPr>
                <w:sz w:val="16"/>
              </w:rPr>
            </w:pPr>
          </w:p>
        </w:tc>
        <w:tc>
          <w:tcPr>
            <w:tcW w:w="463" w:type="dxa"/>
            <w:shd w:val="clear" w:color="auto" w:fill="auto"/>
            <w:noWrap/>
            <w:vAlign w:val="center"/>
          </w:tcPr>
          <w:p w14:paraId="175CC047" w14:textId="77777777" w:rsidR="00FD57F2" w:rsidRPr="00D46647" w:rsidRDefault="00FD57F2" w:rsidP="00FD57F2">
            <w:pPr>
              <w:jc w:val="center"/>
              <w:rPr>
                <w:sz w:val="16"/>
              </w:rPr>
            </w:pPr>
          </w:p>
        </w:tc>
        <w:tc>
          <w:tcPr>
            <w:tcW w:w="464" w:type="dxa"/>
            <w:shd w:val="clear" w:color="auto" w:fill="auto"/>
            <w:noWrap/>
            <w:vAlign w:val="center"/>
          </w:tcPr>
          <w:p w14:paraId="5C493191" w14:textId="77777777" w:rsidR="00FD57F2" w:rsidRPr="00D46647" w:rsidRDefault="00FD57F2" w:rsidP="00FD57F2">
            <w:pPr>
              <w:jc w:val="center"/>
              <w:rPr>
                <w:sz w:val="16"/>
              </w:rPr>
            </w:pPr>
            <w:r w:rsidRPr="00D46647">
              <w:rPr>
                <w:sz w:val="16"/>
              </w:rPr>
              <w:t>X</w:t>
            </w:r>
          </w:p>
        </w:tc>
        <w:tc>
          <w:tcPr>
            <w:tcW w:w="463" w:type="dxa"/>
            <w:shd w:val="clear" w:color="auto" w:fill="auto"/>
            <w:noWrap/>
            <w:vAlign w:val="center"/>
          </w:tcPr>
          <w:p w14:paraId="7EFF7657" w14:textId="77777777" w:rsidR="00FD57F2" w:rsidRPr="00D46647" w:rsidRDefault="00FD57F2" w:rsidP="00FD57F2">
            <w:pPr>
              <w:jc w:val="center"/>
              <w:rPr>
                <w:sz w:val="16"/>
              </w:rPr>
            </w:pPr>
            <w:r w:rsidRPr="00D46647">
              <w:rPr>
                <w:sz w:val="16"/>
              </w:rPr>
              <w:t>X</w:t>
            </w:r>
          </w:p>
        </w:tc>
        <w:tc>
          <w:tcPr>
            <w:tcW w:w="464" w:type="dxa"/>
            <w:shd w:val="clear" w:color="auto" w:fill="auto"/>
            <w:noWrap/>
            <w:vAlign w:val="center"/>
          </w:tcPr>
          <w:p w14:paraId="296BF2AD" w14:textId="77777777" w:rsidR="00FD57F2" w:rsidRPr="00D46647" w:rsidRDefault="00FD57F2" w:rsidP="00FD57F2">
            <w:pPr>
              <w:jc w:val="center"/>
              <w:rPr>
                <w:sz w:val="16"/>
                <w:szCs w:val="16"/>
              </w:rPr>
            </w:pPr>
          </w:p>
        </w:tc>
        <w:tc>
          <w:tcPr>
            <w:tcW w:w="488" w:type="dxa"/>
            <w:shd w:val="clear" w:color="auto" w:fill="auto"/>
            <w:noWrap/>
            <w:vAlign w:val="center"/>
          </w:tcPr>
          <w:p w14:paraId="2D498F1F" w14:textId="77777777" w:rsidR="00FD57F2" w:rsidRPr="00D46647" w:rsidRDefault="00FD57F2" w:rsidP="00FD57F2">
            <w:pPr>
              <w:jc w:val="center"/>
              <w:rPr>
                <w:sz w:val="16"/>
                <w:szCs w:val="16"/>
              </w:rPr>
            </w:pPr>
          </w:p>
        </w:tc>
        <w:tc>
          <w:tcPr>
            <w:tcW w:w="463" w:type="dxa"/>
            <w:shd w:val="clear" w:color="auto" w:fill="auto"/>
            <w:noWrap/>
            <w:vAlign w:val="center"/>
          </w:tcPr>
          <w:p w14:paraId="7A045B8B" w14:textId="77777777" w:rsidR="00FD57F2" w:rsidRPr="00D46647" w:rsidRDefault="00FD57F2" w:rsidP="00FD57F2">
            <w:pPr>
              <w:jc w:val="center"/>
              <w:rPr>
                <w:sz w:val="16"/>
              </w:rPr>
            </w:pPr>
          </w:p>
        </w:tc>
        <w:tc>
          <w:tcPr>
            <w:tcW w:w="464" w:type="dxa"/>
            <w:shd w:val="clear" w:color="auto" w:fill="auto"/>
            <w:noWrap/>
            <w:vAlign w:val="center"/>
          </w:tcPr>
          <w:p w14:paraId="1438E80C" w14:textId="77777777" w:rsidR="00FD57F2" w:rsidRPr="00D46647" w:rsidRDefault="00FD57F2" w:rsidP="00FD57F2">
            <w:pPr>
              <w:jc w:val="center"/>
              <w:rPr>
                <w:sz w:val="16"/>
                <w:szCs w:val="16"/>
              </w:rPr>
            </w:pPr>
          </w:p>
        </w:tc>
        <w:tc>
          <w:tcPr>
            <w:tcW w:w="463" w:type="dxa"/>
            <w:shd w:val="clear" w:color="auto" w:fill="auto"/>
            <w:noWrap/>
            <w:vAlign w:val="center"/>
          </w:tcPr>
          <w:p w14:paraId="662AD445" w14:textId="77777777" w:rsidR="00FD57F2" w:rsidRPr="00D46647" w:rsidRDefault="00FD57F2" w:rsidP="00FD57F2">
            <w:pPr>
              <w:jc w:val="center"/>
              <w:rPr>
                <w:sz w:val="16"/>
                <w:szCs w:val="16"/>
              </w:rPr>
            </w:pPr>
          </w:p>
        </w:tc>
        <w:tc>
          <w:tcPr>
            <w:tcW w:w="398" w:type="dxa"/>
            <w:shd w:val="clear" w:color="auto" w:fill="auto"/>
            <w:vAlign w:val="center"/>
          </w:tcPr>
          <w:p w14:paraId="141E58F3" w14:textId="77777777" w:rsidR="00FD57F2" w:rsidRPr="00D46647" w:rsidRDefault="00FD57F2" w:rsidP="00FD57F2">
            <w:pPr>
              <w:jc w:val="center"/>
              <w:rPr>
                <w:sz w:val="16"/>
                <w:szCs w:val="16"/>
              </w:rPr>
            </w:pPr>
          </w:p>
        </w:tc>
        <w:tc>
          <w:tcPr>
            <w:tcW w:w="398" w:type="dxa"/>
            <w:shd w:val="clear" w:color="auto" w:fill="auto"/>
            <w:vAlign w:val="center"/>
          </w:tcPr>
          <w:p w14:paraId="6B471BBF" w14:textId="77777777" w:rsidR="00FD57F2" w:rsidRPr="00D46647" w:rsidRDefault="00FD57F2" w:rsidP="00FD57F2">
            <w:pPr>
              <w:jc w:val="center"/>
              <w:rPr>
                <w:sz w:val="16"/>
                <w:szCs w:val="16"/>
              </w:rPr>
            </w:pPr>
          </w:p>
        </w:tc>
        <w:tc>
          <w:tcPr>
            <w:tcW w:w="398" w:type="dxa"/>
            <w:shd w:val="clear" w:color="auto" w:fill="auto"/>
            <w:vAlign w:val="center"/>
          </w:tcPr>
          <w:p w14:paraId="22005471" w14:textId="77777777" w:rsidR="00FD57F2" w:rsidRPr="00D46647" w:rsidRDefault="00FD57F2" w:rsidP="00FD57F2">
            <w:pPr>
              <w:jc w:val="center"/>
              <w:rPr>
                <w:sz w:val="16"/>
                <w:szCs w:val="16"/>
              </w:rPr>
            </w:pPr>
          </w:p>
        </w:tc>
        <w:tc>
          <w:tcPr>
            <w:tcW w:w="398" w:type="dxa"/>
            <w:shd w:val="clear" w:color="auto" w:fill="auto"/>
            <w:vAlign w:val="center"/>
          </w:tcPr>
          <w:p w14:paraId="01B435AB" w14:textId="77777777" w:rsidR="00FD57F2" w:rsidRPr="00D46647" w:rsidRDefault="00FD57F2" w:rsidP="00FD57F2">
            <w:pPr>
              <w:jc w:val="center"/>
              <w:rPr>
                <w:sz w:val="16"/>
                <w:szCs w:val="16"/>
              </w:rPr>
            </w:pPr>
          </w:p>
        </w:tc>
      </w:tr>
      <w:tr w:rsidR="00FD57F2" w:rsidRPr="00D46647" w14:paraId="47D2E3E2" w14:textId="77777777" w:rsidTr="007E3422">
        <w:trPr>
          <w:jc w:val="center"/>
        </w:trPr>
        <w:tc>
          <w:tcPr>
            <w:tcW w:w="2132" w:type="dxa"/>
            <w:shd w:val="clear" w:color="auto" w:fill="auto"/>
            <w:noWrap/>
            <w:vAlign w:val="center"/>
          </w:tcPr>
          <w:p w14:paraId="120105CA" w14:textId="77777777" w:rsidR="00FD57F2" w:rsidRPr="00D46647" w:rsidRDefault="00FD57F2" w:rsidP="00FD57F2">
            <w:pPr>
              <w:rPr>
                <w:sz w:val="16"/>
                <w:szCs w:val="16"/>
              </w:rPr>
            </w:pPr>
            <w:r w:rsidRPr="00D46647">
              <w:rPr>
                <w:sz w:val="16"/>
                <w:szCs w:val="16"/>
              </w:rPr>
              <w:t>Durée de la garantie construction (2 ans) pour le bâtiment AB</w:t>
            </w:r>
          </w:p>
        </w:tc>
        <w:tc>
          <w:tcPr>
            <w:tcW w:w="464" w:type="dxa"/>
            <w:shd w:val="clear" w:color="auto" w:fill="auto"/>
            <w:noWrap/>
            <w:vAlign w:val="center"/>
          </w:tcPr>
          <w:p w14:paraId="4C47D433" w14:textId="77777777" w:rsidR="00FD57F2" w:rsidRPr="00D46647" w:rsidRDefault="00FD57F2" w:rsidP="00FD57F2">
            <w:pPr>
              <w:jc w:val="center"/>
              <w:rPr>
                <w:sz w:val="16"/>
                <w:szCs w:val="16"/>
              </w:rPr>
            </w:pPr>
          </w:p>
        </w:tc>
        <w:tc>
          <w:tcPr>
            <w:tcW w:w="464" w:type="dxa"/>
            <w:shd w:val="clear" w:color="auto" w:fill="auto"/>
            <w:noWrap/>
            <w:vAlign w:val="center"/>
          </w:tcPr>
          <w:p w14:paraId="7AA47CBE" w14:textId="77777777" w:rsidR="00FD57F2" w:rsidRPr="00D46647" w:rsidRDefault="00FD57F2" w:rsidP="00FD57F2">
            <w:pPr>
              <w:jc w:val="center"/>
              <w:rPr>
                <w:sz w:val="16"/>
                <w:szCs w:val="16"/>
              </w:rPr>
            </w:pPr>
          </w:p>
        </w:tc>
        <w:tc>
          <w:tcPr>
            <w:tcW w:w="463" w:type="dxa"/>
            <w:shd w:val="clear" w:color="auto" w:fill="auto"/>
            <w:noWrap/>
            <w:vAlign w:val="center"/>
          </w:tcPr>
          <w:p w14:paraId="13528B86" w14:textId="77777777" w:rsidR="00FD57F2" w:rsidRPr="00D46647" w:rsidRDefault="00FD57F2" w:rsidP="00FD57F2">
            <w:pPr>
              <w:jc w:val="center"/>
              <w:rPr>
                <w:sz w:val="16"/>
                <w:szCs w:val="16"/>
              </w:rPr>
            </w:pPr>
          </w:p>
        </w:tc>
        <w:tc>
          <w:tcPr>
            <w:tcW w:w="464" w:type="dxa"/>
            <w:shd w:val="clear" w:color="auto" w:fill="auto"/>
            <w:noWrap/>
            <w:vAlign w:val="center"/>
          </w:tcPr>
          <w:p w14:paraId="60BF48F4" w14:textId="77777777" w:rsidR="00FD57F2" w:rsidRPr="00D46647" w:rsidRDefault="00FD57F2" w:rsidP="00FD57F2">
            <w:pPr>
              <w:jc w:val="center"/>
              <w:rPr>
                <w:sz w:val="16"/>
                <w:szCs w:val="16"/>
              </w:rPr>
            </w:pPr>
            <w:r w:rsidRPr="00D46647">
              <w:rPr>
                <w:sz w:val="16"/>
                <w:szCs w:val="16"/>
              </w:rPr>
              <w:t>X</w:t>
            </w:r>
          </w:p>
        </w:tc>
        <w:tc>
          <w:tcPr>
            <w:tcW w:w="463" w:type="dxa"/>
            <w:shd w:val="clear" w:color="auto" w:fill="auto"/>
            <w:noWrap/>
            <w:vAlign w:val="center"/>
          </w:tcPr>
          <w:p w14:paraId="255E981A" w14:textId="77777777" w:rsidR="00FD57F2" w:rsidRPr="00D46647" w:rsidRDefault="00FD57F2" w:rsidP="00FD57F2">
            <w:pPr>
              <w:jc w:val="center"/>
              <w:rPr>
                <w:sz w:val="16"/>
                <w:szCs w:val="16"/>
              </w:rPr>
            </w:pPr>
            <w:r w:rsidRPr="00D46647">
              <w:rPr>
                <w:sz w:val="16"/>
                <w:szCs w:val="16"/>
              </w:rPr>
              <w:t>X</w:t>
            </w:r>
          </w:p>
        </w:tc>
        <w:tc>
          <w:tcPr>
            <w:tcW w:w="464" w:type="dxa"/>
            <w:shd w:val="clear" w:color="auto" w:fill="auto"/>
            <w:noWrap/>
            <w:vAlign w:val="center"/>
          </w:tcPr>
          <w:p w14:paraId="38FDE0A8" w14:textId="77777777" w:rsidR="00FD57F2" w:rsidRPr="00D46647" w:rsidRDefault="00FD57F2" w:rsidP="00FD57F2">
            <w:pPr>
              <w:jc w:val="center"/>
              <w:rPr>
                <w:sz w:val="16"/>
                <w:szCs w:val="16"/>
              </w:rPr>
            </w:pPr>
            <w:r w:rsidRPr="00D46647">
              <w:rPr>
                <w:sz w:val="16"/>
                <w:szCs w:val="16"/>
              </w:rPr>
              <w:t>X</w:t>
            </w:r>
          </w:p>
        </w:tc>
        <w:tc>
          <w:tcPr>
            <w:tcW w:w="463" w:type="dxa"/>
            <w:shd w:val="clear" w:color="auto" w:fill="auto"/>
            <w:noWrap/>
            <w:vAlign w:val="center"/>
          </w:tcPr>
          <w:p w14:paraId="7EA0643F" w14:textId="77777777" w:rsidR="00FD57F2" w:rsidRPr="00D46647" w:rsidRDefault="00FD57F2" w:rsidP="00FD57F2">
            <w:pPr>
              <w:jc w:val="center"/>
              <w:rPr>
                <w:sz w:val="16"/>
                <w:szCs w:val="16"/>
              </w:rPr>
            </w:pPr>
            <w:r w:rsidRPr="00D46647">
              <w:rPr>
                <w:sz w:val="16"/>
                <w:szCs w:val="16"/>
              </w:rPr>
              <w:t>X</w:t>
            </w:r>
          </w:p>
        </w:tc>
        <w:tc>
          <w:tcPr>
            <w:tcW w:w="464" w:type="dxa"/>
            <w:shd w:val="clear" w:color="auto" w:fill="auto"/>
            <w:noWrap/>
            <w:vAlign w:val="center"/>
          </w:tcPr>
          <w:p w14:paraId="6A32AF35" w14:textId="77777777" w:rsidR="00FD57F2" w:rsidRPr="00D46647" w:rsidRDefault="00FD57F2" w:rsidP="00FD57F2">
            <w:pPr>
              <w:jc w:val="center"/>
              <w:rPr>
                <w:sz w:val="16"/>
                <w:szCs w:val="16"/>
              </w:rPr>
            </w:pPr>
            <w:r w:rsidRPr="00D46647">
              <w:rPr>
                <w:sz w:val="16"/>
                <w:szCs w:val="16"/>
              </w:rPr>
              <w:t>X</w:t>
            </w:r>
          </w:p>
        </w:tc>
        <w:tc>
          <w:tcPr>
            <w:tcW w:w="488" w:type="dxa"/>
            <w:shd w:val="clear" w:color="auto" w:fill="auto"/>
            <w:noWrap/>
            <w:vAlign w:val="center"/>
          </w:tcPr>
          <w:p w14:paraId="35787ADE" w14:textId="77777777" w:rsidR="00FD57F2" w:rsidRPr="00D46647" w:rsidRDefault="00FD57F2" w:rsidP="00FD57F2">
            <w:pPr>
              <w:jc w:val="center"/>
              <w:rPr>
                <w:sz w:val="16"/>
                <w:szCs w:val="16"/>
              </w:rPr>
            </w:pPr>
            <w:r w:rsidRPr="00D46647">
              <w:rPr>
                <w:sz w:val="16"/>
                <w:szCs w:val="16"/>
              </w:rPr>
              <w:t>X</w:t>
            </w:r>
          </w:p>
        </w:tc>
        <w:tc>
          <w:tcPr>
            <w:tcW w:w="463" w:type="dxa"/>
            <w:shd w:val="clear" w:color="auto" w:fill="auto"/>
            <w:noWrap/>
            <w:vAlign w:val="center"/>
          </w:tcPr>
          <w:p w14:paraId="6A0E5EBA" w14:textId="77777777" w:rsidR="00FD57F2" w:rsidRPr="00D46647" w:rsidRDefault="00FD57F2" w:rsidP="00FD57F2">
            <w:pPr>
              <w:jc w:val="center"/>
              <w:rPr>
                <w:sz w:val="16"/>
                <w:szCs w:val="16"/>
              </w:rPr>
            </w:pPr>
            <w:r w:rsidRPr="00D46647">
              <w:rPr>
                <w:sz w:val="16"/>
                <w:szCs w:val="16"/>
              </w:rPr>
              <w:t>X</w:t>
            </w:r>
          </w:p>
        </w:tc>
        <w:tc>
          <w:tcPr>
            <w:tcW w:w="464" w:type="dxa"/>
            <w:shd w:val="clear" w:color="auto" w:fill="auto"/>
            <w:noWrap/>
            <w:vAlign w:val="center"/>
          </w:tcPr>
          <w:p w14:paraId="4454FBBB" w14:textId="77777777" w:rsidR="00FD57F2" w:rsidRPr="00D46647" w:rsidRDefault="00FD57F2" w:rsidP="00FD57F2">
            <w:pPr>
              <w:jc w:val="center"/>
              <w:rPr>
                <w:sz w:val="16"/>
                <w:szCs w:val="16"/>
              </w:rPr>
            </w:pPr>
            <w:r w:rsidRPr="00D46647">
              <w:rPr>
                <w:sz w:val="16"/>
                <w:szCs w:val="16"/>
              </w:rPr>
              <w:t>X</w:t>
            </w:r>
          </w:p>
        </w:tc>
        <w:tc>
          <w:tcPr>
            <w:tcW w:w="463" w:type="dxa"/>
            <w:shd w:val="clear" w:color="auto" w:fill="auto"/>
            <w:noWrap/>
            <w:vAlign w:val="center"/>
          </w:tcPr>
          <w:p w14:paraId="0B4A1FEF" w14:textId="77777777" w:rsidR="00FD57F2" w:rsidRPr="00D46647" w:rsidRDefault="00FD57F2" w:rsidP="00FD57F2">
            <w:pPr>
              <w:jc w:val="center"/>
              <w:rPr>
                <w:sz w:val="16"/>
                <w:szCs w:val="16"/>
              </w:rPr>
            </w:pPr>
          </w:p>
        </w:tc>
        <w:tc>
          <w:tcPr>
            <w:tcW w:w="398" w:type="dxa"/>
            <w:shd w:val="clear" w:color="auto" w:fill="auto"/>
            <w:vAlign w:val="center"/>
          </w:tcPr>
          <w:p w14:paraId="35B7D5FD" w14:textId="77777777" w:rsidR="00FD57F2" w:rsidRPr="00D46647" w:rsidRDefault="00FD57F2" w:rsidP="00FD57F2">
            <w:pPr>
              <w:jc w:val="center"/>
              <w:rPr>
                <w:sz w:val="16"/>
                <w:szCs w:val="16"/>
              </w:rPr>
            </w:pPr>
          </w:p>
        </w:tc>
        <w:tc>
          <w:tcPr>
            <w:tcW w:w="398" w:type="dxa"/>
            <w:shd w:val="clear" w:color="auto" w:fill="auto"/>
            <w:vAlign w:val="center"/>
          </w:tcPr>
          <w:p w14:paraId="68990D4B" w14:textId="77777777" w:rsidR="00FD57F2" w:rsidRPr="00D46647" w:rsidRDefault="00FD57F2" w:rsidP="00FD57F2">
            <w:pPr>
              <w:jc w:val="center"/>
              <w:rPr>
                <w:sz w:val="16"/>
                <w:szCs w:val="16"/>
              </w:rPr>
            </w:pPr>
          </w:p>
        </w:tc>
        <w:tc>
          <w:tcPr>
            <w:tcW w:w="398" w:type="dxa"/>
            <w:shd w:val="clear" w:color="auto" w:fill="auto"/>
            <w:vAlign w:val="center"/>
          </w:tcPr>
          <w:p w14:paraId="529FF3E6" w14:textId="77777777" w:rsidR="00FD57F2" w:rsidRPr="00D46647" w:rsidRDefault="00FD57F2" w:rsidP="00FD57F2">
            <w:pPr>
              <w:jc w:val="center"/>
              <w:rPr>
                <w:sz w:val="16"/>
                <w:szCs w:val="16"/>
              </w:rPr>
            </w:pPr>
          </w:p>
        </w:tc>
        <w:tc>
          <w:tcPr>
            <w:tcW w:w="398" w:type="dxa"/>
            <w:shd w:val="clear" w:color="auto" w:fill="auto"/>
            <w:vAlign w:val="center"/>
          </w:tcPr>
          <w:p w14:paraId="5D5CAFD8" w14:textId="77777777" w:rsidR="00FD57F2" w:rsidRPr="00D46647" w:rsidRDefault="00FD57F2" w:rsidP="00FD57F2">
            <w:pPr>
              <w:jc w:val="center"/>
              <w:rPr>
                <w:sz w:val="16"/>
                <w:szCs w:val="16"/>
              </w:rPr>
            </w:pPr>
          </w:p>
        </w:tc>
      </w:tr>
      <w:tr w:rsidR="00FD57F2" w:rsidRPr="00D46647" w14:paraId="53853BE1" w14:textId="77777777" w:rsidTr="007E3422">
        <w:trPr>
          <w:jc w:val="center"/>
        </w:trPr>
        <w:tc>
          <w:tcPr>
            <w:tcW w:w="2132" w:type="dxa"/>
            <w:shd w:val="clear" w:color="auto" w:fill="auto"/>
            <w:noWrap/>
            <w:vAlign w:val="center"/>
          </w:tcPr>
          <w:p w14:paraId="007D3CF5" w14:textId="77777777" w:rsidR="00FD57F2" w:rsidRPr="00D46647" w:rsidRDefault="00FD57F2" w:rsidP="00FD57F2">
            <w:pPr>
              <w:rPr>
                <w:sz w:val="16"/>
                <w:szCs w:val="16"/>
              </w:rPr>
            </w:pPr>
            <w:r w:rsidRPr="00D46647">
              <w:rPr>
                <w:sz w:val="16"/>
                <w:szCs w:val="16"/>
              </w:rPr>
              <w:t>Durée de la garantie construction (2 ans) pour le bâtiment PCT</w:t>
            </w:r>
          </w:p>
        </w:tc>
        <w:tc>
          <w:tcPr>
            <w:tcW w:w="464" w:type="dxa"/>
            <w:shd w:val="clear" w:color="auto" w:fill="auto"/>
            <w:noWrap/>
            <w:vAlign w:val="center"/>
          </w:tcPr>
          <w:p w14:paraId="5F982D09" w14:textId="77777777" w:rsidR="00FD57F2" w:rsidRPr="00D46647" w:rsidRDefault="00FD57F2" w:rsidP="00FD57F2">
            <w:pPr>
              <w:jc w:val="center"/>
              <w:rPr>
                <w:sz w:val="16"/>
                <w:szCs w:val="16"/>
              </w:rPr>
            </w:pPr>
          </w:p>
        </w:tc>
        <w:tc>
          <w:tcPr>
            <w:tcW w:w="464" w:type="dxa"/>
            <w:shd w:val="clear" w:color="auto" w:fill="auto"/>
            <w:noWrap/>
            <w:vAlign w:val="center"/>
          </w:tcPr>
          <w:p w14:paraId="6C04AEA6" w14:textId="77777777" w:rsidR="00FD57F2" w:rsidRPr="00D46647" w:rsidRDefault="00FD57F2" w:rsidP="00FD57F2">
            <w:pPr>
              <w:jc w:val="center"/>
              <w:rPr>
                <w:sz w:val="16"/>
                <w:szCs w:val="16"/>
              </w:rPr>
            </w:pPr>
          </w:p>
        </w:tc>
        <w:tc>
          <w:tcPr>
            <w:tcW w:w="463" w:type="dxa"/>
            <w:shd w:val="clear" w:color="auto" w:fill="auto"/>
            <w:noWrap/>
            <w:vAlign w:val="center"/>
          </w:tcPr>
          <w:p w14:paraId="0AAD0FB1" w14:textId="77777777" w:rsidR="00FD57F2" w:rsidRPr="00D46647" w:rsidRDefault="00FD57F2" w:rsidP="00FD57F2">
            <w:pPr>
              <w:jc w:val="center"/>
              <w:rPr>
                <w:sz w:val="16"/>
                <w:szCs w:val="16"/>
              </w:rPr>
            </w:pPr>
          </w:p>
        </w:tc>
        <w:tc>
          <w:tcPr>
            <w:tcW w:w="464" w:type="dxa"/>
            <w:shd w:val="clear" w:color="auto" w:fill="auto"/>
            <w:noWrap/>
            <w:vAlign w:val="center"/>
          </w:tcPr>
          <w:p w14:paraId="2C3FB6AB" w14:textId="77777777" w:rsidR="00FD57F2" w:rsidRPr="00D46647" w:rsidRDefault="00FD57F2" w:rsidP="00FD57F2">
            <w:pPr>
              <w:jc w:val="center"/>
              <w:rPr>
                <w:sz w:val="16"/>
                <w:szCs w:val="16"/>
              </w:rPr>
            </w:pPr>
          </w:p>
        </w:tc>
        <w:tc>
          <w:tcPr>
            <w:tcW w:w="463" w:type="dxa"/>
            <w:shd w:val="clear" w:color="auto" w:fill="auto"/>
            <w:noWrap/>
            <w:vAlign w:val="center"/>
          </w:tcPr>
          <w:p w14:paraId="234F8EE5" w14:textId="77777777" w:rsidR="00FD57F2" w:rsidRPr="00D46647" w:rsidRDefault="00FD57F2" w:rsidP="00FD57F2">
            <w:pPr>
              <w:jc w:val="center"/>
              <w:rPr>
                <w:sz w:val="16"/>
                <w:szCs w:val="16"/>
              </w:rPr>
            </w:pPr>
          </w:p>
        </w:tc>
        <w:tc>
          <w:tcPr>
            <w:tcW w:w="464" w:type="dxa"/>
            <w:shd w:val="clear" w:color="auto" w:fill="auto"/>
            <w:noWrap/>
            <w:vAlign w:val="center"/>
          </w:tcPr>
          <w:p w14:paraId="3E29B9B0" w14:textId="77777777" w:rsidR="00FD57F2" w:rsidRPr="00D46647" w:rsidRDefault="00FD57F2" w:rsidP="00FD57F2">
            <w:pPr>
              <w:jc w:val="center"/>
              <w:rPr>
                <w:sz w:val="16"/>
                <w:szCs w:val="16"/>
              </w:rPr>
            </w:pPr>
          </w:p>
        </w:tc>
        <w:tc>
          <w:tcPr>
            <w:tcW w:w="463" w:type="dxa"/>
            <w:shd w:val="clear" w:color="auto" w:fill="auto"/>
            <w:noWrap/>
            <w:vAlign w:val="center"/>
          </w:tcPr>
          <w:p w14:paraId="61C56E40" w14:textId="77777777" w:rsidR="00FD57F2" w:rsidRPr="00D46647" w:rsidRDefault="00FD57F2" w:rsidP="00FD57F2">
            <w:pPr>
              <w:jc w:val="center"/>
              <w:rPr>
                <w:sz w:val="16"/>
                <w:szCs w:val="16"/>
              </w:rPr>
            </w:pPr>
          </w:p>
        </w:tc>
        <w:tc>
          <w:tcPr>
            <w:tcW w:w="464" w:type="dxa"/>
            <w:shd w:val="clear" w:color="auto" w:fill="auto"/>
            <w:noWrap/>
            <w:vAlign w:val="center"/>
          </w:tcPr>
          <w:p w14:paraId="6E237ADE" w14:textId="77777777" w:rsidR="00FD57F2" w:rsidRPr="00D46647" w:rsidRDefault="00FD57F2" w:rsidP="00FD57F2">
            <w:pPr>
              <w:jc w:val="center"/>
              <w:rPr>
                <w:sz w:val="16"/>
                <w:szCs w:val="16"/>
              </w:rPr>
            </w:pPr>
            <w:r w:rsidRPr="00D46647">
              <w:rPr>
                <w:sz w:val="16"/>
                <w:szCs w:val="16"/>
              </w:rPr>
              <w:t>X</w:t>
            </w:r>
          </w:p>
        </w:tc>
        <w:tc>
          <w:tcPr>
            <w:tcW w:w="488" w:type="dxa"/>
            <w:shd w:val="clear" w:color="auto" w:fill="auto"/>
            <w:noWrap/>
            <w:vAlign w:val="center"/>
          </w:tcPr>
          <w:p w14:paraId="622D8CE2" w14:textId="77777777" w:rsidR="00FD57F2" w:rsidRPr="00D46647" w:rsidRDefault="00FD57F2" w:rsidP="00FD57F2">
            <w:pPr>
              <w:jc w:val="center"/>
              <w:rPr>
                <w:sz w:val="16"/>
                <w:szCs w:val="16"/>
              </w:rPr>
            </w:pPr>
            <w:r w:rsidRPr="00D46647">
              <w:rPr>
                <w:sz w:val="16"/>
                <w:szCs w:val="16"/>
              </w:rPr>
              <w:t>X</w:t>
            </w:r>
          </w:p>
        </w:tc>
        <w:tc>
          <w:tcPr>
            <w:tcW w:w="463" w:type="dxa"/>
            <w:shd w:val="clear" w:color="auto" w:fill="auto"/>
            <w:noWrap/>
            <w:vAlign w:val="center"/>
          </w:tcPr>
          <w:p w14:paraId="0882AC12" w14:textId="77777777" w:rsidR="00FD57F2" w:rsidRPr="00D46647" w:rsidRDefault="00FD57F2" w:rsidP="00FD57F2">
            <w:pPr>
              <w:jc w:val="center"/>
              <w:rPr>
                <w:sz w:val="16"/>
                <w:szCs w:val="16"/>
              </w:rPr>
            </w:pPr>
            <w:r w:rsidRPr="00D46647">
              <w:rPr>
                <w:sz w:val="16"/>
                <w:szCs w:val="16"/>
              </w:rPr>
              <w:t>X</w:t>
            </w:r>
          </w:p>
        </w:tc>
        <w:tc>
          <w:tcPr>
            <w:tcW w:w="464" w:type="dxa"/>
            <w:shd w:val="clear" w:color="auto" w:fill="auto"/>
            <w:noWrap/>
            <w:vAlign w:val="center"/>
          </w:tcPr>
          <w:p w14:paraId="180FEC95" w14:textId="77777777" w:rsidR="00FD57F2" w:rsidRPr="00D46647" w:rsidRDefault="00FD57F2" w:rsidP="00FD57F2">
            <w:pPr>
              <w:jc w:val="center"/>
              <w:rPr>
                <w:sz w:val="16"/>
                <w:szCs w:val="16"/>
              </w:rPr>
            </w:pPr>
            <w:r w:rsidRPr="00D46647">
              <w:rPr>
                <w:sz w:val="16"/>
                <w:szCs w:val="16"/>
              </w:rPr>
              <w:t>X</w:t>
            </w:r>
          </w:p>
        </w:tc>
        <w:tc>
          <w:tcPr>
            <w:tcW w:w="463" w:type="dxa"/>
            <w:shd w:val="clear" w:color="auto" w:fill="auto"/>
            <w:noWrap/>
            <w:vAlign w:val="center"/>
          </w:tcPr>
          <w:p w14:paraId="35F3D2E4" w14:textId="77777777" w:rsidR="00FD57F2" w:rsidRPr="00D46647" w:rsidRDefault="00FD57F2" w:rsidP="00FD57F2">
            <w:pPr>
              <w:jc w:val="center"/>
              <w:rPr>
                <w:sz w:val="16"/>
                <w:szCs w:val="16"/>
              </w:rPr>
            </w:pPr>
            <w:r w:rsidRPr="00D46647">
              <w:rPr>
                <w:sz w:val="16"/>
                <w:szCs w:val="16"/>
              </w:rPr>
              <w:t>X</w:t>
            </w:r>
          </w:p>
        </w:tc>
        <w:tc>
          <w:tcPr>
            <w:tcW w:w="398" w:type="dxa"/>
            <w:shd w:val="clear" w:color="auto" w:fill="auto"/>
            <w:vAlign w:val="center"/>
          </w:tcPr>
          <w:p w14:paraId="65EE4899" w14:textId="77777777" w:rsidR="00FD57F2" w:rsidRPr="00D46647" w:rsidRDefault="00FD57F2" w:rsidP="00FD57F2">
            <w:pPr>
              <w:jc w:val="center"/>
              <w:rPr>
                <w:sz w:val="16"/>
                <w:szCs w:val="16"/>
              </w:rPr>
            </w:pPr>
            <w:r w:rsidRPr="00D46647">
              <w:rPr>
                <w:sz w:val="16"/>
                <w:szCs w:val="16"/>
              </w:rPr>
              <w:t>X</w:t>
            </w:r>
          </w:p>
        </w:tc>
        <w:tc>
          <w:tcPr>
            <w:tcW w:w="398" w:type="dxa"/>
            <w:shd w:val="clear" w:color="auto" w:fill="auto"/>
            <w:vAlign w:val="center"/>
          </w:tcPr>
          <w:p w14:paraId="0163F246" w14:textId="77777777" w:rsidR="00FD57F2" w:rsidRPr="00D46647" w:rsidRDefault="00FD57F2" w:rsidP="00FD57F2">
            <w:pPr>
              <w:jc w:val="center"/>
              <w:rPr>
                <w:sz w:val="16"/>
                <w:szCs w:val="16"/>
              </w:rPr>
            </w:pPr>
            <w:r w:rsidRPr="00D46647">
              <w:rPr>
                <w:sz w:val="16"/>
                <w:szCs w:val="16"/>
              </w:rPr>
              <w:t>X</w:t>
            </w:r>
          </w:p>
        </w:tc>
        <w:tc>
          <w:tcPr>
            <w:tcW w:w="398" w:type="dxa"/>
            <w:shd w:val="clear" w:color="auto" w:fill="auto"/>
            <w:vAlign w:val="center"/>
          </w:tcPr>
          <w:p w14:paraId="72520EFD" w14:textId="77777777" w:rsidR="00FD57F2" w:rsidRPr="00D46647" w:rsidRDefault="00FD57F2" w:rsidP="00FD57F2">
            <w:pPr>
              <w:jc w:val="center"/>
              <w:rPr>
                <w:sz w:val="16"/>
                <w:szCs w:val="16"/>
              </w:rPr>
            </w:pPr>
            <w:r w:rsidRPr="00D46647">
              <w:rPr>
                <w:sz w:val="16"/>
                <w:szCs w:val="16"/>
              </w:rPr>
              <w:t>X</w:t>
            </w:r>
          </w:p>
        </w:tc>
        <w:tc>
          <w:tcPr>
            <w:tcW w:w="398" w:type="dxa"/>
            <w:shd w:val="clear" w:color="auto" w:fill="auto"/>
            <w:vAlign w:val="center"/>
          </w:tcPr>
          <w:p w14:paraId="5115FC84" w14:textId="77777777" w:rsidR="00FD57F2" w:rsidRPr="00D46647" w:rsidRDefault="00FD57F2" w:rsidP="00FD57F2">
            <w:pPr>
              <w:jc w:val="center"/>
              <w:rPr>
                <w:sz w:val="16"/>
                <w:szCs w:val="16"/>
              </w:rPr>
            </w:pPr>
            <w:r w:rsidRPr="00D46647">
              <w:rPr>
                <w:sz w:val="16"/>
                <w:szCs w:val="16"/>
              </w:rPr>
              <w:t>X</w:t>
            </w:r>
          </w:p>
        </w:tc>
      </w:tr>
    </w:tbl>
    <w:p w14:paraId="3956FE1B" w14:textId="77777777" w:rsidR="00FD57F2" w:rsidRPr="00D46647" w:rsidRDefault="00FD57F2" w:rsidP="00FD57F2"/>
    <w:p w14:paraId="595F23B4" w14:textId="77777777" w:rsidR="00FD57F2" w:rsidRDefault="00FD57F2" w:rsidP="00FD57F2">
      <w:pPr>
        <w:rPr>
          <w:b/>
        </w:rPr>
      </w:pPr>
      <w:r w:rsidRPr="00D46647">
        <w:br w:type="page"/>
      </w:r>
      <w:r w:rsidRPr="003F79BF">
        <w:rPr>
          <w:b/>
        </w:rPr>
        <w:t>PROJETS LIÉS AUX BÂTIMENTS</w:t>
      </w:r>
    </w:p>
    <w:p w14:paraId="5306103F" w14:textId="77777777" w:rsidR="003F79BF" w:rsidRPr="003F79BF" w:rsidRDefault="003F79BF" w:rsidP="00FD57F2">
      <w:pPr>
        <w:rPr>
          <w:b/>
        </w:rPr>
      </w:pPr>
    </w:p>
    <w:p w14:paraId="6A7987CC" w14:textId="4AD6BE4F" w:rsidR="00FD57F2" w:rsidRPr="00D46647" w:rsidRDefault="003F79BF" w:rsidP="005623CF">
      <w:pPr>
        <w:pStyle w:val="Heading5"/>
      </w:pPr>
      <w:bookmarkStart w:id="109" w:name="_Toc423352912"/>
      <w:bookmarkStart w:id="110" w:name="_Toc455394225"/>
      <w:bookmarkStart w:id="111" w:name="_Toc482774636"/>
      <w:r>
        <w:t>P</w:t>
      </w:r>
      <w:r w:rsidRPr="00D46647">
        <w:t>rojet</w:t>
      </w:r>
      <w:r>
        <w:t> </w:t>
      </w:r>
      <w:r w:rsidRPr="00D46647">
        <w:t>5</w:t>
      </w:r>
      <w:r w:rsidRPr="00D46647">
        <w:tab/>
      </w:r>
      <w:r>
        <w:t>P</w:t>
      </w:r>
      <w:r w:rsidRPr="00D46647">
        <w:t xml:space="preserve">hase 1 de la rénovation du sous-sol du bâtiment </w:t>
      </w:r>
      <w:r>
        <w:t>A</w:t>
      </w:r>
      <w:r w:rsidR="005623CF">
        <w:t>rpad </w:t>
      </w:r>
      <w:r>
        <w:t>B</w:t>
      </w:r>
      <w:r w:rsidRPr="00D46647">
        <w:t>ogsch (redimensionnement du centre informatique et rénovation de l’imprimerie)</w:t>
      </w:r>
      <w:bookmarkEnd w:id="109"/>
      <w:bookmarkEnd w:id="110"/>
      <w:bookmarkEnd w:id="111"/>
    </w:p>
    <w:p w14:paraId="535B9059" w14:textId="77777777" w:rsidR="00FD57F2" w:rsidRPr="00D46647" w:rsidRDefault="00FD57F2" w:rsidP="00FD57F2">
      <w:pPr>
        <w:rPr>
          <w:b/>
          <w:sz w:val="20"/>
        </w:rPr>
      </w:pPr>
    </w:p>
    <w:p w14:paraId="7ABD8E1B" w14:textId="77777777" w:rsidR="00FD57F2" w:rsidRPr="00D46647" w:rsidRDefault="00FD57F2" w:rsidP="00FD57F2">
      <w:pPr>
        <w:rPr>
          <w:b/>
          <w:sz w:val="20"/>
        </w:rPr>
      </w:pPr>
      <w:r w:rsidRPr="00D46647">
        <w:rPr>
          <w:b/>
          <w:sz w:val="20"/>
        </w:rPr>
        <w:t xml:space="preserve">Chef de projet : </w:t>
      </w:r>
      <w:r w:rsidRPr="00D46647">
        <w:rPr>
          <w:b/>
          <w:sz w:val="20"/>
        </w:rPr>
        <w:tab/>
        <w:t>M. A. FAVERO</w:t>
      </w:r>
    </w:p>
    <w:p w14:paraId="5501919A" w14:textId="77777777" w:rsidR="00FD57F2" w:rsidRPr="00D46647" w:rsidRDefault="00FD57F2" w:rsidP="00FD57F2">
      <w:pPr>
        <w:rPr>
          <w:sz w:val="20"/>
        </w:rPr>
      </w:pPr>
    </w:p>
    <w:p w14:paraId="383B9B16" w14:textId="77777777" w:rsidR="00FD57F2" w:rsidRPr="00D46647" w:rsidRDefault="00FD57F2" w:rsidP="00FD57F2">
      <w:pPr>
        <w:rPr>
          <w:bCs/>
          <w:sz w:val="20"/>
        </w:rPr>
      </w:pPr>
    </w:p>
    <w:p w14:paraId="61B9622C" w14:textId="77777777" w:rsidR="00FD57F2" w:rsidRPr="00D46647" w:rsidRDefault="00FD57F2" w:rsidP="00FD57F2">
      <w:pPr>
        <w:rPr>
          <w:bCs/>
          <w:sz w:val="20"/>
        </w:rPr>
      </w:pPr>
      <w:r w:rsidRPr="00D46647">
        <w:rPr>
          <w:sz w:val="20"/>
        </w:rPr>
        <w:t>RÉSULTATS ESCOMPTÉS</w:t>
      </w:r>
    </w:p>
    <w:p w14:paraId="1FF82141" w14:textId="77777777" w:rsidR="00FD57F2" w:rsidRPr="00D46647" w:rsidRDefault="00FD57F2" w:rsidP="00FD57F2">
      <w:pPr>
        <w:rPr>
          <w:bCs/>
          <w:sz w:val="20"/>
        </w:rPr>
      </w:pPr>
    </w:p>
    <w:p w14:paraId="0D208A57" w14:textId="77777777" w:rsidR="00FD57F2" w:rsidRPr="00D46647" w:rsidRDefault="00FD57F2" w:rsidP="00FD57F2">
      <w:pPr>
        <w:rPr>
          <w:i/>
          <w:iCs/>
          <w:sz w:val="20"/>
        </w:rPr>
      </w:pPr>
      <w:r w:rsidRPr="00D46647">
        <w:rPr>
          <w:i/>
          <w:sz w:val="20"/>
        </w:rPr>
        <w:t>IX.1 Services d’appui efficaces, efficients, de qualité et tournés vers la clientèle, à l’intention à la fois des clients internes et des parties prenantes externes</w:t>
      </w:r>
    </w:p>
    <w:p w14:paraId="3467E946" w14:textId="77777777" w:rsidR="00FD57F2" w:rsidRPr="00D46647" w:rsidRDefault="00FD57F2" w:rsidP="00FD57F2">
      <w:pPr>
        <w:rPr>
          <w:bCs/>
          <w:sz w:val="20"/>
        </w:rPr>
      </w:pPr>
    </w:p>
    <w:p w14:paraId="116CE8B7" w14:textId="77777777" w:rsidR="00FD57F2" w:rsidRPr="00D46647" w:rsidRDefault="00FD57F2" w:rsidP="00FD57F2">
      <w:pPr>
        <w:rPr>
          <w:bCs/>
          <w:sz w:val="20"/>
        </w:rPr>
      </w:pPr>
    </w:p>
    <w:p w14:paraId="1A28767F" w14:textId="77777777" w:rsidR="00FD57F2" w:rsidRPr="00D46647" w:rsidRDefault="00FD57F2" w:rsidP="00FD57F2">
      <w:pPr>
        <w:rPr>
          <w:bCs/>
          <w:sz w:val="20"/>
        </w:rPr>
      </w:pPr>
      <w:r w:rsidRPr="00D46647">
        <w:rPr>
          <w:sz w:val="20"/>
        </w:rPr>
        <w:t>OBJECTIFS, PORTÉE ET APPROCHE – GÉNÉRALITÉS</w:t>
      </w:r>
    </w:p>
    <w:p w14:paraId="1D569A97" w14:textId="77777777" w:rsidR="00FD57F2" w:rsidRPr="00D46647" w:rsidRDefault="00FD57F2" w:rsidP="00FD57F2">
      <w:pPr>
        <w:rPr>
          <w:bCs/>
          <w:sz w:val="20"/>
        </w:rPr>
      </w:pPr>
    </w:p>
    <w:p w14:paraId="1E754C07" w14:textId="77777777" w:rsidR="00FD57F2" w:rsidRPr="00D46647" w:rsidRDefault="00FD57F2" w:rsidP="002C58CD">
      <w:pPr>
        <w:pStyle w:val="ListParagraph"/>
        <w:numPr>
          <w:ilvl w:val="0"/>
          <w:numId w:val="70"/>
        </w:numPr>
        <w:tabs>
          <w:tab w:val="left" w:pos="567"/>
        </w:tabs>
        <w:ind w:left="0" w:firstLine="0"/>
        <w:contextualSpacing w:val="0"/>
        <w:jc w:val="both"/>
        <w:rPr>
          <w:rFonts w:ascii="Arial" w:hAnsi="Arial" w:cs="Arial"/>
          <w:bCs/>
          <w:sz w:val="20"/>
          <w:szCs w:val="20"/>
        </w:rPr>
      </w:pPr>
      <w:r w:rsidRPr="00D46647">
        <w:rPr>
          <w:rFonts w:ascii="Arial" w:hAnsi="Arial" w:cs="Arial"/>
          <w:sz w:val="20"/>
          <w:szCs w:val="20"/>
        </w:rPr>
        <w:t>Le centre informatique actuel situé au sous-sol du bâtiment AB doit être redimensionné conformément à son nouveau rôle réduit de salle informatique desservant uniquement le bâtiment AB.  Ce redimensionnement devrait libérer une superficie importante qui pourra être utilisée pour agrandir l’imprimerie actuelle, qui a besoin d’être rénovée.</w:t>
      </w:r>
    </w:p>
    <w:p w14:paraId="14F272BA" w14:textId="77777777" w:rsidR="00FD57F2" w:rsidRPr="00D46647" w:rsidRDefault="00FD57F2" w:rsidP="00FD57F2">
      <w:pPr>
        <w:tabs>
          <w:tab w:val="left" w:pos="567"/>
        </w:tabs>
        <w:jc w:val="both"/>
        <w:rPr>
          <w:bCs/>
          <w:sz w:val="20"/>
        </w:rPr>
      </w:pPr>
    </w:p>
    <w:p w14:paraId="3427F64E" w14:textId="77777777" w:rsidR="00FD57F2" w:rsidRPr="00D46647" w:rsidRDefault="00FD57F2" w:rsidP="002C58CD">
      <w:pPr>
        <w:pStyle w:val="ListParagraph"/>
        <w:numPr>
          <w:ilvl w:val="0"/>
          <w:numId w:val="70"/>
        </w:numPr>
        <w:tabs>
          <w:tab w:val="left" w:pos="567"/>
        </w:tabs>
        <w:ind w:left="0" w:firstLine="0"/>
        <w:contextualSpacing w:val="0"/>
        <w:jc w:val="both"/>
        <w:rPr>
          <w:rFonts w:ascii="Arial" w:hAnsi="Arial" w:cs="Arial"/>
          <w:bCs/>
          <w:sz w:val="20"/>
          <w:szCs w:val="20"/>
        </w:rPr>
      </w:pPr>
      <w:r w:rsidRPr="00D46647">
        <w:rPr>
          <w:rFonts w:ascii="Arial" w:hAnsi="Arial" w:cs="Arial"/>
          <w:sz w:val="20"/>
          <w:szCs w:val="20"/>
        </w:rPr>
        <w:t>Les objectifs du projet consistent à : i) établir la superficie appropriée nécessaire pour l’imprimerie, la salle des archives et la salle informatique en réduisant la surface du centre de données afin de libérer un espace relativement important pour permettre l’extension et la rénovation de l’imprimerie;  ii) réduire la consommation énergétique via la suppression de l’équipement technique spécifique du centre de données;  et iii) améliorer l’espace de travail du personnel de l’imprimerie et des archives.</w:t>
      </w:r>
    </w:p>
    <w:p w14:paraId="7C20D2AB" w14:textId="77777777" w:rsidR="00FD57F2" w:rsidRPr="00D46647" w:rsidRDefault="00FD57F2" w:rsidP="00FD57F2">
      <w:pPr>
        <w:rPr>
          <w:bCs/>
          <w:sz w:val="20"/>
        </w:rPr>
      </w:pPr>
    </w:p>
    <w:p w14:paraId="123EDD24" w14:textId="77777777" w:rsidR="00FD57F2" w:rsidRPr="00D46647" w:rsidRDefault="00FD57F2" w:rsidP="00FD57F2">
      <w:pPr>
        <w:rPr>
          <w:bCs/>
          <w:sz w:val="20"/>
        </w:rPr>
      </w:pPr>
    </w:p>
    <w:p w14:paraId="10B65AAA" w14:textId="77777777" w:rsidR="00FD57F2" w:rsidRPr="00D46647" w:rsidRDefault="00FD57F2" w:rsidP="00FD57F2">
      <w:pPr>
        <w:rPr>
          <w:bCs/>
          <w:sz w:val="20"/>
        </w:rPr>
      </w:pPr>
      <w:r w:rsidRPr="00D46647">
        <w:rPr>
          <w:sz w:val="20"/>
        </w:rPr>
        <w:t>APERÇU DES PROGRÈS RÉALISÉS EN 2016 (PRINCIPALES ÉTAPES)</w:t>
      </w:r>
    </w:p>
    <w:p w14:paraId="3EC0E228" w14:textId="77777777" w:rsidR="00FD57F2" w:rsidRPr="00D46647" w:rsidRDefault="00FD57F2" w:rsidP="00FD57F2">
      <w:pPr>
        <w:rPr>
          <w:bCs/>
          <w:sz w:val="20"/>
        </w:rPr>
      </w:pPr>
    </w:p>
    <w:p w14:paraId="08B0ED6E" w14:textId="77777777" w:rsidR="00FD57F2" w:rsidRPr="00D46647" w:rsidRDefault="00FD57F2" w:rsidP="002C58CD">
      <w:pPr>
        <w:pStyle w:val="ListParagraph"/>
        <w:numPr>
          <w:ilvl w:val="0"/>
          <w:numId w:val="70"/>
        </w:numPr>
        <w:tabs>
          <w:tab w:val="left" w:pos="567"/>
        </w:tabs>
        <w:ind w:left="0" w:firstLine="0"/>
        <w:contextualSpacing w:val="0"/>
        <w:jc w:val="both"/>
        <w:rPr>
          <w:rFonts w:ascii="Arial" w:hAnsi="Arial" w:cs="Arial"/>
          <w:color w:val="000000" w:themeColor="text1"/>
          <w:sz w:val="20"/>
          <w:szCs w:val="20"/>
        </w:rPr>
      </w:pPr>
      <w:r w:rsidRPr="00D46647">
        <w:rPr>
          <w:rFonts w:ascii="Arial" w:hAnsi="Arial" w:cs="Arial"/>
          <w:color w:val="000000" w:themeColor="text1"/>
          <w:sz w:val="20"/>
          <w:szCs w:val="20"/>
        </w:rPr>
        <w:t>En 2016, les progrès suivants ont été accomplis :</w:t>
      </w:r>
    </w:p>
    <w:p w14:paraId="069140B9" w14:textId="77777777" w:rsidR="00FD57F2" w:rsidRPr="00D46647" w:rsidRDefault="00FD57F2" w:rsidP="00FD57F2">
      <w:pPr>
        <w:pStyle w:val="ListParagraph"/>
        <w:tabs>
          <w:tab w:val="left" w:pos="567"/>
        </w:tabs>
        <w:ind w:left="0"/>
        <w:jc w:val="both"/>
        <w:rPr>
          <w:rFonts w:ascii="Arial" w:hAnsi="Arial" w:cs="Arial"/>
          <w:color w:val="000000" w:themeColor="text1"/>
          <w:sz w:val="20"/>
          <w:szCs w:val="20"/>
        </w:rPr>
      </w:pPr>
    </w:p>
    <w:p w14:paraId="0D6CAFAF" w14:textId="77777777" w:rsidR="00FD57F2" w:rsidRPr="00D46647" w:rsidRDefault="00FD57F2" w:rsidP="00A067C5">
      <w:pPr>
        <w:pStyle w:val="ListParagraph"/>
        <w:numPr>
          <w:ilvl w:val="0"/>
          <w:numId w:val="80"/>
        </w:numPr>
        <w:spacing w:after="220"/>
        <w:ind w:left="1134" w:hanging="567"/>
        <w:contextualSpacing w:val="0"/>
        <w:rPr>
          <w:rFonts w:ascii="Arial" w:hAnsi="Arial" w:cs="Arial"/>
          <w:bCs/>
          <w:noProof/>
          <w:color w:val="000000" w:themeColor="text1"/>
          <w:sz w:val="20"/>
          <w:szCs w:val="20"/>
        </w:rPr>
      </w:pPr>
      <w:r w:rsidRPr="00D46647">
        <w:rPr>
          <w:rFonts w:ascii="Arial" w:hAnsi="Arial" w:cs="Arial"/>
          <w:color w:val="000000" w:themeColor="text1"/>
          <w:sz w:val="20"/>
          <w:szCs w:val="20"/>
        </w:rPr>
        <w:t>Appel d’offres en vue du recrutement de l’ingénieur-électricien, et attribution du contrat;</w:t>
      </w:r>
    </w:p>
    <w:p w14:paraId="1D9C8213" w14:textId="77777777" w:rsidR="00FD57F2" w:rsidRPr="00D46647" w:rsidRDefault="00FD57F2" w:rsidP="00A067C5">
      <w:pPr>
        <w:pStyle w:val="ListParagraph"/>
        <w:numPr>
          <w:ilvl w:val="0"/>
          <w:numId w:val="80"/>
        </w:numPr>
        <w:spacing w:after="220"/>
        <w:ind w:left="1134" w:hanging="567"/>
        <w:contextualSpacing w:val="0"/>
        <w:rPr>
          <w:rFonts w:ascii="Arial" w:hAnsi="Arial" w:cs="Arial"/>
          <w:bCs/>
          <w:noProof/>
          <w:color w:val="000000" w:themeColor="text1"/>
          <w:sz w:val="20"/>
          <w:szCs w:val="20"/>
        </w:rPr>
      </w:pPr>
      <w:r w:rsidRPr="00D46647">
        <w:rPr>
          <w:rFonts w:ascii="Arial" w:hAnsi="Arial" w:cs="Arial"/>
          <w:color w:val="000000" w:themeColor="text1"/>
          <w:sz w:val="20"/>
          <w:szCs w:val="20"/>
        </w:rPr>
        <w:t>Appel d’offres en vue des travaux de démontage et des travaux préparatoires, et attribution des contrats;</w:t>
      </w:r>
    </w:p>
    <w:p w14:paraId="1836E0E8" w14:textId="77777777" w:rsidR="00FD57F2" w:rsidRPr="00D46647" w:rsidRDefault="00FD57F2" w:rsidP="00A067C5">
      <w:pPr>
        <w:pStyle w:val="ListParagraph"/>
        <w:numPr>
          <w:ilvl w:val="0"/>
          <w:numId w:val="80"/>
        </w:numPr>
        <w:spacing w:after="220"/>
        <w:ind w:left="1134" w:hanging="567"/>
        <w:contextualSpacing w:val="0"/>
        <w:rPr>
          <w:rFonts w:ascii="Arial" w:hAnsi="Arial" w:cs="Arial"/>
          <w:bCs/>
          <w:noProof/>
          <w:color w:val="000000" w:themeColor="text1"/>
          <w:sz w:val="20"/>
          <w:szCs w:val="20"/>
        </w:rPr>
      </w:pPr>
      <w:r w:rsidRPr="00D46647">
        <w:rPr>
          <w:rFonts w:ascii="Arial" w:hAnsi="Arial" w:cs="Arial"/>
          <w:color w:val="000000" w:themeColor="text1"/>
          <w:sz w:val="20"/>
          <w:szCs w:val="20"/>
        </w:rPr>
        <w:t>Exécution des travaux de démontage et lancement des travaux préparatoires dans la partie de l’ancien centre informatique qui servira à agrandir l’imprimerie après rénovation de celle-ci, et transformation de la partie restante de l’ancien centre informatique en petite salle informatique;</w:t>
      </w:r>
    </w:p>
    <w:p w14:paraId="0C5EDB22" w14:textId="77777777" w:rsidR="00FD57F2" w:rsidRPr="00D46647" w:rsidRDefault="00FD57F2" w:rsidP="00A067C5">
      <w:pPr>
        <w:pStyle w:val="ListParagraph"/>
        <w:numPr>
          <w:ilvl w:val="0"/>
          <w:numId w:val="80"/>
        </w:numPr>
        <w:spacing w:after="220"/>
        <w:ind w:left="1134" w:hanging="567"/>
        <w:contextualSpacing w:val="0"/>
        <w:rPr>
          <w:rFonts w:ascii="Arial" w:hAnsi="Arial" w:cs="Arial"/>
          <w:bCs/>
          <w:noProof/>
          <w:color w:val="000000" w:themeColor="text1"/>
          <w:sz w:val="20"/>
          <w:szCs w:val="20"/>
        </w:rPr>
      </w:pPr>
      <w:r w:rsidRPr="00D46647">
        <w:rPr>
          <w:rFonts w:ascii="Arial" w:hAnsi="Arial" w:cs="Arial"/>
          <w:color w:val="000000" w:themeColor="text1"/>
          <w:sz w:val="20"/>
          <w:szCs w:val="20"/>
        </w:rPr>
        <w:t>Appels d’offres en vue des futurs travaux d’infrastructure, et attribution de contrats</w:t>
      </w:r>
      <w:r w:rsidRPr="00D46647">
        <w:rPr>
          <w:rFonts w:ascii="Arial" w:hAnsi="Arial" w:cs="Arial"/>
          <w:bCs/>
          <w:noProof/>
          <w:color w:val="000000" w:themeColor="text1"/>
          <w:sz w:val="20"/>
          <w:szCs w:val="20"/>
        </w:rPr>
        <w:t>.</w:t>
      </w:r>
    </w:p>
    <w:p w14:paraId="2E095955" w14:textId="77777777" w:rsidR="00FD57F2" w:rsidRPr="00D46647" w:rsidRDefault="00FD57F2" w:rsidP="002C58CD">
      <w:pPr>
        <w:pStyle w:val="ListParagraph"/>
        <w:numPr>
          <w:ilvl w:val="0"/>
          <w:numId w:val="70"/>
        </w:numPr>
        <w:tabs>
          <w:tab w:val="left" w:pos="567"/>
        </w:tabs>
        <w:ind w:left="0" w:firstLine="0"/>
        <w:contextualSpacing w:val="0"/>
        <w:jc w:val="both"/>
        <w:rPr>
          <w:rFonts w:ascii="Arial" w:eastAsia="Calibri" w:hAnsi="Arial" w:cs="Arial"/>
          <w:color w:val="000000" w:themeColor="text1"/>
          <w:sz w:val="20"/>
          <w:szCs w:val="20"/>
        </w:rPr>
      </w:pPr>
      <w:r w:rsidRPr="00D46647">
        <w:rPr>
          <w:rFonts w:ascii="Arial" w:hAnsi="Arial" w:cs="Arial"/>
          <w:color w:val="000000" w:themeColor="text1"/>
          <w:sz w:val="20"/>
          <w:szCs w:val="20"/>
        </w:rPr>
        <w:t>Fin 2016, il a été décidé en interne de transformer les deux ateliers d’impression situés dans deux bâtiments différents du campus de l’OMPI en une imprimerie qui sera installée dans le bâtiment AB, ce qui permettra de disposer de lieux de travail supplémentaires et d’améliorer la répartition des superficies.  En conséquence, certaines caractéristiques techniques ont dû être redimensionnées, notamment pour tenir compte des améliorations apportées aux installations techniques CVC et des exigences supplémentaires en matière de capacité électrique.  En conséquence, il a fallu modifier le cahier des charges de chacun des appels d’offres correspondants afin d’y faire apparaître la décision distincte ayant des incidences sur la livraison du projet tel qu’approuvée initialement.  Le calendrier du projet a été modifié en conséquence</w:t>
      </w:r>
      <w:r w:rsidRPr="00D46647">
        <w:rPr>
          <w:rFonts w:ascii="Arial" w:eastAsia="Calibri" w:hAnsi="Arial" w:cs="Arial"/>
          <w:color w:val="000000" w:themeColor="text1"/>
          <w:sz w:val="20"/>
          <w:szCs w:val="20"/>
        </w:rPr>
        <w:t>.</w:t>
      </w:r>
    </w:p>
    <w:p w14:paraId="37B4CB46" w14:textId="77777777" w:rsidR="00FD57F2" w:rsidRPr="00D46647" w:rsidRDefault="00FD57F2" w:rsidP="00FD57F2">
      <w:pPr>
        <w:rPr>
          <w:bCs/>
          <w:noProof/>
          <w:color w:val="000000" w:themeColor="text1"/>
          <w:sz w:val="20"/>
        </w:rPr>
      </w:pPr>
    </w:p>
    <w:p w14:paraId="2DE71B84" w14:textId="77777777" w:rsidR="00FD57F2" w:rsidRPr="00D46647" w:rsidRDefault="00FD57F2" w:rsidP="00FD57F2">
      <w:pPr>
        <w:rPr>
          <w:bCs/>
          <w:noProof/>
          <w:sz w:val="20"/>
        </w:rPr>
      </w:pPr>
    </w:p>
    <w:p w14:paraId="16175DB0" w14:textId="77777777" w:rsidR="00FD57F2" w:rsidRPr="00D46647" w:rsidRDefault="00FD57F2" w:rsidP="00FD57F2">
      <w:pPr>
        <w:spacing w:after="200" w:line="276" w:lineRule="auto"/>
        <w:rPr>
          <w:rFonts w:eastAsiaTheme="minorHAnsi"/>
        </w:rPr>
      </w:pPr>
      <w:r w:rsidRPr="00D46647">
        <w:rPr>
          <w:rFonts w:eastAsiaTheme="minorHAnsi"/>
        </w:rPr>
        <w:br w:type="page"/>
      </w:r>
    </w:p>
    <w:p w14:paraId="1971EE66" w14:textId="77777777" w:rsidR="00FD57F2" w:rsidRPr="00D46647" w:rsidRDefault="00FD57F2" w:rsidP="00FD57F2">
      <w:pPr>
        <w:rPr>
          <w:sz w:val="20"/>
        </w:rPr>
      </w:pPr>
      <w:r w:rsidRPr="00D46647">
        <w:rPr>
          <w:sz w:val="20"/>
        </w:rPr>
        <w:t>CONCRÉTISATION DES AVANTAGES</w:t>
      </w:r>
    </w:p>
    <w:p w14:paraId="42D38124" w14:textId="77777777" w:rsidR="00FD57F2" w:rsidRPr="00D46647" w:rsidRDefault="00FD57F2" w:rsidP="00FD57F2">
      <w:pPr>
        <w:rPr>
          <w:sz w:val="20"/>
        </w:rPr>
      </w:pPr>
    </w:p>
    <w:tbl>
      <w:tblPr>
        <w:tblW w:w="43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663"/>
        <w:gridCol w:w="2663"/>
        <w:gridCol w:w="2661"/>
      </w:tblGrid>
      <w:tr w:rsidR="00FD57F2" w:rsidRPr="00D46647" w14:paraId="238D94AF" w14:textId="77777777" w:rsidTr="007E3422">
        <w:trPr>
          <w:tblHeader/>
          <w:jc w:val="center"/>
        </w:trPr>
        <w:tc>
          <w:tcPr>
            <w:tcW w:w="1667" w:type="pct"/>
            <w:shd w:val="clear" w:color="auto" w:fill="C6D9F1"/>
          </w:tcPr>
          <w:p w14:paraId="470E23DC" w14:textId="77777777" w:rsidR="00FD57F2" w:rsidRPr="00D46647" w:rsidRDefault="00FD57F2" w:rsidP="00FD57F2">
            <w:pPr>
              <w:jc w:val="center"/>
              <w:rPr>
                <w:b/>
                <w:sz w:val="16"/>
              </w:rPr>
            </w:pPr>
            <w:r w:rsidRPr="00D46647">
              <w:rPr>
                <w:b/>
                <w:sz w:val="16"/>
              </w:rPr>
              <w:t>Avantages obtenus en 2016</w:t>
            </w:r>
          </w:p>
        </w:tc>
        <w:tc>
          <w:tcPr>
            <w:tcW w:w="1667" w:type="pct"/>
            <w:shd w:val="clear" w:color="auto" w:fill="C6D9F1"/>
            <w:vAlign w:val="center"/>
          </w:tcPr>
          <w:p w14:paraId="04828A57" w14:textId="77777777" w:rsidR="00FD57F2" w:rsidRPr="00D46647" w:rsidRDefault="00FD57F2" w:rsidP="00FD57F2">
            <w:pPr>
              <w:jc w:val="center"/>
              <w:rPr>
                <w:b/>
                <w:bCs/>
                <w:sz w:val="16"/>
                <w:szCs w:val="16"/>
              </w:rPr>
            </w:pPr>
            <w:r w:rsidRPr="00D46647">
              <w:rPr>
                <w:b/>
                <w:sz w:val="16"/>
              </w:rPr>
              <w:t>Avantages escomptés en 2017</w:t>
            </w:r>
          </w:p>
        </w:tc>
        <w:tc>
          <w:tcPr>
            <w:tcW w:w="1666" w:type="pct"/>
            <w:shd w:val="clear" w:color="auto" w:fill="C6D9F1"/>
          </w:tcPr>
          <w:p w14:paraId="1F01CFCC" w14:textId="77777777" w:rsidR="00FD57F2" w:rsidRPr="00D46647" w:rsidRDefault="00FD57F2" w:rsidP="00FD57F2">
            <w:pPr>
              <w:jc w:val="center"/>
              <w:rPr>
                <w:b/>
                <w:sz w:val="16"/>
              </w:rPr>
            </w:pPr>
            <w:r w:rsidRPr="00D46647">
              <w:rPr>
                <w:b/>
                <w:sz w:val="16"/>
              </w:rPr>
              <w:t>Avantages obtenus en 2018</w:t>
            </w:r>
          </w:p>
        </w:tc>
      </w:tr>
      <w:tr w:rsidR="00FD57F2" w:rsidRPr="00D46647" w14:paraId="35B39688" w14:textId="77777777" w:rsidTr="007E3422">
        <w:trPr>
          <w:jc w:val="center"/>
        </w:trPr>
        <w:tc>
          <w:tcPr>
            <w:tcW w:w="1667" w:type="pct"/>
          </w:tcPr>
          <w:p w14:paraId="098DD3AC" w14:textId="77777777" w:rsidR="00FD57F2" w:rsidRPr="00D46647" w:rsidRDefault="00FD57F2" w:rsidP="00FD57F2">
            <w:pPr>
              <w:rPr>
                <w:bCs/>
                <w:iCs/>
                <w:noProof/>
                <w:sz w:val="16"/>
                <w:szCs w:val="16"/>
              </w:rPr>
            </w:pPr>
            <w:r w:rsidRPr="00D46647">
              <w:rPr>
                <w:bCs/>
                <w:iCs/>
                <w:noProof/>
                <w:sz w:val="16"/>
                <w:szCs w:val="16"/>
              </w:rPr>
              <w:t>La salle informatique est adaptée aux besoins en matière d’espace, de refroidissement et d’installations techniques diverses.</w:t>
            </w:r>
          </w:p>
        </w:tc>
        <w:tc>
          <w:tcPr>
            <w:tcW w:w="1667" w:type="pct"/>
            <w:shd w:val="clear" w:color="auto" w:fill="auto"/>
            <w:vAlign w:val="center"/>
          </w:tcPr>
          <w:p w14:paraId="20FE15A6" w14:textId="77777777" w:rsidR="00FD57F2" w:rsidRPr="00D46647" w:rsidRDefault="00FD57F2" w:rsidP="00FD57F2">
            <w:pPr>
              <w:rPr>
                <w:bCs/>
                <w:iCs/>
                <w:sz w:val="16"/>
                <w:szCs w:val="16"/>
              </w:rPr>
            </w:pPr>
            <w:r w:rsidRPr="00D46647">
              <w:rPr>
                <w:sz w:val="16"/>
              </w:rPr>
              <w:t>Meilleure répartition des superficies selon les utilisations respectives</w:t>
            </w:r>
            <w:r w:rsidRPr="00D46647">
              <w:rPr>
                <w:bCs/>
                <w:iCs/>
                <w:noProof/>
                <w:sz w:val="16"/>
                <w:szCs w:val="16"/>
              </w:rPr>
              <w:t xml:space="preserve"> pour l’une des deux unités concernées (imprimerie ou salle des archives)</w:t>
            </w:r>
          </w:p>
        </w:tc>
        <w:tc>
          <w:tcPr>
            <w:tcW w:w="1666" w:type="pct"/>
          </w:tcPr>
          <w:p w14:paraId="4E914291" w14:textId="77777777" w:rsidR="00FD57F2" w:rsidRPr="00D46647" w:rsidRDefault="00FD57F2" w:rsidP="00FD57F2">
            <w:pPr>
              <w:rPr>
                <w:bCs/>
                <w:iCs/>
                <w:noProof/>
                <w:sz w:val="16"/>
                <w:szCs w:val="16"/>
              </w:rPr>
            </w:pPr>
            <w:r w:rsidRPr="00D46647">
              <w:rPr>
                <w:bCs/>
                <w:iCs/>
                <w:noProof/>
                <w:sz w:val="16"/>
                <w:szCs w:val="16"/>
              </w:rPr>
              <w:t>Meilleure répartition des superficies selon les utilisations respectives pour la seconde des deux unités concernées.</w:t>
            </w:r>
          </w:p>
        </w:tc>
      </w:tr>
      <w:tr w:rsidR="00FD57F2" w:rsidRPr="00D46647" w14:paraId="6DFCC8F2" w14:textId="77777777" w:rsidTr="007E3422">
        <w:trPr>
          <w:jc w:val="center"/>
        </w:trPr>
        <w:tc>
          <w:tcPr>
            <w:tcW w:w="1667" w:type="pct"/>
          </w:tcPr>
          <w:p w14:paraId="45A2C1C9" w14:textId="77777777" w:rsidR="00FD57F2" w:rsidRPr="00D46647" w:rsidRDefault="00FD57F2" w:rsidP="00FD57F2">
            <w:pPr>
              <w:rPr>
                <w:bCs/>
                <w:iCs/>
                <w:noProof/>
                <w:sz w:val="16"/>
                <w:szCs w:val="16"/>
              </w:rPr>
            </w:pPr>
          </w:p>
        </w:tc>
        <w:tc>
          <w:tcPr>
            <w:tcW w:w="1667" w:type="pct"/>
            <w:shd w:val="clear" w:color="auto" w:fill="auto"/>
            <w:vAlign w:val="center"/>
          </w:tcPr>
          <w:p w14:paraId="0FF128D2" w14:textId="77777777" w:rsidR="00FD57F2" w:rsidRPr="00D46647" w:rsidRDefault="00FD57F2" w:rsidP="00FD57F2">
            <w:pPr>
              <w:rPr>
                <w:bCs/>
                <w:iCs/>
                <w:sz w:val="16"/>
                <w:szCs w:val="16"/>
              </w:rPr>
            </w:pPr>
            <w:r w:rsidRPr="00D46647">
              <w:rPr>
                <w:sz w:val="16"/>
              </w:rPr>
              <w:t>Réduction partielle des consommations d’énergies dans la zone concernée par les travaux dans le bâtiment AB</w:t>
            </w:r>
          </w:p>
        </w:tc>
        <w:tc>
          <w:tcPr>
            <w:tcW w:w="1666" w:type="pct"/>
          </w:tcPr>
          <w:p w14:paraId="31B7A9E0" w14:textId="77777777" w:rsidR="00FD57F2" w:rsidRPr="00D46647" w:rsidRDefault="00FD57F2" w:rsidP="00FD57F2">
            <w:pPr>
              <w:rPr>
                <w:bCs/>
                <w:iCs/>
                <w:noProof/>
                <w:sz w:val="16"/>
                <w:szCs w:val="16"/>
              </w:rPr>
            </w:pPr>
          </w:p>
        </w:tc>
      </w:tr>
      <w:tr w:rsidR="00FD57F2" w:rsidRPr="00D46647" w14:paraId="59353BB2" w14:textId="77777777" w:rsidTr="007E3422">
        <w:trPr>
          <w:jc w:val="center"/>
        </w:trPr>
        <w:tc>
          <w:tcPr>
            <w:tcW w:w="1667" w:type="pct"/>
          </w:tcPr>
          <w:p w14:paraId="15B5CC33" w14:textId="77777777" w:rsidR="00FD57F2" w:rsidRPr="00D46647" w:rsidRDefault="00FD57F2" w:rsidP="00FD57F2">
            <w:pPr>
              <w:rPr>
                <w:sz w:val="16"/>
              </w:rPr>
            </w:pPr>
          </w:p>
        </w:tc>
        <w:tc>
          <w:tcPr>
            <w:tcW w:w="1667" w:type="pct"/>
            <w:shd w:val="clear" w:color="auto" w:fill="auto"/>
            <w:vAlign w:val="center"/>
          </w:tcPr>
          <w:p w14:paraId="7A6783BC" w14:textId="77777777" w:rsidR="00FD57F2" w:rsidRPr="00D46647" w:rsidRDefault="00FD57F2" w:rsidP="00FD57F2">
            <w:pPr>
              <w:rPr>
                <w:bCs/>
                <w:iCs/>
                <w:sz w:val="16"/>
                <w:szCs w:val="16"/>
              </w:rPr>
            </w:pPr>
            <w:r w:rsidRPr="00D46647">
              <w:rPr>
                <w:sz w:val="16"/>
              </w:rPr>
              <w:t xml:space="preserve">Amélioration de l’espace de travail du personnel de l’imprimerie et de la salle des archives, </w:t>
            </w:r>
            <w:r w:rsidRPr="00D46647">
              <w:rPr>
                <w:bCs/>
                <w:iCs/>
                <w:noProof/>
                <w:sz w:val="16"/>
                <w:szCs w:val="16"/>
              </w:rPr>
              <w:t>pour l’une des deux unités concernées (imprimerie ou salle des archives)</w:t>
            </w:r>
          </w:p>
        </w:tc>
        <w:tc>
          <w:tcPr>
            <w:tcW w:w="1666" w:type="pct"/>
            <w:vAlign w:val="center"/>
          </w:tcPr>
          <w:p w14:paraId="7035C0E0" w14:textId="77777777" w:rsidR="00FD57F2" w:rsidRPr="00D46647" w:rsidRDefault="00FD57F2" w:rsidP="00FD57F2">
            <w:pPr>
              <w:rPr>
                <w:bCs/>
                <w:iCs/>
                <w:noProof/>
                <w:sz w:val="16"/>
                <w:szCs w:val="16"/>
              </w:rPr>
            </w:pPr>
            <w:r w:rsidRPr="00D46647">
              <w:rPr>
                <w:bCs/>
                <w:iCs/>
                <w:noProof/>
                <w:sz w:val="16"/>
                <w:szCs w:val="16"/>
              </w:rPr>
              <w:t>Amélioration de l’espace de travail du personnel de l’imprimerie et de la salle des archives, pour la seconde des deux unités concernées.</w:t>
            </w:r>
          </w:p>
        </w:tc>
      </w:tr>
    </w:tbl>
    <w:p w14:paraId="6A401246" w14:textId="77777777" w:rsidR="00FD57F2" w:rsidRPr="00D46647" w:rsidRDefault="00FD57F2" w:rsidP="00FD57F2">
      <w:pPr>
        <w:rPr>
          <w:sz w:val="20"/>
        </w:rPr>
      </w:pPr>
    </w:p>
    <w:p w14:paraId="3709F5E0" w14:textId="77777777" w:rsidR="00FD57F2" w:rsidRPr="00D46647" w:rsidRDefault="00FD57F2" w:rsidP="00FD57F2">
      <w:pPr>
        <w:rPr>
          <w:sz w:val="20"/>
        </w:rPr>
      </w:pPr>
    </w:p>
    <w:p w14:paraId="142A622D" w14:textId="77777777" w:rsidR="00FD57F2" w:rsidRPr="00D46647" w:rsidRDefault="00FD57F2" w:rsidP="00FD57F2">
      <w:pPr>
        <w:rPr>
          <w:sz w:val="20"/>
        </w:rPr>
      </w:pPr>
      <w:r w:rsidRPr="00D46647">
        <w:rPr>
          <w:sz w:val="20"/>
        </w:rPr>
        <w:t>UTILISATION DES RESSOURCES</w:t>
      </w:r>
      <w:r w:rsidRPr="00D46647">
        <w:rPr>
          <w:rStyle w:val="FootnoteReference"/>
          <w:rFonts w:eastAsia="SimSun" w:cs="Arial"/>
          <w:sz w:val="20"/>
        </w:rPr>
        <w:footnoteReference w:id="123"/>
      </w:r>
    </w:p>
    <w:p w14:paraId="39051CFC" w14:textId="77777777" w:rsidR="00FD57F2" w:rsidRPr="00D46647" w:rsidRDefault="00FD57F2" w:rsidP="00FD57F2">
      <w:pPr>
        <w:rPr>
          <w:sz w:val="20"/>
        </w:rPr>
      </w:pPr>
    </w:p>
    <w:p w14:paraId="1435B1B6"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w:t>
      </w:r>
    </w:p>
    <w:p w14:paraId="6AEF5580" w14:textId="77777777" w:rsidR="00FD57F2" w:rsidRPr="00D46647" w:rsidRDefault="00FD57F2" w:rsidP="00FD57F2">
      <w:pPr>
        <w:keepNext/>
        <w:keepLines/>
        <w:tabs>
          <w:tab w:val="left" w:pos="3261"/>
        </w:tabs>
        <w:autoSpaceDE w:val="0"/>
        <w:autoSpaceDN w:val="0"/>
        <w:adjustRightInd w:val="0"/>
        <w:jc w:val="center"/>
        <w:rPr>
          <w:i/>
          <w:sz w:val="18"/>
        </w:rPr>
      </w:pPr>
      <w:r w:rsidRPr="00D46647">
        <w:rPr>
          <w:i/>
          <w:sz w:val="18"/>
        </w:rPr>
        <w:t>(en francs suisses, au 31 décembre 2016)</w:t>
      </w:r>
    </w:p>
    <w:p w14:paraId="7AB00D27" w14:textId="77777777" w:rsidR="00FD57F2" w:rsidRPr="00D46647" w:rsidRDefault="00FD57F2" w:rsidP="00FD57F2">
      <w:pPr>
        <w:keepNext/>
        <w:keepLines/>
        <w:tabs>
          <w:tab w:val="left" w:pos="3261"/>
        </w:tabs>
        <w:autoSpaceDE w:val="0"/>
        <w:autoSpaceDN w:val="0"/>
        <w:adjustRightInd w:val="0"/>
        <w:jc w:val="center"/>
        <w:rPr>
          <w:i/>
          <w:iCs/>
          <w:sz w:val="18"/>
          <w:szCs w:val="18"/>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67"/>
        <w:gridCol w:w="1579"/>
        <w:gridCol w:w="1581"/>
        <w:gridCol w:w="1581"/>
        <w:gridCol w:w="1579"/>
      </w:tblGrid>
      <w:tr w:rsidR="00FD57F2" w:rsidRPr="00D46647" w14:paraId="429065D9" w14:textId="77777777" w:rsidTr="007E3422">
        <w:tc>
          <w:tcPr>
            <w:tcW w:w="1598" w:type="pct"/>
            <w:shd w:val="clear" w:color="auto" w:fill="C6D9F1"/>
            <w:vAlign w:val="center"/>
          </w:tcPr>
          <w:p w14:paraId="4EF58289"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Nom du projet</w:t>
            </w:r>
          </w:p>
        </w:tc>
        <w:tc>
          <w:tcPr>
            <w:tcW w:w="850" w:type="pct"/>
            <w:shd w:val="clear" w:color="auto" w:fill="C6D9F1"/>
            <w:vAlign w:val="center"/>
          </w:tcPr>
          <w:p w14:paraId="3B9D94DE"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1" w:type="pct"/>
            <w:shd w:val="clear" w:color="auto" w:fill="C6D9F1"/>
            <w:vAlign w:val="center"/>
          </w:tcPr>
          <w:p w14:paraId="2764CCFC"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1" w:type="pct"/>
            <w:shd w:val="clear" w:color="auto" w:fill="C6D9F1"/>
            <w:vAlign w:val="center"/>
          </w:tcPr>
          <w:p w14:paraId="6118AC32"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0" w:type="pct"/>
            <w:shd w:val="clear" w:color="auto" w:fill="C6D9F1"/>
            <w:vAlign w:val="center"/>
          </w:tcPr>
          <w:p w14:paraId="0A92F367"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0B8FE746" w14:textId="77777777" w:rsidTr="007E3422">
        <w:tc>
          <w:tcPr>
            <w:tcW w:w="1598" w:type="pct"/>
            <w:vAlign w:val="center"/>
          </w:tcPr>
          <w:p w14:paraId="38A00ED9" w14:textId="77777777" w:rsidR="00FD57F2" w:rsidRPr="00D46647" w:rsidRDefault="00FD57F2" w:rsidP="00FD57F2">
            <w:pPr>
              <w:keepNext/>
              <w:keepLines/>
              <w:autoSpaceDE w:val="0"/>
              <w:autoSpaceDN w:val="0"/>
              <w:adjustRightInd w:val="0"/>
              <w:rPr>
                <w:sz w:val="16"/>
                <w:szCs w:val="16"/>
              </w:rPr>
            </w:pPr>
            <w:r w:rsidRPr="00D46647">
              <w:rPr>
                <w:sz w:val="16"/>
              </w:rPr>
              <w:t xml:space="preserve">Bâtiment Arpad </w:t>
            </w:r>
            <w:proofErr w:type="spellStart"/>
            <w:r w:rsidRPr="00D46647">
              <w:rPr>
                <w:sz w:val="16"/>
              </w:rPr>
              <w:t>Bogsch</w:t>
            </w:r>
            <w:proofErr w:type="spellEnd"/>
            <w:r w:rsidRPr="00D46647">
              <w:rPr>
                <w:sz w:val="16"/>
              </w:rPr>
              <w:t xml:space="preserve"> – phase 1 de la rénovation du sous-sol (redimensionnement du centre informatique et rénovation de l’imprimerie)</w:t>
            </w:r>
          </w:p>
        </w:tc>
        <w:tc>
          <w:tcPr>
            <w:tcW w:w="850" w:type="pct"/>
            <w:vAlign w:val="center"/>
          </w:tcPr>
          <w:p w14:paraId="6F666C94" w14:textId="77777777" w:rsidR="00FD57F2" w:rsidRPr="00D46647" w:rsidRDefault="00FD57F2" w:rsidP="00FD57F2">
            <w:pPr>
              <w:keepNext/>
              <w:keepLines/>
              <w:autoSpaceDE w:val="0"/>
              <w:autoSpaceDN w:val="0"/>
              <w:adjustRightInd w:val="0"/>
              <w:jc w:val="center"/>
              <w:rPr>
                <w:sz w:val="16"/>
                <w:szCs w:val="16"/>
              </w:rPr>
            </w:pPr>
            <w:r w:rsidRPr="00D46647">
              <w:rPr>
                <w:sz w:val="16"/>
              </w:rPr>
              <w:t>960 000</w:t>
            </w:r>
          </w:p>
        </w:tc>
        <w:tc>
          <w:tcPr>
            <w:tcW w:w="851" w:type="pct"/>
            <w:vAlign w:val="center"/>
          </w:tcPr>
          <w:p w14:paraId="47604A20" w14:textId="77777777" w:rsidR="00FD57F2" w:rsidRPr="00D46647" w:rsidRDefault="00FD57F2" w:rsidP="00FD57F2">
            <w:pPr>
              <w:keepNext/>
              <w:keepLines/>
              <w:autoSpaceDE w:val="0"/>
              <w:autoSpaceDN w:val="0"/>
              <w:adjustRightInd w:val="0"/>
              <w:jc w:val="center"/>
              <w:rPr>
                <w:sz w:val="16"/>
                <w:highlight w:val="yellow"/>
              </w:rPr>
            </w:pPr>
            <w:r w:rsidRPr="00D46647">
              <w:rPr>
                <w:noProof/>
                <w:sz w:val="16"/>
                <w:szCs w:val="16"/>
              </w:rPr>
              <w:t>245 222</w:t>
            </w:r>
          </w:p>
        </w:tc>
        <w:tc>
          <w:tcPr>
            <w:tcW w:w="851" w:type="pct"/>
            <w:vAlign w:val="center"/>
          </w:tcPr>
          <w:p w14:paraId="540877BA"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25,5%</w:t>
            </w:r>
          </w:p>
        </w:tc>
        <w:tc>
          <w:tcPr>
            <w:tcW w:w="850" w:type="pct"/>
            <w:vAlign w:val="center"/>
          </w:tcPr>
          <w:p w14:paraId="63E60D0F"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25%</w:t>
            </w:r>
          </w:p>
        </w:tc>
      </w:tr>
    </w:tbl>
    <w:p w14:paraId="0C3B1C5D" w14:textId="77777777" w:rsidR="00FD57F2" w:rsidRPr="00D46647" w:rsidRDefault="00FD57F2" w:rsidP="00FD57F2">
      <w:pPr>
        <w:keepNext/>
        <w:keepLines/>
        <w:tabs>
          <w:tab w:val="left" w:pos="3261"/>
        </w:tabs>
        <w:autoSpaceDE w:val="0"/>
        <w:autoSpaceDN w:val="0"/>
        <w:adjustRightInd w:val="0"/>
        <w:jc w:val="center"/>
        <w:rPr>
          <w:b/>
          <w:sz w:val="20"/>
        </w:rPr>
      </w:pPr>
    </w:p>
    <w:p w14:paraId="52BBDFD2" w14:textId="77777777" w:rsidR="00FD57F2" w:rsidRPr="00D46647" w:rsidRDefault="00FD57F2" w:rsidP="00FD57F2">
      <w:pPr>
        <w:keepNext/>
        <w:keepLines/>
        <w:tabs>
          <w:tab w:val="left" w:pos="3261"/>
        </w:tabs>
        <w:autoSpaceDE w:val="0"/>
        <w:autoSpaceDN w:val="0"/>
        <w:adjustRightInd w:val="0"/>
        <w:jc w:val="center"/>
        <w:rPr>
          <w:b/>
          <w:sz w:val="20"/>
        </w:rPr>
      </w:pPr>
    </w:p>
    <w:p w14:paraId="0C86526F" w14:textId="77777777" w:rsidR="00FD57F2" w:rsidRPr="00D46647" w:rsidRDefault="00FD57F2" w:rsidP="00FD57F2">
      <w:pPr>
        <w:keepNext/>
        <w:keepLines/>
        <w:tabs>
          <w:tab w:val="left" w:pos="3261"/>
        </w:tabs>
        <w:autoSpaceDE w:val="0"/>
        <w:autoSpaceDN w:val="0"/>
        <w:adjustRightInd w:val="0"/>
        <w:jc w:val="center"/>
        <w:rPr>
          <w:b/>
          <w:sz w:val="20"/>
        </w:rPr>
      </w:pPr>
      <w:r w:rsidRPr="00D46647">
        <w:rPr>
          <w:b/>
          <w:sz w:val="20"/>
        </w:rPr>
        <w:t>Utilisation du budget du projet (par étape)</w:t>
      </w:r>
    </w:p>
    <w:p w14:paraId="18152952"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7EDEDCB7" w14:textId="77777777" w:rsidR="00FD57F2" w:rsidRPr="00D46647" w:rsidRDefault="00FD57F2" w:rsidP="00FD57F2">
      <w:pPr>
        <w:keepNext/>
        <w:autoSpaceDE w:val="0"/>
        <w:autoSpaceDN w:val="0"/>
        <w:rPr>
          <w:sz w:val="16"/>
          <w:szCs w:val="16"/>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26"/>
        <w:gridCol w:w="1591"/>
        <w:gridCol w:w="1590"/>
        <w:gridCol w:w="1590"/>
        <w:gridCol w:w="1590"/>
      </w:tblGrid>
      <w:tr w:rsidR="00FD57F2" w:rsidRPr="00D46647" w14:paraId="50C2D575" w14:textId="77777777" w:rsidTr="007E3422">
        <w:tc>
          <w:tcPr>
            <w:tcW w:w="1575" w:type="pct"/>
            <w:shd w:val="clear" w:color="auto" w:fill="C6D9F1"/>
            <w:vAlign w:val="center"/>
          </w:tcPr>
          <w:p w14:paraId="46C665F2"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Étape principale</w:t>
            </w:r>
          </w:p>
        </w:tc>
        <w:tc>
          <w:tcPr>
            <w:tcW w:w="856" w:type="pct"/>
            <w:shd w:val="clear" w:color="auto" w:fill="C6D9F1"/>
            <w:vAlign w:val="center"/>
          </w:tcPr>
          <w:p w14:paraId="4441CC5B"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6" w:type="pct"/>
            <w:shd w:val="clear" w:color="auto" w:fill="C6D9F1"/>
            <w:vAlign w:val="center"/>
          </w:tcPr>
          <w:p w14:paraId="2B4997ED"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6" w:type="pct"/>
            <w:shd w:val="clear" w:color="auto" w:fill="C6D9F1"/>
            <w:vAlign w:val="center"/>
          </w:tcPr>
          <w:p w14:paraId="415622E8"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6" w:type="pct"/>
            <w:shd w:val="clear" w:color="auto" w:fill="C6D9F1"/>
            <w:vAlign w:val="center"/>
          </w:tcPr>
          <w:p w14:paraId="208606E2"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mise en œuvre par étape</w:t>
            </w:r>
          </w:p>
        </w:tc>
      </w:tr>
      <w:tr w:rsidR="00FD57F2" w:rsidRPr="00D46647" w14:paraId="260F2ACD" w14:textId="77777777" w:rsidTr="007E3422">
        <w:tc>
          <w:tcPr>
            <w:tcW w:w="1575" w:type="pct"/>
            <w:vAlign w:val="center"/>
          </w:tcPr>
          <w:p w14:paraId="5D83BCAC" w14:textId="77777777" w:rsidR="00FD57F2" w:rsidRPr="00D46647" w:rsidRDefault="00FD57F2" w:rsidP="00FD57F2">
            <w:pPr>
              <w:keepNext/>
              <w:keepLines/>
              <w:autoSpaceDE w:val="0"/>
              <w:autoSpaceDN w:val="0"/>
              <w:adjustRightInd w:val="0"/>
              <w:rPr>
                <w:sz w:val="16"/>
                <w:szCs w:val="16"/>
              </w:rPr>
            </w:pPr>
            <w:r w:rsidRPr="00D46647">
              <w:rPr>
                <w:sz w:val="16"/>
              </w:rPr>
              <w:t xml:space="preserve">Attribution des contrats à l’architecte et aux ingénieurs </w:t>
            </w:r>
          </w:p>
        </w:tc>
        <w:tc>
          <w:tcPr>
            <w:tcW w:w="856" w:type="pct"/>
            <w:vAlign w:val="center"/>
          </w:tcPr>
          <w:p w14:paraId="21EA0427" w14:textId="77777777" w:rsidR="00FD57F2" w:rsidRPr="00D46647" w:rsidRDefault="00FD57F2" w:rsidP="00FD57F2">
            <w:pPr>
              <w:keepNext/>
              <w:keepLines/>
              <w:autoSpaceDE w:val="0"/>
              <w:autoSpaceDN w:val="0"/>
              <w:adjustRightInd w:val="0"/>
              <w:jc w:val="center"/>
              <w:rPr>
                <w:sz w:val="16"/>
                <w:szCs w:val="16"/>
              </w:rPr>
            </w:pPr>
            <w:r w:rsidRPr="00D46647">
              <w:rPr>
                <w:sz w:val="16"/>
              </w:rPr>
              <w:t>144 000</w:t>
            </w:r>
          </w:p>
        </w:tc>
        <w:tc>
          <w:tcPr>
            <w:tcW w:w="856" w:type="pct"/>
            <w:vAlign w:val="center"/>
          </w:tcPr>
          <w:p w14:paraId="29AE14B3"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62 555</w:t>
            </w:r>
          </w:p>
        </w:tc>
        <w:tc>
          <w:tcPr>
            <w:tcW w:w="856" w:type="pct"/>
            <w:vAlign w:val="center"/>
          </w:tcPr>
          <w:p w14:paraId="165CEA47"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43,4%</w:t>
            </w:r>
          </w:p>
        </w:tc>
        <w:tc>
          <w:tcPr>
            <w:tcW w:w="856" w:type="pct"/>
            <w:vAlign w:val="center"/>
          </w:tcPr>
          <w:p w14:paraId="059451B4"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100%</w:t>
            </w:r>
          </w:p>
        </w:tc>
      </w:tr>
      <w:tr w:rsidR="00FD57F2" w:rsidRPr="00D46647" w14:paraId="28F891D6" w14:textId="77777777" w:rsidTr="007E3422">
        <w:tc>
          <w:tcPr>
            <w:tcW w:w="1575" w:type="pct"/>
            <w:vAlign w:val="center"/>
          </w:tcPr>
          <w:p w14:paraId="2EE9CE18" w14:textId="77777777" w:rsidR="00FD57F2" w:rsidRPr="00D46647" w:rsidRDefault="00FD57F2" w:rsidP="00FD57F2">
            <w:pPr>
              <w:keepNext/>
              <w:keepLines/>
              <w:autoSpaceDE w:val="0"/>
              <w:autoSpaceDN w:val="0"/>
              <w:adjustRightInd w:val="0"/>
              <w:rPr>
                <w:sz w:val="16"/>
                <w:szCs w:val="16"/>
              </w:rPr>
            </w:pPr>
            <w:r w:rsidRPr="00D46647">
              <w:rPr>
                <w:sz w:val="16"/>
              </w:rPr>
              <w:t>Travaux et mise en service</w:t>
            </w:r>
          </w:p>
        </w:tc>
        <w:tc>
          <w:tcPr>
            <w:tcW w:w="856" w:type="pct"/>
            <w:vAlign w:val="center"/>
          </w:tcPr>
          <w:p w14:paraId="5A943D78" w14:textId="77777777" w:rsidR="00FD57F2" w:rsidRPr="00D46647" w:rsidRDefault="00FD57F2" w:rsidP="00FD57F2">
            <w:pPr>
              <w:keepNext/>
              <w:keepLines/>
              <w:autoSpaceDE w:val="0"/>
              <w:autoSpaceDN w:val="0"/>
              <w:adjustRightInd w:val="0"/>
              <w:jc w:val="center"/>
              <w:rPr>
                <w:sz w:val="16"/>
                <w:szCs w:val="16"/>
              </w:rPr>
            </w:pPr>
            <w:r w:rsidRPr="00D46647">
              <w:rPr>
                <w:sz w:val="16"/>
              </w:rPr>
              <w:t>816 000</w:t>
            </w:r>
          </w:p>
        </w:tc>
        <w:tc>
          <w:tcPr>
            <w:tcW w:w="856" w:type="pct"/>
            <w:vAlign w:val="center"/>
          </w:tcPr>
          <w:p w14:paraId="0406FAC4"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182 668</w:t>
            </w:r>
          </w:p>
        </w:tc>
        <w:tc>
          <w:tcPr>
            <w:tcW w:w="856" w:type="pct"/>
            <w:vAlign w:val="center"/>
          </w:tcPr>
          <w:p w14:paraId="1ACEE056"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22,4%</w:t>
            </w:r>
          </w:p>
        </w:tc>
        <w:tc>
          <w:tcPr>
            <w:tcW w:w="856" w:type="pct"/>
            <w:vAlign w:val="center"/>
          </w:tcPr>
          <w:p w14:paraId="0D810063" w14:textId="77777777" w:rsidR="00FD57F2" w:rsidRPr="00D46647" w:rsidRDefault="00FD57F2" w:rsidP="00FD57F2">
            <w:pPr>
              <w:keepNext/>
              <w:keepLines/>
              <w:autoSpaceDE w:val="0"/>
              <w:autoSpaceDN w:val="0"/>
              <w:adjustRightInd w:val="0"/>
              <w:jc w:val="center"/>
              <w:rPr>
                <w:noProof/>
                <w:sz w:val="16"/>
                <w:szCs w:val="16"/>
              </w:rPr>
            </w:pPr>
            <w:r w:rsidRPr="00D46647">
              <w:rPr>
                <w:noProof/>
                <w:sz w:val="16"/>
                <w:szCs w:val="16"/>
              </w:rPr>
              <w:t>20%</w:t>
            </w:r>
          </w:p>
        </w:tc>
      </w:tr>
      <w:tr w:rsidR="00FD57F2" w:rsidRPr="00D46647" w14:paraId="688D5594" w14:textId="77777777" w:rsidTr="007E3422">
        <w:tc>
          <w:tcPr>
            <w:tcW w:w="1575" w:type="pct"/>
            <w:shd w:val="clear" w:color="auto" w:fill="C6D9F1"/>
            <w:vAlign w:val="center"/>
          </w:tcPr>
          <w:p w14:paraId="62FF773C" w14:textId="77777777" w:rsidR="00FD57F2" w:rsidRPr="00D46647" w:rsidRDefault="00FD57F2" w:rsidP="00FD57F2">
            <w:pPr>
              <w:keepNext/>
              <w:keepLines/>
              <w:autoSpaceDE w:val="0"/>
              <w:autoSpaceDN w:val="0"/>
              <w:adjustRightInd w:val="0"/>
              <w:rPr>
                <w:b/>
                <w:sz w:val="16"/>
                <w:szCs w:val="16"/>
              </w:rPr>
            </w:pPr>
            <w:r w:rsidRPr="00D46647">
              <w:rPr>
                <w:b/>
                <w:sz w:val="16"/>
              </w:rPr>
              <w:t>Total</w:t>
            </w:r>
          </w:p>
        </w:tc>
        <w:tc>
          <w:tcPr>
            <w:tcW w:w="856" w:type="pct"/>
            <w:shd w:val="clear" w:color="auto" w:fill="C6D9F1"/>
            <w:vAlign w:val="center"/>
          </w:tcPr>
          <w:p w14:paraId="7D8E3759" w14:textId="77777777" w:rsidR="00FD57F2" w:rsidRPr="00D46647" w:rsidRDefault="00FD57F2" w:rsidP="00FD57F2">
            <w:pPr>
              <w:keepNext/>
              <w:keepLines/>
              <w:autoSpaceDE w:val="0"/>
              <w:autoSpaceDN w:val="0"/>
              <w:adjustRightInd w:val="0"/>
              <w:jc w:val="center"/>
              <w:rPr>
                <w:b/>
                <w:sz w:val="16"/>
                <w:szCs w:val="16"/>
              </w:rPr>
            </w:pPr>
            <w:r w:rsidRPr="00D46647">
              <w:rPr>
                <w:b/>
                <w:sz w:val="16"/>
              </w:rPr>
              <w:t>960 000</w:t>
            </w:r>
          </w:p>
        </w:tc>
        <w:tc>
          <w:tcPr>
            <w:tcW w:w="856" w:type="pct"/>
            <w:shd w:val="clear" w:color="auto" w:fill="C6D9F1"/>
            <w:vAlign w:val="center"/>
          </w:tcPr>
          <w:p w14:paraId="53EE4984" w14:textId="77777777" w:rsidR="00FD57F2" w:rsidRPr="00D46647" w:rsidRDefault="00FD57F2" w:rsidP="00FD57F2">
            <w:pPr>
              <w:keepNext/>
              <w:keepLines/>
              <w:autoSpaceDE w:val="0"/>
              <w:autoSpaceDN w:val="0"/>
              <w:adjustRightInd w:val="0"/>
              <w:jc w:val="center"/>
              <w:rPr>
                <w:b/>
                <w:sz w:val="16"/>
                <w:highlight w:val="yellow"/>
              </w:rPr>
            </w:pPr>
            <w:r w:rsidRPr="00D46647">
              <w:rPr>
                <w:b/>
                <w:noProof/>
                <w:sz w:val="16"/>
                <w:szCs w:val="16"/>
              </w:rPr>
              <w:t>245 222</w:t>
            </w:r>
          </w:p>
        </w:tc>
        <w:tc>
          <w:tcPr>
            <w:tcW w:w="856" w:type="pct"/>
            <w:shd w:val="clear" w:color="auto" w:fill="C6D9F1"/>
            <w:vAlign w:val="center"/>
          </w:tcPr>
          <w:p w14:paraId="77873447" w14:textId="77777777" w:rsidR="00FD57F2" w:rsidRPr="00D46647" w:rsidRDefault="00FD57F2" w:rsidP="00FD57F2">
            <w:pPr>
              <w:keepNext/>
              <w:keepLines/>
              <w:autoSpaceDE w:val="0"/>
              <w:autoSpaceDN w:val="0"/>
              <w:adjustRightInd w:val="0"/>
              <w:jc w:val="center"/>
              <w:rPr>
                <w:b/>
                <w:sz w:val="16"/>
                <w:highlight w:val="yellow"/>
              </w:rPr>
            </w:pPr>
            <w:r w:rsidRPr="00D46647">
              <w:rPr>
                <w:b/>
                <w:noProof/>
                <w:sz w:val="16"/>
                <w:szCs w:val="16"/>
              </w:rPr>
              <w:t>25,5%</w:t>
            </w:r>
          </w:p>
        </w:tc>
        <w:tc>
          <w:tcPr>
            <w:tcW w:w="856" w:type="pct"/>
            <w:shd w:val="clear" w:color="auto" w:fill="C6D9F1"/>
            <w:vAlign w:val="center"/>
          </w:tcPr>
          <w:p w14:paraId="18ED7424" w14:textId="77777777" w:rsidR="00FD57F2" w:rsidRPr="00D46647" w:rsidRDefault="00FD57F2" w:rsidP="00FD57F2">
            <w:pPr>
              <w:keepNext/>
              <w:keepLines/>
              <w:autoSpaceDE w:val="0"/>
              <w:autoSpaceDN w:val="0"/>
              <w:adjustRightInd w:val="0"/>
              <w:jc w:val="center"/>
              <w:rPr>
                <w:b/>
                <w:noProof/>
                <w:sz w:val="16"/>
                <w:szCs w:val="16"/>
              </w:rPr>
            </w:pPr>
          </w:p>
        </w:tc>
      </w:tr>
    </w:tbl>
    <w:p w14:paraId="1118FA11" w14:textId="77777777" w:rsidR="00FD57F2" w:rsidRPr="00D46647" w:rsidRDefault="00FD57F2" w:rsidP="00FD57F2">
      <w:pPr>
        <w:keepNext/>
        <w:keepLines/>
        <w:tabs>
          <w:tab w:val="left" w:pos="3261"/>
        </w:tabs>
        <w:autoSpaceDE w:val="0"/>
        <w:autoSpaceDN w:val="0"/>
        <w:adjustRightInd w:val="0"/>
        <w:rPr>
          <w:b/>
          <w:szCs w:val="22"/>
        </w:rPr>
      </w:pPr>
    </w:p>
    <w:p w14:paraId="063E15DA" w14:textId="77777777" w:rsidR="00FD57F2" w:rsidRPr="00D46647" w:rsidRDefault="00FD57F2" w:rsidP="00FD57F2">
      <w:pPr>
        <w:keepNext/>
        <w:keepLines/>
        <w:tabs>
          <w:tab w:val="left" w:pos="3261"/>
        </w:tabs>
        <w:autoSpaceDE w:val="0"/>
        <w:autoSpaceDN w:val="0"/>
        <w:adjustRightInd w:val="0"/>
        <w:jc w:val="center"/>
        <w:rPr>
          <w:b/>
          <w:szCs w:val="22"/>
        </w:rPr>
      </w:pPr>
    </w:p>
    <w:p w14:paraId="16D8FE1A" w14:textId="77777777" w:rsidR="00FD57F2" w:rsidRPr="00D46647" w:rsidRDefault="00FD57F2" w:rsidP="00FD57F2">
      <w:pPr>
        <w:keepNext/>
        <w:keepLines/>
        <w:tabs>
          <w:tab w:val="left" w:pos="3261"/>
        </w:tabs>
        <w:autoSpaceDE w:val="0"/>
        <w:autoSpaceDN w:val="0"/>
        <w:adjustRightInd w:val="0"/>
        <w:jc w:val="center"/>
        <w:rPr>
          <w:b/>
          <w:szCs w:val="22"/>
        </w:rPr>
      </w:pPr>
      <w:r w:rsidRPr="00D46647">
        <w:rPr>
          <w:b/>
        </w:rPr>
        <w:t>Utilisation du budget du projet (par catégorie de dépenses)</w:t>
      </w:r>
    </w:p>
    <w:p w14:paraId="1D98DDE0"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0C849738" w14:textId="77777777" w:rsidR="00FD57F2" w:rsidRPr="00D46647" w:rsidRDefault="00FD57F2" w:rsidP="00FD57F2">
      <w:pPr>
        <w:keepNext/>
        <w:keepLines/>
        <w:autoSpaceDE w:val="0"/>
        <w:autoSpaceDN w:val="0"/>
        <w:adjustRightInd w:val="0"/>
        <w:jc w:val="cente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444"/>
        <w:gridCol w:w="1948"/>
        <w:gridCol w:w="1948"/>
        <w:gridCol w:w="1947"/>
      </w:tblGrid>
      <w:tr w:rsidR="00FD57F2" w:rsidRPr="00D46647" w14:paraId="6A5CEB00" w14:textId="77777777" w:rsidTr="007E3422">
        <w:tc>
          <w:tcPr>
            <w:tcW w:w="1854" w:type="pct"/>
            <w:shd w:val="clear" w:color="auto" w:fill="C6D9F1"/>
            <w:vAlign w:val="center"/>
          </w:tcPr>
          <w:p w14:paraId="55AA05B3"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Catégorie de dépenses</w:t>
            </w:r>
          </w:p>
        </w:tc>
        <w:tc>
          <w:tcPr>
            <w:tcW w:w="1049" w:type="pct"/>
            <w:shd w:val="clear" w:color="auto" w:fill="C6D9F1"/>
            <w:vAlign w:val="center"/>
          </w:tcPr>
          <w:p w14:paraId="76A9935E"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1049" w:type="pct"/>
            <w:shd w:val="clear" w:color="auto" w:fill="C6D9F1"/>
            <w:vAlign w:val="center"/>
          </w:tcPr>
          <w:p w14:paraId="62877A34"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 xml:space="preserve">Dépenses effectives à ce jour </w:t>
            </w:r>
          </w:p>
        </w:tc>
        <w:tc>
          <w:tcPr>
            <w:tcW w:w="1048" w:type="pct"/>
            <w:shd w:val="clear" w:color="auto" w:fill="C6D9F1"/>
            <w:vAlign w:val="center"/>
          </w:tcPr>
          <w:p w14:paraId="0267FCE1"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r>
      <w:tr w:rsidR="00FD57F2" w:rsidRPr="00D46647" w14:paraId="74C2CB6B" w14:textId="77777777" w:rsidTr="007E3422">
        <w:tc>
          <w:tcPr>
            <w:tcW w:w="1854" w:type="pct"/>
            <w:vAlign w:val="center"/>
          </w:tcPr>
          <w:p w14:paraId="09B03FBD" w14:textId="77777777" w:rsidR="00FD57F2" w:rsidRPr="00D46647" w:rsidRDefault="00FD57F2" w:rsidP="00FD57F2">
            <w:pPr>
              <w:autoSpaceDE w:val="0"/>
              <w:autoSpaceDN w:val="0"/>
              <w:adjustRightInd w:val="0"/>
              <w:rPr>
                <w:sz w:val="16"/>
                <w:szCs w:val="16"/>
              </w:rPr>
            </w:pPr>
            <w:r w:rsidRPr="00D46647">
              <w:rPr>
                <w:sz w:val="16"/>
              </w:rPr>
              <w:t>Dépenses relatives à la construction</w:t>
            </w:r>
          </w:p>
        </w:tc>
        <w:tc>
          <w:tcPr>
            <w:tcW w:w="1049" w:type="pct"/>
            <w:vAlign w:val="center"/>
          </w:tcPr>
          <w:p w14:paraId="4989ECE2" w14:textId="77777777" w:rsidR="00FD57F2" w:rsidRPr="00D46647" w:rsidRDefault="00FD57F2" w:rsidP="00FD57F2">
            <w:pPr>
              <w:autoSpaceDE w:val="0"/>
              <w:autoSpaceDN w:val="0"/>
              <w:adjustRightInd w:val="0"/>
              <w:jc w:val="center"/>
              <w:rPr>
                <w:noProof/>
                <w:sz w:val="16"/>
                <w:szCs w:val="16"/>
              </w:rPr>
            </w:pPr>
            <w:r w:rsidRPr="00D46647">
              <w:rPr>
                <w:noProof/>
                <w:sz w:val="16"/>
                <w:szCs w:val="16"/>
              </w:rPr>
              <w:t>749 000</w:t>
            </w:r>
          </w:p>
        </w:tc>
        <w:tc>
          <w:tcPr>
            <w:tcW w:w="1049" w:type="pct"/>
          </w:tcPr>
          <w:p w14:paraId="4B516EEC" w14:textId="77777777" w:rsidR="00FD57F2" w:rsidRPr="00D46647" w:rsidRDefault="00FD57F2" w:rsidP="00FD57F2">
            <w:pPr>
              <w:autoSpaceDE w:val="0"/>
              <w:autoSpaceDN w:val="0"/>
              <w:adjustRightInd w:val="0"/>
              <w:jc w:val="center"/>
              <w:rPr>
                <w:noProof/>
                <w:sz w:val="16"/>
                <w:szCs w:val="16"/>
              </w:rPr>
            </w:pPr>
            <w:r w:rsidRPr="00D46647">
              <w:rPr>
                <w:noProof/>
                <w:sz w:val="16"/>
                <w:szCs w:val="16"/>
              </w:rPr>
              <w:t>182 668</w:t>
            </w:r>
          </w:p>
        </w:tc>
        <w:tc>
          <w:tcPr>
            <w:tcW w:w="1048" w:type="pct"/>
          </w:tcPr>
          <w:p w14:paraId="0E191EE4" w14:textId="77777777" w:rsidR="00FD57F2" w:rsidRPr="00D46647" w:rsidRDefault="00FD57F2" w:rsidP="00FD57F2">
            <w:pPr>
              <w:autoSpaceDE w:val="0"/>
              <w:autoSpaceDN w:val="0"/>
              <w:adjustRightInd w:val="0"/>
              <w:jc w:val="center"/>
              <w:rPr>
                <w:noProof/>
                <w:sz w:val="16"/>
                <w:szCs w:val="16"/>
              </w:rPr>
            </w:pPr>
            <w:r w:rsidRPr="00D46647">
              <w:rPr>
                <w:noProof/>
                <w:sz w:val="16"/>
                <w:szCs w:val="16"/>
              </w:rPr>
              <w:t>24,4%</w:t>
            </w:r>
          </w:p>
        </w:tc>
      </w:tr>
      <w:tr w:rsidR="00FD57F2" w:rsidRPr="00D46647" w14:paraId="085E876D" w14:textId="77777777" w:rsidTr="007E3422">
        <w:tc>
          <w:tcPr>
            <w:tcW w:w="1854" w:type="pct"/>
            <w:vAlign w:val="center"/>
          </w:tcPr>
          <w:p w14:paraId="7002C9B8" w14:textId="77777777" w:rsidR="00FD57F2" w:rsidRPr="00D46647" w:rsidRDefault="00FD57F2" w:rsidP="00FD57F2">
            <w:pPr>
              <w:autoSpaceDE w:val="0"/>
              <w:autoSpaceDN w:val="0"/>
              <w:adjustRightInd w:val="0"/>
              <w:rPr>
                <w:sz w:val="16"/>
                <w:szCs w:val="16"/>
              </w:rPr>
            </w:pPr>
            <w:r w:rsidRPr="00D46647">
              <w:rPr>
                <w:sz w:val="16"/>
              </w:rPr>
              <w:t>Honoraires</w:t>
            </w:r>
          </w:p>
        </w:tc>
        <w:tc>
          <w:tcPr>
            <w:tcW w:w="1049" w:type="pct"/>
            <w:vAlign w:val="center"/>
          </w:tcPr>
          <w:p w14:paraId="36018FCE" w14:textId="77777777" w:rsidR="00FD57F2" w:rsidRPr="00D46647" w:rsidRDefault="00FD57F2" w:rsidP="00FD57F2">
            <w:pPr>
              <w:autoSpaceDE w:val="0"/>
              <w:autoSpaceDN w:val="0"/>
              <w:adjustRightInd w:val="0"/>
              <w:jc w:val="center"/>
              <w:rPr>
                <w:noProof/>
                <w:sz w:val="16"/>
                <w:szCs w:val="16"/>
              </w:rPr>
            </w:pPr>
            <w:r w:rsidRPr="00D46647">
              <w:rPr>
                <w:noProof/>
                <w:sz w:val="16"/>
                <w:szCs w:val="16"/>
              </w:rPr>
              <w:t>144 000</w:t>
            </w:r>
          </w:p>
        </w:tc>
        <w:tc>
          <w:tcPr>
            <w:tcW w:w="1049" w:type="pct"/>
            <w:vAlign w:val="center"/>
          </w:tcPr>
          <w:p w14:paraId="74F6A454" w14:textId="77777777" w:rsidR="00FD57F2" w:rsidRPr="00D46647" w:rsidRDefault="00FD57F2" w:rsidP="00FD57F2">
            <w:pPr>
              <w:jc w:val="center"/>
              <w:rPr>
                <w:noProof/>
                <w:sz w:val="16"/>
                <w:szCs w:val="16"/>
              </w:rPr>
            </w:pPr>
            <w:r w:rsidRPr="00D46647">
              <w:rPr>
                <w:noProof/>
                <w:sz w:val="16"/>
                <w:szCs w:val="16"/>
              </w:rPr>
              <w:t>62 555</w:t>
            </w:r>
          </w:p>
        </w:tc>
        <w:tc>
          <w:tcPr>
            <w:tcW w:w="1048" w:type="pct"/>
            <w:vAlign w:val="center"/>
          </w:tcPr>
          <w:p w14:paraId="350B2A32" w14:textId="77777777" w:rsidR="00FD57F2" w:rsidRPr="00D46647" w:rsidRDefault="00FD57F2" w:rsidP="00FD57F2">
            <w:pPr>
              <w:jc w:val="center"/>
              <w:rPr>
                <w:noProof/>
                <w:sz w:val="16"/>
                <w:szCs w:val="16"/>
              </w:rPr>
            </w:pPr>
            <w:r w:rsidRPr="00D46647">
              <w:rPr>
                <w:noProof/>
                <w:sz w:val="16"/>
                <w:szCs w:val="16"/>
              </w:rPr>
              <w:t>43,4%</w:t>
            </w:r>
          </w:p>
        </w:tc>
      </w:tr>
      <w:tr w:rsidR="00FD57F2" w:rsidRPr="00D46647" w14:paraId="60A67322" w14:textId="77777777" w:rsidTr="007E3422">
        <w:tc>
          <w:tcPr>
            <w:tcW w:w="1854" w:type="pct"/>
            <w:vAlign w:val="center"/>
          </w:tcPr>
          <w:p w14:paraId="2D7E0A1C" w14:textId="77777777" w:rsidR="00FD57F2" w:rsidRPr="00D46647" w:rsidRDefault="00FD57F2" w:rsidP="00FD57F2">
            <w:pPr>
              <w:autoSpaceDE w:val="0"/>
              <w:autoSpaceDN w:val="0"/>
              <w:adjustRightInd w:val="0"/>
              <w:rPr>
                <w:sz w:val="16"/>
                <w:szCs w:val="16"/>
              </w:rPr>
            </w:pPr>
            <w:r w:rsidRPr="00D46647">
              <w:rPr>
                <w:sz w:val="16"/>
              </w:rPr>
              <w:t>Divers et imprévus</w:t>
            </w:r>
          </w:p>
        </w:tc>
        <w:tc>
          <w:tcPr>
            <w:tcW w:w="1049" w:type="pct"/>
            <w:vAlign w:val="center"/>
          </w:tcPr>
          <w:p w14:paraId="57569FC6" w14:textId="77777777" w:rsidR="00FD57F2" w:rsidRPr="00D46647" w:rsidRDefault="00FD57F2" w:rsidP="00FD57F2">
            <w:pPr>
              <w:autoSpaceDE w:val="0"/>
              <w:autoSpaceDN w:val="0"/>
              <w:adjustRightInd w:val="0"/>
              <w:jc w:val="center"/>
              <w:rPr>
                <w:noProof/>
                <w:sz w:val="16"/>
                <w:szCs w:val="16"/>
              </w:rPr>
            </w:pPr>
            <w:r w:rsidRPr="00D46647">
              <w:rPr>
                <w:noProof/>
                <w:sz w:val="16"/>
                <w:szCs w:val="16"/>
              </w:rPr>
              <w:t>67 000</w:t>
            </w:r>
          </w:p>
        </w:tc>
        <w:tc>
          <w:tcPr>
            <w:tcW w:w="1049" w:type="pct"/>
            <w:vAlign w:val="center"/>
          </w:tcPr>
          <w:p w14:paraId="313C5356" w14:textId="77777777" w:rsidR="00FD57F2" w:rsidRPr="00D46647" w:rsidRDefault="00FD57F2" w:rsidP="00FD57F2">
            <w:pPr>
              <w:jc w:val="center"/>
              <w:rPr>
                <w:noProof/>
                <w:sz w:val="16"/>
                <w:szCs w:val="16"/>
              </w:rPr>
            </w:pPr>
            <w:r w:rsidRPr="00D46647">
              <w:rPr>
                <w:noProof/>
                <w:sz w:val="16"/>
                <w:szCs w:val="16"/>
              </w:rPr>
              <w:t>–</w:t>
            </w:r>
          </w:p>
        </w:tc>
        <w:tc>
          <w:tcPr>
            <w:tcW w:w="1048" w:type="pct"/>
            <w:vAlign w:val="center"/>
          </w:tcPr>
          <w:p w14:paraId="7255CD00" w14:textId="77777777" w:rsidR="00FD57F2" w:rsidRPr="00D46647" w:rsidRDefault="00FD57F2" w:rsidP="00FD57F2">
            <w:pPr>
              <w:jc w:val="center"/>
              <w:rPr>
                <w:noProof/>
                <w:sz w:val="16"/>
                <w:szCs w:val="16"/>
              </w:rPr>
            </w:pPr>
            <w:r w:rsidRPr="00D46647">
              <w:rPr>
                <w:noProof/>
                <w:sz w:val="16"/>
                <w:szCs w:val="16"/>
              </w:rPr>
              <w:t>–</w:t>
            </w:r>
          </w:p>
        </w:tc>
      </w:tr>
      <w:tr w:rsidR="00FD57F2" w:rsidRPr="00D46647" w14:paraId="45792EB9" w14:textId="77777777" w:rsidTr="007E3422">
        <w:tc>
          <w:tcPr>
            <w:tcW w:w="1854" w:type="pct"/>
            <w:shd w:val="clear" w:color="auto" w:fill="C6D9F1"/>
            <w:vAlign w:val="center"/>
          </w:tcPr>
          <w:p w14:paraId="6C9BBC09" w14:textId="77777777" w:rsidR="00FD57F2" w:rsidRPr="00D46647" w:rsidRDefault="00FD57F2" w:rsidP="00FD57F2">
            <w:pPr>
              <w:autoSpaceDE w:val="0"/>
              <w:autoSpaceDN w:val="0"/>
              <w:adjustRightInd w:val="0"/>
              <w:rPr>
                <w:b/>
                <w:sz w:val="16"/>
                <w:szCs w:val="16"/>
              </w:rPr>
            </w:pPr>
            <w:r w:rsidRPr="00D46647">
              <w:rPr>
                <w:b/>
                <w:sz w:val="16"/>
              </w:rPr>
              <w:t>Total</w:t>
            </w:r>
          </w:p>
        </w:tc>
        <w:tc>
          <w:tcPr>
            <w:tcW w:w="1049" w:type="pct"/>
            <w:shd w:val="clear" w:color="auto" w:fill="C6D9F1"/>
            <w:vAlign w:val="center"/>
          </w:tcPr>
          <w:p w14:paraId="2D89998F" w14:textId="77777777" w:rsidR="00FD57F2" w:rsidRPr="00D46647" w:rsidRDefault="00FD57F2" w:rsidP="00FD57F2">
            <w:pPr>
              <w:autoSpaceDE w:val="0"/>
              <w:autoSpaceDN w:val="0"/>
              <w:adjustRightInd w:val="0"/>
              <w:jc w:val="center"/>
              <w:rPr>
                <w:b/>
                <w:noProof/>
                <w:sz w:val="16"/>
                <w:szCs w:val="16"/>
              </w:rPr>
            </w:pPr>
            <w:r w:rsidRPr="00D46647">
              <w:rPr>
                <w:b/>
                <w:noProof/>
                <w:sz w:val="16"/>
                <w:szCs w:val="16"/>
              </w:rPr>
              <w:t>960 000</w:t>
            </w:r>
          </w:p>
        </w:tc>
        <w:tc>
          <w:tcPr>
            <w:tcW w:w="1049" w:type="pct"/>
            <w:shd w:val="clear" w:color="auto" w:fill="C6D9F1"/>
          </w:tcPr>
          <w:p w14:paraId="12D4D932" w14:textId="77777777" w:rsidR="00FD57F2" w:rsidRPr="00D46647" w:rsidRDefault="00FD57F2" w:rsidP="00FD57F2">
            <w:pPr>
              <w:autoSpaceDE w:val="0"/>
              <w:autoSpaceDN w:val="0"/>
              <w:adjustRightInd w:val="0"/>
              <w:jc w:val="center"/>
              <w:rPr>
                <w:b/>
                <w:sz w:val="16"/>
                <w:highlight w:val="yellow"/>
              </w:rPr>
            </w:pPr>
            <w:r w:rsidRPr="00D46647">
              <w:rPr>
                <w:b/>
                <w:noProof/>
                <w:sz w:val="16"/>
                <w:szCs w:val="16"/>
              </w:rPr>
              <w:t>245 222</w:t>
            </w:r>
          </w:p>
        </w:tc>
        <w:tc>
          <w:tcPr>
            <w:tcW w:w="1048" w:type="pct"/>
            <w:shd w:val="clear" w:color="auto" w:fill="C6D9F1"/>
          </w:tcPr>
          <w:p w14:paraId="0A9D0944" w14:textId="77777777" w:rsidR="00FD57F2" w:rsidRPr="00D46647" w:rsidRDefault="00FD57F2" w:rsidP="00FD57F2">
            <w:pPr>
              <w:autoSpaceDE w:val="0"/>
              <w:autoSpaceDN w:val="0"/>
              <w:adjustRightInd w:val="0"/>
              <w:jc w:val="center"/>
              <w:rPr>
                <w:b/>
                <w:sz w:val="16"/>
                <w:highlight w:val="yellow"/>
              </w:rPr>
            </w:pPr>
            <w:r w:rsidRPr="00D46647">
              <w:rPr>
                <w:b/>
                <w:noProof/>
                <w:sz w:val="16"/>
                <w:szCs w:val="16"/>
              </w:rPr>
              <w:t>25,5%</w:t>
            </w:r>
          </w:p>
        </w:tc>
      </w:tr>
    </w:tbl>
    <w:p w14:paraId="550251D0" w14:textId="77777777" w:rsidR="00FD57F2" w:rsidRPr="00D46647" w:rsidRDefault="00FD57F2" w:rsidP="00FD57F2">
      <w:pPr>
        <w:rPr>
          <w:sz w:val="20"/>
          <w:szCs w:val="22"/>
        </w:rPr>
      </w:pPr>
    </w:p>
    <w:p w14:paraId="66B02880" w14:textId="77777777" w:rsidR="00FD57F2" w:rsidRPr="00D46647" w:rsidRDefault="00FD57F2" w:rsidP="00FD57F2">
      <w:pPr>
        <w:keepNext/>
        <w:rPr>
          <w:sz w:val="20"/>
        </w:rPr>
      </w:pPr>
      <w:r w:rsidRPr="00D46647">
        <w:rPr>
          <w:sz w:val="20"/>
        </w:rPr>
        <w:t>RISQUES ET STRATÉGIES D’ATTÉNUATION</w:t>
      </w:r>
    </w:p>
    <w:p w14:paraId="0F0EB090" w14:textId="77777777" w:rsidR="00FD57F2" w:rsidRPr="00D46647" w:rsidRDefault="00FD57F2" w:rsidP="00FD57F2">
      <w:pPr>
        <w:keepNext/>
        <w:rPr>
          <w:sz w:val="20"/>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7"/>
        <w:gridCol w:w="3096"/>
        <w:gridCol w:w="3094"/>
      </w:tblGrid>
      <w:tr w:rsidR="00FD57F2" w:rsidRPr="00D46647" w14:paraId="47D4E765" w14:textId="77777777" w:rsidTr="007E3422">
        <w:trPr>
          <w:tblHeader/>
          <w:jc w:val="center"/>
        </w:trPr>
        <w:tc>
          <w:tcPr>
            <w:tcW w:w="1667" w:type="pct"/>
            <w:shd w:val="clear" w:color="auto" w:fill="C6D9F1"/>
            <w:vAlign w:val="center"/>
          </w:tcPr>
          <w:p w14:paraId="419833AB" w14:textId="77777777" w:rsidR="00FD57F2" w:rsidRPr="00D46647" w:rsidRDefault="00FD57F2" w:rsidP="00FD57F2">
            <w:pPr>
              <w:autoSpaceDE w:val="0"/>
              <w:autoSpaceDN w:val="0"/>
              <w:adjustRightInd w:val="0"/>
              <w:jc w:val="center"/>
              <w:rPr>
                <w:b/>
                <w:bCs/>
                <w:sz w:val="16"/>
                <w:szCs w:val="16"/>
              </w:rPr>
            </w:pPr>
            <w:r w:rsidRPr="00D46647">
              <w:rPr>
                <w:b/>
                <w:sz w:val="16"/>
              </w:rPr>
              <w:t>Risque/Description du risque</w:t>
            </w:r>
          </w:p>
        </w:tc>
        <w:tc>
          <w:tcPr>
            <w:tcW w:w="1667" w:type="pct"/>
            <w:shd w:val="clear" w:color="auto" w:fill="C6D9F1"/>
            <w:vAlign w:val="center"/>
          </w:tcPr>
          <w:p w14:paraId="0702F92C" w14:textId="77777777" w:rsidR="00FD57F2" w:rsidRPr="00D46647" w:rsidRDefault="00FD57F2" w:rsidP="00FD57F2">
            <w:pPr>
              <w:autoSpaceDE w:val="0"/>
              <w:autoSpaceDN w:val="0"/>
              <w:adjustRightInd w:val="0"/>
              <w:jc w:val="center"/>
              <w:rPr>
                <w:b/>
                <w:bCs/>
                <w:sz w:val="16"/>
                <w:szCs w:val="16"/>
              </w:rPr>
            </w:pPr>
            <w:r w:rsidRPr="00D46647">
              <w:rPr>
                <w:b/>
                <w:sz w:val="16"/>
              </w:rPr>
              <w:t>Atténuation des risques</w:t>
            </w:r>
          </w:p>
        </w:tc>
        <w:tc>
          <w:tcPr>
            <w:tcW w:w="1666" w:type="pct"/>
            <w:shd w:val="clear" w:color="auto" w:fill="C6D9F1"/>
            <w:vAlign w:val="center"/>
          </w:tcPr>
          <w:p w14:paraId="181DBC7E" w14:textId="77777777" w:rsidR="00FD57F2" w:rsidRPr="00D46647" w:rsidRDefault="00FD57F2" w:rsidP="00FD57F2">
            <w:pPr>
              <w:autoSpaceDE w:val="0"/>
              <w:autoSpaceDN w:val="0"/>
              <w:adjustRightInd w:val="0"/>
              <w:jc w:val="center"/>
              <w:rPr>
                <w:b/>
                <w:bCs/>
                <w:sz w:val="16"/>
                <w:szCs w:val="16"/>
              </w:rPr>
            </w:pPr>
            <w:r w:rsidRPr="00D46647">
              <w:rPr>
                <w:b/>
                <w:bCs/>
                <w:sz w:val="16"/>
                <w:szCs w:val="16"/>
              </w:rPr>
              <w:t>Observation</w:t>
            </w:r>
          </w:p>
        </w:tc>
      </w:tr>
      <w:tr w:rsidR="00FD57F2" w:rsidRPr="00D46647" w14:paraId="1986942A" w14:textId="77777777" w:rsidTr="007E3422">
        <w:trPr>
          <w:jc w:val="center"/>
        </w:trPr>
        <w:tc>
          <w:tcPr>
            <w:tcW w:w="1667" w:type="pct"/>
            <w:shd w:val="clear" w:color="auto" w:fill="auto"/>
          </w:tcPr>
          <w:p w14:paraId="4DBDDB51" w14:textId="77777777" w:rsidR="00FD57F2" w:rsidRPr="00D46647" w:rsidRDefault="00FD57F2" w:rsidP="00FD57F2">
            <w:pPr>
              <w:autoSpaceDE w:val="0"/>
              <w:autoSpaceDN w:val="0"/>
              <w:adjustRightInd w:val="0"/>
              <w:rPr>
                <w:noProof/>
                <w:sz w:val="16"/>
                <w:szCs w:val="16"/>
                <w:highlight w:val="yellow"/>
              </w:rPr>
            </w:pPr>
            <w:r w:rsidRPr="00D46647">
              <w:rPr>
                <w:noProof/>
                <w:sz w:val="16"/>
                <w:szCs w:val="16"/>
              </w:rPr>
              <w:t>Retard dans l’achèvement des travaux dû à un problème technique lors du démontage des installations existantes.</w:t>
            </w:r>
          </w:p>
        </w:tc>
        <w:tc>
          <w:tcPr>
            <w:tcW w:w="1667" w:type="pct"/>
            <w:shd w:val="clear" w:color="auto" w:fill="auto"/>
          </w:tcPr>
          <w:p w14:paraId="07939329" w14:textId="77777777" w:rsidR="00FD57F2" w:rsidRPr="00D46647" w:rsidRDefault="00FD57F2" w:rsidP="00FD57F2">
            <w:pPr>
              <w:autoSpaceDE w:val="0"/>
              <w:autoSpaceDN w:val="0"/>
              <w:adjustRightInd w:val="0"/>
              <w:rPr>
                <w:noProof/>
                <w:sz w:val="16"/>
                <w:szCs w:val="16"/>
              </w:rPr>
            </w:pPr>
            <w:r w:rsidRPr="00D46647">
              <w:rPr>
                <w:noProof/>
                <w:sz w:val="16"/>
                <w:szCs w:val="16"/>
              </w:rPr>
              <w:t>Réalisation des réparations éventuelles et réactualisation du calendrier des travaux si nécessaire.</w:t>
            </w:r>
          </w:p>
        </w:tc>
        <w:tc>
          <w:tcPr>
            <w:tcW w:w="1666" w:type="pct"/>
            <w:shd w:val="clear" w:color="auto" w:fill="auto"/>
          </w:tcPr>
          <w:p w14:paraId="4381527A" w14:textId="77777777" w:rsidR="00FD57F2" w:rsidRPr="00D46647" w:rsidRDefault="00FD57F2" w:rsidP="00FD57F2">
            <w:pPr>
              <w:autoSpaceDE w:val="0"/>
              <w:autoSpaceDN w:val="0"/>
              <w:adjustRightInd w:val="0"/>
              <w:rPr>
                <w:noProof/>
                <w:sz w:val="16"/>
                <w:szCs w:val="16"/>
              </w:rPr>
            </w:pPr>
            <w:r w:rsidRPr="00D46647">
              <w:rPr>
                <w:noProof/>
                <w:sz w:val="16"/>
                <w:szCs w:val="16"/>
              </w:rPr>
              <w:t>Le risque n’existe plus en ce qui concerne le démontage des installations dans la partie de l’ancien centre informatique.</w:t>
            </w:r>
          </w:p>
          <w:p w14:paraId="5345F034" w14:textId="77777777" w:rsidR="00FD57F2" w:rsidRPr="00D46647" w:rsidRDefault="00FD57F2" w:rsidP="00FD57F2">
            <w:pPr>
              <w:autoSpaceDE w:val="0"/>
              <w:autoSpaceDN w:val="0"/>
              <w:adjustRightInd w:val="0"/>
              <w:rPr>
                <w:noProof/>
                <w:sz w:val="16"/>
                <w:szCs w:val="16"/>
              </w:rPr>
            </w:pPr>
          </w:p>
          <w:p w14:paraId="3D1CEB95" w14:textId="77777777" w:rsidR="00FD57F2" w:rsidRPr="00D46647" w:rsidRDefault="00FD57F2" w:rsidP="00FD57F2">
            <w:pPr>
              <w:autoSpaceDE w:val="0"/>
              <w:autoSpaceDN w:val="0"/>
              <w:adjustRightInd w:val="0"/>
              <w:rPr>
                <w:noProof/>
                <w:sz w:val="16"/>
                <w:szCs w:val="16"/>
              </w:rPr>
            </w:pPr>
            <w:r w:rsidRPr="00D46647">
              <w:rPr>
                <w:noProof/>
                <w:sz w:val="16"/>
                <w:szCs w:val="16"/>
              </w:rPr>
              <w:t>Le risque existe toujours en ce qui concerne le démontage de l’imprimerie actuellement en service qui aura lieu en 2017.</w:t>
            </w:r>
          </w:p>
        </w:tc>
      </w:tr>
      <w:tr w:rsidR="00FD57F2" w:rsidRPr="00D46647" w14:paraId="7135F096" w14:textId="77777777" w:rsidTr="007E3422">
        <w:trPr>
          <w:jc w:val="center"/>
        </w:trPr>
        <w:tc>
          <w:tcPr>
            <w:tcW w:w="1667" w:type="pct"/>
            <w:shd w:val="clear" w:color="auto" w:fill="auto"/>
          </w:tcPr>
          <w:p w14:paraId="5AEECB59" w14:textId="713D8A76" w:rsidR="00FD57F2" w:rsidRPr="00D46647" w:rsidRDefault="00FD57F2" w:rsidP="00FD57F2">
            <w:pPr>
              <w:autoSpaceDE w:val="0"/>
              <w:autoSpaceDN w:val="0"/>
              <w:adjustRightInd w:val="0"/>
              <w:rPr>
                <w:sz w:val="16"/>
                <w:szCs w:val="16"/>
              </w:rPr>
            </w:pPr>
            <w:r w:rsidRPr="00D46647">
              <w:rPr>
                <w:sz w:val="16"/>
                <w:szCs w:val="16"/>
              </w:rPr>
              <w:t>Risque financier résultant du coût de déplacement temporaire partiel du personnel de l’imprimerie et de la salle des archives.</w:t>
            </w:r>
          </w:p>
        </w:tc>
        <w:tc>
          <w:tcPr>
            <w:tcW w:w="1667" w:type="pct"/>
            <w:shd w:val="clear" w:color="auto" w:fill="auto"/>
          </w:tcPr>
          <w:p w14:paraId="15FC0919" w14:textId="77777777" w:rsidR="00FD57F2" w:rsidRPr="00D46647" w:rsidRDefault="00FD57F2" w:rsidP="00FD57F2">
            <w:pPr>
              <w:autoSpaceDE w:val="0"/>
              <w:autoSpaceDN w:val="0"/>
              <w:adjustRightInd w:val="0"/>
              <w:rPr>
                <w:sz w:val="16"/>
                <w:szCs w:val="16"/>
              </w:rPr>
            </w:pPr>
            <w:r w:rsidRPr="00D46647">
              <w:rPr>
                <w:sz w:val="16"/>
                <w:szCs w:val="16"/>
              </w:rPr>
              <w:t>Utilisation de la disposition “divers et imprévus” dans le budget approuvé.</w:t>
            </w:r>
          </w:p>
        </w:tc>
        <w:tc>
          <w:tcPr>
            <w:tcW w:w="1666" w:type="pct"/>
            <w:shd w:val="clear" w:color="auto" w:fill="auto"/>
          </w:tcPr>
          <w:p w14:paraId="00F5CFEA" w14:textId="77777777" w:rsidR="00FD57F2" w:rsidRPr="00D46647" w:rsidRDefault="00FD57F2" w:rsidP="00FD57F2">
            <w:pPr>
              <w:autoSpaceDE w:val="0"/>
              <w:autoSpaceDN w:val="0"/>
              <w:adjustRightInd w:val="0"/>
              <w:rPr>
                <w:sz w:val="16"/>
                <w:szCs w:val="16"/>
              </w:rPr>
            </w:pPr>
          </w:p>
        </w:tc>
      </w:tr>
      <w:tr w:rsidR="00FD57F2" w:rsidRPr="00D46647" w14:paraId="399D402F" w14:textId="77777777" w:rsidTr="007E3422">
        <w:trPr>
          <w:jc w:val="center"/>
        </w:trPr>
        <w:tc>
          <w:tcPr>
            <w:tcW w:w="1667" w:type="pct"/>
            <w:shd w:val="clear" w:color="auto" w:fill="auto"/>
          </w:tcPr>
          <w:p w14:paraId="3D5BAD9E" w14:textId="60F5B4E5" w:rsidR="00FD57F2" w:rsidRPr="00D46647" w:rsidRDefault="00164A7F" w:rsidP="00FD57F2">
            <w:pPr>
              <w:autoSpaceDE w:val="0"/>
              <w:autoSpaceDN w:val="0"/>
              <w:adjustRightInd w:val="0"/>
              <w:rPr>
                <w:noProof/>
                <w:sz w:val="16"/>
                <w:szCs w:val="16"/>
              </w:rPr>
            </w:pPr>
            <w:r>
              <w:rPr>
                <w:noProof/>
                <w:lang w:val="en-US"/>
              </w:rPr>
              <w:drawing>
                <wp:anchor distT="0" distB="0" distL="114300" distR="114300" simplePos="0" relativeHeight="251675648" behindDoc="0" locked="0" layoutInCell="1" allowOverlap="1" wp14:anchorId="041ECEA5" wp14:editId="4D29A1E9">
                  <wp:simplePos x="0" y="0"/>
                  <wp:positionH relativeFrom="column">
                    <wp:posOffset>-471805</wp:posOffset>
                  </wp:positionH>
                  <wp:positionV relativeFrom="paragraph">
                    <wp:posOffset>-17145</wp:posOffset>
                  </wp:positionV>
                  <wp:extent cx="291465" cy="285115"/>
                  <wp:effectExtent l="0" t="0" r="0" b="63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1465" cy="285115"/>
                          </a:xfrm>
                          <a:prstGeom prst="rect">
                            <a:avLst/>
                          </a:prstGeom>
                        </pic:spPr>
                      </pic:pic>
                    </a:graphicData>
                  </a:graphic>
                  <wp14:sizeRelH relativeFrom="page">
                    <wp14:pctWidth>0</wp14:pctWidth>
                  </wp14:sizeRelH>
                  <wp14:sizeRelV relativeFrom="page">
                    <wp14:pctHeight>0</wp14:pctHeight>
                  </wp14:sizeRelV>
                </wp:anchor>
              </w:drawing>
            </w:r>
            <w:r w:rsidR="00FD57F2" w:rsidRPr="00D46647">
              <w:rPr>
                <w:noProof/>
                <w:sz w:val="16"/>
                <w:szCs w:val="16"/>
              </w:rPr>
              <w:t>Retard de démarrage des travaux en raison de changements de décision en interne quant au choix entre une future imprimerie et les deux ateliers d’impression existants.</w:t>
            </w:r>
          </w:p>
        </w:tc>
        <w:tc>
          <w:tcPr>
            <w:tcW w:w="1667" w:type="pct"/>
            <w:shd w:val="clear" w:color="auto" w:fill="auto"/>
          </w:tcPr>
          <w:p w14:paraId="012066D6" w14:textId="77777777" w:rsidR="00FD57F2" w:rsidRPr="00D46647" w:rsidRDefault="00FD57F2" w:rsidP="00FD57F2">
            <w:pPr>
              <w:autoSpaceDE w:val="0"/>
              <w:autoSpaceDN w:val="0"/>
              <w:adjustRightInd w:val="0"/>
              <w:rPr>
                <w:noProof/>
                <w:sz w:val="16"/>
                <w:szCs w:val="16"/>
              </w:rPr>
            </w:pPr>
            <w:r w:rsidRPr="00D46647">
              <w:rPr>
                <w:noProof/>
                <w:sz w:val="16"/>
                <w:szCs w:val="16"/>
              </w:rPr>
              <w:t>Préparation à l’adaptation des cahiers des charges, l’objectif étant qu’une seule imprimerie ait la capacité d’absorber la même charge de travail que les deux imprimeries actuellement en service.</w:t>
            </w:r>
          </w:p>
        </w:tc>
        <w:tc>
          <w:tcPr>
            <w:tcW w:w="1666" w:type="pct"/>
            <w:shd w:val="clear" w:color="auto" w:fill="auto"/>
          </w:tcPr>
          <w:p w14:paraId="5315CA73" w14:textId="77777777" w:rsidR="00FD57F2" w:rsidRPr="00D46647" w:rsidRDefault="00FD57F2" w:rsidP="00FD57F2">
            <w:pPr>
              <w:autoSpaceDE w:val="0"/>
              <w:autoSpaceDN w:val="0"/>
              <w:adjustRightInd w:val="0"/>
              <w:rPr>
                <w:noProof/>
                <w:sz w:val="16"/>
                <w:szCs w:val="16"/>
              </w:rPr>
            </w:pPr>
            <w:r w:rsidRPr="00D46647">
              <w:rPr>
                <w:noProof/>
                <w:sz w:val="16"/>
                <w:szCs w:val="16"/>
              </w:rPr>
              <w:t>Le démarrage des travaux a effectivement pris du retard fin 2016, ce qui a entraîné de nouveaux retards de mise en œuvre du projet.  Le calendrier du projet a donc été modifié.</w:t>
            </w:r>
          </w:p>
          <w:p w14:paraId="06048C27" w14:textId="77777777" w:rsidR="00FD57F2" w:rsidRPr="00D46647" w:rsidRDefault="00FD57F2" w:rsidP="00FD57F2">
            <w:pPr>
              <w:autoSpaceDE w:val="0"/>
              <w:autoSpaceDN w:val="0"/>
              <w:adjustRightInd w:val="0"/>
              <w:rPr>
                <w:noProof/>
                <w:sz w:val="16"/>
                <w:szCs w:val="16"/>
              </w:rPr>
            </w:pPr>
          </w:p>
          <w:p w14:paraId="77816219" w14:textId="77777777" w:rsidR="00FD57F2" w:rsidRPr="00D46647" w:rsidRDefault="00FD57F2" w:rsidP="00FD57F2">
            <w:pPr>
              <w:autoSpaceDE w:val="0"/>
              <w:autoSpaceDN w:val="0"/>
              <w:adjustRightInd w:val="0"/>
              <w:rPr>
                <w:noProof/>
                <w:sz w:val="16"/>
                <w:szCs w:val="16"/>
              </w:rPr>
            </w:pPr>
            <w:r w:rsidRPr="00D46647">
              <w:rPr>
                <w:i/>
                <w:sz w:val="16"/>
                <w:szCs w:val="16"/>
              </w:rPr>
              <w:t>Ce risque n’existe plus.</w:t>
            </w:r>
          </w:p>
        </w:tc>
      </w:tr>
    </w:tbl>
    <w:p w14:paraId="60B42284" w14:textId="77777777" w:rsidR="00FD57F2" w:rsidRPr="00D46647" w:rsidRDefault="00FD57F2" w:rsidP="00FD57F2">
      <w:pPr>
        <w:rPr>
          <w:sz w:val="20"/>
        </w:rPr>
      </w:pPr>
    </w:p>
    <w:p w14:paraId="799CFAD1" w14:textId="77777777" w:rsidR="00FD57F2" w:rsidRPr="00D46647" w:rsidRDefault="00FD57F2" w:rsidP="00FD57F2">
      <w:pPr>
        <w:rPr>
          <w:sz w:val="20"/>
        </w:rPr>
      </w:pPr>
    </w:p>
    <w:p w14:paraId="164F0E1A" w14:textId="77777777" w:rsidR="00FD57F2" w:rsidRPr="00D46647" w:rsidRDefault="00FD57F2" w:rsidP="00FD57F2">
      <w:pPr>
        <w:rPr>
          <w:sz w:val="20"/>
        </w:rPr>
      </w:pPr>
      <w:r w:rsidRPr="00D46647">
        <w:rPr>
          <w:sz w:val="20"/>
        </w:rPr>
        <w:t>CALENDRIER DU PROJET PAR ÉTAPE</w:t>
      </w:r>
    </w:p>
    <w:p w14:paraId="71DCBDC1" w14:textId="77777777" w:rsidR="00FD57F2" w:rsidRPr="00D46647" w:rsidRDefault="00FD57F2" w:rsidP="00FD57F2">
      <w:pPr>
        <w:autoSpaceDE w:val="0"/>
        <w:autoSpaceDN w:val="0"/>
        <w:jc w:val="both"/>
        <w:rPr>
          <w:sz w:val="20"/>
        </w:rPr>
      </w:pPr>
    </w:p>
    <w:tbl>
      <w:tblPr>
        <w:tblW w:w="5052"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585"/>
        <w:gridCol w:w="431"/>
        <w:gridCol w:w="432"/>
        <w:gridCol w:w="433"/>
        <w:gridCol w:w="433"/>
        <w:gridCol w:w="432"/>
        <w:gridCol w:w="431"/>
        <w:gridCol w:w="432"/>
        <w:gridCol w:w="431"/>
        <w:gridCol w:w="432"/>
        <w:gridCol w:w="431"/>
        <w:gridCol w:w="431"/>
        <w:gridCol w:w="432"/>
        <w:gridCol w:w="431"/>
        <w:gridCol w:w="432"/>
        <w:gridCol w:w="431"/>
        <w:gridCol w:w="435"/>
        <w:gridCol w:w="486"/>
        <w:gridCol w:w="403"/>
      </w:tblGrid>
      <w:tr w:rsidR="00FD57F2" w:rsidRPr="00D46647" w14:paraId="1B25198B" w14:textId="77777777" w:rsidTr="007E3422">
        <w:trPr>
          <w:jc w:val="center"/>
        </w:trPr>
        <w:tc>
          <w:tcPr>
            <w:tcW w:w="1585" w:type="dxa"/>
            <w:tcBorders>
              <w:top w:val="nil"/>
              <w:left w:val="nil"/>
            </w:tcBorders>
            <w:shd w:val="clear" w:color="auto" w:fill="auto"/>
            <w:noWrap/>
            <w:vAlign w:val="bottom"/>
            <w:hideMark/>
          </w:tcPr>
          <w:p w14:paraId="3C688BCD" w14:textId="77777777" w:rsidR="00FD57F2" w:rsidRPr="00D46647" w:rsidRDefault="00FD57F2" w:rsidP="00FD57F2">
            <w:pPr>
              <w:rPr>
                <w:sz w:val="16"/>
                <w:szCs w:val="16"/>
              </w:rPr>
            </w:pPr>
          </w:p>
        </w:tc>
        <w:tc>
          <w:tcPr>
            <w:tcW w:w="1729" w:type="dxa"/>
            <w:gridSpan w:val="4"/>
            <w:shd w:val="clear" w:color="auto" w:fill="C6D9F1"/>
            <w:noWrap/>
            <w:vAlign w:val="center"/>
            <w:hideMark/>
          </w:tcPr>
          <w:p w14:paraId="11C80686" w14:textId="77777777" w:rsidR="00FD57F2" w:rsidRPr="00D46647" w:rsidRDefault="00FD57F2" w:rsidP="00FD57F2">
            <w:pPr>
              <w:jc w:val="center"/>
              <w:rPr>
                <w:b/>
                <w:bCs/>
                <w:sz w:val="16"/>
                <w:szCs w:val="16"/>
              </w:rPr>
            </w:pPr>
            <w:r w:rsidRPr="00D46647">
              <w:rPr>
                <w:b/>
                <w:sz w:val="16"/>
              </w:rPr>
              <w:t>2014</w:t>
            </w:r>
          </w:p>
        </w:tc>
        <w:tc>
          <w:tcPr>
            <w:tcW w:w="1726" w:type="dxa"/>
            <w:gridSpan w:val="4"/>
            <w:shd w:val="clear" w:color="auto" w:fill="C6D9F1"/>
            <w:noWrap/>
            <w:vAlign w:val="center"/>
            <w:hideMark/>
          </w:tcPr>
          <w:p w14:paraId="41AF0E5C" w14:textId="77777777" w:rsidR="00FD57F2" w:rsidRPr="00D46647" w:rsidRDefault="00FD57F2" w:rsidP="00FD57F2">
            <w:pPr>
              <w:jc w:val="center"/>
              <w:rPr>
                <w:b/>
                <w:bCs/>
                <w:sz w:val="16"/>
                <w:szCs w:val="16"/>
              </w:rPr>
            </w:pPr>
            <w:r w:rsidRPr="00D46647">
              <w:rPr>
                <w:b/>
                <w:sz w:val="16"/>
              </w:rPr>
              <w:t>2015</w:t>
            </w:r>
          </w:p>
        </w:tc>
        <w:tc>
          <w:tcPr>
            <w:tcW w:w="1726" w:type="dxa"/>
            <w:gridSpan w:val="4"/>
            <w:shd w:val="clear" w:color="auto" w:fill="C6D9F1"/>
            <w:noWrap/>
            <w:vAlign w:val="center"/>
            <w:hideMark/>
          </w:tcPr>
          <w:p w14:paraId="73C6A46E" w14:textId="77777777" w:rsidR="00FD57F2" w:rsidRPr="00D46647" w:rsidRDefault="00FD57F2" w:rsidP="00FD57F2">
            <w:pPr>
              <w:jc w:val="center"/>
              <w:rPr>
                <w:b/>
                <w:bCs/>
                <w:sz w:val="16"/>
                <w:szCs w:val="16"/>
              </w:rPr>
            </w:pPr>
            <w:r w:rsidRPr="00D46647">
              <w:rPr>
                <w:b/>
                <w:sz w:val="16"/>
              </w:rPr>
              <w:t>2016</w:t>
            </w:r>
          </w:p>
        </w:tc>
        <w:tc>
          <w:tcPr>
            <w:tcW w:w="1729" w:type="dxa"/>
            <w:gridSpan w:val="4"/>
            <w:shd w:val="clear" w:color="auto" w:fill="C6D9F1"/>
            <w:noWrap/>
            <w:vAlign w:val="center"/>
            <w:hideMark/>
          </w:tcPr>
          <w:p w14:paraId="269EF4F7" w14:textId="77777777" w:rsidR="00FD57F2" w:rsidRPr="00D46647" w:rsidRDefault="00FD57F2" w:rsidP="00FD57F2">
            <w:pPr>
              <w:jc w:val="center"/>
              <w:rPr>
                <w:b/>
                <w:bCs/>
                <w:sz w:val="16"/>
                <w:szCs w:val="16"/>
              </w:rPr>
            </w:pPr>
            <w:r w:rsidRPr="00D46647">
              <w:rPr>
                <w:b/>
                <w:sz w:val="16"/>
              </w:rPr>
              <w:t>2017</w:t>
            </w:r>
          </w:p>
        </w:tc>
        <w:tc>
          <w:tcPr>
            <w:tcW w:w="888" w:type="dxa"/>
            <w:gridSpan w:val="2"/>
            <w:shd w:val="clear" w:color="auto" w:fill="C6D9F1"/>
            <w:vAlign w:val="center"/>
          </w:tcPr>
          <w:p w14:paraId="3B287BE0" w14:textId="77777777" w:rsidR="00FD57F2" w:rsidRPr="00D46647" w:rsidRDefault="00FD57F2" w:rsidP="00FD57F2">
            <w:pPr>
              <w:jc w:val="center"/>
              <w:rPr>
                <w:b/>
                <w:sz w:val="16"/>
              </w:rPr>
            </w:pPr>
            <w:r w:rsidRPr="00D46647">
              <w:rPr>
                <w:b/>
                <w:sz w:val="16"/>
              </w:rPr>
              <w:t>2018</w:t>
            </w:r>
          </w:p>
        </w:tc>
      </w:tr>
      <w:tr w:rsidR="00FD57F2" w:rsidRPr="00D46647" w14:paraId="343DA1B6" w14:textId="77777777" w:rsidTr="007E3422">
        <w:trPr>
          <w:jc w:val="center"/>
        </w:trPr>
        <w:tc>
          <w:tcPr>
            <w:tcW w:w="1585" w:type="dxa"/>
            <w:shd w:val="clear" w:color="auto" w:fill="C6D9F1"/>
            <w:noWrap/>
            <w:vAlign w:val="bottom"/>
            <w:hideMark/>
          </w:tcPr>
          <w:p w14:paraId="7951A2D0" w14:textId="77777777" w:rsidR="00FD57F2" w:rsidRPr="00D46647" w:rsidRDefault="00FD57F2" w:rsidP="00FD57F2">
            <w:pPr>
              <w:rPr>
                <w:b/>
                <w:bCs/>
                <w:sz w:val="16"/>
                <w:szCs w:val="16"/>
              </w:rPr>
            </w:pPr>
            <w:r w:rsidRPr="00D46647">
              <w:rPr>
                <w:b/>
                <w:sz w:val="16"/>
              </w:rPr>
              <w:t>Étape principale</w:t>
            </w:r>
          </w:p>
        </w:tc>
        <w:tc>
          <w:tcPr>
            <w:tcW w:w="431" w:type="dxa"/>
            <w:shd w:val="clear" w:color="auto" w:fill="C6D9F1"/>
            <w:noWrap/>
            <w:vAlign w:val="center"/>
            <w:hideMark/>
          </w:tcPr>
          <w:p w14:paraId="4BE0040B" w14:textId="77777777" w:rsidR="00FD57F2" w:rsidRPr="00D46647" w:rsidRDefault="00FD57F2" w:rsidP="00FD57F2">
            <w:pPr>
              <w:jc w:val="center"/>
              <w:rPr>
                <w:b/>
                <w:bCs/>
                <w:sz w:val="16"/>
                <w:szCs w:val="16"/>
              </w:rPr>
            </w:pPr>
            <w:r w:rsidRPr="00D46647">
              <w:rPr>
                <w:b/>
                <w:bCs/>
                <w:sz w:val="16"/>
                <w:szCs w:val="16"/>
              </w:rPr>
              <w:t>T1</w:t>
            </w:r>
          </w:p>
        </w:tc>
        <w:tc>
          <w:tcPr>
            <w:tcW w:w="432" w:type="dxa"/>
            <w:shd w:val="clear" w:color="auto" w:fill="C6D9F1"/>
            <w:noWrap/>
            <w:vAlign w:val="center"/>
            <w:hideMark/>
          </w:tcPr>
          <w:p w14:paraId="6C07E4D9" w14:textId="77777777" w:rsidR="00FD57F2" w:rsidRPr="00D46647" w:rsidRDefault="00FD57F2" w:rsidP="00FD57F2">
            <w:pPr>
              <w:jc w:val="center"/>
              <w:rPr>
                <w:b/>
                <w:bCs/>
                <w:sz w:val="16"/>
                <w:szCs w:val="16"/>
              </w:rPr>
            </w:pPr>
            <w:r w:rsidRPr="00D46647">
              <w:rPr>
                <w:b/>
                <w:bCs/>
                <w:sz w:val="16"/>
                <w:szCs w:val="16"/>
              </w:rPr>
              <w:t>T2</w:t>
            </w:r>
          </w:p>
        </w:tc>
        <w:tc>
          <w:tcPr>
            <w:tcW w:w="433" w:type="dxa"/>
            <w:shd w:val="clear" w:color="auto" w:fill="C6D9F1"/>
            <w:noWrap/>
            <w:vAlign w:val="center"/>
            <w:hideMark/>
          </w:tcPr>
          <w:p w14:paraId="05E34448" w14:textId="77777777" w:rsidR="00FD57F2" w:rsidRPr="00D46647" w:rsidRDefault="00FD57F2" w:rsidP="00FD57F2">
            <w:pPr>
              <w:jc w:val="center"/>
              <w:rPr>
                <w:b/>
                <w:bCs/>
                <w:sz w:val="16"/>
                <w:szCs w:val="16"/>
              </w:rPr>
            </w:pPr>
            <w:r w:rsidRPr="00D46647">
              <w:rPr>
                <w:b/>
                <w:bCs/>
                <w:sz w:val="16"/>
                <w:szCs w:val="16"/>
              </w:rPr>
              <w:t>T3</w:t>
            </w:r>
          </w:p>
        </w:tc>
        <w:tc>
          <w:tcPr>
            <w:tcW w:w="433" w:type="dxa"/>
            <w:shd w:val="clear" w:color="auto" w:fill="C6D9F1"/>
            <w:noWrap/>
            <w:vAlign w:val="center"/>
            <w:hideMark/>
          </w:tcPr>
          <w:p w14:paraId="7ABF43C3" w14:textId="77777777" w:rsidR="00FD57F2" w:rsidRPr="00D46647" w:rsidRDefault="00FD57F2" w:rsidP="00FD57F2">
            <w:pPr>
              <w:jc w:val="center"/>
              <w:rPr>
                <w:b/>
                <w:bCs/>
                <w:sz w:val="16"/>
                <w:szCs w:val="16"/>
              </w:rPr>
            </w:pPr>
            <w:r w:rsidRPr="00D46647">
              <w:rPr>
                <w:b/>
                <w:bCs/>
                <w:sz w:val="16"/>
                <w:szCs w:val="16"/>
              </w:rPr>
              <w:t>T4</w:t>
            </w:r>
          </w:p>
        </w:tc>
        <w:tc>
          <w:tcPr>
            <w:tcW w:w="432" w:type="dxa"/>
            <w:shd w:val="clear" w:color="auto" w:fill="C6D9F1"/>
            <w:noWrap/>
            <w:vAlign w:val="center"/>
            <w:hideMark/>
          </w:tcPr>
          <w:p w14:paraId="1697863B" w14:textId="77777777" w:rsidR="00FD57F2" w:rsidRPr="00D46647" w:rsidRDefault="00FD57F2" w:rsidP="00FD57F2">
            <w:pPr>
              <w:jc w:val="center"/>
              <w:rPr>
                <w:b/>
                <w:bCs/>
                <w:sz w:val="16"/>
                <w:szCs w:val="16"/>
              </w:rPr>
            </w:pPr>
            <w:r w:rsidRPr="00D46647">
              <w:rPr>
                <w:b/>
                <w:bCs/>
                <w:sz w:val="16"/>
                <w:szCs w:val="16"/>
              </w:rPr>
              <w:t>T1</w:t>
            </w:r>
          </w:p>
        </w:tc>
        <w:tc>
          <w:tcPr>
            <w:tcW w:w="431" w:type="dxa"/>
            <w:shd w:val="clear" w:color="auto" w:fill="C6D9F1"/>
            <w:noWrap/>
            <w:vAlign w:val="center"/>
            <w:hideMark/>
          </w:tcPr>
          <w:p w14:paraId="4E05389C" w14:textId="77777777" w:rsidR="00FD57F2" w:rsidRPr="00D46647" w:rsidRDefault="00FD57F2" w:rsidP="00FD57F2">
            <w:pPr>
              <w:jc w:val="center"/>
              <w:rPr>
                <w:b/>
                <w:bCs/>
                <w:sz w:val="16"/>
                <w:szCs w:val="16"/>
              </w:rPr>
            </w:pPr>
            <w:r w:rsidRPr="00D46647">
              <w:rPr>
                <w:b/>
                <w:bCs/>
                <w:sz w:val="16"/>
                <w:szCs w:val="16"/>
              </w:rPr>
              <w:t>T2</w:t>
            </w:r>
          </w:p>
        </w:tc>
        <w:tc>
          <w:tcPr>
            <w:tcW w:w="432" w:type="dxa"/>
            <w:shd w:val="clear" w:color="auto" w:fill="C6D9F1"/>
            <w:noWrap/>
            <w:vAlign w:val="center"/>
            <w:hideMark/>
          </w:tcPr>
          <w:p w14:paraId="395994D6" w14:textId="77777777" w:rsidR="00FD57F2" w:rsidRPr="00D46647" w:rsidRDefault="00FD57F2" w:rsidP="00FD57F2">
            <w:pPr>
              <w:jc w:val="center"/>
              <w:rPr>
                <w:b/>
                <w:bCs/>
                <w:sz w:val="16"/>
                <w:szCs w:val="16"/>
              </w:rPr>
            </w:pPr>
            <w:r w:rsidRPr="00D46647">
              <w:rPr>
                <w:b/>
                <w:bCs/>
                <w:sz w:val="16"/>
                <w:szCs w:val="16"/>
              </w:rPr>
              <w:t>T3</w:t>
            </w:r>
          </w:p>
        </w:tc>
        <w:tc>
          <w:tcPr>
            <w:tcW w:w="431" w:type="dxa"/>
            <w:shd w:val="clear" w:color="auto" w:fill="C6D9F1"/>
            <w:noWrap/>
            <w:vAlign w:val="center"/>
            <w:hideMark/>
          </w:tcPr>
          <w:p w14:paraId="3CAF9941" w14:textId="77777777" w:rsidR="00FD57F2" w:rsidRPr="00D46647" w:rsidRDefault="00FD57F2" w:rsidP="00FD57F2">
            <w:pPr>
              <w:jc w:val="center"/>
              <w:rPr>
                <w:b/>
                <w:bCs/>
                <w:sz w:val="16"/>
                <w:szCs w:val="16"/>
              </w:rPr>
            </w:pPr>
            <w:r w:rsidRPr="00D46647">
              <w:rPr>
                <w:b/>
                <w:bCs/>
                <w:sz w:val="16"/>
                <w:szCs w:val="16"/>
              </w:rPr>
              <w:t>T4</w:t>
            </w:r>
          </w:p>
        </w:tc>
        <w:tc>
          <w:tcPr>
            <w:tcW w:w="432" w:type="dxa"/>
            <w:shd w:val="clear" w:color="auto" w:fill="C6D9F1"/>
            <w:noWrap/>
            <w:vAlign w:val="center"/>
            <w:hideMark/>
          </w:tcPr>
          <w:p w14:paraId="37971F57" w14:textId="77777777" w:rsidR="00FD57F2" w:rsidRPr="00D46647" w:rsidRDefault="00FD57F2" w:rsidP="00FD57F2">
            <w:pPr>
              <w:jc w:val="center"/>
              <w:rPr>
                <w:b/>
                <w:bCs/>
                <w:sz w:val="16"/>
                <w:szCs w:val="16"/>
              </w:rPr>
            </w:pPr>
            <w:r w:rsidRPr="00D46647">
              <w:rPr>
                <w:b/>
                <w:bCs/>
                <w:sz w:val="16"/>
                <w:szCs w:val="16"/>
              </w:rPr>
              <w:t>T1</w:t>
            </w:r>
          </w:p>
        </w:tc>
        <w:tc>
          <w:tcPr>
            <w:tcW w:w="431" w:type="dxa"/>
            <w:shd w:val="clear" w:color="auto" w:fill="C6D9F1"/>
            <w:noWrap/>
            <w:vAlign w:val="center"/>
            <w:hideMark/>
          </w:tcPr>
          <w:p w14:paraId="3B9A2672" w14:textId="77777777" w:rsidR="00FD57F2" w:rsidRPr="00D46647" w:rsidRDefault="00FD57F2" w:rsidP="00FD57F2">
            <w:pPr>
              <w:jc w:val="center"/>
              <w:rPr>
                <w:b/>
                <w:bCs/>
                <w:sz w:val="16"/>
                <w:szCs w:val="16"/>
              </w:rPr>
            </w:pPr>
            <w:r w:rsidRPr="00D46647">
              <w:rPr>
                <w:b/>
                <w:bCs/>
                <w:sz w:val="16"/>
                <w:szCs w:val="16"/>
              </w:rPr>
              <w:t>T2</w:t>
            </w:r>
          </w:p>
        </w:tc>
        <w:tc>
          <w:tcPr>
            <w:tcW w:w="431" w:type="dxa"/>
            <w:shd w:val="clear" w:color="auto" w:fill="C6D9F1"/>
            <w:noWrap/>
            <w:vAlign w:val="center"/>
            <w:hideMark/>
          </w:tcPr>
          <w:p w14:paraId="23C1B517" w14:textId="77777777" w:rsidR="00FD57F2" w:rsidRPr="00D46647" w:rsidRDefault="00FD57F2" w:rsidP="00FD57F2">
            <w:pPr>
              <w:jc w:val="center"/>
              <w:rPr>
                <w:b/>
                <w:bCs/>
                <w:sz w:val="16"/>
                <w:szCs w:val="16"/>
              </w:rPr>
            </w:pPr>
            <w:r w:rsidRPr="00D46647">
              <w:rPr>
                <w:b/>
                <w:bCs/>
                <w:sz w:val="16"/>
                <w:szCs w:val="16"/>
              </w:rPr>
              <w:t>T3</w:t>
            </w:r>
          </w:p>
        </w:tc>
        <w:tc>
          <w:tcPr>
            <w:tcW w:w="432" w:type="dxa"/>
            <w:shd w:val="clear" w:color="auto" w:fill="C6D9F1"/>
            <w:noWrap/>
            <w:vAlign w:val="center"/>
            <w:hideMark/>
          </w:tcPr>
          <w:p w14:paraId="594CE661" w14:textId="77777777" w:rsidR="00FD57F2" w:rsidRPr="00D46647" w:rsidRDefault="00FD57F2" w:rsidP="00FD57F2">
            <w:pPr>
              <w:jc w:val="center"/>
              <w:rPr>
                <w:b/>
                <w:bCs/>
                <w:sz w:val="16"/>
                <w:szCs w:val="16"/>
              </w:rPr>
            </w:pPr>
            <w:r w:rsidRPr="00D46647">
              <w:rPr>
                <w:b/>
                <w:bCs/>
                <w:sz w:val="16"/>
                <w:szCs w:val="16"/>
              </w:rPr>
              <w:t>T4</w:t>
            </w:r>
          </w:p>
        </w:tc>
        <w:tc>
          <w:tcPr>
            <w:tcW w:w="431" w:type="dxa"/>
            <w:shd w:val="clear" w:color="auto" w:fill="C6D9F1"/>
            <w:noWrap/>
            <w:vAlign w:val="center"/>
            <w:hideMark/>
          </w:tcPr>
          <w:p w14:paraId="762F0BD3" w14:textId="77777777" w:rsidR="00FD57F2" w:rsidRPr="00D46647" w:rsidRDefault="00FD57F2" w:rsidP="00FD57F2">
            <w:pPr>
              <w:jc w:val="center"/>
              <w:rPr>
                <w:b/>
                <w:bCs/>
                <w:sz w:val="16"/>
                <w:szCs w:val="16"/>
              </w:rPr>
            </w:pPr>
            <w:r w:rsidRPr="00D46647">
              <w:rPr>
                <w:b/>
                <w:bCs/>
                <w:sz w:val="16"/>
                <w:szCs w:val="16"/>
              </w:rPr>
              <w:t>T1</w:t>
            </w:r>
          </w:p>
        </w:tc>
        <w:tc>
          <w:tcPr>
            <w:tcW w:w="432" w:type="dxa"/>
            <w:shd w:val="clear" w:color="auto" w:fill="C6D9F1"/>
            <w:noWrap/>
            <w:vAlign w:val="center"/>
            <w:hideMark/>
          </w:tcPr>
          <w:p w14:paraId="05E58FC6" w14:textId="77777777" w:rsidR="00FD57F2" w:rsidRPr="00D46647" w:rsidRDefault="00FD57F2" w:rsidP="00FD57F2">
            <w:pPr>
              <w:jc w:val="center"/>
              <w:rPr>
                <w:b/>
                <w:bCs/>
                <w:sz w:val="16"/>
                <w:szCs w:val="16"/>
              </w:rPr>
            </w:pPr>
            <w:r w:rsidRPr="00D46647">
              <w:rPr>
                <w:b/>
                <w:bCs/>
                <w:sz w:val="16"/>
                <w:szCs w:val="16"/>
              </w:rPr>
              <w:t>T2</w:t>
            </w:r>
          </w:p>
        </w:tc>
        <w:tc>
          <w:tcPr>
            <w:tcW w:w="431" w:type="dxa"/>
            <w:shd w:val="clear" w:color="auto" w:fill="C6D9F1"/>
            <w:noWrap/>
            <w:vAlign w:val="center"/>
            <w:hideMark/>
          </w:tcPr>
          <w:p w14:paraId="52C9449E" w14:textId="77777777" w:rsidR="00FD57F2" w:rsidRPr="00D46647" w:rsidRDefault="00FD57F2" w:rsidP="00FD57F2">
            <w:pPr>
              <w:jc w:val="center"/>
              <w:rPr>
                <w:b/>
                <w:bCs/>
                <w:sz w:val="16"/>
                <w:szCs w:val="16"/>
              </w:rPr>
            </w:pPr>
            <w:r w:rsidRPr="00D46647">
              <w:rPr>
                <w:b/>
                <w:bCs/>
                <w:sz w:val="16"/>
                <w:szCs w:val="16"/>
              </w:rPr>
              <w:t>T3</w:t>
            </w:r>
          </w:p>
        </w:tc>
        <w:tc>
          <w:tcPr>
            <w:tcW w:w="435" w:type="dxa"/>
            <w:shd w:val="clear" w:color="auto" w:fill="C6D9F1"/>
            <w:noWrap/>
            <w:vAlign w:val="center"/>
            <w:hideMark/>
          </w:tcPr>
          <w:p w14:paraId="0E5A4941" w14:textId="77777777" w:rsidR="00FD57F2" w:rsidRPr="00D46647" w:rsidRDefault="00FD57F2" w:rsidP="00FD57F2">
            <w:pPr>
              <w:jc w:val="center"/>
              <w:rPr>
                <w:b/>
                <w:bCs/>
                <w:sz w:val="16"/>
                <w:szCs w:val="16"/>
              </w:rPr>
            </w:pPr>
            <w:r w:rsidRPr="00D46647">
              <w:rPr>
                <w:b/>
                <w:bCs/>
                <w:sz w:val="16"/>
                <w:szCs w:val="16"/>
              </w:rPr>
              <w:t>T4</w:t>
            </w:r>
          </w:p>
        </w:tc>
        <w:tc>
          <w:tcPr>
            <w:tcW w:w="492" w:type="dxa"/>
            <w:shd w:val="clear" w:color="auto" w:fill="C6D9F1"/>
            <w:vAlign w:val="center"/>
          </w:tcPr>
          <w:p w14:paraId="38B8ECA6" w14:textId="77777777" w:rsidR="00FD57F2" w:rsidRPr="00D46647" w:rsidRDefault="00FD57F2" w:rsidP="00FD57F2">
            <w:pPr>
              <w:jc w:val="center"/>
              <w:rPr>
                <w:b/>
                <w:bCs/>
                <w:sz w:val="16"/>
                <w:szCs w:val="16"/>
              </w:rPr>
            </w:pPr>
            <w:r w:rsidRPr="00D46647">
              <w:rPr>
                <w:b/>
                <w:bCs/>
                <w:sz w:val="16"/>
                <w:szCs w:val="16"/>
              </w:rPr>
              <w:t>T1</w:t>
            </w:r>
          </w:p>
        </w:tc>
        <w:tc>
          <w:tcPr>
            <w:tcW w:w="396" w:type="dxa"/>
            <w:shd w:val="clear" w:color="auto" w:fill="C6D9F1"/>
            <w:vAlign w:val="center"/>
          </w:tcPr>
          <w:p w14:paraId="295B7253" w14:textId="77777777" w:rsidR="00FD57F2" w:rsidRPr="00D46647" w:rsidRDefault="00FD57F2" w:rsidP="00FD57F2">
            <w:pPr>
              <w:jc w:val="center"/>
              <w:rPr>
                <w:b/>
                <w:bCs/>
                <w:sz w:val="16"/>
                <w:szCs w:val="16"/>
              </w:rPr>
            </w:pPr>
            <w:r w:rsidRPr="00D46647">
              <w:rPr>
                <w:b/>
                <w:bCs/>
                <w:sz w:val="16"/>
                <w:szCs w:val="16"/>
              </w:rPr>
              <w:t>T2</w:t>
            </w:r>
          </w:p>
        </w:tc>
      </w:tr>
      <w:tr w:rsidR="00FD57F2" w:rsidRPr="00D46647" w14:paraId="57100876" w14:textId="77777777" w:rsidTr="007E3422">
        <w:trPr>
          <w:jc w:val="center"/>
        </w:trPr>
        <w:tc>
          <w:tcPr>
            <w:tcW w:w="1585" w:type="dxa"/>
            <w:shd w:val="clear" w:color="auto" w:fill="auto"/>
            <w:noWrap/>
            <w:vAlign w:val="bottom"/>
            <w:hideMark/>
          </w:tcPr>
          <w:p w14:paraId="3B718880" w14:textId="77777777" w:rsidR="00FD57F2" w:rsidRPr="00D46647" w:rsidRDefault="00FD57F2" w:rsidP="00FD57F2">
            <w:pPr>
              <w:rPr>
                <w:sz w:val="16"/>
                <w:szCs w:val="16"/>
              </w:rPr>
            </w:pPr>
            <w:r w:rsidRPr="00D46647">
              <w:rPr>
                <w:sz w:val="16"/>
              </w:rPr>
              <w:t>Définition en interne des objectifs avant-projets</w:t>
            </w:r>
          </w:p>
        </w:tc>
        <w:tc>
          <w:tcPr>
            <w:tcW w:w="431" w:type="dxa"/>
            <w:shd w:val="clear" w:color="auto" w:fill="auto"/>
            <w:noWrap/>
            <w:vAlign w:val="center"/>
            <w:hideMark/>
          </w:tcPr>
          <w:p w14:paraId="0D8E77FC" w14:textId="77777777" w:rsidR="00FD57F2" w:rsidRPr="00D46647" w:rsidRDefault="00FD57F2" w:rsidP="00FD57F2">
            <w:pPr>
              <w:jc w:val="center"/>
              <w:rPr>
                <w:sz w:val="16"/>
                <w:szCs w:val="16"/>
              </w:rPr>
            </w:pPr>
          </w:p>
        </w:tc>
        <w:tc>
          <w:tcPr>
            <w:tcW w:w="432" w:type="dxa"/>
            <w:shd w:val="clear" w:color="auto" w:fill="auto"/>
            <w:noWrap/>
            <w:vAlign w:val="center"/>
            <w:hideMark/>
          </w:tcPr>
          <w:p w14:paraId="2D9DBE16" w14:textId="77777777" w:rsidR="00FD57F2" w:rsidRPr="00D46647" w:rsidRDefault="00FD57F2" w:rsidP="00FD57F2">
            <w:pPr>
              <w:jc w:val="center"/>
              <w:rPr>
                <w:sz w:val="16"/>
                <w:szCs w:val="16"/>
              </w:rPr>
            </w:pPr>
            <w:r w:rsidRPr="00D46647">
              <w:rPr>
                <w:sz w:val="16"/>
                <w:szCs w:val="16"/>
              </w:rPr>
              <w:t>X</w:t>
            </w:r>
          </w:p>
        </w:tc>
        <w:tc>
          <w:tcPr>
            <w:tcW w:w="433" w:type="dxa"/>
            <w:shd w:val="clear" w:color="auto" w:fill="auto"/>
            <w:noWrap/>
            <w:vAlign w:val="center"/>
            <w:hideMark/>
          </w:tcPr>
          <w:p w14:paraId="17922D08" w14:textId="77777777" w:rsidR="00FD57F2" w:rsidRPr="00D46647" w:rsidRDefault="00FD57F2" w:rsidP="00FD57F2">
            <w:pPr>
              <w:jc w:val="center"/>
              <w:rPr>
                <w:sz w:val="16"/>
                <w:szCs w:val="16"/>
              </w:rPr>
            </w:pPr>
          </w:p>
        </w:tc>
        <w:tc>
          <w:tcPr>
            <w:tcW w:w="433" w:type="dxa"/>
            <w:shd w:val="clear" w:color="auto" w:fill="auto"/>
            <w:noWrap/>
            <w:vAlign w:val="center"/>
            <w:hideMark/>
          </w:tcPr>
          <w:p w14:paraId="5DD659FB" w14:textId="77777777" w:rsidR="00FD57F2" w:rsidRPr="00D46647" w:rsidRDefault="00FD57F2" w:rsidP="00FD57F2">
            <w:pPr>
              <w:jc w:val="center"/>
              <w:rPr>
                <w:sz w:val="16"/>
                <w:szCs w:val="16"/>
              </w:rPr>
            </w:pPr>
          </w:p>
        </w:tc>
        <w:tc>
          <w:tcPr>
            <w:tcW w:w="432" w:type="dxa"/>
            <w:shd w:val="clear" w:color="auto" w:fill="auto"/>
            <w:noWrap/>
            <w:vAlign w:val="center"/>
            <w:hideMark/>
          </w:tcPr>
          <w:p w14:paraId="0346D65E" w14:textId="77777777" w:rsidR="00FD57F2" w:rsidRPr="00D46647" w:rsidRDefault="00FD57F2" w:rsidP="00FD57F2">
            <w:pPr>
              <w:jc w:val="center"/>
              <w:rPr>
                <w:sz w:val="16"/>
                <w:szCs w:val="16"/>
              </w:rPr>
            </w:pPr>
          </w:p>
        </w:tc>
        <w:tc>
          <w:tcPr>
            <w:tcW w:w="431" w:type="dxa"/>
            <w:shd w:val="clear" w:color="auto" w:fill="auto"/>
            <w:noWrap/>
            <w:vAlign w:val="center"/>
            <w:hideMark/>
          </w:tcPr>
          <w:p w14:paraId="4F9A8201" w14:textId="77777777" w:rsidR="00FD57F2" w:rsidRPr="00D46647" w:rsidRDefault="00FD57F2" w:rsidP="00FD57F2">
            <w:pPr>
              <w:jc w:val="center"/>
              <w:rPr>
                <w:sz w:val="16"/>
                <w:szCs w:val="16"/>
              </w:rPr>
            </w:pPr>
          </w:p>
        </w:tc>
        <w:tc>
          <w:tcPr>
            <w:tcW w:w="432" w:type="dxa"/>
            <w:shd w:val="clear" w:color="auto" w:fill="auto"/>
            <w:noWrap/>
            <w:vAlign w:val="center"/>
            <w:hideMark/>
          </w:tcPr>
          <w:p w14:paraId="757A407F" w14:textId="77777777" w:rsidR="00FD57F2" w:rsidRPr="00D46647" w:rsidRDefault="00FD57F2" w:rsidP="00FD57F2">
            <w:pPr>
              <w:jc w:val="center"/>
              <w:rPr>
                <w:sz w:val="16"/>
                <w:szCs w:val="16"/>
              </w:rPr>
            </w:pPr>
          </w:p>
        </w:tc>
        <w:tc>
          <w:tcPr>
            <w:tcW w:w="431" w:type="dxa"/>
            <w:shd w:val="clear" w:color="auto" w:fill="auto"/>
            <w:noWrap/>
            <w:vAlign w:val="center"/>
            <w:hideMark/>
          </w:tcPr>
          <w:p w14:paraId="6E093AB3" w14:textId="77777777" w:rsidR="00FD57F2" w:rsidRPr="00D46647" w:rsidRDefault="00FD57F2" w:rsidP="00FD57F2">
            <w:pPr>
              <w:jc w:val="center"/>
              <w:rPr>
                <w:sz w:val="16"/>
                <w:szCs w:val="16"/>
              </w:rPr>
            </w:pPr>
          </w:p>
        </w:tc>
        <w:tc>
          <w:tcPr>
            <w:tcW w:w="432" w:type="dxa"/>
            <w:shd w:val="clear" w:color="auto" w:fill="auto"/>
            <w:noWrap/>
            <w:vAlign w:val="center"/>
            <w:hideMark/>
          </w:tcPr>
          <w:p w14:paraId="731DDAE3" w14:textId="77777777" w:rsidR="00FD57F2" w:rsidRPr="00D46647" w:rsidRDefault="00FD57F2" w:rsidP="00FD57F2">
            <w:pPr>
              <w:jc w:val="center"/>
              <w:rPr>
                <w:sz w:val="16"/>
                <w:szCs w:val="16"/>
              </w:rPr>
            </w:pPr>
          </w:p>
        </w:tc>
        <w:tc>
          <w:tcPr>
            <w:tcW w:w="431" w:type="dxa"/>
            <w:shd w:val="clear" w:color="auto" w:fill="auto"/>
            <w:noWrap/>
            <w:vAlign w:val="center"/>
            <w:hideMark/>
          </w:tcPr>
          <w:p w14:paraId="5B632C07" w14:textId="77777777" w:rsidR="00FD57F2" w:rsidRPr="00D46647" w:rsidRDefault="00FD57F2" w:rsidP="00FD57F2">
            <w:pPr>
              <w:jc w:val="center"/>
              <w:rPr>
                <w:sz w:val="16"/>
                <w:szCs w:val="16"/>
              </w:rPr>
            </w:pPr>
          </w:p>
        </w:tc>
        <w:tc>
          <w:tcPr>
            <w:tcW w:w="431" w:type="dxa"/>
            <w:shd w:val="clear" w:color="auto" w:fill="auto"/>
            <w:noWrap/>
            <w:vAlign w:val="center"/>
            <w:hideMark/>
          </w:tcPr>
          <w:p w14:paraId="069CE23C" w14:textId="77777777" w:rsidR="00FD57F2" w:rsidRPr="00D46647" w:rsidRDefault="00FD57F2" w:rsidP="00FD57F2">
            <w:pPr>
              <w:jc w:val="center"/>
              <w:rPr>
                <w:sz w:val="16"/>
                <w:szCs w:val="16"/>
              </w:rPr>
            </w:pPr>
          </w:p>
        </w:tc>
        <w:tc>
          <w:tcPr>
            <w:tcW w:w="432" w:type="dxa"/>
            <w:shd w:val="clear" w:color="auto" w:fill="auto"/>
            <w:noWrap/>
            <w:vAlign w:val="center"/>
            <w:hideMark/>
          </w:tcPr>
          <w:p w14:paraId="4B9FDB88" w14:textId="77777777" w:rsidR="00FD57F2" w:rsidRPr="00D46647" w:rsidRDefault="00FD57F2" w:rsidP="00FD57F2">
            <w:pPr>
              <w:jc w:val="center"/>
              <w:rPr>
                <w:sz w:val="16"/>
                <w:szCs w:val="16"/>
              </w:rPr>
            </w:pPr>
          </w:p>
        </w:tc>
        <w:tc>
          <w:tcPr>
            <w:tcW w:w="431" w:type="dxa"/>
            <w:shd w:val="clear" w:color="auto" w:fill="auto"/>
            <w:noWrap/>
            <w:vAlign w:val="center"/>
            <w:hideMark/>
          </w:tcPr>
          <w:p w14:paraId="4EB5D20A" w14:textId="77777777" w:rsidR="00FD57F2" w:rsidRPr="00D46647" w:rsidRDefault="00FD57F2" w:rsidP="00FD57F2">
            <w:pPr>
              <w:jc w:val="center"/>
              <w:rPr>
                <w:sz w:val="16"/>
                <w:szCs w:val="16"/>
              </w:rPr>
            </w:pPr>
          </w:p>
        </w:tc>
        <w:tc>
          <w:tcPr>
            <w:tcW w:w="432" w:type="dxa"/>
            <w:shd w:val="clear" w:color="auto" w:fill="auto"/>
            <w:noWrap/>
            <w:vAlign w:val="center"/>
            <w:hideMark/>
          </w:tcPr>
          <w:p w14:paraId="3047971C" w14:textId="77777777" w:rsidR="00FD57F2" w:rsidRPr="00D46647" w:rsidRDefault="00FD57F2" w:rsidP="00FD57F2">
            <w:pPr>
              <w:jc w:val="center"/>
              <w:rPr>
                <w:sz w:val="16"/>
                <w:szCs w:val="16"/>
              </w:rPr>
            </w:pPr>
          </w:p>
        </w:tc>
        <w:tc>
          <w:tcPr>
            <w:tcW w:w="431" w:type="dxa"/>
            <w:shd w:val="clear" w:color="auto" w:fill="auto"/>
            <w:noWrap/>
            <w:vAlign w:val="center"/>
            <w:hideMark/>
          </w:tcPr>
          <w:p w14:paraId="457CDFF8" w14:textId="77777777" w:rsidR="00FD57F2" w:rsidRPr="00D46647" w:rsidRDefault="00FD57F2" w:rsidP="00FD57F2">
            <w:pPr>
              <w:jc w:val="center"/>
              <w:rPr>
                <w:sz w:val="16"/>
                <w:szCs w:val="16"/>
              </w:rPr>
            </w:pPr>
          </w:p>
        </w:tc>
        <w:tc>
          <w:tcPr>
            <w:tcW w:w="435" w:type="dxa"/>
            <w:shd w:val="clear" w:color="auto" w:fill="auto"/>
            <w:noWrap/>
            <w:vAlign w:val="center"/>
            <w:hideMark/>
          </w:tcPr>
          <w:p w14:paraId="62A8FBEB" w14:textId="77777777" w:rsidR="00FD57F2" w:rsidRPr="00D46647" w:rsidRDefault="00FD57F2" w:rsidP="00FD57F2">
            <w:pPr>
              <w:jc w:val="center"/>
              <w:rPr>
                <w:sz w:val="16"/>
                <w:szCs w:val="16"/>
              </w:rPr>
            </w:pPr>
          </w:p>
        </w:tc>
        <w:tc>
          <w:tcPr>
            <w:tcW w:w="492" w:type="dxa"/>
            <w:shd w:val="clear" w:color="auto" w:fill="auto"/>
            <w:vAlign w:val="center"/>
          </w:tcPr>
          <w:p w14:paraId="07D54383" w14:textId="77777777" w:rsidR="00FD57F2" w:rsidRPr="00D46647" w:rsidRDefault="00FD57F2" w:rsidP="00FD57F2">
            <w:pPr>
              <w:jc w:val="center"/>
              <w:rPr>
                <w:sz w:val="16"/>
                <w:szCs w:val="16"/>
              </w:rPr>
            </w:pPr>
          </w:p>
        </w:tc>
        <w:tc>
          <w:tcPr>
            <w:tcW w:w="396" w:type="dxa"/>
            <w:shd w:val="clear" w:color="auto" w:fill="auto"/>
            <w:vAlign w:val="center"/>
          </w:tcPr>
          <w:p w14:paraId="1B8BA39A" w14:textId="77777777" w:rsidR="00FD57F2" w:rsidRPr="00D46647" w:rsidRDefault="00FD57F2" w:rsidP="00FD57F2">
            <w:pPr>
              <w:jc w:val="center"/>
              <w:rPr>
                <w:sz w:val="16"/>
                <w:szCs w:val="16"/>
              </w:rPr>
            </w:pPr>
          </w:p>
        </w:tc>
      </w:tr>
      <w:tr w:rsidR="00FD57F2" w:rsidRPr="00D46647" w14:paraId="65D3EB00" w14:textId="77777777" w:rsidTr="007E3422">
        <w:trPr>
          <w:jc w:val="center"/>
        </w:trPr>
        <w:tc>
          <w:tcPr>
            <w:tcW w:w="1585" w:type="dxa"/>
            <w:shd w:val="clear" w:color="auto" w:fill="auto"/>
            <w:noWrap/>
            <w:vAlign w:val="bottom"/>
          </w:tcPr>
          <w:p w14:paraId="1D217594" w14:textId="77777777" w:rsidR="00FD57F2" w:rsidRPr="00D46647" w:rsidRDefault="00FD57F2" w:rsidP="00FD57F2">
            <w:pPr>
              <w:rPr>
                <w:sz w:val="16"/>
                <w:szCs w:val="16"/>
              </w:rPr>
            </w:pPr>
            <w:r w:rsidRPr="00D46647">
              <w:rPr>
                <w:sz w:val="16"/>
              </w:rPr>
              <w:t>Attribution des contrats à l’architecte</w:t>
            </w:r>
          </w:p>
        </w:tc>
        <w:tc>
          <w:tcPr>
            <w:tcW w:w="431" w:type="dxa"/>
            <w:shd w:val="clear" w:color="auto" w:fill="auto"/>
            <w:noWrap/>
            <w:vAlign w:val="center"/>
          </w:tcPr>
          <w:p w14:paraId="27A87905" w14:textId="77777777" w:rsidR="00FD57F2" w:rsidRPr="00D46647" w:rsidRDefault="00FD57F2" w:rsidP="00FD57F2">
            <w:pPr>
              <w:jc w:val="center"/>
              <w:rPr>
                <w:sz w:val="16"/>
                <w:szCs w:val="16"/>
              </w:rPr>
            </w:pPr>
          </w:p>
        </w:tc>
        <w:tc>
          <w:tcPr>
            <w:tcW w:w="432" w:type="dxa"/>
            <w:shd w:val="clear" w:color="auto" w:fill="auto"/>
            <w:noWrap/>
            <w:vAlign w:val="center"/>
          </w:tcPr>
          <w:p w14:paraId="05378EE2" w14:textId="77777777" w:rsidR="00FD57F2" w:rsidRPr="00D46647" w:rsidRDefault="00FD57F2" w:rsidP="00FD57F2">
            <w:pPr>
              <w:jc w:val="center"/>
              <w:rPr>
                <w:sz w:val="16"/>
                <w:szCs w:val="16"/>
              </w:rPr>
            </w:pPr>
          </w:p>
        </w:tc>
        <w:tc>
          <w:tcPr>
            <w:tcW w:w="433" w:type="dxa"/>
            <w:shd w:val="clear" w:color="auto" w:fill="auto"/>
            <w:noWrap/>
            <w:vAlign w:val="center"/>
          </w:tcPr>
          <w:p w14:paraId="3F713451" w14:textId="77777777" w:rsidR="00FD57F2" w:rsidRPr="00D46647" w:rsidRDefault="00FD57F2" w:rsidP="00FD57F2">
            <w:pPr>
              <w:jc w:val="center"/>
              <w:rPr>
                <w:sz w:val="16"/>
                <w:szCs w:val="16"/>
              </w:rPr>
            </w:pPr>
            <w:r w:rsidRPr="00D46647">
              <w:rPr>
                <w:sz w:val="16"/>
                <w:szCs w:val="16"/>
              </w:rPr>
              <w:t>X</w:t>
            </w:r>
          </w:p>
        </w:tc>
        <w:tc>
          <w:tcPr>
            <w:tcW w:w="433" w:type="dxa"/>
            <w:shd w:val="clear" w:color="auto" w:fill="auto"/>
            <w:noWrap/>
            <w:vAlign w:val="center"/>
          </w:tcPr>
          <w:p w14:paraId="74F0D473" w14:textId="77777777" w:rsidR="00FD57F2" w:rsidRPr="00D46647" w:rsidRDefault="00FD57F2" w:rsidP="00FD57F2">
            <w:pPr>
              <w:jc w:val="center"/>
              <w:rPr>
                <w:sz w:val="16"/>
                <w:szCs w:val="16"/>
              </w:rPr>
            </w:pPr>
            <w:r w:rsidRPr="00D46647">
              <w:rPr>
                <w:sz w:val="16"/>
                <w:szCs w:val="16"/>
              </w:rPr>
              <w:t>X</w:t>
            </w:r>
          </w:p>
        </w:tc>
        <w:tc>
          <w:tcPr>
            <w:tcW w:w="432" w:type="dxa"/>
            <w:shd w:val="clear" w:color="auto" w:fill="auto"/>
            <w:noWrap/>
            <w:vAlign w:val="center"/>
            <w:hideMark/>
          </w:tcPr>
          <w:p w14:paraId="5613357D"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hideMark/>
          </w:tcPr>
          <w:p w14:paraId="39F7E409" w14:textId="77777777" w:rsidR="00FD57F2" w:rsidRPr="00D46647" w:rsidRDefault="00FD57F2" w:rsidP="00FD57F2">
            <w:pPr>
              <w:jc w:val="center"/>
              <w:rPr>
                <w:sz w:val="16"/>
                <w:szCs w:val="16"/>
              </w:rPr>
            </w:pPr>
            <w:r w:rsidRPr="00D46647">
              <w:rPr>
                <w:sz w:val="16"/>
                <w:szCs w:val="16"/>
              </w:rPr>
              <w:t>X</w:t>
            </w:r>
          </w:p>
        </w:tc>
        <w:tc>
          <w:tcPr>
            <w:tcW w:w="432" w:type="dxa"/>
            <w:shd w:val="clear" w:color="auto" w:fill="auto"/>
            <w:noWrap/>
            <w:vAlign w:val="center"/>
            <w:hideMark/>
          </w:tcPr>
          <w:p w14:paraId="75F40F1F" w14:textId="77777777" w:rsidR="00FD57F2" w:rsidRPr="00D46647" w:rsidRDefault="00FD57F2" w:rsidP="00FD57F2">
            <w:pPr>
              <w:jc w:val="center"/>
              <w:rPr>
                <w:sz w:val="16"/>
                <w:szCs w:val="16"/>
              </w:rPr>
            </w:pPr>
          </w:p>
        </w:tc>
        <w:tc>
          <w:tcPr>
            <w:tcW w:w="431" w:type="dxa"/>
            <w:shd w:val="clear" w:color="auto" w:fill="auto"/>
            <w:noWrap/>
            <w:vAlign w:val="center"/>
            <w:hideMark/>
          </w:tcPr>
          <w:p w14:paraId="2EF52102" w14:textId="77777777" w:rsidR="00FD57F2" w:rsidRPr="00D46647" w:rsidRDefault="00FD57F2" w:rsidP="00FD57F2">
            <w:pPr>
              <w:jc w:val="center"/>
              <w:rPr>
                <w:sz w:val="16"/>
                <w:szCs w:val="16"/>
              </w:rPr>
            </w:pPr>
          </w:p>
        </w:tc>
        <w:tc>
          <w:tcPr>
            <w:tcW w:w="432" w:type="dxa"/>
            <w:shd w:val="clear" w:color="auto" w:fill="auto"/>
            <w:noWrap/>
            <w:vAlign w:val="center"/>
            <w:hideMark/>
          </w:tcPr>
          <w:p w14:paraId="0D00103D" w14:textId="77777777" w:rsidR="00FD57F2" w:rsidRPr="00D46647" w:rsidRDefault="00FD57F2" w:rsidP="00FD57F2">
            <w:pPr>
              <w:jc w:val="center"/>
              <w:rPr>
                <w:sz w:val="16"/>
                <w:szCs w:val="16"/>
              </w:rPr>
            </w:pPr>
          </w:p>
        </w:tc>
        <w:tc>
          <w:tcPr>
            <w:tcW w:w="431" w:type="dxa"/>
            <w:shd w:val="clear" w:color="auto" w:fill="auto"/>
            <w:noWrap/>
            <w:vAlign w:val="center"/>
            <w:hideMark/>
          </w:tcPr>
          <w:p w14:paraId="567BA4B6" w14:textId="77777777" w:rsidR="00FD57F2" w:rsidRPr="00D46647" w:rsidRDefault="00FD57F2" w:rsidP="00FD57F2">
            <w:pPr>
              <w:jc w:val="center"/>
              <w:rPr>
                <w:b/>
                <w:bCs/>
                <w:kern w:val="32"/>
                <w:sz w:val="16"/>
                <w:szCs w:val="16"/>
              </w:rPr>
            </w:pPr>
          </w:p>
        </w:tc>
        <w:tc>
          <w:tcPr>
            <w:tcW w:w="431" w:type="dxa"/>
            <w:shd w:val="clear" w:color="auto" w:fill="auto"/>
            <w:noWrap/>
            <w:vAlign w:val="center"/>
            <w:hideMark/>
          </w:tcPr>
          <w:p w14:paraId="606ACEEE" w14:textId="77777777" w:rsidR="00FD57F2" w:rsidRPr="00D46647" w:rsidRDefault="00FD57F2" w:rsidP="00FD57F2">
            <w:pPr>
              <w:jc w:val="center"/>
              <w:rPr>
                <w:sz w:val="16"/>
                <w:szCs w:val="16"/>
              </w:rPr>
            </w:pPr>
          </w:p>
        </w:tc>
        <w:tc>
          <w:tcPr>
            <w:tcW w:w="432" w:type="dxa"/>
            <w:shd w:val="clear" w:color="auto" w:fill="auto"/>
            <w:noWrap/>
            <w:vAlign w:val="center"/>
            <w:hideMark/>
          </w:tcPr>
          <w:p w14:paraId="7C91611D" w14:textId="77777777" w:rsidR="00FD57F2" w:rsidRPr="00D46647" w:rsidRDefault="00FD57F2" w:rsidP="00FD57F2">
            <w:pPr>
              <w:jc w:val="center"/>
              <w:rPr>
                <w:sz w:val="16"/>
                <w:szCs w:val="16"/>
              </w:rPr>
            </w:pPr>
          </w:p>
        </w:tc>
        <w:tc>
          <w:tcPr>
            <w:tcW w:w="431" w:type="dxa"/>
            <w:shd w:val="clear" w:color="auto" w:fill="auto"/>
            <w:noWrap/>
            <w:vAlign w:val="center"/>
            <w:hideMark/>
          </w:tcPr>
          <w:p w14:paraId="7047A1E0" w14:textId="77777777" w:rsidR="00FD57F2" w:rsidRPr="00D46647" w:rsidRDefault="00FD57F2" w:rsidP="00FD57F2">
            <w:pPr>
              <w:jc w:val="center"/>
              <w:rPr>
                <w:sz w:val="16"/>
                <w:szCs w:val="16"/>
              </w:rPr>
            </w:pPr>
          </w:p>
        </w:tc>
        <w:tc>
          <w:tcPr>
            <w:tcW w:w="432" w:type="dxa"/>
            <w:shd w:val="clear" w:color="auto" w:fill="auto"/>
            <w:noWrap/>
            <w:vAlign w:val="center"/>
            <w:hideMark/>
          </w:tcPr>
          <w:p w14:paraId="0719F076" w14:textId="77777777" w:rsidR="00FD57F2" w:rsidRPr="00D46647" w:rsidRDefault="00FD57F2" w:rsidP="00FD57F2">
            <w:pPr>
              <w:jc w:val="center"/>
              <w:rPr>
                <w:sz w:val="16"/>
                <w:szCs w:val="16"/>
              </w:rPr>
            </w:pPr>
          </w:p>
        </w:tc>
        <w:tc>
          <w:tcPr>
            <w:tcW w:w="431" w:type="dxa"/>
            <w:shd w:val="clear" w:color="auto" w:fill="auto"/>
            <w:noWrap/>
            <w:vAlign w:val="center"/>
            <w:hideMark/>
          </w:tcPr>
          <w:p w14:paraId="092A8981" w14:textId="77777777" w:rsidR="00FD57F2" w:rsidRPr="00D46647" w:rsidRDefault="00FD57F2" w:rsidP="00FD57F2">
            <w:pPr>
              <w:jc w:val="center"/>
              <w:rPr>
                <w:sz w:val="16"/>
                <w:szCs w:val="16"/>
              </w:rPr>
            </w:pPr>
          </w:p>
        </w:tc>
        <w:tc>
          <w:tcPr>
            <w:tcW w:w="435" w:type="dxa"/>
            <w:shd w:val="clear" w:color="auto" w:fill="auto"/>
            <w:noWrap/>
            <w:vAlign w:val="center"/>
            <w:hideMark/>
          </w:tcPr>
          <w:p w14:paraId="3FE9DAE7" w14:textId="77777777" w:rsidR="00FD57F2" w:rsidRPr="00D46647" w:rsidRDefault="00FD57F2" w:rsidP="00FD57F2">
            <w:pPr>
              <w:jc w:val="center"/>
              <w:rPr>
                <w:sz w:val="16"/>
                <w:szCs w:val="16"/>
              </w:rPr>
            </w:pPr>
          </w:p>
        </w:tc>
        <w:tc>
          <w:tcPr>
            <w:tcW w:w="492" w:type="dxa"/>
            <w:shd w:val="clear" w:color="auto" w:fill="auto"/>
            <w:vAlign w:val="center"/>
          </w:tcPr>
          <w:p w14:paraId="097F9CDF" w14:textId="77777777" w:rsidR="00FD57F2" w:rsidRPr="00D46647" w:rsidRDefault="00FD57F2" w:rsidP="00FD57F2">
            <w:pPr>
              <w:jc w:val="center"/>
              <w:rPr>
                <w:sz w:val="16"/>
                <w:szCs w:val="16"/>
              </w:rPr>
            </w:pPr>
          </w:p>
        </w:tc>
        <w:tc>
          <w:tcPr>
            <w:tcW w:w="396" w:type="dxa"/>
            <w:shd w:val="clear" w:color="auto" w:fill="auto"/>
            <w:vAlign w:val="center"/>
          </w:tcPr>
          <w:p w14:paraId="7FB1DF64" w14:textId="77777777" w:rsidR="00FD57F2" w:rsidRPr="00D46647" w:rsidRDefault="00FD57F2" w:rsidP="00FD57F2">
            <w:pPr>
              <w:jc w:val="center"/>
              <w:rPr>
                <w:sz w:val="16"/>
                <w:szCs w:val="16"/>
              </w:rPr>
            </w:pPr>
          </w:p>
        </w:tc>
      </w:tr>
      <w:tr w:rsidR="00FD57F2" w:rsidRPr="00D46647" w14:paraId="1F9C13A8" w14:textId="77777777" w:rsidTr="007E3422">
        <w:trPr>
          <w:jc w:val="center"/>
        </w:trPr>
        <w:tc>
          <w:tcPr>
            <w:tcW w:w="1585" w:type="dxa"/>
            <w:shd w:val="clear" w:color="auto" w:fill="auto"/>
            <w:noWrap/>
            <w:vAlign w:val="bottom"/>
            <w:hideMark/>
          </w:tcPr>
          <w:p w14:paraId="0DEB3997" w14:textId="77777777" w:rsidR="00FD57F2" w:rsidRPr="00D46647" w:rsidRDefault="00FD57F2" w:rsidP="00FD57F2">
            <w:pPr>
              <w:rPr>
                <w:sz w:val="16"/>
                <w:szCs w:val="16"/>
              </w:rPr>
            </w:pPr>
            <w:r w:rsidRPr="00D46647">
              <w:rPr>
                <w:sz w:val="16"/>
              </w:rPr>
              <w:t>Attribution des contrats aux ingénieurs</w:t>
            </w:r>
          </w:p>
        </w:tc>
        <w:tc>
          <w:tcPr>
            <w:tcW w:w="431" w:type="dxa"/>
            <w:shd w:val="clear" w:color="auto" w:fill="auto"/>
            <w:noWrap/>
            <w:vAlign w:val="center"/>
            <w:hideMark/>
          </w:tcPr>
          <w:p w14:paraId="140D207D" w14:textId="77777777" w:rsidR="00FD57F2" w:rsidRPr="00D46647" w:rsidRDefault="00FD57F2" w:rsidP="00FD57F2">
            <w:pPr>
              <w:jc w:val="center"/>
              <w:rPr>
                <w:sz w:val="16"/>
                <w:szCs w:val="16"/>
              </w:rPr>
            </w:pPr>
          </w:p>
        </w:tc>
        <w:tc>
          <w:tcPr>
            <w:tcW w:w="432" w:type="dxa"/>
            <w:shd w:val="clear" w:color="auto" w:fill="auto"/>
            <w:noWrap/>
            <w:vAlign w:val="center"/>
            <w:hideMark/>
          </w:tcPr>
          <w:p w14:paraId="56A40B97" w14:textId="77777777" w:rsidR="00FD57F2" w:rsidRPr="00D46647" w:rsidRDefault="00FD57F2" w:rsidP="00FD57F2">
            <w:pPr>
              <w:jc w:val="center"/>
              <w:rPr>
                <w:sz w:val="16"/>
                <w:szCs w:val="16"/>
              </w:rPr>
            </w:pPr>
          </w:p>
        </w:tc>
        <w:tc>
          <w:tcPr>
            <w:tcW w:w="433" w:type="dxa"/>
            <w:shd w:val="clear" w:color="auto" w:fill="auto"/>
            <w:noWrap/>
            <w:vAlign w:val="center"/>
            <w:hideMark/>
          </w:tcPr>
          <w:p w14:paraId="6E5D71D3" w14:textId="77777777" w:rsidR="00FD57F2" w:rsidRPr="00D46647" w:rsidRDefault="00FD57F2" w:rsidP="00FD57F2">
            <w:pPr>
              <w:jc w:val="center"/>
              <w:rPr>
                <w:sz w:val="16"/>
                <w:szCs w:val="16"/>
              </w:rPr>
            </w:pPr>
          </w:p>
        </w:tc>
        <w:tc>
          <w:tcPr>
            <w:tcW w:w="433" w:type="dxa"/>
            <w:shd w:val="clear" w:color="auto" w:fill="auto"/>
            <w:noWrap/>
            <w:vAlign w:val="center"/>
            <w:hideMark/>
          </w:tcPr>
          <w:p w14:paraId="11E4A0EB" w14:textId="77777777" w:rsidR="00FD57F2" w:rsidRPr="00D46647" w:rsidRDefault="00FD57F2" w:rsidP="00FD57F2">
            <w:pPr>
              <w:jc w:val="center"/>
              <w:rPr>
                <w:sz w:val="16"/>
                <w:szCs w:val="16"/>
              </w:rPr>
            </w:pPr>
          </w:p>
        </w:tc>
        <w:tc>
          <w:tcPr>
            <w:tcW w:w="432" w:type="dxa"/>
            <w:shd w:val="clear" w:color="auto" w:fill="auto"/>
            <w:noWrap/>
            <w:vAlign w:val="center"/>
            <w:hideMark/>
          </w:tcPr>
          <w:p w14:paraId="0AFE1531" w14:textId="77777777" w:rsidR="00FD57F2" w:rsidRPr="00D46647" w:rsidRDefault="00FD57F2" w:rsidP="00FD57F2">
            <w:pPr>
              <w:jc w:val="center"/>
              <w:rPr>
                <w:sz w:val="16"/>
                <w:szCs w:val="16"/>
              </w:rPr>
            </w:pPr>
          </w:p>
        </w:tc>
        <w:tc>
          <w:tcPr>
            <w:tcW w:w="431" w:type="dxa"/>
            <w:shd w:val="clear" w:color="auto" w:fill="auto"/>
            <w:noWrap/>
            <w:vAlign w:val="center"/>
            <w:hideMark/>
          </w:tcPr>
          <w:p w14:paraId="507FA6A8" w14:textId="77777777" w:rsidR="00FD57F2" w:rsidRPr="00D46647" w:rsidRDefault="00FD57F2" w:rsidP="00FD57F2">
            <w:pPr>
              <w:jc w:val="center"/>
              <w:rPr>
                <w:sz w:val="16"/>
                <w:szCs w:val="16"/>
              </w:rPr>
            </w:pPr>
          </w:p>
        </w:tc>
        <w:tc>
          <w:tcPr>
            <w:tcW w:w="432" w:type="dxa"/>
            <w:shd w:val="clear" w:color="auto" w:fill="auto"/>
            <w:noWrap/>
            <w:vAlign w:val="center"/>
            <w:hideMark/>
          </w:tcPr>
          <w:p w14:paraId="4C295B2A" w14:textId="77777777" w:rsidR="00FD57F2" w:rsidRPr="00D46647" w:rsidRDefault="00FD57F2" w:rsidP="00FD57F2">
            <w:pPr>
              <w:jc w:val="center"/>
              <w:rPr>
                <w:sz w:val="16"/>
                <w:szCs w:val="16"/>
              </w:rPr>
            </w:pPr>
          </w:p>
        </w:tc>
        <w:tc>
          <w:tcPr>
            <w:tcW w:w="431" w:type="dxa"/>
            <w:shd w:val="clear" w:color="auto" w:fill="auto"/>
            <w:noWrap/>
            <w:vAlign w:val="center"/>
            <w:hideMark/>
          </w:tcPr>
          <w:p w14:paraId="699B35D1" w14:textId="77777777" w:rsidR="00FD57F2" w:rsidRPr="00D46647" w:rsidRDefault="00FD57F2" w:rsidP="00FD57F2">
            <w:pPr>
              <w:jc w:val="center"/>
              <w:rPr>
                <w:sz w:val="16"/>
                <w:szCs w:val="16"/>
              </w:rPr>
            </w:pPr>
          </w:p>
        </w:tc>
        <w:tc>
          <w:tcPr>
            <w:tcW w:w="432" w:type="dxa"/>
            <w:shd w:val="clear" w:color="auto" w:fill="auto"/>
            <w:noWrap/>
            <w:vAlign w:val="center"/>
            <w:hideMark/>
          </w:tcPr>
          <w:p w14:paraId="026C91C9"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hideMark/>
          </w:tcPr>
          <w:p w14:paraId="1A216CFE"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hideMark/>
          </w:tcPr>
          <w:p w14:paraId="0F5EFCC2" w14:textId="77777777" w:rsidR="00FD57F2" w:rsidRPr="00D46647" w:rsidRDefault="00FD57F2" w:rsidP="00FD57F2">
            <w:pPr>
              <w:jc w:val="center"/>
              <w:rPr>
                <w:sz w:val="16"/>
                <w:szCs w:val="16"/>
              </w:rPr>
            </w:pPr>
          </w:p>
        </w:tc>
        <w:tc>
          <w:tcPr>
            <w:tcW w:w="432" w:type="dxa"/>
            <w:shd w:val="clear" w:color="auto" w:fill="auto"/>
            <w:noWrap/>
            <w:vAlign w:val="center"/>
            <w:hideMark/>
          </w:tcPr>
          <w:p w14:paraId="4A135699" w14:textId="77777777" w:rsidR="00FD57F2" w:rsidRPr="00D46647" w:rsidRDefault="00FD57F2" w:rsidP="00FD57F2">
            <w:pPr>
              <w:jc w:val="center"/>
              <w:rPr>
                <w:sz w:val="16"/>
                <w:szCs w:val="16"/>
              </w:rPr>
            </w:pPr>
          </w:p>
        </w:tc>
        <w:tc>
          <w:tcPr>
            <w:tcW w:w="431" w:type="dxa"/>
            <w:shd w:val="clear" w:color="auto" w:fill="auto"/>
            <w:noWrap/>
            <w:vAlign w:val="center"/>
            <w:hideMark/>
          </w:tcPr>
          <w:p w14:paraId="62EE074B" w14:textId="77777777" w:rsidR="00FD57F2" w:rsidRPr="00D46647" w:rsidRDefault="00FD57F2" w:rsidP="00FD57F2">
            <w:pPr>
              <w:jc w:val="center"/>
              <w:rPr>
                <w:sz w:val="16"/>
                <w:szCs w:val="16"/>
              </w:rPr>
            </w:pPr>
          </w:p>
        </w:tc>
        <w:tc>
          <w:tcPr>
            <w:tcW w:w="432" w:type="dxa"/>
            <w:shd w:val="clear" w:color="auto" w:fill="auto"/>
            <w:noWrap/>
            <w:vAlign w:val="center"/>
            <w:hideMark/>
          </w:tcPr>
          <w:p w14:paraId="609AAEAC" w14:textId="77777777" w:rsidR="00FD57F2" w:rsidRPr="00D46647" w:rsidRDefault="00FD57F2" w:rsidP="00FD57F2">
            <w:pPr>
              <w:jc w:val="center"/>
              <w:rPr>
                <w:sz w:val="16"/>
                <w:szCs w:val="16"/>
              </w:rPr>
            </w:pPr>
          </w:p>
        </w:tc>
        <w:tc>
          <w:tcPr>
            <w:tcW w:w="431" w:type="dxa"/>
            <w:shd w:val="clear" w:color="auto" w:fill="auto"/>
            <w:noWrap/>
            <w:vAlign w:val="center"/>
            <w:hideMark/>
          </w:tcPr>
          <w:p w14:paraId="292BE1F0" w14:textId="77777777" w:rsidR="00FD57F2" w:rsidRPr="00D46647" w:rsidRDefault="00FD57F2" w:rsidP="00FD57F2">
            <w:pPr>
              <w:jc w:val="center"/>
              <w:rPr>
                <w:sz w:val="16"/>
                <w:szCs w:val="16"/>
              </w:rPr>
            </w:pPr>
          </w:p>
        </w:tc>
        <w:tc>
          <w:tcPr>
            <w:tcW w:w="435" w:type="dxa"/>
            <w:shd w:val="clear" w:color="auto" w:fill="auto"/>
            <w:noWrap/>
            <w:vAlign w:val="center"/>
            <w:hideMark/>
          </w:tcPr>
          <w:p w14:paraId="13878BC8" w14:textId="77777777" w:rsidR="00FD57F2" w:rsidRPr="00D46647" w:rsidRDefault="00FD57F2" w:rsidP="00FD57F2">
            <w:pPr>
              <w:jc w:val="center"/>
              <w:rPr>
                <w:sz w:val="16"/>
                <w:szCs w:val="16"/>
              </w:rPr>
            </w:pPr>
          </w:p>
        </w:tc>
        <w:tc>
          <w:tcPr>
            <w:tcW w:w="492" w:type="dxa"/>
            <w:shd w:val="clear" w:color="auto" w:fill="auto"/>
            <w:vAlign w:val="center"/>
          </w:tcPr>
          <w:p w14:paraId="520A3818" w14:textId="77777777" w:rsidR="00FD57F2" w:rsidRPr="00D46647" w:rsidRDefault="00FD57F2" w:rsidP="00FD57F2">
            <w:pPr>
              <w:jc w:val="center"/>
              <w:rPr>
                <w:sz w:val="16"/>
                <w:szCs w:val="16"/>
              </w:rPr>
            </w:pPr>
          </w:p>
        </w:tc>
        <w:tc>
          <w:tcPr>
            <w:tcW w:w="396" w:type="dxa"/>
            <w:shd w:val="clear" w:color="auto" w:fill="auto"/>
            <w:vAlign w:val="center"/>
          </w:tcPr>
          <w:p w14:paraId="6D16D2A6" w14:textId="77777777" w:rsidR="00FD57F2" w:rsidRPr="00D46647" w:rsidRDefault="00FD57F2" w:rsidP="00FD57F2">
            <w:pPr>
              <w:jc w:val="center"/>
              <w:rPr>
                <w:sz w:val="16"/>
                <w:szCs w:val="16"/>
              </w:rPr>
            </w:pPr>
          </w:p>
        </w:tc>
      </w:tr>
      <w:tr w:rsidR="00FD57F2" w:rsidRPr="00D46647" w14:paraId="2DB20B68" w14:textId="77777777" w:rsidTr="007E3422">
        <w:trPr>
          <w:jc w:val="center"/>
        </w:trPr>
        <w:tc>
          <w:tcPr>
            <w:tcW w:w="1585" w:type="dxa"/>
            <w:shd w:val="clear" w:color="auto" w:fill="auto"/>
            <w:noWrap/>
            <w:vAlign w:val="bottom"/>
            <w:hideMark/>
          </w:tcPr>
          <w:p w14:paraId="41AAD658" w14:textId="77777777" w:rsidR="00FD57F2" w:rsidRPr="00D46647" w:rsidRDefault="00FD57F2" w:rsidP="00FD57F2">
            <w:pPr>
              <w:rPr>
                <w:sz w:val="16"/>
                <w:szCs w:val="16"/>
              </w:rPr>
            </w:pPr>
            <w:r w:rsidRPr="00D46647">
              <w:rPr>
                <w:sz w:val="16"/>
              </w:rPr>
              <w:t xml:space="preserve">Études détaillées en vue de l’exécution des travaux </w:t>
            </w:r>
          </w:p>
        </w:tc>
        <w:tc>
          <w:tcPr>
            <w:tcW w:w="431" w:type="dxa"/>
            <w:shd w:val="clear" w:color="auto" w:fill="auto"/>
            <w:noWrap/>
            <w:vAlign w:val="center"/>
            <w:hideMark/>
          </w:tcPr>
          <w:p w14:paraId="51EDBE4B" w14:textId="77777777" w:rsidR="00FD57F2" w:rsidRPr="00D46647" w:rsidRDefault="00FD57F2" w:rsidP="00FD57F2">
            <w:pPr>
              <w:jc w:val="center"/>
              <w:rPr>
                <w:sz w:val="16"/>
                <w:szCs w:val="16"/>
              </w:rPr>
            </w:pPr>
          </w:p>
        </w:tc>
        <w:tc>
          <w:tcPr>
            <w:tcW w:w="432" w:type="dxa"/>
            <w:shd w:val="clear" w:color="auto" w:fill="auto"/>
            <w:noWrap/>
            <w:vAlign w:val="center"/>
            <w:hideMark/>
          </w:tcPr>
          <w:p w14:paraId="28AA124C" w14:textId="77777777" w:rsidR="00FD57F2" w:rsidRPr="00D46647" w:rsidRDefault="00FD57F2" w:rsidP="00FD57F2">
            <w:pPr>
              <w:jc w:val="center"/>
              <w:rPr>
                <w:sz w:val="16"/>
                <w:szCs w:val="16"/>
              </w:rPr>
            </w:pPr>
          </w:p>
        </w:tc>
        <w:tc>
          <w:tcPr>
            <w:tcW w:w="433" w:type="dxa"/>
            <w:shd w:val="clear" w:color="auto" w:fill="auto"/>
            <w:noWrap/>
            <w:vAlign w:val="center"/>
            <w:hideMark/>
          </w:tcPr>
          <w:p w14:paraId="1F8CB94A" w14:textId="77777777" w:rsidR="00FD57F2" w:rsidRPr="00D46647" w:rsidRDefault="00FD57F2" w:rsidP="00FD57F2">
            <w:pPr>
              <w:jc w:val="center"/>
              <w:rPr>
                <w:sz w:val="16"/>
                <w:szCs w:val="16"/>
              </w:rPr>
            </w:pPr>
          </w:p>
        </w:tc>
        <w:tc>
          <w:tcPr>
            <w:tcW w:w="433" w:type="dxa"/>
            <w:shd w:val="clear" w:color="auto" w:fill="auto"/>
            <w:noWrap/>
            <w:vAlign w:val="center"/>
            <w:hideMark/>
          </w:tcPr>
          <w:p w14:paraId="74AD10E4" w14:textId="77777777" w:rsidR="00FD57F2" w:rsidRPr="00D46647" w:rsidRDefault="00FD57F2" w:rsidP="00FD57F2">
            <w:pPr>
              <w:jc w:val="center"/>
              <w:rPr>
                <w:sz w:val="16"/>
                <w:szCs w:val="16"/>
              </w:rPr>
            </w:pPr>
          </w:p>
        </w:tc>
        <w:tc>
          <w:tcPr>
            <w:tcW w:w="432" w:type="dxa"/>
            <w:shd w:val="clear" w:color="auto" w:fill="auto"/>
            <w:noWrap/>
            <w:vAlign w:val="center"/>
            <w:hideMark/>
          </w:tcPr>
          <w:p w14:paraId="2E6DDFD5" w14:textId="77777777" w:rsidR="00FD57F2" w:rsidRPr="00D46647" w:rsidRDefault="00FD57F2" w:rsidP="00FD57F2">
            <w:pPr>
              <w:jc w:val="center"/>
              <w:rPr>
                <w:sz w:val="16"/>
                <w:szCs w:val="16"/>
              </w:rPr>
            </w:pPr>
          </w:p>
        </w:tc>
        <w:tc>
          <w:tcPr>
            <w:tcW w:w="431" w:type="dxa"/>
            <w:shd w:val="clear" w:color="auto" w:fill="auto"/>
            <w:noWrap/>
            <w:vAlign w:val="center"/>
            <w:hideMark/>
          </w:tcPr>
          <w:p w14:paraId="4830C286" w14:textId="77777777" w:rsidR="00FD57F2" w:rsidRPr="00D46647" w:rsidRDefault="00FD57F2" w:rsidP="00FD57F2">
            <w:pPr>
              <w:jc w:val="center"/>
              <w:rPr>
                <w:sz w:val="16"/>
                <w:szCs w:val="16"/>
              </w:rPr>
            </w:pPr>
          </w:p>
        </w:tc>
        <w:tc>
          <w:tcPr>
            <w:tcW w:w="432" w:type="dxa"/>
            <w:shd w:val="clear" w:color="auto" w:fill="auto"/>
            <w:noWrap/>
            <w:vAlign w:val="center"/>
            <w:hideMark/>
          </w:tcPr>
          <w:p w14:paraId="11A367D9" w14:textId="77777777" w:rsidR="00FD57F2" w:rsidRPr="00D46647" w:rsidRDefault="00FD57F2" w:rsidP="00FD57F2">
            <w:pPr>
              <w:jc w:val="center"/>
              <w:rPr>
                <w:sz w:val="16"/>
                <w:szCs w:val="16"/>
              </w:rPr>
            </w:pPr>
          </w:p>
        </w:tc>
        <w:tc>
          <w:tcPr>
            <w:tcW w:w="431" w:type="dxa"/>
            <w:shd w:val="clear" w:color="auto" w:fill="auto"/>
            <w:noWrap/>
            <w:vAlign w:val="center"/>
            <w:hideMark/>
          </w:tcPr>
          <w:p w14:paraId="44D3A927" w14:textId="77777777" w:rsidR="00FD57F2" w:rsidRPr="00D46647" w:rsidRDefault="00FD57F2" w:rsidP="00FD57F2">
            <w:pPr>
              <w:jc w:val="center"/>
              <w:rPr>
                <w:sz w:val="16"/>
                <w:szCs w:val="16"/>
              </w:rPr>
            </w:pPr>
            <w:r w:rsidRPr="00D46647">
              <w:rPr>
                <w:sz w:val="16"/>
                <w:szCs w:val="16"/>
              </w:rPr>
              <w:t>X</w:t>
            </w:r>
          </w:p>
        </w:tc>
        <w:tc>
          <w:tcPr>
            <w:tcW w:w="432" w:type="dxa"/>
            <w:shd w:val="clear" w:color="auto" w:fill="auto"/>
            <w:noWrap/>
            <w:vAlign w:val="center"/>
            <w:hideMark/>
          </w:tcPr>
          <w:p w14:paraId="070D154A"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hideMark/>
          </w:tcPr>
          <w:p w14:paraId="1BF65C60"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hideMark/>
          </w:tcPr>
          <w:p w14:paraId="554293F5" w14:textId="77777777" w:rsidR="00FD57F2" w:rsidRPr="00D46647" w:rsidRDefault="00FD57F2" w:rsidP="00FD57F2">
            <w:pPr>
              <w:jc w:val="center"/>
              <w:rPr>
                <w:sz w:val="16"/>
                <w:szCs w:val="16"/>
              </w:rPr>
            </w:pPr>
          </w:p>
        </w:tc>
        <w:tc>
          <w:tcPr>
            <w:tcW w:w="432" w:type="dxa"/>
            <w:shd w:val="clear" w:color="auto" w:fill="auto"/>
            <w:noWrap/>
            <w:vAlign w:val="center"/>
            <w:hideMark/>
          </w:tcPr>
          <w:p w14:paraId="763309F9" w14:textId="77777777" w:rsidR="00FD57F2" w:rsidRPr="00D46647" w:rsidRDefault="00FD57F2" w:rsidP="00FD57F2">
            <w:pPr>
              <w:jc w:val="center"/>
              <w:rPr>
                <w:sz w:val="16"/>
                <w:szCs w:val="16"/>
              </w:rPr>
            </w:pPr>
          </w:p>
        </w:tc>
        <w:tc>
          <w:tcPr>
            <w:tcW w:w="431" w:type="dxa"/>
            <w:shd w:val="clear" w:color="auto" w:fill="auto"/>
            <w:noWrap/>
            <w:vAlign w:val="center"/>
            <w:hideMark/>
          </w:tcPr>
          <w:p w14:paraId="1F128BD9" w14:textId="77777777" w:rsidR="00FD57F2" w:rsidRPr="00D46647" w:rsidRDefault="00FD57F2" w:rsidP="00FD57F2">
            <w:pPr>
              <w:jc w:val="center"/>
              <w:rPr>
                <w:sz w:val="16"/>
                <w:szCs w:val="16"/>
              </w:rPr>
            </w:pPr>
          </w:p>
        </w:tc>
        <w:tc>
          <w:tcPr>
            <w:tcW w:w="432" w:type="dxa"/>
            <w:shd w:val="clear" w:color="auto" w:fill="auto"/>
            <w:noWrap/>
            <w:vAlign w:val="center"/>
            <w:hideMark/>
          </w:tcPr>
          <w:p w14:paraId="258BB703" w14:textId="77777777" w:rsidR="00FD57F2" w:rsidRPr="00D46647" w:rsidRDefault="00FD57F2" w:rsidP="00FD57F2">
            <w:pPr>
              <w:jc w:val="center"/>
              <w:rPr>
                <w:sz w:val="16"/>
                <w:szCs w:val="16"/>
              </w:rPr>
            </w:pPr>
          </w:p>
        </w:tc>
        <w:tc>
          <w:tcPr>
            <w:tcW w:w="431" w:type="dxa"/>
            <w:shd w:val="clear" w:color="auto" w:fill="auto"/>
            <w:noWrap/>
            <w:vAlign w:val="center"/>
            <w:hideMark/>
          </w:tcPr>
          <w:p w14:paraId="7BF8A3E3" w14:textId="77777777" w:rsidR="00FD57F2" w:rsidRPr="00D46647" w:rsidRDefault="00FD57F2" w:rsidP="00FD57F2">
            <w:pPr>
              <w:jc w:val="center"/>
              <w:rPr>
                <w:sz w:val="16"/>
                <w:szCs w:val="16"/>
              </w:rPr>
            </w:pPr>
          </w:p>
        </w:tc>
        <w:tc>
          <w:tcPr>
            <w:tcW w:w="435" w:type="dxa"/>
            <w:shd w:val="clear" w:color="auto" w:fill="auto"/>
            <w:noWrap/>
            <w:vAlign w:val="center"/>
            <w:hideMark/>
          </w:tcPr>
          <w:p w14:paraId="0CB42558" w14:textId="77777777" w:rsidR="00FD57F2" w:rsidRPr="00D46647" w:rsidRDefault="00FD57F2" w:rsidP="00FD57F2">
            <w:pPr>
              <w:jc w:val="center"/>
              <w:rPr>
                <w:sz w:val="16"/>
                <w:szCs w:val="16"/>
              </w:rPr>
            </w:pPr>
          </w:p>
        </w:tc>
        <w:tc>
          <w:tcPr>
            <w:tcW w:w="492" w:type="dxa"/>
            <w:shd w:val="clear" w:color="auto" w:fill="auto"/>
            <w:vAlign w:val="center"/>
          </w:tcPr>
          <w:p w14:paraId="76094767" w14:textId="77777777" w:rsidR="00FD57F2" w:rsidRPr="00D46647" w:rsidRDefault="00FD57F2" w:rsidP="00FD57F2">
            <w:pPr>
              <w:jc w:val="center"/>
              <w:rPr>
                <w:sz w:val="16"/>
                <w:szCs w:val="16"/>
              </w:rPr>
            </w:pPr>
          </w:p>
        </w:tc>
        <w:tc>
          <w:tcPr>
            <w:tcW w:w="396" w:type="dxa"/>
            <w:shd w:val="clear" w:color="auto" w:fill="auto"/>
            <w:vAlign w:val="center"/>
          </w:tcPr>
          <w:p w14:paraId="5D054196" w14:textId="77777777" w:rsidR="00FD57F2" w:rsidRPr="00D46647" w:rsidRDefault="00FD57F2" w:rsidP="00FD57F2">
            <w:pPr>
              <w:jc w:val="center"/>
              <w:rPr>
                <w:sz w:val="16"/>
                <w:szCs w:val="16"/>
              </w:rPr>
            </w:pPr>
          </w:p>
        </w:tc>
      </w:tr>
      <w:tr w:rsidR="00FD57F2" w:rsidRPr="00D46647" w14:paraId="13CDB42C" w14:textId="77777777" w:rsidTr="007E3422">
        <w:trPr>
          <w:jc w:val="center"/>
        </w:trPr>
        <w:tc>
          <w:tcPr>
            <w:tcW w:w="1585" w:type="dxa"/>
            <w:shd w:val="clear" w:color="auto" w:fill="auto"/>
            <w:noWrap/>
            <w:vAlign w:val="center"/>
          </w:tcPr>
          <w:p w14:paraId="226C6E8C" w14:textId="77777777" w:rsidR="00FD57F2" w:rsidRPr="00D46647" w:rsidRDefault="00FD57F2" w:rsidP="00FD57F2">
            <w:pPr>
              <w:rPr>
                <w:noProof/>
                <w:sz w:val="16"/>
                <w:szCs w:val="16"/>
              </w:rPr>
            </w:pPr>
            <w:r w:rsidRPr="00D46647">
              <w:rPr>
                <w:noProof/>
                <w:sz w:val="16"/>
                <w:szCs w:val="16"/>
              </w:rPr>
              <w:t>Changements de décision en interne quant au choix entre une future imprimerie et les deux ateliers d’impression existants</w:t>
            </w:r>
          </w:p>
        </w:tc>
        <w:tc>
          <w:tcPr>
            <w:tcW w:w="431" w:type="dxa"/>
            <w:shd w:val="clear" w:color="auto" w:fill="auto"/>
            <w:noWrap/>
            <w:vAlign w:val="center"/>
          </w:tcPr>
          <w:p w14:paraId="34D9BB90" w14:textId="77777777" w:rsidR="00FD57F2" w:rsidRPr="00D46647" w:rsidRDefault="00FD57F2" w:rsidP="00FD57F2">
            <w:pPr>
              <w:jc w:val="center"/>
              <w:rPr>
                <w:noProof/>
                <w:sz w:val="16"/>
                <w:szCs w:val="16"/>
              </w:rPr>
            </w:pPr>
          </w:p>
        </w:tc>
        <w:tc>
          <w:tcPr>
            <w:tcW w:w="432" w:type="dxa"/>
            <w:shd w:val="clear" w:color="auto" w:fill="auto"/>
            <w:noWrap/>
            <w:vAlign w:val="center"/>
          </w:tcPr>
          <w:p w14:paraId="1FFD60D3" w14:textId="77777777" w:rsidR="00FD57F2" w:rsidRPr="00D46647" w:rsidRDefault="00FD57F2" w:rsidP="00FD57F2">
            <w:pPr>
              <w:jc w:val="center"/>
              <w:rPr>
                <w:noProof/>
                <w:sz w:val="16"/>
                <w:szCs w:val="16"/>
              </w:rPr>
            </w:pPr>
          </w:p>
        </w:tc>
        <w:tc>
          <w:tcPr>
            <w:tcW w:w="433" w:type="dxa"/>
            <w:shd w:val="clear" w:color="auto" w:fill="auto"/>
            <w:noWrap/>
            <w:vAlign w:val="center"/>
          </w:tcPr>
          <w:p w14:paraId="56784C80" w14:textId="77777777" w:rsidR="00FD57F2" w:rsidRPr="00D46647" w:rsidRDefault="00FD57F2" w:rsidP="00FD57F2">
            <w:pPr>
              <w:jc w:val="center"/>
              <w:rPr>
                <w:noProof/>
                <w:sz w:val="16"/>
                <w:szCs w:val="16"/>
              </w:rPr>
            </w:pPr>
          </w:p>
        </w:tc>
        <w:tc>
          <w:tcPr>
            <w:tcW w:w="433" w:type="dxa"/>
            <w:shd w:val="clear" w:color="auto" w:fill="auto"/>
            <w:noWrap/>
            <w:vAlign w:val="center"/>
          </w:tcPr>
          <w:p w14:paraId="601BC023" w14:textId="77777777" w:rsidR="00FD57F2" w:rsidRPr="00D46647" w:rsidRDefault="00FD57F2" w:rsidP="00FD57F2">
            <w:pPr>
              <w:jc w:val="center"/>
              <w:rPr>
                <w:noProof/>
                <w:sz w:val="16"/>
                <w:szCs w:val="16"/>
              </w:rPr>
            </w:pPr>
          </w:p>
        </w:tc>
        <w:tc>
          <w:tcPr>
            <w:tcW w:w="432" w:type="dxa"/>
            <w:shd w:val="clear" w:color="auto" w:fill="auto"/>
            <w:noWrap/>
            <w:vAlign w:val="center"/>
          </w:tcPr>
          <w:p w14:paraId="23A6DF4D" w14:textId="77777777" w:rsidR="00FD57F2" w:rsidRPr="00D46647" w:rsidRDefault="00FD57F2" w:rsidP="00FD57F2">
            <w:pPr>
              <w:jc w:val="center"/>
              <w:rPr>
                <w:noProof/>
                <w:sz w:val="16"/>
                <w:szCs w:val="16"/>
              </w:rPr>
            </w:pPr>
          </w:p>
        </w:tc>
        <w:tc>
          <w:tcPr>
            <w:tcW w:w="431" w:type="dxa"/>
            <w:shd w:val="clear" w:color="auto" w:fill="auto"/>
            <w:noWrap/>
            <w:vAlign w:val="center"/>
          </w:tcPr>
          <w:p w14:paraId="53D1459E" w14:textId="77777777" w:rsidR="00FD57F2" w:rsidRPr="00D46647" w:rsidRDefault="00FD57F2" w:rsidP="00FD57F2">
            <w:pPr>
              <w:jc w:val="center"/>
              <w:rPr>
                <w:noProof/>
                <w:sz w:val="16"/>
                <w:szCs w:val="16"/>
              </w:rPr>
            </w:pPr>
          </w:p>
        </w:tc>
        <w:tc>
          <w:tcPr>
            <w:tcW w:w="432" w:type="dxa"/>
            <w:shd w:val="clear" w:color="auto" w:fill="auto"/>
            <w:noWrap/>
            <w:vAlign w:val="center"/>
          </w:tcPr>
          <w:p w14:paraId="1E68A487" w14:textId="77777777" w:rsidR="00FD57F2" w:rsidRPr="00D46647" w:rsidRDefault="00FD57F2" w:rsidP="00FD57F2">
            <w:pPr>
              <w:jc w:val="center"/>
              <w:rPr>
                <w:noProof/>
                <w:sz w:val="16"/>
                <w:szCs w:val="16"/>
              </w:rPr>
            </w:pPr>
          </w:p>
        </w:tc>
        <w:tc>
          <w:tcPr>
            <w:tcW w:w="431" w:type="dxa"/>
            <w:shd w:val="clear" w:color="auto" w:fill="auto"/>
            <w:noWrap/>
            <w:vAlign w:val="center"/>
          </w:tcPr>
          <w:p w14:paraId="2F7C98A0" w14:textId="77777777" w:rsidR="00FD57F2" w:rsidRPr="00D46647" w:rsidRDefault="00FD57F2" w:rsidP="00FD57F2">
            <w:pPr>
              <w:jc w:val="center"/>
              <w:rPr>
                <w:noProof/>
                <w:sz w:val="16"/>
                <w:szCs w:val="16"/>
              </w:rPr>
            </w:pPr>
          </w:p>
        </w:tc>
        <w:tc>
          <w:tcPr>
            <w:tcW w:w="432" w:type="dxa"/>
            <w:shd w:val="clear" w:color="auto" w:fill="auto"/>
            <w:noWrap/>
            <w:vAlign w:val="center"/>
          </w:tcPr>
          <w:p w14:paraId="59F7F3D6" w14:textId="77777777" w:rsidR="00FD57F2" w:rsidRPr="00D46647" w:rsidRDefault="00FD57F2" w:rsidP="00FD57F2">
            <w:pPr>
              <w:jc w:val="center"/>
              <w:rPr>
                <w:noProof/>
                <w:sz w:val="16"/>
                <w:szCs w:val="16"/>
              </w:rPr>
            </w:pPr>
          </w:p>
        </w:tc>
        <w:tc>
          <w:tcPr>
            <w:tcW w:w="431" w:type="dxa"/>
            <w:shd w:val="clear" w:color="auto" w:fill="auto"/>
            <w:noWrap/>
            <w:vAlign w:val="center"/>
          </w:tcPr>
          <w:p w14:paraId="18523E0C" w14:textId="77777777" w:rsidR="00FD57F2" w:rsidRPr="00D46647" w:rsidRDefault="00FD57F2" w:rsidP="00FD57F2">
            <w:pPr>
              <w:jc w:val="center"/>
              <w:rPr>
                <w:noProof/>
                <w:sz w:val="16"/>
                <w:szCs w:val="16"/>
              </w:rPr>
            </w:pPr>
          </w:p>
        </w:tc>
        <w:tc>
          <w:tcPr>
            <w:tcW w:w="431" w:type="dxa"/>
            <w:shd w:val="clear" w:color="auto" w:fill="auto"/>
            <w:noWrap/>
            <w:vAlign w:val="center"/>
          </w:tcPr>
          <w:p w14:paraId="26231C04" w14:textId="77777777" w:rsidR="00FD57F2" w:rsidRPr="00D46647" w:rsidRDefault="00FD57F2" w:rsidP="00FD57F2">
            <w:pPr>
              <w:jc w:val="center"/>
              <w:rPr>
                <w:noProof/>
                <w:sz w:val="16"/>
                <w:szCs w:val="16"/>
              </w:rPr>
            </w:pPr>
          </w:p>
        </w:tc>
        <w:tc>
          <w:tcPr>
            <w:tcW w:w="432" w:type="dxa"/>
            <w:shd w:val="clear" w:color="auto" w:fill="auto"/>
            <w:noWrap/>
            <w:vAlign w:val="center"/>
          </w:tcPr>
          <w:p w14:paraId="2BF68E23" w14:textId="77777777" w:rsidR="00FD57F2" w:rsidRPr="00D46647" w:rsidRDefault="00FD57F2" w:rsidP="00FD57F2">
            <w:pPr>
              <w:jc w:val="center"/>
              <w:rPr>
                <w:noProof/>
                <w:sz w:val="16"/>
                <w:szCs w:val="16"/>
              </w:rPr>
            </w:pPr>
            <w:r w:rsidRPr="00D46647">
              <w:rPr>
                <w:noProof/>
                <w:sz w:val="16"/>
                <w:szCs w:val="16"/>
              </w:rPr>
              <w:t>X</w:t>
            </w:r>
          </w:p>
        </w:tc>
        <w:tc>
          <w:tcPr>
            <w:tcW w:w="431" w:type="dxa"/>
            <w:shd w:val="clear" w:color="auto" w:fill="auto"/>
            <w:noWrap/>
            <w:vAlign w:val="center"/>
          </w:tcPr>
          <w:p w14:paraId="2CB78F89" w14:textId="77777777" w:rsidR="00FD57F2" w:rsidRPr="00D46647" w:rsidRDefault="00FD57F2" w:rsidP="00FD57F2">
            <w:pPr>
              <w:jc w:val="center"/>
              <w:rPr>
                <w:noProof/>
                <w:sz w:val="16"/>
                <w:szCs w:val="16"/>
              </w:rPr>
            </w:pPr>
          </w:p>
        </w:tc>
        <w:tc>
          <w:tcPr>
            <w:tcW w:w="432" w:type="dxa"/>
            <w:shd w:val="clear" w:color="auto" w:fill="auto"/>
            <w:noWrap/>
            <w:vAlign w:val="center"/>
          </w:tcPr>
          <w:p w14:paraId="190A44CD" w14:textId="77777777" w:rsidR="00FD57F2" w:rsidRPr="00D46647" w:rsidRDefault="00FD57F2" w:rsidP="00FD57F2">
            <w:pPr>
              <w:jc w:val="center"/>
              <w:rPr>
                <w:sz w:val="16"/>
                <w:szCs w:val="16"/>
              </w:rPr>
            </w:pPr>
          </w:p>
        </w:tc>
        <w:tc>
          <w:tcPr>
            <w:tcW w:w="431" w:type="dxa"/>
            <w:shd w:val="clear" w:color="auto" w:fill="auto"/>
            <w:noWrap/>
            <w:vAlign w:val="center"/>
          </w:tcPr>
          <w:p w14:paraId="39FE31A2" w14:textId="77777777" w:rsidR="00FD57F2" w:rsidRPr="00D46647" w:rsidRDefault="00FD57F2" w:rsidP="00FD57F2">
            <w:pPr>
              <w:jc w:val="center"/>
              <w:rPr>
                <w:sz w:val="16"/>
                <w:szCs w:val="16"/>
              </w:rPr>
            </w:pPr>
          </w:p>
        </w:tc>
        <w:tc>
          <w:tcPr>
            <w:tcW w:w="435" w:type="dxa"/>
            <w:shd w:val="clear" w:color="auto" w:fill="auto"/>
            <w:noWrap/>
            <w:vAlign w:val="center"/>
          </w:tcPr>
          <w:p w14:paraId="67C2E06D" w14:textId="77777777" w:rsidR="00FD57F2" w:rsidRPr="00D46647" w:rsidRDefault="00FD57F2" w:rsidP="00FD57F2">
            <w:pPr>
              <w:jc w:val="center"/>
              <w:rPr>
                <w:sz w:val="16"/>
                <w:szCs w:val="16"/>
              </w:rPr>
            </w:pPr>
          </w:p>
        </w:tc>
        <w:tc>
          <w:tcPr>
            <w:tcW w:w="492" w:type="dxa"/>
            <w:shd w:val="clear" w:color="auto" w:fill="auto"/>
            <w:vAlign w:val="center"/>
          </w:tcPr>
          <w:p w14:paraId="3A28A7DD" w14:textId="77777777" w:rsidR="00FD57F2" w:rsidRPr="00D46647" w:rsidRDefault="00FD57F2" w:rsidP="00FD57F2">
            <w:pPr>
              <w:jc w:val="center"/>
              <w:rPr>
                <w:sz w:val="16"/>
                <w:szCs w:val="16"/>
              </w:rPr>
            </w:pPr>
          </w:p>
        </w:tc>
        <w:tc>
          <w:tcPr>
            <w:tcW w:w="396" w:type="dxa"/>
            <w:shd w:val="clear" w:color="auto" w:fill="auto"/>
            <w:vAlign w:val="center"/>
          </w:tcPr>
          <w:p w14:paraId="44BCA333" w14:textId="77777777" w:rsidR="00FD57F2" w:rsidRPr="00D46647" w:rsidRDefault="00FD57F2" w:rsidP="00FD57F2">
            <w:pPr>
              <w:jc w:val="center"/>
              <w:rPr>
                <w:sz w:val="16"/>
                <w:szCs w:val="16"/>
              </w:rPr>
            </w:pPr>
          </w:p>
        </w:tc>
      </w:tr>
      <w:tr w:rsidR="00FD57F2" w:rsidRPr="00D46647" w14:paraId="4C42462C" w14:textId="77777777" w:rsidTr="007E3422">
        <w:trPr>
          <w:jc w:val="center"/>
        </w:trPr>
        <w:tc>
          <w:tcPr>
            <w:tcW w:w="1585" w:type="dxa"/>
            <w:shd w:val="clear" w:color="auto" w:fill="auto"/>
            <w:noWrap/>
            <w:vAlign w:val="center"/>
          </w:tcPr>
          <w:p w14:paraId="5585AAE3" w14:textId="77777777" w:rsidR="00FD57F2" w:rsidRPr="00D46647" w:rsidRDefault="00FD57F2" w:rsidP="00FD57F2">
            <w:pPr>
              <w:rPr>
                <w:noProof/>
                <w:sz w:val="16"/>
                <w:szCs w:val="16"/>
              </w:rPr>
            </w:pPr>
            <w:r w:rsidRPr="00D46647">
              <w:rPr>
                <w:noProof/>
                <w:sz w:val="16"/>
                <w:szCs w:val="16"/>
              </w:rPr>
              <w:t>Mise à jour des études détaillées en vue de l’exécution des travaux</w:t>
            </w:r>
          </w:p>
        </w:tc>
        <w:tc>
          <w:tcPr>
            <w:tcW w:w="431" w:type="dxa"/>
            <w:shd w:val="clear" w:color="auto" w:fill="auto"/>
            <w:noWrap/>
            <w:vAlign w:val="center"/>
          </w:tcPr>
          <w:p w14:paraId="03F9BB6F" w14:textId="77777777" w:rsidR="00FD57F2" w:rsidRPr="00D46647" w:rsidRDefault="00FD57F2" w:rsidP="00FD57F2">
            <w:pPr>
              <w:jc w:val="center"/>
              <w:rPr>
                <w:noProof/>
                <w:sz w:val="16"/>
                <w:szCs w:val="16"/>
              </w:rPr>
            </w:pPr>
          </w:p>
        </w:tc>
        <w:tc>
          <w:tcPr>
            <w:tcW w:w="432" w:type="dxa"/>
            <w:shd w:val="clear" w:color="auto" w:fill="auto"/>
            <w:noWrap/>
            <w:vAlign w:val="center"/>
          </w:tcPr>
          <w:p w14:paraId="1E983332" w14:textId="77777777" w:rsidR="00FD57F2" w:rsidRPr="00D46647" w:rsidRDefault="00FD57F2" w:rsidP="00FD57F2">
            <w:pPr>
              <w:jc w:val="center"/>
              <w:rPr>
                <w:sz w:val="16"/>
                <w:szCs w:val="16"/>
              </w:rPr>
            </w:pPr>
          </w:p>
        </w:tc>
        <w:tc>
          <w:tcPr>
            <w:tcW w:w="433" w:type="dxa"/>
            <w:shd w:val="clear" w:color="auto" w:fill="auto"/>
            <w:noWrap/>
            <w:vAlign w:val="center"/>
          </w:tcPr>
          <w:p w14:paraId="4FF0BC89" w14:textId="77777777" w:rsidR="00FD57F2" w:rsidRPr="00D46647" w:rsidRDefault="00FD57F2" w:rsidP="00FD57F2">
            <w:pPr>
              <w:jc w:val="center"/>
              <w:rPr>
                <w:sz w:val="16"/>
                <w:szCs w:val="16"/>
              </w:rPr>
            </w:pPr>
          </w:p>
        </w:tc>
        <w:tc>
          <w:tcPr>
            <w:tcW w:w="433" w:type="dxa"/>
            <w:shd w:val="clear" w:color="auto" w:fill="auto"/>
            <w:noWrap/>
            <w:vAlign w:val="center"/>
          </w:tcPr>
          <w:p w14:paraId="617DB686" w14:textId="77777777" w:rsidR="00FD57F2" w:rsidRPr="00D46647" w:rsidRDefault="00FD57F2" w:rsidP="00FD57F2">
            <w:pPr>
              <w:jc w:val="center"/>
              <w:rPr>
                <w:sz w:val="16"/>
                <w:szCs w:val="16"/>
              </w:rPr>
            </w:pPr>
          </w:p>
        </w:tc>
        <w:tc>
          <w:tcPr>
            <w:tcW w:w="432" w:type="dxa"/>
            <w:shd w:val="clear" w:color="auto" w:fill="auto"/>
            <w:noWrap/>
            <w:vAlign w:val="center"/>
          </w:tcPr>
          <w:p w14:paraId="2ED01BF5" w14:textId="77777777" w:rsidR="00FD57F2" w:rsidRPr="00D46647" w:rsidRDefault="00FD57F2" w:rsidP="00FD57F2">
            <w:pPr>
              <w:jc w:val="center"/>
              <w:rPr>
                <w:sz w:val="16"/>
                <w:szCs w:val="16"/>
              </w:rPr>
            </w:pPr>
          </w:p>
        </w:tc>
        <w:tc>
          <w:tcPr>
            <w:tcW w:w="431" w:type="dxa"/>
            <w:shd w:val="clear" w:color="auto" w:fill="auto"/>
            <w:noWrap/>
            <w:vAlign w:val="center"/>
          </w:tcPr>
          <w:p w14:paraId="00CD415A" w14:textId="77777777" w:rsidR="00FD57F2" w:rsidRPr="00D46647" w:rsidRDefault="00FD57F2" w:rsidP="00FD57F2">
            <w:pPr>
              <w:jc w:val="center"/>
              <w:rPr>
                <w:sz w:val="16"/>
                <w:szCs w:val="16"/>
              </w:rPr>
            </w:pPr>
          </w:p>
        </w:tc>
        <w:tc>
          <w:tcPr>
            <w:tcW w:w="432" w:type="dxa"/>
            <w:shd w:val="clear" w:color="auto" w:fill="auto"/>
            <w:noWrap/>
            <w:vAlign w:val="center"/>
          </w:tcPr>
          <w:p w14:paraId="5D50C7C6" w14:textId="77777777" w:rsidR="00FD57F2" w:rsidRPr="00D46647" w:rsidRDefault="00FD57F2" w:rsidP="00FD57F2">
            <w:pPr>
              <w:jc w:val="center"/>
              <w:rPr>
                <w:sz w:val="16"/>
                <w:szCs w:val="16"/>
              </w:rPr>
            </w:pPr>
          </w:p>
        </w:tc>
        <w:tc>
          <w:tcPr>
            <w:tcW w:w="431" w:type="dxa"/>
            <w:shd w:val="clear" w:color="auto" w:fill="auto"/>
            <w:noWrap/>
            <w:vAlign w:val="center"/>
          </w:tcPr>
          <w:p w14:paraId="7F0CEBF7" w14:textId="77777777" w:rsidR="00FD57F2" w:rsidRPr="00D46647" w:rsidRDefault="00FD57F2" w:rsidP="00FD57F2">
            <w:pPr>
              <w:jc w:val="center"/>
              <w:rPr>
                <w:noProof/>
                <w:sz w:val="16"/>
                <w:szCs w:val="16"/>
              </w:rPr>
            </w:pPr>
          </w:p>
        </w:tc>
        <w:tc>
          <w:tcPr>
            <w:tcW w:w="432" w:type="dxa"/>
            <w:shd w:val="clear" w:color="auto" w:fill="auto"/>
            <w:noWrap/>
            <w:vAlign w:val="center"/>
          </w:tcPr>
          <w:p w14:paraId="2DC563C2" w14:textId="77777777" w:rsidR="00FD57F2" w:rsidRPr="00D46647" w:rsidRDefault="00FD57F2" w:rsidP="00FD57F2">
            <w:pPr>
              <w:jc w:val="center"/>
              <w:rPr>
                <w:noProof/>
                <w:sz w:val="16"/>
                <w:szCs w:val="16"/>
              </w:rPr>
            </w:pPr>
          </w:p>
        </w:tc>
        <w:tc>
          <w:tcPr>
            <w:tcW w:w="431" w:type="dxa"/>
            <w:shd w:val="clear" w:color="auto" w:fill="auto"/>
            <w:noWrap/>
            <w:vAlign w:val="center"/>
          </w:tcPr>
          <w:p w14:paraId="0890DB14" w14:textId="77777777" w:rsidR="00FD57F2" w:rsidRPr="00D46647" w:rsidRDefault="00FD57F2" w:rsidP="00FD57F2">
            <w:pPr>
              <w:jc w:val="center"/>
              <w:rPr>
                <w:noProof/>
                <w:sz w:val="16"/>
                <w:szCs w:val="16"/>
              </w:rPr>
            </w:pPr>
          </w:p>
        </w:tc>
        <w:tc>
          <w:tcPr>
            <w:tcW w:w="431" w:type="dxa"/>
            <w:shd w:val="clear" w:color="auto" w:fill="auto"/>
            <w:noWrap/>
            <w:vAlign w:val="center"/>
          </w:tcPr>
          <w:p w14:paraId="38313A53" w14:textId="77777777" w:rsidR="00FD57F2" w:rsidRPr="00D46647" w:rsidRDefault="00FD57F2" w:rsidP="00FD57F2">
            <w:pPr>
              <w:jc w:val="center"/>
              <w:rPr>
                <w:sz w:val="16"/>
                <w:szCs w:val="16"/>
              </w:rPr>
            </w:pPr>
          </w:p>
        </w:tc>
        <w:tc>
          <w:tcPr>
            <w:tcW w:w="432" w:type="dxa"/>
            <w:shd w:val="clear" w:color="auto" w:fill="auto"/>
            <w:noWrap/>
            <w:vAlign w:val="center"/>
          </w:tcPr>
          <w:p w14:paraId="5397547F"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tcPr>
          <w:p w14:paraId="6F917DE0" w14:textId="77777777" w:rsidR="00FD57F2" w:rsidRPr="00D46647" w:rsidRDefault="00FD57F2" w:rsidP="00FD57F2">
            <w:pPr>
              <w:jc w:val="center"/>
              <w:rPr>
                <w:sz w:val="16"/>
                <w:szCs w:val="16"/>
              </w:rPr>
            </w:pPr>
            <w:r w:rsidRPr="00D46647">
              <w:rPr>
                <w:sz w:val="16"/>
                <w:szCs w:val="16"/>
              </w:rPr>
              <w:t>X</w:t>
            </w:r>
          </w:p>
        </w:tc>
        <w:tc>
          <w:tcPr>
            <w:tcW w:w="432" w:type="dxa"/>
            <w:shd w:val="clear" w:color="auto" w:fill="auto"/>
            <w:noWrap/>
            <w:vAlign w:val="center"/>
          </w:tcPr>
          <w:p w14:paraId="3B96F03D" w14:textId="77777777" w:rsidR="00FD57F2" w:rsidRPr="00D46647" w:rsidRDefault="00FD57F2" w:rsidP="00FD57F2">
            <w:pPr>
              <w:jc w:val="center"/>
              <w:rPr>
                <w:sz w:val="16"/>
                <w:szCs w:val="16"/>
              </w:rPr>
            </w:pPr>
          </w:p>
        </w:tc>
        <w:tc>
          <w:tcPr>
            <w:tcW w:w="431" w:type="dxa"/>
            <w:shd w:val="clear" w:color="auto" w:fill="auto"/>
            <w:noWrap/>
            <w:vAlign w:val="center"/>
          </w:tcPr>
          <w:p w14:paraId="288B235C" w14:textId="77777777" w:rsidR="00FD57F2" w:rsidRPr="00D46647" w:rsidRDefault="00FD57F2" w:rsidP="00FD57F2">
            <w:pPr>
              <w:jc w:val="center"/>
              <w:rPr>
                <w:sz w:val="16"/>
                <w:szCs w:val="16"/>
              </w:rPr>
            </w:pPr>
          </w:p>
        </w:tc>
        <w:tc>
          <w:tcPr>
            <w:tcW w:w="435" w:type="dxa"/>
            <w:shd w:val="clear" w:color="auto" w:fill="auto"/>
            <w:noWrap/>
            <w:vAlign w:val="center"/>
          </w:tcPr>
          <w:p w14:paraId="7CD85A08" w14:textId="77777777" w:rsidR="00FD57F2" w:rsidRPr="00D46647" w:rsidRDefault="00FD57F2" w:rsidP="00FD57F2">
            <w:pPr>
              <w:jc w:val="center"/>
              <w:rPr>
                <w:sz w:val="16"/>
                <w:szCs w:val="16"/>
              </w:rPr>
            </w:pPr>
          </w:p>
        </w:tc>
        <w:tc>
          <w:tcPr>
            <w:tcW w:w="492" w:type="dxa"/>
            <w:shd w:val="clear" w:color="auto" w:fill="auto"/>
            <w:vAlign w:val="center"/>
          </w:tcPr>
          <w:p w14:paraId="1302EE67" w14:textId="77777777" w:rsidR="00FD57F2" w:rsidRPr="00D46647" w:rsidRDefault="00FD57F2" w:rsidP="00FD57F2">
            <w:pPr>
              <w:jc w:val="center"/>
              <w:rPr>
                <w:sz w:val="16"/>
                <w:szCs w:val="16"/>
              </w:rPr>
            </w:pPr>
          </w:p>
        </w:tc>
        <w:tc>
          <w:tcPr>
            <w:tcW w:w="396" w:type="dxa"/>
            <w:shd w:val="clear" w:color="auto" w:fill="auto"/>
            <w:vAlign w:val="center"/>
          </w:tcPr>
          <w:p w14:paraId="7280A4E1" w14:textId="77777777" w:rsidR="00FD57F2" w:rsidRPr="00D46647" w:rsidRDefault="00FD57F2" w:rsidP="00FD57F2">
            <w:pPr>
              <w:jc w:val="center"/>
              <w:rPr>
                <w:sz w:val="16"/>
                <w:szCs w:val="16"/>
              </w:rPr>
            </w:pPr>
          </w:p>
        </w:tc>
      </w:tr>
      <w:tr w:rsidR="00FD57F2" w:rsidRPr="00D46647" w14:paraId="3E611186" w14:textId="77777777" w:rsidTr="007E3422">
        <w:trPr>
          <w:jc w:val="center"/>
        </w:trPr>
        <w:tc>
          <w:tcPr>
            <w:tcW w:w="1585" w:type="dxa"/>
            <w:shd w:val="clear" w:color="auto" w:fill="auto"/>
            <w:noWrap/>
            <w:vAlign w:val="bottom"/>
          </w:tcPr>
          <w:p w14:paraId="258AD82F" w14:textId="77777777" w:rsidR="00FD57F2" w:rsidRPr="00D46647" w:rsidRDefault="00FD57F2" w:rsidP="00FD57F2">
            <w:pPr>
              <w:rPr>
                <w:noProof/>
                <w:sz w:val="16"/>
                <w:szCs w:val="16"/>
              </w:rPr>
            </w:pPr>
            <w:r w:rsidRPr="00D46647">
              <w:rPr>
                <w:noProof/>
                <w:sz w:val="16"/>
                <w:szCs w:val="16"/>
              </w:rPr>
              <w:t>Appel d’offres lancé aux entreprises et sélection des entreprises</w:t>
            </w:r>
          </w:p>
        </w:tc>
        <w:tc>
          <w:tcPr>
            <w:tcW w:w="431" w:type="dxa"/>
            <w:shd w:val="clear" w:color="auto" w:fill="auto"/>
            <w:noWrap/>
            <w:vAlign w:val="center"/>
          </w:tcPr>
          <w:p w14:paraId="5A944084" w14:textId="77777777" w:rsidR="00FD57F2" w:rsidRPr="00D46647" w:rsidRDefault="00FD57F2" w:rsidP="00FD57F2">
            <w:pPr>
              <w:jc w:val="center"/>
              <w:rPr>
                <w:sz w:val="16"/>
                <w:szCs w:val="16"/>
              </w:rPr>
            </w:pPr>
          </w:p>
        </w:tc>
        <w:tc>
          <w:tcPr>
            <w:tcW w:w="432" w:type="dxa"/>
            <w:shd w:val="clear" w:color="auto" w:fill="auto"/>
            <w:noWrap/>
            <w:vAlign w:val="center"/>
          </w:tcPr>
          <w:p w14:paraId="047BDFB3" w14:textId="77777777" w:rsidR="00FD57F2" w:rsidRPr="00D46647" w:rsidRDefault="00FD57F2" w:rsidP="00FD57F2">
            <w:pPr>
              <w:jc w:val="center"/>
              <w:rPr>
                <w:sz w:val="16"/>
                <w:szCs w:val="16"/>
              </w:rPr>
            </w:pPr>
          </w:p>
        </w:tc>
        <w:tc>
          <w:tcPr>
            <w:tcW w:w="433" w:type="dxa"/>
            <w:shd w:val="clear" w:color="auto" w:fill="auto"/>
            <w:noWrap/>
            <w:vAlign w:val="center"/>
          </w:tcPr>
          <w:p w14:paraId="1F417E0B" w14:textId="77777777" w:rsidR="00FD57F2" w:rsidRPr="00D46647" w:rsidRDefault="00FD57F2" w:rsidP="00FD57F2">
            <w:pPr>
              <w:jc w:val="center"/>
              <w:rPr>
                <w:sz w:val="16"/>
                <w:szCs w:val="16"/>
              </w:rPr>
            </w:pPr>
          </w:p>
        </w:tc>
        <w:tc>
          <w:tcPr>
            <w:tcW w:w="433" w:type="dxa"/>
            <w:shd w:val="clear" w:color="auto" w:fill="auto"/>
            <w:noWrap/>
            <w:vAlign w:val="center"/>
          </w:tcPr>
          <w:p w14:paraId="2E8D1F53" w14:textId="77777777" w:rsidR="00FD57F2" w:rsidRPr="00D46647" w:rsidRDefault="00FD57F2" w:rsidP="00FD57F2">
            <w:pPr>
              <w:jc w:val="center"/>
              <w:rPr>
                <w:sz w:val="16"/>
                <w:szCs w:val="16"/>
              </w:rPr>
            </w:pPr>
          </w:p>
        </w:tc>
        <w:tc>
          <w:tcPr>
            <w:tcW w:w="432" w:type="dxa"/>
            <w:shd w:val="clear" w:color="auto" w:fill="auto"/>
            <w:noWrap/>
            <w:vAlign w:val="center"/>
          </w:tcPr>
          <w:p w14:paraId="76F776E2" w14:textId="77777777" w:rsidR="00FD57F2" w:rsidRPr="00D46647" w:rsidRDefault="00FD57F2" w:rsidP="00FD57F2">
            <w:pPr>
              <w:jc w:val="center"/>
              <w:rPr>
                <w:sz w:val="16"/>
                <w:szCs w:val="16"/>
              </w:rPr>
            </w:pPr>
          </w:p>
        </w:tc>
        <w:tc>
          <w:tcPr>
            <w:tcW w:w="431" w:type="dxa"/>
            <w:shd w:val="clear" w:color="auto" w:fill="auto"/>
            <w:noWrap/>
            <w:vAlign w:val="center"/>
          </w:tcPr>
          <w:p w14:paraId="0E98C41A" w14:textId="77777777" w:rsidR="00FD57F2" w:rsidRPr="00D46647" w:rsidRDefault="00FD57F2" w:rsidP="00FD57F2">
            <w:pPr>
              <w:jc w:val="center"/>
              <w:rPr>
                <w:sz w:val="16"/>
                <w:szCs w:val="16"/>
              </w:rPr>
            </w:pPr>
          </w:p>
        </w:tc>
        <w:tc>
          <w:tcPr>
            <w:tcW w:w="432" w:type="dxa"/>
            <w:shd w:val="clear" w:color="auto" w:fill="auto"/>
            <w:noWrap/>
            <w:vAlign w:val="center"/>
          </w:tcPr>
          <w:p w14:paraId="15A7C0A3" w14:textId="77777777" w:rsidR="00FD57F2" w:rsidRPr="00D46647" w:rsidRDefault="00FD57F2" w:rsidP="00FD57F2">
            <w:pPr>
              <w:jc w:val="center"/>
              <w:rPr>
                <w:sz w:val="16"/>
                <w:szCs w:val="16"/>
              </w:rPr>
            </w:pPr>
          </w:p>
        </w:tc>
        <w:tc>
          <w:tcPr>
            <w:tcW w:w="431" w:type="dxa"/>
            <w:shd w:val="clear" w:color="auto" w:fill="auto"/>
            <w:noWrap/>
            <w:vAlign w:val="center"/>
          </w:tcPr>
          <w:p w14:paraId="5F95E09D" w14:textId="77777777" w:rsidR="00FD57F2" w:rsidRPr="00D46647" w:rsidRDefault="00FD57F2" w:rsidP="00FD57F2">
            <w:pPr>
              <w:jc w:val="center"/>
              <w:rPr>
                <w:sz w:val="16"/>
                <w:szCs w:val="16"/>
              </w:rPr>
            </w:pPr>
          </w:p>
        </w:tc>
        <w:tc>
          <w:tcPr>
            <w:tcW w:w="432" w:type="dxa"/>
            <w:shd w:val="clear" w:color="auto" w:fill="auto"/>
            <w:noWrap/>
            <w:vAlign w:val="center"/>
          </w:tcPr>
          <w:p w14:paraId="13D6D81B" w14:textId="77777777" w:rsidR="00FD57F2" w:rsidRPr="00D46647" w:rsidRDefault="00FD57F2" w:rsidP="00FD57F2">
            <w:pPr>
              <w:jc w:val="center"/>
              <w:rPr>
                <w:sz w:val="16"/>
                <w:szCs w:val="16"/>
              </w:rPr>
            </w:pPr>
          </w:p>
        </w:tc>
        <w:tc>
          <w:tcPr>
            <w:tcW w:w="431" w:type="dxa"/>
            <w:shd w:val="clear" w:color="auto" w:fill="auto"/>
            <w:noWrap/>
            <w:vAlign w:val="center"/>
          </w:tcPr>
          <w:p w14:paraId="342D3AF5"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tcPr>
          <w:p w14:paraId="463B96DB" w14:textId="77777777" w:rsidR="00FD57F2" w:rsidRPr="00D46647" w:rsidRDefault="00FD57F2" w:rsidP="00FD57F2">
            <w:pPr>
              <w:jc w:val="center"/>
              <w:rPr>
                <w:sz w:val="16"/>
                <w:szCs w:val="16"/>
              </w:rPr>
            </w:pPr>
            <w:r w:rsidRPr="00D46647">
              <w:rPr>
                <w:sz w:val="16"/>
                <w:szCs w:val="16"/>
              </w:rPr>
              <w:t>X</w:t>
            </w:r>
          </w:p>
        </w:tc>
        <w:tc>
          <w:tcPr>
            <w:tcW w:w="432" w:type="dxa"/>
            <w:shd w:val="clear" w:color="auto" w:fill="auto"/>
            <w:noWrap/>
            <w:vAlign w:val="center"/>
          </w:tcPr>
          <w:p w14:paraId="77171ED4" w14:textId="77777777" w:rsidR="00FD57F2" w:rsidRPr="00D46647" w:rsidRDefault="00FD57F2" w:rsidP="00FD57F2">
            <w:pPr>
              <w:jc w:val="center"/>
              <w:rPr>
                <w:sz w:val="16"/>
                <w:szCs w:val="16"/>
              </w:rPr>
            </w:pPr>
            <w:r w:rsidRPr="00D46647">
              <w:rPr>
                <w:sz w:val="16"/>
                <w:szCs w:val="16"/>
              </w:rPr>
              <w:t>X</w:t>
            </w:r>
          </w:p>
        </w:tc>
        <w:tc>
          <w:tcPr>
            <w:tcW w:w="431" w:type="dxa"/>
            <w:shd w:val="clear" w:color="auto" w:fill="auto"/>
            <w:noWrap/>
            <w:vAlign w:val="center"/>
          </w:tcPr>
          <w:p w14:paraId="4D06B1F6" w14:textId="77777777" w:rsidR="00FD57F2" w:rsidRPr="00D46647" w:rsidRDefault="00FD57F2" w:rsidP="00FD57F2">
            <w:pPr>
              <w:jc w:val="center"/>
              <w:rPr>
                <w:sz w:val="16"/>
                <w:szCs w:val="16"/>
              </w:rPr>
            </w:pPr>
            <w:r w:rsidRPr="00D46647">
              <w:rPr>
                <w:sz w:val="16"/>
                <w:szCs w:val="16"/>
              </w:rPr>
              <w:t>X</w:t>
            </w:r>
          </w:p>
        </w:tc>
        <w:tc>
          <w:tcPr>
            <w:tcW w:w="432" w:type="dxa"/>
            <w:shd w:val="clear" w:color="auto" w:fill="auto"/>
            <w:noWrap/>
            <w:vAlign w:val="center"/>
          </w:tcPr>
          <w:p w14:paraId="14E60974" w14:textId="77777777" w:rsidR="00FD57F2" w:rsidRPr="00D46647" w:rsidRDefault="00FD57F2" w:rsidP="00FD57F2">
            <w:pPr>
              <w:jc w:val="center"/>
              <w:rPr>
                <w:sz w:val="16"/>
                <w:szCs w:val="16"/>
              </w:rPr>
            </w:pPr>
          </w:p>
        </w:tc>
        <w:tc>
          <w:tcPr>
            <w:tcW w:w="431" w:type="dxa"/>
            <w:shd w:val="clear" w:color="auto" w:fill="auto"/>
            <w:noWrap/>
            <w:vAlign w:val="center"/>
          </w:tcPr>
          <w:p w14:paraId="58056DDF" w14:textId="77777777" w:rsidR="00FD57F2" w:rsidRPr="00D46647" w:rsidRDefault="00FD57F2" w:rsidP="00FD57F2">
            <w:pPr>
              <w:jc w:val="center"/>
              <w:rPr>
                <w:sz w:val="16"/>
                <w:szCs w:val="16"/>
              </w:rPr>
            </w:pPr>
          </w:p>
        </w:tc>
        <w:tc>
          <w:tcPr>
            <w:tcW w:w="435" w:type="dxa"/>
            <w:shd w:val="clear" w:color="auto" w:fill="auto"/>
            <w:noWrap/>
            <w:vAlign w:val="center"/>
          </w:tcPr>
          <w:p w14:paraId="6354EFD5" w14:textId="77777777" w:rsidR="00FD57F2" w:rsidRPr="00D46647" w:rsidRDefault="00FD57F2" w:rsidP="00FD57F2">
            <w:pPr>
              <w:jc w:val="center"/>
              <w:rPr>
                <w:sz w:val="16"/>
                <w:szCs w:val="16"/>
              </w:rPr>
            </w:pPr>
          </w:p>
        </w:tc>
        <w:tc>
          <w:tcPr>
            <w:tcW w:w="492" w:type="dxa"/>
            <w:shd w:val="clear" w:color="auto" w:fill="auto"/>
            <w:vAlign w:val="center"/>
          </w:tcPr>
          <w:p w14:paraId="4C81A6D4" w14:textId="77777777" w:rsidR="00FD57F2" w:rsidRPr="00D46647" w:rsidRDefault="00FD57F2" w:rsidP="00FD57F2">
            <w:pPr>
              <w:jc w:val="center"/>
              <w:rPr>
                <w:sz w:val="16"/>
                <w:szCs w:val="16"/>
              </w:rPr>
            </w:pPr>
          </w:p>
        </w:tc>
        <w:tc>
          <w:tcPr>
            <w:tcW w:w="396" w:type="dxa"/>
            <w:shd w:val="clear" w:color="auto" w:fill="auto"/>
            <w:vAlign w:val="center"/>
          </w:tcPr>
          <w:p w14:paraId="24E9F4CD" w14:textId="77777777" w:rsidR="00FD57F2" w:rsidRPr="00D46647" w:rsidRDefault="00FD57F2" w:rsidP="00FD57F2">
            <w:pPr>
              <w:jc w:val="center"/>
              <w:rPr>
                <w:sz w:val="16"/>
                <w:szCs w:val="16"/>
              </w:rPr>
            </w:pPr>
          </w:p>
        </w:tc>
      </w:tr>
      <w:tr w:rsidR="00FD57F2" w:rsidRPr="00D46647" w14:paraId="62721CA7" w14:textId="77777777" w:rsidTr="007E3422">
        <w:trPr>
          <w:jc w:val="center"/>
        </w:trPr>
        <w:tc>
          <w:tcPr>
            <w:tcW w:w="1585" w:type="dxa"/>
            <w:shd w:val="clear" w:color="auto" w:fill="auto"/>
            <w:noWrap/>
            <w:vAlign w:val="center"/>
          </w:tcPr>
          <w:p w14:paraId="2CEA0C3C" w14:textId="77777777" w:rsidR="00FD57F2" w:rsidRPr="00D46647" w:rsidRDefault="00FD57F2" w:rsidP="00FD57F2">
            <w:pPr>
              <w:rPr>
                <w:noProof/>
                <w:sz w:val="16"/>
                <w:szCs w:val="16"/>
              </w:rPr>
            </w:pPr>
            <w:r w:rsidRPr="00D46647">
              <w:rPr>
                <w:noProof/>
                <w:sz w:val="16"/>
                <w:szCs w:val="16"/>
              </w:rPr>
              <w:t>Travaux et mise en service dans la partie du centre informatique</w:t>
            </w:r>
          </w:p>
        </w:tc>
        <w:tc>
          <w:tcPr>
            <w:tcW w:w="431" w:type="dxa"/>
            <w:shd w:val="clear" w:color="auto" w:fill="auto"/>
            <w:noWrap/>
            <w:vAlign w:val="center"/>
          </w:tcPr>
          <w:p w14:paraId="29E4295F" w14:textId="77777777" w:rsidR="00FD57F2" w:rsidRPr="00D46647" w:rsidRDefault="00FD57F2" w:rsidP="00FD57F2">
            <w:pPr>
              <w:jc w:val="center"/>
              <w:rPr>
                <w:noProof/>
                <w:sz w:val="16"/>
                <w:szCs w:val="16"/>
              </w:rPr>
            </w:pPr>
          </w:p>
        </w:tc>
        <w:tc>
          <w:tcPr>
            <w:tcW w:w="432" w:type="dxa"/>
            <w:shd w:val="clear" w:color="auto" w:fill="auto"/>
            <w:noWrap/>
            <w:vAlign w:val="center"/>
          </w:tcPr>
          <w:p w14:paraId="3113F79B" w14:textId="77777777" w:rsidR="00FD57F2" w:rsidRPr="00D46647" w:rsidRDefault="00FD57F2" w:rsidP="00FD57F2">
            <w:pPr>
              <w:jc w:val="center"/>
              <w:rPr>
                <w:noProof/>
                <w:sz w:val="16"/>
                <w:szCs w:val="16"/>
              </w:rPr>
            </w:pPr>
          </w:p>
        </w:tc>
        <w:tc>
          <w:tcPr>
            <w:tcW w:w="433" w:type="dxa"/>
            <w:shd w:val="clear" w:color="auto" w:fill="auto"/>
            <w:noWrap/>
            <w:vAlign w:val="center"/>
          </w:tcPr>
          <w:p w14:paraId="660EC3D5" w14:textId="77777777" w:rsidR="00FD57F2" w:rsidRPr="00D46647" w:rsidRDefault="00FD57F2" w:rsidP="00FD57F2">
            <w:pPr>
              <w:jc w:val="center"/>
              <w:rPr>
                <w:noProof/>
                <w:sz w:val="16"/>
                <w:szCs w:val="16"/>
              </w:rPr>
            </w:pPr>
          </w:p>
        </w:tc>
        <w:tc>
          <w:tcPr>
            <w:tcW w:w="433" w:type="dxa"/>
            <w:shd w:val="clear" w:color="auto" w:fill="auto"/>
            <w:noWrap/>
            <w:vAlign w:val="center"/>
          </w:tcPr>
          <w:p w14:paraId="5F7BAA01" w14:textId="77777777" w:rsidR="00FD57F2" w:rsidRPr="00D46647" w:rsidRDefault="00FD57F2" w:rsidP="00FD57F2">
            <w:pPr>
              <w:jc w:val="center"/>
              <w:rPr>
                <w:noProof/>
                <w:sz w:val="16"/>
                <w:szCs w:val="16"/>
              </w:rPr>
            </w:pPr>
          </w:p>
        </w:tc>
        <w:tc>
          <w:tcPr>
            <w:tcW w:w="432" w:type="dxa"/>
            <w:shd w:val="clear" w:color="auto" w:fill="auto"/>
            <w:noWrap/>
            <w:vAlign w:val="center"/>
          </w:tcPr>
          <w:p w14:paraId="2635CA39" w14:textId="77777777" w:rsidR="00FD57F2" w:rsidRPr="00D46647" w:rsidRDefault="00FD57F2" w:rsidP="00FD57F2">
            <w:pPr>
              <w:jc w:val="center"/>
              <w:rPr>
                <w:noProof/>
                <w:sz w:val="16"/>
                <w:szCs w:val="16"/>
              </w:rPr>
            </w:pPr>
          </w:p>
        </w:tc>
        <w:tc>
          <w:tcPr>
            <w:tcW w:w="431" w:type="dxa"/>
            <w:shd w:val="clear" w:color="auto" w:fill="auto"/>
            <w:noWrap/>
            <w:vAlign w:val="center"/>
          </w:tcPr>
          <w:p w14:paraId="789BA8B9" w14:textId="77777777" w:rsidR="00FD57F2" w:rsidRPr="00D46647" w:rsidRDefault="00FD57F2" w:rsidP="00FD57F2">
            <w:pPr>
              <w:jc w:val="center"/>
              <w:rPr>
                <w:noProof/>
                <w:sz w:val="16"/>
                <w:szCs w:val="16"/>
              </w:rPr>
            </w:pPr>
          </w:p>
        </w:tc>
        <w:tc>
          <w:tcPr>
            <w:tcW w:w="432" w:type="dxa"/>
            <w:shd w:val="clear" w:color="auto" w:fill="auto"/>
            <w:noWrap/>
            <w:vAlign w:val="center"/>
          </w:tcPr>
          <w:p w14:paraId="06A4AE02" w14:textId="77777777" w:rsidR="00FD57F2" w:rsidRPr="00D46647" w:rsidRDefault="00FD57F2" w:rsidP="00FD57F2">
            <w:pPr>
              <w:jc w:val="center"/>
              <w:rPr>
                <w:noProof/>
                <w:sz w:val="16"/>
                <w:szCs w:val="16"/>
              </w:rPr>
            </w:pPr>
          </w:p>
        </w:tc>
        <w:tc>
          <w:tcPr>
            <w:tcW w:w="431" w:type="dxa"/>
            <w:shd w:val="clear" w:color="auto" w:fill="auto"/>
            <w:noWrap/>
            <w:vAlign w:val="center"/>
          </w:tcPr>
          <w:p w14:paraId="76B42C4F" w14:textId="77777777" w:rsidR="00FD57F2" w:rsidRPr="00D46647" w:rsidRDefault="00FD57F2" w:rsidP="00FD57F2">
            <w:pPr>
              <w:jc w:val="center"/>
              <w:rPr>
                <w:noProof/>
                <w:sz w:val="16"/>
                <w:szCs w:val="16"/>
              </w:rPr>
            </w:pPr>
          </w:p>
        </w:tc>
        <w:tc>
          <w:tcPr>
            <w:tcW w:w="432" w:type="dxa"/>
            <w:shd w:val="clear" w:color="auto" w:fill="auto"/>
            <w:noWrap/>
            <w:vAlign w:val="center"/>
          </w:tcPr>
          <w:p w14:paraId="7914CBA1" w14:textId="77777777" w:rsidR="00FD57F2" w:rsidRPr="00D46647" w:rsidRDefault="00FD57F2" w:rsidP="00FD57F2">
            <w:pPr>
              <w:jc w:val="center"/>
              <w:rPr>
                <w:noProof/>
                <w:sz w:val="16"/>
                <w:szCs w:val="16"/>
              </w:rPr>
            </w:pPr>
          </w:p>
        </w:tc>
        <w:tc>
          <w:tcPr>
            <w:tcW w:w="431" w:type="dxa"/>
            <w:shd w:val="clear" w:color="auto" w:fill="auto"/>
            <w:noWrap/>
            <w:vAlign w:val="center"/>
          </w:tcPr>
          <w:p w14:paraId="2DD4E623" w14:textId="77777777" w:rsidR="00FD57F2" w:rsidRPr="00D46647" w:rsidRDefault="00FD57F2" w:rsidP="00FD57F2">
            <w:pPr>
              <w:jc w:val="center"/>
              <w:rPr>
                <w:noProof/>
                <w:sz w:val="16"/>
                <w:szCs w:val="16"/>
              </w:rPr>
            </w:pPr>
          </w:p>
        </w:tc>
        <w:tc>
          <w:tcPr>
            <w:tcW w:w="431" w:type="dxa"/>
            <w:shd w:val="clear" w:color="auto" w:fill="auto"/>
            <w:noWrap/>
            <w:vAlign w:val="center"/>
          </w:tcPr>
          <w:p w14:paraId="5B8D8FED" w14:textId="77777777" w:rsidR="00FD57F2" w:rsidRPr="00D46647" w:rsidRDefault="00FD57F2" w:rsidP="00FD57F2">
            <w:pPr>
              <w:jc w:val="center"/>
              <w:rPr>
                <w:noProof/>
                <w:sz w:val="16"/>
                <w:szCs w:val="16"/>
              </w:rPr>
            </w:pPr>
            <w:r w:rsidRPr="00D46647">
              <w:rPr>
                <w:noProof/>
                <w:sz w:val="16"/>
                <w:szCs w:val="16"/>
              </w:rPr>
              <w:t>X</w:t>
            </w:r>
          </w:p>
        </w:tc>
        <w:tc>
          <w:tcPr>
            <w:tcW w:w="432" w:type="dxa"/>
            <w:shd w:val="clear" w:color="auto" w:fill="auto"/>
            <w:noWrap/>
            <w:vAlign w:val="center"/>
          </w:tcPr>
          <w:p w14:paraId="60D74E50" w14:textId="77777777" w:rsidR="00FD57F2" w:rsidRPr="00D46647" w:rsidRDefault="00FD57F2" w:rsidP="00FD57F2">
            <w:pPr>
              <w:jc w:val="center"/>
              <w:rPr>
                <w:noProof/>
                <w:sz w:val="16"/>
                <w:szCs w:val="16"/>
              </w:rPr>
            </w:pPr>
            <w:r w:rsidRPr="00D46647">
              <w:rPr>
                <w:noProof/>
                <w:sz w:val="16"/>
                <w:szCs w:val="16"/>
              </w:rPr>
              <w:t>X</w:t>
            </w:r>
          </w:p>
        </w:tc>
        <w:tc>
          <w:tcPr>
            <w:tcW w:w="431" w:type="dxa"/>
            <w:shd w:val="clear" w:color="auto" w:fill="auto"/>
            <w:noWrap/>
            <w:vAlign w:val="center"/>
          </w:tcPr>
          <w:p w14:paraId="3EE43D63" w14:textId="77777777" w:rsidR="00FD57F2" w:rsidRPr="00D46647" w:rsidRDefault="00FD57F2" w:rsidP="00FD57F2">
            <w:pPr>
              <w:jc w:val="center"/>
              <w:rPr>
                <w:noProof/>
                <w:sz w:val="16"/>
                <w:szCs w:val="16"/>
              </w:rPr>
            </w:pPr>
          </w:p>
        </w:tc>
        <w:tc>
          <w:tcPr>
            <w:tcW w:w="432" w:type="dxa"/>
            <w:shd w:val="clear" w:color="auto" w:fill="auto"/>
            <w:noWrap/>
            <w:vAlign w:val="center"/>
          </w:tcPr>
          <w:p w14:paraId="5513CF23" w14:textId="77777777" w:rsidR="00FD57F2" w:rsidRPr="00D46647" w:rsidRDefault="00FD57F2" w:rsidP="00FD57F2">
            <w:pPr>
              <w:jc w:val="center"/>
              <w:rPr>
                <w:noProof/>
                <w:sz w:val="16"/>
                <w:szCs w:val="16"/>
              </w:rPr>
            </w:pPr>
          </w:p>
        </w:tc>
        <w:tc>
          <w:tcPr>
            <w:tcW w:w="431" w:type="dxa"/>
            <w:shd w:val="clear" w:color="auto" w:fill="auto"/>
            <w:noWrap/>
            <w:vAlign w:val="center"/>
          </w:tcPr>
          <w:p w14:paraId="73FE5930" w14:textId="77777777" w:rsidR="00FD57F2" w:rsidRPr="00D46647" w:rsidRDefault="00FD57F2" w:rsidP="00FD57F2">
            <w:pPr>
              <w:jc w:val="center"/>
              <w:rPr>
                <w:noProof/>
                <w:sz w:val="16"/>
                <w:szCs w:val="16"/>
              </w:rPr>
            </w:pPr>
          </w:p>
        </w:tc>
        <w:tc>
          <w:tcPr>
            <w:tcW w:w="435" w:type="dxa"/>
            <w:shd w:val="clear" w:color="auto" w:fill="auto"/>
            <w:noWrap/>
            <w:vAlign w:val="center"/>
          </w:tcPr>
          <w:p w14:paraId="7FB080B8" w14:textId="77777777" w:rsidR="00FD57F2" w:rsidRPr="00D46647" w:rsidRDefault="00FD57F2" w:rsidP="00FD57F2">
            <w:pPr>
              <w:jc w:val="center"/>
              <w:rPr>
                <w:noProof/>
                <w:sz w:val="16"/>
                <w:szCs w:val="16"/>
              </w:rPr>
            </w:pPr>
          </w:p>
        </w:tc>
        <w:tc>
          <w:tcPr>
            <w:tcW w:w="492" w:type="dxa"/>
            <w:shd w:val="clear" w:color="auto" w:fill="auto"/>
            <w:vAlign w:val="center"/>
          </w:tcPr>
          <w:p w14:paraId="3146FD78" w14:textId="77777777" w:rsidR="00FD57F2" w:rsidRPr="00D46647" w:rsidRDefault="00FD57F2" w:rsidP="00FD57F2">
            <w:pPr>
              <w:jc w:val="center"/>
              <w:rPr>
                <w:noProof/>
                <w:sz w:val="16"/>
                <w:szCs w:val="16"/>
              </w:rPr>
            </w:pPr>
          </w:p>
        </w:tc>
        <w:tc>
          <w:tcPr>
            <w:tcW w:w="396" w:type="dxa"/>
            <w:shd w:val="clear" w:color="auto" w:fill="auto"/>
            <w:vAlign w:val="center"/>
          </w:tcPr>
          <w:p w14:paraId="0B76AA5B" w14:textId="77777777" w:rsidR="00FD57F2" w:rsidRPr="00D46647" w:rsidRDefault="00FD57F2" w:rsidP="00FD57F2">
            <w:pPr>
              <w:jc w:val="center"/>
              <w:rPr>
                <w:noProof/>
                <w:sz w:val="16"/>
                <w:szCs w:val="16"/>
              </w:rPr>
            </w:pPr>
          </w:p>
        </w:tc>
      </w:tr>
      <w:tr w:rsidR="00FD57F2" w:rsidRPr="00D46647" w14:paraId="2DF933C9" w14:textId="77777777" w:rsidTr="007E3422">
        <w:trPr>
          <w:jc w:val="center"/>
        </w:trPr>
        <w:tc>
          <w:tcPr>
            <w:tcW w:w="1585" w:type="dxa"/>
            <w:shd w:val="clear" w:color="auto" w:fill="auto"/>
            <w:noWrap/>
            <w:vAlign w:val="center"/>
          </w:tcPr>
          <w:p w14:paraId="4EC22A54" w14:textId="77777777" w:rsidR="00FD57F2" w:rsidRPr="00D46647" w:rsidRDefault="00FD57F2" w:rsidP="00FD57F2">
            <w:pPr>
              <w:rPr>
                <w:noProof/>
                <w:sz w:val="16"/>
                <w:szCs w:val="16"/>
              </w:rPr>
            </w:pPr>
            <w:r w:rsidRPr="00D46647">
              <w:rPr>
                <w:noProof/>
                <w:sz w:val="16"/>
                <w:szCs w:val="16"/>
              </w:rPr>
              <w:t>Travaux (démontage et construction) dans l’imprimerie et la salle des archives</w:t>
            </w:r>
          </w:p>
        </w:tc>
        <w:tc>
          <w:tcPr>
            <w:tcW w:w="431" w:type="dxa"/>
            <w:shd w:val="clear" w:color="auto" w:fill="auto"/>
            <w:noWrap/>
            <w:vAlign w:val="center"/>
          </w:tcPr>
          <w:p w14:paraId="09DEB56E" w14:textId="77777777" w:rsidR="00FD57F2" w:rsidRPr="00D46647" w:rsidRDefault="00FD57F2" w:rsidP="00FD57F2">
            <w:pPr>
              <w:jc w:val="center"/>
              <w:rPr>
                <w:noProof/>
                <w:sz w:val="16"/>
                <w:szCs w:val="16"/>
              </w:rPr>
            </w:pPr>
          </w:p>
        </w:tc>
        <w:tc>
          <w:tcPr>
            <w:tcW w:w="432" w:type="dxa"/>
            <w:shd w:val="clear" w:color="auto" w:fill="auto"/>
            <w:noWrap/>
            <w:vAlign w:val="center"/>
          </w:tcPr>
          <w:p w14:paraId="3FE2F96E" w14:textId="77777777" w:rsidR="00FD57F2" w:rsidRPr="00D46647" w:rsidRDefault="00FD57F2" w:rsidP="00FD57F2">
            <w:pPr>
              <w:jc w:val="center"/>
              <w:rPr>
                <w:noProof/>
                <w:sz w:val="16"/>
                <w:szCs w:val="16"/>
              </w:rPr>
            </w:pPr>
          </w:p>
        </w:tc>
        <w:tc>
          <w:tcPr>
            <w:tcW w:w="433" w:type="dxa"/>
            <w:shd w:val="clear" w:color="auto" w:fill="auto"/>
            <w:noWrap/>
            <w:vAlign w:val="center"/>
          </w:tcPr>
          <w:p w14:paraId="0187BAD8" w14:textId="77777777" w:rsidR="00FD57F2" w:rsidRPr="00D46647" w:rsidRDefault="00FD57F2" w:rsidP="00FD57F2">
            <w:pPr>
              <w:jc w:val="center"/>
              <w:rPr>
                <w:noProof/>
                <w:sz w:val="16"/>
                <w:szCs w:val="16"/>
              </w:rPr>
            </w:pPr>
          </w:p>
        </w:tc>
        <w:tc>
          <w:tcPr>
            <w:tcW w:w="433" w:type="dxa"/>
            <w:shd w:val="clear" w:color="auto" w:fill="auto"/>
            <w:noWrap/>
            <w:vAlign w:val="center"/>
          </w:tcPr>
          <w:p w14:paraId="4F17A7B1" w14:textId="77777777" w:rsidR="00FD57F2" w:rsidRPr="00D46647" w:rsidRDefault="00FD57F2" w:rsidP="00FD57F2">
            <w:pPr>
              <w:jc w:val="center"/>
              <w:rPr>
                <w:noProof/>
                <w:sz w:val="16"/>
                <w:szCs w:val="16"/>
              </w:rPr>
            </w:pPr>
          </w:p>
        </w:tc>
        <w:tc>
          <w:tcPr>
            <w:tcW w:w="432" w:type="dxa"/>
            <w:shd w:val="clear" w:color="auto" w:fill="auto"/>
            <w:noWrap/>
            <w:vAlign w:val="center"/>
          </w:tcPr>
          <w:p w14:paraId="5989061F" w14:textId="77777777" w:rsidR="00FD57F2" w:rsidRPr="00D46647" w:rsidRDefault="00FD57F2" w:rsidP="00FD57F2">
            <w:pPr>
              <w:jc w:val="center"/>
              <w:rPr>
                <w:noProof/>
                <w:sz w:val="16"/>
                <w:szCs w:val="16"/>
              </w:rPr>
            </w:pPr>
          </w:p>
        </w:tc>
        <w:tc>
          <w:tcPr>
            <w:tcW w:w="431" w:type="dxa"/>
            <w:shd w:val="clear" w:color="auto" w:fill="auto"/>
            <w:noWrap/>
            <w:vAlign w:val="center"/>
          </w:tcPr>
          <w:p w14:paraId="78BCA9E0" w14:textId="77777777" w:rsidR="00FD57F2" w:rsidRPr="00D46647" w:rsidRDefault="00FD57F2" w:rsidP="00FD57F2">
            <w:pPr>
              <w:jc w:val="center"/>
              <w:rPr>
                <w:noProof/>
                <w:sz w:val="16"/>
                <w:szCs w:val="16"/>
              </w:rPr>
            </w:pPr>
          </w:p>
        </w:tc>
        <w:tc>
          <w:tcPr>
            <w:tcW w:w="432" w:type="dxa"/>
            <w:shd w:val="clear" w:color="auto" w:fill="auto"/>
            <w:noWrap/>
            <w:vAlign w:val="center"/>
          </w:tcPr>
          <w:p w14:paraId="78CDF5AD" w14:textId="77777777" w:rsidR="00FD57F2" w:rsidRPr="00D46647" w:rsidRDefault="00FD57F2" w:rsidP="00FD57F2">
            <w:pPr>
              <w:jc w:val="center"/>
              <w:rPr>
                <w:noProof/>
                <w:sz w:val="16"/>
                <w:szCs w:val="16"/>
              </w:rPr>
            </w:pPr>
          </w:p>
        </w:tc>
        <w:tc>
          <w:tcPr>
            <w:tcW w:w="431" w:type="dxa"/>
            <w:shd w:val="clear" w:color="auto" w:fill="auto"/>
            <w:noWrap/>
            <w:vAlign w:val="center"/>
          </w:tcPr>
          <w:p w14:paraId="1056DF11" w14:textId="77777777" w:rsidR="00FD57F2" w:rsidRPr="00D46647" w:rsidRDefault="00FD57F2" w:rsidP="00FD57F2">
            <w:pPr>
              <w:jc w:val="center"/>
              <w:rPr>
                <w:noProof/>
                <w:sz w:val="16"/>
                <w:szCs w:val="16"/>
              </w:rPr>
            </w:pPr>
          </w:p>
        </w:tc>
        <w:tc>
          <w:tcPr>
            <w:tcW w:w="432" w:type="dxa"/>
            <w:shd w:val="clear" w:color="auto" w:fill="auto"/>
            <w:noWrap/>
            <w:vAlign w:val="center"/>
          </w:tcPr>
          <w:p w14:paraId="6FB85455" w14:textId="77777777" w:rsidR="00FD57F2" w:rsidRPr="00D46647" w:rsidRDefault="00FD57F2" w:rsidP="00FD57F2">
            <w:pPr>
              <w:jc w:val="center"/>
              <w:rPr>
                <w:noProof/>
                <w:sz w:val="16"/>
                <w:szCs w:val="16"/>
              </w:rPr>
            </w:pPr>
          </w:p>
        </w:tc>
        <w:tc>
          <w:tcPr>
            <w:tcW w:w="431" w:type="dxa"/>
            <w:shd w:val="clear" w:color="auto" w:fill="auto"/>
            <w:noWrap/>
            <w:vAlign w:val="center"/>
          </w:tcPr>
          <w:p w14:paraId="0D8833D3" w14:textId="77777777" w:rsidR="00FD57F2" w:rsidRPr="00D46647" w:rsidRDefault="00FD57F2" w:rsidP="00FD57F2">
            <w:pPr>
              <w:jc w:val="center"/>
              <w:rPr>
                <w:noProof/>
                <w:sz w:val="16"/>
                <w:szCs w:val="16"/>
              </w:rPr>
            </w:pPr>
          </w:p>
        </w:tc>
        <w:tc>
          <w:tcPr>
            <w:tcW w:w="431" w:type="dxa"/>
            <w:shd w:val="clear" w:color="auto" w:fill="auto"/>
            <w:noWrap/>
            <w:vAlign w:val="center"/>
          </w:tcPr>
          <w:p w14:paraId="3D38CB31" w14:textId="77777777" w:rsidR="00FD57F2" w:rsidRPr="00D46647" w:rsidRDefault="00FD57F2" w:rsidP="00FD57F2">
            <w:pPr>
              <w:jc w:val="center"/>
              <w:rPr>
                <w:noProof/>
                <w:sz w:val="16"/>
                <w:szCs w:val="16"/>
              </w:rPr>
            </w:pPr>
          </w:p>
        </w:tc>
        <w:tc>
          <w:tcPr>
            <w:tcW w:w="432" w:type="dxa"/>
            <w:shd w:val="clear" w:color="auto" w:fill="auto"/>
            <w:noWrap/>
            <w:vAlign w:val="center"/>
          </w:tcPr>
          <w:p w14:paraId="46D7F0B7" w14:textId="77777777" w:rsidR="00FD57F2" w:rsidRPr="00D46647" w:rsidRDefault="00FD57F2" w:rsidP="00FD57F2">
            <w:pPr>
              <w:jc w:val="center"/>
              <w:rPr>
                <w:noProof/>
                <w:sz w:val="16"/>
                <w:szCs w:val="16"/>
              </w:rPr>
            </w:pPr>
          </w:p>
        </w:tc>
        <w:tc>
          <w:tcPr>
            <w:tcW w:w="431" w:type="dxa"/>
            <w:shd w:val="clear" w:color="auto" w:fill="auto"/>
            <w:noWrap/>
            <w:vAlign w:val="center"/>
          </w:tcPr>
          <w:p w14:paraId="653A751E" w14:textId="77777777" w:rsidR="00FD57F2" w:rsidRPr="00D46647" w:rsidRDefault="00FD57F2" w:rsidP="00FD57F2">
            <w:pPr>
              <w:jc w:val="center"/>
              <w:rPr>
                <w:noProof/>
                <w:sz w:val="16"/>
                <w:szCs w:val="16"/>
              </w:rPr>
            </w:pPr>
          </w:p>
        </w:tc>
        <w:tc>
          <w:tcPr>
            <w:tcW w:w="432" w:type="dxa"/>
            <w:shd w:val="clear" w:color="auto" w:fill="auto"/>
            <w:noWrap/>
            <w:vAlign w:val="center"/>
          </w:tcPr>
          <w:p w14:paraId="0EABFB89" w14:textId="77777777" w:rsidR="00FD57F2" w:rsidRPr="00D46647" w:rsidRDefault="00FD57F2" w:rsidP="00FD57F2">
            <w:pPr>
              <w:jc w:val="center"/>
              <w:rPr>
                <w:noProof/>
                <w:sz w:val="16"/>
                <w:szCs w:val="16"/>
              </w:rPr>
            </w:pPr>
            <w:r w:rsidRPr="00D46647">
              <w:rPr>
                <w:noProof/>
                <w:sz w:val="16"/>
                <w:szCs w:val="16"/>
              </w:rPr>
              <w:t>X</w:t>
            </w:r>
          </w:p>
        </w:tc>
        <w:tc>
          <w:tcPr>
            <w:tcW w:w="431" w:type="dxa"/>
            <w:shd w:val="clear" w:color="auto" w:fill="auto"/>
            <w:noWrap/>
            <w:vAlign w:val="center"/>
          </w:tcPr>
          <w:p w14:paraId="76DD5F01" w14:textId="77777777" w:rsidR="00FD57F2" w:rsidRPr="00D46647" w:rsidRDefault="00FD57F2" w:rsidP="00FD57F2">
            <w:pPr>
              <w:jc w:val="center"/>
              <w:rPr>
                <w:noProof/>
                <w:sz w:val="16"/>
                <w:szCs w:val="16"/>
              </w:rPr>
            </w:pPr>
            <w:r w:rsidRPr="00D46647">
              <w:rPr>
                <w:noProof/>
                <w:sz w:val="16"/>
                <w:szCs w:val="16"/>
              </w:rPr>
              <w:t>X</w:t>
            </w:r>
          </w:p>
        </w:tc>
        <w:tc>
          <w:tcPr>
            <w:tcW w:w="435" w:type="dxa"/>
            <w:shd w:val="clear" w:color="auto" w:fill="auto"/>
            <w:noWrap/>
            <w:vAlign w:val="center"/>
          </w:tcPr>
          <w:p w14:paraId="259297F6" w14:textId="77777777" w:rsidR="00FD57F2" w:rsidRPr="00D46647" w:rsidRDefault="00FD57F2" w:rsidP="00FD57F2">
            <w:pPr>
              <w:jc w:val="center"/>
              <w:rPr>
                <w:noProof/>
                <w:sz w:val="16"/>
                <w:szCs w:val="16"/>
              </w:rPr>
            </w:pPr>
            <w:r w:rsidRPr="00D46647">
              <w:rPr>
                <w:noProof/>
                <w:sz w:val="16"/>
                <w:szCs w:val="16"/>
              </w:rPr>
              <w:t>X</w:t>
            </w:r>
          </w:p>
        </w:tc>
        <w:tc>
          <w:tcPr>
            <w:tcW w:w="492" w:type="dxa"/>
            <w:shd w:val="clear" w:color="auto" w:fill="auto"/>
            <w:vAlign w:val="center"/>
          </w:tcPr>
          <w:p w14:paraId="03DC6FBE" w14:textId="77777777" w:rsidR="00FD57F2" w:rsidRPr="00D46647" w:rsidRDefault="00FD57F2" w:rsidP="00FD57F2">
            <w:pPr>
              <w:jc w:val="center"/>
              <w:rPr>
                <w:noProof/>
                <w:sz w:val="16"/>
                <w:szCs w:val="16"/>
              </w:rPr>
            </w:pPr>
            <w:r w:rsidRPr="00D46647">
              <w:rPr>
                <w:noProof/>
                <w:sz w:val="16"/>
                <w:szCs w:val="16"/>
              </w:rPr>
              <w:t>X</w:t>
            </w:r>
          </w:p>
        </w:tc>
        <w:tc>
          <w:tcPr>
            <w:tcW w:w="396" w:type="dxa"/>
            <w:shd w:val="clear" w:color="auto" w:fill="auto"/>
            <w:vAlign w:val="center"/>
          </w:tcPr>
          <w:p w14:paraId="3AB7886B" w14:textId="77777777" w:rsidR="00FD57F2" w:rsidRPr="00D46647" w:rsidRDefault="00FD57F2" w:rsidP="00FD57F2">
            <w:pPr>
              <w:jc w:val="center"/>
              <w:rPr>
                <w:noProof/>
                <w:sz w:val="16"/>
                <w:szCs w:val="16"/>
              </w:rPr>
            </w:pPr>
          </w:p>
        </w:tc>
      </w:tr>
      <w:tr w:rsidR="00FD57F2" w:rsidRPr="00D46647" w14:paraId="277FD99E" w14:textId="77777777" w:rsidTr="007E3422">
        <w:trPr>
          <w:jc w:val="center"/>
        </w:trPr>
        <w:tc>
          <w:tcPr>
            <w:tcW w:w="1585" w:type="dxa"/>
            <w:shd w:val="clear" w:color="auto" w:fill="auto"/>
            <w:noWrap/>
            <w:vAlign w:val="center"/>
          </w:tcPr>
          <w:p w14:paraId="4C44615D" w14:textId="77777777" w:rsidR="00FD57F2" w:rsidRPr="00D46647" w:rsidRDefault="00FD57F2" w:rsidP="00FD57F2">
            <w:pPr>
              <w:rPr>
                <w:noProof/>
                <w:sz w:val="16"/>
                <w:szCs w:val="16"/>
              </w:rPr>
            </w:pPr>
            <w:r w:rsidRPr="00D46647">
              <w:rPr>
                <w:noProof/>
                <w:sz w:val="16"/>
                <w:szCs w:val="16"/>
              </w:rPr>
              <w:t>Mise en service progressive de l’imprimerie et de la salle des archives après rénovation</w:t>
            </w:r>
          </w:p>
        </w:tc>
        <w:tc>
          <w:tcPr>
            <w:tcW w:w="431" w:type="dxa"/>
            <w:shd w:val="clear" w:color="auto" w:fill="auto"/>
            <w:noWrap/>
            <w:vAlign w:val="center"/>
          </w:tcPr>
          <w:p w14:paraId="7658013A" w14:textId="77777777" w:rsidR="00FD57F2" w:rsidRPr="00D46647" w:rsidRDefault="00FD57F2" w:rsidP="00FD57F2">
            <w:pPr>
              <w:jc w:val="center"/>
              <w:rPr>
                <w:noProof/>
                <w:sz w:val="16"/>
                <w:szCs w:val="16"/>
              </w:rPr>
            </w:pPr>
          </w:p>
        </w:tc>
        <w:tc>
          <w:tcPr>
            <w:tcW w:w="432" w:type="dxa"/>
            <w:shd w:val="clear" w:color="auto" w:fill="auto"/>
            <w:noWrap/>
            <w:vAlign w:val="center"/>
          </w:tcPr>
          <w:p w14:paraId="2934031C" w14:textId="77777777" w:rsidR="00FD57F2" w:rsidRPr="00D46647" w:rsidRDefault="00FD57F2" w:rsidP="00FD57F2">
            <w:pPr>
              <w:jc w:val="center"/>
              <w:rPr>
                <w:sz w:val="16"/>
                <w:szCs w:val="16"/>
              </w:rPr>
            </w:pPr>
          </w:p>
        </w:tc>
        <w:tc>
          <w:tcPr>
            <w:tcW w:w="433" w:type="dxa"/>
            <w:shd w:val="clear" w:color="auto" w:fill="auto"/>
            <w:noWrap/>
            <w:vAlign w:val="center"/>
          </w:tcPr>
          <w:p w14:paraId="4B68185F" w14:textId="77777777" w:rsidR="00FD57F2" w:rsidRPr="00D46647" w:rsidRDefault="00FD57F2" w:rsidP="00FD57F2">
            <w:pPr>
              <w:jc w:val="center"/>
              <w:rPr>
                <w:sz w:val="16"/>
                <w:szCs w:val="16"/>
              </w:rPr>
            </w:pPr>
          </w:p>
        </w:tc>
        <w:tc>
          <w:tcPr>
            <w:tcW w:w="433" w:type="dxa"/>
            <w:shd w:val="clear" w:color="auto" w:fill="auto"/>
            <w:noWrap/>
            <w:vAlign w:val="center"/>
          </w:tcPr>
          <w:p w14:paraId="737BCE20" w14:textId="77777777" w:rsidR="00FD57F2" w:rsidRPr="00D46647" w:rsidRDefault="00FD57F2" w:rsidP="00FD57F2">
            <w:pPr>
              <w:jc w:val="center"/>
              <w:rPr>
                <w:sz w:val="16"/>
                <w:szCs w:val="16"/>
              </w:rPr>
            </w:pPr>
          </w:p>
        </w:tc>
        <w:tc>
          <w:tcPr>
            <w:tcW w:w="432" w:type="dxa"/>
            <w:shd w:val="clear" w:color="auto" w:fill="auto"/>
            <w:noWrap/>
            <w:vAlign w:val="center"/>
          </w:tcPr>
          <w:p w14:paraId="6F9F84C1" w14:textId="77777777" w:rsidR="00FD57F2" w:rsidRPr="00D46647" w:rsidRDefault="00FD57F2" w:rsidP="00FD57F2">
            <w:pPr>
              <w:jc w:val="center"/>
              <w:rPr>
                <w:sz w:val="16"/>
                <w:szCs w:val="16"/>
              </w:rPr>
            </w:pPr>
          </w:p>
        </w:tc>
        <w:tc>
          <w:tcPr>
            <w:tcW w:w="431" w:type="dxa"/>
            <w:shd w:val="clear" w:color="auto" w:fill="auto"/>
            <w:noWrap/>
            <w:vAlign w:val="center"/>
          </w:tcPr>
          <w:p w14:paraId="55B4C5F1" w14:textId="77777777" w:rsidR="00FD57F2" w:rsidRPr="00D46647" w:rsidRDefault="00FD57F2" w:rsidP="00FD57F2">
            <w:pPr>
              <w:jc w:val="center"/>
              <w:rPr>
                <w:sz w:val="16"/>
                <w:szCs w:val="16"/>
              </w:rPr>
            </w:pPr>
          </w:p>
        </w:tc>
        <w:tc>
          <w:tcPr>
            <w:tcW w:w="432" w:type="dxa"/>
            <w:shd w:val="clear" w:color="auto" w:fill="auto"/>
            <w:noWrap/>
            <w:vAlign w:val="center"/>
          </w:tcPr>
          <w:p w14:paraId="131A82B3" w14:textId="77777777" w:rsidR="00FD57F2" w:rsidRPr="00D46647" w:rsidRDefault="00FD57F2" w:rsidP="00FD57F2">
            <w:pPr>
              <w:jc w:val="center"/>
              <w:rPr>
                <w:sz w:val="16"/>
                <w:szCs w:val="16"/>
              </w:rPr>
            </w:pPr>
          </w:p>
        </w:tc>
        <w:tc>
          <w:tcPr>
            <w:tcW w:w="431" w:type="dxa"/>
            <w:shd w:val="clear" w:color="auto" w:fill="auto"/>
            <w:noWrap/>
            <w:vAlign w:val="center"/>
          </w:tcPr>
          <w:p w14:paraId="7B14BFD3" w14:textId="77777777" w:rsidR="00FD57F2" w:rsidRPr="00D46647" w:rsidRDefault="00FD57F2" w:rsidP="00FD57F2">
            <w:pPr>
              <w:jc w:val="center"/>
              <w:rPr>
                <w:sz w:val="16"/>
                <w:szCs w:val="16"/>
              </w:rPr>
            </w:pPr>
          </w:p>
        </w:tc>
        <w:tc>
          <w:tcPr>
            <w:tcW w:w="432" w:type="dxa"/>
            <w:shd w:val="clear" w:color="auto" w:fill="auto"/>
            <w:noWrap/>
            <w:vAlign w:val="center"/>
          </w:tcPr>
          <w:p w14:paraId="661007B2" w14:textId="77777777" w:rsidR="00FD57F2" w:rsidRPr="00D46647" w:rsidRDefault="00FD57F2" w:rsidP="00FD57F2">
            <w:pPr>
              <w:jc w:val="center"/>
              <w:rPr>
                <w:sz w:val="16"/>
                <w:szCs w:val="16"/>
              </w:rPr>
            </w:pPr>
          </w:p>
        </w:tc>
        <w:tc>
          <w:tcPr>
            <w:tcW w:w="431" w:type="dxa"/>
            <w:shd w:val="clear" w:color="auto" w:fill="auto"/>
            <w:noWrap/>
            <w:vAlign w:val="center"/>
          </w:tcPr>
          <w:p w14:paraId="10043639" w14:textId="77777777" w:rsidR="00FD57F2" w:rsidRPr="00D46647" w:rsidRDefault="00FD57F2" w:rsidP="00FD57F2">
            <w:pPr>
              <w:jc w:val="center"/>
              <w:rPr>
                <w:sz w:val="16"/>
                <w:szCs w:val="16"/>
              </w:rPr>
            </w:pPr>
          </w:p>
        </w:tc>
        <w:tc>
          <w:tcPr>
            <w:tcW w:w="431" w:type="dxa"/>
            <w:shd w:val="clear" w:color="auto" w:fill="auto"/>
            <w:noWrap/>
            <w:vAlign w:val="center"/>
          </w:tcPr>
          <w:p w14:paraId="0CA0D42B" w14:textId="77777777" w:rsidR="00FD57F2" w:rsidRPr="00D46647" w:rsidRDefault="00FD57F2" w:rsidP="00FD57F2">
            <w:pPr>
              <w:jc w:val="center"/>
              <w:rPr>
                <w:sz w:val="16"/>
                <w:szCs w:val="16"/>
              </w:rPr>
            </w:pPr>
          </w:p>
        </w:tc>
        <w:tc>
          <w:tcPr>
            <w:tcW w:w="432" w:type="dxa"/>
            <w:shd w:val="clear" w:color="auto" w:fill="auto"/>
            <w:noWrap/>
            <w:vAlign w:val="center"/>
          </w:tcPr>
          <w:p w14:paraId="10F83696" w14:textId="77777777" w:rsidR="00FD57F2" w:rsidRPr="00D46647" w:rsidRDefault="00FD57F2" w:rsidP="00FD57F2">
            <w:pPr>
              <w:jc w:val="center"/>
              <w:rPr>
                <w:sz w:val="16"/>
                <w:szCs w:val="16"/>
              </w:rPr>
            </w:pPr>
          </w:p>
        </w:tc>
        <w:tc>
          <w:tcPr>
            <w:tcW w:w="431" w:type="dxa"/>
            <w:shd w:val="clear" w:color="auto" w:fill="auto"/>
            <w:noWrap/>
            <w:vAlign w:val="center"/>
          </w:tcPr>
          <w:p w14:paraId="1D52DE7A" w14:textId="77777777" w:rsidR="00FD57F2" w:rsidRPr="00D46647" w:rsidRDefault="00FD57F2" w:rsidP="00FD57F2">
            <w:pPr>
              <w:jc w:val="center"/>
              <w:rPr>
                <w:sz w:val="16"/>
                <w:szCs w:val="16"/>
              </w:rPr>
            </w:pPr>
          </w:p>
        </w:tc>
        <w:tc>
          <w:tcPr>
            <w:tcW w:w="432" w:type="dxa"/>
            <w:shd w:val="clear" w:color="auto" w:fill="auto"/>
            <w:noWrap/>
            <w:vAlign w:val="center"/>
          </w:tcPr>
          <w:p w14:paraId="0F2DBAD3" w14:textId="77777777" w:rsidR="00FD57F2" w:rsidRPr="00D46647" w:rsidRDefault="00FD57F2" w:rsidP="00FD57F2">
            <w:pPr>
              <w:jc w:val="center"/>
              <w:rPr>
                <w:sz w:val="16"/>
                <w:szCs w:val="16"/>
              </w:rPr>
            </w:pPr>
          </w:p>
        </w:tc>
        <w:tc>
          <w:tcPr>
            <w:tcW w:w="431" w:type="dxa"/>
            <w:shd w:val="clear" w:color="auto" w:fill="auto"/>
            <w:noWrap/>
            <w:vAlign w:val="center"/>
          </w:tcPr>
          <w:p w14:paraId="6864F596" w14:textId="77777777" w:rsidR="00FD57F2" w:rsidRPr="00D46647" w:rsidRDefault="00FD57F2" w:rsidP="00FD57F2">
            <w:pPr>
              <w:jc w:val="center"/>
              <w:rPr>
                <w:noProof/>
                <w:sz w:val="16"/>
                <w:szCs w:val="16"/>
              </w:rPr>
            </w:pPr>
          </w:p>
        </w:tc>
        <w:tc>
          <w:tcPr>
            <w:tcW w:w="435" w:type="dxa"/>
            <w:shd w:val="clear" w:color="auto" w:fill="auto"/>
            <w:noWrap/>
            <w:vAlign w:val="center"/>
          </w:tcPr>
          <w:p w14:paraId="042E5988" w14:textId="77777777" w:rsidR="00FD57F2" w:rsidRPr="00D46647" w:rsidRDefault="00FD57F2" w:rsidP="00FD57F2">
            <w:pPr>
              <w:jc w:val="center"/>
              <w:rPr>
                <w:noProof/>
                <w:sz w:val="16"/>
                <w:szCs w:val="16"/>
              </w:rPr>
            </w:pPr>
          </w:p>
        </w:tc>
        <w:tc>
          <w:tcPr>
            <w:tcW w:w="492" w:type="dxa"/>
            <w:shd w:val="clear" w:color="auto" w:fill="auto"/>
            <w:vAlign w:val="center"/>
          </w:tcPr>
          <w:p w14:paraId="012D6850" w14:textId="77777777" w:rsidR="00FD57F2" w:rsidRPr="00D46647" w:rsidRDefault="00FD57F2" w:rsidP="00FD57F2">
            <w:pPr>
              <w:jc w:val="center"/>
              <w:rPr>
                <w:noProof/>
                <w:sz w:val="16"/>
                <w:szCs w:val="16"/>
              </w:rPr>
            </w:pPr>
            <w:r w:rsidRPr="00D46647">
              <w:rPr>
                <w:noProof/>
                <w:sz w:val="16"/>
                <w:szCs w:val="16"/>
              </w:rPr>
              <w:t>X</w:t>
            </w:r>
          </w:p>
        </w:tc>
        <w:tc>
          <w:tcPr>
            <w:tcW w:w="396" w:type="dxa"/>
            <w:shd w:val="clear" w:color="auto" w:fill="auto"/>
            <w:vAlign w:val="center"/>
          </w:tcPr>
          <w:p w14:paraId="4607777D" w14:textId="77777777" w:rsidR="00FD57F2" w:rsidRPr="00D46647" w:rsidRDefault="00FD57F2" w:rsidP="00FD57F2">
            <w:pPr>
              <w:jc w:val="center"/>
              <w:rPr>
                <w:noProof/>
                <w:sz w:val="16"/>
                <w:szCs w:val="16"/>
              </w:rPr>
            </w:pPr>
            <w:r w:rsidRPr="00D46647">
              <w:rPr>
                <w:noProof/>
                <w:sz w:val="16"/>
                <w:szCs w:val="16"/>
              </w:rPr>
              <w:t>X</w:t>
            </w:r>
          </w:p>
        </w:tc>
      </w:tr>
    </w:tbl>
    <w:p w14:paraId="6ECC5438" w14:textId="77777777" w:rsidR="00FD57F2" w:rsidRPr="00D46647" w:rsidRDefault="00FD57F2" w:rsidP="00FD57F2"/>
    <w:p w14:paraId="2FC7CFAC" w14:textId="77777777" w:rsidR="00FD57F2" w:rsidRPr="00D46647" w:rsidRDefault="00FD57F2" w:rsidP="00FD57F2">
      <w:pPr>
        <w:rPr>
          <w:b/>
          <w:sz w:val="20"/>
        </w:rPr>
      </w:pPr>
      <w:r w:rsidRPr="00D46647">
        <w:br w:type="page"/>
      </w:r>
      <w:r w:rsidRPr="00D46647">
        <w:rPr>
          <w:b/>
          <w:sz w:val="20"/>
        </w:rPr>
        <w:t>PROJETS LIÉS AUX BÂTIMENTS</w:t>
      </w:r>
    </w:p>
    <w:p w14:paraId="1F76BF8B" w14:textId="77777777" w:rsidR="00FD57F2" w:rsidRPr="00D46647" w:rsidRDefault="00FD57F2" w:rsidP="00FD57F2">
      <w:pPr>
        <w:rPr>
          <w:b/>
          <w:i/>
          <w:sz w:val="20"/>
        </w:rPr>
      </w:pPr>
      <w:bookmarkStart w:id="112" w:name="_Toc422210528"/>
    </w:p>
    <w:p w14:paraId="299F0AF8" w14:textId="3D642B77" w:rsidR="00FD57F2" w:rsidRPr="00D46647" w:rsidRDefault="005623CF" w:rsidP="005623CF">
      <w:pPr>
        <w:pStyle w:val="Heading5"/>
      </w:pPr>
      <w:bookmarkStart w:id="113" w:name="_Toc423352913"/>
      <w:bookmarkStart w:id="114" w:name="_Toc455394226"/>
      <w:bookmarkStart w:id="115" w:name="_Toc482774637"/>
      <w:r>
        <w:t>P</w:t>
      </w:r>
      <w:r w:rsidRPr="00D46647">
        <w:t>rojet</w:t>
      </w:r>
      <w:r>
        <w:t> </w:t>
      </w:r>
      <w:r w:rsidRPr="00D46647">
        <w:t>6</w:t>
      </w:r>
      <w:r w:rsidRPr="00D46647">
        <w:tab/>
      </w:r>
      <w:r>
        <w:t>B</w:t>
      </w:r>
      <w:r w:rsidRPr="00D46647">
        <w:t xml:space="preserve">âtiment </w:t>
      </w:r>
      <w:r>
        <w:t>A</w:t>
      </w:r>
      <w:r w:rsidRPr="00D46647">
        <w:t xml:space="preserve">rpad </w:t>
      </w:r>
      <w:r>
        <w:t>B</w:t>
      </w:r>
      <w:r w:rsidRPr="00D46647">
        <w:t>ogsch – remplacement de certaines fenêtres</w:t>
      </w:r>
      <w:bookmarkEnd w:id="112"/>
      <w:bookmarkEnd w:id="113"/>
      <w:bookmarkEnd w:id="114"/>
      <w:bookmarkEnd w:id="115"/>
    </w:p>
    <w:p w14:paraId="55748CE8" w14:textId="77777777" w:rsidR="00FD57F2" w:rsidRPr="00D46647" w:rsidRDefault="00FD57F2" w:rsidP="00FD57F2">
      <w:pPr>
        <w:rPr>
          <w:sz w:val="20"/>
        </w:rPr>
      </w:pPr>
    </w:p>
    <w:p w14:paraId="734E7EB0" w14:textId="77777777" w:rsidR="00FD57F2" w:rsidRPr="00D46647" w:rsidRDefault="00FD57F2" w:rsidP="00FD57F2">
      <w:pPr>
        <w:rPr>
          <w:b/>
          <w:sz w:val="20"/>
        </w:rPr>
      </w:pPr>
      <w:r w:rsidRPr="00D46647">
        <w:rPr>
          <w:b/>
          <w:sz w:val="20"/>
        </w:rPr>
        <w:t xml:space="preserve">Chef de projet </w:t>
      </w:r>
      <w:r w:rsidRPr="00D46647">
        <w:rPr>
          <w:b/>
          <w:sz w:val="20"/>
        </w:rPr>
        <w:tab/>
        <w:t>M. A. FAVERO</w:t>
      </w:r>
    </w:p>
    <w:p w14:paraId="255F210C" w14:textId="77777777" w:rsidR="00FD57F2" w:rsidRPr="00D46647" w:rsidRDefault="00FD57F2" w:rsidP="00FD57F2">
      <w:pPr>
        <w:rPr>
          <w:sz w:val="20"/>
        </w:rPr>
      </w:pPr>
    </w:p>
    <w:p w14:paraId="4D838D9E" w14:textId="77777777" w:rsidR="00FD57F2" w:rsidRPr="00D46647" w:rsidRDefault="00FD57F2" w:rsidP="00FD57F2">
      <w:pPr>
        <w:rPr>
          <w:bCs/>
          <w:sz w:val="20"/>
        </w:rPr>
      </w:pPr>
    </w:p>
    <w:p w14:paraId="4ADCD272" w14:textId="77777777" w:rsidR="00FD57F2" w:rsidRPr="00D46647" w:rsidRDefault="00FD57F2" w:rsidP="00FD57F2">
      <w:pPr>
        <w:rPr>
          <w:bCs/>
          <w:sz w:val="20"/>
        </w:rPr>
      </w:pPr>
      <w:r w:rsidRPr="00D46647">
        <w:rPr>
          <w:sz w:val="20"/>
        </w:rPr>
        <w:t>RÉSULTATS ESCOMPTÉS</w:t>
      </w:r>
    </w:p>
    <w:p w14:paraId="14823669" w14:textId="77777777" w:rsidR="00FD57F2" w:rsidRPr="00D46647" w:rsidRDefault="00FD57F2" w:rsidP="00FD57F2">
      <w:pPr>
        <w:rPr>
          <w:bCs/>
          <w:sz w:val="20"/>
        </w:rPr>
      </w:pPr>
    </w:p>
    <w:p w14:paraId="626E0933" w14:textId="77777777" w:rsidR="00FD57F2" w:rsidRPr="00D46647" w:rsidRDefault="00FD57F2" w:rsidP="00FD57F2">
      <w:pPr>
        <w:rPr>
          <w:i/>
          <w:iCs/>
          <w:sz w:val="20"/>
        </w:rPr>
      </w:pPr>
      <w:r w:rsidRPr="00D46647">
        <w:rPr>
          <w:i/>
          <w:sz w:val="20"/>
        </w:rPr>
        <w:t>IX.1 Services d’appui efficaces, efficients, de qualité et tournés vers la clientèle, à l’intention à la fois des clients internes et des parties prenantes externes</w:t>
      </w:r>
    </w:p>
    <w:p w14:paraId="3263C611" w14:textId="77777777" w:rsidR="00FD57F2" w:rsidRPr="00D46647" w:rsidRDefault="00FD57F2" w:rsidP="00FD57F2">
      <w:pPr>
        <w:rPr>
          <w:bCs/>
          <w:sz w:val="20"/>
        </w:rPr>
      </w:pPr>
    </w:p>
    <w:p w14:paraId="38B23A2A" w14:textId="77777777" w:rsidR="00FD57F2" w:rsidRPr="00D46647" w:rsidRDefault="00FD57F2" w:rsidP="00FD57F2">
      <w:pPr>
        <w:rPr>
          <w:bCs/>
          <w:sz w:val="20"/>
        </w:rPr>
      </w:pPr>
    </w:p>
    <w:p w14:paraId="286E3BBF" w14:textId="77777777" w:rsidR="00FD57F2" w:rsidRPr="00D46647" w:rsidRDefault="00FD57F2" w:rsidP="00FD57F2">
      <w:pPr>
        <w:rPr>
          <w:bCs/>
          <w:sz w:val="20"/>
        </w:rPr>
      </w:pPr>
      <w:r w:rsidRPr="00D46647">
        <w:rPr>
          <w:sz w:val="20"/>
        </w:rPr>
        <w:t>OBJECTIFS, PORTÉE ET APPROCHE – GÉNÉRALITÉS</w:t>
      </w:r>
    </w:p>
    <w:p w14:paraId="27F6C3BD" w14:textId="77777777" w:rsidR="00FD57F2" w:rsidRPr="00D46647" w:rsidRDefault="00FD57F2" w:rsidP="00FD57F2">
      <w:pPr>
        <w:rPr>
          <w:bCs/>
          <w:sz w:val="20"/>
        </w:rPr>
      </w:pPr>
    </w:p>
    <w:p w14:paraId="40BFE9B9" w14:textId="77777777" w:rsidR="00FD57F2" w:rsidRPr="00D46647" w:rsidRDefault="00FD57F2" w:rsidP="002C58CD">
      <w:pPr>
        <w:pStyle w:val="ListParagraph"/>
        <w:numPr>
          <w:ilvl w:val="0"/>
          <w:numId w:val="71"/>
        </w:numPr>
        <w:tabs>
          <w:tab w:val="left" w:pos="567"/>
        </w:tabs>
        <w:ind w:left="0" w:firstLine="0"/>
        <w:contextualSpacing w:val="0"/>
        <w:jc w:val="both"/>
        <w:rPr>
          <w:rFonts w:ascii="Arial" w:hAnsi="Arial" w:cs="Arial"/>
          <w:bCs/>
          <w:sz w:val="20"/>
          <w:szCs w:val="20"/>
        </w:rPr>
      </w:pPr>
      <w:r w:rsidRPr="00D46647">
        <w:rPr>
          <w:rFonts w:ascii="Arial" w:hAnsi="Arial" w:cs="Arial"/>
          <w:sz w:val="20"/>
          <w:szCs w:val="20"/>
        </w:rPr>
        <w:t>Les fenêtres de la façade sud-ouest du bâtiment AB sont celles qui ont le plus souffert au cours des 30 dernières années de leur plus grande exposition au soleil et à la chaleur et de la plus grande amplitude thermique chaque année entre l’hiver et l’été, entraînant une dégradation importante de leurs qualités thermiques.  En outre, certaines de ces fenêtres et d’autres ont subi une dégradation de leur teinte bleutée (qui a tourné au rose violet) compte tenu du vieillissement du gaz contenu entre les épaisseurs de vitrage.</w:t>
      </w:r>
    </w:p>
    <w:p w14:paraId="1D7643AA" w14:textId="77777777" w:rsidR="00FD57F2" w:rsidRPr="00D46647" w:rsidRDefault="00FD57F2" w:rsidP="00FD57F2">
      <w:pPr>
        <w:tabs>
          <w:tab w:val="left" w:pos="567"/>
        </w:tabs>
        <w:jc w:val="both"/>
        <w:rPr>
          <w:bCs/>
          <w:sz w:val="20"/>
        </w:rPr>
      </w:pPr>
    </w:p>
    <w:p w14:paraId="5D0E81FC" w14:textId="77777777" w:rsidR="00FD57F2" w:rsidRPr="00D46647" w:rsidRDefault="00FD57F2" w:rsidP="002C58CD">
      <w:pPr>
        <w:pStyle w:val="ListParagraph"/>
        <w:numPr>
          <w:ilvl w:val="0"/>
          <w:numId w:val="71"/>
        </w:numPr>
        <w:tabs>
          <w:tab w:val="left" w:pos="567"/>
        </w:tabs>
        <w:ind w:left="0" w:firstLine="0"/>
        <w:contextualSpacing w:val="0"/>
        <w:jc w:val="both"/>
        <w:rPr>
          <w:rFonts w:ascii="Arial" w:hAnsi="Arial" w:cs="Arial"/>
          <w:sz w:val="20"/>
          <w:szCs w:val="20"/>
        </w:rPr>
      </w:pPr>
      <w:r w:rsidRPr="00D46647">
        <w:rPr>
          <w:rFonts w:ascii="Arial" w:hAnsi="Arial" w:cs="Arial"/>
          <w:sz w:val="20"/>
          <w:szCs w:val="20"/>
        </w:rPr>
        <w:t>Le remplacement de ces fenêtres permettra de réduire la consommation d’énergie requise principalement pour rafraîchir les bureaux concernés en période de chaleur.  Il améliorera également l’esthétique du bâtiment AB, qui fait partie des monuments de Genève.</w:t>
      </w:r>
    </w:p>
    <w:p w14:paraId="109D875A" w14:textId="77777777" w:rsidR="00FD57F2" w:rsidRPr="00D46647" w:rsidRDefault="00FD57F2" w:rsidP="00FD57F2">
      <w:pPr>
        <w:tabs>
          <w:tab w:val="left" w:pos="567"/>
        </w:tabs>
        <w:jc w:val="both"/>
        <w:rPr>
          <w:bCs/>
          <w:sz w:val="20"/>
        </w:rPr>
      </w:pPr>
    </w:p>
    <w:p w14:paraId="065E4344" w14:textId="77777777" w:rsidR="00FD57F2" w:rsidRPr="00D46647" w:rsidRDefault="00FD57F2" w:rsidP="002C58CD">
      <w:pPr>
        <w:pStyle w:val="ListParagraph"/>
        <w:numPr>
          <w:ilvl w:val="0"/>
          <w:numId w:val="71"/>
        </w:numPr>
        <w:tabs>
          <w:tab w:val="left" w:pos="567"/>
        </w:tabs>
        <w:ind w:left="0" w:firstLine="0"/>
        <w:contextualSpacing w:val="0"/>
        <w:jc w:val="both"/>
        <w:rPr>
          <w:rFonts w:ascii="Arial" w:hAnsi="Arial" w:cs="Arial"/>
          <w:bCs/>
          <w:sz w:val="20"/>
          <w:szCs w:val="20"/>
        </w:rPr>
      </w:pPr>
      <w:r w:rsidRPr="00D46647">
        <w:rPr>
          <w:rFonts w:ascii="Arial" w:hAnsi="Arial" w:cs="Arial"/>
          <w:sz w:val="20"/>
          <w:szCs w:val="20"/>
        </w:rPr>
        <w:t>Les objectifs du projet consistent à : i) améliorer la qualité thermique et l’efficacité énergétique de la façade sud-ouest du bâtiment AB;  ii) réduire la consommation énergétique;  iii) améliorer le confort thermique des occupants;  et iv) améliorer l’apparence esthétique du bâtiment AB.</w:t>
      </w:r>
    </w:p>
    <w:p w14:paraId="69474AB0" w14:textId="77777777" w:rsidR="00FD57F2" w:rsidRPr="00D46647" w:rsidRDefault="00FD57F2" w:rsidP="00FD57F2">
      <w:pPr>
        <w:jc w:val="both"/>
        <w:rPr>
          <w:bCs/>
          <w:sz w:val="20"/>
        </w:rPr>
      </w:pPr>
    </w:p>
    <w:p w14:paraId="6F092A9C" w14:textId="77777777" w:rsidR="00FD57F2" w:rsidRPr="00D46647" w:rsidRDefault="00FD57F2" w:rsidP="00FD57F2">
      <w:pPr>
        <w:jc w:val="both"/>
        <w:rPr>
          <w:bCs/>
          <w:sz w:val="20"/>
        </w:rPr>
      </w:pPr>
    </w:p>
    <w:p w14:paraId="4DB4995C" w14:textId="77777777" w:rsidR="00FD57F2" w:rsidRPr="00D46647" w:rsidRDefault="00FD57F2" w:rsidP="00FD57F2">
      <w:pPr>
        <w:jc w:val="both"/>
        <w:rPr>
          <w:bCs/>
          <w:sz w:val="20"/>
        </w:rPr>
      </w:pPr>
      <w:r w:rsidRPr="00D46647">
        <w:rPr>
          <w:sz w:val="20"/>
        </w:rPr>
        <w:t>APERÇU DES PROGRÈS RÉALISÉS EN 2016 (PRINCIPALES ÉTAPES)</w:t>
      </w:r>
    </w:p>
    <w:p w14:paraId="246C2D79" w14:textId="77777777" w:rsidR="00FD57F2" w:rsidRPr="00D46647" w:rsidRDefault="00FD57F2" w:rsidP="00FD57F2">
      <w:pPr>
        <w:jc w:val="both"/>
        <w:rPr>
          <w:bCs/>
          <w:sz w:val="20"/>
        </w:rPr>
      </w:pPr>
    </w:p>
    <w:p w14:paraId="651946A2" w14:textId="77777777" w:rsidR="00FD57F2" w:rsidRPr="00D46647" w:rsidRDefault="00FD57F2" w:rsidP="002C58CD">
      <w:pPr>
        <w:pStyle w:val="ListParagraph"/>
        <w:numPr>
          <w:ilvl w:val="0"/>
          <w:numId w:val="71"/>
        </w:numPr>
        <w:tabs>
          <w:tab w:val="left" w:pos="426"/>
        </w:tabs>
        <w:ind w:left="440" w:hanging="440"/>
        <w:jc w:val="both"/>
        <w:rPr>
          <w:rFonts w:ascii="Arial" w:eastAsiaTheme="minorHAnsi" w:hAnsi="Arial" w:cs="Arial"/>
          <w:color w:val="000000" w:themeColor="text1"/>
          <w:sz w:val="20"/>
          <w:szCs w:val="20"/>
        </w:rPr>
      </w:pPr>
      <w:r w:rsidRPr="00D46647">
        <w:rPr>
          <w:rFonts w:ascii="Arial" w:hAnsi="Arial" w:cs="Arial"/>
          <w:color w:val="000000" w:themeColor="text1"/>
          <w:sz w:val="20"/>
          <w:szCs w:val="20"/>
        </w:rPr>
        <w:t>Des problèmes techniques inattendus et imprévisibles ayant été détectés en 2015, lors des travaux d’exploration de la façade sud</w:t>
      </w:r>
      <w:r w:rsidRPr="00D46647">
        <w:rPr>
          <w:rFonts w:ascii="Arial" w:hAnsi="Arial" w:cs="Arial"/>
          <w:sz w:val="20"/>
          <w:szCs w:val="20"/>
        </w:rPr>
        <w:t>-</w:t>
      </w:r>
      <w:r w:rsidRPr="00D46647">
        <w:rPr>
          <w:rFonts w:ascii="Arial" w:hAnsi="Arial" w:cs="Arial"/>
          <w:color w:val="000000" w:themeColor="text1"/>
          <w:sz w:val="20"/>
          <w:szCs w:val="20"/>
        </w:rPr>
        <w:t>ouest, il a été décidé de reporter l’exécution du projet jusqu’à la résolution des problèmes techniques</w:t>
      </w:r>
      <w:r w:rsidRPr="00D46647">
        <w:rPr>
          <w:rFonts w:ascii="Arial" w:eastAsiaTheme="minorHAnsi" w:hAnsi="Arial" w:cs="Arial"/>
          <w:color w:val="000000" w:themeColor="text1"/>
          <w:sz w:val="20"/>
          <w:szCs w:val="20"/>
        </w:rPr>
        <w:t>.</w:t>
      </w:r>
    </w:p>
    <w:p w14:paraId="15B7A03A" w14:textId="77777777" w:rsidR="00FD57F2" w:rsidRPr="00D46647" w:rsidRDefault="00FD57F2" w:rsidP="00FD57F2">
      <w:pPr>
        <w:rPr>
          <w:rFonts w:eastAsiaTheme="minorHAnsi"/>
          <w:color w:val="000000" w:themeColor="text1"/>
          <w:sz w:val="20"/>
        </w:rPr>
      </w:pPr>
    </w:p>
    <w:p w14:paraId="408A8FB6" w14:textId="77777777" w:rsidR="00FD57F2" w:rsidRPr="00D46647" w:rsidRDefault="00FD57F2" w:rsidP="002C58CD">
      <w:pPr>
        <w:pStyle w:val="ListParagraph"/>
        <w:numPr>
          <w:ilvl w:val="0"/>
          <w:numId w:val="71"/>
        </w:numPr>
        <w:tabs>
          <w:tab w:val="left" w:pos="426"/>
        </w:tabs>
        <w:ind w:left="440" w:hanging="440"/>
        <w:jc w:val="both"/>
        <w:rPr>
          <w:rFonts w:ascii="Arial" w:eastAsiaTheme="minorHAnsi" w:hAnsi="Arial" w:cs="Arial"/>
          <w:color w:val="000000" w:themeColor="text1"/>
          <w:sz w:val="20"/>
          <w:szCs w:val="20"/>
        </w:rPr>
      </w:pPr>
      <w:r w:rsidRPr="00D46647">
        <w:rPr>
          <w:rFonts w:ascii="Arial" w:hAnsi="Arial" w:cs="Arial"/>
          <w:color w:val="000000" w:themeColor="text1"/>
          <w:sz w:val="20"/>
          <w:szCs w:val="20"/>
        </w:rPr>
        <w:t>En 2016, à titre de mesure temporaire d’atténuation, des films de protection solaire ont été installés sur les fenêtres de la façade sud</w:t>
      </w:r>
      <w:r w:rsidRPr="00D46647">
        <w:rPr>
          <w:rFonts w:ascii="Arial" w:hAnsi="Arial" w:cs="Arial"/>
          <w:sz w:val="20"/>
          <w:szCs w:val="20"/>
        </w:rPr>
        <w:t>-</w:t>
      </w:r>
      <w:r w:rsidRPr="00D46647">
        <w:rPr>
          <w:rFonts w:ascii="Arial" w:hAnsi="Arial" w:cs="Arial"/>
          <w:color w:val="000000" w:themeColor="text1"/>
          <w:sz w:val="20"/>
          <w:szCs w:val="20"/>
        </w:rPr>
        <w:t>ouest, ce qui a permis d’améliorer partiellement le confort thermique des occupants des bureaux de la façade sud</w:t>
      </w:r>
      <w:r w:rsidRPr="00D46647">
        <w:rPr>
          <w:rFonts w:ascii="Arial" w:hAnsi="Arial" w:cs="Arial"/>
          <w:sz w:val="20"/>
          <w:szCs w:val="20"/>
        </w:rPr>
        <w:t>-</w:t>
      </w:r>
      <w:r w:rsidRPr="00D46647">
        <w:rPr>
          <w:rFonts w:ascii="Arial" w:hAnsi="Arial" w:cs="Arial"/>
          <w:color w:val="000000" w:themeColor="text1"/>
          <w:sz w:val="20"/>
          <w:szCs w:val="20"/>
        </w:rPr>
        <w:t>ouest</w:t>
      </w:r>
      <w:r w:rsidRPr="00D46647">
        <w:rPr>
          <w:rFonts w:ascii="Arial" w:eastAsiaTheme="minorHAnsi" w:hAnsi="Arial" w:cs="Arial"/>
          <w:color w:val="000000" w:themeColor="text1"/>
          <w:sz w:val="20"/>
          <w:szCs w:val="20"/>
        </w:rPr>
        <w:t>.</w:t>
      </w:r>
    </w:p>
    <w:p w14:paraId="1EB80D44" w14:textId="77777777" w:rsidR="00FD57F2" w:rsidRPr="00D46647" w:rsidRDefault="00FD57F2" w:rsidP="00FD57F2">
      <w:pPr>
        <w:rPr>
          <w:rFonts w:eastAsiaTheme="minorHAnsi"/>
          <w:color w:val="000000" w:themeColor="text1"/>
          <w:sz w:val="20"/>
        </w:rPr>
      </w:pPr>
    </w:p>
    <w:p w14:paraId="15E19C82" w14:textId="77777777" w:rsidR="00FD57F2" w:rsidRPr="00D46647" w:rsidRDefault="00FD57F2" w:rsidP="002C58CD">
      <w:pPr>
        <w:pStyle w:val="ListParagraph"/>
        <w:numPr>
          <w:ilvl w:val="0"/>
          <w:numId w:val="71"/>
        </w:numPr>
        <w:tabs>
          <w:tab w:val="left" w:pos="426"/>
        </w:tabs>
        <w:ind w:left="440" w:hanging="440"/>
        <w:jc w:val="both"/>
        <w:rPr>
          <w:rFonts w:ascii="Arial" w:eastAsiaTheme="minorHAnsi" w:hAnsi="Arial" w:cs="Arial"/>
          <w:color w:val="000000" w:themeColor="text1"/>
          <w:sz w:val="20"/>
          <w:szCs w:val="20"/>
        </w:rPr>
      </w:pPr>
      <w:r w:rsidRPr="00D46647">
        <w:rPr>
          <w:rFonts w:ascii="Arial" w:hAnsi="Arial" w:cs="Arial"/>
          <w:color w:val="000000" w:themeColor="text1"/>
          <w:sz w:val="20"/>
          <w:szCs w:val="20"/>
        </w:rPr>
        <w:t>En conséquence de la situation décrite ci-dessus, la mise en œuvre du plan</w:t>
      </w:r>
      <w:r w:rsidRPr="00D46647">
        <w:rPr>
          <w:rFonts w:ascii="Arial" w:hAnsi="Arial" w:cs="Arial"/>
          <w:sz w:val="20"/>
          <w:szCs w:val="20"/>
        </w:rPr>
        <w:t>-</w:t>
      </w:r>
      <w:r w:rsidRPr="00D46647">
        <w:rPr>
          <w:rFonts w:ascii="Arial" w:hAnsi="Arial" w:cs="Arial"/>
          <w:color w:val="000000" w:themeColor="text1"/>
          <w:sz w:val="20"/>
          <w:szCs w:val="20"/>
        </w:rPr>
        <w:t>cadre d’équipement 6 tel que conçu à l’origine n’est plus possible.  Le Secrétariat propose donc dorénavant ce qui suit :</w:t>
      </w:r>
    </w:p>
    <w:p w14:paraId="0B3DE08D" w14:textId="77777777" w:rsidR="00FD57F2" w:rsidRPr="00D46647" w:rsidRDefault="00FD57F2" w:rsidP="00FD57F2">
      <w:pPr>
        <w:tabs>
          <w:tab w:val="left" w:pos="426"/>
        </w:tabs>
        <w:jc w:val="both"/>
        <w:rPr>
          <w:rFonts w:eastAsiaTheme="minorHAnsi"/>
          <w:color w:val="000000" w:themeColor="text1"/>
          <w:sz w:val="20"/>
        </w:rPr>
      </w:pPr>
    </w:p>
    <w:p w14:paraId="5FDC32F9" w14:textId="77777777" w:rsidR="00FD57F2" w:rsidRPr="00D46647" w:rsidRDefault="00FD57F2" w:rsidP="00A067C5">
      <w:pPr>
        <w:pStyle w:val="ListParagraph"/>
        <w:numPr>
          <w:ilvl w:val="0"/>
          <w:numId w:val="81"/>
        </w:numPr>
        <w:tabs>
          <w:tab w:val="left" w:pos="426"/>
        </w:tabs>
        <w:jc w:val="both"/>
        <w:rPr>
          <w:rFonts w:ascii="Arial" w:eastAsiaTheme="minorHAnsi" w:hAnsi="Arial" w:cs="Arial"/>
          <w:color w:val="000000" w:themeColor="text1"/>
          <w:sz w:val="20"/>
          <w:szCs w:val="20"/>
        </w:rPr>
      </w:pPr>
      <w:r w:rsidRPr="00D46647">
        <w:rPr>
          <w:rFonts w:ascii="Arial" w:hAnsi="Arial" w:cs="Arial"/>
          <w:color w:val="000000" w:themeColor="text1"/>
          <w:sz w:val="20"/>
          <w:szCs w:val="20"/>
        </w:rPr>
        <w:t>Le plan</w:t>
      </w:r>
      <w:r w:rsidRPr="00D46647">
        <w:rPr>
          <w:rFonts w:ascii="Arial" w:hAnsi="Arial" w:cs="Arial"/>
          <w:sz w:val="20"/>
          <w:szCs w:val="20"/>
        </w:rPr>
        <w:t>-</w:t>
      </w:r>
      <w:r w:rsidRPr="00D46647">
        <w:rPr>
          <w:rFonts w:ascii="Arial" w:hAnsi="Arial" w:cs="Arial"/>
          <w:color w:val="000000" w:themeColor="text1"/>
          <w:sz w:val="20"/>
          <w:szCs w:val="20"/>
        </w:rPr>
        <w:t>cadre d’équipement 6 sera déclaré clos fin 2016</w:t>
      </w:r>
      <w:r w:rsidRPr="00D46647">
        <w:rPr>
          <w:rFonts w:ascii="Arial" w:eastAsiaTheme="minorHAnsi" w:hAnsi="Arial" w:cs="Arial"/>
          <w:color w:val="000000" w:themeColor="text1"/>
          <w:sz w:val="20"/>
          <w:szCs w:val="20"/>
        </w:rPr>
        <w:t>;</w:t>
      </w:r>
    </w:p>
    <w:p w14:paraId="1D9C6BAD" w14:textId="77777777" w:rsidR="00FD57F2" w:rsidRPr="00D46647" w:rsidRDefault="00FD57F2" w:rsidP="00A067C5">
      <w:pPr>
        <w:pStyle w:val="ListParagraph"/>
        <w:numPr>
          <w:ilvl w:val="0"/>
          <w:numId w:val="81"/>
        </w:numPr>
        <w:tabs>
          <w:tab w:val="left" w:pos="426"/>
        </w:tabs>
        <w:jc w:val="both"/>
        <w:rPr>
          <w:rFonts w:ascii="Arial" w:eastAsiaTheme="minorHAnsi" w:hAnsi="Arial" w:cs="Arial"/>
          <w:color w:val="000000" w:themeColor="text1"/>
          <w:sz w:val="20"/>
          <w:szCs w:val="20"/>
        </w:rPr>
      </w:pPr>
      <w:r w:rsidRPr="00D46647">
        <w:rPr>
          <w:rFonts w:ascii="Arial" w:hAnsi="Arial" w:cs="Arial"/>
          <w:color w:val="000000" w:themeColor="text1"/>
          <w:sz w:val="20"/>
          <w:szCs w:val="20"/>
        </w:rPr>
        <w:t>Le solde budgétaire restant fin 2016, soit +206 237 francs suisses, sera réinjecté dans les réserves d’ici à fin 2017</w:t>
      </w:r>
      <w:r w:rsidRPr="00D46647">
        <w:rPr>
          <w:rFonts w:ascii="Arial" w:eastAsiaTheme="minorHAnsi" w:hAnsi="Arial" w:cs="Arial"/>
          <w:color w:val="000000" w:themeColor="text1"/>
          <w:sz w:val="20"/>
          <w:szCs w:val="20"/>
        </w:rPr>
        <w:t>.</w:t>
      </w:r>
    </w:p>
    <w:p w14:paraId="14DB90EF" w14:textId="77777777" w:rsidR="00FD57F2" w:rsidRPr="00D46647" w:rsidRDefault="00FD57F2" w:rsidP="00FD57F2">
      <w:pPr>
        <w:rPr>
          <w:bCs/>
          <w:color w:val="000000" w:themeColor="text1"/>
          <w:sz w:val="20"/>
        </w:rPr>
      </w:pPr>
    </w:p>
    <w:p w14:paraId="4653E66F" w14:textId="77777777" w:rsidR="00FD57F2" w:rsidRPr="00D46647" w:rsidRDefault="00FD57F2" w:rsidP="00FD57F2">
      <w:pPr>
        <w:rPr>
          <w:bCs/>
          <w:sz w:val="20"/>
        </w:rPr>
      </w:pPr>
    </w:p>
    <w:p w14:paraId="1BBC005A" w14:textId="77777777" w:rsidR="00FD57F2" w:rsidRPr="00D46647" w:rsidRDefault="00FD57F2" w:rsidP="00FD57F2">
      <w:pPr>
        <w:rPr>
          <w:bCs/>
          <w:sz w:val="20"/>
        </w:rPr>
      </w:pPr>
      <w:r w:rsidRPr="00D46647">
        <w:rPr>
          <w:sz w:val="20"/>
        </w:rPr>
        <w:t>CONCRÉTISATION DES AVANTAGES</w:t>
      </w:r>
    </w:p>
    <w:p w14:paraId="16662FE0" w14:textId="77777777" w:rsidR="00FD57F2" w:rsidRPr="00D46647" w:rsidRDefault="00FD57F2" w:rsidP="00FD57F2">
      <w:pPr>
        <w:rPr>
          <w:sz w:val="20"/>
        </w:rPr>
      </w:pPr>
    </w:p>
    <w:tbl>
      <w:tblPr>
        <w:tblW w:w="43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974"/>
        <w:gridCol w:w="4013"/>
      </w:tblGrid>
      <w:tr w:rsidR="00FD57F2" w:rsidRPr="00D46647" w14:paraId="52E14BA6" w14:textId="77777777" w:rsidTr="007E3422">
        <w:trPr>
          <w:tblHeader/>
          <w:jc w:val="center"/>
        </w:trPr>
        <w:tc>
          <w:tcPr>
            <w:tcW w:w="2488" w:type="pct"/>
            <w:shd w:val="clear" w:color="auto" w:fill="C6D9F1"/>
            <w:vAlign w:val="center"/>
          </w:tcPr>
          <w:p w14:paraId="69475A2C" w14:textId="77777777" w:rsidR="00FD57F2" w:rsidRPr="00D46647" w:rsidRDefault="00FD57F2" w:rsidP="00FD57F2">
            <w:pPr>
              <w:jc w:val="center"/>
              <w:rPr>
                <w:b/>
                <w:bCs/>
                <w:sz w:val="16"/>
                <w:szCs w:val="16"/>
              </w:rPr>
            </w:pPr>
            <w:r w:rsidRPr="00D46647">
              <w:rPr>
                <w:b/>
                <w:sz w:val="16"/>
              </w:rPr>
              <w:t>Avantages obtenus en 2015</w:t>
            </w:r>
          </w:p>
        </w:tc>
        <w:tc>
          <w:tcPr>
            <w:tcW w:w="2512" w:type="pct"/>
            <w:shd w:val="clear" w:color="auto" w:fill="C6D9F1"/>
            <w:vAlign w:val="center"/>
          </w:tcPr>
          <w:p w14:paraId="715B33DB" w14:textId="77777777" w:rsidR="00FD57F2" w:rsidRPr="00D46647" w:rsidRDefault="00FD57F2" w:rsidP="00FD57F2">
            <w:pPr>
              <w:jc w:val="center"/>
              <w:rPr>
                <w:b/>
                <w:bCs/>
                <w:sz w:val="16"/>
                <w:szCs w:val="16"/>
              </w:rPr>
            </w:pPr>
            <w:r w:rsidRPr="00D46647">
              <w:rPr>
                <w:b/>
                <w:sz w:val="16"/>
              </w:rPr>
              <w:t>Avantages obtenus en 2016</w:t>
            </w:r>
          </w:p>
        </w:tc>
      </w:tr>
      <w:tr w:rsidR="00FD57F2" w:rsidRPr="00D46647" w14:paraId="0D7A7BEE" w14:textId="77777777" w:rsidTr="007E3422">
        <w:trPr>
          <w:jc w:val="center"/>
        </w:trPr>
        <w:tc>
          <w:tcPr>
            <w:tcW w:w="2488" w:type="pct"/>
            <w:vAlign w:val="center"/>
          </w:tcPr>
          <w:p w14:paraId="281FF925" w14:textId="77777777" w:rsidR="00FD57F2" w:rsidRPr="00D46647" w:rsidRDefault="00FD57F2" w:rsidP="00FD57F2">
            <w:pPr>
              <w:rPr>
                <w:bCs/>
                <w:sz w:val="16"/>
                <w:szCs w:val="16"/>
              </w:rPr>
            </w:pPr>
            <w:r w:rsidRPr="00D46647">
              <w:rPr>
                <w:bCs/>
                <w:sz w:val="16"/>
                <w:szCs w:val="16"/>
              </w:rPr>
              <w:t>Pas d’avantages obtenus en 2015 en raison de l’interruption des travaux consécutive à la découverte de problèmes techniques.</w:t>
            </w:r>
          </w:p>
        </w:tc>
        <w:tc>
          <w:tcPr>
            <w:tcW w:w="2512" w:type="pct"/>
            <w:shd w:val="clear" w:color="auto" w:fill="auto"/>
            <w:vAlign w:val="center"/>
          </w:tcPr>
          <w:p w14:paraId="6DA5D21C" w14:textId="77777777" w:rsidR="00FD57F2" w:rsidRPr="005623CF" w:rsidRDefault="00FD57F2" w:rsidP="00FD57F2">
            <w:pPr>
              <w:rPr>
                <w:b/>
                <w:sz w:val="16"/>
              </w:rPr>
            </w:pPr>
            <w:r w:rsidRPr="005623CF">
              <w:rPr>
                <w:bCs/>
                <w:sz w:val="16"/>
                <w:szCs w:val="16"/>
              </w:rPr>
              <w:t>L’installation de films de protection solaire sur les fenêtres a permis une réduction partielle de la perte d’énergie par la façade sud-ouest du bâtiment AB.</w:t>
            </w:r>
          </w:p>
        </w:tc>
      </w:tr>
      <w:tr w:rsidR="00FD57F2" w:rsidRPr="00D46647" w14:paraId="28593227" w14:textId="77777777" w:rsidTr="007E3422">
        <w:trPr>
          <w:jc w:val="center"/>
        </w:trPr>
        <w:tc>
          <w:tcPr>
            <w:tcW w:w="2488" w:type="pct"/>
            <w:vAlign w:val="center"/>
          </w:tcPr>
          <w:p w14:paraId="2EF10166" w14:textId="77777777" w:rsidR="00FD57F2" w:rsidRPr="00D46647" w:rsidRDefault="00FD57F2" w:rsidP="00FD57F2">
            <w:pPr>
              <w:rPr>
                <w:bCs/>
                <w:sz w:val="16"/>
                <w:szCs w:val="16"/>
              </w:rPr>
            </w:pPr>
          </w:p>
        </w:tc>
        <w:tc>
          <w:tcPr>
            <w:tcW w:w="2512" w:type="pct"/>
            <w:shd w:val="clear" w:color="auto" w:fill="auto"/>
            <w:vAlign w:val="center"/>
          </w:tcPr>
          <w:p w14:paraId="6ECF78C6" w14:textId="77777777" w:rsidR="00FD57F2" w:rsidRPr="005623CF" w:rsidRDefault="00FD57F2" w:rsidP="00FD57F2">
            <w:pPr>
              <w:rPr>
                <w:sz w:val="16"/>
              </w:rPr>
            </w:pPr>
            <w:r w:rsidRPr="005623CF">
              <w:rPr>
                <w:bCs/>
                <w:sz w:val="16"/>
                <w:szCs w:val="16"/>
              </w:rPr>
              <w:t>L’installation de films de protection solaire sur les fenêtres a permis une amélioration partielle du confort thermique des occupants des bureaux de la façade sud-ouest du bâtiment AB tout au long de l’année.</w:t>
            </w:r>
          </w:p>
        </w:tc>
      </w:tr>
    </w:tbl>
    <w:p w14:paraId="00E5BD24" w14:textId="77777777" w:rsidR="00FD57F2" w:rsidRPr="00D46647" w:rsidRDefault="00FD57F2" w:rsidP="00FD57F2">
      <w:pPr>
        <w:rPr>
          <w:b/>
        </w:rPr>
      </w:pPr>
    </w:p>
    <w:p w14:paraId="73E7597D" w14:textId="77777777" w:rsidR="00FD57F2" w:rsidRPr="00D46647" w:rsidRDefault="00FD57F2" w:rsidP="00FD57F2">
      <w:r w:rsidRPr="00D46647">
        <w:t>UTILISATION DES RESSOURCES</w:t>
      </w:r>
      <w:r w:rsidRPr="00D46647">
        <w:rPr>
          <w:rStyle w:val="FootnoteReference"/>
          <w:rFonts w:cs="Arial"/>
        </w:rPr>
        <w:footnoteReference w:id="124"/>
      </w:r>
    </w:p>
    <w:p w14:paraId="0D610F9B" w14:textId="77777777" w:rsidR="00FD57F2" w:rsidRPr="00D46647" w:rsidRDefault="00FD57F2" w:rsidP="00FD57F2"/>
    <w:p w14:paraId="5FA05A7D" w14:textId="77777777" w:rsidR="00FD57F2" w:rsidRPr="00D46647" w:rsidRDefault="00FD57F2" w:rsidP="00FD57F2">
      <w:pPr>
        <w:keepNext/>
        <w:keepLines/>
        <w:tabs>
          <w:tab w:val="left" w:pos="3261"/>
        </w:tabs>
        <w:autoSpaceDE w:val="0"/>
        <w:autoSpaceDN w:val="0"/>
        <w:adjustRightInd w:val="0"/>
        <w:jc w:val="center"/>
        <w:rPr>
          <w:b/>
          <w:szCs w:val="22"/>
        </w:rPr>
      </w:pPr>
      <w:r w:rsidRPr="00D46647">
        <w:rPr>
          <w:b/>
        </w:rPr>
        <w:t>Utilisation du budget du projet</w:t>
      </w:r>
    </w:p>
    <w:p w14:paraId="25BC5B8F"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461130E0" w14:textId="77777777" w:rsidR="00FD57F2" w:rsidRPr="00D46647" w:rsidRDefault="00FD57F2" w:rsidP="00FD57F2"/>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67"/>
        <w:gridCol w:w="1579"/>
        <w:gridCol w:w="1581"/>
        <w:gridCol w:w="1581"/>
        <w:gridCol w:w="1579"/>
      </w:tblGrid>
      <w:tr w:rsidR="00FD57F2" w:rsidRPr="00D46647" w14:paraId="61F6D3D1" w14:textId="77777777" w:rsidTr="007E3422">
        <w:tc>
          <w:tcPr>
            <w:tcW w:w="1598" w:type="pct"/>
            <w:shd w:val="clear" w:color="auto" w:fill="C6D9F1"/>
            <w:vAlign w:val="center"/>
          </w:tcPr>
          <w:p w14:paraId="1C8CD67F"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Nom du projet</w:t>
            </w:r>
          </w:p>
        </w:tc>
        <w:tc>
          <w:tcPr>
            <w:tcW w:w="850" w:type="pct"/>
            <w:shd w:val="clear" w:color="auto" w:fill="C6D9F1"/>
            <w:vAlign w:val="center"/>
          </w:tcPr>
          <w:p w14:paraId="620D86CC"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1" w:type="pct"/>
            <w:shd w:val="clear" w:color="auto" w:fill="C6D9F1"/>
            <w:vAlign w:val="center"/>
          </w:tcPr>
          <w:p w14:paraId="3BF936F2"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1" w:type="pct"/>
            <w:shd w:val="clear" w:color="auto" w:fill="C6D9F1"/>
            <w:vAlign w:val="center"/>
          </w:tcPr>
          <w:p w14:paraId="62BDBEE6"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0" w:type="pct"/>
            <w:shd w:val="clear" w:color="auto" w:fill="C6D9F1"/>
            <w:vAlign w:val="center"/>
          </w:tcPr>
          <w:p w14:paraId="2451675B"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421F6450" w14:textId="77777777" w:rsidTr="007E3422">
        <w:tc>
          <w:tcPr>
            <w:tcW w:w="1598" w:type="pct"/>
            <w:vAlign w:val="center"/>
          </w:tcPr>
          <w:p w14:paraId="5528D6E3" w14:textId="77777777" w:rsidR="00FD57F2" w:rsidRPr="00D46647" w:rsidRDefault="00FD57F2" w:rsidP="00FD57F2">
            <w:pPr>
              <w:keepNext/>
              <w:keepLines/>
              <w:autoSpaceDE w:val="0"/>
              <w:autoSpaceDN w:val="0"/>
              <w:adjustRightInd w:val="0"/>
              <w:rPr>
                <w:sz w:val="16"/>
                <w:szCs w:val="16"/>
              </w:rPr>
            </w:pPr>
            <w:r w:rsidRPr="00D46647">
              <w:rPr>
                <w:sz w:val="16"/>
              </w:rPr>
              <w:t xml:space="preserve">Bâtiment Arpad </w:t>
            </w:r>
            <w:proofErr w:type="spellStart"/>
            <w:r w:rsidRPr="00D46647">
              <w:rPr>
                <w:sz w:val="16"/>
              </w:rPr>
              <w:t>Bogsch</w:t>
            </w:r>
            <w:proofErr w:type="spellEnd"/>
            <w:r w:rsidRPr="00D46647">
              <w:rPr>
                <w:sz w:val="16"/>
              </w:rPr>
              <w:t xml:space="preserve"> (AB) – remplacement de certaines fenêtres</w:t>
            </w:r>
          </w:p>
        </w:tc>
        <w:tc>
          <w:tcPr>
            <w:tcW w:w="850" w:type="pct"/>
            <w:vAlign w:val="center"/>
          </w:tcPr>
          <w:p w14:paraId="1AC893C4" w14:textId="77777777" w:rsidR="00FD57F2" w:rsidRPr="00D46647" w:rsidRDefault="00FD57F2" w:rsidP="00FD57F2">
            <w:pPr>
              <w:keepNext/>
              <w:keepLines/>
              <w:autoSpaceDE w:val="0"/>
              <w:autoSpaceDN w:val="0"/>
              <w:adjustRightInd w:val="0"/>
              <w:jc w:val="center"/>
              <w:rPr>
                <w:sz w:val="16"/>
                <w:szCs w:val="16"/>
              </w:rPr>
            </w:pPr>
            <w:r w:rsidRPr="00D46647">
              <w:rPr>
                <w:sz w:val="16"/>
              </w:rPr>
              <w:t>300 000</w:t>
            </w:r>
          </w:p>
        </w:tc>
        <w:tc>
          <w:tcPr>
            <w:tcW w:w="851" w:type="pct"/>
            <w:vAlign w:val="center"/>
          </w:tcPr>
          <w:p w14:paraId="1BD97CC1"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93 763</w:t>
            </w:r>
          </w:p>
        </w:tc>
        <w:tc>
          <w:tcPr>
            <w:tcW w:w="851" w:type="pct"/>
            <w:vAlign w:val="center"/>
          </w:tcPr>
          <w:p w14:paraId="0193B496"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31,3%</w:t>
            </w:r>
          </w:p>
        </w:tc>
        <w:tc>
          <w:tcPr>
            <w:tcW w:w="850" w:type="pct"/>
            <w:vAlign w:val="center"/>
          </w:tcPr>
          <w:p w14:paraId="1A838203" w14:textId="77777777" w:rsidR="00FD57F2" w:rsidRPr="00D46647" w:rsidRDefault="00FD57F2" w:rsidP="00FD57F2">
            <w:pPr>
              <w:keepNext/>
              <w:keepLines/>
              <w:autoSpaceDE w:val="0"/>
              <w:autoSpaceDN w:val="0"/>
              <w:adjustRightInd w:val="0"/>
              <w:jc w:val="center"/>
              <w:rPr>
                <w:sz w:val="16"/>
                <w:szCs w:val="16"/>
              </w:rPr>
            </w:pPr>
            <w:r w:rsidRPr="00D46647">
              <w:rPr>
                <w:sz w:val="16"/>
                <w:szCs w:val="16"/>
              </w:rPr>
              <w:t>15%</w:t>
            </w:r>
          </w:p>
        </w:tc>
      </w:tr>
    </w:tbl>
    <w:p w14:paraId="49583162" w14:textId="77777777" w:rsidR="00FD57F2" w:rsidRPr="00D46647" w:rsidRDefault="00FD57F2" w:rsidP="00FD57F2">
      <w:pPr>
        <w:keepNext/>
        <w:keepLines/>
        <w:tabs>
          <w:tab w:val="left" w:pos="3261"/>
        </w:tabs>
        <w:autoSpaceDE w:val="0"/>
        <w:autoSpaceDN w:val="0"/>
        <w:adjustRightInd w:val="0"/>
        <w:jc w:val="center"/>
        <w:rPr>
          <w:b/>
          <w:szCs w:val="22"/>
        </w:rPr>
      </w:pPr>
    </w:p>
    <w:p w14:paraId="576B5671" w14:textId="77777777" w:rsidR="00FD57F2" w:rsidRPr="00D46647" w:rsidRDefault="00FD57F2" w:rsidP="00FD57F2">
      <w:pPr>
        <w:keepNext/>
        <w:keepLines/>
        <w:tabs>
          <w:tab w:val="left" w:pos="3261"/>
        </w:tabs>
        <w:autoSpaceDE w:val="0"/>
        <w:autoSpaceDN w:val="0"/>
        <w:adjustRightInd w:val="0"/>
        <w:jc w:val="center"/>
        <w:rPr>
          <w:b/>
          <w:szCs w:val="22"/>
        </w:rPr>
      </w:pPr>
      <w:r w:rsidRPr="00D46647">
        <w:rPr>
          <w:b/>
        </w:rPr>
        <w:t>Utilisation du budget du projet (par étape)</w:t>
      </w:r>
    </w:p>
    <w:p w14:paraId="4BDFFEB9"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6B3BD898" w14:textId="77777777" w:rsidR="00FD57F2" w:rsidRPr="00D46647" w:rsidRDefault="00FD57F2" w:rsidP="00FD57F2">
      <w:pPr>
        <w:keepNext/>
        <w:autoSpaceDE w:val="0"/>
        <w:autoSpaceDN w:val="0"/>
        <w:rPr>
          <w:sz w:val="16"/>
          <w:szCs w:val="16"/>
        </w:rPr>
      </w:pP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926"/>
        <w:gridCol w:w="1591"/>
        <w:gridCol w:w="1590"/>
        <w:gridCol w:w="1590"/>
        <w:gridCol w:w="1590"/>
      </w:tblGrid>
      <w:tr w:rsidR="00FD57F2" w:rsidRPr="00D46647" w14:paraId="3910C9B2" w14:textId="77777777" w:rsidTr="007E3422">
        <w:tc>
          <w:tcPr>
            <w:tcW w:w="1575" w:type="pct"/>
            <w:shd w:val="clear" w:color="auto" w:fill="C6D9F1"/>
            <w:vAlign w:val="center"/>
          </w:tcPr>
          <w:p w14:paraId="71F133CE"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Étape principale</w:t>
            </w:r>
          </w:p>
        </w:tc>
        <w:tc>
          <w:tcPr>
            <w:tcW w:w="856" w:type="pct"/>
            <w:shd w:val="clear" w:color="auto" w:fill="C6D9F1"/>
            <w:vAlign w:val="center"/>
          </w:tcPr>
          <w:p w14:paraId="4D5D57F4"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856" w:type="pct"/>
            <w:shd w:val="clear" w:color="auto" w:fill="C6D9F1"/>
            <w:vAlign w:val="center"/>
          </w:tcPr>
          <w:p w14:paraId="1103F7B2"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856" w:type="pct"/>
            <w:shd w:val="clear" w:color="auto" w:fill="C6D9F1"/>
            <w:vAlign w:val="center"/>
          </w:tcPr>
          <w:p w14:paraId="60422926"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856" w:type="pct"/>
            <w:shd w:val="clear" w:color="auto" w:fill="C6D9F1"/>
            <w:vAlign w:val="center"/>
          </w:tcPr>
          <w:p w14:paraId="65318D90"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mise en œuvre par étape</w:t>
            </w:r>
          </w:p>
        </w:tc>
      </w:tr>
      <w:tr w:rsidR="00FD57F2" w:rsidRPr="00D46647" w14:paraId="442D5C18" w14:textId="77777777" w:rsidTr="007E3422">
        <w:tc>
          <w:tcPr>
            <w:tcW w:w="1575" w:type="pct"/>
            <w:vAlign w:val="center"/>
          </w:tcPr>
          <w:p w14:paraId="54167938" w14:textId="77777777" w:rsidR="00FD57F2" w:rsidRPr="00D46647" w:rsidRDefault="00FD57F2" w:rsidP="00FD57F2">
            <w:pPr>
              <w:keepNext/>
              <w:keepLines/>
              <w:autoSpaceDE w:val="0"/>
              <w:autoSpaceDN w:val="0"/>
              <w:adjustRightInd w:val="0"/>
              <w:rPr>
                <w:sz w:val="16"/>
                <w:szCs w:val="16"/>
              </w:rPr>
            </w:pPr>
            <w:r w:rsidRPr="00D46647">
              <w:rPr>
                <w:sz w:val="16"/>
              </w:rPr>
              <w:t>Attribution du contrat à l’ingénieur pour la façade</w:t>
            </w:r>
          </w:p>
        </w:tc>
        <w:tc>
          <w:tcPr>
            <w:tcW w:w="856" w:type="pct"/>
            <w:vAlign w:val="center"/>
          </w:tcPr>
          <w:p w14:paraId="7D354516" w14:textId="77777777" w:rsidR="00FD57F2" w:rsidRPr="00D46647" w:rsidRDefault="00FD57F2" w:rsidP="00FD57F2">
            <w:pPr>
              <w:keepNext/>
              <w:keepLines/>
              <w:autoSpaceDE w:val="0"/>
              <w:autoSpaceDN w:val="0"/>
              <w:adjustRightInd w:val="0"/>
              <w:jc w:val="center"/>
              <w:rPr>
                <w:sz w:val="16"/>
                <w:szCs w:val="16"/>
              </w:rPr>
            </w:pPr>
            <w:r w:rsidRPr="00D46647">
              <w:rPr>
                <w:sz w:val="16"/>
              </w:rPr>
              <w:t>45 000</w:t>
            </w:r>
          </w:p>
        </w:tc>
        <w:tc>
          <w:tcPr>
            <w:tcW w:w="856" w:type="pct"/>
            <w:vAlign w:val="center"/>
          </w:tcPr>
          <w:p w14:paraId="7FA864D5"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36 812</w:t>
            </w:r>
          </w:p>
        </w:tc>
        <w:tc>
          <w:tcPr>
            <w:tcW w:w="856" w:type="pct"/>
            <w:vAlign w:val="center"/>
          </w:tcPr>
          <w:p w14:paraId="7A314BB7"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81,8%</w:t>
            </w:r>
          </w:p>
        </w:tc>
        <w:tc>
          <w:tcPr>
            <w:tcW w:w="856" w:type="pct"/>
            <w:vAlign w:val="center"/>
          </w:tcPr>
          <w:p w14:paraId="5032B3ED"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90%</w:t>
            </w:r>
          </w:p>
        </w:tc>
      </w:tr>
      <w:tr w:rsidR="00FD57F2" w:rsidRPr="00D46647" w14:paraId="2B645175" w14:textId="77777777" w:rsidTr="007E3422">
        <w:tc>
          <w:tcPr>
            <w:tcW w:w="1575" w:type="pct"/>
            <w:vAlign w:val="center"/>
          </w:tcPr>
          <w:p w14:paraId="1B32EC1F" w14:textId="77777777" w:rsidR="00FD57F2" w:rsidRPr="00D46647" w:rsidRDefault="00FD57F2" w:rsidP="00FD57F2">
            <w:pPr>
              <w:keepNext/>
              <w:keepLines/>
              <w:autoSpaceDE w:val="0"/>
              <w:autoSpaceDN w:val="0"/>
              <w:adjustRightInd w:val="0"/>
              <w:rPr>
                <w:sz w:val="16"/>
                <w:szCs w:val="16"/>
              </w:rPr>
            </w:pPr>
            <w:r w:rsidRPr="00D46647">
              <w:rPr>
                <w:sz w:val="16"/>
              </w:rPr>
              <w:t>Travaux et mise en service</w:t>
            </w:r>
          </w:p>
        </w:tc>
        <w:tc>
          <w:tcPr>
            <w:tcW w:w="856" w:type="pct"/>
            <w:vAlign w:val="center"/>
          </w:tcPr>
          <w:p w14:paraId="0B992E37" w14:textId="77777777" w:rsidR="00FD57F2" w:rsidRPr="00D46647" w:rsidRDefault="00FD57F2" w:rsidP="00FD57F2">
            <w:pPr>
              <w:keepNext/>
              <w:keepLines/>
              <w:autoSpaceDE w:val="0"/>
              <w:autoSpaceDN w:val="0"/>
              <w:adjustRightInd w:val="0"/>
              <w:jc w:val="center"/>
              <w:rPr>
                <w:sz w:val="16"/>
                <w:szCs w:val="16"/>
              </w:rPr>
            </w:pPr>
            <w:r w:rsidRPr="00D46647">
              <w:rPr>
                <w:sz w:val="16"/>
              </w:rPr>
              <w:t>255 000</w:t>
            </w:r>
          </w:p>
        </w:tc>
        <w:tc>
          <w:tcPr>
            <w:tcW w:w="856" w:type="pct"/>
            <w:vAlign w:val="center"/>
          </w:tcPr>
          <w:p w14:paraId="0E8EBC5D" w14:textId="77777777" w:rsidR="00FD57F2" w:rsidRPr="00D46647" w:rsidRDefault="00FD57F2" w:rsidP="00FD57F2">
            <w:pPr>
              <w:keepNext/>
              <w:keepLines/>
              <w:autoSpaceDE w:val="0"/>
              <w:autoSpaceDN w:val="0"/>
              <w:adjustRightInd w:val="0"/>
              <w:spacing w:line="260" w:lineRule="exact"/>
              <w:jc w:val="center"/>
              <w:rPr>
                <w:sz w:val="16"/>
                <w:highlight w:val="yellow"/>
              </w:rPr>
            </w:pPr>
            <w:r w:rsidRPr="00D46647">
              <w:rPr>
                <w:sz w:val="16"/>
                <w:szCs w:val="16"/>
              </w:rPr>
              <w:t>56 951</w:t>
            </w:r>
          </w:p>
        </w:tc>
        <w:tc>
          <w:tcPr>
            <w:tcW w:w="856" w:type="pct"/>
            <w:vAlign w:val="center"/>
          </w:tcPr>
          <w:p w14:paraId="14DD0119"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22,3%</w:t>
            </w:r>
          </w:p>
        </w:tc>
        <w:tc>
          <w:tcPr>
            <w:tcW w:w="856" w:type="pct"/>
            <w:vAlign w:val="center"/>
          </w:tcPr>
          <w:p w14:paraId="7D7FD03B"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10%</w:t>
            </w:r>
          </w:p>
        </w:tc>
      </w:tr>
      <w:tr w:rsidR="00FD57F2" w:rsidRPr="00D46647" w14:paraId="30ECAC5A" w14:textId="77777777" w:rsidTr="007E3422">
        <w:tc>
          <w:tcPr>
            <w:tcW w:w="1575" w:type="pct"/>
            <w:shd w:val="clear" w:color="auto" w:fill="C6D9F1"/>
            <w:vAlign w:val="center"/>
          </w:tcPr>
          <w:p w14:paraId="4295D03E" w14:textId="77777777" w:rsidR="00FD57F2" w:rsidRPr="00D46647" w:rsidRDefault="00FD57F2" w:rsidP="00FD57F2">
            <w:pPr>
              <w:keepNext/>
              <w:keepLines/>
              <w:autoSpaceDE w:val="0"/>
              <w:autoSpaceDN w:val="0"/>
              <w:adjustRightInd w:val="0"/>
              <w:rPr>
                <w:b/>
                <w:sz w:val="16"/>
                <w:szCs w:val="16"/>
              </w:rPr>
            </w:pPr>
            <w:r w:rsidRPr="00D46647">
              <w:rPr>
                <w:b/>
                <w:sz w:val="16"/>
              </w:rPr>
              <w:t>Total</w:t>
            </w:r>
          </w:p>
        </w:tc>
        <w:tc>
          <w:tcPr>
            <w:tcW w:w="856" w:type="pct"/>
            <w:shd w:val="clear" w:color="auto" w:fill="C6D9F1"/>
            <w:vAlign w:val="center"/>
          </w:tcPr>
          <w:p w14:paraId="0862B318" w14:textId="77777777" w:rsidR="00FD57F2" w:rsidRPr="00D46647" w:rsidRDefault="00FD57F2" w:rsidP="00FD57F2">
            <w:pPr>
              <w:keepNext/>
              <w:keepLines/>
              <w:autoSpaceDE w:val="0"/>
              <w:autoSpaceDN w:val="0"/>
              <w:adjustRightInd w:val="0"/>
              <w:jc w:val="center"/>
              <w:rPr>
                <w:b/>
                <w:sz w:val="16"/>
                <w:szCs w:val="16"/>
              </w:rPr>
            </w:pPr>
            <w:r w:rsidRPr="00D46647">
              <w:rPr>
                <w:b/>
                <w:sz w:val="16"/>
              </w:rPr>
              <w:t>300 000</w:t>
            </w:r>
          </w:p>
        </w:tc>
        <w:tc>
          <w:tcPr>
            <w:tcW w:w="856" w:type="pct"/>
            <w:shd w:val="clear" w:color="auto" w:fill="C6D9F1"/>
          </w:tcPr>
          <w:p w14:paraId="4D7D47A8" w14:textId="77777777" w:rsidR="00FD57F2" w:rsidRPr="00D46647" w:rsidRDefault="00FD57F2" w:rsidP="00FD57F2">
            <w:pPr>
              <w:keepNext/>
              <w:keepLines/>
              <w:autoSpaceDE w:val="0"/>
              <w:autoSpaceDN w:val="0"/>
              <w:adjustRightInd w:val="0"/>
              <w:spacing w:line="260" w:lineRule="exact"/>
              <w:jc w:val="center"/>
              <w:rPr>
                <w:b/>
                <w:sz w:val="16"/>
                <w:szCs w:val="16"/>
              </w:rPr>
            </w:pPr>
            <w:r w:rsidRPr="00D46647">
              <w:rPr>
                <w:b/>
                <w:sz w:val="16"/>
                <w:szCs w:val="16"/>
              </w:rPr>
              <w:t>93 763</w:t>
            </w:r>
          </w:p>
        </w:tc>
        <w:tc>
          <w:tcPr>
            <w:tcW w:w="856" w:type="pct"/>
            <w:shd w:val="clear" w:color="auto" w:fill="C6D9F1"/>
          </w:tcPr>
          <w:p w14:paraId="5A32CAC0" w14:textId="77777777" w:rsidR="00FD57F2" w:rsidRPr="00D46647" w:rsidRDefault="00FD57F2" w:rsidP="00FD57F2">
            <w:pPr>
              <w:keepNext/>
              <w:keepLines/>
              <w:autoSpaceDE w:val="0"/>
              <w:autoSpaceDN w:val="0"/>
              <w:adjustRightInd w:val="0"/>
              <w:spacing w:line="260" w:lineRule="exact"/>
              <w:jc w:val="center"/>
              <w:rPr>
                <w:b/>
                <w:sz w:val="16"/>
                <w:szCs w:val="16"/>
              </w:rPr>
            </w:pPr>
            <w:r w:rsidRPr="00D46647">
              <w:rPr>
                <w:b/>
                <w:sz w:val="16"/>
                <w:szCs w:val="16"/>
              </w:rPr>
              <w:t>31,3%</w:t>
            </w:r>
          </w:p>
        </w:tc>
        <w:tc>
          <w:tcPr>
            <w:tcW w:w="856" w:type="pct"/>
            <w:shd w:val="clear" w:color="auto" w:fill="C6D9F1"/>
          </w:tcPr>
          <w:p w14:paraId="699915F8" w14:textId="77777777" w:rsidR="00FD57F2" w:rsidRPr="00D46647" w:rsidRDefault="00FD57F2" w:rsidP="00FD57F2">
            <w:pPr>
              <w:keepNext/>
              <w:keepLines/>
              <w:autoSpaceDE w:val="0"/>
              <w:autoSpaceDN w:val="0"/>
              <w:adjustRightInd w:val="0"/>
              <w:spacing w:line="260" w:lineRule="exact"/>
              <w:jc w:val="center"/>
              <w:rPr>
                <w:b/>
                <w:sz w:val="16"/>
                <w:szCs w:val="16"/>
              </w:rPr>
            </w:pPr>
          </w:p>
        </w:tc>
      </w:tr>
    </w:tbl>
    <w:p w14:paraId="029CC9B2" w14:textId="77777777" w:rsidR="00FD57F2" w:rsidRPr="00D46647" w:rsidRDefault="00FD57F2" w:rsidP="00FD57F2">
      <w:pPr>
        <w:keepNext/>
        <w:keepLines/>
        <w:tabs>
          <w:tab w:val="left" w:pos="3261"/>
        </w:tabs>
        <w:autoSpaceDE w:val="0"/>
        <w:autoSpaceDN w:val="0"/>
        <w:adjustRightInd w:val="0"/>
        <w:rPr>
          <w:b/>
          <w:szCs w:val="22"/>
        </w:rPr>
      </w:pPr>
    </w:p>
    <w:p w14:paraId="53F272B3" w14:textId="77777777" w:rsidR="00FD57F2" w:rsidRPr="00D46647" w:rsidRDefault="00FD57F2" w:rsidP="00FD57F2">
      <w:pPr>
        <w:keepNext/>
        <w:keepLines/>
        <w:tabs>
          <w:tab w:val="left" w:pos="3261"/>
        </w:tabs>
        <w:autoSpaceDE w:val="0"/>
        <w:autoSpaceDN w:val="0"/>
        <w:adjustRightInd w:val="0"/>
        <w:jc w:val="center"/>
        <w:rPr>
          <w:b/>
          <w:szCs w:val="22"/>
        </w:rPr>
      </w:pPr>
      <w:r w:rsidRPr="00D46647">
        <w:rPr>
          <w:b/>
        </w:rPr>
        <w:t>Utilisation du budget du projet (par catégorie de dépenses)</w:t>
      </w:r>
    </w:p>
    <w:p w14:paraId="17273059"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55767F5A" w14:textId="77777777" w:rsidR="00FD57F2" w:rsidRPr="00D46647" w:rsidRDefault="00FD57F2" w:rsidP="00FD57F2">
      <w:pPr>
        <w:keepNext/>
        <w:keepLines/>
        <w:autoSpaceDE w:val="0"/>
        <w:autoSpaceDN w:val="0"/>
        <w:adjustRightInd w:val="0"/>
        <w:jc w:val="cente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444"/>
        <w:gridCol w:w="1948"/>
        <w:gridCol w:w="1948"/>
        <w:gridCol w:w="1947"/>
      </w:tblGrid>
      <w:tr w:rsidR="00FD57F2" w:rsidRPr="00D46647" w14:paraId="44C014B8" w14:textId="77777777" w:rsidTr="007E3422">
        <w:tc>
          <w:tcPr>
            <w:tcW w:w="1854" w:type="pct"/>
            <w:shd w:val="clear" w:color="auto" w:fill="C6D9F1"/>
            <w:vAlign w:val="center"/>
          </w:tcPr>
          <w:p w14:paraId="3E00824D"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Catégorie de dépenses</w:t>
            </w:r>
          </w:p>
        </w:tc>
        <w:tc>
          <w:tcPr>
            <w:tcW w:w="1049" w:type="pct"/>
            <w:shd w:val="clear" w:color="auto" w:fill="C6D9F1"/>
            <w:vAlign w:val="center"/>
          </w:tcPr>
          <w:p w14:paraId="34939F50"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du projet</w:t>
            </w:r>
          </w:p>
        </w:tc>
        <w:tc>
          <w:tcPr>
            <w:tcW w:w="1049" w:type="pct"/>
            <w:shd w:val="clear" w:color="auto" w:fill="C6D9F1"/>
            <w:vAlign w:val="center"/>
          </w:tcPr>
          <w:p w14:paraId="1E5383A6"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 xml:space="preserve">Dépenses effectives à ce jour </w:t>
            </w:r>
          </w:p>
        </w:tc>
        <w:tc>
          <w:tcPr>
            <w:tcW w:w="1048" w:type="pct"/>
            <w:shd w:val="clear" w:color="auto" w:fill="C6D9F1"/>
            <w:vAlign w:val="center"/>
          </w:tcPr>
          <w:p w14:paraId="04EE4B01"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r>
      <w:tr w:rsidR="00FD57F2" w:rsidRPr="00D46647" w14:paraId="009A7833" w14:textId="77777777" w:rsidTr="007E3422">
        <w:tc>
          <w:tcPr>
            <w:tcW w:w="1854" w:type="pct"/>
            <w:vAlign w:val="center"/>
          </w:tcPr>
          <w:p w14:paraId="17E7A8E5" w14:textId="77777777" w:rsidR="00FD57F2" w:rsidRPr="00D46647" w:rsidRDefault="00FD57F2" w:rsidP="00FD57F2">
            <w:pPr>
              <w:autoSpaceDE w:val="0"/>
              <w:autoSpaceDN w:val="0"/>
              <w:adjustRightInd w:val="0"/>
              <w:rPr>
                <w:sz w:val="16"/>
                <w:szCs w:val="16"/>
              </w:rPr>
            </w:pPr>
            <w:r w:rsidRPr="00D46647">
              <w:rPr>
                <w:sz w:val="16"/>
                <w:szCs w:val="16"/>
              </w:rPr>
              <w:t>Dépenses relatives à la construction</w:t>
            </w:r>
          </w:p>
        </w:tc>
        <w:tc>
          <w:tcPr>
            <w:tcW w:w="1049" w:type="pct"/>
            <w:vAlign w:val="center"/>
          </w:tcPr>
          <w:p w14:paraId="2D4708B3" w14:textId="77777777" w:rsidR="00FD57F2" w:rsidRPr="00D46647" w:rsidRDefault="00FD57F2" w:rsidP="00FD57F2">
            <w:pPr>
              <w:autoSpaceDE w:val="0"/>
              <w:autoSpaceDN w:val="0"/>
              <w:adjustRightInd w:val="0"/>
              <w:jc w:val="center"/>
              <w:rPr>
                <w:sz w:val="16"/>
                <w:szCs w:val="16"/>
              </w:rPr>
            </w:pPr>
            <w:r w:rsidRPr="00D46647">
              <w:rPr>
                <w:sz w:val="16"/>
                <w:szCs w:val="16"/>
              </w:rPr>
              <w:t>234 000</w:t>
            </w:r>
          </w:p>
        </w:tc>
        <w:tc>
          <w:tcPr>
            <w:tcW w:w="1049" w:type="pct"/>
          </w:tcPr>
          <w:p w14:paraId="192574A6"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10 230</w:t>
            </w:r>
          </w:p>
        </w:tc>
        <w:tc>
          <w:tcPr>
            <w:tcW w:w="1048" w:type="pct"/>
          </w:tcPr>
          <w:p w14:paraId="4CF8D1EE"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4,4%</w:t>
            </w:r>
          </w:p>
        </w:tc>
      </w:tr>
      <w:tr w:rsidR="00FD57F2" w:rsidRPr="00D46647" w14:paraId="53B999D3" w14:textId="77777777" w:rsidTr="007E3422">
        <w:tc>
          <w:tcPr>
            <w:tcW w:w="1854" w:type="pct"/>
            <w:vAlign w:val="center"/>
          </w:tcPr>
          <w:p w14:paraId="4101DCBF" w14:textId="77777777" w:rsidR="00FD57F2" w:rsidRPr="00D46647" w:rsidRDefault="00FD57F2" w:rsidP="00FD57F2">
            <w:pPr>
              <w:autoSpaceDE w:val="0"/>
              <w:autoSpaceDN w:val="0"/>
              <w:adjustRightInd w:val="0"/>
              <w:rPr>
                <w:sz w:val="16"/>
                <w:szCs w:val="16"/>
              </w:rPr>
            </w:pPr>
            <w:r w:rsidRPr="00D46647">
              <w:rPr>
                <w:sz w:val="16"/>
              </w:rPr>
              <w:t>Honoraires</w:t>
            </w:r>
          </w:p>
        </w:tc>
        <w:tc>
          <w:tcPr>
            <w:tcW w:w="1049" w:type="pct"/>
            <w:vAlign w:val="center"/>
          </w:tcPr>
          <w:p w14:paraId="7F7E6945" w14:textId="77777777" w:rsidR="00FD57F2" w:rsidRPr="00D46647" w:rsidRDefault="00FD57F2" w:rsidP="00FD57F2">
            <w:pPr>
              <w:autoSpaceDE w:val="0"/>
              <w:autoSpaceDN w:val="0"/>
              <w:adjustRightInd w:val="0"/>
              <w:jc w:val="center"/>
              <w:rPr>
                <w:sz w:val="16"/>
                <w:szCs w:val="16"/>
              </w:rPr>
            </w:pPr>
            <w:r w:rsidRPr="00D46647">
              <w:rPr>
                <w:sz w:val="16"/>
              </w:rPr>
              <w:t>45 000</w:t>
            </w:r>
          </w:p>
        </w:tc>
        <w:tc>
          <w:tcPr>
            <w:tcW w:w="1049" w:type="pct"/>
          </w:tcPr>
          <w:p w14:paraId="2F997839"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36 812</w:t>
            </w:r>
          </w:p>
        </w:tc>
        <w:tc>
          <w:tcPr>
            <w:tcW w:w="1048" w:type="pct"/>
          </w:tcPr>
          <w:p w14:paraId="2DA5FBCC" w14:textId="77777777" w:rsidR="00FD57F2" w:rsidRPr="00D46647" w:rsidRDefault="00FD57F2" w:rsidP="00FD57F2">
            <w:pPr>
              <w:autoSpaceDE w:val="0"/>
              <w:autoSpaceDN w:val="0"/>
              <w:adjustRightInd w:val="0"/>
              <w:spacing w:line="260" w:lineRule="exact"/>
              <w:jc w:val="center"/>
              <w:rPr>
                <w:sz w:val="16"/>
                <w:szCs w:val="16"/>
              </w:rPr>
            </w:pPr>
            <w:r w:rsidRPr="00D46647">
              <w:rPr>
                <w:sz w:val="16"/>
                <w:szCs w:val="16"/>
              </w:rPr>
              <w:t>81,8%</w:t>
            </w:r>
          </w:p>
        </w:tc>
      </w:tr>
      <w:tr w:rsidR="00FD57F2" w:rsidRPr="00D46647" w14:paraId="0326C18E" w14:textId="77777777" w:rsidTr="007E3422">
        <w:tc>
          <w:tcPr>
            <w:tcW w:w="1854" w:type="pct"/>
            <w:vAlign w:val="center"/>
          </w:tcPr>
          <w:p w14:paraId="124F0FE4" w14:textId="77777777" w:rsidR="00FD57F2" w:rsidRPr="00D46647" w:rsidRDefault="00FD57F2" w:rsidP="00FD57F2">
            <w:pPr>
              <w:autoSpaceDE w:val="0"/>
              <w:autoSpaceDN w:val="0"/>
              <w:adjustRightInd w:val="0"/>
              <w:rPr>
                <w:sz w:val="16"/>
              </w:rPr>
            </w:pPr>
            <w:r w:rsidRPr="00D46647">
              <w:rPr>
                <w:sz w:val="16"/>
              </w:rPr>
              <w:t>Divers et imprévus</w:t>
            </w:r>
          </w:p>
          <w:p w14:paraId="7E21684E" w14:textId="77777777" w:rsidR="00FD57F2" w:rsidRPr="00D46647" w:rsidRDefault="00FD57F2" w:rsidP="00FD57F2">
            <w:pPr>
              <w:autoSpaceDE w:val="0"/>
              <w:autoSpaceDN w:val="0"/>
              <w:adjustRightInd w:val="0"/>
              <w:ind w:left="284" w:hanging="284"/>
              <w:rPr>
                <w:sz w:val="16"/>
                <w:szCs w:val="16"/>
              </w:rPr>
            </w:pPr>
            <w:r w:rsidRPr="00D46647">
              <w:rPr>
                <w:sz w:val="16"/>
                <w:szCs w:val="16"/>
              </w:rPr>
              <w:t>–</w:t>
            </w:r>
            <w:r w:rsidRPr="00D46647">
              <w:rPr>
                <w:sz w:val="16"/>
                <w:szCs w:val="16"/>
              </w:rPr>
              <w:tab/>
            </w:r>
            <w:r w:rsidRPr="00D46647">
              <w:rPr>
                <w:sz w:val="16"/>
              </w:rPr>
              <w:t xml:space="preserve">Coût de l’installation </w:t>
            </w:r>
            <w:r w:rsidRPr="00D46647">
              <w:rPr>
                <w:bCs/>
                <w:sz w:val="16"/>
                <w:szCs w:val="16"/>
              </w:rPr>
              <w:t>de films de protection solaire sur les fenêtres</w:t>
            </w:r>
          </w:p>
        </w:tc>
        <w:tc>
          <w:tcPr>
            <w:tcW w:w="1049" w:type="pct"/>
            <w:vAlign w:val="center"/>
          </w:tcPr>
          <w:p w14:paraId="62AB674E" w14:textId="77777777" w:rsidR="00FD57F2" w:rsidRPr="00D46647" w:rsidRDefault="00FD57F2" w:rsidP="00FD57F2">
            <w:pPr>
              <w:autoSpaceDE w:val="0"/>
              <w:autoSpaceDN w:val="0"/>
              <w:adjustRightInd w:val="0"/>
              <w:jc w:val="center"/>
              <w:rPr>
                <w:sz w:val="16"/>
                <w:szCs w:val="16"/>
              </w:rPr>
            </w:pPr>
            <w:r w:rsidRPr="00D46647">
              <w:rPr>
                <w:sz w:val="16"/>
              </w:rPr>
              <w:t>21 000</w:t>
            </w:r>
          </w:p>
        </w:tc>
        <w:tc>
          <w:tcPr>
            <w:tcW w:w="1049" w:type="pct"/>
            <w:vAlign w:val="center"/>
          </w:tcPr>
          <w:p w14:paraId="64A6F59F"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46 721</w:t>
            </w:r>
          </w:p>
        </w:tc>
        <w:tc>
          <w:tcPr>
            <w:tcW w:w="1048" w:type="pct"/>
            <w:vAlign w:val="center"/>
          </w:tcPr>
          <w:p w14:paraId="7429D03E" w14:textId="77777777" w:rsidR="00FD57F2" w:rsidRPr="00D46647" w:rsidRDefault="00FD57F2" w:rsidP="00FD57F2">
            <w:pPr>
              <w:keepNext/>
              <w:keepLines/>
              <w:autoSpaceDE w:val="0"/>
              <w:autoSpaceDN w:val="0"/>
              <w:adjustRightInd w:val="0"/>
              <w:spacing w:line="260" w:lineRule="exact"/>
              <w:jc w:val="center"/>
              <w:rPr>
                <w:sz w:val="16"/>
                <w:szCs w:val="16"/>
              </w:rPr>
            </w:pPr>
            <w:r w:rsidRPr="00D46647">
              <w:rPr>
                <w:sz w:val="16"/>
                <w:szCs w:val="16"/>
              </w:rPr>
              <w:t>222,5%</w:t>
            </w:r>
          </w:p>
        </w:tc>
      </w:tr>
      <w:tr w:rsidR="00FD57F2" w:rsidRPr="00D46647" w14:paraId="6B9D99AE" w14:textId="77777777" w:rsidTr="007E3422">
        <w:tc>
          <w:tcPr>
            <w:tcW w:w="1854" w:type="pct"/>
            <w:shd w:val="clear" w:color="auto" w:fill="C6D9F1"/>
            <w:vAlign w:val="center"/>
          </w:tcPr>
          <w:p w14:paraId="00DC0EC6" w14:textId="77777777" w:rsidR="00FD57F2" w:rsidRPr="00D46647" w:rsidRDefault="00FD57F2" w:rsidP="00FD57F2">
            <w:pPr>
              <w:autoSpaceDE w:val="0"/>
              <w:autoSpaceDN w:val="0"/>
              <w:adjustRightInd w:val="0"/>
              <w:rPr>
                <w:b/>
                <w:sz w:val="16"/>
                <w:szCs w:val="16"/>
              </w:rPr>
            </w:pPr>
            <w:r w:rsidRPr="00D46647">
              <w:rPr>
                <w:b/>
                <w:sz w:val="16"/>
              </w:rPr>
              <w:t>Total</w:t>
            </w:r>
          </w:p>
        </w:tc>
        <w:tc>
          <w:tcPr>
            <w:tcW w:w="1049" w:type="pct"/>
            <w:shd w:val="clear" w:color="auto" w:fill="C6D9F1"/>
            <w:vAlign w:val="center"/>
          </w:tcPr>
          <w:p w14:paraId="152F7F87" w14:textId="77777777" w:rsidR="00FD57F2" w:rsidRPr="00D46647" w:rsidRDefault="00FD57F2" w:rsidP="00FD57F2">
            <w:pPr>
              <w:autoSpaceDE w:val="0"/>
              <w:autoSpaceDN w:val="0"/>
              <w:adjustRightInd w:val="0"/>
              <w:jc w:val="center"/>
              <w:rPr>
                <w:b/>
                <w:sz w:val="16"/>
                <w:szCs w:val="16"/>
              </w:rPr>
            </w:pPr>
            <w:r w:rsidRPr="00D46647">
              <w:rPr>
                <w:b/>
                <w:sz w:val="16"/>
              </w:rPr>
              <w:t>300 000</w:t>
            </w:r>
          </w:p>
        </w:tc>
        <w:tc>
          <w:tcPr>
            <w:tcW w:w="1049" w:type="pct"/>
            <w:shd w:val="clear" w:color="auto" w:fill="C6D9F1"/>
            <w:vAlign w:val="center"/>
          </w:tcPr>
          <w:p w14:paraId="5A3C0DFD" w14:textId="77777777" w:rsidR="00FD57F2" w:rsidRPr="00D46647" w:rsidRDefault="00FD57F2" w:rsidP="00FD57F2">
            <w:pPr>
              <w:keepNext/>
              <w:keepLines/>
              <w:autoSpaceDE w:val="0"/>
              <w:autoSpaceDN w:val="0"/>
              <w:adjustRightInd w:val="0"/>
              <w:spacing w:line="260" w:lineRule="exact"/>
              <w:jc w:val="center"/>
              <w:rPr>
                <w:b/>
                <w:sz w:val="16"/>
                <w:szCs w:val="16"/>
              </w:rPr>
            </w:pPr>
            <w:r w:rsidRPr="00D46647">
              <w:rPr>
                <w:b/>
                <w:sz w:val="16"/>
                <w:szCs w:val="16"/>
              </w:rPr>
              <w:t>93 763</w:t>
            </w:r>
          </w:p>
        </w:tc>
        <w:tc>
          <w:tcPr>
            <w:tcW w:w="1048" w:type="pct"/>
            <w:shd w:val="clear" w:color="auto" w:fill="C6D9F1"/>
            <w:vAlign w:val="center"/>
          </w:tcPr>
          <w:p w14:paraId="4CF19994" w14:textId="77777777" w:rsidR="00FD57F2" w:rsidRPr="00D46647" w:rsidRDefault="00FD57F2" w:rsidP="00FD57F2">
            <w:pPr>
              <w:keepNext/>
              <w:keepLines/>
              <w:autoSpaceDE w:val="0"/>
              <w:autoSpaceDN w:val="0"/>
              <w:adjustRightInd w:val="0"/>
              <w:spacing w:line="260" w:lineRule="exact"/>
              <w:jc w:val="center"/>
              <w:rPr>
                <w:b/>
                <w:sz w:val="16"/>
                <w:szCs w:val="16"/>
              </w:rPr>
            </w:pPr>
            <w:r w:rsidRPr="00D46647">
              <w:rPr>
                <w:b/>
                <w:sz w:val="16"/>
                <w:szCs w:val="16"/>
              </w:rPr>
              <w:t>31,3%</w:t>
            </w:r>
          </w:p>
        </w:tc>
      </w:tr>
    </w:tbl>
    <w:p w14:paraId="181D9D07" w14:textId="77777777" w:rsidR="00FD57F2" w:rsidRDefault="00FD57F2" w:rsidP="00FD57F2">
      <w:pPr>
        <w:rPr>
          <w:szCs w:val="22"/>
        </w:rPr>
      </w:pPr>
    </w:p>
    <w:p w14:paraId="431DCFEA" w14:textId="77777777" w:rsidR="00FD57F2" w:rsidRPr="00D46647" w:rsidRDefault="00FD57F2" w:rsidP="00FD57F2">
      <w:r w:rsidRPr="00D46647">
        <w:t>RISQUES ET STRATÉGIES D’ATTÉNUATION</w:t>
      </w:r>
    </w:p>
    <w:p w14:paraId="69BE0A97" w14:textId="77777777" w:rsidR="00FD57F2" w:rsidRPr="00D46647" w:rsidRDefault="00FD57F2" w:rsidP="00FD57F2"/>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7"/>
        <w:gridCol w:w="3096"/>
        <w:gridCol w:w="3094"/>
      </w:tblGrid>
      <w:tr w:rsidR="00FD57F2" w:rsidRPr="00D46647" w14:paraId="4AB4C607" w14:textId="77777777" w:rsidTr="007E3422">
        <w:trPr>
          <w:tblHeader/>
          <w:jc w:val="center"/>
        </w:trPr>
        <w:tc>
          <w:tcPr>
            <w:tcW w:w="1667" w:type="pct"/>
            <w:shd w:val="clear" w:color="auto" w:fill="C6D9F1"/>
            <w:vAlign w:val="center"/>
          </w:tcPr>
          <w:p w14:paraId="3AA920BE" w14:textId="77777777" w:rsidR="00FD57F2" w:rsidRPr="00D46647" w:rsidRDefault="00FD57F2" w:rsidP="00FD57F2">
            <w:pPr>
              <w:autoSpaceDE w:val="0"/>
              <w:autoSpaceDN w:val="0"/>
              <w:adjustRightInd w:val="0"/>
              <w:jc w:val="center"/>
              <w:rPr>
                <w:b/>
                <w:bCs/>
                <w:sz w:val="16"/>
                <w:szCs w:val="16"/>
              </w:rPr>
            </w:pPr>
            <w:r w:rsidRPr="00D46647">
              <w:rPr>
                <w:b/>
                <w:sz w:val="16"/>
              </w:rPr>
              <w:t>Risque/</w:t>
            </w:r>
            <w:r w:rsidRPr="00D46647">
              <w:rPr>
                <w:b/>
                <w:bCs/>
                <w:sz w:val="16"/>
                <w:szCs w:val="16"/>
              </w:rPr>
              <w:t>Description du risque</w:t>
            </w:r>
          </w:p>
        </w:tc>
        <w:tc>
          <w:tcPr>
            <w:tcW w:w="1667" w:type="pct"/>
            <w:shd w:val="clear" w:color="auto" w:fill="C6D9F1"/>
            <w:vAlign w:val="center"/>
          </w:tcPr>
          <w:p w14:paraId="0559E35B" w14:textId="77777777" w:rsidR="00FD57F2" w:rsidRPr="00D46647" w:rsidRDefault="00FD57F2" w:rsidP="00FD57F2">
            <w:pPr>
              <w:autoSpaceDE w:val="0"/>
              <w:autoSpaceDN w:val="0"/>
              <w:adjustRightInd w:val="0"/>
              <w:jc w:val="center"/>
              <w:rPr>
                <w:b/>
                <w:bCs/>
                <w:sz w:val="16"/>
                <w:szCs w:val="16"/>
              </w:rPr>
            </w:pPr>
            <w:r w:rsidRPr="00D46647">
              <w:rPr>
                <w:b/>
                <w:sz w:val="16"/>
              </w:rPr>
              <w:t>Atténuation des risques</w:t>
            </w:r>
          </w:p>
        </w:tc>
        <w:tc>
          <w:tcPr>
            <w:tcW w:w="1666" w:type="pct"/>
            <w:shd w:val="clear" w:color="auto" w:fill="C6D9F1"/>
            <w:vAlign w:val="center"/>
          </w:tcPr>
          <w:p w14:paraId="6473D4BA" w14:textId="77777777" w:rsidR="00FD57F2" w:rsidRPr="00D46647" w:rsidRDefault="00FD57F2" w:rsidP="00FD57F2">
            <w:pPr>
              <w:autoSpaceDE w:val="0"/>
              <w:autoSpaceDN w:val="0"/>
              <w:adjustRightInd w:val="0"/>
              <w:jc w:val="center"/>
              <w:rPr>
                <w:b/>
                <w:bCs/>
                <w:sz w:val="16"/>
                <w:szCs w:val="16"/>
              </w:rPr>
            </w:pPr>
            <w:r w:rsidRPr="00D46647">
              <w:rPr>
                <w:b/>
                <w:bCs/>
                <w:sz w:val="16"/>
                <w:szCs w:val="16"/>
              </w:rPr>
              <w:t>Observation</w:t>
            </w:r>
          </w:p>
        </w:tc>
      </w:tr>
      <w:tr w:rsidR="00FD57F2" w:rsidRPr="00D46647" w14:paraId="09F8EFDC" w14:textId="77777777" w:rsidTr="007E3422">
        <w:trPr>
          <w:jc w:val="center"/>
        </w:trPr>
        <w:tc>
          <w:tcPr>
            <w:tcW w:w="1667" w:type="pct"/>
            <w:shd w:val="clear" w:color="auto" w:fill="auto"/>
          </w:tcPr>
          <w:p w14:paraId="141DC7F2" w14:textId="77777777" w:rsidR="00FD57F2" w:rsidRPr="00D46647" w:rsidRDefault="00FD57F2" w:rsidP="00FD57F2">
            <w:pPr>
              <w:autoSpaceDE w:val="0"/>
              <w:autoSpaceDN w:val="0"/>
              <w:adjustRightInd w:val="0"/>
              <w:rPr>
                <w:sz w:val="16"/>
                <w:szCs w:val="16"/>
                <w:highlight w:val="yellow"/>
              </w:rPr>
            </w:pPr>
            <w:r w:rsidRPr="00D46647">
              <w:rPr>
                <w:sz w:val="16"/>
                <w:szCs w:val="16"/>
              </w:rPr>
              <w:t>Priorités incompatibles entre l’avancement des travaux et l’utilisation des bureaux par leurs occupants, du fait que les bureaux ne peuvent pas être libérés de leurs occupants pour que les travaux soient réalisés à l’étage concerné.</w:t>
            </w:r>
          </w:p>
        </w:tc>
        <w:tc>
          <w:tcPr>
            <w:tcW w:w="1667" w:type="pct"/>
            <w:shd w:val="clear" w:color="auto" w:fill="auto"/>
          </w:tcPr>
          <w:p w14:paraId="558C5ABE" w14:textId="77777777" w:rsidR="00FD57F2" w:rsidRPr="00D46647" w:rsidRDefault="00FD57F2" w:rsidP="00FD57F2">
            <w:pPr>
              <w:autoSpaceDE w:val="0"/>
              <w:autoSpaceDN w:val="0"/>
              <w:adjustRightInd w:val="0"/>
              <w:rPr>
                <w:sz w:val="16"/>
                <w:szCs w:val="16"/>
              </w:rPr>
            </w:pPr>
            <w:r w:rsidRPr="00D46647">
              <w:rPr>
                <w:sz w:val="16"/>
                <w:szCs w:val="16"/>
              </w:rPr>
              <w:t>Réorganisation différente de l’avancement du chantier si possible, et révision du planning des travaux.</w:t>
            </w:r>
            <w:r w:rsidRPr="00D46647" w:rsidDel="00826D61">
              <w:rPr>
                <w:sz w:val="16"/>
                <w:szCs w:val="16"/>
              </w:rPr>
              <w:t xml:space="preserve"> </w:t>
            </w:r>
            <w:r w:rsidRPr="00D46647">
              <w:rPr>
                <w:sz w:val="16"/>
                <w:szCs w:val="16"/>
              </w:rPr>
              <w:t xml:space="preserve"> </w:t>
            </w:r>
          </w:p>
        </w:tc>
        <w:tc>
          <w:tcPr>
            <w:tcW w:w="1666" w:type="pct"/>
            <w:shd w:val="clear" w:color="auto" w:fill="auto"/>
          </w:tcPr>
          <w:p w14:paraId="0481FDF9" w14:textId="77777777" w:rsidR="00FD57F2" w:rsidRPr="00D46647" w:rsidRDefault="00FD57F2" w:rsidP="00FD57F2">
            <w:pPr>
              <w:autoSpaceDE w:val="0"/>
              <w:autoSpaceDN w:val="0"/>
              <w:adjustRightInd w:val="0"/>
              <w:rPr>
                <w:i/>
                <w:color w:val="FF0000"/>
                <w:sz w:val="16"/>
                <w:szCs w:val="16"/>
              </w:rPr>
            </w:pPr>
            <w:r w:rsidRPr="00D46647">
              <w:rPr>
                <w:bCs/>
                <w:i/>
                <w:sz w:val="16"/>
                <w:szCs w:val="16"/>
              </w:rPr>
              <w:t>Ce risque n’existe plus</w:t>
            </w:r>
            <w:r w:rsidRPr="00D46647">
              <w:rPr>
                <w:i/>
                <w:sz w:val="16"/>
                <w:szCs w:val="16"/>
              </w:rPr>
              <w:t>.</w:t>
            </w:r>
          </w:p>
        </w:tc>
      </w:tr>
      <w:tr w:rsidR="00FD57F2" w:rsidRPr="00D46647" w14:paraId="6BC2B635" w14:textId="77777777" w:rsidTr="007E3422">
        <w:trPr>
          <w:jc w:val="center"/>
        </w:trPr>
        <w:tc>
          <w:tcPr>
            <w:tcW w:w="1667" w:type="pct"/>
            <w:shd w:val="clear" w:color="auto" w:fill="auto"/>
          </w:tcPr>
          <w:p w14:paraId="2E167974" w14:textId="77777777" w:rsidR="00FD57F2" w:rsidRPr="00D46647" w:rsidRDefault="00FD57F2" w:rsidP="00FD57F2">
            <w:pPr>
              <w:autoSpaceDE w:val="0"/>
              <w:autoSpaceDN w:val="0"/>
              <w:adjustRightInd w:val="0"/>
              <w:rPr>
                <w:sz w:val="16"/>
                <w:szCs w:val="16"/>
                <w:highlight w:val="yellow"/>
              </w:rPr>
            </w:pPr>
            <w:r w:rsidRPr="00D46647">
              <w:rPr>
                <w:sz w:val="16"/>
                <w:szCs w:val="16"/>
              </w:rPr>
              <w:t>Ne pas pouvoir réaliser les travaux durant l’été 2015 car les entreprises ne sont pas disponibles dans le délai demandé par l’OMPI.</w:t>
            </w:r>
          </w:p>
        </w:tc>
        <w:tc>
          <w:tcPr>
            <w:tcW w:w="1667" w:type="pct"/>
            <w:shd w:val="clear" w:color="auto" w:fill="auto"/>
          </w:tcPr>
          <w:p w14:paraId="2F3E2943" w14:textId="77777777" w:rsidR="00FD57F2" w:rsidRPr="00D46647" w:rsidRDefault="00FD57F2" w:rsidP="00FD57F2">
            <w:pPr>
              <w:autoSpaceDE w:val="0"/>
              <w:autoSpaceDN w:val="0"/>
              <w:adjustRightInd w:val="0"/>
              <w:rPr>
                <w:sz w:val="16"/>
                <w:szCs w:val="16"/>
              </w:rPr>
            </w:pPr>
            <w:r w:rsidRPr="00D46647">
              <w:rPr>
                <w:sz w:val="16"/>
                <w:szCs w:val="16"/>
              </w:rPr>
              <w:t xml:space="preserve">Décalage des travaux pendant l’été 2016.  </w:t>
            </w:r>
          </w:p>
        </w:tc>
        <w:tc>
          <w:tcPr>
            <w:tcW w:w="1666" w:type="pct"/>
            <w:shd w:val="clear" w:color="auto" w:fill="auto"/>
          </w:tcPr>
          <w:p w14:paraId="7EC1CC2C" w14:textId="77777777" w:rsidR="00FD57F2" w:rsidRPr="00D46647" w:rsidRDefault="00FD57F2" w:rsidP="00FD57F2">
            <w:pPr>
              <w:autoSpaceDE w:val="0"/>
              <w:autoSpaceDN w:val="0"/>
              <w:adjustRightInd w:val="0"/>
              <w:rPr>
                <w:i/>
                <w:sz w:val="16"/>
                <w:szCs w:val="16"/>
              </w:rPr>
            </w:pPr>
            <w:r w:rsidRPr="00D46647">
              <w:rPr>
                <w:bCs/>
                <w:i/>
                <w:sz w:val="16"/>
                <w:szCs w:val="16"/>
              </w:rPr>
              <w:t>Ce risque n’existe plus.</w:t>
            </w:r>
          </w:p>
        </w:tc>
      </w:tr>
      <w:tr w:rsidR="00FD57F2" w:rsidRPr="00D46647" w14:paraId="3005DABD" w14:textId="77777777" w:rsidTr="007E3422">
        <w:trPr>
          <w:jc w:val="center"/>
        </w:trPr>
        <w:tc>
          <w:tcPr>
            <w:tcW w:w="1667" w:type="pct"/>
            <w:shd w:val="clear" w:color="auto" w:fill="auto"/>
          </w:tcPr>
          <w:p w14:paraId="27D5039F" w14:textId="77777777" w:rsidR="00FD57F2" w:rsidRPr="00D46647" w:rsidRDefault="00FD57F2" w:rsidP="00FD57F2">
            <w:pPr>
              <w:autoSpaceDE w:val="0"/>
              <w:autoSpaceDN w:val="0"/>
              <w:adjustRightInd w:val="0"/>
              <w:rPr>
                <w:sz w:val="16"/>
                <w:szCs w:val="16"/>
                <w:highlight w:val="yellow"/>
              </w:rPr>
            </w:pPr>
            <w:r w:rsidRPr="00D46647">
              <w:rPr>
                <w:sz w:val="16"/>
                <w:szCs w:val="16"/>
              </w:rPr>
              <w:t>Retard ou interruption des travaux en raison d’un accident de chantier.</w:t>
            </w:r>
          </w:p>
        </w:tc>
        <w:tc>
          <w:tcPr>
            <w:tcW w:w="1667" w:type="pct"/>
            <w:shd w:val="clear" w:color="auto" w:fill="auto"/>
          </w:tcPr>
          <w:p w14:paraId="31F8A1AF" w14:textId="77777777" w:rsidR="00FD57F2" w:rsidRPr="00D46647" w:rsidRDefault="00FD57F2" w:rsidP="00FD57F2">
            <w:pPr>
              <w:autoSpaceDE w:val="0"/>
              <w:autoSpaceDN w:val="0"/>
              <w:adjustRightInd w:val="0"/>
              <w:rPr>
                <w:sz w:val="16"/>
                <w:szCs w:val="16"/>
              </w:rPr>
            </w:pPr>
            <w:r w:rsidRPr="00D46647">
              <w:rPr>
                <w:sz w:val="16"/>
                <w:szCs w:val="16"/>
              </w:rPr>
              <w:t>Revalidation et renforcement des mesures de sécurité et révision du calendrier des travaux, y compris jusqu’en 2016.</w:t>
            </w:r>
          </w:p>
        </w:tc>
        <w:tc>
          <w:tcPr>
            <w:tcW w:w="1666" w:type="pct"/>
            <w:shd w:val="clear" w:color="auto" w:fill="auto"/>
          </w:tcPr>
          <w:p w14:paraId="2A5F95E2" w14:textId="77777777" w:rsidR="00FD57F2" w:rsidRPr="00D46647" w:rsidRDefault="00FD57F2" w:rsidP="00FD57F2">
            <w:pPr>
              <w:autoSpaceDE w:val="0"/>
              <w:autoSpaceDN w:val="0"/>
              <w:adjustRightInd w:val="0"/>
              <w:rPr>
                <w:i/>
                <w:sz w:val="16"/>
                <w:szCs w:val="16"/>
              </w:rPr>
            </w:pPr>
            <w:r w:rsidRPr="00D46647">
              <w:rPr>
                <w:bCs/>
                <w:i/>
                <w:sz w:val="16"/>
                <w:szCs w:val="16"/>
              </w:rPr>
              <w:t>Ce risque n’existe plus.</w:t>
            </w:r>
          </w:p>
        </w:tc>
      </w:tr>
    </w:tbl>
    <w:p w14:paraId="6BA5641E" w14:textId="77777777" w:rsidR="00FD57F2" w:rsidRPr="00D46647" w:rsidRDefault="00FD57F2" w:rsidP="00FD57F2">
      <w:pPr>
        <w:autoSpaceDE w:val="0"/>
        <w:autoSpaceDN w:val="0"/>
        <w:jc w:val="both"/>
      </w:pPr>
    </w:p>
    <w:p w14:paraId="41914540" w14:textId="77777777" w:rsidR="00FD57F2" w:rsidRPr="00D46647" w:rsidRDefault="00FD57F2" w:rsidP="00FD57F2">
      <w:r w:rsidRPr="00D46647">
        <w:t>CALENDRIER DU PROJET PAR ÉTAPE</w:t>
      </w:r>
    </w:p>
    <w:p w14:paraId="7D1A732D" w14:textId="77777777" w:rsidR="00FD57F2" w:rsidRPr="00D46647" w:rsidRDefault="00FD57F2" w:rsidP="00FD57F2">
      <w:pPr>
        <w:autoSpaceDE w:val="0"/>
        <w:autoSpaceDN w:val="0"/>
        <w:jc w:val="both"/>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646"/>
        <w:gridCol w:w="450"/>
        <w:gridCol w:w="450"/>
        <w:gridCol w:w="450"/>
        <w:gridCol w:w="449"/>
        <w:gridCol w:w="449"/>
        <w:gridCol w:w="449"/>
        <w:gridCol w:w="449"/>
        <w:gridCol w:w="449"/>
        <w:gridCol w:w="404"/>
        <w:gridCol w:w="404"/>
        <w:gridCol w:w="404"/>
        <w:gridCol w:w="404"/>
        <w:gridCol w:w="405"/>
        <w:gridCol w:w="405"/>
        <w:gridCol w:w="405"/>
        <w:gridCol w:w="405"/>
        <w:gridCol w:w="405"/>
        <w:gridCol w:w="405"/>
      </w:tblGrid>
      <w:tr w:rsidR="00FD57F2" w:rsidRPr="00D46647" w14:paraId="7EE5F112" w14:textId="77777777" w:rsidTr="007E3422">
        <w:trPr>
          <w:jc w:val="center"/>
        </w:trPr>
        <w:tc>
          <w:tcPr>
            <w:tcW w:w="1646" w:type="dxa"/>
            <w:tcBorders>
              <w:top w:val="nil"/>
              <w:left w:val="nil"/>
            </w:tcBorders>
            <w:shd w:val="clear" w:color="auto" w:fill="auto"/>
            <w:noWrap/>
            <w:vAlign w:val="bottom"/>
            <w:hideMark/>
          </w:tcPr>
          <w:p w14:paraId="7AC177C3" w14:textId="77777777" w:rsidR="00FD57F2" w:rsidRPr="00D46647" w:rsidRDefault="00FD57F2" w:rsidP="00FD57F2">
            <w:pPr>
              <w:rPr>
                <w:sz w:val="16"/>
                <w:szCs w:val="16"/>
              </w:rPr>
            </w:pPr>
          </w:p>
        </w:tc>
        <w:tc>
          <w:tcPr>
            <w:tcW w:w="1799" w:type="dxa"/>
            <w:gridSpan w:val="4"/>
            <w:shd w:val="clear" w:color="auto" w:fill="C6D9F1"/>
            <w:noWrap/>
            <w:vAlign w:val="bottom"/>
            <w:hideMark/>
          </w:tcPr>
          <w:p w14:paraId="6B1C5BC3" w14:textId="77777777" w:rsidR="00FD57F2" w:rsidRPr="00D46647" w:rsidRDefault="00FD57F2" w:rsidP="00FD57F2">
            <w:pPr>
              <w:jc w:val="center"/>
              <w:rPr>
                <w:b/>
                <w:bCs/>
                <w:sz w:val="16"/>
                <w:szCs w:val="16"/>
              </w:rPr>
            </w:pPr>
            <w:r w:rsidRPr="00D46647">
              <w:rPr>
                <w:b/>
                <w:sz w:val="16"/>
              </w:rPr>
              <w:t>2014</w:t>
            </w:r>
          </w:p>
        </w:tc>
        <w:tc>
          <w:tcPr>
            <w:tcW w:w="1796" w:type="dxa"/>
            <w:gridSpan w:val="4"/>
            <w:shd w:val="clear" w:color="auto" w:fill="C6D9F1"/>
            <w:noWrap/>
            <w:vAlign w:val="bottom"/>
            <w:hideMark/>
          </w:tcPr>
          <w:p w14:paraId="39F945A5" w14:textId="77777777" w:rsidR="00FD57F2" w:rsidRPr="00D46647" w:rsidRDefault="00FD57F2" w:rsidP="00FD57F2">
            <w:pPr>
              <w:jc w:val="center"/>
              <w:rPr>
                <w:b/>
                <w:bCs/>
                <w:sz w:val="16"/>
                <w:szCs w:val="16"/>
              </w:rPr>
            </w:pPr>
            <w:r w:rsidRPr="00D46647">
              <w:rPr>
                <w:b/>
                <w:sz w:val="16"/>
              </w:rPr>
              <w:t>2015</w:t>
            </w:r>
          </w:p>
        </w:tc>
        <w:tc>
          <w:tcPr>
            <w:tcW w:w="1732" w:type="dxa"/>
            <w:gridSpan w:val="4"/>
            <w:shd w:val="clear" w:color="auto" w:fill="C6D9F1"/>
          </w:tcPr>
          <w:p w14:paraId="2AF1A3E2" w14:textId="77777777" w:rsidR="00FD57F2" w:rsidRPr="00D46647" w:rsidRDefault="00FD57F2" w:rsidP="00FD57F2">
            <w:pPr>
              <w:jc w:val="center"/>
              <w:rPr>
                <w:b/>
                <w:sz w:val="16"/>
              </w:rPr>
            </w:pPr>
            <w:r w:rsidRPr="00D46647">
              <w:rPr>
                <w:b/>
                <w:sz w:val="16"/>
              </w:rPr>
              <w:t>2016</w:t>
            </w:r>
          </w:p>
        </w:tc>
        <w:tc>
          <w:tcPr>
            <w:tcW w:w="1732" w:type="dxa"/>
            <w:gridSpan w:val="4"/>
            <w:shd w:val="clear" w:color="auto" w:fill="C6D9F1"/>
          </w:tcPr>
          <w:p w14:paraId="1328DFE2" w14:textId="77777777" w:rsidR="00FD57F2" w:rsidRPr="00D46647" w:rsidRDefault="00FD57F2" w:rsidP="00FD57F2">
            <w:pPr>
              <w:jc w:val="center"/>
              <w:rPr>
                <w:b/>
                <w:sz w:val="16"/>
              </w:rPr>
            </w:pPr>
            <w:r w:rsidRPr="00D46647">
              <w:rPr>
                <w:b/>
                <w:sz w:val="16"/>
              </w:rPr>
              <w:t>2017</w:t>
            </w:r>
          </w:p>
        </w:tc>
        <w:tc>
          <w:tcPr>
            <w:tcW w:w="866" w:type="dxa"/>
            <w:gridSpan w:val="2"/>
            <w:shd w:val="clear" w:color="auto" w:fill="C6D9F1"/>
          </w:tcPr>
          <w:p w14:paraId="22219F38" w14:textId="77777777" w:rsidR="00FD57F2" w:rsidRPr="00D46647" w:rsidRDefault="00FD57F2" w:rsidP="00FD57F2">
            <w:pPr>
              <w:jc w:val="center"/>
              <w:rPr>
                <w:b/>
                <w:sz w:val="16"/>
              </w:rPr>
            </w:pPr>
            <w:r w:rsidRPr="00D46647">
              <w:rPr>
                <w:b/>
                <w:sz w:val="16"/>
              </w:rPr>
              <w:t>2018</w:t>
            </w:r>
          </w:p>
        </w:tc>
      </w:tr>
      <w:tr w:rsidR="00FD57F2" w:rsidRPr="00D46647" w14:paraId="7AE614FF" w14:textId="77777777" w:rsidTr="007E3422">
        <w:trPr>
          <w:jc w:val="center"/>
        </w:trPr>
        <w:tc>
          <w:tcPr>
            <w:tcW w:w="1646" w:type="dxa"/>
            <w:shd w:val="clear" w:color="auto" w:fill="C6D9F1"/>
            <w:noWrap/>
            <w:vAlign w:val="bottom"/>
            <w:hideMark/>
          </w:tcPr>
          <w:p w14:paraId="565E358D" w14:textId="77777777" w:rsidR="00FD57F2" w:rsidRPr="00D46647" w:rsidRDefault="00FD57F2" w:rsidP="00FD57F2">
            <w:pPr>
              <w:rPr>
                <w:b/>
                <w:bCs/>
                <w:sz w:val="16"/>
                <w:szCs w:val="16"/>
              </w:rPr>
            </w:pPr>
            <w:r w:rsidRPr="00D46647">
              <w:rPr>
                <w:b/>
                <w:sz w:val="16"/>
              </w:rPr>
              <w:t>Étape principale</w:t>
            </w:r>
          </w:p>
        </w:tc>
        <w:tc>
          <w:tcPr>
            <w:tcW w:w="450" w:type="dxa"/>
            <w:shd w:val="clear" w:color="auto" w:fill="C6D9F1"/>
            <w:noWrap/>
            <w:vAlign w:val="bottom"/>
            <w:hideMark/>
          </w:tcPr>
          <w:p w14:paraId="77393F5B" w14:textId="77777777" w:rsidR="00FD57F2" w:rsidRPr="00D46647" w:rsidRDefault="00FD57F2" w:rsidP="00FD57F2">
            <w:pPr>
              <w:rPr>
                <w:b/>
                <w:bCs/>
                <w:sz w:val="16"/>
                <w:szCs w:val="16"/>
              </w:rPr>
            </w:pPr>
            <w:r w:rsidRPr="00D46647">
              <w:rPr>
                <w:b/>
                <w:bCs/>
                <w:sz w:val="16"/>
                <w:szCs w:val="16"/>
              </w:rPr>
              <w:t>T1</w:t>
            </w:r>
          </w:p>
        </w:tc>
        <w:tc>
          <w:tcPr>
            <w:tcW w:w="450" w:type="dxa"/>
            <w:shd w:val="clear" w:color="auto" w:fill="C6D9F1"/>
            <w:noWrap/>
            <w:vAlign w:val="bottom"/>
            <w:hideMark/>
          </w:tcPr>
          <w:p w14:paraId="6A407DCB" w14:textId="77777777" w:rsidR="00FD57F2" w:rsidRPr="00D46647" w:rsidRDefault="00FD57F2" w:rsidP="00FD57F2">
            <w:pPr>
              <w:rPr>
                <w:b/>
                <w:bCs/>
                <w:sz w:val="16"/>
                <w:szCs w:val="16"/>
              </w:rPr>
            </w:pPr>
            <w:r w:rsidRPr="00D46647">
              <w:rPr>
                <w:b/>
                <w:bCs/>
                <w:sz w:val="16"/>
                <w:szCs w:val="16"/>
              </w:rPr>
              <w:t>T2</w:t>
            </w:r>
          </w:p>
        </w:tc>
        <w:tc>
          <w:tcPr>
            <w:tcW w:w="450" w:type="dxa"/>
            <w:shd w:val="clear" w:color="auto" w:fill="C6D9F1"/>
            <w:noWrap/>
            <w:vAlign w:val="bottom"/>
            <w:hideMark/>
          </w:tcPr>
          <w:p w14:paraId="4726B8A0" w14:textId="77777777" w:rsidR="00FD57F2" w:rsidRPr="00D46647" w:rsidRDefault="00FD57F2" w:rsidP="00FD57F2">
            <w:pPr>
              <w:rPr>
                <w:b/>
                <w:bCs/>
                <w:sz w:val="16"/>
                <w:szCs w:val="16"/>
              </w:rPr>
            </w:pPr>
            <w:r w:rsidRPr="00D46647">
              <w:rPr>
                <w:b/>
                <w:bCs/>
                <w:sz w:val="16"/>
                <w:szCs w:val="16"/>
              </w:rPr>
              <w:t>T3</w:t>
            </w:r>
          </w:p>
        </w:tc>
        <w:tc>
          <w:tcPr>
            <w:tcW w:w="449" w:type="dxa"/>
            <w:shd w:val="clear" w:color="auto" w:fill="C6D9F1"/>
            <w:noWrap/>
            <w:vAlign w:val="bottom"/>
            <w:hideMark/>
          </w:tcPr>
          <w:p w14:paraId="3385B0D6" w14:textId="77777777" w:rsidR="00FD57F2" w:rsidRPr="00D46647" w:rsidRDefault="00FD57F2" w:rsidP="00FD57F2">
            <w:pPr>
              <w:rPr>
                <w:b/>
                <w:bCs/>
                <w:sz w:val="16"/>
                <w:szCs w:val="16"/>
              </w:rPr>
            </w:pPr>
            <w:r w:rsidRPr="00D46647">
              <w:rPr>
                <w:b/>
                <w:bCs/>
                <w:sz w:val="16"/>
                <w:szCs w:val="16"/>
              </w:rPr>
              <w:t>T4</w:t>
            </w:r>
          </w:p>
        </w:tc>
        <w:tc>
          <w:tcPr>
            <w:tcW w:w="449" w:type="dxa"/>
            <w:shd w:val="clear" w:color="auto" w:fill="C6D9F1"/>
            <w:noWrap/>
            <w:vAlign w:val="bottom"/>
            <w:hideMark/>
          </w:tcPr>
          <w:p w14:paraId="2ADDCBFF" w14:textId="77777777" w:rsidR="00FD57F2" w:rsidRPr="00D46647" w:rsidRDefault="00FD57F2" w:rsidP="00FD57F2">
            <w:pPr>
              <w:rPr>
                <w:b/>
                <w:bCs/>
                <w:sz w:val="16"/>
                <w:szCs w:val="16"/>
              </w:rPr>
            </w:pPr>
            <w:r w:rsidRPr="00D46647">
              <w:rPr>
                <w:b/>
                <w:bCs/>
                <w:sz w:val="16"/>
                <w:szCs w:val="16"/>
              </w:rPr>
              <w:t>T1</w:t>
            </w:r>
          </w:p>
        </w:tc>
        <w:tc>
          <w:tcPr>
            <w:tcW w:w="449" w:type="dxa"/>
            <w:shd w:val="clear" w:color="auto" w:fill="C6D9F1"/>
            <w:noWrap/>
            <w:vAlign w:val="bottom"/>
            <w:hideMark/>
          </w:tcPr>
          <w:p w14:paraId="19E7CFB4" w14:textId="77777777" w:rsidR="00FD57F2" w:rsidRPr="00D46647" w:rsidRDefault="00FD57F2" w:rsidP="00FD57F2">
            <w:pPr>
              <w:rPr>
                <w:b/>
                <w:bCs/>
                <w:sz w:val="16"/>
                <w:szCs w:val="16"/>
              </w:rPr>
            </w:pPr>
            <w:r w:rsidRPr="00D46647">
              <w:rPr>
                <w:b/>
                <w:bCs/>
                <w:sz w:val="16"/>
                <w:szCs w:val="16"/>
              </w:rPr>
              <w:t>T2</w:t>
            </w:r>
          </w:p>
        </w:tc>
        <w:tc>
          <w:tcPr>
            <w:tcW w:w="449" w:type="dxa"/>
            <w:shd w:val="clear" w:color="auto" w:fill="C6D9F1"/>
            <w:noWrap/>
            <w:vAlign w:val="bottom"/>
            <w:hideMark/>
          </w:tcPr>
          <w:p w14:paraId="6D17EC9A" w14:textId="77777777" w:rsidR="00FD57F2" w:rsidRPr="00D46647" w:rsidRDefault="00FD57F2" w:rsidP="00FD57F2">
            <w:pPr>
              <w:rPr>
                <w:b/>
                <w:bCs/>
                <w:sz w:val="16"/>
                <w:szCs w:val="16"/>
              </w:rPr>
            </w:pPr>
            <w:r w:rsidRPr="00D46647">
              <w:rPr>
                <w:b/>
                <w:bCs/>
                <w:sz w:val="16"/>
                <w:szCs w:val="16"/>
              </w:rPr>
              <w:t>T3</w:t>
            </w:r>
          </w:p>
        </w:tc>
        <w:tc>
          <w:tcPr>
            <w:tcW w:w="449" w:type="dxa"/>
            <w:shd w:val="clear" w:color="auto" w:fill="C6D9F1"/>
            <w:noWrap/>
            <w:vAlign w:val="bottom"/>
            <w:hideMark/>
          </w:tcPr>
          <w:p w14:paraId="49DCC356" w14:textId="77777777" w:rsidR="00FD57F2" w:rsidRPr="00D46647" w:rsidRDefault="00FD57F2" w:rsidP="00FD57F2">
            <w:pPr>
              <w:rPr>
                <w:b/>
                <w:bCs/>
                <w:sz w:val="16"/>
                <w:szCs w:val="16"/>
              </w:rPr>
            </w:pPr>
            <w:r w:rsidRPr="00D46647">
              <w:rPr>
                <w:b/>
                <w:bCs/>
                <w:sz w:val="16"/>
                <w:szCs w:val="16"/>
              </w:rPr>
              <w:t>T4</w:t>
            </w:r>
          </w:p>
        </w:tc>
        <w:tc>
          <w:tcPr>
            <w:tcW w:w="433" w:type="dxa"/>
            <w:shd w:val="clear" w:color="auto" w:fill="C6D9F1"/>
            <w:vAlign w:val="bottom"/>
          </w:tcPr>
          <w:p w14:paraId="353E8998" w14:textId="77777777" w:rsidR="00FD57F2" w:rsidRPr="00D46647" w:rsidRDefault="00FD57F2" w:rsidP="00FD57F2">
            <w:pPr>
              <w:rPr>
                <w:b/>
                <w:bCs/>
                <w:sz w:val="16"/>
                <w:szCs w:val="16"/>
              </w:rPr>
            </w:pPr>
            <w:r w:rsidRPr="00D46647">
              <w:rPr>
                <w:b/>
                <w:bCs/>
                <w:sz w:val="16"/>
                <w:szCs w:val="16"/>
              </w:rPr>
              <w:t>T1</w:t>
            </w:r>
          </w:p>
        </w:tc>
        <w:tc>
          <w:tcPr>
            <w:tcW w:w="433" w:type="dxa"/>
            <w:shd w:val="clear" w:color="auto" w:fill="C6D9F1"/>
            <w:vAlign w:val="bottom"/>
          </w:tcPr>
          <w:p w14:paraId="3B314D68" w14:textId="77777777" w:rsidR="00FD57F2" w:rsidRPr="00D46647" w:rsidRDefault="00FD57F2" w:rsidP="00FD57F2">
            <w:pPr>
              <w:rPr>
                <w:b/>
                <w:bCs/>
                <w:sz w:val="16"/>
                <w:szCs w:val="16"/>
              </w:rPr>
            </w:pPr>
            <w:r w:rsidRPr="00D46647">
              <w:rPr>
                <w:b/>
                <w:bCs/>
                <w:sz w:val="16"/>
                <w:szCs w:val="16"/>
              </w:rPr>
              <w:t>T2</w:t>
            </w:r>
          </w:p>
        </w:tc>
        <w:tc>
          <w:tcPr>
            <w:tcW w:w="433" w:type="dxa"/>
            <w:shd w:val="clear" w:color="auto" w:fill="C6D9F1"/>
            <w:vAlign w:val="bottom"/>
          </w:tcPr>
          <w:p w14:paraId="6D7369AB" w14:textId="77777777" w:rsidR="00FD57F2" w:rsidRPr="00D46647" w:rsidRDefault="00FD57F2" w:rsidP="00FD57F2">
            <w:pPr>
              <w:rPr>
                <w:b/>
                <w:bCs/>
                <w:sz w:val="16"/>
                <w:szCs w:val="16"/>
              </w:rPr>
            </w:pPr>
            <w:r w:rsidRPr="00D46647">
              <w:rPr>
                <w:b/>
                <w:bCs/>
                <w:sz w:val="16"/>
                <w:szCs w:val="16"/>
              </w:rPr>
              <w:t>T3</w:t>
            </w:r>
          </w:p>
        </w:tc>
        <w:tc>
          <w:tcPr>
            <w:tcW w:w="433" w:type="dxa"/>
            <w:shd w:val="clear" w:color="auto" w:fill="C6D9F1"/>
            <w:vAlign w:val="bottom"/>
          </w:tcPr>
          <w:p w14:paraId="7FA9AB9F" w14:textId="77777777" w:rsidR="00FD57F2" w:rsidRPr="00D46647" w:rsidRDefault="00FD57F2" w:rsidP="00FD57F2">
            <w:pPr>
              <w:rPr>
                <w:b/>
                <w:bCs/>
                <w:sz w:val="16"/>
                <w:szCs w:val="16"/>
              </w:rPr>
            </w:pPr>
            <w:r w:rsidRPr="00D46647">
              <w:rPr>
                <w:b/>
                <w:bCs/>
                <w:sz w:val="16"/>
                <w:szCs w:val="16"/>
              </w:rPr>
              <w:t>T4</w:t>
            </w:r>
          </w:p>
        </w:tc>
        <w:tc>
          <w:tcPr>
            <w:tcW w:w="433" w:type="dxa"/>
            <w:shd w:val="clear" w:color="auto" w:fill="C6D9F1"/>
            <w:vAlign w:val="bottom"/>
          </w:tcPr>
          <w:p w14:paraId="2B29DF2F" w14:textId="77777777" w:rsidR="00FD57F2" w:rsidRPr="00D46647" w:rsidRDefault="00FD57F2" w:rsidP="00FD57F2">
            <w:pPr>
              <w:rPr>
                <w:b/>
                <w:bCs/>
                <w:sz w:val="16"/>
                <w:szCs w:val="16"/>
              </w:rPr>
            </w:pPr>
            <w:r w:rsidRPr="00D46647">
              <w:rPr>
                <w:b/>
                <w:bCs/>
                <w:sz w:val="16"/>
                <w:szCs w:val="16"/>
              </w:rPr>
              <w:t>T1</w:t>
            </w:r>
          </w:p>
        </w:tc>
        <w:tc>
          <w:tcPr>
            <w:tcW w:w="433" w:type="dxa"/>
            <w:shd w:val="clear" w:color="auto" w:fill="C6D9F1"/>
            <w:vAlign w:val="bottom"/>
          </w:tcPr>
          <w:p w14:paraId="0063E1A0" w14:textId="77777777" w:rsidR="00FD57F2" w:rsidRPr="00D46647" w:rsidRDefault="00FD57F2" w:rsidP="00FD57F2">
            <w:pPr>
              <w:rPr>
                <w:b/>
                <w:bCs/>
                <w:sz w:val="16"/>
                <w:szCs w:val="16"/>
              </w:rPr>
            </w:pPr>
            <w:r w:rsidRPr="00D46647">
              <w:rPr>
                <w:b/>
                <w:bCs/>
                <w:sz w:val="16"/>
                <w:szCs w:val="16"/>
              </w:rPr>
              <w:t>T2</w:t>
            </w:r>
          </w:p>
        </w:tc>
        <w:tc>
          <w:tcPr>
            <w:tcW w:w="433" w:type="dxa"/>
            <w:shd w:val="clear" w:color="auto" w:fill="C6D9F1"/>
            <w:vAlign w:val="bottom"/>
          </w:tcPr>
          <w:p w14:paraId="12D3588C" w14:textId="77777777" w:rsidR="00FD57F2" w:rsidRPr="00D46647" w:rsidRDefault="00FD57F2" w:rsidP="00FD57F2">
            <w:pPr>
              <w:rPr>
                <w:b/>
                <w:bCs/>
                <w:sz w:val="16"/>
                <w:szCs w:val="16"/>
              </w:rPr>
            </w:pPr>
            <w:r w:rsidRPr="00D46647">
              <w:rPr>
                <w:b/>
                <w:bCs/>
                <w:sz w:val="16"/>
                <w:szCs w:val="16"/>
              </w:rPr>
              <w:t>T3</w:t>
            </w:r>
          </w:p>
        </w:tc>
        <w:tc>
          <w:tcPr>
            <w:tcW w:w="433" w:type="dxa"/>
            <w:shd w:val="clear" w:color="auto" w:fill="C6D9F1"/>
            <w:vAlign w:val="bottom"/>
          </w:tcPr>
          <w:p w14:paraId="50F8A6C9" w14:textId="77777777" w:rsidR="00FD57F2" w:rsidRPr="00D46647" w:rsidRDefault="00FD57F2" w:rsidP="00FD57F2">
            <w:pPr>
              <w:rPr>
                <w:b/>
                <w:bCs/>
                <w:sz w:val="16"/>
                <w:szCs w:val="16"/>
              </w:rPr>
            </w:pPr>
            <w:r w:rsidRPr="00D46647">
              <w:rPr>
                <w:b/>
                <w:bCs/>
                <w:sz w:val="16"/>
                <w:szCs w:val="16"/>
              </w:rPr>
              <w:t>T4</w:t>
            </w:r>
          </w:p>
        </w:tc>
        <w:tc>
          <w:tcPr>
            <w:tcW w:w="433" w:type="dxa"/>
            <w:shd w:val="clear" w:color="auto" w:fill="C6D9F1"/>
            <w:vAlign w:val="bottom"/>
          </w:tcPr>
          <w:p w14:paraId="6E235081" w14:textId="77777777" w:rsidR="00FD57F2" w:rsidRPr="00D46647" w:rsidRDefault="00FD57F2" w:rsidP="00FD57F2">
            <w:pPr>
              <w:rPr>
                <w:b/>
                <w:bCs/>
                <w:sz w:val="16"/>
                <w:szCs w:val="16"/>
              </w:rPr>
            </w:pPr>
            <w:r w:rsidRPr="00D46647">
              <w:rPr>
                <w:b/>
                <w:bCs/>
                <w:sz w:val="16"/>
                <w:szCs w:val="16"/>
              </w:rPr>
              <w:t>T1</w:t>
            </w:r>
          </w:p>
        </w:tc>
        <w:tc>
          <w:tcPr>
            <w:tcW w:w="433" w:type="dxa"/>
            <w:shd w:val="clear" w:color="auto" w:fill="C6D9F1"/>
            <w:vAlign w:val="bottom"/>
          </w:tcPr>
          <w:p w14:paraId="5BD44EF6" w14:textId="77777777" w:rsidR="00FD57F2" w:rsidRPr="00D46647" w:rsidRDefault="00FD57F2" w:rsidP="00FD57F2">
            <w:pPr>
              <w:rPr>
                <w:b/>
                <w:bCs/>
                <w:sz w:val="16"/>
                <w:szCs w:val="16"/>
              </w:rPr>
            </w:pPr>
            <w:r w:rsidRPr="00D46647">
              <w:rPr>
                <w:b/>
                <w:bCs/>
                <w:sz w:val="16"/>
                <w:szCs w:val="16"/>
              </w:rPr>
              <w:t>T2</w:t>
            </w:r>
          </w:p>
        </w:tc>
      </w:tr>
      <w:tr w:rsidR="00FD57F2" w:rsidRPr="00D46647" w14:paraId="0CD0F9CB" w14:textId="77777777" w:rsidTr="007E3422">
        <w:trPr>
          <w:jc w:val="center"/>
        </w:trPr>
        <w:tc>
          <w:tcPr>
            <w:tcW w:w="1646" w:type="dxa"/>
            <w:shd w:val="clear" w:color="auto" w:fill="auto"/>
            <w:noWrap/>
            <w:vAlign w:val="center"/>
            <w:hideMark/>
          </w:tcPr>
          <w:p w14:paraId="67C06E79" w14:textId="77777777" w:rsidR="00FD57F2" w:rsidRPr="00D46647" w:rsidRDefault="00FD57F2" w:rsidP="00FD57F2">
            <w:pPr>
              <w:rPr>
                <w:sz w:val="16"/>
                <w:szCs w:val="16"/>
              </w:rPr>
            </w:pPr>
            <w:r w:rsidRPr="00D46647">
              <w:rPr>
                <w:sz w:val="16"/>
              </w:rPr>
              <w:t>Attribution du contrat à l’ingénieur pour la façade</w:t>
            </w:r>
          </w:p>
        </w:tc>
        <w:tc>
          <w:tcPr>
            <w:tcW w:w="450" w:type="dxa"/>
            <w:shd w:val="clear" w:color="auto" w:fill="auto"/>
            <w:noWrap/>
            <w:vAlign w:val="center"/>
            <w:hideMark/>
          </w:tcPr>
          <w:p w14:paraId="5C5B111D" w14:textId="77777777" w:rsidR="00FD57F2" w:rsidRPr="00D46647" w:rsidRDefault="00FD57F2" w:rsidP="00FD57F2">
            <w:pPr>
              <w:jc w:val="center"/>
              <w:rPr>
                <w:sz w:val="16"/>
                <w:szCs w:val="16"/>
              </w:rPr>
            </w:pPr>
          </w:p>
        </w:tc>
        <w:tc>
          <w:tcPr>
            <w:tcW w:w="450" w:type="dxa"/>
            <w:shd w:val="clear" w:color="auto" w:fill="auto"/>
            <w:noWrap/>
            <w:vAlign w:val="center"/>
            <w:hideMark/>
          </w:tcPr>
          <w:p w14:paraId="2CAC7AB9" w14:textId="77777777" w:rsidR="00FD57F2" w:rsidRPr="00D46647" w:rsidRDefault="00FD57F2" w:rsidP="00FD57F2">
            <w:pPr>
              <w:jc w:val="center"/>
              <w:rPr>
                <w:sz w:val="16"/>
                <w:szCs w:val="16"/>
              </w:rPr>
            </w:pPr>
          </w:p>
        </w:tc>
        <w:tc>
          <w:tcPr>
            <w:tcW w:w="450" w:type="dxa"/>
            <w:shd w:val="clear" w:color="auto" w:fill="auto"/>
            <w:noWrap/>
            <w:vAlign w:val="center"/>
            <w:hideMark/>
          </w:tcPr>
          <w:p w14:paraId="6FECE857" w14:textId="77777777" w:rsidR="00FD57F2" w:rsidRPr="00D46647" w:rsidRDefault="00FD57F2" w:rsidP="00FD57F2">
            <w:pPr>
              <w:jc w:val="center"/>
              <w:rPr>
                <w:sz w:val="16"/>
                <w:szCs w:val="16"/>
              </w:rPr>
            </w:pPr>
            <w:r w:rsidRPr="00D46647">
              <w:rPr>
                <w:sz w:val="16"/>
                <w:szCs w:val="16"/>
              </w:rPr>
              <w:t>X</w:t>
            </w:r>
          </w:p>
        </w:tc>
        <w:tc>
          <w:tcPr>
            <w:tcW w:w="449" w:type="dxa"/>
            <w:shd w:val="clear" w:color="auto" w:fill="auto"/>
            <w:noWrap/>
            <w:vAlign w:val="center"/>
            <w:hideMark/>
          </w:tcPr>
          <w:p w14:paraId="6E9A4957" w14:textId="77777777" w:rsidR="00FD57F2" w:rsidRPr="00D46647" w:rsidRDefault="00FD57F2" w:rsidP="00FD57F2">
            <w:pPr>
              <w:jc w:val="center"/>
              <w:rPr>
                <w:sz w:val="16"/>
                <w:szCs w:val="16"/>
              </w:rPr>
            </w:pPr>
            <w:r w:rsidRPr="00D46647">
              <w:rPr>
                <w:sz w:val="16"/>
                <w:szCs w:val="16"/>
              </w:rPr>
              <w:t>X</w:t>
            </w:r>
          </w:p>
        </w:tc>
        <w:tc>
          <w:tcPr>
            <w:tcW w:w="449" w:type="dxa"/>
            <w:shd w:val="clear" w:color="auto" w:fill="auto"/>
            <w:noWrap/>
            <w:vAlign w:val="center"/>
            <w:hideMark/>
          </w:tcPr>
          <w:p w14:paraId="2FFC727C" w14:textId="77777777" w:rsidR="00FD57F2" w:rsidRPr="00D46647" w:rsidRDefault="00FD57F2" w:rsidP="00FD57F2">
            <w:pPr>
              <w:jc w:val="center"/>
              <w:rPr>
                <w:sz w:val="16"/>
                <w:szCs w:val="16"/>
              </w:rPr>
            </w:pPr>
          </w:p>
        </w:tc>
        <w:tc>
          <w:tcPr>
            <w:tcW w:w="449" w:type="dxa"/>
            <w:shd w:val="clear" w:color="auto" w:fill="auto"/>
            <w:noWrap/>
            <w:vAlign w:val="center"/>
            <w:hideMark/>
          </w:tcPr>
          <w:p w14:paraId="02C0DDD6" w14:textId="77777777" w:rsidR="00FD57F2" w:rsidRPr="00D46647" w:rsidRDefault="00FD57F2" w:rsidP="00FD57F2">
            <w:pPr>
              <w:jc w:val="center"/>
              <w:rPr>
                <w:sz w:val="16"/>
                <w:szCs w:val="16"/>
              </w:rPr>
            </w:pPr>
          </w:p>
        </w:tc>
        <w:tc>
          <w:tcPr>
            <w:tcW w:w="449" w:type="dxa"/>
            <w:shd w:val="clear" w:color="auto" w:fill="auto"/>
            <w:noWrap/>
            <w:vAlign w:val="center"/>
            <w:hideMark/>
          </w:tcPr>
          <w:p w14:paraId="3C0B059A" w14:textId="77777777" w:rsidR="00FD57F2" w:rsidRPr="00D46647" w:rsidRDefault="00FD57F2" w:rsidP="00FD57F2">
            <w:pPr>
              <w:jc w:val="center"/>
              <w:rPr>
                <w:sz w:val="16"/>
                <w:szCs w:val="16"/>
              </w:rPr>
            </w:pPr>
          </w:p>
        </w:tc>
        <w:tc>
          <w:tcPr>
            <w:tcW w:w="449" w:type="dxa"/>
            <w:shd w:val="clear" w:color="auto" w:fill="auto"/>
            <w:noWrap/>
            <w:vAlign w:val="center"/>
            <w:hideMark/>
          </w:tcPr>
          <w:p w14:paraId="0DE2BAE5" w14:textId="77777777" w:rsidR="00FD57F2" w:rsidRPr="00D46647" w:rsidRDefault="00FD57F2" w:rsidP="00FD57F2">
            <w:pPr>
              <w:jc w:val="center"/>
              <w:rPr>
                <w:sz w:val="16"/>
                <w:szCs w:val="16"/>
              </w:rPr>
            </w:pPr>
          </w:p>
        </w:tc>
        <w:tc>
          <w:tcPr>
            <w:tcW w:w="433" w:type="dxa"/>
            <w:vAlign w:val="center"/>
          </w:tcPr>
          <w:p w14:paraId="4E28946B" w14:textId="77777777" w:rsidR="00FD57F2" w:rsidRPr="00D46647" w:rsidRDefault="00FD57F2" w:rsidP="00FD57F2">
            <w:pPr>
              <w:jc w:val="center"/>
              <w:rPr>
                <w:sz w:val="16"/>
                <w:szCs w:val="16"/>
              </w:rPr>
            </w:pPr>
          </w:p>
        </w:tc>
        <w:tc>
          <w:tcPr>
            <w:tcW w:w="433" w:type="dxa"/>
            <w:vAlign w:val="center"/>
          </w:tcPr>
          <w:p w14:paraId="05D2B3AD" w14:textId="77777777" w:rsidR="00FD57F2" w:rsidRPr="00D46647" w:rsidRDefault="00FD57F2" w:rsidP="00FD57F2">
            <w:pPr>
              <w:jc w:val="center"/>
              <w:rPr>
                <w:sz w:val="16"/>
                <w:szCs w:val="16"/>
              </w:rPr>
            </w:pPr>
          </w:p>
        </w:tc>
        <w:tc>
          <w:tcPr>
            <w:tcW w:w="433" w:type="dxa"/>
            <w:vAlign w:val="center"/>
          </w:tcPr>
          <w:p w14:paraId="7F43AF6A" w14:textId="77777777" w:rsidR="00FD57F2" w:rsidRPr="00D46647" w:rsidRDefault="00FD57F2" w:rsidP="00FD57F2">
            <w:pPr>
              <w:jc w:val="center"/>
              <w:rPr>
                <w:sz w:val="16"/>
                <w:szCs w:val="16"/>
              </w:rPr>
            </w:pPr>
          </w:p>
        </w:tc>
        <w:tc>
          <w:tcPr>
            <w:tcW w:w="433" w:type="dxa"/>
            <w:vAlign w:val="center"/>
          </w:tcPr>
          <w:p w14:paraId="62AD5EDB" w14:textId="77777777" w:rsidR="00FD57F2" w:rsidRPr="00D46647" w:rsidRDefault="00FD57F2" w:rsidP="00FD57F2">
            <w:pPr>
              <w:jc w:val="center"/>
              <w:rPr>
                <w:sz w:val="16"/>
                <w:szCs w:val="16"/>
              </w:rPr>
            </w:pPr>
          </w:p>
        </w:tc>
        <w:tc>
          <w:tcPr>
            <w:tcW w:w="433" w:type="dxa"/>
            <w:shd w:val="clear" w:color="auto" w:fill="C6D9F1"/>
          </w:tcPr>
          <w:p w14:paraId="301CE03C" w14:textId="77777777" w:rsidR="00FD57F2" w:rsidRPr="00D46647" w:rsidRDefault="00FD57F2" w:rsidP="00FD57F2">
            <w:pPr>
              <w:jc w:val="center"/>
              <w:rPr>
                <w:sz w:val="16"/>
                <w:szCs w:val="16"/>
              </w:rPr>
            </w:pPr>
          </w:p>
        </w:tc>
        <w:tc>
          <w:tcPr>
            <w:tcW w:w="433" w:type="dxa"/>
            <w:shd w:val="clear" w:color="auto" w:fill="C6D9F1"/>
          </w:tcPr>
          <w:p w14:paraId="5ED32E1E" w14:textId="77777777" w:rsidR="00FD57F2" w:rsidRPr="00D46647" w:rsidRDefault="00FD57F2" w:rsidP="00FD57F2">
            <w:pPr>
              <w:jc w:val="center"/>
              <w:rPr>
                <w:sz w:val="16"/>
                <w:szCs w:val="16"/>
              </w:rPr>
            </w:pPr>
          </w:p>
        </w:tc>
        <w:tc>
          <w:tcPr>
            <w:tcW w:w="433" w:type="dxa"/>
            <w:shd w:val="clear" w:color="auto" w:fill="C6D9F1"/>
          </w:tcPr>
          <w:p w14:paraId="669D2A4F" w14:textId="77777777" w:rsidR="00FD57F2" w:rsidRPr="00D46647" w:rsidRDefault="00FD57F2" w:rsidP="00FD57F2">
            <w:pPr>
              <w:jc w:val="center"/>
              <w:rPr>
                <w:sz w:val="16"/>
                <w:szCs w:val="16"/>
              </w:rPr>
            </w:pPr>
          </w:p>
        </w:tc>
        <w:tc>
          <w:tcPr>
            <w:tcW w:w="433" w:type="dxa"/>
            <w:shd w:val="clear" w:color="auto" w:fill="C6D9F1"/>
          </w:tcPr>
          <w:p w14:paraId="366D0ABE" w14:textId="77777777" w:rsidR="00FD57F2" w:rsidRPr="00D46647" w:rsidRDefault="00FD57F2" w:rsidP="00FD57F2">
            <w:pPr>
              <w:jc w:val="center"/>
              <w:rPr>
                <w:sz w:val="16"/>
                <w:szCs w:val="16"/>
              </w:rPr>
            </w:pPr>
          </w:p>
        </w:tc>
        <w:tc>
          <w:tcPr>
            <w:tcW w:w="433" w:type="dxa"/>
            <w:shd w:val="clear" w:color="auto" w:fill="C6D9F1"/>
          </w:tcPr>
          <w:p w14:paraId="1041E009" w14:textId="77777777" w:rsidR="00FD57F2" w:rsidRPr="00D46647" w:rsidRDefault="00FD57F2" w:rsidP="00FD57F2">
            <w:pPr>
              <w:jc w:val="center"/>
              <w:rPr>
                <w:sz w:val="16"/>
                <w:szCs w:val="16"/>
              </w:rPr>
            </w:pPr>
          </w:p>
        </w:tc>
        <w:tc>
          <w:tcPr>
            <w:tcW w:w="433" w:type="dxa"/>
            <w:shd w:val="clear" w:color="auto" w:fill="C6D9F1"/>
          </w:tcPr>
          <w:p w14:paraId="4A3C77E9" w14:textId="77777777" w:rsidR="00FD57F2" w:rsidRPr="00D46647" w:rsidRDefault="00FD57F2" w:rsidP="00FD57F2">
            <w:pPr>
              <w:jc w:val="center"/>
              <w:rPr>
                <w:sz w:val="16"/>
                <w:szCs w:val="16"/>
              </w:rPr>
            </w:pPr>
          </w:p>
        </w:tc>
      </w:tr>
      <w:tr w:rsidR="00FD57F2" w:rsidRPr="00D46647" w14:paraId="7358AB90" w14:textId="77777777" w:rsidTr="007E3422">
        <w:trPr>
          <w:jc w:val="center"/>
        </w:trPr>
        <w:tc>
          <w:tcPr>
            <w:tcW w:w="1646" w:type="dxa"/>
            <w:shd w:val="clear" w:color="auto" w:fill="auto"/>
            <w:noWrap/>
            <w:vAlign w:val="center"/>
            <w:hideMark/>
          </w:tcPr>
          <w:p w14:paraId="480B938C" w14:textId="77777777" w:rsidR="00FD57F2" w:rsidRPr="00D46647" w:rsidRDefault="00FD57F2" w:rsidP="00FD57F2">
            <w:pPr>
              <w:rPr>
                <w:sz w:val="16"/>
                <w:szCs w:val="16"/>
              </w:rPr>
            </w:pPr>
            <w:r w:rsidRPr="00D46647">
              <w:rPr>
                <w:sz w:val="16"/>
              </w:rPr>
              <w:t xml:space="preserve">Développement et validation du projet avec l’ingénieur chargé de la façade </w:t>
            </w:r>
          </w:p>
        </w:tc>
        <w:tc>
          <w:tcPr>
            <w:tcW w:w="450" w:type="dxa"/>
            <w:shd w:val="clear" w:color="auto" w:fill="auto"/>
            <w:noWrap/>
            <w:vAlign w:val="center"/>
            <w:hideMark/>
          </w:tcPr>
          <w:p w14:paraId="7F28418A" w14:textId="77777777" w:rsidR="00FD57F2" w:rsidRPr="00D46647" w:rsidRDefault="00FD57F2" w:rsidP="00FD57F2">
            <w:pPr>
              <w:jc w:val="center"/>
              <w:rPr>
                <w:sz w:val="16"/>
                <w:szCs w:val="16"/>
              </w:rPr>
            </w:pPr>
          </w:p>
        </w:tc>
        <w:tc>
          <w:tcPr>
            <w:tcW w:w="450" w:type="dxa"/>
            <w:shd w:val="clear" w:color="auto" w:fill="auto"/>
            <w:noWrap/>
            <w:vAlign w:val="center"/>
            <w:hideMark/>
          </w:tcPr>
          <w:p w14:paraId="4667499D" w14:textId="77777777" w:rsidR="00FD57F2" w:rsidRPr="00D46647" w:rsidRDefault="00FD57F2" w:rsidP="00FD57F2">
            <w:pPr>
              <w:jc w:val="center"/>
              <w:rPr>
                <w:sz w:val="16"/>
                <w:szCs w:val="16"/>
              </w:rPr>
            </w:pPr>
          </w:p>
        </w:tc>
        <w:tc>
          <w:tcPr>
            <w:tcW w:w="450" w:type="dxa"/>
            <w:shd w:val="clear" w:color="auto" w:fill="auto"/>
            <w:noWrap/>
            <w:vAlign w:val="center"/>
            <w:hideMark/>
          </w:tcPr>
          <w:p w14:paraId="037FD6E4" w14:textId="77777777" w:rsidR="00FD57F2" w:rsidRPr="00D46647" w:rsidRDefault="00FD57F2" w:rsidP="00FD57F2">
            <w:pPr>
              <w:jc w:val="center"/>
              <w:rPr>
                <w:sz w:val="16"/>
                <w:szCs w:val="16"/>
              </w:rPr>
            </w:pPr>
          </w:p>
        </w:tc>
        <w:tc>
          <w:tcPr>
            <w:tcW w:w="449" w:type="dxa"/>
            <w:shd w:val="clear" w:color="auto" w:fill="auto"/>
            <w:noWrap/>
            <w:vAlign w:val="center"/>
            <w:hideMark/>
          </w:tcPr>
          <w:p w14:paraId="5A63ADE9" w14:textId="77777777" w:rsidR="00FD57F2" w:rsidRPr="00D46647" w:rsidRDefault="00FD57F2" w:rsidP="00FD57F2">
            <w:pPr>
              <w:jc w:val="center"/>
              <w:rPr>
                <w:sz w:val="16"/>
                <w:szCs w:val="16"/>
              </w:rPr>
            </w:pPr>
          </w:p>
        </w:tc>
        <w:tc>
          <w:tcPr>
            <w:tcW w:w="449" w:type="dxa"/>
            <w:shd w:val="clear" w:color="auto" w:fill="auto"/>
            <w:noWrap/>
            <w:vAlign w:val="center"/>
            <w:hideMark/>
          </w:tcPr>
          <w:p w14:paraId="3D13AF9E" w14:textId="77777777" w:rsidR="00FD57F2" w:rsidRPr="00D46647" w:rsidRDefault="00FD57F2" w:rsidP="00FD57F2">
            <w:pPr>
              <w:jc w:val="center"/>
              <w:rPr>
                <w:sz w:val="16"/>
                <w:szCs w:val="16"/>
              </w:rPr>
            </w:pPr>
            <w:r w:rsidRPr="00D46647">
              <w:rPr>
                <w:sz w:val="16"/>
                <w:szCs w:val="16"/>
              </w:rPr>
              <w:t>X</w:t>
            </w:r>
          </w:p>
        </w:tc>
        <w:tc>
          <w:tcPr>
            <w:tcW w:w="449" w:type="dxa"/>
            <w:shd w:val="clear" w:color="auto" w:fill="auto"/>
            <w:noWrap/>
            <w:vAlign w:val="center"/>
            <w:hideMark/>
          </w:tcPr>
          <w:p w14:paraId="3745106C" w14:textId="77777777" w:rsidR="00FD57F2" w:rsidRPr="00D46647" w:rsidRDefault="00FD57F2" w:rsidP="00FD57F2">
            <w:pPr>
              <w:jc w:val="center"/>
              <w:rPr>
                <w:sz w:val="16"/>
                <w:szCs w:val="16"/>
              </w:rPr>
            </w:pPr>
          </w:p>
        </w:tc>
        <w:tc>
          <w:tcPr>
            <w:tcW w:w="449" w:type="dxa"/>
            <w:shd w:val="clear" w:color="auto" w:fill="auto"/>
            <w:noWrap/>
            <w:vAlign w:val="center"/>
            <w:hideMark/>
          </w:tcPr>
          <w:p w14:paraId="6F93D8C5" w14:textId="77777777" w:rsidR="00FD57F2" w:rsidRPr="00D46647" w:rsidRDefault="00FD57F2" w:rsidP="00FD57F2">
            <w:pPr>
              <w:jc w:val="center"/>
              <w:rPr>
                <w:sz w:val="16"/>
                <w:szCs w:val="16"/>
              </w:rPr>
            </w:pPr>
          </w:p>
        </w:tc>
        <w:tc>
          <w:tcPr>
            <w:tcW w:w="449" w:type="dxa"/>
            <w:shd w:val="clear" w:color="auto" w:fill="auto"/>
            <w:noWrap/>
            <w:vAlign w:val="center"/>
            <w:hideMark/>
          </w:tcPr>
          <w:p w14:paraId="15F00018" w14:textId="77777777" w:rsidR="00FD57F2" w:rsidRPr="00D46647" w:rsidRDefault="00FD57F2" w:rsidP="00FD57F2">
            <w:pPr>
              <w:jc w:val="center"/>
              <w:rPr>
                <w:sz w:val="16"/>
                <w:szCs w:val="16"/>
              </w:rPr>
            </w:pPr>
          </w:p>
        </w:tc>
        <w:tc>
          <w:tcPr>
            <w:tcW w:w="433" w:type="dxa"/>
            <w:vAlign w:val="center"/>
          </w:tcPr>
          <w:p w14:paraId="33405C3B" w14:textId="77777777" w:rsidR="00FD57F2" w:rsidRPr="00D46647" w:rsidRDefault="00FD57F2" w:rsidP="00FD57F2">
            <w:pPr>
              <w:jc w:val="center"/>
              <w:rPr>
                <w:sz w:val="16"/>
                <w:szCs w:val="16"/>
              </w:rPr>
            </w:pPr>
          </w:p>
        </w:tc>
        <w:tc>
          <w:tcPr>
            <w:tcW w:w="433" w:type="dxa"/>
            <w:vAlign w:val="center"/>
          </w:tcPr>
          <w:p w14:paraId="471F1029" w14:textId="77777777" w:rsidR="00FD57F2" w:rsidRPr="00D46647" w:rsidRDefault="00FD57F2" w:rsidP="00FD57F2">
            <w:pPr>
              <w:jc w:val="center"/>
              <w:rPr>
                <w:sz w:val="16"/>
                <w:szCs w:val="16"/>
              </w:rPr>
            </w:pPr>
          </w:p>
        </w:tc>
        <w:tc>
          <w:tcPr>
            <w:tcW w:w="433" w:type="dxa"/>
            <w:vAlign w:val="center"/>
          </w:tcPr>
          <w:p w14:paraId="0DBBCEBD" w14:textId="77777777" w:rsidR="00FD57F2" w:rsidRPr="00D46647" w:rsidRDefault="00FD57F2" w:rsidP="00FD57F2">
            <w:pPr>
              <w:jc w:val="center"/>
              <w:rPr>
                <w:sz w:val="16"/>
                <w:szCs w:val="16"/>
              </w:rPr>
            </w:pPr>
          </w:p>
        </w:tc>
        <w:tc>
          <w:tcPr>
            <w:tcW w:w="433" w:type="dxa"/>
            <w:vAlign w:val="center"/>
          </w:tcPr>
          <w:p w14:paraId="78F6D3F7" w14:textId="77777777" w:rsidR="00FD57F2" w:rsidRPr="00D46647" w:rsidRDefault="00FD57F2" w:rsidP="00FD57F2">
            <w:pPr>
              <w:jc w:val="center"/>
              <w:rPr>
                <w:sz w:val="16"/>
                <w:szCs w:val="16"/>
              </w:rPr>
            </w:pPr>
          </w:p>
        </w:tc>
        <w:tc>
          <w:tcPr>
            <w:tcW w:w="433" w:type="dxa"/>
            <w:shd w:val="clear" w:color="auto" w:fill="C6D9F1"/>
          </w:tcPr>
          <w:p w14:paraId="302EAA7C" w14:textId="77777777" w:rsidR="00FD57F2" w:rsidRPr="00D46647" w:rsidRDefault="00FD57F2" w:rsidP="00FD57F2">
            <w:pPr>
              <w:jc w:val="center"/>
              <w:rPr>
                <w:sz w:val="16"/>
                <w:szCs w:val="16"/>
              </w:rPr>
            </w:pPr>
          </w:p>
        </w:tc>
        <w:tc>
          <w:tcPr>
            <w:tcW w:w="433" w:type="dxa"/>
            <w:shd w:val="clear" w:color="auto" w:fill="C6D9F1"/>
          </w:tcPr>
          <w:p w14:paraId="094F255A" w14:textId="77777777" w:rsidR="00FD57F2" w:rsidRPr="00D46647" w:rsidRDefault="00FD57F2" w:rsidP="00FD57F2">
            <w:pPr>
              <w:jc w:val="center"/>
              <w:rPr>
                <w:sz w:val="16"/>
                <w:szCs w:val="16"/>
              </w:rPr>
            </w:pPr>
          </w:p>
        </w:tc>
        <w:tc>
          <w:tcPr>
            <w:tcW w:w="433" w:type="dxa"/>
            <w:shd w:val="clear" w:color="auto" w:fill="C6D9F1"/>
          </w:tcPr>
          <w:p w14:paraId="3C589A0E" w14:textId="77777777" w:rsidR="00FD57F2" w:rsidRPr="00D46647" w:rsidRDefault="00FD57F2" w:rsidP="00FD57F2">
            <w:pPr>
              <w:jc w:val="center"/>
              <w:rPr>
                <w:sz w:val="16"/>
                <w:szCs w:val="16"/>
              </w:rPr>
            </w:pPr>
          </w:p>
        </w:tc>
        <w:tc>
          <w:tcPr>
            <w:tcW w:w="433" w:type="dxa"/>
            <w:shd w:val="clear" w:color="auto" w:fill="C6D9F1"/>
          </w:tcPr>
          <w:p w14:paraId="2E1AD2F2" w14:textId="77777777" w:rsidR="00FD57F2" w:rsidRPr="00D46647" w:rsidRDefault="00FD57F2" w:rsidP="00FD57F2">
            <w:pPr>
              <w:jc w:val="center"/>
              <w:rPr>
                <w:sz w:val="16"/>
                <w:szCs w:val="16"/>
              </w:rPr>
            </w:pPr>
          </w:p>
        </w:tc>
        <w:tc>
          <w:tcPr>
            <w:tcW w:w="433" w:type="dxa"/>
            <w:shd w:val="clear" w:color="auto" w:fill="C6D9F1"/>
          </w:tcPr>
          <w:p w14:paraId="561B48CF" w14:textId="77777777" w:rsidR="00FD57F2" w:rsidRPr="00D46647" w:rsidRDefault="00FD57F2" w:rsidP="00FD57F2">
            <w:pPr>
              <w:jc w:val="center"/>
              <w:rPr>
                <w:sz w:val="16"/>
                <w:szCs w:val="16"/>
              </w:rPr>
            </w:pPr>
          </w:p>
        </w:tc>
        <w:tc>
          <w:tcPr>
            <w:tcW w:w="433" w:type="dxa"/>
            <w:shd w:val="clear" w:color="auto" w:fill="C6D9F1"/>
          </w:tcPr>
          <w:p w14:paraId="6FC4FE32" w14:textId="77777777" w:rsidR="00FD57F2" w:rsidRPr="00D46647" w:rsidRDefault="00FD57F2" w:rsidP="00FD57F2">
            <w:pPr>
              <w:jc w:val="center"/>
              <w:rPr>
                <w:sz w:val="16"/>
                <w:szCs w:val="16"/>
              </w:rPr>
            </w:pPr>
          </w:p>
        </w:tc>
      </w:tr>
      <w:tr w:rsidR="00FD57F2" w:rsidRPr="00D46647" w14:paraId="60124214" w14:textId="77777777" w:rsidTr="007E3422">
        <w:trPr>
          <w:jc w:val="center"/>
        </w:trPr>
        <w:tc>
          <w:tcPr>
            <w:tcW w:w="1646" w:type="dxa"/>
            <w:shd w:val="clear" w:color="auto" w:fill="auto"/>
            <w:noWrap/>
            <w:vAlign w:val="center"/>
            <w:hideMark/>
          </w:tcPr>
          <w:p w14:paraId="2BBAA6A1" w14:textId="77777777" w:rsidR="00FD57F2" w:rsidRPr="00D46647" w:rsidRDefault="00FD57F2" w:rsidP="00FD57F2">
            <w:pPr>
              <w:rPr>
                <w:sz w:val="16"/>
                <w:szCs w:val="16"/>
              </w:rPr>
            </w:pPr>
            <w:r w:rsidRPr="00D46647">
              <w:rPr>
                <w:sz w:val="16"/>
              </w:rPr>
              <w:t>Appel d’offres et sélection des entreprises</w:t>
            </w:r>
          </w:p>
        </w:tc>
        <w:tc>
          <w:tcPr>
            <w:tcW w:w="450" w:type="dxa"/>
            <w:shd w:val="clear" w:color="auto" w:fill="auto"/>
            <w:noWrap/>
            <w:vAlign w:val="center"/>
            <w:hideMark/>
          </w:tcPr>
          <w:p w14:paraId="329736F2" w14:textId="77777777" w:rsidR="00FD57F2" w:rsidRPr="00D46647" w:rsidRDefault="00FD57F2" w:rsidP="00FD57F2">
            <w:pPr>
              <w:jc w:val="center"/>
              <w:rPr>
                <w:sz w:val="16"/>
                <w:szCs w:val="16"/>
              </w:rPr>
            </w:pPr>
          </w:p>
        </w:tc>
        <w:tc>
          <w:tcPr>
            <w:tcW w:w="450" w:type="dxa"/>
            <w:shd w:val="clear" w:color="auto" w:fill="auto"/>
            <w:noWrap/>
            <w:vAlign w:val="center"/>
            <w:hideMark/>
          </w:tcPr>
          <w:p w14:paraId="6E23AE30" w14:textId="77777777" w:rsidR="00FD57F2" w:rsidRPr="00D46647" w:rsidRDefault="00FD57F2" w:rsidP="00FD57F2">
            <w:pPr>
              <w:jc w:val="center"/>
              <w:rPr>
                <w:sz w:val="16"/>
                <w:szCs w:val="16"/>
              </w:rPr>
            </w:pPr>
          </w:p>
        </w:tc>
        <w:tc>
          <w:tcPr>
            <w:tcW w:w="450" w:type="dxa"/>
            <w:shd w:val="clear" w:color="auto" w:fill="auto"/>
            <w:noWrap/>
            <w:vAlign w:val="center"/>
            <w:hideMark/>
          </w:tcPr>
          <w:p w14:paraId="69DE6431" w14:textId="77777777" w:rsidR="00FD57F2" w:rsidRPr="00D46647" w:rsidRDefault="00FD57F2" w:rsidP="00FD57F2">
            <w:pPr>
              <w:jc w:val="center"/>
              <w:rPr>
                <w:sz w:val="16"/>
                <w:szCs w:val="16"/>
              </w:rPr>
            </w:pPr>
          </w:p>
        </w:tc>
        <w:tc>
          <w:tcPr>
            <w:tcW w:w="449" w:type="dxa"/>
            <w:shd w:val="clear" w:color="auto" w:fill="auto"/>
            <w:noWrap/>
            <w:vAlign w:val="center"/>
            <w:hideMark/>
          </w:tcPr>
          <w:p w14:paraId="13B69647" w14:textId="77777777" w:rsidR="00FD57F2" w:rsidRPr="00D46647" w:rsidRDefault="00FD57F2" w:rsidP="00FD57F2">
            <w:pPr>
              <w:jc w:val="center"/>
              <w:rPr>
                <w:sz w:val="16"/>
                <w:szCs w:val="16"/>
              </w:rPr>
            </w:pPr>
          </w:p>
        </w:tc>
        <w:tc>
          <w:tcPr>
            <w:tcW w:w="449" w:type="dxa"/>
            <w:shd w:val="clear" w:color="auto" w:fill="auto"/>
            <w:noWrap/>
            <w:vAlign w:val="center"/>
            <w:hideMark/>
          </w:tcPr>
          <w:p w14:paraId="5EAFD98A" w14:textId="77777777" w:rsidR="00FD57F2" w:rsidRPr="00D46647" w:rsidRDefault="00FD57F2" w:rsidP="00FD57F2">
            <w:pPr>
              <w:jc w:val="center"/>
              <w:rPr>
                <w:sz w:val="16"/>
                <w:szCs w:val="16"/>
              </w:rPr>
            </w:pPr>
          </w:p>
        </w:tc>
        <w:tc>
          <w:tcPr>
            <w:tcW w:w="449" w:type="dxa"/>
            <w:shd w:val="clear" w:color="auto" w:fill="auto"/>
            <w:noWrap/>
            <w:vAlign w:val="center"/>
            <w:hideMark/>
          </w:tcPr>
          <w:p w14:paraId="1B39625F" w14:textId="77777777" w:rsidR="00FD57F2" w:rsidRPr="00D46647" w:rsidRDefault="00FD57F2" w:rsidP="00FD57F2">
            <w:pPr>
              <w:jc w:val="center"/>
              <w:rPr>
                <w:sz w:val="16"/>
                <w:szCs w:val="16"/>
              </w:rPr>
            </w:pPr>
            <w:r w:rsidRPr="00D46647">
              <w:rPr>
                <w:sz w:val="16"/>
                <w:szCs w:val="16"/>
              </w:rPr>
              <w:t>X</w:t>
            </w:r>
          </w:p>
        </w:tc>
        <w:tc>
          <w:tcPr>
            <w:tcW w:w="449" w:type="dxa"/>
            <w:shd w:val="clear" w:color="auto" w:fill="auto"/>
            <w:noWrap/>
            <w:vAlign w:val="center"/>
            <w:hideMark/>
          </w:tcPr>
          <w:p w14:paraId="037F84D2" w14:textId="77777777" w:rsidR="00FD57F2" w:rsidRPr="00D46647" w:rsidRDefault="00FD57F2" w:rsidP="00FD57F2">
            <w:pPr>
              <w:jc w:val="center"/>
              <w:rPr>
                <w:sz w:val="16"/>
                <w:szCs w:val="16"/>
              </w:rPr>
            </w:pPr>
          </w:p>
        </w:tc>
        <w:tc>
          <w:tcPr>
            <w:tcW w:w="449" w:type="dxa"/>
            <w:shd w:val="clear" w:color="auto" w:fill="auto"/>
            <w:noWrap/>
            <w:vAlign w:val="center"/>
            <w:hideMark/>
          </w:tcPr>
          <w:p w14:paraId="4E172981" w14:textId="77777777" w:rsidR="00FD57F2" w:rsidRPr="00D46647" w:rsidRDefault="00FD57F2" w:rsidP="00FD57F2">
            <w:pPr>
              <w:jc w:val="center"/>
              <w:rPr>
                <w:sz w:val="16"/>
                <w:szCs w:val="16"/>
              </w:rPr>
            </w:pPr>
          </w:p>
        </w:tc>
        <w:tc>
          <w:tcPr>
            <w:tcW w:w="433" w:type="dxa"/>
            <w:vAlign w:val="center"/>
          </w:tcPr>
          <w:p w14:paraId="69A0230F" w14:textId="77777777" w:rsidR="00FD57F2" w:rsidRPr="00D46647" w:rsidRDefault="00FD57F2" w:rsidP="00FD57F2">
            <w:pPr>
              <w:jc w:val="center"/>
              <w:rPr>
                <w:sz w:val="16"/>
                <w:szCs w:val="16"/>
              </w:rPr>
            </w:pPr>
          </w:p>
        </w:tc>
        <w:tc>
          <w:tcPr>
            <w:tcW w:w="433" w:type="dxa"/>
            <w:vAlign w:val="center"/>
          </w:tcPr>
          <w:p w14:paraId="3F6DF78D" w14:textId="77777777" w:rsidR="00FD57F2" w:rsidRPr="00D46647" w:rsidRDefault="00FD57F2" w:rsidP="00FD57F2">
            <w:pPr>
              <w:jc w:val="center"/>
              <w:rPr>
                <w:sz w:val="16"/>
                <w:szCs w:val="16"/>
              </w:rPr>
            </w:pPr>
          </w:p>
        </w:tc>
        <w:tc>
          <w:tcPr>
            <w:tcW w:w="433" w:type="dxa"/>
            <w:vAlign w:val="center"/>
          </w:tcPr>
          <w:p w14:paraId="78BEB4C9" w14:textId="77777777" w:rsidR="00FD57F2" w:rsidRPr="00D46647" w:rsidRDefault="00FD57F2" w:rsidP="00FD57F2">
            <w:pPr>
              <w:jc w:val="center"/>
              <w:rPr>
                <w:sz w:val="16"/>
                <w:szCs w:val="16"/>
              </w:rPr>
            </w:pPr>
          </w:p>
        </w:tc>
        <w:tc>
          <w:tcPr>
            <w:tcW w:w="433" w:type="dxa"/>
            <w:vAlign w:val="center"/>
          </w:tcPr>
          <w:p w14:paraId="472A77AF" w14:textId="77777777" w:rsidR="00FD57F2" w:rsidRPr="00D46647" w:rsidRDefault="00FD57F2" w:rsidP="00FD57F2">
            <w:pPr>
              <w:jc w:val="center"/>
              <w:rPr>
                <w:sz w:val="16"/>
                <w:szCs w:val="16"/>
              </w:rPr>
            </w:pPr>
          </w:p>
        </w:tc>
        <w:tc>
          <w:tcPr>
            <w:tcW w:w="433" w:type="dxa"/>
            <w:shd w:val="clear" w:color="auto" w:fill="C6D9F1"/>
          </w:tcPr>
          <w:p w14:paraId="433E475F" w14:textId="77777777" w:rsidR="00FD57F2" w:rsidRPr="00D46647" w:rsidRDefault="00FD57F2" w:rsidP="00FD57F2">
            <w:pPr>
              <w:jc w:val="center"/>
              <w:rPr>
                <w:sz w:val="16"/>
                <w:szCs w:val="16"/>
              </w:rPr>
            </w:pPr>
          </w:p>
        </w:tc>
        <w:tc>
          <w:tcPr>
            <w:tcW w:w="433" w:type="dxa"/>
            <w:shd w:val="clear" w:color="auto" w:fill="C6D9F1"/>
          </w:tcPr>
          <w:p w14:paraId="4744D656" w14:textId="77777777" w:rsidR="00FD57F2" w:rsidRPr="00D46647" w:rsidRDefault="00FD57F2" w:rsidP="00FD57F2">
            <w:pPr>
              <w:jc w:val="center"/>
              <w:rPr>
                <w:sz w:val="16"/>
                <w:szCs w:val="16"/>
              </w:rPr>
            </w:pPr>
          </w:p>
        </w:tc>
        <w:tc>
          <w:tcPr>
            <w:tcW w:w="433" w:type="dxa"/>
            <w:shd w:val="clear" w:color="auto" w:fill="C6D9F1"/>
          </w:tcPr>
          <w:p w14:paraId="36DF7E61" w14:textId="77777777" w:rsidR="00FD57F2" w:rsidRPr="00D46647" w:rsidRDefault="00FD57F2" w:rsidP="00FD57F2">
            <w:pPr>
              <w:jc w:val="center"/>
              <w:rPr>
                <w:sz w:val="16"/>
                <w:szCs w:val="16"/>
              </w:rPr>
            </w:pPr>
          </w:p>
        </w:tc>
        <w:tc>
          <w:tcPr>
            <w:tcW w:w="433" w:type="dxa"/>
            <w:shd w:val="clear" w:color="auto" w:fill="C6D9F1"/>
          </w:tcPr>
          <w:p w14:paraId="3700209C" w14:textId="77777777" w:rsidR="00FD57F2" w:rsidRPr="00D46647" w:rsidRDefault="00FD57F2" w:rsidP="00FD57F2">
            <w:pPr>
              <w:jc w:val="center"/>
              <w:rPr>
                <w:sz w:val="16"/>
                <w:szCs w:val="16"/>
              </w:rPr>
            </w:pPr>
          </w:p>
        </w:tc>
        <w:tc>
          <w:tcPr>
            <w:tcW w:w="433" w:type="dxa"/>
            <w:shd w:val="clear" w:color="auto" w:fill="C6D9F1"/>
          </w:tcPr>
          <w:p w14:paraId="1AEFE48E" w14:textId="77777777" w:rsidR="00FD57F2" w:rsidRPr="00D46647" w:rsidRDefault="00FD57F2" w:rsidP="00FD57F2">
            <w:pPr>
              <w:jc w:val="center"/>
              <w:rPr>
                <w:sz w:val="16"/>
                <w:szCs w:val="16"/>
              </w:rPr>
            </w:pPr>
          </w:p>
        </w:tc>
        <w:tc>
          <w:tcPr>
            <w:tcW w:w="433" w:type="dxa"/>
            <w:shd w:val="clear" w:color="auto" w:fill="C6D9F1"/>
          </w:tcPr>
          <w:p w14:paraId="001FD3F0" w14:textId="77777777" w:rsidR="00FD57F2" w:rsidRPr="00D46647" w:rsidRDefault="00FD57F2" w:rsidP="00FD57F2">
            <w:pPr>
              <w:jc w:val="center"/>
              <w:rPr>
                <w:sz w:val="16"/>
                <w:szCs w:val="16"/>
              </w:rPr>
            </w:pPr>
          </w:p>
        </w:tc>
      </w:tr>
      <w:tr w:rsidR="00FD57F2" w:rsidRPr="00D46647" w14:paraId="57AF5573" w14:textId="77777777" w:rsidTr="007E3422">
        <w:trPr>
          <w:jc w:val="center"/>
        </w:trPr>
        <w:tc>
          <w:tcPr>
            <w:tcW w:w="1646" w:type="dxa"/>
            <w:shd w:val="clear" w:color="auto" w:fill="auto"/>
            <w:noWrap/>
            <w:vAlign w:val="center"/>
            <w:hideMark/>
          </w:tcPr>
          <w:p w14:paraId="377DD355" w14:textId="77777777" w:rsidR="00FD57F2" w:rsidRPr="00D46647" w:rsidRDefault="00FD57F2" w:rsidP="00FD57F2">
            <w:pPr>
              <w:rPr>
                <w:sz w:val="16"/>
                <w:szCs w:val="16"/>
              </w:rPr>
            </w:pPr>
            <w:r w:rsidRPr="00D46647">
              <w:rPr>
                <w:sz w:val="16"/>
              </w:rPr>
              <w:t>Exécution et mise en route des travaux</w:t>
            </w:r>
          </w:p>
        </w:tc>
        <w:tc>
          <w:tcPr>
            <w:tcW w:w="450" w:type="dxa"/>
            <w:shd w:val="clear" w:color="auto" w:fill="auto"/>
            <w:noWrap/>
            <w:vAlign w:val="center"/>
            <w:hideMark/>
          </w:tcPr>
          <w:p w14:paraId="7121327A" w14:textId="77777777" w:rsidR="00FD57F2" w:rsidRPr="00D46647" w:rsidRDefault="00FD57F2" w:rsidP="00FD57F2">
            <w:pPr>
              <w:jc w:val="center"/>
              <w:rPr>
                <w:sz w:val="16"/>
                <w:szCs w:val="16"/>
              </w:rPr>
            </w:pPr>
          </w:p>
        </w:tc>
        <w:tc>
          <w:tcPr>
            <w:tcW w:w="450" w:type="dxa"/>
            <w:shd w:val="clear" w:color="auto" w:fill="auto"/>
            <w:noWrap/>
            <w:vAlign w:val="center"/>
            <w:hideMark/>
          </w:tcPr>
          <w:p w14:paraId="219A60EB" w14:textId="77777777" w:rsidR="00FD57F2" w:rsidRPr="00D46647" w:rsidRDefault="00FD57F2" w:rsidP="00FD57F2">
            <w:pPr>
              <w:jc w:val="center"/>
              <w:rPr>
                <w:sz w:val="16"/>
                <w:szCs w:val="16"/>
              </w:rPr>
            </w:pPr>
          </w:p>
        </w:tc>
        <w:tc>
          <w:tcPr>
            <w:tcW w:w="450" w:type="dxa"/>
            <w:shd w:val="clear" w:color="auto" w:fill="auto"/>
            <w:noWrap/>
            <w:vAlign w:val="center"/>
            <w:hideMark/>
          </w:tcPr>
          <w:p w14:paraId="3A84CEBE" w14:textId="77777777" w:rsidR="00FD57F2" w:rsidRPr="00D46647" w:rsidRDefault="00FD57F2" w:rsidP="00FD57F2">
            <w:pPr>
              <w:jc w:val="center"/>
              <w:rPr>
                <w:sz w:val="16"/>
                <w:szCs w:val="16"/>
              </w:rPr>
            </w:pPr>
          </w:p>
        </w:tc>
        <w:tc>
          <w:tcPr>
            <w:tcW w:w="449" w:type="dxa"/>
            <w:shd w:val="clear" w:color="auto" w:fill="auto"/>
            <w:noWrap/>
            <w:vAlign w:val="center"/>
            <w:hideMark/>
          </w:tcPr>
          <w:p w14:paraId="13FC31C8" w14:textId="77777777" w:rsidR="00FD57F2" w:rsidRPr="00D46647" w:rsidRDefault="00FD57F2" w:rsidP="00FD57F2">
            <w:pPr>
              <w:jc w:val="center"/>
              <w:rPr>
                <w:sz w:val="16"/>
                <w:szCs w:val="16"/>
              </w:rPr>
            </w:pPr>
          </w:p>
        </w:tc>
        <w:tc>
          <w:tcPr>
            <w:tcW w:w="449" w:type="dxa"/>
            <w:shd w:val="clear" w:color="auto" w:fill="auto"/>
            <w:noWrap/>
            <w:vAlign w:val="center"/>
            <w:hideMark/>
          </w:tcPr>
          <w:p w14:paraId="4D0E8891" w14:textId="77777777" w:rsidR="00FD57F2" w:rsidRPr="00D46647" w:rsidRDefault="00FD57F2" w:rsidP="00FD57F2">
            <w:pPr>
              <w:jc w:val="center"/>
              <w:rPr>
                <w:sz w:val="16"/>
                <w:szCs w:val="16"/>
              </w:rPr>
            </w:pPr>
          </w:p>
        </w:tc>
        <w:tc>
          <w:tcPr>
            <w:tcW w:w="449" w:type="dxa"/>
            <w:shd w:val="clear" w:color="auto" w:fill="auto"/>
            <w:noWrap/>
            <w:vAlign w:val="center"/>
            <w:hideMark/>
          </w:tcPr>
          <w:p w14:paraId="419A0462" w14:textId="77777777" w:rsidR="00FD57F2" w:rsidRPr="00D46647" w:rsidRDefault="00FD57F2" w:rsidP="00FD57F2">
            <w:pPr>
              <w:jc w:val="center"/>
              <w:rPr>
                <w:sz w:val="16"/>
                <w:szCs w:val="16"/>
              </w:rPr>
            </w:pPr>
          </w:p>
        </w:tc>
        <w:tc>
          <w:tcPr>
            <w:tcW w:w="449" w:type="dxa"/>
            <w:shd w:val="clear" w:color="auto" w:fill="auto"/>
            <w:noWrap/>
            <w:vAlign w:val="center"/>
            <w:hideMark/>
          </w:tcPr>
          <w:p w14:paraId="4CA6F80C" w14:textId="77777777" w:rsidR="00FD57F2" w:rsidRPr="00D46647" w:rsidRDefault="00FD57F2" w:rsidP="00FD57F2">
            <w:pPr>
              <w:jc w:val="center"/>
              <w:rPr>
                <w:sz w:val="16"/>
                <w:szCs w:val="16"/>
              </w:rPr>
            </w:pPr>
            <w:r w:rsidRPr="00D46647">
              <w:rPr>
                <w:sz w:val="16"/>
                <w:szCs w:val="16"/>
              </w:rPr>
              <w:t>X</w:t>
            </w:r>
          </w:p>
        </w:tc>
        <w:tc>
          <w:tcPr>
            <w:tcW w:w="449" w:type="dxa"/>
            <w:shd w:val="clear" w:color="auto" w:fill="auto"/>
            <w:noWrap/>
            <w:vAlign w:val="center"/>
            <w:hideMark/>
          </w:tcPr>
          <w:p w14:paraId="3C86B309" w14:textId="77777777" w:rsidR="00FD57F2" w:rsidRPr="00D46647" w:rsidRDefault="00FD57F2" w:rsidP="00FD57F2">
            <w:pPr>
              <w:jc w:val="center"/>
              <w:rPr>
                <w:sz w:val="16"/>
                <w:szCs w:val="16"/>
              </w:rPr>
            </w:pPr>
            <w:r w:rsidRPr="00D46647">
              <w:rPr>
                <w:sz w:val="16"/>
                <w:szCs w:val="16"/>
              </w:rPr>
              <w:t>X</w:t>
            </w:r>
          </w:p>
        </w:tc>
        <w:tc>
          <w:tcPr>
            <w:tcW w:w="433" w:type="dxa"/>
            <w:vAlign w:val="center"/>
          </w:tcPr>
          <w:p w14:paraId="168F2F79" w14:textId="77777777" w:rsidR="00FD57F2" w:rsidRPr="00D46647" w:rsidRDefault="00FD57F2" w:rsidP="00FD57F2">
            <w:pPr>
              <w:jc w:val="center"/>
              <w:rPr>
                <w:sz w:val="16"/>
                <w:szCs w:val="16"/>
              </w:rPr>
            </w:pPr>
            <w:r w:rsidRPr="00D46647">
              <w:rPr>
                <w:sz w:val="16"/>
                <w:szCs w:val="16"/>
              </w:rPr>
              <w:t>X</w:t>
            </w:r>
          </w:p>
        </w:tc>
        <w:tc>
          <w:tcPr>
            <w:tcW w:w="433" w:type="dxa"/>
            <w:vAlign w:val="center"/>
          </w:tcPr>
          <w:p w14:paraId="0E1CE836" w14:textId="77777777" w:rsidR="00FD57F2" w:rsidRPr="00D46647" w:rsidRDefault="00FD57F2" w:rsidP="00FD57F2">
            <w:pPr>
              <w:jc w:val="center"/>
              <w:rPr>
                <w:sz w:val="16"/>
                <w:szCs w:val="16"/>
              </w:rPr>
            </w:pPr>
            <w:r w:rsidRPr="00D46647">
              <w:rPr>
                <w:sz w:val="16"/>
                <w:szCs w:val="16"/>
              </w:rPr>
              <w:t>X</w:t>
            </w:r>
          </w:p>
        </w:tc>
        <w:tc>
          <w:tcPr>
            <w:tcW w:w="433" w:type="dxa"/>
            <w:vAlign w:val="center"/>
          </w:tcPr>
          <w:p w14:paraId="06051C63" w14:textId="77777777" w:rsidR="00FD57F2" w:rsidRPr="00D46647" w:rsidRDefault="00FD57F2" w:rsidP="00FD57F2">
            <w:pPr>
              <w:jc w:val="center"/>
              <w:rPr>
                <w:sz w:val="16"/>
                <w:szCs w:val="16"/>
              </w:rPr>
            </w:pPr>
          </w:p>
        </w:tc>
        <w:tc>
          <w:tcPr>
            <w:tcW w:w="433" w:type="dxa"/>
            <w:vAlign w:val="center"/>
          </w:tcPr>
          <w:p w14:paraId="0D1EC15C" w14:textId="77777777" w:rsidR="00FD57F2" w:rsidRPr="00D46647" w:rsidRDefault="00FD57F2" w:rsidP="00FD57F2">
            <w:pPr>
              <w:jc w:val="center"/>
              <w:rPr>
                <w:sz w:val="16"/>
                <w:szCs w:val="16"/>
              </w:rPr>
            </w:pPr>
          </w:p>
        </w:tc>
        <w:tc>
          <w:tcPr>
            <w:tcW w:w="433" w:type="dxa"/>
            <w:shd w:val="clear" w:color="auto" w:fill="C6D9F1"/>
          </w:tcPr>
          <w:p w14:paraId="6FEC8D28" w14:textId="77777777" w:rsidR="00FD57F2" w:rsidRPr="00D46647" w:rsidRDefault="00FD57F2" w:rsidP="00FD57F2">
            <w:pPr>
              <w:jc w:val="center"/>
              <w:rPr>
                <w:sz w:val="16"/>
                <w:szCs w:val="16"/>
              </w:rPr>
            </w:pPr>
          </w:p>
        </w:tc>
        <w:tc>
          <w:tcPr>
            <w:tcW w:w="433" w:type="dxa"/>
            <w:shd w:val="clear" w:color="auto" w:fill="C6D9F1"/>
          </w:tcPr>
          <w:p w14:paraId="60F03436" w14:textId="77777777" w:rsidR="00FD57F2" w:rsidRPr="00D46647" w:rsidRDefault="00FD57F2" w:rsidP="00FD57F2">
            <w:pPr>
              <w:jc w:val="center"/>
              <w:rPr>
                <w:sz w:val="16"/>
                <w:szCs w:val="16"/>
              </w:rPr>
            </w:pPr>
          </w:p>
        </w:tc>
        <w:tc>
          <w:tcPr>
            <w:tcW w:w="433" w:type="dxa"/>
            <w:shd w:val="clear" w:color="auto" w:fill="C6D9F1"/>
          </w:tcPr>
          <w:p w14:paraId="7A0FDF0B" w14:textId="77777777" w:rsidR="00FD57F2" w:rsidRPr="00D46647" w:rsidRDefault="00FD57F2" w:rsidP="00FD57F2">
            <w:pPr>
              <w:jc w:val="center"/>
              <w:rPr>
                <w:sz w:val="16"/>
                <w:szCs w:val="16"/>
              </w:rPr>
            </w:pPr>
          </w:p>
        </w:tc>
        <w:tc>
          <w:tcPr>
            <w:tcW w:w="433" w:type="dxa"/>
            <w:shd w:val="clear" w:color="auto" w:fill="C6D9F1"/>
          </w:tcPr>
          <w:p w14:paraId="4DECAA9F" w14:textId="77777777" w:rsidR="00FD57F2" w:rsidRPr="00D46647" w:rsidRDefault="00FD57F2" w:rsidP="00FD57F2">
            <w:pPr>
              <w:jc w:val="center"/>
              <w:rPr>
                <w:sz w:val="16"/>
                <w:szCs w:val="16"/>
              </w:rPr>
            </w:pPr>
          </w:p>
        </w:tc>
        <w:tc>
          <w:tcPr>
            <w:tcW w:w="433" w:type="dxa"/>
            <w:shd w:val="clear" w:color="auto" w:fill="C6D9F1"/>
          </w:tcPr>
          <w:p w14:paraId="0B5A78BF" w14:textId="77777777" w:rsidR="00FD57F2" w:rsidRPr="00D46647" w:rsidRDefault="00FD57F2" w:rsidP="00FD57F2">
            <w:pPr>
              <w:jc w:val="center"/>
              <w:rPr>
                <w:sz w:val="16"/>
                <w:szCs w:val="16"/>
              </w:rPr>
            </w:pPr>
          </w:p>
        </w:tc>
        <w:tc>
          <w:tcPr>
            <w:tcW w:w="433" w:type="dxa"/>
            <w:shd w:val="clear" w:color="auto" w:fill="C6D9F1"/>
          </w:tcPr>
          <w:p w14:paraId="28D6E8D7" w14:textId="77777777" w:rsidR="00FD57F2" w:rsidRPr="00D46647" w:rsidRDefault="00FD57F2" w:rsidP="00FD57F2">
            <w:pPr>
              <w:jc w:val="center"/>
              <w:rPr>
                <w:sz w:val="16"/>
                <w:szCs w:val="16"/>
              </w:rPr>
            </w:pPr>
          </w:p>
        </w:tc>
      </w:tr>
      <w:tr w:rsidR="00FD57F2" w:rsidRPr="00D46647" w14:paraId="3D50FE03" w14:textId="77777777" w:rsidTr="007E3422">
        <w:trPr>
          <w:jc w:val="center"/>
        </w:trPr>
        <w:tc>
          <w:tcPr>
            <w:tcW w:w="1646" w:type="dxa"/>
            <w:shd w:val="clear" w:color="auto" w:fill="auto"/>
            <w:noWrap/>
            <w:vAlign w:val="center"/>
          </w:tcPr>
          <w:p w14:paraId="7C6DF258" w14:textId="77777777" w:rsidR="00FD57F2" w:rsidRPr="00D46647" w:rsidRDefault="00FD57F2" w:rsidP="00FD57F2">
            <w:pPr>
              <w:keepNext/>
              <w:keepLines/>
              <w:widowControl w:val="0"/>
              <w:spacing w:before="40" w:after="40"/>
              <w:rPr>
                <w:color w:val="FF0000"/>
                <w:sz w:val="16"/>
                <w:highlight w:val="yellow"/>
              </w:rPr>
            </w:pPr>
            <w:r w:rsidRPr="00D46647">
              <w:rPr>
                <w:sz w:val="16"/>
                <w:szCs w:val="16"/>
              </w:rPr>
              <w:t>Clôture du projet prévue pour fin </w:t>
            </w:r>
            <w:r w:rsidRPr="00D46647">
              <w:rPr>
                <w:bCs/>
                <w:sz w:val="16"/>
                <w:szCs w:val="16"/>
              </w:rPr>
              <w:t>2016.</w:t>
            </w:r>
          </w:p>
        </w:tc>
        <w:tc>
          <w:tcPr>
            <w:tcW w:w="450" w:type="dxa"/>
            <w:shd w:val="clear" w:color="auto" w:fill="auto"/>
            <w:noWrap/>
            <w:vAlign w:val="center"/>
          </w:tcPr>
          <w:p w14:paraId="20F70472" w14:textId="77777777" w:rsidR="00FD57F2" w:rsidRPr="00D46647" w:rsidRDefault="00FD57F2" w:rsidP="00FD57F2">
            <w:pPr>
              <w:keepNext/>
              <w:keepLines/>
              <w:widowControl w:val="0"/>
              <w:spacing w:before="40" w:after="40"/>
              <w:jc w:val="center"/>
              <w:rPr>
                <w:sz w:val="16"/>
                <w:szCs w:val="16"/>
              </w:rPr>
            </w:pPr>
          </w:p>
        </w:tc>
        <w:tc>
          <w:tcPr>
            <w:tcW w:w="450" w:type="dxa"/>
            <w:shd w:val="clear" w:color="auto" w:fill="auto"/>
            <w:noWrap/>
            <w:vAlign w:val="center"/>
          </w:tcPr>
          <w:p w14:paraId="3F72413C" w14:textId="77777777" w:rsidR="00FD57F2" w:rsidRPr="00D46647" w:rsidRDefault="00FD57F2" w:rsidP="00FD57F2">
            <w:pPr>
              <w:keepNext/>
              <w:keepLines/>
              <w:widowControl w:val="0"/>
              <w:spacing w:before="40" w:after="40"/>
              <w:jc w:val="center"/>
              <w:rPr>
                <w:sz w:val="16"/>
                <w:szCs w:val="16"/>
              </w:rPr>
            </w:pPr>
          </w:p>
        </w:tc>
        <w:tc>
          <w:tcPr>
            <w:tcW w:w="450" w:type="dxa"/>
            <w:shd w:val="clear" w:color="auto" w:fill="auto"/>
            <w:noWrap/>
            <w:vAlign w:val="center"/>
          </w:tcPr>
          <w:p w14:paraId="1D3D8100" w14:textId="77777777" w:rsidR="00FD57F2" w:rsidRPr="00D46647" w:rsidRDefault="00FD57F2" w:rsidP="00FD57F2">
            <w:pPr>
              <w:keepNext/>
              <w:keepLines/>
              <w:widowControl w:val="0"/>
              <w:spacing w:before="40" w:after="40"/>
              <w:jc w:val="center"/>
              <w:rPr>
                <w:sz w:val="16"/>
                <w:szCs w:val="16"/>
              </w:rPr>
            </w:pPr>
          </w:p>
        </w:tc>
        <w:tc>
          <w:tcPr>
            <w:tcW w:w="449" w:type="dxa"/>
            <w:shd w:val="clear" w:color="auto" w:fill="auto"/>
            <w:noWrap/>
            <w:vAlign w:val="center"/>
          </w:tcPr>
          <w:p w14:paraId="5B8AAD8C" w14:textId="77777777" w:rsidR="00FD57F2" w:rsidRPr="00D46647" w:rsidRDefault="00FD57F2" w:rsidP="00FD57F2">
            <w:pPr>
              <w:keepNext/>
              <w:keepLines/>
              <w:widowControl w:val="0"/>
              <w:spacing w:before="40" w:after="40"/>
              <w:jc w:val="center"/>
              <w:rPr>
                <w:sz w:val="16"/>
                <w:szCs w:val="16"/>
              </w:rPr>
            </w:pPr>
          </w:p>
        </w:tc>
        <w:tc>
          <w:tcPr>
            <w:tcW w:w="449" w:type="dxa"/>
            <w:shd w:val="clear" w:color="auto" w:fill="auto"/>
            <w:noWrap/>
            <w:vAlign w:val="center"/>
          </w:tcPr>
          <w:p w14:paraId="7230B7D0" w14:textId="77777777" w:rsidR="00FD57F2" w:rsidRPr="00D46647" w:rsidRDefault="00FD57F2" w:rsidP="00FD57F2">
            <w:pPr>
              <w:keepNext/>
              <w:keepLines/>
              <w:widowControl w:val="0"/>
              <w:spacing w:before="40" w:after="40"/>
              <w:jc w:val="center"/>
              <w:rPr>
                <w:sz w:val="16"/>
                <w:szCs w:val="16"/>
              </w:rPr>
            </w:pPr>
          </w:p>
        </w:tc>
        <w:tc>
          <w:tcPr>
            <w:tcW w:w="449" w:type="dxa"/>
            <w:shd w:val="clear" w:color="auto" w:fill="auto"/>
            <w:noWrap/>
            <w:vAlign w:val="center"/>
          </w:tcPr>
          <w:p w14:paraId="52088C3D" w14:textId="77777777" w:rsidR="00FD57F2" w:rsidRPr="00D46647" w:rsidRDefault="00FD57F2" w:rsidP="00FD57F2">
            <w:pPr>
              <w:keepNext/>
              <w:keepLines/>
              <w:widowControl w:val="0"/>
              <w:spacing w:before="40" w:after="40"/>
              <w:jc w:val="center"/>
              <w:rPr>
                <w:sz w:val="16"/>
                <w:szCs w:val="16"/>
              </w:rPr>
            </w:pPr>
          </w:p>
        </w:tc>
        <w:tc>
          <w:tcPr>
            <w:tcW w:w="449" w:type="dxa"/>
            <w:shd w:val="clear" w:color="auto" w:fill="auto"/>
            <w:noWrap/>
            <w:vAlign w:val="center"/>
          </w:tcPr>
          <w:p w14:paraId="2CF8ECBC" w14:textId="77777777" w:rsidR="00FD57F2" w:rsidRPr="00D46647" w:rsidRDefault="00FD57F2" w:rsidP="00FD57F2">
            <w:pPr>
              <w:keepNext/>
              <w:keepLines/>
              <w:widowControl w:val="0"/>
              <w:spacing w:before="40" w:after="40"/>
              <w:jc w:val="center"/>
              <w:rPr>
                <w:sz w:val="16"/>
                <w:szCs w:val="16"/>
              </w:rPr>
            </w:pPr>
          </w:p>
        </w:tc>
        <w:tc>
          <w:tcPr>
            <w:tcW w:w="449" w:type="dxa"/>
            <w:shd w:val="clear" w:color="auto" w:fill="auto"/>
            <w:noWrap/>
            <w:vAlign w:val="center"/>
          </w:tcPr>
          <w:p w14:paraId="649EA357" w14:textId="77777777" w:rsidR="00FD57F2" w:rsidRPr="00D46647" w:rsidRDefault="00FD57F2" w:rsidP="00FD57F2">
            <w:pPr>
              <w:keepNext/>
              <w:keepLines/>
              <w:widowControl w:val="0"/>
              <w:spacing w:before="40" w:after="40"/>
              <w:jc w:val="center"/>
              <w:rPr>
                <w:sz w:val="16"/>
                <w:szCs w:val="16"/>
              </w:rPr>
            </w:pPr>
          </w:p>
        </w:tc>
        <w:tc>
          <w:tcPr>
            <w:tcW w:w="433" w:type="dxa"/>
            <w:vAlign w:val="center"/>
          </w:tcPr>
          <w:p w14:paraId="34ED1F8A" w14:textId="77777777" w:rsidR="00FD57F2" w:rsidRPr="00D46647" w:rsidRDefault="00FD57F2" w:rsidP="00FD57F2">
            <w:pPr>
              <w:keepNext/>
              <w:keepLines/>
              <w:widowControl w:val="0"/>
              <w:spacing w:before="40" w:after="40"/>
              <w:jc w:val="center"/>
              <w:rPr>
                <w:sz w:val="16"/>
                <w:szCs w:val="16"/>
              </w:rPr>
            </w:pPr>
          </w:p>
        </w:tc>
        <w:tc>
          <w:tcPr>
            <w:tcW w:w="433" w:type="dxa"/>
            <w:vAlign w:val="center"/>
          </w:tcPr>
          <w:p w14:paraId="07DFD04C" w14:textId="77777777" w:rsidR="00FD57F2" w:rsidRPr="00D46647" w:rsidRDefault="00FD57F2" w:rsidP="00FD57F2">
            <w:pPr>
              <w:keepNext/>
              <w:keepLines/>
              <w:widowControl w:val="0"/>
              <w:spacing w:before="40" w:after="40"/>
              <w:jc w:val="center"/>
              <w:rPr>
                <w:sz w:val="16"/>
                <w:szCs w:val="16"/>
              </w:rPr>
            </w:pPr>
          </w:p>
        </w:tc>
        <w:tc>
          <w:tcPr>
            <w:tcW w:w="433" w:type="dxa"/>
            <w:vAlign w:val="center"/>
          </w:tcPr>
          <w:p w14:paraId="30469AF3" w14:textId="77777777" w:rsidR="00FD57F2" w:rsidRPr="00D46647" w:rsidRDefault="00FD57F2" w:rsidP="00FD57F2">
            <w:pPr>
              <w:keepNext/>
              <w:keepLines/>
              <w:widowControl w:val="0"/>
              <w:spacing w:before="40" w:after="40"/>
              <w:jc w:val="center"/>
              <w:rPr>
                <w:sz w:val="16"/>
                <w:szCs w:val="16"/>
              </w:rPr>
            </w:pPr>
          </w:p>
        </w:tc>
        <w:tc>
          <w:tcPr>
            <w:tcW w:w="433" w:type="dxa"/>
            <w:vAlign w:val="center"/>
          </w:tcPr>
          <w:p w14:paraId="1FB31D9E" w14:textId="77777777" w:rsidR="00FD57F2" w:rsidRPr="00D46647" w:rsidRDefault="00FD57F2" w:rsidP="00FD57F2">
            <w:pPr>
              <w:keepNext/>
              <w:keepLines/>
              <w:widowControl w:val="0"/>
              <w:spacing w:before="40" w:after="40"/>
              <w:jc w:val="center"/>
              <w:rPr>
                <w:sz w:val="16"/>
              </w:rPr>
            </w:pPr>
            <w:r w:rsidRPr="00D46647">
              <w:rPr>
                <w:sz w:val="16"/>
                <w:szCs w:val="16"/>
              </w:rPr>
              <w:t>X</w:t>
            </w:r>
          </w:p>
        </w:tc>
        <w:tc>
          <w:tcPr>
            <w:tcW w:w="433" w:type="dxa"/>
            <w:shd w:val="clear" w:color="auto" w:fill="C6D9F1"/>
          </w:tcPr>
          <w:p w14:paraId="3583F8DC" w14:textId="77777777" w:rsidR="00FD57F2" w:rsidRPr="00D46647" w:rsidRDefault="00FD57F2" w:rsidP="00FD57F2">
            <w:pPr>
              <w:jc w:val="center"/>
              <w:rPr>
                <w:sz w:val="16"/>
                <w:szCs w:val="16"/>
              </w:rPr>
            </w:pPr>
          </w:p>
        </w:tc>
        <w:tc>
          <w:tcPr>
            <w:tcW w:w="433" w:type="dxa"/>
            <w:shd w:val="clear" w:color="auto" w:fill="C6D9F1"/>
          </w:tcPr>
          <w:p w14:paraId="22EEEE2F" w14:textId="77777777" w:rsidR="00FD57F2" w:rsidRPr="00D46647" w:rsidRDefault="00FD57F2" w:rsidP="00FD57F2">
            <w:pPr>
              <w:jc w:val="center"/>
              <w:rPr>
                <w:sz w:val="16"/>
                <w:szCs w:val="16"/>
              </w:rPr>
            </w:pPr>
          </w:p>
        </w:tc>
        <w:tc>
          <w:tcPr>
            <w:tcW w:w="433" w:type="dxa"/>
            <w:shd w:val="clear" w:color="auto" w:fill="C6D9F1"/>
          </w:tcPr>
          <w:p w14:paraId="433447E2" w14:textId="77777777" w:rsidR="00FD57F2" w:rsidRPr="00D46647" w:rsidRDefault="00FD57F2" w:rsidP="00FD57F2">
            <w:pPr>
              <w:jc w:val="center"/>
              <w:rPr>
                <w:sz w:val="16"/>
                <w:szCs w:val="16"/>
              </w:rPr>
            </w:pPr>
          </w:p>
        </w:tc>
        <w:tc>
          <w:tcPr>
            <w:tcW w:w="433" w:type="dxa"/>
            <w:shd w:val="clear" w:color="auto" w:fill="C6D9F1"/>
          </w:tcPr>
          <w:p w14:paraId="47B67587" w14:textId="77777777" w:rsidR="00FD57F2" w:rsidRPr="00D46647" w:rsidRDefault="00FD57F2" w:rsidP="00FD57F2">
            <w:pPr>
              <w:jc w:val="center"/>
              <w:rPr>
                <w:sz w:val="16"/>
                <w:szCs w:val="16"/>
              </w:rPr>
            </w:pPr>
          </w:p>
        </w:tc>
        <w:tc>
          <w:tcPr>
            <w:tcW w:w="433" w:type="dxa"/>
            <w:shd w:val="clear" w:color="auto" w:fill="C6D9F1"/>
          </w:tcPr>
          <w:p w14:paraId="3DC7A05F" w14:textId="77777777" w:rsidR="00FD57F2" w:rsidRPr="00D46647" w:rsidRDefault="00FD57F2" w:rsidP="00FD57F2">
            <w:pPr>
              <w:jc w:val="center"/>
              <w:rPr>
                <w:sz w:val="16"/>
                <w:szCs w:val="16"/>
              </w:rPr>
            </w:pPr>
          </w:p>
        </w:tc>
        <w:tc>
          <w:tcPr>
            <w:tcW w:w="433" w:type="dxa"/>
            <w:shd w:val="clear" w:color="auto" w:fill="C6D9F1"/>
          </w:tcPr>
          <w:p w14:paraId="2E603EAB" w14:textId="77777777" w:rsidR="00FD57F2" w:rsidRPr="00D46647" w:rsidRDefault="00FD57F2" w:rsidP="00FD57F2">
            <w:pPr>
              <w:jc w:val="center"/>
              <w:rPr>
                <w:sz w:val="16"/>
                <w:szCs w:val="16"/>
              </w:rPr>
            </w:pPr>
          </w:p>
        </w:tc>
      </w:tr>
    </w:tbl>
    <w:p w14:paraId="672D9566" w14:textId="77777777" w:rsidR="00FD57F2" w:rsidRPr="00D46647" w:rsidRDefault="00FD57F2" w:rsidP="00FD57F2">
      <w:pPr>
        <w:autoSpaceDE w:val="0"/>
        <w:autoSpaceDN w:val="0"/>
        <w:jc w:val="both"/>
      </w:pPr>
    </w:p>
    <w:p w14:paraId="5AC961DD" w14:textId="77777777" w:rsidR="00FD57F2" w:rsidRPr="00D46647" w:rsidRDefault="00FD57F2" w:rsidP="00FD57F2"/>
    <w:p w14:paraId="7ABC4621" w14:textId="77777777" w:rsidR="00FD57F2" w:rsidRPr="00D46647" w:rsidRDefault="00FD57F2" w:rsidP="00FD57F2">
      <w:pPr>
        <w:rPr>
          <w:b/>
        </w:rPr>
      </w:pPr>
      <w:r w:rsidRPr="00D46647">
        <w:br w:type="page"/>
      </w:r>
    </w:p>
    <w:p w14:paraId="23DB60F1" w14:textId="77777777" w:rsidR="00FD57F2" w:rsidRDefault="00FD57F2" w:rsidP="00FD57F2">
      <w:pPr>
        <w:rPr>
          <w:b/>
        </w:rPr>
      </w:pPr>
      <w:bookmarkStart w:id="116" w:name="_Toc422210529"/>
      <w:bookmarkStart w:id="117" w:name="_Toc423352914"/>
      <w:bookmarkStart w:id="118" w:name="_Toc455394227"/>
      <w:r w:rsidRPr="00D46647">
        <w:rPr>
          <w:b/>
        </w:rPr>
        <w:t>PROJETS LIÉS À LA SÛRETÉ ET À LA SÉCURITÉ</w:t>
      </w:r>
    </w:p>
    <w:p w14:paraId="312724C0" w14:textId="77777777" w:rsidR="005623CF" w:rsidRPr="007E3422" w:rsidRDefault="005623CF" w:rsidP="00FD57F2">
      <w:pPr>
        <w:rPr>
          <w:b/>
          <w:sz w:val="20"/>
        </w:rPr>
      </w:pPr>
    </w:p>
    <w:p w14:paraId="7B69431F" w14:textId="5A8811FE" w:rsidR="00FD57F2" w:rsidRPr="007E3422" w:rsidRDefault="005623CF" w:rsidP="005623CF">
      <w:pPr>
        <w:pStyle w:val="Heading5"/>
      </w:pPr>
      <w:bookmarkStart w:id="119" w:name="_Toc482774638"/>
      <w:r w:rsidRPr="007E3422">
        <w:t>Projet 7</w:t>
      </w:r>
      <w:r w:rsidRPr="007E3422">
        <w:tab/>
        <w:t>Mesures de sécurité et de protection anti-incendie</w:t>
      </w:r>
      <w:bookmarkEnd w:id="116"/>
      <w:bookmarkEnd w:id="117"/>
      <w:bookmarkEnd w:id="118"/>
      <w:bookmarkEnd w:id="119"/>
    </w:p>
    <w:p w14:paraId="1040F07B" w14:textId="77777777" w:rsidR="00FD57F2" w:rsidRPr="007E3422" w:rsidRDefault="00FD57F2" w:rsidP="00FD57F2">
      <w:pPr>
        <w:rPr>
          <w:b/>
          <w:sz w:val="20"/>
        </w:rPr>
      </w:pPr>
    </w:p>
    <w:p w14:paraId="265647AC" w14:textId="77777777" w:rsidR="00FD57F2" w:rsidRPr="007E3422" w:rsidRDefault="00FD57F2" w:rsidP="00FD57F2">
      <w:pPr>
        <w:rPr>
          <w:b/>
          <w:sz w:val="20"/>
        </w:rPr>
      </w:pPr>
      <w:r w:rsidRPr="007E3422">
        <w:rPr>
          <w:b/>
          <w:sz w:val="20"/>
        </w:rPr>
        <w:t xml:space="preserve">Chef de projet </w:t>
      </w:r>
      <w:r w:rsidRPr="007E3422">
        <w:rPr>
          <w:b/>
          <w:sz w:val="20"/>
        </w:rPr>
        <w:tab/>
        <w:t>M. M. </w:t>
      </w:r>
      <w:proofErr w:type="spellStart"/>
      <w:r w:rsidRPr="007E3422">
        <w:rPr>
          <w:b/>
          <w:sz w:val="20"/>
        </w:rPr>
        <w:t>Gibb</w:t>
      </w:r>
      <w:proofErr w:type="spellEnd"/>
    </w:p>
    <w:p w14:paraId="570852AC" w14:textId="77777777" w:rsidR="00FD57F2" w:rsidRPr="007E3422" w:rsidRDefault="00FD57F2" w:rsidP="00FD57F2">
      <w:pPr>
        <w:rPr>
          <w:sz w:val="20"/>
        </w:rPr>
      </w:pPr>
    </w:p>
    <w:p w14:paraId="75586B5F" w14:textId="77777777" w:rsidR="00FD57F2" w:rsidRPr="007E3422" w:rsidRDefault="00FD57F2" w:rsidP="00FD57F2">
      <w:pPr>
        <w:rPr>
          <w:bCs/>
          <w:sz w:val="20"/>
        </w:rPr>
      </w:pPr>
    </w:p>
    <w:p w14:paraId="5C1C0203" w14:textId="77777777" w:rsidR="00FD57F2" w:rsidRPr="007E3422" w:rsidRDefault="00FD57F2" w:rsidP="00FD57F2">
      <w:pPr>
        <w:rPr>
          <w:bCs/>
          <w:sz w:val="20"/>
        </w:rPr>
      </w:pPr>
      <w:r w:rsidRPr="007E3422">
        <w:rPr>
          <w:sz w:val="20"/>
        </w:rPr>
        <w:t>RÉSULTATS ESCOMPTÉS</w:t>
      </w:r>
    </w:p>
    <w:p w14:paraId="39861983" w14:textId="77777777" w:rsidR="00FD57F2" w:rsidRPr="007E3422" w:rsidRDefault="00FD57F2" w:rsidP="00FD57F2">
      <w:pPr>
        <w:rPr>
          <w:bCs/>
          <w:sz w:val="20"/>
        </w:rPr>
      </w:pPr>
    </w:p>
    <w:p w14:paraId="688D8A0F" w14:textId="77777777" w:rsidR="00FD57F2" w:rsidRPr="007E3422" w:rsidRDefault="00FD57F2" w:rsidP="00FD57F2">
      <w:pPr>
        <w:rPr>
          <w:bCs/>
          <w:i/>
          <w:sz w:val="20"/>
        </w:rPr>
      </w:pPr>
      <w:r w:rsidRPr="007E3422">
        <w:rPr>
          <w:i/>
          <w:sz w:val="20"/>
        </w:rPr>
        <w:t>IX.4 Une Organisation écologiquement et socialement responsable assurant la sûreté et la sécurité du personnel, des délégués, des visiteurs, de l’information et des biens</w:t>
      </w:r>
    </w:p>
    <w:p w14:paraId="18F648A1" w14:textId="77777777" w:rsidR="00FD57F2" w:rsidRPr="007E3422" w:rsidRDefault="00FD57F2" w:rsidP="00FD57F2">
      <w:pPr>
        <w:rPr>
          <w:bCs/>
          <w:sz w:val="20"/>
        </w:rPr>
      </w:pPr>
    </w:p>
    <w:p w14:paraId="3B4D0089" w14:textId="77777777" w:rsidR="00FD57F2" w:rsidRPr="007E3422" w:rsidRDefault="00FD57F2" w:rsidP="00FD57F2">
      <w:pPr>
        <w:rPr>
          <w:bCs/>
          <w:sz w:val="20"/>
        </w:rPr>
      </w:pPr>
    </w:p>
    <w:p w14:paraId="141A5C84" w14:textId="77777777" w:rsidR="00FD57F2" w:rsidRPr="007E3422" w:rsidRDefault="00FD57F2" w:rsidP="00FD57F2">
      <w:pPr>
        <w:rPr>
          <w:bCs/>
          <w:sz w:val="20"/>
        </w:rPr>
      </w:pPr>
      <w:r w:rsidRPr="007E3422">
        <w:rPr>
          <w:sz w:val="20"/>
        </w:rPr>
        <w:t>OBJECTIFS, PORTÉE ET APPROCHE – GÉNÉRALITÉS</w:t>
      </w:r>
    </w:p>
    <w:p w14:paraId="525BF823" w14:textId="77777777" w:rsidR="00FD57F2" w:rsidRPr="007E3422" w:rsidRDefault="00FD57F2" w:rsidP="00FD57F2">
      <w:pPr>
        <w:rPr>
          <w:bCs/>
          <w:sz w:val="20"/>
        </w:rPr>
      </w:pPr>
    </w:p>
    <w:p w14:paraId="2D4B3BCB" w14:textId="77777777" w:rsidR="00FD57F2" w:rsidRPr="007E3422" w:rsidRDefault="00FD57F2" w:rsidP="002C58CD">
      <w:pPr>
        <w:pStyle w:val="ListParagraph"/>
        <w:numPr>
          <w:ilvl w:val="0"/>
          <w:numId w:val="72"/>
        </w:numPr>
        <w:tabs>
          <w:tab w:val="left" w:pos="567"/>
        </w:tabs>
        <w:ind w:left="0" w:firstLine="0"/>
        <w:contextualSpacing w:val="0"/>
        <w:jc w:val="both"/>
        <w:rPr>
          <w:rFonts w:ascii="Arial" w:hAnsi="Arial" w:cs="Arial"/>
          <w:sz w:val="20"/>
          <w:szCs w:val="20"/>
        </w:rPr>
      </w:pPr>
      <w:r w:rsidRPr="007E3422">
        <w:rPr>
          <w:rFonts w:ascii="Arial" w:hAnsi="Arial" w:cs="Arial"/>
          <w:sz w:val="20"/>
          <w:szCs w:val="20"/>
        </w:rPr>
        <w:t>Sur la base d’un audit de la sûreté et de la sécurité effectué par une agence spécialisée à la demande du Secrétariat, plusieurs recommandations relatives aux mesures de sécurité et de protection anti-incendie doivent être mises en œuvre dans les bâtiments les plus anciens de l’OMPI afin de les adapter aux nouvelles normes (à noter que le nouveau bâtiment et la nouvelle salle de conférence de l’OMPI sont exclus de ce projet car ils satisfont déjà aux nouveaux critères).  Les mesures de sécurité et de protection anti-incendie à mettre en œuvre dans les bâtiments anciens de l’OMPI consistent : i) à compartimenter les bâtiments entre eux;  et ii) à compartimenter également des zones particulières à l’intérieur d’un bâtiment (cloisons coupe-feu).  Le but de cette double compartimentation est de mieux isoler un bâtiment ou un secteur donné d’un bâtiment de manière à stopper la propagation des flammes ou de la fumée.  Le cloisonnement des bâtiments s’effectuera au moyen de la construction d’éléments d’infrastructures ou de portes en sus ou en remplacement des portes existantes et, dans certains cas, de nouvelles portes seront installées dans les couloirs ou voies de passage existants.</w:t>
      </w:r>
    </w:p>
    <w:p w14:paraId="3A41B5DC" w14:textId="77777777" w:rsidR="00FD57F2" w:rsidRPr="007E3422" w:rsidRDefault="00FD57F2" w:rsidP="00FD57F2">
      <w:pPr>
        <w:tabs>
          <w:tab w:val="left" w:pos="567"/>
        </w:tabs>
        <w:rPr>
          <w:sz w:val="20"/>
        </w:rPr>
      </w:pPr>
    </w:p>
    <w:p w14:paraId="05EA8DF8" w14:textId="77777777" w:rsidR="00FD57F2" w:rsidRPr="007E3422" w:rsidRDefault="00FD57F2" w:rsidP="002C58CD">
      <w:pPr>
        <w:pStyle w:val="ListParagraph"/>
        <w:numPr>
          <w:ilvl w:val="0"/>
          <w:numId w:val="72"/>
        </w:numPr>
        <w:tabs>
          <w:tab w:val="left" w:pos="567"/>
        </w:tabs>
        <w:ind w:left="0" w:firstLine="0"/>
        <w:contextualSpacing w:val="0"/>
        <w:rPr>
          <w:rFonts w:ascii="Arial" w:hAnsi="Arial" w:cs="Arial"/>
          <w:sz w:val="20"/>
          <w:szCs w:val="20"/>
        </w:rPr>
      </w:pPr>
      <w:r w:rsidRPr="007E3422">
        <w:rPr>
          <w:rFonts w:ascii="Arial" w:hAnsi="Arial" w:cs="Arial"/>
          <w:sz w:val="20"/>
          <w:szCs w:val="20"/>
        </w:rPr>
        <w:t>La mise en œuvre du projet devrait entraîner :</w:t>
      </w:r>
    </w:p>
    <w:p w14:paraId="12551CCB" w14:textId="77777777" w:rsidR="00FD57F2" w:rsidRPr="007E3422" w:rsidRDefault="00FD57F2" w:rsidP="00FD57F2">
      <w:pPr>
        <w:pStyle w:val="ListParagraph"/>
        <w:tabs>
          <w:tab w:val="left" w:pos="567"/>
        </w:tabs>
        <w:ind w:left="0"/>
        <w:rPr>
          <w:rFonts w:ascii="Arial" w:hAnsi="Arial" w:cs="Arial"/>
          <w:sz w:val="20"/>
          <w:szCs w:val="20"/>
        </w:rPr>
      </w:pPr>
    </w:p>
    <w:p w14:paraId="663E45FA" w14:textId="77777777" w:rsidR="00FD57F2" w:rsidRPr="007E3422" w:rsidRDefault="00FD57F2" w:rsidP="002C58CD">
      <w:pPr>
        <w:pStyle w:val="ListParagraph"/>
        <w:numPr>
          <w:ilvl w:val="0"/>
          <w:numId w:val="65"/>
        </w:numPr>
        <w:spacing w:after="120"/>
        <w:ind w:left="1134" w:hanging="567"/>
        <w:contextualSpacing w:val="0"/>
        <w:jc w:val="both"/>
        <w:rPr>
          <w:rFonts w:ascii="Arial" w:hAnsi="Arial" w:cs="Arial"/>
          <w:sz w:val="20"/>
          <w:szCs w:val="20"/>
        </w:rPr>
      </w:pPr>
      <w:r w:rsidRPr="007E3422">
        <w:rPr>
          <w:rFonts w:ascii="Arial" w:hAnsi="Arial" w:cs="Arial"/>
          <w:sz w:val="20"/>
          <w:szCs w:val="20"/>
        </w:rPr>
        <w:t>des économies en matière de : i) dommages causés aux locaux ou aux actifs internes grâce à la prévention et à la limitation des incidents éventuels;  et ii) réparations, remplacement et nettoyage;</w:t>
      </w:r>
    </w:p>
    <w:p w14:paraId="7E0F646E" w14:textId="77777777" w:rsidR="00FD57F2" w:rsidRPr="007E3422" w:rsidRDefault="00FD57F2" w:rsidP="002C58CD">
      <w:pPr>
        <w:pStyle w:val="ListParagraph"/>
        <w:numPr>
          <w:ilvl w:val="0"/>
          <w:numId w:val="65"/>
        </w:numPr>
        <w:spacing w:after="120"/>
        <w:ind w:left="1134" w:hanging="567"/>
        <w:contextualSpacing w:val="0"/>
        <w:jc w:val="both"/>
        <w:rPr>
          <w:rFonts w:ascii="Arial" w:hAnsi="Arial" w:cs="Arial"/>
          <w:bCs/>
          <w:sz w:val="20"/>
          <w:szCs w:val="20"/>
        </w:rPr>
      </w:pPr>
      <w:r w:rsidRPr="007E3422">
        <w:rPr>
          <w:rFonts w:ascii="Arial" w:hAnsi="Arial" w:cs="Arial"/>
          <w:sz w:val="20"/>
          <w:szCs w:val="20"/>
        </w:rPr>
        <w:t>l’amélioration de la protection des données relatives au dépôt des demandes selon les différents systèmes d’enregistrement;</w:t>
      </w:r>
    </w:p>
    <w:p w14:paraId="2F8CBD48" w14:textId="77777777" w:rsidR="00FD57F2" w:rsidRPr="007E3422" w:rsidRDefault="00FD57F2" w:rsidP="002C58CD">
      <w:pPr>
        <w:pStyle w:val="ListParagraph"/>
        <w:numPr>
          <w:ilvl w:val="0"/>
          <w:numId w:val="65"/>
        </w:numPr>
        <w:spacing w:after="120"/>
        <w:ind w:left="1134" w:hanging="567"/>
        <w:contextualSpacing w:val="0"/>
        <w:jc w:val="both"/>
        <w:rPr>
          <w:rFonts w:ascii="Arial" w:hAnsi="Arial" w:cs="Arial"/>
          <w:sz w:val="20"/>
          <w:szCs w:val="20"/>
        </w:rPr>
      </w:pPr>
      <w:r w:rsidRPr="007E3422">
        <w:rPr>
          <w:rFonts w:ascii="Arial" w:hAnsi="Arial" w:cs="Arial"/>
          <w:sz w:val="20"/>
          <w:szCs w:val="20"/>
        </w:rPr>
        <w:t>la création d’un environnement de travail plus sûr, par exemple en cas d’incident, le renforcement de la sécurité et des mesures de protection du personnel et des autres personnes travaillant dans les bâtiments, et l’amélioration des procédures d’évacuation;</w:t>
      </w:r>
    </w:p>
    <w:p w14:paraId="45464D98" w14:textId="77777777" w:rsidR="00FD57F2" w:rsidRPr="007E3422" w:rsidRDefault="00FD57F2" w:rsidP="005623CF">
      <w:pPr>
        <w:pStyle w:val="ListParagraph"/>
        <w:numPr>
          <w:ilvl w:val="0"/>
          <w:numId w:val="65"/>
        </w:numPr>
        <w:spacing w:after="120"/>
        <w:ind w:left="1134" w:hanging="567"/>
        <w:contextualSpacing w:val="0"/>
        <w:jc w:val="both"/>
        <w:rPr>
          <w:rFonts w:ascii="Arial" w:hAnsi="Arial" w:cs="Arial"/>
          <w:bCs/>
          <w:sz w:val="20"/>
          <w:szCs w:val="20"/>
        </w:rPr>
      </w:pPr>
      <w:r w:rsidRPr="007E3422">
        <w:rPr>
          <w:rFonts w:ascii="Arial" w:hAnsi="Arial" w:cs="Arial"/>
          <w:sz w:val="20"/>
          <w:szCs w:val="20"/>
        </w:rPr>
        <w:t>une meilleure protection et la séparation physique des installations critiques à l’intérieur des bâtiments;</w:t>
      </w:r>
    </w:p>
    <w:p w14:paraId="00539338" w14:textId="77777777" w:rsidR="00FD57F2" w:rsidRPr="007E3422" w:rsidRDefault="00FD57F2" w:rsidP="005623CF">
      <w:pPr>
        <w:pStyle w:val="ListParagraph"/>
        <w:numPr>
          <w:ilvl w:val="0"/>
          <w:numId w:val="65"/>
        </w:numPr>
        <w:spacing w:after="120"/>
        <w:ind w:left="1134" w:hanging="567"/>
        <w:contextualSpacing w:val="0"/>
        <w:jc w:val="both"/>
        <w:rPr>
          <w:rFonts w:ascii="Arial" w:hAnsi="Arial" w:cs="Arial"/>
          <w:bCs/>
          <w:sz w:val="20"/>
          <w:szCs w:val="20"/>
        </w:rPr>
      </w:pPr>
      <w:r w:rsidRPr="007E3422">
        <w:rPr>
          <w:rFonts w:ascii="Arial" w:hAnsi="Arial" w:cs="Arial"/>
          <w:bCs/>
          <w:sz w:val="20"/>
          <w:szCs w:val="20"/>
        </w:rPr>
        <w:t>le respect des normes de sécurité du canton de Genève en matière d’incendie;  et</w:t>
      </w:r>
    </w:p>
    <w:p w14:paraId="21437634" w14:textId="77777777" w:rsidR="00FD57F2" w:rsidRPr="007E3422" w:rsidRDefault="00FD57F2" w:rsidP="002C58CD">
      <w:pPr>
        <w:pStyle w:val="ListParagraph"/>
        <w:numPr>
          <w:ilvl w:val="0"/>
          <w:numId w:val="74"/>
        </w:numPr>
        <w:autoSpaceDE w:val="0"/>
        <w:autoSpaceDN w:val="0"/>
        <w:adjustRightInd w:val="0"/>
        <w:spacing w:after="120"/>
        <w:ind w:left="1134" w:hanging="567"/>
        <w:contextualSpacing w:val="0"/>
        <w:rPr>
          <w:rFonts w:ascii="Arial" w:hAnsi="Arial" w:cs="Arial"/>
          <w:bCs/>
          <w:sz w:val="20"/>
          <w:szCs w:val="20"/>
        </w:rPr>
      </w:pPr>
      <w:r w:rsidRPr="007E3422">
        <w:rPr>
          <w:rFonts w:ascii="Arial" w:hAnsi="Arial" w:cs="Arial"/>
          <w:bCs/>
          <w:sz w:val="20"/>
          <w:szCs w:val="20"/>
        </w:rPr>
        <w:t>l’alignement sur la politique de sécurité incendie de l’ONU.</w:t>
      </w:r>
    </w:p>
    <w:p w14:paraId="341A7ED6" w14:textId="77777777" w:rsidR="00FD57F2" w:rsidRPr="007E3422" w:rsidRDefault="00FD57F2" w:rsidP="00FD57F2">
      <w:pPr>
        <w:jc w:val="both"/>
        <w:rPr>
          <w:bCs/>
          <w:sz w:val="20"/>
        </w:rPr>
      </w:pPr>
    </w:p>
    <w:p w14:paraId="7780A6B7" w14:textId="77777777" w:rsidR="00FD57F2" w:rsidRPr="007E3422" w:rsidRDefault="00FD57F2" w:rsidP="00FD57F2">
      <w:pPr>
        <w:jc w:val="both"/>
        <w:rPr>
          <w:bCs/>
          <w:sz w:val="20"/>
        </w:rPr>
      </w:pPr>
    </w:p>
    <w:p w14:paraId="5F7BB19E" w14:textId="77777777" w:rsidR="005623CF" w:rsidRPr="007E3422" w:rsidRDefault="005623CF">
      <w:pPr>
        <w:rPr>
          <w:color w:val="000000" w:themeColor="text1"/>
          <w:sz w:val="20"/>
        </w:rPr>
      </w:pPr>
      <w:r w:rsidRPr="007E3422">
        <w:rPr>
          <w:color w:val="000000" w:themeColor="text1"/>
          <w:sz w:val="20"/>
        </w:rPr>
        <w:br w:type="page"/>
      </w:r>
    </w:p>
    <w:p w14:paraId="1D88A58E" w14:textId="38884995" w:rsidR="00FD57F2" w:rsidRPr="007E3422" w:rsidRDefault="00FD57F2" w:rsidP="00FD57F2">
      <w:pPr>
        <w:rPr>
          <w:bCs/>
          <w:color w:val="000000" w:themeColor="text1"/>
          <w:sz w:val="20"/>
        </w:rPr>
      </w:pPr>
      <w:r w:rsidRPr="007E3422">
        <w:rPr>
          <w:color w:val="000000" w:themeColor="text1"/>
          <w:sz w:val="20"/>
        </w:rPr>
        <w:t>APERÇU DES PROGRÈS RÉALISÉS EN 2016 (PRINCIPALES ÉTAPES)</w:t>
      </w:r>
    </w:p>
    <w:p w14:paraId="1E4401CB" w14:textId="77777777" w:rsidR="00FD57F2" w:rsidRPr="007E3422" w:rsidRDefault="00FD57F2" w:rsidP="00FD57F2">
      <w:pPr>
        <w:jc w:val="both"/>
        <w:rPr>
          <w:bCs/>
          <w:sz w:val="20"/>
        </w:rPr>
      </w:pPr>
    </w:p>
    <w:p w14:paraId="32058DFB" w14:textId="77777777" w:rsidR="00FD57F2" w:rsidRPr="007E3422" w:rsidRDefault="00FD57F2" w:rsidP="002C58CD">
      <w:pPr>
        <w:pStyle w:val="ListParagraph"/>
        <w:numPr>
          <w:ilvl w:val="0"/>
          <w:numId w:val="72"/>
        </w:numPr>
        <w:tabs>
          <w:tab w:val="left" w:pos="567"/>
        </w:tabs>
        <w:ind w:left="0" w:firstLine="0"/>
        <w:contextualSpacing w:val="0"/>
        <w:rPr>
          <w:rFonts w:ascii="Arial" w:hAnsi="Arial" w:cs="Arial"/>
          <w:sz w:val="20"/>
          <w:szCs w:val="20"/>
        </w:rPr>
      </w:pPr>
      <w:r w:rsidRPr="007E3422">
        <w:rPr>
          <w:rFonts w:ascii="Arial" w:hAnsi="Arial" w:cs="Arial"/>
          <w:sz w:val="20"/>
          <w:szCs w:val="20"/>
        </w:rPr>
        <w:t>En 2016, les progrès suivants ont été accomplis :</w:t>
      </w:r>
    </w:p>
    <w:p w14:paraId="1A24A9BB" w14:textId="77777777" w:rsidR="00FD57F2" w:rsidRPr="007E3422" w:rsidRDefault="00FD57F2" w:rsidP="00FD57F2">
      <w:pPr>
        <w:jc w:val="both"/>
        <w:rPr>
          <w:bCs/>
          <w:sz w:val="20"/>
        </w:rPr>
      </w:pPr>
    </w:p>
    <w:p w14:paraId="0B9032B8" w14:textId="77777777" w:rsidR="00FD57F2" w:rsidRPr="007E3422" w:rsidRDefault="00FD57F2" w:rsidP="00A067C5">
      <w:pPr>
        <w:pStyle w:val="ListParagraph"/>
        <w:numPr>
          <w:ilvl w:val="0"/>
          <w:numId w:val="83"/>
        </w:numPr>
        <w:tabs>
          <w:tab w:val="left" w:pos="567"/>
        </w:tabs>
        <w:jc w:val="both"/>
        <w:rPr>
          <w:rFonts w:ascii="Arial" w:hAnsi="Arial" w:cs="Arial"/>
          <w:color w:val="000000" w:themeColor="text1"/>
          <w:sz w:val="20"/>
          <w:szCs w:val="20"/>
        </w:rPr>
      </w:pPr>
      <w:r w:rsidRPr="007E3422">
        <w:rPr>
          <w:rFonts w:ascii="Arial" w:hAnsi="Arial" w:cs="Arial"/>
          <w:color w:val="000000" w:themeColor="text1"/>
          <w:sz w:val="20"/>
          <w:szCs w:val="20"/>
        </w:rPr>
        <w:t>Des études portant sur la compartimentation entre le parking souterrain du bâtiment AB et le bâtiment AB (sauf le niveau -2) et sur la compartimentation entre le bâtiment GBI et le bâtiment AB (niveau -1, rez-de-chaussée et 1</w:t>
      </w:r>
      <w:r w:rsidRPr="007E3422">
        <w:rPr>
          <w:rFonts w:ascii="Arial" w:hAnsi="Arial" w:cs="Arial"/>
          <w:color w:val="000000" w:themeColor="text1"/>
          <w:sz w:val="20"/>
          <w:szCs w:val="20"/>
          <w:vertAlign w:val="superscript"/>
        </w:rPr>
        <w:t>er</w:t>
      </w:r>
      <w:r w:rsidRPr="007E3422">
        <w:rPr>
          <w:rFonts w:ascii="Arial" w:hAnsi="Arial" w:cs="Arial"/>
          <w:color w:val="000000" w:themeColor="text1"/>
          <w:sz w:val="20"/>
          <w:szCs w:val="20"/>
        </w:rPr>
        <w:t> étage) ont été menées;</w:t>
      </w:r>
    </w:p>
    <w:p w14:paraId="35F670C5" w14:textId="77777777" w:rsidR="00FD57F2" w:rsidRPr="007E3422" w:rsidRDefault="00FD57F2" w:rsidP="00FD57F2">
      <w:pPr>
        <w:tabs>
          <w:tab w:val="left" w:pos="567"/>
        </w:tabs>
        <w:jc w:val="both"/>
        <w:rPr>
          <w:color w:val="000000" w:themeColor="text1"/>
          <w:sz w:val="20"/>
        </w:rPr>
      </w:pPr>
    </w:p>
    <w:p w14:paraId="4A510AAF" w14:textId="77777777" w:rsidR="00FD57F2" w:rsidRPr="007E3422" w:rsidRDefault="00FD57F2" w:rsidP="00A067C5">
      <w:pPr>
        <w:pStyle w:val="ListParagraph"/>
        <w:numPr>
          <w:ilvl w:val="0"/>
          <w:numId w:val="83"/>
        </w:numPr>
        <w:tabs>
          <w:tab w:val="left" w:pos="567"/>
        </w:tabs>
        <w:jc w:val="both"/>
        <w:rPr>
          <w:rFonts w:ascii="Arial" w:hAnsi="Arial" w:cs="Arial"/>
          <w:color w:val="000000" w:themeColor="text1"/>
          <w:sz w:val="20"/>
          <w:szCs w:val="20"/>
        </w:rPr>
      </w:pPr>
      <w:r w:rsidRPr="007E3422">
        <w:rPr>
          <w:rFonts w:ascii="Arial" w:hAnsi="Arial" w:cs="Arial"/>
          <w:color w:val="000000" w:themeColor="text1"/>
          <w:sz w:val="20"/>
          <w:szCs w:val="20"/>
        </w:rPr>
        <w:t>Les travaux relatifs à la compartimentation entre le bâtiment GBI et le bâtiment AB (niveau -1 et 1</w:t>
      </w:r>
      <w:r w:rsidRPr="007E3422">
        <w:rPr>
          <w:rFonts w:ascii="Arial" w:hAnsi="Arial" w:cs="Arial"/>
          <w:color w:val="000000" w:themeColor="text1"/>
          <w:sz w:val="20"/>
          <w:szCs w:val="20"/>
          <w:vertAlign w:val="superscript"/>
        </w:rPr>
        <w:t>er</w:t>
      </w:r>
      <w:r w:rsidRPr="007E3422">
        <w:rPr>
          <w:rFonts w:ascii="Arial" w:hAnsi="Arial" w:cs="Arial"/>
          <w:color w:val="000000" w:themeColor="text1"/>
          <w:sz w:val="20"/>
          <w:szCs w:val="20"/>
        </w:rPr>
        <w:t> étage) ont été effectués et sont achevés.</w:t>
      </w:r>
    </w:p>
    <w:p w14:paraId="2213C29A" w14:textId="77777777" w:rsidR="00FD57F2" w:rsidRPr="007E3422" w:rsidRDefault="00FD57F2" w:rsidP="00FD57F2">
      <w:pPr>
        <w:rPr>
          <w:color w:val="000000" w:themeColor="text1"/>
          <w:sz w:val="20"/>
        </w:rPr>
      </w:pPr>
    </w:p>
    <w:p w14:paraId="6B1D5E6A" w14:textId="77777777" w:rsidR="00FD57F2" w:rsidRPr="007E3422" w:rsidRDefault="00FD57F2" w:rsidP="005623CF">
      <w:pPr>
        <w:pStyle w:val="ListParagraph"/>
        <w:numPr>
          <w:ilvl w:val="0"/>
          <w:numId w:val="72"/>
        </w:numPr>
        <w:tabs>
          <w:tab w:val="left" w:pos="567"/>
        </w:tabs>
        <w:ind w:left="0" w:firstLine="0"/>
        <w:contextualSpacing w:val="0"/>
        <w:rPr>
          <w:rFonts w:ascii="Arial" w:hAnsi="Arial" w:cs="Arial"/>
          <w:color w:val="000000" w:themeColor="text1"/>
          <w:sz w:val="20"/>
          <w:szCs w:val="20"/>
        </w:rPr>
      </w:pPr>
      <w:r w:rsidRPr="007E3422">
        <w:rPr>
          <w:rFonts w:ascii="Arial" w:hAnsi="Arial" w:cs="Arial"/>
          <w:color w:val="000000" w:themeColor="text1"/>
          <w:sz w:val="20"/>
          <w:szCs w:val="20"/>
        </w:rPr>
        <w:t xml:space="preserve">Le diagnostic à </w:t>
      </w:r>
      <w:proofErr w:type="spellStart"/>
      <w:r w:rsidRPr="007E3422">
        <w:rPr>
          <w:rFonts w:ascii="Arial" w:hAnsi="Arial" w:cs="Arial"/>
          <w:color w:val="000000" w:themeColor="text1"/>
          <w:sz w:val="20"/>
          <w:szCs w:val="20"/>
        </w:rPr>
        <w:t>mi-projet</w:t>
      </w:r>
      <w:proofErr w:type="spellEnd"/>
      <w:r w:rsidRPr="007E3422">
        <w:rPr>
          <w:rFonts w:ascii="Arial" w:hAnsi="Arial" w:cs="Arial"/>
          <w:color w:val="000000" w:themeColor="text1"/>
          <w:sz w:val="20"/>
          <w:szCs w:val="20"/>
        </w:rPr>
        <w:t xml:space="preserve"> de la sécurité incendie des bâtiments AB, GBI et GBII qui a été effectué en septembre 2016 a permis de relever des points de non-conformité appelant des mesures correctrices de mise en conformité par rapport à la réglementation suisse.  Ce diagnostic a permis d’identifier de nouveaux problèmes techniques relatifs à la faisabilité de la compartimentation entre le bâtiment GBI et le bâtiment GBII, en précisant que l’ampleur des travaux techniques sortirait du périmètre du projet et du budget alloué au projet.  En conséquence, il a été décidé que cet élément ne ferait plus partie du périmètre du plan-cadre d’équipement 7.  Le budget de 65 000 francs suisses initialement alloué au projet sera réinjecté dans les réserves d’ici à fin 2017.  Les tableaux d’utilisation des ressources ont été modifiés en conséquence.</w:t>
      </w:r>
    </w:p>
    <w:p w14:paraId="60BC0BDB" w14:textId="77777777" w:rsidR="00FD57F2" w:rsidRPr="007E3422" w:rsidRDefault="00FD57F2" w:rsidP="00FD57F2">
      <w:pPr>
        <w:rPr>
          <w:bCs/>
          <w:color w:val="000000" w:themeColor="text1"/>
          <w:sz w:val="20"/>
        </w:rPr>
      </w:pPr>
    </w:p>
    <w:p w14:paraId="291FBA6F" w14:textId="77777777" w:rsidR="00FD57F2" w:rsidRPr="007E3422" w:rsidRDefault="00FD57F2" w:rsidP="00FD57F2">
      <w:pPr>
        <w:rPr>
          <w:bCs/>
          <w:sz w:val="20"/>
        </w:rPr>
      </w:pPr>
    </w:p>
    <w:p w14:paraId="4140010D" w14:textId="77777777" w:rsidR="00FD57F2" w:rsidRPr="007E3422" w:rsidRDefault="00FD57F2" w:rsidP="00FD57F2">
      <w:pPr>
        <w:rPr>
          <w:bCs/>
          <w:sz w:val="20"/>
        </w:rPr>
      </w:pPr>
      <w:r w:rsidRPr="007E3422">
        <w:rPr>
          <w:sz w:val="20"/>
        </w:rPr>
        <w:t>CONCRÉTISATION DES AVANTAGES</w:t>
      </w:r>
    </w:p>
    <w:p w14:paraId="4F752990" w14:textId="77777777" w:rsidR="00FD57F2" w:rsidRPr="007E3422" w:rsidRDefault="00FD57F2" w:rsidP="00FD57F2">
      <w:pPr>
        <w:rPr>
          <w:sz w:val="20"/>
        </w:rPr>
      </w:pPr>
    </w:p>
    <w:tbl>
      <w:tblPr>
        <w:tblW w:w="43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1996"/>
        <w:gridCol w:w="1997"/>
        <w:gridCol w:w="1997"/>
        <w:gridCol w:w="1997"/>
      </w:tblGrid>
      <w:tr w:rsidR="00FD57F2" w:rsidRPr="00D46647" w14:paraId="47392F64" w14:textId="77777777" w:rsidTr="007E3422">
        <w:trPr>
          <w:tblHeader/>
          <w:jc w:val="center"/>
        </w:trPr>
        <w:tc>
          <w:tcPr>
            <w:tcW w:w="1250" w:type="pct"/>
            <w:shd w:val="clear" w:color="auto" w:fill="C6D9F1" w:themeFill="text2" w:themeFillTint="33"/>
            <w:tcMar>
              <w:top w:w="57" w:type="dxa"/>
              <w:bottom w:w="57" w:type="dxa"/>
            </w:tcMar>
            <w:vAlign w:val="center"/>
          </w:tcPr>
          <w:p w14:paraId="5CC84AFC" w14:textId="77777777" w:rsidR="00FD57F2" w:rsidRPr="00D46647" w:rsidRDefault="00FD57F2" w:rsidP="00FD57F2">
            <w:pPr>
              <w:jc w:val="center"/>
              <w:rPr>
                <w:b/>
                <w:bCs/>
                <w:sz w:val="16"/>
                <w:szCs w:val="16"/>
              </w:rPr>
            </w:pPr>
            <w:r w:rsidRPr="00D46647">
              <w:rPr>
                <w:b/>
                <w:bCs/>
                <w:sz w:val="16"/>
                <w:szCs w:val="16"/>
              </w:rPr>
              <w:t>Avantages obtenus en 2014</w:t>
            </w:r>
          </w:p>
        </w:tc>
        <w:tc>
          <w:tcPr>
            <w:tcW w:w="1250" w:type="pct"/>
            <w:shd w:val="clear" w:color="auto" w:fill="C6D9F1" w:themeFill="text2" w:themeFillTint="33"/>
            <w:vAlign w:val="center"/>
          </w:tcPr>
          <w:p w14:paraId="0AF17EF1" w14:textId="77777777" w:rsidR="00FD57F2" w:rsidRPr="00D46647" w:rsidRDefault="00FD57F2" w:rsidP="00FD57F2">
            <w:pPr>
              <w:jc w:val="center"/>
              <w:rPr>
                <w:b/>
                <w:bCs/>
                <w:sz w:val="16"/>
                <w:szCs w:val="16"/>
              </w:rPr>
            </w:pPr>
            <w:r w:rsidRPr="00D46647">
              <w:rPr>
                <w:b/>
                <w:bCs/>
                <w:sz w:val="16"/>
                <w:szCs w:val="16"/>
              </w:rPr>
              <w:t>Avantages obtenus en 2015</w:t>
            </w:r>
          </w:p>
        </w:tc>
        <w:tc>
          <w:tcPr>
            <w:tcW w:w="1250" w:type="pct"/>
            <w:shd w:val="clear" w:color="auto" w:fill="C6D9F1" w:themeFill="text2" w:themeFillTint="33"/>
            <w:vAlign w:val="center"/>
          </w:tcPr>
          <w:p w14:paraId="6D9F8B69" w14:textId="77777777" w:rsidR="00FD57F2" w:rsidRPr="00D46647" w:rsidRDefault="00FD57F2" w:rsidP="00FD57F2">
            <w:pPr>
              <w:jc w:val="center"/>
              <w:rPr>
                <w:b/>
                <w:bCs/>
                <w:sz w:val="16"/>
                <w:szCs w:val="16"/>
              </w:rPr>
            </w:pPr>
            <w:r w:rsidRPr="00D46647">
              <w:rPr>
                <w:b/>
                <w:bCs/>
                <w:sz w:val="16"/>
                <w:szCs w:val="16"/>
              </w:rPr>
              <w:t>Avantages obtenus en 2016</w:t>
            </w:r>
          </w:p>
        </w:tc>
        <w:tc>
          <w:tcPr>
            <w:tcW w:w="1250" w:type="pct"/>
            <w:shd w:val="clear" w:color="auto" w:fill="C6D9F1" w:themeFill="text2" w:themeFillTint="33"/>
            <w:vAlign w:val="center"/>
          </w:tcPr>
          <w:p w14:paraId="1CB42D43" w14:textId="77777777" w:rsidR="00FD57F2" w:rsidRPr="00D46647" w:rsidRDefault="00FD57F2" w:rsidP="00FD57F2">
            <w:pPr>
              <w:jc w:val="center"/>
              <w:rPr>
                <w:b/>
                <w:bCs/>
                <w:sz w:val="16"/>
                <w:szCs w:val="16"/>
              </w:rPr>
            </w:pPr>
            <w:r w:rsidRPr="00D46647">
              <w:rPr>
                <w:b/>
                <w:bCs/>
                <w:sz w:val="16"/>
                <w:szCs w:val="16"/>
              </w:rPr>
              <w:t>Avantages escomptés en 2017</w:t>
            </w:r>
          </w:p>
        </w:tc>
      </w:tr>
      <w:tr w:rsidR="00FD57F2" w:rsidRPr="00D46647" w14:paraId="7E51B3B1" w14:textId="77777777" w:rsidTr="007E3422">
        <w:trPr>
          <w:jc w:val="center"/>
        </w:trPr>
        <w:tc>
          <w:tcPr>
            <w:tcW w:w="1250" w:type="pct"/>
            <w:shd w:val="clear" w:color="auto" w:fill="auto"/>
            <w:tcMar>
              <w:top w:w="57" w:type="dxa"/>
              <w:bottom w:w="57" w:type="dxa"/>
            </w:tcMar>
          </w:tcPr>
          <w:p w14:paraId="77DBF72D" w14:textId="77777777" w:rsidR="00FD57F2" w:rsidRPr="00D46647" w:rsidRDefault="00FD57F2" w:rsidP="00FD57F2">
            <w:pPr>
              <w:rPr>
                <w:bCs/>
                <w:sz w:val="16"/>
                <w:szCs w:val="16"/>
              </w:rPr>
            </w:pPr>
            <w:r w:rsidRPr="00D46647">
              <w:rPr>
                <w:bCs/>
                <w:sz w:val="16"/>
                <w:szCs w:val="16"/>
              </w:rPr>
              <w:t>Renforcement des mesures de sécurité et de sûreté pour la protection du personnel après l’achèvement de la compartimentation du bâtiment du PCT.</w:t>
            </w:r>
          </w:p>
        </w:tc>
        <w:tc>
          <w:tcPr>
            <w:tcW w:w="1250" w:type="pct"/>
          </w:tcPr>
          <w:p w14:paraId="4CA6701C" w14:textId="77777777" w:rsidR="00FD57F2" w:rsidRPr="00D46647" w:rsidRDefault="00FD57F2" w:rsidP="00FD57F2">
            <w:pPr>
              <w:rPr>
                <w:bCs/>
                <w:sz w:val="16"/>
                <w:szCs w:val="16"/>
              </w:rPr>
            </w:pPr>
            <w:r w:rsidRPr="00D46647">
              <w:rPr>
                <w:bCs/>
                <w:sz w:val="16"/>
                <w:szCs w:val="16"/>
              </w:rPr>
              <w:t>Maintien du niveau de sûreté et de sécurité dans le bâtiment du PCT.</w:t>
            </w:r>
          </w:p>
        </w:tc>
        <w:tc>
          <w:tcPr>
            <w:tcW w:w="1250" w:type="pct"/>
            <w:shd w:val="clear" w:color="auto" w:fill="auto"/>
          </w:tcPr>
          <w:p w14:paraId="2827B844" w14:textId="77777777" w:rsidR="00FD57F2" w:rsidRPr="00D46647" w:rsidRDefault="00FD57F2" w:rsidP="00FD57F2">
            <w:pPr>
              <w:rPr>
                <w:b/>
                <w:bCs/>
                <w:i/>
                <w:iCs/>
                <w:sz w:val="16"/>
                <w:szCs w:val="16"/>
              </w:rPr>
            </w:pPr>
            <w:r w:rsidRPr="00D46647">
              <w:rPr>
                <w:bCs/>
                <w:sz w:val="16"/>
                <w:szCs w:val="16"/>
              </w:rPr>
              <w:t>Maintien du niveau de sûreté et de sécurité dans le bâtiment du PCT.</w:t>
            </w:r>
          </w:p>
        </w:tc>
        <w:tc>
          <w:tcPr>
            <w:tcW w:w="1250" w:type="pct"/>
          </w:tcPr>
          <w:p w14:paraId="16D4D73B" w14:textId="77777777" w:rsidR="00FD57F2" w:rsidRPr="00D46647" w:rsidRDefault="00FD57F2" w:rsidP="00FD57F2">
            <w:pPr>
              <w:rPr>
                <w:b/>
                <w:bCs/>
                <w:i/>
                <w:iCs/>
                <w:sz w:val="16"/>
                <w:szCs w:val="16"/>
              </w:rPr>
            </w:pPr>
            <w:r w:rsidRPr="00D46647">
              <w:rPr>
                <w:bCs/>
                <w:sz w:val="16"/>
                <w:szCs w:val="16"/>
              </w:rPr>
              <w:t>Maintien du niveau de sûreté et de sécurité dans le bâtiment du PCT</w:t>
            </w:r>
            <w:r w:rsidRPr="00D46647">
              <w:rPr>
                <w:sz w:val="16"/>
                <w:szCs w:val="16"/>
              </w:rPr>
              <w:t>.</w:t>
            </w:r>
          </w:p>
        </w:tc>
      </w:tr>
      <w:tr w:rsidR="00FD57F2" w:rsidRPr="00D46647" w14:paraId="3BA7C07F" w14:textId="77777777" w:rsidTr="007E3422">
        <w:trPr>
          <w:jc w:val="center"/>
        </w:trPr>
        <w:tc>
          <w:tcPr>
            <w:tcW w:w="1250" w:type="pct"/>
            <w:shd w:val="clear" w:color="auto" w:fill="auto"/>
            <w:tcMar>
              <w:top w:w="57" w:type="dxa"/>
              <w:bottom w:w="57" w:type="dxa"/>
            </w:tcMar>
          </w:tcPr>
          <w:p w14:paraId="1F679586" w14:textId="77777777" w:rsidR="00FD57F2" w:rsidRPr="00D46647" w:rsidRDefault="00FD57F2" w:rsidP="00FD57F2">
            <w:pPr>
              <w:rPr>
                <w:b/>
                <w:bCs/>
                <w:sz w:val="16"/>
                <w:szCs w:val="16"/>
                <w:u w:val="single"/>
              </w:rPr>
            </w:pPr>
          </w:p>
        </w:tc>
        <w:tc>
          <w:tcPr>
            <w:tcW w:w="1250" w:type="pct"/>
          </w:tcPr>
          <w:p w14:paraId="63DFF1B2" w14:textId="77777777" w:rsidR="00FD57F2" w:rsidRPr="00D46647" w:rsidRDefault="00FD57F2" w:rsidP="00FD57F2">
            <w:pPr>
              <w:rPr>
                <w:bCs/>
                <w:sz w:val="16"/>
                <w:szCs w:val="16"/>
              </w:rPr>
            </w:pPr>
            <w:r w:rsidRPr="00D46647">
              <w:rPr>
                <w:sz w:val="16"/>
                <w:szCs w:val="16"/>
              </w:rPr>
              <w:t>Amélioration de la sécurité du personnel et des délégués avec la création d’un sas au niveau des paliers d’ascenseur au niveau -2 du bâtiment AB.</w:t>
            </w:r>
          </w:p>
        </w:tc>
        <w:tc>
          <w:tcPr>
            <w:tcW w:w="1250" w:type="pct"/>
            <w:shd w:val="clear" w:color="auto" w:fill="auto"/>
          </w:tcPr>
          <w:p w14:paraId="21482676" w14:textId="77777777" w:rsidR="00FD57F2" w:rsidRPr="00D46647" w:rsidRDefault="00FD57F2" w:rsidP="00FD57F2">
            <w:pPr>
              <w:rPr>
                <w:sz w:val="16"/>
                <w:szCs w:val="16"/>
              </w:rPr>
            </w:pPr>
            <w:r w:rsidRPr="00D46647">
              <w:rPr>
                <w:bCs/>
                <w:sz w:val="16"/>
                <w:szCs w:val="16"/>
              </w:rPr>
              <w:t>Maintien du niveau de sûreté et de sécurité des paliers au niveau</w:t>
            </w:r>
            <w:r w:rsidRPr="00D46647">
              <w:rPr>
                <w:sz w:val="16"/>
                <w:szCs w:val="16"/>
              </w:rPr>
              <w:t> -2 du bâtiment AB.</w:t>
            </w:r>
          </w:p>
        </w:tc>
        <w:tc>
          <w:tcPr>
            <w:tcW w:w="1250" w:type="pct"/>
          </w:tcPr>
          <w:p w14:paraId="67F84CD0" w14:textId="77777777" w:rsidR="00FD57F2" w:rsidRPr="00D46647" w:rsidRDefault="00FD57F2" w:rsidP="00FD57F2">
            <w:pPr>
              <w:rPr>
                <w:sz w:val="16"/>
                <w:szCs w:val="16"/>
              </w:rPr>
            </w:pPr>
            <w:r w:rsidRPr="00D46647">
              <w:rPr>
                <w:bCs/>
                <w:sz w:val="16"/>
                <w:szCs w:val="16"/>
              </w:rPr>
              <w:t>Maintien du niveau de sûreté et de sécurité des paliers au niveau</w:t>
            </w:r>
            <w:r w:rsidRPr="00D46647">
              <w:rPr>
                <w:sz w:val="16"/>
                <w:szCs w:val="16"/>
              </w:rPr>
              <w:t> -2 du bâtiment AB.</w:t>
            </w:r>
          </w:p>
        </w:tc>
      </w:tr>
      <w:tr w:rsidR="00FD57F2" w:rsidRPr="00D46647" w14:paraId="6ADC7B88" w14:textId="77777777" w:rsidTr="007E3422">
        <w:trPr>
          <w:jc w:val="center"/>
        </w:trPr>
        <w:tc>
          <w:tcPr>
            <w:tcW w:w="1250" w:type="pct"/>
            <w:shd w:val="clear" w:color="auto" w:fill="auto"/>
            <w:tcMar>
              <w:top w:w="57" w:type="dxa"/>
              <w:bottom w:w="57" w:type="dxa"/>
            </w:tcMar>
          </w:tcPr>
          <w:p w14:paraId="2D90A86C" w14:textId="77777777" w:rsidR="00FD57F2" w:rsidRPr="00D46647" w:rsidRDefault="00FD57F2" w:rsidP="00FD57F2">
            <w:pPr>
              <w:rPr>
                <w:b/>
                <w:bCs/>
                <w:sz w:val="16"/>
                <w:szCs w:val="16"/>
                <w:u w:val="single"/>
              </w:rPr>
            </w:pPr>
          </w:p>
        </w:tc>
        <w:tc>
          <w:tcPr>
            <w:tcW w:w="1250" w:type="pct"/>
          </w:tcPr>
          <w:p w14:paraId="2199FA5F" w14:textId="77777777" w:rsidR="00FD57F2" w:rsidRPr="00D46647" w:rsidRDefault="00FD57F2" w:rsidP="00FD57F2">
            <w:pPr>
              <w:rPr>
                <w:b/>
                <w:bCs/>
                <w:sz w:val="16"/>
                <w:szCs w:val="16"/>
                <w:u w:val="single"/>
              </w:rPr>
            </w:pPr>
          </w:p>
        </w:tc>
        <w:tc>
          <w:tcPr>
            <w:tcW w:w="1250" w:type="pct"/>
            <w:shd w:val="clear" w:color="auto" w:fill="auto"/>
          </w:tcPr>
          <w:p w14:paraId="2B26DEC3" w14:textId="77777777" w:rsidR="00FD57F2" w:rsidRPr="00D46647" w:rsidRDefault="00FD57F2" w:rsidP="00FD57F2">
            <w:pPr>
              <w:rPr>
                <w:sz w:val="16"/>
              </w:rPr>
            </w:pPr>
            <w:r w:rsidRPr="00D46647">
              <w:rPr>
                <w:sz w:val="16"/>
                <w:szCs w:val="16"/>
              </w:rPr>
              <w:t>Amélioration du niveau de sûreté et de sécurité entre le bâtiment GBI et le bâtiment AB (niveau -1 et 1</w:t>
            </w:r>
            <w:r w:rsidRPr="00D46647">
              <w:rPr>
                <w:sz w:val="16"/>
                <w:szCs w:val="16"/>
                <w:vertAlign w:val="superscript"/>
              </w:rPr>
              <w:t>er</w:t>
            </w:r>
            <w:r w:rsidRPr="00D46647">
              <w:rPr>
                <w:sz w:val="16"/>
                <w:szCs w:val="16"/>
              </w:rPr>
              <w:t xml:space="preserve"> étage).  </w:t>
            </w:r>
          </w:p>
        </w:tc>
        <w:tc>
          <w:tcPr>
            <w:tcW w:w="1250" w:type="pct"/>
          </w:tcPr>
          <w:p w14:paraId="0D3CA6ED" w14:textId="77777777" w:rsidR="00FD57F2" w:rsidRPr="00D46647" w:rsidRDefault="00FD57F2" w:rsidP="00FD57F2">
            <w:pPr>
              <w:rPr>
                <w:bCs/>
                <w:sz w:val="16"/>
                <w:szCs w:val="16"/>
              </w:rPr>
            </w:pPr>
            <w:r w:rsidRPr="00D46647">
              <w:rPr>
                <w:sz w:val="16"/>
                <w:szCs w:val="16"/>
              </w:rPr>
              <w:t>Amélioration du niveau de sûreté et de sécurité entre le bâtiment GBI et le bâtiment AB (rez-de-chaussée)</w:t>
            </w:r>
          </w:p>
        </w:tc>
      </w:tr>
      <w:tr w:rsidR="00FD57F2" w:rsidRPr="00D46647" w14:paraId="74FE8CB4" w14:textId="77777777" w:rsidTr="007E3422">
        <w:trPr>
          <w:jc w:val="center"/>
        </w:trPr>
        <w:tc>
          <w:tcPr>
            <w:tcW w:w="1250" w:type="pct"/>
            <w:shd w:val="clear" w:color="auto" w:fill="auto"/>
            <w:tcMar>
              <w:top w:w="57" w:type="dxa"/>
              <w:bottom w:w="57" w:type="dxa"/>
            </w:tcMar>
          </w:tcPr>
          <w:p w14:paraId="277BFB68" w14:textId="77777777" w:rsidR="00FD57F2" w:rsidRPr="00D46647" w:rsidRDefault="00FD57F2" w:rsidP="00FD57F2">
            <w:pPr>
              <w:rPr>
                <w:b/>
                <w:bCs/>
                <w:sz w:val="16"/>
                <w:szCs w:val="16"/>
                <w:u w:val="single"/>
              </w:rPr>
            </w:pPr>
          </w:p>
        </w:tc>
        <w:tc>
          <w:tcPr>
            <w:tcW w:w="1250" w:type="pct"/>
          </w:tcPr>
          <w:p w14:paraId="5A6886F1" w14:textId="77777777" w:rsidR="00FD57F2" w:rsidRPr="00D46647" w:rsidRDefault="00FD57F2" w:rsidP="00FD57F2">
            <w:pPr>
              <w:rPr>
                <w:b/>
                <w:bCs/>
                <w:sz w:val="16"/>
                <w:szCs w:val="16"/>
                <w:u w:val="single"/>
              </w:rPr>
            </w:pPr>
          </w:p>
        </w:tc>
        <w:tc>
          <w:tcPr>
            <w:tcW w:w="1250" w:type="pct"/>
            <w:shd w:val="clear" w:color="auto" w:fill="auto"/>
          </w:tcPr>
          <w:p w14:paraId="770DB44C" w14:textId="77777777" w:rsidR="00FD57F2" w:rsidRPr="00D46647" w:rsidRDefault="00FD57F2" w:rsidP="00FD57F2">
            <w:pPr>
              <w:rPr>
                <w:sz w:val="16"/>
              </w:rPr>
            </w:pPr>
          </w:p>
        </w:tc>
        <w:tc>
          <w:tcPr>
            <w:tcW w:w="1250" w:type="pct"/>
          </w:tcPr>
          <w:p w14:paraId="63CAC543" w14:textId="77777777" w:rsidR="00FD57F2" w:rsidRPr="00D46647" w:rsidRDefault="00FD57F2" w:rsidP="00FD57F2">
            <w:pPr>
              <w:rPr>
                <w:sz w:val="16"/>
                <w:szCs w:val="16"/>
              </w:rPr>
            </w:pPr>
            <w:r w:rsidRPr="00D46647">
              <w:rPr>
                <w:sz w:val="16"/>
                <w:szCs w:val="16"/>
              </w:rPr>
              <w:t>Amélioration du niveau de sûreté et de sécurité entre le bâtiment AB et le parking souterrain</w:t>
            </w:r>
          </w:p>
        </w:tc>
      </w:tr>
    </w:tbl>
    <w:p w14:paraId="6468CEC6" w14:textId="77777777" w:rsidR="00FD57F2" w:rsidRPr="00D46647" w:rsidRDefault="00FD57F2" w:rsidP="00FD57F2"/>
    <w:p w14:paraId="23D165A9" w14:textId="77777777" w:rsidR="00FD57F2" w:rsidRPr="00D46647" w:rsidRDefault="00FD57F2" w:rsidP="00FD57F2"/>
    <w:p w14:paraId="7D040E85" w14:textId="77777777" w:rsidR="005623CF" w:rsidRDefault="005623CF">
      <w:r>
        <w:br w:type="page"/>
      </w:r>
    </w:p>
    <w:p w14:paraId="3335D52B" w14:textId="3E73D6CB" w:rsidR="00FD57F2" w:rsidRPr="007E3422" w:rsidRDefault="00FD57F2" w:rsidP="00FD57F2">
      <w:pPr>
        <w:rPr>
          <w:sz w:val="20"/>
        </w:rPr>
      </w:pPr>
      <w:r w:rsidRPr="007E3422">
        <w:rPr>
          <w:sz w:val="20"/>
        </w:rPr>
        <w:t>UTILISATION DES RESSOURCES</w:t>
      </w:r>
      <w:r w:rsidRPr="007E3422">
        <w:rPr>
          <w:rStyle w:val="FootnoteReference"/>
          <w:rFonts w:eastAsia="SimSun" w:cs="Arial"/>
          <w:sz w:val="20"/>
        </w:rPr>
        <w:footnoteReference w:id="125"/>
      </w:r>
    </w:p>
    <w:p w14:paraId="333FA51E" w14:textId="77777777" w:rsidR="00FD57F2" w:rsidRPr="007E3422" w:rsidRDefault="00FD57F2" w:rsidP="00FD57F2">
      <w:pPr>
        <w:rPr>
          <w:sz w:val="20"/>
        </w:rPr>
      </w:pPr>
    </w:p>
    <w:p w14:paraId="2BAE4937" w14:textId="77777777" w:rsidR="00FD57F2" w:rsidRPr="007E3422" w:rsidRDefault="00FD57F2" w:rsidP="00FD57F2">
      <w:pPr>
        <w:keepNext/>
        <w:keepLines/>
        <w:tabs>
          <w:tab w:val="left" w:pos="3261"/>
        </w:tabs>
        <w:autoSpaceDE w:val="0"/>
        <w:autoSpaceDN w:val="0"/>
        <w:adjustRightInd w:val="0"/>
        <w:jc w:val="center"/>
        <w:rPr>
          <w:b/>
          <w:sz w:val="20"/>
        </w:rPr>
      </w:pPr>
      <w:r w:rsidRPr="007E3422">
        <w:rPr>
          <w:b/>
          <w:sz w:val="20"/>
        </w:rPr>
        <w:t>Utilisation du budget du projet</w:t>
      </w:r>
    </w:p>
    <w:p w14:paraId="583B8A3C"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7F331608" w14:textId="77777777" w:rsidR="00FD57F2" w:rsidRPr="00D46647" w:rsidRDefault="00FD57F2" w:rsidP="00FD57F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502"/>
        <w:gridCol w:w="1499"/>
        <w:gridCol w:w="1456"/>
        <w:gridCol w:w="1456"/>
        <w:gridCol w:w="1042"/>
        <w:gridCol w:w="1332"/>
      </w:tblGrid>
      <w:tr w:rsidR="00FD57F2" w:rsidRPr="00D46647" w14:paraId="4789A36E" w14:textId="77777777" w:rsidTr="007E3422">
        <w:tc>
          <w:tcPr>
            <w:tcW w:w="1347" w:type="pct"/>
            <w:shd w:val="clear" w:color="auto" w:fill="C6D9F1" w:themeFill="text2" w:themeFillTint="33"/>
            <w:vAlign w:val="center"/>
          </w:tcPr>
          <w:p w14:paraId="65E122DF"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Nom du projet</w:t>
            </w:r>
          </w:p>
        </w:tc>
        <w:tc>
          <w:tcPr>
            <w:tcW w:w="807" w:type="pct"/>
            <w:shd w:val="clear" w:color="auto" w:fill="C6D9F1" w:themeFill="text2" w:themeFillTint="33"/>
            <w:vAlign w:val="center"/>
          </w:tcPr>
          <w:p w14:paraId="0903A97F"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initial du projet</w:t>
            </w:r>
          </w:p>
        </w:tc>
        <w:tc>
          <w:tcPr>
            <w:tcW w:w="784" w:type="pct"/>
            <w:shd w:val="clear" w:color="auto" w:fill="C6D9F1" w:themeFill="text2" w:themeFillTint="33"/>
            <w:vAlign w:val="center"/>
          </w:tcPr>
          <w:p w14:paraId="6C8A1080" w14:textId="77777777" w:rsidR="00FD57F2" w:rsidRPr="00D46647" w:rsidRDefault="00FD57F2" w:rsidP="00FD57F2">
            <w:pPr>
              <w:keepNext/>
              <w:keepLines/>
              <w:autoSpaceDE w:val="0"/>
              <w:autoSpaceDN w:val="0"/>
              <w:adjustRightInd w:val="0"/>
              <w:jc w:val="center"/>
              <w:rPr>
                <w:b/>
                <w:sz w:val="16"/>
              </w:rPr>
            </w:pPr>
            <w:r w:rsidRPr="00D46647">
              <w:rPr>
                <w:b/>
                <w:sz w:val="16"/>
              </w:rPr>
              <w:t>Budget révisé du projet</w:t>
            </w:r>
          </w:p>
        </w:tc>
        <w:tc>
          <w:tcPr>
            <w:tcW w:w="784" w:type="pct"/>
            <w:shd w:val="clear" w:color="auto" w:fill="C6D9F1" w:themeFill="text2" w:themeFillTint="33"/>
            <w:vAlign w:val="center"/>
          </w:tcPr>
          <w:p w14:paraId="07A7F484"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561" w:type="pct"/>
            <w:shd w:val="clear" w:color="auto" w:fill="C6D9F1" w:themeFill="text2" w:themeFillTint="33"/>
            <w:vAlign w:val="center"/>
          </w:tcPr>
          <w:p w14:paraId="515C22BA"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717" w:type="pct"/>
            <w:shd w:val="clear" w:color="auto" w:fill="C6D9F1" w:themeFill="text2" w:themeFillTint="33"/>
            <w:vAlign w:val="center"/>
          </w:tcPr>
          <w:p w14:paraId="56AD0AF1"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la mise en œuvre du projet</w:t>
            </w:r>
          </w:p>
        </w:tc>
      </w:tr>
      <w:tr w:rsidR="00FD57F2" w:rsidRPr="00D46647" w14:paraId="2EC4224E" w14:textId="77777777" w:rsidTr="007E3422">
        <w:tc>
          <w:tcPr>
            <w:tcW w:w="1347" w:type="pct"/>
            <w:vAlign w:val="center"/>
          </w:tcPr>
          <w:p w14:paraId="064F91AD" w14:textId="77777777" w:rsidR="00FD57F2" w:rsidRPr="00D46647" w:rsidRDefault="00FD57F2" w:rsidP="00FD57F2">
            <w:pPr>
              <w:keepNext/>
              <w:keepLines/>
              <w:autoSpaceDE w:val="0"/>
              <w:autoSpaceDN w:val="0"/>
              <w:adjustRightInd w:val="0"/>
              <w:rPr>
                <w:sz w:val="16"/>
                <w:szCs w:val="16"/>
              </w:rPr>
            </w:pPr>
            <w:r w:rsidRPr="00D46647">
              <w:rPr>
                <w:sz w:val="16"/>
              </w:rPr>
              <w:t>Mesures de sécurité et de protection anti-incendie</w:t>
            </w:r>
          </w:p>
        </w:tc>
        <w:tc>
          <w:tcPr>
            <w:tcW w:w="807" w:type="pct"/>
            <w:vAlign w:val="center"/>
          </w:tcPr>
          <w:p w14:paraId="35943DBD" w14:textId="77777777" w:rsidR="00FD57F2" w:rsidRPr="00D46647" w:rsidRDefault="00FD57F2" w:rsidP="00FD57F2">
            <w:pPr>
              <w:keepNext/>
              <w:keepLines/>
              <w:autoSpaceDE w:val="0"/>
              <w:autoSpaceDN w:val="0"/>
              <w:adjustRightInd w:val="0"/>
              <w:jc w:val="center"/>
              <w:rPr>
                <w:sz w:val="16"/>
                <w:szCs w:val="16"/>
              </w:rPr>
            </w:pPr>
            <w:r w:rsidRPr="00D46647">
              <w:rPr>
                <w:sz w:val="16"/>
              </w:rPr>
              <w:t>400 000</w:t>
            </w:r>
          </w:p>
        </w:tc>
        <w:tc>
          <w:tcPr>
            <w:tcW w:w="784" w:type="pct"/>
            <w:vAlign w:val="center"/>
          </w:tcPr>
          <w:p w14:paraId="131155BA" w14:textId="77777777" w:rsidR="00FD57F2" w:rsidRPr="00D46647" w:rsidRDefault="00FD57F2" w:rsidP="00FD57F2">
            <w:pPr>
              <w:keepNext/>
              <w:keepLines/>
              <w:autoSpaceDE w:val="0"/>
              <w:autoSpaceDN w:val="0"/>
              <w:adjustRightInd w:val="0"/>
              <w:jc w:val="center"/>
              <w:rPr>
                <w:sz w:val="16"/>
                <w:szCs w:val="16"/>
                <w:lang w:val="fr-CH"/>
              </w:rPr>
            </w:pPr>
            <w:r w:rsidRPr="00D46647">
              <w:rPr>
                <w:sz w:val="16"/>
                <w:szCs w:val="16"/>
                <w:lang w:val="fr-CH"/>
              </w:rPr>
              <w:t>335 000</w:t>
            </w:r>
          </w:p>
        </w:tc>
        <w:tc>
          <w:tcPr>
            <w:tcW w:w="784" w:type="pct"/>
            <w:vAlign w:val="center"/>
          </w:tcPr>
          <w:p w14:paraId="1B1280C9" w14:textId="77777777" w:rsidR="00FD57F2" w:rsidRPr="00D46647" w:rsidRDefault="00FD57F2" w:rsidP="00FD57F2">
            <w:pPr>
              <w:keepNext/>
              <w:keepLines/>
              <w:autoSpaceDE w:val="0"/>
              <w:autoSpaceDN w:val="0"/>
              <w:adjustRightInd w:val="0"/>
              <w:jc w:val="center"/>
              <w:rPr>
                <w:sz w:val="16"/>
                <w:szCs w:val="16"/>
                <w:lang w:val="fr-CH"/>
              </w:rPr>
            </w:pPr>
            <w:r w:rsidRPr="00D46647">
              <w:rPr>
                <w:sz w:val="16"/>
                <w:szCs w:val="16"/>
                <w:lang w:val="fr-CH"/>
              </w:rPr>
              <w:t>190 066</w:t>
            </w:r>
          </w:p>
        </w:tc>
        <w:tc>
          <w:tcPr>
            <w:tcW w:w="561" w:type="pct"/>
            <w:vAlign w:val="center"/>
          </w:tcPr>
          <w:p w14:paraId="2FE36C0C" w14:textId="77777777" w:rsidR="00FD57F2" w:rsidRPr="00D46647" w:rsidRDefault="00FD57F2" w:rsidP="00FD57F2">
            <w:pPr>
              <w:keepNext/>
              <w:keepLines/>
              <w:autoSpaceDE w:val="0"/>
              <w:autoSpaceDN w:val="0"/>
              <w:adjustRightInd w:val="0"/>
              <w:jc w:val="center"/>
              <w:rPr>
                <w:sz w:val="16"/>
                <w:szCs w:val="16"/>
                <w:lang w:val="fr-CH"/>
              </w:rPr>
            </w:pPr>
            <w:r w:rsidRPr="00D46647">
              <w:rPr>
                <w:sz w:val="16"/>
                <w:szCs w:val="16"/>
                <w:lang w:val="fr-CH"/>
              </w:rPr>
              <w:t>56,7%</w:t>
            </w:r>
          </w:p>
        </w:tc>
        <w:tc>
          <w:tcPr>
            <w:tcW w:w="717" w:type="pct"/>
            <w:vAlign w:val="center"/>
          </w:tcPr>
          <w:p w14:paraId="42B4D7B5" w14:textId="77777777" w:rsidR="00FD57F2" w:rsidRPr="00D46647" w:rsidRDefault="00FD57F2" w:rsidP="00FD57F2">
            <w:pPr>
              <w:keepNext/>
              <w:keepLines/>
              <w:autoSpaceDE w:val="0"/>
              <w:autoSpaceDN w:val="0"/>
              <w:adjustRightInd w:val="0"/>
              <w:jc w:val="center"/>
              <w:rPr>
                <w:sz w:val="16"/>
                <w:szCs w:val="16"/>
                <w:lang w:val="fr-CH"/>
              </w:rPr>
            </w:pPr>
            <w:r w:rsidRPr="00D46647">
              <w:rPr>
                <w:sz w:val="16"/>
                <w:szCs w:val="16"/>
                <w:lang w:val="fr-CH"/>
              </w:rPr>
              <w:t>50%</w:t>
            </w:r>
          </w:p>
        </w:tc>
      </w:tr>
    </w:tbl>
    <w:p w14:paraId="3564E53A" w14:textId="77777777" w:rsidR="00FD57F2" w:rsidRPr="007E3422" w:rsidRDefault="00FD57F2" w:rsidP="00FD57F2">
      <w:pPr>
        <w:keepNext/>
        <w:autoSpaceDE w:val="0"/>
        <w:autoSpaceDN w:val="0"/>
        <w:rPr>
          <w:sz w:val="18"/>
          <w:szCs w:val="18"/>
        </w:rPr>
      </w:pPr>
    </w:p>
    <w:p w14:paraId="7ABAA235" w14:textId="77777777" w:rsidR="00FD57F2" w:rsidRPr="007E3422" w:rsidRDefault="00FD57F2" w:rsidP="00FD57F2">
      <w:pPr>
        <w:keepNext/>
        <w:keepLines/>
        <w:tabs>
          <w:tab w:val="left" w:pos="3261"/>
        </w:tabs>
        <w:autoSpaceDE w:val="0"/>
        <w:autoSpaceDN w:val="0"/>
        <w:adjustRightInd w:val="0"/>
        <w:rPr>
          <w:b/>
          <w:sz w:val="18"/>
          <w:szCs w:val="18"/>
        </w:rPr>
      </w:pPr>
    </w:p>
    <w:p w14:paraId="0EAC3B65" w14:textId="77777777" w:rsidR="00FD57F2" w:rsidRPr="007E3422" w:rsidRDefault="00FD57F2" w:rsidP="00FD57F2">
      <w:pPr>
        <w:keepNext/>
        <w:keepLines/>
        <w:tabs>
          <w:tab w:val="left" w:pos="3261"/>
        </w:tabs>
        <w:autoSpaceDE w:val="0"/>
        <w:autoSpaceDN w:val="0"/>
        <w:adjustRightInd w:val="0"/>
        <w:jc w:val="center"/>
        <w:rPr>
          <w:b/>
          <w:sz w:val="20"/>
        </w:rPr>
      </w:pPr>
      <w:r w:rsidRPr="007E3422">
        <w:rPr>
          <w:b/>
          <w:sz w:val="20"/>
          <w:szCs w:val="18"/>
        </w:rPr>
        <w:t>Utilisation du budget du projet (par étape)</w:t>
      </w:r>
    </w:p>
    <w:p w14:paraId="006F597A" w14:textId="77777777" w:rsidR="00FD57F2" w:rsidRPr="00D46647" w:rsidRDefault="00FD57F2" w:rsidP="00FD57F2">
      <w:pPr>
        <w:keepNext/>
        <w:keepLines/>
        <w:tabs>
          <w:tab w:val="left" w:pos="3261"/>
        </w:tabs>
        <w:autoSpaceDE w:val="0"/>
        <w:autoSpaceDN w:val="0"/>
        <w:adjustRightInd w:val="0"/>
        <w:jc w:val="center"/>
        <w:rPr>
          <w:i/>
          <w:sz w:val="18"/>
        </w:rPr>
      </w:pPr>
      <w:r w:rsidRPr="00D46647">
        <w:rPr>
          <w:i/>
          <w:sz w:val="18"/>
        </w:rPr>
        <w:t>(en francs suisses, au 31 décembre 2016)</w:t>
      </w:r>
    </w:p>
    <w:p w14:paraId="4AC8513F" w14:textId="77777777" w:rsidR="00FD57F2" w:rsidRPr="00D46647" w:rsidRDefault="00FD57F2" w:rsidP="00FD57F2">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656"/>
        <w:gridCol w:w="1194"/>
        <w:gridCol w:w="1369"/>
        <w:gridCol w:w="1369"/>
        <w:gridCol w:w="1345"/>
        <w:gridCol w:w="1354"/>
      </w:tblGrid>
      <w:tr w:rsidR="00FD57F2" w:rsidRPr="00D46647" w14:paraId="5B4DFA9D" w14:textId="77777777" w:rsidTr="007E3422">
        <w:tc>
          <w:tcPr>
            <w:tcW w:w="1430" w:type="pct"/>
            <w:shd w:val="clear" w:color="auto" w:fill="C6D9F1" w:themeFill="text2" w:themeFillTint="33"/>
            <w:vAlign w:val="center"/>
          </w:tcPr>
          <w:p w14:paraId="01E1B303"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Étape principale</w:t>
            </w:r>
          </w:p>
        </w:tc>
        <w:tc>
          <w:tcPr>
            <w:tcW w:w="643" w:type="pct"/>
            <w:shd w:val="clear" w:color="auto" w:fill="C6D9F1" w:themeFill="text2" w:themeFillTint="33"/>
            <w:vAlign w:val="center"/>
          </w:tcPr>
          <w:p w14:paraId="4A9D1FDA"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Budget initial du projet</w:t>
            </w:r>
          </w:p>
        </w:tc>
        <w:tc>
          <w:tcPr>
            <w:tcW w:w="737" w:type="pct"/>
            <w:shd w:val="clear" w:color="auto" w:fill="C6D9F1" w:themeFill="text2" w:themeFillTint="33"/>
            <w:vAlign w:val="center"/>
          </w:tcPr>
          <w:p w14:paraId="08DBDD05" w14:textId="77777777" w:rsidR="00FD57F2" w:rsidRPr="00D46647" w:rsidRDefault="00FD57F2" w:rsidP="00FD57F2">
            <w:pPr>
              <w:keepNext/>
              <w:keepLines/>
              <w:autoSpaceDE w:val="0"/>
              <w:autoSpaceDN w:val="0"/>
              <w:adjustRightInd w:val="0"/>
              <w:jc w:val="center"/>
              <w:rPr>
                <w:b/>
                <w:sz w:val="16"/>
              </w:rPr>
            </w:pPr>
            <w:r w:rsidRPr="00D46647">
              <w:rPr>
                <w:b/>
                <w:sz w:val="16"/>
              </w:rPr>
              <w:t>Budget révisé du projet</w:t>
            </w:r>
          </w:p>
        </w:tc>
        <w:tc>
          <w:tcPr>
            <w:tcW w:w="737" w:type="pct"/>
            <w:shd w:val="clear" w:color="auto" w:fill="C6D9F1" w:themeFill="text2" w:themeFillTint="33"/>
            <w:vAlign w:val="center"/>
          </w:tcPr>
          <w:p w14:paraId="75BAC5BB"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Dépenses effectives à ce jour</w:t>
            </w:r>
          </w:p>
        </w:tc>
        <w:tc>
          <w:tcPr>
            <w:tcW w:w="724" w:type="pct"/>
            <w:shd w:val="clear" w:color="auto" w:fill="C6D9F1" w:themeFill="text2" w:themeFillTint="33"/>
            <w:vAlign w:val="center"/>
          </w:tcPr>
          <w:p w14:paraId="19408AA0"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c>
          <w:tcPr>
            <w:tcW w:w="729" w:type="pct"/>
            <w:shd w:val="clear" w:color="auto" w:fill="C6D9F1" w:themeFill="text2" w:themeFillTint="33"/>
            <w:vAlign w:val="center"/>
          </w:tcPr>
          <w:p w14:paraId="5C12E0FC" w14:textId="77777777" w:rsidR="00FD57F2" w:rsidRPr="00D46647" w:rsidRDefault="00FD57F2" w:rsidP="00FD57F2">
            <w:pPr>
              <w:keepNext/>
              <w:keepLines/>
              <w:autoSpaceDE w:val="0"/>
              <w:autoSpaceDN w:val="0"/>
              <w:adjustRightInd w:val="0"/>
              <w:ind w:firstLine="1"/>
              <w:jc w:val="center"/>
              <w:rPr>
                <w:b/>
                <w:bCs/>
                <w:sz w:val="16"/>
                <w:szCs w:val="16"/>
              </w:rPr>
            </w:pPr>
            <w:r w:rsidRPr="00D46647">
              <w:rPr>
                <w:b/>
                <w:sz w:val="16"/>
              </w:rPr>
              <w:t>Taux d’avancement de mise en œuvre par étape</w:t>
            </w:r>
          </w:p>
        </w:tc>
      </w:tr>
      <w:tr w:rsidR="00FD57F2" w:rsidRPr="00D46647" w14:paraId="36E0712B" w14:textId="77777777" w:rsidTr="007E3422">
        <w:tc>
          <w:tcPr>
            <w:tcW w:w="1430" w:type="pct"/>
            <w:vAlign w:val="center"/>
          </w:tcPr>
          <w:p w14:paraId="5994356C" w14:textId="77777777" w:rsidR="00FD57F2" w:rsidRPr="00D46647" w:rsidRDefault="00FD57F2" w:rsidP="00FD57F2">
            <w:pPr>
              <w:rPr>
                <w:sz w:val="16"/>
                <w:szCs w:val="16"/>
              </w:rPr>
            </w:pPr>
            <w:r w:rsidRPr="00D46647">
              <w:rPr>
                <w:sz w:val="16"/>
              </w:rPr>
              <w:t>Compartimentation du bâtiment du PCT</w:t>
            </w:r>
          </w:p>
          <w:p w14:paraId="25D248A7" w14:textId="77777777" w:rsidR="00FD57F2" w:rsidRPr="00D46647" w:rsidRDefault="00FD57F2" w:rsidP="00FD57F2">
            <w:pPr>
              <w:rPr>
                <w:sz w:val="16"/>
                <w:szCs w:val="16"/>
              </w:rPr>
            </w:pPr>
            <w:r w:rsidRPr="00D46647">
              <w:rPr>
                <w:sz w:val="16"/>
              </w:rPr>
              <w:t>Achèvement des travaux</w:t>
            </w:r>
          </w:p>
        </w:tc>
        <w:tc>
          <w:tcPr>
            <w:tcW w:w="643" w:type="pct"/>
            <w:vAlign w:val="center"/>
          </w:tcPr>
          <w:p w14:paraId="0F39EF09" w14:textId="77777777" w:rsidR="00FD57F2" w:rsidRPr="00D46647" w:rsidRDefault="00FD57F2" w:rsidP="00FD57F2">
            <w:pPr>
              <w:autoSpaceDE w:val="0"/>
              <w:autoSpaceDN w:val="0"/>
              <w:adjustRightInd w:val="0"/>
              <w:jc w:val="center"/>
              <w:rPr>
                <w:sz w:val="16"/>
                <w:szCs w:val="16"/>
              </w:rPr>
            </w:pPr>
            <w:r w:rsidRPr="00D46647">
              <w:rPr>
                <w:sz w:val="16"/>
                <w:szCs w:val="16"/>
              </w:rPr>
              <w:t>45 000</w:t>
            </w:r>
          </w:p>
        </w:tc>
        <w:tc>
          <w:tcPr>
            <w:tcW w:w="737" w:type="pct"/>
            <w:vAlign w:val="center"/>
          </w:tcPr>
          <w:p w14:paraId="3C93E0DF" w14:textId="77777777" w:rsidR="00FD57F2" w:rsidRPr="00D46647" w:rsidRDefault="00FD57F2" w:rsidP="00FD57F2">
            <w:pPr>
              <w:autoSpaceDE w:val="0"/>
              <w:autoSpaceDN w:val="0"/>
              <w:adjustRightInd w:val="0"/>
              <w:jc w:val="center"/>
              <w:rPr>
                <w:sz w:val="16"/>
                <w:szCs w:val="16"/>
              </w:rPr>
            </w:pPr>
            <w:r w:rsidRPr="00D46647">
              <w:rPr>
                <w:sz w:val="16"/>
                <w:szCs w:val="16"/>
              </w:rPr>
              <w:t>45 000</w:t>
            </w:r>
          </w:p>
        </w:tc>
        <w:tc>
          <w:tcPr>
            <w:tcW w:w="737" w:type="pct"/>
            <w:vAlign w:val="center"/>
          </w:tcPr>
          <w:p w14:paraId="1026921F" w14:textId="77777777" w:rsidR="00FD57F2" w:rsidRPr="00D46647" w:rsidRDefault="00FD57F2" w:rsidP="00FD57F2">
            <w:pPr>
              <w:autoSpaceDE w:val="0"/>
              <w:autoSpaceDN w:val="0"/>
              <w:adjustRightInd w:val="0"/>
              <w:jc w:val="center"/>
              <w:rPr>
                <w:sz w:val="16"/>
                <w:szCs w:val="16"/>
              </w:rPr>
            </w:pPr>
            <w:r w:rsidRPr="00D46647">
              <w:rPr>
                <w:sz w:val="16"/>
                <w:szCs w:val="16"/>
              </w:rPr>
              <w:t>44 394</w:t>
            </w:r>
          </w:p>
        </w:tc>
        <w:tc>
          <w:tcPr>
            <w:tcW w:w="724" w:type="pct"/>
            <w:vAlign w:val="center"/>
          </w:tcPr>
          <w:p w14:paraId="32C07133" w14:textId="77777777" w:rsidR="00FD57F2" w:rsidRPr="00D46647" w:rsidRDefault="00FD57F2" w:rsidP="00FD57F2">
            <w:pPr>
              <w:autoSpaceDE w:val="0"/>
              <w:autoSpaceDN w:val="0"/>
              <w:adjustRightInd w:val="0"/>
              <w:jc w:val="center"/>
              <w:rPr>
                <w:sz w:val="16"/>
                <w:szCs w:val="16"/>
              </w:rPr>
            </w:pPr>
            <w:r w:rsidRPr="00D46647">
              <w:rPr>
                <w:sz w:val="16"/>
                <w:szCs w:val="16"/>
              </w:rPr>
              <w:t>98,7%</w:t>
            </w:r>
          </w:p>
        </w:tc>
        <w:tc>
          <w:tcPr>
            <w:tcW w:w="729" w:type="pct"/>
            <w:vAlign w:val="center"/>
          </w:tcPr>
          <w:p w14:paraId="1BC38560"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r>
      <w:tr w:rsidR="00FD57F2" w:rsidRPr="00D46647" w14:paraId="1A42EAB8" w14:textId="77777777" w:rsidTr="007E3422">
        <w:tc>
          <w:tcPr>
            <w:tcW w:w="1430" w:type="pct"/>
            <w:vAlign w:val="center"/>
          </w:tcPr>
          <w:p w14:paraId="5B62486D" w14:textId="77777777" w:rsidR="00FD57F2" w:rsidRPr="00D46647" w:rsidRDefault="00FD57F2" w:rsidP="00FD57F2">
            <w:pPr>
              <w:keepNext/>
              <w:keepLines/>
              <w:autoSpaceDE w:val="0"/>
              <w:autoSpaceDN w:val="0"/>
              <w:adjustRightInd w:val="0"/>
              <w:rPr>
                <w:sz w:val="16"/>
                <w:szCs w:val="16"/>
              </w:rPr>
            </w:pPr>
            <w:r w:rsidRPr="00D46647">
              <w:rPr>
                <w:sz w:val="16"/>
              </w:rPr>
              <w:t>Planification de l’espace améliorée dans la zone réservée aux délégués du bâtiment AB -2/Création d’un sas au niveau des paliers d’ascenseur du bâtiment AB, niveau -2</w:t>
            </w:r>
          </w:p>
        </w:tc>
        <w:tc>
          <w:tcPr>
            <w:tcW w:w="643" w:type="pct"/>
            <w:vAlign w:val="center"/>
          </w:tcPr>
          <w:p w14:paraId="64815436" w14:textId="77777777" w:rsidR="00FD57F2" w:rsidRPr="00D46647" w:rsidRDefault="00FD57F2" w:rsidP="00FD57F2">
            <w:pPr>
              <w:autoSpaceDE w:val="0"/>
              <w:autoSpaceDN w:val="0"/>
              <w:adjustRightInd w:val="0"/>
              <w:jc w:val="center"/>
              <w:rPr>
                <w:sz w:val="16"/>
                <w:szCs w:val="16"/>
              </w:rPr>
            </w:pPr>
            <w:r w:rsidRPr="00D46647">
              <w:rPr>
                <w:sz w:val="16"/>
                <w:szCs w:val="16"/>
              </w:rPr>
              <w:t>55 000</w:t>
            </w:r>
          </w:p>
        </w:tc>
        <w:tc>
          <w:tcPr>
            <w:tcW w:w="737" w:type="pct"/>
            <w:vAlign w:val="center"/>
          </w:tcPr>
          <w:p w14:paraId="50889AEB" w14:textId="77777777" w:rsidR="00FD57F2" w:rsidRPr="00D46647" w:rsidRDefault="00FD57F2" w:rsidP="00FD57F2">
            <w:pPr>
              <w:autoSpaceDE w:val="0"/>
              <w:autoSpaceDN w:val="0"/>
              <w:adjustRightInd w:val="0"/>
              <w:jc w:val="center"/>
              <w:rPr>
                <w:sz w:val="16"/>
                <w:szCs w:val="16"/>
              </w:rPr>
            </w:pPr>
            <w:r w:rsidRPr="00D46647">
              <w:rPr>
                <w:sz w:val="16"/>
                <w:szCs w:val="16"/>
              </w:rPr>
              <w:t>55 000</w:t>
            </w:r>
          </w:p>
        </w:tc>
        <w:tc>
          <w:tcPr>
            <w:tcW w:w="737" w:type="pct"/>
            <w:vAlign w:val="center"/>
          </w:tcPr>
          <w:p w14:paraId="23AC1A84" w14:textId="77777777" w:rsidR="00FD57F2" w:rsidRPr="00D46647" w:rsidRDefault="00FD57F2" w:rsidP="00FD57F2">
            <w:pPr>
              <w:autoSpaceDE w:val="0"/>
              <w:autoSpaceDN w:val="0"/>
              <w:adjustRightInd w:val="0"/>
              <w:jc w:val="center"/>
              <w:rPr>
                <w:sz w:val="16"/>
                <w:szCs w:val="16"/>
              </w:rPr>
            </w:pPr>
            <w:r w:rsidRPr="00D46647">
              <w:rPr>
                <w:sz w:val="16"/>
                <w:szCs w:val="16"/>
              </w:rPr>
              <w:t>78 195</w:t>
            </w:r>
          </w:p>
        </w:tc>
        <w:tc>
          <w:tcPr>
            <w:tcW w:w="724" w:type="pct"/>
            <w:vAlign w:val="center"/>
          </w:tcPr>
          <w:p w14:paraId="1C81F812" w14:textId="77777777" w:rsidR="00FD57F2" w:rsidRPr="00D46647" w:rsidRDefault="00FD57F2" w:rsidP="00FD57F2">
            <w:pPr>
              <w:autoSpaceDE w:val="0"/>
              <w:autoSpaceDN w:val="0"/>
              <w:adjustRightInd w:val="0"/>
              <w:jc w:val="center"/>
              <w:rPr>
                <w:sz w:val="16"/>
                <w:szCs w:val="16"/>
              </w:rPr>
            </w:pPr>
            <w:r w:rsidRPr="00D46647">
              <w:rPr>
                <w:sz w:val="16"/>
                <w:szCs w:val="16"/>
              </w:rPr>
              <w:t>142,2%</w:t>
            </w:r>
          </w:p>
        </w:tc>
        <w:tc>
          <w:tcPr>
            <w:tcW w:w="729" w:type="pct"/>
            <w:vAlign w:val="center"/>
          </w:tcPr>
          <w:p w14:paraId="41169445" w14:textId="77777777" w:rsidR="00FD57F2" w:rsidRPr="00D46647" w:rsidRDefault="00FD57F2" w:rsidP="00FD57F2">
            <w:pPr>
              <w:autoSpaceDE w:val="0"/>
              <w:autoSpaceDN w:val="0"/>
              <w:adjustRightInd w:val="0"/>
              <w:jc w:val="center"/>
              <w:rPr>
                <w:sz w:val="16"/>
                <w:szCs w:val="16"/>
              </w:rPr>
            </w:pPr>
            <w:r w:rsidRPr="00D46647">
              <w:rPr>
                <w:sz w:val="16"/>
                <w:szCs w:val="16"/>
              </w:rPr>
              <w:t>100%</w:t>
            </w:r>
          </w:p>
        </w:tc>
      </w:tr>
      <w:tr w:rsidR="00FD57F2" w:rsidRPr="00D46647" w14:paraId="66ADFEE5" w14:textId="77777777" w:rsidTr="007E3422">
        <w:tc>
          <w:tcPr>
            <w:tcW w:w="1430" w:type="pct"/>
            <w:vAlign w:val="center"/>
          </w:tcPr>
          <w:p w14:paraId="14334B8B" w14:textId="77777777" w:rsidR="00FD57F2" w:rsidRPr="00D46647" w:rsidRDefault="00FD57F2" w:rsidP="00FD57F2">
            <w:pPr>
              <w:keepNext/>
              <w:keepLines/>
              <w:autoSpaceDE w:val="0"/>
              <w:autoSpaceDN w:val="0"/>
              <w:adjustRightInd w:val="0"/>
              <w:rPr>
                <w:sz w:val="16"/>
                <w:szCs w:val="16"/>
              </w:rPr>
            </w:pPr>
            <w:r w:rsidRPr="00D46647">
              <w:rPr>
                <w:sz w:val="16"/>
              </w:rPr>
              <w:t>Projet relatifs à la compartimentation entre les bâtiments GBI et AB</w:t>
            </w:r>
          </w:p>
        </w:tc>
        <w:tc>
          <w:tcPr>
            <w:tcW w:w="643" w:type="pct"/>
            <w:vAlign w:val="center"/>
          </w:tcPr>
          <w:p w14:paraId="0EE5DDE7" w14:textId="77777777" w:rsidR="00FD57F2" w:rsidRPr="00D46647" w:rsidRDefault="00FD57F2" w:rsidP="00FD57F2">
            <w:pPr>
              <w:autoSpaceDE w:val="0"/>
              <w:autoSpaceDN w:val="0"/>
              <w:adjustRightInd w:val="0"/>
              <w:jc w:val="center"/>
              <w:rPr>
                <w:sz w:val="16"/>
                <w:szCs w:val="16"/>
              </w:rPr>
            </w:pPr>
            <w:r w:rsidRPr="00D46647">
              <w:rPr>
                <w:sz w:val="16"/>
                <w:szCs w:val="16"/>
              </w:rPr>
              <w:t>175 000</w:t>
            </w:r>
          </w:p>
        </w:tc>
        <w:tc>
          <w:tcPr>
            <w:tcW w:w="737" w:type="pct"/>
            <w:vAlign w:val="center"/>
          </w:tcPr>
          <w:p w14:paraId="237EA88F" w14:textId="77777777" w:rsidR="00FD57F2" w:rsidRPr="00D46647" w:rsidRDefault="00FD57F2" w:rsidP="00FD57F2">
            <w:pPr>
              <w:autoSpaceDE w:val="0"/>
              <w:autoSpaceDN w:val="0"/>
              <w:adjustRightInd w:val="0"/>
              <w:jc w:val="center"/>
              <w:rPr>
                <w:sz w:val="16"/>
                <w:szCs w:val="16"/>
              </w:rPr>
            </w:pPr>
            <w:r w:rsidRPr="00D46647">
              <w:rPr>
                <w:sz w:val="16"/>
                <w:szCs w:val="16"/>
              </w:rPr>
              <w:t>175 000</w:t>
            </w:r>
          </w:p>
        </w:tc>
        <w:tc>
          <w:tcPr>
            <w:tcW w:w="737" w:type="pct"/>
            <w:vAlign w:val="center"/>
          </w:tcPr>
          <w:p w14:paraId="4D152DEC" w14:textId="77777777" w:rsidR="00FD57F2" w:rsidRPr="00D46647" w:rsidRDefault="00FD57F2" w:rsidP="00FD57F2">
            <w:pPr>
              <w:autoSpaceDE w:val="0"/>
              <w:autoSpaceDN w:val="0"/>
              <w:adjustRightInd w:val="0"/>
              <w:jc w:val="center"/>
              <w:rPr>
                <w:sz w:val="16"/>
                <w:szCs w:val="16"/>
              </w:rPr>
            </w:pPr>
            <w:r w:rsidRPr="00D46647">
              <w:rPr>
                <w:sz w:val="16"/>
                <w:szCs w:val="16"/>
              </w:rPr>
              <w:t>67 478</w:t>
            </w:r>
          </w:p>
        </w:tc>
        <w:tc>
          <w:tcPr>
            <w:tcW w:w="724" w:type="pct"/>
            <w:vAlign w:val="center"/>
          </w:tcPr>
          <w:p w14:paraId="408F8483" w14:textId="77777777" w:rsidR="00FD57F2" w:rsidRPr="00D46647" w:rsidRDefault="00FD57F2" w:rsidP="00FD57F2">
            <w:pPr>
              <w:autoSpaceDE w:val="0"/>
              <w:autoSpaceDN w:val="0"/>
              <w:adjustRightInd w:val="0"/>
              <w:jc w:val="center"/>
              <w:rPr>
                <w:sz w:val="16"/>
                <w:szCs w:val="16"/>
              </w:rPr>
            </w:pPr>
            <w:r w:rsidRPr="00D46647">
              <w:rPr>
                <w:sz w:val="16"/>
                <w:szCs w:val="16"/>
              </w:rPr>
              <w:t>38,6%</w:t>
            </w:r>
          </w:p>
        </w:tc>
        <w:tc>
          <w:tcPr>
            <w:tcW w:w="729" w:type="pct"/>
            <w:vAlign w:val="center"/>
          </w:tcPr>
          <w:p w14:paraId="5CDB5DE5" w14:textId="77777777" w:rsidR="00FD57F2" w:rsidRPr="00D46647" w:rsidRDefault="00FD57F2" w:rsidP="00FD57F2">
            <w:pPr>
              <w:autoSpaceDE w:val="0"/>
              <w:autoSpaceDN w:val="0"/>
              <w:adjustRightInd w:val="0"/>
              <w:jc w:val="center"/>
              <w:rPr>
                <w:sz w:val="16"/>
                <w:szCs w:val="16"/>
              </w:rPr>
            </w:pPr>
            <w:r w:rsidRPr="00D46647">
              <w:rPr>
                <w:sz w:val="16"/>
                <w:szCs w:val="16"/>
              </w:rPr>
              <w:t>80%</w:t>
            </w:r>
          </w:p>
        </w:tc>
      </w:tr>
      <w:tr w:rsidR="00FD57F2" w:rsidRPr="00D46647" w14:paraId="44677BC8" w14:textId="77777777" w:rsidTr="007E3422">
        <w:tc>
          <w:tcPr>
            <w:tcW w:w="1430" w:type="pct"/>
            <w:vAlign w:val="center"/>
          </w:tcPr>
          <w:p w14:paraId="3C1875D4" w14:textId="77777777" w:rsidR="00FD57F2" w:rsidRPr="00D46647" w:rsidRDefault="00FD57F2" w:rsidP="00FD57F2">
            <w:pPr>
              <w:keepNext/>
              <w:keepLines/>
              <w:autoSpaceDE w:val="0"/>
              <w:autoSpaceDN w:val="0"/>
              <w:adjustRightInd w:val="0"/>
              <w:rPr>
                <w:sz w:val="16"/>
                <w:szCs w:val="16"/>
              </w:rPr>
            </w:pPr>
            <w:r w:rsidRPr="00D46647">
              <w:rPr>
                <w:sz w:val="16"/>
              </w:rPr>
              <w:t>Projet relatif à la compartimentation entre les bâtiments GBI et GBII (tous les niveaux sauf -1)</w:t>
            </w:r>
            <w:r w:rsidRPr="00D46647">
              <w:rPr>
                <w:rStyle w:val="FootnoteReference"/>
                <w:rFonts w:cs="Arial"/>
              </w:rPr>
              <w:footnoteReference w:id="126"/>
            </w:r>
          </w:p>
        </w:tc>
        <w:tc>
          <w:tcPr>
            <w:tcW w:w="643" w:type="pct"/>
            <w:vAlign w:val="center"/>
          </w:tcPr>
          <w:p w14:paraId="116D094E" w14:textId="77777777" w:rsidR="00FD57F2" w:rsidRPr="00D46647" w:rsidRDefault="00FD57F2" w:rsidP="00FD57F2">
            <w:pPr>
              <w:autoSpaceDE w:val="0"/>
              <w:autoSpaceDN w:val="0"/>
              <w:adjustRightInd w:val="0"/>
              <w:jc w:val="center"/>
              <w:rPr>
                <w:sz w:val="16"/>
                <w:szCs w:val="16"/>
              </w:rPr>
            </w:pPr>
            <w:r w:rsidRPr="00D46647">
              <w:rPr>
                <w:sz w:val="16"/>
                <w:szCs w:val="16"/>
              </w:rPr>
              <w:t>65 000</w:t>
            </w:r>
          </w:p>
        </w:tc>
        <w:tc>
          <w:tcPr>
            <w:tcW w:w="737" w:type="pct"/>
            <w:vAlign w:val="center"/>
          </w:tcPr>
          <w:p w14:paraId="1F0AAD29"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737" w:type="pct"/>
            <w:vAlign w:val="center"/>
          </w:tcPr>
          <w:p w14:paraId="77A1BDBB"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724" w:type="pct"/>
            <w:vAlign w:val="center"/>
          </w:tcPr>
          <w:p w14:paraId="12F8A5D9"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729" w:type="pct"/>
            <w:vAlign w:val="center"/>
          </w:tcPr>
          <w:p w14:paraId="67FF337F"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7F2F7B9C" w14:textId="77777777" w:rsidTr="007E3422">
        <w:tc>
          <w:tcPr>
            <w:tcW w:w="1430" w:type="pct"/>
            <w:vAlign w:val="center"/>
          </w:tcPr>
          <w:p w14:paraId="51049008" w14:textId="77777777" w:rsidR="00FD57F2" w:rsidRPr="00D46647" w:rsidRDefault="00FD57F2" w:rsidP="00FD57F2">
            <w:pPr>
              <w:keepNext/>
              <w:keepLines/>
              <w:autoSpaceDE w:val="0"/>
              <w:autoSpaceDN w:val="0"/>
              <w:adjustRightInd w:val="0"/>
              <w:rPr>
                <w:sz w:val="16"/>
                <w:szCs w:val="16"/>
              </w:rPr>
            </w:pPr>
            <w:r w:rsidRPr="00D46647">
              <w:rPr>
                <w:sz w:val="16"/>
              </w:rPr>
              <w:t>Projet relatif à la compartimentation entre le parking souterrain du bâtiment AB et le bâtiment AB (sauf niveau -2).</w:t>
            </w:r>
          </w:p>
        </w:tc>
        <w:tc>
          <w:tcPr>
            <w:tcW w:w="643" w:type="pct"/>
            <w:vAlign w:val="center"/>
          </w:tcPr>
          <w:p w14:paraId="37165DB8" w14:textId="77777777" w:rsidR="00FD57F2" w:rsidRPr="00D46647" w:rsidRDefault="00FD57F2" w:rsidP="00FD57F2">
            <w:pPr>
              <w:autoSpaceDE w:val="0"/>
              <w:autoSpaceDN w:val="0"/>
              <w:adjustRightInd w:val="0"/>
              <w:jc w:val="center"/>
              <w:rPr>
                <w:sz w:val="16"/>
                <w:szCs w:val="16"/>
              </w:rPr>
            </w:pPr>
            <w:r w:rsidRPr="00D46647">
              <w:rPr>
                <w:sz w:val="16"/>
                <w:szCs w:val="16"/>
              </w:rPr>
              <w:t>60 000</w:t>
            </w:r>
          </w:p>
        </w:tc>
        <w:tc>
          <w:tcPr>
            <w:tcW w:w="737" w:type="pct"/>
            <w:vAlign w:val="center"/>
          </w:tcPr>
          <w:p w14:paraId="70163B60" w14:textId="77777777" w:rsidR="00FD57F2" w:rsidRPr="00D46647" w:rsidRDefault="00FD57F2" w:rsidP="00FD57F2">
            <w:pPr>
              <w:autoSpaceDE w:val="0"/>
              <w:autoSpaceDN w:val="0"/>
              <w:adjustRightInd w:val="0"/>
              <w:jc w:val="center"/>
              <w:rPr>
                <w:sz w:val="16"/>
                <w:szCs w:val="16"/>
              </w:rPr>
            </w:pPr>
            <w:r w:rsidRPr="00D46647">
              <w:rPr>
                <w:sz w:val="16"/>
                <w:szCs w:val="16"/>
              </w:rPr>
              <w:t>60 000</w:t>
            </w:r>
          </w:p>
        </w:tc>
        <w:tc>
          <w:tcPr>
            <w:tcW w:w="737" w:type="pct"/>
            <w:vAlign w:val="center"/>
          </w:tcPr>
          <w:p w14:paraId="1FF0C26B"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724" w:type="pct"/>
            <w:vAlign w:val="center"/>
          </w:tcPr>
          <w:p w14:paraId="725F55F7"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729" w:type="pct"/>
            <w:vAlign w:val="center"/>
          </w:tcPr>
          <w:p w14:paraId="4E71CF6E"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14C6C6C2" w14:textId="77777777" w:rsidTr="007E3422">
        <w:tc>
          <w:tcPr>
            <w:tcW w:w="1430" w:type="pct"/>
            <w:shd w:val="clear" w:color="auto" w:fill="C6D9F1" w:themeFill="text2" w:themeFillTint="33"/>
            <w:vAlign w:val="center"/>
          </w:tcPr>
          <w:p w14:paraId="5BA608E8" w14:textId="77777777" w:rsidR="00FD57F2" w:rsidRPr="00D46647" w:rsidRDefault="00FD57F2" w:rsidP="00FD57F2">
            <w:pPr>
              <w:keepNext/>
              <w:keepLines/>
              <w:autoSpaceDE w:val="0"/>
              <w:autoSpaceDN w:val="0"/>
              <w:adjustRightInd w:val="0"/>
              <w:rPr>
                <w:b/>
                <w:sz w:val="16"/>
                <w:szCs w:val="16"/>
              </w:rPr>
            </w:pPr>
            <w:r w:rsidRPr="00D46647">
              <w:rPr>
                <w:b/>
                <w:sz w:val="16"/>
              </w:rPr>
              <w:t>Total</w:t>
            </w:r>
          </w:p>
        </w:tc>
        <w:tc>
          <w:tcPr>
            <w:tcW w:w="643" w:type="pct"/>
            <w:shd w:val="clear" w:color="auto" w:fill="C6D9F1" w:themeFill="text2" w:themeFillTint="33"/>
            <w:vAlign w:val="center"/>
          </w:tcPr>
          <w:p w14:paraId="0BB08214" w14:textId="77777777" w:rsidR="00FD57F2" w:rsidRPr="00D46647" w:rsidRDefault="00FD57F2" w:rsidP="00FD57F2">
            <w:pPr>
              <w:autoSpaceDE w:val="0"/>
              <w:autoSpaceDN w:val="0"/>
              <w:adjustRightInd w:val="0"/>
              <w:jc w:val="center"/>
              <w:rPr>
                <w:b/>
                <w:sz w:val="16"/>
                <w:szCs w:val="16"/>
              </w:rPr>
            </w:pPr>
            <w:r w:rsidRPr="00D46647">
              <w:rPr>
                <w:b/>
                <w:sz w:val="16"/>
                <w:szCs w:val="16"/>
              </w:rPr>
              <w:t>400 000</w:t>
            </w:r>
          </w:p>
        </w:tc>
        <w:tc>
          <w:tcPr>
            <w:tcW w:w="737" w:type="pct"/>
            <w:shd w:val="clear" w:color="auto" w:fill="C6D9F1" w:themeFill="text2" w:themeFillTint="33"/>
            <w:vAlign w:val="center"/>
          </w:tcPr>
          <w:p w14:paraId="0D7AEBEC" w14:textId="77777777" w:rsidR="00FD57F2" w:rsidRPr="00D46647" w:rsidRDefault="00FD57F2" w:rsidP="00FD57F2">
            <w:pPr>
              <w:autoSpaceDE w:val="0"/>
              <w:autoSpaceDN w:val="0"/>
              <w:adjustRightInd w:val="0"/>
              <w:jc w:val="center"/>
              <w:rPr>
                <w:b/>
                <w:sz w:val="16"/>
                <w:szCs w:val="16"/>
              </w:rPr>
            </w:pPr>
            <w:r w:rsidRPr="00D46647">
              <w:rPr>
                <w:b/>
                <w:sz w:val="16"/>
                <w:szCs w:val="16"/>
              </w:rPr>
              <w:t>335 000</w:t>
            </w:r>
          </w:p>
        </w:tc>
        <w:tc>
          <w:tcPr>
            <w:tcW w:w="737" w:type="pct"/>
            <w:shd w:val="clear" w:color="auto" w:fill="C6D9F1" w:themeFill="text2" w:themeFillTint="33"/>
            <w:vAlign w:val="center"/>
          </w:tcPr>
          <w:p w14:paraId="3FB9681E" w14:textId="77777777" w:rsidR="00FD57F2" w:rsidRPr="00D46647" w:rsidRDefault="00FD57F2" w:rsidP="00FD57F2">
            <w:pPr>
              <w:autoSpaceDE w:val="0"/>
              <w:autoSpaceDN w:val="0"/>
              <w:adjustRightInd w:val="0"/>
              <w:jc w:val="center"/>
              <w:rPr>
                <w:b/>
                <w:sz w:val="16"/>
                <w:szCs w:val="16"/>
              </w:rPr>
            </w:pPr>
            <w:r w:rsidRPr="00D46647">
              <w:rPr>
                <w:b/>
                <w:sz w:val="16"/>
                <w:szCs w:val="16"/>
              </w:rPr>
              <w:t>190 066</w:t>
            </w:r>
          </w:p>
        </w:tc>
        <w:tc>
          <w:tcPr>
            <w:tcW w:w="724" w:type="pct"/>
            <w:shd w:val="clear" w:color="auto" w:fill="C6D9F1" w:themeFill="text2" w:themeFillTint="33"/>
            <w:vAlign w:val="center"/>
          </w:tcPr>
          <w:p w14:paraId="46DC2742" w14:textId="77777777" w:rsidR="00FD57F2" w:rsidRPr="00D46647" w:rsidRDefault="00FD57F2" w:rsidP="00FD57F2">
            <w:pPr>
              <w:autoSpaceDE w:val="0"/>
              <w:autoSpaceDN w:val="0"/>
              <w:adjustRightInd w:val="0"/>
              <w:jc w:val="center"/>
              <w:rPr>
                <w:b/>
                <w:sz w:val="16"/>
                <w:szCs w:val="16"/>
              </w:rPr>
            </w:pPr>
            <w:r w:rsidRPr="00D46647">
              <w:rPr>
                <w:b/>
                <w:sz w:val="16"/>
                <w:szCs w:val="16"/>
              </w:rPr>
              <w:t>47,5%</w:t>
            </w:r>
          </w:p>
        </w:tc>
        <w:tc>
          <w:tcPr>
            <w:tcW w:w="729" w:type="pct"/>
            <w:shd w:val="clear" w:color="auto" w:fill="C6D9F1" w:themeFill="text2" w:themeFillTint="33"/>
            <w:vAlign w:val="center"/>
          </w:tcPr>
          <w:p w14:paraId="06DAD916" w14:textId="77777777" w:rsidR="00FD57F2" w:rsidRPr="00D46647" w:rsidRDefault="00FD57F2" w:rsidP="00FD57F2">
            <w:pPr>
              <w:autoSpaceDE w:val="0"/>
              <w:autoSpaceDN w:val="0"/>
              <w:adjustRightInd w:val="0"/>
              <w:jc w:val="center"/>
              <w:rPr>
                <w:b/>
                <w:sz w:val="16"/>
                <w:szCs w:val="16"/>
              </w:rPr>
            </w:pPr>
          </w:p>
        </w:tc>
      </w:tr>
    </w:tbl>
    <w:p w14:paraId="28C3C8EF" w14:textId="77777777" w:rsidR="00FD57F2" w:rsidRPr="007E3422" w:rsidRDefault="00FD57F2" w:rsidP="00FD57F2">
      <w:pPr>
        <w:rPr>
          <w:sz w:val="20"/>
          <w:szCs w:val="18"/>
        </w:rPr>
      </w:pPr>
    </w:p>
    <w:p w14:paraId="7A004519" w14:textId="77777777" w:rsidR="00FD57F2" w:rsidRPr="007E3422" w:rsidRDefault="00FD57F2" w:rsidP="00FD57F2">
      <w:pPr>
        <w:rPr>
          <w:sz w:val="20"/>
          <w:szCs w:val="18"/>
        </w:rPr>
      </w:pPr>
    </w:p>
    <w:p w14:paraId="7767CCD6" w14:textId="77777777" w:rsidR="00FD57F2" w:rsidRPr="007E3422" w:rsidRDefault="00FD57F2" w:rsidP="00FD57F2">
      <w:pPr>
        <w:keepNext/>
        <w:keepLines/>
        <w:tabs>
          <w:tab w:val="left" w:pos="3261"/>
        </w:tabs>
        <w:autoSpaceDE w:val="0"/>
        <w:autoSpaceDN w:val="0"/>
        <w:adjustRightInd w:val="0"/>
        <w:jc w:val="center"/>
        <w:rPr>
          <w:b/>
          <w:sz w:val="20"/>
        </w:rPr>
      </w:pPr>
      <w:r w:rsidRPr="007E3422">
        <w:rPr>
          <w:b/>
          <w:sz w:val="20"/>
          <w:szCs w:val="18"/>
        </w:rPr>
        <w:t>Utilisation du budget du projet (par catégorie de dépenses)</w:t>
      </w:r>
    </w:p>
    <w:p w14:paraId="642A1837" w14:textId="77777777" w:rsidR="00FD57F2" w:rsidRPr="00D46647" w:rsidRDefault="00FD57F2" w:rsidP="00FD57F2">
      <w:pPr>
        <w:keepNext/>
        <w:keepLines/>
        <w:tabs>
          <w:tab w:val="left" w:pos="3261"/>
        </w:tabs>
        <w:autoSpaceDE w:val="0"/>
        <w:autoSpaceDN w:val="0"/>
        <w:adjustRightInd w:val="0"/>
        <w:jc w:val="center"/>
        <w:rPr>
          <w:i/>
          <w:iCs/>
          <w:sz w:val="18"/>
          <w:szCs w:val="18"/>
        </w:rPr>
      </w:pPr>
      <w:r w:rsidRPr="00D46647">
        <w:rPr>
          <w:i/>
          <w:sz w:val="18"/>
        </w:rPr>
        <w:t>(en francs suisses, au 31 décembre 2016)</w:t>
      </w:r>
    </w:p>
    <w:p w14:paraId="3DEFD42A" w14:textId="77777777" w:rsidR="00FD57F2" w:rsidRPr="00D46647" w:rsidRDefault="00FD57F2" w:rsidP="00FD57F2">
      <w:pPr>
        <w:keepNext/>
        <w:keepLines/>
        <w:autoSpaceDE w:val="0"/>
        <w:autoSpaceDN w:val="0"/>
        <w:adjustRightInd w:val="0"/>
        <w:jc w:val="center"/>
      </w:pPr>
    </w:p>
    <w:tbl>
      <w:tblPr>
        <w:tblW w:w="5000" w:type="pct"/>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2848"/>
        <w:gridCol w:w="1610"/>
        <w:gridCol w:w="1610"/>
        <w:gridCol w:w="1610"/>
        <w:gridCol w:w="1609"/>
      </w:tblGrid>
      <w:tr w:rsidR="00FD57F2" w:rsidRPr="00D46647" w14:paraId="43E67CB6" w14:textId="77777777" w:rsidTr="007E3422">
        <w:tc>
          <w:tcPr>
            <w:tcW w:w="1533" w:type="pct"/>
            <w:shd w:val="clear" w:color="auto" w:fill="C6D9F1" w:themeFill="text2" w:themeFillTint="33"/>
            <w:vAlign w:val="center"/>
          </w:tcPr>
          <w:p w14:paraId="34AB3576"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Catégorie de dépenses</w:t>
            </w:r>
          </w:p>
        </w:tc>
        <w:tc>
          <w:tcPr>
            <w:tcW w:w="867" w:type="pct"/>
            <w:shd w:val="clear" w:color="auto" w:fill="C6D9F1" w:themeFill="text2" w:themeFillTint="33"/>
            <w:vAlign w:val="center"/>
          </w:tcPr>
          <w:p w14:paraId="272EC06B"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 xml:space="preserve">Budget initial du projet </w:t>
            </w:r>
          </w:p>
        </w:tc>
        <w:tc>
          <w:tcPr>
            <w:tcW w:w="867" w:type="pct"/>
            <w:shd w:val="clear" w:color="auto" w:fill="C6D9F1" w:themeFill="text2" w:themeFillTint="33"/>
            <w:vAlign w:val="center"/>
          </w:tcPr>
          <w:p w14:paraId="47988676" w14:textId="77777777" w:rsidR="00FD57F2" w:rsidRPr="00D46647" w:rsidRDefault="00FD57F2" w:rsidP="00FD57F2">
            <w:pPr>
              <w:keepNext/>
              <w:keepLines/>
              <w:autoSpaceDE w:val="0"/>
              <w:autoSpaceDN w:val="0"/>
              <w:adjustRightInd w:val="0"/>
              <w:jc w:val="center"/>
              <w:rPr>
                <w:b/>
                <w:sz w:val="16"/>
              </w:rPr>
            </w:pPr>
            <w:r w:rsidRPr="00D46647">
              <w:rPr>
                <w:b/>
                <w:sz w:val="16"/>
              </w:rPr>
              <w:t>Budget révisé du projet</w:t>
            </w:r>
          </w:p>
        </w:tc>
        <w:tc>
          <w:tcPr>
            <w:tcW w:w="867" w:type="pct"/>
            <w:shd w:val="clear" w:color="auto" w:fill="C6D9F1" w:themeFill="text2" w:themeFillTint="33"/>
            <w:vAlign w:val="center"/>
          </w:tcPr>
          <w:p w14:paraId="416B428C"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 xml:space="preserve">Dépenses effectives à ce jour </w:t>
            </w:r>
          </w:p>
        </w:tc>
        <w:tc>
          <w:tcPr>
            <w:tcW w:w="866" w:type="pct"/>
            <w:shd w:val="clear" w:color="auto" w:fill="C6D9F1" w:themeFill="text2" w:themeFillTint="33"/>
            <w:vAlign w:val="center"/>
          </w:tcPr>
          <w:p w14:paraId="4AE4BAFE" w14:textId="77777777" w:rsidR="00FD57F2" w:rsidRPr="00D46647" w:rsidRDefault="00FD57F2" w:rsidP="00FD57F2">
            <w:pPr>
              <w:keepNext/>
              <w:keepLines/>
              <w:autoSpaceDE w:val="0"/>
              <w:autoSpaceDN w:val="0"/>
              <w:adjustRightInd w:val="0"/>
              <w:jc w:val="center"/>
              <w:rPr>
                <w:b/>
                <w:bCs/>
                <w:sz w:val="16"/>
                <w:szCs w:val="16"/>
              </w:rPr>
            </w:pPr>
            <w:r w:rsidRPr="00D46647">
              <w:rPr>
                <w:b/>
                <w:sz w:val="16"/>
              </w:rPr>
              <w:t>Utilisation effective du budget</w:t>
            </w:r>
          </w:p>
        </w:tc>
      </w:tr>
      <w:tr w:rsidR="00FD57F2" w:rsidRPr="00D46647" w14:paraId="73795246" w14:textId="77777777" w:rsidTr="007E3422">
        <w:tc>
          <w:tcPr>
            <w:tcW w:w="1533" w:type="pct"/>
            <w:vAlign w:val="center"/>
          </w:tcPr>
          <w:p w14:paraId="7C4B352B" w14:textId="77777777" w:rsidR="00FD57F2" w:rsidRPr="00D46647" w:rsidRDefault="00FD57F2" w:rsidP="00FD57F2">
            <w:pPr>
              <w:autoSpaceDE w:val="0"/>
              <w:autoSpaceDN w:val="0"/>
              <w:adjustRightInd w:val="0"/>
              <w:rPr>
                <w:sz w:val="16"/>
                <w:szCs w:val="16"/>
              </w:rPr>
            </w:pPr>
            <w:r w:rsidRPr="00D46647">
              <w:rPr>
                <w:sz w:val="16"/>
              </w:rPr>
              <w:t>Dépenses relatives à la construction</w:t>
            </w:r>
          </w:p>
        </w:tc>
        <w:tc>
          <w:tcPr>
            <w:tcW w:w="867" w:type="pct"/>
            <w:vAlign w:val="center"/>
          </w:tcPr>
          <w:p w14:paraId="6C43B7C4" w14:textId="77777777" w:rsidR="00FD57F2" w:rsidRPr="00D46647" w:rsidRDefault="00FD57F2" w:rsidP="00FD57F2">
            <w:pPr>
              <w:autoSpaceDE w:val="0"/>
              <w:autoSpaceDN w:val="0"/>
              <w:adjustRightInd w:val="0"/>
              <w:jc w:val="center"/>
              <w:rPr>
                <w:sz w:val="16"/>
                <w:szCs w:val="16"/>
              </w:rPr>
            </w:pPr>
            <w:r w:rsidRPr="00D46647">
              <w:rPr>
                <w:sz w:val="16"/>
                <w:szCs w:val="16"/>
              </w:rPr>
              <w:t>312 000</w:t>
            </w:r>
          </w:p>
        </w:tc>
        <w:tc>
          <w:tcPr>
            <w:tcW w:w="867" w:type="pct"/>
          </w:tcPr>
          <w:p w14:paraId="7CEDD1DC" w14:textId="77777777" w:rsidR="00FD57F2" w:rsidRPr="00D46647" w:rsidRDefault="00FD57F2" w:rsidP="00FD57F2">
            <w:pPr>
              <w:autoSpaceDE w:val="0"/>
              <w:autoSpaceDN w:val="0"/>
              <w:adjustRightInd w:val="0"/>
              <w:jc w:val="center"/>
              <w:rPr>
                <w:sz w:val="16"/>
                <w:szCs w:val="16"/>
              </w:rPr>
            </w:pPr>
            <w:r w:rsidRPr="00D46647">
              <w:rPr>
                <w:sz w:val="16"/>
                <w:szCs w:val="16"/>
              </w:rPr>
              <w:t>247 000</w:t>
            </w:r>
          </w:p>
        </w:tc>
        <w:tc>
          <w:tcPr>
            <w:tcW w:w="867" w:type="pct"/>
          </w:tcPr>
          <w:p w14:paraId="4A98E845" w14:textId="77777777" w:rsidR="00FD57F2" w:rsidRPr="00D46647" w:rsidRDefault="00FD57F2" w:rsidP="00FD57F2">
            <w:pPr>
              <w:autoSpaceDE w:val="0"/>
              <w:autoSpaceDN w:val="0"/>
              <w:adjustRightInd w:val="0"/>
              <w:jc w:val="center"/>
              <w:rPr>
                <w:sz w:val="16"/>
                <w:szCs w:val="16"/>
              </w:rPr>
            </w:pPr>
            <w:r w:rsidRPr="00D46647">
              <w:rPr>
                <w:sz w:val="16"/>
                <w:szCs w:val="16"/>
              </w:rPr>
              <w:t>181 979</w:t>
            </w:r>
          </w:p>
        </w:tc>
        <w:tc>
          <w:tcPr>
            <w:tcW w:w="866" w:type="pct"/>
          </w:tcPr>
          <w:p w14:paraId="671388F0" w14:textId="77777777" w:rsidR="00FD57F2" w:rsidRPr="00D46647" w:rsidRDefault="00FD57F2" w:rsidP="00FD57F2">
            <w:pPr>
              <w:autoSpaceDE w:val="0"/>
              <w:autoSpaceDN w:val="0"/>
              <w:adjustRightInd w:val="0"/>
              <w:jc w:val="center"/>
              <w:rPr>
                <w:sz w:val="16"/>
                <w:szCs w:val="16"/>
              </w:rPr>
            </w:pPr>
            <w:r w:rsidRPr="00D46647">
              <w:rPr>
                <w:sz w:val="16"/>
                <w:szCs w:val="16"/>
              </w:rPr>
              <w:t>73,7%</w:t>
            </w:r>
          </w:p>
        </w:tc>
      </w:tr>
      <w:tr w:rsidR="00FD57F2" w:rsidRPr="00D46647" w14:paraId="3296F539" w14:textId="77777777" w:rsidTr="007E3422">
        <w:tc>
          <w:tcPr>
            <w:tcW w:w="1533" w:type="pct"/>
            <w:vAlign w:val="center"/>
          </w:tcPr>
          <w:p w14:paraId="105647A3" w14:textId="77777777" w:rsidR="00FD57F2" w:rsidRPr="00D46647" w:rsidRDefault="00FD57F2" w:rsidP="00FD57F2">
            <w:pPr>
              <w:autoSpaceDE w:val="0"/>
              <w:autoSpaceDN w:val="0"/>
              <w:adjustRightInd w:val="0"/>
              <w:rPr>
                <w:sz w:val="16"/>
                <w:szCs w:val="16"/>
              </w:rPr>
            </w:pPr>
            <w:r w:rsidRPr="00D46647">
              <w:rPr>
                <w:sz w:val="16"/>
              </w:rPr>
              <w:t>Honoraires</w:t>
            </w:r>
          </w:p>
        </w:tc>
        <w:tc>
          <w:tcPr>
            <w:tcW w:w="867" w:type="pct"/>
            <w:vAlign w:val="center"/>
          </w:tcPr>
          <w:p w14:paraId="5906E399" w14:textId="77777777" w:rsidR="00FD57F2" w:rsidRPr="00D46647" w:rsidRDefault="00FD57F2" w:rsidP="00FD57F2">
            <w:pPr>
              <w:autoSpaceDE w:val="0"/>
              <w:autoSpaceDN w:val="0"/>
              <w:adjustRightInd w:val="0"/>
              <w:jc w:val="center"/>
              <w:rPr>
                <w:sz w:val="16"/>
                <w:szCs w:val="16"/>
              </w:rPr>
            </w:pPr>
            <w:r w:rsidRPr="00D46647">
              <w:rPr>
                <w:sz w:val="16"/>
                <w:szCs w:val="16"/>
              </w:rPr>
              <w:t>60 000</w:t>
            </w:r>
          </w:p>
        </w:tc>
        <w:tc>
          <w:tcPr>
            <w:tcW w:w="867" w:type="pct"/>
          </w:tcPr>
          <w:p w14:paraId="785644F0" w14:textId="77777777" w:rsidR="00FD57F2" w:rsidRPr="00D46647" w:rsidRDefault="00FD57F2" w:rsidP="00FD57F2">
            <w:pPr>
              <w:autoSpaceDE w:val="0"/>
              <w:autoSpaceDN w:val="0"/>
              <w:adjustRightInd w:val="0"/>
              <w:jc w:val="center"/>
              <w:rPr>
                <w:sz w:val="16"/>
                <w:szCs w:val="16"/>
              </w:rPr>
            </w:pPr>
            <w:r w:rsidRPr="00D46647">
              <w:rPr>
                <w:sz w:val="16"/>
                <w:szCs w:val="16"/>
              </w:rPr>
              <w:t>60 000</w:t>
            </w:r>
          </w:p>
        </w:tc>
        <w:tc>
          <w:tcPr>
            <w:tcW w:w="867" w:type="pct"/>
          </w:tcPr>
          <w:p w14:paraId="209F9BA8" w14:textId="77777777" w:rsidR="00FD57F2" w:rsidRPr="00D46647" w:rsidRDefault="00FD57F2" w:rsidP="00FD57F2">
            <w:pPr>
              <w:autoSpaceDE w:val="0"/>
              <w:autoSpaceDN w:val="0"/>
              <w:adjustRightInd w:val="0"/>
              <w:jc w:val="center"/>
              <w:rPr>
                <w:sz w:val="16"/>
                <w:szCs w:val="16"/>
              </w:rPr>
            </w:pPr>
            <w:r w:rsidRPr="00D46647">
              <w:rPr>
                <w:sz w:val="16"/>
                <w:szCs w:val="16"/>
              </w:rPr>
              <w:t>8 088</w:t>
            </w:r>
          </w:p>
        </w:tc>
        <w:tc>
          <w:tcPr>
            <w:tcW w:w="866" w:type="pct"/>
          </w:tcPr>
          <w:p w14:paraId="2623483C" w14:textId="77777777" w:rsidR="00FD57F2" w:rsidRPr="00D46647" w:rsidRDefault="00FD57F2" w:rsidP="00FD57F2">
            <w:pPr>
              <w:autoSpaceDE w:val="0"/>
              <w:autoSpaceDN w:val="0"/>
              <w:adjustRightInd w:val="0"/>
              <w:jc w:val="center"/>
              <w:rPr>
                <w:sz w:val="16"/>
                <w:szCs w:val="16"/>
              </w:rPr>
            </w:pPr>
            <w:r w:rsidRPr="00D46647">
              <w:rPr>
                <w:sz w:val="16"/>
                <w:szCs w:val="16"/>
              </w:rPr>
              <w:t>13,5%</w:t>
            </w:r>
          </w:p>
        </w:tc>
      </w:tr>
      <w:tr w:rsidR="00FD57F2" w:rsidRPr="00D46647" w14:paraId="2BB119B2" w14:textId="77777777" w:rsidTr="007E3422">
        <w:tc>
          <w:tcPr>
            <w:tcW w:w="1533" w:type="pct"/>
            <w:vAlign w:val="center"/>
          </w:tcPr>
          <w:p w14:paraId="644A53DC" w14:textId="77777777" w:rsidR="00FD57F2" w:rsidRPr="00D46647" w:rsidRDefault="00FD57F2" w:rsidP="00FD57F2">
            <w:pPr>
              <w:autoSpaceDE w:val="0"/>
              <w:autoSpaceDN w:val="0"/>
              <w:adjustRightInd w:val="0"/>
              <w:rPr>
                <w:sz w:val="16"/>
                <w:szCs w:val="16"/>
              </w:rPr>
            </w:pPr>
            <w:r w:rsidRPr="00D46647">
              <w:rPr>
                <w:sz w:val="16"/>
              </w:rPr>
              <w:t>Divers et imprévus</w:t>
            </w:r>
          </w:p>
        </w:tc>
        <w:tc>
          <w:tcPr>
            <w:tcW w:w="867" w:type="pct"/>
            <w:vAlign w:val="center"/>
          </w:tcPr>
          <w:p w14:paraId="12801C0E" w14:textId="77777777" w:rsidR="00FD57F2" w:rsidRPr="00D46647" w:rsidRDefault="00FD57F2" w:rsidP="00FD57F2">
            <w:pPr>
              <w:autoSpaceDE w:val="0"/>
              <w:autoSpaceDN w:val="0"/>
              <w:adjustRightInd w:val="0"/>
              <w:jc w:val="center"/>
              <w:rPr>
                <w:sz w:val="16"/>
                <w:szCs w:val="16"/>
              </w:rPr>
            </w:pPr>
            <w:r w:rsidRPr="00D46647">
              <w:rPr>
                <w:sz w:val="16"/>
                <w:szCs w:val="16"/>
              </w:rPr>
              <w:t>28 000</w:t>
            </w:r>
          </w:p>
        </w:tc>
        <w:tc>
          <w:tcPr>
            <w:tcW w:w="867" w:type="pct"/>
          </w:tcPr>
          <w:p w14:paraId="57C10599" w14:textId="77777777" w:rsidR="00FD57F2" w:rsidRPr="00D46647" w:rsidRDefault="00FD57F2" w:rsidP="00FD57F2">
            <w:pPr>
              <w:autoSpaceDE w:val="0"/>
              <w:autoSpaceDN w:val="0"/>
              <w:adjustRightInd w:val="0"/>
              <w:jc w:val="center"/>
              <w:rPr>
                <w:sz w:val="16"/>
                <w:szCs w:val="16"/>
              </w:rPr>
            </w:pPr>
            <w:r w:rsidRPr="00D46647">
              <w:rPr>
                <w:sz w:val="16"/>
                <w:szCs w:val="16"/>
              </w:rPr>
              <w:t>28 000</w:t>
            </w:r>
          </w:p>
        </w:tc>
        <w:tc>
          <w:tcPr>
            <w:tcW w:w="867" w:type="pct"/>
          </w:tcPr>
          <w:p w14:paraId="2300A77C" w14:textId="77777777" w:rsidR="00FD57F2" w:rsidRPr="00D46647" w:rsidRDefault="00FD57F2" w:rsidP="00FD57F2">
            <w:pPr>
              <w:autoSpaceDE w:val="0"/>
              <w:autoSpaceDN w:val="0"/>
              <w:adjustRightInd w:val="0"/>
              <w:jc w:val="center"/>
              <w:rPr>
                <w:sz w:val="16"/>
                <w:szCs w:val="16"/>
              </w:rPr>
            </w:pPr>
            <w:r w:rsidRPr="00D46647">
              <w:rPr>
                <w:sz w:val="16"/>
                <w:szCs w:val="16"/>
              </w:rPr>
              <w:t>-</w:t>
            </w:r>
          </w:p>
        </w:tc>
        <w:tc>
          <w:tcPr>
            <w:tcW w:w="866" w:type="pct"/>
          </w:tcPr>
          <w:p w14:paraId="6B25FEE9" w14:textId="77777777" w:rsidR="00FD57F2" w:rsidRPr="00D46647" w:rsidRDefault="00FD57F2" w:rsidP="00FD57F2">
            <w:pPr>
              <w:autoSpaceDE w:val="0"/>
              <w:autoSpaceDN w:val="0"/>
              <w:adjustRightInd w:val="0"/>
              <w:jc w:val="center"/>
              <w:rPr>
                <w:sz w:val="16"/>
                <w:szCs w:val="16"/>
              </w:rPr>
            </w:pPr>
            <w:r w:rsidRPr="00D46647">
              <w:rPr>
                <w:sz w:val="16"/>
                <w:szCs w:val="16"/>
              </w:rPr>
              <w:t>-</w:t>
            </w:r>
          </w:p>
        </w:tc>
      </w:tr>
      <w:tr w:rsidR="00FD57F2" w:rsidRPr="00D46647" w14:paraId="24822DC9" w14:textId="77777777" w:rsidTr="007E3422">
        <w:tc>
          <w:tcPr>
            <w:tcW w:w="1533" w:type="pct"/>
            <w:shd w:val="clear" w:color="auto" w:fill="C6D9F1" w:themeFill="text2" w:themeFillTint="33"/>
            <w:vAlign w:val="center"/>
          </w:tcPr>
          <w:p w14:paraId="44338E77" w14:textId="77777777" w:rsidR="00FD57F2" w:rsidRPr="00D46647" w:rsidRDefault="00FD57F2" w:rsidP="00FD57F2">
            <w:pPr>
              <w:autoSpaceDE w:val="0"/>
              <w:autoSpaceDN w:val="0"/>
              <w:adjustRightInd w:val="0"/>
              <w:rPr>
                <w:b/>
                <w:sz w:val="16"/>
                <w:szCs w:val="16"/>
              </w:rPr>
            </w:pPr>
            <w:r w:rsidRPr="00D46647">
              <w:rPr>
                <w:b/>
                <w:sz w:val="16"/>
              </w:rPr>
              <w:t>Total</w:t>
            </w:r>
          </w:p>
        </w:tc>
        <w:tc>
          <w:tcPr>
            <w:tcW w:w="867" w:type="pct"/>
            <w:shd w:val="clear" w:color="auto" w:fill="C6D9F1" w:themeFill="text2" w:themeFillTint="33"/>
            <w:vAlign w:val="center"/>
          </w:tcPr>
          <w:p w14:paraId="08ED4C0B" w14:textId="77777777" w:rsidR="00FD57F2" w:rsidRPr="00D46647" w:rsidRDefault="00FD57F2" w:rsidP="00FD57F2">
            <w:pPr>
              <w:autoSpaceDE w:val="0"/>
              <w:autoSpaceDN w:val="0"/>
              <w:adjustRightInd w:val="0"/>
              <w:jc w:val="center"/>
              <w:rPr>
                <w:b/>
                <w:sz w:val="16"/>
                <w:szCs w:val="16"/>
              </w:rPr>
            </w:pPr>
            <w:r w:rsidRPr="00D46647">
              <w:rPr>
                <w:b/>
                <w:sz w:val="16"/>
                <w:szCs w:val="16"/>
              </w:rPr>
              <w:t>400 000</w:t>
            </w:r>
          </w:p>
        </w:tc>
        <w:tc>
          <w:tcPr>
            <w:tcW w:w="867" w:type="pct"/>
            <w:shd w:val="clear" w:color="auto" w:fill="C6D9F1" w:themeFill="text2" w:themeFillTint="33"/>
          </w:tcPr>
          <w:p w14:paraId="128AE930" w14:textId="77777777" w:rsidR="00FD57F2" w:rsidRPr="00D46647" w:rsidRDefault="00FD57F2" w:rsidP="00FD57F2">
            <w:pPr>
              <w:autoSpaceDE w:val="0"/>
              <w:autoSpaceDN w:val="0"/>
              <w:adjustRightInd w:val="0"/>
              <w:jc w:val="center"/>
              <w:rPr>
                <w:b/>
                <w:sz w:val="16"/>
                <w:szCs w:val="16"/>
              </w:rPr>
            </w:pPr>
            <w:r w:rsidRPr="00D46647">
              <w:rPr>
                <w:b/>
                <w:sz w:val="16"/>
                <w:szCs w:val="16"/>
              </w:rPr>
              <w:t>335 000</w:t>
            </w:r>
          </w:p>
        </w:tc>
        <w:tc>
          <w:tcPr>
            <w:tcW w:w="867" w:type="pct"/>
            <w:shd w:val="clear" w:color="auto" w:fill="C6D9F1" w:themeFill="text2" w:themeFillTint="33"/>
          </w:tcPr>
          <w:p w14:paraId="762089D6" w14:textId="77777777" w:rsidR="00FD57F2" w:rsidRPr="00D46647" w:rsidRDefault="00FD57F2" w:rsidP="00FD57F2">
            <w:pPr>
              <w:autoSpaceDE w:val="0"/>
              <w:autoSpaceDN w:val="0"/>
              <w:adjustRightInd w:val="0"/>
              <w:jc w:val="center"/>
              <w:rPr>
                <w:b/>
                <w:sz w:val="16"/>
                <w:szCs w:val="16"/>
              </w:rPr>
            </w:pPr>
            <w:r w:rsidRPr="00D46647">
              <w:rPr>
                <w:b/>
                <w:sz w:val="16"/>
                <w:szCs w:val="16"/>
              </w:rPr>
              <w:t>190 066</w:t>
            </w:r>
          </w:p>
        </w:tc>
        <w:tc>
          <w:tcPr>
            <w:tcW w:w="866" w:type="pct"/>
            <w:shd w:val="clear" w:color="auto" w:fill="C6D9F1" w:themeFill="text2" w:themeFillTint="33"/>
          </w:tcPr>
          <w:p w14:paraId="5954C7CF" w14:textId="77777777" w:rsidR="00FD57F2" w:rsidRPr="00D46647" w:rsidRDefault="00FD57F2" w:rsidP="00FD57F2">
            <w:pPr>
              <w:autoSpaceDE w:val="0"/>
              <w:autoSpaceDN w:val="0"/>
              <w:adjustRightInd w:val="0"/>
              <w:jc w:val="center"/>
              <w:rPr>
                <w:b/>
                <w:sz w:val="16"/>
                <w:szCs w:val="16"/>
              </w:rPr>
            </w:pPr>
            <w:r w:rsidRPr="00D46647">
              <w:rPr>
                <w:b/>
                <w:sz w:val="16"/>
                <w:szCs w:val="16"/>
              </w:rPr>
              <w:t>47,5%</w:t>
            </w:r>
          </w:p>
        </w:tc>
      </w:tr>
    </w:tbl>
    <w:p w14:paraId="31234CD7" w14:textId="77777777" w:rsidR="00FD57F2" w:rsidRPr="007E3422" w:rsidRDefault="00FD57F2" w:rsidP="00FD57F2">
      <w:pPr>
        <w:rPr>
          <w:sz w:val="20"/>
          <w:szCs w:val="18"/>
        </w:rPr>
      </w:pPr>
    </w:p>
    <w:p w14:paraId="32479F42" w14:textId="77777777" w:rsidR="00FD57F2" w:rsidRPr="007E3422" w:rsidRDefault="00FD57F2" w:rsidP="00FD57F2">
      <w:pPr>
        <w:rPr>
          <w:sz w:val="20"/>
          <w:szCs w:val="18"/>
        </w:rPr>
      </w:pPr>
    </w:p>
    <w:p w14:paraId="14AD260B" w14:textId="77777777" w:rsidR="007E3422" w:rsidRDefault="007E3422" w:rsidP="00FD57F2">
      <w:pPr>
        <w:rPr>
          <w:sz w:val="20"/>
          <w:szCs w:val="18"/>
        </w:rPr>
      </w:pPr>
    </w:p>
    <w:p w14:paraId="51992885" w14:textId="77777777" w:rsidR="007E3422" w:rsidRDefault="007E3422" w:rsidP="00FD57F2">
      <w:pPr>
        <w:rPr>
          <w:sz w:val="20"/>
          <w:szCs w:val="18"/>
        </w:rPr>
      </w:pPr>
    </w:p>
    <w:p w14:paraId="00B587F0" w14:textId="3472DEC8" w:rsidR="00FD57F2" w:rsidRPr="007E3422" w:rsidRDefault="00FD57F2" w:rsidP="00FD57F2">
      <w:pPr>
        <w:rPr>
          <w:sz w:val="20"/>
          <w:szCs w:val="18"/>
        </w:rPr>
      </w:pPr>
      <w:r w:rsidRPr="007E3422">
        <w:rPr>
          <w:sz w:val="20"/>
          <w:szCs w:val="18"/>
        </w:rPr>
        <w:t>RISQUES ET STRATÉGIES D’ATTÉNUATION</w:t>
      </w:r>
    </w:p>
    <w:p w14:paraId="4F2CB750" w14:textId="743DE2CE" w:rsidR="00FD57F2" w:rsidRPr="007E3422" w:rsidRDefault="00FD57F2" w:rsidP="00FD57F2">
      <w:pPr>
        <w:rPr>
          <w:sz w:val="20"/>
          <w:szCs w:val="18"/>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1E0" w:firstRow="1" w:lastRow="1" w:firstColumn="1" w:lastColumn="1" w:noHBand="0" w:noVBand="0"/>
      </w:tblPr>
      <w:tblGrid>
        <w:gridCol w:w="3097"/>
        <w:gridCol w:w="3096"/>
        <w:gridCol w:w="3094"/>
      </w:tblGrid>
      <w:tr w:rsidR="00FD57F2" w:rsidRPr="00D46647" w14:paraId="3513DB57" w14:textId="77777777" w:rsidTr="007E3422">
        <w:trPr>
          <w:tblHeader/>
          <w:jc w:val="center"/>
        </w:trPr>
        <w:tc>
          <w:tcPr>
            <w:tcW w:w="1667" w:type="pct"/>
            <w:shd w:val="clear" w:color="auto" w:fill="C6D9F1" w:themeFill="text2" w:themeFillTint="33"/>
            <w:vAlign w:val="center"/>
          </w:tcPr>
          <w:p w14:paraId="01814997" w14:textId="47A55026" w:rsidR="00FD57F2" w:rsidRPr="00D46647" w:rsidRDefault="00FD57F2" w:rsidP="00FD57F2">
            <w:pPr>
              <w:autoSpaceDE w:val="0"/>
              <w:autoSpaceDN w:val="0"/>
              <w:adjustRightInd w:val="0"/>
              <w:jc w:val="center"/>
              <w:rPr>
                <w:b/>
                <w:bCs/>
                <w:sz w:val="16"/>
                <w:szCs w:val="16"/>
              </w:rPr>
            </w:pPr>
            <w:r w:rsidRPr="00D46647">
              <w:rPr>
                <w:b/>
                <w:sz w:val="16"/>
              </w:rPr>
              <w:t>Risque/</w:t>
            </w:r>
            <w:r w:rsidRPr="00D46647">
              <w:rPr>
                <w:b/>
                <w:bCs/>
                <w:sz w:val="16"/>
                <w:szCs w:val="16"/>
              </w:rPr>
              <w:t>Description du risque</w:t>
            </w:r>
          </w:p>
        </w:tc>
        <w:tc>
          <w:tcPr>
            <w:tcW w:w="1667" w:type="pct"/>
            <w:shd w:val="clear" w:color="auto" w:fill="C6D9F1" w:themeFill="text2" w:themeFillTint="33"/>
            <w:vAlign w:val="center"/>
          </w:tcPr>
          <w:p w14:paraId="57F0D668" w14:textId="77777777" w:rsidR="00FD57F2" w:rsidRPr="00D46647" w:rsidRDefault="00FD57F2" w:rsidP="00FD57F2">
            <w:pPr>
              <w:autoSpaceDE w:val="0"/>
              <w:autoSpaceDN w:val="0"/>
              <w:adjustRightInd w:val="0"/>
              <w:jc w:val="center"/>
              <w:rPr>
                <w:b/>
                <w:bCs/>
                <w:sz w:val="16"/>
                <w:szCs w:val="16"/>
              </w:rPr>
            </w:pPr>
            <w:r w:rsidRPr="00D46647">
              <w:rPr>
                <w:b/>
                <w:sz w:val="16"/>
              </w:rPr>
              <w:t>Atténuation des risques</w:t>
            </w:r>
          </w:p>
        </w:tc>
        <w:tc>
          <w:tcPr>
            <w:tcW w:w="1666" w:type="pct"/>
            <w:shd w:val="clear" w:color="auto" w:fill="C6D9F1" w:themeFill="text2" w:themeFillTint="33"/>
            <w:vAlign w:val="center"/>
          </w:tcPr>
          <w:p w14:paraId="4D5E4898" w14:textId="77777777" w:rsidR="00FD57F2" w:rsidRPr="00D46647" w:rsidRDefault="00FD57F2" w:rsidP="00FD57F2">
            <w:pPr>
              <w:autoSpaceDE w:val="0"/>
              <w:autoSpaceDN w:val="0"/>
              <w:adjustRightInd w:val="0"/>
              <w:jc w:val="center"/>
              <w:rPr>
                <w:b/>
                <w:bCs/>
                <w:sz w:val="16"/>
                <w:szCs w:val="16"/>
              </w:rPr>
            </w:pPr>
            <w:r w:rsidRPr="00D46647">
              <w:rPr>
                <w:b/>
                <w:bCs/>
                <w:sz w:val="16"/>
                <w:szCs w:val="16"/>
              </w:rPr>
              <w:t>Observation</w:t>
            </w:r>
          </w:p>
        </w:tc>
      </w:tr>
      <w:tr w:rsidR="00FD57F2" w:rsidRPr="00D46647" w14:paraId="4E0DC2FA" w14:textId="77777777" w:rsidTr="007E3422">
        <w:trPr>
          <w:jc w:val="center"/>
        </w:trPr>
        <w:tc>
          <w:tcPr>
            <w:tcW w:w="1667" w:type="pct"/>
            <w:shd w:val="clear" w:color="auto" w:fill="FFFFFF"/>
          </w:tcPr>
          <w:p w14:paraId="55D27691" w14:textId="5C7B1FF4" w:rsidR="00FD57F2" w:rsidRPr="00D46647" w:rsidRDefault="00FD57F2" w:rsidP="00FD57F2">
            <w:pPr>
              <w:autoSpaceDE w:val="0"/>
              <w:autoSpaceDN w:val="0"/>
              <w:adjustRightInd w:val="0"/>
              <w:rPr>
                <w:sz w:val="16"/>
                <w:szCs w:val="16"/>
              </w:rPr>
            </w:pPr>
            <w:r w:rsidRPr="00D46647">
              <w:rPr>
                <w:sz w:val="16"/>
                <w:szCs w:val="16"/>
              </w:rPr>
              <w:t>Retard ou interruption des travaux en raison d’un accident de chantier.</w:t>
            </w:r>
          </w:p>
        </w:tc>
        <w:tc>
          <w:tcPr>
            <w:tcW w:w="1667" w:type="pct"/>
            <w:shd w:val="clear" w:color="auto" w:fill="FFFFFF"/>
          </w:tcPr>
          <w:p w14:paraId="061B69FA" w14:textId="0F2BE40C" w:rsidR="00FD57F2" w:rsidRPr="00D46647" w:rsidRDefault="00FD57F2" w:rsidP="00FD57F2">
            <w:pPr>
              <w:autoSpaceDE w:val="0"/>
              <w:autoSpaceDN w:val="0"/>
              <w:adjustRightInd w:val="0"/>
              <w:rPr>
                <w:sz w:val="16"/>
                <w:szCs w:val="16"/>
              </w:rPr>
            </w:pPr>
            <w:r w:rsidRPr="00D46647">
              <w:rPr>
                <w:sz w:val="16"/>
                <w:szCs w:val="16"/>
              </w:rPr>
              <w:t>Revalidation et renforcement des mesures de sécurité et révision du calendrier des travaux.</w:t>
            </w:r>
          </w:p>
        </w:tc>
        <w:tc>
          <w:tcPr>
            <w:tcW w:w="1666" w:type="pct"/>
            <w:shd w:val="clear" w:color="auto" w:fill="FFFFFF"/>
          </w:tcPr>
          <w:p w14:paraId="64BD525E" w14:textId="77777777" w:rsidR="00FD57F2" w:rsidRPr="00D46647" w:rsidRDefault="00FD57F2" w:rsidP="00FD57F2">
            <w:pPr>
              <w:autoSpaceDE w:val="0"/>
              <w:autoSpaceDN w:val="0"/>
              <w:adjustRightInd w:val="0"/>
              <w:rPr>
                <w:i/>
                <w:sz w:val="16"/>
                <w:szCs w:val="16"/>
              </w:rPr>
            </w:pPr>
            <w:r w:rsidRPr="00D46647">
              <w:rPr>
                <w:i/>
                <w:sz w:val="16"/>
                <w:szCs w:val="16"/>
              </w:rPr>
              <w:t>Ce risque n’existe plus.</w:t>
            </w:r>
          </w:p>
        </w:tc>
      </w:tr>
      <w:tr w:rsidR="00FD57F2" w:rsidRPr="00D46647" w14:paraId="7FACC2A3" w14:textId="77777777" w:rsidTr="007E3422">
        <w:trPr>
          <w:jc w:val="center"/>
        </w:trPr>
        <w:tc>
          <w:tcPr>
            <w:tcW w:w="1667" w:type="pct"/>
            <w:shd w:val="clear" w:color="auto" w:fill="FFFFFF"/>
          </w:tcPr>
          <w:p w14:paraId="00FDE111" w14:textId="2C009DBE" w:rsidR="00FD57F2" w:rsidRPr="00D46647" w:rsidRDefault="00164A7F" w:rsidP="00FD57F2">
            <w:pPr>
              <w:autoSpaceDE w:val="0"/>
              <w:autoSpaceDN w:val="0"/>
              <w:adjustRightInd w:val="0"/>
              <w:rPr>
                <w:sz w:val="16"/>
                <w:szCs w:val="16"/>
              </w:rPr>
            </w:pPr>
            <w:r>
              <w:rPr>
                <w:noProof/>
                <w:lang w:val="en-US"/>
              </w:rPr>
              <w:drawing>
                <wp:anchor distT="0" distB="0" distL="114300" distR="114300" simplePos="0" relativeHeight="251673600" behindDoc="0" locked="0" layoutInCell="1" allowOverlap="1" wp14:anchorId="72ECE072" wp14:editId="7BC9F749">
                  <wp:simplePos x="0" y="0"/>
                  <wp:positionH relativeFrom="column">
                    <wp:posOffset>-430530</wp:posOffset>
                  </wp:positionH>
                  <wp:positionV relativeFrom="paragraph">
                    <wp:posOffset>-11950</wp:posOffset>
                  </wp:positionV>
                  <wp:extent cx="291465" cy="285115"/>
                  <wp:effectExtent l="0" t="0" r="0" b="635"/>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1465" cy="285115"/>
                          </a:xfrm>
                          <a:prstGeom prst="rect">
                            <a:avLst/>
                          </a:prstGeom>
                        </pic:spPr>
                      </pic:pic>
                    </a:graphicData>
                  </a:graphic>
                  <wp14:sizeRelH relativeFrom="page">
                    <wp14:pctWidth>0</wp14:pctWidth>
                  </wp14:sizeRelH>
                  <wp14:sizeRelV relativeFrom="page">
                    <wp14:pctHeight>0</wp14:pctHeight>
                  </wp14:sizeRelV>
                </wp:anchor>
              </w:drawing>
            </w:r>
            <w:r w:rsidR="00FD57F2" w:rsidRPr="00D46647">
              <w:rPr>
                <w:sz w:val="16"/>
                <w:szCs w:val="16"/>
              </w:rPr>
              <w:t>Impossibilité de mettre en œuvre le projet relatif à la compartimentation entre le bâtiment GBI et le bâtiment GBII (tous les niveaux sauf -1) en raison de l’identification de points de non-conformité par rapport à la réglementation suisse lors du diagnostic externe de la sécurité incendie, sachant que ces points de non-conformité nécessitent des actions correctrices immédiates pouvant entraîner un manque de temps et une pénurie de ressources.</w:t>
            </w:r>
          </w:p>
        </w:tc>
        <w:tc>
          <w:tcPr>
            <w:tcW w:w="1667" w:type="pct"/>
            <w:shd w:val="clear" w:color="auto" w:fill="FFFFFF"/>
          </w:tcPr>
          <w:p w14:paraId="26B00066" w14:textId="77777777" w:rsidR="00FD57F2" w:rsidRPr="00D46647" w:rsidRDefault="00FD57F2" w:rsidP="00FD57F2">
            <w:pPr>
              <w:autoSpaceDE w:val="0"/>
              <w:autoSpaceDN w:val="0"/>
              <w:adjustRightInd w:val="0"/>
              <w:rPr>
                <w:sz w:val="16"/>
                <w:szCs w:val="16"/>
              </w:rPr>
            </w:pPr>
            <w:r w:rsidRPr="00D46647">
              <w:rPr>
                <w:sz w:val="16"/>
                <w:szCs w:val="16"/>
              </w:rPr>
              <w:t>Adaptation du périmètre du projet en fonction des résultats du diagnostic externe de la sécurité incendie</w:t>
            </w:r>
          </w:p>
        </w:tc>
        <w:tc>
          <w:tcPr>
            <w:tcW w:w="1666" w:type="pct"/>
            <w:shd w:val="clear" w:color="auto" w:fill="FFFFFF"/>
          </w:tcPr>
          <w:p w14:paraId="490C1DE0" w14:textId="77777777" w:rsidR="00FD57F2" w:rsidRPr="00D46647" w:rsidRDefault="00FD57F2" w:rsidP="00FD57F2">
            <w:pPr>
              <w:autoSpaceDE w:val="0"/>
              <w:autoSpaceDN w:val="0"/>
              <w:adjustRightInd w:val="0"/>
              <w:rPr>
                <w:sz w:val="16"/>
                <w:szCs w:val="16"/>
              </w:rPr>
            </w:pPr>
            <w:r w:rsidRPr="00D46647">
              <w:rPr>
                <w:sz w:val="16"/>
                <w:szCs w:val="16"/>
              </w:rPr>
              <w:t>Cet événement de risque s’étant produit en 2016, la compartimentation entre le bâtiment GBI et le bâtiment GBII (tous les niveaux sauf -1) ne fait plus partie du périmètre du plan-cadre d’équipement 7.</w:t>
            </w:r>
          </w:p>
          <w:p w14:paraId="70E2F107" w14:textId="77777777" w:rsidR="00FD57F2" w:rsidRPr="00D46647" w:rsidRDefault="00FD57F2" w:rsidP="00FD57F2">
            <w:pPr>
              <w:autoSpaceDE w:val="0"/>
              <w:autoSpaceDN w:val="0"/>
              <w:adjustRightInd w:val="0"/>
              <w:rPr>
                <w:sz w:val="16"/>
                <w:szCs w:val="16"/>
              </w:rPr>
            </w:pPr>
          </w:p>
          <w:p w14:paraId="4D458930" w14:textId="77777777" w:rsidR="00FD57F2" w:rsidRPr="00D46647" w:rsidRDefault="00FD57F2" w:rsidP="00FD57F2">
            <w:pPr>
              <w:autoSpaceDE w:val="0"/>
              <w:autoSpaceDN w:val="0"/>
              <w:adjustRightInd w:val="0"/>
              <w:rPr>
                <w:i/>
                <w:sz w:val="16"/>
                <w:szCs w:val="16"/>
              </w:rPr>
            </w:pPr>
            <w:r w:rsidRPr="00D46647">
              <w:rPr>
                <w:i/>
                <w:sz w:val="16"/>
                <w:szCs w:val="16"/>
              </w:rPr>
              <w:t>Ce risque n’existe plus</w:t>
            </w:r>
            <w:r w:rsidRPr="00D46647">
              <w:rPr>
                <w:sz w:val="16"/>
                <w:szCs w:val="16"/>
              </w:rPr>
              <w:t>.</w:t>
            </w:r>
          </w:p>
        </w:tc>
      </w:tr>
    </w:tbl>
    <w:p w14:paraId="21B3DD01" w14:textId="77777777" w:rsidR="00FD57F2" w:rsidRPr="00D46647" w:rsidRDefault="00FD57F2" w:rsidP="00FD57F2">
      <w:pPr>
        <w:autoSpaceDE w:val="0"/>
        <w:autoSpaceDN w:val="0"/>
        <w:jc w:val="both"/>
      </w:pPr>
    </w:p>
    <w:p w14:paraId="0C323786" w14:textId="77777777" w:rsidR="00FD57F2" w:rsidRPr="007E3422" w:rsidRDefault="00FD57F2" w:rsidP="00FD57F2">
      <w:pPr>
        <w:rPr>
          <w:sz w:val="20"/>
          <w:szCs w:val="18"/>
        </w:rPr>
      </w:pPr>
    </w:p>
    <w:p w14:paraId="7D88C014" w14:textId="77777777" w:rsidR="00FD57F2" w:rsidRPr="007E3422" w:rsidRDefault="00FD57F2" w:rsidP="00FD57F2">
      <w:pPr>
        <w:rPr>
          <w:sz w:val="20"/>
          <w:szCs w:val="18"/>
        </w:rPr>
      </w:pPr>
      <w:r w:rsidRPr="007E3422">
        <w:rPr>
          <w:sz w:val="20"/>
          <w:szCs w:val="18"/>
        </w:rPr>
        <w:t>CALENDRIER DU PROJET PAR ÉTAPE</w:t>
      </w:r>
    </w:p>
    <w:p w14:paraId="023DCC82" w14:textId="77777777" w:rsidR="00FD57F2" w:rsidRPr="007E3422" w:rsidRDefault="00FD57F2" w:rsidP="00FD57F2">
      <w:pPr>
        <w:rPr>
          <w:sz w:val="20"/>
          <w:szCs w:val="18"/>
        </w:rPr>
      </w:pPr>
    </w:p>
    <w:tbl>
      <w:tblPr>
        <w:tblW w:w="52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2288"/>
        <w:gridCol w:w="474"/>
        <w:gridCol w:w="474"/>
        <w:gridCol w:w="474"/>
        <w:gridCol w:w="474"/>
        <w:gridCol w:w="474"/>
        <w:gridCol w:w="474"/>
        <w:gridCol w:w="475"/>
        <w:gridCol w:w="475"/>
        <w:gridCol w:w="475"/>
        <w:gridCol w:w="475"/>
        <w:gridCol w:w="475"/>
        <w:gridCol w:w="475"/>
        <w:gridCol w:w="475"/>
        <w:gridCol w:w="475"/>
        <w:gridCol w:w="475"/>
        <w:gridCol w:w="475"/>
      </w:tblGrid>
      <w:tr w:rsidR="00FD57F2" w:rsidRPr="00D46647" w14:paraId="0DC94700" w14:textId="77777777" w:rsidTr="007E3422">
        <w:trPr>
          <w:jc w:val="center"/>
        </w:trPr>
        <w:tc>
          <w:tcPr>
            <w:tcW w:w="2288" w:type="dxa"/>
            <w:tcBorders>
              <w:top w:val="nil"/>
              <w:left w:val="nil"/>
            </w:tcBorders>
            <w:shd w:val="clear" w:color="auto" w:fill="auto"/>
            <w:noWrap/>
            <w:vAlign w:val="bottom"/>
            <w:hideMark/>
          </w:tcPr>
          <w:p w14:paraId="17DB59D7" w14:textId="77777777" w:rsidR="00FD57F2" w:rsidRPr="00D46647" w:rsidRDefault="00FD57F2" w:rsidP="00FD57F2">
            <w:pPr>
              <w:rPr>
                <w:sz w:val="16"/>
                <w:szCs w:val="16"/>
              </w:rPr>
            </w:pPr>
          </w:p>
        </w:tc>
        <w:tc>
          <w:tcPr>
            <w:tcW w:w="1896" w:type="dxa"/>
            <w:gridSpan w:val="4"/>
            <w:shd w:val="clear" w:color="auto" w:fill="C6D9F1"/>
            <w:noWrap/>
            <w:vAlign w:val="bottom"/>
            <w:hideMark/>
          </w:tcPr>
          <w:p w14:paraId="551252F1" w14:textId="77777777" w:rsidR="00FD57F2" w:rsidRPr="00D46647" w:rsidRDefault="00FD57F2" w:rsidP="00FD57F2">
            <w:pPr>
              <w:jc w:val="center"/>
              <w:rPr>
                <w:b/>
                <w:bCs/>
                <w:sz w:val="16"/>
                <w:szCs w:val="16"/>
              </w:rPr>
            </w:pPr>
            <w:r w:rsidRPr="00D46647">
              <w:rPr>
                <w:b/>
                <w:sz w:val="16"/>
              </w:rPr>
              <w:t>2014</w:t>
            </w:r>
          </w:p>
        </w:tc>
        <w:tc>
          <w:tcPr>
            <w:tcW w:w="1898" w:type="dxa"/>
            <w:gridSpan w:val="4"/>
            <w:shd w:val="clear" w:color="auto" w:fill="C6D9F1"/>
            <w:noWrap/>
            <w:vAlign w:val="bottom"/>
            <w:hideMark/>
          </w:tcPr>
          <w:p w14:paraId="3B04BD1F" w14:textId="77777777" w:rsidR="00FD57F2" w:rsidRPr="00D46647" w:rsidRDefault="00FD57F2" w:rsidP="00FD57F2">
            <w:pPr>
              <w:jc w:val="center"/>
              <w:rPr>
                <w:b/>
                <w:bCs/>
                <w:sz w:val="16"/>
                <w:szCs w:val="16"/>
              </w:rPr>
            </w:pPr>
            <w:r w:rsidRPr="00D46647">
              <w:rPr>
                <w:b/>
                <w:sz w:val="16"/>
              </w:rPr>
              <w:t>2015</w:t>
            </w:r>
          </w:p>
        </w:tc>
        <w:tc>
          <w:tcPr>
            <w:tcW w:w="1900" w:type="dxa"/>
            <w:gridSpan w:val="4"/>
            <w:shd w:val="clear" w:color="auto" w:fill="C6D9F1"/>
            <w:noWrap/>
            <w:vAlign w:val="bottom"/>
            <w:hideMark/>
          </w:tcPr>
          <w:p w14:paraId="3FD8125F" w14:textId="77777777" w:rsidR="00FD57F2" w:rsidRPr="00D46647" w:rsidRDefault="00FD57F2" w:rsidP="00FD57F2">
            <w:pPr>
              <w:jc w:val="center"/>
              <w:rPr>
                <w:b/>
                <w:bCs/>
                <w:sz w:val="16"/>
                <w:szCs w:val="16"/>
              </w:rPr>
            </w:pPr>
            <w:r w:rsidRPr="00D46647">
              <w:rPr>
                <w:b/>
                <w:sz w:val="16"/>
              </w:rPr>
              <w:t>2016</w:t>
            </w:r>
          </w:p>
        </w:tc>
        <w:tc>
          <w:tcPr>
            <w:tcW w:w="1900" w:type="dxa"/>
            <w:gridSpan w:val="4"/>
            <w:shd w:val="clear" w:color="auto" w:fill="C6D9F1"/>
            <w:noWrap/>
            <w:vAlign w:val="bottom"/>
            <w:hideMark/>
          </w:tcPr>
          <w:p w14:paraId="5F45A49F" w14:textId="77777777" w:rsidR="00FD57F2" w:rsidRPr="00D46647" w:rsidRDefault="00FD57F2" w:rsidP="00FD57F2">
            <w:pPr>
              <w:jc w:val="center"/>
              <w:rPr>
                <w:b/>
                <w:bCs/>
                <w:sz w:val="16"/>
                <w:szCs w:val="16"/>
              </w:rPr>
            </w:pPr>
            <w:r w:rsidRPr="00D46647">
              <w:rPr>
                <w:b/>
                <w:sz w:val="16"/>
              </w:rPr>
              <w:t>2017</w:t>
            </w:r>
          </w:p>
        </w:tc>
      </w:tr>
      <w:tr w:rsidR="00FD57F2" w:rsidRPr="00D46647" w14:paraId="2AC73A3F" w14:textId="77777777" w:rsidTr="007E3422">
        <w:trPr>
          <w:jc w:val="center"/>
        </w:trPr>
        <w:tc>
          <w:tcPr>
            <w:tcW w:w="2288" w:type="dxa"/>
            <w:shd w:val="clear" w:color="auto" w:fill="C6D9F1"/>
            <w:noWrap/>
            <w:vAlign w:val="bottom"/>
            <w:hideMark/>
          </w:tcPr>
          <w:p w14:paraId="7DB5794D" w14:textId="77777777" w:rsidR="00FD57F2" w:rsidRPr="00D46647" w:rsidRDefault="00FD57F2" w:rsidP="00FD57F2">
            <w:pPr>
              <w:jc w:val="center"/>
              <w:rPr>
                <w:b/>
                <w:bCs/>
                <w:sz w:val="16"/>
                <w:szCs w:val="16"/>
              </w:rPr>
            </w:pPr>
            <w:r w:rsidRPr="00D46647">
              <w:rPr>
                <w:b/>
                <w:sz w:val="16"/>
              </w:rPr>
              <w:t>Étape principale</w:t>
            </w:r>
          </w:p>
        </w:tc>
        <w:tc>
          <w:tcPr>
            <w:tcW w:w="474" w:type="dxa"/>
            <w:shd w:val="clear" w:color="auto" w:fill="C6D9F1"/>
            <w:noWrap/>
            <w:vAlign w:val="bottom"/>
            <w:hideMark/>
          </w:tcPr>
          <w:p w14:paraId="35FB88EB" w14:textId="77777777" w:rsidR="00FD57F2" w:rsidRPr="00D46647" w:rsidRDefault="00FD57F2" w:rsidP="00FD57F2">
            <w:pPr>
              <w:rPr>
                <w:b/>
                <w:bCs/>
                <w:sz w:val="16"/>
                <w:szCs w:val="16"/>
              </w:rPr>
            </w:pPr>
            <w:r w:rsidRPr="00D46647">
              <w:rPr>
                <w:b/>
                <w:bCs/>
                <w:sz w:val="16"/>
                <w:szCs w:val="16"/>
              </w:rPr>
              <w:t>T1</w:t>
            </w:r>
          </w:p>
        </w:tc>
        <w:tc>
          <w:tcPr>
            <w:tcW w:w="474" w:type="dxa"/>
            <w:shd w:val="clear" w:color="auto" w:fill="C6D9F1"/>
            <w:noWrap/>
            <w:vAlign w:val="bottom"/>
            <w:hideMark/>
          </w:tcPr>
          <w:p w14:paraId="0DC06249" w14:textId="77777777" w:rsidR="00FD57F2" w:rsidRPr="00D46647" w:rsidRDefault="00FD57F2" w:rsidP="00FD57F2">
            <w:pPr>
              <w:rPr>
                <w:b/>
                <w:bCs/>
                <w:sz w:val="16"/>
                <w:szCs w:val="16"/>
              </w:rPr>
            </w:pPr>
            <w:r w:rsidRPr="00D46647">
              <w:rPr>
                <w:b/>
                <w:bCs/>
                <w:sz w:val="16"/>
                <w:szCs w:val="16"/>
              </w:rPr>
              <w:t>T2</w:t>
            </w:r>
          </w:p>
        </w:tc>
        <w:tc>
          <w:tcPr>
            <w:tcW w:w="474" w:type="dxa"/>
            <w:shd w:val="clear" w:color="auto" w:fill="C6D9F1"/>
            <w:noWrap/>
            <w:vAlign w:val="bottom"/>
            <w:hideMark/>
          </w:tcPr>
          <w:p w14:paraId="288745DD" w14:textId="77777777" w:rsidR="00FD57F2" w:rsidRPr="00D46647" w:rsidRDefault="00FD57F2" w:rsidP="00FD57F2">
            <w:pPr>
              <w:rPr>
                <w:b/>
                <w:bCs/>
                <w:sz w:val="16"/>
                <w:szCs w:val="16"/>
              </w:rPr>
            </w:pPr>
            <w:r w:rsidRPr="00D46647">
              <w:rPr>
                <w:b/>
                <w:bCs/>
                <w:sz w:val="16"/>
                <w:szCs w:val="16"/>
              </w:rPr>
              <w:t>T3</w:t>
            </w:r>
          </w:p>
        </w:tc>
        <w:tc>
          <w:tcPr>
            <w:tcW w:w="474" w:type="dxa"/>
            <w:shd w:val="clear" w:color="auto" w:fill="C6D9F1"/>
            <w:noWrap/>
            <w:vAlign w:val="bottom"/>
            <w:hideMark/>
          </w:tcPr>
          <w:p w14:paraId="689003BA" w14:textId="77777777" w:rsidR="00FD57F2" w:rsidRPr="00D46647" w:rsidRDefault="00FD57F2" w:rsidP="00FD57F2">
            <w:pPr>
              <w:rPr>
                <w:b/>
                <w:bCs/>
                <w:sz w:val="16"/>
                <w:szCs w:val="16"/>
              </w:rPr>
            </w:pPr>
            <w:r w:rsidRPr="00D46647">
              <w:rPr>
                <w:b/>
                <w:bCs/>
                <w:sz w:val="16"/>
                <w:szCs w:val="16"/>
              </w:rPr>
              <w:t>T4</w:t>
            </w:r>
          </w:p>
        </w:tc>
        <w:tc>
          <w:tcPr>
            <w:tcW w:w="474" w:type="dxa"/>
            <w:shd w:val="clear" w:color="auto" w:fill="C6D9F1"/>
            <w:noWrap/>
            <w:vAlign w:val="bottom"/>
            <w:hideMark/>
          </w:tcPr>
          <w:p w14:paraId="77EBEB9B" w14:textId="77777777" w:rsidR="00FD57F2" w:rsidRPr="00D46647" w:rsidRDefault="00FD57F2" w:rsidP="00FD57F2">
            <w:pPr>
              <w:rPr>
                <w:b/>
                <w:bCs/>
                <w:sz w:val="16"/>
                <w:szCs w:val="16"/>
              </w:rPr>
            </w:pPr>
            <w:r w:rsidRPr="00D46647">
              <w:rPr>
                <w:b/>
                <w:bCs/>
                <w:sz w:val="16"/>
                <w:szCs w:val="16"/>
              </w:rPr>
              <w:t>T1</w:t>
            </w:r>
          </w:p>
        </w:tc>
        <w:tc>
          <w:tcPr>
            <w:tcW w:w="474" w:type="dxa"/>
            <w:shd w:val="clear" w:color="auto" w:fill="C6D9F1"/>
            <w:noWrap/>
            <w:vAlign w:val="bottom"/>
            <w:hideMark/>
          </w:tcPr>
          <w:p w14:paraId="30BA8EDF" w14:textId="77777777" w:rsidR="00FD57F2" w:rsidRPr="00D46647" w:rsidRDefault="00FD57F2" w:rsidP="00FD57F2">
            <w:pPr>
              <w:rPr>
                <w:b/>
                <w:bCs/>
                <w:sz w:val="16"/>
                <w:szCs w:val="16"/>
              </w:rPr>
            </w:pPr>
            <w:r w:rsidRPr="00D46647">
              <w:rPr>
                <w:b/>
                <w:bCs/>
                <w:sz w:val="16"/>
                <w:szCs w:val="16"/>
              </w:rPr>
              <w:t>T2</w:t>
            </w:r>
          </w:p>
        </w:tc>
        <w:tc>
          <w:tcPr>
            <w:tcW w:w="475" w:type="dxa"/>
            <w:shd w:val="clear" w:color="auto" w:fill="C6D9F1"/>
            <w:noWrap/>
            <w:vAlign w:val="bottom"/>
            <w:hideMark/>
          </w:tcPr>
          <w:p w14:paraId="0007DAB5" w14:textId="77777777" w:rsidR="00FD57F2" w:rsidRPr="00D46647" w:rsidRDefault="00FD57F2" w:rsidP="00FD57F2">
            <w:pPr>
              <w:rPr>
                <w:b/>
                <w:bCs/>
                <w:sz w:val="16"/>
                <w:szCs w:val="16"/>
              </w:rPr>
            </w:pPr>
            <w:r w:rsidRPr="00D46647">
              <w:rPr>
                <w:b/>
                <w:bCs/>
                <w:sz w:val="16"/>
                <w:szCs w:val="16"/>
              </w:rPr>
              <w:t>T3</w:t>
            </w:r>
          </w:p>
        </w:tc>
        <w:tc>
          <w:tcPr>
            <w:tcW w:w="475" w:type="dxa"/>
            <w:shd w:val="clear" w:color="auto" w:fill="C6D9F1"/>
            <w:noWrap/>
            <w:vAlign w:val="bottom"/>
            <w:hideMark/>
          </w:tcPr>
          <w:p w14:paraId="485DEF20" w14:textId="77777777" w:rsidR="00FD57F2" w:rsidRPr="00D46647" w:rsidRDefault="00FD57F2" w:rsidP="00FD57F2">
            <w:pPr>
              <w:rPr>
                <w:b/>
                <w:bCs/>
                <w:sz w:val="16"/>
                <w:szCs w:val="16"/>
              </w:rPr>
            </w:pPr>
            <w:r w:rsidRPr="00D46647">
              <w:rPr>
                <w:b/>
                <w:bCs/>
                <w:sz w:val="16"/>
                <w:szCs w:val="16"/>
              </w:rPr>
              <w:t>T4</w:t>
            </w:r>
          </w:p>
        </w:tc>
        <w:tc>
          <w:tcPr>
            <w:tcW w:w="475" w:type="dxa"/>
            <w:shd w:val="clear" w:color="auto" w:fill="C6D9F1"/>
            <w:noWrap/>
            <w:vAlign w:val="bottom"/>
            <w:hideMark/>
          </w:tcPr>
          <w:p w14:paraId="56AB8042" w14:textId="77777777" w:rsidR="00FD57F2" w:rsidRPr="00D46647" w:rsidRDefault="00FD57F2" w:rsidP="00FD57F2">
            <w:pPr>
              <w:rPr>
                <w:b/>
                <w:bCs/>
                <w:sz w:val="16"/>
                <w:szCs w:val="16"/>
              </w:rPr>
            </w:pPr>
            <w:r w:rsidRPr="00D46647">
              <w:rPr>
                <w:b/>
                <w:bCs/>
                <w:sz w:val="16"/>
                <w:szCs w:val="16"/>
              </w:rPr>
              <w:t>T1</w:t>
            </w:r>
          </w:p>
        </w:tc>
        <w:tc>
          <w:tcPr>
            <w:tcW w:w="475" w:type="dxa"/>
            <w:shd w:val="clear" w:color="auto" w:fill="C6D9F1"/>
            <w:noWrap/>
            <w:vAlign w:val="bottom"/>
            <w:hideMark/>
          </w:tcPr>
          <w:p w14:paraId="0C643F18" w14:textId="77777777" w:rsidR="00FD57F2" w:rsidRPr="00D46647" w:rsidRDefault="00FD57F2" w:rsidP="00FD57F2">
            <w:pPr>
              <w:rPr>
                <w:b/>
                <w:bCs/>
                <w:sz w:val="16"/>
                <w:szCs w:val="16"/>
              </w:rPr>
            </w:pPr>
            <w:r w:rsidRPr="00D46647">
              <w:rPr>
                <w:b/>
                <w:bCs/>
                <w:sz w:val="16"/>
                <w:szCs w:val="16"/>
              </w:rPr>
              <w:t>T2</w:t>
            </w:r>
          </w:p>
        </w:tc>
        <w:tc>
          <w:tcPr>
            <w:tcW w:w="475" w:type="dxa"/>
            <w:shd w:val="clear" w:color="auto" w:fill="C6D9F1"/>
            <w:noWrap/>
            <w:vAlign w:val="bottom"/>
            <w:hideMark/>
          </w:tcPr>
          <w:p w14:paraId="7CD52A65" w14:textId="77777777" w:rsidR="00FD57F2" w:rsidRPr="00D46647" w:rsidRDefault="00FD57F2" w:rsidP="00FD57F2">
            <w:pPr>
              <w:rPr>
                <w:b/>
                <w:bCs/>
                <w:sz w:val="16"/>
                <w:szCs w:val="16"/>
              </w:rPr>
            </w:pPr>
            <w:r w:rsidRPr="00D46647">
              <w:rPr>
                <w:b/>
                <w:bCs/>
                <w:sz w:val="16"/>
                <w:szCs w:val="16"/>
              </w:rPr>
              <w:t>T3</w:t>
            </w:r>
          </w:p>
        </w:tc>
        <w:tc>
          <w:tcPr>
            <w:tcW w:w="475" w:type="dxa"/>
            <w:shd w:val="clear" w:color="auto" w:fill="C6D9F1"/>
            <w:noWrap/>
            <w:vAlign w:val="bottom"/>
            <w:hideMark/>
          </w:tcPr>
          <w:p w14:paraId="18C86B1E" w14:textId="77777777" w:rsidR="00FD57F2" w:rsidRPr="00D46647" w:rsidRDefault="00FD57F2" w:rsidP="00FD57F2">
            <w:pPr>
              <w:rPr>
                <w:b/>
                <w:bCs/>
                <w:sz w:val="16"/>
                <w:szCs w:val="16"/>
              </w:rPr>
            </w:pPr>
            <w:r w:rsidRPr="00D46647">
              <w:rPr>
                <w:b/>
                <w:bCs/>
                <w:sz w:val="16"/>
                <w:szCs w:val="16"/>
              </w:rPr>
              <w:t>T4</w:t>
            </w:r>
          </w:p>
        </w:tc>
        <w:tc>
          <w:tcPr>
            <w:tcW w:w="475" w:type="dxa"/>
            <w:shd w:val="clear" w:color="auto" w:fill="C6D9F1"/>
            <w:noWrap/>
            <w:vAlign w:val="bottom"/>
            <w:hideMark/>
          </w:tcPr>
          <w:p w14:paraId="5BC20C21" w14:textId="77777777" w:rsidR="00FD57F2" w:rsidRPr="00D46647" w:rsidRDefault="00FD57F2" w:rsidP="00FD57F2">
            <w:pPr>
              <w:rPr>
                <w:b/>
                <w:bCs/>
                <w:sz w:val="16"/>
                <w:szCs w:val="16"/>
              </w:rPr>
            </w:pPr>
            <w:r w:rsidRPr="00D46647">
              <w:rPr>
                <w:b/>
                <w:bCs/>
                <w:sz w:val="16"/>
                <w:szCs w:val="16"/>
              </w:rPr>
              <w:t>T1</w:t>
            </w:r>
          </w:p>
        </w:tc>
        <w:tc>
          <w:tcPr>
            <w:tcW w:w="475" w:type="dxa"/>
            <w:shd w:val="clear" w:color="auto" w:fill="C6D9F1"/>
            <w:noWrap/>
            <w:vAlign w:val="bottom"/>
            <w:hideMark/>
          </w:tcPr>
          <w:p w14:paraId="3E582A9A" w14:textId="77777777" w:rsidR="00FD57F2" w:rsidRPr="00D46647" w:rsidRDefault="00FD57F2" w:rsidP="00FD57F2">
            <w:pPr>
              <w:rPr>
                <w:b/>
                <w:bCs/>
                <w:sz w:val="16"/>
                <w:szCs w:val="16"/>
              </w:rPr>
            </w:pPr>
            <w:r w:rsidRPr="00D46647">
              <w:rPr>
                <w:b/>
                <w:bCs/>
                <w:sz w:val="16"/>
                <w:szCs w:val="16"/>
              </w:rPr>
              <w:t>T2</w:t>
            </w:r>
          </w:p>
        </w:tc>
        <w:tc>
          <w:tcPr>
            <w:tcW w:w="475" w:type="dxa"/>
            <w:shd w:val="clear" w:color="auto" w:fill="C6D9F1"/>
            <w:noWrap/>
            <w:vAlign w:val="bottom"/>
            <w:hideMark/>
          </w:tcPr>
          <w:p w14:paraId="57671CE7" w14:textId="77777777" w:rsidR="00FD57F2" w:rsidRPr="00D46647" w:rsidRDefault="00FD57F2" w:rsidP="00FD57F2">
            <w:pPr>
              <w:rPr>
                <w:b/>
                <w:bCs/>
                <w:sz w:val="16"/>
                <w:szCs w:val="16"/>
              </w:rPr>
            </w:pPr>
            <w:r w:rsidRPr="00D46647">
              <w:rPr>
                <w:b/>
                <w:bCs/>
                <w:sz w:val="16"/>
                <w:szCs w:val="16"/>
              </w:rPr>
              <w:t>T3</w:t>
            </w:r>
          </w:p>
        </w:tc>
        <w:tc>
          <w:tcPr>
            <w:tcW w:w="475" w:type="dxa"/>
            <w:shd w:val="clear" w:color="auto" w:fill="C6D9F1"/>
            <w:noWrap/>
            <w:vAlign w:val="bottom"/>
            <w:hideMark/>
          </w:tcPr>
          <w:p w14:paraId="29CCA448" w14:textId="77777777" w:rsidR="00FD57F2" w:rsidRPr="00D46647" w:rsidRDefault="00FD57F2" w:rsidP="00FD57F2">
            <w:pPr>
              <w:rPr>
                <w:b/>
                <w:bCs/>
                <w:sz w:val="16"/>
                <w:szCs w:val="16"/>
              </w:rPr>
            </w:pPr>
            <w:r w:rsidRPr="00D46647">
              <w:rPr>
                <w:b/>
                <w:bCs/>
                <w:sz w:val="16"/>
                <w:szCs w:val="16"/>
              </w:rPr>
              <w:t>T4</w:t>
            </w:r>
          </w:p>
        </w:tc>
      </w:tr>
      <w:tr w:rsidR="00FD57F2" w:rsidRPr="00D46647" w14:paraId="6CE9EBCE" w14:textId="77777777" w:rsidTr="007E3422">
        <w:trPr>
          <w:jc w:val="center"/>
        </w:trPr>
        <w:tc>
          <w:tcPr>
            <w:tcW w:w="2288" w:type="dxa"/>
            <w:shd w:val="clear" w:color="auto" w:fill="auto"/>
            <w:noWrap/>
            <w:vAlign w:val="center"/>
            <w:hideMark/>
          </w:tcPr>
          <w:p w14:paraId="38123F6E" w14:textId="77777777" w:rsidR="00FD57F2" w:rsidRPr="00D46647" w:rsidRDefault="00FD57F2" w:rsidP="00FD57F2">
            <w:pPr>
              <w:rPr>
                <w:sz w:val="16"/>
                <w:szCs w:val="16"/>
              </w:rPr>
            </w:pPr>
            <w:r w:rsidRPr="00D46647">
              <w:rPr>
                <w:sz w:val="16"/>
              </w:rPr>
              <w:t>Compartimentation du bâtiment du PCT</w:t>
            </w:r>
          </w:p>
          <w:p w14:paraId="2F182FCF" w14:textId="77777777" w:rsidR="00FD57F2" w:rsidRPr="00D46647" w:rsidRDefault="00FD57F2" w:rsidP="00FD57F2">
            <w:pPr>
              <w:rPr>
                <w:sz w:val="16"/>
                <w:szCs w:val="16"/>
              </w:rPr>
            </w:pPr>
            <w:r w:rsidRPr="00D46647">
              <w:rPr>
                <w:sz w:val="16"/>
              </w:rPr>
              <w:t>Achèvement des travaux</w:t>
            </w:r>
          </w:p>
        </w:tc>
        <w:tc>
          <w:tcPr>
            <w:tcW w:w="474" w:type="dxa"/>
            <w:shd w:val="clear" w:color="auto" w:fill="auto"/>
            <w:noWrap/>
            <w:vAlign w:val="center"/>
            <w:hideMark/>
          </w:tcPr>
          <w:p w14:paraId="4DEEF1AA"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4" w:type="dxa"/>
            <w:shd w:val="clear" w:color="auto" w:fill="auto"/>
            <w:noWrap/>
            <w:vAlign w:val="center"/>
            <w:hideMark/>
          </w:tcPr>
          <w:p w14:paraId="62B9DBF3" w14:textId="77777777" w:rsidR="00FD57F2" w:rsidRPr="00D46647" w:rsidRDefault="00FD57F2" w:rsidP="00FD57F2">
            <w:pPr>
              <w:jc w:val="center"/>
              <w:rPr>
                <w:lang w:val="en-US"/>
              </w:rPr>
            </w:pPr>
          </w:p>
        </w:tc>
        <w:tc>
          <w:tcPr>
            <w:tcW w:w="474" w:type="dxa"/>
            <w:shd w:val="clear" w:color="auto" w:fill="auto"/>
            <w:noWrap/>
            <w:vAlign w:val="center"/>
            <w:hideMark/>
          </w:tcPr>
          <w:p w14:paraId="0F37E746" w14:textId="77777777" w:rsidR="00FD57F2" w:rsidRPr="00D46647" w:rsidRDefault="00FD57F2" w:rsidP="00FD57F2">
            <w:pPr>
              <w:jc w:val="center"/>
              <w:rPr>
                <w:lang w:val="en-US"/>
              </w:rPr>
            </w:pPr>
          </w:p>
        </w:tc>
        <w:tc>
          <w:tcPr>
            <w:tcW w:w="474" w:type="dxa"/>
            <w:shd w:val="clear" w:color="auto" w:fill="auto"/>
            <w:noWrap/>
            <w:vAlign w:val="center"/>
            <w:hideMark/>
          </w:tcPr>
          <w:p w14:paraId="6EB034C7" w14:textId="77777777" w:rsidR="00FD57F2" w:rsidRPr="00D46647" w:rsidRDefault="00FD57F2" w:rsidP="00FD57F2">
            <w:pPr>
              <w:jc w:val="center"/>
              <w:rPr>
                <w:lang w:val="en-US"/>
              </w:rPr>
            </w:pPr>
          </w:p>
        </w:tc>
        <w:tc>
          <w:tcPr>
            <w:tcW w:w="474" w:type="dxa"/>
            <w:shd w:val="clear" w:color="auto" w:fill="auto"/>
            <w:noWrap/>
            <w:vAlign w:val="center"/>
            <w:hideMark/>
          </w:tcPr>
          <w:p w14:paraId="78E5BA04" w14:textId="77777777" w:rsidR="00FD57F2" w:rsidRPr="00D46647" w:rsidRDefault="00FD57F2" w:rsidP="00FD57F2">
            <w:pPr>
              <w:jc w:val="center"/>
              <w:rPr>
                <w:lang w:val="en-US"/>
              </w:rPr>
            </w:pPr>
          </w:p>
        </w:tc>
        <w:tc>
          <w:tcPr>
            <w:tcW w:w="474" w:type="dxa"/>
            <w:shd w:val="clear" w:color="auto" w:fill="auto"/>
            <w:noWrap/>
            <w:vAlign w:val="center"/>
            <w:hideMark/>
          </w:tcPr>
          <w:p w14:paraId="201E11BC" w14:textId="77777777" w:rsidR="00FD57F2" w:rsidRPr="00D46647" w:rsidRDefault="00FD57F2" w:rsidP="00FD57F2">
            <w:pPr>
              <w:jc w:val="center"/>
              <w:rPr>
                <w:lang w:val="en-US"/>
              </w:rPr>
            </w:pPr>
          </w:p>
        </w:tc>
        <w:tc>
          <w:tcPr>
            <w:tcW w:w="475" w:type="dxa"/>
            <w:shd w:val="clear" w:color="auto" w:fill="auto"/>
            <w:noWrap/>
            <w:vAlign w:val="center"/>
            <w:hideMark/>
          </w:tcPr>
          <w:p w14:paraId="3C9B0A86" w14:textId="77777777" w:rsidR="00FD57F2" w:rsidRPr="00D46647" w:rsidRDefault="00FD57F2" w:rsidP="00FD57F2">
            <w:pPr>
              <w:jc w:val="center"/>
              <w:rPr>
                <w:lang w:val="en-US"/>
              </w:rPr>
            </w:pPr>
          </w:p>
        </w:tc>
        <w:tc>
          <w:tcPr>
            <w:tcW w:w="475" w:type="dxa"/>
            <w:shd w:val="clear" w:color="auto" w:fill="auto"/>
            <w:noWrap/>
            <w:vAlign w:val="center"/>
            <w:hideMark/>
          </w:tcPr>
          <w:p w14:paraId="22EF9D7C" w14:textId="77777777" w:rsidR="00FD57F2" w:rsidRPr="00D46647" w:rsidRDefault="00FD57F2" w:rsidP="00FD57F2">
            <w:pPr>
              <w:jc w:val="center"/>
              <w:rPr>
                <w:lang w:val="en-US"/>
              </w:rPr>
            </w:pPr>
          </w:p>
        </w:tc>
        <w:tc>
          <w:tcPr>
            <w:tcW w:w="475" w:type="dxa"/>
            <w:shd w:val="clear" w:color="auto" w:fill="auto"/>
            <w:noWrap/>
            <w:vAlign w:val="center"/>
            <w:hideMark/>
          </w:tcPr>
          <w:p w14:paraId="5D79599D" w14:textId="77777777" w:rsidR="00FD57F2" w:rsidRPr="00D46647" w:rsidRDefault="00FD57F2" w:rsidP="00FD57F2">
            <w:pPr>
              <w:jc w:val="center"/>
              <w:rPr>
                <w:lang w:val="en-US"/>
              </w:rPr>
            </w:pPr>
          </w:p>
        </w:tc>
        <w:tc>
          <w:tcPr>
            <w:tcW w:w="475" w:type="dxa"/>
            <w:shd w:val="clear" w:color="auto" w:fill="auto"/>
            <w:noWrap/>
            <w:vAlign w:val="center"/>
            <w:hideMark/>
          </w:tcPr>
          <w:p w14:paraId="136FC563" w14:textId="77777777" w:rsidR="00FD57F2" w:rsidRPr="00D46647" w:rsidRDefault="00FD57F2" w:rsidP="00FD57F2">
            <w:pPr>
              <w:jc w:val="center"/>
              <w:rPr>
                <w:lang w:val="en-US"/>
              </w:rPr>
            </w:pPr>
          </w:p>
        </w:tc>
        <w:tc>
          <w:tcPr>
            <w:tcW w:w="475" w:type="dxa"/>
            <w:shd w:val="clear" w:color="auto" w:fill="auto"/>
            <w:noWrap/>
            <w:vAlign w:val="center"/>
            <w:hideMark/>
          </w:tcPr>
          <w:p w14:paraId="41F42947" w14:textId="77777777" w:rsidR="00FD57F2" w:rsidRPr="00D46647" w:rsidRDefault="00FD57F2" w:rsidP="00FD57F2">
            <w:pPr>
              <w:jc w:val="center"/>
              <w:rPr>
                <w:lang w:val="en-US"/>
              </w:rPr>
            </w:pPr>
          </w:p>
        </w:tc>
        <w:tc>
          <w:tcPr>
            <w:tcW w:w="475" w:type="dxa"/>
            <w:shd w:val="clear" w:color="auto" w:fill="auto"/>
            <w:noWrap/>
            <w:vAlign w:val="center"/>
            <w:hideMark/>
          </w:tcPr>
          <w:p w14:paraId="4EE0591E" w14:textId="77777777" w:rsidR="00FD57F2" w:rsidRPr="00D46647" w:rsidRDefault="00FD57F2" w:rsidP="00FD57F2">
            <w:pPr>
              <w:jc w:val="center"/>
              <w:rPr>
                <w:lang w:val="en-US"/>
              </w:rPr>
            </w:pPr>
          </w:p>
        </w:tc>
        <w:tc>
          <w:tcPr>
            <w:tcW w:w="475" w:type="dxa"/>
            <w:shd w:val="clear" w:color="auto" w:fill="auto"/>
            <w:noWrap/>
            <w:vAlign w:val="center"/>
            <w:hideMark/>
          </w:tcPr>
          <w:p w14:paraId="0FC7A2F3" w14:textId="77777777" w:rsidR="00FD57F2" w:rsidRPr="00D46647" w:rsidRDefault="00FD57F2" w:rsidP="00FD57F2">
            <w:pPr>
              <w:jc w:val="center"/>
              <w:rPr>
                <w:lang w:val="en-US"/>
              </w:rPr>
            </w:pPr>
          </w:p>
        </w:tc>
        <w:tc>
          <w:tcPr>
            <w:tcW w:w="475" w:type="dxa"/>
            <w:shd w:val="clear" w:color="auto" w:fill="auto"/>
            <w:noWrap/>
            <w:vAlign w:val="center"/>
            <w:hideMark/>
          </w:tcPr>
          <w:p w14:paraId="78C30FF4" w14:textId="77777777" w:rsidR="00FD57F2" w:rsidRPr="00D46647" w:rsidRDefault="00FD57F2" w:rsidP="00FD57F2">
            <w:pPr>
              <w:jc w:val="center"/>
              <w:rPr>
                <w:lang w:val="en-US"/>
              </w:rPr>
            </w:pPr>
          </w:p>
        </w:tc>
        <w:tc>
          <w:tcPr>
            <w:tcW w:w="475" w:type="dxa"/>
            <w:shd w:val="clear" w:color="auto" w:fill="auto"/>
            <w:noWrap/>
            <w:vAlign w:val="center"/>
            <w:hideMark/>
          </w:tcPr>
          <w:p w14:paraId="6E47EF03" w14:textId="77777777" w:rsidR="00FD57F2" w:rsidRPr="00D46647" w:rsidRDefault="00FD57F2" w:rsidP="00FD57F2">
            <w:pPr>
              <w:jc w:val="center"/>
              <w:rPr>
                <w:lang w:val="en-US"/>
              </w:rPr>
            </w:pPr>
          </w:p>
        </w:tc>
        <w:tc>
          <w:tcPr>
            <w:tcW w:w="475" w:type="dxa"/>
            <w:shd w:val="clear" w:color="auto" w:fill="auto"/>
            <w:noWrap/>
            <w:vAlign w:val="center"/>
            <w:hideMark/>
          </w:tcPr>
          <w:p w14:paraId="58A92B2B" w14:textId="77777777" w:rsidR="00FD57F2" w:rsidRPr="00D46647" w:rsidRDefault="00FD57F2" w:rsidP="00FD57F2">
            <w:pPr>
              <w:jc w:val="center"/>
              <w:rPr>
                <w:lang w:val="en-US"/>
              </w:rPr>
            </w:pPr>
          </w:p>
        </w:tc>
      </w:tr>
      <w:tr w:rsidR="00FD57F2" w:rsidRPr="00D46647" w14:paraId="32E8EB8C" w14:textId="77777777" w:rsidTr="007E3422">
        <w:trPr>
          <w:jc w:val="center"/>
        </w:trPr>
        <w:tc>
          <w:tcPr>
            <w:tcW w:w="2288" w:type="dxa"/>
            <w:shd w:val="clear" w:color="auto" w:fill="auto"/>
            <w:noWrap/>
            <w:vAlign w:val="center"/>
            <w:hideMark/>
          </w:tcPr>
          <w:p w14:paraId="65084036" w14:textId="77777777" w:rsidR="00FD57F2" w:rsidRPr="00D46647" w:rsidRDefault="00FD57F2" w:rsidP="00FD57F2">
            <w:pPr>
              <w:rPr>
                <w:sz w:val="16"/>
                <w:szCs w:val="16"/>
              </w:rPr>
            </w:pPr>
            <w:r w:rsidRPr="00D46647">
              <w:rPr>
                <w:sz w:val="16"/>
              </w:rPr>
              <w:t>Planification de l’espace améliorée dans la zone réservée aux délégués du bâtiment AB -2/Création d’un sas au niveau des paliers d’ascenseur du bâtiment AB, niveau -2</w:t>
            </w:r>
          </w:p>
        </w:tc>
        <w:tc>
          <w:tcPr>
            <w:tcW w:w="474" w:type="dxa"/>
            <w:shd w:val="clear" w:color="auto" w:fill="auto"/>
            <w:noWrap/>
            <w:vAlign w:val="center"/>
            <w:hideMark/>
          </w:tcPr>
          <w:p w14:paraId="0894338F" w14:textId="77777777" w:rsidR="00FD57F2" w:rsidRPr="00D46647" w:rsidRDefault="00FD57F2" w:rsidP="00FD57F2">
            <w:pPr>
              <w:jc w:val="center"/>
            </w:pPr>
          </w:p>
        </w:tc>
        <w:tc>
          <w:tcPr>
            <w:tcW w:w="474" w:type="dxa"/>
            <w:shd w:val="clear" w:color="auto" w:fill="auto"/>
            <w:noWrap/>
            <w:vAlign w:val="center"/>
            <w:hideMark/>
          </w:tcPr>
          <w:p w14:paraId="388AA38E" w14:textId="77777777" w:rsidR="00FD57F2" w:rsidRPr="00D46647" w:rsidRDefault="00FD57F2" w:rsidP="00FD57F2">
            <w:pPr>
              <w:jc w:val="center"/>
            </w:pPr>
          </w:p>
        </w:tc>
        <w:tc>
          <w:tcPr>
            <w:tcW w:w="474" w:type="dxa"/>
            <w:shd w:val="clear" w:color="auto" w:fill="auto"/>
            <w:noWrap/>
            <w:vAlign w:val="center"/>
            <w:hideMark/>
          </w:tcPr>
          <w:p w14:paraId="39B157AD"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4" w:type="dxa"/>
            <w:shd w:val="clear" w:color="auto" w:fill="auto"/>
            <w:noWrap/>
            <w:vAlign w:val="center"/>
            <w:hideMark/>
          </w:tcPr>
          <w:p w14:paraId="637D6090"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4" w:type="dxa"/>
            <w:shd w:val="clear" w:color="auto" w:fill="auto"/>
            <w:noWrap/>
            <w:vAlign w:val="center"/>
            <w:hideMark/>
          </w:tcPr>
          <w:p w14:paraId="5BEE508C"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4" w:type="dxa"/>
            <w:shd w:val="clear" w:color="auto" w:fill="auto"/>
            <w:noWrap/>
            <w:vAlign w:val="center"/>
            <w:hideMark/>
          </w:tcPr>
          <w:p w14:paraId="6094FBB3"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4E88F0FF" w14:textId="77777777" w:rsidR="00FD57F2" w:rsidRPr="00D46647" w:rsidRDefault="00FD57F2" w:rsidP="00FD57F2">
            <w:pPr>
              <w:jc w:val="center"/>
              <w:rPr>
                <w:lang w:val="en-US"/>
              </w:rPr>
            </w:pPr>
          </w:p>
        </w:tc>
        <w:tc>
          <w:tcPr>
            <w:tcW w:w="475" w:type="dxa"/>
            <w:shd w:val="clear" w:color="auto" w:fill="auto"/>
            <w:noWrap/>
            <w:vAlign w:val="center"/>
            <w:hideMark/>
          </w:tcPr>
          <w:p w14:paraId="769240D9" w14:textId="77777777" w:rsidR="00FD57F2" w:rsidRPr="00D46647" w:rsidRDefault="00FD57F2" w:rsidP="00FD57F2">
            <w:pPr>
              <w:jc w:val="center"/>
              <w:rPr>
                <w:lang w:val="en-US"/>
              </w:rPr>
            </w:pPr>
          </w:p>
        </w:tc>
        <w:tc>
          <w:tcPr>
            <w:tcW w:w="475" w:type="dxa"/>
            <w:shd w:val="clear" w:color="auto" w:fill="auto"/>
            <w:noWrap/>
            <w:vAlign w:val="center"/>
            <w:hideMark/>
          </w:tcPr>
          <w:p w14:paraId="63CEB958" w14:textId="77777777" w:rsidR="00FD57F2" w:rsidRPr="00D46647" w:rsidRDefault="00FD57F2" w:rsidP="00FD57F2">
            <w:pPr>
              <w:jc w:val="center"/>
              <w:rPr>
                <w:lang w:val="en-US"/>
              </w:rPr>
            </w:pPr>
          </w:p>
        </w:tc>
        <w:tc>
          <w:tcPr>
            <w:tcW w:w="475" w:type="dxa"/>
            <w:shd w:val="clear" w:color="auto" w:fill="auto"/>
            <w:noWrap/>
            <w:vAlign w:val="center"/>
            <w:hideMark/>
          </w:tcPr>
          <w:p w14:paraId="0CA95032" w14:textId="77777777" w:rsidR="00FD57F2" w:rsidRPr="00D46647" w:rsidRDefault="00FD57F2" w:rsidP="00FD57F2">
            <w:pPr>
              <w:jc w:val="center"/>
              <w:rPr>
                <w:lang w:val="en-US"/>
              </w:rPr>
            </w:pPr>
          </w:p>
        </w:tc>
        <w:tc>
          <w:tcPr>
            <w:tcW w:w="475" w:type="dxa"/>
            <w:shd w:val="clear" w:color="auto" w:fill="auto"/>
            <w:noWrap/>
            <w:vAlign w:val="center"/>
            <w:hideMark/>
          </w:tcPr>
          <w:p w14:paraId="56763EDE" w14:textId="77777777" w:rsidR="00FD57F2" w:rsidRPr="00D46647" w:rsidRDefault="00FD57F2" w:rsidP="00FD57F2">
            <w:pPr>
              <w:jc w:val="center"/>
              <w:rPr>
                <w:lang w:val="en-US"/>
              </w:rPr>
            </w:pPr>
          </w:p>
        </w:tc>
        <w:tc>
          <w:tcPr>
            <w:tcW w:w="475" w:type="dxa"/>
            <w:shd w:val="clear" w:color="auto" w:fill="auto"/>
            <w:noWrap/>
            <w:vAlign w:val="center"/>
            <w:hideMark/>
          </w:tcPr>
          <w:p w14:paraId="1156A70A" w14:textId="77777777" w:rsidR="00FD57F2" w:rsidRPr="00D46647" w:rsidRDefault="00FD57F2" w:rsidP="00FD57F2">
            <w:pPr>
              <w:jc w:val="center"/>
              <w:rPr>
                <w:lang w:val="en-US"/>
              </w:rPr>
            </w:pPr>
          </w:p>
        </w:tc>
        <w:tc>
          <w:tcPr>
            <w:tcW w:w="475" w:type="dxa"/>
            <w:shd w:val="clear" w:color="auto" w:fill="auto"/>
            <w:noWrap/>
            <w:vAlign w:val="center"/>
            <w:hideMark/>
          </w:tcPr>
          <w:p w14:paraId="4452DCAF" w14:textId="77777777" w:rsidR="00FD57F2" w:rsidRPr="00D46647" w:rsidRDefault="00FD57F2" w:rsidP="00FD57F2">
            <w:pPr>
              <w:jc w:val="center"/>
              <w:rPr>
                <w:lang w:val="en-US"/>
              </w:rPr>
            </w:pPr>
          </w:p>
        </w:tc>
        <w:tc>
          <w:tcPr>
            <w:tcW w:w="475" w:type="dxa"/>
            <w:shd w:val="clear" w:color="auto" w:fill="auto"/>
            <w:noWrap/>
            <w:vAlign w:val="center"/>
            <w:hideMark/>
          </w:tcPr>
          <w:p w14:paraId="39E90C4D" w14:textId="77777777" w:rsidR="00FD57F2" w:rsidRPr="00D46647" w:rsidRDefault="00FD57F2" w:rsidP="00FD57F2">
            <w:pPr>
              <w:jc w:val="center"/>
              <w:rPr>
                <w:lang w:val="en-US"/>
              </w:rPr>
            </w:pPr>
          </w:p>
        </w:tc>
        <w:tc>
          <w:tcPr>
            <w:tcW w:w="475" w:type="dxa"/>
            <w:shd w:val="clear" w:color="auto" w:fill="auto"/>
            <w:noWrap/>
            <w:vAlign w:val="center"/>
            <w:hideMark/>
          </w:tcPr>
          <w:p w14:paraId="3C89C0F0" w14:textId="77777777" w:rsidR="00FD57F2" w:rsidRPr="00D46647" w:rsidRDefault="00FD57F2" w:rsidP="00FD57F2">
            <w:pPr>
              <w:jc w:val="center"/>
              <w:rPr>
                <w:lang w:val="en-US"/>
              </w:rPr>
            </w:pPr>
          </w:p>
        </w:tc>
        <w:tc>
          <w:tcPr>
            <w:tcW w:w="475" w:type="dxa"/>
            <w:shd w:val="clear" w:color="auto" w:fill="auto"/>
            <w:noWrap/>
            <w:vAlign w:val="center"/>
            <w:hideMark/>
          </w:tcPr>
          <w:p w14:paraId="0BBB7E4C" w14:textId="77777777" w:rsidR="00FD57F2" w:rsidRPr="00D46647" w:rsidRDefault="00FD57F2" w:rsidP="00FD57F2">
            <w:pPr>
              <w:jc w:val="center"/>
              <w:rPr>
                <w:lang w:val="en-US"/>
              </w:rPr>
            </w:pPr>
          </w:p>
        </w:tc>
      </w:tr>
      <w:tr w:rsidR="00FD57F2" w:rsidRPr="00D46647" w14:paraId="2AC97B6F" w14:textId="77777777" w:rsidTr="007E3422">
        <w:trPr>
          <w:jc w:val="center"/>
        </w:trPr>
        <w:tc>
          <w:tcPr>
            <w:tcW w:w="2288" w:type="dxa"/>
            <w:shd w:val="clear" w:color="auto" w:fill="auto"/>
            <w:noWrap/>
            <w:vAlign w:val="bottom"/>
            <w:hideMark/>
          </w:tcPr>
          <w:p w14:paraId="2CA12DB5" w14:textId="77777777" w:rsidR="00FD57F2" w:rsidRPr="00D46647" w:rsidRDefault="00FD57F2" w:rsidP="00FD57F2">
            <w:pPr>
              <w:rPr>
                <w:sz w:val="16"/>
                <w:szCs w:val="16"/>
              </w:rPr>
            </w:pPr>
            <w:r w:rsidRPr="00D46647">
              <w:rPr>
                <w:sz w:val="16"/>
              </w:rPr>
              <w:t>Projet relatifs à la compartimentation entre les bâtiments GBI et AB</w:t>
            </w:r>
          </w:p>
        </w:tc>
        <w:tc>
          <w:tcPr>
            <w:tcW w:w="474" w:type="dxa"/>
            <w:shd w:val="clear" w:color="auto" w:fill="auto"/>
            <w:noWrap/>
            <w:vAlign w:val="center"/>
            <w:hideMark/>
          </w:tcPr>
          <w:p w14:paraId="3E63360C" w14:textId="77777777" w:rsidR="00FD57F2" w:rsidRPr="00D46647" w:rsidRDefault="00FD57F2" w:rsidP="00FD57F2">
            <w:pPr>
              <w:jc w:val="center"/>
            </w:pPr>
          </w:p>
        </w:tc>
        <w:tc>
          <w:tcPr>
            <w:tcW w:w="474" w:type="dxa"/>
            <w:shd w:val="clear" w:color="auto" w:fill="auto"/>
            <w:noWrap/>
            <w:vAlign w:val="center"/>
            <w:hideMark/>
          </w:tcPr>
          <w:p w14:paraId="7F1D3429" w14:textId="77777777" w:rsidR="00FD57F2" w:rsidRPr="00D46647" w:rsidRDefault="00FD57F2" w:rsidP="00FD57F2">
            <w:pPr>
              <w:jc w:val="center"/>
            </w:pPr>
          </w:p>
        </w:tc>
        <w:tc>
          <w:tcPr>
            <w:tcW w:w="474" w:type="dxa"/>
            <w:shd w:val="clear" w:color="auto" w:fill="auto"/>
            <w:noWrap/>
            <w:vAlign w:val="center"/>
            <w:hideMark/>
          </w:tcPr>
          <w:p w14:paraId="1E6705E1" w14:textId="77777777" w:rsidR="00FD57F2" w:rsidRPr="00D46647" w:rsidRDefault="00FD57F2" w:rsidP="00FD57F2">
            <w:pPr>
              <w:jc w:val="center"/>
            </w:pPr>
          </w:p>
        </w:tc>
        <w:tc>
          <w:tcPr>
            <w:tcW w:w="474" w:type="dxa"/>
            <w:shd w:val="clear" w:color="auto" w:fill="auto"/>
            <w:noWrap/>
            <w:vAlign w:val="center"/>
            <w:hideMark/>
          </w:tcPr>
          <w:p w14:paraId="71593B50" w14:textId="77777777" w:rsidR="00FD57F2" w:rsidRPr="00D46647" w:rsidRDefault="00FD57F2" w:rsidP="00FD57F2">
            <w:pPr>
              <w:jc w:val="center"/>
            </w:pPr>
          </w:p>
        </w:tc>
        <w:tc>
          <w:tcPr>
            <w:tcW w:w="474" w:type="dxa"/>
            <w:shd w:val="clear" w:color="auto" w:fill="auto"/>
            <w:noWrap/>
            <w:vAlign w:val="center"/>
            <w:hideMark/>
          </w:tcPr>
          <w:p w14:paraId="07455D35" w14:textId="77777777" w:rsidR="00FD57F2" w:rsidRPr="00D46647" w:rsidRDefault="00FD57F2" w:rsidP="00FD57F2">
            <w:pPr>
              <w:jc w:val="center"/>
            </w:pPr>
          </w:p>
        </w:tc>
        <w:tc>
          <w:tcPr>
            <w:tcW w:w="474" w:type="dxa"/>
            <w:shd w:val="clear" w:color="auto" w:fill="auto"/>
            <w:noWrap/>
            <w:vAlign w:val="center"/>
            <w:hideMark/>
          </w:tcPr>
          <w:p w14:paraId="0B15785F" w14:textId="77777777" w:rsidR="00FD57F2" w:rsidRPr="00D46647" w:rsidRDefault="00FD57F2" w:rsidP="00FD57F2">
            <w:pPr>
              <w:jc w:val="center"/>
            </w:pPr>
          </w:p>
        </w:tc>
        <w:tc>
          <w:tcPr>
            <w:tcW w:w="475" w:type="dxa"/>
            <w:shd w:val="clear" w:color="auto" w:fill="auto"/>
            <w:noWrap/>
            <w:vAlign w:val="center"/>
            <w:hideMark/>
          </w:tcPr>
          <w:p w14:paraId="51B79E3E"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0C3E802D"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54C7F50B"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161097C4"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159AFBD8"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75BC4570"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52C0CDD3" w14:textId="77777777" w:rsidR="00FD57F2" w:rsidRPr="00D46647" w:rsidRDefault="00FD57F2" w:rsidP="00FD57F2">
            <w:pPr>
              <w:jc w:val="center"/>
              <w:rPr>
                <w:sz w:val="16"/>
                <w:lang w:val="en-US"/>
              </w:rPr>
            </w:pPr>
            <w:r w:rsidRPr="00D46647">
              <w:rPr>
                <w:sz w:val="16"/>
                <w:szCs w:val="16"/>
              </w:rPr>
              <w:t>X</w:t>
            </w:r>
          </w:p>
        </w:tc>
        <w:tc>
          <w:tcPr>
            <w:tcW w:w="475" w:type="dxa"/>
            <w:shd w:val="clear" w:color="auto" w:fill="auto"/>
            <w:noWrap/>
            <w:vAlign w:val="center"/>
            <w:hideMark/>
          </w:tcPr>
          <w:p w14:paraId="49A50652" w14:textId="77777777" w:rsidR="00FD57F2" w:rsidRPr="00D46647" w:rsidRDefault="00FD57F2" w:rsidP="00FD57F2">
            <w:pPr>
              <w:jc w:val="center"/>
              <w:rPr>
                <w:lang w:val="en-US"/>
              </w:rPr>
            </w:pPr>
            <w:r w:rsidRPr="00D46647">
              <w:rPr>
                <w:color w:val="000000"/>
                <w:sz w:val="16"/>
                <w:szCs w:val="16"/>
                <w:lang w:val="fr-CH"/>
              </w:rPr>
              <w:t>X</w:t>
            </w:r>
          </w:p>
        </w:tc>
        <w:tc>
          <w:tcPr>
            <w:tcW w:w="475" w:type="dxa"/>
            <w:shd w:val="clear" w:color="auto" w:fill="auto"/>
            <w:noWrap/>
            <w:vAlign w:val="center"/>
            <w:hideMark/>
          </w:tcPr>
          <w:p w14:paraId="5AF05C7E" w14:textId="77777777" w:rsidR="00FD57F2" w:rsidRPr="00D46647" w:rsidRDefault="00FD57F2" w:rsidP="00FD57F2">
            <w:pPr>
              <w:jc w:val="center"/>
              <w:rPr>
                <w:lang w:val="en-US"/>
              </w:rPr>
            </w:pPr>
          </w:p>
        </w:tc>
        <w:tc>
          <w:tcPr>
            <w:tcW w:w="475" w:type="dxa"/>
            <w:shd w:val="clear" w:color="auto" w:fill="auto"/>
            <w:noWrap/>
            <w:vAlign w:val="center"/>
            <w:hideMark/>
          </w:tcPr>
          <w:p w14:paraId="52192C68" w14:textId="77777777" w:rsidR="00FD57F2" w:rsidRPr="00D46647" w:rsidRDefault="00FD57F2" w:rsidP="00FD57F2">
            <w:pPr>
              <w:jc w:val="center"/>
              <w:rPr>
                <w:lang w:val="en-US"/>
              </w:rPr>
            </w:pPr>
          </w:p>
        </w:tc>
      </w:tr>
      <w:tr w:rsidR="00FD57F2" w:rsidRPr="00D46647" w14:paraId="258D293E" w14:textId="77777777" w:rsidTr="007E3422">
        <w:trPr>
          <w:jc w:val="center"/>
        </w:trPr>
        <w:tc>
          <w:tcPr>
            <w:tcW w:w="2288" w:type="dxa"/>
            <w:shd w:val="clear" w:color="auto" w:fill="auto"/>
            <w:noWrap/>
            <w:vAlign w:val="bottom"/>
            <w:hideMark/>
          </w:tcPr>
          <w:p w14:paraId="0E910926" w14:textId="5CFB9736" w:rsidR="00FD57F2" w:rsidRPr="00D46647" w:rsidRDefault="00FD57F2" w:rsidP="00FD57F2">
            <w:pPr>
              <w:rPr>
                <w:sz w:val="16"/>
                <w:szCs w:val="16"/>
              </w:rPr>
            </w:pPr>
            <w:r w:rsidRPr="00D46647">
              <w:rPr>
                <w:sz w:val="16"/>
              </w:rPr>
              <w:t xml:space="preserve">Projet relatif à la compartimentation entre le parking souterrain du bâtiment AB et le bâtiment AB (sauf </w:t>
            </w:r>
            <w:r w:rsidR="00356386">
              <w:rPr>
                <w:sz w:val="16"/>
              </w:rPr>
              <w:br/>
            </w:r>
            <w:r w:rsidRPr="00D46647">
              <w:rPr>
                <w:sz w:val="16"/>
              </w:rPr>
              <w:t>niveau -2).</w:t>
            </w:r>
          </w:p>
        </w:tc>
        <w:tc>
          <w:tcPr>
            <w:tcW w:w="474" w:type="dxa"/>
            <w:shd w:val="clear" w:color="auto" w:fill="auto"/>
            <w:noWrap/>
            <w:vAlign w:val="center"/>
            <w:hideMark/>
          </w:tcPr>
          <w:p w14:paraId="6D18B6A4" w14:textId="77777777" w:rsidR="00FD57F2" w:rsidRPr="00D46647" w:rsidRDefault="00FD57F2" w:rsidP="00FD57F2">
            <w:pPr>
              <w:jc w:val="center"/>
            </w:pPr>
          </w:p>
        </w:tc>
        <w:tc>
          <w:tcPr>
            <w:tcW w:w="474" w:type="dxa"/>
            <w:shd w:val="clear" w:color="auto" w:fill="auto"/>
            <w:noWrap/>
            <w:vAlign w:val="center"/>
            <w:hideMark/>
          </w:tcPr>
          <w:p w14:paraId="6823A87D" w14:textId="77777777" w:rsidR="00FD57F2" w:rsidRPr="00D46647" w:rsidRDefault="00FD57F2" w:rsidP="00FD57F2">
            <w:pPr>
              <w:jc w:val="center"/>
            </w:pPr>
          </w:p>
        </w:tc>
        <w:tc>
          <w:tcPr>
            <w:tcW w:w="474" w:type="dxa"/>
            <w:shd w:val="clear" w:color="auto" w:fill="auto"/>
            <w:noWrap/>
            <w:vAlign w:val="center"/>
            <w:hideMark/>
          </w:tcPr>
          <w:p w14:paraId="3B03A771" w14:textId="77777777" w:rsidR="00FD57F2" w:rsidRPr="00D46647" w:rsidRDefault="00FD57F2" w:rsidP="00FD57F2">
            <w:pPr>
              <w:jc w:val="center"/>
            </w:pPr>
          </w:p>
        </w:tc>
        <w:tc>
          <w:tcPr>
            <w:tcW w:w="474" w:type="dxa"/>
            <w:shd w:val="clear" w:color="auto" w:fill="auto"/>
            <w:noWrap/>
            <w:vAlign w:val="center"/>
            <w:hideMark/>
          </w:tcPr>
          <w:p w14:paraId="163B6056" w14:textId="77777777" w:rsidR="00FD57F2" w:rsidRPr="00D46647" w:rsidRDefault="00FD57F2" w:rsidP="00FD57F2">
            <w:pPr>
              <w:jc w:val="center"/>
            </w:pPr>
          </w:p>
        </w:tc>
        <w:tc>
          <w:tcPr>
            <w:tcW w:w="474" w:type="dxa"/>
            <w:shd w:val="clear" w:color="auto" w:fill="auto"/>
            <w:noWrap/>
            <w:vAlign w:val="center"/>
            <w:hideMark/>
          </w:tcPr>
          <w:p w14:paraId="7EEB8540" w14:textId="77777777" w:rsidR="00FD57F2" w:rsidRPr="00D46647" w:rsidRDefault="00FD57F2" w:rsidP="00FD57F2">
            <w:pPr>
              <w:jc w:val="center"/>
            </w:pPr>
          </w:p>
        </w:tc>
        <w:tc>
          <w:tcPr>
            <w:tcW w:w="474" w:type="dxa"/>
            <w:shd w:val="clear" w:color="auto" w:fill="auto"/>
            <w:noWrap/>
            <w:vAlign w:val="center"/>
            <w:hideMark/>
          </w:tcPr>
          <w:p w14:paraId="2C63E96E" w14:textId="77777777" w:rsidR="00FD57F2" w:rsidRPr="00D46647" w:rsidRDefault="00FD57F2" w:rsidP="00FD57F2">
            <w:pPr>
              <w:jc w:val="center"/>
            </w:pPr>
          </w:p>
        </w:tc>
        <w:tc>
          <w:tcPr>
            <w:tcW w:w="475" w:type="dxa"/>
            <w:shd w:val="clear" w:color="auto" w:fill="auto"/>
            <w:noWrap/>
            <w:vAlign w:val="center"/>
            <w:hideMark/>
          </w:tcPr>
          <w:p w14:paraId="0FFEDA22" w14:textId="77777777" w:rsidR="00FD57F2" w:rsidRPr="00D46647" w:rsidRDefault="00FD57F2" w:rsidP="00FD57F2">
            <w:pPr>
              <w:jc w:val="center"/>
            </w:pPr>
          </w:p>
        </w:tc>
        <w:tc>
          <w:tcPr>
            <w:tcW w:w="475" w:type="dxa"/>
            <w:shd w:val="clear" w:color="auto" w:fill="auto"/>
            <w:noWrap/>
            <w:vAlign w:val="center"/>
            <w:hideMark/>
          </w:tcPr>
          <w:p w14:paraId="3F031488" w14:textId="77777777" w:rsidR="00FD57F2" w:rsidRPr="00D46647" w:rsidRDefault="00FD57F2" w:rsidP="00FD57F2">
            <w:pPr>
              <w:jc w:val="center"/>
            </w:pPr>
          </w:p>
        </w:tc>
        <w:tc>
          <w:tcPr>
            <w:tcW w:w="475" w:type="dxa"/>
            <w:shd w:val="clear" w:color="auto" w:fill="auto"/>
            <w:noWrap/>
            <w:vAlign w:val="center"/>
            <w:hideMark/>
          </w:tcPr>
          <w:p w14:paraId="74377880" w14:textId="77777777" w:rsidR="00FD57F2" w:rsidRPr="00D46647" w:rsidRDefault="00FD57F2" w:rsidP="00FD57F2">
            <w:pPr>
              <w:jc w:val="center"/>
              <w:rPr>
                <w:lang w:val="fr-CH"/>
              </w:rPr>
            </w:pPr>
          </w:p>
        </w:tc>
        <w:tc>
          <w:tcPr>
            <w:tcW w:w="475" w:type="dxa"/>
            <w:shd w:val="clear" w:color="auto" w:fill="auto"/>
            <w:noWrap/>
            <w:vAlign w:val="center"/>
            <w:hideMark/>
          </w:tcPr>
          <w:p w14:paraId="0F16B134" w14:textId="77777777" w:rsidR="00FD57F2" w:rsidRPr="00D46647" w:rsidRDefault="00FD57F2" w:rsidP="00FD57F2">
            <w:pPr>
              <w:jc w:val="center"/>
              <w:rPr>
                <w:lang w:val="fr-CH"/>
              </w:rPr>
            </w:pPr>
          </w:p>
        </w:tc>
        <w:tc>
          <w:tcPr>
            <w:tcW w:w="475" w:type="dxa"/>
            <w:shd w:val="clear" w:color="auto" w:fill="auto"/>
            <w:noWrap/>
            <w:vAlign w:val="center"/>
            <w:hideMark/>
          </w:tcPr>
          <w:p w14:paraId="7498BE2D" w14:textId="77777777" w:rsidR="00FD57F2" w:rsidRPr="00D46647" w:rsidRDefault="00FD57F2" w:rsidP="00FD57F2">
            <w:pPr>
              <w:jc w:val="center"/>
              <w:rPr>
                <w:lang w:val="fr-CH"/>
              </w:rPr>
            </w:pPr>
          </w:p>
        </w:tc>
        <w:tc>
          <w:tcPr>
            <w:tcW w:w="475" w:type="dxa"/>
            <w:shd w:val="clear" w:color="auto" w:fill="auto"/>
            <w:noWrap/>
            <w:vAlign w:val="center"/>
            <w:hideMark/>
          </w:tcPr>
          <w:p w14:paraId="22C4BD95" w14:textId="77777777" w:rsidR="00FD57F2" w:rsidRPr="00D46647" w:rsidRDefault="00FD57F2" w:rsidP="00FD57F2">
            <w:pPr>
              <w:jc w:val="center"/>
              <w:rPr>
                <w:lang w:val="en-US"/>
              </w:rPr>
            </w:pPr>
            <w:r w:rsidRPr="00D46647">
              <w:rPr>
                <w:color w:val="000000"/>
                <w:sz w:val="16"/>
                <w:szCs w:val="16"/>
                <w:lang w:val="fr-CH"/>
              </w:rPr>
              <w:t>X</w:t>
            </w:r>
          </w:p>
        </w:tc>
        <w:tc>
          <w:tcPr>
            <w:tcW w:w="475" w:type="dxa"/>
            <w:shd w:val="clear" w:color="auto" w:fill="auto"/>
            <w:noWrap/>
            <w:vAlign w:val="center"/>
            <w:hideMark/>
          </w:tcPr>
          <w:p w14:paraId="70A9D2EB" w14:textId="77777777" w:rsidR="00FD57F2" w:rsidRPr="00D46647" w:rsidRDefault="00FD57F2" w:rsidP="00FD57F2">
            <w:pPr>
              <w:jc w:val="center"/>
              <w:rPr>
                <w:color w:val="000000"/>
                <w:sz w:val="16"/>
                <w:lang w:val="en-US"/>
              </w:rPr>
            </w:pPr>
            <w:r w:rsidRPr="00D46647">
              <w:rPr>
                <w:color w:val="000000"/>
                <w:sz w:val="16"/>
                <w:szCs w:val="16"/>
                <w:lang w:val="fr-CH"/>
              </w:rPr>
              <w:t>X</w:t>
            </w:r>
          </w:p>
        </w:tc>
        <w:tc>
          <w:tcPr>
            <w:tcW w:w="475" w:type="dxa"/>
            <w:shd w:val="clear" w:color="auto" w:fill="auto"/>
            <w:noWrap/>
            <w:vAlign w:val="center"/>
            <w:hideMark/>
          </w:tcPr>
          <w:p w14:paraId="3E0D80C0"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27111780"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c>
          <w:tcPr>
            <w:tcW w:w="475" w:type="dxa"/>
            <w:shd w:val="clear" w:color="auto" w:fill="auto"/>
            <w:noWrap/>
            <w:vAlign w:val="center"/>
            <w:hideMark/>
          </w:tcPr>
          <w:p w14:paraId="55BF437E" w14:textId="77777777" w:rsidR="00FD57F2" w:rsidRPr="00D46647" w:rsidRDefault="00FD57F2" w:rsidP="00FD57F2">
            <w:pPr>
              <w:jc w:val="center"/>
              <w:rPr>
                <w:color w:val="000000"/>
                <w:sz w:val="16"/>
                <w:szCs w:val="16"/>
                <w:lang w:val="fr-CH"/>
              </w:rPr>
            </w:pPr>
            <w:r w:rsidRPr="00D46647">
              <w:rPr>
                <w:color w:val="000000"/>
                <w:sz w:val="16"/>
                <w:szCs w:val="16"/>
                <w:lang w:val="fr-CH"/>
              </w:rPr>
              <w:t>X</w:t>
            </w:r>
          </w:p>
        </w:tc>
      </w:tr>
    </w:tbl>
    <w:p w14:paraId="3373FBA7" w14:textId="77777777" w:rsidR="00FD57F2" w:rsidRPr="00D46647" w:rsidRDefault="00FD57F2" w:rsidP="00FD57F2">
      <w:pPr>
        <w:rPr>
          <w:sz w:val="20"/>
        </w:rPr>
      </w:pPr>
    </w:p>
    <w:p w14:paraId="0389FE21" w14:textId="77777777" w:rsidR="00FD57F2" w:rsidRPr="00D46647" w:rsidRDefault="00FD57F2" w:rsidP="00FD57F2">
      <w:pPr>
        <w:autoSpaceDE w:val="0"/>
        <w:autoSpaceDN w:val="0"/>
        <w:jc w:val="both"/>
        <w:rPr>
          <w:bCs/>
          <w:sz w:val="20"/>
        </w:rPr>
      </w:pPr>
    </w:p>
    <w:p w14:paraId="5FE6DDE6" w14:textId="77777777" w:rsidR="00FD57F2" w:rsidRPr="00D46647" w:rsidRDefault="00FD57F2" w:rsidP="00FD57F2">
      <w:pPr>
        <w:autoSpaceDE w:val="0"/>
        <w:autoSpaceDN w:val="0"/>
        <w:jc w:val="both"/>
        <w:rPr>
          <w:bCs/>
          <w:sz w:val="20"/>
        </w:rPr>
      </w:pPr>
    </w:p>
    <w:p w14:paraId="36DBBD50" w14:textId="3FF79C1A" w:rsidR="00FD57F2" w:rsidRPr="00D46647" w:rsidRDefault="00FD57F2" w:rsidP="00FD57F2">
      <w:pPr>
        <w:pStyle w:val="Endofdocument-Annex"/>
        <w:rPr>
          <w:sz w:val="20"/>
        </w:rPr>
      </w:pPr>
      <w:r w:rsidRPr="00D46647">
        <w:rPr>
          <w:sz w:val="20"/>
          <w:lang w:val="fr-FR"/>
        </w:rPr>
        <w:t>[L’appendice IV suit]</w:t>
      </w:r>
    </w:p>
    <w:p w14:paraId="26FA6A19" w14:textId="0A5CDCD8" w:rsidR="005436BF" w:rsidRDefault="005436BF">
      <w:pPr>
        <w:rPr>
          <w:sz w:val="20"/>
          <w:lang w:eastAsia="ko-KR"/>
        </w:rPr>
      </w:pPr>
      <w:r>
        <w:rPr>
          <w:sz w:val="20"/>
          <w:lang w:eastAsia="ko-KR"/>
        </w:rPr>
        <w:br w:type="page"/>
      </w:r>
    </w:p>
    <w:p w14:paraId="7E9673AA" w14:textId="16883797" w:rsidR="005436BF" w:rsidRPr="005436BF" w:rsidRDefault="005436BF" w:rsidP="005436BF">
      <w:pPr>
        <w:pStyle w:val="Heading3"/>
        <w:ind w:left="0" w:firstLine="0"/>
        <w:rPr>
          <w:sz w:val="20"/>
        </w:rPr>
      </w:pPr>
      <w:bookmarkStart w:id="120" w:name="_Toc293334854"/>
      <w:bookmarkStart w:id="121" w:name="_Toc298920436"/>
      <w:bookmarkStart w:id="122" w:name="_Toc310950817"/>
      <w:bookmarkStart w:id="123" w:name="_Toc356567803"/>
      <w:bookmarkStart w:id="124" w:name="_Toc359246242"/>
      <w:bookmarkStart w:id="125" w:name="_Toc437252350"/>
      <w:bookmarkStart w:id="126" w:name="_Toc482774639"/>
      <w:r w:rsidRPr="005436BF">
        <w:rPr>
          <w:sz w:val="20"/>
        </w:rPr>
        <w:t xml:space="preserve">Appendice </w:t>
      </w:r>
      <w:r w:rsidR="00DA2F55">
        <w:rPr>
          <w:sz w:val="20"/>
        </w:rPr>
        <w:t>IV</w:t>
      </w:r>
      <w:r w:rsidR="009761D3">
        <w:rPr>
          <w:sz w:val="20"/>
        </w:rPr>
        <w:tab/>
      </w:r>
      <w:r w:rsidRPr="005436BF">
        <w:rPr>
          <w:sz w:val="20"/>
        </w:rPr>
        <w:br/>
        <w:t>Sigles utilisés dans le présent document</w:t>
      </w:r>
      <w:bookmarkEnd w:id="120"/>
      <w:bookmarkEnd w:id="121"/>
      <w:bookmarkEnd w:id="122"/>
      <w:bookmarkEnd w:id="123"/>
      <w:bookmarkEnd w:id="124"/>
      <w:bookmarkEnd w:id="125"/>
      <w:bookmarkEnd w:id="126"/>
    </w:p>
    <w:p w14:paraId="6CE02DB3" w14:textId="77777777" w:rsidR="005436BF" w:rsidRPr="005436BF" w:rsidRDefault="005436BF" w:rsidP="005436BF">
      <w:pPr>
        <w:rPr>
          <w:sz w:val="20"/>
        </w:rPr>
      </w:pPr>
    </w:p>
    <w:p w14:paraId="6F463046" w14:textId="77777777" w:rsidR="005436BF" w:rsidRPr="005436BF" w:rsidRDefault="005436BF" w:rsidP="005436BF">
      <w:pPr>
        <w:rPr>
          <w:sz w:val="20"/>
        </w:rPr>
      </w:pPr>
    </w:p>
    <w:p w14:paraId="72B6DE32" w14:textId="77777777" w:rsidR="005436BF" w:rsidRPr="005436BF" w:rsidRDefault="005436BF" w:rsidP="005436BF">
      <w:pPr>
        <w:ind w:left="1418" w:hanging="1418"/>
        <w:rPr>
          <w:rFonts w:eastAsia="Batang"/>
          <w:sz w:val="20"/>
          <w:lang w:eastAsia="ko-KR"/>
        </w:rPr>
      </w:pPr>
      <w:r w:rsidRPr="005436BF">
        <w:rPr>
          <w:rFonts w:eastAsia="Batang"/>
          <w:b/>
          <w:sz w:val="20"/>
          <w:lang w:eastAsia="ko-KR"/>
        </w:rPr>
        <w:t>A</w:t>
      </w:r>
      <w:r w:rsidRPr="005436BF">
        <w:rPr>
          <w:rFonts w:eastAsia="Batang"/>
          <w:sz w:val="20"/>
          <w:lang w:eastAsia="ko-KR"/>
        </w:rPr>
        <w:t>BC</w:t>
      </w:r>
      <w:r w:rsidRPr="005436BF">
        <w:rPr>
          <w:rFonts w:eastAsia="Batang"/>
          <w:sz w:val="20"/>
          <w:lang w:eastAsia="ko-KR"/>
        </w:rPr>
        <w:tab/>
      </w:r>
      <w:r w:rsidRPr="005436BF">
        <w:rPr>
          <w:sz w:val="20"/>
        </w:rPr>
        <w:t>Consortium pour des livres accessibles</w:t>
      </w:r>
    </w:p>
    <w:p w14:paraId="6C770C3D" w14:textId="42FF06BB" w:rsidR="005436BF" w:rsidRPr="005436BF" w:rsidRDefault="00095798" w:rsidP="005436BF">
      <w:pPr>
        <w:ind w:left="1418" w:hanging="1418"/>
        <w:rPr>
          <w:rFonts w:eastAsia="Batang"/>
          <w:sz w:val="20"/>
          <w:lang w:eastAsia="ko-KR"/>
        </w:rPr>
      </w:pPr>
      <w:r>
        <w:rPr>
          <w:rFonts w:eastAsia="Batang"/>
          <w:sz w:val="20"/>
          <w:lang w:eastAsia="ko-KR"/>
        </w:rPr>
        <w:t>ACE</w:t>
      </w:r>
      <w:r w:rsidR="005436BF" w:rsidRPr="005436BF">
        <w:rPr>
          <w:rFonts w:eastAsia="Batang"/>
          <w:sz w:val="20"/>
          <w:lang w:eastAsia="ko-KR"/>
        </w:rPr>
        <w:tab/>
        <w:t>Comité consultatif sur l’application des droits</w:t>
      </w:r>
    </w:p>
    <w:p w14:paraId="2E1D658A" w14:textId="77777777" w:rsidR="005436BF" w:rsidRPr="005436BF" w:rsidRDefault="005436BF" w:rsidP="005436BF">
      <w:pPr>
        <w:ind w:left="1418" w:hanging="1418"/>
        <w:rPr>
          <w:rFonts w:eastAsia="Batang"/>
          <w:sz w:val="20"/>
          <w:lang w:eastAsia="ko-KR"/>
        </w:rPr>
      </w:pPr>
      <w:r w:rsidRPr="005436BF">
        <w:rPr>
          <w:rFonts w:eastAsia="Batang"/>
          <w:sz w:val="20"/>
          <w:lang w:eastAsia="ko-KR"/>
        </w:rPr>
        <w:t>AIMS</w:t>
      </w:r>
      <w:r w:rsidRPr="005436BF">
        <w:rPr>
          <w:rFonts w:eastAsia="Batang"/>
          <w:sz w:val="20"/>
          <w:lang w:eastAsia="ko-KR"/>
        </w:rPr>
        <w:tab/>
        <w:t>système de gestion de l’information administrative</w:t>
      </w:r>
    </w:p>
    <w:p w14:paraId="38CD2FD5" w14:textId="77777777" w:rsidR="005436BF" w:rsidRPr="005436BF" w:rsidRDefault="005436BF" w:rsidP="005436BF">
      <w:pPr>
        <w:ind w:left="1418" w:hanging="1418"/>
        <w:rPr>
          <w:rFonts w:eastAsia="Batang"/>
          <w:sz w:val="20"/>
          <w:lang w:eastAsia="ko-KR"/>
        </w:rPr>
      </w:pPr>
      <w:proofErr w:type="spellStart"/>
      <w:r w:rsidRPr="005436BF">
        <w:rPr>
          <w:rFonts w:eastAsia="Batang"/>
          <w:sz w:val="20"/>
          <w:lang w:eastAsia="ko-KR"/>
        </w:rPr>
        <w:t>aRDi</w:t>
      </w:r>
      <w:proofErr w:type="spellEnd"/>
      <w:r w:rsidRPr="005436BF">
        <w:rPr>
          <w:rFonts w:eastAsia="Batang"/>
          <w:sz w:val="20"/>
          <w:lang w:eastAsia="ko-KR"/>
        </w:rPr>
        <w:tab/>
        <w:t>programme d’accès à la recherche pour le développement et l’innovation</w:t>
      </w:r>
    </w:p>
    <w:p w14:paraId="32B0C9E8" w14:textId="77777777" w:rsidR="005436BF" w:rsidRPr="005436BF" w:rsidRDefault="005436BF" w:rsidP="005436BF">
      <w:pPr>
        <w:ind w:left="1418" w:hanging="1418"/>
        <w:rPr>
          <w:rFonts w:eastAsia="Batang"/>
          <w:sz w:val="20"/>
          <w:lang w:eastAsia="ko-KR"/>
        </w:rPr>
      </w:pPr>
      <w:r w:rsidRPr="005436BF">
        <w:rPr>
          <w:rFonts w:eastAsia="Batang"/>
          <w:sz w:val="20"/>
          <w:lang w:eastAsia="ko-KR"/>
        </w:rPr>
        <w:t>ASEAN</w:t>
      </w:r>
      <w:r w:rsidRPr="005436BF">
        <w:rPr>
          <w:rFonts w:eastAsia="Batang"/>
          <w:sz w:val="20"/>
          <w:lang w:eastAsia="ko-KR"/>
        </w:rPr>
        <w:tab/>
        <w:t>Association des nations de l’Asie du Sud</w:t>
      </w:r>
      <w:r w:rsidRPr="005436BF">
        <w:rPr>
          <w:rFonts w:eastAsia="Batang"/>
          <w:sz w:val="20"/>
          <w:lang w:eastAsia="ko-KR"/>
        </w:rPr>
        <w:noBreakHyphen/>
        <w:t>Est</w:t>
      </w:r>
    </w:p>
    <w:p w14:paraId="433EA6B8" w14:textId="77777777" w:rsidR="005436BF" w:rsidRPr="005436BF" w:rsidRDefault="005436BF" w:rsidP="005436BF">
      <w:pPr>
        <w:ind w:left="1418" w:hanging="1418"/>
        <w:rPr>
          <w:rFonts w:eastAsia="Batang"/>
          <w:sz w:val="20"/>
          <w:lang w:eastAsia="ko-KR"/>
        </w:rPr>
      </w:pPr>
      <w:r w:rsidRPr="005436BF">
        <w:rPr>
          <w:rFonts w:eastAsia="Batang"/>
          <w:sz w:val="20"/>
          <w:lang w:eastAsia="ko-KR"/>
        </w:rPr>
        <w:t>ASPI</w:t>
      </w:r>
      <w:r w:rsidRPr="005436BF">
        <w:rPr>
          <w:rFonts w:eastAsia="Batang"/>
          <w:sz w:val="20"/>
          <w:lang w:eastAsia="ko-KR"/>
        </w:rPr>
        <w:tab/>
        <w:t>programme d’accès à l’information spécialisée en matière de brevets</w:t>
      </w:r>
    </w:p>
    <w:p w14:paraId="558EA7BA" w14:textId="77777777" w:rsidR="005436BF" w:rsidRPr="001E3776" w:rsidRDefault="005436BF" w:rsidP="005436BF">
      <w:pPr>
        <w:ind w:left="1418" w:hanging="1418"/>
        <w:rPr>
          <w:rFonts w:eastAsia="Batang"/>
          <w:sz w:val="20"/>
          <w:lang w:val="en-US" w:eastAsia="ko-KR"/>
        </w:rPr>
      </w:pPr>
      <w:r w:rsidRPr="001E3776">
        <w:rPr>
          <w:rFonts w:eastAsia="Batang"/>
          <w:sz w:val="20"/>
          <w:lang w:val="en-US" w:eastAsia="ko-KR"/>
        </w:rPr>
        <w:t>AUTM</w:t>
      </w:r>
      <w:r w:rsidRPr="001E3776">
        <w:rPr>
          <w:rFonts w:eastAsia="Batang"/>
          <w:sz w:val="20"/>
          <w:lang w:val="en-US" w:eastAsia="ko-KR"/>
        </w:rPr>
        <w:tab/>
        <w:t>Association of University Technology Managers</w:t>
      </w:r>
    </w:p>
    <w:p w14:paraId="5CC55DF7" w14:textId="77777777" w:rsidR="005436BF" w:rsidRPr="005436BF" w:rsidRDefault="005436BF" w:rsidP="005436BF">
      <w:pPr>
        <w:ind w:left="1418" w:hanging="1418"/>
        <w:rPr>
          <w:rFonts w:eastAsia="Batang"/>
          <w:sz w:val="20"/>
          <w:lang w:eastAsia="ko-KR"/>
        </w:rPr>
      </w:pPr>
      <w:r w:rsidRPr="005436BF">
        <w:rPr>
          <w:rFonts w:eastAsia="Batang"/>
          <w:sz w:val="20"/>
          <w:lang w:eastAsia="ko-KR"/>
        </w:rPr>
        <w:t>AWGIPC</w:t>
      </w:r>
      <w:r w:rsidRPr="005436BF">
        <w:rPr>
          <w:rFonts w:eastAsia="Batang"/>
          <w:sz w:val="20"/>
          <w:lang w:eastAsia="ko-KR"/>
        </w:rPr>
        <w:tab/>
        <w:t>Groupe de travail de l’ASEAN sur la coopération dans le domaine de la propriété intellectuelle</w:t>
      </w:r>
    </w:p>
    <w:p w14:paraId="1AB2ACF1" w14:textId="77777777" w:rsidR="005436BF" w:rsidRPr="005436BF" w:rsidRDefault="005436BF" w:rsidP="005436BF">
      <w:pPr>
        <w:ind w:left="1418" w:hanging="1418"/>
        <w:rPr>
          <w:rFonts w:eastAsia="Batang"/>
          <w:sz w:val="20"/>
          <w:lang w:eastAsia="ko-KR"/>
        </w:rPr>
      </w:pPr>
    </w:p>
    <w:p w14:paraId="53A155B8" w14:textId="0455B882" w:rsidR="005436BF" w:rsidRPr="005436BF" w:rsidRDefault="005436BF" w:rsidP="005436BF">
      <w:pPr>
        <w:ind w:left="1418" w:hanging="1418"/>
        <w:rPr>
          <w:rFonts w:eastAsia="Batang"/>
          <w:sz w:val="20"/>
          <w:lang w:eastAsia="ko-KR"/>
        </w:rPr>
      </w:pPr>
      <w:r w:rsidRPr="005436BF">
        <w:rPr>
          <w:rFonts w:eastAsia="Batang"/>
          <w:b/>
          <w:bCs/>
          <w:sz w:val="20"/>
          <w:lang w:eastAsia="ko-KR"/>
        </w:rPr>
        <w:t>C</w:t>
      </w:r>
      <w:r w:rsidR="00095798">
        <w:rPr>
          <w:rFonts w:eastAsia="Batang"/>
          <w:sz w:val="20"/>
          <w:lang w:eastAsia="ko-KR"/>
        </w:rPr>
        <w:t>CNUCC</w:t>
      </w:r>
      <w:r w:rsidRPr="005436BF">
        <w:rPr>
          <w:rFonts w:eastAsia="Batang"/>
          <w:sz w:val="20"/>
          <w:lang w:eastAsia="ko-KR"/>
        </w:rPr>
        <w:tab/>
        <w:t>Convention</w:t>
      </w:r>
      <w:r w:rsidRPr="005436BF">
        <w:rPr>
          <w:rFonts w:eastAsia="Batang"/>
          <w:sz w:val="20"/>
          <w:lang w:eastAsia="ko-KR"/>
        </w:rPr>
        <w:noBreakHyphen/>
        <w:t>cadre des Nations Unies sur les changements climatiques</w:t>
      </w:r>
    </w:p>
    <w:p w14:paraId="6F624836" w14:textId="77777777" w:rsidR="005436BF" w:rsidRPr="005436BF" w:rsidRDefault="005436BF" w:rsidP="005436BF">
      <w:pPr>
        <w:ind w:left="1418" w:hanging="1418"/>
        <w:rPr>
          <w:rFonts w:eastAsia="Batang"/>
          <w:sz w:val="20"/>
          <w:lang w:eastAsia="ko-KR"/>
        </w:rPr>
      </w:pPr>
      <w:r w:rsidRPr="005436BF">
        <w:rPr>
          <w:rFonts w:eastAsia="Batang"/>
          <w:sz w:val="20"/>
          <w:lang w:eastAsia="ko-KR"/>
        </w:rPr>
        <w:t>CCS</w:t>
      </w:r>
      <w:r w:rsidRPr="005436BF">
        <w:rPr>
          <w:rFonts w:eastAsia="Batang"/>
          <w:sz w:val="20"/>
          <w:lang w:eastAsia="ko-KR"/>
        </w:rPr>
        <w:tab/>
        <w:t>Conseils des chefs de Secrétariat des organismes des Nations Unies</w:t>
      </w:r>
    </w:p>
    <w:p w14:paraId="28792DB0" w14:textId="62ADDA4B" w:rsidR="005436BF" w:rsidRPr="005436BF" w:rsidRDefault="00095798" w:rsidP="005436BF">
      <w:pPr>
        <w:ind w:left="1418" w:hanging="1418"/>
        <w:rPr>
          <w:rFonts w:eastAsia="Batang"/>
          <w:sz w:val="20"/>
          <w:lang w:eastAsia="ko-KR"/>
        </w:rPr>
      </w:pPr>
      <w:proofErr w:type="spellStart"/>
      <w:r>
        <w:rPr>
          <w:rFonts w:eastAsia="Batang"/>
          <w:sz w:val="20"/>
          <w:lang w:eastAsia="ko-KR"/>
        </w:rPr>
        <w:t>ccTLD</w:t>
      </w:r>
      <w:proofErr w:type="spellEnd"/>
      <w:r w:rsidR="005436BF" w:rsidRPr="005436BF">
        <w:rPr>
          <w:rFonts w:eastAsia="Batang"/>
          <w:sz w:val="20"/>
          <w:lang w:eastAsia="ko-KR"/>
        </w:rPr>
        <w:tab/>
        <w:t>domaines de premier niveau qui sont des codes de pays</w:t>
      </w:r>
    </w:p>
    <w:p w14:paraId="4BDA8C55" w14:textId="77777777" w:rsidR="005436BF" w:rsidRPr="005436BF" w:rsidRDefault="005436BF" w:rsidP="005436BF">
      <w:pPr>
        <w:ind w:left="1418" w:hanging="1418"/>
        <w:rPr>
          <w:rFonts w:eastAsia="Batang"/>
          <w:sz w:val="20"/>
          <w:lang w:eastAsia="ko-KR"/>
        </w:rPr>
      </w:pPr>
      <w:r w:rsidRPr="005436BF">
        <w:rPr>
          <w:rFonts w:eastAsia="Batang"/>
          <w:sz w:val="20"/>
          <w:lang w:eastAsia="ko-KR"/>
        </w:rPr>
        <w:t xml:space="preserve">CDIP </w:t>
      </w:r>
      <w:r w:rsidRPr="005436BF">
        <w:rPr>
          <w:rFonts w:eastAsia="Batang"/>
          <w:sz w:val="20"/>
          <w:lang w:eastAsia="ko-KR"/>
        </w:rPr>
        <w:tab/>
        <w:t>Comité du développement et de la propriété intellectuelle</w:t>
      </w:r>
    </w:p>
    <w:p w14:paraId="1A467917" w14:textId="77777777" w:rsidR="005436BF" w:rsidRPr="005436BF" w:rsidRDefault="005436BF" w:rsidP="005436BF">
      <w:pPr>
        <w:ind w:left="1418" w:hanging="1418"/>
        <w:rPr>
          <w:rFonts w:eastAsia="Batang"/>
          <w:sz w:val="20"/>
          <w:lang w:eastAsia="ko-KR"/>
        </w:rPr>
      </w:pPr>
      <w:r w:rsidRPr="005436BF">
        <w:rPr>
          <w:rFonts w:eastAsia="Batang"/>
          <w:sz w:val="20"/>
          <w:lang w:eastAsia="ko-KR"/>
        </w:rPr>
        <w:t>CEI</w:t>
      </w:r>
      <w:r w:rsidRPr="005436BF">
        <w:rPr>
          <w:rFonts w:eastAsia="Batang"/>
          <w:sz w:val="20"/>
          <w:lang w:eastAsia="ko-KR"/>
        </w:rPr>
        <w:tab/>
        <w:t>Communauté des États indépendants</w:t>
      </w:r>
    </w:p>
    <w:p w14:paraId="1CA02386" w14:textId="34A3FB22" w:rsidR="005436BF" w:rsidRPr="005436BF" w:rsidRDefault="00095798" w:rsidP="005436BF">
      <w:pPr>
        <w:ind w:left="1418" w:hanging="1418"/>
        <w:rPr>
          <w:rFonts w:eastAsia="Batang"/>
          <w:sz w:val="20"/>
          <w:lang w:eastAsia="ko-KR"/>
        </w:rPr>
      </w:pPr>
      <w:r>
        <w:rPr>
          <w:rFonts w:eastAsia="Batang"/>
          <w:sz w:val="20"/>
          <w:lang w:eastAsia="ko-KR"/>
        </w:rPr>
        <w:t>CFPI</w:t>
      </w:r>
      <w:r w:rsidR="005436BF" w:rsidRPr="005436BF">
        <w:rPr>
          <w:rFonts w:eastAsia="Batang"/>
          <w:sz w:val="20"/>
          <w:lang w:eastAsia="ko-KR"/>
        </w:rPr>
        <w:tab/>
        <w:t>Commission de la fonction publique internationale</w:t>
      </w:r>
    </w:p>
    <w:p w14:paraId="467FA00D" w14:textId="77777777" w:rsidR="005436BF" w:rsidRPr="005436BF" w:rsidRDefault="005436BF" w:rsidP="005436BF">
      <w:pPr>
        <w:ind w:left="1418" w:hanging="1418"/>
        <w:rPr>
          <w:rFonts w:eastAsia="Batang"/>
          <w:sz w:val="20"/>
          <w:lang w:eastAsia="ko-KR"/>
        </w:rPr>
      </w:pPr>
      <w:r w:rsidRPr="005436BF">
        <w:rPr>
          <w:rFonts w:eastAsia="Batang"/>
          <w:sz w:val="20"/>
          <w:lang w:eastAsia="ko-KR"/>
        </w:rPr>
        <w:t>CIB</w:t>
      </w:r>
      <w:r w:rsidRPr="005436BF">
        <w:rPr>
          <w:rFonts w:eastAsia="Batang"/>
          <w:sz w:val="20"/>
          <w:lang w:eastAsia="ko-KR"/>
        </w:rPr>
        <w:tab/>
        <w:t>classification internationale des brevets</w:t>
      </w:r>
    </w:p>
    <w:p w14:paraId="292BDA6E" w14:textId="42E4F9DF" w:rsidR="005436BF" w:rsidRPr="005436BF" w:rsidRDefault="00095798" w:rsidP="005436BF">
      <w:pPr>
        <w:ind w:left="1418" w:hanging="1418"/>
        <w:rPr>
          <w:rFonts w:eastAsia="Batang"/>
          <w:sz w:val="20"/>
          <w:lang w:eastAsia="ko-KR"/>
        </w:rPr>
      </w:pPr>
      <w:r>
        <w:rPr>
          <w:rFonts w:eastAsia="Batang"/>
          <w:sz w:val="20"/>
          <w:lang w:eastAsia="ko-KR"/>
        </w:rPr>
        <w:t>CIC</w:t>
      </w:r>
      <w:r w:rsidR="005436BF" w:rsidRPr="005436BF">
        <w:rPr>
          <w:rFonts w:eastAsia="Batang"/>
          <w:sz w:val="20"/>
          <w:lang w:eastAsia="ko-KR"/>
        </w:rPr>
        <w:tab/>
        <w:t>Centre international de calcul des Nations Unies</w:t>
      </w:r>
    </w:p>
    <w:p w14:paraId="12678149" w14:textId="32462B25" w:rsidR="005436BF" w:rsidRPr="005436BF" w:rsidRDefault="00095798" w:rsidP="005436BF">
      <w:pPr>
        <w:ind w:left="1418" w:hanging="1418"/>
        <w:rPr>
          <w:rFonts w:eastAsia="Batang"/>
          <w:sz w:val="20"/>
          <w:lang w:eastAsia="ko-KR"/>
        </w:rPr>
      </w:pPr>
      <w:r>
        <w:rPr>
          <w:rFonts w:eastAsia="Batang"/>
          <w:sz w:val="20"/>
          <w:lang w:eastAsia="ko-KR"/>
        </w:rPr>
        <w:t>CLEA</w:t>
      </w:r>
      <w:r w:rsidR="005436BF" w:rsidRPr="005436BF">
        <w:rPr>
          <w:rFonts w:eastAsia="Batang"/>
          <w:sz w:val="20"/>
          <w:lang w:eastAsia="ko-KR"/>
        </w:rPr>
        <w:tab/>
        <w:t>Collection de lois accessible en ligne</w:t>
      </w:r>
    </w:p>
    <w:p w14:paraId="27D78066" w14:textId="042B7768" w:rsidR="005436BF" w:rsidRPr="005436BF" w:rsidRDefault="00095798" w:rsidP="005436BF">
      <w:pPr>
        <w:ind w:left="1418" w:hanging="1418"/>
        <w:rPr>
          <w:rFonts w:eastAsia="Batang"/>
          <w:sz w:val="20"/>
          <w:lang w:eastAsia="ko-KR"/>
        </w:rPr>
      </w:pPr>
      <w:r>
        <w:rPr>
          <w:rFonts w:eastAsia="Batang"/>
          <w:sz w:val="20"/>
          <w:lang w:eastAsia="ko-KR"/>
        </w:rPr>
        <w:t>CNUCED</w:t>
      </w:r>
      <w:r w:rsidR="005436BF" w:rsidRPr="005436BF">
        <w:rPr>
          <w:rFonts w:eastAsia="Batang"/>
          <w:sz w:val="20"/>
          <w:lang w:eastAsia="ko-KR"/>
        </w:rPr>
        <w:tab/>
        <w:t>Conférence des Nations Unies sur le commerce et le développement</w:t>
      </w:r>
    </w:p>
    <w:p w14:paraId="11658959" w14:textId="77777777" w:rsidR="005436BF" w:rsidRPr="005436BF" w:rsidRDefault="005436BF" w:rsidP="005436BF">
      <w:pPr>
        <w:ind w:left="1418" w:hanging="1418"/>
        <w:rPr>
          <w:rFonts w:eastAsia="Batang"/>
          <w:sz w:val="20"/>
          <w:lang w:eastAsia="ko-KR"/>
        </w:rPr>
      </w:pPr>
    </w:p>
    <w:p w14:paraId="7F52C8F6" w14:textId="77777777" w:rsidR="005436BF" w:rsidRPr="005436BF" w:rsidRDefault="005436BF" w:rsidP="005436BF">
      <w:pPr>
        <w:ind w:left="1418" w:hanging="1418"/>
        <w:rPr>
          <w:rFonts w:eastAsia="Batang"/>
          <w:sz w:val="20"/>
          <w:lang w:eastAsia="ko-KR"/>
        </w:rPr>
      </w:pPr>
      <w:r w:rsidRPr="005436BF">
        <w:rPr>
          <w:rFonts w:eastAsia="Batang"/>
          <w:b/>
          <w:sz w:val="20"/>
          <w:lang w:eastAsia="ko-KR"/>
        </w:rPr>
        <w:t>D</w:t>
      </w:r>
      <w:r w:rsidRPr="005436BF">
        <w:rPr>
          <w:rFonts w:eastAsia="Batang"/>
          <w:sz w:val="20"/>
          <w:lang w:eastAsia="ko-KR"/>
        </w:rPr>
        <w:t>AES</w:t>
      </w:r>
      <w:r w:rsidRPr="005436BF">
        <w:rPr>
          <w:rFonts w:eastAsia="Batang"/>
          <w:sz w:val="20"/>
          <w:lang w:eastAsia="ko-KR"/>
        </w:rPr>
        <w:tab/>
        <w:t>Département des affaires économiques et sociales de l’ONU</w:t>
      </w:r>
    </w:p>
    <w:p w14:paraId="25F476F6" w14:textId="77777777" w:rsidR="005436BF" w:rsidRPr="005436BF" w:rsidRDefault="005436BF" w:rsidP="005436BF">
      <w:pPr>
        <w:ind w:left="1418" w:hanging="1418"/>
        <w:rPr>
          <w:rFonts w:eastAsia="Batang"/>
          <w:sz w:val="20"/>
          <w:lang w:eastAsia="ko-KR"/>
        </w:rPr>
      </w:pPr>
      <w:r w:rsidRPr="005436BF">
        <w:rPr>
          <w:rFonts w:eastAsia="Batang"/>
          <w:sz w:val="20"/>
          <w:lang w:eastAsia="ko-KR"/>
        </w:rPr>
        <w:t>DAS</w:t>
      </w:r>
      <w:r w:rsidRPr="005436BF">
        <w:rPr>
          <w:rFonts w:eastAsia="Batang"/>
          <w:sz w:val="20"/>
          <w:lang w:eastAsia="ko-KR"/>
        </w:rPr>
        <w:tab/>
        <w:t>Service d’accès numérique aux documents de priorité</w:t>
      </w:r>
    </w:p>
    <w:p w14:paraId="2E847CEE" w14:textId="4C5FB2F6" w:rsidR="005436BF" w:rsidRPr="005436BF" w:rsidRDefault="00095798" w:rsidP="005436BF">
      <w:pPr>
        <w:ind w:left="1418" w:hanging="1418"/>
        <w:rPr>
          <w:rFonts w:eastAsia="Batang"/>
          <w:sz w:val="20"/>
          <w:lang w:eastAsia="ko-KR"/>
        </w:rPr>
      </w:pPr>
      <w:r>
        <w:rPr>
          <w:rFonts w:eastAsia="Batang"/>
          <w:sz w:val="20"/>
          <w:lang w:eastAsia="ko-KR"/>
        </w:rPr>
        <w:t>DGRH</w:t>
      </w:r>
      <w:r w:rsidR="005436BF" w:rsidRPr="005436BF">
        <w:rPr>
          <w:rFonts w:eastAsia="Batang"/>
          <w:sz w:val="20"/>
          <w:lang w:eastAsia="ko-KR"/>
        </w:rPr>
        <w:tab/>
        <w:t>Département de la gestion des ressources humaines</w:t>
      </w:r>
    </w:p>
    <w:p w14:paraId="2BB98DD4" w14:textId="77777777" w:rsidR="005436BF" w:rsidRPr="005436BF" w:rsidRDefault="005436BF" w:rsidP="005436BF">
      <w:pPr>
        <w:ind w:left="1418" w:hanging="1418"/>
        <w:rPr>
          <w:rFonts w:eastAsia="Batang"/>
          <w:sz w:val="20"/>
          <w:lang w:eastAsia="ko-KR"/>
        </w:rPr>
      </w:pPr>
      <w:r w:rsidRPr="005436BF">
        <w:rPr>
          <w:rFonts w:eastAsia="Batang"/>
          <w:sz w:val="20"/>
          <w:lang w:eastAsia="ko-KR"/>
        </w:rPr>
        <w:t>DSI</w:t>
      </w:r>
      <w:r w:rsidRPr="005436BF">
        <w:rPr>
          <w:rFonts w:eastAsia="Batang"/>
          <w:sz w:val="20"/>
          <w:lang w:eastAsia="ko-KR"/>
        </w:rPr>
        <w:tab/>
        <w:t>Division de la supervision interne</w:t>
      </w:r>
    </w:p>
    <w:p w14:paraId="0882CFEA" w14:textId="77777777" w:rsidR="005436BF" w:rsidRPr="005436BF" w:rsidRDefault="005436BF" w:rsidP="005436BF">
      <w:pPr>
        <w:ind w:left="1418" w:hanging="1418"/>
        <w:rPr>
          <w:rFonts w:eastAsia="Batang"/>
          <w:sz w:val="20"/>
          <w:lang w:eastAsia="ko-KR"/>
        </w:rPr>
      </w:pPr>
    </w:p>
    <w:p w14:paraId="1D6F0BF1" w14:textId="77777777" w:rsidR="005436BF" w:rsidRPr="005436BF" w:rsidRDefault="005436BF" w:rsidP="005436BF">
      <w:pPr>
        <w:ind w:left="1418" w:hanging="1418"/>
        <w:rPr>
          <w:rFonts w:eastAsia="Batang"/>
          <w:sz w:val="20"/>
          <w:lang w:eastAsia="ko-KR"/>
        </w:rPr>
      </w:pPr>
      <w:r w:rsidRPr="005436BF">
        <w:rPr>
          <w:rFonts w:eastAsia="Batang"/>
          <w:b/>
          <w:sz w:val="20"/>
          <w:lang w:eastAsia="ko-KR"/>
        </w:rPr>
        <w:t>E</w:t>
      </w:r>
      <w:r w:rsidRPr="005436BF">
        <w:rPr>
          <w:rFonts w:eastAsia="Batang"/>
          <w:sz w:val="20"/>
          <w:lang w:eastAsia="ko-KR"/>
        </w:rPr>
        <w:t>RP</w:t>
      </w:r>
      <w:r w:rsidRPr="005436BF">
        <w:rPr>
          <w:rFonts w:eastAsia="Batang"/>
          <w:sz w:val="20"/>
          <w:lang w:eastAsia="ko-KR"/>
        </w:rPr>
        <w:tab/>
        <w:t>planification des ressources de l’Organisation</w:t>
      </w:r>
    </w:p>
    <w:p w14:paraId="4829DE6A" w14:textId="77777777" w:rsidR="005436BF" w:rsidRPr="005436BF" w:rsidRDefault="005436BF" w:rsidP="005436BF">
      <w:pPr>
        <w:ind w:left="1418" w:hanging="1418"/>
        <w:rPr>
          <w:rFonts w:eastAsia="Batang"/>
          <w:sz w:val="20"/>
          <w:lang w:eastAsia="ko-KR"/>
        </w:rPr>
      </w:pPr>
    </w:p>
    <w:p w14:paraId="09465563" w14:textId="4742D24A" w:rsidR="005436BF" w:rsidRPr="005436BF" w:rsidRDefault="005436BF" w:rsidP="005436BF">
      <w:pPr>
        <w:ind w:left="1418" w:hanging="1418"/>
        <w:rPr>
          <w:rFonts w:eastAsia="Batang"/>
          <w:sz w:val="20"/>
          <w:lang w:eastAsia="ko-KR"/>
        </w:rPr>
      </w:pPr>
      <w:r w:rsidRPr="005436BF">
        <w:rPr>
          <w:rFonts w:eastAsia="Batang"/>
          <w:b/>
          <w:sz w:val="20"/>
          <w:lang w:eastAsia="ko-KR"/>
        </w:rPr>
        <w:t>F</w:t>
      </w:r>
      <w:r w:rsidR="00095798">
        <w:rPr>
          <w:rFonts w:eastAsia="Batang"/>
          <w:sz w:val="20"/>
          <w:lang w:eastAsia="ko-KR"/>
        </w:rPr>
        <w:t>AO</w:t>
      </w:r>
      <w:r w:rsidRPr="005436BF">
        <w:rPr>
          <w:rFonts w:eastAsia="Batang"/>
          <w:sz w:val="20"/>
          <w:lang w:eastAsia="ko-KR"/>
        </w:rPr>
        <w:tab/>
        <w:t>Organisation des Nations Unies pour l’alimentation et l’agriculture</w:t>
      </w:r>
    </w:p>
    <w:p w14:paraId="6A467860" w14:textId="78600CD7" w:rsidR="005436BF" w:rsidRPr="005436BF" w:rsidRDefault="005436BF" w:rsidP="005436BF">
      <w:pPr>
        <w:ind w:left="1418" w:hanging="1418"/>
        <w:rPr>
          <w:rFonts w:eastAsia="Batang"/>
          <w:sz w:val="20"/>
          <w:lang w:eastAsia="ko-KR"/>
        </w:rPr>
      </w:pPr>
      <w:proofErr w:type="spellStart"/>
      <w:r w:rsidRPr="005436BF">
        <w:rPr>
          <w:rFonts w:eastAsia="Batang"/>
          <w:b/>
          <w:bCs/>
          <w:sz w:val="20"/>
          <w:lang w:eastAsia="ko-KR"/>
        </w:rPr>
        <w:t>g</w:t>
      </w:r>
      <w:r w:rsidR="00095798">
        <w:rPr>
          <w:rFonts w:eastAsia="Batang"/>
          <w:sz w:val="20"/>
          <w:lang w:eastAsia="ko-KR"/>
        </w:rPr>
        <w:t>TLD</w:t>
      </w:r>
      <w:proofErr w:type="spellEnd"/>
      <w:r w:rsidRPr="005436BF">
        <w:rPr>
          <w:rFonts w:eastAsia="Batang"/>
          <w:sz w:val="20"/>
          <w:lang w:eastAsia="ko-KR"/>
        </w:rPr>
        <w:tab/>
        <w:t>domaine générique de premier niveau</w:t>
      </w:r>
    </w:p>
    <w:p w14:paraId="2C84EAAB" w14:textId="77777777" w:rsidR="005436BF" w:rsidRPr="005436BF" w:rsidRDefault="005436BF" w:rsidP="005436BF">
      <w:pPr>
        <w:ind w:left="1418" w:hanging="1418"/>
        <w:rPr>
          <w:rFonts w:eastAsia="Batang"/>
          <w:sz w:val="20"/>
          <w:lang w:eastAsia="ko-KR"/>
        </w:rPr>
      </w:pPr>
    </w:p>
    <w:p w14:paraId="022B7C44" w14:textId="56F5BB48" w:rsidR="005436BF" w:rsidRPr="001E3776" w:rsidRDefault="005436BF" w:rsidP="005436BF">
      <w:pPr>
        <w:ind w:left="1418" w:hanging="1418"/>
        <w:rPr>
          <w:rFonts w:eastAsia="Batang"/>
          <w:sz w:val="20"/>
          <w:lang w:val="en-US" w:eastAsia="ko-KR"/>
        </w:rPr>
      </w:pPr>
      <w:r w:rsidRPr="001E3776">
        <w:rPr>
          <w:rFonts w:eastAsia="Batang"/>
          <w:b/>
          <w:bCs/>
          <w:sz w:val="20"/>
          <w:lang w:val="en-US" w:eastAsia="ko-KR"/>
        </w:rPr>
        <w:t>I</w:t>
      </w:r>
      <w:r w:rsidRPr="001E3776">
        <w:rPr>
          <w:rFonts w:eastAsia="Batang"/>
          <w:bCs/>
          <w:sz w:val="20"/>
          <w:lang w:val="en-US" w:eastAsia="ko-KR"/>
        </w:rPr>
        <w:t>CANN</w:t>
      </w:r>
      <w:r w:rsidRPr="001E3776">
        <w:rPr>
          <w:rFonts w:eastAsia="Batang"/>
          <w:sz w:val="20"/>
          <w:lang w:val="en-US" w:eastAsia="ko-KR"/>
        </w:rPr>
        <w:tab/>
        <w:t>Internet Corporation for Assigned Names and Numbers</w:t>
      </w:r>
    </w:p>
    <w:p w14:paraId="594ADD85" w14:textId="0F32C26F" w:rsidR="005436BF" w:rsidRPr="005436BF" w:rsidRDefault="00095798" w:rsidP="005436BF">
      <w:pPr>
        <w:ind w:left="1418" w:hanging="1418"/>
        <w:rPr>
          <w:rFonts w:eastAsia="Batang"/>
          <w:sz w:val="20"/>
          <w:lang w:eastAsia="ko-KR"/>
        </w:rPr>
      </w:pPr>
      <w:r>
        <w:rPr>
          <w:rFonts w:eastAsia="Batang"/>
          <w:sz w:val="20"/>
          <w:lang w:eastAsia="ko-KR"/>
        </w:rPr>
        <w:t>ICSEI</w:t>
      </w:r>
      <w:r w:rsidR="005436BF" w:rsidRPr="005436BF">
        <w:rPr>
          <w:rFonts w:eastAsia="Batang"/>
          <w:sz w:val="20"/>
          <w:lang w:eastAsia="ko-KR"/>
        </w:rPr>
        <w:tab/>
        <w:t>Coopération internationale pour la recherche et l’examen des inventions</w:t>
      </w:r>
    </w:p>
    <w:p w14:paraId="28212697" w14:textId="7801008F" w:rsidR="005436BF" w:rsidRPr="005436BF" w:rsidRDefault="00095798" w:rsidP="005436BF">
      <w:pPr>
        <w:ind w:left="1418" w:hanging="1418"/>
        <w:rPr>
          <w:rFonts w:eastAsia="Batang"/>
          <w:sz w:val="20"/>
          <w:lang w:eastAsia="ko-KR"/>
        </w:rPr>
      </w:pPr>
      <w:r>
        <w:rPr>
          <w:rFonts w:eastAsia="Batang"/>
          <w:sz w:val="20"/>
          <w:lang w:eastAsia="ko-KR"/>
        </w:rPr>
        <w:t>IGC</w:t>
      </w:r>
      <w:r w:rsidR="005436BF" w:rsidRPr="005436BF">
        <w:rPr>
          <w:rFonts w:eastAsia="Batang"/>
          <w:sz w:val="20"/>
          <w:lang w:eastAsia="ko-KR"/>
        </w:rPr>
        <w:tab/>
        <w:t>Comité intergouvernemental de la propriété intellectuelle relative aux ressources génétiques, aux savoirs traditionnels et au folklore</w:t>
      </w:r>
    </w:p>
    <w:p w14:paraId="1AD22F39" w14:textId="77777777" w:rsidR="005436BF" w:rsidRPr="005436BF" w:rsidRDefault="005436BF" w:rsidP="005436BF">
      <w:pPr>
        <w:ind w:left="1418" w:hanging="1418"/>
        <w:rPr>
          <w:rFonts w:eastAsia="Batang"/>
          <w:bCs/>
          <w:sz w:val="20"/>
          <w:lang w:eastAsia="ko-KR"/>
        </w:rPr>
      </w:pPr>
      <w:r w:rsidRPr="005436BF">
        <w:rPr>
          <w:rFonts w:eastAsia="Batang"/>
          <w:sz w:val="20"/>
          <w:lang w:eastAsia="ko-KR"/>
        </w:rPr>
        <w:t>I</w:t>
      </w:r>
      <w:r w:rsidRPr="005436BF">
        <w:rPr>
          <w:rFonts w:eastAsia="Batang"/>
          <w:bCs/>
          <w:sz w:val="20"/>
          <w:lang w:eastAsia="ko-KR"/>
        </w:rPr>
        <w:t>IA</w:t>
      </w:r>
      <w:r w:rsidRPr="005436BF">
        <w:rPr>
          <w:rFonts w:eastAsia="Batang"/>
          <w:bCs/>
          <w:sz w:val="20"/>
          <w:lang w:eastAsia="ko-KR"/>
        </w:rPr>
        <w:tab/>
        <w:t>Institut des auditeurs internes</w:t>
      </w:r>
    </w:p>
    <w:p w14:paraId="0C6A524F" w14:textId="0A1EAF6B" w:rsidR="005436BF" w:rsidRPr="005436BF" w:rsidRDefault="00095798" w:rsidP="005436BF">
      <w:pPr>
        <w:ind w:left="1418" w:hanging="1418"/>
        <w:rPr>
          <w:rFonts w:eastAsia="Batang"/>
          <w:sz w:val="20"/>
          <w:lang w:eastAsia="ko-KR"/>
        </w:rPr>
      </w:pPr>
      <w:r>
        <w:rPr>
          <w:rFonts w:eastAsia="Batang"/>
          <w:sz w:val="20"/>
          <w:lang w:eastAsia="ko-KR"/>
        </w:rPr>
        <w:t>IPACIS</w:t>
      </w:r>
      <w:r w:rsidR="005436BF" w:rsidRPr="005436BF">
        <w:rPr>
          <w:rFonts w:eastAsia="Batang"/>
          <w:sz w:val="20"/>
          <w:lang w:eastAsia="ko-KR"/>
        </w:rPr>
        <w:tab/>
        <w:t>Assemblée interparlementaire des États membres de la CEI</w:t>
      </w:r>
    </w:p>
    <w:p w14:paraId="65E467CE" w14:textId="77777777" w:rsidR="005436BF" w:rsidRPr="005436BF" w:rsidRDefault="005436BF" w:rsidP="005436BF">
      <w:pPr>
        <w:ind w:left="1418" w:hanging="1418"/>
        <w:rPr>
          <w:rFonts w:eastAsia="Batang"/>
          <w:sz w:val="20"/>
          <w:lang w:eastAsia="ko-KR"/>
        </w:rPr>
      </w:pPr>
      <w:r w:rsidRPr="005436BF">
        <w:rPr>
          <w:rFonts w:eastAsia="Batang"/>
          <w:sz w:val="20"/>
          <w:lang w:eastAsia="ko-KR"/>
        </w:rPr>
        <w:t>IPAG</w:t>
      </w:r>
      <w:r w:rsidRPr="005436BF">
        <w:rPr>
          <w:rFonts w:eastAsia="Batang"/>
          <w:sz w:val="20"/>
          <w:lang w:eastAsia="ko-KR"/>
        </w:rPr>
        <w:tab/>
      </w:r>
      <w:proofErr w:type="spellStart"/>
      <w:r w:rsidRPr="005436BF">
        <w:rPr>
          <w:rFonts w:eastAsia="Batang"/>
          <w:sz w:val="20"/>
          <w:lang w:eastAsia="ko-KR"/>
        </w:rPr>
        <w:t>Intellectual</w:t>
      </w:r>
      <w:proofErr w:type="spellEnd"/>
      <w:r w:rsidRPr="005436BF">
        <w:rPr>
          <w:rFonts w:eastAsia="Batang"/>
          <w:sz w:val="20"/>
          <w:lang w:eastAsia="ko-KR"/>
        </w:rPr>
        <w:t xml:space="preserve"> </w:t>
      </w:r>
      <w:proofErr w:type="spellStart"/>
      <w:r w:rsidRPr="005436BF">
        <w:rPr>
          <w:rFonts w:eastAsia="Batang"/>
          <w:sz w:val="20"/>
          <w:lang w:eastAsia="ko-KR"/>
        </w:rPr>
        <w:t>Property</w:t>
      </w:r>
      <w:proofErr w:type="spellEnd"/>
      <w:r w:rsidRPr="005436BF">
        <w:rPr>
          <w:rFonts w:eastAsia="Batang"/>
          <w:sz w:val="20"/>
          <w:lang w:eastAsia="ko-KR"/>
        </w:rPr>
        <w:t xml:space="preserve"> Agreement Guide</w:t>
      </w:r>
    </w:p>
    <w:p w14:paraId="066F3224" w14:textId="77777777" w:rsidR="005436BF" w:rsidRPr="005436BF" w:rsidRDefault="005436BF" w:rsidP="005436BF">
      <w:pPr>
        <w:ind w:left="1418" w:hanging="1418"/>
        <w:rPr>
          <w:rFonts w:eastAsia="Batang"/>
          <w:sz w:val="20"/>
          <w:lang w:eastAsia="ko-KR"/>
        </w:rPr>
      </w:pPr>
      <w:r w:rsidRPr="005436BF">
        <w:rPr>
          <w:sz w:val="20"/>
        </w:rPr>
        <w:t>IP</w:t>
      </w:r>
      <w:r w:rsidRPr="005436BF">
        <w:rPr>
          <w:sz w:val="20"/>
        </w:rPr>
        <w:noBreakHyphen/>
        <w:t>DMD</w:t>
      </w:r>
      <w:r w:rsidRPr="005436BF">
        <w:rPr>
          <w:rFonts w:eastAsia="Batang"/>
          <w:sz w:val="20"/>
          <w:lang w:eastAsia="ko-KR"/>
        </w:rPr>
        <w:tab/>
      </w:r>
      <w:r w:rsidRPr="005436BF">
        <w:rPr>
          <w:rStyle w:val="st"/>
          <w:sz w:val="20"/>
        </w:rPr>
        <w:t>base de données de mise en parallèle des besoins de développement liés à la propriété intellectuelle</w:t>
      </w:r>
    </w:p>
    <w:p w14:paraId="72E33C8F" w14:textId="64B9A41C" w:rsidR="005436BF" w:rsidRPr="005436BF" w:rsidRDefault="00095798" w:rsidP="005436BF">
      <w:pPr>
        <w:ind w:left="1418" w:hanging="1418"/>
        <w:rPr>
          <w:rFonts w:eastAsia="Batang"/>
          <w:sz w:val="20"/>
          <w:lang w:eastAsia="ko-KR"/>
        </w:rPr>
      </w:pPr>
      <w:proofErr w:type="spellStart"/>
      <w:r>
        <w:rPr>
          <w:sz w:val="20"/>
        </w:rPr>
        <w:t>IPoA</w:t>
      </w:r>
      <w:proofErr w:type="spellEnd"/>
      <w:r w:rsidR="005436BF" w:rsidRPr="005436BF">
        <w:rPr>
          <w:sz w:val="20"/>
        </w:rPr>
        <w:tab/>
        <w:t>Programme d’action d’Istanbul</w:t>
      </w:r>
    </w:p>
    <w:p w14:paraId="12971D9B" w14:textId="77777777" w:rsidR="005436BF" w:rsidRPr="005436BF" w:rsidRDefault="005436BF" w:rsidP="005436BF">
      <w:pPr>
        <w:ind w:left="1418" w:hanging="1418"/>
        <w:rPr>
          <w:sz w:val="20"/>
        </w:rPr>
      </w:pPr>
      <w:r w:rsidRPr="005436BF">
        <w:rPr>
          <w:sz w:val="20"/>
        </w:rPr>
        <w:t>IP</w:t>
      </w:r>
      <w:r w:rsidRPr="005436BF">
        <w:rPr>
          <w:sz w:val="20"/>
        </w:rPr>
        <w:noBreakHyphen/>
        <w:t>ROC</w:t>
      </w:r>
      <w:r w:rsidRPr="005436BF">
        <w:rPr>
          <w:sz w:val="20"/>
        </w:rPr>
        <w:tab/>
        <w:t>liste des consultants en matière de propriété intellectuelle</w:t>
      </w:r>
    </w:p>
    <w:p w14:paraId="4A578D1D" w14:textId="7D76C43A" w:rsidR="005436BF" w:rsidRPr="005436BF" w:rsidRDefault="00095798" w:rsidP="005436BF">
      <w:pPr>
        <w:ind w:left="1418" w:hanging="1418"/>
        <w:rPr>
          <w:rFonts w:eastAsia="Batang"/>
          <w:sz w:val="20"/>
          <w:lang w:eastAsia="ko-KR"/>
        </w:rPr>
      </w:pPr>
      <w:r>
        <w:rPr>
          <w:rFonts w:eastAsia="Batang"/>
          <w:sz w:val="20"/>
          <w:lang w:eastAsia="ko-KR"/>
        </w:rPr>
        <w:t>IPSAS</w:t>
      </w:r>
      <w:r w:rsidR="005436BF" w:rsidRPr="005436BF">
        <w:rPr>
          <w:rFonts w:eastAsia="Batang"/>
          <w:sz w:val="20"/>
          <w:lang w:eastAsia="ko-KR"/>
        </w:rPr>
        <w:tab/>
        <w:t>Normes comptables internationales pour le secteur public</w:t>
      </w:r>
    </w:p>
    <w:p w14:paraId="1BCD6828" w14:textId="77777777" w:rsidR="005436BF" w:rsidRPr="005436BF" w:rsidRDefault="005436BF" w:rsidP="005436BF">
      <w:pPr>
        <w:ind w:left="1418" w:hanging="1418"/>
        <w:rPr>
          <w:rFonts w:eastAsia="Batang"/>
          <w:sz w:val="20"/>
          <w:lang w:eastAsia="ko-KR"/>
        </w:rPr>
      </w:pPr>
      <w:r w:rsidRPr="005436BF">
        <w:rPr>
          <w:rFonts w:eastAsia="Batang"/>
          <w:sz w:val="20"/>
          <w:lang w:eastAsia="ko-KR"/>
        </w:rPr>
        <w:t>IP</w:t>
      </w:r>
      <w:r w:rsidRPr="005436BF">
        <w:rPr>
          <w:rFonts w:eastAsia="Batang"/>
          <w:sz w:val="20"/>
          <w:lang w:eastAsia="ko-KR"/>
        </w:rPr>
        <w:noBreakHyphen/>
        <w:t>TAD</w:t>
      </w:r>
      <w:r w:rsidRPr="005436BF">
        <w:rPr>
          <w:rFonts w:eastAsia="Batang"/>
          <w:sz w:val="20"/>
          <w:lang w:eastAsia="ko-KR"/>
        </w:rPr>
        <w:tab/>
        <w:t>Base de données de l’assistance technique</w:t>
      </w:r>
    </w:p>
    <w:p w14:paraId="3221791C" w14:textId="77777777" w:rsidR="005436BF" w:rsidRPr="005436BF" w:rsidRDefault="005436BF" w:rsidP="005436BF">
      <w:pPr>
        <w:ind w:left="1418" w:hanging="1418"/>
        <w:rPr>
          <w:rFonts w:eastAsia="Batang"/>
          <w:sz w:val="20"/>
          <w:lang w:eastAsia="ko-KR"/>
        </w:rPr>
      </w:pPr>
      <w:r w:rsidRPr="005436BF">
        <w:rPr>
          <w:rFonts w:eastAsia="Batang"/>
          <w:sz w:val="20"/>
          <w:lang w:eastAsia="ko-KR"/>
        </w:rPr>
        <w:t>ISO</w:t>
      </w:r>
      <w:r w:rsidRPr="005436BF">
        <w:rPr>
          <w:rFonts w:eastAsia="Batang"/>
          <w:sz w:val="20"/>
          <w:lang w:eastAsia="ko-KR"/>
        </w:rPr>
        <w:tab/>
        <w:t>Organisation internationale de normalisation</w:t>
      </w:r>
    </w:p>
    <w:p w14:paraId="492FF1F3" w14:textId="77777777" w:rsidR="005436BF" w:rsidRPr="005436BF" w:rsidRDefault="005436BF" w:rsidP="005436BF">
      <w:pPr>
        <w:ind w:left="1418" w:hanging="1418"/>
        <w:rPr>
          <w:rFonts w:eastAsia="Batang"/>
          <w:sz w:val="20"/>
          <w:lang w:eastAsia="ko-KR"/>
        </w:rPr>
      </w:pPr>
    </w:p>
    <w:p w14:paraId="4F61DBC1" w14:textId="77777777" w:rsidR="005436BF" w:rsidRPr="005436BF" w:rsidRDefault="005436BF" w:rsidP="005436BF">
      <w:pPr>
        <w:ind w:left="1418" w:hanging="1418"/>
        <w:rPr>
          <w:rFonts w:eastAsia="Batang"/>
          <w:sz w:val="20"/>
          <w:lang w:eastAsia="ko-KR"/>
        </w:rPr>
      </w:pPr>
      <w:r w:rsidRPr="005436BF">
        <w:rPr>
          <w:rFonts w:eastAsia="Batang"/>
          <w:b/>
          <w:sz w:val="20"/>
          <w:lang w:eastAsia="ko-KR"/>
        </w:rPr>
        <w:t>O</w:t>
      </w:r>
      <w:r w:rsidRPr="005436BF">
        <w:rPr>
          <w:rFonts w:eastAsia="Batang"/>
          <w:sz w:val="20"/>
          <w:lang w:eastAsia="ko-KR"/>
        </w:rPr>
        <w:t>BPI</w:t>
      </w:r>
      <w:r w:rsidRPr="005436BF">
        <w:rPr>
          <w:rFonts w:eastAsia="Batang"/>
          <w:sz w:val="20"/>
          <w:lang w:eastAsia="ko-KR"/>
        </w:rPr>
        <w:tab/>
        <w:t>Organisation Benelux de la propriété intellectuelle</w:t>
      </w:r>
    </w:p>
    <w:p w14:paraId="78386B34" w14:textId="77777777" w:rsidR="005436BF" w:rsidRPr="005436BF" w:rsidRDefault="005436BF" w:rsidP="005436BF">
      <w:pPr>
        <w:keepNext/>
        <w:keepLines/>
        <w:ind w:left="1418" w:hanging="1418"/>
        <w:rPr>
          <w:rFonts w:eastAsia="Batang"/>
          <w:sz w:val="20"/>
          <w:lang w:eastAsia="ko-KR"/>
        </w:rPr>
      </w:pPr>
      <w:r w:rsidRPr="005436BF">
        <w:rPr>
          <w:rFonts w:eastAsia="Batang"/>
          <w:sz w:val="20"/>
          <w:lang w:eastAsia="ko-KR"/>
        </w:rPr>
        <w:t>OCIS</w:t>
      </w:r>
      <w:r w:rsidRPr="005436BF">
        <w:rPr>
          <w:rFonts w:eastAsia="Batang"/>
          <w:sz w:val="20"/>
          <w:lang w:eastAsia="ko-KR"/>
        </w:rPr>
        <w:tab/>
        <w:t>Organe consultatif indépendant de surveillance de l’OMPI</w:t>
      </w:r>
    </w:p>
    <w:p w14:paraId="27759FE8" w14:textId="13A908D8" w:rsidR="005436BF" w:rsidRPr="005436BF" w:rsidRDefault="00095798" w:rsidP="005436BF">
      <w:pPr>
        <w:keepNext/>
        <w:keepLines/>
        <w:ind w:left="1418" w:hanging="1418"/>
        <w:rPr>
          <w:rFonts w:eastAsia="Batang"/>
          <w:sz w:val="20"/>
          <w:lang w:eastAsia="ko-KR"/>
        </w:rPr>
      </w:pPr>
      <w:r>
        <w:rPr>
          <w:rFonts w:eastAsia="Batang"/>
          <w:sz w:val="20"/>
          <w:lang w:eastAsia="ko-KR"/>
        </w:rPr>
        <w:t>OEB</w:t>
      </w:r>
      <w:r w:rsidR="005436BF" w:rsidRPr="005436BF">
        <w:rPr>
          <w:rFonts w:eastAsia="Batang"/>
          <w:sz w:val="20"/>
          <w:lang w:eastAsia="ko-KR"/>
        </w:rPr>
        <w:tab/>
        <w:t>Office européen des brevets</w:t>
      </w:r>
    </w:p>
    <w:p w14:paraId="66843E0D" w14:textId="77777777" w:rsidR="005436BF" w:rsidRPr="005436BF" w:rsidRDefault="005436BF" w:rsidP="005436BF">
      <w:pPr>
        <w:ind w:left="1418" w:hanging="1418"/>
        <w:rPr>
          <w:rFonts w:eastAsia="Batang"/>
          <w:sz w:val="20"/>
          <w:lang w:eastAsia="ko-KR"/>
        </w:rPr>
      </w:pPr>
      <w:r w:rsidRPr="005436BF">
        <w:rPr>
          <w:rFonts w:eastAsia="Batang"/>
          <w:sz w:val="20"/>
          <w:lang w:eastAsia="ko-KR"/>
        </w:rPr>
        <w:t>OHMI</w:t>
      </w:r>
      <w:r w:rsidRPr="005436BF">
        <w:rPr>
          <w:rFonts w:eastAsia="Batang"/>
          <w:sz w:val="20"/>
          <w:lang w:eastAsia="ko-KR"/>
        </w:rPr>
        <w:tab/>
        <w:t>Office de l’harmonisation dans le marché intérieur</w:t>
      </w:r>
    </w:p>
    <w:p w14:paraId="7A4D7074" w14:textId="5CB5B618" w:rsidR="005436BF" w:rsidRPr="005436BF" w:rsidRDefault="00095798" w:rsidP="005436BF">
      <w:pPr>
        <w:ind w:left="1418" w:hanging="1418"/>
        <w:rPr>
          <w:rFonts w:eastAsia="Batang"/>
          <w:sz w:val="20"/>
          <w:lang w:eastAsia="ko-KR"/>
        </w:rPr>
      </w:pPr>
      <w:r>
        <w:rPr>
          <w:rFonts w:eastAsia="Batang"/>
          <w:sz w:val="20"/>
          <w:lang w:eastAsia="ko-KR"/>
        </w:rPr>
        <w:t>OMC</w:t>
      </w:r>
      <w:r w:rsidR="005436BF" w:rsidRPr="005436BF">
        <w:rPr>
          <w:rFonts w:eastAsia="Batang"/>
          <w:sz w:val="20"/>
          <w:lang w:eastAsia="ko-KR"/>
        </w:rPr>
        <w:tab/>
        <w:t>Organisation mondiale du commerce</w:t>
      </w:r>
    </w:p>
    <w:p w14:paraId="07E01C63" w14:textId="20394B48" w:rsidR="005436BF" w:rsidRPr="005436BF" w:rsidRDefault="00095798" w:rsidP="005436BF">
      <w:pPr>
        <w:ind w:left="1418" w:hanging="1418"/>
        <w:rPr>
          <w:rFonts w:eastAsia="Batang"/>
          <w:sz w:val="20"/>
          <w:lang w:eastAsia="ko-KR"/>
        </w:rPr>
      </w:pPr>
      <w:r>
        <w:rPr>
          <w:rFonts w:eastAsia="Batang"/>
          <w:sz w:val="20"/>
          <w:lang w:eastAsia="ko-KR"/>
        </w:rPr>
        <w:t>OMD</w:t>
      </w:r>
      <w:r w:rsidR="005436BF" w:rsidRPr="005436BF">
        <w:rPr>
          <w:rFonts w:eastAsia="Batang"/>
          <w:sz w:val="20"/>
          <w:lang w:eastAsia="ko-KR"/>
        </w:rPr>
        <w:tab/>
        <w:t>Organisation mondiale des douanes</w:t>
      </w:r>
    </w:p>
    <w:p w14:paraId="3BADBA63" w14:textId="0233CF60" w:rsidR="005436BF" w:rsidRPr="005436BF" w:rsidRDefault="00095798" w:rsidP="005436BF">
      <w:pPr>
        <w:ind w:left="1418" w:hanging="1418"/>
        <w:rPr>
          <w:rFonts w:eastAsia="Batang"/>
          <w:sz w:val="20"/>
          <w:lang w:eastAsia="ko-KR"/>
        </w:rPr>
      </w:pPr>
      <w:r>
        <w:rPr>
          <w:rFonts w:eastAsia="Batang"/>
          <w:sz w:val="20"/>
          <w:lang w:eastAsia="ko-KR"/>
        </w:rPr>
        <w:t>OMS</w:t>
      </w:r>
      <w:r w:rsidR="005436BF" w:rsidRPr="005436BF">
        <w:rPr>
          <w:rFonts w:eastAsia="Batang"/>
          <w:sz w:val="20"/>
          <w:lang w:eastAsia="ko-KR"/>
        </w:rPr>
        <w:tab/>
        <w:t>Organisation mondiale de la Santé</w:t>
      </w:r>
    </w:p>
    <w:p w14:paraId="12D43931" w14:textId="77777777" w:rsidR="005436BF" w:rsidRPr="005436BF" w:rsidRDefault="005436BF" w:rsidP="005436BF">
      <w:pPr>
        <w:ind w:left="1418" w:hanging="1418"/>
        <w:rPr>
          <w:rFonts w:eastAsia="Batang"/>
          <w:sz w:val="20"/>
          <w:lang w:eastAsia="ko-KR"/>
        </w:rPr>
      </w:pPr>
      <w:r w:rsidRPr="005436BF">
        <w:rPr>
          <w:rFonts w:eastAsia="Batang"/>
          <w:sz w:val="20"/>
          <w:lang w:eastAsia="ko-KR"/>
        </w:rPr>
        <w:t>ONG</w:t>
      </w:r>
      <w:r w:rsidRPr="005436BF">
        <w:rPr>
          <w:rFonts w:eastAsia="Batang"/>
          <w:sz w:val="20"/>
          <w:lang w:eastAsia="ko-KR"/>
        </w:rPr>
        <w:tab/>
        <w:t>organisation non gouvernementale</w:t>
      </w:r>
    </w:p>
    <w:p w14:paraId="72A2BC61" w14:textId="63C73E1A" w:rsidR="005436BF" w:rsidRPr="005436BF" w:rsidRDefault="00095798" w:rsidP="005436BF">
      <w:pPr>
        <w:ind w:left="1418" w:hanging="1418"/>
        <w:rPr>
          <w:rFonts w:eastAsia="Batang"/>
          <w:sz w:val="20"/>
          <w:lang w:eastAsia="ko-KR"/>
        </w:rPr>
      </w:pPr>
      <w:r>
        <w:rPr>
          <w:rFonts w:eastAsia="Batang"/>
          <w:sz w:val="20"/>
          <w:lang w:eastAsia="ko-KR"/>
        </w:rPr>
        <w:t>ONUDI</w:t>
      </w:r>
      <w:r w:rsidR="005436BF" w:rsidRPr="005436BF">
        <w:rPr>
          <w:rFonts w:eastAsia="Batang"/>
          <w:sz w:val="20"/>
          <w:lang w:eastAsia="ko-KR"/>
        </w:rPr>
        <w:tab/>
        <w:t>Organisation des Nations Unies pour le développement industriel</w:t>
      </w:r>
    </w:p>
    <w:p w14:paraId="6821BC30" w14:textId="77777777" w:rsidR="005436BF" w:rsidRPr="005436BF" w:rsidRDefault="005436BF" w:rsidP="005436BF">
      <w:pPr>
        <w:ind w:left="1418" w:hanging="1418"/>
        <w:rPr>
          <w:rFonts w:eastAsia="Batang"/>
          <w:sz w:val="20"/>
          <w:lang w:eastAsia="ko-KR"/>
        </w:rPr>
      </w:pPr>
    </w:p>
    <w:p w14:paraId="713D6D4E" w14:textId="21A271D4" w:rsidR="005436BF" w:rsidRPr="005436BF" w:rsidRDefault="005436BF" w:rsidP="005436BF">
      <w:pPr>
        <w:keepNext/>
        <w:ind w:left="1418" w:hanging="1418"/>
        <w:rPr>
          <w:rFonts w:eastAsia="Batang"/>
          <w:sz w:val="20"/>
          <w:lang w:eastAsia="ko-KR"/>
        </w:rPr>
      </w:pPr>
      <w:r w:rsidRPr="005436BF">
        <w:rPr>
          <w:rFonts w:eastAsia="Batang"/>
          <w:b/>
          <w:bCs/>
          <w:sz w:val="20"/>
          <w:lang w:eastAsia="ko-KR"/>
        </w:rPr>
        <w:t>P</w:t>
      </w:r>
      <w:r w:rsidR="00095798">
        <w:rPr>
          <w:rFonts w:eastAsia="Batang"/>
          <w:sz w:val="20"/>
          <w:lang w:eastAsia="ko-KR"/>
        </w:rPr>
        <w:t>CT</w:t>
      </w:r>
      <w:r w:rsidRPr="005436BF">
        <w:rPr>
          <w:rFonts w:eastAsia="Batang"/>
          <w:sz w:val="20"/>
          <w:lang w:eastAsia="ko-KR"/>
        </w:rPr>
        <w:tab/>
        <w:t>Traité de coopération en matière de brevets</w:t>
      </w:r>
    </w:p>
    <w:p w14:paraId="5C972A71" w14:textId="3AA17257" w:rsidR="005436BF" w:rsidRPr="005436BF" w:rsidRDefault="00095798" w:rsidP="005436BF">
      <w:pPr>
        <w:ind w:left="1418" w:hanging="1418"/>
        <w:rPr>
          <w:rFonts w:eastAsia="Batang"/>
          <w:sz w:val="20"/>
          <w:lang w:eastAsia="ko-KR"/>
        </w:rPr>
      </w:pPr>
      <w:r>
        <w:rPr>
          <w:rFonts w:eastAsia="Batang"/>
          <w:sz w:val="20"/>
          <w:lang w:eastAsia="ko-KR"/>
        </w:rPr>
        <w:t>PLT</w:t>
      </w:r>
      <w:r w:rsidR="005436BF" w:rsidRPr="005436BF">
        <w:rPr>
          <w:rFonts w:eastAsia="Batang"/>
          <w:sz w:val="20"/>
          <w:lang w:eastAsia="ko-KR"/>
        </w:rPr>
        <w:tab/>
        <w:t>Traité sur le droit des brevets</w:t>
      </w:r>
    </w:p>
    <w:p w14:paraId="2E441A7A" w14:textId="12D92374" w:rsidR="005436BF" w:rsidRPr="005436BF" w:rsidRDefault="00095798" w:rsidP="005436BF">
      <w:pPr>
        <w:ind w:left="1418" w:hanging="1418"/>
        <w:rPr>
          <w:rFonts w:eastAsia="Batang"/>
          <w:sz w:val="20"/>
          <w:lang w:eastAsia="ko-KR"/>
        </w:rPr>
      </w:pPr>
      <w:r>
        <w:rPr>
          <w:rFonts w:eastAsia="Batang"/>
          <w:sz w:val="20"/>
          <w:lang w:eastAsia="ko-KR"/>
        </w:rPr>
        <w:t>PMA</w:t>
      </w:r>
      <w:r w:rsidR="005436BF" w:rsidRPr="005436BF">
        <w:rPr>
          <w:rFonts w:eastAsia="Batang"/>
          <w:sz w:val="20"/>
          <w:lang w:eastAsia="ko-KR"/>
        </w:rPr>
        <w:tab/>
        <w:t>pays les moins avancés</w:t>
      </w:r>
    </w:p>
    <w:p w14:paraId="05B8839B" w14:textId="77777777" w:rsidR="005436BF" w:rsidRPr="005436BF" w:rsidRDefault="005436BF" w:rsidP="005436BF">
      <w:pPr>
        <w:ind w:left="1418" w:hanging="1418"/>
        <w:rPr>
          <w:rFonts w:eastAsia="Batang"/>
          <w:sz w:val="20"/>
          <w:lang w:eastAsia="ko-KR"/>
        </w:rPr>
      </w:pPr>
      <w:r w:rsidRPr="005436BF">
        <w:rPr>
          <w:rFonts w:eastAsia="Batang"/>
          <w:sz w:val="20"/>
          <w:lang w:eastAsia="ko-KR"/>
        </w:rPr>
        <w:t>PME</w:t>
      </w:r>
      <w:r w:rsidRPr="005436BF">
        <w:rPr>
          <w:rFonts w:eastAsia="Batang"/>
          <w:sz w:val="20"/>
          <w:lang w:eastAsia="ko-KR"/>
        </w:rPr>
        <w:tab/>
        <w:t>petites et moyennes entreprises</w:t>
      </w:r>
    </w:p>
    <w:p w14:paraId="129D7727" w14:textId="2341A98F" w:rsidR="005436BF" w:rsidRPr="005436BF" w:rsidRDefault="00095798" w:rsidP="005436BF">
      <w:pPr>
        <w:ind w:left="1418" w:hanging="1418"/>
        <w:rPr>
          <w:rFonts w:eastAsia="Batang"/>
          <w:sz w:val="20"/>
          <w:lang w:eastAsia="ko-KR"/>
        </w:rPr>
      </w:pPr>
      <w:r>
        <w:rPr>
          <w:rFonts w:eastAsia="Batang"/>
          <w:sz w:val="20"/>
          <w:lang w:eastAsia="ko-KR"/>
        </w:rPr>
        <w:t>PMSDS</w:t>
      </w:r>
      <w:r w:rsidR="005436BF" w:rsidRPr="005436BF">
        <w:rPr>
          <w:rFonts w:eastAsia="Batang"/>
          <w:sz w:val="20"/>
          <w:lang w:eastAsia="ko-KR"/>
        </w:rPr>
        <w:tab/>
        <w:t>Système de gestion des performances et de perfectionnement du personnel</w:t>
      </w:r>
    </w:p>
    <w:p w14:paraId="3DF0BC3B" w14:textId="46D893FA" w:rsidR="005436BF" w:rsidRPr="005436BF" w:rsidRDefault="00095798" w:rsidP="005436BF">
      <w:pPr>
        <w:ind w:left="1418" w:hanging="1418"/>
        <w:rPr>
          <w:rFonts w:eastAsia="Batang"/>
          <w:sz w:val="20"/>
          <w:lang w:eastAsia="ko-KR"/>
        </w:rPr>
      </w:pPr>
      <w:r>
        <w:rPr>
          <w:rFonts w:eastAsia="Batang"/>
          <w:sz w:val="20"/>
          <w:lang w:eastAsia="ko-KR"/>
        </w:rPr>
        <w:t>PNUE</w:t>
      </w:r>
      <w:r w:rsidR="005436BF" w:rsidRPr="005436BF">
        <w:rPr>
          <w:rFonts w:eastAsia="Batang"/>
          <w:sz w:val="20"/>
          <w:lang w:eastAsia="ko-KR"/>
        </w:rPr>
        <w:tab/>
        <w:t>Programme des Nations Unies pour l’environnement</w:t>
      </w:r>
    </w:p>
    <w:p w14:paraId="5771EB97" w14:textId="77777777" w:rsidR="005436BF" w:rsidRPr="005436BF" w:rsidRDefault="005436BF" w:rsidP="005436BF">
      <w:pPr>
        <w:ind w:left="1418" w:hanging="1418"/>
        <w:rPr>
          <w:rFonts w:eastAsia="Batang"/>
          <w:sz w:val="20"/>
          <w:lang w:eastAsia="ko-KR"/>
        </w:rPr>
      </w:pPr>
      <w:r w:rsidRPr="005436BF">
        <w:rPr>
          <w:rFonts w:eastAsia="Batang"/>
          <w:sz w:val="20"/>
          <w:lang w:eastAsia="ko-KR"/>
        </w:rPr>
        <w:t>PSMT</w:t>
      </w:r>
      <w:r w:rsidRPr="005436BF">
        <w:rPr>
          <w:rFonts w:eastAsia="Batang"/>
          <w:sz w:val="20"/>
          <w:lang w:eastAsia="ko-KR"/>
        </w:rPr>
        <w:tab/>
        <w:t>Plan stratégique à moyen terme</w:t>
      </w:r>
    </w:p>
    <w:p w14:paraId="4867D69F" w14:textId="77777777" w:rsidR="005436BF" w:rsidRPr="005436BF" w:rsidRDefault="005436BF" w:rsidP="005436BF">
      <w:pPr>
        <w:ind w:left="1418" w:hanging="1418"/>
        <w:rPr>
          <w:rFonts w:eastAsia="Batang"/>
          <w:sz w:val="20"/>
          <w:lang w:eastAsia="ko-KR"/>
        </w:rPr>
      </w:pPr>
    </w:p>
    <w:p w14:paraId="52A178A3" w14:textId="77777777" w:rsidR="005436BF" w:rsidRPr="005436BF" w:rsidRDefault="005436BF" w:rsidP="005436BF">
      <w:pPr>
        <w:ind w:left="1418" w:hanging="1418"/>
        <w:rPr>
          <w:rFonts w:eastAsia="Batang"/>
          <w:color w:val="000000"/>
          <w:sz w:val="20"/>
          <w:lang w:eastAsia="ko-KR"/>
        </w:rPr>
      </w:pPr>
      <w:r w:rsidRPr="005436BF">
        <w:rPr>
          <w:rFonts w:eastAsia="Batang"/>
          <w:b/>
          <w:bCs/>
          <w:sz w:val="20"/>
          <w:lang w:eastAsia="ko-KR"/>
        </w:rPr>
        <w:t>R</w:t>
      </w:r>
      <w:r w:rsidRPr="005436BF">
        <w:rPr>
          <w:rFonts w:eastAsia="Batang"/>
          <w:color w:val="000000"/>
          <w:sz w:val="20"/>
          <w:lang w:eastAsia="ko-KR"/>
        </w:rPr>
        <w:noBreakHyphen/>
        <w:t>D</w:t>
      </w:r>
      <w:r w:rsidRPr="005436BF">
        <w:rPr>
          <w:rFonts w:eastAsia="Batang"/>
          <w:color w:val="000000"/>
          <w:sz w:val="20"/>
          <w:lang w:eastAsia="ko-KR"/>
        </w:rPr>
        <w:tab/>
        <w:t>recherche</w:t>
      </w:r>
      <w:r w:rsidRPr="005436BF">
        <w:rPr>
          <w:rFonts w:eastAsia="Batang"/>
          <w:color w:val="000000"/>
          <w:sz w:val="20"/>
          <w:lang w:eastAsia="ko-KR"/>
        </w:rPr>
        <w:noBreakHyphen/>
        <w:t>développement</w:t>
      </w:r>
    </w:p>
    <w:p w14:paraId="179DEE1E" w14:textId="77777777" w:rsidR="005436BF" w:rsidRPr="005436BF" w:rsidRDefault="005436BF" w:rsidP="005436BF">
      <w:pPr>
        <w:ind w:left="1418" w:hanging="1418"/>
        <w:rPr>
          <w:rFonts w:eastAsia="Batang"/>
          <w:color w:val="000000"/>
          <w:sz w:val="20"/>
          <w:lang w:eastAsia="ko-KR"/>
        </w:rPr>
      </w:pPr>
    </w:p>
    <w:p w14:paraId="20C4B3C4" w14:textId="256125C2" w:rsidR="005436BF" w:rsidRPr="005436BF" w:rsidRDefault="005436BF" w:rsidP="005436BF">
      <w:pPr>
        <w:ind w:left="1418" w:hanging="1418"/>
        <w:rPr>
          <w:rFonts w:eastAsia="Batang"/>
          <w:sz w:val="20"/>
          <w:lang w:eastAsia="ko-KR"/>
        </w:rPr>
      </w:pPr>
      <w:r w:rsidRPr="005436BF">
        <w:rPr>
          <w:rFonts w:eastAsia="Batang"/>
          <w:b/>
          <w:sz w:val="20"/>
          <w:lang w:eastAsia="ko-KR"/>
        </w:rPr>
        <w:t>S</w:t>
      </w:r>
      <w:r w:rsidR="00095798">
        <w:rPr>
          <w:rFonts w:eastAsia="Batang"/>
          <w:sz w:val="20"/>
          <w:lang w:eastAsia="ko-KR"/>
        </w:rPr>
        <w:t>CCR</w:t>
      </w:r>
      <w:r w:rsidRPr="005436BF">
        <w:rPr>
          <w:rFonts w:eastAsia="Batang"/>
          <w:sz w:val="20"/>
          <w:lang w:eastAsia="ko-KR"/>
        </w:rPr>
        <w:tab/>
        <w:t>Comité permanent du droit d’auteur et des droits connexes</w:t>
      </w:r>
    </w:p>
    <w:p w14:paraId="353128E4" w14:textId="5D4F10FA" w:rsidR="005436BF" w:rsidRPr="005436BF" w:rsidRDefault="00095798" w:rsidP="005436BF">
      <w:pPr>
        <w:ind w:left="1418" w:hanging="1418"/>
        <w:rPr>
          <w:rFonts w:eastAsia="Batang"/>
          <w:sz w:val="20"/>
          <w:lang w:eastAsia="ko-KR"/>
        </w:rPr>
      </w:pPr>
      <w:r>
        <w:rPr>
          <w:rFonts w:eastAsia="Batang"/>
          <w:sz w:val="20"/>
          <w:lang w:eastAsia="ko-KR"/>
        </w:rPr>
        <w:t>SCP</w:t>
      </w:r>
      <w:r w:rsidR="005436BF" w:rsidRPr="005436BF">
        <w:rPr>
          <w:rFonts w:eastAsia="Batang"/>
          <w:sz w:val="20"/>
          <w:lang w:eastAsia="ko-KR"/>
        </w:rPr>
        <w:tab/>
        <w:t>Comité permanent du droit des brevets</w:t>
      </w:r>
    </w:p>
    <w:p w14:paraId="39FA7FA1" w14:textId="77777777" w:rsidR="005436BF" w:rsidRPr="005436BF" w:rsidRDefault="005436BF" w:rsidP="005436BF">
      <w:pPr>
        <w:ind w:left="1418" w:hanging="1418"/>
        <w:rPr>
          <w:rFonts w:eastAsia="Batang"/>
          <w:sz w:val="20"/>
          <w:lang w:eastAsia="ko-KR"/>
        </w:rPr>
      </w:pPr>
      <w:r w:rsidRPr="005436BF">
        <w:rPr>
          <w:rFonts w:eastAsia="Batang"/>
          <w:sz w:val="20"/>
          <w:lang w:eastAsia="ko-KR"/>
        </w:rPr>
        <w:t>SCT</w:t>
      </w:r>
      <w:r w:rsidRPr="005436BF">
        <w:rPr>
          <w:rFonts w:eastAsia="Batang"/>
          <w:sz w:val="20"/>
          <w:lang w:eastAsia="ko-KR"/>
        </w:rPr>
        <w:tab/>
        <w:t>Comité permanent du droit des marques, des dessins et modèles industriels et des indications géographiques</w:t>
      </w:r>
    </w:p>
    <w:p w14:paraId="59FF244B" w14:textId="0A0D9895" w:rsidR="005436BF" w:rsidRPr="005436BF" w:rsidRDefault="00095798" w:rsidP="005436BF">
      <w:pPr>
        <w:ind w:left="1418" w:hanging="1418"/>
        <w:rPr>
          <w:rFonts w:eastAsia="Batang"/>
          <w:sz w:val="20"/>
          <w:lang w:eastAsia="ko-KR"/>
        </w:rPr>
      </w:pPr>
      <w:r>
        <w:rPr>
          <w:rFonts w:eastAsia="Batang"/>
          <w:sz w:val="20"/>
          <w:lang w:eastAsia="ko-KR"/>
        </w:rPr>
        <w:t>SGED</w:t>
      </w:r>
      <w:r w:rsidR="005436BF" w:rsidRPr="005436BF">
        <w:rPr>
          <w:rFonts w:eastAsia="Batang"/>
          <w:sz w:val="20"/>
          <w:lang w:eastAsia="ko-KR"/>
        </w:rPr>
        <w:tab/>
        <w:t>système de gestion électronique des documents</w:t>
      </w:r>
    </w:p>
    <w:p w14:paraId="2C204529" w14:textId="77777777" w:rsidR="005436BF" w:rsidRPr="005436BF" w:rsidRDefault="005436BF" w:rsidP="005436BF">
      <w:pPr>
        <w:ind w:left="1418" w:hanging="1418"/>
        <w:rPr>
          <w:rFonts w:eastAsia="Batang"/>
          <w:sz w:val="20"/>
          <w:lang w:eastAsia="ko-KR"/>
        </w:rPr>
      </w:pPr>
    </w:p>
    <w:p w14:paraId="6D0A0FA8" w14:textId="77777777" w:rsidR="005436BF" w:rsidRPr="005436BF" w:rsidRDefault="005436BF" w:rsidP="005436BF">
      <w:pPr>
        <w:ind w:left="1418" w:hanging="1418"/>
        <w:rPr>
          <w:rFonts w:eastAsia="Batang"/>
          <w:b/>
          <w:sz w:val="20"/>
          <w:lang w:eastAsia="ko-KR"/>
        </w:rPr>
      </w:pPr>
      <w:r w:rsidRPr="005436BF">
        <w:rPr>
          <w:rFonts w:eastAsia="Batang"/>
          <w:b/>
          <w:sz w:val="20"/>
          <w:lang w:eastAsia="ko-KR"/>
        </w:rPr>
        <w:t>T</w:t>
      </w:r>
      <w:r w:rsidRPr="005436BF">
        <w:rPr>
          <w:rFonts w:eastAsia="Batang"/>
          <w:sz w:val="20"/>
          <w:lang w:eastAsia="ko-KR"/>
        </w:rPr>
        <w:t>AG</w:t>
      </w:r>
      <w:r w:rsidRPr="005436BF">
        <w:rPr>
          <w:rFonts w:eastAsia="Batang"/>
          <w:b/>
          <w:sz w:val="20"/>
          <w:lang w:eastAsia="ko-KR"/>
        </w:rPr>
        <w:tab/>
      </w:r>
      <w:r w:rsidRPr="005436BF">
        <w:rPr>
          <w:sz w:val="20"/>
        </w:rPr>
        <w:t>Norme internationale d’assurance qualité en matière de transparence, de responsabilité et de gouvernance</w:t>
      </w:r>
    </w:p>
    <w:p w14:paraId="36079119" w14:textId="7FFFACA6" w:rsidR="005436BF" w:rsidRPr="005436BF" w:rsidRDefault="00095798" w:rsidP="005436BF">
      <w:pPr>
        <w:ind w:left="1418" w:hanging="1418"/>
        <w:rPr>
          <w:rFonts w:eastAsia="Batang"/>
          <w:sz w:val="20"/>
          <w:lang w:eastAsia="ko-KR"/>
        </w:rPr>
      </w:pPr>
      <w:r>
        <w:rPr>
          <w:rFonts w:eastAsia="Batang"/>
          <w:sz w:val="20"/>
          <w:lang w:eastAsia="ko-KR"/>
        </w:rPr>
        <w:t>TIC</w:t>
      </w:r>
      <w:r w:rsidR="005436BF" w:rsidRPr="005436BF">
        <w:rPr>
          <w:rFonts w:eastAsia="Batang"/>
          <w:sz w:val="20"/>
          <w:lang w:eastAsia="ko-KR"/>
        </w:rPr>
        <w:tab/>
        <w:t>technologies de l’information et de la communication</w:t>
      </w:r>
    </w:p>
    <w:p w14:paraId="5B5649AB" w14:textId="77777777" w:rsidR="005436BF" w:rsidRPr="005436BF" w:rsidRDefault="005436BF" w:rsidP="005436BF">
      <w:pPr>
        <w:ind w:left="1418" w:hanging="1418"/>
        <w:rPr>
          <w:rFonts w:eastAsia="Batang"/>
          <w:sz w:val="20"/>
          <w:lang w:eastAsia="ko-KR"/>
        </w:rPr>
      </w:pPr>
    </w:p>
    <w:p w14:paraId="1854F9F1" w14:textId="2D2D355B" w:rsidR="005436BF" w:rsidRPr="005436BF" w:rsidRDefault="005436BF" w:rsidP="005436BF">
      <w:pPr>
        <w:ind w:left="1418" w:hanging="1418"/>
        <w:rPr>
          <w:rFonts w:eastAsia="Batang"/>
          <w:sz w:val="20"/>
          <w:lang w:eastAsia="ko-KR"/>
        </w:rPr>
      </w:pPr>
      <w:r w:rsidRPr="005436BF">
        <w:rPr>
          <w:rFonts w:eastAsia="Batang"/>
          <w:b/>
          <w:sz w:val="20"/>
          <w:lang w:eastAsia="ko-KR"/>
        </w:rPr>
        <w:t>U</w:t>
      </w:r>
      <w:r w:rsidRPr="005436BF">
        <w:rPr>
          <w:rFonts w:eastAsia="Batang"/>
          <w:sz w:val="20"/>
          <w:lang w:eastAsia="ko-KR"/>
        </w:rPr>
        <w:t>DR</w:t>
      </w:r>
      <w:r w:rsidR="00095798">
        <w:rPr>
          <w:rFonts w:eastAsia="Batang"/>
          <w:sz w:val="20"/>
          <w:lang w:eastAsia="ko-KR"/>
        </w:rPr>
        <w:t>P</w:t>
      </w:r>
      <w:r w:rsidRPr="005436BF">
        <w:rPr>
          <w:rFonts w:eastAsia="Batang"/>
          <w:sz w:val="20"/>
          <w:lang w:eastAsia="ko-KR"/>
        </w:rPr>
        <w:tab/>
        <w:t>principes directeurs concernant le règlement uniforme des litiges relatifs aux noms de domaine</w:t>
      </w:r>
    </w:p>
    <w:p w14:paraId="0F055DB5" w14:textId="4104C9B5" w:rsidR="005436BF" w:rsidRPr="005436BF" w:rsidRDefault="00095798" w:rsidP="005436BF">
      <w:pPr>
        <w:ind w:left="1418" w:hanging="1418"/>
        <w:rPr>
          <w:rFonts w:eastAsia="Batang"/>
          <w:sz w:val="20"/>
          <w:lang w:eastAsia="ko-KR"/>
        </w:rPr>
      </w:pPr>
      <w:r>
        <w:rPr>
          <w:rFonts w:eastAsia="Batang"/>
          <w:sz w:val="20"/>
          <w:lang w:eastAsia="ko-KR"/>
        </w:rPr>
        <w:t>UIT</w:t>
      </w:r>
      <w:r w:rsidR="005436BF" w:rsidRPr="005436BF">
        <w:rPr>
          <w:rFonts w:eastAsia="Batang"/>
          <w:sz w:val="20"/>
          <w:lang w:eastAsia="ko-KR"/>
        </w:rPr>
        <w:tab/>
        <w:t>Union internationale des télécommunications</w:t>
      </w:r>
    </w:p>
    <w:p w14:paraId="5BE8A359" w14:textId="77777777" w:rsidR="005436BF" w:rsidRPr="005436BF" w:rsidRDefault="005436BF" w:rsidP="005436BF">
      <w:pPr>
        <w:ind w:left="1418" w:hanging="1418"/>
        <w:rPr>
          <w:rFonts w:eastAsia="Batang"/>
          <w:sz w:val="20"/>
          <w:lang w:eastAsia="ko-KR"/>
        </w:rPr>
      </w:pPr>
      <w:r w:rsidRPr="005436BF">
        <w:rPr>
          <w:rFonts w:eastAsia="Batang"/>
          <w:sz w:val="20"/>
          <w:lang w:eastAsia="ko-KR"/>
        </w:rPr>
        <w:t>UN H</w:t>
      </w:r>
      <w:r w:rsidRPr="005436BF">
        <w:rPr>
          <w:rFonts w:eastAsia="Batang"/>
          <w:sz w:val="20"/>
          <w:lang w:eastAsia="ko-KR"/>
        </w:rPr>
        <w:noBreakHyphen/>
        <w:t xml:space="preserve">MOSS </w:t>
      </w:r>
      <w:r w:rsidRPr="005436BF">
        <w:rPr>
          <w:rFonts w:eastAsia="Batang"/>
          <w:sz w:val="20"/>
          <w:lang w:eastAsia="ko-KR"/>
        </w:rPr>
        <w:tab/>
        <w:t>Normes minimales de sécurité opérationnelle recommandées par le siège des Nations Unies</w:t>
      </w:r>
    </w:p>
    <w:p w14:paraId="06CF68D3" w14:textId="74303A1A" w:rsidR="005436BF" w:rsidRPr="005436BF" w:rsidRDefault="00095798" w:rsidP="005436BF">
      <w:pPr>
        <w:ind w:left="1418" w:hanging="1418"/>
        <w:rPr>
          <w:rFonts w:eastAsia="Batang"/>
          <w:sz w:val="20"/>
          <w:lang w:eastAsia="ko-KR"/>
        </w:rPr>
      </w:pPr>
      <w:r>
        <w:rPr>
          <w:rFonts w:eastAsia="Batang"/>
          <w:sz w:val="20"/>
          <w:lang w:eastAsia="ko-KR"/>
        </w:rPr>
        <w:t>UNESCO</w:t>
      </w:r>
      <w:r w:rsidR="005436BF" w:rsidRPr="005436BF">
        <w:rPr>
          <w:rFonts w:eastAsia="Batang"/>
          <w:sz w:val="20"/>
          <w:lang w:eastAsia="ko-KR"/>
        </w:rPr>
        <w:tab/>
        <w:t>Organisation des Nations Unies pour l’éducation, la science et la culture</w:t>
      </w:r>
    </w:p>
    <w:p w14:paraId="5DF511CF" w14:textId="77777777" w:rsidR="005436BF" w:rsidRPr="005436BF" w:rsidRDefault="005436BF" w:rsidP="005436BF">
      <w:pPr>
        <w:ind w:left="1418" w:hanging="1418"/>
        <w:rPr>
          <w:rFonts w:eastAsia="Batang"/>
          <w:sz w:val="20"/>
          <w:lang w:eastAsia="ko-KR"/>
        </w:rPr>
      </w:pPr>
      <w:r w:rsidRPr="005436BF">
        <w:rPr>
          <w:rFonts w:eastAsia="Batang"/>
          <w:sz w:val="20"/>
          <w:lang w:eastAsia="ko-KR"/>
        </w:rPr>
        <w:t>UNOSSC</w:t>
      </w:r>
      <w:r w:rsidRPr="005436BF">
        <w:rPr>
          <w:rFonts w:eastAsia="Batang"/>
          <w:sz w:val="20"/>
          <w:lang w:eastAsia="ko-KR"/>
        </w:rPr>
        <w:tab/>
        <w:t>Bureau des Nations Unies pour la coopération Sud-Sud</w:t>
      </w:r>
    </w:p>
    <w:p w14:paraId="1DB92405" w14:textId="77777777" w:rsidR="005436BF" w:rsidRPr="005436BF" w:rsidRDefault="005436BF" w:rsidP="005436BF">
      <w:pPr>
        <w:ind w:left="1418" w:hanging="1418"/>
        <w:rPr>
          <w:rFonts w:eastAsia="Batang"/>
          <w:sz w:val="20"/>
          <w:lang w:eastAsia="ko-KR"/>
        </w:rPr>
      </w:pPr>
      <w:r w:rsidRPr="005436BF">
        <w:rPr>
          <w:rFonts w:eastAsia="Batang"/>
          <w:sz w:val="20"/>
          <w:lang w:eastAsia="ko-KR"/>
        </w:rPr>
        <w:t>UNSAS</w:t>
      </w:r>
      <w:r w:rsidRPr="005436BF">
        <w:rPr>
          <w:rFonts w:eastAsia="Batang"/>
          <w:sz w:val="20"/>
          <w:lang w:eastAsia="ko-KR"/>
        </w:rPr>
        <w:tab/>
        <w:t>Normes comptables du système des Nations Unies</w:t>
      </w:r>
    </w:p>
    <w:p w14:paraId="62A783EB" w14:textId="0D0D6C05" w:rsidR="005436BF" w:rsidRPr="005436BF" w:rsidRDefault="00095798" w:rsidP="005436BF">
      <w:pPr>
        <w:ind w:left="1418" w:hanging="1418"/>
        <w:rPr>
          <w:rFonts w:eastAsia="Batang"/>
          <w:sz w:val="20"/>
          <w:lang w:eastAsia="ko-KR"/>
        </w:rPr>
      </w:pPr>
      <w:r>
        <w:rPr>
          <w:rFonts w:eastAsia="Batang"/>
          <w:sz w:val="20"/>
          <w:lang w:eastAsia="ko-KR"/>
        </w:rPr>
        <w:t>UPOV</w:t>
      </w:r>
      <w:r w:rsidR="005436BF" w:rsidRPr="005436BF">
        <w:rPr>
          <w:rFonts w:eastAsia="Batang"/>
          <w:sz w:val="20"/>
          <w:lang w:eastAsia="ko-KR"/>
        </w:rPr>
        <w:tab/>
        <w:t>Union internationale pour la protection des obtentions végétales</w:t>
      </w:r>
    </w:p>
    <w:p w14:paraId="4F7CBFBD" w14:textId="77777777" w:rsidR="005436BF" w:rsidRPr="005436BF" w:rsidRDefault="005436BF" w:rsidP="005436BF">
      <w:pPr>
        <w:ind w:left="1418" w:hanging="1418"/>
        <w:rPr>
          <w:rFonts w:eastAsia="Batang"/>
          <w:sz w:val="20"/>
          <w:lang w:eastAsia="ko-KR"/>
        </w:rPr>
      </w:pPr>
      <w:r w:rsidRPr="005436BF">
        <w:rPr>
          <w:rFonts w:eastAsia="Batang"/>
          <w:sz w:val="20"/>
          <w:lang w:eastAsia="ko-KR"/>
        </w:rPr>
        <w:t>USPTO</w:t>
      </w:r>
      <w:r w:rsidRPr="005436BF">
        <w:rPr>
          <w:rFonts w:eastAsia="Batang"/>
          <w:sz w:val="20"/>
          <w:lang w:eastAsia="ko-KR"/>
        </w:rPr>
        <w:tab/>
        <w:t>Office des brevets et des marques des États</w:t>
      </w:r>
      <w:r w:rsidRPr="005436BF">
        <w:rPr>
          <w:rFonts w:eastAsia="Batang"/>
          <w:sz w:val="20"/>
          <w:lang w:eastAsia="ko-KR"/>
        </w:rPr>
        <w:noBreakHyphen/>
        <w:t>Unis d’Amérique</w:t>
      </w:r>
    </w:p>
    <w:p w14:paraId="7FD488AD" w14:textId="77777777" w:rsidR="005436BF" w:rsidRPr="005436BF" w:rsidRDefault="005436BF" w:rsidP="005436BF">
      <w:pPr>
        <w:ind w:left="1418" w:hanging="1418"/>
        <w:rPr>
          <w:rFonts w:eastAsia="Batang"/>
          <w:sz w:val="20"/>
          <w:lang w:eastAsia="ko-KR"/>
        </w:rPr>
      </w:pPr>
    </w:p>
    <w:p w14:paraId="178C5EF1" w14:textId="77777777" w:rsidR="005436BF" w:rsidRPr="005436BF" w:rsidRDefault="005436BF" w:rsidP="005436BF">
      <w:pPr>
        <w:ind w:left="1418" w:hanging="1418"/>
        <w:rPr>
          <w:rFonts w:eastAsia="Batang"/>
          <w:sz w:val="20"/>
          <w:lang w:eastAsia="ko-KR"/>
        </w:rPr>
      </w:pPr>
      <w:r w:rsidRPr="005436BF">
        <w:rPr>
          <w:rFonts w:eastAsia="Batang"/>
          <w:b/>
          <w:sz w:val="20"/>
          <w:lang w:eastAsia="ko-KR"/>
        </w:rPr>
        <w:t>W</w:t>
      </w:r>
      <w:r w:rsidRPr="005436BF">
        <w:rPr>
          <w:rFonts w:eastAsia="Batang"/>
          <w:sz w:val="20"/>
          <w:lang w:eastAsia="ko-KR"/>
        </w:rPr>
        <w:t>CC</w:t>
      </w:r>
      <w:r w:rsidRPr="005436BF">
        <w:rPr>
          <w:rFonts w:eastAsia="Batang"/>
          <w:sz w:val="20"/>
          <w:lang w:eastAsia="ko-KR"/>
        </w:rPr>
        <w:tab/>
        <w:t>Réseau du droit d’auteur de l’OMPI</w:t>
      </w:r>
    </w:p>
    <w:p w14:paraId="7F231465" w14:textId="783E5546" w:rsidR="005436BF" w:rsidRPr="005436BF" w:rsidRDefault="00DA2F55" w:rsidP="005436BF">
      <w:pPr>
        <w:ind w:left="1418" w:hanging="1418"/>
        <w:rPr>
          <w:rFonts w:eastAsia="Batang"/>
          <w:sz w:val="20"/>
          <w:lang w:eastAsia="ko-KR"/>
        </w:rPr>
      </w:pPr>
      <w:r>
        <w:rPr>
          <w:rFonts w:eastAsia="Batang"/>
          <w:sz w:val="20"/>
          <w:lang w:eastAsia="ko-KR"/>
        </w:rPr>
        <w:t>WCT</w:t>
      </w:r>
      <w:r w:rsidR="005436BF" w:rsidRPr="005436BF">
        <w:rPr>
          <w:rFonts w:eastAsia="Batang"/>
          <w:sz w:val="20"/>
          <w:lang w:eastAsia="ko-KR"/>
        </w:rPr>
        <w:tab/>
        <w:t>Traité de l’OMPI sur le droit d’auteur</w:t>
      </w:r>
    </w:p>
    <w:p w14:paraId="7FD26684" w14:textId="77777777" w:rsidR="005436BF" w:rsidRPr="005436BF" w:rsidRDefault="005436BF" w:rsidP="005436BF">
      <w:pPr>
        <w:ind w:left="1418" w:hanging="1418"/>
        <w:rPr>
          <w:rFonts w:eastAsia="Batang"/>
          <w:sz w:val="20"/>
          <w:lang w:eastAsia="ko-KR"/>
        </w:rPr>
      </w:pPr>
      <w:r w:rsidRPr="005436BF">
        <w:rPr>
          <w:rFonts w:eastAsia="Batang"/>
          <w:sz w:val="20"/>
          <w:lang w:eastAsia="ko-KR"/>
        </w:rPr>
        <w:t>WIPO CASE</w:t>
      </w:r>
      <w:r w:rsidRPr="005436BF">
        <w:rPr>
          <w:rFonts w:eastAsia="Batang"/>
          <w:b/>
          <w:sz w:val="20"/>
          <w:lang w:eastAsia="ko-KR"/>
        </w:rPr>
        <w:tab/>
      </w:r>
      <w:r w:rsidRPr="005436BF">
        <w:rPr>
          <w:rFonts w:eastAsia="Batang"/>
          <w:sz w:val="20"/>
          <w:lang w:eastAsia="ko-KR"/>
        </w:rPr>
        <w:t>Accès centralisé aux résultats de la recherche et de l’examen de l’OMPI</w:t>
      </w:r>
    </w:p>
    <w:p w14:paraId="45B3D183" w14:textId="77777777" w:rsidR="005436BF" w:rsidRPr="005436BF" w:rsidRDefault="005436BF" w:rsidP="005436BF">
      <w:pPr>
        <w:ind w:left="1418" w:hanging="1418"/>
        <w:rPr>
          <w:rFonts w:eastAsia="Batang"/>
          <w:sz w:val="20"/>
          <w:lang w:eastAsia="ko-KR"/>
        </w:rPr>
      </w:pPr>
      <w:r w:rsidRPr="005436BF">
        <w:rPr>
          <w:rFonts w:eastAsia="Batang"/>
          <w:sz w:val="20"/>
          <w:lang w:eastAsia="ko-KR"/>
        </w:rPr>
        <w:t>WIPOCOS</w:t>
      </w:r>
      <w:r w:rsidRPr="005436BF">
        <w:rPr>
          <w:rFonts w:eastAsia="Batang"/>
          <w:sz w:val="20"/>
          <w:lang w:eastAsia="ko-KR"/>
        </w:rPr>
        <w:tab/>
        <w:t>Logiciel OMPI de gestion collective du droit d’auteur et des droits connexes</w:t>
      </w:r>
    </w:p>
    <w:p w14:paraId="1E79564C" w14:textId="52A676D6" w:rsidR="005436BF" w:rsidRPr="005436BF" w:rsidRDefault="00DA2F55" w:rsidP="005436BF">
      <w:pPr>
        <w:ind w:left="1418" w:hanging="1418"/>
        <w:rPr>
          <w:rFonts w:eastAsia="Batang"/>
          <w:sz w:val="20"/>
          <w:lang w:eastAsia="ko-KR"/>
        </w:rPr>
      </w:pPr>
      <w:r>
        <w:rPr>
          <w:rFonts w:eastAsia="Batang"/>
          <w:sz w:val="20"/>
          <w:lang w:eastAsia="ko-KR"/>
        </w:rPr>
        <w:t>WPPT</w:t>
      </w:r>
      <w:r w:rsidR="005436BF" w:rsidRPr="005436BF">
        <w:rPr>
          <w:rFonts w:eastAsia="Batang"/>
          <w:sz w:val="20"/>
          <w:lang w:eastAsia="ko-KR"/>
        </w:rPr>
        <w:tab/>
        <w:t>Traité de l’OMPI sur les interprétations et exécutions et les phonogrammes</w:t>
      </w:r>
    </w:p>
    <w:p w14:paraId="2FF074EE" w14:textId="77777777" w:rsidR="005436BF" w:rsidRPr="005436BF" w:rsidRDefault="005436BF" w:rsidP="005436BF">
      <w:pPr>
        <w:rPr>
          <w:sz w:val="20"/>
        </w:rPr>
      </w:pPr>
    </w:p>
    <w:p w14:paraId="36C2A7B4" w14:textId="77777777" w:rsidR="005436BF" w:rsidRPr="005436BF" w:rsidRDefault="005436BF" w:rsidP="005436BF">
      <w:pPr>
        <w:rPr>
          <w:sz w:val="20"/>
        </w:rPr>
      </w:pPr>
    </w:p>
    <w:p w14:paraId="64A864AD" w14:textId="77777777" w:rsidR="005436BF" w:rsidRPr="005436BF" w:rsidRDefault="005436BF" w:rsidP="005436BF">
      <w:pPr>
        <w:rPr>
          <w:sz w:val="20"/>
        </w:rPr>
      </w:pPr>
    </w:p>
    <w:p w14:paraId="00E7EA4D" w14:textId="5A0FF59C" w:rsidR="00A27921" w:rsidRPr="00DA2F55" w:rsidRDefault="005436BF" w:rsidP="005436BF">
      <w:pPr>
        <w:pStyle w:val="Endofdocument"/>
        <w:rPr>
          <w:rFonts w:ascii="Arial" w:hAnsi="Arial" w:cs="Arial"/>
          <w:bCs/>
          <w:iCs/>
          <w:sz w:val="20"/>
        </w:rPr>
      </w:pPr>
      <w:r w:rsidRPr="005436BF">
        <w:rPr>
          <w:rFonts w:ascii="Arial" w:hAnsi="Arial" w:cs="Arial"/>
          <w:sz w:val="20"/>
        </w:rPr>
        <w:t>[Fin du document]</w:t>
      </w:r>
    </w:p>
    <w:sectPr w:rsidR="00A27921" w:rsidRPr="00DA2F55" w:rsidSect="006A627E">
      <w:headerReference w:type="first" r:id="rId147"/>
      <w:pgSz w:w="11907" w:h="16840" w:code="9"/>
      <w:pgMar w:top="567" w:right="1418" w:bottom="1418" w:left="1418" w:header="510" w:footer="1021"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C0CCF0" w15:done="0"/>
  <w15:commentEx w15:paraId="68BFBAB6" w15:done="0"/>
  <w15:commentEx w15:paraId="5B1ECA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25F6E" w14:textId="77777777" w:rsidR="001E3776" w:rsidRDefault="001E3776" w:rsidP="005C2996">
      <w:r>
        <w:separator/>
      </w:r>
    </w:p>
  </w:endnote>
  <w:endnote w:type="continuationSeparator" w:id="0">
    <w:p w14:paraId="00C77E96" w14:textId="77777777" w:rsidR="001E3776" w:rsidRDefault="001E3776" w:rsidP="005C2996">
      <w:r>
        <w:continuationSeparator/>
      </w:r>
    </w:p>
  </w:endnote>
  <w:endnote w:type="continuationNotice" w:id="1">
    <w:p w14:paraId="1324A73D" w14:textId="77777777" w:rsidR="001E3776" w:rsidRDefault="001E3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138765"/>
      <w:docPartObj>
        <w:docPartGallery w:val="Page Numbers (Bottom of Page)"/>
        <w:docPartUnique/>
      </w:docPartObj>
    </w:sdtPr>
    <w:sdtEndPr>
      <w:rPr>
        <w:noProof/>
        <w:sz w:val="20"/>
      </w:rPr>
    </w:sdtEndPr>
    <w:sdtContent>
      <w:p w14:paraId="2F705576" w14:textId="77777777" w:rsidR="001E3776" w:rsidRPr="00617973" w:rsidRDefault="001E3776">
        <w:pPr>
          <w:pStyle w:val="Footer"/>
          <w:jc w:val="center"/>
          <w:rPr>
            <w:sz w:val="20"/>
          </w:rPr>
        </w:pPr>
        <w:r w:rsidRPr="00617973">
          <w:rPr>
            <w:sz w:val="20"/>
          </w:rPr>
          <w:fldChar w:fldCharType="begin"/>
        </w:r>
        <w:r w:rsidRPr="00617973">
          <w:rPr>
            <w:sz w:val="20"/>
          </w:rPr>
          <w:instrText xml:space="preserve"> PAGE   \* MERGEFORMAT </w:instrText>
        </w:r>
        <w:r w:rsidRPr="00617973">
          <w:rPr>
            <w:sz w:val="20"/>
          </w:rPr>
          <w:fldChar w:fldCharType="separate"/>
        </w:r>
        <w:r w:rsidR="004730CB">
          <w:rPr>
            <w:noProof/>
            <w:sz w:val="20"/>
          </w:rPr>
          <w:t>182</w:t>
        </w:r>
        <w:r w:rsidRPr="00617973">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034207"/>
      <w:docPartObj>
        <w:docPartGallery w:val="Page Numbers (Bottom of Page)"/>
        <w:docPartUnique/>
      </w:docPartObj>
    </w:sdtPr>
    <w:sdtEndPr>
      <w:rPr>
        <w:noProof/>
        <w:sz w:val="20"/>
      </w:rPr>
    </w:sdtEndPr>
    <w:sdtContent>
      <w:p w14:paraId="7A7DBECA" w14:textId="77777777" w:rsidR="001E3776" w:rsidRPr="00617973" w:rsidRDefault="001E3776" w:rsidP="00617973">
        <w:pPr>
          <w:pStyle w:val="Footer"/>
          <w:jc w:val="center"/>
          <w:rPr>
            <w:sz w:val="20"/>
          </w:rPr>
        </w:pPr>
        <w:r w:rsidRPr="00617973">
          <w:rPr>
            <w:sz w:val="20"/>
          </w:rPr>
          <w:fldChar w:fldCharType="begin"/>
        </w:r>
        <w:r w:rsidRPr="00617973">
          <w:rPr>
            <w:sz w:val="20"/>
          </w:rPr>
          <w:instrText xml:space="preserve"> PAGE   \* MERGEFORMAT </w:instrText>
        </w:r>
        <w:r w:rsidRPr="00617973">
          <w:rPr>
            <w:sz w:val="20"/>
          </w:rPr>
          <w:fldChar w:fldCharType="separate"/>
        </w:r>
        <w:r w:rsidR="004730CB">
          <w:rPr>
            <w:noProof/>
            <w:sz w:val="20"/>
          </w:rPr>
          <w:t>181</w:t>
        </w:r>
        <w:r w:rsidRPr="00617973">
          <w:rPr>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358669"/>
      <w:docPartObj>
        <w:docPartGallery w:val="Page Numbers (Bottom of Page)"/>
        <w:docPartUnique/>
      </w:docPartObj>
    </w:sdtPr>
    <w:sdtEndPr>
      <w:rPr>
        <w:noProof/>
        <w:sz w:val="20"/>
      </w:rPr>
    </w:sdtEndPr>
    <w:sdtContent>
      <w:p w14:paraId="71D793EF" w14:textId="77777777" w:rsidR="001E3776" w:rsidRDefault="001E3776" w:rsidP="00A312C6">
        <w:pPr>
          <w:pStyle w:val="Footer"/>
          <w:jc w:val="center"/>
          <w:rPr>
            <w:noProof/>
            <w:sz w:val="20"/>
          </w:rPr>
        </w:pPr>
        <w:r w:rsidRPr="00617973">
          <w:rPr>
            <w:sz w:val="20"/>
          </w:rPr>
          <w:fldChar w:fldCharType="begin"/>
        </w:r>
        <w:r w:rsidRPr="00617973">
          <w:rPr>
            <w:sz w:val="20"/>
          </w:rPr>
          <w:instrText xml:space="preserve"> PAGE   \* MERGEFORMAT </w:instrText>
        </w:r>
        <w:r w:rsidRPr="00617973">
          <w:rPr>
            <w:sz w:val="20"/>
          </w:rPr>
          <w:fldChar w:fldCharType="separate"/>
        </w:r>
        <w:r w:rsidR="004730CB">
          <w:rPr>
            <w:noProof/>
            <w:sz w:val="20"/>
          </w:rPr>
          <w:t>1</w:t>
        </w:r>
        <w:r w:rsidRPr="00617973">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49205" w14:textId="77777777" w:rsidR="001E3776" w:rsidRDefault="001E3776" w:rsidP="005C2996">
      <w:r>
        <w:separator/>
      </w:r>
    </w:p>
  </w:footnote>
  <w:footnote w:type="continuationSeparator" w:id="0">
    <w:p w14:paraId="0176CE14" w14:textId="77777777" w:rsidR="001E3776" w:rsidRDefault="001E3776" w:rsidP="005C2996">
      <w:r>
        <w:continuationSeparator/>
      </w:r>
    </w:p>
  </w:footnote>
  <w:footnote w:type="continuationNotice" w:id="1">
    <w:p w14:paraId="50A709B7" w14:textId="77777777" w:rsidR="001E3776" w:rsidRDefault="001E3776"/>
  </w:footnote>
  <w:footnote w:id="2">
    <w:p w14:paraId="0B343710" w14:textId="77777777" w:rsidR="001E3776" w:rsidRPr="008E3D5F" w:rsidRDefault="001E3776" w:rsidP="00417894">
      <w:pPr>
        <w:pStyle w:val="FootnoteText"/>
        <w:rPr>
          <w:sz w:val="16"/>
          <w:szCs w:val="16"/>
          <w:lang w:val="fr-CH"/>
        </w:rPr>
      </w:pPr>
      <w:r w:rsidRPr="008E3D5F">
        <w:rPr>
          <w:rStyle w:val="FootnoteReference"/>
          <w:szCs w:val="16"/>
        </w:rPr>
        <w:footnoteRef/>
      </w:r>
      <w:r w:rsidRPr="008E3D5F">
        <w:rPr>
          <w:sz w:val="16"/>
          <w:szCs w:val="16"/>
          <w:lang w:val="fr-CH"/>
        </w:rPr>
        <w:t xml:space="preserve"> </w:t>
      </w:r>
      <w:r w:rsidRPr="008E3D5F">
        <w:rPr>
          <w:sz w:val="16"/>
          <w:szCs w:val="16"/>
          <w:lang w:val="fr-CH"/>
        </w:rPr>
        <w:tab/>
      </w:r>
      <w:r w:rsidRPr="008E3D5F">
        <w:rPr>
          <w:color w:val="000000"/>
          <w:sz w:val="16"/>
          <w:szCs w:val="16"/>
          <w:lang w:val="fr-CH"/>
        </w:rPr>
        <w:t>Conformément aux demandes des États membres, les programmes ont eu la possibilité de définir des objectifs qui n’avaient pas été définis dans le programme et budget pour 2016-2017, à savoir des objectifs caractérisés par la mention “à déterminer”, durant l’exercice de mise à jour des niveaux de référence, en se basant sur les chiffres disponibles à la fin de 2015.  Les objectifs qui n’avaient pas été définis au cours de cette procédure restent indéfinis et les données relatives à l’exécution sont par conséquent indiquées comme “non évaluables”.  Afin de renforcer l’information en 2016-2017, une attention accrue a été accordée à la définition et à l’actualisation des niveaux de référence et des objectifs de façon à mettre à jour les objectifs lorsque ceux-ci ont déjà été atteints à la fin de 2015, conformément au rapport de validation établi par la Division de la supervision interne concernant le rapport sur l’exécution du programme en 2014-2015.</w:t>
      </w:r>
    </w:p>
  </w:footnote>
  <w:footnote w:id="3">
    <w:p w14:paraId="2693F972" w14:textId="77777777" w:rsidR="001E3776" w:rsidRPr="008E3D5F" w:rsidRDefault="001E3776" w:rsidP="00A067C5">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hyperlink r:id="rId1" w:history="1">
        <w:r w:rsidRPr="008E3D5F">
          <w:rPr>
            <w:rStyle w:val="Hyperlink"/>
            <w:sz w:val="16"/>
            <w:szCs w:val="16"/>
          </w:rPr>
          <w:t>http://www.wipo.int/amc/en/new/2016_qmsurvey.html</w:t>
        </w:r>
      </w:hyperlink>
    </w:p>
  </w:footnote>
  <w:footnote w:id="4">
    <w:p w14:paraId="15D55B7D" w14:textId="77777777" w:rsidR="001E3776" w:rsidRPr="008E3D5F" w:rsidRDefault="001E3776" w:rsidP="00A067C5">
      <w:pPr>
        <w:pStyle w:val="FootnoteText"/>
        <w:tabs>
          <w:tab w:val="left" w:pos="567"/>
        </w:tabs>
        <w:rPr>
          <w:sz w:val="16"/>
          <w:szCs w:val="16"/>
        </w:rPr>
      </w:pPr>
      <w:r w:rsidRPr="008E3D5F">
        <w:rPr>
          <w:rStyle w:val="FootnoteReference"/>
          <w:szCs w:val="16"/>
        </w:rPr>
        <w:footnoteRef/>
      </w:r>
      <w:r w:rsidRPr="008E3D5F">
        <w:rPr>
          <w:sz w:val="16"/>
          <w:szCs w:val="16"/>
        </w:rPr>
        <w:t xml:space="preserve"> </w:t>
      </w:r>
      <w:r w:rsidRPr="008E3D5F">
        <w:rPr>
          <w:sz w:val="16"/>
          <w:szCs w:val="16"/>
        </w:rPr>
        <w:tab/>
        <w:t>On entend par “commercialisation” l’application de la technologie appropriée dans le secteur public.</w:t>
      </w:r>
    </w:p>
  </w:footnote>
  <w:footnote w:id="5">
    <w:p w14:paraId="3523926B" w14:textId="77777777" w:rsidR="001E3776" w:rsidRPr="008E3D5F" w:rsidRDefault="001E3776" w:rsidP="00A067C5">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Rapport sur l’étude indépendante de la mise en œuvre des recommandations du Plan d’action pour le développement : </w:t>
      </w:r>
      <w:hyperlink r:id="rId2" w:history="1">
        <w:r w:rsidRPr="008E3D5F">
          <w:rPr>
            <w:rStyle w:val="Hyperlink"/>
            <w:sz w:val="16"/>
            <w:szCs w:val="16"/>
          </w:rPr>
          <w:t>CDIP/18/7</w:t>
        </w:r>
      </w:hyperlink>
      <w:r w:rsidRPr="008E3D5F">
        <w:rPr>
          <w:rStyle w:val="Hyperlink"/>
          <w:sz w:val="16"/>
          <w:szCs w:val="16"/>
        </w:rPr>
        <w:t>.</w:t>
      </w:r>
    </w:p>
  </w:footnote>
  <w:footnote w:id="6">
    <w:p w14:paraId="56CAD639" w14:textId="77777777" w:rsidR="001E3776" w:rsidRPr="008E3D5F" w:rsidRDefault="001E3776" w:rsidP="00C2082C">
      <w:pPr>
        <w:pStyle w:val="FootnoteText"/>
        <w:rPr>
          <w:color w:val="000000" w:themeColor="text1"/>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themeColor="text1"/>
          <w:sz w:val="16"/>
          <w:szCs w:val="16"/>
        </w:rPr>
        <w:t>Rectificatif : en 2015, six offices des pays en transition (soit 76 offices au total) et non sept (soit 77 au total) comme mentionné dans le Rapport sur l’exécution du programme en 2014-2015 utilisaient les solutions opérationnelles de l’OMPI destinées aux offices de propriété intellectuelle.</w:t>
      </w:r>
    </w:p>
  </w:footnote>
  <w:footnote w:id="7">
    <w:p w14:paraId="3E8939A0" w14:textId="77777777" w:rsidR="001E3776" w:rsidRPr="008E3D5F" w:rsidRDefault="001E3776" w:rsidP="00C2082C">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themeColor="text1"/>
          <w:sz w:val="16"/>
          <w:szCs w:val="16"/>
        </w:rPr>
        <w:t xml:space="preserve">Résultats quant au rapport intitulé </w:t>
      </w:r>
      <w:r w:rsidRPr="008E3D5F">
        <w:rPr>
          <w:i/>
          <w:color w:val="000000" w:themeColor="text1"/>
          <w:sz w:val="16"/>
          <w:szCs w:val="16"/>
        </w:rPr>
        <w:t>Indicateurs mondiaux relatifs à la propriété intellectuelle (WIPI)</w:t>
      </w:r>
      <w:r w:rsidRPr="008E3D5F">
        <w:rPr>
          <w:color w:val="000000" w:themeColor="text1"/>
          <w:sz w:val="16"/>
          <w:szCs w:val="16"/>
        </w:rPr>
        <w:t xml:space="preserve"> : 800 nouveaux articles, y compris dans les médias les plus influents du monde et plus de 172 000 vues (“impressions”) des tweets sur le lancement du rapport.  Résultats quant au rapport intitulé </w:t>
      </w:r>
      <w:r w:rsidRPr="008E3D5F">
        <w:rPr>
          <w:i/>
          <w:color w:val="000000" w:themeColor="text1"/>
          <w:sz w:val="16"/>
          <w:szCs w:val="16"/>
        </w:rPr>
        <w:t>Indice mondial de l’innovation (GII)</w:t>
      </w:r>
      <w:r w:rsidRPr="008E3D5F">
        <w:rPr>
          <w:color w:val="000000" w:themeColor="text1"/>
          <w:sz w:val="16"/>
          <w:szCs w:val="16"/>
        </w:rPr>
        <w:t> : plus de 7400 nouveaux articles, avec une forte couverture télévisée et plus de 171 000 vues des tweets diffusés sur le compte #GII2016 de l’OMPI.</w:t>
      </w:r>
    </w:p>
  </w:footnote>
  <w:footnote w:id="8">
    <w:p w14:paraId="68BAF866" w14:textId="7FFAFBF7" w:rsidR="001E3776" w:rsidRPr="008E3D5F" w:rsidRDefault="001E3776" w:rsidP="004328C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Résumé présenté par la présidente : </w:t>
      </w:r>
      <w:hyperlink r:id="rId3" w:history="1">
        <w:r w:rsidRPr="008E3D5F">
          <w:rPr>
            <w:rStyle w:val="Hyperlink"/>
            <w:sz w:val="16"/>
            <w:szCs w:val="16"/>
          </w:rPr>
          <w:t>SCP/23/5</w:t>
        </w:r>
      </w:hyperlink>
      <w:r w:rsidRPr="008E3D5F">
        <w:rPr>
          <w:sz w:val="16"/>
          <w:szCs w:val="16"/>
        </w:rPr>
        <w:t>.</w:t>
      </w:r>
    </w:p>
  </w:footnote>
  <w:footnote w:id="9">
    <w:p w14:paraId="67D83F76" w14:textId="774B140D" w:rsidR="001E3776" w:rsidRPr="008E3D5F" w:rsidRDefault="001E3776" w:rsidP="004328C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Résumé présenté par la présidente : </w:t>
      </w:r>
      <w:hyperlink r:id="rId4" w:history="1">
        <w:r w:rsidRPr="008E3D5F">
          <w:rPr>
            <w:rStyle w:val="Hyperlink"/>
            <w:sz w:val="16"/>
            <w:szCs w:val="16"/>
          </w:rPr>
          <w:t>SCP/24/5</w:t>
        </w:r>
      </w:hyperlink>
      <w:r w:rsidRPr="008E3D5F">
        <w:rPr>
          <w:sz w:val="16"/>
          <w:szCs w:val="16"/>
        </w:rPr>
        <w:t>.</w:t>
      </w:r>
    </w:p>
  </w:footnote>
  <w:footnote w:id="10">
    <w:p w14:paraId="6E078CF9" w14:textId="77777777" w:rsidR="001E3776" w:rsidRPr="008E3D5F" w:rsidRDefault="001E3776" w:rsidP="004328C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11">
    <w:p w14:paraId="32B81702" w14:textId="29722898" w:rsidR="001E3776" w:rsidRPr="008E3D5F" w:rsidRDefault="001E3776" w:rsidP="004328C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Résumé présenté par la présidente : </w:t>
      </w:r>
      <w:hyperlink r:id="rId5" w:history="1">
        <w:r w:rsidRPr="008E3D5F">
          <w:rPr>
            <w:rStyle w:val="Hyperlink"/>
            <w:sz w:val="16"/>
            <w:szCs w:val="16"/>
          </w:rPr>
          <w:t>SCP/25/5</w:t>
        </w:r>
      </w:hyperlink>
      <w:r w:rsidRPr="008E3D5F">
        <w:rPr>
          <w:sz w:val="16"/>
          <w:szCs w:val="16"/>
        </w:rPr>
        <w:t>.</w:t>
      </w:r>
    </w:p>
  </w:footnote>
  <w:footnote w:id="12">
    <w:p w14:paraId="5B576697" w14:textId="4F15704E" w:rsidR="001E3776" w:rsidRPr="008E3D5F" w:rsidRDefault="001E3776" w:rsidP="002307FD">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Rapport de synthèse : point 14 de l’ordre du jour unifié : </w:t>
      </w:r>
      <w:hyperlink r:id="rId6" w:history="1">
        <w:r w:rsidRPr="008E3D5F">
          <w:rPr>
            <w:rStyle w:val="Hyperlink"/>
            <w:sz w:val="16"/>
            <w:szCs w:val="16"/>
          </w:rPr>
          <w:t>A/56/16 Add.4</w:t>
        </w:r>
      </w:hyperlink>
      <w:r w:rsidRPr="008E3D5F">
        <w:rPr>
          <w:sz w:val="16"/>
          <w:szCs w:val="16"/>
        </w:rPr>
        <w:t>.</w:t>
      </w:r>
    </w:p>
  </w:footnote>
  <w:footnote w:id="13">
    <w:p w14:paraId="02E8D9FF" w14:textId="04824019" w:rsidR="001E3776" w:rsidRPr="008E3D5F" w:rsidRDefault="001E3776" w:rsidP="00C32CCC">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Compilation des réponses au Questionnaire sur les dessins et modèles d’interfaces utilisateurs graphiques, d’icônes et de polices/fontes de caractères : </w:t>
      </w:r>
      <w:hyperlink r:id="rId7" w:history="1">
        <w:r w:rsidRPr="008E3D5F">
          <w:rPr>
            <w:rStyle w:val="Hyperlink"/>
            <w:sz w:val="16"/>
            <w:szCs w:val="16"/>
          </w:rPr>
          <w:t>SCT/36/2 </w:t>
        </w:r>
        <w:proofErr w:type="spellStart"/>
        <w:r w:rsidRPr="008E3D5F">
          <w:rPr>
            <w:rStyle w:val="Hyperlink"/>
            <w:sz w:val="16"/>
            <w:szCs w:val="16"/>
          </w:rPr>
          <w:t>Rev</w:t>
        </w:r>
        <w:proofErr w:type="spellEnd"/>
        <w:r w:rsidRPr="008E3D5F">
          <w:rPr>
            <w:rStyle w:val="Hyperlink"/>
            <w:sz w:val="16"/>
            <w:szCs w:val="16"/>
          </w:rPr>
          <w:t>.</w:t>
        </w:r>
      </w:hyperlink>
    </w:p>
  </w:footnote>
  <w:footnote w:id="14">
    <w:p w14:paraId="155B6C16" w14:textId="7456C409" w:rsidR="001E3776" w:rsidRPr="008E3D5F" w:rsidRDefault="001E3776" w:rsidP="002307FD">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Protection des noms de pays contre leur enregistrement et leur utilisation en tant que marques : pratiques, approches et domaines de convergence possibles : </w:t>
      </w:r>
      <w:hyperlink r:id="rId8" w:history="1">
        <w:r w:rsidRPr="008E3D5F">
          <w:rPr>
            <w:rStyle w:val="Hyperlink"/>
            <w:sz w:val="16"/>
            <w:szCs w:val="16"/>
          </w:rPr>
          <w:t>SCT/35/4</w:t>
        </w:r>
      </w:hyperlink>
      <w:r w:rsidRPr="008E3D5F">
        <w:rPr>
          <w:color w:val="000000"/>
          <w:sz w:val="16"/>
          <w:szCs w:val="16"/>
        </w:rPr>
        <w:t xml:space="preserve">.  </w:t>
      </w:r>
    </w:p>
  </w:footnote>
  <w:footnote w:id="15">
    <w:p w14:paraId="6F4E426F" w14:textId="04029C16"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Résumé présenté par le président : </w:t>
      </w:r>
      <w:hyperlink r:id="rId9" w:history="1">
        <w:r w:rsidRPr="008E3D5F">
          <w:rPr>
            <w:rStyle w:val="Hyperlink"/>
            <w:sz w:val="16"/>
            <w:szCs w:val="16"/>
          </w:rPr>
          <w:t>SCT/36/5</w:t>
        </w:r>
      </w:hyperlink>
      <w:r w:rsidRPr="008E3D5F">
        <w:rPr>
          <w:sz w:val="16"/>
          <w:szCs w:val="16"/>
        </w:rPr>
        <w:t>.</w:t>
      </w:r>
    </w:p>
  </w:footnote>
  <w:footnote w:id="16">
    <w:p w14:paraId="7DEB384F" w14:textId="77777777" w:rsidR="001E3776" w:rsidRPr="008E3D5F" w:rsidRDefault="001E3776" w:rsidP="00561B4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Résumé présenté par le président : </w:t>
      </w:r>
      <w:hyperlink r:id="rId10" w:history="1">
        <w:r w:rsidRPr="008E3D5F">
          <w:rPr>
            <w:rStyle w:val="Hyperlink"/>
            <w:sz w:val="16"/>
            <w:szCs w:val="16"/>
          </w:rPr>
          <w:t>SCCR31/REF/SUMMARY BY CHAIR</w:t>
        </w:r>
      </w:hyperlink>
      <w:r w:rsidRPr="008E3D5F">
        <w:rPr>
          <w:sz w:val="16"/>
          <w:szCs w:val="16"/>
        </w:rPr>
        <w:t>.</w:t>
      </w:r>
    </w:p>
  </w:footnote>
  <w:footnote w:id="17">
    <w:p w14:paraId="43DC25D6" w14:textId="77777777" w:rsidR="001E3776" w:rsidRPr="008E3D5F" w:rsidRDefault="001E3776" w:rsidP="00561B4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Résumé présenté par le président : </w:t>
      </w:r>
      <w:hyperlink r:id="rId11" w:history="1">
        <w:r w:rsidRPr="008E3D5F">
          <w:rPr>
            <w:rStyle w:val="Hyperlink"/>
            <w:sz w:val="16"/>
            <w:szCs w:val="16"/>
          </w:rPr>
          <w:t>REF/SCCR/32/SUMMARY BY THE CHAIR</w:t>
        </w:r>
      </w:hyperlink>
      <w:r w:rsidRPr="008E3D5F">
        <w:rPr>
          <w:sz w:val="16"/>
          <w:szCs w:val="16"/>
        </w:rPr>
        <w:t>.</w:t>
      </w:r>
    </w:p>
  </w:footnote>
  <w:footnote w:id="18">
    <w:p w14:paraId="6FA4553C" w14:textId="77777777" w:rsidR="001E3776" w:rsidRPr="008E3D5F" w:rsidRDefault="001E3776" w:rsidP="00561B4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Résumé présenté par le président : </w:t>
      </w:r>
      <w:hyperlink r:id="rId12" w:history="1">
        <w:r w:rsidRPr="008E3D5F">
          <w:rPr>
            <w:rStyle w:val="Hyperlink"/>
            <w:sz w:val="16"/>
            <w:szCs w:val="16"/>
          </w:rPr>
          <w:t>SCCR/33/SUMMARY BY THE CHAIR</w:t>
        </w:r>
        <w:r w:rsidRPr="008E3D5F">
          <w:rPr>
            <w:sz w:val="16"/>
            <w:szCs w:val="16"/>
          </w:rPr>
          <w:t>.</w:t>
        </w:r>
      </w:hyperlink>
    </w:p>
  </w:footnote>
  <w:footnote w:id="19">
    <w:p w14:paraId="0E66DE7A" w14:textId="77777777" w:rsidR="001E3776" w:rsidRPr="008E3D5F" w:rsidRDefault="001E3776" w:rsidP="00561B4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lignes directrices ont été finalisées en 2014 et sont actuellement dans une phase pilote, qui devrait être achevée d’ici juin 2016.</w:t>
      </w:r>
    </w:p>
  </w:footnote>
  <w:footnote w:id="20">
    <w:p w14:paraId="1B71B594" w14:textId="77777777" w:rsidR="001E3776" w:rsidRPr="008E3D5F" w:rsidRDefault="001E3776" w:rsidP="00561B4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Actuellement en cours d’élaboration.</w:t>
      </w:r>
    </w:p>
  </w:footnote>
  <w:footnote w:id="21">
    <w:p w14:paraId="6A8FD08C" w14:textId="0C45F3C8" w:rsidR="001E3776" w:rsidRPr="001E3776" w:rsidRDefault="001E3776" w:rsidP="00A83D07">
      <w:pPr>
        <w:rPr>
          <w:sz w:val="16"/>
          <w:szCs w:val="16"/>
        </w:rPr>
      </w:pPr>
      <w:r w:rsidRPr="008E3D5F">
        <w:rPr>
          <w:rStyle w:val="FootnoteReference"/>
          <w:szCs w:val="16"/>
        </w:rPr>
        <w:footnoteRef/>
      </w:r>
      <w:r w:rsidRPr="008E3D5F">
        <w:rPr>
          <w:sz w:val="16"/>
          <w:szCs w:val="16"/>
        </w:rPr>
        <w:t xml:space="preserve"> </w:t>
      </w:r>
      <w:r w:rsidRPr="008E3D5F">
        <w:rPr>
          <w:sz w:val="16"/>
          <w:szCs w:val="16"/>
        </w:rPr>
        <w:tab/>
      </w:r>
      <w:r>
        <w:rPr>
          <w:sz w:val="16"/>
          <w:szCs w:val="16"/>
        </w:rPr>
        <w:t>Marge de tolérance ajoutée pour tenir compte des mesures d’économie qui, à court terme, pourraient influer sur les niveaux de qualité</w:t>
      </w:r>
      <w:r w:rsidRPr="001E3776">
        <w:rPr>
          <w:sz w:val="16"/>
          <w:szCs w:val="16"/>
        </w:rPr>
        <w:t>.</w:t>
      </w:r>
    </w:p>
  </w:footnote>
  <w:footnote w:id="22">
    <w:p w14:paraId="2857903D" w14:textId="088911C0"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 chiffre actualisé, par rapport au niveau de référence initial dans le programme et budget 2016-2017, a été calculé en utilisant les données les plus récentes.</w:t>
      </w:r>
    </w:p>
  </w:footnote>
  <w:footnote w:id="23">
    <w:p w14:paraId="42454E00" w14:textId="77777777" w:rsidR="001E3776" w:rsidRPr="008E3D5F" w:rsidRDefault="001E3776" w:rsidP="00463DF3">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24">
    <w:p w14:paraId="2B2CA6B2" w14:textId="77777777" w:rsidR="001E3776" w:rsidRPr="008E3D5F" w:rsidRDefault="001E3776" w:rsidP="006A58B3">
      <w:pPr>
        <w:spacing w:after="120"/>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Un exemplaire original est une demande selon le PCT transmise au Bureau international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25">
    <w:p w14:paraId="6B03C4EA" w14:textId="77777777" w:rsidR="001E3776" w:rsidRPr="008E3D5F" w:rsidRDefault="001E3776" w:rsidP="006A58B3">
      <w:pPr>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D’après une étude indépendante des indicateurs d’exécution des systèmes informatiques du PCT, la définition est légèrement différente de celle qui figure dans le programme et budget pour l’exercice biennal 2014-2015.</w:t>
      </w:r>
    </w:p>
  </w:footnote>
  <w:footnote w:id="26">
    <w:p w14:paraId="70315623" w14:textId="7777777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On a actualisé le niveau de référence de façon à faire apparaître le nombre de parties contractantes à fin 2015 sur la base de la date d’entrée en vigueur, et non de la date de dépôt de l’instrument, comme indiqué dans le rapport sur l’exécution du programme pour 2014</w:t>
      </w:r>
      <w:r w:rsidRPr="008E3D5F">
        <w:rPr>
          <w:sz w:val="16"/>
          <w:szCs w:val="16"/>
        </w:rPr>
        <w:noBreakHyphen/>
        <w:t>2015.</w:t>
      </w:r>
    </w:p>
  </w:footnote>
  <w:footnote w:id="27">
    <w:p w14:paraId="2FC26A09" w14:textId="7777777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Le niveau de référence actualisé se fonde sur une nouvelle méthode, différente de celle que l’on a utilisée pour calculer le niveau de référence initial dans le programme et budget 2016</w:t>
      </w:r>
      <w:r w:rsidRPr="008E3D5F">
        <w:rPr>
          <w:sz w:val="16"/>
          <w:szCs w:val="16"/>
        </w:rPr>
        <w:noBreakHyphen/>
        <w:t xml:space="preserve">2017.  Avec cette nouvelle méthode, fin 2012, la part de marché était de 67%.  </w:t>
      </w:r>
    </w:p>
  </w:footnote>
  <w:footnote w:id="28">
    <w:p w14:paraId="506AB5B5" w14:textId="7777777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Les chiffres présentés sont calculés sur la base de la date de dépôt auprès de l’office d’origine et non de la date de réception par le Bureau international, comme c’était le cas dans les précédents rapports sur l’exécution du programme.</w:t>
      </w:r>
    </w:p>
  </w:footnote>
  <w:footnote w:id="29">
    <w:p w14:paraId="28C9C3D0" w14:textId="77777777" w:rsidR="001E3776" w:rsidRPr="008E3D5F" w:rsidRDefault="001E3776" w:rsidP="00561B47">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r>
      <w:r w:rsidRPr="008E3D5F">
        <w:rPr>
          <w:sz w:val="16"/>
          <w:szCs w:val="16"/>
          <w:lang w:val="fr-CH"/>
        </w:rPr>
        <w:t>Le niveau de référence a été actualisé avec les chiffres les plus récents.</w:t>
      </w:r>
    </w:p>
  </w:footnote>
  <w:footnote w:id="30">
    <w:p w14:paraId="5F69BAFB" w14:textId="77777777" w:rsidR="001E3776" w:rsidRPr="008E3D5F" w:rsidRDefault="001E3776" w:rsidP="00561B47">
      <w:pPr>
        <w:pStyle w:val="FootnoteText"/>
        <w:tabs>
          <w:tab w:val="left" w:pos="567"/>
        </w:tabs>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Rectificatif : dans le rapport sur l’exécution du programme en 2014, le taux d’irrégularité indiqué était de 36%, alors que le taux correct était en fait de 34%.</w:t>
      </w:r>
    </w:p>
  </w:footnote>
  <w:footnote w:id="31">
    <w:p w14:paraId="763726C4" w14:textId="4ABC8997" w:rsidR="001E3776" w:rsidRPr="008E3D5F" w:rsidRDefault="001E3776" w:rsidP="00561B47">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t xml:space="preserve">Document </w:t>
      </w:r>
      <w:hyperlink r:id="rId13" w:history="1">
        <w:r w:rsidRPr="008E3D5F">
          <w:rPr>
            <w:rStyle w:val="Hyperlink"/>
            <w:sz w:val="16"/>
            <w:szCs w:val="16"/>
            <w:lang w:val="fr-CH"/>
          </w:rPr>
          <w:t>MM/LD/WG/13/2</w:t>
        </w:r>
      </w:hyperlink>
      <w:r w:rsidRPr="008E3D5F">
        <w:rPr>
          <w:sz w:val="16"/>
          <w:szCs w:val="16"/>
          <w:lang w:val="fr-CH"/>
        </w:rPr>
        <w:t>.</w:t>
      </w:r>
    </w:p>
  </w:footnote>
  <w:footnote w:id="32">
    <w:p w14:paraId="3CD72982" w14:textId="31E2CC02" w:rsidR="001E3776" w:rsidRPr="008E3D5F" w:rsidRDefault="001E3776" w:rsidP="00561B47">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t xml:space="preserve">Document </w:t>
      </w:r>
      <w:hyperlink r:id="rId14" w:history="1">
        <w:r w:rsidRPr="008E3D5F">
          <w:rPr>
            <w:rStyle w:val="Hyperlink"/>
            <w:sz w:val="16"/>
            <w:szCs w:val="16"/>
          </w:rPr>
          <w:t>MM/LD/WG/14/2 </w:t>
        </w:r>
        <w:proofErr w:type="spellStart"/>
        <w:r w:rsidRPr="008E3D5F">
          <w:rPr>
            <w:rStyle w:val="Hyperlink"/>
            <w:sz w:val="16"/>
            <w:szCs w:val="16"/>
          </w:rPr>
          <w:t>Rev</w:t>
        </w:r>
        <w:proofErr w:type="spellEnd"/>
      </w:hyperlink>
      <w:r w:rsidRPr="008E3D5F">
        <w:rPr>
          <w:sz w:val="16"/>
          <w:szCs w:val="16"/>
        </w:rPr>
        <w:t>.</w:t>
      </w:r>
    </w:p>
  </w:footnote>
  <w:footnote w:id="33">
    <w:p w14:paraId="25604741" w14:textId="7777777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 xml:space="preserve">Rapport de la cinquantième session de l’Assemblée de l’Union de Madrid : </w:t>
      </w:r>
      <w:hyperlink r:id="rId15" w:history="1">
        <w:r w:rsidRPr="008E3D5F">
          <w:rPr>
            <w:rStyle w:val="Hyperlink"/>
            <w:sz w:val="16"/>
            <w:szCs w:val="16"/>
          </w:rPr>
          <w:t>MM/A/50/5</w:t>
        </w:r>
      </w:hyperlink>
      <w:r w:rsidRPr="008E3D5F">
        <w:rPr>
          <w:sz w:val="16"/>
          <w:szCs w:val="16"/>
        </w:rPr>
        <w:t>.</w:t>
      </w:r>
    </w:p>
  </w:footnote>
  <w:footnote w:id="34">
    <w:p w14:paraId="799A5915" w14:textId="7777777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En raison du perfectionnement du calcul du coût total de production (voir l’annexe sur les indicateurs relatifs aux opérations du système de Madrid, paragraphe 7), le coût unitaire n’est pas comparable au niveau de référence, ce qui explique la mention “non évaluable”.</w:t>
      </w:r>
    </w:p>
  </w:footnote>
  <w:footnote w:id="35">
    <w:p w14:paraId="31587DFB" w14:textId="7777777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Ibid.</w:t>
      </w:r>
    </w:p>
  </w:footnote>
  <w:footnote w:id="36">
    <w:p w14:paraId="582FECAB" w14:textId="77777777" w:rsidR="001E3776" w:rsidRPr="008E3D5F" w:rsidRDefault="001E3776" w:rsidP="00A67FE6">
      <w:pPr>
        <w:pStyle w:val="FootnoteText"/>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Les données sont fournies sur la base de la date de dépôt auprès de l’office d’origine plutôt que la date de réception par le Bureau international, comme dans les précédents rapports sur l’exécution du programme.</w:t>
      </w:r>
    </w:p>
  </w:footnote>
  <w:footnote w:id="37">
    <w:p w14:paraId="41972EEB" w14:textId="77777777" w:rsidR="001E3776" w:rsidRPr="008E3D5F" w:rsidRDefault="001E3776" w:rsidP="00A67FE6">
      <w:pPr>
        <w:pStyle w:val="FootnoteText"/>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Le nombre moyen de classes par enregistrement en 2015 s’élevait à 6,8, contre 7,7 dans le rapport sur l’exécution du programme en 2014-2015.</w:t>
      </w:r>
    </w:p>
  </w:footnote>
  <w:footnote w:id="38">
    <w:p w14:paraId="5FEFBC32" w14:textId="77777777" w:rsidR="001E3776" w:rsidRPr="008E3D5F" w:rsidRDefault="001E3776" w:rsidP="00A67FE6">
      <w:pPr>
        <w:pStyle w:val="FootnoteText"/>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Voir “Charge de travail globale traitée” ci-dessus.</w:t>
      </w:r>
    </w:p>
  </w:footnote>
  <w:footnote w:id="39">
    <w:p w14:paraId="0B13A74E" w14:textId="77777777" w:rsidR="001E3776" w:rsidRPr="008E3D5F" w:rsidRDefault="001E3776" w:rsidP="00A67FE6">
      <w:pPr>
        <w:pStyle w:val="FootnoteText"/>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Voir “Charge de travail globale traitée” ci-dessus.</w:t>
      </w:r>
    </w:p>
  </w:footnote>
  <w:footnote w:id="40">
    <w:p w14:paraId="0C060659" w14:textId="77777777" w:rsidR="001E3776" w:rsidRPr="008E3D5F" w:rsidRDefault="001E3776" w:rsidP="00A67FE6">
      <w:pPr>
        <w:pStyle w:val="FootnoteText"/>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 xml:space="preserve">Le cadre de gestion de la qualité du Service d’enregistrement de Madrid peut être obtenu en écrivant à l’adresse </w:t>
      </w:r>
      <w:hyperlink r:id="rId16" w:history="1">
        <w:r w:rsidRPr="008E3D5F">
          <w:rPr>
            <w:rStyle w:val="Hyperlink"/>
            <w:sz w:val="16"/>
            <w:szCs w:val="16"/>
          </w:rPr>
          <w:t>madrid.qp@wipo.int</w:t>
        </w:r>
      </w:hyperlink>
      <w:r w:rsidRPr="008E3D5F">
        <w:rPr>
          <w:sz w:val="16"/>
          <w:szCs w:val="16"/>
        </w:rPr>
        <w:t>.</w:t>
      </w:r>
    </w:p>
  </w:footnote>
  <w:footnote w:id="41">
    <w:p w14:paraId="5E2E41D9" w14:textId="77777777" w:rsidR="001E3776" w:rsidRPr="008E3D5F" w:rsidRDefault="001E3776" w:rsidP="00A67FE6">
      <w:pPr>
        <w:pStyle w:val="FootnoteText"/>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Opérations comportant une ou plusieurs erreurs.</w:t>
      </w:r>
    </w:p>
  </w:footnote>
  <w:footnote w:id="42">
    <w:p w14:paraId="77CFD4F7" w14:textId="77777777" w:rsidR="001E3776" w:rsidRPr="008E3D5F" w:rsidRDefault="001E3776" w:rsidP="00777681">
      <w:pPr>
        <w:pStyle w:val="FootnoteText"/>
        <w:rPr>
          <w:sz w:val="16"/>
          <w:szCs w:val="16"/>
        </w:rPr>
      </w:pPr>
      <w:r w:rsidRPr="008E3D5F">
        <w:rPr>
          <w:rStyle w:val="FootnoteReference"/>
          <w:rFonts w:eastAsiaTheme="minorEastAsia" w:cs="Arial"/>
          <w:szCs w:val="16"/>
        </w:rPr>
        <w:footnoteRef/>
      </w:r>
      <w:r w:rsidRPr="008E3D5F">
        <w:rPr>
          <w:sz w:val="16"/>
          <w:szCs w:val="16"/>
        </w:rPr>
        <w:tab/>
        <w:t>Le nombre total d’irrégularités en 2015 s’élevait à 2062, contre 2118 dans le rapport sur l’exécution du programme en 2014-2015.</w:t>
      </w:r>
    </w:p>
  </w:footnote>
  <w:footnote w:id="43">
    <w:p w14:paraId="7B2A072E" w14:textId="77777777" w:rsidR="001E3776" w:rsidRPr="008E3D5F" w:rsidRDefault="001E3776" w:rsidP="00777681">
      <w:pPr>
        <w:jc w:val="both"/>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En raison d’incohérences relevées dans le calcul de la part des demandes contenant des irrégularités ou des observations, les données indiquées précédemment dans le rapport sur l’exécution du programme de l’Organisation ont été corrigées pour toute la période 2012-2016.</w:t>
      </w:r>
    </w:p>
  </w:footnote>
  <w:footnote w:id="44">
    <w:p w14:paraId="16626EDE" w14:textId="77777777" w:rsidR="001E3776" w:rsidRPr="008E3D5F" w:rsidRDefault="001E3776" w:rsidP="00777681">
      <w:pPr>
        <w:pStyle w:val="FootnoteText"/>
        <w:tabs>
          <w:tab w:val="left" w:pos="567"/>
        </w:tabs>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Ces révisions étaient expliquées en détail dans le rapport sur l’exécution du programme en 2014 et consistaient notamment à aligner la méthodologie de calcul des coûts directs et indirects pour La Haye sur les méthodologies utilisées pour calculer les coûts unitaires du PCT et de Madrid.</w:t>
      </w:r>
    </w:p>
  </w:footnote>
  <w:footnote w:id="45">
    <w:p w14:paraId="5943F790" w14:textId="77777777" w:rsidR="001E3776" w:rsidRPr="008E3D5F" w:rsidRDefault="001E3776" w:rsidP="00777681">
      <w:pPr>
        <w:pStyle w:val="FootnoteText"/>
        <w:tabs>
          <w:tab w:val="left" w:pos="567"/>
        </w:tabs>
        <w:rPr>
          <w:sz w:val="16"/>
          <w:szCs w:val="16"/>
        </w:rPr>
      </w:pPr>
      <w:r w:rsidRPr="008E3D5F">
        <w:rPr>
          <w:rStyle w:val="FootnoteReference"/>
          <w:rFonts w:eastAsiaTheme="minorEastAsia" w:cs="Arial"/>
          <w:szCs w:val="16"/>
        </w:rPr>
        <w:footnoteRef/>
      </w:r>
      <w:r w:rsidRPr="008E3D5F">
        <w:rPr>
          <w:sz w:val="16"/>
          <w:szCs w:val="16"/>
        </w:rPr>
        <w:t xml:space="preserve"> </w:t>
      </w:r>
      <w:r w:rsidRPr="008E3D5F">
        <w:rPr>
          <w:sz w:val="16"/>
          <w:szCs w:val="16"/>
        </w:rPr>
        <w:tab/>
        <w:t>Voir les taux concernant les demandes et les renouvellements dans la partie intitulée “Charge de travail totale”.</w:t>
      </w:r>
    </w:p>
  </w:footnote>
  <w:footnote w:id="46">
    <w:p w14:paraId="77CE27AB" w14:textId="04BD8536"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Rectificatif : un total cumulé de 23 programmes avait été adopté à la fin de 2015, et non de 20 comme indiqué dans le rapport sur l’exécution du programme de 2014-2015.</w:t>
      </w:r>
    </w:p>
  </w:footnote>
  <w:footnote w:id="47">
    <w:p w14:paraId="04C78941" w14:textId="77777777" w:rsidR="001E3776" w:rsidRPr="008E3D5F" w:rsidRDefault="001E3776" w:rsidP="00561B47">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Rapport sur l’Étude indépendante de la mise en œuvre des recommandations du Plan d’action pour le développement</w:t>
      </w:r>
      <w:r w:rsidRPr="008E3D5F">
        <w:rPr>
          <w:color w:val="000000"/>
          <w:sz w:val="16"/>
          <w:szCs w:val="16"/>
        </w:rPr>
        <w:t> :</w:t>
      </w:r>
      <w:r w:rsidRPr="008E3D5F">
        <w:rPr>
          <w:sz w:val="16"/>
          <w:szCs w:val="16"/>
        </w:rPr>
        <w:t xml:space="preserve"> </w:t>
      </w:r>
      <w:hyperlink r:id="rId17" w:history="1">
        <w:r w:rsidRPr="008E3D5F">
          <w:rPr>
            <w:rStyle w:val="Hyperlink"/>
            <w:sz w:val="16"/>
            <w:szCs w:val="16"/>
          </w:rPr>
          <w:t>CDIP/18/7</w:t>
        </w:r>
      </w:hyperlink>
      <w:r w:rsidRPr="008E3D5F">
        <w:rPr>
          <w:sz w:val="16"/>
          <w:szCs w:val="16"/>
        </w:rPr>
        <w:t>.</w:t>
      </w:r>
    </w:p>
  </w:footnote>
  <w:footnote w:id="48">
    <w:p w14:paraId="75E9363C" w14:textId="77777777" w:rsidR="001E3776" w:rsidRPr="008E3D5F" w:rsidRDefault="001E3776" w:rsidP="00561B47">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t>Rectificatif : fin 2015, les Fidji n’avaient pas encore adopté de stratégie, contrairement à ce qui est indiqué dans le rapport sur l’exécution du programme en 2014</w:t>
      </w:r>
      <w:r w:rsidRPr="008E3D5F">
        <w:rPr>
          <w:sz w:val="16"/>
          <w:szCs w:val="16"/>
        </w:rPr>
        <w:noBreakHyphen/>
        <w:t>2015.</w:t>
      </w:r>
    </w:p>
  </w:footnote>
  <w:footnote w:id="49">
    <w:p w14:paraId="0ED2A1C6" w14:textId="7777777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Il n’existe aucun mécanisme.  Un mécanisme approprié sera développé courant 2016</w:t>
      </w:r>
      <w:r w:rsidRPr="008E3D5F">
        <w:rPr>
          <w:sz w:val="16"/>
          <w:szCs w:val="16"/>
        </w:rPr>
        <w:noBreakHyphen/>
        <w:t xml:space="preserve">2017.  </w:t>
      </w:r>
    </w:p>
  </w:footnote>
  <w:footnote w:id="50">
    <w:p w14:paraId="4194D3B7" w14:textId="04E8A5A7" w:rsidR="001E3776" w:rsidRPr="008E3D5F" w:rsidRDefault="001E3776" w:rsidP="00561B47">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 xml:space="preserve">i) Base de données LATIPAT conjointement avec l’OEB et l’OEPM;  ii) projet sur les indications géographiques, les produits liés à l’origine et la création de marques en partenariat avec la Banque interaméricaine de développement (IDB), la Caribbean Export </w:t>
      </w:r>
      <w:proofErr w:type="spellStart"/>
      <w:r w:rsidRPr="008E3D5F">
        <w:rPr>
          <w:sz w:val="16"/>
          <w:szCs w:val="16"/>
        </w:rPr>
        <w:t>Development</w:t>
      </w:r>
      <w:proofErr w:type="spellEnd"/>
      <w:r w:rsidRPr="008E3D5F">
        <w:rPr>
          <w:sz w:val="16"/>
          <w:szCs w:val="16"/>
        </w:rPr>
        <w:t xml:space="preserve"> Agency (CEDA) et le </w:t>
      </w:r>
      <w:proofErr w:type="spellStart"/>
      <w:r w:rsidRPr="008E3D5F">
        <w:rPr>
          <w:sz w:val="16"/>
          <w:szCs w:val="16"/>
        </w:rPr>
        <w:t>Technical</w:t>
      </w:r>
      <w:proofErr w:type="spellEnd"/>
      <w:r w:rsidRPr="008E3D5F">
        <w:rPr>
          <w:sz w:val="16"/>
          <w:szCs w:val="16"/>
        </w:rPr>
        <w:t xml:space="preserve"> Centre for Agricultural and Rural Corporation (CTA);  iii) projet sur les indications géographiques dans les Caraïbes – projet sur les indications géographiques, les produits liés à l’origine et la création de marques en partenariat avec la Banque interaméricaine de développement (IDB), la Caribbean Export </w:t>
      </w:r>
      <w:proofErr w:type="spellStart"/>
      <w:r w:rsidRPr="008E3D5F">
        <w:rPr>
          <w:sz w:val="16"/>
          <w:szCs w:val="16"/>
        </w:rPr>
        <w:t>Development</w:t>
      </w:r>
      <w:proofErr w:type="spellEnd"/>
      <w:r w:rsidRPr="008E3D5F">
        <w:rPr>
          <w:sz w:val="16"/>
          <w:szCs w:val="16"/>
        </w:rPr>
        <w:t xml:space="preserve"> Agency (CEDA) et le </w:t>
      </w:r>
      <w:proofErr w:type="spellStart"/>
      <w:r w:rsidRPr="008E3D5F">
        <w:rPr>
          <w:sz w:val="16"/>
          <w:szCs w:val="16"/>
        </w:rPr>
        <w:t>Technical</w:t>
      </w:r>
      <w:proofErr w:type="spellEnd"/>
      <w:r w:rsidRPr="008E3D5F">
        <w:rPr>
          <w:sz w:val="16"/>
          <w:szCs w:val="16"/>
        </w:rPr>
        <w:t xml:space="preserve"> Centre for Agricultural and Rural Corporation (CTA);  iv) Office régional des brevets des Caraïbes avec l’administration régionale des brevets des Caraïbes (CPAS);  v) plateforme CIBEPYME dans le cadre du programme ibéro</w:t>
      </w:r>
      <w:r w:rsidRPr="008E3D5F">
        <w:rPr>
          <w:sz w:val="16"/>
          <w:szCs w:val="16"/>
        </w:rPr>
        <w:noBreakHyphen/>
        <w:t>américain;  vi) plateforme INFOTEC dans le cadre du programme ibéro</w:t>
      </w:r>
      <w:r w:rsidRPr="008E3D5F">
        <w:rPr>
          <w:sz w:val="16"/>
          <w:szCs w:val="16"/>
        </w:rPr>
        <w:noBreakHyphen/>
        <w:t xml:space="preserve">américain;  vii) poursuite de la collaboration sur le </w:t>
      </w:r>
      <w:proofErr w:type="spellStart"/>
      <w:r w:rsidRPr="008E3D5F">
        <w:rPr>
          <w:sz w:val="16"/>
          <w:szCs w:val="16"/>
        </w:rPr>
        <w:t>Regional</w:t>
      </w:r>
      <w:proofErr w:type="spellEnd"/>
      <w:r w:rsidRPr="008E3D5F">
        <w:rPr>
          <w:sz w:val="16"/>
          <w:szCs w:val="16"/>
        </w:rPr>
        <w:t xml:space="preserve"> Entrepreneurial </w:t>
      </w:r>
      <w:proofErr w:type="spellStart"/>
      <w:r w:rsidRPr="008E3D5F">
        <w:rPr>
          <w:sz w:val="16"/>
          <w:szCs w:val="16"/>
        </w:rPr>
        <w:t>Asset</w:t>
      </w:r>
      <w:proofErr w:type="spellEnd"/>
      <w:r w:rsidRPr="008E3D5F">
        <w:rPr>
          <w:sz w:val="16"/>
          <w:szCs w:val="16"/>
        </w:rPr>
        <w:t xml:space="preserve"> </w:t>
      </w:r>
      <w:proofErr w:type="spellStart"/>
      <w:r w:rsidRPr="008E3D5F">
        <w:rPr>
          <w:sz w:val="16"/>
          <w:szCs w:val="16"/>
        </w:rPr>
        <w:t>Commercialization</w:t>
      </w:r>
      <w:proofErr w:type="spellEnd"/>
      <w:r w:rsidRPr="008E3D5F">
        <w:rPr>
          <w:sz w:val="16"/>
          <w:szCs w:val="16"/>
        </w:rPr>
        <w:t xml:space="preserve"> Hub (REACH) avec l’IDB et le Young </w:t>
      </w:r>
      <w:proofErr w:type="spellStart"/>
      <w:r w:rsidRPr="008E3D5F">
        <w:rPr>
          <w:sz w:val="16"/>
          <w:szCs w:val="16"/>
        </w:rPr>
        <w:t>Americas</w:t>
      </w:r>
      <w:proofErr w:type="spellEnd"/>
      <w:r w:rsidRPr="008E3D5F">
        <w:rPr>
          <w:sz w:val="16"/>
          <w:szCs w:val="16"/>
        </w:rPr>
        <w:t xml:space="preserve"> Business Trust (YABT).</w:t>
      </w:r>
    </w:p>
  </w:footnote>
  <w:footnote w:id="51">
    <w:p w14:paraId="4C2DC980" w14:textId="77777777" w:rsidR="001E3776" w:rsidRPr="008E3D5F" w:rsidRDefault="001E3776" w:rsidP="00147255">
      <w:pPr>
        <w:pStyle w:val="FootnoteText"/>
        <w:rPr>
          <w:sz w:val="16"/>
          <w:szCs w:val="16"/>
          <w:highlight w:val="yellow"/>
          <w:lang w:val="fr-CH"/>
        </w:rPr>
      </w:pPr>
      <w:r w:rsidRPr="008E3D5F">
        <w:rPr>
          <w:rStyle w:val="FootnoteReference"/>
          <w:szCs w:val="16"/>
        </w:rPr>
        <w:footnoteRef/>
      </w:r>
      <w:r w:rsidRPr="008E3D5F">
        <w:rPr>
          <w:sz w:val="16"/>
          <w:szCs w:val="16"/>
        </w:rPr>
        <w:t xml:space="preserve"> </w:t>
      </w:r>
      <w:r w:rsidRPr="008E3D5F">
        <w:rPr>
          <w:b/>
          <w:i/>
          <w:sz w:val="16"/>
          <w:szCs w:val="16"/>
        </w:rPr>
        <w:tab/>
      </w:r>
      <w:r w:rsidRPr="008E3D5F">
        <w:rPr>
          <w:sz w:val="16"/>
          <w:szCs w:val="16"/>
          <w:lang w:val="fr-CH"/>
        </w:rPr>
        <w:t>Les réseaux nationaux durables de CATI sont des institutions financièrement et techniquement autonomes auxquelles l’OMPI fournit des conseils sur demande.</w:t>
      </w:r>
    </w:p>
    <w:p w14:paraId="13981E5A" w14:textId="77777777" w:rsidR="001E3776" w:rsidRPr="008E3D5F" w:rsidRDefault="001E3776" w:rsidP="00147255">
      <w:pPr>
        <w:pStyle w:val="FootnoteText"/>
        <w:rPr>
          <w:sz w:val="16"/>
          <w:szCs w:val="16"/>
          <w:lang w:val="fr-CH"/>
        </w:rPr>
      </w:pPr>
      <w:r w:rsidRPr="008E3D5F">
        <w:rPr>
          <w:sz w:val="16"/>
          <w:szCs w:val="16"/>
          <w:lang w:val="fr-CH"/>
        </w:rPr>
        <w:t>La durabilité est mesurée au moyen des niveaux de développement suivants :</w:t>
      </w:r>
    </w:p>
    <w:p w14:paraId="4DD116EB" w14:textId="77777777" w:rsidR="001E3776" w:rsidRPr="008E3D5F" w:rsidRDefault="001E3776" w:rsidP="00147255">
      <w:pPr>
        <w:pStyle w:val="FootnoteText"/>
        <w:tabs>
          <w:tab w:val="left" w:pos="284"/>
        </w:tabs>
        <w:ind w:left="284" w:hanging="284"/>
        <w:rPr>
          <w:sz w:val="16"/>
          <w:szCs w:val="16"/>
          <w:lang w:val="fr-CH"/>
        </w:rPr>
      </w:pPr>
      <w:r w:rsidRPr="008E3D5F">
        <w:rPr>
          <w:sz w:val="16"/>
          <w:szCs w:val="16"/>
          <w:lang w:val="fr-CH"/>
        </w:rPr>
        <w:t xml:space="preserve">- </w:t>
      </w:r>
      <w:r w:rsidRPr="008E3D5F">
        <w:rPr>
          <w:sz w:val="16"/>
          <w:szCs w:val="16"/>
          <w:lang w:val="fr-CH"/>
        </w:rPr>
        <w:tab/>
      </w:r>
      <w:r w:rsidRPr="008E3D5F">
        <w:rPr>
          <w:b/>
          <w:sz w:val="16"/>
          <w:szCs w:val="16"/>
        </w:rPr>
        <w:t>Développement niveau</w:t>
      </w:r>
      <w:r w:rsidRPr="008E3D5F">
        <w:rPr>
          <w:b/>
          <w:sz w:val="16"/>
          <w:szCs w:val="16"/>
          <w:lang w:val="fr-CH"/>
        </w:rPr>
        <w:t> 1</w:t>
      </w:r>
      <w:r w:rsidRPr="008E3D5F">
        <w:rPr>
          <w:sz w:val="16"/>
          <w:szCs w:val="16"/>
          <w:lang w:val="fr-CH"/>
        </w:rPr>
        <w:t xml:space="preserve"> - a) signature d’un accord sur le niveau de services entre l’OMPI et le coordonnateur national;  b) signature d’accords institutionnels entre le coordonnateur national et les institutions hôtes des CATI;  et c) fourniture d’au moins un rapport par an sur les activités des CATI au niveau national;</w:t>
      </w:r>
    </w:p>
    <w:p w14:paraId="6969265C" w14:textId="77777777" w:rsidR="001E3776" w:rsidRPr="008E3D5F" w:rsidRDefault="001E3776" w:rsidP="00147255">
      <w:pPr>
        <w:pStyle w:val="FootnoteText"/>
        <w:tabs>
          <w:tab w:val="left" w:pos="284"/>
        </w:tabs>
        <w:ind w:left="284" w:hanging="284"/>
        <w:rPr>
          <w:sz w:val="16"/>
          <w:szCs w:val="16"/>
          <w:lang w:val="fr-CH"/>
        </w:rPr>
      </w:pPr>
      <w:r w:rsidRPr="008E3D5F">
        <w:rPr>
          <w:sz w:val="16"/>
          <w:szCs w:val="16"/>
          <w:lang w:val="fr-CH"/>
        </w:rPr>
        <w:t xml:space="preserve">- </w:t>
      </w:r>
      <w:r w:rsidRPr="008E3D5F">
        <w:rPr>
          <w:sz w:val="16"/>
          <w:szCs w:val="16"/>
          <w:lang w:val="fr-CH"/>
        </w:rPr>
        <w:tab/>
      </w:r>
      <w:r w:rsidRPr="008E3D5F">
        <w:rPr>
          <w:b/>
          <w:sz w:val="16"/>
          <w:szCs w:val="16"/>
        </w:rPr>
        <w:t>Développement niveau</w:t>
      </w:r>
      <w:r w:rsidRPr="008E3D5F">
        <w:rPr>
          <w:b/>
          <w:sz w:val="16"/>
          <w:szCs w:val="16"/>
          <w:lang w:val="fr-CH"/>
        </w:rPr>
        <w:t xml:space="preserve"> 2</w:t>
      </w:r>
      <w:r w:rsidRPr="008E3D5F">
        <w:rPr>
          <w:sz w:val="16"/>
          <w:szCs w:val="16"/>
          <w:lang w:val="fr-CH"/>
        </w:rPr>
        <w:t xml:space="preserve"> – les normes de niveau 1 ont été satisfaites et des recherches basiques d’information en matière de brevets ont été fournies, telles que par exemple des recherches sur l’état de la technique des brevets;  et </w:t>
      </w:r>
    </w:p>
    <w:p w14:paraId="0FA880CE" w14:textId="01F19455" w:rsidR="001E3776" w:rsidRPr="008E3D5F" w:rsidRDefault="001E3776" w:rsidP="00147255">
      <w:pPr>
        <w:pStyle w:val="FootnoteText"/>
        <w:tabs>
          <w:tab w:val="left" w:pos="284"/>
        </w:tabs>
        <w:ind w:left="284" w:hanging="284"/>
        <w:rPr>
          <w:sz w:val="16"/>
          <w:szCs w:val="16"/>
          <w:lang w:val="fr-CH"/>
        </w:rPr>
      </w:pPr>
      <w:r w:rsidRPr="008E3D5F">
        <w:rPr>
          <w:sz w:val="16"/>
          <w:szCs w:val="16"/>
          <w:lang w:val="fr-CH"/>
        </w:rPr>
        <w:t xml:space="preserve">- </w:t>
      </w:r>
      <w:r w:rsidRPr="008E3D5F">
        <w:rPr>
          <w:sz w:val="16"/>
          <w:szCs w:val="16"/>
          <w:lang w:val="fr-CH"/>
        </w:rPr>
        <w:tab/>
      </w:r>
      <w:r w:rsidRPr="008E3D5F">
        <w:rPr>
          <w:b/>
          <w:sz w:val="16"/>
          <w:szCs w:val="16"/>
          <w:lang w:val="fr-CH"/>
        </w:rPr>
        <w:t>Développement niveau 3</w:t>
      </w:r>
      <w:r w:rsidRPr="008E3D5F">
        <w:rPr>
          <w:sz w:val="16"/>
          <w:szCs w:val="16"/>
          <w:lang w:val="fr-CH"/>
        </w:rPr>
        <w:t xml:space="preserve"> – les normes de niveau 2 ont été satisfaites et des services à valeur ajoutée dans le domaine de la propriété intellectuelle ont été fournis, tels que par exemple la rédaction de rapports panoramiques sur les brevets.</w:t>
      </w:r>
    </w:p>
  </w:footnote>
  <w:footnote w:id="52">
    <w:p w14:paraId="3FE178DB" w14:textId="57D6ED96" w:rsidR="001E3776" w:rsidRPr="008E3D5F" w:rsidRDefault="001E3776" w:rsidP="00CE0AA4">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Pr>
          <w:sz w:val="16"/>
          <w:szCs w:val="16"/>
        </w:rPr>
        <w:t xml:space="preserve">Appui et conseils sur les services d’analyse en matière de brevets et sur la gestion et la commercialisation des actifs de propriété intellectuelle, Programme d’aide aux inventeurs, utilisation et recensement des inventions dans le domaine public, services de règlement des litiges, rédaction des demandes de brevet. </w:t>
      </w:r>
    </w:p>
  </w:footnote>
  <w:footnote w:id="53">
    <w:p w14:paraId="70A884FB" w14:textId="5790ABBB" w:rsidR="001E3776" w:rsidRPr="008E3D5F" w:rsidRDefault="001E3776" w:rsidP="00CE0AA4">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54">
    <w:p w14:paraId="3AD4CAE0" w14:textId="646E7108" w:rsidR="001E3776" w:rsidRPr="008E3D5F" w:rsidRDefault="001E3776">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r>
      <w:r w:rsidRPr="008E3D5F">
        <w:rPr>
          <w:sz w:val="16"/>
          <w:szCs w:val="16"/>
          <w:lang w:val="fr-CH"/>
        </w:rPr>
        <w:t>Rectificatif : à la fin de 2015, il y a eu en fait 572 litiges et bons offices impliquant des parties originaires de pays en transition et de pays développés, et non 461 comme indiqué dans le rapport sur l’exécution du programme de 2014-2015.</w:t>
      </w:r>
    </w:p>
  </w:footnote>
  <w:footnote w:id="55">
    <w:p w14:paraId="1077C1AE" w14:textId="338B338A"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Estimation.</w:t>
      </w:r>
    </w:p>
  </w:footnote>
  <w:footnote w:id="56">
    <w:p w14:paraId="5D4DDC91" w14:textId="61572F53" w:rsidR="001E3776" w:rsidRPr="008E3D5F" w:rsidRDefault="001E3776">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r>
      <w:r w:rsidRPr="008E3D5F">
        <w:rPr>
          <w:sz w:val="16"/>
          <w:szCs w:val="16"/>
          <w:lang w:val="fr-CH"/>
        </w:rPr>
        <w:t>Les nouvelles académies nationales viables sont des institutions financièrement et techniquement autonomes auxquelles l’OMPI fournit des conseils sur demande.</w:t>
      </w:r>
    </w:p>
  </w:footnote>
  <w:footnote w:id="57">
    <w:p w14:paraId="0B6E5A62"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E</w:t>
      </w:r>
      <w:r w:rsidRPr="008E3D5F">
        <w:rPr>
          <w:color w:val="000000"/>
          <w:sz w:val="16"/>
          <w:szCs w:val="16"/>
        </w:rPr>
        <w:t>n 2015, en vue d’attirer une base d’utilisateurs plus ciblée pour le bulletin, les critères d’abonnement ont été modifiés, exigeant que les abonnés existants au bulletin des PME se réabonnent.</w:t>
      </w:r>
    </w:p>
  </w:footnote>
  <w:footnote w:id="58">
    <w:p w14:paraId="238E147B"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 nombre de téléchargements correspondant au quatrième trimestre de 2016 a été extrapolé à partir des données de janvier à septembre 2016.  En septembre 2016, l’outil de statistique en ligne a été amélioré pour en optimiser la stabilité, rendant impossible le suivi des données au dernier trimestre de 2016.</w:t>
      </w:r>
    </w:p>
  </w:footnote>
  <w:footnote w:id="59">
    <w:p w14:paraId="1569A49C" w14:textId="77777777" w:rsidR="001E3776" w:rsidRPr="008E3D5F" w:rsidRDefault="001E3776" w:rsidP="00394CA8">
      <w:pPr>
        <w:pStyle w:val="FootnoteText"/>
        <w:rPr>
          <w:sz w:val="16"/>
          <w:szCs w:val="16"/>
        </w:rPr>
      </w:pPr>
      <w:r w:rsidRPr="008E3D5F">
        <w:rPr>
          <w:rStyle w:val="FootnoteReference"/>
          <w:rFonts w:eastAsia="SimSun"/>
          <w:szCs w:val="16"/>
        </w:rPr>
        <w:footnoteRef/>
      </w:r>
      <w:r w:rsidRPr="008E3D5F">
        <w:rPr>
          <w:sz w:val="16"/>
          <w:szCs w:val="16"/>
        </w:rPr>
        <w:t xml:space="preserve"> </w:t>
      </w:r>
      <w:r w:rsidRPr="008E3D5F">
        <w:rPr>
          <w:sz w:val="16"/>
          <w:szCs w:val="16"/>
        </w:rPr>
        <w:tab/>
        <w:t>Les CATI durables sont des institutions financièrement et techniquement autonomes auxquelles l’OMPI donne des conseils sur demande.</w:t>
      </w:r>
    </w:p>
  </w:footnote>
  <w:footnote w:id="60">
    <w:p w14:paraId="0F1394E6" w14:textId="1447A0F1" w:rsidR="001E3776" w:rsidRPr="001E3776" w:rsidRDefault="001E3776" w:rsidP="002307FD">
      <w:pPr>
        <w:pStyle w:val="Default"/>
        <w:rPr>
          <w:color w:val="auto"/>
          <w:sz w:val="16"/>
          <w:szCs w:val="16"/>
          <w:lang w:val="fr-FR"/>
        </w:rPr>
      </w:pPr>
      <w:r w:rsidRPr="008E3D5F">
        <w:rPr>
          <w:rStyle w:val="FootnoteReference"/>
          <w:rFonts w:eastAsia="Batang"/>
          <w:color w:val="auto"/>
          <w:szCs w:val="16"/>
        </w:rPr>
        <w:footnoteRef/>
      </w:r>
      <w:r w:rsidRPr="001E3776">
        <w:rPr>
          <w:color w:val="auto"/>
          <w:sz w:val="16"/>
          <w:szCs w:val="16"/>
          <w:lang w:val="fr-FR"/>
        </w:rPr>
        <w:t xml:space="preserve"> </w:t>
      </w:r>
      <w:r w:rsidRPr="001E3776">
        <w:rPr>
          <w:color w:val="auto"/>
          <w:sz w:val="16"/>
          <w:szCs w:val="16"/>
          <w:lang w:val="fr-FR"/>
        </w:rPr>
        <w:tab/>
        <w:t>Rectificatif : le nombre total de modifications en 2014 était de 560 et non de 570 comme indiqué dans le rapport sur l’exécution du programme de 2014.</w:t>
      </w:r>
    </w:p>
  </w:footnote>
  <w:footnote w:id="61">
    <w:p w14:paraId="7D43F672" w14:textId="6BA7831F" w:rsidR="001E3776" w:rsidRPr="008E3D5F" w:rsidRDefault="001E3776">
      <w:pPr>
        <w:pStyle w:val="FootnoteText"/>
        <w:rPr>
          <w:sz w:val="16"/>
          <w:szCs w:val="16"/>
          <w:highlight w:val="yellow"/>
          <w:lang w:val="fr-CH"/>
        </w:rPr>
      </w:pPr>
      <w:r w:rsidRPr="008E3D5F">
        <w:rPr>
          <w:rStyle w:val="FootnoteReference"/>
          <w:szCs w:val="16"/>
        </w:rPr>
        <w:footnoteRef/>
      </w:r>
      <w:r w:rsidRPr="008E3D5F">
        <w:rPr>
          <w:sz w:val="16"/>
          <w:szCs w:val="16"/>
        </w:rPr>
        <w:t xml:space="preserve"> </w:t>
      </w:r>
      <w:r w:rsidRPr="008E3D5F">
        <w:rPr>
          <w:sz w:val="16"/>
          <w:szCs w:val="16"/>
        </w:rPr>
        <w:tab/>
      </w:r>
      <w:r w:rsidRPr="008E3D5F">
        <w:rPr>
          <w:sz w:val="16"/>
          <w:szCs w:val="16"/>
          <w:lang w:val="fr-CH"/>
        </w:rPr>
        <w:t>Les réseaux nationaux durables de CATI sont des institutions financièrement et techniquement autonomes auxquelles l’OMPI fournit des conseils sur demande.</w:t>
      </w:r>
    </w:p>
    <w:p w14:paraId="430B3AA8" w14:textId="7BB5DAFF" w:rsidR="001E3776" w:rsidRPr="008E3D5F" w:rsidRDefault="001E3776">
      <w:pPr>
        <w:pStyle w:val="FootnoteText"/>
        <w:rPr>
          <w:sz w:val="16"/>
          <w:szCs w:val="16"/>
          <w:lang w:val="fr-CH"/>
        </w:rPr>
      </w:pPr>
      <w:r w:rsidRPr="008E3D5F">
        <w:rPr>
          <w:sz w:val="16"/>
          <w:szCs w:val="16"/>
          <w:lang w:val="fr-CH"/>
        </w:rPr>
        <w:t>La durabilité est mesurée au moyen des niveaux de développement suivants :</w:t>
      </w:r>
    </w:p>
    <w:p w14:paraId="7BD71567" w14:textId="24FF90C3" w:rsidR="001E3776" w:rsidRPr="008E3D5F" w:rsidRDefault="001E3776" w:rsidP="007419D6">
      <w:pPr>
        <w:pStyle w:val="FootnoteText"/>
        <w:tabs>
          <w:tab w:val="left" w:pos="284"/>
        </w:tabs>
        <w:ind w:left="284" w:hanging="284"/>
        <w:rPr>
          <w:sz w:val="16"/>
          <w:szCs w:val="16"/>
          <w:lang w:val="fr-CH"/>
        </w:rPr>
      </w:pPr>
      <w:r w:rsidRPr="008E3D5F">
        <w:rPr>
          <w:sz w:val="16"/>
          <w:szCs w:val="16"/>
          <w:lang w:val="fr-CH"/>
        </w:rPr>
        <w:t xml:space="preserve">- </w:t>
      </w:r>
      <w:r w:rsidRPr="008E3D5F">
        <w:rPr>
          <w:sz w:val="16"/>
          <w:szCs w:val="16"/>
          <w:lang w:val="fr-CH"/>
        </w:rPr>
        <w:tab/>
      </w:r>
      <w:r w:rsidRPr="008E3D5F">
        <w:rPr>
          <w:b/>
          <w:sz w:val="16"/>
          <w:szCs w:val="16"/>
        </w:rPr>
        <w:t>Développement niveau</w:t>
      </w:r>
      <w:r w:rsidRPr="008E3D5F">
        <w:rPr>
          <w:b/>
          <w:sz w:val="16"/>
          <w:szCs w:val="16"/>
          <w:lang w:val="fr-CH"/>
        </w:rPr>
        <w:t> 1</w:t>
      </w:r>
      <w:r w:rsidRPr="008E3D5F">
        <w:rPr>
          <w:sz w:val="16"/>
          <w:szCs w:val="16"/>
          <w:lang w:val="fr-CH"/>
        </w:rPr>
        <w:t xml:space="preserve"> - a) signature d’un accord sur le niveau de services entre l’OMPI et le coordonnateur national;  b) signature d’accords institutionnels entre le coordonnateur national et les institutions hôtes des CATI;  et c) fourniture d’au moins un rapport par an sur les activités des CATI au niveau national;  le niveau de développement 1 est complet lorsque les conditions a, b et c sont remplies.</w:t>
      </w:r>
    </w:p>
    <w:p w14:paraId="055D0AB4" w14:textId="7B615FE7" w:rsidR="001E3776" w:rsidRPr="008E3D5F" w:rsidRDefault="001E3776" w:rsidP="007419D6">
      <w:pPr>
        <w:pStyle w:val="FootnoteText"/>
        <w:tabs>
          <w:tab w:val="left" w:pos="284"/>
        </w:tabs>
        <w:ind w:left="284" w:hanging="284"/>
        <w:rPr>
          <w:sz w:val="16"/>
          <w:szCs w:val="16"/>
          <w:lang w:val="fr-CH"/>
        </w:rPr>
      </w:pPr>
      <w:r w:rsidRPr="008E3D5F">
        <w:rPr>
          <w:sz w:val="16"/>
          <w:szCs w:val="16"/>
          <w:lang w:val="fr-CH"/>
        </w:rPr>
        <w:t xml:space="preserve">- </w:t>
      </w:r>
      <w:r w:rsidRPr="008E3D5F">
        <w:rPr>
          <w:sz w:val="16"/>
          <w:szCs w:val="16"/>
          <w:lang w:val="fr-CH"/>
        </w:rPr>
        <w:tab/>
      </w:r>
      <w:r w:rsidRPr="008E3D5F">
        <w:rPr>
          <w:b/>
          <w:sz w:val="16"/>
          <w:szCs w:val="16"/>
        </w:rPr>
        <w:t>Développement niveau</w:t>
      </w:r>
      <w:r w:rsidRPr="008E3D5F">
        <w:rPr>
          <w:b/>
          <w:sz w:val="16"/>
          <w:szCs w:val="16"/>
          <w:lang w:val="fr-CH"/>
        </w:rPr>
        <w:t xml:space="preserve"> 2</w:t>
      </w:r>
      <w:r w:rsidRPr="008E3D5F">
        <w:rPr>
          <w:sz w:val="16"/>
          <w:szCs w:val="16"/>
          <w:lang w:val="fr-CH"/>
        </w:rPr>
        <w:t xml:space="preserve"> – les normes de niveau 1 ont été satisfaites et des recherches basiques d’information en matière de brevets ont été fournies, telles que par exemple des recherches sur l’état de la technique des brevets;  et </w:t>
      </w:r>
    </w:p>
    <w:p w14:paraId="5D705FA6" w14:textId="61A923AB" w:rsidR="001E3776" w:rsidRPr="008E3D5F" w:rsidRDefault="001E3776" w:rsidP="007419D6">
      <w:pPr>
        <w:pStyle w:val="FootnoteText"/>
        <w:tabs>
          <w:tab w:val="left" w:pos="284"/>
        </w:tabs>
        <w:ind w:left="284" w:hanging="284"/>
        <w:rPr>
          <w:sz w:val="16"/>
          <w:szCs w:val="16"/>
          <w:lang w:val="fr-CH"/>
        </w:rPr>
      </w:pPr>
      <w:r w:rsidRPr="008E3D5F">
        <w:rPr>
          <w:sz w:val="16"/>
          <w:szCs w:val="16"/>
          <w:lang w:val="fr-CH"/>
        </w:rPr>
        <w:t xml:space="preserve">- </w:t>
      </w:r>
      <w:r w:rsidRPr="008E3D5F">
        <w:rPr>
          <w:sz w:val="16"/>
          <w:szCs w:val="16"/>
          <w:lang w:val="fr-CH"/>
        </w:rPr>
        <w:tab/>
      </w:r>
      <w:r w:rsidRPr="008E3D5F">
        <w:rPr>
          <w:b/>
          <w:sz w:val="16"/>
          <w:szCs w:val="16"/>
          <w:lang w:val="fr-CH"/>
        </w:rPr>
        <w:t>Développement niveau 3</w:t>
      </w:r>
      <w:r w:rsidRPr="008E3D5F">
        <w:rPr>
          <w:sz w:val="16"/>
          <w:szCs w:val="16"/>
          <w:lang w:val="fr-CH"/>
        </w:rPr>
        <w:t xml:space="preserve"> – les normes de niveau 2 ont été satisfaites et des services à valeur ajoutée dans le domaine de la propriété intellectuelle ont été fournis, tels que par exemple la rédaction de rapports panoramiques sur les brevets.</w:t>
      </w:r>
    </w:p>
  </w:footnote>
  <w:footnote w:id="62">
    <w:p w14:paraId="3B124F5A" w14:textId="3DCF4680" w:rsidR="001E3776" w:rsidRPr="008E3D5F" w:rsidRDefault="001E3776" w:rsidP="002307FD">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Soutien et conseils en matière de services d’analyse de brevets, de gestion et de commercialisation des actifs de propriété intellectuelle, Programme d’aide aux inventeurs (IAP), l’utilisation et l’identification d’inventions dans le domaine public, les services de règlement des litiges, la rédaction des demandes de brevet.  </w:t>
      </w:r>
    </w:p>
  </w:footnote>
  <w:footnote w:id="63">
    <w:p w14:paraId="487B06B0" w14:textId="77777777" w:rsidR="001E3776" w:rsidRPr="008E3D5F" w:rsidRDefault="001E3776" w:rsidP="00CB2CCA">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64">
    <w:p w14:paraId="32BC635B" w14:textId="38DBFE4D" w:rsidR="001E3776" w:rsidRPr="008E3D5F" w:rsidRDefault="001E3776" w:rsidP="002307FD">
      <w:pPr>
        <w:pStyle w:val="FootnoteText"/>
        <w:rPr>
          <w:sz w:val="16"/>
          <w:szCs w:val="16"/>
          <w:highlight w:val="yellow"/>
        </w:rPr>
      </w:pPr>
      <w:r w:rsidRPr="008E3D5F">
        <w:rPr>
          <w:rStyle w:val="FootnoteReference"/>
          <w:szCs w:val="16"/>
        </w:rPr>
        <w:footnoteRef/>
      </w:r>
      <w:r w:rsidRPr="008E3D5F">
        <w:rPr>
          <w:sz w:val="16"/>
          <w:szCs w:val="16"/>
        </w:rPr>
        <w:t xml:space="preserve"> </w:t>
      </w:r>
      <w:r w:rsidRPr="008E3D5F">
        <w:rPr>
          <w:sz w:val="16"/>
          <w:szCs w:val="16"/>
        </w:rPr>
        <w:tab/>
        <w:t>Rectificatif : à la fin de 2015, 12 bureaux étaient classés dans “Autres” et non 17 comme indiqué dans le rapport sur l’exécution du programme de 2014-2015.</w:t>
      </w:r>
    </w:p>
  </w:footnote>
  <w:footnote w:id="65">
    <w:p w14:paraId="003C7699" w14:textId="3F1988CC" w:rsidR="001E3776" w:rsidRPr="008E3D5F" w:rsidRDefault="001E3776" w:rsidP="002307FD">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Données basées sur les anciens outils et méthodologies statistiques fondés sur le Web.</w:t>
      </w:r>
    </w:p>
  </w:footnote>
  <w:footnote w:id="66">
    <w:p w14:paraId="2A9E8B93" w14:textId="77777777" w:rsidR="001E3776" w:rsidRPr="008E3D5F" w:rsidRDefault="001E3776" w:rsidP="00B2297A">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67">
    <w:p w14:paraId="1F5D3E87" w14:textId="6BC56E13" w:rsidR="001E3776" w:rsidRPr="008E3D5F" w:rsidRDefault="001E3776">
      <w:pPr>
        <w:pStyle w:val="FootnoteText"/>
        <w:rPr>
          <w:sz w:val="16"/>
          <w:szCs w:val="16"/>
          <w:highlight w:val="yellow"/>
          <w:lang w:val="fr-CH"/>
        </w:rPr>
      </w:pPr>
      <w:r w:rsidRPr="008E3D5F">
        <w:rPr>
          <w:rStyle w:val="FootnoteReference"/>
          <w:szCs w:val="16"/>
        </w:rPr>
        <w:footnoteRef/>
      </w:r>
      <w:r w:rsidRPr="008E3D5F">
        <w:rPr>
          <w:sz w:val="16"/>
          <w:szCs w:val="16"/>
        </w:rPr>
        <w:t xml:space="preserve"> </w:t>
      </w:r>
      <w:r w:rsidRPr="008E3D5F">
        <w:rPr>
          <w:sz w:val="16"/>
          <w:szCs w:val="16"/>
        </w:rPr>
        <w:tab/>
        <w:t xml:space="preserve">“Niveaux de référence” et “objectifs visés” à établir à la fin de 2015, une fois que les nouveaux outils et méthodologies statistiques fondés sur le Web auront été testés et confirmés </w:t>
      </w:r>
    </w:p>
  </w:footnote>
  <w:footnote w:id="68">
    <w:p w14:paraId="573484C7" w14:textId="0B2BC6A9" w:rsidR="001E3776" w:rsidRPr="008E3D5F" w:rsidRDefault="001E3776">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t xml:space="preserve">Le nombre de téléchargements de la Revue annuelle du PCT a plus que triplé, atteignant </w:t>
      </w:r>
      <w:r w:rsidRPr="008E3D5F">
        <w:rPr>
          <w:sz w:val="16"/>
          <w:szCs w:val="16"/>
          <w:lang w:val="fr-CH"/>
        </w:rPr>
        <w:t xml:space="preserve">29 921 en 2015.  </w:t>
      </w:r>
      <w:r w:rsidRPr="008E3D5F">
        <w:rPr>
          <w:sz w:val="16"/>
          <w:szCs w:val="16"/>
        </w:rPr>
        <w:t xml:space="preserve">Cette augmentation n’était pas prévue et peut avoir des explications techniques;  toute volatilité similaire au niveau des statistiques de téléchargement sera surveillée.  </w:t>
      </w:r>
    </w:p>
  </w:footnote>
  <w:footnote w:id="69">
    <w:p w14:paraId="14D6A7ED" w14:textId="77777777"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hyperlink r:id="rId18" w:history="1">
        <w:r w:rsidRPr="008E3D5F">
          <w:rPr>
            <w:rStyle w:val="Hyperlink"/>
            <w:sz w:val="16"/>
            <w:szCs w:val="16"/>
          </w:rPr>
          <w:t>http://www.wipo.int/econ_stat/fr/economics/gii/index.html</w:t>
        </w:r>
      </w:hyperlink>
      <w:r w:rsidRPr="008E3D5F">
        <w:rPr>
          <w:sz w:val="16"/>
          <w:szCs w:val="16"/>
        </w:rPr>
        <w:t>.</w:t>
      </w:r>
    </w:p>
  </w:footnote>
  <w:footnote w:id="70">
    <w:p w14:paraId="09F4FC94" w14:textId="2059C080"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Rectificatif : En 2014-2015, il y a eu 48 190 visiteurs uniques et non 50 368 comme indiqué dans le rapport sur l’exécution du programme de 2014-2015.</w:t>
      </w:r>
    </w:p>
  </w:footnote>
  <w:footnote w:id="71">
    <w:p w14:paraId="168A6633" w14:textId="77777777"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hyperlink r:id="rId19" w:history="1">
        <w:r w:rsidRPr="008E3D5F">
          <w:rPr>
            <w:rStyle w:val="Hyperlink"/>
            <w:sz w:val="16"/>
            <w:szCs w:val="16"/>
          </w:rPr>
          <w:t>https://www.globalinnovationindex.org/.</w:t>
        </w:r>
      </w:hyperlink>
    </w:p>
  </w:footnote>
  <w:footnote w:id="72">
    <w:p w14:paraId="567F815A" w14:textId="1B1CBD38" w:rsidR="001E3776" w:rsidRPr="008E3D5F" w:rsidRDefault="001E3776">
      <w:pPr>
        <w:pStyle w:val="FootnoteText"/>
        <w:rPr>
          <w:rStyle w:val="Hyperlink"/>
          <w:color w:val="auto"/>
          <w:sz w:val="16"/>
          <w:szCs w:val="16"/>
        </w:rPr>
      </w:pPr>
      <w:r w:rsidRPr="008E3D5F">
        <w:rPr>
          <w:rStyle w:val="FootnoteReference"/>
          <w:szCs w:val="16"/>
        </w:rPr>
        <w:footnoteRef/>
      </w:r>
      <w:r w:rsidRPr="008E3D5F">
        <w:rPr>
          <w:sz w:val="16"/>
          <w:szCs w:val="16"/>
        </w:rPr>
        <w:t xml:space="preserve"> </w:t>
      </w:r>
      <w:r w:rsidRPr="008E3D5F">
        <w:rPr>
          <w:sz w:val="16"/>
          <w:szCs w:val="16"/>
        </w:rPr>
        <w:tab/>
        <w:t>Rectificatif : En 2014-2015, il y a eu 317 690 visiteurs uniques et non 300 283 comme indiqué dans le rapport sur l’exécution du programme de 2014-2015.</w:t>
      </w:r>
    </w:p>
  </w:footnote>
  <w:footnote w:id="73">
    <w:p w14:paraId="749236D4" w14:textId="77777777" w:rsidR="001E3776" w:rsidRPr="008E3D5F" w:rsidRDefault="001E3776">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r>
      <w:hyperlink r:id="rId20" w:history="1">
        <w:r w:rsidRPr="008E3D5F">
          <w:rPr>
            <w:rStyle w:val="Hyperlink"/>
            <w:sz w:val="16"/>
            <w:szCs w:val="16"/>
            <w:lang w:val="fr-CH"/>
          </w:rPr>
          <w:t>http://www.wipo.int/edocs/pubdocs/fr/wipo_pub_944_2015.pdf</w:t>
        </w:r>
      </w:hyperlink>
      <w:r w:rsidRPr="008E3D5F">
        <w:rPr>
          <w:sz w:val="16"/>
          <w:szCs w:val="16"/>
          <w:lang w:val="fr-CH"/>
        </w:rPr>
        <w:t>.</w:t>
      </w:r>
    </w:p>
  </w:footnote>
  <w:footnote w:id="74">
    <w:p w14:paraId="284E5AC1" w14:textId="0C97BE54" w:rsidR="001E3776" w:rsidRPr="008E3D5F" w:rsidRDefault="001E3776">
      <w:pPr>
        <w:pStyle w:val="FootnoteText"/>
        <w:rPr>
          <w:sz w:val="16"/>
          <w:szCs w:val="16"/>
          <w:lang w:val="fr-CH"/>
        </w:rPr>
      </w:pPr>
    </w:p>
  </w:footnote>
  <w:footnote w:id="75">
    <w:p w14:paraId="60FC5BC7" w14:textId="3F34F0B5" w:rsidR="001E3776" w:rsidRPr="008E3D5F" w:rsidRDefault="001E3776" w:rsidP="002307FD">
      <w:pPr>
        <w:pStyle w:val="FootnoteText"/>
        <w:jc w:val="both"/>
        <w:rPr>
          <w:sz w:val="16"/>
          <w:szCs w:val="16"/>
          <w:highlight w:val="yellow"/>
        </w:rPr>
      </w:pPr>
      <w:r w:rsidRPr="008E3D5F">
        <w:rPr>
          <w:rStyle w:val="FootnoteReference"/>
          <w:szCs w:val="16"/>
        </w:rPr>
        <w:footnoteRef/>
      </w:r>
      <w:r w:rsidRPr="008E3D5F">
        <w:rPr>
          <w:sz w:val="16"/>
          <w:szCs w:val="16"/>
        </w:rPr>
        <w:t xml:space="preserve"> </w:t>
      </w:r>
      <w:r w:rsidRPr="008E3D5F">
        <w:rPr>
          <w:sz w:val="16"/>
          <w:szCs w:val="16"/>
        </w:rPr>
        <w:tab/>
        <w:t>Les collaborations stratégiques englobent des partenariats de nature systématique et à long terme, y compris ceux établis au moyen d’accords de coopération, et portent sur des éléments de la promotion du respect de la propriété intellectuelle.</w:t>
      </w:r>
    </w:p>
  </w:footnote>
  <w:footnote w:id="76">
    <w:p w14:paraId="5ADDF22B"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Rectificatif : le nombre effectif de membres de WIPO </w:t>
      </w:r>
      <w:proofErr w:type="spellStart"/>
      <w:r w:rsidRPr="008E3D5F">
        <w:rPr>
          <w:sz w:val="16"/>
          <w:szCs w:val="16"/>
        </w:rPr>
        <w:t>Re:Search</w:t>
      </w:r>
      <w:proofErr w:type="spellEnd"/>
      <w:r w:rsidRPr="008E3D5F">
        <w:rPr>
          <w:sz w:val="16"/>
          <w:szCs w:val="16"/>
        </w:rPr>
        <w:t xml:space="preserve"> provenant de pays en développement/PMA à la fin de 2015 était de 36 et non de 22, comme indiqué dans le Rapport sur l’exécution du programme en 2014-2015.</w:t>
      </w:r>
    </w:p>
  </w:footnote>
  <w:footnote w:id="77">
    <w:p w14:paraId="0FA03B88"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Rectificatif : la page Web Santé mondiale et propriété intellectuelle a été consultée 9233 fois et non 31 800 fois, comme indiqué dans le Rapport sur l’exécution du programme en 2014-2015.</w:t>
      </w:r>
    </w:p>
  </w:footnote>
  <w:footnote w:id="78">
    <w:p w14:paraId="11189711"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 nombre de téléchargements correspondant au quatrième trimestre de 2016 a été extrapolé à partir des données de janvier à septembre 2016.  En septembre 2016, l’outil de statistique en ligne a été amélioré pour en optimiser la stabilité, rendant impossible le suivi des données au dernier trimestre de 2016.</w:t>
      </w:r>
    </w:p>
  </w:footnote>
  <w:footnote w:id="79">
    <w:p w14:paraId="776825AA"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L’objectif de 23% se fonde sur la moyenne sectorielle calculée par la plateforme de marketing par courrier électronique </w:t>
      </w:r>
      <w:proofErr w:type="spellStart"/>
      <w:r w:rsidRPr="008E3D5F">
        <w:rPr>
          <w:sz w:val="16"/>
          <w:szCs w:val="16"/>
        </w:rPr>
        <w:t>MailChimp</w:t>
      </w:r>
      <w:proofErr w:type="spellEnd"/>
      <w:r w:rsidRPr="008E3D5F">
        <w:rPr>
          <w:sz w:val="16"/>
          <w:szCs w:val="16"/>
        </w:rPr>
        <w:t>.</w:t>
      </w:r>
    </w:p>
  </w:footnote>
  <w:footnote w:id="80">
    <w:p w14:paraId="7179D754"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sz w:val="16"/>
          <w:szCs w:val="16"/>
        </w:rPr>
        <w:t>Twitter a remplacé la fonction/touche “favori” par la mention “j’aime” à la fin de 2015.</w:t>
      </w:r>
    </w:p>
  </w:footnote>
  <w:footnote w:id="81">
    <w:p w14:paraId="7E3C870A" w14:textId="77777777" w:rsidR="001E3776" w:rsidRPr="008E3D5F" w:rsidRDefault="001E3776" w:rsidP="00DF39AB">
      <w:pPr>
        <w:pStyle w:val="FootnoteText"/>
        <w:rPr>
          <w:sz w:val="16"/>
          <w:szCs w:val="16"/>
          <w:highlight w:val="yellow"/>
        </w:rPr>
      </w:pPr>
      <w:r w:rsidRPr="008E3D5F">
        <w:rPr>
          <w:rStyle w:val="FootnoteReference"/>
          <w:szCs w:val="16"/>
        </w:rPr>
        <w:footnoteRef/>
      </w:r>
      <w:r w:rsidRPr="008E3D5F">
        <w:rPr>
          <w:sz w:val="16"/>
          <w:szCs w:val="16"/>
        </w:rPr>
        <w:t xml:space="preserve"> </w:t>
      </w:r>
      <w:r w:rsidRPr="008E3D5F">
        <w:rPr>
          <w:sz w:val="16"/>
          <w:szCs w:val="16"/>
        </w:rPr>
        <w:tab/>
        <w:t>Une nouvelle méthode de mesure du degré de satisfaction des clients a été introduite en 2016, qui ne permet pas d’établir une comparaison avec les objectifs définis dans le programme et budget pour 2016-2017.</w:t>
      </w:r>
    </w:p>
  </w:footnote>
  <w:footnote w:id="82">
    <w:p w14:paraId="68F3113F" w14:textId="77777777" w:rsidR="001E3776" w:rsidRPr="008E3D5F" w:rsidRDefault="001E3776" w:rsidP="00BC78D9">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sz w:val="16"/>
          <w:szCs w:val="16"/>
        </w:rPr>
        <w:t>Les données relatives à la dernière année pour cet indicateur d’exécution sont des estimations au moment de la publication annuelle du rapport sur l’exécution du programme chaque année;  les chiffres sont actualisés par le Centre de données statistiques de propriété intellectuelle de l’OMPI au fil du temps et des niveaux de référence actualisés font donc souvent apparaître des différences mineures par rapport aux données figurant dans le Rapport sur l’exécution du programme en 2014</w:t>
      </w:r>
      <w:r w:rsidRPr="008E3D5F">
        <w:rPr>
          <w:color w:val="000000"/>
          <w:sz w:val="16"/>
          <w:szCs w:val="16"/>
        </w:rPr>
        <w:noBreakHyphen/>
        <w:t xml:space="preserve">2015.  </w:t>
      </w:r>
    </w:p>
  </w:footnote>
  <w:footnote w:id="83">
    <w:p w14:paraId="4FE9831D" w14:textId="77777777" w:rsidR="001E3776" w:rsidRPr="008E3D5F" w:rsidRDefault="001E3776" w:rsidP="00BC78D9">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sz w:val="16"/>
          <w:szCs w:val="16"/>
        </w:rPr>
        <w:t>Bien que l’entrée en vigueur soit intervenue en 2016, l’instrument d’adhésion de la République démocratique populaire lao a été déposé auprès de l’OMPI en décembre 2015.  Il figurait dans le Rapport sur l’exécution du programme en 2014</w:t>
      </w:r>
      <w:r w:rsidRPr="008E3D5F">
        <w:rPr>
          <w:color w:val="000000"/>
          <w:sz w:val="16"/>
          <w:szCs w:val="16"/>
        </w:rPr>
        <w:noBreakHyphen/>
        <w:t>2015 et il apparaît donc ici dans le niveau de référence actualisé.</w:t>
      </w:r>
    </w:p>
  </w:footnote>
  <w:footnote w:id="84">
    <w:p w14:paraId="4C57D896" w14:textId="77777777" w:rsidR="001E3776" w:rsidRPr="008E3D5F" w:rsidRDefault="001E3776" w:rsidP="00BC78D9">
      <w:pPr>
        <w:autoSpaceDE w:val="0"/>
        <w:autoSpaceDN w:val="0"/>
        <w:adjustRightInd w:val="0"/>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Les CATI durables sont des institutions financièrement et techniquement autonomes auxquelles l’OMPI fournit des conseils sur demande.  La durabilité est évaluée par les niveaux de développement suivants : </w:t>
      </w:r>
    </w:p>
    <w:p w14:paraId="611CBF4B" w14:textId="77777777" w:rsidR="001E3776" w:rsidRPr="008E3D5F" w:rsidRDefault="001E3776" w:rsidP="00BC78D9">
      <w:pPr>
        <w:pStyle w:val="FootnoteText"/>
        <w:numPr>
          <w:ilvl w:val="0"/>
          <w:numId w:val="100"/>
        </w:numPr>
        <w:ind w:left="284" w:hanging="284"/>
        <w:rPr>
          <w:sz w:val="16"/>
          <w:szCs w:val="16"/>
        </w:rPr>
      </w:pPr>
      <w:r w:rsidRPr="008E3D5F">
        <w:rPr>
          <w:b/>
          <w:sz w:val="16"/>
          <w:szCs w:val="16"/>
        </w:rPr>
        <w:t xml:space="preserve">Développement niveau 1 – </w:t>
      </w:r>
      <w:r w:rsidRPr="008E3D5F">
        <w:rPr>
          <w:sz w:val="16"/>
          <w:szCs w:val="16"/>
        </w:rPr>
        <w:t xml:space="preserve">a) Signature d’un accord de niveau de services entre l’OMPI et le coordonnateur national;  b) signature d’accords institutionnels entre le coordonnateur national et les institutions hôtes des CATI;  et c) remise d’au moins un rapport annuel sur les activités du CATI au niveau national;  </w:t>
      </w:r>
    </w:p>
    <w:p w14:paraId="26E3810E" w14:textId="77777777" w:rsidR="001E3776" w:rsidRPr="008E3D5F" w:rsidRDefault="001E3776" w:rsidP="00BC78D9">
      <w:pPr>
        <w:pStyle w:val="FootnoteText"/>
        <w:numPr>
          <w:ilvl w:val="0"/>
          <w:numId w:val="100"/>
        </w:numPr>
        <w:ind w:left="284" w:hanging="284"/>
        <w:rPr>
          <w:sz w:val="16"/>
          <w:szCs w:val="16"/>
        </w:rPr>
      </w:pPr>
      <w:r w:rsidRPr="008E3D5F">
        <w:rPr>
          <w:b/>
          <w:sz w:val="16"/>
          <w:szCs w:val="16"/>
        </w:rPr>
        <w:t>Développement niveau 2</w:t>
      </w:r>
      <w:r w:rsidRPr="008E3D5F">
        <w:rPr>
          <w:sz w:val="16"/>
          <w:szCs w:val="16"/>
        </w:rPr>
        <w:t xml:space="preserve"> – Les conditions du développement niveau 1 sont remplies et des recherches sur les informations essentielles en matière de brevets sont faites, par exemple des recherches sur l’état de la technique en matière de brevets;  et</w:t>
      </w:r>
    </w:p>
    <w:p w14:paraId="00DAC3A4" w14:textId="77777777" w:rsidR="001E3776" w:rsidRPr="008E3D5F" w:rsidRDefault="001E3776" w:rsidP="00BC78D9">
      <w:pPr>
        <w:pStyle w:val="FootnoteText"/>
        <w:numPr>
          <w:ilvl w:val="0"/>
          <w:numId w:val="100"/>
        </w:numPr>
        <w:ind w:left="284" w:hanging="284"/>
        <w:rPr>
          <w:sz w:val="16"/>
          <w:szCs w:val="16"/>
        </w:rPr>
      </w:pPr>
      <w:r w:rsidRPr="008E3D5F">
        <w:rPr>
          <w:b/>
          <w:sz w:val="16"/>
          <w:szCs w:val="16"/>
        </w:rPr>
        <w:t xml:space="preserve">Développement niveau 3 – </w:t>
      </w:r>
      <w:r w:rsidRPr="008E3D5F">
        <w:rPr>
          <w:sz w:val="16"/>
          <w:szCs w:val="16"/>
        </w:rPr>
        <w:t>Les conditions du développement niveau 2 sont remplies et des services de propriété intellectuelle à valeur ajoutée sont fournis, par exemple la rédaction de rapports panoramiques sur les brevets.</w:t>
      </w:r>
    </w:p>
  </w:footnote>
  <w:footnote w:id="85">
    <w:p w14:paraId="5B998333" w14:textId="77777777" w:rsidR="001E3776" w:rsidRPr="008E3D5F" w:rsidRDefault="001E3776" w:rsidP="00394CA8">
      <w:pPr>
        <w:pStyle w:val="FootnoteText"/>
        <w:rPr>
          <w:sz w:val="16"/>
          <w:szCs w:val="16"/>
        </w:rPr>
      </w:pPr>
      <w:r w:rsidRPr="008E3D5F">
        <w:rPr>
          <w:rStyle w:val="FootnoteReference"/>
          <w:rFonts w:eastAsia="SimSun"/>
          <w:szCs w:val="16"/>
        </w:rPr>
        <w:footnoteRef/>
      </w:r>
      <w:r w:rsidRPr="008E3D5F">
        <w:rPr>
          <w:sz w:val="16"/>
          <w:szCs w:val="16"/>
        </w:rPr>
        <w:t xml:space="preserve"> </w:t>
      </w:r>
      <w:r w:rsidRPr="008E3D5F">
        <w:rPr>
          <w:sz w:val="16"/>
          <w:szCs w:val="16"/>
        </w:rPr>
        <w:tab/>
        <w:t>Exceptionnellement, l’indicateur d’exécution d’origine “Pourcentage de demandes d’assistance en matière de sûreté et de sécurité reçues dans les délais pour des conférences ou des manifestations organisées à Genève ou hors de Genève” a été modifié, afin de tenir compte plus précisément de la substance des éléments évalués, à savoir le pourcentage de conférences et de manifestations pour lesquelles la sécurité est assurée, plutôt que les demandes reçues dans les délais.</w:t>
      </w:r>
    </w:p>
  </w:footnote>
  <w:footnote w:id="86">
    <w:p w14:paraId="4C59CDF0" w14:textId="6C7E1EF3" w:rsidR="001E3776" w:rsidRPr="008E3D5F" w:rsidRDefault="001E3776" w:rsidP="002307FD">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L’échelle et les notes sont basées sur les résultats de l’évaluation de l’ensemble du système de gestion axée sur les résultats mené</w:t>
      </w:r>
      <w:r>
        <w:rPr>
          <w:sz w:val="16"/>
          <w:szCs w:val="16"/>
        </w:rPr>
        <w:t>e</w:t>
      </w:r>
      <w:r w:rsidRPr="008E3D5F">
        <w:rPr>
          <w:sz w:val="16"/>
          <w:szCs w:val="16"/>
        </w:rPr>
        <w:t xml:space="preserve"> en 2015 par le Corps commun d’inspection des Nations Unies.  Le rapport n’a pas encore été publié.  Échelle de notation : Niveau 1 - Pas encore commencé;  Niveau 2 - Exploration pour l’intégration;  Niveau 3 - En cours d’intégration;  Niveau 4 - Entièrement intégré et formation continue pour perfectionnement ou ajustement;  Niveau 5 - Évaluation et renouvellement.</w:t>
      </w:r>
    </w:p>
  </w:footnote>
  <w:footnote w:id="87">
    <w:p w14:paraId="2C3E5890" w14:textId="262FE521" w:rsidR="001E3776" w:rsidRPr="008E3D5F" w:rsidRDefault="001E3776">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Politique révisée en matière de placements : </w:t>
      </w:r>
      <w:hyperlink r:id="rId21" w:history="1">
        <w:r w:rsidRPr="008E3D5F">
          <w:rPr>
            <w:rStyle w:val="Hyperlink"/>
            <w:sz w:val="16"/>
            <w:szCs w:val="16"/>
          </w:rPr>
          <w:t>WO/PBC/24/10</w:t>
        </w:r>
      </w:hyperlink>
      <w:r w:rsidRPr="008E3D5F">
        <w:rPr>
          <w:sz w:val="16"/>
          <w:szCs w:val="16"/>
        </w:rPr>
        <w:t>.</w:t>
      </w:r>
    </w:p>
  </w:footnote>
  <w:footnote w:id="88">
    <w:p w14:paraId="3C1518CD" w14:textId="77777777" w:rsidR="001E3776" w:rsidRPr="008E3D5F" w:rsidRDefault="001E3776" w:rsidP="00F96912">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Rectificatif : le pourcentage des requêtes traitées dans les 5 jours ouvrables avait été annoncé à 100% dans le rapport sur l’exécution du programme en 2014</w:t>
      </w:r>
      <w:r w:rsidRPr="008E3D5F">
        <w:rPr>
          <w:sz w:val="16"/>
          <w:szCs w:val="16"/>
        </w:rPr>
        <w:noBreakHyphen/>
        <w:t>2015 sous un autre indicateur d’exécution.</w:t>
      </w:r>
    </w:p>
  </w:footnote>
  <w:footnote w:id="89">
    <w:p w14:paraId="1065387B" w14:textId="77777777" w:rsidR="001E3776" w:rsidRPr="008E3D5F" w:rsidRDefault="001E3776" w:rsidP="00F96912">
      <w:pPr>
        <w:pStyle w:val="FootnoteText"/>
        <w:rPr>
          <w:sz w:val="16"/>
          <w:szCs w:val="16"/>
        </w:rPr>
      </w:pPr>
      <w:r w:rsidRPr="008E3D5F">
        <w:rPr>
          <w:rStyle w:val="FootnoteReference"/>
          <w:rFonts w:cs="Arial"/>
          <w:szCs w:val="16"/>
        </w:rPr>
        <w:footnoteRef/>
      </w:r>
      <w:r w:rsidRPr="008E3D5F">
        <w:rPr>
          <w:sz w:val="16"/>
          <w:szCs w:val="16"/>
        </w:rPr>
        <w:t xml:space="preserve"> </w:t>
      </w:r>
      <w:r w:rsidRPr="008E3D5F">
        <w:rPr>
          <w:sz w:val="16"/>
          <w:szCs w:val="16"/>
        </w:rPr>
        <w:tab/>
        <w:t>Rectificatif : le pourcentage était de 94,7% en 2015, et non de 92,8% comme indiqué dans le rapport sur l’exécution du programme en 2014</w:t>
      </w:r>
      <w:r w:rsidRPr="008E3D5F">
        <w:rPr>
          <w:sz w:val="16"/>
          <w:szCs w:val="16"/>
        </w:rPr>
        <w:noBreakHyphen/>
        <w:t>2015.</w:t>
      </w:r>
    </w:p>
  </w:footnote>
  <w:footnote w:id="90">
    <w:p w14:paraId="16348F84" w14:textId="77777777" w:rsidR="001E3776" w:rsidRPr="008E3D5F" w:rsidRDefault="001E3776" w:rsidP="00F96912">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r>
      <w:r w:rsidRPr="008E3D5F">
        <w:rPr>
          <w:sz w:val="16"/>
          <w:szCs w:val="16"/>
          <w:lang w:val="fr-CH"/>
        </w:rPr>
        <w:t>Uniquement les postes d’administrateurs et des catégories supérieures concernés par la répartition géographique.</w:t>
      </w:r>
    </w:p>
  </w:footnote>
  <w:footnote w:id="91">
    <w:p w14:paraId="4A104B2A" w14:textId="3D76325C" w:rsidR="001E3776" w:rsidRPr="008E3D5F" w:rsidRDefault="001E3776" w:rsidP="006A627E">
      <w:pPr>
        <w:rPr>
          <w:sz w:val="16"/>
          <w:szCs w:val="16"/>
        </w:rPr>
      </w:pPr>
      <w:r w:rsidRPr="008E3D5F">
        <w:rPr>
          <w:rStyle w:val="FootnoteReference"/>
          <w:szCs w:val="16"/>
        </w:rPr>
        <w:footnoteRef/>
      </w:r>
      <w:r w:rsidRPr="008E3D5F">
        <w:rPr>
          <w:sz w:val="16"/>
          <w:szCs w:val="16"/>
        </w:rPr>
        <w:t xml:space="preserve"> </w:t>
      </w:r>
      <w:r w:rsidRPr="008E3D5F">
        <w:rPr>
          <w:sz w:val="16"/>
          <w:szCs w:val="16"/>
        </w:rPr>
        <w:tab/>
        <w:t>L’échelle et les notes sont basées sur l’évaluation de l’ensemble du système de gestion axée sur les résultats mené</w:t>
      </w:r>
      <w:r>
        <w:rPr>
          <w:sz w:val="16"/>
          <w:szCs w:val="16"/>
        </w:rPr>
        <w:t>e</w:t>
      </w:r>
      <w:r w:rsidRPr="008E3D5F">
        <w:rPr>
          <w:sz w:val="16"/>
          <w:szCs w:val="16"/>
        </w:rPr>
        <w:t xml:space="preserve"> par le Corps commun d’inspection des Nations Unies.  Le rapport n’a pas encore été publié.  Échelle de notation : Niveau 1 - Pas encore commencé;  Niveau 2 - Exploration pour l’intégration;  Niveau 3 - En cours d’intégration;  Niveau 4 - Entièrement intégré et formation continue pour perfectionnement ou ajustement;  Niveau 5 - Évaluation et renouvellement.</w:t>
      </w:r>
    </w:p>
  </w:footnote>
  <w:footnote w:id="92">
    <w:p w14:paraId="797283B5"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2015 a engendré des économies exceptionnellement importantes;  la performance plus représentative des données de 2014 est utilisée comme objectif.</w:t>
      </w:r>
    </w:p>
  </w:footnote>
  <w:footnote w:id="93">
    <w:p w14:paraId="35471A9C" w14:textId="03D491EA" w:rsidR="001E3776" w:rsidRPr="008E3D5F" w:rsidRDefault="001E3776" w:rsidP="002D5783">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proofErr w:type="spellStart"/>
      <w:r w:rsidRPr="008E3D5F">
        <w:rPr>
          <w:sz w:val="16"/>
          <w:szCs w:val="16"/>
        </w:rPr>
        <w:t>Travel</w:t>
      </w:r>
      <w:proofErr w:type="spellEnd"/>
      <w:r w:rsidRPr="008E3D5F">
        <w:rPr>
          <w:sz w:val="16"/>
          <w:szCs w:val="16"/>
        </w:rPr>
        <w:t xml:space="preserve"> Management </w:t>
      </w:r>
      <w:proofErr w:type="spellStart"/>
      <w:r w:rsidRPr="008E3D5F">
        <w:rPr>
          <w:sz w:val="16"/>
          <w:szCs w:val="16"/>
        </w:rPr>
        <w:t>Company</w:t>
      </w:r>
      <w:proofErr w:type="spellEnd"/>
    </w:p>
  </w:footnote>
  <w:footnote w:id="94">
    <w:p w14:paraId="39339EE8"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Vérification ou inventaire annuel</w:t>
      </w:r>
    </w:p>
  </w:footnote>
  <w:footnote w:id="95">
    <w:p w14:paraId="0C63F031"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96">
    <w:p w14:paraId="71024D55"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Vérification ou inventaire biennal</w:t>
      </w:r>
    </w:p>
  </w:footnote>
  <w:footnote w:id="97">
    <w:p w14:paraId="005DA54D"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sz w:val="16"/>
          <w:szCs w:val="16"/>
        </w:rPr>
        <w:t>Pour les voyages et les bâtiments, émissions mesurées à la fin d’une année donnée, et validées en octobre 2016 par le PNUE (la référence est le rapport 2016 “Du bleu au vert” publié par le PNUE).  Les chiffres relatifs aux bâtiments comprennent tous les bâtiments du siège, les bâtiments loués à Genève et les bureaux extérieurs de l’OMPI (par le biais d’une formule pour ces derniers).</w:t>
      </w:r>
    </w:p>
  </w:footnote>
  <w:footnote w:id="98">
    <w:p w14:paraId="239B3259"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sz w:val="16"/>
          <w:szCs w:val="16"/>
        </w:rPr>
        <w:t>L’OMPI reçoit le décompte final des émissions annuelles validé par le Programme des Nations Unies pour l’environnement (PNUE) en octobre de l’année suivante.</w:t>
      </w:r>
    </w:p>
  </w:footnote>
  <w:footnote w:id="99">
    <w:p w14:paraId="13E73CBB"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100">
    <w:p w14:paraId="29117CDF" w14:textId="77777777" w:rsidR="001E3776" w:rsidRPr="008E3D5F" w:rsidRDefault="001E3776" w:rsidP="00F96912">
      <w:pPr>
        <w:rPr>
          <w:sz w:val="16"/>
          <w:szCs w:val="16"/>
        </w:rPr>
      </w:pPr>
      <w:r w:rsidRPr="008E3D5F">
        <w:rPr>
          <w:rStyle w:val="FootnoteReference"/>
          <w:szCs w:val="16"/>
        </w:rPr>
        <w:footnoteRef/>
      </w:r>
      <w:r w:rsidRPr="008E3D5F">
        <w:rPr>
          <w:sz w:val="16"/>
          <w:szCs w:val="16"/>
        </w:rPr>
        <w:t xml:space="preserve"> </w:t>
      </w:r>
      <w:r w:rsidRPr="008E3D5F">
        <w:rPr>
          <w:sz w:val="16"/>
          <w:szCs w:val="16"/>
        </w:rPr>
        <w:tab/>
        <w:t>Coûts unitaires en dollars É.-U.  : serveurs (422 dollars É.-U./mois), stockage (239 dollars É.-U./mois), sauvegarde (257 dollars É.-U./mois);  les montants en francs suisses sont fondés sur le taux de change opérationnel moyen des Nations Unies USD/CHF de 0,98 utilisé pour les paiements 2015 à l’UNICC.</w:t>
      </w:r>
    </w:p>
  </w:footnote>
  <w:footnote w:id="101">
    <w:p w14:paraId="1EF02D90"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Rectificatif : le pourcentage d’utilisateurs pleinement satisfaits en 2015 était de 63,8% et non de 70,5%, comme indiqué dans le Rapport sur l’exécution du programme en 2014-2015.</w:t>
      </w:r>
    </w:p>
  </w:footnote>
  <w:footnote w:id="102">
    <w:p w14:paraId="3D4E2789"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Rapport annuel du directeur de la Division de la supervision interne (DSI)</w:t>
      </w:r>
      <w:r w:rsidRPr="008E3D5F">
        <w:rPr>
          <w:color w:val="000000"/>
          <w:sz w:val="16"/>
          <w:szCs w:val="16"/>
        </w:rPr>
        <w:t xml:space="preserve"> : </w:t>
      </w:r>
      <w:hyperlink r:id="rId22" w:history="1">
        <w:r w:rsidRPr="008E3D5F">
          <w:rPr>
            <w:rStyle w:val="Hyperlink"/>
            <w:sz w:val="16"/>
            <w:szCs w:val="16"/>
          </w:rPr>
          <w:t>WO/PBC/24/6</w:t>
        </w:r>
      </w:hyperlink>
      <w:r w:rsidRPr="008E3D5F">
        <w:rPr>
          <w:color w:val="000000"/>
          <w:sz w:val="16"/>
          <w:szCs w:val="16"/>
        </w:rPr>
        <w:t>.</w:t>
      </w:r>
    </w:p>
  </w:footnote>
  <w:footnote w:id="103">
    <w:p w14:paraId="7A4F905A"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Rapport annuel du directeur de la Division de la supervision interne (DSI)</w:t>
      </w:r>
      <w:r w:rsidRPr="008E3D5F">
        <w:rPr>
          <w:color w:val="000000"/>
          <w:sz w:val="16"/>
          <w:szCs w:val="16"/>
        </w:rPr>
        <w:t> :</w:t>
      </w:r>
      <w:r w:rsidRPr="008E3D5F">
        <w:rPr>
          <w:sz w:val="16"/>
          <w:szCs w:val="16"/>
        </w:rPr>
        <w:t xml:space="preserve"> </w:t>
      </w:r>
      <w:hyperlink r:id="rId23" w:history="1">
        <w:r w:rsidRPr="008E3D5F">
          <w:rPr>
            <w:rStyle w:val="Hyperlink"/>
            <w:sz w:val="16"/>
            <w:szCs w:val="16"/>
          </w:rPr>
          <w:t>WO/PBC/25/5</w:t>
        </w:r>
      </w:hyperlink>
      <w:r w:rsidRPr="008E3D5F">
        <w:rPr>
          <w:color w:val="000000"/>
          <w:sz w:val="16"/>
          <w:szCs w:val="16"/>
        </w:rPr>
        <w:t>.</w:t>
      </w:r>
    </w:p>
  </w:footnote>
  <w:footnote w:id="104">
    <w:p w14:paraId="404D0A84" w14:textId="7B01C2F0" w:rsidR="001E3776" w:rsidRPr="008E3D5F" w:rsidRDefault="001E3776" w:rsidP="00403B3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r>
      <w:r>
        <w:rPr>
          <w:sz w:val="16"/>
          <w:szCs w:val="16"/>
        </w:rPr>
        <w:t xml:space="preserve">La complexité des campagnes d’hameçonnage s’est accrue en 2016 par rapport à 2015 pour refléter l’évolution </w:t>
      </w:r>
      <w:proofErr w:type="spellStart"/>
      <w:r>
        <w:rPr>
          <w:sz w:val="16"/>
          <w:szCs w:val="16"/>
        </w:rPr>
        <w:t>conatnate</w:t>
      </w:r>
      <w:proofErr w:type="spellEnd"/>
      <w:r>
        <w:rPr>
          <w:sz w:val="16"/>
          <w:szCs w:val="16"/>
        </w:rPr>
        <w:t xml:space="preserve"> de la menace.  Le nombre d’utilisateurs détectant et signalant les messages d’hameçonnage est passé de 26% en 2015 à 46% en 2016.</w:t>
      </w:r>
    </w:p>
  </w:footnote>
  <w:footnote w:id="105">
    <w:p w14:paraId="5961C7E0" w14:textId="77777777" w:rsidR="001E3776" w:rsidRPr="008E3D5F" w:rsidRDefault="001E3776" w:rsidP="00F969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À titre exceptionnel, l’indicateur d’exécution initial “Pourcentage d</w:t>
      </w:r>
      <w:r w:rsidRPr="008E3D5F">
        <w:rPr>
          <w:color w:val="000000"/>
          <w:sz w:val="16"/>
          <w:szCs w:val="16"/>
        </w:rPr>
        <w:t xml:space="preserve">e demandes d’assistance en matière de sécurité reçues dans les délais pour des conférences ou des manifestations organisées à Genève ou à l’extérieur” </w:t>
      </w:r>
      <w:r w:rsidRPr="008E3D5F">
        <w:rPr>
          <w:sz w:val="16"/>
          <w:szCs w:val="16"/>
        </w:rPr>
        <w:t>a été modifié afin de mieux refléter la teneur de ce qui est mesuré, c’est-à-dire le pourcentage de conférences et d’événements qui ont bénéficié d’une assistance plutôt que la présentation dans les délais de la demande d’assistance.</w:t>
      </w:r>
    </w:p>
  </w:footnote>
  <w:footnote w:id="106">
    <w:p w14:paraId="37640488" w14:textId="1E735437" w:rsidR="001E3776" w:rsidRPr="008E3D5F" w:rsidRDefault="001E3776" w:rsidP="00A27921">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 xml:space="preserve">Conformément au rapport de validation établi par la Division de la supervision interne concernant le rapport sur l’exécution du programme en 2014-2015 : </w:t>
      </w:r>
      <w:hyperlink r:id="rId24" w:history="1">
        <w:r w:rsidRPr="008E3D5F">
          <w:rPr>
            <w:rStyle w:val="Hyperlink"/>
            <w:sz w:val="16"/>
            <w:szCs w:val="16"/>
          </w:rPr>
          <w:t>http://www.wipo.int/meetings/fr/doc_details.jsp?doc_id=343158</w:t>
        </w:r>
      </w:hyperlink>
      <w:r w:rsidRPr="008E3D5F">
        <w:rPr>
          <w:sz w:val="16"/>
          <w:szCs w:val="16"/>
        </w:rPr>
        <w:t xml:space="preserve">. </w:t>
      </w:r>
    </w:p>
  </w:footnote>
  <w:footnote w:id="107">
    <w:p w14:paraId="130E94CC" w14:textId="77777777" w:rsidR="001E3776" w:rsidRPr="008E3D5F" w:rsidRDefault="001E3776" w:rsidP="00A27921">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Suite à la procédure de définition et d’actualisation des niveaux de référence et des objectifs lancée à la mi-2016.</w:t>
      </w:r>
    </w:p>
  </w:footnote>
  <w:footnote w:id="108">
    <w:p w14:paraId="316F2336" w14:textId="77777777" w:rsidR="001E3776" w:rsidRPr="008E3D5F" w:rsidRDefault="001E3776" w:rsidP="00A27921">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Ibid.</w:t>
      </w:r>
    </w:p>
  </w:footnote>
  <w:footnote w:id="109">
    <w:p w14:paraId="0FA6A4F0" w14:textId="77777777" w:rsidR="001E3776" w:rsidRPr="008E3D5F" w:rsidRDefault="001E3776" w:rsidP="00A27921">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objectifs qui n’avaient pas été définis au cours de cette procédure restent indéfinis et les données relatives à l’exécution sont par conséquent indiquées comme “non évaluables”.</w:t>
      </w:r>
    </w:p>
  </w:footnote>
  <w:footnote w:id="110">
    <w:p w14:paraId="02202259" w14:textId="77777777" w:rsidR="001E3776" w:rsidRPr="008E3D5F" w:rsidRDefault="001E3776" w:rsidP="00767EC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Lancé en 2015.</w:t>
      </w:r>
    </w:p>
  </w:footnote>
  <w:footnote w:id="111">
    <w:p w14:paraId="25D26755" w14:textId="77777777" w:rsidR="001E3776" w:rsidRPr="008E3D5F" w:rsidRDefault="001E3776" w:rsidP="00767EC2">
      <w:pPr>
        <w:pStyle w:val="FootnoteText"/>
        <w:rPr>
          <w:sz w:val="16"/>
          <w:szCs w:val="16"/>
          <w:lang w:val="fr-CH"/>
        </w:rPr>
      </w:pPr>
      <w:r w:rsidRPr="008E3D5F">
        <w:rPr>
          <w:rStyle w:val="FootnoteReference"/>
          <w:szCs w:val="16"/>
        </w:rPr>
        <w:footnoteRef/>
      </w:r>
      <w:r w:rsidRPr="008E3D5F">
        <w:rPr>
          <w:sz w:val="16"/>
          <w:szCs w:val="16"/>
        </w:rPr>
        <w:t xml:space="preserve"> </w:t>
      </w:r>
      <w:r w:rsidRPr="008E3D5F">
        <w:rPr>
          <w:sz w:val="16"/>
          <w:szCs w:val="16"/>
        </w:rPr>
        <w:tab/>
        <w:t>L</w:t>
      </w:r>
      <w:proofErr w:type="spellStart"/>
      <w:r w:rsidRPr="008E3D5F">
        <w:rPr>
          <w:sz w:val="16"/>
          <w:szCs w:val="16"/>
          <w:lang w:val="fr-CH"/>
        </w:rPr>
        <w:t>ancé</w:t>
      </w:r>
      <w:proofErr w:type="spellEnd"/>
      <w:r w:rsidRPr="008E3D5F">
        <w:rPr>
          <w:sz w:val="16"/>
          <w:szCs w:val="16"/>
          <w:lang w:val="fr-CH"/>
        </w:rPr>
        <w:t xml:space="preserve"> en avril 2015.</w:t>
      </w:r>
    </w:p>
  </w:footnote>
  <w:footnote w:id="112">
    <w:p w14:paraId="13D2E7CC" w14:textId="77777777" w:rsidR="001E3776" w:rsidRPr="008E3D5F" w:rsidRDefault="001E3776" w:rsidP="00767EC2">
      <w:pPr>
        <w:pStyle w:val="FootnoteText"/>
        <w:rPr>
          <w:color w:val="000000" w:themeColor="text1"/>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themeColor="text1"/>
          <w:sz w:val="16"/>
          <w:szCs w:val="16"/>
        </w:rPr>
        <w:t>Système d’appui à la gestion des recherches et à l’examen des demandes de brevet pour l’Amérique centrale et la République dominicaine.</w:t>
      </w:r>
    </w:p>
  </w:footnote>
  <w:footnote w:id="113">
    <w:p w14:paraId="6FC51839"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http://www.wipo.int/edocs/mdocs/govbody/fr/a_51/a_51_16.pdf.</w:t>
      </w:r>
    </w:p>
  </w:footnote>
  <w:footnote w:id="114">
    <w:p w14:paraId="773F260F"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http://www.wipo.int/edocs/mdocs/govbody/fr/wo_pbc_22/wo_pbc_22_21.pdf.</w:t>
      </w:r>
    </w:p>
  </w:footnote>
  <w:footnote w:id="115">
    <w:p w14:paraId="4CA4081B"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chiffres étant arrondis, les totaux ne correspondent pas nécessairement à la somme de leurs composantes.</w:t>
      </w:r>
    </w:p>
  </w:footnote>
  <w:footnote w:id="116">
    <w:p w14:paraId="4BD7DAFC" w14:textId="77777777" w:rsidR="001E3776" w:rsidRPr="008E3D5F" w:rsidRDefault="001E3776" w:rsidP="00FD57F2">
      <w:pPr>
        <w:pStyle w:val="FootnoteText"/>
        <w:rPr>
          <w:color w:val="000000" w:themeColor="text1"/>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themeColor="text1"/>
          <w:sz w:val="16"/>
          <w:szCs w:val="16"/>
        </w:rPr>
        <w:t>À la suite de la désignation du fournisseur, l’ordre de mise en œuvre a été modifié.</w:t>
      </w:r>
    </w:p>
  </w:footnote>
  <w:footnote w:id="117">
    <w:p w14:paraId="32F8D3F5"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chiffres étant arrondis, les totaux ne correspondent pas nécessairement à la somme de leurs composantes.</w:t>
      </w:r>
    </w:p>
  </w:footnote>
  <w:footnote w:id="118">
    <w:p w14:paraId="0EE832C0" w14:textId="77777777" w:rsidR="001E3776" w:rsidRPr="008E3D5F" w:rsidRDefault="001E3776" w:rsidP="00FF051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chiffres étant arrondis, les totaux ne correspondent pas nécessairement à la somme de leurs composantes.</w:t>
      </w:r>
    </w:p>
  </w:footnote>
  <w:footnote w:id="119">
    <w:p w14:paraId="7CEFB3EE"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Processus d’appel d’offres et de sélection en vue du recrutement du pilote/de l’architecte.</w:t>
      </w:r>
    </w:p>
  </w:footnote>
  <w:footnote w:id="120">
    <w:p w14:paraId="12D6BCE8"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Processus d’appel d’offres et de sélection en vue du recrutement des ingénieurs.</w:t>
      </w:r>
    </w:p>
  </w:footnote>
  <w:footnote w:id="121">
    <w:p w14:paraId="5319C51B" w14:textId="77777777" w:rsidR="001E3776" w:rsidRPr="008E3D5F" w:rsidRDefault="001E3776" w:rsidP="00FD57F2">
      <w:pPr>
        <w:pStyle w:val="FootnoteText"/>
        <w:rPr>
          <w:color w:val="000000" w:themeColor="text1"/>
          <w:sz w:val="16"/>
          <w:szCs w:val="16"/>
        </w:rPr>
      </w:pPr>
      <w:r w:rsidRPr="008E3D5F">
        <w:rPr>
          <w:rStyle w:val="FootnoteReference"/>
          <w:szCs w:val="16"/>
        </w:rPr>
        <w:footnoteRef/>
      </w:r>
      <w:r w:rsidRPr="008E3D5F">
        <w:rPr>
          <w:sz w:val="16"/>
          <w:szCs w:val="16"/>
        </w:rPr>
        <w:t xml:space="preserve"> </w:t>
      </w:r>
      <w:r w:rsidRPr="008E3D5F">
        <w:rPr>
          <w:sz w:val="16"/>
          <w:szCs w:val="16"/>
        </w:rPr>
        <w:tab/>
      </w:r>
      <w:r w:rsidRPr="008E3D5F">
        <w:rPr>
          <w:color w:val="000000" w:themeColor="text1"/>
          <w:sz w:val="16"/>
          <w:szCs w:val="16"/>
        </w:rPr>
        <w:t>Sous réserve qu’aucuns travaux de réfection supplémentaires non couverts par la garantie ne soient effectués.</w:t>
      </w:r>
    </w:p>
  </w:footnote>
  <w:footnote w:id="122">
    <w:p w14:paraId="1EAB78D3"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chiffres étant arrondis, les totaux ne correspondent pas nécessairement à la somme de leurs composantes.</w:t>
      </w:r>
    </w:p>
  </w:footnote>
  <w:footnote w:id="123">
    <w:p w14:paraId="3346EC3A"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chiffres étant arrondis, les totaux ne correspondent pas nécessairement à la somme de leurs composantes</w:t>
      </w:r>
      <w:r w:rsidRPr="008E3D5F">
        <w:rPr>
          <w:bCs/>
          <w:sz w:val="16"/>
          <w:szCs w:val="16"/>
        </w:rPr>
        <w:t>.</w:t>
      </w:r>
    </w:p>
  </w:footnote>
  <w:footnote w:id="124">
    <w:p w14:paraId="42E1420A"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chiffres étant arrondis, les totaux ne correspondent pas nécessairement à la somme de leurs composantes.</w:t>
      </w:r>
    </w:p>
  </w:footnote>
  <w:footnote w:id="125">
    <w:p w14:paraId="56AF52B9" w14:textId="77777777" w:rsidR="001E3776" w:rsidRPr="008E3D5F" w:rsidRDefault="001E3776" w:rsidP="00FD57F2">
      <w:pPr>
        <w:pStyle w:val="FootnoteText"/>
        <w:rPr>
          <w:sz w:val="16"/>
          <w:szCs w:val="16"/>
        </w:rPr>
      </w:pPr>
      <w:r w:rsidRPr="008E3D5F">
        <w:rPr>
          <w:rStyle w:val="FootnoteReference"/>
          <w:szCs w:val="16"/>
        </w:rPr>
        <w:footnoteRef/>
      </w:r>
      <w:r w:rsidRPr="008E3D5F">
        <w:rPr>
          <w:sz w:val="16"/>
          <w:szCs w:val="16"/>
        </w:rPr>
        <w:t xml:space="preserve"> </w:t>
      </w:r>
      <w:r w:rsidRPr="008E3D5F">
        <w:rPr>
          <w:sz w:val="16"/>
          <w:szCs w:val="16"/>
        </w:rPr>
        <w:tab/>
        <w:t>Les chiffres étant arrondis, les totaux ne correspondent pas nécessairement à la somme de leurs composantes.</w:t>
      </w:r>
    </w:p>
  </w:footnote>
  <w:footnote w:id="126">
    <w:p w14:paraId="1F055BED" w14:textId="77777777" w:rsidR="001E3776" w:rsidRPr="008E3D5F" w:rsidRDefault="001E3776" w:rsidP="00FD57F2">
      <w:pPr>
        <w:pStyle w:val="FootnoteText"/>
        <w:rPr>
          <w:sz w:val="16"/>
          <w:szCs w:val="16"/>
          <w:highlight w:val="yellow"/>
          <w:lang w:val="fr-CH"/>
        </w:rPr>
      </w:pPr>
      <w:r w:rsidRPr="008E3D5F">
        <w:rPr>
          <w:rStyle w:val="FootnoteReference"/>
          <w:szCs w:val="16"/>
        </w:rPr>
        <w:footnoteRef/>
      </w:r>
      <w:r w:rsidRPr="008E3D5F">
        <w:rPr>
          <w:sz w:val="16"/>
          <w:szCs w:val="16"/>
        </w:rPr>
        <w:t xml:space="preserve"> </w:t>
      </w:r>
      <w:r w:rsidRPr="008E3D5F">
        <w:rPr>
          <w:sz w:val="16"/>
          <w:szCs w:val="16"/>
          <w:lang w:val="fr-CH"/>
        </w:rPr>
        <w:tab/>
        <w:t>Le budget correspondant sera réinjecté dans les réserves d’ici à fin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E8121" w14:textId="77777777" w:rsidR="001E3776" w:rsidRPr="001E3776" w:rsidRDefault="001E3776" w:rsidP="006A627E">
    <w:pPr>
      <w:pStyle w:val="Header"/>
      <w:rPr>
        <w:b/>
        <w:sz w:val="18"/>
        <w:szCs w:val="18"/>
      </w:rPr>
    </w:pPr>
    <w:r w:rsidRPr="001E3776">
      <w:rPr>
        <w:b/>
        <w:sz w:val="18"/>
        <w:szCs w:val="18"/>
      </w:rPr>
      <w:t>Rapport sur l’exécution du programme en 2016</w:t>
    </w:r>
  </w:p>
  <w:p w14:paraId="644C9F16" w14:textId="77777777" w:rsidR="001E3776" w:rsidRPr="001E3776" w:rsidRDefault="001E3776" w:rsidP="006A627E">
    <w:pPr>
      <w:pStyle w:val="Header"/>
      <w:rPr>
        <w:b/>
        <w:sz w:val="18"/>
        <w:szCs w:val="18"/>
      </w:rPr>
    </w:pPr>
  </w:p>
  <w:p w14:paraId="6A7FEF7F" w14:textId="77777777" w:rsidR="001E3776" w:rsidRPr="001E3776" w:rsidRDefault="001E3776" w:rsidP="006A627E">
    <w:pPr>
      <w:pStyle w:val="Header"/>
      <w:rPr>
        <w:b/>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E7F48" w14:textId="77777777" w:rsidR="001E3776" w:rsidRPr="001E3776" w:rsidRDefault="001E3776" w:rsidP="00782D1D">
    <w:pPr>
      <w:pStyle w:val="Header"/>
      <w:jc w:val="right"/>
      <w:rPr>
        <w:b/>
        <w:sz w:val="18"/>
        <w:szCs w:val="18"/>
      </w:rPr>
    </w:pPr>
    <w:r w:rsidRPr="001E3776">
      <w:rPr>
        <w:b/>
        <w:sz w:val="18"/>
        <w:szCs w:val="18"/>
      </w:rPr>
      <w:t>Rapport sur l’exécution du programme en 2016</w:t>
    </w:r>
  </w:p>
  <w:p w14:paraId="6C15BCCD" w14:textId="77777777" w:rsidR="001E3776" w:rsidRPr="001E3776" w:rsidRDefault="001E3776" w:rsidP="00D63695">
    <w:pPr>
      <w:pStyle w:val="Header"/>
      <w:jc w:val="right"/>
      <w:rPr>
        <w:b/>
        <w:sz w:val="18"/>
        <w:szCs w:val="18"/>
      </w:rPr>
    </w:pPr>
  </w:p>
  <w:p w14:paraId="18F907E6" w14:textId="77777777" w:rsidR="001E3776" w:rsidRPr="001E3776" w:rsidRDefault="001E3776" w:rsidP="00D63695">
    <w:pPr>
      <w:pStyle w:val="Header"/>
      <w:jc w:val="right"/>
      <w:rPr>
        <w:b/>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A4CB" w14:textId="77777777" w:rsidR="001E3776" w:rsidRDefault="001E3776" w:rsidP="00A312C6">
    <w:pPr>
      <w:pStyle w:val="Header"/>
    </w:pPr>
  </w:p>
  <w:p w14:paraId="45FF8E06" w14:textId="77777777" w:rsidR="001E3776" w:rsidRDefault="001E3776" w:rsidP="00A312C6">
    <w:pPr>
      <w:pStyle w:val="Header"/>
    </w:pPr>
  </w:p>
  <w:p w14:paraId="77F860E1" w14:textId="77777777" w:rsidR="001E3776" w:rsidRPr="00A312C6" w:rsidRDefault="001E3776" w:rsidP="00A312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8CE77" w14:textId="77777777" w:rsidR="001E3776" w:rsidRPr="0039031D" w:rsidRDefault="001E3776" w:rsidP="006A627E">
    <w:pPr>
      <w:pStyle w:val="Header"/>
      <w:jc w:val="right"/>
      <w:rPr>
        <w:bCs/>
        <w:sz w:val="18"/>
        <w:szCs w:val="18"/>
      </w:rPr>
    </w:pPr>
    <w:r w:rsidRPr="0039031D">
      <w:rPr>
        <w:bCs/>
        <w:sz w:val="18"/>
        <w:szCs w:val="18"/>
      </w:rPr>
      <w:t>Rapport sur l</w:t>
    </w:r>
    <w:r>
      <w:rPr>
        <w:bCs/>
        <w:sz w:val="18"/>
        <w:szCs w:val="18"/>
      </w:rPr>
      <w:t>’</w:t>
    </w:r>
    <w:r w:rsidRPr="0039031D">
      <w:rPr>
        <w:bCs/>
        <w:sz w:val="18"/>
        <w:szCs w:val="18"/>
      </w:rPr>
      <w:t>exécution du programme en 2016</w:t>
    </w:r>
  </w:p>
  <w:p w14:paraId="262572DD" w14:textId="77777777" w:rsidR="001E3776" w:rsidRPr="0039031D" w:rsidRDefault="001E3776" w:rsidP="006A627E">
    <w:pPr>
      <w:pStyle w:val="Header"/>
      <w:jc w:val="right"/>
      <w:rPr>
        <w:bCs/>
        <w:sz w:val="18"/>
        <w:szCs w:val="18"/>
      </w:rPr>
    </w:pPr>
  </w:p>
  <w:p w14:paraId="05B454A4" w14:textId="77777777" w:rsidR="001E3776" w:rsidRPr="0039031D" w:rsidRDefault="001E3776" w:rsidP="006A627E">
    <w:pPr>
      <w:pStyle w:val="Header"/>
      <w:jc w:val="right"/>
      <w:rPr>
        <w:bCs/>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359F7" w14:textId="77777777" w:rsidR="001E3776" w:rsidRPr="0039031D" w:rsidRDefault="001E3776" w:rsidP="003240D5">
    <w:pPr>
      <w:pStyle w:val="Header"/>
      <w:rPr>
        <w:bCs/>
        <w:sz w:val="18"/>
        <w:szCs w:val="18"/>
      </w:rPr>
    </w:pPr>
    <w:r w:rsidRPr="0039031D">
      <w:rPr>
        <w:bCs/>
        <w:sz w:val="18"/>
        <w:szCs w:val="18"/>
      </w:rPr>
      <w:t>Rapport sur l</w:t>
    </w:r>
    <w:r>
      <w:rPr>
        <w:bCs/>
        <w:sz w:val="18"/>
        <w:szCs w:val="18"/>
      </w:rPr>
      <w:t>’</w:t>
    </w:r>
    <w:r w:rsidRPr="0039031D">
      <w:rPr>
        <w:bCs/>
        <w:sz w:val="18"/>
        <w:szCs w:val="18"/>
      </w:rPr>
      <w:t>exécution du programme en 2016</w:t>
    </w:r>
  </w:p>
  <w:p w14:paraId="1C2F3053" w14:textId="77777777" w:rsidR="001E3776" w:rsidRPr="0039031D" w:rsidRDefault="001E3776" w:rsidP="003240D5">
    <w:pPr>
      <w:pStyle w:val="Header"/>
      <w:rPr>
        <w:bCs/>
        <w:sz w:val="18"/>
        <w:szCs w:val="18"/>
      </w:rPr>
    </w:pPr>
  </w:p>
  <w:p w14:paraId="595DA097" w14:textId="77777777" w:rsidR="001E3776" w:rsidRPr="0039031D" w:rsidRDefault="001E3776" w:rsidP="003240D5">
    <w:pPr>
      <w:pStyle w:val="Header"/>
      <w:rPr>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E19"/>
    <w:multiLevelType w:val="hybridMultilevel"/>
    <w:tmpl w:val="BFCEBDA2"/>
    <w:lvl w:ilvl="0" w:tplc="1AA0ABC2">
      <w:start w:val="1"/>
      <w:numFmt w:val="bullet"/>
      <w:lvlText w:val=""/>
      <w:lvlJc w:val="left"/>
      <w:pPr>
        <w:ind w:left="360" w:hanging="360"/>
      </w:pPr>
      <w:rPr>
        <w:rFonts w:ascii="Symbol" w:hAnsi="Symbol" w:hint="default"/>
      </w:rPr>
    </w:lvl>
    <w:lvl w:ilvl="1" w:tplc="04090005">
      <w:start w:val="1"/>
      <w:numFmt w:val="bullet"/>
      <w:lvlText w:val=""/>
      <w:lvlJc w:val="left"/>
      <w:pPr>
        <w:ind w:left="1290" w:hanging="57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2EA7B88"/>
    <w:multiLevelType w:val="hybridMultilevel"/>
    <w:tmpl w:val="81A890E2"/>
    <w:lvl w:ilvl="0" w:tplc="AAB0B656">
      <w:start w:val="1"/>
      <w:numFmt w:val="decimal"/>
      <w:lvlText w:val="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972C5"/>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D2705"/>
    <w:multiLevelType w:val="hybridMultilevel"/>
    <w:tmpl w:val="2D7A1E20"/>
    <w:lvl w:ilvl="0" w:tplc="87009630">
      <w:start w:val="6"/>
      <w:numFmt w:val="bullet"/>
      <w:lvlText w:val="-"/>
      <w:lvlJc w:val="left"/>
      <w:pPr>
        <w:ind w:left="180" w:hanging="360"/>
      </w:pPr>
      <w:rPr>
        <w:rFonts w:ascii="Arial" w:eastAsia="Times New Roman"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nsid w:val="079B6BCD"/>
    <w:multiLevelType w:val="hybridMultilevel"/>
    <w:tmpl w:val="BC1E600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B7BDC"/>
    <w:multiLevelType w:val="hybridMultilevel"/>
    <w:tmpl w:val="69CC52AA"/>
    <w:lvl w:ilvl="0" w:tplc="E5FEC7A4">
      <w:start w:val="1"/>
      <w:numFmt w:val="decimal"/>
      <w:lvlText w:val="24.%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D223AE"/>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D775362"/>
    <w:multiLevelType w:val="hybridMultilevel"/>
    <w:tmpl w:val="53A8C59E"/>
    <w:lvl w:ilvl="0" w:tplc="87009630">
      <w:start w:val="6"/>
      <w:numFmt w:val="bullet"/>
      <w:lvlText w:val="-"/>
      <w:lvlJc w:val="left"/>
      <w:pPr>
        <w:ind w:left="1080" w:hanging="72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0192F6F"/>
    <w:multiLevelType w:val="hybridMultilevel"/>
    <w:tmpl w:val="60B228B0"/>
    <w:lvl w:ilvl="0" w:tplc="785A986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15D5E10"/>
    <w:multiLevelType w:val="hybridMultilevel"/>
    <w:tmpl w:val="C3146C70"/>
    <w:lvl w:ilvl="0" w:tplc="D4FC53F2">
      <w:start w:val="1"/>
      <w:numFmt w:val="lowerLetter"/>
      <w:lvlText w:val="%1)"/>
      <w:lvlJc w:val="left"/>
      <w:pPr>
        <w:ind w:left="-260" w:hanging="360"/>
      </w:pPr>
      <w:rPr>
        <w:rFonts w:hint="default"/>
      </w:rPr>
    </w:lvl>
    <w:lvl w:ilvl="1" w:tplc="04090019" w:tentative="1">
      <w:start w:val="1"/>
      <w:numFmt w:val="lowerLetter"/>
      <w:lvlText w:val="%2."/>
      <w:lvlJc w:val="left"/>
      <w:pPr>
        <w:ind w:left="460" w:hanging="360"/>
      </w:pPr>
    </w:lvl>
    <w:lvl w:ilvl="2" w:tplc="0409001B" w:tentative="1">
      <w:start w:val="1"/>
      <w:numFmt w:val="lowerRoman"/>
      <w:lvlText w:val="%3."/>
      <w:lvlJc w:val="right"/>
      <w:pPr>
        <w:ind w:left="1180" w:hanging="180"/>
      </w:pPr>
    </w:lvl>
    <w:lvl w:ilvl="3" w:tplc="0409000F" w:tentative="1">
      <w:start w:val="1"/>
      <w:numFmt w:val="decimal"/>
      <w:lvlText w:val="%4."/>
      <w:lvlJc w:val="left"/>
      <w:pPr>
        <w:ind w:left="1900" w:hanging="360"/>
      </w:pPr>
    </w:lvl>
    <w:lvl w:ilvl="4" w:tplc="04090019" w:tentative="1">
      <w:start w:val="1"/>
      <w:numFmt w:val="lowerLetter"/>
      <w:lvlText w:val="%5."/>
      <w:lvlJc w:val="left"/>
      <w:pPr>
        <w:ind w:left="2620" w:hanging="360"/>
      </w:pPr>
    </w:lvl>
    <w:lvl w:ilvl="5" w:tplc="0409001B" w:tentative="1">
      <w:start w:val="1"/>
      <w:numFmt w:val="lowerRoman"/>
      <w:lvlText w:val="%6."/>
      <w:lvlJc w:val="right"/>
      <w:pPr>
        <w:ind w:left="3340" w:hanging="180"/>
      </w:pPr>
    </w:lvl>
    <w:lvl w:ilvl="6" w:tplc="0409000F" w:tentative="1">
      <w:start w:val="1"/>
      <w:numFmt w:val="decimal"/>
      <w:lvlText w:val="%7."/>
      <w:lvlJc w:val="left"/>
      <w:pPr>
        <w:ind w:left="4060" w:hanging="360"/>
      </w:pPr>
    </w:lvl>
    <w:lvl w:ilvl="7" w:tplc="04090019" w:tentative="1">
      <w:start w:val="1"/>
      <w:numFmt w:val="lowerLetter"/>
      <w:lvlText w:val="%8."/>
      <w:lvlJc w:val="left"/>
      <w:pPr>
        <w:ind w:left="4780" w:hanging="360"/>
      </w:pPr>
    </w:lvl>
    <w:lvl w:ilvl="8" w:tplc="0409001B" w:tentative="1">
      <w:start w:val="1"/>
      <w:numFmt w:val="lowerRoman"/>
      <w:lvlText w:val="%9."/>
      <w:lvlJc w:val="right"/>
      <w:pPr>
        <w:ind w:left="5500" w:hanging="180"/>
      </w:pPr>
    </w:lvl>
  </w:abstractNum>
  <w:abstractNum w:abstractNumId="10">
    <w:nsid w:val="119B0B4A"/>
    <w:multiLevelType w:val="hybridMultilevel"/>
    <w:tmpl w:val="7F9AA59C"/>
    <w:lvl w:ilvl="0" w:tplc="D66809AC">
      <w:start w:val="1"/>
      <w:numFmt w:val="decimal"/>
      <w:lvlText w:val="21.%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29A5F6B"/>
    <w:multiLevelType w:val="hybridMultilevel"/>
    <w:tmpl w:val="057CB69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3">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BE5639"/>
    <w:multiLevelType w:val="hybridMultilevel"/>
    <w:tmpl w:val="1FD6B57E"/>
    <w:lvl w:ilvl="0" w:tplc="20465E20">
      <w:start w:val="1"/>
      <w:numFmt w:val="upperRoman"/>
      <w:pStyle w:val="Heading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A3B7367"/>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6A54F8"/>
    <w:multiLevelType w:val="hybridMultilevel"/>
    <w:tmpl w:val="655E3CD6"/>
    <w:lvl w:ilvl="0" w:tplc="8564F7C8">
      <w:start w:val="1"/>
      <w:numFmt w:val="bullet"/>
      <w:lvlText w:val="−"/>
      <w:lvlJc w:val="left"/>
      <w:pPr>
        <w:ind w:left="930" w:hanging="360"/>
      </w:pPr>
      <w:rPr>
        <w:rFonts w:ascii="Arial" w:eastAsiaTheme="minorEastAsia" w:hAnsi="Arial" w:hint="default"/>
      </w:rPr>
    </w:lvl>
    <w:lvl w:ilvl="1" w:tplc="04090003">
      <w:start w:val="1"/>
      <w:numFmt w:val="bullet"/>
      <w:lvlText w:val="o"/>
      <w:lvlJc w:val="left"/>
      <w:pPr>
        <w:ind w:left="1650" w:hanging="360"/>
      </w:pPr>
      <w:rPr>
        <w:rFonts w:ascii="Courier New" w:hAnsi="Courier New" w:cs="Courier New" w:hint="default"/>
      </w:rPr>
    </w:lvl>
    <w:lvl w:ilvl="2" w:tplc="04090005">
      <w:start w:val="1"/>
      <w:numFmt w:val="bullet"/>
      <w:lvlText w:val=""/>
      <w:lvlJc w:val="left"/>
      <w:pPr>
        <w:ind w:left="2370" w:hanging="360"/>
      </w:pPr>
      <w:rPr>
        <w:rFonts w:ascii="Wingdings" w:hAnsi="Wingdings" w:hint="default"/>
      </w:rPr>
    </w:lvl>
    <w:lvl w:ilvl="3" w:tplc="04090001">
      <w:start w:val="1"/>
      <w:numFmt w:val="bullet"/>
      <w:lvlText w:val=""/>
      <w:lvlJc w:val="left"/>
      <w:pPr>
        <w:ind w:left="3090" w:hanging="360"/>
      </w:pPr>
      <w:rPr>
        <w:rFonts w:ascii="Symbol" w:hAnsi="Symbol" w:hint="default"/>
      </w:rPr>
    </w:lvl>
    <w:lvl w:ilvl="4" w:tplc="04090003">
      <w:start w:val="1"/>
      <w:numFmt w:val="bullet"/>
      <w:lvlText w:val="o"/>
      <w:lvlJc w:val="left"/>
      <w:pPr>
        <w:ind w:left="3810" w:hanging="360"/>
      </w:pPr>
      <w:rPr>
        <w:rFonts w:ascii="Courier New" w:hAnsi="Courier New" w:cs="Courier New" w:hint="default"/>
      </w:rPr>
    </w:lvl>
    <w:lvl w:ilvl="5" w:tplc="04090005">
      <w:start w:val="1"/>
      <w:numFmt w:val="bullet"/>
      <w:lvlText w:val=""/>
      <w:lvlJc w:val="left"/>
      <w:pPr>
        <w:ind w:left="4530" w:hanging="360"/>
      </w:pPr>
      <w:rPr>
        <w:rFonts w:ascii="Wingdings" w:hAnsi="Wingdings" w:hint="default"/>
      </w:rPr>
    </w:lvl>
    <w:lvl w:ilvl="6" w:tplc="04090001">
      <w:start w:val="1"/>
      <w:numFmt w:val="bullet"/>
      <w:lvlText w:val=""/>
      <w:lvlJc w:val="left"/>
      <w:pPr>
        <w:ind w:left="5250" w:hanging="360"/>
      </w:pPr>
      <w:rPr>
        <w:rFonts w:ascii="Symbol" w:hAnsi="Symbol" w:hint="default"/>
      </w:rPr>
    </w:lvl>
    <w:lvl w:ilvl="7" w:tplc="04090003">
      <w:start w:val="1"/>
      <w:numFmt w:val="bullet"/>
      <w:lvlText w:val="o"/>
      <w:lvlJc w:val="left"/>
      <w:pPr>
        <w:ind w:left="5970" w:hanging="360"/>
      </w:pPr>
      <w:rPr>
        <w:rFonts w:ascii="Courier New" w:hAnsi="Courier New" w:cs="Courier New" w:hint="default"/>
      </w:rPr>
    </w:lvl>
    <w:lvl w:ilvl="8" w:tplc="04090005">
      <w:start w:val="1"/>
      <w:numFmt w:val="bullet"/>
      <w:lvlText w:val=""/>
      <w:lvlJc w:val="left"/>
      <w:pPr>
        <w:ind w:left="6690" w:hanging="360"/>
      </w:pPr>
      <w:rPr>
        <w:rFonts w:ascii="Wingdings" w:hAnsi="Wingdings" w:hint="default"/>
      </w:rPr>
    </w:lvl>
  </w:abstractNum>
  <w:abstractNum w:abstractNumId="18">
    <w:nsid w:val="1C8018A3"/>
    <w:multiLevelType w:val="hybridMultilevel"/>
    <w:tmpl w:val="C0D2E790"/>
    <w:lvl w:ilvl="0" w:tplc="488EC4A6">
      <w:start w:val="1"/>
      <w:numFmt w:val="decimal"/>
      <w:lvlText w:val="22.%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FE43DF"/>
    <w:multiLevelType w:val="hybridMultilevel"/>
    <w:tmpl w:val="4FF82F54"/>
    <w:lvl w:ilvl="0" w:tplc="D3C83796">
      <w:start w:val="1"/>
      <w:numFmt w:val="decimal"/>
      <w:lvlText w:val="1.%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20BF673F"/>
    <w:multiLevelType w:val="hybridMultilevel"/>
    <w:tmpl w:val="00F03638"/>
    <w:lvl w:ilvl="0" w:tplc="ECF40C82">
      <w:start w:val="5"/>
      <w:numFmt w:val="bullet"/>
      <w:lvlText w:val="–"/>
      <w:lvlJc w:val="left"/>
      <w:pPr>
        <w:ind w:left="567" w:hanging="567"/>
      </w:pPr>
      <w:rPr>
        <w:rFonts w:ascii="Arial" w:eastAsiaTheme="minorHAnsi"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2B52E16"/>
    <w:multiLevelType w:val="hybridMultilevel"/>
    <w:tmpl w:val="59DCD038"/>
    <w:lvl w:ilvl="0" w:tplc="924282DC">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38722F0"/>
    <w:multiLevelType w:val="hybridMultilevel"/>
    <w:tmpl w:val="446C30F6"/>
    <w:lvl w:ilvl="0" w:tplc="1C8C75B6">
      <w:start w:val="1"/>
      <w:numFmt w:val="decimal"/>
      <w:lvlText w:val="15.%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49B77C4"/>
    <w:multiLevelType w:val="hybridMultilevel"/>
    <w:tmpl w:val="289EA6E6"/>
    <w:lvl w:ilvl="0" w:tplc="744023CC">
      <w:start w:val="1"/>
      <w:numFmt w:val="decimal"/>
      <w:lvlText w:val="14.%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B45952"/>
    <w:multiLevelType w:val="hybridMultilevel"/>
    <w:tmpl w:val="327066CE"/>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D7D5DCC"/>
    <w:multiLevelType w:val="hybridMultilevel"/>
    <w:tmpl w:val="88AEEE08"/>
    <w:lvl w:ilvl="0" w:tplc="FFFFFFFF">
      <w:start w:val="1"/>
      <w:numFmt w:val="bullet"/>
      <w:lvlText w:val=""/>
      <w:lvlJc w:val="left"/>
      <w:pPr>
        <w:ind w:left="720" w:hanging="360"/>
      </w:pPr>
      <w:rPr>
        <w:rFonts w:ascii="Symbol" w:hAnsi="Symbol" w:hint="default"/>
        <w:color w:val="1F497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2DC47965"/>
    <w:multiLevelType w:val="hybridMultilevel"/>
    <w:tmpl w:val="064ABD1E"/>
    <w:lvl w:ilvl="0" w:tplc="37ECDCA4">
      <w:start w:val="1"/>
      <w:numFmt w:val="lowerRoman"/>
      <w:lvlText w:val="%1)"/>
      <w:lvlJc w:val="left"/>
      <w:pPr>
        <w:ind w:left="1134"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0C37556"/>
    <w:multiLevelType w:val="hybridMultilevel"/>
    <w:tmpl w:val="55065EAE"/>
    <w:lvl w:ilvl="0" w:tplc="F90E50B4">
      <w:start w:val="22"/>
      <w:numFmt w:val="bullet"/>
      <w:lvlText w:val="-"/>
      <w:lvlJc w:val="left"/>
      <w:pPr>
        <w:ind w:left="129" w:hanging="360"/>
      </w:pPr>
      <w:rPr>
        <w:rFonts w:ascii="Arial" w:eastAsia="Times New Roman" w:hAnsi="Arial" w:cs="Arial" w:hint="default"/>
      </w:rPr>
    </w:lvl>
    <w:lvl w:ilvl="1" w:tplc="04090003" w:tentative="1">
      <w:start w:val="1"/>
      <w:numFmt w:val="bullet"/>
      <w:lvlText w:val="o"/>
      <w:lvlJc w:val="left"/>
      <w:pPr>
        <w:ind w:left="849" w:hanging="360"/>
      </w:pPr>
      <w:rPr>
        <w:rFonts w:ascii="Courier New" w:hAnsi="Courier New" w:cs="Courier New" w:hint="default"/>
      </w:rPr>
    </w:lvl>
    <w:lvl w:ilvl="2" w:tplc="04090005" w:tentative="1">
      <w:start w:val="1"/>
      <w:numFmt w:val="bullet"/>
      <w:lvlText w:val=""/>
      <w:lvlJc w:val="left"/>
      <w:pPr>
        <w:ind w:left="1569" w:hanging="360"/>
      </w:pPr>
      <w:rPr>
        <w:rFonts w:ascii="Wingdings" w:hAnsi="Wingdings" w:hint="default"/>
      </w:rPr>
    </w:lvl>
    <w:lvl w:ilvl="3" w:tplc="04090001" w:tentative="1">
      <w:start w:val="1"/>
      <w:numFmt w:val="bullet"/>
      <w:lvlText w:val=""/>
      <w:lvlJc w:val="left"/>
      <w:pPr>
        <w:ind w:left="2289" w:hanging="360"/>
      </w:pPr>
      <w:rPr>
        <w:rFonts w:ascii="Symbol" w:hAnsi="Symbol" w:hint="default"/>
      </w:rPr>
    </w:lvl>
    <w:lvl w:ilvl="4" w:tplc="04090003" w:tentative="1">
      <w:start w:val="1"/>
      <w:numFmt w:val="bullet"/>
      <w:lvlText w:val="o"/>
      <w:lvlJc w:val="left"/>
      <w:pPr>
        <w:ind w:left="3009" w:hanging="360"/>
      </w:pPr>
      <w:rPr>
        <w:rFonts w:ascii="Courier New" w:hAnsi="Courier New" w:cs="Courier New" w:hint="default"/>
      </w:rPr>
    </w:lvl>
    <w:lvl w:ilvl="5" w:tplc="04090005" w:tentative="1">
      <w:start w:val="1"/>
      <w:numFmt w:val="bullet"/>
      <w:lvlText w:val=""/>
      <w:lvlJc w:val="left"/>
      <w:pPr>
        <w:ind w:left="3729" w:hanging="360"/>
      </w:pPr>
      <w:rPr>
        <w:rFonts w:ascii="Wingdings" w:hAnsi="Wingdings" w:hint="default"/>
      </w:rPr>
    </w:lvl>
    <w:lvl w:ilvl="6" w:tplc="04090001" w:tentative="1">
      <w:start w:val="1"/>
      <w:numFmt w:val="bullet"/>
      <w:lvlText w:val=""/>
      <w:lvlJc w:val="left"/>
      <w:pPr>
        <w:ind w:left="4449" w:hanging="360"/>
      </w:pPr>
      <w:rPr>
        <w:rFonts w:ascii="Symbol" w:hAnsi="Symbol" w:hint="default"/>
      </w:rPr>
    </w:lvl>
    <w:lvl w:ilvl="7" w:tplc="04090003" w:tentative="1">
      <w:start w:val="1"/>
      <w:numFmt w:val="bullet"/>
      <w:lvlText w:val="o"/>
      <w:lvlJc w:val="left"/>
      <w:pPr>
        <w:ind w:left="5169" w:hanging="360"/>
      </w:pPr>
      <w:rPr>
        <w:rFonts w:ascii="Courier New" w:hAnsi="Courier New" w:cs="Courier New" w:hint="default"/>
      </w:rPr>
    </w:lvl>
    <w:lvl w:ilvl="8" w:tplc="04090005" w:tentative="1">
      <w:start w:val="1"/>
      <w:numFmt w:val="bullet"/>
      <w:lvlText w:val=""/>
      <w:lvlJc w:val="left"/>
      <w:pPr>
        <w:ind w:left="5889" w:hanging="360"/>
      </w:pPr>
      <w:rPr>
        <w:rFonts w:ascii="Wingdings" w:hAnsi="Wingdings" w:hint="default"/>
      </w:rPr>
    </w:lvl>
  </w:abstractNum>
  <w:abstractNum w:abstractNumId="30">
    <w:nsid w:val="311108F6"/>
    <w:multiLevelType w:val="hybridMultilevel"/>
    <w:tmpl w:val="5A3E7C90"/>
    <w:lvl w:ilvl="0" w:tplc="CB40DC84">
      <w:start w:val="1"/>
      <w:numFmt w:val="decimal"/>
      <w:lvlText w:val="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1332D30"/>
    <w:multiLevelType w:val="hybridMultilevel"/>
    <w:tmpl w:val="DD78CA3C"/>
    <w:lvl w:ilvl="0" w:tplc="B494411A">
      <w:start w:val="1"/>
      <w:numFmt w:val="decimal"/>
      <w:lvlText w:val="23.%1"/>
      <w:lvlJc w:val="left"/>
      <w:pPr>
        <w:ind w:left="1260" w:hanging="360"/>
      </w:pPr>
      <w:rPr>
        <w:rFonts w:ascii="Arial" w:hAnsi="Arial" w:hint="default"/>
        <w:sz w:val="20"/>
        <w:szCs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7D5235E"/>
    <w:multiLevelType w:val="hybridMultilevel"/>
    <w:tmpl w:val="1EDC4B4C"/>
    <w:lvl w:ilvl="0" w:tplc="98AA17F4">
      <w:start w:val="5"/>
      <w:numFmt w:val="bullet"/>
      <w:lvlText w:val="–"/>
      <w:lvlJc w:val="left"/>
      <w:pPr>
        <w:ind w:left="360" w:hanging="360"/>
      </w:pPr>
      <w:rPr>
        <w:rFonts w:ascii="Arial" w:eastAsiaTheme="minorHAnsi" w:hAnsi="Arial" w:hint="default"/>
        <w:lang w:val="en-U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9C377A"/>
    <w:multiLevelType w:val="hybridMultilevel"/>
    <w:tmpl w:val="B90228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D00797F"/>
    <w:multiLevelType w:val="hybridMultilevel"/>
    <w:tmpl w:val="0E96EA72"/>
    <w:lvl w:ilvl="0" w:tplc="A28EB0B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DEB20A5"/>
    <w:multiLevelType w:val="hybridMultilevel"/>
    <w:tmpl w:val="3FE0E78E"/>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3E1D2610"/>
    <w:multiLevelType w:val="hybridMultilevel"/>
    <w:tmpl w:val="E0B2B4AA"/>
    <w:lvl w:ilvl="0" w:tplc="95AEB980">
      <w:start w:val="1"/>
      <w:numFmt w:val="decimal"/>
      <w:lvlText w:val="26.%1"/>
      <w:lvlJc w:val="left"/>
      <w:pPr>
        <w:ind w:left="360" w:hanging="360"/>
      </w:pPr>
      <w:rPr>
        <w:rFonts w:ascii="Arial" w:hAnsi="Arial"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FBD02C0"/>
    <w:multiLevelType w:val="hybridMultilevel"/>
    <w:tmpl w:val="91421590"/>
    <w:lvl w:ilvl="0" w:tplc="1AA0ABC2">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40">
    <w:nsid w:val="3FE03A0F"/>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02D38C5"/>
    <w:multiLevelType w:val="hybridMultilevel"/>
    <w:tmpl w:val="D304E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0490209"/>
    <w:multiLevelType w:val="hybridMultilevel"/>
    <w:tmpl w:val="9FB0CADE"/>
    <w:lvl w:ilvl="0" w:tplc="1D26AA1C">
      <w:start w:val="1"/>
      <w:numFmt w:val="bullet"/>
      <w:lvlText w:val="−"/>
      <w:lvlJc w:val="left"/>
      <w:pPr>
        <w:ind w:left="1134" w:hanging="567"/>
      </w:pPr>
      <w:rPr>
        <w:rFonts w:ascii="Arial" w:eastAsiaTheme="minorEastAsia"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41A8189B"/>
    <w:multiLevelType w:val="hybridMultilevel"/>
    <w:tmpl w:val="EC1CA7AC"/>
    <w:lvl w:ilvl="0" w:tplc="9ACACD06">
      <w:start w:val="1"/>
      <w:numFmt w:val="decimal"/>
      <w:lvlText w:val="9.%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2B14CA7"/>
    <w:multiLevelType w:val="hybridMultilevel"/>
    <w:tmpl w:val="C59EBC9A"/>
    <w:lvl w:ilvl="0" w:tplc="27960A84">
      <w:start w:val="1"/>
      <w:numFmt w:val="bullet"/>
      <w:lvlText w:val="−"/>
      <w:lvlJc w:val="left"/>
      <w:pPr>
        <w:ind w:left="1134" w:hanging="567"/>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4A2B1C"/>
    <w:multiLevelType w:val="hybridMultilevel"/>
    <w:tmpl w:val="69FC5D36"/>
    <w:lvl w:ilvl="0" w:tplc="70F84272">
      <w:start w:val="1"/>
      <w:numFmt w:val="decimal"/>
      <w:lvlText w:val="3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5BB48CC"/>
    <w:multiLevelType w:val="hybridMultilevel"/>
    <w:tmpl w:val="F732CB00"/>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6660231"/>
    <w:multiLevelType w:val="hybridMultilevel"/>
    <w:tmpl w:val="9EA0DDF4"/>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7F969DE"/>
    <w:multiLevelType w:val="hybridMultilevel"/>
    <w:tmpl w:val="B9FED5C0"/>
    <w:lvl w:ilvl="0" w:tplc="FDC4E848">
      <w:start w:val="1"/>
      <w:numFmt w:val="decimal"/>
      <w:lvlText w:val="2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99699A"/>
    <w:multiLevelType w:val="hybridMultilevel"/>
    <w:tmpl w:val="F6FA852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766D3C"/>
    <w:multiLevelType w:val="hybridMultilevel"/>
    <w:tmpl w:val="9C84E178"/>
    <w:lvl w:ilvl="0" w:tplc="9412DDEE">
      <w:start w:val="1"/>
      <w:numFmt w:val="decimal"/>
      <w:lvlText w:val="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A6005A5"/>
    <w:multiLevelType w:val="hybridMultilevel"/>
    <w:tmpl w:val="714CFEDE"/>
    <w:lvl w:ilvl="0" w:tplc="547817D4">
      <w:start w:val="89"/>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nsid w:val="4B6479D4"/>
    <w:multiLevelType w:val="hybridMultilevel"/>
    <w:tmpl w:val="B448BE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4BF531FE"/>
    <w:multiLevelType w:val="hybridMultilevel"/>
    <w:tmpl w:val="3BF6BB34"/>
    <w:lvl w:ilvl="0" w:tplc="1AA0ABC2">
      <w:start w:val="1"/>
      <w:numFmt w:val="bullet"/>
      <w:lvlText w:val=""/>
      <w:lvlJc w:val="left"/>
      <w:pPr>
        <w:ind w:left="360" w:hanging="360"/>
      </w:pPr>
      <w:rPr>
        <w:rFonts w:ascii="Symbol" w:hAnsi="Symbol" w:hint="default"/>
      </w:rPr>
    </w:lvl>
    <w:lvl w:ilvl="1" w:tplc="1AA0ABC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CE770E8"/>
    <w:multiLevelType w:val="hybridMultilevel"/>
    <w:tmpl w:val="88721354"/>
    <w:lvl w:ilvl="0" w:tplc="6E8C5A3E">
      <w:start w:val="1"/>
      <w:numFmt w:val="decimal"/>
      <w:lvlText w:val="1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D3643F"/>
    <w:multiLevelType w:val="hybridMultilevel"/>
    <w:tmpl w:val="B9F20B6A"/>
    <w:lvl w:ilvl="0" w:tplc="8564F7C8">
      <w:start w:val="1"/>
      <w:numFmt w:val="bullet"/>
      <w:lvlText w:val="−"/>
      <w:lvlJc w:val="left"/>
      <w:pPr>
        <w:ind w:left="1080" w:hanging="360"/>
      </w:pPr>
      <w:rPr>
        <w:rFonts w:ascii="Arial" w:eastAsiaTheme="minorEastAsia" w:hAnsi="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2096F3D"/>
    <w:multiLevelType w:val="hybridMultilevel"/>
    <w:tmpl w:val="28DE3B3E"/>
    <w:lvl w:ilvl="0" w:tplc="0FDCC4BC">
      <w:start w:val="1"/>
      <w:numFmt w:val="decimal"/>
      <w:lvlText w:val="3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71A406D"/>
    <w:multiLevelType w:val="hybridMultilevel"/>
    <w:tmpl w:val="9B464592"/>
    <w:lvl w:ilvl="0" w:tplc="357E81E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580629F9"/>
    <w:multiLevelType w:val="hybridMultilevel"/>
    <w:tmpl w:val="98B4A9B6"/>
    <w:lvl w:ilvl="0" w:tplc="4C84CCE6">
      <w:start w:val="1"/>
      <w:numFmt w:val="decimal"/>
      <w:lvlText w:val="11.%1"/>
      <w:lvlJc w:val="left"/>
      <w:pPr>
        <w:ind w:left="360" w:hanging="360"/>
      </w:pPr>
      <w:rPr>
        <w:rFonts w:ascii="Arial" w:hAnsi="Arial" w:hint="default"/>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84E6FDA"/>
    <w:multiLevelType w:val="hybridMultilevel"/>
    <w:tmpl w:val="20FE11C4"/>
    <w:lvl w:ilvl="0" w:tplc="F81601A8">
      <w:start w:val="1"/>
      <w:numFmt w:val="decimal"/>
      <w:lvlText w:val="19.%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nsid w:val="590E3C9F"/>
    <w:multiLevelType w:val="hybridMultilevel"/>
    <w:tmpl w:val="8550B124"/>
    <w:lvl w:ilvl="0" w:tplc="1F80B60C">
      <w:start w:val="1"/>
      <w:numFmt w:val="decimal"/>
      <w:lvlText w:val="28.%1"/>
      <w:lvlJc w:val="left"/>
      <w:pPr>
        <w:ind w:left="720" w:hanging="360"/>
      </w:pPr>
      <w:rPr>
        <w:rFonts w:ascii="Arial" w:hAnsi="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232C8B"/>
    <w:multiLevelType w:val="hybridMultilevel"/>
    <w:tmpl w:val="9D0A3490"/>
    <w:lvl w:ilvl="0" w:tplc="75FA6534">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E41D5E"/>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5DA70756"/>
    <w:multiLevelType w:val="hybridMultilevel"/>
    <w:tmpl w:val="0C7AFC9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E9D0A0F"/>
    <w:multiLevelType w:val="hybridMultilevel"/>
    <w:tmpl w:val="37C6F916"/>
    <w:lvl w:ilvl="0" w:tplc="F788E182">
      <w:start w:val="1"/>
      <w:numFmt w:val="decimal"/>
      <w:lvlText w:val="16.%1"/>
      <w:lvlJc w:val="left"/>
      <w:pPr>
        <w:tabs>
          <w:tab w:val="num" w:pos="-288"/>
        </w:tabs>
        <w:ind w:left="72" w:hanging="72"/>
      </w:pPr>
      <w:rPr>
        <w:rFonts w:ascii="Arial" w:hAnsi="Arial"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8">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0AC6B54"/>
    <w:multiLevelType w:val="hybridMultilevel"/>
    <w:tmpl w:val="14C63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0B95ED1"/>
    <w:multiLevelType w:val="hybridMultilevel"/>
    <w:tmpl w:val="F110AF26"/>
    <w:lvl w:ilvl="0" w:tplc="18C0FE8C">
      <w:start w:val="1"/>
      <w:numFmt w:val="decimal"/>
      <w:lvlText w:val="3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1A663FC"/>
    <w:multiLevelType w:val="hybridMultilevel"/>
    <w:tmpl w:val="289EC3B2"/>
    <w:lvl w:ilvl="0" w:tplc="193EA12C">
      <w:start w:val="1"/>
      <w:numFmt w:val="decimal"/>
      <w:lvlText w:val="4.%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6B2683"/>
    <w:multiLevelType w:val="hybridMultilevel"/>
    <w:tmpl w:val="528651C2"/>
    <w:lvl w:ilvl="0" w:tplc="0D389FFE">
      <w:start w:val="1"/>
      <w:numFmt w:val="decimal"/>
      <w:lvlText w:val="12.%1"/>
      <w:lvlJc w:val="left"/>
      <w:pPr>
        <w:ind w:left="360" w:hanging="360"/>
      </w:pPr>
      <w:rPr>
        <w:rFonts w:ascii="Arial" w:hAnsi="Arial"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49442A6"/>
    <w:multiLevelType w:val="hybridMultilevel"/>
    <w:tmpl w:val="8F5E6E48"/>
    <w:lvl w:ilvl="0" w:tplc="3350DEF8">
      <w:start w:val="1"/>
      <w:numFmt w:val="decimal"/>
      <w:lvlText w:val="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63F44ED"/>
    <w:multiLevelType w:val="hybridMultilevel"/>
    <w:tmpl w:val="5A224FAC"/>
    <w:lvl w:ilvl="0" w:tplc="E4FC1612">
      <w:start w:val="1"/>
      <w:numFmt w:val="decimal"/>
      <w:lvlText w:val="27.%1"/>
      <w:lvlJc w:val="left"/>
      <w:pPr>
        <w:ind w:left="720" w:hanging="360"/>
      </w:pPr>
      <w:rPr>
        <w:rFonts w:ascii="Arial" w:hAnsi="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C40E7B"/>
    <w:multiLevelType w:val="hybridMultilevel"/>
    <w:tmpl w:val="12AA4A74"/>
    <w:lvl w:ilvl="0" w:tplc="00503462">
      <w:start w:val="5"/>
      <w:numFmt w:val="bullet"/>
      <w:lvlText w:val="–"/>
      <w:lvlJc w:val="left"/>
      <w:pPr>
        <w:ind w:left="1134" w:hanging="567"/>
      </w:pPr>
      <w:rPr>
        <w:rFonts w:ascii="Arial" w:eastAsiaTheme="minorHAnsi" w:hAnsi="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6">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7">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A1C00ED"/>
    <w:multiLevelType w:val="hybridMultilevel"/>
    <w:tmpl w:val="61964DD6"/>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A940E30"/>
    <w:multiLevelType w:val="hybridMultilevel"/>
    <w:tmpl w:val="7E144F0A"/>
    <w:lvl w:ilvl="0" w:tplc="6A32891C">
      <w:start w:val="1"/>
      <w:numFmt w:val="decimal"/>
      <w:lvlText w:val="1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AA0536A"/>
    <w:multiLevelType w:val="hybridMultilevel"/>
    <w:tmpl w:val="5D26E96A"/>
    <w:lvl w:ilvl="0" w:tplc="44B09C82">
      <w:start w:val="1"/>
      <w:numFmt w:val="decimal"/>
      <w:lvlText w:val="1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D1A3D07"/>
    <w:multiLevelType w:val="hybridMultilevel"/>
    <w:tmpl w:val="068EB972"/>
    <w:lvl w:ilvl="0" w:tplc="1544486C">
      <w:start w:val="1"/>
      <w:numFmt w:val="decimal"/>
      <w:lvlText w:val="2.%1"/>
      <w:lvlJc w:val="left"/>
      <w:pPr>
        <w:ind w:left="360" w:hanging="360"/>
      </w:pPr>
      <w:rPr>
        <w:rFonts w:ascii="Arial" w:hAnsi="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D9418CC"/>
    <w:multiLevelType w:val="hybridMultilevel"/>
    <w:tmpl w:val="77EE6668"/>
    <w:lvl w:ilvl="0" w:tplc="18F8378A">
      <w:start w:val="1"/>
      <w:numFmt w:val="bullet"/>
      <w:lvlText w:val=""/>
      <w:lvlJc w:val="left"/>
      <w:pPr>
        <w:ind w:left="360" w:hanging="360"/>
      </w:pPr>
      <w:rPr>
        <w:rFonts w:ascii="Symbol" w:hAnsi="Symbol" w:hint="default"/>
        <w:lang w:val="fr-CH"/>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DA054A2"/>
    <w:multiLevelType w:val="hybridMultilevel"/>
    <w:tmpl w:val="EBC8F6A6"/>
    <w:lvl w:ilvl="0" w:tplc="8564F7C8">
      <w:start w:val="1"/>
      <w:numFmt w:val="bullet"/>
      <w:lvlText w:val="−"/>
      <w:lvlJc w:val="left"/>
      <w:pPr>
        <w:ind w:left="800" w:hanging="360"/>
      </w:pPr>
      <w:rPr>
        <w:rFonts w:ascii="Arial" w:eastAsiaTheme="minorEastAsia" w:hAnsi="Aria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84">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73222A77"/>
    <w:multiLevelType w:val="hybridMultilevel"/>
    <w:tmpl w:val="162E5896"/>
    <w:lvl w:ilvl="0" w:tplc="E10AE91E">
      <w:start w:val="1"/>
      <w:numFmt w:val="bullet"/>
      <w:lvlText w:val=""/>
      <w:lvlJc w:val="left"/>
      <w:pPr>
        <w:tabs>
          <w:tab w:val="num" w:pos="794"/>
        </w:tabs>
        <w:ind w:left="794" w:hanging="397"/>
      </w:pPr>
      <w:rPr>
        <w:rFonts w:ascii="Symbol" w:hAnsi="Symbol" w:hint="default"/>
        <w:color w:val="auto"/>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86">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738E6515"/>
    <w:multiLevelType w:val="hybridMultilevel"/>
    <w:tmpl w:val="CE38C5F8"/>
    <w:lvl w:ilvl="0" w:tplc="216470E8">
      <w:start w:val="1"/>
      <w:numFmt w:val="decimal"/>
      <w:lvlText w:val="6.%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482CC4"/>
    <w:multiLevelType w:val="hybridMultilevel"/>
    <w:tmpl w:val="FF8402AE"/>
    <w:lvl w:ilvl="0" w:tplc="2D463CFE">
      <w:start w:val="1"/>
      <w:numFmt w:val="bullet"/>
      <w:lvlText w:val=""/>
      <w:lvlJc w:val="left"/>
      <w:pPr>
        <w:ind w:left="720" w:hanging="360"/>
      </w:pPr>
      <w:rPr>
        <w:rFonts w:ascii="Symbol" w:hAnsi="Symbol" w:hint="default"/>
        <w:lang w:val="fr-C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5D11C28"/>
    <w:multiLevelType w:val="multilevel"/>
    <w:tmpl w:val="87962CC8"/>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2">
    <w:nsid w:val="75D377BE"/>
    <w:multiLevelType w:val="hybridMultilevel"/>
    <w:tmpl w:val="226E585A"/>
    <w:lvl w:ilvl="0" w:tplc="880460B2">
      <w:start w:val="1"/>
      <w:numFmt w:val="decimal"/>
      <w:lvlText w:val="20.%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3">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7CB0908"/>
    <w:multiLevelType w:val="hybridMultilevel"/>
    <w:tmpl w:val="3F7A7662"/>
    <w:lvl w:ilvl="0" w:tplc="CAE64F14">
      <w:start w:val="1"/>
      <w:numFmt w:val="decimal"/>
      <w:lvlText w:val="1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CB0373C"/>
    <w:multiLevelType w:val="hybridMultilevel"/>
    <w:tmpl w:val="ED8C91A8"/>
    <w:lvl w:ilvl="0" w:tplc="3D6E0BCA">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CB87600"/>
    <w:multiLevelType w:val="hybridMultilevel"/>
    <w:tmpl w:val="9B8CD3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76"/>
  </w:num>
  <w:num w:numId="3">
    <w:abstractNumId w:val="66"/>
  </w:num>
  <w:num w:numId="4">
    <w:abstractNumId w:val="19"/>
  </w:num>
  <w:num w:numId="5">
    <w:abstractNumId w:val="95"/>
  </w:num>
  <w:num w:numId="6">
    <w:abstractNumId w:val="81"/>
  </w:num>
  <w:num w:numId="7">
    <w:abstractNumId w:val="71"/>
  </w:num>
  <w:num w:numId="8">
    <w:abstractNumId w:val="9"/>
  </w:num>
  <w:num w:numId="9">
    <w:abstractNumId w:val="51"/>
  </w:num>
  <w:num w:numId="10">
    <w:abstractNumId w:val="73"/>
  </w:num>
  <w:num w:numId="11">
    <w:abstractNumId w:val="79"/>
  </w:num>
  <w:num w:numId="12">
    <w:abstractNumId w:val="60"/>
  </w:num>
  <w:num w:numId="13">
    <w:abstractNumId w:val="93"/>
  </w:num>
  <w:num w:numId="14">
    <w:abstractNumId w:val="72"/>
  </w:num>
  <w:num w:numId="15">
    <w:abstractNumId w:val="80"/>
  </w:num>
  <w:num w:numId="16">
    <w:abstractNumId w:val="24"/>
  </w:num>
  <w:num w:numId="17">
    <w:abstractNumId w:val="35"/>
  </w:num>
  <w:num w:numId="18">
    <w:abstractNumId w:val="32"/>
  </w:num>
  <w:num w:numId="19">
    <w:abstractNumId w:val="23"/>
  </w:num>
  <w:num w:numId="20">
    <w:abstractNumId w:val="67"/>
  </w:num>
  <w:num w:numId="21">
    <w:abstractNumId w:val="94"/>
  </w:num>
  <w:num w:numId="22">
    <w:abstractNumId w:val="18"/>
  </w:num>
  <w:num w:numId="23">
    <w:abstractNumId w:val="58"/>
  </w:num>
  <w:num w:numId="24">
    <w:abstractNumId w:val="53"/>
  </w:num>
  <w:num w:numId="25">
    <w:abstractNumId w:val="37"/>
  </w:num>
  <w:num w:numId="26">
    <w:abstractNumId w:val="70"/>
  </w:num>
  <w:num w:numId="27">
    <w:abstractNumId w:val="30"/>
  </w:num>
  <w:num w:numId="28">
    <w:abstractNumId w:val="1"/>
  </w:num>
  <w:num w:numId="29">
    <w:abstractNumId w:val="56"/>
  </w:num>
  <w:num w:numId="30">
    <w:abstractNumId w:val="61"/>
  </w:num>
  <w:num w:numId="31">
    <w:abstractNumId w:val="82"/>
  </w:num>
  <w:num w:numId="32">
    <w:abstractNumId w:val="10"/>
  </w:num>
  <w:num w:numId="33">
    <w:abstractNumId w:val="90"/>
  </w:num>
  <w:num w:numId="34">
    <w:abstractNumId w:val="5"/>
  </w:num>
  <w:num w:numId="35">
    <w:abstractNumId w:val="48"/>
  </w:num>
  <w:num w:numId="36">
    <w:abstractNumId w:val="38"/>
  </w:num>
  <w:num w:numId="37">
    <w:abstractNumId w:val="74"/>
  </w:num>
  <w:num w:numId="38">
    <w:abstractNumId w:val="62"/>
  </w:num>
  <w:num w:numId="39">
    <w:abstractNumId w:val="45"/>
  </w:num>
  <w:num w:numId="40">
    <w:abstractNumId w:val="78"/>
  </w:num>
  <w:num w:numId="41">
    <w:abstractNumId w:val="87"/>
  </w:num>
  <w:num w:numId="42">
    <w:abstractNumId w:val="43"/>
  </w:num>
  <w:num w:numId="43">
    <w:abstractNumId w:val="31"/>
  </w:num>
  <w:num w:numId="44">
    <w:abstractNumId w:val="20"/>
  </w:num>
  <w:num w:numId="45">
    <w:abstractNumId w:val="14"/>
  </w:num>
  <w:num w:numId="46">
    <w:abstractNumId w:val="47"/>
  </w:num>
  <w:num w:numId="47">
    <w:abstractNumId w:val="46"/>
  </w:num>
  <w:num w:numId="48">
    <w:abstractNumId w:val="33"/>
  </w:num>
  <w:num w:numId="49">
    <w:abstractNumId w:val="77"/>
  </w:num>
  <w:num w:numId="50">
    <w:abstractNumId w:val="68"/>
  </w:num>
  <w:num w:numId="51">
    <w:abstractNumId w:val="11"/>
  </w:num>
  <w:num w:numId="52">
    <w:abstractNumId w:val="28"/>
  </w:num>
  <w:num w:numId="53">
    <w:abstractNumId w:val="16"/>
  </w:num>
  <w:num w:numId="54">
    <w:abstractNumId w:val="34"/>
  </w:num>
  <w:num w:numId="55">
    <w:abstractNumId w:val="88"/>
  </w:num>
  <w:num w:numId="56">
    <w:abstractNumId w:val="97"/>
  </w:num>
  <w:num w:numId="57">
    <w:abstractNumId w:val="63"/>
  </w:num>
  <w:num w:numId="58">
    <w:abstractNumId w:val="4"/>
  </w:num>
  <w:num w:numId="59">
    <w:abstractNumId w:val="29"/>
  </w:num>
  <w:num w:numId="60">
    <w:abstractNumId w:val="89"/>
  </w:num>
  <w:num w:numId="61">
    <w:abstractNumId w:val="84"/>
  </w:num>
  <w:num w:numId="62">
    <w:abstractNumId w:val="91"/>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num>
  <w:num w:numId="65">
    <w:abstractNumId w:val="12"/>
  </w:num>
  <w:num w:numId="66">
    <w:abstractNumId w:val="40"/>
  </w:num>
  <w:num w:numId="67">
    <w:abstractNumId w:val="15"/>
  </w:num>
  <w:num w:numId="68">
    <w:abstractNumId w:val="6"/>
  </w:num>
  <w:num w:numId="69">
    <w:abstractNumId w:val="64"/>
  </w:num>
  <w:num w:numId="70">
    <w:abstractNumId w:val="8"/>
  </w:num>
  <w:num w:numId="71">
    <w:abstractNumId w:val="54"/>
  </w:num>
  <w:num w:numId="72">
    <w:abstractNumId w:val="96"/>
  </w:num>
  <w:num w:numId="73">
    <w:abstractNumId w:val="36"/>
  </w:num>
  <w:num w:numId="74">
    <w:abstractNumId w:val="13"/>
  </w:num>
  <w:num w:numId="75">
    <w:abstractNumId w:val="86"/>
  </w:num>
  <w:num w:numId="76">
    <w:abstractNumId w:val="44"/>
  </w:num>
  <w:num w:numId="77">
    <w:abstractNumId w:val="42"/>
  </w:num>
  <w:num w:numId="78">
    <w:abstractNumId w:val="17"/>
  </w:num>
  <w:num w:numId="79">
    <w:abstractNumId w:val="57"/>
  </w:num>
  <w:num w:numId="80">
    <w:abstractNumId w:val="83"/>
  </w:num>
  <w:num w:numId="81">
    <w:abstractNumId w:val="27"/>
  </w:num>
  <w:num w:numId="82">
    <w:abstractNumId w:val="21"/>
  </w:num>
  <w:num w:numId="83">
    <w:abstractNumId w:val="75"/>
  </w:num>
  <w:num w:numId="84">
    <w:abstractNumId w:val="69"/>
  </w:num>
  <w:num w:numId="85">
    <w:abstractNumId w:val="65"/>
  </w:num>
  <w:num w:numId="86">
    <w:abstractNumId w:val="41"/>
  </w:num>
  <w:num w:numId="87">
    <w:abstractNumId w:val="2"/>
  </w:num>
  <w:num w:numId="88">
    <w:abstractNumId w:val="85"/>
  </w:num>
  <w:num w:numId="89">
    <w:abstractNumId w:val="50"/>
  </w:num>
  <w:num w:numId="90">
    <w:abstractNumId w:val="25"/>
  </w:num>
  <w:num w:numId="91">
    <w:abstractNumId w:val="49"/>
  </w:num>
  <w:num w:numId="92">
    <w:abstractNumId w:val="55"/>
  </w:num>
  <w:num w:numId="93">
    <w:abstractNumId w:val="0"/>
  </w:num>
  <w:num w:numId="94">
    <w:abstractNumId w:val="39"/>
  </w:num>
  <w:num w:numId="95">
    <w:abstractNumId w:val="52"/>
  </w:num>
  <w:num w:numId="96">
    <w:abstractNumId w:val="59"/>
  </w:num>
  <w:num w:numId="97">
    <w:abstractNumId w:val="7"/>
  </w:num>
  <w:num w:numId="98">
    <w:abstractNumId w:val="3"/>
  </w:num>
  <w:num w:numId="99">
    <w:abstractNumId w:val="92"/>
  </w:num>
  <w:num w:numId="100">
    <w:abstractNumId w:val="22"/>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odie Coudrier">
    <w15:presenceInfo w15:providerId="Windows Live" w15:userId="319029f8aa33c3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0"/>
  <w:displayVerticalDrawingGridEvery w:val="0"/>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WIPONew"/>
    <w:docVar w:name="TermBaseURL" w:val="empty"/>
    <w:docVar w:name="TextBases" w:val="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am Server TMs\Default"/>
    <w:docVar w:name="TextBaseURL" w:val="empty"/>
    <w:docVar w:name="UILng" w:val="en"/>
  </w:docVars>
  <w:rsids>
    <w:rsidRoot w:val="00257E36"/>
    <w:rsid w:val="00002B72"/>
    <w:rsid w:val="00003A56"/>
    <w:rsid w:val="000122B6"/>
    <w:rsid w:val="000160BF"/>
    <w:rsid w:val="00017957"/>
    <w:rsid w:val="00017B85"/>
    <w:rsid w:val="00020073"/>
    <w:rsid w:val="00021E86"/>
    <w:rsid w:val="00022558"/>
    <w:rsid w:val="00022B2B"/>
    <w:rsid w:val="0002330E"/>
    <w:rsid w:val="00023A96"/>
    <w:rsid w:val="00024F34"/>
    <w:rsid w:val="0002542E"/>
    <w:rsid w:val="00030E4F"/>
    <w:rsid w:val="00031C65"/>
    <w:rsid w:val="00032C46"/>
    <w:rsid w:val="00032F41"/>
    <w:rsid w:val="00034B81"/>
    <w:rsid w:val="0003614B"/>
    <w:rsid w:val="0003747B"/>
    <w:rsid w:val="00041318"/>
    <w:rsid w:val="000413D3"/>
    <w:rsid w:val="00044428"/>
    <w:rsid w:val="00050B9B"/>
    <w:rsid w:val="000526CB"/>
    <w:rsid w:val="000542D7"/>
    <w:rsid w:val="000609EB"/>
    <w:rsid w:val="000638FC"/>
    <w:rsid w:val="00067E24"/>
    <w:rsid w:val="000736FD"/>
    <w:rsid w:val="00077E0D"/>
    <w:rsid w:val="0008144F"/>
    <w:rsid w:val="00083A15"/>
    <w:rsid w:val="00086191"/>
    <w:rsid w:val="00091826"/>
    <w:rsid w:val="00092C13"/>
    <w:rsid w:val="0009371B"/>
    <w:rsid w:val="00094CEB"/>
    <w:rsid w:val="00095798"/>
    <w:rsid w:val="00097218"/>
    <w:rsid w:val="000A0B37"/>
    <w:rsid w:val="000A78FF"/>
    <w:rsid w:val="000B164D"/>
    <w:rsid w:val="000B2BB2"/>
    <w:rsid w:val="000B394B"/>
    <w:rsid w:val="000B3D55"/>
    <w:rsid w:val="000B5338"/>
    <w:rsid w:val="000B5F28"/>
    <w:rsid w:val="000B7161"/>
    <w:rsid w:val="000B775D"/>
    <w:rsid w:val="000C4051"/>
    <w:rsid w:val="000C5A53"/>
    <w:rsid w:val="000D1064"/>
    <w:rsid w:val="000D3825"/>
    <w:rsid w:val="000D42B7"/>
    <w:rsid w:val="000D4A31"/>
    <w:rsid w:val="000D506A"/>
    <w:rsid w:val="000D5BC3"/>
    <w:rsid w:val="000D6478"/>
    <w:rsid w:val="000D6657"/>
    <w:rsid w:val="000E0032"/>
    <w:rsid w:val="000E3C24"/>
    <w:rsid w:val="000E4642"/>
    <w:rsid w:val="000F068B"/>
    <w:rsid w:val="000F0DE9"/>
    <w:rsid w:val="000F33B0"/>
    <w:rsid w:val="000F4765"/>
    <w:rsid w:val="000F5728"/>
    <w:rsid w:val="000F5E56"/>
    <w:rsid w:val="000F7031"/>
    <w:rsid w:val="000F7B07"/>
    <w:rsid w:val="001001D8"/>
    <w:rsid w:val="00100358"/>
    <w:rsid w:val="00100425"/>
    <w:rsid w:val="001108C2"/>
    <w:rsid w:val="00110E6A"/>
    <w:rsid w:val="0011174F"/>
    <w:rsid w:val="00112020"/>
    <w:rsid w:val="00115066"/>
    <w:rsid w:val="00117D1A"/>
    <w:rsid w:val="001212BB"/>
    <w:rsid w:val="001217AF"/>
    <w:rsid w:val="00122D45"/>
    <w:rsid w:val="0012454E"/>
    <w:rsid w:val="0012610D"/>
    <w:rsid w:val="001303B4"/>
    <w:rsid w:val="00133467"/>
    <w:rsid w:val="00135167"/>
    <w:rsid w:val="00135563"/>
    <w:rsid w:val="0014022E"/>
    <w:rsid w:val="00140730"/>
    <w:rsid w:val="00142788"/>
    <w:rsid w:val="00143727"/>
    <w:rsid w:val="00143F01"/>
    <w:rsid w:val="00147255"/>
    <w:rsid w:val="00147AB4"/>
    <w:rsid w:val="00150C63"/>
    <w:rsid w:val="00155297"/>
    <w:rsid w:val="00155890"/>
    <w:rsid w:val="00161BFD"/>
    <w:rsid w:val="00164A7F"/>
    <w:rsid w:val="00172D7B"/>
    <w:rsid w:val="001746CE"/>
    <w:rsid w:val="00181ACF"/>
    <w:rsid w:val="00184C10"/>
    <w:rsid w:val="00186475"/>
    <w:rsid w:val="00186B2D"/>
    <w:rsid w:val="0019168E"/>
    <w:rsid w:val="001A0166"/>
    <w:rsid w:val="001A09B0"/>
    <w:rsid w:val="001A3418"/>
    <w:rsid w:val="001A54F6"/>
    <w:rsid w:val="001A5AC3"/>
    <w:rsid w:val="001A7A2A"/>
    <w:rsid w:val="001A7EA6"/>
    <w:rsid w:val="001B101D"/>
    <w:rsid w:val="001B1273"/>
    <w:rsid w:val="001B1280"/>
    <w:rsid w:val="001B6174"/>
    <w:rsid w:val="001B6554"/>
    <w:rsid w:val="001C4825"/>
    <w:rsid w:val="001C560A"/>
    <w:rsid w:val="001C6C17"/>
    <w:rsid w:val="001D1EDF"/>
    <w:rsid w:val="001D4859"/>
    <w:rsid w:val="001D5730"/>
    <w:rsid w:val="001E3776"/>
    <w:rsid w:val="001E4B1F"/>
    <w:rsid w:val="001E58DF"/>
    <w:rsid w:val="001E6DFD"/>
    <w:rsid w:val="001E7869"/>
    <w:rsid w:val="001F1461"/>
    <w:rsid w:val="001F2738"/>
    <w:rsid w:val="001F3D58"/>
    <w:rsid w:val="001F64B1"/>
    <w:rsid w:val="001F7822"/>
    <w:rsid w:val="00200AD5"/>
    <w:rsid w:val="00203110"/>
    <w:rsid w:val="00203DE5"/>
    <w:rsid w:val="00206704"/>
    <w:rsid w:val="00206BEF"/>
    <w:rsid w:val="00207AAD"/>
    <w:rsid w:val="00214A9E"/>
    <w:rsid w:val="002155B2"/>
    <w:rsid w:val="00216792"/>
    <w:rsid w:val="002174B7"/>
    <w:rsid w:val="00217A66"/>
    <w:rsid w:val="00220553"/>
    <w:rsid w:val="002307FD"/>
    <w:rsid w:val="00231E89"/>
    <w:rsid w:val="00232CD5"/>
    <w:rsid w:val="00240814"/>
    <w:rsid w:val="002426F3"/>
    <w:rsid w:val="00242CAF"/>
    <w:rsid w:val="0024319B"/>
    <w:rsid w:val="00243544"/>
    <w:rsid w:val="0024402A"/>
    <w:rsid w:val="00245573"/>
    <w:rsid w:val="002463AB"/>
    <w:rsid w:val="00246A17"/>
    <w:rsid w:val="002479E9"/>
    <w:rsid w:val="00247EC2"/>
    <w:rsid w:val="00252B78"/>
    <w:rsid w:val="00254175"/>
    <w:rsid w:val="00257E36"/>
    <w:rsid w:val="0026028D"/>
    <w:rsid w:val="0026556E"/>
    <w:rsid w:val="00267F7B"/>
    <w:rsid w:val="00271523"/>
    <w:rsid w:val="00272194"/>
    <w:rsid w:val="00275BCC"/>
    <w:rsid w:val="00277F3C"/>
    <w:rsid w:val="0028155C"/>
    <w:rsid w:val="00282CF5"/>
    <w:rsid w:val="00285A21"/>
    <w:rsid w:val="0028746D"/>
    <w:rsid w:val="00287B47"/>
    <w:rsid w:val="00290EF2"/>
    <w:rsid w:val="0029190C"/>
    <w:rsid w:val="002A007F"/>
    <w:rsid w:val="002A0884"/>
    <w:rsid w:val="002A49FC"/>
    <w:rsid w:val="002A6384"/>
    <w:rsid w:val="002A6E84"/>
    <w:rsid w:val="002B1727"/>
    <w:rsid w:val="002B2AB0"/>
    <w:rsid w:val="002C04E9"/>
    <w:rsid w:val="002C0E4E"/>
    <w:rsid w:val="002C3FD1"/>
    <w:rsid w:val="002C58CD"/>
    <w:rsid w:val="002D5783"/>
    <w:rsid w:val="002D57E6"/>
    <w:rsid w:val="002D5A6E"/>
    <w:rsid w:val="002D65A5"/>
    <w:rsid w:val="002E4CDE"/>
    <w:rsid w:val="002E5E73"/>
    <w:rsid w:val="002E6400"/>
    <w:rsid w:val="002E7A4A"/>
    <w:rsid w:val="002F00FF"/>
    <w:rsid w:val="002F0BC8"/>
    <w:rsid w:val="002F1C9B"/>
    <w:rsid w:val="002F370A"/>
    <w:rsid w:val="002F44C6"/>
    <w:rsid w:val="002F6633"/>
    <w:rsid w:val="002F6665"/>
    <w:rsid w:val="002F6FFC"/>
    <w:rsid w:val="003019AD"/>
    <w:rsid w:val="003061D9"/>
    <w:rsid w:val="003067C6"/>
    <w:rsid w:val="003078C8"/>
    <w:rsid w:val="0031690F"/>
    <w:rsid w:val="00322527"/>
    <w:rsid w:val="003232D2"/>
    <w:rsid w:val="003234AE"/>
    <w:rsid w:val="003239D7"/>
    <w:rsid w:val="003240D5"/>
    <w:rsid w:val="00324143"/>
    <w:rsid w:val="00324B33"/>
    <w:rsid w:val="0033075B"/>
    <w:rsid w:val="00333534"/>
    <w:rsid w:val="003374E2"/>
    <w:rsid w:val="00340492"/>
    <w:rsid w:val="0034102B"/>
    <w:rsid w:val="00343FF9"/>
    <w:rsid w:val="00344E4B"/>
    <w:rsid w:val="0035170A"/>
    <w:rsid w:val="00355BD4"/>
    <w:rsid w:val="00356386"/>
    <w:rsid w:val="00356DF9"/>
    <w:rsid w:val="00360496"/>
    <w:rsid w:val="00360E2E"/>
    <w:rsid w:val="00362405"/>
    <w:rsid w:val="00365AAD"/>
    <w:rsid w:val="00371CB6"/>
    <w:rsid w:val="00372596"/>
    <w:rsid w:val="00372C8D"/>
    <w:rsid w:val="00374E71"/>
    <w:rsid w:val="00381334"/>
    <w:rsid w:val="00381826"/>
    <w:rsid w:val="00381A79"/>
    <w:rsid w:val="00382B05"/>
    <w:rsid w:val="003876F7"/>
    <w:rsid w:val="00387768"/>
    <w:rsid w:val="0039031D"/>
    <w:rsid w:val="00391514"/>
    <w:rsid w:val="00391F1A"/>
    <w:rsid w:val="00392FE8"/>
    <w:rsid w:val="00394ACE"/>
    <w:rsid w:val="00394CA8"/>
    <w:rsid w:val="00395C73"/>
    <w:rsid w:val="003972C3"/>
    <w:rsid w:val="003A3861"/>
    <w:rsid w:val="003A3F9F"/>
    <w:rsid w:val="003A7732"/>
    <w:rsid w:val="003B257B"/>
    <w:rsid w:val="003B5D62"/>
    <w:rsid w:val="003B6046"/>
    <w:rsid w:val="003C03E6"/>
    <w:rsid w:val="003C5507"/>
    <w:rsid w:val="003D16A6"/>
    <w:rsid w:val="003D4F8C"/>
    <w:rsid w:val="003E1B83"/>
    <w:rsid w:val="003E37BA"/>
    <w:rsid w:val="003F1362"/>
    <w:rsid w:val="003F1677"/>
    <w:rsid w:val="003F1844"/>
    <w:rsid w:val="003F295F"/>
    <w:rsid w:val="003F4719"/>
    <w:rsid w:val="003F681B"/>
    <w:rsid w:val="003F79BF"/>
    <w:rsid w:val="0040063D"/>
    <w:rsid w:val="00401FDD"/>
    <w:rsid w:val="0040317D"/>
    <w:rsid w:val="00403B32"/>
    <w:rsid w:val="00404EEE"/>
    <w:rsid w:val="00405240"/>
    <w:rsid w:val="00406EB8"/>
    <w:rsid w:val="00411DA4"/>
    <w:rsid w:val="0041334A"/>
    <w:rsid w:val="00414513"/>
    <w:rsid w:val="00414C02"/>
    <w:rsid w:val="00416BF8"/>
    <w:rsid w:val="00417894"/>
    <w:rsid w:val="00420BB2"/>
    <w:rsid w:val="00423EE5"/>
    <w:rsid w:val="004245ED"/>
    <w:rsid w:val="0043014B"/>
    <w:rsid w:val="00431118"/>
    <w:rsid w:val="004328C7"/>
    <w:rsid w:val="00435A70"/>
    <w:rsid w:val="00436F1E"/>
    <w:rsid w:val="00440E49"/>
    <w:rsid w:val="00445D3C"/>
    <w:rsid w:val="00446C99"/>
    <w:rsid w:val="00447F6B"/>
    <w:rsid w:val="00450997"/>
    <w:rsid w:val="004510EA"/>
    <w:rsid w:val="00451372"/>
    <w:rsid w:val="00454DDF"/>
    <w:rsid w:val="004560B4"/>
    <w:rsid w:val="00457A24"/>
    <w:rsid w:val="0046095E"/>
    <w:rsid w:val="004613C0"/>
    <w:rsid w:val="00463DF3"/>
    <w:rsid w:val="00465379"/>
    <w:rsid w:val="00465C35"/>
    <w:rsid w:val="00465D6B"/>
    <w:rsid w:val="0046687E"/>
    <w:rsid w:val="00471238"/>
    <w:rsid w:val="00471726"/>
    <w:rsid w:val="00471BFA"/>
    <w:rsid w:val="004730CB"/>
    <w:rsid w:val="0047418A"/>
    <w:rsid w:val="00476A0E"/>
    <w:rsid w:val="00476E5E"/>
    <w:rsid w:val="00482784"/>
    <w:rsid w:val="0048299D"/>
    <w:rsid w:val="00482FFE"/>
    <w:rsid w:val="00485DA1"/>
    <w:rsid w:val="0048606A"/>
    <w:rsid w:val="00486DDC"/>
    <w:rsid w:val="00486E41"/>
    <w:rsid w:val="00491D52"/>
    <w:rsid w:val="00493738"/>
    <w:rsid w:val="004941DC"/>
    <w:rsid w:val="00497849"/>
    <w:rsid w:val="004A2296"/>
    <w:rsid w:val="004A31F2"/>
    <w:rsid w:val="004A4D21"/>
    <w:rsid w:val="004A5A12"/>
    <w:rsid w:val="004B0040"/>
    <w:rsid w:val="004B0157"/>
    <w:rsid w:val="004B070D"/>
    <w:rsid w:val="004B0FFF"/>
    <w:rsid w:val="004B3EF7"/>
    <w:rsid w:val="004C03E8"/>
    <w:rsid w:val="004C4D9C"/>
    <w:rsid w:val="004C6A7C"/>
    <w:rsid w:val="004C6C05"/>
    <w:rsid w:val="004C6FA8"/>
    <w:rsid w:val="004D00EA"/>
    <w:rsid w:val="004D065D"/>
    <w:rsid w:val="004D2913"/>
    <w:rsid w:val="004D39CC"/>
    <w:rsid w:val="004D421A"/>
    <w:rsid w:val="004D66F0"/>
    <w:rsid w:val="004E04F7"/>
    <w:rsid w:val="004E0A63"/>
    <w:rsid w:val="004E4A91"/>
    <w:rsid w:val="004E5573"/>
    <w:rsid w:val="004E745F"/>
    <w:rsid w:val="004F185D"/>
    <w:rsid w:val="004F47BB"/>
    <w:rsid w:val="004F5E83"/>
    <w:rsid w:val="004F68DA"/>
    <w:rsid w:val="004F7B75"/>
    <w:rsid w:val="00505E98"/>
    <w:rsid w:val="00505EF6"/>
    <w:rsid w:val="00505F12"/>
    <w:rsid w:val="00507A25"/>
    <w:rsid w:val="00507D89"/>
    <w:rsid w:val="00514A9B"/>
    <w:rsid w:val="00515B0B"/>
    <w:rsid w:val="005171A6"/>
    <w:rsid w:val="005212FB"/>
    <w:rsid w:val="00523E36"/>
    <w:rsid w:val="005242F7"/>
    <w:rsid w:val="00531474"/>
    <w:rsid w:val="00533313"/>
    <w:rsid w:val="00536096"/>
    <w:rsid w:val="00540403"/>
    <w:rsid w:val="00540D53"/>
    <w:rsid w:val="005436BF"/>
    <w:rsid w:val="00543FBD"/>
    <w:rsid w:val="005444D1"/>
    <w:rsid w:val="00544FFD"/>
    <w:rsid w:val="00547C06"/>
    <w:rsid w:val="005506FB"/>
    <w:rsid w:val="00550A38"/>
    <w:rsid w:val="00554164"/>
    <w:rsid w:val="00555D34"/>
    <w:rsid w:val="00556813"/>
    <w:rsid w:val="005569AB"/>
    <w:rsid w:val="00557D7E"/>
    <w:rsid w:val="00561B47"/>
    <w:rsid w:val="005623CF"/>
    <w:rsid w:val="00565BAE"/>
    <w:rsid w:val="00565EFE"/>
    <w:rsid w:val="00570816"/>
    <w:rsid w:val="00584405"/>
    <w:rsid w:val="00587326"/>
    <w:rsid w:val="0059133D"/>
    <w:rsid w:val="005920D5"/>
    <w:rsid w:val="005927AB"/>
    <w:rsid w:val="005A1524"/>
    <w:rsid w:val="005A2663"/>
    <w:rsid w:val="005A2D8D"/>
    <w:rsid w:val="005A435C"/>
    <w:rsid w:val="005B0155"/>
    <w:rsid w:val="005B60EC"/>
    <w:rsid w:val="005B6AEA"/>
    <w:rsid w:val="005C2996"/>
    <w:rsid w:val="005C4694"/>
    <w:rsid w:val="005C5580"/>
    <w:rsid w:val="005C6726"/>
    <w:rsid w:val="005C716A"/>
    <w:rsid w:val="005D0CB3"/>
    <w:rsid w:val="005D3542"/>
    <w:rsid w:val="005D4B78"/>
    <w:rsid w:val="005D4D83"/>
    <w:rsid w:val="005D68C4"/>
    <w:rsid w:val="005D6DC1"/>
    <w:rsid w:val="005E0AE7"/>
    <w:rsid w:val="005E2B9C"/>
    <w:rsid w:val="005F1EE8"/>
    <w:rsid w:val="005F53E4"/>
    <w:rsid w:val="005F661A"/>
    <w:rsid w:val="00603FB5"/>
    <w:rsid w:val="00604D96"/>
    <w:rsid w:val="00606DEC"/>
    <w:rsid w:val="00606F3B"/>
    <w:rsid w:val="006105E7"/>
    <w:rsid w:val="006115F9"/>
    <w:rsid w:val="00613558"/>
    <w:rsid w:val="00615796"/>
    <w:rsid w:val="00615D04"/>
    <w:rsid w:val="00617973"/>
    <w:rsid w:val="00624C06"/>
    <w:rsid w:val="00630DC3"/>
    <w:rsid w:val="0063461B"/>
    <w:rsid w:val="0063631C"/>
    <w:rsid w:val="00641886"/>
    <w:rsid w:val="00644689"/>
    <w:rsid w:val="00644A97"/>
    <w:rsid w:val="00645669"/>
    <w:rsid w:val="00647472"/>
    <w:rsid w:val="00647AE1"/>
    <w:rsid w:val="006510EE"/>
    <w:rsid w:val="0065135E"/>
    <w:rsid w:val="006526C1"/>
    <w:rsid w:val="00652ACD"/>
    <w:rsid w:val="006547DF"/>
    <w:rsid w:val="006564E6"/>
    <w:rsid w:val="00661437"/>
    <w:rsid w:val="0066336B"/>
    <w:rsid w:val="00664ABA"/>
    <w:rsid w:val="006658D5"/>
    <w:rsid w:val="00665C65"/>
    <w:rsid w:val="0067214C"/>
    <w:rsid w:val="0067641C"/>
    <w:rsid w:val="00680DFF"/>
    <w:rsid w:val="00682772"/>
    <w:rsid w:val="0068495C"/>
    <w:rsid w:val="006917E0"/>
    <w:rsid w:val="006937FD"/>
    <w:rsid w:val="006956B9"/>
    <w:rsid w:val="006962DF"/>
    <w:rsid w:val="006A12D5"/>
    <w:rsid w:val="006A41CF"/>
    <w:rsid w:val="006A58B3"/>
    <w:rsid w:val="006A6147"/>
    <w:rsid w:val="006A627E"/>
    <w:rsid w:val="006A7494"/>
    <w:rsid w:val="006B1F89"/>
    <w:rsid w:val="006B3895"/>
    <w:rsid w:val="006B5B23"/>
    <w:rsid w:val="006B7103"/>
    <w:rsid w:val="006B76EE"/>
    <w:rsid w:val="006C14BB"/>
    <w:rsid w:val="006C253C"/>
    <w:rsid w:val="006C4845"/>
    <w:rsid w:val="006C4DF8"/>
    <w:rsid w:val="006C55A4"/>
    <w:rsid w:val="006C55BA"/>
    <w:rsid w:val="006C5CB0"/>
    <w:rsid w:val="006C646B"/>
    <w:rsid w:val="006C7562"/>
    <w:rsid w:val="006C769C"/>
    <w:rsid w:val="006D05DC"/>
    <w:rsid w:val="006D160E"/>
    <w:rsid w:val="006D1A6D"/>
    <w:rsid w:val="006D3E1A"/>
    <w:rsid w:val="006D5D4D"/>
    <w:rsid w:val="006D76BD"/>
    <w:rsid w:val="006D78C1"/>
    <w:rsid w:val="006E3394"/>
    <w:rsid w:val="006E4EA9"/>
    <w:rsid w:val="006E584F"/>
    <w:rsid w:val="006F04F5"/>
    <w:rsid w:val="006F1ACA"/>
    <w:rsid w:val="006F33D5"/>
    <w:rsid w:val="006F3FD5"/>
    <w:rsid w:val="006F475D"/>
    <w:rsid w:val="006F6DF5"/>
    <w:rsid w:val="00701642"/>
    <w:rsid w:val="007045FC"/>
    <w:rsid w:val="00705B22"/>
    <w:rsid w:val="007103ED"/>
    <w:rsid w:val="00712ECF"/>
    <w:rsid w:val="00716DA5"/>
    <w:rsid w:val="00716DDB"/>
    <w:rsid w:val="007201B7"/>
    <w:rsid w:val="00724403"/>
    <w:rsid w:val="00726036"/>
    <w:rsid w:val="00727C3B"/>
    <w:rsid w:val="00732EA4"/>
    <w:rsid w:val="00735877"/>
    <w:rsid w:val="00735B6A"/>
    <w:rsid w:val="007419D6"/>
    <w:rsid w:val="007426F2"/>
    <w:rsid w:val="007458D0"/>
    <w:rsid w:val="0074619F"/>
    <w:rsid w:val="00751187"/>
    <w:rsid w:val="007521E8"/>
    <w:rsid w:val="0075276A"/>
    <w:rsid w:val="00753D87"/>
    <w:rsid w:val="00756CE2"/>
    <w:rsid w:val="007655E7"/>
    <w:rsid w:val="00766D70"/>
    <w:rsid w:val="007674C9"/>
    <w:rsid w:val="00767B0A"/>
    <w:rsid w:val="00767EC2"/>
    <w:rsid w:val="007703CF"/>
    <w:rsid w:val="00771DAE"/>
    <w:rsid w:val="00773D27"/>
    <w:rsid w:val="00775759"/>
    <w:rsid w:val="00775D8A"/>
    <w:rsid w:val="007760E9"/>
    <w:rsid w:val="00777681"/>
    <w:rsid w:val="007811F7"/>
    <w:rsid w:val="00782D1D"/>
    <w:rsid w:val="007878B9"/>
    <w:rsid w:val="00790338"/>
    <w:rsid w:val="00793E74"/>
    <w:rsid w:val="00795432"/>
    <w:rsid w:val="0079788A"/>
    <w:rsid w:val="007A21B3"/>
    <w:rsid w:val="007A2632"/>
    <w:rsid w:val="007A3F15"/>
    <w:rsid w:val="007A5933"/>
    <w:rsid w:val="007B1800"/>
    <w:rsid w:val="007B1E8A"/>
    <w:rsid w:val="007B23BD"/>
    <w:rsid w:val="007B240C"/>
    <w:rsid w:val="007B34ED"/>
    <w:rsid w:val="007B38A5"/>
    <w:rsid w:val="007B6500"/>
    <w:rsid w:val="007B6B58"/>
    <w:rsid w:val="007B6C93"/>
    <w:rsid w:val="007B6CCE"/>
    <w:rsid w:val="007B71B9"/>
    <w:rsid w:val="007C24AA"/>
    <w:rsid w:val="007C491E"/>
    <w:rsid w:val="007C6048"/>
    <w:rsid w:val="007D0166"/>
    <w:rsid w:val="007D04DD"/>
    <w:rsid w:val="007D1838"/>
    <w:rsid w:val="007D4CD7"/>
    <w:rsid w:val="007D53C7"/>
    <w:rsid w:val="007D67D0"/>
    <w:rsid w:val="007E05AD"/>
    <w:rsid w:val="007E09A2"/>
    <w:rsid w:val="007E3422"/>
    <w:rsid w:val="007E34C0"/>
    <w:rsid w:val="007E3753"/>
    <w:rsid w:val="007F0F8B"/>
    <w:rsid w:val="007F5E34"/>
    <w:rsid w:val="007F7162"/>
    <w:rsid w:val="00800A12"/>
    <w:rsid w:val="00803738"/>
    <w:rsid w:val="00803F0C"/>
    <w:rsid w:val="00804DB7"/>
    <w:rsid w:val="0080610A"/>
    <w:rsid w:val="00807867"/>
    <w:rsid w:val="00807EAC"/>
    <w:rsid w:val="00811528"/>
    <w:rsid w:val="008120F1"/>
    <w:rsid w:val="00813FF8"/>
    <w:rsid w:val="008156BB"/>
    <w:rsid w:val="00822259"/>
    <w:rsid w:val="0082664D"/>
    <w:rsid w:val="008271D0"/>
    <w:rsid w:val="00832CD0"/>
    <w:rsid w:val="00833097"/>
    <w:rsid w:val="00843598"/>
    <w:rsid w:val="00844F32"/>
    <w:rsid w:val="00845A7C"/>
    <w:rsid w:val="008467ED"/>
    <w:rsid w:val="00846953"/>
    <w:rsid w:val="00851C67"/>
    <w:rsid w:val="00852219"/>
    <w:rsid w:val="00853F4F"/>
    <w:rsid w:val="00854420"/>
    <w:rsid w:val="008563A6"/>
    <w:rsid w:val="00860DC9"/>
    <w:rsid w:val="00861CD5"/>
    <w:rsid w:val="00861D82"/>
    <w:rsid w:val="00862739"/>
    <w:rsid w:val="00862C2B"/>
    <w:rsid w:val="00865602"/>
    <w:rsid w:val="00866CDB"/>
    <w:rsid w:val="00871461"/>
    <w:rsid w:val="008726C8"/>
    <w:rsid w:val="008755EF"/>
    <w:rsid w:val="0087680E"/>
    <w:rsid w:val="00883024"/>
    <w:rsid w:val="008846AD"/>
    <w:rsid w:val="00885719"/>
    <w:rsid w:val="008918DE"/>
    <w:rsid w:val="00895516"/>
    <w:rsid w:val="008957DE"/>
    <w:rsid w:val="008A1BA6"/>
    <w:rsid w:val="008A3744"/>
    <w:rsid w:val="008A3AC7"/>
    <w:rsid w:val="008A5570"/>
    <w:rsid w:val="008B40CC"/>
    <w:rsid w:val="008B5C8B"/>
    <w:rsid w:val="008B77A6"/>
    <w:rsid w:val="008C0B84"/>
    <w:rsid w:val="008C18CA"/>
    <w:rsid w:val="008C6E0E"/>
    <w:rsid w:val="008D24A6"/>
    <w:rsid w:val="008D2C13"/>
    <w:rsid w:val="008D5362"/>
    <w:rsid w:val="008D77C5"/>
    <w:rsid w:val="008E3AC5"/>
    <w:rsid w:val="008E3D5F"/>
    <w:rsid w:val="008F1EC0"/>
    <w:rsid w:val="009003E7"/>
    <w:rsid w:val="00900E5C"/>
    <w:rsid w:val="0090256B"/>
    <w:rsid w:val="00904EBE"/>
    <w:rsid w:val="00907A3B"/>
    <w:rsid w:val="00907AD6"/>
    <w:rsid w:val="00907F84"/>
    <w:rsid w:val="00912BA2"/>
    <w:rsid w:val="00912C62"/>
    <w:rsid w:val="00913A39"/>
    <w:rsid w:val="00913C93"/>
    <w:rsid w:val="009142D1"/>
    <w:rsid w:val="00920192"/>
    <w:rsid w:val="009210CD"/>
    <w:rsid w:val="00922A58"/>
    <w:rsid w:val="00925EB4"/>
    <w:rsid w:val="00926242"/>
    <w:rsid w:val="009276C7"/>
    <w:rsid w:val="009325F4"/>
    <w:rsid w:val="00932F26"/>
    <w:rsid w:val="00936ADB"/>
    <w:rsid w:val="00941428"/>
    <w:rsid w:val="00941556"/>
    <w:rsid w:val="00945B76"/>
    <w:rsid w:val="00946174"/>
    <w:rsid w:val="0094623D"/>
    <w:rsid w:val="0094768F"/>
    <w:rsid w:val="00954D0C"/>
    <w:rsid w:val="00955E3B"/>
    <w:rsid w:val="00956373"/>
    <w:rsid w:val="009602BE"/>
    <w:rsid w:val="00961905"/>
    <w:rsid w:val="00963DD5"/>
    <w:rsid w:val="00965B37"/>
    <w:rsid w:val="00966675"/>
    <w:rsid w:val="00966AC1"/>
    <w:rsid w:val="009670D8"/>
    <w:rsid w:val="0096759E"/>
    <w:rsid w:val="00970743"/>
    <w:rsid w:val="009709C2"/>
    <w:rsid w:val="0097226C"/>
    <w:rsid w:val="00972C9E"/>
    <w:rsid w:val="009761D3"/>
    <w:rsid w:val="009769AD"/>
    <w:rsid w:val="009773F1"/>
    <w:rsid w:val="00980978"/>
    <w:rsid w:val="00980A1C"/>
    <w:rsid w:val="0098287E"/>
    <w:rsid w:val="009914B9"/>
    <w:rsid w:val="00997799"/>
    <w:rsid w:val="00997A38"/>
    <w:rsid w:val="00997ABA"/>
    <w:rsid w:val="009A1740"/>
    <w:rsid w:val="009A21CC"/>
    <w:rsid w:val="009B322C"/>
    <w:rsid w:val="009B328F"/>
    <w:rsid w:val="009B3F3B"/>
    <w:rsid w:val="009B6E8D"/>
    <w:rsid w:val="009C04B4"/>
    <w:rsid w:val="009C18EE"/>
    <w:rsid w:val="009C2A43"/>
    <w:rsid w:val="009C2C17"/>
    <w:rsid w:val="009D113A"/>
    <w:rsid w:val="009D69C3"/>
    <w:rsid w:val="009D74EF"/>
    <w:rsid w:val="009E1B3D"/>
    <w:rsid w:val="009E1D29"/>
    <w:rsid w:val="009E3CFE"/>
    <w:rsid w:val="009E3DEA"/>
    <w:rsid w:val="009E79AC"/>
    <w:rsid w:val="009E7A5D"/>
    <w:rsid w:val="009F2F93"/>
    <w:rsid w:val="009F658A"/>
    <w:rsid w:val="00A03FA5"/>
    <w:rsid w:val="00A04AA4"/>
    <w:rsid w:val="00A055E7"/>
    <w:rsid w:val="00A062D0"/>
    <w:rsid w:val="00A067C5"/>
    <w:rsid w:val="00A06ED3"/>
    <w:rsid w:val="00A07C63"/>
    <w:rsid w:val="00A1194D"/>
    <w:rsid w:val="00A12D2E"/>
    <w:rsid w:val="00A14FAB"/>
    <w:rsid w:val="00A15986"/>
    <w:rsid w:val="00A17D98"/>
    <w:rsid w:val="00A212A1"/>
    <w:rsid w:val="00A25D2B"/>
    <w:rsid w:val="00A27765"/>
    <w:rsid w:val="00A27921"/>
    <w:rsid w:val="00A27E65"/>
    <w:rsid w:val="00A27EC6"/>
    <w:rsid w:val="00A27F61"/>
    <w:rsid w:val="00A312C6"/>
    <w:rsid w:val="00A350AB"/>
    <w:rsid w:val="00A369A1"/>
    <w:rsid w:val="00A36C6C"/>
    <w:rsid w:val="00A37A93"/>
    <w:rsid w:val="00A43B2F"/>
    <w:rsid w:val="00A44EDC"/>
    <w:rsid w:val="00A4592C"/>
    <w:rsid w:val="00A45F9F"/>
    <w:rsid w:val="00A460DC"/>
    <w:rsid w:val="00A52AEE"/>
    <w:rsid w:val="00A52DED"/>
    <w:rsid w:val="00A5398B"/>
    <w:rsid w:val="00A54EDD"/>
    <w:rsid w:val="00A62E80"/>
    <w:rsid w:val="00A639BD"/>
    <w:rsid w:val="00A66E70"/>
    <w:rsid w:val="00A67FE6"/>
    <w:rsid w:val="00A7027B"/>
    <w:rsid w:val="00A70BEE"/>
    <w:rsid w:val="00A76AA3"/>
    <w:rsid w:val="00A806A7"/>
    <w:rsid w:val="00A81928"/>
    <w:rsid w:val="00A83D07"/>
    <w:rsid w:val="00A84086"/>
    <w:rsid w:val="00A8557A"/>
    <w:rsid w:val="00A866D3"/>
    <w:rsid w:val="00A91339"/>
    <w:rsid w:val="00A9454A"/>
    <w:rsid w:val="00A947A0"/>
    <w:rsid w:val="00A97ED1"/>
    <w:rsid w:val="00AA1D51"/>
    <w:rsid w:val="00AA1EA7"/>
    <w:rsid w:val="00AA35E6"/>
    <w:rsid w:val="00AA3C32"/>
    <w:rsid w:val="00AA40F6"/>
    <w:rsid w:val="00AA64E5"/>
    <w:rsid w:val="00AA6710"/>
    <w:rsid w:val="00AA6AF2"/>
    <w:rsid w:val="00AB3F37"/>
    <w:rsid w:val="00AB656A"/>
    <w:rsid w:val="00AC2524"/>
    <w:rsid w:val="00AC2B99"/>
    <w:rsid w:val="00AC53E9"/>
    <w:rsid w:val="00AC67E6"/>
    <w:rsid w:val="00AC7D4B"/>
    <w:rsid w:val="00AC7D97"/>
    <w:rsid w:val="00AD39EC"/>
    <w:rsid w:val="00AD40E6"/>
    <w:rsid w:val="00AE2955"/>
    <w:rsid w:val="00AE4CDA"/>
    <w:rsid w:val="00AF5A01"/>
    <w:rsid w:val="00B00ACF"/>
    <w:rsid w:val="00B04CD4"/>
    <w:rsid w:val="00B0596B"/>
    <w:rsid w:val="00B05B15"/>
    <w:rsid w:val="00B06BD7"/>
    <w:rsid w:val="00B222D5"/>
    <w:rsid w:val="00B2297A"/>
    <w:rsid w:val="00B24BF3"/>
    <w:rsid w:val="00B24F53"/>
    <w:rsid w:val="00B2641D"/>
    <w:rsid w:val="00B302EF"/>
    <w:rsid w:val="00B3616A"/>
    <w:rsid w:val="00B4191E"/>
    <w:rsid w:val="00B42F9D"/>
    <w:rsid w:val="00B46717"/>
    <w:rsid w:val="00B47D67"/>
    <w:rsid w:val="00B502BE"/>
    <w:rsid w:val="00B50CD6"/>
    <w:rsid w:val="00B516DC"/>
    <w:rsid w:val="00B51C90"/>
    <w:rsid w:val="00B51D56"/>
    <w:rsid w:val="00B52D48"/>
    <w:rsid w:val="00B622F0"/>
    <w:rsid w:val="00B64942"/>
    <w:rsid w:val="00B649F5"/>
    <w:rsid w:val="00B6515A"/>
    <w:rsid w:val="00B65443"/>
    <w:rsid w:val="00B65DDA"/>
    <w:rsid w:val="00B660BC"/>
    <w:rsid w:val="00B66BE4"/>
    <w:rsid w:val="00B70960"/>
    <w:rsid w:val="00B72371"/>
    <w:rsid w:val="00B72BB9"/>
    <w:rsid w:val="00B74285"/>
    <w:rsid w:val="00B746F8"/>
    <w:rsid w:val="00B80C82"/>
    <w:rsid w:val="00B823BB"/>
    <w:rsid w:val="00B84C81"/>
    <w:rsid w:val="00B84C8D"/>
    <w:rsid w:val="00B85200"/>
    <w:rsid w:val="00B87978"/>
    <w:rsid w:val="00B87B41"/>
    <w:rsid w:val="00B9746D"/>
    <w:rsid w:val="00B974E5"/>
    <w:rsid w:val="00B97C33"/>
    <w:rsid w:val="00BA1094"/>
    <w:rsid w:val="00BA2736"/>
    <w:rsid w:val="00BA5EA9"/>
    <w:rsid w:val="00BB0229"/>
    <w:rsid w:val="00BB0DFE"/>
    <w:rsid w:val="00BB15AB"/>
    <w:rsid w:val="00BB296E"/>
    <w:rsid w:val="00BB41FB"/>
    <w:rsid w:val="00BB63E8"/>
    <w:rsid w:val="00BC1038"/>
    <w:rsid w:val="00BC28FB"/>
    <w:rsid w:val="00BC4A7C"/>
    <w:rsid w:val="00BC78D9"/>
    <w:rsid w:val="00BD157F"/>
    <w:rsid w:val="00BD6415"/>
    <w:rsid w:val="00BD723D"/>
    <w:rsid w:val="00BE1017"/>
    <w:rsid w:val="00BE2F66"/>
    <w:rsid w:val="00BE3607"/>
    <w:rsid w:val="00BE40CB"/>
    <w:rsid w:val="00BE4A94"/>
    <w:rsid w:val="00BF08D5"/>
    <w:rsid w:val="00BF24C0"/>
    <w:rsid w:val="00C050DF"/>
    <w:rsid w:val="00C05954"/>
    <w:rsid w:val="00C0602C"/>
    <w:rsid w:val="00C102AF"/>
    <w:rsid w:val="00C10A48"/>
    <w:rsid w:val="00C10B5E"/>
    <w:rsid w:val="00C119C4"/>
    <w:rsid w:val="00C14AD7"/>
    <w:rsid w:val="00C1672D"/>
    <w:rsid w:val="00C17B91"/>
    <w:rsid w:val="00C201FD"/>
    <w:rsid w:val="00C2082C"/>
    <w:rsid w:val="00C21CA9"/>
    <w:rsid w:val="00C2239E"/>
    <w:rsid w:val="00C238C3"/>
    <w:rsid w:val="00C243CA"/>
    <w:rsid w:val="00C27BF5"/>
    <w:rsid w:val="00C31FA5"/>
    <w:rsid w:val="00C322C6"/>
    <w:rsid w:val="00C32CCC"/>
    <w:rsid w:val="00C40613"/>
    <w:rsid w:val="00C412AC"/>
    <w:rsid w:val="00C42383"/>
    <w:rsid w:val="00C47039"/>
    <w:rsid w:val="00C47687"/>
    <w:rsid w:val="00C47AF8"/>
    <w:rsid w:val="00C554EC"/>
    <w:rsid w:val="00C642B6"/>
    <w:rsid w:val="00C64CA5"/>
    <w:rsid w:val="00C65A8C"/>
    <w:rsid w:val="00C6696D"/>
    <w:rsid w:val="00C67847"/>
    <w:rsid w:val="00C71F5C"/>
    <w:rsid w:val="00C7211C"/>
    <w:rsid w:val="00C733A3"/>
    <w:rsid w:val="00C7404A"/>
    <w:rsid w:val="00C74D9B"/>
    <w:rsid w:val="00C759A8"/>
    <w:rsid w:val="00C8218F"/>
    <w:rsid w:val="00C82EB2"/>
    <w:rsid w:val="00C83246"/>
    <w:rsid w:val="00C83E91"/>
    <w:rsid w:val="00C841CF"/>
    <w:rsid w:val="00C86DC3"/>
    <w:rsid w:val="00CA1C73"/>
    <w:rsid w:val="00CA1C75"/>
    <w:rsid w:val="00CA2061"/>
    <w:rsid w:val="00CA2A31"/>
    <w:rsid w:val="00CA4A97"/>
    <w:rsid w:val="00CA4ABF"/>
    <w:rsid w:val="00CA7EBF"/>
    <w:rsid w:val="00CB0F70"/>
    <w:rsid w:val="00CB225F"/>
    <w:rsid w:val="00CB2CCA"/>
    <w:rsid w:val="00CB351D"/>
    <w:rsid w:val="00CB36AB"/>
    <w:rsid w:val="00CB393D"/>
    <w:rsid w:val="00CB3D9A"/>
    <w:rsid w:val="00CB4928"/>
    <w:rsid w:val="00CB5D8B"/>
    <w:rsid w:val="00CB6747"/>
    <w:rsid w:val="00CB67C4"/>
    <w:rsid w:val="00CB6BCF"/>
    <w:rsid w:val="00CC0C7B"/>
    <w:rsid w:val="00CC39FD"/>
    <w:rsid w:val="00CC5741"/>
    <w:rsid w:val="00CC650D"/>
    <w:rsid w:val="00CD11DC"/>
    <w:rsid w:val="00CD26FE"/>
    <w:rsid w:val="00CD69AC"/>
    <w:rsid w:val="00CD7DD3"/>
    <w:rsid w:val="00CE0AA4"/>
    <w:rsid w:val="00CE5085"/>
    <w:rsid w:val="00CE7F9D"/>
    <w:rsid w:val="00CF317C"/>
    <w:rsid w:val="00CF3391"/>
    <w:rsid w:val="00CF59B4"/>
    <w:rsid w:val="00CF7B39"/>
    <w:rsid w:val="00CF7E37"/>
    <w:rsid w:val="00D01C8F"/>
    <w:rsid w:val="00D01E57"/>
    <w:rsid w:val="00D03545"/>
    <w:rsid w:val="00D10F59"/>
    <w:rsid w:val="00D1129B"/>
    <w:rsid w:val="00D16378"/>
    <w:rsid w:val="00D25F56"/>
    <w:rsid w:val="00D32323"/>
    <w:rsid w:val="00D332FB"/>
    <w:rsid w:val="00D34365"/>
    <w:rsid w:val="00D36143"/>
    <w:rsid w:val="00D3716C"/>
    <w:rsid w:val="00D37C3F"/>
    <w:rsid w:val="00D41A6D"/>
    <w:rsid w:val="00D43484"/>
    <w:rsid w:val="00D439D4"/>
    <w:rsid w:val="00D46647"/>
    <w:rsid w:val="00D4767D"/>
    <w:rsid w:val="00D50D8D"/>
    <w:rsid w:val="00D5144F"/>
    <w:rsid w:val="00D5174A"/>
    <w:rsid w:val="00D544B8"/>
    <w:rsid w:val="00D57EEB"/>
    <w:rsid w:val="00D63695"/>
    <w:rsid w:val="00D6416B"/>
    <w:rsid w:val="00D64641"/>
    <w:rsid w:val="00D65A97"/>
    <w:rsid w:val="00D65B06"/>
    <w:rsid w:val="00D66310"/>
    <w:rsid w:val="00D708A0"/>
    <w:rsid w:val="00D711CF"/>
    <w:rsid w:val="00D72942"/>
    <w:rsid w:val="00D75EDB"/>
    <w:rsid w:val="00D762B2"/>
    <w:rsid w:val="00D8234F"/>
    <w:rsid w:val="00D82C2E"/>
    <w:rsid w:val="00D83171"/>
    <w:rsid w:val="00D83267"/>
    <w:rsid w:val="00D8483D"/>
    <w:rsid w:val="00D85A99"/>
    <w:rsid w:val="00D87B9B"/>
    <w:rsid w:val="00D91044"/>
    <w:rsid w:val="00D956A1"/>
    <w:rsid w:val="00D97146"/>
    <w:rsid w:val="00DA0875"/>
    <w:rsid w:val="00DA1D9B"/>
    <w:rsid w:val="00DA1F5B"/>
    <w:rsid w:val="00DA2F55"/>
    <w:rsid w:val="00DA37A9"/>
    <w:rsid w:val="00DB3B7D"/>
    <w:rsid w:val="00DB4DDA"/>
    <w:rsid w:val="00DC12D6"/>
    <w:rsid w:val="00DC5FD2"/>
    <w:rsid w:val="00DC774F"/>
    <w:rsid w:val="00DD4B94"/>
    <w:rsid w:val="00DD5DAD"/>
    <w:rsid w:val="00DE57F2"/>
    <w:rsid w:val="00DE67EF"/>
    <w:rsid w:val="00DE7519"/>
    <w:rsid w:val="00DF2EF1"/>
    <w:rsid w:val="00DF2F12"/>
    <w:rsid w:val="00DF39AB"/>
    <w:rsid w:val="00DF598E"/>
    <w:rsid w:val="00DF5D68"/>
    <w:rsid w:val="00DF6426"/>
    <w:rsid w:val="00DF645A"/>
    <w:rsid w:val="00DF7A3A"/>
    <w:rsid w:val="00E00C41"/>
    <w:rsid w:val="00E013B8"/>
    <w:rsid w:val="00E0143E"/>
    <w:rsid w:val="00E1122C"/>
    <w:rsid w:val="00E14895"/>
    <w:rsid w:val="00E1554A"/>
    <w:rsid w:val="00E15CAF"/>
    <w:rsid w:val="00E1631F"/>
    <w:rsid w:val="00E20D0B"/>
    <w:rsid w:val="00E212AF"/>
    <w:rsid w:val="00E236FA"/>
    <w:rsid w:val="00E246FD"/>
    <w:rsid w:val="00E259DE"/>
    <w:rsid w:val="00E27BAA"/>
    <w:rsid w:val="00E324E0"/>
    <w:rsid w:val="00E32EAF"/>
    <w:rsid w:val="00E34C25"/>
    <w:rsid w:val="00E35249"/>
    <w:rsid w:val="00E453B0"/>
    <w:rsid w:val="00E45878"/>
    <w:rsid w:val="00E45E6D"/>
    <w:rsid w:val="00E50330"/>
    <w:rsid w:val="00E516F6"/>
    <w:rsid w:val="00E546C8"/>
    <w:rsid w:val="00E54E76"/>
    <w:rsid w:val="00E560BC"/>
    <w:rsid w:val="00E64532"/>
    <w:rsid w:val="00E66289"/>
    <w:rsid w:val="00E711FC"/>
    <w:rsid w:val="00E73DAD"/>
    <w:rsid w:val="00E7566D"/>
    <w:rsid w:val="00E77E20"/>
    <w:rsid w:val="00E870D1"/>
    <w:rsid w:val="00E871AE"/>
    <w:rsid w:val="00E905C5"/>
    <w:rsid w:val="00E92357"/>
    <w:rsid w:val="00E9322E"/>
    <w:rsid w:val="00E936B7"/>
    <w:rsid w:val="00E93A20"/>
    <w:rsid w:val="00E94653"/>
    <w:rsid w:val="00E965F5"/>
    <w:rsid w:val="00EA27F2"/>
    <w:rsid w:val="00EA6936"/>
    <w:rsid w:val="00EA71DE"/>
    <w:rsid w:val="00EB1366"/>
    <w:rsid w:val="00EB5312"/>
    <w:rsid w:val="00EB60ED"/>
    <w:rsid w:val="00EB646B"/>
    <w:rsid w:val="00EB796A"/>
    <w:rsid w:val="00EC1259"/>
    <w:rsid w:val="00EC1D7A"/>
    <w:rsid w:val="00EC2DD2"/>
    <w:rsid w:val="00EC391A"/>
    <w:rsid w:val="00EC3DA6"/>
    <w:rsid w:val="00EC540A"/>
    <w:rsid w:val="00EC6AF0"/>
    <w:rsid w:val="00EC6B24"/>
    <w:rsid w:val="00ED0955"/>
    <w:rsid w:val="00ED26AF"/>
    <w:rsid w:val="00ED36AD"/>
    <w:rsid w:val="00ED43EC"/>
    <w:rsid w:val="00ED49D1"/>
    <w:rsid w:val="00EE1BCE"/>
    <w:rsid w:val="00EE3177"/>
    <w:rsid w:val="00EE32A0"/>
    <w:rsid w:val="00EE51FB"/>
    <w:rsid w:val="00EE6165"/>
    <w:rsid w:val="00EE7AE2"/>
    <w:rsid w:val="00EF0855"/>
    <w:rsid w:val="00EF4694"/>
    <w:rsid w:val="00EF4E96"/>
    <w:rsid w:val="00F00C72"/>
    <w:rsid w:val="00F01DD0"/>
    <w:rsid w:val="00F06581"/>
    <w:rsid w:val="00F070B0"/>
    <w:rsid w:val="00F13A68"/>
    <w:rsid w:val="00F13E02"/>
    <w:rsid w:val="00F141BB"/>
    <w:rsid w:val="00F14BC8"/>
    <w:rsid w:val="00F16B2B"/>
    <w:rsid w:val="00F23B8B"/>
    <w:rsid w:val="00F2507C"/>
    <w:rsid w:val="00F26ED0"/>
    <w:rsid w:val="00F32543"/>
    <w:rsid w:val="00F3341E"/>
    <w:rsid w:val="00F33432"/>
    <w:rsid w:val="00F34C67"/>
    <w:rsid w:val="00F4450F"/>
    <w:rsid w:val="00F45E1F"/>
    <w:rsid w:val="00F517A4"/>
    <w:rsid w:val="00F51999"/>
    <w:rsid w:val="00F57743"/>
    <w:rsid w:val="00F62719"/>
    <w:rsid w:val="00F63A1C"/>
    <w:rsid w:val="00F63A71"/>
    <w:rsid w:val="00F706A4"/>
    <w:rsid w:val="00F7495E"/>
    <w:rsid w:val="00F80256"/>
    <w:rsid w:val="00F83626"/>
    <w:rsid w:val="00F842B7"/>
    <w:rsid w:val="00F85BB6"/>
    <w:rsid w:val="00F87A68"/>
    <w:rsid w:val="00F9037B"/>
    <w:rsid w:val="00F927AD"/>
    <w:rsid w:val="00F93C72"/>
    <w:rsid w:val="00F94AC1"/>
    <w:rsid w:val="00F94D75"/>
    <w:rsid w:val="00F9526F"/>
    <w:rsid w:val="00F968F2"/>
    <w:rsid w:val="00F96912"/>
    <w:rsid w:val="00FA147B"/>
    <w:rsid w:val="00FA22F6"/>
    <w:rsid w:val="00FA24A4"/>
    <w:rsid w:val="00FA2E7E"/>
    <w:rsid w:val="00FA541B"/>
    <w:rsid w:val="00FA6040"/>
    <w:rsid w:val="00FA790E"/>
    <w:rsid w:val="00FB2B0E"/>
    <w:rsid w:val="00FB322B"/>
    <w:rsid w:val="00FB48F0"/>
    <w:rsid w:val="00FB4AAC"/>
    <w:rsid w:val="00FB62FF"/>
    <w:rsid w:val="00FC0FA6"/>
    <w:rsid w:val="00FC3B8B"/>
    <w:rsid w:val="00FC44E7"/>
    <w:rsid w:val="00FC4B1D"/>
    <w:rsid w:val="00FC6ABC"/>
    <w:rsid w:val="00FD1F4A"/>
    <w:rsid w:val="00FD2AE7"/>
    <w:rsid w:val="00FD57F2"/>
    <w:rsid w:val="00FD57F5"/>
    <w:rsid w:val="00FD6F40"/>
    <w:rsid w:val="00FE1E2F"/>
    <w:rsid w:val="00FE3BAE"/>
    <w:rsid w:val="00FE57FA"/>
    <w:rsid w:val="00FE6A35"/>
    <w:rsid w:val="00FE6FD9"/>
    <w:rsid w:val="00FE767F"/>
    <w:rsid w:val="00FF0512"/>
    <w:rsid w:val="00FF1B67"/>
    <w:rsid w:val="00FF3362"/>
    <w:rsid w:val="00FF6A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4D3E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8E"/>
    <w:rPr>
      <w:rFonts w:ascii="Arial" w:hAnsi="Arial" w:cs="Arial"/>
      <w:sz w:val="22"/>
      <w:lang w:val="fr-FR"/>
    </w:rPr>
  </w:style>
  <w:style w:type="paragraph" w:styleId="Heading1">
    <w:name w:val="heading 1"/>
    <w:basedOn w:val="Normal"/>
    <w:next w:val="Normal"/>
    <w:link w:val="Heading1Char"/>
    <w:qFormat/>
    <w:rsid w:val="00C119C4"/>
    <w:pPr>
      <w:keepNext/>
      <w:numPr>
        <w:numId w:val="45"/>
      </w:numPr>
      <w:spacing w:before="240" w:after="60"/>
      <w:ind w:left="567" w:hanging="567"/>
      <w:outlineLvl w:val="0"/>
    </w:pPr>
    <w:rPr>
      <w:rFonts w:eastAsia="SimSun"/>
      <w:b/>
      <w:bCs/>
      <w:caps/>
      <w:kern w:val="32"/>
      <w:szCs w:val="32"/>
    </w:rPr>
  </w:style>
  <w:style w:type="paragraph" w:styleId="Heading2">
    <w:name w:val="heading 2"/>
    <w:basedOn w:val="Normal"/>
    <w:next w:val="Normal"/>
    <w:link w:val="Heading2Char"/>
    <w:qFormat/>
    <w:rsid w:val="009761D3"/>
    <w:pPr>
      <w:jc w:val="center"/>
      <w:outlineLvl w:val="1"/>
    </w:pPr>
    <w:rPr>
      <w:rFonts w:ascii="Arial Bold" w:hAnsi="Arial Bold"/>
      <w:b/>
      <w:caps/>
      <w:sz w:val="20"/>
    </w:rPr>
  </w:style>
  <w:style w:type="paragraph" w:styleId="Heading3">
    <w:name w:val="heading 3"/>
    <w:basedOn w:val="Normal"/>
    <w:next w:val="Normal"/>
    <w:link w:val="Heading3Char"/>
    <w:qFormat/>
    <w:rsid w:val="006658D5"/>
    <w:pPr>
      <w:keepNext/>
      <w:ind w:left="2268" w:hanging="2268"/>
      <w:outlineLvl w:val="2"/>
    </w:pPr>
    <w:rPr>
      <w:b/>
      <w:caps/>
    </w:rPr>
  </w:style>
  <w:style w:type="paragraph" w:styleId="Heading4">
    <w:name w:val="heading 4"/>
    <w:basedOn w:val="Normal"/>
    <w:next w:val="Normal"/>
    <w:link w:val="Heading4Char"/>
    <w:qFormat/>
    <w:rsid w:val="006A58B3"/>
    <w:pPr>
      <w:keepNext/>
      <w:spacing w:before="240" w:after="60"/>
      <w:outlineLvl w:val="3"/>
    </w:pPr>
    <w:rPr>
      <w:rFonts w:eastAsia="SimSun"/>
      <w:b/>
      <w:bCs/>
      <w:szCs w:val="28"/>
    </w:rPr>
  </w:style>
  <w:style w:type="paragraph" w:styleId="Heading5">
    <w:name w:val="heading 5"/>
    <w:basedOn w:val="Normal"/>
    <w:next w:val="Normal"/>
    <w:link w:val="Heading5Char"/>
    <w:unhideWhenUsed/>
    <w:qFormat/>
    <w:rsid w:val="00D46647"/>
    <w:pPr>
      <w:tabs>
        <w:tab w:val="left" w:pos="1418"/>
      </w:tabs>
      <w:ind w:left="1418" w:hanging="1418"/>
      <w:outlineLvl w:val="4"/>
    </w:pPr>
    <w:rPr>
      <w:b/>
      <w:i/>
      <w:caps/>
      <w:sz w:val="20"/>
    </w:rPr>
  </w:style>
  <w:style w:type="paragraph" w:styleId="Heading8">
    <w:name w:val="heading 8"/>
    <w:basedOn w:val="Normal"/>
    <w:next w:val="Normal"/>
    <w:link w:val="Heading8Char"/>
    <w:uiPriority w:val="9"/>
    <w:unhideWhenUsed/>
    <w:qFormat/>
    <w:rsid w:val="00FD57F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link w:val="SalutationChar"/>
    <w:rsid w:val="00804DB7"/>
  </w:style>
  <w:style w:type="paragraph" w:styleId="Signature">
    <w:name w:val="Signature"/>
    <w:basedOn w:val="Normal"/>
    <w:link w:val="SignatureChar"/>
    <w:rsid w:val="00804DB7"/>
    <w:pPr>
      <w:ind w:left="5250"/>
    </w:pPr>
  </w:style>
  <w:style w:type="paragraph" w:styleId="FootnoteText">
    <w:name w:val="footnote text"/>
    <w:basedOn w:val="Normal"/>
    <w:link w:val="FootnoteTextChar"/>
    <w:rsid w:val="00804DB7"/>
    <w:rPr>
      <w:sz w:val="18"/>
    </w:rPr>
  </w:style>
  <w:style w:type="paragraph" w:styleId="EndnoteText">
    <w:name w:val="endnote text"/>
    <w:basedOn w:val="Normal"/>
    <w:link w:val="EndnoteTextChar"/>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rsid w:val="00804DB7"/>
    <w:rPr>
      <w:sz w:val="18"/>
    </w:rPr>
  </w:style>
  <w:style w:type="paragraph" w:styleId="BodyText">
    <w:name w:val="Body Text"/>
    <w:basedOn w:val="Normal"/>
    <w:link w:val="BodyTextChar"/>
    <w:rsid w:val="00804DB7"/>
    <w:pPr>
      <w:spacing w:after="220"/>
    </w:pPr>
  </w:style>
  <w:style w:type="paragraph" w:customStyle="1" w:styleId="ONUMFS">
    <w:name w:val="ONUM FS"/>
    <w:basedOn w:val="BodyText"/>
    <w:rsid w:val="00804DB7"/>
    <w:pPr>
      <w:numPr>
        <w:numId w:val="2"/>
      </w:numPr>
    </w:pPr>
  </w:style>
  <w:style w:type="paragraph" w:customStyle="1" w:styleId="ONUME">
    <w:name w:val="ONUM E"/>
    <w:basedOn w:val="BodyText"/>
    <w:link w:val="ONUMEChar"/>
    <w:rsid w:val="00804DB7"/>
    <w:pPr>
      <w:numPr>
        <w:numId w:val="1"/>
      </w:numPr>
    </w:pPr>
  </w:style>
  <w:style w:type="paragraph" w:styleId="ListNumber">
    <w:name w:val="List Number"/>
    <w:basedOn w:val="Normal"/>
    <w:rsid w:val="00804DB7"/>
    <w:pPr>
      <w:numPr>
        <w:numId w:val="3"/>
      </w:numPr>
    </w:pPr>
  </w:style>
  <w:style w:type="character" w:styleId="FootnoteReference">
    <w:name w:val="footnote reference"/>
    <w:aliases w:val="Footnote"/>
    <w:basedOn w:val="DefaultParagraphFont"/>
    <w:unhideWhenUsed/>
    <w:rsid w:val="00865602"/>
    <w:rPr>
      <w:rFonts w:ascii="Arial" w:eastAsia="Times New Roman" w:hAnsi="Arial" w:cs="Times New Roman"/>
      <w:sz w:val="16"/>
      <w:szCs w:val="20"/>
      <w:vertAlign w:val="superscript"/>
    </w:rPr>
  </w:style>
  <w:style w:type="character" w:customStyle="1" w:styleId="FootnoteTextChar">
    <w:name w:val="Footnote Text Char"/>
    <w:link w:val="FootnoteText"/>
    <w:locked/>
    <w:rsid w:val="005C2996"/>
    <w:rPr>
      <w:rFonts w:ascii="Arial" w:hAnsi="Arial" w:cs="Arial"/>
      <w:sz w:val="18"/>
    </w:rPr>
  </w:style>
  <w:style w:type="character" w:styleId="CommentReference">
    <w:name w:val="annotation reference"/>
    <w:basedOn w:val="DefaultParagraphFont"/>
    <w:rsid w:val="007760E9"/>
    <w:rPr>
      <w:sz w:val="16"/>
      <w:szCs w:val="16"/>
    </w:rPr>
  </w:style>
  <w:style w:type="paragraph" w:styleId="CommentSubject">
    <w:name w:val="annotation subject"/>
    <w:basedOn w:val="CommentText"/>
    <w:next w:val="CommentText"/>
    <w:link w:val="CommentSubjectChar"/>
    <w:rsid w:val="007760E9"/>
    <w:rPr>
      <w:b/>
      <w:bCs/>
      <w:sz w:val="20"/>
    </w:rPr>
  </w:style>
  <w:style w:type="character" w:customStyle="1" w:styleId="CommentTextChar">
    <w:name w:val="Comment Text Char"/>
    <w:basedOn w:val="DefaultParagraphFont"/>
    <w:link w:val="CommentText"/>
    <w:rsid w:val="007760E9"/>
    <w:rPr>
      <w:rFonts w:ascii="Arial" w:hAnsi="Arial" w:cs="Arial"/>
      <w:sz w:val="18"/>
    </w:rPr>
  </w:style>
  <w:style w:type="character" w:customStyle="1" w:styleId="CommentSubjectChar">
    <w:name w:val="Comment Subject Char"/>
    <w:basedOn w:val="CommentTextChar"/>
    <w:link w:val="CommentSubject"/>
    <w:rsid w:val="007760E9"/>
    <w:rPr>
      <w:rFonts w:ascii="Arial" w:hAnsi="Arial" w:cs="Arial"/>
      <w:b/>
      <w:bCs/>
      <w:sz w:val="18"/>
    </w:rPr>
  </w:style>
  <w:style w:type="paragraph" w:styleId="BalloonText">
    <w:name w:val="Balloon Text"/>
    <w:basedOn w:val="Normal"/>
    <w:link w:val="BalloonTextChar"/>
    <w:rsid w:val="007760E9"/>
    <w:rPr>
      <w:rFonts w:ascii="Tahoma" w:hAnsi="Tahoma" w:cs="Tahoma"/>
      <w:sz w:val="16"/>
      <w:szCs w:val="16"/>
    </w:rPr>
  </w:style>
  <w:style w:type="character" w:customStyle="1" w:styleId="BalloonTextChar">
    <w:name w:val="Balloon Text Char"/>
    <w:basedOn w:val="DefaultParagraphFont"/>
    <w:link w:val="BalloonText"/>
    <w:rsid w:val="007760E9"/>
    <w:rPr>
      <w:rFonts w:ascii="Tahoma" w:hAnsi="Tahoma" w:cs="Tahoma"/>
      <w:sz w:val="16"/>
      <w:szCs w:val="16"/>
    </w:rPr>
  </w:style>
  <w:style w:type="paragraph" w:styleId="ListParagraph">
    <w:name w:val="List Paragraph"/>
    <w:basedOn w:val="Normal"/>
    <w:uiPriority w:val="34"/>
    <w:qFormat/>
    <w:rsid w:val="00FD1F4A"/>
    <w:pPr>
      <w:ind w:left="720"/>
      <w:contextualSpacing/>
    </w:pPr>
    <w:rPr>
      <w:rFonts w:asciiTheme="minorHAnsi" w:eastAsiaTheme="minorEastAsia" w:hAnsiTheme="minorHAnsi" w:cstheme="minorBidi"/>
      <w:szCs w:val="22"/>
      <w:lang w:eastAsia="ja-JP"/>
    </w:rPr>
  </w:style>
  <w:style w:type="table" w:styleId="TableGrid">
    <w:name w:val="Table Grid"/>
    <w:basedOn w:val="TableNormal"/>
    <w:rsid w:val="002F1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F1C9B"/>
    <w:pPr>
      <w:spacing w:before="100" w:beforeAutospacing="1" w:after="100" w:afterAutospacing="1"/>
    </w:pPr>
    <w:rPr>
      <w:sz w:val="18"/>
      <w:szCs w:val="18"/>
    </w:rPr>
  </w:style>
  <w:style w:type="character" w:styleId="Hyperlink">
    <w:name w:val="Hyperlink"/>
    <w:basedOn w:val="DefaultParagraphFont"/>
    <w:uiPriority w:val="99"/>
    <w:rsid w:val="004F68DA"/>
    <w:rPr>
      <w:color w:val="0000FF" w:themeColor="hyperlink"/>
      <w:u w:val="single"/>
    </w:rPr>
  </w:style>
  <w:style w:type="character" w:styleId="FollowedHyperlink">
    <w:name w:val="FollowedHyperlink"/>
    <w:basedOn w:val="DefaultParagraphFont"/>
    <w:rsid w:val="004F68DA"/>
    <w:rPr>
      <w:color w:val="800080" w:themeColor="followedHyperlink"/>
      <w:u w:val="single"/>
    </w:rPr>
  </w:style>
  <w:style w:type="paragraph" w:styleId="Revision">
    <w:name w:val="Revision"/>
    <w:hidden/>
    <w:uiPriority w:val="99"/>
    <w:semiHidden/>
    <w:rsid w:val="00465379"/>
    <w:rPr>
      <w:rFonts w:ascii="Arial" w:hAnsi="Arial" w:cs="Arial"/>
      <w:sz w:val="22"/>
    </w:rPr>
  </w:style>
  <w:style w:type="character" w:customStyle="1" w:styleId="FooterChar">
    <w:name w:val="Footer Char"/>
    <w:basedOn w:val="DefaultParagraphFont"/>
    <w:link w:val="Footer"/>
    <w:uiPriority w:val="99"/>
    <w:rsid w:val="00617973"/>
    <w:rPr>
      <w:rFonts w:ascii="Arial" w:hAnsi="Arial" w:cs="Arial"/>
      <w:sz w:val="22"/>
    </w:rPr>
  </w:style>
  <w:style w:type="paragraph" w:customStyle="1" w:styleId="Default">
    <w:name w:val="Default"/>
    <w:rsid w:val="00BA5EA9"/>
    <w:pPr>
      <w:autoSpaceDE w:val="0"/>
      <w:autoSpaceDN w:val="0"/>
      <w:adjustRightInd w:val="0"/>
      <w:ind w:right="173"/>
    </w:pPr>
    <w:rPr>
      <w:rFonts w:ascii="Arial" w:eastAsia="Batang" w:hAnsi="Arial" w:cs="Arial"/>
      <w:color w:val="000000"/>
      <w:sz w:val="24"/>
      <w:szCs w:val="24"/>
      <w:lang w:eastAsia="ja-JP"/>
    </w:rPr>
  </w:style>
  <w:style w:type="character" w:customStyle="1" w:styleId="Heading2Char">
    <w:name w:val="Heading 2 Char"/>
    <w:link w:val="Heading2"/>
    <w:rsid w:val="009761D3"/>
    <w:rPr>
      <w:rFonts w:ascii="Arial Bold" w:hAnsi="Arial Bold" w:cs="Arial"/>
      <w:b/>
      <w:caps/>
      <w:lang w:val="fr-FR"/>
    </w:rPr>
  </w:style>
  <w:style w:type="paragraph" w:customStyle="1" w:styleId="Heading">
    <w:name w:val="Heading"/>
    <w:basedOn w:val="Heading1"/>
    <w:uiPriority w:val="99"/>
    <w:rsid w:val="00BA5EA9"/>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eastAsia="zh-CN"/>
    </w:rPr>
  </w:style>
  <w:style w:type="table" w:customStyle="1" w:styleId="TableGrid1">
    <w:name w:val="Table Grid1"/>
    <w:basedOn w:val="TableNormal"/>
    <w:next w:val="TableGrid"/>
    <w:rsid w:val="00BA5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61B47"/>
  </w:style>
  <w:style w:type="character" w:customStyle="1" w:styleId="HeaderChar">
    <w:name w:val="Header Char"/>
    <w:basedOn w:val="DefaultParagraphFont"/>
    <w:link w:val="Header"/>
    <w:rsid w:val="00561B47"/>
    <w:rPr>
      <w:rFonts w:ascii="Arial" w:hAnsi="Arial" w:cs="Arial"/>
      <w:sz w:val="22"/>
      <w:lang w:val="fr-FR"/>
    </w:rPr>
  </w:style>
  <w:style w:type="paragraph" w:customStyle="1" w:styleId="Endofdocument-Annex">
    <w:name w:val="[End of document - Annex]"/>
    <w:basedOn w:val="Normal"/>
    <w:rsid w:val="00A312C6"/>
    <w:pPr>
      <w:ind w:left="5534"/>
    </w:pPr>
    <w:rPr>
      <w:rFonts w:eastAsia="SimSun"/>
      <w:lang w:val="en-US" w:eastAsia="zh-CN"/>
    </w:rPr>
  </w:style>
  <w:style w:type="paragraph" w:styleId="TOC2">
    <w:name w:val="toc 2"/>
    <w:basedOn w:val="Normal"/>
    <w:next w:val="Normal"/>
    <w:autoRedefine/>
    <w:uiPriority w:val="39"/>
    <w:unhideWhenUsed/>
    <w:qFormat/>
    <w:rsid w:val="002D57E6"/>
    <w:pPr>
      <w:tabs>
        <w:tab w:val="right" w:leader="dot" w:pos="9061"/>
      </w:tabs>
      <w:spacing w:after="100"/>
      <w:ind w:left="442"/>
    </w:pPr>
    <w:rPr>
      <w:caps/>
    </w:rPr>
  </w:style>
  <w:style w:type="paragraph" w:styleId="TOC1">
    <w:name w:val="toc 1"/>
    <w:basedOn w:val="Normal"/>
    <w:next w:val="Normal"/>
    <w:autoRedefine/>
    <w:uiPriority w:val="39"/>
    <w:unhideWhenUsed/>
    <w:qFormat/>
    <w:rsid w:val="002D57E6"/>
    <w:pPr>
      <w:tabs>
        <w:tab w:val="left" w:pos="425"/>
        <w:tab w:val="right" w:leader="dot" w:pos="9061"/>
      </w:tabs>
      <w:spacing w:after="100"/>
      <w:ind w:left="425" w:hanging="425"/>
    </w:pPr>
    <w:rPr>
      <w:rFonts w:ascii="Arial Bold" w:hAnsi="Arial Bold"/>
      <w:b/>
      <w:caps/>
    </w:rPr>
  </w:style>
  <w:style w:type="paragraph" w:styleId="TOC3">
    <w:name w:val="toc 3"/>
    <w:basedOn w:val="Normal"/>
    <w:next w:val="Normal"/>
    <w:autoRedefine/>
    <w:uiPriority w:val="39"/>
    <w:unhideWhenUsed/>
    <w:qFormat/>
    <w:rsid w:val="002D57E6"/>
    <w:pPr>
      <w:tabs>
        <w:tab w:val="left" w:pos="2268"/>
        <w:tab w:val="right" w:leader="dot" w:pos="9061"/>
      </w:tabs>
      <w:spacing w:after="100"/>
      <w:ind w:left="2268" w:hanging="1828"/>
    </w:pPr>
    <w:rPr>
      <w:caps/>
      <w:noProof/>
      <w:sz w:val="20"/>
    </w:rPr>
  </w:style>
  <w:style w:type="paragraph" w:customStyle="1" w:styleId="StyleHeading3BoldNounderline">
    <w:name w:val="Style Heading 3 + Bold No underline"/>
    <w:basedOn w:val="Heading3"/>
    <w:rsid w:val="00A27921"/>
    <w:pPr>
      <w:tabs>
        <w:tab w:val="left" w:pos="1985"/>
        <w:tab w:val="right" w:pos="9072"/>
      </w:tabs>
      <w:ind w:left="0" w:firstLine="0"/>
    </w:pPr>
    <w:rPr>
      <w:bCs/>
      <w:iCs/>
      <w:caps w:val="0"/>
      <w:szCs w:val="28"/>
      <w:lang w:val="en-US"/>
    </w:rPr>
  </w:style>
  <w:style w:type="character" w:customStyle="1" w:styleId="shorttext">
    <w:name w:val="short_text"/>
    <w:basedOn w:val="DefaultParagraphFont"/>
    <w:rsid w:val="00767EC2"/>
  </w:style>
  <w:style w:type="character" w:styleId="Emphasis">
    <w:name w:val="Emphasis"/>
    <w:basedOn w:val="DefaultParagraphFont"/>
    <w:uiPriority w:val="20"/>
    <w:qFormat/>
    <w:rsid w:val="00767EC2"/>
    <w:rPr>
      <w:b/>
      <w:bCs/>
      <w:i w:val="0"/>
      <w:iCs w:val="0"/>
    </w:rPr>
  </w:style>
  <w:style w:type="character" w:customStyle="1" w:styleId="st1">
    <w:name w:val="st1"/>
    <w:basedOn w:val="DefaultParagraphFont"/>
    <w:rsid w:val="00767EC2"/>
  </w:style>
  <w:style w:type="paragraph" w:styleId="BodyText2">
    <w:name w:val="Body Text 2"/>
    <w:basedOn w:val="Normal"/>
    <w:link w:val="BodyText2Char"/>
    <w:unhideWhenUsed/>
    <w:rsid w:val="006A58B3"/>
    <w:pPr>
      <w:spacing w:after="120" w:line="480" w:lineRule="auto"/>
    </w:pPr>
    <w:rPr>
      <w:rFonts w:eastAsiaTheme="minorEastAsia" w:cstheme="minorBidi"/>
      <w:sz w:val="20"/>
      <w:szCs w:val="22"/>
      <w:lang w:eastAsia="ja-JP"/>
    </w:rPr>
  </w:style>
  <w:style w:type="character" w:customStyle="1" w:styleId="BodyText2Char">
    <w:name w:val="Body Text 2 Char"/>
    <w:basedOn w:val="DefaultParagraphFont"/>
    <w:link w:val="BodyText2"/>
    <w:rsid w:val="006A58B3"/>
    <w:rPr>
      <w:rFonts w:ascii="Arial" w:eastAsiaTheme="minorEastAsia" w:hAnsi="Arial" w:cstheme="minorBidi"/>
      <w:szCs w:val="22"/>
      <w:lang w:val="fr-FR" w:eastAsia="ja-JP"/>
    </w:rPr>
  </w:style>
  <w:style w:type="paragraph" w:styleId="PlainText">
    <w:name w:val="Plain Text"/>
    <w:basedOn w:val="Normal"/>
    <w:link w:val="PlainTextChar"/>
    <w:uiPriority w:val="99"/>
    <w:rsid w:val="006A58B3"/>
    <w:rPr>
      <w:rFonts w:ascii="Courier New" w:eastAsia="SimSun" w:hAnsi="Courier New" w:cs="Courier New"/>
      <w:color w:val="0000FF"/>
      <w:sz w:val="20"/>
      <w:lang w:eastAsia="zh-CN"/>
    </w:rPr>
  </w:style>
  <w:style w:type="character" w:customStyle="1" w:styleId="PlainTextChar">
    <w:name w:val="Plain Text Char"/>
    <w:basedOn w:val="DefaultParagraphFont"/>
    <w:link w:val="PlainText"/>
    <w:uiPriority w:val="99"/>
    <w:rsid w:val="006A58B3"/>
    <w:rPr>
      <w:rFonts w:ascii="Courier New" w:eastAsia="SimSun" w:hAnsi="Courier New" w:cs="Courier New"/>
      <w:color w:val="0000FF"/>
      <w:lang w:val="fr-FR" w:eastAsia="zh-CN"/>
    </w:rPr>
  </w:style>
  <w:style w:type="character" w:customStyle="1" w:styleId="Heading8Char">
    <w:name w:val="Heading 8 Char"/>
    <w:basedOn w:val="DefaultParagraphFont"/>
    <w:link w:val="Heading8"/>
    <w:uiPriority w:val="9"/>
    <w:rsid w:val="00FD57F2"/>
    <w:rPr>
      <w:rFonts w:asciiTheme="majorHAnsi" w:eastAsiaTheme="majorEastAsia" w:hAnsiTheme="majorHAnsi" w:cstheme="majorBidi"/>
      <w:color w:val="404040" w:themeColor="text1" w:themeTint="BF"/>
      <w:lang w:val="fr-FR"/>
    </w:rPr>
  </w:style>
  <w:style w:type="character" w:customStyle="1" w:styleId="Heading5Char">
    <w:name w:val="Heading 5 Char"/>
    <w:basedOn w:val="DefaultParagraphFont"/>
    <w:link w:val="Heading5"/>
    <w:rsid w:val="00D46647"/>
    <w:rPr>
      <w:rFonts w:ascii="Arial" w:hAnsi="Arial" w:cs="Arial"/>
      <w:b/>
      <w:i/>
      <w:caps/>
      <w:lang w:val="fr-FR"/>
    </w:rPr>
  </w:style>
  <w:style w:type="character" w:customStyle="1" w:styleId="Heading3Char">
    <w:name w:val="Heading 3 Char"/>
    <w:basedOn w:val="DefaultParagraphFont"/>
    <w:link w:val="Heading3"/>
    <w:rsid w:val="00FD57F2"/>
    <w:rPr>
      <w:rFonts w:ascii="Arial" w:hAnsi="Arial" w:cs="Arial"/>
      <w:b/>
      <w:caps/>
      <w:sz w:val="22"/>
      <w:lang w:val="fr-FR"/>
    </w:rPr>
  </w:style>
  <w:style w:type="character" w:customStyle="1" w:styleId="Heading4Char">
    <w:name w:val="Heading 4 Char"/>
    <w:basedOn w:val="DefaultParagraphFont"/>
    <w:link w:val="Heading4"/>
    <w:rsid w:val="00FD57F2"/>
    <w:rPr>
      <w:rFonts w:ascii="Arial" w:eastAsia="SimSun" w:hAnsi="Arial" w:cs="Arial"/>
      <w:b/>
      <w:bCs/>
      <w:sz w:val="22"/>
      <w:szCs w:val="28"/>
      <w:lang w:val="fr-FR"/>
    </w:rPr>
  </w:style>
  <w:style w:type="character" w:customStyle="1" w:styleId="Heading1Char">
    <w:name w:val="Heading 1 Char"/>
    <w:basedOn w:val="DefaultParagraphFont"/>
    <w:link w:val="Heading1"/>
    <w:rsid w:val="00FD57F2"/>
    <w:rPr>
      <w:rFonts w:ascii="Arial" w:eastAsia="SimSun" w:hAnsi="Arial" w:cs="Arial"/>
      <w:b/>
      <w:bCs/>
      <w:caps/>
      <w:kern w:val="32"/>
      <w:sz w:val="22"/>
      <w:szCs w:val="32"/>
      <w:lang w:val="fr-FR"/>
    </w:rPr>
  </w:style>
  <w:style w:type="character" w:customStyle="1" w:styleId="BodyTextChar">
    <w:name w:val="Body Text Char"/>
    <w:basedOn w:val="DefaultParagraphFont"/>
    <w:link w:val="BodyText"/>
    <w:rsid w:val="00FD57F2"/>
    <w:rPr>
      <w:rFonts w:ascii="Arial" w:hAnsi="Arial" w:cs="Arial"/>
      <w:sz w:val="22"/>
      <w:lang w:val="fr-FR"/>
    </w:rPr>
  </w:style>
  <w:style w:type="character" w:customStyle="1" w:styleId="EndnoteTextChar">
    <w:name w:val="Endnote Text Char"/>
    <w:basedOn w:val="DefaultParagraphFont"/>
    <w:link w:val="EndnoteText"/>
    <w:rsid w:val="00FD57F2"/>
    <w:rPr>
      <w:rFonts w:ascii="Arial" w:hAnsi="Arial" w:cs="Arial"/>
      <w:sz w:val="18"/>
      <w:lang w:val="fr-FR"/>
    </w:rPr>
  </w:style>
  <w:style w:type="character" w:customStyle="1" w:styleId="SalutationChar">
    <w:name w:val="Salutation Char"/>
    <w:basedOn w:val="DefaultParagraphFont"/>
    <w:link w:val="Salutation"/>
    <w:rsid w:val="00FD57F2"/>
    <w:rPr>
      <w:rFonts w:ascii="Arial" w:hAnsi="Arial" w:cs="Arial"/>
      <w:sz w:val="22"/>
      <w:lang w:val="fr-FR"/>
    </w:rPr>
  </w:style>
  <w:style w:type="character" w:customStyle="1" w:styleId="SignatureChar">
    <w:name w:val="Signature Char"/>
    <w:basedOn w:val="DefaultParagraphFont"/>
    <w:link w:val="Signature"/>
    <w:rsid w:val="00FD57F2"/>
    <w:rPr>
      <w:rFonts w:ascii="Arial" w:hAnsi="Arial" w:cs="Arial"/>
      <w:sz w:val="22"/>
      <w:lang w:val="fr-FR"/>
    </w:rPr>
  </w:style>
  <w:style w:type="paragraph" w:customStyle="1" w:styleId="CharCharCharChar">
    <w:name w:val="Char Char Char Char"/>
    <w:basedOn w:val="Normal"/>
    <w:rsid w:val="00FD57F2"/>
    <w:pPr>
      <w:spacing w:after="160" w:line="240" w:lineRule="exact"/>
    </w:pPr>
    <w:rPr>
      <w:rFonts w:ascii="Verdana" w:hAnsi="Verdana" w:cs="Times New Roman"/>
      <w:sz w:val="20"/>
      <w:szCs w:val="24"/>
      <w:lang w:val="en-GB"/>
    </w:rPr>
  </w:style>
  <w:style w:type="paragraph" w:styleId="BodyTextIndent">
    <w:name w:val="Body Text Indent"/>
    <w:basedOn w:val="Normal"/>
    <w:link w:val="BodyTextIndentChar"/>
    <w:rsid w:val="00FD57F2"/>
    <w:pPr>
      <w:ind w:left="567"/>
    </w:pPr>
    <w:rPr>
      <w:rFonts w:cs="Times New Roman"/>
      <w:sz w:val="20"/>
      <w:szCs w:val="24"/>
      <w:lang w:val="en-US"/>
    </w:rPr>
  </w:style>
  <w:style w:type="character" w:customStyle="1" w:styleId="BodyTextIndentChar">
    <w:name w:val="Body Text Indent Char"/>
    <w:basedOn w:val="DefaultParagraphFont"/>
    <w:link w:val="BodyTextIndent"/>
    <w:rsid w:val="00FD57F2"/>
    <w:rPr>
      <w:rFonts w:ascii="Arial" w:hAnsi="Arial"/>
      <w:szCs w:val="24"/>
    </w:rPr>
  </w:style>
  <w:style w:type="character" w:customStyle="1" w:styleId="CharChar">
    <w:name w:val="Char Char"/>
    <w:locked/>
    <w:rsid w:val="00FD57F2"/>
    <w:rPr>
      <w:rFonts w:ascii="Arial" w:hAnsi="Arial" w:cs="Times New Roman"/>
      <w:lang w:val="en-US" w:eastAsia="en-US" w:bidi="ar-SA"/>
    </w:rPr>
  </w:style>
  <w:style w:type="paragraph" w:customStyle="1" w:styleId="CarCar">
    <w:name w:val="Car Car"/>
    <w:basedOn w:val="Normal"/>
    <w:rsid w:val="00FD57F2"/>
    <w:pPr>
      <w:spacing w:after="160" w:line="240" w:lineRule="exact"/>
    </w:pPr>
    <w:rPr>
      <w:rFonts w:ascii="Verdana" w:hAnsi="Verdana" w:cs="Times New Roman"/>
      <w:sz w:val="20"/>
      <w:szCs w:val="24"/>
      <w:lang w:val="en-GB"/>
    </w:rPr>
  </w:style>
  <w:style w:type="character" w:customStyle="1" w:styleId="CharChar2">
    <w:name w:val="Char Char2"/>
    <w:rsid w:val="00FD57F2"/>
    <w:rPr>
      <w:rFonts w:ascii="Arial" w:hAnsi="Arial"/>
      <w:lang w:val="en-US" w:eastAsia="en-US" w:bidi="ar-SA"/>
    </w:rPr>
  </w:style>
  <w:style w:type="paragraph" w:customStyle="1" w:styleId="Indicators">
    <w:name w:val="Indicators"/>
    <w:basedOn w:val="Normal"/>
    <w:link w:val="IndicatorsChar"/>
    <w:rsid w:val="00FD57F2"/>
    <w:pPr>
      <w:spacing w:before="120"/>
      <w:ind w:left="284" w:right="170"/>
    </w:pPr>
    <w:rPr>
      <w:rFonts w:cs="Times New Roman"/>
      <w:sz w:val="20"/>
      <w:szCs w:val="24"/>
      <w:lang w:val="en-US"/>
    </w:rPr>
  </w:style>
  <w:style w:type="character" w:customStyle="1" w:styleId="IndicatorsChar">
    <w:name w:val="Indicators Char"/>
    <w:link w:val="Indicators"/>
    <w:rsid w:val="00FD57F2"/>
    <w:rPr>
      <w:rFonts w:ascii="Arial" w:hAnsi="Arial"/>
      <w:szCs w:val="24"/>
    </w:rPr>
  </w:style>
  <w:style w:type="paragraph" w:customStyle="1" w:styleId="DecisionInvitingPara">
    <w:name w:val="Decision Inviting Para."/>
    <w:basedOn w:val="Normal"/>
    <w:link w:val="DecisionInvitingParaChar"/>
    <w:rsid w:val="00FD57F2"/>
    <w:pPr>
      <w:spacing w:after="120" w:line="260" w:lineRule="exact"/>
      <w:ind w:left="5534"/>
    </w:pPr>
    <w:rPr>
      <w:rFonts w:cs="Times New Roman"/>
      <w:i/>
      <w:sz w:val="20"/>
      <w:szCs w:val="24"/>
      <w:lang w:val="en-US"/>
    </w:rPr>
  </w:style>
  <w:style w:type="paragraph" w:customStyle="1" w:styleId="preparedby">
    <w:name w:val="prepared by"/>
    <w:basedOn w:val="Normal"/>
    <w:next w:val="Normal"/>
    <w:rsid w:val="00FD57F2"/>
    <w:pPr>
      <w:spacing w:after="480" w:line="260" w:lineRule="exact"/>
      <w:ind w:left="1021"/>
    </w:pPr>
    <w:rPr>
      <w:rFonts w:cs="Times New Roman"/>
      <w:i/>
      <w:sz w:val="20"/>
      <w:szCs w:val="24"/>
      <w:lang w:val="en-US"/>
    </w:rPr>
  </w:style>
  <w:style w:type="paragraph" w:customStyle="1" w:styleId="Documenttitle">
    <w:name w:val="Document title"/>
    <w:basedOn w:val="Normal"/>
    <w:rsid w:val="00FD57F2"/>
    <w:pPr>
      <w:spacing w:before="1200" w:after="120" w:line="260" w:lineRule="exact"/>
      <w:ind w:left="1021"/>
    </w:pPr>
    <w:rPr>
      <w:rFonts w:cs="Times New Roman"/>
      <w:b/>
      <w:caps/>
      <w:sz w:val="20"/>
      <w:szCs w:val="24"/>
      <w:lang w:val="en-US"/>
    </w:rPr>
  </w:style>
  <w:style w:type="paragraph" w:customStyle="1" w:styleId="MeetinglanguageDate">
    <w:name w:val="Meeting language &amp; Date"/>
    <w:basedOn w:val="Normal"/>
    <w:next w:val="Meetingtitle"/>
    <w:rsid w:val="00FD57F2"/>
    <w:pPr>
      <w:spacing w:after="1680" w:line="160" w:lineRule="exact"/>
      <w:ind w:left="1021"/>
      <w:contextualSpacing/>
      <w:jc w:val="right"/>
    </w:pPr>
    <w:rPr>
      <w:rFonts w:ascii="Arial Black" w:hAnsi="Arial Black" w:cs="Times New Roman"/>
      <w:b/>
      <w:caps/>
      <w:sz w:val="15"/>
      <w:szCs w:val="24"/>
    </w:rPr>
  </w:style>
  <w:style w:type="paragraph" w:customStyle="1" w:styleId="Language">
    <w:name w:val="Language"/>
    <w:basedOn w:val="Normal"/>
    <w:next w:val="Normal"/>
    <w:autoRedefine/>
    <w:rsid w:val="00FD57F2"/>
    <w:pPr>
      <w:spacing w:after="120" w:line="340" w:lineRule="atLeast"/>
      <w:ind w:left="1021"/>
      <w:jc w:val="right"/>
    </w:pPr>
    <w:rPr>
      <w:rFonts w:cs="Times New Roman"/>
      <w:b/>
      <w:caps/>
      <w:sz w:val="40"/>
      <w:szCs w:val="24"/>
      <w:lang w:val="pt-BR"/>
    </w:rPr>
  </w:style>
  <w:style w:type="paragraph" w:customStyle="1" w:styleId="MeetingCode">
    <w:name w:val="Meeting Code"/>
    <w:basedOn w:val="MeetinglanguageDate"/>
    <w:rsid w:val="00FD57F2"/>
    <w:pPr>
      <w:spacing w:before="300" w:after="0"/>
    </w:pPr>
  </w:style>
  <w:style w:type="paragraph" w:customStyle="1" w:styleId="Meetingtitle">
    <w:name w:val="Meeting title"/>
    <w:basedOn w:val="Normal"/>
    <w:next w:val="Sessiontitle"/>
    <w:rsid w:val="00FD57F2"/>
    <w:pPr>
      <w:spacing w:after="360" w:line="336" w:lineRule="exact"/>
      <w:ind w:left="1021"/>
    </w:pPr>
    <w:rPr>
      <w:rFonts w:cs="Times New Roman"/>
      <w:b/>
      <w:sz w:val="28"/>
      <w:szCs w:val="24"/>
    </w:rPr>
  </w:style>
  <w:style w:type="paragraph" w:customStyle="1" w:styleId="Sessiontitle">
    <w:name w:val="Session title"/>
    <w:basedOn w:val="Meetingtitle"/>
    <w:next w:val="Meetingdateplace"/>
    <w:rsid w:val="00FD57F2"/>
    <w:pPr>
      <w:spacing w:after="0"/>
    </w:pPr>
    <w:rPr>
      <w:sz w:val="24"/>
    </w:rPr>
  </w:style>
  <w:style w:type="paragraph" w:customStyle="1" w:styleId="Meetingdateplace">
    <w:name w:val="Meeting date &amp; place"/>
    <w:basedOn w:val="Sessiontitle"/>
    <w:next w:val="Documenttitle"/>
    <w:rsid w:val="00FD57F2"/>
    <w:rPr>
      <w:lang w:val="en-US"/>
    </w:rPr>
  </w:style>
  <w:style w:type="character" w:customStyle="1" w:styleId="CharChar3">
    <w:name w:val="Char Char3"/>
    <w:rsid w:val="00FD57F2"/>
    <w:rPr>
      <w:rFonts w:ascii="Arial" w:hAnsi="Arial"/>
      <w:lang w:val="en-US" w:eastAsia="en-US" w:bidi="ar-SA"/>
    </w:rPr>
  </w:style>
  <w:style w:type="paragraph" w:styleId="BlockText">
    <w:name w:val="Block Text"/>
    <w:basedOn w:val="Normal"/>
    <w:rsid w:val="00FD57F2"/>
    <w:pPr>
      <w:spacing w:before="60" w:after="60"/>
      <w:ind w:left="266" w:right="142"/>
    </w:pPr>
    <w:rPr>
      <w:rFonts w:cs="Times New Roman"/>
      <w:szCs w:val="24"/>
      <w:lang w:val="en-US"/>
    </w:rPr>
  </w:style>
  <w:style w:type="paragraph" w:customStyle="1" w:styleId="BoxText1">
    <w:name w:val="Box Text1"/>
    <w:basedOn w:val="Normal"/>
    <w:rsid w:val="00FD57F2"/>
    <w:pPr>
      <w:ind w:left="284"/>
    </w:pPr>
    <w:rPr>
      <w:rFonts w:cs="Times New Roman"/>
      <w:snapToGrid w:val="0"/>
      <w:szCs w:val="24"/>
      <w:lang w:val="en-US"/>
    </w:rPr>
  </w:style>
  <w:style w:type="paragraph" w:customStyle="1" w:styleId="Normal1">
    <w:name w:val="Normal+1"/>
    <w:basedOn w:val="Normal"/>
    <w:next w:val="Normal"/>
    <w:rsid w:val="00FD57F2"/>
    <w:pPr>
      <w:autoSpaceDE w:val="0"/>
      <w:autoSpaceDN w:val="0"/>
      <w:adjustRightInd w:val="0"/>
    </w:pPr>
    <w:rPr>
      <w:rFonts w:cs="Times New Roman"/>
      <w:sz w:val="20"/>
      <w:szCs w:val="24"/>
      <w:lang w:val="en-US"/>
    </w:rPr>
  </w:style>
  <w:style w:type="character" w:customStyle="1" w:styleId="CharChar4">
    <w:name w:val="Char Char4"/>
    <w:rsid w:val="00FD57F2"/>
    <w:rPr>
      <w:rFonts w:ascii="Arial" w:hAnsi="Arial"/>
      <w:lang w:val="en-US" w:eastAsia="en-US" w:bidi="ar-SA"/>
    </w:rPr>
  </w:style>
  <w:style w:type="paragraph" w:customStyle="1" w:styleId="Meetingplacedate">
    <w:name w:val="Meeting place &amp; date"/>
    <w:basedOn w:val="Sessiontitle"/>
    <w:next w:val="Documenttitle"/>
    <w:rsid w:val="00FD57F2"/>
    <w:rPr>
      <w:lang w:val="en-US"/>
    </w:rPr>
  </w:style>
  <w:style w:type="character" w:customStyle="1" w:styleId="CharChar6">
    <w:name w:val="Char Char6"/>
    <w:rsid w:val="00FD57F2"/>
    <w:rPr>
      <w:rFonts w:ascii="Arial" w:hAnsi="Arial"/>
      <w:lang w:val="en-US" w:eastAsia="en-US" w:bidi="ar-SA"/>
    </w:rPr>
  </w:style>
  <w:style w:type="character" w:customStyle="1" w:styleId="Novruzova">
    <w:name w:val="Novruzova"/>
    <w:semiHidden/>
    <w:rsid w:val="00FD57F2"/>
    <w:rPr>
      <w:rFonts w:ascii="Arial" w:hAnsi="Arial" w:cs="Arial"/>
      <w:color w:val="000080"/>
      <w:sz w:val="20"/>
      <w:szCs w:val="20"/>
    </w:rPr>
  </w:style>
  <w:style w:type="character" w:customStyle="1" w:styleId="description">
    <w:name w:val="description"/>
    <w:basedOn w:val="DefaultParagraphFont"/>
    <w:rsid w:val="00FD57F2"/>
  </w:style>
  <w:style w:type="paragraph" w:customStyle="1" w:styleId="FreeFormA">
    <w:name w:val="Free Form A"/>
    <w:rsid w:val="00FD57F2"/>
    <w:rPr>
      <w:rFonts w:ascii="Helvetica" w:eastAsia="ヒラギノ角ゴ Pro W3" w:hAnsi="Helvetica"/>
      <w:color w:val="000000"/>
      <w:sz w:val="24"/>
    </w:rPr>
  </w:style>
  <w:style w:type="paragraph" w:customStyle="1" w:styleId="Char">
    <w:name w:val="Char 字元 字元"/>
    <w:basedOn w:val="Normal"/>
    <w:rsid w:val="00FD57F2"/>
    <w:pPr>
      <w:spacing w:after="160" w:line="240" w:lineRule="exact"/>
    </w:pPr>
    <w:rPr>
      <w:rFonts w:ascii="Verdana" w:eastAsia="PMingLiU" w:hAnsi="Verdana" w:cs="Times New Roman"/>
      <w:sz w:val="20"/>
      <w:szCs w:val="24"/>
      <w:lang w:val="en-US"/>
    </w:rPr>
  </w:style>
  <w:style w:type="character" w:customStyle="1" w:styleId="underline">
    <w:name w:val="underline"/>
    <w:rsid w:val="00FD57F2"/>
    <w:rPr>
      <w:u w:val="single"/>
    </w:rPr>
  </w:style>
  <w:style w:type="paragraph" w:customStyle="1" w:styleId="FreeForm">
    <w:name w:val="Free Form"/>
    <w:rsid w:val="00FD57F2"/>
    <w:rPr>
      <w:rFonts w:eastAsia="ヒラギノ角ゴ Pro W3"/>
      <w:color w:val="000000"/>
    </w:rPr>
  </w:style>
  <w:style w:type="paragraph" w:customStyle="1" w:styleId="Heading2A">
    <w:name w:val="Heading 2 A"/>
    <w:next w:val="Normal"/>
    <w:rsid w:val="00FD57F2"/>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D57F2"/>
    <w:rPr>
      <w:rFonts w:ascii="Arial" w:hAnsi="Arial"/>
      <w:sz w:val="16"/>
    </w:rPr>
  </w:style>
  <w:style w:type="character" w:styleId="PlaceholderText">
    <w:name w:val="Placeholder Text"/>
    <w:basedOn w:val="DefaultParagraphFont"/>
    <w:uiPriority w:val="99"/>
    <w:semiHidden/>
    <w:rsid w:val="00FD57F2"/>
    <w:rPr>
      <w:color w:val="808080"/>
    </w:rPr>
  </w:style>
  <w:style w:type="character" w:customStyle="1" w:styleId="Style5">
    <w:name w:val="Style5"/>
    <w:basedOn w:val="DefaultParagraphFont"/>
    <w:uiPriority w:val="1"/>
    <w:rsid w:val="00FD57F2"/>
    <w:rPr>
      <w:rFonts w:asciiTheme="minorHAnsi" w:hAnsiTheme="minorHAnsi"/>
      <w:sz w:val="20"/>
    </w:rPr>
  </w:style>
  <w:style w:type="paragraph" w:customStyle="1" w:styleId="StyleHeading214ptAuto">
    <w:name w:val="Style Heading 2 + 14 pt Auto"/>
    <w:basedOn w:val="Heading2"/>
    <w:rsid w:val="00FD57F2"/>
    <w:pPr>
      <w:widowControl w:val="0"/>
      <w:tabs>
        <w:tab w:val="num" w:pos="567"/>
        <w:tab w:val="right" w:pos="9072"/>
      </w:tabs>
      <w:spacing w:line="300" w:lineRule="atLeast"/>
      <w:ind w:left="567" w:hanging="567"/>
    </w:pPr>
    <w:rPr>
      <w:rFonts w:cs="Times New Roman"/>
      <w:sz w:val="24"/>
      <w:lang w:val="en-GB" w:eastAsia="da-DK"/>
    </w:rPr>
  </w:style>
  <w:style w:type="paragraph" w:styleId="TOC4">
    <w:name w:val="toc 4"/>
    <w:basedOn w:val="Normal"/>
    <w:next w:val="Normal"/>
    <w:autoRedefine/>
    <w:uiPriority w:val="39"/>
    <w:rsid w:val="00E73DAD"/>
    <w:pPr>
      <w:tabs>
        <w:tab w:val="left" w:pos="2410"/>
        <w:tab w:val="left" w:pos="2835"/>
        <w:tab w:val="right" w:leader="dot" w:pos="9498"/>
      </w:tabs>
      <w:spacing w:after="100"/>
      <w:ind w:left="2410" w:right="-143" w:hanging="1843"/>
    </w:pPr>
    <w:rPr>
      <w:rFonts w:cs="Times New Roman"/>
      <w:i/>
      <w:caps/>
      <w:sz w:val="18"/>
      <w:szCs w:val="24"/>
    </w:rPr>
  </w:style>
  <w:style w:type="paragraph" w:styleId="TOC5">
    <w:name w:val="toc 5"/>
    <w:basedOn w:val="Normal"/>
    <w:next w:val="Normal"/>
    <w:autoRedefine/>
    <w:uiPriority w:val="39"/>
    <w:rsid w:val="00FD57F2"/>
    <w:pPr>
      <w:spacing w:after="100"/>
      <w:ind w:left="800"/>
    </w:pPr>
    <w:rPr>
      <w:rFonts w:cs="Times New Roman"/>
      <w:sz w:val="20"/>
      <w:szCs w:val="24"/>
    </w:rPr>
  </w:style>
  <w:style w:type="character" w:customStyle="1" w:styleId="st">
    <w:name w:val="st"/>
    <w:basedOn w:val="DefaultParagraphFont"/>
    <w:rsid w:val="00FD57F2"/>
  </w:style>
  <w:style w:type="paragraph" w:customStyle="1" w:styleId="StyleStyleHeading3ComplexItalicLatin12pt">
    <w:name w:val="Style Style Heading 3 + (Complex) Italic + (Latin) 12 pt"/>
    <w:basedOn w:val="Normal"/>
    <w:link w:val="StyleStyleHeading3ComplexItalicLatin12ptChar"/>
    <w:rsid w:val="00FD57F2"/>
    <w:pPr>
      <w:keepNext/>
      <w:tabs>
        <w:tab w:val="left" w:pos="1985"/>
      </w:tabs>
      <w:outlineLvl w:val="2"/>
    </w:pPr>
    <w:rPr>
      <w:rFonts w:cs="Times New Roman"/>
      <w:b/>
      <w:iCs/>
      <w:caps/>
      <w:sz w:val="20"/>
      <w:szCs w:val="22"/>
      <w:lang w:val="en-US"/>
    </w:rPr>
  </w:style>
  <w:style w:type="character" w:customStyle="1" w:styleId="StyleStyleHeading3ComplexItalicLatin12ptChar">
    <w:name w:val="Style Style Heading 3 + (Complex) Italic + (Latin) 12 pt Char"/>
    <w:link w:val="StyleStyleHeading3ComplexItalicLatin12pt"/>
    <w:rsid w:val="00FD57F2"/>
    <w:rPr>
      <w:rFonts w:ascii="Arial" w:hAnsi="Arial"/>
      <w:b/>
      <w:iCs/>
      <w:caps/>
      <w:szCs w:val="22"/>
    </w:rPr>
  </w:style>
  <w:style w:type="paragraph" w:customStyle="1" w:styleId="Style1">
    <w:name w:val="Style1"/>
    <w:basedOn w:val="Normal"/>
    <w:qFormat/>
    <w:rsid w:val="00FD57F2"/>
    <w:pPr>
      <w:numPr>
        <w:numId w:val="60"/>
      </w:numPr>
    </w:pPr>
    <w:rPr>
      <w:rFonts w:cs="Times New Roman"/>
      <w:sz w:val="20"/>
      <w:szCs w:val="24"/>
      <w:lang w:val="en-US"/>
    </w:rPr>
  </w:style>
  <w:style w:type="paragraph" w:styleId="NoSpacing">
    <w:name w:val="No Spacing"/>
    <w:uiPriority w:val="1"/>
    <w:qFormat/>
    <w:rsid w:val="00FD57F2"/>
    <w:rPr>
      <w:rFonts w:ascii="Calibri" w:eastAsia="Calibri" w:hAnsi="Calibri"/>
      <w:sz w:val="22"/>
      <w:szCs w:val="22"/>
      <w:lang w:val="fr-FR" w:eastAsia="fr-FR"/>
    </w:rPr>
  </w:style>
  <w:style w:type="numbering" w:customStyle="1" w:styleId="NoList1">
    <w:name w:val="No List1"/>
    <w:next w:val="NoList"/>
    <w:uiPriority w:val="99"/>
    <w:semiHidden/>
    <w:unhideWhenUsed/>
    <w:rsid w:val="00FD57F2"/>
  </w:style>
  <w:style w:type="paragraph" w:customStyle="1" w:styleId="Test">
    <w:name w:val="Test"/>
    <w:basedOn w:val="Normal"/>
    <w:qFormat/>
    <w:rsid w:val="00FD57F2"/>
    <w:pPr>
      <w:numPr>
        <w:numId w:val="61"/>
      </w:numPr>
    </w:pPr>
    <w:rPr>
      <w:rFonts w:eastAsiaTheme="minorHAnsi" w:cs="Times New Roman"/>
      <w:szCs w:val="22"/>
      <w:lang w:val="en-US"/>
    </w:rPr>
  </w:style>
  <w:style w:type="paragraph" w:styleId="TOCHeading">
    <w:name w:val="TOC Heading"/>
    <w:basedOn w:val="Heading1"/>
    <w:next w:val="Normal"/>
    <w:uiPriority w:val="39"/>
    <w:semiHidden/>
    <w:unhideWhenUsed/>
    <w:qFormat/>
    <w:rsid w:val="00FD57F2"/>
    <w:pPr>
      <w:tabs>
        <w:tab w:val="num" w:pos="284"/>
      </w:tabs>
      <w:spacing w:line="276" w:lineRule="auto"/>
      <w:ind w:left="720" w:hanging="720"/>
      <w:jc w:val="center"/>
      <w:outlineLvl w:val="9"/>
    </w:pPr>
    <w:rPr>
      <w:rFonts w:ascii="Cambria" w:eastAsia="Times New Roman" w:hAnsi="Cambria" w:cs="Times New Roman"/>
      <w:caps w:val="0"/>
      <w:color w:val="365F91"/>
      <w:lang w:val="en-US" w:eastAsia="fr-FR"/>
    </w:rPr>
  </w:style>
  <w:style w:type="paragraph" w:styleId="TOC6">
    <w:name w:val="toc 6"/>
    <w:basedOn w:val="Normal"/>
    <w:next w:val="Normal"/>
    <w:autoRedefine/>
    <w:rsid w:val="00FD57F2"/>
    <w:pPr>
      <w:ind w:left="1000"/>
    </w:pPr>
    <w:rPr>
      <w:rFonts w:ascii="Calibri" w:hAnsi="Calibri" w:cs="Times New Roman"/>
      <w:sz w:val="18"/>
      <w:szCs w:val="18"/>
      <w:lang w:eastAsia="fr-FR"/>
    </w:rPr>
  </w:style>
  <w:style w:type="paragraph" w:styleId="TOC7">
    <w:name w:val="toc 7"/>
    <w:basedOn w:val="Normal"/>
    <w:next w:val="Normal"/>
    <w:autoRedefine/>
    <w:rsid w:val="00FD57F2"/>
    <w:pPr>
      <w:ind w:left="1200"/>
    </w:pPr>
    <w:rPr>
      <w:rFonts w:ascii="Calibri" w:hAnsi="Calibri" w:cs="Times New Roman"/>
      <w:sz w:val="18"/>
      <w:szCs w:val="18"/>
      <w:lang w:eastAsia="fr-FR"/>
    </w:rPr>
  </w:style>
  <w:style w:type="paragraph" w:styleId="TOC8">
    <w:name w:val="toc 8"/>
    <w:basedOn w:val="Normal"/>
    <w:next w:val="Normal"/>
    <w:autoRedefine/>
    <w:rsid w:val="00FD57F2"/>
    <w:pPr>
      <w:ind w:left="1400"/>
    </w:pPr>
    <w:rPr>
      <w:rFonts w:ascii="Calibri" w:hAnsi="Calibri" w:cs="Times New Roman"/>
      <w:sz w:val="18"/>
      <w:szCs w:val="18"/>
      <w:lang w:eastAsia="fr-FR"/>
    </w:rPr>
  </w:style>
  <w:style w:type="paragraph" w:styleId="TOC9">
    <w:name w:val="toc 9"/>
    <w:basedOn w:val="Normal"/>
    <w:next w:val="Normal"/>
    <w:autoRedefine/>
    <w:rsid w:val="00FD57F2"/>
    <w:pPr>
      <w:ind w:left="1600"/>
    </w:pPr>
    <w:rPr>
      <w:rFonts w:ascii="Calibri" w:hAnsi="Calibri" w:cs="Times New Roman"/>
      <w:sz w:val="18"/>
      <w:szCs w:val="18"/>
      <w:lang w:eastAsia="fr-FR"/>
    </w:rPr>
  </w:style>
  <w:style w:type="character" w:customStyle="1" w:styleId="DecisionInvitingParaChar">
    <w:name w:val="Decision Inviting Para. Char"/>
    <w:link w:val="DecisionInvitingPara"/>
    <w:locked/>
    <w:rsid w:val="00FD57F2"/>
    <w:rPr>
      <w:rFonts w:ascii="Arial" w:hAnsi="Arial"/>
      <w:i/>
      <w:szCs w:val="24"/>
    </w:rPr>
  </w:style>
  <w:style w:type="character" w:customStyle="1" w:styleId="ONUMEChar">
    <w:name w:val="ONUM E Char"/>
    <w:link w:val="ONUME"/>
    <w:locked/>
    <w:rsid w:val="00FD57F2"/>
    <w:rPr>
      <w:rFonts w:ascii="Arial" w:hAnsi="Arial" w:cs="Arial"/>
      <w:sz w:val="22"/>
      <w:lang w:val="fr-FR"/>
    </w:rPr>
  </w:style>
  <w:style w:type="character" w:styleId="Strong">
    <w:name w:val="Strong"/>
    <w:basedOn w:val="DefaultParagraphFont"/>
    <w:uiPriority w:val="22"/>
    <w:qFormat/>
    <w:rsid w:val="00FD57F2"/>
    <w:rPr>
      <w:b/>
      <w:bCs/>
    </w:rPr>
  </w:style>
  <w:style w:type="paragraph" w:customStyle="1" w:styleId="StyleHeading3ComplexItalic">
    <w:name w:val="Style Heading 3 + (Complex) Italic"/>
    <w:basedOn w:val="Heading3"/>
    <w:link w:val="StyleHeading3ComplexItalicChar"/>
    <w:rsid w:val="00FD57F2"/>
    <w:pPr>
      <w:tabs>
        <w:tab w:val="left" w:pos="1985"/>
        <w:tab w:val="right" w:pos="9072"/>
      </w:tabs>
    </w:pPr>
    <w:rPr>
      <w:b w:val="0"/>
      <w:bCs/>
      <w:szCs w:val="22"/>
      <w:lang w:val="en-US"/>
    </w:rPr>
  </w:style>
  <w:style w:type="character" w:customStyle="1" w:styleId="StyleHeading3ComplexItalicChar">
    <w:name w:val="Style Heading 3 + (Complex) Italic Char"/>
    <w:link w:val="StyleHeading3ComplexItalic"/>
    <w:rsid w:val="00FD57F2"/>
    <w:rPr>
      <w:rFonts w:ascii="Arial" w:hAnsi="Arial" w:cs="Arial"/>
      <w:bCs/>
      <w:caps/>
      <w:sz w:val="22"/>
      <w:szCs w:val="22"/>
    </w:rPr>
  </w:style>
  <w:style w:type="character" w:styleId="EndnoteReference">
    <w:name w:val="endnote reference"/>
    <w:basedOn w:val="DefaultParagraphFont"/>
    <w:unhideWhenUsed/>
    <w:rsid w:val="00FD57F2"/>
    <w:rPr>
      <w:vertAlign w:val="superscript"/>
    </w:rPr>
  </w:style>
  <w:style w:type="character" w:styleId="HTMLCite">
    <w:name w:val="HTML Cite"/>
    <w:basedOn w:val="DefaultParagraphFont"/>
    <w:uiPriority w:val="99"/>
    <w:unhideWhenUsed/>
    <w:rsid w:val="00FD57F2"/>
    <w:rPr>
      <w:i/>
      <w:iCs/>
    </w:rPr>
  </w:style>
  <w:style w:type="character" w:customStyle="1" w:styleId="hps">
    <w:name w:val="hps"/>
    <w:basedOn w:val="DefaultParagraphFont"/>
    <w:rsid w:val="00FD57F2"/>
  </w:style>
  <w:style w:type="paragraph" w:customStyle="1" w:styleId="Normal-table">
    <w:name w:val="Normal-table"/>
    <w:rsid w:val="00FD57F2"/>
    <w:rPr>
      <w:rFonts w:ascii="Arial" w:eastAsia="Batang" w:hAnsi="Arial"/>
    </w:rPr>
  </w:style>
  <w:style w:type="paragraph" w:customStyle="1" w:styleId="CharCharCharChar2">
    <w:name w:val="Char Char Char Char2"/>
    <w:basedOn w:val="Normal"/>
    <w:rsid w:val="00FD57F2"/>
    <w:pPr>
      <w:spacing w:after="160" w:line="240" w:lineRule="exact"/>
    </w:pPr>
    <w:rPr>
      <w:rFonts w:ascii="Verdana" w:hAnsi="Verdana" w:cs="Times New Roman"/>
      <w:sz w:val="20"/>
      <w:lang w:val="en-GB"/>
    </w:rPr>
  </w:style>
  <w:style w:type="paragraph" w:customStyle="1" w:styleId="CharCharCharChar1">
    <w:name w:val="Char Char Char Char1"/>
    <w:basedOn w:val="Normal"/>
    <w:rsid w:val="00FD57F2"/>
    <w:pPr>
      <w:spacing w:after="160" w:line="240" w:lineRule="exact"/>
    </w:pPr>
    <w:rPr>
      <w:rFonts w:ascii="Verdana" w:hAnsi="Verdana" w:cs="Times New Roman"/>
      <w:sz w:val="20"/>
      <w:lang w:val="en-GB"/>
    </w:rPr>
  </w:style>
  <w:style w:type="character" w:customStyle="1" w:styleId="CharChar1">
    <w:name w:val="Char Char1"/>
    <w:locked/>
    <w:rsid w:val="00FD57F2"/>
    <w:rPr>
      <w:rFonts w:ascii="Arial" w:hAnsi="Arial" w:cs="Times New Roman"/>
      <w:lang w:val="en-US" w:eastAsia="en-US" w:bidi="ar-SA"/>
    </w:rPr>
  </w:style>
  <w:style w:type="paragraph" w:customStyle="1" w:styleId="CarCar1">
    <w:name w:val="Car Car1"/>
    <w:basedOn w:val="Normal"/>
    <w:rsid w:val="00FD57F2"/>
    <w:pPr>
      <w:spacing w:after="160" w:line="240" w:lineRule="exact"/>
    </w:pPr>
    <w:rPr>
      <w:rFonts w:ascii="Verdana" w:hAnsi="Verdana" w:cs="Times New Roman"/>
      <w:sz w:val="20"/>
      <w:lang w:val="en-GB"/>
    </w:rPr>
  </w:style>
  <w:style w:type="character" w:customStyle="1" w:styleId="CharChar21">
    <w:name w:val="Char Char21"/>
    <w:rsid w:val="00FD57F2"/>
    <w:rPr>
      <w:rFonts w:ascii="Arial" w:hAnsi="Arial"/>
      <w:lang w:val="en-US" w:eastAsia="en-US" w:bidi="ar-SA"/>
    </w:rPr>
  </w:style>
  <w:style w:type="character" w:customStyle="1" w:styleId="CharChar31">
    <w:name w:val="Char Char31"/>
    <w:rsid w:val="00FD57F2"/>
    <w:rPr>
      <w:rFonts w:ascii="Arial" w:hAnsi="Arial"/>
      <w:lang w:val="en-US" w:eastAsia="en-US" w:bidi="ar-SA"/>
    </w:rPr>
  </w:style>
  <w:style w:type="character" w:customStyle="1" w:styleId="CharChar41">
    <w:name w:val="Char Char41"/>
    <w:rsid w:val="00FD57F2"/>
    <w:rPr>
      <w:rFonts w:ascii="Arial" w:hAnsi="Arial"/>
      <w:lang w:val="en-US" w:eastAsia="en-US" w:bidi="ar-SA"/>
    </w:rPr>
  </w:style>
  <w:style w:type="character" w:customStyle="1" w:styleId="CharChar61">
    <w:name w:val="Char Char61"/>
    <w:rsid w:val="00FD57F2"/>
    <w:rPr>
      <w:rFonts w:ascii="Arial" w:hAnsi="Arial"/>
      <w:lang w:val="en-US" w:eastAsia="en-US" w:bidi="ar-SA"/>
    </w:rPr>
  </w:style>
  <w:style w:type="paragraph" w:customStyle="1" w:styleId="Char1">
    <w:name w:val="Char 字元 字元1"/>
    <w:basedOn w:val="Normal"/>
    <w:rsid w:val="00FD57F2"/>
    <w:pPr>
      <w:spacing w:after="160" w:line="240" w:lineRule="exact"/>
    </w:pPr>
    <w:rPr>
      <w:rFonts w:ascii="Verdana" w:eastAsia="PMingLiU" w:hAnsi="Verdana" w:cs="Times New Roman"/>
      <w:sz w:val="20"/>
      <w:lang w:val="en-US"/>
    </w:rPr>
  </w:style>
  <w:style w:type="paragraph" w:customStyle="1" w:styleId="Endofdocument">
    <w:name w:val="End of document"/>
    <w:basedOn w:val="Normal"/>
    <w:rsid w:val="00FD57F2"/>
    <w:pPr>
      <w:ind w:left="4536"/>
      <w:jc w:val="center"/>
    </w:pPr>
    <w:rPr>
      <w:rFonts w:ascii="Times New Roman" w:hAnsi="Times New Roman" w:cs="Times New Roman"/>
      <w:sz w:val="24"/>
      <w:lang w:val="en-US"/>
    </w:rPr>
  </w:style>
  <w:style w:type="character" w:customStyle="1" w:styleId="admitted">
    <w:name w:val="admitted"/>
    <w:basedOn w:val="DefaultParagraphFont"/>
    <w:rsid w:val="00FD57F2"/>
  </w:style>
  <w:style w:type="character" w:customStyle="1" w:styleId="preferred">
    <w:name w:val="preferred"/>
    <w:basedOn w:val="DefaultParagraphFont"/>
    <w:rsid w:val="00FD57F2"/>
  </w:style>
  <w:style w:type="character" w:customStyle="1" w:styleId="acronym">
    <w:name w:val="acronym"/>
    <w:basedOn w:val="DefaultParagraphFont"/>
    <w:rsid w:val="00FD57F2"/>
  </w:style>
  <w:style w:type="paragraph" w:customStyle="1" w:styleId="null">
    <w:name w:val="null"/>
    <w:basedOn w:val="Normal"/>
    <w:rsid w:val="00C2082C"/>
    <w:pPr>
      <w:spacing w:before="100" w:beforeAutospacing="1" w:after="100" w:afterAutospacing="1"/>
    </w:pPr>
    <w:rPr>
      <w:rFonts w:ascii="Times New Roman" w:eastAsiaTheme="minorHAnsi" w:hAnsi="Times New Roman" w:cs="Times New Roman"/>
      <w:sz w:val="24"/>
      <w:szCs w:val="24"/>
      <w:lang w:val="en-US"/>
    </w:rPr>
  </w:style>
  <w:style w:type="character" w:customStyle="1" w:styleId="null1">
    <w:name w:val="null1"/>
    <w:basedOn w:val="DefaultParagraphFont"/>
    <w:rsid w:val="00C2082C"/>
  </w:style>
  <w:style w:type="paragraph" w:customStyle="1" w:styleId="StyleHeading4">
    <w:name w:val="Style Heading 4"/>
    <w:basedOn w:val="Normal"/>
    <w:qFormat/>
    <w:rsid w:val="00C2082C"/>
    <w:pPr>
      <w:keepNext/>
      <w:ind w:left="1843" w:hanging="1843"/>
      <w:outlineLvl w:val="2"/>
    </w:pPr>
    <w:rPr>
      <w:rFonts w:eastAsia="SimSun"/>
      <w:b/>
      <w:bCs/>
      <w:i/>
      <w:sz w:val="20"/>
      <w:szCs w:val="2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8E"/>
    <w:rPr>
      <w:rFonts w:ascii="Arial" w:hAnsi="Arial" w:cs="Arial"/>
      <w:sz w:val="22"/>
      <w:lang w:val="fr-FR"/>
    </w:rPr>
  </w:style>
  <w:style w:type="paragraph" w:styleId="Heading1">
    <w:name w:val="heading 1"/>
    <w:basedOn w:val="Normal"/>
    <w:next w:val="Normal"/>
    <w:link w:val="Heading1Char"/>
    <w:qFormat/>
    <w:rsid w:val="00C119C4"/>
    <w:pPr>
      <w:keepNext/>
      <w:numPr>
        <w:numId w:val="45"/>
      </w:numPr>
      <w:spacing w:before="240" w:after="60"/>
      <w:ind w:left="567" w:hanging="567"/>
      <w:outlineLvl w:val="0"/>
    </w:pPr>
    <w:rPr>
      <w:rFonts w:eastAsia="SimSun"/>
      <w:b/>
      <w:bCs/>
      <w:caps/>
      <w:kern w:val="32"/>
      <w:szCs w:val="32"/>
    </w:rPr>
  </w:style>
  <w:style w:type="paragraph" w:styleId="Heading2">
    <w:name w:val="heading 2"/>
    <w:basedOn w:val="Normal"/>
    <w:next w:val="Normal"/>
    <w:link w:val="Heading2Char"/>
    <w:qFormat/>
    <w:rsid w:val="009761D3"/>
    <w:pPr>
      <w:jc w:val="center"/>
      <w:outlineLvl w:val="1"/>
    </w:pPr>
    <w:rPr>
      <w:rFonts w:ascii="Arial Bold" w:hAnsi="Arial Bold"/>
      <w:b/>
      <w:caps/>
      <w:sz w:val="20"/>
    </w:rPr>
  </w:style>
  <w:style w:type="paragraph" w:styleId="Heading3">
    <w:name w:val="heading 3"/>
    <w:basedOn w:val="Normal"/>
    <w:next w:val="Normal"/>
    <w:link w:val="Heading3Char"/>
    <w:qFormat/>
    <w:rsid w:val="006658D5"/>
    <w:pPr>
      <w:keepNext/>
      <w:ind w:left="2268" w:hanging="2268"/>
      <w:outlineLvl w:val="2"/>
    </w:pPr>
    <w:rPr>
      <w:b/>
      <w:caps/>
    </w:rPr>
  </w:style>
  <w:style w:type="paragraph" w:styleId="Heading4">
    <w:name w:val="heading 4"/>
    <w:basedOn w:val="Normal"/>
    <w:next w:val="Normal"/>
    <w:link w:val="Heading4Char"/>
    <w:qFormat/>
    <w:rsid w:val="006A58B3"/>
    <w:pPr>
      <w:keepNext/>
      <w:spacing w:before="240" w:after="60"/>
      <w:outlineLvl w:val="3"/>
    </w:pPr>
    <w:rPr>
      <w:rFonts w:eastAsia="SimSun"/>
      <w:b/>
      <w:bCs/>
      <w:szCs w:val="28"/>
    </w:rPr>
  </w:style>
  <w:style w:type="paragraph" w:styleId="Heading5">
    <w:name w:val="heading 5"/>
    <w:basedOn w:val="Normal"/>
    <w:next w:val="Normal"/>
    <w:link w:val="Heading5Char"/>
    <w:unhideWhenUsed/>
    <w:qFormat/>
    <w:rsid w:val="00D46647"/>
    <w:pPr>
      <w:tabs>
        <w:tab w:val="left" w:pos="1418"/>
      </w:tabs>
      <w:ind w:left="1418" w:hanging="1418"/>
      <w:outlineLvl w:val="4"/>
    </w:pPr>
    <w:rPr>
      <w:b/>
      <w:i/>
      <w:caps/>
      <w:sz w:val="20"/>
    </w:rPr>
  </w:style>
  <w:style w:type="paragraph" w:styleId="Heading8">
    <w:name w:val="heading 8"/>
    <w:basedOn w:val="Normal"/>
    <w:next w:val="Normal"/>
    <w:link w:val="Heading8Char"/>
    <w:uiPriority w:val="9"/>
    <w:unhideWhenUsed/>
    <w:qFormat/>
    <w:rsid w:val="00FD57F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link w:val="SalutationChar"/>
    <w:rsid w:val="00804DB7"/>
  </w:style>
  <w:style w:type="paragraph" w:styleId="Signature">
    <w:name w:val="Signature"/>
    <w:basedOn w:val="Normal"/>
    <w:link w:val="SignatureChar"/>
    <w:rsid w:val="00804DB7"/>
    <w:pPr>
      <w:ind w:left="5250"/>
    </w:pPr>
  </w:style>
  <w:style w:type="paragraph" w:styleId="FootnoteText">
    <w:name w:val="footnote text"/>
    <w:basedOn w:val="Normal"/>
    <w:link w:val="FootnoteTextChar"/>
    <w:rsid w:val="00804DB7"/>
    <w:rPr>
      <w:sz w:val="18"/>
    </w:rPr>
  </w:style>
  <w:style w:type="paragraph" w:styleId="EndnoteText">
    <w:name w:val="endnote text"/>
    <w:basedOn w:val="Normal"/>
    <w:link w:val="EndnoteTextChar"/>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rsid w:val="00804DB7"/>
    <w:rPr>
      <w:sz w:val="18"/>
    </w:rPr>
  </w:style>
  <w:style w:type="paragraph" w:styleId="BodyText">
    <w:name w:val="Body Text"/>
    <w:basedOn w:val="Normal"/>
    <w:link w:val="BodyTextChar"/>
    <w:rsid w:val="00804DB7"/>
    <w:pPr>
      <w:spacing w:after="220"/>
    </w:pPr>
  </w:style>
  <w:style w:type="paragraph" w:customStyle="1" w:styleId="ONUMFS">
    <w:name w:val="ONUM FS"/>
    <w:basedOn w:val="BodyText"/>
    <w:rsid w:val="00804DB7"/>
    <w:pPr>
      <w:numPr>
        <w:numId w:val="2"/>
      </w:numPr>
    </w:pPr>
  </w:style>
  <w:style w:type="paragraph" w:customStyle="1" w:styleId="ONUME">
    <w:name w:val="ONUM E"/>
    <w:basedOn w:val="BodyText"/>
    <w:link w:val="ONUMEChar"/>
    <w:rsid w:val="00804DB7"/>
    <w:pPr>
      <w:numPr>
        <w:numId w:val="1"/>
      </w:numPr>
    </w:pPr>
  </w:style>
  <w:style w:type="paragraph" w:styleId="ListNumber">
    <w:name w:val="List Number"/>
    <w:basedOn w:val="Normal"/>
    <w:rsid w:val="00804DB7"/>
    <w:pPr>
      <w:numPr>
        <w:numId w:val="3"/>
      </w:numPr>
    </w:pPr>
  </w:style>
  <w:style w:type="character" w:styleId="FootnoteReference">
    <w:name w:val="footnote reference"/>
    <w:aliases w:val="Footnote"/>
    <w:basedOn w:val="DefaultParagraphFont"/>
    <w:unhideWhenUsed/>
    <w:rsid w:val="00865602"/>
    <w:rPr>
      <w:rFonts w:ascii="Arial" w:eastAsia="Times New Roman" w:hAnsi="Arial" w:cs="Times New Roman"/>
      <w:sz w:val="16"/>
      <w:szCs w:val="20"/>
      <w:vertAlign w:val="superscript"/>
    </w:rPr>
  </w:style>
  <w:style w:type="character" w:customStyle="1" w:styleId="FootnoteTextChar">
    <w:name w:val="Footnote Text Char"/>
    <w:link w:val="FootnoteText"/>
    <w:locked/>
    <w:rsid w:val="005C2996"/>
    <w:rPr>
      <w:rFonts w:ascii="Arial" w:hAnsi="Arial" w:cs="Arial"/>
      <w:sz w:val="18"/>
    </w:rPr>
  </w:style>
  <w:style w:type="character" w:styleId="CommentReference">
    <w:name w:val="annotation reference"/>
    <w:basedOn w:val="DefaultParagraphFont"/>
    <w:rsid w:val="007760E9"/>
    <w:rPr>
      <w:sz w:val="16"/>
      <w:szCs w:val="16"/>
    </w:rPr>
  </w:style>
  <w:style w:type="paragraph" w:styleId="CommentSubject">
    <w:name w:val="annotation subject"/>
    <w:basedOn w:val="CommentText"/>
    <w:next w:val="CommentText"/>
    <w:link w:val="CommentSubjectChar"/>
    <w:rsid w:val="007760E9"/>
    <w:rPr>
      <w:b/>
      <w:bCs/>
      <w:sz w:val="20"/>
    </w:rPr>
  </w:style>
  <w:style w:type="character" w:customStyle="1" w:styleId="CommentTextChar">
    <w:name w:val="Comment Text Char"/>
    <w:basedOn w:val="DefaultParagraphFont"/>
    <w:link w:val="CommentText"/>
    <w:rsid w:val="007760E9"/>
    <w:rPr>
      <w:rFonts w:ascii="Arial" w:hAnsi="Arial" w:cs="Arial"/>
      <w:sz w:val="18"/>
    </w:rPr>
  </w:style>
  <w:style w:type="character" w:customStyle="1" w:styleId="CommentSubjectChar">
    <w:name w:val="Comment Subject Char"/>
    <w:basedOn w:val="CommentTextChar"/>
    <w:link w:val="CommentSubject"/>
    <w:rsid w:val="007760E9"/>
    <w:rPr>
      <w:rFonts w:ascii="Arial" w:hAnsi="Arial" w:cs="Arial"/>
      <w:b/>
      <w:bCs/>
      <w:sz w:val="18"/>
    </w:rPr>
  </w:style>
  <w:style w:type="paragraph" w:styleId="BalloonText">
    <w:name w:val="Balloon Text"/>
    <w:basedOn w:val="Normal"/>
    <w:link w:val="BalloonTextChar"/>
    <w:rsid w:val="007760E9"/>
    <w:rPr>
      <w:rFonts w:ascii="Tahoma" w:hAnsi="Tahoma" w:cs="Tahoma"/>
      <w:sz w:val="16"/>
      <w:szCs w:val="16"/>
    </w:rPr>
  </w:style>
  <w:style w:type="character" w:customStyle="1" w:styleId="BalloonTextChar">
    <w:name w:val="Balloon Text Char"/>
    <w:basedOn w:val="DefaultParagraphFont"/>
    <w:link w:val="BalloonText"/>
    <w:rsid w:val="007760E9"/>
    <w:rPr>
      <w:rFonts w:ascii="Tahoma" w:hAnsi="Tahoma" w:cs="Tahoma"/>
      <w:sz w:val="16"/>
      <w:szCs w:val="16"/>
    </w:rPr>
  </w:style>
  <w:style w:type="paragraph" w:styleId="ListParagraph">
    <w:name w:val="List Paragraph"/>
    <w:basedOn w:val="Normal"/>
    <w:uiPriority w:val="34"/>
    <w:qFormat/>
    <w:rsid w:val="00FD1F4A"/>
    <w:pPr>
      <w:ind w:left="720"/>
      <w:contextualSpacing/>
    </w:pPr>
    <w:rPr>
      <w:rFonts w:asciiTheme="minorHAnsi" w:eastAsiaTheme="minorEastAsia" w:hAnsiTheme="minorHAnsi" w:cstheme="minorBidi"/>
      <w:szCs w:val="22"/>
      <w:lang w:eastAsia="ja-JP"/>
    </w:rPr>
  </w:style>
  <w:style w:type="table" w:styleId="TableGrid">
    <w:name w:val="Table Grid"/>
    <w:basedOn w:val="TableNormal"/>
    <w:rsid w:val="002F1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F1C9B"/>
    <w:pPr>
      <w:spacing w:before="100" w:beforeAutospacing="1" w:after="100" w:afterAutospacing="1"/>
    </w:pPr>
    <w:rPr>
      <w:sz w:val="18"/>
      <w:szCs w:val="18"/>
    </w:rPr>
  </w:style>
  <w:style w:type="character" w:styleId="Hyperlink">
    <w:name w:val="Hyperlink"/>
    <w:basedOn w:val="DefaultParagraphFont"/>
    <w:uiPriority w:val="99"/>
    <w:rsid w:val="004F68DA"/>
    <w:rPr>
      <w:color w:val="0000FF" w:themeColor="hyperlink"/>
      <w:u w:val="single"/>
    </w:rPr>
  </w:style>
  <w:style w:type="character" w:styleId="FollowedHyperlink">
    <w:name w:val="FollowedHyperlink"/>
    <w:basedOn w:val="DefaultParagraphFont"/>
    <w:rsid w:val="004F68DA"/>
    <w:rPr>
      <w:color w:val="800080" w:themeColor="followedHyperlink"/>
      <w:u w:val="single"/>
    </w:rPr>
  </w:style>
  <w:style w:type="paragraph" w:styleId="Revision">
    <w:name w:val="Revision"/>
    <w:hidden/>
    <w:uiPriority w:val="99"/>
    <w:semiHidden/>
    <w:rsid w:val="00465379"/>
    <w:rPr>
      <w:rFonts w:ascii="Arial" w:hAnsi="Arial" w:cs="Arial"/>
      <w:sz w:val="22"/>
    </w:rPr>
  </w:style>
  <w:style w:type="character" w:customStyle="1" w:styleId="FooterChar">
    <w:name w:val="Footer Char"/>
    <w:basedOn w:val="DefaultParagraphFont"/>
    <w:link w:val="Footer"/>
    <w:uiPriority w:val="99"/>
    <w:rsid w:val="00617973"/>
    <w:rPr>
      <w:rFonts w:ascii="Arial" w:hAnsi="Arial" w:cs="Arial"/>
      <w:sz w:val="22"/>
    </w:rPr>
  </w:style>
  <w:style w:type="paragraph" w:customStyle="1" w:styleId="Default">
    <w:name w:val="Default"/>
    <w:rsid w:val="00BA5EA9"/>
    <w:pPr>
      <w:autoSpaceDE w:val="0"/>
      <w:autoSpaceDN w:val="0"/>
      <w:adjustRightInd w:val="0"/>
      <w:ind w:right="173"/>
    </w:pPr>
    <w:rPr>
      <w:rFonts w:ascii="Arial" w:eastAsia="Batang" w:hAnsi="Arial" w:cs="Arial"/>
      <w:color w:val="000000"/>
      <w:sz w:val="24"/>
      <w:szCs w:val="24"/>
      <w:lang w:eastAsia="ja-JP"/>
    </w:rPr>
  </w:style>
  <w:style w:type="character" w:customStyle="1" w:styleId="Heading2Char">
    <w:name w:val="Heading 2 Char"/>
    <w:link w:val="Heading2"/>
    <w:rsid w:val="009761D3"/>
    <w:rPr>
      <w:rFonts w:ascii="Arial Bold" w:hAnsi="Arial Bold" w:cs="Arial"/>
      <w:b/>
      <w:caps/>
      <w:lang w:val="fr-FR"/>
    </w:rPr>
  </w:style>
  <w:style w:type="paragraph" w:customStyle="1" w:styleId="Heading">
    <w:name w:val="Heading"/>
    <w:basedOn w:val="Heading1"/>
    <w:uiPriority w:val="99"/>
    <w:rsid w:val="00BA5EA9"/>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eastAsia="zh-CN"/>
    </w:rPr>
  </w:style>
  <w:style w:type="table" w:customStyle="1" w:styleId="TableGrid1">
    <w:name w:val="Table Grid1"/>
    <w:basedOn w:val="TableNormal"/>
    <w:next w:val="TableGrid"/>
    <w:rsid w:val="00BA5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61B47"/>
  </w:style>
  <w:style w:type="character" w:customStyle="1" w:styleId="HeaderChar">
    <w:name w:val="Header Char"/>
    <w:basedOn w:val="DefaultParagraphFont"/>
    <w:link w:val="Header"/>
    <w:rsid w:val="00561B47"/>
    <w:rPr>
      <w:rFonts w:ascii="Arial" w:hAnsi="Arial" w:cs="Arial"/>
      <w:sz w:val="22"/>
      <w:lang w:val="fr-FR"/>
    </w:rPr>
  </w:style>
  <w:style w:type="paragraph" w:customStyle="1" w:styleId="Endofdocument-Annex">
    <w:name w:val="[End of document - Annex]"/>
    <w:basedOn w:val="Normal"/>
    <w:rsid w:val="00A312C6"/>
    <w:pPr>
      <w:ind w:left="5534"/>
    </w:pPr>
    <w:rPr>
      <w:rFonts w:eastAsia="SimSun"/>
      <w:lang w:val="en-US" w:eastAsia="zh-CN"/>
    </w:rPr>
  </w:style>
  <w:style w:type="paragraph" w:styleId="TOC2">
    <w:name w:val="toc 2"/>
    <w:basedOn w:val="Normal"/>
    <w:next w:val="Normal"/>
    <w:autoRedefine/>
    <w:uiPriority w:val="39"/>
    <w:unhideWhenUsed/>
    <w:qFormat/>
    <w:rsid w:val="002D57E6"/>
    <w:pPr>
      <w:tabs>
        <w:tab w:val="right" w:leader="dot" w:pos="9061"/>
      </w:tabs>
      <w:spacing w:after="100"/>
      <w:ind w:left="442"/>
    </w:pPr>
    <w:rPr>
      <w:caps/>
    </w:rPr>
  </w:style>
  <w:style w:type="paragraph" w:styleId="TOC1">
    <w:name w:val="toc 1"/>
    <w:basedOn w:val="Normal"/>
    <w:next w:val="Normal"/>
    <w:autoRedefine/>
    <w:uiPriority w:val="39"/>
    <w:unhideWhenUsed/>
    <w:qFormat/>
    <w:rsid w:val="002D57E6"/>
    <w:pPr>
      <w:tabs>
        <w:tab w:val="left" w:pos="425"/>
        <w:tab w:val="right" w:leader="dot" w:pos="9061"/>
      </w:tabs>
      <w:spacing w:after="100"/>
      <w:ind w:left="425" w:hanging="425"/>
    </w:pPr>
    <w:rPr>
      <w:rFonts w:ascii="Arial Bold" w:hAnsi="Arial Bold"/>
      <w:b/>
      <w:caps/>
    </w:rPr>
  </w:style>
  <w:style w:type="paragraph" w:styleId="TOC3">
    <w:name w:val="toc 3"/>
    <w:basedOn w:val="Normal"/>
    <w:next w:val="Normal"/>
    <w:autoRedefine/>
    <w:uiPriority w:val="39"/>
    <w:unhideWhenUsed/>
    <w:qFormat/>
    <w:rsid w:val="002D57E6"/>
    <w:pPr>
      <w:tabs>
        <w:tab w:val="left" w:pos="2268"/>
        <w:tab w:val="right" w:leader="dot" w:pos="9061"/>
      </w:tabs>
      <w:spacing w:after="100"/>
      <w:ind w:left="2268" w:hanging="1828"/>
    </w:pPr>
    <w:rPr>
      <w:caps/>
      <w:noProof/>
      <w:sz w:val="20"/>
    </w:rPr>
  </w:style>
  <w:style w:type="paragraph" w:customStyle="1" w:styleId="StyleHeading3BoldNounderline">
    <w:name w:val="Style Heading 3 + Bold No underline"/>
    <w:basedOn w:val="Heading3"/>
    <w:rsid w:val="00A27921"/>
    <w:pPr>
      <w:tabs>
        <w:tab w:val="left" w:pos="1985"/>
        <w:tab w:val="right" w:pos="9072"/>
      </w:tabs>
      <w:ind w:left="0" w:firstLine="0"/>
    </w:pPr>
    <w:rPr>
      <w:bCs/>
      <w:iCs/>
      <w:caps w:val="0"/>
      <w:szCs w:val="28"/>
      <w:lang w:val="en-US"/>
    </w:rPr>
  </w:style>
  <w:style w:type="character" w:customStyle="1" w:styleId="shorttext">
    <w:name w:val="short_text"/>
    <w:basedOn w:val="DefaultParagraphFont"/>
    <w:rsid w:val="00767EC2"/>
  </w:style>
  <w:style w:type="character" w:styleId="Emphasis">
    <w:name w:val="Emphasis"/>
    <w:basedOn w:val="DefaultParagraphFont"/>
    <w:uiPriority w:val="20"/>
    <w:qFormat/>
    <w:rsid w:val="00767EC2"/>
    <w:rPr>
      <w:b/>
      <w:bCs/>
      <w:i w:val="0"/>
      <w:iCs w:val="0"/>
    </w:rPr>
  </w:style>
  <w:style w:type="character" w:customStyle="1" w:styleId="st1">
    <w:name w:val="st1"/>
    <w:basedOn w:val="DefaultParagraphFont"/>
    <w:rsid w:val="00767EC2"/>
  </w:style>
  <w:style w:type="paragraph" w:styleId="BodyText2">
    <w:name w:val="Body Text 2"/>
    <w:basedOn w:val="Normal"/>
    <w:link w:val="BodyText2Char"/>
    <w:unhideWhenUsed/>
    <w:rsid w:val="006A58B3"/>
    <w:pPr>
      <w:spacing w:after="120" w:line="480" w:lineRule="auto"/>
    </w:pPr>
    <w:rPr>
      <w:rFonts w:eastAsiaTheme="minorEastAsia" w:cstheme="minorBidi"/>
      <w:sz w:val="20"/>
      <w:szCs w:val="22"/>
      <w:lang w:eastAsia="ja-JP"/>
    </w:rPr>
  </w:style>
  <w:style w:type="character" w:customStyle="1" w:styleId="BodyText2Char">
    <w:name w:val="Body Text 2 Char"/>
    <w:basedOn w:val="DefaultParagraphFont"/>
    <w:link w:val="BodyText2"/>
    <w:rsid w:val="006A58B3"/>
    <w:rPr>
      <w:rFonts w:ascii="Arial" w:eastAsiaTheme="minorEastAsia" w:hAnsi="Arial" w:cstheme="minorBidi"/>
      <w:szCs w:val="22"/>
      <w:lang w:val="fr-FR" w:eastAsia="ja-JP"/>
    </w:rPr>
  </w:style>
  <w:style w:type="paragraph" w:styleId="PlainText">
    <w:name w:val="Plain Text"/>
    <w:basedOn w:val="Normal"/>
    <w:link w:val="PlainTextChar"/>
    <w:uiPriority w:val="99"/>
    <w:rsid w:val="006A58B3"/>
    <w:rPr>
      <w:rFonts w:ascii="Courier New" w:eastAsia="SimSun" w:hAnsi="Courier New" w:cs="Courier New"/>
      <w:color w:val="0000FF"/>
      <w:sz w:val="20"/>
      <w:lang w:eastAsia="zh-CN"/>
    </w:rPr>
  </w:style>
  <w:style w:type="character" w:customStyle="1" w:styleId="PlainTextChar">
    <w:name w:val="Plain Text Char"/>
    <w:basedOn w:val="DefaultParagraphFont"/>
    <w:link w:val="PlainText"/>
    <w:uiPriority w:val="99"/>
    <w:rsid w:val="006A58B3"/>
    <w:rPr>
      <w:rFonts w:ascii="Courier New" w:eastAsia="SimSun" w:hAnsi="Courier New" w:cs="Courier New"/>
      <w:color w:val="0000FF"/>
      <w:lang w:val="fr-FR" w:eastAsia="zh-CN"/>
    </w:rPr>
  </w:style>
  <w:style w:type="character" w:customStyle="1" w:styleId="Heading8Char">
    <w:name w:val="Heading 8 Char"/>
    <w:basedOn w:val="DefaultParagraphFont"/>
    <w:link w:val="Heading8"/>
    <w:uiPriority w:val="9"/>
    <w:rsid w:val="00FD57F2"/>
    <w:rPr>
      <w:rFonts w:asciiTheme="majorHAnsi" w:eastAsiaTheme="majorEastAsia" w:hAnsiTheme="majorHAnsi" w:cstheme="majorBidi"/>
      <w:color w:val="404040" w:themeColor="text1" w:themeTint="BF"/>
      <w:lang w:val="fr-FR"/>
    </w:rPr>
  </w:style>
  <w:style w:type="character" w:customStyle="1" w:styleId="Heading5Char">
    <w:name w:val="Heading 5 Char"/>
    <w:basedOn w:val="DefaultParagraphFont"/>
    <w:link w:val="Heading5"/>
    <w:rsid w:val="00D46647"/>
    <w:rPr>
      <w:rFonts w:ascii="Arial" w:hAnsi="Arial" w:cs="Arial"/>
      <w:b/>
      <w:i/>
      <w:caps/>
      <w:lang w:val="fr-FR"/>
    </w:rPr>
  </w:style>
  <w:style w:type="character" w:customStyle="1" w:styleId="Heading3Char">
    <w:name w:val="Heading 3 Char"/>
    <w:basedOn w:val="DefaultParagraphFont"/>
    <w:link w:val="Heading3"/>
    <w:rsid w:val="00FD57F2"/>
    <w:rPr>
      <w:rFonts w:ascii="Arial" w:hAnsi="Arial" w:cs="Arial"/>
      <w:b/>
      <w:caps/>
      <w:sz w:val="22"/>
      <w:lang w:val="fr-FR"/>
    </w:rPr>
  </w:style>
  <w:style w:type="character" w:customStyle="1" w:styleId="Heading4Char">
    <w:name w:val="Heading 4 Char"/>
    <w:basedOn w:val="DefaultParagraphFont"/>
    <w:link w:val="Heading4"/>
    <w:rsid w:val="00FD57F2"/>
    <w:rPr>
      <w:rFonts w:ascii="Arial" w:eastAsia="SimSun" w:hAnsi="Arial" w:cs="Arial"/>
      <w:b/>
      <w:bCs/>
      <w:sz w:val="22"/>
      <w:szCs w:val="28"/>
      <w:lang w:val="fr-FR"/>
    </w:rPr>
  </w:style>
  <w:style w:type="character" w:customStyle="1" w:styleId="Heading1Char">
    <w:name w:val="Heading 1 Char"/>
    <w:basedOn w:val="DefaultParagraphFont"/>
    <w:link w:val="Heading1"/>
    <w:rsid w:val="00FD57F2"/>
    <w:rPr>
      <w:rFonts w:ascii="Arial" w:eastAsia="SimSun" w:hAnsi="Arial" w:cs="Arial"/>
      <w:b/>
      <w:bCs/>
      <w:caps/>
      <w:kern w:val="32"/>
      <w:sz w:val="22"/>
      <w:szCs w:val="32"/>
      <w:lang w:val="fr-FR"/>
    </w:rPr>
  </w:style>
  <w:style w:type="character" w:customStyle="1" w:styleId="BodyTextChar">
    <w:name w:val="Body Text Char"/>
    <w:basedOn w:val="DefaultParagraphFont"/>
    <w:link w:val="BodyText"/>
    <w:rsid w:val="00FD57F2"/>
    <w:rPr>
      <w:rFonts w:ascii="Arial" w:hAnsi="Arial" w:cs="Arial"/>
      <w:sz w:val="22"/>
      <w:lang w:val="fr-FR"/>
    </w:rPr>
  </w:style>
  <w:style w:type="character" w:customStyle="1" w:styleId="EndnoteTextChar">
    <w:name w:val="Endnote Text Char"/>
    <w:basedOn w:val="DefaultParagraphFont"/>
    <w:link w:val="EndnoteText"/>
    <w:rsid w:val="00FD57F2"/>
    <w:rPr>
      <w:rFonts w:ascii="Arial" w:hAnsi="Arial" w:cs="Arial"/>
      <w:sz w:val="18"/>
      <w:lang w:val="fr-FR"/>
    </w:rPr>
  </w:style>
  <w:style w:type="character" w:customStyle="1" w:styleId="SalutationChar">
    <w:name w:val="Salutation Char"/>
    <w:basedOn w:val="DefaultParagraphFont"/>
    <w:link w:val="Salutation"/>
    <w:rsid w:val="00FD57F2"/>
    <w:rPr>
      <w:rFonts w:ascii="Arial" w:hAnsi="Arial" w:cs="Arial"/>
      <w:sz w:val="22"/>
      <w:lang w:val="fr-FR"/>
    </w:rPr>
  </w:style>
  <w:style w:type="character" w:customStyle="1" w:styleId="SignatureChar">
    <w:name w:val="Signature Char"/>
    <w:basedOn w:val="DefaultParagraphFont"/>
    <w:link w:val="Signature"/>
    <w:rsid w:val="00FD57F2"/>
    <w:rPr>
      <w:rFonts w:ascii="Arial" w:hAnsi="Arial" w:cs="Arial"/>
      <w:sz w:val="22"/>
      <w:lang w:val="fr-FR"/>
    </w:rPr>
  </w:style>
  <w:style w:type="paragraph" w:customStyle="1" w:styleId="CharCharCharChar">
    <w:name w:val="Char Char Char Char"/>
    <w:basedOn w:val="Normal"/>
    <w:rsid w:val="00FD57F2"/>
    <w:pPr>
      <w:spacing w:after="160" w:line="240" w:lineRule="exact"/>
    </w:pPr>
    <w:rPr>
      <w:rFonts w:ascii="Verdana" w:hAnsi="Verdana" w:cs="Times New Roman"/>
      <w:sz w:val="20"/>
      <w:szCs w:val="24"/>
      <w:lang w:val="en-GB"/>
    </w:rPr>
  </w:style>
  <w:style w:type="paragraph" w:styleId="BodyTextIndent">
    <w:name w:val="Body Text Indent"/>
    <w:basedOn w:val="Normal"/>
    <w:link w:val="BodyTextIndentChar"/>
    <w:rsid w:val="00FD57F2"/>
    <w:pPr>
      <w:ind w:left="567"/>
    </w:pPr>
    <w:rPr>
      <w:rFonts w:cs="Times New Roman"/>
      <w:sz w:val="20"/>
      <w:szCs w:val="24"/>
      <w:lang w:val="en-US"/>
    </w:rPr>
  </w:style>
  <w:style w:type="character" w:customStyle="1" w:styleId="BodyTextIndentChar">
    <w:name w:val="Body Text Indent Char"/>
    <w:basedOn w:val="DefaultParagraphFont"/>
    <w:link w:val="BodyTextIndent"/>
    <w:rsid w:val="00FD57F2"/>
    <w:rPr>
      <w:rFonts w:ascii="Arial" w:hAnsi="Arial"/>
      <w:szCs w:val="24"/>
    </w:rPr>
  </w:style>
  <w:style w:type="character" w:customStyle="1" w:styleId="CharChar">
    <w:name w:val="Char Char"/>
    <w:locked/>
    <w:rsid w:val="00FD57F2"/>
    <w:rPr>
      <w:rFonts w:ascii="Arial" w:hAnsi="Arial" w:cs="Times New Roman"/>
      <w:lang w:val="en-US" w:eastAsia="en-US" w:bidi="ar-SA"/>
    </w:rPr>
  </w:style>
  <w:style w:type="paragraph" w:customStyle="1" w:styleId="CarCar">
    <w:name w:val="Car Car"/>
    <w:basedOn w:val="Normal"/>
    <w:rsid w:val="00FD57F2"/>
    <w:pPr>
      <w:spacing w:after="160" w:line="240" w:lineRule="exact"/>
    </w:pPr>
    <w:rPr>
      <w:rFonts w:ascii="Verdana" w:hAnsi="Verdana" w:cs="Times New Roman"/>
      <w:sz w:val="20"/>
      <w:szCs w:val="24"/>
      <w:lang w:val="en-GB"/>
    </w:rPr>
  </w:style>
  <w:style w:type="character" w:customStyle="1" w:styleId="CharChar2">
    <w:name w:val="Char Char2"/>
    <w:rsid w:val="00FD57F2"/>
    <w:rPr>
      <w:rFonts w:ascii="Arial" w:hAnsi="Arial"/>
      <w:lang w:val="en-US" w:eastAsia="en-US" w:bidi="ar-SA"/>
    </w:rPr>
  </w:style>
  <w:style w:type="paragraph" w:customStyle="1" w:styleId="Indicators">
    <w:name w:val="Indicators"/>
    <w:basedOn w:val="Normal"/>
    <w:link w:val="IndicatorsChar"/>
    <w:rsid w:val="00FD57F2"/>
    <w:pPr>
      <w:spacing w:before="120"/>
      <w:ind w:left="284" w:right="170"/>
    </w:pPr>
    <w:rPr>
      <w:rFonts w:cs="Times New Roman"/>
      <w:sz w:val="20"/>
      <w:szCs w:val="24"/>
      <w:lang w:val="en-US"/>
    </w:rPr>
  </w:style>
  <w:style w:type="character" w:customStyle="1" w:styleId="IndicatorsChar">
    <w:name w:val="Indicators Char"/>
    <w:link w:val="Indicators"/>
    <w:rsid w:val="00FD57F2"/>
    <w:rPr>
      <w:rFonts w:ascii="Arial" w:hAnsi="Arial"/>
      <w:szCs w:val="24"/>
    </w:rPr>
  </w:style>
  <w:style w:type="paragraph" w:customStyle="1" w:styleId="DecisionInvitingPara">
    <w:name w:val="Decision Inviting Para."/>
    <w:basedOn w:val="Normal"/>
    <w:link w:val="DecisionInvitingParaChar"/>
    <w:rsid w:val="00FD57F2"/>
    <w:pPr>
      <w:spacing w:after="120" w:line="260" w:lineRule="exact"/>
      <w:ind w:left="5534"/>
    </w:pPr>
    <w:rPr>
      <w:rFonts w:cs="Times New Roman"/>
      <w:i/>
      <w:sz w:val="20"/>
      <w:szCs w:val="24"/>
      <w:lang w:val="en-US"/>
    </w:rPr>
  </w:style>
  <w:style w:type="paragraph" w:customStyle="1" w:styleId="preparedby">
    <w:name w:val="prepared by"/>
    <w:basedOn w:val="Normal"/>
    <w:next w:val="Normal"/>
    <w:rsid w:val="00FD57F2"/>
    <w:pPr>
      <w:spacing w:after="480" w:line="260" w:lineRule="exact"/>
      <w:ind w:left="1021"/>
    </w:pPr>
    <w:rPr>
      <w:rFonts w:cs="Times New Roman"/>
      <w:i/>
      <w:sz w:val="20"/>
      <w:szCs w:val="24"/>
      <w:lang w:val="en-US"/>
    </w:rPr>
  </w:style>
  <w:style w:type="paragraph" w:customStyle="1" w:styleId="Documenttitle">
    <w:name w:val="Document title"/>
    <w:basedOn w:val="Normal"/>
    <w:rsid w:val="00FD57F2"/>
    <w:pPr>
      <w:spacing w:before="1200" w:after="120" w:line="260" w:lineRule="exact"/>
      <w:ind w:left="1021"/>
    </w:pPr>
    <w:rPr>
      <w:rFonts w:cs="Times New Roman"/>
      <w:b/>
      <w:caps/>
      <w:sz w:val="20"/>
      <w:szCs w:val="24"/>
      <w:lang w:val="en-US"/>
    </w:rPr>
  </w:style>
  <w:style w:type="paragraph" w:customStyle="1" w:styleId="MeetinglanguageDate">
    <w:name w:val="Meeting language &amp; Date"/>
    <w:basedOn w:val="Normal"/>
    <w:next w:val="Meetingtitle"/>
    <w:rsid w:val="00FD57F2"/>
    <w:pPr>
      <w:spacing w:after="1680" w:line="160" w:lineRule="exact"/>
      <w:ind w:left="1021"/>
      <w:contextualSpacing/>
      <w:jc w:val="right"/>
    </w:pPr>
    <w:rPr>
      <w:rFonts w:ascii="Arial Black" w:hAnsi="Arial Black" w:cs="Times New Roman"/>
      <w:b/>
      <w:caps/>
      <w:sz w:val="15"/>
      <w:szCs w:val="24"/>
    </w:rPr>
  </w:style>
  <w:style w:type="paragraph" w:customStyle="1" w:styleId="Language">
    <w:name w:val="Language"/>
    <w:basedOn w:val="Normal"/>
    <w:next w:val="Normal"/>
    <w:autoRedefine/>
    <w:rsid w:val="00FD57F2"/>
    <w:pPr>
      <w:spacing w:after="120" w:line="340" w:lineRule="atLeast"/>
      <w:ind w:left="1021"/>
      <w:jc w:val="right"/>
    </w:pPr>
    <w:rPr>
      <w:rFonts w:cs="Times New Roman"/>
      <w:b/>
      <w:caps/>
      <w:sz w:val="40"/>
      <w:szCs w:val="24"/>
      <w:lang w:val="pt-BR"/>
    </w:rPr>
  </w:style>
  <w:style w:type="paragraph" w:customStyle="1" w:styleId="MeetingCode">
    <w:name w:val="Meeting Code"/>
    <w:basedOn w:val="MeetinglanguageDate"/>
    <w:rsid w:val="00FD57F2"/>
    <w:pPr>
      <w:spacing w:before="300" w:after="0"/>
    </w:pPr>
  </w:style>
  <w:style w:type="paragraph" w:customStyle="1" w:styleId="Meetingtitle">
    <w:name w:val="Meeting title"/>
    <w:basedOn w:val="Normal"/>
    <w:next w:val="Sessiontitle"/>
    <w:rsid w:val="00FD57F2"/>
    <w:pPr>
      <w:spacing w:after="360" w:line="336" w:lineRule="exact"/>
      <w:ind w:left="1021"/>
    </w:pPr>
    <w:rPr>
      <w:rFonts w:cs="Times New Roman"/>
      <w:b/>
      <w:sz w:val="28"/>
      <w:szCs w:val="24"/>
    </w:rPr>
  </w:style>
  <w:style w:type="paragraph" w:customStyle="1" w:styleId="Sessiontitle">
    <w:name w:val="Session title"/>
    <w:basedOn w:val="Meetingtitle"/>
    <w:next w:val="Meetingdateplace"/>
    <w:rsid w:val="00FD57F2"/>
    <w:pPr>
      <w:spacing w:after="0"/>
    </w:pPr>
    <w:rPr>
      <w:sz w:val="24"/>
    </w:rPr>
  </w:style>
  <w:style w:type="paragraph" w:customStyle="1" w:styleId="Meetingdateplace">
    <w:name w:val="Meeting date &amp; place"/>
    <w:basedOn w:val="Sessiontitle"/>
    <w:next w:val="Documenttitle"/>
    <w:rsid w:val="00FD57F2"/>
    <w:rPr>
      <w:lang w:val="en-US"/>
    </w:rPr>
  </w:style>
  <w:style w:type="character" w:customStyle="1" w:styleId="CharChar3">
    <w:name w:val="Char Char3"/>
    <w:rsid w:val="00FD57F2"/>
    <w:rPr>
      <w:rFonts w:ascii="Arial" w:hAnsi="Arial"/>
      <w:lang w:val="en-US" w:eastAsia="en-US" w:bidi="ar-SA"/>
    </w:rPr>
  </w:style>
  <w:style w:type="paragraph" w:styleId="BlockText">
    <w:name w:val="Block Text"/>
    <w:basedOn w:val="Normal"/>
    <w:rsid w:val="00FD57F2"/>
    <w:pPr>
      <w:spacing w:before="60" w:after="60"/>
      <w:ind w:left="266" w:right="142"/>
    </w:pPr>
    <w:rPr>
      <w:rFonts w:cs="Times New Roman"/>
      <w:szCs w:val="24"/>
      <w:lang w:val="en-US"/>
    </w:rPr>
  </w:style>
  <w:style w:type="paragraph" w:customStyle="1" w:styleId="BoxText1">
    <w:name w:val="Box Text1"/>
    <w:basedOn w:val="Normal"/>
    <w:rsid w:val="00FD57F2"/>
    <w:pPr>
      <w:ind w:left="284"/>
    </w:pPr>
    <w:rPr>
      <w:rFonts w:cs="Times New Roman"/>
      <w:snapToGrid w:val="0"/>
      <w:szCs w:val="24"/>
      <w:lang w:val="en-US"/>
    </w:rPr>
  </w:style>
  <w:style w:type="paragraph" w:customStyle="1" w:styleId="Normal1">
    <w:name w:val="Normal+1"/>
    <w:basedOn w:val="Normal"/>
    <w:next w:val="Normal"/>
    <w:rsid w:val="00FD57F2"/>
    <w:pPr>
      <w:autoSpaceDE w:val="0"/>
      <w:autoSpaceDN w:val="0"/>
      <w:adjustRightInd w:val="0"/>
    </w:pPr>
    <w:rPr>
      <w:rFonts w:cs="Times New Roman"/>
      <w:sz w:val="20"/>
      <w:szCs w:val="24"/>
      <w:lang w:val="en-US"/>
    </w:rPr>
  </w:style>
  <w:style w:type="character" w:customStyle="1" w:styleId="CharChar4">
    <w:name w:val="Char Char4"/>
    <w:rsid w:val="00FD57F2"/>
    <w:rPr>
      <w:rFonts w:ascii="Arial" w:hAnsi="Arial"/>
      <w:lang w:val="en-US" w:eastAsia="en-US" w:bidi="ar-SA"/>
    </w:rPr>
  </w:style>
  <w:style w:type="paragraph" w:customStyle="1" w:styleId="Meetingplacedate">
    <w:name w:val="Meeting place &amp; date"/>
    <w:basedOn w:val="Sessiontitle"/>
    <w:next w:val="Documenttitle"/>
    <w:rsid w:val="00FD57F2"/>
    <w:rPr>
      <w:lang w:val="en-US"/>
    </w:rPr>
  </w:style>
  <w:style w:type="character" w:customStyle="1" w:styleId="CharChar6">
    <w:name w:val="Char Char6"/>
    <w:rsid w:val="00FD57F2"/>
    <w:rPr>
      <w:rFonts w:ascii="Arial" w:hAnsi="Arial"/>
      <w:lang w:val="en-US" w:eastAsia="en-US" w:bidi="ar-SA"/>
    </w:rPr>
  </w:style>
  <w:style w:type="character" w:customStyle="1" w:styleId="Novruzova">
    <w:name w:val="Novruzova"/>
    <w:semiHidden/>
    <w:rsid w:val="00FD57F2"/>
    <w:rPr>
      <w:rFonts w:ascii="Arial" w:hAnsi="Arial" w:cs="Arial"/>
      <w:color w:val="000080"/>
      <w:sz w:val="20"/>
      <w:szCs w:val="20"/>
    </w:rPr>
  </w:style>
  <w:style w:type="character" w:customStyle="1" w:styleId="description">
    <w:name w:val="description"/>
    <w:basedOn w:val="DefaultParagraphFont"/>
    <w:rsid w:val="00FD57F2"/>
  </w:style>
  <w:style w:type="paragraph" w:customStyle="1" w:styleId="FreeFormA">
    <w:name w:val="Free Form A"/>
    <w:rsid w:val="00FD57F2"/>
    <w:rPr>
      <w:rFonts w:ascii="Helvetica" w:eastAsia="ヒラギノ角ゴ Pro W3" w:hAnsi="Helvetica"/>
      <w:color w:val="000000"/>
      <w:sz w:val="24"/>
    </w:rPr>
  </w:style>
  <w:style w:type="paragraph" w:customStyle="1" w:styleId="Char">
    <w:name w:val="Char 字元 字元"/>
    <w:basedOn w:val="Normal"/>
    <w:rsid w:val="00FD57F2"/>
    <w:pPr>
      <w:spacing w:after="160" w:line="240" w:lineRule="exact"/>
    </w:pPr>
    <w:rPr>
      <w:rFonts w:ascii="Verdana" w:eastAsia="PMingLiU" w:hAnsi="Verdana" w:cs="Times New Roman"/>
      <w:sz w:val="20"/>
      <w:szCs w:val="24"/>
      <w:lang w:val="en-US"/>
    </w:rPr>
  </w:style>
  <w:style w:type="character" w:customStyle="1" w:styleId="underline">
    <w:name w:val="underline"/>
    <w:rsid w:val="00FD57F2"/>
    <w:rPr>
      <w:u w:val="single"/>
    </w:rPr>
  </w:style>
  <w:style w:type="paragraph" w:customStyle="1" w:styleId="FreeForm">
    <w:name w:val="Free Form"/>
    <w:rsid w:val="00FD57F2"/>
    <w:rPr>
      <w:rFonts w:eastAsia="ヒラギノ角ゴ Pro W3"/>
      <w:color w:val="000000"/>
    </w:rPr>
  </w:style>
  <w:style w:type="paragraph" w:customStyle="1" w:styleId="Heading2A">
    <w:name w:val="Heading 2 A"/>
    <w:next w:val="Normal"/>
    <w:rsid w:val="00FD57F2"/>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D57F2"/>
    <w:rPr>
      <w:rFonts w:ascii="Arial" w:hAnsi="Arial"/>
      <w:sz w:val="16"/>
    </w:rPr>
  </w:style>
  <w:style w:type="character" w:styleId="PlaceholderText">
    <w:name w:val="Placeholder Text"/>
    <w:basedOn w:val="DefaultParagraphFont"/>
    <w:uiPriority w:val="99"/>
    <w:semiHidden/>
    <w:rsid w:val="00FD57F2"/>
    <w:rPr>
      <w:color w:val="808080"/>
    </w:rPr>
  </w:style>
  <w:style w:type="character" w:customStyle="1" w:styleId="Style5">
    <w:name w:val="Style5"/>
    <w:basedOn w:val="DefaultParagraphFont"/>
    <w:uiPriority w:val="1"/>
    <w:rsid w:val="00FD57F2"/>
    <w:rPr>
      <w:rFonts w:asciiTheme="minorHAnsi" w:hAnsiTheme="minorHAnsi"/>
      <w:sz w:val="20"/>
    </w:rPr>
  </w:style>
  <w:style w:type="paragraph" w:customStyle="1" w:styleId="StyleHeading214ptAuto">
    <w:name w:val="Style Heading 2 + 14 pt Auto"/>
    <w:basedOn w:val="Heading2"/>
    <w:rsid w:val="00FD57F2"/>
    <w:pPr>
      <w:widowControl w:val="0"/>
      <w:tabs>
        <w:tab w:val="num" w:pos="567"/>
        <w:tab w:val="right" w:pos="9072"/>
      </w:tabs>
      <w:spacing w:line="300" w:lineRule="atLeast"/>
      <w:ind w:left="567" w:hanging="567"/>
    </w:pPr>
    <w:rPr>
      <w:rFonts w:cs="Times New Roman"/>
      <w:sz w:val="24"/>
      <w:lang w:val="en-GB" w:eastAsia="da-DK"/>
    </w:rPr>
  </w:style>
  <w:style w:type="paragraph" w:styleId="TOC4">
    <w:name w:val="toc 4"/>
    <w:basedOn w:val="Normal"/>
    <w:next w:val="Normal"/>
    <w:autoRedefine/>
    <w:uiPriority w:val="39"/>
    <w:rsid w:val="00E73DAD"/>
    <w:pPr>
      <w:tabs>
        <w:tab w:val="left" w:pos="2410"/>
        <w:tab w:val="left" w:pos="2835"/>
        <w:tab w:val="right" w:leader="dot" w:pos="9498"/>
      </w:tabs>
      <w:spacing w:after="100"/>
      <w:ind w:left="2410" w:right="-143" w:hanging="1843"/>
    </w:pPr>
    <w:rPr>
      <w:rFonts w:cs="Times New Roman"/>
      <w:i/>
      <w:caps/>
      <w:sz w:val="18"/>
      <w:szCs w:val="24"/>
    </w:rPr>
  </w:style>
  <w:style w:type="paragraph" w:styleId="TOC5">
    <w:name w:val="toc 5"/>
    <w:basedOn w:val="Normal"/>
    <w:next w:val="Normal"/>
    <w:autoRedefine/>
    <w:uiPriority w:val="39"/>
    <w:rsid w:val="00FD57F2"/>
    <w:pPr>
      <w:spacing w:after="100"/>
      <w:ind w:left="800"/>
    </w:pPr>
    <w:rPr>
      <w:rFonts w:cs="Times New Roman"/>
      <w:sz w:val="20"/>
      <w:szCs w:val="24"/>
    </w:rPr>
  </w:style>
  <w:style w:type="character" w:customStyle="1" w:styleId="st">
    <w:name w:val="st"/>
    <w:basedOn w:val="DefaultParagraphFont"/>
    <w:rsid w:val="00FD57F2"/>
  </w:style>
  <w:style w:type="paragraph" w:customStyle="1" w:styleId="StyleStyleHeading3ComplexItalicLatin12pt">
    <w:name w:val="Style Style Heading 3 + (Complex) Italic + (Latin) 12 pt"/>
    <w:basedOn w:val="Normal"/>
    <w:link w:val="StyleStyleHeading3ComplexItalicLatin12ptChar"/>
    <w:rsid w:val="00FD57F2"/>
    <w:pPr>
      <w:keepNext/>
      <w:tabs>
        <w:tab w:val="left" w:pos="1985"/>
      </w:tabs>
      <w:outlineLvl w:val="2"/>
    </w:pPr>
    <w:rPr>
      <w:rFonts w:cs="Times New Roman"/>
      <w:b/>
      <w:iCs/>
      <w:caps/>
      <w:sz w:val="20"/>
      <w:szCs w:val="22"/>
      <w:lang w:val="en-US"/>
    </w:rPr>
  </w:style>
  <w:style w:type="character" w:customStyle="1" w:styleId="StyleStyleHeading3ComplexItalicLatin12ptChar">
    <w:name w:val="Style Style Heading 3 + (Complex) Italic + (Latin) 12 pt Char"/>
    <w:link w:val="StyleStyleHeading3ComplexItalicLatin12pt"/>
    <w:rsid w:val="00FD57F2"/>
    <w:rPr>
      <w:rFonts w:ascii="Arial" w:hAnsi="Arial"/>
      <w:b/>
      <w:iCs/>
      <w:caps/>
      <w:szCs w:val="22"/>
    </w:rPr>
  </w:style>
  <w:style w:type="paragraph" w:customStyle="1" w:styleId="Style1">
    <w:name w:val="Style1"/>
    <w:basedOn w:val="Normal"/>
    <w:qFormat/>
    <w:rsid w:val="00FD57F2"/>
    <w:pPr>
      <w:numPr>
        <w:numId w:val="60"/>
      </w:numPr>
    </w:pPr>
    <w:rPr>
      <w:rFonts w:cs="Times New Roman"/>
      <w:sz w:val="20"/>
      <w:szCs w:val="24"/>
      <w:lang w:val="en-US"/>
    </w:rPr>
  </w:style>
  <w:style w:type="paragraph" w:styleId="NoSpacing">
    <w:name w:val="No Spacing"/>
    <w:uiPriority w:val="1"/>
    <w:qFormat/>
    <w:rsid w:val="00FD57F2"/>
    <w:rPr>
      <w:rFonts w:ascii="Calibri" w:eastAsia="Calibri" w:hAnsi="Calibri"/>
      <w:sz w:val="22"/>
      <w:szCs w:val="22"/>
      <w:lang w:val="fr-FR" w:eastAsia="fr-FR"/>
    </w:rPr>
  </w:style>
  <w:style w:type="numbering" w:customStyle="1" w:styleId="NoList1">
    <w:name w:val="No List1"/>
    <w:next w:val="NoList"/>
    <w:uiPriority w:val="99"/>
    <w:semiHidden/>
    <w:unhideWhenUsed/>
    <w:rsid w:val="00FD57F2"/>
  </w:style>
  <w:style w:type="paragraph" w:customStyle="1" w:styleId="Test">
    <w:name w:val="Test"/>
    <w:basedOn w:val="Normal"/>
    <w:qFormat/>
    <w:rsid w:val="00FD57F2"/>
    <w:pPr>
      <w:numPr>
        <w:numId w:val="61"/>
      </w:numPr>
    </w:pPr>
    <w:rPr>
      <w:rFonts w:eastAsiaTheme="minorHAnsi" w:cs="Times New Roman"/>
      <w:szCs w:val="22"/>
      <w:lang w:val="en-US"/>
    </w:rPr>
  </w:style>
  <w:style w:type="paragraph" w:styleId="TOCHeading">
    <w:name w:val="TOC Heading"/>
    <w:basedOn w:val="Heading1"/>
    <w:next w:val="Normal"/>
    <w:uiPriority w:val="39"/>
    <w:semiHidden/>
    <w:unhideWhenUsed/>
    <w:qFormat/>
    <w:rsid w:val="00FD57F2"/>
    <w:pPr>
      <w:tabs>
        <w:tab w:val="num" w:pos="284"/>
      </w:tabs>
      <w:spacing w:line="276" w:lineRule="auto"/>
      <w:ind w:left="720" w:hanging="720"/>
      <w:jc w:val="center"/>
      <w:outlineLvl w:val="9"/>
    </w:pPr>
    <w:rPr>
      <w:rFonts w:ascii="Cambria" w:eastAsia="Times New Roman" w:hAnsi="Cambria" w:cs="Times New Roman"/>
      <w:caps w:val="0"/>
      <w:color w:val="365F91"/>
      <w:lang w:val="en-US" w:eastAsia="fr-FR"/>
    </w:rPr>
  </w:style>
  <w:style w:type="paragraph" w:styleId="TOC6">
    <w:name w:val="toc 6"/>
    <w:basedOn w:val="Normal"/>
    <w:next w:val="Normal"/>
    <w:autoRedefine/>
    <w:rsid w:val="00FD57F2"/>
    <w:pPr>
      <w:ind w:left="1000"/>
    </w:pPr>
    <w:rPr>
      <w:rFonts w:ascii="Calibri" w:hAnsi="Calibri" w:cs="Times New Roman"/>
      <w:sz w:val="18"/>
      <w:szCs w:val="18"/>
      <w:lang w:eastAsia="fr-FR"/>
    </w:rPr>
  </w:style>
  <w:style w:type="paragraph" w:styleId="TOC7">
    <w:name w:val="toc 7"/>
    <w:basedOn w:val="Normal"/>
    <w:next w:val="Normal"/>
    <w:autoRedefine/>
    <w:rsid w:val="00FD57F2"/>
    <w:pPr>
      <w:ind w:left="1200"/>
    </w:pPr>
    <w:rPr>
      <w:rFonts w:ascii="Calibri" w:hAnsi="Calibri" w:cs="Times New Roman"/>
      <w:sz w:val="18"/>
      <w:szCs w:val="18"/>
      <w:lang w:eastAsia="fr-FR"/>
    </w:rPr>
  </w:style>
  <w:style w:type="paragraph" w:styleId="TOC8">
    <w:name w:val="toc 8"/>
    <w:basedOn w:val="Normal"/>
    <w:next w:val="Normal"/>
    <w:autoRedefine/>
    <w:rsid w:val="00FD57F2"/>
    <w:pPr>
      <w:ind w:left="1400"/>
    </w:pPr>
    <w:rPr>
      <w:rFonts w:ascii="Calibri" w:hAnsi="Calibri" w:cs="Times New Roman"/>
      <w:sz w:val="18"/>
      <w:szCs w:val="18"/>
      <w:lang w:eastAsia="fr-FR"/>
    </w:rPr>
  </w:style>
  <w:style w:type="paragraph" w:styleId="TOC9">
    <w:name w:val="toc 9"/>
    <w:basedOn w:val="Normal"/>
    <w:next w:val="Normal"/>
    <w:autoRedefine/>
    <w:rsid w:val="00FD57F2"/>
    <w:pPr>
      <w:ind w:left="1600"/>
    </w:pPr>
    <w:rPr>
      <w:rFonts w:ascii="Calibri" w:hAnsi="Calibri" w:cs="Times New Roman"/>
      <w:sz w:val="18"/>
      <w:szCs w:val="18"/>
      <w:lang w:eastAsia="fr-FR"/>
    </w:rPr>
  </w:style>
  <w:style w:type="character" w:customStyle="1" w:styleId="DecisionInvitingParaChar">
    <w:name w:val="Decision Inviting Para. Char"/>
    <w:link w:val="DecisionInvitingPara"/>
    <w:locked/>
    <w:rsid w:val="00FD57F2"/>
    <w:rPr>
      <w:rFonts w:ascii="Arial" w:hAnsi="Arial"/>
      <w:i/>
      <w:szCs w:val="24"/>
    </w:rPr>
  </w:style>
  <w:style w:type="character" w:customStyle="1" w:styleId="ONUMEChar">
    <w:name w:val="ONUM E Char"/>
    <w:link w:val="ONUME"/>
    <w:locked/>
    <w:rsid w:val="00FD57F2"/>
    <w:rPr>
      <w:rFonts w:ascii="Arial" w:hAnsi="Arial" w:cs="Arial"/>
      <w:sz w:val="22"/>
      <w:lang w:val="fr-FR"/>
    </w:rPr>
  </w:style>
  <w:style w:type="character" w:styleId="Strong">
    <w:name w:val="Strong"/>
    <w:basedOn w:val="DefaultParagraphFont"/>
    <w:uiPriority w:val="22"/>
    <w:qFormat/>
    <w:rsid w:val="00FD57F2"/>
    <w:rPr>
      <w:b/>
      <w:bCs/>
    </w:rPr>
  </w:style>
  <w:style w:type="paragraph" w:customStyle="1" w:styleId="StyleHeading3ComplexItalic">
    <w:name w:val="Style Heading 3 + (Complex) Italic"/>
    <w:basedOn w:val="Heading3"/>
    <w:link w:val="StyleHeading3ComplexItalicChar"/>
    <w:rsid w:val="00FD57F2"/>
    <w:pPr>
      <w:tabs>
        <w:tab w:val="left" w:pos="1985"/>
        <w:tab w:val="right" w:pos="9072"/>
      </w:tabs>
    </w:pPr>
    <w:rPr>
      <w:b w:val="0"/>
      <w:bCs/>
      <w:szCs w:val="22"/>
      <w:lang w:val="en-US"/>
    </w:rPr>
  </w:style>
  <w:style w:type="character" w:customStyle="1" w:styleId="StyleHeading3ComplexItalicChar">
    <w:name w:val="Style Heading 3 + (Complex) Italic Char"/>
    <w:link w:val="StyleHeading3ComplexItalic"/>
    <w:rsid w:val="00FD57F2"/>
    <w:rPr>
      <w:rFonts w:ascii="Arial" w:hAnsi="Arial" w:cs="Arial"/>
      <w:bCs/>
      <w:caps/>
      <w:sz w:val="22"/>
      <w:szCs w:val="22"/>
    </w:rPr>
  </w:style>
  <w:style w:type="character" w:styleId="EndnoteReference">
    <w:name w:val="endnote reference"/>
    <w:basedOn w:val="DefaultParagraphFont"/>
    <w:unhideWhenUsed/>
    <w:rsid w:val="00FD57F2"/>
    <w:rPr>
      <w:vertAlign w:val="superscript"/>
    </w:rPr>
  </w:style>
  <w:style w:type="character" w:styleId="HTMLCite">
    <w:name w:val="HTML Cite"/>
    <w:basedOn w:val="DefaultParagraphFont"/>
    <w:uiPriority w:val="99"/>
    <w:unhideWhenUsed/>
    <w:rsid w:val="00FD57F2"/>
    <w:rPr>
      <w:i/>
      <w:iCs/>
    </w:rPr>
  </w:style>
  <w:style w:type="character" w:customStyle="1" w:styleId="hps">
    <w:name w:val="hps"/>
    <w:basedOn w:val="DefaultParagraphFont"/>
    <w:rsid w:val="00FD57F2"/>
  </w:style>
  <w:style w:type="paragraph" w:customStyle="1" w:styleId="Normal-table">
    <w:name w:val="Normal-table"/>
    <w:rsid w:val="00FD57F2"/>
    <w:rPr>
      <w:rFonts w:ascii="Arial" w:eastAsia="Batang" w:hAnsi="Arial"/>
    </w:rPr>
  </w:style>
  <w:style w:type="paragraph" w:customStyle="1" w:styleId="CharCharCharChar2">
    <w:name w:val="Char Char Char Char2"/>
    <w:basedOn w:val="Normal"/>
    <w:rsid w:val="00FD57F2"/>
    <w:pPr>
      <w:spacing w:after="160" w:line="240" w:lineRule="exact"/>
    </w:pPr>
    <w:rPr>
      <w:rFonts w:ascii="Verdana" w:hAnsi="Verdana" w:cs="Times New Roman"/>
      <w:sz w:val="20"/>
      <w:lang w:val="en-GB"/>
    </w:rPr>
  </w:style>
  <w:style w:type="paragraph" w:customStyle="1" w:styleId="CharCharCharChar1">
    <w:name w:val="Char Char Char Char1"/>
    <w:basedOn w:val="Normal"/>
    <w:rsid w:val="00FD57F2"/>
    <w:pPr>
      <w:spacing w:after="160" w:line="240" w:lineRule="exact"/>
    </w:pPr>
    <w:rPr>
      <w:rFonts w:ascii="Verdana" w:hAnsi="Verdana" w:cs="Times New Roman"/>
      <w:sz w:val="20"/>
      <w:lang w:val="en-GB"/>
    </w:rPr>
  </w:style>
  <w:style w:type="character" w:customStyle="1" w:styleId="CharChar1">
    <w:name w:val="Char Char1"/>
    <w:locked/>
    <w:rsid w:val="00FD57F2"/>
    <w:rPr>
      <w:rFonts w:ascii="Arial" w:hAnsi="Arial" w:cs="Times New Roman"/>
      <w:lang w:val="en-US" w:eastAsia="en-US" w:bidi="ar-SA"/>
    </w:rPr>
  </w:style>
  <w:style w:type="paragraph" w:customStyle="1" w:styleId="CarCar1">
    <w:name w:val="Car Car1"/>
    <w:basedOn w:val="Normal"/>
    <w:rsid w:val="00FD57F2"/>
    <w:pPr>
      <w:spacing w:after="160" w:line="240" w:lineRule="exact"/>
    </w:pPr>
    <w:rPr>
      <w:rFonts w:ascii="Verdana" w:hAnsi="Verdana" w:cs="Times New Roman"/>
      <w:sz w:val="20"/>
      <w:lang w:val="en-GB"/>
    </w:rPr>
  </w:style>
  <w:style w:type="character" w:customStyle="1" w:styleId="CharChar21">
    <w:name w:val="Char Char21"/>
    <w:rsid w:val="00FD57F2"/>
    <w:rPr>
      <w:rFonts w:ascii="Arial" w:hAnsi="Arial"/>
      <w:lang w:val="en-US" w:eastAsia="en-US" w:bidi="ar-SA"/>
    </w:rPr>
  </w:style>
  <w:style w:type="character" w:customStyle="1" w:styleId="CharChar31">
    <w:name w:val="Char Char31"/>
    <w:rsid w:val="00FD57F2"/>
    <w:rPr>
      <w:rFonts w:ascii="Arial" w:hAnsi="Arial"/>
      <w:lang w:val="en-US" w:eastAsia="en-US" w:bidi="ar-SA"/>
    </w:rPr>
  </w:style>
  <w:style w:type="character" w:customStyle="1" w:styleId="CharChar41">
    <w:name w:val="Char Char41"/>
    <w:rsid w:val="00FD57F2"/>
    <w:rPr>
      <w:rFonts w:ascii="Arial" w:hAnsi="Arial"/>
      <w:lang w:val="en-US" w:eastAsia="en-US" w:bidi="ar-SA"/>
    </w:rPr>
  </w:style>
  <w:style w:type="character" w:customStyle="1" w:styleId="CharChar61">
    <w:name w:val="Char Char61"/>
    <w:rsid w:val="00FD57F2"/>
    <w:rPr>
      <w:rFonts w:ascii="Arial" w:hAnsi="Arial"/>
      <w:lang w:val="en-US" w:eastAsia="en-US" w:bidi="ar-SA"/>
    </w:rPr>
  </w:style>
  <w:style w:type="paragraph" w:customStyle="1" w:styleId="Char1">
    <w:name w:val="Char 字元 字元1"/>
    <w:basedOn w:val="Normal"/>
    <w:rsid w:val="00FD57F2"/>
    <w:pPr>
      <w:spacing w:after="160" w:line="240" w:lineRule="exact"/>
    </w:pPr>
    <w:rPr>
      <w:rFonts w:ascii="Verdana" w:eastAsia="PMingLiU" w:hAnsi="Verdana" w:cs="Times New Roman"/>
      <w:sz w:val="20"/>
      <w:lang w:val="en-US"/>
    </w:rPr>
  </w:style>
  <w:style w:type="paragraph" w:customStyle="1" w:styleId="Endofdocument">
    <w:name w:val="End of document"/>
    <w:basedOn w:val="Normal"/>
    <w:rsid w:val="00FD57F2"/>
    <w:pPr>
      <w:ind w:left="4536"/>
      <w:jc w:val="center"/>
    </w:pPr>
    <w:rPr>
      <w:rFonts w:ascii="Times New Roman" w:hAnsi="Times New Roman" w:cs="Times New Roman"/>
      <w:sz w:val="24"/>
      <w:lang w:val="en-US"/>
    </w:rPr>
  </w:style>
  <w:style w:type="character" w:customStyle="1" w:styleId="admitted">
    <w:name w:val="admitted"/>
    <w:basedOn w:val="DefaultParagraphFont"/>
    <w:rsid w:val="00FD57F2"/>
  </w:style>
  <w:style w:type="character" w:customStyle="1" w:styleId="preferred">
    <w:name w:val="preferred"/>
    <w:basedOn w:val="DefaultParagraphFont"/>
    <w:rsid w:val="00FD57F2"/>
  </w:style>
  <w:style w:type="character" w:customStyle="1" w:styleId="acronym">
    <w:name w:val="acronym"/>
    <w:basedOn w:val="DefaultParagraphFont"/>
    <w:rsid w:val="00FD57F2"/>
  </w:style>
  <w:style w:type="paragraph" w:customStyle="1" w:styleId="null">
    <w:name w:val="null"/>
    <w:basedOn w:val="Normal"/>
    <w:rsid w:val="00C2082C"/>
    <w:pPr>
      <w:spacing w:before="100" w:beforeAutospacing="1" w:after="100" w:afterAutospacing="1"/>
    </w:pPr>
    <w:rPr>
      <w:rFonts w:ascii="Times New Roman" w:eastAsiaTheme="minorHAnsi" w:hAnsi="Times New Roman" w:cs="Times New Roman"/>
      <w:sz w:val="24"/>
      <w:szCs w:val="24"/>
      <w:lang w:val="en-US"/>
    </w:rPr>
  </w:style>
  <w:style w:type="character" w:customStyle="1" w:styleId="null1">
    <w:name w:val="null1"/>
    <w:basedOn w:val="DefaultParagraphFont"/>
    <w:rsid w:val="00C2082C"/>
  </w:style>
  <w:style w:type="paragraph" w:customStyle="1" w:styleId="StyleHeading4">
    <w:name w:val="Style Heading 4"/>
    <w:basedOn w:val="Normal"/>
    <w:qFormat/>
    <w:rsid w:val="00C2082C"/>
    <w:pPr>
      <w:keepNext/>
      <w:ind w:left="1843" w:hanging="1843"/>
      <w:outlineLvl w:val="2"/>
    </w:pPr>
    <w:rPr>
      <w:rFonts w:eastAsia="SimSun"/>
      <w:b/>
      <w:bCs/>
      <w:i/>
      <w:sz w:val="20"/>
      <w:szCs w:val="2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9789">
      <w:bodyDiv w:val="1"/>
      <w:marLeft w:val="0"/>
      <w:marRight w:val="0"/>
      <w:marTop w:val="0"/>
      <w:marBottom w:val="0"/>
      <w:divBdr>
        <w:top w:val="none" w:sz="0" w:space="0" w:color="auto"/>
        <w:left w:val="none" w:sz="0" w:space="0" w:color="auto"/>
        <w:bottom w:val="none" w:sz="0" w:space="0" w:color="auto"/>
        <w:right w:val="none" w:sz="0" w:space="0" w:color="auto"/>
      </w:divBdr>
    </w:div>
    <w:div w:id="1347252904">
      <w:bodyDiv w:val="1"/>
      <w:marLeft w:val="0"/>
      <w:marRight w:val="0"/>
      <w:marTop w:val="0"/>
      <w:marBottom w:val="0"/>
      <w:divBdr>
        <w:top w:val="none" w:sz="0" w:space="0" w:color="auto"/>
        <w:left w:val="none" w:sz="0" w:space="0" w:color="auto"/>
        <w:bottom w:val="none" w:sz="0" w:space="0" w:color="auto"/>
        <w:right w:val="none" w:sz="0" w:space="0" w:color="auto"/>
      </w:divBdr>
    </w:div>
    <w:div w:id="1388341551">
      <w:bodyDiv w:val="1"/>
      <w:marLeft w:val="0"/>
      <w:marRight w:val="0"/>
      <w:marTop w:val="0"/>
      <w:marBottom w:val="0"/>
      <w:divBdr>
        <w:top w:val="none" w:sz="0" w:space="0" w:color="auto"/>
        <w:left w:val="none" w:sz="0" w:space="0" w:color="auto"/>
        <w:bottom w:val="none" w:sz="0" w:space="0" w:color="auto"/>
        <w:right w:val="none" w:sz="0" w:space="0" w:color="auto"/>
      </w:divBdr>
      <w:divsChild>
        <w:div w:id="824202918">
          <w:marLeft w:val="0"/>
          <w:marRight w:val="0"/>
          <w:marTop w:val="0"/>
          <w:marBottom w:val="0"/>
          <w:divBdr>
            <w:top w:val="none" w:sz="0" w:space="0" w:color="auto"/>
            <w:left w:val="none" w:sz="0" w:space="0" w:color="auto"/>
            <w:bottom w:val="none" w:sz="0" w:space="0" w:color="auto"/>
            <w:right w:val="none" w:sz="0" w:space="0" w:color="auto"/>
          </w:divBdr>
          <w:divsChild>
            <w:div w:id="2049254153">
              <w:marLeft w:val="0"/>
              <w:marRight w:val="0"/>
              <w:marTop w:val="0"/>
              <w:marBottom w:val="0"/>
              <w:divBdr>
                <w:top w:val="none" w:sz="0" w:space="0" w:color="auto"/>
                <w:left w:val="none" w:sz="0" w:space="0" w:color="auto"/>
                <w:bottom w:val="none" w:sz="0" w:space="0" w:color="auto"/>
                <w:right w:val="none" w:sz="0" w:space="0" w:color="auto"/>
              </w:divBdr>
              <w:divsChild>
                <w:div w:id="1750426410">
                  <w:marLeft w:val="0"/>
                  <w:marRight w:val="0"/>
                  <w:marTop w:val="0"/>
                  <w:marBottom w:val="0"/>
                  <w:divBdr>
                    <w:top w:val="none" w:sz="0" w:space="0" w:color="auto"/>
                    <w:left w:val="none" w:sz="0" w:space="0" w:color="auto"/>
                    <w:bottom w:val="none" w:sz="0" w:space="0" w:color="auto"/>
                    <w:right w:val="none" w:sz="0" w:space="0" w:color="auto"/>
                  </w:divBdr>
                  <w:divsChild>
                    <w:div w:id="490104899">
                      <w:marLeft w:val="0"/>
                      <w:marRight w:val="0"/>
                      <w:marTop w:val="0"/>
                      <w:marBottom w:val="0"/>
                      <w:divBdr>
                        <w:top w:val="none" w:sz="0" w:space="0" w:color="auto"/>
                        <w:left w:val="none" w:sz="0" w:space="0" w:color="auto"/>
                        <w:bottom w:val="none" w:sz="0" w:space="0" w:color="auto"/>
                        <w:right w:val="none" w:sz="0" w:space="0" w:color="auto"/>
                      </w:divBdr>
                      <w:divsChild>
                        <w:div w:id="240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439398">
          <w:marLeft w:val="0"/>
          <w:marRight w:val="0"/>
          <w:marTop w:val="0"/>
          <w:marBottom w:val="0"/>
          <w:divBdr>
            <w:top w:val="none" w:sz="0" w:space="0" w:color="auto"/>
            <w:left w:val="none" w:sz="0" w:space="0" w:color="auto"/>
            <w:bottom w:val="none" w:sz="0" w:space="0" w:color="auto"/>
            <w:right w:val="none" w:sz="0" w:space="0" w:color="auto"/>
          </w:divBdr>
          <w:divsChild>
            <w:div w:id="1449279251">
              <w:marLeft w:val="0"/>
              <w:marRight w:val="0"/>
              <w:marTop w:val="0"/>
              <w:marBottom w:val="0"/>
              <w:divBdr>
                <w:top w:val="none" w:sz="0" w:space="0" w:color="auto"/>
                <w:left w:val="none" w:sz="0" w:space="0" w:color="auto"/>
                <w:bottom w:val="none" w:sz="0" w:space="0" w:color="auto"/>
                <w:right w:val="none" w:sz="0" w:space="0" w:color="auto"/>
              </w:divBdr>
              <w:divsChild>
                <w:div w:id="875704422">
                  <w:marLeft w:val="0"/>
                  <w:marRight w:val="0"/>
                  <w:marTop w:val="0"/>
                  <w:marBottom w:val="0"/>
                  <w:divBdr>
                    <w:top w:val="none" w:sz="0" w:space="0" w:color="auto"/>
                    <w:left w:val="none" w:sz="0" w:space="0" w:color="auto"/>
                    <w:bottom w:val="none" w:sz="0" w:space="0" w:color="auto"/>
                    <w:right w:val="none" w:sz="0" w:space="0" w:color="auto"/>
                  </w:divBdr>
                  <w:divsChild>
                    <w:div w:id="7759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11103">
          <w:marLeft w:val="0"/>
          <w:marRight w:val="0"/>
          <w:marTop w:val="0"/>
          <w:marBottom w:val="0"/>
          <w:divBdr>
            <w:top w:val="none" w:sz="0" w:space="0" w:color="auto"/>
            <w:left w:val="none" w:sz="0" w:space="0" w:color="auto"/>
            <w:bottom w:val="none" w:sz="0" w:space="0" w:color="auto"/>
            <w:right w:val="none" w:sz="0" w:space="0" w:color="auto"/>
          </w:divBdr>
        </w:div>
        <w:div w:id="1180241381">
          <w:marLeft w:val="0"/>
          <w:marRight w:val="0"/>
          <w:marTop w:val="0"/>
          <w:marBottom w:val="0"/>
          <w:divBdr>
            <w:top w:val="none" w:sz="0" w:space="0" w:color="auto"/>
            <w:left w:val="none" w:sz="0" w:space="0" w:color="auto"/>
            <w:bottom w:val="none" w:sz="0" w:space="0" w:color="auto"/>
            <w:right w:val="none" w:sz="0" w:space="0" w:color="auto"/>
          </w:divBdr>
          <w:divsChild>
            <w:div w:id="1922836708">
              <w:marLeft w:val="0"/>
              <w:marRight w:val="0"/>
              <w:marTop w:val="0"/>
              <w:marBottom w:val="0"/>
              <w:divBdr>
                <w:top w:val="none" w:sz="0" w:space="0" w:color="auto"/>
                <w:left w:val="none" w:sz="0" w:space="0" w:color="auto"/>
                <w:bottom w:val="none" w:sz="0" w:space="0" w:color="auto"/>
                <w:right w:val="none" w:sz="0" w:space="0" w:color="auto"/>
              </w:divBdr>
              <w:divsChild>
                <w:div w:id="1443458219">
                  <w:marLeft w:val="0"/>
                  <w:marRight w:val="0"/>
                  <w:marTop w:val="0"/>
                  <w:marBottom w:val="0"/>
                  <w:divBdr>
                    <w:top w:val="none" w:sz="0" w:space="0" w:color="auto"/>
                    <w:left w:val="none" w:sz="0" w:space="0" w:color="auto"/>
                    <w:bottom w:val="none" w:sz="0" w:space="0" w:color="auto"/>
                    <w:right w:val="none" w:sz="0" w:space="0" w:color="auto"/>
                  </w:divBdr>
                  <w:divsChild>
                    <w:div w:id="111023565">
                      <w:marLeft w:val="0"/>
                      <w:marRight w:val="0"/>
                      <w:marTop w:val="0"/>
                      <w:marBottom w:val="0"/>
                      <w:divBdr>
                        <w:top w:val="none" w:sz="0" w:space="0" w:color="auto"/>
                        <w:left w:val="none" w:sz="0" w:space="0" w:color="auto"/>
                        <w:bottom w:val="none" w:sz="0" w:space="0" w:color="auto"/>
                        <w:right w:val="none" w:sz="0" w:space="0" w:color="auto"/>
                      </w:divBdr>
                      <w:divsChild>
                        <w:div w:id="4701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17844">
          <w:marLeft w:val="0"/>
          <w:marRight w:val="0"/>
          <w:marTop w:val="0"/>
          <w:marBottom w:val="0"/>
          <w:divBdr>
            <w:top w:val="none" w:sz="0" w:space="0" w:color="auto"/>
            <w:left w:val="none" w:sz="0" w:space="0" w:color="auto"/>
            <w:bottom w:val="none" w:sz="0" w:space="0" w:color="auto"/>
            <w:right w:val="none" w:sz="0" w:space="0" w:color="auto"/>
          </w:divBdr>
          <w:divsChild>
            <w:div w:id="1529677223">
              <w:marLeft w:val="0"/>
              <w:marRight w:val="0"/>
              <w:marTop w:val="0"/>
              <w:marBottom w:val="0"/>
              <w:divBdr>
                <w:top w:val="none" w:sz="0" w:space="0" w:color="auto"/>
                <w:left w:val="none" w:sz="0" w:space="0" w:color="auto"/>
                <w:bottom w:val="none" w:sz="0" w:space="0" w:color="auto"/>
                <w:right w:val="none" w:sz="0" w:space="0" w:color="auto"/>
              </w:divBdr>
              <w:divsChild>
                <w:div w:id="643320222">
                  <w:marLeft w:val="0"/>
                  <w:marRight w:val="0"/>
                  <w:marTop w:val="0"/>
                  <w:marBottom w:val="0"/>
                  <w:divBdr>
                    <w:top w:val="none" w:sz="0" w:space="0" w:color="auto"/>
                    <w:left w:val="none" w:sz="0" w:space="0" w:color="auto"/>
                    <w:bottom w:val="none" w:sz="0" w:space="0" w:color="auto"/>
                    <w:right w:val="none" w:sz="0" w:space="0" w:color="auto"/>
                  </w:divBdr>
                  <w:divsChild>
                    <w:div w:id="1075471328">
                      <w:marLeft w:val="0"/>
                      <w:marRight w:val="0"/>
                      <w:marTop w:val="0"/>
                      <w:marBottom w:val="0"/>
                      <w:divBdr>
                        <w:top w:val="none" w:sz="0" w:space="0" w:color="auto"/>
                        <w:left w:val="none" w:sz="0" w:space="0" w:color="auto"/>
                        <w:bottom w:val="none" w:sz="0" w:space="0" w:color="auto"/>
                        <w:right w:val="none" w:sz="0" w:space="0" w:color="auto"/>
                      </w:divBdr>
                      <w:divsChild>
                        <w:div w:id="782114066">
                          <w:marLeft w:val="0"/>
                          <w:marRight w:val="0"/>
                          <w:marTop w:val="0"/>
                          <w:marBottom w:val="0"/>
                          <w:divBdr>
                            <w:top w:val="none" w:sz="0" w:space="0" w:color="auto"/>
                            <w:left w:val="none" w:sz="0" w:space="0" w:color="auto"/>
                            <w:bottom w:val="none" w:sz="0" w:space="0" w:color="auto"/>
                            <w:right w:val="none" w:sz="0" w:space="0" w:color="auto"/>
                          </w:divBdr>
                          <w:divsChild>
                            <w:div w:id="296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384329">
          <w:marLeft w:val="0"/>
          <w:marRight w:val="0"/>
          <w:marTop w:val="0"/>
          <w:marBottom w:val="0"/>
          <w:divBdr>
            <w:top w:val="none" w:sz="0" w:space="0" w:color="auto"/>
            <w:left w:val="none" w:sz="0" w:space="0" w:color="auto"/>
            <w:bottom w:val="none" w:sz="0" w:space="0" w:color="auto"/>
            <w:right w:val="none" w:sz="0" w:space="0" w:color="auto"/>
          </w:divBdr>
          <w:divsChild>
            <w:div w:id="90636351">
              <w:marLeft w:val="0"/>
              <w:marRight w:val="0"/>
              <w:marTop w:val="0"/>
              <w:marBottom w:val="0"/>
              <w:divBdr>
                <w:top w:val="none" w:sz="0" w:space="0" w:color="auto"/>
                <w:left w:val="none" w:sz="0" w:space="0" w:color="auto"/>
                <w:bottom w:val="none" w:sz="0" w:space="0" w:color="auto"/>
                <w:right w:val="none" w:sz="0" w:space="0" w:color="auto"/>
              </w:divBdr>
              <w:divsChild>
                <w:div w:id="55082463">
                  <w:marLeft w:val="0"/>
                  <w:marRight w:val="0"/>
                  <w:marTop w:val="0"/>
                  <w:marBottom w:val="0"/>
                  <w:divBdr>
                    <w:top w:val="none" w:sz="0" w:space="0" w:color="auto"/>
                    <w:left w:val="none" w:sz="0" w:space="0" w:color="auto"/>
                    <w:bottom w:val="none" w:sz="0" w:space="0" w:color="auto"/>
                    <w:right w:val="none" w:sz="0" w:space="0" w:color="auto"/>
                  </w:divBdr>
                  <w:divsChild>
                    <w:div w:id="1124542113">
                      <w:marLeft w:val="0"/>
                      <w:marRight w:val="0"/>
                      <w:marTop w:val="0"/>
                      <w:marBottom w:val="0"/>
                      <w:divBdr>
                        <w:top w:val="none" w:sz="0" w:space="0" w:color="auto"/>
                        <w:left w:val="none" w:sz="0" w:space="0" w:color="auto"/>
                        <w:bottom w:val="none" w:sz="0" w:space="0" w:color="auto"/>
                        <w:right w:val="none" w:sz="0" w:space="0" w:color="auto"/>
                      </w:divBdr>
                      <w:divsChild>
                        <w:div w:id="931209617">
                          <w:marLeft w:val="0"/>
                          <w:marRight w:val="0"/>
                          <w:marTop w:val="0"/>
                          <w:marBottom w:val="0"/>
                          <w:divBdr>
                            <w:top w:val="none" w:sz="0" w:space="0" w:color="auto"/>
                            <w:left w:val="none" w:sz="0" w:space="0" w:color="auto"/>
                            <w:bottom w:val="none" w:sz="0" w:space="0" w:color="auto"/>
                            <w:right w:val="none" w:sz="0" w:space="0" w:color="auto"/>
                          </w:divBdr>
                          <w:divsChild>
                            <w:div w:id="1952974620">
                              <w:marLeft w:val="0"/>
                              <w:marRight w:val="0"/>
                              <w:marTop w:val="0"/>
                              <w:marBottom w:val="0"/>
                              <w:divBdr>
                                <w:top w:val="none" w:sz="0" w:space="0" w:color="auto"/>
                                <w:left w:val="none" w:sz="0" w:space="0" w:color="auto"/>
                                <w:bottom w:val="none" w:sz="0" w:space="0" w:color="auto"/>
                                <w:right w:val="none" w:sz="0" w:space="0" w:color="auto"/>
                              </w:divBdr>
                              <w:divsChild>
                                <w:div w:id="1068185160">
                                  <w:marLeft w:val="0"/>
                                  <w:marRight w:val="0"/>
                                  <w:marTop w:val="0"/>
                                  <w:marBottom w:val="0"/>
                                  <w:divBdr>
                                    <w:top w:val="none" w:sz="0" w:space="0" w:color="auto"/>
                                    <w:left w:val="none" w:sz="0" w:space="0" w:color="auto"/>
                                    <w:bottom w:val="none" w:sz="0" w:space="0" w:color="auto"/>
                                    <w:right w:val="none" w:sz="0" w:space="0" w:color="auto"/>
                                  </w:divBdr>
                                  <w:divsChild>
                                    <w:div w:id="2531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97673">
      <w:bodyDiv w:val="1"/>
      <w:marLeft w:val="0"/>
      <w:marRight w:val="0"/>
      <w:marTop w:val="0"/>
      <w:marBottom w:val="0"/>
      <w:divBdr>
        <w:top w:val="none" w:sz="0" w:space="0" w:color="auto"/>
        <w:left w:val="none" w:sz="0" w:space="0" w:color="auto"/>
        <w:bottom w:val="none" w:sz="0" w:space="0" w:color="auto"/>
        <w:right w:val="none" w:sz="0" w:space="0" w:color="auto"/>
      </w:divBdr>
    </w:div>
    <w:div w:id="15119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2.emf"/><Relationship Id="rId21" Type="http://schemas.openxmlformats.org/officeDocument/2006/relationships/image" Target="media/image12.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emf"/><Relationship Id="rId89" Type="http://schemas.openxmlformats.org/officeDocument/2006/relationships/image" Target="media/image74.emf"/><Relationship Id="rId112" Type="http://schemas.openxmlformats.org/officeDocument/2006/relationships/image" Target="media/image97.emf"/><Relationship Id="rId133" Type="http://schemas.openxmlformats.org/officeDocument/2006/relationships/image" Target="media/image118.emf"/><Relationship Id="rId138" Type="http://schemas.openxmlformats.org/officeDocument/2006/relationships/image" Target="media/image123.emf"/><Relationship Id="rId16" Type="http://schemas.openxmlformats.org/officeDocument/2006/relationships/image" Target="media/image7.emf"/><Relationship Id="rId107" Type="http://schemas.openxmlformats.org/officeDocument/2006/relationships/image" Target="media/image92.emf"/><Relationship Id="rId11" Type="http://schemas.openxmlformats.org/officeDocument/2006/relationships/image" Target="media/image2.emf"/><Relationship Id="rId32" Type="http://schemas.openxmlformats.org/officeDocument/2006/relationships/footer" Target="footer2.xml"/><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8.emf"/><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5.emf"/><Relationship Id="rId95" Type="http://schemas.openxmlformats.org/officeDocument/2006/relationships/image" Target="media/image80.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8.emf"/><Relationship Id="rId118" Type="http://schemas.openxmlformats.org/officeDocument/2006/relationships/image" Target="media/image103.emf"/><Relationship Id="rId134" Type="http://schemas.openxmlformats.org/officeDocument/2006/relationships/image" Target="media/image119.emf"/><Relationship Id="rId139" Type="http://schemas.openxmlformats.org/officeDocument/2006/relationships/image" Target="media/image124.emf"/><Relationship Id="rId80" Type="http://schemas.openxmlformats.org/officeDocument/2006/relationships/image" Target="media/image65.emf"/><Relationship Id="rId85" Type="http://schemas.openxmlformats.org/officeDocument/2006/relationships/image" Target="media/image70.emf"/><Relationship Id="rId150" Type="http://schemas.microsoft.com/office/2011/relationships/commentsExtended" Target="commentsExtended.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3.xml"/><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103" Type="http://schemas.openxmlformats.org/officeDocument/2006/relationships/image" Target="media/image88.emf"/><Relationship Id="rId108" Type="http://schemas.openxmlformats.org/officeDocument/2006/relationships/image" Target="media/image93.emf"/><Relationship Id="rId116" Type="http://schemas.openxmlformats.org/officeDocument/2006/relationships/image" Target="media/image101.emf"/><Relationship Id="rId124" Type="http://schemas.openxmlformats.org/officeDocument/2006/relationships/image" Target="media/image109.emf"/><Relationship Id="rId129" Type="http://schemas.openxmlformats.org/officeDocument/2006/relationships/image" Target="media/image114.emf"/><Relationship Id="rId137" Type="http://schemas.openxmlformats.org/officeDocument/2006/relationships/image" Target="media/image122.emf"/><Relationship Id="rId20" Type="http://schemas.openxmlformats.org/officeDocument/2006/relationships/image" Target="media/image11.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image" Target="media/image81.emf"/><Relationship Id="rId111" Type="http://schemas.openxmlformats.org/officeDocument/2006/relationships/image" Target="media/image96.emf"/><Relationship Id="rId132" Type="http://schemas.openxmlformats.org/officeDocument/2006/relationships/image" Target="media/image117.emf"/><Relationship Id="rId140" Type="http://schemas.openxmlformats.org/officeDocument/2006/relationships/image" Target="media/image125.emf"/><Relationship Id="rId145" Type="http://schemas.openxmlformats.org/officeDocument/2006/relationships/image" Target="media/image13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91.emf"/><Relationship Id="rId114" Type="http://schemas.openxmlformats.org/officeDocument/2006/relationships/image" Target="media/image99.emf"/><Relationship Id="rId119" Type="http://schemas.openxmlformats.org/officeDocument/2006/relationships/image" Target="media/image104.emf"/><Relationship Id="rId127" Type="http://schemas.openxmlformats.org/officeDocument/2006/relationships/image" Target="media/image112.emf"/><Relationship Id="rId10" Type="http://schemas.openxmlformats.org/officeDocument/2006/relationships/footer" Target="footer1.xml"/><Relationship Id="rId31" Type="http://schemas.openxmlformats.org/officeDocument/2006/relationships/header" Target="header2.xml"/><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7.emf"/><Relationship Id="rId130" Type="http://schemas.openxmlformats.org/officeDocument/2006/relationships/image" Target="media/image115.emf"/><Relationship Id="rId135" Type="http://schemas.openxmlformats.org/officeDocument/2006/relationships/image" Target="media/image120.emf"/><Relationship Id="rId143" Type="http://schemas.openxmlformats.org/officeDocument/2006/relationships/image" Target="media/image128.emf"/><Relationship Id="rId148" Type="http://schemas.openxmlformats.org/officeDocument/2006/relationships/fontTable" Target="fontTable.xml"/><Relationship Id="rId15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footer" Target="footer3.xml"/><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png"/><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emf"/><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header" Target="header1.xml"/><Relationship Id="rId35" Type="http://schemas.openxmlformats.org/officeDocument/2006/relationships/header" Target="header4.xml"/><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14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6.emf"/><Relationship Id="rId142" Type="http://schemas.openxmlformats.org/officeDocument/2006/relationships/image" Target="media/image127.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fr/doc_details.jsp?doc_id=331458" TargetMode="External"/><Relationship Id="rId13" Type="http://schemas.openxmlformats.org/officeDocument/2006/relationships/hyperlink" Target="http://www.wipo.int/meetings/fr/doc_details.jsp?doc_id=313056" TargetMode="External"/><Relationship Id="rId18" Type="http://schemas.openxmlformats.org/officeDocument/2006/relationships/hyperlink" Target="http://www.wipo.int/econ_stat/fr/economics/gii/index.html" TargetMode="External"/><Relationship Id="rId3" Type="http://schemas.openxmlformats.org/officeDocument/2006/relationships/hyperlink" Target="http://www.wipo.int/meetings/fr/doc_details.jsp?doc_id=323086" TargetMode="External"/><Relationship Id="rId21" Type="http://schemas.openxmlformats.org/officeDocument/2006/relationships/hyperlink" Target="http://www.wipo.int/meetings/fr/doc_details.jsp?doc_id=312736" TargetMode="External"/><Relationship Id="rId7" Type="http://schemas.openxmlformats.org/officeDocument/2006/relationships/hyperlink" Target="http://www.wipo.int/meetings/fr/doc_details.jsp?doc_id=364803" TargetMode="External"/><Relationship Id="rId12" Type="http://schemas.openxmlformats.org/officeDocument/2006/relationships/hyperlink" Target="http://www.wipo.int/meetings/fr/doc_details.jsp?doc_id=358896" TargetMode="External"/><Relationship Id="rId17" Type="http://schemas.openxmlformats.org/officeDocument/2006/relationships/hyperlink" Target="http://www.wipo.int/meetings/fr/doc_details.jsp?doc_id=347436" TargetMode="External"/><Relationship Id="rId2" Type="http://schemas.openxmlformats.org/officeDocument/2006/relationships/hyperlink" Target="http://www.wipo.int/meetings/fr/doc_details.jsp?doc_id=347436" TargetMode="External"/><Relationship Id="rId16" Type="http://schemas.openxmlformats.org/officeDocument/2006/relationships/hyperlink" Target="mailto:madrid.qp@wipo.int" TargetMode="External"/><Relationship Id="rId20" Type="http://schemas.openxmlformats.org/officeDocument/2006/relationships/hyperlink" Target="http://www.wipo.int/edocs/pubdocs/fr/wipo_pub_944_2015.pdf" TargetMode="External"/><Relationship Id="rId1" Type="http://schemas.openxmlformats.org/officeDocument/2006/relationships/hyperlink" Target="http://www.wipo.int/amc/en/new/2016_qmsurvey.html" TargetMode="External"/><Relationship Id="rId6" Type="http://schemas.openxmlformats.org/officeDocument/2006/relationships/hyperlink" Target="http://www.wipo.int/meetings/fr/doc_details.jsp?doc_id=354223" TargetMode="External"/><Relationship Id="rId11" Type="http://schemas.openxmlformats.org/officeDocument/2006/relationships/hyperlink" Target="http://www.wipo.int/meetings/fr/doc_details.jsp?doc_id=338097" TargetMode="External"/><Relationship Id="rId24" Type="http://schemas.openxmlformats.org/officeDocument/2006/relationships/hyperlink" Target="http://www.wipo.int/meetings/fr/doc_details.jsp?doc_id=343158" TargetMode="External"/><Relationship Id="rId5" Type="http://schemas.openxmlformats.org/officeDocument/2006/relationships/hyperlink" Target="http://www.wipo.int/meetings/fr/doc_details.jsp?doc_id=361336" TargetMode="External"/><Relationship Id="rId15" Type="http://schemas.openxmlformats.org/officeDocument/2006/relationships/hyperlink" Target="http://www.wipo.int/meetings/fr/doc_details.jsp?doc_id=360378" TargetMode="External"/><Relationship Id="rId23" Type="http://schemas.openxmlformats.org/officeDocument/2006/relationships/hyperlink" Target="http://www.wipo.int/meetings/en/doc_details.jsp?doc_id=342238" TargetMode="External"/><Relationship Id="rId10" Type="http://schemas.openxmlformats.org/officeDocument/2006/relationships/hyperlink" Target="http://www.wipo.int/meetings/fr/doc_details.jsp?doc_id=328356" TargetMode="External"/><Relationship Id="rId19" Type="http://schemas.openxmlformats.org/officeDocument/2006/relationships/hyperlink" Target="https://www.globalinnovationindex.org/" TargetMode="External"/><Relationship Id="rId4" Type="http://schemas.openxmlformats.org/officeDocument/2006/relationships/hyperlink" Target="http://www.wipo.int/meetings/fr/doc_details.jsp?doc_id=342596" TargetMode="External"/><Relationship Id="rId9" Type="http://schemas.openxmlformats.org/officeDocument/2006/relationships/hyperlink" Target="http://www.wipo.int/meetings/fr/doc_details.jsp?doc_id=354935" TargetMode="External"/><Relationship Id="rId14" Type="http://schemas.openxmlformats.org/officeDocument/2006/relationships/hyperlink" Target="http://www.wipo.int/meetings/fr/doc_details.jsp?doc_id=334617" TargetMode="External"/><Relationship Id="rId22" Type="http://schemas.openxmlformats.org/officeDocument/2006/relationships/hyperlink" Target="http://www.wipo.int/meetings/fr/doc_details.jsp?doc_id=3101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2A51-5311-4143-83AD-E5B541CAB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185</Pages>
  <Words>107475</Words>
  <Characters>592193</Characters>
  <Application>Microsoft Office Word</Application>
  <DocSecurity>0</DocSecurity>
  <Lines>29609</Lines>
  <Paragraphs>12063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World Intellectual Property Organization</Company>
  <LinksUpToDate>false</LinksUpToDate>
  <CharactersWithSpaces>687605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Wipo Templates</dc:subject>
  <dc:creator>Robert Lynam</dc:creator>
  <cp:lastModifiedBy>ZEBARJADI-SAR Nahal</cp:lastModifiedBy>
  <cp:revision>6</cp:revision>
  <cp:lastPrinted>2017-05-17T09:52:00Z</cp:lastPrinted>
  <dcterms:created xsi:type="dcterms:W3CDTF">2017-05-17T13:07:00Z</dcterms:created>
  <dcterms:modified xsi:type="dcterms:W3CDTF">2017-05-17T13:46:00Z</dcterms:modified>
</cp:coreProperties>
</file>